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517FAD" w14:textId="77777777" w:rsidR="00270D55" w:rsidRDefault="00270D55">
      <w:pPr>
        <w:spacing w:after="0"/>
        <w:jc w:val="center"/>
        <w:rPr>
          <w:b/>
          <w:sz w:val="84"/>
          <w:szCs w:val="84"/>
        </w:rPr>
      </w:pPr>
    </w:p>
    <w:p w14:paraId="59A154EC" w14:textId="439DD06B" w:rsidR="00157AAA" w:rsidRDefault="006C1BE5">
      <w:pPr>
        <w:spacing w:after="0"/>
        <w:jc w:val="center"/>
        <w:rPr>
          <w:b/>
          <w:sz w:val="64"/>
          <w:szCs w:val="64"/>
        </w:rPr>
      </w:pPr>
      <w:r>
        <w:rPr>
          <w:b/>
          <w:sz w:val="84"/>
          <w:szCs w:val="84"/>
        </w:rPr>
        <w:t>Request for Bids</w:t>
      </w:r>
      <w:r>
        <w:rPr>
          <w:b/>
          <w:sz w:val="64"/>
          <w:szCs w:val="64"/>
        </w:rPr>
        <w:t xml:space="preserve"> </w:t>
      </w:r>
    </w:p>
    <w:p w14:paraId="1D43BEF3" w14:textId="77777777" w:rsidR="00157AAA" w:rsidRDefault="00157AAA">
      <w:pPr>
        <w:spacing w:after="0"/>
        <w:jc w:val="center"/>
        <w:rPr>
          <w:b/>
          <w:sz w:val="56"/>
          <w:szCs w:val="56"/>
        </w:rPr>
      </w:pPr>
    </w:p>
    <w:p w14:paraId="4B012241" w14:textId="77777777" w:rsidR="00157AAA" w:rsidRDefault="006C1BE5">
      <w:pPr>
        <w:spacing w:after="0"/>
        <w:jc w:val="center"/>
        <w:rPr>
          <w:b/>
          <w:sz w:val="84"/>
          <w:szCs w:val="84"/>
        </w:rPr>
      </w:pPr>
      <w:r>
        <w:rPr>
          <w:b/>
          <w:sz w:val="56"/>
          <w:szCs w:val="56"/>
        </w:rPr>
        <w:t>Information Systems</w:t>
      </w:r>
      <w:r>
        <w:rPr>
          <w:b/>
          <w:sz w:val="84"/>
          <w:szCs w:val="84"/>
        </w:rPr>
        <w:t xml:space="preserve"> </w:t>
      </w:r>
    </w:p>
    <w:p w14:paraId="058BF760" w14:textId="77777777" w:rsidR="00157AAA" w:rsidRDefault="006C1BE5">
      <w:pPr>
        <w:spacing w:after="0"/>
        <w:jc w:val="center"/>
        <w:rPr>
          <w:b/>
          <w:sz w:val="32"/>
          <w:szCs w:val="32"/>
        </w:rPr>
      </w:pPr>
      <w:r>
        <w:rPr>
          <w:b/>
          <w:sz w:val="32"/>
          <w:szCs w:val="32"/>
        </w:rPr>
        <w:t>(One-Envelope Bidding Process - Without Prequalification)</w:t>
      </w:r>
    </w:p>
    <w:p w14:paraId="659DD698" w14:textId="77777777" w:rsidR="00157AAA" w:rsidRDefault="00157AAA">
      <w:pPr>
        <w:spacing w:after="0"/>
        <w:jc w:val="center"/>
        <w:rPr>
          <w:b/>
          <w:sz w:val="52"/>
          <w:szCs w:val="52"/>
          <w:highlight w:val="yellow"/>
        </w:rPr>
      </w:pPr>
    </w:p>
    <w:p w14:paraId="733E7250" w14:textId="77777777" w:rsidR="00157AAA" w:rsidRDefault="00157AAA">
      <w:pPr>
        <w:spacing w:after="0"/>
        <w:jc w:val="center"/>
        <w:rPr>
          <w:b/>
          <w:sz w:val="52"/>
          <w:szCs w:val="52"/>
          <w:highlight w:val="yellow"/>
        </w:rPr>
      </w:pPr>
    </w:p>
    <w:p w14:paraId="3DB452E3" w14:textId="77777777" w:rsidR="00157AAA" w:rsidRDefault="00157AAA">
      <w:pPr>
        <w:spacing w:after="0"/>
        <w:jc w:val="center"/>
        <w:rPr>
          <w:b/>
          <w:sz w:val="52"/>
          <w:szCs w:val="52"/>
          <w:highlight w:val="yellow"/>
        </w:rPr>
      </w:pPr>
    </w:p>
    <w:p w14:paraId="49DC90A0" w14:textId="77777777" w:rsidR="00157AAA" w:rsidRDefault="00157AAA">
      <w:pPr>
        <w:spacing w:after="0"/>
        <w:jc w:val="center"/>
        <w:rPr>
          <w:b/>
          <w:sz w:val="52"/>
          <w:szCs w:val="52"/>
          <w:highlight w:val="yellow"/>
        </w:rPr>
      </w:pPr>
    </w:p>
    <w:p w14:paraId="2DA532E0" w14:textId="77777777" w:rsidR="00157AAA" w:rsidRDefault="006C1BE5">
      <w:pPr>
        <w:spacing w:after="0"/>
        <w:jc w:val="center"/>
        <w:rPr>
          <w:b/>
          <w:sz w:val="52"/>
          <w:szCs w:val="52"/>
        </w:rPr>
      </w:pPr>
      <w:r>
        <w:rPr>
          <w:b/>
          <w:sz w:val="52"/>
          <w:szCs w:val="52"/>
        </w:rPr>
        <w:t>Procurement of:</w:t>
      </w:r>
    </w:p>
    <w:p w14:paraId="359D92AB" w14:textId="77777777" w:rsidR="00157AAA" w:rsidRDefault="006C1BE5">
      <w:pPr>
        <w:spacing w:after="0"/>
        <w:jc w:val="center"/>
        <w:rPr>
          <w:b/>
          <w:sz w:val="84"/>
          <w:szCs w:val="84"/>
        </w:rPr>
      </w:pPr>
      <w:r>
        <w:rPr>
          <w:b/>
          <w:sz w:val="52"/>
          <w:szCs w:val="52"/>
        </w:rPr>
        <w:t>Design, Supply and Installation of the New Single Window (NSW) System in North Macedonia</w:t>
      </w:r>
    </w:p>
    <w:p w14:paraId="7910750C" w14:textId="77777777" w:rsidR="00157AAA" w:rsidRDefault="00157AAA">
      <w:pPr>
        <w:spacing w:after="0"/>
        <w:jc w:val="center"/>
        <w:rPr>
          <w:b/>
          <w:sz w:val="28"/>
          <w:szCs w:val="28"/>
        </w:rPr>
      </w:pPr>
    </w:p>
    <w:p w14:paraId="07673FC7" w14:textId="77777777" w:rsidR="00157AAA" w:rsidRDefault="00157AAA">
      <w:pPr>
        <w:spacing w:after="0"/>
        <w:jc w:val="center"/>
        <w:rPr>
          <w:b/>
          <w:sz w:val="28"/>
          <w:szCs w:val="28"/>
        </w:rPr>
      </w:pPr>
    </w:p>
    <w:p w14:paraId="1F0676DC" w14:textId="77777777" w:rsidR="00157AAA" w:rsidRDefault="00157AAA">
      <w:pPr>
        <w:spacing w:after="0"/>
        <w:jc w:val="center"/>
        <w:rPr>
          <w:b/>
          <w:sz w:val="28"/>
          <w:szCs w:val="28"/>
        </w:rPr>
      </w:pPr>
    </w:p>
    <w:p w14:paraId="560A86ED" w14:textId="77777777" w:rsidR="00157AAA" w:rsidRDefault="00157AAA">
      <w:pPr>
        <w:spacing w:after="0"/>
        <w:jc w:val="center"/>
        <w:rPr>
          <w:b/>
          <w:sz w:val="28"/>
          <w:szCs w:val="28"/>
        </w:rPr>
      </w:pPr>
    </w:p>
    <w:p w14:paraId="6CE703FE" w14:textId="77777777" w:rsidR="00157AAA" w:rsidRDefault="00157AAA">
      <w:pPr>
        <w:spacing w:after="0"/>
        <w:jc w:val="center"/>
        <w:rPr>
          <w:b/>
          <w:sz w:val="28"/>
          <w:szCs w:val="28"/>
        </w:rPr>
      </w:pPr>
    </w:p>
    <w:p w14:paraId="75911591" w14:textId="77777777" w:rsidR="00157AAA" w:rsidRDefault="00157AAA">
      <w:pPr>
        <w:spacing w:after="0"/>
        <w:jc w:val="center"/>
        <w:rPr>
          <w:b/>
          <w:sz w:val="28"/>
          <w:szCs w:val="28"/>
        </w:rPr>
      </w:pPr>
    </w:p>
    <w:p w14:paraId="59F543E6" w14:textId="77777777" w:rsidR="00157AAA" w:rsidRDefault="006C1BE5">
      <w:pPr>
        <w:spacing w:before="60" w:after="60"/>
        <w:rPr>
          <w:b/>
          <w:color w:val="000000" w:themeColor="text1"/>
          <w:sz w:val="28"/>
          <w:szCs w:val="28"/>
        </w:rPr>
      </w:pPr>
      <w:r>
        <w:rPr>
          <w:b/>
          <w:color w:val="000000" w:themeColor="text1"/>
          <w:sz w:val="28"/>
          <w:szCs w:val="28"/>
        </w:rPr>
        <w:t xml:space="preserve">RFB No: </w:t>
      </w:r>
      <w:r>
        <w:rPr>
          <w:color w:val="000000" w:themeColor="text1"/>
          <w:sz w:val="28"/>
          <w:szCs w:val="28"/>
        </w:rPr>
        <w:t>WBTTFP-8929-MK-112C-RFB</w:t>
      </w:r>
    </w:p>
    <w:p w14:paraId="313AC1DF" w14:textId="77777777" w:rsidR="00157AAA" w:rsidRDefault="006C1BE5">
      <w:pPr>
        <w:spacing w:before="60" w:after="60"/>
        <w:rPr>
          <w:bCs/>
          <w:iCs/>
          <w:color w:val="000000" w:themeColor="text1"/>
          <w:sz w:val="28"/>
          <w:szCs w:val="28"/>
        </w:rPr>
      </w:pPr>
      <w:r>
        <w:rPr>
          <w:b/>
          <w:color w:val="000000" w:themeColor="text1"/>
          <w:sz w:val="28"/>
          <w:szCs w:val="28"/>
        </w:rPr>
        <w:t>Project:</w:t>
      </w:r>
      <w:r>
        <w:rPr>
          <w:b/>
          <w:bCs/>
          <w:iCs/>
          <w:color w:val="000000" w:themeColor="text1"/>
          <w:sz w:val="28"/>
          <w:szCs w:val="28"/>
        </w:rPr>
        <w:t xml:space="preserve"> </w:t>
      </w:r>
      <w:r>
        <w:rPr>
          <w:bCs/>
          <w:iCs/>
          <w:color w:val="000000" w:themeColor="text1"/>
          <w:sz w:val="28"/>
          <w:szCs w:val="28"/>
        </w:rPr>
        <w:t>Western Balkans Trade and Transport Facilitation Project - P162043</w:t>
      </w:r>
    </w:p>
    <w:p w14:paraId="362C5065" w14:textId="77777777" w:rsidR="00157AAA" w:rsidRDefault="006C1BE5">
      <w:pPr>
        <w:spacing w:before="60" w:after="60"/>
        <w:rPr>
          <w:b/>
          <w:color w:val="000000" w:themeColor="text1"/>
          <w:sz w:val="28"/>
          <w:szCs w:val="28"/>
        </w:rPr>
      </w:pPr>
      <w:r>
        <w:rPr>
          <w:b/>
          <w:iCs/>
          <w:color w:val="000000" w:themeColor="text1"/>
          <w:sz w:val="28"/>
          <w:szCs w:val="28"/>
        </w:rPr>
        <w:t>Purchaser</w:t>
      </w:r>
      <w:r>
        <w:rPr>
          <w:b/>
          <w:color w:val="000000" w:themeColor="text1"/>
          <w:sz w:val="28"/>
          <w:szCs w:val="28"/>
        </w:rPr>
        <w:t xml:space="preserve">: </w:t>
      </w:r>
      <w:r>
        <w:rPr>
          <w:color w:val="000000" w:themeColor="text1"/>
          <w:sz w:val="28"/>
          <w:szCs w:val="28"/>
        </w:rPr>
        <w:t>Ministry of Transport and Communications</w:t>
      </w:r>
    </w:p>
    <w:p w14:paraId="5D14F800" w14:textId="77777777" w:rsidR="00157AAA" w:rsidRDefault="006C1BE5">
      <w:pPr>
        <w:spacing w:before="60" w:after="60"/>
        <w:ind w:right="-540"/>
        <w:rPr>
          <w:color w:val="000000" w:themeColor="text1"/>
          <w:sz w:val="28"/>
          <w:szCs w:val="28"/>
        </w:rPr>
      </w:pPr>
      <w:r>
        <w:rPr>
          <w:b/>
          <w:color w:val="000000" w:themeColor="text1"/>
          <w:sz w:val="28"/>
          <w:szCs w:val="28"/>
        </w:rPr>
        <w:t xml:space="preserve">Country: </w:t>
      </w:r>
      <w:r>
        <w:rPr>
          <w:color w:val="000000" w:themeColor="text1"/>
          <w:sz w:val="28"/>
          <w:szCs w:val="28"/>
        </w:rPr>
        <w:t>Republic of North Macedonia</w:t>
      </w:r>
    </w:p>
    <w:p w14:paraId="087AF284" w14:textId="7BCFC2D7" w:rsidR="00157AAA" w:rsidRDefault="006C1BE5">
      <w:pPr>
        <w:spacing w:before="60" w:after="60"/>
        <w:ind w:right="-540"/>
        <w:rPr>
          <w:color w:val="000000" w:themeColor="text1"/>
          <w:sz w:val="28"/>
          <w:szCs w:val="28"/>
        </w:rPr>
      </w:pPr>
      <w:r>
        <w:rPr>
          <w:b/>
          <w:color w:val="000000" w:themeColor="text1"/>
          <w:sz w:val="28"/>
          <w:szCs w:val="28"/>
        </w:rPr>
        <w:t xml:space="preserve">Issued on: </w:t>
      </w:r>
      <w:r w:rsidR="00BC3ADA" w:rsidRPr="00BC3ADA">
        <w:rPr>
          <w:bCs/>
          <w:color w:val="000000" w:themeColor="text1"/>
          <w:sz w:val="28"/>
          <w:szCs w:val="28"/>
        </w:rPr>
        <w:t>22</w:t>
      </w:r>
      <w:r w:rsidR="00E32285" w:rsidRPr="00BC3ADA">
        <w:rPr>
          <w:bCs/>
          <w:sz w:val="28"/>
          <w:szCs w:val="28"/>
        </w:rPr>
        <w:t xml:space="preserve"> </w:t>
      </w:r>
      <w:r w:rsidR="00194EE0" w:rsidRPr="00BC3ADA">
        <w:rPr>
          <w:bCs/>
          <w:sz w:val="28"/>
          <w:szCs w:val="28"/>
        </w:rPr>
        <w:t>May</w:t>
      </w:r>
      <w:r w:rsidR="00E32285" w:rsidRPr="00BC3ADA">
        <w:rPr>
          <w:bCs/>
          <w:sz w:val="28"/>
          <w:szCs w:val="28"/>
        </w:rPr>
        <w:t xml:space="preserve"> 2024</w:t>
      </w:r>
    </w:p>
    <w:p w14:paraId="6FB6759C" w14:textId="77777777" w:rsidR="00157AAA" w:rsidRDefault="00157AAA">
      <w:pPr>
        <w:jc w:val="center"/>
        <w:rPr>
          <w:szCs w:val="24"/>
        </w:rPr>
      </w:pPr>
    </w:p>
    <w:p w14:paraId="45CAE2B3" w14:textId="77777777" w:rsidR="00157AAA" w:rsidRDefault="00157AAA">
      <w:pPr>
        <w:jc w:val="center"/>
        <w:rPr>
          <w:szCs w:val="24"/>
        </w:rPr>
      </w:pPr>
    </w:p>
    <w:p w14:paraId="1367BEC7" w14:textId="77777777" w:rsidR="00157AAA" w:rsidRDefault="00157AAA">
      <w:pPr>
        <w:jc w:val="center"/>
        <w:rPr>
          <w:szCs w:val="24"/>
        </w:rPr>
      </w:pPr>
    </w:p>
    <w:p w14:paraId="0E0E924A" w14:textId="77777777" w:rsidR="00157AAA" w:rsidRDefault="006C1BE5">
      <w:pPr>
        <w:spacing w:after="0"/>
        <w:ind w:left="-450" w:right="-540"/>
        <w:jc w:val="center"/>
        <w:rPr>
          <w:b/>
          <w:bCs/>
          <w:color w:val="000000"/>
          <w:sz w:val="48"/>
          <w:szCs w:val="48"/>
        </w:rPr>
      </w:pPr>
      <w:r>
        <w:rPr>
          <w:b/>
          <w:bCs/>
          <w:color w:val="000000"/>
          <w:sz w:val="48"/>
          <w:szCs w:val="48"/>
        </w:rPr>
        <w:t>Specific Procurement Notice</w:t>
      </w:r>
    </w:p>
    <w:p w14:paraId="600EEAFC" w14:textId="77777777" w:rsidR="00157AAA" w:rsidRDefault="00157AAA">
      <w:pPr>
        <w:spacing w:after="0"/>
        <w:ind w:left="-450" w:right="-540"/>
        <w:jc w:val="center"/>
        <w:rPr>
          <w:b/>
          <w:bCs/>
          <w:color w:val="000000"/>
          <w:sz w:val="32"/>
        </w:rPr>
      </w:pPr>
    </w:p>
    <w:p w14:paraId="3759B80A" w14:textId="77777777" w:rsidR="00157AAA" w:rsidRDefault="006C1BE5">
      <w:pPr>
        <w:spacing w:after="0"/>
        <w:ind w:left="-450" w:right="-540"/>
        <w:jc w:val="center"/>
        <w:rPr>
          <w:b/>
          <w:bCs/>
          <w:color w:val="000000"/>
          <w:sz w:val="32"/>
        </w:rPr>
      </w:pPr>
      <w:r>
        <w:rPr>
          <w:b/>
          <w:bCs/>
          <w:color w:val="000000"/>
          <w:sz w:val="32"/>
        </w:rPr>
        <w:t>(One-Envelope Bidding Process - without Prequalification)</w:t>
      </w:r>
    </w:p>
    <w:p w14:paraId="07F62018" w14:textId="77777777" w:rsidR="00157AAA" w:rsidRDefault="00157AAA">
      <w:pPr>
        <w:spacing w:after="0"/>
        <w:jc w:val="center"/>
        <w:rPr>
          <w:b/>
          <w:bCs/>
          <w:color w:val="000000"/>
          <w:sz w:val="32"/>
          <w:u w:val="single"/>
        </w:rPr>
      </w:pPr>
    </w:p>
    <w:p w14:paraId="0839DEA3" w14:textId="77777777" w:rsidR="00157AAA" w:rsidRDefault="00157AAA">
      <w:pPr>
        <w:spacing w:after="0"/>
        <w:jc w:val="center"/>
        <w:rPr>
          <w:b/>
          <w:bCs/>
          <w:color w:val="000000"/>
          <w:sz w:val="32"/>
          <w:u w:val="single"/>
        </w:rPr>
      </w:pPr>
    </w:p>
    <w:p w14:paraId="2F1EC33F" w14:textId="77777777" w:rsidR="00157AAA" w:rsidRDefault="006C1BE5">
      <w:pPr>
        <w:spacing w:after="0"/>
        <w:jc w:val="center"/>
        <w:rPr>
          <w:b/>
          <w:bCs/>
          <w:color w:val="000000"/>
          <w:sz w:val="48"/>
          <w:szCs w:val="48"/>
        </w:rPr>
      </w:pPr>
      <w:r>
        <w:rPr>
          <w:b/>
          <w:bCs/>
          <w:color w:val="000000"/>
          <w:sz w:val="48"/>
          <w:szCs w:val="48"/>
        </w:rPr>
        <w:t>Request for Bids</w:t>
      </w:r>
    </w:p>
    <w:p w14:paraId="4A350BEC" w14:textId="77777777" w:rsidR="00157AAA" w:rsidRDefault="006C1BE5">
      <w:pPr>
        <w:spacing w:after="0"/>
        <w:jc w:val="center"/>
        <w:rPr>
          <w:b/>
          <w:bCs/>
          <w:color w:val="000000"/>
          <w:sz w:val="40"/>
          <w:szCs w:val="40"/>
        </w:rPr>
      </w:pPr>
      <w:r>
        <w:rPr>
          <w:b/>
          <w:bCs/>
          <w:color w:val="000000"/>
          <w:sz w:val="40"/>
          <w:szCs w:val="40"/>
        </w:rPr>
        <w:t>Information Systems</w:t>
      </w:r>
    </w:p>
    <w:p w14:paraId="701733E0" w14:textId="77777777" w:rsidR="00157AAA" w:rsidRDefault="00157AAA">
      <w:pPr>
        <w:spacing w:after="0"/>
        <w:jc w:val="center"/>
        <w:rPr>
          <w:b/>
          <w:bCs/>
          <w:color w:val="000000"/>
          <w:sz w:val="40"/>
          <w:szCs w:val="40"/>
        </w:rPr>
      </w:pPr>
    </w:p>
    <w:p w14:paraId="452DFBBB" w14:textId="77777777" w:rsidR="00157AAA" w:rsidRDefault="006C1BE5">
      <w:pPr>
        <w:spacing w:after="0"/>
        <w:jc w:val="center"/>
        <w:rPr>
          <w:b/>
          <w:bCs/>
          <w:color w:val="000000"/>
          <w:sz w:val="40"/>
          <w:szCs w:val="40"/>
        </w:rPr>
      </w:pPr>
      <w:r>
        <w:rPr>
          <w:b/>
          <w:bCs/>
          <w:color w:val="000000"/>
          <w:sz w:val="40"/>
          <w:szCs w:val="40"/>
        </w:rPr>
        <w:t>Procurement of:</w:t>
      </w:r>
    </w:p>
    <w:p w14:paraId="101F0962" w14:textId="77777777" w:rsidR="00157AAA" w:rsidRDefault="006C1BE5">
      <w:pPr>
        <w:spacing w:after="0"/>
        <w:jc w:val="center"/>
        <w:rPr>
          <w:b/>
          <w:sz w:val="40"/>
          <w:szCs w:val="40"/>
        </w:rPr>
      </w:pPr>
      <w:r>
        <w:rPr>
          <w:b/>
          <w:sz w:val="40"/>
          <w:szCs w:val="40"/>
        </w:rPr>
        <w:t>Design, Supply and Installation of the New Single Window (NSW) System in North Macedonia</w:t>
      </w:r>
    </w:p>
    <w:p w14:paraId="11B79CEB" w14:textId="77777777" w:rsidR="00157AAA" w:rsidRDefault="00157AAA">
      <w:pPr>
        <w:rPr>
          <w:b/>
          <w:bCs/>
          <w:color w:val="000000"/>
          <w:szCs w:val="24"/>
        </w:rPr>
      </w:pPr>
    </w:p>
    <w:p w14:paraId="4C0B8C35" w14:textId="77777777" w:rsidR="00157AAA" w:rsidRDefault="00157AAA">
      <w:pPr>
        <w:rPr>
          <w:b/>
          <w:bCs/>
          <w:color w:val="000000"/>
          <w:szCs w:val="24"/>
        </w:rPr>
      </w:pPr>
    </w:p>
    <w:p w14:paraId="720EA6DE" w14:textId="77777777" w:rsidR="00157AAA" w:rsidRDefault="00157AAA">
      <w:pPr>
        <w:rPr>
          <w:b/>
          <w:bCs/>
          <w:color w:val="000000"/>
          <w:szCs w:val="24"/>
        </w:rPr>
      </w:pPr>
    </w:p>
    <w:p w14:paraId="372475C8" w14:textId="77777777" w:rsidR="00157AAA" w:rsidRDefault="00157AAA">
      <w:pPr>
        <w:rPr>
          <w:b/>
          <w:bCs/>
          <w:color w:val="000000"/>
          <w:szCs w:val="24"/>
        </w:rPr>
      </w:pPr>
    </w:p>
    <w:p w14:paraId="0CC73920" w14:textId="77777777" w:rsidR="00157AAA" w:rsidRDefault="006C1BE5">
      <w:pPr>
        <w:spacing w:before="60" w:after="60"/>
        <w:rPr>
          <w:i/>
          <w:color w:val="000000" w:themeColor="text1"/>
          <w:sz w:val="28"/>
          <w:szCs w:val="28"/>
        </w:rPr>
      </w:pPr>
      <w:r>
        <w:rPr>
          <w:iCs/>
          <w:color w:val="000000" w:themeColor="text1"/>
          <w:sz w:val="28"/>
          <w:szCs w:val="28"/>
        </w:rPr>
        <w:t>Purchaser</w:t>
      </w:r>
      <w:r>
        <w:rPr>
          <w:b/>
          <w:color w:val="000000" w:themeColor="text1"/>
          <w:sz w:val="28"/>
          <w:szCs w:val="28"/>
        </w:rPr>
        <w:t xml:space="preserve">: </w:t>
      </w:r>
      <w:r>
        <w:rPr>
          <w:color w:val="000000" w:themeColor="text1"/>
          <w:sz w:val="28"/>
          <w:szCs w:val="28"/>
        </w:rPr>
        <w:t>Ministry of Transport and Communications</w:t>
      </w:r>
    </w:p>
    <w:p w14:paraId="51E72E55" w14:textId="77777777" w:rsidR="00157AAA" w:rsidRDefault="006C1BE5">
      <w:pPr>
        <w:spacing w:before="60" w:after="60"/>
        <w:rPr>
          <w:bCs/>
          <w:i/>
          <w:iCs/>
          <w:color w:val="000000" w:themeColor="text1"/>
          <w:sz w:val="28"/>
          <w:szCs w:val="28"/>
        </w:rPr>
      </w:pPr>
      <w:r>
        <w:rPr>
          <w:color w:val="000000" w:themeColor="text1"/>
          <w:sz w:val="28"/>
          <w:szCs w:val="28"/>
        </w:rPr>
        <w:t>Project</w:t>
      </w:r>
      <w:r>
        <w:rPr>
          <w:b/>
          <w:color w:val="000000" w:themeColor="text1"/>
          <w:sz w:val="28"/>
          <w:szCs w:val="28"/>
        </w:rPr>
        <w:t>:</w:t>
      </w:r>
      <w:r>
        <w:rPr>
          <w:b/>
          <w:bCs/>
          <w:i/>
          <w:iCs/>
          <w:color w:val="000000" w:themeColor="text1"/>
          <w:sz w:val="28"/>
          <w:szCs w:val="28"/>
        </w:rPr>
        <w:t xml:space="preserve"> </w:t>
      </w:r>
      <w:r>
        <w:rPr>
          <w:spacing w:val="-2"/>
          <w:sz w:val="28"/>
          <w:szCs w:val="28"/>
        </w:rPr>
        <w:t>Western Balkans Trade and Transport Facilitation Project - P162043</w:t>
      </w:r>
    </w:p>
    <w:p w14:paraId="2CE94514" w14:textId="77777777" w:rsidR="00157AAA" w:rsidRDefault="006C1BE5">
      <w:pPr>
        <w:spacing w:before="60" w:after="60"/>
        <w:rPr>
          <w:b/>
          <w:color w:val="000000" w:themeColor="text1"/>
          <w:sz w:val="28"/>
          <w:szCs w:val="28"/>
        </w:rPr>
      </w:pPr>
      <w:r>
        <w:rPr>
          <w:iCs/>
          <w:color w:val="000000" w:themeColor="text1"/>
          <w:sz w:val="28"/>
          <w:szCs w:val="28"/>
        </w:rPr>
        <w:t>Contract title</w:t>
      </w:r>
      <w:r>
        <w:rPr>
          <w:b/>
          <w:color w:val="000000" w:themeColor="text1"/>
          <w:sz w:val="28"/>
          <w:szCs w:val="28"/>
        </w:rPr>
        <w:t xml:space="preserve">: </w:t>
      </w:r>
      <w:r>
        <w:rPr>
          <w:color w:val="000000" w:themeColor="text1"/>
          <w:sz w:val="28"/>
          <w:szCs w:val="28"/>
        </w:rPr>
        <w:t xml:space="preserve">Design, </w:t>
      </w:r>
      <w:proofErr w:type="gramStart"/>
      <w:r>
        <w:rPr>
          <w:color w:val="000000" w:themeColor="text1"/>
          <w:sz w:val="28"/>
          <w:szCs w:val="28"/>
        </w:rPr>
        <w:t>Supply</w:t>
      </w:r>
      <w:proofErr w:type="gramEnd"/>
      <w:r>
        <w:rPr>
          <w:color w:val="000000" w:themeColor="text1"/>
          <w:sz w:val="28"/>
          <w:szCs w:val="28"/>
        </w:rPr>
        <w:t xml:space="preserve"> and Installation of the New Single Window (NSW) System in North Macedonia</w:t>
      </w:r>
    </w:p>
    <w:p w14:paraId="0C0BCDB6" w14:textId="77777777" w:rsidR="00157AAA" w:rsidRDefault="006C1BE5">
      <w:pPr>
        <w:spacing w:before="60" w:after="60"/>
        <w:ind w:right="-540"/>
        <w:rPr>
          <w:i/>
          <w:color w:val="000000" w:themeColor="text1"/>
          <w:sz w:val="28"/>
          <w:szCs w:val="28"/>
        </w:rPr>
      </w:pPr>
      <w:r>
        <w:rPr>
          <w:color w:val="000000" w:themeColor="text1"/>
          <w:sz w:val="28"/>
          <w:szCs w:val="28"/>
        </w:rPr>
        <w:t>Country</w:t>
      </w:r>
      <w:r>
        <w:rPr>
          <w:b/>
          <w:color w:val="000000" w:themeColor="text1"/>
          <w:sz w:val="28"/>
          <w:szCs w:val="28"/>
        </w:rPr>
        <w:t xml:space="preserve">: </w:t>
      </w:r>
      <w:r>
        <w:rPr>
          <w:sz w:val="28"/>
          <w:szCs w:val="28"/>
        </w:rPr>
        <w:t>Republic of North Macedonia</w:t>
      </w:r>
    </w:p>
    <w:p w14:paraId="3BDF707F" w14:textId="77777777" w:rsidR="00157AAA" w:rsidRDefault="006C1BE5">
      <w:pPr>
        <w:spacing w:before="60" w:after="60"/>
        <w:rPr>
          <w:i/>
          <w:color w:val="000000" w:themeColor="text1"/>
          <w:sz w:val="28"/>
          <w:szCs w:val="28"/>
        </w:rPr>
      </w:pPr>
      <w:r>
        <w:rPr>
          <w:color w:val="000000" w:themeColor="text1"/>
          <w:sz w:val="28"/>
          <w:szCs w:val="28"/>
        </w:rPr>
        <w:t xml:space="preserve">Loan No.: </w:t>
      </w:r>
      <w:r>
        <w:rPr>
          <w:sz w:val="28"/>
          <w:szCs w:val="28"/>
        </w:rPr>
        <w:t>IBRD 8929-MK</w:t>
      </w:r>
    </w:p>
    <w:p w14:paraId="05EB8684" w14:textId="77777777" w:rsidR="00157AAA" w:rsidRDefault="006C1BE5">
      <w:pPr>
        <w:spacing w:before="60" w:after="60"/>
        <w:rPr>
          <w:b/>
          <w:color w:val="000000" w:themeColor="text1"/>
          <w:sz w:val="28"/>
          <w:szCs w:val="28"/>
        </w:rPr>
      </w:pPr>
      <w:r>
        <w:rPr>
          <w:color w:val="000000" w:themeColor="text1"/>
          <w:sz w:val="28"/>
          <w:szCs w:val="28"/>
        </w:rPr>
        <w:t>RFB No:</w:t>
      </w:r>
      <w:r>
        <w:rPr>
          <w:b/>
          <w:color w:val="000000" w:themeColor="text1"/>
          <w:sz w:val="28"/>
          <w:szCs w:val="28"/>
        </w:rPr>
        <w:t xml:space="preserve"> </w:t>
      </w:r>
      <w:r>
        <w:rPr>
          <w:color w:val="000000" w:themeColor="text1"/>
          <w:sz w:val="28"/>
          <w:szCs w:val="28"/>
        </w:rPr>
        <w:t>WBTTFP-8929-MK-112C-RFB</w:t>
      </w:r>
    </w:p>
    <w:p w14:paraId="37942948" w14:textId="12A2AF23" w:rsidR="00157AAA" w:rsidRDefault="006C1BE5">
      <w:pPr>
        <w:jc w:val="left"/>
        <w:rPr>
          <w:i/>
          <w:color w:val="000000" w:themeColor="text1"/>
          <w:sz w:val="28"/>
          <w:szCs w:val="28"/>
        </w:rPr>
      </w:pPr>
      <w:r>
        <w:rPr>
          <w:color w:val="000000" w:themeColor="text1"/>
          <w:sz w:val="28"/>
          <w:szCs w:val="28"/>
        </w:rPr>
        <w:t>Issued on:</w:t>
      </w:r>
      <w:r>
        <w:rPr>
          <w:b/>
          <w:color w:val="000000" w:themeColor="text1"/>
          <w:sz w:val="28"/>
          <w:szCs w:val="28"/>
        </w:rPr>
        <w:t xml:space="preserve"> </w:t>
      </w:r>
      <w:r w:rsidR="00BC3ADA" w:rsidRPr="00BC3ADA">
        <w:rPr>
          <w:bCs/>
          <w:color w:val="000000" w:themeColor="text1"/>
          <w:sz w:val="28"/>
          <w:szCs w:val="28"/>
        </w:rPr>
        <w:t>22</w:t>
      </w:r>
      <w:r w:rsidR="00BC3ADA" w:rsidRPr="00BC3ADA">
        <w:rPr>
          <w:bCs/>
          <w:sz w:val="28"/>
          <w:szCs w:val="28"/>
        </w:rPr>
        <w:t xml:space="preserve"> May 2024</w:t>
      </w:r>
    </w:p>
    <w:p w14:paraId="4A0072E4" w14:textId="77777777" w:rsidR="00157AAA" w:rsidRDefault="00157AAA">
      <w:pPr>
        <w:jc w:val="left"/>
        <w:rPr>
          <w:color w:val="000000"/>
          <w:spacing w:val="-2"/>
        </w:rPr>
      </w:pPr>
    </w:p>
    <w:p w14:paraId="0E447677" w14:textId="77777777" w:rsidR="00157AAA" w:rsidRDefault="006C1BE5">
      <w:pPr>
        <w:spacing w:after="0"/>
        <w:jc w:val="left"/>
        <w:rPr>
          <w:color w:val="000000"/>
          <w:spacing w:val="-2"/>
        </w:rPr>
      </w:pPr>
      <w:r>
        <w:rPr>
          <w:color w:val="000000"/>
          <w:spacing w:val="-2"/>
        </w:rPr>
        <w:br w:type="page" w:clear="all"/>
      </w:r>
    </w:p>
    <w:p w14:paraId="73815A57" w14:textId="77777777" w:rsidR="00157AAA" w:rsidRDefault="00157AAA">
      <w:pPr>
        <w:jc w:val="left"/>
        <w:rPr>
          <w:color w:val="000000"/>
          <w:spacing w:val="-2"/>
        </w:rPr>
      </w:pPr>
    </w:p>
    <w:p w14:paraId="4473B4C4" w14:textId="77777777" w:rsidR="00157AAA" w:rsidRDefault="006C1BE5">
      <w:pPr>
        <w:ind w:left="630" w:hanging="630"/>
        <w:rPr>
          <w:bCs/>
          <w:i/>
          <w:iCs/>
          <w:spacing w:val="-2"/>
        </w:rPr>
      </w:pPr>
      <w:r>
        <w:rPr>
          <w:color w:val="000000"/>
          <w:spacing w:val="-2"/>
        </w:rPr>
        <w:t>1.</w:t>
      </w:r>
      <w:r>
        <w:rPr>
          <w:color w:val="000000"/>
          <w:spacing w:val="-2"/>
        </w:rPr>
        <w:tab/>
        <w:t xml:space="preserve">The </w:t>
      </w:r>
      <w:r>
        <w:rPr>
          <w:spacing w:val="-2"/>
        </w:rPr>
        <w:t xml:space="preserve">Republic of North Macedonia has received financing from the World Bank toward the cost of the Western Balkans Trade and Transport Facilitation Project - </w:t>
      </w:r>
      <w:proofErr w:type="gramStart"/>
      <w:r>
        <w:rPr>
          <w:spacing w:val="-2"/>
        </w:rPr>
        <w:t>P162043, and</w:t>
      </w:r>
      <w:proofErr w:type="gramEnd"/>
      <w:r>
        <w:rPr>
          <w:spacing w:val="-2"/>
        </w:rPr>
        <w:t xml:space="preserve"> intends to apply part of the proceeds toward payments under the contract for Design, Supply and Installation of the New Single Window (NSW) System in North Macedonia.   </w:t>
      </w:r>
    </w:p>
    <w:p w14:paraId="25EA921B" w14:textId="77777777" w:rsidR="00157AAA" w:rsidRDefault="00157AAA">
      <w:pPr>
        <w:ind w:left="630" w:hanging="630"/>
        <w:rPr>
          <w:color w:val="000000"/>
          <w:spacing w:val="-2"/>
        </w:rPr>
      </w:pPr>
    </w:p>
    <w:p w14:paraId="32F3D38D" w14:textId="7BD4D7DD"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spacing w:val="-2"/>
        </w:rPr>
      </w:pPr>
      <w:r>
        <w:rPr>
          <w:color w:val="000000"/>
          <w:spacing w:val="-2"/>
        </w:rPr>
        <w:t xml:space="preserve">2. </w:t>
      </w:r>
      <w:r>
        <w:rPr>
          <w:color w:val="000000"/>
          <w:spacing w:val="-2"/>
        </w:rPr>
        <w:tab/>
        <w:t xml:space="preserve">The </w:t>
      </w:r>
      <w:r>
        <w:rPr>
          <w:spacing w:val="-2"/>
        </w:rPr>
        <w:t>Ministry of Transport and Communications</w:t>
      </w:r>
      <w:r>
        <w:rPr>
          <w:color w:val="000000"/>
          <w:spacing w:val="-2"/>
        </w:rPr>
        <w:t xml:space="preserve"> now invites sealed Bids from eligible Bidders for </w:t>
      </w:r>
      <w:r>
        <w:rPr>
          <w:spacing w:val="-2"/>
        </w:rPr>
        <w:t xml:space="preserve">Design, </w:t>
      </w:r>
      <w:proofErr w:type="gramStart"/>
      <w:r>
        <w:rPr>
          <w:spacing w:val="-2"/>
        </w:rPr>
        <w:t>Supply</w:t>
      </w:r>
      <w:proofErr w:type="gramEnd"/>
      <w:r>
        <w:rPr>
          <w:spacing w:val="-2"/>
        </w:rPr>
        <w:t xml:space="preserve"> and Installation of the New Single Window (NSW) System in North Macedonia, </w:t>
      </w:r>
      <w:r w:rsidRPr="00984F71">
        <w:rPr>
          <w:spacing w:val="-2"/>
        </w:rPr>
        <w:t>a</w:t>
      </w:r>
      <w:r w:rsidR="005B1879" w:rsidRPr="00984F71">
        <w:rPr>
          <w:spacing w:val="-2"/>
        </w:rPr>
        <w:t>n</w:t>
      </w:r>
      <w:r w:rsidRPr="00984F71">
        <w:rPr>
          <w:spacing w:val="-2"/>
        </w:rPr>
        <w:t xml:space="preserve"> </w:t>
      </w:r>
      <w:r w:rsidR="005B1879" w:rsidRPr="00984F71">
        <w:rPr>
          <w:spacing w:val="-2"/>
        </w:rPr>
        <w:t>integrated I</w:t>
      </w:r>
      <w:r w:rsidR="000627BA" w:rsidRPr="00984F71">
        <w:rPr>
          <w:spacing w:val="-2"/>
        </w:rPr>
        <w:t>S</w:t>
      </w:r>
      <w:r w:rsidRPr="00984F71">
        <w:rPr>
          <w:spacing w:val="-2"/>
        </w:rPr>
        <w:t xml:space="preserve"> solution</w:t>
      </w:r>
      <w:r>
        <w:rPr>
          <w:spacing w:val="-2"/>
        </w:rPr>
        <w:t xml:space="preserve"> that contains one application with hardware platform.  </w:t>
      </w:r>
    </w:p>
    <w:p w14:paraId="4F079579" w14:textId="6935AF7D"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sz w:val="23"/>
          <w:szCs w:val="23"/>
        </w:rPr>
      </w:pPr>
      <w:r>
        <w:rPr>
          <w:spacing w:val="-2"/>
        </w:rPr>
        <w:tab/>
        <w:t xml:space="preserve">The brief description of the NSW System </w:t>
      </w:r>
      <w:r w:rsidR="005B1879">
        <w:rPr>
          <w:spacing w:val="-2"/>
        </w:rPr>
        <w:t>includes</w:t>
      </w:r>
      <w:r>
        <w:rPr>
          <w:spacing w:val="-2"/>
        </w:rPr>
        <w:t xml:space="preserve">: </w:t>
      </w:r>
      <w:r>
        <w:rPr>
          <w:sz w:val="23"/>
          <w:szCs w:val="23"/>
        </w:rPr>
        <w:t xml:space="preserve">The National Single Window (NSW) shall enable a fully electronic submission and processing of all cross-border trade data between the trading community and the concerned government stakeholders. This requires a sound and firm functional and technical architecture that can adapt to the ever-changing environment of global trade. </w:t>
      </w:r>
    </w:p>
    <w:p w14:paraId="70FE2735" w14:textId="77777777"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sz w:val="23"/>
          <w:szCs w:val="23"/>
        </w:rPr>
      </w:pPr>
      <w:r>
        <w:rPr>
          <w:sz w:val="23"/>
          <w:szCs w:val="23"/>
        </w:rPr>
        <w:tab/>
        <w:t xml:space="preserve">The NSW shall provide a single facility for traders to electronically submit regulated and harmonized data </w:t>
      </w:r>
      <w:proofErr w:type="gramStart"/>
      <w:r>
        <w:rPr>
          <w:sz w:val="23"/>
          <w:szCs w:val="23"/>
        </w:rPr>
        <w:t>in order to</w:t>
      </w:r>
      <w:proofErr w:type="gramEnd"/>
      <w:r>
        <w:rPr>
          <w:sz w:val="23"/>
          <w:szCs w:val="23"/>
        </w:rPr>
        <w:t xml:space="preserve"> complete foreign trade transactions. The NSW shall aggregate trade data in a single facility to enable full tracking and monitoring of transactions, for both trade and government institutions. This will lead to simplification of import, </w:t>
      </w:r>
      <w:proofErr w:type="gramStart"/>
      <w:r>
        <w:rPr>
          <w:sz w:val="23"/>
          <w:szCs w:val="23"/>
        </w:rPr>
        <w:t>export</w:t>
      </w:r>
      <w:proofErr w:type="gramEnd"/>
      <w:r>
        <w:rPr>
          <w:sz w:val="23"/>
          <w:szCs w:val="23"/>
        </w:rPr>
        <w:t xml:space="preserve"> and transit procedures, as well as cost savings, increased efficiency and transparency.</w:t>
      </w:r>
    </w:p>
    <w:p w14:paraId="61331DCE" w14:textId="2E8D3D83"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color w:val="000000"/>
          <w:spacing w:val="-2"/>
        </w:rPr>
      </w:pPr>
      <w:r>
        <w:rPr>
          <w:color w:val="000000"/>
          <w:spacing w:val="-2"/>
        </w:rPr>
        <w:tab/>
        <w:t>The functional and technical architecture for the NSW shall be aligned with the overall principles defined in the Government of the Republic of North Macedonia and the Macedonian Interoperability Framework (MIF)</w:t>
      </w:r>
      <w:r>
        <w:rPr>
          <w:rStyle w:val="FootnoteReference"/>
          <w:color w:val="000000"/>
        </w:rPr>
        <w:footnoteReference w:id="2"/>
      </w:r>
      <w:r>
        <w:rPr>
          <w:color w:val="000000"/>
          <w:spacing w:val="-2"/>
        </w:rPr>
        <w:t xml:space="preserve">. MIF provides general principles that are relevant to the process of establishing Macedonian public services. They describe the context in which Macedonian public services are decided and implemented. Many of them are closely related and aligned with the principles for the establishment of an NSW. For more </w:t>
      </w:r>
      <w:r w:rsidR="00270D55">
        <w:rPr>
          <w:color w:val="000000"/>
          <w:spacing w:val="-2"/>
        </w:rPr>
        <w:t>info,</w:t>
      </w:r>
      <w:r>
        <w:rPr>
          <w:color w:val="000000"/>
          <w:spacing w:val="-2"/>
        </w:rPr>
        <w:t xml:space="preserve"> please kindly refer to </w:t>
      </w:r>
      <w:proofErr w:type="gramStart"/>
      <w:r>
        <w:rPr>
          <w:color w:val="000000"/>
          <w:spacing w:val="-2"/>
        </w:rPr>
        <w:t xml:space="preserve">the </w:t>
      </w:r>
      <w:r>
        <w:rPr>
          <w:b/>
          <w:color w:val="000000"/>
          <w:spacing w:val="-2"/>
        </w:rPr>
        <w:t>Section</w:t>
      </w:r>
      <w:proofErr w:type="gramEnd"/>
      <w:r>
        <w:rPr>
          <w:b/>
          <w:color w:val="000000"/>
          <w:spacing w:val="-2"/>
        </w:rPr>
        <w:t xml:space="preserve"> VII - Requirements of the Information System</w:t>
      </w:r>
      <w:r>
        <w:rPr>
          <w:color w:val="000000"/>
          <w:spacing w:val="-2"/>
        </w:rPr>
        <w:t xml:space="preserve">. </w:t>
      </w:r>
    </w:p>
    <w:p w14:paraId="399985E6" w14:textId="14787E87" w:rsidR="00636EAD" w:rsidRDefault="00636EAD">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color w:val="000000"/>
          <w:spacing w:val="-2"/>
        </w:rPr>
      </w:pPr>
      <w:r>
        <w:rPr>
          <w:color w:val="000000"/>
          <w:spacing w:val="-2"/>
        </w:rPr>
        <w:tab/>
      </w:r>
      <w:r w:rsidRPr="00636EAD">
        <w:rPr>
          <w:color w:val="000000"/>
          <w:spacing w:val="-2"/>
        </w:rPr>
        <w:t xml:space="preserve">The delivery period for </w:t>
      </w:r>
      <w:r>
        <w:rPr>
          <w:spacing w:val="-2"/>
        </w:rPr>
        <w:t xml:space="preserve">Design, </w:t>
      </w:r>
      <w:proofErr w:type="gramStart"/>
      <w:r>
        <w:rPr>
          <w:spacing w:val="-2"/>
        </w:rPr>
        <w:t>Supply</w:t>
      </w:r>
      <w:proofErr w:type="gramEnd"/>
      <w:r>
        <w:rPr>
          <w:spacing w:val="-2"/>
        </w:rPr>
        <w:t xml:space="preserve"> and Installation of the New Single Window (NSW) System </w:t>
      </w:r>
      <w:r w:rsidRPr="00636EAD">
        <w:rPr>
          <w:color w:val="000000"/>
          <w:spacing w:val="-2"/>
        </w:rPr>
        <w:t>is 5</w:t>
      </w:r>
      <w:r>
        <w:rPr>
          <w:color w:val="000000"/>
          <w:spacing w:val="-2"/>
        </w:rPr>
        <w:t>4</w:t>
      </w:r>
      <w:r w:rsidRPr="00636EAD">
        <w:rPr>
          <w:color w:val="000000"/>
          <w:spacing w:val="-2"/>
        </w:rPr>
        <w:t xml:space="preserve"> weeks</w:t>
      </w:r>
      <w:r>
        <w:rPr>
          <w:color w:val="000000"/>
          <w:spacing w:val="-2"/>
        </w:rPr>
        <w:t>.</w:t>
      </w:r>
    </w:p>
    <w:p w14:paraId="447B3F6D" w14:textId="40A49829" w:rsidR="00157AAA" w:rsidRPr="00AE62F6" w:rsidRDefault="006C1BE5">
      <w:pPr>
        <w:numPr>
          <w:ilvl w:val="12"/>
          <w:numId w:val="0"/>
        </w:numPr>
        <w:tabs>
          <w:tab w:val="left" w:pos="1800"/>
          <w:tab w:val="left" w:pos="2520"/>
          <w:tab w:val="left" w:pos="3240"/>
          <w:tab w:val="left" w:pos="3960"/>
          <w:tab w:val="left" w:pos="4680"/>
          <w:tab w:val="left" w:pos="5400"/>
          <w:tab w:val="left" w:pos="6120"/>
          <w:tab w:val="left" w:pos="6840"/>
          <w:tab w:val="left" w:pos="7560"/>
          <w:tab w:val="left" w:pos="8280"/>
          <w:tab w:val="left" w:pos="9000"/>
        </w:tabs>
        <w:ind w:left="630"/>
        <w:rPr>
          <w:szCs w:val="24"/>
        </w:rPr>
      </w:pPr>
      <w:r w:rsidRPr="00AE62F6">
        <w:rPr>
          <w:szCs w:val="24"/>
        </w:rPr>
        <w:t xml:space="preserve">Qualification requirements for Bidders </w:t>
      </w:r>
      <w:r w:rsidR="00AE62F6" w:rsidRPr="00AE62F6">
        <w:rPr>
          <w:szCs w:val="24"/>
        </w:rPr>
        <w:t xml:space="preserve">stipulated in the RFB - Section III – Evaluation and Qualification Criteria </w:t>
      </w:r>
      <w:r w:rsidRPr="00AE62F6">
        <w:rPr>
          <w:szCs w:val="24"/>
        </w:rPr>
        <w:t>are:</w:t>
      </w:r>
    </w:p>
    <w:p w14:paraId="473D1D90" w14:textId="77777777" w:rsidR="00157AAA" w:rsidRDefault="006C1BE5">
      <w:pPr>
        <w:numPr>
          <w:ilvl w:val="12"/>
          <w:numId w:val="0"/>
        </w:numPr>
        <w:tabs>
          <w:tab w:val="left" w:pos="1800"/>
          <w:tab w:val="left" w:pos="2520"/>
          <w:tab w:val="left" w:pos="3240"/>
          <w:tab w:val="left" w:pos="3960"/>
          <w:tab w:val="left" w:pos="4680"/>
          <w:tab w:val="left" w:pos="5400"/>
          <w:tab w:val="left" w:pos="6120"/>
          <w:tab w:val="left" w:pos="6840"/>
          <w:tab w:val="left" w:pos="7560"/>
          <w:tab w:val="left" w:pos="8280"/>
          <w:tab w:val="left" w:pos="9000"/>
        </w:tabs>
        <w:ind w:left="630"/>
      </w:pPr>
      <w:r w:rsidRPr="005F1821">
        <w:rPr>
          <w:b/>
          <w:bCs/>
        </w:rPr>
        <w:t>(</w:t>
      </w:r>
      <w:proofErr w:type="spellStart"/>
      <w:r w:rsidRPr="005F1821">
        <w:rPr>
          <w:b/>
          <w:bCs/>
        </w:rPr>
        <w:t>i</w:t>
      </w:r>
      <w:proofErr w:type="spellEnd"/>
      <w:r w:rsidRPr="005F1821">
        <w:rPr>
          <w:b/>
          <w:bCs/>
        </w:rPr>
        <w:t>)</w:t>
      </w:r>
      <w:r>
        <w:tab/>
        <w:t>Experience</w:t>
      </w:r>
    </w:p>
    <w:p w14:paraId="0EA4011F" w14:textId="59C02549" w:rsidR="00157AAA" w:rsidRDefault="006C1BE5" w:rsidP="00D530D5">
      <w:pPr>
        <w:pStyle w:val="ListParagraph"/>
        <w:numPr>
          <w:ilvl w:val="0"/>
          <w:numId w:val="122"/>
        </w:numPr>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rPr>
          <w:sz w:val="28"/>
        </w:rPr>
      </w:pPr>
      <w:r w:rsidRPr="00984F71">
        <w:rPr>
          <w:szCs w:val="22"/>
        </w:rPr>
        <w:t xml:space="preserve">Experience </w:t>
      </w:r>
      <w:r w:rsidRPr="00984F71">
        <w:t xml:space="preserve">implementing similar </w:t>
      </w:r>
      <w:r w:rsidR="007511A0" w:rsidRPr="00F60631">
        <w:rPr>
          <w:b/>
          <w:szCs w:val="22"/>
        </w:rPr>
        <w:t xml:space="preserve">Single </w:t>
      </w:r>
      <w:r w:rsidR="005B1879" w:rsidRPr="00F60631">
        <w:rPr>
          <w:b/>
          <w:szCs w:val="22"/>
        </w:rPr>
        <w:t>W</w:t>
      </w:r>
      <w:r w:rsidR="007511A0" w:rsidRPr="00F60631">
        <w:rPr>
          <w:b/>
          <w:szCs w:val="22"/>
        </w:rPr>
        <w:t>indow</w:t>
      </w:r>
      <w:r w:rsidR="005B1879" w:rsidRPr="00F60631">
        <w:rPr>
          <w:szCs w:val="22"/>
        </w:rPr>
        <w:t xml:space="preserve"> and</w:t>
      </w:r>
      <w:r w:rsidR="007511A0" w:rsidRPr="00F60631">
        <w:rPr>
          <w:color w:val="FF0000"/>
          <w:szCs w:val="22"/>
        </w:rPr>
        <w:t xml:space="preserve"> </w:t>
      </w:r>
      <w:r w:rsidR="007511A0" w:rsidRPr="00F60631">
        <w:rPr>
          <w:b/>
          <w:szCs w:val="22"/>
        </w:rPr>
        <w:t>Customs</w:t>
      </w:r>
      <w:r w:rsidR="007511A0" w:rsidRPr="00984F71">
        <w:rPr>
          <w:b/>
          <w:szCs w:val="22"/>
        </w:rPr>
        <w:t xml:space="preserve"> Automated </w:t>
      </w:r>
      <w:r w:rsidRPr="00984F71">
        <w:rPr>
          <w:szCs w:val="22"/>
        </w:rPr>
        <w:t>Information System contracts</w:t>
      </w:r>
      <w:r w:rsidR="005B1879" w:rsidRPr="00984F71">
        <w:rPr>
          <w:szCs w:val="22"/>
        </w:rPr>
        <w:t>,</w:t>
      </w:r>
      <w:r w:rsidRPr="00984F71">
        <w:rPr>
          <w:szCs w:val="22"/>
        </w:rPr>
        <w:t xml:space="preserve"> </w:t>
      </w:r>
      <w:r>
        <w:rPr>
          <w:szCs w:val="22"/>
        </w:rPr>
        <w:t xml:space="preserve">in the role of prime supplier, management </w:t>
      </w:r>
      <w:r w:rsidRPr="00C43945">
        <w:rPr>
          <w:szCs w:val="22"/>
        </w:rPr>
        <w:lastRenderedPageBreak/>
        <w:t xml:space="preserve">contractor, JV </w:t>
      </w:r>
      <w:r w:rsidR="00FF1DBA" w:rsidRPr="00C43945">
        <w:rPr>
          <w:b/>
          <w:bCs/>
          <w:szCs w:val="22"/>
        </w:rPr>
        <w:t>Lead</w:t>
      </w:r>
      <w:r w:rsidR="00FF1DBA" w:rsidRPr="00C43945">
        <w:rPr>
          <w:szCs w:val="22"/>
        </w:rPr>
        <w:t xml:space="preserve"> </w:t>
      </w:r>
      <w:r w:rsidRPr="00C43945">
        <w:rPr>
          <w:szCs w:val="22"/>
        </w:rPr>
        <w:t>member,</w:t>
      </w:r>
      <w:r>
        <w:rPr>
          <w:szCs w:val="22"/>
        </w:rPr>
        <w:t xml:space="preserve"> or subcontractor for at least the last </w:t>
      </w:r>
      <w:r>
        <w:rPr>
          <w:b/>
          <w:szCs w:val="22"/>
        </w:rPr>
        <w:t>five years (2019, 2020, 2021, 2022</w:t>
      </w:r>
      <w:r w:rsidR="003033DF">
        <w:rPr>
          <w:b/>
          <w:szCs w:val="22"/>
        </w:rPr>
        <w:t>, 2023</w:t>
      </w:r>
      <w:r>
        <w:rPr>
          <w:b/>
          <w:szCs w:val="22"/>
        </w:rPr>
        <w:t>)</w:t>
      </w:r>
      <w:r>
        <w:rPr>
          <w:szCs w:val="22"/>
        </w:rPr>
        <w:t xml:space="preserve"> prior to the applications submission deadline.</w:t>
      </w:r>
    </w:p>
    <w:p w14:paraId="44CBB3A4" w14:textId="77777777" w:rsidR="00157AAA" w:rsidRDefault="00157AAA">
      <w:pPr>
        <w:pStyle w:val="ListParagraph"/>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ind w:left="1354"/>
        <w:rPr>
          <w:sz w:val="10"/>
          <w:szCs w:val="10"/>
        </w:rPr>
      </w:pPr>
    </w:p>
    <w:p w14:paraId="55B768F4" w14:textId="3B917C02" w:rsidR="00157AAA" w:rsidRPr="00984F71" w:rsidRDefault="006C1BE5" w:rsidP="00D530D5">
      <w:pPr>
        <w:pStyle w:val="ListParagraph"/>
        <w:numPr>
          <w:ilvl w:val="0"/>
          <w:numId w:val="122"/>
        </w:numPr>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rPr>
          <w:szCs w:val="24"/>
        </w:rPr>
      </w:pPr>
      <w:r w:rsidRPr="00984F71">
        <w:rPr>
          <w:szCs w:val="24"/>
        </w:rPr>
        <w:t>Participation as a prime supplier, management contractor, JV</w:t>
      </w:r>
      <w:r w:rsidRPr="00984F71">
        <w:rPr>
          <w:rStyle w:val="FootnoteReference"/>
          <w:sz w:val="24"/>
          <w:szCs w:val="24"/>
        </w:rPr>
        <w:footnoteReference w:id="3"/>
      </w:r>
      <w:r w:rsidRPr="00984F71">
        <w:rPr>
          <w:szCs w:val="24"/>
        </w:rPr>
        <w:t xml:space="preserve"> member, sub-contractor, in at least one (1) contract within the last </w:t>
      </w:r>
      <w:r w:rsidRPr="00984F71">
        <w:rPr>
          <w:b/>
          <w:szCs w:val="24"/>
        </w:rPr>
        <w:t>five (5) years</w:t>
      </w:r>
      <w:r w:rsidRPr="00984F71">
        <w:rPr>
          <w:szCs w:val="24"/>
        </w:rPr>
        <w:t xml:space="preserve">, with a value of at </w:t>
      </w:r>
      <w:r w:rsidRPr="00194EE0">
        <w:rPr>
          <w:szCs w:val="24"/>
        </w:rPr>
        <w:t xml:space="preserve">least </w:t>
      </w:r>
      <w:r w:rsidR="00BA05F6" w:rsidRPr="00194EE0">
        <w:rPr>
          <w:b/>
          <w:bCs/>
          <w:szCs w:val="24"/>
        </w:rPr>
        <w:t>2.700.000,00 EUR (two million seven hundred thousand EUR)</w:t>
      </w:r>
      <w:r w:rsidR="00F60631" w:rsidRPr="00194EE0">
        <w:rPr>
          <w:b/>
          <w:bCs/>
          <w:szCs w:val="24"/>
        </w:rPr>
        <w:t>,</w:t>
      </w:r>
      <w:r w:rsidR="00BA05F6" w:rsidRPr="00194EE0">
        <w:rPr>
          <w:szCs w:val="24"/>
        </w:rPr>
        <w:t xml:space="preserve"> </w:t>
      </w:r>
      <w:r w:rsidRPr="00194EE0">
        <w:rPr>
          <w:szCs w:val="24"/>
        </w:rPr>
        <w:t>that have been successfully</w:t>
      </w:r>
      <w:r w:rsidRPr="00984F71">
        <w:rPr>
          <w:szCs w:val="24"/>
        </w:rPr>
        <w:t xml:space="preserve"> and substantially completed and that are </w:t>
      </w:r>
      <w:proofErr w:type="gramStart"/>
      <w:r w:rsidRPr="00984F71">
        <w:rPr>
          <w:b/>
          <w:szCs w:val="24"/>
        </w:rPr>
        <w:t xml:space="preserve">similar </w:t>
      </w:r>
      <w:r w:rsidRPr="00984F71">
        <w:rPr>
          <w:szCs w:val="24"/>
        </w:rPr>
        <w:t>to</w:t>
      </w:r>
      <w:proofErr w:type="gramEnd"/>
      <w:r w:rsidRPr="00984F71">
        <w:rPr>
          <w:szCs w:val="24"/>
        </w:rPr>
        <w:t xml:space="preserve"> the proposed </w:t>
      </w:r>
      <w:r w:rsidRPr="00984F71">
        <w:rPr>
          <w:b/>
          <w:szCs w:val="24"/>
        </w:rPr>
        <w:t xml:space="preserve">NSW </w:t>
      </w:r>
      <w:r w:rsidRPr="00984F71">
        <w:rPr>
          <w:szCs w:val="24"/>
        </w:rPr>
        <w:t>Information System.</w:t>
      </w:r>
    </w:p>
    <w:p w14:paraId="1E91AA9E" w14:textId="77777777" w:rsidR="00157AAA" w:rsidRPr="00984F71" w:rsidRDefault="00157AAA">
      <w:pPr>
        <w:pStyle w:val="ListParagraph"/>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ind w:left="1354"/>
        <w:rPr>
          <w:sz w:val="10"/>
          <w:szCs w:val="10"/>
        </w:rPr>
      </w:pPr>
    </w:p>
    <w:p w14:paraId="554B2AAA" w14:textId="5B969F11" w:rsidR="00157AAA" w:rsidRPr="00984F71" w:rsidRDefault="00DD7B18" w:rsidP="00D530D5">
      <w:pPr>
        <w:pStyle w:val="ListParagraph"/>
        <w:numPr>
          <w:ilvl w:val="0"/>
          <w:numId w:val="122"/>
        </w:numPr>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pPr>
      <w:r w:rsidRPr="00984F71">
        <w:t xml:space="preserve">Similar project will be considered as the project similar in size </w:t>
      </w:r>
      <w:r w:rsidR="00712B5C" w:rsidRPr="00F60631">
        <w:rPr>
          <w:bCs/>
        </w:rPr>
        <w:t>and</w:t>
      </w:r>
      <w:r w:rsidR="00712B5C">
        <w:t xml:space="preserve"> </w:t>
      </w:r>
      <w:r w:rsidRPr="00984F71">
        <w:t>with the following scope: (a) design, development and implementation</w:t>
      </w:r>
      <w:r w:rsidR="006F3B17">
        <w:t xml:space="preserve"> of</w:t>
      </w:r>
      <w:r w:rsidRPr="00984F71">
        <w:t xml:space="preserve"> </w:t>
      </w:r>
      <w:r w:rsidR="002A3BDD" w:rsidRPr="002A3BDD">
        <w:t>Single Window and Customs Automated Information System</w:t>
      </w:r>
      <w:r w:rsidR="007B5320">
        <w:t xml:space="preserve">, (b) </w:t>
      </w:r>
      <w:r w:rsidR="007B5320" w:rsidRPr="007B5320">
        <w:t>design, development and implementation of Trader Portal and / or E-customs Management Systems</w:t>
      </w:r>
      <w:r w:rsidR="002A3BDD">
        <w:t xml:space="preserve"> </w:t>
      </w:r>
      <w:r w:rsidRPr="00984F71">
        <w:t>and (</w:t>
      </w:r>
      <w:r w:rsidR="007B5320">
        <w:t>c</w:t>
      </w:r>
      <w:r w:rsidRPr="00984F71">
        <w:t xml:space="preserve">) required hardware to support the NSW software solution </w:t>
      </w:r>
      <w:r w:rsidR="006C1BE5" w:rsidRPr="00984F71">
        <w:t xml:space="preserve">- (references as “subcontractors” will be allowed for the bidders or JV partners). </w:t>
      </w:r>
    </w:p>
    <w:p w14:paraId="3FB0AF99" w14:textId="77777777" w:rsidR="00157AAA" w:rsidRDefault="00157AAA">
      <w:pPr>
        <w:pStyle w:val="ListParagraph"/>
        <w:tabs>
          <w:tab w:val="left" w:pos="1800"/>
          <w:tab w:val="left" w:pos="2520"/>
          <w:tab w:val="left" w:pos="3240"/>
          <w:tab w:val="left" w:pos="3960"/>
          <w:tab w:val="left" w:pos="4680"/>
          <w:tab w:val="left" w:pos="5400"/>
          <w:tab w:val="left" w:pos="6120"/>
          <w:tab w:val="left" w:pos="6840"/>
          <w:tab w:val="left" w:pos="7560"/>
          <w:tab w:val="left" w:pos="8280"/>
          <w:tab w:val="left" w:pos="9000"/>
        </w:tabs>
        <w:spacing w:before="240"/>
        <w:ind w:left="1354"/>
        <w:rPr>
          <w:sz w:val="10"/>
          <w:szCs w:val="10"/>
        </w:rPr>
      </w:pPr>
    </w:p>
    <w:p w14:paraId="57B461D8" w14:textId="1E85EB52" w:rsidR="00FC0EAC" w:rsidRPr="00FC0EAC" w:rsidRDefault="006C1BE5" w:rsidP="00D530D5">
      <w:pPr>
        <w:pStyle w:val="ListParagraph"/>
        <w:numPr>
          <w:ilvl w:val="0"/>
          <w:numId w:val="122"/>
        </w:numPr>
        <w:tabs>
          <w:tab w:val="left" w:pos="1800"/>
          <w:tab w:val="left" w:pos="2520"/>
          <w:tab w:val="left" w:pos="3240"/>
          <w:tab w:val="left" w:pos="3960"/>
          <w:tab w:val="left" w:pos="4680"/>
          <w:tab w:val="left" w:pos="5400"/>
          <w:tab w:val="left" w:pos="6120"/>
          <w:tab w:val="left" w:pos="6840"/>
          <w:tab w:val="left" w:pos="7560"/>
          <w:tab w:val="left" w:pos="8280"/>
          <w:tab w:val="left" w:pos="9000"/>
        </w:tabs>
        <w:spacing w:after="0"/>
        <w:ind w:left="1349" w:hanging="357"/>
      </w:pPr>
      <w:r>
        <w:rPr>
          <w:iCs/>
          <w:szCs w:val="22"/>
        </w:rPr>
        <w:t>The successfully completed similar contracts shall be documented by a copy of an Operational acceptance certificate (or equivalent documentation such as reference letters, satisfactory to the Purchaser) issued by the purchaser(s) of similar contracts.</w:t>
      </w:r>
    </w:p>
    <w:p w14:paraId="12A15D51" w14:textId="7E4AF870" w:rsidR="00FC0EAC" w:rsidRPr="00FC0EAC" w:rsidRDefault="00FC0EAC" w:rsidP="00FC0EAC">
      <w:pPr>
        <w:tabs>
          <w:tab w:val="left" w:pos="1800"/>
          <w:tab w:val="left" w:pos="2520"/>
          <w:tab w:val="left" w:pos="3240"/>
          <w:tab w:val="left" w:pos="3960"/>
          <w:tab w:val="left" w:pos="4680"/>
          <w:tab w:val="left" w:pos="5400"/>
          <w:tab w:val="left" w:pos="6120"/>
          <w:tab w:val="left" w:pos="6840"/>
          <w:tab w:val="left" w:pos="7560"/>
          <w:tab w:val="left" w:pos="8280"/>
          <w:tab w:val="left" w:pos="9000"/>
        </w:tabs>
        <w:spacing w:after="0"/>
        <w:rPr>
          <w:sz w:val="10"/>
          <w:szCs w:val="10"/>
        </w:rPr>
      </w:pPr>
    </w:p>
    <w:p w14:paraId="79E5C1EC" w14:textId="186C3D1D" w:rsidR="00157AAA" w:rsidRDefault="00546A23" w:rsidP="00D530D5">
      <w:pPr>
        <w:pStyle w:val="ListParagraph"/>
        <w:numPr>
          <w:ilvl w:val="0"/>
          <w:numId w:val="122"/>
        </w:numPr>
        <w:tabs>
          <w:tab w:val="left" w:pos="1800"/>
          <w:tab w:val="left" w:pos="2520"/>
          <w:tab w:val="left" w:pos="3240"/>
          <w:tab w:val="left" w:pos="3960"/>
          <w:tab w:val="left" w:pos="4680"/>
          <w:tab w:val="left" w:pos="5400"/>
          <w:tab w:val="left" w:pos="6120"/>
          <w:tab w:val="left" w:pos="6840"/>
          <w:tab w:val="left" w:pos="7560"/>
          <w:tab w:val="left" w:pos="8280"/>
          <w:tab w:val="left" w:pos="9000"/>
        </w:tabs>
      </w:pPr>
      <w:r w:rsidRPr="00546A23">
        <w:t xml:space="preserve">Manufacturer’s authorization </w:t>
      </w:r>
      <w:r>
        <w:t xml:space="preserve">- </w:t>
      </w:r>
      <w:r w:rsidR="006C1BE5">
        <w:t>For all powered (active) hardware and/or software components of the Information System which the Bidder does not itself produce, by submission of documentary evidence in its Bid, the Bidder must establish to the Purchaser’s satisfaction that it is not prohibited to supply those components in the Purchaser’s country under the Contract(s) that may result from this procurement.</w:t>
      </w:r>
    </w:p>
    <w:p w14:paraId="4D50439B" w14:textId="77777777"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630" w:hanging="630"/>
        <w:rPr>
          <w:color w:val="000000"/>
          <w:spacing w:val="-2"/>
          <w:szCs w:val="24"/>
        </w:rPr>
      </w:pPr>
      <w:r>
        <w:rPr>
          <w:color w:val="000000"/>
          <w:spacing w:val="-2"/>
          <w:szCs w:val="24"/>
        </w:rPr>
        <w:tab/>
      </w:r>
      <w:r w:rsidRPr="005F1821">
        <w:rPr>
          <w:b/>
          <w:bCs/>
          <w:color w:val="000000"/>
          <w:spacing w:val="-2"/>
          <w:szCs w:val="24"/>
        </w:rPr>
        <w:t>(ii)</w:t>
      </w:r>
      <w:r>
        <w:rPr>
          <w:color w:val="000000"/>
          <w:spacing w:val="-2"/>
          <w:szCs w:val="24"/>
        </w:rPr>
        <w:tab/>
        <w:t>Financial capacity:</w:t>
      </w:r>
    </w:p>
    <w:p w14:paraId="1B3E811B" w14:textId="7B3B8840" w:rsidR="00157AAA" w:rsidRDefault="006C1BE5" w:rsidP="00D530D5">
      <w:pPr>
        <w:pStyle w:val="ListParagraph"/>
        <w:numPr>
          <w:ilvl w:val="0"/>
          <w:numId w:val="123"/>
        </w:num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rPr>
          <w:color w:val="000000"/>
          <w:spacing w:val="-2"/>
          <w:szCs w:val="24"/>
        </w:rPr>
      </w:pPr>
      <w:r>
        <w:rPr>
          <w:szCs w:val="24"/>
        </w:rPr>
        <w:t xml:space="preserve">Minimum average annual turnover </w:t>
      </w:r>
      <w:r w:rsidRPr="00194EE0">
        <w:rPr>
          <w:szCs w:val="24"/>
        </w:rPr>
        <w:t xml:space="preserve">of </w:t>
      </w:r>
      <w:r w:rsidR="00C30335" w:rsidRPr="00194EE0">
        <w:rPr>
          <w:b/>
          <w:bCs/>
          <w:szCs w:val="24"/>
        </w:rPr>
        <w:t>3.000.000,00 EUR</w:t>
      </w:r>
      <w:r w:rsidR="00C30335" w:rsidRPr="00F60631">
        <w:rPr>
          <w:b/>
          <w:bCs/>
          <w:szCs w:val="24"/>
        </w:rPr>
        <w:t xml:space="preserve"> (three million EUR)</w:t>
      </w:r>
      <w:r>
        <w:rPr>
          <w:szCs w:val="24"/>
        </w:rPr>
        <w:t xml:space="preserve">, calculated as total certified payments received for contracts in progress or completed, within the last </w:t>
      </w:r>
      <w:r>
        <w:rPr>
          <w:b/>
          <w:szCs w:val="24"/>
        </w:rPr>
        <w:t>three years (2021, 2022</w:t>
      </w:r>
      <w:r w:rsidR="0064687A">
        <w:rPr>
          <w:b/>
          <w:szCs w:val="24"/>
        </w:rPr>
        <w:t>,2023</w:t>
      </w:r>
      <w:r>
        <w:rPr>
          <w:b/>
          <w:szCs w:val="24"/>
        </w:rPr>
        <w:t>).</w:t>
      </w:r>
    </w:p>
    <w:p w14:paraId="47EB9C95" w14:textId="4DE32382" w:rsidR="00157AAA" w:rsidRPr="00FF1DBA" w:rsidRDefault="006C1BE5" w:rsidP="00194EE0">
      <w:pPr>
        <w:pStyle w:val="ListParagraph"/>
        <w:numPr>
          <w:ilvl w:val="0"/>
          <w:numId w:val="123"/>
        </w:numPr>
        <w:rPr>
          <w:color w:val="000000"/>
          <w:spacing w:val="-2"/>
          <w:szCs w:val="24"/>
        </w:rPr>
      </w:pPr>
      <w:r>
        <w:rPr>
          <w:color w:val="000000"/>
          <w:spacing w:val="-2"/>
          <w:szCs w:val="24"/>
        </w:rPr>
        <w:t xml:space="preserve">The Bidder must demonstrate access to, or availability of, financial resources such as liquid assets, unencumbered real assets, lines of credit, and other financial means, other than any contractual advance payments to meet the following cash-flow requirement: </w:t>
      </w:r>
      <w:r w:rsidR="00194EE0" w:rsidRPr="00FF1DBA">
        <w:rPr>
          <w:b/>
          <w:color w:val="000000"/>
          <w:spacing w:val="-2"/>
          <w:szCs w:val="24"/>
        </w:rPr>
        <w:t>45</w:t>
      </w:r>
      <w:r w:rsidRPr="00FF1DBA">
        <w:rPr>
          <w:b/>
          <w:color w:val="000000"/>
          <w:spacing w:val="-2"/>
          <w:szCs w:val="24"/>
        </w:rPr>
        <w:t>0,000.00 EUR (</w:t>
      </w:r>
      <w:r w:rsidR="00194EE0" w:rsidRPr="00FF1DBA">
        <w:rPr>
          <w:b/>
          <w:color w:val="000000"/>
          <w:spacing w:val="-2"/>
          <w:szCs w:val="24"/>
        </w:rPr>
        <w:t xml:space="preserve">Four hundred and fifty thousand </w:t>
      </w:r>
      <w:r w:rsidRPr="00FF1DBA">
        <w:rPr>
          <w:b/>
          <w:color w:val="000000"/>
          <w:spacing w:val="-2"/>
          <w:szCs w:val="24"/>
        </w:rPr>
        <w:t>EUR)</w:t>
      </w:r>
      <w:r w:rsidRPr="00FF1DBA">
        <w:rPr>
          <w:color w:val="000000"/>
          <w:spacing w:val="-2"/>
          <w:szCs w:val="24"/>
        </w:rPr>
        <w:t>.</w:t>
      </w:r>
    </w:p>
    <w:p w14:paraId="34E2EDAD" w14:textId="77777777" w:rsidR="00157AAA" w:rsidRDefault="00157AAA">
      <w:pPr>
        <w:pStyle w:val="ListParagraph"/>
        <w:ind w:left="1354"/>
        <w:rPr>
          <w:color w:val="000000"/>
          <w:spacing w:val="-2"/>
          <w:sz w:val="10"/>
          <w:szCs w:val="10"/>
        </w:rPr>
      </w:pPr>
    </w:p>
    <w:p w14:paraId="00C4CEC2" w14:textId="77777777" w:rsidR="00157AAA" w:rsidRDefault="006C1BE5" w:rsidP="00D530D5">
      <w:pPr>
        <w:pStyle w:val="ListParagraph"/>
        <w:numPr>
          <w:ilvl w:val="0"/>
          <w:numId w:val="123"/>
        </w:num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rPr>
          <w:color w:val="000000"/>
          <w:spacing w:val="-2"/>
          <w:szCs w:val="24"/>
        </w:rPr>
      </w:pPr>
      <w:r>
        <w:t>If the bidder is a Joint Venture, all partners combined must meet the qualifications requirement and all partners of the Joint Venture shall be liable jointly and severally for the execution of the Contract. For the partner in charge (leader of the Joint Venture) the average annual turnover must not be less than fifty percent (50%) of the total required annual turnover and for each other partners the average annual turnover must not be less than twenty five percent (25%) of the total.</w:t>
      </w:r>
    </w:p>
    <w:p w14:paraId="193C91D7" w14:textId="77777777" w:rsidR="00157AAA" w:rsidRDefault="00157AAA">
      <w:pPr>
        <w:pStyle w:val="ListParagraph"/>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after="200"/>
        <w:ind w:left="1354"/>
        <w:rPr>
          <w:color w:val="000000"/>
          <w:spacing w:val="-2"/>
          <w:sz w:val="10"/>
          <w:szCs w:val="10"/>
        </w:rPr>
      </w:pPr>
    </w:p>
    <w:p w14:paraId="43B3A2C6" w14:textId="77777777" w:rsidR="00157AAA" w:rsidRDefault="006C1BE5">
      <w:pPr>
        <w:numPr>
          <w:ilvl w:val="12"/>
          <w:numId w:val="0"/>
        </w:numPr>
        <w:tabs>
          <w:tab w:val="left" w:pos="1800"/>
          <w:tab w:val="left" w:pos="2520"/>
          <w:tab w:val="left" w:pos="3240"/>
          <w:tab w:val="left" w:pos="3960"/>
          <w:tab w:val="left" w:pos="4680"/>
          <w:tab w:val="left" w:pos="5400"/>
          <w:tab w:val="left" w:pos="6120"/>
          <w:tab w:val="left" w:pos="6840"/>
          <w:tab w:val="left" w:pos="7560"/>
          <w:tab w:val="left" w:pos="8280"/>
          <w:tab w:val="left" w:pos="9000"/>
        </w:tabs>
        <w:ind w:left="720" w:hanging="720"/>
      </w:pPr>
      <w:r>
        <w:tab/>
      </w:r>
      <w:r w:rsidRPr="005F1821">
        <w:rPr>
          <w:b/>
          <w:bCs/>
        </w:rPr>
        <w:t>(iii)</w:t>
      </w:r>
      <w:r>
        <w:tab/>
        <w:t>Technical Capacity</w:t>
      </w:r>
    </w:p>
    <w:p w14:paraId="5D7857B6" w14:textId="77777777" w:rsidR="00157AAA" w:rsidRDefault="006C1BE5">
      <w:r>
        <w:t xml:space="preserve">The team shall consist of a core team made of key experts with the qualifications and skills defined below and non-key experts, as needed. The Bidder is obliged to ensure adequate staff in terms of expertise and time allocation, as well as needed equipment </w:t>
      </w:r>
      <w:proofErr w:type="gramStart"/>
      <w:r>
        <w:t>in order to</w:t>
      </w:r>
      <w:proofErr w:type="gramEnd"/>
      <w:r>
        <w:t xml:space="preserve"> complete the activities required under the scope of work and to achieve the objectives of this Contract in terms of time, costs, and quality.</w:t>
      </w:r>
    </w:p>
    <w:p w14:paraId="6CC9D81A" w14:textId="77777777" w:rsidR="00157AAA" w:rsidRDefault="006C1BE5">
      <w:r>
        <w:t>The Bidders are encouraged to hire/use local experts for some of the positions below either as individual experts (or from local firms, as sub-</w:t>
      </w:r>
      <w:proofErr w:type="gramStart"/>
      <w:r>
        <w:t>consultants</w:t>
      </w:r>
      <w:proofErr w:type="gramEnd"/>
      <w:r>
        <w:t xml:space="preserve"> or JV members). The Bidders should pay attention to the need to ensure the active participation of local professional skills, and to provide a suitable mix of international and local staff in the team. The team</w:t>
      </w:r>
      <w:proofErr w:type="gramStart"/>
      <w:r>
        <w:t>, as a whole, shall</w:t>
      </w:r>
      <w:proofErr w:type="gramEnd"/>
      <w:r>
        <w:t xml:space="preserve"> include experts familiar with North Macedonia' regulations. </w:t>
      </w:r>
    </w:p>
    <w:p w14:paraId="1674485F" w14:textId="4AD4551F" w:rsidR="00157AAA" w:rsidRDefault="006C1BE5" w:rsidP="00522D75">
      <w:pPr>
        <w:pStyle w:val="ListParagraph"/>
        <w:numPr>
          <w:ilvl w:val="0"/>
          <w:numId w:val="124"/>
        </w:numPr>
        <w:ind w:left="709" w:hanging="425"/>
      </w:pPr>
      <w:r>
        <w:t xml:space="preserve">One (1) Project Manager - At least a </w:t>
      </w:r>
      <w:proofErr w:type="gramStart"/>
      <w:r w:rsidR="007B5320" w:rsidRPr="007B5320">
        <w:t xml:space="preserve">Bachelor’s </w:t>
      </w:r>
      <w:r>
        <w:t>Degree in Management / Engineering</w:t>
      </w:r>
      <w:proofErr w:type="gramEnd"/>
      <w:r>
        <w:t xml:space="preserve"> / information technologies / Finance or Trade / Law / Economics / other relevant field with minimum 10 years’ professional experience in project management of ICT for public sector organizations, holding a valid certification of PMP (Project Management Professional, PMI institute</w:t>
      </w:r>
      <w:r w:rsidR="00643AC9">
        <w:t xml:space="preserve"> or SCRUM Master</w:t>
      </w:r>
      <w:r>
        <w:t xml:space="preserve">) or equivalent. </w:t>
      </w:r>
      <w:r w:rsidR="00ED3F29">
        <w:t xml:space="preserve">ITIL (Information Technology Infrastructure Library) </w:t>
      </w:r>
      <w:r w:rsidR="00ED3F29" w:rsidRPr="00ED3F29">
        <w:t>certification will be considered an advantage</w:t>
      </w:r>
      <w:r w:rsidR="00ED3F29">
        <w:t xml:space="preserve">. </w:t>
      </w:r>
      <w:r>
        <w:t xml:space="preserve">Experience as Project Manager/Team Leader of at least two (2) ICT projects for public sector organizations (letter of reference signed by Client is obligatory) and experience in customs system and other trade related agencies. Proven experience in planning and supporting capacity building activities and change management. Experience in Quality assurance/Quality Control (QA/QC) for ICT projects. Proven experience in risk analyses. The Project Manager shall be available during the whole project timeline due to the complexity and number of stakeholders and services to be implemented during the project. </w:t>
      </w:r>
    </w:p>
    <w:p w14:paraId="5F11E404" w14:textId="3B406D4F" w:rsidR="00522D75" w:rsidRPr="00522D75" w:rsidRDefault="00522D75" w:rsidP="00F60631">
      <w:pPr>
        <w:numPr>
          <w:ilvl w:val="0"/>
          <w:numId w:val="124"/>
        </w:numPr>
        <w:ind w:left="709" w:hanging="425"/>
      </w:pPr>
      <w:r w:rsidRPr="00522D75">
        <w:t xml:space="preserve">One (1) Software Architect / Deputy Project Manager - At least a </w:t>
      </w:r>
      <w:proofErr w:type="gramStart"/>
      <w:r>
        <w:t>B</w:t>
      </w:r>
      <w:r w:rsidRPr="00522D75">
        <w:t>achelor</w:t>
      </w:r>
      <w:proofErr w:type="gramEnd"/>
      <w:r w:rsidRPr="00522D75">
        <w:t xml:space="preserve"> degree in an ICT related discipline (information technologies / electronics / communications / other relevant field), holding a valid certification PMP (PMI institute or SCRUM Master) or equivalent, with at least 10 years of professional experience in developing or implementing strategic information systems plans for public sector organizations and complex enterprise software systems implementation. Extensive knowledge </w:t>
      </w:r>
      <w:proofErr w:type="gramStart"/>
      <w:r w:rsidRPr="00522D75">
        <w:t>in</w:t>
      </w:r>
      <w:proofErr w:type="gramEnd"/>
      <w:r w:rsidRPr="00522D75">
        <w:t xml:space="preserve"> informatics management and current technology trends would be desirable. The Deputy Project Manager shall be available during the whole project timeline due to the complexity and number of stakeholders and services to be implemented during the project.</w:t>
      </w:r>
    </w:p>
    <w:p w14:paraId="06091FC9" w14:textId="2D8BDFEA" w:rsidR="00157AAA" w:rsidRPr="00F60631" w:rsidRDefault="00EE69CE" w:rsidP="00522D75">
      <w:pPr>
        <w:pStyle w:val="ListParagraph"/>
        <w:numPr>
          <w:ilvl w:val="0"/>
          <w:numId w:val="124"/>
        </w:numPr>
        <w:ind w:left="709" w:hanging="425"/>
        <w:contextualSpacing w:val="0"/>
      </w:pPr>
      <w:r w:rsidRPr="00F60631">
        <w:t>Two (2)</w:t>
      </w:r>
      <w:r>
        <w:t xml:space="preserve"> </w:t>
      </w:r>
      <w:r w:rsidR="006C1BE5">
        <w:t>Business Analyst</w:t>
      </w:r>
      <w:r>
        <w:t>s</w:t>
      </w:r>
      <w:r w:rsidR="006C1BE5">
        <w:t xml:space="preserve"> - At least a </w:t>
      </w:r>
      <w:proofErr w:type="gramStart"/>
      <w:r w:rsidR="006C1BE5">
        <w:t>Bachelor</w:t>
      </w:r>
      <w:proofErr w:type="gramEnd"/>
      <w:r w:rsidR="006C1BE5">
        <w:t xml:space="preserve"> degree in an ICT related discipline (information technologies / other relevant field), with at least 10 years of professional experience in developing or implementing information systems </w:t>
      </w:r>
      <w:r w:rsidR="00892B26" w:rsidRPr="00F60631">
        <w:t>for</w:t>
      </w:r>
      <w:r w:rsidR="00892B26">
        <w:t xml:space="preserve"> </w:t>
      </w:r>
      <w:r w:rsidR="006C1BE5">
        <w:t>public sector organizations</w:t>
      </w:r>
      <w:r w:rsidR="008E2C43">
        <w:t xml:space="preserve"> </w:t>
      </w:r>
      <w:r w:rsidR="008E2C43" w:rsidRPr="00F60631">
        <w:t>and</w:t>
      </w:r>
      <w:r w:rsidR="006C1BE5">
        <w:t xml:space="preserve"> complex enterprise software systems implementation</w:t>
      </w:r>
      <w:r w:rsidR="00570149">
        <w:t>.</w:t>
      </w:r>
      <w:r w:rsidR="00F97394">
        <w:t xml:space="preserve"> </w:t>
      </w:r>
      <w:r w:rsidRPr="00F60631">
        <w:t>At least one business analyst must</w:t>
      </w:r>
      <w:r w:rsidR="0064687A" w:rsidRPr="00F60631">
        <w:t xml:space="preserve"> </w:t>
      </w:r>
      <w:r w:rsidRPr="00F60631">
        <w:t xml:space="preserve">have experience with CERTEX technical specifications in </w:t>
      </w:r>
      <w:proofErr w:type="gramStart"/>
      <w:r w:rsidRPr="00F60631">
        <w:t>EU</w:t>
      </w:r>
      <w:proofErr w:type="gramEnd"/>
      <w:r w:rsidR="00676B60" w:rsidRPr="00F60631">
        <w:t>.</w:t>
      </w:r>
    </w:p>
    <w:p w14:paraId="27150922" w14:textId="1080969E" w:rsidR="00157AAA" w:rsidRDefault="006C1BE5" w:rsidP="00A61E8F">
      <w:pPr>
        <w:pStyle w:val="ListParagraph"/>
        <w:numPr>
          <w:ilvl w:val="0"/>
          <w:numId w:val="124"/>
        </w:numPr>
        <w:ind w:left="709" w:hanging="425"/>
        <w:contextualSpacing w:val="0"/>
      </w:pPr>
      <w:r>
        <w:t xml:space="preserve">One (1) specialist for the implementation of the </w:t>
      </w:r>
      <w:bookmarkStart w:id="0" w:name="_Hlk162898246"/>
      <w:r w:rsidR="004A6D9E" w:rsidRPr="00F60631">
        <w:t>Storage and Backup solution</w:t>
      </w:r>
      <w:bookmarkEnd w:id="0"/>
      <w:r w:rsidR="004A6D9E">
        <w:t xml:space="preserve"> </w:t>
      </w:r>
      <w:r>
        <w:t xml:space="preserve">- at least a </w:t>
      </w:r>
      <w:proofErr w:type="gramStart"/>
      <w:r>
        <w:t>Bachelor</w:t>
      </w:r>
      <w:proofErr w:type="gramEnd"/>
      <w:r>
        <w:t xml:space="preserve"> degree in an ICT related discipline (information technologies / other </w:t>
      </w:r>
      <w:r>
        <w:lastRenderedPageBreak/>
        <w:t>relevant field) holding the architect level of certification with a minimum of 7 years of professional experience.</w:t>
      </w:r>
    </w:p>
    <w:p w14:paraId="0C8ADC97" w14:textId="12157B3C" w:rsidR="00A52EE5" w:rsidRDefault="00A52EE5" w:rsidP="00F60631">
      <w:pPr>
        <w:numPr>
          <w:ilvl w:val="0"/>
          <w:numId w:val="124"/>
        </w:numPr>
        <w:ind w:left="709" w:hanging="425"/>
      </w:pPr>
      <w:r w:rsidRPr="00A52EE5">
        <w:t xml:space="preserve">One (1) specialist for the implementation of the Firewall solution - at least a </w:t>
      </w:r>
      <w:proofErr w:type="gramStart"/>
      <w:r w:rsidRPr="00A52EE5">
        <w:t>Bachelor</w:t>
      </w:r>
      <w:proofErr w:type="gramEnd"/>
      <w:r w:rsidRPr="00A52EE5">
        <w:t xml:space="preserve"> degree in an ICT related discipline (information technologies / electronics / communications / other relevant field) holding the highest expert level of certification with a minimum of 7 years of professional experience.</w:t>
      </w:r>
    </w:p>
    <w:p w14:paraId="6D0C3025" w14:textId="66697D63" w:rsidR="00157AAA" w:rsidRDefault="006C1BE5" w:rsidP="004A6D9E">
      <w:pPr>
        <w:pStyle w:val="ListParagraph"/>
        <w:numPr>
          <w:ilvl w:val="0"/>
          <w:numId w:val="124"/>
        </w:numPr>
        <w:ind w:left="709" w:hanging="425"/>
        <w:contextualSpacing w:val="0"/>
      </w:pPr>
      <w:r>
        <w:t xml:space="preserve">Two (2) </w:t>
      </w:r>
      <w:r w:rsidR="00A0343C" w:rsidRPr="00A0343C">
        <w:t xml:space="preserve">Database </w:t>
      </w:r>
      <w:r>
        <w:t>specialists</w:t>
      </w:r>
      <w:r w:rsidR="00643AC9">
        <w:t xml:space="preserve">, </w:t>
      </w:r>
      <w:r>
        <w:t xml:space="preserve">with at least a </w:t>
      </w:r>
      <w:proofErr w:type="gramStart"/>
      <w:r>
        <w:t>Bachelor</w:t>
      </w:r>
      <w:proofErr w:type="gramEnd"/>
      <w:r>
        <w:t xml:space="preserve"> degree in an ICT related discipline (information technologies </w:t>
      </w:r>
      <w:r w:rsidR="00F60631">
        <w:t>/</w:t>
      </w:r>
      <w:r>
        <w:t xml:space="preserve"> other relevant field) and a minimum of 7 years of experience</w:t>
      </w:r>
      <w:r w:rsidR="00643AC9">
        <w:t xml:space="preserve"> for each specialist</w:t>
      </w:r>
      <w:r>
        <w:t>. Experience in the solutions with database system, workflow systems, application server and business intelligence.</w:t>
      </w:r>
      <w:r>
        <w:rPr>
          <w:rFonts w:eastAsia="Calibri"/>
          <w:sz w:val="22"/>
          <w:szCs w:val="22"/>
          <w:lang w:eastAsia="mk-MK"/>
        </w:rPr>
        <w:t xml:space="preserve"> </w:t>
      </w:r>
      <w:r w:rsidR="008E2C43" w:rsidRPr="00C22EBC">
        <w:rPr>
          <w:rFonts w:eastAsia="Calibri"/>
          <w:szCs w:val="22"/>
          <w:lang w:eastAsia="mk-MK"/>
        </w:rPr>
        <w:t>Professional</w:t>
      </w:r>
      <w:r w:rsidR="008E2C43" w:rsidRPr="00C22EBC">
        <w:rPr>
          <w:rFonts w:eastAsia="Calibri"/>
          <w:sz w:val="22"/>
          <w:szCs w:val="22"/>
          <w:lang w:eastAsia="mk-MK"/>
        </w:rPr>
        <w:t xml:space="preserve"> </w:t>
      </w:r>
      <w:r w:rsidR="008E2C43" w:rsidRPr="00C22EBC">
        <w:t>e</w:t>
      </w:r>
      <w:r w:rsidRPr="00C22EBC">
        <w:rPr>
          <w:lang w:val="mk-MK"/>
        </w:rPr>
        <w:t xml:space="preserve">xperience in </w:t>
      </w:r>
      <w:r w:rsidR="008E2C43" w:rsidRPr="00C22EBC">
        <w:t xml:space="preserve">implementing or </w:t>
      </w:r>
      <w:proofErr w:type="gramStart"/>
      <w:r w:rsidR="008E2C43" w:rsidRPr="00C22EBC">
        <w:t>support of</w:t>
      </w:r>
      <w:proofErr w:type="gramEnd"/>
      <w:r w:rsidR="008E2C43" w:rsidRPr="00C22EBC">
        <w:t xml:space="preserve"> information systems</w:t>
      </w:r>
      <w:r w:rsidR="008E2C43">
        <w:t xml:space="preserve"> </w:t>
      </w:r>
      <w:r>
        <w:rPr>
          <w:lang w:val="mk-MK"/>
        </w:rPr>
        <w:t xml:space="preserve">and technology </w:t>
      </w:r>
      <w:r>
        <w:t xml:space="preserve">for public sector organizations </w:t>
      </w:r>
      <w:r>
        <w:rPr>
          <w:lang w:val="mk-MK"/>
        </w:rPr>
        <w:t xml:space="preserve">is </w:t>
      </w:r>
      <w:r>
        <w:t xml:space="preserve">required.  </w:t>
      </w:r>
    </w:p>
    <w:p w14:paraId="079FF0A2" w14:textId="1154AF01" w:rsidR="00157AAA" w:rsidRDefault="006C1BE5" w:rsidP="00D530D5">
      <w:pPr>
        <w:pStyle w:val="ListParagraph"/>
        <w:numPr>
          <w:ilvl w:val="0"/>
          <w:numId w:val="124"/>
        </w:numPr>
        <w:ind w:left="709" w:hanging="425"/>
        <w:contextualSpacing w:val="0"/>
      </w:pPr>
      <w:r>
        <w:t>One (1) certified</w:t>
      </w:r>
      <w:r w:rsidR="00643AC9">
        <w:t xml:space="preserve"> specialist</w:t>
      </w:r>
      <w:r>
        <w:t xml:space="preserve"> with professional level for </w:t>
      </w:r>
      <w:proofErr w:type="gramStart"/>
      <w:r>
        <w:t>service oriented</w:t>
      </w:r>
      <w:proofErr w:type="gramEnd"/>
      <w:r>
        <w:t xml:space="preserve"> architecture - at least a Bachelor degree in an ICT related discipline (information technologies / other relevant field) with a minimum of 7 years of experience. Prior experience of working with enterprise systems and infrastructure. Experience in the systems and technology for public sector organizations is required.</w:t>
      </w:r>
    </w:p>
    <w:p w14:paraId="1DDF2DA0" w14:textId="3866DFE5" w:rsidR="00157AAA" w:rsidRDefault="00FC0EAC" w:rsidP="00D530D5">
      <w:pPr>
        <w:pStyle w:val="ListParagraph"/>
        <w:numPr>
          <w:ilvl w:val="0"/>
          <w:numId w:val="124"/>
        </w:numPr>
        <w:ind w:left="709" w:hanging="425"/>
        <w:contextualSpacing w:val="0"/>
      </w:pPr>
      <w:r>
        <w:t xml:space="preserve">One (1) certified </w:t>
      </w:r>
      <w:proofErr w:type="gramStart"/>
      <w:r>
        <w:t>s</w:t>
      </w:r>
      <w:r w:rsidR="006C1BE5">
        <w:t>pecialists</w:t>
      </w:r>
      <w:proofErr w:type="gramEnd"/>
      <w:r w:rsidR="006C1BE5">
        <w:t xml:space="preserve"> certified (MCPD) or Java developers holding a certification from Microsoft or Oracle or IBM or SQL with a minimum of 7 years of experience. Experience in software and database development, complex enterprise software systems implementation, extensive knowledge in informatics management and current technology trends. </w:t>
      </w:r>
    </w:p>
    <w:p w14:paraId="15E62480" w14:textId="2F7F5BC5" w:rsidR="00157AAA" w:rsidRDefault="006C1BE5" w:rsidP="00D530D5">
      <w:pPr>
        <w:pStyle w:val="ListParagraph"/>
        <w:numPr>
          <w:ilvl w:val="0"/>
          <w:numId w:val="124"/>
        </w:numPr>
        <w:ind w:left="709" w:hanging="425"/>
      </w:pPr>
      <w:r>
        <w:t xml:space="preserve">One (1) networking specialist in order to support the project team if required - at least a </w:t>
      </w:r>
      <w:proofErr w:type="gramStart"/>
      <w:r>
        <w:t>Bachelor</w:t>
      </w:r>
      <w:proofErr w:type="gramEnd"/>
      <w:r>
        <w:t xml:space="preserve"> degree in an ICT related discipline (information technologies </w:t>
      </w:r>
      <w:r w:rsidR="00F60631">
        <w:t>/</w:t>
      </w:r>
      <w:r>
        <w:t xml:space="preserve"> other relevant field) with a minimum of 7 years of experience. Prior experience of working with enterprise systems and infrastructure and conversant on a range of technical issues relevant to the assignment, including servers, networks and communications, s</w:t>
      </w:r>
      <w:r w:rsidR="00F60631">
        <w:t>o</w:t>
      </w:r>
      <w:r>
        <w:t xml:space="preserve">ftware and database development, web services and messaging protocols. </w:t>
      </w:r>
    </w:p>
    <w:p w14:paraId="39130004" w14:textId="77777777" w:rsidR="00157AAA" w:rsidRDefault="00157AAA" w:rsidP="001E2B5E">
      <w:pPr>
        <w:pStyle w:val="ListParagraph"/>
        <w:ind w:left="709" w:hanging="425"/>
        <w:rPr>
          <w:sz w:val="10"/>
          <w:szCs w:val="10"/>
        </w:rPr>
      </w:pPr>
    </w:p>
    <w:p w14:paraId="28F4782A" w14:textId="1B5D590B" w:rsidR="00157AAA" w:rsidRDefault="006C1BE5" w:rsidP="00D530D5">
      <w:pPr>
        <w:pStyle w:val="ListParagraph"/>
        <w:numPr>
          <w:ilvl w:val="0"/>
          <w:numId w:val="124"/>
        </w:numPr>
        <w:ind w:left="709" w:hanging="425"/>
        <w:contextualSpacing w:val="0"/>
      </w:pPr>
      <w:r>
        <w:t xml:space="preserve">One (1) Change Management and Communication specialist - at least </w:t>
      </w:r>
      <w:proofErr w:type="gramStart"/>
      <w:r>
        <w:t xml:space="preserve">Bachelor degree in </w:t>
      </w:r>
      <w:r w:rsidR="00D63C74" w:rsidRPr="00F60631">
        <w:t>information technology</w:t>
      </w:r>
      <w:proofErr w:type="gramEnd"/>
      <w:r w:rsidR="00D63C74" w:rsidRPr="00F60631">
        <w:t>, informatics management or related area within the public sector,</w:t>
      </w:r>
      <w:r w:rsidR="00D63C74">
        <w:t xml:space="preserve"> or </w:t>
      </w:r>
      <w:r>
        <w:t>relevant discipline</w:t>
      </w:r>
      <w:r w:rsidR="00F31B22">
        <w:t>,</w:t>
      </w:r>
      <w:r>
        <w:t xml:space="preserve"> with at least 7 years of experience in capacity building, change management implementation and communications. </w:t>
      </w:r>
    </w:p>
    <w:p w14:paraId="45B2AD83" w14:textId="77777777" w:rsidR="00157AAA" w:rsidRDefault="006C1BE5">
      <w:pPr>
        <w:ind w:left="630" w:hanging="630"/>
        <w:rPr>
          <w:color w:val="000000"/>
          <w:spacing w:val="-2"/>
        </w:rPr>
      </w:pPr>
      <w:r>
        <w:fldChar w:fldCharType="begin"/>
      </w:r>
      <w:r>
        <w:instrText xml:space="preserve">  </w:instrText>
      </w:r>
      <w:r>
        <w:fldChar w:fldCharType="end"/>
      </w:r>
      <w:r>
        <w:rPr>
          <w:color w:val="000000"/>
          <w:spacing w:val="-2"/>
        </w:rPr>
        <w:t xml:space="preserve">3. </w:t>
      </w:r>
      <w:r>
        <w:rPr>
          <w:color w:val="000000"/>
          <w:spacing w:val="-2"/>
        </w:rPr>
        <w:tab/>
      </w:r>
      <w:r>
        <w:rPr>
          <w:spacing w:val="-2"/>
        </w:rPr>
        <w:t xml:space="preserve">Bidding will be conducted through </w:t>
      </w:r>
      <w:r>
        <w:t xml:space="preserve">international competitive procurement using a Request for Bids (RFB) </w:t>
      </w:r>
      <w:r>
        <w:rPr>
          <w:spacing w:val="-2"/>
        </w:rPr>
        <w:t xml:space="preserve">as specified in the World Bank’s “Procurement </w:t>
      </w:r>
      <w:r>
        <w:t>Regulations for IPF Borrowers”</w:t>
      </w:r>
      <w:r>
        <w:rPr>
          <w:spacing w:val="-2"/>
        </w:rPr>
        <w:t xml:space="preserve"> dated July 2016, revised November 2017 and August 2018 (“Procurement Regulations”</w:t>
      </w:r>
      <w:proofErr w:type="gramStart"/>
      <w:r>
        <w:rPr>
          <w:spacing w:val="-2"/>
        </w:rPr>
        <w:t>), and</w:t>
      </w:r>
      <w:proofErr w:type="gramEnd"/>
      <w:r>
        <w:rPr>
          <w:spacing w:val="-2"/>
        </w:rPr>
        <w:t xml:space="preserve"> is open to all eligible Bidders as defined in the Procurement Regulations.</w:t>
      </w:r>
      <w:r>
        <w:rPr>
          <w:color w:val="000000"/>
          <w:spacing w:val="-2"/>
        </w:rPr>
        <w:t xml:space="preserve"> </w:t>
      </w:r>
    </w:p>
    <w:p w14:paraId="72B754A7" w14:textId="790E6AC2" w:rsidR="00157AAA" w:rsidRDefault="006C1BE5" w:rsidP="005F1821">
      <w:pPr>
        <w:ind w:left="630" w:hanging="630"/>
        <w:rPr>
          <w:b/>
          <w:spacing w:val="-2"/>
        </w:rPr>
      </w:pPr>
      <w:r>
        <w:rPr>
          <w:color w:val="000000"/>
          <w:spacing w:val="-2"/>
        </w:rPr>
        <w:t xml:space="preserve">4. </w:t>
      </w:r>
      <w:r>
        <w:rPr>
          <w:color w:val="000000"/>
          <w:spacing w:val="-2"/>
        </w:rPr>
        <w:tab/>
      </w:r>
      <w:r>
        <w:rPr>
          <w:spacing w:val="-2"/>
        </w:rPr>
        <w:t>Interested eligible Bidders may obtain further information from the Project Implementation Unit (PIU) of the Ministry of Transport and Communication, Attn: Mr. Slavko Micevski and/or Ms. Vlasta Ruzinovska</w:t>
      </w:r>
      <w:r w:rsidR="006839B8">
        <w:rPr>
          <w:spacing w:val="-2"/>
        </w:rPr>
        <w:t xml:space="preserve"> and/or Natasha Stojanovska</w:t>
      </w:r>
      <w:r>
        <w:rPr>
          <w:spacing w:val="-2"/>
        </w:rPr>
        <w:t xml:space="preserve"> e-mails: </w:t>
      </w:r>
      <w:hyperlink r:id="rId8" w:history="1">
        <w:r w:rsidR="005F1821" w:rsidRPr="006116A7">
          <w:rPr>
            <w:rStyle w:val="Hyperlink"/>
          </w:rPr>
          <w:t>slavko.micevski@piu.mtc.gov.mk</w:t>
        </w:r>
      </w:hyperlink>
      <w:r w:rsidR="005F1821">
        <w:t xml:space="preserve">; </w:t>
      </w:r>
      <w:hyperlink r:id="rId9" w:history="1">
        <w:r w:rsidR="005F1821" w:rsidRPr="006116A7">
          <w:rPr>
            <w:rStyle w:val="Hyperlink"/>
          </w:rPr>
          <w:t>vlasta.ruzinovska@piu.mtc.gov.mk</w:t>
        </w:r>
      </w:hyperlink>
      <w:r w:rsidR="005F1821">
        <w:t xml:space="preserve">;  </w:t>
      </w:r>
      <w:hyperlink r:id="rId10" w:history="1">
        <w:r w:rsidR="006839B8" w:rsidRPr="00626B12">
          <w:rPr>
            <w:rStyle w:val="Hyperlink"/>
          </w:rPr>
          <w:t>natasha.stojanovska@piu.mtc.gov.mk</w:t>
        </w:r>
      </w:hyperlink>
      <w:r w:rsidR="006839B8">
        <w:t xml:space="preserve">; </w:t>
      </w:r>
      <w:hyperlink r:id="rId11" w:history="1">
        <w:r w:rsidR="005F1821" w:rsidRPr="006116A7">
          <w:rPr>
            <w:rStyle w:val="Hyperlink"/>
          </w:rPr>
          <w:t>procurement.piu.mtc@gmail.com</w:t>
        </w:r>
      </w:hyperlink>
      <w:r w:rsidR="005F1821">
        <w:t xml:space="preserve">; </w:t>
      </w:r>
      <w:r>
        <w:rPr>
          <w:spacing w:val="-2"/>
        </w:rPr>
        <w:t xml:space="preserve"> and inspect the bidding document during office hours from 09:30 to 15:30</w:t>
      </w:r>
      <w:r>
        <w:rPr>
          <w:i/>
          <w:spacing w:val="-2"/>
        </w:rPr>
        <w:t xml:space="preserve"> </w:t>
      </w:r>
      <w:r>
        <w:rPr>
          <w:spacing w:val="-2"/>
        </w:rPr>
        <w:t xml:space="preserve">at the address given below. </w:t>
      </w:r>
      <w:r>
        <w:rPr>
          <w:b/>
          <w:spacing w:val="-2"/>
        </w:rPr>
        <w:lastRenderedPageBreak/>
        <w:t>The procedure for obtaining the bidding document is strictly electronically as stated below.</w:t>
      </w:r>
    </w:p>
    <w:p w14:paraId="7E37713E" w14:textId="67DBD6EF" w:rsidR="00157AAA" w:rsidRPr="005A2EEB" w:rsidRDefault="006C1BE5">
      <w:pPr>
        <w:ind w:left="630" w:hanging="630"/>
        <w:rPr>
          <w:spacing w:val="-2"/>
        </w:rPr>
      </w:pPr>
      <w:r>
        <w:rPr>
          <w:color w:val="000000"/>
          <w:spacing w:val="-2"/>
        </w:rPr>
        <w:t xml:space="preserve">5. </w:t>
      </w:r>
      <w:r>
        <w:rPr>
          <w:color w:val="000000"/>
          <w:spacing w:val="-2"/>
        </w:rPr>
        <w:tab/>
      </w:r>
      <w:r>
        <w:rPr>
          <w:spacing w:val="-2"/>
        </w:rPr>
        <w:t xml:space="preserve">The bidding document in </w:t>
      </w:r>
      <w:r>
        <w:rPr>
          <w:b/>
          <w:spacing w:val="-2"/>
        </w:rPr>
        <w:t>English language</w:t>
      </w:r>
      <w:r>
        <w:rPr>
          <w:spacing w:val="-2"/>
        </w:rPr>
        <w:t xml:space="preserve"> may be obtained by interested eligible Bidders from the website of the national electronic system for procurement: “ЕСЈН-</w:t>
      </w:r>
      <w:proofErr w:type="spellStart"/>
      <w:r>
        <w:rPr>
          <w:spacing w:val="-2"/>
        </w:rPr>
        <w:t>Заеми</w:t>
      </w:r>
      <w:proofErr w:type="spellEnd"/>
      <w:r>
        <w:rPr>
          <w:spacing w:val="-2"/>
        </w:rPr>
        <w:t>/</w:t>
      </w:r>
      <w:proofErr w:type="spellStart"/>
      <w:r>
        <w:rPr>
          <w:spacing w:val="-2"/>
        </w:rPr>
        <w:t>Донации</w:t>
      </w:r>
      <w:proofErr w:type="spellEnd"/>
      <w:r>
        <w:rPr>
          <w:spacing w:val="-2"/>
        </w:rPr>
        <w:t>/</w:t>
      </w:r>
      <w:proofErr w:type="spellStart"/>
      <w:r>
        <w:rPr>
          <w:spacing w:val="-2"/>
        </w:rPr>
        <w:t>Грантови-Огласи</w:t>
      </w:r>
      <w:proofErr w:type="spellEnd"/>
      <w:r>
        <w:rPr>
          <w:spacing w:val="-2"/>
        </w:rPr>
        <w:t xml:space="preserve"> </w:t>
      </w:r>
      <w:proofErr w:type="spellStart"/>
      <w:r>
        <w:rPr>
          <w:spacing w:val="-2"/>
        </w:rPr>
        <w:t>од</w:t>
      </w:r>
      <w:proofErr w:type="spellEnd"/>
      <w:r>
        <w:rPr>
          <w:spacing w:val="-2"/>
        </w:rPr>
        <w:t xml:space="preserve"> </w:t>
      </w:r>
      <w:proofErr w:type="spellStart"/>
      <w:r>
        <w:rPr>
          <w:spacing w:val="-2"/>
        </w:rPr>
        <w:t>меѓународни</w:t>
      </w:r>
      <w:proofErr w:type="spellEnd"/>
      <w:r>
        <w:rPr>
          <w:spacing w:val="-2"/>
        </w:rPr>
        <w:t xml:space="preserve"> </w:t>
      </w:r>
      <w:proofErr w:type="spellStart"/>
      <w:r>
        <w:rPr>
          <w:spacing w:val="-2"/>
        </w:rPr>
        <w:t>институции</w:t>
      </w:r>
      <w:proofErr w:type="spellEnd"/>
      <w:r>
        <w:rPr>
          <w:spacing w:val="-2"/>
        </w:rPr>
        <w:t>” (</w:t>
      </w:r>
      <w:hyperlink r:id="rId12" w:tooltip="https://www.e-nabavki.gov.mk" w:history="1">
        <w:r>
          <w:rPr>
            <w:rStyle w:val="Hyperlink"/>
            <w:spacing w:val="-2"/>
          </w:rPr>
          <w:t>https://www.e-nabavki.gov.mk</w:t>
        </w:r>
      </w:hyperlink>
      <w:r>
        <w:rPr>
          <w:spacing w:val="-2"/>
        </w:rPr>
        <w:t xml:space="preserve">) and from the website of the Ministry of Transport and Communications: </w:t>
      </w:r>
      <w:hyperlink r:id="rId13" w:tooltip="http://mtc.gov.mk/javniOglasi" w:history="1">
        <w:r>
          <w:rPr>
            <w:rStyle w:val="Hyperlink"/>
            <w:spacing w:val="-2"/>
          </w:rPr>
          <w:t>http://mtc.gov.mk/javniOglasi</w:t>
        </w:r>
      </w:hyperlink>
      <w:r>
        <w:rPr>
          <w:spacing w:val="-2"/>
        </w:rPr>
        <w:t xml:space="preserve">; as well as upon </w:t>
      </w:r>
      <w:r>
        <w:rPr>
          <w:b/>
          <w:spacing w:val="-2"/>
        </w:rPr>
        <w:t>submission of an written application</w:t>
      </w:r>
      <w:r>
        <w:rPr>
          <w:spacing w:val="-2"/>
        </w:rPr>
        <w:t xml:space="preserve"> to the e-mail addresses stated in the above paragraph No.4. and to the additional e-mail address: </w:t>
      </w:r>
      <w:hyperlink r:id="rId14" w:history="1">
        <w:r w:rsidR="005F1821" w:rsidRPr="006116A7">
          <w:rPr>
            <w:rStyle w:val="Hyperlink"/>
          </w:rPr>
          <w:t>harita.pandovska@piu.mtc.gov.mk</w:t>
        </w:r>
      </w:hyperlink>
      <w:r>
        <w:rPr>
          <w:spacing w:val="-2"/>
        </w:rPr>
        <w:t xml:space="preserve">. </w:t>
      </w:r>
      <w:r>
        <w:rPr>
          <w:b/>
          <w:spacing w:val="-2"/>
        </w:rPr>
        <w:t xml:space="preserve">All interested eligible Bidders must </w:t>
      </w:r>
      <w:proofErr w:type="gramStart"/>
      <w:r>
        <w:rPr>
          <w:b/>
          <w:spacing w:val="-2"/>
        </w:rPr>
        <w:t>submit an application</w:t>
      </w:r>
      <w:proofErr w:type="gramEnd"/>
      <w:r>
        <w:rPr>
          <w:b/>
          <w:spacing w:val="-2"/>
        </w:rPr>
        <w:t xml:space="preserve"> via e-mail with contact details for their companies including contact e-mail address immediately after downloading the Bidding Document from the listed websites, to announce that they intend to participate in the bidding process </w:t>
      </w:r>
      <w:r w:rsidRPr="00984F71">
        <w:rPr>
          <w:spacing w:val="-2"/>
        </w:rPr>
        <w:t xml:space="preserve">and to obtain the </w:t>
      </w:r>
      <w:r w:rsidRPr="00984F71">
        <w:rPr>
          <w:b/>
          <w:spacing w:val="-2"/>
        </w:rPr>
        <w:t>Annex 1</w:t>
      </w:r>
      <w:r w:rsidRPr="00984F71">
        <w:rPr>
          <w:spacing w:val="-2"/>
          <w:lang w:val="mk-MK"/>
        </w:rPr>
        <w:t xml:space="preserve"> </w:t>
      </w:r>
      <w:r w:rsidRPr="00984F71">
        <w:rPr>
          <w:spacing w:val="-2"/>
        </w:rPr>
        <w:t xml:space="preserve">- New Single Window (NSW) </w:t>
      </w:r>
      <w:r w:rsidR="005A2EEB" w:rsidRPr="00984F71">
        <w:rPr>
          <w:b/>
          <w:spacing w:val="-2"/>
        </w:rPr>
        <w:t>Blueprint</w:t>
      </w:r>
      <w:r w:rsidRPr="00984F71">
        <w:rPr>
          <w:spacing w:val="-2"/>
        </w:rPr>
        <w:t>, as part of the Bidding Document.</w:t>
      </w:r>
      <w:r w:rsidRPr="00984F71">
        <w:rPr>
          <w:b/>
          <w:spacing w:val="-2"/>
        </w:rPr>
        <w:t xml:space="preserve"> </w:t>
      </w:r>
      <w:r w:rsidRPr="00984F71">
        <w:rPr>
          <w:spacing w:val="-2"/>
        </w:rPr>
        <w:t xml:space="preserve">Due to the large size of the Annex 1, it will be delivered to Bidders that have submitted applications through WeTransfer: </w:t>
      </w:r>
      <w:hyperlink r:id="rId15" w:tooltip="https://wetransfer.com/" w:history="1">
        <w:r w:rsidRPr="00984F71">
          <w:rPr>
            <w:rStyle w:val="Hyperlink"/>
            <w:color w:val="auto"/>
            <w:spacing w:val="-2"/>
          </w:rPr>
          <w:t>https://wetransfer.com/</w:t>
        </w:r>
      </w:hyperlink>
      <w:r w:rsidRPr="00984F71">
        <w:rPr>
          <w:spacing w:val="-2"/>
        </w:rPr>
        <w:t>.</w:t>
      </w:r>
    </w:p>
    <w:p w14:paraId="30004AFD" w14:textId="369F2144" w:rsidR="00157AAA" w:rsidRDefault="006C1BE5">
      <w:pPr>
        <w:tabs>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s>
        <w:spacing w:before="120"/>
        <w:ind w:left="547" w:hanging="547"/>
        <w:rPr>
          <w:spacing w:val="-2"/>
          <w:szCs w:val="24"/>
        </w:rPr>
      </w:pPr>
      <w:r>
        <w:rPr>
          <w:color w:val="000000"/>
          <w:spacing w:val="-2"/>
        </w:rPr>
        <w:t xml:space="preserve">6. </w:t>
      </w:r>
      <w:r>
        <w:rPr>
          <w:color w:val="000000"/>
          <w:spacing w:val="-2"/>
        </w:rPr>
        <w:tab/>
      </w:r>
      <w:r>
        <w:rPr>
          <w:szCs w:val="24"/>
        </w:rPr>
        <w:t xml:space="preserve">Bids must be delivered to the </w:t>
      </w:r>
      <w:r>
        <w:rPr>
          <w:b/>
          <w:szCs w:val="24"/>
          <w:u w:val="single"/>
        </w:rPr>
        <w:t>address below</w:t>
      </w:r>
      <w:r>
        <w:rPr>
          <w:szCs w:val="24"/>
        </w:rPr>
        <w:t xml:space="preserve"> on or before </w:t>
      </w:r>
      <w:r>
        <w:rPr>
          <w:b/>
          <w:szCs w:val="24"/>
        </w:rPr>
        <w:t xml:space="preserve">13:00 o’clock local time on </w:t>
      </w:r>
      <w:r w:rsidR="00C43945">
        <w:rPr>
          <w:b/>
          <w:szCs w:val="24"/>
        </w:rPr>
        <w:t xml:space="preserve">July </w:t>
      </w:r>
      <w:r w:rsidR="00FB59BE">
        <w:rPr>
          <w:b/>
          <w:szCs w:val="24"/>
        </w:rPr>
        <w:t>05</w:t>
      </w:r>
      <w:r>
        <w:rPr>
          <w:b/>
          <w:szCs w:val="24"/>
        </w:rPr>
        <w:t>, 202</w:t>
      </w:r>
      <w:r w:rsidR="00C22EBC">
        <w:rPr>
          <w:b/>
          <w:szCs w:val="24"/>
        </w:rPr>
        <w:t>4</w:t>
      </w:r>
      <w:r>
        <w:rPr>
          <w:szCs w:val="24"/>
        </w:rPr>
        <w:t xml:space="preserve">. Electronic bidding </w:t>
      </w:r>
      <w:r>
        <w:rPr>
          <w:b/>
          <w:szCs w:val="24"/>
        </w:rPr>
        <w:t>will not</w:t>
      </w:r>
      <w:r>
        <w:rPr>
          <w:szCs w:val="24"/>
        </w:rPr>
        <w:t xml:space="preserve"> be permitted. Late bids </w:t>
      </w:r>
      <w:r>
        <w:rPr>
          <w:b/>
          <w:szCs w:val="24"/>
        </w:rPr>
        <w:t>will be rejected</w:t>
      </w:r>
      <w:r>
        <w:rPr>
          <w:szCs w:val="24"/>
        </w:rPr>
        <w:t xml:space="preserve">.  Bids will be </w:t>
      </w:r>
      <w:r>
        <w:rPr>
          <w:spacing w:val="-2"/>
          <w:szCs w:val="24"/>
        </w:rPr>
        <w:t>publicly</w:t>
      </w:r>
      <w:r>
        <w:rPr>
          <w:szCs w:val="24"/>
        </w:rPr>
        <w:t xml:space="preserve"> opened in the presence of Bidders’ </w:t>
      </w:r>
      <w:r>
        <w:rPr>
          <w:spacing w:val="-2"/>
          <w:szCs w:val="24"/>
        </w:rPr>
        <w:t>designated</w:t>
      </w:r>
      <w:r>
        <w:rPr>
          <w:szCs w:val="24"/>
        </w:rPr>
        <w:t xml:space="preserve"> representatives </w:t>
      </w:r>
      <w:r>
        <w:rPr>
          <w:spacing w:val="-2"/>
          <w:szCs w:val="24"/>
        </w:rPr>
        <w:t xml:space="preserve">and anyone </w:t>
      </w:r>
      <w:r>
        <w:rPr>
          <w:szCs w:val="24"/>
        </w:rPr>
        <w:t xml:space="preserve">who </w:t>
      </w:r>
      <w:proofErr w:type="gramStart"/>
      <w:r>
        <w:rPr>
          <w:szCs w:val="24"/>
        </w:rPr>
        <w:t>choose</w:t>
      </w:r>
      <w:proofErr w:type="gramEnd"/>
      <w:r>
        <w:rPr>
          <w:szCs w:val="24"/>
        </w:rPr>
        <w:t xml:space="preserve"> to attend at the address below on </w:t>
      </w:r>
      <w:r w:rsidR="00C43945">
        <w:rPr>
          <w:b/>
          <w:szCs w:val="24"/>
        </w:rPr>
        <w:t xml:space="preserve">July </w:t>
      </w:r>
      <w:r w:rsidR="00FB59BE">
        <w:rPr>
          <w:b/>
          <w:szCs w:val="24"/>
        </w:rPr>
        <w:t>05</w:t>
      </w:r>
      <w:r w:rsidR="00C43945">
        <w:rPr>
          <w:b/>
          <w:szCs w:val="24"/>
        </w:rPr>
        <w:t>, 2024</w:t>
      </w:r>
      <w:r>
        <w:rPr>
          <w:b/>
          <w:szCs w:val="24"/>
        </w:rPr>
        <w:t>,</w:t>
      </w:r>
      <w:r>
        <w:rPr>
          <w:szCs w:val="24"/>
        </w:rPr>
        <w:t xml:space="preserve"> immediately after the bid submission deadline.</w:t>
      </w:r>
    </w:p>
    <w:p w14:paraId="21E44E5F" w14:textId="6C3C38C7" w:rsidR="00157AAA" w:rsidRDefault="006C1BE5" w:rsidP="001E2B5E">
      <w:pPr>
        <w:ind w:left="630" w:hanging="630"/>
        <w:rPr>
          <w:color w:val="000000"/>
          <w:spacing w:val="-2"/>
        </w:rPr>
      </w:pPr>
      <w:r>
        <w:rPr>
          <w:color w:val="000000"/>
          <w:spacing w:val="-2"/>
          <w:vertAlign w:val="superscript"/>
        </w:rPr>
        <w:t xml:space="preserve"> </w:t>
      </w:r>
      <w:r>
        <w:rPr>
          <w:color w:val="000000"/>
          <w:spacing w:val="-2"/>
        </w:rPr>
        <w:t xml:space="preserve">7. </w:t>
      </w:r>
      <w:r>
        <w:rPr>
          <w:color w:val="000000"/>
          <w:spacing w:val="-2"/>
        </w:rPr>
        <w:tab/>
      </w:r>
      <w:r>
        <w:rPr>
          <w:b/>
          <w:spacing w:val="-2"/>
        </w:rPr>
        <w:t xml:space="preserve">All Bids must be accompanied by a </w:t>
      </w:r>
      <w:r>
        <w:rPr>
          <w:b/>
          <w:iCs/>
          <w:spacing w:val="-2"/>
        </w:rPr>
        <w:t>Bid-Securing Declaration</w:t>
      </w:r>
      <w:r>
        <w:rPr>
          <w:spacing w:val="-2"/>
        </w:rPr>
        <w:t>.</w:t>
      </w:r>
    </w:p>
    <w:p w14:paraId="4E9F69A7" w14:textId="77777777" w:rsidR="00157AAA" w:rsidRDefault="006C1BE5">
      <w:pPr>
        <w:ind w:left="630" w:hanging="630"/>
        <w:rPr>
          <w:iCs/>
          <w:color w:val="000000"/>
          <w:spacing w:val="-2"/>
        </w:rPr>
      </w:pPr>
      <w:r>
        <w:rPr>
          <w:iCs/>
          <w:color w:val="000000"/>
          <w:spacing w:val="-2"/>
        </w:rPr>
        <w:t>8.</w:t>
      </w:r>
      <w:r>
        <w:rPr>
          <w:iCs/>
          <w:color w:val="000000"/>
          <w:spacing w:val="-2"/>
        </w:rPr>
        <w:tab/>
      </w:r>
      <w:r>
        <w:rPr>
          <w:spacing w:val="-2"/>
        </w:rPr>
        <w:t>Attention is drawn to the Procurement Regulations requiring the Borrower to disclose information on the successful bidder’s beneficial ownership, as part of the Contract Award Notice, using the Beneficial Ownership Disclosure Form as included in the bidding document.</w:t>
      </w:r>
    </w:p>
    <w:p w14:paraId="54A50F06" w14:textId="77777777" w:rsidR="00157AAA" w:rsidRDefault="006C1BE5">
      <w:pPr>
        <w:ind w:left="630" w:hanging="630"/>
        <w:rPr>
          <w:iCs/>
          <w:color w:val="000000"/>
        </w:rPr>
      </w:pPr>
      <w:r>
        <w:rPr>
          <w:iCs/>
          <w:color w:val="000000"/>
          <w:spacing w:val="-2"/>
        </w:rPr>
        <w:t>9.</w:t>
      </w:r>
      <w:r>
        <w:rPr>
          <w:iCs/>
          <w:color w:val="000000"/>
          <w:spacing w:val="-2"/>
        </w:rPr>
        <w:tab/>
      </w:r>
      <w:r>
        <w:rPr>
          <w:iCs/>
          <w:color w:val="000000"/>
        </w:rPr>
        <w:t>The address (es) referred to above is:</w:t>
      </w:r>
    </w:p>
    <w:p w14:paraId="5B3E2D79" w14:textId="77777777" w:rsidR="00157AAA" w:rsidRDefault="006C1BE5">
      <w:pPr>
        <w:ind w:left="630" w:hanging="630"/>
        <w:rPr>
          <w:iCs/>
          <w:szCs w:val="24"/>
        </w:rPr>
      </w:pPr>
      <w:r>
        <w:rPr>
          <w:iCs/>
          <w:color w:val="000000"/>
        </w:rPr>
        <w:tab/>
      </w:r>
      <w:r>
        <w:rPr>
          <w:iCs/>
          <w:szCs w:val="24"/>
        </w:rPr>
        <w:t>The address referred to above is:</w:t>
      </w:r>
    </w:p>
    <w:p w14:paraId="7B63620E" w14:textId="77777777" w:rsidR="00157AAA" w:rsidRDefault="006C1BE5">
      <w:pPr>
        <w:spacing w:after="60"/>
        <w:ind w:left="851"/>
        <w:rPr>
          <w:b/>
        </w:rPr>
      </w:pPr>
      <w:r>
        <w:rPr>
          <w:b/>
        </w:rPr>
        <w:t>Ministry of Transport and Communications</w:t>
      </w:r>
    </w:p>
    <w:p w14:paraId="2EB5B0E4" w14:textId="77777777" w:rsidR="00157AAA" w:rsidRDefault="006C1BE5">
      <w:pPr>
        <w:spacing w:after="60"/>
        <w:ind w:left="851"/>
      </w:pPr>
      <w:r>
        <w:t>Project Implementation Unit</w:t>
      </w:r>
    </w:p>
    <w:p w14:paraId="0B4FF3C6" w14:textId="77777777" w:rsidR="00157AAA" w:rsidRDefault="006C1BE5">
      <w:pPr>
        <w:spacing w:after="60"/>
        <w:ind w:left="851"/>
      </w:pPr>
      <w:r>
        <w:rPr>
          <w:spacing w:val="-2"/>
        </w:rPr>
        <w:t>Mr. Slavko Micevski and/or Ms. Vlasta Ruzinovska – procurement officers</w:t>
      </w:r>
    </w:p>
    <w:p w14:paraId="15479759" w14:textId="77777777" w:rsidR="00157AAA" w:rsidRDefault="006C1BE5">
      <w:pPr>
        <w:spacing w:after="60"/>
        <w:ind w:left="851"/>
      </w:pPr>
      <w:r>
        <w:t>Street “</w:t>
      </w:r>
      <w:proofErr w:type="spellStart"/>
      <w:r>
        <w:t>Crvena</w:t>
      </w:r>
      <w:proofErr w:type="spellEnd"/>
      <w:r>
        <w:t xml:space="preserve"> Skopska </w:t>
      </w:r>
      <w:proofErr w:type="spellStart"/>
      <w:r>
        <w:t>Opstina</w:t>
      </w:r>
      <w:proofErr w:type="spellEnd"/>
      <w:r>
        <w:t>”, No. 4, 1000 Skopje, Republic of North Macedonia</w:t>
      </w:r>
    </w:p>
    <w:p w14:paraId="7685EF72" w14:textId="77777777" w:rsidR="00157AAA" w:rsidRDefault="006C1BE5">
      <w:pPr>
        <w:spacing w:after="60"/>
        <w:ind w:left="851"/>
      </w:pPr>
      <w:r>
        <w:t>Tel. + 389 (0)2 3145 531</w:t>
      </w:r>
    </w:p>
    <w:p w14:paraId="0B3FD883" w14:textId="77777777" w:rsidR="00157AAA" w:rsidRDefault="006C1BE5">
      <w:pPr>
        <w:spacing w:after="60"/>
        <w:ind w:left="851"/>
      </w:pPr>
      <w:r>
        <w:t>Mob. + 389 (0)75 494977</w:t>
      </w:r>
    </w:p>
    <w:p w14:paraId="2B61C2E0" w14:textId="77777777" w:rsidR="00157AAA" w:rsidRDefault="006C1BE5">
      <w:pPr>
        <w:spacing w:after="60"/>
        <w:ind w:left="851"/>
        <w:rPr>
          <w:b/>
        </w:rPr>
      </w:pPr>
      <w:r>
        <w:rPr>
          <w:b/>
        </w:rPr>
        <w:t xml:space="preserve">E-mail address: </w:t>
      </w:r>
    </w:p>
    <w:p w14:paraId="03173059" w14:textId="77777777" w:rsidR="00C22EBC" w:rsidRPr="00FA1BEC" w:rsidRDefault="00000000" w:rsidP="00C22EBC">
      <w:pPr>
        <w:spacing w:after="60"/>
        <w:ind w:left="488" w:firstLine="363"/>
        <w:rPr>
          <w:b/>
          <w:bCs/>
          <w:color w:val="26282A"/>
        </w:rPr>
      </w:pPr>
      <w:hyperlink r:id="rId16" w:history="1">
        <w:r w:rsidR="00C22EBC" w:rsidRPr="00FA1BEC">
          <w:rPr>
            <w:rStyle w:val="Hyperlink"/>
            <w:b/>
            <w:bCs/>
          </w:rPr>
          <w:t>slavko.micevski@piu.mtc.gov.mk</w:t>
        </w:r>
      </w:hyperlink>
      <w:r w:rsidR="00C22EBC" w:rsidRPr="00FA1BEC">
        <w:rPr>
          <w:b/>
          <w:bCs/>
          <w:color w:val="26282A"/>
        </w:rPr>
        <w:t>;</w:t>
      </w:r>
    </w:p>
    <w:p w14:paraId="4B541458" w14:textId="0F4D1B9E" w:rsidR="00C22EBC" w:rsidRPr="00FA1BEC" w:rsidRDefault="00000000" w:rsidP="00C22EBC">
      <w:pPr>
        <w:spacing w:after="60"/>
        <w:ind w:left="488" w:firstLine="363"/>
        <w:rPr>
          <w:b/>
          <w:bCs/>
        </w:rPr>
      </w:pPr>
      <w:hyperlink r:id="rId17" w:history="1">
        <w:r w:rsidR="00C22EBC" w:rsidRPr="00FA1BEC">
          <w:rPr>
            <w:rStyle w:val="Hyperlink"/>
            <w:rFonts w:eastAsiaTheme="majorEastAsia"/>
            <w:b/>
            <w:bCs/>
          </w:rPr>
          <w:t>harita.pandovska@piu.mtc.gov.mk</w:t>
        </w:r>
      </w:hyperlink>
      <w:r w:rsidR="00C22EBC" w:rsidRPr="00FA1BEC">
        <w:rPr>
          <w:b/>
          <w:bCs/>
          <w:color w:val="0072C6"/>
        </w:rPr>
        <w:t xml:space="preserve">; </w:t>
      </w:r>
    </w:p>
    <w:p w14:paraId="6CD99498" w14:textId="77777777" w:rsidR="00C22EBC" w:rsidRPr="00FA1BEC" w:rsidRDefault="00000000" w:rsidP="00C22EBC">
      <w:pPr>
        <w:spacing w:after="60"/>
        <w:ind w:left="851"/>
        <w:rPr>
          <w:b/>
          <w:bCs/>
        </w:rPr>
      </w:pPr>
      <w:hyperlink r:id="rId18" w:history="1">
        <w:r w:rsidR="00C22EBC" w:rsidRPr="00FA1BEC">
          <w:rPr>
            <w:rStyle w:val="Hyperlink"/>
            <w:rFonts w:eastAsiaTheme="majorEastAsia"/>
            <w:b/>
            <w:bCs/>
          </w:rPr>
          <w:t>vlasta.ruzinovska@piu.mtc.gov.mk</w:t>
        </w:r>
      </w:hyperlink>
      <w:r w:rsidR="00C22EBC" w:rsidRPr="00FA1BEC">
        <w:rPr>
          <w:b/>
          <w:bCs/>
        </w:rPr>
        <w:t>;</w:t>
      </w:r>
    </w:p>
    <w:p w14:paraId="109CF03C" w14:textId="7D02B406" w:rsidR="00FA1BEC" w:rsidRPr="00FA1BEC" w:rsidRDefault="00000000" w:rsidP="00C22EBC">
      <w:pPr>
        <w:spacing w:after="60"/>
        <w:ind w:left="851"/>
        <w:rPr>
          <w:b/>
          <w:bCs/>
        </w:rPr>
      </w:pPr>
      <w:hyperlink r:id="rId19" w:history="1">
        <w:r w:rsidR="00FA1BEC" w:rsidRPr="00FA1BEC">
          <w:rPr>
            <w:rStyle w:val="Hyperlink"/>
            <w:b/>
            <w:bCs/>
          </w:rPr>
          <w:t>natasha.stojanovska@piu.mtc.gov.mk</w:t>
        </w:r>
      </w:hyperlink>
      <w:r w:rsidR="00FA1BEC" w:rsidRPr="00FA1BEC">
        <w:rPr>
          <w:b/>
          <w:bCs/>
        </w:rPr>
        <w:t xml:space="preserve"> </w:t>
      </w:r>
    </w:p>
    <w:p w14:paraId="2060590A" w14:textId="7A645479" w:rsidR="00C22EBC" w:rsidRDefault="00000000" w:rsidP="00C22EBC">
      <w:pPr>
        <w:spacing w:after="60"/>
        <w:ind w:left="851"/>
        <w:rPr>
          <w:rStyle w:val="Hyperlink"/>
        </w:rPr>
      </w:pPr>
      <w:hyperlink r:id="rId20" w:history="1">
        <w:r w:rsidR="00C22EBC" w:rsidRPr="00FA1BEC">
          <w:rPr>
            <w:rStyle w:val="Hyperlink"/>
            <w:b/>
            <w:bCs/>
          </w:rPr>
          <w:t>procurement.piu.mtc@gmail.com</w:t>
        </w:r>
      </w:hyperlink>
      <w:r w:rsidR="00C22EBC">
        <w:rPr>
          <w:rStyle w:val="Hyperlink"/>
        </w:rPr>
        <w:t xml:space="preserve"> </w:t>
      </w:r>
    </w:p>
    <w:p w14:paraId="15B9BE78" w14:textId="7A0B58F3" w:rsidR="00157AAA" w:rsidRDefault="006C1BE5" w:rsidP="00C22EBC">
      <w:pPr>
        <w:spacing w:after="60"/>
        <w:ind w:left="851"/>
      </w:pPr>
      <w:r>
        <w:t xml:space="preserve">Web site addresses: </w:t>
      </w:r>
      <w:hyperlink r:id="rId21" w:tooltip="http://mtc.gov.mk/" w:history="1">
        <w:r>
          <w:rPr>
            <w:rStyle w:val="Hyperlink"/>
          </w:rPr>
          <w:t>http://mtc.gov.mk/</w:t>
        </w:r>
      </w:hyperlink>
      <w:r>
        <w:rPr>
          <w:rStyle w:val="Hyperlink"/>
        </w:rPr>
        <w:t>;</w:t>
      </w:r>
      <w:r w:rsidRPr="00C43945">
        <w:rPr>
          <w:rStyle w:val="Hyperlink"/>
          <w:u w:val="none"/>
        </w:rPr>
        <w:t xml:space="preserve"> and </w:t>
      </w:r>
      <w:proofErr w:type="gramStart"/>
      <w:r>
        <w:rPr>
          <w:rStyle w:val="Hyperlink"/>
        </w:rPr>
        <w:t>https://www.e-nabavki.gov.mk;</w:t>
      </w:r>
      <w:proofErr w:type="gramEnd"/>
    </w:p>
    <w:p w14:paraId="55DD4391" w14:textId="77777777" w:rsidR="00157AAA" w:rsidRDefault="00157AAA">
      <w:pPr>
        <w:spacing w:after="180"/>
        <w:rPr>
          <w:color w:val="000000"/>
          <w:spacing w:val="-2"/>
        </w:rPr>
        <w:sectPr w:rsidR="00157AAA" w:rsidSect="00734667">
          <w:headerReference w:type="default" r:id="rId22"/>
          <w:footnotePr>
            <w:numRestart w:val="eachSect"/>
          </w:footnotePr>
          <w:endnotePr>
            <w:numFmt w:val="decimal"/>
          </w:endnotePr>
          <w:pgSz w:w="12240" w:h="15840"/>
          <w:pgMar w:top="1440" w:right="1440" w:bottom="1440" w:left="1800" w:header="510" w:footer="720" w:gutter="0"/>
          <w:cols w:space="720"/>
          <w:docGrid w:linePitch="360"/>
        </w:sectPr>
      </w:pPr>
    </w:p>
    <w:p w14:paraId="247602AB" w14:textId="77777777" w:rsidR="00157AAA" w:rsidRDefault="00157AAA">
      <w:pPr>
        <w:jc w:val="left"/>
        <w:rPr>
          <w:szCs w:val="24"/>
        </w:rPr>
      </w:pPr>
    </w:p>
    <w:p w14:paraId="5E5130A9" w14:textId="77777777" w:rsidR="00157AAA" w:rsidRDefault="00157AAA">
      <w:pPr>
        <w:jc w:val="left"/>
        <w:rPr>
          <w:szCs w:val="24"/>
        </w:rPr>
      </w:pPr>
    </w:p>
    <w:p w14:paraId="6DF69C0F" w14:textId="65A2E934" w:rsidR="00455124" w:rsidRDefault="00455124">
      <w:pPr>
        <w:jc w:val="left"/>
        <w:rPr>
          <w:szCs w:val="24"/>
        </w:rPr>
      </w:pPr>
    </w:p>
    <w:p w14:paraId="50D4BE3C" w14:textId="77777777" w:rsidR="00157AAA" w:rsidRDefault="006C1BE5">
      <w:pPr>
        <w:jc w:val="center"/>
        <w:rPr>
          <w:b/>
          <w:sz w:val="72"/>
          <w:szCs w:val="24"/>
        </w:rPr>
      </w:pPr>
      <w:r>
        <w:rPr>
          <w:b/>
          <w:sz w:val="72"/>
          <w:szCs w:val="24"/>
        </w:rPr>
        <w:t>Request for Bids</w:t>
      </w:r>
    </w:p>
    <w:p w14:paraId="0C92D612" w14:textId="77777777" w:rsidR="00157AAA" w:rsidRDefault="006C1BE5">
      <w:pPr>
        <w:jc w:val="center"/>
        <w:rPr>
          <w:b/>
          <w:sz w:val="48"/>
          <w:szCs w:val="48"/>
        </w:rPr>
      </w:pPr>
      <w:r>
        <w:rPr>
          <w:b/>
          <w:sz w:val="48"/>
          <w:szCs w:val="48"/>
        </w:rPr>
        <w:t>Information Systems</w:t>
      </w:r>
    </w:p>
    <w:p w14:paraId="782B34F2" w14:textId="77777777" w:rsidR="00157AAA" w:rsidRDefault="006C1BE5">
      <w:pPr>
        <w:jc w:val="center"/>
        <w:rPr>
          <w:b/>
          <w:sz w:val="32"/>
          <w:szCs w:val="32"/>
        </w:rPr>
      </w:pPr>
      <w:r>
        <w:rPr>
          <w:b/>
          <w:sz w:val="32"/>
          <w:szCs w:val="32"/>
        </w:rPr>
        <w:t xml:space="preserve"> (One-Envelope Bidding Process - without Prequalification)</w:t>
      </w:r>
    </w:p>
    <w:p w14:paraId="2C9B21E6" w14:textId="77777777" w:rsidR="00157AAA" w:rsidRDefault="00157AAA">
      <w:pPr>
        <w:pStyle w:val="explanatorynotes"/>
        <w:numPr>
          <w:ilvl w:val="12"/>
          <w:numId w:val="0"/>
        </w:numPr>
        <w:jc w:val="left"/>
        <w:rPr>
          <w:rFonts w:ascii="Times New Roman" w:hAnsi="Times New Roman"/>
        </w:rPr>
      </w:pPr>
    </w:p>
    <w:p w14:paraId="5670434E" w14:textId="77777777" w:rsidR="00157AAA" w:rsidRDefault="00157AAA">
      <w:pPr>
        <w:pStyle w:val="explanatorynotes"/>
        <w:numPr>
          <w:ilvl w:val="12"/>
          <w:numId w:val="0"/>
        </w:numPr>
        <w:jc w:val="left"/>
        <w:rPr>
          <w:rFonts w:ascii="Times New Roman" w:hAnsi="Times New Roman"/>
        </w:rPr>
      </w:pPr>
    </w:p>
    <w:p w14:paraId="2BD2DD81" w14:textId="77777777" w:rsidR="00157AAA" w:rsidRDefault="00157AAA">
      <w:pPr>
        <w:pStyle w:val="explanatorynotes"/>
        <w:numPr>
          <w:ilvl w:val="12"/>
          <w:numId w:val="0"/>
        </w:numPr>
        <w:jc w:val="left"/>
        <w:rPr>
          <w:rFonts w:ascii="Times New Roman" w:hAnsi="Times New Roman"/>
        </w:rPr>
      </w:pPr>
    </w:p>
    <w:p w14:paraId="5388735B" w14:textId="77777777" w:rsidR="00157AAA" w:rsidRDefault="00157AAA">
      <w:pPr>
        <w:pStyle w:val="explanatorynotes"/>
        <w:numPr>
          <w:ilvl w:val="12"/>
          <w:numId w:val="0"/>
        </w:numPr>
        <w:jc w:val="left"/>
        <w:rPr>
          <w:rFonts w:ascii="Times New Roman" w:hAnsi="Times New Roman"/>
        </w:rPr>
      </w:pPr>
    </w:p>
    <w:p w14:paraId="34BE4D90" w14:textId="77777777" w:rsidR="00157AAA" w:rsidRDefault="00157AAA">
      <w:pPr>
        <w:pStyle w:val="explanatorynotes"/>
        <w:numPr>
          <w:ilvl w:val="12"/>
          <w:numId w:val="0"/>
        </w:numPr>
        <w:jc w:val="left"/>
        <w:rPr>
          <w:rFonts w:ascii="Times New Roman" w:hAnsi="Times New Roman"/>
        </w:rPr>
      </w:pPr>
    </w:p>
    <w:p w14:paraId="03B26F8C" w14:textId="77777777" w:rsidR="00157AAA" w:rsidRDefault="006C1BE5">
      <w:pPr>
        <w:tabs>
          <w:tab w:val="left" w:pos="8640"/>
        </w:tabs>
        <w:jc w:val="center"/>
        <w:rPr>
          <w:b/>
          <w:sz w:val="48"/>
          <w:szCs w:val="48"/>
        </w:rPr>
      </w:pPr>
      <w:r>
        <w:rPr>
          <w:b/>
          <w:sz w:val="48"/>
          <w:szCs w:val="48"/>
        </w:rPr>
        <w:t>Procurement of:</w:t>
      </w:r>
    </w:p>
    <w:p w14:paraId="6F6E065A" w14:textId="77777777" w:rsidR="00157AAA" w:rsidRDefault="006C1BE5">
      <w:pPr>
        <w:jc w:val="center"/>
        <w:rPr>
          <w:b/>
          <w:sz w:val="44"/>
          <w:szCs w:val="44"/>
        </w:rPr>
      </w:pPr>
      <w:r w:rsidRPr="00984F71">
        <w:rPr>
          <w:b/>
          <w:sz w:val="48"/>
          <w:szCs w:val="48"/>
        </w:rPr>
        <w:t>Design, Supply and Installation of the New Single Window (NSW) System in North Macedonia</w:t>
      </w:r>
    </w:p>
    <w:p w14:paraId="6AF6A93F" w14:textId="77777777" w:rsidR="00157AAA" w:rsidRDefault="00157AAA">
      <w:pPr>
        <w:jc w:val="center"/>
        <w:rPr>
          <w:b/>
          <w:sz w:val="44"/>
          <w:szCs w:val="44"/>
        </w:rPr>
      </w:pPr>
    </w:p>
    <w:p w14:paraId="13C7CE26" w14:textId="77777777" w:rsidR="00157AAA" w:rsidRDefault="006C1BE5">
      <w:pPr>
        <w:spacing w:after="0"/>
        <w:jc w:val="center"/>
        <w:rPr>
          <w:b/>
          <w:sz w:val="56"/>
        </w:rPr>
      </w:pPr>
      <w:r>
        <w:rPr>
          <w:b/>
          <w:sz w:val="56"/>
        </w:rPr>
        <w:t>_______________________________</w:t>
      </w:r>
    </w:p>
    <w:p w14:paraId="733C4FCF" w14:textId="77777777" w:rsidR="00157AAA" w:rsidRDefault="00157AAA">
      <w:pPr>
        <w:spacing w:after="0"/>
        <w:jc w:val="center"/>
        <w:rPr>
          <w:b/>
          <w:sz w:val="40"/>
        </w:rPr>
      </w:pPr>
    </w:p>
    <w:p w14:paraId="6BCEA764" w14:textId="77777777" w:rsidR="00157AAA" w:rsidRDefault="006C1BE5">
      <w:pPr>
        <w:spacing w:before="60" w:after="60"/>
        <w:rPr>
          <w:i/>
          <w:color w:val="000000" w:themeColor="text1"/>
          <w:sz w:val="28"/>
          <w:szCs w:val="28"/>
        </w:rPr>
      </w:pPr>
      <w:r>
        <w:rPr>
          <w:iCs/>
          <w:color w:val="000000" w:themeColor="text1"/>
          <w:sz w:val="28"/>
          <w:szCs w:val="28"/>
        </w:rPr>
        <w:t>Purchaser</w:t>
      </w:r>
      <w:r>
        <w:rPr>
          <w:b/>
          <w:color w:val="000000" w:themeColor="text1"/>
          <w:sz w:val="28"/>
          <w:szCs w:val="28"/>
        </w:rPr>
        <w:t xml:space="preserve">: </w:t>
      </w:r>
      <w:r>
        <w:rPr>
          <w:color w:val="000000" w:themeColor="text1"/>
          <w:sz w:val="28"/>
          <w:szCs w:val="28"/>
        </w:rPr>
        <w:t>Ministry of Transport and Communications</w:t>
      </w:r>
    </w:p>
    <w:p w14:paraId="71F89672" w14:textId="77777777" w:rsidR="00157AAA" w:rsidRDefault="006C1BE5">
      <w:pPr>
        <w:spacing w:before="60" w:after="60"/>
        <w:rPr>
          <w:bCs/>
          <w:i/>
          <w:iCs/>
          <w:color w:val="000000" w:themeColor="text1"/>
          <w:sz w:val="28"/>
          <w:szCs w:val="28"/>
        </w:rPr>
      </w:pPr>
      <w:r>
        <w:rPr>
          <w:color w:val="000000" w:themeColor="text1"/>
          <w:sz w:val="28"/>
          <w:szCs w:val="28"/>
        </w:rPr>
        <w:t>Project</w:t>
      </w:r>
      <w:r>
        <w:rPr>
          <w:b/>
          <w:color w:val="000000" w:themeColor="text1"/>
          <w:sz w:val="28"/>
          <w:szCs w:val="28"/>
        </w:rPr>
        <w:t>:</w:t>
      </w:r>
      <w:r>
        <w:rPr>
          <w:b/>
          <w:bCs/>
          <w:i/>
          <w:iCs/>
          <w:color w:val="000000" w:themeColor="text1"/>
          <w:sz w:val="28"/>
          <w:szCs w:val="28"/>
        </w:rPr>
        <w:t xml:space="preserve"> </w:t>
      </w:r>
      <w:r>
        <w:rPr>
          <w:spacing w:val="-2"/>
          <w:sz w:val="28"/>
          <w:szCs w:val="28"/>
        </w:rPr>
        <w:t>Western Balkans Trade and Transport Facilitation Project - P162043</w:t>
      </w:r>
    </w:p>
    <w:p w14:paraId="68B07BA3" w14:textId="77777777" w:rsidR="00157AAA" w:rsidRDefault="006C1BE5">
      <w:pPr>
        <w:spacing w:before="60" w:after="60"/>
        <w:rPr>
          <w:b/>
          <w:color w:val="000000" w:themeColor="text1"/>
          <w:sz w:val="28"/>
          <w:szCs w:val="28"/>
        </w:rPr>
      </w:pPr>
      <w:r>
        <w:rPr>
          <w:iCs/>
          <w:color w:val="000000" w:themeColor="text1"/>
          <w:sz w:val="28"/>
          <w:szCs w:val="28"/>
        </w:rPr>
        <w:t>Contract title</w:t>
      </w:r>
      <w:r>
        <w:rPr>
          <w:b/>
          <w:color w:val="000000" w:themeColor="text1"/>
          <w:sz w:val="28"/>
          <w:szCs w:val="28"/>
        </w:rPr>
        <w:t xml:space="preserve">: </w:t>
      </w:r>
      <w:r>
        <w:rPr>
          <w:color w:val="000000" w:themeColor="text1"/>
          <w:sz w:val="28"/>
          <w:szCs w:val="28"/>
        </w:rPr>
        <w:t xml:space="preserve">Design, </w:t>
      </w:r>
      <w:proofErr w:type="gramStart"/>
      <w:r>
        <w:rPr>
          <w:color w:val="000000" w:themeColor="text1"/>
          <w:sz w:val="28"/>
          <w:szCs w:val="28"/>
        </w:rPr>
        <w:t>Supply</w:t>
      </w:r>
      <w:proofErr w:type="gramEnd"/>
      <w:r>
        <w:rPr>
          <w:color w:val="000000" w:themeColor="text1"/>
          <w:sz w:val="28"/>
          <w:szCs w:val="28"/>
        </w:rPr>
        <w:t xml:space="preserve"> and Installation of the New Single Window (NSW) System in North Macedonia</w:t>
      </w:r>
    </w:p>
    <w:p w14:paraId="55840F87" w14:textId="77777777" w:rsidR="00157AAA" w:rsidRDefault="006C1BE5">
      <w:pPr>
        <w:spacing w:before="60" w:after="60"/>
        <w:ind w:right="-540"/>
        <w:rPr>
          <w:i/>
          <w:color w:val="000000" w:themeColor="text1"/>
          <w:sz w:val="28"/>
          <w:szCs w:val="28"/>
        </w:rPr>
      </w:pPr>
      <w:r>
        <w:rPr>
          <w:color w:val="000000" w:themeColor="text1"/>
          <w:sz w:val="28"/>
          <w:szCs w:val="28"/>
        </w:rPr>
        <w:t>Country</w:t>
      </w:r>
      <w:r>
        <w:rPr>
          <w:b/>
          <w:color w:val="000000" w:themeColor="text1"/>
          <w:sz w:val="28"/>
          <w:szCs w:val="28"/>
        </w:rPr>
        <w:t xml:space="preserve">: </w:t>
      </w:r>
      <w:r>
        <w:rPr>
          <w:sz w:val="28"/>
          <w:szCs w:val="28"/>
        </w:rPr>
        <w:t>Republic of North Macedonia</w:t>
      </w:r>
    </w:p>
    <w:p w14:paraId="46549CC9" w14:textId="77777777" w:rsidR="00157AAA" w:rsidRDefault="006C1BE5">
      <w:pPr>
        <w:spacing w:before="60" w:after="60"/>
        <w:rPr>
          <w:i/>
          <w:color w:val="000000" w:themeColor="text1"/>
          <w:sz w:val="28"/>
          <w:szCs w:val="28"/>
        </w:rPr>
      </w:pPr>
      <w:r>
        <w:rPr>
          <w:color w:val="000000" w:themeColor="text1"/>
          <w:sz w:val="28"/>
          <w:szCs w:val="28"/>
        </w:rPr>
        <w:t xml:space="preserve">Loan No.: </w:t>
      </w:r>
      <w:r>
        <w:rPr>
          <w:sz w:val="28"/>
          <w:szCs w:val="28"/>
        </w:rPr>
        <w:t>IBRD 8929-MK</w:t>
      </w:r>
    </w:p>
    <w:p w14:paraId="370FB6B1" w14:textId="77777777" w:rsidR="00157AAA" w:rsidRDefault="006C1BE5">
      <w:pPr>
        <w:spacing w:before="60" w:after="60"/>
        <w:rPr>
          <w:b/>
          <w:color w:val="000000" w:themeColor="text1"/>
          <w:sz w:val="28"/>
          <w:szCs w:val="28"/>
        </w:rPr>
      </w:pPr>
      <w:r>
        <w:rPr>
          <w:color w:val="000000" w:themeColor="text1"/>
          <w:sz w:val="28"/>
          <w:szCs w:val="28"/>
        </w:rPr>
        <w:t>RFB No:</w:t>
      </w:r>
      <w:r>
        <w:rPr>
          <w:b/>
          <w:color w:val="000000" w:themeColor="text1"/>
          <w:sz w:val="28"/>
          <w:szCs w:val="28"/>
        </w:rPr>
        <w:t xml:space="preserve"> </w:t>
      </w:r>
      <w:r>
        <w:rPr>
          <w:color w:val="000000" w:themeColor="text1"/>
          <w:sz w:val="28"/>
          <w:szCs w:val="28"/>
        </w:rPr>
        <w:t>WBTTFP-8929-MK-112C-RFB</w:t>
      </w:r>
    </w:p>
    <w:p w14:paraId="70E07ED0" w14:textId="369272B3" w:rsidR="00157AAA" w:rsidRDefault="006C1BE5">
      <w:pPr>
        <w:jc w:val="left"/>
        <w:rPr>
          <w:i/>
          <w:color w:val="000000" w:themeColor="text1"/>
          <w:sz w:val="28"/>
          <w:szCs w:val="28"/>
        </w:rPr>
      </w:pPr>
      <w:r>
        <w:rPr>
          <w:color w:val="000000" w:themeColor="text1"/>
          <w:sz w:val="28"/>
          <w:szCs w:val="28"/>
        </w:rPr>
        <w:t>Issued on:</w:t>
      </w:r>
      <w:r>
        <w:rPr>
          <w:b/>
          <w:color w:val="000000" w:themeColor="text1"/>
          <w:sz w:val="28"/>
          <w:szCs w:val="28"/>
        </w:rPr>
        <w:t xml:space="preserve"> </w:t>
      </w:r>
      <w:r w:rsidR="00C43945" w:rsidRPr="00C43945">
        <w:rPr>
          <w:bCs/>
          <w:sz w:val="28"/>
          <w:szCs w:val="28"/>
        </w:rPr>
        <w:t>22</w:t>
      </w:r>
      <w:r w:rsidR="00F0374D" w:rsidRPr="00C43945">
        <w:rPr>
          <w:bCs/>
          <w:sz w:val="28"/>
          <w:szCs w:val="28"/>
        </w:rPr>
        <w:t xml:space="preserve"> </w:t>
      </w:r>
      <w:r w:rsidR="00194EE0" w:rsidRPr="00C43945">
        <w:rPr>
          <w:bCs/>
          <w:sz w:val="28"/>
          <w:szCs w:val="28"/>
        </w:rPr>
        <w:t>May</w:t>
      </w:r>
      <w:r w:rsidR="00F0374D" w:rsidRPr="00C43945">
        <w:rPr>
          <w:bCs/>
          <w:sz w:val="28"/>
          <w:szCs w:val="28"/>
        </w:rPr>
        <w:t xml:space="preserve"> 2024</w:t>
      </w:r>
    </w:p>
    <w:p w14:paraId="32798413" w14:textId="77777777" w:rsidR="00157AAA" w:rsidRDefault="00157AAA">
      <w:pPr>
        <w:tabs>
          <w:tab w:val="left" w:pos="8640"/>
        </w:tabs>
        <w:jc w:val="center"/>
        <w:rPr>
          <w:b/>
          <w:sz w:val="32"/>
          <w:szCs w:val="32"/>
        </w:rPr>
        <w:sectPr w:rsidR="00157AAA" w:rsidSect="00734667">
          <w:headerReference w:type="default" r:id="rId23"/>
          <w:footnotePr>
            <w:numRestart w:val="eachPage"/>
          </w:footnotePr>
          <w:endnotePr>
            <w:numRestart w:val="eachSect"/>
          </w:endnotePr>
          <w:type w:val="continuous"/>
          <w:pgSz w:w="12240" w:h="15840"/>
          <w:pgMar w:top="1440" w:right="1440" w:bottom="1440" w:left="1440" w:header="720" w:footer="432" w:gutter="0"/>
          <w:pgNumType w:start="1"/>
          <w:cols w:space="720"/>
          <w:docGrid w:linePitch="360"/>
        </w:sectPr>
      </w:pPr>
    </w:p>
    <w:p w14:paraId="7ACCA22B" w14:textId="77777777" w:rsidR="00157AAA" w:rsidRDefault="006C1BE5">
      <w:pPr>
        <w:tabs>
          <w:tab w:val="left" w:pos="8640"/>
        </w:tabs>
        <w:jc w:val="center"/>
        <w:rPr>
          <w:b/>
          <w:sz w:val="32"/>
          <w:szCs w:val="32"/>
        </w:rPr>
      </w:pPr>
      <w:r>
        <w:rPr>
          <w:b/>
          <w:sz w:val="32"/>
          <w:szCs w:val="32"/>
        </w:rPr>
        <w:lastRenderedPageBreak/>
        <w:t>Table of Contents</w:t>
      </w:r>
    </w:p>
    <w:p w14:paraId="17764096" w14:textId="77777777" w:rsidR="00157AAA" w:rsidRDefault="00157AAA">
      <w:pPr>
        <w:tabs>
          <w:tab w:val="left" w:pos="8640"/>
        </w:tabs>
        <w:rPr>
          <w:b/>
          <w:sz w:val="32"/>
          <w:szCs w:val="32"/>
        </w:rPr>
      </w:pPr>
    </w:p>
    <w:p w14:paraId="2E9882CD" w14:textId="76475D6E" w:rsidR="00157AAA" w:rsidRDefault="006C1BE5">
      <w:pPr>
        <w:pStyle w:val="TOC1"/>
        <w:rPr>
          <w:rFonts w:asciiTheme="minorHAnsi" w:eastAsiaTheme="minorEastAsia" w:hAnsiTheme="minorHAnsi" w:cstheme="minorBidi"/>
          <w:b w:val="0"/>
          <w:sz w:val="22"/>
          <w:szCs w:val="22"/>
        </w:rPr>
      </w:pPr>
      <w:r>
        <w:rPr>
          <w:rFonts w:ascii="Times New Roman" w:hAnsi="Times New Roman"/>
        </w:rPr>
        <w:fldChar w:fldCharType="begin"/>
      </w:r>
      <w:r>
        <w:rPr>
          <w:rFonts w:ascii="Times New Roman" w:hAnsi="Times New Roman"/>
        </w:rPr>
        <w:instrText xml:space="preserve"> TOC \h \z \t "Head 0.2,1,Section VII Header2,1,Section X Header 3,1,UG - Part,1" </w:instrText>
      </w:r>
      <w:r>
        <w:rPr>
          <w:rFonts w:ascii="Times New Roman" w:hAnsi="Times New Roman"/>
        </w:rPr>
        <w:fldChar w:fldCharType="separate"/>
      </w:r>
      <w:hyperlink w:anchor="_Toc73977448" w:tooltip="#_Toc73977448" w:history="1">
        <w:r>
          <w:rPr>
            <w:rStyle w:val="Hyperlink"/>
            <w:rFonts w:ascii="Times New Roman" w:hAnsi="Times New Roman"/>
          </w:rPr>
          <w:t>Section I - Instructions to Bidders (ITB)</w:t>
        </w:r>
        <w:r>
          <w:tab/>
        </w:r>
        <w:r>
          <w:fldChar w:fldCharType="begin"/>
        </w:r>
        <w:r>
          <w:instrText xml:space="preserve"> PAGEREF _Toc73977448 \h </w:instrText>
        </w:r>
        <w:r>
          <w:fldChar w:fldCharType="separate"/>
        </w:r>
        <w:r w:rsidR="00060F24">
          <w:rPr>
            <w:noProof/>
          </w:rPr>
          <w:t>2</w:t>
        </w:r>
        <w:r>
          <w:fldChar w:fldCharType="end"/>
        </w:r>
      </w:hyperlink>
    </w:p>
    <w:p w14:paraId="2BDEB0D1" w14:textId="419560CE" w:rsidR="00157AAA" w:rsidRDefault="00000000">
      <w:pPr>
        <w:pStyle w:val="TOC1"/>
        <w:rPr>
          <w:rFonts w:asciiTheme="minorHAnsi" w:eastAsiaTheme="minorEastAsia" w:hAnsiTheme="minorHAnsi" w:cstheme="minorBidi"/>
          <w:b w:val="0"/>
          <w:sz w:val="22"/>
          <w:szCs w:val="22"/>
        </w:rPr>
      </w:pPr>
      <w:hyperlink w:anchor="_Toc73977449" w:tooltip="#_Toc73977449" w:history="1">
        <w:r w:rsidR="006C1BE5">
          <w:rPr>
            <w:rStyle w:val="Hyperlink"/>
            <w:rFonts w:ascii="Times New Roman" w:hAnsi="Times New Roman"/>
          </w:rPr>
          <w:t>Section II - Bid Data Sheet (BDS)</w:t>
        </w:r>
        <w:r w:rsidR="006C1BE5">
          <w:tab/>
        </w:r>
        <w:r w:rsidR="006C1BE5">
          <w:fldChar w:fldCharType="begin"/>
        </w:r>
        <w:r w:rsidR="006C1BE5">
          <w:instrText xml:space="preserve"> PAGEREF _Toc73977449 \h </w:instrText>
        </w:r>
        <w:r w:rsidR="006C1BE5">
          <w:fldChar w:fldCharType="separate"/>
        </w:r>
        <w:r w:rsidR="00060F24">
          <w:rPr>
            <w:noProof/>
          </w:rPr>
          <w:t>39</w:t>
        </w:r>
        <w:r w:rsidR="006C1BE5">
          <w:fldChar w:fldCharType="end"/>
        </w:r>
      </w:hyperlink>
    </w:p>
    <w:p w14:paraId="1931FA33" w14:textId="2AD4A2FF" w:rsidR="00157AAA" w:rsidRDefault="00000000">
      <w:pPr>
        <w:pStyle w:val="TOC1"/>
        <w:rPr>
          <w:rFonts w:asciiTheme="minorHAnsi" w:eastAsiaTheme="minorEastAsia" w:hAnsiTheme="minorHAnsi" w:cstheme="minorBidi"/>
          <w:b w:val="0"/>
          <w:sz w:val="22"/>
          <w:szCs w:val="22"/>
        </w:rPr>
      </w:pPr>
      <w:hyperlink w:anchor="_Toc73977451" w:tooltip="#_Toc73977451" w:history="1">
        <w:r w:rsidR="006C1BE5">
          <w:rPr>
            <w:rStyle w:val="Hyperlink"/>
          </w:rPr>
          <w:t>Section III - Evaluation and Qualification Criteria (Without Prequalification)</w:t>
        </w:r>
        <w:r w:rsidR="006C1BE5">
          <w:tab/>
        </w:r>
        <w:r w:rsidR="006C1BE5">
          <w:fldChar w:fldCharType="begin"/>
        </w:r>
        <w:r w:rsidR="006C1BE5">
          <w:instrText xml:space="preserve"> PAGEREF _Toc73977451 \h </w:instrText>
        </w:r>
        <w:r w:rsidR="006C1BE5">
          <w:fldChar w:fldCharType="separate"/>
        </w:r>
        <w:r w:rsidR="00060F24">
          <w:rPr>
            <w:noProof/>
          </w:rPr>
          <w:t>49</w:t>
        </w:r>
        <w:r w:rsidR="006C1BE5">
          <w:fldChar w:fldCharType="end"/>
        </w:r>
      </w:hyperlink>
    </w:p>
    <w:p w14:paraId="2D5839D0" w14:textId="3A7DE72E" w:rsidR="00157AAA" w:rsidRDefault="00000000">
      <w:pPr>
        <w:pStyle w:val="TOC1"/>
        <w:rPr>
          <w:rFonts w:asciiTheme="minorHAnsi" w:eastAsiaTheme="minorEastAsia" w:hAnsiTheme="minorHAnsi" w:cstheme="minorBidi"/>
          <w:b w:val="0"/>
          <w:sz w:val="22"/>
          <w:szCs w:val="22"/>
        </w:rPr>
      </w:pPr>
      <w:hyperlink w:anchor="_Toc73977452" w:tooltip="#_Toc73977452" w:history="1">
        <w:r w:rsidR="006C1BE5">
          <w:rPr>
            <w:rStyle w:val="Hyperlink"/>
            <w:rFonts w:ascii="Times New Roman" w:hAnsi="Times New Roman"/>
          </w:rPr>
          <w:t>Section IV - Bidding Forms</w:t>
        </w:r>
        <w:r w:rsidR="006C1BE5">
          <w:tab/>
        </w:r>
        <w:r w:rsidR="006C1BE5">
          <w:fldChar w:fldCharType="begin"/>
        </w:r>
        <w:r w:rsidR="006C1BE5">
          <w:instrText xml:space="preserve"> PAGEREF _Toc73977452 \h </w:instrText>
        </w:r>
        <w:r w:rsidR="006C1BE5">
          <w:fldChar w:fldCharType="separate"/>
        </w:r>
        <w:r w:rsidR="00060F24">
          <w:rPr>
            <w:noProof/>
          </w:rPr>
          <w:t>65</w:t>
        </w:r>
        <w:r w:rsidR="006C1BE5">
          <w:fldChar w:fldCharType="end"/>
        </w:r>
      </w:hyperlink>
    </w:p>
    <w:p w14:paraId="2CAEBEC0" w14:textId="0B1AA1B0" w:rsidR="00157AAA" w:rsidRDefault="00000000">
      <w:pPr>
        <w:pStyle w:val="TOC1"/>
        <w:rPr>
          <w:rFonts w:asciiTheme="minorHAnsi" w:eastAsiaTheme="minorEastAsia" w:hAnsiTheme="minorHAnsi" w:cstheme="minorBidi"/>
          <w:b w:val="0"/>
          <w:sz w:val="22"/>
          <w:szCs w:val="22"/>
        </w:rPr>
      </w:pPr>
      <w:hyperlink w:anchor="_Toc73977453" w:tooltip="#_Toc73977453" w:history="1">
        <w:r w:rsidR="006C1BE5">
          <w:rPr>
            <w:rStyle w:val="Hyperlink"/>
            <w:rFonts w:ascii="Times New Roman" w:hAnsi="Times New Roman"/>
          </w:rPr>
          <w:t>Section V - Eligible Countries</w:t>
        </w:r>
        <w:r w:rsidR="006C1BE5">
          <w:tab/>
        </w:r>
        <w:r w:rsidR="006C1BE5">
          <w:fldChar w:fldCharType="begin"/>
        </w:r>
        <w:r w:rsidR="006C1BE5">
          <w:instrText xml:space="preserve"> PAGEREF _Toc73977453 \h </w:instrText>
        </w:r>
        <w:r w:rsidR="006C1BE5">
          <w:fldChar w:fldCharType="separate"/>
        </w:r>
        <w:r w:rsidR="00060F24">
          <w:rPr>
            <w:noProof/>
          </w:rPr>
          <w:t>233</w:t>
        </w:r>
        <w:r w:rsidR="006C1BE5">
          <w:fldChar w:fldCharType="end"/>
        </w:r>
      </w:hyperlink>
    </w:p>
    <w:p w14:paraId="46D88B97" w14:textId="17B9857A" w:rsidR="00157AAA" w:rsidRDefault="00000000">
      <w:pPr>
        <w:pStyle w:val="TOC1"/>
        <w:rPr>
          <w:rFonts w:asciiTheme="minorHAnsi" w:eastAsiaTheme="minorEastAsia" w:hAnsiTheme="minorHAnsi" w:cstheme="minorBidi"/>
          <w:b w:val="0"/>
          <w:sz w:val="22"/>
          <w:szCs w:val="22"/>
        </w:rPr>
      </w:pPr>
      <w:hyperlink w:anchor="_Toc73977454" w:tooltip="#_Toc73977454" w:history="1">
        <w:r w:rsidR="006C1BE5">
          <w:rPr>
            <w:rStyle w:val="Hyperlink"/>
            <w:rFonts w:ascii="Times New Roman" w:hAnsi="Times New Roman"/>
          </w:rPr>
          <w:t>Section VI - Fraud and Corruption</w:t>
        </w:r>
        <w:r w:rsidR="006C1BE5">
          <w:tab/>
        </w:r>
        <w:r w:rsidR="006C1BE5">
          <w:fldChar w:fldCharType="begin"/>
        </w:r>
        <w:r w:rsidR="006C1BE5">
          <w:instrText xml:space="preserve"> PAGEREF _Toc73977454 \h </w:instrText>
        </w:r>
        <w:r w:rsidR="006C1BE5">
          <w:fldChar w:fldCharType="separate"/>
        </w:r>
        <w:r w:rsidR="00060F24">
          <w:rPr>
            <w:noProof/>
          </w:rPr>
          <w:t>235</w:t>
        </w:r>
        <w:r w:rsidR="006C1BE5">
          <w:fldChar w:fldCharType="end"/>
        </w:r>
      </w:hyperlink>
    </w:p>
    <w:p w14:paraId="7C6FF066" w14:textId="43425710" w:rsidR="00157AAA" w:rsidRDefault="00000000">
      <w:pPr>
        <w:pStyle w:val="TOC1"/>
        <w:rPr>
          <w:rFonts w:asciiTheme="minorHAnsi" w:eastAsiaTheme="minorEastAsia" w:hAnsiTheme="minorHAnsi" w:cstheme="minorBidi"/>
          <w:b w:val="0"/>
          <w:sz w:val="22"/>
          <w:szCs w:val="22"/>
        </w:rPr>
      </w:pPr>
      <w:hyperlink w:anchor="_Toc73977455" w:tooltip="#_Toc73977455" w:history="1">
        <w:r w:rsidR="006C1BE5">
          <w:rPr>
            <w:rStyle w:val="Hyperlink"/>
            <w:rFonts w:ascii="Times New Roman" w:hAnsi="Times New Roman"/>
          </w:rPr>
          <w:t>Section VII - Requirements of the Information System</w:t>
        </w:r>
        <w:r w:rsidR="006C1BE5">
          <w:tab/>
        </w:r>
        <w:r w:rsidR="006C1BE5">
          <w:fldChar w:fldCharType="begin"/>
        </w:r>
        <w:r w:rsidR="006C1BE5">
          <w:instrText xml:space="preserve"> PAGEREF _Toc73977455 \h </w:instrText>
        </w:r>
        <w:r w:rsidR="006C1BE5">
          <w:fldChar w:fldCharType="separate"/>
        </w:r>
        <w:r w:rsidR="00060F24">
          <w:rPr>
            <w:noProof/>
          </w:rPr>
          <w:t>238</w:t>
        </w:r>
        <w:r w:rsidR="006C1BE5">
          <w:fldChar w:fldCharType="end"/>
        </w:r>
      </w:hyperlink>
    </w:p>
    <w:p w14:paraId="6D66835F" w14:textId="6312CE10" w:rsidR="00157AAA" w:rsidRDefault="00000000">
      <w:pPr>
        <w:pStyle w:val="TOC1"/>
        <w:rPr>
          <w:rFonts w:asciiTheme="minorHAnsi" w:eastAsiaTheme="minorEastAsia" w:hAnsiTheme="minorHAnsi" w:cstheme="minorBidi"/>
          <w:b w:val="0"/>
          <w:sz w:val="22"/>
          <w:szCs w:val="22"/>
        </w:rPr>
      </w:pPr>
      <w:hyperlink w:anchor="_Toc73977456" w:tooltip="#_Toc73977456" w:history="1">
        <w:r w:rsidR="006C1BE5">
          <w:rPr>
            <w:rStyle w:val="Hyperlink"/>
            <w:rFonts w:ascii="Times New Roman" w:hAnsi="Times New Roman"/>
          </w:rPr>
          <w:t>Section VIII - General Conditions of Contract</w:t>
        </w:r>
        <w:r w:rsidR="006C1BE5">
          <w:tab/>
        </w:r>
        <w:r w:rsidR="006C1BE5">
          <w:fldChar w:fldCharType="begin"/>
        </w:r>
        <w:r w:rsidR="006C1BE5">
          <w:instrText xml:space="preserve"> PAGEREF _Toc73977456 \h </w:instrText>
        </w:r>
        <w:r w:rsidR="006C1BE5">
          <w:fldChar w:fldCharType="separate"/>
        </w:r>
        <w:r w:rsidR="00060F24">
          <w:rPr>
            <w:noProof/>
          </w:rPr>
          <w:t>368</w:t>
        </w:r>
        <w:r w:rsidR="006C1BE5">
          <w:fldChar w:fldCharType="end"/>
        </w:r>
      </w:hyperlink>
    </w:p>
    <w:p w14:paraId="10CAB958" w14:textId="63782011" w:rsidR="00157AAA" w:rsidRDefault="00000000">
      <w:pPr>
        <w:pStyle w:val="TOC1"/>
        <w:rPr>
          <w:rFonts w:asciiTheme="minorHAnsi" w:eastAsiaTheme="minorEastAsia" w:hAnsiTheme="minorHAnsi" w:cstheme="minorBidi"/>
          <w:b w:val="0"/>
          <w:sz w:val="22"/>
          <w:szCs w:val="22"/>
        </w:rPr>
      </w:pPr>
      <w:hyperlink w:anchor="_Toc73977457" w:tooltip="#_Toc73977457" w:history="1">
        <w:r w:rsidR="006C1BE5">
          <w:rPr>
            <w:rStyle w:val="Hyperlink"/>
            <w:rFonts w:ascii="Times New Roman" w:hAnsi="Times New Roman"/>
          </w:rPr>
          <w:t>Section IX - Special Conditions of Contract</w:t>
        </w:r>
        <w:r w:rsidR="006C1BE5">
          <w:tab/>
        </w:r>
        <w:r w:rsidR="006C1BE5">
          <w:fldChar w:fldCharType="begin"/>
        </w:r>
        <w:r w:rsidR="006C1BE5">
          <w:instrText xml:space="preserve"> PAGEREF _Toc73977457 \h </w:instrText>
        </w:r>
        <w:r w:rsidR="006C1BE5">
          <w:fldChar w:fldCharType="separate"/>
        </w:r>
        <w:r w:rsidR="00060F24">
          <w:rPr>
            <w:noProof/>
          </w:rPr>
          <w:t>368</w:t>
        </w:r>
        <w:r w:rsidR="006C1BE5">
          <w:fldChar w:fldCharType="end"/>
        </w:r>
      </w:hyperlink>
    </w:p>
    <w:p w14:paraId="4C3512C0" w14:textId="1273075E" w:rsidR="00157AAA" w:rsidRDefault="00000000">
      <w:pPr>
        <w:pStyle w:val="TOC1"/>
        <w:rPr>
          <w:rFonts w:asciiTheme="minorHAnsi" w:eastAsiaTheme="minorEastAsia" w:hAnsiTheme="minorHAnsi" w:cstheme="minorBidi"/>
          <w:b w:val="0"/>
          <w:sz w:val="22"/>
          <w:szCs w:val="22"/>
        </w:rPr>
      </w:pPr>
      <w:hyperlink w:anchor="_Toc73977458" w:tooltip="#_Toc73977458" w:history="1">
        <w:r w:rsidR="006C1BE5">
          <w:rPr>
            <w:rStyle w:val="Hyperlink"/>
            <w:rFonts w:ascii="Times New Roman" w:hAnsi="Times New Roman"/>
          </w:rPr>
          <w:t>Section X - Contract Forms</w:t>
        </w:r>
        <w:r w:rsidR="006C1BE5">
          <w:tab/>
        </w:r>
        <w:r w:rsidR="006C1BE5">
          <w:fldChar w:fldCharType="begin"/>
        </w:r>
        <w:r w:rsidR="006C1BE5">
          <w:instrText xml:space="preserve"> PAGEREF _Toc73977458 \h </w:instrText>
        </w:r>
        <w:r w:rsidR="006C1BE5">
          <w:fldChar w:fldCharType="separate"/>
        </w:r>
        <w:r w:rsidR="00060F24">
          <w:rPr>
            <w:noProof/>
          </w:rPr>
          <w:t>368</w:t>
        </w:r>
        <w:r w:rsidR="006C1BE5">
          <w:fldChar w:fldCharType="end"/>
        </w:r>
      </w:hyperlink>
    </w:p>
    <w:p w14:paraId="2B1D28EB" w14:textId="77777777" w:rsidR="00157AAA" w:rsidRDefault="006C1BE5">
      <w:pPr>
        <w:pStyle w:val="TOC1"/>
        <w:rPr>
          <w:sz w:val="32"/>
          <w:szCs w:val="32"/>
        </w:rPr>
      </w:pPr>
      <w:r>
        <w:rPr>
          <w:rFonts w:ascii="Times New Roman" w:hAnsi="Times New Roman"/>
        </w:rPr>
        <w:fldChar w:fldCharType="end"/>
      </w:r>
      <w:r>
        <w:rPr>
          <w:sz w:val="32"/>
          <w:szCs w:val="32"/>
        </w:rPr>
        <w:t xml:space="preserve"> </w:t>
      </w:r>
    </w:p>
    <w:p w14:paraId="18B778B2" w14:textId="77777777" w:rsidR="00157AAA" w:rsidRDefault="00157AAA">
      <w:pPr>
        <w:tabs>
          <w:tab w:val="left" w:pos="8640"/>
        </w:tabs>
        <w:rPr>
          <w:b/>
          <w:sz w:val="32"/>
          <w:szCs w:val="32"/>
        </w:rPr>
      </w:pPr>
    </w:p>
    <w:p w14:paraId="41EFFFA4" w14:textId="77777777" w:rsidR="00157AAA" w:rsidRDefault="00157AAA">
      <w:pPr>
        <w:tabs>
          <w:tab w:val="left" w:pos="8640"/>
        </w:tabs>
        <w:rPr>
          <w:b/>
          <w:sz w:val="32"/>
          <w:szCs w:val="32"/>
        </w:rPr>
        <w:sectPr w:rsidR="00157AAA" w:rsidSect="00734667">
          <w:headerReference w:type="default" r:id="rId24"/>
          <w:footnotePr>
            <w:numRestart w:val="eachPage"/>
          </w:footnotePr>
          <w:endnotePr>
            <w:numRestart w:val="eachSect"/>
          </w:endnotePr>
          <w:pgSz w:w="12240" w:h="15840"/>
          <w:pgMar w:top="1440" w:right="1440" w:bottom="1440" w:left="1440" w:header="720" w:footer="432" w:gutter="0"/>
          <w:pgNumType w:start="1"/>
          <w:cols w:space="720"/>
          <w:docGrid w:linePitch="360"/>
        </w:sectPr>
      </w:pPr>
    </w:p>
    <w:p w14:paraId="2F2F06AE" w14:textId="77777777" w:rsidR="00157AAA" w:rsidRDefault="00157AAA">
      <w:pPr>
        <w:spacing w:before="1440"/>
        <w:jc w:val="center"/>
        <w:rPr>
          <w:b/>
          <w:sz w:val="72"/>
          <w:szCs w:val="72"/>
        </w:rPr>
      </w:pPr>
      <w:bookmarkStart w:id="1" w:name="_Toc384449969"/>
      <w:bookmarkStart w:id="2" w:name="_Toc384450256"/>
      <w:bookmarkStart w:id="3" w:name="_Toc384450309"/>
      <w:bookmarkStart w:id="4" w:name="_Toc521498733"/>
      <w:bookmarkStart w:id="5" w:name="_Toc215902357"/>
    </w:p>
    <w:p w14:paraId="3A1FFB5B" w14:textId="77777777" w:rsidR="00157AAA" w:rsidRDefault="006C1BE5">
      <w:pPr>
        <w:pStyle w:val="Head0"/>
        <w:rPr>
          <w:rFonts w:ascii="Times New Roman" w:hAnsi="Times New Roman"/>
          <w:sz w:val="44"/>
          <w:szCs w:val="44"/>
        </w:rPr>
      </w:pPr>
      <w:r>
        <w:rPr>
          <w:rFonts w:ascii="Times New Roman" w:hAnsi="Times New Roman"/>
          <w:sz w:val="44"/>
          <w:szCs w:val="44"/>
        </w:rPr>
        <w:t xml:space="preserve">PART 1 </w:t>
      </w:r>
      <w:r>
        <w:rPr>
          <w:rFonts w:ascii="Times New Roman" w:hAnsi="Times New Roman" w:hint="eastAsia"/>
          <w:sz w:val="44"/>
          <w:szCs w:val="44"/>
        </w:rPr>
        <w:t>–</w:t>
      </w:r>
      <w:r>
        <w:rPr>
          <w:rFonts w:ascii="Times New Roman" w:hAnsi="Times New Roman"/>
          <w:sz w:val="44"/>
          <w:szCs w:val="44"/>
        </w:rPr>
        <w:t xml:space="preserve"> Bidding Procedures</w:t>
      </w:r>
    </w:p>
    <w:p w14:paraId="77FAAA19" w14:textId="77777777" w:rsidR="00157AAA" w:rsidRDefault="00157AAA"/>
    <w:p w14:paraId="665C6B54" w14:textId="77777777" w:rsidR="00157AAA" w:rsidRDefault="00157AAA"/>
    <w:p w14:paraId="028E653D" w14:textId="77777777" w:rsidR="00157AAA" w:rsidRDefault="00157AAA"/>
    <w:p w14:paraId="2BCE81F8" w14:textId="77777777" w:rsidR="00157AAA" w:rsidRDefault="00157AAA"/>
    <w:p w14:paraId="2C5CD267" w14:textId="77777777" w:rsidR="00157AAA" w:rsidRDefault="00157AAA"/>
    <w:p w14:paraId="4D6E30E7" w14:textId="77777777" w:rsidR="00157AAA" w:rsidRDefault="006C1BE5">
      <w:pPr>
        <w:tabs>
          <w:tab w:val="center" w:pos="4680"/>
        </w:tabs>
        <w:sectPr w:rsidR="00157AAA" w:rsidSect="00734667">
          <w:headerReference w:type="even" r:id="rId25"/>
          <w:headerReference w:type="default" r:id="rId26"/>
          <w:footnotePr>
            <w:numRestart w:val="eachPage"/>
          </w:footnotePr>
          <w:endnotePr>
            <w:numRestart w:val="eachSect"/>
          </w:endnotePr>
          <w:pgSz w:w="12240" w:h="15840"/>
          <w:pgMar w:top="1440" w:right="1440" w:bottom="1440" w:left="1440" w:header="720" w:footer="432" w:gutter="0"/>
          <w:pgNumType w:start="1"/>
          <w:cols w:space="720"/>
          <w:docGrid w:linePitch="360"/>
        </w:sectPr>
      </w:pPr>
      <w:r>
        <w:tab/>
      </w:r>
    </w:p>
    <w:p w14:paraId="1756E9C8" w14:textId="77777777" w:rsidR="00157AAA" w:rsidRDefault="006C1BE5">
      <w:pPr>
        <w:pStyle w:val="Head02"/>
        <w:rPr>
          <w:rFonts w:ascii="Times New Roman" w:hAnsi="Times New Roman"/>
        </w:rPr>
      </w:pPr>
      <w:bookmarkStart w:id="6" w:name="_Toc445567350"/>
      <w:bookmarkStart w:id="7" w:name="_Toc73977448"/>
      <w:r>
        <w:rPr>
          <w:rFonts w:ascii="Times New Roman" w:hAnsi="Times New Roman"/>
        </w:rPr>
        <w:lastRenderedPageBreak/>
        <w:t>Section I - Instructions to Bidders (ITB)</w:t>
      </w:r>
      <w:bookmarkEnd w:id="6"/>
      <w:bookmarkEnd w:id="7"/>
    </w:p>
    <w:p w14:paraId="7C536BA7" w14:textId="77777777" w:rsidR="00157AAA" w:rsidRDefault="006C1BE5">
      <w:pPr>
        <w:pStyle w:val="Heading2"/>
        <w:numPr>
          <w:ilvl w:val="12"/>
          <w:numId w:val="0"/>
        </w:numPr>
        <w:pBdr>
          <w:bottom w:val="none" w:sz="0" w:space="0" w:color="auto"/>
        </w:pBdr>
        <w:rPr>
          <w:rFonts w:ascii="Times New Roman" w:hAnsi="Times New Roman"/>
        </w:rPr>
      </w:pPr>
      <w:bookmarkStart w:id="8" w:name="_Toc445567351"/>
      <w:r>
        <w:rPr>
          <w:rFonts w:ascii="Times New Roman" w:hAnsi="Times New Roman"/>
        </w:rPr>
        <w:t>Contents</w:t>
      </w:r>
      <w:bookmarkEnd w:id="8"/>
    </w:p>
    <w:p w14:paraId="2755E93E" w14:textId="77777777" w:rsidR="00157AAA" w:rsidRDefault="00157AAA">
      <w:pPr>
        <w:tabs>
          <w:tab w:val="left" w:pos="6306"/>
        </w:tabs>
        <w:jc w:val="left"/>
        <w:rPr>
          <w:sz w:val="22"/>
        </w:rPr>
      </w:pPr>
    </w:p>
    <w:p w14:paraId="30EAD629" w14:textId="2AAED8FC" w:rsidR="003C1B96" w:rsidRDefault="006C1BE5">
      <w:pPr>
        <w:pStyle w:val="TOC1"/>
        <w:tabs>
          <w:tab w:val="left" w:pos="907"/>
        </w:tabs>
        <w:rPr>
          <w:rFonts w:asciiTheme="minorHAnsi" w:eastAsiaTheme="minorEastAsia" w:hAnsiTheme="minorHAnsi" w:cstheme="minorBidi"/>
          <w:b w:val="0"/>
          <w:noProof/>
          <w:sz w:val="22"/>
          <w:szCs w:val="22"/>
        </w:rPr>
      </w:pPr>
      <w:r>
        <w:rPr>
          <w:sz w:val="22"/>
        </w:rPr>
        <w:fldChar w:fldCharType="begin"/>
      </w:r>
      <w:r>
        <w:rPr>
          <w:sz w:val="22"/>
        </w:rPr>
        <w:instrText xml:space="preserve"> TOC \h \z \t "ITB Heading 2,2,ITB Heading 1,1" </w:instrText>
      </w:r>
      <w:r>
        <w:rPr>
          <w:sz w:val="22"/>
        </w:rPr>
        <w:fldChar w:fldCharType="separate"/>
      </w:r>
      <w:hyperlink w:anchor="_Toc163505706" w:history="1">
        <w:r w:rsidR="003C1B96" w:rsidRPr="00894814">
          <w:rPr>
            <w:rStyle w:val="Hyperlink"/>
            <w:noProof/>
          </w:rPr>
          <w:t>A.</w:t>
        </w:r>
        <w:r w:rsidR="003C1B96">
          <w:rPr>
            <w:rFonts w:asciiTheme="minorHAnsi" w:eastAsiaTheme="minorEastAsia" w:hAnsiTheme="minorHAnsi" w:cstheme="minorBidi"/>
            <w:b w:val="0"/>
            <w:noProof/>
            <w:sz w:val="22"/>
            <w:szCs w:val="22"/>
          </w:rPr>
          <w:tab/>
        </w:r>
        <w:r w:rsidR="003C1B96" w:rsidRPr="00894814">
          <w:rPr>
            <w:rStyle w:val="Hyperlink"/>
            <w:noProof/>
          </w:rPr>
          <w:t>General</w:t>
        </w:r>
        <w:r w:rsidR="003C1B96">
          <w:rPr>
            <w:noProof/>
            <w:webHidden/>
          </w:rPr>
          <w:tab/>
        </w:r>
        <w:r w:rsidR="003C1B96">
          <w:rPr>
            <w:noProof/>
            <w:webHidden/>
          </w:rPr>
          <w:fldChar w:fldCharType="begin"/>
        </w:r>
        <w:r w:rsidR="003C1B96">
          <w:rPr>
            <w:noProof/>
            <w:webHidden/>
          </w:rPr>
          <w:instrText xml:space="preserve"> PAGEREF _Toc163505706 \h </w:instrText>
        </w:r>
        <w:r w:rsidR="003C1B96">
          <w:rPr>
            <w:noProof/>
            <w:webHidden/>
          </w:rPr>
        </w:r>
        <w:r w:rsidR="003C1B96">
          <w:rPr>
            <w:noProof/>
            <w:webHidden/>
          </w:rPr>
          <w:fldChar w:fldCharType="separate"/>
        </w:r>
        <w:r w:rsidR="003C1B96">
          <w:rPr>
            <w:noProof/>
            <w:webHidden/>
          </w:rPr>
          <w:t>4</w:t>
        </w:r>
        <w:r w:rsidR="003C1B96">
          <w:rPr>
            <w:noProof/>
            <w:webHidden/>
          </w:rPr>
          <w:fldChar w:fldCharType="end"/>
        </w:r>
      </w:hyperlink>
    </w:p>
    <w:p w14:paraId="3C26B0AC" w14:textId="02951B66" w:rsidR="003C1B96" w:rsidRDefault="00000000">
      <w:pPr>
        <w:pStyle w:val="TOC2"/>
        <w:rPr>
          <w:rFonts w:asciiTheme="minorHAnsi" w:eastAsiaTheme="minorEastAsia" w:hAnsiTheme="minorHAnsi" w:cstheme="minorBidi"/>
          <w:noProof/>
          <w:sz w:val="22"/>
          <w:szCs w:val="22"/>
        </w:rPr>
      </w:pPr>
      <w:hyperlink w:anchor="_Toc163505707" w:history="1">
        <w:r w:rsidR="003C1B96" w:rsidRPr="00894814">
          <w:rPr>
            <w:rStyle w:val="Hyperlink"/>
            <w:noProof/>
          </w:rPr>
          <w:t>1.</w:t>
        </w:r>
        <w:r w:rsidR="003C1B96">
          <w:rPr>
            <w:rFonts w:asciiTheme="minorHAnsi" w:eastAsiaTheme="minorEastAsia" w:hAnsiTheme="minorHAnsi" w:cstheme="minorBidi"/>
            <w:noProof/>
            <w:sz w:val="22"/>
            <w:szCs w:val="22"/>
          </w:rPr>
          <w:tab/>
        </w:r>
        <w:r w:rsidR="003C1B96" w:rsidRPr="00894814">
          <w:rPr>
            <w:rStyle w:val="Hyperlink"/>
            <w:noProof/>
          </w:rPr>
          <w:t>Scope of Bid</w:t>
        </w:r>
        <w:r w:rsidR="003C1B96">
          <w:rPr>
            <w:noProof/>
            <w:webHidden/>
          </w:rPr>
          <w:tab/>
        </w:r>
        <w:r w:rsidR="003C1B96">
          <w:rPr>
            <w:noProof/>
            <w:webHidden/>
          </w:rPr>
          <w:fldChar w:fldCharType="begin"/>
        </w:r>
        <w:r w:rsidR="003C1B96">
          <w:rPr>
            <w:noProof/>
            <w:webHidden/>
          </w:rPr>
          <w:instrText xml:space="preserve"> PAGEREF _Toc163505707 \h </w:instrText>
        </w:r>
        <w:r w:rsidR="003C1B96">
          <w:rPr>
            <w:noProof/>
            <w:webHidden/>
          </w:rPr>
        </w:r>
        <w:r w:rsidR="003C1B96">
          <w:rPr>
            <w:noProof/>
            <w:webHidden/>
          </w:rPr>
          <w:fldChar w:fldCharType="separate"/>
        </w:r>
        <w:r w:rsidR="003C1B96">
          <w:rPr>
            <w:noProof/>
            <w:webHidden/>
          </w:rPr>
          <w:t>4</w:t>
        </w:r>
        <w:r w:rsidR="003C1B96">
          <w:rPr>
            <w:noProof/>
            <w:webHidden/>
          </w:rPr>
          <w:fldChar w:fldCharType="end"/>
        </w:r>
      </w:hyperlink>
    </w:p>
    <w:p w14:paraId="33547ECB" w14:textId="220679B3" w:rsidR="003C1B96" w:rsidRDefault="00000000">
      <w:pPr>
        <w:pStyle w:val="TOC2"/>
        <w:rPr>
          <w:rFonts w:asciiTheme="minorHAnsi" w:eastAsiaTheme="minorEastAsia" w:hAnsiTheme="minorHAnsi" w:cstheme="minorBidi"/>
          <w:noProof/>
          <w:sz w:val="22"/>
          <w:szCs w:val="22"/>
        </w:rPr>
      </w:pPr>
      <w:hyperlink w:anchor="_Toc163505708" w:history="1">
        <w:r w:rsidR="003C1B96" w:rsidRPr="00894814">
          <w:rPr>
            <w:rStyle w:val="Hyperlink"/>
            <w:noProof/>
          </w:rPr>
          <w:t>2.</w:t>
        </w:r>
        <w:r w:rsidR="003C1B96">
          <w:rPr>
            <w:rFonts w:asciiTheme="minorHAnsi" w:eastAsiaTheme="minorEastAsia" w:hAnsiTheme="minorHAnsi" w:cstheme="minorBidi"/>
            <w:noProof/>
            <w:sz w:val="22"/>
            <w:szCs w:val="22"/>
          </w:rPr>
          <w:tab/>
        </w:r>
        <w:r w:rsidR="003C1B96" w:rsidRPr="00894814">
          <w:rPr>
            <w:rStyle w:val="Hyperlink"/>
            <w:noProof/>
          </w:rPr>
          <w:t>Source of Funds</w:t>
        </w:r>
        <w:r w:rsidR="003C1B96">
          <w:rPr>
            <w:noProof/>
            <w:webHidden/>
          </w:rPr>
          <w:tab/>
        </w:r>
        <w:r w:rsidR="003C1B96">
          <w:rPr>
            <w:noProof/>
            <w:webHidden/>
          </w:rPr>
          <w:fldChar w:fldCharType="begin"/>
        </w:r>
        <w:r w:rsidR="003C1B96">
          <w:rPr>
            <w:noProof/>
            <w:webHidden/>
          </w:rPr>
          <w:instrText xml:space="preserve"> PAGEREF _Toc163505708 \h </w:instrText>
        </w:r>
        <w:r w:rsidR="003C1B96">
          <w:rPr>
            <w:noProof/>
            <w:webHidden/>
          </w:rPr>
        </w:r>
        <w:r w:rsidR="003C1B96">
          <w:rPr>
            <w:noProof/>
            <w:webHidden/>
          </w:rPr>
          <w:fldChar w:fldCharType="separate"/>
        </w:r>
        <w:r w:rsidR="003C1B96">
          <w:rPr>
            <w:noProof/>
            <w:webHidden/>
          </w:rPr>
          <w:t>5</w:t>
        </w:r>
        <w:r w:rsidR="003C1B96">
          <w:rPr>
            <w:noProof/>
            <w:webHidden/>
          </w:rPr>
          <w:fldChar w:fldCharType="end"/>
        </w:r>
      </w:hyperlink>
    </w:p>
    <w:p w14:paraId="4B90F016" w14:textId="1C7973DB" w:rsidR="003C1B96" w:rsidRDefault="00000000">
      <w:pPr>
        <w:pStyle w:val="TOC2"/>
        <w:rPr>
          <w:rFonts w:asciiTheme="minorHAnsi" w:eastAsiaTheme="minorEastAsia" w:hAnsiTheme="minorHAnsi" w:cstheme="minorBidi"/>
          <w:noProof/>
          <w:sz w:val="22"/>
          <w:szCs w:val="22"/>
        </w:rPr>
      </w:pPr>
      <w:hyperlink w:anchor="_Toc163505709" w:history="1">
        <w:r w:rsidR="003C1B96" w:rsidRPr="00894814">
          <w:rPr>
            <w:rStyle w:val="Hyperlink"/>
            <w:noProof/>
          </w:rPr>
          <w:t>3.</w:t>
        </w:r>
        <w:r w:rsidR="003C1B96">
          <w:rPr>
            <w:rFonts w:asciiTheme="minorHAnsi" w:eastAsiaTheme="minorEastAsia" w:hAnsiTheme="minorHAnsi" w:cstheme="minorBidi"/>
            <w:noProof/>
            <w:sz w:val="22"/>
            <w:szCs w:val="22"/>
          </w:rPr>
          <w:tab/>
        </w:r>
        <w:r w:rsidR="003C1B96" w:rsidRPr="00894814">
          <w:rPr>
            <w:rStyle w:val="Hyperlink"/>
            <w:noProof/>
          </w:rPr>
          <w:t>Fraud and Corruption</w:t>
        </w:r>
        <w:r w:rsidR="003C1B96">
          <w:rPr>
            <w:noProof/>
            <w:webHidden/>
          </w:rPr>
          <w:tab/>
        </w:r>
        <w:r w:rsidR="003C1B96">
          <w:rPr>
            <w:noProof/>
            <w:webHidden/>
          </w:rPr>
          <w:fldChar w:fldCharType="begin"/>
        </w:r>
        <w:r w:rsidR="003C1B96">
          <w:rPr>
            <w:noProof/>
            <w:webHidden/>
          </w:rPr>
          <w:instrText xml:space="preserve"> PAGEREF _Toc163505709 \h </w:instrText>
        </w:r>
        <w:r w:rsidR="003C1B96">
          <w:rPr>
            <w:noProof/>
            <w:webHidden/>
          </w:rPr>
        </w:r>
        <w:r w:rsidR="003C1B96">
          <w:rPr>
            <w:noProof/>
            <w:webHidden/>
          </w:rPr>
          <w:fldChar w:fldCharType="separate"/>
        </w:r>
        <w:r w:rsidR="003C1B96">
          <w:rPr>
            <w:noProof/>
            <w:webHidden/>
          </w:rPr>
          <w:t>5</w:t>
        </w:r>
        <w:r w:rsidR="003C1B96">
          <w:rPr>
            <w:noProof/>
            <w:webHidden/>
          </w:rPr>
          <w:fldChar w:fldCharType="end"/>
        </w:r>
      </w:hyperlink>
    </w:p>
    <w:p w14:paraId="12575AA1" w14:textId="20BE2720" w:rsidR="003C1B96" w:rsidRDefault="00000000">
      <w:pPr>
        <w:pStyle w:val="TOC2"/>
        <w:rPr>
          <w:rFonts w:asciiTheme="minorHAnsi" w:eastAsiaTheme="minorEastAsia" w:hAnsiTheme="minorHAnsi" w:cstheme="minorBidi"/>
          <w:noProof/>
          <w:sz w:val="22"/>
          <w:szCs w:val="22"/>
        </w:rPr>
      </w:pPr>
      <w:hyperlink w:anchor="_Toc163505710" w:history="1">
        <w:r w:rsidR="003C1B96" w:rsidRPr="00894814">
          <w:rPr>
            <w:rStyle w:val="Hyperlink"/>
            <w:noProof/>
          </w:rPr>
          <w:t>4.</w:t>
        </w:r>
        <w:r w:rsidR="003C1B96">
          <w:rPr>
            <w:rFonts w:asciiTheme="minorHAnsi" w:eastAsiaTheme="minorEastAsia" w:hAnsiTheme="minorHAnsi" w:cstheme="minorBidi"/>
            <w:noProof/>
            <w:sz w:val="22"/>
            <w:szCs w:val="22"/>
          </w:rPr>
          <w:tab/>
        </w:r>
        <w:r w:rsidR="003C1B96" w:rsidRPr="00894814">
          <w:rPr>
            <w:rStyle w:val="Hyperlink"/>
            <w:noProof/>
          </w:rPr>
          <w:t>Eligible Bidders</w:t>
        </w:r>
        <w:r w:rsidR="003C1B96">
          <w:rPr>
            <w:noProof/>
            <w:webHidden/>
          </w:rPr>
          <w:tab/>
        </w:r>
        <w:r w:rsidR="003C1B96">
          <w:rPr>
            <w:noProof/>
            <w:webHidden/>
          </w:rPr>
          <w:fldChar w:fldCharType="begin"/>
        </w:r>
        <w:r w:rsidR="003C1B96">
          <w:rPr>
            <w:noProof/>
            <w:webHidden/>
          </w:rPr>
          <w:instrText xml:space="preserve"> PAGEREF _Toc163505710 \h </w:instrText>
        </w:r>
        <w:r w:rsidR="003C1B96">
          <w:rPr>
            <w:noProof/>
            <w:webHidden/>
          </w:rPr>
        </w:r>
        <w:r w:rsidR="003C1B96">
          <w:rPr>
            <w:noProof/>
            <w:webHidden/>
          </w:rPr>
          <w:fldChar w:fldCharType="separate"/>
        </w:r>
        <w:r w:rsidR="003C1B96">
          <w:rPr>
            <w:noProof/>
            <w:webHidden/>
          </w:rPr>
          <w:t>6</w:t>
        </w:r>
        <w:r w:rsidR="003C1B96">
          <w:rPr>
            <w:noProof/>
            <w:webHidden/>
          </w:rPr>
          <w:fldChar w:fldCharType="end"/>
        </w:r>
      </w:hyperlink>
    </w:p>
    <w:p w14:paraId="3C3C95C6" w14:textId="40D477A0" w:rsidR="003C1B96" w:rsidRDefault="00000000">
      <w:pPr>
        <w:pStyle w:val="TOC2"/>
        <w:rPr>
          <w:rFonts w:asciiTheme="minorHAnsi" w:eastAsiaTheme="minorEastAsia" w:hAnsiTheme="minorHAnsi" w:cstheme="minorBidi"/>
          <w:noProof/>
          <w:sz w:val="22"/>
          <w:szCs w:val="22"/>
        </w:rPr>
      </w:pPr>
      <w:hyperlink w:anchor="_Toc163505711" w:history="1">
        <w:r w:rsidR="003C1B96" w:rsidRPr="00894814">
          <w:rPr>
            <w:rStyle w:val="Hyperlink"/>
            <w:noProof/>
          </w:rPr>
          <w:t>5.</w:t>
        </w:r>
        <w:r w:rsidR="003C1B96">
          <w:rPr>
            <w:rFonts w:asciiTheme="minorHAnsi" w:eastAsiaTheme="minorEastAsia" w:hAnsiTheme="minorHAnsi" w:cstheme="minorBidi"/>
            <w:noProof/>
            <w:sz w:val="22"/>
            <w:szCs w:val="22"/>
          </w:rPr>
          <w:tab/>
        </w:r>
        <w:r w:rsidR="003C1B96" w:rsidRPr="00894814">
          <w:rPr>
            <w:rStyle w:val="Hyperlink"/>
            <w:noProof/>
          </w:rPr>
          <w:t>Eligible Goods and Services</w:t>
        </w:r>
        <w:r w:rsidR="003C1B96">
          <w:rPr>
            <w:noProof/>
            <w:webHidden/>
          </w:rPr>
          <w:tab/>
        </w:r>
        <w:r w:rsidR="003C1B96">
          <w:rPr>
            <w:noProof/>
            <w:webHidden/>
          </w:rPr>
          <w:fldChar w:fldCharType="begin"/>
        </w:r>
        <w:r w:rsidR="003C1B96">
          <w:rPr>
            <w:noProof/>
            <w:webHidden/>
          </w:rPr>
          <w:instrText xml:space="preserve"> PAGEREF _Toc163505711 \h </w:instrText>
        </w:r>
        <w:r w:rsidR="003C1B96">
          <w:rPr>
            <w:noProof/>
            <w:webHidden/>
          </w:rPr>
        </w:r>
        <w:r w:rsidR="003C1B96">
          <w:rPr>
            <w:noProof/>
            <w:webHidden/>
          </w:rPr>
          <w:fldChar w:fldCharType="separate"/>
        </w:r>
        <w:r w:rsidR="003C1B96">
          <w:rPr>
            <w:noProof/>
            <w:webHidden/>
          </w:rPr>
          <w:t>9</w:t>
        </w:r>
        <w:r w:rsidR="003C1B96">
          <w:rPr>
            <w:noProof/>
            <w:webHidden/>
          </w:rPr>
          <w:fldChar w:fldCharType="end"/>
        </w:r>
      </w:hyperlink>
    </w:p>
    <w:p w14:paraId="7B4AAB1C" w14:textId="5A6B61BC" w:rsidR="003C1B96" w:rsidRDefault="00000000">
      <w:pPr>
        <w:pStyle w:val="TOC1"/>
        <w:rPr>
          <w:rFonts w:asciiTheme="minorHAnsi" w:eastAsiaTheme="minorEastAsia" w:hAnsiTheme="minorHAnsi" w:cstheme="minorBidi"/>
          <w:b w:val="0"/>
          <w:noProof/>
          <w:sz w:val="22"/>
          <w:szCs w:val="22"/>
        </w:rPr>
      </w:pPr>
      <w:hyperlink w:anchor="_Toc163505712" w:history="1">
        <w:r w:rsidR="003C1B96" w:rsidRPr="00894814">
          <w:rPr>
            <w:rStyle w:val="Hyperlink"/>
            <w:noProof/>
          </w:rPr>
          <w:t>B. Contents of Bidding Document</w:t>
        </w:r>
        <w:r w:rsidR="003C1B96">
          <w:rPr>
            <w:noProof/>
            <w:webHidden/>
          </w:rPr>
          <w:tab/>
        </w:r>
        <w:r w:rsidR="003C1B96">
          <w:rPr>
            <w:noProof/>
            <w:webHidden/>
          </w:rPr>
          <w:fldChar w:fldCharType="begin"/>
        </w:r>
        <w:r w:rsidR="003C1B96">
          <w:rPr>
            <w:noProof/>
            <w:webHidden/>
          </w:rPr>
          <w:instrText xml:space="preserve"> PAGEREF _Toc163505712 \h </w:instrText>
        </w:r>
        <w:r w:rsidR="003C1B96">
          <w:rPr>
            <w:noProof/>
            <w:webHidden/>
          </w:rPr>
        </w:r>
        <w:r w:rsidR="003C1B96">
          <w:rPr>
            <w:noProof/>
            <w:webHidden/>
          </w:rPr>
          <w:fldChar w:fldCharType="separate"/>
        </w:r>
        <w:r w:rsidR="003C1B96">
          <w:rPr>
            <w:noProof/>
            <w:webHidden/>
          </w:rPr>
          <w:t>9</w:t>
        </w:r>
        <w:r w:rsidR="003C1B96">
          <w:rPr>
            <w:noProof/>
            <w:webHidden/>
          </w:rPr>
          <w:fldChar w:fldCharType="end"/>
        </w:r>
      </w:hyperlink>
    </w:p>
    <w:p w14:paraId="7A935DBC" w14:textId="078689E9" w:rsidR="003C1B96" w:rsidRDefault="00000000">
      <w:pPr>
        <w:pStyle w:val="TOC2"/>
        <w:rPr>
          <w:rFonts w:asciiTheme="minorHAnsi" w:eastAsiaTheme="minorEastAsia" w:hAnsiTheme="minorHAnsi" w:cstheme="minorBidi"/>
          <w:noProof/>
          <w:sz w:val="22"/>
          <w:szCs w:val="22"/>
        </w:rPr>
      </w:pPr>
      <w:hyperlink w:anchor="_Toc163505713" w:history="1">
        <w:r w:rsidR="003C1B96" w:rsidRPr="00894814">
          <w:rPr>
            <w:rStyle w:val="Hyperlink"/>
            <w:noProof/>
          </w:rPr>
          <w:t>6.</w:t>
        </w:r>
        <w:r w:rsidR="003C1B96">
          <w:rPr>
            <w:rFonts w:asciiTheme="minorHAnsi" w:eastAsiaTheme="minorEastAsia" w:hAnsiTheme="minorHAnsi" w:cstheme="minorBidi"/>
            <w:noProof/>
            <w:sz w:val="22"/>
            <w:szCs w:val="22"/>
          </w:rPr>
          <w:tab/>
        </w:r>
        <w:r w:rsidR="003C1B96" w:rsidRPr="00894814">
          <w:rPr>
            <w:rStyle w:val="Hyperlink"/>
            <w:noProof/>
          </w:rPr>
          <w:t>Sections of Bidding Document</w:t>
        </w:r>
        <w:r w:rsidR="003C1B96">
          <w:rPr>
            <w:noProof/>
            <w:webHidden/>
          </w:rPr>
          <w:tab/>
        </w:r>
        <w:r w:rsidR="003C1B96">
          <w:rPr>
            <w:noProof/>
            <w:webHidden/>
          </w:rPr>
          <w:fldChar w:fldCharType="begin"/>
        </w:r>
        <w:r w:rsidR="003C1B96">
          <w:rPr>
            <w:noProof/>
            <w:webHidden/>
          </w:rPr>
          <w:instrText xml:space="preserve"> PAGEREF _Toc163505713 \h </w:instrText>
        </w:r>
        <w:r w:rsidR="003C1B96">
          <w:rPr>
            <w:noProof/>
            <w:webHidden/>
          </w:rPr>
        </w:r>
        <w:r w:rsidR="003C1B96">
          <w:rPr>
            <w:noProof/>
            <w:webHidden/>
          </w:rPr>
          <w:fldChar w:fldCharType="separate"/>
        </w:r>
        <w:r w:rsidR="003C1B96">
          <w:rPr>
            <w:noProof/>
            <w:webHidden/>
          </w:rPr>
          <w:t>9</w:t>
        </w:r>
        <w:r w:rsidR="003C1B96">
          <w:rPr>
            <w:noProof/>
            <w:webHidden/>
          </w:rPr>
          <w:fldChar w:fldCharType="end"/>
        </w:r>
      </w:hyperlink>
    </w:p>
    <w:p w14:paraId="027FEC36" w14:textId="4FE34CBC" w:rsidR="003C1B96" w:rsidRDefault="00000000">
      <w:pPr>
        <w:pStyle w:val="TOC2"/>
        <w:rPr>
          <w:rFonts w:asciiTheme="minorHAnsi" w:eastAsiaTheme="minorEastAsia" w:hAnsiTheme="minorHAnsi" w:cstheme="minorBidi"/>
          <w:noProof/>
          <w:sz w:val="22"/>
          <w:szCs w:val="22"/>
        </w:rPr>
      </w:pPr>
      <w:hyperlink w:anchor="_Toc163505714" w:history="1">
        <w:r w:rsidR="003C1B96" w:rsidRPr="00894814">
          <w:rPr>
            <w:rStyle w:val="Hyperlink"/>
            <w:noProof/>
          </w:rPr>
          <w:t>7.</w:t>
        </w:r>
        <w:r w:rsidR="003C1B96">
          <w:rPr>
            <w:rFonts w:asciiTheme="minorHAnsi" w:eastAsiaTheme="minorEastAsia" w:hAnsiTheme="minorHAnsi" w:cstheme="minorBidi"/>
            <w:noProof/>
            <w:sz w:val="22"/>
            <w:szCs w:val="22"/>
          </w:rPr>
          <w:tab/>
        </w:r>
        <w:r w:rsidR="003C1B96" w:rsidRPr="00894814">
          <w:rPr>
            <w:rStyle w:val="Hyperlink"/>
            <w:noProof/>
          </w:rPr>
          <w:t>Clarification of Bidding Document, Site Visit, Pre-bid Meeting</w:t>
        </w:r>
        <w:r w:rsidR="003C1B96">
          <w:rPr>
            <w:noProof/>
            <w:webHidden/>
          </w:rPr>
          <w:tab/>
        </w:r>
        <w:r w:rsidR="003C1B96">
          <w:rPr>
            <w:noProof/>
            <w:webHidden/>
          </w:rPr>
          <w:fldChar w:fldCharType="begin"/>
        </w:r>
        <w:r w:rsidR="003C1B96">
          <w:rPr>
            <w:noProof/>
            <w:webHidden/>
          </w:rPr>
          <w:instrText xml:space="preserve"> PAGEREF _Toc163505714 \h </w:instrText>
        </w:r>
        <w:r w:rsidR="003C1B96">
          <w:rPr>
            <w:noProof/>
            <w:webHidden/>
          </w:rPr>
        </w:r>
        <w:r w:rsidR="003C1B96">
          <w:rPr>
            <w:noProof/>
            <w:webHidden/>
          </w:rPr>
          <w:fldChar w:fldCharType="separate"/>
        </w:r>
        <w:r w:rsidR="003C1B96">
          <w:rPr>
            <w:noProof/>
            <w:webHidden/>
          </w:rPr>
          <w:t>11</w:t>
        </w:r>
        <w:r w:rsidR="003C1B96">
          <w:rPr>
            <w:noProof/>
            <w:webHidden/>
          </w:rPr>
          <w:fldChar w:fldCharType="end"/>
        </w:r>
      </w:hyperlink>
    </w:p>
    <w:p w14:paraId="0095914A" w14:textId="081BDB59" w:rsidR="003C1B96" w:rsidRDefault="00000000">
      <w:pPr>
        <w:pStyle w:val="TOC2"/>
        <w:rPr>
          <w:rFonts w:asciiTheme="minorHAnsi" w:eastAsiaTheme="minorEastAsia" w:hAnsiTheme="minorHAnsi" w:cstheme="minorBidi"/>
          <w:noProof/>
          <w:sz w:val="22"/>
          <w:szCs w:val="22"/>
        </w:rPr>
      </w:pPr>
      <w:hyperlink w:anchor="_Toc163505715" w:history="1">
        <w:r w:rsidR="003C1B96" w:rsidRPr="00894814">
          <w:rPr>
            <w:rStyle w:val="Hyperlink"/>
            <w:noProof/>
          </w:rPr>
          <w:t>8.</w:t>
        </w:r>
        <w:r w:rsidR="003C1B96">
          <w:rPr>
            <w:rFonts w:asciiTheme="minorHAnsi" w:eastAsiaTheme="minorEastAsia" w:hAnsiTheme="minorHAnsi" w:cstheme="minorBidi"/>
            <w:noProof/>
            <w:sz w:val="22"/>
            <w:szCs w:val="22"/>
          </w:rPr>
          <w:tab/>
        </w:r>
        <w:r w:rsidR="003C1B96" w:rsidRPr="00894814">
          <w:rPr>
            <w:rStyle w:val="Hyperlink"/>
            <w:noProof/>
          </w:rPr>
          <w:t>Amendment of Bidding Document</w:t>
        </w:r>
        <w:r w:rsidR="003C1B96">
          <w:rPr>
            <w:noProof/>
            <w:webHidden/>
          </w:rPr>
          <w:tab/>
        </w:r>
        <w:r w:rsidR="003C1B96">
          <w:rPr>
            <w:noProof/>
            <w:webHidden/>
          </w:rPr>
          <w:fldChar w:fldCharType="begin"/>
        </w:r>
        <w:r w:rsidR="003C1B96">
          <w:rPr>
            <w:noProof/>
            <w:webHidden/>
          </w:rPr>
          <w:instrText xml:space="preserve"> PAGEREF _Toc163505715 \h </w:instrText>
        </w:r>
        <w:r w:rsidR="003C1B96">
          <w:rPr>
            <w:noProof/>
            <w:webHidden/>
          </w:rPr>
        </w:r>
        <w:r w:rsidR="003C1B96">
          <w:rPr>
            <w:noProof/>
            <w:webHidden/>
          </w:rPr>
          <w:fldChar w:fldCharType="separate"/>
        </w:r>
        <w:r w:rsidR="003C1B96">
          <w:rPr>
            <w:noProof/>
            <w:webHidden/>
          </w:rPr>
          <w:t>12</w:t>
        </w:r>
        <w:r w:rsidR="003C1B96">
          <w:rPr>
            <w:noProof/>
            <w:webHidden/>
          </w:rPr>
          <w:fldChar w:fldCharType="end"/>
        </w:r>
      </w:hyperlink>
    </w:p>
    <w:p w14:paraId="04F363CF" w14:textId="00330730" w:rsidR="003C1B96" w:rsidRDefault="00000000">
      <w:pPr>
        <w:pStyle w:val="TOC1"/>
        <w:rPr>
          <w:rFonts w:asciiTheme="minorHAnsi" w:eastAsiaTheme="minorEastAsia" w:hAnsiTheme="minorHAnsi" w:cstheme="minorBidi"/>
          <w:b w:val="0"/>
          <w:noProof/>
          <w:sz w:val="22"/>
          <w:szCs w:val="22"/>
        </w:rPr>
      </w:pPr>
      <w:hyperlink w:anchor="_Toc163505716" w:history="1">
        <w:r w:rsidR="003C1B96" w:rsidRPr="00894814">
          <w:rPr>
            <w:rStyle w:val="Hyperlink"/>
            <w:noProof/>
          </w:rPr>
          <w:t>C. Preparation of Bids</w:t>
        </w:r>
        <w:r w:rsidR="003C1B96">
          <w:rPr>
            <w:noProof/>
            <w:webHidden/>
          </w:rPr>
          <w:tab/>
        </w:r>
        <w:r w:rsidR="003C1B96">
          <w:rPr>
            <w:noProof/>
            <w:webHidden/>
          </w:rPr>
          <w:fldChar w:fldCharType="begin"/>
        </w:r>
        <w:r w:rsidR="003C1B96">
          <w:rPr>
            <w:noProof/>
            <w:webHidden/>
          </w:rPr>
          <w:instrText xml:space="preserve"> PAGEREF _Toc163505716 \h </w:instrText>
        </w:r>
        <w:r w:rsidR="003C1B96">
          <w:rPr>
            <w:noProof/>
            <w:webHidden/>
          </w:rPr>
        </w:r>
        <w:r w:rsidR="003C1B96">
          <w:rPr>
            <w:noProof/>
            <w:webHidden/>
          </w:rPr>
          <w:fldChar w:fldCharType="separate"/>
        </w:r>
        <w:r w:rsidR="003C1B96">
          <w:rPr>
            <w:noProof/>
            <w:webHidden/>
          </w:rPr>
          <w:t>12</w:t>
        </w:r>
        <w:r w:rsidR="003C1B96">
          <w:rPr>
            <w:noProof/>
            <w:webHidden/>
          </w:rPr>
          <w:fldChar w:fldCharType="end"/>
        </w:r>
      </w:hyperlink>
    </w:p>
    <w:p w14:paraId="0848AED9" w14:textId="338D6BA1" w:rsidR="003C1B96" w:rsidRDefault="00000000">
      <w:pPr>
        <w:pStyle w:val="TOC2"/>
        <w:rPr>
          <w:rFonts w:asciiTheme="minorHAnsi" w:eastAsiaTheme="minorEastAsia" w:hAnsiTheme="minorHAnsi" w:cstheme="minorBidi"/>
          <w:noProof/>
          <w:sz w:val="22"/>
          <w:szCs w:val="22"/>
        </w:rPr>
      </w:pPr>
      <w:hyperlink w:anchor="_Toc163505717" w:history="1">
        <w:r w:rsidR="003C1B96" w:rsidRPr="00894814">
          <w:rPr>
            <w:rStyle w:val="Hyperlink"/>
            <w:noProof/>
          </w:rPr>
          <w:t>9.</w:t>
        </w:r>
        <w:r w:rsidR="003C1B96">
          <w:rPr>
            <w:rFonts w:asciiTheme="minorHAnsi" w:eastAsiaTheme="minorEastAsia" w:hAnsiTheme="minorHAnsi" w:cstheme="minorBidi"/>
            <w:noProof/>
            <w:sz w:val="22"/>
            <w:szCs w:val="22"/>
          </w:rPr>
          <w:tab/>
        </w:r>
        <w:r w:rsidR="003C1B96" w:rsidRPr="00894814">
          <w:rPr>
            <w:rStyle w:val="Hyperlink"/>
            <w:noProof/>
          </w:rPr>
          <w:t>Cost of Bidding</w:t>
        </w:r>
        <w:r w:rsidR="003C1B96">
          <w:rPr>
            <w:noProof/>
            <w:webHidden/>
          </w:rPr>
          <w:tab/>
        </w:r>
        <w:r w:rsidR="003C1B96">
          <w:rPr>
            <w:noProof/>
            <w:webHidden/>
          </w:rPr>
          <w:fldChar w:fldCharType="begin"/>
        </w:r>
        <w:r w:rsidR="003C1B96">
          <w:rPr>
            <w:noProof/>
            <w:webHidden/>
          </w:rPr>
          <w:instrText xml:space="preserve"> PAGEREF _Toc163505717 \h </w:instrText>
        </w:r>
        <w:r w:rsidR="003C1B96">
          <w:rPr>
            <w:noProof/>
            <w:webHidden/>
          </w:rPr>
        </w:r>
        <w:r w:rsidR="003C1B96">
          <w:rPr>
            <w:noProof/>
            <w:webHidden/>
          </w:rPr>
          <w:fldChar w:fldCharType="separate"/>
        </w:r>
        <w:r w:rsidR="003C1B96">
          <w:rPr>
            <w:noProof/>
            <w:webHidden/>
          </w:rPr>
          <w:t>12</w:t>
        </w:r>
        <w:r w:rsidR="003C1B96">
          <w:rPr>
            <w:noProof/>
            <w:webHidden/>
          </w:rPr>
          <w:fldChar w:fldCharType="end"/>
        </w:r>
      </w:hyperlink>
    </w:p>
    <w:p w14:paraId="67687974" w14:textId="2495E569" w:rsidR="003C1B96" w:rsidRDefault="00000000">
      <w:pPr>
        <w:pStyle w:val="TOC2"/>
        <w:rPr>
          <w:rFonts w:asciiTheme="minorHAnsi" w:eastAsiaTheme="minorEastAsia" w:hAnsiTheme="minorHAnsi" w:cstheme="minorBidi"/>
          <w:noProof/>
          <w:sz w:val="22"/>
          <w:szCs w:val="22"/>
        </w:rPr>
      </w:pPr>
      <w:hyperlink w:anchor="_Toc163505718" w:history="1">
        <w:r w:rsidR="003C1B96" w:rsidRPr="00894814">
          <w:rPr>
            <w:rStyle w:val="Hyperlink"/>
            <w:noProof/>
          </w:rPr>
          <w:t>10.</w:t>
        </w:r>
        <w:r w:rsidR="003C1B96">
          <w:rPr>
            <w:rFonts w:asciiTheme="minorHAnsi" w:eastAsiaTheme="minorEastAsia" w:hAnsiTheme="minorHAnsi" w:cstheme="minorBidi"/>
            <w:noProof/>
            <w:sz w:val="22"/>
            <w:szCs w:val="22"/>
          </w:rPr>
          <w:tab/>
        </w:r>
        <w:r w:rsidR="003C1B96" w:rsidRPr="00894814">
          <w:rPr>
            <w:rStyle w:val="Hyperlink"/>
            <w:noProof/>
          </w:rPr>
          <w:t>Language of Bid</w:t>
        </w:r>
        <w:r w:rsidR="003C1B96">
          <w:rPr>
            <w:noProof/>
            <w:webHidden/>
          </w:rPr>
          <w:tab/>
        </w:r>
        <w:r w:rsidR="003C1B96">
          <w:rPr>
            <w:noProof/>
            <w:webHidden/>
          </w:rPr>
          <w:fldChar w:fldCharType="begin"/>
        </w:r>
        <w:r w:rsidR="003C1B96">
          <w:rPr>
            <w:noProof/>
            <w:webHidden/>
          </w:rPr>
          <w:instrText xml:space="preserve"> PAGEREF _Toc163505718 \h </w:instrText>
        </w:r>
        <w:r w:rsidR="003C1B96">
          <w:rPr>
            <w:noProof/>
            <w:webHidden/>
          </w:rPr>
        </w:r>
        <w:r w:rsidR="003C1B96">
          <w:rPr>
            <w:noProof/>
            <w:webHidden/>
          </w:rPr>
          <w:fldChar w:fldCharType="separate"/>
        </w:r>
        <w:r w:rsidR="003C1B96">
          <w:rPr>
            <w:noProof/>
            <w:webHidden/>
          </w:rPr>
          <w:t>12</w:t>
        </w:r>
        <w:r w:rsidR="003C1B96">
          <w:rPr>
            <w:noProof/>
            <w:webHidden/>
          </w:rPr>
          <w:fldChar w:fldCharType="end"/>
        </w:r>
      </w:hyperlink>
    </w:p>
    <w:p w14:paraId="2E083323" w14:textId="7C096680" w:rsidR="003C1B96" w:rsidRDefault="00000000">
      <w:pPr>
        <w:pStyle w:val="TOC2"/>
        <w:rPr>
          <w:rFonts w:asciiTheme="minorHAnsi" w:eastAsiaTheme="minorEastAsia" w:hAnsiTheme="minorHAnsi" w:cstheme="minorBidi"/>
          <w:noProof/>
          <w:sz w:val="22"/>
          <w:szCs w:val="22"/>
        </w:rPr>
      </w:pPr>
      <w:hyperlink w:anchor="_Toc163505719" w:history="1">
        <w:r w:rsidR="003C1B96" w:rsidRPr="00894814">
          <w:rPr>
            <w:rStyle w:val="Hyperlink"/>
            <w:noProof/>
          </w:rPr>
          <w:t>11.</w:t>
        </w:r>
        <w:r w:rsidR="003C1B96">
          <w:rPr>
            <w:rFonts w:asciiTheme="minorHAnsi" w:eastAsiaTheme="minorEastAsia" w:hAnsiTheme="minorHAnsi" w:cstheme="minorBidi"/>
            <w:noProof/>
            <w:sz w:val="22"/>
            <w:szCs w:val="22"/>
          </w:rPr>
          <w:tab/>
        </w:r>
        <w:r w:rsidR="003C1B96" w:rsidRPr="00894814">
          <w:rPr>
            <w:rStyle w:val="Hyperlink"/>
            <w:noProof/>
          </w:rPr>
          <w:t>Documents Comprising the Bid</w:t>
        </w:r>
        <w:r w:rsidR="003C1B96">
          <w:rPr>
            <w:noProof/>
            <w:webHidden/>
          </w:rPr>
          <w:tab/>
        </w:r>
        <w:r w:rsidR="003C1B96">
          <w:rPr>
            <w:noProof/>
            <w:webHidden/>
          </w:rPr>
          <w:fldChar w:fldCharType="begin"/>
        </w:r>
        <w:r w:rsidR="003C1B96">
          <w:rPr>
            <w:noProof/>
            <w:webHidden/>
          </w:rPr>
          <w:instrText xml:space="preserve"> PAGEREF _Toc163505719 \h </w:instrText>
        </w:r>
        <w:r w:rsidR="003C1B96">
          <w:rPr>
            <w:noProof/>
            <w:webHidden/>
          </w:rPr>
        </w:r>
        <w:r w:rsidR="003C1B96">
          <w:rPr>
            <w:noProof/>
            <w:webHidden/>
          </w:rPr>
          <w:fldChar w:fldCharType="separate"/>
        </w:r>
        <w:r w:rsidR="003C1B96">
          <w:rPr>
            <w:noProof/>
            <w:webHidden/>
          </w:rPr>
          <w:t>12</w:t>
        </w:r>
        <w:r w:rsidR="003C1B96">
          <w:rPr>
            <w:noProof/>
            <w:webHidden/>
          </w:rPr>
          <w:fldChar w:fldCharType="end"/>
        </w:r>
      </w:hyperlink>
    </w:p>
    <w:p w14:paraId="0B9E8329" w14:textId="722FEF59" w:rsidR="003C1B96" w:rsidRDefault="00000000">
      <w:pPr>
        <w:pStyle w:val="TOC2"/>
        <w:rPr>
          <w:rFonts w:asciiTheme="minorHAnsi" w:eastAsiaTheme="minorEastAsia" w:hAnsiTheme="minorHAnsi" w:cstheme="minorBidi"/>
          <w:noProof/>
          <w:sz w:val="22"/>
          <w:szCs w:val="22"/>
        </w:rPr>
      </w:pPr>
      <w:hyperlink w:anchor="_Toc163505720" w:history="1">
        <w:r w:rsidR="003C1B96" w:rsidRPr="00894814">
          <w:rPr>
            <w:rStyle w:val="Hyperlink"/>
            <w:noProof/>
          </w:rPr>
          <w:t>12.</w:t>
        </w:r>
        <w:r w:rsidR="003C1B96">
          <w:rPr>
            <w:rFonts w:asciiTheme="minorHAnsi" w:eastAsiaTheme="minorEastAsia" w:hAnsiTheme="minorHAnsi" w:cstheme="minorBidi"/>
            <w:noProof/>
            <w:sz w:val="22"/>
            <w:szCs w:val="22"/>
          </w:rPr>
          <w:tab/>
        </w:r>
        <w:r w:rsidR="003C1B96" w:rsidRPr="00894814">
          <w:rPr>
            <w:rStyle w:val="Hyperlink"/>
            <w:noProof/>
          </w:rPr>
          <w:t>Letter of Bid and Price Schedules</w:t>
        </w:r>
        <w:r w:rsidR="003C1B96">
          <w:rPr>
            <w:noProof/>
            <w:webHidden/>
          </w:rPr>
          <w:tab/>
        </w:r>
        <w:r w:rsidR="003C1B96">
          <w:rPr>
            <w:noProof/>
            <w:webHidden/>
          </w:rPr>
          <w:fldChar w:fldCharType="begin"/>
        </w:r>
        <w:r w:rsidR="003C1B96">
          <w:rPr>
            <w:noProof/>
            <w:webHidden/>
          </w:rPr>
          <w:instrText xml:space="preserve"> PAGEREF _Toc163505720 \h </w:instrText>
        </w:r>
        <w:r w:rsidR="003C1B96">
          <w:rPr>
            <w:noProof/>
            <w:webHidden/>
          </w:rPr>
        </w:r>
        <w:r w:rsidR="003C1B96">
          <w:rPr>
            <w:noProof/>
            <w:webHidden/>
          </w:rPr>
          <w:fldChar w:fldCharType="separate"/>
        </w:r>
        <w:r w:rsidR="003C1B96">
          <w:rPr>
            <w:noProof/>
            <w:webHidden/>
          </w:rPr>
          <w:t>14</w:t>
        </w:r>
        <w:r w:rsidR="003C1B96">
          <w:rPr>
            <w:noProof/>
            <w:webHidden/>
          </w:rPr>
          <w:fldChar w:fldCharType="end"/>
        </w:r>
      </w:hyperlink>
    </w:p>
    <w:p w14:paraId="5B1A6D45" w14:textId="7EB19A88" w:rsidR="003C1B96" w:rsidRDefault="00000000">
      <w:pPr>
        <w:pStyle w:val="TOC2"/>
        <w:rPr>
          <w:rFonts w:asciiTheme="minorHAnsi" w:eastAsiaTheme="minorEastAsia" w:hAnsiTheme="minorHAnsi" w:cstheme="minorBidi"/>
          <w:noProof/>
          <w:sz w:val="22"/>
          <w:szCs w:val="22"/>
        </w:rPr>
      </w:pPr>
      <w:hyperlink w:anchor="_Toc163505721" w:history="1">
        <w:r w:rsidR="003C1B96" w:rsidRPr="00894814">
          <w:rPr>
            <w:rStyle w:val="Hyperlink"/>
            <w:noProof/>
          </w:rPr>
          <w:t>13.</w:t>
        </w:r>
        <w:r w:rsidR="003C1B96">
          <w:rPr>
            <w:rFonts w:asciiTheme="minorHAnsi" w:eastAsiaTheme="minorEastAsia" w:hAnsiTheme="minorHAnsi" w:cstheme="minorBidi"/>
            <w:noProof/>
            <w:sz w:val="22"/>
            <w:szCs w:val="22"/>
          </w:rPr>
          <w:tab/>
        </w:r>
        <w:r w:rsidR="003C1B96" w:rsidRPr="00894814">
          <w:rPr>
            <w:rStyle w:val="Hyperlink"/>
            <w:noProof/>
          </w:rPr>
          <w:t>Alternative Bids</w:t>
        </w:r>
        <w:r w:rsidR="003C1B96">
          <w:rPr>
            <w:noProof/>
            <w:webHidden/>
          </w:rPr>
          <w:tab/>
        </w:r>
        <w:r w:rsidR="003C1B96">
          <w:rPr>
            <w:noProof/>
            <w:webHidden/>
          </w:rPr>
          <w:fldChar w:fldCharType="begin"/>
        </w:r>
        <w:r w:rsidR="003C1B96">
          <w:rPr>
            <w:noProof/>
            <w:webHidden/>
          </w:rPr>
          <w:instrText xml:space="preserve"> PAGEREF _Toc163505721 \h </w:instrText>
        </w:r>
        <w:r w:rsidR="003C1B96">
          <w:rPr>
            <w:noProof/>
            <w:webHidden/>
          </w:rPr>
        </w:r>
        <w:r w:rsidR="003C1B96">
          <w:rPr>
            <w:noProof/>
            <w:webHidden/>
          </w:rPr>
          <w:fldChar w:fldCharType="separate"/>
        </w:r>
        <w:r w:rsidR="003C1B96">
          <w:rPr>
            <w:noProof/>
            <w:webHidden/>
          </w:rPr>
          <w:t>14</w:t>
        </w:r>
        <w:r w:rsidR="003C1B96">
          <w:rPr>
            <w:noProof/>
            <w:webHidden/>
          </w:rPr>
          <w:fldChar w:fldCharType="end"/>
        </w:r>
      </w:hyperlink>
    </w:p>
    <w:p w14:paraId="1FDEE4CF" w14:textId="2A8F7859" w:rsidR="003C1B96" w:rsidRDefault="00000000">
      <w:pPr>
        <w:pStyle w:val="TOC2"/>
        <w:rPr>
          <w:rFonts w:asciiTheme="minorHAnsi" w:eastAsiaTheme="minorEastAsia" w:hAnsiTheme="minorHAnsi" w:cstheme="minorBidi"/>
          <w:noProof/>
          <w:sz w:val="22"/>
          <w:szCs w:val="22"/>
        </w:rPr>
      </w:pPr>
      <w:hyperlink w:anchor="_Toc163505722" w:history="1">
        <w:r w:rsidR="003C1B96" w:rsidRPr="00894814">
          <w:rPr>
            <w:rStyle w:val="Hyperlink"/>
            <w:noProof/>
          </w:rPr>
          <w:t>14.</w:t>
        </w:r>
        <w:r w:rsidR="003C1B96">
          <w:rPr>
            <w:rFonts w:asciiTheme="minorHAnsi" w:eastAsiaTheme="minorEastAsia" w:hAnsiTheme="minorHAnsi" w:cstheme="minorBidi"/>
            <w:noProof/>
            <w:sz w:val="22"/>
            <w:szCs w:val="22"/>
          </w:rPr>
          <w:tab/>
        </w:r>
        <w:r w:rsidR="003C1B96" w:rsidRPr="00894814">
          <w:rPr>
            <w:rStyle w:val="Hyperlink"/>
            <w:noProof/>
          </w:rPr>
          <w:t>Documents Establishing the Eligibility of the Information System</w:t>
        </w:r>
        <w:r w:rsidR="003C1B96">
          <w:rPr>
            <w:noProof/>
            <w:webHidden/>
          </w:rPr>
          <w:tab/>
        </w:r>
        <w:r w:rsidR="003C1B96">
          <w:rPr>
            <w:noProof/>
            <w:webHidden/>
          </w:rPr>
          <w:fldChar w:fldCharType="begin"/>
        </w:r>
        <w:r w:rsidR="003C1B96">
          <w:rPr>
            <w:noProof/>
            <w:webHidden/>
          </w:rPr>
          <w:instrText xml:space="preserve"> PAGEREF _Toc163505722 \h </w:instrText>
        </w:r>
        <w:r w:rsidR="003C1B96">
          <w:rPr>
            <w:noProof/>
            <w:webHidden/>
          </w:rPr>
        </w:r>
        <w:r w:rsidR="003C1B96">
          <w:rPr>
            <w:noProof/>
            <w:webHidden/>
          </w:rPr>
          <w:fldChar w:fldCharType="separate"/>
        </w:r>
        <w:r w:rsidR="003C1B96">
          <w:rPr>
            <w:noProof/>
            <w:webHidden/>
          </w:rPr>
          <w:t>15</w:t>
        </w:r>
        <w:r w:rsidR="003C1B96">
          <w:rPr>
            <w:noProof/>
            <w:webHidden/>
          </w:rPr>
          <w:fldChar w:fldCharType="end"/>
        </w:r>
      </w:hyperlink>
    </w:p>
    <w:p w14:paraId="44FC8C86" w14:textId="01EDB380" w:rsidR="003C1B96" w:rsidRDefault="00000000">
      <w:pPr>
        <w:pStyle w:val="TOC2"/>
        <w:rPr>
          <w:rFonts w:asciiTheme="minorHAnsi" w:eastAsiaTheme="minorEastAsia" w:hAnsiTheme="minorHAnsi" w:cstheme="minorBidi"/>
          <w:noProof/>
          <w:sz w:val="22"/>
          <w:szCs w:val="22"/>
        </w:rPr>
      </w:pPr>
      <w:hyperlink w:anchor="_Toc163505723" w:history="1">
        <w:r w:rsidR="003C1B96" w:rsidRPr="00894814">
          <w:rPr>
            <w:rStyle w:val="Hyperlink"/>
            <w:noProof/>
          </w:rPr>
          <w:t>15.</w:t>
        </w:r>
        <w:r w:rsidR="003C1B96">
          <w:rPr>
            <w:rFonts w:asciiTheme="minorHAnsi" w:eastAsiaTheme="minorEastAsia" w:hAnsiTheme="minorHAnsi" w:cstheme="minorBidi"/>
            <w:noProof/>
            <w:sz w:val="22"/>
            <w:szCs w:val="22"/>
          </w:rPr>
          <w:tab/>
        </w:r>
        <w:r w:rsidR="003C1B96" w:rsidRPr="00894814">
          <w:rPr>
            <w:rStyle w:val="Hyperlink"/>
            <w:noProof/>
          </w:rPr>
          <w:t>Documents Establishing the Eligibility and Qualifications of the Bidder</w:t>
        </w:r>
        <w:r w:rsidR="003C1B96">
          <w:rPr>
            <w:noProof/>
            <w:webHidden/>
          </w:rPr>
          <w:tab/>
        </w:r>
        <w:r w:rsidR="003C1B96">
          <w:rPr>
            <w:noProof/>
            <w:webHidden/>
          </w:rPr>
          <w:fldChar w:fldCharType="begin"/>
        </w:r>
        <w:r w:rsidR="003C1B96">
          <w:rPr>
            <w:noProof/>
            <w:webHidden/>
          </w:rPr>
          <w:instrText xml:space="preserve"> PAGEREF _Toc163505723 \h </w:instrText>
        </w:r>
        <w:r w:rsidR="003C1B96">
          <w:rPr>
            <w:noProof/>
            <w:webHidden/>
          </w:rPr>
        </w:r>
        <w:r w:rsidR="003C1B96">
          <w:rPr>
            <w:noProof/>
            <w:webHidden/>
          </w:rPr>
          <w:fldChar w:fldCharType="separate"/>
        </w:r>
        <w:r w:rsidR="003C1B96">
          <w:rPr>
            <w:noProof/>
            <w:webHidden/>
          </w:rPr>
          <w:t>15</w:t>
        </w:r>
        <w:r w:rsidR="003C1B96">
          <w:rPr>
            <w:noProof/>
            <w:webHidden/>
          </w:rPr>
          <w:fldChar w:fldCharType="end"/>
        </w:r>
      </w:hyperlink>
    </w:p>
    <w:p w14:paraId="27A7DAC8" w14:textId="6E07BBBE" w:rsidR="003C1B96" w:rsidRDefault="00000000">
      <w:pPr>
        <w:pStyle w:val="TOC2"/>
        <w:rPr>
          <w:rFonts w:asciiTheme="minorHAnsi" w:eastAsiaTheme="minorEastAsia" w:hAnsiTheme="minorHAnsi" w:cstheme="minorBidi"/>
          <w:noProof/>
          <w:sz w:val="22"/>
          <w:szCs w:val="22"/>
        </w:rPr>
      </w:pPr>
      <w:hyperlink w:anchor="_Toc163505724" w:history="1">
        <w:r w:rsidR="003C1B96" w:rsidRPr="00894814">
          <w:rPr>
            <w:rStyle w:val="Hyperlink"/>
            <w:noProof/>
          </w:rPr>
          <w:t>16.</w:t>
        </w:r>
        <w:r w:rsidR="003C1B96">
          <w:rPr>
            <w:rFonts w:asciiTheme="minorHAnsi" w:eastAsiaTheme="minorEastAsia" w:hAnsiTheme="minorHAnsi" w:cstheme="minorBidi"/>
            <w:noProof/>
            <w:sz w:val="22"/>
            <w:szCs w:val="22"/>
          </w:rPr>
          <w:tab/>
        </w:r>
        <w:r w:rsidR="003C1B96" w:rsidRPr="00894814">
          <w:rPr>
            <w:rStyle w:val="Hyperlink"/>
            <w:noProof/>
          </w:rPr>
          <w:t>Documents Establishing Conformity of the Information System</w:t>
        </w:r>
        <w:r w:rsidR="003C1B96">
          <w:rPr>
            <w:noProof/>
            <w:webHidden/>
          </w:rPr>
          <w:tab/>
        </w:r>
        <w:r w:rsidR="003C1B96">
          <w:rPr>
            <w:noProof/>
            <w:webHidden/>
          </w:rPr>
          <w:fldChar w:fldCharType="begin"/>
        </w:r>
        <w:r w:rsidR="003C1B96">
          <w:rPr>
            <w:noProof/>
            <w:webHidden/>
          </w:rPr>
          <w:instrText xml:space="preserve"> PAGEREF _Toc163505724 \h </w:instrText>
        </w:r>
        <w:r w:rsidR="003C1B96">
          <w:rPr>
            <w:noProof/>
            <w:webHidden/>
          </w:rPr>
        </w:r>
        <w:r w:rsidR="003C1B96">
          <w:rPr>
            <w:noProof/>
            <w:webHidden/>
          </w:rPr>
          <w:fldChar w:fldCharType="separate"/>
        </w:r>
        <w:r w:rsidR="003C1B96">
          <w:rPr>
            <w:noProof/>
            <w:webHidden/>
          </w:rPr>
          <w:t>15</w:t>
        </w:r>
        <w:r w:rsidR="003C1B96">
          <w:rPr>
            <w:noProof/>
            <w:webHidden/>
          </w:rPr>
          <w:fldChar w:fldCharType="end"/>
        </w:r>
      </w:hyperlink>
    </w:p>
    <w:p w14:paraId="6D80E5EC" w14:textId="3B27279C" w:rsidR="003C1B96" w:rsidRDefault="00000000">
      <w:pPr>
        <w:pStyle w:val="TOC2"/>
        <w:rPr>
          <w:rFonts w:asciiTheme="minorHAnsi" w:eastAsiaTheme="minorEastAsia" w:hAnsiTheme="minorHAnsi" w:cstheme="minorBidi"/>
          <w:noProof/>
          <w:sz w:val="22"/>
          <w:szCs w:val="22"/>
        </w:rPr>
      </w:pPr>
      <w:hyperlink w:anchor="_Toc163505725" w:history="1">
        <w:r w:rsidR="003C1B96" w:rsidRPr="00894814">
          <w:rPr>
            <w:rStyle w:val="Hyperlink"/>
            <w:noProof/>
          </w:rPr>
          <w:t>17.</w:t>
        </w:r>
        <w:r w:rsidR="003C1B96">
          <w:rPr>
            <w:rFonts w:asciiTheme="minorHAnsi" w:eastAsiaTheme="minorEastAsia" w:hAnsiTheme="minorHAnsi" w:cstheme="minorBidi"/>
            <w:noProof/>
            <w:sz w:val="22"/>
            <w:szCs w:val="22"/>
          </w:rPr>
          <w:tab/>
        </w:r>
        <w:r w:rsidR="003C1B96" w:rsidRPr="00894814">
          <w:rPr>
            <w:rStyle w:val="Hyperlink"/>
            <w:noProof/>
          </w:rPr>
          <w:t>Bid Prices</w:t>
        </w:r>
        <w:r w:rsidR="003C1B96">
          <w:rPr>
            <w:noProof/>
            <w:webHidden/>
          </w:rPr>
          <w:tab/>
        </w:r>
        <w:r w:rsidR="003C1B96">
          <w:rPr>
            <w:noProof/>
            <w:webHidden/>
          </w:rPr>
          <w:fldChar w:fldCharType="begin"/>
        </w:r>
        <w:r w:rsidR="003C1B96">
          <w:rPr>
            <w:noProof/>
            <w:webHidden/>
          </w:rPr>
          <w:instrText xml:space="preserve"> PAGEREF _Toc163505725 \h </w:instrText>
        </w:r>
        <w:r w:rsidR="003C1B96">
          <w:rPr>
            <w:noProof/>
            <w:webHidden/>
          </w:rPr>
        </w:r>
        <w:r w:rsidR="003C1B96">
          <w:rPr>
            <w:noProof/>
            <w:webHidden/>
          </w:rPr>
          <w:fldChar w:fldCharType="separate"/>
        </w:r>
        <w:r w:rsidR="003C1B96">
          <w:rPr>
            <w:noProof/>
            <w:webHidden/>
          </w:rPr>
          <w:t>16</w:t>
        </w:r>
        <w:r w:rsidR="003C1B96">
          <w:rPr>
            <w:noProof/>
            <w:webHidden/>
          </w:rPr>
          <w:fldChar w:fldCharType="end"/>
        </w:r>
      </w:hyperlink>
    </w:p>
    <w:p w14:paraId="05018294" w14:textId="19727638" w:rsidR="003C1B96" w:rsidRDefault="00000000">
      <w:pPr>
        <w:pStyle w:val="TOC2"/>
        <w:rPr>
          <w:rFonts w:asciiTheme="minorHAnsi" w:eastAsiaTheme="minorEastAsia" w:hAnsiTheme="minorHAnsi" w:cstheme="minorBidi"/>
          <w:noProof/>
          <w:sz w:val="22"/>
          <w:szCs w:val="22"/>
        </w:rPr>
      </w:pPr>
      <w:hyperlink w:anchor="_Toc163505726" w:history="1">
        <w:r w:rsidR="003C1B96" w:rsidRPr="00894814">
          <w:rPr>
            <w:rStyle w:val="Hyperlink"/>
            <w:noProof/>
          </w:rPr>
          <w:t>18.</w:t>
        </w:r>
        <w:r w:rsidR="003C1B96">
          <w:rPr>
            <w:rFonts w:asciiTheme="minorHAnsi" w:eastAsiaTheme="minorEastAsia" w:hAnsiTheme="minorHAnsi" w:cstheme="minorBidi"/>
            <w:noProof/>
            <w:sz w:val="22"/>
            <w:szCs w:val="22"/>
          </w:rPr>
          <w:tab/>
        </w:r>
        <w:r w:rsidR="003C1B96" w:rsidRPr="00894814">
          <w:rPr>
            <w:rStyle w:val="Hyperlink"/>
            <w:noProof/>
          </w:rPr>
          <w:t>Currencies of Bid and Payment</w:t>
        </w:r>
        <w:r w:rsidR="003C1B96">
          <w:rPr>
            <w:noProof/>
            <w:webHidden/>
          </w:rPr>
          <w:tab/>
        </w:r>
        <w:r w:rsidR="003C1B96">
          <w:rPr>
            <w:noProof/>
            <w:webHidden/>
          </w:rPr>
          <w:fldChar w:fldCharType="begin"/>
        </w:r>
        <w:r w:rsidR="003C1B96">
          <w:rPr>
            <w:noProof/>
            <w:webHidden/>
          </w:rPr>
          <w:instrText xml:space="preserve"> PAGEREF _Toc163505726 \h </w:instrText>
        </w:r>
        <w:r w:rsidR="003C1B96">
          <w:rPr>
            <w:noProof/>
            <w:webHidden/>
          </w:rPr>
        </w:r>
        <w:r w:rsidR="003C1B96">
          <w:rPr>
            <w:noProof/>
            <w:webHidden/>
          </w:rPr>
          <w:fldChar w:fldCharType="separate"/>
        </w:r>
        <w:r w:rsidR="003C1B96">
          <w:rPr>
            <w:noProof/>
            <w:webHidden/>
          </w:rPr>
          <w:t>19</w:t>
        </w:r>
        <w:r w:rsidR="003C1B96">
          <w:rPr>
            <w:noProof/>
            <w:webHidden/>
          </w:rPr>
          <w:fldChar w:fldCharType="end"/>
        </w:r>
      </w:hyperlink>
    </w:p>
    <w:p w14:paraId="25FB145A" w14:textId="20357627" w:rsidR="003C1B96" w:rsidRDefault="00000000">
      <w:pPr>
        <w:pStyle w:val="TOC2"/>
        <w:rPr>
          <w:rFonts w:asciiTheme="minorHAnsi" w:eastAsiaTheme="minorEastAsia" w:hAnsiTheme="minorHAnsi" w:cstheme="minorBidi"/>
          <w:noProof/>
          <w:sz w:val="22"/>
          <w:szCs w:val="22"/>
        </w:rPr>
      </w:pPr>
      <w:hyperlink w:anchor="_Toc163505727" w:history="1">
        <w:r w:rsidR="003C1B96" w:rsidRPr="00894814">
          <w:rPr>
            <w:rStyle w:val="Hyperlink"/>
            <w:noProof/>
          </w:rPr>
          <w:t>19.</w:t>
        </w:r>
        <w:r w:rsidR="003C1B96">
          <w:rPr>
            <w:rFonts w:asciiTheme="minorHAnsi" w:eastAsiaTheme="minorEastAsia" w:hAnsiTheme="minorHAnsi" w:cstheme="minorBidi"/>
            <w:noProof/>
            <w:sz w:val="22"/>
            <w:szCs w:val="22"/>
          </w:rPr>
          <w:tab/>
        </w:r>
        <w:r w:rsidR="003C1B96" w:rsidRPr="00894814">
          <w:rPr>
            <w:rStyle w:val="Hyperlink"/>
            <w:noProof/>
          </w:rPr>
          <w:t>Period of Validity of Bids</w:t>
        </w:r>
        <w:r w:rsidR="003C1B96">
          <w:rPr>
            <w:noProof/>
            <w:webHidden/>
          </w:rPr>
          <w:tab/>
        </w:r>
        <w:r w:rsidR="003C1B96">
          <w:rPr>
            <w:noProof/>
            <w:webHidden/>
          </w:rPr>
          <w:fldChar w:fldCharType="begin"/>
        </w:r>
        <w:r w:rsidR="003C1B96">
          <w:rPr>
            <w:noProof/>
            <w:webHidden/>
          </w:rPr>
          <w:instrText xml:space="preserve"> PAGEREF _Toc163505727 \h </w:instrText>
        </w:r>
        <w:r w:rsidR="003C1B96">
          <w:rPr>
            <w:noProof/>
            <w:webHidden/>
          </w:rPr>
        </w:r>
        <w:r w:rsidR="003C1B96">
          <w:rPr>
            <w:noProof/>
            <w:webHidden/>
          </w:rPr>
          <w:fldChar w:fldCharType="separate"/>
        </w:r>
        <w:r w:rsidR="003C1B96">
          <w:rPr>
            <w:noProof/>
            <w:webHidden/>
          </w:rPr>
          <w:t>19</w:t>
        </w:r>
        <w:r w:rsidR="003C1B96">
          <w:rPr>
            <w:noProof/>
            <w:webHidden/>
          </w:rPr>
          <w:fldChar w:fldCharType="end"/>
        </w:r>
      </w:hyperlink>
    </w:p>
    <w:p w14:paraId="2C487718" w14:textId="5807C516" w:rsidR="003C1B96" w:rsidRDefault="00000000">
      <w:pPr>
        <w:pStyle w:val="TOC2"/>
        <w:rPr>
          <w:rFonts w:asciiTheme="minorHAnsi" w:eastAsiaTheme="minorEastAsia" w:hAnsiTheme="minorHAnsi" w:cstheme="minorBidi"/>
          <w:noProof/>
          <w:sz w:val="22"/>
          <w:szCs w:val="22"/>
        </w:rPr>
      </w:pPr>
      <w:hyperlink w:anchor="_Toc163505728" w:history="1">
        <w:r w:rsidR="003C1B96" w:rsidRPr="00894814">
          <w:rPr>
            <w:rStyle w:val="Hyperlink"/>
            <w:noProof/>
          </w:rPr>
          <w:t>20.</w:t>
        </w:r>
        <w:r w:rsidR="003C1B96">
          <w:rPr>
            <w:rFonts w:asciiTheme="minorHAnsi" w:eastAsiaTheme="minorEastAsia" w:hAnsiTheme="minorHAnsi" w:cstheme="minorBidi"/>
            <w:noProof/>
            <w:sz w:val="22"/>
            <w:szCs w:val="22"/>
          </w:rPr>
          <w:tab/>
        </w:r>
        <w:r w:rsidR="003C1B96" w:rsidRPr="00894814">
          <w:rPr>
            <w:rStyle w:val="Hyperlink"/>
            <w:noProof/>
          </w:rPr>
          <w:t>Bid Security</w:t>
        </w:r>
        <w:r w:rsidR="003C1B96">
          <w:rPr>
            <w:noProof/>
            <w:webHidden/>
          </w:rPr>
          <w:tab/>
        </w:r>
        <w:r w:rsidR="003C1B96">
          <w:rPr>
            <w:noProof/>
            <w:webHidden/>
          </w:rPr>
          <w:fldChar w:fldCharType="begin"/>
        </w:r>
        <w:r w:rsidR="003C1B96">
          <w:rPr>
            <w:noProof/>
            <w:webHidden/>
          </w:rPr>
          <w:instrText xml:space="preserve"> PAGEREF _Toc163505728 \h </w:instrText>
        </w:r>
        <w:r w:rsidR="003C1B96">
          <w:rPr>
            <w:noProof/>
            <w:webHidden/>
          </w:rPr>
        </w:r>
        <w:r w:rsidR="003C1B96">
          <w:rPr>
            <w:noProof/>
            <w:webHidden/>
          </w:rPr>
          <w:fldChar w:fldCharType="separate"/>
        </w:r>
        <w:r w:rsidR="003C1B96">
          <w:rPr>
            <w:noProof/>
            <w:webHidden/>
          </w:rPr>
          <w:t>20</w:t>
        </w:r>
        <w:r w:rsidR="003C1B96">
          <w:rPr>
            <w:noProof/>
            <w:webHidden/>
          </w:rPr>
          <w:fldChar w:fldCharType="end"/>
        </w:r>
      </w:hyperlink>
    </w:p>
    <w:p w14:paraId="730DA89C" w14:textId="1E00BFFB" w:rsidR="003C1B96" w:rsidRDefault="00000000">
      <w:pPr>
        <w:pStyle w:val="TOC2"/>
        <w:rPr>
          <w:rFonts w:asciiTheme="minorHAnsi" w:eastAsiaTheme="minorEastAsia" w:hAnsiTheme="minorHAnsi" w:cstheme="minorBidi"/>
          <w:noProof/>
          <w:sz w:val="22"/>
          <w:szCs w:val="22"/>
        </w:rPr>
      </w:pPr>
      <w:hyperlink w:anchor="_Toc163505729" w:history="1">
        <w:r w:rsidR="003C1B96" w:rsidRPr="00894814">
          <w:rPr>
            <w:rStyle w:val="Hyperlink"/>
            <w:noProof/>
          </w:rPr>
          <w:t>21.</w:t>
        </w:r>
        <w:r w:rsidR="003C1B96">
          <w:rPr>
            <w:rFonts w:asciiTheme="minorHAnsi" w:eastAsiaTheme="minorEastAsia" w:hAnsiTheme="minorHAnsi" w:cstheme="minorBidi"/>
            <w:noProof/>
            <w:sz w:val="22"/>
            <w:szCs w:val="22"/>
          </w:rPr>
          <w:tab/>
        </w:r>
        <w:r w:rsidR="003C1B96" w:rsidRPr="00894814">
          <w:rPr>
            <w:rStyle w:val="Hyperlink"/>
            <w:noProof/>
          </w:rPr>
          <w:t>Format and Signing of Bid</w:t>
        </w:r>
        <w:r w:rsidR="003C1B96">
          <w:rPr>
            <w:noProof/>
            <w:webHidden/>
          </w:rPr>
          <w:tab/>
        </w:r>
        <w:r w:rsidR="003C1B96">
          <w:rPr>
            <w:noProof/>
            <w:webHidden/>
          </w:rPr>
          <w:fldChar w:fldCharType="begin"/>
        </w:r>
        <w:r w:rsidR="003C1B96">
          <w:rPr>
            <w:noProof/>
            <w:webHidden/>
          </w:rPr>
          <w:instrText xml:space="preserve"> PAGEREF _Toc163505729 \h </w:instrText>
        </w:r>
        <w:r w:rsidR="003C1B96">
          <w:rPr>
            <w:noProof/>
            <w:webHidden/>
          </w:rPr>
        </w:r>
        <w:r w:rsidR="003C1B96">
          <w:rPr>
            <w:noProof/>
            <w:webHidden/>
          </w:rPr>
          <w:fldChar w:fldCharType="separate"/>
        </w:r>
        <w:r w:rsidR="003C1B96">
          <w:rPr>
            <w:noProof/>
            <w:webHidden/>
          </w:rPr>
          <w:t>22</w:t>
        </w:r>
        <w:r w:rsidR="003C1B96">
          <w:rPr>
            <w:noProof/>
            <w:webHidden/>
          </w:rPr>
          <w:fldChar w:fldCharType="end"/>
        </w:r>
      </w:hyperlink>
    </w:p>
    <w:p w14:paraId="6E0A6127" w14:textId="16285128" w:rsidR="003C1B96" w:rsidRDefault="00000000">
      <w:pPr>
        <w:pStyle w:val="TOC1"/>
        <w:rPr>
          <w:rFonts w:asciiTheme="minorHAnsi" w:eastAsiaTheme="minorEastAsia" w:hAnsiTheme="minorHAnsi" w:cstheme="minorBidi"/>
          <w:b w:val="0"/>
          <w:noProof/>
          <w:sz w:val="22"/>
          <w:szCs w:val="22"/>
        </w:rPr>
      </w:pPr>
      <w:hyperlink w:anchor="_Toc163505730" w:history="1">
        <w:r w:rsidR="003C1B96" w:rsidRPr="00894814">
          <w:rPr>
            <w:rStyle w:val="Hyperlink"/>
            <w:noProof/>
          </w:rPr>
          <w:t>D. Submission and Opening of Bids</w:t>
        </w:r>
        <w:r w:rsidR="003C1B96">
          <w:rPr>
            <w:noProof/>
            <w:webHidden/>
          </w:rPr>
          <w:tab/>
        </w:r>
        <w:r w:rsidR="003C1B96">
          <w:rPr>
            <w:noProof/>
            <w:webHidden/>
          </w:rPr>
          <w:fldChar w:fldCharType="begin"/>
        </w:r>
        <w:r w:rsidR="003C1B96">
          <w:rPr>
            <w:noProof/>
            <w:webHidden/>
          </w:rPr>
          <w:instrText xml:space="preserve"> PAGEREF _Toc163505730 \h </w:instrText>
        </w:r>
        <w:r w:rsidR="003C1B96">
          <w:rPr>
            <w:noProof/>
            <w:webHidden/>
          </w:rPr>
        </w:r>
        <w:r w:rsidR="003C1B96">
          <w:rPr>
            <w:noProof/>
            <w:webHidden/>
          </w:rPr>
          <w:fldChar w:fldCharType="separate"/>
        </w:r>
        <w:r w:rsidR="003C1B96">
          <w:rPr>
            <w:noProof/>
            <w:webHidden/>
          </w:rPr>
          <w:t>22</w:t>
        </w:r>
        <w:r w:rsidR="003C1B96">
          <w:rPr>
            <w:noProof/>
            <w:webHidden/>
          </w:rPr>
          <w:fldChar w:fldCharType="end"/>
        </w:r>
      </w:hyperlink>
    </w:p>
    <w:p w14:paraId="1F3E185F" w14:textId="069F39F8" w:rsidR="003C1B96" w:rsidRDefault="00000000">
      <w:pPr>
        <w:pStyle w:val="TOC2"/>
        <w:rPr>
          <w:rFonts w:asciiTheme="minorHAnsi" w:eastAsiaTheme="minorEastAsia" w:hAnsiTheme="minorHAnsi" w:cstheme="minorBidi"/>
          <w:noProof/>
          <w:sz w:val="22"/>
          <w:szCs w:val="22"/>
        </w:rPr>
      </w:pPr>
      <w:hyperlink w:anchor="_Toc163505731" w:history="1">
        <w:r w:rsidR="003C1B96" w:rsidRPr="00894814">
          <w:rPr>
            <w:rStyle w:val="Hyperlink"/>
            <w:noProof/>
          </w:rPr>
          <w:t>22.</w:t>
        </w:r>
        <w:r w:rsidR="003C1B96">
          <w:rPr>
            <w:rFonts w:asciiTheme="minorHAnsi" w:eastAsiaTheme="minorEastAsia" w:hAnsiTheme="minorHAnsi" w:cstheme="minorBidi"/>
            <w:noProof/>
            <w:sz w:val="22"/>
            <w:szCs w:val="22"/>
          </w:rPr>
          <w:tab/>
        </w:r>
        <w:r w:rsidR="003C1B96" w:rsidRPr="00894814">
          <w:rPr>
            <w:rStyle w:val="Hyperlink"/>
            <w:noProof/>
          </w:rPr>
          <w:t>Submission, Sealing and Marking of Bids</w:t>
        </w:r>
        <w:r w:rsidR="003C1B96">
          <w:rPr>
            <w:noProof/>
            <w:webHidden/>
          </w:rPr>
          <w:tab/>
        </w:r>
        <w:r w:rsidR="003C1B96">
          <w:rPr>
            <w:noProof/>
            <w:webHidden/>
          </w:rPr>
          <w:fldChar w:fldCharType="begin"/>
        </w:r>
        <w:r w:rsidR="003C1B96">
          <w:rPr>
            <w:noProof/>
            <w:webHidden/>
          </w:rPr>
          <w:instrText xml:space="preserve"> PAGEREF _Toc163505731 \h </w:instrText>
        </w:r>
        <w:r w:rsidR="003C1B96">
          <w:rPr>
            <w:noProof/>
            <w:webHidden/>
          </w:rPr>
        </w:r>
        <w:r w:rsidR="003C1B96">
          <w:rPr>
            <w:noProof/>
            <w:webHidden/>
          </w:rPr>
          <w:fldChar w:fldCharType="separate"/>
        </w:r>
        <w:r w:rsidR="003C1B96">
          <w:rPr>
            <w:noProof/>
            <w:webHidden/>
          </w:rPr>
          <w:t>22</w:t>
        </w:r>
        <w:r w:rsidR="003C1B96">
          <w:rPr>
            <w:noProof/>
            <w:webHidden/>
          </w:rPr>
          <w:fldChar w:fldCharType="end"/>
        </w:r>
      </w:hyperlink>
    </w:p>
    <w:p w14:paraId="2C39AA16" w14:textId="4C3395FB" w:rsidR="003C1B96" w:rsidRDefault="00000000">
      <w:pPr>
        <w:pStyle w:val="TOC2"/>
        <w:rPr>
          <w:rFonts w:asciiTheme="minorHAnsi" w:eastAsiaTheme="minorEastAsia" w:hAnsiTheme="minorHAnsi" w:cstheme="minorBidi"/>
          <w:noProof/>
          <w:sz w:val="22"/>
          <w:szCs w:val="22"/>
        </w:rPr>
      </w:pPr>
      <w:hyperlink w:anchor="_Toc163505732" w:history="1">
        <w:r w:rsidR="003C1B96" w:rsidRPr="00894814">
          <w:rPr>
            <w:rStyle w:val="Hyperlink"/>
            <w:noProof/>
          </w:rPr>
          <w:t>23.</w:t>
        </w:r>
        <w:r w:rsidR="003C1B96">
          <w:rPr>
            <w:rFonts w:asciiTheme="minorHAnsi" w:eastAsiaTheme="minorEastAsia" w:hAnsiTheme="minorHAnsi" w:cstheme="minorBidi"/>
            <w:noProof/>
            <w:sz w:val="22"/>
            <w:szCs w:val="22"/>
          </w:rPr>
          <w:tab/>
        </w:r>
        <w:r w:rsidR="003C1B96" w:rsidRPr="00894814">
          <w:rPr>
            <w:rStyle w:val="Hyperlink"/>
            <w:noProof/>
          </w:rPr>
          <w:t>Deadline for Submission of Bids</w:t>
        </w:r>
        <w:r w:rsidR="003C1B96">
          <w:rPr>
            <w:noProof/>
            <w:webHidden/>
          </w:rPr>
          <w:tab/>
        </w:r>
        <w:r w:rsidR="003C1B96">
          <w:rPr>
            <w:noProof/>
            <w:webHidden/>
          </w:rPr>
          <w:fldChar w:fldCharType="begin"/>
        </w:r>
        <w:r w:rsidR="003C1B96">
          <w:rPr>
            <w:noProof/>
            <w:webHidden/>
          </w:rPr>
          <w:instrText xml:space="preserve"> PAGEREF _Toc163505732 \h </w:instrText>
        </w:r>
        <w:r w:rsidR="003C1B96">
          <w:rPr>
            <w:noProof/>
            <w:webHidden/>
          </w:rPr>
        </w:r>
        <w:r w:rsidR="003C1B96">
          <w:rPr>
            <w:noProof/>
            <w:webHidden/>
          </w:rPr>
          <w:fldChar w:fldCharType="separate"/>
        </w:r>
        <w:r w:rsidR="003C1B96">
          <w:rPr>
            <w:noProof/>
            <w:webHidden/>
          </w:rPr>
          <w:t>23</w:t>
        </w:r>
        <w:r w:rsidR="003C1B96">
          <w:rPr>
            <w:noProof/>
            <w:webHidden/>
          </w:rPr>
          <w:fldChar w:fldCharType="end"/>
        </w:r>
      </w:hyperlink>
    </w:p>
    <w:p w14:paraId="3B3EE2F6" w14:textId="30FD681F" w:rsidR="003C1B96" w:rsidRDefault="00000000">
      <w:pPr>
        <w:pStyle w:val="TOC2"/>
        <w:rPr>
          <w:rFonts w:asciiTheme="minorHAnsi" w:eastAsiaTheme="minorEastAsia" w:hAnsiTheme="minorHAnsi" w:cstheme="minorBidi"/>
          <w:noProof/>
          <w:sz w:val="22"/>
          <w:szCs w:val="22"/>
        </w:rPr>
      </w:pPr>
      <w:hyperlink w:anchor="_Toc163505733" w:history="1">
        <w:r w:rsidR="003C1B96" w:rsidRPr="00894814">
          <w:rPr>
            <w:rStyle w:val="Hyperlink"/>
            <w:noProof/>
          </w:rPr>
          <w:t>24.</w:t>
        </w:r>
        <w:r w:rsidR="003C1B96">
          <w:rPr>
            <w:rFonts w:asciiTheme="minorHAnsi" w:eastAsiaTheme="minorEastAsia" w:hAnsiTheme="minorHAnsi" w:cstheme="minorBidi"/>
            <w:noProof/>
            <w:sz w:val="22"/>
            <w:szCs w:val="22"/>
          </w:rPr>
          <w:tab/>
        </w:r>
        <w:r w:rsidR="003C1B96" w:rsidRPr="00894814">
          <w:rPr>
            <w:rStyle w:val="Hyperlink"/>
            <w:noProof/>
          </w:rPr>
          <w:t>Late Bids</w:t>
        </w:r>
        <w:r w:rsidR="003C1B96">
          <w:rPr>
            <w:noProof/>
            <w:webHidden/>
          </w:rPr>
          <w:tab/>
        </w:r>
        <w:r w:rsidR="003C1B96">
          <w:rPr>
            <w:noProof/>
            <w:webHidden/>
          </w:rPr>
          <w:fldChar w:fldCharType="begin"/>
        </w:r>
        <w:r w:rsidR="003C1B96">
          <w:rPr>
            <w:noProof/>
            <w:webHidden/>
          </w:rPr>
          <w:instrText xml:space="preserve"> PAGEREF _Toc163505733 \h </w:instrText>
        </w:r>
        <w:r w:rsidR="003C1B96">
          <w:rPr>
            <w:noProof/>
            <w:webHidden/>
          </w:rPr>
        </w:r>
        <w:r w:rsidR="003C1B96">
          <w:rPr>
            <w:noProof/>
            <w:webHidden/>
          </w:rPr>
          <w:fldChar w:fldCharType="separate"/>
        </w:r>
        <w:r w:rsidR="003C1B96">
          <w:rPr>
            <w:noProof/>
            <w:webHidden/>
          </w:rPr>
          <w:t>23</w:t>
        </w:r>
        <w:r w:rsidR="003C1B96">
          <w:rPr>
            <w:noProof/>
            <w:webHidden/>
          </w:rPr>
          <w:fldChar w:fldCharType="end"/>
        </w:r>
      </w:hyperlink>
    </w:p>
    <w:p w14:paraId="7695D074" w14:textId="7AFB000D" w:rsidR="003C1B96" w:rsidRDefault="00000000">
      <w:pPr>
        <w:pStyle w:val="TOC2"/>
        <w:rPr>
          <w:rFonts w:asciiTheme="minorHAnsi" w:eastAsiaTheme="minorEastAsia" w:hAnsiTheme="minorHAnsi" w:cstheme="minorBidi"/>
          <w:noProof/>
          <w:sz w:val="22"/>
          <w:szCs w:val="22"/>
        </w:rPr>
      </w:pPr>
      <w:hyperlink w:anchor="_Toc163505734" w:history="1">
        <w:r w:rsidR="003C1B96" w:rsidRPr="00894814">
          <w:rPr>
            <w:rStyle w:val="Hyperlink"/>
            <w:noProof/>
          </w:rPr>
          <w:t>25.</w:t>
        </w:r>
        <w:r w:rsidR="003C1B96">
          <w:rPr>
            <w:rFonts w:asciiTheme="minorHAnsi" w:eastAsiaTheme="minorEastAsia" w:hAnsiTheme="minorHAnsi" w:cstheme="minorBidi"/>
            <w:noProof/>
            <w:sz w:val="22"/>
            <w:szCs w:val="22"/>
          </w:rPr>
          <w:tab/>
        </w:r>
        <w:r w:rsidR="003C1B96" w:rsidRPr="00894814">
          <w:rPr>
            <w:rStyle w:val="Hyperlink"/>
            <w:noProof/>
          </w:rPr>
          <w:t>Withdrawal, Substitution, and Modification of Bids</w:t>
        </w:r>
        <w:r w:rsidR="003C1B96">
          <w:rPr>
            <w:noProof/>
            <w:webHidden/>
          </w:rPr>
          <w:tab/>
        </w:r>
        <w:r w:rsidR="003C1B96">
          <w:rPr>
            <w:noProof/>
            <w:webHidden/>
          </w:rPr>
          <w:fldChar w:fldCharType="begin"/>
        </w:r>
        <w:r w:rsidR="003C1B96">
          <w:rPr>
            <w:noProof/>
            <w:webHidden/>
          </w:rPr>
          <w:instrText xml:space="preserve"> PAGEREF _Toc163505734 \h </w:instrText>
        </w:r>
        <w:r w:rsidR="003C1B96">
          <w:rPr>
            <w:noProof/>
            <w:webHidden/>
          </w:rPr>
        </w:r>
        <w:r w:rsidR="003C1B96">
          <w:rPr>
            <w:noProof/>
            <w:webHidden/>
          </w:rPr>
          <w:fldChar w:fldCharType="separate"/>
        </w:r>
        <w:r w:rsidR="003C1B96">
          <w:rPr>
            <w:noProof/>
            <w:webHidden/>
          </w:rPr>
          <w:t>24</w:t>
        </w:r>
        <w:r w:rsidR="003C1B96">
          <w:rPr>
            <w:noProof/>
            <w:webHidden/>
          </w:rPr>
          <w:fldChar w:fldCharType="end"/>
        </w:r>
      </w:hyperlink>
    </w:p>
    <w:p w14:paraId="6C6AF137" w14:textId="58AABA54" w:rsidR="003C1B96" w:rsidRDefault="00000000">
      <w:pPr>
        <w:pStyle w:val="TOC2"/>
        <w:rPr>
          <w:rFonts w:asciiTheme="minorHAnsi" w:eastAsiaTheme="minorEastAsia" w:hAnsiTheme="minorHAnsi" w:cstheme="minorBidi"/>
          <w:noProof/>
          <w:sz w:val="22"/>
          <w:szCs w:val="22"/>
        </w:rPr>
      </w:pPr>
      <w:hyperlink w:anchor="_Toc163505735" w:history="1">
        <w:r w:rsidR="003C1B96" w:rsidRPr="00894814">
          <w:rPr>
            <w:rStyle w:val="Hyperlink"/>
            <w:noProof/>
          </w:rPr>
          <w:t>26.</w:t>
        </w:r>
        <w:r w:rsidR="003C1B96">
          <w:rPr>
            <w:rFonts w:asciiTheme="minorHAnsi" w:eastAsiaTheme="minorEastAsia" w:hAnsiTheme="minorHAnsi" w:cstheme="minorBidi"/>
            <w:noProof/>
            <w:sz w:val="22"/>
            <w:szCs w:val="22"/>
          </w:rPr>
          <w:tab/>
        </w:r>
        <w:r w:rsidR="003C1B96" w:rsidRPr="00894814">
          <w:rPr>
            <w:rStyle w:val="Hyperlink"/>
            <w:noProof/>
          </w:rPr>
          <w:t>Bid Opening</w:t>
        </w:r>
        <w:r w:rsidR="003C1B96">
          <w:rPr>
            <w:noProof/>
            <w:webHidden/>
          </w:rPr>
          <w:tab/>
        </w:r>
        <w:r w:rsidR="003C1B96">
          <w:rPr>
            <w:noProof/>
            <w:webHidden/>
          </w:rPr>
          <w:fldChar w:fldCharType="begin"/>
        </w:r>
        <w:r w:rsidR="003C1B96">
          <w:rPr>
            <w:noProof/>
            <w:webHidden/>
          </w:rPr>
          <w:instrText xml:space="preserve"> PAGEREF _Toc163505735 \h </w:instrText>
        </w:r>
        <w:r w:rsidR="003C1B96">
          <w:rPr>
            <w:noProof/>
            <w:webHidden/>
          </w:rPr>
        </w:r>
        <w:r w:rsidR="003C1B96">
          <w:rPr>
            <w:noProof/>
            <w:webHidden/>
          </w:rPr>
          <w:fldChar w:fldCharType="separate"/>
        </w:r>
        <w:r w:rsidR="003C1B96">
          <w:rPr>
            <w:noProof/>
            <w:webHidden/>
          </w:rPr>
          <w:t>24</w:t>
        </w:r>
        <w:r w:rsidR="003C1B96">
          <w:rPr>
            <w:noProof/>
            <w:webHidden/>
          </w:rPr>
          <w:fldChar w:fldCharType="end"/>
        </w:r>
      </w:hyperlink>
    </w:p>
    <w:p w14:paraId="5DB4CD94" w14:textId="39E66A11" w:rsidR="003C1B96" w:rsidRDefault="00000000">
      <w:pPr>
        <w:pStyle w:val="TOC1"/>
        <w:rPr>
          <w:rFonts w:asciiTheme="minorHAnsi" w:eastAsiaTheme="minorEastAsia" w:hAnsiTheme="minorHAnsi" w:cstheme="minorBidi"/>
          <w:b w:val="0"/>
          <w:noProof/>
          <w:sz w:val="22"/>
          <w:szCs w:val="22"/>
        </w:rPr>
      </w:pPr>
      <w:hyperlink w:anchor="_Toc163505736" w:history="1">
        <w:r w:rsidR="003C1B96" w:rsidRPr="00894814">
          <w:rPr>
            <w:rStyle w:val="Hyperlink"/>
            <w:noProof/>
          </w:rPr>
          <w:t>E. Evaluation and Comparison of Bids</w:t>
        </w:r>
        <w:r w:rsidR="003C1B96">
          <w:rPr>
            <w:noProof/>
            <w:webHidden/>
          </w:rPr>
          <w:tab/>
        </w:r>
        <w:r w:rsidR="003C1B96">
          <w:rPr>
            <w:noProof/>
            <w:webHidden/>
          </w:rPr>
          <w:fldChar w:fldCharType="begin"/>
        </w:r>
        <w:r w:rsidR="003C1B96">
          <w:rPr>
            <w:noProof/>
            <w:webHidden/>
          </w:rPr>
          <w:instrText xml:space="preserve"> PAGEREF _Toc163505736 \h </w:instrText>
        </w:r>
        <w:r w:rsidR="003C1B96">
          <w:rPr>
            <w:noProof/>
            <w:webHidden/>
          </w:rPr>
        </w:r>
        <w:r w:rsidR="003C1B96">
          <w:rPr>
            <w:noProof/>
            <w:webHidden/>
          </w:rPr>
          <w:fldChar w:fldCharType="separate"/>
        </w:r>
        <w:r w:rsidR="003C1B96">
          <w:rPr>
            <w:noProof/>
            <w:webHidden/>
          </w:rPr>
          <w:t>25</w:t>
        </w:r>
        <w:r w:rsidR="003C1B96">
          <w:rPr>
            <w:noProof/>
            <w:webHidden/>
          </w:rPr>
          <w:fldChar w:fldCharType="end"/>
        </w:r>
      </w:hyperlink>
    </w:p>
    <w:p w14:paraId="7C3F97AE" w14:textId="2BA06170" w:rsidR="003C1B96" w:rsidRDefault="00000000">
      <w:pPr>
        <w:pStyle w:val="TOC2"/>
        <w:rPr>
          <w:rFonts w:asciiTheme="minorHAnsi" w:eastAsiaTheme="minorEastAsia" w:hAnsiTheme="minorHAnsi" w:cstheme="minorBidi"/>
          <w:noProof/>
          <w:sz w:val="22"/>
          <w:szCs w:val="22"/>
        </w:rPr>
      </w:pPr>
      <w:hyperlink w:anchor="_Toc163505737" w:history="1">
        <w:r w:rsidR="003C1B96" w:rsidRPr="00894814">
          <w:rPr>
            <w:rStyle w:val="Hyperlink"/>
            <w:noProof/>
          </w:rPr>
          <w:t>27.</w:t>
        </w:r>
        <w:r w:rsidR="003C1B96">
          <w:rPr>
            <w:rFonts w:asciiTheme="minorHAnsi" w:eastAsiaTheme="minorEastAsia" w:hAnsiTheme="minorHAnsi" w:cstheme="minorBidi"/>
            <w:noProof/>
            <w:sz w:val="22"/>
            <w:szCs w:val="22"/>
          </w:rPr>
          <w:tab/>
        </w:r>
        <w:r w:rsidR="003C1B96" w:rsidRPr="00894814">
          <w:rPr>
            <w:rStyle w:val="Hyperlink"/>
            <w:noProof/>
          </w:rPr>
          <w:t>Confidentiality</w:t>
        </w:r>
        <w:r w:rsidR="003C1B96">
          <w:rPr>
            <w:noProof/>
            <w:webHidden/>
          </w:rPr>
          <w:tab/>
        </w:r>
        <w:r w:rsidR="003C1B96">
          <w:rPr>
            <w:noProof/>
            <w:webHidden/>
          </w:rPr>
          <w:fldChar w:fldCharType="begin"/>
        </w:r>
        <w:r w:rsidR="003C1B96">
          <w:rPr>
            <w:noProof/>
            <w:webHidden/>
          </w:rPr>
          <w:instrText xml:space="preserve"> PAGEREF _Toc163505737 \h </w:instrText>
        </w:r>
        <w:r w:rsidR="003C1B96">
          <w:rPr>
            <w:noProof/>
            <w:webHidden/>
          </w:rPr>
        </w:r>
        <w:r w:rsidR="003C1B96">
          <w:rPr>
            <w:noProof/>
            <w:webHidden/>
          </w:rPr>
          <w:fldChar w:fldCharType="separate"/>
        </w:r>
        <w:r w:rsidR="003C1B96">
          <w:rPr>
            <w:noProof/>
            <w:webHidden/>
          </w:rPr>
          <w:t>25</w:t>
        </w:r>
        <w:r w:rsidR="003C1B96">
          <w:rPr>
            <w:noProof/>
            <w:webHidden/>
          </w:rPr>
          <w:fldChar w:fldCharType="end"/>
        </w:r>
      </w:hyperlink>
    </w:p>
    <w:p w14:paraId="2EAAE426" w14:textId="1661D3A2" w:rsidR="003C1B96" w:rsidRDefault="00000000">
      <w:pPr>
        <w:pStyle w:val="TOC2"/>
        <w:rPr>
          <w:rFonts w:asciiTheme="minorHAnsi" w:eastAsiaTheme="minorEastAsia" w:hAnsiTheme="minorHAnsi" w:cstheme="minorBidi"/>
          <w:noProof/>
          <w:sz w:val="22"/>
          <w:szCs w:val="22"/>
        </w:rPr>
      </w:pPr>
      <w:hyperlink w:anchor="_Toc163505738" w:history="1">
        <w:r w:rsidR="003C1B96" w:rsidRPr="00894814">
          <w:rPr>
            <w:rStyle w:val="Hyperlink"/>
            <w:noProof/>
          </w:rPr>
          <w:t>28.</w:t>
        </w:r>
        <w:r w:rsidR="003C1B96">
          <w:rPr>
            <w:rFonts w:asciiTheme="minorHAnsi" w:eastAsiaTheme="minorEastAsia" w:hAnsiTheme="minorHAnsi" w:cstheme="minorBidi"/>
            <w:noProof/>
            <w:sz w:val="22"/>
            <w:szCs w:val="22"/>
          </w:rPr>
          <w:tab/>
        </w:r>
        <w:r w:rsidR="003C1B96" w:rsidRPr="00894814">
          <w:rPr>
            <w:rStyle w:val="Hyperlink"/>
            <w:noProof/>
          </w:rPr>
          <w:t>Clarification of Bids</w:t>
        </w:r>
        <w:r w:rsidR="003C1B96">
          <w:rPr>
            <w:noProof/>
            <w:webHidden/>
          </w:rPr>
          <w:tab/>
        </w:r>
        <w:r w:rsidR="003C1B96">
          <w:rPr>
            <w:noProof/>
            <w:webHidden/>
          </w:rPr>
          <w:fldChar w:fldCharType="begin"/>
        </w:r>
        <w:r w:rsidR="003C1B96">
          <w:rPr>
            <w:noProof/>
            <w:webHidden/>
          </w:rPr>
          <w:instrText xml:space="preserve"> PAGEREF _Toc163505738 \h </w:instrText>
        </w:r>
        <w:r w:rsidR="003C1B96">
          <w:rPr>
            <w:noProof/>
            <w:webHidden/>
          </w:rPr>
        </w:r>
        <w:r w:rsidR="003C1B96">
          <w:rPr>
            <w:noProof/>
            <w:webHidden/>
          </w:rPr>
          <w:fldChar w:fldCharType="separate"/>
        </w:r>
        <w:r w:rsidR="003C1B96">
          <w:rPr>
            <w:noProof/>
            <w:webHidden/>
          </w:rPr>
          <w:t>26</w:t>
        </w:r>
        <w:r w:rsidR="003C1B96">
          <w:rPr>
            <w:noProof/>
            <w:webHidden/>
          </w:rPr>
          <w:fldChar w:fldCharType="end"/>
        </w:r>
      </w:hyperlink>
    </w:p>
    <w:p w14:paraId="6CFF5C0B" w14:textId="2215E07B" w:rsidR="003C1B96" w:rsidRDefault="00000000">
      <w:pPr>
        <w:pStyle w:val="TOC2"/>
        <w:rPr>
          <w:rFonts w:asciiTheme="minorHAnsi" w:eastAsiaTheme="minorEastAsia" w:hAnsiTheme="minorHAnsi" w:cstheme="minorBidi"/>
          <w:noProof/>
          <w:sz w:val="22"/>
          <w:szCs w:val="22"/>
        </w:rPr>
      </w:pPr>
      <w:hyperlink w:anchor="_Toc163505739" w:history="1">
        <w:r w:rsidR="003C1B96" w:rsidRPr="00894814">
          <w:rPr>
            <w:rStyle w:val="Hyperlink"/>
            <w:noProof/>
          </w:rPr>
          <w:t>29.</w:t>
        </w:r>
        <w:r w:rsidR="003C1B96">
          <w:rPr>
            <w:rFonts w:asciiTheme="minorHAnsi" w:eastAsiaTheme="minorEastAsia" w:hAnsiTheme="minorHAnsi" w:cstheme="minorBidi"/>
            <w:noProof/>
            <w:sz w:val="22"/>
            <w:szCs w:val="22"/>
          </w:rPr>
          <w:tab/>
        </w:r>
        <w:r w:rsidR="003C1B96" w:rsidRPr="00894814">
          <w:rPr>
            <w:rStyle w:val="Hyperlink"/>
            <w:noProof/>
          </w:rPr>
          <w:t>Deviations, Reservations, and Omissions</w:t>
        </w:r>
        <w:r w:rsidR="003C1B96">
          <w:rPr>
            <w:noProof/>
            <w:webHidden/>
          </w:rPr>
          <w:tab/>
        </w:r>
        <w:r w:rsidR="003C1B96">
          <w:rPr>
            <w:noProof/>
            <w:webHidden/>
          </w:rPr>
          <w:fldChar w:fldCharType="begin"/>
        </w:r>
        <w:r w:rsidR="003C1B96">
          <w:rPr>
            <w:noProof/>
            <w:webHidden/>
          </w:rPr>
          <w:instrText xml:space="preserve"> PAGEREF _Toc163505739 \h </w:instrText>
        </w:r>
        <w:r w:rsidR="003C1B96">
          <w:rPr>
            <w:noProof/>
            <w:webHidden/>
          </w:rPr>
        </w:r>
        <w:r w:rsidR="003C1B96">
          <w:rPr>
            <w:noProof/>
            <w:webHidden/>
          </w:rPr>
          <w:fldChar w:fldCharType="separate"/>
        </w:r>
        <w:r w:rsidR="003C1B96">
          <w:rPr>
            <w:noProof/>
            <w:webHidden/>
          </w:rPr>
          <w:t>26</w:t>
        </w:r>
        <w:r w:rsidR="003C1B96">
          <w:rPr>
            <w:noProof/>
            <w:webHidden/>
          </w:rPr>
          <w:fldChar w:fldCharType="end"/>
        </w:r>
      </w:hyperlink>
    </w:p>
    <w:p w14:paraId="1B7B14D3" w14:textId="17A99884" w:rsidR="003C1B96" w:rsidRDefault="00000000">
      <w:pPr>
        <w:pStyle w:val="TOC2"/>
        <w:rPr>
          <w:rFonts w:asciiTheme="minorHAnsi" w:eastAsiaTheme="minorEastAsia" w:hAnsiTheme="minorHAnsi" w:cstheme="minorBidi"/>
          <w:noProof/>
          <w:sz w:val="22"/>
          <w:szCs w:val="22"/>
        </w:rPr>
      </w:pPr>
      <w:hyperlink w:anchor="_Toc163505740" w:history="1">
        <w:r w:rsidR="003C1B96" w:rsidRPr="00894814">
          <w:rPr>
            <w:rStyle w:val="Hyperlink"/>
            <w:noProof/>
          </w:rPr>
          <w:t>30.</w:t>
        </w:r>
        <w:r w:rsidR="003C1B96">
          <w:rPr>
            <w:rFonts w:asciiTheme="minorHAnsi" w:eastAsiaTheme="minorEastAsia" w:hAnsiTheme="minorHAnsi" w:cstheme="minorBidi"/>
            <w:noProof/>
            <w:sz w:val="22"/>
            <w:szCs w:val="22"/>
          </w:rPr>
          <w:tab/>
        </w:r>
        <w:r w:rsidR="003C1B96" w:rsidRPr="00894814">
          <w:rPr>
            <w:rStyle w:val="Hyperlink"/>
            <w:noProof/>
          </w:rPr>
          <w:t>Determination of Responsiveness</w:t>
        </w:r>
        <w:r w:rsidR="003C1B96">
          <w:rPr>
            <w:noProof/>
            <w:webHidden/>
          </w:rPr>
          <w:tab/>
        </w:r>
        <w:r w:rsidR="003C1B96">
          <w:rPr>
            <w:noProof/>
            <w:webHidden/>
          </w:rPr>
          <w:fldChar w:fldCharType="begin"/>
        </w:r>
        <w:r w:rsidR="003C1B96">
          <w:rPr>
            <w:noProof/>
            <w:webHidden/>
          </w:rPr>
          <w:instrText xml:space="preserve"> PAGEREF _Toc163505740 \h </w:instrText>
        </w:r>
        <w:r w:rsidR="003C1B96">
          <w:rPr>
            <w:noProof/>
            <w:webHidden/>
          </w:rPr>
        </w:r>
        <w:r w:rsidR="003C1B96">
          <w:rPr>
            <w:noProof/>
            <w:webHidden/>
          </w:rPr>
          <w:fldChar w:fldCharType="separate"/>
        </w:r>
        <w:r w:rsidR="003C1B96">
          <w:rPr>
            <w:noProof/>
            <w:webHidden/>
          </w:rPr>
          <w:t>26</w:t>
        </w:r>
        <w:r w:rsidR="003C1B96">
          <w:rPr>
            <w:noProof/>
            <w:webHidden/>
          </w:rPr>
          <w:fldChar w:fldCharType="end"/>
        </w:r>
      </w:hyperlink>
    </w:p>
    <w:p w14:paraId="5BDA9BD2" w14:textId="7061F11D" w:rsidR="003C1B96" w:rsidRDefault="00000000">
      <w:pPr>
        <w:pStyle w:val="TOC2"/>
        <w:rPr>
          <w:rFonts w:asciiTheme="minorHAnsi" w:eastAsiaTheme="minorEastAsia" w:hAnsiTheme="minorHAnsi" w:cstheme="minorBidi"/>
          <w:noProof/>
          <w:sz w:val="22"/>
          <w:szCs w:val="22"/>
        </w:rPr>
      </w:pPr>
      <w:hyperlink w:anchor="_Toc163505741" w:history="1">
        <w:r w:rsidR="003C1B96" w:rsidRPr="00894814">
          <w:rPr>
            <w:rStyle w:val="Hyperlink"/>
            <w:noProof/>
          </w:rPr>
          <w:t>31.</w:t>
        </w:r>
        <w:r w:rsidR="003C1B96">
          <w:rPr>
            <w:rFonts w:asciiTheme="minorHAnsi" w:eastAsiaTheme="minorEastAsia" w:hAnsiTheme="minorHAnsi" w:cstheme="minorBidi"/>
            <w:noProof/>
            <w:sz w:val="22"/>
            <w:szCs w:val="22"/>
          </w:rPr>
          <w:tab/>
        </w:r>
        <w:r w:rsidR="003C1B96" w:rsidRPr="00894814">
          <w:rPr>
            <w:rStyle w:val="Hyperlink"/>
            <w:noProof/>
          </w:rPr>
          <w:t>Nonmaterial Nonconformities</w:t>
        </w:r>
        <w:r w:rsidR="003C1B96">
          <w:rPr>
            <w:noProof/>
            <w:webHidden/>
          </w:rPr>
          <w:tab/>
        </w:r>
        <w:r w:rsidR="003C1B96">
          <w:rPr>
            <w:noProof/>
            <w:webHidden/>
          </w:rPr>
          <w:fldChar w:fldCharType="begin"/>
        </w:r>
        <w:r w:rsidR="003C1B96">
          <w:rPr>
            <w:noProof/>
            <w:webHidden/>
          </w:rPr>
          <w:instrText xml:space="preserve"> PAGEREF _Toc163505741 \h </w:instrText>
        </w:r>
        <w:r w:rsidR="003C1B96">
          <w:rPr>
            <w:noProof/>
            <w:webHidden/>
          </w:rPr>
        </w:r>
        <w:r w:rsidR="003C1B96">
          <w:rPr>
            <w:noProof/>
            <w:webHidden/>
          </w:rPr>
          <w:fldChar w:fldCharType="separate"/>
        </w:r>
        <w:r w:rsidR="003C1B96">
          <w:rPr>
            <w:noProof/>
            <w:webHidden/>
          </w:rPr>
          <w:t>27</w:t>
        </w:r>
        <w:r w:rsidR="003C1B96">
          <w:rPr>
            <w:noProof/>
            <w:webHidden/>
          </w:rPr>
          <w:fldChar w:fldCharType="end"/>
        </w:r>
      </w:hyperlink>
    </w:p>
    <w:p w14:paraId="6C98B7D4" w14:textId="74953CA6" w:rsidR="003C1B96" w:rsidRDefault="00000000">
      <w:pPr>
        <w:pStyle w:val="TOC2"/>
        <w:rPr>
          <w:rFonts w:asciiTheme="minorHAnsi" w:eastAsiaTheme="minorEastAsia" w:hAnsiTheme="minorHAnsi" w:cstheme="minorBidi"/>
          <w:noProof/>
          <w:sz w:val="22"/>
          <w:szCs w:val="22"/>
        </w:rPr>
      </w:pPr>
      <w:hyperlink w:anchor="_Toc163505742" w:history="1">
        <w:r w:rsidR="003C1B96" w:rsidRPr="00894814">
          <w:rPr>
            <w:rStyle w:val="Hyperlink"/>
            <w:noProof/>
          </w:rPr>
          <w:t>32.</w:t>
        </w:r>
        <w:r w:rsidR="003C1B96">
          <w:rPr>
            <w:rFonts w:asciiTheme="minorHAnsi" w:eastAsiaTheme="minorEastAsia" w:hAnsiTheme="minorHAnsi" w:cstheme="minorBidi"/>
            <w:noProof/>
            <w:sz w:val="22"/>
            <w:szCs w:val="22"/>
          </w:rPr>
          <w:tab/>
        </w:r>
        <w:r w:rsidR="003C1B96" w:rsidRPr="00894814">
          <w:rPr>
            <w:rStyle w:val="Hyperlink"/>
            <w:noProof/>
          </w:rPr>
          <w:t>Correction of Arithmetical Errors</w:t>
        </w:r>
        <w:r w:rsidR="003C1B96">
          <w:rPr>
            <w:noProof/>
            <w:webHidden/>
          </w:rPr>
          <w:tab/>
        </w:r>
        <w:r w:rsidR="003C1B96">
          <w:rPr>
            <w:noProof/>
            <w:webHidden/>
          </w:rPr>
          <w:fldChar w:fldCharType="begin"/>
        </w:r>
        <w:r w:rsidR="003C1B96">
          <w:rPr>
            <w:noProof/>
            <w:webHidden/>
          </w:rPr>
          <w:instrText xml:space="preserve"> PAGEREF _Toc163505742 \h </w:instrText>
        </w:r>
        <w:r w:rsidR="003C1B96">
          <w:rPr>
            <w:noProof/>
            <w:webHidden/>
          </w:rPr>
        </w:r>
        <w:r w:rsidR="003C1B96">
          <w:rPr>
            <w:noProof/>
            <w:webHidden/>
          </w:rPr>
          <w:fldChar w:fldCharType="separate"/>
        </w:r>
        <w:r w:rsidR="003C1B96">
          <w:rPr>
            <w:noProof/>
            <w:webHidden/>
          </w:rPr>
          <w:t>28</w:t>
        </w:r>
        <w:r w:rsidR="003C1B96">
          <w:rPr>
            <w:noProof/>
            <w:webHidden/>
          </w:rPr>
          <w:fldChar w:fldCharType="end"/>
        </w:r>
      </w:hyperlink>
    </w:p>
    <w:p w14:paraId="39D1397A" w14:textId="2DEDCD74" w:rsidR="003C1B96" w:rsidRDefault="00000000">
      <w:pPr>
        <w:pStyle w:val="TOC2"/>
        <w:rPr>
          <w:rFonts w:asciiTheme="minorHAnsi" w:eastAsiaTheme="minorEastAsia" w:hAnsiTheme="minorHAnsi" w:cstheme="minorBidi"/>
          <w:noProof/>
          <w:sz w:val="22"/>
          <w:szCs w:val="22"/>
        </w:rPr>
      </w:pPr>
      <w:hyperlink w:anchor="_Toc163505743" w:history="1">
        <w:r w:rsidR="003C1B96" w:rsidRPr="00894814">
          <w:rPr>
            <w:rStyle w:val="Hyperlink"/>
            <w:noProof/>
          </w:rPr>
          <w:t>33.</w:t>
        </w:r>
        <w:r w:rsidR="003C1B96">
          <w:rPr>
            <w:rFonts w:asciiTheme="minorHAnsi" w:eastAsiaTheme="minorEastAsia" w:hAnsiTheme="minorHAnsi" w:cstheme="minorBidi"/>
            <w:noProof/>
            <w:sz w:val="22"/>
            <w:szCs w:val="22"/>
          </w:rPr>
          <w:tab/>
        </w:r>
        <w:r w:rsidR="003C1B96" w:rsidRPr="00894814">
          <w:rPr>
            <w:rStyle w:val="Hyperlink"/>
            <w:noProof/>
          </w:rPr>
          <w:t>Conversion to Single Currency</w:t>
        </w:r>
        <w:r w:rsidR="003C1B96">
          <w:rPr>
            <w:noProof/>
            <w:webHidden/>
          </w:rPr>
          <w:tab/>
        </w:r>
        <w:r w:rsidR="003C1B96">
          <w:rPr>
            <w:noProof/>
            <w:webHidden/>
          </w:rPr>
          <w:fldChar w:fldCharType="begin"/>
        </w:r>
        <w:r w:rsidR="003C1B96">
          <w:rPr>
            <w:noProof/>
            <w:webHidden/>
          </w:rPr>
          <w:instrText xml:space="preserve"> PAGEREF _Toc163505743 \h </w:instrText>
        </w:r>
        <w:r w:rsidR="003C1B96">
          <w:rPr>
            <w:noProof/>
            <w:webHidden/>
          </w:rPr>
        </w:r>
        <w:r w:rsidR="003C1B96">
          <w:rPr>
            <w:noProof/>
            <w:webHidden/>
          </w:rPr>
          <w:fldChar w:fldCharType="separate"/>
        </w:r>
        <w:r w:rsidR="003C1B96">
          <w:rPr>
            <w:noProof/>
            <w:webHidden/>
          </w:rPr>
          <w:t>28</w:t>
        </w:r>
        <w:r w:rsidR="003C1B96">
          <w:rPr>
            <w:noProof/>
            <w:webHidden/>
          </w:rPr>
          <w:fldChar w:fldCharType="end"/>
        </w:r>
      </w:hyperlink>
    </w:p>
    <w:p w14:paraId="2A96C1BB" w14:textId="485E4B7B" w:rsidR="003C1B96" w:rsidRDefault="00000000">
      <w:pPr>
        <w:pStyle w:val="TOC2"/>
        <w:rPr>
          <w:rFonts w:asciiTheme="minorHAnsi" w:eastAsiaTheme="minorEastAsia" w:hAnsiTheme="minorHAnsi" w:cstheme="minorBidi"/>
          <w:noProof/>
          <w:sz w:val="22"/>
          <w:szCs w:val="22"/>
        </w:rPr>
      </w:pPr>
      <w:hyperlink w:anchor="_Toc163505744" w:history="1">
        <w:r w:rsidR="003C1B96" w:rsidRPr="00894814">
          <w:rPr>
            <w:rStyle w:val="Hyperlink"/>
            <w:noProof/>
          </w:rPr>
          <w:t>34.</w:t>
        </w:r>
        <w:r w:rsidR="003C1B96">
          <w:rPr>
            <w:rFonts w:asciiTheme="minorHAnsi" w:eastAsiaTheme="minorEastAsia" w:hAnsiTheme="minorHAnsi" w:cstheme="minorBidi"/>
            <w:noProof/>
            <w:sz w:val="22"/>
            <w:szCs w:val="22"/>
          </w:rPr>
          <w:tab/>
        </w:r>
        <w:r w:rsidR="003C1B96" w:rsidRPr="00894814">
          <w:rPr>
            <w:rStyle w:val="Hyperlink"/>
            <w:noProof/>
          </w:rPr>
          <w:t>Margin of Preference</w:t>
        </w:r>
        <w:r w:rsidR="003C1B96">
          <w:rPr>
            <w:noProof/>
            <w:webHidden/>
          </w:rPr>
          <w:tab/>
        </w:r>
        <w:r w:rsidR="003C1B96">
          <w:rPr>
            <w:noProof/>
            <w:webHidden/>
          </w:rPr>
          <w:fldChar w:fldCharType="begin"/>
        </w:r>
        <w:r w:rsidR="003C1B96">
          <w:rPr>
            <w:noProof/>
            <w:webHidden/>
          </w:rPr>
          <w:instrText xml:space="preserve"> PAGEREF _Toc163505744 \h </w:instrText>
        </w:r>
        <w:r w:rsidR="003C1B96">
          <w:rPr>
            <w:noProof/>
            <w:webHidden/>
          </w:rPr>
        </w:r>
        <w:r w:rsidR="003C1B96">
          <w:rPr>
            <w:noProof/>
            <w:webHidden/>
          </w:rPr>
          <w:fldChar w:fldCharType="separate"/>
        </w:r>
        <w:r w:rsidR="003C1B96">
          <w:rPr>
            <w:noProof/>
            <w:webHidden/>
          </w:rPr>
          <w:t>29</w:t>
        </w:r>
        <w:r w:rsidR="003C1B96">
          <w:rPr>
            <w:noProof/>
            <w:webHidden/>
          </w:rPr>
          <w:fldChar w:fldCharType="end"/>
        </w:r>
      </w:hyperlink>
    </w:p>
    <w:p w14:paraId="7492F68D" w14:textId="065E1F9D" w:rsidR="003C1B96" w:rsidRDefault="00000000">
      <w:pPr>
        <w:pStyle w:val="TOC2"/>
        <w:rPr>
          <w:rFonts w:asciiTheme="minorHAnsi" w:eastAsiaTheme="minorEastAsia" w:hAnsiTheme="minorHAnsi" w:cstheme="minorBidi"/>
          <w:noProof/>
          <w:sz w:val="22"/>
          <w:szCs w:val="22"/>
        </w:rPr>
      </w:pPr>
      <w:hyperlink w:anchor="_Toc163505745" w:history="1">
        <w:r w:rsidR="003C1B96" w:rsidRPr="00894814">
          <w:rPr>
            <w:rStyle w:val="Hyperlink"/>
            <w:noProof/>
          </w:rPr>
          <w:t>35.</w:t>
        </w:r>
        <w:r w:rsidR="003C1B96">
          <w:rPr>
            <w:rFonts w:asciiTheme="minorHAnsi" w:eastAsiaTheme="minorEastAsia" w:hAnsiTheme="minorHAnsi" w:cstheme="minorBidi"/>
            <w:noProof/>
            <w:sz w:val="22"/>
            <w:szCs w:val="22"/>
          </w:rPr>
          <w:tab/>
        </w:r>
        <w:r w:rsidR="003C1B96" w:rsidRPr="00894814">
          <w:rPr>
            <w:rStyle w:val="Hyperlink"/>
            <w:noProof/>
          </w:rPr>
          <w:t>Evaluation of Bids</w:t>
        </w:r>
        <w:r w:rsidR="003C1B96">
          <w:rPr>
            <w:noProof/>
            <w:webHidden/>
          </w:rPr>
          <w:tab/>
        </w:r>
        <w:r w:rsidR="003C1B96">
          <w:rPr>
            <w:noProof/>
            <w:webHidden/>
          </w:rPr>
          <w:fldChar w:fldCharType="begin"/>
        </w:r>
        <w:r w:rsidR="003C1B96">
          <w:rPr>
            <w:noProof/>
            <w:webHidden/>
          </w:rPr>
          <w:instrText xml:space="preserve"> PAGEREF _Toc163505745 \h </w:instrText>
        </w:r>
        <w:r w:rsidR="003C1B96">
          <w:rPr>
            <w:noProof/>
            <w:webHidden/>
          </w:rPr>
        </w:r>
        <w:r w:rsidR="003C1B96">
          <w:rPr>
            <w:noProof/>
            <w:webHidden/>
          </w:rPr>
          <w:fldChar w:fldCharType="separate"/>
        </w:r>
        <w:r w:rsidR="003C1B96">
          <w:rPr>
            <w:noProof/>
            <w:webHidden/>
          </w:rPr>
          <w:t>29</w:t>
        </w:r>
        <w:r w:rsidR="003C1B96">
          <w:rPr>
            <w:noProof/>
            <w:webHidden/>
          </w:rPr>
          <w:fldChar w:fldCharType="end"/>
        </w:r>
      </w:hyperlink>
    </w:p>
    <w:p w14:paraId="45097456" w14:textId="1CA80AD4" w:rsidR="003C1B96" w:rsidRDefault="00000000">
      <w:pPr>
        <w:pStyle w:val="TOC2"/>
        <w:rPr>
          <w:rFonts w:asciiTheme="minorHAnsi" w:eastAsiaTheme="minorEastAsia" w:hAnsiTheme="minorHAnsi" w:cstheme="minorBidi"/>
          <w:noProof/>
          <w:sz w:val="22"/>
          <w:szCs w:val="22"/>
        </w:rPr>
      </w:pPr>
      <w:hyperlink w:anchor="_Toc163505746" w:history="1">
        <w:r w:rsidR="003C1B96" w:rsidRPr="00894814">
          <w:rPr>
            <w:rStyle w:val="Hyperlink"/>
            <w:noProof/>
          </w:rPr>
          <w:t>36.</w:t>
        </w:r>
        <w:r w:rsidR="003C1B96">
          <w:rPr>
            <w:rFonts w:asciiTheme="minorHAnsi" w:eastAsiaTheme="minorEastAsia" w:hAnsiTheme="minorHAnsi" w:cstheme="minorBidi"/>
            <w:noProof/>
            <w:sz w:val="22"/>
            <w:szCs w:val="22"/>
          </w:rPr>
          <w:tab/>
        </w:r>
        <w:r w:rsidR="003C1B96" w:rsidRPr="00894814">
          <w:rPr>
            <w:rStyle w:val="Hyperlink"/>
            <w:noProof/>
          </w:rPr>
          <w:t>Comparison of Bids</w:t>
        </w:r>
        <w:r w:rsidR="003C1B96">
          <w:rPr>
            <w:noProof/>
            <w:webHidden/>
          </w:rPr>
          <w:tab/>
        </w:r>
        <w:r w:rsidR="003C1B96">
          <w:rPr>
            <w:noProof/>
            <w:webHidden/>
          </w:rPr>
          <w:fldChar w:fldCharType="begin"/>
        </w:r>
        <w:r w:rsidR="003C1B96">
          <w:rPr>
            <w:noProof/>
            <w:webHidden/>
          </w:rPr>
          <w:instrText xml:space="preserve"> PAGEREF _Toc163505746 \h </w:instrText>
        </w:r>
        <w:r w:rsidR="003C1B96">
          <w:rPr>
            <w:noProof/>
            <w:webHidden/>
          </w:rPr>
        </w:r>
        <w:r w:rsidR="003C1B96">
          <w:rPr>
            <w:noProof/>
            <w:webHidden/>
          </w:rPr>
          <w:fldChar w:fldCharType="separate"/>
        </w:r>
        <w:r w:rsidR="003C1B96">
          <w:rPr>
            <w:noProof/>
            <w:webHidden/>
          </w:rPr>
          <w:t>31</w:t>
        </w:r>
        <w:r w:rsidR="003C1B96">
          <w:rPr>
            <w:noProof/>
            <w:webHidden/>
          </w:rPr>
          <w:fldChar w:fldCharType="end"/>
        </w:r>
      </w:hyperlink>
    </w:p>
    <w:p w14:paraId="16C0DD7D" w14:textId="7E1D0F71" w:rsidR="003C1B96" w:rsidRDefault="00000000">
      <w:pPr>
        <w:pStyle w:val="TOC2"/>
        <w:rPr>
          <w:rFonts w:asciiTheme="minorHAnsi" w:eastAsiaTheme="minorEastAsia" w:hAnsiTheme="minorHAnsi" w:cstheme="minorBidi"/>
          <w:noProof/>
          <w:sz w:val="22"/>
          <w:szCs w:val="22"/>
        </w:rPr>
      </w:pPr>
      <w:hyperlink w:anchor="_Toc163505747" w:history="1">
        <w:r w:rsidR="003C1B96" w:rsidRPr="00894814">
          <w:rPr>
            <w:rStyle w:val="Hyperlink"/>
            <w:noProof/>
          </w:rPr>
          <w:t>37.</w:t>
        </w:r>
        <w:r w:rsidR="003C1B96">
          <w:rPr>
            <w:rFonts w:asciiTheme="minorHAnsi" w:eastAsiaTheme="minorEastAsia" w:hAnsiTheme="minorHAnsi" w:cstheme="minorBidi"/>
            <w:noProof/>
            <w:sz w:val="22"/>
            <w:szCs w:val="22"/>
          </w:rPr>
          <w:tab/>
        </w:r>
        <w:r w:rsidR="003C1B96" w:rsidRPr="00894814">
          <w:rPr>
            <w:rStyle w:val="Hyperlink"/>
            <w:noProof/>
          </w:rPr>
          <w:t>Abnormally Low Bids</w:t>
        </w:r>
        <w:r w:rsidR="003C1B96">
          <w:rPr>
            <w:noProof/>
            <w:webHidden/>
          </w:rPr>
          <w:tab/>
        </w:r>
        <w:r w:rsidR="003C1B96">
          <w:rPr>
            <w:noProof/>
            <w:webHidden/>
          </w:rPr>
          <w:fldChar w:fldCharType="begin"/>
        </w:r>
        <w:r w:rsidR="003C1B96">
          <w:rPr>
            <w:noProof/>
            <w:webHidden/>
          </w:rPr>
          <w:instrText xml:space="preserve"> PAGEREF _Toc163505747 \h </w:instrText>
        </w:r>
        <w:r w:rsidR="003C1B96">
          <w:rPr>
            <w:noProof/>
            <w:webHidden/>
          </w:rPr>
        </w:r>
        <w:r w:rsidR="003C1B96">
          <w:rPr>
            <w:noProof/>
            <w:webHidden/>
          </w:rPr>
          <w:fldChar w:fldCharType="separate"/>
        </w:r>
        <w:r w:rsidR="003C1B96">
          <w:rPr>
            <w:noProof/>
            <w:webHidden/>
          </w:rPr>
          <w:t>31</w:t>
        </w:r>
        <w:r w:rsidR="003C1B96">
          <w:rPr>
            <w:noProof/>
            <w:webHidden/>
          </w:rPr>
          <w:fldChar w:fldCharType="end"/>
        </w:r>
      </w:hyperlink>
    </w:p>
    <w:p w14:paraId="7FFDBA81" w14:textId="48739417" w:rsidR="003C1B96" w:rsidRDefault="00000000">
      <w:pPr>
        <w:pStyle w:val="TOC2"/>
        <w:rPr>
          <w:rFonts w:asciiTheme="minorHAnsi" w:eastAsiaTheme="minorEastAsia" w:hAnsiTheme="minorHAnsi" w:cstheme="minorBidi"/>
          <w:noProof/>
          <w:sz w:val="22"/>
          <w:szCs w:val="22"/>
        </w:rPr>
      </w:pPr>
      <w:hyperlink w:anchor="_Toc163505748" w:history="1">
        <w:r w:rsidR="003C1B96" w:rsidRPr="00894814">
          <w:rPr>
            <w:rStyle w:val="Hyperlink"/>
            <w:noProof/>
          </w:rPr>
          <w:t>38.</w:t>
        </w:r>
        <w:r w:rsidR="003C1B96">
          <w:rPr>
            <w:rFonts w:asciiTheme="minorHAnsi" w:eastAsiaTheme="minorEastAsia" w:hAnsiTheme="minorHAnsi" w:cstheme="minorBidi"/>
            <w:noProof/>
            <w:sz w:val="22"/>
            <w:szCs w:val="22"/>
          </w:rPr>
          <w:tab/>
        </w:r>
        <w:r w:rsidR="003C1B96" w:rsidRPr="00894814">
          <w:rPr>
            <w:rStyle w:val="Hyperlink"/>
            <w:noProof/>
          </w:rPr>
          <w:t>Unbalanced or Front LoadedBids</w:t>
        </w:r>
        <w:r w:rsidR="003C1B96">
          <w:rPr>
            <w:noProof/>
            <w:webHidden/>
          </w:rPr>
          <w:tab/>
        </w:r>
        <w:r w:rsidR="003C1B96">
          <w:rPr>
            <w:noProof/>
            <w:webHidden/>
          </w:rPr>
          <w:fldChar w:fldCharType="begin"/>
        </w:r>
        <w:r w:rsidR="003C1B96">
          <w:rPr>
            <w:noProof/>
            <w:webHidden/>
          </w:rPr>
          <w:instrText xml:space="preserve"> PAGEREF _Toc163505748 \h </w:instrText>
        </w:r>
        <w:r w:rsidR="003C1B96">
          <w:rPr>
            <w:noProof/>
            <w:webHidden/>
          </w:rPr>
        </w:r>
        <w:r w:rsidR="003C1B96">
          <w:rPr>
            <w:noProof/>
            <w:webHidden/>
          </w:rPr>
          <w:fldChar w:fldCharType="separate"/>
        </w:r>
        <w:r w:rsidR="003C1B96">
          <w:rPr>
            <w:noProof/>
            <w:webHidden/>
          </w:rPr>
          <w:t>31</w:t>
        </w:r>
        <w:r w:rsidR="003C1B96">
          <w:rPr>
            <w:noProof/>
            <w:webHidden/>
          </w:rPr>
          <w:fldChar w:fldCharType="end"/>
        </w:r>
      </w:hyperlink>
    </w:p>
    <w:p w14:paraId="43E8EC9C" w14:textId="191BDEA2" w:rsidR="003C1B96" w:rsidRDefault="00000000">
      <w:pPr>
        <w:pStyle w:val="TOC2"/>
        <w:rPr>
          <w:rFonts w:asciiTheme="minorHAnsi" w:eastAsiaTheme="minorEastAsia" w:hAnsiTheme="minorHAnsi" w:cstheme="minorBidi"/>
          <w:noProof/>
          <w:sz w:val="22"/>
          <w:szCs w:val="22"/>
        </w:rPr>
      </w:pPr>
      <w:hyperlink w:anchor="_Toc163505749" w:history="1">
        <w:r w:rsidR="003C1B96" w:rsidRPr="00894814">
          <w:rPr>
            <w:rStyle w:val="Hyperlink"/>
            <w:noProof/>
          </w:rPr>
          <w:t>39.</w:t>
        </w:r>
        <w:r w:rsidR="003C1B96">
          <w:rPr>
            <w:rFonts w:asciiTheme="minorHAnsi" w:eastAsiaTheme="minorEastAsia" w:hAnsiTheme="minorHAnsi" w:cstheme="minorBidi"/>
            <w:noProof/>
            <w:sz w:val="22"/>
            <w:szCs w:val="22"/>
          </w:rPr>
          <w:tab/>
        </w:r>
        <w:r w:rsidR="003C1B96" w:rsidRPr="00894814">
          <w:rPr>
            <w:rStyle w:val="Hyperlink"/>
            <w:noProof/>
          </w:rPr>
          <w:t>Eligibility and Qualification of the Bidder</w:t>
        </w:r>
        <w:r w:rsidR="003C1B96">
          <w:rPr>
            <w:noProof/>
            <w:webHidden/>
          </w:rPr>
          <w:tab/>
        </w:r>
        <w:r w:rsidR="003C1B96">
          <w:rPr>
            <w:noProof/>
            <w:webHidden/>
          </w:rPr>
          <w:fldChar w:fldCharType="begin"/>
        </w:r>
        <w:r w:rsidR="003C1B96">
          <w:rPr>
            <w:noProof/>
            <w:webHidden/>
          </w:rPr>
          <w:instrText xml:space="preserve"> PAGEREF _Toc163505749 \h </w:instrText>
        </w:r>
        <w:r w:rsidR="003C1B96">
          <w:rPr>
            <w:noProof/>
            <w:webHidden/>
          </w:rPr>
        </w:r>
        <w:r w:rsidR="003C1B96">
          <w:rPr>
            <w:noProof/>
            <w:webHidden/>
          </w:rPr>
          <w:fldChar w:fldCharType="separate"/>
        </w:r>
        <w:r w:rsidR="003C1B96">
          <w:rPr>
            <w:noProof/>
            <w:webHidden/>
          </w:rPr>
          <w:t>32</w:t>
        </w:r>
        <w:r w:rsidR="003C1B96">
          <w:rPr>
            <w:noProof/>
            <w:webHidden/>
          </w:rPr>
          <w:fldChar w:fldCharType="end"/>
        </w:r>
      </w:hyperlink>
    </w:p>
    <w:p w14:paraId="59C9FF5A" w14:textId="4D97BA3A" w:rsidR="003C1B96" w:rsidRDefault="00000000">
      <w:pPr>
        <w:pStyle w:val="TOC2"/>
        <w:rPr>
          <w:rFonts w:asciiTheme="minorHAnsi" w:eastAsiaTheme="minorEastAsia" w:hAnsiTheme="minorHAnsi" w:cstheme="minorBidi"/>
          <w:noProof/>
          <w:sz w:val="22"/>
          <w:szCs w:val="22"/>
        </w:rPr>
      </w:pPr>
      <w:hyperlink w:anchor="_Toc163505750" w:history="1">
        <w:r w:rsidR="003C1B96" w:rsidRPr="00894814">
          <w:rPr>
            <w:rStyle w:val="Hyperlink"/>
            <w:noProof/>
          </w:rPr>
          <w:t>40.</w:t>
        </w:r>
        <w:r w:rsidR="003C1B96">
          <w:rPr>
            <w:rFonts w:asciiTheme="minorHAnsi" w:eastAsiaTheme="minorEastAsia" w:hAnsiTheme="minorHAnsi" w:cstheme="minorBidi"/>
            <w:noProof/>
            <w:sz w:val="22"/>
            <w:szCs w:val="22"/>
          </w:rPr>
          <w:tab/>
        </w:r>
        <w:r w:rsidR="003C1B96" w:rsidRPr="00894814">
          <w:rPr>
            <w:rStyle w:val="Hyperlink"/>
            <w:noProof/>
          </w:rPr>
          <w:t>Purchaser’s Right to Accept Any Bid, and to Reject Any or All Bids</w:t>
        </w:r>
        <w:r w:rsidR="003C1B96">
          <w:rPr>
            <w:noProof/>
            <w:webHidden/>
          </w:rPr>
          <w:tab/>
        </w:r>
        <w:r w:rsidR="003C1B96">
          <w:rPr>
            <w:noProof/>
            <w:webHidden/>
          </w:rPr>
          <w:fldChar w:fldCharType="begin"/>
        </w:r>
        <w:r w:rsidR="003C1B96">
          <w:rPr>
            <w:noProof/>
            <w:webHidden/>
          </w:rPr>
          <w:instrText xml:space="preserve"> PAGEREF _Toc163505750 \h </w:instrText>
        </w:r>
        <w:r w:rsidR="003C1B96">
          <w:rPr>
            <w:noProof/>
            <w:webHidden/>
          </w:rPr>
        </w:r>
        <w:r w:rsidR="003C1B96">
          <w:rPr>
            <w:noProof/>
            <w:webHidden/>
          </w:rPr>
          <w:fldChar w:fldCharType="separate"/>
        </w:r>
        <w:r w:rsidR="003C1B96">
          <w:rPr>
            <w:noProof/>
            <w:webHidden/>
          </w:rPr>
          <w:t>33</w:t>
        </w:r>
        <w:r w:rsidR="003C1B96">
          <w:rPr>
            <w:noProof/>
            <w:webHidden/>
          </w:rPr>
          <w:fldChar w:fldCharType="end"/>
        </w:r>
      </w:hyperlink>
    </w:p>
    <w:p w14:paraId="35560201" w14:textId="4770E192" w:rsidR="003C1B96" w:rsidRDefault="00000000">
      <w:pPr>
        <w:pStyle w:val="TOC2"/>
        <w:rPr>
          <w:rFonts w:asciiTheme="minorHAnsi" w:eastAsiaTheme="minorEastAsia" w:hAnsiTheme="minorHAnsi" w:cstheme="minorBidi"/>
          <w:noProof/>
          <w:sz w:val="22"/>
          <w:szCs w:val="22"/>
        </w:rPr>
      </w:pPr>
      <w:hyperlink w:anchor="_Toc163505751" w:history="1">
        <w:r w:rsidR="003C1B96" w:rsidRPr="00894814">
          <w:rPr>
            <w:rStyle w:val="Hyperlink"/>
            <w:noProof/>
          </w:rPr>
          <w:t>41.</w:t>
        </w:r>
        <w:r w:rsidR="003C1B96">
          <w:rPr>
            <w:rFonts w:asciiTheme="minorHAnsi" w:eastAsiaTheme="minorEastAsia" w:hAnsiTheme="minorHAnsi" w:cstheme="minorBidi"/>
            <w:noProof/>
            <w:sz w:val="22"/>
            <w:szCs w:val="22"/>
          </w:rPr>
          <w:tab/>
        </w:r>
        <w:r w:rsidR="003C1B96" w:rsidRPr="00894814">
          <w:rPr>
            <w:rStyle w:val="Hyperlink"/>
            <w:noProof/>
          </w:rPr>
          <w:t>Standstill Period</w:t>
        </w:r>
        <w:r w:rsidR="003C1B96">
          <w:rPr>
            <w:noProof/>
            <w:webHidden/>
          </w:rPr>
          <w:tab/>
        </w:r>
        <w:r w:rsidR="003C1B96">
          <w:rPr>
            <w:noProof/>
            <w:webHidden/>
          </w:rPr>
          <w:fldChar w:fldCharType="begin"/>
        </w:r>
        <w:r w:rsidR="003C1B96">
          <w:rPr>
            <w:noProof/>
            <w:webHidden/>
          </w:rPr>
          <w:instrText xml:space="preserve"> PAGEREF _Toc163505751 \h </w:instrText>
        </w:r>
        <w:r w:rsidR="003C1B96">
          <w:rPr>
            <w:noProof/>
            <w:webHidden/>
          </w:rPr>
        </w:r>
        <w:r w:rsidR="003C1B96">
          <w:rPr>
            <w:noProof/>
            <w:webHidden/>
          </w:rPr>
          <w:fldChar w:fldCharType="separate"/>
        </w:r>
        <w:r w:rsidR="003C1B96">
          <w:rPr>
            <w:noProof/>
            <w:webHidden/>
          </w:rPr>
          <w:t>33</w:t>
        </w:r>
        <w:r w:rsidR="003C1B96">
          <w:rPr>
            <w:noProof/>
            <w:webHidden/>
          </w:rPr>
          <w:fldChar w:fldCharType="end"/>
        </w:r>
      </w:hyperlink>
    </w:p>
    <w:p w14:paraId="3F979FD4" w14:textId="42D502CC" w:rsidR="003C1B96" w:rsidRDefault="00000000">
      <w:pPr>
        <w:pStyle w:val="TOC2"/>
        <w:rPr>
          <w:rFonts w:asciiTheme="minorHAnsi" w:eastAsiaTheme="minorEastAsia" w:hAnsiTheme="minorHAnsi" w:cstheme="minorBidi"/>
          <w:noProof/>
          <w:sz w:val="22"/>
          <w:szCs w:val="22"/>
        </w:rPr>
      </w:pPr>
      <w:hyperlink w:anchor="_Toc163505752" w:history="1">
        <w:r w:rsidR="003C1B96" w:rsidRPr="00894814">
          <w:rPr>
            <w:rStyle w:val="Hyperlink"/>
            <w:noProof/>
          </w:rPr>
          <w:t>42.</w:t>
        </w:r>
        <w:r w:rsidR="003C1B96">
          <w:rPr>
            <w:rFonts w:asciiTheme="minorHAnsi" w:eastAsiaTheme="minorEastAsia" w:hAnsiTheme="minorHAnsi" w:cstheme="minorBidi"/>
            <w:noProof/>
            <w:sz w:val="22"/>
            <w:szCs w:val="22"/>
          </w:rPr>
          <w:tab/>
        </w:r>
        <w:r w:rsidR="003C1B96" w:rsidRPr="00894814">
          <w:rPr>
            <w:rStyle w:val="Hyperlink"/>
            <w:noProof/>
          </w:rPr>
          <w:t>Notification of Intention to Award</w:t>
        </w:r>
        <w:r w:rsidR="003C1B96">
          <w:rPr>
            <w:noProof/>
            <w:webHidden/>
          </w:rPr>
          <w:tab/>
        </w:r>
        <w:r w:rsidR="003C1B96">
          <w:rPr>
            <w:noProof/>
            <w:webHidden/>
          </w:rPr>
          <w:fldChar w:fldCharType="begin"/>
        </w:r>
        <w:r w:rsidR="003C1B96">
          <w:rPr>
            <w:noProof/>
            <w:webHidden/>
          </w:rPr>
          <w:instrText xml:space="preserve"> PAGEREF _Toc163505752 \h </w:instrText>
        </w:r>
        <w:r w:rsidR="003C1B96">
          <w:rPr>
            <w:noProof/>
            <w:webHidden/>
          </w:rPr>
        </w:r>
        <w:r w:rsidR="003C1B96">
          <w:rPr>
            <w:noProof/>
            <w:webHidden/>
          </w:rPr>
          <w:fldChar w:fldCharType="separate"/>
        </w:r>
        <w:r w:rsidR="003C1B96">
          <w:rPr>
            <w:noProof/>
            <w:webHidden/>
          </w:rPr>
          <w:t>33</w:t>
        </w:r>
        <w:r w:rsidR="003C1B96">
          <w:rPr>
            <w:noProof/>
            <w:webHidden/>
          </w:rPr>
          <w:fldChar w:fldCharType="end"/>
        </w:r>
      </w:hyperlink>
    </w:p>
    <w:p w14:paraId="36DB5C16" w14:textId="230A2F50" w:rsidR="003C1B96" w:rsidRDefault="00000000">
      <w:pPr>
        <w:pStyle w:val="TOC1"/>
        <w:rPr>
          <w:rFonts w:asciiTheme="minorHAnsi" w:eastAsiaTheme="minorEastAsia" w:hAnsiTheme="minorHAnsi" w:cstheme="minorBidi"/>
          <w:b w:val="0"/>
          <w:noProof/>
          <w:sz w:val="22"/>
          <w:szCs w:val="22"/>
        </w:rPr>
      </w:pPr>
      <w:hyperlink w:anchor="_Toc163505753" w:history="1">
        <w:r w:rsidR="003C1B96" w:rsidRPr="00894814">
          <w:rPr>
            <w:rStyle w:val="Hyperlink"/>
            <w:noProof/>
          </w:rPr>
          <w:t>F. Award of Contract</w:t>
        </w:r>
        <w:r w:rsidR="003C1B96">
          <w:rPr>
            <w:noProof/>
            <w:webHidden/>
          </w:rPr>
          <w:tab/>
        </w:r>
        <w:r w:rsidR="003C1B96">
          <w:rPr>
            <w:noProof/>
            <w:webHidden/>
          </w:rPr>
          <w:fldChar w:fldCharType="begin"/>
        </w:r>
        <w:r w:rsidR="003C1B96">
          <w:rPr>
            <w:noProof/>
            <w:webHidden/>
          </w:rPr>
          <w:instrText xml:space="preserve"> PAGEREF _Toc163505753 \h </w:instrText>
        </w:r>
        <w:r w:rsidR="003C1B96">
          <w:rPr>
            <w:noProof/>
            <w:webHidden/>
          </w:rPr>
        </w:r>
        <w:r w:rsidR="003C1B96">
          <w:rPr>
            <w:noProof/>
            <w:webHidden/>
          </w:rPr>
          <w:fldChar w:fldCharType="separate"/>
        </w:r>
        <w:r w:rsidR="003C1B96">
          <w:rPr>
            <w:noProof/>
            <w:webHidden/>
          </w:rPr>
          <w:t>34</w:t>
        </w:r>
        <w:r w:rsidR="003C1B96">
          <w:rPr>
            <w:noProof/>
            <w:webHidden/>
          </w:rPr>
          <w:fldChar w:fldCharType="end"/>
        </w:r>
      </w:hyperlink>
    </w:p>
    <w:p w14:paraId="18688A31" w14:textId="24312B96" w:rsidR="003C1B96" w:rsidRDefault="00000000">
      <w:pPr>
        <w:pStyle w:val="TOC2"/>
        <w:rPr>
          <w:rFonts w:asciiTheme="minorHAnsi" w:eastAsiaTheme="minorEastAsia" w:hAnsiTheme="minorHAnsi" w:cstheme="minorBidi"/>
          <w:noProof/>
          <w:sz w:val="22"/>
          <w:szCs w:val="22"/>
        </w:rPr>
      </w:pPr>
      <w:hyperlink w:anchor="_Toc163505754" w:history="1">
        <w:r w:rsidR="003C1B96" w:rsidRPr="00894814">
          <w:rPr>
            <w:rStyle w:val="Hyperlink"/>
            <w:noProof/>
          </w:rPr>
          <w:t>43.</w:t>
        </w:r>
        <w:r w:rsidR="003C1B96">
          <w:rPr>
            <w:rFonts w:asciiTheme="minorHAnsi" w:eastAsiaTheme="minorEastAsia" w:hAnsiTheme="minorHAnsi" w:cstheme="minorBidi"/>
            <w:noProof/>
            <w:sz w:val="22"/>
            <w:szCs w:val="22"/>
          </w:rPr>
          <w:tab/>
        </w:r>
        <w:r w:rsidR="003C1B96" w:rsidRPr="00894814">
          <w:rPr>
            <w:rStyle w:val="Hyperlink"/>
            <w:noProof/>
          </w:rPr>
          <w:t>Award Criteria</w:t>
        </w:r>
        <w:r w:rsidR="003C1B96">
          <w:rPr>
            <w:noProof/>
            <w:webHidden/>
          </w:rPr>
          <w:tab/>
        </w:r>
        <w:r w:rsidR="003C1B96">
          <w:rPr>
            <w:noProof/>
            <w:webHidden/>
          </w:rPr>
          <w:fldChar w:fldCharType="begin"/>
        </w:r>
        <w:r w:rsidR="003C1B96">
          <w:rPr>
            <w:noProof/>
            <w:webHidden/>
          </w:rPr>
          <w:instrText xml:space="preserve"> PAGEREF _Toc163505754 \h </w:instrText>
        </w:r>
        <w:r w:rsidR="003C1B96">
          <w:rPr>
            <w:noProof/>
            <w:webHidden/>
          </w:rPr>
        </w:r>
        <w:r w:rsidR="003C1B96">
          <w:rPr>
            <w:noProof/>
            <w:webHidden/>
          </w:rPr>
          <w:fldChar w:fldCharType="separate"/>
        </w:r>
        <w:r w:rsidR="003C1B96">
          <w:rPr>
            <w:noProof/>
            <w:webHidden/>
          </w:rPr>
          <w:t>34</w:t>
        </w:r>
        <w:r w:rsidR="003C1B96">
          <w:rPr>
            <w:noProof/>
            <w:webHidden/>
          </w:rPr>
          <w:fldChar w:fldCharType="end"/>
        </w:r>
      </w:hyperlink>
    </w:p>
    <w:p w14:paraId="7D8A373D" w14:textId="7FCFAED2" w:rsidR="003C1B96" w:rsidRDefault="00000000">
      <w:pPr>
        <w:pStyle w:val="TOC2"/>
        <w:rPr>
          <w:rFonts w:asciiTheme="minorHAnsi" w:eastAsiaTheme="minorEastAsia" w:hAnsiTheme="minorHAnsi" w:cstheme="minorBidi"/>
          <w:noProof/>
          <w:sz w:val="22"/>
          <w:szCs w:val="22"/>
        </w:rPr>
      </w:pPr>
      <w:hyperlink w:anchor="_Toc163505755" w:history="1">
        <w:r w:rsidR="003C1B96" w:rsidRPr="00894814">
          <w:rPr>
            <w:rStyle w:val="Hyperlink"/>
            <w:noProof/>
          </w:rPr>
          <w:t>44.</w:t>
        </w:r>
        <w:r w:rsidR="003C1B96">
          <w:rPr>
            <w:rFonts w:asciiTheme="minorHAnsi" w:eastAsiaTheme="minorEastAsia" w:hAnsiTheme="minorHAnsi" w:cstheme="minorBidi"/>
            <w:noProof/>
            <w:sz w:val="22"/>
            <w:szCs w:val="22"/>
          </w:rPr>
          <w:tab/>
        </w:r>
        <w:r w:rsidR="003C1B96" w:rsidRPr="00894814">
          <w:rPr>
            <w:rStyle w:val="Hyperlink"/>
            <w:noProof/>
          </w:rPr>
          <w:t>Purchaser’s Right to Vary Quantities at Time of Award</w:t>
        </w:r>
        <w:r w:rsidR="003C1B96">
          <w:rPr>
            <w:noProof/>
            <w:webHidden/>
          </w:rPr>
          <w:tab/>
        </w:r>
        <w:r w:rsidR="003C1B96">
          <w:rPr>
            <w:noProof/>
            <w:webHidden/>
          </w:rPr>
          <w:fldChar w:fldCharType="begin"/>
        </w:r>
        <w:r w:rsidR="003C1B96">
          <w:rPr>
            <w:noProof/>
            <w:webHidden/>
          </w:rPr>
          <w:instrText xml:space="preserve"> PAGEREF _Toc163505755 \h </w:instrText>
        </w:r>
        <w:r w:rsidR="003C1B96">
          <w:rPr>
            <w:noProof/>
            <w:webHidden/>
          </w:rPr>
        </w:r>
        <w:r w:rsidR="003C1B96">
          <w:rPr>
            <w:noProof/>
            <w:webHidden/>
          </w:rPr>
          <w:fldChar w:fldCharType="separate"/>
        </w:r>
        <w:r w:rsidR="003C1B96">
          <w:rPr>
            <w:noProof/>
            <w:webHidden/>
          </w:rPr>
          <w:t>34</w:t>
        </w:r>
        <w:r w:rsidR="003C1B96">
          <w:rPr>
            <w:noProof/>
            <w:webHidden/>
          </w:rPr>
          <w:fldChar w:fldCharType="end"/>
        </w:r>
      </w:hyperlink>
    </w:p>
    <w:p w14:paraId="3A761D44" w14:textId="05EC03BB" w:rsidR="003C1B96" w:rsidRDefault="00000000">
      <w:pPr>
        <w:pStyle w:val="TOC2"/>
        <w:rPr>
          <w:rFonts w:asciiTheme="minorHAnsi" w:eastAsiaTheme="minorEastAsia" w:hAnsiTheme="minorHAnsi" w:cstheme="minorBidi"/>
          <w:noProof/>
          <w:sz w:val="22"/>
          <w:szCs w:val="22"/>
        </w:rPr>
      </w:pPr>
      <w:hyperlink w:anchor="_Toc163505756" w:history="1">
        <w:r w:rsidR="003C1B96" w:rsidRPr="00894814">
          <w:rPr>
            <w:rStyle w:val="Hyperlink"/>
            <w:noProof/>
          </w:rPr>
          <w:t>45.</w:t>
        </w:r>
        <w:r w:rsidR="003C1B96">
          <w:rPr>
            <w:rFonts w:asciiTheme="minorHAnsi" w:eastAsiaTheme="minorEastAsia" w:hAnsiTheme="minorHAnsi" w:cstheme="minorBidi"/>
            <w:noProof/>
            <w:sz w:val="22"/>
            <w:szCs w:val="22"/>
          </w:rPr>
          <w:tab/>
        </w:r>
        <w:r w:rsidR="003C1B96" w:rsidRPr="00894814">
          <w:rPr>
            <w:rStyle w:val="Hyperlink"/>
            <w:noProof/>
          </w:rPr>
          <w:t>Notification of Award</w:t>
        </w:r>
        <w:r w:rsidR="003C1B96">
          <w:rPr>
            <w:noProof/>
            <w:webHidden/>
          </w:rPr>
          <w:tab/>
        </w:r>
        <w:r w:rsidR="003C1B96">
          <w:rPr>
            <w:noProof/>
            <w:webHidden/>
          </w:rPr>
          <w:fldChar w:fldCharType="begin"/>
        </w:r>
        <w:r w:rsidR="003C1B96">
          <w:rPr>
            <w:noProof/>
            <w:webHidden/>
          </w:rPr>
          <w:instrText xml:space="preserve"> PAGEREF _Toc163505756 \h </w:instrText>
        </w:r>
        <w:r w:rsidR="003C1B96">
          <w:rPr>
            <w:noProof/>
            <w:webHidden/>
          </w:rPr>
        </w:r>
        <w:r w:rsidR="003C1B96">
          <w:rPr>
            <w:noProof/>
            <w:webHidden/>
          </w:rPr>
          <w:fldChar w:fldCharType="separate"/>
        </w:r>
        <w:r w:rsidR="003C1B96">
          <w:rPr>
            <w:noProof/>
            <w:webHidden/>
          </w:rPr>
          <w:t>35</w:t>
        </w:r>
        <w:r w:rsidR="003C1B96">
          <w:rPr>
            <w:noProof/>
            <w:webHidden/>
          </w:rPr>
          <w:fldChar w:fldCharType="end"/>
        </w:r>
      </w:hyperlink>
    </w:p>
    <w:p w14:paraId="604D8827" w14:textId="33FBA678" w:rsidR="003C1B96" w:rsidRDefault="00000000">
      <w:pPr>
        <w:pStyle w:val="TOC2"/>
        <w:rPr>
          <w:rFonts w:asciiTheme="minorHAnsi" w:eastAsiaTheme="minorEastAsia" w:hAnsiTheme="minorHAnsi" w:cstheme="minorBidi"/>
          <w:noProof/>
          <w:sz w:val="22"/>
          <w:szCs w:val="22"/>
        </w:rPr>
      </w:pPr>
      <w:hyperlink w:anchor="_Toc163505757" w:history="1">
        <w:r w:rsidR="003C1B96" w:rsidRPr="00894814">
          <w:rPr>
            <w:rStyle w:val="Hyperlink"/>
            <w:noProof/>
          </w:rPr>
          <w:t>46.</w:t>
        </w:r>
        <w:r w:rsidR="003C1B96">
          <w:rPr>
            <w:rFonts w:asciiTheme="minorHAnsi" w:eastAsiaTheme="minorEastAsia" w:hAnsiTheme="minorHAnsi" w:cstheme="minorBidi"/>
            <w:noProof/>
            <w:sz w:val="22"/>
            <w:szCs w:val="22"/>
          </w:rPr>
          <w:tab/>
        </w:r>
        <w:r w:rsidR="003C1B96" w:rsidRPr="00894814">
          <w:rPr>
            <w:rStyle w:val="Hyperlink"/>
            <w:noProof/>
          </w:rPr>
          <w:t>Debriefing by the Purchaser</w:t>
        </w:r>
        <w:r w:rsidR="003C1B96">
          <w:rPr>
            <w:noProof/>
            <w:webHidden/>
          </w:rPr>
          <w:tab/>
        </w:r>
        <w:r w:rsidR="003C1B96">
          <w:rPr>
            <w:noProof/>
            <w:webHidden/>
          </w:rPr>
          <w:fldChar w:fldCharType="begin"/>
        </w:r>
        <w:r w:rsidR="003C1B96">
          <w:rPr>
            <w:noProof/>
            <w:webHidden/>
          </w:rPr>
          <w:instrText xml:space="preserve"> PAGEREF _Toc163505757 \h </w:instrText>
        </w:r>
        <w:r w:rsidR="003C1B96">
          <w:rPr>
            <w:noProof/>
            <w:webHidden/>
          </w:rPr>
        </w:r>
        <w:r w:rsidR="003C1B96">
          <w:rPr>
            <w:noProof/>
            <w:webHidden/>
          </w:rPr>
          <w:fldChar w:fldCharType="separate"/>
        </w:r>
        <w:r w:rsidR="003C1B96">
          <w:rPr>
            <w:noProof/>
            <w:webHidden/>
          </w:rPr>
          <w:t>35</w:t>
        </w:r>
        <w:r w:rsidR="003C1B96">
          <w:rPr>
            <w:noProof/>
            <w:webHidden/>
          </w:rPr>
          <w:fldChar w:fldCharType="end"/>
        </w:r>
      </w:hyperlink>
    </w:p>
    <w:p w14:paraId="196D20D4" w14:textId="72968F1C" w:rsidR="003C1B96" w:rsidRDefault="00000000">
      <w:pPr>
        <w:pStyle w:val="TOC2"/>
        <w:rPr>
          <w:rFonts w:asciiTheme="minorHAnsi" w:eastAsiaTheme="minorEastAsia" w:hAnsiTheme="minorHAnsi" w:cstheme="minorBidi"/>
          <w:noProof/>
          <w:sz w:val="22"/>
          <w:szCs w:val="22"/>
        </w:rPr>
      </w:pPr>
      <w:hyperlink w:anchor="_Toc163505758" w:history="1">
        <w:r w:rsidR="003C1B96" w:rsidRPr="00894814">
          <w:rPr>
            <w:rStyle w:val="Hyperlink"/>
            <w:noProof/>
          </w:rPr>
          <w:t>47.</w:t>
        </w:r>
        <w:r w:rsidR="003C1B96">
          <w:rPr>
            <w:rFonts w:asciiTheme="minorHAnsi" w:eastAsiaTheme="minorEastAsia" w:hAnsiTheme="minorHAnsi" w:cstheme="minorBidi"/>
            <w:noProof/>
            <w:sz w:val="22"/>
            <w:szCs w:val="22"/>
          </w:rPr>
          <w:tab/>
        </w:r>
        <w:r w:rsidR="003C1B96" w:rsidRPr="00894814">
          <w:rPr>
            <w:rStyle w:val="Hyperlink"/>
            <w:noProof/>
          </w:rPr>
          <w:t>Signing of Contract</w:t>
        </w:r>
        <w:r w:rsidR="003C1B96">
          <w:rPr>
            <w:noProof/>
            <w:webHidden/>
          </w:rPr>
          <w:tab/>
        </w:r>
        <w:r w:rsidR="003C1B96">
          <w:rPr>
            <w:noProof/>
            <w:webHidden/>
          </w:rPr>
          <w:fldChar w:fldCharType="begin"/>
        </w:r>
        <w:r w:rsidR="003C1B96">
          <w:rPr>
            <w:noProof/>
            <w:webHidden/>
          </w:rPr>
          <w:instrText xml:space="preserve"> PAGEREF _Toc163505758 \h </w:instrText>
        </w:r>
        <w:r w:rsidR="003C1B96">
          <w:rPr>
            <w:noProof/>
            <w:webHidden/>
          </w:rPr>
        </w:r>
        <w:r w:rsidR="003C1B96">
          <w:rPr>
            <w:noProof/>
            <w:webHidden/>
          </w:rPr>
          <w:fldChar w:fldCharType="separate"/>
        </w:r>
        <w:r w:rsidR="003C1B96">
          <w:rPr>
            <w:noProof/>
            <w:webHidden/>
          </w:rPr>
          <w:t>36</w:t>
        </w:r>
        <w:r w:rsidR="003C1B96">
          <w:rPr>
            <w:noProof/>
            <w:webHidden/>
          </w:rPr>
          <w:fldChar w:fldCharType="end"/>
        </w:r>
      </w:hyperlink>
    </w:p>
    <w:p w14:paraId="0A9124A2" w14:textId="1D56021A" w:rsidR="003C1B96" w:rsidRDefault="00000000">
      <w:pPr>
        <w:pStyle w:val="TOC2"/>
        <w:rPr>
          <w:rFonts w:asciiTheme="minorHAnsi" w:eastAsiaTheme="minorEastAsia" w:hAnsiTheme="minorHAnsi" w:cstheme="minorBidi"/>
          <w:noProof/>
          <w:sz w:val="22"/>
          <w:szCs w:val="22"/>
        </w:rPr>
      </w:pPr>
      <w:hyperlink w:anchor="_Toc163505759" w:history="1">
        <w:r w:rsidR="003C1B96" w:rsidRPr="00894814">
          <w:rPr>
            <w:rStyle w:val="Hyperlink"/>
            <w:noProof/>
          </w:rPr>
          <w:t>48.</w:t>
        </w:r>
        <w:r w:rsidR="003C1B96">
          <w:rPr>
            <w:rFonts w:asciiTheme="minorHAnsi" w:eastAsiaTheme="minorEastAsia" w:hAnsiTheme="minorHAnsi" w:cstheme="minorBidi"/>
            <w:noProof/>
            <w:sz w:val="22"/>
            <w:szCs w:val="22"/>
          </w:rPr>
          <w:tab/>
        </w:r>
        <w:r w:rsidR="003C1B96" w:rsidRPr="00894814">
          <w:rPr>
            <w:rStyle w:val="Hyperlink"/>
            <w:noProof/>
          </w:rPr>
          <w:t>Performance Security</w:t>
        </w:r>
        <w:r w:rsidR="003C1B96">
          <w:rPr>
            <w:noProof/>
            <w:webHidden/>
          </w:rPr>
          <w:tab/>
        </w:r>
        <w:r w:rsidR="003C1B96">
          <w:rPr>
            <w:noProof/>
            <w:webHidden/>
          </w:rPr>
          <w:fldChar w:fldCharType="begin"/>
        </w:r>
        <w:r w:rsidR="003C1B96">
          <w:rPr>
            <w:noProof/>
            <w:webHidden/>
          </w:rPr>
          <w:instrText xml:space="preserve"> PAGEREF _Toc163505759 \h </w:instrText>
        </w:r>
        <w:r w:rsidR="003C1B96">
          <w:rPr>
            <w:noProof/>
            <w:webHidden/>
          </w:rPr>
        </w:r>
        <w:r w:rsidR="003C1B96">
          <w:rPr>
            <w:noProof/>
            <w:webHidden/>
          </w:rPr>
          <w:fldChar w:fldCharType="separate"/>
        </w:r>
        <w:r w:rsidR="003C1B96">
          <w:rPr>
            <w:noProof/>
            <w:webHidden/>
          </w:rPr>
          <w:t>37</w:t>
        </w:r>
        <w:r w:rsidR="003C1B96">
          <w:rPr>
            <w:noProof/>
            <w:webHidden/>
          </w:rPr>
          <w:fldChar w:fldCharType="end"/>
        </w:r>
      </w:hyperlink>
    </w:p>
    <w:p w14:paraId="7D37167E" w14:textId="426789B2" w:rsidR="003C1B96" w:rsidRDefault="00000000">
      <w:pPr>
        <w:pStyle w:val="TOC2"/>
        <w:rPr>
          <w:rFonts w:asciiTheme="minorHAnsi" w:eastAsiaTheme="minorEastAsia" w:hAnsiTheme="minorHAnsi" w:cstheme="minorBidi"/>
          <w:noProof/>
          <w:sz w:val="22"/>
          <w:szCs w:val="22"/>
        </w:rPr>
      </w:pPr>
      <w:hyperlink w:anchor="_Toc163505760" w:history="1">
        <w:r w:rsidR="003C1B96" w:rsidRPr="00894814">
          <w:rPr>
            <w:rStyle w:val="Hyperlink"/>
            <w:noProof/>
          </w:rPr>
          <w:t>49.</w:t>
        </w:r>
        <w:r w:rsidR="003C1B96">
          <w:rPr>
            <w:rFonts w:asciiTheme="minorHAnsi" w:eastAsiaTheme="minorEastAsia" w:hAnsiTheme="minorHAnsi" w:cstheme="minorBidi"/>
            <w:noProof/>
            <w:sz w:val="22"/>
            <w:szCs w:val="22"/>
          </w:rPr>
          <w:tab/>
        </w:r>
        <w:r w:rsidR="003C1B96" w:rsidRPr="00894814">
          <w:rPr>
            <w:rStyle w:val="Hyperlink"/>
            <w:noProof/>
          </w:rPr>
          <w:t>Adjudicator</w:t>
        </w:r>
        <w:r w:rsidR="003C1B96">
          <w:rPr>
            <w:noProof/>
            <w:webHidden/>
          </w:rPr>
          <w:tab/>
        </w:r>
        <w:r w:rsidR="003C1B96">
          <w:rPr>
            <w:noProof/>
            <w:webHidden/>
          </w:rPr>
          <w:fldChar w:fldCharType="begin"/>
        </w:r>
        <w:r w:rsidR="003C1B96">
          <w:rPr>
            <w:noProof/>
            <w:webHidden/>
          </w:rPr>
          <w:instrText xml:space="preserve"> PAGEREF _Toc163505760 \h </w:instrText>
        </w:r>
        <w:r w:rsidR="003C1B96">
          <w:rPr>
            <w:noProof/>
            <w:webHidden/>
          </w:rPr>
        </w:r>
        <w:r w:rsidR="003C1B96">
          <w:rPr>
            <w:noProof/>
            <w:webHidden/>
          </w:rPr>
          <w:fldChar w:fldCharType="separate"/>
        </w:r>
        <w:r w:rsidR="003C1B96">
          <w:rPr>
            <w:noProof/>
            <w:webHidden/>
          </w:rPr>
          <w:t>37</w:t>
        </w:r>
        <w:r w:rsidR="003C1B96">
          <w:rPr>
            <w:noProof/>
            <w:webHidden/>
          </w:rPr>
          <w:fldChar w:fldCharType="end"/>
        </w:r>
      </w:hyperlink>
    </w:p>
    <w:p w14:paraId="4566D017" w14:textId="4A755BA4" w:rsidR="003C1B96" w:rsidRDefault="00000000">
      <w:pPr>
        <w:pStyle w:val="TOC2"/>
        <w:rPr>
          <w:rFonts w:asciiTheme="minorHAnsi" w:eastAsiaTheme="minorEastAsia" w:hAnsiTheme="minorHAnsi" w:cstheme="minorBidi"/>
          <w:noProof/>
          <w:sz w:val="22"/>
          <w:szCs w:val="22"/>
        </w:rPr>
      </w:pPr>
      <w:hyperlink w:anchor="_Toc163505761" w:history="1">
        <w:r w:rsidR="003C1B96" w:rsidRPr="00894814">
          <w:rPr>
            <w:rStyle w:val="Hyperlink"/>
            <w:noProof/>
          </w:rPr>
          <w:t>50.</w:t>
        </w:r>
        <w:r w:rsidR="003C1B96">
          <w:rPr>
            <w:rFonts w:asciiTheme="minorHAnsi" w:eastAsiaTheme="minorEastAsia" w:hAnsiTheme="minorHAnsi" w:cstheme="minorBidi"/>
            <w:noProof/>
            <w:sz w:val="22"/>
            <w:szCs w:val="22"/>
          </w:rPr>
          <w:tab/>
        </w:r>
        <w:r w:rsidR="003C1B96" w:rsidRPr="00894814">
          <w:rPr>
            <w:rStyle w:val="Hyperlink"/>
            <w:noProof/>
          </w:rPr>
          <w:t>Procurement Related Complaint</w:t>
        </w:r>
        <w:r w:rsidR="003C1B96">
          <w:rPr>
            <w:noProof/>
            <w:webHidden/>
          </w:rPr>
          <w:tab/>
        </w:r>
        <w:r w:rsidR="003C1B96">
          <w:rPr>
            <w:noProof/>
            <w:webHidden/>
          </w:rPr>
          <w:fldChar w:fldCharType="begin"/>
        </w:r>
        <w:r w:rsidR="003C1B96">
          <w:rPr>
            <w:noProof/>
            <w:webHidden/>
          </w:rPr>
          <w:instrText xml:space="preserve"> PAGEREF _Toc163505761 \h </w:instrText>
        </w:r>
        <w:r w:rsidR="003C1B96">
          <w:rPr>
            <w:noProof/>
            <w:webHidden/>
          </w:rPr>
        </w:r>
        <w:r w:rsidR="003C1B96">
          <w:rPr>
            <w:noProof/>
            <w:webHidden/>
          </w:rPr>
          <w:fldChar w:fldCharType="separate"/>
        </w:r>
        <w:r w:rsidR="003C1B96">
          <w:rPr>
            <w:noProof/>
            <w:webHidden/>
          </w:rPr>
          <w:t>38</w:t>
        </w:r>
        <w:r w:rsidR="003C1B96">
          <w:rPr>
            <w:noProof/>
            <w:webHidden/>
          </w:rPr>
          <w:fldChar w:fldCharType="end"/>
        </w:r>
      </w:hyperlink>
    </w:p>
    <w:p w14:paraId="67E9B056" w14:textId="45D253EF" w:rsidR="00157AAA" w:rsidRDefault="006C1BE5">
      <w:pPr>
        <w:tabs>
          <w:tab w:val="left" w:pos="6306"/>
        </w:tabs>
        <w:jc w:val="left"/>
        <w:rPr>
          <w:sz w:val="22"/>
        </w:rPr>
      </w:pPr>
      <w:r>
        <w:rPr>
          <w:sz w:val="22"/>
        </w:rPr>
        <w:fldChar w:fldCharType="end"/>
      </w:r>
    </w:p>
    <w:p w14:paraId="0B1EB9E6" w14:textId="77777777" w:rsidR="00157AAA" w:rsidRDefault="006C1BE5">
      <w:pPr>
        <w:jc w:val="center"/>
        <w:rPr>
          <w:b/>
          <w:sz w:val="36"/>
          <w:szCs w:val="36"/>
        </w:rPr>
      </w:pPr>
      <w:r>
        <w:rPr>
          <w:sz w:val="22"/>
        </w:rPr>
        <w:br w:type="page" w:clear="all"/>
      </w:r>
      <w:bookmarkStart w:id="9" w:name="_Toc445567352"/>
      <w:r>
        <w:rPr>
          <w:b/>
          <w:sz w:val="36"/>
          <w:szCs w:val="36"/>
        </w:rPr>
        <w:lastRenderedPageBreak/>
        <w:t>Section I - Instructions to Bidders</w:t>
      </w:r>
      <w:bookmarkEnd w:id="9"/>
    </w:p>
    <w:p w14:paraId="34CE5A30" w14:textId="77777777" w:rsidR="00157AAA" w:rsidRDefault="006C1BE5">
      <w:pPr>
        <w:pStyle w:val="ITBHeading1"/>
      </w:pPr>
      <w:bookmarkStart w:id="10" w:name="_Toc434304491"/>
      <w:r>
        <w:tab/>
      </w:r>
      <w:bookmarkStart w:id="11" w:name="_Toc43474984"/>
      <w:bookmarkStart w:id="12" w:name="_Toc43486450"/>
      <w:bookmarkStart w:id="13" w:name="_Toc163505706"/>
      <w:r>
        <w:t>A.</w:t>
      </w:r>
      <w:r>
        <w:tab/>
        <w:t>General</w:t>
      </w:r>
      <w:bookmarkEnd w:id="10"/>
      <w:bookmarkEnd w:id="11"/>
      <w:bookmarkEnd w:id="12"/>
      <w:bookmarkEnd w:id="13"/>
    </w:p>
    <w:tbl>
      <w:tblPr>
        <w:tblW w:w="9450" w:type="dxa"/>
        <w:tblLayout w:type="fixed"/>
        <w:tblLook w:val="0000" w:firstRow="0" w:lastRow="0" w:firstColumn="0" w:lastColumn="0" w:noHBand="0" w:noVBand="0"/>
      </w:tblPr>
      <w:tblGrid>
        <w:gridCol w:w="2520"/>
        <w:gridCol w:w="6930"/>
      </w:tblGrid>
      <w:tr w:rsidR="00157AAA" w14:paraId="7B7EC399" w14:textId="77777777">
        <w:trPr>
          <w:cantSplit/>
        </w:trPr>
        <w:tc>
          <w:tcPr>
            <w:tcW w:w="2520" w:type="dxa"/>
          </w:tcPr>
          <w:p w14:paraId="6B66AEAA" w14:textId="77777777" w:rsidR="00157AAA" w:rsidRDefault="006C1BE5">
            <w:pPr>
              <w:pStyle w:val="ITBHeading2"/>
              <w:spacing w:before="120" w:after="120"/>
            </w:pPr>
            <w:bookmarkStart w:id="14" w:name="_Toc434304492"/>
            <w:bookmarkStart w:id="15" w:name="_Toc43474985"/>
            <w:bookmarkStart w:id="16" w:name="_Toc43486451"/>
            <w:bookmarkStart w:id="17" w:name="_Toc163505707"/>
            <w:r>
              <w:t>Scope of Bid</w:t>
            </w:r>
            <w:bookmarkEnd w:id="14"/>
            <w:bookmarkEnd w:id="15"/>
            <w:bookmarkEnd w:id="16"/>
            <w:bookmarkEnd w:id="17"/>
          </w:p>
          <w:p w14:paraId="5D4797AF" w14:textId="77777777" w:rsidR="00157AAA" w:rsidRDefault="00157AAA">
            <w:pPr>
              <w:pStyle w:val="Head12a"/>
              <w:numPr>
                <w:ilvl w:val="0"/>
                <w:numId w:val="0"/>
              </w:numPr>
              <w:spacing w:before="120"/>
              <w:ind w:left="792"/>
              <w:rPr>
                <w:szCs w:val="24"/>
              </w:rPr>
            </w:pPr>
          </w:p>
          <w:p w14:paraId="1E92EC05" w14:textId="77777777" w:rsidR="00157AAA" w:rsidRDefault="00157AAA">
            <w:pPr>
              <w:pStyle w:val="Head12a"/>
              <w:spacing w:before="120"/>
              <w:rPr>
                <w:szCs w:val="24"/>
              </w:rPr>
            </w:pPr>
          </w:p>
        </w:tc>
        <w:tc>
          <w:tcPr>
            <w:tcW w:w="6930" w:type="dxa"/>
          </w:tcPr>
          <w:p w14:paraId="05752E52" w14:textId="77777777" w:rsidR="00157AAA" w:rsidRDefault="006C1BE5" w:rsidP="00D530D5">
            <w:pPr>
              <w:pStyle w:val="Head12a"/>
              <w:numPr>
                <w:ilvl w:val="1"/>
                <w:numId w:val="59"/>
              </w:numPr>
              <w:spacing w:before="120"/>
              <w:ind w:left="702" w:hanging="720"/>
              <w:jc w:val="both"/>
              <w:rPr>
                <w:b w:val="0"/>
                <w:bCs/>
                <w:szCs w:val="24"/>
              </w:rPr>
            </w:pPr>
            <w:bookmarkStart w:id="18" w:name="_Toc43474832"/>
            <w:r>
              <w:rPr>
                <w:b w:val="0"/>
                <w:bCs/>
                <w:szCs w:val="24"/>
              </w:rPr>
              <w:t xml:space="preserve">The Purchaser, as indicated in the BDS, or its duly authorized Purchasing Agent if </w:t>
            </w:r>
            <w:proofErr w:type="gramStart"/>
            <w:r>
              <w:rPr>
                <w:b w:val="0"/>
                <w:bCs/>
                <w:szCs w:val="24"/>
              </w:rPr>
              <w:t>so</w:t>
            </w:r>
            <w:proofErr w:type="gramEnd"/>
            <w:r>
              <w:rPr>
                <w:b w:val="0"/>
                <w:bCs/>
                <w:szCs w:val="24"/>
              </w:rPr>
              <w:t xml:space="preserve"> specified in the BDS (interchangeably referred to as “the Purchaser” issues this bidding document for the supply and installation of the Information System as specified in Section VII, Purchaser’s Requirements. The name, </w:t>
            </w:r>
            <w:proofErr w:type="gramStart"/>
            <w:r>
              <w:rPr>
                <w:b w:val="0"/>
                <w:bCs/>
                <w:szCs w:val="24"/>
              </w:rPr>
              <w:t>identification</w:t>
            </w:r>
            <w:proofErr w:type="gramEnd"/>
            <w:r>
              <w:rPr>
                <w:b w:val="0"/>
                <w:bCs/>
                <w:szCs w:val="24"/>
              </w:rPr>
              <w:t xml:space="preserve"> and number of lots (contracts) of this RFB are specified in the BDS.</w:t>
            </w:r>
            <w:bookmarkEnd w:id="18"/>
          </w:p>
        </w:tc>
      </w:tr>
      <w:tr w:rsidR="00157AAA" w14:paraId="7BBC2821" w14:textId="77777777">
        <w:tc>
          <w:tcPr>
            <w:tcW w:w="2520" w:type="dxa"/>
          </w:tcPr>
          <w:p w14:paraId="4922AD2F" w14:textId="77777777" w:rsidR="00157AAA" w:rsidRDefault="00157AAA">
            <w:pPr>
              <w:numPr>
                <w:ilvl w:val="12"/>
                <w:numId w:val="0"/>
              </w:numPr>
              <w:spacing w:before="120"/>
              <w:ind w:left="360" w:hanging="360"/>
              <w:jc w:val="left"/>
              <w:rPr>
                <w:szCs w:val="24"/>
              </w:rPr>
            </w:pPr>
          </w:p>
        </w:tc>
        <w:tc>
          <w:tcPr>
            <w:tcW w:w="6930" w:type="dxa"/>
          </w:tcPr>
          <w:p w14:paraId="525AAD6E" w14:textId="77777777" w:rsidR="00157AAA" w:rsidRDefault="006C1BE5" w:rsidP="00D530D5">
            <w:pPr>
              <w:pStyle w:val="Head12a"/>
              <w:numPr>
                <w:ilvl w:val="1"/>
                <w:numId w:val="59"/>
              </w:numPr>
              <w:spacing w:before="120"/>
              <w:ind w:left="702" w:hanging="720"/>
              <w:jc w:val="both"/>
              <w:rPr>
                <w:b w:val="0"/>
                <w:bCs/>
                <w:szCs w:val="24"/>
              </w:rPr>
            </w:pPr>
            <w:bookmarkStart w:id="19" w:name="_Toc43474833"/>
            <w:r>
              <w:rPr>
                <w:b w:val="0"/>
                <w:bCs/>
                <w:szCs w:val="24"/>
              </w:rPr>
              <w:t>Unless otherwise stated, throughout this bidding document definitions and interpretations shall be as prescribed in the Section VIII, General Conditions of Contract.</w:t>
            </w:r>
            <w:bookmarkEnd w:id="19"/>
          </w:p>
        </w:tc>
      </w:tr>
      <w:tr w:rsidR="00157AAA" w14:paraId="21E3B5ED" w14:textId="77777777">
        <w:tc>
          <w:tcPr>
            <w:tcW w:w="2520" w:type="dxa"/>
          </w:tcPr>
          <w:p w14:paraId="7C5C6BA7" w14:textId="77777777" w:rsidR="00157AAA" w:rsidRDefault="00157AAA">
            <w:pPr>
              <w:numPr>
                <w:ilvl w:val="12"/>
                <w:numId w:val="0"/>
              </w:numPr>
              <w:spacing w:before="120"/>
              <w:ind w:left="360" w:hanging="360"/>
              <w:jc w:val="left"/>
              <w:rPr>
                <w:szCs w:val="24"/>
              </w:rPr>
            </w:pPr>
          </w:p>
        </w:tc>
        <w:tc>
          <w:tcPr>
            <w:tcW w:w="6930" w:type="dxa"/>
          </w:tcPr>
          <w:p w14:paraId="009AD4A4" w14:textId="77777777" w:rsidR="00157AAA" w:rsidRDefault="006C1BE5">
            <w:pPr>
              <w:spacing w:before="120"/>
              <w:ind w:left="630"/>
              <w:rPr>
                <w:rFonts w:ascii="Univers" w:hAnsi="Univers"/>
                <w:i/>
                <w:szCs w:val="24"/>
              </w:rPr>
            </w:pPr>
            <w:r>
              <w:rPr>
                <w:szCs w:val="24"/>
              </w:rPr>
              <w:t>Throughout this bidding document:</w:t>
            </w:r>
          </w:p>
          <w:p w14:paraId="4EDC4B81"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bookmarkStart w:id="20" w:name="_Toc445567353"/>
            <w:r>
              <w:rPr>
                <w:rFonts w:ascii="Times New Roman" w:hAnsi="Times New Roman"/>
                <w:b w:val="0"/>
                <w:sz w:val="24"/>
                <w:szCs w:val="24"/>
              </w:rPr>
              <w:t xml:space="preserve">the term “in writing” means communicated in written form (e.g. by mail, e-mail, fax, including if specified in the BDS, distributed or received through the electronic-procurement system used by the Purchaser) with proof of </w:t>
            </w:r>
            <w:proofErr w:type="gramStart"/>
            <w:r>
              <w:rPr>
                <w:rFonts w:ascii="Times New Roman" w:hAnsi="Times New Roman"/>
                <w:b w:val="0"/>
                <w:sz w:val="24"/>
                <w:szCs w:val="24"/>
              </w:rPr>
              <w:t>receipt;</w:t>
            </w:r>
            <w:bookmarkEnd w:id="20"/>
            <w:proofErr w:type="gramEnd"/>
          </w:p>
          <w:p w14:paraId="744968FB"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bookmarkStart w:id="21" w:name="_Toc445567354"/>
            <w:r>
              <w:rPr>
                <w:rFonts w:ascii="Times New Roman" w:hAnsi="Times New Roman"/>
                <w:b w:val="0"/>
                <w:sz w:val="24"/>
                <w:szCs w:val="24"/>
              </w:rPr>
              <w:t>if the context so requires, “singular” means “plural” and vice versa; and</w:t>
            </w:r>
            <w:bookmarkEnd w:id="21"/>
          </w:p>
          <w:p w14:paraId="3F4D57AD" w14:textId="77777777" w:rsidR="00157AAA" w:rsidRDefault="006C1BE5" w:rsidP="00D530D5">
            <w:pPr>
              <w:pStyle w:val="ListParagraph"/>
              <w:numPr>
                <w:ilvl w:val="0"/>
                <w:numId w:val="17"/>
              </w:numPr>
              <w:tabs>
                <w:tab w:val="left" w:pos="540"/>
              </w:tabs>
              <w:spacing w:before="120"/>
              <w:ind w:left="990" w:right="-72"/>
              <w:contextualSpacing w:val="0"/>
              <w:rPr>
                <w:szCs w:val="24"/>
              </w:rPr>
            </w:pPr>
            <w:r>
              <w:rPr>
                <w:szCs w:val="24"/>
              </w:rPr>
              <w:t>“Day” means calendar day, unless otherwise specified as “Business Day”. A Business Day is any day that is an official working day of the Borrower. It excludes the Borrower’s official public holidays.</w:t>
            </w:r>
          </w:p>
          <w:p w14:paraId="1529504E"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r>
              <w:rPr>
                <w:rFonts w:ascii="Times New Roman" w:hAnsi="Times New Roman"/>
                <w:b w:val="0"/>
                <w:sz w:val="24"/>
                <w:szCs w:val="24"/>
              </w:rPr>
              <w:t>“ES” means environmental and social (including Sexual Exploitation and Abuse (SEA), and Sexual Harassment (SH)</w:t>
            </w:r>
            <w:proofErr w:type="gramStart"/>
            <w:r>
              <w:rPr>
                <w:rFonts w:ascii="Times New Roman" w:hAnsi="Times New Roman"/>
                <w:b w:val="0"/>
                <w:sz w:val="24"/>
                <w:szCs w:val="24"/>
              </w:rPr>
              <w:t>);</w:t>
            </w:r>
            <w:proofErr w:type="gramEnd"/>
            <w:r>
              <w:rPr>
                <w:rFonts w:ascii="Times New Roman" w:hAnsi="Times New Roman"/>
                <w:b w:val="0"/>
                <w:sz w:val="24"/>
                <w:szCs w:val="24"/>
              </w:rPr>
              <w:t xml:space="preserve"> </w:t>
            </w:r>
          </w:p>
          <w:p w14:paraId="6CFA8C9C"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r>
              <w:rPr>
                <w:rFonts w:ascii="Times New Roman" w:hAnsi="Times New Roman"/>
                <w:b w:val="0"/>
                <w:sz w:val="24"/>
                <w:szCs w:val="24"/>
              </w:rPr>
              <w:t>“Sexual Exploitation and Abuse” “(SEA)” means the following:</w:t>
            </w:r>
          </w:p>
          <w:p w14:paraId="62F1396D" w14:textId="77777777" w:rsidR="00157AAA" w:rsidRDefault="006C1BE5">
            <w:pPr>
              <w:pStyle w:val="Heading3"/>
              <w:spacing w:before="120"/>
              <w:ind w:left="990"/>
              <w:jc w:val="both"/>
              <w:rPr>
                <w:rFonts w:ascii="Times New Roman" w:hAnsi="Times New Roman"/>
                <w:b w:val="0"/>
                <w:sz w:val="24"/>
                <w:szCs w:val="24"/>
              </w:rPr>
            </w:pPr>
            <w:r>
              <w:rPr>
                <w:rFonts w:ascii="Times New Roman" w:hAnsi="Times New Roman"/>
                <w:b w:val="0"/>
                <w:sz w:val="24"/>
                <w:szCs w:val="24"/>
              </w:rPr>
              <w:t xml:space="preserve">Sexual Exploitation is defined as any actual or attempted abuse of position of vulnerability, differential power or trust, for sexual purposes, including, but not limited to, profiting monetarily, socially or politically from the sexual exploitation of </w:t>
            </w:r>
            <w:proofErr w:type="gramStart"/>
            <w:r>
              <w:rPr>
                <w:rFonts w:ascii="Times New Roman" w:hAnsi="Times New Roman"/>
                <w:b w:val="0"/>
                <w:sz w:val="24"/>
                <w:szCs w:val="24"/>
              </w:rPr>
              <w:t>another;</w:t>
            </w:r>
            <w:proofErr w:type="gramEnd"/>
            <w:r>
              <w:rPr>
                <w:rFonts w:ascii="Times New Roman" w:hAnsi="Times New Roman"/>
                <w:b w:val="0"/>
                <w:sz w:val="24"/>
                <w:szCs w:val="24"/>
              </w:rPr>
              <w:t xml:space="preserve">   </w:t>
            </w:r>
          </w:p>
          <w:p w14:paraId="5B34F512" w14:textId="77777777" w:rsidR="00157AAA" w:rsidRDefault="006C1BE5">
            <w:pPr>
              <w:pStyle w:val="Heading3"/>
              <w:spacing w:before="120"/>
              <w:ind w:left="990"/>
              <w:jc w:val="both"/>
              <w:rPr>
                <w:rFonts w:ascii="Times New Roman" w:hAnsi="Times New Roman"/>
                <w:b w:val="0"/>
                <w:sz w:val="24"/>
                <w:szCs w:val="24"/>
              </w:rPr>
            </w:pPr>
            <w:r>
              <w:rPr>
                <w:rFonts w:ascii="Times New Roman" w:hAnsi="Times New Roman"/>
                <w:b w:val="0"/>
                <w:sz w:val="24"/>
                <w:szCs w:val="24"/>
              </w:rPr>
              <w:t>Sexual Abuse is defined as the actual or threatened physical intrusion of a sexual nature, whether by force or under unequal or coercive conditions.</w:t>
            </w:r>
          </w:p>
          <w:p w14:paraId="19AA91A7"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r>
              <w:rPr>
                <w:rFonts w:ascii="Times New Roman" w:hAnsi="Times New Roman"/>
                <w:b w:val="0"/>
                <w:sz w:val="24"/>
                <w:szCs w:val="24"/>
              </w:rPr>
              <w:t xml:space="preserve">“Sexual Harassment” “(SH)” is defined as unwelcome sexual advances, requests for sexual favors, and other verbal </w:t>
            </w:r>
            <w:r>
              <w:rPr>
                <w:rFonts w:ascii="Times New Roman" w:hAnsi="Times New Roman"/>
                <w:b w:val="0"/>
                <w:sz w:val="24"/>
                <w:szCs w:val="24"/>
              </w:rPr>
              <w:lastRenderedPageBreak/>
              <w:t>or physical conduct of a sexual nature by the Supplier’s Personnel with other Supplier’s Personnel or Purchaser’s Personnel.</w:t>
            </w:r>
          </w:p>
          <w:p w14:paraId="3FA26C8A" w14:textId="77777777" w:rsidR="00157AAA" w:rsidRDefault="006C1BE5" w:rsidP="00D530D5">
            <w:pPr>
              <w:pStyle w:val="Heading3"/>
              <w:numPr>
                <w:ilvl w:val="0"/>
                <w:numId w:val="17"/>
              </w:numPr>
              <w:spacing w:before="120"/>
              <w:ind w:left="990"/>
              <w:jc w:val="both"/>
              <w:rPr>
                <w:b w:val="0"/>
                <w:szCs w:val="24"/>
              </w:rPr>
            </w:pPr>
            <w:r>
              <w:rPr>
                <w:b w:val="0"/>
              </w:rPr>
              <w:t>“</w:t>
            </w:r>
            <w:r>
              <w:rPr>
                <w:rFonts w:ascii="Times New Roman" w:hAnsi="Times New Roman"/>
                <w:b w:val="0"/>
                <w:sz w:val="24"/>
                <w:szCs w:val="24"/>
              </w:rPr>
              <w:t>Supplier’s Personnel” is as defined in GCC Sub-Clause 1.1; and</w:t>
            </w:r>
          </w:p>
          <w:p w14:paraId="552ABECD" w14:textId="77777777" w:rsidR="00157AAA" w:rsidRDefault="006C1BE5" w:rsidP="00D530D5">
            <w:pPr>
              <w:pStyle w:val="Heading3"/>
              <w:numPr>
                <w:ilvl w:val="0"/>
                <w:numId w:val="17"/>
              </w:numPr>
              <w:spacing w:before="120"/>
              <w:ind w:left="990"/>
              <w:jc w:val="both"/>
              <w:rPr>
                <w:rFonts w:ascii="Times New Roman" w:hAnsi="Times New Roman"/>
                <w:b w:val="0"/>
                <w:sz w:val="24"/>
                <w:szCs w:val="24"/>
              </w:rPr>
            </w:pPr>
            <w:r>
              <w:rPr>
                <w:rFonts w:ascii="Times New Roman" w:hAnsi="Times New Roman" w:hint="eastAsia"/>
                <w:b w:val="0"/>
                <w:sz w:val="24"/>
                <w:szCs w:val="24"/>
              </w:rPr>
              <w:t>“</w:t>
            </w:r>
            <w:r>
              <w:rPr>
                <w:rFonts w:ascii="Times New Roman" w:hAnsi="Times New Roman"/>
                <w:b w:val="0"/>
                <w:sz w:val="24"/>
                <w:szCs w:val="24"/>
              </w:rPr>
              <w:t>Purchaser’s Personnel</w:t>
            </w:r>
            <w:r>
              <w:rPr>
                <w:rFonts w:ascii="Times New Roman" w:hAnsi="Times New Roman" w:hint="eastAsia"/>
                <w:b w:val="0"/>
                <w:sz w:val="24"/>
                <w:szCs w:val="24"/>
              </w:rPr>
              <w:t>”</w:t>
            </w:r>
            <w:r>
              <w:rPr>
                <w:rFonts w:ascii="Times New Roman" w:hAnsi="Times New Roman"/>
                <w:b w:val="0"/>
                <w:sz w:val="24"/>
                <w:szCs w:val="24"/>
              </w:rPr>
              <w:t xml:space="preserve"> is as defined in GCC Sub-Clause 1.1.</w:t>
            </w:r>
          </w:p>
          <w:p w14:paraId="63E6A20D" w14:textId="77777777" w:rsidR="00157AAA" w:rsidRDefault="006C1BE5">
            <w:pPr>
              <w:tabs>
                <w:tab w:val="left" w:pos="540"/>
              </w:tabs>
              <w:spacing w:before="120"/>
              <w:ind w:left="612" w:right="-72"/>
              <w:rPr>
                <w:szCs w:val="24"/>
              </w:rPr>
            </w:pPr>
            <w:r>
              <w:rPr>
                <w:szCs w:val="24"/>
              </w:rPr>
              <w:t>A non-exhaustive list of (</w:t>
            </w:r>
            <w:proofErr w:type="spellStart"/>
            <w:r>
              <w:rPr>
                <w:szCs w:val="24"/>
              </w:rPr>
              <w:t>i</w:t>
            </w:r>
            <w:proofErr w:type="spellEnd"/>
            <w:r>
              <w:rPr>
                <w:szCs w:val="24"/>
              </w:rPr>
              <w:t>) behaviors which constitute SEA and (ii) behaviors which constitute SH is attached to the Code of Conduct form in Section IV</w:t>
            </w:r>
          </w:p>
        </w:tc>
      </w:tr>
      <w:tr w:rsidR="00157AAA" w14:paraId="4BFFB0E7" w14:textId="77777777">
        <w:trPr>
          <w:cantSplit/>
        </w:trPr>
        <w:tc>
          <w:tcPr>
            <w:tcW w:w="2520" w:type="dxa"/>
          </w:tcPr>
          <w:p w14:paraId="37C6F979" w14:textId="77777777" w:rsidR="00157AAA" w:rsidRDefault="006C1BE5">
            <w:pPr>
              <w:pStyle w:val="ITBHeading2"/>
              <w:spacing w:before="120" w:after="120"/>
            </w:pPr>
            <w:bookmarkStart w:id="22" w:name="_Toc434304493"/>
            <w:bookmarkStart w:id="23" w:name="_Toc43474986"/>
            <w:bookmarkStart w:id="24" w:name="_Toc43486452"/>
            <w:bookmarkStart w:id="25" w:name="_Toc163505708"/>
            <w:r>
              <w:lastRenderedPageBreak/>
              <w:t>Source of Funds</w:t>
            </w:r>
            <w:bookmarkEnd w:id="22"/>
            <w:bookmarkEnd w:id="23"/>
            <w:bookmarkEnd w:id="24"/>
            <w:bookmarkEnd w:id="25"/>
          </w:p>
        </w:tc>
        <w:tc>
          <w:tcPr>
            <w:tcW w:w="6930" w:type="dxa"/>
          </w:tcPr>
          <w:p w14:paraId="675D6F85" w14:textId="77777777" w:rsidR="00157AAA" w:rsidRDefault="006C1BE5" w:rsidP="00D530D5">
            <w:pPr>
              <w:pStyle w:val="Head12a"/>
              <w:numPr>
                <w:ilvl w:val="1"/>
                <w:numId w:val="59"/>
              </w:numPr>
              <w:spacing w:before="120"/>
              <w:ind w:left="702" w:hanging="720"/>
              <w:jc w:val="both"/>
              <w:rPr>
                <w:b w:val="0"/>
                <w:bCs/>
                <w:szCs w:val="24"/>
              </w:rPr>
            </w:pPr>
            <w:bookmarkStart w:id="26" w:name="_Toc43474834"/>
            <w:r>
              <w:rPr>
                <w:b w:val="0"/>
                <w:bCs/>
                <w:szCs w:val="24"/>
              </w:rPr>
              <w:t>The Borrower or Recipient (hereinafter called “Borrower”) indicated in the BDS has applied for or received financing (hereinafter called “funds”) from the International Bank for Reconstruction and Development or the International Development Association (hereinafter called “the Bank”) in an amount specified in the BDS toward the project named in the BDS.  The Borrower intends to apply a portion of the funds to eligible payments under the contract(s) for which this bidding document is issued.</w:t>
            </w:r>
            <w:bookmarkEnd w:id="26"/>
            <w:r>
              <w:rPr>
                <w:b w:val="0"/>
                <w:bCs/>
                <w:szCs w:val="24"/>
              </w:rPr>
              <w:t xml:space="preserve"> </w:t>
            </w:r>
          </w:p>
          <w:p w14:paraId="068C35FC" w14:textId="77777777" w:rsidR="00157AAA" w:rsidRDefault="006C1BE5" w:rsidP="00D530D5">
            <w:pPr>
              <w:pStyle w:val="Head12a"/>
              <w:numPr>
                <w:ilvl w:val="1"/>
                <w:numId w:val="59"/>
              </w:numPr>
              <w:spacing w:before="120"/>
              <w:ind w:left="702" w:hanging="720"/>
              <w:jc w:val="both"/>
              <w:rPr>
                <w:b w:val="0"/>
                <w:bCs/>
                <w:szCs w:val="24"/>
              </w:rPr>
            </w:pPr>
            <w:bookmarkStart w:id="27" w:name="_Toc43474835"/>
            <w:r>
              <w:rPr>
                <w:b w:val="0"/>
                <w:bCs/>
                <w:szCs w:val="24"/>
              </w:rPr>
              <w:t>Payments by the Bank will be made only at the request of the Borrower and upon approval by the Bank in accordance with the terms and conditions of the Loan (or other financing) Agreement between the Borrower and the Bank (hereinafter called the Loan Agreement</w:t>
            </w:r>
            <w:proofErr w:type="gramStart"/>
            <w:r>
              <w:rPr>
                <w:b w:val="0"/>
                <w:bCs/>
                <w:szCs w:val="24"/>
              </w:rPr>
              <w:t>), and</w:t>
            </w:r>
            <w:proofErr w:type="gramEnd"/>
            <w:r>
              <w:rPr>
                <w:b w:val="0"/>
                <w:bCs/>
                <w:szCs w:val="24"/>
              </w:rPr>
              <w:t xml:space="preserve"> will be subject in all respects to the terms and conditions of that Loan (or other financing) Agreement.  The Loan (or other financing) Agreement prohibits a withdrawal from the loan account for the purpose of any payment to persons or entities, or for any import of equipment, </w:t>
            </w:r>
            <w:proofErr w:type="gramStart"/>
            <w:r>
              <w:rPr>
                <w:b w:val="0"/>
                <w:bCs/>
                <w:szCs w:val="24"/>
              </w:rPr>
              <w:t>materials</w:t>
            </w:r>
            <w:proofErr w:type="gramEnd"/>
            <w:r>
              <w:rPr>
                <w:b w:val="0"/>
                <w:bCs/>
                <w:szCs w:val="24"/>
              </w:rPr>
              <w:t xml:space="preserve"> or any other goods, if such payment or import is prohibited by a decision of the United Nations Security Council taken under Chapter VII of the Charter of the United Nations. No party other than the Borrower shall derive any rights from the Loan </w:t>
            </w:r>
            <w:r>
              <w:rPr>
                <w:b w:val="0"/>
                <w:bCs/>
                <w:color w:val="000000" w:themeColor="text1"/>
                <w:szCs w:val="24"/>
              </w:rPr>
              <w:t>(or other financing)</w:t>
            </w:r>
            <w:r>
              <w:rPr>
                <w:b w:val="0"/>
                <w:bCs/>
                <w:szCs w:val="24"/>
              </w:rPr>
              <w:t xml:space="preserve"> Agreement or have any claim to the funds.</w:t>
            </w:r>
            <w:bookmarkEnd w:id="27"/>
          </w:p>
        </w:tc>
      </w:tr>
      <w:tr w:rsidR="00157AAA" w14:paraId="5590C074" w14:textId="77777777">
        <w:trPr>
          <w:cantSplit/>
        </w:trPr>
        <w:tc>
          <w:tcPr>
            <w:tcW w:w="2520" w:type="dxa"/>
          </w:tcPr>
          <w:p w14:paraId="2B327C24" w14:textId="77777777" w:rsidR="00157AAA" w:rsidRDefault="006C1BE5">
            <w:pPr>
              <w:pStyle w:val="ITBHeading2"/>
              <w:spacing w:before="120" w:after="120"/>
            </w:pPr>
            <w:bookmarkStart w:id="28" w:name="_Toc434304494"/>
            <w:bookmarkStart w:id="29" w:name="_Toc43474987"/>
            <w:bookmarkStart w:id="30" w:name="_Toc43486453"/>
            <w:bookmarkStart w:id="31" w:name="_Toc163505709"/>
            <w:r>
              <w:t>Fraud and Corruption</w:t>
            </w:r>
            <w:bookmarkEnd w:id="28"/>
            <w:bookmarkEnd w:id="29"/>
            <w:bookmarkEnd w:id="30"/>
            <w:bookmarkEnd w:id="31"/>
          </w:p>
        </w:tc>
        <w:tc>
          <w:tcPr>
            <w:tcW w:w="6930" w:type="dxa"/>
          </w:tcPr>
          <w:p w14:paraId="4AD12BF9" w14:textId="77777777" w:rsidR="00157AAA" w:rsidRDefault="006C1BE5" w:rsidP="00D530D5">
            <w:pPr>
              <w:pStyle w:val="Head12a"/>
              <w:numPr>
                <w:ilvl w:val="1"/>
                <w:numId w:val="59"/>
              </w:numPr>
              <w:spacing w:before="120"/>
              <w:ind w:left="702" w:hanging="720"/>
              <w:jc w:val="both"/>
              <w:rPr>
                <w:szCs w:val="24"/>
              </w:rPr>
            </w:pPr>
            <w:bookmarkStart w:id="32" w:name="_Toc43474836"/>
            <w:r>
              <w:rPr>
                <w:b w:val="0"/>
                <w:bCs/>
                <w:szCs w:val="24"/>
              </w:rPr>
              <w:t>The Bank requires compliance with the Bank’s Anti-Corruption Guidelines and its prevailing sanctions policies and procedures as set forth in the WBG’s Sanctions Framework, as set forth in Section VI.</w:t>
            </w:r>
            <w:bookmarkEnd w:id="32"/>
          </w:p>
        </w:tc>
      </w:tr>
      <w:tr w:rsidR="00157AAA" w14:paraId="13BB9229" w14:textId="77777777">
        <w:tc>
          <w:tcPr>
            <w:tcW w:w="2520" w:type="dxa"/>
          </w:tcPr>
          <w:p w14:paraId="2D34098B" w14:textId="77777777" w:rsidR="00157AAA" w:rsidRDefault="00157AAA">
            <w:pPr>
              <w:numPr>
                <w:ilvl w:val="12"/>
                <w:numId w:val="0"/>
              </w:numPr>
              <w:spacing w:before="120"/>
              <w:ind w:left="360" w:hanging="360"/>
              <w:jc w:val="left"/>
              <w:rPr>
                <w:szCs w:val="24"/>
              </w:rPr>
            </w:pPr>
          </w:p>
        </w:tc>
        <w:tc>
          <w:tcPr>
            <w:tcW w:w="6930" w:type="dxa"/>
          </w:tcPr>
          <w:p w14:paraId="405EE673" w14:textId="77777777" w:rsidR="00157AAA" w:rsidRDefault="006C1BE5" w:rsidP="00D530D5">
            <w:pPr>
              <w:pStyle w:val="Head12a"/>
              <w:numPr>
                <w:ilvl w:val="1"/>
                <w:numId w:val="59"/>
              </w:numPr>
              <w:spacing w:before="120"/>
              <w:ind w:left="702" w:hanging="720"/>
              <w:jc w:val="both"/>
              <w:rPr>
                <w:b w:val="0"/>
                <w:szCs w:val="24"/>
              </w:rPr>
            </w:pPr>
            <w:bookmarkStart w:id="33" w:name="_Toc43474837"/>
            <w:r>
              <w:rPr>
                <w:b w:val="0"/>
                <w:szCs w:val="24"/>
              </w:rPr>
              <w:t xml:space="preserve">In further pursuance of this policy, Bidders shall permit and shall cause their agents (where declared or not), subcontractors, subconsultants, service providers, suppliers, and personnel, to </w:t>
            </w:r>
            <w:r>
              <w:rPr>
                <w:b w:val="0"/>
                <w:szCs w:val="24"/>
              </w:rPr>
              <w:lastRenderedPageBreak/>
              <w:t>permit the Bank to inspect all accounts, records and other documents relating to any initial selection process, prequalification process, bid submission, proposal submission and contract performance (in the case of award), and to have them audited by auditors appointed by the Bank.</w:t>
            </w:r>
            <w:bookmarkEnd w:id="33"/>
          </w:p>
        </w:tc>
      </w:tr>
      <w:tr w:rsidR="00157AAA" w14:paraId="45B56FB7" w14:textId="77777777">
        <w:tc>
          <w:tcPr>
            <w:tcW w:w="2520" w:type="dxa"/>
          </w:tcPr>
          <w:p w14:paraId="1DE2F435" w14:textId="77777777" w:rsidR="00157AAA" w:rsidRDefault="006C1BE5">
            <w:pPr>
              <w:pStyle w:val="ITBHeading2"/>
              <w:spacing w:before="120" w:after="120"/>
            </w:pPr>
            <w:bookmarkStart w:id="34" w:name="_Toc43474988"/>
            <w:bookmarkStart w:id="35" w:name="_Toc43486454"/>
            <w:bookmarkStart w:id="36" w:name="_Toc163505710"/>
            <w:r>
              <w:lastRenderedPageBreak/>
              <w:t>Eligible Bidders</w:t>
            </w:r>
            <w:bookmarkEnd w:id="34"/>
            <w:bookmarkEnd w:id="35"/>
            <w:bookmarkEnd w:id="36"/>
          </w:p>
          <w:p w14:paraId="26BF4968" w14:textId="77777777" w:rsidR="00157AAA" w:rsidRDefault="00157AAA">
            <w:pPr>
              <w:pStyle w:val="Head12a"/>
              <w:numPr>
                <w:ilvl w:val="0"/>
                <w:numId w:val="0"/>
              </w:numPr>
              <w:spacing w:before="120"/>
              <w:ind w:left="360" w:hanging="360"/>
              <w:rPr>
                <w:b w:val="0"/>
                <w:bCs/>
                <w:szCs w:val="24"/>
              </w:rPr>
            </w:pPr>
          </w:p>
        </w:tc>
        <w:tc>
          <w:tcPr>
            <w:tcW w:w="6930" w:type="dxa"/>
          </w:tcPr>
          <w:p w14:paraId="136FDE72" w14:textId="77777777" w:rsidR="00157AAA" w:rsidRDefault="006C1BE5" w:rsidP="00D530D5">
            <w:pPr>
              <w:pStyle w:val="Head12a"/>
              <w:numPr>
                <w:ilvl w:val="1"/>
                <w:numId w:val="59"/>
              </w:numPr>
              <w:spacing w:before="120"/>
              <w:ind w:left="702" w:hanging="720"/>
              <w:jc w:val="both"/>
              <w:rPr>
                <w:b w:val="0"/>
                <w:bCs/>
                <w:szCs w:val="24"/>
              </w:rPr>
            </w:pPr>
            <w:bookmarkStart w:id="37" w:name="_Toc43474838"/>
            <w:r>
              <w:rPr>
                <w:b w:val="0"/>
                <w:bCs/>
                <w:szCs w:val="24"/>
              </w:rPr>
              <w:t xml:space="preserve">A Bidder may be a firm that is a private entity, a state-owned enterprise or institution subject to ITB 4.6, or any combination of such entities in the form of a joint venture (JV) under an existing agreement or with the intent to enter into such an agreement supported by a letter of intent.  In the case of a joint venture, all members shall be jointly and severally liable for the execution of the Contract in accordance with the Contract terms. The JV shall nominate a Representative who shall have the authority to conduct all business for and on behalf of </w:t>
            </w:r>
            <w:proofErr w:type="gramStart"/>
            <w:r>
              <w:rPr>
                <w:b w:val="0"/>
                <w:bCs/>
                <w:szCs w:val="24"/>
              </w:rPr>
              <w:t>any and all</w:t>
            </w:r>
            <w:proofErr w:type="gramEnd"/>
            <w:r>
              <w:rPr>
                <w:b w:val="0"/>
                <w:bCs/>
                <w:szCs w:val="24"/>
              </w:rPr>
              <w:t xml:space="preserve"> the members of the JV during the Bidding process and, in the event the JV is awarded the Contract, during contract execution. Unless specified in the BDS, there is no limit on the number of members in a JV.</w:t>
            </w:r>
            <w:bookmarkEnd w:id="37"/>
          </w:p>
        </w:tc>
      </w:tr>
      <w:tr w:rsidR="00157AAA" w14:paraId="34B08EB6" w14:textId="77777777">
        <w:tc>
          <w:tcPr>
            <w:tcW w:w="2520" w:type="dxa"/>
          </w:tcPr>
          <w:p w14:paraId="5C8B9113" w14:textId="77777777" w:rsidR="00157AAA" w:rsidRDefault="00157AAA">
            <w:pPr>
              <w:numPr>
                <w:ilvl w:val="12"/>
                <w:numId w:val="0"/>
              </w:numPr>
              <w:spacing w:before="120"/>
              <w:ind w:left="360" w:hanging="360"/>
              <w:jc w:val="left"/>
              <w:rPr>
                <w:szCs w:val="24"/>
              </w:rPr>
            </w:pPr>
          </w:p>
        </w:tc>
        <w:tc>
          <w:tcPr>
            <w:tcW w:w="6930" w:type="dxa"/>
          </w:tcPr>
          <w:p w14:paraId="71497EAF" w14:textId="77777777" w:rsidR="00157AAA" w:rsidRDefault="006C1BE5" w:rsidP="00D530D5">
            <w:pPr>
              <w:pStyle w:val="Head12a"/>
              <w:numPr>
                <w:ilvl w:val="1"/>
                <w:numId w:val="59"/>
              </w:numPr>
              <w:spacing w:before="120"/>
              <w:ind w:left="702" w:hanging="720"/>
              <w:jc w:val="both"/>
              <w:rPr>
                <w:b w:val="0"/>
                <w:bCs/>
                <w:szCs w:val="24"/>
              </w:rPr>
            </w:pPr>
            <w:bookmarkStart w:id="38" w:name="_Toc43474839"/>
            <w:r>
              <w:rPr>
                <w:b w:val="0"/>
                <w:bCs/>
                <w:szCs w:val="24"/>
              </w:rPr>
              <w:t>A Bidder shall not have a conflict of interest. Any Bidder found to have a conflict of interest shall be disqualified. A Bidder may be considered to have a conflict of interest for the purpose of this Bidding process, if the Bidder:</w:t>
            </w:r>
            <w:bookmarkEnd w:id="38"/>
            <w:r>
              <w:rPr>
                <w:b w:val="0"/>
                <w:bCs/>
                <w:szCs w:val="24"/>
              </w:rPr>
              <w:t xml:space="preserve"> </w:t>
            </w:r>
          </w:p>
          <w:p w14:paraId="2B8DF849"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 xml:space="preserve">directly or indirectly controls, is controlled by or is under common control with another Bidder; or </w:t>
            </w:r>
          </w:p>
          <w:p w14:paraId="007AD3FA"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receives or has received any direct or indirect subsidy from another Bidder; or</w:t>
            </w:r>
          </w:p>
          <w:p w14:paraId="0322CDEE"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has the same legal representative as another Bidder; or</w:t>
            </w:r>
          </w:p>
          <w:p w14:paraId="6942C81A"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has a relationship with another Bidder, directly or through common third parties, that puts it in a position to influence the Bid of another Bidder, or influence the decisions of the Purchaser regarding this Bidding process; or</w:t>
            </w:r>
          </w:p>
          <w:p w14:paraId="42036BF7"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any of its affiliates participates as a consultant in the preparation of the design or technical specifications of the Information System that are the subject of the Bid; or</w:t>
            </w:r>
          </w:p>
          <w:p w14:paraId="1851BE25"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or any of its affiliates has been hired (or is proposed to be hired) by the Purchaser or Borrower as Project Manager for the Contract implementation; or</w:t>
            </w:r>
          </w:p>
          <w:p w14:paraId="12F85C00"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 xml:space="preserve">would be providing goods, works, or non-consulting services resulting from or directly related to consulting </w:t>
            </w:r>
            <w:r>
              <w:rPr>
                <w:rFonts w:ascii="Times New Roman" w:hAnsi="Times New Roman"/>
                <w:b w:val="0"/>
                <w:bCs/>
                <w:sz w:val="24"/>
                <w:szCs w:val="24"/>
              </w:rPr>
              <w:lastRenderedPageBreak/>
              <w:t>services for the preparation or implementation of the project specified in the BDS ITB 2.1 that it provided or were provided by any affiliate that directly or indirectly controls, is controlled by, or is under common control with that firm; or</w:t>
            </w:r>
          </w:p>
          <w:p w14:paraId="5CEE1536" w14:textId="77777777" w:rsidR="00157AAA" w:rsidRDefault="006C1BE5" w:rsidP="00D530D5">
            <w:pPr>
              <w:pStyle w:val="Heading3"/>
              <w:numPr>
                <w:ilvl w:val="0"/>
                <w:numId w:val="39"/>
              </w:numPr>
              <w:spacing w:before="120"/>
              <w:ind w:left="1440" w:hanging="720"/>
              <w:jc w:val="both"/>
              <w:rPr>
                <w:rFonts w:ascii="Times New Roman" w:hAnsi="Times New Roman"/>
                <w:b w:val="0"/>
                <w:bCs/>
                <w:sz w:val="24"/>
                <w:szCs w:val="24"/>
              </w:rPr>
            </w:pPr>
            <w:r>
              <w:rPr>
                <w:rFonts w:ascii="Times New Roman" w:hAnsi="Times New Roman"/>
                <w:b w:val="0"/>
                <w:bCs/>
                <w:sz w:val="24"/>
                <w:szCs w:val="24"/>
              </w:rPr>
              <w:t>has a close business or family relationship with a professional staff of the Borrower (or of the project implementing agency, or of a recipient of a part of the loan) who: (</w:t>
            </w:r>
            <w:proofErr w:type="spellStart"/>
            <w:r>
              <w:rPr>
                <w:rFonts w:ascii="Times New Roman" w:hAnsi="Times New Roman"/>
                <w:b w:val="0"/>
                <w:bCs/>
                <w:sz w:val="24"/>
                <w:szCs w:val="24"/>
              </w:rPr>
              <w:t>i</w:t>
            </w:r>
            <w:proofErr w:type="spellEnd"/>
            <w:r>
              <w:rPr>
                <w:rFonts w:ascii="Times New Roman" w:hAnsi="Times New Roman"/>
                <w:b w:val="0"/>
                <w:bCs/>
                <w:sz w:val="24"/>
                <w:szCs w:val="24"/>
              </w:rPr>
              <w:t xml:space="preserve">) are directly or indirectly involved in the preparation of the bidding document or specifications of the Contract, and/or the Bid evaluation process of such Contract; or (ii) would be involved in the implementation or supervision of such Contract unless the conflict stemming from such relationship has been resolved in a manner acceptable to the Bank throughout the Bidding process and execution of the Contract. </w:t>
            </w:r>
          </w:p>
        </w:tc>
      </w:tr>
      <w:tr w:rsidR="00157AAA" w14:paraId="5D92D5D2" w14:textId="77777777">
        <w:tc>
          <w:tcPr>
            <w:tcW w:w="2520" w:type="dxa"/>
          </w:tcPr>
          <w:p w14:paraId="745FAAA4" w14:textId="77777777" w:rsidR="00157AAA" w:rsidRDefault="00157AAA">
            <w:pPr>
              <w:numPr>
                <w:ilvl w:val="12"/>
                <w:numId w:val="0"/>
              </w:numPr>
              <w:spacing w:before="120"/>
              <w:ind w:left="360" w:hanging="360"/>
              <w:jc w:val="left"/>
              <w:rPr>
                <w:szCs w:val="24"/>
              </w:rPr>
            </w:pPr>
          </w:p>
        </w:tc>
        <w:tc>
          <w:tcPr>
            <w:tcW w:w="6930" w:type="dxa"/>
          </w:tcPr>
          <w:p w14:paraId="15223D35" w14:textId="77777777" w:rsidR="00157AAA" w:rsidRDefault="006C1BE5" w:rsidP="00D530D5">
            <w:pPr>
              <w:pStyle w:val="Head12a"/>
              <w:numPr>
                <w:ilvl w:val="1"/>
                <w:numId w:val="59"/>
              </w:numPr>
              <w:spacing w:before="120"/>
              <w:ind w:left="702" w:hanging="720"/>
              <w:jc w:val="both"/>
              <w:rPr>
                <w:szCs w:val="24"/>
              </w:rPr>
            </w:pPr>
            <w:bookmarkStart w:id="39" w:name="_Toc43474840"/>
            <w:r>
              <w:rPr>
                <w:b w:val="0"/>
                <w:bCs/>
                <w:szCs w:val="24"/>
              </w:rPr>
              <w:t>A firm that is a Bidder (either individually or as a JV member) shall not participate as a Bidder or as JV member in more than one Bid except for permitted alternative Bids. Such participation shall result in the disqualification of all Bids in which the firm is involved. However, this does not limit the participation of a Bidder as subcontractor in another Bid or of a firm as a subcontractor in more than one Bid.</w:t>
            </w:r>
            <w:bookmarkEnd w:id="39"/>
          </w:p>
        </w:tc>
      </w:tr>
      <w:tr w:rsidR="00157AAA" w14:paraId="14182E27" w14:textId="77777777">
        <w:tc>
          <w:tcPr>
            <w:tcW w:w="2520" w:type="dxa"/>
          </w:tcPr>
          <w:p w14:paraId="6521C2A3" w14:textId="77777777" w:rsidR="00157AAA" w:rsidRDefault="00157AAA">
            <w:pPr>
              <w:numPr>
                <w:ilvl w:val="12"/>
                <w:numId w:val="0"/>
              </w:numPr>
              <w:spacing w:before="120"/>
              <w:ind w:left="360" w:hanging="360"/>
              <w:jc w:val="left"/>
              <w:rPr>
                <w:szCs w:val="24"/>
              </w:rPr>
            </w:pPr>
          </w:p>
        </w:tc>
        <w:tc>
          <w:tcPr>
            <w:tcW w:w="6930" w:type="dxa"/>
          </w:tcPr>
          <w:p w14:paraId="5B34CFE3" w14:textId="77777777" w:rsidR="00157AAA" w:rsidRDefault="006C1BE5" w:rsidP="00D530D5">
            <w:pPr>
              <w:pStyle w:val="Head12a"/>
              <w:numPr>
                <w:ilvl w:val="1"/>
                <w:numId w:val="59"/>
              </w:numPr>
              <w:spacing w:before="120"/>
              <w:ind w:left="702" w:hanging="720"/>
              <w:jc w:val="both"/>
              <w:rPr>
                <w:b w:val="0"/>
                <w:bCs/>
                <w:szCs w:val="24"/>
              </w:rPr>
            </w:pPr>
            <w:bookmarkStart w:id="40" w:name="_Toc43474841"/>
            <w:r>
              <w:rPr>
                <w:b w:val="0"/>
                <w:bCs/>
                <w:szCs w:val="24"/>
              </w:rPr>
              <w:t xml:space="preserve">A Bidder may have the nationality of any country, subject to the restrictions pursuant to ITB 4.8. A Bidder shall be deemed to have the nationality of a country if the Bidder is constituted, </w:t>
            </w:r>
            <w:proofErr w:type="gramStart"/>
            <w:r>
              <w:rPr>
                <w:b w:val="0"/>
                <w:bCs/>
                <w:szCs w:val="24"/>
              </w:rPr>
              <w:t>incorporated</w:t>
            </w:r>
            <w:proofErr w:type="gramEnd"/>
            <w:r>
              <w:rPr>
                <w:b w:val="0"/>
                <w:bCs/>
                <w:szCs w:val="24"/>
              </w:rPr>
              <w:t xml:space="preserve">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sub-consultants for any part of the Contract including related Services.</w:t>
            </w:r>
            <w:bookmarkEnd w:id="40"/>
          </w:p>
        </w:tc>
      </w:tr>
      <w:tr w:rsidR="00157AAA" w14:paraId="69392056" w14:textId="77777777">
        <w:trPr>
          <w:trHeight w:val="3060"/>
        </w:trPr>
        <w:tc>
          <w:tcPr>
            <w:tcW w:w="2520" w:type="dxa"/>
          </w:tcPr>
          <w:p w14:paraId="7EAF5D37" w14:textId="77777777" w:rsidR="00157AAA" w:rsidRDefault="00157AAA">
            <w:pPr>
              <w:numPr>
                <w:ilvl w:val="12"/>
                <w:numId w:val="0"/>
              </w:numPr>
              <w:spacing w:before="120"/>
              <w:ind w:left="360" w:hanging="360"/>
              <w:jc w:val="left"/>
              <w:rPr>
                <w:szCs w:val="24"/>
              </w:rPr>
            </w:pPr>
          </w:p>
        </w:tc>
        <w:tc>
          <w:tcPr>
            <w:tcW w:w="6930" w:type="dxa"/>
          </w:tcPr>
          <w:p w14:paraId="2897F906" w14:textId="77777777" w:rsidR="00157AAA" w:rsidRDefault="006C1BE5" w:rsidP="00D530D5">
            <w:pPr>
              <w:pStyle w:val="Head12a"/>
              <w:numPr>
                <w:ilvl w:val="1"/>
                <w:numId w:val="59"/>
              </w:numPr>
              <w:spacing w:before="120"/>
              <w:ind w:left="702" w:hanging="720"/>
              <w:jc w:val="both"/>
              <w:rPr>
                <w:szCs w:val="24"/>
              </w:rPr>
            </w:pPr>
            <w:bookmarkStart w:id="41" w:name="_Toc43474842"/>
            <w:r>
              <w:rPr>
                <w:b w:val="0"/>
                <w:bCs/>
                <w:szCs w:val="24"/>
              </w:rPr>
              <w:t>A Bidder that has been sanctioned by the Bank, pursuant to the Bank’s Anti-Corruption Guidelines, and in accordance with its prevailing sanctions policies and procedures as set forth in the WBG’s Sanctions Framework as described in Section VI paragraph 2.2 d., shall be ineligible to be initially selected for, prequalified for, bid for, propose for, or be awarded a Bank-financed contract or benefit from a Bank-financed contract, financially or otherwise, during such period of time as the Bank shall have determined. The list of debarred firms and individuals is available at the electronic address specified in the BDS.</w:t>
            </w:r>
            <w:bookmarkEnd w:id="41"/>
          </w:p>
        </w:tc>
      </w:tr>
      <w:tr w:rsidR="00157AAA" w14:paraId="768FB4BB" w14:textId="77777777">
        <w:tc>
          <w:tcPr>
            <w:tcW w:w="2520" w:type="dxa"/>
          </w:tcPr>
          <w:p w14:paraId="4F9A762E" w14:textId="77777777" w:rsidR="00157AAA" w:rsidRDefault="00157AAA">
            <w:pPr>
              <w:numPr>
                <w:ilvl w:val="12"/>
                <w:numId w:val="0"/>
              </w:numPr>
              <w:spacing w:before="120"/>
              <w:ind w:left="360" w:hanging="360"/>
              <w:jc w:val="left"/>
              <w:rPr>
                <w:szCs w:val="24"/>
              </w:rPr>
            </w:pPr>
          </w:p>
        </w:tc>
        <w:tc>
          <w:tcPr>
            <w:tcW w:w="6930" w:type="dxa"/>
          </w:tcPr>
          <w:p w14:paraId="73B4B4F9" w14:textId="77777777" w:rsidR="00157AAA" w:rsidRDefault="006C1BE5" w:rsidP="00D530D5">
            <w:pPr>
              <w:pStyle w:val="Head12a"/>
              <w:numPr>
                <w:ilvl w:val="1"/>
                <w:numId w:val="59"/>
              </w:numPr>
              <w:spacing w:before="120"/>
              <w:ind w:left="702" w:hanging="720"/>
              <w:jc w:val="both"/>
              <w:rPr>
                <w:szCs w:val="24"/>
              </w:rPr>
            </w:pPr>
            <w:bookmarkStart w:id="42" w:name="_Toc43474843"/>
            <w:r>
              <w:rPr>
                <w:b w:val="0"/>
                <w:bCs/>
                <w:szCs w:val="24"/>
              </w:rPr>
              <w:t>Bidders that are state-owned enterprises or institutions in the Purchaser’s Country may be eligible to compete and be awarded a Contract(s) only if they can establish, in a manner acceptable to the Bank, that they (</w:t>
            </w:r>
            <w:proofErr w:type="spellStart"/>
            <w:r>
              <w:rPr>
                <w:b w:val="0"/>
                <w:bCs/>
                <w:szCs w:val="24"/>
              </w:rPr>
              <w:t>i</w:t>
            </w:r>
            <w:proofErr w:type="spellEnd"/>
            <w:r>
              <w:rPr>
                <w:b w:val="0"/>
                <w:bCs/>
                <w:szCs w:val="24"/>
              </w:rPr>
              <w:t>) are legally and financially autonomous (ii) operate under commercial law, and (iii) are not under supervision of the Purchaser.</w:t>
            </w:r>
            <w:bookmarkEnd w:id="42"/>
            <w:r>
              <w:rPr>
                <w:szCs w:val="24"/>
              </w:rPr>
              <w:t xml:space="preserve"> </w:t>
            </w:r>
          </w:p>
        </w:tc>
      </w:tr>
      <w:tr w:rsidR="00157AAA" w14:paraId="42B9FAFA" w14:textId="77777777">
        <w:tc>
          <w:tcPr>
            <w:tcW w:w="2520" w:type="dxa"/>
          </w:tcPr>
          <w:p w14:paraId="021568F1" w14:textId="77777777" w:rsidR="00157AAA" w:rsidRDefault="00157AAA">
            <w:pPr>
              <w:numPr>
                <w:ilvl w:val="12"/>
                <w:numId w:val="0"/>
              </w:numPr>
              <w:spacing w:before="120"/>
              <w:ind w:left="360" w:hanging="360"/>
              <w:jc w:val="left"/>
              <w:rPr>
                <w:szCs w:val="24"/>
              </w:rPr>
            </w:pPr>
          </w:p>
        </w:tc>
        <w:tc>
          <w:tcPr>
            <w:tcW w:w="6930" w:type="dxa"/>
          </w:tcPr>
          <w:p w14:paraId="0A679489" w14:textId="77777777" w:rsidR="00157AAA" w:rsidRDefault="006C1BE5" w:rsidP="00D530D5">
            <w:pPr>
              <w:pStyle w:val="Head12a"/>
              <w:numPr>
                <w:ilvl w:val="1"/>
                <w:numId w:val="59"/>
              </w:numPr>
              <w:spacing w:before="120"/>
              <w:ind w:left="702" w:hanging="720"/>
              <w:jc w:val="both"/>
              <w:rPr>
                <w:szCs w:val="24"/>
              </w:rPr>
            </w:pPr>
            <w:bookmarkStart w:id="43" w:name="_Toc43474844"/>
            <w:r>
              <w:rPr>
                <w:b w:val="0"/>
                <w:bCs/>
                <w:szCs w:val="24"/>
              </w:rPr>
              <w:t>A Bidder shall not be under suspension from bidding by the Purchaser as the result of the operation of a Bid–Securing Declaration or Proposal-Securing Declaration.</w:t>
            </w:r>
            <w:bookmarkEnd w:id="43"/>
            <w:r>
              <w:rPr>
                <w:szCs w:val="24"/>
              </w:rPr>
              <w:t xml:space="preserve"> </w:t>
            </w:r>
          </w:p>
        </w:tc>
      </w:tr>
      <w:tr w:rsidR="00157AAA" w14:paraId="3CCEAF98" w14:textId="77777777">
        <w:tc>
          <w:tcPr>
            <w:tcW w:w="2520" w:type="dxa"/>
          </w:tcPr>
          <w:p w14:paraId="73DE23EC" w14:textId="77777777" w:rsidR="00157AAA" w:rsidRDefault="00157AAA">
            <w:pPr>
              <w:numPr>
                <w:ilvl w:val="12"/>
                <w:numId w:val="0"/>
              </w:numPr>
              <w:spacing w:before="120"/>
              <w:ind w:left="360" w:hanging="360"/>
              <w:jc w:val="left"/>
              <w:rPr>
                <w:szCs w:val="24"/>
              </w:rPr>
            </w:pPr>
          </w:p>
        </w:tc>
        <w:tc>
          <w:tcPr>
            <w:tcW w:w="6930" w:type="dxa"/>
          </w:tcPr>
          <w:p w14:paraId="2C1500DC" w14:textId="77777777" w:rsidR="00157AAA" w:rsidRDefault="006C1BE5" w:rsidP="00D530D5">
            <w:pPr>
              <w:pStyle w:val="Head12a"/>
              <w:numPr>
                <w:ilvl w:val="1"/>
                <w:numId w:val="59"/>
              </w:numPr>
              <w:spacing w:before="120"/>
              <w:ind w:left="702" w:hanging="720"/>
              <w:jc w:val="both"/>
              <w:rPr>
                <w:szCs w:val="24"/>
              </w:rPr>
            </w:pPr>
            <w:bookmarkStart w:id="44" w:name="_Toc43474845"/>
            <w:r>
              <w:rPr>
                <w:b w:val="0"/>
                <w:bCs/>
                <w:szCs w:val="24"/>
              </w:rPr>
              <w:t>Firms and individuals may be ineligible if so indicated in Section V and (a) as a matter of law or official regulations, the Borrower’s country prohibits commercial relations with that country, provided that the Bank is satisfied that such exclusion does not preclude effective competition for the supply of goods or the contracting of works or services required; or (b) by an act of compliance with a decision of the United Nations Security Council taken under Chapter VII of the Charter of the United Nations, the Borrower’s country prohibits any import of goods or contracting of works or services from that country, or any payments to any country, person, or entity in that country.</w:t>
            </w:r>
            <w:bookmarkEnd w:id="44"/>
            <w:r>
              <w:rPr>
                <w:szCs w:val="24"/>
              </w:rPr>
              <w:t xml:space="preserve"> </w:t>
            </w:r>
          </w:p>
        </w:tc>
      </w:tr>
      <w:tr w:rsidR="00157AAA" w14:paraId="0EF363A3" w14:textId="77777777">
        <w:tc>
          <w:tcPr>
            <w:tcW w:w="2520" w:type="dxa"/>
          </w:tcPr>
          <w:p w14:paraId="6033327C" w14:textId="77777777" w:rsidR="00157AAA" w:rsidRDefault="00157AAA">
            <w:pPr>
              <w:numPr>
                <w:ilvl w:val="12"/>
                <w:numId w:val="0"/>
              </w:numPr>
              <w:spacing w:before="120"/>
              <w:ind w:left="360" w:hanging="360"/>
              <w:jc w:val="left"/>
              <w:rPr>
                <w:szCs w:val="24"/>
              </w:rPr>
            </w:pPr>
          </w:p>
        </w:tc>
        <w:tc>
          <w:tcPr>
            <w:tcW w:w="6930" w:type="dxa"/>
          </w:tcPr>
          <w:p w14:paraId="272497D7" w14:textId="77777777" w:rsidR="00157AAA" w:rsidRDefault="006C1BE5" w:rsidP="00D530D5">
            <w:pPr>
              <w:pStyle w:val="Head12a"/>
              <w:numPr>
                <w:ilvl w:val="1"/>
                <w:numId w:val="59"/>
              </w:numPr>
              <w:spacing w:before="120"/>
              <w:ind w:left="702" w:hanging="720"/>
              <w:jc w:val="both"/>
              <w:rPr>
                <w:b w:val="0"/>
                <w:bCs/>
                <w:szCs w:val="24"/>
              </w:rPr>
            </w:pPr>
            <w:bookmarkStart w:id="45" w:name="_Toc43474846"/>
            <w:r>
              <w:rPr>
                <w:b w:val="0"/>
                <w:bCs/>
                <w:szCs w:val="24"/>
              </w:rPr>
              <w:t xml:space="preserve">This Bidding is open </w:t>
            </w:r>
            <w:proofErr w:type="gramStart"/>
            <w:r>
              <w:rPr>
                <w:b w:val="0"/>
                <w:bCs/>
                <w:szCs w:val="24"/>
              </w:rPr>
              <w:t>for</w:t>
            </w:r>
            <w:proofErr w:type="gramEnd"/>
            <w:r>
              <w:rPr>
                <w:b w:val="0"/>
                <w:bCs/>
                <w:szCs w:val="24"/>
              </w:rPr>
              <w:t xml:space="preserve"> all eligible Bidders, unless otherwise specified in ITB 15.2.</w:t>
            </w:r>
            <w:bookmarkEnd w:id="45"/>
          </w:p>
          <w:p w14:paraId="41E1CFF3" w14:textId="77777777" w:rsidR="00157AAA" w:rsidRDefault="006C1BE5" w:rsidP="00D530D5">
            <w:pPr>
              <w:pStyle w:val="Head12a"/>
              <w:numPr>
                <w:ilvl w:val="1"/>
                <w:numId w:val="59"/>
              </w:numPr>
              <w:spacing w:before="120"/>
              <w:ind w:left="702" w:hanging="720"/>
              <w:jc w:val="both"/>
              <w:rPr>
                <w:szCs w:val="24"/>
              </w:rPr>
            </w:pPr>
            <w:bookmarkStart w:id="46" w:name="_Toc43474847"/>
            <w:r>
              <w:rPr>
                <w:b w:val="0"/>
                <w:bCs/>
                <w:szCs w:val="24"/>
              </w:rPr>
              <w:t>A Bidder shall provide such documentary evidence of eligibility satisfactory to the Purchaser, as the Purchaser shall reasonably request.</w:t>
            </w:r>
            <w:bookmarkEnd w:id="46"/>
          </w:p>
        </w:tc>
      </w:tr>
      <w:tr w:rsidR="00157AAA" w14:paraId="12368A78" w14:textId="77777777">
        <w:tc>
          <w:tcPr>
            <w:tcW w:w="2520" w:type="dxa"/>
          </w:tcPr>
          <w:p w14:paraId="2A422D32" w14:textId="77777777" w:rsidR="00157AAA" w:rsidRDefault="00157AAA">
            <w:pPr>
              <w:numPr>
                <w:ilvl w:val="12"/>
                <w:numId w:val="0"/>
              </w:numPr>
              <w:spacing w:before="120"/>
              <w:ind w:left="360" w:hanging="360"/>
              <w:jc w:val="left"/>
              <w:rPr>
                <w:szCs w:val="24"/>
              </w:rPr>
            </w:pPr>
          </w:p>
        </w:tc>
        <w:tc>
          <w:tcPr>
            <w:tcW w:w="6930" w:type="dxa"/>
          </w:tcPr>
          <w:p w14:paraId="47CCADDB" w14:textId="77777777" w:rsidR="00157AAA" w:rsidRDefault="006C1BE5" w:rsidP="00D530D5">
            <w:pPr>
              <w:pStyle w:val="Head12a"/>
              <w:numPr>
                <w:ilvl w:val="1"/>
                <w:numId w:val="59"/>
              </w:numPr>
              <w:spacing w:before="120"/>
              <w:ind w:left="702" w:hanging="720"/>
              <w:jc w:val="both"/>
              <w:rPr>
                <w:spacing w:val="-4"/>
                <w:szCs w:val="24"/>
              </w:rPr>
            </w:pPr>
            <w:bookmarkStart w:id="47" w:name="_Toc43474848"/>
            <w:r>
              <w:rPr>
                <w:b w:val="0"/>
                <w:bCs/>
                <w:szCs w:val="24"/>
              </w:rPr>
              <w:t xml:space="preserve">A firm that is under a sanction of debarment by the Borrower from being awarded a contract is eligible to participate in this procurement, unless the Bank, at the Borrower’s request, is satisfied that the debarment; (a) relates to fraud or corruption, </w:t>
            </w:r>
            <w:r>
              <w:rPr>
                <w:b w:val="0"/>
                <w:bCs/>
                <w:szCs w:val="24"/>
              </w:rPr>
              <w:lastRenderedPageBreak/>
              <w:t>and (b) followed a judicial or administrative proceeding that afforded the firm adequate due process.</w:t>
            </w:r>
            <w:bookmarkEnd w:id="47"/>
          </w:p>
        </w:tc>
      </w:tr>
      <w:tr w:rsidR="00157AAA" w14:paraId="3BE4E204" w14:textId="77777777">
        <w:trPr>
          <w:cantSplit/>
        </w:trPr>
        <w:tc>
          <w:tcPr>
            <w:tcW w:w="2520" w:type="dxa"/>
          </w:tcPr>
          <w:p w14:paraId="516AE440" w14:textId="77777777" w:rsidR="00157AAA" w:rsidRDefault="006C1BE5">
            <w:pPr>
              <w:pStyle w:val="ITBHeading2"/>
              <w:spacing w:before="120" w:after="120"/>
            </w:pPr>
            <w:bookmarkStart w:id="48" w:name="_Toc434304496"/>
            <w:bookmarkStart w:id="49" w:name="_Toc43474989"/>
            <w:bookmarkStart w:id="50" w:name="_Toc43486455"/>
            <w:bookmarkStart w:id="51" w:name="_Toc163505711"/>
            <w:r>
              <w:lastRenderedPageBreak/>
              <w:t>Eligible Goods and Services</w:t>
            </w:r>
            <w:bookmarkEnd w:id="48"/>
            <w:bookmarkEnd w:id="49"/>
            <w:bookmarkEnd w:id="50"/>
            <w:bookmarkEnd w:id="51"/>
          </w:p>
        </w:tc>
        <w:tc>
          <w:tcPr>
            <w:tcW w:w="6930" w:type="dxa"/>
          </w:tcPr>
          <w:p w14:paraId="0CC3501B" w14:textId="77777777" w:rsidR="00157AAA" w:rsidRDefault="006C1BE5" w:rsidP="00D530D5">
            <w:pPr>
              <w:pStyle w:val="Head12a"/>
              <w:numPr>
                <w:ilvl w:val="1"/>
                <w:numId w:val="59"/>
              </w:numPr>
              <w:spacing w:before="120"/>
              <w:ind w:left="702" w:hanging="720"/>
              <w:jc w:val="both"/>
              <w:rPr>
                <w:szCs w:val="24"/>
              </w:rPr>
            </w:pPr>
            <w:bookmarkStart w:id="52" w:name="_Toc43474849"/>
            <w:r>
              <w:rPr>
                <w:b w:val="0"/>
                <w:bCs/>
                <w:szCs w:val="24"/>
              </w:rPr>
              <w:t>The Information Systems to be supplied under the Contract and financed by the Bank may have their origin in any country in accordance with Section V, Eligible Countries.</w:t>
            </w:r>
            <w:bookmarkEnd w:id="52"/>
          </w:p>
        </w:tc>
      </w:tr>
      <w:tr w:rsidR="00157AAA" w14:paraId="78E4CE32" w14:textId="77777777">
        <w:trPr>
          <w:cantSplit/>
        </w:trPr>
        <w:tc>
          <w:tcPr>
            <w:tcW w:w="2520" w:type="dxa"/>
          </w:tcPr>
          <w:p w14:paraId="56BF94DC" w14:textId="77777777" w:rsidR="00157AAA" w:rsidRDefault="00157AAA">
            <w:pPr>
              <w:pStyle w:val="Head12a"/>
              <w:spacing w:before="120"/>
              <w:rPr>
                <w:szCs w:val="24"/>
              </w:rPr>
            </w:pPr>
          </w:p>
        </w:tc>
        <w:tc>
          <w:tcPr>
            <w:tcW w:w="6930" w:type="dxa"/>
          </w:tcPr>
          <w:p w14:paraId="0EBE9ADC" w14:textId="77777777" w:rsidR="00157AAA" w:rsidRDefault="006C1BE5" w:rsidP="00D530D5">
            <w:pPr>
              <w:pStyle w:val="Head12a"/>
              <w:numPr>
                <w:ilvl w:val="1"/>
                <w:numId w:val="59"/>
              </w:numPr>
              <w:spacing w:before="120"/>
              <w:ind w:left="702" w:hanging="720"/>
              <w:jc w:val="both"/>
              <w:rPr>
                <w:b w:val="0"/>
                <w:bCs/>
                <w:szCs w:val="24"/>
              </w:rPr>
            </w:pPr>
            <w:bookmarkStart w:id="53" w:name="_Toc43474850"/>
            <w:r>
              <w:rPr>
                <w:b w:val="0"/>
                <w:bCs/>
                <w:szCs w:val="24"/>
              </w:rPr>
              <w:t>For the purposes of this bidding document, the term “Information System” means all:</w:t>
            </w:r>
            <w:bookmarkEnd w:id="53"/>
          </w:p>
          <w:p w14:paraId="4147A2B8" w14:textId="77777777" w:rsidR="00157AAA" w:rsidRDefault="006C1BE5" w:rsidP="00D530D5">
            <w:pPr>
              <w:pStyle w:val="Heading3"/>
              <w:numPr>
                <w:ilvl w:val="0"/>
                <w:numId w:val="40"/>
              </w:numPr>
              <w:spacing w:before="120"/>
              <w:ind w:left="1062" w:hanging="540"/>
              <w:jc w:val="both"/>
              <w:rPr>
                <w:rFonts w:ascii="Times New Roman" w:hAnsi="Times New Roman"/>
                <w:b w:val="0"/>
                <w:sz w:val="24"/>
                <w:szCs w:val="24"/>
              </w:rPr>
            </w:pPr>
            <w:r>
              <w:rPr>
                <w:rFonts w:ascii="Times New Roman" w:hAnsi="Times New Roman"/>
                <w:b w:val="0"/>
                <w:sz w:val="24"/>
                <w:szCs w:val="24"/>
              </w:rPr>
              <w:t xml:space="preserve">the required information technologies, including all information processing and communications-related hardware, software, supplies, and consumable items that the Supplier is required to design, </w:t>
            </w:r>
            <w:proofErr w:type="gramStart"/>
            <w:r>
              <w:rPr>
                <w:rFonts w:ascii="Times New Roman" w:hAnsi="Times New Roman"/>
                <w:b w:val="0"/>
                <w:sz w:val="24"/>
                <w:szCs w:val="24"/>
              </w:rPr>
              <w:t>supply</w:t>
            </w:r>
            <w:proofErr w:type="gramEnd"/>
            <w:r>
              <w:rPr>
                <w:rFonts w:ascii="Times New Roman" w:hAnsi="Times New Roman"/>
                <w:b w:val="0"/>
                <w:sz w:val="24"/>
                <w:szCs w:val="24"/>
              </w:rPr>
              <w:t xml:space="preserve"> and install under the Contract, plus all associated documentation, and all other materials and goods to be designed, supplied, installed, integrated, and made operational; and </w:t>
            </w:r>
          </w:p>
          <w:p w14:paraId="743A3A8B" w14:textId="77777777" w:rsidR="00157AAA" w:rsidRDefault="006C1BE5" w:rsidP="00D530D5">
            <w:pPr>
              <w:pStyle w:val="Heading3"/>
              <w:numPr>
                <w:ilvl w:val="0"/>
                <w:numId w:val="40"/>
              </w:numPr>
              <w:spacing w:before="120"/>
              <w:ind w:left="1062" w:hanging="540"/>
              <w:jc w:val="both"/>
              <w:rPr>
                <w:rFonts w:ascii="Times New Roman" w:hAnsi="Times New Roman"/>
                <w:sz w:val="24"/>
                <w:szCs w:val="24"/>
              </w:rPr>
            </w:pPr>
            <w:r>
              <w:rPr>
                <w:rFonts w:ascii="Times New Roman" w:hAnsi="Times New Roman"/>
                <w:b w:val="0"/>
                <w:sz w:val="24"/>
                <w:szCs w:val="24"/>
              </w:rPr>
              <w:t xml:space="preserve">the related software development, transportation, insurance, installation, customization, integration, commissioning, training, technical support, maintenance, repair, and other services necessary for proper operation of the Information System to be provided by the selected Bidder and as specified in the Contract.    </w:t>
            </w:r>
          </w:p>
        </w:tc>
      </w:tr>
      <w:tr w:rsidR="00157AAA" w14:paraId="59F302BC" w14:textId="77777777">
        <w:trPr>
          <w:trHeight w:val="2096"/>
        </w:trPr>
        <w:tc>
          <w:tcPr>
            <w:tcW w:w="2520" w:type="dxa"/>
          </w:tcPr>
          <w:p w14:paraId="7CC73CFC" w14:textId="77777777" w:rsidR="00157AAA" w:rsidRDefault="00157AAA">
            <w:pPr>
              <w:pStyle w:val="Head12a"/>
              <w:numPr>
                <w:ilvl w:val="0"/>
                <w:numId w:val="0"/>
              </w:numPr>
              <w:spacing w:before="120"/>
              <w:ind w:left="702"/>
              <w:jc w:val="both"/>
              <w:rPr>
                <w:b w:val="0"/>
                <w:bCs/>
                <w:szCs w:val="24"/>
              </w:rPr>
            </w:pPr>
          </w:p>
        </w:tc>
        <w:tc>
          <w:tcPr>
            <w:tcW w:w="6930" w:type="dxa"/>
          </w:tcPr>
          <w:p w14:paraId="027B9440" w14:textId="77777777" w:rsidR="00157AAA" w:rsidRDefault="006C1BE5" w:rsidP="00D530D5">
            <w:pPr>
              <w:pStyle w:val="Head12a"/>
              <w:numPr>
                <w:ilvl w:val="1"/>
                <w:numId w:val="59"/>
              </w:numPr>
              <w:spacing w:before="120"/>
              <w:ind w:left="702" w:hanging="720"/>
              <w:jc w:val="both"/>
              <w:rPr>
                <w:b w:val="0"/>
                <w:bCs/>
                <w:szCs w:val="24"/>
              </w:rPr>
            </w:pPr>
            <w:bookmarkStart w:id="54" w:name="_Toc43474851"/>
            <w:r>
              <w:rPr>
                <w:b w:val="0"/>
                <w:bCs/>
                <w:szCs w:val="24"/>
              </w:rPr>
              <w:t>For purposes of ITB 5.1 above, “origin” means the place where the goods and services making the Information System are produced in or supplied from. An Information System is deemed to be produced in a certain country when, in the territory of that country, through software development, manufacturing, or substantial and major assembly or integration of components, a commercially recognized product results that is substantially different in basic characteristics or in purpose or utility from its components.</w:t>
            </w:r>
            <w:bookmarkEnd w:id="54"/>
            <w:r>
              <w:rPr>
                <w:b w:val="0"/>
                <w:bCs/>
                <w:szCs w:val="24"/>
              </w:rPr>
              <w:t xml:space="preserve"> </w:t>
            </w:r>
          </w:p>
        </w:tc>
      </w:tr>
    </w:tbl>
    <w:p w14:paraId="5ABCDBEF" w14:textId="77777777" w:rsidR="00157AAA" w:rsidRDefault="006C1BE5">
      <w:pPr>
        <w:pStyle w:val="ITBHeading1"/>
      </w:pPr>
      <w:bookmarkStart w:id="55" w:name="_Toc505659524"/>
      <w:bookmarkStart w:id="56" w:name="_Toc431826606"/>
      <w:bookmarkStart w:id="57" w:name="_Toc348000787"/>
      <w:bookmarkStart w:id="58" w:name="_Toc434304497"/>
      <w:bookmarkStart w:id="59" w:name="_Toc43474990"/>
      <w:bookmarkStart w:id="60" w:name="_Toc43486456"/>
      <w:bookmarkStart w:id="61" w:name="_Toc163505712"/>
      <w:r>
        <w:t xml:space="preserve">B. </w:t>
      </w:r>
      <w:bookmarkEnd w:id="55"/>
      <w:bookmarkEnd w:id="56"/>
      <w:bookmarkEnd w:id="57"/>
      <w:r>
        <w:t>Contents of Bidding Document</w:t>
      </w:r>
      <w:bookmarkEnd w:id="58"/>
      <w:bookmarkEnd w:id="59"/>
      <w:bookmarkEnd w:id="60"/>
      <w:bookmarkEnd w:id="61"/>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7290"/>
      </w:tblGrid>
      <w:tr w:rsidR="00157AAA" w14:paraId="18DA8BF2" w14:textId="77777777">
        <w:trPr>
          <w:cantSplit/>
        </w:trPr>
        <w:tc>
          <w:tcPr>
            <w:tcW w:w="2160" w:type="dxa"/>
            <w:tcBorders>
              <w:top w:val="none" w:sz="4" w:space="0" w:color="000000"/>
              <w:left w:val="none" w:sz="4" w:space="0" w:color="000000"/>
              <w:bottom w:val="none" w:sz="4" w:space="0" w:color="000000"/>
              <w:right w:val="none" w:sz="4" w:space="0" w:color="000000"/>
            </w:tcBorders>
          </w:tcPr>
          <w:p w14:paraId="1A4E576A" w14:textId="77777777" w:rsidR="00157AAA" w:rsidRDefault="006C1BE5">
            <w:pPr>
              <w:pStyle w:val="ITBHeading2"/>
              <w:spacing w:before="120" w:after="120"/>
            </w:pPr>
            <w:bookmarkStart w:id="62" w:name="_Toc434304498"/>
            <w:bookmarkStart w:id="63" w:name="_Toc43474991"/>
            <w:bookmarkStart w:id="64" w:name="_Toc43486457"/>
            <w:bookmarkStart w:id="65" w:name="_Toc163505713"/>
            <w:r>
              <w:t>Sections of Bidding Document</w:t>
            </w:r>
            <w:bookmarkEnd w:id="62"/>
            <w:bookmarkEnd w:id="63"/>
            <w:bookmarkEnd w:id="64"/>
            <w:bookmarkEnd w:id="65"/>
          </w:p>
        </w:tc>
        <w:tc>
          <w:tcPr>
            <w:tcW w:w="7290" w:type="dxa"/>
            <w:tcBorders>
              <w:top w:val="none" w:sz="4" w:space="0" w:color="000000"/>
              <w:left w:val="none" w:sz="4" w:space="0" w:color="000000"/>
              <w:bottom w:val="none" w:sz="4" w:space="0" w:color="000000"/>
              <w:right w:val="none" w:sz="4" w:space="0" w:color="000000"/>
            </w:tcBorders>
          </w:tcPr>
          <w:p w14:paraId="4A7C2D16" w14:textId="77777777" w:rsidR="00157AAA" w:rsidRDefault="006C1BE5">
            <w:pPr>
              <w:numPr>
                <w:ilvl w:val="12"/>
                <w:numId w:val="0"/>
              </w:numPr>
              <w:tabs>
                <w:tab w:val="left" w:pos="540"/>
              </w:tabs>
              <w:spacing w:before="120"/>
              <w:ind w:left="547" w:right="-72" w:hanging="547"/>
              <w:rPr>
                <w:szCs w:val="24"/>
              </w:rPr>
            </w:pPr>
            <w:r>
              <w:rPr>
                <w:szCs w:val="24"/>
              </w:rPr>
              <w:t>6.1</w:t>
            </w:r>
            <w:r>
              <w:rPr>
                <w:szCs w:val="24"/>
              </w:rPr>
              <w:tab/>
            </w:r>
            <w:r>
              <w:rPr>
                <w:szCs w:val="24"/>
              </w:rPr>
              <w:tab/>
            </w:r>
            <w:r>
              <w:rPr>
                <w:bCs/>
                <w:szCs w:val="24"/>
              </w:rPr>
              <w:t>The bidding document consists of Parts 1, 2, and 3, which include all the sections indicated below, and should be read in conjunction with any Addenda issued in accordance with ITB 8:</w:t>
            </w:r>
          </w:p>
        </w:tc>
      </w:tr>
      <w:tr w:rsidR="00157AAA" w14:paraId="4F9603B8" w14:textId="77777777">
        <w:tc>
          <w:tcPr>
            <w:tcW w:w="2160" w:type="dxa"/>
            <w:tcBorders>
              <w:top w:val="none" w:sz="4" w:space="0" w:color="000000"/>
              <w:left w:val="none" w:sz="4" w:space="0" w:color="000000"/>
              <w:bottom w:val="none" w:sz="4" w:space="0" w:color="000000"/>
              <w:right w:val="none" w:sz="4" w:space="0" w:color="000000"/>
            </w:tcBorders>
          </w:tcPr>
          <w:p w14:paraId="13378C6C" w14:textId="77777777" w:rsidR="00157AAA" w:rsidRDefault="00157AAA">
            <w:pPr>
              <w:numPr>
                <w:ilvl w:val="12"/>
                <w:numId w:val="0"/>
              </w:numPr>
              <w:spacing w:before="120"/>
              <w:ind w:left="360" w:hanging="360"/>
              <w:jc w:val="left"/>
              <w:rPr>
                <w:szCs w:val="24"/>
              </w:rPr>
            </w:pPr>
          </w:p>
        </w:tc>
        <w:tc>
          <w:tcPr>
            <w:tcW w:w="7290" w:type="dxa"/>
            <w:tcBorders>
              <w:top w:val="none" w:sz="4" w:space="0" w:color="000000"/>
              <w:left w:val="none" w:sz="4" w:space="0" w:color="000000"/>
              <w:bottom w:val="none" w:sz="4" w:space="0" w:color="000000"/>
              <w:right w:val="none" w:sz="4" w:space="0" w:color="000000"/>
            </w:tcBorders>
          </w:tcPr>
          <w:p w14:paraId="5512C5FA" w14:textId="77777777" w:rsidR="00157AAA" w:rsidRDefault="006C1BE5">
            <w:pPr>
              <w:tabs>
                <w:tab w:val="left" w:pos="1152"/>
                <w:tab w:val="left" w:pos="2502"/>
              </w:tabs>
              <w:spacing w:before="120"/>
              <w:ind w:left="612"/>
              <w:jc w:val="left"/>
              <w:rPr>
                <w:b/>
                <w:szCs w:val="24"/>
              </w:rPr>
            </w:pPr>
            <w:r>
              <w:rPr>
                <w:b/>
                <w:szCs w:val="24"/>
              </w:rPr>
              <w:t>PART 1 - Bidding Procedures</w:t>
            </w:r>
          </w:p>
          <w:p w14:paraId="4C41F13E" w14:textId="77777777" w:rsidR="00157AAA" w:rsidRDefault="006C1BE5">
            <w:pPr>
              <w:numPr>
                <w:ilvl w:val="12"/>
                <w:numId w:val="0"/>
              </w:numPr>
              <w:spacing w:before="120"/>
              <w:ind w:left="2142" w:right="-72" w:hanging="1260"/>
              <w:jc w:val="left"/>
              <w:rPr>
                <w:szCs w:val="24"/>
              </w:rPr>
            </w:pPr>
            <w:r>
              <w:rPr>
                <w:szCs w:val="24"/>
              </w:rPr>
              <w:t>Section I - Instructions to Bidders (ITB)</w:t>
            </w:r>
          </w:p>
          <w:p w14:paraId="18D0C72B" w14:textId="77777777" w:rsidR="00157AAA" w:rsidRDefault="006C1BE5">
            <w:pPr>
              <w:numPr>
                <w:ilvl w:val="12"/>
                <w:numId w:val="0"/>
              </w:numPr>
              <w:spacing w:before="120"/>
              <w:ind w:left="2142" w:right="-72" w:hanging="1260"/>
              <w:jc w:val="left"/>
              <w:rPr>
                <w:szCs w:val="24"/>
              </w:rPr>
            </w:pPr>
            <w:r>
              <w:rPr>
                <w:szCs w:val="24"/>
              </w:rPr>
              <w:t>Section II - Bid Data Sheet (BDS)</w:t>
            </w:r>
          </w:p>
          <w:p w14:paraId="1C7588D3" w14:textId="77777777" w:rsidR="00157AAA" w:rsidRDefault="006C1BE5">
            <w:pPr>
              <w:numPr>
                <w:ilvl w:val="12"/>
                <w:numId w:val="0"/>
              </w:numPr>
              <w:spacing w:before="120"/>
              <w:ind w:left="2142" w:right="-72" w:hanging="1260"/>
              <w:jc w:val="left"/>
              <w:rPr>
                <w:szCs w:val="24"/>
              </w:rPr>
            </w:pPr>
            <w:r>
              <w:rPr>
                <w:szCs w:val="24"/>
              </w:rPr>
              <w:t>Section III - Evaluation and Qualification Criteria</w:t>
            </w:r>
            <w:r>
              <w:rPr>
                <w:szCs w:val="24"/>
              </w:rPr>
              <w:tab/>
            </w:r>
          </w:p>
          <w:p w14:paraId="640ED613" w14:textId="77777777" w:rsidR="00157AAA" w:rsidRDefault="006C1BE5">
            <w:pPr>
              <w:numPr>
                <w:ilvl w:val="12"/>
                <w:numId w:val="0"/>
              </w:numPr>
              <w:spacing w:before="120"/>
              <w:ind w:left="2142" w:right="-72" w:hanging="1260"/>
              <w:jc w:val="left"/>
              <w:rPr>
                <w:szCs w:val="24"/>
              </w:rPr>
            </w:pPr>
            <w:r>
              <w:rPr>
                <w:szCs w:val="24"/>
              </w:rPr>
              <w:lastRenderedPageBreak/>
              <w:t>Section IV - Bidding Forms</w:t>
            </w:r>
          </w:p>
          <w:p w14:paraId="2837856C" w14:textId="77777777" w:rsidR="00157AAA" w:rsidRDefault="006C1BE5">
            <w:pPr>
              <w:numPr>
                <w:ilvl w:val="12"/>
                <w:numId w:val="0"/>
              </w:numPr>
              <w:spacing w:before="120"/>
              <w:ind w:left="2142" w:right="-72" w:hanging="1260"/>
              <w:jc w:val="left"/>
              <w:rPr>
                <w:szCs w:val="24"/>
              </w:rPr>
            </w:pPr>
            <w:r>
              <w:rPr>
                <w:szCs w:val="24"/>
              </w:rPr>
              <w:t>Section V - Eligible Countries</w:t>
            </w:r>
          </w:p>
          <w:p w14:paraId="75065700" w14:textId="77777777" w:rsidR="00157AAA" w:rsidRDefault="006C1BE5">
            <w:pPr>
              <w:numPr>
                <w:ilvl w:val="12"/>
                <w:numId w:val="0"/>
              </w:numPr>
              <w:spacing w:before="120"/>
              <w:ind w:left="2142" w:right="-72" w:hanging="1260"/>
              <w:jc w:val="left"/>
              <w:rPr>
                <w:szCs w:val="24"/>
              </w:rPr>
            </w:pPr>
            <w:r>
              <w:rPr>
                <w:szCs w:val="24"/>
              </w:rPr>
              <w:t>Section VI - Fraud and Corruption</w:t>
            </w:r>
          </w:p>
          <w:p w14:paraId="0F4481E1" w14:textId="77777777" w:rsidR="00157AAA" w:rsidRDefault="006C1BE5">
            <w:pPr>
              <w:tabs>
                <w:tab w:val="left" w:pos="1152"/>
                <w:tab w:val="left" w:pos="1692"/>
                <w:tab w:val="left" w:pos="2502"/>
              </w:tabs>
              <w:spacing w:before="120"/>
              <w:ind w:left="612"/>
              <w:jc w:val="left"/>
              <w:rPr>
                <w:b/>
                <w:szCs w:val="24"/>
              </w:rPr>
            </w:pPr>
            <w:r>
              <w:rPr>
                <w:b/>
                <w:szCs w:val="24"/>
              </w:rPr>
              <w:t>PART 2 - Purchaser’s Requirements</w:t>
            </w:r>
          </w:p>
          <w:p w14:paraId="52375759" w14:textId="77777777" w:rsidR="00157AAA" w:rsidRDefault="006C1BE5">
            <w:pPr>
              <w:numPr>
                <w:ilvl w:val="12"/>
                <w:numId w:val="0"/>
              </w:numPr>
              <w:spacing w:before="120"/>
              <w:ind w:left="2232" w:right="-72" w:hanging="1368"/>
              <w:jc w:val="left"/>
              <w:rPr>
                <w:szCs w:val="24"/>
              </w:rPr>
            </w:pPr>
            <w:r>
              <w:rPr>
                <w:szCs w:val="24"/>
              </w:rPr>
              <w:t>Section VII - Requirements of the IS, including:</w:t>
            </w:r>
          </w:p>
          <w:p w14:paraId="301EDD88" w14:textId="77777777" w:rsidR="00157AAA" w:rsidRDefault="006C1BE5" w:rsidP="00D530D5">
            <w:pPr>
              <w:numPr>
                <w:ilvl w:val="0"/>
                <w:numId w:val="41"/>
              </w:numPr>
              <w:tabs>
                <w:tab w:val="clear" w:pos="2880"/>
              </w:tabs>
              <w:spacing w:before="120"/>
              <w:ind w:left="1422" w:right="-72"/>
              <w:jc w:val="left"/>
              <w:rPr>
                <w:szCs w:val="24"/>
              </w:rPr>
            </w:pPr>
            <w:r>
              <w:rPr>
                <w:szCs w:val="24"/>
              </w:rPr>
              <w:t>Technical Requirements</w:t>
            </w:r>
          </w:p>
          <w:p w14:paraId="2B2568F9" w14:textId="77777777" w:rsidR="00157AAA" w:rsidRDefault="006C1BE5" w:rsidP="00D530D5">
            <w:pPr>
              <w:numPr>
                <w:ilvl w:val="0"/>
                <w:numId w:val="41"/>
              </w:numPr>
              <w:tabs>
                <w:tab w:val="clear" w:pos="2880"/>
              </w:tabs>
              <w:spacing w:before="120"/>
              <w:ind w:left="1422" w:right="-72"/>
              <w:jc w:val="left"/>
              <w:rPr>
                <w:szCs w:val="24"/>
              </w:rPr>
            </w:pPr>
            <w:r>
              <w:rPr>
                <w:szCs w:val="24"/>
              </w:rPr>
              <w:t>Implementation Schedule</w:t>
            </w:r>
          </w:p>
          <w:p w14:paraId="5538E5A2" w14:textId="77777777" w:rsidR="00157AAA" w:rsidRDefault="006C1BE5" w:rsidP="00D530D5">
            <w:pPr>
              <w:numPr>
                <w:ilvl w:val="0"/>
                <w:numId w:val="41"/>
              </w:numPr>
              <w:tabs>
                <w:tab w:val="clear" w:pos="2880"/>
              </w:tabs>
              <w:spacing w:before="120"/>
              <w:ind w:left="1422" w:right="-72"/>
              <w:jc w:val="left"/>
              <w:rPr>
                <w:szCs w:val="24"/>
              </w:rPr>
            </w:pPr>
            <w:r>
              <w:rPr>
                <w:szCs w:val="24"/>
              </w:rPr>
              <w:t>System Inventory Tables</w:t>
            </w:r>
          </w:p>
          <w:p w14:paraId="02CE5524" w14:textId="77777777" w:rsidR="00157AAA" w:rsidRDefault="006C1BE5" w:rsidP="00D530D5">
            <w:pPr>
              <w:numPr>
                <w:ilvl w:val="0"/>
                <w:numId w:val="41"/>
              </w:numPr>
              <w:tabs>
                <w:tab w:val="clear" w:pos="2880"/>
              </w:tabs>
              <w:spacing w:before="120"/>
              <w:ind w:left="1422" w:right="-72"/>
              <w:jc w:val="left"/>
              <w:rPr>
                <w:szCs w:val="24"/>
              </w:rPr>
            </w:pPr>
            <w:r>
              <w:rPr>
                <w:szCs w:val="24"/>
              </w:rPr>
              <w:t>Background and Informational Materials</w:t>
            </w:r>
          </w:p>
          <w:p w14:paraId="40A4FF06" w14:textId="77777777" w:rsidR="00157AAA" w:rsidRDefault="006C1BE5">
            <w:pPr>
              <w:tabs>
                <w:tab w:val="left" w:pos="1152"/>
                <w:tab w:val="left" w:pos="1692"/>
                <w:tab w:val="left" w:pos="2502"/>
              </w:tabs>
              <w:spacing w:before="120"/>
              <w:ind w:left="612"/>
              <w:jc w:val="left"/>
              <w:rPr>
                <w:b/>
                <w:szCs w:val="24"/>
              </w:rPr>
            </w:pPr>
            <w:r>
              <w:rPr>
                <w:b/>
                <w:szCs w:val="24"/>
              </w:rPr>
              <w:t>PART 3 - Contract</w:t>
            </w:r>
          </w:p>
          <w:p w14:paraId="14D864D3" w14:textId="77777777" w:rsidR="00157AAA" w:rsidRDefault="006C1BE5">
            <w:pPr>
              <w:numPr>
                <w:ilvl w:val="12"/>
                <w:numId w:val="0"/>
              </w:numPr>
              <w:spacing w:before="120"/>
              <w:ind w:left="882" w:right="-72"/>
              <w:jc w:val="left"/>
              <w:rPr>
                <w:szCs w:val="24"/>
              </w:rPr>
            </w:pPr>
            <w:r>
              <w:rPr>
                <w:szCs w:val="24"/>
              </w:rPr>
              <w:t xml:space="preserve">Section VIII - General Conditions of Contract </w:t>
            </w:r>
          </w:p>
          <w:p w14:paraId="4CA09C63" w14:textId="77777777" w:rsidR="00157AAA" w:rsidRDefault="006C1BE5">
            <w:pPr>
              <w:numPr>
                <w:ilvl w:val="12"/>
                <w:numId w:val="0"/>
              </w:numPr>
              <w:spacing w:before="120"/>
              <w:ind w:left="882" w:right="-72"/>
              <w:jc w:val="left"/>
              <w:rPr>
                <w:szCs w:val="24"/>
              </w:rPr>
            </w:pPr>
            <w:r>
              <w:rPr>
                <w:szCs w:val="24"/>
              </w:rPr>
              <w:t xml:space="preserve">Section IX -Special Conditions of Contract  </w:t>
            </w:r>
          </w:p>
          <w:p w14:paraId="489C6279" w14:textId="77777777" w:rsidR="00157AAA" w:rsidRDefault="006C1BE5">
            <w:pPr>
              <w:numPr>
                <w:ilvl w:val="12"/>
                <w:numId w:val="0"/>
              </w:numPr>
              <w:spacing w:before="120"/>
              <w:ind w:left="882" w:right="-72"/>
              <w:jc w:val="left"/>
              <w:rPr>
                <w:szCs w:val="24"/>
              </w:rPr>
            </w:pPr>
            <w:r>
              <w:rPr>
                <w:szCs w:val="24"/>
              </w:rPr>
              <w:t>Section X -</w:t>
            </w:r>
            <w:r>
              <w:rPr>
                <w:szCs w:val="24"/>
              </w:rPr>
              <w:tab/>
              <w:t xml:space="preserve"> Contract Forms</w:t>
            </w:r>
          </w:p>
          <w:p w14:paraId="327A9400" w14:textId="77777777" w:rsidR="00157AAA" w:rsidRDefault="006C1BE5" w:rsidP="00D530D5">
            <w:pPr>
              <w:pStyle w:val="Head12a"/>
              <w:numPr>
                <w:ilvl w:val="1"/>
                <w:numId w:val="59"/>
              </w:numPr>
              <w:spacing w:before="120"/>
              <w:ind w:left="702" w:hanging="720"/>
              <w:jc w:val="both"/>
              <w:rPr>
                <w:b w:val="0"/>
                <w:bCs/>
                <w:szCs w:val="24"/>
              </w:rPr>
            </w:pPr>
            <w:bookmarkStart w:id="66" w:name="_Toc43474852"/>
            <w:r>
              <w:rPr>
                <w:b w:val="0"/>
                <w:bCs/>
                <w:szCs w:val="24"/>
              </w:rPr>
              <w:t>The Specific Procurement Notice – Request for Bids (RFB) issued by the Purchaser is not part of this bidding document.</w:t>
            </w:r>
            <w:bookmarkEnd w:id="66"/>
          </w:p>
          <w:p w14:paraId="238C87E3" w14:textId="77777777" w:rsidR="00157AAA" w:rsidRDefault="006C1BE5">
            <w:pPr>
              <w:pStyle w:val="Sub-ClauseText"/>
              <w:ind w:left="612" w:hanging="630"/>
              <w:rPr>
                <w:spacing w:val="0"/>
                <w:szCs w:val="24"/>
              </w:rPr>
            </w:pPr>
            <w:r>
              <w:rPr>
                <w:szCs w:val="24"/>
              </w:rPr>
              <w:t>6.3</w:t>
            </w:r>
            <w:r>
              <w:rPr>
                <w:szCs w:val="24"/>
              </w:rPr>
              <w:tab/>
            </w:r>
            <w:r>
              <w:rPr>
                <w:bCs/>
                <w:spacing w:val="0"/>
                <w:szCs w:val="24"/>
              </w:rPr>
              <w:t>Unless obtained directly from the Purchaser, the Purchaser is not responsible for the completeness of the document, responses to requests for clarification, the Minutes of the pre-Bid meeting (if any), or Addenda to the bidding document in accordance with ITB 8. In case of any contradiction, documents obtained directly from the Purchaser shall prevail.</w:t>
            </w:r>
          </w:p>
          <w:p w14:paraId="6145D8AB" w14:textId="77777777" w:rsidR="00157AAA" w:rsidRDefault="006C1BE5">
            <w:pPr>
              <w:numPr>
                <w:ilvl w:val="12"/>
                <w:numId w:val="0"/>
              </w:numPr>
              <w:tabs>
                <w:tab w:val="left" w:pos="540"/>
              </w:tabs>
              <w:spacing w:before="120"/>
              <w:ind w:left="547" w:right="-72" w:hanging="547"/>
              <w:rPr>
                <w:szCs w:val="24"/>
              </w:rPr>
            </w:pPr>
            <w:r>
              <w:rPr>
                <w:szCs w:val="24"/>
              </w:rPr>
              <w:t>6.4</w:t>
            </w:r>
            <w:r>
              <w:rPr>
                <w:szCs w:val="24"/>
              </w:rPr>
              <w:tab/>
            </w:r>
            <w:r>
              <w:rPr>
                <w:bCs/>
                <w:szCs w:val="24"/>
              </w:rPr>
              <w:t>The Bidder is expected to examine all instructions, forms, terms, and specifications in the bidding document and to furnish with its Bid all information or documentation as is required by the bidding document.</w:t>
            </w:r>
          </w:p>
        </w:tc>
      </w:tr>
      <w:tr w:rsidR="00157AAA" w14:paraId="0C8B6577" w14:textId="77777777">
        <w:trPr>
          <w:cantSplit/>
        </w:trPr>
        <w:tc>
          <w:tcPr>
            <w:tcW w:w="2160" w:type="dxa"/>
            <w:tcBorders>
              <w:top w:val="none" w:sz="4" w:space="0" w:color="000000"/>
              <w:left w:val="none" w:sz="4" w:space="0" w:color="000000"/>
              <w:bottom w:val="none" w:sz="4" w:space="0" w:color="000000"/>
              <w:right w:val="none" w:sz="4" w:space="0" w:color="000000"/>
            </w:tcBorders>
          </w:tcPr>
          <w:p w14:paraId="49197D63" w14:textId="77777777" w:rsidR="00157AAA" w:rsidRDefault="006C1BE5">
            <w:pPr>
              <w:pStyle w:val="ITBHeading2"/>
              <w:spacing w:before="120" w:after="120"/>
            </w:pPr>
            <w:bookmarkStart w:id="67" w:name="_Toc434304499"/>
            <w:bookmarkStart w:id="68" w:name="_Toc43474992"/>
            <w:bookmarkStart w:id="69" w:name="_Toc43486458"/>
            <w:bookmarkStart w:id="70" w:name="_Toc163505714"/>
            <w:r>
              <w:lastRenderedPageBreak/>
              <w:t>Clarification of Bidding Document, Site Visit, Pre-bid Meeting</w:t>
            </w:r>
            <w:bookmarkEnd w:id="67"/>
            <w:bookmarkEnd w:id="68"/>
            <w:bookmarkEnd w:id="69"/>
            <w:bookmarkEnd w:id="70"/>
          </w:p>
        </w:tc>
        <w:tc>
          <w:tcPr>
            <w:tcW w:w="7290" w:type="dxa"/>
            <w:tcBorders>
              <w:top w:val="none" w:sz="4" w:space="0" w:color="000000"/>
              <w:left w:val="none" w:sz="4" w:space="0" w:color="000000"/>
              <w:bottom w:val="none" w:sz="4" w:space="0" w:color="000000"/>
              <w:right w:val="none" w:sz="4" w:space="0" w:color="000000"/>
            </w:tcBorders>
          </w:tcPr>
          <w:p w14:paraId="71EC2D1B" w14:textId="77777777" w:rsidR="00157AAA" w:rsidRDefault="006C1BE5" w:rsidP="00D530D5">
            <w:pPr>
              <w:pStyle w:val="Head12a"/>
              <w:numPr>
                <w:ilvl w:val="1"/>
                <w:numId w:val="59"/>
              </w:numPr>
              <w:spacing w:before="120"/>
              <w:ind w:left="702" w:hanging="720"/>
              <w:jc w:val="both"/>
              <w:rPr>
                <w:szCs w:val="24"/>
              </w:rPr>
            </w:pPr>
            <w:bookmarkStart w:id="71" w:name="_Toc43474853"/>
            <w:r>
              <w:rPr>
                <w:b w:val="0"/>
                <w:bCs/>
                <w:szCs w:val="24"/>
              </w:rPr>
              <w:t xml:space="preserve">A Bidder requiring any clarification of the bidding document shall contact the Purchaser in writing at the Purchaser’s address specified in the BDS or raise its enquiries during the pre-Bid meeting if provided for in accordance with ITB 7.4. The Purchaser will respond in writing to any request for clarification, provided that such </w:t>
            </w:r>
            <w:proofErr w:type="gramStart"/>
            <w:r>
              <w:rPr>
                <w:b w:val="0"/>
                <w:bCs/>
                <w:szCs w:val="24"/>
              </w:rPr>
              <w:t>request</w:t>
            </w:r>
            <w:proofErr w:type="gramEnd"/>
            <w:r>
              <w:rPr>
                <w:b w:val="0"/>
                <w:bCs/>
                <w:szCs w:val="24"/>
              </w:rPr>
              <w:t xml:space="preserve"> is received prior to the deadline for submission of Bids within a period specified in the BDS.  The Purchaser’s shall forward copies of its response to all Bidders who have acquired the bidding document in accordance with ITB 6.3, including a description of the inquiry but without identifying its source. If </w:t>
            </w:r>
            <w:proofErr w:type="gramStart"/>
            <w:r>
              <w:rPr>
                <w:b w:val="0"/>
                <w:bCs/>
                <w:szCs w:val="24"/>
              </w:rPr>
              <w:t>so</w:t>
            </w:r>
            <w:proofErr w:type="gramEnd"/>
            <w:r>
              <w:rPr>
                <w:b w:val="0"/>
                <w:bCs/>
                <w:szCs w:val="24"/>
              </w:rPr>
              <w:t xml:space="preserve"> specified in the BDS, the Purchaser shall also promptly publish its response at the web page identified in the BDS. Should the Purchaser deem it necessary to amend the bidding document </w:t>
            </w:r>
            <w:proofErr w:type="gramStart"/>
            <w:r>
              <w:rPr>
                <w:b w:val="0"/>
                <w:bCs/>
                <w:szCs w:val="24"/>
              </w:rPr>
              <w:t>as a result of</w:t>
            </w:r>
            <w:proofErr w:type="gramEnd"/>
            <w:r>
              <w:rPr>
                <w:b w:val="0"/>
                <w:bCs/>
                <w:szCs w:val="24"/>
              </w:rPr>
              <w:t xml:space="preserve"> a request for clarification, it shall do so following the procedure under ITB 8 and ITB 23.2.</w:t>
            </w:r>
            <w:bookmarkEnd w:id="71"/>
          </w:p>
        </w:tc>
      </w:tr>
      <w:tr w:rsidR="00157AAA" w14:paraId="4737E305" w14:textId="77777777">
        <w:tc>
          <w:tcPr>
            <w:tcW w:w="2160" w:type="dxa"/>
            <w:tcBorders>
              <w:top w:val="none" w:sz="4" w:space="0" w:color="000000"/>
              <w:left w:val="none" w:sz="4" w:space="0" w:color="000000"/>
              <w:bottom w:val="none" w:sz="4" w:space="0" w:color="000000"/>
              <w:right w:val="none" w:sz="4" w:space="0" w:color="000000"/>
            </w:tcBorders>
          </w:tcPr>
          <w:p w14:paraId="5AC0350F" w14:textId="77777777" w:rsidR="00157AAA" w:rsidRDefault="00157AAA">
            <w:pPr>
              <w:numPr>
                <w:ilvl w:val="12"/>
                <w:numId w:val="0"/>
              </w:numPr>
              <w:spacing w:before="120"/>
              <w:ind w:left="360" w:hanging="360"/>
              <w:jc w:val="left"/>
              <w:rPr>
                <w:szCs w:val="24"/>
              </w:rPr>
            </w:pPr>
          </w:p>
        </w:tc>
        <w:tc>
          <w:tcPr>
            <w:tcW w:w="7290" w:type="dxa"/>
            <w:tcBorders>
              <w:top w:val="none" w:sz="4" w:space="0" w:color="000000"/>
              <w:left w:val="none" w:sz="4" w:space="0" w:color="000000"/>
              <w:bottom w:val="none" w:sz="4" w:space="0" w:color="000000"/>
              <w:right w:val="none" w:sz="4" w:space="0" w:color="000000"/>
            </w:tcBorders>
          </w:tcPr>
          <w:p w14:paraId="1AC06E72" w14:textId="77777777" w:rsidR="00157AAA" w:rsidRDefault="006C1BE5" w:rsidP="00D530D5">
            <w:pPr>
              <w:pStyle w:val="Head12a"/>
              <w:numPr>
                <w:ilvl w:val="1"/>
                <w:numId w:val="59"/>
              </w:numPr>
              <w:spacing w:before="120"/>
              <w:ind w:left="702" w:hanging="720"/>
              <w:jc w:val="both"/>
              <w:rPr>
                <w:b w:val="0"/>
                <w:bCs/>
                <w:szCs w:val="24"/>
              </w:rPr>
            </w:pPr>
            <w:bookmarkStart w:id="72" w:name="_Toc43474854"/>
            <w:r>
              <w:rPr>
                <w:b w:val="0"/>
                <w:bCs/>
                <w:szCs w:val="24"/>
              </w:rPr>
              <w:t xml:space="preserve">The Bidder may wish to visit and examine the site where the Information System is to be installed and its surroundings and obtain for itself on its own responsibility all information that may be necessary for preparing the Bid and </w:t>
            </w:r>
            <w:proofErr w:type="gramStart"/>
            <w:r>
              <w:rPr>
                <w:b w:val="0"/>
                <w:bCs/>
                <w:szCs w:val="24"/>
              </w:rPr>
              <w:t>entering into</w:t>
            </w:r>
            <w:proofErr w:type="gramEnd"/>
            <w:r>
              <w:rPr>
                <w:b w:val="0"/>
                <w:bCs/>
                <w:szCs w:val="24"/>
              </w:rPr>
              <w:t xml:space="preserve"> a contract. The costs of visiting the site shall be at the Bidder’s own expense.</w:t>
            </w:r>
            <w:bookmarkEnd w:id="72"/>
          </w:p>
          <w:p w14:paraId="6359D7C4" w14:textId="77777777" w:rsidR="00157AAA" w:rsidRDefault="006C1BE5" w:rsidP="00D530D5">
            <w:pPr>
              <w:pStyle w:val="Head12a"/>
              <w:numPr>
                <w:ilvl w:val="1"/>
                <w:numId w:val="59"/>
              </w:numPr>
              <w:spacing w:before="120"/>
              <w:ind w:left="702" w:hanging="720"/>
              <w:jc w:val="both"/>
              <w:rPr>
                <w:b w:val="0"/>
                <w:bCs/>
                <w:szCs w:val="24"/>
              </w:rPr>
            </w:pPr>
            <w:bookmarkStart w:id="73" w:name="_Toc43474855"/>
            <w:r>
              <w:rPr>
                <w:b w:val="0"/>
                <w:bCs/>
                <w:szCs w:val="24"/>
              </w:rPr>
              <w:t>The Bidder and any of its personnel or agents will be granted permission by the Purchaser to enter upon its premises and lands for the purpose of such visit, but only upon the express condition that the Bidder, its personnel, and agents will release and indemnify the Purchaser and its personnel and agents from and against all liability in respect thereof, and will be responsible for death or personal injury, loss of or damage to property, and any other loss, damage, costs, and expenses incurred as a result of the inspection.</w:t>
            </w:r>
            <w:bookmarkEnd w:id="73"/>
          </w:p>
          <w:p w14:paraId="08B75791" w14:textId="77777777" w:rsidR="00157AAA" w:rsidRDefault="006C1BE5" w:rsidP="00D530D5">
            <w:pPr>
              <w:pStyle w:val="Head12a"/>
              <w:numPr>
                <w:ilvl w:val="1"/>
                <w:numId w:val="59"/>
              </w:numPr>
              <w:spacing w:before="120"/>
              <w:ind w:left="702" w:hanging="720"/>
              <w:jc w:val="both"/>
              <w:rPr>
                <w:b w:val="0"/>
                <w:bCs/>
                <w:szCs w:val="24"/>
              </w:rPr>
            </w:pPr>
            <w:bookmarkStart w:id="74" w:name="_Toc43474856"/>
            <w:r>
              <w:rPr>
                <w:b w:val="0"/>
                <w:bCs/>
                <w:szCs w:val="24"/>
              </w:rPr>
              <w:t>The Bidder’s designated representative is invited to attend a pre-Bid meeting and/or a site visit, if provided for in the BDS. The purpose of the meeting will be to clarify issues and to answer questions on any matter that may be raised at that stage.</w:t>
            </w:r>
            <w:bookmarkEnd w:id="74"/>
          </w:p>
          <w:p w14:paraId="7CA71596" w14:textId="77777777" w:rsidR="00157AAA" w:rsidRDefault="006C1BE5" w:rsidP="00D530D5">
            <w:pPr>
              <w:pStyle w:val="Head12a"/>
              <w:numPr>
                <w:ilvl w:val="1"/>
                <w:numId w:val="59"/>
              </w:numPr>
              <w:spacing w:before="120"/>
              <w:ind w:left="702" w:hanging="720"/>
              <w:jc w:val="both"/>
              <w:rPr>
                <w:b w:val="0"/>
                <w:bCs/>
                <w:szCs w:val="24"/>
              </w:rPr>
            </w:pPr>
            <w:bookmarkStart w:id="75" w:name="_Toc43474857"/>
            <w:r>
              <w:rPr>
                <w:b w:val="0"/>
                <w:bCs/>
                <w:szCs w:val="24"/>
              </w:rPr>
              <w:t>The Bidder is requested, as far as possible, to submit any questions in writing, to reach the Purchaser not later than one week before the meeting.</w:t>
            </w:r>
            <w:bookmarkEnd w:id="75"/>
          </w:p>
          <w:p w14:paraId="30F4195F" w14:textId="77777777" w:rsidR="00157AAA" w:rsidRDefault="006C1BE5" w:rsidP="00D530D5">
            <w:pPr>
              <w:pStyle w:val="Head12a"/>
              <w:numPr>
                <w:ilvl w:val="1"/>
                <w:numId w:val="59"/>
              </w:numPr>
              <w:spacing w:before="120"/>
              <w:ind w:left="702" w:hanging="720"/>
              <w:jc w:val="both"/>
              <w:rPr>
                <w:b w:val="0"/>
                <w:bCs/>
                <w:szCs w:val="24"/>
              </w:rPr>
            </w:pPr>
            <w:bookmarkStart w:id="76" w:name="_Toc43474858"/>
            <w:r>
              <w:rPr>
                <w:b w:val="0"/>
                <w:bCs/>
                <w:szCs w:val="24"/>
              </w:rPr>
              <w:t xml:space="preserve">Minutes of the pre-Bid meeting, including the text of the questions raised without identifying the source, and the responses given, together with any responses prepared after the meeting, will be transmitted promptly to all Bidders who have acquired the bidding document in accordance with ITB 6.3.  Any modification to the bidding document that may become necessary </w:t>
            </w:r>
            <w:proofErr w:type="gramStart"/>
            <w:r>
              <w:rPr>
                <w:b w:val="0"/>
                <w:bCs/>
                <w:szCs w:val="24"/>
              </w:rPr>
              <w:t>as a result of</w:t>
            </w:r>
            <w:proofErr w:type="gramEnd"/>
            <w:r>
              <w:rPr>
                <w:b w:val="0"/>
                <w:bCs/>
                <w:szCs w:val="24"/>
              </w:rPr>
              <w:t xml:space="preserve"> the pre-Bid meeting shall be made by the Purchaser exclusively through </w:t>
            </w:r>
            <w:r>
              <w:rPr>
                <w:b w:val="0"/>
                <w:bCs/>
                <w:szCs w:val="24"/>
              </w:rPr>
              <w:lastRenderedPageBreak/>
              <w:t>the issue of an Addendum pursuant to ITB 8 and not through the minutes of the pre-Bid meeting.</w:t>
            </w:r>
            <w:bookmarkEnd w:id="76"/>
          </w:p>
          <w:p w14:paraId="1F7E3159" w14:textId="77777777" w:rsidR="00157AAA" w:rsidRDefault="006C1BE5" w:rsidP="00D530D5">
            <w:pPr>
              <w:pStyle w:val="Head12a"/>
              <w:numPr>
                <w:ilvl w:val="1"/>
                <w:numId w:val="59"/>
              </w:numPr>
              <w:spacing w:before="120"/>
              <w:ind w:left="702" w:hanging="720"/>
              <w:jc w:val="both"/>
              <w:rPr>
                <w:b w:val="0"/>
                <w:bCs/>
                <w:szCs w:val="24"/>
              </w:rPr>
            </w:pPr>
            <w:bookmarkStart w:id="77" w:name="_Toc43474859"/>
            <w:r>
              <w:rPr>
                <w:b w:val="0"/>
                <w:bCs/>
                <w:szCs w:val="24"/>
              </w:rPr>
              <w:t>Nonattendance at the pre-Bid meeting will not be a cause for disqualification of a Bidder.</w:t>
            </w:r>
            <w:bookmarkEnd w:id="77"/>
          </w:p>
        </w:tc>
      </w:tr>
      <w:tr w:rsidR="00157AAA" w14:paraId="769C7BE4" w14:textId="77777777">
        <w:trPr>
          <w:trHeight w:val="3493"/>
        </w:trPr>
        <w:tc>
          <w:tcPr>
            <w:tcW w:w="2160" w:type="dxa"/>
            <w:tcBorders>
              <w:top w:val="none" w:sz="4" w:space="0" w:color="000000"/>
              <w:left w:val="none" w:sz="4" w:space="0" w:color="000000"/>
              <w:bottom w:val="none" w:sz="4" w:space="0" w:color="000000"/>
              <w:right w:val="none" w:sz="4" w:space="0" w:color="000000"/>
            </w:tcBorders>
          </w:tcPr>
          <w:p w14:paraId="460D1FCA" w14:textId="77777777" w:rsidR="00157AAA" w:rsidRDefault="006C1BE5">
            <w:pPr>
              <w:pStyle w:val="ITBHeading2"/>
              <w:spacing w:before="120" w:after="120"/>
            </w:pPr>
            <w:bookmarkStart w:id="78" w:name="_Toc434304500"/>
            <w:bookmarkStart w:id="79" w:name="_Toc43474993"/>
            <w:bookmarkStart w:id="80" w:name="_Toc43486459"/>
            <w:bookmarkStart w:id="81" w:name="_Toc163505715"/>
            <w:r>
              <w:lastRenderedPageBreak/>
              <w:t>Amendment of Bidding Document</w:t>
            </w:r>
            <w:bookmarkEnd w:id="78"/>
            <w:bookmarkEnd w:id="79"/>
            <w:bookmarkEnd w:id="80"/>
            <w:bookmarkEnd w:id="81"/>
          </w:p>
        </w:tc>
        <w:tc>
          <w:tcPr>
            <w:tcW w:w="7290" w:type="dxa"/>
            <w:tcBorders>
              <w:top w:val="none" w:sz="4" w:space="0" w:color="000000"/>
              <w:left w:val="none" w:sz="4" w:space="0" w:color="000000"/>
              <w:bottom w:val="none" w:sz="4" w:space="0" w:color="000000"/>
              <w:right w:val="none" w:sz="4" w:space="0" w:color="000000"/>
            </w:tcBorders>
          </w:tcPr>
          <w:p w14:paraId="00897495" w14:textId="77777777" w:rsidR="00157AAA" w:rsidRDefault="006C1BE5" w:rsidP="00D530D5">
            <w:pPr>
              <w:pStyle w:val="Head12a"/>
              <w:numPr>
                <w:ilvl w:val="1"/>
                <w:numId w:val="59"/>
              </w:numPr>
              <w:spacing w:before="120"/>
              <w:ind w:left="702" w:hanging="720"/>
              <w:jc w:val="both"/>
              <w:rPr>
                <w:b w:val="0"/>
                <w:bCs/>
                <w:szCs w:val="24"/>
              </w:rPr>
            </w:pPr>
            <w:bookmarkStart w:id="82" w:name="_Toc43474860"/>
            <w:r>
              <w:rPr>
                <w:b w:val="0"/>
                <w:bCs/>
                <w:szCs w:val="24"/>
              </w:rPr>
              <w:t>At any time prior to the deadline for submission of Bids, the Purchaser may amend the bidding document by issuing addenda.</w:t>
            </w:r>
            <w:bookmarkEnd w:id="82"/>
          </w:p>
          <w:p w14:paraId="344A36B2" w14:textId="77777777" w:rsidR="00157AAA" w:rsidRDefault="006C1BE5" w:rsidP="00D530D5">
            <w:pPr>
              <w:pStyle w:val="Head12a"/>
              <w:numPr>
                <w:ilvl w:val="1"/>
                <w:numId w:val="59"/>
              </w:numPr>
              <w:spacing w:before="120"/>
              <w:ind w:left="702" w:hanging="720"/>
              <w:jc w:val="both"/>
              <w:rPr>
                <w:b w:val="0"/>
                <w:bCs/>
                <w:szCs w:val="24"/>
              </w:rPr>
            </w:pPr>
            <w:bookmarkStart w:id="83" w:name="_Toc43474861"/>
            <w:r>
              <w:rPr>
                <w:b w:val="0"/>
                <w:bCs/>
                <w:szCs w:val="24"/>
              </w:rPr>
              <w:t>Any addendum issued shall be part of the bidding document and shall be communicated in writing to all who have obtained the bidding document from the Purchaser in accordance with ITB 6.3. The Purchaser shall also promptly publish the addendum on the Purchaser’s web page in accordance with ITB 7.1.</w:t>
            </w:r>
            <w:bookmarkEnd w:id="83"/>
          </w:p>
          <w:p w14:paraId="1E2117D8" w14:textId="77777777" w:rsidR="00157AAA" w:rsidRDefault="006C1BE5" w:rsidP="00D530D5">
            <w:pPr>
              <w:pStyle w:val="Head12a"/>
              <w:numPr>
                <w:ilvl w:val="1"/>
                <w:numId w:val="59"/>
              </w:numPr>
              <w:spacing w:before="120"/>
              <w:ind w:left="702" w:hanging="720"/>
              <w:jc w:val="both"/>
              <w:rPr>
                <w:szCs w:val="24"/>
              </w:rPr>
            </w:pPr>
            <w:bookmarkStart w:id="84" w:name="_Toc43474862"/>
            <w:r>
              <w:rPr>
                <w:b w:val="0"/>
                <w:bCs/>
                <w:szCs w:val="24"/>
              </w:rPr>
              <w:t>To give prospective Bidders reasonable time in which to take an addendum into account in preparing their Bids, the Purchaser may, at its discretion, extend the deadline for the submission of Bids, pursuant to ITB 23.2</w:t>
            </w:r>
            <w:bookmarkEnd w:id="84"/>
          </w:p>
        </w:tc>
      </w:tr>
    </w:tbl>
    <w:p w14:paraId="6C49C7C8" w14:textId="77777777" w:rsidR="00157AAA" w:rsidRDefault="006C1BE5">
      <w:pPr>
        <w:pStyle w:val="ITBHeading1"/>
      </w:pPr>
      <w:bookmarkStart w:id="85" w:name="_Toc505659525"/>
      <w:bookmarkStart w:id="86" w:name="_Toc431826610"/>
      <w:bookmarkStart w:id="87" w:name="_Toc348000791"/>
      <w:bookmarkStart w:id="88" w:name="_Toc434304501"/>
      <w:bookmarkStart w:id="89" w:name="_Toc43474994"/>
      <w:bookmarkStart w:id="90" w:name="_Toc43486460"/>
      <w:bookmarkStart w:id="91" w:name="_Toc163505716"/>
      <w:r>
        <w:t xml:space="preserve">C. </w:t>
      </w:r>
      <w:bookmarkEnd w:id="85"/>
      <w:bookmarkEnd w:id="86"/>
      <w:bookmarkEnd w:id="87"/>
      <w:r>
        <w:t>Preparation of Bids</w:t>
      </w:r>
      <w:bookmarkEnd w:id="88"/>
      <w:bookmarkEnd w:id="89"/>
      <w:bookmarkEnd w:id="90"/>
      <w:bookmarkEnd w:id="91"/>
    </w:p>
    <w:tbl>
      <w:tblPr>
        <w:tblW w:w="9465" w:type="dxa"/>
        <w:tblInd w:w="-15" w:type="dxa"/>
        <w:tblLayout w:type="fixed"/>
        <w:tblLook w:val="0000" w:firstRow="0" w:lastRow="0" w:firstColumn="0" w:lastColumn="0" w:noHBand="0" w:noVBand="0"/>
      </w:tblPr>
      <w:tblGrid>
        <w:gridCol w:w="2175"/>
        <w:gridCol w:w="7290"/>
      </w:tblGrid>
      <w:tr w:rsidR="00157AAA" w14:paraId="26483EDF" w14:textId="77777777">
        <w:trPr>
          <w:trHeight w:val="576"/>
        </w:trPr>
        <w:tc>
          <w:tcPr>
            <w:tcW w:w="2175" w:type="dxa"/>
          </w:tcPr>
          <w:p w14:paraId="6582461B" w14:textId="77777777" w:rsidR="00157AAA" w:rsidRDefault="006C1BE5">
            <w:pPr>
              <w:pStyle w:val="ITBHeading2"/>
              <w:spacing w:before="120" w:after="120"/>
            </w:pPr>
            <w:bookmarkStart w:id="92" w:name="_Toc438438830"/>
            <w:bookmarkStart w:id="93" w:name="_Toc438532578"/>
            <w:bookmarkStart w:id="94" w:name="_Toc438733974"/>
            <w:bookmarkStart w:id="95" w:name="_Toc438907013"/>
            <w:bookmarkStart w:id="96" w:name="_Toc438907212"/>
            <w:bookmarkStart w:id="97" w:name="_Toc23236755"/>
            <w:bookmarkStart w:id="98" w:name="_Toc125782997"/>
            <w:bookmarkStart w:id="99" w:name="_Toc434304502"/>
            <w:bookmarkStart w:id="100" w:name="_Toc43474995"/>
            <w:bookmarkStart w:id="101" w:name="_Toc43486461"/>
            <w:bookmarkStart w:id="102" w:name="_Toc163505717"/>
            <w:r>
              <w:t>Cost of Bidding</w:t>
            </w:r>
            <w:bookmarkEnd w:id="92"/>
            <w:bookmarkEnd w:id="93"/>
            <w:bookmarkEnd w:id="94"/>
            <w:bookmarkEnd w:id="95"/>
            <w:bookmarkEnd w:id="96"/>
            <w:bookmarkEnd w:id="97"/>
            <w:bookmarkEnd w:id="98"/>
            <w:bookmarkEnd w:id="99"/>
            <w:bookmarkEnd w:id="100"/>
            <w:bookmarkEnd w:id="101"/>
            <w:bookmarkEnd w:id="102"/>
          </w:p>
          <w:p w14:paraId="51C85CCA" w14:textId="77777777" w:rsidR="00157AAA" w:rsidRDefault="00157AAA">
            <w:pPr>
              <w:pStyle w:val="ITBHeading2"/>
              <w:numPr>
                <w:ilvl w:val="0"/>
                <w:numId w:val="0"/>
              </w:numPr>
              <w:spacing w:before="120" w:after="120"/>
              <w:ind w:left="360"/>
            </w:pPr>
          </w:p>
        </w:tc>
        <w:tc>
          <w:tcPr>
            <w:tcW w:w="7290" w:type="dxa"/>
          </w:tcPr>
          <w:p w14:paraId="0E9C8934" w14:textId="77777777" w:rsidR="00157AAA" w:rsidRDefault="006C1BE5" w:rsidP="00D530D5">
            <w:pPr>
              <w:pStyle w:val="Head12a"/>
              <w:numPr>
                <w:ilvl w:val="1"/>
                <w:numId w:val="59"/>
              </w:numPr>
              <w:spacing w:before="120"/>
              <w:ind w:left="702" w:hanging="720"/>
              <w:jc w:val="both"/>
              <w:rPr>
                <w:b w:val="0"/>
                <w:bCs/>
                <w:szCs w:val="24"/>
              </w:rPr>
            </w:pPr>
            <w:bookmarkStart w:id="103" w:name="_Toc43474863"/>
            <w:r>
              <w:rPr>
                <w:b w:val="0"/>
                <w:bCs/>
                <w:szCs w:val="24"/>
              </w:rPr>
              <w:t>The Bidder shall bear all costs associated with the preparation and submission of its Bid, and the Purchaser shall not be responsible or liable for those costs, regardless of the conduct or outcome of the Bidding process.</w:t>
            </w:r>
            <w:bookmarkEnd w:id="103"/>
          </w:p>
        </w:tc>
      </w:tr>
      <w:tr w:rsidR="00157AAA" w14:paraId="32CF3045" w14:textId="77777777">
        <w:trPr>
          <w:trHeight w:val="576"/>
        </w:trPr>
        <w:tc>
          <w:tcPr>
            <w:tcW w:w="2175" w:type="dxa"/>
          </w:tcPr>
          <w:p w14:paraId="3CA0C695" w14:textId="77777777" w:rsidR="00157AAA" w:rsidRDefault="006C1BE5">
            <w:pPr>
              <w:pStyle w:val="ITBHeading2"/>
              <w:spacing w:before="120" w:after="120"/>
            </w:pPr>
            <w:bookmarkStart w:id="104" w:name="_Toc438438831"/>
            <w:bookmarkStart w:id="105" w:name="_Toc438532579"/>
            <w:bookmarkStart w:id="106" w:name="_Toc438733975"/>
            <w:bookmarkStart w:id="107" w:name="_Toc438907014"/>
            <w:bookmarkStart w:id="108" w:name="_Toc438907213"/>
            <w:bookmarkStart w:id="109" w:name="_Toc23236756"/>
            <w:bookmarkStart w:id="110" w:name="_Toc125782998"/>
            <w:bookmarkStart w:id="111" w:name="_Toc434304503"/>
            <w:bookmarkStart w:id="112" w:name="_Toc43474996"/>
            <w:bookmarkStart w:id="113" w:name="_Toc43486462"/>
            <w:bookmarkStart w:id="114" w:name="_Toc163505718"/>
            <w:r>
              <w:t>Language of Bid</w:t>
            </w:r>
            <w:bookmarkEnd w:id="104"/>
            <w:bookmarkEnd w:id="105"/>
            <w:bookmarkEnd w:id="106"/>
            <w:bookmarkEnd w:id="107"/>
            <w:bookmarkEnd w:id="108"/>
            <w:bookmarkEnd w:id="109"/>
            <w:bookmarkEnd w:id="110"/>
            <w:bookmarkEnd w:id="111"/>
            <w:bookmarkEnd w:id="112"/>
            <w:bookmarkEnd w:id="113"/>
            <w:bookmarkEnd w:id="114"/>
          </w:p>
        </w:tc>
        <w:tc>
          <w:tcPr>
            <w:tcW w:w="7290" w:type="dxa"/>
          </w:tcPr>
          <w:p w14:paraId="7EEF063C" w14:textId="77777777" w:rsidR="00157AAA" w:rsidRDefault="006C1BE5" w:rsidP="00D530D5">
            <w:pPr>
              <w:pStyle w:val="Head12a"/>
              <w:numPr>
                <w:ilvl w:val="1"/>
                <w:numId w:val="59"/>
              </w:numPr>
              <w:spacing w:before="120"/>
              <w:ind w:left="702" w:hanging="720"/>
              <w:jc w:val="both"/>
              <w:rPr>
                <w:b w:val="0"/>
                <w:bCs/>
                <w:szCs w:val="24"/>
              </w:rPr>
            </w:pPr>
            <w:bookmarkStart w:id="115" w:name="_Toc43474864"/>
            <w:r>
              <w:rPr>
                <w:b w:val="0"/>
                <w:bCs/>
                <w:szCs w:val="24"/>
              </w:rPr>
              <w:t>The Bid, as well as all correspondence and documents relating to the bid exchanged by the Bidder and the Purchaser, shall be written in the language specified in the BDS.  Supporting documents and printed literature that are part of the Bid may be in another language provided they are accompanied by an accurate translation of the relevant passages in the language specified in the BDS, in which case, for purposes of interpretation of the Bid, such translation shall govern.</w:t>
            </w:r>
            <w:bookmarkEnd w:id="115"/>
          </w:p>
        </w:tc>
      </w:tr>
      <w:tr w:rsidR="00157AAA" w14:paraId="2E96F329" w14:textId="77777777">
        <w:trPr>
          <w:trHeight w:val="630"/>
        </w:trPr>
        <w:tc>
          <w:tcPr>
            <w:tcW w:w="2175" w:type="dxa"/>
          </w:tcPr>
          <w:p w14:paraId="517BA64D" w14:textId="77777777" w:rsidR="00157AAA" w:rsidRDefault="006C1BE5">
            <w:pPr>
              <w:pStyle w:val="ITBHeading2"/>
              <w:spacing w:before="120" w:after="120"/>
            </w:pPr>
            <w:bookmarkStart w:id="116" w:name="_Toc43474997"/>
            <w:bookmarkStart w:id="117" w:name="_Toc43486463"/>
            <w:bookmarkStart w:id="118" w:name="_Toc163505719"/>
            <w:r>
              <w:t>Documents Comprising the Bid</w:t>
            </w:r>
            <w:bookmarkEnd w:id="116"/>
            <w:bookmarkEnd w:id="117"/>
            <w:bookmarkEnd w:id="118"/>
          </w:p>
        </w:tc>
        <w:tc>
          <w:tcPr>
            <w:tcW w:w="7290" w:type="dxa"/>
          </w:tcPr>
          <w:p w14:paraId="0FA7ACA5" w14:textId="77777777" w:rsidR="00157AAA" w:rsidRDefault="006C1BE5" w:rsidP="00D530D5">
            <w:pPr>
              <w:pStyle w:val="Head12a"/>
              <w:numPr>
                <w:ilvl w:val="1"/>
                <w:numId w:val="59"/>
              </w:numPr>
              <w:spacing w:before="120"/>
              <w:ind w:left="702" w:hanging="720"/>
              <w:jc w:val="both"/>
              <w:rPr>
                <w:szCs w:val="24"/>
              </w:rPr>
            </w:pPr>
            <w:bookmarkStart w:id="119" w:name="_Toc43474865"/>
            <w:r>
              <w:rPr>
                <w:b w:val="0"/>
                <w:bCs/>
                <w:szCs w:val="24"/>
              </w:rPr>
              <w:t>The Bid submitted by the Bidder shall comprise the following:</w:t>
            </w:r>
            <w:bookmarkEnd w:id="119"/>
            <w:r>
              <w:rPr>
                <w:szCs w:val="24"/>
              </w:rPr>
              <w:t xml:space="preserve"> </w:t>
            </w:r>
          </w:p>
        </w:tc>
      </w:tr>
      <w:tr w:rsidR="00157AAA" w14:paraId="396D1D20" w14:textId="77777777">
        <w:trPr>
          <w:trHeight w:val="576"/>
        </w:trPr>
        <w:tc>
          <w:tcPr>
            <w:tcW w:w="2175" w:type="dxa"/>
          </w:tcPr>
          <w:p w14:paraId="6FFB2EBA" w14:textId="77777777" w:rsidR="00157AAA" w:rsidRDefault="00157AAA">
            <w:pPr>
              <w:pStyle w:val="Head12a"/>
              <w:spacing w:before="120"/>
              <w:rPr>
                <w:szCs w:val="24"/>
              </w:rPr>
            </w:pPr>
          </w:p>
        </w:tc>
        <w:tc>
          <w:tcPr>
            <w:tcW w:w="7290" w:type="dxa"/>
          </w:tcPr>
          <w:p w14:paraId="123C96AD"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 xml:space="preserve">Letter of Bid </w:t>
            </w:r>
            <w:r>
              <w:rPr>
                <w:szCs w:val="24"/>
              </w:rPr>
              <w:t>prepared in accordance with ITB 12;</w:t>
            </w:r>
          </w:p>
        </w:tc>
      </w:tr>
      <w:tr w:rsidR="00157AAA" w14:paraId="62A3A7FA" w14:textId="77777777">
        <w:trPr>
          <w:trHeight w:val="576"/>
        </w:trPr>
        <w:tc>
          <w:tcPr>
            <w:tcW w:w="2175" w:type="dxa"/>
          </w:tcPr>
          <w:p w14:paraId="2A0329E5" w14:textId="77777777" w:rsidR="00157AAA" w:rsidRDefault="00157AAA">
            <w:pPr>
              <w:pStyle w:val="Head12a"/>
              <w:spacing w:before="120"/>
              <w:rPr>
                <w:szCs w:val="24"/>
              </w:rPr>
            </w:pPr>
          </w:p>
        </w:tc>
        <w:tc>
          <w:tcPr>
            <w:tcW w:w="7290" w:type="dxa"/>
          </w:tcPr>
          <w:p w14:paraId="566B04CA"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 xml:space="preserve">Price Schedules </w:t>
            </w:r>
            <w:r>
              <w:rPr>
                <w:szCs w:val="24"/>
              </w:rPr>
              <w:t>completed in accordance with ITB 12 and ITB 17;</w:t>
            </w:r>
          </w:p>
        </w:tc>
      </w:tr>
      <w:tr w:rsidR="00157AAA" w14:paraId="23F16BE2" w14:textId="77777777">
        <w:trPr>
          <w:trHeight w:val="576"/>
        </w:trPr>
        <w:tc>
          <w:tcPr>
            <w:tcW w:w="2175" w:type="dxa"/>
          </w:tcPr>
          <w:p w14:paraId="3B6FFF8E" w14:textId="77777777" w:rsidR="00157AAA" w:rsidRDefault="00157AAA">
            <w:pPr>
              <w:pStyle w:val="Head12a"/>
              <w:spacing w:before="120"/>
              <w:rPr>
                <w:szCs w:val="24"/>
              </w:rPr>
            </w:pPr>
          </w:p>
        </w:tc>
        <w:tc>
          <w:tcPr>
            <w:tcW w:w="7290" w:type="dxa"/>
          </w:tcPr>
          <w:p w14:paraId="52ABCD57"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Bid Security or Bid-Securing Declaration</w:t>
            </w:r>
            <w:r>
              <w:rPr>
                <w:szCs w:val="24"/>
              </w:rPr>
              <w:t xml:space="preserve"> in accordance with ITB 20;</w:t>
            </w:r>
          </w:p>
        </w:tc>
      </w:tr>
      <w:tr w:rsidR="00157AAA" w14:paraId="4B7BA3AC" w14:textId="77777777">
        <w:trPr>
          <w:trHeight w:val="576"/>
        </w:trPr>
        <w:tc>
          <w:tcPr>
            <w:tcW w:w="2175" w:type="dxa"/>
          </w:tcPr>
          <w:p w14:paraId="7FC47871" w14:textId="77777777" w:rsidR="00157AAA" w:rsidRDefault="00157AAA">
            <w:pPr>
              <w:pStyle w:val="Head12a"/>
              <w:spacing w:before="120"/>
              <w:rPr>
                <w:szCs w:val="24"/>
              </w:rPr>
            </w:pPr>
          </w:p>
        </w:tc>
        <w:tc>
          <w:tcPr>
            <w:tcW w:w="7290" w:type="dxa"/>
          </w:tcPr>
          <w:p w14:paraId="2F4D81DC"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 xml:space="preserve">Alternative Bid: </w:t>
            </w:r>
            <w:r>
              <w:rPr>
                <w:szCs w:val="24"/>
              </w:rPr>
              <w:t>if permissible, in accordance with ITB 13;</w:t>
            </w:r>
          </w:p>
        </w:tc>
      </w:tr>
      <w:tr w:rsidR="00157AAA" w14:paraId="36BA9F66" w14:textId="77777777">
        <w:trPr>
          <w:trHeight w:val="576"/>
        </w:trPr>
        <w:tc>
          <w:tcPr>
            <w:tcW w:w="2175" w:type="dxa"/>
          </w:tcPr>
          <w:p w14:paraId="6142D3A6" w14:textId="77777777" w:rsidR="00157AAA" w:rsidRDefault="00157AAA">
            <w:pPr>
              <w:pStyle w:val="Head12a"/>
              <w:spacing w:before="120"/>
              <w:rPr>
                <w:szCs w:val="24"/>
              </w:rPr>
            </w:pPr>
          </w:p>
        </w:tc>
        <w:tc>
          <w:tcPr>
            <w:tcW w:w="7290" w:type="dxa"/>
          </w:tcPr>
          <w:p w14:paraId="5BBE8329"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Authorization:</w:t>
            </w:r>
            <w:r>
              <w:rPr>
                <w:szCs w:val="24"/>
              </w:rPr>
              <w:t xml:space="preserve"> written confirmation authorizing the signatory of the Bid to commit the Bidder, in accordance with ITB 21.3;</w:t>
            </w:r>
          </w:p>
        </w:tc>
      </w:tr>
      <w:tr w:rsidR="00157AAA" w14:paraId="1035726F" w14:textId="77777777">
        <w:trPr>
          <w:trHeight w:val="576"/>
        </w:trPr>
        <w:tc>
          <w:tcPr>
            <w:tcW w:w="2175" w:type="dxa"/>
          </w:tcPr>
          <w:p w14:paraId="3081EE49" w14:textId="77777777" w:rsidR="00157AAA" w:rsidRDefault="00157AAA">
            <w:pPr>
              <w:pStyle w:val="Head12a"/>
              <w:spacing w:before="120"/>
              <w:rPr>
                <w:szCs w:val="24"/>
              </w:rPr>
            </w:pPr>
          </w:p>
        </w:tc>
        <w:tc>
          <w:tcPr>
            <w:tcW w:w="7290" w:type="dxa"/>
          </w:tcPr>
          <w:p w14:paraId="039F4562"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 xml:space="preserve">Eligibility of Information System: </w:t>
            </w:r>
            <w:r>
              <w:rPr>
                <w:szCs w:val="24"/>
              </w:rPr>
              <w:t>documentary evidence established in accordance with ITB 14.1 that the Information System offered by the Bidder in its Bid or in any alternative Bid, if permitted, are eligible;</w:t>
            </w:r>
          </w:p>
        </w:tc>
      </w:tr>
      <w:tr w:rsidR="00157AAA" w14:paraId="3DD53B9B" w14:textId="77777777">
        <w:trPr>
          <w:trHeight w:val="576"/>
        </w:trPr>
        <w:tc>
          <w:tcPr>
            <w:tcW w:w="2175" w:type="dxa"/>
          </w:tcPr>
          <w:p w14:paraId="6D73B7C8" w14:textId="77777777" w:rsidR="00157AAA" w:rsidRDefault="00157AAA">
            <w:pPr>
              <w:pStyle w:val="Head12a"/>
              <w:spacing w:before="120"/>
              <w:rPr>
                <w:szCs w:val="24"/>
              </w:rPr>
            </w:pPr>
          </w:p>
        </w:tc>
        <w:tc>
          <w:tcPr>
            <w:tcW w:w="7290" w:type="dxa"/>
          </w:tcPr>
          <w:p w14:paraId="0B5E5AFC"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Bidder’s Eligibility:</w:t>
            </w:r>
            <w:r>
              <w:rPr>
                <w:szCs w:val="24"/>
              </w:rPr>
              <w:t xml:space="preserve"> documentary evidence in accordance with ITB 15 establishing the Bidder’s eligibility and qualifications to perform the contract if its Bid is accepted;</w:t>
            </w:r>
            <w:r>
              <w:rPr>
                <w:b/>
                <w:szCs w:val="24"/>
              </w:rPr>
              <w:t xml:space="preserve"> </w:t>
            </w:r>
          </w:p>
        </w:tc>
      </w:tr>
      <w:tr w:rsidR="00157AAA" w14:paraId="5D436B00" w14:textId="77777777">
        <w:trPr>
          <w:trHeight w:val="576"/>
        </w:trPr>
        <w:tc>
          <w:tcPr>
            <w:tcW w:w="2175" w:type="dxa"/>
          </w:tcPr>
          <w:p w14:paraId="385C7CC8" w14:textId="77777777" w:rsidR="00157AAA" w:rsidRDefault="00157AAA">
            <w:pPr>
              <w:pStyle w:val="Head12a"/>
              <w:spacing w:before="120"/>
              <w:rPr>
                <w:szCs w:val="24"/>
              </w:rPr>
            </w:pPr>
          </w:p>
        </w:tc>
        <w:tc>
          <w:tcPr>
            <w:tcW w:w="7290" w:type="dxa"/>
          </w:tcPr>
          <w:p w14:paraId="4F2BC578" w14:textId="77777777" w:rsidR="00157AAA" w:rsidRDefault="006C1BE5" w:rsidP="00D530D5">
            <w:pPr>
              <w:pStyle w:val="ListParagraph"/>
              <w:numPr>
                <w:ilvl w:val="0"/>
                <w:numId w:val="18"/>
              </w:numPr>
              <w:spacing w:before="120"/>
              <w:ind w:left="1062" w:right="-72" w:hanging="450"/>
              <w:contextualSpacing w:val="0"/>
              <w:rPr>
                <w:szCs w:val="24"/>
              </w:rPr>
            </w:pPr>
            <w:r>
              <w:rPr>
                <w:b/>
                <w:szCs w:val="24"/>
              </w:rPr>
              <w:t xml:space="preserve">Conformity: </w:t>
            </w:r>
            <w:r>
              <w:rPr>
                <w:szCs w:val="24"/>
              </w:rPr>
              <w:t>documentary evidence established in accordance with ITB 16 that the Information System offered by the Bidder conform to the bidding document;</w:t>
            </w:r>
          </w:p>
        </w:tc>
      </w:tr>
      <w:tr w:rsidR="00157AAA" w14:paraId="3B31104A" w14:textId="77777777">
        <w:trPr>
          <w:trHeight w:val="576"/>
        </w:trPr>
        <w:tc>
          <w:tcPr>
            <w:tcW w:w="2175" w:type="dxa"/>
          </w:tcPr>
          <w:p w14:paraId="7E6CDA1B" w14:textId="77777777" w:rsidR="00157AAA" w:rsidRDefault="00157AAA">
            <w:pPr>
              <w:pStyle w:val="Head12a"/>
              <w:spacing w:before="120"/>
              <w:rPr>
                <w:szCs w:val="24"/>
              </w:rPr>
            </w:pPr>
          </w:p>
        </w:tc>
        <w:tc>
          <w:tcPr>
            <w:tcW w:w="7290" w:type="dxa"/>
          </w:tcPr>
          <w:p w14:paraId="30F8285C" w14:textId="77777777" w:rsidR="00157AAA" w:rsidRDefault="006C1BE5" w:rsidP="00D530D5">
            <w:pPr>
              <w:pStyle w:val="ListParagraph"/>
              <w:numPr>
                <w:ilvl w:val="0"/>
                <w:numId w:val="18"/>
              </w:numPr>
              <w:spacing w:before="120"/>
              <w:ind w:left="1062" w:right="-72" w:hanging="450"/>
              <w:contextualSpacing w:val="0"/>
              <w:rPr>
                <w:b/>
                <w:szCs w:val="24"/>
              </w:rPr>
            </w:pPr>
            <w:r>
              <w:rPr>
                <w:b/>
                <w:szCs w:val="24"/>
              </w:rPr>
              <w:t>Subcontractors:</w:t>
            </w:r>
            <w:r>
              <w:rPr>
                <w:szCs w:val="24"/>
              </w:rPr>
              <w:t xml:space="preserve"> list of subcontractors, in accordance with ITB 16.4;</w:t>
            </w:r>
          </w:p>
        </w:tc>
      </w:tr>
      <w:tr w:rsidR="00157AAA" w14:paraId="2FC73A96" w14:textId="77777777">
        <w:trPr>
          <w:trHeight w:val="576"/>
        </w:trPr>
        <w:tc>
          <w:tcPr>
            <w:tcW w:w="2175" w:type="dxa"/>
          </w:tcPr>
          <w:p w14:paraId="644AA991" w14:textId="77777777" w:rsidR="00157AAA" w:rsidRDefault="00157AAA">
            <w:pPr>
              <w:pStyle w:val="Head12a"/>
              <w:spacing w:before="120"/>
              <w:rPr>
                <w:szCs w:val="24"/>
              </w:rPr>
            </w:pPr>
          </w:p>
        </w:tc>
        <w:tc>
          <w:tcPr>
            <w:tcW w:w="7290" w:type="dxa"/>
          </w:tcPr>
          <w:p w14:paraId="1F5812D8" w14:textId="77777777" w:rsidR="00157AAA" w:rsidRDefault="006C1BE5" w:rsidP="00D530D5">
            <w:pPr>
              <w:pStyle w:val="ListParagraph"/>
              <w:numPr>
                <w:ilvl w:val="0"/>
                <w:numId w:val="18"/>
              </w:numPr>
              <w:spacing w:before="120"/>
              <w:ind w:left="1062" w:right="-72" w:hanging="450"/>
              <w:contextualSpacing w:val="0"/>
              <w:rPr>
                <w:b/>
                <w:szCs w:val="24"/>
              </w:rPr>
            </w:pPr>
            <w:r>
              <w:rPr>
                <w:b/>
                <w:szCs w:val="24"/>
              </w:rPr>
              <w:t>Intellectual Property</w:t>
            </w:r>
            <w:r>
              <w:rPr>
                <w:szCs w:val="24"/>
              </w:rPr>
              <w:t xml:space="preserve">: a list of:  Intellectual Property as defined in GCC Clause </w:t>
            </w:r>
            <w:proofErr w:type="gramStart"/>
            <w:r>
              <w:rPr>
                <w:szCs w:val="24"/>
              </w:rPr>
              <w:t>15;</w:t>
            </w:r>
            <w:proofErr w:type="gramEnd"/>
          </w:p>
          <w:p w14:paraId="10D7A2EB" w14:textId="77777777" w:rsidR="00157AAA" w:rsidRDefault="006C1BE5" w:rsidP="00D530D5">
            <w:pPr>
              <w:pStyle w:val="ListParagraph"/>
              <w:numPr>
                <w:ilvl w:val="0"/>
                <w:numId w:val="42"/>
              </w:numPr>
              <w:spacing w:before="120"/>
              <w:ind w:left="1422" w:right="-72"/>
              <w:contextualSpacing w:val="0"/>
              <w:rPr>
                <w:b/>
                <w:szCs w:val="24"/>
              </w:rPr>
            </w:pPr>
            <w:r>
              <w:rPr>
                <w:szCs w:val="24"/>
              </w:rPr>
              <w:t>all Software included in the Bid, assigning each item to one of the software categories defined in GCC Clause 1.1 (c):</w:t>
            </w:r>
          </w:p>
          <w:p w14:paraId="3B91B88F" w14:textId="77777777" w:rsidR="00157AAA" w:rsidRDefault="006C1BE5" w:rsidP="00D530D5">
            <w:pPr>
              <w:numPr>
                <w:ilvl w:val="1"/>
                <w:numId w:val="42"/>
              </w:numPr>
              <w:spacing w:before="120"/>
              <w:ind w:left="2052"/>
              <w:rPr>
                <w:szCs w:val="24"/>
              </w:rPr>
            </w:pPr>
            <w:r>
              <w:rPr>
                <w:szCs w:val="24"/>
              </w:rPr>
              <w:t>System, General Purpose, and Application Software; or</w:t>
            </w:r>
          </w:p>
          <w:p w14:paraId="60621FB6" w14:textId="77777777" w:rsidR="00157AAA" w:rsidRDefault="006C1BE5" w:rsidP="00D530D5">
            <w:pPr>
              <w:numPr>
                <w:ilvl w:val="1"/>
                <w:numId w:val="42"/>
              </w:numPr>
              <w:spacing w:before="120"/>
              <w:ind w:left="2052"/>
              <w:rPr>
                <w:szCs w:val="24"/>
              </w:rPr>
            </w:pPr>
            <w:r>
              <w:rPr>
                <w:szCs w:val="24"/>
              </w:rPr>
              <w:t xml:space="preserve">Standard and Custom </w:t>
            </w:r>
            <w:proofErr w:type="gramStart"/>
            <w:r>
              <w:rPr>
                <w:szCs w:val="24"/>
              </w:rPr>
              <w:t>Software;</w:t>
            </w:r>
            <w:proofErr w:type="gramEnd"/>
          </w:p>
          <w:p w14:paraId="2F677A2F" w14:textId="77777777" w:rsidR="00157AAA" w:rsidRDefault="006C1BE5" w:rsidP="00D530D5">
            <w:pPr>
              <w:pStyle w:val="ListParagraph"/>
              <w:numPr>
                <w:ilvl w:val="0"/>
                <w:numId w:val="42"/>
              </w:numPr>
              <w:spacing w:before="120"/>
              <w:ind w:left="1422" w:right="-72"/>
              <w:contextualSpacing w:val="0"/>
              <w:rPr>
                <w:b/>
                <w:szCs w:val="24"/>
              </w:rPr>
            </w:pPr>
            <w:r>
              <w:rPr>
                <w:szCs w:val="24"/>
              </w:rPr>
              <w:t>all Custom Materials, as defined in GCC Clause 1.1 (c), included in the Bid;</w:t>
            </w:r>
          </w:p>
        </w:tc>
      </w:tr>
      <w:tr w:rsidR="00157AAA" w14:paraId="7DBC720D" w14:textId="77777777">
        <w:trPr>
          <w:trHeight w:val="2754"/>
        </w:trPr>
        <w:tc>
          <w:tcPr>
            <w:tcW w:w="2175" w:type="dxa"/>
          </w:tcPr>
          <w:p w14:paraId="091F5A59" w14:textId="77777777" w:rsidR="00157AAA" w:rsidRDefault="00157AAA">
            <w:pPr>
              <w:numPr>
                <w:ilvl w:val="12"/>
                <w:numId w:val="0"/>
              </w:numPr>
              <w:spacing w:before="120"/>
              <w:ind w:left="360" w:hanging="360"/>
              <w:jc w:val="left"/>
              <w:rPr>
                <w:szCs w:val="24"/>
              </w:rPr>
            </w:pPr>
          </w:p>
        </w:tc>
        <w:tc>
          <w:tcPr>
            <w:tcW w:w="7290" w:type="dxa"/>
          </w:tcPr>
          <w:p w14:paraId="12D9B13F" w14:textId="77777777" w:rsidR="00157AAA" w:rsidRDefault="006C1BE5">
            <w:pPr>
              <w:spacing w:before="120"/>
              <w:ind w:left="1422"/>
              <w:rPr>
                <w:szCs w:val="24"/>
              </w:rPr>
            </w:pPr>
            <w:r>
              <w:rPr>
                <w:szCs w:val="24"/>
              </w:rPr>
              <w:t>All Materials not identified as Custom Materials shall be deemed Standard Materials, as defined in GCC Clause 1.1 (c</w:t>
            </w:r>
            <w:proofErr w:type="gramStart"/>
            <w:r>
              <w:rPr>
                <w:szCs w:val="24"/>
              </w:rPr>
              <w:t>);</w:t>
            </w:r>
            <w:proofErr w:type="gramEnd"/>
          </w:p>
          <w:p w14:paraId="4471781B" w14:textId="77777777" w:rsidR="00157AAA" w:rsidRDefault="006C1BE5">
            <w:pPr>
              <w:spacing w:before="120"/>
              <w:ind w:left="1422"/>
              <w:rPr>
                <w:szCs w:val="24"/>
              </w:rPr>
            </w:pPr>
            <w:r>
              <w:rPr>
                <w:szCs w:val="24"/>
              </w:rPr>
              <w:t xml:space="preserve">Re-assignments among the Software and Materials categories, if necessary, will be made during the implementation of the Contract according to GCC Clause 39 (Changes to the Information System); and </w:t>
            </w:r>
          </w:p>
          <w:p w14:paraId="501982D1" w14:textId="77777777" w:rsidR="00157AAA" w:rsidRDefault="006C1BE5" w:rsidP="00D530D5">
            <w:pPr>
              <w:pStyle w:val="ListParagraph"/>
              <w:numPr>
                <w:ilvl w:val="0"/>
                <w:numId w:val="18"/>
              </w:numPr>
              <w:spacing w:before="120"/>
              <w:ind w:left="1062" w:right="-72" w:hanging="450"/>
              <w:contextualSpacing w:val="0"/>
              <w:rPr>
                <w:szCs w:val="24"/>
              </w:rPr>
            </w:pPr>
            <w:r>
              <w:rPr>
                <w:szCs w:val="24"/>
              </w:rPr>
              <w:t xml:space="preserve">any other document required </w:t>
            </w:r>
            <w:r>
              <w:rPr>
                <w:b/>
                <w:szCs w:val="24"/>
              </w:rPr>
              <w:t>in the BDS.</w:t>
            </w:r>
          </w:p>
        </w:tc>
      </w:tr>
      <w:tr w:rsidR="00157AAA" w14:paraId="27D1796D" w14:textId="77777777">
        <w:tc>
          <w:tcPr>
            <w:tcW w:w="2175" w:type="dxa"/>
          </w:tcPr>
          <w:p w14:paraId="41704CAA" w14:textId="77777777" w:rsidR="00157AAA" w:rsidRDefault="00157AAA">
            <w:pPr>
              <w:numPr>
                <w:ilvl w:val="12"/>
                <w:numId w:val="0"/>
              </w:numPr>
              <w:spacing w:before="120"/>
              <w:ind w:left="360" w:hanging="360"/>
              <w:jc w:val="left"/>
              <w:rPr>
                <w:szCs w:val="24"/>
              </w:rPr>
            </w:pPr>
          </w:p>
        </w:tc>
        <w:tc>
          <w:tcPr>
            <w:tcW w:w="7290" w:type="dxa"/>
          </w:tcPr>
          <w:p w14:paraId="0C39FDFD" w14:textId="77777777" w:rsidR="00157AAA" w:rsidRDefault="006C1BE5" w:rsidP="00D530D5">
            <w:pPr>
              <w:pStyle w:val="Head12a"/>
              <w:numPr>
                <w:ilvl w:val="1"/>
                <w:numId w:val="59"/>
              </w:numPr>
              <w:spacing w:before="120"/>
              <w:ind w:left="702" w:hanging="720"/>
              <w:jc w:val="both"/>
              <w:rPr>
                <w:b w:val="0"/>
                <w:bCs/>
                <w:szCs w:val="24"/>
              </w:rPr>
            </w:pPr>
            <w:bookmarkStart w:id="120" w:name="_Toc43474866"/>
            <w:r>
              <w:rPr>
                <w:b w:val="0"/>
                <w:bCs/>
                <w:szCs w:val="24"/>
              </w:rPr>
              <w:t xml:space="preserve">In addition to the requirements under ITB 11.1, Bids submitted by a JV shall include a copy of the Joint Venture Agreement </w:t>
            </w:r>
            <w:proofErr w:type="gramStart"/>
            <w:r>
              <w:rPr>
                <w:b w:val="0"/>
                <w:bCs/>
                <w:szCs w:val="24"/>
              </w:rPr>
              <w:t>entered into</w:t>
            </w:r>
            <w:proofErr w:type="gramEnd"/>
            <w:r>
              <w:rPr>
                <w:b w:val="0"/>
                <w:bCs/>
                <w:szCs w:val="24"/>
              </w:rPr>
              <w:t xml:space="preserve"> by all members indicating at least the parts of the Information System to be executed by the respective members. Alternatively, a </w:t>
            </w:r>
            <w:r>
              <w:rPr>
                <w:b w:val="0"/>
                <w:bCs/>
                <w:szCs w:val="24"/>
              </w:rPr>
              <w:lastRenderedPageBreak/>
              <w:t>letter of intent to execute a Joint Venture Agreement in the event of a successful Bid shall be signed by all members and submitted with the Bid, together with a copy of the proposed Agreement indicating at least the parts of the Information System to be executed by the respective members.</w:t>
            </w:r>
            <w:bookmarkEnd w:id="120"/>
            <w:r>
              <w:rPr>
                <w:b w:val="0"/>
                <w:bCs/>
                <w:szCs w:val="24"/>
              </w:rPr>
              <w:t xml:space="preserve"> </w:t>
            </w:r>
          </w:p>
        </w:tc>
      </w:tr>
      <w:tr w:rsidR="00157AAA" w14:paraId="7B490074" w14:textId="77777777">
        <w:tc>
          <w:tcPr>
            <w:tcW w:w="2175" w:type="dxa"/>
          </w:tcPr>
          <w:p w14:paraId="2A2C0C03" w14:textId="77777777" w:rsidR="00157AAA" w:rsidRDefault="00157AAA">
            <w:pPr>
              <w:numPr>
                <w:ilvl w:val="12"/>
                <w:numId w:val="0"/>
              </w:numPr>
              <w:spacing w:before="120"/>
              <w:ind w:left="360" w:hanging="360"/>
              <w:jc w:val="left"/>
              <w:rPr>
                <w:szCs w:val="24"/>
              </w:rPr>
            </w:pPr>
          </w:p>
        </w:tc>
        <w:tc>
          <w:tcPr>
            <w:tcW w:w="7290" w:type="dxa"/>
          </w:tcPr>
          <w:p w14:paraId="76D59884" w14:textId="77777777" w:rsidR="00157AAA" w:rsidRDefault="006C1BE5" w:rsidP="00D530D5">
            <w:pPr>
              <w:pStyle w:val="Head12a"/>
              <w:numPr>
                <w:ilvl w:val="1"/>
                <w:numId w:val="59"/>
              </w:numPr>
              <w:spacing w:before="120"/>
              <w:ind w:left="702" w:hanging="720"/>
              <w:jc w:val="both"/>
              <w:rPr>
                <w:b w:val="0"/>
                <w:bCs/>
                <w:szCs w:val="24"/>
              </w:rPr>
            </w:pPr>
            <w:bookmarkStart w:id="121" w:name="_Toc43474867"/>
            <w:r>
              <w:rPr>
                <w:b w:val="0"/>
                <w:bCs/>
                <w:szCs w:val="24"/>
              </w:rPr>
              <w:t>The Bidder shall furnish in the Letter of Bid information on commissions and gratuities, if any, paid or to be paid to agents or any other party relating to this Bid.</w:t>
            </w:r>
            <w:bookmarkEnd w:id="121"/>
          </w:p>
        </w:tc>
      </w:tr>
      <w:tr w:rsidR="00157AAA" w14:paraId="0B139EED" w14:textId="77777777">
        <w:tc>
          <w:tcPr>
            <w:tcW w:w="2175" w:type="dxa"/>
          </w:tcPr>
          <w:p w14:paraId="3AA34FC3" w14:textId="77777777" w:rsidR="00157AAA" w:rsidRDefault="006C1BE5">
            <w:pPr>
              <w:pStyle w:val="ITBHeading2"/>
              <w:spacing w:before="120" w:after="120"/>
            </w:pPr>
            <w:bookmarkStart w:id="122" w:name="_Toc434304505"/>
            <w:bookmarkStart w:id="123" w:name="_Toc43474998"/>
            <w:bookmarkStart w:id="124" w:name="_Toc43486464"/>
            <w:bookmarkStart w:id="125" w:name="_Toc163505720"/>
            <w:r>
              <w:t xml:space="preserve">Letter of Bid and </w:t>
            </w:r>
            <w:bookmarkEnd w:id="122"/>
            <w:r>
              <w:t>Price Schedules</w:t>
            </w:r>
            <w:bookmarkEnd w:id="123"/>
            <w:bookmarkEnd w:id="124"/>
            <w:bookmarkEnd w:id="125"/>
          </w:p>
          <w:p w14:paraId="2637BBCA" w14:textId="77777777" w:rsidR="00157AAA" w:rsidRDefault="00157AAA">
            <w:pPr>
              <w:pStyle w:val="Head12a"/>
              <w:spacing w:before="120"/>
              <w:rPr>
                <w:szCs w:val="24"/>
              </w:rPr>
            </w:pPr>
          </w:p>
        </w:tc>
        <w:tc>
          <w:tcPr>
            <w:tcW w:w="7290" w:type="dxa"/>
          </w:tcPr>
          <w:p w14:paraId="432C06F4" w14:textId="77777777" w:rsidR="00157AAA" w:rsidRDefault="006C1BE5" w:rsidP="00D530D5">
            <w:pPr>
              <w:pStyle w:val="Head12a"/>
              <w:numPr>
                <w:ilvl w:val="1"/>
                <w:numId w:val="59"/>
              </w:numPr>
              <w:spacing w:before="120"/>
              <w:ind w:left="702" w:hanging="720"/>
              <w:jc w:val="both"/>
              <w:rPr>
                <w:b w:val="0"/>
                <w:bCs/>
                <w:szCs w:val="24"/>
              </w:rPr>
            </w:pPr>
            <w:bookmarkStart w:id="126" w:name="_Toc43474868"/>
            <w:r>
              <w:rPr>
                <w:b w:val="0"/>
                <w:bCs/>
                <w:szCs w:val="24"/>
              </w:rPr>
              <w:t>The Bidder shall complete the Letter of Bid, including the appropriate Price Schedules, using the relevant forms furnished in Section IV, Bidding Forms.  The forms must be completed without any alterations to the text, and no substitutes shall be accepted except as provided under ITB 21.3. All blank spaces shall be filled in with the information requested.</w:t>
            </w:r>
            <w:bookmarkEnd w:id="126"/>
          </w:p>
        </w:tc>
      </w:tr>
      <w:tr w:rsidR="00157AAA" w14:paraId="765DBBE1" w14:textId="77777777">
        <w:tc>
          <w:tcPr>
            <w:tcW w:w="2175" w:type="dxa"/>
          </w:tcPr>
          <w:p w14:paraId="0AC4AD3D" w14:textId="77777777" w:rsidR="00157AAA" w:rsidRDefault="006C1BE5">
            <w:pPr>
              <w:pStyle w:val="ITBHeading2"/>
              <w:spacing w:before="120" w:after="120"/>
            </w:pPr>
            <w:bookmarkStart w:id="127" w:name="_Toc434304506"/>
            <w:bookmarkStart w:id="128" w:name="_Toc43474999"/>
            <w:bookmarkStart w:id="129" w:name="_Toc43486465"/>
            <w:bookmarkStart w:id="130" w:name="_Toc163505721"/>
            <w:r>
              <w:t>Alternative Bids</w:t>
            </w:r>
            <w:bookmarkEnd w:id="127"/>
            <w:bookmarkEnd w:id="128"/>
            <w:bookmarkEnd w:id="129"/>
            <w:bookmarkEnd w:id="130"/>
          </w:p>
          <w:p w14:paraId="3636A70C" w14:textId="77777777" w:rsidR="00157AAA" w:rsidRDefault="00157AAA">
            <w:pPr>
              <w:pStyle w:val="Head12a"/>
              <w:spacing w:before="120"/>
              <w:rPr>
                <w:szCs w:val="24"/>
              </w:rPr>
            </w:pPr>
          </w:p>
        </w:tc>
        <w:tc>
          <w:tcPr>
            <w:tcW w:w="7290" w:type="dxa"/>
          </w:tcPr>
          <w:p w14:paraId="69B33F70" w14:textId="77777777" w:rsidR="00157AAA" w:rsidRDefault="006C1BE5" w:rsidP="00D530D5">
            <w:pPr>
              <w:pStyle w:val="Head12a"/>
              <w:numPr>
                <w:ilvl w:val="1"/>
                <w:numId w:val="59"/>
              </w:numPr>
              <w:spacing w:before="120"/>
              <w:ind w:left="702" w:hanging="720"/>
              <w:jc w:val="both"/>
              <w:rPr>
                <w:b w:val="0"/>
                <w:bCs/>
                <w:szCs w:val="24"/>
              </w:rPr>
            </w:pPr>
            <w:bookmarkStart w:id="131" w:name="_Toc43474869"/>
            <w:r>
              <w:rPr>
                <w:b w:val="0"/>
                <w:bCs/>
                <w:szCs w:val="24"/>
              </w:rPr>
              <w:t xml:space="preserve">The BDS indicates whether alternative Bids are allowed. If they are allowed, the BDS will also indicate whether they are permitted in accordance with ITB </w:t>
            </w:r>
            <w:proofErr w:type="gramStart"/>
            <w:r>
              <w:rPr>
                <w:b w:val="0"/>
                <w:bCs/>
                <w:szCs w:val="24"/>
              </w:rPr>
              <w:t>13.3, or</w:t>
            </w:r>
            <w:proofErr w:type="gramEnd"/>
            <w:r>
              <w:rPr>
                <w:b w:val="0"/>
                <w:bCs/>
                <w:szCs w:val="24"/>
              </w:rPr>
              <w:t xml:space="preserve"> invited in accordance with ITB 13.2 and/or ITB 13.4.</w:t>
            </w:r>
            <w:bookmarkEnd w:id="131"/>
          </w:p>
          <w:p w14:paraId="1C95A1DA" w14:textId="77777777" w:rsidR="00157AAA" w:rsidRDefault="006C1BE5" w:rsidP="00D530D5">
            <w:pPr>
              <w:pStyle w:val="Head12a"/>
              <w:numPr>
                <w:ilvl w:val="1"/>
                <w:numId w:val="59"/>
              </w:numPr>
              <w:spacing w:before="120"/>
              <w:ind w:left="702" w:hanging="720"/>
              <w:jc w:val="both"/>
              <w:rPr>
                <w:b w:val="0"/>
                <w:bCs/>
                <w:szCs w:val="24"/>
              </w:rPr>
            </w:pPr>
            <w:bookmarkStart w:id="132" w:name="_Toc43474870"/>
            <w:r>
              <w:rPr>
                <w:b w:val="0"/>
                <w:bCs/>
                <w:szCs w:val="24"/>
              </w:rPr>
              <w:t>When alternatives to the Time Schedule are explicitly invited, a statement to that effect will be included in the BDS, and the method of evaluating different time schedules will be described in Section III, Evaluation and Qualification Criteria.</w:t>
            </w:r>
            <w:bookmarkEnd w:id="132"/>
          </w:p>
          <w:p w14:paraId="336EECD5" w14:textId="77777777" w:rsidR="00157AAA" w:rsidRDefault="006C1BE5" w:rsidP="00D530D5">
            <w:pPr>
              <w:pStyle w:val="Head12a"/>
              <w:numPr>
                <w:ilvl w:val="1"/>
                <w:numId w:val="59"/>
              </w:numPr>
              <w:spacing w:before="120"/>
              <w:ind w:left="702" w:hanging="720"/>
              <w:jc w:val="both"/>
              <w:rPr>
                <w:b w:val="0"/>
                <w:bCs/>
                <w:szCs w:val="24"/>
              </w:rPr>
            </w:pPr>
            <w:bookmarkStart w:id="133" w:name="_Toc43474871"/>
            <w:r>
              <w:rPr>
                <w:b w:val="0"/>
                <w:bCs/>
                <w:szCs w:val="24"/>
              </w:rPr>
              <w:t>Except as provided under ITB 13.4 below, Bidders wishing to offer technical alternatives to the Purchaser’s requirements as described in the bidding document must also provide: (</w:t>
            </w:r>
            <w:proofErr w:type="spellStart"/>
            <w:r>
              <w:rPr>
                <w:b w:val="0"/>
                <w:bCs/>
                <w:szCs w:val="24"/>
              </w:rPr>
              <w:t>i</w:t>
            </w:r>
            <w:proofErr w:type="spellEnd"/>
            <w:r>
              <w:rPr>
                <w:b w:val="0"/>
                <w:bCs/>
                <w:szCs w:val="24"/>
              </w:rPr>
              <w:t>) a price at which they are prepared to offer an Information System meeting the Purchaser’s requirements; and (ii) all information necessary for a complete evaluation of the alternatives by the Purchaser, including drawings, design calculations, technical specifications, breakdown of prices, and proposed installation methodology and other relevant details.  Only the technical alternatives, if any, of the Bidder with the Most Advantageous Bid conforming to the basic technical requirements shall be considered by the Purchaser.</w:t>
            </w:r>
            <w:bookmarkEnd w:id="133"/>
          </w:p>
          <w:p w14:paraId="4180698A" w14:textId="77777777" w:rsidR="00157AAA" w:rsidRDefault="006C1BE5" w:rsidP="00D530D5">
            <w:pPr>
              <w:pStyle w:val="Head12a"/>
              <w:numPr>
                <w:ilvl w:val="1"/>
                <w:numId w:val="59"/>
              </w:numPr>
              <w:spacing w:before="120"/>
              <w:ind w:left="702" w:hanging="720"/>
              <w:jc w:val="both"/>
              <w:rPr>
                <w:b w:val="0"/>
                <w:bCs/>
                <w:szCs w:val="24"/>
              </w:rPr>
            </w:pPr>
            <w:bookmarkStart w:id="134" w:name="_Toc43474872"/>
            <w:r>
              <w:rPr>
                <w:b w:val="0"/>
                <w:bCs/>
                <w:szCs w:val="24"/>
              </w:rPr>
              <w:t xml:space="preserve">When Bidders are invited </w:t>
            </w:r>
            <w:proofErr w:type="gramStart"/>
            <w:r>
              <w:rPr>
                <w:b w:val="0"/>
                <w:bCs/>
                <w:szCs w:val="24"/>
              </w:rPr>
              <w:t>in</w:t>
            </w:r>
            <w:proofErr w:type="gramEnd"/>
            <w:r>
              <w:rPr>
                <w:b w:val="0"/>
                <w:bCs/>
                <w:szCs w:val="24"/>
              </w:rPr>
              <w:t xml:space="preserve"> the BDS to submit alternative technical solutions for specified parts of the system, such parts shall be described in Section VII, Purchaser’s Requirements.  Technical alternatives that comply with the performance and technical criteria specified for the Information System shall be considered by the Purchaser on their own merits, pursuant to ITB 35.</w:t>
            </w:r>
            <w:bookmarkEnd w:id="134"/>
          </w:p>
        </w:tc>
      </w:tr>
      <w:tr w:rsidR="00157AAA" w14:paraId="22B45CB0" w14:textId="77777777">
        <w:tc>
          <w:tcPr>
            <w:tcW w:w="2175" w:type="dxa"/>
          </w:tcPr>
          <w:p w14:paraId="04FDA466" w14:textId="77777777" w:rsidR="00157AAA" w:rsidRDefault="006C1BE5">
            <w:pPr>
              <w:pStyle w:val="ITBHeading2"/>
              <w:spacing w:before="120" w:after="120"/>
            </w:pPr>
            <w:bookmarkStart w:id="135" w:name="_Toc125783002"/>
            <w:bookmarkStart w:id="136" w:name="_Toc434304507"/>
            <w:bookmarkStart w:id="137" w:name="_Toc43475000"/>
            <w:bookmarkStart w:id="138" w:name="_Toc43486466"/>
            <w:bookmarkStart w:id="139" w:name="_Toc163505722"/>
            <w:r>
              <w:lastRenderedPageBreak/>
              <w:t xml:space="preserve">Documents Establishing the Eligibility of the </w:t>
            </w:r>
            <w:bookmarkEnd w:id="135"/>
            <w:r>
              <w:t>Information System</w:t>
            </w:r>
            <w:bookmarkEnd w:id="136"/>
            <w:bookmarkEnd w:id="137"/>
            <w:bookmarkEnd w:id="138"/>
            <w:bookmarkEnd w:id="139"/>
          </w:p>
        </w:tc>
        <w:tc>
          <w:tcPr>
            <w:tcW w:w="7290" w:type="dxa"/>
          </w:tcPr>
          <w:p w14:paraId="119881B3" w14:textId="77777777" w:rsidR="00157AAA" w:rsidRDefault="006C1BE5" w:rsidP="00D530D5">
            <w:pPr>
              <w:pStyle w:val="Head12a"/>
              <w:numPr>
                <w:ilvl w:val="1"/>
                <w:numId w:val="59"/>
              </w:numPr>
              <w:spacing w:before="120"/>
              <w:ind w:left="702" w:hanging="720"/>
              <w:jc w:val="both"/>
              <w:rPr>
                <w:szCs w:val="24"/>
              </w:rPr>
            </w:pPr>
            <w:bookmarkStart w:id="140" w:name="_Toc43474873"/>
            <w:r>
              <w:rPr>
                <w:b w:val="0"/>
                <w:bCs/>
                <w:szCs w:val="24"/>
              </w:rPr>
              <w:t xml:space="preserve">To establish the eligibility of the Information System in accordance with ITB 5, Bidders shall complete the </w:t>
            </w:r>
            <w:proofErr w:type="gramStart"/>
            <w:r>
              <w:rPr>
                <w:b w:val="0"/>
                <w:bCs/>
                <w:szCs w:val="24"/>
              </w:rPr>
              <w:t>country of origin</w:t>
            </w:r>
            <w:proofErr w:type="gramEnd"/>
            <w:r>
              <w:rPr>
                <w:b w:val="0"/>
                <w:bCs/>
                <w:szCs w:val="24"/>
              </w:rPr>
              <w:t xml:space="preserve"> declarations in the Price Schedule Forms, included in Section IV, Bidding Forms.</w:t>
            </w:r>
            <w:bookmarkEnd w:id="140"/>
          </w:p>
        </w:tc>
      </w:tr>
      <w:tr w:rsidR="00157AAA" w14:paraId="771BA32D" w14:textId="77777777">
        <w:tc>
          <w:tcPr>
            <w:tcW w:w="2175" w:type="dxa"/>
          </w:tcPr>
          <w:p w14:paraId="7C54894D" w14:textId="77777777" w:rsidR="00157AAA" w:rsidRDefault="006C1BE5">
            <w:pPr>
              <w:pStyle w:val="ITBHeading2"/>
              <w:spacing w:before="120" w:after="120"/>
            </w:pPr>
            <w:bookmarkStart w:id="141" w:name="_Toc125783003"/>
            <w:bookmarkStart w:id="142" w:name="_Toc434304508"/>
            <w:bookmarkStart w:id="143" w:name="_Toc43475001"/>
            <w:bookmarkStart w:id="144" w:name="_Toc43486467"/>
            <w:bookmarkStart w:id="145" w:name="_Toc163505723"/>
            <w:r>
              <w:t>Documents Establishing the Eligibility and Qualifications of the Bidder</w:t>
            </w:r>
            <w:bookmarkEnd w:id="141"/>
            <w:bookmarkEnd w:id="142"/>
            <w:bookmarkEnd w:id="143"/>
            <w:bookmarkEnd w:id="144"/>
            <w:bookmarkEnd w:id="145"/>
          </w:p>
        </w:tc>
        <w:tc>
          <w:tcPr>
            <w:tcW w:w="7290" w:type="dxa"/>
          </w:tcPr>
          <w:p w14:paraId="5224461C" w14:textId="77777777" w:rsidR="00157AAA" w:rsidRDefault="006C1BE5" w:rsidP="00D530D5">
            <w:pPr>
              <w:pStyle w:val="Head12a"/>
              <w:numPr>
                <w:ilvl w:val="1"/>
                <w:numId w:val="59"/>
              </w:numPr>
              <w:spacing w:before="120"/>
              <w:ind w:left="702" w:hanging="720"/>
              <w:jc w:val="both"/>
              <w:rPr>
                <w:b w:val="0"/>
                <w:bCs/>
                <w:szCs w:val="24"/>
              </w:rPr>
            </w:pPr>
            <w:bookmarkStart w:id="146" w:name="_Toc43474874"/>
            <w:r>
              <w:rPr>
                <w:b w:val="0"/>
                <w:bCs/>
                <w:szCs w:val="24"/>
              </w:rPr>
              <w:t>To establish its eligibility and qualifications to perform the Contract in accordance with Section III, Evaluation and Qualification Criteria, the Bidder shall provide the information requested in the corresponding information sheets included in Section IV, Bidding Forms.</w:t>
            </w:r>
            <w:bookmarkEnd w:id="146"/>
          </w:p>
          <w:p w14:paraId="54A272D1" w14:textId="77777777" w:rsidR="00157AAA" w:rsidRDefault="006C1BE5" w:rsidP="00D530D5">
            <w:pPr>
              <w:pStyle w:val="Head12a"/>
              <w:numPr>
                <w:ilvl w:val="1"/>
                <w:numId w:val="59"/>
              </w:numPr>
              <w:spacing w:before="120"/>
              <w:ind w:left="702" w:hanging="720"/>
              <w:jc w:val="both"/>
              <w:rPr>
                <w:szCs w:val="24"/>
              </w:rPr>
            </w:pPr>
            <w:bookmarkStart w:id="147" w:name="_Toc43474875"/>
            <w:proofErr w:type="gramStart"/>
            <w:r>
              <w:rPr>
                <w:b w:val="0"/>
                <w:bCs/>
                <w:szCs w:val="24"/>
              </w:rPr>
              <w:t>In the event that</w:t>
            </w:r>
            <w:proofErr w:type="gramEnd"/>
            <w:r>
              <w:rPr>
                <w:b w:val="0"/>
                <w:bCs/>
                <w:szCs w:val="24"/>
              </w:rPr>
              <w:t xml:space="preserve"> prequalification of potential Bidders has been undertaken as stated in the BDS, only Bids from prequalified Bidders shall be considered for award of Contract. These qualified Bidders should submit with their Bids any information updating their original prequalification applications or, alternatively, confirm in their Bids that the originally submitted prequalification information remains essentially correct as of the date of Bid submission.</w:t>
            </w:r>
            <w:bookmarkEnd w:id="147"/>
            <w:r>
              <w:rPr>
                <w:szCs w:val="24"/>
              </w:rPr>
              <w:t xml:space="preserve"> </w:t>
            </w:r>
          </w:p>
        </w:tc>
      </w:tr>
      <w:tr w:rsidR="00157AAA" w14:paraId="7B4308C7" w14:textId="77777777">
        <w:tc>
          <w:tcPr>
            <w:tcW w:w="2175" w:type="dxa"/>
          </w:tcPr>
          <w:p w14:paraId="7A4FDAB9" w14:textId="77777777" w:rsidR="00157AAA" w:rsidRDefault="006C1BE5">
            <w:pPr>
              <w:pStyle w:val="ITBHeading2"/>
              <w:spacing w:before="120" w:after="120"/>
            </w:pPr>
            <w:bookmarkStart w:id="148" w:name="_Toc125783004"/>
            <w:bookmarkStart w:id="149" w:name="_Toc434304509"/>
            <w:bookmarkStart w:id="150" w:name="_Toc43475002"/>
            <w:bookmarkStart w:id="151" w:name="_Toc43486468"/>
            <w:bookmarkStart w:id="152" w:name="_Toc163505724"/>
            <w:r>
              <w:t xml:space="preserve">Documents Establishing Conformity of the </w:t>
            </w:r>
            <w:bookmarkEnd w:id="148"/>
            <w:r>
              <w:t>Information System</w:t>
            </w:r>
            <w:bookmarkEnd w:id="149"/>
            <w:bookmarkEnd w:id="150"/>
            <w:bookmarkEnd w:id="151"/>
            <w:bookmarkEnd w:id="152"/>
          </w:p>
        </w:tc>
        <w:tc>
          <w:tcPr>
            <w:tcW w:w="7290" w:type="dxa"/>
          </w:tcPr>
          <w:p w14:paraId="6486E244" w14:textId="77777777" w:rsidR="00157AAA" w:rsidRDefault="006C1BE5" w:rsidP="00D530D5">
            <w:pPr>
              <w:pStyle w:val="Head12a"/>
              <w:numPr>
                <w:ilvl w:val="1"/>
                <w:numId w:val="59"/>
              </w:numPr>
              <w:spacing w:before="120"/>
              <w:ind w:left="702" w:hanging="720"/>
              <w:jc w:val="both"/>
              <w:rPr>
                <w:b w:val="0"/>
                <w:bCs/>
                <w:szCs w:val="24"/>
              </w:rPr>
            </w:pPr>
            <w:bookmarkStart w:id="153" w:name="_Toc43474876"/>
            <w:r>
              <w:rPr>
                <w:b w:val="0"/>
                <w:bCs/>
                <w:szCs w:val="24"/>
              </w:rPr>
              <w:t xml:space="preserve">Pursuant to ITB 11.1 (h), the Bidder shall furnish, as part of its Bid, documents establishing the conformity to the bidding documents of the Information System that the Bidder proposes to design, </w:t>
            </w:r>
            <w:proofErr w:type="gramStart"/>
            <w:r>
              <w:rPr>
                <w:b w:val="0"/>
                <w:bCs/>
                <w:szCs w:val="24"/>
              </w:rPr>
              <w:t>supply</w:t>
            </w:r>
            <w:proofErr w:type="gramEnd"/>
            <w:r>
              <w:rPr>
                <w:b w:val="0"/>
                <w:bCs/>
                <w:szCs w:val="24"/>
              </w:rPr>
              <w:t xml:space="preserve"> and install under the Contract.</w:t>
            </w:r>
            <w:bookmarkEnd w:id="153"/>
          </w:p>
          <w:p w14:paraId="25A33CAC" w14:textId="77777777" w:rsidR="00157AAA" w:rsidRDefault="006C1BE5" w:rsidP="00D530D5">
            <w:pPr>
              <w:pStyle w:val="Head12a"/>
              <w:numPr>
                <w:ilvl w:val="1"/>
                <w:numId w:val="59"/>
              </w:numPr>
              <w:spacing w:before="120"/>
              <w:ind w:left="702" w:hanging="720"/>
              <w:jc w:val="both"/>
              <w:rPr>
                <w:b w:val="0"/>
                <w:bCs/>
                <w:szCs w:val="24"/>
              </w:rPr>
            </w:pPr>
            <w:bookmarkStart w:id="154" w:name="_Toc43474877"/>
            <w:r>
              <w:rPr>
                <w:b w:val="0"/>
                <w:bCs/>
                <w:szCs w:val="24"/>
              </w:rPr>
              <w:t>The documentary evidence of conformity of the Information System to the bidding documents including:</w:t>
            </w:r>
            <w:bookmarkEnd w:id="154"/>
          </w:p>
          <w:p w14:paraId="025B5087" w14:textId="77777777" w:rsidR="00157AAA" w:rsidRDefault="006C1BE5" w:rsidP="00D530D5">
            <w:pPr>
              <w:pStyle w:val="ListParagraph"/>
              <w:numPr>
                <w:ilvl w:val="1"/>
                <w:numId w:val="19"/>
              </w:numPr>
              <w:spacing w:before="120"/>
              <w:ind w:left="1242" w:hanging="650"/>
              <w:contextualSpacing w:val="0"/>
              <w:rPr>
                <w:bCs/>
                <w:szCs w:val="24"/>
              </w:rPr>
            </w:pPr>
            <w:r>
              <w:rPr>
                <w:bCs/>
                <w:szCs w:val="24"/>
              </w:rPr>
              <w:t xml:space="preserve">Preliminary Project Plan describing, among other things, the methods by which the Bidder will carry out its overall management and coordination responsibilities if awarded the Contract, and the human and other resources the Bidder proposes to use. The Preliminary Project Plan must also address any other topics specified in the BDS.  In addition, the Preliminary Project Plan should state the Bidder’s assessment of what it expects the Purchaser and any other party involved in the implementation of the Information System to provide during implementation and how the Bidder proposes to coordinate the activities of all involved </w:t>
            </w:r>
            <w:proofErr w:type="gramStart"/>
            <w:r>
              <w:rPr>
                <w:bCs/>
                <w:szCs w:val="24"/>
              </w:rPr>
              <w:t>parties;</w:t>
            </w:r>
            <w:proofErr w:type="gramEnd"/>
          </w:p>
          <w:p w14:paraId="042D0DCF" w14:textId="77777777" w:rsidR="00157AAA" w:rsidRDefault="006C1BE5" w:rsidP="00D530D5">
            <w:pPr>
              <w:pStyle w:val="ListParagraph"/>
              <w:numPr>
                <w:ilvl w:val="1"/>
                <w:numId w:val="19"/>
              </w:numPr>
              <w:spacing w:before="120"/>
              <w:ind w:left="1242" w:hanging="650"/>
              <w:contextualSpacing w:val="0"/>
              <w:rPr>
                <w:bCs/>
                <w:szCs w:val="24"/>
              </w:rPr>
            </w:pPr>
            <w:r>
              <w:rPr>
                <w:bCs/>
                <w:szCs w:val="24"/>
              </w:rPr>
              <w:t xml:space="preserve">written confirmation that the Bidder accepts responsibility for the successful integration and inter-operability of all components of the Information System as required by the bidding </w:t>
            </w:r>
            <w:proofErr w:type="gramStart"/>
            <w:r>
              <w:rPr>
                <w:bCs/>
                <w:szCs w:val="24"/>
              </w:rPr>
              <w:t>documents;</w:t>
            </w:r>
            <w:proofErr w:type="gramEnd"/>
          </w:p>
          <w:p w14:paraId="4F776B9C" w14:textId="77777777" w:rsidR="00157AAA" w:rsidRDefault="006C1BE5" w:rsidP="00D530D5">
            <w:pPr>
              <w:pStyle w:val="ListParagraph"/>
              <w:numPr>
                <w:ilvl w:val="1"/>
                <w:numId w:val="19"/>
              </w:numPr>
              <w:spacing w:before="120"/>
              <w:ind w:left="1242" w:hanging="650"/>
              <w:contextualSpacing w:val="0"/>
              <w:rPr>
                <w:bCs/>
                <w:szCs w:val="24"/>
              </w:rPr>
            </w:pPr>
            <w:r>
              <w:rPr>
                <w:bCs/>
                <w:szCs w:val="24"/>
              </w:rPr>
              <w:t xml:space="preserve">an item-by-item commentary on the Purchaser’s Technical Requirements, demonstrating the substantial responsiveness </w:t>
            </w:r>
            <w:r>
              <w:rPr>
                <w:bCs/>
                <w:szCs w:val="24"/>
              </w:rPr>
              <w:lastRenderedPageBreak/>
              <w:t xml:space="preserve">of the Information System offered to those requirements. In demonstrating responsiveness, the Bidder should use the Technical Responsiveness Checklist (or Checklist Format) in the Sample Bidding Forms (Section IV).  The commentary shall include explicit cross-references to the relevant pages in the supporting materials included in the bid.  Whenever a discrepancy arises between the item-by-item commentary and any catalogs, technical specifications, or other preprinted materials submitted with the bid, the item-by-item commentary shall </w:t>
            </w:r>
            <w:proofErr w:type="gramStart"/>
            <w:r>
              <w:rPr>
                <w:bCs/>
                <w:szCs w:val="24"/>
              </w:rPr>
              <w:t>prevail;</w:t>
            </w:r>
            <w:proofErr w:type="gramEnd"/>
          </w:p>
          <w:p w14:paraId="33680CFD" w14:textId="77777777" w:rsidR="00157AAA" w:rsidRDefault="006C1BE5" w:rsidP="00D530D5">
            <w:pPr>
              <w:pStyle w:val="ListParagraph"/>
              <w:numPr>
                <w:ilvl w:val="1"/>
                <w:numId w:val="19"/>
              </w:numPr>
              <w:spacing w:before="120"/>
              <w:ind w:left="1242" w:hanging="650"/>
              <w:contextualSpacing w:val="0"/>
              <w:rPr>
                <w:bCs/>
                <w:szCs w:val="24"/>
              </w:rPr>
            </w:pPr>
            <w:r>
              <w:rPr>
                <w:bCs/>
                <w:szCs w:val="24"/>
              </w:rPr>
              <w:t>support material (e.g., product literature, white papers, narrative descriptions of technologies and/or technical approaches), as required and appropriate; and</w:t>
            </w:r>
          </w:p>
          <w:p w14:paraId="39C721D9" w14:textId="77777777" w:rsidR="00157AAA" w:rsidRDefault="006C1BE5" w:rsidP="00D530D5">
            <w:pPr>
              <w:pStyle w:val="ListParagraph"/>
              <w:numPr>
                <w:ilvl w:val="1"/>
                <w:numId w:val="19"/>
              </w:numPr>
              <w:spacing w:before="120"/>
              <w:ind w:left="1242" w:hanging="650"/>
              <w:contextualSpacing w:val="0"/>
              <w:rPr>
                <w:bCs/>
                <w:szCs w:val="24"/>
              </w:rPr>
            </w:pPr>
            <w:r>
              <w:rPr>
                <w:bCs/>
                <w:szCs w:val="24"/>
              </w:rPr>
              <w:t>any separate and enforceable contract(s) for Recurrent Cost items which the BDS ITB 17.2 requires Bidders to bid.</w:t>
            </w:r>
          </w:p>
          <w:p w14:paraId="276A56CD" w14:textId="77777777" w:rsidR="00157AAA" w:rsidRDefault="006C1BE5" w:rsidP="00D530D5">
            <w:pPr>
              <w:pStyle w:val="Head12a"/>
              <w:numPr>
                <w:ilvl w:val="1"/>
                <w:numId w:val="59"/>
              </w:numPr>
              <w:spacing w:before="120"/>
              <w:ind w:left="702" w:hanging="720"/>
              <w:jc w:val="both"/>
              <w:rPr>
                <w:b w:val="0"/>
                <w:bCs/>
                <w:szCs w:val="24"/>
              </w:rPr>
            </w:pPr>
            <w:bookmarkStart w:id="155" w:name="_Toc43474878"/>
            <w:r>
              <w:rPr>
                <w:b w:val="0"/>
                <w:bCs/>
                <w:szCs w:val="24"/>
              </w:rPr>
              <w:t xml:space="preserve">References to brand names or model numbers or national or proprietary standards designated by the Purchaser in the bidding documents are intended to be descriptive and not restrictive. Except as specified in the BDS for specific items or standards, the Bidder may substitute alternative brand/model names or standards in its bid, </w:t>
            </w:r>
            <w:proofErr w:type="gramStart"/>
            <w:r>
              <w:rPr>
                <w:b w:val="0"/>
                <w:bCs/>
                <w:szCs w:val="24"/>
              </w:rPr>
              <w:t>provided that</w:t>
            </w:r>
            <w:proofErr w:type="gramEnd"/>
            <w:r>
              <w:rPr>
                <w:b w:val="0"/>
                <w:bCs/>
                <w:szCs w:val="24"/>
              </w:rPr>
              <w:t xml:space="preserve"> it demonstrates to the Purchaser’s satisfaction that the use of the substitute(s) will result in the Information System being able to perform substantially equivalent to or better than that specified in the Technical Requirements.</w:t>
            </w:r>
            <w:bookmarkEnd w:id="155"/>
          </w:p>
          <w:p w14:paraId="3590CF90" w14:textId="77777777" w:rsidR="00157AAA" w:rsidRDefault="006C1BE5" w:rsidP="00D530D5">
            <w:pPr>
              <w:pStyle w:val="Head12a"/>
              <w:numPr>
                <w:ilvl w:val="1"/>
                <w:numId w:val="59"/>
              </w:numPr>
              <w:spacing w:before="120"/>
              <w:ind w:left="702" w:hanging="720"/>
              <w:jc w:val="both"/>
              <w:rPr>
                <w:b w:val="0"/>
                <w:bCs/>
                <w:szCs w:val="24"/>
              </w:rPr>
            </w:pPr>
            <w:bookmarkStart w:id="156" w:name="_Toc43474879"/>
            <w:r>
              <w:rPr>
                <w:b w:val="0"/>
                <w:bCs/>
                <w:szCs w:val="24"/>
              </w:rPr>
              <w:t>For major items of the Information System as listed by the Purchaser in Section III, Evaluation and Qualification Criteria, which the Bidder intends to purchase or subcontract, the Bidder shall give details of the name and nationality of the proposed subcontractors, including manufacturers, for each of those items. In addition, the Bidder shall include in its Bid information establishing compliance with the requirements specified by the Purchaser for these items. Quoted rates and prices will be deemed to apply to whichever subcontractor is appointed, and no adjustment of the rates and prices will be permitted.</w:t>
            </w:r>
            <w:bookmarkEnd w:id="156"/>
          </w:p>
          <w:p w14:paraId="0F77A008" w14:textId="77777777" w:rsidR="00157AAA" w:rsidRDefault="006C1BE5" w:rsidP="00D530D5">
            <w:pPr>
              <w:pStyle w:val="Head12a"/>
              <w:numPr>
                <w:ilvl w:val="1"/>
                <w:numId w:val="59"/>
              </w:numPr>
              <w:spacing w:before="120"/>
              <w:ind w:left="702" w:hanging="720"/>
              <w:jc w:val="both"/>
              <w:rPr>
                <w:b w:val="0"/>
                <w:bCs/>
                <w:szCs w:val="24"/>
              </w:rPr>
            </w:pPr>
            <w:bookmarkStart w:id="157" w:name="_Toc43474880"/>
            <w:r>
              <w:rPr>
                <w:b w:val="0"/>
                <w:bCs/>
                <w:szCs w:val="24"/>
              </w:rPr>
              <w:t>The Bidder shall be responsible for ensuring that any subcontractor proposed complies with the requirements of ITB 4, and that any goods or services to be provided by the subcontractor comply with the requirements of ITB 5 and ITB 16.1.</w:t>
            </w:r>
            <w:bookmarkEnd w:id="157"/>
          </w:p>
        </w:tc>
      </w:tr>
      <w:tr w:rsidR="00157AAA" w14:paraId="5FCEB1BE" w14:textId="77777777">
        <w:tc>
          <w:tcPr>
            <w:tcW w:w="2175" w:type="dxa"/>
          </w:tcPr>
          <w:p w14:paraId="55B4AB22" w14:textId="77777777" w:rsidR="00157AAA" w:rsidRDefault="006C1BE5">
            <w:pPr>
              <w:pStyle w:val="ITBHeading2"/>
              <w:spacing w:before="120" w:after="120"/>
            </w:pPr>
            <w:bookmarkStart w:id="158" w:name="_Toc43475003"/>
            <w:bookmarkStart w:id="159" w:name="_Toc43486469"/>
            <w:bookmarkStart w:id="160" w:name="_Toc163505725"/>
            <w:bookmarkStart w:id="161" w:name="_Toc434304510"/>
            <w:r>
              <w:lastRenderedPageBreak/>
              <w:t>Bid Prices</w:t>
            </w:r>
            <w:bookmarkEnd w:id="158"/>
            <w:bookmarkEnd w:id="159"/>
            <w:bookmarkEnd w:id="160"/>
            <w:r>
              <w:t xml:space="preserve"> </w:t>
            </w:r>
            <w:bookmarkEnd w:id="161"/>
          </w:p>
        </w:tc>
        <w:tc>
          <w:tcPr>
            <w:tcW w:w="7290" w:type="dxa"/>
          </w:tcPr>
          <w:p w14:paraId="0F162679" w14:textId="77777777" w:rsidR="00157AAA" w:rsidRDefault="006C1BE5" w:rsidP="00D530D5">
            <w:pPr>
              <w:pStyle w:val="Head12a"/>
              <w:numPr>
                <w:ilvl w:val="1"/>
                <w:numId w:val="59"/>
              </w:numPr>
              <w:spacing w:before="120"/>
              <w:ind w:left="702" w:hanging="720"/>
              <w:jc w:val="both"/>
              <w:rPr>
                <w:b w:val="0"/>
                <w:bCs/>
                <w:szCs w:val="24"/>
              </w:rPr>
            </w:pPr>
            <w:bookmarkStart w:id="162" w:name="_Toc43474881"/>
            <w:r>
              <w:rPr>
                <w:b w:val="0"/>
                <w:bCs/>
                <w:szCs w:val="24"/>
              </w:rPr>
              <w:t xml:space="preserve">All Goods and Services identified in the Supply and Installation Cost Sub-Tables in System Inventory Tables in Section VII, and all other Goods and Services proposed by the Bidder to fulfill the requirements of the Information System, must be priced separately and summarized in the corresponding cost tables in the Sample </w:t>
            </w:r>
            <w:r>
              <w:rPr>
                <w:b w:val="0"/>
                <w:bCs/>
                <w:szCs w:val="24"/>
              </w:rPr>
              <w:lastRenderedPageBreak/>
              <w:t>Bidding Forms (Section IV), in accordance with the instructions provided in the tables and in the manner specified below.</w:t>
            </w:r>
            <w:bookmarkEnd w:id="162"/>
          </w:p>
        </w:tc>
      </w:tr>
      <w:tr w:rsidR="00157AAA" w14:paraId="0B380C8F" w14:textId="77777777">
        <w:tc>
          <w:tcPr>
            <w:tcW w:w="2175" w:type="dxa"/>
          </w:tcPr>
          <w:p w14:paraId="1785B24C" w14:textId="77777777" w:rsidR="00157AAA" w:rsidRDefault="00157AAA">
            <w:pPr>
              <w:pStyle w:val="Head12a"/>
              <w:spacing w:before="120"/>
              <w:rPr>
                <w:szCs w:val="24"/>
              </w:rPr>
            </w:pPr>
          </w:p>
        </w:tc>
        <w:tc>
          <w:tcPr>
            <w:tcW w:w="7290" w:type="dxa"/>
          </w:tcPr>
          <w:p w14:paraId="7F15D324" w14:textId="77777777" w:rsidR="00157AAA" w:rsidRDefault="006C1BE5" w:rsidP="00D530D5">
            <w:pPr>
              <w:pStyle w:val="Head12a"/>
              <w:numPr>
                <w:ilvl w:val="1"/>
                <w:numId w:val="59"/>
              </w:numPr>
              <w:spacing w:before="120"/>
              <w:ind w:left="702" w:hanging="720"/>
              <w:jc w:val="both"/>
              <w:rPr>
                <w:b w:val="0"/>
                <w:bCs/>
                <w:szCs w:val="24"/>
              </w:rPr>
            </w:pPr>
            <w:bookmarkStart w:id="163" w:name="_Toc43474882"/>
            <w:r>
              <w:rPr>
                <w:b w:val="0"/>
                <w:bCs/>
                <w:szCs w:val="24"/>
              </w:rPr>
              <w:t>Unless otherwise specified in the BDS, the Bidder must also bid Recurrent Cost Items specified in the Technical Requirements, Recurrent Cost Sub-Table of the System Inventory Tables in Section VII (if any).  These must be priced separately and summarized in the corresponding cost tables in the Sample Bidding Forms (Section IV), in accordance with the instructions provided in the tables and in the manner specified below:</w:t>
            </w:r>
            <w:bookmarkEnd w:id="163"/>
          </w:p>
          <w:p w14:paraId="0351FB80" w14:textId="77777777" w:rsidR="00157AAA" w:rsidRDefault="006C1BE5" w:rsidP="00D530D5">
            <w:pPr>
              <w:pStyle w:val="ListParagraph"/>
              <w:numPr>
                <w:ilvl w:val="0"/>
                <w:numId w:val="25"/>
              </w:numPr>
              <w:spacing w:before="120"/>
              <w:ind w:left="1222" w:right="-72" w:hanging="610"/>
              <w:contextualSpacing w:val="0"/>
              <w:rPr>
                <w:szCs w:val="24"/>
              </w:rPr>
            </w:pPr>
            <w:r>
              <w:rPr>
                <w:szCs w:val="24"/>
              </w:rPr>
              <w:t xml:space="preserve">if specified </w:t>
            </w:r>
            <w:r>
              <w:rPr>
                <w:b/>
                <w:szCs w:val="24"/>
              </w:rPr>
              <w:t>in the BDS,</w:t>
            </w:r>
            <w:r>
              <w:rPr>
                <w:szCs w:val="24"/>
              </w:rPr>
              <w:t xml:space="preserve"> the Bidder must also bid separate enforceable contracts for the Recurrent Cost Items not included in the main </w:t>
            </w:r>
            <w:proofErr w:type="gramStart"/>
            <w:r>
              <w:rPr>
                <w:szCs w:val="24"/>
              </w:rPr>
              <w:t>Contract;</w:t>
            </w:r>
            <w:proofErr w:type="gramEnd"/>
            <w:r>
              <w:rPr>
                <w:szCs w:val="24"/>
              </w:rPr>
              <w:t xml:space="preserve"> </w:t>
            </w:r>
          </w:p>
          <w:p w14:paraId="7B2A14DE" w14:textId="77777777" w:rsidR="00157AAA" w:rsidRDefault="006C1BE5" w:rsidP="00D530D5">
            <w:pPr>
              <w:pStyle w:val="ListParagraph"/>
              <w:numPr>
                <w:ilvl w:val="0"/>
                <w:numId w:val="25"/>
              </w:numPr>
              <w:spacing w:before="120"/>
              <w:ind w:left="1222" w:hanging="610"/>
              <w:contextualSpacing w:val="0"/>
              <w:rPr>
                <w:szCs w:val="24"/>
              </w:rPr>
            </w:pPr>
            <w:r>
              <w:rPr>
                <w:szCs w:val="24"/>
              </w:rPr>
              <w:t xml:space="preserve">prices for Recurrent Costs are all-inclusive of the costs of necessary Goods such as spare parts, software license renewals, labor, etc., needed for the continued and proper operation of the Information System and, if appropriate, of the Bidder’s own allowance for price </w:t>
            </w:r>
            <w:proofErr w:type="gramStart"/>
            <w:r>
              <w:rPr>
                <w:szCs w:val="24"/>
              </w:rPr>
              <w:t>increases;</w:t>
            </w:r>
            <w:proofErr w:type="gramEnd"/>
          </w:p>
          <w:p w14:paraId="186F91C6" w14:textId="77777777" w:rsidR="00157AAA" w:rsidRDefault="006C1BE5" w:rsidP="00D530D5">
            <w:pPr>
              <w:pStyle w:val="ListParagraph"/>
              <w:numPr>
                <w:ilvl w:val="0"/>
                <w:numId w:val="25"/>
              </w:numPr>
              <w:spacing w:before="120"/>
              <w:ind w:left="1222" w:hanging="610"/>
              <w:contextualSpacing w:val="0"/>
              <w:rPr>
                <w:szCs w:val="24"/>
              </w:rPr>
            </w:pPr>
            <w:r>
              <w:rPr>
                <w:szCs w:val="24"/>
              </w:rPr>
              <w:t xml:space="preserve">prices for Recurrent Costs beyond the scope of warranty services to be incurred during the Warranty Period, defined in GCC Clause 29.4 and prices for Recurrent Costs to be incurred during the Post-Warranty Period, defined in SCC Clause 1.1. (e) (xiii), shall be quoted as Service prices on the Recurrent Cost Sub-Table in detail, and on the Recurrent Cost Summary Table in currency totals.  </w:t>
            </w:r>
          </w:p>
        </w:tc>
      </w:tr>
      <w:tr w:rsidR="00157AAA" w14:paraId="78475A09" w14:textId="77777777">
        <w:trPr>
          <w:trHeight w:val="1971"/>
        </w:trPr>
        <w:tc>
          <w:tcPr>
            <w:tcW w:w="2175" w:type="dxa"/>
          </w:tcPr>
          <w:p w14:paraId="00468333" w14:textId="77777777" w:rsidR="00157AAA" w:rsidRDefault="00157AAA">
            <w:pPr>
              <w:pStyle w:val="Head12a"/>
              <w:spacing w:before="120"/>
              <w:rPr>
                <w:szCs w:val="24"/>
              </w:rPr>
            </w:pPr>
          </w:p>
        </w:tc>
        <w:tc>
          <w:tcPr>
            <w:tcW w:w="7290" w:type="dxa"/>
          </w:tcPr>
          <w:p w14:paraId="2C23E650" w14:textId="77777777" w:rsidR="00157AAA" w:rsidRDefault="006C1BE5" w:rsidP="00D530D5">
            <w:pPr>
              <w:pStyle w:val="Head12a"/>
              <w:numPr>
                <w:ilvl w:val="1"/>
                <w:numId w:val="59"/>
              </w:numPr>
              <w:spacing w:before="120"/>
              <w:ind w:left="702" w:hanging="720"/>
              <w:jc w:val="both"/>
              <w:rPr>
                <w:b w:val="0"/>
                <w:bCs/>
                <w:szCs w:val="24"/>
              </w:rPr>
            </w:pPr>
            <w:bookmarkStart w:id="164" w:name="_Toc43474883"/>
            <w:r>
              <w:rPr>
                <w:b w:val="0"/>
                <w:bCs/>
                <w:szCs w:val="24"/>
              </w:rPr>
              <w:t xml:space="preserve">Unit prices must be quoted at a level of detail appropriate for calculation of any partial deliveries or partial payments under the contract, in accordance with the Implementation Schedule in Section VII), and with GCC and SCC Clause 12 – Terms of Payment.  Bidders may be required to provide a breakdown of any </w:t>
            </w:r>
            <w:proofErr w:type="gramStart"/>
            <w:r>
              <w:rPr>
                <w:b w:val="0"/>
                <w:bCs/>
                <w:szCs w:val="24"/>
              </w:rPr>
              <w:t>composite</w:t>
            </w:r>
            <w:proofErr w:type="gramEnd"/>
            <w:r>
              <w:rPr>
                <w:b w:val="0"/>
                <w:bCs/>
                <w:szCs w:val="24"/>
              </w:rPr>
              <w:t xml:space="preserve"> or lump-sum items included in the Cost Tables</w:t>
            </w:r>
            <w:bookmarkEnd w:id="164"/>
          </w:p>
        </w:tc>
      </w:tr>
      <w:tr w:rsidR="00157AAA" w14:paraId="4B648997" w14:textId="77777777">
        <w:tc>
          <w:tcPr>
            <w:tcW w:w="2175" w:type="dxa"/>
          </w:tcPr>
          <w:p w14:paraId="645604BA" w14:textId="77777777" w:rsidR="00157AAA" w:rsidRDefault="00157AAA">
            <w:pPr>
              <w:pStyle w:val="Head12a"/>
              <w:spacing w:before="120"/>
              <w:rPr>
                <w:szCs w:val="24"/>
              </w:rPr>
            </w:pPr>
          </w:p>
        </w:tc>
        <w:tc>
          <w:tcPr>
            <w:tcW w:w="7290" w:type="dxa"/>
          </w:tcPr>
          <w:p w14:paraId="53003E58" w14:textId="77777777" w:rsidR="00157AAA" w:rsidRDefault="006C1BE5" w:rsidP="00D530D5">
            <w:pPr>
              <w:pStyle w:val="Head12a"/>
              <w:numPr>
                <w:ilvl w:val="1"/>
                <w:numId w:val="59"/>
              </w:numPr>
              <w:spacing w:before="120"/>
              <w:ind w:left="702" w:hanging="720"/>
              <w:jc w:val="both"/>
              <w:rPr>
                <w:b w:val="0"/>
                <w:bCs/>
                <w:szCs w:val="24"/>
              </w:rPr>
            </w:pPr>
            <w:bookmarkStart w:id="165" w:name="_Toc43474884"/>
            <w:r>
              <w:rPr>
                <w:b w:val="0"/>
                <w:bCs/>
                <w:szCs w:val="24"/>
              </w:rPr>
              <w:t>The price of items that the Bidder has left blank in the cost tables provided in the Sample Bid Forms (Section IV) shall be assumed to be included in the price of other items.  Items omitted altogether from the cost tables shall be assumed to be omitted from the bid and, provided that the bid is substantially responsive, an adjustment to the bid price will be made during bid evaluation in accordance with ITB 31.3.</w:t>
            </w:r>
            <w:bookmarkEnd w:id="165"/>
          </w:p>
        </w:tc>
      </w:tr>
      <w:tr w:rsidR="00157AAA" w14:paraId="29A6A99A" w14:textId="77777777">
        <w:tc>
          <w:tcPr>
            <w:tcW w:w="2175" w:type="dxa"/>
          </w:tcPr>
          <w:p w14:paraId="6AFF349A" w14:textId="77777777" w:rsidR="00157AAA" w:rsidRDefault="00157AAA">
            <w:pPr>
              <w:pStyle w:val="Head12a"/>
              <w:spacing w:before="120"/>
              <w:rPr>
                <w:szCs w:val="24"/>
              </w:rPr>
            </w:pPr>
          </w:p>
        </w:tc>
        <w:tc>
          <w:tcPr>
            <w:tcW w:w="7290" w:type="dxa"/>
          </w:tcPr>
          <w:p w14:paraId="5B91F47A" w14:textId="77777777" w:rsidR="00157AAA" w:rsidRDefault="006C1BE5" w:rsidP="00D530D5">
            <w:pPr>
              <w:pStyle w:val="Head12a"/>
              <w:numPr>
                <w:ilvl w:val="1"/>
                <w:numId w:val="59"/>
              </w:numPr>
              <w:spacing w:before="120"/>
              <w:ind w:left="702" w:hanging="720"/>
              <w:jc w:val="both"/>
              <w:rPr>
                <w:b w:val="0"/>
                <w:bCs/>
                <w:szCs w:val="24"/>
              </w:rPr>
            </w:pPr>
            <w:bookmarkStart w:id="166" w:name="_Toc43474885"/>
            <w:r>
              <w:rPr>
                <w:b w:val="0"/>
                <w:bCs/>
                <w:szCs w:val="24"/>
              </w:rPr>
              <w:t>The prices for Goods components of the Information System are to be expressed and shall be defined and governed in accordance with the rules prescribed in the edition of Incoterms specified in the BDS, as follows:</w:t>
            </w:r>
            <w:bookmarkEnd w:id="166"/>
          </w:p>
          <w:p w14:paraId="095CC1F8" w14:textId="77777777" w:rsidR="00157AAA" w:rsidRDefault="006C1BE5" w:rsidP="00D530D5">
            <w:pPr>
              <w:numPr>
                <w:ilvl w:val="0"/>
                <w:numId w:val="2"/>
              </w:numPr>
              <w:spacing w:before="120"/>
              <w:ind w:left="1094" w:right="-72" w:hanging="547"/>
              <w:rPr>
                <w:szCs w:val="24"/>
              </w:rPr>
            </w:pPr>
            <w:r>
              <w:rPr>
                <w:szCs w:val="24"/>
              </w:rPr>
              <w:lastRenderedPageBreak/>
              <w:t>Goods supplied from outside the Purchaser’s country:</w:t>
            </w:r>
          </w:p>
          <w:p w14:paraId="4689EBCF" w14:textId="77777777" w:rsidR="00157AAA" w:rsidRDefault="006C1BE5">
            <w:pPr>
              <w:tabs>
                <w:tab w:val="left" w:pos="1080"/>
              </w:tabs>
              <w:spacing w:before="120"/>
              <w:ind w:left="1080" w:right="-72"/>
              <w:rPr>
                <w:szCs w:val="24"/>
              </w:rPr>
            </w:pPr>
            <w:r>
              <w:rPr>
                <w:szCs w:val="24"/>
              </w:rPr>
              <w:t>Unless otherwise specified</w:t>
            </w:r>
            <w:r>
              <w:rPr>
                <w:b/>
                <w:szCs w:val="24"/>
              </w:rPr>
              <w:t xml:space="preserve"> in the BDS</w:t>
            </w:r>
            <w:r>
              <w:rPr>
                <w:szCs w:val="24"/>
              </w:rPr>
              <w:t>, the prices shall be quoted on a CIP (named place of destination) basis, exclusive of all taxes, stamps, duties, levies, and fees imposed in the Purchaser’s country.  The named place of destination and special instructions for the contract of carriage are as specified in the SCC for GCC 1.1 (e) (iii)</w:t>
            </w:r>
            <w:r>
              <w:rPr>
                <w:b/>
                <w:szCs w:val="24"/>
              </w:rPr>
              <w:t>.</w:t>
            </w:r>
            <w:r>
              <w:rPr>
                <w:szCs w:val="24"/>
              </w:rPr>
              <w:t xml:space="preserve">  In quoting the price, the Bidder shall be free to use transportation through carriers registered in any eligible countries.  Similarly, the Bidder may obtain insurance services from any eligible source </w:t>
            </w:r>
            <w:proofErr w:type="gramStart"/>
            <w:r>
              <w:rPr>
                <w:szCs w:val="24"/>
              </w:rPr>
              <w:t>country;</w:t>
            </w:r>
            <w:proofErr w:type="gramEnd"/>
          </w:p>
          <w:p w14:paraId="34283E30" w14:textId="77777777" w:rsidR="00157AAA" w:rsidRDefault="006C1BE5">
            <w:pPr>
              <w:numPr>
                <w:ilvl w:val="12"/>
                <w:numId w:val="0"/>
              </w:numPr>
              <w:tabs>
                <w:tab w:val="left" w:pos="1080"/>
              </w:tabs>
              <w:spacing w:before="120"/>
              <w:ind w:left="1094" w:right="-72" w:hanging="547"/>
              <w:rPr>
                <w:szCs w:val="24"/>
              </w:rPr>
            </w:pPr>
            <w:r>
              <w:rPr>
                <w:szCs w:val="24"/>
              </w:rPr>
              <w:t>(b)</w:t>
            </w:r>
            <w:r>
              <w:rPr>
                <w:szCs w:val="24"/>
              </w:rPr>
              <w:tab/>
              <w:t>Locally supplied Goods:</w:t>
            </w:r>
          </w:p>
          <w:p w14:paraId="06E6970D" w14:textId="77777777" w:rsidR="00157AAA" w:rsidRDefault="006C1BE5">
            <w:pPr>
              <w:numPr>
                <w:ilvl w:val="12"/>
                <w:numId w:val="0"/>
              </w:numPr>
              <w:spacing w:before="120"/>
              <w:ind w:left="1080" w:right="-72"/>
              <w:rPr>
                <w:szCs w:val="24"/>
              </w:rPr>
            </w:pPr>
            <w:r>
              <w:rPr>
                <w:szCs w:val="24"/>
              </w:rPr>
              <w:t>Unit prices of Goods offered from within the Purchaser’s Country, shall be quoted on an EXW (</w:t>
            </w:r>
            <w:proofErr w:type="spellStart"/>
            <w:r>
              <w:rPr>
                <w:szCs w:val="24"/>
              </w:rPr>
              <w:t>ex factory</w:t>
            </w:r>
            <w:proofErr w:type="spellEnd"/>
            <w:r>
              <w:rPr>
                <w:szCs w:val="24"/>
              </w:rPr>
              <w:t>, ex works, ex warehouse or off-the-shelf, as applicable) basis, including all customs duties, levies, fees, sales and other taxes incurred until delivery of the Goods, but excluding all VAT or sales and other taxes and duties/fees incurred for the Goods at the time of invoicing or sales transaction, if the Contract is awarded;</w:t>
            </w:r>
          </w:p>
          <w:p w14:paraId="573D7881" w14:textId="77777777" w:rsidR="00157AAA" w:rsidRDefault="006C1BE5">
            <w:pPr>
              <w:spacing w:before="120"/>
              <w:ind w:left="1080" w:right="-72" w:hanging="533"/>
              <w:rPr>
                <w:szCs w:val="24"/>
              </w:rPr>
            </w:pPr>
            <w:r>
              <w:rPr>
                <w:szCs w:val="24"/>
              </w:rPr>
              <w:t>(c)</w:t>
            </w:r>
            <w:r>
              <w:rPr>
                <w:szCs w:val="24"/>
              </w:rPr>
              <w:tab/>
              <w:t>Inland transportation.</w:t>
            </w:r>
          </w:p>
          <w:p w14:paraId="6C44E233" w14:textId="77777777" w:rsidR="00157AAA" w:rsidRDefault="006C1BE5" w:rsidP="00D530D5">
            <w:pPr>
              <w:pStyle w:val="Head12a"/>
              <w:numPr>
                <w:ilvl w:val="1"/>
                <w:numId w:val="59"/>
              </w:numPr>
              <w:spacing w:before="120"/>
              <w:ind w:left="702" w:hanging="720"/>
              <w:jc w:val="both"/>
              <w:rPr>
                <w:szCs w:val="24"/>
              </w:rPr>
            </w:pPr>
            <w:bookmarkStart w:id="167" w:name="_Toc43474886"/>
            <w:r>
              <w:rPr>
                <w:b w:val="0"/>
                <w:bCs/>
                <w:szCs w:val="24"/>
              </w:rPr>
              <w:t>Unless otherwise stated in the BDS, inland transportation, insurance and related local costs incidental to the delivery of the Goods to the designated Project Sites must be quoted separately as a Service item in accordance with ITB  17.5, whether the Goods are to be supplied locally or from outside the Purchaser’s country, except when these costs are already included in the price of the Goods, as is, e.g., the case, when ITB 17.5 (a) specifies CIP, and the named places of destination are the Project Sites.</w:t>
            </w:r>
            <w:bookmarkEnd w:id="167"/>
            <w:r>
              <w:rPr>
                <w:szCs w:val="24"/>
              </w:rPr>
              <w:t xml:space="preserve"> </w:t>
            </w:r>
          </w:p>
        </w:tc>
      </w:tr>
      <w:tr w:rsidR="00157AAA" w14:paraId="2B325483" w14:textId="77777777">
        <w:tc>
          <w:tcPr>
            <w:tcW w:w="2175" w:type="dxa"/>
          </w:tcPr>
          <w:p w14:paraId="79C54226" w14:textId="77777777" w:rsidR="00157AAA" w:rsidRDefault="00157AAA">
            <w:pPr>
              <w:pStyle w:val="Head12a"/>
              <w:spacing w:before="120"/>
              <w:rPr>
                <w:szCs w:val="24"/>
              </w:rPr>
            </w:pPr>
          </w:p>
        </w:tc>
        <w:tc>
          <w:tcPr>
            <w:tcW w:w="7290" w:type="dxa"/>
          </w:tcPr>
          <w:p w14:paraId="1F879767" w14:textId="77777777" w:rsidR="00157AAA" w:rsidRDefault="006C1BE5" w:rsidP="00D530D5">
            <w:pPr>
              <w:pStyle w:val="Head12a"/>
              <w:numPr>
                <w:ilvl w:val="1"/>
                <w:numId w:val="59"/>
              </w:numPr>
              <w:spacing w:before="120"/>
              <w:ind w:left="702" w:hanging="720"/>
              <w:jc w:val="both"/>
              <w:rPr>
                <w:b w:val="0"/>
                <w:bCs/>
                <w:szCs w:val="24"/>
              </w:rPr>
            </w:pPr>
            <w:bookmarkStart w:id="168" w:name="_Toc43474887"/>
            <w:r>
              <w:rPr>
                <w:b w:val="0"/>
                <w:bCs/>
                <w:szCs w:val="24"/>
              </w:rPr>
              <w:t xml:space="preserve">The price of Services shall be separated into their local and foreign currency components and where appropriate, broken down into unit prices.  Prices must include all taxes, duties, </w:t>
            </w:r>
            <w:proofErr w:type="gramStart"/>
            <w:r>
              <w:rPr>
                <w:b w:val="0"/>
                <w:bCs/>
                <w:szCs w:val="24"/>
              </w:rPr>
              <w:t>levies</w:t>
            </w:r>
            <w:proofErr w:type="gramEnd"/>
            <w:r>
              <w:rPr>
                <w:b w:val="0"/>
                <w:bCs/>
                <w:szCs w:val="24"/>
              </w:rPr>
              <w:t xml:space="preserve"> and fees whatsoever, except only VAT or other indirect taxes, or stamp duties, that may be assessed and/or apply in the Purchaser’s country on/to the price of the Services invoiced to the Purchaser, if the Contract is awarded.</w:t>
            </w:r>
            <w:bookmarkEnd w:id="168"/>
            <w:r>
              <w:rPr>
                <w:b w:val="0"/>
                <w:bCs/>
                <w:szCs w:val="24"/>
              </w:rPr>
              <w:t xml:space="preserve">  </w:t>
            </w:r>
          </w:p>
          <w:p w14:paraId="2FC81DF7" w14:textId="77777777" w:rsidR="00157AAA" w:rsidRDefault="006C1BE5" w:rsidP="00D530D5">
            <w:pPr>
              <w:pStyle w:val="Head12a"/>
              <w:numPr>
                <w:ilvl w:val="1"/>
                <w:numId w:val="59"/>
              </w:numPr>
              <w:spacing w:before="120"/>
              <w:ind w:left="702" w:hanging="720"/>
              <w:jc w:val="both"/>
              <w:rPr>
                <w:szCs w:val="24"/>
              </w:rPr>
            </w:pPr>
            <w:bookmarkStart w:id="169" w:name="_Toc43474888"/>
            <w:r>
              <w:rPr>
                <w:b w:val="0"/>
                <w:bCs/>
                <w:szCs w:val="24"/>
              </w:rPr>
              <w:t xml:space="preserve">Unless otherwise specified in the BDS, the prices must include all costs incidental to the performance of the Services, as incurred by the Supplier, such as travel, subsistence, office support, communications, translation, printing of materials, etc.  Costs incidental to the delivery of the Services but incurred by the Purchaser or its staff, or by third parties, must be included in the price only to the extent such obligations are made explicit in these </w:t>
            </w:r>
            <w:r>
              <w:rPr>
                <w:b w:val="0"/>
                <w:bCs/>
                <w:szCs w:val="24"/>
              </w:rPr>
              <w:lastRenderedPageBreak/>
              <w:t>bidding documents (as, e.g., a requirement for the Bidder to include the travel and subsistence costs of trainees).</w:t>
            </w:r>
            <w:bookmarkEnd w:id="169"/>
            <w:r>
              <w:rPr>
                <w:szCs w:val="24"/>
              </w:rPr>
              <w:t xml:space="preserve">  </w:t>
            </w:r>
          </w:p>
        </w:tc>
      </w:tr>
      <w:tr w:rsidR="00157AAA" w14:paraId="55C9CB96" w14:textId="77777777">
        <w:tc>
          <w:tcPr>
            <w:tcW w:w="2175" w:type="dxa"/>
          </w:tcPr>
          <w:p w14:paraId="44E0FFE1" w14:textId="77777777" w:rsidR="00157AAA" w:rsidRDefault="00157AAA">
            <w:pPr>
              <w:pStyle w:val="Head12a"/>
              <w:spacing w:before="120"/>
              <w:rPr>
                <w:szCs w:val="24"/>
              </w:rPr>
            </w:pPr>
          </w:p>
        </w:tc>
        <w:tc>
          <w:tcPr>
            <w:tcW w:w="7290" w:type="dxa"/>
          </w:tcPr>
          <w:p w14:paraId="06C52FDC" w14:textId="77777777" w:rsidR="00157AAA" w:rsidRDefault="006C1BE5" w:rsidP="00D530D5">
            <w:pPr>
              <w:pStyle w:val="Head12a"/>
              <w:numPr>
                <w:ilvl w:val="1"/>
                <w:numId w:val="59"/>
              </w:numPr>
              <w:spacing w:before="120"/>
              <w:ind w:left="702" w:hanging="720"/>
              <w:jc w:val="both"/>
              <w:rPr>
                <w:szCs w:val="24"/>
              </w:rPr>
            </w:pPr>
            <w:bookmarkStart w:id="170" w:name="_Toc43474889"/>
            <w:r>
              <w:rPr>
                <w:b w:val="0"/>
                <w:bCs/>
                <w:szCs w:val="24"/>
              </w:rPr>
              <w:t>Unless otherwise specified in the BDS, prices quoted by the Bidder shall be fixed during the Bidder’s performance of the Contract and not subject to increases on any account.  Bids submitted that are subject to price adjustment will be rejected.</w:t>
            </w:r>
            <w:bookmarkEnd w:id="170"/>
            <w:r>
              <w:rPr>
                <w:szCs w:val="24"/>
              </w:rPr>
              <w:t xml:space="preserve"> </w:t>
            </w:r>
          </w:p>
        </w:tc>
      </w:tr>
      <w:tr w:rsidR="00157AAA" w14:paraId="73F7DAE9" w14:textId="77777777">
        <w:trPr>
          <w:cantSplit/>
          <w:trHeight w:val="3162"/>
        </w:trPr>
        <w:tc>
          <w:tcPr>
            <w:tcW w:w="2175" w:type="dxa"/>
          </w:tcPr>
          <w:p w14:paraId="399409F7" w14:textId="77777777" w:rsidR="00157AAA" w:rsidRDefault="006C1BE5">
            <w:pPr>
              <w:pStyle w:val="ITBHeading2"/>
              <w:spacing w:before="120" w:after="120"/>
            </w:pPr>
            <w:bookmarkStart w:id="171" w:name="_Toc434304511"/>
            <w:bookmarkStart w:id="172" w:name="_Toc43475004"/>
            <w:bookmarkStart w:id="173" w:name="_Toc43486470"/>
            <w:bookmarkStart w:id="174" w:name="_Toc163505726"/>
            <w:r>
              <w:t>Currencies of Bid and Payment</w:t>
            </w:r>
            <w:bookmarkEnd w:id="171"/>
            <w:bookmarkEnd w:id="172"/>
            <w:bookmarkEnd w:id="173"/>
            <w:bookmarkEnd w:id="174"/>
          </w:p>
        </w:tc>
        <w:tc>
          <w:tcPr>
            <w:tcW w:w="7290" w:type="dxa"/>
          </w:tcPr>
          <w:p w14:paraId="7F4F25B7" w14:textId="77777777" w:rsidR="00157AAA" w:rsidRDefault="006C1BE5" w:rsidP="00D530D5">
            <w:pPr>
              <w:pStyle w:val="Head12a"/>
              <w:numPr>
                <w:ilvl w:val="1"/>
                <w:numId w:val="59"/>
              </w:numPr>
              <w:spacing w:before="120"/>
              <w:ind w:left="702" w:hanging="720"/>
              <w:jc w:val="both"/>
              <w:rPr>
                <w:b w:val="0"/>
                <w:bCs/>
                <w:szCs w:val="24"/>
              </w:rPr>
            </w:pPr>
            <w:bookmarkStart w:id="175" w:name="_Toc43474890"/>
            <w:r>
              <w:rPr>
                <w:b w:val="0"/>
                <w:bCs/>
                <w:szCs w:val="24"/>
              </w:rPr>
              <w:t>The currency(</w:t>
            </w:r>
            <w:proofErr w:type="spellStart"/>
            <w:r>
              <w:rPr>
                <w:b w:val="0"/>
                <w:bCs/>
                <w:szCs w:val="24"/>
              </w:rPr>
              <w:t>ies</w:t>
            </w:r>
            <w:proofErr w:type="spellEnd"/>
            <w:r>
              <w:rPr>
                <w:b w:val="0"/>
                <w:bCs/>
                <w:szCs w:val="24"/>
              </w:rPr>
              <w:t>) of the Bid and currencies of payment shall be the same. The Bidder shall quote in the currency of the Purchaser’s Country the portion of the Bid price that corresponds to expenditures incurred in the currency of the Purchaser’s Country, unless otherwise specified in the BDS.</w:t>
            </w:r>
            <w:bookmarkEnd w:id="175"/>
          </w:p>
          <w:p w14:paraId="1A66C748" w14:textId="77777777" w:rsidR="00157AAA" w:rsidRDefault="006C1BE5" w:rsidP="00D530D5">
            <w:pPr>
              <w:pStyle w:val="Head12a"/>
              <w:numPr>
                <w:ilvl w:val="1"/>
                <w:numId w:val="59"/>
              </w:numPr>
              <w:spacing w:before="120"/>
              <w:ind w:left="702" w:hanging="720"/>
              <w:jc w:val="both"/>
              <w:rPr>
                <w:szCs w:val="24"/>
              </w:rPr>
            </w:pPr>
            <w:bookmarkStart w:id="176" w:name="_Toc43474891"/>
            <w:r>
              <w:rPr>
                <w:b w:val="0"/>
                <w:bCs/>
                <w:szCs w:val="24"/>
              </w:rPr>
              <w:t>The Bidder may express the Bid price in any currency. If the Bidder wishes to be paid in a combination of amounts in different currencies, it may quote its price accordingly but shall use no more than three foreign currencies in addition to the currency of the Purchaser’s Country.</w:t>
            </w:r>
            <w:bookmarkEnd w:id="176"/>
          </w:p>
        </w:tc>
      </w:tr>
      <w:tr w:rsidR="00157AAA" w14:paraId="490AE7FB" w14:textId="77777777">
        <w:trPr>
          <w:cantSplit/>
        </w:trPr>
        <w:tc>
          <w:tcPr>
            <w:tcW w:w="2175" w:type="dxa"/>
          </w:tcPr>
          <w:p w14:paraId="069620F9" w14:textId="77777777" w:rsidR="00157AAA" w:rsidRDefault="006C1BE5">
            <w:pPr>
              <w:pStyle w:val="ITBHeading2"/>
              <w:spacing w:before="120" w:after="120"/>
            </w:pPr>
            <w:bookmarkStart w:id="177" w:name="_Toc434304512"/>
            <w:bookmarkStart w:id="178" w:name="_Toc43475005"/>
            <w:bookmarkStart w:id="179" w:name="_Toc43486471"/>
            <w:bookmarkStart w:id="180" w:name="_Toc163505727"/>
            <w:r>
              <w:t>Period of Validity of Bids</w:t>
            </w:r>
            <w:bookmarkEnd w:id="177"/>
            <w:bookmarkEnd w:id="178"/>
            <w:bookmarkEnd w:id="179"/>
            <w:bookmarkEnd w:id="180"/>
          </w:p>
        </w:tc>
        <w:tc>
          <w:tcPr>
            <w:tcW w:w="7290" w:type="dxa"/>
          </w:tcPr>
          <w:p w14:paraId="487B9B8A" w14:textId="77777777" w:rsidR="00157AAA" w:rsidRDefault="006C1BE5" w:rsidP="00D530D5">
            <w:pPr>
              <w:pStyle w:val="Head12a"/>
              <w:numPr>
                <w:ilvl w:val="1"/>
                <w:numId w:val="59"/>
              </w:numPr>
              <w:spacing w:before="120"/>
              <w:ind w:left="702" w:hanging="720"/>
              <w:jc w:val="both"/>
              <w:rPr>
                <w:b w:val="0"/>
                <w:bCs/>
                <w:szCs w:val="24"/>
              </w:rPr>
            </w:pPr>
            <w:bookmarkStart w:id="181" w:name="_Toc43474892"/>
            <w:r>
              <w:rPr>
                <w:b w:val="0"/>
                <w:bCs/>
                <w:szCs w:val="24"/>
              </w:rPr>
              <w:t>Bids shall remain valid until the date specified in the BDS or any extended date if amended by the Purchaser in accordance with ITB 8. A Bid that is not valid until the date specified in the BDS, or any extended date if amended by the Purchaser in accordance with ITB 8, shall be rejected by the Purchaser as nonresponsive.</w:t>
            </w:r>
            <w:bookmarkEnd w:id="181"/>
          </w:p>
        </w:tc>
      </w:tr>
      <w:tr w:rsidR="00157AAA" w14:paraId="033C147F" w14:textId="77777777">
        <w:trPr>
          <w:cantSplit/>
        </w:trPr>
        <w:tc>
          <w:tcPr>
            <w:tcW w:w="2175" w:type="dxa"/>
          </w:tcPr>
          <w:p w14:paraId="427262C6" w14:textId="77777777" w:rsidR="00157AAA" w:rsidRDefault="00157AAA">
            <w:pPr>
              <w:pStyle w:val="Head12a"/>
              <w:spacing w:before="120"/>
              <w:rPr>
                <w:szCs w:val="24"/>
              </w:rPr>
            </w:pPr>
          </w:p>
        </w:tc>
        <w:tc>
          <w:tcPr>
            <w:tcW w:w="7290" w:type="dxa"/>
          </w:tcPr>
          <w:p w14:paraId="3944108F" w14:textId="77777777" w:rsidR="00157AAA" w:rsidRDefault="006C1BE5" w:rsidP="00D530D5">
            <w:pPr>
              <w:pStyle w:val="Head12a"/>
              <w:numPr>
                <w:ilvl w:val="1"/>
                <w:numId w:val="59"/>
              </w:numPr>
              <w:spacing w:before="120"/>
              <w:ind w:left="702" w:hanging="720"/>
              <w:jc w:val="both"/>
              <w:rPr>
                <w:b w:val="0"/>
                <w:bCs/>
                <w:szCs w:val="24"/>
              </w:rPr>
            </w:pPr>
            <w:bookmarkStart w:id="182" w:name="_Toc43474893"/>
            <w:r>
              <w:rPr>
                <w:b w:val="0"/>
                <w:bCs/>
                <w:szCs w:val="24"/>
              </w:rPr>
              <w:t>In exceptional circumstances, prior to the date of expiry of the Bid validity, the Purchaser may request Bidders to extend the date of validity until a specified date. The request and the responses shall be made in writing. If a Bid Security is requested in accordance with ITB 20, it shall also be extended for twenty-eight days (28) beyond the deadline of the extended validity period. A Bidder may refuse the request without forfeiting its Bid Security. A Bidder granting the request shall not be required or permitted to modify its Bid, except as provided in ITB 19.3.</w:t>
            </w:r>
            <w:bookmarkEnd w:id="182"/>
          </w:p>
        </w:tc>
      </w:tr>
      <w:tr w:rsidR="00157AAA" w14:paraId="5F310C50" w14:textId="77777777">
        <w:tc>
          <w:tcPr>
            <w:tcW w:w="2175" w:type="dxa"/>
          </w:tcPr>
          <w:p w14:paraId="32EAF7BF" w14:textId="77777777" w:rsidR="00157AAA" w:rsidRDefault="00157AAA">
            <w:pPr>
              <w:pStyle w:val="Head12a"/>
              <w:spacing w:before="120"/>
              <w:rPr>
                <w:szCs w:val="24"/>
              </w:rPr>
            </w:pPr>
          </w:p>
        </w:tc>
        <w:tc>
          <w:tcPr>
            <w:tcW w:w="7290" w:type="dxa"/>
          </w:tcPr>
          <w:p w14:paraId="7B2F2949" w14:textId="77777777" w:rsidR="00157AAA" w:rsidRDefault="006C1BE5" w:rsidP="00D530D5">
            <w:pPr>
              <w:pStyle w:val="Head12a"/>
              <w:numPr>
                <w:ilvl w:val="1"/>
                <w:numId w:val="59"/>
              </w:numPr>
              <w:spacing w:before="120"/>
              <w:ind w:left="702" w:hanging="720"/>
              <w:jc w:val="both"/>
              <w:rPr>
                <w:b w:val="0"/>
                <w:bCs/>
                <w:szCs w:val="24"/>
              </w:rPr>
            </w:pPr>
            <w:bookmarkStart w:id="183" w:name="_Toc43474894"/>
            <w:r>
              <w:rPr>
                <w:b w:val="0"/>
                <w:bCs/>
                <w:szCs w:val="24"/>
              </w:rPr>
              <w:t>If the award is delayed by a period exceeding fifty-six (56) days beyond the expiry of the initial Bid validity specified in accordance with ITB 19.1, the Contract price shall be determined as follows:</w:t>
            </w:r>
            <w:bookmarkEnd w:id="183"/>
          </w:p>
          <w:p w14:paraId="5B4FD0A0" w14:textId="77777777" w:rsidR="00157AAA" w:rsidRDefault="006C1BE5">
            <w:pPr>
              <w:numPr>
                <w:ilvl w:val="12"/>
                <w:numId w:val="0"/>
              </w:numPr>
              <w:spacing w:before="120"/>
              <w:ind w:left="1062" w:right="-72" w:hanging="540"/>
              <w:rPr>
                <w:szCs w:val="24"/>
              </w:rPr>
            </w:pPr>
            <w:r>
              <w:rPr>
                <w:szCs w:val="24"/>
              </w:rPr>
              <w:t>(a)</w:t>
            </w:r>
            <w:r>
              <w:rPr>
                <w:szCs w:val="24"/>
              </w:rPr>
              <w:tab/>
              <w:t xml:space="preserve">in case of fixed price contracts, the contract price shall be the Bid price adjusted by a factor or factors specified </w:t>
            </w:r>
            <w:r>
              <w:rPr>
                <w:b/>
                <w:szCs w:val="24"/>
              </w:rPr>
              <w:t xml:space="preserve">in the </w:t>
            </w:r>
            <w:proofErr w:type="gramStart"/>
            <w:r>
              <w:rPr>
                <w:b/>
                <w:szCs w:val="24"/>
              </w:rPr>
              <w:t>BDS</w:t>
            </w:r>
            <w:r>
              <w:rPr>
                <w:szCs w:val="24"/>
              </w:rPr>
              <w:t>;</w:t>
            </w:r>
            <w:proofErr w:type="gramEnd"/>
            <w:r>
              <w:rPr>
                <w:szCs w:val="24"/>
              </w:rPr>
              <w:t xml:space="preserve"> </w:t>
            </w:r>
          </w:p>
          <w:p w14:paraId="200374C0" w14:textId="77777777" w:rsidR="00157AAA" w:rsidRDefault="006C1BE5">
            <w:pPr>
              <w:numPr>
                <w:ilvl w:val="12"/>
                <w:numId w:val="0"/>
              </w:numPr>
              <w:spacing w:before="120"/>
              <w:ind w:left="1062" w:right="-72" w:hanging="540"/>
              <w:rPr>
                <w:szCs w:val="24"/>
              </w:rPr>
            </w:pPr>
            <w:r>
              <w:rPr>
                <w:szCs w:val="24"/>
              </w:rPr>
              <w:t>(b)</w:t>
            </w:r>
            <w:r>
              <w:rPr>
                <w:szCs w:val="24"/>
              </w:rPr>
              <w:tab/>
              <w:t xml:space="preserve">in the case of an adjustable price contracts, no adjustments shall be </w:t>
            </w:r>
            <w:proofErr w:type="gramStart"/>
            <w:r>
              <w:rPr>
                <w:szCs w:val="24"/>
              </w:rPr>
              <w:t>made;</w:t>
            </w:r>
            <w:proofErr w:type="gramEnd"/>
          </w:p>
          <w:p w14:paraId="3FA2AF6F" w14:textId="77777777" w:rsidR="00157AAA" w:rsidRDefault="006C1BE5">
            <w:pPr>
              <w:numPr>
                <w:ilvl w:val="12"/>
                <w:numId w:val="0"/>
              </w:numPr>
              <w:spacing w:before="120"/>
              <w:ind w:left="1062" w:right="-72" w:hanging="540"/>
              <w:rPr>
                <w:szCs w:val="24"/>
              </w:rPr>
            </w:pPr>
            <w:r>
              <w:rPr>
                <w:szCs w:val="24"/>
              </w:rPr>
              <w:lastRenderedPageBreak/>
              <w:t>(c)</w:t>
            </w:r>
            <w:r>
              <w:rPr>
                <w:szCs w:val="24"/>
              </w:rPr>
              <w:tab/>
              <w:t xml:space="preserve">in any case, </w:t>
            </w:r>
            <w:proofErr w:type="gramStart"/>
            <w:r>
              <w:rPr>
                <w:szCs w:val="24"/>
              </w:rPr>
              <w:t>Bid</w:t>
            </w:r>
            <w:proofErr w:type="gramEnd"/>
            <w:r>
              <w:rPr>
                <w:szCs w:val="24"/>
              </w:rPr>
              <w:t xml:space="preserve"> evaluation shall be based on the Bid Price without taking into consideration the applicable correction from those indicated above.</w:t>
            </w:r>
          </w:p>
        </w:tc>
      </w:tr>
      <w:tr w:rsidR="00157AAA" w14:paraId="00456FCB" w14:textId="77777777">
        <w:trPr>
          <w:cantSplit/>
        </w:trPr>
        <w:tc>
          <w:tcPr>
            <w:tcW w:w="2175" w:type="dxa"/>
          </w:tcPr>
          <w:p w14:paraId="77B254D7" w14:textId="77777777" w:rsidR="00157AAA" w:rsidRDefault="006C1BE5">
            <w:pPr>
              <w:pStyle w:val="ITBHeading2"/>
              <w:spacing w:before="120" w:after="120"/>
            </w:pPr>
            <w:bookmarkStart w:id="184" w:name="_Toc438438842"/>
            <w:bookmarkStart w:id="185" w:name="_Toc438532605"/>
            <w:bookmarkStart w:id="186" w:name="_Toc438733986"/>
            <w:bookmarkStart w:id="187" w:name="_Toc438907025"/>
            <w:bookmarkStart w:id="188" w:name="_Toc438907224"/>
            <w:bookmarkStart w:id="189" w:name="_Toc23236765"/>
            <w:bookmarkStart w:id="190" w:name="_Toc125783008"/>
            <w:bookmarkStart w:id="191" w:name="_Toc434304513"/>
            <w:bookmarkStart w:id="192" w:name="_Toc43475006"/>
            <w:bookmarkStart w:id="193" w:name="_Toc43486472"/>
            <w:bookmarkStart w:id="194" w:name="_Toc163505728"/>
            <w:r>
              <w:lastRenderedPageBreak/>
              <w:t>Bid Security</w:t>
            </w:r>
            <w:bookmarkEnd w:id="184"/>
            <w:bookmarkEnd w:id="185"/>
            <w:bookmarkEnd w:id="186"/>
            <w:bookmarkEnd w:id="187"/>
            <w:bookmarkEnd w:id="188"/>
            <w:bookmarkEnd w:id="189"/>
            <w:bookmarkEnd w:id="190"/>
            <w:bookmarkEnd w:id="191"/>
            <w:bookmarkEnd w:id="192"/>
            <w:bookmarkEnd w:id="193"/>
            <w:bookmarkEnd w:id="194"/>
          </w:p>
        </w:tc>
        <w:tc>
          <w:tcPr>
            <w:tcW w:w="7290" w:type="dxa"/>
          </w:tcPr>
          <w:p w14:paraId="0F6DBF02" w14:textId="77777777" w:rsidR="00157AAA" w:rsidRDefault="006C1BE5" w:rsidP="00D530D5">
            <w:pPr>
              <w:pStyle w:val="Head12a"/>
              <w:numPr>
                <w:ilvl w:val="1"/>
                <w:numId w:val="59"/>
              </w:numPr>
              <w:spacing w:before="120"/>
              <w:ind w:left="702" w:hanging="720"/>
              <w:jc w:val="both"/>
              <w:rPr>
                <w:b w:val="0"/>
                <w:bCs/>
                <w:szCs w:val="24"/>
              </w:rPr>
            </w:pPr>
            <w:bookmarkStart w:id="195" w:name="_Toc43474895"/>
            <w:r>
              <w:rPr>
                <w:b w:val="0"/>
                <w:bCs/>
                <w:szCs w:val="24"/>
              </w:rPr>
              <w:t>The Bidder shall furnish as part of its Bid, either a Bid-Securing Declaration or a Bid Security as specified in the BDS, in original form and, in the case of a Bid Security, in the amount and currency specified in the BDS.</w:t>
            </w:r>
            <w:bookmarkEnd w:id="195"/>
            <w:r>
              <w:rPr>
                <w:b w:val="0"/>
                <w:bCs/>
                <w:szCs w:val="24"/>
              </w:rPr>
              <w:t xml:space="preserve"> </w:t>
            </w:r>
          </w:p>
        </w:tc>
      </w:tr>
      <w:tr w:rsidR="00157AAA" w14:paraId="6AF97C0E" w14:textId="77777777">
        <w:trPr>
          <w:cantSplit/>
        </w:trPr>
        <w:tc>
          <w:tcPr>
            <w:tcW w:w="2175" w:type="dxa"/>
          </w:tcPr>
          <w:p w14:paraId="02DE7DD7" w14:textId="77777777" w:rsidR="00157AAA" w:rsidRDefault="00157AAA">
            <w:pPr>
              <w:pStyle w:val="Head12a"/>
              <w:spacing w:before="120"/>
              <w:rPr>
                <w:szCs w:val="24"/>
              </w:rPr>
            </w:pPr>
          </w:p>
        </w:tc>
        <w:tc>
          <w:tcPr>
            <w:tcW w:w="7290" w:type="dxa"/>
          </w:tcPr>
          <w:p w14:paraId="2C8E5256" w14:textId="77777777" w:rsidR="00157AAA" w:rsidRDefault="006C1BE5" w:rsidP="00D530D5">
            <w:pPr>
              <w:pStyle w:val="Head12a"/>
              <w:numPr>
                <w:ilvl w:val="1"/>
                <w:numId w:val="59"/>
              </w:numPr>
              <w:spacing w:before="120"/>
              <w:ind w:left="702" w:hanging="720"/>
              <w:jc w:val="both"/>
              <w:rPr>
                <w:b w:val="0"/>
                <w:bCs/>
                <w:szCs w:val="24"/>
              </w:rPr>
            </w:pPr>
            <w:bookmarkStart w:id="196" w:name="_Toc43474896"/>
            <w:r>
              <w:rPr>
                <w:b w:val="0"/>
                <w:bCs/>
                <w:szCs w:val="24"/>
              </w:rPr>
              <w:t>A Bid-Securing Declaration shall use the form included in Section IV, Bidding Forms.</w:t>
            </w:r>
            <w:bookmarkEnd w:id="196"/>
          </w:p>
        </w:tc>
      </w:tr>
      <w:tr w:rsidR="00157AAA" w14:paraId="4B04CFCA" w14:textId="77777777">
        <w:trPr>
          <w:cantSplit/>
        </w:trPr>
        <w:tc>
          <w:tcPr>
            <w:tcW w:w="2175" w:type="dxa"/>
          </w:tcPr>
          <w:p w14:paraId="00190257" w14:textId="77777777" w:rsidR="00157AAA" w:rsidRDefault="00157AAA">
            <w:pPr>
              <w:pStyle w:val="Head12a"/>
              <w:spacing w:before="120"/>
              <w:rPr>
                <w:szCs w:val="24"/>
              </w:rPr>
            </w:pPr>
          </w:p>
        </w:tc>
        <w:tc>
          <w:tcPr>
            <w:tcW w:w="7290" w:type="dxa"/>
          </w:tcPr>
          <w:p w14:paraId="5A7B65FF" w14:textId="77777777" w:rsidR="00157AAA" w:rsidRDefault="006C1BE5" w:rsidP="00D530D5">
            <w:pPr>
              <w:pStyle w:val="Head12a"/>
              <w:numPr>
                <w:ilvl w:val="1"/>
                <w:numId w:val="59"/>
              </w:numPr>
              <w:spacing w:before="120"/>
              <w:ind w:left="702" w:hanging="720"/>
              <w:jc w:val="both"/>
              <w:rPr>
                <w:b w:val="0"/>
                <w:bCs/>
                <w:szCs w:val="24"/>
              </w:rPr>
            </w:pPr>
            <w:bookmarkStart w:id="197" w:name="_Toc43474897"/>
            <w:r>
              <w:rPr>
                <w:b w:val="0"/>
                <w:bCs/>
                <w:szCs w:val="24"/>
              </w:rPr>
              <w:t>If a Bid Security is specified pursuant to ITB 20.1, the bid security shall be a demand guarantee in any of the following forms at the Bidder’s option:</w:t>
            </w:r>
            <w:bookmarkEnd w:id="197"/>
          </w:p>
        </w:tc>
      </w:tr>
      <w:tr w:rsidR="00157AAA" w14:paraId="0FF971D1" w14:textId="77777777">
        <w:trPr>
          <w:cantSplit/>
        </w:trPr>
        <w:tc>
          <w:tcPr>
            <w:tcW w:w="2175" w:type="dxa"/>
          </w:tcPr>
          <w:p w14:paraId="12A44BEE" w14:textId="77777777" w:rsidR="00157AAA" w:rsidRDefault="00157AAA">
            <w:pPr>
              <w:pStyle w:val="Head12a"/>
              <w:spacing w:before="120"/>
              <w:rPr>
                <w:szCs w:val="24"/>
              </w:rPr>
            </w:pPr>
          </w:p>
        </w:tc>
        <w:tc>
          <w:tcPr>
            <w:tcW w:w="7290" w:type="dxa"/>
          </w:tcPr>
          <w:p w14:paraId="4401B13E" w14:textId="77777777" w:rsidR="00157AAA" w:rsidRDefault="006C1BE5" w:rsidP="00D530D5">
            <w:pPr>
              <w:pStyle w:val="P3Header1-Clauses"/>
              <w:numPr>
                <w:ilvl w:val="2"/>
                <w:numId w:val="3"/>
              </w:numPr>
              <w:tabs>
                <w:tab w:val="clear" w:pos="864"/>
              </w:tabs>
              <w:spacing w:before="120" w:after="120"/>
              <w:ind w:left="1152" w:hanging="630"/>
              <w:rPr>
                <w:bCs/>
                <w:szCs w:val="24"/>
              </w:rPr>
            </w:pPr>
            <w:r>
              <w:rPr>
                <w:b w:val="0"/>
                <w:bCs/>
                <w:szCs w:val="24"/>
              </w:rPr>
              <w:t xml:space="preserve">an unconditional guarantee issued by a </w:t>
            </w:r>
            <w:r>
              <w:rPr>
                <w:b w:val="0"/>
                <w:szCs w:val="24"/>
              </w:rPr>
              <w:t xml:space="preserve">non-bank financial institution (such as an insurance, </w:t>
            </w:r>
            <w:proofErr w:type="gramStart"/>
            <w:r>
              <w:rPr>
                <w:b w:val="0"/>
                <w:szCs w:val="24"/>
              </w:rPr>
              <w:t>bonding</w:t>
            </w:r>
            <w:proofErr w:type="gramEnd"/>
            <w:r>
              <w:rPr>
                <w:b w:val="0"/>
                <w:szCs w:val="24"/>
              </w:rPr>
              <w:t xml:space="preserve"> or surety company)</w:t>
            </w:r>
            <w:r>
              <w:rPr>
                <w:b w:val="0"/>
                <w:bCs/>
                <w:szCs w:val="24"/>
              </w:rPr>
              <w:t xml:space="preserve">; </w:t>
            </w:r>
          </w:p>
        </w:tc>
      </w:tr>
      <w:tr w:rsidR="00157AAA" w14:paraId="660DFBB5" w14:textId="77777777">
        <w:trPr>
          <w:cantSplit/>
        </w:trPr>
        <w:tc>
          <w:tcPr>
            <w:tcW w:w="2175" w:type="dxa"/>
          </w:tcPr>
          <w:p w14:paraId="6F900DAE" w14:textId="77777777" w:rsidR="00157AAA" w:rsidRDefault="00157AAA">
            <w:pPr>
              <w:pStyle w:val="Head12a"/>
              <w:spacing w:before="120"/>
              <w:rPr>
                <w:szCs w:val="24"/>
              </w:rPr>
            </w:pPr>
          </w:p>
        </w:tc>
        <w:tc>
          <w:tcPr>
            <w:tcW w:w="7290" w:type="dxa"/>
          </w:tcPr>
          <w:p w14:paraId="0469B33E" w14:textId="77777777" w:rsidR="00157AAA" w:rsidRDefault="006C1BE5" w:rsidP="00D530D5">
            <w:pPr>
              <w:pStyle w:val="P3Header1-Clauses"/>
              <w:numPr>
                <w:ilvl w:val="2"/>
                <w:numId w:val="3"/>
              </w:numPr>
              <w:tabs>
                <w:tab w:val="clear" w:pos="864"/>
              </w:tabs>
              <w:spacing w:before="120" w:after="120"/>
              <w:ind w:left="1152" w:hanging="630"/>
              <w:rPr>
                <w:szCs w:val="24"/>
              </w:rPr>
            </w:pPr>
            <w:r>
              <w:rPr>
                <w:b w:val="0"/>
                <w:bCs/>
                <w:szCs w:val="24"/>
              </w:rPr>
              <w:t xml:space="preserve">an irrevocable letter of credit; </w:t>
            </w:r>
          </w:p>
        </w:tc>
      </w:tr>
      <w:tr w:rsidR="00157AAA" w14:paraId="4E647B75" w14:textId="77777777">
        <w:trPr>
          <w:cantSplit/>
        </w:trPr>
        <w:tc>
          <w:tcPr>
            <w:tcW w:w="2175" w:type="dxa"/>
          </w:tcPr>
          <w:p w14:paraId="417E32B5" w14:textId="77777777" w:rsidR="00157AAA" w:rsidRDefault="00157AAA">
            <w:pPr>
              <w:pStyle w:val="Head12a"/>
              <w:spacing w:before="120"/>
              <w:rPr>
                <w:szCs w:val="24"/>
              </w:rPr>
            </w:pPr>
          </w:p>
        </w:tc>
        <w:tc>
          <w:tcPr>
            <w:tcW w:w="7290" w:type="dxa"/>
          </w:tcPr>
          <w:p w14:paraId="216C2F6F" w14:textId="77777777" w:rsidR="00157AAA" w:rsidRDefault="006C1BE5" w:rsidP="00D530D5">
            <w:pPr>
              <w:pStyle w:val="P3Header1-Clauses"/>
              <w:numPr>
                <w:ilvl w:val="2"/>
                <w:numId w:val="3"/>
              </w:numPr>
              <w:tabs>
                <w:tab w:val="clear" w:pos="864"/>
              </w:tabs>
              <w:spacing w:before="120" w:after="120"/>
              <w:ind w:left="1152" w:hanging="630"/>
              <w:rPr>
                <w:b w:val="0"/>
                <w:bCs/>
                <w:szCs w:val="24"/>
              </w:rPr>
            </w:pPr>
            <w:r>
              <w:rPr>
                <w:b w:val="0"/>
                <w:bCs/>
                <w:szCs w:val="24"/>
              </w:rPr>
              <w:t>a cashier’s or certified check; or</w:t>
            </w:r>
          </w:p>
        </w:tc>
      </w:tr>
      <w:tr w:rsidR="00157AAA" w14:paraId="0234723F" w14:textId="77777777">
        <w:trPr>
          <w:cantSplit/>
        </w:trPr>
        <w:tc>
          <w:tcPr>
            <w:tcW w:w="2175" w:type="dxa"/>
          </w:tcPr>
          <w:p w14:paraId="7FE111F0" w14:textId="77777777" w:rsidR="00157AAA" w:rsidRDefault="00157AAA">
            <w:pPr>
              <w:pStyle w:val="Head12a"/>
              <w:spacing w:before="120"/>
              <w:rPr>
                <w:szCs w:val="24"/>
              </w:rPr>
            </w:pPr>
          </w:p>
        </w:tc>
        <w:tc>
          <w:tcPr>
            <w:tcW w:w="7290" w:type="dxa"/>
          </w:tcPr>
          <w:p w14:paraId="787A2D9A" w14:textId="77777777" w:rsidR="00157AAA" w:rsidRDefault="006C1BE5" w:rsidP="00D530D5">
            <w:pPr>
              <w:pStyle w:val="P3Header1-Clauses"/>
              <w:numPr>
                <w:ilvl w:val="2"/>
                <w:numId w:val="3"/>
              </w:numPr>
              <w:tabs>
                <w:tab w:val="clear" w:pos="864"/>
              </w:tabs>
              <w:spacing w:before="120" w:after="120"/>
              <w:ind w:left="1152" w:hanging="630"/>
              <w:rPr>
                <w:b w:val="0"/>
                <w:bCs/>
                <w:szCs w:val="24"/>
              </w:rPr>
            </w:pPr>
            <w:r>
              <w:rPr>
                <w:b w:val="0"/>
                <w:bCs/>
                <w:szCs w:val="24"/>
              </w:rPr>
              <w:t>another security indicated</w:t>
            </w:r>
            <w:r>
              <w:rPr>
                <w:bCs/>
                <w:szCs w:val="24"/>
              </w:rPr>
              <w:t xml:space="preserve"> in the BDS,</w:t>
            </w:r>
          </w:p>
        </w:tc>
      </w:tr>
      <w:tr w:rsidR="00157AAA" w14:paraId="6356DC06" w14:textId="77777777">
        <w:trPr>
          <w:cantSplit/>
        </w:trPr>
        <w:tc>
          <w:tcPr>
            <w:tcW w:w="2175" w:type="dxa"/>
          </w:tcPr>
          <w:p w14:paraId="310F93C2" w14:textId="77777777" w:rsidR="00157AAA" w:rsidRDefault="00157AAA">
            <w:pPr>
              <w:pStyle w:val="Head12a"/>
              <w:spacing w:before="120"/>
              <w:rPr>
                <w:szCs w:val="24"/>
              </w:rPr>
            </w:pPr>
          </w:p>
        </w:tc>
        <w:tc>
          <w:tcPr>
            <w:tcW w:w="7290" w:type="dxa"/>
          </w:tcPr>
          <w:p w14:paraId="3DA44E26" w14:textId="77777777" w:rsidR="00157AAA" w:rsidRDefault="006C1BE5">
            <w:pPr>
              <w:pStyle w:val="S1-subpara"/>
              <w:spacing w:before="120" w:after="120"/>
              <w:ind w:left="612" w:right="-75"/>
              <w:rPr>
                <w:szCs w:val="24"/>
              </w:rPr>
            </w:pPr>
            <w:r>
              <w:rPr>
                <w:szCs w:val="24"/>
              </w:rPr>
              <w:t xml:space="preserve">from a reputable source from an eligible country. If an unconditional guarantee is issued by a non-bank financial institution located outside the Purchaser’s Country the issuing non-bank financial institution shall have a correspondent financial institution located in the Purchaser’s Country to make it enforceable unless the Purchaser has agreed in writing, prior to Bid submission, that a correspondent financial institution is not required. </w:t>
            </w:r>
            <w:r>
              <w:rPr>
                <w:bCs/>
                <w:szCs w:val="24"/>
              </w:rPr>
              <w:t>In the case of a bank guarantee, the Bid Security shall be submitted either using the Bid Security Form included in Section IV, Bidding Forms or in another substantially similar format approved by the Purchaser prior to Bid submission.  In either case, the form must include the complete name of the Bidder.  The Bid Security shall be valid for twenty-eight (28) days beyond the original date of expiry of the Bid validity, or beyond any extended date if requested under ITB 19.2.</w:t>
            </w:r>
          </w:p>
        </w:tc>
      </w:tr>
      <w:tr w:rsidR="00157AAA" w14:paraId="66CC0C9D" w14:textId="77777777">
        <w:trPr>
          <w:cantSplit/>
        </w:trPr>
        <w:tc>
          <w:tcPr>
            <w:tcW w:w="2175" w:type="dxa"/>
          </w:tcPr>
          <w:p w14:paraId="1643B251" w14:textId="77777777" w:rsidR="00157AAA" w:rsidRDefault="00157AAA">
            <w:pPr>
              <w:pStyle w:val="Head12a"/>
              <w:spacing w:before="120"/>
              <w:rPr>
                <w:szCs w:val="24"/>
              </w:rPr>
            </w:pPr>
          </w:p>
        </w:tc>
        <w:tc>
          <w:tcPr>
            <w:tcW w:w="7290" w:type="dxa"/>
          </w:tcPr>
          <w:p w14:paraId="3E1C82A0" w14:textId="77777777" w:rsidR="00157AAA" w:rsidRDefault="006C1BE5" w:rsidP="00D530D5">
            <w:pPr>
              <w:pStyle w:val="Head12a"/>
              <w:numPr>
                <w:ilvl w:val="1"/>
                <w:numId w:val="59"/>
              </w:numPr>
              <w:spacing w:before="120"/>
              <w:ind w:left="702" w:hanging="720"/>
              <w:jc w:val="both"/>
              <w:rPr>
                <w:b w:val="0"/>
                <w:bCs/>
                <w:szCs w:val="24"/>
              </w:rPr>
            </w:pPr>
            <w:bookmarkStart w:id="198" w:name="_Toc43474899"/>
            <w:r>
              <w:rPr>
                <w:b w:val="0"/>
                <w:bCs/>
                <w:szCs w:val="24"/>
              </w:rPr>
              <w:t>If a Bid Security or a Bid-Securing Declaration is specified pursuant to ITB 20.1, any Bid not accompanied by a substantially responsive Bid Security or Bid-Securing Declaration shall be rejected by the Purchaser as non-responsive.</w:t>
            </w:r>
            <w:bookmarkEnd w:id="198"/>
          </w:p>
        </w:tc>
      </w:tr>
      <w:tr w:rsidR="00157AAA" w14:paraId="1E49D5C7" w14:textId="77777777">
        <w:trPr>
          <w:cantSplit/>
        </w:trPr>
        <w:tc>
          <w:tcPr>
            <w:tcW w:w="2175" w:type="dxa"/>
          </w:tcPr>
          <w:p w14:paraId="3D0CD0BB" w14:textId="77777777" w:rsidR="00157AAA" w:rsidRDefault="00157AAA">
            <w:pPr>
              <w:pStyle w:val="Head12a"/>
              <w:spacing w:before="120"/>
              <w:rPr>
                <w:szCs w:val="24"/>
              </w:rPr>
            </w:pPr>
          </w:p>
        </w:tc>
        <w:tc>
          <w:tcPr>
            <w:tcW w:w="7290" w:type="dxa"/>
          </w:tcPr>
          <w:p w14:paraId="2FB06CC7" w14:textId="77777777" w:rsidR="00157AAA" w:rsidRDefault="006C1BE5" w:rsidP="00D530D5">
            <w:pPr>
              <w:pStyle w:val="Head12a"/>
              <w:numPr>
                <w:ilvl w:val="1"/>
                <w:numId w:val="59"/>
              </w:numPr>
              <w:spacing w:before="120"/>
              <w:ind w:left="702" w:hanging="720"/>
              <w:jc w:val="both"/>
              <w:rPr>
                <w:b w:val="0"/>
                <w:bCs/>
                <w:szCs w:val="24"/>
              </w:rPr>
            </w:pPr>
            <w:bookmarkStart w:id="199" w:name="_Toc43474900"/>
            <w:r>
              <w:rPr>
                <w:b w:val="0"/>
                <w:bCs/>
                <w:szCs w:val="24"/>
              </w:rPr>
              <w:t>If a Bid Security is specified pursuant to ITB 20.1, the Bid Security of unsuccessful Bidders shall be returned as promptly as possible upon the successful Bidder’s furnishing of the Performance Security pursuant to ITB 48.</w:t>
            </w:r>
            <w:bookmarkEnd w:id="199"/>
          </w:p>
        </w:tc>
      </w:tr>
      <w:tr w:rsidR="00157AAA" w14:paraId="6EF69295" w14:textId="77777777">
        <w:trPr>
          <w:cantSplit/>
        </w:trPr>
        <w:tc>
          <w:tcPr>
            <w:tcW w:w="2175" w:type="dxa"/>
          </w:tcPr>
          <w:p w14:paraId="119AF1B6" w14:textId="77777777" w:rsidR="00157AAA" w:rsidRDefault="00157AAA">
            <w:pPr>
              <w:pStyle w:val="Head12a"/>
              <w:spacing w:before="120"/>
              <w:rPr>
                <w:szCs w:val="24"/>
              </w:rPr>
            </w:pPr>
          </w:p>
        </w:tc>
        <w:tc>
          <w:tcPr>
            <w:tcW w:w="7290" w:type="dxa"/>
          </w:tcPr>
          <w:p w14:paraId="0037925C" w14:textId="77777777" w:rsidR="00157AAA" w:rsidRDefault="006C1BE5" w:rsidP="00D530D5">
            <w:pPr>
              <w:pStyle w:val="Head12a"/>
              <w:numPr>
                <w:ilvl w:val="1"/>
                <w:numId w:val="59"/>
              </w:numPr>
              <w:spacing w:before="120"/>
              <w:ind w:left="702" w:hanging="720"/>
              <w:jc w:val="both"/>
              <w:rPr>
                <w:b w:val="0"/>
                <w:bCs/>
                <w:szCs w:val="24"/>
              </w:rPr>
            </w:pPr>
            <w:bookmarkStart w:id="200" w:name="_Toc43474901"/>
            <w:r>
              <w:rPr>
                <w:b w:val="0"/>
                <w:bCs/>
                <w:szCs w:val="24"/>
              </w:rPr>
              <w:t>The Bid Security of the successful Bidder shall be returned as promptly as possible once the successful Bidder has signed the Contract and furnished the required Performance Security.</w:t>
            </w:r>
            <w:bookmarkEnd w:id="200"/>
          </w:p>
        </w:tc>
      </w:tr>
      <w:tr w:rsidR="00157AAA" w14:paraId="5B09C650" w14:textId="77777777">
        <w:trPr>
          <w:cantSplit/>
        </w:trPr>
        <w:tc>
          <w:tcPr>
            <w:tcW w:w="2175" w:type="dxa"/>
          </w:tcPr>
          <w:p w14:paraId="0462630F" w14:textId="77777777" w:rsidR="00157AAA" w:rsidRDefault="00157AAA">
            <w:pPr>
              <w:pStyle w:val="Head12a"/>
              <w:spacing w:before="120"/>
              <w:rPr>
                <w:szCs w:val="24"/>
              </w:rPr>
            </w:pPr>
          </w:p>
        </w:tc>
        <w:tc>
          <w:tcPr>
            <w:tcW w:w="7290" w:type="dxa"/>
          </w:tcPr>
          <w:p w14:paraId="4D7EDACA" w14:textId="77777777" w:rsidR="00157AAA" w:rsidRDefault="006C1BE5" w:rsidP="00D530D5">
            <w:pPr>
              <w:pStyle w:val="Head12a"/>
              <w:numPr>
                <w:ilvl w:val="1"/>
                <w:numId w:val="59"/>
              </w:numPr>
              <w:spacing w:before="120"/>
              <w:ind w:left="702" w:hanging="720"/>
              <w:jc w:val="both"/>
              <w:rPr>
                <w:b w:val="0"/>
                <w:bCs/>
                <w:szCs w:val="24"/>
              </w:rPr>
            </w:pPr>
            <w:bookmarkStart w:id="201" w:name="_Toc43474902"/>
            <w:r>
              <w:rPr>
                <w:b w:val="0"/>
                <w:bCs/>
                <w:szCs w:val="24"/>
              </w:rPr>
              <w:t>The Bid Security may be forfeited:</w:t>
            </w:r>
            <w:bookmarkEnd w:id="201"/>
          </w:p>
          <w:p w14:paraId="169C54E5" w14:textId="77777777" w:rsidR="00157AAA" w:rsidRDefault="006C1BE5" w:rsidP="00D530D5">
            <w:pPr>
              <w:pStyle w:val="P3Header1-Clauses"/>
              <w:numPr>
                <w:ilvl w:val="0"/>
                <w:numId w:val="5"/>
              </w:numPr>
              <w:tabs>
                <w:tab w:val="clear" w:pos="2556"/>
              </w:tabs>
              <w:spacing w:before="120" w:after="120"/>
              <w:ind w:left="1210" w:hanging="503"/>
              <w:rPr>
                <w:b w:val="0"/>
                <w:szCs w:val="24"/>
              </w:rPr>
            </w:pPr>
            <w:r>
              <w:rPr>
                <w:b w:val="0"/>
                <w:szCs w:val="24"/>
              </w:rPr>
              <w:t>if a Bidder</w:t>
            </w:r>
            <w:bookmarkStart w:id="202" w:name="_Toc438267890"/>
            <w:r>
              <w:rPr>
                <w:b w:val="0"/>
                <w:szCs w:val="24"/>
              </w:rPr>
              <w:t xml:space="preserve"> withdraws its Bid </w:t>
            </w:r>
            <w:proofErr w:type="gramStart"/>
            <w:r>
              <w:rPr>
                <w:b w:val="0"/>
                <w:szCs w:val="24"/>
              </w:rPr>
              <w:t>prior  to</w:t>
            </w:r>
            <w:proofErr w:type="gramEnd"/>
            <w:r>
              <w:rPr>
                <w:b w:val="0"/>
                <w:szCs w:val="24"/>
              </w:rPr>
              <w:t xml:space="preserve"> the expiry date of Bid validity specified by the Bidder on the Letter of Bid or any extended date provided by the Bidder; or</w:t>
            </w:r>
            <w:bookmarkEnd w:id="202"/>
          </w:p>
          <w:p w14:paraId="0671A30C" w14:textId="77777777" w:rsidR="00157AAA" w:rsidRDefault="006C1BE5" w:rsidP="00D530D5">
            <w:pPr>
              <w:pStyle w:val="P3Header1-Clauses"/>
              <w:numPr>
                <w:ilvl w:val="0"/>
                <w:numId w:val="5"/>
              </w:numPr>
              <w:tabs>
                <w:tab w:val="clear" w:pos="2556"/>
              </w:tabs>
              <w:spacing w:before="120" w:after="120"/>
              <w:ind w:left="1210" w:hanging="503"/>
              <w:rPr>
                <w:szCs w:val="24"/>
              </w:rPr>
            </w:pPr>
            <w:r>
              <w:rPr>
                <w:b w:val="0"/>
                <w:szCs w:val="24"/>
              </w:rPr>
              <w:t>if the successful Bidder fails to</w:t>
            </w:r>
            <w:r>
              <w:rPr>
                <w:szCs w:val="24"/>
              </w:rPr>
              <w:t>:</w:t>
            </w:r>
            <w:bookmarkStart w:id="203" w:name="_Toc438267892"/>
            <w:r>
              <w:rPr>
                <w:szCs w:val="24"/>
              </w:rPr>
              <w:t xml:space="preserve"> </w:t>
            </w:r>
            <w:bookmarkEnd w:id="203"/>
          </w:p>
          <w:p w14:paraId="5088AC45" w14:textId="77777777" w:rsidR="00157AAA" w:rsidRDefault="006C1BE5" w:rsidP="00D530D5">
            <w:pPr>
              <w:pStyle w:val="Heading4"/>
              <w:keepNext w:val="0"/>
              <w:numPr>
                <w:ilvl w:val="1"/>
                <w:numId w:val="4"/>
              </w:numPr>
              <w:spacing w:before="120"/>
              <w:ind w:left="1642" w:hanging="432"/>
              <w:jc w:val="both"/>
              <w:rPr>
                <w:b w:val="0"/>
                <w:spacing w:val="-4"/>
                <w:szCs w:val="24"/>
              </w:rPr>
            </w:pPr>
            <w:r>
              <w:rPr>
                <w:b w:val="0"/>
                <w:spacing w:val="-4"/>
                <w:szCs w:val="24"/>
              </w:rPr>
              <w:t>sign the Contract in accordance with ITB 47; or</w:t>
            </w:r>
          </w:p>
          <w:p w14:paraId="2645B3A7" w14:textId="77777777" w:rsidR="00157AAA" w:rsidRDefault="006C1BE5" w:rsidP="00D530D5">
            <w:pPr>
              <w:pStyle w:val="ListParagraph"/>
              <w:numPr>
                <w:ilvl w:val="1"/>
                <w:numId w:val="4"/>
              </w:numPr>
              <w:spacing w:before="120"/>
              <w:ind w:left="1620" w:right="-72" w:hanging="410"/>
              <w:contextualSpacing w:val="0"/>
              <w:rPr>
                <w:szCs w:val="24"/>
              </w:rPr>
            </w:pPr>
            <w:bookmarkStart w:id="204" w:name="_Toc438267893"/>
            <w:r>
              <w:rPr>
                <w:szCs w:val="24"/>
              </w:rPr>
              <w:t xml:space="preserve">furnish a performance security in accordance with ITB </w:t>
            </w:r>
            <w:bookmarkEnd w:id="204"/>
            <w:r>
              <w:rPr>
                <w:szCs w:val="24"/>
              </w:rPr>
              <w:t>48.</w:t>
            </w:r>
          </w:p>
        </w:tc>
      </w:tr>
      <w:tr w:rsidR="00157AAA" w14:paraId="0D538751" w14:textId="77777777">
        <w:trPr>
          <w:cantSplit/>
        </w:trPr>
        <w:tc>
          <w:tcPr>
            <w:tcW w:w="2175" w:type="dxa"/>
          </w:tcPr>
          <w:p w14:paraId="2109D131" w14:textId="77777777" w:rsidR="00157AAA" w:rsidRDefault="00157AAA">
            <w:pPr>
              <w:pStyle w:val="Head12a"/>
              <w:spacing w:before="120"/>
              <w:rPr>
                <w:szCs w:val="24"/>
              </w:rPr>
            </w:pPr>
          </w:p>
        </w:tc>
        <w:tc>
          <w:tcPr>
            <w:tcW w:w="7290" w:type="dxa"/>
          </w:tcPr>
          <w:p w14:paraId="10AB0E62" w14:textId="77777777" w:rsidR="00157AAA" w:rsidRDefault="006C1BE5" w:rsidP="00D530D5">
            <w:pPr>
              <w:pStyle w:val="Head12a"/>
              <w:numPr>
                <w:ilvl w:val="1"/>
                <w:numId w:val="59"/>
              </w:numPr>
              <w:spacing w:before="120"/>
              <w:ind w:left="702" w:hanging="720"/>
              <w:jc w:val="both"/>
              <w:rPr>
                <w:szCs w:val="24"/>
              </w:rPr>
            </w:pPr>
            <w:bookmarkStart w:id="205" w:name="_Toc43474903"/>
            <w:r>
              <w:rPr>
                <w:b w:val="0"/>
                <w:bCs/>
                <w:szCs w:val="24"/>
              </w:rPr>
              <w:t>The Bid Security or the Bid-Securing Declaration of a JV shall be in the name of the JV that submits the bid. If the JV has not been legally constituted into a legally enforceable JV at the time of Bidding, the Bid Security or the Bid-Securing Declaration shall be in the names of all future members as named in the letter of intent referred to in ITB 4.1 and ITB 11.2.</w:t>
            </w:r>
            <w:bookmarkEnd w:id="205"/>
            <w:r>
              <w:rPr>
                <w:szCs w:val="24"/>
              </w:rPr>
              <w:t xml:space="preserve"> </w:t>
            </w:r>
          </w:p>
        </w:tc>
      </w:tr>
      <w:tr w:rsidR="00157AAA" w14:paraId="58B46C32" w14:textId="77777777">
        <w:trPr>
          <w:cantSplit/>
        </w:trPr>
        <w:tc>
          <w:tcPr>
            <w:tcW w:w="2175" w:type="dxa"/>
          </w:tcPr>
          <w:p w14:paraId="587AED5D" w14:textId="77777777" w:rsidR="00157AAA" w:rsidRDefault="00157AAA">
            <w:pPr>
              <w:pStyle w:val="P3Header1-Clauses"/>
              <w:tabs>
                <w:tab w:val="left" w:pos="1260"/>
              </w:tabs>
              <w:spacing w:before="120" w:after="120"/>
              <w:ind w:left="1260" w:hanging="558"/>
              <w:jc w:val="both"/>
              <w:rPr>
                <w:b w:val="0"/>
                <w:szCs w:val="24"/>
              </w:rPr>
            </w:pPr>
          </w:p>
        </w:tc>
        <w:tc>
          <w:tcPr>
            <w:tcW w:w="7290" w:type="dxa"/>
          </w:tcPr>
          <w:p w14:paraId="7EF0F8CD" w14:textId="77777777" w:rsidR="00157AAA" w:rsidRDefault="006C1BE5" w:rsidP="00D530D5">
            <w:pPr>
              <w:pStyle w:val="Head12a"/>
              <w:numPr>
                <w:ilvl w:val="1"/>
                <w:numId w:val="59"/>
              </w:numPr>
              <w:spacing w:before="120"/>
              <w:ind w:left="702" w:hanging="720"/>
              <w:jc w:val="both"/>
              <w:rPr>
                <w:b w:val="0"/>
                <w:bCs/>
                <w:szCs w:val="24"/>
              </w:rPr>
            </w:pPr>
            <w:bookmarkStart w:id="206" w:name="_Toc43474904"/>
            <w:r>
              <w:rPr>
                <w:b w:val="0"/>
                <w:bCs/>
                <w:szCs w:val="24"/>
              </w:rPr>
              <w:t xml:space="preserve">If a Bid Security is not required in the BDS, </w:t>
            </w:r>
            <w:proofErr w:type="gramStart"/>
            <w:r>
              <w:rPr>
                <w:b w:val="0"/>
                <w:bCs/>
                <w:szCs w:val="24"/>
              </w:rPr>
              <w:t>and;</w:t>
            </w:r>
            <w:bookmarkEnd w:id="206"/>
            <w:proofErr w:type="gramEnd"/>
          </w:p>
          <w:p w14:paraId="7D85BF83" w14:textId="77777777" w:rsidR="00157AAA" w:rsidRDefault="006C1BE5">
            <w:pPr>
              <w:pStyle w:val="P3Header1-Clauses"/>
              <w:tabs>
                <w:tab w:val="left" w:pos="1260"/>
              </w:tabs>
              <w:spacing w:before="120" w:after="120"/>
              <w:ind w:left="1260" w:hanging="558"/>
              <w:jc w:val="both"/>
              <w:rPr>
                <w:b w:val="0"/>
                <w:szCs w:val="24"/>
              </w:rPr>
            </w:pPr>
            <w:r>
              <w:rPr>
                <w:b w:val="0"/>
                <w:szCs w:val="24"/>
              </w:rPr>
              <w:t>(a)</w:t>
            </w:r>
            <w:r>
              <w:rPr>
                <w:b w:val="0"/>
                <w:szCs w:val="24"/>
              </w:rPr>
              <w:tab/>
              <w:t>if a Bidder withdraws its Bid prior to the expiry date of the Bid validity specified by the Bidder on the Letter of Bid, or any extended date provided by the Bidder; or</w:t>
            </w:r>
          </w:p>
          <w:p w14:paraId="0F110C4A" w14:textId="77777777" w:rsidR="00157AAA" w:rsidRDefault="006C1BE5">
            <w:pPr>
              <w:pStyle w:val="P3Header1-Clauses"/>
              <w:tabs>
                <w:tab w:val="left" w:pos="1260"/>
              </w:tabs>
              <w:spacing w:before="120" w:after="120"/>
              <w:ind w:left="1260" w:hanging="558"/>
              <w:jc w:val="both"/>
              <w:rPr>
                <w:szCs w:val="24"/>
              </w:rPr>
            </w:pPr>
            <w:r>
              <w:rPr>
                <w:b w:val="0"/>
                <w:szCs w:val="24"/>
              </w:rPr>
              <w:t>(b)</w:t>
            </w:r>
            <w:r>
              <w:rPr>
                <w:b w:val="0"/>
                <w:szCs w:val="24"/>
              </w:rPr>
              <w:tab/>
              <w:t xml:space="preserve">if the successful Bidder fails to: sign the Contract in accordance with ITB 47; or furnish a Performance Security in accordance with ITB </w:t>
            </w:r>
            <w:proofErr w:type="gramStart"/>
            <w:r>
              <w:rPr>
                <w:b w:val="0"/>
                <w:szCs w:val="24"/>
              </w:rPr>
              <w:t>48;</w:t>
            </w:r>
            <w:proofErr w:type="gramEnd"/>
            <w:r>
              <w:rPr>
                <w:szCs w:val="24"/>
              </w:rPr>
              <w:t xml:space="preserve"> </w:t>
            </w:r>
          </w:p>
          <w:p w14:paraId="1C112490" w14:textId="77777777" w:rsidR="00157AAA" w:rsidRDefault="006C1BE5">
            <w:pPr>
              <w:pStyle w:val="P3Header1-Clauses"/>
              <w:tabs>
                <w:tab w:val="left" w:pos="1260"/>
              </w:tabs>
              <w:spacing w:before="120" w:after="120"/>
              <w:ind w:left="702"/>
              <w:jc w:val="both"/>
              <w:rPr>
                <w:szCs w:val="24"/>
              </w:rPr>
            </w:pPr>
            <w:r>
              <w:rPr>
                <w:b w:val="0"/>
                <w:szCs w:val="24"/>
              </w:rPr>
              <w:t xml:space="preserve">the Purchaser may, if provided for </w:t>
            </w:r>
            <w:r>
              <w:rPr>
                <w:szCs w:val="24"/>
              </w:rPr>
              <w:t>in the BDS</w:t>
            </w:r>
            <w:r>
              <w:rPr>
                <w:b w:val="0"/>
                <w:szCs w:val="24"/>
              </w:rPr>
              <w:t xml:space="preserve">, declare the Bidder disqualified to be awarded a contract by the Purchaser for </w:t>
            </w:r>
            <w:proofErr w:type="gramStart"/>
            <w:r>
              <w:rPr>
                <w:b w:val="0"/>
                <w:szCs w:val="24"/>
              </w:rPr>
              <w:t>a period of time</w:t>
            </w:r>
            <w:proofErr w:type="gramEnd"/>
            <w:r>
              <w:rPr>
                <w:b w:val="0"/>
                <w:szCs w:val="24"/>
              </w:rPr>
              <w:t xml:space="preserve"> as stated </w:t>
            </w:r>
            <w:r>
              <w:rPr>
                <w:szCs w:val="24"/>
              </w:rPr>
              <w:t>in the BDS</w:t>
            </w:r>
            <w:r>
              <w:rPr>
                <w:b w:val="0"/>
                <w:szCs w:val="24"/>
              </w:rPr>
              <w:t>.</w:t>
            </w:r>
          </w:p>
        </w:tc>
      </w:tr>
      <w:tr w:rsidR="00157AAA" w14:paraId="1659C26D" w14:textId="77777777">
        <w:trPr>
          <w:cantSplit/>
        </w:trPr>
        <w:tc>
          <w:tcPr>
            <w:tcW w:w="2175" w:type="dxa"/>
          </w:tcPr>
          <w:p w14:paraId="1CA7A9BC" w14:textId="77777777" w:rsidR="00157AAA" w:rsidRDefault="006C1BE5">
            <w:pPr>
              <w:pStyle w:val="ITBHeading2"/>
              <w:spacing w:before="120" w:after="120"/>
            </w:pPr>
            <w:bookmarkStart w:id="207" w:name="_Toc434304514"/>
            <w:bookmarkStart w:id="208" w:name="_Toc43475007"/>
            <w:bookmarkStart w:id="209" w:name="_Toc43486473"/>
            <w:bookmarkStart w:id="210" w:name="_Toc163505729"/>
            <w:r>
              <w:lastRenderedPageBreak/>
              <w:t>Format and Signing of Bid</w:t>
            </w:r>
            <w:bookmarkEnd w:id="207"/>
            <w:bookmarkEnd w:id="208"/>
            <w:bookmarkEnd w:id="209"/>
            <w:bookmarkEnd w:id="210"/>
          </w:p>
        </w:tc>
        <w:tc>
          <w:tcPr>
            <w:tcW w:w="7290" w:type="dxa"/>
          </w:tcPr>
          <w:p w14:paraId="67275687" w14:textId="77777777" w:rsidR="00157AAA" w:rsidRDefault="006C1BE5" w:rsidP="00D530D5">
            <w:pPr>
              <w:pStyle w:val="Head12a"/>
              <w:numPr>
                <w:ilvl w:val="1"/>
                <w:numId w:val="59"/>
              </w:numPr>
              <w:spacing w:before="120"/>
              <w:ind w:left="702" w:hanging="720"/>
              <w:jc w:val="both"/>
              <w:rPr>
                <w:b w:val="0"/>
                <w:bCs/>
                <w:szCs w:val="24"/>
              </w:rPr>
            </w:pPr>
            <w:bookmarkStart w:id="211" w:name="_Toc43474905"/>
            <w:r>
              <w:rPr>
                <w:b w:val="0"/>
                <w:bCs/>
                <w:szCs w:val="24"/>
              </w:rPr>
              <w:t>The Bidder shall prepare one original of the documents comprising the Bid as described in ITB 11 and clearly mark it “Original.” Alternative Bids, if permitted in accordance with ITB 13, shall be clearly marked “Alternative”. In addition, the Bidder shall submit copies of the Bid, in the number specified in the BDS and clearly mark them “Copy.”  In the event of any discrepancy between the original and the copies, the original shall prevail.</w:t>
            </w:r>
            <w:bookmarkEnd w:id="211"/>
          </w:p>
          <w:p w14:paraId="6B2F72F3" w14:textId="77777777" w:rsidR="00157AAA" w:rsidRDefault="006C1BE5" w:rsidP="00D530D5">
            <w:pPr>
              <w:pStyle w:val="Head12a"/>
              <w:numPr>
                <w:ilvl w:val="1"/>
                <w:numId w:val="59"/>
              </w:numPr>
              <w:spacing w:before="120"/>
              <w:ind w:left="702" w:hanging="720"/>
              <w:jc w:val="both"/>
              <w:rPr>
                <w:b w:val="0"/>
                <w:bCs/>
                <w:szCs w:val="24"/>
              </w:rPr>
            </w:pPr>
            <w:bookmarkStart w:id="212" w:name="_Toc43474906"/>
            <w:r>
              <w:rPr>
                <w:b w:val="0"/>
                <w:bCs/>
                <w:szCs w:val="24"/>
              </w:rPr>
              <w:t>Bidders shall mark as “CONFIDENTIAL” information in their Bids which is confidential to their business. This may include proprietary information, trade secrets, or commercial or financially sensitive information.</w:t>
            </w:r>
            <w:bookmarkEnd w:id="212"/>
            <w:r>
              <w:rPr>
                <w:b w:val="0"/>
                <w:bCs/>
                <w:szCs w:val="24"/>
              </w:rPr>
              <w:t xml:space="preserve"> </w:t>
            </w:r>
          </w:p>
        </w:tc>
      </w:tr>
      <w:tr w:rsidR="00157AAA" w14:paraId="1B04CCEB" w14:textId="77777777">
        <w:trPr>
          <w:cantSplit/>
        </w:trPr>
        <w:tc>
          <w:tcPr>
            <w:tcW w:w="2175" w:type="dxa"/>
          </w:tcPr>
          <w:p w14:paraId="0C8483AD" w14:textId="77777777" w:rsidR="00157AAA" w:rsidRDefault="00157AAA">
            <w:pPr>
              <w:pStyle w:val="Head12a"/>
              <w:spacing w:before="120"/>
              <w:rPr>
                <w:szCs w:val="24"/>
              </w:rPr>
            </w:pPr>
          </w:p>
        </w:tc>
        <w:tc>
          <w:tcPr>
            <w:tcW w:w="7290" w:type="dxa"/>
          </w:tcPr>
          <w:p w14:paraId="52BC408A" w14:textId="77777777" w:rsidR="00157AAA" w:rsidRDefault="006C1BE5" w:rsidP="00D530D5">
            <w:pPr>
              <w:pStyle w:val="Head12a"/>
              <w:numPr>
                <w:ilvl w:val="1"/>
                <w:numId w:val="59"/>
              </w:numPr>
              <w:spacing w:before="120"/>
              <w:ind w:left="702" w:hanging="720"/>
              <w:jc w:val="both"/>
              <w:rPr>
                <w:b w:val="0"/>
                <w:bCs/>
                <w:szCs w:val="24"/>
              </w:rPr>
            </w:pPr>
            <w:bookmarkStart w:id="213" w:name="_Toc43474907"/>
            <w:r>
              <w:rPr>
                <w:b w:val="0"/>
                <w:bCs/>
                <w:szCs w:val="24"/>
              </w:rPr>
              <w:t>The original and all copies of the Bid shall be typed or written in indelible ink and shall be signed by a person duly authorized to sign on behalf of the Bidder.  This authorization shall consist of a written confirmation as specified in the BDS and shall be attached to the Bid.  The name and position held by each person signing the authorization must be typed or printed below the signature.  All pages of the Bid where entries or amendments have been made shall be signed or initialed by the person signing the Bid.</w:t>
            </w:r>
            <w:bookmarkEnd w:id="213"/>
          </w:p>
        </w:tc>
      </w:tr>
      <w:tr w:rsidR="00157AAA" w14:paraId="24C84657" w14:textId="77777777">
        <w:trPr>
          <w:cantSplit/>
        </w:trPr>
        <w:tc>
          <w:tcPr>
            <w:tcW w:w="2175" w:type="dxa"/>
          </w:tcPr>
          <w:p w14:paraId="22362498" w14:textId="77777777" w:rsidR="00157AAA" w:rsidRDefault="00157AAA">
            <w:pPr>
              <w:pStyle w:val="Head12a"/>
              <w:spacing w:before="120"/>
              <w:rPr>
                <w:szCs w:val="24"/>
              </w:rPr>
            </w:pPr>
          </w:p>
        </w:tc>
        <w:tc>
          <w:tcPr>
            <w:tcW w:w="7290" w:type="dxa"/>
          </w:tcPr>
          <w:p w14:paraId="1226B12A" w14:textId="77777777" w:rsidR="00157AAA" w:rsidRDefault="006C1BE5" w:rsidP="00D530D5">
            <w:pPr>
              <w:pStyle w:val="Head12a"/>
              <w:numPr>
                <w:ilvl w:val="1"/>
                <w:numId w:val="59"/>
              </w:numPr>
              <w:spacing w:before="120"/>
              <w:ind w:left="702" w:hanging="720"/>
              <w:jc w:val="both"/>
              <w:rPr>
                <w:b w:val="0"/>
                <w:bCs/>
                <w:szCs w:val="24"/>
              </w:rPr>
            </w:pPr>
            <w:bookmarkStart w:id="214" w:name="_Toc43474908"/>
            <w:r>
              <w:rPr>
                <w:b w:val="0"/>
                <w:bCs/>
                <w:szCs w:val="24"/>
              </w:rPr>
              <w:t xml:space="preserve">In case the Bidder is a JV, the Bid shall be signed by an authorized representative of the JV on behalf of the JV, and </w:t>
            </w:r>
            <w:proofErr w:type="gramStart"/>
            <w:r>
              <w:rPr>
                <w:b w:val="0"/>
                <w:bCs/>
                <w:szCs w:val="24"/>
              </w:rPr>
              <w:t>so as to</w:t>
            </w:r>
            <w:proofErr w:type="gramEnd"/>
            <w:r>
              <w:rPr>
                <w:b w:val="0"/>
                <w:bCs/>
                <w:szCs w:val="24"/>
              </w:rPr>
              <w:t xml:space="preserve"> be legally binding on all the members as evidenced by a power of attorney signed by their legally authorized representatives.</w:t>
            </w:r>
            <w:bookmarkEnd w:id="214"/>
          </w:p>
          <w:p w14:paraId="716758D8" w14:textId="77777777" w:rsidR="00157AAA" w:rsidRDefault="006C1BE5" w:rsidP="00D530D5">
            <w:pPr>
              <w:pStyle w:val="Head12a"/>
              <w:numPr>
                <w:ilvl w:val="1"/>
                <w:numId w:val="59"/>
              </w:numPr>
              <w:spacing w:before="120"/>
              <w:ind w:left="702" w:hanging="720"/>
              <w:jc w:val="both"/>
              <w:rPr>
                <w:b w:val="0"/>
                <w:bCs/>
                <w:szCs w:val="24"/>
              </w:rPr>
            </w:pPr>
            <w:bookmarkStart w:id="215" w:name="_Toc43474909"/>
            <w:r>
              <w:rPr>
                <w:b w:val="0"/>
                <w:bCs/>
                <w:szCs w:val="24"/>
              </w:rPr>
              <w:t>Any interlineations, erasures, or overwriting shall be valid only if they are signed or initialed by the person signing the Bid.</w:t>
            </w:r>
            <w:bookmarkEnd w:id="215"/>
          </w:p>
        </w:tc>
      </w:tr>
    </w:tbl>
    <w:p w14:paraId="323F326D" w14:textId="77777777" w:rsidR="00157AAA" w:rsidRDefault="006C1BE5">
      <w:pPr>
        <w:pStyle w:val="ITBHeading1"/>
      </w:pPr>
      <w:bookmarkStart w:id="216" w:name="_Toc434304515"/>
      <w:bookmarkStart w:id="217" w:name="_Toc43475008"/>
      <w:bookmarkStart w:id="218" w:name="_Toc43486474"/>
      <w:bookmarkStart w:id="219" w:name="_Toc163505730"/>
      <w:r>
        <w:t>D. Submission and Opening of Bids</w:t>
      </w:r>
      <w:bookmarkEnd w:id="216"/>
      <w:bookmarkEnd w:id="217"/>
      <w:bookmarkEnd w:id="218"/>
      <w:bookmarkEnd w:id="219"/>
    </w:p>
    <w:tbl>
      <w:tblPr>
        <w:tblW w:w="9392" w:type="dxa"/>
        <w:tblLayout w:type="fixed"/>
        <w:tblLook w:val="0000" w:firstRow="0" w:lastRow="0" w:firstColumn="0" w:lastColumn="0" w:noHBand="0" w:noVBand="0"/>
      </w:tblPr>
      <w:tblGrid>
        <w:gridCol w:w="2410"/>
        <w:gridCol w:w="6974"/>
        <w:gridCol w:w="8"/>
      </w:tblGrid>
      <w:tr w:rsidR="00157AAA" w14:paraId="1E8E46EA" w14:textId="77777777">
        <w:tc>
          <w:tcPr>
            <w:tcW w:w="2410" w:type="dxa"/>
          </w:tcPr>
          <w:p w14:paraId="3D7E49A1" w14:textId="77777777" w:rsidR="00157AAA" w:rsidRDefault="006C1BE5">
            <w:pPr>
              <w:pStyle w:val="ITBHeading2"/>
              <w:spacing w:before="120" w:after="120"/>
            </w:pPr>
            <w:bookmarkStart w:id="220" w:name="_Toc438438845"/>
            <w:bookmarkStart w:id="221" w:name="_Toc438532614"/>
            <w:bookmarkStart w:id="222" w:name="_Toc438733989"/>
            <w:bookmarkStart w:id="223" w:name="_Toc438907027"/>
            <w:bookmarkStart w:id="224" w:name="_Toc438907226"/>
            <w:bookmarkStart w:id="225" w:name="_Toc23236768"/>
            <w:bookmarkStart w:id="226" w:name="_Toc125783011"/>
            <w:bookmarkStart w:id="227" w:name="_Toc433185102"/>
            <w:bookmarkStart w:id="228" w:name="_Toc43475009"/>
            <w:bookmarkStart w:id="229" w:name="_Toc43486475"/>
            <w:bookmarkStart w:id="230" w:name="_Toc163505731"/>
            <w:r>
              <w:t>Submission, Sealing and Marking of Bids</w:t>
            </w:r>
            <w:bookmarkEnd w:id="220"/>
            <w:bookmarkEnd w:id="221"/>
            <w:bookmarkEnd w:id="222"/>
            <w:bookmarkEnd w:id="223"/>
            <w:bookmarkEnd w:id="224"/>
            <w:bookmarkEnd w:id="225"/>
            <w:bookmarkEnd w:id="226"/>
            <w:bookmarkEnd w:id="227"/>
            <w:bookmarkEnd w:id="228"/>
            <w:bookmarkEnd w:id="229"/>
            <w:bookmarkEnd w:id="230"/>
          </w:p>
        </w:tc>
        <w:tc>
          <w:tcPr>
            <w:tcW w:w="6982" w:type="dxa"/>
            <w:gridSpan w:val="2"/>
          </w:tcPr>
          <w:p w14:paraId="30DB6AA6" w14:textId="77777777" w:rsidR="00157AAA" w:rsidRDefault="006C1BE5" w:rsidP="00D530D5">
            <w:pPr>
              <w:pStyle w:val="Head12a"/>
              <w:numPr>
                <w:ilvl w:val="1"/>
                <w:numId w:val="59"/>
              </w:numPr>
              <w:spacing w:before="120"/>
              <w:ind w:left="702" w:hanging="720"/>
              <w:jc w:val="both"/>
              <w:rPr>
                <w:b w:val="0"/>
                <w:bCs/>
                <w:szCs w:val="24"/>
              </w:rPr>
            </w:pPr>
            <w:bookmarkStart w:id="231" w:name="_Toc43474910"/>
            <w:r>
              <w:rPr>
                <w:b w:val="0"/>
                <w:bCs/>
                <w:szCs w:val="24"/>
              </w:rPr>
              <w:t>The Bidder shall deliver the Bid in a single, sealed envelope (one (1) envelope process). Within the single envelope the Bidder shall place the following separate, sealed envelopes:</w:t>
            </w:r>
            <w:bookmarkEnd w:id="231"/>
          </w:p>
          <w:p w14:paraId="6C972EE1" w14:textId="77777777" w:rsidR="00157AAA" w:rsidRDefault="006C1BE5" w:rsidP="00D530D5">
            <w:pPr>
              <w:pStyle w:val="Sub-ClauseText"/>
              <w:numPr>
                <w:ilvl w:val="2"/>
                <w:numId w:val="60"/>
              </w:numPr>
              <w:tabs>
                <w:tab w:val="clear" w:pos="864"/>
              </w:tabs>
              <w:ind w:left="1526" w:right="-75" w:hanging="702"/>
              <w:rPr>
                <w:spacing w:val="0"/>
                <w:szCs w:val="24"/>
              </w:rPr>
            </w:pPr>
            <w:r>
              <w:rPr>
                <w:spacing w:val="0"/>
                <w:szCs w:val="24"/>
              </w:rPr>
              <w:t xml:space="preserve">in an envelope marked “ORIGINAL”, all documents comprising the Bid, as described in ITB 11; and </w:t>
            </w:r>
          </w:p>
          <w:p w14:paraId="7EEE6000" w14:textId="77777777" w:rsidR="00157AAA" w:rsidRDefault="006C1BE5" w:rsidP="00D530D5">
            <w:pPr>
              <w:pStyle w:val="Sub-ClauseText"/>
              <w:numPr>
                <w:ilvl w:val="2"/>
                <w:numId w:val="3"/>
              </w:numPr>
              <w:tabs>
                <w:tab w:val="clear" w:pos="864"/>
              </w:tabs>
              <w:ind w:left="1532" w:right="-75" w:hanging="629"/>
              <w:rPr>
                <w:spacing w:val="0"/>
                <w:szCs w:val="24"/>
              </w:rPr>
            </w:pPr>
            <w:r>
              <w:rPr>
                <w:spacing w:val="0"/>
                <w:szCs w:val="24"/>
              </w:rPr>
              <w:t xml:space="preserve">in an envelope marked “COPIES”, all required copies of the Bid; and, </w:t>
            </w:r>
          </w:p>
          <w:p w14:paraId="19E5E05B" w14:textId="77777777" w:rsidR="00157AAA" w:rsidRDefault="006C1BE5" w:rsidP="00D530D5">
            <w:pPr>
              <w:pStyle w:val="Sub-ClauseText"/>
              <w:numPr>
                <w:ilvl w:val="2"/>
                <w:numId w:val="3"/>
              </w:numPr>
              <w:tabs>
                <w:tab w:val="clear" w:pos="864"/>
              </w:tabs>
              <w:ind w:left="1532" w:right="-75" w:hanging="629"/>
              <w:rPr>
                <w:spacing w:val="0"/>
                <w:szCs w:val="24"/>
              </w:rPr>
            </w:pPr>
            <w:r>
              <w:rPr>
                <w:spacing w:val="0"/>
                <w:szCs w:val="24"/>
              </w:rPr>
              <w:t>if alternative Bids are permitted in accordance with ITB 13, and if relevant:</w:t>
            </w:r>
          </w:p>
          <w:p w14:paraId="22DCBC61" w14:textId="77777777" w:rsidR="00157AAA" w:rsidRDefault="006C1BE5" w:rsidP="00D530D5">
            <w:pPr>
              <w:pStyle w:val="Sub-ClauseText"/>
              <w:numPr>
                <w:ilvl w:val="0"/>
                <w:numId w:val="20"/>
              </w:numPr>
              <w:ind w:left="2072" w:right="-75" w:hanging="540"/>
              <w:jc w:val="left"/>
              <w:rPr>
                <w:spacing w:val="0"/>
                <w:szCs w:val="24"/>
              </w:rPr>
            </w:pPr>
            <w:r>
              <w:rPr>
                <w:spacing w:val="0"/>
                <w:szCs w:val="24"/>
              </w:rPr>
              <w:t>in an envelope marked “ORIGINAL – ALTERNATIVE BID”, the alternative Bid; and</w:t>
            </w:r>
          </w:p>
          <w:p w14:paraId="0933AD5C" w14:textId="77777777" w:rsidR="00157AAA" w:rsidRDefault="006C1BE5" w:rsidP="00D530D5">
            <w:pPr>
              <w:pStyle w:val="Sub-ClauseText"/>
              <w:numPr>
                <w:ilvl w:val="0"/>
                <w:numId w:val="20"/>
              </w:numPr>
              <w:ind w:left="2072" w:right="-75" w:hanging="540"/>
              <w:jc w:val="left"/>
              <w:rPr>
                <w:szCs w:val="24"/>
              </w:rPr>
            </w:pPr>
            <w:r>
              <w:rPr>
                <w:szCs w:val="24"/>
              </w:rPr>
              <w:lastRenderedPageBreak/>
              <w:t>in the envelope marked “COPIES – ALTERNATIVE BID” all required copies of the alternative Bid.</w:t>
            </w:r>
          </w:p>
        </w:tc>
      </w:tr>
      <w:tr w:rsidR="00157AAA" w14:paraId="6C6B5281" w14:textId="77777777">
        <w:tc>
          <w:tcPr>
            <w:tcW w:w="2410" w:type="dxa"/>
          </w:tcPr>
          <w:p w14:paraId="53434417" w14:textId="77777777" w:rsidR="00157AAA" w:rsidRDefault="00157AAA">
            <w:pPr>
              <w:spacing w:before="120"/>
              <w:rPr>
                <w:szCs w:val="24"/>
              </w:rPr>
            </w:pPr>
          </w:p>
        </w:tc>
        <w:tc>
          <w:tcPr>
            <w:tcW w:w="6982" w:type="dxa"/>
            <w:gridSpan w:val="2"/>
          </w:tcPr>
          <w:p w14:paraId="56981253" w14:textId="77777777" w:rsidR="00157AAA" w:rsidRDefault="006C1BE5" w:rsidP="00D530D5">
            <w:pPr>
              <w:pStyle w:val="Head12a"/>
              <w:numPr>
                <w:ilvl w:val="1"/>
                <w:numId w:val="59"/>
              </w:numPr>
              <w:spacing w:before="120"/>
              <w:ind w:left="702" w:hanging="720"/>
              <w:jc w:val="both"/>
              <w:rPr>
                <w:b w:val="0"/>
                <w:bCs/>
                <w:szCs w:val="24"/>
              </w:rPr>
            </w:pPr>
            <w:bookmarkStart w:id="232" w:name="_Toc43474911"/>
            <w:r>
              <w:rPr>
                <w:b w:val="0"/>
                <w:bCs/>
                <w:szCs w:val="24"/>
              </w:rPr>
              <w:t>The inner and outer envelopes shall:</w:t>
            </w:r>
            <w:bookmarkEnd w:id="232"/>
          </w:p>
          <w:p w14:paraId="2303F08B" w14:textId="77777777" w:rsidR="00157AAA" w:rsidRDefault="006C1BE5" w:rsidP="00D530D5">
            <w:pPr>
              <w:pStyle w:val="Sub-ClauseText"/>
              <w:numPr>
                <w:ilvl w:val="2"/>
                <w:numId w:val="43"/>
              </w:numPr>
              <w:tabs>
                <w:tab w:val="clear" w:pos="864"/>
              </w:tabs>
              <w:ind w:left="1532" w:right="-75" w:hanging="540"/>
              <w:rPr>
                <w:bCs/>
                <w:spacing w:val="0"/>
                <w:szCs w:val="24"/>
              </w:rPr>
            </w:pPr>
            <w:r>
              <w:rPr>
                <w:bCs/>
                <w:spacing w:val="0"/>
                <w:szCs w:val="24"/>
              </w:rPr>
              <w:t xml:space="preserve">bear the name and address of the </w:t>
            </w:r>
            <w:proofErr w:type="gramStart"/>
            <w:r>
              <w:rPr>
                <w:bCs/>
                <w:spacing w:val="0"/>
                <w:szCs w:val="24"/>
              </w:rPr>
              <w:t>Bidder;</w:t>
            </w:r>
            <w:proofErr w:type="gramEnd"/>
          </w:p>
          <w:p w14:paraId="692FB7AC" w14:textId="77777777" w:rsidR="00157AAA" w:rsidRDefault="006C1BE5" w:rsidP="00D530D5">
            <w:pPr>
              <w:pStyle w:val="Sub-ClauseText"/>
              <w:numPr>
                <w:ilvl w:val="2"/>
                <w:numId w:val="43"/>
              </w:numPr>
              <w:tabs>
                <w:tab w:val="clear" w:pos="864"/>
              </w:tabs>
              <w:ind w:left="1532" w:right="-75" w:hanging="540"/>
              <w:rPr>
                <w:bCs/>
                <w:spacing w:val="0"/>
                <w:szCs w:val="24"/>
              </w:rPr>
            </w:pPr>
            <w:r>
              <w:rPr>
                <w:bCs/>
                <w:spacing w:val="0"/>
                <w:szCs w:val="24"/>
              </w:rPr>
              <w:t xml:space="preserve">be addressed to the Purchaser in accordance with ITB </w:t>
            </w:r>
            <w:proofErr w:type="gramStart"/>
            <w:r>
              <w:rPr>
                <w:bCs/>
                <w:spacing w:val="0"/>
                <w:szCs w:val="24"/>
              </w:rPr>
              <w:t>23.1;</w:t>
            </w:r>
            <w:proofErr w:type="gramEnd"/>
          </w:p>
          <w:p w14:paraId="66A61DA5" w14:textId="77777777" w:rsidR="00157AAA" w:rsidRDefault="006C1BE5">
            <w:pPr>
              <w:spacing w:before="120"/>
              <w:ind w:left="1532" w:hanging="540"/>
              <w:rPr>
                <w:bCs/>
                <w:szCs w:val="24"/>
              </w:rPr>
            </w:pPr>
            <w:r>
              <w:rPr>
                <w:bCs/>
                <w:szCs w:val="24"/>
              </w:rPr>
              <w:t>(c)</w:t>
            </w:r>
            <w:r>
              <w:rPr>
                <w:bCs/>
                <w:szCs w:val="24"/>
              </w:rPr>
              <w:tab/>
              <w:t>bear the specific identification of this Bidding process indicated in accordance with ITB 1.1; and</w:t>
            </w:r>
          </w:p>
          <w:p w14:paraId="0DCC2CD2" w14:textId="77777777" w:rsidR="00157AAA" w:rsidRDefault="006C1BE5">
            <w:pPr>
              <w:spacing w:before="120"/>
              <w:ind w:left="1532" w:hanging="540"/>
              <w:rPr>
                <w:bCs/>
                <w:szCs w:val="24"/>
              </w:rPr>
            </w:pPr>
            <w:r>
              <w:rPr>
                <w:bCs/>
                <w:szCs w:val="24"/>
              </w:rPr>
              <w:t>(d)</w:t>
            </w:r>
            <w:r>
              <w:rPr>
                <w:bCs/>
                <w:szCs w:val="24"/>
              </w:rPr>
              <w:tab/>
              <w:t>bear a warning not to open before the time and date for Bid opening.</w:t>
            </w:r>
          </w:p>
          <w:p w14:paraId="6CE01AA6" w14:textId="77777777" w:rsidR="00157AAA" w:rsidRDefault="006C1BE5" w:rsidP="00D530D5">
            <w:pPr>
              <w:pStyle w:val="Head12a"/>
              <w:numPr>
                <w:ilvl w:val="1"/>
                <w:numId w:val="59"/>
              </w:numPr>
              <w:spacing w:before="120"/>
              <w:ind w:left="702" w:hanging="720"/>
              <w:jc w:val="both"/>
              <w:rPr>
                <w:bCs/>
                <w:szCs w:val="24"/>
              </w:rPr>
            </w:pPr>
            <w:bookmarkStart w:id="233" w:name="_Toc43474912"/>
            <w:r>
              <w:rPr>
                <w:b w:val="0"/>
                <w:bCs/>
                <w:szCs w:val="24"/>
              </w:rPr>
              <w:t>If all envelopes are not sealed and marked as required, the Purchaser will assume no responsibility for the misplacement or premature opening of the Bid.</w:t>
            </w:r>
            <w:bookmarkEnd w:id="233"/>
          </w:p>
        </w:tc>
      </w:tr>
      <w:tr w:rsidR="00157AAA" w14:paraId="542AB1F9" w14:textId="77777777">
        <w:trPr>
          <w:cantSplit/>
          <w:trHeight w:val="1788"/>
        </w:trPr>
        <w:tc>
          <w:tcPr>
            <w:tcW w:w="2410" w:type="dxa"/>
          </w:tcPr>
          <w:p w14:paraId="6C4916F9" w14:textId="77777777" w:rsidR="00157AAA" w:rsidRDefault="006C1BE5">
            <w:pPr>
              <w:pStyle w:val="ITBHeading2"/>
              <w:spacing w:before="120" w:after="120"/>
            </w:pPr>
            <w:bookmarkStart w:id="234" w:name="_Toc434304517"/>
            <w:bookmarkStart w:id="235" w:name="_Toc43475010"/>
            <w:bookmarkStart w:id="236" w:name="_Toc43486476"/>
            <w:bookmarkStart w:id="237" w:name="_Toc163505732"/>
            <w:r>
              <w:t>Deadline for Submission of Bids</w:t>
            </w:r>
            <w:bookmarkEnd w:id="234"/>
            <w:bookmarkEnd w:id="235"/>
            <w:bookmarkEnd w:id="236"/>
            <w:bookmarkEnd w:id="237"/>
          </w:p>
        </w:tc>
        <w:tc>
          <w:tcPr>
            <w:tcW w:w="6982" w:type="dxa"/>
            <w:gridSpan w:val="2"/>
          </w:tcPr>
          <w:p w14:paraId="4B032EE4" w14:textId="77777777" w:rsidR="00157AAA" w:rsidRDefault="006C1BE5" w:rsidP="00D530D5">
            <w:pPr>
              <w:pStyle w:val="Head12a"/>
              <w:numPr>
                <w:ilvl w:val="1"/>
                <w:numId w:val="59"/>
              </w:numPr>
              <w:spacing w:before="120"/>
              <w:ind w:left="702" w:hanging="720"/>
              <w:jc w:val="both"/>
              <w:rPr>
                <w:b w:val="0"/>
                <w:szCs w:val="24"/>
              </w:rPr>
            </w:pPr>
            <w:r>
              <w:rPr>
                <w:b w:val="0"/>
                <w:szCs w:val="24"/>
              </w:rPr>
              <w:t>Bids must be received by the Purchaser at the address and no later than the date and time indicated in the BDS. When so specified in the BDS, Bidders shall have the option of submitting their Bids electronically. Bidders submitting Bids electronically shall follow the electronic Bid submission procedures specified in the BDS.</w:t>
            </w:r>
          </w:p>
        </w:tc>
      </w:tr>
      <w:tr w:rsidR="00157AAA" w14:paraId="3D35216B" w14:textId="77777777">
        <w:tc>
          <w:tcPr>
            <w:tcW w:w="2410" w:type="dxa"/>
          </w:tcPr>
          <w:p w14:paraId="04FA92CC" w14:textId="77777777" w:rsidR="00157AAA" w:rsidRDefault="00157AAA">
            <w:pPr>
              <w:spacing w:before="120"/>
              <w:rPr>
                <w:szCs w:val="24"/>
              </w:rPr>
            </w:pPr>
          </w:p>
        </w:tc>
        <w:tc>
          <w:tcPr>
            <w:tcW w:w="6982" w:type="dxa"/>
            <w:gridSpan w:val="2"/>
          </w:tcPr>
          <w:p w14:paraId="1BDE60D2" w14:textId="77777777" w:rsidR="00157AAA" w:rsidRDefault="006C1BE5" w:rsidP="00D530D5">
            <w:pPr>
              <w:pStyle w:val="Head12a"/>
              <w:numPr>
                <w:ilvl w:val="1"/>
                <w:numId w:val="59"/>
              </w:numPr>
              <w:spacing w:before="120"/>
              <w:ind w:left="702" w:hanging="720"/>
              <w:jc w:val="both"/>
              <w:rPr>
                <w:b w:val="0"/>
                <w:bCs/>
                <w:szCs w:val="24"/>
              </w:rPr>
            </w:pPr>
            <w:bookmarkStart w:id="238" w:name="_Toc43474913"/>
            <w:r>
              <w:rPr>
                <w:b w:val="0"/>
                <w:bCs/>
                <w:szCs w:val="24"/>
              </w:rPr>
              <w:t>The Purchaser may, at its discretion, extend this deadline for submission of Bids by amending the bidding documents in accordance with ITB 8, in which case all rights and obligations of the Purchaser and Bidders will thereafter be subject to the deadline as extended.</w:t>
            </w:r>
            <w:bookmarkEnd w:id="238"/>
          </w:p>
        </w:tc>
      </w:tr>
      <w:tr w:rsidR="00157AAA" w14:paraId="151A2108" w14:textId="77777777">
        <w:trPr>
          <w:cantSplit/>
        </w:trPr>
        <w:tc>
          <w:tcPr>
            <w:tcW w:w="2410" w:type="dxa"/>
          </w:tcPr>
          <w:p w14:paraId="3A4FEA80" w14:textId="77777777" w:rsidR="00157AAA" w:rsidRDefault="006C1BE5">
            <w:pPr>
              <w:pStyle w:val="ITBHeading2"/>
              <w:spacing w:before="120" w:after="120"/>
            </w:pPr>
            <w:bookmarkStart w:id="239" w:name="_Toc434304518"/>
            <w:bookmarkStart w:id="240" w:name="_Toc43475011"/>
            <w:bookmarkStart w:id="241" w:name="_Toc43486477"/>
            <w:bookmarkStart w:id="242" w:name="_Toc163505733"/>
            <w:r>
              <w:t>Late Bids</w:t>
            </w:r>
            <w:bookmarkEnd w:id="239"/>
            <w:bookmarkEnd w:id="240"/>
            <w:bookmarkEnd w:id="241"/>
            <w:bookmarkEnd w:id="242"/>
          </w:p>
        </w:tc>
        <w:tc>
          <w:tcPr>
            <w:tcW w:w="6982" w:type="dxa"/>
            <w:gridSpan w:val="2"/>
          </w:tcPr>
          <w:p w14:paraId="26E4082B" w14:textId="77777777" w:rsidR="00157AAA" w:rsidRDefault="006C1BE5" w:rsidP="00D530D5">
            <w:pPr>
              <w:pStyle w:val="Head12a"/>
              <w:numPr>
                <w:ilvl w:val="1"/>
                <w:numId w:val="59"/>
              </w:numPr>
              <w:spacing w:before="120"/>
              <w:ind w:left="702" w:hanging="720"/>
              <w:jc w:val="both"/>
              <w:rPr>
                <w:b w:val="0"/>
                <w:bCs/>
                <w:szCs w:val="24"/>
              </w:rPr>
            </w:pPr>
            <w:bookmarkStart w:id="243" w:name="_Toc43474914"/>
            <w:r>
              <w:rPr>
                <w:b w:val="0"/>
                <w:bCs/>
                <w:szCs w:val="24"/>
              </w:rPr>
              <w:t>The Purchaser shall not consider any Bid that arrives after the deadline for submission of Bids, in accordance with ITB 23.  Any Bid received by the Purchaser after the deadline for submission of Bids shall be declared late, rejected, and returned unopened to the Bidder.</w:t>
            </w:r>
            <w:bookmarkEnd w:id="243"/>
          </w:p>
        </w:tc>
      </w:tr>
      <w:tr w:rsidR="00157AAA" w14:paraId="025DB615" w14:textId="77777777">
        <w:trPr>
          <w:cantSplit/>
        </w:trPr>
        <w:tc>
          <w:tcPr>
            <w:tcW w:w="2410" w:type="dxa"/>
          </w:tcPr>
          <w:p w14:paraId="2671E75B" w14:textId="77777777" w:rsidR="00157AAA" w:rsidRDefault="006C1BE5">
            <w:pPr>
              <w:pStyle w:val="ITBHeading2"/>
              <w:spacing w:before="120" w:after="120"/>
            </w:pPr>
            <w:bookmarkStart w:id="244" w:name="_Toc434304519"/>
            <w:bookmarkStart w:id="245" w:name="_Toc43475012"/>
            <w:bookmarkStart w:id="246" w:name="_Toc43486478"/>
            <w:bookmarkStart w:id="247" w:name="_Toc163505734"/>
            <w:r>
              <w:lastRenderedPageBreak/>
              <w:t>Withdrawal, Substitution, and Modification of Bids</w:t>
            </w:r>
            <w:bookmarkEnd w:id="244"/>
            <w:bookmarkEnd w:id="245"/>
            <w:bookmarkEnd w:id="246"/>
            <w:bookmarkEnd w:id="247"/>
          </w:p>
        </w:tc>
        <w:tc>
          <w:tcPr>
            <w:tcW w:w="6982" w:type="dxa"/>
            <w:gridSpan w:val="2"/>
          </w:tcPr>
          <w:p w14:paraId="7AC5516A" w14:textId="77777777" w:rsidR="00157AAA" w:rsidRDefault="006C1BE5" w:rsidP="00D530D5">
            <w:pPr>
              <w:pStyle w:val="Head12a"/>
              <w:numPr>
                <w:ilvl w:val="1"/>
                <w:numId w:val="59"/>
              </w:numPr>
              <w:spacing w:before="120"/>
              <w:ind w:left="702" w:hanging="720"/>
              <w:jc w:val="both"/>
              <w:rPr>
                <w:b w:val="0"/>
                <w:bCs/>
                <w:szCs w:val="24"/>
              </w:rPr>
            </w:pPr>
            <w:bookmarkStart w:id="248" w:name="_Toc43474915"/>
            <w:r>
              <w:rPr>
                <w:b w:val="0"/>
                <w:bCs/>
                <w:szCs w:val="24"/>
              </w:rPr>
              <w:t>A Bidder may withdraw, substitute, or modify its Bid after it has been submitted by sending a written notice, duly signed by an authorized representative, and shall include a copy of the authorization in accordance with ITB 21.3, (except that withdrawal notices do not require copies). The corresponding substitution or modification of the Bid must accompany the respective written notice.  All notices must be:</w:t>
            </w:r>
            <w:bookmarkEnd w:id="248"/>
          </w:p>
          <w:p w14:paraId="7ED15B05" w14:textId="77777777" w:rsidR="00157AAA" w:rsidRDefault="006C1BE5">
            <w:pPr>
              <w:spacing w:before="120"/>
              <w:ind w:left="1262" w:hanging="661"/>
              <w:rPr>
                <w:szCs w:val="24"/>
              </w:rPr>
            </w:pPr>
            <w:r>
              <w:rPr>
                <w:szCs w:val="24"/>
              </w:rPr>
              <w:t>(a)</w:t>
            </w:r>
            <w:r>
              <w:rPr>
                <w:szCs w:val="24"/>
              </w:rPr>
              <w:tab/>
              <w:t>prepared and submitted in accordance with ITB 21 and ITB 22 (except that withdrawals notices do not require copies), and in addition, the respective envelopes shall be clearly marked “WITHDRAWAL,” “SUBSTITUTION,” “MODIFICATION;” and</w:t>
            </w:r>
          </w:p>
          <w:p w14:paraId="409DD769" w14:textId="77777777" w:rsidR="00157AAA" w:rsidRDefault="006C1BE5">
            <w:pPr>
              <w:spacing w:before="120"/>
              <w:ind w:left="1262" w:hanging="661"/>
              <w:rPr>
                <w:szCs w:val="24"/>
              </w:rPr>
            </w:pPr>
            <w:r>
              <w:rPr>
                <w:szCs w:val="24"/>
              </w:rPr>
              <w:t>(b)</w:t>
            </w:r>
            <w:r>
              <w:rPr>
                <w:szCs w:val="24"/>
              </w:rPr>
              <w:tab/>
              <w:t>received by the Purchaser prior to the deadline prescribed for submission of Bids, in accordance with ITB 23.</w:t>
            </w:r>
          </w:p>
        </w:tc>
      </w:tr>
      <w:tr w:rsidR="00157AAA" w14:paraId="44B2DDD2" w14:textId="77777777">
        <w:tc>
          <w:tcPr>
            <w:tcW w:w="2410" w:type="dxa"/>
          </w:tcPr>
          <w:p w14:paraId="601EFC6C" w14:textId="77777777" w:rsidR="00157AAA" w:rsidRDefault="00157AAA">
            <w:pPr>
              <w:spacing w:before="120"/>
              <w:rPr>
                <w:szCs w:val="24"/>
              </w:rPr>
            </w:pPr>
          </w:p>
        </w:tc>
        <w:tc>
          <w:tcPr>
            <w:tcW w:w="6982" w:type="dxa"/>
            <w:gridSpan w:val="2"/>
          </w:tcPr>
          <w:p w14:paraId="1FC6AF4E" w14:textId="77777777" w:rsidR="00157AAA" w:rsidRDefault="006C1BE5" w:rsidP="00D530D5">
            <w:pPr>
              <w:pStyle w:val="Head12a"/>
              <w:numPr>
                <w:ilvl w:val="1"/>
                <w:numId w:val="59"/>
              </w:numPr>
              <w:spacing w:before="120"/>
              <w:ind w:left="702" w:hanging="720"/>
              <w:jc w:val="both"/>
              <w:rPr>
                <w:b w:val="0"/>
                <w:bCs/>
                <w:szCs w:val="24"/>
              </w:rPr>
            </w:pPr>
            <w:bookmarkStart w:id="249" w:name="_Toc43474916"/>
            <w:r>
              <w:rPr>
                <w:b w:val="0"/>
                <w:bCs/>
                <w:szCs w:val="24"/>
              </w:rPr>
              <w:t>Bids requested to be withdrawn in accordance with ITB 25.1 shall be returned unopened to the Bidders.</w:t>
            </w:r>
            <w:bookmarkEnd w:id="249"/>
          </w:p>
          <w:p w14:paraId="243FF551" w14:textId="77777777" w:rsidR="00157AAA" w:rsidRDefault="006C1BE5" w:rsidP="00D530D5">
            <w:pPr>
              <w:pStyle w:val="Head12a"/>
              <w:numPr>
                <w:ilvl w:val="1"/>
                <w:numId w:val="59"/>
              </w:numPr>
              <w:spacing w:before="120"/>
              <w:ind w:left="702" w:hanging="720"/>
              <w:jc w:val="both"/>
              <w:rPr>
                <w:szCs w:val="24"/>
              </w:rPr>
            </w:pPr>
            <w:bookmarkStart w:id="250" w:name="_Toc43474917"/>
            <w:r>
              <w:rPr>
                <w:b w:val="0"/>
                <w:bCs/>
                <w:szCs w:val="24"/>
              </w:rPr>
              <w:t>No Bid may be withdrawn, substituted, or modified in the interval between the deadline for submission of Bids and the date of expiry of the Bid validity specified by the Bidder on the Letter of Bid or any extended date thereof.</w:t>
            </w:r>
            <w:bookmarkEnd w:id="250"/>
          </w:p>
        </w:tc>
      </w:tr>
      <w:tr w:rsidR="00157AAA" w14:paraId="3249AB22" w14:textId="77777777">
        <w:trPr>
          <w:gridAfter w:val="1"/>
          <w:wAfter w:w="8" w:type="dxa"/>
          <w:cantSplit/>
        </w:trPr>
        <w:tc>
          <w:tcPr>
            <w:tcW w:w="2410" w:type="dxa"/>
          </w:tcPr>
          <w:p w14:paraId="1CF4A060" w14:textId="77777777" w:rsidR="00157AAA" w:rsidRDefault="006C1BE5">
            <w:pPr>
              <w:pStyle w:val="ITBHeading2"/>
              <w:spacing w:before="120" w:after="120"/>
            </w:pPr>
            <w:bookmarkStart w:id="251" w:name="_Toc434304520"/>
            <w:bookmarkStart w:id="252" w:name="_Toc43475013"/>
            <w:bookmarkStart w:id="253" w:name="_Toc43486479"/>
            <w:bookmarkStart w:id="254" w:name="_Toc163505735"/>
            <w:r>
              <w:t>Bid Opening</w:t>
            </w:r>
            <w:bookmarkEnd w:id="251"/>
            <w:bookmarkEnd w:id="252"/>
            <w:bookmarkEnd w:id="253"/>
            <w:bookmarkEnd w:id="254"/>
          </w:p>
        </w:tc>
        <w:tc>
          <w:tcPr>
            <w:tcW w:w="6974" w:type="dxa"/>
          </w:tcPr>
          <w:p w14:paraId="6FB9499B" w14:textId="77777777" w:rsidR="00157AAA" w:rsidRDefault="006C1BE5" w:rsidP="00D530D5">
            <w:pPr>
              <w:pStyle w:val="Head12a"/>
              <w:numPr>
                <w:ilvl w:val="1"/>
                <w:numId w:val="59"/>
              </w:numPr>
              <w:spacing w:before="120"/>
              <w:ind w:left="702" w:hanging="720"/>
              <w:jc w:val="both"/>
              <w:rPr>
                <w:szCs w:val="24"/>
              </w:rPr>
            </w:pPr>
            <w:bookmarkStart w:id="255" w:name="_Toc43474918"/>
            <w:r>
              <w:rPr>
                <w:b w:val="0"/>
                <w:bCs/>
                <w:szCs w:val="24"/>
              </w:rPr>
              <w:t>Except as in the cases specified in ITB 24 and ITB 25.2, the Purchaser shall conduct the Bid opening in public, in the presence of Bidders` designated representatives and anyone who chooses to attend, and at the address, date and time specified in the BDS. Any specific electronic Bid opening procedures required if electronic bidding is permitted in accordance with ITB 23.1, shall be as specified in the BDS.</w:t>
            </w:r>
            <w:bookmarkEnd w:id="255"/>
          </w:p>
        </w:tc>
      </w:tr>
      <w:tr w:rsidR="00157AAA" w14:paraId="30B64B1E" w14:textId="77777777">
        <w:trPr>
          <w:gridAfter w:val="1"/>
          <w:wAfter w:w="8" w:type="dxa"/>
          <w:trHeight w:val="2493"/>
        </w:trPr>
        <w:tc>
          <w:tcPr>
            <w:tcW w:w="2410" w:type="dxa"/>
          </w:tcPr>
          <w:p w14:paraId="4F36F983" w14:textId="77777777" w:rsidR="00157AAA" w:rsidRDefault="00157AAA">
            <w:pPr>
              <w:spacing w:before="120"/>
              <w:rPr>
                <w:szCs w:val="24"/>
              </w:rPr>
            </w:pPr>
          </w:p>
        </w:tc>
        <w:tc>
          <w:tcPr>
            <w:tcW w:w="6974" w:type="dxa"/>
          </w:tcPr>
          <w:p w14:paraId="0B0EFF58" w14:textId="77777777" w:rsidR="00157AAA" w:rsidRDefault="006C1BE5" w:rsidP="00D530D5">
            <w:pPr>
              <w:pStyle w:val="Head12a"/>
              <w:numPr>
                <w:ilvl w:val="1"/>
                <w:numId w:val="59"/>
              </w:numPr>
              <w:spacing w:before="120"/>
              <w:ind w:left="702" w:hanging="720"/>
              <w:jc w:val="both"/>
              <w:rPr>
                <w:b w:val="0"/>
                <w:bCs/>
                <w:szCs w:val="24"/>
              </w:rPr>
            </w:pPr>
            <w:bookmarkStart w:id="256" w:name="_Toc43474919"/>
            <w:r>
              <w:rPr>
                <w:b w:val="0"/>
                <w:bCs/>
                <w:szCs w:val="24"/>
              </w:rPr>
              <w:t xml:space="preserve">First, envelopes marked “Withdrawal” shall be opened and read out and the envelope with the corresponding Bid shall not be </w:t>
            </w:r>
            <w:proofErr w:type="gramStart"/>
            <w:r>
              <w:rPr>
                <w:b w:val="0"/>
                <w:bCs/>
                <w:szCs w:val="24"/>
              </w:rPr>
              <w:t>opened, but</w:t>
            </w:r>
            <w:proofErr w:type="gramEnd"/>
            <w:r>
              <w:rPr>
                <w:b w:val="0"/>
                <w:bCs/>
                <w:szCs w:val="24"/>
              </w:rPr>
              <w:t xml:space="preserve"> returned to the Bidder.  No Bid withdrawal shall be permitted unless the corresponding withdrawal notice contains a valid authorization to request the withdrawal and is read out at Bid opening.</w:t>
            </w:r>
            <w:bookmarkEnd w:id="256"/>
            <w:r>
              <w:rPr>
                <w:b w:val="0"/>
                <w:bCs/>
                <w:szCs w:val="24"/>
              </w:rPr>
              <w:t xml:space="preserve">  </w:t>
            </w:r>
          </w:p>
          <w:p w14:paraId="596683E5" w14:textId="77777777" w:rsidR="00157AAA" w:rsidRDefault="006C1BE5" w:rsidP="00D530D5">
            <w:pPr>
              <w:pStyle w:val="Head12a"/>
              <w:numPr>
                <w:ilvl w:val="1"/>
                <w:numId w:val="59"/>
              </w:numPr>
              <w:spacing w:before="120"/>
              <w:ind w:left="702" w:hanging="720"/>
              <w:jc w:val="both"/>
              <w:rPr>
                <w:b w:val="0"/>
                <w:bCs/>
                <w:szCs w:val="24"/>
              </w:rPr>
            </w:pPr>
            <w:bookmarkStart w:id="257" w:name="_Toc43474920"/>
            <w:r>
              <w:rPr>
                <w:b w:val="0"/>
                <w:bCs/>
                <w:szCs w:val="24"/>
              </w:rPr>
              <w:t>Next, envelopes marked “Substitution” shall be opened and read out and exchanged with the corresponding Bid being substituted, and the substituted Bid shall not be opened, but returned to the Bidder. No Bid substitution shall be permitted unless the corresponding substitution notice contains a valid authorization to request the substitution and is read out at Bid opening.</w:t>
            </w:r>
            <w:bookmarkEnd w:id="257"/>
            <w:r>
              <w:rPr>
                <w:b w:val="0"/>
                <w:bCs/>
                <w:szCs w:val="24"/>
              </w:rPr>
              <w:t xml:space="preserve"> </w:t>
            </w:r>
          </w:p>
          <w:p w14:paraId="4CDED97C" w14:textId="77777777" w:rsidR="00157AAA" w:rsidRDefault="006C1BE5" w:rsidP="00D530D5">
            <w:pPr>
              <w:pStyle w:val="Head12a"/>
              <w:numPr>
                <w:ilvl w:val="1"/>
                <w:numId w:val="59"/>
              </w:numPr>
              <w:spacing w:before="120"/>
              <w:ind w:left="702" w:hanging="720"/>
              <w:jc w:val="both"/>
              <w:rPr>
                <w:b w:val="0"/>
                <w:bCs/>
                <w:szCs w:val="24"/>
              </w:rPr>
            </w:pPr>
            <w:bookmarkStart w:id="258" w:name="_Toc43474921"/>
            <w:r>
              <w:rPr>
                <w:b w:val="0"/>
                <w:bCs/>
                <w:szCs w:val="24"/>
              </w:rPr>
              <w:lastRenderedPageBreak/>
              <w:t>Envelopes marked “Modification” shall be opened and read out with the corresponding Bid. No Bid modification shall be permitted unless the corresponding modification notice contains a valid authorization to request the modification and is read out at Bid opening. Only Bids that are opened and read out at Bid opening shall be considered further.</w:t>
            </w:r>
            <w:bookmarkEnd w:id="258"/>
          </w:p>
          <w:p w14:paraId="1C4A361A" w14:textId="77777777" w:rsidR="00157AAA" w:rsidRDefault="006C1BE5" w:rsidP="00D530D5">
            <w:pPr>
              <w:pStyle w:val="Head12a"/>
              <w:numPr>
                <w:ilvl w:val="1"/>
                <w:numId w:val="59"/>
              </w:numPr>
              <w:spacing w:before="120"/>
              <w:ind w:left="702" w:hanging="720"/>
              <w:jc w:val="both"/>
              <w:rPr>
                <w:b w:val="0"/>
                <w:bCs/>
                <w:szCs w:val="24"/>
              </w:rPr>
            </w:pPr>
            <w:bookmarkStart w:id="259" w:name="_Toc43474922"/>
            <w:r>
              <w:rPr>
                <w:b w:val="0"/>
                <w:bCs/>
                <w:szCs w:val="24"/>
              </w:rPr>
              <w:t>Next, all remaining envelopes shall be opened one at a time, reading out: the name of the Bidder and the Bid Price(s), including any discounts and alternative Bids, and indicating whether there is a modification; the presence or absence of a Bid Security or Bid-Securing Declaration; and any other details as the Purchaser may consider appropriate.</w:t>
            </w:r>
            <w:bookmarkEnd w:id="259"/>
            <w:r>
              <w:rPr>
                <w:b w:val="0"/>
                <w:bCs/>
                <w:szCs w:val="24"/>
              </w:rPr>
              <w:t xml:space="preserve"> </w:t>
            </w:r>
          </w:p>
          <w:p w14:paraId="660A44EE" w14:textId="77777777" w:rsidR="00157AAA" w:rsidRDefault="006C1BE5" w:rsidP="00D530D5">
            <w:pPr>
              <w:pStyle w:val="Head12a"/>
              <w:numPr>
                <w:ilvl w:val="1"/>
                <w:numId w:val="59"/>
              </w:numPr>
              <w:spacing w:before="120"/>
              <w:ind w:left="702" w:hanging="720"/>
              <w:jc w:val="both"/>
              <w:rPr>
                <w:b w:val="0"/>
                <w:bCs/>
                <w:szCs w:val="24"/>
              </w:rPr>
            </w:pPr>
            <w:bookmarkStart w:id="260" w:name="_Toc43474923"/>
            <w:r>
              <w:rPr>
                <w:b w:val="0"/>
                <w:bCs/>
                <w:szCs w:val="24"/>
              </w:rPr>
              <w:t>Only Bids, alternative Bids and discounts that are opened and read out at Bid opening shall be considered further in the evaluation. The Letter of Bid and the Price Schedules are to be initialed by representatives of the Purchaser attending Bid opening in the manner specified in the BDS.</w:t>
            </w:r>
            <w:bookmarkEnd w:id="260"/>
            <w:r>
              <w:rPr>
                <w:b w:val="0"/>
                <w:bCs/>
                <w:szCs w:val="24"/>
              </w:rPr>
              <w:t xml:space="preserve"> </w:t>
            </w:r>
          </w:p>
          <w:p w14:paraId="33035539" w14:textId="77777777" w:rsidR="00157AAA" w:rsidRDefault="006C1BE5" w:rsidP="00D530D5">
            <w:pPr>
              <w:pStyle w:val="Head12a"/>
              <w:numPr>
                <w:ilvl w:val="1"/>
                <w:numId w:val="59"/>
              </w:numPr>
              <w:spacing w:before="120"/>
              <w:ind w:left="702" w:hanging="720"/>
              <w:jc w:val="both"/>
              <w:rPr>
                <w:b w:val="0"/>
                <w:bCs/>
                <w:szCs w:val="24"/>
              </w:rPr>
            </w:pPr>
            <w:bookmarkStart w:id="261" w:name="_Toc43474924"/>
            <w:r>
              <w:rPr>
                <w:b w:val="0"/>
                <w:bCs/>
                <w:szCs w:val="24"/>
              </w:rPr>
              <w:t>The Purchaser shall neither discuss the merits of any Bid nor reject any Bid (except for late Bids, in accordance with ITB 24.1).</w:t>
            </w:r>
            <w:bookmarkEnd w:id="261"/>
          </w:p>
          <w:p w14:paraId="21E941BA" w14:textId="77777777" w:rsidR="00157AAA" w:rsidRDefault="006C1BE5" w:rsidP="00D530D5">
            <w:pPr>
              <w:pStyle w:val="Head12a"/>
              <w:numPr>
                <w:ilvl w:val="1"/>
                <w:numId w:val="59"/>
              </w:numPr>
              <w:spacing w:before="120"/>
              <w:ind w:left="702" w:hanging="720"/>
              <w:jc w:val="both"/>
              <w:rPr>
                <w:b w:val="0"/>
                <w:bCs/>
                <w:szCs w:val="24"/>
              </w:rPr>
            </w:pPr>
            <w:bookmarkStart w:id="262" w:name="_Toc43474925"/>
            <w:r>
              <w:rPr>
                <w:b w:val="0"/>
                <w:bCs/>
                <w:szCs w:val="24"/>
              </w:rPr>
              <w:t>The Purchaser shall prepare a record of the Bid opening that shall include, as a minimum:</w:t>
            </w:r>
            <w:bookmarkEnd w:id="262"/>
          </w:p>
          <w:p w14:paraId="0C8B4421" w14:textId="77777777" w:rsidR="00157AAA" w:rsidRDefault="006C1BE5" w:rsidP="00D530D5">
            <w:pPr>
              <w:pStyle w:val="ListParagraph"/>
              <w:numPr>
                <w:ilvl w:val="0"/>
                <w:numId w:val="24"/>
              </w:numPr>
              <w:spacing w:before="120"/>
              <w:ind w:left="1345" w:hanging="625"/>
              <w:contextualSpacing w:val="0"/>
              <w:rPr>
                <w:szCs w:val="24"/>
              </w:rPr>
            </w:pPr>
            <w:r>
              <w:rPr>
                <w:szCs w:val="24"/>
              </w:rPr>
              <w:t xml:space="preserve">the name of the Bidder and whether there is a withdrawal, substitution, or </w:t>
            </w:r>
            <w:proofErr w:type="gramStart"/>
            <w:r>
              <w:rPr>
                <w:szCs w:val="24"/>
              </w:rPr>
              <w:t>modification;</w:t>
            </w:r>
            <w:proofErr w:type="gramEnd"/>
            <w:r>
              <w:rPr>
                <w:szCs w:val="24"/>
              </w:rPr>
              <w:t xml:space="preserve"> </w:t>
            </w:r>
          </w:p>
          <w:p w14:paraId="55C16B5F" w14:textId="77777777" w:rsidR="00157AAA" w:rsidRDefault="006C1BE5" w:rsidP="00D530D5">
            <w:pPr>
              <w:pStyle w:val="ListParagraph"/>
              <w:numPr>
                <w:ilvl w:val="0"/>
                <w:numId w:val="24"/>
              </w:numPr>
              <w:spacing w:before="120"/>
              <w:ind w:left="1345" w:hanging="625"/>
              <w:contextualSpacing w:val="0"/>
              <w:rPr>
                <w:szCs w:val="24"/>
              </w:rPr>
            </w:pPr>
            <w:r>
              <w:rPr>
                <w:szCs w:val="24"/>
              </w:rPr>
              <w:t xml:space="preserve">the Bid Price, per lot if applicable, including any </w:t>
            </w:r>
            <w:proofErr w:type="gramStart"/>
            <w:r>
              <w:rPr>
                <w:szCs w:val="24"/>
              </w:rPr>
              <w:t>discounts;</w:t>
            </w:r>
            <w:proofErr w:type="gramEnd"/>
          </w:p>
          <w:p w14:paraId="7840FCFE" w14:textId="77777777" w:rsidR="00157AAA" w:rsidRDefault="006C1BE5" w:rsidP="00D530D5">
            <w:pPr>
              <w:pStyle w:val="ListParagraph"/>
              <w:numPr>
                <w:ilvl w:val="0"/>
                <w:numId w:val="24"/>
              </w:numPr>
              <w:spacing w:before="120"/>
              <w:ind w:left="1345" w:hanging="625"/>
              <w:contextualSpacing w:val="0"/>
              <w:rPr>
                <w:szCs w:val="24"/>
              </w:rPr>
            </w:pPr>
            <w:r>
              <w:rPr>
                <w:szCs w:val="24"/>
              </w:rPr>
              <w:t xml:space="preserve">any alternative Bids; and </w:t>
            </w:r>
          </w:p>
          <w:p w14:paraId="7036822C" w14:textId="77777777" w:rsidR="00157AAA" w:rsidRDefault="006C1BE5" w:rsidP="00D530D5">
            <w:pPr>
              <w:pStyle w:val="ListParagraph"/>
              <w:numPr>
                <w:ilvl w:val="0"/>
                <w:numId w:val="24"/>
              </w:numPr>
              <w:spacing w:before="120"/>
              <w:ind w:left="1345" w:hanging="625"/>
              <w:contextualSpacing w:val="0"/>
              <w:rPr>
                <w:szCs w:val="24"/>
              </w:rPr>
            </w:pPr>
            <w:r>
              <w:rPr>
                <w:szCs w:val="24"/>
              </w:rPr>
              <w:t>the presence or absence of a Bid Security or a Bid-Securing Declaration.</w:t>
            </w:r>
          </w:p>
          <w:p w14:paraId="762CD362" w14:textId="77777777" w:rsidR="00157AAA" w:rsidRDefault="006C1BE5" w:rsidP="00D530D5">
            <w:pPr>
              <w:pStyle w:val="Head12a"/>
              <w:numPr>
                <w:ilvl w:val="1"/>
                <w:numId w:val="59"/>
              </w:numPr>
              <w:spacing w:before="120"/>
              <w:ind w:left="702" w:hanging="720"/>
              <w:jc w:val="both"/>
              <w:rPr>
                <w:szCs w:val="24"/>
              </w:rPr>
            </w:pPr>
            <w:bookmarkStart w:id="263" w:name="_Toc43474926"/>
            <w:r>
              <w:rPr>
                <w:b w:val="0"/>
                <w:bCs/>
                <w:szCs w:val="24"/>
              </w:rPr>
              <w:t>The Bidders’ representatives who are present shall be requested to sign the record.  The omission of a Bidder’s signature on the record shall not invalidate the contents and effect of the record.  A copy of the record shall be distributed to all Bidders.</w:t>
            </w:r>
            <w:bookmarkEnd w:id="263"/>
          </w:p>
        </w:tc>
      </w:tr>
      <w:tr w:rsidR="00157AAA" w14:paraId="49E1238B" w14:textId="77777777">
        <w:trPr>
          <w:cantSplit/>
          <w:trHeight w:val="512"/>
        </w:trPr>
        <w:tc>
          <w:tcPr>
            <w:tcW w:w="9392" w:type="dxa"/>
            <w:gridSpan w:val="3"/>
          </w:tcPr>
          <w:p w14:paraId="5C6C82C2" w14:textId="77777777" w:rsidR="00157AAA" w:rsidRDefault="006C1BE5">
            <w:pPr>
              <w:pStyle w:val="ITBHeading1"/>
            </w:pPr>
            <w:bookmarkStart w:id="264" w:name="_Toc434304521"/>
            <w:bookmarkStart w:id="265" w:name="_Toc43475014"/>
            <w:bookmarkStart w:id="266" w:name="_Toc43486480"/>
            <w:bookmarkStart w:id="267" w:name="_Toc163505736"/>
            <w:r>
              <w:lastRenderedPageBreak/>
              <w:t>E. Evaluation and Comparison of Bids</w:t>
            </w:r>
            <w:bookmarkEnd w:id="264"/>
            <w:bookmarkEnd w:id="265"/>
            <w:bookmarkEnd w:id="266"/>
            <w:bookmarkEnd w:id="267"/>
          </w:p>
        </w:tc>
      </w:tr>
      <w:tr w:rsidR="00157AAA" w14:paraId="143DABAF" w14:textId="77777777">
        <w:trPr>
          <w:gridAfter w:val="1"/>
          <w:wAfter w:w="8" w:type="dxa"/>
          <w:cantSplit/>
        </w:trPr>
        <w:tc>
          <w:tcPr>
            <w:tcW w:w="2410" w:type="dxa"/>
          </w:tcPr>
          <w:p w14:paraId="5D1D67E2" w14:textId="77777777" w:rsidR="00157AAA" w:rsidRDefault="006C1BE5">
            <w:pPr>
              <w:pStyle w:val="ITBHeading2"/>
              <w:spacing w:before="120" w:after="120"/>
            </w:pPr>
            <w:bookmarkStart w:id="268" w:name="_Toc434304522"/>
            <w:bookmarkStart w:id="269" w:name="_Toc43475015"/>
            <w:bookmarkStart w:id="270" w:name="_Toc43486481"/>
            <w:bookmarkStart w:id="271" w:name="_Toc163505737"/>
            <w:r>
              <w:t>Confidentiality</w:t>
            </w:r>
            <w:bookmarkEnd w:id="268"/>
            <w:bookmarkEnd w:id="269"/>
            <w:bookmarkEnd w:id="270"/>
            <w:bookmarkEnd w:id="271"/>
          </w:p>
        </w:tc>
        <w:tc>
          <w:tcPr>
            <w:tcW w:w="6974" w:type="dxa"/>
          </w:tcPr>
          <w:p w14:paraId="4C272184" w14:textId="77777777" w:rsidR="00157AAA" w:rsidRDefault="006C1BE5" w:rsidP="00D530D5">
            <w:pPr>
              <w:pStyle w:val="Head12a"/>
              <w:numPr>
                <w:ilvl w:val="1"/>
                <w:numId w:val="59"/>
              </w:numPr>
              <w:spacing w:before="120"/>
              <w:ind w:left="702" w:hanging="720"/>
              <w:jc w:val="both"/>
              <w:rPr>
                <w:b w:val="0"/>
                <w:bCs/>
                <w:szCs w:val="24"/>
              </w:rPr>
            </w:pPr>
            <w:bookmarkStart w:id="272" w:name="_Toc43474927"/>
            <w:r>
              <w:rPr>
                <w:b w:val="0"/>
                <w:bCs/>
                <w:szCs w:val="24"/>
              </w:rPr>
              <w:t>Information relating to the evaluation of Bids and recommendation of contract award, shall not be disclosed to Bidders or any other persons not officially concerned with the Bidding process until the Notification of Intention to Award the Contract is transmitted to all Bidders in accordance with ITB 42.</w:t>
            </w:r>
            <w:bookmarkEnd w:id="272"/>
          </w:p>
        </w:tc>
      </w:tr>
      <w:tr w:rsidR="00157AAA" w14:paraId="7C06D070" w14:textId="77777777">
        <w:trPr>
          <w:gridAfter w:val="1"/>
          <w:wAfter w:w="8" w:type="dxa"/>
          <w:cantSplit/>
        </w:trPr>
        <w:tc>
          <w:tcPr>
            <w:tcW w:w="2410" w:type="dxa"/>
          </w:tcPr>
          <w:p w14:paraId="1CF00D2D" w14:textId="77777777" w:rsidR="00157AAA" w:rsidRDefault="00157AAA">
            <w:pPr>
              <w:spacing w:before="120"/>
              <w:rPr>
                <w:szCs w:val="24"/>
              </w:rPr>
            </w:pPr>
          </w:p>
        </w:tc>
        <w:tc>
          <w:tcPr>
            <w:tcW w:w="6974" w:type="dxa"/>
          </w:tcPr>
          <w:p w14:paraId="40363E74" w14:textId="77777777" w:rsidR="00157AAA" w:rsidRDefault="006C1BE5" w:rsidP="00D530D5">
            <w:pPr>
              <w:pStyle w:val="Head12a"/>
              <w:numPr>
                <w:ilvl w:val="1"/>
                <w:numId w:val="59"/>
              </w:numPr>
              <w:spacing w:before="120"/>
              <w:ind w:left="702" w:hanging="720"/>
              <w:jc w:val="both"/>
              <w:rPr>
                <w:b w:val="0"/>
                <w:bCs/>
                <w:szCs w:val="24"/>
              </w:rPr>
            </w:pPr>
            <w:bookmarkStart w:id="273" w:name="_Toc43474928"/>
            <w:r>
              <w:rPr>
                <w:b w:val="0"/>
                <w:bCs/>
                <w:szCs w:val="24"/>
              </w:rPr>
              <w:t>Any effort by a Bidder to influence the Purchaser in the evaluation of the Bids or Contract award decisions may result in the rejection of its Bid.</w:t>
            </w:r>
            <w:bookmarkEnd w:id="273"/>
          </w:p>
        </w:tc>
      </w:tr>
      <w:tr w:rsidR="00157AAA" w14:paraId="2C477482" w14:textId="77777777">
        <w:trPr>
          <w:gridAfter w:val="1"/>
          <w:wAfter w:w="8" w:type="dxa"/>
          <w:cantSplit/>
        </w:trPr>
        <w:tc>
          <w:tcPr>
            <w:tcW w:w="2410" w:type="dxa"/>
          </w:tcPr>
          <w:p w14:paraId="2C7752E6" w14:textId="77777777" w:rsidR="00157AAA" w:rsidRDefault="00157AAA">
            <w:pPr>
              <w:spacing w:before="120"/>
              <w:rPr>
                <w:szCs w:val="24"/>
              </w:rPr>
            </w:pPr>
          </w:p>
        </w:tc>
        <w:tc>
          <w:tcPr>
            <w:tcW w:w="6974" w:type="dxa"/>
          </w:tcPr>
          <w:p w14:paraId="78B3FEEB" w14:textId="77777777" w:rsidR="00157AAA" w:rsidRDefault="006C1BE5" w:rsidP="00D530D5">
            <w:pPr>
              <w:pStyle w:val="Head12a"/>
              <w:numPr>
                <w:ilvl w:val="1"/>
                <w:numId w:val="59"/>
              </w:numPr>
              <w:spacing w:before="120"/>
              <w:ind w:left="702" w:hanging="720"/>
              <w:jc w:val="both"/>
              <w:rPr>
                <w:b w:val="0"/>
                <w:bCs/>
                <w:szCs w:val="24"/>
              </w:rPr>
            </w:pPr>
            <w:bookmarkStart w:id="274" w:name="_Toc43474929"/>
            <w:r>
              <w:rPr>
                <w:b w:val="0"/>
                <w:bCs/>
                <w:szCs w:val="24"/>
              </w:rPr>
              <w:t>Notwithstanding ITB 27.2, from the time of Bid opening to the time of Contract award, if any Bidder wishes to contact the Purchaser on any matter related to the Bidding process, it should do so in writing.</w:t>
            </w:r>
            <w:bookmarkEnd w:id="274"/>
          </w:p>
        </w:tc>
      </w:tr>
      <w:tr w:rsidR="00157AAA" w14:paraId="3F5172B8" w14:textId="77777777">
        <w:trPr>
          <w:gridAfter w:val="1"/>
          <w:wAfter w:w="8" w:type="dxa"/>
          <w:cantSplit/>
        </w:trPr>
        <w:tc>
          <w:tcPr>
            <w:tcW w:w="2410" w:type="dxa"/>
          </w:tcPr>
          <w:p w14:paraId="4C4D71DF" w14:textId="77777777" w:rsidR="00157AAA" w:rsidRDefault="006C1BE5">
            <w:pPr>
              <w:pStyle w:val="ITBHeading2"/>
              <w:spacing w:before="120" w:after="120"/>
            </w:pPr>
            <w:bookmarkStart w:id="275" w:name="_Toc434304523"/>
            <w:bookmarkStart w:id="276" w:name="_Toc43475016"/>
            <w:bookmarkStart w:id="277" w:name="_Toc43486482"/>
            <w:bookmarkStart w:id="278" w:name="_Toc163505738"/>
            <w:r>
              <w:t>Clarification of Bids</w:t>
            </w:r>
            <w:bookmarkEnd w:id="275"/>
            <w:bookmarkEnd w:id="276"/>
            <w:bookmarkEnd w:id="277"/>
            <w:bookmarkEnd w:id="278"/>
          </w:p>
        </w:tc>
        <w:tc>
          <w:tcPr>
            <w:tcW w:w="6974" w:type="dxa"/>
          </w:tcPr>
          <w:p w14:paraId="52165F43" w14:textId="77777777" w:rsidR="00157AAA" w:rsidRDefault="006C1BE5" w:rsidP="00D530D5">
            <w:pPr>
              <w:pStyle w:val="Head12a"/>
              <w:numPr>
                <w:ilvl w:val="1"/>
                <w:numId w:val="59"/>
              </w:numPr>
              <w:spacing w:before="120"/>
              <w:ind w:left="702" w:hanging="720"/>
              <w:jc w:val="both"/>
              <w:rPr>
                <w:b w:val="0"/>
                <w:bCs/>
                <w:szCs w:val="24"/>
              </w:rPr>
            </w:pPr>
            <w:bookmarkStart w:id="279" w:name="_Toc43474930"/>
            <w:r>
              <w:rPr>
                <w:b w:val="0"/>
                <w:bCs/>
                <w:szCs w:val="24"/>
              </w:rPr>
              <w:t>To assist in the examination, evaluation, and comparison of the Bids, and qualification of the Bidders, the Purchaser may, at its discretion, ask any Bidder for a clarification of its Bid.  Any clarification submitted by a Bidder that is not in response to a request by the Purchaser shall not be considered.  The Purchaser’s request for clarification and the response shall be in writing.  No change in the prices or substance of the Bid shall be sought, offered, or permitted, except to confirm the correction of arithmetic errors discovered by the Purchaser in the evaluation of the Bids, in accordance with ITB 32.</w:t>
            </w:r>
            <w:bookmarkEnd w:id="279"/>
          </w:p>
        </w:tc>
      </w:tr>
      <w:tr w:rsidR="00157AAA" w14:paraId="5A326EB9" w14:textId="77777777">
        <w:trPr>
          <w:gridAfter w:val="1"/>
          <w:wAfter w:w="8" w:type="dxa"/>
          <w:cantSplit/>
        </w:trPr>
        <w:tc>
          <w:tcPr>
            <w:tcW w:w="2410" w:type="dxa"/>
          </w:tcPr>
          <w:p w14:paraId="32AACD78" w14:textId="77777777" w:rsidR="00157AAA" w:rsidRDefault="00157AAA">
            <w:pPr>
              <w:spacing w:before="120"/>
              <w:rPr>
                <w:szCs w:val="24"/>
              </w:rPr>
            </w:pPr>
          </w:p>
        </w:tc>
        <w:tc>
          <w:tcPr>
            <w:tcW w:w="6974" w:type="dxa"/>
          </w:tcPr>
          <w:p w14:paraId="5D993927" w14:textId="77777777" w:rsidR="00157AAA" w:rsidRDefault="006C1BE5" w:rsidP="00D530D5">
            <w:pPr>
              <w:pStyle w:val="Head12a"/>
              <w:numPr>
                <w:ilvl w:val="1"/>
                <w:numId w:val="59"/>
              </w:numPr>
              <w:spacing w:before="120"/>
              <w:ind w:left="702" w:hanging="720"/>
              <w:jc w:val="both"/>
              <w:rPr>
                <w:b w:val="0"/>
                <w:bCs/>
                <w:szCs w:val="24"/>
              </w:rPr>
            </w:pPr>
            <w:bookmarkStart w:id="280" w:name="_Toc43474931"/>
            <w:r>
              <w:rPr>
                <w:b w:val="0"/>
                <w:bCs/>
                <w:szCs w:val="24"/>
              </w:rPr>
              <w:t>If a Bidder does not provide clarifications of its Bid by the date and time set in the Purchaser’s request for clarification, its Bid may be rejected.</w:t>
            </w:r>
            <w:bookmarkEnd w:id="280"/>
          </w:p>
        </w:tc>
      </w:tr>
      <w:tr w:rsidR="00157AAA" w14:paraId="0FD4075A" w14:textId="77777777">
        <w:trPr>
          <w:gridAfter w:val="1"/>
          <w:wAfter w:w="8" w:type="dxa"/>
          <w:cantSplit/>
        </w:trPr>
        <w:tc>
          <w:tcPr>
            <w:tcW w:w="2410" w:type="dxa"/>
          </w:tcPr>
          <w:p w14:paraId="5BCE9C14" w14:textId="77777777" w:rsidR="00157AAA" w:rsidRDefault="006C1BE5">
            <w:pPr>
              <w:pStyle w:val="ITBHeading2"/>
              <w:spacing w:before="120" w:after="120"/>
            </w:pPr>
            <w:bookmarkStart w:id="281" w:name="_Toc434304524"/>
            <w:bookmarkStart w:id="282" w:name="_Toc43475017"/>
            <w:bookmarkStart w:id="283" w:name="_Toc43486483"/>
            <w:bookmarkStart w:id="284" w:name="_Toc163505739"/>
            <w:r>
              <w:t>Deviations, Reservations, and Omissions</w:t>
            </w:r>
            <w:bookmarkEnd w:id="281"/>
            <w:bookmarkEnd w:id="282"/>
            <w:bookmarkEnd w:id="283"/>
            <w:bookmarkEnd w:id="284"/>
          </w:p>
        </w:tc>
        <w:tc>
          <w:tcPr>
            <w:tcW w:w="6974" w:type="dxa"/>
          </w:tcPr>
          <w:p w14:paraId="2046822F" w14:textId="77777777" w:rsidR="00157AAA" w:rsidRDefault="006C1BE5" w:rsidP="00D530D5">
            <w:pPr>
              <w:pStyle w:val="Head12a"/>
              <w:numPr>
                <w:ilvl w:val="1"/>
                <w:numId w:val="59"/>
              </w:numPr>
              <w:spacing w:before="120"/>
              <w:ind w:left="702" w:hanging="720"/>
              <w:jc w:val="both"/>
              <w:rPr>
                <w:b w:val="0"/>
                <w:bCs/>
                <w:szCs w:val="24"/>
              </w:rPr>
            </w:pPr>
            <w:bookmarkStart w:id="285" w:name="_Toc43474932"/>
            <w:r>
              <w:rPr>
                <w:b w:val="0"/>
                <w:bCs/>
                <w:szCs w:val="24"/>
              </w:rPr>
              <w:t>During the evaluation of Bids, the following definitions apply:</w:t>
            </w:r>
            <w:bookmarkEnd w:id="285"/>
          </w:p>
          <w:p w14:paraId="4BFD1386" w14:textId="77777777" w:rsidR="00157AAA" w:rsidRDefault="006C1BE5">
            <w:pPr>
              <w:spacing w:before="120"/>
              <w:ind w:left="1255" w:hanging="630"/>
              <w:rPr>
                <w:szCs w:val="24"/>
              </w:rPr>
            </w:pPr>
            <w:r>
              <w:rPr>
                <w:szCs w:val="24"/>
              </w:rPr>
              <w:t xml:space="preserve">(a) </w:t>
            </w:r>
            <w:r>
              <w:rPr>
                <w:szCs w:val="24"/>
              </w:rPr>
              <w:tab/>
              <w:t xml:space="preserve">“Deviation” is a departure from the requirements specified in the bidding </w:t>
            </w:r>
            <w:proofErr w:type="gramStart"/>
            <w:r>
              <w:rPr>
                <w:szCs w:val="24"/>
              </w:rPr>
              <w:t>document;</w:t>
            </w:r>
            <w:proofErr w:type="gramEnd"/>
            <w:r>
              <w:rPr>
                <w:szCs w:val="24"/>
              </w:rPr>
              <w:t xml:space="preserve"> </w:t>
            </w:r>
          </w:p>
          <w:p w14:paraId="46E2DC56" w14:textId="77777777" w:rsidR="00157AAA" w:rsidRDefault="006C1BE5">
            <w:pPr>
              <w:spacing w:before="120"/>
              <w:ind w:left="1255" w:hanging="630"/>
              <w:rPr>
                <w:szCs w:val="24"/>
              </w:rPr>
            </w:pPr>
            <w:r>
              <w:rPr>
                <w:szCs w:val="24"/>
              </w:rPr>
              <w:t xml:space="preserve">(b) </w:t>
            </w:r>
            <w:r>
              <w:rPr>
                <w:szCs w:val="24"/>
              </w:rPr>
              <w:tab/>
              <w:t>“Reservation” is the setting of limiting conditions or withholding from complete acceptance of the requirements specified in the bidding document; and</w:t>
            </w:r>
          </w:p>
          <w:p w14:paraId="082BB539" w14:textId="77777777" w:rsidR="00157AAA" w:rsidRDefault="006C1BE5">
            <w:pPr>
              <w:spacing w:before="120"/>
              <w:ind w:left="1255" w:hanging="630"/>
              <w:jc w:val="left"/>
              <w:rPr>
                <w:szCs w:val="24"/>
              </w:rPr>
            </w:pPr>
            <w:r>
              <w:rPr>
                <w:szCs w:val="24"/>
              </w:rPr>
              <w:t xml:space="preserve">(c) </w:t>
            </w:r>
            <w:r>
              <w:rPr>
                <w:szCs w:val="24"/>
              </w:rPr>
              <w:tab/>
              <w:t xml:space="preserve">“Omission” is the failure to submit </w:t>
            </w:r>
            <w:proofErr w:type="gramStart"/>
            <w:r>
              <w:rPr>
                <w:szCs w:val="24"/>
              </w:rPr>
              <w:t>part</w:t>
            </w:r>
            <w:proofErr w:type="gramEnd"/>
            <w:r>
              <w:rPr>
                <w:szCs w:val="24"/>
              </w:rPr>
              <w:t xml:space="preserve"> or all of the information or documentation required in the bidding document.</w:t>
            </w:r>
          </w:p>
        </w:tc>
      </w:tr>
      <w:tr w:rsidR="00157AAA" w14:paraId="33E9159F" w14:textId="77777777">
        <w:trPr>
          <w:gridAfter w:val="1"/>
          <w:wAfter w:w="8" w:type="dxa"/>
          <w:cantSplit/>
        </w:trPr>
        <w:tc>
          <w:tcPr>
            <w:tcW w:w="2410" w:type="dxa"/>
          </w:tcPr>
          <w:p w14:paraId="542AD1A6" w14:textId="77777777" w:rsidR="00157AAA" w:rsidRDefault="006C1BE5">
            <w:pPr>
              <w:pStyle w:val="ITBHeading2"/>
              <w:spacing w:before="120" w:after="120"/>
            </w:pPr>
            <w:bookmarkStart w:id="286" w:name="_Toc434304525"/>
            <w:bookmarkStart w:id="287" w:name="_Toc424009130"/>
            <w:bookmarkStart w:id="288" w:name="_Toc23236776"/>
            <w:bookmarkStart w:id="289" w:name="_Toc125783020"/>
            <w:bookmarkStart w:id="290" w:name="_Toc43475018"/>
            <w:bookmarkStart w:id="291" w:name="_Toc43486484"/>
            <w:bookmarkStart w:id="292" w:name="_Toc163505740"/>
            <w:r>
              <w:t>Determination of Responsiveness</w:t>
            </w:r>
            <w:bookmarkEnd w:id="286"/>
            <w:bookmarkEnd w:id="287"/>
            <w:bookmarkEnd w:id="288"/>
            <w:bookmarkEnd w:id="289"/>
            <w:bookmarkEnd w:id="290"/>
            <w:bookmarkEnd w:id="291"/>
            <w:bookmarkEnd w:id="292"/>
          </w:p>
        </w:tc>
        <w:tc>
          <w:tcPr>
            <w:tcW w:w="6974" w:type="dxa"/>
          </w:tcPr>
          <w:p w14:paraId="09B9B1DD" w14:textId="77777777" w:rsidR="00157AAA" w:rsidRDefault="006C1BE5" w:rsidP="00D530D5">
            <w:pPr>
              <w:pStyle w:val="Head12a"/>
              <w:numPr>
                <w:ilvl w:val="1"/>
                <w:numId w:val="59"/>
              </w:numPr>
              <w:spacing w:before="120"/>
              <w:ind w:left="702" w:hanging="720"/>
              <w:jc w:val="both"/>
              <w:rPr>
                <w:szCs w:val="24"/>
              </w:rPr>
            </w:pPr>
            <w:bookmarkStart w:id="293" w:name="_Toc43474933"/>
            <w:r>
              <w:rPr>
                <w:b w:val="0"/>
                <w:bCs/>
                <w:szCs w:val="24"/>
              </w:rPr>
              <w:t>The Purchaser’s determination of a Bid’s responsiveness is to be based on the contents of the Bid itself, as defined in ITB 11.</w:t>
            </w:r>
            <w:bookmarkEnd w:id="293"/>
          </w:p>
        </w:tc>
      </w:tr>
      <w:tr w:rsidR="00157AAA" w14:paraId="639577C8" w14:textId="77777777">
        <w:trPr>
          <w:gridAfter w:val="1"/>
          <w:wAfter w:w="8" w:type="dxa"/>
          <w:cantSplit/>
        </w:trPr>
        <w:tc>
          <w:tcPr>
            <w:tcW w:w="2410" w:type="dxa"/>
          </w:tcPr>
          <w:p w14:paraId="0FEF404B" w14:textId="77777777" w:rsidR="00157AAA" w:rsidRDefault="00157AAA">
            <w:pPr>
              <w:spacing w:before="120"/>
              <w:rPr>
                <w:szCs w:val="24"/>
              </w:rPr>
            </w:pPr>
          </w:p>
        </w:tc>
        <w:tc>
          <w:tcPr>
            <w:tcW w:w="6974" w:type="dxa"/>
          </w:tcPr>
          <w:p w14:paraId="68823451" w14:textId="77777777" w:rsidR="00157AAA" w:rsidRDefault="006C1BE5" w:rsidP="00D530D5">
            <w:pPr>
              <w:pStyle w:val="Head12a"/>
              <w:numPr>
                <w:ilvl w:val="1"/>
                <w:numId w:val="59"/>
              </w:numPr>
              <w:spacing w:before="120"/>
              <w:ind w:left="702" w:hanging="720"/>
              <w:jc w:val="both"/>
              <w:rPr>
                <w:b w:val="0"/>
                <w:bCs/>
                <w:szCs w:val="24"/>
              </w:rPr>
            </w:pPr>
            <w:bookmarkStart w:id="294" w:name="_Toc43474934"/>
            <w:r>
              <w:rPr>
                <w:b w:val="0"/>
                <w:bCs/>
                <w:szCs w:val="24"/>
              </w:rPr>
              <w:t xml:space="preserve">A substantially responsive Bid is one that meets the requirements of the bidding document without material deviation, reservation, or omission.  A material deviation, reservation, or omission is one </w:t>
            </w:r>
            <w:proofErr w:type="gramStart"/>
            <w:r>
              <w:rPr>
                <w:b w:val="0"/>
                <w:bCs/>
                <w:szCs w:val="24"/>
              </w:rPr>
              <w:t>that;</w:t>
            </w:r>
            <w:bookmarkEnd w:id="294"/>
            <w:proofErr w:type="gramEnd"/>
          </w:p>
          <w:p w14:paraId="661DF4AB" w14:textId="77777777" w:rsidR="00157AAA" w:rsidRDefault="006C1BE5">
            <w:pPr>
              <w:spacing w:before="120"/>
              <w:ind w:left="1165" w:hanging="573"/>
              <w:rPr>
                <w:szCs w:val="24"/>
              </w:rPr>
            </w:pPr>
            <w:r>
              <w:rPr>
                <w:szCs w:val="24"/>
              </w:rPr>
              <w:t>(a)</w:t>
            </w:r>
            <w:r>
              <w:rPr>
                <w:szCs w:val="24"/>
              </w:rPr>
              <w:tab/>
              <w:t>if accepted, would:</w:t>
            </w:r>
          </w:p>
          <w:p w14:paraId="26403DE2" w14:textId="77777777" w:rsidR="00157AAA" w:rsidRDefault="006C1BE5">
            <w:pPr>
              <w:spacing w:before="120"/>
              <w:ind w:left="1795" w:hanging="540"/>
              <w:rPr>
                <w:szCs w:val="24"/>
              </w:rPr>
            </w:pPr>
            <w:r>
              <w:rPr>
                <w:szCs w:val="24"/>
              </w:rPr>
              <w:t>(</w:t>
            </w:r>
            <w:proofErr w:type="spellStart"/>
            <w:r>
              <w:rPr>
                <w:szCs w:val="24"/>
              </w:rPr>
              <w:t>i</w:t>
            </w:r>
            <w:proofErr w:type="spellEnd"/>
            <w:r>
              <w:rPr>
                <w:szCs w:val="24"/>
              </w:rPr>
              <w:t>)</w:t>
            </w:r>
            <w:r>
              <w:rPr>
                <w:szCs w:val="24"/>
              </w:rPr>
              <w:tab/>
              <w:t>affect in any substantial way the scope, quality, or performance of the Information System specified in the Contract; or</w:t>
            </w:r>
          </w:p>
          <w:p w14:paraId="0992C0F3" w14:textId="77777777" w:rsidR="00157AAA" w:rsidRDefault="006C1BE5">
            <w:pPr>
              <w:spacing w:before="120"/>
              <w:ind w:left="1795" w:hanging="540"/>
              <w:rPr>
                <w:szCs w:val="24"/>
              </w:rPr>
            </w:pPr>
            <w:r>
              <w:rPr>
                <w:szCs w:val="24"/>
              </w:rPr>
              <w:t>(ii)</w:t>
            </w:r>
            <w:r>
              <w:rPr>
                <w:szCs w:val="24"/>
              </w:rPr>
              <w:tab/>
              <w:t xml:space="preserve">limit in any substantial way, inconsistent with the bidding document, the Purchaser’s </w:t>
            </w:r>
            <w:proofErr w:type="gramStart"/>
            <w:r>
              <w:rPr>
                <w:szCs w:val="24"/>
              </w:rPr>
              <w:t>rights</w:t>
            </w:r>
            <w:proofErr w:type="gramEnd"/>
            <w:r>
              <w:rPr>
                <w:szCs w:val="24"/>
              </w:rPr>
              <w:t xml:space="preserve"> or the Bidder’s obligations under the proposed Contract; or</w:t>
            </w:r>
          </w:p>
          <w:p w14:paraId="5E00E671" w14:textId="77777777" w:rsidR="00157AAA" w:rsidRDefault="006C1BE5">
            <w:pPr>
              <w:spacing w:before="120"/>
              <w:ind w:left="1165" w:hanging="573"/>
              <w:rPr>
                <w:szCs w:val="24"/>
              </w:rPr>
            </w:pPr>
            <w:r>
              <w:rPr>
                <w:szCs w:val="24"/>
              </w:rPr>
              <w:t>(b)</w:t>
            </w:r>
            <w:r>
              <w:rPr>
                <w:szCs w:val="24"/>
              </w:rPr>
              <w:tab/>
              <w:t>if rectified, would unfairly affect the competitive position of other Bidders presenting substantially responsive Bids.</w:t>
            </w:r>
          </w:p>
        </w:tc>
      </w:tr>
      <w:tr w:rsidR="00157AAA" w14:paraId="69C39711" w14:textId="77777777">
        <w:trPr>
          <w:gridAfter w:val="1"/>
          <w:wAfter w:w="8" w:type="dxa"/>
          <w:cantSplit/>
        </w:trPr>
        <w:tc>
          <w:tcPr>
            <w:tcW w:w="2410" w:type="dxa"/>
          </w:tcPr>
          <w:p w14:paraId="782121B9" w14:textId="77777777" w:rsidR="00157AAA" w:rsidRDefault="00157AAA">
            <w:pPr>
              <w:spacing w:before="120"/>
              <w:rPr>
                <w:szCs w:val="24"/>
              </w:rPr>
            </w:pPr>
          </w:p>
        </w:tc>
        <w:tc>
          <w:tcPr>
            <w:tcW w:w="6974" w:type="dxa"/>
          </w:tcPr>
          <w:p w14:paraId="2A17AFE4" w14:textId="77777777" w:rsidR="00157AAA" w:rsidRDefault="006C1BE5" w:rsidP="00D530D5">
            <w:pPr>
              <w:pStyle w:val="Head12a"/>
              <w:numPr>
                <w:ilvl w:val="1"/>
                <w:numId w:val="59"/>
              </w:numPr>
              <w:spacing w:before="120"/>
              <w:ind w:left="702" w:hanging="720"/>
              <w:jc w:val="both"/>
              <w:rPr>
                <w:b w:val="0"/>
                <w:bCs/>
                <w:szCs w:val="24"/>
              </w:rPr>
            </w:pPr>
            <w:bookmarkStart w:id="295" w:name="_Toc43474935"/>
            <w:r>
              <w:rPr>
                <w:b w:val="0"/>
                <w:bCs/>
                <w:szCs w:val="24"/>
              </w:rPr>
              <w:t>The Purchaser shall examine the technical aspects of the Bid in particular, to confirm that all requirements of Section VII, Purchaser’s Requirements have been met without any material deviation, reservation, or omission.</w:t>
            </w:r>
            <w:bookmarkEnd w:id="295"/>
          </w:p>
        </w:tc>
      </w:tr>
      <w:tr w:rsidR="00157AAA" w14:paraId="210B4852" w14:textId="77777777">
        <w:trPr>
          <w:gridAfter w:val="1"/>
          <w:wAfter w:w="8" w:type="dxa"/>
          <w:cantSplit/>
        </w:trPr>
        <w:tc>
          <w:tcPr>
            <w:tcW w:w="2410" w:type="dxa"/>
          </w:tcPr>
          <w:p w14:paraId="0F874DD5" w14:textId="77777777" w:rsidR="00157AAA" w:rsidRDefault="00157AAA">
            <w:pPr>
              <w:spacing w:before="120"/>
              <w:rPr>
                <w:szCs w:val="24"/>
              </w:rPr>
            </w:pPr>
          </w:p>
        </w:tc>
        <w:tc>
          <w:tcPr>
            <w:tcW w:w="6974" w:type="dxa"/>
          </w:tcPr>
          <w:p w14:paraId="54C19202" w14:textId="77777777" w:rsidR="00157AAA" w:rsidRDefault="006C1BE5" w:rsidP="00D530D5">
            <w:pPr>
              <w:pStyle w:val="Head12a"/>
              <w:numPr>
                <w:ilvl w:val="1"/>
                <w:numId w:val="59"/>
              </w:numPr>
              <w:spacing w:before="120"/>
              <w:ind w:left="702" w:hanging="720"/>
              <w:jc w:val="both"/>
              <w:rPr>
                <w:b w:val="0"/>
                <w:bCs/>
                <w:szCs w:val="24"/>
              </w:rPr>
            </w:pPr>
            <w:bookmarkStart w:id="296" w:name="_Toc43474936"/>
            <w:r>
              <w:rPr>
                <w:b w:val="0"/>
                <w:bCs/>
                <w:szCs w:val="24"/>
              </w:rPr>
              <w:t>To be considered for Contract award, Bidders must have submitted Bids:</w:t>
            </w:r>
            <w:bookmarkEnd w:id="296"/>
          </w:p>
        </w:tc>
      </w:tr>
      <w:tr w:rsidR="00157AAA" w14:paraId="42CBFC0C" w14:textId="77777777">
        <w:trPr>
          <w:gridAfter w:val="1"/>
          <w:wAfter w:w="8" w:type="dxa"/>
          <w:cantSplit/>
        </w:trPr>
        <w:tc>
          <w:tcPr>
            <w:tcW w:w="2410" w:type="dxa"/>
          </w:tcPr>
          <w:p w14:paraId="48E2335A" w14:textId="77777777" w:rsidR="00157AAA" w:rsidRDefault="00157AAA">
            <w:pPr>
              <w:spacing w:before="120"/>
              <w:rPr>
                <w:szCs w:val="24"/>
              </w:rPr>
            </w:pPr>
          </w:p>
        </w:tc>
        <w:tc>
          <w:tcPr>
            <w:tcW w:w="6974" w:type="dxa"/>
          </w:tcPr>
          <w:p w14:paraId="28D8DB10" w14:textId="77777777" w:rsidR="00157AAA" w:rsidRDefault="006C1BE5">
            <w:pPr>
              <w:spacing w:before="120"/>
              <w:ind w:left="1255" w:hanging="691"/>
              <w:rPr>
                <w:szCs w:val="24"/>
              </w:rPr>
            </w:pPr>
            <w:r>
              <w:rPr>
                <w:szCs w:val="24"/>
              </w:rPr>
              <w:t xml:space="preserve">(a) </w:t>
            </w:r>
            <w:r>
              <w:rPr>
                <w:szCs w:val="24"/>
              </w:rPr>
              <w:tab/>
              <w:t>for which detailed Bid evaluation using the same standards for compliance determination as listed in ITB 29 and ITB 30.3 confirms that the Bids are commercially and technically responsive, and include the hardware, Software, related equipment, products, Materials, and other Goods and Services components of the Information System in substantially the full required quantities for the entire Information System or, if allowed in the BDS ITB 35.8, the individual Subsystem, lot or slice Bid on; and are deemed by the Purchaser as commercially and technically responsive; and</w:t>
            </w:r>
          </w:p>
          <w:p w14:paraId="2258C6B6" w14:textId="77777777" w:rsidR="00157AAA" w:rsidRDefault="006C1BE5">
            <w:pPr>
              <w:spacing w:before="120"/>
              <w:ind w:left="1255" w:hanging="691"/>
              <w:rPr>
                <w:szCs w:val="24"/>
              </w:rPr>
            </w:pPr>
            <w:r>
              <w:rPr>
                <w:szCs w:val="24"/>
              </w:rPr>
              <w:t xml:space="preserve">(b) </w:t>
            </w:r>
            <w:r>
              <w:rPr>
                <w:szCs w:val="24"/>
              </w:rPr>
              <w:tab/>
              <w:t>that offer Information Technologies that are proven to perform up to the standards promised in the bid by having successfully passed the performance, benchmark, and/or functionality tests the Purchaser may require, pursuant to ITB 39.3.</w:t>
            </w:r>
          </w:p>
        </w:tc>
      </w:tr>
      <w:tr w:rsidR="00157AAA" w14:paraId="77C108EC" w14:textId="77777777">
        <w:trPr>
          <w:gridAfter w:val="1"/>
          <w:wAfter w:w="8" w:type="dxa"/>
        </w:trPr>
        <w:tc>
          <w:tcPr>
            <w:tcW w:w="2410" w:type="dxa"/>
          </w:tcPr>
          <w:p w14:paraId="26914096" w14:textId="77777777" w:rsidR="00157AAA" w:rsidRDefault="006C1BE5">
            <w:pPr>
              <w:pStyle w:val="ITBHeading2"/>
              <w:spacing w:before="120" w:after="120"/>
            </w:pPr>
            <w:bookmarkStart w:id="297" w:name="_Toc23236777"/>
            <w:bookmarkStart w:id="298" w:name="_Toc125783021"/>
            <w:bookmarkStart w:id="299" w:name="_Toc438438854"/>
            <w:bookmarkStart w:id="300" w:name="_Toc438532636"/>
            <w:bookmarkStart w:id="301" w:name="_Toc438733998"/>
            <w:bookmarkStart w:id="302" w:name="_Toc438907035"/>
            <w:bookmarkStart w:id="303" w:name="_Toc438907234"/>
            <w:bookmarkStart w:id="304" w:name="_Toc43475019"/>
            <w:bookmarkStart w:id="305" w:name="_Toc43486485"/>
            <w:bookmarkStart w:id="306" w:name="_Toc163505741"/>
            <w:r>
              <w:t>Nonmaterial Nonconformities</w:t>
            </w:r>
            <w:bookmarkEnd w:id="297"/>
            <w:bookmarkEnd w:id="298"/>
            <w:bookmarkEnd w:id="299"/>
            <w:bookmarkEnd w:id="300"/>
            <w:bookmarkEnd w:id="301"/>
            <w:bookmarkEnd w:id="302"/>
            <w:bookmarkEnd w:id="303"/>
            <w:bookmarkEnd w:id="304"/>
            <w:bookmarkEnd w:id="305"/>
            <w:bookmarkEnd w:id="306"/>
          </w:p>
        </w:tc>
        <w:tc>
          <w:tcPr>
            <w:tcW w:w="6974" w:type="dxa"/>
          </w:tcPr>
          <w:p w14:paraId="2D67875F" w14:textId="77777777" w:rsidR="00157AAA" w:rsidRDefault="006C1BE5" w:rsidP="00D530D5">
            <w:pPr>
              <w:pStyle w:val="Head12a"/>
              <w:numPr>
                <w:ilvl w:val="1"/>
                <w:numId w:val="59"/>
              </w:numPr>
              <w:spacing w:before="120"/>
              <w:ind w:left="702" w:hanging="720"/>
              <w:jc w:val="both"/>
              <w:rPr>
                <w:b w:val="0"/>
                <w:bCs/>
                <w:szCs w:val="24"/>
              </w:rPr>
            </w:pPr>
            <w:bookmarkStart w:id="307" w:name="_Toc43474937"/>
            <w:r>
              <w:rPr>
                <w:b w:val="0"/>
                <w:bCs/>
                <w:szCs w:val="24"/>
              </w:rPr>
              <w:t xml:space="preserve">Provided that a Bid is substantially responsive, the Purchaser may waive any nonconformity in the Bid that does not constitute a material deviation, </w:t>
            </w:r>
            <w:proofErr w:type="gramStart"/>
            <w:r>
              <w:rPr>
                <w:b w:val="0"/>
                <w:bCs/>
                <w:szCs w:val="24"/>
              </w:rPr>
              <w:t>reservation</w:t>
            </w:r>
            <w:proofErr w:type="gramEnd"/>
            <w:r>
              <w:rPr>
                <w:b w:val="0"/>
                <w:bCs/>
                <w:szCs w:val="24"/>
              </w:rPr>
              <w:t xml:space="preserve"> or omission.</w:t>
            </w:r>
            <w:bookmarkEnd w:id="307"/>
          </w:p>
        </w:tc>
      </w:tr>
      <w:tr w:rsidR="00157AAA" w14:paraId="11011042" w14:textId="77777777">
        <w:trPr>
          <w:gridAfter w:val="1"/>
          <w:wAfter w:w="8" w:type="dxa"/>
        </w:trPr>
        <w:tc>
          <w:tcPr>
            <w:tcW w:w="2410" w:type="dxa"/>
          </w:tcPr>
          <w:p w14:paraId="43803587" w14:textId="77777777" w:rsidR="00157AAA" w:rsidRDefault="00157AAA">
            <w:pPr>
              <w:spacing w:before="120"/>
              <w:rPr>
                <w:szCs w:val="24"/>
              </w:rPr>
            </w:pPr>
          </w:p>
        </w:tc>
        <w:tc>
          <w:tcPr>
            <w:tcW w:w="6974" w:type="dxa"/>
          </w:tcPr>
          <w:p w14:paraId="2892562F" w14:textId="77777777" w:rsidR="00157AAA" w:rsidRDefault="006C1BE5" w:rsidP="00D530D5">
            <w:pPr>
              <w:pStyle w:val="Head12a"/>
              <w:numPr>
                <w:ilvl w:val="1"/>
                <w:numId w:val="59"/>
              </w:numPr>
              <w:spacing w:before="120"/>
              <w:ind w:left="702" w:hanging="720"/>
              <w:jc w:val="both"/>
              <w:rPr>
                <w:b w:val="0"/>
                <w:bCs/>
                <w:szCs w:val="24"/>
              </w:rPr>
            </w:pPr>
            <w:bookmarkStart w:id="308" w:name="_Toc43474938"/>
            <w:r>
              <w:rPr>
                <w:b w:val="0"/>
                <w:bCs/>
                <w:szCs w:val="24"/>
              </w:rPr>
              <w:t xml:space="preserve">Provided that a Bid is substantially responsive, the Purchaser may request that the Bidder submit the necessary information or documentation, within a reasonable </w:t>
            </w:r>
            <w:proofErr w:type="gramStart"/>
            <w:r>
              <w:rPr>
                <w:b w:val="0"/>
                <w:bCs/>
                <w:szCs w:val="24"/>
              </w:rPr>
              <w:t>period of time</w:t>
            </w:r>
            <w:proofErr w:type="gramEnd"/>
            <w:r>
              <w:rPr>
                <w:b w:val="0"/>
                <w:bCs/>
                <w:szCs w:val="24"/>
              </w:rPr>
              <w:t>, to rectify nonmaterial nonconformities in the Bid related to documentation requirements.  Requesting information or documentation on such nonconformities shall not be related to any aspect of the price of the Bid.  Failure of the Bidder to comply with the request may result in the rejection of its Bid.</w:t>
            </w:r>
            <w:bookmarkEnd w:id="308"/>
          </w:p>
        </w:tc>
      </w:tr>
      <w:tr w:rsidR="00157AAA" w14:paraId="181DB7AF" w14:textId="77777777">
        <w:trPr>
          <w:gridAfter w:val="1"/>
          <w:wAfter w:w="8" w:type="dxa"/>
        </w:trPr>
        <w:tc>
          <w:tcPr>
            <w:tcW w:w="2410" w:type="dxa"/>
          </w:tcPr>
          <w:p w14:paraId="70D97CE1" w14:textId="77777777" w:rsidR="00157AAA" w:rsidRDefault="00157AAA">
            <w:pPr>
              <w:spacing w:before="120"/>
              <w:rPr>
                <w:szCs w:val="24"/>
              </w:rPr>
            </w:pPr>
          </w:p>
        </w:tc>
        <w:tc>
          <w:tcPr>
            <w:tcW w:w="6974" w:type="dxa"/>
          </w:tcPr>
          <w:p w14:paraId="6298B9D3" w14:textId="77777777" w:rsidR="00157AAA" w:rsidRDefault="006C1BE5" w:rsidP="00D530D5">
            <w:pPr>
              <w:pStyle w:val="Head12a"/>
              <w:numPr>
                <w:ilvl w:val="1"/>
                <w:numId w:val="59"/>
              </w:numPr>
              <w:spacing w:before="120"/>
              <w:ind w:left="702" w:hanging="720"/>
              <w:jc w:val="both"/>
              <w:rPr>
                <w:b w:val="0"/>
                <w:bCs/>
                <w:szCs w:val="24"/>
              </w:rPr>
            </w:pPr>
            <w:bookmarkStart w:id="309" w:name="_Toc43474939"/>
            <w:r>
              <w:rPr>
                <w:b w:val="0"/>
                <w:bCs/>
                <w:szCs w:val="24"/>
              </w:rPr>
              <w:t>Provided that a Bid is substantially responsive, the Purchaser shall rectify quantifiable nonmaterial nonconformities related to the Bid Price.  To this effect, the Bid Price shall be adjusted, for comparison purposes only, to reflect the price of a missing or non-conforming item or component by adding the average price of the item or component quoted by substantially responsive Bidders. If the price of the item or component cannot be derived from the price of other substantially responsive Bids, the Purchaser shall use its best estimate.</w:t>
            </w:r>
            <w:bookmarkEnd w:id="309"/>
          </w:p>
        </w:tc>
      </w:tr>
      <w:tr w:rsidR="00157AAA" w14:paraId="112B6E8F" w14:textId="77777777">
        <w:trPr>
          <w:gridAfter w:val="1"/>
          <w:wAfter w:w="8" w:type="dxa"/>
        </w:trPr>
        <w:tc>
          <w:tcPr>
            <w:tcW w:w="2410" w:type="dxa"/>
          </w:tcPr>
          <w:p w14:paraId="471C7ADB" w14:textId="77777777" w:rsidR="00157AAA" w:rsidRDefault="006C1BE5">
            <w:pPr>
              <w:pStyle w:val="ITBHeading2"/>
              <w:spacing w:before="120" w:after="120"/>
            </w:pPr>
            <w:bookmarkStart w:id="310" w:name="_Toc23236778"/>
            <w:bookmarkStart w:id="311" w:name="_Toc125783022"/>
            <w:bookmarkStart w:id="312" w:name="_Toc43475020"/>
            <w:bookmarkStart w:id="313" w:name="_Toc43486486"/>
            <w:bookmarkStart w:id="314" w:name="_Toc163505742"/>
            <w:r>
              <w:t>Correction of Arithmetical Errors</w:t>
            </w:r>
            <w:bookmarkEnd w:id="310"/>
            <w:bookmarkEnd w:id="311"/>
            <w:bookmarkEnd w:id="312"/>
            <w:bookmarkEnd w:id="313"/>
            <w:bookmarkEnd w:id="314"/>
          </w:p>
        </w:tc>
        <w:tc>
          <w:tcPr>
            <w:tcW w:w="6974" w:type="dxa"/>
          </w:tcPr>
          <w:p w14:paraId="2AA20BEF" w14:textId="77777777" w:rsidR="00157AAA" w:rsidRDefault="006C1BE5" w:rsidP="00D530D5">
            <w:pPr>
              <w:pStyle w:val="Head12a"/>
              <w:numPr>
                <w:ilvl w:val="1"/>
                <w:numId w:val="59"/>
              </w:numPr>
              <w:spacing w:before="120"/>
              <w:ind w:left="702" w:hanging="720"/>
              <w:jc w:val="both"/>
              <w:rPr>
                <w:b w:val="0"/>
                <w:bCs/>
                <w:szCs w:val="24"/>
              </w:rPr>
            </w:pPr>
            <w:bookmarkStart w:id="315" w:name="_Toc43474940"/>
            <w:r>
              <w:rPr>
                <w:b w:val="0"/>
                <w:bCs/>
                <w:szCs w:val="24"/>
              </w:rPr>
              <w:t>Provided that the Bid is substantially responsive, the Purchaser shall correct arithmetical errors on the following basis:</w:t>
            </w:r>
            <w:bookmarkEnd w:id="315"/>
          </w:p>
          <w:p w14:paraId="25B0AAA4" w14:textId="77777777" w:rsidR="00157AAA" w:rsidRDefault="006C1BE5" w:rsidP="00D530D5">
            <w:pPr>
              <w:pStyle w:val="ListParagraph"/>
              <w:numPr>
                <w:ilvl w:val="0"/>
                <w:numId w:val="23"/>
              </w:numPr>
              <w:spacing w:before="120"/>
              <w:ind w:left="1255" w:hanging="630"/>
              <w:contextualSpacing w:val="0"/>
              <w:rPr>
                <w:szCs w:val="24"/>
              </w:rPr>
            </w:pPr>
            <w:r>
              <w:rPr>
                <w:szCs w:val="24"/>
              </w:rPr>
              <w:t xml:space="preserve">where there are errors between the total of the amounts given under the column for the price breakdown and the amount given under the Total Price, the former shall </w:t>
            </w:r>
            <w:proofErr w:type="gramStart"/>
            <w:r>
              <w:rPr>
                <w:szCs w:val="24"/>
              </w:rPr>
              <w:t>prevail</w:t>
            </w:r>
            <w:proofErr w:type="gramEnd"/>
            <w:r>
              <w:rPr>
                <w:szCs w:val="24"/>
              </w:rPr>
              <w:t xml:space="preserve"> and the latter will be corrected accordingly;</w:t>
            </w:r>
          </w:p>
          <w:p w14:paraId="058F0EC1" w14:textId="77777777" w:rsidR="00157AAA" w:rsidRDefault="006C1BE5" w:rsidP="00D530D5">
            <w:pPr>
              <w:pStyle w:val="ListParagraph"/>
              <w:numPr>
                <w:ilvl w:val="0"/>
                <w:numId w:val="23"/>
              </w:numPr>
              <w:spacing w:before="120"/>
              <w:ind w:left="1255" w:hanging="630"/>
              <w:contextualSpacing w:val="0"/>
              <w:rPr>
                <w:szCs w:val="24"/>
              </w:rPr>
            </w:pPr>
            <w:r>
              <w:rPr>
                <w:szCs w:val="24"/>
              </w:rPr>
              <w:t xml:space="preserve">where there are errors between the total of the amounts of Schedule Nos. 1 to 5 and the amount given in Schedule No. 6 (Grand Summary), the former shall </w:t>
            </w:r>
            <w:proofErr w:type="gramStart"/>
            <w:r>
              <w:rPr>
                <w:szCs w:val="24"/>
              </w:rPr>
              <w:t>prevail</w:t>
            </w:r>
            <w:proofErr w:type="gramEnd"/>
            <w:r>
              <w:rPr>
                <w:szCs w:val="24"/>
              </w:rPr>
              <w:t xml:space="preserve"> and the latter will be corrected accordingly; and</w:t>
            </w:r>
          </w:p>
          <w:p w14:paraId="5C35A5ED" w14:textId="77777777" w:rsidR="00157AAA" w:rsidRDefault="006C1BE5" w:rsidP="00D530D5">
            <w:pPr>
              <w:pStyle w:val="ListParagraph"/>
              <w:numPr>
                <w:ilvl w:val="0"/>
                <w:numId w:val="23"/>
              </w:numPr>
              <w:spacing w:before="120"/>
              <w:ind w:left="1255" w:hanging="630"/>
              <w:contextualSpacing w:val="0"/>
              <w:rPr>
                <w:szCs w:val="24"/>
              </w:rPr>
            </w:pPr>
            <w:r>
              <w:rPr>
                <w:szCs w:val="24"/>
              </w:rPr>
              <w:t>if there is a discrepancy between words and figures, the amount in words shall prevail, unless the amount expressed in words is related to an arithmetic error, in which case the amount in figures shall prevail subject to (a) and (b) above.</w:t>
            </w:r>
          </w:p>
        </w:tc>
      </w:tr>
      <w:tr w:rsidR="00157AAA" w14:paraId="414D7BDB" w14:textId="77777777">
        <w:trPr>
          <w:gridAfter w:val="1"/>
          <w:wAfter w:w="8" w:type="dxa"/>
        </w:trPr>
        <w:tc>
          <w:tcPr>
            <w:tcW w:w="2410" w:type="dxa"/>
          </w:tcPr>
          <w:p w14:paraId="4A3D2849" w14:textId="77777777" w:rsidR="00157AAA" w:rsidRDefault="00157AAA">
            <w:pPr>
              <w:spacing w:before="120"/>
              <w:rPr>
                <w:szCs w:val="24"/>
              </w:rPr>
            </w:pPr>
          </w:p>
        </w:tc>
        <w:tc>
          <w:tcPr>
            <w:tcW w:w="6974" w:type="dxa"/>
          </w:tcPr>
          <w:p w14:paraId="273F452C" w14:textId="77777777" w:rsidR="00157AAA" w:rsidRDefault="006C1BE5" w:rsidP="00D530D5">
            <w:pPr>
              <w:pStyle w:val="Head12a"/>
              <w:numPr>
                <w:ilvl w:val="1"/>
                <w:numId w:val="59"/>
              </w:numPr>
              <w:spacing w:before="120"/>
              <w:ind w:left="702" w:hanging="720"/>
              <w:jc w:val="both"/>
              <w:rPr>
                <w:szCs w:val="24"/>
              </w:rPr>
            </w:pPr>
            <w:bookmarkStart w:id="316" w:name="_Toc43474941"/>
            <w:r>
              <w:rPr>
                <w:b w:val="0"/>
                <w:bCs/>
                <w:szCs w:val="24"/>
              </w:rPr>
              <w:t>A Bidder shall be requested to accept the correction of arithmetical errors. Failure to accept the correction in accordance with ITB 32.1 shall result in the rejection of the Bid.</w:t>
            </w:r>
            <w:bookmarkEnd w:id="316"/>
          </w:p>
        </w:tc>
      </w:tr>
      <w:tr w:rsidR="00157AAA" w14:paraId="30157EDE" w14:textId="77777777">
        <w:trPr>
          <w:gridAfter w:val="1"/>
          <w:wAfter w:w="8" w:type="dxa"/>
        </w:trPr>
        <w:tc>
          <w:tcPr>
            <w:tcW w:w="2410" w:type="dxa"/>
          </w:tcPr>
          <w:p w14:paraId="5495565A" w14:textId="77777777" w:rsidR="00157AAA" w:rsidRDefault="006C1BE5">
            <w:pPr>
              <w:pStyle w:val="ITBHeading2"/>
              <w:spacing w:before="120" w:after="120"/>
            </w:pPr>
            <w:bookmarkStart w:id="317" w:name="_Toc23236779"/>
            <w:bookmarkStart w:id="318" w:name="_Toc125783023"/>
            <w:bookmarkStart w:id="319" w:name="_Toc43475021"/>
            <w:bookmarkStart w:id="320" w:name="_Toc43486487"/>
            <w:bookmarkStart w:id="321" w:name="_Toc163505743"/>
            <w:r>
              <w:t>Conversion to Single Currency</w:t>
            </w:r>
            <w:bookmarkEnd w:id="317"/>
            <w:bookmarkEnd w:id="318"/>
            <w:bookmarkEnd w:id="319"/>
            <w:bookmarkEnd w:id="320"/>
            <w:bookmarkEnd w:id="321"/>
            <w:r>
              <w:t xml:space="preserve"> </w:t>
            </w:r>
          </w:p>
        </w:tc>
        <w:tc>
          <w:tcPr>
            <w:tcW w:w="6974" w:type="dxa"/>
          </w:tcPr>
          <w:p w14:paraId="001E93B7" w14:textId="77777777" w:rsidR="00157AAA" w:rsidRDefault="006C1BE5" w:rsidP="00D530D5">
            <w:pPr>
              <w:pStyle w:val="Head12a"/>
              <w:numPr>
                <w:ilvl w:val="1"/>
                <w:numId w:val="59"/>
              </w:numPr>
              <w:spacing w:before="120"/>
              <w:ind w:left="702" w:hanging="720"/>
              <w:jc w:val="both"/>
              <w:rPr>
                <w:b w:val="0"/>
                <w:bCs/>
                <w:szCs w:val="24"/>
              </w:rPr>
            </w:pPr>
            <w:bookmarkStart w:id="322" w:name="_Toc43474942"/>
            <w:r>
              <w:rPr>
                <w:b w:val="0"/>
                <w:bCs/>
                <w:szCs w:val="24"/>
              </w:rPr>
              <w:t>For evaluation and comparison purposes, the currency(</w:t>
            </w:r>
            <w:proofErr w:type="spellStart"/>
            <w:r>
              <w:rPr>
                <w:b w:val="0"/>
                <w:bCs/>
                <w:szCs w:val="24"/>
              </w:rPr>
              <w:t>ies</w:t>
            </w:r>
            <w:proofErr w:type="spellEnd"/>
            <w:r>
              <w:rPr>
                <w:b w:val="0"/>
                <w:bCs/>
                <w:szCs w:val="24"/>
              </w:rPr>
              <w:t>) of the Bid shall be converted into a single currency as specified in the BDS.</w:t>
            </w:r>
            <w:bookmarkEnd w:id="322"/>
            <w:r>
              <w:rPr>
                <w:b w:val="0"/>
                <w:bCs/>
                <w:szCs w:val="24"/>
              </w:rPr>
              <w:t xml:space="preserve">   </w:t>
            </w:r>
          </w:p>
        </w:tc>
      </w:tr>
      <w:tr w:rsidR="00157AAA" w14:paraId="6DED57A7" w14:textId="77777777">
        <w:trPr>
          <w:gridAfter w:val="1"/>
          <w:wAfter w:w="8" w:type="dxa"/>
        </w:trPr>
        <w:tc>
          <w:tcPr>
            <w:tcW w:w="2410" w:type="dxa"/>
          </w:tcPr>
          <w:p w14:paraId="43B0C4A5" w14:textId="77777777" w:rsidR="00157AAA" w:rsidRDefault="006C1BE5">
            <w:pPr>
              <w:pStyle w:val="ITBHeading2"/>
              <w:spacing w:before="120" w:after="120"/>
            </w:pPr>
            <w:bookmarkStart w:id="323" w:name="_Toc438438858"/>
            <w:bookmarkStart w:id="324" w:name="_Toc438532647"/>
            <w:bookmarkStart w:id="325" w:name="_Toc438734002"/>
            <w:bookmarkStart w:id="326" w:name="_Toc438907039"/>
            <w:bookmarkStart w:id="327" w:name="_Toc438907238"/>
            <w:bookmarkStart w:id="328" w:name="_Toc23236780"/>
            <w:bookmarkStart w:id="329" w:name="_Toc125783024"/>
            <w:bookmarkStart w:id="330" w:name="_Toc43475022"/>
            <w:bookmarkStart w:id="331" w:name="_Toc43486488"/>
            <w:bookmarkStart w:id="332" w:name="_Toc163505744"/>
            <w:r>
              <w:lastRenderedPageBreak/>
              <w:t>Margin of Preference</w:t>
            </w:r>
            <w:bookmarkEnd w:id="323"/>
            <w:bookmarkEnd w:id="324"/>
            <w:bookmarkEnd w:id="325"/>
            <w:bookmarkEnd w:id="326"/>
            <w:bookmarkEnd w:id="327"/>
            <w:bookmarkEnd w:id="328"/>
            <w:bookmarkEnd w:id="329"/>
            <w:bookmarkEnd w:id="330"/>
            <w:bookmarkEnd w:id="331"/>
            <w:bookmarkEnd w:id="332"/>
          </w:p>
        </w:tc>
        <w:tc>
          <w:tcPr>
            <w:tcW w:w="6974" w:type="dxa"/>
          </w:tcPr>
          <w:p w14:paraId="6F74C66E" w14:textId="77777777" w:rsidR="00157AAA" w:rsidRDefault="006C1BE5" w:rsidP="00D530D5">
            <w:pPr>
              <w:pStyle w:val="Head12a"/>
              <w:numPr>
                <w:ilvl w:val="1"/>
                <w:numId w:val="59"/>
              </w:numPr>
              <w:spacing w:before="120"/>
              <w:ind w:left="702" w:hanging="720"/>
              <w:jc w:val="both"/>
              <w:rPr>
                <w:b w:val="0"/>
                <w:bCs/>
                <w:szCs w:val="24"/>
              </w:rPr>
            </w:pPr>
            <w:bookmarkStart w:id="333" w:name="_Toc43474943"/>
            <w:r>
              <w:rPr>
                <w:b w:val="0"/>
                <w:bCs/>
                <w:szCs w:val="24"/>
              </w:rPr>
              <w:t>No margin of domestic preference shall apply.</w:t>
            </w:r>
            <w:bookmarkEnd w:id="333"/>
            <w:r>
              <w:rPr>
                <w:b w:val="0"/>
                <w:bCs/>
                <w:szCs w:val="24"/>
              </w:rPr>
              <w:t xml:space="preserve">     </w:t>
            </w:r>
          </w:p>
        </w:tc>
      </w:tr>
      <w:tr w:rsidR="00157AAA" w14:paraId="0E5DEE0B" w14:textId="77777777">
        <w:trPr>
          <w:gridAfter w:val="1"/>
          <w:wAfter w:w="8" w:type="dxa"/>
        </w:trPr>
        <w:tc>
          <w:tcPr>
            <w:tcW w:w="2410" w:type="dxa"/>
          </w:tcPr>
          <w:p w14:paraId="45489EE0" w14:textId="77777777" w:rsidR="00157AAA" w:rsidRDefault="006C1BE5">
            <w:pPr>
              <w:pStyle w:val="ITBHeading2"/>
              <w:spacing w:before="120" w:after="120"/>
            </w:pPr>
            <w:bookmarkStart w:id="334" w:name="_Toc400179188"/>
            <w:bookmarkStart w:id="335" w:name="_Toc125783025"/>
            <w:bookmarkStart w:id="336" w:name="_Toc43475023"/>
            <w:bookmarkStart w:id="337" w:name="_Toc43486489"/>
            <w:bookmarkStart w:id="338" w:name="_Toc163505745"/>
            <w:r>
              <w:t>Evaluation</w:t>
            </w:r>
            <w:bookmarkEnd w:id="334"/>
            <w:r>
              <w:t xml:space="preserve"> of Bids</w:t>
            </w:r>
            <w:bookmarkEnd w:id="335"/>
            <w:bookmarkEnd w:id="336"/>
            <w:bookmarkEnd w:id="337"/>
            <w:bookmarkEnd w:id="338"/>
          </w:p>
        </w:tc>
        <w:tc>
          <w:tcPr>
            <w:tcW w:w="6974" w:type="dxa"/>
          </w:tcPr>
          <w:p w14:paraId="0E03BEEF" w14:textId="77777777" w:rsidR="00157AAA" w:rsidRDefault="006C1BE5" w:rsidP="00D530D5">
            <w:pPr>
              <w:pStyle w:val="Head12a"/>
              <w:numPr>
                <w:ilvl w:val="1"/>
                <w:numId w:val="59"/>
              </w:numPr>
              <w:spacing w:before="120"/>
              <w:ind w:left="702" w:hanging="720"/>
              <w:jc w:val="both"/>
              <w:rPr>
                <w:b w:val="0"/>
                <w:bCs/>
                <w:szCs w:val="24"/>
              </w:rPr>
            </w:pPr>
            <w:bookmarkStart w:id="339" w:name="_Toc43474944"/>
            <w:r>
              <w:rPr>
                <w:b w:val="0"/>
                <w:bCs/>
                <w:szCs w:val="24"/>
              </w:rPr>
              <w:t>The Purchaser shall use the criteria and methodologies listed in this ITB and Section III, Evaluation and Qualification criteria. No other evaluation criteria or methodologies shall be permitted. By applying the criteria and methodologies the Purchaser shall determine the Most Advantageous Bid.</w:t>
            </w:r>
            <w:bookmarkEnd w:id="339"/>
            <w:r>
              <w:rPr>
                <w:b w:val="0"/>
                <w:bCs/>
                <w:szCs w:val="24"/>
              </w:rPr>
              <w:t xml:space="preserve"> </w:t>
            </w:r>
          </w:p>
          <w:p w14:paraId="40C09C35" w14:textId="77777777" w:rsidR="00157AAA" w:rsidRDefault="006C1BE5">
            <w:pPr>
              <w:pStyle w:val="Header2-SubClauses"/>
              <w:pBdr>
                <w:top w:val="none" w:sz="0" w:space="0" w:color="auto"/>
                <w:left w:val="none" w:sz="0" w:space="0" w:color="auto"/>
                <w:bottom w:val="none" w:sz="0" w:space="0" w:color="auto"/>
                <w:right w:val="none" w:sz="0" w:space="0" w:color="auto"/>
                <w:between w:val="none" w:sz="0" w:space="0" w:color="auto"/>
              </w:pBdr>
              <w:spacing w:before="120" w:after="120"/>
              <w:rPr>
                <w:szCs w:val="24"/>
              </w:rPr>
            </w:pPr>
            <w:r>
              <w:rPr>
                <w:szCs w:val="24"/>
              </w:rPr>
              <w:t>Preliminary Examination</w:t>
            </w:r>
          </w:p>
          <w:p w14:paraId="38357EBD" w14:textId="77777777" w:rsidR="00157AAA" w:rsidRDefault="006C1BE5" w:rsidP="00D530D5">
            <w:pPr>
              <w:pStyle w:val="Head12a"/>
              <w:numPr>
                <w:ilvl w:val="1"/>
                <w:numId w:val="59"/>
              </w:numPr>
              <w:spacing w:before="120"/>
              <w:ind w:left="702" w:hanging="720"/>
              <w:jc w:val="both"/>
              <w:rPr>
                <w:b w:val="0"/>
                <w:bCs/>
                <w:szCs w:val="24"/>
              </w:rPr>
            </w:pPr>
            <w:bookmarkStart w:id="340" w:name="_Toc43474945"/>
            <w:r>
              <w:rPr>
                <w:b w:val="0"/>
                <w:bCs/>
                <w:szCs w:val="24"/>
              </w:rPr>
              <w:t>The Purchaser will examine the bids, to determine whether they have been properly signed, whether required sureties have been furnished, whether any computational errors have been made, whether required sureties have been furnished and are substantially complete (e.g., not missing key parts of the bid or silent on excessively large portions of the Technical Requirements). In the case where a pre-qualification process was undertaken for the Contract(s) for which these bidding documents have been issued, the Purchaser will ensure that each bid is from a pre-qualified bidder and, in the case of a Joint Venture, that partners and structure of the Joint Venture are unchanged from those in the pre-</w:t>
            </w:r>
            <w:proofErr w:type="gramStart"/>
            <w:r>
              <w:rPr>
                <w:b w:val="0"/>
                <w:bCs/>
                <w:szCs w:val="24"/>
              </w:rPr>
              <w:t>qualification</w:t>
            </w:r>
            <w:bookmarkEnd w:id="340"/>
            <w:proofErr w:type="gramEnd"/>
          </w:p>
          <w:p w14:paraId="774BD832" w14:textId="77777777" w:rsidR="00157AAA" w:rsidRDefault="006C1BE5">
            <w:pPr>
              <w:pStyle w:val="Header2-SubClauses"/>
              <w:pBdr>
                <w:top w:val="none" w:sz="0" w:space="0" w:color="auto"/>
                <w:left w:val="none" w:sz="0" w:space="0" w:color="auto"/>
                <w:bottom w:val="none" w:sz="0" w:space="0" w:color="auto"/>
                <w:right w:val="none" w:sz="0" w:space="0" w:color="auto"/>
                <w:between w:val="none" w:sz="0" w:space="0" w:color="auto"/>
              </w:pBdr>
              <w:spacing w:before="120" w:after="120"/>
              <w:rPr>
                <w:szCs w:val="24"/>
              </w:rPr>
            </w:pPr>
            <w:r>
              <w:rPr>
                <w:szCs w:val="24"/>
              </w:rPr>
              <w:t>Technical Evaluation</w:t>
            </w:r>
          </w:p>
          <w:p w14:paraId="33B1F791" w14:textId="77777777" w:rsidR="00157AAA" w:rsidRDefault="006C1BE5" w:rsidP="00D530D5">
            <w:pPr>
              <w:pStyle w:val="Head12a"/>
              <w:numPr>
                <w:ilvl w:val="1"/>
                <w:numId w:val="59"/>
              </w:numPr>
              <w:spacing w:before="120"/>
              <w:ind w:left="702" w:hanging="720"/>
              <w:jc w:val="both"/>
              <w:rPr>
                <w:b w:val="0"/>
                <w:bCs/>
                <w:szCs w:val="24"/>
              </w:rPr>
            </w:pPr>
            <w:bookmarkStart w:id="341" w:name="_Toc43474946"/>
            <w:r>
              <w:rPr>
                <w:b w:val="0"/>
                <w:bCs/>
                <w:szCs w:val="24"/>
              </w:rPr>
              <w:t xml:space="preserve">The Purchaser will examine the information supplied by the Bidders Pursuant to ITB 11 and ITB 16, and in response to other requirements in the Bidding document, </w:t>
            </w:r>
            <w:proofErr w:type="gramStart"/>
            <w:r>
              <w:rPr>
                <w:b w:val="0"/>
                <w:bCs/>
                <w:szCs w:val="24"/>
              </w:rPr>
              <w:t>taking into account</w:t>
            </w:r>
            <w:proofErr w:type="gramEnd"/>
            <w:r>
              <w:rPr>
                <w:b w:val="0"/>
                <w:bCs/>
                <w:szCs w:val="24"/>
              </w:rPr>
              <w:t xml:space="preserve"> the following factors:</w:t>
            </w:r>
            <w:bookmarkEnd w:id="341"/>
            <w:r>
              <w:rPr>
                <w:b w:val="0"/>
                <w:bCs/>
                <w:szCs w:val="24"/>
              </w:rPr>
              <w:t xml:space="preserve"> </w:t>
            </w:r>
          </w:p>
          <w:p w14:paraId="4D7343D3" w14:textId="77777777" w:rsidR="00157AAA" w:rsidRDefault="006C1BE5">
            <w:pPr>
              <w:spacing w:before="120"/>
              <w:ind w:left="1080" w:hanging="540"/>
              <w:rPr>
                <w:szCs w:val="24"/>
              </w:rPr>
            </w:pPr>
            <w:r>
              <w:rPr>
                <w:szCs w:val="24"/>
              </w:rPr>
              <w:t>(a)</w:t>
            </w:r>
            <w:r>
              <w:rPr>
                <w:szCs w:val="24"/>
              </w:rPr>
              <w:tab/>
              <w:t xml:space="preserve">overall completeness and compliance with the Technical Requirements; and deviations from the Technical </w:t>
            </w:r>
            <w:proofErr w:type="gramStart"/>
            <w:r>
              <w:rPr>
                <w:szCs w:val="24"/>
              </w:rPr>
              <w:t>Requirements;</w:t>
            </w:r>
            <w:proofErr w:type="gramEnd"/>
            <w:r>
              <w:rPr>
                <w:szCs w:val="24"/>
              </w:rPr>
              <w:t xml:space="preserve"> </w:t>
            </w:r>
          </w:p>
          <w:p w14:paraId="59FDE0CC" w14:textId="77777777" w:rsidR="00157AAA" w:rsidRDefault="006C1BE5">
            <w:pPr>
              <w:spacing w:before="120"/>
              <w:ind w:left="1080" w:hanging="540"/>
              <w:rPr>
                <w:szCs w:val="24"/>
              </w:rPr>
            </w:pPr>
            <w:r>
              <w:rPr>
                <w:szCs w:val="24"/>
              </w:rPr>
              <w:t xml:space="preserve">(b) </w:t>
            </w:r>
            <w:r>
              <w:rPr>
                <w:szCs w:val="24"/>
              </w:rPr>
              <w:tab/>
              <w:t xml:space="preserve">suitability of the Information System offered in relation to the conditions prevailing at the site; and the suitability of the implementation and other services proposed, as described in the Preliminary Project Plan included in the </w:t>
            </w:r>
            <w:proofErr w:type="gramStart"/>
            <w:r>
              <w:rPr>
                <w:szCs w:val="24"/>
              </w:rPr>
              <w:t>bid;</w:t>
            </w:r>
            <w:proofErr w:type="gramEnd"/>
          </w:p>
          <w:p w14:paraId="7BA5E891" w14:textId="77777777" w:rsidR="00157AAA" w:rsidRDefault="006C1BE5">
            <w:pPr>
              <w:spacing w:before="120"/>
              <w:ind w:left="1080" w:hanging="540"/>
              <w:rPr>
                <w:szCs w:val="24"/>
              </w:rPr>
            </w:pPr>
            <w:r>
              <w:rPr>
                <w:szCs w:val="24"/>
              </w:rPr>
              <w:t>(c)</w:t>
            </w:r>
            <w:r>
              <w:rPr>
                <w:szCs w:val="24"/>
              </w:rPr>
              <w:tab/>
              <w:t xml:space="preserve">achievement of specified performance criteria by the Information </w:t>
            </w:r>
            <w:proofErr w:type="gramStart"/>
            <w:r>
              <w:rPr>
                <w:szCs w:val="24"/>
              </w:rPr>
              <w:t>System;</w:t>
            </w:r>
            <w:proofErr w:type="gramEnd"/>
          </w:p>
          <w:p w14:paraId="26D8098C" w14:textId="77777777" w:rsidR="00157AAA" w:rsidRDefault="006C1BE5">
            <w:pPr>
              <w:spacing w:before="120"/>
              <w:ind w:left="1080" w:hanging="540"/>
              <w:rPr>
                <w:szCs w:val="24"/>
              </w:rPr>
            </w:pPr>
            <w:r>
              <w:rPr>
                <w:szCs w:val="24"/>
              </w:rPr>
              <w:t>(d)</w:t>
            </w:r>
            <w:r>
              <w:rPr>
                <w:szCs w:val="24"/>
              </w:rPr>
              <w:tab/>
              <w:t xml:space="preserve">compliance with the time schedule called for by the Implementation Schedule and any alternative time schedules offered by Bidders, as evidenced by a milestone schedule provided in the Preliminary Project Plan included in the </w:t>
            </w:r>
            <w:proofErr w:type="gramStart"/>
            <w:r>
              <w:rPr>
                <w:szCs w:val="24"/>
              </w:rPr>
              <w:t>bid;</w:t>
            </w:r>
            <w:proofErr w:type="gramEnd"/>
          </w:p>
          <w:p w14:paraId="48F317E6" w14:textId="77777777" w:rsidR="00157AAA" w:rsidRDefault="006C1BE5">
            <w:pPr>
              <w:spacing w:before="120"/>
              <w:ind w:left="1080" w:hanging="540"/>
              <w:rPr>
                <w:szCs w:val="24"/>
              </w:rPr>
            </w:pPr>
            <w:r>
              <w:rPr>
                <w:szCs w:val="24"/>
              </w:rPr>
              <w:lastRenderedPageBreak/>
              <w:t>(e)</w:t>
            </w:r>
            <w:r>
              <w:rPr>
                <w:szCs w:val="24"/>
              </w:rPr>
              <w:tab/>
              <w:t xml:space="preserve">type, quantity, quality, and long-term availability of maintenance services and of any critical consumable items necessary for the operation of the Information </w:t>
            </w:r>
            <w:proofErr w:type="gramStart"/>
            <w:r>
              <w:rPr>
                <w:szCs w:val="24"/>
              </w:rPr>
              <w:t>System;</w:t>
            </w:r>
            <w:proofErr w:type="gramEnd"/>
          </w:p>
          <w:p w14:paraId="30E8BCCE" w14:textId="77777777" w:rsidR="00157AAA" w:rsidRDefault="006C1BE5">
            <w:pPr>
              <w:spacing w:before="120"/>
              <w:ind w:left="1080" w:hanging="540"/>
              <w:rPr>
                <w:szCs w:val="24"/>
              </w:rPr>
            </w:pPr>
            <w:r>
              <w:rPr>
                <w:szCs w:val="24"/>
              </w:rPr>
              <w:t>(f)</w:t>
            </w:r>
            <w:r>
              <w:rPr>
                <w:szCs w:val="24"/>
              </w:rPr>
              <w:tab/>
              <w:t xml:space="preserve">any other relevant technical factors that the Purchaser deems necessary or prudent to take into </w:t>
            </w:r>
            <w:proofErr w:type="gramStart"/>
            <w:r>
              <w:rPr>
                <w:szCs w:val="24"/>
              </w:rPr>
              <w:t>consideration;</w:t>
            </w:r>
            <w:proofErr w:type="gramEnd"/>
          </w:p>
          <w:p w14:paraId="6B9FF40A" w14:textId="77777777" w:rsidR="00157AAA" w:rsidRDefault="006C1BE5">
            <w:pPr>
              <w:spacing w:before="120"/>
              <w:ind w:left="1132" w:hanging="592"/>
              <w:rPr>
                <w:szCs w:val="24"/>
              </w:rPr>
            </w:pPr>
            <w:r>
              <w:rPr>
                <w:szCs w:val="24"/>
              </w:rPr>
              <w:t>(g)</w:t>
            </w:r>
            <w:r>
              <w:rPr>
                <w:szCs w:val="24"/>
              </w:rPr>
              <w:tab/>
              <w:t>any proposed deviations in the bid to the contractual and technical provisions stipulated in the bidding documents.</w:t>
            </w:r>
          </w:p>
          <w:p w14:paraId="72620F3A" w14:textId="77777777" w:rsidR="00157AAA" w:rsidRDefault="006C1BE5" w:rsidP="00D530D5">
            <w:pPr>
              <w:pStyle w:val="Head12a"/>
              <w:numPr>
                <w:ilvl w:val="1"/>
                <w:numId w:val="59"/>
              </w:numPr>
              <w:spacing w:before="120"/>
              <w:ind w:left="702" w:hanging="720"/>
              <w:jc w:val="both"/>
              <w:rPr>
                <w:b w:val="0"/>
                <w:bCs/>
                <w:szCs w:val="24"/>
              </w:rPr>
            </w:pPr>
            <w:bookmarkStart w:id="342" w:name="_Toc43474947"/>
            <w:r>
              <w:rPr>
                <w:b w:val="0"/>
                <w:bCs/>
                <w:szCs w:val="24"/>
              </w:rPr>
              <w:t xml:space="preserve">If specified in the BDS, the Purchaser’s evaluation of responsive Bids will </w:t>
            </w:r>
            <w:proofErr w:type="gramStart"/>
            <w:r>
              <w:rPr>
                <w:b w:val="0"/>
                <w:bCs/>
                <w:szCs w:val="24"/>
              </w:rPr>
              <w:t>take into account</w:t>
            </w:r>
            <w:proofErr w:type="gramEnd"/>
            <w:r>
              <w:rPr>
                <w:b w:val="0"/>
                <w:bCs/>
                <w:szCs w:val="24"/>
              </w:rPr>
              <w:t xml:space="preserve"> technical factors, in addition to cost factors. The scores to be given to technical factors and sub factors, and the weights to be assigned for the technical factors and cost are specified in the BDS. An Evaluated Bid Score (B) will be calculated for each responsive Bid using the </w:t>
            </w:r>
            <w:proofErr w:type="gramStart"/>
            <w:r>
              <w:rPr>
                <w:b w:val="0"/>
                <w:bCs/>
                <w:szCs w:val="24"/>
              </w:rPr>
              <w:t>formula,</w:t>
            </w:r>
            <w:proofErr w:type="gramEnd"/>
            <w:r>
              <w:rPr>
                <w:b w:val="0"/>
                <w:bCs/>
                <w:szCs w:val="24"/>
              </w:rPr>
              <w:t xml:space="preserve"> specified in Section III, Evaluation and Qualification Criteria, which permits a comprehensive assessment of the Bid cost and the technical merits of each Bid.</w:t>
            </w:r>
            <w:bookmarkEnd w:id="342"/>
          </w:p>
          <w:p w14:paraId="36EF1DFB" w14:textId="77777777" w:rsidR="00157AAA" w:rsidRDefault="006C1BE5" w:rsidP="00D530D5">
            <w:pPr>
              <w:pStyle w:val="Head12a"/>
              <w:numPr>
                <w:ilvl w:val="1"/>
                <w:numId w:val="59"/>
              </w:numPr>
              <w:spacing w:before="120"/>
              <w:ind w:left="702" w:hanging="720"/>
              <w:jc w:val="both"/>
              <w:rPr>
                <w:szCs w:val="24"/>
              </w:rPr>
            </w:pPr>
            <w:bookmarkStart w:id="343" w:name="_Toc43474948"/>
            <w:r>
              <w:rPr>
                <w:b w:val="0"/>
                <w:bCs/>
                <w:szCs w:val="24"/>
              </w:rPr>
              <w:t>Where alternative technical solutions have been allowed in accordance with ITB 13, and offered by the Bidder, the Purchaser will make a similar evaluation of the alternatives. Where alternatives have not been allowed but have been offered, they shall be ignored.</w:t>
            </w:r>
            <w:bookmarkEnd w:id="343"/>
          </w:p>
        </w:tc>
      </w:tr>
      <w:tr w:rsidR="00157AAA" w14:paraId="08A38DD4" w14:textId="77777777">
        <w:trPr>
          <w:gridAfter w:val="1"/>
          <w:wAfter w:w="8" w:type="dxa"/>
        </w:trPr>
        <w:tc>
          <w:tcPr>
            <w:tcW w:w="2410" w:type="dxa"/>
          </w:tcPr>
          <w:p w14:paraId="4481D6E4" w14:textId="77777777" w:rsidR="00157AAA" w:rsidRDefault="00157AAA">
            <w:pPr>
              <w:spacing w:before="120"/>
              <w:rPr>
                <w:szCs w:val="24"/>
              </w:rPr>
            </w:pPr>
          </w:p>
        </w:tc>
        <w:tc>
          <w:tcPr>
            <w:tcW w:w="6974" w:type="dxa"/>
          </w:tcPr>
          <w:p w14:paraId="441DB9D3" w14:textId="77777777" w:rsidR="00157AAA" w:rsidRDefault="006C1BE5">
            <w:pPr>
              <w:pStyle w:val="Header2-SubClauses"/>
              <w:pBdr>
                <w:top w:val="none" w:sz="0" w:space="0" w:color="auto"/>
                <w:left w:val="none" w:sz="0" w:space="0" w:color="auto"/>
                <w:bottom w:val="none" w:sz="0" w:space="0" w:color="auto"/>
                <w:right w:val="none" w:sz="0" w:space="0" w:color="auto"/>
                <w:between w:val="none" w:sz="0" w:space="0" w:color="auto"/>
              </w:pBdr>
              <w:spacing w:before="120" w:after="120"/>
              <w:rPr>
                <w:szCs w:val="24"/>
              </w:rPr>
            </w:pPr>
            <w:r>
              <w:rPr>
                <w:iCs/>
                <w:szCs w:val="24"/>
              </w:rPr>
              <w:t>Economic</w:t>
            </w:r>
            <w:r>
              <w:rPr>
                <w:szCs w:val="24"/>
              </w:rPr>
              <w:t xml:space="preserve"> Evaluation</w:t>
            </w:r>
          </w:p>
          <w:p w14:paraId="436EBB0E" w14:textId="77777777" w:rsidR="00157AAA" w:rsidRDefault="006C1BE5" w:rsidP="00D530D5">
            <w:pPr>
              <w:pStyle w:val="Head12a"/>
              <w:numPr>
                <w:ilvl w:val="1"/>
                <w:numId w:val="59"/>
              </w:numPr>
              <w:spacing w:before="120"/>
              <w:ind w:left="702" w:hanging="720"/>
              <w:jc w:val="both"/>
              <w:rPr>
                <w:b w:val="0"/>
                <w:bCs/>
                <w:szCs w:val="24"/>
              </w:rPr>
            </w:pPr>
            <w:bookmarkStart w:id="344" w:name="_Toc43474949"/>
            <w:r>
              <w:rPr>
                <w:b w:val="0"/>
                <w:bCs/>
                <w:szCs w:val="24"/>
              </w:rPr>
              <w:t>To evaluate a Bid, the Purchaser shall consider the following:</w:t>
            </w:r>
            <w:bookmarkEnd w:id="344"/>
          </w:p>
          <w:p w14:paraId="0A0AD50A" w14:textId="77777777" w:rsidR="00157AAA" w:rsidRDefault="006C1BE5" w:rsidP="00D530D5">
            <w:pPr>
              <w:pStyle w:val="P3Header1-Clauses"/>
              <w:numPr>
                <w:ilvl w:val="0"/>
                <w:numId w:val="6"/>
              </w:numPr>
              <w:spacing w:before="120" w:after="120"/>
              <w:ind w:left="1210" w:hanging="576"/>
              <w:jc w:val="both"/>
              <w:rPr>
                <w:b w:val="0"/>
                <w:szCs w:val="24"/>
              </w:rPr>
            </w:pPr>
            <w:r>
              <w:rPr>
                <w:b w:val="0"/>
                <w:szCs w:val="24"/>
              </w:rPr>
              <w:t>the Bid price,</w:t>
            </w:r>
            <w:r>
              <w:rPr>
                <w:szCs w:val="24"/>
              </w:rPr>
              <w:t xml:space="preserve"> </w:t>
            </w:r>
            <w:r>
              <w:rPr>
                <w:b w:val="0"/>
                <w:szCs w:val="24"/>
              </w:rPr>
              <w:t xml:space="preserve">excluding provisional sums and the provision, if any, for contingencies in the Price </w:t>
            </w:r>
            <w:proofErr w:type="gramStart"/>
            <w:r>
              <w:rPr>
                <w:b w:val="0"/>
                <w:szCs w:val="24"/>
              </w:rPr>
              <w:t>Schedules;</w:t>
            </w:r>
            <w:proofErr w:type="gramEnd"/>
          </w:p>
          <w:p w14:paraId="5C9BA903" w14:textId="77777777" w:rsidR="00157AAA" w:rsidRDefault="006C1BE5" w:rsidP="00D530D5">
            <w:pPr>
              <w:pStyle w:val="P3Header1-Clauses"/>
              <w:numPr>
                <w:ilvl w:val="0"/>
                <w:numId w:val="6"/>
              </w:numPr>
              <w:spacing w:before="120" w:after="120"/>
              <w:ind w:left="1210" w:hanging="576"/>
              <w:jc w:val="both"/>
              <w:rPr>
                <w:b w:val="0"/>
                <w:szCs w:val="24"/>
              </w:rPr>
            </w:pPr>
            <w:r>
              <w:rPr>
                <w:b w:val="0"/>
                <w:szCs w:val="24"/>
              </w:rPr>
              <w:t xml:space="preserve">price adjustment for correction of arithmetic errors in accordance with ITB </w:t>
            </w:r>
            <w:proofErr w:type="gramStart"/>
            <w:r>
              <w:rPr>
                <w:b w:val="0"/>
                <w:szCs w:val="24"/>
              </w:rPr>
              <w:t>32.1;</w:t>
            </w:r>
            <w:proofErr w:type="gramEnd"/>
          </w:p>
          <w:p w14:paraId="5AAFC3C3" w14:textId="77777777" w:rsidR="00157AAA" w:rsidRDefault="006C1BE5" w:rsidP="00D530D5">
            <w:pPr>
              <w:pStyle w:val="P3Header1-Clauses"/>
              <w:numPr>
                <w:ilvl w:val="0"/>
                <w:numId w:val="6"/>
              </w:numPr>
              <w:spacing w:before="120" w:after="120"/>
              <w:ind w:left="1210" w:hanging="576"/>
              <w:jc w:val="both"/>
              <w:rPr>
                <w:b w:val="0"/>
                <w:szCs w:val="24"/>
              </w:rPr>
            </w:pPr>
            <w:r>
              <w:rPr>
                <w:b w:val="0"/>
                <w:szCs w:val="24"/>
              </w:rPr>
              <w:t xml:space="preserve">price adjustment due to discounts offered in accordance with ITB </w:t>
            </w:r>
            <w:proofErr w:type="gramStart"/>
            <w:r>
              <w:rPr>
                <w:b w:val="0"/>
                <w:szCs w:val="24"/>
              </w:rPr>
              <w:t>26.8;</w:t>
            </w:r>
            <w:proofErr w:type="gramEnd"/>
          </w:p>
          <w:p w14:paraId="23F5EA5B" w14:textId="77777777" w:rsidR="00157AAA" w:rsidRDefault="006C1BE5" w:rsidP="00D530D5">
            <w:pPr>
              <w:pStyle w:val="P3Header1-Clauses"/>
              <w:numPr>
                <w:ilvl w:val="0"/>
                <w:numId w:val="6"/>
              </w:numPr>
              <w:spacing w:before="120" w:after="120"/>
              <w:ind w:left="1210" w:hanging="576"/>
              <w:jc w:val="both"/>
              <w:rPr>
                <w:b w:val="0"/>
                <w:szCs w:val="24"/>
              </w:rPr>
            </w:pPr>
            <w:r>
              <w:rPr>
                <w:b w:val="0"/>
                <w:szCs w:val="24"/>
              </w:rPr>
              <w:t>converting the amount resulting from applying (a) to (c) above, if relevant, to a single currency in accordance with ITB 33; and</w:t>
            </w:r>
          </w:p>
          <w:p w14:paraId="2C2C68B8" w14:textId="77777777" w:rsidR="00157AAA" w:rsidRDefault="006C1BE5" w:rsidP="00D530D5">
            <w:pPr>
              <w:pStyle w:val="P3Header1-Clauses"/>
              <w:numPr>
                <w:ilvl w:val="0"/>
                <w:numId w:val="6"/>
              </w:numPr>
              <w:spacing w:before="120" w:after="120"/>
              <w:ind w:left="1210" w:hanging="576"/>
              <w:jc w:val="both"/>
              <w:rPr>
                <w:b w:val="0"/>
                <w:szCs w:val="24"/>
              </w:rPr>
            </w:pPr>
            <w:r>
              <w:rPr>
                <w:b w:val="0"/>
                <w:szCs w:val="24"/>
              </w:rPr>
              <w:t xml:space="preserve">price adjustment due to quantifiable nonmaterial nonconformities in accordance with ITB </w:t>
            </w:r>
            <w:proofErr w:type="gramStart"/>
            <w:r>
              <w:rPr>
                <w:b w:val="0"/>
                <w:szCs w:val="24"/>
              </w:rPr>
              <w:t>31.3;</w:t>
            </w:r>
            <w:proofErr w:type="gramEnd"/>
          </w:p>
          <w:p w14:paraId="3EBA3582" w14:textId="77777777" w:rsidR="00157AAA" w:rsidRDefault="006C1BE5" w:rsidP="00D530D5">
            <w:pPr>
              <w:pStyle w:val="P3Header1-Clauses"/>
              <w:numPr>
                <w:ilvl w:val="0"/>
                <w:numId w:val="6"/>
              </w:numPr>
              <w:spacing w:before="120" w:after="120"/>
              <w:ind w:left="1210" w:hanging="576"/>
              <w:jc w:val="both"/>
              <w:rPr>
                <w:szCs w:val="24"/>
              </w:rPr>
            </w:pPr>
            <w:r>
              <w:rPr>
                <w:b w:val="0"/>
                <w:szCs w:val="24"/>
              </w:rPr>
              <w:t>the evaluation factors indicated in Section III, Evaluation and Qualification Criteria.</w:t>
            </w:r>
          </w:p>
        </w:tc>
      </w:tr>
      <w:tr w:rsidR="00157AAA" w14:paraId="5FD4FBA0" w14:textId="77777777">
        <w:trPr>
          <w:gridAfter w:val="1"/>
          <w:wAfter w:w="8" w:type="dxa"/>
        </w:trPr>
        <w:tc>
          <w:tcPr>
            <w:tcW w:w="2410" w:type="dxa"/>
          </w:tcPr>
          <w:p w14:paraId="0584AA14" w14:textId="77777777" w:rsidR="00157AAA" w:rsidRDefault="00157AAA">
            <w:pPr>
              <w:spacing w:before="120"/>
              <w:rPr>
                <w:szCs w:val="24"/>
              </w:rPr>
            </w:pPr>
          </w:p>
        </w:tc>
        <w:tc>
          <w:tcPr>
            <w:tcW w:w="6974" w:type="dxa"/>
          </w:tcPr>
          <w:p w14:paraId="4D7D6D3F" w14:textId="77777777" w:rsidR="00157AAA" w:rsidRDefault="006C1BE5" w:rsidP="00D530D5">
            <w:pPr>
              <w:pStyle w:val="Head12a"/>
              <w:numPr>
                <w:ilvl w:val="1"/>
                <w:numId w:val="59"/>
              </w:numPr>
              <w:spacing w:before="120"/>
              <w:ind w:left="702" w:hanging="720"/>
              <w:jc w:val="both"/>
              <w:rPr>
                <w:b w:val="0"/>
                <w:bCs/>
                <w:szCs w:val="24"/>
              </w:rPr>
            </w:pPr>
            <w:bookmarkStart w:id="345" w:name="_Toc43474950"/>
            <w:r>
              <w:rPr>
                <w:b w:val="0"/>
                <w:bCs/>
                <w:szCs w:val="24"/>
              </w:rPr>
              <w:t xml:space="preserve">If price adjustment is allowed in accordance with ITB 17.9, the estimated effect of the price adjustment provisions of the </w:t>
            </w:r>
            <w:r>
              <w:rPr>
                <w:b w:val="0"/>
                <w:bCs/>
                <w:szCs w:val="24"/>
              </w:rPr>
              <w:lastRenderedPageBreak/>
              <w:t xml:space="preserve">Conditions of Contract, applied over the period of execution of the Contract, shall not be </w:t>
            </w:r>
            <w:proofErr w:type="gramStart"/>
            <w:r>
              <w:rPr>
                <w:b w:val="0"/>
                <w:bCs/>
                <w:szCs w:val="24"/>
              </w:rPr>
              <w:t>taken into account</w:t>
            </w:r>
            <w:proofErr w:type="gramEnd"/>
            <w:r>
              <w:rPr>
                <w:b w:val="0"/>
                <w:bCs/>
                <w:szCs w:val="24"/>
              </w:rPr>
              <w:t xml:space="preserve"> in Bid evaluation.</w:t>
            </w:r>
            <w:bookmarkEnd w:id="345"/>
          </w:p>
        </w:tc>
      </w:tr>
      <w:tr w:rsidR="00157AAA" w14:paraId="0DA4EEEB" w14:textId="77777777">
        <w:trPr>
          <w:gridAfter w:val="1"/>
          <w:wAfter w:w="8" w:type="dxa"/>
        </w:trPr>
        <w:tc>
          <w:tcPr>
            <w:tcW w:w="2410" w:type="dxa"/>
          </w:tcPr>
          <w:p w14:paraId="08C61EFE" w14:textId="77777777" w:rsidR="00157AAA" w:rsidRDefault="00157AAA">
            <w:pPr>
              <w:spacing w:before="120"/>
              <w:rPr>
                <w:szCs w:val="24"/>
              </w:rPr>
            </w:pPr>
          </w:p>
        </w:tc>
        <w:tc>
          <w:tcPr>
            <w:tcW w:w="6974" w:type="dxa"/>
          </w:tcPr>
          <w:p w14:paraId="339F9F09" w14:textId="77777777" w:rsidR="00157AAA" w:rsidRDefault="006C1BE5" w:rsidP="00D530D5">
            <w:pPr>
              <w:pStyle w:val="Head12a"/>
              <w:numPr>
                <w:ilvl w:val="1"/>
                <w:numId w:val="59"/>
              </w:numPr>
              <w:spacing w:before="120"/>
              <w:ind w:left="702" w:hanging="720"/>
              <w:jc w:val="both"/>
              <w:rPr>
                <w:b w:val="0"/>
                <w:bCs/>
                <w:szCs w:val="24"/>
              </w:rPr>
            </w:pPr>
            <w:bookmarkStart w:id="346" w:name="_Toc43474951"/>
            <w:r>
              <w:rPr>
                <w:b w:val="0"/>
                <w:bCs/>
                <w:szCs w:val="24"/>
              </w:rPr>
              <w:t>The Purchaser will evaluate and compare the Bids that have been determined to be substantially responsive, pursuant to ITB 30.  The evaluation will be performed assuming either that:</w:t>
            </w:r>
            <w:bookmarkEnd w:id="346"/>
          </w:p>
        </w:tc>
      </w:tr>
      <w:tr w:rsidR="00157AAA" w14:paraId="607F45E8" w14:textId="77777777">
        <w:trPr>
          <w:gridAfter w:val="1"/>
          <w:wAfter w:w="8" w:type="dxa"/>
          <w:trHeight w:val="3158"/>
        </w:trPr>
        <w:tc>
          <w:tcPr>
            <w:tcW w:w="2410" w:type="dxa"/>
          </w:tcPr>
          <w:p w14:paraId="0B6E6E43" w14:textId="77777777" w:rsidR="00157AAA" w:rsidRDefault="00157AAA">
            <w:pPr>
              <w:spacing w:before="120"/>
              <w:rPr>
                <w:szCs w:val="24"/>
              </w:rPr>
            </w:pPr>
          </w:p>
        </w:tc>
        <w:tc>
          <w:tcPr>
            <w:tcW w:w="6974" w:type="dxa"/>
          </w:tcPr>
          <w:p w14:paraId="2688BF5B" w14:textId="77777777" w:rsidR="00157AAA" w:rsidRDefault="006C1BE5">
            <w:pPr>
              <w:pStyle w:val="BlockText"/>
              <w:numPr>
                <w:ilvl w:val="12"/>
                <w:numId w:val="0"/>
              </w:numPr>
              <w:tabs>
                <w:tab w:val="clear" w:pos="387"/>
                <w:tab w:val="clear" w:pos="1107"/>
              </w:tabs>
              <w:spacing w:before="120" w:after="120"/>
              <w:ind w:left="1165" w:hanging="540"/>
              <w:rPr>
                <w:i w:val="0"/>
                <w:szCs w:val="24"/>
              </w:rPr>
            </w:pPr>
            <w:r>
              <w:rPr>
                <w:i w:val="0"/>
                <w:szCs w:val="24"/>
              </w:rPr>
              <w:t xml:space="preserve">(a) </w:t>
            </w:r>
            <w:r>
              <w:rPr>
                <w:i w:val="0"/>
                <w:szCs w:val="24"/>
              </w:rPr>
              <w:tab/>
              <w:t xml:space="preserve">the Contract will be awarded to the Most Advantageous Bid for the entire Information System; or </w:t>
            </w:r>
          </w:p>
          <w:p w14:paraId="6721D6AE" w14:textId="77777777" w:rsidR="00157AAA" w:rsidRDefault="006C1BE5">
            <w:pPr>
              <w:pStyle w:val="BlockText"/>
              <w:numPr>
                <w:ilvl w:val="12"/>
                <w:numId w:val="0"/>
              </w:numPr>
              <w:tabs>
                <w:tab w:val="clear" w:pos="387"/>
                <w:tab w:val="clear" w:pos="1107"/>
              </w:tabs>
              <w:spacing w:before="120" w:after="120"/>
              <w:ind w:left="1165" w:hanging="540"/>
              <w:rPr>
                <w:i w:val="0"/>
                <w:szCs w:val="24"/>
              </w:rPr>
            </w:pPr>
            <w:r>
              <w:rPr>
                <w:i w:val="0"/>
                <w:szCs w:val="24"/>
              </w:rPr>
              <w:t xml:space="preserve">(b) </w:t>
            </w:r>
            <w:r>
              <w:rPr>
                <w:i w:val="0"/>
                <w:szCs w:val="24"/>
              </w:rPr>
              <w:tab/>
              <w:t xml:space="preserve">if specified </w:t>
            </w:r>
            <w:r>
              <w:rPr>
                <w:b/>
                <w:i w:val="0"/>
                <w:szCs w:val="24"/>
              </w:rPr>
              <w:t>in the BDS</w:t>
            </w:r>
            <w:r>
              <w:rPr>
                <w:i w:val="0"/>
                <w:szCs w:val="24"/>
              </w:rPr>
              <w:t>, Contracts will be awarded to the Bidders for each individual Subsystem, lot, or slice defined in the Technical Requirements whose Bids result in the Most Advantageous Bid/Bids for the entire System.</w:t>
            </w:r>
          </w:p>
          <w:p w14:paraId="1835BC23" w14:textId="77777777" w:rsidR="00157AAA" w:rsidRDefault="006C1BE5">
            <w:pPr>
              <w:spacing w:before="120"/>
              <w:ind w:left="625"/>
              <w:rPr>
                <w:szCs w:val="24"/>
              </w:rPr>
            </w:pPr>
            <w:r>
              <w:rPr>
                <w:szCs w:val="24"/>
              </w:rPr>
              <w:t xml:space="preserve">In the latter case, discounts that are conditional on the award of more than one Subsystem, lot, or slice may be offered in Bids.  Such discounts will be considered in the evaluation of bids as specified </w:t>
            </w:r>
            <w:r>
              <w:rPr>
                <w:b/>
                <w:szCs w:val="24"/>
              </w:rPr>
              <w:t>in the BDS</w:t>
            </w:r>
            <w:r>
              <w:rPr>
                <w:szCs w:val="24"/>
              </w:rPr>
              <w:t>.</w:t>
            </w:r>
          </w:p>
        </w:tc>
      </w:tr>
      <w:tr w:rsidR="00157AAA" w14:paraId="0356FF72" w14:textId="77777777">
        <w:trPr>
          <w:gridAfter w:val="1"/>
          <w:wAfter w:w="8" w:type="dxa"/>
        </w:trPr>
        <w:tc>
          <w:tcPr>
            <w:tcW w:w="2410" w:type="dxa"/>
          </w:tcPr>
          <w:p w14:paraId="0DA9C228" w14:textId="77777777" w:rsidR="00157AAA" w:rsidRDefault="006C1BE5">
            <w:pPr>
              <w:pStyle w:val="ITBHeading2"/>
              <w:spacing w:before="120" w:after="120"/>
            </w:pPr>
            <w:bookmarkStart w:id="347" w:name="_Toc438438860"/>
            <w:bookmarkStart w:id="348" w:name="_Toc438532654"/>
            <w:bookmarkStart w:id="349" w:name="_Toc438734004"/>
            <w:bookmarkStart w:id="350" w:name="_Toc438907041"/>
            <w:bookmarkStart w:id="351" w:name="_Toc438907240"/>
            <w:bookmarkStart w:id="352" w:name="_Toc23236782"/>
            <w:bookmarkStart w:id="353" w:name="_Toc125783026"/>
            <w:bookmarkStart w:id="354" w:name="_Toc43475024"/>
            <w:bookmarkStart w:id="355" w:name="_Toc43486490"/>
            <w:bookmarkStart w:id="356" w:name="_Toc163505746"/>
            <w:r>
              <w:t>Comparison of Bids</w:t>
            </w:r>
            <w:bookmarkEnd w:id="347"/>
            <w:bookmarkEnd w:id="348"/>
            <w:bookmarkEnd w:id="349"/>
            <w:bookmarkEnd w:id="350"/>
            <w:bookmarkEnd w:id="351"/>
            <w:bookmarkEnd w:id="352"/>
            <w:bookmarkEnd w:id="353"/>
            <w:bookmarkEnd w:id="354"/>
            <w:bookmarkEnd w:id="355"/>
            <w:bookmarkEnd w:id="356"/>
          </w:p>
        </w:tc>
        <w:tc>
          <w:tcPr>
            <w:tcW w:w="6974" w:type="dxa"/>
          </w:tcPr>
          <w:p w14:paraId="448A2916" w14:textId="77777777" w:rsidR="00157AAA" w:rsidRDefault="006C1BE5" w:rsidP="00D530D5">
            <w:pPr>
              <w:pStyle w:val="Head12a"/>
              <w:numPr>
                <w:ilvl w:val="1"/>
                <w:numId w:val="59"/>
              </w:numPr>
              <w:spacing w:before="120"/>
              <w:ind w:left="702" w:hanging="720"/>
              <w:jc w:val="both"/>
              <w:rPr>
                <w:b w:val="0"/>
                <w:bCs/>
                <w:szCs w:val="24"/>
              </w:rPr>
            </w:pPr>
            <w:bookmarkStart w:id="357" w:name="_Toc43474952"/>
            <w:r>
              <w:rPr>
                <w:b w:val="0"/>
                <w:bCs/>
                <w:szCs w:val="24"/>
              </w:rPr>
              <w:t>The Purchaser shall compare all substantially responsive Bids in accordance with ITB 35.6 to determine the lowest evaluated cost.</w:t>
            </w:r>
            <w:bookmarkEnd w:id="357"/>
          </w:p>
        </w:tc>
      </w:tr>
      <w:tr w:rsidR="00157AAA" w14:paraId="5B963AF0" w14:textId="77777777">
        <w:trPr>
          <w:gridAfter w:val="1"/>
          <w:wAfter w:w="8" w:type="dxa"/>
        </w:trPr>
        <w:tc>
          <w:tcPr>
            <w:tcW w:w="2410" w:type="dxa"/>
          </w:tcPr>
          <w:p w14:paraId="3B9272B5" w14:textId="77777777" w:rsidR="00157AAA" w:rsidRDefault="006C1BE5">
            <w:pPr>
              <w:pStyle w:val="ITBHeading2"/>
              <w:spacing w:before="120" w:after="120"/>
            </w:pPr>
            <w:bookmarkStart w:id="358" w:name="_Toc433185118"/>
            <w:bookmarkStart w:id="359" w:name="_Toc43475025"/>
            <w:bookmarkStart w:id="360" w:name="_Toc43486491"/>
            <w:bookmarkStart w:id="361" w:name="_Toc163505747"/>
            <w:r>
              <w:t>Abnormally Low Bids</w:t>
            </w:r>
            <w:bookmarkEnd w:id="358"/>
            <w:bookmarkEnd w:id="359"/>
            <w:bookmarkEnd w:id="360"/>
            <w:bookmarkEnd w:id="361"/>
          </w:p>
        </w:tc>
        <w:tc>
          <w:tcPr>
            <w:tcW w:w="6974" w:type="dxa"/>
          </w:tcPr>
          <w:p w14:paraId="7C476FBA" w14:textId="77777777" w:rsidR="00157AAA" w:rsidRDefault="006C1BE5" w:rsidP="00D530D5">
            <w:pPr>
              <w:pStyle w:val="Head12a"/>
              <w:numPr>
                <w:ilvl w:val="1"/>
                <w:numId w:val="59"/>
              </w:numPr>
              <w:spacing w:before="120"/>
              <w:ind w:left="702" w:hanging="720"/>
              <w:jc w:val="both"/>
              <w:rPr>
                <w:b w:val="0"/>
                <w:bCs/>
                <w:szCs w:val="24"/>
              </w:rPr>
            </w:pPr>
            <w:bookmarkStart w:id="362" w:name="_Toc43474953"/>
            <w:r>
              <w:rPr>
                <w:b w:val="0"/>
                <w:bCs/>
                <w:szCs w:val="24"/>
              </w:rPr>
              <w:t>An Abnormally Low Bid is one where the Bid price in combination with other constituent elements of the Bid appears unreasonably low to the extent that the Bid price raises material concerns as to the capability of the Bidder to perform the Contract for the offered Bid Price.</w:t>
            </w:r>
            <w:bookmarkEnd w:id="362"/>
          </w:p>
        </w:tc>
      </w:tr>
      <w:tr w:rsidR="00157AAA" w14:paraId="729D1F90" w14:textId="77777777">
        <w:trPr>
          <w:gridAfter w:val="1"/>
          <w:wAfter w:w="8" w:type="dxa"/>
        </w:trPr>
        <w:tc>
          <w:tcPr>
            <w:tcW w:w="2410" w:type="dxa"/>
          </w:tcPr>
          <w:p w14:paraId="2D5FF982" w14:textId="77777777" w:rsidR="00157AAA" w:rsidRDefault="00157AAA">
            <w:pPr>
              <w:spacing w:before="120"/>
              <w:rPr>
                <w:szCs w:val="24"/>
              </w:rPr>
            </w:pPr>
          </w:p>
        </w:tc>
        <w:tc>
          <w:tcPr>
            <w:tcW w:w="6974" w:type="dxa"/>
          </w:tcPr>
          <w:p w14:paraId="55F3AE6B" w14:textId="77777777" w:rsidR="00157AAA" w:rsidRDefault="006C1BE5" w:rsidP="00D530D5">
            <w:pPr>
              <w:pStyle w:val="Head12a"/>
              <w:numPr>
                <w:ilvl w:val="1"/>
                <w:numId w:val="59"/>
              </w:numPr>
              <w:spacing w:before="120"/>
              <w:ind w:left="702" w:hanging="720"/>
              <w:jc w:val="both"/>
              <w:rPr>
                <w:b w:val="0"/>
                <w:bCs/>
                <w:szCs w:val="24"/>
              </w:rPr>
            </w:pPr>
            <w:bookmarkStart w:id="363" w:name="_Toc43474954"/>
            <w:r>
              <w:rPr>
                <w:b w:val="0"/>
                <w:bCs/>
                <w:szCs w:val="24"/>
              </w:rPr>
              <w:t>In the event of identification of a potentially Abnormally Low Bid, the Purchaser shall seek written clarifications from the Bidder, including detailed price analyses of its Bid price in relation to the subject matter of the contract, scope, proposed methodology, schedule, allocation of risks and responsibilities and any other requirements of the bidding document.</w:t>
            </w:r>
            <w:bookmarkEnd w:id="363"/>
          </w:p>
          <w:p w14:paraId="00770F93" w14:textId="77777777" w:rsidR="00157AAA" w:rsidRDefault="006C1BE5" w:rsidP="00D530D5">
            <w:pPr>
              <w:pStyle w:val="Head12a"/>
              <w:numPr>
                <w:ilvl w:val="1"/>
                <w:numId w:val="59"/>
              </w:numPr>
              <w:spacing w:before="120"/>
              <w:ind w:left="702" w:hanging="720"/>
              <w:jc w:val="both"/>
              <w:rPr>
                <w:b w:val="0"/>
                <w:bCs/>
                <w:szCs w:val="24"/>
              </w:rPr>
            </w:pPr>
            <w:bookmarkStart w:id="364" w:name="_Toc43474955"/>
            <w:r>
              <w:rPr>
                <w:b w:val="0"/>
                <w:bCs/>
                <w:szCs w:val="24"/>
              </w:rPr>
              <w:t xml:space="preserve">After evaluation of the price analyses, </w:t>
            </w:r>
            <w:proofErr w:type="gramStart"/>
            <w:r>
              <w:rPr>
                <w:b w:val="0"/>
                <w:bCs/>
                <w:szCs w:val="24"/>
              </w:rPr>
              <w:t>in the event that</w:t>
            </w:r>
            <w:proofErr w:type="gramEnd"/>
            <w:r>
              <w:rPr>
                <w:b w:val="0"/>
                <w:bCs/>
                <w:szCs w:val="24"/>
              </w:rPr>
              <w:t xml:space="preserve"> the Purchaser determines that the Bidder has failed to demonstrate its capability to </w:t>
            </w:r>
            <w:proofErr w:type="gramStart"/>
            <w:r>
              <w:rPr>
                <w:b w:val="0"/>
                <w:bCs/>
                <w:szCs w:val="24"/>
              </w:rPr>
              <w:t>perform</w:t>
            </w:r>
            <w:proofErr w:type="gramEnd"/>
            <w:r>
              <w:rPr>
                <w:b w:val="0"/>
                <w:bCs/>
                <w:szCs w:val="24"/>
              </w:rPr>
              <w:t xml:space="preserve"> the Contract for the offered Bid Price, the Purchaser shall reject the Bid.</w:t>
            </w:r>
            <w:bookmarkEnd w:id="364"/>
            <w:r>
              <w:rPr>
                <w:b w:val="0"/>
                <w:bCs/>
                <w:szCs w:val="24"/>
              </w:rPr>
              <w:t xml:space="preserve"> </w:t>
            </w:r>
          </w:p>
        </w:tc>
      </w:tr>
      <w:tr w:rsidR="00157AAA" w14:paraId="47579E38" w14:textId="77777777">
        <w:trPr>
          <w:gridAfter w:val="1"/>
          <w:wAfter w:w="8" w:type="dxa"/>
        </w:trPr>
        <w:tc>
          <w:tcPr>
            <w:tcW w:w="2410" w:type="dxa"/>
          </w:tcPr>
          <w:p w14:paraId="10D0DB1E" w14:textId="77777777" w:rsidR="00157AAA" w:rsidRDefault="006C1BE5">
            <w:pPr>
              <w:pStyle w:val="ITBHeading2"/>
              <w:spacing w:before="120" w:after="120"/>
            </w:pPr>
            <w:bookmarkStart w:id="365" w:name="_Toc43475026"/>
            <w:bookmarkStart w:id="366" w:name="_Toc43486492"/>
            <w:bookmarkStart w:id="367" w:name="_Toc163505748"/>
            <w:r>
              <w:t xml:space="preserve">Unbalanced or Front </w:t>
            </w:r>
            <w:proofErr w:type="spellStart"/>
            <w:r>
              <w:t>LoadedBids</w:t>
            </w:r>
            <w:bookmarkEnd w:id="365"/>
            <w:bookmarkEnd w:id="366"/>
            <w:bookmarkEnd w:id="367"/>
            <w:proofErr w:type="spellEnd"/>
          </w:p>
        </w:tc>
        <w:tc>
          <w:tcPr>
            <w:tcW w:w="6974" w:type="dxa"/>
          </w:tcPr>
          <w:p w14:paraId="3772BA08" w14:textId="77777777" w:rsidR="00157AAA" w:rsidRDefault="006C1BE5" w:rsidP="00D530D5">
            <w:pPr>
              <w:pStyle w:val="Head12a"/>
              <w:numPr>
                <w:ilvl w:val="1"/>
                <w:numId w:val="59"/>
              </w:numPr>
              <w:spacing w:before="120"/>
              <w:ind w:left="702" w:hanging="720"/>
              <w:jc w:val="both"/>
              <w:rPr>
                <w:b w:val="0"/>
                <w:bCs/>
                <w:szCs w:val="24"/>
              </w:rPr>
            </w:pPr>
            <w:bookmarkStart w:id="368" w:name="_Toc43474956"/>
            <w:r>
              <w:rPr>
                <w:b w:val="0"/>
                <w:bCs/>
                <w:szCs w:val="24"/>
              </w:rPr>
              <w:t xml:space="preserve">If the Bid that is evaluated as the lowest evaluated cost is, in the Purchaser’s opinion, seriously unbalanced or front loaded the Purchaser may require the Bidder to provide written clarifications. Clarifications may include detailed price analyses to demonstrate the consistency of the Bid prices with the scope of information systems, installations, proposed </w:t>
            </w:r>
            <w:r>
              <w:rPr>
                <w:b w:val="0"/>
                <w:bCs/>
                <w:szCs w:val="24"/>
              </w:rPr>
              <w:lastRenderedPageBreak/>
              <w:t xml:space="preserve">methodology, </w:t>
            </w:r>
            <w:proofErr w:type="gramStart"/>
            <w:r>
              <w:rPr>
                <w:b w:val="0"/>
                <w:bCs/>
                <w:szCs w:val="24"/>
              </w:rPr>
              <w:t>schedule</w:t>
            </w:r>
            <w:proofErr w:type="gramEnd"/>
            <w:r>
              <w:rPr>
                <w:b w:val="0"/>
                <w:bCs/>
                <w:szCs w:val="24"/>
              </w:rPr>
              <w:t xml:space="preserve"> and any other requirements of the bidding document.</w:t>
            </w:r>
            <w:bookmarkEnd w:id="368"/>
          </w:p>
        </w:tc>
      </w:tr>
      <w:tr w:rsidR="00157AAA" w14:paraId="633F5BE9" w14:textId="77777777">
        <w:trPr>
          <w:gridAfter w:val="1"/>
          <w:wAfter w:w="8" w:type="dxa"/>
        </w:trPr>
        <w:tc>
          <w:tcPr>
            <w:tcW w:w="2410" w:type="dxa"/>
          </w:tcPr>
          <w:p w14:paraId="075DB7F8" w14:textId="77777777" w:rsidR="00157AAA" w:rsidRDefault="00157AAA">
            <w:pPr>
              <w:spacing w:before="120"/>
              <w:rPr>
                <w:szCs w:val="24"/>
              </w:rPr>
            </w:pPr>
          </w:p>
        </w:tc>
        <w:tc>
          <w:tcPr>
            <w:tcW w:w="6974" w:type="dxa"/>
          </w:tcPr>
          <w:p w14:paraId="31674E9B" w14:textId="77777777" w:rsidR="00157AAA" w:rsidRDefault="006C1BE5" w:rsidP="00D530D5">
            <w:pPr>
              <w:pStyle w:val="Head12a"/>
              <w:numPr>
                <w:ilvl w:val="1"/>
                <w:numId w:val="59"/>
              </w:numPr>
              <w:spacing w:before="120"/>
              <w:ind w:left="702" w:hanging="720"/>
              <w:jc w:val="both"/>
              <w:rPr>
                <w:b w:val="0"/>
                <w:bCs/>
                <w:szCs w:val="24"/>
              </w:rPr>
            </w:pPr>
            <w:bookmarkStart w:id="369" w:name="_Toc43474957"/>
            <w:r>
              <w:rPr>
                <w:b w:val="0"/>
                <w:bCs/>
                <w:szCs w:val="24"/>
              </w:rPr>
              <w:t>After the evaluation of the information and detailed price analyses presented by the Bidder, the Purchaser may:</w:t>
            </w:r>
            <w:bookmarkEnd w:id="369"/>
            <w:r>
              <w:rPr>
                <w:b w:val="0"/>
                <w:bCs/>
                <w:szCs w:val="24"/>
              </w:rPr>
              <w:t xml:space="preserve"> </w:t>
            </w:r>
          </w:p>
        </w:tc>
      </w:tr>
      <w:tr w:rsidR="00157AAA" w14:paraId="60F379F5" w14:textId="77777777">
        <w:trPr>
          <w:gridAfter w:val="1"/>
          <w:wAfter w:w="8" w:type="dxa"/>
        </w:trPr>
        <w:tc>
          <w:tcPr>
            <w:tcW w:w="2410" w:type="dxa"/>
          </w:tcPr>
          <w:p w14:paraId="10B5DE0D" w14:textId="77777777" w:rsidR="00157AAA" w:rsidRDefault="00157AAA">
            <w:pPr>
              <w:spacing w:before="120"/>
              <w:rPr>
                <w:szCs w:val="24"/>
              </w:rPr>
            </w:pPr>
          </w:p>
        </w:tc>
        <w:tc>
          <w:tcPr>
            <w:tcW w:w="6974" w:type="dxa"/>
          </w:tcPr>
          <w:p w14:paraId="2C145B7C" w14:textId="77777777" w:rsidR="00157AAA" w:rsidRDefault="006C1BE5" w:rsidP="00D530D5">
            <w:pPr>
              <w:pStyle w:val="S1-subpara"/>
              <w:numPr>
                <w:ilvl w:val="2"/>
                <w:numId w:val="21"/>
              </w:numPr>
              <w:tabs>
                <w:tab w:val="clear" w:pos="864"/>
              </w:tabs>
              <w:spacing w:before="120" w:after="120"/>
              <w:ind w:left="985" w:hanging="450"/>
              <w:rPr>
                <w:szCs w:val="24"/>
              </w:rPr>
            </w:pPr>
            <w:r>
              <w:rPr>
                <w:szCs w:val="24"/>
              </w:rPr>
              <w:t xml:space="preserve">accept the Bid; or </w:t>
            </w:r>
          </w:p>
          <w:p w14:paraId="240677D2" w14:textId="77777777" w:rsidR="00157AAA" w:rsidRDefault="006C1BE5" w:rsidP="00D530D5">
            <w:pPr>
              <w:pStyle w:val="S1-subpara"/>
              <w:numPr>
                <w:ilvl w:val="2"/>
                <w:numId w:val="3"/>
              </w:numPr>
              <w:tabs>
                <w:tab w:val="clear" w:pos="864"/>
              </w:tabs>
              <w:spacing w:before="120" w:after="120"/>
              <w:ind w:left="985" w:hanging="450"/>
              <w:rPr>
                <w:szCs w:val="24"/>
              </w:rPr>
            </w:pPr>
            <w:r>
              <w:rPr>
                <w:szCs w:val="24"/>
              </w:rPr>
              <w:t>if appropriate, require that the total amount of the Performance Security be increased, at the expense of the Bidder, to a level not exceeding twenty percent (20%) of the Contract Price; or</w:t>
            </w:r>
          </w:p>
          <w:p w14:paraId="272F699D" w14:textId="77777777" w:rsidR="00157AAA" w:rsidRDefault="006C1BE5" w:rsidP="00D530D5">
            <w:pPr>
              <w:pStyle w:val="S1-subpara"/>
              <w:numPr>
                <w:ilvl w:val="2"/>
                <w:numId w:val="3"/>
              </w:numPr>
              <w:tabs>
                <w:tab w:val="clear" w:pos="864"/>
              </w:tabs>
              <w:spacing w:before="120" w:after="120"/>
              <w:ind w:left="985" w:hanging="450"/>
              <w:rPr>
                <w:szCs w:val="24"/>
              </w:rPr>
            </w:pPr>
            <w:r>
              <w:rPr>
                <w:szCs w:val="24"/>
              </w:rPr>
              <w:t xml:space="preserve">reject the Bid. </w:t>
            </w:r>
          </w:p>
        </w:tc>
      </w:tr>
      <w:tr w:rsidR="00157AAA" w14:paraId="46C008E3" w14:textId="77777777">
        <w:trPr>
          <w:gridAfter w:val="1"/>
          <w:wAfter w:w="8" w:type="dxa"/>
        </w:trPr>
        <w:tc>
          <w:tcPr>
            <w:tcW w:w="2410" w:type="dxa"/>
          </w:tcPr>
          <w:p w14:paraId="779AA89B" w14:textId="77777777" w:rsidR="00157AAA" w:rsidRDefault="006C1BE5">
            <w:pPr>
              <w:pStyle w:val="ITBHeading2"/>
              <w:spacing w:before="120" w:after="120"/>
            </w:pPr>
            <w:bookmarkStart w:id="370" w:name="_Toc438438861"/>
            <w:bookmarkStart w:id="371" w:name="_Toc438532655"/>
            <w:bookmarkStart w:id="372" w:name="_Toc438734005"/>
            <w:bookmarkStart w:id="373" w:name="_Toc438907042"/>
            <w:bookmarkStart w:id="374" w:name="_Toc438907241"/>
            <w:bookmarkStart w:id="375" w:name="_Toc23236783"/>
            <w:bookmarkStart w:id="376" w:name="_Toc125783027"/>
            <w:bookmarkStart w:id="377" w:name="_Toc43475027"/>
            <w:bookmarkStart w:id="378" w:name="_Toc43486493"/>
            <w:bookmarkStart w:id="379" w:name="_Toc163505749"/>
            <w:r>
              <w:t>Eligibility and Qualification of the Bidder</w:t>
            </w:r>
            <w:bookmarkEnd w:id="370"/>
            <w:bookmarkEnd w:id="371"/>
            <w:bookmarkEnd w:id="372"/>
            <w:bookmarkEnd w:id="373"/>
            <w:bookmarkEnd w:id="374"/>
            <w:bookmarkEnd w:id="375"/>
            <w:bookmarkEnd w:id="376"/>
            <w:bookmarkEnd w:id="377"/>
            <w:bookmarkEnd w:id="378"/>
            <w:bookmarkEnd w:id="379"/>
          </w:p>
        </w:tc>
        <w:tc>
          <w:tcPr>
            <w:tcW w:w="6974" w:type="dxa"/>
          </w:tcPr>
          <w:p w14:paraId="03434523" w14:textId="77777777" w:rsidR="00157AAA" w:rsidRDefault="006C1BE5" w:rsidP="00D530D5">
            <w:pPr>
              <w:pStyle w:val="Head12a"/>
              <w:numPr>
                <w:ilvl w:val="1"/>
                <w:numId w:val="59"/>
              </w:numPr>
              <w:spacing w:before="120"/>
              <w:ind w:left="702" w:hanging="720"/>
              <w:jc w:val="both"/>
              <w:rPr>
                <w:b w:val="0"/>
                <w:bCs/>
                <w:szCs w:val="24"/>
              </w:rPr>
            </w:pPr>
            <w:bookmarkStart w:id="380" w:name="_Toc43474958"/>
            <w:r>
              <w:rPr>
                <w:b w:val="0"/>
                <w:bCs/>
                <w:szCs w:val="24"/>
              </w:rPr>
              <w:t>The Purchaser shall determine to its satisfaction whether the Bidder that is selected as having submitted the lowest evaluated and substantially responsive Bid is eligible and meets the qualifying criteria specified in Section III, Evaluation and Qualification Criteria.</w:t>
            </w:r>
            <w:bookmarkEnd w:id="380"/>
          </w:p>
        </w:tc>
      </w:tr>
      <w:tr w:rsidR="00157AAA" w14:paraId="757901CD" w14:textId="77777777">
        <w:trPr>
          <w:gridAfter w:val="1"/>
          <w:wAfter w:w="8" w:type="dxa"/>
        </w:trPr>
        <w:tc>
          <w:tcPr>
            <w:tcW w:w="2410" w:type="dxa"/>
          </w:tcPr>
          <w:p w14:paraId="5021B6A5" w14:textId="77777777" w:rsidR="00157AAA" w:rsidRDefault="00157AAA">
            <w:pPr>
              <w:spacing w:before="120"/>
              <w:rPr>
                <w:szCs w:val="24"/>
              </w:rPr>
            </w:pPr>
          </w:p>
        </w:tc>
        <w:tc>
          <w:tcPr>
            <w:tcW w:w="6974" w:type="dxa"/>
            <w:shd w:val="clear" w:color="auto" w:fill="auto"/>
          </w:tcPr>
          <w:p w14:paraId="3868C20A" w14:textId="77777777" w:rsidR="00157AAA" w:rsidRDefault="006C1BE5" w:rsidP="00D530D5">
            <w:pPr>
              <w:pStyle w:val="Head12a"/>
              <w:numPr>
                <w:ilvl w:val="1"/>
                <w:numId w:val="59"/>
              </w:numPr>
              <w:spacing w:before="120"/>
              <w:ind w:left="702" w:hanging="720"/>
              <w:jc w:val="both"/>
              <w:rPr>
                <w:b w:val="0"/>
                <w:bCs/>
                <w:szCs w:val="24"/>
              </w:rPr>
            </w:pPr>
            <w:bookmarkStart w:id="381" w:name="_Toc43474959"/>
            <w:r>
              <w:rPr>
                <w:b w:val="0"/>
                <w:bCs/>
                <w:szCs w:val="24"/>
              </w:rPr>
              <w:t>The determination shall be based upon an examination of the documentary evidence of the Bidder’s qualifications submitted by the Bidder, pursuant to ITB 15, as well as other information the Purchaser deems necessary and appropriate. This determination may include visits or interviews with the Bidder’s clients referenced in its bid and site inspections.</w:t>
            </w:r>
            <w:bookmarkEnd w:id="381"/>
          </w:p>
          <w:p w14:paraId="25E8DB44" w14:textId="77777777" w:rsidR="00157AAA" w:rsidRDefault="006C1BE5" w:rsidP="00D530D5">
            <w:pPr>
              <w:pStyle w:val="Head12a"/>
              <w:numPr>
                <w:ilvl w:val="1"/>
                <w:numId w:val="59"/>
              </w:numPr>
              <w:spacing w:before="120"/>
              <w:ind w:left="702" w:hanging="720"/>
              <w:jc w:val="both"/>
              <w:rPr>
                <w:bCs/>
              </w:rPr>
            </w:pPr>
            <w:r>
              <w:rPr>
                <w:b w:val="0"/>
                <w:bCs/>
              </w:rPr>
              <w:t xml:space="preserve">Prior to Contract award, the Purchaser will verify that the successful Bidder (including each member of a JV) is not disqualified by the Bank due to noncompliance with contractual SEA/SH </w:t>
            </w:r>
            <w:r>
              <w:rPr>
                <w:rFonts w:eastAsia="Arial Narrow"/>
                <w:b w:val="0"/>
                <w:bCs/>
                <w:color w:val="000000"/>
              </w:rPr>
              <w:t xml:space="preserve">prevention and response </w:t>
            </w:r>
            <w:r>
              <w:rPr>
                <w:b w:val="0"/>
                <w:bCs/>
              </w:rPr>
              <w:t>obligations. The Purchaser will conduct the same verification for each subcontractor proposed by the successful Bidder. If any proposed subcontractor does not meet the requirement, the Purchaser will require the Bidder to propose a replacement subcontractor.</w:t>
            </w:r>
          </w:p>
          <w:p w14:paraId="71308D2D" w14:textId="77777777" w:rsidR="00157AAA" w:rsidRDefault="006C1BE5" w:rsidP="00D530D5">
            <w:pPr>
              <w:pStyle w:val="Head12a"/>
              <w:numPr>
                <w:ilvl w:val="1"/>
                <w:numId w:val="59"/>
              </w:numPr>
              <w:spacing w:before="120"/>
              <w:ind w:left="702" w:hanging="720"/>
              <w:jc w:val="both"/>
              <w:rPr>
                <w:b w:val="0"/>
                <w:bCs/>
                <w:szCs w:val="24"/>
              </w:rPr>
            </w:pPr>
            <w:bookmarkStart w:id="382" w:name="_Toc43474960"/>
            <w:r>
              <w:rPr>
                <w:b w:val="0"/>
                <w:bCs/>
                <w:szCs w:val="24"/>
              </w:rPr>
              <w:t xml:space="preserve">Unless otherwise specified in the BDS, the Purchaser will NOT carry out tests at the time of post-qualification, to determine that the performance or functionality of the Information System offered meets those stated in the Technical Requirements. However, if </w:t>
            </w:r>
            <w:proofErr w:type="gramStart"/>
            <w:r>
              <w:rPr>
                <w:b w:val="0"/>
                <w:bCs/>
                <w:szCs w:val="24"/>
              </w:rPr>
              <w:t>so</w:t>
            </w:r>
            <w:proofErr w:type="gramEnd"/>
            <w:r>
              <w:rPr>
                <w:b w:val="0"/>
                <w:bCs/>
                <w:szCs w:val="24"/>
              </w:rPr>
              <w:t xml:space="preserve"> specified in the BDS the Purchaser may carry out such tests as detailed in the BDS.</w:t>
            </w:r>
            <w:bookmarkEnd w:id="382"/>
            <w:r>
              <w:rPr>
                <w:b w:val="0"/>
                <w:bCs/>
                <w:szCs w:val="24"/>
              </w:rPr>
              <w:t xml:space="preserve">   </w:t>
            </w:r>
          </w:p>
          <w:p w14:paraId="6EA4F081" w14:textId="77777777" w:rsidR="00157AAA" w:rsidRDefault="006C1BE5" w:rsidP="00D530D5">
            <w:pPr>
              <w:pStyle w:val="Head12a"/>
              <w:numPr>
                <w:ilvl w:val="1"/>
                <w:numId w:val="59"/>
              </w:numPr>
              <w:spacing w:before="120"/>
              <w:ind w:left="702" w:hanging="720"/>
              <w:jc w:val="both"/>
              <w:rPr>
                <w:b w:val="0"/>
                <w:bCs/>
                <w:szCs w:val="24"/>
              </w:rPr>
            </w:pPr>
            <w:bookmarkStart w:id="383" w:name="_Toc43474961"/>
            <w:r>
              <w:rPr>
                <w:b w:val="0"/>
                <w:bCs/>
                <w:szCs w:val="24"/>
              </w:rPr>
              <w:t>An affirmative determination shall be a prerequisite for award of the Contract to the Bidder.  A negative determination shall result in disqualification of the Bid, in which event the Purchaser shall proceed to the next lowest evaluated cost or best evaluated Bid</w:t>
            </w:r>
            <w:proofErr w:type="gramStart"/>
            <w:r>
              <w:rPr>
                <w:b w:val="0"/>
                <w:bCs/>
                <w:szCs w:val="24"/>
              </w:rPr>
              <w:t>, as the case may be, to</w:t>
            </w:r>
            <w:proofErr w:type="gramEnd"/>
            <w:r>
              <w:rPr>
                <w:b w:val="0"/>
                <w:bCs/>
                <w:szCs w:val="24"/>
              </w:rPr>
              <w:t xml:space="preserve"> make a similar </w:t>
            </w:r>
            <w:r>
              <w:rPr>
                <w:b w:val="0"/>
                <w:bCs/>
                <w:szCs w:val="24"/>
              </w:rPr>
              <w:lastRenderedPageBreak/>
              <w:t>determination of that Bidder’s qualifications to perform satisfactorily.</w:t>
            </w:r>
            <w:bookmarkEnd w:id="383"/>
          </w:p>
          <w:p w14:paraId="48AB7A20" w14:textId="77777777" w:rsidR="00157AAA" w:rsidRDefault="006C1BE5" w:rsidP="00D530D5">
            <w:pPr>
              <w:pStyle w:val="Head12a"/>
              <w:numPr>
                <w:ilvl w:val="1"/>
                <w:numId w:val="59"/>
              </w:numPr>
              <w:spacing w:before="120"/>
              <w:ind w:left="702" w:hanging="720"/>
              <w:jc w:val="both"/>
              <w:rPr>
                <w:b w:val="0"/>
                <w:bCs/>
                <w:szCs w:val="24"/>
              </w:rPr>
            </w:pPr>
            <w:bookmarkStart w:id="384" w:name="_Toc43474962"/>
            <w:r>
              <w:rPr>
                <w:b w:val="0"/>
                <w:bCs/>
                <w:szCs w:val="24"/>
              </w:rPr>
              <w:t>The capabilities of the manufacturers and subcontractors proposed by the Bidder that is determined to have offered the Most Advantageous Bid for identified major items of supply or services will also be evaluated for acceptability in accordance with Section III, Evaluation and Qualification Criteria.  Their participation should be confirmed with a letter of intent between the parties, as needed.  Should a manufacturer or subcontractor be determined to be unacceptable, the Bid will not be rejected, but the Bidder will be required to substitute an acceptable manufacturer or subcontractor without any change to the Bid price. Prior to signing the Contract, the corresponding Appendix to the Contract Agreement shall be completed, listing the approved manufacturers or subcontractors for each item concerned.</w:t>
            </w:r>
            <w:bookmarkEnd w:id="384"/>
          </w:p>
        </w:tc>
      </w:tr>
      <w:tr w:rsidR="00157AAA" w14:paraId="751744E7" w14:textId="77777777">
        <w:trPr>
          <w:gridAfter w:val="1"/>
          <w:wAfter w:w="8" w:type="dxa"/>
        </w:trPr>
        <w:tc>
          <w:tcPr>
            <w:tcW w:w="2410" w:type="dxa"/>
          </w:tcPr>
          <w:p w14:paraId="3E47100E" w14:textId="77777777" w:rsidR="00157AAA" w:rsidRDefault="006C1BE5">
            <w:pPr>
              <w:pStyle w:val="ITBHeading2"/>
              <w:spacing w:before="120" w:after="120"/>
            </w:pPr>
            <w:bookmarkStart w:id="385" w:name="_Toc438438862"/>
            <w:bookmarkStart w:id="386" w:name="_Toc438532656"/>
            <w:bookmarkStart w:id="387" w:name="_Toc438734006"/>
            <w:bookmarkStart w:id="388" w:name="_Toc438907043"/>
            <w:bookmarkStart w:id="389" w:name="_Toc438907242"/>
            <w:bookmarkStart w:id="390" w:name="_Toc23236784"/>
            <w:bookmarkStart w:id="391" w:name="_Toc125783028"/>
            <w:bookmarkStart w:id="392" w:name="_Toc43475028"/>
            <w:bookmarkStart w:id="393" w:name="_Toc43486494"/>
            <w:bookmarkStart w:id="394" w:name="_Toc163505750"/>
            <w:r>
              <w:lastRenderedPageBreak/>
              <w:t>Purchaser’s Right to Accept Any Bid, and to Reject Any or All Bids</w:t>
            </w:r>
            <w:bookmarkEnd w:id="385"/>
            <w:bookmarkEnd w:id="386"/>
            <w:bookmarkEnd w:id="387"/>
            <w:bookmarkEnd w:id="388"/>
            <w:bookmarkEnd w:id="389"/>
            <w:bookmarkEnd w:id="390"/>
            <w:bookmarkEnd w:id="391"/>
            <w:bookmarkEnd w:id="392"/>
            <w:bookmarkEnd w:id="393"/>
            <w:bookmarkEnd w:id="394"/>
          </w:p>
        </w:tc>
        <w:tc>
          <w:tcPr>
            <w:tcW w:w="6974" w:type="dxa"/>
          </w:tcPr>
          <w:p w14:paraId="473FC938" w14:textId="77777777" w:rsidR="00157AAA" w:rsidRDefault="006C1BE5" w:rsidP="00D530D5">
            <w:pPr>
              <w:pStyle w:val="Head12a"/>
              <w:numPr>
                <w:ilvl w:val="1"/>
                <w:numId w:val="59"/>
              </w:numPr>
              <w:spacing w:before="120"/>
              <w:ind w:left="702" w:hanging="720"/>
              <w:jc w:val="both"/>
              <w:rPr>
                <w:szCs w:val="24"/>
              </w:rPr>
            </w:pPr>
            <w:bookmarkStart w:id="395" w:name="_Toc43474963"/>
            <w:r>
              <w:rPr>
                <w:b w:val="0"/>
                <w:bCs/>
                <w:szCs w:val="24"/>
              </w:rPr>
              <w:t>The Purchaser reserves the right to accept or reject any Bid, and to annul the Bidding process and reject all Bids at any time prior to contract award, without thereby incurring any liability to Bidders. In case of annulment, all Bids submitted and specifically, bid securities, shall be promptly returned to the Bidders.</w:t>
            </w:r>
            <w:bookmarkEnd w:id="395"/>
          </w:p>
        </w:tc>
      </w:tr>
      <w:tr w:rsidR="00157AAA" w14:paraId="2BB9580E" w14:textId="77777777">
        <w:trPr>
          <w:gridAfter w:val="1"/>
          <w:wAfter w:w="8" w:type="dxa"/>
        </w:trPr>
        <w:tc>
          <w:tcPr>
            <w:tcW w:w="2410" w:type="dxa"/>
          </w:tcPr>
          <w:p w14:paraId="18BB50C6" w14:textId="77777777" w:rsidR="00157AAA" w:rsidRDefault="006C1BE5">
            <w:pPr>
              <w:pStyle w:val="ITBHeading2"/>
              <w:spacing w:before="120" w:after="120"/>
            </w:pPr>
            <w:bookmarkStart w:id="396" w:name="_Toc436556179"/>
            <w:bookmarkStart w:id="397" w:name="_Toc437949877"/>
            <w:bookmarkStart w:id="398" w:name="_Toc43475029"/>
            <w:bookmarkStart w:id="399" w:name="_Toc43486495"/>
            <w:bookmarkStart w:id="400" w:name="_Toc163505751"/>
            <w:r>
              <w:t>Standstill Period</w:t>
            </w:r>
            <w:bookmarkEnd w:id="396"/>
            <w:bookmarkEnd w:id="397"/>
            <w:bookmarkEnd w:id="398"/>
            <w:bookmarkEnd w:id="399"/>
            <w:bookmarkEnd w:id="400"/>
          </w:p>
        </w:tc>
        <w:tc>
          <w:tcPr>
            <w:tcW w:w="6974" w:type="dxa"/>
          </w:tcPr>
          <w:p w14:paraId="65168356" w14:textId="77777777" w:rsidR="00157AAA" w:rsidRDefault="006C1BE5" w:rsidP="00D530D5">
            <w:pPr>
              <w:pStyle w:val="Head12a"/>
              <w:numPr>
                <w:ilvl w:val="1"/>
                <w:numId w:val="59"/>
              </w:numPr>
              <w:spacing w:before="120"/>
              <w:ind w:left="702" w:hanging="720"/>
              <w:jc w:val="both"/>
              <w:rPr>
                <w:szCs w:val="24"/>
              </w:rPr>
            </w:pPr>
            <w:bookmarkStart w:id="401" w:name="_Toc43474964"/>
            <w:r>
              <w:rPr>
                <w:b w:val="0"/>
                <w:bCs/>
                <w:szCs w:val="24"/>
              </w:rPr>
              <w:t xml:space="preserve">The Contract shall not be awarded earlier than the expiry of the Standstill Period. The Standstill Period shall be ten (10) Business Days unless extended in accordance with ITB 46. The Standstill Period commences the day after the date the Purchaser has transmitted to each Bidder the Notification of Intention to Award the Contract. Where only one Bid is submitted, or if this contract is in response to </w:t>
            </w:r>
            <w:proofErr w:type="gramStart"/>
            <w:r>
              <w:rPr>
                <w:b w:val="0"/>
                <w:bCs/>
                <w:szCs w:val="24"/>
              </w:rPr>
              <w:t>an emergency situation</w:t>
            </w:r>
            <w:proofErr w:type="gramEnd"/>
            <w:r>
              <w:rPr>
                <w:b w:val="0"/>
                <w:bCs/>
                <w:szCs w:val="24"/>
              </w:rPr>
              <w:t xml:space="preserve"> recognized by the Bank, the Standstill Period shall not apply.</w:t>
            </w:r>
            <w:bookmarkEnd w:id="401"/>
          </w:p>
        </w:tc>
      </w:tr>
      <w:tr w:rsidR="00157AAA" w14:paraId="181F6D6B" w14:textId="77777777">
        <w:trPr>
          <w:gridAfter w:val="1"/>
          <w:wAfter w:w="8" w:type="dxa"/>
        </w:trPr>
        <w:tc>
          <w:tcPr>
            <w:tcW w:w="2410" w:type="dxa"/>
          </w:tcPr>
          <w:p w14:paraId="0073D473" w14:textId="77777777" w:rsidR="00157AAA" w:rsidRDefault="006C1BE5">
            <w:pPr>
              <w:pStyle w:val="ITBHeading2"/>
              <w:spacing w:before="120" w:after="120"/>
            </w:pPr>
            <w:bookmarkStart w:id="402" w:name="_Toc43475030"/>
            <w:bookmarkStart w:id="403" w:name="_Toc43486496"/>
            <w:bookmarkStart w:id="404" w:name="_Toc163505752"/>
            <w:r>
              <w:t>Notification of Intention to Award</w:t>
            </w:r>
            <w:bookmarkEnd w:id="402"/>
            <w:bookmarkEnd w:id="403"/>
            <w:bookmarkEnd w:id="404"/>
            <w:r>
              <w:t xml:space="preserve"> </w:t>
            </w:r>
          </w:p>
        </w:tc>
        <w:tc>
          <w:tcPr>
            <w:tcW w:w="6974" w:type="dxa"/>
          </w:tcPr>
          <w:p w14:paraId="76A9FE90" w14:textId="77777777" w:rsidR="00157AAA" w:rsidRDefault="006C1BE5" w:rsidP="00D530D5">
            <w:pPr>
              <w:pStyle w:val="Head12a"/>
              <w:numPr>
                <w:ilvl w:val="1"/>
                <w:numId w:val="59"/>
              </w:numPr>
              <w:spacing w:before="120"/>
              <w:ind w:left="702" w:hanging="720"/>
              <w:jc w:val="both"/>
              <w:rPr>
                <w:b w:val="0"/>
                <w:bCs/>
                <w:szCs w:val="24"/>
              </w:rPr>
            </w:pPr>
            <w:bookmarkStart w:id="405" w:name="_Toc43474965"/>
            <w:r>
              <w:rPr>
                <w:b w:val="0"/>
                <w:bCs/>
                <w:szCs w:val="24"/>
              </w:rPr>
              <w:t>The Purchaser shall send to each Bidder the Notification of Intention to Award the Contract to the successful Bidder. The Notification of Intention to Award shall contain, at a minimum, the following information:</w:t>
            </w:r>
            <w:bookmarkEnd w:id="405"/>
          </w:p>
          <w:p w14:paraId="7297E2C1"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 xml:space="preserve">the name and address of the Bidder submitting the successful </w:t>
            </w:r>
            <w:proofErr w:type="gramStart"/>
            <w:r>
              <w:rPr>
                <w:color w:val="000000" w:themeColor="text1"/>
                <w:szCs w:val="24"/>
              </w:rPr>
              <w:t>Bid;</w:t>
            </w:r>
            <w:proofErr w:type="gramEnd"/>
            <w:r>
              <w:rPr>
                <w:color w:val="000000" w:themeColor="text1"/>
                <w:szCs w:val="24"/>
              </w:rPr>
              <w:t xml:space="preserve"> </w:t>
            </w:r>
          </w:p>
          <w:p w14:paraId="47E30903"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 xml:space="preserve">the Contract price of the successful </w:t>
            </w:r>
            <w:proofErr w:type="gramStart"/>
            <w:r>
              <w:rPr>
                <w:color w:val="000000" w:themeColor="text1"/>
                <w:szCs w:val="24"/>
              </w:rPr>
              <w:t>Bid;</w:t>
            </w:r>
            <w:proofErr w:type="gramEnd"/>
            <w:r>
              <w:rPr>
                <w:color w:val="000000" w:themeColor="text1"/>
                <w:szCs w:val="24"/>
              </w:rPr>
              <w:t xml:space="preserve"> </w:t>
            </w:r>
          </w:p>
          <w:p w14:paraId="6BDD9E84"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 xml:space="preserve">the total combined score of the successful </w:t>
            </w:r>
            <w:proofErr w:type="gramStart"/>
            <w:r>
              <w:rPr>
                <w:color w:val="000000" w:themeColor="text1"/>
                <w:szCs w:val="24"/>
              </w:rPr>
              <w:t>Bid;</w:t>
            </w:r>
            <w:proofErr w:type="gramEnd"/>
          </w:p>
          <w:p w14:paraId="30171368"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lastRenderedPageBreak/>
              <w:t>the names of all Bidders who submitted Bids, and their Bid prices as readout and as evaluated prices and technical scores (if applicable</w:t>
            </w:r>
            <w:proofErr w:type="gramStart"/>
            <w:r>
              <w:rPr>
                <w:color w:val="000000" w:themeColor="text1"/>
                <w:szCs w:val="24"/>
              </w:rPr>
              <w:t>);</w:t>
            </w:r>
            <w:proofErr w:type="gramEnd"/>
            <w:r>
              <w:rPr>
                <w:color w:val="000000" w:themeColor="text1"/>
                <w:szCs w:val="24"/>
              </w:rPr>
              <w:t xml:space="preserve"> </w:t>
            </w:r>
          </w:p>
          <w:p w14:paraId="00505487"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 xml:space="preserve">a statement of the reason(s) the Bid (of the unsuccessful Bidder to whom the notification is addressed) was </w:t>
            </w:r>
            <w:proofErr w:type="gramStart"/>
            <w:r>
              <w:rPr>
                <w:color w:val="000000" w:themeColor="text1"/>
                <w:szCs w:val="24"/>
              </w:rPr>
              <w:t>unsuccessful;</w:t>
            </w:r>
            <w:proofErr w:type="gramEnd"/>
            <w:r>
              <w:rPr>
                <w:color w:val="000000" w:themeColor="text1"/>
                <w:szCs w:val="24"/>
              </w:rPr>
              <w:t xml:space="preserve"> </w:t>
            </w:r>
          </w:p>
          <w:p w14:paraId="24C7670F"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the expiry date of the Standstill Period; and</w:t>
            </w:r>
          </w:p>
          <w:p w14:paraId="10C95DC8" w14:textId="77777777" w:rsidR="00157AAA" w:rsidRDefault="006C1BE5" w:rsidP="00D530D5">
            <w:pPr>
              <w:pStyle w:val="ListParagraph"/>
              <w:numPr>
                <w:ilvl w:val="0"/>
                <w:numId w:val="38"/>
              </w:numPr>
              <w:spacing w:before="120"/>
              <w:ind w:left="1347" w:hanging="630"/>
              <w:contextualSpacing w:val="0"/>
              <w:jc w:val="left"/>
              <w:rPr>
                <w:color w:val="000000" w:themeColor="text1"/>
                <w:szCs w:val="24"/>
              </w:rPr>
            </w:pPr>
            <w:r>
              <w:rPr>
                <w:color w:val="000000" w:themeColor="text1"/>
                <w:szCs w:val="24"/>
              </w:rPr>
              <w:t>instructions on how to request a debriefing or submit a complaint during the standstill period;</w:t>
            </w:r>
          </w:p>
        </w:tc>
      </w:tr>
    </w:tbl>
    <w:p w14:paraId="08B55859" w14:textId="77777777" w:rsidR="00157AAA" w:rsidRDefault="006C1BE5">
      <w:pPr>
        <w:pStyle w:val="ITBHeading1"/>
        <w:spacing w:before="120" w:after="120"/>
      </w:pPr>
      <w:bookmarkStart w:id="406" w:name="_Toc434304526"/>
      <w:bookmarkStart w:id="407" w:name="_Toc43475031"/>
      <w:bookmarkStart w:id="408" w:name="_Toc43486497"/>
      <w:bookmarkStart w:id="409" w:name="_Toc163505753"/>
      <w:r>
        <w:lastRenderedPageBreak/>
        <w:t>F. Award of Contract</w:t>
      </w:r>
      <w:bookmarkEnd w:id="406"/>
      <w:bookmarkEnd w:id="407"/>
      <w:bookmarkEnd w:id="408"/>
      <w:bookmarkEnd w:id="409"/>
    </w:p>
    <w:tbl>
      <w:tblPr>
        <w:tblW w:w="0" w:type="auto"/>
        <w:tblInd w:w="-30" w:type="dxa"/>
        <w:tblLayout w:type="fixed"/>
        <w:tblCellMar>
          <w:left w:w="115" w:type="dxa"/>
          <w:right w:w="115" w:type="dxa"/>
        </w:tblCellMar>
        <w:tblLook w:val="0000" w:firstRow="0" w:lastRow="0" w:firstColumn="0" w:lastColumn="0" w:noHBand="0" w:noVBand="0"/>
      </w:tblPr>
      <w:tblGrid>
        <w:gridCol w:w="2460"/>
        <w:gridCol w:w="6930"/>
      </w:tblGrid>
      <w:tr w:rsidR="00157AAA" w14:paraId="3240CC27" w14:textId="77777777">
        <w:tc>
          <w:tcPr>
            <w:tcW w:w="2460" w:type="dxa"/>
          </w:tcPr>
          <w:p w14:paraId="300B03D5" w14:textId="77777777" w:rsidR="00157AAA" w:rsidRDefault="006C1BE5">
            <w:pPr>
              <w:pStyle w:val="ITBHeading2"/>
              <w:spacing w:before="120" w:after="120"/>
            </w:pPr>
            <w:bookmarkStart w:id="410" w:name="_Toc434304527"/>
            <w:bookmarkStart w:id="411" w:name="_Toc43475032"/>
            <w:bookmarkStart w:id="412" w:name="_Toc43486498"/>
            <w:bookmarkStart w:id="413" w:name="_Toc163505754"/>
            <w:r>
              <w:t>Award Criteria</w:t>
            </w:r>
            <w:bookmarkEnd w:id="410"/>
            <w:bookmarkEnd w:id="411"/>
            <w:bookmarkEnd w:id="412"/>
            <w:bookmarkEnd w:id="413"/>
          </w:p>
        </w:tc>
        <w:tc>
          <w:tcPr>
            <w:tcW w:w="6930" w:type="dxa"/>
          </w:tcPr>
          <w:p w14:paraId="319ED061" w14:textId="77777777" w:rsidR="00157AAA" w:rsidRDefault="006C1BE5" w:rsidP="00D530D5">
            <w:pPr>
              <w:pStyle w:val="Head12a"/>
              <w:numPr>
                <w:ilvl w:val="1"/>
                <w:numId w:val="59"/>
              </w:numPr>
              <w:spacing w:before="120"/>
              <w:ind w:left="702" w:hanging="720"/>
              <w:jc w:val="both"/>
              <w:rPr>
                <w:b w:val="0"/>
                <w:bCs/>
                <w:szCs w:val="24"/>
              </w:rPr>
            </w:pPr>
            <w:bookmarkStart w:id="414" w:name="_Toc43474966"/>
            <w:r>
              <w:rPr>
                <w:b w:val="0"/>
                <w:bCs/>
                <w:szCs w:val="24"/>
              </w:rPr>
              <w:t xml:space="preserve">Subject to ITB 40, the Purchaser shall award the Contract to the successful Bidder. This is the Bidder whose Bid has been determined to be the Most Advantageous Bid. The determination of the Most Advantageous Bid will be made in accordance </w:t>
            </w:r>
            <w:proofErr w:type="gramStart"/>
            <w:r>
              <w:rPr>
                <w:b w:val="0"/>
                <w:bCs/>
                <w:szCs w:val="24"/>
              </w:rPr>
              <w:t>to</w:t>
            </w:r>
            <w:proofErr w:type="gramEnd"/>
            <w:r>
              <w:rPr>
                <w:b w:val="0"/>
                <w:bCs/>
                <w:szCs w:val="24"/>
              </w:rPr>
              <w:t xml:space="preserve"> one of the two options as defined in the BDS. The methodology options are:</w:t>
            </w:r>
            <w:bookmarkEnd w:id="414"/>
          </w:p>
          <w:p w14:paraId="34ACF673" w14:textId="77777777" w:rsidR="00157AAA" w:rsidRDefault="006C1BE5">
            <w:pPr>
              <w:pStyle w:val="Sub-ClauseText"/>
              <w:ind w:left="1080" w:hanging="360"/>
              <w:rPr>
                <w:color w:val="000000" w:themeColor="text1"/>
                <w:spacing w:val="0"/>
                <w:szCs w:val="24"/>
              </w:rPr>
            </w:pPr>
            <w:r>
              <w:rPr>
                <w:color w:val="000000" w:themeColor="text1"/>
                <w:spacing w:val="0"/>
                <w:szCs w:val="24"/>
              </w:rPr>
              <w:t xml:space="preserve">(a) when </w:t>
            </w:r>
            <w:r>
              <w:rPr>
                <w:b/>
                <w:color w:val="000000" w:themeColor="text1"/>
                <w:spacing w:val="0"/>
                <w:szCs w:val="24"/>
              </w:rPr>
              <w:t>rated criteria are used</w:t>
            </w:r>
            <w:r>
              <w:rPr>
                <w:color w:val="000000" w:themeColor="text1"/>
                <w:spacing w:val="0"/>
                <w:szCs w:val="24"/>
              </w:rPr>
              <w:t>: The Bidder that meets the qualification criteria and whose Bid:</w:t>
            </w:r>
          </w:p>
          <w:p w14:paraId="6A77721E" w14:textId="77777777" w:rsidR="00157AAA" w:rsidRDefault="006C1BE5">
            <w:pPr>
              <w:pStyle w:val="Sub-ClauseText"/>
              <w:ind w:left="1080"/>
              <w:rPr>
                <w:color w:val="000000" w:themeColor="text1"/>
                <w:spacing w:val="0"/>
                <w:szCs w:val="24"/>
              </w:rPr>
            </w:pPr>
            <w:r>
              <w:rPr>
                <w:color w:val="000000" w:themeColor="text1"/>
                <w:spacing w:val="0"/>
                <w:szCs w:val="24"/>
              </w:rPr>
              <w:t>(</w:t>
            </w:r>
            <w:proofErr w:type="spellStart"/>
            <w:r>
              <w:rPr>
                <w:color w:val="000000" w:themeColor="text1"/>
                <w:spacing w:val="0"/>
                <w:szCs w:val="24"/>
              </w:rPr>
              <w:t>i</w:t>
            </w:r>
            <w:proofErr w:type="spellEnd"/>
            <w:r>
              <w:rPr>
                <w:color w:val="000000" w:themeColor="text1"/>
                <w:spacing w:val="0"/>
                <w:szCs w:val="24"/>
              </w:rPr>
              <w:t xml:space="preserve">) is substantially responsive; and </w:t>
            </w:r>
          </w:p>
          <w:p w14:paraId="0361C8A9" w14:textId="77777777" w:rsidR="00157AAA" w:rsidRDefault="006C1BE5">
            <w:pPr>
              <w:pStyle w:val="Sub-ClauseText"/>
              <w:ind w:left="1080"/>
              <w:rPr>
                <w:color w:val="000000" w:themeColor="text1"/>
                <w:spacing w:val="0"/>
                <w:szCs w:val="24"/>
              </w:rPr>
            </w:pPr>
            <w:r>
              <w:rPr>
                <w:color w:val="000000" w:themeColor="text1"/>
                <w:spacing w:val="0"/>
                <w:szCs w:val="24"/>
              </w:rPr>
              <w:t>(ii) is the best evaluated Bid (i.e. the Bid with the highest combined technical/quality/price score); or</w:t>
            </w:r>
          </w:p>
          <w:p w14:paraId="595BB41D" w14:textId="77777777" w:rsidR="00157AAA" w:rsidRDefault="006C1BE5">
            <w:pPr>
              <w:pStyle w:val="Sub-ClauseText"/>
              <w:tabs>
                <w:tab w:val="left" w:pos="1440"/>
              </w:tabs>
              <w:ind w:left="1080" w:hanging="360"/>
              <w:rPr>
                <w:color w:val="000000" w:themeColor="text1"/>
                <w:spacing w:val="0"/>
                <w:szCs w:val="24"/>
              </w:rPr>
            </w:pPr>
            <w:r>
              <w:rPr>
                <w:color w:val="000000" w:themeColor="text1"/>
                <w:szCs w:val="24"/>
              </w:rPr>
              <w:t>(</w:t>
            </w:r>
            <w:r>
              <w:rPr>
                <w:color w:val="000000" w:themeColor="text1"/>
                <w:spacing w:val="0"/>
                <w:szCs w:val="24"/>
              </w:rPr>
              <w:t xml:space="preserve">b) when </w:t>
            </w:r>
            <w:r>
              <w:rPr>
                <w:b/>
                <w:color w:val="000000" w:themeColor="text1"/>
                <w:spacing w:val="0"/>
                <w:szCs w:val="24"/>
              </w:rPr>
              <w:t>rated criteria are not used</w:t>
            </w:r>
            <w:r>
              <w:rPr>
                <w:color w:val="000000" w:themeColor="text1"/>
                <w:spacing w:val="0"/>
                <w:szCs w:val="24"/>
              </w:rPr>
              <w:t>: The Bidder that meets the qualification criteria and whose Bid has been determined to be:</w:t>
            </w:r>
          </w:p>
          <w:p w14:paraId="2E19A9A2" w14:textId="77777777" w:rsidR="00157AAA" w:rsidRDefault="006C1BE5">
            <w:pPr>
              <w:pStyle w:val="Sub-ClauseText"/>
              <w:ind w:left="1080"/>
              <w:rPr>
                <w:color w:val="000000" w:themeColor="text1"/>
                <w:spacing w:val="0"/>
                <w:szCs w:val="24"/>
              </w:rPr>
            </w:pPr>
            <w:r>
              <w:rPr>
                <w:color w:val="000000" w:themeColor="text1"/>
                <w:spacing w:val="0"/>
                <w:szCs w:val="24"/>
              </w:rPr>
              <w:t>(</w:t>
            </w:r>
            <w:proofErr w:type="spellStart"/>
            <w:r>
              <w:rPr>
                <w:color w:val="000000" w:themeColor="text1"/>
                <w:spacing w:val="0"/>
                <w:szCs w:val="24"/>
              </w:rPr>
              <w:t>i</w:t>
            </w:r>
            <w:proofErr w:type="spellEnd"/>
            <w:r>
              <w:rPr>
                <w:color w:val="000000" w:themeColor="text1"/>
                <w:spacing w:val="0"/>
                <w:szCs w:val="24"/>
              </w:rPr>
              <w:t>)  substantially responsive to the bidding document; and</w:t>
            </w:r>
          </w:p>
          <w:p w14:paraId="298D7150" w14:textId="77777777" w:rsidR="00157AAA" w:rsidRDefault="006C1BE5">
            <w:pPr>
              <w:pStyle w:val="Sub-ClauseText"/>
              <w:ind w:left="1080"/>
              <w:rPr>
                <w:szCs w:val="24"/>
              </w:rPr>
            </w:pPr>
            <w:r>
              <w:rPr>
                <w:color w:val="000000" w:themeColor="text1"/>
                <w:szCs w:val="24"/>
              </w:rPr>
              <w:t>(ii)  the lowest evaluated cost.</w:t>
            </w:r>
            <w:r>
              <w:rPr>
                <w:szCs w:val="24"/>
              </w:rPr>
              <w:t xml:space="preserve"> </w:t>
            </w:r>
          </w:p>
        </w:tc>
      </w:tr>
      <w:tr w:rsidR="00157AAA" w14:paraId="1963D6D6" w14:textId="77777777">
        <w:trPr>
          <w:cantSplit/>
        </w:trPr>
        <w:tc>
          <w:tcPr>
            <w:tcW w:w="2460" w:type="dxa"/>
          </w:tcPr>
          <w:p w14:paraId="7AE4AF95" w14:textId="77777777" w:rsidR="00157AAA" w:rsidRDefault="006C1BE5">
            <w:pPr>
              <w:pStyle w:val="ITBHeading2"/>
              <w:spacing w:before="120" w:after="120"/>
            </w:pPr>
            <w:bookmarkStart w:id="415" w:name="_Toc43475033"/>
            <w:bookmarkStart w:id="416" w:name="_Toc43486499"/>
            <w:bookmarkStart w:id="417" w:name="_Toc163505755"/>
            <w:r>
              <w:t>Purchaser’s Right to Vary Quantities at Time of Award</w:t>
            </w:r>
            <w:bookmarkEnd w:id="415"/>
            <w:bookmarkEnd w:id="416"/>
            <w:bookmarkEnd w:id="417"/>
          </w:p>
        </w:tc>
        <w:tc>
          <w:tcPr>
            <w:tcW w:w="6930" w:type="dxa"/>
          </w:tcPr>
          <w:p w14:paraId="3230E8E8" w14:textId="77777777" w:rsidR="00157AAA" w:rsidRDefault="006C1BE5" w:rsidP="00D530D5">
            <w:pPr>
              <w:pStyle w:val="Head12a"/>
              <w:numPr>
                <w:ilvl w:val="1"/>
                <w:numId w:val="59"/>
              </w:numPr>
              <w:spacing w:before="120"/>
              <w:ind w:left="702" w:hanging="720"/>
              <w:jc w:val="both"/>
              <w:rPr>
                <w:szCs w:val="24"/>
              </w:rPr>
            </w:pPr>
            <w:bookmarkStart w:id="418" w:name="_Toc43474967"/>
            <w:r>
              <w:rPr>
                <w:b w:val="0"/>
                <w:bCs/>
                <w:szCs w:val="24"/>
              </w:rPr>
              <w:t>The Purchaser reserves the right at the time of Contract award to increase or decrease, by the percentage(s) for items as indicated in the BDS.</w:t>
            </w:r>
            <w:bookmarkEnd w:id="418"/>
            <w:r>
              <w:rPr>
                <w:b w:val="0"/>
                <w:szCs w:val="24"/>
              </w:rPr>
              <w:t xml:space="preserve"> </w:t>
            </w:r>
          </w:p>
        </w:tc>
      </w:tr>
      <w:tr w:rsidR="00157AAA" w14:paraId="5FA608D7" w14:textId="77777777">
        <w:trPr>
          <w:cantSplit/>
        </w:trPr>
        <w:tc>
          <w:tcPr>
            <w:tcW w:w="2460" w:type="dxa"/>
          </w:tcPr>
          <w:p w14:paraId="26359F51" w14:textId="77777777" w:rsidR="00157AAA" w:rsidRDefault="006C1BE5">
            <w:pPr>
              <w:pStyle w:val="ITBHeading2"/>
              <w:spacing w:before="120" w:after="120"/>
            </w:pPr>
            <w:bookmarkStart w:id="419" w:name="_Toc434304528"/>
            <w:bookmarkStart w:id="420" w:name="_Toc43475034"/>
            <w:bookmarkStart w:id="421" w:name="_Toc43486500"/>
            <w:bookmarkStart w:id="422" w:name="_Toc163505756"/>
            <w:r>
              <w:lastRenderedPageBreak/>
              <w:t>Notification of Award</w:t>
            </w:r>
            <w:bookmarkEnd w:id="419"/>
            <w:bookmarkEnd w:id="420"/>
            <w:bookmarkEnd w:id="421"/>
            <w:bookmarkEnd w:id="422"/>
          </w:p>
        </w:tc>
        <w:tc>
          <w:tcPr>
            <w:tcW w:w="6930" w:type="dxa"/>
          </w:tcPr>
          <w:p w14:paraId="722DBC84" w14:textId="77777777" w:rsidR="00157AAA" w:rsidRDefault="006C1BE5" w:rsidP="00D530D5">
            <w:pPr>
              <w:pStyle w:val="Head12a"/>
              <w:numPr>
                <w:ilvl w:val="1"/>
                <w:numId w:val="59"/>
              </w:numPr>
              <w:spacing w:before="120"/>
              <w:ind w:left="702" w:hanging="720"/>
              <w:jc w:val="both"/>
              <w:rPr>
                <w:szCs w:val="24"/>
              </w:rPr>
            </w:pPr>
            <w:bookmarkStart w:id="423" w:name="_Toc43474968"/>
            <w:r>
              <w:rPr>
                <w:b w:val="0"/>
                <w:bCs/>
                <w:szCs w:val="24"/>
              </w:rPr>
              <w:t xml:space="preserve">Prior to the date of expiry of the Bid validity and upon expiry of the Standstill Period, specified in ITB 41.1 or any extension thereof, and, upon satisfactorily addressing any complaint that has been filed within the Standstill Period, the Purchaser shall notify the successful Bidder, in writing, that its Bid has been accepted. The notification letter (hereinafter and in the </w:t>
            </w:r>
            <w:proofErr w:type="gramStart"/>
            <w:r>
              <w:rPr>
                <w:b w:val="0"/>
                <w:bCs/>
                <w:szCs w:val="24"/>
              </w:rPr>
              <w:t>Contract</w:t>
            </w:r>
            <w:proofErr w:type="gramEnd"/>
            <w:r>
              <w:rPr>
                <w:b w:val="0"/>
                <w:bCs/>
                <w:szCs w:val="24"/>
              </w:rPr>
              <w:t xml:space="preserve"> Forms called the “Letter of Acceptance”) shall specify the sum that the Purchaser will pay the Supplier in consideration of the execution of the Contract (hereinafter and in the Conditions of Contract and Contract Forms called “the Contract Price”).</w:t>
            </w:r>
            <w:bookmarkEnd w:id="423"/>
            <w:r>
              <w:rPr>
                <w:szCs w:val="24"/>
              </w:rPr>
              <w:t xml:space="preserve"> </w:t>
            </w:r>
          </w:p>
        </w:tc>
      </w:tr>
      <w:tr w:rsidR="00157AAA" w14:paraId="61210D09" w14:textId="77777777">
        <w:trPr>
          <w:trHeight w:val="675"/>
        </w:trPr>
        <w:tc>
          <w:tcPr>
            <w:tcW w:w="2460" w:type="dxa"/>
          </w:tcPr>
          <w:p w14:paraId="7FAE07BA" w14:textId="77777777" w:rsidR="00157AAA" w:rsidRDefault="00157AAA">
            <w:pPr>
              <w:numPr>
                <w:ilvl w:val="12"/>
                <w:numId w:val="0"/>
              </w:numPr>
              <w:spacing w:before="120"/>
              <w:ind w:left="360" w:hanging="360"/>
              <w:jc w:val="left"/>
              <w:rPr>
                <w:szCs w:val="24"/>
              </w:rPr>
            </w:pPr>
          </w:p>
        </w:tc>
        <w:tc>
          <w:tcPr>
            <w:tcW w:w="6930" w:type="dxa"/>
          </w:tcPr>
          <w:p w14:paraId="526B72CA" w14:textId="77777777" w:rsidR="00157AAA" w:rsidRDefault="006C1BE5" w:rsidP="00D530D5">
            <w:pPr>
              <w:pStyle w:val="Head12a"/>
              <w:numPr>
                <w:ilvl w:val="1"/>
                <w:numId w:val="59"/>
              </w:numPr>
              <w:spacing w:before="120"/>
              <w:ind w:left="702" w:hanging="720"/>
              <w:jc w:val="both"/>
              <w:rPr>
                <w:b w:val="0"/>
                <w:bCs/>
                <w:szCs w:val="24"/>
              </w:rPr>
            </w:pPr>
            <w:bookmarkStart w:id="424" w:name="_Toc43474969"/>
            <w:r>
              <w:rPr>
                <w:b w:val="0"/>
                <w:bCs/>
                <w:szCs w:val="24"/>
              </w:rPr>
              <w:t>Within ten (10) Business days after the date of transmission of the Letter of Acceptance, the Purchaser shall publish the Contract Award Notice which shall contain, at a minimum, the following information:</w:t>
            </w:r>
            <w:bookmarkEnd w:id="424"/>
            <w:r>
              <w:rPr>
                <w:b w:val="0"/>
                <w:bCs/>
                <w:szCs w:val="24"/>
              </w:rPr>
              <w:t xml:space="preserve"> </w:t>
            </w:r>
          </w:p>
          <w:p w14:paraId="7F1F91E9" w14:textId="77777777" w:rsidR="00157AAA" w:rsidRDefault="006C1BE5" w:rsidP="00D530D5">
            <w:pPr>
              <w:pStyle w:val="Header"/>
              <w:numPr>
                <w:ilvl w:val="4"/>
                <w:numId w:val="37"/>
              </w:numPr>
              <w:spacing w:before="120"/>
              <w:ind w:left="1265" w:hanging="630"/>
              <w:rPr>
                <w:szCs w:val="24"/>
              </w:rPr>
            </w:pPr>
            <w:r>
              <w:rPr>
                <w:szCs w:val="24"/>
              </w:rPr>
              <w:t xml:space="preserve">name and address of the </w:t>
            </w:r>
            <w:proofErr w:type="gramStart"/>
            <w:r>
              <w:rPr>
                <w:szCs w:val="24"/>
              </w:rPr>
              <w:t>Purchaser;</w:t>
            </w:r>
            <w:proofErr w:type="gramEnd"/>
          </w:p>
          <w:p w14:paraId="792D9260" w14:textId="77777777" w:rsidR="00157AAA" w:rsidRDefault="006C1BE5" w:rsidP="00D530D5">
            <w:pPr>
              <w:pStyle w:val="Header"/>
              <w:numPr>
                <w:ilvl w:val="4"/>
                <w:numId w:val="37"/>
              </w:numPr>
              <w:spacing w:before="120"/>
              <w:ind w:left="1265" w:hanging="630"/>
              <w:rPr>
                <w:szCs w:val="24"/>
              </w:rPr>
            </w:pPr>
            <w:r>
              <w:rPr>
                <w:szCs w:val="24"/>
              </w:rPr>
              <w:t xml:space="preserve">name and reference number of the contract being awarded, and the selection method </w:t>
            </w:r>
            <w:proofErr w:type="gramStart"/>
            <w:r>
              <w:rPr>
                <w:szCs w:val="24"/>
              </w:rPr>
              <w:t>used;</w:t>
            </w:r>
            <w:proofErr w:type="gramEnd"/>
            <w:r>
              <w:rPr>
                <w:szCs w:val="24"/>
              </w:rPr>
              <w:t xml:space="preserve"> </w:t>
            </w:r>
          </w:p>
          <w:p w14:paraId="64555B18" w14:textId="77777777" w:rsidR="00157AAA" w:rsidRDefault="006C1BE5" w:rsidP="00D530D5">
            <w:pPr>
              <w:pStyle w:val="Header"/>
              <w:numPr>
                <w:ilvl w:val="4"/>
                <w:numId w:val="37"/>
              </w:numPr>
              <w:spacing w:before="120"/>
              <w:ind w:left="1265" w:hanging="630"/>
              <w:rPr>
                <w:szCs w:val="24"/>
              </w:rPr>
            </w:pPr>
            <w:r>
              <w:rPr>
                <w:szCs w:val="24"/>
              </w:rPr>
              <w:t xml:space="preserve">names of all Bidders that submitted Bids, and their Bid prices as read out at Bid opening, and as </w:t>
            </w:r>
            <w:proofErr w:type="gramStart"/>
            <w:r>
              <w:rPr>
                <w:szCs w:val="24"/>
              </w:rPr>
              <w:t>evaluated;</w:t>
            </w:r>
            <w:proofErr w:type="gramEnd"/>
            <w:r>
              <w:rPr>
                <w:szCs w:val="24"/>
              </w:rPr>
              <w:t xml:space="preserve"> </w:t>
            </w:r>
          </w:p>
          <w:p w14:paraId="3994890D" w14:textId="77777777" w:rsidR="00157AAA" w:rsidRDefault="006C1BE5" w:rsidP="00D530D5">
            <w:pPr>
              <w:pStyle w:val="Header"/>
              <w:numPr>
                <w:ilvl w:val="4"/>
                <w:numId w:val="37"/>
              </w:numPr>
              <w:spacing w:before="120"/>
              <w:ind w:left="1265" w:hanging="630"/>
              <w:rPr>
                <w:szCs w:val="24"/>
              </w:rPr>
            </w:pPr>
            <w:r>
              <w:rPr>
                <w:szCs w:val="24"/>
              </w:rPr>
              <w:t xml:space="preserve">name of Bidders whose Bids were rejected and the reasons for their </w:t>
            </w:r>
            <w:proofErr w:type="gramStart"/>
            <w:r>
              <w:rPr>
                <w:szCs w:val="24"/>
              </w:rPr>
              <w:t>rejection;</w:t>
            </w:r>
            <w:proofErr w:type="gramEnd"/>
            <w:r>
              <w:rPr>
                <w:szCs w:val="24"/>
              </w:rPr>
              <w:t xml:space="preserve"> </w:t>
            </w:r>
          </w:p>
          <w:p w14:paraId="125A8FB1" w14:textId="77777777" w:rsidR="00157AAA" w:rsidRDefault="006C1BE5" w:rsidP="00D530D5">
            <w:pPr>
              <w:pStyle w:val="Header"/>
              <w:numPr>
                <w:ilvl w:val="4"/>
                <w:numId w:val="37"/>
              </w:numPr>
              <w:spacing w:before="120"/>
              <w:ind w:left="1265" w:hanging="630"/>
              <w:rPr>
                <w:szCs w:val="24"/>
              </w:rPr>
            </w:pPr>
            <w:r>
              <w:rPr>
                <w:szCs w:val="24"/>
              </w:rPr>
              <w:t xml:space="preserve">the name of the successful Bidder, the final total contract price, the contract </w:t>
            </w:r>
            <w:proofErr w:type="gramStart"/>
            <w:r>
              <w:rPr>
                <w:szCs w:val="24"/>
              </w:rPr>
              <w:t>duration</w:t>
            </w:r>
            <w:proofErr w:type="gramEnd"/>
            <w:r>
              <w:rPr>
                <w:szCs w:val="24"/>
              </w:rPr>
              <w:t xml:space="preserve"> and a summary of its scope; and</w:t>
            </w:r>
          </w:p>
          <w:p w14:paraId="37473638" w14:textId="77777777" w:rsidR="00157AAA" w:rsidRDefault="006C1BE5" w:rsidP="00D530D5">
            <w:pPr>
              <w:pStyle w:val="ListParagraph"/>
              <w:numPr>
                <w:ilvl w:val="4"/>
                <w:numId w:val="37"/>
              </w:numPr>
              <w:spacing w:before="120"/>
              <w:ind w:left="1264" w:right="-72" w:hanging="630"/>
              <w:contextualSpacing w:val="0"/>
              <w:rPr>
                <w:szCs w:val="24"/>
              </w:rPr>
            </w:pPr>
            <w:r>
              <w:t>successful Bidder’s Beneficial Ownership Disclosure Form, if specified in BDS ITB 47.1</w:t>
            </w:r>
            <w:r>
              <w:rPr>
                <w:szCs w:val="24"/>
              </w:rPr>
              <w:t>.</w:t>
            </w:r>
          </w:p>
          <w:p w14:paraId="41F7CFAC" w14:textId="77777777" w:rsidR="00157AAA" w:rsidRDefault="006C1BE5" w:rsidP="00D530D5">
            <w:pPr>
              <w:pStyle w:val="Head12a"/>
              <w:numPr>
                <w:ilvl w:val="1"/>
                <w:numId w:val="59"/>
              </w:numPr>
              <w:spacing w:before="120"/>
              <w:ind w:left="702" w:hanging="720"/>
              <w:jc w:val="both"/>
              <w:rPr>
                <w:b w:val="0"/>
                <w:bCs/>
                <w:szCs w:val="24"/>
              </w:rPr>
            </w:pPr>
            <w:bookmarkStart w:id="425" w:name="_Toc43474970"/>
            <w:r>
              <w:rPr>
                <w:b w:val="0"/>
                <w:bCs/>
                <w:szCs w:val="24"/>
              </w:rPr>
              <w:t>The Contract Award Notice shall be published on the Purchaser’s website with free access if available, or in at least one newspaper of national circulation in the Purchaser’s Country, or in the official gazette. The Purchaser shall also publish the Contract Award Notice in UNDB online.</w:t>
            </w:r>
            <w:bookmarkEnd w:id="425"/>
          </w:p>
          <w:p w14:paraId="5AE6BE58" w14:textId="77777777" w:rsidR="00157AAA" w:rsidRDefault="006C1BE5" w:rsidP="00D530D5">
            <w:pPr>
              <w:pStyle w:val="Head12a"/>
              <w:numPr>
                <w:ilvl w:val="1"/>
                <w:numId w:val="59"/>
              </w:numPr>
              <w:spacing w:before="120"/>
              <w:ind w:left="702" w:hanging="720"/>
              <w:jc w:val="both"/>
              <w:rPr>
                <w:szCs w:val="24"/>
              </w:rPr>
            </w:pPr>
            <w:bookmarkStart w:id="426" w:name="_Toc43474971"/>
            <w:r>
              <w:rPr>
                <w:b w:val="0"/>
                <w:bCs/>
                <w:szCs w:val="24"/>
              </w:rPr>
              <w:t>Until a formal contract is prepared and executed, the Notification of Award shall constitute a binding Contract.</w:t>
            </w:r>
            <w:bookmarkEnd w:id="426"/>
          </w:p>
        </w:tc>
      </w:tr>
      <w:tr w:rsidR="00157AAA" w14:paraId="6570FDBE" w14:textId="77777777">
        <w:tc>
          <w:tcPr>
            <w:tcW w:w="2430" w:type="dxa"/>
          </w:tcPr>
          <w:p w14:paraId="4BFDEEA8" w14:textId="77777777" w:rsidR="00157AAA" w:rsidRDefault="006C1BE5">
            <w:pPr>
              <w:pStyle w:val="ITBHeading2"/>
              <w:spacing w:before="120" w:after="120"/>
            </w:pPr>
            <w:bookmarkStart w:id="427" w:name="_Toc43475035"/>
            <w:bookmarkStart w:id="428" w:name="_Toc43486501"/>
            <w:bookmarkStart w:id="429" w:name="_Toc163505757"/>
            <w:r>
              <w:t>Debriefing by the Purchaser</w:t>
            </w:r>
            <w:bookmarkEnd w:id="427"/>
            <w:bookmarkEnd w:id="428"/>
            <w:bookmarkEnd w:id="429"/>
          </w:p>
        </w:tc>
        <w:tc>
          <w:tcPr>
            <w:tcW w:w="6930" w:type="dxa"/>
          </w:tcPr>
          <w:p w14:paraId="67B97B72" w14:textId="77777777" w:rsidR="00157AAA" w:rsidRDefault="006C1BE5" w:rsidP="00D530D5">
            <w:pPr>
              <w:pStyle w:val="Head12a"/>
              <w:numPr>
                <w:ilvl w:val="1"/>
                <w:numId w:val="59"/>
              </w:numPr>
              <w:spacing w:before="120"/>
              <w:ind w:left="702" w:hanging="720"/>
              <w:jc w:val="both"/>
              <w:rPr>
                <w:b w:val="0"/>
                <w:bCs/>
                <w:szCs w:val="24"/>
              </w:rPr>
            </w:pPr>
            <w:bookmarkStart w:id="430" w:name="_Toc43474972"/>
            <w:r>
              <w:rPr>
                <w:b w:val="0"/>
                <w:bCs/>
                <w:szCs w:val="24"/>
              </w:rPr>
              <w:t>On receipt of the Purchaser’s Notification of Intention to Award referred to in ITB 42, an unsuccessful Bidder has three (3) Business Days to make a written request to the Purchaser for a debriefing. The Purchaser shall provide a debriefing to all unsuccessful Bidders whose request is received within this deadline.</w:t>
            </w:r>
            <w:bookmarkEnd w:id="430"/>
          </w:p>
          <w:p w14:paraId="51C1AB24" w14:textId="77777777" w:rsidR="00157AAA" w:rsidRDefault="006C1BE5" w:rsidP="00D530D5">
            <w:pPr>
              <w:pStyle w:val="Head12a"/>
              <w:numPr>
                <w:ilvl w:val="1"/>
                <w:numId w:val="59"/>
              </w:numPr>
              <w:spacing w:before="120"/>
              <w:ind w:left="702" w:hanging="720"/>
              <w:jc w:val="both"/>
              <w:rPr>
                <w:b w:val="0"/>
                <w:bCs/>
                <w:szCs w:val="24"/>
              </w:rPr>
            </w:pPr>
            <w:bookmarkStart w:id="431" w:name="_Toc43474973"/>
            <w:r>
              <w:rPr>
                <w:b w:val="0"/>
                <w:bCs/>
                <w:szCs w:val="24"/>
              </w:rPr>
              <w:lastRenderedPageBreak/>
              <w:t xml:space="preserve">Where a request for </w:t>
            </w:r>
            <w:proofErr w:type="gramStart"/>
            <w:r>
              <w:rPr>
                <w:b w:val="0"/>
                <w:bCs/>
                <w:szCs w:val="24"/>
              </w:rPr>
              <w:t>debriefing</w:t>
            </w:r>
            <w:proofErr w:type="gramEnd"/>
            <w:r>
              <w:rPr>
                <w:b w:val="0"/>
                <w:bCs/>
                <w:szCs w:val="24"/>
              </w:rPr>
              <w:t xml:space="preserve"> is received within the deadline, the Purchaser shall provide a debriefing within five (5) Business Days, unless the Purchaser decides, for justifiable reasons, to provide the debriefing outside this timeframe. In that case, the standstill period shall automatically be extended until five (5) Business Days after such debriefing is provided.  If more than one debriefing </w:t>
            </w:r>
            <w:proofErr w:type="gramStart"/>
            <w:r>
              <w:rPr>
                <w:b w:val="0"/>
                <w:bCs/>
                <w:szCs w:val="24"/>
              </w:rPr>
              <w:t>is so</w:t>
            </w:r>
            <w:proofErr w:type="gramEnd"/>
            <w:r>
              <w:rPr>
                <w:b w:val="0"/>
                <w:bCs/>
                <w:szCs w:val="24"/>
              </w:rPr>
              <w:t xml:space="preserve"> delayed, the standstill period shall not end earlier than five (5) Business Days after the last debriefing takes place. The Purchaser shall promptly inform, by the quickest means available, all Bidders of the extended standstill period.</w:t>
            </w:r>
            <w:bookmarkEnd w:id="431"/>
            <w:r>
              <w:rPr>
                <w:b w:val="0"/>
                <w:bCs/>
                <w:szCs w:val="24"/>
              </w:rPr>
              <w:t xml:space="preserve"> </w:t>
            </w:r>
          </w:p>
          <w:p w14:paraId="0DCF5F0B" w14:textId="77777777" w:rsidR="00157AAA" w:rsidRDefault="006C1BE5" w:rsidP="00D530D5">
            <w:pPr>
              <w:pStyle w:val="Head12a"/>
              <w:numPr>
                <w:ilvl w:val="1"/>
                <w:numId w:val="59"/>
              </w:numPr>
              <w:spacing w:before="120"/>
              <w:ind w:left="702" w:hanging="720"/>
              <w:jc w:val="both"/>
              <w:rPr>
                <w:b w:val="0"/>
                <w:bCs/>
                <w:szCs w:val="24"/>
              </w:rPr>
            </w:pPr>
            <w:bookmarkStart w:id="432" w:name="_Toc43474974"/>
            <w:r>
              <w:rPr>
                <w:b w:val="0"/>
                <w:bCs/>
                <w:szCs w:val="24"/>
              </w:rPr>
              <w:t>Where a request for debriefing is received by the Purchaser later than the three (3) Business Day deadline, the Purchaser should provide the debriefing as soon as practicable, and normally no later than fifteen (15) Business Days from the date of publication of Public Notice of Award of contract. Requests for debriefing received outside the three (3)-day deadline shall not lead to extension of the standstill period.</w:t>
            </w:r>
            <w:bookmarkEnd w:id="432"/>
            <w:r>
              <w:rPr>
                <w:b w:val="0"/>
                <w:bCs/>
                <w:szCs w:val="24"/>
              </w:rPr>
              <w:t xml:space="preserve">  </w:t>
            </w:r>
          </w:p>
          <w:p w14:paraId="677DF01A" w14:textId="77777777" w:rsidR="00157AAA" w:rsidRDefault="006C1BE5" w:rsidP="00D530D5">
            <w:pPr>
              <w:pStyle w:val="Head12a"/>
              <w:numPr>
                <w:ilvl w:val="1"/>
                <w:numId w:val="59"/>
              </w:numPr>
              <w:spacing w:before="120"/>
              <w:ind w:left="702" w:hanging="720"/>
              <w:jc w:val="both"/>
              <w:rPr>
                <w:b w:val="0"/>
                <w:bCs/>
                <w:szCs w:val="24"/>
              </w:rPr>
            </w:pPr>
            <w:bookmarkStart w:id="433" w:name="_Toc43474975"/>
            <w:r>
              <w:rPr>
                <w:b w:val="0"/>
                <w:bCs/>
                <w:szCs w:val="24"/>
              </w:rPr>
              <w:t>Debriefings of unsuccessful Bidders may be done in writing or verbally. The Bidder shall bear their own costs of attending such a debriefing meeting.</w:t>
            </w:r>
            <w:bookmarkEnd w:id="433"/>
            <w:r>
              <w:rPr>
                <w:b w:val="0"/>
                <w:bCs/>
                <w:szCs w:val="24"/>
              </w:rPr>
              <w:t xml:space="preserve"> </w:t>
            </w:r>
          </w:p>
        </w:tc>
      </w:tr>
      <w:tr w:rsidR="00157AAA" w14:paraId="2E066729" w14:textId="77777777">
        <w:trPr>
          <w:cantSplit/>
          <w:trHeight w:val="400"/>
        </w:trPr>
        <w:tc>
          <w:tcPr>
            <w:tcW w:w="2460" w:type="dxa"/>
          </w:tcPr>
          <w:p w14:paraId="3AC35C3B" w14:textId="77777777" w:rsidR="00157AAA" w:rsidRDefault="006C1BE5">
            <w:pPr>
              <w:pStyle w:val="ITBHeading2"/>
              <w:spacing w:before="120" w:after="120"/>
            </w:pPr>
            <w:bookmarkStart w:id="434" w:name="_Toc434304529"/>
            <w:bookmarkStart w:id="435" w:name="_Toc43475036"/>
            <w:bookmarkStart w:id="436" w:name="_Toc43486502"/>
            <w:bookmarkStart w:id="437" w:name="_Toc163505758"/>
            <w:r>
              <w:lastRenderedPageBreak/>
              <w:t>Signing of Contract</w:t>
            </w:r>
            <w:bookmarkEnd w:id="434"/>
            <w:bookmarkEnd w:id="435"/>
            <w:bookmarkEnd w:id="436"/>
            <w:bookmarkEnd w:id="437"/>
          </w:p>
        </w:tc>
        <w:tc>
          <w:tcPr>
            <w:tcW w:w="6930" w:type="dxa"/>
          </w:tcPr>
          <w:p w14:paraId="73B62716" w14:textId="77777777" w:rsidR="00157AAA" w:rsidRDefault="006C1BE5" w:rsidP="00D530D5">
            <w:pPr>
              <w:pStyle w:val="Head12a"/>
              <w:numPr>
                <w:ilvl w:val="1"/>
                <w:numId w:val="59"/>
              </w:numPr>
              <w:spacing w:before="120"/>
              <w:ind w:left="702" w:hanging="720"/>
              <w:jc w:val="both"/>
              <w:rPr>
                <w:b w:val="0"/>
                <w:bCs/>
                <w:szCs w:val="24"/>
              </w:rPr>
            </w:pPr>
            <w:bookmarkStart w:id="438" w:name="_Toc43474976"/>
            <w:r>
              <w:rPr>
                <w:b w:val="0"/>
                <w:bCs/>
                <w:szCs w:val="24"/>
              </w:rPr>
              <w:t>The Purchaser shall send to the successful Bidder the Letter of Acceptance including the Contract Agreement, and, if specified in the BDS, a request to submit the Beneficial Ownership Disclosure Form providing additional information on its beneficial ownership. The Beneficial Ownership Disclosure Form, if so requested, shall be submitted within eight (8) Business Days of receiving this request.</w:t>
            </w:r>
            <w:bookmarkEnd w:id="438"/>
          </w:p>
        </w:tc>
      </w:tr>
      <w:tr w:rsidR="00157AAA" w14:paraId="0C1DFE14" w14:textId="77777777">
        <w:tc>
          <w:tcPr>
            <w:tcW w:w="2460" w:type="dxa"/>
          </w:tcPr>
          <w:p w14:paraId="46B06696" w14:textId="77777777" w:rsidR="00157AAA" w:rsidRDefault="00157AAA">
            <w:pPr>
              <w:numPr>
                <w:ilvl w:val="12"/>
                <w:numId w:val="0"/>
              </w:numPr>
              <w:spacing w:before="120"/>
              <w:ind w:left="360" w:hanging="360"/>
              <w:jc w:val="left"/>
              <w:rPr>
                <w:szCs w:val="24"/>
              </w:rPr>
            </w:pPr>
          </w:p>
        </w:tc>
        <w:tc>
          <w:tcPr>
            <w:tcW w:w="6930" w:type="dxa"/>
          </w:tcPr>
          <w:p w14:paraId="785C6866" w14:textId="77777777" w:rsidR="00157AAA" w:rsidRDefault="006C1BE5" w:rsidP="00D530D5">
            <w:pPr>
              <w:pStyle w:val="Head12a"/>
              <w:numPr>
                <w:ilvl w:val="1"/>
                <w:numId w:val="59"/>
              </w:numPr>
              <w:spacing w:before="120"/>
              <w:ind w:left="702" w:hanging="720"/>
              <w:jc w:val="both"/>
              <w:rPr>
                <w:b w:val="0"/>
                <w:bCs/>
                <w:szCs w:val="24"/>
              </w:rPr>
            </w:pPr>
            <w:bookmarkStart w:id="439" w:name="_Toc43474977"/>
            <w:r>
              <w:rPr>
                <w:b w:val="0"/>
                <w:bCs/>
                <w:szCs w:val="24"/>
              </w:rPr>
              <w:t xml:space="preserve">The successful Bidder shall sign, </w:t>
            </w:r>
            <w:proofErr w:type="gramStart"/>
            <w:r>
              <w:rPr>
                <w:b w:val="0"/>
                <w:bCs/>
                <w:szCs w:val="24"/>
              </w:rPr>
              <w:t>date</w:t>
            </w:r>
            <w:proofErr w:type="gramEnd"/>
            <w:r>
              <w:rPr>
                <w:b w:val="0"/>
                <w:bCs/>
                <w:szCs w:val="24"/>
              </w:rPr>
              <w:t xml:space="preserve"> and return to the Purchaser, the Contract Agreement within twenty-eight (28) days of its receipt.</w:t>
            </w:r>
            <w:bookmarkEnd w:id="439"/>
          </w:p>
        </w:tc>
      </w:tr>
      <w:tr w:rsidR="00157AAA" w14:paraId="039B5807" w14:textId="77777777">
        <w:tc>
          <w:tcPr>
            <w:tcW w:w="2460" w:type="dxa"/>
          </w:tcPr>
          <w:p w14:paraId="75A903D4" w14:textId="77777777" w:rsidR="00157AAA" w:rsidRDefault="00157AAA">
            <w:pPr>
              <w:numPr>
                <w:ilvl w:val="12"/>
                <w:numId w:val="0"/>
              </w:numPr>
              <w:spacing w:before="120"/>
              <w:ind w:left="360" w:hanging="360"/>
              <w:jc w:val="left"/>
              <w:rPr>
                <w:szCs w:val="24"/>
              </w:rPr>
            </w:pPr>
          </w:p>
        </w:tc>
        <w:tc>
          <w:tcPr>
            <w:tcW w:w="6930" w:type="dxa"/>
          </w:tcPr>
          <w:p w14:paraId="7004CF8D" w14:textId="77777777" w:rsidR="00157AAA" w:rsidRDefault="006C1BE5" w:rsidP="00D530D5">
            <w:pPr>
              <w:pStyle w:val="Head12a"/>
              <w:numPr>
                <w:ilvl w:val="1"/>
                <w:numId w:val="59"/>
              </w:numPr>
              <w:spacing w:before="120"/>
              <w:ind w:left="702" w:hanging="720"/>
              <w:jc w:val="both"/>
              <w:rPr>
                <w:b w:val="0"/>
                <w:bCs/>
                <w:szCs w:val="24"/>
              </w:rPr>
            </w:pPr>
            <w:bookmarkStart w:id="440" w:name="_Toc43474978"/>
            <w:r>
              <w:rPr>
                <w:b w:val="0"/>
                <w:bCs/>
                <w:szCs w:val="24"/>
              </w:rPr>
              <w:t xml:space="preserve">Notwithstanding ITB 47.2 above, in case signing of the Contract Agreement is prevented by any export restrictions attributable to the Purchaser, to the country of the Purchaser, or to the use of the Information System to be supplied, where such export restrictions arise from trade regulations from a country supplying those Information System, the Bidder shall not be bound by its Bid, always provided, however, that the Bidder can demonstrate to the satisfaction of the Purchaser and of the Bank that signing of the Contract Agreement has not been prevented by any lack of diligence on the part of the Bidder in completing any formalities, including applying for </w:t>
            </w:r>
            <w:r>
              <w:rPr>
                <w:b w:val="0"/>
                <w:bCs/>
                <w:szCs w:val="24"/>
              </w:rPr>
              <w:lastRenderedPageBreak/>
              <w:t>permits, authorizations and licenses necessary for the export of the Information System under the terms of the Contract.</w:t>
            </w:r>
            <w:bookmarkEnd w:id="440"/>
            <w:r>
              <w:rPr>
                <w:b w:val="0"/>
                <w:bCs/>
                <w:szCs w:val="24"/>
              </w:rPr>
              <w:t xml:space="preserve">  </w:t>
            </w:r>
          </w:p>
        </w:tc>
      </w:tr>
      <w:tr w:rsidR="00157AAA" w14:paraId="00977D82" w14:textId="77777777">
        <w:trPr>
          <w:cantSplit/>
        </w:trPr>
        <w:tc>
          <w:tcPr>
            <w:tcW w:w="2460" w:type="dxa"/>
          </w:tcPr>
          <w:p w14:paraId="798CA522" w14:textId="77777777" w:rsidR="00157AAA" w:rsidRDefault="006C1BE5">
            <w:pPr>
              <w:pStyle w:val="ITBHeading2"/>
              <w:spacing w:before="120" w:after="120"/>
            </w:pPr>
            <w:bookmarkStart w:id="441" w:name="_Toc434304530"/>
            <w:bookmarkStart w:id="442" w:name="_Toc43475037"/>
            <w:bookmarkStart w:id="443" w:name="_Toc43486503"/>
            <w:bookmarkStart w:id="444" w:name="_Toc163505759"/>
            <w:r>
              <w:lastRenderedPageBreak/>
              <w:t>Performance Security</w:t>
            </w:r>
            <w:bookmarkEnd w:id="441"/>
            <w:bookmarkEnd w:id="442"/>
            <w:bookmarkEnd w:id="443"/>
            <w:bookmarkEnd w:id="444"/>
          </w:p>
        </w:tc>
        <w:tc>
          <w:tcPr>
            <w:tcW w:w="6930" w:type="dxa"/>
          </w:tcPr>
          <w:p w14:paraId="23A80A15" w14:textId="77777777" w:rsidR="00157AAA" w:rsidRDefault="006C1BE5" w:rsidP="00D530D5">
            <w:pPr>
              <w:pStyle w:val="Head12a"/>
              <w:numPr>
                <w:ilvl w:val="1"/>
                <w:numId w:val="59"/>
              </w:numPr>
              <w:spacing w:before="120"/>
              <w:ind w:left="702" w:hanging="720"/>
              <w:jc w:val="both"/>
              <w:rPr>
                <w:b w:val="0"/>
                <w:bCs/>
                <w:szCs w:val="24"/>
              </w:rPr>
            </w:pPr>
            <w:bookmarkStart w:id="445" w:name="_Toc43474979"/>
            <w:r>
              <w:rPr>
                <w:b w:val="0"/>
                <w:bCs/>
                <w:szCs w:val="24"/>
              </w:rPr>
              <w:t>Within twenty-eight (28) days of the receipt of the Letter of Acceptance from the Purchaser, the successful Bidder shall furnish the performance security in accordance with the General Conditions, subject to ITB 38.2 (b), using for that purpose the Performance Security Form included in Section X, Contract Forms, or another form acceptable to the Purchaser.  If the Performance Security furnished by the successful Bidder is in the form of a bond, it shall be issued by a bonding or insurance company that has been determined by the successful Bidder to be acceptable to the Purchaser.  A foreign institution providing a Performance Security shall have a correspondent financial institution located in the Purchaser’s Country.</w:t>
            </w:r>
            <w:bookmarkEnd w:id="445"/>
          </w:p>
        </w:tc>
      </w:tr>
      <w:tr w:rsidR="00157AAA" w14:paraId="561ACD14" w14:textId="77777777">
        <w:tc>
          <w:tcPr>
            <w:tcW w:w="2460" w:type="dxa"/>
          </w:tcPr>
          <w:p w14:paraId="4EB68857" w14:textId="77777777" w:rsidR="00157AAA" w:rsidRDefault="00157AAA">
            <w:pPr>
              <w:numPr>
                <w:ilvl w:val="12"/>
                <w:numId w:val="0"/>
              </w:numPr>
              <w:spacing w:before="120"/>
              <w:ind w:left="360" w:hanging="360"/>
              <w:jc w:val="left"/>
              <w:rPr>
                <w:szCs w:val="24"/>
              </w:rPr>
            </w:pPr>
          </w:p>
        </w:tc>
        <w:tc>
          <w:tcPr>
            <w:tcW w:w="6930" w:type="dxa"/>
          </w:tcPr>
          <w:p w14:paraId="4B996093" w14:textId="77777777" w:rsidR="00157AAA" w:rsidRDefault="006C1BE5" w:rsidP="00D530D5">
            <w:pPr>
              <w:pStyle w:val="Head12a"/>
              <w:numPr>
                <w:ilvl w:val="1"/>
                <w:numId w:val="59"/>
              </w:numPr>
              <w:spacing w:before="120"/>
              <w:ind w:left="702" w:hanging="720"/>
              <w:jc w:val="both"/>
              <w:rPr>
                <w:b w:val="0"/>
                <w:bCs/>
                <w:szCs w:val="24"/>
              </w:rPr>
            </w:pPr>
            <w:bookmarkStart w:id="446" w:name="_Toc43474980"/>
            <w:r>
              <w:rPr>
                <w:b w:val="0"/>
                <w:bCs/>
                <w:szCs w:val="24"/>
              </w:rPr>
              <w:t>Failure of the successful Bidder to submit the above-mentioned Performance Security or sign the Contract shall constitute sufficient grounds for the annulment of the award and forfeiture of the Bid Security.  In that event the Purchaser may award the Contract to the Bidder offering the next Most Advantageous Bid.</w:t>
            </w:r>
            <w:bookmarkEnd w:id="446"/>
          </w:p>
        </w:tc>
      </w:tr>
      <w:tr w:rsidR="00157AAA" w14:paraId="22DEF1DA" w14:textId="77777777">
        <w:tc>
          <w:tcPr>
            <w:tcW w:w="2460" w:type="dxa"/>
          </w:tcPr>
          <w:p w14:paraId="5D3A64C3" w14:textId="77777777" w:rsidR="00157AAA" w:rsidRDefault="006C1BE5">
            <w:pPr>
              <w:pStyle w:val="ITBHeading2"/>
              <w:spacing w:before="120" w:after="120"/>
            </w:pPr>
            <w:bookmarkStart w:id="447" w:name="_Toc412276476"/>
            <w:bookmarkStart w:id="448" w:name="_Toc521499247"/>
            <w:bookmarkStart w:id="449" w:name="_Toc29874964"/>
            <w:bookmarkStart w:id="450" w:name="_Toc43475038"/>
            <w:bookmarkStart w:id="451" w:name="_Toc43486504"/>
            <w:bookmarkStart w:id="452" w:name="_Toc163505760"/>
            <w:r>
              <w:t>Adjudicator</w:t>
            </w:r>
            <w:bookmarkEnd w:id="447"/>
            <w:bookmarkEnd w:id="448"/>
            <w:bookmarkEnd w:id="449"/>
            <w:bookmarkEnd w:id="450"/>
            <w:bookmarkEnd w:id="451"/>
            <w:bookmarkEnd w:id="452"/>
          </w:p>
        </w:tc>
        <w:tc>
          <w:tcPr>
            <w:tcW w:w="6930" w:type="dxa"/>
          </w:tcPr>
          <w:p w14:paraId="24386748" w14:textId="77777777" w:rsidR="00157AAA" w:rsidRDefault="006C1BE5" w:rsidP="00D530D5">
            <w:pPr>
              <w:pStyle w:val="Head12a"/>
              <w:numPr>
                <w:ilvl w:val="1"/>
                <w:numId w:val="59"/>
              </w:numPr>
              <w:spacing w:before="120"/>
              <w:ind w:left="702" w:hanging="720"/>
              <w:jc w:val="both"/>
              <w:rPr>
                <w:b w:val="0"/>
                <w:bCs/>
                <w:szCs w:val="24"/>
              </w:rPr>
            </w:pPr>
            <w:bookmarkStart w:id="453" w:name="_Toc43474981"/>
            <w:r>
              <w:rPr>
                <w:b w:val="0"/>
                <w:bCs/>
                <w:szCs w:val="24"/>
              </w:rPr>
              <w:t>Unless the BDS states otherwise, the Purchaser proposes that the person named in the BDS be appointed as Adjudicator under the Contract to assume the role of informal Contract dispute mediator, as described in GCC Clause 43.1.  In this case, a résumé of the named person is attached to the BDS.  The proposed hourly fee for the Adjudicator is specified in the BDS.  The expenses that would be considered reimbursable to the Adjudicator are also specified in the BDS.  If a Bidder does not accept the Adjudicator proposed by the Purchaser, it should state its non-acceptance in its Bid Form and make a counterproposal of an Adjudicator and an hourly fee, attaching a résumé of the alternative.  If the successful Bidder and the Adjudicator nominated in the BDS happen to be from the same country, and this is not the country of the Purchaser too, the Purchaser reserves the right to cancel the Adjudicator nominated in the BDS and propose a new one.  If by the day the Contract is signed, the Purchaser and the successful Bidder have not agreed on the appointment of the Adjudicator, the Adjudicator shall be appointed, at the request of either party, by the Appointing Authority specified in the SCC clause relating to GCC Clause 43.1.4, or if no Appointing Authority is specified there, the Contract will be implemented without an Adjudicator.</w:t>
            </w:r>
            <w:bookmarkEnd w:id="453"/>
          </w:p>
        </w:tc>
      </w:tr>
      <w:tr w:rsidR="00157AAA" w14:paraId="1576DFB5" w14:textId="77777777">
        <w:tc>
          <w:tcPr>
            <w:tcW w:w="2460" w:type="dxa"/>
          </w:tcPr>
          <w:p w14:paraId="5DF0F09D" w14:textId="77777777" w:rsidR="00157AAA" w:rsidRDefault="006C1BE5">
            <w:pPr>
              <w:pStyle w:val="ITBHeading2"/>
              <w:spacing w:before="120" w:after="120"/>
            </w:pPr>
            <w:bookmarkStart w:id="454" w:name="_Toc43475039"/>
            <w:bookmarkStart w:id="455" w:name="_Toc43486505"/>
            <w:bookmarkStart w:id="456" w:name="_Toc163505761"/>
            <w:r>
              <w:lastRenderedPageBreak/>
              <w:t>Procurement</w:t>
            </w:r>
            <w:r>
              <w:rPr>
                <w:color w:val="000000" w:themeColor="text1"/>
              </w:rPr>
              <w:t xml:space="preserve"> </w:t>
            </w:r>
            <w:r>
              <w:t>Related</w:t>
            </w:r>
            <w:r>
              <w:rPr>
                <w:color w:val="000000" w:themeColor="text1"/>
              </w:rPr>
              <w:t xml:space="preserve"> </w:t>
            </w:r>
            <w:r>
              <w:t>Complaint</w:t>
            </w:r>
            <w:bookmarkEnd w:id="454"/>
            <w:bookmarkEnd w:id="455"/>
            <w:bookmarkEnd w:id="456"/>
          </w:p>
        </w:tc>
        <w:tc>
          <w:tcPr>
            <w:tcW w:w="6930" w:type="dxa"/>
          </w:tcPr>
          <w:p w14:paraId="7F4BAE9E" w14:textId="77777777" w:rsidR="00157AAA" w:rsidRDefault="006C1BE5" w:rsidP="00D530D5">
            <w:pPr>
              <w:pStyle w:val="Head12a"/>
              <w:numPr>
                <w:ilvl w:val="1"/>
                <w:numId w:val="59"/>
              </w:numPr>
              <w:spacing w:before="120"/>
              <w:ind w:left="702" w:hanging="720"/>
              <w:jc w:val="both"/>
              <w:rPr>
                <w:szCs w:val="24"/>
              </w:rPr>
            </w:pPr>
            <w:bookmarkStart w:id="457" w:name="_Toc43474982"/>
            <w:r>
              <w:rPr>
                <w:b w:val="0"/>
                <w:bCs/>
                <w:szCs w:val="24"/>
              </w:rPr>
              <w:t>The procedures for making a Procurement-related Complaint are as specified in the BDS.</w:t>
            </w:r>
            <w:bookmarkEnd w:id="457"/>
          </w:p>
        </w:tc>
      </w:tr>
    </w:tbl>
    <w:p w14:paraId="1C8D9D29" w14:textId="77777777" w:rsidR="00157AAA" w:rsidRDefault="00157AAA">
      <w:pPr>
        <w:pStyle w:val="Heading1"/>
        <w:numPr>
          <w:ilvl w:val="12"/>
          <w:numId w:val="0"/>
        </w:numPr>
        <w:jc w:val="both"/>
        <w:rPr>
          <w:rFonts w:ascii="Times New Roman" w:hAnsi="Times New Roman"/>
          <w:sz w:val="22"/>
        </w:rPr>
        <w:sectPr w:rsidR="00157AAA" w:rsidSect="00734667">
          <w:headerReference w:type="even" r:id="rId27"/>
          <w:headerReference w:type="default" r:id="rId28"/>
          <w:footnotePr>
            <w:numRestart w:val="eachPage"/>
          </w:footnotePr>
          <w:endnotePr>
            <w:numRestart w:val="eachSect"/>
          </w:endnotePr>
          <w:pgSz w:w="12240" w:h="15840"/>
          <w:pgMar w:top="1440" w:right="1440" w:bottom="1440" w:left="1440" w:header="720" w:footer="432" w:gutter="0"/>
          <w:cols w:space="720"/>
          <w:docGrid w:linePitch="360"/>
        </w:sectPr>
      </w:pPr>
    </w:p>
    <w:p w14:paraId="7FD2FF30" w14:textId="77777777" w:rsidR="00157AAA" w:rsidRDefault="006C1BE5">
      <w:pPr>
        <w:pStyle w:val="Head02"/>
        <w:rPr>
          <w:rFonts w:ascii="Times New Roman" w:hAnsi="Times New Roman"/>
        </w:rPr>
      </w:pPr>
      <w:bookmarkStart w:id="458" w:name="_Toc445567355"/>
      <w:bookmarkStart w:id="459" w:name="_Toc73977449"/>
      <w:r>
        <w:rPr>
          <w:rFonts w:ascii="Times New Roman" w:hAnsi="Times New Roman"/>
        </w:rPr>
        <w:lastRenderedPageBreak/>
        <w:t>Section</w:t>
      </w:r>
      <w:r>
        <w:rPr>
          <w:rFonts w:ascii="Times New Roman" w:hAnsi="Times New Roman" w:hint="eastAsia"/>
        </w:rPr>
        <w:t xml:space="preserve"> </w:t>
      </w:r>
      <w:r>
        <w:rPr>
          <w:rFonts w:ascii="Times New Roman" w:hAnsi="Times New Roman"/>
        </w:rPr>
        <w:t>II - Bid Data Sheet (BDS)</w:t>
      </w:r>
      <w:bookmarkEnd w:id="458"/>
      <w:bookmarkEnd w:id="459"/>
    </w:p>
    <w:p w14:paraId="5C94D7B6" w14:textId="77777777" w:rsidR="00157AAA" w:rsidRDefault="006C1BE5">
      <w:r>
        <w:t>The following specific data for the Information System to be procured shall complement, supplement, or amend the provisions in the Instructions to Bidders (ITB). Whenever there is a conflict, the provisions in the BDS shall prevail over those in ITB.</w:t>
      </w:r>
    </w:p>
    <w:p w14:paraId="552443F2" w14:textId="77777777" w:rsidR="00157AAA" w:rsidRDefault="00157AAA">
      <w:pPr>
        <w:rPr>
          <w:sz w:val="22"/>
        </w:rPr>
      </w:pPr>
    </w:p>
    <w:tbl>
      <w:tblPr>
        <w:tblW w:w="864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503"/>
        <w:gridCol w:w="7106"/>
        <w:gridCol w:w="14"/>
        <w:gridCol w:w="17"/>
      </w:tblGrid>
      <w:tr w:rsidR="00157AAA" w14:paraId="6DA662CA" w14:textId="77777777">
        <w:trPr>
          <w:gridAfter w:val="1"/>
          <w:wAfter w:w="17" w:type="dxa"/>
          <w:jc w:val="center"/>
        </w:trPr>
        <w:tc>
          <w:tcPr>
            <w:tcW w:w="1503" w:type="dxa"/>
          </w:tcPr>
          <w:p w14:paraId="6B4F8B28" w14:textId="77777777" w:rsidR="00157AAA" w:rsidRDefault="006C1BE5">
            <w:pPr>
              <w:tabs>
                <w:tab w:val="right" w:pos="7272"/>
              </w:tabs>
              <w:spacing w:before="120"/>
              <w:jc w:val="left"/>
              <w:rPr>
                <w:b/>
              </w:rPr>
            </w:pPr>
            <w:r>
              <w:rPr>
                <w:b/>
              </w:rPr>
              <w:t>ITB Reference</w:t>
            </w:r>
          </w:p>
        </w:tc>
        <w:tc>
          <w:tcPr>
            <w:tcW w:w="7120" w:type="dxa"/>
            <w:gridSpan w:val="2"/>
            <w:vAlign w:val="center"/>
          </w:tcPr>
          <w:p w14:paraId="659A5B1D" w14:textId="77777777" w:rsidR="00157AAA" w:rsidRDefault="006C1BE5">
            <w:pPr>
              <w:tabs>
                <w:tab w:val="right" w:pos="7272"/>
              </w:tabs>
              <w:spacing w:before="120"/>
              <w:jc w:val="center"/>
            </w:pPr>
            <w:r>
              <w:rPr>
                <w:b/>
                <w:sz w:val="28"/>
              </w:rPr>
              <w:t>A. General</w:t>
            </w:r>
          </w:p>
        </w:tc>
      </w:tr>
      <w:tr w:rsidR="00157AAA" w14:paraId="70F15826" w14:textId="77777777">
        <w:trPr>
          <w:gridAfter w:val="1"/>
          <w:wAfter w:w="17" w:type="dxa"/>
          <w:jc w:val="center"/>
        </w:trPr>
        <w:tc>
          <w:tcPr>
            <w:tcW w:w="1503" w:type="dxa"/>
          </w:tcPr>
          <w:p w14:paraId="2328D7DF" w14:textId="77777777" w:rsidR="00157AAA" w:rsidRDefault="006C1BE5">
            <w:pPr>
              <w:spacing w:before="120"/>
              <w:rPr>
                <w:b/>
              </w:rPr>
            </w:pPr>
            <w:r>
              <w:rPr>
                <w:b/>
              </w:rPr>
              <w:t>ITB 1.1</w:t>
            </w:r>
          </w:p>
        </w:tc>
        <w:tc>
          <w:tcPr>
            <w:tcW w:w="7120" w:type="dxa"/>
            <w:gridSpan w:val="2"/>
          </w:tcPr>
          <w:p w14:paraId="70EE3C7B" w14:textId="77777777" w:rsidR="00157AAA" w:rsidRDefault="006C1BE5">
            <w:pPr>
              <w:tabs>
                <w:tab w:val="right" w:pos="7272"/>
              </w:tabs>
              <w:spacing w:before="120"/>
            </w:pPr>
            <w:r>
              <w:t>The reference number of the Request for Bids (RFB) is:</w:t>
            </w:r>
          </w:p>
          <w:p w14:paraId="7E933CE8" w14:textId="77777777" w:rsidR="00157AAA" w:rsidRDefault="006C1BE5">
            <w:pPr>
              <w:tabs>
                <w:tab w:val="right" w:pos="7272"/>
              </w:tabs>
              <w:spacing w:before="60"/>
              <w:rPr>
                <w:b/>
              </w:rPr>
            </w:pPr>
            <w:r>
              <w:rPr>
                <w:b/>
              </w:rPr>
              <w:t>WBTTFP-8929-MK-112C-RFB</w:t>
            </w:r>
          </w:p>
          <w:p w14:paraId="719484CB" w14:textId="77777777" w:rsidR="00157AAA" w:rsidRDefault="006C1BE5">
            <w:pPr>
              <w:tabs>
                <w:tab w:val="right" w:pos="7272"/>
              </w:tabs>
              <w:spacing w:before="120"/>
              <w:rPr>
                <w:u w:val="single"/>
              </w:rPr>
            </w:pPr>
            <w:r>
              <w:t xml:space="preserve">The Employer is: </w:t>
            </w:r>
            <w:r>
              <w:rPr>
                <w:b/>
              </w:rPr>
              <w:t>Ministry of Transport and Communications</w:t>
            </w:r>
          </w:p>
          <w:p w14:paraId="69B74AF7" w14:textId="77777777" w:rsidR="00157AAA" w:rsidRDefault="006C1BE5">
            <w:pPr>
              <w:tabs>
                <w:tab w:val="right" w:pos="7272"/>
              </w:tabs>
              <w:spacing w:before="120"/>
            </w:pPr>
            <w:r>
              <w:t xml:space="preserve">The name of the RFB </w:t>
            </w:r>
            <w:proofErr w:type="gramStart"/>
            <w:r>
              <w:t>is:</w:t>
            </w:r>
            <w:proofErr w:type="gramEnd"/>
            <w:r>
              <w:t xml:space="preserve"> </w:t>
            </w:r>
            <w:r>
              <w:rPr>
                <w:b/>
                <w:spacing w:val="-2"/>
              </w:rPr>
              <w:t>Design, Supply and Installation of the New Single Window (NSW) System in North Macedonia</w:t>
            </w:r>
          </w:p>
          <w:p w14:paraId="37C3E33C" w14:textId="77777777" w:rsidR="00157AAA" w:rsidRDefault="006C1BE5">
            <w:pPr>
              <w:tabs>
                <w:tab w:val="right" w:pos="7272"/>
              </w:tabs>
              <w:spacing w:before="120"/>
            </w:pPr>
            <w:r>
              <w:t xml:space="preserve">The number and identification of </w:t>
            </w:r>
            <w:r>
              <w:rPr>
                <w:iCs/>
              </w:rPr>
              <w:t>lots (</w:t>
            </w:r>
            <w:r>
              <w:t xml:space="preserve">contracts) comprising this RFB is: </w:t>
            </w:r>
            <w:r>
              <w:rPr>
                <w:b/>
                <w:szCs w:val="24"/>
              </w:rPr>
              <w:t>Not applicable</w:t>
            </w:r>
          </w:p>
        </w:tc>
      </w:tr>
      <w:tr w:rsidR="00157AAA" w14:paraId="278AC67C" w14:textId="77777777">
        <w:trPr>
          <w:gridAfter w:val="1"/>
          <w:wAfter w:w="17" w:type="dxa"/>
          <w:jc w:val="center"/>
        </w:trPr>
        <w:tc>
          <w:tcPr>
            <w:tcW w:w="1503" w:type="dxa"/>
          </w:tcPr>
          <w:p w14:paraId="75CFA476" w14:textId="77777777" w:rsidR="00157AAA" w:rsidRDefault="006C1BE5">
            <w:pPr>
              <w:spacing w:before="120"/>
              <w:rPr>
                <w:b/>
              </w:rPr>
            </w:pPr>
            <w:r>
              <w:rPr>
                <w:b/>
              </w:rPr>
              <w:t>ITB 1.3 (a)</w:t>
            </w:r>
          </w:p>
        </w:tc>
        <w:tc>
          <w:tcPr>
            <w:tcW w:w="7120" w:type="dxa"/>
            <w:gridSpan w:val="2"/>
          </w:tcPr>
          <w:p w14:paraId="39E52A0B" w14:textId="77777777" w:rsidR="00157AAA" w:rsidRDefault="006C1BE5">
            <w:pPr>
              <w:spacing w:before="120"/>
              <w:rPr>
                <w:szCs w:val="24"/>
              </w:rPr>
            </w:pPr>
            <w:r>
              <w:rPr>
                <w:szCs w:val="24"/>
              </w:rPr>
              <w:t>Electronic Procurement</w:t>
            </w:r>
            <w:r>
              <w:rPr>
                <w:i/>
                <w:szCs w:val="24"/>
              </w:rPr>
              <w:t xml:space="preserve"> </w:t>
            </w:r>
            <w:r>
              <w:rPr>
                <w:b/>
                <w:szCs w:val="24"/>
              </w:rPr>
              <w:t>shall not</w:t>
            </w:r>
            <w:r>
              <w:rPr>
                <w:szCs w:val="24"/>
              </w:rPr>
              <w:t xml:space="preserve"> be applicable to this procurement.</w:t>
            </w:r>
          </w:p>
        </w:tc>
      </w:tr>
      <w:tr w:rsidR="00157AAA" w14:paraId="48EEFF45" w14:textId="77777777">
        <w:trPr>
          <w:gridAfter w:val="1"/>
          <w:wAfter w:w="17" w:type="dxa"/>
          <w:jc w:val="center"/>
        </w:trPr>
        <w:tc>
          <w:tcPr>
            <w:tcW w:w="1503" w:type="dxa"/>
          </w:tcPr>
          <w:p w14:paraId="11ED3866" w14:textId="77777777" w:rsidR="00157AAA" w:rsidRDefault="006C1BE5">
            <w:pPr>
              <w:spacing w:before="120"/>
              <w:rPr>
                <w:b/>
              </w:rPr>
            </w:pPr>
            <w:r>
              <w:rPr>
                <w:b/>
              </w:rPr>
              <w:t>ITB 2.1</w:t>
            </w:r>
          </w:p>
        </w:tc>
        <w:tc>
          <w:tcPr>
            <w:tcW w:w="7120" w:type="dxa"/>
            <w:gridSpan w:val="2"/>
          </w:tcPr>
          <w:p w14:paraId="5499611E" w14:textId="77777777" w:rsidR="00157AAA" w:rsidRPr="00E0604E" w:rsidRDefault="006C1BE5">
            <w:pPr>
              <w:tabs>
                <w:tab w:val="right" w:pos="7272"/>
              </w:tabs>
              <w:spacing w:before="60" w:after="60"/>
            </w:pPr>
            <w:r w:rsidRPr="00E0604E">
              <w:t xml:space="preserve">The Borrower is </w:t>
            </w:r>
            <w:r w:rsidRPr="00E0604E">
              <w:rPr>
                <w:b/>
              </w:rPr>
              <w:t xml:space="preserve">Republic of North Macedonia, </w:t>
            </w:r>
            <w:r w:rsidRPr="00E0604E">
              <w:t xml:space="preserve">implementing agency is </w:t>
            </w:r>
            <w:r w:rsidRPr="00E0604E">
              <w:rPr>
                <w:b/>
              </w:rPr>
              <w:t>Ministry of Transport and Communications</w:t>
            </w:r>
            <w:r w:rsidRPr="00E0604E">
              <w:t xml:space="preserve"> listed here as Employer.</w:t>
            </w:r>
          </w:p>
          <w:p w14:paraId="1B2FA15B" w14:textId="77777777" w:rsidR="00157AAA" w:rsidRPr="00E0604E" w:rsidRDefault="006C1BE5">
            <w:pPr>
              <w:tabs>
                <w:tab w:val="right" w:pos="7272"/>
              </w:tabs>
              <w:spacing w:before="60" w:after="60"/>
              <w:rPr>
                <w:u w:val="single"/>
              </w:rPr>
            </w:pPr>
            <w:r w:rsidRPr="00E0604E">
              <w:t xml:space="preserve">The beneficiary is </w:t>
            </w:r>
            <w:r w:rsidRPr="00E0604E">
              <w:rPr>
                <w:b/>
              </w:rPr>
              <w:t>Customs Administration.</w:t>
            </w:r>
          </w:p>
          <w:p w14:paraId="0D4DD14A" w14:textId="77777777" w:rsidR="00157AAA" w:rsidRPr="00E0604E" w:rsidRDefault="006C1BE5">
            <w:pPr>
              <w:tabs>
                <w:tab w:val="right" w:pos="7272"/>
              </w:tabs>
              <w:spacing w:before="120"/>
            </w:pPr>
            <w:r w:rsidRPr="00E0604E">
              <w:t xml:space="preserve">Loan or Financing Agreement amount: </w:t>
            </w:r>
            <w:r w:rsidRPr="00E0604E">
              <w:rPr>
                <w:b/>
              </w:rPr>
              <w:t xml:space="preserve">26,200,000.00 </w:t>
            </w:r>
            <w:proofErr w:type="gramStart"/>
            <w:r w:rsidRPr="00E0604E">
              <w:rPr>
                <w:b/>
              </w:rPr>
              <w:t>EUR</w:t>
            </w:r>
            <w:proofErr w:type="gramEnd"/>
          </w:p>
          <w:p w14:paraId="7D62C451" w14:textId="77777777" w:rsidR="00157AAA" w:rsidRPr="00E0604E" w:rsidRDefault="006C1BE5">
            <w:pPr>
              <w:tabs>
                <w:tab w:val="right" w:pos="7272"/>
              </w:tabs>
            </w:pPr>
            <w:r w:rsidRPr="00E0604E">
              <w:t>The name of the Project is:</w:t>
            </w:r>
          </w:p>
          <w:p w14:paraId="51125FB8" w14:textId="0F6C0BE5" w:rsidR="001E2B5E" w:rsidRPr="00CB1835" w:rsidRDefault="006C1BE5">
            <w:pPr>
              <w:tabs>
                <w:tab w:val="right" w:pos="7272"/>
              </w:tabs>
              <w:spacing w:before="120"/>
              <w:rPr>
                <w:b/>
              </w:rPr>
            </w:pPr>
            <w:r w:rsidRPr="00E0604E">
              <w:rPr>
                <w:b/>
              </w:rPr>
              <w:t>Western Balkans Trade and Transport Facilitation Project - P162043</w:t>
            </w:r>
          </w:p>
        </w:tc>
      </w:tr>
      <w:tr w:rsidR="00157AAA" w14:paraId="5D56CC31" w14:textId="77777777">
        <w:trPr>
          <w:gridAfter w:val="1"/>
          <w:wAfter w:w="17" w:type="dxa"/>
          <w:jc w:val="center"/>
        </w:trPr>
        <w:tc>
          <w:tcPr>
            <w:tcW w:w="1503" w:type="dxa"/>
          </w:tcPr>
          <w:p w14:paraId="13C3C359" w14:textId="77777777" w:rsidR="00157AAA" w:rsidRDefault="006C1BE5">
            <w:pPr>
              <w:spacing w:before="120"/>
              <w:rPr>
                <w:b/>
              </w:rPr>
            </w:pPr>
            <w:r>
              <w:rPr>
                <w:b/>
              </w:rPr>
              <w:t xml:space="preserve">ITB 4.1 </w:t>
            </w:r>
          </w:p>
        </w:tc>
        <w:tc>
          <w:tcPr>
            <w:tcW w:w="7120" w:type="dxa"/>
            <w:gridSpan w:val="2"/>
          </w:tcPr>
          <w:p w14:paraId="5829F988" w14:textId="77777777" w:rsidR="00157AAA" w:rsidRDefault="006C1BE5">
            <w:pPr>
              <w:tabs>
                <w:tab w:val="right" w:pos="7848"/>
              </w:tabs>
              <w:spacing w:before="120"/>
            </w:pPr>
            <w:r>
              <w:rPr>
                <w:iCs/>
              </w:rPr>
              <w:t xml:space="preserve">Maximum number of members in the JV shall </w:t>
            </w:r>
            <w:proofErr w:type="gramStart"/>
            <w:r>
              <w:rPr>
                <w:iCs/>
              </w:rPr>
              <w:t>be:</w:t>
            </w:r>
            <w:proofErr w:type="gramEnd"/>
            <w:r>
              <w:rPr>
                <w:iCs/>
              </w:rPr>
              <w:t xml:space="preserve"> </w:t>
            </w:r>
            <w:r>
              <w:rPr>
                <w:b/>
                <w:iCs/>
              </w:rPr>
              <w:t>not limited</w:t>
            </w:r>
          </w:p>
        </w:tc>
      </w:tr>
      <w:tr w:rsidR="00157AAA" w14:paraId="68ADC076" w14:textId="77777777">
        <w:trPr>
          <w:gridAfter w:val="2"/>
          <w:wAfter w:w="31" w:type="dxa"/>
          <w:jc w:val="center"/>
        </w:trPr>
        <w:tc>
          <w:tcPr>
            <w:tcW w:w="1503" w:type="dxa"/>
          </w:tcPr>
          <w:p w14:paraId="65E46251" w14:textId="77777777" w:rsidR="00157AAA" w:rsidRDefault="006C1BE5">
            <w:pPr>
              <w:pStyle w:val="Headfid1"/>
              <w:rPr>
                <w:iCs/>
                <w:lang w:val="en-US"/>
              </w:rPr>
            </w:pPr>
            <w:r>
              <w:rPr>
                <w:iCs/>
                <w:lang w:val="en-US"/>
              </w:rPr>
              <w:t>ITB 4.5</w:t>
            </w:r>
          </w:p>
        </w:tc>
        <w:tc>
          <w:tcPr>
            <w:tcW w:w="7106" w:type="dxa"/>
          </w:tcPr>
          <w:p w14:paraId="059CBA8F" w14:textId="77777777" w:rsidR="00157AAA" w:rsidRDefault="006C1BE5">
            <w:pPr>
              <w:pStyle w:val="TOAHeading"/>
              <w:tabs>
                <w:tab w:val="clear" w:pos="9000"/>
                <w:tab w:val="clear" w:pos="9360"/>
                <w:tab w:val="right" w:pos="7848"/>
              </w:tabs>
              <w:spacing w:before="120" w:after="120"/>
              <w:rPr>
                <w:iCs/>
              </w:rPr>
            </w:pPr>
            <w:r>
              <w:rPr>
                <w:iCs/>
              </w:rPr>
              <w:t xml:space="preserve">A list of debarred firms and individuals is available on the Bank’s external website: </w:t>
            </w:r>
            <w:hyperlink r:id="rId29" w:tooltip="http://www.worldbank.org/debarr." w:history="1">
              <w:r>
                <w:rPr>
                  <w:rStyle w:val="Hyperlink"/>
                  <w:iCs/>
                </w:rPr>
                <w:t>http://www.worldbank.org/debarr.</w:t>
              </w:r>
            </w:hyperlink>
          </w:p>
        </w:tc>
      </w:tr>
      <w:tr w:rsidR="00157AAA" w14:paraId="36DCDF6F" w14:textId="77777777">
        <w:trPr>
          <w:gridAfter w:val="2"/>
          <w:wAfter w:w="31" w:type="dxa"/>
          <w:jc w:val="center"/>
        </w:trPr>
        <w:tc>
          <w:tcPr>
            <w:tcW w:w="8609" w:type="dxa"/>
            <w:gridSpan w:val="2"/>
          </w:tcPr>
          <w:p w14:paraId="6CBD57C4" w14:textId="77777777" w:rsidR="00157AAA" w:rsidRDefault="006C1BE5">
            <w:pPr>
              <w:pStyle w:val="TOAHeading"/>
              <w:tabs>
                <w:tab w:val="clear" w:pos="9000"/>
                <w:tab w:val="clear" w:pos="9360"/>
                <w:tab w:val="right" w:pos="7848"/>
              </w:tabs>
              <w:spacing w:before="120" w:after="120"/>
              <w:jc w:val="center"/>
              <w:rPr>
                <w:iCs/>
              </w:rPr>
            </w:pPr>
            <w:r>
              <w:rPr>
                <w:b/>
                <w:sz w:val="28"/>
              </w:rPr>
              <w:t>B.  Bidding Document</w:t>
            </w:r>
          </w:p>
        </w:tc>
      </w:tr>
      <w:tr w:rsidR="00157AAA" w14:paraId="772EAB0A" w14:textId="77777777">
        <w:trPr>
          <w:jc w:val="center"/>
        </w:trPr>
        <w:tc>
          <w:tcPr>
            <w:tcW w:w="1503" w:type="dxa"/>
          </w:tcPr>
          <w:p w14:paraId="52746816" w14:textId="77777777" w:rsidR="00157AAA" w:rsidRDefault="006C1BE5">
            <w:pPr>
              <w:tabs>
                <w:tab w:val="right" w:pos="7254"/>
              </w:tabs>
              <w:spacing w:before="120"/>
              <w:rPr>
                <w:b/>
              </w:rPr>
            </w:pPr>
            <w:r>
              <w:rPr>
                <w:b/>
              </w:rPr>
              <w:t>ITB 7.1</w:t>
            </w:r>
          </w:p>
        </w:tc>
        <w:tc>
          <w:tcPr>
            <w:tcW w:w="7137" w:type="dxa"/>
            <w:gridSpan w:val="3"/>
          </w:tcPr>
          <w:p w14:paraId="56C9E7C3" w14:textId="77777777" w:rsidR="00157AAA" w:rsidRDefault="006C1BE5">
            <w:pPr>
              <w:tabs>
                <w:tab w:val="right" w:pos="7254"/>
              </w:tabs>
              <w:spacing w:before="120"/>
            </w:pPr>
            <w:r>
              <w:t xml:space="preserve">For </w:t>
            </w:r>
            <w:r>
              <w:rPr>
                <w:b/>
                <w:bCs/>
                <w:u w:val="single"/>
              </w:rPr>
              <w:t>C</w:t>
            </w:r>
            <w:r>
              <w:rPr>
                <w:b/>
                <w:u w:val="single"/>
              </w:rPr>
              <w:t>larification of Bid purposes</w:t>
            </w:r>
            <w:r>
              <w:t xml:space="preserve"> only, the Purchaser’s address is:</w:t>
            </w:r>
          </w:p>
          <w:p w14:paraId="1ACD0087" w14:textId="77777777" w:rsidR="00157AAA" w:rsidRDefault="006C1BE5">
            <w:pPr>
              <w:tabs>
                <w:tab w:val="right" w:pos="7254"/>
              </w:tabs>
              <w:spacing w:before="60" w:after="60"/>
            </w:pPr>
            <w:r>
              <w:t>Ministry of Transport and Communications</w:t>
            </w:r>
          </w:p>
          <w:p w14:paraId="459A08F8" w14:textId="77777777" w:rsidR="00157AAA" w:rsidRDefault="006C1BE5">
            <w:pPr>
              <w:tabs>
                <w:tab w:val="right" w:pos="4860"/>
              </w:tabs>
              <w:spacing w:before="80" w:after="80"/>
              <w:rPr>
                <w:b/>
                <w:color w:val="000000" w:themeColor="text1"/>
              </w:rPr>
            </w:pPr>
            <w:r>
              <w:rPr>
                <w:b/>
              </w:rPr>
              <w:t>Project Implementation Unit</w:t>
            </w:r>
          </w:p>
          <w:p w14:paraId="4156E856" w14:textId="77777777" w:rsidR="00157AAA" w:rsidRDefault="006C1BE5">
            <w:pPr>
              <w:tabs>
                <w:tab w:val="right" w:pos="7254"/>
              </w:tabs>
              <w:spacing w:before="60" w:after="60"/>
              <w:rPr>
                <w:i/>
                <w:strike/>
              </w:rPr>
            </w:pPr>
            <w:r>
              <w:t>For the attention: Mr. Slavko Micevski and/or Ms. Vlasta Ruzinovska</w:t>
            </w:r>
          </w:p>
          <w:p w14:paraId="3E1C07B4" w14:textId="77777777" w:rsidR="00157AAA" w:rsidRDefault="006C1BE5">
            <w:pPr>
              <w:tabs>
                <w:tab w:val="right" w:pos="7254"/>
              </w:tabs>
              <w:spacing w:before="60" w:after="60"/>
            </w:pPr>
            <w:r>
              <w:t xml:space="preserve">Title/position: procurement officers </w:t>
            </w:r>
          </w:p>
          <w:p w14:paraId="546063C6" w14:textId="77777777" w:rsidR="00157AAA" w:rsidRDefault="006C1BE5">
            <w:pPr>
              <w:tabs>
                <w:tab w:val="right" w:pos="7254"/>
              </w:tabs>
              <w:spacing w:before="60" w:after="60"/>
            </w:pPr>
            <w:r>
              <w:lastRenderedPageBreak/>
              <w:t>Address: Street “</w:t>
            </w:r>
            <w:proofErr w:type="spellStart"/>
            <w:r>
              <w:t>Crvena</w:t>
            </w:r>
            <w:proofErr w:type="spellEnd"/>
            <w:r>
              <w:t xml:space="preserve"> Skopska </w:t>
            </w:r>
            <w:proofErr w:type="spellStart"/>
            <w:r>
              <w:t>Opstina</w:t>
            </w:r>
            <w:proofErr w:type="spellEnd"/>
            <w:r>
              <w:t>”, No. 4,</w:t>
            </w:r>
          </w:p>
          <w:p w14:paraId="10E0858A" w14:textId="77777777" w:rsidR="00157AAA" w:rsidRDefault="006C1BE5">
            <w:pPr>
              <w:tabs>
                <w:tab w:val="right" w:pos="7254"/>
              </w:tabs>
              <w:spacing w:before="60" w:after="60"/>
              <w:rPr>
                <w:strike/>
              </w:rPr>
            </w:pPr>
            <w:r>
              <w:t>City: Skopje, ZIP Code: 1000</w:t>
            </w:r>
          </w:p>
          <w:p w14:paraId="106FB41C" w14:textId="77777777" w:rsidR="00157AAA" w:rsidRDefault="006C1BE5">
            <w:pPr>
              <w:tabs>
                <w:tab w:val="right" w:pos="7254"/>
              </w:tabs>
              <w:spacing w:before="60" w:after="60"/>
              <w:rPr>
                <w:i/>
              </w:rPr>
            </w:pPr>
            <w:r>
              <w:t>Country: Republic of North Macedonia</w:t>
            </w:r>
          </w:p>
          <w:p w14:paraId="285D59C2" w14:textId="77777777" w:rsidR="00157AAA" w:rsidRDefault="006C1BE5">
            <w:pPr>
              <w:tabs>
                <w:tab w:val="right" w:pos="7254"/>
              </w:tabs>
              <w:spacing w:before="60" w:after="60"/>
            </w:pPr>
            <w:r>
              <w:t>Telephone: + 389 (0)2 3145 531; +389 (0)75 494977</w:t>
            </w:r>
          </w:p>
          <w:p w14:paraId="20493B2C" w14:textId="77777777" w:rsidR="00157AAA" w:rsidRDefault="006C1BE5">
            <w:pPr>
              <w:tabs>
                <w:tab w:val="right" w:pos="4860"/>
              </w:tabs>
              <w:spacing w:before="80" w:after="80"/>
              <w:rPr>
                <w:b/>
              </w:rPr>
            </w:pPr>
            <w:r>
              <w:rPr>
                <w:b/>
              </w:rPr>
              <w:t>Electronic mail addresses (obligatory)</w:t>
            </w:r>
            <w:r>
              <w:t>:</w:t>
            </w:r>
            <w:r>
              <w:rPr>
                <w:b/>
              </w:rPr>
              <w:t xml:space="preserve"> </w:t>
            </w:r>
          </w:p>
          <w:p w14:paraId="4BA8AA51" w14:textId="20A8E994" w:rsidR="00ED21E1" w:rsidRPr="00FA1BEC" w:rsidRDefault="00000000" w:rsidP="00FA1BEC">
            <w:pPr>
              <w:spacing w:after="0"/>
              <w:rPr>
                <w:b/>
                <w:bCs/>
                <w:color w:val="26282A"/>
              </w:rPr>
            </w:pPr>
            <w:hyperlink r:id="rId30" w:history="1">
              <w:r w:rsidR="00ED21E1" w:rsidRPr="00FA1BEC">
                <w:rPr>
                  <w:rStyle w:val="Hyperlink"/>
                  <w:b/>
                  <w:bCs/>
                </w:rPr>
                <w:t>slavko.micevski@piu.mtc.gov.mk</w:t>
              </w:r>
            </w:hyperlink>
            <w:r w:rsidR="00ED21E1" w:rsidRPr="00FA1BEC">
              <w:rPr>
                <w:b/>
                <w:bCs/>
                <w:color w:val="26282A"/>
              </w:rPr>
              <w:t>;</w:t>
            </w:r>
          </w:p>
          <w:p w14:paraId="209AC530" w14:textId="39F33E94" w:rsidR="00ED21E1" w:rsidRPr="00FA1BEC" w:rsidRDefault="00000000" w:rsidP="00FA1BEC">
            <w:pPr>
              <w:spacing w:after="0"/>
              <w:rPr>
                <w:b/>
                <w:bCs/>
              </w:rPr>
            </w:pPr>
            <w:hyperlink r:id="rId31" w:history="1">
              <w:r w:rsidR="00ED21E1" w:rsidRPr="00FA1BEC">
                <w:rPr>
                  <w:rStyle w:val="Hyperlink"/>
                  <w:rFonts w:eastAsiaTheme="majorEastAsia"/>
                  <w:b/>
                  <w:bCs/>
                </w:rPr>
                <w:t>harita.pandovska@piu.mtc.gov.mk</w:t>
              </w:r>
            </w:hyperlink>
            <w:r w:rsidR="00ED21E1" w:rsidRPr="00FA1BEC">
              <w:rPr>
                <w:b/>
                <w:bCs/>
                <w:color w:val="0072C6"/>
              </w:rPr>
              <w:t xml:space="preserve">; </w:t>
            </w:r>
          </w:p>
          <w:p w14:paraId="6C8B7B28" w14:textId="6193C703" w:rsidR="00ED21E1" w:rsidRPr="00FA1BEC" w:rsidRDefault="00000000" w:rsidP="00FA1BEC">
            <w:pPr>
              <w:spacing w:after="0"/>
              <w:rPr>
                <w:b/>
                <w:bCs/>
              </w:rPr>
            </w:pPr>
            <w:hyperlink r:id="rId32" w:history="1">
              <w:r w:rsidR="00ED21E1" w:rsidRPr="00FA1BEC">
                <w:rPr>
                  <w:rStyle w:val="Hyperlink"/>
                  <w:rFonts w:eastAsiaTheme="majorEastAsia"/>
                  <w:b/>
                  <w:bCs/>
                </w:rPr>
                <w:t>vlasta.ruzinovska@piu.mtc.gov.mk</w:t>
              </w:r>
            </w:hyperlink>
            <w:r w:rsidR="00ED21E1" w:rsidRPr="00FA1BEC">
              <w:rPr>
                <w:b/>
                <w:bCs/>
              </w:rPr>
              <w:t>;</w:t>
            </w:r>
          </w:p>
          <w:p w14:paraId="11713B37" w14:textId="0E95E294" w:rsidR="00FA1BEC" w:rsidRPr="00FA1BEC" w:rsidRDefault="00000000" w:rsidP="00FA1BEC">
            <w:pPr>
              <w:spacing w:after="0"/>
              <w:rPr>
                <w:b/>
                <w:bCs/>
              </w:rPr>
            </w:pPr>
            <w:hyperlink r:id="rId33" w:history="1">
              <w:r w:rsidR="00FA1BEC" w:rsidRPr="00FA1BEC">
                <w:rPr>
                  <w:rStyle w:val="Hyperlink"/>
                  <w:rFonts w:eastAsia="Arial"/>
                  <w:b/>
                  <w:bCs/>
                </w:rPr>
                <w:t>natasha.stojanovska@piu.mtc.gov.mk</w:t>
              </w:r>
            </w:hyperlink>
            <w:r w:rsidR="00FA1BEC" w:rsidRPr="00FA1BEC">
              <w:rPr>
                <w:b/>
                <w:bCs/>
              </w:rPr>
              <w:t xml:space="preserve"> </w:t>
            </w:r>
          </w:p>
          <w:p w14:paraId="77C1475C" w14:textId="77777777" w:rsidR="00ED21E1" w:rsidRDefault="00000000" w:rsidP="00FA1BEC">
            <w:pPr>
              <w:tabs>
                <w:tab w:val="right" w:pos="4860"/>
              </w:tabs>
              <w:spacing w:after="0"/>
              <w:rPr>
                <w:b/>
                <w:bCs/>
              </w:rPr>
            </w:pPr>
            <w:hyperlink r:id="rId34" w:history="1">
              <w:r w:rsidR="00ED21E1" w:rsidRPr="00FA1BEC">
                <w:rPr>
                  <w:rStyle w:val="Hyperlink"/>
                  <w:b/>
                  <w:bCs/>
                </w:rPr>
                <w:t>procurement.piu.mtc@gmail.com</w:t>
              </w:r>
            </w:hyperlink>
          </w:p>
          <w:p w14:paraId="52717AAA" w14:textId="3838D7F3" w:rsidR="00157AAA" w:rsidRDefault="006C1BE5" w:rsidP="00ED21E1">
            <w:pPr>
              <w:tabs>
                <w:tab w:val="right" w:pos="4860"/>
              </w:tabs>
              <w:spacing w:before="120" w:after="80"/>
              <w:rPr>
                <w:b/>
              </w:rPr>
            </w:pPr>
            <w:r>
              <w:rPr>
                <w:b/>
              </w:rPr>
              <w:t xml:space="preserve">Note to Bidders: </w:t>
            </w:r>
          </w:p>
          <w:p w14:paraId="667BAC7D" w14:textId="77777777" w:rsidR="00157AAA" w:rsidRDefault="006C1BE5">
            <w:pPr>
              <w:tabs>
                <w:tab w:val="right" w:pos="4860"/>
              </w:tabs>
              <w:spacing w:before="80" w:after="80"/>
              <w:rPr>
                <w:b/>
              </w:rPr>
            </w:pPr>
            <w:r>
              <w:rPr>
                <w:b/>
              </w:rPr>
              <w:t xml:space="preserve">The procedure for submission of requests for clarifications by the bidders is strictly electronically through e-mail to the four (4) electronic mail addresses stated above. </w:t>
            </w:r>
            <w:proofErr w:type="gramStart"/>
            <w:r>
              <w:rPr>
                <w:b/>
              </w:rPr>
              <w:t>Other</w:t>
            </w:r>
            <w:proofErr w:type="gramEnd"/>
            <w:r>
              <w:rPr>
                <w:b/>
              </w:rPr>
              <w:t xml:space="preserve"> way of submission of requests for clarifications is not acceptable.</w:t>
            </w:r>
          </w:p>
          <w:p w14:paraId="5CB8C06F" w14:textId="77777777" w:rsidR="005A2EEB" w:rsidRDefault="006C1BE5">
            <w:pPr>
              <w:tabs>
                <w:tab w:val="right" w:pos="7254"/>
              </w:tabs>
              <w:spacing w:before="60" w:after="60"/>
              <w:rPr>
                <w:rStyle w:val="Hyperlink"/>
                <w:color w:val="auto"/>
                <w:spacing w:val="-2"/>
              </w:rPr>
            </w:pPr>
            <w:r>
              <w:rPr>
                <w:b/>
              </w:rPr>
              <w:t xml:space="preserve">All interested Bidders must submit an application electronically through e-mail to the four (4) electronic mail addresses stated above with contact information for their companies including contact e-mail address immediately after downloading of the Bidding Document from the listed websites to announce that they intend to participate in the bidding process </w:t>
            </w:r>
            <w:r w:rsidR="005A2EEB" w:rsidRPr="00984F71">
              <w:rPr>
                <w:spacing w:val="-2"/>
              </w:rPr>
              <w:t xml:space="preserve">and to obtain the </w:t>
            </w:r>
            <w:r w:rsidR="005A2EEB" w:rsidRPr="00984F71">
              <w:rPr>
                <w:b/>
                <w:spacing w:val="-2"/>
              </w:rPr>
              <w:t>Annex 1</w:t>
            </w:r>
            <w:r w:rsidR="005A2EEB" w:rsidRPr="00984F71">
              <w:rPr>
                <w:spacing w:val="-2"/>
                <w:lang w:val="mk-MK"/>
              </w:rPr>
              <w:t xml:space="preserve"> </w:t>
            </w:r>
            <w:r w:rsidR="005A2EEB" w:rsidRPr="00984F71">
              <w:rPr>
                <w:spacing w:val="-2"/>
              </w:rPr>
              <w:t xml:space="preserve">- New Single Window (NSW) </w:t>
            </w:r>
            <w:r w:rsidR="005A2EEB" w:rsidRPr="00984F71">
              <w:rPr>
                <w:b/>
                <w:spacing w:val="-2"/>
              </w:rPr>
              <w:t>Blueprint</w:t>
            </w:r>
            <w:r w:rsidR="005A2EEB" w:rsidRPr="00984F71">
              <w:rPr>
                <w:spacing w:val="-2"/>
              </w:rPr>
              <w:t>, as part of the Bidding Document.</w:t>
            </w:r>
            <w:r w:rsidR="005A2EEB" w:rsidRPr="00984F71">
              <w:rPr>
                <w:b/>
                <w:spacing w:val="-2"/>
              </w:rPr>
              <w:t xml:space="preserve"> </w:t>
            </w:r>
            <w:r w:rsidR="005A2EEB" w:rsidRPr="00984F71">
              <w:rPr>
                <w:spacing w:val="-2"/>
              </w:rPr>
              <w:t xml:space="preserve">Due to the large size of the Annex 1, it will be delivered to Bidders that have submitted applications through WeTransfer: </w:t>
            </w:r>
            <w:hyperlink r:id="rId35" w:tooltip="https://wetransfer.com/" w:history="1">
              <w:r w:rsidR="005A2EEB" w:rsidRPr="00984F71">
                <w:rPr>
                  <w:rStyle w:val="Hyperlink"/>
                  <w:color w:val="auto"/>
                  <w:spacing w:val="-2"/>
                </w:rPr>
                <w:t>https://wetransfer.com/</w:t>
              </w:r>
            </w:hyperlink>
          </w:p>
          <w:p w14:paraId="41A094F2" w14:textId="31A331C2" w:rsidR="00157AAA" w:rsidRDefault="006C1BE5">
            <w:pPr>
              <w:tabs>
                <w:tab w:val="right" w:pos="7254"/>
              </w:tabs>
              <w:spacing w:before="60" w:after="60"/>
              <w:rPr>
                <w:b/>
              </w:rPr>
            </w:pPr>
            <w:r>
              <w:t xml:space="preserve">Requests for clarification should be received by the Purchaser no later than: </w:t>
            </w:r>
            <w:r>
              <w:rPr>
                <w:b/>
              </w:rPr>
              <w:t>14 (fourteen) days prior to the bid opening date.</w:t>
            </w:r>
          </w:p>
          <w:p w14:paraId="4454758E" w14:textId="77777777" w:rsidR="00157AAA" w:rsidRDefault="006C1BE5">
            <w:pPr>
              <w:tabs>
                <w:tab w:val="right" w:pos="7254"/>
              </w:tabs>
              <w:spacing w:before="120"/>
              <w:jc w:val="left"/>
            </w:pPr>
            <w:r>
              <w:rPr>
                <w:bCs/>
              </w:rPr>
              <w:t xml:space="preserve">Web pages: </w:t>
            </w:r>
            <w:hyperlink r:id="rId36" w:tooltip="https://www.e-nabavki.gov.mk" w:history="1">
              <w:r>
                <w:rPr>
                  <w:rStyle w:val="Hyperlink"/>
                  <w:b/>
                  <w:spacing w:val="-2"/>
                </w:rPr>
                <w:t>https://www.e-nabavki.gov.mk</w:t>
              </w:r>
            </w:hyperlink>
            <w:r>
              <w:rPr>
                <w:rStyle w:val="Hyperlink"/>
                <w:b/>
                <w:spacing w:val="-2"/>
              </w:rPr>
              <w:t>;</w:t>
            </w:r>
            <w:r w:rsidRPr="005A2EEB">
              <w:rPr>
                <w:rStyle w:val="Hyperlink"/>
                <w:b/>
                <w:spacing w:val="-2"/>
                <w:u w:val="none"/>
              </w:rPr>
              <w:t xml:space="preserve"> and</w:t>
            </w:r>
            <w:r>
              <w:rPr>
                <w:b/>
                <w:spacing w:val="-2"/>
              </w:rPr>
              <w:t xml:space="preserve"> </w:t>
            </w:r>
            <w:hyperlink r:id="rId37" w:tooltip="http://mtc.gov.mk/javniOglasi" w:history="1">
              <w:r>
                <w:rPr>
                  <w:rStyle w:val="Hyperlink"/>
                  <w:b/>
                  <w:spacing w:val="-2"/>
                </w:rPr>
                <w:t>http://mtc.gov.mk/javniOglasi</w:t>
              </w:r>
            </w:hyperlink>
            <w:r>
              <w:rPr>
                <w:b/>
                <w:spacing w:val="-2"/>
              </w:rPr>
              <w:t>;</w:t>
            </w:r>
          </w:p>
        </w:tc>
      </w:tr>
      <w:tr w:rsidR="00157AAA" w14:paraId="5567EE03" w14:textId="77777777">
        <w:trPr>
          <w:jc w:val="center"/>
        </w:trPr>
        <w:tc>
          <w:tcPr>
            <w:tcW w:w="1503" w:type="dxa"/>
          </w:tcPr>
          <w:p w14:paraId="54649265" w14:textId="77777777" w:rsidR="00157AAA" w:rsidRDefault="006C1BE5">
            <w:pPr>
              <w:tabs>
                <w:tab w:val="right" w:pos="7254"/>
              </w:tabs>
              <w:spacing w:before="120"/>
              <w:rPr>
                <w:b/>
              </w:rPr>
            </w:pPr>
            <w:r>
              <w:rPr>
                <w:b/>
              </w:rPr>
              <w:lastRenderedPageBreak/>
              <w:t>ITB 7.4</w:t>
            </w:r>
          </w:p>
        </w:tc>
        <w:tc>
          <w:tcPr>
            <w:tcW w:w="7137" w:type="dxa"/>
            <w:gridSpan w:val="3"/>
          </w:tcPr>
          <w:p w14:paraId="31511EF5" w14:textId="77777777" w:rsidR="00157AAA" w:rsidRDefault="006C1BE5">
            <w:pPr>
              <w:pStyle w:val="i"/>
              <w:tabs>
                <w:tab w:val="right" w:pos="7254"/>
              </w:tabs>
              <w:spacing w:before="120" w:after="120"/>
              <w:rPr>
                <w:rFonts w:ascii="Times New Roman" w:hAnsi="Times New Roman"/>
              </w:rPr>
            </w:pPr>
            <w:r>
              <w:rPr>
                <w:rFonts w:ascii="Times New Roman" w:hAnsi="Times New Roman"/>
              </w:rPr>
              <w:t xml:space="preserve">A Pre-Bid meeting </w:t>
            </w:r>
            <w:r>
              <w:rPr>
                <w:rFonts w:ascii="Times New Roman" w:hAnsi="Times New Roman"/>
                <w:b/>
              </w:rPr>
              <w:t xml:space="preserve">shall not be </w:t>
            </w:r>
            <w:r>
              <w:rPr>
                <w:rFonts w:ascii="Times New Roman" w:hAnsi="Times New Roman"/>
              </w:rPr>
              <w:t>organized.</w:t>
            </w:r>
          </w:p>
          <w:p w14:paraId="101D76EC" w14:textId="77777777" w:rsidR="00157AAA" w:rsidRDefault="006C1BE5">
            <w:pPr>
              <w:pStyle w:val="i"/>
              <w:tabs>
                <w:tab w:val="right" w:pos="7254"/>
              </w:tabs>
              <w:spacing w:before="120" w:after="120"/>
              <w:rPr>
                <w:rFonts w:ascii="Times New Roman" w:hAnsi="Times New Roman"/>
              </w:rPr>
            </w:pPr>
            <w:r>
              <w:rPr>
                <w:rFonts w:ascii="Times New Roman" w:hAnsi="Times New Roman"/>
              </w:rPr>
              <w:t xml:space="preserve">A site visit conducted by the Employer </w:t>
            </w:r>
            <w:r>
              <w:rPr>
                <w:rFonts w:ascii="Times New Roman" w:hAnsi="Times New Roman"/>
                <w:b/>
              </w:rPr>
              <w:t xml:space="preserve">shall not be </w:t>
            </w:r>
            <w:r>
              <w:rPr>
                <w:rFonts w:ascii="Times New Roman" w:hAnsi="Times New Roman"/>
              </w:rPr>
              <w:t>organized.</w:t>
            </w:r>
          </w:p>
        </w:tc>
      </w:tr>
      <w:tr w:rsidR="00157AAA" w14:paraId="42ED9E06" w14:textId="77777777">
        <w:trPr>
          <w:jc w:val="center"/>
        </w:trPr>
        <w:tc>
          <w:tcPr>
            <w:tcW w:w="8640" w:type="dxa"/>
            <w:gridSpan w:val="4"/>
          </w:tcPr>
          <w:p w14:paraId="0F22BE5D" w14:textId="77777777" w:rsidR="00157AAA" w:rsidRDefault="006C1BE5">
            <w:pPr>
              <w:tabs>
                <w:tab w:val="right" w:pos="7254"/>
              </w:tabs>
              <w:spacing w:before="120"/>
              <w:jc w:val="center"/>
            </w:pPr>
            <w:r>
              <w:rPr>
                <w:b/>
                <w:sz w:val="28"/>
              </w:rPr>
              <w:t>C.  Preparation of Bids</w:t>
            </w:r>
          </w:p>
        </w:tc>
      </w:tr>
      <w:tr w:rsidR="00157AAA" w14:paraId="7E4DA810" w14:textId="77777777">
        <w:trPr>
          <w:jc w:val="center"/>
        </w:trPr>
        <w:tc>
          <w:tcPr>
            <w:tcW w:w="1503" w:type="dxa"/>
          </w:tcPr>
          <w:p w14:paraId="30D41469" w14:textId="77777777" w:rsidR="00157AAA" w:rsidRDefault="006C1BE5">
            <w:pPr>
              <w:tabs>
                <w:tab w:val="right" w:pos="7434"/>
              </w:tabs>
              <w:spacing w:before="120"/>
              <w:rPr>
                <w:b/>
              </w:rPr>
            </w:pPr>
            <w:r>
              <w:rPr>
                <w:b/>
              </w:rPr>
              <w:t>ITB 10.1</w:t>
            </w:r>
          </w:p>
        </w:tc>
        <w:tc>
          <w:tcPr>
            <w:tcW w:w="7137" w:type="dxa"/>
            <w:gridSpan w:val="3"/>
          </w:tcPr>
          <w:p w14:paraId="531FDDE1" w14:textId="77777777" w:rsidR="00157AAA" w:rsidRDefault="006C1BE5">
            <w:pPr>
              <w:tabs>
                <w:tab w:val="right" w:pos="7254"/>
              </w:tabs>
              <w:spacing w:before="120"/>
              <w:rPr>
                <w:i/>
                <w:iCs/>
              </w:rPr>
            </w:pPr>
            <w:r>
              <w:t xml:space="preserve">The language of the Bid is: </w:t>
            </w:r>
            <w:r>
              <w:rPr>
                <w:b/>
                <w:iCs/>
              </w:rPr>
              <w:t>English</w:t>
            </w:r>
            <w:r>
              <w:rPr>
                <w:iCs/>
              </w:rPr>
              <w:t xml:space="preserve">. </w:t>
            </w:r>
          </w:p>
          <w:p w14:paraId="088FE37F" w14:textId="77777777" w:rsidR="00157AAA" w:rsidRDefault="006C1BE5">
            <w:pPr>
              <w:spacing w:before="120"/>
              <w:rPr>
                <w:iCs/>
                <w:spacing w:val="-4"/>
              </w:rPr>
            </w:pPr>
            <w:r>
              <w:rPr>
                <w:iCs/>
                <w:spacing w:val="-4"/>
              </w:rPr>
              <w:t xml:space="preserve">All correspondence exchange shall be in </w:t>
            </w:r>
            <w:r>
              <w:rPr>
                <w:b/>
                <w:iCs/>
              </w:rPr>
              <w:t>English</w:t>
            </w:r>
            <w:r>
              <w:rPr>
                <w:iCs/>
                <w:spacing w:val="-4"/>
              </w:rPr>
              <w:t xml:space="preserve"> language.</w:t>
            </w:r>
          </w:p>
          <w:p w14:paraId="1317420D" w14:textId="77777777" w:rsidR="00157AAA" w:rsidRDefault="006C1BE5">
            <w:pPr>
              <w:tabs>
                <w:tab w:val="right" w:pos="7254"/>
              </w:tabs>
              <w:spacing w:before="120"/>
              <w:rPr>
                <w:u w:val="single"/>
              </w:rPr>
            </w:pPr>
            <w:r>
              <w:rPr>
                <w:iCs/>
                <w:spacing w:val="-4"/>
              </w:rPr>
              <w:t xml:space="preserve">Language for translation of supporting documents and printed literature is </w:t>
            </w:r>
            <w:r>
              <w:rPr>
                <w:b/>
                <w:iCs/>
                <w:spacing w:val="-4"/>
              </w:rPr>
              <w:t>English language</w:t>
            </w:r>
            <w:r>
              <w:rPr>
                <w:i/>
                <w:iCs/>
                <w:color w:val="000000"/>
              </w:rPr>
              <w:t>.</w:t>
            </w:r>
          </w:p>
        </w:tc>
      </w:tr>
      <w:tr w:rsidR="00157AAA" w14:paraId="7433C4CF" w14:textId="77777777">
        <w:trPr>
          <w:jc w:val="center"/>
        </w:trPr>
        <w:tc>
          <w:tcPr>
            <w:tcW w:w="1503" w:type="dxa"/>
          </w:tcPr>
          <w:p w14:paraId="043568A0" w14:textId="77777777" w:rsidR="00157AAA" w:rsidRDefault="006C1BE5">
            <w:pPr>
              <w:tabs>
                <w:tab w:val="right" w:pos="7434"/>
              </w:tabs>
              <w:spacing w:before="120"/>
              <w:rPr>
                <w:b/>
              </w:rPr>
            </w:pPr>
            <w:r>
              <w:rPr>
                <w:b/>
              </w:rPr>
              <w:t>ITB 11.1 (k)</w:t>
            </w:r>
          </w:p>
        </w:tc>
        <w:tc>
          <w:tcPr>
            <w:tcW w:w="7137" w:type="dxa"/>
            <w:gridSpan w:val="3"/>
          </w:tcPr>
          <w:p w14:paraId="0FFB6A84" w14:textId="77777777" w:rsidR="00157AAA" w:rsidRDefault="006C1BE5">
            <w:pPr>
              <w:tabs>
                <w:tab w:val="right" w:pos="7254"/>
              </w:tabs>
              <w:spacing w:before="120"/>
            </w:pPr>
            <w:r>
              <w:t>The Bidder shall submit with its Bid the following additional documents:</w:t>
            </w:r>
          </w:p>
          <w:p w14:paraId="07475CF9" w14:textId="1176F89C" w:rsidR="00157AAA" w:rsidRDefault="006C1BE5" w:rsidP="00F60631">
            <w:pPr>
              <w:tabs>
                <w:tab w:val="right" w:pos="7254"/>
              </w:tabs>
              <w:spacing w:before="120"/>
              <w:rPr>
                <w:b/>
                <w:color w:val="000000" w:themeColor="text1"/>
              </w:rPr>
            </w:pPr>
            <w:r>
              <w:lastRenderedPageBreak/>
              <w:t xml:space="preserve">The additional documents shall include the </w:t>
            </w:r>
            <w:proofErr w:type="spellStart"/>
            <w:proofErr w:type="gramStart"/>
            <w:r>
              <w:t>following:</w:t>
            </w:r>
            <w:r>
              <w:rPr>
                <w:color w:val="000000" w:themeColor="text1"/>
              </w:rPr>
              <w:t>Code</w:t>
            </w:r>
            <w:proofErr w:type="spellEnd"/>
            <w:proofErr w:type="gramEnd"/>
            <w:r>
              <w:rPr>
                <w:color w:val="000000" w:themeColor="text1"/>
              </w:rPr>
              <w:t xml:space="preserve"> of Conduct for Supplier’s Personnel (ES) </w:t>
            </w:r>
          </w:p>
          <w:p w14:paraId="57C67999" w14:textId="3FC39168" w:rsidR="00157AAA" w:rsidRPr="00027431" w:rsidRDefault="006C1BE5" w:rsidP="00984F71">
            <w:pPr>
              <w:spacing w:before="240"/>
              <w:ind w:left="175"/>
            </w:pPr>
            <w:bookmarkStart w:id="460" w:name="_Hlk534206068"/>
            <w:r>
              <w:rPr>
                <w:color w:val="000000" w:themeColor="text1"/>
              </w:rPr>
              <w:t xml:space="preserve">The Bidder shall submit its Code of Conduct that will apply to the </w:t>
            </w:r>
            <w:r>
              <w:rPr>
                <w:bCs/>
              </w:rPr>
              <w:t xml:space="preserve">Supplier’s Personnel (as defined in GCC sub-clause 1.1) </w:t>
            </w:r>
            <w:r>
              <w:t xml:space="preserve">employed in the execution of the Contract at the Project Site/s to ensure compliance with the Supplier’s Environmental and/or </w:t>
            </w:r>
            <w:proofErr w:type="gramStart"/>
            <w:r>
              <w:t>Social</w:t>
            </w:r>
            <w:proofErr w:type="gramEnd"/>
            <w:r>
              <w:t xml:space="preserve"> obligations under the Contract, as applicable</w:t>
            </w:r>
            <w:r>
              <w:rPr>
                <w:color w:val="000000" w:themeColor="text1"/>
              </w:rPr>
              <w:t xml:space="preserve">. </w:t>
            </w:r>
            <w:r w:rsidRPr="00027431">
              <w:t xml:space="preserve">The Bidder shall use for this purpose the Code of Conduct form provided in Section IV.  No substantial modifications shall be made to this form, except that the Bidder may introduce additional requirements, including as necessary to </w:t>
            </w:r>
            <w:proofErr w:type="gramStart"/>
            <w:r w:rsidRPr="00027431">
              <w:t>take into account</w:t>
            </w:r>
            <w:proofErr w:type="gramEnd"/>
            <w:r w:rsidRPr="00027431">
              <w:t xml:space="preserve"> specific Contract issues/risks. </w:t>
            </w:r>
            <w:bookmarkEnd w:id="460"/>
          </w:p>
        </w:tc>
      </w:tr>
      <w:tr w:rsidR="00157AAA" w14:paraId="54D12029" w14:textId="77777777">
        <w:trPr>
          <w:jc w:val="center"/>
        </w:trPr>
        <w:tc>
          <w:tcPr>
            <w:tcW w:w="1503" w:type="dxa"/>
          </w:tcPr>
          <w:p w14:paraId="01123E6D" w14:textId="77777777" w:rsidR="00157AAA" w:rsidRDefault="006C1BE5">
            <w:pPr>
              <w:tabs>
                <w:tab w:val="right" w:pos="7434"/>
              </w:tabs>
              <w:spacing w:before="120"/>
              <w:rPr>
                <w:b/>
              </w:rPr>
            </w:pPr>
            <w:r>
              <w:rPr>
                <w:b/>
              </w:rPr>
              <w:lastRenderedPageBreak/>
              <w:t>ITB 13.1</w:t>
            </w:r>
          </w:p>
        </w:tc>
        <w:tc>
          <w:tcPr>
            <w:tcW w:w="7137" w:type="dxa"/>
            <w:gridSpan w:val="3"/>
          </w:tcPr>
          <w:p w14:paraId="33F18D93" w14:textId="77777777" w:rsidR="00157AAA" w:rsidRDefault="006C1BE5">
            <w:pPr>
              <w:keepNext/>
              <w:keepLines/>
              <w:spacing w:before="120"/>
              <w:rPr>
                <w:bCs/>
              </w:rPr>
            </w:pPr>
            <w:r>
              <w:t xml:space="preserve">Alternative Bids </w:t>
            </w:r>
            <w:r>
              <w:rPr>
                <w:b/>
              </w:rPr>
              <w:t>are not</w:t>
            </w:r>
            <w:r>
              <w:t xml:space="preserve"> permitted.</w:t>
            </w:r>
          </w:p>
        </w:tc>
      </w:tr>
      <w:tr w:rsidR="00157AAA" w14:paraId="07A3DCFC" w14:textId="77777777">
        <w:trPr>
          <w:jc w:val="center"/>
        </w:trPr>
        <w:tc>
          <w:tcPr>
            <w:tcW w:w="1503" w:type="dxa"/>
          </w:tcPr>
          <w:p w14:paraId="75CBAF7A" w14:textId="77777777" w:rsidR="00157AAA" w:rsidRDefault="006C1BE5">
            <w:pPr>
              <w:tabs>
                <w:tab w:val="right" w:pos="7434"/>
              </w:tabs>
              <w:spacing w:before="120"/>
              <w:rPr>
                <w:b/>
              </w:rPr>
            </w:pPr>
            <w:r>
              <w:rPr>
                <w:b/>
              </w:rPr>
              <w:t>ITB 13.2</w:t>
            </w:r>
          </w:p>
        </w:tc>
        <w:tc>
          <w:tcPr>
            <w:tcW w:w="7137" w:type="dxa"/>
            <w:gridSpan w:val="3"/>
          </w:tcPr>
          <w:p w14:paraId="2217D71B" w14:textId="77777777" w:rsidR="00157AAA" w:rsidRDefault="006C1BE5">
            <w:pPr>
              <w:tabs>
                <w:tab w:val="right" w:pos="7254"/>
              </w:tabs>
              <w:spacing w:before="120"/>
            </w:pPr>
            <w:r>
              <w:t xml:space="preserve">Alternatives to the Time Schedule </w:t>
            </w:r>
            <w:r>
              <w:rPr>
                <w:b/>
              </w:rPr>
              <w:t>are not</w:t>
            </w:r>
            <w:r>
              <w:rPr>
                <w:i/>
              </w:rPr>
              <w:t xml:space="preserve"> </w:t>
            </w:r>
            <w:r>
              <w:t>permitted.</w:t>
            </w:r>
          </w:p>
        </w:tc>
      </w:tr>
      <w:tr w:rsidR="00157AAA" w14:paraId="4BCFCE53" w14:textId="77777777">
        <w:trPr>
          <w:jc w:val="center"/>
        </w:trPr>
        <w:tc>
          <w:tcPr>
            <w:tcW w:w="1503" w:type="dxa"/>
          </w:tcPr>
          <w:p w14:paraId="34616F89" w14:textId="77777777" w:rsidR="00157AAA" w:rsidRDefault="006C1BE5">
            <w:pPr>
              <w:tabs>
                <w:tab w:val="right" w:pos="7434"/>
              </w:tabs>
              <w:spacing w:before="120"/>
              <w:rPr>
                <w:b/>
              </w:rPr>
            </w:pPr>
            <w:r>
              <w:rPr>
                <w:b/>
              </w:rPr>
              <w:t>ITB 13.4</w:t>
            </w:r>
          </w:p>
        </w:tc>
        <w:tc>
          <w:tcPr>
            <w:tcW w:w="7137" w:type="dxa"/>
            <w:gridSpan w:val="3"/>
          </w:tcPr>
          <w:p w14:paraId="1900B942" w14:textId="77777777" w:rsidR="00157AAA" w:rsidRDefault="006C1BE5">
            <w:pPr>
              <w:tabs>
                <w:tab w:val="right" w:pos="7254"/>
              </w:tabs>
              <w:spacing w:before="120"/>
            </w:pPr>
            <w:r>
              <w:t xml:space="preserve">Alternative technical solutions shall be permitted for the following parts of the Information System: </w:t>
            </w:r>
            <w:r>
              <w:rPr>
                <w:b/>
              </w:rPr>
              <w:t>none.</w:t>
            </w:r>
          </w:p>
        </w:tc>
      </w:tr>
      <w:tr w:rsidR="00157AAA" w14:paraId="6F06AF15" w14:textId="77777777">
        <w:trPr>
          <w:jc w:val="center"/>
        </w:trPr>
        <w:tc>
          <w:tcPr>
            <w:tcW w:w="1503" w:type="dxa"/>
          </w:tcPr>
          <w:p w14:paraId="7E2B2C93" w14:textId="77777777" w:rsidR="00157AAA" w:rsidRDefault="006C1BE5">
            <w:pPr>
              <w:tabs>
                <w:tab w:val="right" w:pos="7434"/>
              </w:tabs>
              <w:spacing w:before="120"/>
              <w:rPr>
                <w:b/>
              </w:rPr>
            </w:pPr>
            <w:r>
              <w:rPr>
                <w:b/>
              </w:rPr>
              <w:t>ITB 15.2</w:t>
            </w:r>
          </w:p>
        </w:tc>
        <w:tc>
          <w:tcPr>
            <w:tcW w:w="7137" w:type="dxa"/>
            <w:gridSpan w:val="3"/>
          </w:tcPr>
          <w:p w14:paraId="595A0F38" w14:textId="77777777" w:rsidR="00157AAA" w:rsidRDefault="006C1BE5">
            <w:pPr>
              <w:tabs>
                <w:tab w:val="right" w:pos="7254"/>
              </w:tabs>
              <w:spacing w:before="120"/>
            </w:pPr>
            <w:r>
              <w:t xml:space="preserve">Prequalification </w:t>
            </w:r>
            <w:r>
              <w:rPr>
                <w:b/>
              </w:rPr>
              <w:t xml:space="preserve">has not </w:t>
            </w:r>
            <w:r>
              <w:t>been undertaken.</w:t>
            </w:r>
          </w:p>
        </w:tc>
      </w:tr>
      <w:tr w:rsidR="00157AAA" w14:paraId="0C577E80" w14:textId="77777777">
        <w:trPr>
          <w:jc w:val="center"/>
        </w:trPr>
        <w:tc>
          <w:tcPr>
            <w:tcW w:w="1503" w:type="dxa"/>
          </w:tcPr>
          <w:p w14:paraId="6E77AD5D" w14:textId="77777777" w:rsidR="00157AAA" w:rsidRDefault="006C1BE5">
            <w:pPr>
              <w:tabs>
                <w:tab w:val="right" w:pos="7434"/>
              </w:tabs>
              <w:spacing w:before="120"/>
              <w:rPr>
                <w:b/>
              </w:rPr>
            </w:pPr>
            <w:r>
              <w:rPr>
                <w:b/>
              </w:rPr>
              <w:t>ITB 16.2 (a)</w:t>
            </w:r>
          </w:p>
        </w:tc>
        <w:tc>
          <w:tcPr>
            <w:tcW w:w="7137" w:type="dxa"/>
            <w:gridSpan w:val="3"/>
          </w:tcPr>
          <w:p w14:paraId="0042C8FE" w14:textId="77777777" w:rsidR="00157AAA" w:rsidRDefault="006C1BE5">
            <w:pPr>
              <w:spacing w:before="120"/>
              <w:ind w:left="15" w:hanging="19"/>
            </w:pPr>
            <w:r>
              <w:t xml:space="preserve">In addition to the topics described in ITB Clause 16.2 (a), the Preliminary Project Plan must address the following topics to implement the Requirements of the Information System presented in the Section VII:  </w:t>
            </w:r>
          </w:p>
          <w:p w14:paraId="1D2563A9"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Project Organization and Management Sub-Plan, including management authorities, responsibilities, and contacts, validation of requirements for hardware purchase and software development, as well as task, time and resource-bound schedules (in GANTT format</w:t>
            </w:r>
            <w:proofErr w:type="gramStart"/>
            <w:r>
              <w:rPr>
                <w:rStyle w:val="preparersnote"/>
              </w:rPr>
              <w:t>);</w:t>
            </w:r>
            <w:proofErr w:type="gramEnd"/>
          </w:p>
          <w:p w14:paraId="3E6D0464"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Implementation Sub-Plan (including all phases of software design, development and implementation</w:t>
            </w:r>
            <w:proofErr w:type="gramStart"/>
            <w:r>
              <w:rPr>
                <w:rStyle w:val="preparersnote"/>
              </w:rPr>
              <w:t>);</w:t>
            </w:r>
            <w:proofErr w:type="gramEnd"/>
          </w:p>
          <w:p w14:paraId="774E48D1"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 xml:space="preserve"> Delivery and Installation Sub-Plan for </w:t>
            </w:r>
            <w:proofErr w:type="gramStart"/>
            <w:r>
              <w:rPr>
                <w:rStyle w:val="preparersnote"/>
              </w:rPr>
              <w:t>hardware;</w:t>
            </w:r>
            <w:proofErr w:type="gramEnd"/>
          </w:p>
          <w:p w14:paraId="114C67A0"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Training Sub-</w:t>
            </w:r>
            <w:proofErr w:type="gramStart"/>
            <w:r>
              <w:rPr>
                <w:rStyle w:val="preparersnote"/>
              </w:rPr>
              <w:t>Plan;</w:t>
            </w:r>
            <w:proofErr w:type="gramEnd"/>
          </w:p>
          <w:p w14:paraId="3B30159B"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Testing and Quality Assurance Sub-Plan (for all software and hardware components</w:t>
            </w:r>
            <w:proofErr w:type="gramStart"/>
            <w:r>
              <w:rPr>
                <w:rStyle w:val="preparersnote"/>
              </w:rPr>
              <w:t>);</w:t>
            </w:r>
            <w:proofErr w:type="gramEnd"/>
          </w:p>
          <w:p w14:paraId="3EB9A2CA" w14:textId="77777777" w:rsidR="00157AAA" w:rsidRDefault="006C1BE5" w:rsidP="00D530D5">
            <w:pPr>
              <w:pStyle w:val="ListParagraph"/>
              <w:numPr>
                <w:ilvl w:val="0"/>
                <w:numId w:val="48"/>
              </w:numPr>
              <w:spacing w:before="120"/>
              <w:ind w:left="734" w:right="-72"/>
              <w:contextualSpacing w:val="0"/>
              <w:outlineLvl w:val="6"/>
              <w:rPr>
                <w:rStyle w:val="preparersnote"/>
              </w:rPr>
            </w:pPr>
            <w:r>
              <w:rPr>
                <w:rStyle w:val="preparersnote"/>
              </w:rPr>
              <w:t>Warranty Defect Repair and Technical Support Service Sub-Plan</w:t>
            </w:r>
          </w:p>
          <w:p w14:paraId="72A70429" w14:textId="77777777" w:rsidR="00157AAA" w:rsidRDefault="00157AAA">
            <w:pPr>
              <w:tabs>
                <w:tab w:val="right" w:pos="7254"/>
              </w:tabs>
              <w:spacing w:before="120"/>
              <w:ind w:left="735" w:hanging="735"/>
              <w:rPr>
                <w:i/>
              </w:rPr>
            </w:pPr>
          </w:p>
        </w:tc>
      </w:tr>
      <w:tr w:rsidR="00157AAA" w14:paraId="4906B330" w14:textId="77777777">
        <w:trPr>
          <w:jc w:val="center"/>
        </w:trPr>
        <w:tc>
          <w:tcPr>
            <w:tcW w:w="1503" w:type="dxa"/>
          </w:tcPr>
          <w:p w14:paraId="139CB3AB" w14:textId="77777777" w:rsidR="00157AAA" w:rsidRDefault="006C1BE5">
            <w:pPr>
              <w:tabs>
                <w:tab w:val="right" w:pos="7434"/>
              </w:tabs>
              <w:spacing w:before="120"/>
              <w:rPr>
                <w:b/>
              </w:rPr>
            </w:pPr>
            <w:r>
              <w:rPr>
                <w:b/>
              </w:rPr>
              <w:t>ITB 16.3</w:t>
            </w:r>
          </w:p>
        </w:tc>
        <w:tc>
          <w:tcPr>
            <w:tcW w:w="7137" w:type="dxa"/>
            <w:gridSpan w:val="3"/>
          </w:tcPr>
          <w:p w14:paraId="51B4860A" w14:textId="77777777" w:rsidR="004502C3" w:rsidRDefault="006C1BE5">
            <w:pPr>
              <w:spacing w:before="120"/>
            </w:pPr>
            <w:r>
              <w:t>In the interest of effective integration, cost-effective technical support, and reduced re-training and staffing costs, Bidders shall offer the following items:</w:t>
            </w:r>
            <w:r w:rsidR="00A93E7C">
              <w:t xml:space="preserve"> </w:t>
            </w:r>
          </w:p>
          <w:p w14:paraId="01A58AB0" w14:textId="65A3A317" w:rsidR="004502C3" w:rsidRPr="003C1B96" w:rsidRDefault="004502C3" w:rsidP="004502C3">
            <w:pPr>
              <w:pStyle w:val="ListParagraph"/>
              <w:numPr>
                <w:ilvl w:val="0"/>
                <w:numId w:val="204"/>
              </w:numPr>
              <w:spacing w:before="120"/>
              <w:rPr>
                <w:b/>
                <w:bCs/>
              </w:rPr>
            </w:pPr>
            <w:r w:rsidRPr="003C1B96">
              <w:rPr>
                <w:b/>
                <w:bCs/>
              </w:rPr>
              <w:lastRenderedPageBreak/>
              <w:t>Software license – Relational Database Management System Type 1 (Gov) - QTY 4 for Primary Site</w:t>
            </w:r>
          </w:p>
          <w:p w14:paraId="56591FEE" w14:textId="549209E8" w:rsidR="004502C3" w:rsidRPr="003C1B96" w:rsidRDefault="004502C3" w:rsidP="004502C3">
            <w:pPr>
              <w:pStyle w:val="ListParagraph"/>
              <w:numPr>
                <w:ilvl w:val="0"/>
                <w:numId w:val="204"/>
              </w:numPr>
              <w:spacing w:after="0"/>
              <w:rPr>
                <w:b/>
                <w:bCs/>
                <w:color w:val="000000"/>
              </w:rPr>
            </w:pPr>
            <w:r w:rsidRPr="003C1B96">
              <w:rPr>
                <w:b/>
                <w:bCs/>
                <w:color w:val="000000"/>
              </w:rPr>
              <w:t xml:space="preserve">Software license – Relational Database Management System Type 2 (Gov) – QTY 2 for DR site </w:t>
            </w:r>
          </w:p>
          <w:p w14:paraId="4C46891B" w14:textId="07AFB74B" w:rsidR="00157AAA" w:rsidRPr="00A93E7C" w:rsidRDefault="007E6F11">
            <w:pPr>
              <w:spacing w:before="120"/>
            </w:pPr>
            <w:r w:rsidRPr="003C1B96">
              <w:t>All provided licenses must be compliant with Custom Administration datacenter where NSW System will be deployed. Version must be compatible with Custom Administration data center already deployed licenses</w:t>
            </w:r>
            <w:r w:rsidR="004F02F6" w:rsidRPr="003C1B96">
              <w:t xml:space="preserve"> (</w:t>
            </w:r>
            <w:r w:rsidR="005F3E1A">
              <w:t xml:space="preserve">please see </w:t>
            </w:r>
            <w:r w:rsidR="004F02F6" w:rsidRPr="003C1B96">
              <w:t>Section 1.3.8.1. Current Hardware architecture in the Customs Administration.)</w:t>
            </w:r>
          </w:p>
        </w:tc>
      </w:tr>
      <w:tr w:rsidR="00157AAA" w14:paraId="5F6DF7F5" w14:textId="77777777">
        <w:trPr>
          <w:jc w:val="center"/>
        </w:trPr>
        <w:tc>
          <w:tcPr>
            <w:tcW w:w="1503" w:type="dxa"/>
          </w:tcPr>
          <w:p w14:paraId="2115253C" w14:textId="77777777" w:rsidR="00157AAA" w:rsidRDefault="006C1BE5">
            <w:pPr>
              <w:tabs>
                <w:tab w:val="right" w:pos="7434"/>
              </w:tabs>
              <w:spacing w:before="120"/>
              <w:rPr>
                <w:b/>
              </w:rPr>
            </w:pPr>
            <w:r>
              <w:rPr>
                <w:b/>
              </w:rPr>
              <w:lastRenderedPageBreak/>
              <w:t>ITB 17.2</w:t>
            </w:r>
          </w:p>
        </w:tc>
        <w:tc>
          <w:tcPr>
            <w:tcW w:w="7137" w:type="dxa"/>
            <w:gridSpan w:val="3"/>
          </w:tcPr>
          <w:p w14:paraId="43423EBF" w14:textId="77777777" w:rsidR="00157AAA" w:rsidRDefault="006C1BE5">
            <w:pPr>
              <w:tabs>
                <w:tab w:val="right" w:pos="7254"/>
              </w:tabs>
              <w:spacing w:before="120"/>
            </w:pPr>
            <w:r>
              <w:t xml:space="preserve">The Bidder </w:t>
            </w:r>
            <w:r>
              <w:rPr>
                <w:b/>
              </w:rPr>
              <w:t xml:space="preserve">must not </w:t>
            </w:r>
            <w:r>
              <w:t>bid Recurrent Cost Items</w:t>
            </w:r>
          </w:p>
        </w:tc>
      </w:tr>
      <w:tr w:rsidR="00157AAA" w14:paraId="779C2410" w14:textId="77777777">
        <w:trPr>
          <w:jc w:val="center"/>
        </w:trPr>
        <w:tc>
          <w:tcPr>
            <w:tcW w:w="1503" w:type="dxa"/>
          </w:tcPr>
          <w:p w14:paraId="18CE524A" w14:textId="77777777" w:rsidR="00157AAA" w:rsidRDefault="006C1BE5">
            <w:pPr>
              <w:tabs>
                <w:tab w:val="right" w:pos="7434"/>
              </w:tabs>
              <w:spacing w:before="120"/>
              <w:rPr>
                <w:b/>
              </w:rPr>
            </w:pPr>
            <w:r>
              <w:rPr>
                <w:b/>
              </w:rPr>
              <w:t>ITB 17.2</w:t>
            </w:r>
          </w:p>
        </w:tc>
        <w:tc>
          <w:tcPr>
            <w:tcW w:w="7137" w:type="dxa"/>
            <w:gridSpan w:val="3"/>
          </w:tcPr>
          <w:p w14:paraId="3E37A405" w14:textId="77777777" w:rsidR="00157AAA" w:rsidRDefault="006C1BE5">
            <w:pPr>
              <w:tabs>
                <w:tab w:val="right" w:pos="7254"/>
              </w:tabs>
              <w:spacing w:before="120"/>
            </w:pPr>
            <w:r>
              <w:t xml:space="preserve">The Bidder </w:t>
            </w:r>
            <w:r>
              <w:rPr>
                <w:b/>
              </w:rPr>
              <w:t xml:space="preserve">must not </w:t>
            </w:r>
            <w:r>
              <w:t>bid for contracts for Recurrent Cost Items not included in the main Contract.</w:t>
            </w:r>
          </w:p>
        </w:tc>
      </w:tr>
      <w:tr w:rsidR="00157AAA" w14:paraId="0B3B05AC" w14:textId="77777777">
        <w:trPr>
          <w:jc w:val="center"/>
        </w:trPr>
        <w:tc>
          <w:tcPr>
            <w:tcW w:w="1503" w:type="dxa"/>
          </w:tcPr>
          <w:p w14:paraId="3C206842" w14:textId="77777777" w:rsidR="00157AAA" w:rsidRDefault="006C1BE5">
            <w:pPr>
              <w:tabs>
                <w:tab w:val="right" w:pos="7434"/>
              </w:tabs>
              <w:spacing w:before="120"/>
              <w:rPr>
                <w:b/>
              </w:rPr>
            </w:pPr>
            <w:r>
              <w:rPr>
                <w:b/>
              </w:rPr>
              <w:t>ITB 17.5</w:t>
            </w:r>
          </w:p>
        </w:tc>
        <w:tc>
          <w:tcPr>
            <w:tcW w:w="7137" w:type="dxa"/>
            <w:gridSpan w:val="3"/>
          </w:tcPr>
          <w:p w14:paraId="424C7BED" w14:textId="77777777" w:rsidR="00157AAA" w:rsidRDefault="006C1BE5">
            <w:pPr>
              <w:tabs>
                <w:tab w:val="right" w:pos="7254"/>
              </w:tabs>
              <w:spacing w:before="120"/>
            </w:pPr>
            <w:r>
              <w:t xml:space="preserve">The Incoterms edition </w:t>
            </w:r>
            <w:proofErr w:type="gramStart"/>
            <w:r>
              <w:t>is:</w:t>
            </w:r>
            <w:proofErr w:type="gramEnd"/>
            <w:r>
              <w:t xml:space="preserve"> </w:t>
            </w:r>
            <w:r>
              <w:rPr>
                <w:b/>
              </w:rPr>
              <w:t>Incoterms 2020</w:t>
            </w:r>
          </w:p>
        </w:tc>
      </w:tr>
      <w:tr w:rsidR="00157AAA" w14:paraId="5A55989E" w14:textId="77777777">
        <w:trPr>
          <w:jc w:val="center"/>
        </w:trPr>
        <w:tc>
          <w:tcPr>
            <w:tcW w:w="1503" w:type="dxa"/>
          </w:tcPr>
          <w:p w14:paraId="72555167" w14:textId="77777777" w:rsidR="00157AAA" w:rsidRDefault="006C1BE5">
            <w:pPr>
              <w:tabs>
                <w:tab w:val="right" w:pos="7434"/>
              </w:tabs>
              <w:spacing w:before="120"/>
              <w:rPr>
                <w:b/>
              </w:rPr>
            </w:pPr>
            <w:r>
              <w:rPr>
                <w:b/>
              </w:rPr>
              <w:t>ITB 17.5 (a)</w:t>
            </w:r>
          </w:p>
        </w:tc>
        <w:tc>
          <w:tcPr>
            <w:tcW w:w="7137" w:type="dxa"/>
            <w:gridSpan w:val="3"/>
          </w:tcPr>
          <w:p w14:paraId="4E20C5EB" w14:textId="77777777" w:rsidR="00157AAA" w:rsidRDefault="006C1BE5">
            <w:pPr>
              <w:tabs>
                <w:tab w:val="right" w:pos="7254"/>
              </w:tabs>
              <w:spacing w:before="120"/>
              <w:rPr>
                <w:i/>
                <w:highlight w:val="cyan"/>
              </w:rPr>
            </w:pPr>
            <w:r>
              <w:t>Named place of destination</w:t>
            </w:r>
            <w:r>
              <w:rPr>
                <w:i/>
              </w:rPr>
              <w:t xml:space="preserve"> </w:t>
            </w:r>
            <w:proofErr w:type="gramStart"/>
            <w:r>
              <w:t>is:</w:t>
            </w:r>
            <w:proofErr w:type="gramEnd"/>
            <w:r>
              <w:rPr>
                <w:b/>
              </w:rPr>
              <w:t xml:space="preserve"> </w:t>
            </w:r>
            <w:r>
              <w:t xml:space="preserve">Customs Administration of Republic of North Macedonia, str. Lazar </w:t>
            </w:r>
            <w:proofErr w:type="spellStart"/>
            <w:r>
              <w:t>Licenoski</w:t>
            </w:r>
            <w:proofErr w:type="spellEnd"/>
            <w:r>
              <w:t xml:space="preserve"> 13, 1000 Skopje</w:t>
            </w:r>
            <w:r>
              <w:rPr>
                <w:i/>
              </w:rPr>
              <w:t xml:space="preserve">. </w:t>
            </w:r>
          </w:p>
        </w:tc>
      </w:tr>
      <w:tr w:rsidR="00157AAA" w14:paraId="14ED7CB4" w14:textId="77777777">
        <w:trPr>
          <w:jc w:val="center"/>
        </w:trPr>
        <w:tc>
          <w:tcPr>
            <w:tcW w:w="1503" w:type="dxa"/>
          </w:tcPr>
          <w:p w14:paraId="20CCD3D8" w14:textId="77777777" w:rsidR="00157AAA" w:rsidRDefault="006C1BE5">
            <w:pPr>
              <w:tabs>
                <w:tab w:val="right" w:pos="7434"/>
              </w:tabs>
              <w:spacing w:before="120"/>
              <w:rPr>
                <w:b/>
              </w:rPr>
            </w:pPr>
            <w:r>
              <w:rPr>
                <w:b/>
              </w:rPr>
              <w:t>ITB 17.6</w:t>
            </w:r>
          </w:p>
        </w:tc>
        <w:tc>
          <w:tcPr>
            <w:tcW w:w="7137" w:type="dxa"/>
            <w:gridSpan w:val="3"/>
          </w:tcPr>
          <w:p w14:paraId="6CE7D544" w14:textId="77777777" w:rsidR="00157AAA" w:rsidRDefault="006C1BE5">
            <w:pPr>
              <w:spacing w:before="120"/>
            </w:pPr>
            <w:r>
              <w:t xml:space="preserve">Named place of final destination (or Project site) </w:t>
            </w:r>
            <w:proofErr w:type="gramStart"/>
            <w:r>
              <w:t>is:</w:t>
            </w:r>
            <w:proofErr w:type="gramEnd"/>
            <w:r>
              <w:t xml:space="preserve"> Customs Administration server room. </w:t>
            </w:r>
          </w:p>
        </w:tc>
      </w:tr>
      <w:tr w:rsidR="00157AAA" w14:paraId="55A9ABE6" w14:textId="77777777">
        <w:trPr>
          <w:jc w:val="center"/>
        </w:trPr>
        <w:tc>
          <w:tcPr>
            <w:tcW w:w="1503" w:type="dxa"/>
          </w:tcPr>
          <w:p w14:paraId="75D5C78D" w14:textId="77777777" w:rsidR="00157AAA" w:rsidRDefault="006C1BE5">
            <w:pPr>
              <w:tabs>
                <w:tab w:val="right" w:pos="7434"/>
              </w:tabs>
              <w:spacing w:before="120"/>
              <w:rPr>
                <w:b/>
              </w:rPr>
            </w:pPr>
            <w:r>
              <w:rPr>
                <w:b/>
              </w:rPr>
              <w:t>ITB 17.8</w:t>
            </w:r>
          </w:p>
        </w:tc>
        <w:tc>
          <w:tcPr>
            <w:tcW w:w="7137" w:type="dxa"/>
            <w:gridSpan w:val="3"/>
          </w:tcPr>
          <w:p w14:paraId="255554F9" w14:textId="77777777" w:rsidR="00157AAA" w:rsidRDefault="006C1BE5">
            <w:pPr>
              <w:tabs>
                <w:tab w:val="right" w:pos="7254"/>
              </w:tabs>
              <w:spacing w:before="120"/>
            </w:pPr>
            <w:r>
              <w:rPr>
                <w:b/>
              </w:rPr>
              <w:t>There are no modifications to ITB 17.8</w:t>
            </w:r>
          </w:p>
        </w:tc>
      </w:tr>
      <w:tr w:rsidR="00157AAA" w14:paraId="61C2FC98" w14:textId="77777777">
        <w:trPr>
          <w:jc w:val="center"/>
        </w:trPr>
        <w:tc>
          <w:tcPr>
            <w:tcW w:w="1503" w:type="dxa"/>
          </w:tcPr>
          <w:p w14:paraId="69346F6B" w14:textId="77777777" w:rsidR="00157AAA" w:rsidRDefault="006C1BE5">
            <w:pPr>
              <w:tabs>
                <w:tab w:val="right" w:pos="7434"/>
              </w:tabs>
              <w:spacing w:before="120"/>
              <w:rPr>
                <w:b/>
              </w:rPr>
            </w:pPr>
            <w:r>
              <w:rPr>
                <w:b/>
              </w:rPr>
              <w:t>ITB 17.9</w:t>
            </w:r>
          </w:p>
        </w:tc>
        <w:tc>
          <w:tcPr>
            <w:tcW w:w="7137" w:type="dxa"/>
            <w:gridSpan w:val="3"/>
          </w:tcPr>
          <w:p w14:paraId="1BA3460C" w14:textId="77777777" w:rsidR="00157AAA" w:rsidRDefault="006C1BE5">
            <w:pPr>
              <w:tabs>
                <w:tab w:val="right" w:pos="7254"/>
              </w:tabs>
              <w:spacing w:before="120"/>
              <w:rPr>
                <w:u w:val="single"/>
              </w:rPr>
            </w:pPr>
            <w:r>
              <w:t>The prices quoted by the Bidder</w:t>
            </w:r>
            <w:r>
              <w:rPr>
                <w:i/>
              </w:rPr>
              <w:t xml:space="preserve"> </w:t>
            </w:r>
            <w:r>
              <w:rPr>
                <w:b/>
              </w:rPr>
              <w:t>shall not</w:t>
            </w:r>
            <w:r>
              <w:rPr>
                <w:b/>
                <w:i/>
              </w:rPr>
              <w:t xml:space="preserve"> </w:t>
            </w:r>
            <w:r>
              <w:t>be subject to adjustment during the performance of the Contract.</w:t>
            </w:r>
          </w:p>
        </w:tc>
      </w:tr>
      <w:tr w:rsidR="00157AAA" w14:paraId="21E6C8BA" w14:textId="77777777">
        <w:trPr>
          <w:jc w:val="center"/>
        </w:trPr>
        <w:tc>
          <w:tcPr>
            <w:tcW w:w="1503" w:type="dxa"/>
          </w:tcPr>
          <w:p w14:paraId="106142F1" w14:textId="77777777" w:rsidR="00157AAA" w:rsidRDefault="006C1BE5">
            <w:pPr>
              <w:tabs>
                <w:tab w:val="right" w:pos="7434"/>
              </w:tabs>
              <w:spacing w:before="120"/>
              <w:rPr>
                <w:b/>
                <w:i/>
              </w:rPr>
            </w:pPr>
            <w:r>
              <w:rPr>
                <w:b/>
              </w:rPr>
              <w:t>ITB 18.1</w:t>
            </w:r>
            <w:r>
              <w:rPr>
                <w:b/>
                <w:i/>
              </w:rPr>
              <w:t xml:space="preserve"> </w:t>
            </w:r>
          </w:p>
        </w:tc>
        <w:tc>
          <w:tcPr>
            <w:tcW w:w="7137" w:type="dxa"/>
            <w:gridSpan w:val="3"/>
          </w:tcPr>
          <w:p w14:paraId="7E51C45B" w14:textId="77777777" w:rsidR="00157AAA" w:rsidRDefault="006C1BE5">
            <w:pPr>
              <w:tabs>
                <w:tab w:val="right" w:pos="7254"/>
              </w:tabs>
              <w:spacing w:before="120"/>
              <w:rPr>
                <w:i/>
              </w:rPr>
            </w:pPr>
            <w:r>
              <w:t xml:space="preserve">The Bidder </w:t>
            </w:r>
            <w:r>
              <w:rPr>
                <w:b/>
              </w:rPr>
              <w:t xml:space="preserve">is not </w:t>
            </w:r>
            <w:r>
              <w:t>required to quote in the currency of the Purchaser’s Country the portion of the Bid price that corresponds to expenditures incurred in that currency.</w:t>
            </w:r>
          </w:p>
        </w:tc>
      </w:tr>
      <w:tr w:rsidR="00157AAA" w14:paraId="56866A76" w14:textId="77777777">
        <w:trPr>
          <w:jc w:val="center"/>
        </w:trPr>
        <w:tc>
          <w:tcPr>
            <w:tcW w:w="1503" w:type="dxa"/>
          </w:tcPr>
          <w:p w14:paraId="2DAF502D" w14:textId="77777777" w:rsidR="00157AAA" w:rsidRDefault="006C1BE5">
            <w:pPr>
              <w:tabs>
                <w:tab w:val="right" w:pos="7434"/>
              </w:tabs>
              <w:spacing w:before="120"/>
              <w:rPr>
                <w:b/>
              </w:rPr>
            </w:pPr>
            <w:r>
              <w:rPr>
                <w:b/>
              </w:rPr>
              <w:t>ITB 19.1</w:t>
            </w:r>
          </w:p>
        </w:tc>
        <w:tc>
          <w:tcPr>
            <w:tcW w:w="7137" w:type="dxa"/>
            <w:gridSpan w:val="3"/>
          </w:tcPr>
          <w:p w14:paraId="39A3A890" w14:textId="69E08667" w:rsidR="00157AAA" w:rsidRDefault="006C1BE5">
            <w:pPr>
              <w:tabs>
                <w:tab w:val="right" w:pos="7254"/>
              </w:tabs>
              <w:spacing w:before="120"/>
            </w:pPr>
            <w:r>
              <w:rPr>
                <w:color w:val="000000" w:themeColor="text1"/>
              </w:rPr>
              <w:t xml:space="preserve">The Bid shall be valid until: </w:t>
            </w:r>
            <w:r w:rsidR="00C43945" w:rsidRPr="00C43945">
              <w:rPr>
                <w:b/>
                <w:bCs/>
                <w:color w:val="000000" w:themeColor="text1"/>
              </w:rPr>
              <w:t>November 11</w:t>
            </w:r>
            <w:r w:rsidRPr="00C43945">
              <w:rPr>
                <w:b/>
                <w:bCs/>
                <w:color w:val="000000" w:themeColor="text1"/>
              </w:rPr>
              <w:t>, 202</w:t>
            </w:r>
            <w:r w:rsidR="00297A7D" w:rsidRPr="00C43945">
              <w:rPr>
                <w:b/>
                <w:bCs/>
                <w:color w:val="000000" w:themeColor="text1"/>
              </w:rPr>
              <w:t>4</w:t>
            </w:r>
          </w:p>
        </w:tc>
      </w:tr>
      <w:tr w:rsidR="00157AAA" w14:paraId="46C022CE" w14:textId="77777777">
        <w:trPr>
          <w:jc w:val="center"/>
        </w:trPr>
        <w:tc>
          <w:tcPr>
            <w:tcW w:w="1503" w:type="dxa"/>
          </w:tcPr>
          <w:p w14:paraId="7DAF1C03" w14:textId="77777777" w:rsidR="00157AAA" w:rsidRDefault="006C1BE5">
            <w:pPr>
              <w:tabs>
                <w:tab w:val="right" w:pos="7434"/>
              </w:tabs>
              <w:spacing w:before="120"/>
              <w:rPr>
                <w:b/>
              </w:rPr>
            </w:pPr>
            <w:r>
              <w:rPr>
                <w:b/>
              </w:rPr>
              <w:t>ITB 19.3 (a)</w:t>
            </w:r>
          </w:p>
        </w:tc>
        <w:tc>
          <w:tcPr>
            <w:tcW w:w="7137" w:type="dxa"/>
            <w:gridSpan w:val="3"/>
          </w:tcPr>
          <w:p w14:paraId="41D2958D" w14:textId="77777777" w:rsidR="00157AAA" w:rsidRDefault="006C1BE5">
            <w:pPr>
              <w:tabs>
                <w:tab w:val="right" w:pos="7254"/>
              </w:tabs>
              <w:spacing w:before="120"/>
            </w:pPr>
            <w:r>
              <w:t xml:space="preserve">The Bid price shall be adjusted by the following factor(s): </w:t>
            </w:r>
            <w:r>
              <w:rPr>
                <w:b/>
              </w:rPr>
              <w:t>not applicable.</w:t>
            </w:r>
          </w:p>
        </w:tc>
      </w:tr>
      <w:tr w:rsidR="00157AAA" w14:paraId="44FE53B6" w14:textId="77777777">
        <w:trPr>
          <w:jc w:val="center"/>
        </w:trPr>
        <w:tc>
          <w:tcPr>
            <w:tcW w:w="1503" w:type="dxa"/>
          </w:tcPr>
          <w:p w14:paraId="540417D8" w14:textId="77777777" w:rsidR="00157AAA" w:rsidRDefault="006C1BE5">
            <w:pPr>
              <w:tabs>
                <w:tab w:val="right" w:pos="7434"/>
              </w:tabs>
              <w:spacing w:before="120"/>
              <w:rPr>
                <w:b/>
              </w:rPr>
            </w:pPr>
            <w:r>
              <w:rPr>
                <w:b/>
              </w:rPr>
              <w:t>ITB 20.1</w:t>
            </w:r>
          </w:p>
          <w:p w14:paraId="3C139F99" w14:textId="77777777" w:rsidR="00157AAA" w:rsidRDefault="00157AAA">
            <w:pPr>
              <w:tabs>
                <w:tab w:val="right" w:pos="7434"/>
              </w:tabs>
              <w:spacing w:before="120"/>
              <w:rPr>
                <w:b/>
              </w:rPr>
            </w:pPr>
          </w:p>
        </w:tc>
        <w:tc>
          <w:tcPr>
            <w:tcW w:w="7137" w:type="dxa"/>
            <w:gridSpan w:val="3"/>
          </w:tcPr>
          <w:p w14:paraId="57DE7A29" w14:textId="77777777" w:rsidR="00157AAA" w:rsidRDefault="006C1BE5">
            <w:pPr>
              <w:tabs>
                <w:tab w:val="right" w:pos="7254"/>
              </w:tabs>
              <w:spacing w:before="60" w:after="60"/>
            </w:pPr>
            <w:proofErr w:type="gramStart"/>
            <w:r>
              <w:t>A Bid</w:t>
            </w:r>
            <w:proofErr w:type="gramEnd"/>
            <w:r>
              <w:t xml:space="preserve"> Security </w:t>
            </w:r>
            <w:r>
              <w:rPr>
                <w:b/>
              </w:rPr>
              <w:t>shall not be</w:t>
            </w:r>
            <w:r>
              <w:rPr>
                <w:b/>
                <w:i/>
              </w:rPr>
              <w:t xml:space="preserve"> </w:t>
            </w:r>
            <w:r>
              <w:t>required.</w:t>
            </w:r>
          </w:p>
          <w:p w14:paraId="0D015EF9" w14:textId="77777777" w:rsidR="00157AAA" w:rsidRDefault="006C1BE5">
            <w:pPr>
              <w:tabs>
                <w:tab w:val="right" w:pos="7254"/>
              </w:tabs>
              <w:spacing w:before="120"/>
            </w:pPr>
            <w:r>
              <w:t xml:space="preserve">A </w:t>
            </w:r>
            <w:r>
              <w:rPr>
                <w:b/>
              </w:rPr>
              <w:t>Bid-Securing Declaration</w:t>
            </w:r>
            <w:r>
              <w:t xml:space="preserve"> </w:t>
            </w:r>
            <w:r>
              <w:rPr>
                <w:b/>
                <w:bCs/>
              </w:rPr>
              <w:t>shall be</w:t>
            </w:r>
            <w:r>
              <w:t xml:space="preserve"> required.</w:t>
            </w:r>
          </w:p>
          <w:p w14:paraId="08A53567" w14:textId="77777777" w:rsidR="00157AAA" w:rsidRDefault="006C1BE5">
            <w:pPr>
              <w:tabs>
                <w:tab w:val="right" w:pos="7254"/>
              </w:tabs>
              <w:spacing w:before="120"/>
              <w:ind w:left="735" w:hanging="735"/>
              <w:jc w:val="left"/>
            </w:pPr>
            <w:r>
              <w:rPr>
                <w:iCs/>
              </w:rPr>
              <w:t xml:space="preserve">If a Bid Security shall be required, the amount and currency of the Bid Security shall </w:t>
            </w:r>
            <w:proofErr w:type="gramStart"/>
            <w:r>
              <w:rPr>
                <w:iCs/>
              </w:rPr>
              <w:t>be:</w:t>
            </w:r>
            <w:proofErr w:type="gramEnd"/>
            <w:r>
              <w:rPr>
                <w:iCs/>
              </w:rPr>
              <w:t xml:space="preserve"> </w:t>
            </w:r>
            <w:r>
              <w:rPr>
                <w:b/>
                <w:iCs/>
              </w:rPr>
              <w:t>not applicable.</w:t>
            </w:r>
            <w:r>
              <w:rPr>
                <w:iCs/>
                <w:u w:val="single"/>
              </w:rPr>
              <w:t xml:space="preserve"> </w:t>
            </w:r>
          </w:p>
        </w:tc>
      </w:tr>
      <w:tr w:rsidR="00157AAA" w14:paraId="368B6B5A" w14:textId="77777777">
        <w:trPr>
          <w:jc w:val="center"/>
        </w:trPr>
        <w:tc>
          <w:tcPr>
            <w:tcW w:w="1503" w:type="dxa"/>
          </w:tcPr>
          <w:p w14:paraId="6BDE35CC" w14:textId="77777777" w:rsidR="00157AAA" w:rsidRDefault="006C1BE5">
            <w:pPr>
              <w:tabs>
                <w:tab w:val="right" w:pos="7434"/>
              </w:tabs>
              <w:spacing w:before="120"/>
              <w:rPr>
                <w:b/>
              </w:rPr>
            </w:pPr>
            <w:r>
              <w:rPr>
                <w:b/>
              </w:rPr>
              <w:t>ITB 20.3 (d)</w:t>
            </w:r>
          </w:p>
        </w:tc>
        <w:tc>
          <w:tcPr>
            <w:tcW w:w="7137" w:type="dxa"/>
            <w:gridSpan w:val="3"/>
          </w:tcPr>
          <w:p w14:paraId="46C2B44B" w14:textId="77777777" w:rsidR="00157AAA" w:rsidRDefault="006C1BE5">
            <w:pPr>
              <w:tabs>
                <w:tab w:val="right" w:pos="7254"/>
              </w:tabs>
              <w:spacing w:before="120"/>
            </w:pPr>
            <w:r>
              <w:t xml:space="preserve">Other types of acceptable securities: </w:t>
            </w:r>
            <w:r>
              <w:rPr>
                <w:b/>
              </w:rPr>
              <w:t>none</w:t>
            </w:r>
          </w:p>
        </w:tc>
      </w:tr>
      <w:tr w:rsidR="00157AAA" w14:paraId="25980873" w14:textId="77777777">
        <w:trPr>
          <w:jc w:val="center"/>
        </w:trPr>
        <w:tc>
          <w:tcPr>
            <w:tcW w:w="1503" w:type="dxa"/>
          </w:tcPr>
          <w:p w14:paraId="1DA227D3" w14:textId="77777777" w:rsidR="00157AAA" w:rsidRDefault="006C1BE5">
            <w:pPr>
              <w:tabs>
                <w:tab w:val="right" w:pos="7434"/>
              </w:tabs>
              <w:spacing w:before="120"/>
              <w:rPr>
                <w:b/>
              </w:rPr>
            </w:pPr>
            <w:r>
              <w:rPr>
                <w:b/>
              </w:rPr>
              <w:t>ITB 20.9</w:t>
            </w:r>
          </w:p>
        </w:tc>
        <w:tc>
          <w:tcPr>
            <w:tcW w:w="7137" w:type="dxa"/>
            <w:gridSpan w:val="3"/>
          </w:tcPr>
          <w:p w14:paraId="70DE921B" w14:textId="77777777" w:rsidR="00157AAA" w:rsidRDefault="006C1BE5">
            <w:pPr>
              <w:tabs>
                <w:tab w:val="right" w:pos="7254"/>
              </w:tabs>
              <w:spacing w:before="120"/>
            </w:pPr>
            <w:r>
              <w:t xml:space="preserve">If the Bidder performs any of the actions prescribed in ITB 20.9 (a) or (b), the Purchaser will declare the Bidder ineligible to be awarded </w:t>
            </w:r>
            <w:r>
              <w:lastRenderedPageBreak/>
              <w:t>contracts by the Purchaser for a period of</w:t>
            </w:r>
            <w:r>
              <w:rPr>
                <w:i/>
              </w:rPr>
              <w:t xml:space="preserve"> </w:t>
            </w:r>
            <w:r>
              <w:rPr>
                <w:b/>
              </w:rPr>
              <w:t>5 (five) years</w:t>
            </w:r>
            <w:r>
              <w:t xml:space="preserve"> </w:t>
            </w:r>
            <w:r>
              <w:rPr>
                <w:color w:val="000000" w:themeColor="text1"/>
              </w:rPr>
              <w:t xml:space="preserve">starting from the date the Bidder performs any of the actions.  </w:t>
            </w:r>
          </w:p>
        </w:tc>
      </w:tr>
      <w:tr w:rsidR="00157AAA" w14:paraId="7150EA74" w14:textId="77777777">
        <w:trPr>
          <w:jc w:val="center"/>
        </w:trPr>
        <w:tc>
          <w:tcPr>
            <w:tcW w:w="1503" w:type="dxa"/>
          </w:tcPr>
          <w:p w14:paraId="5488FA52" w14:textId="77777777" w:rsidR="00157AAA" w:rsidRDefault="006C1BE5">
            <w:pPr>
              <w:tabs>
                <w:tab w:val="right" w:pos="7434"/>
              </w:tabs>
              <w:spacing w:before="120"/>
              <w:rPr>
                <w:b/>
              </w:rPr>
            </w:pPr>
            <w:r>
              <w:rPr>
                <w:b/>
              </w:rPr>
              <w:lastRenderedPageBreak/>
              <w:t>ITB 21.1</w:t>
            </w:r>
          </w:p>
        </w:tc>
        <w:tc>
          <w:tcPr>
            <w:tcW w:w="7137" w:type="dxa"/>
            <w:gridSpan w:val="3"/>
          </w:tcPr>
          <w:p w14:paraId="25F7EDC3" w14:textId="77777777" w:rsidR="00157AAA" w:rsidRDefault="006C1BE5">
            <w:pPr>
              <w:tabs>
                <w:tab w:val="right" w:pos="4860"/>
              </w:tabs>
              <w:spacing w:before="80" w:after="80"/>
            </w:pPr>
            <w:r>
              <w:t xml:space="preserve">In addition to the original of the Bid, the number of copies is: </w:t>
            </w:r>
            <w:r>
              <w:rPr>
                <w:b/>
              </w:rPr>
              <w:t>2 (two)</w:t>
            </w:r>
            <w:r>
              <w:t xml:space="preserve"> </w:t>
            </w:r>
          </w:p>
          <w:p w14:paraId="336920BE" w14:textId="77777777" w:rsidR="00157AAA" w:rsidRDefault="006C1BE5">
            <w:pPr>
              <w:ind w:left="697" w:hanging="697"/>
              <w:rPr>
                <w:b/>
                <w:szCs w:val="24"/>
              </w:rPr>
            </w:pPr>
            <w:r>
              <w:rPr>
                <w:b/>
                <w:szCs w:val="24"/>
              </w:rPr>
              <w:t>Note:</w:t>
            </w:r>
          </w:p>
          <w:p w14:paraId="6319D6C3" w14:textId="77777777" w:rsidR="00157AAA" w:rsidRDefault="006C1BE5">
            <w:pPr>
              <w:tabs>
                <w:tab w:val="right" w:pos="7254"/>
              </w:tabs>
              <w:spacing w:before="120"/>
            </w:pPr>
            <w:r>
              <w:t xml:space="preserve">The Bidders are strongly encouraged to supply with the original Bid, </w:t>
            </w:r>
            <w:r>
              <w:rPr>
                <w:b/>
                <w:u w:val="single"/>
              </w:rPr>
              <w:t>one electronic copy of their bid</w:t>
            </w:r>
            <w:r>
              <w:t xml:space="preserve"> (including Price schedules and   printed materials such as financial statements, brochures etc.) in </w:t>
            </w:r>
            <w:r>
              <w:rPr>
                <w:b/>
              </w:rPr>
              <w:t>readable .pdf format</w:t>
            </w:r>
            <w:r>
              <w:t xml:space="preserve"> and Price Schedules in separate </w:t>
            </w:r>
            <w:r>
              <w:rPr>
                <w:b/>
              </w:rPr>
              <w:t>excel format</w:t>
            </w:r>
            <w:r>
              <w:t>, for the purposes of easier evaluation of their bids. However, the original hard copy of Bid shall prevail. If an electronic copy (on CD or USB) of the bid is not submitted it shall not be considered as ground for non-compliant bid.</w:t>
            </w:r>
          </w:p>
        </w:tc>
      </w:tr>
      <w:tr w:rsidR="00157AAA" w14:paraId="72B3764F" w14:textId="77777777">
        <w:trPr>
          <w:trHeight w:val="916"/>
          <w:jc w:val="center"/>
        </w:trPr>
        <w:tc>
          <w:tcPr>
            <w:tcW w:w="1503" w:type="dxa"/>
          </w:tcPr>
          <w:p w14:paraId="483F4865" w14:textId="77777777" w:rsidR="00157AAA" w:rsidRDefault="006C1BE5">
            <w:pPr>
              <w:tabs>
                <w:tab w:val="right" w:pos="7434"/>
              </w:tabs>
              <w:spacing w:before="120"/>
              <w:rPr>
                <w:b/>
              </w:rPr>
            </w:pPr>
            <w:r>
              <w:rPr>
                <w:b/>
              </w:rPr>
              <w:t>ITB 21.3</w:t>
            </w:r>
          </w:p>
        </w:tc>
        <w:tc>
          <w:tcPr>
            <w:tcW w:w="7137" w:type="dxa"/>
            <w:gridSpan w:val="3"/>
          </w:tcPr>
          <w:p w14:paraId="3EC92608" w14:textId="77777777" w:rsidR="00157AAA" w:rsidRDefault="006C1BE5">
            <w:pPr>
              <w:tabs>
                <w:tab w:val="right" w:pos="7254"/>
              </w:tabs>
              <w:spacing w:before="60" w:after="60"/>
              <w:rPr>
                <w:b/>
              </w:rPr>
            </w:pPr>
            <w:r>
              <w:t>The written confirmation of authorization to sign on behalf of the Bidder shall consist of</w:t>
            </w:r>
            <w:r>
              <w:rPr>
                <w:b/>
              </w:rPr>
              <w:t>: Power of Attorney</w:t>
            </w:r>
          </w:p>
          <w:p w14:paraId="45C4C47E" w14:textId="77777777" w:rsidR="00157AAA" w:rsidRDefault="006C1BE5">
            <w:pPr>
              <w:tabs>
                <w:tab w:val="right" w:pos="7254"/>
              </w:tabs>
              <w:spacing w:before="60" w:after="60"/>
            </w:pPr>
            <w:r>
              <w:t xml:space="preserve">The </w:t>
            </w:r>
            <w:proofErr w:type="spellStart"/>
            <w:r>
              <w:rPr>
                <w:b/>
              </w:rPr>
              <w:t>PoA</w:t>
            </w:r>
            <w:proofErr w:type="spellEnd"/>
            <w:r>
              <w:t xml:space="preserve"> issued must precisely refer to this Bidding </w:t>
            </w:r>
            <w:proofErr w:type="gramStart"/>
            <w:r>
              <w:t>process in particular</w:t>
            </w:r>
            <w:proofErr w:type="gramEnd"/>
            <w:r>
              <w:t>.</w:t>
            </w:r>
          </w:p>
          <w:p w14:paraId="28B2E978" w14:textId="77777777" w:rsidR="00157AAA" w:rsidRDefault="006C1BE5">
            <w:pPr>
              <w:tabs>
                <w:tab w:val="right" w:pos="7254"/>
              </w:tabs>
              <w:spacing w:before="120"/>
            </w:pPr>
            <w:r>
              <w:t xml:space="preserve">In the case of Bids submitted by an existing or intended JV, </w:t>
            </w:r>
            <w:proofErr w:type="spellStart"/>
            <w:r w:rsidRPr="00535D7D">
              <w:rPr>
                <w:b/>
                <w:bCs/>
              </w:rPr>
              <w:t>PoA</w:t>
            </w:r>
            <w:proofErr w:type="spellEnd"/>
            <w:r w:rsidRPr="00535D7D">
              <w:rPr>
                <w:b/>
                <w:bCs/>
              </w:rPr>
              <w:t xml:space="preserve"> must be signed by all parties</w:t>
            </w:r>
            <w:r>
              <w:t xml:space="preserve"> (</w:t>
            </w:r>
            <w:proofErr w:type="spellStart"/>
            <w:r>
              <w:t>i</w:t>
            </w:r>
            <w:proofErr w:type="spellEnd"/>
            <w:r>
              <w:t xml:space="preserve">) stating that all parties shall be jointly and severally liable </w:t>
            </w:r>
            <w:r>
              <w:rPr>
                <w:lang w:val="en-GB"/>
              </w:rPr>
              <w:t>and</w:t>
            </w:r>
            <w:r>
              <w:rPr>
                <w:iCs/>
              </w:rPr>
              <w:t xml:space="preserve"> (ii) nominating a Representative who shall have the authority to conduct all business for and on behalf of any and all the parties of the JV during the bidding process and, in the event the JV is awarded the Contract, during contract execution.</w:t>
            </w:r>
          </w:p>
        </w:tc>
      </w:tr>
      <w:tr w:rsidR="00157AAA" w14:paraId="38D3E11E" w14:textId="77777777">
        <w:trPr>
          <w:jc w:val="center"/>
        </w:trPr>
        <w:tc>
          <w:tcPr>
            <w:tcW w:w="8640" w:type="dxa"/>
            <w:gridSpan w:val="4"/>
          </w:tcPr>
          <w:p w14:paraId="69CEAD1B" w14:textId="77777777" w:rsidR="00157AAA" w:rsidRDefault="006C1BE5">
            <w:pPr>
              <w:tabs>
                <w:tab w:val="right" w:pos="7254"/>
              </w:tabs>
              <w:spacing w:before="120"/>
              <w:jc w:val="center"/>
            </w:pPr>
            <w:r>
              <w:rPr>
                <w:b/>
                <w:sz w:val="28"/>
              </w:rPr>
              <w:t>D.  Submission and Opening of Bids</w:t>
            </w:r>
          </w:p>
        </w:tc>
      </w:tr>
      <w:tr w:rsidR="00157AAA" w14:paraId="6DB27E9D" w14:textId="77777777">
        <w:trPr>
          <w:jc w:val="center"/>
        </w:trPr>
        <w:tc>
          <w:tcPr>
            <w:tcW w:w="1503" w:type="dxa"/>
          </w:tcPr>
          <w:p w14:paraId="336FFC7D" w14:textId="77777777" w:rsidR="00157AAA" w:rsidRDefault="006C1BE5">
            <w:pPr>
              <w:tabs>
                <w:tab w:val="right" w:pos="7434"/>
              </w:tabs>
              <w:spacing w:before="120"/>
              <w:rPr>
                <w:b/>
              </w:rPr>
            </w:pPr>
            <w:r>
              <w:rPr>
                <w:b/>
              </w:rPr>
              <w:t xml:space="preserve">ITB 23.1 </w:t>
            </w:r>
          </w:p>
        </w:tc>
        <w:tc>
          <w:tcPr>
            <w:tcW w:w="7137" w:type="dxa"/>
            <w:gridSpan w:val="3"/>
          </w:tcPr>
          <w:p w14:paraId="6A3610EA" w14:textId="77777777" w:rsidR="00157AAA" w:rsidRDefault="006C1BE5">
            <w:pPr>
              <w:tabs>
                <w:tab w:val="right" w:pos="7254"/>
              </w:tabs>
              <w:spacing w:before="120"/>
              <w:rPr>
                <w:b/>
                <w:i/>
              </w:rPr>
            </w:pPr>
            <w:r>
              <w:t xml:space="preserve">For </w:t>
            </w:r>
            <w:r>
              <w:rPr>
                <w:b/>
                <w:u w:val="single"/>
              </w:rPr>
              <w:t>Bid submission purposes</w:t>
            </w:r>
            <w:r>
              <w:rPr>
                <w:u w:val="single"/>
              </w:rPr>
              <w:t xml:space="preserve"> </w:t>
            </w:r>
            <w:r>
              <w:t>only, the Purchaser’s address is:</w:t>
            </w:r>
          </w:p>
          <w:p w14:paraId="3733C21E" w14:textId="77777777" w:rsidR="00157AAA" w:rsidRDefault="006C1BE5">
            <w:pPr>
              <w:tabs>
                <w:tab w:val="right" w:pos="7254"/>
              </w:tabs>
              <w:spacing w:before="60" w:after="60"/>
            </w:pPr>
            <w:r>
              <w:t>Ministry of Transport and Communications</w:t>
            </w:r>
          </w:p>
          <w:p w14:paraId="57AABBF5" w14:textId="77777777" w:rsidR="00157AAA" w:rsidRDefault="006C1BE5">
            <w:pPr>
              <w:tabs>
                <w:tab w:val="right" w:pos="4860"/>
              </w:tabs>
              <w:spacing w:before="80" w:after="80"/>
              <w:rPr>
                <w:b/>
                <w:color w:val="000000" w:themeColor="text1"/>
              </w:rPr>
            </w:pPr>
            <w:r>
              <w:rPr>
                <w:b/>
              </w:rPr>
              <w:t>Project Implementation Unit</w:t>
            </w:r>
          </w:p>
          <w:p w14:paraId="4BF995A6" w14:textId="176308F3" w:rsidR="00157AAA" w:rsidRDefault="006C1BE5">
            <w:pPr>
              <w:tabs>
                <w:tab w:val="right" w:pos="7254"/>
              </w:tabs>
              <w:spacing w:before="60" w:after="60"/>
              <w:rPr>
                <w:i/>
                <w:strike/>
              </w:rPr>
            </w:pPr>
            <w:r>
              <w:t>For the attention: Mr. Slavko Micevski and/or Ms. Vlasta Ruzinovska</w:t>
            </w:r>
            <w:r w:rsidR="00DB71F1">
              <w:t xml:space="preserve"> and/or Natasha Stojanovska</w:t>
            </w:r>
          </w:p>
          <w:p w14:paraId="40EECD82" w14:textId="77777777" w:rsidR="00157AAA" w:rsidRDefault="006C1BE5">
            <w:pPr>
              <w:tabs>
                <w:tab w:val="right" w:pos="7254"/>
              </w:tabs>
              <w:spacing w:before="60" w:after="60"/>
            </w:pPr>
            <w:r>
              <w:t xml:space="preserve">Title/position: procurement officers </w:t>
            </w:r>
          </w:p>
          <w:p w14:paraId="244EC3A7" w14:textId="77777777" w:rsidR="00157AAA" w:rsidRDefault="006C1BE5">
            <w:pPr>
              <w:tabs>
                <w:tab w:val="right" w:pos="7254"/>
              </w:tabs>
              <w:spacing w:before="60" w:after="60"/>
            </w:pPr>
            <w:r>
              <w:t>Address: Street “</w:t>
            </w:r>
            <w:proofErr w:type="spellStart"/>
            <w:r>
              <w:t>Crvena</w:t>
            </w:r>
            <w:proofErr w:type="spellEnd"/>
            <w:r>
              <w:t xml:space="preserve"> Skopska </w:t>
            </w:r>
            <w:proofErr w:type="spellStart"/>
            <w:r>
              <w:t>Opstina</w:t>
            </w:r>
            <w:proofErr w:type="spellEnd"/>
            <w:r>
              <w:t>”, No. 4,</w:t>
            </w:r>
          </w:p>
          <w:p w14:paraId="7CB4A5D2" w14:textId="77777777" w:rsidR="00157AAA" w:rsidRDefault="006C1BE5">
            <w:pPr>
              <w:numPr>
                <w:ilvl w:val="12"/>
                <w:numId w:val="0"/>
              </w:numPr>
              <w:tabs>
                <w:tab w:val="left" w:pos="720"/>
                <w:tab w:val="left" w:pos="1080"/>
                <w:tab w:val="left" w:pos="1800"/>
                <w:tab w:val="left" w:pos="2520"/>
                <w:tab w:val="left" w:pos="3960"/>
                <w:tab w:val="left" w:pos="4680"/>
                <w:tab w:val="left" w:pos="5400"/>
                <w:tab w:val="left" w:pos="6120"/>
                <w:tab w:val="left" w:pos="6840"/>
                <w:tab w:val="left" w:pos="7560"/>
                <w:tab w:val="left" w:pos="8280"/>
                <w:tab w:val="left" w:pos="9000"/>
              </w:tabs>
              <w:spacing w:after="60"/>
              <w:rPr>
                <w:b/>
                <w:spacing w:val="-2"/>
                <w:szCs w:val="24"/>
              </w:rPr>
            </w:pPr>
            <w:r>
              <w:rPr>
                <w:szCs w:val="24"/>
              </w:rPr>
              <w:t xml:space="preserve">Floor/Room number: </w:t>
            </w:r>
            <w:r>
              <w:rPr>
                <w:b/>
                <w:spacing w:val="-2"/>
                <w:szCs w:val="24"/>
              </w:rPr>
              <w:t>Ground Floor - Archive</w:t>
            </w:r>
          </w:p>
          <w:p w14:paraId="394A666C" w14:textId="77777777" w:rsidR="00157AAA" w:rsidRDefault="006C1BE5">
            <w:pPr>
              <w:tabs>
                <w:tab w:val="right" w:pos="7254"/>
              </w:tabs>
              <w:spacing w:before="60" w:after="60"/>
              <w:rPr>
                <w:strike/>
              </w:rPr>
            </w:pPr>
            <w:r>
              <w:t>City: Skopje, ZIP Code: 1000</w:t>
            </w:r>
          </w:p>
          <w:p w14:paraId="7647FDE5" w14:textId="77777777" w:rsidR="00157AAA" w:rsidRDefault="006C1BE5">
            <w:pPr>
              <w:tabs>
                <w:tab w:val="right" w:pos="7254"/>
              </w:tabs>
              <w:spacing w:before="60" w:after="60"/>
              <w:rPr>
                <w:i/>
              </w:rPr>
            </w:pPr>
            <w:r>
              <w:t>Country: Republic of North Macedonia</w:t>
            </w:r>
          </w:p>
          <w:p w14:paraId="42E43107" w14:textId="77777777" w:rsidR="00157AAA" w:rsidRDefault="006C1BE5">
            <w:pPr>
              <w:tabs>
                <w:tab w:val="right" w:pos="7254"/>
              </w:tabs>
              <w:spacing w:before="60" w:after="60"/>
            </w:pPr>
            <w:r>
              <w:t>Telephone: + 389 (0)2 3145 531; +389 (0)75 494977</w:t>
            </w:r>
          </w:p>
          <w:p w14:paraId="4739B6AE" w14:textId="77777777" w:rsidR="00157AAA" w:rsidRDefault="00157AAA">
            <w:pPr>
              <w:tabs>
                <w:tab w:val="right" w:pos="7254"/>
              </w:tabs>
              <w:spacing w:before="120"/>
              <w:rPr>
                <w:b/>
              </w:rPr>
            </w:pPr>
          </w:p>
          <w:p w14:paraId="0C220296" w14:textId="77777777" w:rsidR="00157AAA" w:rsidRDefault="006C1BE5">
            <w:pPr>
              <w:tabs>
                <w:tab w:val="right" w:pos="7254"/>
              </w:tabs>
              <w:spacing w:before="120"/>
            </w:pPr>
            <w:r>
              <w:rPr>
                <w:b/>
              </w:rPr>
              <w:t xml:space="preserve">The deadline for Bid submission is: </w:t>
            </w:r>
          </w:p>
          <w:p w14:paraId="0FC9F203" w14:textId="4C3D71F6" w:rsidR="00157AAA" w:rsidRDefault="006C1BE5">
            <w:pPr>
              <w:spacing w:before="120"/>
              <w:rPr>
                <w:b/>
              </w:rPr>
            </w:pPr>
            <w:r>
              <w:t>Date:</w:t>
            </w:r>
            <w:r>
              <w:rPr>
                <w:b/>
              </w:rPr>
              <w:t xml:space="preserve"> </w:t>
            </w:r>
            <w:r w:rsidR="005C4FE0">
              <w:rPr>
                <w:b/>
              </w:rPr>
              <w:t xml:space="preserve">July </w:t>
            </w:r>
            <w:r w:rsidR="00FB59BE">
              <w:rPr>
                <w:b/>
              </w:rPr>
              <w:t>05</w:t>
            </w:r>
            <w:r w:rsidR="005C4FE0">
              <w:rPr>
                <w:b/>
              </w:rPr>
              <w:t>, 2024</w:t>
            </w:r>
          </w:p>
          <w:p w14:paraId="5156156F" w14:textId="5C15FA8E" w:rsidR="00157AAA" w:rsidRDefault="006C1BE5">
            <w:pPr>
              <w:tabs>
                <w:tab w:val="right" w:pos="7254"/>
              </w:tabs>
              <w:spacing w:before="120"/>
              <w:rPr>
                <w:i/>
                <w:u w:val="single"/>
              </w:rPr>
            </w:pPr>
            <w:r>
              <w:t xml:space="preserve">Time: </w:t>
            </w:r>
            <w:r w:rsidR="005C4FE0" w:rsidRPr="005C4FE0">
              <w:rPr>
                <w:b/>
                <w:bCs/>
                <w:iCs/>
              </w:rPr>
              <w:t>13:00 p.m. local time</w:t>
            </w:r>
          </w:p>
          <w:p w14:paraId="6E8133F0" w14:textId="77777777" w:rsidR="00157AAA" w:rsidRDefault="006C1BE5">
            <w:pPr>
              <w:tabs>
                <w:tab w:val="right" w:pos="7254"/>
              </w:tabs>
              <w:spacing w:before="120"/>
              <w:jc w:val="left"/>
            </w:pPr>
            <w:r>
              <w:lastRenderedPageBreak/>
              <w:t xml:space="preserve">Bidders </w:t>
            </w:r>
            <w:r>
              <w:rPr>
                <w:b/>
              </w:rPr>
              <w:t>shall not</w:t>
            </w:r>
            <w:r>
              <w:t xml:space="preserve"> have the option of submitting their Bids electronically.</w:t>
            </w:r>
          </w:p>
        </w:tc>
      </w:tr>
      <w:tr w:rsidR="00157AAA" w14:paraId="4C825C0A" w14:textId="77777777">
        <w:trPr>
          <w:jc w:val="center"/>
        </w:trPr>
        <w:tc>
          <w:tcPr>
            <w:tcW w:w="1503" w:type="dxa"/>
          </w:tcPr>
          <w:p w14:paraId="73B033C2" w14:textId="77777777" w:rsidR="00157AAA" w:rsidRDefault="006C1BE5">
            <w:pPr>
              <w:tabs>
                <w:tab w:val="right" w:pos="7434"/>
              </w:tabs>
              <w:spacing w:before="120"/>
              <w:rPr>
                <w:b/>
              </w:rPr>
            </w:pPr>
            <w:r>
              <w:rPr>
                <w:b/>
              </w:rPr>
              <w:lastRenderedPageBreak/>
              <w:t>ITB 26.1</w:t>
            </w:r>
          </w:p>
        </w:tc>
        <w:tc>
          <w:tcPr>
            <w:tcW w:w="7137" w:type="dxa"/>
            <w:gridSpan w:val="3"/>
          </w:tcPr>
          <w:p w14:paraId="49BE9AE1" w14:textId="77777777" w:rsidR="00157AAA" w:rsidRDefault="006C1BE5">
            <w:pPr>
              <w:tabs>
                <w:tab w:val="right" w:pos="7254"/>
              </w:tabs>
              <w:spacing w:before="120"/>
            </w:pPr>
            <w:r>
              <w:t xml:space="preserve">The Bid opening shall take place at: </w:t>
            </w:r>
          </w:p>
          <w:p w14:paraId="304877E4" w14:textId="77777777" w:rsidR="00157AAA" w:rsidRDefault="006C1BE5">
            <w:pPr>
              <w:tabs>
                <w:tab w:val="right" w:pos="7254"/>
              </w:tabs>
              <w:spacing w:before="60" w:after="60"/>
            </w:pPr>
            <w:r>
              <w:t>Ministry of Transport and Communications</w:t>
            </w:r>
          </w:p>
          <w:p w14:paraId="672C2A9C" w14:textId="77777777" w:rsidR="00157AAA" w:rsidRDefault="006C1BE5">
            <w:pPr>
              <w:tabs>
                <w:tab w:val="right" w:pos="4860"/>
              </w:tabs>
              <w:spacing w:before="80" w:after="80"/>
              <w:rPr>
                <w:b/>
                <w:color w:val="000000" w:themeColor="text1"/>
              </w:rPr>
            </w:pPr>
            <w:r>
              <w:rPr>
                <w:b/>
              </w:rPr>
              <w:t>Project Implementation Unit</w:t>
            </w:r>
          </w:p>
          <w:p w14:paraId="246B9923" w14:textId="77777777" w:rsidR="00157AAA" w:rsidRDefault="006C1BE5">
            <w:pPr>
              <w:tabs>
                <w:tab w:val="right" w:pos="7254"/>
              </w:tabs>
              <w:spacing w:before="60" w:after="60"/>
            </w:pPr>
            <w:r>
              <w:t>Address: Street “</w:t>
            </w:r>
            <w:proofErr w:type="spellStart"/>
            <w:r>
              <w:t>Crvena</w:t>
            </w:r>
            <w:proofErr w:type="spellEnd"/>
            <w:r>
              <w:t xml:space="preserve"> Skopska </w:t>
            </w:r>
            <w:proofErr w:type="spellStart"/>
            <w:r>
              <w:t>Opstina</w:t>
            </w:r>
            <w:proofErr w:type="spellEnd"/>
            <w:r>
              <w:t>”, No. 4,</w:t>
            </w:r>
          </w:p>
          <w:p w14:paraId="4EDE8DDC" w14:textId="77777777" w:rsidR="00157AAA" w:rsidRDefault="006C1BE5">
            <w:pPr>
              <w:tabs>
                <w:tab w:val="right" w:pos="7254"/>
              </w:tabs>
              <w:spacing w:before="60" w:after="60"/>
            </w:pPr>
            <w:r>
              <w:rPr>
                <w:szCs w:val="24"/>
              </w:rPr>
              <w:t xml:space="preserve">Floor/Room number: </w:t>
            </w:r>
            <w:r>
              <w:rPr>
                <w:b/>
                <w:szCs w:val="24"/>
              </w:rPr>
              <w:t xml:space="preserve">Fourth floor, </w:t>
            </w:r>
            <w:proofErr w:type="gramStart"/>
            <w:r>
              <w:rPr>
                <w:b/>
                <w:szCs w:val="24"/>
              </w:rPr>
              <w:t>Conference hall</w:t>
            </w:r>
            <w:proofErr w:type="gramEnd"/>
          </w:p>
          <w:p w14:paraId="4AF508F6" w14:textId="77777777" w:rsidR="00157AAA" w:rsidRDefault="006C1BE5">
            <w:pPr>
              <w:tabs>
                <w:tab w:val="right" w:pos="7254"/>
              </w:tabs>
              <w:spacing w:before="60" w:after="60"/>
              <w:rPr>
                <w:strike/>
              </w:rPr>
            </w:pPr>
            <w:r>
              <w:t>City: Skopje, ZIP Code: 1000</w:t>
            </w:r>
          </w:p>
          <w:p w14:paraId="3565AF9E" w14:textId="77777777" w:rsidR="00157AAA" w:rsidRDefault="006C1BE5">
            <w:pPr>
              <w:tabs>
                <w:tab w:val="right" w:pos="7254"/>
              </w:tabs>
              <w:spacing w:before="60" w:after="60"/>
              <w:rPr>
                <w:i/>
              </w:rPr>
            </w:pPr>
            <w:r>
              <w:t>Country: Republic of North Macedonia</w:t>
            </w:r>
          </w:p>
          <w:p w14:paraId="190F099B" w14:textId="42CC28AC" w:rsidR="00157AAA" w:rsidRDefault="006C1BE5">
            <w:pPr>
              <w:spacing w:before="120"/>
              <w:rPr>
                <w:b/>
                <w:i/>
              </w:rPr>
            </w:pPr>
            <w:r>
              <w:t>Date:</w:t>
            </w:r>
            <w:r>
              <w:rPr>
                <w:b/>
              </w:rPr>
              <w:t xml:space="preserve"> </w:t>
            </w:r>
            <w:r w:rsidR="005C4FE0">
              <w:rPr>
                <w:b/>
              </w:rPr>
              <w:t xml:space="preserve">July </w:t>
            </w:r>
            <w:r w:rsidR="00FB59BE">
              <w:rPr>
                <w:b/>
              </w:rPr>
              <w:t>05</w:t>
            </w:r>
            <w:r w:rsidR="005C4FE0">
              <w:rPr>
                <w:b/>
              </w:rPr>
              <w:t>, 2024</w:t>
            </w:r>
          </w:p>
          <w:p w14:paraId="70F0448A" w14:textId="77777777" w:rsidR="00157AAA" w:rsidRDefault="006C1BE5">
            <w:pPr>
              <w:tabs>
                <w:tab w:val="right" w:pos="7254"/>
              </w:tabs>
              <w:spacing w:before="120"/>
              <w:ind w:left="735" w:hanging="735"/>
              <w:rPr>
                <w:i/>
              </w:rPr>
            </w:pPr>
            <w:r>
              <w:t xml:space="preserve">Time: </w:t>
            </w:r>
            <w:r>
              <w:rPr>
                <w:b/>
                <w:szCs w:val="24"/>
              </w:rPr>
              <w:t>immediately after the bid submission deadline.</w:t>
            </w:r>
          </w:p>
        </w:tc>
      </w:tr>
      <w:tr w:rsidR="00157AAA" w14:paraId="1FAA7024" w14:textId="77777777">
        <w:trPr>
          <w:jc w:val="center"/>
        </w:trPr>
        <w:tc>
          <w:tcPr>
            <w:tcW w:w="1503" w:type="dxa"/>
          </w:tcPr>
          <w:p w14:paraId="4011D9DA" w14:textId="77777777" w:rsidR="00157AAA" w:rsidRDefault="006C1BE5">
            <w:pPr>
              <w:tabs>
                <w:tab w:val="right" w:pos="7434"/>
              </w:tabs>
              <w:spacing w:before="120"/>
              <w:rPr>
                <w:b/>
              </w:rPr>
            </w:pPr>
            <w:r>
              <w:rPr>
                <w:b/>
                <w:bCs/>
              </w:rPr>
              <w:t>ITB 26.1</w:t>
            </w:r>
          </w:p>
        </w:tc>
        <w:tc>
          <w:tcPr>
            <w:tcW w:w="7137" w:type="dxa"/>
            <w:gridSpan w:val="3"/>
          </w:tcPr>
          <w:p w14:paraId="07DF6175" w14:textId="77777777" w:rsidR="00157AAA" w:rsidRDefault="006C1BE5">
            <w:pPr>
              <w:tabs>
                <w:tab w:val="right" w:pos="7254"/>
              </w:tabs>
              <w:spacing w:before="120"/>
            </w:pPr>
            <w:r>
              <w:t xml:space="preserve">The electronic Bid opening procedures shall </w:t>
            </w:r>
            <w:proofErr w:type="gramStart"/>
            <w:r>
              <w:t>be:</w:t>
            </w:r>
            <w:proofErr w:type="gramEnd"/>
            <w:r>
              <w:t xml:space="preserve"> </w:t>
            </w:r>
            <w:r>
              <w:rPr>
                <w:b/>
                <w:iCs/>
              </w:rPr>
              <w:t>not applicable</w:t>
            </w:r>
            <w:r>
              <w:rPr>
                <w:iCs/>
              </w:rPr>
              <w:t>.</w:t>
            </w:r>
          </w:p>
        </w:tc>
      </w:tr>
      <w:tr w:rsidR="00157AAA" w14:paraId="18B9B894" w14:textId="77777777">
        <w:trPr>
          <w:jc w:val="center"/>
        </w:trPr>
        <w:tc>
          <w:tcPr>
            <w:tcW w:w="1503" w:type="dxa"/>
          </w:tcPr>
          <w:p w14:paraId="689CD61D" w14:textId="77777777" w:rsidR="00157AAA" w:rsidRDefault="006C1BE5">
            <w:pPr>
              <w:tabs>
                <w:tab w:val="right" w:pos="7434"/>
              </w:tabs>
              <w:spacing w:before="120"/>
              <w:rPr>
                <w:b/>
                <w:bCs/>
              </w:rPr>
            </w:pPr>
            <w:r>
              <w:rPr>
                <w:b/>
                <w:bCs/>
              </w:rPr>
              <w:t>ITB 26.6</w:t>
            </w:r>
          </w:p>
        </w:tc>
        <w:tc>
          <w:tcPr>
            <w:tcW w:w="7137" w:type="dxa"/>
            <w:gridSpan w:val="3"/>
          </w:tcPr>
          <w:p w14:paraId="63CF09D9" w14:textId="77777777" w:rsidR="00157AAA" w:rsidRDefault="006C1BE5">
            <w:pPr>
              <w:tabs>
                <w:tab w:val="right" w:pos="7254"/>
              </w:tabs>
              <w:spacing w:before="120"/>
              <w:jc w:val="left"/>
              <w:rPr>
                <w:b/>
              </w:rPr>
            </w:pPr>
            <w:r>
              <w:t xml:space="preserve">The Letter of Bid and Price Schedules </w:t>
            </w:r>
            <w:r>
              <w:rPr>
                <w:iCs/>
              </w:rPr>
              <w:t>shall</w:t>
            </w:r>
            <w:r>
              <w:rPr>
                <w:i/>
                <w:iCs/>
              </w:rPr>
              <w:t xml:space="preserve"> </w:t>
            </w:r>
            <w:r>
              <w:t xml:space="preserve">be initialed by </w:t>
            </w:r>
            <w:r>
              <w:rPr>
                <w:b/>
              </w:rPr>
              <w:t>2 (two)</w:t>
            </w:r>
            <w:r>
              <w:t xml:space="preserve"> representatives of the Purchaser conducting Bid opening</w:t>
            </w:r>
            <w:r>
              <w:rPr>
                <w:i/>
              </w:rPr>
              <w:t>.</w:t>
            </w:r>
          </w:p>
        </w:tc>
      </w:tr>
      <w:tr w:rsidR="00157AAA" w14:paraId="757D726A" w14:textId="77777777">
        <w:trPr>
          <w:jc w:val="center"/>
        </w:trPr>
        <w:tc>
          <w:tcPr>
            <w:tcW w:w="8640" w:type="dxa"/>
            <w:gridSpan w:val="4"/>
          </w:tcPr>
          <w:p w14:paraId="27EACB13" w14:textId="77777777" w:rsidR="00157AAA" w:rsidRDefault="006C1BE5">
            <w:pPr>
              <w:tabs>
                <w:tab w:val="right" w:pos="7254"/>
              </w:tabs>
              <w:spacing w:before="120"/>
              <w:jc w:val="center"/>
            </w:pPr>
            <w:r>
              <w:rPr>
                <w:b/>
                <w:sz w:val="28"/>
              </w:rPr>
              <w:t>E.  Evaluation, and Comparison of Bids</w:t>
            </w:r>
          </w:p>
        </w:tc>
      </w:tr>
      <w:tr w:rsidR="00157AAA" w14:paraId="5E0E7443" w14:textId="77777777">
        <w:trPr>
          <w:jc w:val="center"/>
        </w:trPr>
        <w:tc>
          <w:tcPr>
            <w:tcW w:w="1503" w:type="dxa"/>
          </w:tcPr>
          <w:p w14:paraId="689B3687" w14:textId="77777777" w:rsidR="00157AAA" w:rsidRDefault="006C1BE5">
            <w:pPr>
              <w:tabs>
                <w:tab w:val="right" w:pos="7434"/>
              </w:tabs>
              <w:spacing w:before="120"/>
              <w:rPr>
                <w:b/>
                <w:i/>
              </w:rPr>
            </w:pPr>
            <w:r>
              <w:rPr>
                <w:b/>
              </w:rPr>
              <w:t>ITB 33.1</w:t>
            </w:r>
          </w:p>
        </w:tc>
        <w:tc>
          <w:tcPr>
            <w:tcW w:w="7137" w:type="dxa"/>
            <w:gridSpan w:val="3"/>
            <w:tcBorders>
              <w:bottom w:val="single" w:sz="4" w:space="0" w:color="auto"/>
            </w:tcBorders>
          </w:tcPr>
          <w:p w14:paraId="2587DA25" w14:textId="77777777" w:rsidR="00157AAA" w:rsidRDefault="006C1BE5">
            <w:pPr>
              <w:tabs>
                <w:tab w:val="right" w:pos="7254"/>
              </w:tabs>
              <w:spacing w:before="120"/>
              <w:rPr>
                <w:i/>
              </w:rPr>
            </w:pPr>
            <w:r>
              <w:t xml:space="preserve">The currency that shall be used for Bid evaluation and comparison purposes to convert at the selling exchange rate all Bid prices expressed in various currencies into a single currency is: </w:t>
            </w:r>
            <w:proofErr w:type="gramStart"/>
            <w:r>
              <w:rPr>
                <w:b/>
              </w:rPr>
              <w:t>EUR</w:t>
            </w:r>
            <w:proofErr w:type="gramEnd"/>
            <w:r>
              <w:rPr>
                <w:i/>
              </w:rPr>
              <w:t xml:space="preserve"> </w:t>
            </w:r>
          </w:p>
          <w:p w14:paraId="67C89601" w14:textId="77777777" w:rsidR="00157AAA" w:rsidRDefault="006C1BE5">
            <w:pPr>
              <w:spacing w:before="120"/>
              <w:rPr>
                <w:b/>
              </w:rPr>
            </w:pPr>
            <w:r>
              <w:t xml:space="preserve">The source of exchange rate shall be: </w:t>
            </w:r>
            <w:r>
              <w:rPr>
                <w:b/>
              </w:rPr>
              <w:t xml:space="preserve">National Bank of the Republic of North Macedonia </w:t>
            </w:r>
          </w:p>
          <w:p w14:paraId="152F9908" w14:textId="77777777" w:rsidR="00157AAA" w:rsidRDefault="006C1BE5">
            <w:pPr>
              <w:tabs>
                <w:tab w:val="right" w:pos="7254"/>
              </w:tabs>
              <w:spacing w:before="120"/>
            </w:pPr>
            <w:r>
              <w:t xml:space="preserve">The date for the exchange rate shall </w:t>
            </w:r>
            <w:proofErr w:type="gramStart"/>
            <w:r>
              <w:t>be</w:t>
            </w:r>
            <w:r>
              <w:rPr>
                <w:i/>
              </w:rPr>
              <w:t>:</w:t>
            </w:r>
            <w:proofErr w:type="gramEnd"/>
            <w:r>
              <w:rPr>
                <w:i/>
              </w:rPr>
              <w:t xml:space="preserve"> </w:t>
            </w:r>
            <w:r>
              <w:rPr>
                <w:b/>
              </w:rPr>
              <w:t>same as deadline for submission of the Bids.</w:t>
            </w:r>
          </w:p>
        </w:tc>
      </w:tr>
      <w:tr w:rsidR="00157AAA" w14:paraId="5CFB420B" w14:textId="77777777">
        <w:trPr>
          <w:jc w:val="center"/>
        </w:trPr>
        <w:tc>
          <w:tcPr>
            <w:tcW w:w="1503" w:type="dxa"/>
            <w:tcBorders>
              <w:right w:val="single" w:sz="4" w:space="0" w:color="auto"/>
            </w:tcBorders>
          </w:tcPr>
          <w:p w14:paraId="6B8F1C8F" w14:textId="67F0E889" w:rsidR="00157AAA" w:rsidRDefault="006C1BE5">
            <w:pPr>
              <w:tabs>
                <w:tab w:val="right" w:pos="7434"/>
              </w:tabs>
              <w:spacing w:before="120"/>
              <w:rPr>
                <w:b/>
              </w:rPr>
            </w:pPr>
            <w:r>
              <w:rPr>
                <w:b/>
              </w:rPr>
              <w:t>ITB 35.</w:t>
            </w:r>
            <w:r w:rsidR="00ED21E1">
              <w:rPr>
                <w:b/>
              </w:rPr>
              <w:t>3</w:t>
            </w:r>
            <w:r>
              <w:rPr>
                <w:b/>
              </w:rPr>
              <w:t xml:space="preserve"> </w:t>
            </w:r>
          </w:p>
        </w:tc>
        <w:tc>
          <w:tcPr>
            <w:tcW w:w="7137" w:type="dxa"/>
            <w:gridSpan w:val="3"/>
            <w:tcBorders>
              <w:top w:val="single" w:sz="4" w:space="0" w:color="auto"/>
              <w:left w:val="single" w:sz="4" w:space="0" w:color="auto"/>
              <w:bottom w:val="single" w:sz="4" w:space="0" w:color="auto"/>
              <w:right w:val="single" w:sz="4" w:space="0" w:color="auto"/>
            </w:tcBorders>
          </w:tcPr>
          <w:p w14:paraId="6C477B34" w14:textId="77777777" w:rsidR="00157AAA" w:rsidRDefault="006C1BE5">
            <w:pPr>
              <w:tabs>
                <w:tab w:val="right" w:pos="7254"/>
              </w:tabs>
              <w:spacing w:before="120"/>
              <w:rPr>
                <w:i/>
              </w:rPr>
            </w:pPr>
            <w:r>
              <w:t xml:space="preserve">The Purchaser’s evaluation of </w:t>
            </w:r>
            <w:proofErr w:type="gramStart"/>
            <w:r>
              <w:t>responsive</w:t>
            </w:r>
            <w:proofErr w:type="gramEnd"/>
            <w:r>
              <w:t xml:space="preserve"> </w:t>
            </w:r>
            <w:r>
              <w:rPr>
                <w:b/>
                <w:i/>
              </w:rPr>
              <w:t xml:space="preserve">will </w:t>
            </w:r>
            <w:proofErr w:type="gramStart"/>
            <w:r>
              <w:rPr>
                <w:b/>
                <w:i/>
              </w:rPr>
              <w:t>take</w:t>
            </w:r>
            <w:r>
              <w:t xml:space="preserve"> into account</w:t>
            </w:r>
            <w:proofErr w:type="gramEnd"/>
            <w:r>
              <w:t xml:space="preserve"> scored technical factors, in addition to cost factors</w:t>
            </w:r>
            <w:r>
              <w:rPr>
                <w:i/>
              </w:rPr>
              <w:t xml:space="preserve">. </w:t>
            </w:r>
            <w:r>
              <w:t>The technical score is 30% and the financial score is 70%.</w:t>
            </w:r>
          </w:p>
          <w:p w14:paraId="4D27A594" w14:textId="1FC4CE79" w:rsidR="00157AAA" w:rsidRPr="00984F71" w:rsidRDefault="006C1BE5" w:rsidP="00984F71">
            <w:pPr>
              <w:tabs>
                <w:tab w:val="right" w:pos="7254"/>
              </w:tabs>
              <w:spacing w:before="120"/>
              <w:rPr>
                <w:szCs w:val="24"/>
              </w:rPr>
            </w:pPr>
            <w:r>
              <w:rPr>
                <w:iCs/>
              </w:rPr>
              <w:t>The technical factors (sub-factors) and</w:t>
            </w:r>
            <w:r>
              <w:rPr>
                <w:i/>
              </w:rPr>
              <w:t xml:space="preserve"> </w:t>
            </w:r>
            <w:r>
              <w:rPr>
                <w:szCs w:val="24"/>
              </w:rPr>
              <w:t>the corresponding weight out of 100% are:</w:t>
            </w:r>
          </w:p>
          <w:tbl>
            <w:tblPr>
              <w:tblW w:w="6739" w:type="dxa"/>
              <w:tblLayout w:type="fixed"/>
              <w:tblLook w:val="04A0" w:firstRow="1" w:lastRow="0" w:firstColumn="1" w:lastColumn="0" w:noHBand="0" w:noVBand="1"/>
            </w:tblPr>
            <w:tblGrid>
              <w:gridCol w:w="5321"/>
              <w:gridCol w:w="1418"/>
            </w:tblGrid>
            <w:tr w:rsidR="00157AAA" w14:paraId="47BA710B" w14:textId="77777777" w:rsidTr="0093306E">
              <w:trPr>
                <w:trHeight w:val="242"/>
              </w:trPr>
              <w:tc>
                <w:tcPr>
                  <w:tcW w:w="5321" w:type="dxa"/>
                  <w:tcBorders>
                    <w:top w:val="single" w:sz="4" w:space="0" w:color="auto"/>
                    <w:left w:val="single" w:sz="4" w:space="0" w:color="auto"/>
                    <w:bottom w:val="single" w:sz="4" w:space="0" w:color="auto"/>
                    <w:right w:val="single" w:sz="4" w:space="0" w:color="auto"/>
                  </w:tcBorders>
                </w:tcPr>
                <w:p w14:paraId="0507FE74" w14:textId="77777777" w:rsidR="00157AAA" w:rsidRDefault="006C1BE5">
                  <w:pPr>
                    <w:tabs>
                      <w:tab w:val="right" w:pos="7254"/>
                    </w:tabs>
                    <w:spacing w:before="120"/>
                    <w:jc w:val="center"/>
                    <w:rPr>
                      <w:b/>
                      <w:bCs/>
                      <w:szCs w:val="24"/>
                    </w:rPr>
                  </w:pPr>
                  <w:r>
                    <w:rPr>
                      <w:b/>
                      <w:bCs/>
                      <w:szCs w:val="24"/>
                    </w:rPr>
                    <w:t>Technical Factor</w:t>
                  </w:r>
                </w:p>
              </w:tc>
              <w:tc>
                <w:tcPr>
                  <w:tcW w:w="1418" w:type="dxa"/>
                  <w:tcBorders>
                    <w:top w:val="single" w:sz="4" w:space="0" w:color="auto"/>
                    <w:left w:val="single" w:sz="4" w:space="0" w:color="auto"/>
                    <w:bottom w:val="single" w:sz="4" w:space="0" w:color="auto"/>
                    <w:right w:val="single" w:sz="4" w:space="0" w:color="auto"/>
                  </w:tcBorders>
                </w:tcPr>
                <w:p w14:paraId="1EB959E5" w14:textId="77777777" w:rsidR="00157AAA" w:rsidRDefault="006C1BE5">
                  <w:pPr>
                    <w:tabs>
                      <w:tab w:val="right" w:pos="7254"/>
                    </w:tabs>
                    <w:spacing w:before="120"/>
                    <w:jc w:val="center"/>
                    <w:rPr>
                      <w:b/>
                      <w:bCs/>
                      <w:szCs w:val="24"/>
                    </w:rPr>
                  </w:pPr>
                  <w:r>
                    <w:rPr>
                      <w:b/>
                      <w:bCs/>
                      <w:szCs w:val="24"/>
                    </w:rPr>
                    <w:t>Weight in percentage</w:t>
                  </w:r>
                </w:p>
              </w:tc>
            </w:tr>
            <w:tr w:rsidR="00157AAA" w14:paraId="5071CB6E" w14:textId="77777777" w:rsidTr="0093306E">
              <w:tc>
                <w:tcPr>
                  <w:tcW w:w="5321" w:type="dxa"/>
                  <w:tcBorders>
                    <w:top w:val="single" w:sz="4" w:space="0" w:color="auto"/>
                  </w:tcBorders>
                </w:tcPr>
                <w:p w14:paraId="568F9E71" w14:textId="77777777" w:rsidR="00157AAA" w:rsidRDefault="006C1BE5">
                  <w:pPr>
                    <w:spacing w:after="0"/>
                    <w:rPr>
                      <w:rFonts w:eastAsiaTheme="minorHAnsi"/>
                      <w:sz w:val="18"/>
                      <w:szCs w:val="18"/>
                    </w:rPr>
                  </w:pPr>
                  <w:r>
                    <w:rPr>
                      <w:b/>
                      <w:i/>
                      <w:szCs w:val="24"/>
                    </w:rPr>
                    <w:t>Experience</w:t>
                  </w:r>
                  <w:r>
                    <w:rPr>
                      <w:szCs w:val="24"/>
                    </w:rPr>
                    <w:t xml:space="preserve">: </w:t>
                  </w:r>
                  <w:r>
                    <w:rPr>
                      <w:rFonts w:eastAsiaTheme="minorHAnsi"/>
                      <w:sz w:val="18"/>
                      <w:szCs w:val="18"/>
                    </w:rPr>
                    <w:t xml:space="preserve">Experience of the bidder in successfully implementing a similar NSW Information System (based on official final acceptance certificates issued by the customers/institutions and/or reference letter).  </w:t>
                  </w:r>
                  <w:r>
                    <w:t xml:space="preserve"> </w:t>
                  </w:r>
                  <w:r>
                    <w:rPr>
                      <w:rFonts w:eastAsiaTheme="minorHAnsi"/>
                      <w:sz w:val="18"/>
                      <w:szCs w:val="18"/>
                    </w:rPr>
                    <w:t xml:space="preserve">0%–15% - means that the experience is not adequately presented; no relevant information to demonstrate the requirement; 16%–49% - for the required experience being present but showing deficiencies such as insufficient or information that lacks clarity; 50%–79% - for meeting the requirements; sufficient information to demonstrate how the </w:t>
                  </w:r>
                  <w:r>
                    <w:rPr>
                      <w:rFonts w:eastAsiaTheme="minorHAnsi"/>
                      <w:sz w:val="18"/>
                      <w:szCs w:val="18"/>
                    </w:rPr>
                    <w:lastRenderedPageBreak/>
                    <w:t xml:space="preserve">requirement is met; 80%–89% - for marginally exceeding the requirements; sufficient information to demonstrate that the requirement will be marginally exceeded; 90%–100% - for significantly exceeding the requirements; sufficient information that significantly exceed the requirements and/or contributes to significant value addition. </w:t>
                  </w:r>
                </w:p>
                <w:p w14:paraId="5EBE4105" w14:textId="77777777" w:rsidR="00157AAA" w:rsidRDefault="00157AAA">
                  <w:pPr>
                    <w:spacing w:after="0"/>
                    <w:rPr>
                      <w:szCs w:val="24"/>
                    </w:rPr>
                  </w:pPr>
                </w:p>
              </w:tc>
              <w:tc>
                <w:tcPr>
                  <w:tcW w:w="1418" w:type="dxa"/>
                  <w:tcBorders>
                    <w:top w:val="single" w:sz="4" w:space="0" w:color="auto"/>
                  </w:tcBorders>
                </w:tcPr>
                <w:p w14:paraId="43D15334" w14:textId="77777777" w:rsidR="00157AAA" w:rsidRDefault="006C1BE5">
                  <w:pPr>
                    <w:tabs>
                      <w:tab w:val="right" w:pos="7254"/>
                    </w:tabs>
                    <w:spacing w:before="120"/>
                    <w:jc w:val="left"/>
                    <w:rPr>
                      <w:b/>
                      <w:sz w:val="18"/>
                      <w:szCs w:val="18"/>
                    </w:rPr>
                  </w:pPr>
                  <w:r>
                    <w:rPr>
                      <w:b/>
                      <w:sz w:val="18"/>
                      <w:szCs w:val="18"/>
                    </w:rPr>
                    <w:lastRenderedPageBreak/>
                    <w:t>15%</w:t>
                  </w:r>
                </w:p>
              </w:tc>
            </w:tr>
            <w:tr w:rsidR="00157AAA" w14:paraId="0FB0B86D" w14:textId="77777777" w:rsidTr="0093306E">
              <w:tc>
                <w:tcPr>
                  <w:tcW w:w="5321" w:type="dxa"/>
                </w:tcPr>
                <w:p w14:paraId="38961720" w14:textId="77777777" w:rsidR="00157AAA" w:rsidRDefault="006C1BE5">
                  <w:pPr>
                    <w:spacing w:after="0"/>
                    <w:rPr>
                      <w:rFonts w:eastAsiaTheme="minorHAnsi"/>
                      <w:sz w:val="18"/>
                      <w:szCs w:val="18"/>
                    </w:rPr>
                  </w:pPr>
                  <w:r>
                    <w:rPr>
                      <w:b/>
                      <w:i/>
                      <w:szCs w:val="24"/>
                    </w:rPr>
                    <w:t>Project Planning and Management</w:t>
                  </w:r>
                  <w:r>
                    <w:rPr>
                      <w:szCs w:val="24"/>
                    </w:rPr>
                    <w:t xml:space="preserve">: </w:t>
                  </w:r>
                  <w:r>
                    <w:rPr>
                      <w:rFonts w:eastAsiaTheme="minorHAnsi"/>
                      <w:sz w:val="18"/>
                      <w:szCs w:val="18"/>
                    </w:rPr>
                    <w:t>Detailed project planning proposal and structured project management methodology proposed. Will be considered a deviation for no adequate project planning and management methodology score 0%–15%, 16%–49% for not enough details provided</w:t>
                  </w:r>
                  <w:r>
                    <w:rPr>
                      <w:rFonts w:eastAsiaTheme="minorHAnsi"/>
                      <w:strike/>
                      <w:sz w:val="18"/>
                      <w:szCs w:val="18"/>
                    </w:rPr>
                    <w:t xml:space="preserve"> </w:t>
                  </w:r>
                  <w:r>
                    <w:rPr>
                      <w:rFonts w:eastAsiaTheme="minorHAnsi"/>
                      <w:sz w:val="18"/>
                      <w:szCs w:val="18"/>
                    </w:rPr>
                    <w:t>to demonstrate how the project plan and project management methodology will be implemented, 50%–79% - for meeting the requirements; sufficient information to demonstrate how the project plan and project management methodology will be implemented; 80%–89% - for a detailed project planning and methodology that marginally exceeds the requirements; 90%–100% - for a detailed project planning and project management methodology that significantly exceeds the requirements.</w:t>
                  </w:r>
                </w:p>
                <w:p w14:paraId="7101EA22" w14:textId="77777777" w:rsidR="00157AAA" w:rsidRDefault="00157AAA">
                  <w:pPr>
                    <w:widowControl w:val="0"/>
                    <w:spacing w:after="0"/>
                    <w:jc w:val="left"/>
                    <w:rPr>
                      <w:rFonts w:eastAsiaTheme="minorHAnsi"/>
                      <w:sz w:val="18"/>
                      <w:szCs w:val="18"/>
                    </w:rPr>
                  </w:pPr>
                </w:p>
                <w:p w14:paraId="589081E3" w14:textId="11D3FEE9" w:rsidR="00157AAA" w:rsidRDefault="006C1BE5">
                  <w:pPr>
                    <w:spacing w:after="0"/>
                    <w:rPr>
                      <w:rFonts w:eastAsiaTheme="minorHAnsi"/>
                      <w:sz w:val="18"/>
                      <w:szCs w:val="18"/>
                    </w:rPr>
                  </w:pPr>
                  <w:r>
                    <w:rPr>
                      <w:rFonts w:eastAsiaTheme="minorHAnsi"/>
                      <w:b/>
                      <w:i/>
                      <w:szCs w:val="24"/>
                    </w:rPr>
                    <w:t>Requirements of the Information System</w:t>
                  </w:r>
                  <w:r>
                    <w:rPr>
                      <w:rFonts w:eastAsiaTheme="minorHAnsi"/>
                      <w:sz w:val="18"/>
                      <w:szCs w:val="18"/>
                    </w:rPr>
                    <w:t xml:space="preserve">: Adequacy and quality of the proposed methodology, and work plan in responding to the Requirements of the Information System presented in </w:t>
                  </w:r>
                  <w:proofErr w:type="gramStart"/>
                  <w:r>
                    <w:rPr>
                      <w:rFonts w:eastAsiaTheme="minorHAnsi"/>
                      <w:sz w:val="18"/>
                      <w:szCs w:val="18"/>
                    </w:rPr>
                    <w:t>the Section</w:t>
                  </w:r>
                  <w:proofErr w:type="gramEnd"/>
                  <w:r>
                    <w:rPr>
                      <w:rFonts w:eastAsiaTheme="minorHAnsi"/>
                      <w:sz w:val="18"/>
                      <w:szCs w:val="18"/>
                    </w:rPr>
                    <w:t xml:space="preserve"> VII and compliance with functional and non-functional requirements. Score 0%–15% for not adequately presenting how the requirements will be met; 16%–49% for not enough details provided to demonstrate how the requirements will be met, 50%–79% - for meeting the requirements; sufficient information to demonstrate how the requirement is met; 80%–89% - for marginally exceeding the requirements; sufficient information to demonstrate that the requirement will be marginally exceeded; 90%–100% - for significantly exceeding the requirements; sufficient information that significantly exceed the requirements and/or contributes to significant value addition.</w:t>
                  </w:r>
                </w:p>
              </w:tc>
              <w:tc>
                <w:tcPr>
                  <w:tcW w:w="1418" w:type="dxa"/>
                </w:tcPr>
                <w:p w14:paraId="3AD3D993" w14:textId="77777777" w:rsidR="00157AAA" w:rsidRDefault="00157AAA">
                  <w:pPr>
                    <w:tabs>
                      <w:tab w:val="right" w:pos="7254"/>
                    </w:tabs>
                    <w:spacing w:before="120"/>
                    <w:contextualSpacing/>
                    <w:jc w:val="left"/>
                    <w:rPr>
                      <w:b/>
                      <w:sz w:val="18"/>
                      <w:szCs w:val="18"/>
                    </w:rPr>
                  </w:pPr>
                </w:p>
                <w:p w14:paraId="6C4EBCC2" w14:textId="5CF6ED50" w:rsidR="00157AAA" w:rsidRDefault="001A145B">
                  <w:pPr>
                    <w:tabs>
                      <w:tab w:val="right" w:pos="7254"/>
                    </w:tabs>
                    <w:spacing w:before="120"/>
                    <w:contextualSpacing/>
                    <w:jc w:val="left"/>
                    <w:rPr>
                      <w:b/>
                      <w:sz w:val="18"/>
                      <w:szCs w:val="18"/>
                    </w:rPr>
                  </w:pPr>
                  <w:r>
                    <w:rPr>
                      <w:b/>
                      <w:sz w:val="18"/>
                      <w:szCs w:val="18"/>
                    </w:rPr>
                    <w:t xml:space="preserve">10 </w:t>
                  </w:r>
                  <w:r w:rsidR="006C1BE5">
                    <w:rPr>
                      <w:b/>
                      <w:sz w:val="18"/>
                      <w:szCs w:val="18"/>
                    </w:rPr>
                    <w:t>%</w:t>
                  </w:r>
                </w:p>
                <w:p w14:paraId="23AC4EF2" w14:textId="77777777" w:rsidR="00157AAA" w:rsidRDefault="00157AAA">
                  <w:pPr>
                    <w:tabs>
                      <w:tab w:val="right" w:pos="7254"/>
                    </w:tabs>
                    <w:spacing w:before="120"/>
                    <w:contextualSpacing/>
                    <w:jc w:val="left"/>
                    <w:rPr>
                      <w:b/>
                      <w:sz w:val="18"/>
                      <w:szCs w:val="18"/>
                    </w:rPr>
                  </w:pPr>
                </w:p>
                <w:p w14:paraId="245D661E" w14:textId="77777777" w:rsidR="00157AAA" w:rsidRDefault="00157AAA">
                  <w:pPr>
                    <w:tabs>
                      <w:tab w:val="right" w:pos="7254"/>
                    </w:tabs>
                    <w:spacing w:before="120"/>
                    <w:contextualSpacing/>
                    <w:jc w:val="left"/>
                    <w:rPr>
                      <w:b/>
                      <w:sz w:val="18"/>
                      <w:szCs w:val="18"/>
                    </w:rPr>
                  </w:pPr>
                </w:p>
                <w:p w14:paraId="2E235C53" w14:textId="77777777" w:rsidR="00157AAA" w:rsidRDefault="00157AAA">
                  <w:pPr>
                    <w:tabs>
                      <w:tab w:val="right" w:pos="7254"/>
                    </w:tabs>
                    <w:spacing w:after="0"/>
                    <w:contextualSpacing/>
                    <w:jc w:val="left"/>
                    <w:rPr>
                      <w:b/>
                      <w:sz w:val="18"/>
                      <w:szCs w:val="18"/>
                    </w:rPr>
                  </w:pPr>
                </w:p>
                <w:p w14:paraId="1D99A450" w14:textId="77777777" w:rsidR="00157AAA" w:rsidRDefault="00157AAA">
                  <w:pPr>
                    <w:tabs>
                      <w:tab w:val="right" w:pos="7254"/>
                    </w:tabs>
                    <w:spacing w:after="0"/>
                    <w:contextualSpacing/>
                    <w:jc w:val="left"/>
                    <w:rPr>
                      <w:b/>
                      <w:sz w:val="18"/>
                      <w:szCs w:val="18"/>
                    </w:rPr>
                  </w:pPr>
                </w:p>
                <w:p w14:paraId="2A414178" w14:textId="77777777" w:rsidR="00157AAA" w:rsidRDefault="00157AAA">
                  <w:pPr>
                    <w:tabs>
                      <w:tab w:val="right" w:pos="7254"/>
                    </w:tabs>
                    <w:spacing w:after="0"/>
                    <w:contextualSpacing/>
                    <w:jc w:val="left"/>
                    <w:rPr>
                      <w:b/>
                      <w:sz w:val="18"/>
                      <w:szCs w:val="18"/>
                    </w:rPr>
                  </w:pPr>
                </w:p>
                <w:p w14:paraId="2479591C" w14:textId="77777777" w:rsidR="00157AAA" w:rsidRDefault="00157AAA">
                  <w:pPr>
                    <w:tabs>
                      <w:tab w:val="right" w:pos="7254"/>
                    </w:tabs>
                    <w:spacing w:after="0"/>
                    <w:contextualSpacing/>
                    <w:jc w:val="left"/>
                    <w:rPr>
                      <w:b/>
                      <w:sz w:val="18"/>
                      <w:szCs w:val="18"/>
                    </w:rPr>
                  </w:pPr>
                </w:p>
                <w:p w14:paraId="5E5C49B5" w14:textId="77777777" w:rsidR="00157AAA" w:rsidRDefault="00157AAA">
                  <w:pPr>
                    <w:tabs>
                      <w:tab w:val="right" w:pos="7254"/>
                    </w:tabs>
                    <w:spacing w:after="0"/>
                    <w:contextualSpacing/>
                    <w:jc w:val="left"/>
                    <w:rPr>
                      <w:b/>
                      <w:sz w:val="18"/>
                      <w:szCs w:val="18"/>
                    </w:rPr>
                  </w:pPr>
                </w:p>
                <w:p w14:paraId="158489FC" w14:textId="77777777" w:rsidR="00157AAA" w:rsidRDefault="00157AAA">
                  <w:pPr>
                    <w:tabs>
                      <w:tab w:val="right" w:pos="7254"/>
                    </w:tabs>
                    <w:spacing w:after="0"/>
                    <w:contextualSpacing/>
                    <w:jc w:val="left"/>
                    <w:rPr>
                      <w:b/>
                      <w:sz w:val="18"/>
                      <w:szCs w:val="18"/>
                    </w:rPr>
                  </w:pPr>
                </w:p>
                <w:p w14:paraId="18AE4B3C" w14:textId="77777777" w:rsidR="00157AAA" w:rsidRDefault="00157AAA">
                  <w:pPr>
                    <w:tabs>
                      <w:tab w:val="right" w:pos="7254"/>
                    </w:tabs>
                    <w:spacing w:after="0"/>
                    <w:contextualSpacing/>
                    <w:jc w:val="left"/>
                    <w:rPr>
                      <w:b/>
                      <w:sz w:val="18"/>
                      <w:szCs w:val="18"/>
                    </w:rPr>
                  </w:pPr>
                </w:p>
                <w:p w14:paraId="71890998" w14:textId="77777777" w:rsidR="00157AAA" w:rsidRDefault="00157AAA">
                  <w:pPr>
                    <w:tabs>
                      <w:tab w:val="right" w:pos="7254"/>
                    </w:tabs>
                    <w:spacing w:after="0"/>
                    <w:contextualSpacing/>
                    <w:jc w:val="left"/>
                    <w:rPr>
                      <w:b/>
                      <w:sz w:val="18"/>
                      <w:szCs w:val="18"/>
                    </w:rPr>
                  </w:pPr>
                </w:p>
                <w:p w14:paraId="31421364" w14:textId="77777777" w:rsidR="00157AAA" w:rsidRDefault="00157AAA">
                  <w:pPr>
                    <w:tabs>
                      <w:tab w:val="right" w:pos="7254"/>
                    </w:tabs>
                    <w:spacing w:after="0"/>
                    <w:contextualSpacing/>
                    <w:jc w:val="left"/>
                    <w:rPr>
                      <w:b/>
                      <w:sz w:val="18"/>
                      <w:szCs w:val="18"/>
                    </w:rPr>
                  </w:pPr>
                </w:p>
                <w:p w14:paraId="4EEEB0E1" w14:textId="77777777" w:rsidR="00157AAA" w:rsidRDefault="00157AAA">
                  <w:pPr>
                    <w:tabs>
                      <w:tab w:val="right" w:pos="7254"/>
                    </w:tabs>
                    <w:spacing w:after="0"/>
                    <w:contextualSpacing/>
                    <w:jc w:val="left"/>
                    <w:rPr>
                      <w:b/>
                      <w:sz w:val="18"/>
                      <w:szCs w:val="18"/>
                    </w:rPr>
                  </w:pPr>
                </w:p>
                <w:p w14:paraId="36048181" w14:textId="77777777" w:rsidR="00157AAA" w:rsidRDefault="00157AAA">
                  <w:pPr>
                    <w:tabs>
                      <w:tab w:val="right" w:pos="7254"/>
                    </w:tabs>
                    <w:spacing w:after="0"/>
                    <w:contextualSpacing/>
                    <w:jc w:val="left"/>
                    <w:rPr>
                      <w:b/>
                      <w:sz w:val="18"/>
                      <w:szCs w:val="18"/>
                    </w:rPr>
                  </w:pPr>
                </w:p>
                <w:p w14:paraId="65E8FC91" w14:textId="77777777" w:rsidR="00157AAA" w:rsidRDefault="00157AAA">
                  <w:pPr>
                    <w:tabs>
                      <w:tab w:val="right" w:pos="7254"/>
                    </w:tabs>
                    <w:spacing w:after="0"/>
                    <w:contextualSpacing/>
                    <w:jc w:val="left"/>
                    <w:rPr>
                      <w:b/>
                      <w:sz w:val="18"/>
                      <w:szCs w:val="18"/>
                    </w:rPr>
                  </w:pPr>
                </w:p>
                <w:p w14:paraId="362E2430" w14:textId="77777777" w:rsidR="00157AAA" w:rsidRDefault="00157AAA">
                  <w:pPr>
                    <w:tabs>
                      <w:tab w:val="right" w:pos="7254"/>
                    </w:tabs>
                    <w:spacing w:after="0"/>
                    <w:contextualSpacing/>
                    <w:jc w:val="left"/>
                    <w:rPr>
                      <w:b/>
                      <w:sz w:val="18"/>
                      <w:szCs w:val="18"/>
                    </w:rPr>
                  </w:pPr>
                </w:p>
                <w:p w14:paraId="232F134A" w14:textId="77777777" w:rsidR="00157AAA" w:rsidRDefault="00157AAA">
                  <w:pPr>
                    <w:tabs>
                      <w:tab w:val="right" w:pos="7254"/>
                    </w:tabs>
                    <w:spacing w:after="0"/>
                    <w:contextualSpacing/>
                    <w:jc w:val="left"/>
                    <w:rPr>
                      <w:b/>
                      <w:sz w:val="18"/>
                      <w:szCs w:val="18"/>
                    </w:rPr>
                  </w:pPr>
                </w:p>
                <w:p w14:paraId="6003CD28" w14:textId="77777777" w:rsidR="00157AAA" w:rsidRDefault="00157AAA">
                  <w:pPr>
                    <w:tabs>
                      <w:tab w:val="right" w:pos="7254"/>
                    </w:tabs>
                    <w:spacing w:after="0"/>
                    <w:contextualSpacing/>
                    <w:jc w:val="left"/>
                    <w:rPr>
                      <w:b/>
                      <w:sz w:val="18"/>
                      <w:szCs w:val="18"/>
                    </w:rPr>
                  </w:pPr>
                </w:p>
                <w:p w14:paraId="0CE2581E" w14:textId="77777777" w:rsidR="00157AAA" w:rsidRDefault="00157AAA">
                  <w:pPr>
                    <w:tabs>
                      <w:tab w:val="right" w:pos="7254"/>
                    </w:tabs>
                    <w:spacing w:after="0"/>
                    <w:contextualSpacing/>
                    <w:jc w:val="left"/>
                    <w:rPr>
                      <w:b/>
                      <w:sz w:val="18"/>
                      <w:szCs w:val="18"/>
                    </w:rPr>
                  </w:pPr>
                </w:p>
                <w:p w14:paraId="625B2F8B" w14:textId="77777777" w:rsidR="00157AAA" w:rsidRDefault="00157AAA">
                  <w:pPr>
                    <w:tabs>
                      <w:tab w:val="right" w:pos="7254"/>
                    </w:tabs>
                    <w:spacing w:after="0"/>
                    <w:contextualSpacing/>
                    <w:jc w:val="left"/>
                    <w:rPr>
                      <w:b/>
                      <w:sz w:val="18"/>
                      <w:szCs w:val="18"/>
                    </w:rPr>
                  </w:pPr>
                </w:p>
                <w:p w14:paraId="5F3BCD9F" w14:textId="77777777" w:rsidR="00157AAA" w:rsidRDefault="00157AAA">
                  <w:pPr>
                    <w:tabs>
                      <w:tab w:val="right" w:pos="7254"/>
                    </w:tabs>
                    <w:spacing w:after="0"/>
                    <w:contextualSpacing/>
                    <w:jc w:val="left"/>
                    <w:rPr>
                      <w:b/>
                      <w:sz w:val="18"/>
                      <w:szCs w:val="18"/>
                    </w:rPr>
                  </w:pPr>
                </w:p>
                <w:p w14:paraId="144C3CB5" w14:textId="77777777" w:rsidR="00157AAA" w:rsidRDefault="00157AAA">
                  <w:pPr>
                    <w:tabs>
                      <w:tab w:val="right" w:pos="7254"/>
                    </w:tabs>
                    <w:spacing w:after="0"/>
                    <w:contextualSpacing/>
                    <w:jc w:val="left"/>
                    <w:rPr>
                      <w:b/>
                      <w:sz w:val="18"/>
                      <w:szCs w:val="18"/>
                    </w:rPr>
                  </w:pPr>
                </w:p>
                <w:p w14:paraId="4BC1AD77" w14:textId="77777777" w:rsidR="00157AAA" w:rsidRDefault="00157AAA">
                  <w:pPr>
                    <w:tabs>
                      <w:tab w:val="right" w:pos="7254"/>
                    </w:tabs>
                    <w:spacing w:after="0"/>
                    <w:contextualSpacing/>
                    <w:jc w:val="left"/>
                    <w:rPr>
                      <w:b/>
                      <w:sz w:val="18"/>
                      <w:szCs w:val="18"/>
                    </w:rPr>
                  </w:pPr>
                </w:p>
                <w:p w14:paraId="60289388" w14:textId="77777777" w:rsidR="00157AAA" w:rsidRDefault="006C1BE5">
                  <w:pPr>
                    <w:tabs>
                      <w:tab w:val="right" w:pos="7254"/>
                    </w:tabs>
                    <w:spacing w:after="0"/>
                    <w:contextualSpacing/>
                    <w:jc w:val="left"/>
                    <w:rPr>
                      <w:b/>
                      <w:sz w:val="18"/>
                      <w:szCs w:val="18"/>
                    </w:rPr>
                  </w:pPr>
                  <w:r>
                    <w:rPr>
                      <w:b/>
                      <w:sz w:val="18"/>
                      <w:szCs w:val="18"/>
                    </w:rPr>
                    <w:t>25%</w:t>
                  </w:r>
                </w:p>
              </w:tc>
            </w:tr>
            <w:tr w:rsidR="00157AAA" w14:paraId="4B17C791" w14:textId="77777777" w:rsidTr="0093306E">
              <w:tc>
                <w:tcPr>
                  <w:tcW w:w="5321" w:type="dxa"/>
                  <w:vAlign w:val="bottom"/>
                </w:tcPr>
                <w:p w14:paraId="099FF648" w14:textId="77777777" w:rsidR="00157AAA" w:rsidRDefault="006C1BE5">
                  <w:pPr>
                    <w:spacing w:after="0"/>
                    <w:rPr>
                      <w:rFonts w:eastAsiaTheme="minorHAnsi"/>
                      <w:sz w:val="18"/>
                      <w:szCs w:val="18"/>
                    </w:rPr>
                  </w:pPr>
                  <w:r>
                    <w:rPr>
                      <w:b/>
                      <w:i/>
                      <w:szCs w:val="24"/>
                    </w:rPr>
                    <w:t>Software and Hardware Architecture – (Application, Development, Open, Scalable, Extensible)</w:t>
                  </w:r>
                  <w:r>
                    <w:rPr>
                      <w:b/>
                      <w:i/>
                      <w:sz w:val="18"/>
                      <w:szCs w:val="18"/>
                    </w:rPr>
                    <w:t xml:space="preserve">: </w:t>
                  </w:r>
                  <w:r>
                    <w:rPr>
                      <w:rFonts w:eastAsiaTheme="minorHAnsi"/>
                      <w:sz w:val="18"/>
                      <w:szCs w:val="18"/>
                    </w:rPr>
                    <w:t>How well is the application architecture compared to best industry practices and latest technology and trends? Can the system easily be enhanced with new capabilities without having to make major changes to the system infrastructure? Score 0%–15% for not adequately presenting how the requirements will be met; 16%–49% for not enough details provided to demonstrate how the requirements will be met, 50%–79% - for meeting the requirements; sufficient information to demonstrate how the requirement is met; 80%–89% - for marginally exceeding the requirements; sufficient information to demonstrate that the requirement will be marginally exceeded; 90%–100% - for significantly exceeding the requirements; sufficient information that significantly exceeds the requirements and/or contributes to significant value addition.</w:t>
                  </w:r>
                </w:p>
                <w:p w14:paraId="58B7E2F9" w14:textId="77777777" w:rsidR="00157AAA" w:rsidRDefault="00157AAA">
                  <w:pPr>
                    <w:spacing w:after="0"/>
                    <w:rPr>
                      <w:rFonts w:eastAsiaTheme="minorHAnsi"/>
                      <w:b/>
                      <w:i/>
                      <w:szCs w:val="24"/>
                    </w:rPr>
                  </w:pPr>
                </w:p>
                <w:p w14:paraId="218B5ADA" w14:textId="77777777" w:rsidR="00157AAA" w:rsidRDefault="006C1BE5">
                  <w:pPr>
                    <w:spacing w:after="0"/>
                    <w:rPr>
                      <w:sz w:val="18"/>
                      <w:szCs w:val="18"/>
                    </w:rPr>
                  </w:pPr>
                  <w:r>
                    <w:rPr>
                      <w:rFonts w:eastAsiaTheme="minorHAnsi"/>
                      <w:b/>
                      <w:i/>
                      <w:szCs w:val="24"/>
                    </w:rPr>
                    <w:t>Transfer of Knowledge &amp; Training</w:t>
                  </w:r>
                  <w:r>
                    <w:rPr>
                      <w:rFonts w:eastAsiaTheme="minorHAnsi"/>
                      <w:sz w:val="18"/>
                      <w:szCs w:val="18"/>
                    </w:rPr>
                    <w:t xml:space="preserve">: Transfer of knowledge to the customer. Quality of the End-user training approach. </w:t>
                  </w:r>
                  <w:r>
                    <w:rPr>
                      <w:sz w:val="18"/>
                      <w:szCs w:val="18"/>
                    </w:rPr>
                    <w:t>a. Transfer of knowledge to ICT staff:</w:t>
                  </w:r>
                </w:p>
                <w:p w14:paraId="7A29225A" w14:textId="77777777" w:rsidR="00157AAA" w:rsidRDefault="006C1BE5">
                  <w:pPr>
                    <w:spacing w:after="0"/>
                    <w:rPr>
                      <w:rFonts w:eastAsiaTheme="minorHAnsi"/>
                      <w:sz w:val="18"/>
                      <w:szCs w:val="18"/>
                    </w:rPr>
                  </w:pPr>
                  <w:r>
                    <w:rPr>
                      <w:rFonts w:eastAsiaTheme="minorHAnsi"/>
                      <w:sz w:val="18"/>
                      <w:szCs w:val="18"/>
                    </w:rPr>
                    <w:t>Score 0%–15% for not adequately presenting how the training activities  will be undertaken; 16%–49% for not enough details provided to demonstrate the types of trainings that will be implemented, 50%–79% - for meeting the requirements; sufficient information to demonstrate how the training will be implemented and training courses; 80%–89% - for marginally exceeding the requirements; sufficient information to demonstrate additional training activities that might be required 90%–</w:t>
                  </w:r>
                  <w:r>
                    <w:rPr>
                      <w:rFonts w:eastAsiaTheme="minorHAnsi"/>
                      <w:sz w:val="18"/>
                      <w:szCs w:val="18"/>
                    </w:rPr>
                    <w:lastRenderedPageBreak/>
                    <w:t xml:space="preserve">100% - for significantly exceeding the requirements; sufficient information that demonstrate additional training activities for all end users. </w:t>
                  </w:r>
                </w:p>
                <w:p w14:paraId="0D3F4D90" w14:textId="77777777" w:rsidR="001A145B" w:rsidRDefault="001A145B">
                  <w:pPr>
                    <w:spacing w:after="0"/>
                    <w:rPr>
                      <w:rFonts w:eastAsiaTheme="minorHAnsi"/>
                      <w:sz w:val="18"/>
                      <w:szCs w:val="18"/>
                    </w:rPr>
                  </w:pPr>
                </w:p>
                <w:p w14:paraId="716034B3" w14:textId="77777777" w:rsidR="00BD2312" w:rsidRDefault="00BD2312" w:rsidP="00BD2312">
                  <w:pPr>
                    <w:rPr>
                      <w:sz w:val="18"/>
                      <w:szCs w:val="18"/>
                    </w:rPr>
                  </w:pPr>
                  <w:proofErr w:type="gramStart"/>
                  <w:r w:rsidRPr="00DE1F8A">
                    <w:rPr>
                      <w:b/>
                      <w:i/>
                      <w:iCs/>
                      <w:szCs w:val="24"/>
                    </w:rPr>
                    <w:t>Key  Experts</w:t>
                  </w:r>
                  <w:proofErr w:type="gramEnd"/>
                  <w:r w:rsidRPr="00DE1F8A">
                    <w:rPr>
                      <w:b/>
                      <w:i/>
                      <w:iCs/>
                      <w:szCs w:val="24"/>
                    </w:rPr>
                    <w:t>’ Qualifications and Competence for the Assignment:</w:t>
                  </w:r>
                  <w:r w:rsidRPr="00DE1F8A">
                    <w:rPr>
                      <w:b/>
                      <w:sz w:val="18"/>
                      <w:szCs w:val="18"/>
                    </w:rPr>
                    <w:t xml:space="preserve"> </w:t>
                  </w:r>
                  <w:r w:rsidRPr="00DE1F8A">
                    <w:rPr>
                      <w:sz w:val="18"/>
                      <w:szCs w:val="18"/>
                    </w:rPr>
                    <w:t>Relevant experience and skills of the proposed</w:t>
                  </w:r>
                  <w:r w:rsidRPr="00DE1F8A">
                    <w:t xml:space="preserve"> </w:t>
                  </w:r>
                  <w:r w:rsidRPr="00DE1F8A">
                    <w:rPr>
                      <w:sz w:val="18"/>
                      <w:szCs w:val="18"/>
                    </w:rPr>
                    <w:t>key experts’ qualifications (education, training, and experience); adequacy for the assignment (relevant experience in the ICT sector/similar assignments); relevant experience in the region (working level fluency in Macedonian language/knowledge of local culture or administrative system, government organization, etc.); participation of nationals among proposed Key Experts. Score: 0%–15% - means that the experience of key experts is not adequately presented; no relevant information to demonstrate the requirement; 16%–49% - for the required experience being present but showing deficiencies such as insufficient or information that lacks clarity; 50%–79% - for meeting the requirements; sufficient information to demonstrate how the requirement is met; 80%–89% - for marginally exceeding the requirements; sufficient information to demonstrate that the requirement will be marginally exceeded; 90%–100% - for significantly exceeding the requirements; sufficient information that significantly exceed the relevant experience and skills of the proposed key experts.</w:t>
                  </w:r>
                  <w:r>
                    <w:rPr>
                      <w:sz w:val="18"/>
                      <w:szCs w:val="18"/>
                    </w:rPr>
                    <w:t xml:space="preserve"> </w:t>
                  </w:r>
                </w:p>
                <w:p w14:paraId="02A9A12D" w14:textId="77777777" w:rsidR="001F1452" w:rsidRDefault="001F1452">
                  <w:pPr>
                    <w:spacing w:after="0"/>
                    <w:rPr>
                      <w:rFonts w:eastAsiaTheme="minorHAnsi"/>
                      <w:sz w:val="18"/>
                      <w:szCs w:val="18"/>
                    </w:rPr>
                  </w:pPr>
                </w:p>
                <w:p w14:paraId="069F3E45" w14:textId="3F307C91" w:rsidR="00157AAA" w:rsidRDefault="006C1BE5" w:rsidP="001F1452">
                  <w:pPr>
                    <w:spacing w:after="0"/>
                    <w:contextualSpacing/>
                    <w:rPr>
                      <w:b/>
                      <w:i/>
                      <w:sz w:val="18"/>
                      <w:szCs w:val="18"/>
                    </w:rPr>
                  </w:pPr>
                  <w:r>
                    <w:rPr>
                      <w:rFonts w:eastAsiaTheme="minorHAnsi"/>
                      <w:b/>
                      <w:sz w:val="18"/>
                      <w:szCs w:val="18"/>
                    </w:rPr>
                    <w:t>TOTAL</w:t>
                  </w:r>
                </w:p>
              </w:tc>
              <w:tc>
                <w:tcPr>
                  <w:tcW w:w="1418" w:type="dxa"/>
                </w:tcPr>
                <w:p w14:paraId="26249E8E" w14:textId="77777777" w:rsidR="00157AAA" w:rsidRDefault="00157AAA">
                  <w:pPr>
                    <w:tabs>
                      <w:tab w:val="right" w:pos="7254"/>
                    </w:tabs>
                    <w:spacing w:after="0"/>
                    <w:contextualSpacing/>
                    <w:jc w:val="left"/>
                    <w:rPr>
                      <w:sz w:val="18"/>
                      <w:szCs w:val="18"/>
                    </w:rPr>
                  </w:pPr>
                </w:p>
                <w:p w14:paraId="65E37DFB" w14:textId="77777777" w:rsidR="00157AAA" w:rsidRDefault="00157AAA">
                  <w:pPr>
                    <w:tabs>
                      <w:tab w:val="right" w:pos="7254"/>
                    </w:tabs>
                    <w:spacing w:after="0"/>
                    <w:contextualSpacing/>
                    <w:jc w:val="left"/>
                    <w:rPr>
                      <w:b/>
                      <w:sz w:val="18"/>
                      <w:szCs w:val="18"/>
                    </w:rPr>
                  </w:pPr>
                </w:p>
                <w:p w14:paraId="63650290" w14:textId="77777777" w:rsidR="00157AAA" w:rsidRDefault="00157AAA">
                  <w:pPr>
                    <w:tabs>
                      <w:tab w:val="right" w:pos="7254"/>
                    </w:tabs>
                    <w:spacing w:after="0"/>
                    <w:contextualSpacing/>
                    <w:jc w:val="left"/>
                    <w:rPr>
                      <w:b/>
                      <w:sz w:val="18"/>
                      <w:szCs w:val="18"/>
                    </w:rPr>
                  </w:pPr>
                </w:p>
                <w:p w14:paraId="35203C3C" w14:textId="77777777" w:rsidR="00157AAA" w:rsidRDefault="006C1BE5">
                  <w:pPr>
                    <w:tabs>
                      <w:tab w:val="right" w:pos="7254"/>
                    </w:tabs>
                    <w:spacing w:after="0"/>
                    <w:contextualSpacing/>
                    <w:jc w:val="left"/>
                    <w:rPr>
                      <w:b/>
                      <w:sz w:val="18"/>
                      <w:szCs w:val="18"/>
                    </w:rPr>
                  </w:pPr>
                  <w:r>
                    <w:rPr>
                      <w:b/>
                      <w:sz w:val="18"/>
                      <w:szCs w:val="18"/>
                    </w:rPr>
                    <w:t>25%</w:t>
                  </w:r>
                </w:p>
                <w:p w14:paraId="30B38F2F" w14:textId="77777777" w:rsidR="00157AAA" w:rsidRDefault="00157AAA">
                  <w:pPr>
                    <w:tabs>
                      <w:tab w:val="right" w:pos="7254"/>
                    </w:tabs>
                    <w:spacing w:after="0"/>
                    <w:contextualSpacing/>
                    <w:jc w:val="left"/>
                    <w:rPr>
                      <w:b/>
                      <w:sz w:val="18"/>
                      <w:szCs w:val="18"/>
                    </w:rPr>
                  </w:pPr>
                </w:p>
                <w:p w14:paraId="7388B931" w14:textId="77777777" w:rsidR="00157AAA" w:rsidRDefault="00157AAA">
                  <w:pPr>
                    <w:tabs>
                      <w:tab w:val="right" w:pos="7254"/>
                    </w:tabs>
                    <w:spacing w:after="0"/>
                    <w:contextualSpacing/>
                    <w:jc w:val="left"/>
                    <w:rPr>
                      <w:b/>
                      <w:sz w:val="18"/>
                      <w:szCs w:val="18"/>
                    </w:rPr>
                  </w:pPr>
                </w:p>
                <w:p w14:paraId="5F3572B4" w14:textId="77777777" w:rsidR="00157AAA" w:rsidRDefault="00157AAA">
                  <w:pPr>
                    <w:tabs>
                      <w:tab w:val="right" w:pos="7254"/>
                    </w:tabs>
                    <w:spacing w:after="0"/>
                    <w:contextualSpacing/>
                    <w:jc w:val="left"/>
                    <w:rPr>
                      <w:b/>
                      <w:sz w:val="18"/>
                      <w:szCs w:val="18"/>
                    </w:rPr>
                  </w:pPr>
                </w:p>
                <w:p w14:paraId="207E3E6E" w14:textId="77777777" w:rsidR="00157AAA" w:rsidRDefault="00157AAA">
                  <w:pPr>
                    <w:tabs>
                      <w:tab w:val="right" w:pos="7254"/>
                    </w:tabs>
                    <w:spacing w:after="0"/>
                    <w:contextualSpacing/>
                    <w:jc w:val="left"/>
                    <w:rPr>
                      <w:b/>
                      <w:sz w:val="18"/>
                      <w:szCs w:val="18"/>
                    </w:rPr>
                  </w:pPr>
                </w:p>
                <w:p w14:paraId="262DD00A" w14:textId="77777777" w:rsidR="00157AAA" w:rsidRDefault="00157AAA">
                  <w:pPr>
                    <w:tabs>
                      <w:tab w:val="right" w:pos="7254"/>
                    </w:tabs>
                    <w:spacing w:after="0"/>
                    <w:contextualSpacing/>
                    <w:jc w:val="left"/>
                    <w:rPr>
                      <w:b/>
                      <w:sz w:val="18"/>
                      <w:szCs w:val="18"/>
                    </w:rPr>
                  </w:pPr>
                </w:p>
                <w:p w14:paraId="4692CD73" w14:textId="77777777" w:rsidR="00157AAA" w:rsidRDefault="00157AAA">
                  <w:pPr>
                    <w:tabs>
                      <w:tab w:val="right" w:pos="7254"/>
                    </w:tabs>
                    <w:spacing w:after="0"/>
                    <w:contextualSpacing/>
                    <w:jc w:val="left"/>
                    <w:rPr>
                      <w:b/>
                      <w:sz w:val="18"/>
                      <w:szCs w:val="18"/>
                    </w:rPr>
                  </w:pPr>
                </w:p>
                <w:p w14:paraId="08E08900" w14:textId="77777777" w:rsidR="00157AAA" w:rsidRDefault="00157AAA">
                  <w:pPr>
                    <w:tabs>
                      <w:tab w:val="right" w:pos="7254"/>
                    </w:tabs>
                    <w:spacing w:after="0"/>
                    <w:contextualSpacing/>
                    <w:jc w:val="left"/>
                    <w:rPr>
                      <w:b/>
                      <w:sz w:val="18"/>
                      <w:szCs w:val="18"/>
                    </w:rPr>
                  </w:pPr>
                </w:p>
                <w:p w14:paraId="28F47EC5" w14:textId="77777777" w:rsidR="00157AAA" w:rsidRDefault="00157AAA">
                  <w:pPr>
                    <w:tabs>
                      <w:tab w:val="right" w:pos="7254"/>
                    </w:tabs>
                    <w:spacing w:after="0"/>
                    <w:contextualSpacing/>
                    <w:jc w:val="left"/>
                    <w:rPr>
                      <w:b/>
                      <w:sz w:val="18"/>
                      <w:szCs w:val="18"/>
                    </w:rPr>
                  </w:pPr>
                </w:p>
                <w:p w14:paraId="46B02721" w14:textId="77777777" w:rsidR="00157AAA" w:rsidRDefault="00157AAA">
                  <w:pPr>
                    <w:tabs>
                      <w:tab w:val="right" w:pos="7254"/>
                    </w:tabs>
                    <w:spacing w:after="0"/>
                    <w:contextualSpacing/>
                    <w:jc w:val="left"/>
                    <w:rPr>
                      <w:b/>
                      <w:sz w:val="18"/>
                      <w:szCs w:val="18"/>
                    </w:rPr>
                  </w:pPr>
                </w:p>
                <w:p w14:paraId="6ED9F57A" w14:textId="77777777" w:rsidR="00157AAA" w:rsidRDefault="00157AAA">
                  <w:pPr>
                    <w:tabs>
                      <w:tab w:val="right" w:pos="7254"/>
                    </w:tabs>
                    <w:spacing w:after="0"/>
                    <w:contextualSpacing/>
                    <w:jc w:val="left"/>
                    <w:rPr>
                      <w:b/>
                      <w:sz w:val="18"/>
                      <w:szCs w:val="18"/>
                    </w:rPr>
                  </w:pPr>
                </w:p>
                <w:p w14:paraId="3AAB3704" w14:textId="77777777" w:rsidR="00157AAA" w:rsidRDefault="00157AAA">
                  <w:pPr>
                    <w:tabs>
                      <w:tab w:val="right" w:pos="7254"/>
                    </w:tabs>
                    <w:spacing w:after="0"/>
                    <w:contextualSpacing/>
                    <w:jc w:val="left"/>
                    <w:rPr>
                      <w:b/>
                      <w:sz w:val="18"/>
                      <w:szCs w:val="18"/>
                    </w:rPr>
                  </w:pPr>
                </w:p>
                <w:p w14:paraId="556A6B4B" w14:textId="77777777" w:rsidR="00157AAA" w:rsidRDefault="00157AAA">
                  <w:pPr>
                    <w:tabs>
                      <w:tab w:val="right" w:pos="7254"/>
                    </w:tabs>
                    <w:spacing w:after="0"/>
                    <w:contextualSpacing/>
                    <w:jc w:val="left"/>
                    <w:rPr>
                      <w:b/>
                      <w:sz w:val="18"/>
                      <w:szCs w:val="18"/>
                    </w:rPr>
                  </w:pPr>
                </w:p>
                <w:p w14:paraId="6EA30A17" w14:textId="77777777" w:rsidR="00157AAA" w:rsidRDefault="00157AAA">
                  <w:pPr>
                    <w:tabs>
                      <w:tab w:val="right" w:pos="7254"/>
                    </w:tabs>
                    <w:spacing w:after="0"/>
                    <w:contextualSpacing/>
                    <w:jc w:val="left"/>
                    <w:rPr>
                      <w:b/>
                      <w:sz w:val="18"/>
                      <w:szCs w:val="18"/>
                    </w:rPr>
                  </w:pPr>
                </w:p>
                <w:p w14:paraId="7FC6F921" w14:textId="77777777" w:rsidR="00157AAA" w:rsidRDefault="00157AAA">
                  <w:pPr>
                    <w:tabs>
                      <w:tab w:val="right" w:pos="7254"/>
                    </w:tabs>
                    <w:spacing w:after="0"/>
                    <w:contextualSpacing/>
                    <w:jc w:val="left"/>
                    <w:rPr>
                      <w:b/>
                      <w:sz w:val="18"/>
                      <w:szCs w:val="18"/>
                    </w:rPr>
                  </w:pPr>
                </w:p>
                <w:p w14:paraId="6FFCF1D4" w14:textId="4BB25832" w:rsidR="00157AAA" w:rsidRDefault="00131E9A">
                  <w:pPr>
                    <w:tabs>
                      <w:tab w:val="right" w:pos="7254"/>
                    </w:tabs>
                    <w:spacing w:after="0"/>
                    <w:contextualSpacing/>
                    <w:jc w:val="left"/>
                    <w:rPr>
                      <w:b/>
                      <w:sz w:val="18"/>
                      <w:szCs w:val="18"/>
                    </w:rPr>
                  </w:pPr>
                  <w:r w:rsidRPr="003C1B96">
                    <w:rPr>
                      <w:b/>
                      <w:sz w:val="18"/>
                      <w:szCs w:val="18"/>
                    </w:rPr>
                    <w:t>10</w:t>
                  </w:r>
                  <w:r w:rsidR="006C1BE5">
                    <w:rPr>
                      <w:b/>
                      <w:sz w:val="18"/>
                      <w:szCs w:val="18"/>
                    </w:rPr>
                    <w:t>%</w:t>
                  </w:r>
                </w:p>
                <w:p w14:paraId="55D65045" w14:textId="77777777" w:rsidR="00157AAA" w:rsidRDefault="00157AAA">
                  <w:pPr>
                    <w:tabs>
                      <w:tab w:val="right" w:pos="7254"/>
                    </w:tabs>
                    <w:spacing w:after="0"/>
                    <w:contextualSpacing/>
                    <w:jc w:val="left"/>
                    <w:rPr>
                      <w:b/>
                      <w:sz w:val="18"/>
                      <w:szCs w:val="18"/>
                    </w:rPr>
                  </w:pPr>
                </w:p>
                <w:p w14:paraId="71BAD149" w14:textId="20065F19" w:rsidR="00157AAA" w:rsidRDefault="00157AAA">
                  <w:pPr>
                    <w:tabs>
                      <w:tab w:val="right" w:pos="7254"/>
                    </w:tabs>
                    <w:spacing w:after="0"/>
                    <w:contextualSpacing/>
                    <w:jc w:val="left"/>
                    <w:rPr>
                      <w:b/>
                      <w:sz w:val="18"/>
                      <w:szCs w:val="18"/>
                    </w:rPr>
                  </w:pPr>
                </w:p>
                <w:p w14:paraId="7297750F" w14:textId="77777777" w:rsidR="001F1452" w:rsidRDefault="001F1452">
                  <w:pPr>
                    <w:tabs>
                      <w:tab w:val="right" w:pos="7254"/>
                    </w:tabs>
                    <w:spacing w:after="0"/>
                    <w:contextualSpacing/>
                    <w:jc w:val="left"/>
                    <w:rPr>
                      <w:b/>
                      <w:sz w:val="18"/>
                      <w:szCs w:val="18"/>
                    </w:rPr>
                  </w:pPr>
                </w:p>
                <w:p w14:paraId="48F0D16E" w14:textId="77777777" w:rsidR="001F1452" w:rsidRDefault="001F1452">
                  <w:pPr>
                    <w:tabs>
                      <w:tab w:val="right" w:pos="7254"/>
                    </w:tabs>
                    <w:spacing w:after="0"/>
                    <w:contextualSpacing/>
                    <w:jc w:val="left"/>
                    <w:rPr>
                      <w:b/>
                      <w:sz w:val="18"/>
                      <w:szCs w:val="18"/>
                    </w:rPr>
                  </w:pPr>
                </w:p>
                <w:p w14:paraId="4FF1CBB4" w14:textId="77777777" w:rsidR="001F1452" w:rsidRDefault="001F1452">
                  <w:pPr>
                    <w:tabs>
                      <w:tab w:val="right" w:pos="7254"/>
                    </w:tabs>
                    <w:spacing w:after="0"/>
                    <w:contextualSpacing/>
                    <w:jc w:val="left"/>
                    <w:rPr>
                      <w:b/>
                      <w:sz w:val="18"/>
                      <w:szCs w:val="18"/>
                    </w:rPr>
                  </w:pPr>
                </w:p>
                <w:p w14:paraId="1CC7E7EE" w14:textId="77777777" w:rsidR="001F1452" w:rsidRDefault="001F1452">
                  <w:pPr>
                    <w:tabs>
                      <w:tab w:val="right" w:pos="7254"/>
                    </w:tabs>
                    <w:spacing w:after="0"/>
                    <w:contextualSpacing/>
                    <w:jc w:val="left"/>
                    <w:rPr>
                      <w:b/>
                      <w:sz w:val="18"/>
                      <w:szCs w:val="18"/>
                    </w:rPr>
                  </w:pPr>
                </w:p>
                <w:p w14:paraId="32B0BE1C" w14:textId="77777777" w:rsidR="001F1452" w:rsidRDefault="001F1452">
                  <w:pPr>
                    <w:tabs>
                      <w:tab w:val="right" w:pos="7254"/>
                    </w:tabs>
                    <w:spacing w:after="0"/>
                    <w:contextualSpacing/>
                    <w:jc w:val="left"/>
                    <w:rPr>
                      <w:b/>
                      <w:sz w:val="18"/>
                      <w:szCs w:val="18"/>
                    </w:rPr>
                  </w:pPr>
                </w:p>
                <w:p w14:paraId="7FB095AF" w14:textId="77777777" w:rsidR="001F1452" w:rsidRDefault="001F1452">
                  <w:pPr>
                    <w:tabs>
                      <w:tab w:val="right" w:pos="7254"/>
                    </w:tabs>
                    <w:spacing w:after="0"/>
                    <w:contextualSpacing/>
                    <w:jc w:val="left"/>
                    <w:rPr>
                      <w:b/>
                      <w:sz w:val="18"/>
                      <w:szCs w:val="18"/>
                    </w:rPr>
                  </w:pPr>
                </w:p>
                <w:p w14:paraId="1760A0A1" w14:textId="77777777" w:rsidR="001F1452" w:rsidRDefault="001F1452">
                  <w:pPr>
                    <w:tabs>
                      <w:tab w:val="right" w:pos="7254"/>
                    </w:tabs>
                    <w:spacing w:after="0"/>
                    <w:contextualSpacing/>
                    <w:jc w:val="left"/>
                    <w:rPr>
                      <w:b/>
                      <w:sz w:val="18"/>
                      <w:szCs w:val="18"/>
                    </w:rPr>
                  </w:pPr>
                </w:p>
                <w:p w14:paraId="01662AF3" w14:textId="77777777" w:rsidR="001F1452" w:rsidRDefault="001F1452">
                  <w:pPr>
                    <w:tabs>
                      <w:tab w:val="right" w:pos="7254"/>
                    </w:tabs>
                    <w:spacing w:after="0"/>
                    <w:contextualSpacing/>
                    <w:jc w:val="left"/>
                    <w:rPr>
                      <w:b/>
                      <w:sz w:val="18"/>
                      <w:szCs w:val="18"/>
                    </w:rPr>
                  </w:pPr>
                </w:p>
                <w:p w14:paraId="1F9722AC" w14:textId="77777777" w:rsidR="001F1452" w:rsidRDefault="001F1452">
                  <w:pPr>
                    <w:tabs>
                      <w:tab w:val="right" w:pos="7254"/>
                    </w:tabs>
                    <w:spacing w:after="0"/>
                    <w:contextualSpacing/>
                    <w:jc w:val="left"/>
                    <w:rPr>
                      <w:b/>
                      <w:sz w:val="18"/>
                      <w:szCs w:val="18"/>
                    </w:rPr>
                  </w:pPr>
                </w:p>
                <w:p w14:paraId="70609975" w14:textId="77777777" w:rsidR="001F1452" w:rsidRDefault="001F1452">
                  <w:pPr>
                    <w:tabs>
                      <w:tab w:val="right" w:pos="7254"/>
                    </w:tabs>
                    <w:spacing w:after="0"/>
                    <w:contextualSpacing/>
                    <w:jc w:val="left"/>
                    <w:rPr>
                      <w:b/>
                      <w:sz w:val="18"/>
                      <w:szCs w:val="18"/>
                    </w:rPr>
                  </w:pPr>
                </w:p>
                <w:p w14:paraId="2365E760" w14:textId="77777777" w:rsidR="00DE1F8A" w:rsidRDefault="00DE1F8A">
                  <w:pPr>
                    <w:tabs>
                      <w:tab w:val="right" w:pos="7254"/>
                    </w:tabs>
                    <w:spacing w:after="0"/>
                    <w:contextualSpacing/>
                    <w:jc w:val="left"/>
                    <w:rPr>
                      <w:b/>
                      <w:sz w:val="18"/>
                      <w:szCs w:val="18"/>
                      <w:highlight w:val="green"/>
                    </w:rPr>
                  </w:pPr>
                </w:p>
                <w:p w14:paraId="2CE9CC5E" w14:textId="7333C051" w:rsidR="001F1452" w:rsidRDefault="0075556C">
                  <w:pPr>
                    <w:tabs>
                      <w:tab w:val="right" w:pos="7254"/>
                    </w:tabs>
                    <w:spacing w:after="0"/>
                    <w:contextualSpacing/>
                    <w:jc w:val="left"/>
                    <w:rPr>
                      <w:b/>
                      <w:sz w:val="18"/>
                      <w:szCs w:val="18"/>
                    </w:rPr>
                  </w:pPr>
                  <w:r w:rsidRPr="00DE1F8A">
                    <w:rPr>
                      <w:b/>
                      <w:sz w:val="18"/>
                      <w:szCs w:val="18"/>
                    </w:rPr>
                    <w:t>1</w:t>
                  </w:r>
                  <w:r w:rsidR="001A145B" w:rsidRPr="00DE1F8A">
                    <w:rPr>
                      <w:b/>
                      <w:sz w:val="18"/>
                      <w:szCs w:val="18"/>
                    </w:rPr>
                    <w:t>5</w:t>
                  </w:r>
                  <w:r w:rsidRPr="00DE1F8A">
                    <w:rPr>
                      <w:b/>
                      <w:sz w:val="18"/>
                      <w:szCs w:val="18"/>
                    </w:rPr>
                    <w:t>%</w:t>
                  </w:r>
                </w:p>
                <w:p w14:paraId="04F66DDB" w14:textId="77777777" w:rsidR="001F1452" w:rsidRDefault="001F1452">
                  <w:pPr>
                    <w:tabs>
                      <w:tab w:val="right" w:pos="7254"/>
                    </w:tabs>
                    <w:spacing w:after="0"/>
                    <w:contextualSpacing/>
                    <w:jc w:val="left"/>
                    <w:rPr>
                      <w:b/>
                      <w:sz w:val="18"/>
                      <w:szCs w:val="18"/>
                    </w:rPr>
                  </w:pPr>
                </w:p>
                <w:p w14:paraId="63417154" w14:textId="77777777" w:rsidR="001F1452" w:rsidRDefault="001F1452">
                  <w:pPr>
                    <w:tabs>
                      <w:tab w:val="right" w:pos="7254"/>
                    </w:tabs>
                    <w:spacing w:after="0"/>
                    <w:contextualSpacing/>
                    <w:jc w:val="left"/>
                    <w:rPr>
                      <w:b/>
                      <w:sz w:val="18"/>
                      <w:szCs w:val="18"/>
                    </w:rPr>
                  </w:pPr>
                </w:p>
                <w:p w14:paraId="4992C90A" w14:textId="77777777" w:rsidR="001F1452" w:rsidRDefault="001F1452">
                  <w:pPr>
                    <w:tabs>
                      <w:tab w:val="right" w:pos="7254"/>
                    </w:tabs>
                    <w:spacing w:after="0"/>
                    <w:contextualSpacing/>
                    <w:jc w:val="left"/>
                    <w:rPr>
                      <w:b/>
                      <w:sz w:val="18"/>
                      <w:szCs w:val="18"/>
                    </w:rPr>
                  </w:pPr>
                </w:p>
                <w:p w14:paraId="290AE6D2" w14:textId="77777777" w:rsidR="001F1452" w:rsidRDefault="001F1452">
                  <w:pPr>
                    <w:tabs>
                      <w:tab w:val="right" w:pos="7254"/>
                    </w:tabs>
                    <w:spacing w:after="0"/>
                    <w:contextualSpacing/>
                    <w:jc w:val="left"/>
                    <w:rPr>
                      <w:b/>
                      <w:sz w:val="18"/>
                      <w:szCs w:val="18"/>
                    </w:rPr>
                  </w:pPr>
                </w:p>
                <w:p w14:paraId="6D63A747" w14:textId="77777777" w:rsidR="001F1452" w:rsidRDefault="001F1452">
                  <w:pPr>
                    <w:tabs>
                      <w:tab w:val="right" w:pos="7254"/>
                    </w:tabs>
                    <w:spacing w:after="0"/>
                    <w:contextualSpacing/>
                    <w:jc w:val="left"/>
                    <w:rPr>
                      <w:b/>
                      <w:sz w:val="18"/>
                      <w:szCs w:val="18"/>
                    </w:rPr>
                  </w:pPr>
                </w:p>
                <w:p w14:paraId="037E9EA5" w14:textId="77777777" w:rsidR="001F1452" w:rsidRDefault="001F1452">
                  <w:pPr>
                    <w:tabs>
                      <w:tab w:val="right" w:pos="7254"/>
                    </w:tabs>
                    <w:spacing w:after="0"/>
                    <w:contextualSpacing/>
                    <w:jc w:val="left"/>
                    <w:rPr>
                      <w:b/>
                      <w:sz w:val="18"/>
                      <w:szCs w:val="18"/>
                    </w:rPr>
                  </w:pPr>
                </w:p>
                <w:p w14:paraId="16BE5A4C" w14:textId="77777777" w:rsidR="001F1452" w:rsidRDefault="001F1452">
                  <w:pPr>
                    <w:tabs>
                      <w:tab w:val="right" w:pos="7254"/>
                    </w:tabs>
                    <w:spacing w:after="0"/>
                    <w:contextualSpacing/>
                    <w:jc w:val="left"/>
                    <w:rPr>
                      <w:b/>
                      <w:sz w:val="18"/>
                      <w:szCs w:val="18"/>
                    </w:rPr>
                  </w:pPr>
                </w:p>
                <w:p w14:paraId="38DC4655" w14:textId="77777777" w:rsidR="00131E9A" w:rsidRDefault="00131E9A">
                  <w:pPr>
                    <w:tabs>
                      <w:tab w:val="right" w:pos="7254"/>
                    </w:tabs>
                    <w:spacing w:after="0"/>
                    <w:contextualSpacing/>
                    <w:jc w:val="left"/>
                    <w:rPr>
                      <w:b/>
                      <w:sz w:val="18"/>
                      <w:szCs w:val="18"/>
                    </w:rPr>
                  </w:pPr>
                </w:p>
                <w:p w14:paraId="3B08DEAB" w14:textId="77777777" w:rsidR="00131E9A" w:rsidRDefault="00131E9A">
                  <w:pPr>
                    <w:tabs>
                      <w:tab w:val="right" w:pos="7254"/>
                    </w:tabs>
                    <w:spacing w:after="0"/>
                    <w:contextualSpacing/>
                    <w:jc w:val="left"/>
                    <w:rPr>
                      <w:b/>
                      <w:sz w:val="18"/>
                      <w:szCs w:val="18"/>
                    </w:rPr>
                  </w:pPr>
                </w:p>
                <w:p w14:paraId="34268740" w14:textId="77777777" w:rsidR="00131E9A" w:rsidRDefault="00131E9A">
                  <w:pPr>
                    <w:tabs>
                      <w:tab w:val="right" w:pos="7254"/>
                    </w:tabs>
                    <w:spacing w:after="0"/>
                    <w:contextualSpacing/>
                    <w:jc w:val="left"/>
                    <w:rPr>
                      <w:b/>
                      <w:sz w:val="18"/>
                      <w:szCs w:val="18"/>
                    </w:rPr>
                  </w:pPr>
                </w:p>
                <w:p w14:paraId="61A3AA26" w14:textId="77777777" w:rsidR="00131E9A" w:rsidRDefault="00131E9A">
                  <w:pPr>
                    <w:tabs>
                      <w:tab w:val="right" w:pos="7254"/>
                    </w:tabs>
                    <w:spacing w:after="0"/>
                    <w:contextualSpacing/>
                    <w:jc w:val="left"/>
                    <w:rPr>
                      <w:b/>
                      <w:sz w:val="18"/>
                      <w:szCs w:val="18"/>
                    </w:rPr>
                  </w:pPr>
                </w:p>
                <w:p w14:paraId="097A5718" w14:textId="77777777" w:rsidR="00131E9A" w:rsidRDefault="00131E9A">
                  <w:pPr>
                    <w:tabs>
                      <w:tab w:val="right" w:pos="7254"/>
                    </w:tabs>
                    <w:spacing w:after="0"/>
                    <w:contextualSpacing/>
                    <w:jc w:val="left"/>
                    <w:rPr>
                      <w:b/>
                      <w:sz w:val="18"/>
                      <w:szCs w:val="18"/>
                    </w:rPr>
                  </w:pPr>
                </w:p>
                <w:p w14:paraId="0893EF33" w14:textId="77777777" w:rsidR="00131E9A" w:rsidRDefault="00131E9A">
                  <w:pPr>
                    <w:tabs>
                      <w:tab w:val="right" w:pos="7254"/>
                    </w:tabs>
                    <w:spacing w:after="0"/>
                    <w:contextualSpacing/>
                    <w:jc w:val="left"/>
                    <w:rPr>
                      <w:b/>
                      <w:sz w:val="18"/>
                      <w:szCs w:val="18"/>
                    </w:rPr>
                  </w:pPr>
                </w:p>
                <w:p w14:paraId="3CF201D4" w14:textId="77777777" w:rsidR="00131E9A" w:rsidRDefault="00131E9A">
                  <w:pPr>
                    <w:tabs>
                      <w:tab w:val="right" w:pos="7254"/>
                    </w:tabs>
                    <w:spacing w:after="0"/>
                    <w:contextualSpacing/>
                    <w:jc w:val="left"/>
                    <w:rPr>
                      <w:b/>
                      <w:sz w:val="18"/>
                      <w:szCs w:val="18"/>
                    </w:rPr>
                  </w:pPr>
                </w:p>
                <w:p w14:paraId="59F93BDF" w14:textId="77777777" w:rsidR="00131E9A" w:rsidRDefault="00131E9A">
                  <w:pPr>
                    <w:tabs>
                      <w:tab w:val="right" w:pos="7254"/>
                    </w:tabs>
                    <w:spacing w:after="0"/>
                    <w:contextualSpacing/>
                    <w:jc w:val="left"/>
                    <w:rPr>
                      <w:b/>
                      <w:sz w:val="18"/>
                      <w:szCs w:val="18"/>
                    </w:rPr>
                  </w:pPr>
                </w:p>
                <w:p w14:paraId="06A55D97" w14:textId="77777777" w:rsidR="00131E9A" w:rsidRDefault="00131E9A">
                  <w:pPr>
                    <w:tabs>
                      <w:tab w:val="right" w:pos="7254"/>
                    </w:tabs>
                    <w:spacing w:after="0"/>
                    <w:contextualSpacing/>
                    <w:jc w:val="left"/>
                    <w:rPr>
                      <w:b/>
                      <w:sz w:val="18"/>
                      <w:szCs w:val="18"/>
                    </w:rPr>
                  </w:pPr>
                </w:p>
                <w:p w14:paraId="31875A43" w14:textId="77777777" w:rsidR="00ED21E1" w:rsidRDefault="00ED21E1">
                  <w:pPr>
                    <w:tabs>
                      <w:tab w:val="right" w:pos="7254"/>
                    </w:tabs>
                    <w:spacing w:after="0"/>
                    <w:contextualSpacing/>
                    <w:jc w:val="left"/>
                    <w:rPr>
                      <w:b/>
                      <w:sz w:val="18"/>
                      <w:szCs w:val="18"/>
                    </w:rPr>
                  </w:pPr>
                </w:p>
                <w:p w14:paraId="4B849BF5" w14:textId="77777777" w:rsidR="00ED21E1" w:rsidRDefault="00ED21E1">
                  <w:pPr>
                    <w:tabs>
                      <w:tab w:val="right" w:pos="7254"/>
                    </w:tabs>
                    <w:spacing w:after="0"/>
                    <w:contextualSpacing/>
                    <w:jc w:val="left"/>
                    <w:rPr>
                      <w:b/>
                      <w:sz w:val="18"/>
                      <w:szCs w:val="18"/>
                    </w:rPr>
                  </w:pPr>
                </w:p>
                <w:p w14:paraId="2D4C3C74" w14:textId="77777777" w:rsidR="00ED21E1" w:rsidRDefault="00ED21E1">
                  <w:pPr>
                    <w:tabs>
                      <w:tab w:val="right" w:pos="7254"/>
                    </w:tabs>
                    <w:spacing w:after="0"/>
                    <w:contextualSpacing/>
                    <w:jc w:val="left"/>
                    <w:rPr>
                      <w:b/>
                      <w:sz w:val="18"/>
                      <w:szCs w:val="18"/>
                    </w:rPr>
                  </w:pPr>
                </w:p>
                <w:p w14:paraId="6E36E5B8" w14:textId="395FDA73" w:rsidR="0093306E" w:rsidRDefault="00984F71">
                  <w:pPr>
                    <w:tabs>
                      <w:tab w:val="right" w:pos="7254"/>
                    </w:tabs>
                    <w:spacing w:after="0"/>
                    <w:contextualSpacing/>
                    <w:jc w:val="left"/>
                    <w:rPr>
                      <w:b/>
                      <w:sz w:val="18"/>
                      <w:szCs w:val="18"/>
                    </w:rPr>
                  </w:pPr>
                  <w:r>
                    <w:rPr>
                      <w:b/>
                      <w:sz w:val="18"/>
                      <w:szCs w:val="18"/>
                    </w:rPr>
                    <w:t>100%</w:t>
                  </w:r>
                </w:p>
              </w:tc>
            </w:tr>
          </w:tbl>
          <w:p w14:paraId="643C5B3E" w14:textId="77777777" w:rsidR="00157AAA" w:rsidRDefault="006C1BE5">
            <w:pPr>
              <w:tabs>
                <w:tab w:val="right" w:pos="7254"/>
              </w:tabs>
              <w:spacing w:before="120"/>
              <w:rPr>
                <w:b/>
                <w:szCs w:val="24"/>
              </w:rPr>
            </w:pPr>
            <w:r>
              <w:rPr>
                <w:b/>
                <w:szCs w:val="24"/>
              </w:rPr>
              <w:lastRenderedPageBreak/>
              <w:t>Calculation of Final Technical Score</w:t>
            </w:r>
          </w:p>
          <w:p w14:paraId="7A853B74" w14:textId="77777777" w:rsidR="00157AAA" w:rsidRDefault="006C1BE5">
            <w:pPr>
              <w:tabs>
                <w:tab w:val="right" w:pos="7254"/>
              </w:tabs>
              <w:spacing w:before="120"/>
              <w:rPr>
                <w:szCs w:val="24"/>
              </w:rPr>
            </w:pPr>
            <w:r>
              <w:rPr>
                <w:szCs w:val="24"/>
              </w:rPr>
              <w:t xml:space="preserve">Using a Comparative Scoring Methodology, the final technical score is divided by the highest technical </w:t>
            </w:r>
            <w:proofErr w:type="gramStart"/>
            <w:r>
              <w:rPr>
                <w:szCs w:val="24"/>
              </w:rPr>
              <w:t>score</w:t>
            </w:r>
            <w:proofErr w:type="gramEnd"/>
            <w:r>
              <w:rPr>
                <w:szCs w:val="24"/>
              </w:rPr>
              <w:t xml:space="preserve"> </w:t>
            </w:r>
          </w:p>
          <w:p w14:paraId="6446BA7D" w14:textId="3A7C8606" w:rsidR="00157AAA" w:rsidRPr="0093306E" w:rsidRDefault="00000000">
            <w:pPr>
              <w:tabs>
                <w:tab w:val="right" w:pos="7254"/>
              </w:tabs>
              <w:spacing w:before="120"/>
              <w:rPr>
                <w:sz w:val="20"/>
              </w:rPr>
            </w:pPr>
            <m:oMath>
              <m:f>
                <m:fPr>
                  <m:ctrlPr>
                    <w:rPr>
                      <w:rFonts w:ascii="Cambria Math" w:hAnsi="Cambria Math"/>
                      <w:i/>
                      <w:sz w:val="20"/>
                    </w:rPr>
                  </m:ctrlPr>
                </m:fPr>
                <m:num>
                  <m:r>
                    <w:rPr>
                      <w:rFonts w:ascii="Cambria Math" w:hAnsi="Cambria Math"/>
                      <w:sz w:val="20"/>
                    </w:rPr>
                    <m:t>Weighted Technical Score</m:t>
                  </m:r>
                </m:num>
                <m:den>
                  <m:r>
                    <w:rPr>
                      <w:rFonts w:ascii="Cambria Math" w:hAnsi="Cambria Math"/>
                      <w:sz w:val="20"/>
                    </w:rPr>
                    <m:t>Highest Technical Score</m:t>
                  </m:r>
                </m:den>
              </m:f>
            </m:oMath>
            <w:r w:rsidR="006C1BE5" w:rsidRPr="0093306E">
              <w:rPr>
                <w:i/>
                <w:sz w:val="20"/>
              </w:rPr>
              <w:t xml:space="preserve"> ×100 = </w:t>
            </w:r>
            <w:r w:rsidR="006C1BE5" w:rsidRPr="0093306E">
              <w:rPr>
                <w:i/>
                <w:sz w:val="18"/>
                <w:szCs w:val="18"/>
              </w:rPr>
              <w:t>Total Technic</w:t>
            </w:r>
            <w:r w:rsidR="0093306E" w:rsidRPr="0093306E">
              <w:rPr>
                <w:i/>
                <w:sz w:val="18"/>
                <w:szCs w:val="18"/>
              </w:rPr>
              <w:t>al Score × Techn</w:t>
            </w:r>
            <w:r w:rsidR="0093306E">
              <w:rPr>
                <w:i/>
                <w:sz w:val="18"/>
                <w:szCs w:val="18"/>
              </w:rPr>
              <w:t xml:space="preserve">ical Weighting </w:t>
            </w:r>
            <w:r w:rsidR="0093306E" w:rsidRPr="00E0604E">
              <w:rPr>
                <w:i/>
                <w:sz w:val="20"/>
              </w:rPr>
              <w:t>(</w:t>
            </w:r>
            <w:r w:rsidR="0093306E" w:rsidRPr="00B16091">
              <w:rPr>
                <w:b/>
                <w:i/>
                <w:sz w:val="22"/>
                <w:szCs w:val="22"/>
              </w:rPr>
              <w:t>30%</w:t>
            </w:r>
            <w:r w:rsidR="0093306E" w:rsidRPr="00E0604E">
              <w:rPr>
                <w:i/>
                <w:sz w:val="20"/>
              </w:rPr>
              <w:t>)</w:t>
            </w:r>
            <w:r w:rsidR="006C1BE5" w:rsidRPr="0093306E">
              <w:rPr>
                <w:i/>
                <w:sz w:val="20"/>
              </w:rPr>
              <w:t xml:space="preserve"> </w:t>
            </w:r>
          </w:p>
          <w:p w14:paraId="50A0908B" w14:textId="77777777" w:rsidR="00157AAA" w:rsidRDefault="006C1BE5">
            <w:pPr>
              <w:tabs>
                <w:tab w:val="right" w:pos="7254"/>
              </w:tabs>
              <w:spacing w:before="120"/>
              <w:rPr>
                <w:b/>
              </w:rPr>
            </w:pPr>
            <w:r>
              <w:rPr>
                <w:b/>
              </w:rPr>
              <w:t>Financial Cost Evaluation</w:t>
            </w:r>
          </w:p>
          <w:p w14:paraId="3AD5FC63" w14:textId="77777777" w:rsidR="00157AAA" w:rsidRPr="0093306E" w:rsidRDefault="00000000">
            <w:pPr>
              <w:rPr>
                <w:i/>
                <w:sz w:val="18"/>
                <w:szCs w:val="18"/>
              </w:rPr>
            </w:pPr>
            <m:oMath>
              <m:f>
                <m:fPr>
                  <m:ctrlPr>
                    <w:rPr>
                      <w:rFonts w:ascii="Cambria Math" w:hAnsi="Cambria Math"/>
                      <w:sz w:val="20"/>
                    </w:rPr>
                  </m:ctrlPr>
                </m:fPr>
                <m:num>
                  <m:r>
                    <w:rPr>
                      <w:rFonts w:ascii="Cambria Math" w:hAnsi="Cambria Math"/>
                      <w:sz w:val="20"/>
                    </w:rPr>
                    <m:t>The</m:t>
                  </m:r>
                  <m:r>
                    <m:rPr>
                      <m:sty m:val="p"/>
                    </m:rPr>
                    <w:rPr>
                      <w:rFonts w:ascii="Cambria Math" w:hAnsi="Cambria Math"/>
                      <w:sz w:val="20"/>
                    </w:rPr>
                    <m:t xml:space="preserve"> </m:t>
                  </m:r>
                  <m:r>
                    <w:rPr>
                      <w:rFonts w:ascii="Cambria Math" w:hAnsi="Cambria Math"/>
                      <w:sz w:val="20"/>
                    </w:rPr>
                    <m:t>lowest</m:t>
                  </m:r>
                  <m:r>
                    <m:rPr>
                      <m:sty m:val="p"/>
                    </m:rPr>
                    <w:rPr>
                      <w:rFonts w:ascii="Cambria Math" w:hAnsi="Cambria Math"/>
                      <w:sz w:val="20"/>
                    </w:rPr>
                    <m:t xml:space="preserve"> </m:t>
                  </m:r>
                  <m:r>
                    <w:rPr>
                      <w:rFonts w:ascii="Cambria Math" w:hAnsi="Cambria Math"/>
                      <w:sz w:val="20"/>
                    </w:rPr>
                    <m:t>of</m:t>
                  </m:r>
                  <m:r>
                    <m:rPr>
                      <m:sty m:val="p"/>
                    </m:rPr>
                    <w:rPr>
                      <w:rFonts w:ascii="Cambria Math" w:hAnsi="Cambria Math"/>
                      <w:sz w:val="20"/>
                    </w:rPr>
                    <m:t xml:space="preserve"> </m:t>
                  </m:r>
                  <m:r>
                    <w:rPr>
                      <w:rFonts w:ascii="Cambria Math" w:hAnsi="Cambria Math"/>
                      <w:sz w:val="20"/>
                    </w:rPr>
                    <m:t>all</m:t>
                  </m:r>
                  <m:r>
                    <m:rPr>
                      <m:sty m:val="p"/>
                    </m:rPr>
                    <w:rPr>
                      <w:rFonts w:ascii="Cambria Math" w:hAnsi="Cambria Math"/>
                      <w:sz w:val="20"/>
                    </w:rPr>
                    <m:t xml:space="preserve"> </m:t>
                  </m:r>
                  <m:r>
                    <w:rPr>
                      <w:rFonts w:ascii="Cambria Math" w:hAnsi="Cambria Math"/>
                      <w:sz w:val="20"/>
                    </w:rPr>
                    <m:t>Evaluated</m:t>
                  </m:r>
                  <m:r>
                    <m:rPr>
                      <m:sty m:val="p"/>
                    </m:rPr>
                    <w:rPr>
                      <w:rFonts w:ascii="Cambria Math" w:hAnsi="Cambria Math"/>
                      <w:sz w:val="20"/>
                    </w:rPr>
                    <m:t xml:space="preserve"> </m:t>
                  </m:r>
                  <m:r>
                    <w:rPr>
                      <w:rFonts w:ascii="Cambria Math" w:hAnsi="Cambria Math"/>
                      <w:sz w:val="20"/>
                    </w:rPr>
                    <m:t>Bid</m:t>
                  </m:r>
                  <m:r>
                    <m:rPr>
                      <m:sty m:val="p"/>
                    </m:rPr>
                    <w:rPr>
                      <w:rFonts w:ascii="Cambria Math" w:hAnsi="Cambria Math"/>
                      <w:sz w:val="20"/>
                    </w:rPr>
                    <m:t xml:space="preserve"> </m:t>
                  </m:r>
                  <m:r>
                    <w:rPr>
                      <w:rFonts w:ascii="Cambria Math" w:hAnsi="Cambria Math"/>
                      <w:sz w:val="20"/>
                    </w:rPr>
                    <m:t>Prices</m:t>
                  </m:r>
                </m:num>
                <m:den>
                  <m:r>
                    <w:rPr>
                      <w:rFonts w:ascii="Cambria Math" w:hAnsi="Cambria Math"/>
                      <w:sz w:val="20"/>
                    </w:rPr>
                    <m:t>Evaluated</m:t>
                  </m:r>
                  <m:r>
                    <m:rPr>
                      <m:sty m:val="p"/>
                    </m:rPr>
                    <w:rPr>
                      <w:rFonts w:ascii="Cambria Math" w:hAnsi="Cambria Math"/>
                      <w:sz w:val="20"/>
                    </w:rPr>
                    <m:t xml:space="preserve"> </m:t>
                  </m:r>
                  <m:r>
                    <w:rPr>
                      <w:rFonts w:ascii="Cambria Math" w:hAnsi="Cambria Math"/>
                      <w:sz w:val="20"/>
                    </w:rPr>
                    <m:t>Bid</m:t>
                  </m:r>
                  <m:r>
                    <m:rPr>
                      <m:sty m:val="p"/>
                    </m:rPr>
                    <w:rPr>
                      <w:rFonts w:ascii="Cambria Math" w:hAnsi="Cambria Math"/>
                      <w:sz w:val="20"/>
                    </w:rPr>
                    <m:t xml:space="preserve"> </m:t>
                  </m:r>
                  <m:r>
                    <w:rPr>
                      <w:rFonts w:ascii="Cambria Math" w:hAnsi="Cambria Math"/>
                      <w:sz w:val="20"/>
                    </w:rPr>
                    <m:t>Price</m:t>
                  </m:r>
                </m:den>
              </m:f>
            </m:oMath>
            <w:r w:rsidR="006C1BE5" w:rsidRPr="0093306E">
              <w:rPr>
                <w:sz w:val="20"/>
              </w:rPr>
              <w:t xml:space="preserve"> </w:t>
            </w:r>
            <w:r w:rsidR="006C1BE5" w:rsidRPr="0093306E">
              <w:rPr>
                <w:sz w:val="18"/>
                <w:szCs w:val="18"/>
              </w:rPr>
              <w:t>×</w:t>
            </w:r>
            <w:r w:rsidR="006C1BE5" w:rsidRPr="0093306E">
              <w:rPr>
                <w:i/>
                <w:sz w:val="18"/>
                <w:szCs w:val="18"/>
              </w:rPr>
              <w:t xml:space="preserve">100 = Evaluated Bid Price × Financial Weighting </w:t>
            </w:r>
            <w:r w:rsidR="006C1BE5" w:rsidRPr="00E0604E">
              <w:rPr>
                <w:i/>
                <w:sz w:val="20"/>
              </w:rPr>
              <w:t>(</w:t>
            </w:r>
            <w:r w:rsidR="006C1BE5" w:rsidRPr="00B16091">
              <w:rPr>
                <w:b/>
                <w:i/>
                <w:sz w:val="22"/>
                <w:szCs w:val="22"/>
              </w:rPr>
              <w:t>70%</w:t>
            </w:r>
            <w:r w:rsidR="006C1BE5" w:rsidRPr="00E0604E">
              <w:rPr>
                <w:i/>
                <w:sz w:val="20"/>
              </w:rPr>
              <w:t>)</w:t>
            </w:r>
            <w:r w:rsidR="006C1BE5" w:rsidRPr="0093306E">
              <w:rPr>
                <w:i/>
                <w:sz w:val="18"/>
                <w:szCs w:val="18"/>
              </w:rPr>
              <w:t xml:space="preserve">  </w:t>
            </w:r>
          </w:p>
          <w:p w14:paraId="73F41A7F" w14:textId="77777777" w:rsidR="00157AAA" w:rsidRDefault="006C1BE5">
            <w:pPr>
              <w:tabs>
                <w:tab w:val="right" w:pos="7254"/>
              </w:tabs>
              <w:spacing w:before="120"/>
            </w:pPr>
            <w:r>
              <w:rPr>
                <w:b/>
                <w:bCs/>
              </w:rPr>
              <w:t xml:space="preserve">Combined Technical Evaluation and Financial Cost Evaluation </w:t>
            </w:r>
            <w:r>
              <w:t xml:space="preserve">by Applying Overall Weightings determine award recommendation. </w:t>
            </w:r>
          </w:p>
          <w:p w14:paraId="76A96E59" w14:textId="77777777" w:rsidR="00157AAA" w:rsidRDefault="006C1BE5">
            <w:pPr>
              <w:rPr>
                <w:highlight w:val="cyan"/>
              </w:rPr>
            </w:pPr>
            <w:r>
              <w:t>The technical proposal scoring methodology is specified in Section III- Evaluation and Qualification Criteria.</w:t>
            </w:r>
          </w:p>
        </w:tc>
      </w:tr>
      <w:tr w:rsidR="00157AAA" w14:paraId="363F7217" w14:textId="77777777">
        <w:trPr>
          <w:jc w:val="center"/>
        </w:trPr>
        <w:tc>
          <w:tcPr>
            <w:tcW w:w="1503" w:type="dxa"/>
          </w:tcPr>
          <w:p w14:paraId="2E2187A0" w14:textId="77777777" w:rsidR="00157AAA" w:rsidRDefault="006C1BE5">
            <w:pPr>
              <w:tabs>
                <w:tab w:val="right" w:pos="7434"/>
              </w:tabs>
              <w:spacing w:before="120"/>
              <w:rPr>
                <w:b/>
              </w:rPr>
            </w:pPr>
            <w:r>
              <w:rPr>
                <w:b/>
              </w:rPr>
              <w:lastRenderedPageBreak/>
              <w:t>ITB 35.4</w:t>
            </w:r>
          </w:p>
        </w:tc>
        <w:tc>
          <w:tcPr>
            <w:tcW w:w="7137" w:type="dxa"/>
            <w:gridSpan w:val="3"/>
            <w:tcBorders>
              <w:top w:val="single" w:sz="4" w:space="0" w:color="auto"/>
            </w:tcBorders>
          </w:tcPr>
          <w:p w14:paraId="1C564FC8" w14:textId="6D75B4BE" w:rsidR="00157AAA" w:rsidRPr="0093306E" w:rsidRDefault="006C1BE5">
            <w:pPr>
              <w:tabs>
                <w:tab w:val="right" w:pos="7254"/>
              </w:tabs>
              <w:spacing w:before="120"/>
            </w:pPr>
            <w:r>
              <w:t xml:space="preserve">Discount Rate (I) for net present value calculations of recurrent costs: </w:t>
            </w:r>
            <w:r w:rsidR="00923DA4">
              <w:rPr>
                <w:b/>
              </w:rPr>
              <w:t>not applicable.</w:t>
            </w:r>
          </w:p>
        </w:tc>
      </w:tr>
      <w:tr w:rsidR="00157AAA" w14:paraId="1B8C7FD0" w14:textId="77777777">
        <w:trPr>
          <w:jc w:val="center"/>
        </w:trPr>
        <w:tc>
          <w:tcPr>
            <w:tcW w:w="1503" w:type="dxa"/>
          </w:tcPr>
          <w:p w14:paraId="3B08AC4E" w14:textId="77777777" w:rsidR="00157AAA" w:rsidRDefault="006C1BE5">
            <w:pPr>
              <w:tabs>
                <w:tab w:val="right" w:pos="7434"/>
              </w:tabs>
              <w:spacing w:before="120"/>
              <w:rPr>
                <w:b/>
              </w:rPr>
            </w:pPr>
            <w:r>
              <w:rPr>
                <w:b/>
              </w:rPr>
              <w:t>ITB 35.8</w:t>
            </w:r>
          </w:p>
        </w:tc>
        <w:tc>
          <w:tcPr>
            <w:tcW w:w="7137" w:type="dxa"/>
            <w:gridSpan w:val="3"/>
          </w:tcPr>
          <w:p w14:paraId="2B2DEA91" w14:textId="5888FE06" w:rsidR="00157AAA" w:rsidRPr="0093306E" w:rsidRDefault="006C1BE5" w:rsidP="0093306E">
            <w:pPr>
              <w:spacing w:before="120"/>
            </w:pPr>
            <w:r>
              <w:t xml:space="preserve">Bids for Subsystems, lots, or slices of the overall Information System </w:t>
            </w:r>
            <w:r>
              <w:rPr>
                <w:b/>
              </w:rPr>
              <w:t>will not</w:t>
            </w:r>
            <w:r>
              <w:t xml:space="preserve"> be accepted.  </w:t>
            </w:r>
          </w:p>
        </w:tc>
      </w:tr>
      <w:tr w:rsidR="00157AAA" w14:paraId="5ED0AF63" w14:textId="77777777">
        <w:trPr>
          <w:jc w:val="center"/>
        </w:trPr>
        <w:tc>
          <w:tcPr>
            <w:tcW w:w="1503" w:type="dxa"/>
          </w:tcPr>
          <w:p w14:paraId="78101ECF" w14:textId="4A719BFB" w:rsidR="00157AAA" w:rsidRDefault="006C1BE5">
            <w:pPr>
              <w:tabs>
                <w:tab w:val="right" w:pos="7434"/>
              </w:tabs>
              <w:spacing w:before="120"/>
              <w:rPr>
                <w:b/>
              </w:rPr>
            </w:pPr>
            <w:r>
              <w:rPr>
                <w:b/>
              </w:rPr>
              <w:t>ITB 39.</w:t>
            </w:r>
            <w:r w:rsidR="003C2E54">
              <w:rPr>
                <w:b/>
              </w:rPr>
              <w:t>4</w:t>
            </w:r>
          </w:p>
        </w:tc>
        <w:tc>
          <w:tcPr>
            <w:tcW w:w="7137" w:type="dxa"/>
            <w:gridSpan w:val="3"/>
          </w:tcPr>
          <w:p w14:paraId="6B315682" w14:textId="58F1684A" w:rsidR="00157AAA" w:rsidRPr="00923DA4" w:rsidRDefault="006C1BE5" w:rsidP="00923DA4">
            <w:pPr>
              <w:spacing w:before="120"/>
            </w:pPr>
            <w:r>
              <w:t>As additional qualification measures, the Information System (or components/parts of it) offered by the Bidder with the Most Advantageous Bid may be subjected to the following tests and performance benchmarks prior to Contract award</w:t>
            </w:r>
            <w:r w:rsidR="00923DA4">
              <w:t xml:space="preserve">: </w:t>
            </w:r>
            <w:r w:rsidR="00EE75A3" w:rsidRPr="00EE75A3">
              <w:rPr>
                <w:b/>
              </w:rPr>
              <w:t>none.</w:t>
            </w:r>
          </w:p>
        </w:tc>
      </w:tr>
      <w:tr w:rsidR="00157AAA" w14:paraId="26D5CCC4" w14:textId="77777777">
        <w:trPr>
          <w:jc w:val="center"/>
        </w:trPr>
        <w:tc>
          <w:tcPr>
            <w:tcW w:w="8640" w:type="dxa"/>
            <w:gridSpan w:val="4"/>
          </w:tcPr>
          <w:p w14:paraId="06E5540B" w14:textId="77777777" w:rsidR="00157AAA" w:rsidRDefault="006C1BE5">
            <w:pPr>
              <w:pStyle w:val="Head11a"/>
              <w:keepNext w:val="0"/>
              <w:pBdr>
                <w:bottom w:val="none" w:sz="0" w:space="0" w:color="auto"/>
              </w:pBdr>
              <w:spacing w:before="0" w:after="200"/>
              <w:rPr>
                <w:rFonts w:ascii="Times New Roman" w:hAnsi="Times New Roman"/>
                <w:sz w:val="36"/>
                <w:szCs w:val="36"/>
              </w:rPr>
            </w:pPr>
            <w:bookmarkStart w:id="461" w:name="_Toc43474983"/>
            <w:r>
              <w:rPr>
                <w:rFonts w:ascii="Times New Roman" w:hAnsi="Times New Roman"/>
                <w:sz w:val="36"/>
                <w:szCs w:val="36"/>
              </w:rPr>
              <w:t>F. Award of Contract</w:t>
            </w:r>
            <w:bookmarkEnd w:id="461"/>
          </w:p>
        </w:tc>
      </w:tr>
      <w:tr w:rsidR="00157AAA" w14:paraId="04A239E6" w14:textId="77777777">
        <w:trPr>
          <w:jc w:val="center"/>
        </w:trPr>
        <w:tc>
          <w:tcPr>
            <w:tcW w:w="1503" w:type="dxa"/>
          </w:tcPr>
          <w:p w14:paraId="731D3977" w14:textId="77777777" w:rsidR="00157AAA" w:rsidRDefault="006C1BE5">
            <w:pPr>
              <w:tabs>
                <w:tab w:val="right" w:pos="7434"/>
              </w:tabs>
              <w:spacing w:before="120"/>
              <w:rPr>
                <w:b/>
              </w:rPr>
            </w:pPr>
            <w:r>
              <w:rPr>
                <w:b/>
              </w:rPr>
              <w:lastRenderedPageBreak/>
              <w:t>ITB 43</w:t>
            </w:r>
          </w:p>
        </w:tc>
        <w:tc>
          <w:tcPr>
            <w:tcW w:w="7137" w:type="dxa"/>
            <w:gridSpan w:val="3"/>
          </w:tcPr>
          <w:p w14:paraId="43328843" w14:textId="05775C8C" w:rsidR="00157AAA" w:rsidRDefault="006C1BE5">
            <w:pPr>
              <w:spacing w:before="120"/>
              <w:rPr>
                <w:highlight w:val="cyan"/>
              </w:rPr>
            </w:pPr>
            <w:r w:rsidRPr="00FF1DBA">
              <w:t xml:space="preserve">The award will be made </w:t>
            </w:r>
            <w:proofErr w:type="gramStart"/>
            <w:r w:rsidRPr="00FF1DBA">
              <w:t>on the basis of</w:t>
            </w:r>
            <w:proofErr w:type="gramEnd"/>
            <w:r w:rsidRPr="00FF1DBA">
              <w:t xml:space="preserve"> </w:t>
            </w:r>
            <w:r w:rsidRPr="00FF1DBA">
              <w:rPr>
                <w:b/>
              </w:rPr>
              <w:t>rated criteria</w:t>
            </w:r>
            <w:r w:rsidRPr="00FF1DBA">
              <w:t xml:space="preserve"> </w:t>
            </w:r>
            <w:r w:rsidR="00A75B5D" w:rsidRPr="00FF1DBA">
              <w:t xml:space="preserve">(Combined Technical Evaluation and Financial Cost Evaluation) </w:t>
            </w:r>
            <w:r w:rsidRPr="00FF1DBA">
              <w:t>pursuant to ITB 35.7, if applicable, in accordance with Section</w:t>
            </w:r>
            <w:r>
              <w:t xml:space="preserve"> III, Evaluation and Qualification Criteria.</w:t>
            </w:r>
          </w:p>
        </w:tc>
      </w:tr>
      <w:tr w:rsidR="00157AAA" w14:paraId="4B5A7E6B" w14:textId="77777777">
        <w:trPr>
          <w:jc w:val="center"/>
        </w:trPr>
        <w:tc>
          <w:tcPr>
            <w:tcW w:w="1503" w:type="dxa"/>
          </w:tcPr>
          <w:p w14:paraId="5E93F1F0" w14:textId="77777777" w:rsidR="00157AAA" w:rsidRDefault="006C1BE5">
            <w:pPr>
              <w:tabs>
                <w:tab w:val="right" w:pos="7434"/>
              </w:tabs>
              <w:spacing w:before="120"/>
              <w:rPr>
                <w:b/>
              </w:rPr>
            </w:pPr>
            <w:r>
              <w:rPr>
                <w:b/>
              </w:rPr>
              <w:t>ITB 44</w:t>
            </w:r>
          </w:p>
        </w:tc>
        <w:tc>
          <w:tcPr>
            <w:tcW w:w="7137" w:type="dxa"/>
            <w:gridSpan w:val="3"/>
          </w:tcPr>
          <w:p w14:paraId="6CB565AB" w14:textId="77777777" w:rsidR="00157AAA" w:rsidRDefault="006C1BE5">
            <w:pPr>
              <w:spacing w:before="120"/>
            </w:pPr>
            <w:r>
              <w:t xml:space="preserve">The maximum percentage by which quantities may be increased is: </w:t>
            </w:r>
            <w:proofErr w:type="gramStart"/>
            <w:r>
              <w:rPr>
                <w:rStyle w:val="preparersnote"/>
              </w:rPr>
              <w:t>10%</w:t>
            </w:r>
            <w:proofErr w:type="gramEnd"/>
          </w:p>
          <w:p w14:paraId="50EDBC38" w14:textId="6EAD8AE2" w:rsidR="00157AAA" w:rsidRPr="00EE75A3" w:rsidRDefault="006C1BE5" w:rsidP="00EE75A3">
            <w:pPr>
              <w:spacing w:before="120"/>
              <w:rPr>
                <w:b/>
                <w:i/>
                <w:iCs/>
              </w:rPr>
            </w:pPr>
            <w:r>
              <w:t xml:space="preserve">The maximum percentage by which quantities may be decreased </w:t>
            </w:r>
            <w:proofErr w:type="gramStart"/>
            <w:r>
              <w:t>is:</w:t>
            </w:r>
            <w:proofErr w:type="gramEnd"/>
            <w:r>
              <w:t xml:space="preserve"> </w:t>
            </w:r>
            <w:r>
              <w:rPr>
                <w:rStyle w:val="preparersnote"/>
              </w:rPr>
              <w:t>10%</w:t>
            </w:r>
          </w:p>
        </w:tc>
      </w:tr>
      <w:tr w:rsidR="00157AAA" w14:paraId="1DD676B0" w14:textId="77777777">
        <w:trPr>
          <w:jc w:val="center"/>
        </w:trPr>
        <w:tc>
          <w:tcPr>
            <w:tcW w:w="1503" w:type="dxa"/>
          </w:tcPr>
          <w:p w14:paraId="69B0B30C" w14:textId="77777777" w:rsidR="00157AAA" w:rsidRDefault="006C1BE5">
            <w:pPr>
              <w:tabs>
                <w:tab w:val="right" w:pos="7434"/>
              </w:tabs>
              <w:spacing w:before="120"/>
              <w:rPr>
                <w:b/>
              </w:rPr>
            </w:pPr>
            <w:r>
              <w:rPr>
                <w:b/>
              </w:rPr>
              <w:t>ITB 47.1</w:t>
            </w:r>
          </w:p>
        </w:tc>
        <w:tc>
          <w:tcPr>
            <w:tcW w:w="7137" w:type="dxa"/>
            <w:gridSpan w:val="3"/>
          </w:tcPr>
          <w:p w14:paraId="3AD1CDF1" w14:textId="77777777" w:rsidR="00157AAA" w:rsidRDefault="006C1BE5">
            <w:pPr>
              <w:spacing w:before="120"/>
            </w:pPr>
            <w:r>
              <w:t xml:space="preserve">The successful Bidder </w:t>
            </w:r>
            <w:r>
              <w:rPr>
                <w:b/>
              </w:rPr>
              <w:t>shall</w:t>
            </w:r>
            <w:r>
              <w:t xml:space="preserve"> be required to submit the Beneficial Ownership Disclosure Form.</w:t>
            </w:r>
          </w:p>
        </w:tc>
      </w:tr>
      <w:tr w:rsidR="00157AAA" w14:paraId="00F165BA" w14:textId="77777777">
        <w:trPr>
          <w:jc w:val="center"/>
        </w:trPr>
        <w:tc>
          <w:tcPr>
            <w:tcW w:w="1503" w:type="dxa"/>
          </w:tcPr>
          <w:p w14:paraId="4793F323" w14:textId="77777777" w:rsidR="00157AAA" w:rsidRDefault="006C1BE5">
            <w:pPr>
              <w:tabs>
                <w:tab w:val="right" w:pos="7434"/>
              </w:tabs>
              <w:spacing w:before="120"/>
              <w:rPr>
                <w:b/>
              </w:rPr>
            </w:pPr>
            <w:r>
              <w:rPr>
                <w:b/>
              </w:rPr>
              <w:t>ITB 49</w:t>
            </w:r>
          </w:p>
        </w:tc>
        <w:tc>
          <w:tcPr>
            <w:tcW w:w="7137" w:type="dxa"/>
            <w:gridSpan w:val="3"/>
          </w:tcPr>
          <w:p w14:paraId="11E35E35" w14:textId="174A5A78" w:rsidR="00157AAA" w:rsidRPr="00984F71" w:rsidRDefault="00EE75A3">
            <w:pPr>
              <w:spacing w:before="120"/>
              <w:rPr>
                <w:b/>
                <w:i/>
                <w:szCs w:val="24"/>
              </w:rPr>
            </w:pPr>
            <w:r w:rsidRPr="00984F71">
              <w:t>The proposed Adjudicator is:</w:t>
            </w:r>
          </w:p>
          <w:p w14:paraId="0EE4F756" w14:textId="0D7F39B3" w:rsidR="00157AAA" w:rsidRPr="00EE75A3" w:rsidRDefault="00EE75A3">
            <w:pPr>
              <w:spacing w:before="120"/>
              <w:ind w:left="735" w:hanging="735"/>
              <w:rPr>
                <w:b/>
                <w:i/>
                <w:szCs w:val="24"/>
              </w:rPr>
            </w:pPr>
            <w:r w:rsidRPr="00EE75A3">
              <w:rPr>
                <w:b/>
              </w:rPr>
              <w:t>There will be no Adjudicator under this Contract.</w:t>
            </w:r>
            <w:r w:rsidR="006C1BE5" w:rsidRPr="00EE75A3">
              <w:rPr>
                <w:b/>
              </w:rPr>
              <w:t xml:space="preserve"> </w:t>
            </w:r>
          </w:p>
        </w:tc>
      </w:tr>
      <w:tr w:rsidR="00157AAA" w14:paraId="6B423D3B" w14:textId="77777777">
        <w:trPr>
          <w:jc w:val="center"/>
        </w:trPr>
        <w:tc>
          <w:tcPr>
            <w:tcW w:w="1503" w:type="dxa"/>
          </w:tcPr>
          <w:p w14:paraId="47D84EFC" w14:textId="77777777" w:rsidR="00157AAA" w:rsidRDefault="006C1BE5">
            <w:pPr>
              <w:tabs>
                <w:tab w:val="right" w:pos="7434"/>
              </w:tabs>
              <w:spacing w:before="120"/>
              <w:rPr>
                <w:b/>
              </w:rPr>
            </w:pPr>
            <w:r>
              <w:rPr>
                <w:b/>
                <w:bCs/>
              </w:rPr>
              <w:t>ITB 50.1</w:t>
            </w:r>
          </w:p>
        </w:tc>
        <w:tc>
          <w:tcPr>
            <w:tcW w:w="7137" w:type="dxa"/>
            <w:gridSpan w:val="3"/>
          </w:tcPr>
          <w:p w14:paraId="505AFF26" w14:textId="77777777" w:rsidR="00157AAA" w:rsidRDefault="006C1BE5">
            <w:pPr>
              <w:spacing w:before="120"/>
            </w:pPr>
            <w:r>
              <w:rPr>
                <w:color w:val="000000" w:themeColor="text1"/>
              </w:rPr>
              <w:t>The procedures for making a Procurement-related Complaint are detailed in the “</w:t>
            </w:r>
            <w:hyperlink r:id="rId38" w:tooltip="http://www.worldbank.org/en/projects-operations/products-and-services/brief/procurement-new-framework" w:history="1">
              <w:r>
                <w:rPr>
                  <w:rStyle w:val="Hyperlink"/>
                </w:rPr>
                <w:t>Procurement Regulations for IPF Borrowers</w:t>
              </w:r>
            </w:hyperlink>
            <w:r>
              <w:rPr>
                <w:color w:val="000000" w:themeColor="text1"/>
              </w:rPr>
              <w:t xml:space="preserve"> (Annex III).” If a Bidder wishes to make a Procurement-related Complaint, the Bidder should submit its complaint following </w:t>
            </w:r>
            <w:r>
              <w:t>these procedures:</w:t>
            </w:r>
          </w:p>
          <w:p w14:paraId="4DFB45CC" w14:textId="77777777" w:rsidR="00157AAA" w:rsidRDefault="006C1BE5">
            <w:pPr>
              <w:spacing w:before="120"/>
            </w:pPr>
            <w:r>
              <w:t xml:space="preserve">In Writing (scanned copy) as quick as possible, </w:t>
            </w:r>
            <w:r>
              <w:rPr>
                <w:b/>
              </w:rPr>
              <w:t>only electronically by e-mail</w:t>
            </w:r>
            <w:r>
              <w:t xml:space="preserve">, to below stated </w:t>
            </w:r>
            <w:r>
              <w:rPr>
                <w:b/>
              </w:rPr>
              <w:t xml:space="preserve">four </w:t>
            </w:r>
            <w:r>
              <w:t>e-mail addresses:</w:t>
            </w:r>
          </w:p>
          <w:p w14:paraId="3BB179A7" w14:textId="77777777" w:rsidR="00157AAA" w:rsidRDefault="006C1BE5">
            <w:pPr>
              <w:spacing w:before="120"/>
              <w:rPr>
                <w:i/>
              </w:rPr>
            </w:pPr>
            <w:r>
              <w:rPr>
                <w:b/>
              </w:rPr>
              <w:t>Employer</w:t>
            </w:r>
            <w:r>
              <w:t xml:space="preserve">: </w:t>
            </w:r>
            <w:r>
              <w:rPr>
                <w:b/>
              </w:rPr>
              <w:t>Ministry of Transport and Communications</w:t>
            </w:r>
          </w:p>
          <w:p w14:paraId="2294CDA4" w14:textId="77777777" w:rsidR="00157AAA" w:rsidRDefault="006C1BE5">
            <w:pPr>
              <w:spacing w:before="120"/>
              <w:rPr>
                <w:b/>
              </w:rPr>
            </w:pPr>
            <w:r>
              <w:rPr>
                <w:b/>
              </w:rPr>
              <w:t xml:space="preserve">Project Implementation Unit </w:t>
            </w:r>
          </w:p>
          <w:p w14:paraId="41A1DB7A" w14:textId="77777777" w:rsidR="00157AAA" w:rsidRDefault="006C1BE5">
            <w:pPr>
              <w:spacing w:before="120"/>
              <w:rPr>
                <w:b/>
                <w:i/>
              </w:rPr>
            </w:pPr>
            <w:r>
              <w:rPr>
                <w:b/>
              </w:rPr>
              <w:t>For the attention: Mr. Slavko Micevski and/or Ms. Vlasta Ruzinovska</w:t>
            </w:r>
          </w:p>
          <w:p w14:paraId="796DBB6C" w14:textId="77777777" w:rsidR="00157AAA" w:rsidRDefault="006C1BE5">
            <w:pPr>
              <w:spacing w:before="120"/>
              <w:rPr>
                <w:b/>
              </w:rPr>
            </w:pPr>
            <w:r>
              <w:rPr>
                <w:b/>
              </w:rPr>
              <w:t xml:space="preserve">Title/position: procurement officers </w:t>
            </w:r>
          </w:p>
          <w:p w14:paraId="01BC11DA" w14:textId="77777777" w:rsidR="00157AAA" w:rsidRDefault="006C1BE5">
            <w:pPr>
              <w:spacing w:before="120"/>
              <w:rPr>
                <w:b/>
                <w:i/>
              </w:rPr>
            </w:pPr>
            <w:r>
              <w:rPr>
                <w:b/>
              </w:rPr>
              <w:t>Email address</w:t>
            </w:r>
            <w:r>
              <w:rPr>
                <w:b/>
                <w:i/>
              </w:rPr>
              <w:t>:</w:t>
            </w:r>
          </w:p>
          <w:p w14:paraId="476A458E" w14:textId="77777777" w:rsidR="007E6F11" w:rsidRPr="00FA1BEC" w:rsidRDefault="00000000" w:rsidP="007E6F11">
            <w:pPr>
              <w:spacing w:after="0"/>
              <w:rPr>
                <w:b/>
                <w:bCs/>
                <w:color w:val="26282A"/>
              </w:rPr>
            </w:pPr>
            <w:hyperlink r:id="rId39" w:history="1">
              <w:r w:rsidR="007E6F11" w:rsidRPr="00FA1BEC">
                <w:rPr>
                  <w:rStyle w:val="Hyperlink"/>
                  <w:b/>
                  <w:bCs/>
                </w:rPr>
                <w:t>slavko.micevski@piu.mtc.gov.mk</w:t>
              </w:r>
            </w:hyperlink>
            <w:r w:rsidR="007E6F11" w:rsidRPr="00FA1BEC">
              <w:rPr>
                <w:b/>
                <w:bCs/>
                <w:color w:val="26282A"/>
              </w:rPr>
              <w:t>;</w:t>
            </w:r>
          </w:p>
          <w:p w14:paraId="52FB2FCD" w14:textId="77777777" w:rsidR="007E6F11" w:rsidRPr="00FA1BEC" w:rsidRDefault="00000000" w:rsidP="007E6F11">
            <w:pPr>
              <w:spacing w:after="0"/>
              <w:rPr>
                <w:b/>
                <w:bCs/>
              </w:rPr>
            </w:pPr>
            <w:hyperlink r:id="rId40" w:history="1">
              <w:r w:rsidR="007E6F11" w:rsidRPr="00FA1BEC">
                <w:rPr>
                  <w:rStyle w:val="Hyperlink"/>
                  <w:rFonts w:eastAsiaTheme="majorEastAsia"/>
                  <w:b/>
                  <w:bCs/>
                </w:rPr>
                <w:t>harita.pandovska@piu.mtc.gov.mk</w:t>
              </w:r>
            </w:hyperlink>
            <w:r w:rsidR="007E6F11" w:rsidRPr="00FA1BEC">
              <w:rPr>
                <w:b/>
                <w:bCs/>
                <w:color w:val="0072C6"/>
              </w:rPr>
              <w:t xml:space="preserve">; </w:t>
            </w:r>
          </w:p>
          <w:p w14:paraId="0965B5CD" w14:textId="77777777" w:rsidR="007E6F11" w:rsidRPr="00FA1BEC" w:rsidRDefault="00000000" w:rsidP="007E6F11">
            <w:pPr>
              <w:spacing w:after="0"/>
              <w:rPr>
                <w:b/>
                <w:bCs/>
              </w:rPr>
            </w:pPr>
            <w:hyperlink r:id="rId41" w:history="1">
              <w:r w:rsidR="007E6F11" w:rsidRPr="00FA1BEC">
                <w:rPr>
                  <w:rStyle w:val="Hyperlink"/>
                  <w:rFonts w:eastAsiaTheme="majorEastAsia"/>
                  <w:b/>
                  <w:bCs/>
                </w:rPr>
                <w:t>vlasta.ruzinovska@piu.mtc.gov.mk</w:t>
              </w:r>
            </w:hyperlink>
            <w:r w:rsidR="007E6F11" w:rsidRPr="00FA1BEC">
              <w:rPr>
                <w:b/>
                <w:bCs/>
              </w:rPr>
              <w:t>;</w:t>
            </w:r>
          </w:p>
          <w:p w14:paraId="1DFC2349" w14:textId="77777777" w:rsidR="007E6F11" w:rsidRPr="00FA1BEC" w:rsidRDefault="00000000" w:rsidP="007E6F11">
            <w:pPr>
              <w:spacing w:after="0"/>
              <w:rPr>
                <w:b/>
                <w:bCs/>
              </w:rPr>
            </w:pPr>
            <w:hyperlink r:id="rId42" w:history="1">
              <w:r w:rsidR="007E6F11" w:rsidRPr="00FA1BEC">
                <w:rPr>
                  <w:rStyle w:val="Hyperlink"/>
                  <w:rFonts w:eastAsia="Arial"/>
                  <w:b/>
                  <w:bCs/>
                </w:rPr>
                <w:t>natasha.stojanovska@piu.mtc.gov.mk</w:t>
              </w:r>
            </w:hyperlink>
            <w:r w:rsidR="007E6F11" w:rsidRPr="00FA1BEC">
              <w:rPr>
                <w:b/>
                <w:bCs/>
              </w:rPr>
              <w:t xml:space="preserve"> </w:t>
            </w:r>
          </w:p>
          <w:p w14:paraId="6CE268A1" w14:textId="77777777" w:rsidR="007E6F11" w:rsidRDefault="00000000" w:rsidP="007E6F11">
            <w:pPr>
              <w:tabs>
                <w:tab w:val="right" w:pos="4860"/>
              </w:tabs>
              <w:spacing w:after="0"/>
              <w:rPr>
                <w:b/>
                <w:bCs/>
              </w:rPr>
            </w:pPr>
            <w:hyperlink r:id="rId43" w:history="1">
              <w:r w:rsidR="007E6F11" w:rsidRPr="00FA1BEC">
                <w:rPr>
                  <w:rStyle w:val="Hyperlink"/>
                  <w:b/>
                  <w:bCs/>
                </w:rPr>
                <w:t>procurement.piu.mtc@gmail.com</w:t>
              </w:r>
            </w:hyperlink>
          </w:p>
          <w:p w14:paraId="00F44E4B" w14:textId="5BDF647C" w:rsidR="00157AAA" w:rsidRDefault="006C1BE5" w:rsidP="00ED21E1">
            <w:pPr>
              <w:spacing w:before="120"/>
              <w:rPr>
                <w:color w:val="000000" w:themeColor="text1"/>
              </w:rPr>
            </w:pPr>
            <w:r>
              <w:t>In summary, a Procurement</w:t>
            </w:r>
            <w:r>
              <w:rPr>
                <w:color w:val="000000" w:themeColor="text1"/>
              </w:rPr>
              <w:t>-related Complaint may challenge any of the following:</w:t>
            </w:r>
          </w:p>
          <w:p w14:paraId="376C3856" w14:textId="77777777" w:rsidR="00157AAA" w:rsidRDefault="006C1BE5" w:rsidP="00D530D5">
            <w:pPr>
              <w:pStyle w:val="ListParagraph"/>
              <w:numPr>
                <w:ilvl w:val="0"/>
                <w:numId w:val="101"/>
              </w:numPr>
              <w:spacing w:before="120"/>
              <w:ind w:left="714" w:hanging="357"/>
              <w:contextualSpacing w:val="0"/>
              <w:jc w:val="left"/>
              <w:rPr>
                <w:color w:val="000000" w:themeColor="text1"/>
              </w:rPr>
            </w:pPr>
            <w:r>
              <w:rPr>
                <w:color w:val="000000" w:themeColor="text1"/>
              </w:rPr>
              <w:t>the terms of the Bidding Documents; and</w:t>
            </w:r>
          </w:p>
          <w:p w14:paraId="4DBA11B6" w14:textId="77777777" w:rsidR="00157AAA" w:rsidRDefault="006C1BE5" w:rsidP="00D530D5">
            <w:pPr>
              <w:pStyle w:val="ListParagraph"/>
              <w:numPr>
                <w:ilvl w:val="0"/>
                <w:numId w:val="101"/>
              </w:numPr>
              <w:spacing w:before="120"/>
              <w:ind w:left="714" w:hanging="357"/>
              <w:contextualSpacing w:val="0"/>
              <w:jc w:val="left"/>
            </w:pPr>
            <w:r>
              <w:rPr>
                <w:color w:val="000000" w:themeColor="text1"/>
              </w:rPr>
              <w:t>the Purchaser’s decision to award the contract.</w:t>
            </w:r>
          </w:p>
          <w:p w14:paraId="76464995" w14:textId="77777777" w:rsidR="00157AAA" w:rsidRDefault="006C1BE5">
            <w:pPr>
              <w:rPr>
                <w:b/>
                <w:bCs/>
              </w:rPr>
            </w:pPr>
            <w:r>
              <w:rPr>
                <w:b/>
                <w:bCs/>
              </w:rPr>
              <w:t>Note to Bidders:</w:t>
            </w:r>
          </w:p>
          <w:p w14:paraId="0181CA80" w14:textId="77777777" w:rsidR="00157AAA" w:rsidRDefault="006C1BE5">
            <w:pPr>
              <w:spacing w:before="120"/>
              <w:ind w:left="341"/>
              <w:rPr>
                <w:i/>
              </w:rPr>
            </w:pPr>
            <w:r>
              <w:rPr>
                <w:b/>
                <w:bCs/>
              </w:rPr>
              <w:t xml:space="preserve">Scanned </w:t>
            </w:r>
            <w:r>
              <w:rPr>
                <w:b/>
              </w:rPr>
              <w:t>copy of submitted Complaint document(s) will be treated as if they are originals.</w:t>
            </w:r>
          </w:p>
        </w:tc>
      </w:tr>
    </w:tbl>
    <w:p w14:paraId="753C74ED" w14:textId="77777777" w:rsidR="00CB3A0B" w:rsidRDefault="00CB3A0B">
      <w:pPr>
        <w:spacing w:after="0"/>
        <w:jc w:val="left"/>
        <w:rPr>
          <w:b/>
          <w:szCs w:val="24"/>
        </w:rPr>
      </w:pPr>
    </w:p>
    <w:p w14:paraId="52FDE33D" w14:textId="77777777" w:rsidR="00CB3A0B" w:rsidRDefault="00CB3A0B">
      <w:pPr>
        <w:spacing w:after="0"/>
        <w:jc w:val="left"/>
        <w:rPr>
          <w:b/>
          <w:szCs w:val="24"/>
        </w:rPr>
      </w:pPr>
    </w:p>
    <w:p w14:paraId="7DC6EFE2" w14:textId="77777777" w:rsidR="00CB3A0B" w:rsidRDefault="00CB3A0B">
      <w:pPr>
        <w:spacing w:after="0"/>
        <w:jc w:val="left"/>
        <w:rPr>
          <w:b/>
          <w:szCs w:val="24"/>
        </w:rPr>
      </w:pPr>
    </w:p>
    <w:p w14:paraId="6FA1EBD7" w14:textId="1D02C465" w:rsidR="00CB3A0B" w:rsidRDefault="00CB3A0B" w:rsidP="00CB3A0B">
      <w:pPr>
        <w:jc w:val="center"/>
        <w:rPr>
          <w:b/>
          <w:szCs w:val="24"/>
        </w:rPr>
      </w:pPr>
      <w:r w:rsidRPr="00CB3A0B">
        <w:rPr>
          <w:szCs w:val="24"/>
        </w:rPr>
        <w:t>Résumé of the proposed Adjudicator:</w:t>
      </w:r>
      <w:r>
        <w:rPr>
          <w:b/>
          <w:szCs w:val="24"/>
        </w:rPr>
        <w:t xml:space="preserve"> not applicable.</w:t>
      </w:r>
    </w:p>
    <w:p w14:paraId="6733EB21" w14:textId="16D829C4" w:rsidR="00157AAA" w:rsidRDefault="006C1BE5">
      <w:pPr>
        <w:spacing w:after="0"/>
        <w:jc w:val="left"/>
        <w:rPr>
          <w:b/>
          <w:szCs w:val="24"/>
        </w:rPr>
      </w:pPr>
      <w:r>
        <w:rPr>
          <w:b/>
          <w:szCs w:val="24"/>
        </w:rPr>
        <w:br w:type="page" w:clear="all"/>
      </w:r>
    </w:p>
    <w:p w14:paraId="2610CB86" w14:textId="3576229D" w:rsidR="00CB3A0B" w:rsidRDefault="00CB3A0B">
      <w:pPr>
        <w:spacing w:after="0"/>
        <w:jc w:val="left"/>
        <w:rPr>
          <w:b/>
          <w:szCs w:val="24"/>
        </w:rPr>
      </w:pPr>
    </w:p>
    <w:p w14:paraId="101AC3F2" w14:textId="77777777" w:rsidR="00CB3A0B" w:rsidRDefault="00CB3A0B">
      <w:pPr>
        <w:spacing w:after="0"/>
        <w:jc w:val="left"/>
        <w:rPr>
          <w:b/>
          <w:szCs w:val="24"/>
        </w:rPr>
      </w:pPr>
    </w:p>
    <w:p w14:paraId="4B885951" w14:textId="77777777" w:rsidR="00157AAA" w:rsidRDefault="00157AAA">
      <w:pPr>
        <w:spacing w:after="0"/>
        <w:jc w:val="left"/>
        <w:rPr>
          <w:szCs w:val="24"/>
        </w:rPr>
      </w:pPr>
    </w:p>
    <w:tbl>
      <w:tblPr>
        <w:tblW w:w="9090" w:type="dxa"/>
        <w:tblInd w:w="108" w:type="dxa"/>
        <w:tblLayout w:type="fixed"/>
        <w:tblLook w:val="0000" w:firstRow="0" w:lastRow="0" w:firstColumn="0" w:lastColumn="0" w:noHBand="0" w:noVBand="0"/>
      </w:tblPr>
      <w:tblGrid>
        <w:gridCol w:w="9090"/>
      </w:tblGrid>
      <w:tr w:rsidR="00157AAA" w14:paraId="59C76A34" w14:textId="77777777">
        <w:trPr>
          <w:cantSplit/>
          <w:trHeight w:val="1260"/>
        </w:trPr>
        <w:tc>
          <w:tcPr>
            <w:tcW w:w="9090" w:type="dxa"/>
            <w:tcBorders>
              <w:top w:val="none" w:sz="4" w:space="0" w:color="000000"/>
            </w:tcBorders>
            <w:vAlign w:val="center"/>
          </w:tcPr>
          <w:p w14:paraId="6A4E52B2" w14:textId="77777777" w:rsidR="00157AAA" w:rsidRDefault="006C1BE5">
            <w:pPr>
              <w:pStyle w:val="Head02"/>
              <w:rPr>
                <w:sz w:val="28"/>
              </w:rPr>
            </w:pPr>
            <w:bookmarkStart w:id="462" w:name="_Toc41971242"/>
            <w:bookmarkStart w:id="463" w:name="_Toc125954061"/>
            <w:bookmarkStart w:id="464" w:name="_Toc197840917"/>
            <w:bookmarkStart w:id="465" w:name="_Toc73977451"/>
            <w:r>
              <w:t>Section III - Evaluation and Qualification Criteria</w:t>
            </w:r>
            <w:bookmarkStart w:id="466" w:name="_Toc41971243"/>
            <w:bookmarkEnd w:id="462"/>
            <w:r>
              <w:br/>
              <w:t>(Without Prequalification)</w:t>
            </w:r>
            <w:bookmarkEnd w:id="463"/>
            <w:bookmarkEnd w:id="464"/>
            <w:bookmarkEnd w:id="465"/>
            <w:bookmarkEnd w:id="466"/>
          </w:p>
        </w:tc>
      </w:tr>
    </w:tbl>
    <w:p w14:paraId="52422A2D" w14:textId="77777777" w:rsidR="00157AAA" w:rsidRDefault="00157AAA">
      <w:pPr>
        <w:pStyle w:val="Subtitle"/>
        <w:ind w:right="360"/>
        <w:jc w:val="both"/>
        <w:rPr>
          <w:b w:val="0"/>
          <w:sz w:val="24"/>
        </w:rPr>
      </w:pPr>
    </w:p>
    <w:p w14:paraId="4F58DFA8" w14:textId="77777777" w:rsidR="00157AAA" w:rsidRDefault="006C1BE5">
      <w:pPr>
        <w:pStyle w:val="BodyText"/>
        <w:ind w:right="360"/>
      </w:pPr>
      <w:r>
        <w:t>This Section contains all the criteria that the Purchaser shall use to evaluate Bids and qualify Bidders.  No other factors, methods or criteria shall be used. The Bidder shall provide all the information requested in the forms included in Section IV, Bidding Forms.</w:t>
      </w:r>
    </w:p>
    <w:p w14:paraId="1F890BAC" w14:textId="77777777" w:rsidR="00157AAA" w:rsidRDefault="00157AAA">
      <w:pPr>
        <w:pStyle w:val="BodyText"/>
        <w:ind w:right="360"/>
        <w:rPr>
          <w:b/>
        </w:rPr>
      </w:pPr>
    </w:p>
    <w:p w14:paraId="67917E94" w14:textId="77777777" w:rsidR="00157AAA" w:rsidRDefault="006C1BE5">
      <w:pPr>
        <w:ind w:right="360"/>
      </w:pPr>
      <w:r>
        <w:t>In addition to the criteria listed in ITB 35.3 (a) to (e), the following factors shall apply:</w:t>
      </w:r>
    </w:p>
    <w:p w14:paraId="53B1DD57" w14:textId="77777777" w:rsidR="00157AAA" w:rsidRDefault="00157AAA">
      <w:pPr>
        <w:pStyle w:val="Subtitle"/>
        <w:ind w:right="360"/>
        <w:jc w:val="both"/>
        <w:rPr>
          <w:b w:val="0"/>
        </w:rPr>
      </w:pPr>
    </w:p>
    <w:p w14:paraId="698529D2" w14:textId="77777777" w:rsidR="00157AAA" w:rsidRDefault="006C1BE5" w:rsidP="00D530D5">
      <w:pPr>
        <w:pStyle w:val="Sec3h1"/>
        <w:numPr>
          <w:ilvl w:val="0"/>
          <w:numId w:val="57"/>
        </w:numPr>
        <w:rPr>
          <w:rStyle w:val="S3h1Char"/>
          <w:b w:val="0"/>
        </w:rPr>
      </w:pPr>
      <w:r>
        <w:rPr>
          <w:rStyle w:val="S3h1Char"/>
        </w:rPr>
        <w:t xml:space="preserve">Technical Evaluation </w:t>
      </w:r>
      <w:r>
        <w:rPr>
          <w:b/>
        </w:rPr>
        <w:t>(ITB 35.3 and ITB 35.4)</w:t>
      </w:r>
    </w:p>
    <w:p w14:paraId="34A2479D" w14:textId="77777777" w:rsidR="00157AAA" w:rsidRDefault="006C1BE5">
      <w:pPr>
        <w:ind w:left="540"/>
      </w:pPr>
      <w:r>
        <w:t xml:space="preserve">If, in addition to the cost factors, the Purchaser has chosen to give weight to important technical factors (i.e., the price weight, X, is less than 1 in the evaluation), the total technical points assigned to each Bid in the Evaluated Bid Formula will be determined by adding and weighting the scores assigned by an evaluation committee to technical features of the Bid </w:t>
      </w:r>
      <w:r>
        <w:rPr>
          <w:b/>
          <w:bCs/>
        </w:rPr>
        <w:t>in accordance with the BDS</w:t>
      </w:r>
      <w:r>
        <w:t xml:space="preserve"> and the scoring methodology below:</w:t>
      </w:r>
    </w:p>
    <w:p w14:paraId="50A22235" w14:textId="77777777" w:rsidR="00157AAA" w:rsidRDefault="006C1BE5">
      <w:pPr>
        <w:tabs>
          <w:tab w:val="left" w:pos="1080"/>
        </w:tabs>
        <w:spacing w:after="240"/>
        <w:ind w:left="540" w:right="170"/>
      </w:pPr>
      <w:r>
        <w:rPr>
          <w:b/>
        </w:rPr>
        <w:t xml:space="preserve">Technical proposal scoring </w:t>
      </w:r>
      <w:proofErr w:type="gramStart"/>
      <w:r>
        <w:rPr>
          <w:b/>
        </w:rPr>
        <w:t>methodology</w:t>
      </w:r>
      <w:proofErr w:type="gramEnd"/>
    </w:p>
    <w:p w14:paraId="770732BA" w14:textId="77777777" w:rsidR="00157AAA" w:rsidRDefault="006C1BE5">
      <w:pPr>
        <w:numPr>
          <w:ilvl w:val="12"/>
          <w:numId w:val="0"/>
        </w:numPr>
        <w:tabs>
          <w:tab w:val="left" w:pos="1080"/>
        </w:tabs>
        <w:spacing w:after="200"/>
        <w:ind w:left="1094" w:right="171" w:hanging="547"/>
      </w:pPr>
      <w:r>
        <w:t>(a)</w:t>
      </w:r>
      <w:r>
        <w:tab/>
        <w:t xml:space="preserve">During the evaluation process, the evaluation committee will assign each desirable/preferred feature a whole number score from 0%–100%, where 0%–15%  - means that the feature is not adequately presented; no relevant information to demonstrate the requirement; 16%–49% - for the required feature being present but showing deficiencies such as insufficient or information that lacks clarity; 50%–79% - for meeting the requirements; sufficient information to demonstrate how the requirement is met; 80%–89% - for marginally exceeding the requirements; sufficient information to demonstrate that the requirement will be marginally exceeded; 90%–100% - for significantly exceeding the requirements; sufficient information that significantly exceed the requirements and/or contributes to significant value addition.    </w:t>
      </w:r>
    </w:p>
    <w:p w14:paraId="6A3203DA" w14:textId="77777777" w:rsidR="00157AAA" w:rsidRDefault="006C1BE5">
      <w:pPr>
        <w:numPr>
          <w:ilvl w:val="12"/>
          <w:numId w:val="0"/>
        </w:numPr>
        <w:tabs>
          <w:tab w:val="left" w:pos="1080"/>
        </w:tabs>
        <w:spacing w:after="200"/>
        <w:ind w:left="1094" w:right="171" w:hanging="547"/>
      </w:pPr>
      <w:r>
        <w:t xml:space="preserve"> (b)</w:t>
      </w:r>
      <w:r>
        <w:tab/>
        <w:t>The score for each feature (</w:t>
      </w:r>
      <w:proofErr w:type="spellStart"/>
      <w:r>
        <w:t>i</w:t>
      </w:r>
      <w:proofErr w:type="spellEnd"/>
      <w:r>
        <w:t xml:space="preserve">) within a category (j) will be combined with the scores of features in the same category as a weighted sum to form the Category Technical Score using the following formula: </w:t>
      </w:r>
    </w:p>
    <w:p w14:paraId="1BCAACD2" w14:textId="77777777" w:rsidR="00157AAA" w:rsidRDefault="006C1BE5">
      <w:pPr>
        <w:numPr>
          <w:ilvl w:val="12"/>
          <w:numId w:val="0"/>
        </w:numPr>
        <w:tabs>
          <w:tab w:val="left" w:pos="1080"/>
        </w:tabs>
        <w:ind w:left="1080" w:right="171" w:hanging="540"/>
        <w:jc w:val="center"/>
      </w:pPr>
      <w:r>
        <w:rPr>
          <w:noProof/>
          <w:position w:val="-28"/>
          <w:sz w:val="20"/>
        </w:rPr>
        <w:drawing>
          <wp:inline distT="0" distB="0" distL="0" distR="0" wp14:anchorId="5610AF78" wp14:editId="592864D6">
            <wp:extent cx="971550" cy="43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pic:cNvPicPr>
                  </pic:nvPicPr>
                  <pic:blipFill>
                    <a:blip r:embed="rId44"/>
                    <a:stretch/>
                  </pic:blipFill>
                  <pic:spPr bwMode="auto">
                    <a:xfrm>
                      <a:off x="0" y="0"/>
                      <a:ext cx="971550" cy="431799"/>
                    </a:xfrm>
                    <a:prstGeom prst="rect">
                      <a:avLst/>
                    </a:prstGeom>
                    <a:noFill/>
                    <a:ln>
                      <a:noFill/>
                    </a:ln>
                  </pic:spPr>
                </pic:pic>
              </a:graphicData>
            </a:graphic>
          </wp:inline>
        </w:drawing>
      </w:r>
    </w:p>
    <w:p w14:paraId="4954B9F9" w14:textId="77777777" w:rsidR="00157AAA" w:rsidRDefault="006C1BE5">
      <w:pPr>
        <w:numPr>
          <w:ilvl w:val="12"/>
          <w:numId w:val="0"/>
        </w:numPr>
        <w:tabs>
          <w:tab w:val="left" w:pos="1620"/>
        </w:tabs>
        <w:ind w:left="1620" w:right="171" w:hanging="540"/>
        <w:jc w:val="left"/>
      </w:pPr>
      <w:r>
        <w:t>where:</w:t>
      </w:r>
    </w:p>
    <w:p w14:paraId="526F5C73" w14:textId="77777777" w:rsidR="00157AAA" w:rsidRDefault="006C1BE5">
      <w:pPr>
        <w:numPr>
          <w:ilvl w:val="12"/>
          <w:numId w:val="0"/>
        </w:numPr>
        <w:tabs>
          <w:tab w:val="left" w:pos="1620"/>
        </w:tabs>
        <w:ind w:left="1620" w:right="171" w:hanging="540"/>
        <w:jc w:val="left"/>
      </w:pPr>
      <w:proofErr w:type="spellStart"/>
      <w:r>
        <w:rPr>
          <w:i/>
          <w:iCs/>
        </w:rPr>
        <w:lastRenderedPageBreak/>
        <w:t>t</w:t>
      </w:r>
      <w:r>
        <w:rPr>
          <w:i/>
          <w:iCs/>
          <w:vertAlign w:val="subscript"/>
        </w:rPr>
        <w:t>ji</w:t>
      </w:r>
      <w:proofErr w:type="spellEnd"/>
      <w:r>
        <w:rPr>
          <w:i/>
          <w:iCs/>
          <w:vertAlign w:val="subscript"/>
        </w:rPr>
        <w:tab/>
      </w:r>
      <w:proofErr w:type="gramStart"/>
      <w:r>
        <w:t>=  the</w:t>
      </w:r>
      <w:proofErr w:type="gramEnd"/>
      <w:r>
        <w:t xml:space="preserve"> technical score for feature “</w:t>
      </w:r>
      <w:proofErr w:type="spellStart"/>
      <w:r>
        <w:t>i</w:t>
      </w:r>
      <w:proofErr w:type="spellEnd"/>
      <w:r>
        <w:t>” in category “j”</w:t>
      </w:r>
    </w:p>
    <w:p w14:paraId="153A7D33" w14:textId="77777777" w:rsidR="00157AAA" w:rsidRDefault="006C1BE5">
      <w:pPr>
        <w:numPr>
          <w:ilvl w:val="12"/>
          <w:numId w:val="0"/>
        </w:numPr>
        <w:tabs>
          <w:tab w:val="left" w:pos="1620"/>
        </w:tabs>
        <w:ind w:left="1620" w:right="171" w:hanging="540"/>
        <w:jc w:val="left"/>
      </w:pPr>
      <w:proofErr w:type="spellStart"/>
      <w:r>
        <w:rPr>
          <w:i/>
          <w:iCs/>
        </w:rPr>
        <w:t>w</w:t>
      </w:r>
      <w:r>
        <w:rPr>
          <w:i/>
          <w:iCs/>
          <w:vertAlign w:val="subscript"/>
        </w:rPr>
        <w:t>ji</w:t>
      </w:r>
      <w:proofErr w:type="spellEnd"/>
      <w:r>
        <w:tab/>
      </w:r>
      <w:proofErr w:type="gramStart"/>
      <w:r>
        <w:t>=  the</w:t>
      </w:r>
      <w:proofErr w:type="gramEnd"/>
      <w:r>
        <w:t xml:space="preserve"> weight of feature “</w:t>
      </w:r>
      <w:proofErr w:type="spellStart"/>
      <w:r>
        <w:t>i</w:t>
      </w:r>
      <w:proofErr w:type="spellEnd"/>
      <w:r>
        <w:t>” in category “j”</w:t>
      </w:r>
    </w:p>
    <w:p w14:paraId="7FE1C3B2" w14:textId="77777777" w:rsidR="00157AAA" w:rsidRDefault="006C1BE5">
      <w:pPr>
        <w:numPr>
          <w:ilvl w:val="12"/>
          <w:numId w:val="0"/>
        </w:numPr>
        <w:tabs>
          <w:tab w:val="left" w:pos="1620"/>
        </w:tabs>
        <w:ind w:left="1620" w:right="171" w:hanging="540"/>
        <w:jc w:val="left"/>
      </w:pPr>
      <w:r>
        <w:rPr>
          <w:i/>
          <w:iCs/>
        </w:rPr>
        <w:t>k</w:t>
      </w:r>
      <w:r>
        <w:tab/>
      </w:r>
      <w:proofErr w:type="gramStart"/>
      <w:r>
        <w:t>=  the</w:t>
      </w:r>
      <w:proofErr w:type="gramEnd"/>
      <w:r>
        <w:t xml:space="preserve"> number of scored features in category “j”</w:t>
      </w:r>
    </w:p>
    <w:p w14:paraId="131D9062" w14:textId="77777777" w:rsidR="00157AAA" w:rsidRDefault="006C1BE5">
      <w:pPr>
        <w:numPr>
          <w:ilvl w:val="12"/>
          <w:numId w:val="0"/>
        </w:numPr>
        <w:tabs>
          <w:tab w:val="left" w:pos="1620"/>
        </w:tabs>
        <w:ind w:left="1620" w:right="171" w:hanging="540"/>
      </w:pPr>
      <w:r>
        <w:t xml:space="preserve">and     </w:t>
      </w:r>
      <w:r>
        <w:rPr>
          <w:noProof/>
          <w:position w:val="-28"/>
          <w:sz w:val="20"/>
        </w:rPr>
        <w:drawing>
          <wp:inline distT="0" distB="0" distL="0" distR="0" wp14:anchorId="7DB14233" wp14:editId="1445A447">
            <wp:extent cx="660400" cy="431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pic:cNvPicPr>
                  </pic:nvPicPr>
                  <pic:blipFill>
                    <a:blip r:embed="rId45"/>
                    <a:stretch/>
                  </pic:blipFill>
                  <pic:spPr bwMode="auto">
                    <a:xfrm>
                      <a:off x="0" y="0"/>
                      <a:ext cx="660400" cy="431799"/>
                    </a:xfrm>
                    <a:prstGeom prst="rect">
                      <a:avLst/>
                    </a:prstGeom>
                    <a:noFill/>
                    <a:ln>
                      <a:noFill/>
                    </a:ln>
                  </pic:spPr>
                </pic:pic>
              </a:graphicData>
            </a:graphic>
          </wp:inline>
        </w:drawing>
      </w:r>
      <w:r>
        <w:t xml:space="preserve"> </w:t>
      </w:r>
    </w:p>
    <w:p w14:paraId="7038B7DF" w14:textId="77777777" w:rsidR="00157AAA" w:rsidRDefault="006C1BE5">
      <w:pPr>
        <w:numPr>
          <w:ilvl w:val="12"/>
          <w:numId w:val="0"/>
        </w:numPr>
        <w:tabs>
          <w:tab w:val="left" w:pos="1080"/>
        </w:tabs>
        <w:spacing w:after="200"/>
        <w:ind w:left="1094" w:right="171" w:hanging="547"/>
      </w:pPr>
      <w:r>
        <w:t>(c)</w:t>
      </w:r>
      <w:r>
        <w:tab/>
        <w:t>The Category Technical Scores will be combined in a weighted sum to form the total Technical Bid Score using the following formula:</w:t>
      </w:r>
    </w:p>
    <w:p w14:paraId="4AF2CFA9" w14:textId="77777777" w:rsidR="00157AAA" w:rsidRDefault="006C1BE5">
      <w:pPr>
        <w:numPr>
          <w:ilvl w:val="12"/>
          <w:numId w:val="0"/>
        </w:numPr>
        <w:tabs>
          <w:tab w:val="left" w:pos="1080"/>
        </w:tabs>
        <w:ind w:left="1080" w:right="171" w:hanging="540"/>
        <w:jc w:val="center"/>
      </w:pPr>
      <w:r>
        <w:rPr>
          <w:noProof/>
          <w:position w:val="-30"/>
          <w:sz w:val="20"/>
        </w:rPr>
        <w:drawing>
          <wp:inline distT="0" distB="0" distL="0" distR="0" wp14:anchorId="4EBBF41C" wp14:editId="1B90B87B">
            <wp:extent cx="939800" cy="450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pic:cNvPicPr>
                  </pic:nvPicPr>
                  <pic:blipFill>
                    <a:blip r:embed="rId46"/>
                    <a:stretch/>
                  </pic:blipFill>
                  <pic:spPr bwMode="auto">
                    <a:xfrm>
                      <a:off x="0" y="0"/>
                      <a:ext cx="939800" cy="450850"/>
                    </a:xfrm>
                    <a:prstGeom prst="rect">
                      <a:avLst/>
                    </a:prstGeom>
                    <a:noFill/>
                    <a:ln>
                      <a:noFill/>
                    </a:ln>
                  </pic:spPr>
                </pic:pic>
              </a:graphicData>
            </a:graphic>
          </wp:inline>
        </w:drawing>
      </w:r>
    </w:p>
    <w:p w14:paraId="601564BA" w14:textId="77777777" w:rsidR="00157AAA" w:rsidRDefault="006C1BE5">
      <w:pPr>
        <w:numPr>
          <w:ilvl w:val="12"/>
          <w:numId w:val="0"/>
        </w:numPr>
        <w:tabs>
          <w:tab w:val="left" w:pos="1620"/>
        </w:tabs>
        <w:ind w:left="1620" w:right="171" w:hanging="540"/>
        <w:jc w:val="left"/>
      </w:pPr>
      <w:r>
        <w:t>where:</w:t>
      </w:r>
    </w:p>
    <w:p w14:paraId="2FC627B6" w14:textId="77777777" w:rsidR="00157AAA" w:rsidRDefault="006C1BE5">
      <w:pPr>
        <w:numPr>
          <w:ilvl w:val="12"/>
          <w:numId w:val="0"/>
        </w:numPr>
        <w:tabs>
          <w:tab w:val="left" w:pos="1620"/>
        </w:tabs>
        <w:ind w:left="1620" w:right="171" w:hanging="540"/>
        <w:jc w:val="left"/>
      </w:pPr>
      <w:proofErr w:type="spellStart"/>
      <w:r>
        <w:rPr>
          <w:i/>
          <w:iCs/>
        </w:rPr>
        <w:t>S</w:t>
      </w:r>
      <w:r>
        <w:rPr>
          <w:i/>
          <w:iCs/>
          <w:vertAlign w:val="subscript"/>
        </w:rPr>
        <w:t>j</w:t>
      </w:r>
      <w:proofErr w:type="spellEnd"/>
      <w:r>
        <w:tab/>
      </w:r>
      <w:proofErr w:type="gramStart"/>
      <w:r>
        <w:t>=  the</w:t>
      </w:r>
      <w:proofErr w:type="gramEnd"/>
      <w:r>
        <w:t xml:space="preserve"> Category Technical Score of category “j”</w:t>
      </w:r>
    </w:p>
    <w:p w14:paraId="5FEE396C" w14:textId="77777777" w:rsidR="00157AAA" w:rsidRDefault="006C1BE5">
      <w:pPr>
        <w:numPr>
          <w:ilvl w:val="12"/>
          <w:numId w:val="0"/>
        </w:numPr>
        <w:tabs>
          <w:tab w:val="left" w:pos="1620"/>
        </w:tabs>
        <w:ind w:left="1620" w:right="171" w:hanging="540"/>
        <w:jc w:val="left"/>
      </w:pPr>
      <w:proofErr w:type="spellStart"/>
      <w:r>
        <w:rPr>
          <w:i/>
          <w:iCs/>
        </w:rPr>
        <w:t>W</w:t>
      </w:r>
      <w:r>
        <w:rPr>
          <w:i/>
          <w:iCs/>
          <w:vertAlign w:val="subscript"/>
        </w:rPr>
        <w:t>j</w:t>
      </w:r>
      <w:proofErr w:type="spellEnd"/>
      <w:r>
        <w:tab/>
      </w:r>
      <w:proofErr w:type="gramStart"/>
      <w:r>
        <w:t>=  the</w:t>
      </w:r>
      <w:proofErr w:type="gramEnd"/>
      <w:r>
        <w:t xml:space="preserve"> weight of category “j” as specified in the BDS</w:t>
      </w:r>
    </w:p>
    <w:p w14:paraId="511DC8F0" w14:textId="77777777" w:rsidR="00157AAA" w:rsidRDefault="006C1BE5">
      <w:pPr>
        <w:numPr>
          <w:ilvl w:val="12"/>
          <w:numId w:val="0"/>
        </w:numPr>
        <w:tabs>
          <w:tab w:val="left" w:pos="1620"/>
        </w:tabs>
        <w:ind w:left="1620" w:right="171" w:hanging="540"/>
        <w:jc w:val="left"/>
      </w:pPr>
      <w:r>
        <w:rPr>
          <w:i/>
          <w:iCs/>
        </w:rPr>
        <w:t>n</w:t>
      </w:r>
      <w:r>
        <w:tab/>
      </w:r>
      <w:proofErr w:type="gramStart"/>
      <w:r>
        <w:t>=  the</w:t>
      </w:r>
      <w:proofErr w:type="gramEnd"/>
      <w:r>
        <w:t xml:space="preserve"> number of categories</w:t>
      </w:r>
    </w:p>
    <w:p w14:paraId="7EB27DD2" w14:textId="77777777" w:rsidR="00157AAA" w:rsidRDefault="006C1BE5">
      <w:pPr>
        <w:jc w:val="left"/>
        <w:rPr>
          <w:b/>
        </w:rPr>
      </w:pPr>
      <w:r>
        <w:tab/>
        <w:t xml:space="preserve">and   </w:t>
      </w:r>
      <w:r>
        <w:rPr>
          <w:noProof/>
          <w:position w:val="-30"/>
          <w:sz w:val="20"/>
        </w:rPr>
        <w:drawing>
          <wp:inline distT="0" distB="0" distL="0" distR="0" wp14:anchorId="1A020627" wp14:editId="5AB2B3DF">
            <wp:extent cx="628650" cy="45085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pic:cNvPicPr>
                  </pic:nvPicPr>
                  <pic:blipFill>
                    <a:blip r:embed="rId47"/>
                    <a:stretch/>
                  </pic:blipFill>
                  <pic:spPr bwMode="auto">
                    <a:xfrm>
                      <a:off x="0" y="0"/>
                      <a:ext cx="628650" cy="450850"/>
                    </a:xfrm>
                    <a:prstGeom prst="rect">
                      <a:avLst/>
                    </a:prstGeom>
                    <a:noFill/>
                    <a:ln>
                      <a:noFill/>
                    </a:ln>
                  </pic:spPr>
                </pic:pic>
              </a:graphicData>
            </a:graphic>
          </wp:inline>
        </w:drawing>
      </w:r>
      <w:r>
        <w:t xml:space="preserve"> </w:t>
      </w:r>
    </w:p>
    <w:p w14:paraId="2091CAF1" w14:textId="77777777" w:rsidR="00157AAA" w:rsidRDefault="00157AAA">
      <w:pPr>
        <w:pStyle w:val="Footer"/>
        <w:ind w:left="720"/>
      </w:pPr>
    </w:p>
    <w:p w14:paraId="14233786" w14:textId="77777777" w:rsidR="00157AAA" w:rsidRDefault="006C1BE5" w:rsidP="00D530D5">
      <w:pPr>
        <w:pStyle w:val="Sec3h1"/>
        <w:numPr>
          <w:ilvl w:val="0"/>
          <w:numId w:val="57"/>
        </w:numPr>
        <w:rPr>
          <w:rStyle w:val="S3h1Char"/>
        </w:rPr>
      </w:pPr>
      <w:r>
        <w:rPr>
          <w:rStyle w:val="S3h1Char"/>
        </w:rPr>
        <w:t>Economic Evaluation</w:t>
      </w:r>
    </w:p>
    <w:p w14:paraId="2615DD75" w14:textId="77777777" w:rsidR="00157AAA" w:rsidRDefault="006C1BE5">
      <w:pPr>
        <w:spacing w:after="200"/>
        <w:ind w:left="1440" w:hanging="720"/>
        <w:jc w:val="left"/>
        <w:rPr>
          <w:bCs/>
          <w:iCs/>
        </w:rPr>
      </w:pPr>
      <w:r>
        <w:rPr>
          <w:bCs/>
          <w:iCs/>
        </w:rPr>
        <w:t>The following factors and methods will apply:</w:t>
      </w:r>
    </w:p>
    <w:p w14:paraId="2FDD99D0" w14:textId="77777777" w:rsidR="00157AAA" w:rsidRDefault="006C1BE5">
      <w:pPr>
        <w:spacing w:after="200"/>
        <w:ind w:left="1080" w:right="-72"/>
      </w:pPr>
      <w:r>
        <w:rPr>
          <w:b/>
        </w:rPr>
        <w:t>(a)</w:t>
      </w:r>
      <w:r>
        <w:tab/>
      </w:r>
      <w:r>
        <w:rPr>
          <w:b/>
        </w:rPr>
        <w:t>Time Schedule</w:t>
      </w:r>
      <w:r>
        <w:t xml:space="preserve">: </w:t>
      </w:r>
      <w:r>
        <w:rPr>
          <w:b/>
        </w:rPr>
        <w:t>not applicable</w:t>
      </w:r>
    </w:p>
    <w:p w14:paraId="17BF0D5E" w14:textId="61B701AB" w:rsidR="00157AAA" w:rsidRDefault="006C1BE5">
      <w:pPr>
        <w:spacing w:after="200"/>
        <w:ind w:left="1080" w:right="-72"/>
        <w:rPr>
          <w:b/>
        </w:rPr>
      </w:pPr>
      <w:r>
        <w:rPr>
          <w:b/>
        </w:rPr>
        <w:t>(b)</w:t>
      </w:r>
      <w:r>
        <w:rPr>
          <w:b/>
        </w:rPr>
        <w:tab/>
        <w:t xml:space="preserve">Recurrent Costs: not applicable </w:t>
      </w:r>
    </w:p>
    <w:p w14:paraId="5ABD821E" w14:textId="3A412500" w:rsidR="00157AAA" w:rsidRPr="000F4109" w:rsidRDefault="006C1BE5" w:rsidP="000F4109">
      <w:pPr>
        <w:spacing w:after="200"/>
        <w:ind w:left="1080" w:right="-72"/>
        <w:rPr>
          <w:b/>
        </w:rPr>
      </w:pPr>
      <w:r>
        <w:rPr>
          <w:b/>
        </w:rPr>
        <w:t>(c)</w:t>
      </w:r>
      <w:r>
        <w:rPr>
          <w:b/>
        </w:rPr>
        <w:tab/>
        <w:t>Specific additional criteria: not applicable</w:t>
      </w:r>
    </w:p>
    <w:p w14:paraId="33359643" w14:textId="6551A57F" w:rsidR="00157AAA" w:rsidRDefault="006C1BE5" w:rsidP="000F4109">
      <w:pPr>
        <w:spacing w:after="200"/>
        <w:ind w:left="1440" w:hanging="360"/>
      </w:pPr>
      <w:r>
        <w:t>The relevant evaluation method, if any, shall be as follows:</w:t>
      </w:r>
      <w:r w:rsidR="000F4109">
        <w:t xml:space="preserve"> </w:t>
      </w:r>
      <w:r w:rsidR="000F4109" w:rsidRPr="000F4109">
        <w:rPr>
          <w:b/>
        </w:rPr>
        <w:t xml:space="preserve">not </w:t>
      </w:r>
      <w:proofErr w:type="gramStart"/>
      <w:r w:rsidR="000F4109" w:rsidRPr="000F4109">
        <w:rPr>
          <w:b/>
        </w:rPr>
        <w:t>applicable</w:t>
      </w:r>
      <w:proofErr w:type="gramEnd"/>
    </w:p>
    <w:p w14:paraId="032ABD22" w14:textId="77777777" w:rsidR="00157AAA" w:rsidRPr="000F4109" w:rsidRDefault="00157AAA">
      <w:pPr>
        <w:spacing w:after="200"/>
        <w:ind w:left="1440" w:right="-72" w:hanging="360"/>
      </w:pPr>
    </w:p>
    <w:p w14:paraId="19A67AD3" w14:textId="77777777" w:rsidR="00157AAA" w:rsidRDefault="006C1BE5" w:rsidP="00D530D5">
      <w:pPr>
        <w:pStyle w:val="Sec3h1"/>
        <w:numPr>
          <w:ilvl w:val="0"/>
          <w:numId w:val="57"/>
        </w:numPr>
        <w:rPr>
          <w:rStyle w:val="S3h1Char"/>
        </w:rPr>
      </w:pPr>
      <w:r>
        <w:rPr>
          <w:rStyle w:val="S3h1Char"/>
        </w:rPr>
        <w:t xml:space="preserve">Technical </w:t>
      </w:r>
      <w:r>
        <w:rPr>
          <w:rStyle w:val="S3h1Char"/>
          <w:szCs w:val="28"/>
        </w:rPr>
        <w:t xml:space="preserve">alternatives: </w:t>
      </w:r>
      <w:r>
        <w:rPr>
          <w:b/>
          <w:sz w:val="28"/>
          <w:szCs w:val="28"/>
        </w:rPr>
        <w:t>not applicable</w:t>
      </w:r>
    </w:p>
    <w:p w14:paraId="22C2B059" w14:textId="385BE2B3" w:rsidR="00157AAA" w:rsidRPr="000F4109" w:rsidRDefault="006C1BE5">
      <w:pPr>
        <w:spacing w:after="200"/>
        <w:ind w:left="1080" w:right="-72"/>
        <w:rPr>
          <w:szCs w:val="24"/>
        </w:rPr>
      </w:pPr>
      <w:r>
        <w:t>If invited in accordance with ITB 13.4, will be evaluated as follows:</w:t>
      </w:r>
      <w:r>
        <w:rPr>
          <w:b/>
          <w:i/>
          <w:szCs w:val="24"/>
        </w:rPr>
        <w:t xml:space="preserve"> </w:t>
      </w:r>
      <w:proofErr w:type="gramStart"/>
      <w:r w:rsidR="000F4109">
        <w:rPr>
          <w:b/>
          <w:szCs w:val="24"/>
        </w:rPr>
        <w:t>none</w:t>
      </w:r>
      <w:proofErr w:type="gramEnd"/>
    </w:p>
    <w:p w14:paraId="21F3F996" w14:textId="77777777" w:rsidR="00157AAA" w:rsidRDefault="00157AAA">
      <w:pPr>
        <w:spacing w:after="200"/>
        <w:ind w:left="1080" w:right="-72"/>
        <w:rPr>
          <w:szCs w:val="24"/>
        </w:rPr>
      </w:pPr>
    </w:p>
    <w:p w14:paraId="27BAAC43" w14:textId="77777777" w:rsidR="00157AAA" w:rsidRDefault="006C1BE5" w:rsidP="00D530D5">
      <w:pPr>
        <w:pStyle w:val="Sec3h1"/>
        <w:numPr>
          <w:ilvl w:val="0"/>
          <w:numId w:val="57"/>
        </w:numPr>
        <w:rPr>
          <w:rStyle w:val="S3h1Char"/>
        </w:rPr>
      </w:pPr>
      <w:r>
        <w:rPr>
          <w:rStyle w:val="S3h1Char"/>
        </w:rPr>
        <w:t xml:space="preserve"> Combined Evaluation</w:t>
      </w:r>
    </w:p>
    <w:p w14:paraId="3F6F45BB" w14:textId="77777777" w:rsidR="00157AAA" w:rsidRDefault="006C1BE5">
      <w:pPr>
        <w:pStyle w:val="Footer"/>
        <w:ind w:left="720"/>
      </w:pPr>
      <w:r>
        <w:t xml:space="preserve">The Purchaser will evaluate and compare the Bids that have been determined to be substantially responsive, pursuant to ITB 30.  </w:t>
      </w:r>
    </w:p>
    <w:p w14:paraId="2AD2E409" w14:textId="77777777" w:rsidR="00157AAA" w:rsidRDefault="006C1BE5">
      <w:pPr>
        <w:pStyle w:val="Footer"/>
        <w:ind w:left="720"/>
      </w:pPr>
      <w:r>
        <w:t xml:space="preserve">If indicated by the BDS, the Purchaser’s evaluation of responsive Bids will </w:t>
      </w:r>
      <w:proofErr w:type="gramStart"/>
      <w:r>
        <w:t>take into account</w:t>
      </w:r>
      <w:proofErr w:type="gramEnd"/>
      <w:r>
        <w:t xml:space="preserve"> technical factors, in addition to cost factors. </w:t>
      </w:r>
    </w:p>
    <w:p w14:paraId="77830395" w14:textId="77777777" w:rsidR="00157AAA" w:rsidRDefault="006C1BE5">
      <w:pPr>
        <w:pStyle w:val="Footer"/>
        <w:ind w:left="720"/>
      </w:pPr>
      <w:r>
        <w:lastRenderedPageBreak/>
        <w:t>In such a case, an Evaluated Bid Score (B) will be calculated for each responsive Bid using the following formula, which permits a comprehensive assessment of the Bid price and the technical merits of each Bid:</w:t>
      </w:r>
    </w:p>
    <w:tbl>
      <w:tblPr>
        <w:tblW w:w="8640" w:type="dxa"/>
        <w:tblInd w:w="365" w:type="dxa"/>
        <w:tblLayout w:type="fixed"/>
        <w:tblCellMar>
          <w:left w:w="115" w:type="dxa"/>
          <w:right w:w="115" w:type="dxa"/>
        </w:tblCellMar>
        <w:tblLook w:val="0000" w:firstRow="0" w:lastRow="0" w:firstColumn="0" w:lastColumn="0" w:noHBand="0" w:noVBand="0"/>
      </w:tblPr>
      <w:tblGrid>
        <w:gridCol w:w="8640"/>
      </w:tblGrid>
      <w:tr w:rsidR="00157AAA" w14:paraId="01624109" w14:textId="77777777">
        <w:tc>
          <w:tcPr>
            <w:tcW w:w="8640" w:type="dxa"/>
          </w:tcPr>
          <w:p w14:paraId="782D74EB" w14:textId="77777777" w:rsidR="00157AAA" w:rsidRDefault="006C1BE5">
            <w:pPr>
              <w:numPr>
                <w:ilvl w:val="12"/>
                <w:numId w:val="0"/>
              </w:numPr>
              <w:spacing w:after="180"/>
              <w:ind w:left="540" w:right="171"/>
              <w:jc w:val="center"/>
            </w:pPr>
            <w:r>
              <w:rPr>
                <w:noProof/>
                <w:position w:val="-26"/>
                <w:sz w:val="20"/>
              </w:rPr>
              <w:drawing>
                <wp:inline distT="0" distB="0" distL="0" distR="0" wp14:anchorId="7DBEA435" wp14:editId="15AE79FF">
                  <wp:extent cx="1657350" cy="381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pic:cNvPicPr>
                        </pic:nvPicPr>
                        <pic:blipFill>
                          <a:blip r:embed="rId48"/>
                          <a:stretch/>
                        </pic:blipFill>
                        <pic:spPr bwMode="auto">
                          <a:xfrm>
                            <a:off x="0" y="0"/>
                            <a:ext cx="1657350" cy="381000"/>
                          </a:xfrm>
                          <a:prstGeom prst="rect">
                            <a:avLst/>
                          </a:prstGeom>
                          <a:noFill/>
                          <a:ln>
                            <a:noFill/>
                          </a:ln>
                        </pic:spPr>
                      </pic:pic>
                    </a:graphicData>
                  </a:graphic>
                </wp:inline>
              </w:drawing>
            </w:r>
          </w:p>
          <w:p w14:paraId="02EB5D13" w14:textId="77777777" w:rsidR="00157AAA" w:rsidRDefault="006C1BE5">
            <w:pPr>
              <w:numPr>
                <w:ilvl w:val="12"/>
                <w:numId w:val="0"/>
              </w:numPr>
              <w:spacing w:after="180"/>
              <w:ind w:left="1454" w:right="171" w:hanging="554"/>
              <w:jc w:val="left"/>
            </w:pPr>
            <w:proofErr w:type="gramStart"/>
            <w:r>
              <w:t>where</w:t>
            </w:r>
            <w:proofErr w:type="gramEnd"/>
          </w:p>
          <w:p w14:paraId="1A5E6591" w14:textId="77777777" w:rsidR="00157AAA" w:rsidRDefault="006C1BE5">
            <w:pPr>
              <w:numPr>
                <w:ilvl w:val="12"/>
                <w:numId w:val="0"/>
              </w:numPr>
              <w:tabs>
                <w:tab w:val="left" w:pos="1350"/>
              </w:tabs>
              <w:spacing w:after="180"/>
              <w:ind w:left="1710" w:right="171" w:hanging="824"/>
              <w:jc w:val="left"/>
            </w:pPr>
            <w:r>
              <w:rPr>
                <w:i/>
              </w:rPr>
              <w:t>C</w:t>
            </w:r>
            <w:r>
              <w:tab/>
              <w:t>=</w:t>
            </w:r>
            <w:r>
              <w:tab/>
              <w:t>Evaluated Bid Price</w:t>
            </w:r>
          </w:p>
          <w:p w14:paraId="326B1FFB" w14:textId="77777777" w:rsidR="00157AAA" w:rsidRDefault="006C1BE5">
            <w:pPr>
              <w:numPr>
                <w:ilvl w:val="12"/>
                <w:numId w:val="0"/>
              </w:numPr>
              <w:tabs>
                <w:tab w:val="left" w:pos="1350"/>
              </w:tabs>
              <w:spacing w:after="180"/>
              <w:ind w:left="1710" w:right="171" w:hanging="824"/>
              <w:jc w:val="left"/>
            </w:pPr>
            <w:r>
              <w:rPr>
                <w:i/>
              </w:rPr>
              <w:t xml:space="preserve">C </w:t>
            </w:r>
            <w:r>
              <w:rPr>
                <w:i/>
                <w:sz w:val="20"/>
                <w:vertAlign w:val="subscript"/>
              </w:rPr>
              <w:t>low</w:t>
            </w:r>
            <w:r>
              <w:tab/>
              <w:t>=</w:t>
            </w:r>
            <w:r>
              <w:tab/>
              <w:t>the lowest of all Evaluated Bid Prices among responsive Bids</w:t>
            </w:r>
          </w:p>
          <w:p w14:paraId="52B6A26B" w14:textId="77777777" w:rsidR="00157AAA" w:rsidRDefault="006C1BE5">
            <w:pPr>
              <w:numPr>
                <w:ilvl w:val="12"/>
                <w:numId w:val="0"/>
              </w:numPr>
              <w:tabs>
                <w:tab w:val="left" w:pos="1350"/>
              </w:tabs>
              <w:spacing w:after="180"/>
              <w:ind w:left="1710" w:right="171" w:hanging="824"/>
              <w:jc w:val="left"/>
            </w:pPr>
            <w:r>
              <w:rPr>
                <w:i/>
              </w:rPr>
              <w:t>T</w:t>
            </w:r>
            <w:r>
              <w:tab/>
              <w:t>=</w:t>
            </w:r>
            <w:r>
              <w:tab/>
              <w:t>the total Technical Score awarded to the Bid</w:t>
            </w:r>
          </w:p>
          <w:p w14:paraId="4381D297" w14:textId="77777777" w:rsidR="00157AAA" w:rsidRDefault="006C1BE5">
            <w:pPr>
              <w:numPr>
                <w:ilvl w:val="12"/>
                <w:numId w:val="0"/>
              </w:numPr>
              <w:tabs>
                <w:tab w:val="left" w:pos="1350"/>
              </w:tabs>
              <w:spacing w:after="180"/>
              <w:ind w:left="1710" w:right="171" w:hanging="824"/>
              <w:jc w:val="left"/>
            </w:pPr>
            <w:r>
              <w:rPr>
                <w:i/>
              </w:rPr>
              <w:t>T</w:t>
            </w:r>
            <w:r>
              <w:rPr>
                <w:i/>
                <w:sz w:val="20"/>
                <w:vertAlign w:val="subscript"/>
              </w:rPr>
              <w:t>high</w:t>
            </w:r>
            <w:r>
              <w:tab/>
              <w:t>=</w:t>
            </w:r>
            <w:r>
              <w:tab/>
              <w:t>the Technical Score achieved by the Bid that was scored best among all responsive Bids</w:t>
            </w:r>
          </w:p>
          <w:p w14:paraId="6678BE06" w14:textId="77777777" w:rsidR="00157AAA" w:rsidRDefault="006C1BE5">
            <w:pPr>
              <w:numPr>
                <w:ilvl w:val="12"/>
                <w:numId w:val="0"/>
              </w:numPr>
              <w:tabs>
                <w:tab w:val="left" w:pos="1350"/>
              </w:tabs>
              <w:spacing w:after="180"/>
              <w:ind w:left="1710" w:right="171" w:hanging="824"/>
              <w:jc w:val="left"/>
            </w:pPr>
            <w:r>
              <w:rPr>
                <w:i/>
              </w:rPr>
              <w:t>X</w:t>
            </w:r>
            <w:r>
              <w:tab/>
              <w:t>=</w:t>
            </w:r>
            <w:r>
              <w:tab/>
              <w:t xml:space="preserve">weight for the Price as specified in the </w:t>
            </w:r>
            <w:r>
              <w:rPr>
                <w:bCs/>
              </w:rPr>
              <w:t>BDS</w:t>
            </w:r>
          </w:p>
          <w:p w14:paraId="411EDDD9" w14:textId="77777777" w:rsidR="00157AAA" w:rsidRDefault="006C1BE5">
            <w:pPr>
              <w:pStyle w:val="Footer"/>
              <w:ind w:left="720" w:right="171" w:hanging="295"/>
              <w:rPr>
                <w:shd w:val="clear" w:color="auto" w:fill="FDE9D9" w:themeFill="accent6" w:themeFillTint="33"/>
              </w:rPr>
            </w:pPr>
            <w:r>
              <w:tab/>
              <w:t>The Bid with the best evaluated Bid Score (B) among responsive Bids shall be the Most Advantageous Bid provided the Bidder was prequalified and/or it was found to be qualified to perform the Contract in accordance with ITB 39</w:t>
            </w:r>
            <w:r>
              <w:rPr>
                <w:shd w:val="clear" w:color="auto" w:fill="FDE9D9" w:themeFill="accent6" w:themeFillTint="33"/>
              </w:rPr>
              <w:t>.</w:t>
            </w:r>
          </w:p>
          <w:p w14:paraId="5831965D" w14:textId="77777777" w:rsidR="00157AAA" w:rsidRDefault="00157AAA">
            <w:pPr>
              <w:pStyle w:val="Footer"/>
              <w:ind w:left="720" w:right="171" w:hanging="295"/>
            </w:pPr>
          </w:p>
        </w:tc>
      </w:tr>
    </w:tbl>
    <w:p w14:paraId="3165A22E" w14:textId="77777777" w:rsidR="00157AAA" w:rsidRDefault="00157AAA">
      <w:pPr>
        <w:jc w:val="left"/>
        <w:rPr>
          <w:sz w:val="28"/>
        </w:rPr>
      </w:pPr>
    </w:p>
    <w:p w14:paraId="5227BB08" w14:textId="77777777" w:rsidR="00157AAA" w:rsidRDefault="00157AAA">
      <w:pPr>
        <w:jc w:val="left"/>
        <w:rPr>
          <w:b/>
          <w:sz w:val="28"/>
        </w:rPr>
        <w:sectPr w:rsidR="00157AAA" w:rsidSect="00734667">
          <w:headerReference w:type="even" r:id="rId49"/>
          <w:headerReference w:type="default" r:id="rId50"/>
          <w:pgSz w:w="12240" w:h="15840"/>
          <w:pgMar w:top="1440" w:right="1710" w:bottom="1440" w:left="1440" w:header="720" w:footer="720" w:gutter="0"/>
          <w:cols w:space="720"/>
          <w:titlePg/>
          <w:docGrid w:linePitch="360"/>
        </w:sectPr>
      </w:pPr>
    </w:p>
    <w:p w14:paraId="593F1392" w14:textId="77777777" w:rsidR="00157AAA" w:rsidRDefault="006C1BE5" w:rsidP="00D530D5">
      <w:pPr>
        <w:pStyle w:val="Sec3h1"/>
        <w:numPr>
          <w:ilvl w:val="0"/>
          <w:numId w:val="57"/>
        </w:numPr>
        <w:rPr>
          <w:b/>
          <w:i/>
          <w:iCs/>
          <w:sz w:val="28"/>
        </w:rPr>
      </w:pPr>
      <w:r>
        <w:rPr>
          <w:b/>
          <w:iCs/>
          <w:sz w:val="28"/>
        </w:rPr>
        <w:lastRenderedPageBreak/>
        <w:t>Qualification</w:t>
      </w:r>
      <w:r>
        <w:rPr>
          <w:b/>
          <w:i/>
          <w:iCs/>
          <w:sz w:val="28"/>
        </w:rPr>
        <w:t xml:space="preserve"> </w:t>
      </w:r>
    </w:p>
    <w:p w14:paraId="63DEB6EE" w14:textId="77777777" w:rsidR="00157AAA" w:rsidRDefault="00157A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8"/>
        <w:gridCol w:w="2826"/>
        <w:gridCol w:w="1440"/>
        <w:gridCol w:w="1404"/>
        <w:gridCol w:w="1440"/>
        <w:gridCol w:w="1440"/>
        <w:gridCol w:w="1800"/>
      </w:tblGrid>
      <w:tr w:rsidR="00157AAA" w14:paraId="4F35361F" w14:textId="77777777">
        <w:trPr>
          <w:cantSplit/>
          <w:tblHeader/>
        </w:trPr>
        <w:tc>
          <w:tcPr>
            <w:tcW w:w="2178" w:type="dxa"/>
          </w:tcPr>
          <w:p w14:paraId="721CC211" w14:textId="77777777" w:rsidR="00157AAA" w:rsidRDefault="006C1BE5">
            <w:pPr>
              <w:spacing w:before="120"/>
              <w:jc w:val="center"/>
              <w:rPr>
                <w:b/>
                <w:sz w:val="22"/>
                <w:szCs w:val="22"/>
              </w:rPr>
            </w:pPr>
            <w:r>
              <w:rPr>
                <w:b/>
                <w:sz w:val="22"/>
                <w:szCs w:val="22"/>
              </w:rPr>
              <w:t>Factor</w:t>
            </w:r>
          </w:p>
        </w:tc>
        <w:tc>
          <w:tcPr>
            <w:tcW w:w="10350" w:type="dxa"/>
            <w:gridSpan w:val="6"/>
          </w:tcPr>
          <w:p w14:paraId="544DFECF" w14:textId="77777777" w:rsidR="00157AAA" w:rsidRDefault="006C1BE5">
            <w:pPr>
              <w:pStyle w:val="Heading1"/>
              <w:rPr>
                <w:rFonts w:ascii="Times New Roman" w:hAnsi="Times New Roman"/>
              </w:rPr>
            </w:pPr>
            <w:bookmarkStart w:id="467" w:name="_Toc496006430"/>
            <w:bookmarkStart w:id="468" w:name="_Toc496006831"/>
            <w:bookmarkStart w:id="469" w:name="_Toc496113482"/>
            <w:bookmarkStart w:id="470" w:name="_Toc496359153"/>
            <w:bookmarkStart w:id="471" w:name="_Toc496968116"/>
            <w:bookmarkStart w:id="472" w:name="_Toc498339860"/>
            <w:bookmarkStart w:id="473" w:name="_Toc498848207"/>
            <w:bookmarkStart w:id="474" w:name="_Toc499021785"/>
            <w:bookmarkStart w:id="475" w:name="_Toc499023468"/>
            <w:bookmarkStart w:id="476" w:name="_Toc501529950"/>
            <w:bookmarkStart w:id="477" w:name="_Toc503874228"/>
            <w:bookmarkStart w:id="478" w:name="_Toc23215164"/>
            <w:bookmarkStart w:id="479" w:name="_Toc445567356"/>
            <w:r>
              <w:t xml:space="preserve">5.1 </w:t>
            </w:r>
            <w:r>
              <w:rPr>
                <w:rFonts w:ascii="Times New Roman" w:hAnsi="Times New Roman"/>
              </w:rPr>
              <w:t>Eligibility</w:t>
            </w:r>
            <w:bookmarkEnd w:id="467"/>
            <w:bookmarkEnd w:id="468"/>
            <w:bookmarkEnd w:id="469"/>
            <w:bookmarkEnd w:id="470"/>
            <w:bookmarkEnd w:id="471"/>
            <w:bookmarkEnd w:id="472"/>
            <w:bookmarkEnd w:id="473"/>
            <w:bookmarkEnd w:id="474"/>
            <w:bookmarkEnd w:id="475"/>
            <w:bookmarkEnd w:id="476"/>
            <w:bookmarkEnd w:id="477"/>
            <w:bookmarkEnd w:id="478"/>
            <w:bookmarkEnd w:id="479"/>
          </w:p>
        </w:tc>
      </w:tr>
      <w:tr w:rsidR="00157AAA" w14:paraId="2A1E61FF" w14:textId="77777777">
        <w:trPr>
          <w:cantSplit/>
          <w:tblHeader/>
        </w:trPr>
        <w:tc>
          <w:tcPr>
            <w:tcW w:w="2178" w:type="dxa"/>
            <w:vMerge w:val="restart"/>
            <w:vAlign w:val="center"/>
          </w:tcPr>
          <w:p w14:paraId="476A24D1" w14:textId="77777777" w:rsidR="00157AAA" w:rsidRDefault="006C1BE5">
            <w:pPr>
              <w:pStyle w:val="titulo"/>
              <w:spacing w:before="120" w:after="120"/>
              <w:rPr>
                <w:rFonts w:ascii="Times New Roman" w:hAnsi="Times New Roman"/>
                <w:b w:val="0"/>
                <w:sz w:val="22"/>
                <w:szCs w:val="22"/>
              </w:rPr>
            </w:pPr>
            <w:r>
              <w:rPr>
                <w:rFonts w:ascii="Times New Roman" w:hAnsi="Times New Roman"/>
                <w:sz w:val="22"/>
                <w:szCs w:val="22"/>
              </w:rPr>
              <w:t>Sub-Factor</w:t>
            </w:r>
          </w:p>
        </w:tc>
        <w:tc>
          <w:tcPr>
            <w:tcW w:w="8550" w:type="dxa"/>
            <w:gridSpan w:val="5"/>
          </w:tcPr>
          <w:p w14:paraId="4E1352CC" w14:textId="77777777" w:rsidR="00157AAA" w:rsidRDefault="006C1BE5">
            <w:pPr>
              <w:pStyle w:val="titulo"/>
              <w:spacing w:before="80" w:after="0"/>
              <w:rPr>
                <w:rFonts w:ascii="Times New Roman" w:hAnsi="Times New Roman"/>
                <w:sz w:val="22"/>
                <w:szCs w:val="22"/>
              </w:rPr>
            </w:pPr>
            <w:r>
              <w:rPr>
                <w:rFonts w:ascii="Times New Roman" w:hAnsi="Times New Roman"/>
                <w:b w:val="0"/>
                <w:sz w:val="22"/>
                <w:szCs w:val="22"/>
              </w:rPr>
              <w:t>Criteria</w:t>
            </w:r>
          </w:p>
        </w:tc>
        <w:tc>
          <w:tcPr>
            <w:tcW w:w="1800" w:type="dxa"/>
            <w:vMerge w:val="restart"/>
            <w:vAlign w:val="center"/>
          </w:tcPr>
          <w:p w14:paraId="565C3306" w14:textId="77777777" w:rsidR="00157AAA" w:rsidRDefault="006C1BE5">
            <w:pPr>
              <w:pStyle w:val="titulo"/>
              <w:spacing w:before="120" w:after="0"/>
              <w:rPr>
                <w:rFonts w:ascii="Times New Roman" w:hAnsi="Times New Roman"/>
                <w:sz w:val="22"/>
                <w:szCs w:val="22"/>
              </w:rPr>
            </w:pPr>
            <w:r>
              <w:rPr>
                <w:rFonts w:ascii="Times New Roman" w:hAnsi="Times New Roman"/>
                <w:sz w:val="22"/>
                <w:szCs w:val="22"/>
              </w:rPr>
              <w:t>Documentation Required</w:t>
            </w:r>
          </w:p>
        </w:tc>
      </w:tr>
      <w:tr w:rsidR="00157AAA" w14:paraId="71BF76F3" w14:textId="77777777" w:rsidTr="008E2AAD">
        <w:trPr>
          <w:cantSplit/>
          <w:trHeight w:val="253"/>
          <w:tblHeader/>
        </w:trPr>
        <w:tc>
          <w:tcPr>
            <w:tcW w:w="2178" w:type="dxa"/>
            <w:vMerge/>
          </w:tcPr>
          <w:p w14:paraId="6AA22DEE" w14:textId="77777777" w:rsidR="00157AAA" w:rsidRDefault="00157AAA">
            <w:pPr>
              <w:ind w:left="360" w:hanging="360"/>
              <w:jc w:val="center"/>
              <w:rPr>
                <w:b/>
                <w:sz w:val="22"/>
                <w:szCs w:val="22"/>
              </w:rPr>
            </w:pPr>
          </w:p>
        </w:tc>
        <w:tc>
          <w:tcPr>
            <w:tcW w:w="2826" w:type="dxa"/>
            <w:vMerge w:val="restart"/>
            <w:tcBorders>
              <w:bottom w:val="none" w:sz="4" w:space="0" w:color="000000"/>
            </w:tcBorders>
            <w:vAlign w:val="center"/>
          </w:tcPr>
          <w:p w14:paraId="6AC8E970" w14:textId="77777777" w:rsidR="00157AAA" w:rsidRDefault="006C1BE5">
            <w:pPr>
              <w:pStyle w:val="titulo"/>
              <w:spacing w:before="120" w:after="120"/>
              <w:rPr>
                <w:rFonts w:ascii="Times New Roman" w:hAnsi="Times New Roman"/>
                <w:b w:val="0"/>
                <w:sz w:val="22"/>
                <w:szCs w:val="22"/>
              </w:rPr>
            </w:pPr>
            <w:r>
              <w:rPr>
                <w:rFonts w:ascii="Times New Roman" w:hAnsi="Times New Roman"/>
                <w:sz w:val="22"/>
                <w:szCs w:val="22"/>
              </w:rPr>
              <w:t>Requirement</w:t>
            </w:r>
          </w:p>
        </w:tc>
        <w:tc>
          <w:tcPr>
            <w:tcW w:w="5724" w:type="dxa"/>
            <w:gridSpan w:val="4"/>
          </w:tcPr>
          <w:p w14:paraId="38B04FB2" w14:textId="77777777" w:rsidR="00157AAA" w:rsidRDefault="006C1BE5">
            <w:pPr>
              <w:pStyle w:val="titulo"/>
              <w:spacing w:before="80" w:after="0"/>
              <w:rPr>
                <w:rFonts w:ascii="Times New Roman" w:hAnsi="Times New Roman"/>
                <w:sz w:val="22"/>
                <w:szCs w:val="22"/>
              </w:rPr>
            </w:pPr>
            <w:r>
              <w:rPr>
                <w:rFonts w:ascii="Times New Roman" w:hAnsi="Times New Roman"/>
                <w:sz w:val="22"/>
                <w:szCs w:val="22"/>
              </w:rPr>
              <w:t>Bidder</w:t>
            </w:r>
          </w:p>
        </w:tc>
        <w:tc>
          <w:tcPr>
            <w:tcW w:w="1800" w:type="dxa"/>
            <w:vMerge/>
            <w:tcBorders>
              <w:bottom w:val="none" w:sz="4" w:space="0" w:color="000000"/>
            </w:tcBorders>
          </w:tcPr>
          <w:p w14:paraId="5EEE299E" w14:textId="77777777" w:rsidR="00157AAA" w:rsidRDefault="00157AAA">
            <w:pPr>
              <w:pStyle w:val="titulo"/>
              <w:spacing w:before="80"/>
              <w:rPr>
                <w:rFonts w:ascii="Times New Roman" w:hAnsi="Times New Roman"/>
                <w:b w:val="0"/>
                <w:sz w:val="20"/>
              </w:rPr>
            </w:pPr>
          </w:p>
        </w:tc>
      </w:tr>
      <w:tr w:rsidR="00157AAA" w14:paraId="6E5F57A9" w14:textId="77777777" w:rsidTr="008E2AAD">
        <w:trPr>
          <w:cantSplit/>
          <w:trHeight w:val="253"/>
          <w:tblHeader/>
        </w:trPr>
        <w:tc>
          <w:tcPr>
            <w:tcW w:w="2178" w:type="dxa"/>
            <w:vMerge/>
          </w:tcPr>
          <w:p w14:paraId="59433F56" w14:textId="77777777" w:rsidR="00157AAA" w:rsidRDefault="00157AAA">
            <w:pPr>
              <w:ind w:left="360" w:hanging="360"/>
              <w:jc w:val="center"/>
              <w:rPr>
                <w:b/>
                <w:sz w:val="22"/>
                <w:szCs w:val="22"/>
              </w:rPr>
            </w:pPr>
          </w:p>
        </w:tc>
        <w:tc>
          <w:tcPr>
            <w:tcW w:w="2826" w:type="dxa"/>
            <w:vMerge/>
            <w:tcBorders>
              <w:top w:val="none" w:sz="4" w:space="0" w:color="000000"/>
              <w:bottom w:val="none" w:sz="4" w:space="0" w:color="000000"/>
            </w:tcBorders>
          </w:tcPr>
          <w:p w14:paraId="03E1B836" w14:textId="77777777" w:rsidR="00157AAA" w:rsidRDefault="00157AAA">
            <w:pPr>
              <w:ind w:left="360" w:hanging="360"/>
              <w:jc w:val="center"/>
              <w:rPr>
                <w:b/>
                <w:sz w:val="22"/>
                <w:szCs w:val="22"/>
              </w:rPr>
            </w:pPr>
          </w:p>
        </w:tc>
        <w:tc>
          <w:tcPr>
            <w:tcW w:w="1440" w:type="dxa"/>
            <w:vMerge w:val="restart"/>
          </w:tcPr>
          <w:p w14:paraId="0564ADA9" w14:textId="77777777" w:rsidR="00157AAA" w:rsidRDefault="006C1BE5">
            <w:pPr>
              <w:spacing w:before="80"/>
              <w:jc w:val="center"/>
              <w:rPr>
                <w:b/>
                <w:sz w:val="22"/>
                <w:szCs w:val="22"/>
              </w:rPr>
            </w:pPr>
            <w:r>
              <w:rPr>
                <w:b/>
                <w:sz w:val="22"/>
                <w:szCs w:val="22"/>
              </w:rPr>
              <w:t>Single Entity</w:t>
            </w:r>
          </w:p>
        </w:tc>
        <w:tc>
          <w:tcPr>
            <w:tcW w:w="4284" w:type="dxa"/>
            <w:gridSpan w:val="3"/>
          </w:tcPr>
          <w:p w14:paraId="0266EF29" w14:textId="77777777" w:rsidR="00157AAA" w:rsidRDefault="006C1BE5">
            <w:pPr>
              <w:pStyle w:val="titulo"/>
              <w:spacing w:before="80" w:after="0"/>
              <w:rPr>
                <w:rFonts w:ascii="Times New Roman" w:hAnsi="Times New Roman"/>
                <w:sz w:val="22"/>
                <w:szCs w:val="22"/>
              </w:rPr>
            </w:pPr>
            <w:r>
              <w:rPr>
                <w:rFonts w:ascii="Times New Roman" w:hAnsi="Times New Roman"/>
                <w:sz w:val="22"/>
                <w:szCs w:val="22"/>
              </w:rPr>
              <w:t>Joint Venture (existing or intended)</w:t>
            </w:r>
          </w:p>
        </w:tc>
        <w:tc>
          <w:tcPr>
            <w:tcW w:w="1800" w:type="dxa"/>
            <w:vMerge/>
            <w:tcBorders>
              <w:bottom w:val="none" w:sz="4" w:space="0" w:color="000000"/>
            </w:tcBorders>
          </w:tcPr>
          <w:p w14:paraId="41F1A54D" w14:textId="77777777" w:rsidR="00157AAA" w:rsidRDefault="00157AAA">
            <w:pPr>
              <w:pStyle w:val="titulo"/>
              <w:spacing w:before="80" w:after="0"/>
              <w:rPr>
                <w:rFonts w:ascii="Times New Roman" w:hAnsi="Times New Roman"/>
                <w:sz w:val="20"/>
              </w:rPr>
            </w:pPr>
          </w:p>
        </w:tc>
      </w:tr>
      <w:tr w:rsidR="00157AAA" w14:paraId="1089D71B" w14:textId="77777777">
        <w:trPr>
          <w:cantSplit/>
          <w:tblHeader/>
        </w:trPr>
        <w:tc>
          <w:tcPr>
            <w:tcW w:w="2178" w:type="dxa"/>
            <w:vMerge/>
          </w:tcPr>
          <w:p w14:paraId="5AB2D352" w14:textId="77777777" w:rsidR="00157AAA" w:rsidRDefault="00157AAA">
            <w:pPr>
              <w:ind w:left="360" w:hanging="360"/>
              <w:rPr>
                <w:b/>
                <w:sz w:val="22"/>
                <w:szCs w:val="22"/>
              </w:rPr>
            </w:pPr>
          </w:p>
        </w:tc>
        <w:tc>
          <w:tcPr>
            <w:tcW w:w="2826" w:type="dxa"/>
            <w:vMerge/>
            <w:tcBorders>
              <w:top w:val="none" w:sz="4" w:space="0" w:color="000000"/>
            </w:tcBorders>
          </w:tcPr>
          <w:p w14:paraId="1961E468" w14:textId="77777777" w:rsidR="00157AAA" w:rsidRDefault="00157AAA">
            <w:pPr>
              <w:ind w:left="360" w:hanging="360"/>
              <w:rPr>
                <w:b/>
                <w:sz w:val="22"/>
                <w:szCs w:val="22"/>
              </w:rPr>
            </w:pPr>
          </w:p>
        </w:tc>
        <w:tc>
          <w:tcPr>
            <w:tcW w:w="1440" w:type="dxa"/>
            <w:vMerge/>
          </w:tcPr>
          <w:p w14:paraId="5B8427AC" w14:textId="77777777" w:rsidR="00157AAA" w:rsidRDefault="00157AAA">
            <w:pPr>
              <w:rPr>
                <w:b/>
                <w:sz w:val="22"/>
                <w:szCs w:val="22"/>
              </w:rPr>
            </w:pPr>
          </w:p>
        </w:tc>
        <w:tc>
          <w:tcPr>
            <w:tcW w:w="1404" w:type="dxa"/>
            <w:tcBorders>
              <w:top w:val="none" w:sz="4" w:space="0" w:color="000000"/>
            </w:tcBorders>
          </w:tcPr>
          <w:p w14:paraId="77F2CCAB" w14:textId="77777777" w:rsidR="00157AAA" w:rsidRDefault="006C1BE5">
            <w:pPr>
              <w:jc w:val="center"/>
              <w:rPr>
                <w:b/>
                <w:sz w:val="22"/>
                <w:szCs w:val="22"/>
              </w:rPr>
            </w:pPr>
            <w:r>
              <w:rPr>
                <w:b/>
                <w:sz w:val="22"/>
                <w:szCs w:val="22"/>
              </w:rPr>
              <w:t>All members combined</w:t>
            </w:r>
          </w:p>
        </w:tc>
        <w:tc>
          <w:tcPr>
            <w:tcW w:w="1440" w:type="dxa"/>
            <w:tcBorders>
              <w:top w:val="none" w:sz="4" w:space="0" w:color="000000"/>
            </w:tcBorders>
          </w:tcPr>
          <w:p w14:paraId="38A2BE7F" w14:textId="77777777" w:rsidR="00157AAA" w:rsidRDefault="006C1BE5">
            <w:pPr>
              <w:pStyle w:val="titulo"/>
              <w:spacing w:after="0"/>
              <w:rPr>
                <w:rFonts w:ascii="Times New Roman" w:hAnsi="Times New Roman"/>
                <w:sz w:val="22"/>
                <w:szCs w:val="22"/>
              </w:rPr>
            </w:pPr>
            <w:r>
              <w:rPr>
                <w:rFonts w:ascii="Times New Roman" w:hAnsi="Times New Roman"/>
                <w:sz w:val="22"/>
                <w:szCs w:val="22"/>
              </w:rPr>
              <w:t>Each member</w:t>
            </w:r>
          </w:p>
        </w:tc>
        <w:tc>
          <w:tcPr>
            <w:tcW w:w="1440" w:type="dxa"/>
            <w:tcBorders>
              <w:top w:val="none" w:sz="4" w:space="0" w:color="000000"/>
            </w:tcBorders>
          </w:tcPr>
          <w:p w14:paraId="5672EA13" w14:textId="77777777" w:rsidR="00157AAA" w:rsidRDefault="006C1BE5">
            <w:pPr>
              <w:jc w:val="center"/>
              <w:rPr>
                <w:b/>
                <w:sz w:val="22"/>
                <w:szCs w:val="22"/>
              </w:rPr>
            </w:pPr>
            <w:r>
              <w:rPr>
                <w:b/>
                <w:sz w:val="22"/>
                <w:szCs w:val="22"/>
              </w:rPr>
              <w:t>At least one member</w:t>
            </w:r>
          </w:p>
        </w:tc>
        <w:tc>
          <w:tcPr>
            <w:tcW w:w="1800" w:type="dxa"/>
            <w:vMerge/>
            <w:tcBorders>
              <w:top w:val="none" w:sz="4" w:space="0" w:color="000000"/>
            </w:tcBorders>
          </w:tcPr>
          <w:p w14:paraId="118AAFE0" w14:textId="77777777" w:rsidR="00157AAA" w:rsidRDefault="00157AAA">
            <w:pPr>
              <w:rPr>
                <w:b/>
                <w:sz w:val="20"/>
              </w:rPr>
            </w:pPr>
          </w:p>
        </w:tc>
      </w:tr>
      <w:tr w:rsidR="00157AAA" w14:paraId="20047A8D" w14:textId="77777777">
        <w:trPr>
          <w:cantSplit/>
        </w:trPr>
        <w:tc>
          <w:tcPr>
            <w:tcW w:w="2178" w:type="dxa"/>
          </w:tcPr>
          <w:p w14:paraId="130DD92A" w14:textId="77777777" w:rsidR="00157AAA" w:rsidRDefault="006C1BE5">
            <w:pPr>
              <w:pStyle w:val="Heading2"/>
              <w:tabs>
                <w:tab w:val="left" w:pos="576"/>
              </w:tabs>
              <w:spacing w:before="60" w:after="60"/>
              <w:ind w:left="605" w:hanging="605"/>
              <w:jc w:val="both"/>
              <w:rPr>
                <w:rFonts w:ascii="Times New Roman" w:hAnsi="Times New Roman"/>
                <w:b w:val="0"/>
                <w:sz w:val="20"/>
              </w:rPr>
            </w:pPr>
            <w:bookmarkStart w:id="480" w:name="_Toc496968117"/>
            <w:bookmarkStart w:id="481" w:name="_Toc445567357"/>
            <w:r>
              <w:rPr>
                <w:rFonts w:ascii="Times New Roman" w:hAnsi="Times New Roman"/>
                <w:b w:val="0"/>
                <w:sz w:val="20"/>
              </w:rPr>
              <w:t xml:space="preserve">5.1.1 </w:t>
            </w:r>
            <w:r>
              <w:rPr>
                <w:rFonts w:ascii="Times New Roman" w:hAnsi="Times New Roman"/>
                <w:b w:val="0"/>
                <w:sz w:val="20"/>
              </w:rPr>
              <w:tab/>
              <w:t>Nationality</w:t>
            </w:r>
            <w:bookmarkEnd w:id="480"/>
            <w:bookmarkEnd w:id="481"/>
            <w:r>
              <w:rPr>
                <w:rFonts w:ascii="Times New Roman" w:hAnsi="Times New Roman"/>
                <w:b w:val="0"/>
                <w:sz w:val="20"/>
              </w:rPr>
              <w:t xml:space="preserve"> </w:t>
            </w:r>
          </w:p>
        </w:tc>
        <w:tc>
          <w:tcPr>
            <w:tcW w:w="2826" w:type="dxa"/>
          </w:tcPr>
          <w:p w14:paraId="1550D622" w14:textId="77777777" w:rsidR="00157AAA" w:rsidRDefault="006C1BE5">
            <w:pPr>
              <w:pStyle w:val="BodyTextIndent"/>
              <w:spacing w:before="60" w:after="60"/>
              <w:ind w:left="0"/>
              <w:jc w:val="left"/>
              <w:rPr>
                <w:sz w:val="20"/>
              </w:rPr>
            </w:pPr>
            <w:r>
              <w:rPr>
                <w:sz w:val="20"/>
              </w:rPr>
              <w:t>Nationality in accordance with ITB 4.4.</w:t>
            </w:r>
          </w:p>
        </w:tc>
        <w:tc>
          <w:tcPr>
            <w:tcW w:w="1440" w:type="dxa"/>
          </w:tcPr>
          <w:p w14:paraId="5933A0D4" w14:textId="77777777" w:rsidR="00157AAA" w:rsidRDefault="006C1BE5">
            <w:pPr>
              <w:spacing w:before="60" w:after="60"/>
              <w:jc w:val="left"/>
              <w:rPr>
                <w:sz w:val="20"/>
              </w:rPr>
            </w:pPr>
            <w:r>
              <w:rPr>
                <w:sz w:val="20"/>
              </w:rPr>
              <w:t>Must meet requirement</w:t>
            </w:r>
          </w:p>
        </w:tc>
        <w:tc>
          <w:tcPr>
            <w:tcW w:w="1404" w:type="dxa"/>
          </w:tcPr>
          <w:p w14:paraId="2CADD3FC" w14:textId="77777777" w:rsidR="00157AAA" w:rsidRDefault="006C1BE5">
            <w:pPr>
              <w:spacing w:before="60" w:after="60"/>
              <w:jc w:val="left"/>
              <w:rPr>
                <w:sz w:val="20"/>
              </w:rPr>
            </w:pPr>
            <w:r>
              <w:rPr>
                <w:sz w:val="22"/>
                <w:szCs w:val="22"/>
              </w:rPr>
              <w:t>Must meet requirement</w:t>
            </w:r>
          </w:p>
        </w:tc>
        <w:tc>
          <w:tcPr>
            <w:tcW w:w="1440" w:type="dxa"/>
          </w:tcPr>
          <w:p w14:paraId="23AA44C3" w14:textId="77777777" w:rsidR="00157AAA" w:rsidRDefault="006C1BE5">
            <w:pPr>
              <w:spacing w:before="60" w:after="60"/>
              <w:jc w:val="left"/>
              <w:rPr>
                <w:sz w:val="20"/>
              </w:rPr>
            </w:pPr>
            <w:r>
              <w:rPr>
                <w:sz w:val="20"/>
              </w:rPr>
              <w:t>Must meet requirement</w:t>
            </w:r>
          </w:p>
        </w:tc>
        <w:tc>
          <w:tcPr>
            <w:tcW w:w="1440" w:type="dxa"/>
          </w:tcPr>
          <w:p w14:paraId="561CBAFD" w14:textId="77777777" w:rsidR="00157AAA" w:rsidRDefault="006C1BE5">
            <w:pPr>
              <w:spacing w:before="60" w:after="60"/>
              <w:jc w:val="center"/>
              <w:rPr>
                <w:sz w:val="20"/>
              </w:rPr>
            </w:pPr>
            <w:r>
              <w:rPr>
                <w:sz w:val="20"/>
              </w:rPr>
              <w:t>N / A</w:t>
            </w:r>
          </w:p>
        </w:tc>
        <w:tc>
          <w:tcPr>
            <w:tcW w:w="1800" w:type="dxa"/>
          </w:tcPr>
          <w:p w14:paraId="273E670F" w14:textId="77777777" w:rsidR="00157AAA" w:rsidRDefault="006C1BE5">
            <w:pPr>
              <w:spacing w:before="60" w:after="60"/>
              <w:jc w:val="center"/>
              <w:rPr>
                <w:sz w:val="20"/>
              </w:rPr>
            </w:pPr>
            <w:r>
              <w:rPr>
                <w:sz w:val="20"/>
              </w:rPr>
              <w:t>Form ELI –5.1.1 and 5.1.2, with attachments</w:t>
            </w:r>
          </w:p>
        </w:tc>
      </w:tr>
      <w:tr w:rsidR="00157AAA" w14:paraId="024F63FD" w14:textId="77777777">
        <w:trPr>
          <w:cantSplit/>
        </w:trPr>
        <w:tc>
          <w:tcPr>
            <w:tcW w:w="2178" w:type="dxa"/>
          </w:tcPr>
          <w:p w14:paraId="66DE2D5D" w14:textId="77777777" w:rsidR="00157AAA" w:rsidRDefault="006C1BE5">
            <w:pPr>
              <w:pStyle w:val="Heading2"/>
              <w:tabs>
                <w:tab w:val="left" w:pos="576"/>
              </w:tabs>
              <w:spacing w:before="60" w:after="60"/>
              <w:ind w:left="605" w:hanging="605"/>
              <w:jc w:val="left"/>
              <w:rPr>
                <w:rFonts w:ascii="Times New Roman" w:hAnsi="Times New Roman"/>
                <w:sz w:val="20"/>
              </w:rPr>
            </w:pPr>
            <w:bookmarkStart w:id="482" w:name="_Toc445567358"/>
            <w:r>
              <w:rPr>
                <w:rFonts w:ascii="Times New Roman" w:hAnsi="Times New Roman"/>
                <w:b w:val="0"/>
                <w:sz w:val="20"/>
              </w:rPr>
              <w:t xml:space="preserve">5.1.2 </w:t>
            </w:r>
            <w:r>
              <w:rPr>
                <w:rFonts w:ascii="Times New Roman" w:hAnsi="Times New Roman"/>
                <w:b w:val="0"/>
                <w:sz w:val="20"/>
              </w:rPr>
              <w:tab/>
              <w:t>Conflict of Interest</w:t>
            </w:r>
            <w:bookmarkEnd w:id="482"/>
          </w:p>
        </w:tc>
        <w:tc>
          <w:tcPr>
            <w:tcW w:w="2826" w:type="dxa"/>
          </w:tcPr>
          <w:p w14:paraId="747F4730" w14:textId="77777777" w:rsidR="00157AAA" w:rsidRDefault="006C1BE5">
            <w:pPr>
              <w:pStyle w:val="BodyTextIndent"/>
              <w:spacing w:before="60" w:after="60"/>
              <w:ind w:left="0"/>
              <w:jc w:val="left"/>
              <w:rPr>
                <w:sz w:val="20"/>
              </w:rPr>
            </w:pPr>
            <w:r>
              <w:rPr>
                <w:sz w:val="20"/>
              </w:rPr>
              <w:t xml:space="preserve"> No- conflicts of interests as described in ITB 4.2.</w:t>
            </w:r>
          </w:p>
        </w:tc>
        <w:tc>
          <w:tcPr>
            <w:tcW w:w="1440" w:type="dxa"/>
          </w:tcPr>
          <w:p w14:paraId="51DAE6AF" w14:textId="77777777" w:rsidR="00157AAA" w:rsidRDefault="006C1BE5">
            <w:pPr>
              <w:spacing w:before="60" w:after="60"/>
              <w:jc w:val="left"/>
              <w:rPr>
                <w:sz w:val="20"/>
              </w:rPr>
            </w:pPr>
            <w:r>
              <w:rPr>
                <w:sz w:val="20"/>
              </w:rPr>
              <w:t>Must meet requirement</w:t>
            </w:r>
          </w:p>
        </w:tc>
        <w:tc>
          <w:tcPr>
            <w:tcW w:w="1404" w:type="dxa"/>
          </w:tcPr>
          <w:p w14:paraId="55D0B74B" w14:textId="77777777" w:rsidR="00157AAA" w:rsidRDefault="006C1BE5">
            <w:pPr>
              <w:spacing w:before="60" w:after="60"/>
              <w:jc w:val="left"/>
              <w:rPr>
                <w:sz w:val="20"/>
              </w:rPr>
            </w:pPr>
            <w:r>
              <w:rPr>
                <w:sz w:val="22"/>
                <w:szCs w:val="22"/>
              </w:rPr>
              <w:t>Must meet requirement</w:t>
            </w:r>
          </w:p>
        </w:tc>
        <w:tc>
          <w:tcPr>
            <w:tcW w:w="1440" w:type="dxa"/>
          </w:tcPr>
          <w:p w14:paraId="43148B6B" w14:textId="77777777" w:rsidR="00157AAA" w:rsidRDefault="006C1BE5">
            <w:pPr>
              <w:spacing w:before="60" w:after="60"/>
              <w:jc w:val="left"/>
              <w:rPr>
                <w:sz w:val="20"/>
              </w:rPr>
            </w:pPr>
            <w:r>
              <w:rPr>
                <w:sz w:val="20"/>
              </w:rPr>
              <w:t>Must meet requirement</w:t>
            </w:r>
          </w:p>
        </w:tc>
        <w:tc>
          <w:tcPr>
            <w:tcW w:w="1440" w:type="dxa"/>
          </w:tcPr>
          <w:p w14:paraId="0635532E" w14:textId="77777777" w:rsidR="00157AAA" w:rsidRDefault="006C1BE5">
            <w:pPr>
              <w:spacing w:before="60" w:after="60"/>
              <w:jc w:val="center"/>
              <w:rPr>
                <w:sz w:val="20"/>
              </w:rPr>
            </w:pPr>
            <w:r>
              <w:rPr>
                <w:sz w:val="20"/>
              </w:rPr>
              <w:t>N / A</w:t>
            </w:r>
          </w:p>
        </w:tc>
        <w:tc>
          <w:tcPr>
            <w:tcW w:w="1800" w:type="dxa"/>
          </w:tcPr>
          <w:p w14:paraId="46C4ADE1" w14:textId="77777777" w:rsidR="00157AAA" w:rsidRDefault="006C1BE5">
            <w:pPr>
              <w:spacing w:before="60" w:after="60"/>
              <w:jc w:val="center"/>
              <w:rPr>
                <w:sz w:val="20"/>
              </w:rPr>
            </w:pPr>
            <w:r>
              <w:rPr>
                <w:sz w:val="20"/>
              </w:rPr>
              <w:t>Letter of Bid</w:t>
            </w:r>
          </w:p>
        </w:tc>
      </w:tr>
      <w:tr w:rsidR="00157AAA" w14:paraId="5010E992" w14:textId="77777777">
        <w:trPr>
          <w:cantSplit/>
        </w:trPr>
        <w:tc>
          <w:tcPr>
            <w:tcW w:w="2178" w:type="dxa"/>
          </w:tcPr>
          <w:p w14:paraId="3ABB8CD2" w14:textId="77777777" w:rsidR="00157AAA" w:rsidRDefault="006C1BE5">
            <w:pPr>
              <w:pStyle w:val="Heading2"/>
              <w:tabs>
                <w:tab w:val="left" w:pos="576"/>
              </w:tabs>
              <w:spacing w:before="60" w:after="60"/>
              <w:ind w:left="605" w:hanging="605"/>
              <w:jc w:val="both"/>
              <w:rPr>
                <w:rFonts w:ascii="Times New Roman" w:hAnsi="Times New Roman"/>
                <w:sz w:val="20"/>
              </w:rPr>
            </w:pPr>
            <w:bookmarkStart w:id="483" w:name="_Toc445567359"/>
            <w:r>
              <w:rPr>
                <w:rFonts w:ascii="Times New Roman" w:hAnsi="Times New Roman"/>
                <w:b w:val="0"/>
                <w:sz w:val="20"/>
              </w:rPr>
              <w:t>5.1.3</w:t>
            </w:r>
            <w:r>
              <w:rPr>
                <w:rFonts w:ascii="Times New Roman" w:hAnsi="Times New Roman"/>
                <w:b w:val="0"/>
                <w:sz w:val="20"/>
              </w:rPr>
              <w:tab/>
              <w:t>Bank Ineligibility</w:t>
            </w:r>
            <w:bookmarkEnd w:id="483"/>
          </w:p>
        </w:tc>
        <w:tc>
          <w:tcPr>
            <w:tcW w:w="2826" w:type="dxa"/>
          </w:tcPr>
          <w:p w14:paraId="481618B3" w14:textId="77777777" w:rsidR="00157AAA" w:rsidRDefault="006C1BE5">
            <w:pPr>
              <w:pStyle w:val="BodyTextIndent"/>
              <w:spacing w:before="60" w:after="60"/>
              <w:ind w:left="0"/>
              <w:jc w:val="left"/>
              <w:rPr>
                <w:sz w:val="20"/>
              </w:rPr>
            </w:pPr>
            <w:r>
              <w:rPr>
                <w:sz w:val="20"/>
              </w:rPr>
              <w:t>Not having been declared ineligible by the Bank as described in ITB 4.5.</w:t>
            </w:r>
          </w:p>
        </w:tc>
        <w:tc>
          <w:tcPr>
            <w:tcW w:w="1440" w:type="dxa"/>
          </w:tcPr>
          <w:p w14:paraId="12BE75A7" w14:textId="77777777" w:rsidR="00157AAA" w:rsidRDefault="006C1BE5">
            <w:pPr>
              <w:spacing w:before="60" w:after="60"/>
              <w:jc w:val="left"/>
              <w:rPr>
                <w:sz w:val="20"/>
              </w:rPr>
            </w:pPr>
            <w:r>
              <w:rPr>
                <w:sz w:val="20"/>
              </w:rPr>
              <w:t>Must meet requirement</w:t>
            </w:r>
          </w:p>
        </w:tc>
        <w:tc>
          <w:tcPr>
            <w:tcW w:w="1404" w:type="dxa"/>
          </w:tcPr>
          <w:p w14:paraId="2FB44D5A" w14:textId="77777777" w:rsidR="00157AAA" w:rsidRDefault="006C1BE5">
            <w:pPr>
              <w:spacing w:before="60" w:after="60"/>
              <w:jc w:val="left"/>
              <w:rPr>
                <w:sz w:val="20"/>
              </w:rPr>
            </w:pPr>
            <w:r>
              <w:rPr>
                <w:sz w:val="22"/>
                <w:szCs w:val="22"/>
              </w:rPr>
              <w:t>Must meet requirement</w:t>
            </w:r>
          </w:p>
        </w:tc>
        <w:tc>
          <w:tcPr>
            <w:tcW w:w="1440" w:type="dxa"/>
          </w:tcPr>
          <w:p w14:paraId="33084CB0" w14:textId="77777777" w:rsidR="00157AAA" w:rsidRDefault="006C1BE5">
            <w:pPr>
              <w:spacing w:before="60" w:after="60"/>
              <w:jc w:val="left"/>
              <w:rPr>
                <w:sz w:val="20"/>
              </w:rPr>
            </w:pPr>
            <w:r>
              <w:rPr>
                <w:sz w:val="20"/>
              </w:rPr>
              <w:t xml:space="preserve">Must meet requirement </w:t>
            </w:r>
          </w:p>
        </w:tc>
        <w:tc>
          <w:tcPr>
            <w:tcW w:w="1440" w:type="dxa"/>
          </w:tcPr>
          <w:p w14:paraId="6072D15B" w14:textId="77777777" w:rsidR="00157AAA" w:rsidRDefault="006C1BE5">
            <w:pPr>
              <w:spacing w:before="60" w:after="60"/>
              <w:jc w:val="center"/>
              <w:rPr>
                <w:sz w:val="20"/>
              </w:rPr>
            </w:pPr>
            <w:r>
              <w:rPr>
                <w:sz w:val="20"/>
              </w:rPr>
              <w:t>N / A</w:t>
            </w:r>
          </w:p>
        </w:tc>
        <w:tc>
          <w:tcPr>
            <w:tcW w:w="1800" w:type="dxa"/>
          </w:tcPr>
          <w:p w14:paraId="2FD66C99" w14:textId="77777777" w:rsidR="00157AAA" w:rsidRDefault="006C1BE5">
            <w:pPr>
              <w:spacing w:before="60" w:after="60"/>
              <w:jc w:val="center"/>
              <w:rPr>
                <w:sz w:val="20"/>
              </w:rPr>
            </w:pPr>
            <w:r>
              <w:rPr>
                <w:sz w:val="20"/>
              </w:rPr>
              <w:t>Letter of Bid</w:t>
            </w:r>
          </w:p>
        </w:tc>
      </w:tr>
      <w:tr w:rsidR="00157AAA" w14:paraId="12FB5B19" w14:textId="77777777">
        <w:trPr>
          <w:cantSplit/>
        </w:trPr>
        <w:tc>
          <w:tcPr>
            <w:tcW w:w="2178" w:type="dxa"/>
          </w:tcPr>
          <w:p w14:paraId="33DD6486" w14:textId="77777777" w:rsidR="00157AAA" w:rsidRDefault="006C1BE5">
            <w:pPr>
              <w:pStyle w:val="Heading2"/>
              <w:tabs>
                <w:tab w:val="left" w:pos="576"/>
              </w:tabs>
              <w:spacing w:before="60" w:after="60"/>
              <w:ind w:left="605" w:hanging="605"/>
              <w:jc w:val="both"/>
              <w:rPr>
                <w:rFonts w:ascii="Times New Roman" w:hAnsi="Times New Roman"/>
                <w:sz w:val="20"/>
              </w:rPr>
            </w:pPr>
            <w:bookmarkStart w:id="484" w:name="_Toc445567360"/>
            <w:r>
              <w:rPr>
                <w:rFonts w:ascii="Times New Roman" w:hAnsi="Times New Roman"/>
                <w:b w:val="0"/>
                <w:sz w:val="20"/>
              </w:rPr>
              <w:t>5.1.4</w:t>
            </w:r>
            <w:r>
              <w:rPr>
                <w:rFonts w:ascii="Times New Roman" w:hAnsi="Times New Roman"/>
                <w:b w:val="0"/>
                <w:sz w:val="20"/>
              </w:rPr>
              <w:tab/>
              <w:t>State owned Entity</w:t>
            </w:r>
            <w:bookmarkEnd w:id="484"/>
            <w:r>
              <w:rPr>
                <w:rFonts w:ascii="Times New Roman" w:hAnsi="Times New Roman"/>
                <w:b w:val="0"/>
                <w:sz w:val="20"/>
              </w:rPr>
              <w:t xml:space="preserve"> </w:t>
            </w:r>
            <w:r>
              <w:rPr>
                <w:rFonts w:ascii="Times New Roman" w:hAnsi="Times New Roman"/>
                <w:b w:val="0"/>
                <w:sz w:val="22"/>
                <w:szCs w:val="22"/>
              </w:rPr>
              <w:t>of the Borrower country</w:t>
            </w:r>
          </w:p>
        </w:tc>
        <w:tc>
          <w:tcPr>
            <w:tcW w:w="2826" w:type="dxa"/>
          </w:tcPr>
          <w:p w14:paraId="4F664464" w14:textId="77777777" w:rsidR="00157AAA" w:rsidRDefault="006C1BE5">
            <w:pPr>
              <w:pStyle w:val="BodyTextIndent"/>
              <w:spacing w:before="60" w:after="60"/>
              <w:ind w:left="0"/>
              <w:jc w:val="left"/>
              <w:rPr>
                <w:sz w:val="20"/>
              </w:rPr>
            </w:pPr>
            <w:r>
              <w:rPr>
                <w:sz w:val="20"/>
              </w:rPr>
              <w:t>Compliance with conditions of ITB 4.6</w:t>
            </w:r>
          </w:p>
        </w:tc>
        <w:tc>
          <w:tcPr>
            <w:tcW w:w="1440" w:type="dxa"/>
            <w:vAlign w:val="center"/>
          </w:tcPr>
          <w:p w14:paraId="215A96C2" w14:textId="77777777" w:rsidR="00157AAA" w:rsidRDefault="006C1BE5">
            <w:pPr>
              <w:spacing w:before="60" w:after="60"/>
              <w:jc w:val="left"/>
              <w:rPr>
                <w:sz w:val="20"/>
              </w:rPr>
            </w:pPr>
            <w:r>
              <w:rPr>
                <w:sz w:val="20"/>
              </w:rPr>
              <w:t>Must meet requirement</w:t>
            </w:r>
          </w:p>
        </w:tc>
        <w:tc>
          <w:tcPr>
            <w:tcW w:w="1404" w:type="dxa"/>
            <w:vAlign w:val="center"/>
          </w:tcPr>
          <w:p w14:paraId="2B564F91" w14:textId="77777777" w:rsidR="00157AAA" w:rsidRDefault="006C1BE5">
            <w:pPr>
              <w:spacing w:before="60" w:after="60"/>
              <w:jc w:val="left"/>
              <w:rPr>
                <w:sz w:val="20"/>
              </w:rPr>
            </w:pPr>
            <w:r>
              <w:rPr>
                <w:sz w:val="20"/>
              </w:rPr>
              <w:t>Must meet requirement</w:t>
            </w:r>
          </w:p>
        </w:tc>
        <w:tc>
          <w:tcPr>
            <w:tcW w:w="1440" w:type="dxa"/>
            <w:vAlign w:val="center"/>
          </w:tcPr>
          <w:p w14:paraId="29374545" w14:textId="77777777" w:rsidR="00157AAA" w:rsidRDefault="006C1BE5">
            <w:pPr>
              <w:spacing w:before="60" w:after="60"/>
              <w:jc w:val="left"/>
              <w:rPr>
                <w:sz w:val="20"/>
              </w:rPr>
            </w:pPr>
            <w:r>
              <w:rPr>
                <w:sz w:val="20"/>
              </w:rPr>
              <w:t>Must meet requirement</w:t>
            </w:r>
          </w:p>
        </w:tc>
        <w:tc>
          <w:tcPr>
            <w:tcW w:w="1440" w:type="dxa"/>
            <w:vAlign w:val="center"/>
          </w:tcPr>
          <w:p w14:paraId="48692881" w14:textId="77777777" w:rsidR="00157AAA" w:rsidRDefault="006C1BE5">
            <w:pPr>
              <w:spacing w:before="60" w:after="60"/>
              <w:jc w:val="center"/>
              <w:rPr>
                <w:sz w:val="20"/>
              </w:rPr>
            </w:pPr>
            <w:r>
              <w:rPr>
                <w:sz w:val="20"/>
              </w:rPr>
              <w:t>N / A</w:t>
            </w:r>
          </w:p>
        </w:tc>
        <w:tc>
          <w:tcPr>
            <w:tcW w:w="1800" w:type="dxa"/>
          </w:tcPr>
          <w:p w14:paraId="0543BECC" w14:textId="77777777" w:rsidR="00157AAA" w:rsidRDefault="006C1BE5">
            <w:pPr>
              <w:spacing w:before="60" w:after="60"/>
              <w:jc w:val="center"/>
              <w:rPr>
                <w:sz w:val="20"/>
              </w:rPr>
            </w:pPr>
            <w:r>
              <w:rPr>
                <w:sz w:val="20"/>
              </w:rPr>
              <w:t xml:space="preserve">Form </w:t>
            </w:r>
            <w:proofErr w:type="gramStart"/>
            <w:r>
              <w:rPr>
                <w:sz w:val="20"/>
              </w:rPr>
              <w:t>ELI  –</w:t>
            </w:r>
            <w:proofErr w:type="gramEnd"/>
            <w:r>
              <w:rPr>
                <w:sz w:val="20"/>
              </w:rPr>
              <w:t>5.1.1 and 5.1.2, with attachments</w:t>
            </w:r>
          </w:p>
        </w:tc>
      </w:tr>
      <w:tr w:rsidR="00157AAA" w14:paraId="0A1FADEA" w14:textId="77777777">
        <w:trPr>
          <w:cantSplit/>
        </w:trPr>
        <w:tc>
          <w:tcPr>
            <w:tcW w:w="2178" w:type="dxa"/>
          </w:tcPr>
          <w:p w14:paraId="4FE29065" w14:textId="77777777" w:rsidR="00157AAA" w:rsidRDefault="006C1BE5">
            <w:pPr>
              <w:pStyle w:val="Heading2"/>
              <w:tabs>
                <w:tab w:val="left" w:pos="576"/>
              </w:tabs>
              <w:spacing w:before="60" w:after="60"/>
              <w:ind w:left="605" w:hanging="605"/>
              <w:jc w:val="left"/>
              <w:rPr>
                <w:rFonts w:ascii="Times New Roman" w:hAnsi="Times New Roman"/>
                <w:sz w:val="20"/>
              </w:rPr>
            </w:pPr>
            <w:bookmarkStart w:id="485" w:name="_Toc445567361"/>
            <w:r>
              <w:rPr>
                <w:rFonts w:ascii="Times New Roman" w:hAnsi="Times New Roman"/>
                <w:b w:val="0"/>
                <w:sz w:val="20"/>
              </w:rPr>
              <w:lastRenderedPageBreak/>
              <w:t>5.1.5</w:t>
            </w:r>
            <w:r>
              <w:rPr>
                <w:rFonts w:ascii="Times New Roman" w:hAnsi="Times New Roman"/>
                <w:b w:val="0"/>
                <w:sz w:val="20"/>
              </w:rPr>
              <w:tab/>
              <w:t>United Nations resolution or Borrower’s country law</w:t>
            </w:r>
            <w:bookmarkEnd w:id="485"/>
            <w:r>
              <w:rPr>
                <w:rFonts w:ascii="Times New Roman" w:hAnsi="Times New Roman"/>
                <w:b w:val="0"/>
                <w:sz w:val="20"/>
              </w:rPr>
              <w:t xml:space="preserve"> </w:t>
            </w:r>
          </w:p>
        </w:tc>
        <w:tc>
          <w:tcPr>
            <w:tcW w:w="2826" w:type="dxa"/>
          </w:tcPr>
          <w:p w14:paraId="41CA4304" w14:textId="77777777" w:rsidR="00157AAA" w:rsidRDefault="006C1BE5">
            <w:pPr>
              <w:pStyle w:val="BodyTextIndent"/>
              <w:spacing w:before="60" w:after="60"/>
              <w:ind w:left="0"/>
              <w:jc w:val="left"/>
              <w:rPr>
                <w:sz w:val="20"/>
              </w:rPr>
            </w:pPr>
            <w:r>
              <w:rPr>
                <w:sz w:val="22"/>
                <w:szCs w:val="22"/>
              </w:rPr>
              <w:t xml:space="preserve">Not having been excluded </w:t>
            </w:r>
            <w:proofErr w:type="gramStart"/>
            <w:r>
              <w:rPr>
                <w:sz w:val="22"/>
                <w:szCs w:val="22"/>
              </w:rPr>
              <w:t>as a result of</w:t>
            </w:r>
            <w:proofErr w:type="gramEnd"/>
            <w:r>
              <w:rPr>
                <w:sz w:val="22"/>
                <w:szCs w:val="22"/>
              </w:rPr>
              <w:t xml:space="preserve"> prohibition in the Borrower’s country laws or official regulations against commercial relations with the Bidder’s country, or by an act of compliance with UN Security Council resolution, both in accordance with </w:t>
            </w:r>
            <w:r>
              <w:rPr>
                <w:sz w:val="20"/>
              </w:rPr>
              <w:t>ITB 4.8</w:t>
            </w:r>
          </w:p>
        </w:tc>
        <w:tc>
          <w:tcPr>
            <w:tcW w:w="1440" w:type="dxa"/>
            <w:vAlign w:val="center"/>
          </w:tcPr>
          <w:p w14:paraId="0779BF82" w14:textId="77777777" w:rsidR="00157AAA" w:rsidRDefault="006C1BE5">
            <w:pPr>
              <w:spacing w:before="60" w:after="60"/>
              <w:jc w:val="left"/>
              <w:rPr>
                <w:sz w:val="20"/>
              </w:rPr>
            </w:pPr>
            <w:r>
              <w:rPr>
                <w:sz w:val="20"/>
              </w:rPr>
              <w:t>Must meet requirement</w:t>
            </w:r>
          </w:p>
        </w:tc>
        <w:tc>
          <w:tcPr>
            <w:tcW w:w="1404" w:type="dxa"/>
            <w:vAlign w:val="center"/>
          </w:tcPr>
          <w:p w14:paraId="64B4838A" w14:textId="77777777" w:rsidR="00157AAA" w:rsidRDefault="006C1BE5">
            <w:pPr>
              <w:spacing w:before="60" w:after="60"/>
              <w:jc w:val="left"/>
              <w:rPr>
                <w:sz w:val="20"/>
              </w:rPr>
            </w:pPr>
            <w:r>
              <w:rPr>
                <w:sz w:val="22"/>
                <w:szCs w:val="22"/>
              </w:rPr>
              <w:t>Must meet requirement</w:t>
            </w:r>
          </w:p>
        </w:tc>
        <w:tc>
          <w:tcPr>
            <w:tcW w:w="1440" w:type="dxa"/>
            <w:vAlign w:val="center"/>
          </w:tcPr>
          <w:p w14:paraId="7C273080" w14:textId="77777777" w:rsidR="00157AAA" w:rsidRDefault="006C1BE5">
            <w:pPr>
              <w:spacing w:before="60" w:after="60"/>
              <w:jc w:val="left"/>
              <w:rPr>
                <w:sz w:val="20"/>
              </w:rPr>
            </w:pPr>
            <w:r>
              <w:rPr>
                <w:sz w:val="20"/>
              </w:rPr>
              <w:t>Must meet requirement</w:t>
            </w:r>
          </w:p>
        </w:tc>
        <w:tc>
          <w:tcPr>
            <w:tcW w:w="1440" w:type="dxa"/>
            <w:vAlign w:val="center"/>
          </w:tcPr>
          <w:p w14:paraId="067CA9DF" w14:textId="77777777" w:rsidR="00157AAA" w:rsidRDefault="006C1BE5">
            <w:pPr>
              <w:spacing w:before="60" w:after="60"/>
              <w:jc w:val="center"/>
              <w:rPr>
                <w:sz w:val="20"/>
              </w:rPr>
            </w:pPr>
            <w:r>
              <w:rPr>
                <w:sz w:val="20"/>
              </w:rPr>
              <w:t>N / A</w:t>
            </w:r>
          </w:p>
        </w:tc>
        <w:tc>
          <w:tcPr>
            <w:tcW w:w="1800" w:type="dxa"/>
          </w:tcPr>
          <w:p w14:paraId="778D7DCA" w14:textId="77777777" w:rsidR="00157AAA" w:rsidRDefault="006C1BE5">
            <w:pPr>
              <w:spacing w:before="60" w:after="60"/>
              <w:jc w:val="center"/>
              <w:rPr>
                <w:sz w:val="20"/>
              </w:rPr>
            </w:pPr>
            <w:r>
              <w:rPr>
                <w:sz w:val="20"/>
              </w:rPr>
              <w:t>Letter of Bid</w:t>
            </w:r>
          </w:p>
        </w:tc>
      </w:tr>
    </w:tbl>
    <w:p w14:paraId="7C5FA379" w14:textId="77777777" w:rsidR="00157AAA" w:rsidRDefault="00157AAA">
      <w:bookmarkStart w:id="486" w:name="_Toc496968123"/>
    </w:p>
    <w:p w14:paraId="7C0F655F" w14:textId="77777777" w:rsidR="00157AAA" w:rsidRDefault="006C1BE5">
      <w:pPr>
        <w:spacing w:after="0"/>
        <w:jc w:val="left"/>
      </w:pPr>
      <w:r>
        <w:br w:type="page" w:clear="all"/>
      </w:r>
    </w:p>
    <w:bookmarkEnd w:id="486"/>
    <w:p w14:paraId="75B0D6A2" w14:textId="77777777" w:rsidR="00157AAA" w:rsidRDefault="00157A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8"/>
        <w:gridCol w:w="2646"/>
        <w:gridCol w:w="1440"/>
        <w:gridCol w:w="1440"/>
        <w:gridCol w:w="1440"/>
        <w:gridCol w:w="1530"/>
        <w:gridCol w:w="1854"/>
      </w:tblGrid>
      <w:tr w:rsidR="00157AAA" w14:paraId="54A6A37C" w14:textId="77777777">
        <w:trPr>
          <w:tblHeader/>
        </w:trPr>
        <w:tc>
          <w:tcPr>
            <w:tcW w:w="2358" w:type="dxa"/>
          </w:tcPr>
          <w:p w14:paraId="1C26FF10" w14:textId="77777777" w:rsidR="00157AAA" w:rsidRDefault="006C1BE5">
            <w:pPr>
              <w:spacing w:before="120"/>
              <w:jc w:val="center"/>
              <w:rPr>
                <w:b/>
                <w:sz w:val="22"/>
                <w:szCs w:val="22"/>
              </w:rPr>
            </w:pPr>
            <w:r>
              <w:rPr>
                <w:sz w:val="22"/>
                <w:szCs w:val="22"/>
              </w:rPr>
              <w:br w:type="page" w:clear="all"/>
            </w:r>
            <w:r>
              <w:rPr>
                <w:sz w:val="22"/>
                <w:szCs w:val="22"/>
              </w:rPr>
              <w:br w:type="page" w:clear="all"/>
            </w:r>
            <w:r>
              <w:rPr>
                <w:sz w:val="22"/>
                <w:szCs w:val="22"/>
              </w:rPr>
              <w:br w:type="page" w:clear="all"/>
            </w:r>
            <w:r>
              <w:rPr>
                <w:b/>
                <w:sz w:val="22"/>
                <w:szCs w:val="22"/>
              </w:rPr>
              <w:t>Factor</w:t>
            </w:r>
          </w:p>
        </w:tc>
        <w:tc>
          <w:tcPr>
            <w:tcW w:w="10350" w:type="dxa"/>
            <w:gridSpan w:val="6"/>
          </w:tcPr>
          <w:p w14:paraId="1F13C62E" w14:textId="77777777" w:rsidR="00157AAA" w:rsidRDefault="006C1BE5">
            <w:pPr>
              <w:pStyle w:val="Heading1"/>
              <w:spacing w:before="240"/>
              <w:rPr>
                <w:rFonts w:ascii="Times New Roman" w:hAnsi="Times New Roman"/>
              </w:rPr>
            </w:pPr>
            <w:bookmarkStart w:id="487" w:name="_Toc498339861"/>
            <w:bookmarkStart w:id="488" w:name="_Toc498848208"/>
            <w:bookmarkStart w:id="489" w:name="_Toc499021786"/>
            <w:bookmarkStart w:id="490" w:name="_Toc499023469"/>
            <w:bookmarkStart w:id="491" w:name="_Toc501529951"/>
            <w:bookmarkStart w:id="492" w:name="_Toc503874229"/>
            <w:bookmarkStart w:id="493" w:name="_Toc23215165"/>
            <w:bookmarkStart w:id="494" w:name="_Toc445567362"/>
            <w:r>
              <w:rPr>
                <w:rFonts w:ascii="Times New Roman" w:hAnsi="Times New Roman"/>
              </w:rPr>
              <w:t>5.2 Historical Contract Non-Performance</w:t>
            </w:r>
            <w:bookmarkEnd w:id="487"/>
            <w:bookmarkEnd w:id="488"/>
            <w:bookmarkEnd w:id="489"/>
            <w:bookmarkEnd w:id="490"/>
            <w:bookmarkEnd w:id="491"/>
            <w:bookmarkEnd w:id="492"/>
            <w:bookmarkEnd w:id="493"/>
            <w:bookmarkEnd w:id="494"/>
          </w:p>
        </w:tc>
      </w:tr>
      <w:tr w:rsidR="00157AAA" w14:paraId="39EE1D2A" w14:textId="77777777">
        <w:trPr>
          <w:tblHeader/>
        </w:trPr>
        <w:tc>
          <w:tcPr>
            <w:tcW w:w="2358" w:type="dxa"/>
            <w:vMerge w:val="restart"/>
            <w:vAlign w:val="center"/>
          </w:tcPr>
          <w:p w14:paraId="17DA9E8C" w14:textId="77777777" w:rsidR="00157AAA" w:rsidRDefault="006C1BE5">
            <w:pPr>
              <w:pStyle w:val="titulo"/>
              <w:rPr>
                <w:rFonts w:ascii="Times New Roman" w:hAnsi="Times New Roman"/>
                <w:b w:val="0"/>
                <w:sz w:val="22"/>
                <w:szCs w:val="22"/>
              </w:rPr>
            </w:pPr>
            <w:r>
              <w:rPr>
                <w:rFonts w:ascii="Times New Roman" w:hAnsi="Times New Roman"/>
                <w:sz w:val="22"/>
                <w:szCs w:val="22"/>
              </w:rPr>
              <w:t>Sub-Factor</w:t>
            </w:r>
          </w:p>
        </w:tc>
        <w:tc>
          <w:tcPr>
            <w:tcW w:w="8496" w:type="dxa"/>
            <w:gridSpan w:val="5"/>
          </w:tcPr>
          <w:p w14:paraId="390113D0" w14:textId="77777777" w:rsidR="00157AAA" w:rsidRDefault="006C1BE5">
            <w:pPr>
              <w:pStyle w:val="titulo"/>
              <w:spacing w:before="80" w:after="80"/>
              <w:rPr>
                <w:rFonts w:ascii="Times New Roman" w:hAnsi="Times New Roman"/>
                <w:sz w:val="22"/>
                <w:szCs w:val="22"/>
              </w:rPr>
            </w:pPr>
            <w:r>
              <w:rPr>
                <w:rFonts w:ascii="Times New Roman" w:hAnsi="Times New Roman"/>
                <w:b w:val="0"/>
                <w:sz w:val="22"/>
                <w:szCs w:val="22"/>
              </w:rPr>
              <w:t>Criteria</w:t>
            </w:r>
          </w:p>
        </w:tc>
        <w:tc>
          <w:tcPr>
            <w:tcW w:w="1854" w:type="dxa"/>
            <w:vMerge w:val="restart"/>
            <w:vAlign w:val="center"/>
          </w:tcPr>
          <w:p w14:paraId="7961D9D1" w14:textId="77777777" w:rsidR="00157AAA" w:rsidRDefault="006C1BE5">
            <w:pPr>
              <w:spacing w:before="80" w:after="80"/>
              <w:ind w:left="36" w:hanging="36"/>
              <w:jc w:val="center"/>
              <w:rPr>
                <w:b/>
                <w:sz w:val="22"/>
                <w:szCs w:val="22"/>
              </w:rPr>
            </w:pPr>
            <w:proofErr w:type="gramStart"/>
            <w:r>
              <w:rPr>
                <w:b/>
                <w:sz w:val="22"/>
                <w:szCs w:val="22"/>
              </w:rPr>
              <w:t>Documentation  Required</w:t>
            </w:r>
            <w:proofErr w:type="gramEnd"/>
          </w:p>
        </w:tc>
      </w:tr>
      <w:tr w:rsidR="00157AAA" w14:paraId="29AE2AAB" w14:textId="77777777" w:rsidTr="008E2AAD">
        <w:trPr>
          <w:trHeight w:val="253"/>
          <w:tblHeader/>
        </w:trPr>
        <w:tc>
          <w:tcPr>
            <w:tcW w:w="2358" w:type="dxa"/>
            <w:vMerge/>
          </w:tcPr>
          <w:p w14:paraId="7EE1A002" w14:textId="77777777" w:rsidR="00157AAA" w:rsidRDefault="00157AAA">
            <w:pPr>
              <w:jc w:val="center"/>
              <w:rPr>
                <w:b/>
                <w:sz w:val="22"/>
                <w:szCs w:val="22"/>
              </w:rPr>
            </w:pPr>
          </w:p>
        </w:tc>
        <w:tc>
          <w:tcPr>
            <w:tcW w:w="2646" w:type="dxa"/>
            <w:vMerge w:val="restart"/>
            <w:vAlign w:val="center"/>
          </w:tcPr>
          <w:p w14:paraId="30C45F12" w14:textId="77777777" w:rsidR="00157AAA" w:rsidRDefault="006C1BE5">
            <w:pPr>
              <w:pStyle w:val="titulo"/>
              <w:spacing w:after="0"/>
              <w:rPr>
                <w:rFonts w:ascii="Times New Roman" w:hAnsi="Times New Roman"/>
                <w:sz w:val="22"/>
                <w:szCs w:val="22"/>
              </w:rPr>
            </w:pPr>
            <w:r>
              <w:rPr>
                <w:rFonts w:ascii="Times New Roman" w:hAnsi="Times New Roman"/>
                <w:sz w:val="22"/>
                <w:szCs w:val="22"/>
              </w:rPr>
              <w:t>Requirement</w:t>
            </w:r>
          </w:p>
        </w:tc>
        <w:tc>
          <w:tcPr>
            <w:tcW w:w="5850" w:type="dxa"/>
            <w:gridSpan w:val="4"/>
          </w:tcPr>
          <w:p w14:paraId="787FF034" w14:textId="77777777" w:rsidR="00157AAA" w:rsidRDefault="006C1BE5">
            <w:pPr>
              <w:pStyle w:val="titulo"/>
              <w:spacing w:before="80" w:after="80"/>
              <w:rPr>
                <w:rFonts w:ascii="Times New Roman" w:hAnsi="Times New Roman"/>
                <w:sz w:val="22"/>
                <w:szCs w:val="22"/>
              </w:rPr>
            </w:pPr>
            <w:r>
              <w:rPr>
                <w:rFonts w:ascii="Times New Roman" w:hAnsi="Times New Roman"/>
                <w:sz w:val="22"/>
                <w:szCs w:val="22"/>
              </w:rPr>
              <w:t>Bidder</w:t>
            </w:r>
          </w:p>
        </w:tc>
        <w:tc>
          <w:tcPr>
            <w:tcW w:w="1854" w:type="dxa"/>
            <w:vMerge/>
          </w:tcPr>
          <w:p w14:paraId="5F2F03B5" w14:textId="77777777" w:rsidR="00157AAA" w:rsidRDefault="00157AAA">
            <w:pPr>
              <w:spacing w:before="40"/>
              <w:ind w:left="36" w:hanging="36"/>
              <w:jc w:val="center"/>
              <w:rPr>
                <w:b/>
                <w:sz w:val="22"/>
                <w:szCs w:val="22"/>
              </w:rPr>
            </w:pPr>
          </w:p>
        </w:tc>
      </w:tr>
      <w:tr w:rsidR="00157AAA" w14:paraId="3A7E3CB6" w14:textId="77777777" w:rsidTr="008E2AAD">
        <w:trPr>
          <w:trHeight w:val="253"/>
          <w:tblHeader/>
        </w:trPr>
        <w:tc>
          <w:tcPr>
            <w:tcW w:w="2358" w:type="dxa"/>
            <w:vMerge/>
          </w:tcPr>
          <w:p w14:paraId="19A7BBE3" w14:textId="77777777" w:rsidR="00157AAA" w:rsidRDefault="00157AAA">
            <w:pPr>
              <w:rPr>
                <w:b/>
                <w:sz w:val="22"/>
                <w:szCs w:val="22"/>
              </w:rPr>
            </w:pPr>
          </w:p>
        </w:tc>
        <w:tc>
          <w:tcPr>
            <w:tcW w:w="2646" w:type="dxa"/>
            <w:vMerge/>
          </w:tcPr>
          <w:p w14:paraId="52DFBE2B" w14:textId="77777777" w:rsidR="00157AAA" w:rsidRDefault="00157AAA">
            <w:pPr>
              <w:rPr>
                <w:b/>
                <w:sz w:val="22"/>
                <w:szCs w:val="22"/>
              </w:rPr>
            </w:pPr>
          </w:p>
        </w:tc>
        <w:tc>
          <w:tcPr>
            <w:tcW w:w="1440" w:type="dxa"/>
            <w:vMerge w:val="restart"/>
            <w:vAlign w:val="center"/>
          </w:tcPr>
          <w:p w14:paraId="6C8F5521" w14:textId="77777777" w:rsidR="00157AAA" w:rsidRDefault="006C1BE5">
            <w:pPr>
              <w:spacing w:before="40"/>
              <w:jc w:val="center"/>
              <w:rPr>
                <w:b/>
                <w:sz w:val="22"/>
                <w:szCs w:val="22"/>
              </w:rPr>
            </w:pPr>
            <w:r>
              <w:rPr>
                <w:b/>
                <w:sz w:val="22"/>
                <w:szCs w:val="22"/>
              </w:rPr>
              <w:t>Single Entity</w:t>
            </w:r>
          </w:p>
        </w:tc>
        <w:tc>
          <w:tcPr>
            <w:tcW w:w="4410" w:type="dxa"/>
            <w:gridSpan w:val="3"/>
          </w:tcPr>
          <w:p w14:paraId="51C1C734" w14:textId="77777777" w:rsidR="00157AAA" w:rsidRDefault="006C1BE5">
            <w:pPr>
              <w:pStyle w:val="titulo"/>
              <w:spacing w:before="40" w:after="0"/>
              <w:rPr>
                <w:rFonts w:ascii="Times New Roman" w:hAnsi="Times New Roman"/>
                <w:sz w:val="22"/>
                <w:szCs w:val="22"/>
              </w:rPr>
            </w:pPr>
            <w:r>
              <w:rPr>
                <w:rFonts w:ascii="Times New Roman" w:hAnsi="Times New Roman"/>
                <w:sz w:val="22"/>
                <w:szCs w:val="22"/>
              </w:rPr>
              <w:t>Joint Venture (existing or intended)</w:t>
            </w:r>
          </w:p>
        </w:tc>
        <w:tc>
          <w:tcPr>
            <w:tcW w:w="1854" w:type="dxa"/>
            <w:vMerge/>
          </w:tcPr>
          <w:p w14:paraId="1203E53E" w14:textId="77777777" w:rsidR="00157AAA" w:rsidRDefault="00157AAA">
            <w:pPr>
              <w:spacing w:before="40"/>
              <w:ind w:left="36" w:hanging="36"/>
              <w:jc w:val="center"/>
              <w:rPr>
                <w:b/>
                <w:sz w:val="22"/>
                <w:szCs w:val="22"/>
              </w:rPr>
            </w:pPr>
          </w:p>
        </w:tc>
      </w:tr>
      <w:tr w:rsidR="00157AAA" w14:paraId="7076986D" w14:textId="77777777">
        <w:trPr>
          <w:trHeight w:val="600"/>
          <w:tblHeader/>
        </w:trPr>
        <w:tc>
          <w:tcPr>
            <w:tcW w:w="2358" w:type="dxa"/>
            <w:vMerge/>
          </w:tcPr>
          <w:p w14:paraId="17EBED02" w14:textId="77777777" w:rsidR="00157AAA" w:rsidRDefault="00157AAA">
            <w:pPr>
              <w:rPr>
                <w:b/>
                <w:sz w:val="22"/>
                <w:szCs w:val="22"/>
              </w:rPr>
            </w:pPr>
          </w:p>
        </w:tc>
        <w:tc>
          <w:tcPr>
            <w:tcW w:w="2646" w:type="dxa"/>
            <w:vMerge/>
          </w:tcPr>
          <w:p w14:paraId="50F025DD" w14:textId="77777777" w:rsidR="00157AAA" w:rsidRDefault="00157AAA">
            <w:pPr>
              <w:rPr>
                <w:b/>
                <w:sz w:val="22"/>
                <w:szCs w:val="22"/>
              </w:rPr>
            </w:pPr>
          </w:p>
        </w:tc>
        <w:tc>
          <w:tcPr>
            <w:tcW w:w="1440" w:type="dxa"/>
            <w:vMerge/>
          </w:tcPr>
          <w:p w14:paraId="27E97BB5" w14:textId="77777777" w:rsidR="00157AAA" w:rsidRDefault="00157AAA">
            <w:pPr>
              <w:spacing w:before="40"/>
              <w:ind w:left="36" w:hanging="36"/>
              <w:jc w:val="center"/>
              <w:rPr>
                <w:b/>
                <w:sz w:val="22"/>
                <w:szCs w:val="22"/>
              </w:rPr>
            </w:pPr>
          </w:p>
        </w:tc>
        <w:tc>
          <w:tcPr>
            <w:tcW w:w="1440" w:type="dxa"/>
          </w:tcPr>
          <w:p w14:paraId="433BA239" w14:textId="77777777" w:rsidR="00157AAA" w:rsidRDefault="006C1BE5">
            <w:pPr>
              <w:spacing w:before="40"/>
              <w:jc w:val="center"/>
              <w:rPr>
                <w:b/>
                <w:sz w:val="22"/>
                <w:szCs w:val="22"/>
              </w:rPr>
            </w:pPr>
            <w:r>
              <w:rPr>
                <w:b/>
                <w:sz w:val="22"/>
                <w:szCs w:val="22"/>
              </w:rPr>
              <w:t>All members combined</w:t>
            </w:r>
          </w:p>
        </w:tc>
        <w:tc>
          <w:tcPr>
            <w:tcW w:w="1440" w:type="dxa"/>
          </w:tcPr>
          <w:p w14:paraId="61CB4BE2" w14:textId="77777777" w:rsidR="00157AAA" w:rsidRDefault="006C1BE5">
            <w:pPr>
              <w:spacing w:before="40"/>
              <w:jc w:val="center"/>
              <w:rPr>
                <w:b/>
                <w:sz w:val="22"/>
                <w:szCs w:val="22"/>
              </w:rPr>
            </w:pPr>
            <w:r>
              <w:rPr>
                <w:b/>
                <w:sz w:val="22"/>
                <w:szCs w:val="22"/>
              </w:rPr>
              <w:t>Each member</w:t>
            </w:r>
          </w:p>
        </w:tc>
        <w:tc>
          <w:tcPr>
            <w:tcW w:w="1530" w:type="dxa"/>
          </w:tcPr>
          <w:p w14:paraId="4F2AFB83" w14:textId="77777777" w:rsidR="00157AAA" w:rsidRDefault="006C1BE5">
            <w:pPr>
              <w:spacing w:before="40"/>
              <w:jc w:val="center"/>
              <w:rPr>
                <w:b/>
                <w:sz w:val="22"/>
                <w:szCs w:val="22"/>
              </w:rPr>
            </w:pPr>
            <w:r>
              <w:rPr>
                <w:b/>
                <w:sz w:val="22"/>
                <w:szCs w:val="22"/>
              </w:rPr>
              <w:t>At least one member</w:t>
            </w:r>
          </w:p>
        </w:tc>
        <w:tc>
          <w:tcPr>
            <w:tcW w:w="1854" w:type="dxa"/>
            <w:vMerge/>
          </w:tcPr>
          <w:p w14:paraId="3EFFA556" w14:textId="77777777" w:rsidR="00157AAA" w:rsidRDefault="00157AAA">
            <w:pPr>
              <w:ind w:left="36" w:hanging="36"/>
              <w:jc w:val="center"/>
              <w:rPr>
                <w:b/>
                <w:sz w:val="22"/>
                <w:szCs w:val="22"/>
              </w:rPr>
            </w:pPr>
          </w:p>
        </w:tc>
      </w:tr>
    </w:tbl>
    <w:p w14:paraId="23D24E62" w14:textId="77777777" w:rsidR="00157AAA" w:rsidRDefault="00157AAA" w:rsidP="00D530D5">
      <w:pPr>
        <w:pStyle w:val="Heading2"/>
        <w:numPr>
          <w:ilvl w:val="0"/>
          <w:numId w:val="7"/>
        </w:numPr>
        <w:pBdr>
          <w:bottom w:val="none" w:sz="0" w:space="0" w:color="auto"/>
        </w:pBdr>
        <w:spacing w:before="60" w:after="60"/>
        <w:ind w:left="0" w:firstLine="0"/>
        <w:jc w:val="left"/>
        <w:rPr>
          <w:rFonts w:ascii="Times New Roman" w:hAnsi="Times New Roman"/>
          <w:b w:val="0"/>
          <w:sz w:val="20"/>
        </w:rPr>
        <w:sectPr w:rsidR="00157AAA" w:rsidSect="00734667">
          <w:headerReference w:type="even" r:id="rId51"/>
          <w:headerReference w:type="default" r:id="rId52"/>
          <w:headerReference w:type="first" r:id="rId53"/>
          <w:pgSz w:w="15840" w:h="12240" w:orient="landscape"/>
          <w:pgMar w:top="1440" w:right="1440" w:bottom="1440" w:left="1440" w:header="720" w:footer="720" w:gutter="0"/>
          <w:cols w:space="720"/>
          <w:titlePg/>
          <w:docGrid w:linePitch="360"/>
        </w:sectPr>
      </w:pPr>
      <w:bookmarkStart w:id="495" w:name="_Toc496968124"/>
      <w:bookmarkStart w:id="496" w:name="_Toc4455673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5"/>
        <w:gridCol w:w="2669"/>
        <w:gridCol w:w="1440"/>
        <w:gridCol w:w="1440"/>
        <w:gridCol w:w="1440"/>
        <w:gridCol w:w="1530"/>
        <w:gridCol w:w="1854"/>
      </w:tblGrid>
      <w:tr w:rsidR="00157AAA" w14:paraId="073B89B5" w14:textId="77777777">
        <w:trPr>
          <w:cantSplit/>
          <w:trHeight w:val="600"/>
        </w:trPr>
        <w:tc>
          <w:tcPr>
            <w:tcW w:w="2335" w:type="dxa"/>
          </w:tcPr>
          <w:p w14:paraId="5615BB53" w14:textId="77777777" w:rsidR="00157AAA" w:rsidRDefault="006C1BE5" w:rsidP="00D530D5">
            <w:pPr>
              <w:pStyle w:val="Heading2"/>
              <w:numPr>
                <w:ilvl w:val="0"/>
                <w:numId w:val="58"/>
              </w:numPr>
              <w:pBdr>
                <w:bottom w:val="none" w:sz="0" w:space="0" w:color="auto"/>
              </w:pBdr>
              <w:spacing w:before="60" w:after="60"/>
              <w:jc w:val="left"/>
              <w:rPr>
                <w:rFonts w:ascii="Times New Roman" w:hAnsi="Times New Roman"/>
                <w:sz w:val="20"/>
              </w:rPr>
            </w:pPr>
            <w:r>
              <w:rPr>
                <w:rFonts w:ascii="Times New Roman" w:hAnsi="Times New Roman"/>
                <w:b w:val="0"/>
                <w:sz w:val="20"/>
              </w:rPr>
              <w:t>History of non-performing contracts</w:t>
            </w:r>
            <w:bookmarkEnd w:id="495"/>
            <w:bookmarkEnd w:id="496"/>
          </w:p>
        </w:tc>
        <w:tc>
          <w:tcPr>
            <w:tcW w:w="2669" w:type="dxa"/>
          </w:tcPr>
          <w:p w14:paraId="1AC0420F" w14:textId="2C6B70C8" w:rsidR="00157AAA" w:rsidRDefault="006C1BE5">
            <w:pPr>
              <w:pStyle w:val="BodyTextIndent"/>
              <w:spacing w:before="60" w:after="60"/>
              <w:ind w:left="0"/>
              <w:rPr>
                <w:sz w:val="20"/>
              </w:rPr>
            </w:pPr>
            <w:r>
              <w:rPr>
                <w:sz w:val="22"/>
                <w:szCs w:val="22"/>
              </w:rPr>
              <w:t>Non-performance of a contract</w:t>
            </w:r>
            <w:bookmarkStart w:id="497" w:name="_Ref302392673"/>
            <w:r>
              <w:rPr>
                <w:rStyle w:val="FootnoteReference"/>
                <w:sz w:val="22"/>
                <w:szCs w:val="22"/>
              </w:rPr>
              <w:footnoteReference w:id="4"/>
            </w:r>
            <w:bookmarkEnd w:id="497"/>
            <w:r>
              <w:rPr>
                <w:sz w:val="22"/>
                <w:szCs w:val="22"/>
              </w:rPr>
              <w:t xml:space="preserve"> did not occur </w:t>
            </w:r>
            <w:proofErr w:type="gramStart"/>
            <w:r>
              <w:rPr>
                <w:sz w:val="22"/>
                <w:szCs w:val="22"/>
              </w:rPr>
              <w:t>as a result of</w:t>
            </w:r>
            <w:proofErr w:type="gramEnd"/>
            <w:r>
              <w:rPr>
                <w:sz w:val="22"/>
                <w:szCs w:val="22"/>
              </w:rPr>
              <w:t xml:space="preserve"> Bidder’s default since </w:t>
            </w:r>
            <w:r>
              <w:rPr>
                <w:b/>
                <w:sz w:val="22"/>
                <w:szCs w:val="22"/>
              </w:rPr>
              <w:t>1</w:t>
            </w:r>
            <w:r>
              <w:rPr>
                <w:b/>
                <w:sz w:val="22"/>
                <w:szCs w:val="22"/>
                <w:vertAlign w:val="superscript"/>
              </w:rPr>
              <w:t>st</w:t>
            </w:r>
            <w:r>
              <w:rPr>
                <w:b/>
                <w:sz w:val="22"/>
                <w:szCs w:val="22"/>
              </w:rPr>
              <w:t xml:space="preserve"> January 201</w:t>
            </w:r>
            <w:r w:rsidR="001F26DD">
              <w:rPr>
                <w:b/>
                <w:sz w:val="22"/>
                <w:szCs w:val="22"/>
              </w:rPr>
              <w:t>9</w:t>
            </w:r>
            <w:r>
              <w:rPr>
                <w:sz w:val="22"/>
                <w:szCs w:val="22"/>
              </w:rPr>
              <w:t>.</w:t>
            </w:r>
            <w:r>
              <w:rPr>
                <w:sz w:val="20"/>
              </w:rPr>
              <w:t xml:space="preserve"> </w:t>
            </w:r>
          </w:p>
        </w:tc>
        <w:tc>
          <w:tcPr>
            <w:tcW w:w="1440" w:type="dxa"/>
            <w:vAlign w:val="center"/>
          </w:tcPr>
          <w:p w14:paraId="5B9EDF13" w14:textId="77777777" w:rsidR="00157AAA" w:rsidRDefault="006C1BE5">
            <w:pPr>
              <w:spacing w:before="60" w:after="60"/>
              <w:jc w:val="left"/>
              <w:rPr>
                <w:sz w:val="20"/>
              </w:rPr>
            </w:pPr>
            <w:r>
              <w:rPr>
                <w:sz w:val="20"/>
              </w:rPr>
              <w:t>Must meet requirement by itself or as member to past or existing JV</w:t>
            </w:r>
          </w:p>
        </w:tc>
        <w:tc>
          <w:tcPr>
            <w:tcW w:w="1440" w:type="dxa"/>
            <w:vAlign w:val="center"/>
          </w:tcPr>
          <w:p w14:paraId="78E0B118" w14:textId="77777777" w:rsidR="00157AAA" w:rsidRDefault="006C1BE5">
            <w:pPr>
              <w:spacing w:before="60" w:after="60"/>
              <w:jc w:val="center"/>
              <w:rPr>
                <w:sz w:val="20"/>
              </w:rPr>
            </w:pPr>
            <w:r>
              <w:rPr>
                <w:sz w:val="20"/>
              </w:rPr>
              <w:t>N / A</w:t>
            </w:r>
          </w:p>
        </w:tc>
        <w:tc>
          <w:tcPr>
            <w:tcW w:w="1440" w:type="dxa"/>
            <w:vAlign w:val="center"/>
          </w:tcPr>
          <w:p w14:paraId="5EF6D3B6" w14:textId="77777777" w:rsidR="00157AAA" w:rsidRDefault="006C1BE5">
            <w:pPr>
              <w:spacing w:before="60" w:after="60"/>
              <w:jc w:val="left"/>
              <w:rPr>
                <w:sz w:val="20"/>
              </w:rPr>
            </w:pPr>
            <w:r>
              <w:rPr>
                <w:sz w:val="20"/>
              </w:rPr>
              <w:t>Must meet requirement</w:t>
            </w:r>
            <w:r>
              <w:rPr>
                <w:rStyle w:val="FootnoteReference"/>
              </w:rPr>
              <w:footnoteReference w:id="5"/>
            </w:r>
            <w:r>
              <w:rPr>
                <w:sz w:val="20"/>
              </w:rPr>
              <w:t xml:space="preserve"> </w:t>
            </w:r>
          </w:p>
        </w:tc>
        <w:tc>
          <w:tcPr>
            <w:tcW w:w="1530" w:type="dxa"/>
            <w:vAlign w:val="center"/>
          </w:tcPr>
          <w:p w14:paraId="27ABCBBE" w14:textId="77777777" w:rsidR="00157AAA" w:rsidRDefault="006C1BE5">
            <w:pPr>
              <w:spacing w:before="60" w:after="60"/>
              <w:jc w:val="center"/>
              <w:rPr>
                <w:sz w:val="20"/>
              </w:rPr>
            </w:pPr>
            <w:r>
              <w:rPr>
                <w:sz w:val="20"/>
              </w:rPr>
              <w:t>N / A</w:t>
            </w:r>
          </w:p>
        </w:tc>
        <w:tc>
          <w:tcPr>
            <w:tcW w:w="1854" w:type="dxa"/>
            <w:vAlign w:val="center"/>
          </w:tcPr>
          <w:p w14:paraId="04B3F7F1" w14:textId="77777777" w:rsidR="00157AAA" w:rsidRDefault="006C1BE5">
            <w:pPr>
              <w:spacing w:before="60" w:after="60"/>
              <w:jc w:val="center"/>
              <w:rPr>
                <w:sz w:val="20"/>
              </w:rPr>
            </w:pPr>
            <w:r>
              <w:rPr>
                <w:sz w:val="20"/>
              </w:rPr>
              <w:t>Form CON - 2</w:t>
            </w:r>
          </w:p>
        </w:tc>
      </w:tr>
      <w:tr w:rsidR="00157AAA" w14:paraId="6ABF7412" w14:textId="77777777">
        <w:trPr>
          <w:cantSplit/>
          <w:trHeight w:val="600"/>
        </w:trPr>
        <w:tc>
          <w:tcPr>
            <w:tcW w:w="2335" w:type="dxa"/>
          </w:tcPr>
          <w:p w14:paraId="121E9E3A" w14:textId="77777777" w:rsidR="00157AAA" w:rsidRDefault="006C1BE5" w:rsidP="00D530D5">
            <w:pPr>
              <w:pStyle w:val="Heading2"/>
              <w:numPr>
                <w:ilvl w:val="0"/>
                <w:numId w:val="58"/>
              </w:numPr>
              <w:pBdr>
                <w:bottom w:val="none" w:sz="0" w:space="0" w:color="auto"/>
              </w:pBdr>
              <w:spacing w:before="60" w:after="60"/>
              <w:ind w:left="0" w:firstLine="0"/>
              <w:jc w:val="left"/>
              <w:rPr>
                <w:rFonts w:ascii="Times New Roman" w:hAnsi="Times New Roman"/>
                <w:b w:val="0"/>
                <w:sz w:val="20"/>
              </w:rPr>
            </w:pPr>
            <w:r>
              <w:rPr>
                <w:rFonts w:ascii="Times New Roman" w:hAnsi="Times New Roman"/>
                <w:b w:val="0"/>
                <w:sz w:val="20"/>
              </w:rPr>
              <w:t>Suspension</w:t>
            </w:r>
          </w:p>
        </w:tc>
        <w:tc>
          <w:tcPr>
            <w:tcW w:w="2669" w:type="dxa"/>
          </w:tcPr>
          <w:p w14:paraId="3BA8D6C3" w14:textId="77777777" w:rsidR="00157AAA" w:rsidRDefault="006C1BE5">
            <w:pPr>
              <w:pStyle w:val="BodyTextIndent"/>
              <w:spacing w:before="60" w:after="60"/>
              <w:ind w:left="0"/>
              <w:rPr>
                <w:sz w:val="22"/>
                <w:szCs w:val="22"/>
              </w:rPr>
            </w:pPr>
            <w:r>
              <w:rPr>
                <w:color w:val="000000" w:themeColor="text1"/>
                <w:sz w:val="22"/>
                <w:szCs w:val="22"/>
              </w:rPr>
              <w:t>Not under suspension based on execution of a Bid Securing Declaration or Proposal Securing Declaration pursuant to ITB 4.7 and ITB 20.10</w:t>
            </w:r>
          </w:p>
        </w:tc>
        <w:tc>
          <w:tcPr>
            <w:tcW w:w="1440" w:type="dxa"/>
            <w:vAlign w:val="center"/>
          </w:tcPr>
          <w:p w14:paraId="5743B973" w14:textId="77777777" w:rsidR="00157AAA" w:rsidRDefault="006C1BE5">
            <w:pPr>
              <w:spacing w:before="60" w:after="60"/>
              <w:jc w:val="left"/>
              <w:rPr>
                <w:sz w:val="20"/>
              </w:rPr>
            </w:pPr>
            <w:r>
              <w:rPr>
                <w:color w:val="000000" w:themeColor="text1"/>
                <w:sz w:val="20"/>
              </w:rPr>
              <w:t>Must meet requirement</w:t>
            </w:r>
          </w:p>
        </w:tc>
        <w:tc>
          <w:tcPr>
            <w:tcW w:w="1440" w:type="dxa"/>
          </w:tcPr>
          <w:p w14:paraId="5C2E5CF9" w14:textId="77777777" w:rsidR="00157AAA" w:rsidRDefault="00157AAA">
            <w:pPr>
              <w:spacing w:before="60" w:after="60"/>
              <w:jc w:val="left"/>
              <w:rPr>
                <w:color w:val="000000" w:themeColor="text1"/>
                <w:sz w:val="20"/>
              </w:rPr>
            </w:pPr>
          </w:p>
          <w:p w14:paraId="79B1A162" w14:textId="77777777" w:rsidR="00157AAA" w:rsidRDefault="00157AAA">
            <w:pPr>
              <w:spacing w:before="60" w:after="60"/>
              <w:jc w:val="left"/>
              <w:rPr>
                <w:color w:val="000000" w:themeColor="text1"/>
                <w:sz w:val="20"/>
              </w:rPr>
            </w:pPr>
          </w:p>
          <w:p w14:paraId="2E892024" w14:textId="77777777" w:rsidR="00157AAA" w:rsidRDefault="006C1BE5">
            <w:pPr>
              <w:spacing w:before="60" w:after="60"/>
              <w:jc w:val="center"/>
              <w:rPr>
                <w:sz w:val="20"/>
              </w:rPr>
            </w:pPr>
            <w:r>
              <w:rPr>
                <w:sz w:val="20"/>
              </w:rPr>
              <w:t>N / A</w:t>
            </w:r>
          </w:p>
        </w:tc>
        <w:tc>
          <w:tcPr>
            <w:tcW w:w="1440" w:type="dxa"/>
          </w:tcPr>
          <w:p w14:paraId="5DA2E283" w14:textId="77777777" w:rsidR="00157AAA" w:rsidRDefault="00157AAA">
            <w:pPr>
              <w:spacing w:before="60" w:after="60"/>
              <w:jc w:val="left"/>
              <w:rPr>
                <w:color w:val="000000" w:themeColor="text1"/>
                <w:sz w:val="20"/>
              </w:rPr>
            </w:pPr>
          </w:p>
          <w:p w14:paraId="4CD8A8D6" w14:textId="77777777" w:rsidR="00157AAA" w:rsidRDefault="00157AAA">
            <w:pPr>
              <w:spacing w:before="60" w:after="60"/>
              <w:jc w:val="left"/>
              <w:rPr>
                <w:color w:val="000000" w:themeColor="text1"/>
                <w:sz w:val="20"/>
              </w:rPr>
            </w:pPr>
          </w:p>
          <w:p w14:paraId="2ED1ED24" w14:textId="77777777" w:rsidR="00157AAA" w:rsidRDefault="006C1BE5">
            <w:pPr>
              <w:spacing w:before="60" w:after="60"/>
              <w:jc w:val="left"/>
              <w:rPr>
                <w:sz w:val="20"/>
              </w:rPr>
            </w:pPr>
            <w:r>
              <w:rPr>
                <w:color w:val="000000" w:themeColor="text1"/>
                <w:sz w:val="20"/>
              </w:rPr>
              <w:t>Must meet requirement</w:t>
            </w:r>
          </w:p>
        </w:tc>
        <w:tc>
          <w:tcPr>
            <w:tcW w:w="1530" w:type="dxa"/>
            <w:vAlign w:val="center"/>
          </w:tcPr>
          <w:p w14:paraId="468337EC" w14:textId="77777777" w:rsidR="00157AAA" w:rsidRDefault="006C1BE5">
            <w:pPr>
              <w:spacing w:before="60" w:after="60"/>
              <w:jc w:val="center"/>
              <w:rPr>
                <w:sz w:val="20"/>
              </w:rPr>
            </w:pPr>
            <w:r>
              <w:rPr>
                <w:sz w:val="20"/>
              </w:rPr>
              <w:t>N / A</w:t>
            </w:r>
          </w:p>
        </w:tc>
        <w:tc>
          <w:tcPr>
            <w:tcW w:w="1854" w:type="dxa"/>
            <w:vAlign w:val="center"/>
          </w:tcPr>
          <w:p w14:paraId="33053B44" w14:textId="77777777" w:rsidR="00157AAA" w:rsidRDefault="006C1BE5">
            <w:pPr>
              <w:spacing w:before="60" w:after="60"/>
              <w:jc w:val="center"/>
              <w:rPr>
                <w:sz w:val="20"/>
              </w:rPr>
            </w:pPr>
            <w:r>
              <w:rPr>
                <w:sz w:val="20"/>
              </w:rPr>
              <w:t>Letter of Bid</w:t>
            </w:r>
          </w:p>
        </w:tc>
      </w:tr>
      <w:tr w:rsidR="00157AAA" w14:paraId="2606A0C1" w14:textId="77777777">
        <w:trPr>
          <w:cantSplit/>
          <w:trHeight w:val="600"/>
        </w:trPr>
        <w:tc>
          <w:tcPr>
            <w:tcW w:w="2335" w:type="dxa"/>
          </w:tcPr>
          <w:p w14:paraId="4DD4C49C" w14:textId="77777777" w:rsidR="00157AAA" w:rsidRDefault="006C1BE5" w:rsidP="00D530D5">
            <w:pPr>
              <w:pStyle w:val="Heading2"/>
              <w:numPr>
                <w:ilvl w:val="0"/>
                <w:numId w:val="58"/>
              </w:numPr>
              <w:pBdr>
                <w:bottom w:val="none" w:sz="0" w:space="0" w:color="auto"/>
              </w:pBdr>
              <w:spacing w:before="60" w:after="60"/>
              <w:ind w:left="0" w:firstLine="0"/>
              <w:jc w:val="left"/>
              <w:rPr>
                <w:rFonts w:ascii="Times New Roman" w:hAnsi="Times New Roman"/>
                <w:sz w:val="20"/>
              </w:rPr>
            </w:pPr>
            <w:bookmarkStart w:id="498" w:name="_Toc496968125"/>
            <w:bookmarkStart w:id="499" w:name="_Toc445567364"/>
            <w:r>
              <w:rPr>
                <w:rFonts w:ascii="Times New Roman" w:hAnsi="Times New Roman"/>
                <w:b w:val="0"/>
                <w:sz w:val="20"/>
              </w:rPr>
              <w:lastRenderedPageBreak/>
              <w:t>Pending Litigation</w:t>
            </w:r>
            <w:bookmarkEnd w:id="498"/>
            <w:bookmarkEnd w:id="499"/>
          </w:p>
        </w:tc>
        <w:tc>
          <w:tcPr>
            <w:tcW w:w="2669" w:type="dxa"/>
          </w:tcPr>
          <w:p w14:paraId="768767FD" w14:textId="77777777" w:rsidR="00157AAA" w:rsidRDefault="006C1BE5">
            <w:pPr>
              <w:pStyle w:val="BodyTextIndent"/>
              <w:spacing w:before="60" w:after="60"/>
              <w:ind w:left="0"/>
              <w:rPr>
                <w:sz w:val="20"/>
              </w:rPr>
            </w:pPr>
            <w:r>
              <w:rPr>
                <w:sz w:val="22"/>
                <w:szCs w:val="22"/>
              </w:rPr>
              <w:t>Bidder’s financial position and prospective long-term profitability still sound according to criteria established in 2.3.1 below and assuming that all pending litigation will be resolved against the Bidder.</w:t>
            </w:r>
          </w:p>
        </w:tc>
        <w:tc>
          <w:tcPr>
            <w:tcW w:w="1440" w:type="dxa"/>
            <w:vAlign w:val="center"/>
          </w:tcPr>
          <w:p w14:paraId="43AD5483" w14:textId="77777777" w:rsidR="00157AAA" w:rsidRDefault="006C1BE5">
            <w:pPr>
              <w:spacing w:before="60" w:after="60"/>
              <w:jc w:val="left"/>
              <w:rPr>
                <w:sz w:val="20"/>
              </w:rPr>
            </w:pPr>
            <w:r>
              <w:rPr>
                <w:sz w:val="20"/>
              </w:rPr>
              <w:t>Must meet requirement by itself or as member to past or existing JV</w:t>
            </w:r>
          </w:p>
        </w:tc>
        <w:tc>
          <w:tcPr>
            <w:tcW w:w="1440" w:type="dxa"/>
            <w:vAlign w:val="center"/>
          </w:tcPr>
          <w:p w14:paraId="6B900C50" w14:textId="77777777" w:rsidR="00157AAA" w:rsidRDefault="006C1BE5">
            <w:pPr>
              <w:spacing w:before="60" w:after="60"/>
              <w:jc w:val="center"/>
              <w:rPr>
                <w:sz w:val="20"/>
              </w:rPr>
            </w:pPr>
            <w:r>
              <w:rPr>
                <w:sz w:val="20"/>
              </w:rPr>
              <w:t>N / A</w:t>
            </w:r>
          </w:p>
        </w:tc>
        <w:tc>
          <w:tcPr>
            <w:tcW w:w="1440" w:type="dxa"/>
            <w:vAlign w:val="center"/>
          </w:tcPr>
          <w:p w14:paraId="10355A64" w14:textId="77777777" w:rsidR="00157AAA" w:rsidRDefault="006C1BE5">
            <w:pPr>
              <w:spacing w:before="60" w:after="60"/>
              <w:jc w:val="left"/>
              <w:rPr>
                <w:sz w:val="20"/>
              </w:rPr>
            </w:pPr>
            <w:r>
              <w:rPr>
                <w:sz w:val="20"/>
              </w:rPr>
              <w:t xml:space="preserve">Must meet requirement </w:t>
            </w:r>
          </w:p>
        </w:tc>
        <w:tc>
          <w:tcPr>
            <w:tcW w:w="1530" w:type="dxa"/>
            <w:vAlign w:val="center"/>
          </w:tcPr>
          <w:p w14:paraId="69D97595" w14:textId="77777777" w:rsidR="00157AAA" w:rsidRDefault="006C1BE5">
            <w:pPr>
              <w:spacing w:before="60" w:after="60"/>
              <w:jc w:val="center"/>
              <w:rPr>
                <w:sz w:val="20"/>
              </w:rPr>
            </w:pPr>
            <w:r>
              <w:rPr>
                <w:sz w:val="20"/>
              </w:rPr>
              <w:t>N / A</w:t>
            </w:r>
          </w:p>
        </w:tc>
        <w:tc>
          <w:tcPr>
            <w:tcW w:w="1854" w:type="dxa"/>
            <w:vAlign w:val="center"/>
          </w:tcPr>
          <w:p w14:paraId="5680CB5D" w14:textId="77777777" w:rsidR="00157AAA" w:rsidRDefault="006C1BE5">
            <w:pPr>
              <w:spacing w:before="60" w:after="60"/>
              <w:jc w:val="center"/>
              <w:rPr>
                <w:sz w:val="20"/>
              </w:rPr>
            </w:pPr>
            <w:r>
              <w:rPr>
                <w:sz w:val="20"/>
              </w:rPr>
              <w:t>Form CON – 2</w:t>
            </w:r>
          </w:p>
        </w:tc>
      </w:tr>
      <w:tr w:rsidR="00157AAA" w14:paraId="3868F320" w14:textId="77777777">
        <w:trPr>
          <w:cantSplit/>
          <w:trHeight w:val="600"/>
        </w:trPr>
        <w:tc>
          <w:tcPr>
            <w:tcW w:w="2335" w:type="dxa"/>
          </w:tcPr>
          <w:p w14:paraId="6751CA27" w14:textId="77777777" w:rsidR="00157AAA" w:rsidRDefault="006C1BE5" w:rsidP="00D530D5">
            <w:pPr>
              <w:pStyle w:val="Heading2"/>
              <w:numPr>
                <w:ilvl w:val="0"/>
                <w:numId w:val="58"/>
              </w:numPr>
              <w:pBdr>
                <w:bottom w:val="none" w:sz="0" w:space="0" w:color="auto"/>
              </w:pBdr>
              <w:spacing w:before="60" w:after="60"/>
              <w:ind w:left="0" w:firstLine="0"/>
              <w:jc w:val="left"/>
              <w:rPr>
                <w:rFonts w:ascii="Times New Roman" w:hAnsi="Times New Roman"/>
                <w:b w:val="0"/>
                <w:sz w:val="20"/>
              </w:rPr>
            </w:pPr>
            <w:r>
              <w:rPr>
                <w:rFonts w:ascii="Times New Roman" w:hAnsi="Times New Roman"/>
                <w:b w:val="0"/>
                <w:sz w:val="20"/>
              </w:rPr>
              <w:t>Litigation History</w:t>
            </w:r>
          </w:p>
        </w:tc>
        <w:tc>
          <w:tcPr>
            <w:tcW w:w="2669" w:type="dxa"/>
          </w:tcPr>
          <w:p w14:paraId="47C5234B" w14:textId="11CA9E97" w:rsidR="00157AAA" w:rsidRDefault="006C1BE5">
            <w:pPr>
              <w:pStyle w:val="BodyTextIndent"/>
              <w:spacing w:before="60" w:after="60"/>
              <w:ind w:left="0"/>
              <w:rPr>
                <w:sz w:val="22"/>
                <w:szCs w:val="22"/>
              </w:rPr>
            </w:pPr>
            <w:bookmarkStart w:id="500" w:name="_Toc325722865"/>
            <w:r>
              <w:rPr>
                <w:sz w:val="22"/>
                <w:szCs w:val="22"/>
              </w:rPr>
              <w:t>No consistent history of court/arbitral award decisions against the Bidder</w:t>
            </w:r>
            <w:r>
              <w:rPr>
                <w:sz w:val="22"/>
                <w:szCs w:val="22"/>
                <w:vertAlign w:val="superscript"/>
              </w:rPr>
              <w:footnoteReference w:id="6"/>
            </w:r>
            <w:r>
              <w:rPr>
                <w:sz w:val="22"/>
                <w:szCs w:val="22"/>
              </w:rPr>
              <w:t xml:space="preserve">since </w:t>
            </w:r>
            <w:bookmarkEnd w:id="500"/>
            <w:r>
              <w:rPr>
                <w:b/>
                <w:sz w:val="22"/>
                <w:szCs w:val="22"/>
              </w:rPr>
              <w:t>1</w:t>
            </w:r>
            <w:r>
              <w:rPr>
                <w:b/>
                <w:sz w:val="22"/>
                <w:szCs w:val="22"/>
                <w:vertAlign w:val="superscript"/>
              </w:rPr>
              <w:t>st</w:t>
            </w:r>
            <w:r>
              <w:rPr>
                <w:b/>
                <w:sz w:val="22"/>
                <w:szCs w:val="22"/>
              </w:rPr>
              <w:t xml:space="preserve"> January 201</w:t>
            </w:r>
            <w:r w:rsidR="001F26DD">
              <w:rPr>
                <w:b/>
                <w:sz w:val="22"/>
                <w:szCs w:val="22"/>
              </w:rPr>
              <w:t>9</w:t>
            </w:r>
          </w:p>
        </w:tc>
        <w:tc>
          <w:tcPr>
            <w:tcW w:w="1440" w:type="dxa"/>
            <w:vAlign w:val="center"/>
          </w:tcPr>
          <w:p w14:paraId="06F11E25" w14:textId="77777777" w:rsidR="00157AAA" w:rsidRDefault="006C1BE5">
            <w:pPr>
              <w:spacing w:before="60" w:after="60"/>
              <w:jc w:val="left"/>
              <w:rPr>
                <w:sz w:val="20"/>
              </w:rPr>
            </w:pPr>
            <w:bookmarkStart w:id="501" w:name="_Toc325722866"/>
            <w:r>
              <w:rPr>
                <w:sz w:val="20"/>
              </w:rPr>
              <w:t>Must meet requirement</w:t>
            </w:r>
            <w:bookmarkEnd w:id="501"/>
          </w:p>
        </w:tc>
        <w:tc>
          <w:tcPr>
            <w:tcW w:w="1440" w:type="dxa"/>
            <w:vAlign w:val="center"/>
          </w:tcPr>
          <w:p w14:paraId="6B1E1914" w14:textId="77777777" w:rsidR="00157AAA" w:rsidRDefault="006C1BE5">
            <w:pPr>
              <w:spacing w:before="60" w:after="60"/>
              <w:jc w:val="center"/>
              <w:rPr>
                <w:sz w:val="20"/>
              </w:rPr>
            </w:pPr>
            <w:bookmarkStart w:id="502" w:name="_Toc325722867"/>
            <w:r>
              <w:rPr>
                <w:sz w:val="20"/>
              </w:rPr>
              <w:t>Must meet requirement</w:t>
            </w:r>
            <w:bookmarkEnd w:id="502"/>
          </w:p>
        </w:tc>
        <w:tc>
          <w:tcPr>
            <w:tcW w:w="1440" w:type="dxa"/>
            <w:vAlign w:val="center"/>
          </w:tcPr>
          <w:p w14:paraId="7CB4F179" w14:textId="77777777" w:rsidR="00157AAA" w:rsidRDefault="006C1BE5">
            <w:pPr>
              <w:spacing w:before="60" w:after="60"/>
              <w:jc w:val="left"/>
              <w:rPr>
                <w:sz w:val="20"/>
              </w:rPr>
            </w:pPr>
            <w:bookmarkStart w:id="503" w:name="_Toc325722868"/>
            <w:r>
              <w:rPr>
                <w:sz w:val="20"/>
              </w:rPr>
              <w:t>Must meet requirement</w:t>
            </w:r>
            <w:bookmarkEnd w:id="503"/>
          </w:p>
        </w:tc>
        <w:tc>
          <w:tcPr>
            <w:tcW w:w="1530" w:type="dxa"/>
            <w:vAlign w:val="center"/>
          </w:tcPr>
          <w:p w14:paraId="44A0ADA9" w14:textId="77777777" w:rsidR="00157AAA" w:rsidRDefault="006C1BE5">
            <w:pPr>
              <w:spacing w:before="60" w:after="60"/>
              <w:jc w:val="center"/>
              <w:rPr>
                <w:sz w:val="20"/>
              </w:rPr>
            </w:pPr>
            <w:r>
              <w:rPr>
                <w:sz w:val="20"/>
              </w:rPr>
              <w:t>N/A</w:t>
            </w:r>
          </w:p>
        </w:tc>
        <w:tc>
          <w:tcPr>
            <w:tcW w:w="1854" w:type="dxa"/>
            <w:vAlign w:val="center"/>
          </w:tcPr>
          <w:p w14:paraId="63330C3A" w14:textId="77777777" w:rsidR="00157AAA" w:rsidRDefault="006C1BE5">
            <w:pPr>
              <w:spacing w:before="60" w:after="60"/>
              <w:jc w:val="center"/>
              <w:rPr>
                <w:sz w:val="20"/>
              </w:rPr>
            </w:pPr>
            <w:r>
              <w:rPr>
                <w:sz w:val="20"/>
              </w:rPr>
              <w:t>Form CON – 2</w:t>
            </w:r>
          </w:p>
        </w:tc>
      </w:tr>
      <w:tr w:rsidR="00157AAA" w14:paraId="20294172" w14:textId="77777777">
        <w:trPr>
          <w:cantSplit/>
          <w:trHeight w:val="600"/>
        </w:trPr>
        <w:tc>
          <w:tcPr>
            <w:tcW w:w="2335" w:type="dxa"/>
          </w:tcPr>
          <w:p w14:paraId="2D43D53D" w14:textId="77777777" w:rsidR="00157AAA" w:rsidRDefault="006C1BE5" w:rsidP="00D530D5">
            <w:pPr>
              <w:pStyle w:val="Heading2"/>
              <w:numPr>
                <w:ilvl w:val="0"/>
                <w:numId w:val="58"/>
              </w:numPr>
              <w:pBdr>
                <w:bottom w:val="none" w:sz="0" w:space="0" w:color="auto"/>
              </w:pBdr>
              <w:spacing w:before="60" w:after="60"/>
              <w:ind w:left="0" w:firstLine="0"/>
              <w:jc w:val="left"/>
              <w:rPr>
                <w:rFonts w:ascii="Times New Roman" w:hAnsi="Times New Roman"/>
                <w:b w:val="0"/>
                <w:sz w:val="20"/>
              </w:rPr>
            </w:pPr>
            <w:r>
              <w:rPr>
                <w:rFonts w:ascii="Times New Roman" w:hAnsi="Times New Roman"/>
                <w:b w:val="0"/>
                <w:sz w:val="20"/>
              </w:rPr>
              <w:t>Bank’s SEA and/or SH Disqualification</w:t>
            </w:r>
            <w:r>
              <w:rPr>
                <w:rStyle w:val="FootnoteReference"/>
                <w:b w:val="0"/>
              </w:rPr>
              <w:footnoteReference w:id="7"/>
            </w:r>
          </w:p>
        </w:tc>
        <w:tc>
          <w:tcPr>
            <w:tcW w:w="2669" w:type="dxa"/>
          </w:tcPr>
          <w:p w14:paraId="3C41D734" w14:textId="77777777" w:rsidR="00157AAA" w:rsidRDefault="006C1BE5">
            <w:pPr>
              <w:jc w:val="left"/>
              <w:rPr>
                <w:sz w:val="22"/>
                <w:szCs w:val="22"/>
              </w:rPr>
            </w:pPr>
            <w:r>
              <w:rPr>
                <w:sz w:val="22"/>
                <w:szCs w:val="22"/>
              </w:rPr>
              <w:t xml:space="preserve">At the time of Contract Award, not </w:t>
            </w:r>
            <w:bookmarkStart w:id="504" w:name="_Hlk51839767"/>
            <w:r>
              <w:rPr>
                <w:sz w:val="22"/>
                <w:szCs w:val="22"/>
              </w:rPr>
              <w:t>subject to disqualification by the Bank for non-compliance with SEA/ SH obligations</w:t>
            </w:r>
            <w:bookmarkEnd w:id="504"/>
          </w:p>
        </w:tc>
        <w:tc>
          <w:tcPr>
            <w:tcW w:w="1440" w:type="dxa"/>
            <w:vAlign w:val="center"/>
          </w:tcPr>
          <w:p w14:paraId="44E9B311" w14:textId="77777777" w:rsidR="00157AAA" w:rsidRDefault="006C1BE5">
            <w:pPr>
              <w:pStyle w:val="Style11"/>
              <w:tabs>
                <w:tab w:val="left" w:leader="dot" w:pos="4380"/>
              </w:tabs>
              <w:spacing w:before="41" w:after="41"/>
              <w:rPr>
                <w:sz w:val="20"/>
                <w:szCs w:val="20"/>
              </w:rPr>
            </w:pPr>
            <w:r>
              <w:rPr>
                <w:sz w:val="20"/>
                <w:szCs w:val="20"/>
              </w:rPr>
              <w:t xml:space="preserve">Must meet </w:t>
            </w:r>
            <w:proofErr w:type="gramStart"/>
            <w:r>
              <w:rPr>
                <w:sz w:val="20"/>
                <w:szCs w:val="20"/>
              </w:rPr>
              <w:t>requirement</w:t>
            </w:r>
            <w:proofErr w:type="gramEnd"/>
          </w:p>
          <w:p w14:paraId="54877076" w14:textId="77777777" w:rsidR="00157AAA" w:rsidRDefault="006C1BE5">
            <w:pPr>
              <w:spacing w:before="60" w:after="60"/>
              <w:jc w:val="left"/>
              <w:rPr>
                <w:sz w:val="20"/>
              </w:rPr>
            </w:pPr>
            <w:r>
              <w:rPr>
                <w:sz w:val="20"/>
              </w:rPr>
              <w:t>(including each subcontractor proposed by the Bidder)</w:t>
            </w:r>
          </w:p>
        </w:tc>
        <w:tc>
          <w:tcPr>
            <w:tcW w:w="1440" w:type="dxa"/>
            <w:vAlign w:val="center"/>
          </w:tcPr>
          <w:p w14:paraId="6AF23E2C" w14:textId="77777777" w:rsidR="00157AAA" w:rsidRDefault="006C1BE5">
            <w:pPr>
              <w:spacing w:before="60" w:after="60"/>
              <w:jc w:val="center"/>
              <w:rPr>
                <w:sz w:val="20"/>
              </w:rPr>
            </w:pPr>
            <w:r>
              <w:rPr>
                <w:sz w:val="22"/>
                <w:szCs w:val="22"/>
              </w:rPr>
              <w:t>N/A</w:t>
            </w:r>
          </w:p>
        </w:tc>
        <w:tc>
          <w:tcPr>
            <w:tcW w:w="1440" w:type="dxa"/>
            <w:vAlign w:val="center"/>
          </w:tcPr>
          <w:p w14:paraId="6A481FFC" w14:textId="77777777" w:rsidR="00157AAA" w:rsidRDefault="006C1BE5">
            <w:pPr>
              <w:spacing w:before="60" w:after="60"/>
              <w:jc w:val="left"/>
              <w:rPr>
                <w:sz w:val="20"/>
              </w:rPr>
            </w:pPr>
            <w:r>
              <w:rPr>
                <w:sz w:val="20"/>
              </w:rPr>
              <w:t xml:space="preserve">Must meet requirement </w:t>
            </w:r>
            <w:bookmarkStart w:id="505" w:name="_Hlk31705826"/>
            <w:r>
              <w:rPr>
                <w:sz w:val="20"/>
              </w:rPr>
              <w:t>(including each subcontractor proposed by the Bidder)</w:t>
            </w:r>
            <w:bookmarkEnd w:id="505"/>
          </w:p>
        </w:tc>
        <w:tc>
          <w:tcPr>
            <w:tcW w:w="1530" w:type="dxa"/>
            <w:vAlign w:val="center"/>
          </w:tcPr>
          <w:p w14:paraId="6BFFE614" w14:textId="77777777" w:rsidR="00157AAA" w:rsidRDefault="006C1BE5">
            <w:pPr>
              <w:spacing w:before="60" w:after="60"/>
              <w:jc w:val="center"/>
              <w:rPr>
                <w:sz w:val="20"/>
              </w:rPr>
            </w:pPr>
            <w:r>
              <w:rPr>
                <w:sz w:val="22"/>
                <w:szCs w:val="22"/>
              </w:rPr>
              <w:t>N/A</w:t>
            </w:r>
          </w:p>
        </w:tc>
        <w:tc>
          <w:tcPr>
            <w:tcW w:w="1854" w:type="dxa"/>
            <w:vAlign w:val="center"/>
          </w:tcPr>
          <w:p w14:paraId="532A7DCF" w14:textId="77777777" w:rsidR="00157AAA" w:rsidRDefault="006C1BE5">
            <w:pPr>
              <w:spacing w:before="60" w:after="60"/>
              <w:jc w:val="center"/>
              <w:rPr>
                <w:sz w:val="20"/>
              </w:rPr>
            </w:pPr>
            <w:r>
              <w:rPr>
                <w:sz w:val="20"/>
              </w:rPr>
              <w:t>Letter of Bid, Form CON-3</w:t>
            </w:r>
          </w:p>
        </w:tc>
      </w:tr>
    </w:tbl>
    <w:p w14:paraId="69C084AF" w14:textId="77777777" w:rsidR="00157AAA" w:rsidRDefault="00157AAA"/>
    <w:p w14:paraId="19AF185A" w14:textId="77777777" w:rsidR="00157AAA" w:rsidRDefault="006C1BE5">
      <w:pPr>
        <w:spacing w:after="0"/>
        <w:jc w:val="left"/>
      </w:pPr>
      <w:bookmarkStart w:id="506" w:name="_Toc496006432"/>
      <w:bookmarkStart w:id="507" w:name="_Toc496006833"/>
      <w:bookmarkStart w:id="508" w:name="_Toc496113484"/>
      <w:bookmarkStart w:id="509" w:name="_Toc496359155"/>
      <w:bookmarkStart w:id="510" w:name="_Toc496968129"/>
      <w:r>
        <w:br w:type="page" w:clear="all"/>
      </w:r>
    </w:p>
    <w:bookmarkEnd w:id="506"/>
    <w:bookmarkEnd w:id="507"/>
    <w:bookmarkEnd w:id="508"/>
    <w:bookmarkEnd w:id="509"/>
    <w:bookmarkEnd w:id="510"/>
    <w:p w14:paraId="6D45E1F3" w14:textId="77777777" w:rsidR="00157AAA" w:rsidRDefault="00157AAA">
      <w:pPr>
        <w:jc w:val="left"/>
      </w:pPr>
    </w:p>
    <w:tbl>
      <w:tblPr>
        <w:tblW w:w="126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2741"/>
        <w:gridCol w:w="1493"/>
        <w:gridCol w:w="1439"/>
        <w:gridCol w:w="1475"/>
        <w:gridCol w:w="1403"/>
        <w:gridCol w:w="1889"/>
      </w:tblGrid>
      <w:tr w:rsidR="00157AAA" w14:paraId="7076037F" w14:textId="77777777">
        <w:trPr>
          <w:tblHeader/>
        </w:trPr>
        <w:tc>
          <w:tcPr>
            <w:tcW w:w="2250" w:type="dxa"/>
          </w:tcPr>
          <w:p w14:paraId="2CFA1C64" w14:textId="77777777" w:rsidR="00157AAA" w:rsidRDefault="006C1BE5">
            <w:pPr>
              <w:spacing w:before="120"/>
              <w:jc w:val="center"/>
              <w:rPr>
                <w:b/>
                <w:sz w:val="22"/>
                <w:szCs w:val="22"/>
              </w:rPr>
            </w:pPr>
            <w:r>
              <w:rPr>
                <w:b/>
                <w:sz w:val="22"/>
                <w:szCs w:val="22"/>
              </w:rPr>
              <w:t>Factor</w:t>
            </w:r>
          </w:p>
        </w:tc>
        <w:tc>
          <w:tcPr>
            <w:tcW w:w="10440" w:type="dxa"/>
            <w:gridSpan w:val="6"/>
          </w:tcPr>
          <w:p w14:paraId="121FFE93" w14:textId="77777777" w:rsidR="00157AAA" w:rsidRDefault="006C1BE5">
            <w:pPr>
              <w:pStyle w:val="Heading1"/>
              <w:spacing w:before="240"/>
              <w:rPr>
                <w:rFonts w:ascii="Times New Roman" w:hAnsi="Times New Roman"/>
              </w:rPr>
            </w:pPr>
            <w:bookmarkStart w:id="511" w:name="_Toc498339862"/>
            <w:bookmarkStart w:id="512" w:name="_Toc498848209"/>
            <w:bookmarkStart w:id="513" w:name="_Toc499021787"/>
            <w:bookmarkStart w:id="514" w:name="_Toc499023470"/>
            <w:bookmarkStart w:id="515" w:name="_Toc501529952"/>
            <w:bookmarkStart w:id="516" w:name="_Toc503874230"/>
            <w:bookmarkStart w:id="517" w:name="_Toc23215166"/>
            <w:bookmarkStart w:id="518" w:name="_Toc445567365"/>
            <w:r>
              <w:rPr>
                <w:rFonts w:ascii="Times New Roman" w:hAnsi="Times New Roman"/>
              </w:rPr>
              <w:t>5.3 Financial Situation</w:t>
            </w:r>
            <w:bookmarkEnd w:id="511"/>
            <w:bookmarkEnd w:id="512"/>
            <w:bookmarkEnd w:id="513"/>
            <w:bookmarkEnd w:id="514"/>
            <w:bookmarkEnd w:id="515"/>
            <w:bookmarkEnd w:id="516"/>
            <w:bookmarkEnd w:id="517"/>
            <w:bookmarkEnd w:id="518"/>
          </w:p>
        </w:tc>
      </w:tr>
      <w:tr w:rsidR="00157AAA" w14:paraId="65EC4910" w14:textId="77777777">
        <w:trPr>
          <w:tblHeader/>
        </w:trPr>
        <w:tc>
          <w:tcPr>
            <w:tcW w:w="2250" w:type="dxa"/>
            <w:vMerge w:val="restart"/>
            <w:vAlign w:val="center"/>
          </w:tcPr>
          <w:p w14:paraId="7A7124E1" w14:textId="77777777" w:rsidR="00157AAA" w:rsidRDefault="006C1BE5">
            <w:pPr>
              <w:spacing w:before="80" w:after="80"/>
              <w:jc w:val="center"/>
              <w:rPr>
                <w:b/>
                <w:sz w:val="22"/>
                <w:szCs w:val="22"/>
              </w:rPr>
            </w:pPr>
            <w:r>
              <w:rPr>
                <w:b/>
                <w:sz w:val="22"/>
                <w:szCs w:val="22"/>
              </w:rPr>
              <w:t>Sub-Factor</w:t>
            </w:r>
          </w:p>
        </w:tc>
        <w:tc>
          <w:tcPr>
            <w:tcW w:w="8551" w:type="dxa"/>
            <w:gridSpan w:val="5"/>
          </w:tcPr>
          <w:p w14:paraId="61A0D4C8" w14:textId="77777777" w:rsidR="00157AAA" w:rsidRDefault="006C1BE5">
            <w:pPr>
              <w:pStyle w:val="titulo"/>
              <w:spacing w:before="80" w:after="80"/>
              <w:rPr>
                <w:rFonts w:ascii="Times New Roman" w:hAnsi="Times New Roman"/>
                <w:sz w:val="22"/>
                <w:szCs w:val="22"/>
              </w:rPr>
            </w:pPr>
            <w:r>
              <w:rPr>
                <w:rFonts w:ascii="Times New Roman" w:hAnsi="Times New Roman"/>
                <w:b w:val="0"/>
                <w:sz w:val="22"/>
                <w:szCs w:val="22"/>
              </w:rPr>
              <w:t>Criteria</w:t>
            </w:r>
          </w:p>
        </w:tc>
        <w:tc>
          <w:tcPr>
            <w:tcW w:w="1889" w:type="dxa"/>
            <w:vMerge w:val="restart"/>
            <w:vAlign w:val="center"/>
          </w:tcPr>
          <w:p w14:paraId="720FDF09" w14:textId="77777777" w:rsidR="00157AAA" w:rsidRDefault="006C1BE5">
            <w:pPr>
              <w:pStyle w:val="titulo"/>
              <w:spacing w:before="80" w:after="80"/>
              <w:rPr>
                <w:rFonts w:ascii="Times New Roman" w:hAnsi="Times New Roman"/>
                <w:sz w:val="22"/>
                <w:szCs w:val="22"/>
              </w:rPr>
            </w:pPr>
            <w:r>
              <w:rPr>
                <w:rFonts w:ascii="Times New Roman" w:hAnsi="Times New Roman"/>
                <w:sz w:val="22"/>
                <w:szCs w:val="22"/>
              </w:rPr>
              <w:t>Documentation Required</w:t>
            </w:r>
          </w:p>
        </w:tc>
      </w:tr>
      <w:tr w:rsidR="00157AAA" w14:paraId="20DEBC42" w14:textId="77777777" w:rsidTr="008E2AAD">
        <w:trPr>
          <w:trHeight w:val="253"/>
          <w:tblHeader/>
        </w:trPr>
        <w:tc>
          <w:tcPr>
            <w:tcW w:w="2250" w:type="dxa"/>
            <w:vMerge/>
          </w:tcPr>
          <w:p w14:paraId="34BBE120" w14:textId="77777777" w:rsidR="00157AAA" w:rsidRDefault="00157AAA">
            <w:pPr>
              <w:spacing w:before="80" w:after="80"/>
              <w:jc w:val="center"/>
              <w:rPr>
                <w:b/>
                <w:sz w:val="22"/>
                <w:szCs w:val="22"/>
              </w:rPr>
            </w:pPr>
          </w:p>
        </w:tc>
        <w:tc>
          <w:tcPr>
            <w:tcW w:w="2741" w:type="dxa"/>
            <w:vMerge w:val="restart"/>
            <w:vAlign w:val="center"/>
          </w:tcPr>
          <w:p w14:paraId="26B85B33" w14:textId="77777777" w:rsidR="00157AAA" w:rsidRDefault="006C1BE5">
            <w:pPr>
              <w:pStyle w:val="titulo"/>
              <w:spacing w:before="80" w:after="80"/>
              <w:rPr>
                <w:rFonts w:ascii="Times New Roman" w:hAnsi="Times New Roman"/>
                <w:sz w:val="22"/>
                <w:szCs w:val="22"/>
              </w:rPr>
            </w:pPr>
            <w:r>
              <w:rPr>
                <w:rFonts w:ascii="Times New Roman" w:hAnsi="Times New Roman"/>
                <w:sz w:val="22"/>
                <w:szCs w:val="22"/>
              </w:rPr>
              <w:t>Requirement</w:t>
            </w:r>
          </w:p>
        </w:tc>
        <w:tc>
          <w:tcPr>
            <w:tcW w:w="5810" w:type="dxa"/>
            <w:gridSpan w:val="4"/>
            <w:tcBorders>
              <w:bottom w:val="single" w:sz="4" w:space="0" w:color="auto"/>
            </w:tcBorders>
          </w:tcPr>
          <w:p w14:paraId="098F6D73" w14:textId="77777777" w:rsidR="00157AAA" w:rsidRDefault="006C1BE5">
            <w:pPr>
              <w:pStyle w:val="titulo"/>
              <w:spacing w:before="80" w:after="80"/>
              <w:rPr>
                <w:rFonts w:ascii="Times New Roman" w:hAnsi="Times New Roman"/>
                <w:sz w:val="22"/>
                <w:szCs w:val="22"/>
              </w:rPr>
            </w:pPr>
            <w:r>
              <w:rPr>
                <w:rFonts w:ascii="Times New Roman" w:hAnsi="Times New Roman"/>
                <w:sz w:val="22"/>
                <w:szCs w:val="22"/>
              </w:rPr>
              <w:t xml:space="preserve"> Bidder</w:t>
            </w:r>
          </w:p>
        </w:tc>
        <w:tc>
          <w:tcPr>
            <w:tcW w:w="1889" w:type="dxa"/>
            <w:vMerge/>
          </w:tcPr>
          <w:p w14:paraId="5E6697E9" w14:textId="77777777" w:rsidR="00157AAA" w:rsidRDefault="00157AAA">
            <w:pPr>
              <w:pStyle w:val="titulo"/>
              <w:spacing w:before="40"/>
              <w:rPr>
                <w:rFonts w:ascii="Times New Roman" w:hAnsi="Times New Roman"/>
                <w:b w:val="0"/>
                <w:sz w:val="22"/>
                <w:szCs w:val="22"/>
              </w:rPr>
            </w:pPr>
          </w:p>
        </w:tc>
      </w:tr>
      <w:tr w:rsidR="00157AAA" w14:paraId="0DB196AB" w14:textId="77777777" w:rsidTr="008E2AAD">
        <w:trPr>
          <w:trHeight w:val="253"/>
          <w:tblHeader/>
        </w:trPr>
        <w:tc>
          <w:tcPr>
            <w:tcW w:w="2250" w:type="dxa"/>
            <w:vMerge/>
          </w:tcPr>
          <w:p w14:paraId="1BE8F80F" w14:textId="77777777" w:rsidR="00157AAA" w:rsidRDefault="00157AAA">
            <w:pPr>
              <w:spacing w:before="80" w:after="80"/>
              <w:ind w:hanging="360"/>
              <w:jc w:val="center"/>
              <w:rPr>
                <w:b/>
                <w:sz w:val="22"/>
                <w:szCs w:val="22"/>
              </w:rPr>
            </w:pPr>
          </w:p>
        </w:tc>
        <w:tc>
          <w:tcPr>
            <w:tcW w:w="2741" w:type="dxa"/>
            <w:vMerge/>
          </w:tcPr>
          <w:p w14:paraId="5381273F" w14:textId="77777777" w:rsidR="00157AAA" w:rsidRDefault="00157AAA">
            <w:pPr>
              <w:spacing w:before="80" w:after="80"/>
              <w:jc w:val="center"/>
              <w:rPr>
                <w:b/>
                <w:sz w:val="22"/>
                <w:szCs w:val="22"/>
              </w:rPr>
            </w:pPr>
          </w:p>
        </w:tc>
        <w:tc>
          <w:tcPr>
            <w:tcW w:w="1493" w:type="dxa"/>
            <w:vMerge w:val="restart"/>
            <w:tcBorders>
              <w:bottom w:val="none" w:sz="4" w:space="0" w:color="000000"/>
            </w:tcBorders>
            <w:vAlign w:val="center"/>
          </w:tcPr>
          <w:p w14:paraId="1CCB86E3" w14:textId="77777777" w:rsidR="00157AAA" w:rsidRDefault="006C1BE5">
            <w:pPr>
              <w:spacing w:before="40"/>
              <w:jc w:val="center"/>
              <w:rPr>
                <w:b/>
                <w:sz w:val="22"/>
                <w:szCs w:val="22"/>
              </w:rPr>
            </w:pPr>
            <w:r>
              <w:rPr>
                <w:b/>
                <w:sz w:val="22"/>
                <w:szCs w:val="22"/>
              </w:rPr>
              <w:t>Single Entity</w:t>
            </w:r>
          </w:p>
        </w:tc>
        <w:tc>
          <w:tcPr>
            <w:tcW w:w="4317" w:type="dxa"/>
            <w:gridSpan w:val="3"/>
          </w:tcPr>
          <w:p w14:paraId="470274A0" w14:textId="77777777" w:rsidR="00157AAA" w:rsidRDefault="006C1BE5">
            <w:pPr>
              <w:pStyle w:val="titulo"/>
              <w:spacing w:before="40" w:after="0"/>
              <w:rPr>
                <w:rFonts w:ascii="Times New Roman" w:hAnsi="Times New Roman"/>
                <w:sz w:val="22"/>
                <w:szCs w:val="22"/>
              </w:rPr>
            </w:pPr>
            <w:r>
              <w:rPr>
                <w:rFonts w:ascii="Times New Roman" w:hAnsi="Times New Roman"/>
                <w:sz w:val="22"/>
                <w:szCs w:val="22"/>
              </w:rPr>
              <w:t>Joint Venture (existing or intended)</w:t>
            </w:r>
          </w:p>
        </w:tc>
        <w:tc>
          <w:tcPr>
            <w:tcW w:w="1889" w:type="dxa"/>
            <w:vMerge/>
          </w:tcPr>
          <w:p w14:paraId="444106E0" w14:textId="77777777" w:rsidR="00157AAA" w:rsidRDefault="00157AAA">
            <w:pPr>
              <w:pStyle w:val="titulo"/>
              <w:spacing w:before="40" w:after="0"/>
              <w:rPr>
                <w:rFonts w:ascii="Times New Roman" w:hAnsi="Times New Roman"/>
                <w:sz w:val="22"/>
                <w:szCs w:val="22"/>
              </w:rPr>
            </w:pPr>
          </w:p>
        </w:tc>
      </w:tr>
      <w:tr w:rsidR="00157AAA" w14:paraId="63D21D29" w14:textId="77777777">
        <w:trPr>
          <w:trHeight w:val="575"/>
          <w:tblHeader/>
        </w:trPr>
        <w:tc>
          <w:tcPr>
            <w:tcW w:w="2250" w:type="dxa"/>
            <w:vMerge/>
            <w:tcBorders>
              <w:bottom w:val="single" w:sz="4" w:space="0" w:color="auto"/>
            </w:tcBorders>
          </w:tcPr>
          <w:p w14:paraId="70EDE90C" w14:textId="77777777" w:rsidR="00157AAA" w:rsidRDefault="00157AAA">
            <w:pPr>
              <w:ind w:left="360" w:hanging="360"/>
              <w:rPr>
                <w:b/>
                <w:sz w:val="22"/>
                <w:szCs w:val="22"/>
              </w:rPr>
            </w:pPr>
          </w:p>
        </w:tc>
        <w:tc>
          <w:tcPr>
            <w:tcW w:w="2741" w:type="dxa"/>
            <w:vMerge/>
            <w:tcBorders>
              <w:bottom w:val="single" w:sz="4" w:space="0" w:color="auto"/>
            </w:tcBorders>
          </w:tcPr>
          <w:p w14:paraId="721263C6" w14:textId="77777777" w:rsidR="00157AAA" w:rsidRDefault="00157AAA">
            <w:pPr>
              <w:ind w:left="360" w:hanging="360"/>
              <w:rPr>
                <w:b/>
                <w:sz w:val="22"/>
                <w:szCs w:val="22"/>
              </w:rPr>
            </w:pPr>
          </w:p>
        </w:tc>
        <w:tc>
          <w:tcPr>
            <w:tcW w:w="1493" w:type="dxa"/>
            <w:vMerge/>
            <w:tcBorders>
              <w:bottom w:val="single" w:sz="4" w:space="0" w:color="auto"/>
            </w:tcBorders>
          </w:tcPr>
          <w:p w14:paraId="468A8ADB" w14:textId="77777777" w:rsidR="00157AAA" w:rsidRDefault="00157AAA">
            <w:pPr>
              <w:keepNext/>
              <w:spacing w:before="40"/>
              <w:rPr>
                <w:b/>
                <w:sz w:val="22"/>
                <w:szCs w:val="22"/>
              </w:rPr>
            </w:pPr>
          </w:p>
        </w:tc>
        <w:tc>
          <w:tcPr>
            <w:tcW w:w="1439" w:type="dxa"/>
            <w:tcBorders>
              <w:bottom w:val="single" w:sz="4" w:space="0" w:color="auto"/>
            </w:tcBorders>
            <w:vAlign w:val="center"/>
          </w:tcPr>
          <w:p w14:paraId="4BFDCB00" w14:textId="77777777" w:rsidR="00157AAA" w:rsidRDefault="006C1BE5">
            <w:pPr>
              <w:spacing w:before="40"/>
              <w:jc w:val="center"/>
              <w:rPr>
                <w:b/>
                <w:sz w:val="22"/>
                <w:szCs w:val="22"/>
              </w:rPr>
            </w:pPr>
            <w:r>
              <w:rPr>
                <w:b/>
                <w:sz w:val="22"/>
                <w:szCs w:val="22"/>
              </w:rPr>
              <w:t>All members combined</w:t>
            </w:r>
          </w:p>
        </w:tc>
        <w:tc>
          <w:tcPr>
            <w:tcW w:w="1475" w:type="dxa"/>
            <w:tcBorders>
              <w:bottom w:val="single" w:sz="4" w:space="0" w:color="auto"/>
            </w:tcBorders>
            <w:vAlign w:val="center"/>
          </w:tcPr>
          <w:p w14:paraId="626197DD" w14:textId="77777777" w:rsidR="00157AAA" w:rsidRDefault="006C1BE5">
            <w:pPr>
              <w:spacing w:before="40"/>
              <w:jc w:val="center"/>
              <w:rPr>
                <w:b/>
                <w:sz w:val="22"/>
                <w:szCs w:val="22"/>
              </w:rPr>
            </w:pPr>
            <w:r>
              <w:rPr>
                <w:b/>
                <w:sz w:val="22"/>
                <w:szCs w:val="22"/>
              </w:rPr>
              <w:t>Each member</w:t>
            </w:r>
          </w:p>
        </w:tc>
        <w:tc>
          <w:tcPr>
            <w:tcW w:w="1403" w:type="dxa"/>
            <w:tcBorders>
              <w:bottom w:val="single" w:sz="4" w:space="0" w:color="auto"/>
            </w:tcBorders>
            <w:vAlign w:val="center"/>
          </w:tcPr>
          <w:p w14:paraId="550BE375" w14:textId="77777777" w:rsidR="00157AAA" w:rsidRDefault="006C1BE5">
            <w:pPr>
              <w:spacing w:before="40"/>
              <w:jc w:val="center"/>
              <w:rPr>
                <w:b/>
                <w:sz w:val="22"/>
                <w:szCs w:val="22"/>
              </w:rPr>
            </w:pPr>
            <w:r>
              <w:rPr>
                <w:b/>
                <w:sz w:val="22"/>
                <w:szCs w:val="22"/>
              </w:rPr>
              <w:t>At least one member</w:t>
            </w:r>
          </w:p>
        </w:tc>
        <w:tc>
          <w:tcPr>
            <w:tcW w:w="1889" w:type="dxa"/>
            <w:vMerge/>
            <w:tcBorders>
              <w:bottom w:val="single" w:sz="4" w:space="0" w:color="auto"/>
            </w:tcBorders>
          </w:tcPr>
          <w:p w14:paraId="4421E81B" w14:textId="77777777" w:rsidR="00157AAA" w:rsidRDefault="00157AAA">
            <w:pPr>
              <w:spacing w:before="40"/>
              <w:rPr>
                <w:b/>
                <w:sz w:val="22"/>
                <w:szCs w:val="22"/>
              </w:rPr>
            </w:pPr>
          </w:p>
        </w:tc>
      </w:tr>
      <w:tr w:rsidR="00157AAA" w14:paraId="149E0E4E" w14:textId="77777777">
        <w:trPr>
          <w:trHeight w:val="3281"/>
        </w:trPr>
        <w:tc>
          <w:tcPr>
            <w:tcW w:w="2250" w:type="dxa"/>
            <w:tcBorders>
              <w:bottom w:val="single" w:sz="4" w:space="0" w:color="auto"/>
            </w:tcBorders>
          </w:tcPr>
          <w:p w14:paraId="0EB5A76E" w14:textId="77777777" w:rsidR="00157AAA" w:rsidRDefault="006C1BE5">
            <w:pPr>
              <w:pStyle w:val="Heading2"/>
              <w:spacing w:before="60" w:after="60"/>
              <w:ind w:left="593" w:hanging="593"/>
              <w:jc w:val="left"/>
              <w:rPr>
                <w:rFonts w:ascii="Times New Roman" w:hAnsi="Times New Roman"/>
                <w:sz w:val="20"/>
              </w:rPr>
            </w:pPr>
            <w:bookmarkStart w:id="519" w:name="_Toc496968131"/>
            <w:bookmarkStart w:id="520" w:name="_Toc445567366"/>
            <w:r>
              <w:rPr>
                <w:rFonts w:ascii="Times New Roman" w:hAnsi="Times New Roman"/>
                <w:sz w:val="20"/>
              </w:rPr>
              <w:t>5.3.1   Historical Financial Performance</w:t>
            </w:r>
            <w:bookmarkEnd w:id="519"/>
            <w:bookmarkEnd w:id="520"/>
          </w:p>
        </w:tc>
        <w:tc>
          <w:tcPr>
            <w:tcW w:w="2741" w:type="dxa"/>
            <w:tcBorders>
              <w:bottom w:val="single" w:sz="4" w:space="0" w:color="auto"/>
            </w:tcBorders>
          </w:tcPr>
          <w:p w14:paraId="69E4F243" w14:textId="64A42156" w:rsidR="00157AAA" w:rsidRDefault="006C1BE5">
            <w:pPr>
              <w:pStyle w:val="BodyTextIndent"/>
              <w:spacing w:before="60" w:after="60"/>
              <w:ind w:left="0"/>
              <w:rPr>
                <w:sz w:val="22"/>
                <w:szCs w:val="22"/>
              </w:rPr>
            </w:pPr>
            <w:r>
              <w:rPr>
                <w:sz w:val="22"/>
                <w:szCs w:val="22"/>
              </w:rPr>
              <w:t xml:space="preserve">Submission of audited balance sheets or if not required by the law of the Bidder’s country, other financial statements acceptable to the Purchaser, for the last </w:t>
            </w:r>
            <w:r>
              <w:rPr>
                <w:b/>
                <w:sz w:val="22"/>
                <w:szCs w:val="22"/>
              </w:rPr>
              <w:t>three years (202</w:t>
            </w:r>
            <w:r w:rsidR="001F26DD">
              <w:rPr>
                <w:b/>
                <w:sz w:val="22"/>
                <w:szCs w:val="22"/>
              </w:rPr>
              <w:t>1</w:t>
            </w:r>
            <w:r>
              <w:rPr>
                <w:b/>
                <w:sz w:val="22"/>
                <w:szCs w:val="22"/>
              </w:rPr>
              <w:t>, 202</w:t>
            </w:r>
            <w:r w:rsidR="001F26DD">
              <w:rPr>
                <w:b/>
                <w:sz w:val="22"/>
                <w:szCs w:val="22"/>
              </w:rPr>
              <w:t>2</w:t>
            </w:r>
            <w:r>
              <w:rPr>
                <w:b/>
                <w:sz w:val="22"/>
                <w:szCs w:val="22"/>
              </w:rPr>
              <w:t>, 202</w:t>
            </w:r>
            <w:r w:rsidR="001F26DD">
              <w:rPr>
                <w:b/>
                <w:sz w:val="22"/>
                <w:szCs w:val="22"/>
              </w:rPr>
              <w:t>3</w:t>
            </w:r>
            <w:r>
              <w:rPr>
                <w:b/>
                <w:sz w:val="22"/>
                <w:szCs w:val="22"/>
              </w:rPr>
              <w:t>)</w:t>
            </w:r>
            <w:r>
              <w:rPr>
                <w:sz w:val="22"/>
                <w:szCs w:val="22"/>
              </w:rPr>
              <w:t xml:space="preserve"> to demonstrate the current soundness of the Bidders financial position and its prospective long-term profitability.</w:t>
            </w:r>
          </w:p>
        </w:tc>
        <w:tc>
          <w:tcPr>
            <w:tcW w:w="1493" w:type="dxa"/>
            <w:tcBorders>
              <w:bottom w:val="single" w:sz="4" w:space="0" w:color="auto"/>
            </w:tcBorders>
            <w:vAlign w:val="center"/>
          </w:tcPr>
          <w:p w14:paraId="0F2EE33D" w14:textId="77777777" w:rsidR="00157AAA" w:rsidRDefault="006C1BE5">
            <w:pPr>
              <w:spacing w:before="60" w:after="60"/>
              <w:jc w:val="center"/>
              <w:rPr>
                <w:sz w:val="20"/>
              </w:rPr>
            </w:pPr>
            <w:r>
              <w:rPr>
                <w:sz w:val="20"/>
              </w:rPr>
              <w:t>Must meet requirement</w:t>
            </w:r>
          </w:p>
        </w:tc>
        <w:tc>
          <w:tcPr>
            <w:tcW w:w="1439" w:type="dxa"/>
            <w:tcBorders>
              <w:bottom w:val="single" w:sz="4" w:space="0" w:color="auto"/>
            </w:tcBorders>
            <w:vAlign w:val="center"/>
          </w:tcPr>
          <w:p w14:paraId="14D0480C" w14:textId="77777777" w:rsidR="00157AAA" w:rsidRDefault="006C1BE5">
            <w:pPr>
              <w:spacing w:before="60" w:after="60"/>
              <w:jc w:val="center"/>
              <w:rPr>
                <w:sz w:val="20"/>
              </w:rPr>
            </w:pPr>
            <w:r>
              <w:rPr>
                <w:sz w:val="20"/>
              </w:rPr>
              <w:t>N / A</w:t>
            </w:r>
          </w:p>
        </w:tc>
        <w:tc>
          <w:tcPr>
            <w:tcW w:w="1475" w:type="dxa"/>
            <w:tcBorders>
              <w:bottom w:val="single" w:sz="4" w:space="0" w:color="auto"/>
            </w:tcBorders>
            <w:vAlign w:val="center"/>
          </w:tcPr>
          <w:p w14:paraId="1568A045" w14:textId="77777777" w:rsidR="00157AAA" w:rsidRDefault="006C1BE5">
            <w:pPr>
              <w:spacing w:before="60" w:after="60"/>
              <w:jc w:val="center"/>
              <w:rPr>
                <w:sz w:val="20"/>
              </w:rPr>
            </w:pPr>
            <w:r>
              <w:rPr>
                <w:sz w:val="20"/>
              </w:rPr>
              <w:t>Must meet requirement</w:t>
            </w:r>
          </w:p>
        </w:tc>
        <w:tc>
          <w:tcPr>
            <w:tcW w:w="1403" w:type="dxa"/>
            <w:tcBorders>
              <w:bottom w:val="single" w:sz="4" w:space="0" w:color="auto"/>
            </w:tcBorders>
            <w:vAlign w:val="center"/>
          </w:tcPr>
          <w:p w14:paraId="69D93B79" w14:textId="77777777" w:rsidR="00157AAA" w:rsidRDefault="006C1BE5">
            <w:pPr>
              <w:spacing w:before="60" w:after="60"/>
              <w:jc w:val="center"/>
              <w:rPr>
                <w:sz w:val="20"/>
              </w:rPr>
            </w:pPr>
            <w:r>
              <w:rPr>
                <w:sz w:val="20"/>
              </w:rPr>
              <w:t>N / A</w:t>
            </w:r>
          </w:p>
        </w:tc>
        <w:tc>
          <w:tcPr>
            <w:tcW w:w="1889" w:type="dxa"/>
            <w:tcBorders>
              <w:bottom w:val="single" w:sz="4" w:space="0" w:color="auto"/>
            </w:tcBorders>
            <w:vAlign w:val="center"/>
          </w:tcPr>
          <w:p w14:paraId="4DCB8AF1" w14:textId="77777777" w:rsidR="00157AAA" w:rsidRDefault="006C1BE5">
            <w:pPr>
              <w:pStyle w:val="Outline"/>
              <w:spacing w:before="60" w:after="60"/>
              <w:rPr>
                <w:sz w:val="20"/>
              </w:rPr>
            </w:pPr>
            <w:r>
              <w:rPr>
                <w:sz w:val="20"/>
              </w:rPr>
              <w:t>Form FIN – 5.3.1 with attachments</w:t>
            </w:r>
          </w:p>
        </w:tc>
      </w:tr>
      <w:tr w:rsidR="00157AAA" w14:paraId="74287AF1" w14:textId="77777777">
        <w:trPr>
          <w:trHeight w:val="826"/>
        </w:trPr>
        <w:tc>
          <w:tcPr>
            <w:tcW w:w="2250" w:type="dxa"/>
            <w:tcBorders>
              <w:bottom w:val="single" w:sz="6" w:space="0" w:color="000000"/>
            </w:tcBorders>
          </w:tcPr>
          <w:p w14:paraId="0E977625" w14:textId="77777777" w:rsidR="00157AAA" w:rsidRDefault="006C1BE5">
            <w:pPr>
              <w:pStyle w:val="Heading2"/>
              <w:spacing w:before="60" w:after="60"/>
              <w:ind w:left="593" w:hanging="593"/>
              <w:jc w:val="left"/>
              <w:rPr>
                <w:rFonts w:ascii="Times New Roman" w:hAnsi="Times New Roman"/>
                <w:sz w:val="20"/>
              </w:rPr>
            </w:pPr>
            <w:bookmarkStart w:id="521" w:name="_Toc445567370"/>
            <w:r>
              <w:rPr>
                <w:rFonts w:ascii="Times New Roman" w:hAnsi="Times New Roman"/>
                <w:sz w:val="20"/>
              </w:rPr>
              <w:t>5.3.2</w:t>
            </w:r>
            <w:r>
              <w:rPr>
                <w:rFonts w:ascii="Times New Roman" w:hAnsi="Times New Roman"/>
                <w:sz w:val="20"/>
              </w:rPr>
              <w:tab/>
              <w:t>Average Annual Turnover</w:t>
            </w:r>
            <w:bookmarkEnd w:id="521"/>
          </w:p>
          <w:p w14:paraId="639C1892" w14:textId="77777777" w:rsidR="00157AAA" w:rsidRDefault="00157AAA">
            <w:pPr>
              <w:pStyle w:val="BodyTextIndent"/>
              <w:spacing w:before="60" w:after="60"/>
              <w:ind w:left="593" w:hanging="593"/>
              <w:rPr>
                <w:sz w:val="20"/>
              </w:rPr>
            </w:pPr>
          </w:p>
        </w:tc>
        <w:tc>
          <w:tcPr>
            <w:tcW w:w="2741" w:type="dxa"/>
            <w:tcBorders>
              <w:bottom w:val="single" w:sz="6" w:space="0" w:color="000000"/>
            </w:tcBorders>
          </w:tcPr>
          <w:p w14:paraId="76677C8A" w14:textId="7611090A" w:rsidR="00157AAA" w:rsidRDefault="006C1BE5" w:rsidP="00DE1F8A">
            <w:pPr>
              <w:rPr>
                <w:sz w:val="22"/>
                <w:szCs w:val="22"/>
              </w:rPr>
            </w:pPr>
            <w:r>
              <w:rPr>
                <w:sz w:val="22"/>
                <w:szCs w:val="22"/>
              </w:rPr>
              <w:t xml:space="preserve">Minimum average annual turnover of </w:t>
            </w:r>
            <w:r w:rsidR="00610516" w:rsidRPr="00DE1F8A">
              <w:rPr>
                <w:b/>
                <w:sz w:val="22"/>
                <w:szCs w:val="22"/>
              </w:rPr>
              <w:t>3.000.000,00 EUR (three million EUR)</w:t>
            </w:r>
            <w:r w:rsidR="00DE1F8A">
              <w:rPr>
                <w:sz w:val="22"/>
                <w:szCs w:val="22"/>
              </w:rPr>
              <w:t>, c</w:t>
            </w:r>
            <w:r>
              <w:rPr>
                <w:sz w:val="22"/>
                <w:szCs w:val="22"/>
              </w:rPr>
              <w:t xml:space="preserve">alculated as total certified payments received for contracts in progress or completed, within the last </w:t>
            </w:r>
            <w:r>
              <w:rPr>
                <w:b/>
                <w:sz w:val="22"/>
                <w:szCs w:val="22"/>
              </w:rPr>
              <w:t>three years (202</w:t>
            </w:r>
            <w:r w:rsidR="001F26DD">
              <w:rPr>
                <w:b/>
                <w:sz w:val="22"/>
                <w:szCs w:val="22"/>
              </w:rPr>
              <w:t>1</w:t>
            </w:r>
            <w:r>
              <w:rPr>
                <w:b/>
                <w:sz w:val="22"/>
                <w:szCs w:val="22"/>
              </w:rPr>
              <w:t>, 202</w:t>
            </w:r>
            <w:r w:rsidR="001F26DD">
              <w:rPr>
                <w:b/>
                <w:sz w:val="22"/>
                <w:szCs w:val="22"/>
              </w:rPr>
              <w:t>2</w:t>
            </w:r>
            <w:r>
              <w:rPr>
                <w:b/>
                <w:sz w:val="22"/>
                <w:szCs w:val="22"/>
              </w:rPr>
              <w:t>, 202</w:t>
            </w:r>
            <w:r w:rsidR="001F26DD">
              <w:rPr>
                <w:b/>
                <w:sz w:val="22"/>
                <w:szCs w:val="22"/>
              </w:rPr>
              <w:t>3</w:t>
            </w:r>
            <w:r>
              <w:rPr>
                <w:b/>
                <w:sz w:val="22"/>
                <w:szCs w:val="22"/>
              </w:rPr>
              <w:t>)</w:t>
            </w:r>
          </w:p>
        </w:tc>
        <w:tc>
          <w:tcPr>
            <w:tcW w:w="1493" w:type="dxa"/>
            <w:tcBorders>
              <w:top w:val="none" w:sz="4" w:space="0" w:color="000000"/>
              <w:bottom w:val="single" w:sz="6" w:space="0" w:color="000000"/>
            </w:tcBorders>
            <w:vAlign w:val="center"/>
          </w:tcPr>
          <w:p w14:paraId="7B21C2B9" w14:textId="77777777" w:rsidR="00157AAA" w:rsidRDefault="006C1BE5">
            <w:pPr>
              <w:spacing w:before="60" w:after="60"/>
              <w:jc w:val="left"/>
              <w:rPr>
                <w:sz w:val="20"/>
              </w:rPr>
            </w:pPr>
            <w:r>
              <w:rPr>
                <w:sz w:val="20"/>
              </w:rPr>
              <w:t>Must meet requirement</w:t>
            </w:r>
          </w:p>
        </w:tc>
        <w:tc>
          <w:tcPr>
            <w:tcW w:w="1439" w:type="dxa"/>
            <w:tcBorders>
              <w:top w:val="none" w:sz="4" w:space="0" w:color="000000"/>
              <w:bottom w:val="single" w:sz="6" w:space="0" w:color="000000"/>
            </w:tcBorders>
            <w:vAlign w:val="center"/>
          </w:tcPr>
          <w:p w14:paraId="59383881" w14:textId="77777777" w:rsidR="00157AAA" w:rsidRDefault="006C1BE5">
            <w:pPr>
              <w:spacing w:before="60" w:after="60"/>
              <w:jc w:val="left"/>
              <w:rPr>
                <w:sz w:val="20"/>
              </w:rPr>
            </w:pPr>
            <w:r>
              <w:rPr>
                <w:sz w:val="20"/>
              </w:rPr>
              <w:t>Must meet requirement</w:t>
            </w:r>
          </w:p>
        </w:tc>
        <w:tc>
          <w:tcPr>
            <w:tcW w:w="1475" w:type="dxa"/>
            <w:tcBorders>
              <w:top w:val="none" w:sz="4" w:space="0" w:color="000000"/>
              <w:bottom w:val="single" w:sz="6" w:space="0" w:color="000000"/>
            </w:tcBorders>
          </w:tcPr>
          <w:p w14:paraId="5CDC8C19" w14:textId="77777777" w:rsidR="00157AAA" w:rsidRDefault="006C1BE5">
            <w:pPr>
              <w:spacing w:after="0"/>
              <w:jc w:val="left"/>
              <w:rPr>
                <w:sz w:val="20"/>
              </w:rPr>
            </w:pPr>
            <w:r>
              <w:rPr>
                <w:sz w:val="20"/>
              </w:rPr>
              <w:t xml:space="preserve">Must </w:t>
            </w:r>
            <w:proofErr w:type="gramStart"/>
            <w:r>
              <w:rPr>
                <w:sz w:val="20"/>
              </w:rPr>
              <w:t>meet</w:t>
            </w:r>
            <w:proofErr w:type="gramEnd"/>
            <w:r>
              <w:rPr>
                <w:sz w:val="20"/>
              </w:rPr>
              <w:t xml:space="preserve"> </w:t>
            </w:r>
          </w:p>
          <w:p w14:paraId="13F76FC1" w14:textId="77777777" w:rsidR="00157AAA" w:rsidRDefault="006C1BE5">
            <w:pPr>
              <w:spacing w:after="0"/>
              <w:jc w:val="left"/>
              <w:rPr>
                <w:sz w:val="20"/>
              </w:rPr>
            </w:pPr>
            <w:r>
              <w:rPr>
                <w:b/>
                <w:sz w:val="20"/>
              </w:rPr>
              <w:t>twenty five percent (25%)</w:t>
            </w:r>
            <w:r>
              <w:rPr>
                <w:sz w:val="20"/>
              </w:rPr>
              <w:t xml:space="preserve"> of the requirement</w:t>
            </w:r>
          </w:p>
          <w:p w14:paraId="1686FC55" w14:textId="77777777" w:rsidR="00157AAA" w:rsidRDefault="00157AAA">
            <w:pPr>
              <w:spacing w:after="0"/>
              <w:jc w:val="left"/>
              <w:rPr>
                <w:sz w:val="20"/>
              </w:rPr>
            </w:pPr>
          </w:p>
        </w:tc>
        <w:tc>
          <w:tcPr>
            <w:tcW w:w="1403" w:type="dxa"/>
            <w:tcBorders>
              <w:top w:val="none" w:sz="4" w:space="0" w:color="000000"/>
              <w:bottom w:val="single" w:sz="6" w:space="0" w:color="000000"/>
            </w:tcBorders>
          </w:tcPr>
          <w:p w14:paraId="538B0BB7" w14:textId="77777777" w:rsidR="00157AAA" w:rsidRDefault="006C1BE5">
            <w:pPr>
              <w:spacing w:after="0"/>
              <w:rPr>
                <w:sz w:val="20"/>
              </w:rPr>
            </w:pPr>
            <w:r>
              <w:rPr>
                <w:b/>
                <w:sz w:val="20"/>
              </w:rPr>
              <w:t>Lead member</w:t>
            </w:r>
            <w:r>
              <w:rPr>
                <w:sz w:val="20"/>
              </w:rPr>
              <w:t xml:space="preserve"> must </w:t>
            </w:r>
            <w:proofErr w:type="gramStart"/>
            <w:r>
              <w:rPr>
                <w:sz w:val="20"/>
              </w:rPr>
              <w:t>meet</w:t>
            </w:r>
            <w:proofErr w:type="gramEnd"/>
          </w:p>
          <w:p w14:paraId="184D4639" w14:textId="77777777" w:rsidR="00157AAA" w:rsidRDefault="006C1BE5">
            <w:pPr>
              <w:spacing w:after="0"/>
              <w:rPr>
                <w:sz w:val="20"/>
              </w:rPr>
            </w:pPr>
            <w:r>
              <w:rPr>
                <w:b/>
                <w:sz w:val="20"/>
              </w:rPr>
              <w:t>fifty percent (50%)</w:t>
            </w:r>
            <w:r>
              <w:rPr>
                <w:sz w:val="20"/>
              </w:rPr>
              <w:t xml:space="preserve"> of the requirement</w:t>
            </w:r>
          </w:p>
        </w:tc>
        <w:tc>
          <w:tcPr>
            <w:tcW w:w="1889" w:type="dxa"/>
            <w:tcBorders>
              <w:bottom w:val="single" w:sz="6" w:space="0" w:color="000000"/>
            </w:tcBorders>
            <w:vAlign w:val="center"/>
          </w:tcPr>
          <w:p w14:paraId="678BAAE8" w14:textId="77777777" w:rsidR="00157AAA" w:rsidRDefault="006C1BE5">
            <w:pPr>
              <w:spacing w:before="60" w:after="60"/>
              <w:jc w:val="center"/>
              <w:rPr>
                <w:sz w:val="20"/>
              </w:rPr>
            </w:pPr>
            <w:r>
              <w:rPr>
                <w:sz w:val="20"/>
              </w:rPr>
              <w:t>Form FIN –5.3.2</w:t>
            </w:r>
          </w:p>
        </w:tc>
      </w:tr>
      <w:tr w:rsidR="00157AAA" w14:paraId="6BD3541A" w14:textId="77777777">
        <w:trPr>
          <w:trHeight w:val="3281"/>
        </w:trPr>
        <w:tc>
          <w:tcPr>
            <w:tcW w:w="2250" w:type="dxa"/>
          </w:tcPr>
          <w:p w14:paraId="500168A2" w14:textId="77777777" w:rsidR="00157AAA" w:rsidRDefault="006C1BE5">
            <w:pPr>
              <w:pStyle w:val="Heading2"/>
              <w:tabs>
                <w:tab w:val="left" w:pos="576"/>
              </w:tabs>
              <w:spacing w:before="60" w:after="60"/>
              <w:ind w:left="503" w:hanging="503"/>
              <w:jc w:val="left"/>
              <w:rPr>
                <w:rFonts w:ascii="Times New Roman" w:hAnsi="Times New Roman"/>
                <w:sz w:val="20"/>
              </w:rPr>
            </w:pPr>
            <w:bookmarkStart w:id="522" w:name="_Toc445567371"/>
            <w:r>
              <w:rPr>
                <w:rFonts w:ascii="Times New Roman" w:hAnsi="Times New Roman"/>
                <w:sz w:val="20"/>
              </w:rPr>
              <w:lastRenderedPageBreak/>
              <w:t>5.3.3 Financial Resources</w:t>
            </w:r>
            <w:bookmarkEnd w:id="522"/>
          </w:p>
        </w:tc>
        <w:tc>
          <w:tcPr>
            <w:tcW w:w="2741" w:type="dxa"/>
          </w:tcPr>
          <w:p w14:paraId="6117FD12" w14:textId="77777777" w:rsidR="00157AAA" w:rsidRDefault="006C1BE5">
            <w:pPr>
              <w:spacing w:before="60" w:after="60"/>
              <w:rPr>
                <w:iCs/>
                <w:sz w:val="22"/>
                <w:szCs w:val="22"/>
              </w:rPr>
            </w:pPr>
            <w:r>
              <w:rPr>
                <w:iCs/>
                <w:sz w:val="22"/>
                <w:szCs w:val="22"/>
              </w:rPr>
              <w:t>The Bidder must demonstrate access to, or availability of, financial resources such as liquid assets, unencumbered real assets, lines of credit, and other financial means, other than any contractual advance payments to meet the following cash-flow requirement:</w:t>
            </w:r>
          </w:p>
          <w:p w14:paraId="70547CCB" w14:textId="112C148A" w:rsidR="00157AAA" w:rsidRDefault="00194EE0">
            <w:pPr>
              <w:pStyle w:val="Footer"/>
              <w:spacing w:before="60" w:after="60"/>
              <w:rPr>
                <w:b/>
                <w:sz w:val="22"/>
                <w:szCs w:val="22"/>
              </w:rPr>
            </w:pPr>
            <w:r w:rsidRPr="00C43945">
              <w:rPr>
                <w:b/>
                <w:sz w:val="22"/>
                <w:szCs w:val="22"/>
              </w:rPr>
              <w:t xml:space="preserve">450,000.00 EUR (Four hundred and fifty thousand </w:t>
            </w:r>
            <w:proofErr w:type="gramStart"/>
            <w:r w:rsidRPr="00C43945">
              <w:rPr>
                <w:b/>
                <w:sz w:val="22"/>
                <w:szCs w:val="22"/>
              </w:rPr>
              <w:t>EUR  )</w:t>
            </w:r>
            <w:proofErr w:type="gramEnd"/>
          </w:p>
        </w:tc>
        <w:tc>
          <w:tcPr>
            <w:tcW w:w="1493" w:type="dxa"/>
            <w:tcBorders>
              <w:bottom w:val="single" w:sz="4" w:space="0" w:color="auto"/>
            </w:tcBorders>
            <w:vAlign w:val="center"/>
          </w:tcPr>
          <w:p w14:paraId="74446F1B" w14:textId="77777777" w:rsidR="00157AAA" w:rsidRDefault="006C1BE5">
            <w:pPr>
              <w:spacing w:before="60" w:after="60"/>
              <w:jc w:val="center"/>
              <w:rPr>
                <w:sz w:val="20"/>
              </w:rPr>
            </w:pPr>
            <w:r>
              <w:rPr>
                <w:sz w:val="20"/>
              </w:rPr>
              <w:t>Must meet requirement</w:t>
            </w:r>
          </w:p>
        </w:tc>
        <w:tc>
          <w:tcPr>
            <w:tcW w:w="1439" w:type="dxa"/>
            <w:tcBorders>
              <w:bottom w:val="single" w:sz="4" w:space="0" w:color="auto"/>
            </w:tcBorders>
            <w:vAlign w:val="center"/>
          </w:tcPr>
          <w:p w14:paraId="0067464A" w14:textId="77777777" w:rsidR="00157AAA" w:rsidRDefault="006C1BE5">
            <w:pPr>
              <w:spacing w:before="60" w:after="60"/>
              <w:jc w:val="center"/>
              <w:rPr>
                <w:sz w:val="20"/>
              </w:rPr>
            </w:pPr>
            <w:r>
              <w:rPr>
                <w:sz w:val="20"/>
              </w:rPr>
              <w:t>Must meet requirement</w:t>
            </w:r>
          </w:p>
        </w:tc>
        <w:tc>
          <w:tcPr>
            <w:tcW w:w="1475" w:type="dxa"/>
            <w:tcBorders>
              <w:bottom w:val="single" w:sz="4" w:space="0" w:color="auto"/>
            </w:tcBorders>
            <w:vAlign w:val="center"/>
          </w:tcPr>
          <w:p w14:paraId="15003284" w14:textId="77777777" w:rsidR="00157AAA" w:rsidRDefault="00157AAA">
            <w:pPr>
              <w:pStyle w:val="Style11"/>
              <w:tabs>
                <w:tab w:val="left" w:leader="dot" w:pos="8424"/>
              </w:tabs>
              <w:spacing w:line="240" w:lineRule="auto"/>
              <w:rPr>
                <w:sz w:val="22"/>
                <w:szCs w:val="22"/>
              </w:rPr>
            </w:pPr>
          </w:p>
          <w:p w14:paraId="439EBD2F" w14:textId="77777777" w:rsidR="00157AAA" w:rsidRDefault="006C1BE5">
            <w:pPr>
              <w:pStyle w:val="Style11"/>
              <w:tabs>
                <w:tab w:val="left" w:leader="dot" w:pos="8424"/>
              </w:tabs>
              <w:spacing w:line="240" w:lineRule="auto"/>
              <w:rPr>
                <w:sz w:val="22"/>
                <w:szCs w:val="22"/>
              </w:rPr>
            </w:pPr>
            <w:r>
              <w:rPr>
                <w:sz w:val="22"/>
                <w:szCs w:val="22"/>
              </w:rPr>
              <w:t>N/A</w:t>
            </w:r>
          </w:p>
          <w:p w14:paraId="3BCC8401" w14:textId="77777777" w:rsidR="00157AAA" w:rsidRDefault="00157AAA">
            <w:pPr>
              <w:spacing w:before="60" w:after="60"/>
              <w:jc w:val="center"/>
              <w:rPr>
                <w:sz w:val="20"/>
              </w:rPr>
            </w:pPr>
          </w:p>
          <w:p w14:paraId="2FF0F4CE" w14:textId="77777777" w:rsidR="00157AAA" w:rsidRDefault="00157AAA">
            <w:pPr>
              <w:spacing w:before="60" w:after="60"/>
              <w:jc w:val="center"/>
              <w:rPr>
                <w:sz w:val="20"/>
              </w:rPr>
            </w:pPr>
          </w:p>
        </w:tc>
        <w:tc>
          <w:tcPr>
            <w:tcW w:w="1403" w:type="dxa"/>
            <w:tcBorders>
              <w:bottom w:val="single" w:sz="4" w:space="0" w:color="auto"/>
            </w:tcBorders>
            <w:vAlign w:val="center"/>
          </w:tcPr>
          <w:p w14:paraId="49EC3F87" w14:textId="77777777" w:rsidR="00157AAA" w:rsidRDefault="006C1BE5">
            <w:pPr>
              <w:pStyle w:val="Style11"/>
              <w:tabs>
                <w:tab w:val="left" w:leader="dot" w:pos="8424"/>
              </w:tabs>
              <w:spacing w:line="240" w:lineRule="auto"/>
              <w:rPr>
                <w:sz w:val="22"/>
                <w:szCs w:val="22"/>
              </w:rPr>
            </w:pPr>
            <w:r>
              <w:rPr>
                <w:sz w:val="22"/>
                <w:szCs w:val="22"/>
              </w:rPr>
              <w:t>N/A</w:t>
            </w:r>
          </w:p>
          <w:p w14:paraId="074DFCD5" w14:textId="77777777" w:rsidR="00157AAA" w:rsidRDefault="00157AAA">
            <w:pPr>
              <w:spacing w:before="60" w:after="60"/>
              <w:jc w:val="center"/>
              <w:rPr>
                <w:sz w:val="20"/>
              </w:rPr>
            </w:pPr>
          </w:p>
        </w:tc>
        <w:tc>
          <w:tcPr>
            <w:tcW w:w="1889" w:type="dxa"/>
            <w:tcBorders>
              <w:bottom w:val="single" w:sz="4" w:space="0" w:color="auto"/>
            </w:tcBorders>
            <w:vAlign w:val="center"/>
          </w:tcPr>
          <w:p w14:paraId="55E9223D" w14:textId="77777777" w:rsidR="00157AAA" w:rsidRDefault="006C1BE5">
            <w:pPr>
              <w:spacing w:before="60" w:after="60"/>
              <w:jc w:val="center"/>
              <w:rPr>
                <w:sz w:val="20"/>
              </w:rPr>
            </w:pPr>
            <w:r>
              <w:rPr>
                <w:sz w:val="20"/>
              </w:rPr>
              <w:t>Form FIN –5.3.3</w:t>
            </w:r>
          </w:p>
        </w:tc>
      </w:tr>
    </w:tbl>
    <w:p w14:paraId="254E5066" w14:textId="77777777" w:rsidR="00157AAA" w:rsidRDefault="006C1BE5">
      <w:bookmarkStart w:id="523" w:name="_Toc496006433"/>
      <w:bookmarkStart w:id="524" w:name="_Toc496006834"/>
      <w:bookmarkStart w:id="525" w:name="_Toc496113485"/>
      <w:bookmarkStart w:id="526" w:name="_Toc496359156"/>
      <w:bookmarkStart w:id="527" w:name="_Toc496968137"/>
      <w:r>
        <w:br w:type="page" w:clear="all"/>
      </w:r>
      <w:bookmarkEnd w:id="523"/>
      <w:bookmarkEnd w:id="524"/>
      <w:bookmarkEnd w:id="525"/>
      <w:bookmarkEnd w:id="526"/>
      <w:bookmarkEnd w:id="527"/>
    </w:p>
    <w:tbl>
      <w:tblPr>
        <w:tblW w:w="12834" w:type="dxa"/>
        <w:tblBorders>
          <w:top w:val="single" w:sz="4" w:space="0" w:color="auto"/>
          <w:left w:val="single" w:sz="4" w:space="0" w:color="auto"/>
          <w:bottom w:val="single" w:sz="6" w:space="0" w:color="000000"/>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5"/>
        <w:gridCol w:w="2993"/>
        <w:gridCol w:w="1440"/>
        <w:gridCol w:w="1620"/>
        <w:gridCol w:w="1440"/>
        <w:gridCol w:w="1530"/>
        <w:gridCol w:w="1836"/>
      </w:tblGrid>
      <w:tr w:rsidR="00157AAA" w14:paraId="34283B4B" w14:textId="77777777">
        <w:trPr>
          <w:cantSplit/>
          <w:tblHeader/>
        </w:trPr>
        <w:tc>
          <w:tcPr>
            <w:tcW w:w="1975" w:type="dxa"/>
          </w:tcPr>
          <w:p w14:paraId="486F22B6" w14:textId="77777777" w:rsidR="00157AAA" w:rsidRDefault="006C1BE5">
            <w:pPr>
              <w:spacing w:before="120"/>
              <w:jc w:val="center"/>
              <w:rPr>
                <w:b/>
                <w:sz w:val="22"/>
                <w:szCs w:val="22"/>
              </w:rPr>
            </w:pPr>
            <w:r>
              <w:rPr>
                <w:b/>
                <w:sz w:val="22"/>
                <w:szCs w:val="22"/>
              </w:rPr>
              <w:lastRenderedPageBreak/>
              <w:t>Factor</w:t>
            </w:r>
          </w:p>
        </w:tc>
        <w:tc>
          <w:tcPr>
            <w:tcW w:w="10859" w:type="dxa"/>
            <w:gridSpan w:val="6"/>
          </w:tcPr>
          <w:p w14:paraId="6A9368CC" w14:textId="77777777" w:rsidR="00157AAA" w:rsidRDefault="006C1BE5">
            <w:pPr>
              <w:pStyle w:val="Heading1"/>
              <w:rPr>
                <w:rFonts w:ascii="Times New Roman" w:hAnsi="Times New Roman"/>
              </w:rPr>
            </w:pPr>
            <w:bookmarkStart w:id="528" w:name="_Toc498339863"/>
            <w:bookmarkStart w:id="529" w:name="_Toc498848210"/>
            <w:bookmarkStart w:id="530" w:name="_Toc499021788"/>
            <w:bookmarkStart w:id="531" w:name="_Toc499023471"/>
            <w:bookmarkStart w:id="532" w:name="_Toc501529953"/>
            <w:bookmarkStart w:id="533" w:name="_Toc503874231"/>
            <w:bookmarkStart w:id="534" w:name="_Toc23215167"/>
            <w:bookmarkStart w:id="535" w:name="_Toc445567372"/>
            <w:r>
              <w:rPr>
                <w:rFonts w:ascii="Times New Roman" w:hAnsi="Times New Roman"/>
              </w:rPr>
              <w:t>5.4 Experience</w:t>
            </w:r>
            <w:bookmarkEnd w:id="528"/>
            <w:bookmarkEnd w:id="529"/>
            <w:bookmarkEnd w:id="530"/>
            <w:bookmarkEnd w:id="531"/>
            <w:bookmarkEnd w:id="532"/>
            <w:bookmarkEnd w:id="533"/>
            <w:bookmarkEnd w:id="534"/>
            <w:bookmarkEnd w:id="535"/>
          </w:p>
        </w:tc>
      </w:tr>
      <w:tr w:rsidR="00157AAA" w14:paraId="2B7FEF3F" w14:textId="77777777">
        <w:trPr>
          <w:cantSplit/>
          <w:trHeight w:val="400"/>
          <w:tblHeader/>
        </w:trPr>
        <w:tc>
          <w:tcPr>
            <w:tcW w:w="1975" w:type="dxa"/>
            <w:vMerge w:val="restart"/>
            <w:vAlign w:val="center"/>
          </w:tcPr>
          <w:p w14:paraId="06777647" w14:textId="77777777" w:rsidR="00157AAA" w:rsidRDefault="006C1BE5">
            <w:pPr>
              <w:spacing w:before="120"/>
              <w:ind w:left="360" w:hanging="360"/>
              <w:jc w:val="center"/>
              <w:rPr>
                <w:b/>
                <w:sz w:val="22"/>
                <w:szCs w:val="22"/>
              </w:rPr>
            </w:pPr>
            <w:r>
              <w:rPr>
                <w:b/>
                <w:sz w:val="22"/>
                <w:szCs w:val="22"/>
              </w:rPr>
              <w:t>Sub-Factor</w:t>
            </w:r>
          </w:p>
        </w:tc>
        <w:tc>
          <w:tcPr>
            <w:tcW w:w="9023" w:type="dxa"/>
            <w:gridSpan w:val="5"/>
          </w:tcPr>
          <w:p w14:paraId="300146F4" w14:textId="77777777" w:rsidR="00157AAA" w:rsidRDefault="006C1BE5">
            <w:pPr>
              <w:pStyle w:val="titulo"/>
              <w:spacing w:before="80" w:after="80"/>
              <w:rPr>
                <w:rFonts w:ascii="Times New Roman" w:hAnsi="Times New Roman"/>
                <w:sz w:val="22"/>
                <w:szCs w:val="22"/>
              </w:rPr>
            </w:pPr>
            <w:r>
              <w:rPr>
                <w:rFonts w:ascii="Times New Roman" w:hAnsi="Times New Roman"/>
                <w:b w:val="0"/>
                <w:sz w:val="22"/>
                <w:szCs w:val="22"/>
              </w:rPr>
              <w:t>Criteria</w:t>
            </w:r>
          </w:p>
        </w:tc>
        <w:tc>
          <w:tcPr>
            <w:tcW w:w="1836" w:type="dxa"/>
            <w:vMerge w:val="restart"/>
            <w:vAlign w:val="center"/>
          </w:tcPr>
          <w:p w14:paraId="3C0BCB38" w14:textId="77777777" w:rsidR="00157AAA" w:rsidRDefault="006C1BE5">
            <w:pPr>
              <w:pStyle w:val="titulo"/>
              <w:spacing w:before="120" w:after="0"/>
              <w:rPr>
                <w:rFonts w:ascii="Times New Roman" w:hAnsi="Times New Roman"/>
                <w:sz w:val="22"/>
                <w:szCs w:val="22"/>
              </w:rPr>
            </w:pPr>
            <w:r>
              <w:rPr>
                <w:rFonts w:ascii="Times New Roman" w:hAnsi="Times New Roman"/>
                <w:sz w:val="22"/>
                <w:szCs w:val="22"/>
              </w:rPr>
              <w:t>Documentation Required</w:t>
            </w:r>
          </w:p>
        </w:tc>
      </w:tr>
      <w:tr w:rsidR="00157AAA" w14:paraId="0B6D40EC" w14:textId="77777777">
        <w:trPr>
          <w:cantSplit/>
          <w:trHeight w:val="400"/>
          <w:tblHeader/>
        </w:trPr>
        <w:tc>
          <w:tcPr>
            <w:tcW w:w="1975" w:type="dxa"/>
            <w:vMerge/>
          </w:tcPr>
          <w:p w14:paraId="660A1DCC" w14:textId="77777777" w:rsidR="00157AAA" w:rsidRDefault="00157AAA">
            <w:pPr>
              <w:ind w:left="360" w:hanging="360"/>
              <w:jc w:val="center"/>
              <w:rPr>
                <w:b/>
                <w:sz w:val="22"/>
                <w:szCs w:val="22"/>
              </w:rPr>
            </w:pPr>
          </w:p>
        </w:tc>
        <w:tc>
          <w:tcPr>
            <w:tcW w:w="2993" w:type="dxa"/>
            <w:vMerge w:val="restart"/>
            <w:vAlign w:val="center"/>
          </w:tcPr>
          <w:p w14:paraId="2D261A1D" w14:textId="77777777" w:rsidR="00157AAA" w:rsidRDefault="006C1BE5">
            <w:pPr>
              <w:ind w:left="360" w:hanging="360"/>
              <w:jc w:val="center"/>
              <w:rPr>
                <w:b/>
                <w:sz w:val="22"/>
                <w:szCs w:val="22"/>
              </w:rPr>
            </w:pPr>
            <w:r>
              <w:rPr>
                <w:b/>
                <w:sz w:val="22"/>
                <w:szCs w:val="22"/>
              </w:rPr>
              <w:t>Requirement</w:t>
            </w:r>
          </w:p>
        </w:tc>
        <w:tc>
          <w:tcPr>
            <w:tcW w:w="6030" w:type="dxa"/>
            <w:gridSpan w:val="4"/>
          </w:tcPr>
          <w:p w14:paraId="29C49FCE" w14:textId="77777777" w:rsidR="00157AAA" w:rsidRDefault="006C1BE5">
            <w:pPr>
              <w:pStyle w:val="titulo"/>
              <w:spacing w:before="80" w:after="80"/>
              <w:rPr>
                <w:rFonts w:ascii="Times New Roman" w:hAnsi="Times New Roman"/>
                <w:sz w:val="22"/>
                <w:szCs w:val="22"/>
              </w:rPr>
            </w:pPr>
            <w:r>
              <w:rPr>
                <w:rFonts w:ascii="Times New Roman" w:hAnsi="Times New Roman"/>
                <w:sz w:val="22"/>
                <w:szCs w:val="22"/>
              </w:rPr>
              <w:t>Bidder</w:t>
            </w:r>
          </w:p>
        </w:tc>
        <w:tc>
          <w:tcPr>
            <w:tcW w:w="1836" w:type="dxa"/>
            <w:vMerge/>
          </w:tcPr>
          <w:p w14:paraId="7733706F" w14:textId="77777777" w:rsidR="00157AAA" w:rsidRDefault="00157AAA">
            <w:pPr>
              <w:spacing w:before="40"/>
              <w:jc w:val="center"/>
              <w:rPr>
                <w:b/>
                <w:sz w:val="22"/>
                <w:szCs w:val="22"/>
              </w:rPr>
            </w:pPr>
          </w:p>
        </w:tc>
      </w:tr>
      <w:tr w:rsidR="00157AAA" w14:paraId="09836D6E" w14:textId="77777777" w:rsidTr="008E2AAD">
        <w:trPr>
          <w:cantSplit/>
          <w:trHeight w:val="253"/>
          <w:tblHeader/>
        </w:trPr>
        <w:tc>
          <w:tcPr>
            <w:tcW w:w="1975" w:type="dxa"/>
            <w:vMerge/>
          </w:tcPr>
          <w:p w14:paraId="7960551A" w14:textId="77777777" w:rsidR="00157AAA" w:rsidRDefault="00157AAA">
            <w:pPr>
              <w:ind w:left="360" w:hanging="360"/>
              <w:jc w:val="center"/>
              <w:rPr>
                <w:b/>
                <w:sz w:val="22"/>
                <w:szCs w:val="22"/>
              </w:rPr>
            </w:pPr>
          </w:p>
        </w:tc>
        <w:tc>
          <w:tcPr>
            <w:tcW w:w="2993" w:type="dxa"/>
            <w:vMerge/>
          </w:tcPr>
          <w:p w14:paraId="7FADCF8F" w14:textId="77777777" w:rsidR="00157AAA" w:rsidRDefault="00157AAA">
            <w:pPr>
              <w:ind w:left="360" w:hanging="360"/>
              <w:jc w:val="center"/>
              <w:rPr>
                <w:b/>
                <w:sz w:val="22"/>
                <w:szCs w:val="22"/>
              </w:rPr>
            </w:pPr>
          </w:p>
        </w:tc>
        <w:tc>
          <w:tcPr>
            <w:tcW w:w="1440" w:type="dxa"/>
            <w:vMerge w:val="restart"/>
            <w:vAlign w:val="center"/>
          </w:tcPr>
          <w:p w14:paraId="4A00B0BC" w14:textId="77777777" w:rsidR="00157AAA" w:rsidRDefault="006C1BE5">
            <w:pPr>
              <w:pStyle w:val="titulo"/>
              <w:spacing w:before="40" w:after="0"/>
              <w:rPr>
                <w:rFonts w:ascii="Times New Roman" w:hAnsi="Times New Roman"/>
                <w:sz w:val="22"/>
                <w:szCs w:val="22"/>
              </w:rPr>
            </w:pPr>
            <w:r>
              <w:rPr>
                <w:rFonts w:ascii="Times New Roman" w:hAnsi="Times New Roman"/>
                <w:sz w:val="22"/>
                <w:szCs w:val="22"/>
              </w:rPr>
              <w:t>Single Entity</w:t>
            </w:r>
          </w:p>
        </w:tc>
        <w:tc>
          <w:tcPr>
            <w:tcW w:w="4590" w:type="dxa"/>
            <w:gridSpan w:val="3"/>
          </w:tcPr>
          <w:p w14:paraId="17890C05" w14:textId="77777777" w:rsidR="00157AAA" w:rsidRDefault="006C1BE5">
            <w:pPr>
              <w:spacing w:before="40"/>
              <w:jc w:val="center"/>
              <w:rPr>
                <w:b/>
                <w:sz w:val="22"/>
                <w:szCs w:val="22"/>
              </w:rPr>
            </w:pPr>
            <w:r>
              <w:rPr>
                <w:b/>
                <w:sz w:val="22"/>
                <w:szCs w:val="22"/>
              </w:rPr>
              <w:t>Joint Venture (existing or intended)</w:t>
            </w:r>
          </w:p>
        </w:tc>
        <w:tc>
          <w:tcPr>
            <w:tcW w:w="1836" w:type="dxa"/>
            <w:vMerge/>
          </w:tcPr>
          <w:p w14:paraId="7F9EC89F" w14:textId="77777777" w:rsidR="00157AAA" w:rsidRDefault="00157AAA">
            <w:pPr>
              <w:spacing w:before="40"/>
              <w:jc w:val="center"/>
              <w:rPr>
                <w:b/>
                <w:sz w:val="22"/>
                <w:szCs w:val="22"/>
              </w:rPr>
            </w:pPr>
          </w:p>
        </w:tc>
      </w:tr>
      <w:tr w:rsidR="00157AAA" w14:paraId="25BBB535" w14:textId="77777777">
        <w:trPr>
          <w:cantSplit/>
          <w:tblHeader/>
        </w:trPr>
        <w:tc>
          <w:tcPr>
            <w:tcW w:w="1975" w:type="dxa"/>
            <w:vMerge/>
          </w:tcPr>
          <w:p w14:paraId="1209DD92" w14:textId="77777777" w:rsidR="00157AAA" w:rsidRDefault="00157AAA">
            <w:pPr>
              <w:ind w:left="360" w:hanging="360"/>
              <w:rPr>
                <w:b/>
                <w:sz w:val="22"/>
                <w:szCs w:val="22"/>
              </w:rPr>
            </w:pPr>
          </w:p>
        </w:tc>
        <w:tc>
          <w:tcPr>
            <w:tcW w:w="2993" w:type="dxa"/>
            <w:vMerge/>
          </w:tcPr>
          <w:p w14:paraId="1F85DDE4" w14:textId="77777777" w:rsidR="00157AAA" w:rsidRDefault="00157AAA">
            <w:pPr>
              <w:ind w:left="360" w:hanging="360"/>
              <w:rPr>
                <w:b/>
                <w:sz w:val="22"/>
                <w:szCs w:val="22"/>
              </w:rPr>
            </w:pPr>
          </w:p>
        </w:tc>
        <w:tc>
          <w:tcPr>
            <w:tcW w:w="1440" w:type="dxa"/>
            <w:vMerge/>
          </w:tcPr>
          <w:p w14:paraId="6D9E41FA" w14:textId="77777777" w:rsidR="00157AAA" w:rsidRDefault="00157AAA">
            <w:pPr>
              <w:spacing w:before="40"/>
              <w:jc w:val="center"/>
              <w:rPr>
                <w:b/>
                <w:sz w:val="22"/>
                <w:szCs w:val="22"/>
              </w:rPr>
            </w:pPr>
          </w:p>
        </w:tc>
        <w:tc>
          <w:tcPr>
            <w:tcW w:w="1620" w:type="dxa"/>
          </w:tcPr>
          <w:p w14:paraId="6B55FEF7" w14:textId="77777777" w:rsidR="00157AAA" w:rsidRDefault="006C1BE5">
            <w:pPr>
              <w:spacing w:before="40"/>
              <w:jc w:val="center"/>
              <w:rPr>
                <w:b/>
                <w:sz w:val="22"/>
                <w:szCs w:val="22"/>
              </w:rPr>
            </w:pPr>
            <w:r>
              <w:rPr>
                <w:b/>
                <w:sz w:val="22"/>
                <w:szCs w:val="22"/>
              </w:rPr>
              <w:t>All members combined</w:t>
            </w:r>
          </w:p>
        </w:tc>
        <w:tc>
          <w:tcPr>
            <w:tcW w:w="1440" w:type="dxa"/>
          </w:tcPr>
          <w:p w14:paraId="5D234057" w14:textId="77777777" w:rsidR="00157AAA" w:rsidRDefault="006C1BE5">
            <w:pPr>
              <w:spacing w:before="40"/>
              <w:jc w:val="center"/>
              <w:rPr>
                <w:b/>
                <w:sz w:val="22"/>
                <w:szCs w:val="22"/>
              </w:rPr>
            </w:pPr>
            <w:r>
              <w:rPr>
                <w:b/>
                <w:sz w:val="22"/>
                <w:szCs w:val="22"/>
              </w:rPr>
              <w:t>Each member</w:t>
            </w:r>
          </w:p>
        </w:tc>
        <w:tc>
          <w:tcPr>
            <w:tcW w:w="1530" w:type="dxa"/>
          </w:tcPr>
          <w:p w14:paraId="2C683820" w14:textId="77777777" w:rsidR="00157AAA" w:rsidRDefault="006C1BE5">
            <w:pPr>
              <w:spacing w:before="40"/>
              <w:jc w:val="center"/>
              <w:rPr>
                <w:b/>
                <w:sz w:val="22"/>
                <w:szCs w:val="22"/>
              </w:rPr>
            </w:pPr>
            <w:r>
              <w:rPr>
                <w:b/>
                <w:sz w:val="22"/>
                <w:szCs w:val="22"/>
              </w:rPr>
              <w:t>At least one member</w:t>
            </w:r>
          </w:p>
        </w:tc>
        <w:tc>
          <w:tcPr>
            <w:tcW w:w="1836" w:type="dxa"/>
            <w:vMerge/>
          </w:tcPr>
          <w:p w14:paraId="353DFA65" w14:textId="77777777" w:rsidR="00157AAA" w:rsidRDefault="00157AAA">
            <w:pPr>
              <w:spacing w:before="40"/>
              <w:jc w:val="center"/>
              <w:rPr>
                <w:b/>
                <w:sz w:val="22"/>
                <w:szCs w:val="22"/>
              </w:rPr>
            </w:pPr>
          </w:p>
        </w:tc>
      </w:tr>
      <w:tr w:rsidR="00157AAA" w14:paraId="32AA948B" w14:textId="77777777">
        <w:trPr>
          <w:trHeight w:val="600"/>
        </w:trPr>
        <w:tc>
          <w:tcPr>
            <w:tcW w:w="1975" w:type="dxa"/>
          </w:tcPr>
          <w:p w14:paraId="2D2374CB" w14:textId="77777777" w:rsidR="00157AAA" w:rsidRDefault="006C1BE5">
            <w:pPr>
              <w:pStyle w:val="Heading2"/>
              <w:tabs>
                <w:tab w:val="left" w:pos="576"/>
              </w:tabs>
              <w:spacing w:before="60" w:after="60"/>
              <w:ind w:left="425" w:hanging="425"/>
              <w:jc w:val="left"/>
              <w:rPr>
                <w:rFonts w:ascii="Times New Roman" w:hAnsi="Times New Roman"/>
                <w:sz w:val="20"/>
              </w:rPr>
            </w:pPr>
            <w:bookmarkStart w:id="536" w:name="_Toc445567373"/>
            <w:bookmarkStart w:id="537" w:name="_Toc496968138"/>
            <w:r>
              <w:rPr>
                <w:rFonts w:ascii="Times New Roman" w:hAnsi="Times New Roman"/>
                <w:sz w:val="20"/>
              </w:rPr>
              <w:t>5.4.1 General Experience</w:t>
            </w:r>
            <w:bookmarkEnd w:id="536"/>
            <w:r>
              <w:rPr>
                <w:rFonts w:ascii="Times New Roman" w:hAnsi="Times New Roman"/>
                <w:sz w:val="20"/>
              </w:rPr>
              <w:t xml:space="preserve"> </w:t>
            </w:r>
            <w:bookmarkEnd w:id="537"/>
          </w:p>
        </w:tc>
        <w:tc>
          <w:tcPr>
            <w:tcW w:w="2993" w:type="dxa"/>
          </w:tcPr>
          <w:p w14:paraId="44444E9C" w14:textId="241C32C1" w:rsidR="00157AAA" w:rsidRDefault="006C1BE5" w:rsidP="00DE1F8A">
            <w:pPr>
              <w:pStyle w:val="Outline"/>
              <w:spacing w:before="60" w:after="60"/>
              <w:rPr>
                <w:sz w:val="22"/>
                <w:szCs w:val="22"/>
              </w:rPr>
            </w:pPr>
            <w:r w:rsidRPr="000D3312">
              <w:rPr>
                <w:sz w:val="22"/>
                <w:szCs w:val="22"/>
              </w:rPr>
              <w:t xml:space="preserve">Experience </w:t>
            </w:r>
            <w:r w:rsidR="00813EB9" w:rsidRPr="00DE1F8A">
              <w:rPr>
                <w:sz w:val="22"/>
                <w:szCs w:val="22"/>
              </w:rPr>
              <w:t>implementing similar</w:t>
            </w:r>
            <w:r w:rsidR="00813EB9" w:rsidRPr="000D3312">
              <w:rPr>
                <w:sz w:val="22"/>
                <w:szCs w:val="22"/>
              </w:rPr>
              <w:t xml:space="preserve"> </w:t>
            </w:r>
            <w:r w:rsidR="003E36C8" w:rsidRPr="000D3312">
              <w:rPr>
                <w:b/>
                <w:sz w:val="22"/>
                <w:szCs w:val="22"/>
                <w:lang w:val="mk-MK"/>
              </w:rPr>
              <w:t>Single window</w:t>
            </w:r>
            <w:r w:rsidR="003E36C8" w:rsidRPr="000D3312">
              <w:rPr>
                <w:sz w:val="22"/>
                <w:szCs w:val="22"/>
                <w:lang w:val="mk-MK"/>
              </w:rPr>
              <w:t xml:space="preserve"> and</w:t>
            </w:r>
            <w:r w:rsidR="00DE1F8A">
              <w:rPr>
                <w:sz w:val="22"/>
                <w:szCs w:val="22"/>
              </w:rPr>
              <w:t xml:space="preserve"> </w:t>
            </w:r>
            <w:r w:rsidR="00974931" w:rsidRPr="000D3312">
              <w:rPr>
                <w:b/>
                <w:sz w:val="22"/>
                <w:szCs w:val="22"/>
                <w:lang w:val="mk-MK"/>
              </w:rPr>
              <w:t xml:space="preserve">Customs Automated </w:t>
            </w:r>
            <w:r w:rsidRPr="000D3312">
              <w:rPr>
                <w:sz w:val="22"/>
                <w:szCs w:val="22"/>
              </w:rPr>
              <w:t xml:space="preserve">Information </w:t>
            </w:r>
            <w:r>
              <w:rPr>
                <w:sz w:val="22"/>
                <w:szCs w:val="22"/>
              </w:rPr>
              <w:t xml:space="preserve">System contracts in the role of prime supplier, management contractor, JV member, or subcontractor for at least the last </w:t>
            </w:r>
            <w:r>
              <w:rPr>
                <w:b/>
                <w:sz w:val="22"/>
                <w:szCs w:val="22"/>
              </w:rPr>
              <w:t>five years (2019, 2020, 2021, 2022</w:t>
            </w:r>
            <w:r w:rsidR="001F26DD">
              <w:rPr>
                <w:b/>
                <w:sz w:val="22"/>
                <w:szCs w:val="22"/>
              </w:rPr>
              <w:t>, 2023</w:t>
            </w:r>
            <w:r>
              <w:rPr>
                <w:b/>
                <w:sz w:val="22"/>
                <w:szCs w:val="22"/>
              </w:rPr>
              <w:t>)</w:t>
            </w:r>
            <w:r>
              <w:rPr>
                <w:sz w:val="22"/>
                <w:szCs w:val="22"/>
              </w:rPr>
              <w:t xml:space="preserve"> prior to the applications submission deadline.</w:t>
            </w:r>
          </w:p>
        </w:tc>
        <w:tc>
          <w:tcPr>
            <w:tcW w:w="1440" w:type="dxa"/>
            <w:vAlign w:val="center"/>
          </w:tcPr>
          <w:p w14:paraId="0B889FBA" w14:textId="77777777" w:rsidR="00157AAA" w:rsidRDefault="006C1BE5">
            <w:pPr>
              <w:spacing w:before="60" w:after="60"/>
              <w:jc w:val="left"/>
              <w:rPr>
                <w:sz w:val="20"/>
              </w:rPr>
            </w:pPr>
            <w:r>
              <w:rPr>
                <w:sz w:val="20"/>
              </w:rPr>
              <w:t xml:space="preserve">Must meet </w:t>
            </w:r>
            <w:proofErr w:type="gramStart"/>
            <w:r>
              <w:rPr>
                <w:sz w:val="20"/>
              </w:rPr>
              <w:t>requirement</w:t>
            </w:r>
            <w:proofErr w:type="gramEnd"/>
          </w:p>
          <w:p w14:paraId="13644903" w14:textId="77777777" w:rsidR="00157AAA" w:rsidRDefault="00157AAA">
            <w:pPr>
              <w:spacing w:before="60" w:after="60"/>
              <w:jc w:val="center"/>
              <w:rPr>
                <w:sz w:val="20"/>
              </w:rPr>
            </w:pPr>
          </w:p>
        </w:tc>
        <w:tc>
          <w:tcPr>
            <w:tcW w:w="1620" w:type="dxa"/>
            <w:vAlign w:val="center"/>
          </w:tcPr>
          <w:p w14:paraId="0A4BA9D6" w14:textId="662AF3BE" w:rsidR="00974931" w:rsidRPr="00C43945" w:rsidRDefault="00194EE0" w:rsidP="00974931">
            <w:pPr>
              <w:spacing w:before="60" w:after="60"/>
              <w:jc w:val="left"/>
              <w:rPr>
                <w:sz w:val="20"/>
              </w:rPr>
            </w:pPr>
            <w:r w:rsidRPr="00C43945">
              <w:rPr>
                <w:sz w:val="20"/>
              </w:rPr>
              <w:t>N/A</w:t>
            </w:r>
          </w:p>
          <w:p w14:paraId="0951B28A" w14:textId="7678907B" w:rsidR="00157AAA" w:rsidRPr="00C43945" w:rsidRDefault="00157AAA">
            <w:pPr>
              <w:spacing w:before="60" w:after="60"/>
              <w:jc w:val="center"/>
              <w:rPr>
                <w:sz w:val="20"/>
              </w:rPr>
            </w:pPr>
          </w:p>
        </w:tc>
        <w:tc>
          <w:tcPr>
            <w:tcW w:w="1440" w:type="dxa"/>
            <w:vAlign w:val="center"/>
          </w:tcPr>
          <w:p w14:paraId="1E3AFF53" w14:textId="4CACB066" w:rsidR="00157AAA" w:rsidRPr="00C43945" w:rsidRDefault="00974931">
            <w:pPr>
              <w:spacing w:before="60" w:after="60"/>
              <w:jc w:val="left"/>
              <w:rPr>
                <w:sz w:val="20"/>
                <w:lang w:val="mk-MK"/>
              </w:rPr>
            </w:pPr>
            <w:r w:rsidRPr="00C43945">
              <w:rPr>
                <w:sz w:val="20"/>
              </w:rPr>
              <w:t>N/A</w:t>
            </w:r>
          </w:p>
          <w:p w14:paraId="5861C68D" w14:textId="77777777" w:rsidR="00157AAA" w:rsidRPr="00C43945" w:rsidRDefault="00157AAA">
            <w:pPr>
              <w:spacing w:before="60" w:after="60"/>
              <w:jc w:val="center"/>
              <w:rPr>
                <w:sz w:val="20"/>
              </w:rPr>
            </w:pPr>
          </w:p>
        </w:tc>
        <w:tc>
          <w:tcPr>
            <w:tcW w:w="1530" w:type="dxa"/>
            <w:vAlign w:val="center"/>
          </w:tcPr>
          <w:p w14:paraId="02F5D218" w14:textId="77777777" w:rsidR="00194EE0" w:rsidRPr="00C43945" w:rsidRDefault="00194EE0" w:rsidP="00974931">
            <w:pPr>
              <w:spacing w:before="60" w:after="60"/>
              <w:jc w:val="left"/>
              <w:rPr>
                <w:b/>
                <w:sz w:val="22"/>
                <w:szCs w:val="22"/>
              </w:rPr>
            </w:pPr>
            <w:r w:rsidRPr="00C43945">
              <w:rPr>
                <w:b/>
                <w:sz w:val="22"/>
                <w:szCs w:val="22"/>
              </w:rPr>
              <w:t>Lead member of the JV</w:t>
            </w:r>
          </w:p>
          <w:p w14:paraId="6B3DDB2A" w14:textId="27D72010" w:rsidR="00974931" w:rsidRPr="00C43945" w:rsidRDefault="00974931" w:rsidP="00974931">
            <w:pPr>
              <w:spacing w:before="60" w:after="60"/>
              <w:jc w:val="left"/>
              <w:rPr>
                <w:b/>
                <w:sz w:val="22"/>
                <w:szCs w:val="22"/>
              </w:rPr>
            </w:pPr>
            <w:r w:rsidRPr="00C43945">
              <w:rPr>
                <w:b/>
                <w:sz w:val="22"/>
                <w:szCs w:val="22"/>
              </w:rPr>
              <w:t xml:space="preserve">Must meet </w:t>
            </w:r>
            <w:proofErr w:type="gramStart"/>
            <w:r w:rsidRPr="00C43945">
              <w:rPr>
                <w:b/>
                <w:sz w:val="22"/>
                <w:szCs w:val="22"/>
              </w:rPr>
              <w:t>requirement</w:t>
            </w:r>
            <w:proofErr w:type="gramEnd"/>
          </w:p>
          <w:p w14:paraId="3A0B004A" w14:textId="7FA154C4" w:rsidR="00157AAA" w:rsidRPr="00C43945" w:rsidRDefault="00157AAA">
            <w:pPr>
              <w:spacing w:before="60" w:after="60"/>
              <w:jc w:val="center"/>
              <w:rPr>
                <w:sz w:val="20"/>
              </w:rPr>
            </w:pPr>
          </w:p>
        </w:tc>
        <w:tc>
          <w:tcPr>
            <w:tcW w:w="1836" w:type="dxa"/>
            <w:vAlign w:val="center"/>
          </w:tcPr>
          <w:p w14:paraId="5316F464" w14:textId="77777777" w:rsidR="00157AAA" w:rsidRDefault="006C1BE5">
            <w:pPr>
              <w:spacing w:before="60" w:after="60"/>
              <w:rPr>
                <w:sz w:val="20"/>
              </w:rPr>
            </w:pPr>
            <w:r>
              <w:rPr>
                <w:sz w:val="20"/>
              </w:rPr>
              <w:t>Form EXP-5.4.1</w:t>
            </w:r>
          </w:p>
        </w:tc>
      </w:tr>
      <w:tr w:rsidR="00157AAA" w14:paraId="37FE9719" w14:textId="77777777">
        <w:trPr>
          <w:trHeight w:val="826"/>
        </w:trPr>
        <w:tc>
          <w:tcPr>
            <w:tcW w:w="1975" w:type="dxa"/>
          </w:tcPr>
          <w:p w14:paraId="551167C5" w14:textId="77777777" w:rsidR="00157AAA" w:rsidRDefault="006C1BE5">
            <w:pPr>
              <w:pStyle w:val="Heading2"/>
              <w:pBdr>
                <w:bottom w:val="none" w:sz="0" w:space="0" w:color="auto"/>
              </w:pBdr>
              <w:tabs>
                <w:tab w:val="left" w:pos="576"/>
              </w:tabs>
              <w:spacing w:before="60" w:after="60"/>
              <w:ind w:left="425" w:hanging="425"/>
              <w:jc w:val="left"/>
              <w:rPr>
                <w:sz w:val="20"/>
              </w:rPr>
            </w:pPr>
            <w:r>
              <w:rPr>
                <w:rFonts w:ascii="Times New Roman" w:hAnsi="Times New Roman"/>
                <w:sz w:val="20"/>
              </w:rPr>
              <w:t xml:space="preserve">5.4.2 </w:t>
            </w:r>
            <w:r>
              <w:rPr>
                <w:rFonts w:ascii="Times New Roman" w:hAnsi="Times New Roman"/>
                <w:sz w:val="20"/>
              </w:rPr>
              <w:tab/>
              <w:t>Specific Experience</w:t>
            </w:r>
          </w:p>
        </w:tc>
        <w:tc>
          <w:tcPr>
            <w:tcW w:w="2993" w:type="dxa"/>
          </w:tcPr>
          <w:p w14:paraId="17C6D127" w14:textId="6FFB6462" w:rsidR="00157AAA" w:rsidRPr="000D3312" w:rsidRDefault="006C1BE5">
            <w:pPr>
              <w:pStyle w:val="Style11"/>
              <w:tabs>
                <w:tab w:val="left" w:leader="dot" w:pos="8424"/>
              </w:tabs>
              <w:spacing w:line="240" w:lineRule="auto"/>
              <w:jc w:val="both"/>
              <w:rPr>
                <w:sz w:val="22"/>
                <w:szCs w:val="22"/>
              </w:rPr>
            </w:pPr>
            <w:r w:rsidRPr="000D3312">
              <w:rPr>
                <w:sz w:val="22"/>
                <w:szCs w:val="22"/>
              </w:rPr>
              <w:t>Participation as a prime supplier, management contractor, JV</w:t>
            </w:r>
            <w:r w:rsidRPr="000D3312">
              <w:rPr>
                <w:rStyle w:val="FootnoteReference"/>
                <w:sz w:val="22"/>
                <w:szCs w:val="22"/>
              </w:rPr>
              <w:footnoteReference w:id="8"/>
            </w:r>
            <w:r w:rsidRPr="000D3312">
              <w:rPr>
                <w:sz w:val="22"/>
                <w:szCs w:val="22"/>
              </w:rPr>
              <w:t xml:space="preserve"> member, sub-contractor, in at least one (1) contract within the last </w:t>
            </w:r>
            <w:r w:rsidRPr="000D3312">
              <w:rPr>
                <w:b/>
                <w:sz w:val="22"/>
                <w:szCs w:val="22"/>
              </w:rPr>
              <w:t>five (5) years</w:t>
            </w:r>
            <w:r w:rsidR="001F26DD">
              <w:rPr>
                <w:b/>
                <w:sz w:val="22"/>
                <w:szCs w:val="22"/>
              </w:rPr>
              <w:t xml:space="preserve"> (2019, 2020, 2021, 2022, 2023)</w:t>
            </w:r>
            <w:r w:rsidRPr="000D3312">
              <w:rPr>
                <w:sz w:val="22"/>
                <w:szCs w:val="22"/>
              </w:rPr>
              <w:t xml:space="preserve">, each with a value of at </w:t>
            </w:r>
            <w:r w:rsidRPr="000D3312">
              <w:rPr>
                <w:sz w:val="22"/>
                <w:szCs w:val="22"/>
              </w:rPr>
              <w:lastRenderedPageBreak/>
              <w:t xml:space="preserve">least </w:t>
            </w:r>
            <w:r w:rsidR="00610516" w:rsidRPr="00DE1F8A">
              <w:rPr>
                <w:b/>
                <w:bCs/>
              </w:rPr>
              <w:t>2.700.000,00 EUR (two million seven hundred thousand EUR)</w:t>
            </w:r>
            <w:r w:rsidR="00DE1F8A">
              <w:t xml:space="preserve">, </w:t>
            </w:r>
            <w:r w:rsidRPr="000D3312">
              <w:rPr>
                <w:sz w:val="22"/>
                <w:szCs w:val="22"/>
              </w:rPr>
              <w:t xml:space="preserve">that have been successfully and substantially completed and that </w:t>
            </w:r>
            <w:r w:rsidR="000627BA" w:rsidRPr="000D3312">
              <w:rPr>
                <w:sz w:val="22"/>
                <w:szCs w:val="22"/>
              </w:rPr>
              <w:t>is</w:t>
            </w:r>
            <w:r w:rsidRPr="000D3312">
              <w:rPr>
                <w:sz w:val="22"/>
                <w:szCs w:val="22"/>
              </w:rPr>
              <w:t xml:space="preserve"> </w:t>
            </w:r>
            <w:r w:rsidRPr="000D3312">
              <w:rPr>
                <w:b/>
                <w:sz w:val="22"/>
                <w:szCs w:val="22"/>
              </w:rPr>
              <w:t xml:space="preserve">similar </w:t>
            </w:r>
            <w:r w:rsidRPr="000D3312">
              <w:rPr>
                <w:sz w:val="22"/>
                <w:szCs w:val="22"/>
              </w:rPr>
              <w:t xml:space="preserve">to the proposed </w:t>
            </w:r>
            <w:r w:rsidR="00DD7B18" w:rsidRPr="000D3312">
              <w:rPr>
                <w:b/>
                <w:sz w:val="22"/>
                <w:szCs w:val="22"/>
              </w:rPr>
              <w:t>NSW</w:t>
            </w:r>
            <w:r w:rsidR="00DD7B18" w:rsidRPr="000D3312">
              <w:rPr>
                <w:sz w:val="22"/>
                <w:szCs w:val="22"/>
              </w:rPr>
              <w:t xml:space="preserve"> </w:t>
            </w:r>
            <w:r w:rsidR="000627BA" w:rsidRPr="000D3312">
              <w:rPr>
                <w:sz w:val="22"/>
                <w:szCs w:val="22"/>
              </w:rPr>
              <w:t>Information System</w:t>
            </w:r>
            <w:r w:rsidR="000627BA" w:rsidRPr="000D3312">
              <w:rPr>
                <w:b/>
                <w:sz w:val="22"/>
                <w:szCs w:val="22"/>
              </w:rPr>
              <w:t>.</w:t>
            </w:r>
          </w:p>
          <w:p w14:paraId="14B17AB1" w14:textId="77777777" w:rsidR="00157AAA" w:rsidRPr="000D3312" w:rsidRDefault="00157AAA">
            <w:pPr>
              <w:pStyle w:val="Style11"/>
              <w:tabs>
                <w:tab w:val="left" w:leader="dot" w:pos="8424"/>
              </w:tabs>
              <w:spacing w:line="240" w:lineRule="auto"/>
              <w:rPr>
                <w:sz w:val="22"/>
                <w:szCs w:val="22"/>
              </w:rPr>
            </w:pPr>
          </w:p>
          <w:p w14:paraId="77BCA1E1" w14:textId="425F1544" w:rsidR="00157AAA" w:rsidRPr="000D3312" w:rsidRDefault="006C1BE5">
            <w:pPr>
              <w:pStyle w:val="Style11"/>
              <w:tabs>
                <w:tab w:val="left" w:leader="dot" w:pos="8424"/>
              </w:tabs>
              <w:spacing w:line="240" w:lineRule="auto"/>
              <w:jc w:val="both"/>
              <w:rPr>
                <w:sz w:val="22"/>
                <w:szCs w:val="22"/>
              </w:rPr>
            </w:pPr>
            <w:r w:rsidRPr="000D3312">
              <w:rPr>
                <w:sz w:val="22"/>
                <w:szCs w:val="22"/>
              </w:rPr>
              <w:t>Similar project will be considered as the project similar in size</w:t>
            </w:r>
            <w:r w:rsidR="008438BB">
              <w:rPr>
                <w:sz w:val="22"/>
                <w:szCs w:val="22"/>
              </w:rPr>
              <w:t xml:space="preserve"> </w:t>
            </w:r>
            <w:r w:rsidR="008438BB" w:rsidRPr="00DE1F8A">
              <w:rPr>
                <w:bCs/>
                <w:sz w:val="22"/>
                <w:szCs w:val="22"/>
              </w:rPr>
              <w:t>and</w:t>
            </w:r>
            <w:r w:rsidRPr="000D3312">
              <w:rPr>
                <w:sz w:val="22"/>
                <w:szCs w:val="22"/>
              </w:rPr>
              <w:t xml:space="preserve"> with the following scope: (a) design, development and implementation</w:t>
            </w:r>
            <w:r w:rsidR="006F3B17">
              <w:rPr>
                <w:sz w:val="22"/>
                <w:szCs w:val="22"/>
              </w:rPr>
              <w:t xml:space="preserve"> of </w:t>
            </w:r>
            <w:r w:rsidR="006F3B17" w:rsidRPr="00DE1F8A">
              <w:rPr>
                <w:sz w:val="22"/>
              </w:rPr>
              <w:t xml:space="preserve">Single Window and Customs Automated Information System, (b) design, </w:t>
            </w:r>
            <w:proofErr w:type="gramStart"/>
            <w:r w:rsidR="006F3B17" w:rsidRPr="00DE1F8A">
              <w:rPr>
                <w:sz w:val="22"/>
              </w:rPr>
              <w:t>development</w:t>
            </w:r>
            <w:proofErr w:type="gramEnd"/>
            <w:r w:rsidR="006F3B17" w:rsidRPr="00DE1F8A">
              <w:rPr>
                <w:sz w:val="22"/>
              </w:rPr>
              <w:t xml:space="preserve"> and implementation of Trader Portal and / or E-customs Management Systems</w:t>
            </w:r>
            <w:r w:rsidR="006F3B17">
              <w:t xml:space="preserve"> </w:t>
            </w:r>
            <w:r w:rsidR="000627BA" w:rsidRPr="000D3312">
              <w:rPr>
                <w:sz w:val="22"/>
                <w:szCs w:val="22"/>
              </w:rPr>
              <w:t xml:space="preserve">and </w:t>
            </w:r>
            <w:r w:rsidRPr="000D3312">
              <w:rPr>
                <w:sz w:val="22"/>
                <w:szCs w:val="22"/>
              </w:rPr>
              <w:t>(</w:t>
            </w:r>
            <w:r w:rsidR="006F3B17">
              <w:rPr>
                <w:sz w:val="22"/>
                <w:szCs w:val="22"/>
              </w:rPr>
              <w:t>c</w:t>
            </w:r>
            <w:r w:rsidRPr="000D3312">
              <w:rPr>
                <w:sz w:val="22"/>
                <w:szCs w:val="22"/>
              </w:rPr>
              <w:t xml:space="preserve">) required hardware to support the </w:t>
            </w:r>
            <w:r w:rsidR="00DD7B18" w:rsidRPr="000D3312">
              <w:rPr>
                <w:sz w:val="22"/>
                <w:szCs w:val="22"/>
              </w:rPr>
              <w:t xml:space="preserve">NSW </w:t>
            </w:r>
            <w:r w:rsidRPr="000D3312">
              <w:rPr>
                <w:sz w:val="22"/>
                <w:szCs w:val="22"/>
              </w:rPr>
              <w:t>software</w:t>
            </w:r>
            <w:r w:rsidR="000627BA" w:rsidRPr="000D3312">
              <w:rPr>
                <w:sz w:val="22"/>
                <w:szCs w:val="22"/>
              </w:rPr>
              <w:t xml:space="preserve"> solution</w:t>
            </w:r>
            <w:r w:rsidRPr="000D3312">
              <w:rPr>
                <w:sz w:val="22"/>
                <w:szCs w:val="22"/>
              </w:rPr>
              <w:t xml:space="preserve">. </w:t>
            </w:r>
          </w:p>
          <w:p w14:paraId="1A9B1CD1" w14:textId="77777777" w:rsidR="00157AAA" w:rsidRPr="000D3312" w:rsidRDefault="00157AAA">
            <w:pPr>
              <w:pStyle w:val="Style11"/>
              <w:tabs>
                <w:tab w:val="left" w:leader="dot" w:pos="8424"/>
              </w:tabs>
              <w:spacing w:line="240" w:lineRule="auto"/>
              <w:rPr>
                <w:sz w:val="22"/>
                <w:szCs w:val="22"/>
              </w:rPr>
            </w:pPr>
          </w:p>
          <w:p w14:paraId="4BAD3CF1" w14:textId="20B09A9F" w:rsidR="00157AAA" w:rsidRDefault="006C1BE5">
            <w:pPr>
              <w:pStyle w:val="Style11"/>
              <w:tabs>
                <w:tab w:val="left" w:leader="dot" w:pos="8424"/>
              </w:tabs>
              <w:spacing w:line="240" w:lineRule="auto"/>
              <w:jc w:val="both"/>
              <w:rPr>
                <w:iCs/>
                <w:sz w:val="22"/>
                <w:szCs w:val="22"/>
              </w:rPr>
            </w:pPr>
            <w:r w:rsidRPr="000D3312">
              <w:rPr>
                <w:iCs/>
                <w:sz w:val="22"/>
                <w:szCs w:val="22"/>
              </w:rPr>
              <w:lastRenderedPageBreak/>
              <w:t>The successfully completed similar contracts shall be documented by a copy of an Operational acceptance certificate</w:t>
            </w:r>
            <w:r w:rsidR="000627BA" w:rsidRPr="000D3312">
              <w:rPr>
                <w:iCs/>
                <w:sz w:val="22"/>
                <w:szCs w:val="22"/>
              </w:rPr>
              <w:t xml:space="preserve"> </w:t>
            </w:r>
            <w:r w:rsidRPr="000D3312">
              <w:rPr>
                <w:iCs/>
                <w:sz w:val="22"/>
                <w:szCs w:val="22"/>
              </w:rPr>
              <w:t>(or equivalent documentation</w:t>
            </w:r>
            <w:r w:rsidR="000627BA" w:rsidRPr="000D3312">
              <w:rPr>
                <w:iCs/>
                <w:sz w:val="22"/>
                <w:szCs w:val="22"/>
              </w:rPr>
              <w:t xml:space="preserve"> as Reference letter,</w:t>
            </w:r>
            <w:r w:rsidRPr="000D3312">
              <w:rPr>
                <w:iCs/>
                <w:sz w:val="22"/>
                <w:szCs w:val="22"/>
              </w:rPr>
              <w:t xml:space="preserve"> satisfactory to the Purchaser) issued by the </w:t>
            </w:r>
            <w:r w:rsidR="00DD7B18" w:rsidRPr="000D3312">
              <w:rPr>
                <w:iCs/>
                <w:sz w:val="22"/>
                <w:szCs w:val="22"/>
              </w:rPr>
              <w:t>employer</w:t>
            </w:r>
            <w:r w:rsidR="000627BA" w:rsidRPr="000D3312">
              <w:rPr>
                <w:iCs/>
                <w:sz w:val="22"/>
                <w:szCs w:val="22"/>
              </w:rPr>
              <w:t>(s)/</w:t>
            </w:r>
            <w:r w:rsidRPr="000D3312">
              <w:rPr>
                <w:iCs/>
                <w:sz w:val="22"/>
                <w:szCs w:val="22"/>
              </w:rPr>
              <w:t>purchaser(s).</w:t>
            </w:r>
          </w:p>
          <w:p w14:paraId="261ABD5C" w14:textId="77777777" w:rsidR="00FD0EC9" w:rsidRDefault="00FD0EC9">
            <w:pPr>
              <w:pStyle w:val="Style11"/>
              <w:tabs>
                <w:tab w:val="left" w:leader="dot" w:pos="8424"/>
              </w:tabs>
              <w:spacing w:line="240" w:lineRule="auto"/>
              <w:jc w:val="both"/>
              <w:rPr>
                <w:iCs/>
                <w:sz w:val="22"/>
                <w:szCs w:val="22"/>
              </w:rPr>
            </w:pPr>
          </w:p>
          <w:p w14:paraId="5007BA2C" w14:textId="35594675" w:rsidR="00157AAA" w:rsidRPr="00FD0EC9" w:rsidRDefault="00FD0EC9" w:rsidP="00194EE0">
            <w:pPr>
              <w:pStyle w:val="Style11"/>
              <w:tabs>
                <w:tab w:val="left" w:leader="dot" w:pos="8424"/>
              </w:tabs>
              <w:spacing w:line="240" w:lineRule="auto"/>
              <w:jc w:val="both"/>
              <w:rPr>
                <w:iCs/>
                <w:sz w:val="22"/>
                <w:szCs w:val="22"/>
              </w:rPr>
            </w:pPr>
            <w:r w:rsidRPr="00FD0EC9">
              <w:rPr>
                <w:iCs/>
                <w:sz w:val="22"/>
                <w:szCs w:val="22"/>
              </w:rPr>
              <w:t xml:space="preserve">Substantial completion shall be based </w:t>
            </w:r>
            <w:r w:rsidRPr="00C43945">
              <w:rPr>
                <w:iCs/>
                <w:sz w:val="22"/>
                <w:szCs w:val="22"/>
              </w:rPr>
              <w:t xml:space="preserve">on </w:t>
            </w:r>
            <w:r w:rsidR="00194EE0" w:rsidRPr="00C43945">
              <w:rPr>
                <w:b/>
                <w:iCs/>
                <w:sz w:val="22"/>
                <w:szCs w:val="22"/>
              </w:rPr>
              <w:t>7</w:t>
            </w:r>
            <w:r w:rsidRPr="00C43945">
              <w:rPr>
                <w:b/>
                <w:iCs/>
                <w:sz w:val="22"/>
                <w:szCs w:val="22"/>
              </w:rPr>
              <w:t>0%</w:t>
            </w:r>
            <w:r w:rsidRPr="00C43945">
              <w:rPr>
                <w:iCs/>
                <w:sz w:val="22"/>
                <w:szCs w:val="22"/>
              </w:rPr>
              <w:t xml:space="preserve"> or</w:t>
            </w:r>
            <w:r w:rsidRPr="00FD0EC9">
              <w:rPr>
                <w:iCs/>
                <w:sz w:val="22"/>
                <w:szCs w:val="22"/>
              </w:rPr>
              <w:t xml:space="preserve"> more works completed under the contract</w:t>
            </w:r>
            <w:r>
              <w:rPr>
                <w:iCs/>
                <w:sz w:val="22"/>
                <w:szCs w:val="22"/>
              </w:rPr>
              <w:t xml:space="preserve"> and </w:t>
            </w:r>
            <w:r w:rsidRPr="000D3312">
              <w:rPr>
                <w:iCs/>
                <w:sz w:val="22"/>
                <w:szCs w:val="22"/>
              </w:rPr>
              <w:t>documented by a copy of an Operational acceptance certificate (or equivalent documentation as Reference letter, satisfactory to the Purchaser) issued by the employer(s)/purchaser(s).</w:t>
            </w:r>
          </w:p>
        </w:tc>
        <w:tc>
          <w:tcPr>
            <w:tcW w:w="1440" w:type="dxa"/>
            <w:vAlign w:val="center"/>
          </w:tcPr>
          <w:p w14:paraId="537E14E8" w14:textId="77777777" w:rsidR="00157AAA" w:rsidRDefault="006C1BE5">
            <w:pPr>
              <w:spacing w:before="60" w:after="60"/>
              <w:jc w:val="left"/>
              <w:rPr>
                <w:sz w:val="20"/>
              </w:rPr>
            </w:pPr>
            <w:r>
              <w:rPr>
                <w:sz w:val="20"/>
              </w:rPr>
              <w:lastRenderedPageBreak/>
              <w:t>Must meet requirement</w:t>
            </w:r>
          </w:p>
        </w:tc>
        <w:tc>
          <w:tcPr>
            <w:tcW w:w="1620" w:type="dxa"/>
            <w:vAlign w:val="center"/>
          </w:tcPr>
          <w:p w14:paraId="26F4E9D7" w14:textId="0CEDE14E" w:rsidR="00157AAA" w:rsidRDefault="00974931">
            <w:pPr>
              <w:spacing w:before="60" w:after="60"/>
              <w:jc w:val="center"/>
              <w:rPr>
                <w:spacing w:val="-4"/>
                <w:sz w:val="20"/>
              </w:rPr>
            </w:pPr>
            <w:r>
              <w:rPr>
                <w:spacing w:val="-4"/>
                <w:sz w:val="20"/>
              </w:rPr>
              <w:t>Must meet requirement</w:t>
            </w:r>
          </w:p>
        </w:tc>
        <w:tc>
          <w:tcPr>
            <w:tcW w:w="1440" w:type="dxa"/>
            <w:vAlign w:val="center"/>
          </w:tcPr>
          <w:p w14:paraId="1CBBA39E" w14:textId="77777777" w:rsidR="00157AAA" w:rsidRDefault="006C1BE5">
            <w:pPr>
              <w:spacing w:before="60" w:after="60"/>
              <w:jc w:val="center"/>
              <w:rPr>
                <w:sz w:val="20"/>
              </w:rPr>
            </w:pPr>
            <w:r>
              <w:rPr>
                <w:sz w:val="20"/>
              </w:rPr>
              <w:t>N / A</w:t>
            </w:r>
          </w:p>
        </w:tc>
        <w:tc>
          <w:tcPr>
            <w:tcW w:w="1530" w:type="dxa"/>
            <w:vAlign w:val="center"/>
          </w:tcPr>
          <w:p w14:paraId="7556FB10" w14:textId="7CB96CF2" w:rsidR="00157AAA" w:rsidRDefault="00DD7B18">
            <w:pPr>
              <w:spacing w:before="60" w:after="60"/>
              <w:jc w:val="left"/>
              <w:rPr>
                <w:strike/>
                <w:spacing w:val="-4"/>
                <w:sz w:val="20"/>
              </w:rPr>
            </w:pPr>
            <w:r>
              <w:rPr>
                <w:spacing w:val="-4"/>
                <w:sz w:val="20"/>
              </w:rPr>
              <w:t>Must meet requirement</w:t>
            </w:r>
            <w:r>
              <w:rPr>
                <w:strike/>
                <w:spacing w:val="-4"/>
                <w:sz w:val="20"/>
              </w:rPr>
              <w:t xml:space="preserve"> </w:t>
            </w:r>
          </w:p>
        </w:tc>
        <w:tc>
          <w:tcPr>
            <w:tcW w:w="1836" w:type="dxa"/>
            <w:vAlign w:val="center"/>
          </w:tcPr>
          <w:p w14:paraId="24EA9D2F" w14:textId="77777777" w:rsidR="00157AAA" w:rsidRDefault="006C1BE5">
            <w:pPr>
              <w:spacing w:before="60" w:after="60"/>
              <w:jc w:val="center"/>
              <w:rPr>
                <w:sz w:val="20"/>
              </w:rPr>
            </w:pPr>
            <w:r>
              <w:rPr>
                <w:sz w:val="20"/>
              </w:rPr>
              <w:t>Form EXP 5.4.2</w:t>
            </w:r>
          </w:p>
          <w:p w14:paraId="579CDE07" w14:textId="77777777" w:rsidR="00157AAA" w:rsidRDefault="00157AAA">
            <w:pPr>
              <w:spacing w:before="60" w:after="60"/>
              <w:jc w:val="center"/>
              <w:rPr>
                <w:sz w:val="20"/>
              </w:rPr>
            </w:pPr>
          </w:p>
        </w:tc>
      </w:tr>
    </w:tbl>
    <w:p w14:paraId="3CF76AC8" w14:textId="77777777" w:rsidR="00157AAA" w:rsidRDefault="00157AAA">
      <w:pPr>
        <w:pStyle w:val="Footer"/>
        <w:rPr>
          <w:b/>
        </w:rPr>
        <w:sectPr w:rsidR="00157AAA" w:rsidSect="00734667">
          <w:footnotePr>
            <w:numRestart w:val="eachSect"/>
          </w:footnotePr>
          <w:type w:val="continuous"/>
          <w:pgSz w:w="15840" w:h="12240" w:orient="landscape"/>
          <w:pgMar w:top="1440" w:right="1440" w:bottom="1440" w:left="1440" w:header="720" w:footer="720" w:gutter="0"/>
          <w:cols w:space="720"/>
          <w:titlePg/>
          <w:docGrid w:linePitch="360"/>
        </w:sectPr>
      </w:pPr>
    </w:p>
    <w:p w14:paraId="7AC8462E" w14:textId="77777777" w:rsidR="00157AAA" w:rsidRDefault="006C1BE5">
      <w:pPr>
        <w:pStyle w:val="Footer"/>
        <w:ind w:left="720" w:hanging="720"/>
        <w:rPr>
          <w:iCs/>
          <w:sz w:val="28"/>
        </w:rPr>
      </w:pPr>
      <w:r>
        <w:rPr>
          <w:b/>
        </w:rPr>
        <w:lastRenderedPageBreak/>
        <w:t>5.5</w:t>
      </w:r>
      <w:r>
        <w:rPr>
          <w:b/>
        </w:rPr>
        <w:tab/>
        <w:t xml:space="preserve">Key </w:t>
      </w:r>
      <w:r>
        <w:rPr>
          <w:b/>
          <w:iCs/>
        </w:rPr>
        <w:t>Personnel</w:t>
      </w:r>
    </w:p>
    <w:p w14:paraId="70395682" w14:textId="77777777" w:rsidR="00157AAA" w:rsidRDefault="006C1BE5">
      <w:pPr>
        <w:tabs>
          <w:tab w:val="right" w:pos="7254"/>
        </w:tabs>
        <w:spacing w:after="200"/>
        <w:ind w:left="720" w:hanging="720"/>
        <w:jc w:val="left"/>
        <w:rPr>
          <w:iCs/>
        </w:rPr>
      </w:pPr>
      <w:r>
        <w:rPr>
          <w:iCs/>
        </w:rPr>
        <w:t xml:space="preserve">            The Bidder must demonstrate that it will have suitably qualified key personnel. The Bidder shall complete the relevant Forms in Section IV, Bidding Forms.</w:t>
      </w:r>
    </w:p>
    <w:p w14:paraId="62B8A68C" w14:textId="77777777" w:rsidR="00157AAA" w:rsidRDefault="006C1BE5">
      <w:r>
        <w:t xml:space="preserve">The team shall consist of a core team made of key experts with the qualifications and skills defined below and non-key experts, as needed. The Bidder is obliged to ensure adequate staff in terms of expertise and time allocation, as well as needed equipment </w:t>
      </w:r>
      <w:proofErr w:type="gramStart"/>
      <w:r>
        <w:t>in order to</w:t>
      </w:r>
      <w:proofErr w:type="gramEnd"/>
      <w:r>
        <w:t xml:space="preserve"> complete the activities required under the scope of work and to achieve the objectives of this Contract in terms of time, costs, and quality.</w:t>
      </w:r>
    </w:p>
    <w:p w14:paraId="60DA234C" w14:textId="77777777" w:rsidR="00157AAA" w:rsidRDefault="006C1BE5">
      <w:r>
        <w:t>The Bidders are encouraged to hire/use local experts for some of the positions below either as individual experts (or from local firms, as sub-</w:t>
      </w:r>
      <w:proofErr w:type="gramStart"/>
      <w:r>
        <w:t>consultants</w:t>
      </w:r>
      <w:proofErr w:type="gramEnd"/>
      <w:r>
        <w:t xml:space="preserve"> or JV members). The Bidders should pay attention to the need to ensure the active participation of local professional skills, and to provide a suitable mix of international and local staff in the team. The team</w:t>
      </w:r>
      <w:proofErr w:type="gramStart"/>
      <w:r>
        <w:t>, as a whole, shall</w:t>
      </w:r>
      <w:proofErr w:type="gramEnd"/>
      <w:r>
        <w:t xml:space="preserve"> include experts familiar with North Macedonia' regulations. </w:t>
      </w:r>
    </w:p>
    <w:p w14:paraId="186C6814" w14:textId="2B450918" w:rsidR="00A0343C" w:rsidRDefault="00FD0EC9" w:rsidP="00A0343C">
      <w:pPr>
        <w:pStyle w:val="ListParagraph"/>
        <w:numPr>
          <w:ilvl w:val="0"/>
          <w:numId w:val="184"/>
        </w:numPr>
        <w:ind w:left="709" w:hanging="425"/>
      </w:pPr>
      <w:r>
        <w:t xml:space="preserve">One (1) Project Manager - At least </w:t>
      </w:r>
      <w:proofErr w:type="gramStart"/>
      <w:r>
        <w:t xml:space="preserve">a </w:t>
      </w:r>
      <w:r w:rsidR="00D553E2">
        <w:rPr>
          <w:lang w:val="mk-MK"/>
        </w:rPr>
        <w:t xml:space="preserve"> </w:t>
      </w:r>
      <w:r w:rsidR="00D553E2" w:rsidRPr="00D553E2">
        <w:t>Bachelor</w:t>
      </w:r>
      <w:proofErr w:type="gramEnd"/>
      <w:r>
        <w:t xml:space="preserve"> Degree in Management / Engineering / information technologies / Finance or Trade / Law / Economics / other relevant field with minimum 10 years’ professional experience in project management of ICT for public sector organizations, holding a valid certification of PMP (Project Management Professional, PMI institute or SCRUM Master) or equivalent. </w:t>
      </w:r>
      <w:r w:rsidR="00521D1F">
        <w:t xml:space="preserve">ITIL (Information Technology Infrastructure Library) </w:t>
      </w:r>
      <w:r w:rsidR="00521D1F" w:rsidRPr="00521D1F">
        <w:t xml:space="preserve">certification will be considered an advantage. </w:t>
      </w:r>
      <w:r w:rsidR="00521D1F">
        <w:t xml:space="preserve"> </w:t>
      </w:r>
      <w:r>
        <w:t>Experience as Project Manager/Team Leader of at least two (2) ICT projects for public sector organizations (letter of reference signed by Client is obligatory) and experience in customs system and other trade related agencies. Proven experience in planning and supporting capacity building activities and change management. Experience in Quality assurance/Quality Control (QA/QC) for ICT projects. Proven experience in risk analyses. The Project Manager shall be available during the whole project timeline due to the complexity and number of stakeholders and services to be implemented during the project.</w:t>
      </w:r>
    </w:p>
    <w:p w14:paraId="41F1CD27" w14:textId="690EC0F0" w:rsidR="00FD0EC9" w:rsidRDefault="00FD0EC9" w:rsidP="00F60631">
      <w:pPr>
        <w:numPr>
          <w:ilvl w:val="0"/>
          <w:numId w:val="184"/>
        </w:numPr>
        <w:ind w:left="709" w:hanging="425"/>
      </w:pPr>
      <w:r>
        <w:t xml:space="preserve"> </w:t>
      </w:r>
      <w:r w:rsidR="00A0343C" w:rsidRPr="00A0343C">
        <w:t xml:space="preserve">One (1) Software Architect / Deputy Project Manager - At least a </w:t>
      </w:r>
      <w:proofErr w:type="gramStart"/>
      <w:r w:rsidR="00A0343C" w:rsidRPr="00A0343C">
        <w:t>Bachelor</w:t>
      </w:r>
      <w:proofErr w:type="gramEnd"/>
      <w:r w:rsidR="00A0343C" w:rsidRPr="00A0343C">
        <w:t xml:space="preserve"> degree in an ICT related discipline (information technologies / electronics / communications / other relevant field), holding a valid certification PMP (PMI institute or SCRUM Master) or equivalent, with at least 10 years of professional experience in developing or implementing strategic information systems plans for public sector organizations and complex enterprise software systems implementation. Extensive knowledge </w:t>
      </w:r>
      <w:proofErr w:type="gramStart"/>
      <w:r w:rsidR="00A0343C" w:rsidRPr="00A0343C">
        <w:t>in</w:t>
      </w:r>
      <w:proofErr w:type="gramEnd"/>
      <w:r w:rsidR="00A0343C" w:rsidRPr="00A0343C">
        <w:t xml:space="preserve"> informatics management and current technology trends would be desirable. The Deputy Project Manager shall be available during the whole project timeline due to the complexity and number of stakeholders and services to be implemented during the project.</w:t>
      </w:r>
    </w:p>
    <w:p w14:paraId="74583605" w14:textId="6356DB9B" w:rsidR="00FD0EC9" w:rsidRDefault="00FD0EC9" w:rsidP="00A0343C">
      <w:pPr>
        <w:pStyle w:val="ListParagraph"/>
        <w:numPr>
          <w:ilvl w:val="0"/>
          <w:numId w:val="184"/>
        </w:numPr>
        <w:ind w:left="709" w:hanging="425"/>
        <w:contextualSpacing w:val="0"/>
      </w:pPr>
      <w:r w:rsidRPr="00DE1F8A">
        <w:t>Two (2)</w:t>
      </w:r>
      <w:r>
        <w:t xml:space="preserve"> </w:t>
      </w:r>
      <w:bookmarkStart w:id="538" w:name="_Hlk163076872"/>
      <w:r>
        <w:t xml:space="preserve">Business Analysts </w:t>
      </w:r>
      <w:bookmarkEnd w:id="538"/>
      <w:r>
        <w:t xml:space="preserve">At least a </w:t>
      </w:r>
      <w:proofErr w:type="gramStart"/>
      <w:r>
        <w:t>Bachelor</w:t>
      </w:r>
      <w:proofErr w:type="gramEnd"/>
      <w:r>
        <w:t xml:space="preserve"> degree in an ICT related discipline (information technologies / </w:t>
      </w:r>
      <w:r w:rsidR="00E96CD4">
        <w:t>other relevant field),</w:t>
      </w:r>
      <w:r w:rsidR="00DE1F8A">
        <w:t xml:space="preserve"> </w:t>
      </w:r>
      <w:r w:rsidR="00E96CD4">
        <w:t xml:space="preserve">with at least 10 years of professional experience in developing or implementing information systems </w:t>
      </w:r>
      <w:r w:rsidR="00E96CD4" w:rsidRPr="00F60631">
        <w:t>for</w:t>
      </w:r>
      <w:r w:rsidR="00E96CD4">
        <w:t xml:space="preserve"> public sector organizations </w:t>
      </w:r>
      <w:r w:rsidR="00E96CD4" w:rsidRPr="00F60631">
        <w:t>and</w:t>
      </w:r>
      <w:r w:rsidR="00E96CD4">
        <w:t xml:space="preserve"> complex enterprise software systems implementation. </w:t>
      </w:r>
      <w:r w:rsidR="00E96CD4" w:rsidRPr="00F60631">
        <w:t xml:space="preserve">At least one business analyst must have experience with CERTEX technical specifications in </w:t>
      </w:r>
      <w:proofErr w:type="gramStart"/>
      <w:r w:rsidR="00E96CD4" w:rsidRPr="00F60631">
        <w:t>EU</w:t>
      </w:r>
      <w:proofErr w:type="gramEnd"/>
      <w:r w:rsidR="00E96CD4">
        <w:t>.</w:t>
      </w:r>
      <w:r w:rsidR="00521D1F" w:rsidRPr="00521D1F">
        <w:t xml:space="preserve"> </w:t>
      </w:r>
    </w:p>
    <w:p w14:paraId="771D4A62" w14:textId="4D075DE9" w:rsidR="00FD0EC9" w:rsidRDefault="00FD0EC9" w:rsidP="00521D1F">
      <w:pPr>
        <w:pStyle w:val="ListParagraph"/>
        <w:numPr>
          <w:ilvl w:val="0"/>
          <w:numId w:val="184"/>
        </w:numPr>
        <w:ind w:left="709" w:hanging="425"/>
        <w:contextualSpacing w:val="0"/>
      </w:pPr>
      <w:r>
        <w:t xml:space="preserve">One (1) specialist for the implementation of the </w:t>
      </w:r>
      <w:r w:rsidR="004A6D9E" w:rsidRPr="004A6D9E">
        <w:t xml:space="preserve">Storage and Backup solution </w:t>
      </w:r>
      <w:r>
        <w:t xml:space="preserve">- at least a </w:t>
      </w:r>
      <w:proofErr w:type="gramStart"/>
      <w:r>
        <w:t>Bachelor</w:t>
      </w:r>
      <w:proofErr w:type="gramEnd"/>
      <w:r>
        <w:t xml:space="preserve"> degree in an ICT related discipline (information technologies / other relevant </w:t>
      </w:r>
      <w:r>
        <w:lastRenderedPageBreak/>
        <w:t>field) holding the architect level of certification with a minimum of 7 years of professional experience.</w:t>
      </w:r>
    </w:p>
    <w:p w14:paraId="6FB0C24E" w14:textId="2C401F5B" w:rsidR="004A6D9E" w:rsidRDefault="004A6D9E" w:rsidP="00F60631">
      <w:pPr>
        <w:numPr>
          <w:ilvl w:val="0"/>
          <w:numId w:val="184"/>
        </w:numPr>
        <w:ind w:left="709" w:hanging="425"/>
      </w:pPr>
      <w:r w:rsidRPr="0012014E">
        <w:t xml:space="preserve">One (1) specialist for the implementation of the Firewall solution - at least a </w:t>
      </w:r>
      <w:proofErr w:type="gramStart"/>
      <w:r w:rsidRPr="0012014E">
        <w:t>Bachelor</w:t>
      </w:r>
      <w:proofErr w:type="gramEnd"/>
      <w:r w:rsidRPr="0012014E">
        <w:t xml:space="preserve"> degree in an ICT related discipline (information technologies / electronics / communications / other relevant field) holding the highest expert level of certification with a minimum of 7 years of professional experience.</w:t>
      </w:r>
    </w:p>
    <w:p w14:paraId="39BB9973" w14:textId="45D117BC" w:rsidR="00FD0EC9" w:rsidRDefault="00FD0EC9" w:rsidP="004A6D9E">
      <w:pPr>
        <w:pStyle w:val="ListParagraph"/>
        <w:numPr>
          <w:ilvl w:val="0"/>
          <w:numId w:val="184"/>
        </w:numPr>
        <w:ind w:left="709" w:hanging="425"/>
        <w:contextualSpacing w:val="0"/>
      </w:pPr>
      <w:r>
        <w:t xml:space="preserve">Two (2) </w:t>
      </w:r>
      <w:r w:rsidR="00521D1F" w:rsidRPr="00521D1F">
        <w:t xml:space="preserve">Database </w:t>
      </w:r>
      <w:r>
        <w:t xml:space="preserve">specialists, with at least a </w:t>
      </w:r>
      <w:proofErr w:type="gramStart"/>
      <w:r>
        <w:t>Bachelor</w:t>
      </w:r>
      <w:proofErr w:type="gramEnd"/>
      <w:r>
        <w:t xml:space="preserve"> degree in an ICT related discipline (information technologies / other relevant field) and a minimum of 7 years of experience for each specialist. Experience in the solutions with database system, workflow systems, application server and business intelligence.</w:t>
      </w:r>
      <w:r>
        <w:rPr>
          <w:rFonts w:eastAsia="Calibri"/>
          <w:sz w:val="22"/>
          <w:szCs w:val="22"/>
          <w:lang w:eastAsia="mk-MK"/>
        </w:rPr>
        <w:t xml:space="preserve"> </w:t>
      </w:r>
      <w:r w:rsidRPr="00C22EBC">
        <w:rPr>
          <w:rFonts w:eastAsia="Calibri"/>
          <w:szCs w:val="22"/>
          <w:lang w:eastAsia="mk-MK"/>
        </w:rPr>
        <w:t>Professional</w:t>
      </w:r>
      <w:r w:rsidRPr="00C22EBC">
        <w:rPr>
          <w:rFonts w:eastAsia="Calibri"/>
          <w:sz w:val="22"/>
          <w:szCs w:val="22"/>
          <w:lang w:eastAsia="mk-MK"/>
        </w:rPr>
        <w:t xml:space="preserve"> </w:t>
      </w:r>
      <w:r w:rsidRPr="00C22EBC">
        <w:t>e</w:t>
      </w:r>
      <w:r w:rsidRPr="00C22EBC">
        <w:rPr>
          <w:lang w:val="mk-MK"/>
        </w:rPr>
        <w:t xml:space="preserve">xperience in </w:t>
      </w:r>
      <w:r w:rsidRPr="00C22EBC">
        <w:t xml:space="preserve">implementing or </w:t>
      </w:r>
      <w:proofErr w:type="gramStart"/>
      <w:r w:rsidRPr="00C22EBC">
        <w:t>support of</w:t>
      </w:r>
      <w:proofErr w:type="gramEnd"/>
      <w:r w:rsidRPr="00C22EBC">
        <w:t xml:space="preserve"> information systems</w:t>
      </w:r>
      <w:r>
        <w:t xml:space="preserve"> </w:t>
      </w:r>
      <w:r>
        <w:rPr>
          <w:lang w:val="mk-MK"/>
        </w:rPr>
        <w:t xml:space="preserve">and technology </w:t>
      </w:r>
      <w:r>
        <w:t xml:space="preserve">for public sector organizations </w:t>
      </w:r>
      <w:r>
        <w:rPr>
          <w:lang w:val="mk-MK"/>
        </w:rPr>
        <w:t xml:space="preserve">is </w:t>
      </w:r>
      <w:r>
        <w:t xml:space="preserve">required.  </w:t>
      </w:r>
    </w:p>
    <w:p w14:paraId="6CFA9064" w14:textId="648BE449" w:rsidR="00FD0EC9" w:rsidRDefault="00FD0EC9" w:rsidP="00D530D5">
      <w:pPr>
        <w:pStyle w:val="ListParagraph"/>
        <w:numPr>
          <w:ilvl w:val="0"/>
          <w:numId w:val="184"/>
        </w:numPr>
        <w:ind w:left="709" w:hanging="425"/>
        <w:contextualSpacing w:val="0"/>
      </w:pPr>
      <w:r>
        <w:t xml:space="preserve">One (1) certified specialist with professional level for </w:t>
      </w:r>
      <w:proofErr w:type="gramStart"/>
      <w:r>
        <w:t>service oriented</w:t>
      </w:r>
      <w:proofErr w:type="gramEnd"/>
      <w:r>
        <w:t xml:space="preserve"> architecture - at least a Bachelor degree in an ICT related discipline (information technologies / other relevant field) with a minimum of 7 years of experience. Prior experience of working with enterprise systems and infrastructure. Experience in the systems and technology for public sector organizations is required.</w:t>
      </w:r>
    </w:p>
    <w:p w14:paraId="63822E55" w14:textId="77777777" w:rsidR="00FD0EC9" w:rsidRDefault="00FD0EC9" w:rsidP="00D530D5">
      <w:pPr>
        <w:pStyle w:val="ListParagraph"/>
        <w:numPr>
          <w:ilvl w:val="0"/>
          <w:numId w:val="184"/>
        </w:numPr>
        <w:ind w:left="709" w:hanging="425"/>
        <w:contextualSpacing w:val="0"/>
      </w:pPr>
      <w:r>
        <w:t xml:space="preserve">One (1) certified </w:t>
      </w:r>
      <w:proofErr w:type="gramStart"/>
      <w:r>
        <w:t>specialists</w:t>
      </w:r>
      <w:proofErr w:type="gramEnd"/>
      <w:r>
        <w:t xml:space="preserve"> certified (MCPD) or Java developers holding a certification from Microsoft or Oracle or IBM or SQL with a minimum of 7 years of experience. Experience in software and database development, complex enterprise software systems implementation, extensive knowledge in informatics management and current technology trends. </w:t>
      </w:r>
    </w:p>
    <w:p w14:paraId="14386333" w14:textId="19DBF03C" w:rsidR="00FD0EC9" w:rsidRDefault="00FD0EC9" w:rsidP="00D530D5">
      <w:pPr>
        <w:pStyle w:val="ListParagraph"/>
        <w:numPr>
          <w:ilvl w:val="0"/>
          <w:numId w:val="184"/>
        </w:numPr>
        <w:ind w:left="709" w:hanging="425"/>
      </w:pPr>
      <w:r>
        <w:t xml:space="preserve">One (1) networking specialist in order to support the project team if required - at least a </w:t>
      </w:r>
      <w:proofErr w:type="gramStart"/>
      <w:r>
        <w:t>Bachelor</w:t>
      </w:r>
      <w:proofErr w:type="gramEnd"/>
      <w:r>
        <w:t xml:space="preserve"> degree in an ICT related discipline (information technologies / other relevant field) with a minimum of 7 years of experience. Prior experience of working with enterprise systems and infrastructure and conversant on a range of technical issues relevant to the assignment, including servers, networks and communications, software and database development, web services and messaging protocols. </w:t>
      </w:r>
    </w:p>
    <w:p w14:paraId="524259B8" w14:textId="77777777" w:rsidR="00FD0EC9" w:rsidRDefault="00FD0EC9" w:rsidP="00FD0EC9">
      <w:pPr>
        <w:pStyle w:val="ListParagraph"/>
        <w:ind w:left="709" w:hanging="425"/>
        <w:rPr>
          <w:sz w:val="10"/>
          <w:szCs w:val="10"/>
        </w:rPr>
      </w:pPr>
    </w:p>
    <w:p w14:paraId="5678B88A" w14:textId="77777777" w:rsidR="00FD0EC9" w:rsidRDefault="00FD0EC9" w:rsidP="00D530D5">
      <w:pPr>
        <w:pStyle w:val="ListParagraph"/>
        <w:numPr>
          <w:ilvl w:val="0"/>
          <w:numId w:val="184"/>
        </w:numPr>
        <w:ind w:left="709" w:hanging="425"/>
        <w:contextualSpacing w:val="0"/>
      </w:pPr>
      <w:r>
        <w:t xml:space="preserve">One (1) Change Management and Communication specialist - at least </w:t>
      </w:r>
      <w:proofErr w:type="gramStart"/>
      <w:r>
        <w:t xml:space="preserve">Bachelor degree in </w:t>
      </w:r>
      <w:r w:rsidRPr="00DE1F8A">
        <w:t>information technology</w:t>
      </w:r>
      <w:proofErr w:type="gramEnd"/>
      <w:r w:rsidRPr="00DE1F8A">
        <w:t>, informatics management or related area within the public sector,</w:t>
      </w:r>
      <w:r>
        <w:t xml:space="preserve"> or relevant discipline, with at least 7 years of experience in capacity building, change management implementation and communications. </w:t>
      </w:r>
    </w:p>
    <w:p w14:paraId="7A7EDE6A" w14:textId="77777777" w:rsidR="000D3312" w:rsidRDefault="000D3312" w:rsidP="000D3312"/>
    <w:p w14:paraId="6DF1172C" w14:textId="77777777" w:rsidR="00157AAA" w:rsidRDefault="006C1BE5">
      <w:pPr>
        <w:spacing w:after="200"/>
        <w:ind w:left="720" w:right="-72" w:hanging="720"/>
      </w:pPr>
      <w:r>
        <w:rPr>
          <w:b/>
        </w:rPr>
        <w:t>5.6</w:t>
      </w:r>
      <w:r>
        <w:tab/>
      </w:r>
      <w:r>
        <w:rPr>
          <w:b/>
        </w:rPr>
        <w:t>Subcontractors/vendors/manufacturers</w:t>
      </w:r>
    </w:p>
    <w:p w14:paraId="5512E4CD" w14:textId="77777777" w:rsidR="00157AAA" w:rsidRDefault="006C1BE5">
      <w:pPr>
        <w:spacing w:after="200"/>
        <w:ind w:left="720"/>
        <w:rPr>
          <w:iCs/>
        </w:rPr>
      </w:pPr>
      <w:r>
        <w:t>S</w:t>
      </w:r>
      <w:r>
        <w:rPr>
          <w:iCs/>
        </w:rPr>
        <w:t>ubcontractors/vendors/manufacturers for major items of supply or services identified in the prequalification document must meet or continue to meet the minimum criteria specified therein for each item.</w:t>
      </w:r>
    </w:p>
    <w:p w14:paraId="50E06304" w14:textId="413FBE52" w:rsidR="00157AAA" w:rsidRDefault="006C1BE5">
      <w:pPr>
        <w:spacing w:after="200"/>
        <w:ind w:left="720"/>
      </w:pPr>
      <w:r>
        <w:rPr>
          <w:iCs/>
        </w:rPr>
        <w:t>Subcontractors for the following major items of supply or services must meet the foll</w:t>
      </w:r>
      <w:r>
        <w:t>owing minimum criteria, herein listed for that item:</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2152"/>
        <w:gridCol w:w="5671"/>
      </w:tblGrid>
      <w:tr w:rsidR="00157AAA" w14:paraId="3F0D01C6" w14:textId="77777777" w:rsidTr="000D3312">
        <w:trPr>
          <w:trHeight w:val="483"/>
          <w:jc w:val="center"/>
        </w:trPr>
        <w:tc>
          <w:tcPr>
            <w:tcW w:w="817" w:type="dxa"/>
            <w:tcBorders>
              <w:top w:val="single" w:sz="6" w:space="0" w:color="auto"/>
              <w:left w:val="single" w:sz="6" w:space="0" w:color="auto"/>
              <w:bottom w:val="single" w:sz="6" w:space="0" w:color="auto"/>
              <w:right w:val="single" w:sz="6" w:space="0" w:color="auto"/>
            </w:tcBorders>
            <w:vAlign w:val="center"/>
          </w:tcPr>
          <w:p w14:paraId="4B43626D" w14:textId="77777777" w:rsidR="00157AAA" w:rsidRDefault="006C1BE5">
            <w:pPr>
              <w:ind w:right="-108"/>
              <w:jc w:val="center"/>
            </w:pPr>
            <w:r>
              <w:t>Item No.</w:t>
            </w:r>
          </w:p>
        </w:tc>
        <w:tc>
          <w:tcPr>
            <w:tcW w:w="2152" w:type="dxa"/>
            <w:tcBorders>
              <w:top w:val="single" w:sz="6" w:space="0" w:color="auto"/>
              <w:left w:val="single" w:sz="6" w:space="0" w:color="auto"/>
              <w:bottom w:val="single" w:sz="6" w:space="0" w:color="auto"/>
              <w:right w:val="single" w:sz="6" w:space="0" w:color="auto"/>
            </w:tcBorders>
            <w:vAlign w:val="center"/>
          </w:tcPr>
          <w:p w14:paraId="7323BE7F" w14:textId="77777777" w:rsidR="00157AAA" w:rsidRDefault="006C1BE5">
            <w:pPr>
              <w:ind w:right="26"/>
              <w:jc w:val="center"/>
            </w:pPr>
            <w:r>
              <w:t>Description of Item</w:t>
            </w:r>
          </w:p>
        </w:tc>
        <w:tc>
          <w:tcPr>
            <w:tcW w:w="5671" w:type="dxa"/>
            <w:tcBorders>
              <w:top w:val="single" w:sz="6" w:space="0" w:color="auto"/>
              <w:left w:val="single" w:sz="6" w:space="0" w:color="auto"/>
              <w:bottom w:val="single" w:sz="6" w:space="0" w:color="auto"/>
              <w:right w:val="single" w:sz="6" w:space="0" w:color="auto"/>
            </w:tcBorders>
            <w:vAlign w:val="center"/>
          </w:tcPr>
          <w:p w14:paraId="3D4FF23E" w14:textId="77777777" w:rsidR="00157AAA" w:rsidRDefault="006C1BE5">
            <w:pPr>
              <w:jc w:val="center"/>
            </w:pPr>
            <w:r>
              <w:t>Minimum Criteria to be met</w:t>
            </w:r>
          </w:p>
        </w:tc>
      </w:tr>
      <w:tr w:rsidR="00157AAA" w14:paraId="1E5F0EB7" w14:textId="77777777" w:rsidTr="000D3312">
        <w:trPr>
          <w:jc w:val="center"/>
        </w:trPr>
        <w:tc>
          <w:tcPr>
            <w:tcW w:w="817" w:type="dxa"/>
            <w:tcBorders>
              <w:top w:val="single" w:sz="6" w:space="0" w:color="auto"/>
            </w:tcBorders>
          </w:tcPr>
          <w:p w14:paraId="7109ED2E" w14:textId="77777777" w:rsidR="00157AAA" w:rsidRDefault="006C1BE5">
            <w:pPr>
              <w:ind w:right="-108"/>
              <w:jc w:val="center"/>
            </w:pPr>
            <w:r>
              <w:lastRenderedPageBreak/>
              <w:t>1</w:t>
            </w:r>
          </w:p>
        </w:tc>
        <w:tc>
          <w:tcPr>
            <w:tcW w:w="2152" w:type="dxa"/>
            <w:tcBorders>
              <w:top w:val="single" w:sz="6" w:space="0" w:color="auto"/>
            </w:tcBorders>
          </w:tcPr>
          <w:p w14:paraId="24DCFF44" w14:textId="77777777" w:rsidR="00157AAA" w:rsidRDefault="006C1BE5">
            <w:pPr>
              <w:ind w:right="26"/>
            </w:pPr>
            <w:r>
              <w:t xml:space="preserve">Software </w:t>
            </w:r>
          </w:p>
        </w:tc>
        <w:tc>
          <w:tcPr>
            <w:tcW w:w="5671" w:type="dxa"/>
            <w:tcBorders>
              <w:top w:val="single" w:sz="6" w:space="0" w:color="auto"/>
            </w:tcBorders>
          </w:tcPr>
          <w:p w14:paraId="4D39896D" w14:textId="77777777" w:rsidR="00157AAA" w:rsidRDefault="006C1BE5">
            <w:r>
              <w:t xml:space="preserve">Quality: The supplied items or services must meet the established quality standards and specifications defined by the NSW. The criteria should outline functional and non-functional requirements that </w:t>
            </w:r>
            <w:proofErr w:type="gramStart"/>
            <w:r>
              <w:t>summarized</w:t>
            </w:r>
            <w:proofErr w:type="gramEnd"/>
            <w:r>
              <w:t xml:space="preserve"> required quality parameters, such as durability, reliability, performance, and any specific industry standards applicable.</w:t>
            </w:r>
          </w:p>
          <w:p w14:paraId="3359FD81" w14:textId="77777777" w:rsidR="00157AAA" w:rsidRDefault="006C1BE5">
            <w:r>
              <w:t>Supplier Experience and Track Record: Suppliers should provide evidence of their relevant experience and a successful track record in delivering similar items or services. This criterion assesses the supplier's expertise, capabilities, and past performance in the relevant industry or field.</w:t>
            </w:r>
          </w:p>
        </w:tc>
      </w:tr>
      <w:tr w:rsidR="00157AAA" w14:paraId="75288649" w14:textId="77777777" w:rsidTr="000D3312">
        <w:trPr>
          <w:jc w:val="center"/>
        </w:trPr>
        <w:tc>
          <w:tcPr>
            <w:tcW w:w="817" w:type="dxa"/>
          </w:tcPr>
          <w:p w14:paraId="3FC43595" w14:textId="77777777" w:rsidR="00157AAA" w:rsidRDefault="006C1BE5">
            <w:pPr>
              <w:ind w:right="-108"/>
              <w:jc w:val="center"/>
            </w:pPr>
            <w:r>
              <w:t>2</w:t>
            </w:r>
          </w:p>
        </w:tc>
        <w:tc>
          <w:tcPr>
            <w:tcW w:w="2152" w:type="dxa"/>
          </w:tcPr>
          <w:p w14:paraId="65486A52" w14:textId="77777777" w:rsidR="00157AAA" w:rsidRDefault="006C1BE5">
            <w:r>
              <w:t>Hardware</w:t>
            </w:r>
          </w:p>
        </w:tc>
        <w:tc>
          <w:tcPr>
            <w:tcW w:w="5671" w:type="dxa"/>
          </w:tcPr>
          <w:p w14:paraId="2623B9C9" w14:textId="77777777" w:rsidR="00157AAA" w:rsidRDefault="006C1BE5">
            <w:r>
              <w:t>Pricing: The proposed pricing should be competitive, fair, and reasonable. Suppliers should provide a clear breakdown of costs, including any applicable taxes, duties, shipping charges, and other fees. Pricing should align with the prevailing market rates and be in line with the project's budgetary constraints.</w:t>
            </w:r>
          </w:p>
          <w:p w14:paraId="439B205F" w14:textId="77777777" w:rsidR="00157AAA" w:rsidRDefault="006C1BE5">
            <w:r>
              <w:t>Support and Maintenance: Suppliers should outline the scope and terms of post-delivery support and maintenance services. This criterion should cover aspects such as warranty periods, technical support availability, response times, and any associated costs.</w:t>
            </w:r>
          </w:p>
          <w:p w14:paraId="3135B9E0" w14:textId="77777777" w:rsidR="00157AAA" w:rsidRDefault="006C1BE5">
            <w:r>
              <w:t>Scalability and Flexibility: The items or services should demonstrate scalability and adaptability to accommodate future expansion or changes in project requirements. This criterion ensures that the supplier's offerings can grow alongside the project's evolving needs.</w:t>
            </w:r>
          </w:p>
        </w:tc>
      </w:tr>
    </w:tbl>
    <w:p w14:paraId="2EB49C67" w14:textId="77777777" w:rsidR="00157AAA" w:rsidRDefault="00157AAA">
      <w:pPr>
        <w:spacing w:after="200"/>
        <w:ind w:left="720" w:right="-72" w:hanging="720"/>
      </w:pPr>
    </w:p>
    <w:p w14:paraId="61E0D4E3" w14:textId="77777777" w:rsidR="00157AAA" w:rsidRDefault="006C1BE5">
      <w:pPr>
        <w:spacing w:after="200"/>
        <w:ind w:left="720"/>
      </w:pPr>
      <w:r>
        <w:t>Failure to comply with this requirement will result in the rejection of the subcontractor.</w:t>
      </w:r>
    </w:p>
    <w:p w14:paraId="0953EE85" w14:textId="77777777" w:rsidR="00157AAA" w:rsidRDefault="006C1BE5">
      <w:pPr>
        <w:spacing w:after="0"/>
        <w:jc w:val="left"/>
        <w:rPr>
          <w:b/>
        </w:rPr>
      </w:pPr>
      <w:r>
        <w:rPr>
          <w:b/>
        </w:rPr>
        <w:br w:type="page" w:clear="all"/>
      </w:r>
    </w:p>
    <w:p w14:paraId="73F226ED" w14:textId="77777777" w:rsidR="00157AAA" w:rsidRDefault="006C1BE5">
      <w:pPr>
        <w:spacing w:after="200"/>
        <w:ind w:left="720" w:right="-72" w:hanging="720"/>
        <w:rPr>
          <w:b/>
        </w:rPr>
      </w:pPr>
      <w:r>
        <w:rPr>
          <w:b/>
        </w:rPr>
        <w:lastRenderedPageBreak/>
        <w:t>5.7    Manufacturer’s authorization</w:t>
      </w:r>
    </w:p>
    <w:p w14:paraId="2BCC3E4C" w14:textId="77777777" w:rsidR="00157AAA" w:rsidRDefault="006C1BE5">
      <w:pPr>
        <w:ind w:left="1440" w:right="-72"/>
      </w:pPr>
      <w:r>
        <w:rPr>
          <w:szCs w:val="24"/>
        </w:rPr>
        <w:t>F</w:t>
      </w:r>
      <w:r>
        <w:t xml:space="preserve">or all powered (active) hardware and/or software components of the Information System which the Bidder does not itself produce, by submission of documentary evidence in its Bid, the Bidder must establish to the Purchaser’s satisfaction that it is not prohibited to supply those components in the Purchaser’s country under the Contract(s) that may result from this procurement.  </w:t>
      </w:r>
    </w:p>
    <w:p w14:paraId="557EA82C" w14:textId="77777777" w:rsidR="00157AAA" w:rsidRDefault="006C1BE5">
      <w:pPr>
        <w:ind w:left="2160" w:right="-72" w:hanging="720"/>
      </w:pPr>
      <w:r>
        <w:t>(</w:t>
      </w:r>
      <w:proofErr w:type="spellStart"/>
      <w:r>
        <w:t>i</w:t>
      </w:r>
      <w:proofErr w:type="spellEnd"/>
      <w:r>
        <w:t>)</w:t>
      </w:r>
      <w:r>
        <w:tab/>
        <w:t>In the case of powered (active) hardware and other powered equipment, this must be documented by including Manufacturer’s Authorizations in the Bid (based on the form in Section IV</w:t>
      </w:r>
      <w:proofErr w:type="gramStart"/>
      <w:r>
        <w:t>);</w:t>
      </w:r>
      <w:proofErr w:type="gramEnd"/>
    </w:p>
    <w:p w14:paraId="77069385" w14:textId="77777777" w:rsidR="00157AAA" w:rsidRDefault="006C1BE5">
      <w:pPr>
        <w:ind w:left="2160" w:right="-72" w:hanging="720"/>
      </w:pPr>
      <w:r>
        <w:t>(ii)</w:t>
      </w:r>
      <w:r>
        <w:tab/>
        <w:t xml:space="preserve">In the case of proprietary commercial software (i.e., excluding open source or “freeware” software) that the Bidder does not manufacture itself and for which the Bidder has or will establish an Original Equipment Manufacturer (OEM) relationship with the manufacture, the Bidder must provide Manufacture’s </w:t>
      </w:r>
      <w:proofErr w:type="gramStart"/>
      <w:r>
        <w:t>Authorizations;</w:t>
      </w:r>
      <w:proofErr w:type="gramEnd"/>
    </w:p>
    <w:p w14:paraId="525658F7" w14:textId="77777777" w:rsidR="00157AAA" w:rsidRDefault="006C1BE5">
      <w:pPr>
        <w:ind w:left="2160" w:right="-72" w:hanging="720"/>
      </w:pPr>
      <w:r>
        <w:t>(iii)</w:t>
      </w:r>
      <w:r>
        <w:tab/>
        <w:t xml:space="preserve">In the case of proprietary commercial software (i.e., excluding open source or “freeware” software) that the Bidder does not manufacture itself and for which the Bidder does not or will not establish an OEM relationship with the manufacture, the Bidder must document to the Purchaser’s satisfaction that the Bidder is not excluded from sourcing these items from the manufacturer’s distribution channels and offering these items for supply in the Borrower’s Country. </w:t>
      </w:r>
    </w:p>
    <w:p w14:paraId="559FDB1D" w14:textId="77777777" w:rsidR="00157AAA" w:rsidRDefault="006C1BE5">
      <w:pPr>
        <w:ind w:left="2160" w:right="-72" w:hanging="720"/>
      </w:pPr>
      <w:r>
        <w:t>(iv)</w:t>
      </w:r>
      <w:r>
        <w:tab/>
        <w:t xml:space="preserve">In the case of open-source software, the Bidder must identify the software item as open source and provide copies of the relevant </w:t>
      </w:r>
      <w:proofErr w:type="gramStart"/>
      <w:r>
        <w:t>open source</w:t>
      </w:r>
      <w:proofErr w:type="gramEnd"/>
      <w:r>
        <w:t xml:space="preserve"> license(s).</w:t>
      </w:r>
    </w:p>
    <w:p w14:paraId="70A5CA23" w14:textId="77777777" w:rsidR="00157AAA" w:rsidRDefault="006C1BE5">
      <w:pPr>
        <w:ind w:left="1440" w:right="-72"/>
      </w:pPr>
      <w:r>
        <w:t>The Bidder is responsible for ensuring that the manufacturer or producer complies with the requirements of ITB 4 and ITB 5 and meets the minimum criteria listed above for that item.</w:t>
      </w:r>
    </w:p>
    <w:p w14:paraId="2348A26B" w14:textId="77777777" w:rsidR="00157AAA" w:rsidRDefault="006C1BE5">
      <w:pPr>
        <w:tabs>
          <w:tab w:val="left" w:pos="-1440"/>
          <w:tab w:val="left" w:pos="-720"/>
          <w:tab w:val="left" w:pos="0"/>
        </w:tabs>
        <w:ind w:left="360"/>
        <w:rPr>
          <w:b/>
        </w:rPr>
      </w:pPr>
      <w:r>
        <w:rPr>
          <w:b/>
        </w:rPr>
        <w:t>5.8    Local Representation</w:t>
      </w:r>
    </w:p>
    <w:p w14:paraId="348BA688" w14:textId="77777777" w:rsidR="00157AAA" w:rsidRDefault="006C1BE5">
      <w:pPr>
        <w:spacing w:after="200"/>
        <w:ind w:left="720"/>
        <w:rPr>
          <w:szCs w:val="24"/>
        </w:rPr>
      </w:pPr>
      <w:r>
        <w:t>In the case of a Bidder not doing business within the Purchaser’s country, the Bidder shall submit documentary evidence in its Bid to establish to the Purchaser’s satisfaction that it is or will be (if awarded the Contract) represented by an agent in that country who is equipped and able to carry out / manage the Bidder’s maintenance, technical support, training, and warranty repair obligations specified in the Purchaser’s Requirements (including any response time, problem-resolution norms or other aspects that may be specified in the Contract).</w:t>
      </w:r>
    </w:p>
    <w:p w14:paraId="6C808A11" w14:textId="77777777" w:rsidR="00157AAA" w:rsidRDefault="006C1BE5">
      <w:pPr>
        <w:tabs>
          <w:tab w:val="left" w:pos="1800"/>
          <w:tab w:val="left" w:pos="2520"/>
          <w:tab w:val="left" w:pos="3240"/>
          <w:tab w:val="left" w:pos="3960"/>
          <w:tab w:val="left" w:pos="4680"/>
          <w:tab w:val="left" w:pos="5400"/>
          <w:tab w:val="left" w:pos="6120"/>
          <w:tab w:val="left" w:pos="6840"/>
          <w:tab w:val="left" w:pos="7560"/>
          <w:tab w:val="left" w:pos="8280"/>
          <w:tab w:val="left" w:pos="9000"/>
        </w:tabs>
        <w:ind w:left="630"/>
      </w:pPr>
      <w:r>
        <w:t>Bidders must have a valid partnership for supply and service delivery with a hardware vendor company and authorized for Republic of North Macedonia.</w:t>
      </w:r>
    </w:p>
    <w:p w14:paraId="2D9C1BB1" w14:textId="77777777" w:rsidR="00157AAA" w:rsidRDefault="00157AAA">
      <w:pPr>
        <w:pStyle w:val="ListParagraph"/>
        <w:tabs>
          <w:tab w:val="left" w:pos="-1440"/>
          <w:tab w:val="left" w:pos="-720"/>
          <w:tab w:val="left" w:pos="0"/>
        </w:tabs>
        <w:sectPr w:rsidR="00157AAA" w:rsidSect="00734667">
          <w:headerReference w:type="even" r:id="rId54"/>
          <w:headerReference w:type="default" r:id="rId55"/>
          <w:headerReference w:type="first" r:id="rId56"/>
          <w:pgSz w:w="12240" w:h="15840"/>
          <w:pgMar w:top="1440" w:right="1440" w:bottom="1440" w:left="1440" w:header="720" w:footer="720" w:gutter="0"/>
          <w:cols w:space="720"/>
          <w:titlePg/>
          <w:docGrid w:linePitch="360"/>
        </w:sectPr>
      </w:pPr>
    </w:p>
    <w:tbl>
      <w:tblPr>
        <w:tblW w:w="9108" w:type="dxa"/>
        <w:tblLayout w:type="fixed"/>
        <w:tblLook w:val="0000" w:firstRow="0" w:lastRow="0" w:firstColumn="0" w:lastColumn="0" w:noHBand="0" w:noVBand="0"/>
      </w:tblPr>
      <w:tblGrid>
        <w:gridCol w:w="9108"/>
      </w:tblGrid>
      <w:tr w:rsidR="00157AAA" w14:paraId="056DE643" w14:textId="77777777">
        <w:trPr>
          <w:trHeight w:val="1100"/>
        </w:trPr>
        <w:tc>
          <w:tcPr>
            <w:tcW w:w="9108" w:type="dxa"/>
            <w:vAlign w:val="center"/>
          </w:tcPr>
          <w:p w14:paraId="58DF3129" w14:textId="77777777" w:rsidR="00157AAA" w:rsidRDefault="006C1BE5">
            <w:pPr>
              <w:pStyle w:val="Head02"/>
            </w:pPr>
            <w:bookmarkStart w:id="539" w:name="_Toc438266927"/>
            <w:bookmarkStart w:id="540" w:name="_Toc438267901"/>
            <w:bookmarkStart w:id="541" w:name="_Toc438366667"/>
            <w:bookmarkStart w:id="542" w:name="_Toc41971244"/>
            <w:bookmarkStart w:id="543" w:name="_Toc125954067"/>
            <w:bookmarkStart w:id="544" w:name="_Toc197840923"/>
            <w:bookmarkStart w:id="545" w:name="_Toc73977452"/>
            <w:bookmarkStart w:id="546" w:name="_Toc218673933"/>
            <w:bookmarkStart w:id="547" w:name="_Toc218673996"/>
            <w:bookmarkStart w:id="548" w:name="_Toc521498750"/>
            <w:bookmarkStart w:id="549" w:name="_Toc215902374"/>
            <w:bookmarkStart w:id="550" w:name="_Toc218573809"/>
            <w:bookmarkEnd w:id="1"/>
            <w:bookmarkEnd w:id="2"/>
            <w:bookmarkEnd w:id="3"/>
            <w:bookmarkEnd w:id="4"/>
            <w:bookmarkEnd w:id="5"/>
            <w:r>
              <w:rPr>
                <w:rFonts w:ascii="Times New Roman" w:hAnsi="Times New Roman"/>
              </w:rPr>
              <w:lastRenderedPageBreak/>
              <w:t>Section IV - Bidding Forms</w:t>
            </w:r>
            <w:bookmarkEnd w:id="539"/>
            <w:bookmarkEnd w:id="540"/>
            <w:bookmarkEnd w:id="541"/>
            <w:bookmarkEnd w:id="542"/>
            <w:bookmarkEnd w:id="543"/>
            <w:bookmarkEnd w:id="544"/>
            <w:bookmarkEnd w:id="545"/>
          </w:p>
        </w:tc>
      </w:tr>
    </w:tbl>
    <w:p w14:paraId="64274F2F" w14:textId="77777777" w:rsidR="00157AAA" w:rsidRDefault="00157AAA">
      <w:pPr>
        <w:jc w:val="center"/>
        <w:rPr>
          <w:b/>
          <w:sz w:val="32"/>
          <w:u w:val="single"/>
        </w:rPr>
      </w:pPr>
    </w:p>
    <w:p w14:paraId="5315BCC7" w14:textId="77777777" w:rsidR="00157AAA" w:rsidRDefault="006C1BE5">
      <w:pPr>
        <w:pStyle w:val="Subtitle2"/>
      </w:pPr>
      <w:r>
        <w:t>Table of Forms</w:t>
      </w:r>
    </w:p>
    <w:p w14:paraId="202BDA42" w14:textId="57B961D4" w:rsidR="00DE1F8A" w:rsidRDefault="006C1BE5">
      <w:pPr>
        <w:pStyle w:val="TOC1"/>
        <w:rPr>
          <w:rFonts w:asciiTheme="minorHAnsi" w:eastAsiaTheme="minorEastAsia" w:hAnsiTheme="minorHAnsi" w:cstheme="minorBidi"/>
          <w:b w:val="0"/>
          <w:noProof/>
          <w:sz w:val="22"/>
          <w:szCs w:val="22"/>
        </w:rPr>
      </w:pPr>
      <w:r>
        <w:rPr>
          <w:rFonts w:ascii="Times New Roman" w:hAnsi="Times New Roman"/>
          <w:szCs w:val="24"/>
        </w:rPr>
        <w:fldChar w:fldCharType="begin"/>
      </w:r>
      <w:r>
        <w:rPr>
          <w:rFonts w:ascii="Times New Roman" w:hAnsi="Times New Roman"/>
          <w:szCs w:val="24"/>
        </w:rPr>
        <w:instrText xml:space="preserve"> TOC \h \z \t "S4 Header,2,S4-header1,1" </w:instrText>
      </w:r>
      <w:r>
        <w:rPr>
          <w:rFonts w:ascii="Times New Roman" w:hAnsi="Times New Roman"/>
          <w:szCs w:val="24"/>
        </w:rPr>
        <w:fldChar w:fldCharType="separate"/>
      </w:r>
      <w:hyperlink w:anchor="_Toc163506157" w:history="1">
        <w:r w:rsidR="00DE1F8A" w:rsidRPr="006B421B">
          <w:rPr>
            <w:rStyle w:val="Hyperlink"/>
            <w:noProof/>
          </w:rPr>
          <w:t>Letter of Bid</w:t>
        </w:r>
        <w:r w:rsidR="00DE1F8A">
          <w:rPr>
            <w:noProof/>
            <w:webHidden/>
          </w:rPr>
          <w:tab/>
        </w:r>
        <w:r w:rsidR="00DE1F8A">
          <w:rPr>
            <w:noProof/>
            <w:webHidden/>
          </w:rPr>
          <w:fldChar w:fldCharType="begin"/>
        </w:r>
        <w:r w:rsidR="00DE1F8A">
          <w:rPr>
            <w:noProof/>
            <w:webHidden/>
          </w:rPr>
          <w:instrText xml:space="preserve"> PAGEREF _Toc163506157 \h </w:instrText>
        </w:r>
        <w:r w:rsidR="00DE1F8A">
          <w:rPr>
            <w:noProof/>
            <w:webHidden/>
          </w:rPr>
        </w:r>
        <w:r w:rsidR="00DE1F8A">
          <w:rPr>
            <w:noProof/>
            <w:webHidden/>
          </w:rPr>
          <w:fldChar w:fldCharType="separate"/>
        </w:r>
        <w:r w:rsidR="00DE1F8A">
          <w:rPr>
            <w:noProof/>
            <w:webHidden/>
          </w:rPr>
          <w:t>66</w:t>
        </w:r>
        <w:r w:rsidR="00DE1F8A">
          <w:rPr>
            <w:noProof/>
            <w:webHidden/>
          </w:rPr>
          <w:fldChar w:fldCharType="end"/>
        </w:r>
      </w:hyperlink>
    </w:p>
    <w:p w14:paraId="4D60C841" w14:textId="007CB922" w:rsidR="00DE1F8A" w:rsidRDefault="00000000">
      <w:pPr>
        <w:pStyle w:val="TOC1"/>
        <w:rPr>
          <w:rFonts w:asciiTheme="minorHAnsi" w:eastAsiaTheme="minorEastAsia" w:hAnsiTheme="minorHAnsi" w:cstheme="minorBidi"/>
          <w:b w:val="0"/>
          <w:noProof/>
          <w:sz w:val="22"/>
          <w:szCs w:val="22"/>
        </w:rPr>
      </w:pPr>
      <w:hyperlink w:anchor="_Toc163506158" w:history="1">
        <w:r w:rsidR="00DE1F8A" w:rsidRPr="006B421B">
          <w:rPr>
            <w:rStyle w:val="Hyperlink"/>
            <w:smallCaps/>
            <w:noProof/>
          </w:rPr>
          <w:t>Price Schedule Forms</w:t>
        </w:r>
        <w:r w:rsidR="00DE1F8A">
          <w:rPr>
            <w:noProof/>
            <w:webHidden/>
          </w:rPr>
          <w:tab/>
        </w:r>
        <w:r w:rsidR="00DE1F8A">
          <w:rPr>
            <w:noProof/>
            <w:webHidden/>
          </w:rPr>
          <w:fldChar w:fldCharType="begin"/>
        </w:r>
        <w:r w:rsidR="00DE1F8A">
          <w:rPr>
            <w:noProof/>
            <w:webHidden/>
          </w:rPr>
          <w:instrText xml:space="preserve"> PAGEREF _Toc163506158 \h </w:instrText>
        </w:r>
        <w:r w:rsidR="00DE1F8A">
          <w:rPr>
            <w:noProof/>
            <w:webHidden/>
          </w:rPr>
        </w:r>
        <w:r w:rsidR="00DE1F8A">
          <w:rPr>
            <w:noProof/>
            <w:webHidden/>
          </w:rPr>
          <w:fldChar w:fldCharType="separate"/>
        </w:r>
        <w:r w:rsidR="00DE1F8A">
          <w:rPr>
            <w:noProof/>
            <w:webHidden/>
          </w:rPr>
          <w:t>69</w:t>
        </w:r>
        <w:r w:rsidR="00DE1F8A">
          <w:rPr>
            <w:noProof/>
            <w:webHidden/>
          </w:rPr>
          <w:fldChar w:fldCharType="end"/>
        </w:r>
      </w:hyperlink>
    </w:p>
    <w:p w14:paraId="14EF3AE2" w14:textId="67A7785F" w:rsidR="00DE1F8A" w:rsidRDefault="00000000">
      <w:pPr>
        <w:pStyle w:val="TOC1"/>
        <w:rPr>
          <w:rFonts w:asciiTheme="minorHAnsi" w:eastAsiaTheme="minorEastAsia" w:hAnsiTheme="minorHAnsi" w:cstheme="minorBidi"/>
          <w:b w:val="0"/>
          <w:noProof/>
          <w:sz w:val="22"/>
          <w:szCs w:val="22"/>
        </w:rPr>
      </w:pPr>
      <w:hyperlink w:anchor="_Toc163506159" w:history="1">
        <w:r w:rsidR="00DE1F8A" w:rsidRPr="006B421B">
          <w:rPr>
            <w:rStyle w:val="Hyperlink"/>
            <w:smallCaps/>
            <w:noProof/>
          </w:rPr>
          <w:t>Form ELI 5.1.1- Bidder Information Form</w:t>
        </w:r>
        <w:r w:rsidR="00DE1F8A">
          <w:rPr>
            <w:noProof/>
            <w:webHidden/>
          </w:rPr>
          <w:tab/>
        </w:r>
        <w:r w:rsidR="00DE1F8A">
          <w:rPr>
            <w:noProof/>
            <w:webHidden/>
          </w:rPr>
          <w:fldChar w:fldCharType="begin"/>
        </w:r>
        <w:r w:rsidR="00DE1F8A">
          <w:rPr>
            <w:noProof/>
            <w:webHidden/>
          </w:rPr>
          <w:instrText xml:space="preserve"> PAGEREF _Toc163506159 \h </w:instrText>
        </w:r>
        <w:r w:rsidR="00DE1F8A">
          <w:rPr>
            <w:noProof/>
            <w:webHidden/>
          </w:rPr>
        </w:r>
        <w:r w:rsidR="00DE1F8A">
          <w:rPr>
            <w:noProof/>
            <w:webHidden/>
          </w:rPr>
          <w:fldChar w:fldCharType="separate"/>
        </w:r>
        <w:r w:rsidR="00DE1F8A">
          <w:rPr>
            <w:noProof/>
            <w:webHidden/>
          </w:rPr>
          <w:t>82</w:t>
        </w:r>
        <w:r w:rsidR="00DE1F8A">
          <w:rPr>
            <w:noProof/>
            <w:webHidden/>
          </w:rPr>
          <w:fldChar w:fldCharType="end"/>
        </w:r>
      </w:hyperlink>
    </w:p>
    <w:p w14:paraId="38B2BEB4" w14:textId="1C4DE54B" w:rsidR="00DE1F8A" w:rsidRDefault="00000000">
      <w:pPr>
        <w:pStyle w:val="TOC1"/>
        <w:rPr>
          <w:rFonts w:asciiTheme="minorHAnsi" w:eastAsiaTheme="minorEastAsia" w:hAnsiTheme="minorHAnsi" w:cstheme="minorBidi"/>
          <w:b w:val="0"/>
          <w:noProof/>
          <w:sz w:val="22"/>
          <w:szCs w:val="22"/>
        </w:rPr>
      </w:pPr>
      <w:hyperlink w:anchor="_Toc163506160" w:history="1">
        <w:r w:rsidR="00DE1F8A" w:rsidRPr="006B421B">
          <w:rPr>
            <w:rStyle w:val="Hyperlink"/>
            <w:smallCaps/>
            <w:noProof/>
          </w:rPr>
          <w:t>Form ELI 5.1.2- Bidder’s JV Members Information Form</w:t>
        </w:r>
        <w:r w:rsidR="00DE1F8A">
          <w:rPr>
            <w:noProof/>
            <w:webHidden/>
          </w:rPr>
          <w:tab/>
        </w:r>
        <w:r w:rsidR="00DE1F8A">
          <w:rPr>
            <w:noProof/>
            <w:webHidden/>
          </w:rPr>
          <w:fldChar w:fldCharType="begin"/>
        </w:r>
        <w:r w:rsidR="00DE1F8A">
          <w:rPr>
            <w:noProof/>
            <w:webHidden/>
          </w:rPr>
          <w:instrText xml:space="preserve"> PAGEREF _Toc163506160 \h </w:instrText>
        </w:r>
        <w:r w:rsidR="00DE1F8A">
          <w:rPr>
            <w:noProof/>
            <w:webHidden/>
          </w:rPr>
        </w:r>
        <w:r w:rsidR="00DE1F8A">
          <w:rPr>
            <w:noProof/>
            <w:webHidden/>
          </w:rPr>
          <w:fldChar w:fldCharType="separate"/>
        </w:r>
        <w:r w:rsidR="00DE1F8A">
          <w:rPr>
            <w:noProof/>
            <w:webHidden/>
          </w:rPr>
          <w:t>84</w:t>
        </w:r>
        <w:r w:rsidR="00DE1F8A">
          <w:rPr>
            <w:noProof/>
            <w:webHidden/>
          </w:rPr>
          <w:fldChar w:fldCharType="end"/>
        </w:r>
      </w:hyperlink>
    </w:p>
    <w:p w14:paraId="3C4AC79F" w14:textId="6B4B0578" w:rsidR="00DE1F8A" w:rsidRDefault="00000000">
      <w:pPr>
        <w:pStyle w:val="TOC1"/>
        <w:rPr>
          <w:rFonts w:asciiTheme="minorHAnsi" w:eastAsiaTheme="minorEastAsia" w:hAnsiTheme="minorHAnsi" w:cstheme="minorBidi"/>
          <w:b w:val="0"/>
          <w:noProof/>
          <w:sz w:val="22"/>
          <w:szCs w:val="22"/>
        </w:rPr>
      </w:pPr>
      <w:hyperlink w:anchor="_Toc163506161" w:history="1">
        <w:r w:rsidR="00DE1F8A" w:rsidRPr="006B421B">
          <w:rPr>
            <w:rStyle w:val="Hyperlink"/>
            <w:smallCaps/>
            <w:noProof/>
          </w:rPr>
          <w:t>Form CON – 2- Historical Contract Non-Performance, Pending Litigation and Litigation History</w:t>
        </w:r>
        <w:r w:rsidR="00DE1F8A">
          <w:rPr>
            <w:noProof/>
            <w:webHidden/>
          </w:rPr>
          <w:tab/>
        </w:r>
        <w:r w:rsidR="00DE1F8A">
          <w:rPr>
            <w:noProof/>
            <w:webHidden/>
          </w:rPr>
          <w:fldChar w:fldCharType="begin"/>
        </w:r>
        <w:r w:rsidR="00DE1F8A">
          <w:rPr>
            <w:noProof/>
            <w:webHidden/>
          </w:rPr>
          <w:instrText xml:space="preserve"> PAGEREF _Toc163506161 \h </w:instrText>
        </w:r>
        <w:r w:rsidR="00DE1F8A">
          <w:rPr>
            <w:noProof/>
            <w:webHidden/>
          </w:rPr>
        </w:r>
        <w:r w:rsidR="00DE1F8A">
          <w:rPr>
            <w:noProof/>
            <w:webHidden/>
          </w:rPr>
          <w:fldChar w:fldCharType="separate"/>
        </w:r>
        <w:r w:rsidR="00DE1F8A">
          <w:rPr>
            <w:noProof/>
            <w:webHidden/>
          </w:rPr>
          <w:t>86</w:t>
        </w:r>
        <w:r w:rsidR="00DE1F8A">
          <w:rPr>
            <w:noProof/>
            <w:webHidden/>
          </w:rPr>
          <w:fldChar w:fldCharType="end"/>
        </w:r>
      </w:hyperlink>
    </w:p>
    <w:p w14:paraId="1BD8FC80" w14:textId="60BFB349" w:rsidR="00DE1F8A" w:rsidRDefault="00000000">
      <w:pPr>
        <w:pStyle w:val="TOC1"/>
        <w:rPr>
          <w:rFonts w:asciiTheme="minorHAnsi" w:eastAsiaTheme="minorEastAsia" w:hAnsiTheme="minorHAnsi" w:cstheme="minorBidi"/>
          <w:b w:val="0"/>
          <w:noProof/>
          <w:sz w:val="22"/>
          <w:szCs w:val="22"/>
        </w:rPr>
      </w:pPr>
      <w:hyperlink w:anchor="_Toc163506162" w:history="1">
        <w:r w:rsidR="00DE1F8A" w:rsidRPr="006B421B">
          <w:rPr>
            <w:rStyle w:val="Hyperlink"/>
            <w:smallCaps/>
            <w:noProof/>
          </w:rPr>
          <w:t>Form CON – 3</w:t>
        </w:r>
        <w:r w:rsidR="00DE1F8A">
          <w:rPr>
            <w:noProof/>
            <w:webHidden/>
          </w:rPr>
          <w:tab/>
        </w:r>
        <w:r w:rsidR="00DE1F8A">
          <w:rPr>
            <w:noProof/>
            <w:webHidden/>
          </w:rPr>
          <w:fldChar w:fldCharType="begin"/>
        </w:r>
        <w:r w:rsidR="00DE1F8A">
          <w:rPr>
            <w:noProof/>
            <w:webHidden/>
          </w:rPr>
          <w:instrText xml:space="preserve"> PAGEREF _Toc163506162 \h </w:instrText>
        </w:r>
        <w:r w:rsidR="00DE1F8A">
          <w:rPr>
            <w:noProof/>
            <w:webHidden/>
          </w:rPr>
        </w:r>
        <w:r w:rsidR="00DE1F8A">
          <w:rPr>
            <w:noProof/>
            <w:webHidden/>
          </w:rPr>
          <w:fldChar w:fldCharType="separate"/>
        </w:r>
        <w:r w:rsidR="00DE1F8A">
          <w:rPr>
            <w:noProof/>
            <w:webHidden/>
          </w:rPr>
          <w:t>88</w:t>
        </w:r>
        <w:r w:rsidR="00DE1F8A">
          <w:rPr>
            <w:noProof/>
            <w:webHidden/>
          </w:rPr>
          <w:fldChar w:fldCharType="end"/>
        </w:r>
      </w:hyperlink>
    </w:p>
    <w:p w14:paraId="6E5B76E4" w14:textId="60C75B78" w:rsidR="00DE1F8A" w:rsidRDefault="00000000">
      <w:pPr>
        <w:pStyle w:val="TOC1"/>
        <w:rPr>
          <w:rFonts w:asciiTheme="minorHAnsi" w:eastAsiaTheme="minorEastAsia" w:hAnsiTheme="minorHAnsi" w:cstheme="minorBidi"/>
          <w:b w:val="0"/>
          <w:noProof/>
          <w:sz w:val="22"/>
          <w:szCs w:val="22"/>
        </w:rPr>
      </w:pPr>
      <w:hyperlink w:anchor="_Toc163506163" w:history="1">
        <w:r w:rsidR="00DE1F8A" w:rsidRPr="006B421B">
          <w:rPr>
            <w:rStyle w:val="Hyperlink"/>
            <w:smallCaps/>
            <w:noProof/>
          </w:rPr>
          <w:t>Sexual Exploitation and Abuse (SEA) and/or Sexual Harassment Performance Declaration</w:t>
        </w:r>
        <w:r w:rsidR="00DE1F8A">
          <w:rPr>
            <w:noProof/>
            <w:webHidden/>
          </w:rPr>
          <w:tab/>
        </w:r>
        <w:r w:rsidR="00DE1F8A">
          <w:rPr>
            <w:noProof/>
            <w:webHidden/>
          </w:rPr>
          <w:fldChar w:fldCharType="begin"/>
        </w:r>
        <w:r w:rsidR="00DE1F8A">
          <w:rPr>
            <w:noProof/>
            <w:webHidden/>
          </w:rPr>
          <w:instrText xml:space="preserve"> PAGEREF _Toc163506163 \h </w:instrText>
        </w:r>
        <w:r w:rsidR="00DE1F8A">
          <w:rPr>
            <w:noProof/>
            <w:webHidden/>
          </w:rPr>
        </w:r>
        <w:r w:rsidR="00DE1F8A">
          <w:rPr>
            <w:noProof/>
            <w:webHidden/>
          </w:rPr>
          <w:fldChar w:fldCharType="separate"/>
        </w:r>
        <w:r w:rsidR="00DE1F8A">
          <w:rPr>
            <w:noProof/>
            <w:webHidden/>
          </w:rPr>
          <w:t>88</w:t>
        </w:r>
        <w:r w:rsidR="00DE1F8A">
          <w:rPr>
            <w:noProof/>
            <w:webHidden/>
          </w:rPr>
          <w:fldChar w:fldCharType="end"/>
        </w:r>
      </w:hyperlink>
    </w:p>
    <w:p w14:paraId="45ECF21A" w14:textId="4174E939" w:rsidR="00DE1F8A" w:rsidRDefault="00000000">
      <w:pPr>
        <w:pStyle w:val="TOC1"/>
        <w:rPr>
          <w:rFonts w:asciiTheme="minorHAnsi" w:eastAsiaTheme="minorEastAsia" w:hAnsiTheme="minorHAnsi" w:cstheme="minorBidi"/>
          <w:b w:val="0"/>
          <w:noProof/>
          <w:sz w:val="22"/>
          <w:szCs w:val="22"/>
        </w:rPr>
      </w:pPr>
      <w:hyperlink w:anchor="_Toc163506164" w:history="1">
        <w:r w:rsidR="00DE1F8A" w:rsidRPr="006B421B">
          <w:rPr>
            <w:rStyle w:val="Hyperlink"/>
            <w:smallCaps/>
            <w:noProof/>
          </w:rPr>
          <w:t>Form EXP 5.4.1- General Experience</w:t>
        </w:r>
        <w:r w:rsidR="00DE1F8A">
          <w:rPr>
            <w:noProof/>
            <w:webHidden/>
          </w:rPr>
          <w:tab/>
        </w:r>
        <w:r w:rsidR="00DE1F8A">
          <w:rPr>
            <w:noProof/>
            <w:webHidden/>
          </w:rPr>
          <w:fldChar w:fldCharType="begin"/>
        </w:r>
        <w:r w:rsidR="00DE1F8A">
          <w:rPr>
            <w:noProof/>
            <w:webHidden/>
          </w:rPr>
          <w:instrText xml:space="preserve"> PAGEREF _Toc163506164 \h </w:instrText>
        </w:r>
        <w:r w:rsidR="00DE1F8A">
          <w:rPr>
            <w:noProof/>
            <w:webHidden/>
          </w:rPr>
        </w:r>
        <w:r w:rsidR="00DE1F8A">
          <w:rPr>
            <w:noProof/>
            <w:webHidden/>
          </w:rPr>
          <w:fldChar w:fldCharType="separate"/>
        </w:r>
        <w:r w:rsidR="00DE1F8A">
          <w:rPr>
            <w:noProof/>
            <w:webHidden/>
          </w:rPr>
          <w:t>89</w:t>
        </w:r>
        <w:r w:rsidR="00DE1F8A">
          <w:rPr>
            <w:noProof/>
            <w:webHidden/>
          </w:rPr>
          <w:fldChar w:fldCharType="end"/>
        </w:r>
      </w:hyperlink>
    </w:p>
    <w:p w14:paraId="2E10B13A" w14:textId="597B0377" w:rsidR="00DE1F8A" w:rsidRDefault="00000000">
      <w:pPr>
        <w:pStyle w:val="TOC1"/>
        <w:rPr>
          <w:rFonts w:asciiTheme="minorHAnsi" w:eastAsiaTheme="minorEastAsia" w:hAnsiTheme="minorHAnsi" w:cstheme="minorBidi"/>
          <w:b w:val="0"/>
          <w:noProof/>
          <w:sz w:val="22"/>
          <w:szCs w:val="22"/>
        </w:rPr>
      </w:pPr>
      <w:hyperlink w:anchor="_Toc163506165" w:history="1">
        <w:r w:rsidR="00DE1F8A" w:rsidRPr="006B421B">
          <w:rPr>
            <w:rStyle w:val="Hyperlink"/>
            <w:smallCaps/>
            <w:noProof/>
          </w:rPr>
          <w:t>Form EXP – 5.4.2- Specific Experience</w:t>
        </w:r>
        <w:r w:rsidR="00DE1F8A">
          <w:rPr>
            <w:noProof/>
            <w:webHidden/>
          </w:rPr>
          <w:tab/>
        </w:r>
        <w:r w:rsidR="00DE1F8A">
          <w:rPr>
            <w:noProof/>
            <w:webHidden/>
          </w:rPr>
          <w:fldChar w:fldCharType="begin"/>
        </w:r>
        <w:r w:rsidR="00DE1F8A">
          <w:rPr>
            <w:noProof/>
            <w:webHidden/>
          </w:rPr>
          <w:instrText xml:space="preserve"> PAGEREF _Toc163506165 \h </w:instrText>
        </w:r>
        <w:r w:rsidR="00DE1F8A">
          <w:rPr>
            <w:noProof/>
            <w:webHidden/>
          </w:rPr>
        </w:r>
        <w:r w:rsidR="00DE1F8A">
          <w:rPr>
            <w:noProof/>
            <w:webHidden/>
          </w:rPr>
          <w:fldChar w:fldCharType="separate"/>
        </w:r>
        <w:r w:rsidR="00DE1F8A">
          <w:rPr>
            <w:noProof/>
            <w:webHidden/>
          </w:rPr>
          <w:t>90</w:t>
        </w:r>
        <w:r w:rsidR="00DE1F8A">
          <w:rPr>
            <w:noProof/>
            <w:webHidden/>
          </w:rPr>
          <w:fldChar w:fldCharType="end"/>
        </w:r>
      </w:hyperlink>
    </w:p>
    <w:p w14:paraId="516BD97B" w14:textId="0A3F5F4B" w:rsidR="00DE1F8A" w:rsidRDefault="00000000">
      <w:pPr>
        <w:pStyle w:val="TOC1"/>
        <w:rPr>
          <w:rFonts w:asciiTheme="minorHAnsi" w:eastAsiaTheme="minorEastAsia" w:hAnsiTheme="minorHAnsi" w:cstheme="minorBidi"/>
          <w:b w:val="0"/>
          <w:noProof/>
          <w:sz w:val="22"/>
          <w:szCs w:val="22"/>
        </w:rPr>
      </w:pPr>
      <w:hyperlink w:anchor="_Toc163506166" w:history="1">
        <w:r w:rsidR="00DE1F8A" w:rsidRPr="006B421B">
          <w:rPr>
            <w:rStyle w:val="Hyperlink"/>
            <w:smallCaps/>
            <w:noProof/>
          </w:rPr>
          <w:t>Form EXP – 5.4.2 (cont.)- Specific Experience (cont.)</w:t>
        </w:r>
        <w:r w:rsidR="00DE1F8A">
          <w:rPr>
            <w:noProof/>
            <w:webHidden/>
          </w:rPr>
          <w:tab/>
        </w:r>
        <w:r w:rsidR="00DE1F8A">
          <w:rPr>
            <w:noProof/>
            <w:webHidden/>
          </w:rPr>
          <w:fldChar w:fldCharType="begin"/>
        </w:r>
        <w:r w:rsidR="00DE1F8A">
          <w:rPr>
            <w:noProof/>
            <w:webHidden/>
          </w:rPr>
          <w:instrText xml:space="preserve"> PAGEREF _Toc163506166 \h </w:instrText>
        </w:r>
        <w:r w:rsidR="00DE1F8A">
          <w:rPr>
            <w:noProof/>
            <w:webHidden/>
          </w:rPr>
        </w:r>
        <w:r w:rsidR="00DE1F8A">
          <w:rPr>
            <w:noProof/>
            <w:webHidden/>
          </w:rPr>
          <w:fldChar w:fldCharType="separate"/>
        </w:r>
        <w:r w:rsidR="00DE1F8A">
          <w:rPr>
            <w:noProof/>
            <w:webHidden/>
          </w:rPr>
          <w:t>91</w:t>
        </w:r>
        <w:r w:rsidR="00DE1F8A">
          <w:rPr>
            <w:noProof/>
            <w:webHidden/>
          </w:rPr>
          <w:fldChar w:fldCharType="end"/>
        </w:r>
      </w:hyperlink>
    </w:p>
    <w:p w14:paraId="3183349A" w14:textId="30290FD8" w:rsidR="00DE1F8A" w:rsidRDefault="00000000">
      <w:pPr>
        <w:pStyle w:val="TOC1"/>
        <w:rPr>
          <w:rFonts w:asciiTheme="minorHAnsi" w:eastAsiaTheme="minorEastAsia" w:hAnsiTheme="minorHAnsi" w:cstheme="minorBidi"/>
          <w:b w:val="0"/>
          <w:noProof/>
          <w:sz w:val="22"/>
          <w:szCs w:val="22"/>
        </w:rPr>
      </w:pPr>
      <w:hyperlink w:anchor="_Toc163506167" w:history="1">
        <w:r w:rsidR="00DE1F8A" w:rsidRPr="006B421B">
          <w:rPr>
            <w:rStyle w:val="Hyperlink"/>
            <w:smallCaps/>
            <w:noProof/>
          </w:rPr>
          <w:t>Form CCC- Summary Sheet:  Current Contract Commitments / Work in Progress</w:t>
        </w:r>
        <w:r w:rsidR="00DE1F8A">
          <w:rPr>
            <w:noProof/>
            <w:webHidden/>
          </w:rPr>
          <w:tab/>
        </w:r>
        <w:r w:rsidR="00DE1F8A">
          <w:rPr>
            <w:noProof/>
            <w:webHidden/>
          </w:rPr>
          <w:fldChar w:fldCharType="begin"/>
        </w:r>
        <w:r w:rsidR="00DE1F8A">
          <w:rPr>
            <w:noProof/>
            <w:webHidden/>
          </w:rPr>
          <w:instrText xml:space="preserve"> PAGEREF _Toc163506167 \h </w:instrText>
        </w:r>
        <w:r w:rsidR="00DE1F8A">
          <w:rPr>
            <w:noProof/>
            <w:webHidden/>
          </w:rPr>
        </w:r>
        <w:r w:rsidR="00DE1F8A">
          <w:rPr>
            <w:noProof/>
            <w:webHidden/>
          </w:rPr>
          <w:fldChar w:fldCharType="separate"/>
        </w:r>
        <w:r w:rsidR="00DE1F8A">
          <w:rPr>
            <w:noProof/>
            <w:webHidden/>
          </w:rPr>
          <w:t>92</w:t>
        </w:r>
        <w:r w:rsidR="00DE1F8A">
          <w:rPr>
            <w:noProof/>
            <w:webHidden/>
          </w:rPr>
          <w:fldChar w:fldCharType="end"/>
        </w:r>
      </w:hyperlink>
    </w:p>
    <w:p w14:paraId="1185C786" w14:textId="13C23015" w:rsidR="00DE1F8A" w:rsidRDefault="00000000">
      <w:pPr>
        <w:pStyle w:val="TOC1"/>
        <w:rPr>
          <w:rFonts w:asciiTheme="minorHAnsi" w:eastAsiaTheme="minorEastAsia" w:hAnsiTheme="minorHAnsi" w:cstheme="minorBidi"/>
          <w:b w:val="0"/>
          <w:noProof/>
          <w:sz w:val="22"/>
          <w:szCs w:val="22"/>
        </w:rPr>
      </w:pPr>
      <w:hyperlink w:anchor="_Toc163506168" w:history="1">
        <w:r w:rsidR="00DE1F8A" w:rsidRPr="006B421B">
          <w:rPr>
            <w:rStyle w:val="Hyperlink"/>
            <w:smallCaps/>
            <w:noProof/>
          </w:rPr>
          <w:t>Form FIN – 5.3.1- Financial Situation: Historical Financial Performance</w:t>
        </w:r>
        <w:r w:rsidR="00DE1F8A">
          <w:rPr>
            <w:noProof/>
            <w:webHidden/>
          </w:rPr>
          <w:tab/>
        </w:r>
        <w:r w:rsidR="00DE1F8A">
          <w:rPr>
            <w:noProof/>
            <w:webHidden/>
          </w:rPr>
          <w:fldChar w:fldCharType="begin"/>
        </w:r>
        <w:r w:rsidR="00DE1F8A">
          <w:rPr>
            <w:noProof/>
            <w:webHidden/>
          </w:rPr>
          <w:instrText xml:space="preserve"> PAGEREF _Toc163506168 \h </w:instrText>
        </w:r>
        <w:r w:rsidR="00DE1F8A">
          <w:rPr>
            <w:noProof/>
            <w:webHidden/>
          </w:rPr>
        </w:r>
        <w:r w:rsidR="00DE1F8A">
          <w:rPr>
            <w:noProof/>
            <w:webHidden/>
          </w:rPr>
          <w:fldChar w:fldCharType="separate"/>
        </w:r>
        <w:r w:rsidR="00DE1F8A">
          <w:rPr>
            <w:noProof/>
            <w:webHidden/>
          </w:rPr>
          <w:t>93</w:t>
        </w:r>
        <w:r w:rsidR="00DE1F8A">
          <w:rPr>
            <w:noProof/>
            <w:webHidden/>
          </w:rPr>
          <w:fldChar w:fldCharType="end"/>
        </w:r>
      </w:hyperlink>
    </w:p>
    <w:p w14:paraId="54440F68" w14:textId="145DBA1F" w:rsidR="00DE1F8A" w:rsidRDefault="00000000">
      <w:pPr>
        <w:pStyle w:val="TOC1"/>
        <w:rPr>
          <w:rFonts w:asciiTheme="minorHAnsi" w:eastAsiaTheme="minorEastAsia" w:hAnsiTheme="minorHAnsi" w:cstheme="minorBidi"/>
          <w:b w:val="0"/>
          <w:noProof/>
          <w:sz w:val="22"/>
          <w:szCs w:val="22"/>
        </w:rPr>
      </w:pPr>
      <w:hyperlink w:anchor="_Toc163506169" w:history="1">
        <w:r w:rsidR="00DE1F8A" w:rsidRPr="006B421B">
          <w:rPr>
            <w:rStyle w:val="Hyperlink"/>
            <w:smallCaps/>
            <w:noProof/>
          </w:rPr>
          <w:t>Form FIN – 5.3.2- Average Annual Turnover</w:t>
        </w:r>
        <w:r w:rsidR="00DE1F8A">
          <w:rPr>
            <w:noProof/>
            <w:webHidden/>
          </w:rPr>
          <w:tab/>
        </w:r>
        <w:r w:rsidR="00DE1F8A">
          <w:rPr>
            <w:noProof/>
            <w:webHidden/>
          </w:rPr>
          <w:fldChar w:fldCharType="begin"/>
        </w:r>
        <w:r w:rsidR="00DE1F8A">
          <w:rPr>
            <w:noProof/>
            <w:webHidden/>
          </w:rPr>
          <w:instrText xml:space="preserve"> PAGEREF _Toc163506169 \h </w:instrText>
        </w:r>
        <w:r w:rsidR="00DE1F8A">
          <w:rPr>
            <w:noProof/>
            <w:webHidden/>
          </w:rPr>
        </w:r>
        <w:r w:rsidR="00DE1F8A">
          <w:rPr>
            <w:noProof/>
            <w:webHidden/>
          </w:rPr>
          <w:fldChar w:fldCharType="separate"/>
        </w:r>
        <w:r w:rsidR="00DE1F8A">
          <w:rPr>
            <w:noProof/>
            <w:webHidden/>
          </w:rPr>
          <w:t>94</w:t>
        </w:r>
        <w:r w:rsidR="00DE1F8A">
          <w:rPr>
            <w:noProof/>
            <w:webHidden/>
          </w:rPr>
          <w:fldChar w:fldCharType="end"/>
        </w:r>
      </w:hyperlink>
    </w:p>
    <w:p w14:paraId="520FFDAB" w14:textId="3C4B0AFC" w:rsidR="00DE1F8A" w:rsidRDefault="00000000">
      <w:pPr>
        <w:pStyle w:val="TOC1"/>
        <w:rPr>
          <w:rFonts w:asciiTheme="minorHAnsi" w:eastAsiaTheme="minorEastAsia" w:hAnsiTheme="minorHAnsi" w:cstheme="minorBidi"/>
          <w:b w:val="0"/>
          <w:noProof/>
          <w:sz w:val="22"/>
          <w:szCs w:val="22"/>
        </w:rPr>
      </w:pPr>
      <w:hyperlink w:anchor="_Toc163506170" w:history="1">
        <w:r w:rsidR="00DE1F8A" w:rsidRPr="006B421B">
          <w:rPr>
            <w:rStyle w:val="Hyperlink"/>
            <w:smallCaps/>
            <w:noProof/>
          </w:rPr>
          <w:t>Form FIN 5.3.3- Financial Resources</w:t>
        </w:r>
        <w:r w:rsidR="00DE1F8A">
          <w:rPr>
            <w:noProof/>
            <w:webHidden/>
          </w:rPr>
          <w:tab/>
        </w:r>
        <w:r w:rsidR="00DE1F8A">
          <w:rPr>
            <w:noProof/>
            <w:webHidden/>
          </w:rPr>
          <w:fldChar w:fldCharType="begin"/>
        </w:r>
        <w:r w:rsidR="00DE1F8A">
          <w:rPr>
            <w:noProof/>
            <w:webHidden/>
          </w:rPr>
          <w:instrText xml:space="preserve"> PAGEREF _Toc163506170 \h </w:instrText>
        </w:r>
        <w:r w:rsidR="00DE1F8A">
          <w:rPr>
            <w:noProof/>
            <w:webHidden/>
          </w:rPr>
        </w:r>
        <w:r w:rsidR="00DE1F8A">
          <w:rPr>
            <w:noProof/>
            <w:webHidden/>
          </w:rPr>
          <w:fldChar w:fldCharType="separate"/>
        </w:r>
        <w:r w:rsidR="00DE1F8A">
          <w:rPr>
            <w:noProof/>
            <w:webHidden/>
          </w:rPr>
          <w:t>95</w:t>
        </w:r>
        <w:r w:rsidR="00DE1F8A">
          <w:rPr>
            <w:noProof/>
            <w:webHidden/>
          </w:rPr>
          <w:fldChar w:fldCharType="end"/>
        </w:r>
      </w:hyperlink>
    </w:p>
    <w:p w14:paraId="4A8370BF" w14:textId="3B3C9582" w:rsidR="00DE1F8A" w:rsidRDefault="00000000">
      <w:pPr>
        <w:pStyle w:val="TOC1"/>
        <w:rPr>
          <w:rFonts w:asciiTheme="minorHAnsi" w:eastAsiaTheme="minorEastAsia" w:hAnsiTheme="minorHAnsi" w:cstheme="minorBidi"/>
          <w:b w:val="0"/>
          <w:noProof/>
          <w:sz w:val="22"/>
          <w:szCs w:val="22"/>
        </w:rPr>
      </w:pPr>
      <w:hyperlink w:anchor="_Toc163506171" w:history="1">
        <w:r w:rsidR="00DE1F8A" w:rsidRPr="006B421B">
          <w:rPr>
            <w:rStyle w:val="Hyperlink"/>
            <w:smallCaps/>
            <w:noProof/>
          </w:rPr>
          <w:t>Personnel Capabilities- Key Personnel</w:t>
        </w:r>
        <w:r w:rsidR="00DE1F8A">
          <w:rPr>
            <w:noProof/>
            <w:webHidden/>
          </w:rPr>
          <w:tab/>
        </w:r>
        <w:r w:rsidR="00DE1F8A">
          <w:rPr>
            <w:noProof/>
            <w:webHidden/>
          </w:rPr>
          <w:fldChar w:fldCharType="begin"/>
        </w:r>
        <w:r w:rsidR="00DE1F8A">
          <w:rPr>
            <w:noProof/>
            <w:webHidden/>
          </w:rPr>
          <w:instrText xml:space="preserve"> PAGEREF _Toc163506171 \h </w:instrText>
        </w:r>
        <w:r w:rsidR="00DE1F8A">
          <w:rPr>
            <w:noProof/>
            <w:webHidden/>
          </w:rPr>
        </w:r>
        <w:r w:rsidR="00DE1F8A">
          <w:rPr>
            <w:noProof/>
            <w:webHidden/>
          </w:rPr>
          <w:fldChar w:fldCharType="separate"/>
        </w:r>
        <w:r w:rsidR="00DE1F8A">
          <w:rPr>
            <w:noProof/>
            <w:webHidden/>
          </w:rPr>
          <w:t>96</w:t>
        </w:r>
        <w:r w:rsidR="00DE1F8A">
          <w:rPr>
            <w:noProof/>
            <w:webHidden/>
          </w:rPr>
          <w:fldChar w:fldCharType="end"/>
        </w:r>
      </w:hyperlink>
    </w:p>
    <w:p w14:paraId="2F89313F" w14:textId="662F8614" w:rsidR="00DE1F8A" w:rsidRDefault="00000000">
      <w:pPr>
        <w:pStyle w:val="TOC1"/>
        <w:rPr>
          <w:rFonts w:asciiTheme="minorHAnsi" w:eastAsiaTheme="minorEastAsia" w:hAnsiTheme="minorHAnsi" w:cstheme="minorBidi"/>
          <w:b w:val="0"/>
          <w:noProof/>
          <w:sz w:val="22"/>
          <w:szCs w:val="22"/>
        </w:rPr>
      </w:pPr>
      <w:hyperlink w:anchor="_Toc163506172" w:history="1">
        <w:r w:rsidR="00DE1F8A" w:rsidRPr="006B421B">
          <w:rPr>
            <w:rStyle w:val="Hyperlink"/>
            <w:smallCaps/>
            <w:noProof/>
          </w:rPr>
          <w:t>Code of Conduct for Supplier’s Personnel Form</w:t>
        </w:r>
        <w:r w:rsidR="00DE1F8A">
          <w:rPr>
            <w:noProof/>
            <w:webHidden/>
          </w:rPr>
          <w:tab/>
        </w:r>
        <w:r w:rsidR="00DE1F8A">
          <w:rPr>
            <w:noProof/>
            <w:webHidden/>
          </w:rPr>
          <w:fldChar w:fldCharType="begin"/>
        </w:r>
        <w:r w:rsidR="00DE1F8A">
          <w:rPr>
            <w:noProof/>
            <w:webHidden/>
          </w:rPr>
          <w:instrText xml:space="preserve"> PAGEREF _Toc163506172 \h </w:instrText>
        </w:r>
        <w:r w:rsidR="00DE1F8A">
          <w:rPr>
            <w:noProof/>
            <w:webHidden/>
          </w:rPr>
        </w:r>
        <w:r w:rsidR="00DE1F8A">
          <w:rPr>
            <w:noProof/>
            <w:webHidden/>
          </w:rPr>
          <w:fldChar w:fldCharType="separate"/>
        </w:r>
        <w:r w:rsidR="00DE1F8A">
          <w:rPr>
            <w:noProof/>
            <w:webHidden/>
          </w:rPr>
          <w:t>99</w:t>
        </w:r>
        <w:r w:rsidR="00DE1F8A">
          <w:rPr>
            <w:noProof/>
            <w:webHidden/>
          </w:rPr>
          <w:fldChar w:fldCharType="end"/>
        </w:r>
      </w:hyperlink>
    </w:p>
    <w:p w14:paraId="3D32F9E8" w14:textId="71ABE3E9" w:rsidR="00DE1F8A" w:rsidRDefault="00000000">
      <w:pPr>
        <w:pStyle w:val="TOC1"/>
        <w:rPr>
          <w:rFonts w:asciiTheme="minorHAnsi" w:eastAsiaTheme="minorEastAsia" w:hAnsiTheme="minorHAnsi" w:cstheme="minorBidi"/>
          <w:b w:val="0"/>
          <w:noProof/>
          <w:sz w:val="22"/>
          <w:szCs w:val="22"/>
        </w:rPr>
      </w:pPr>
      <w:hyperlink w:anchor="_Toc163506173" w:history="1">
        <w:r w:rsidR="00DE1F8A" w:rsidRPr="006B421B">
          <w:rPr>
            <w:rStyle w:val="Hyperlink"/>
            <w:smallCaps/>
            <w:noProof/>
          </w:rPr>
          <w:t>Technical Capabilities</w:t>
        </w:r>
        <w:r w:rsidR="00DE1F8A">
          <w:rPr>
            <w:noProof/>
            <w:webHidden/>
          </w:rPr>
          <w:tab/>
        </w:r>
        <w:r w:rsidR="00DE1F8A">
          <w:rPr>
            <w:noProof/>
            <w:webHidden/>
          </w:rPr>
          <w:fldChar w:fldCharType="begin"/>
        </w:r>
        <w:r w:rsidR="00DE1F8A">
          <w:rPr>
            <w:noProof/>
            <w:webHidden/>
          </w:rPr>
          <w:instrText xml:space="preserve"> PAGEREF _Toc163506173 \h </w:instrText>
        </w:r>
        <w:r w:rsidR="00DE1F8A">
          <w:rPr>
            <w:noProof/>
            <w:webHidden/>
          </w:rPr>
        </w:r>
        <w:r w:rsidR="00DE1F8A">
          <w:rPr>
            <w:noProof/>
            <w:webHidden/>
          </w:rPr>
          <w:fldChar w:fldCharType="separate"/>
        </w:r>
        <w:r w:rsidR="00DE1F8A">
          <w:rPr>
            <w:noProof/>
            <w:webHidden/>
          </w:rPr>
          <w:t>103</w:t>
        </w:r>
        <w:r w:rsidR="00DE1F8A">
          <w:rPr>
            <w:noProof/>
            <w:webHidden/>
          </w:rPr>
          <w:fldChar w:fldCharType="end"/>
        </w:r>
      </w:hyperlink>
    </w:p>
    <w:p w14:paraId="67A9FFB6" w14:textId="6E96DDB9" w:rsidR="00DE1F8A" w:rsidRDefault="00000000">
      <w:pPr>
        <w:pStyle w:val="TOC1"/>
        <w:rPr>
          <w:rFonts w:asciiTheme="minorHAnsi" w:eastAsiaTheme="minorEastAsia" w:hAnsiTheme="minorHAnsi" w:cstheme="minorBidi"/>
          <w:b w:val="0"/>
          <w:noProof/>
          <w:sz w:val="22"/>
          <w:szCs w:val="22"/>
        </w:rPr>
      </w:pPr>
      <w:hyperlink w:anchor="_Toc163506174" w:history="1">
        <w:r w:rsidR="00DE1F8A" w:rsidRPr="006B421B">
          <w:rPr>
            <w:rStyle w:val="Hyperlink"/>
            <w:smallCaps/>
            <w:noProof/>
          </w:rPr>
          <w:t>Manufacturer’s Authorization</w:t>
        </w:r>
        <w:r w:rsidR="00DE1F8A">
          <w:rPr>
            <w:noProof/>
            <w:webHidden/>
          </w:rPr>
          <w:tab/>
        </w:r>
        <w:r w:rsidR="00DE1F8A">
          <w:rPr>
            <w:noProof/>
            <w:webHidden/>
          </w:rPr>
          <w:fldChar w:fldCharType="begin"/>
        </w:r>
        <w:r w:rsidR="00DE1F8A">
          <w:rPr>
            <w:noProof/>
            <w:webHidden/>
          </w:rPr>
          <w:instrText xml:space="preserve"> PAGEREF _Toc163506174 \h </w:instrText>
        </w:r>
        <w:r w:rsidR="00DE1F8A">
          <w:rPr>
            <w:noProof/>
            <w:webHidden/>
          </w:rPr>
        </w:r>
        <w:r w:rsidR="00DE1F8A">
          <w:rPr>
            <w:noProof/>
            <w:webHidden/>
          </w:rPr>
          <w:fldChar w:fldCharType="separate"/>
        </w:r>
        <w:r w:rsidR="00DE1F8A">
          <w:rPr>
            <w:noProof/>
            <w:webHidden/>
          </w:rPr>
          <w:t>104</w:t>
        </w:r>
        <w:r w:rsidR="00DE1F8A">
          <w:rPr>
            <w:noProof/>
            <w:webHidden/>
          </w:rPr>
          <w:fldChar w:fldCharType="end"/>
        </w:r>
      </w:hyperlink>
    </w:p>
    <w:p w14:paraId="7FC3DF6D" w14:textId="3A095A7F" w:rsidR="00DE1F8A" w:rsidRDefault="00000000">
      <w:pPr>
        <w:pStyle w:val="TOC1"/>
        <w:rPr>
          <w:rFonts w:asciiTheme="minorHAnsi" w:eastAsiaTheme="minorEastAsia" w:hAnsiTheme="minorHAnsi" w:cstheme="minorBidi"/>
          <w:b w:val="0"/>
          <w:noProof/>
          <w:sz w:val="22"/>
          <w:szCs w:val="22"/>
        </w:rPr>
      </w:pPr>
      <w:hyperlink w:anchor="_Toc163506175" w:history="1">
        <w:r w:rsidR="00DE1F8A" w:rsidRPr="006B421B">
          <w:rPr>
            <w:rStyle w:val="Hyperlink"/>
            <w:smallCaps/>
            <w:noProof/>
          </w:rPr>
          <w:t>Subcontractor’s Agreement</w:t>
        </w:r>
        <w:r w:rsidR="00DE1F8A">
          <w:rPr>
            <w:noProof/>
            <w:webHidden/>
          </w:rPr>
          <w:tab/>
        </w:r>
        <w:r w:rsidR="00DE1F8A">
          <w:rPr>
            <w:noProof/>
            <w:webHidden/>
          </w:rPr>
          <w:fldChar w:fldCharType="begin"/>
        </w:r>
        <w:r w:rsidR="00DE1F8A">
          <w:rPr>
            <w:noProof/>
            <w:webHidden/>
          </w:rPr>
          <w:instrText xml:space="preserve"> PAGEREF _Toc163506175 \h </w:instrText>
        </w:r>
        <w:r w:rsidR="00DE1F8A">
          <w:rPr>
            <w:noProof/>
            <w:webHidden/>
          </w:rPr>
        </w:r>
        <w:r w:rsidR="00DE1F8A">
          <w:rPr>
            <w:noProof/>
            <w:webHidden/>
          </w:rPr>
          <w:fldChar w:fldCharType="separate"/>
        </w:r>
        <w:r w:rsidR="00DE1F8A">
          <w:rPr>
            <w:noProof/>
            <w:webHidden/>
          </w:rPr>
          <w:t>105</w:t>
        </w:r>
        <w:r w:rsidR="00DE1F8A">
          <w:rPr>
            <w:noProof/>
            <w:webHidden/>
          </w:rPr>
          <w:fldChar w:fldCharType="end"/>
        </w:r>
      </w:hyperlink>
    </w:p>
    <w:p w14:paraId="185F5189" w14:textId="327D8B6B" w:rsidR="00DE1F8A" w:rsidRDefault="00000000">
      <w:pPr>
        <w:pStyle w:val="TOC1"/>
        <w:rPr>
          <w:rFonts w:asciiTheme="minorHAnsi" w:eastAsiaTheme="minorEastAsia" w:hAnsiTheme="minorHAnsi" w:cstheme="minorBidi"/>
          <w:b w:val="0"/>
          <w:noProof/>
          <w:sz w:val="22"/>
          <w:szCs w:val="22"/>
        </w:rPr>
      </w:pPr>
      <w:hyperlink w:anchor="_Toc163506176" w:history="1">
        <w:r w:rsidR="00DE1F8A" w:rsidRPr="006B421B">
          <w:rPr>
            <w:rStyle w:val="Hyperlink"/>
            <w:smallCaps/>
            <w:noProof/>
          </w:rPr>
          <w:t>Intellectual Property Forms</w:t>
        </w:r>
        <w:r w:rsidR="00DE1F8A">
          <w:rPr>
            <w:noProof/>
            <w:webHidden/>
          </w:rPr>
          <w:tab/>
        </w:r>
        <w:r w:rsidR="00DE1F8A">
          <w:rPr>
            <w:noProof/>
            <w:webHidden/>
          </w:rPr>
          <w:fldChar w:fldCharType="begin"/>
        </w:r>
        <w:r w:rsidR="00DE1F8A">
          <w:rPr>
            <w:noProof/>
            <w:webHidden/>
          </w:rPr>
          <w:instrText xml:space="preserve"> PAGEREF _Toc163506176 \h </w:instrText>
        </w:r>
        <w:r w:rsidR="00DE1F8A">
          <w:rPr>
            <w:noProof/>
            <w:webHidden/>
          </w:rPr>
        </w:r>
        <w:r w:rsidR="00DE1F8A">
          <w:rPr>
            <w:noProof/>
            <w:webHidden/>
          </w:rPr>
          <w:fldChar w:fldCharType="separate"/>
        </w:r>
        <w:r w:rsidR="00DE1F8A">
          <w:rPr>
            <w:noProof/>
            <w:webHidden/>
          </w:rPr>
          <w:t>107</w:t>
        </w:r>
        <w:r w:rsidR="00DE1F8A">
          <w:rPr>
            <w:noProof/>
            <w:webHidden/>
          </w:rPr>
          <w:fldChar w:fldCharType="end"/>
        </w:r>
      </w:hyperlink>
    </w:p>
    <w:p w14:paraId="1BC7AED7" w14:textId="51F1FB8A" w:rsidR="00DE1F8A" w:rsidRDefault="00000000">
      <w:pPr>
        <w:pStyle w:val="TOC1"/>
        <w:rPr>
          <w:rFonts w:asciiTheme="minorHAnsi" w:eastAsiaTheme="minorEastAsia" w:hAnsiTheme="minorHAnsi" w:cstheme="minorBidi"/>
          <w:b w:val="0"/>
          <w:noProof/>
          <w:sz w:val="22"/>
          <w:szCs w:val="22"/>
        </w:rPr>
      </w:pPr>
      <w:hyperlink w:anchor="_Toc163506177" w:history="1">
        <w:r w:rsidR="00DE1F8A" w:rsidRPr="006B421B">
          <w:rPr>
            <w:rStyle w:val="Hyperlink"/>
            <w:smallCaps/>
            <w:noProof/>
          </w:rPr>
          <w:t>Conformance of Information System Materials</w:t>
        </w:r>
        <w:r w:rsidR="00DE1F8A">
          <w:rPr>
            <w:noProof/>
            <w:webHidden/>
          </w:rPr>
          <w:tab/>
        </w:r>
        <w:r w:rsidR="00DE1F8A">
          <w:rPr>
            <w:noProof/>
            <w:webHidden/>
          </w:rPr>
          <w:fldChar w:fldCharType="begin"/>
        </w:r>
        <w:r w:rsidR="00DE1F8A">
          <w:rPr>
            <w:noProof/>
            <w:webHidden/>
          </w:rPr>
          <w:instrText xml:space="preserve"> PAGEREF _Toc163506177 \h </w:instrText>
        </w:r>
        <w:r w:rsidR="00DE1F8A">
          <w:rPr>
            <w:noProof/>
            <w:webHidden/>
          </w:rPr>
        </w:r>
        <w:r w:rsidR="00DE1F8A">
          <w:rPr>
            <w:noProof/>
            <w:webHidden/>
          </w:rPr>
          <w:fldChar w:fldCharType="separate"/>
        </w:r>
        <w:r w:rsidR="00DE1F8A">
          <w:rPr>
            <w:noProof/>
            <w:webHidden/>
          </w:rPr>
          <w:t>110</w:t>
        </w:r>
        <w:r w:rsidR="00DE1F8A">
          <w:rPr>
            <w:noProof/>
            <w:webHidden/>
          </w:rPr>
          <w:fldChar w:fldCharType="end"/>
        </w:r>
      </w:hyperlink>
    </w:p>
    <w:p w14:paraId="568B3F2D" w14:textId="1BC1C7CB" w:rsidR="00DE1F8A" w:rsidRDefault="00000000">
      <w:pPr>
        <w:pStyle w:val="TOC1"/>
        <w:rPr>
          <w:rFonts w:asciiTheme="minorHAnsi" w:eastAsiaTheme="minorEastAsia" w:hAnsiTheme="minorHAnsi" w:cstheme="minorBidi"/>
          <w:b w:val="0"/>
          <w:noProof/>
          <w:sz w:val="22"/>
          <w:szCs w:val="22"/>
        </w:rPr>
      </w:pPr>
      <w:hyperlink w:anchor="_Toc163506178" w:history="1">
        <w:r w:rsidR="00DE1F8A" w:rsidRPr="006B421B">
          <w:rPr>
            <w:rStyle w:val="Hyperlink"/>
            <w:smallCaps/>
            <w:noProof/>
          </w:rPr>
          <w:t>Form of Bid Security (Bank Guarantee)</w:t>
        </w:r>
        <w:r w:rsidR="00DE1F8A">
          <w:rPr>
            <w:noProof/>
            <w:webHidden/>
          </w:rPr>
          <w:tab/>
        </w:r>
        <w:r w:rsidR="00DE1F8A">
          <w:rPr>
            <w:noProof/>
            <w:webHidden/>
          </w:rPr>
          <w:fldChar w:fldCharType="begin"/>
        </w:r>
        <w:r w:rsidR="00DE1F8A">
          <w:rPr>
            <w:noProof/>
            <w:webHidden/>
          </w:rPr>
          <w:instrText xml:space="preserve"> PAGEREF _Toc163506178 \h </w:instrText>
        </w:r>
        <w:r w:rsidR="00DE1F8A">
          <w:rPr>
            <w:noProof/>
            <w:webHidden/>
          </w:rPr>
        </w:r>
        <w:r w:rsidR="00DE1F8A">
          <w:rPr>
            <w:noProof/>
            <w:webHidden/>
          </w:rPr>
          <w:fldChar w:fldCharType="separate"/>
        </w:r>
        <w:r w:rsidR="00DE1F8A">
          <w:rPr>
            <w:noProof/>
            <w:webHidden/>
          </w:rPr>
          <w:t>227</w:t>
        </w:r>
        <w:r w:rsidR="00DE1F8A">
          <w:rPr>
            <w:noProof/>
            <w:webHidden/>
          </w:rPr>
          <w:fldChar w:fldCharType="end"/>
        </w:r>
      </w:hyperlink>
    </w:p>
    <w:p w14:paraId="37038FB8" w14:textId="6054884E" w:rsidR="00DE1F8A" w:rsidRDefault="00000000">
      <w:pPr>
        <w:pStyle w:val="TOC1"/>
        <w:rPr>
          <w:rFonts w:asciiTheme="minorHAnsi" w:eastAsiaTheme="minorEastAsia" w:hAnsiTheme="minorHAnsi" w:cstheme="minorBidi"/>
          <w:b w:val="0"/>
          <w:noProof/>
          <w:sz w:val="22"/>
          <w:szCs w:val="22"/>
        </w:rPr>
      </w:pPr>
      <w:hyperlink w:anchor="_Toc163506179" w:history="1">
        <w:r w:rsidR="00DE1F8A" w:rsidRPr="006B421B">
          <w:rPr>
            <w:rStyle w:val="Hyperlink"/>
            <w:smallCaps/>
            <w:noProof/>
          </w:rPr>
          <w:t>Form of Bid Security (Bid Bond)</w:t>
        </w:r>
        <w:r w:rsidR="00DE1F8A">
          <w:rPr>
            <w:noProof/>
            <w:webHidden/>
          </w:rPr>
          <w:tab/>
        </w:r>
        <w:r w:rsidR="00DE1F8A">
          <w:rPr>
            <w:noProof/>
            <w:webHidden/>
          </w:rPr>
          <w:fldChar w:fldCharType="begin"/>
        </w:r>
        <w:r w:rsidR="00DE1F8A">
          <w:rPr>
            <w:noProof/>
            <w:webHidden/>
          </w:rPr>
          <w:instrText xml:space="preserve"> PAGEREF _Toc163506179 \h </w:instrText>
        </w:r>
        <w:r w:rsidR="00DE1F8A">
          <w:rPr>
            <w:noProof/>
            <w:webHidden/>
          </w:rPr>
        </w:r>
        <w:r w:rsidR="00DE1F8A">
          <w:rPr>
            <w:noProof/>
            <w:webHidden/>
          </w:rPr>
          <w:fldChar w:fldCharType="separate"/>
        </w:r>
        <w:r w:rsidR="00DE1F8A">
          <w:rPr>
            <w:noProof/>
            <w:webHidden/>
          </w:rPr>
          <w:t>229</w:t>
        </w:r>
        <w:r w:rsidR="00DE1F8A">
          <w:rPr>
            <w:noProof/>
            <w:webHidden/>
          </w:rPr>
          <w:fldChar w:fldCharType="end"/>
        </w:r>
      </w:hyperlink>
    </w:p>
    <w:p w14:paraId="1EAD4EAD" w14:textId="69EBE8E9" w:rsidR="00DE1F8A" w:rsidRDefault="00000000">
      <w:pPr>
        <w:pStyle w:val="TOC1"/>
        <w:rPr>
          <w:rFonts w:asciiTheme="minorHAnsi" w:eastAsiaTheme="minorEastAsia" w:hAnsiTheme="minorHAnsi" w:cstheme="minorBidi"/>
          <w:b w:val="0"/>
          <w:noProof/>
          <w:sz w:val="22"/>
          <w:szCs w:val="22"/>
        </w:rPr>
      </w:pPr>
      <w:hyperlink w:anchor="_Toc163506180" w:history="1">
        <w:r w:rsidR="00DE1F8A" w:rsidRPr="006B421B">
          <w:rPr>
            <w:rStyle w:val="Hyperlink"/>
            <w:smallCaps/>
            <w:noProof/>
          </w:rPr>
          <w:t>Form of Bid-Securing Declaration</w:t>
        </w:r>
        <w:r w:rsidR="00DE1F8A">
          <w:rPr>
            <w:noProof/>
            <w:webHidden/>
          </w:rPr>
          <w:tab/>
        </w:r>
        <w:r w:rsidR="00DE1F8A">
          <w:rPr>
            <w:noProof/>
            <w:webHidden/>
          </w:rPr>
          <w:fldChar w:fldCharType="begin"/>
        </w:r>
        <w:r w:rsidR="00DE1F8A">
          <w:rPr>
            <w:noProof/>
            <w:webHidden/>
          </w:rPr>
          <w:instrText xml:space="preserve"> PAGEREF _Toc163506180 \h </w:instrText>
        </w:r>
        <w:r w:rsidR="00DE1F8A">
          <w:rPr>
            <w:noProof/>
            <w:webHidden/>
          </w:rPr>
        </w:r>
        <w:r w:rsidR="00DE1F8A">
          <w:rPr>
            <w:noProof/>
            <w:webHidden/>
          </w:rPr>
          <w:fldChar w:fldCharType="separate"/>
        </w:r>
        <w:r w:rsidR="00DE1F8A">
          <w:rPr>
            <w:noProof/>
            <w:webHidden/>
          </w:rPr>
          <w:t>231</w:t>
        </w:r>
        <w:r w:rsidR="00DE1F8A">
          <w:rPr>
            <w:noProof/>
            <w:webHidden/>
          </w:rPr>
          <w:fldChar w:fldCharType="end"/>
        </w:r>
      </w:hyperlink>
    </w:p>
    <w:p w14:paraId="0A3C77DD" w14:textId="77980EE8" w:rsidR="00157AAA" w:rsidRDefault="006C1BE5">
      <w:pPr>
        <w:jc w:val="left"/>
        <w:rPr>
          <w:szCs w:val="24"/>
        </w:rPr>
      </w:pPr>
      <w:r>
        <w:rPr>
          <w:szCs w:val="24"/>
        </w:rPr>
        <w:fldChar w:fldCharType="end"/>
      </w:r>
    </w:p>
    <w:p w14:paraId="4CCF080A" w14:textId="77777777" w:rsidR="00157AAA" w:rsidRDefault="006C1BE5">
      <w:pPr>
        <w:pStyle w:val="S4-header1"/>
      </w:pPr>
      <w:r>
        <w:br w:type="page" w:clear="all"/>
      </w:r>
      <w:bookmarkStart w:id="551" w:name="_Toc163506157"/>
      <w:r>
        <w:lastRenderedPageBreak/>
        <w:t>Letter of Bid</w:t>
      </w:r>
      <w:bookmarkEnd w:id="551"/>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45"/>
      </w:tblGrid>
      <w:tr w:rsidR="00157AAA" w14:paraId="43CB2EA7" w14:textId="77777777">
        <w:tc>
          <w:tcPr>
            <w:tcW w:w="9445" w:type="dxa"/>
          </w:tcPr>
          <w:p w14:paraId="3D744EA9" w14:textId="77777777" w:rsidR="00157AAA" w:rsidRDefault="006C1BE5">
            <w:pPr>
              <w:spacing w:before="120"/>
              <w:jc w:val="left"/>
              <w:rPr>
                <w:i/>
              </w:rPr>
            </w:pPr>
            <w:r>
              <w:rPr>
                <w:i/>
              </w:rPr>
              <w:t>INSTRUCTIONS TO BIDDERS: DELETE THIS BOX ONCE YOU HAVE COMPLETED THE DOCUMENT</w:t>
            </w:r>
          </w:p>
          <w:p w14:paraId="31FA79DE" w14:textId="77777777" w:rsidR="00157AAA" w:rsidRDefault="006C1BE5">
            <w:pPr>
              <w:jc w:val="left"/>
              <w:rPr>
                <w:i/>
              </w:rPr>
            </w:pPr>
            <w:r>
              <w:rPr>
                <w:i/>
              </w:rPr>
              <w:t>The Bidder must prepare this Letter of Bid on stationery with its letterhead clearly showing the Bidder’s complete name and business address.</w:t>
            </w:r>
          </w:p>
          <w:p w14:paraId="712216A2" w14:textId="77777777" w:rsidR="00157AAA" w:rsidRDefault="006C1BE5">
            <w:pPr>
              <w:jc w:val="left"/>
              <w:rPr>
                <w:i/>
              </w:rPr>
            </w:pPr>
            <w:r>
              <w:rPr>
                <w:i/>
                <w:u w:val="single"/>
              </w:rPr>
              <w:t>Note</w:t>
            </w:r>
            <w:r>
              <w:rPr>
                <w:i/>
              </w:rPr>
              <w:t xml:space="preserve">: All italicized text is to help Bidders in preparing this form. </w:t>
            </w:r>
          </w:p>
        </w:tc>
      </w:tr>
    </w:tbl>
    <w:p w14:paraId="64C9826D" w14:textId="77777777" w:rsidR="00157AAA" w:rsidRDefault="00157AAA">
      <w:pPr>
        <w:jc w:val="left"/>
      </w:pPr>
      <w:bookmarkStart w:id="552" w:name="_Hlt139095454"/>
      <w:bookmarkEnd w:id="552"/>
    </w:p>
    <w:p w14:paraId="219D6D8F" w14:textId="77777777" w:rsidR="00157AAA" w:rsidRDefault="006C1BE5">
      <w:pPr>
        <w:tabs>
          <w:tab w:val="right" w:pos="9000"/>
        </w:tabs>
        <w:jc w:val="left"/>
      </w:pPr>
      <w:r>
        <w:t xml:space="preserve">Date of this Bid submission: </w:t>
      </w:r>
      <w:r>
        <w:rPr>
          <w:i/>
        </w:rPr>
        <w:t xml:space="preserve">[insert </w:t>
      </w:r>
      <w:r>
        <w:rPr>
          <w:b/>
          <w:i/>
        </w:rPr>
        <w:t xml:space="preserve">date (as day, </w:t>
      </w:r>
      <w:proofErr w:type="gramStart"/>
      <w:r>
        <w:rPr>
          <w:b/>
          <w:i/>
        </w:rPr>
        <w:t>month</w:t>
      </w:r>
      <w:proofErr w:type="gramEnd"/>
      <w:r>
        <w:rPr>
          <w:b/>
          <w:i/>
        </w:rPr>
        <w:t xml:space="preserve"> and year) of Bid submission</w:t>
      </w:r>
      <w:r>
        <w:rPr>
          <w:i/>
        </w:rPr>
        <w:t>]</w:t>
      </w:r>
    </w:p>
    <w:p w14:paraId="2F80D83F" w14:textId="77777777" w:rsidR="00157AAA" w:rsidRDefault="006C1BE5">
      <w:pPr>
        <w:tabs>
          <w:tab w:val="right" w:pos="9000"/>
        </w:tabs>
        <w:jc w:val="left"/>
      </w:pPr>
      <w:r>
        <w:t>RFB No.:</w:t>
      </w:r>
      <w:r>
        <w:rPr>
          <w:i/>
        </w:rPr>
        <w:t xml:space="preserve"> [insert </w:t>
      </w:r>
      <w:r>
        <w:rPr>
          <w:b/>
          <w:i/>
        </w:rPr>
        <w:t>number of RFB process</w:t>
      </w:r>
      <w:r>
        <w:rPr>
          <w:i/>
        </w:rPr>
        <w:t>]</w:t>
      </w:r>
    </w:p>
    <w:p w14:paraId="7CF4C5CB" w14:textId="77777777" w:rsidR="00157AAA" w:rsidRDefault="006C1BE5">
      <w:pPr>
        <w:jc w:val="left"/>
      </w:pPr>
      <w:r>
        <w:rPr>
          <w:iCs/>
        </w:rPr>
        <w:t>Alternative No.:</w:t>
      </w:r>
      <w:r>
        <w:rPr>
          <w:i/>
          <w:iCs/>
        </w:rPr>
        <w:t xml:space="preserve"> [insert </w:t>
      </w:r>
      <w:r>
        <w:rPr>
          <w:b/>
          <w:i/>
          <w:iCs/>
        </w:rPr>
        <w:t xml:space="preserve">identification No if this is a Bid for an alternative, </w:t>
      </w:r>
      <w:r>
        <w:rPr>
          <w:i/>
          <w:iCs/>
        </w:rPr>
        <w:t>otherwise state</w:t>
      </w:r>
      <w:r>
        <w:rPr>
          <w:b/>
          <w:i/>
          <w:iCs/>
        </w:rPr>
        <w:t xml:space="preserve"> “not applicable”</w:t>
      </w:r>
      <w:r>
        <w:rPr>
          <w:i/>
          <w:iCs/>
        </w:rPr>
        <w:t>]</w:t>
      </w:r>
    </w:p>
    <w:p w14:paraId="555505F0" w14:textId="77777777" w:rsidR="00157AAA" w:rsidRDefault="006C1BE5">
      <w:pPr>
        <w:spacing w:before="240" w:after="240"/>
        <w:jc w:val="left"/>
      </w:pPr>
      <w:r>
        <w:t>We, the undersigned, declare that:</w:t>
      </w:r>
    </w:p>
    <w:p w14:paraId="39D1B881" w14:textId="77777777" w:rsidR="00157AAA" w:rsidRDefault="006C1BE5">
      <w:pPr>
        <w:rPr>
          <w:b/>
        </w:rPr>
      </w:pPr>
      <w:r>
        <w:t xml:space="preserve">To: </w:t>
      </w:r>
      <w:r>
        <w:rPr>
          <w:i/>
        </w:rPr>
        <w:t xml:space="preserve">[insert </w:t>
      </w:r>
      <w:r>
        <w:rPr>
          <w:b/>
          <w:i/>
        </w:rPr>
        <w:t>complete name of Purchaser</w:t>
      </w:r>
      <w:r>
        <w:rPr>
          <w:i/>
        </w:rPr>
        <w:t>]</w:t>
      </w:r>
    </w:p>
    <w:p w14:paraId="3DA0116B" w14:textId="77777777" w:rsidR="00157AAA" w:rsidRDefault="006C1BE5" w:rsidP="00D530D5">
      <w:pPr>
        <w:numPr>
          <w:ilvl w:val="0"/>
          <w:numId w:val="13"/>
        </w:numPr>
        <w:spacing w:after="200"/>
        <w:ind w:right="-14"/>
      </w:pPr>
      <w:r>
        <w:rPr>
          <w:b/>
        </w:rPr>
        <w:t>No reservations:</w:t>
      </w:r>
      <w:r>
        <w:t xml:space="preserve"> We have examined and have no reservations to the bidding document, including Addenda issued in accordance with Instructions to Bidders (ITB 8</w:t>
      </w:r>
      <w:proofErr w:type="gramStart"/>
      <w:r>
        <w:t>);</w:t>
      </w:r>
      <w:proofErr w:type="gramEnd"/>
    </w:p>
    <w:p w14:paraId="40C90692" w14:textId="77777777" w:rsidR="00157AAA" w:rsidRDefault="006C1BE5" w:rsidP="00D530D5">
      <w:pPr>
        <w:numPr>
          <w:ilvl w:val="0"/>
          <w:numId w:val="13"/>
        </w:numPr>
        <w:spacing w:after="200"/>
        <w:ind w:right="-14"/>
      </w:pPr>
      <w:r>
        <w:rPr>
          <w:b/>
          <w:bCs/>
        </w:rPr>
        <w:t>Eligibility</w:t>
      </w:r>
      <w:r>
        <w:rPr>
          <w:bCs/>
        </w:rPr>
        <w:t xml:space="preserve">: We </w:t>
      </w:r>
      <w:r>
        <w:t>meet</w:t>
      </w:r>
      <w:r>
        <w:rPr>
          <w:bCs/>
        </w:rPr>
        <w:t xml:space="preserve"> the eligibility requirements and have no conflict of interest in accordance with ITB </w:t>
      </w:r>
      <w:proofErr w:type="gramStart"/>
      <w:r>
        <w:rPr>
          <w:bCs/>
        </w:rPr>
        <w:t>4;</w:t>
      </w:r>
      <w:proofErr w:type="gramEnd"/>
    </w:p>
    <w:p w14:paraId="7B0DDA90" w14:textId="77777777" w:rsidR="00157AAA" w:rsidRDefault="006C1BE5" w:rsidP="00D530D5">
      <w:pPr>
        <w:numPr>
          <w:ilvl w:val="0"/>
          <w:numId w:val="13"/>
        </w:numPr>
        <w:spacing w:after="200"/>
        <w:ind w:right="-14"/>
      </w:pPr>
      <w:r>
        <w:rPr>
          <w:b/>
          <w:bCs/>
        </w:rPr>
        <w:t>Bid-Securing Declaration:</w:t>
      </w:r>
      <w:r>
        <w:rPr>
          <w:bCs/>
        </w:rPr>
        <w:t xml:space="preserve"> We </w:t>
      </w:r>
      <w:r>
        <w:t>have</w:t>
      </w:r>
      <w:r>
        <w:rPr>
          <w:bCs/>
        </w:rPr>
        <w:t xml:space="preserve"> </w:t>
      </w:r>
      <w:r>
        <w:t>not</w:t>
      </w:r>
      <w:r>
        <w:rPr>
          <w:bCs/>
        </w:rPr>
        <w:t xml:space="preserve"> been suspended nor declared ineligible by the Purchaser based on execution of a Bid-Securing Declaration or Proposal-Securing Declaration in the Purchaser’s Country</w:t>
      </w:r>
      <w:r>
        <w:t xml:space="preserve"> in accordance with ITB </w:t>
      </w:r>
      <w:proofErr w:type="gramStart"/>
      <w:r>
        <w:t>4.7;</w:t>
      </w:r>
      <w:proofErr w:type="gramEnd"/>
    </w:p>
    <w:p w14:paraId="5D86CA1C" w14:textId="77777777" w:rsidR="00157AAA" w:rsidRDefault="006C1BE5" w:rsidP="00D530D5">
      <w:pPr>
        <w:numPr>
          <w:ilvl w:val="0"/>
          <w:numId w:val="13"/>
        </w:numPr>
        <w:spacing w:after="200"/>
        <w:ind w:left="576" w:right="-14" w:hanging="576"/>
        <w:rPr>
          <w:color w:val="000000" w:themeColor="text1"/>
        </w:rPr>
      </w:pPr>
      <w:bookmarkStart w:id="553" w:name="_Hlk54533954"/>
      <w:r>
        <w:rPr>
          <w:b/>
          <w:color w:val="000000" w:themeColor="text1"/>
        </w:rPr>
        <w:t>Sexual Exploitation and Abuse (SEA) and/or Sexual Harassment (SH):</w:t>
      </w:r>
      <w:r>
        <w:rPr>
          <w:color w:val="000000" w:themeColor="text1"/>
        </w:rPr>
        <w:t xml:space="preserve"> [</w:t>
      </w:r>
      <w:r>
        <w:rPr>
          <w:i/>
          <w:color w:val="000000" w:themeColor="text1"/>
        </w:rPr>
        <w:t>select the appropriate option from (</w:t>
      </w:r>
      <w:proofErr w:type="spellStart"/>
      <w:r>
        <w:rPr>
          <w:i/>
          <w:color w:val="000000" w:themeColor="text1"/>
        </w:rPr>
        <w:t>i</w:t>
      </w:r>
      <w:proofErr w:type="spellEnd"/>
      <w:r>
        <w:rPr>
          <w:i/>
          <w:color w:val="000000" w:themeColor="text1"/>
        </w:rPr>
        <w:t xml:space="preserve">) to (v) below and delete the others. In case of JV members and/or subcontractors, indicate the </w:t>
      </w:r>
      <w:bookmarkStart w:id="554" w:name="_Hlk52209225"/>
      <w:r>
        <w:rPr>
          <w:i/>
          <w:color w:val="000000" w:themeColor="text1"/>
        </w:rPr>
        <w:t xml:space="preserve">status of disqualification by the Bank </w:t>
      </w:r>
      <w:bookmarkEnd w:id="554"/>
      <w:r>
        <w:rPr>
          <w:i/>
          <w:color w:val="000000" w:themeColor="text1"/>
        </w:rPr>
        <w:t>of each JV member and/or subcontractor]</w:t>
      </w:r>
      <w:r>
        <w:rPr>
          <w:color w:val="000000" w:themeColor="text1"/>
        </w:rPr>
        <w:t>.</w:t>
      </w:r>
    </w:p>
    <w:p w14:paraId="1704817F" w14:textId="77777777" w:rsidR="00157AAA" w:rsidRDefault="006C1BE5">
      <w:pPr>
        <w:tabs>
          <w:tab w:val="right" w:pos="9000"/>
        </w:tabs>
        <w:spacing w:before="240"/>
        <w:jc w:val="left"/>
        <w:rPr>
          <w:color w:val="000000" w:themeColor="text1"/>
        </w:rPr>
      </w:pPr>
      <w:r>
        <w:rPr>
          <w:color w:val="000000" w:themeColor="text1"/>
        </w:rPr>
        <w:t xml:space="preserve">      We, including any of our subcontractors:</w:t>
      </w:r>
    </w:p>
    <w:p w14:paraId="22E89924" w14:textId="77777777" w:rsidR="00157AAA" w:rsidRDefault="006C1BE5" w:rsidP="00D530D5">
      <w:pPr>
        <w:pStyle w:val="ListParagraph"/>
        <w:numPr>
          <w:ilvl w:val="0"/>
          <w:numId w:val="61"/>
        </w:numPr>
        <w:tabs>
          <w:tab w:val="right" w:pos="9000"/>
        </w:tabs>
        <w:spacing w:before="120"/>
        <w:ind w:left="1260"/>
        <w:contextualSpacing w:val="0"/>
      </w:pPr>
      <w:r>
        <w:rPr>
          <w:color w:val="000000" w:themeColor="text1"/>
        </w:rPr>
        <w:t xml:space="preserve">[have not been </w:t>
      </w:r>
      <w:r>
        <w:t xml:space="preserve">subject to disqualification by the Bank for non-compliance with SEA/ SH obligations.] </w:t>
      </w:r>
    </w:p>
    <w:p w14:paraId="5047AFCD" w14:textId="77777777" w:rsidR="00157AAA" w:rsidRDefault="006C1BE5" w:rsidP="00D530D5">
      <w:pPr>
        <w:pStyle w:val="ListParagraph"/>
        <w:numPr>
          <w:ilvl w:val="0"/>
          <w:numId w:val="61"/>
        </w:numPr>
        <w:tabs>
          <w:tab w:val="right" w:pos="9000"/>
        </w:tabs>
        <w:spacing w:before="120"/>
        <w:ind w:left="1260"/>
        <w:contextualSpacing w:val="0"/>
      </w:pPr>
      <w:r>
        <w:t>[</w:t>
      </w:r>
      <w:r>
        <w:rPr>
          <w:color w:val="000000" w:themeColor="text1"/>
        </w:rPr>
        <w:t xml:space="preserve">are </w:t>
      </w:r>
      <w:r>
        <w:t xml:space="preserve">subject to disqualification by the Bank for non-compliance with SEA/ SH obligations.] </w:t>
      </w:r>
    </w:p>
    <w:p w14:paraId="69302E60" w14:textId="77777777" w:rsidR="00157AAA" w:rsidRDefault="006C1BE5" w:rsidP="00D530D5">
      <w:pPr>
        <w:pStyle w:val="ListParagraph"/>
        <w:numPr>
          <w:ilvl w:val="0"/>
          <w:numId w:val="61"/>
        </w:numPr>
        <w:tabs>
          <w:tab w:val="right" w:pos="9000"/>
        </w:tabs>
        <w:spacing w:before="120"/>
        <w:ind w:left="1260"/>
        <w:contextualSpacing w:val="0"/>
        <w:rPr>
          <w:color w:val="000000" w:themeColor="text1"/>
        </w:rPr>
      </w:pPr>
      <w:r>
        <w:rPr>
          <w:color w:val="000000" w:themeColor="text1"/>
        </w:rPr>
        <w:t>[</w:t>
      </w:r>
      <w:bookmarkStart w:id="555" w:name="_Hlk51840452"/>
      <w:r>
        <w:rPr>
          <w:color w:val="000000" w:themeColor="text1"/>
        </w:rPr>
        <w:t xml:space="preserve">had been </w:t>
      </w:r>
      <w:r>
        <w:t xml:space="preserve">subject to disqualification by the Bank for non-compliance with SEA/ SH </w:t>
      </w:r>
      <w:proofErr w:type="gramStart"/>
      <w:r>
        <w:t xml:space="preserve">obligations, </w:t>
      </w:r>
      <w:r>
        <w:rPr>
          <w:color w:val="000000" w:themeColor="text1"/>
        </w:rPr>
        <w:t>and</w:t>
      </w:r>
      <w:proofErr w:type="gramEnd"/>
      <w:r>
        <w:rPr>
          <w:color w:val="000000" w:themeColor="text1"/>
        </w:rPr>
        <w:t xml:space="preserve"> were removed from the disqualification list</w:t>
      </w:r>
      <w:bookmarkEnd w:id="555"/>
      <w:r>
        <w:rPr>
          <w:color w:val="000000" w:themeColor="text1"/>
        </w:rPr>
        <w:t>. An arbitral award on the disqualification case has been made in our favor.]</w:t>
      </w:r>
      <w:bookmarkEnd w:id="553"/>
    </w:p>
    <w:p w14:paraId="78701015" w14:textId="77777777" w:rsidR="00157AAA" w:rsidRDefault="00157AAA">
      <w:pPr>
        <w:spacing w:after="200"/>
        <w:ind w:left="1080" w:right="-14"/>
      </w:pPr>
    </w:p>
    <w:p w14:paraId="7E25F574" w14:textId="77777777" w:rsidR="00157AAA" w:rsidRDefault="006C1BE5" w:rsidP="00D530D5">
      <w:pPr>
        <w:numPr>
          <w:ilvl w:val="0"/>
          <w:numId w:val="13"/>
        </w:numPr>
        <w:spacing w:after="200"/>
        <w:ind w:right="-14"/>
      </w:pPr>
      <w:r>
        <w:rPr>
          <w:b/>
        </w:rPr>
        <w:lastRenderedPageBreak/>
        <w:t>Conformity:</w:t>
      </w:r>
      <w:r>
        <w:t xml:space="preserve"> We offer to provide design, supply and installation services in conformity with the bidding document of the following: [</w:t>
      </w:r>
      <w:r>
        <w:rPr>
          <w:i/>
        </w:rPr>
        <w:t>insert a brief description of the IS Design, Supply and Installation Services</w:t>
      </w:r>
      <w:proofErr w:type="gramStart"/>
      <w:r>
        <w:t>];</w:t>
      </w:r>
      <w:proofErr w:type="gramEnd"/>
      <w:r>
        <w:t xml:space="preserve">   </w:t>
      </w:r>
    </w:p>
    <w:p w14:paraId="11465EDA" w14:textId="35B403FA" w:rsidR="00157AAA" w:rsidRPr="006A65F3" w:rsidRDefault="006C1BE5" w:rsidP="00D530D5">
      <w:pPr>
        <w:numPr>
          <w:ilvl w:val="0"/>
          <w:numId w:val="13"/>
        </w:numPr>
        <w:spacing w:after="200"/>
        <w:ind w:right="-14"/>
        <w:rPr>
          <w:b/>
          <w:bCs/>
        </w:rPr>
      </w:pPr>
      <w:r w:rsidRPr="006A65F3">
        <w:rPr>
          <w:b/>
          <w:bCs/>
        </w:rPr>
        <w:t xml:space="preserve">Bid Price: </w:t>
      </w:r>
      <w:r w:rsidRPr="006A65F3">
        <w:rPr>
          <w:bCs/>
        </w:rPr>
        <w:t>The total price of our Bid, excluding any discounts offered in item (</w:t>
      </w:r>
      <w:r w:rsidR="00837A9C" w:rsidRPr="006A65F3">
        <w:rPr>
          <w:bCs/>
        </w:rPr>
        <w:t>g</w:t>
      </w:r>
      <w:r w:rsidRPr="006A65F3">
        <w:rPr>
          <w:bCs/>
        </w:rPr>
        <w:t xml:space="preserve">) below is: </w:t>
      </w:r>
    </w:p>
    <w:p w14:paraId="560950A8" w14:textId="2588CA77" w:rsidR="00837A9C" w:rsidRPr="006A65F3" w:rsidRDefault="00837A9C" w:rsidP="00837A9C">
      <w:pPr>
        <w:spacing w:after="200"/>
        <w:ind w:left="1080" w:right="-14"/>
        <w:rPr>
          <w:b/>
          <w:bCs/>
        </w:rPr>
      </w:pPr>
      <w:r w:rsidRPr="006A65F3">
        <w:rPr>
          <w:b/>
          <w:bCs/>
        </w:rPr>
        <w:t>Bid Price:</w:t>
      </w:r>
    </w:p>
    <w:p w14:paraId="7C6CA769" w14:textId="59C3EB1F" w:rsidR="00837A9C" w:rsidRPr="006A65F3" w:rsidRDefault="00837A9C" w:rsidP="00837A9C">
      <w:pPr>
        <w:spacing w:after="200"/>
        <w:ind w:left="1080" w:right="-14"/>
        <w:rPr>
          <w:b/>
          <w:bCs/>
        </w:rPr>
      </w:pPr>
      <w:r w:rsidRPr="006A65F3">
        <w:rPr>
          <w:b/>
          <w:bCs/>
        </w:rPr>
        <w:t>VAT:</w:t>
      </w:r>
    </w:p>
    <w:p w14:paraId="4C1FFCAC" w14:textId="2662273D" w:rsidR="00837A9C" w:rsidRPr="006A65F3" w:rsidRDefault="00837A9C" w:rsidP="00837A9C">
      <w:pPr>
        <w:spacing w:after="200"/>
        <w:ind w:left="1080" w:right="-14"/>
        <w:rPr>
          <w:b/>
          <w:bCs/>
        </w:rPr>
      </w:pPr>
      <w:r w:rsidRPr="006A65F3">
        <w:rPr>
          <w:b/>
          <w:bCs/>
        </w:rPr>
        <w:t>Total Bid Price:</w:t>
      </w:r>
    </w:p>
    <w:p w14:paraId="53B18079" w14:textId="71F33B33" w:rsidR="00157AAA" w:rsidRDefault="006C1BE5">
      <w:pPr>
        <w:spacing w:after="200"/>
        <w:ind w:left="720"/>
        <w:rPr>
          <w:u w:val="single"/>
        </w:rPr>
      </w:pPr>
      <w:r w:rsidRPr="006A65F3">
        <w:t xml:space="preserve">Total price is: </w:t>
      </w:r>
      <w:r w:rsidRPr="006A65F3">
        <w:rPr>
          <w:i/>
        </w:rPr>
        <w:t xml:space="preserve">[insert </w:t>
      </w:r>
      <w:r w:rsidRPr="006A65F3">
        <w:rPr>
          <w:b/>
          <w:i/>
        </w:rPr>
        <w:t xml:space="preserve">the total price </w:t>
      </w:r>
      <w:r w:rsidR="00837A9C" w:rsidRPr="006A65F3">
        <w:rPr>
          <w:b/>
          <w:i/>
        </w:rPr>
        <w:t>of the Bid in words and figures</w:t>
      </w:r>
      <w:proofErr w:type="gramStart"/>
      <w:r w:rsidRPr="006A65F3">
        <w:rPr>
          <w:i/>
        </w:rPr>
        <w:t>]</w:t>
      </w:r>
      <w:r w:rsidRPr="006A65F3">
        <w:rPr>
          <w:u w:val="single"/>
        </w:rPr>
        <w:t>;</w:t>
      </w:r>
      <w:proofErr w:type="gramEnd"/>
    </w:p>
    <w:p w14:paraId="595DA79A" w14:textId="77777777" w:rsidR="00157AAA" w:rsidRDefault="006C1BE5" w:rsidP="00D530D5">
      <w:pPr>
        <w:numPr>
          <w:ilvl w:val="0"/>
          <w:numId w:val="13"/>
        </w:numPr>
        <w:spacing w:after="200"/>
        <w:ind w:right="-14"/>
      </w:pPr>
      <w:bookmarkStart w:id="556" w:name="_Hlt236460747"/>
      <w:bookmarkEnd w:id="556"/>
      <w:r>
        <w:rPr>
          <w:b/>
        </w:rPr>
        <w:t>Discounts:</w:t>
      </w:r>
      <w:r>
        <w:t xml:space="preserve"> The discounts offered and the methodology for their application are: </w:t>
      </w:r>
    </w:p>
    <w:p w14:paraId="78F3B674" w14:textId="77777777" w:rsidR="00157AAA" w:rsidRDefault="006C1BE5">
      <w:pPr>
        <w:spacing w:after="200"/>
        <w:ind w:left="1501" w:hanging="432"/>
      </w:pPr>
      <w:r>
        <w:t>(</w:t>
      </w:r>
      <w:proofErr w:type="spellStart"/>
      <w:r>
        <w:t>i</w:t>
      </w:r>
      <w:proofErr w:type="spellEnd"/>
      <w:r>
        <w:t>) The discounts offered are: [</w:t>
      </w:r>
      <w:r>
        <w:rPr>
          <w:i/>
        </w:rPr>
        <w:t xml:space="preserve">Specify </w:t>
      </w:r>
      <w:r>
        <w:rPr>
          <w:b/>
          <w:i/>
        </w:rPr>
        <w:t>in detail each discount offered</w:t>
      </w:r>
      <w:r>
        <w:rPr>
          <w:i/>
        </w:rPr>
        <w:t>.</w:t>
      </w:r>
      <w:r>
        <w:t>]</w:t>
      </w:r>
    </w:p>
    <w:p w14:paraId="38AB757B" w14:textId="77777777" w:rsidR="00157AAA" w:rsidRDefault="006C1BE5">
      <w:pPr>
        <w:spacing w:after="200"/>
        <w:ind w:left="1501" w:hanging="432"/>
      </w:pPr>
      <w:r>
        <w:t>(ii) The exact method of calculations to determine the net price after application of discounts is shown below: [</w:t>
      </w:r>
      <w:r>
        <w:rPr>
          <w:i/>
        </w:rPr>
        <w:t xml:space="preserve">Specify </w:t>
      </w:r>
      <w:r>
        <w:rPr>
          <w:b/>
          <w:i/>
        </w:rPr>
        <w:t>in detail the method that shall be used to apply the discounts</w:t>
      </w:r>
      <w:proofErr w:type="gramStart"/>
      <w:r>
        <w:t>];</w:t>
      </w:r>
      <w:proofErr w:type="gramEnd"/>
    </w:p>
    <w:p w14:paraId="24C6B48B" w14:textId="77777777" w:rsidR="00157AAA" w:rsidRDefault="006C1BE5" w:rsidP="00D530D5">
      <w:pPr>
        <w:numPr>
          <w:ilvl w:val="0"/>
          <w:numId w:val="13"/>
        </w:numPr>
        <w:spacing w:after="200"/>
        <w:ind w:right="-14"/>
      </w:pPr>
      <w:r>
        <w:rPr>
          <w:b/>
        </w:rPr>
        <w:t>Bid Validity:</w:t>
      </w:r>
      <w:r>
        <w:t xml:space="preserve"> Our Bid shall be </w:t>
      </w:r>
      <w:bookmarkStart w:id="557" w:name="_Hlk27225240"/>
      <w:r>
        <w:t xml:space="preserve">valid until </w:t>
      </w:r>
      <w:r>
        <w:rPr>
          <w:i/>
        </w:rPr>
        <w:t>[insert day, month and year in accordance with ITB 19.1],</w:t>
      </w:r>
      <w:bookmarkEnd w:id="557"/>
      <w:r>
        <w:t xml:space="preserve"> and it shall remain binding upon us and may be accepted at any time before the expiration of that </w:t>
      </w:r>
      <w:proofErr w:type="gramStart"/>
      <w:r>
        <w:t>period;</w:t>
      </w:r>
      <w:proofErr w:type="gramEnd"/>
    </w:p>
    <w:p w14:paraId="76090F8F" w14:textId="77777777" w:rsidR="00157AAA" w:rsidRDefault="006C1BE5" w:rsidP="00D530D5">
      <w:pPr>
        <w:numPr>
          <w:ilvl w:val="0"/>
          <w:numId w:val="13"/>
        </w:numPr>
        <w:spacing w:after="200"/>
        <w:ind w:right="-14"/>
      </w:pPr>
      <w:r>
        <w:rPr>
          <w:b/>
        </w:rPr>
        <w:t xml:space="preserve">Performance Security: </w:t>
      </w:r>
      <w:r>
        <w:t xml:space="preserve">If our Bid is accepted, we commit to obtain a Performance Security in accordance with the bidding </w:t>
      </w:r>
      <w:proofErr w:type="gramStart"/>
      <w:r>
        <w:t>document;</w:t>
      </w:r>
      <w:proofErr w:type="gramEnd"/>
    </w:p>
    <w:p w14:paraId="54A6E3B3" w14:textId="77777777" w:rsidR="00157AAA" w:rsidRDefault="006C1BE5" w:rsidP="00D530D5">
      <w:pPr>
        <w:numPr>
          <w:ilvl w:val="0"/>
          <w:numId w:val="13"/>
        </w:numPr>
        <w:spacing w:after="200"/>
        <w:ind w:right="-14"/>
      </w:pPr>
      <w:r>
        <w:rPr>
          <w:b/>
        </w:rPr>
        <w:t>One Bid Per Bidder:</w:t>
      </w:r>
      <w:r>
        <w:t xml:space="preserve"> We are not submitting any other Bid(s) as an individual Bidder, and we are not participating in any other Bid(s) as a Joint Venture member, and meet the requirements of ITB 4.3, other than alternative Bids submitted in accordance with ITB </w:t>
      </w:r>
      <w:proofErr w:type="gramStart"/>
      <w:r>
        <w:t>13;</w:t>
      </w:r>
      <w:proofErr w:type="gramEnd"/>
    </w:p>
    <w:p w14:paraId="217A2285" w14:textId="77777777" w:rsidR="00157AAA" w:rsidRDefault="006C1BE5" w:rsidP="00D530D5">
      <w:pPr>
        <w:numPr>
          <w:ilvl w:val="0"/>
          <w:numId w:val="13"/>
        </w:numPr>
        <w:spacing w:after="200"/>
        <w:ind w:right="-14"/>
      </w:pPr>
      <w:r>
        <w:rPr>
          <w:b/>
        </w:rPr>
        <w:t>Suspension and Debarment</w:t>
      </w:r>
      <w:r>
        <w:t xml:space="preserve">: We, along with any of our subcontractors, suppliers, consultants, manufacturers, or service providers for any part of the contract, are not subject to, and not controlled by any entity or individual that is subject to, a temporary suspension or a debarment imposed by the World Bank Group or a debarment imposed by the World Bank Group in accordance with the Agreement for Mutual Enforcement of Debarment Decisions between the World Bank and other development banks. Further, we are not ineligible under the Purchaser’s Country laws or official regulations or pursuant to a decision of the United Nations Security </w:t>
      </w:r>
      <w:proofErr w:type="gramStart"/>
      <w:r>
        <w:t>Council;</w:t>
      </w:r>
      <w:proofErr w:type="gramEnd"/>
    </w:p>
    <w:p w14:paraId="658B0FA5" w14:textId="77777777" w:rsidR="00157AAA" w:rsidRDefault="006C1BE5" w:rsidP="00D530D5">
      <w:pPr>
        <w:numPr>
          <w:ilvl w:val="0"/>
          <w:numId w:val="13"/>
        </w:numPr>
        <w:spacing w:after="200"/>
        <w:ind w:right="-14"/>
        <w:rPr>
          <w:iCs/>
        </w:rPr>
      </w:pPr>
      <w:r>
        <w:rPr>
          <w:b/>
        </w:rPr>
        <w:t>State-owned enterprise or institution</w:t>
      </w:r>
      <w:r>
        <w:t>: [</w:t>
      </w:r>
      <w:r>
        <w:rPr>
          <w:i/>
        </w:rPr>
        <w:t>select the appropriate option and delete the other</w:t>
      </w:r>
      <w:r>
        <w:t xml:space="preserve">: </w:t>
      </w:r>
      <w:r>
        <w:rPr>
          <w:b/>
          <w:i/>
        </w:rPr>
        <w:t>We are not a state-owned enterprise or institution</w:t>
      </w:r>
      <w:r>
        <w:t xml:space="preserve"> / </w:t>
      </w:r>
      <w:r>
        <w:rPr>
          <w:b/>
          <w:i/>
        </w:rPr>
        <w:t>We are a state-owned enterprise or institution but meet the requirements of ITB 4.6</w:t>
      </w:r>
      <w:proofErr w:type="gramStart"/>
      <w:r>
        <w:t>];</w:t>
      </w:r>
      <w:proofErr w:type="gramEnd"/>
    </w:p>
    <w:p w14:paraId="22E42A26" w14:textId="77777777" w:rsidR="00157AAA" w:rsidRDefault="006C1BE5" w:rsidP="00D530D5">
      <w:pPr>
        <w:numPr>
          <w:ilvl w:val="0"/>
          <w:numId w:val="13"/>
        </w:numPr>
        <w:spacing w:after="200"/>
        <w:ind w:right="-14"/>
        <w:rPr>
          <w:i/>
        </w:rPr>
      </w:pPr>
      <w:r>
        <w:rPr>
          <w:b/>
        </w:rPr>
        <w:lastRenderedPageBreak/>
        <w:t xml:space="preserve">Commissions, </w:t>
      </w:r>
      <w:proofErr w:type="gramStart"/>
      <w:r>
        <w:rPr>
          <w:b/>
        </w:rPr>
        <w:t>gratuities</w:t>
      </w:r>
      <w:proofErr w:type="gramEnd"/>
      <w:r>
        <w:rPr>
          <w:b/>
        </w:rPr>
        <w:t xml:space="preserve"> and fees</w:t>
      </w:r>
      <w:r>
        <w:t xml:space="preserve">: We have paid, or will pay the following commissions, gratuities, or fees with respect to the Bidding process or execution of the Contract: </w:t>
      </w:r>
      <w:r>
        <w:rPr>
          <w:i/>
        </w:rPr>
        <w:t xml:space="preserve">[insert </w:t>
      </w:r>
      <w:r>
        <w:rPr>
          <w:b/>
          <w:i/>
        </w:rPr>
        <w:t>complete name of each Recipient, its full address, the reason for which each commission or gratuity was paid and the amount and currency of each such commission or gratuity</w:t>
      </w:r>
      <w:r>
        <w:rPr>
          <w:i/>
        </w:rPr>
        <w:t>]</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520"/>
        <w:gridCol w:w="2070"/>
        <w:gridCol w:w="1548"/>
      </w:tblGrid>
      <w:tr w:rsidR="00157AAA" w14:paraId="7FEC77FF" w14:textId="77777777">
        <w:tc>
          <w:tcPr>
            <w:tcW w:w="2520" w:type="dxa"/>
          </w:tcPr>
          <w:p w14:paraId="2631BB4A" w14:textId="77777777" w:rsidR="00157AAA" w:rsidRDefault="006C1BE5">
            <w:r>
              <w:t>Name of Recipient</w:t>
            </w:r>
          </w:p>
        </w:tc>
        <w:tc>
          <w:tcPr>
            <w:tcW w:w="2520" w:type="dxa"/>
          </w:tcPr>
          <w:p w14:paraId="5CEAC44C" w14:textId="77777777" w:rsidR="00157AAA" w:rsidRDefault="006C1BE5">
            <w:r>
              <w:t>Address</w:t>
            </w:r>
          </w:p>
        </w:tc>
        <w:tc>
          <w:tcPr>
            <w:tcW w:w="2070" w:type="dxa"/>
          </w:tcPr>
          <w:p w14:paraId="35797D37" w14:textId="77777777" w:rsidR="00157AAA" w:rsidRDefault="006C1BE5">
            <w:r>
              <w:t>Reason</w:t>
            </w:r>
          </w:p>
        </w:tc>
        <w:tc>
          <w:tcPr>
            <w:tcW w:w="1548" w:type="dxa"/>
          </w:tcPr>
          <w:p w14:paraId="10C56626" w14:textId="77777777" w:rsidR="00157AAA" w:rsidRDefault="006C1BE5">
            <w:r>
              <w:t>Amount</w:t>
            </w:r>
          </w:p>
        </w:tc>
      </w:tr>
      <w:tr w:rsidR="00157AAA" w14:paraId="675255F8" w14:textId="77777777">
        <w:tc>
          <w:tcPr>
            <w:tcW w:w="2520" w:type="dxa"/>
          </w:tcPr>
          <w:p w14:paraId="2DC47AAF" w14:textId="77777777" w:rsidR="00157AAA" w:rsidRDefault="00157AAA">
            <w:pPr>
              <w:rPr>
                <w:u w:val="single"/>
              </w:rPr>
            </w:pPr>
          </w:p>
        </w:tc>
        <w:tc>
          <w:tcPr>
            <w:tcW w:w="2520" w:type="dxa"/>
          </w:tcPr>
          <w:p w14:paraId="65A34797" w14:textId="77777777" w:rsidR="00157AAA" w:rsidRDefault="00157AAA">
            <w:pPr>
              <w:rPr>
                <w:u w:val="single"/>
              </w:rPr>
            </w:pPr>
          </w:p>
        </w:tc>
        <w:tc>
          <w:tcPr>
            <w:tcW w:w="2070" w:type="dxa"/>
          </w:tcPr>
          <w:p w14:paraId="43FE58A7" w14:textId="77777777" w:rsidR="00157AAA" w:rsidRDefault="00157AAA">
            <w:pPr>
              <w:rPr>
                <w:u w:val="single"/>
              </w:rPr>
            </w:pPr>
          </w:p>
        </w:tc>
        <w:tc>
          <w:tcPr>
            <w:tcW w:w="1548" w:type="dxa"/>
          </w:tcPr>
          <w:p w14:paraId="0F9BCE9F" w14:textId="77777777" w:rsidR="00157AAA" w:rsidRDefault="00157AAA">
            <w:pPr>
              <w:rPr>
                <w:u w:val="single"/>
              </w:rPr>
            </w:pPr>
          </w:p>
        </w:tc>
      </w:tr>
      <w:tr w:rsidR="00157AAA" w14:paraId="6ECBB88D" w14:textId="77777777">
        <w:tc>
          <w:tcPr>
            <w:tcW w:w="2520" w:type="dxa"/>
          </w:tcPr>
          <w:p w14:paraId="5CB8EB60" w14:textId="77777777" w:rsidR="00157AAA" w:rsidRDefault="00157AAA">
            <w:pPr>
              <w:rPr>
                <w:u w:val="single"/>
              </w:rPr>
            </w:pPr>
          </w:p>
        </w:tc>
        <w:tc>
          <w:tcPr>
            <w:tcW w:w="2520" w:type="dxa"/>
          </w:tcPr>
          <w:p w14:paraId="3D2AAB60" w14:textId="77777777" w:rsidR="00157AAA" w:rsidRDefault="00157AAA">
            <w:pPr>
              <w:rPr>
                <w:u w:val="single"/>
              </w:rPr>
            </w:pPr>
          </w:p>
        </w:tc>
        <w:tc>
          <w:tcPr>
            <w:tcW w:w="2070" w:type="dxa"/>
          </w:tcPr>
          <w:p w14:paraId="28FD5220" w14:textId="77777777" w:rsidR="00157AAA" w:rsidRDefault="00157AAA">
            <w:pPr>
              <w:rPr>
                <w:u w:val="single"/>
              </w:rPr>
            </w:pPr>
          </w:p>
        </w:tc>
        <w:tc>
          <w:tcPr>
            <w:tcW w:w="1548" w:type="dxa"/>
          </w:tcPr>
          <w:p w14:paraId="19445DB5" w14:textId="77777777" w:rsidR="00157AAA" w:rsidRDefault="00157AAA">
            <w:pPr>
              <w:rPr>
                <w:u w:val="single"/>
              </w:rPr>
            </w:pPr>
          </w:p>
        </w:tc>
      </w:tr>
      <w:tr w:rsidR="00157AAA" w14:paraId="08AFB657" w14:textId="77777777">
        <w:tc>
          <w:tcPr>
            <w:tcW w:w="2520" w:type="dxa"/>
          </w:tcPr>
          <w:p w14:paraId="1873E439" w14:textId="77777777" w:rsidR="00157AAA" w:rsidRDefault="00157AAA">
            <w:pPr>
              <w:rPr>
                <w:u w:val="single"/>
              </w:rPr>
            </w:pPr>
          </w:p>
        </w:tc>
        <w:tc>
          <w:tcPr>
            <w:tcW w:w="2520" w:type="dxa"/>
          </w:tcPr>
          <w:p w14:paraId="310720DF" w14:textId="77777777" w:rsidR="00157AAA" w:rsidRDefault="00157AAA">
            <w:pPr>
              <w:rPr>
                <w:u w:val="single"/>
              </w:rPr>
            </w:pPr>
          </w:p>
        </w:tc>
        <w:tc>
          <w:tcPr>
            <w:tcW w:w="2070" w:type="dxa"/>
          </w:tcPr>
          <w:p w14:paraId="7984CD65" w14:textId="77777777" w:rsidR="00157AAA" w:rsidRDefault="00157AAA">
            <w:pPr>
              <w:rPr>
                <w:u w:val="single"/>
              </w:rPr>
            </w:pPr>
          </w:p>
        </w:tc>
        <w:tc>
          <w:tcPr>
            <w:tcW w:w="1548" w:type="dxa"/>
          </w:tcPr>
          <w:p w14:paraId="76C89958" w14:textId="77777777" w:rsidR="00157AAA" w:rsidRDefault="00157AAA">
            <w:pPr>
              <w:rPr>
                <w:u w:val="single"/>
              </w:rPr>
            </w:pPr>
          </w:p>
        </w:tc>
      </w:tr>
      <w:tr w:rsidR="00157AAA" w14:paraId="3452E6A2" w14:textId="77777777">
        <w:tc>
          <w:tcPr>
            <w:tcW w:w="2520" w:type="dxa"/>
          </w:tcPr>
          <w:p w14:paraId="57F2D456" w14:textId="77777777" w:rsidR="00157AAA" w:rsidRDefault="00157AAA">
            <w:pPr>
              <w:rPr>
                <w:u w:val="single"/>
              </w:rPr>
            </w:pPr>
          </w:p>
        </w:tc>
        <w:tc>
          <w:tcPr>
            <w:tcW w:w="2520" w:type="dxa"/>
          </w:tcPr>
          <w:p w14:paraId="19C8D1F1" w14:textId="77777777" w:rsidR="00157AAA" w:rsidRDefault="00157AAA">
            <w:pPr>
              <w:rPr>
                <w:u w:val="single"/>
              </w:rPr>
            </w:pPr>
          </w:p>
        </w:tc>
        <w:tc>
          <w:tcPr>
            <w:tcW w:w="2070" w:type="dxa"/>
          </w:tcPr>
          <w:p w14:paraId="482AD734" w14:textId="77777777" w:rsidR="00157AAA" w:rsidRDefault="00157AAA">
            <w:pPr>
              <w:rPr>
                <w:u w:val="single"/>
              </w:rPr>
            </w:pPr>
          </w:p>
        </w:tc>
        <w:tc>
          <w:tcPr>
            <w:tcW w:w="1548" w:type="dxa"/>
          </w:tcPr>
          <w:p w14:paraId="2E8EB8C3" w14:textId="77777777" w:rsidR="00157AAA" w:rsidRDefault="00157AAA">
            <w:pPr>
              <w:rPr>
                <w:u w:val="single"/>
              </w:rPr>
            </w:pPr>
          </w:p>
        </w:tc>
      </w:tr>
    </w:tbl>
    <w:p w14:paraId="6B66ADDD" w14:textId="77777777" w:rsidR="00157AAA" w:rsidRDefault="006C1BE5">
      <w:pPr>
        <w:ind w:left="540"/>
        <w:rPr>
          <w:i/>
        </w:rPr>
      </w:pPr>
      <w:r>
        <w:rPr>
          <w:i/>
        </w:rPr>
        <w:t>[If none has been paid or is to be paid, indicate “</w:t>
      </w:r>
      <w:r>
        <w:rPr>
          <w:b/>
          <w:i/>
        </w:rPr>
        <w:t>none</w:t>
      </w:r>
      <w:r>
        <w:rPr>
          <w:i/>
        </w:rPr>
        <w:t>.”]</w:t>
      </w:r>
    </w:p>
    <w:p w14:paraId="5D28EF65" w14:textId="77777777" w:rsidR="00157AAA" w:rsidRDefault="006C1BE5" w:rsidP="00D530D5">
      <w:pPr>
        <w:numPr>
          <w:ilvl w:val="0"/>
          <w:numId w:val="13"/>
        </w:numPr>
        <w:spacing w:after="200"/>
        <w:ind w:right="-14"/>
      </w:pPr>
      <w:r>
        <w:rPr>
          <w:b/>
        </w:rPr>
        <w:t>Binding Contract</w:t>
      </w:r>
      <w:r>
        <w:t xml:space="preserve">: We understand that this Bid, together with your written acceptance thereof included in your Letter of Acceptance, shall constitute a binding contract between us, until a formal contract is prepared and </w:t>
      </w:r>
      <w:proofErr w:type="gramStart"/>
      <w:r>
        <w:t>executed;</w:t>
      </w:r>
      <w:proofErr w:type="gramEnd"/>
      <w:r>
        <w:t xml:space="preserve"> </w:t>
      </w:r>
    </w:p>
    <w:p w14:paraId="0674D621" w14:textId="77777777" w:rsidR="00157AAA" w:rsidRDefault="006C1BE5" w:rsidP="00D530D5">
      <w:pPr>
        <w:numPr>
          <w:ilvl w:val="0"/>
          <w:numId w:val="13"/>
        </w:numPr>
        <w:spacing w:after="200"/>
        <w:ind w:right="-14"/>
      </w:pPr>
      <w:r>
        <w:rPr>
          <w:b/>
        </w:rPr>
        <w:t>Not Bound to Accept:</w:t>
      </w:r>
      <w:r>
        <w:t xml:space="preserve"> We understand that you are not bound to accept the lowest evaluated cost Bid, the Most Advantageous </w:t>
      </w:r>
      <w:proofErr w:type="gramStart"/>
      <w:r>
        <w:t>Bid</w:t>
      </w:r>
      <w:proofErr w:type="gramEnd"/>
      <w:r>
        <w:t xml:space="preserve"> or any other Bid that you may receive; and</w:t>
      </w:r>
    </w:p>
    <w:p w14:paraId="4B475AB2" w14:textId="77777777" w:rsidR="00157AAA" w:rsidRDefault="006C1BE5" w:rsidP="00D530D5">
      <w:pPr>
        <w:numPr>
          <w:ilvl w:val="0"/>
          <w:numId w:val="13"/>
        </w:numPr>
        <w:spacing w:after="200"/>
        <w:ind w:right="-14"/>
      </w:pPr>
      <w:r>
        <w:rPr>
          <w:b/>
        </w:rPr>
        <w:t xml:space="preserve">Fraud and Corruption: </w:t>
      </w:r>
      <w:r>
        <w:t>We hereby certify that we have taken steps to ensure that no person acting for us or on our behalf engages in any type of Fraud and Corruption.</w:t>
      </w:r>
    </w:p>
    <w:p w14:paraId="0B6F4D09" w14:textId="77777777" w:rsidR="00157AAA" w:rsidRDefault="00157AAA">
      <w:pPr>
        <w:jc w:val="left"/>
      </w:pPr>
    </w:p>
    <w:p w14:paraId="47EB1B1A" w14:textId="77777777" w:rsidR="00157AAA" w:rsidRDefault="006C1BE5">
      <w:pPr>
        <w:jc w:val="left"/>
      </w:pPr>
      <w:r>
        <w:t>Name of the Bidder:</w:t>
      </w:r>
      <w:r>
        <w:rPr>
          <w:bCs/>
          <w:iCs/>
        </w:rPr>
        <w:t xml:space="preserve"> *</w:t>
      </w:r>
      <w:r>
        <w:rPr>
          <w:i/>
        </w:rPr>
        <w:t xml:space="preserve">[insert </w:t>
      </w:r>
      <w:r>
        <w:rPr>
          <w:b/>
          <w:i/>
        </w:rPr>
        <w:t>complete name of the Bidder</w:t>
      </w:r>
      <w:r>
        <w:rPr>
          <w:i/>
        </w:rPr>
        <w:t>]</w:t>
      </w:r>
    </w:p>
    <w:p w14:paraId="217B7D34" w14:textId="77777777" w:rsidR="00157AAA" w:rsidRDefault="006C1BE5">
      <w:pPr>
        <w:jc w:val="left"/>
      </w:pPr>
      <w:r>
        <w:t>Name of the person duly authorized to sign the Bid on behalf of the Bidder:</w:t>
      </w:r>
      <w:r>
        <w:rPr>
          <w:bCs/>
          <w:iCs/>
        </w:rPr>
        <w:t xml:space="preserve"> **</w:t>
      </w:r>
      <w:r>
        <w:rPr>
          <w:bCs/>
          <w:i/>
          <w:iCs/>
        </w:rPr>
        <w:t xml:space="preserve">[insert </w:t>
      </w:r>
      <w:r>
        <w:rPr>
          <w:b/>
          <w:bCs/>
          <w:i/>
          <w:iCs/>
        </w:rPr>
        <w:t>complete name of person duly authorized to sign the Bid</w:t>
      </w:r>
      <w:r>
        <w:rPr>
          <w:bCs/>
          <w:i/>
          <w:iCs/>
        </w:rPr>
        <w:t>]</w:t>
      </w:r>
    </w:p>
    <w:p w14:paraId="197EF5AE" w14:textId="77777777" w:rsidR="00157AAA" w:rsidRDefault="006C1BE5">
      <w:pPr>
        <w:jc w:val="left"/>
      </w:pPr>
      <w:r>
        <w:t xml:space="preserve">Title of the person signing the Bid: </w:t>
      </w:r>
      <w:r>
        <w:rPr>
          <w:i/>
        </w:rPr>
        <w:t xml:space="preserve">[insert </w:t>
      </w:r>
      <w:r>
        <w:rPr>
          <w:b/>
          <w:i/>
        </w:rPr>
        <w:t>complete title of the person signing the Bid</w:t>
      </w:r>
      <w:r>
        <w:rPr>
          <w:i/>
        </w:rPr>
        <w:t>]</w:t>
      </w:r>
    </w:p>
    <w:p w14:paraId="36A3DA1F" w14:textId="77777777" w:rsidR="00157AAA" w:rsidRDefault="006C1BE5">
      <w:pPr>
        <w:jc w:val="left"/>
      </w:pPr>
      <w:r>
        <w:t xml:space="preserve">Signature of the person named above: </w:t>
      </w:r>
      <w:r>
        <w:rPr>
          <w:i/>
        </w:rPr>
        <w:t xml:space="preserve">[insert </w:t>
      </w:r>
      <w:r>
        <w:rPr>
          <w:b/>
          <w:i/>
        </w:rPr>
        <w:t>signature of person whose name and capacity are shown above</w:t>
      </w:r>
      <w:r>
        <w:rPr>
          <w:i/>
        </w:rPr>
        <w:t>]</w:t>
      </w:r>
    </w:p>
    <w:p w14:paraId="46F39CCC" w14:textId="77777777" w:rsidR="00157AAA" w:rsidRDefault="006C1BE5">
      <w:pPr>
        <w:jc w:val="left"/>
      </w:pPr>
      <w:r>
        <w:t xml:space="preserve">Date signed </w:t>
      </w:r>
      <w:r>
        <w:rPr>
          <w:i/>
        </w:rPr>
        <w:t xml:space="preserve">[insert </w:t>
      </w:r>
      <w:r>
        <w:rPr>
          <w:b/>
          <w:i/>
        </w:rPr>
        <w:t>number</w:t>
      </w:r>
      <w:r>
        <w:rPr>
          <w:i/>
        </w:rPr>
        <w:t>]</w:t>
      </w:r>
      <w:r>
        <w:t xml:space="preserve"> day of </w:t>
      </w:r>
      <w:r>
        <w:rPr>
          <w:i/>
        </w:rPr>
        <w:t xml:space="preserve">[insert </w:t>
      </w:r>
      <w:r>
        <w:rPr>
          <w:b/>
          <w:i/>
        </w:rPr>
        <w:t>month</w:t>
      </w:r>
      <w:r>
        <w:rPr>
          <w:i/>
        </w:rPr>
        <w:t>]</w:t>
      </w:r>
      <w:r>
        <w:t xml:space="preserve">, </w:t>
      </w:r>
      <w:r>
        <w:rPr>
          <w:i/>
        </w:rPr>
        <w:t xml:space="preserve">[insert </w:t>
      </w:r>
      <w:r>
        <w:rPr>
          <w:b/>
          <w:i/>
        </w:rPr>
        <w:t>year</w:t>
      </w:r>
      <w:r>
        <w:rPr>
          <w:i/>
        </w:rPr>
        <w:t>]</w:t>
      </w:r>
    </w:p>
    <w:p w14:paraId="0AD3072B" w14:textId="77777777" w:rsidR="00157AAA" w:rsidRDefault="00157AAA">
      <w:pPr>
        <w:jc w:val="left"/>
      </w:pPr>
    </w:p>
    <w:p w14:paraId="5CC6B3EB" w14:textId="77777777" w:rsidR="00157AAA" w:rsidRDefault="006C1BE5">
      <w:pPr>
        <w:tabs>
          <w:tab w:val="right" w:pos="9000"/>
        </w:tabs>
        <w:spacing w:before="120"/>
        <w:jc w:val="left"/>
        <w:rPr>
          <w:color w:val="000000" w:themeColor="text1"/>
          <w:sz w:val="22"/>
        </w:rPr>
      </w:pPr>
      <w:bookmarkStart w:id="558" w:name="_Hlk27225341"/>
      <w:bookmarkStart w:id="559" w:name="_Toc482500892"/>
      <w:r>
        <w:rPr>
          <w:b/>
          <w:bCs/>
          <w:iCs/>
          <w:color w:val="000000" w:themeColor="text1"/>
          <w:sz w:val="22"/>
        </w:rPr>
        <w:t>*</w:t>
      </w:r>
      <w:r>
        <w:rPr>
          <w:color w:val="000000" w:themeColor="text1"/>
          <w:sz w:val="22"/>
        </w:rPr>
        <w:t>: In the case of the Bid submitted by joint venture specify the name of the Joint Venture as Bidder</w:t>
      </w:r>
    </w:p>
    <w:p w14:paraId="4DF11A28" w14:textId="77777777" w:rsidR="00157AAA" w:rsidRDefault="006C1BE5">
      <w:pPr>
        <w:jc w:val="left"/>
      </w:pPr>
      <w:r>
        <w:rPr>
          <w:bCs/>
          <w:iCs/>
          <w:color w:val="000000" w:themeColor="text1"/>
          <w:sz w:val="22"/>
        </w:rPr>
        <w:t>**: Person signing the Bid shall have the power of attorney given by the Bidder to be attached with the Bid</w:t>
      </w:r>
      <w:bookmarkEnd w:id="558"/>
    </w:p>
    <w:p w14:paraId="35855DED" w14:textId="77777777" w:rsidR="00157AAA" w:rsidRDefault="006C1BE5">
      <w:pPr>
        <w:spacing w:after="0"/>
        <w:jc w:val="left"/>
        <w:rPr>
          <w:b/>
          <w:sz w:val="36"/>
        </w:rPr>
      </w:pPr>
      <w:r>
        <w:br w:type="page" w:clear="all"/>
      </w:r>
    </w:p>
    <w:p w14:paraId="58712E6E" w14:textId="77777777" w:rsidR="00157AAA" w:rsidRDefault="006C1BE5">
      <w:pPr>
        <w:pStyle w:val="S4-header1"/>
        <w:rPr>
          <w:smallCaps/>
        </w:rPr>
      </w:pPr>
      <w:bookmarkStart w:id="560" w:name="_Toc218673954"/>
      <w:bookmarkStart w:id="561" w:name="_Toc277345591"/>
      <w:bookmarkStart w:id="562" w:name="_Toc163506158"/>
      <w:r>
        <w:rPr>
          <w:smallCaps/>
        </w:rPr>
        <w:lastRenderedPageBreak/>
        <w:t>Price Schedule Forms</w:t>
      </w:r>
      <w:bookmarkEnd w:id="560"/>
      <w:bookmarkEnd w:id="561"/>
      <w:bookmarkEnd w:id="562"/>
    </w:p>
    <w:p w14:paraId="090F09EE" w14:textId="77777777" w:rsidR="00157AAA" w:rsidRDefault="006C1BE5">
      <w:pPr>
        <w:pStyle w:val="Heading2"/>
        <w:rPr>
          <w:rFonts w:ascii="Times New Roman" w:hAnsi="Times New Roman"/>
        </w:rPr>
      </w:pPr>
      <w:bookmarkStart w:id="563" w:name="_Toc218673956"/>
      <w:bookmarkStart w:id="564" w:name="_Toc218674006"/>
      <w:bookmarkStart w:id="565" w:name="_Toc521497239"/>
      <w:bookmarkStart w:id="566" w:name="_Hlt529125776"/>
      <w:r>
        <w:rPr>
          <w:rFonts w:ascii="Times New Roman" w:hAnsi="Times New Roman"/>
        </w:rPr>
        <w:t>Notes to Bidders on working with the Price Schedules</w:t>
      </w:r>
      <w:bookmarkEnd w:id="563"/>
      <w:bookmarkEnd w:id="564"/>
      <w:bookmarkEnd w:id="565"/>
      <w:bookmarkEnd w:id="566"/>
    </w:p>
    <w:p w14:paraId="20FCAC61" w14:textId="77777777" w:rsidR="00157AAA" w:rsidRDefault="006C1BE5">
      <w:pPr>
        <w:rPr>
          <w:b/>
        </w:rPr>
      </w:pPr>
      <w:r>
        <w:rPr>
          <w:b/>
        </w:rPr>
        <w:t>General</w:t>
      </w:r>
    </w:p>
    <w:p w14:paraId="186DD291" w14:textId="77777777" w:rsidR="00157AAA" w:rsidRDefault="006C1BE5">
      <w:pPr>
        <w:ind w:left="540" w:hanging="540"/>
      </w:pPr>
      <w:r>
        <w:t>1.</w:t>
      </w:r>
      <w:r>
        <w:tab/>
        <w:t>The Price Schedules are divided into separate Schedules as follows:</w:t>
      </w:r>
    </w:p>
    <w:p w14:paraId="4833C989" w14:textId="77777777" w:rsidR="00157AAA" w:rsidRDefault="006C1BE5">
      <w:pPr>
        <w:ind w:left="1260" w:hanging="720"/>
      </w:pPr>
      <w:r>
        <w:t>3.1</w:t>
      </w:r>
      <w:r>
        <w:tab/>
        <w:t>Grand Summary Cost Table</w:t>
      </w:r>
    </w:p>
    <w:p w14:paraId="05C763D7" w14:textId="77777777" w:rsidR="00157AAA" w:rsidRDefault="006C1BE5">
      <w:pPr>
        <w:ind w:left="1260" w:hanging="720"/>
      </w:pPr>
      <w:r>
        <w:t>3.2</w:t>
      </w:r>
      <w:r>
        <w:tab/>
        <w:t>Supply and Installation Cost Summary Table</w:t>
      </w:r>
    </w:p>
    <w:p w14:paraId="4D4DE521" w14:textId="2BE89A38" w:rsidR="00157AAA" w:rsidRDefault="006C1BE5">
      <w:pPr>
        <w:ind w:left="1260" w:hanging="720"/>
      </w:pPr>
      <w:r>
        <w:t>3.3</w:t>
      </w:r>
      <w:r>
        <w:tab/>
        <w:t>Recurrent Cost Summary Table</w:t>
      </w:r>
    </w:p>
    <w:p w14:paraId="405BFB67" w14:textId="77777777" w:rsidR="00157AAA" w:rsidRDefault="006C1BE5">
      <w:pPr>
        <w:ind w:left="1260" w:hanging="720"/>
      </w:pPr>
      <w:r>
        <w:t>3.4</w:t>
      </w:r>
      <w:r>
        <w:tab/>
        <w:t>Supply and Installation Cost Sub-Table(s)</w:t>
      </w:r>
    </w:p>
    <w:p w14:paraId="23C88526" w14:textId="77777777" w:rsidR="00157AAA" w:rsidRDefault="006C1BE5">
      <w:pPr>
        <w:ind w:left="1260" w:hanging="720"/>
      </w:pPr>
      <w:r>
        <w:t>3.5</w:t>
      </w:r>
      <w:r>
        <w:tab/>
        <w:t xml:space="preserve">Recurrent Cost Sub-Tables(s)  </w:t>
      </w:r>
    </w:p>
    <w:p w14:paraId="5EA8B767" w14:textId="77777777" w:rsidR="00157AAA" w:rsidRDefault="006C1BE5">
      <w:pPr>
        <w:ind w:left="1260" w:hanging="720"/>
      </w:pPr>
      <w:r>
        <w:t>3.6</w:t>
      </w:r>
      <w:r>
        <w:tab/>
        <w:t>Country of Origin Code Table</w:t>
      </w:r>
    </w:p>
    <w:p w14:paraId="0990D7E4" w14:textId="77777777" w:rsidR="00157AAA" w:rsidRDefault="006C1BE5">
      <w:pPr>
        <w:rPr>
          <w:i/>
        </w:rPr>
      </w:pPr>
      <w:r>
        <w:rPr>
          <w:i/>
        </w:rPr>
        <w:tab/>
        <w:t xml:space="preserve">[insert:  </w:t>
      </w:r>
      <w:r>
        <w:rPr>
          <w:b/>
          <w:i/>
        </w:rPr>
        <w:t>any other Schedules as appropriate</w:t>
      </w:r>
      <w:r>
        <w:rPr>
          <w:i/>
        </w:rPr>
        <w:t>]</w:t>
      </w:r>
    </w:p>
    <w:p w14:paraId="14B707C5" w14:textId="77777777" w:rsidR="00157AAA" w:rsidRDefault="006C1BE5">
      <w:pPr>
        <w:ind w:left="540" w:hanging="540"/>
      </w:pPr>
      <w:r>
        <w:t>2.</w:t>
      </w:r>
      <w:r>
        <w:tab/>
        <w:t>The Schedules do not generally give a full description of the information technologies to be supplied, installed, and operationally accepted, or the Services to be performed under each item.  However, it is assumed that Bidders shall have read the Technical Requirements and other sections of these bidding documents to ascertain the full scope of the requirements associated with each item prior to filling in the rates and prices.  The quoted rates and prices shall be deemed to cover the full scope of these Technical Requirements, as well as overhead and profit.</w:t>
      </w:r>
    </w:p>
    <w:p w14:paraId="4CB1BE0C" w14:textId="77777777" w:rsidR="00157AAA" w:rsidRDefault="006C1BE5">
      <w:pPr>
        <w:ind w:left="540" w:hanging="540"/>
      </w:pPr>
      <w:r>
        <w:t>3.</w:t>
      </w:r>
      <w:r>
        <w:tab/>
        <w:t>If Bidders are unclear or uncertain as to the scope of any item, they shall seek clarification in accordance with the Instructions to Bidders in the bidding documents prior to submitting their bid.</w:t>
      </w:r>
    </w:p>
    <w:p w14:paraId="59D4B603" w14:textId="77777777" w:rsidR="00157AAA" w:rsidRDefault="006C1BE5">
      <w:pPr>
        <w:rPr>
          <w:b/>
        </w:rPr>
      </w:pPr>
      <w:r>
        <w:rPr>
          <w:b/>
        </w:rPr>
        <w:t>Pricing</w:t>
      </w:r>
    </w:p>
    <w:p w14:paraId="50578142" w14:textId="77777777" w:rsidR="00157AAA" w:rsidRDefault="006C1BE5">
      <w:pPr>
        <w:keepNext/>
        <w:keepLines/>
        <w:ind w:left="540" w:hanging="540"/>
      </w:pPr>
      <w:r>
        <w:t>4.</w:t>
      </w:r>
      <w:r>
        <w:tab/>
        <w:t>Prices shall be filled in indelible ink, and any alterations necessary due to errors, etc., shall be initialed by the Bidder.  As specified in the Bid Data Sheet, prices shall be fixed and firm for the duration of the Contract.</w:t>
      </w:r>
    </w:p>
    <w:p w14:paraId="48069798" w14:textId="77777777" w:rsidR="00157AAA" w:rsidRDefault="006C1BE5">
      <w:pPr>
        <w:ind w:left="540" w:hanging="540"/>
      </w:pPr>
      <w:r>
        <w:t>5.</w:t>
      </w:r>
      <w:r>
        <w:tab/>
        <w:t>Bid prices shall be quoted in the manner indicated and, in the currencies specified in ITB 18.1 and ITB 18.2.  Prices must correspond to items of the scope and quality defined in the Technical Requirements or elsewhere in these bidding documents.</w:t>
      </w:r>
    </w:p>
    <w:p w14:paraId="3FF27B29" w14:textId="77777777" w:rsidR="00157AAA" w:rsidRDefault="006C1BE5">
      <w:pPr>
        <w:ind w:left="540" w:hanging="450"/>
      </w:pPr>
      <w:r>
        <w:t>6.</w:t>
      </w:r>
      <w:r>
        <w:tab/>
        <w:t xml:space="preserve">The Bidder must exercise great care in preparing its calculations, since there is no opportunity to correct errors once the deadline for submission of bids has passed.  A single error in specifying a unit price can therefore change a Bidder’s overall total bid price substantially, make the bid noncompetitive, or subject the Bidder to possible loss.  The Purchaser will correct any arithmetic </w:t>
      </w:r>
      <w:proofErr w:type="gramStart"/>
      <w:r>
        <w:t>error</w:t>
      </w:r>
      <w:proofErr w:type="gramEnd"/>
      <w:r>
        <w:t xml:space="preserve"> in accordance with the provisions of ITB 32.</w:t>
      </w:r>
    </w:p>
    <w:p w14:paraId="546B9EAC" w14:textId="77777777" w:rsidR="00157AAA" w:rsidRDefault="006C1BE5">
      <w:pPr>
        <w:ind w:left="540" w:hanging="540"/>
        <w:rPr>
          <w:sz w:val="22"/>
        </w:rPr>
      </w:pPr>
      <w:r>
        <w:t>7.</w:t>
      </w:r>
      <w:r>
        <w:tab/>
        <w:t xml:space="preserve">Payments will be made to the Supplier in the currency or currencies indicated under each respective item.  As specified in ITB 18.2, no more than three foreign currencies may be used. </w:t>
      </w:r>
    </w:p>
    <w:p w14:paraId="56E0E08F" w14:textId="77777777" w:rsidR="00157AAA" w:rsidRDefault="00157AAA">
      <w:pPr>
        <w:ind w:left="540" w:hanging="540"/>
        <w:rPr>
          <w:sz w:val="22"/>
        </w:rPr>
        <w:sectPr w:rsidR="00157AAA" w:rsidSect="00734667">
          <w:headerReference w:type="even" r:id="rId57"/>
          <w:headerReference w:type="default" r:id="rId58"/>
          <w:footnotePr>
            <w:numRestart w:val="eachPage"/>
          </w:footnotePr>
          <w:endnotePr>
            <w:numRestart w:val="eachSect"/>
          </w:endnotePr>
          <w:pgSz w:w="12240" w:h="15840"/>
          <w:pgMar w:top="1800" w:right="1440" w:bottom="1152" w:left="1800" w:header="720" w:footer="432" w:gutter="0"/>
          <w:cols w:space="720"/>
          <w:docGrid w:linePitch="360"/>
        </w:sectPr>
      </w:pPr>
    </w:p>
    <w:p w14:paraId="0C13AC4A" w14:textId="77777777" w:rsidR="00157AAA" w:rsidRPr="006A65F3" w:rsidRDefault="006C1BE5">
      <w:pPr>
        <w:pStyle w:val="Head32"/>
        <w:ind w:right="1440"/>
      </w:pPr>
      <w:bookmarkStart w:id="567" w:name="_Toc521497240"/>
      <w:bookmarkStart w:id="568" w:name="_Toc218673957"/>
      <w:bookmarkStart w:id="569" w:name="_Toc277345592"/>
      <w:r w:rsidRPr="006A65F3">
        <w:lastRenderedPageBreak/>
        <w:t>3.1</w:t>
      </w:r>
      <w:r w:rsidRPr="006A65F3">
        <w:tab/>
      </w:r>
      <w:bookmarkStart w:id="570" w:name="_Hlt529125882"/>
      <w:bookmarkEnd w:id="570"/>
      <w:r w:rsidRPr="006A65F3">
        <w:tab/>
        <w:t>Grand Summary Cost Table</w:t>
      </w:r>
      <w:bookmarkEnd w:id="567"/>
      <w:bookmarkEnd w:id="568"/>
      <w:bookmarkEnd w:id="569"/>
    </w:p>
    <w:p w14:paraId="69C53A4B" w14:textId="77777777" w:rsidR="00157AAA" w:rsidRPr="006A65F3" w:rsidRDefault="00157AAA">
      <w:pPr>
        <w:ind w:right="1440"/>
      </w:pPr>
    </w:p>
    <w:tbl>
      <w:tblPr>
        <w:tblW w:w="0" w:type="auto"/>
        <w:tblInd w:w="19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170"/>
        <w:gridCol w:w="3870"/>
        <w:gridCol w:w="1710"/>
        <w:gridCol w:w="1890"/>
        <w:gridCol w:w="1890"/>
        <w:gridCol w:w="1980"/>
      </w:tblGrid>
      <w:tr w:rsidR="00157AAA" w:rsidRPr="006A65F3" w14:paraId="2045E68A" w14:textId="77777777">
        <w:trPr>
          <w:cantSplit/>
          <w:tblHeader/>
        </w:trPr>
        <w:tc>
          <w:tcPr>
            <w:tcW w:w="1170" w:type="dxa"/>
          </w:tcPr>
          <w:p w14:paraId="4E5A3DEA" w14:textId="77777777" w:rsidR="00157AAA" w:rsidRPr="006A65F3" w:rsidRDefault="00157AAA">
            <w:pPr>
              <w:rPr>
                <w:sz w:val="22"/>
                <w:szCs w:val="22"/>
              </w:rPr>
            </w:pPr>
          </w:p>
        </w:tc>
        <w:tc>
          <w:tcPr>
            <w:tcW w:w="3870" w:type="dxa"/>
          </w:tcPr>
          <w:p w14:paraId="77061EB5" w14:textId="77777777" w:rsidR="00157AAA" w:rsidRPr="006A65F3" w:rsidRDefault="00157AAA">
            <w:pPr>
              <w:rPr>
                <w:sz w:val="22"/>
                <w:szCs w:val="22"/>
              </w:rPr>
            </w:pPr>
          </w:p>
        </w:tc>
        <w:tc>
          <w:tcPr>
            <w:tcW w:w="1710" w:type="dxa"/>
          </w:tcPr>
          <w:p w14:paraId="40D50AC0" w14:textId="77777777" w:rsidR="00157AAA" w:rsidRPr="006A65F3" w:rsidRDefault="006C1BE5">
            <w:pPr>
              <w:rPr>
                <w:b/>
                <w:i/>
                <w:sz w:val="22"/>
                <w:szCs w:val="22"/>
              </w:rPr>
            </w:pPr>
            <w:r w:rsidRPr="006A65F3">
              <w:rPr>
                <w:i/>
                <w:sz w:val="22"/>
                <w:szCs w:val="22"/>
              </w:rPr>
              <w:t>[ insert</w:t>
            </w:r>
            <w:r w:rsidRPr="006A65F3">
              <w:rPr>
                <w:b/>
                <w:i/>
                <w:sz w:val="22"/>
                <w:szCs w:val="22"/>
              </w:rPr>
              <w:t xml:space="preserve">:  Local </w:t>
            </w:r>
            <w:proofErr w:type="gramStart"/>
            <w:r w:rsidRPr="006A65F3">
              <w:rPr>
                <w:b/>
                <w:i/>
                <w:sz w:val="22"/>
                <w:szCs w:val="22"/>
              </w:rPr>
              <w:t>Currency</w:t>
            </w:r>
            <w:r w:rsidRPr="006A65F3">
              <w:rPr>
                <w:i/>
                <w:sz w:val="22"/>
                <w:szCs w:val="22"/>
              </w:rPr>
              <w:t> ]</w:t>
            </w:r>
            <w:proofErr w:type="gramEnd"/>
            <w:r w:rsidRPr="006A65F3">
              <w:rPr>
                <w:b/>
                <w:i/>
                <w:sz w:val="22"/>
                <w:szCs w:val="22"/>
              </w:rPr>
              <w:br/>
              <w:t>Price</w:t>
            </w:r>
          </w:p>
        </w:tc>
        <w:tc>
          <w:tcPr>
            <w:tcW w:w="1890" w:type="dxa"/>
          </w:tcPr>
          <w:p w14:paraId="480A5179" w14:textId="77777777" w:rsidR="00157AAA" w:rsidRPr="006A65F3" w:rsidRDefault="006C1BE5">
            <w:pPr>
              <w:rPr>
                <w:b/>
                <w:i/>
                <w:sz w:val="22"/>
                <w:szCs w:val="22"/>
              </w:rPr>
            </w:pPr>
            <w:r w:rsidRPr="006A65F3">
              <w:rPr>
                <w:i/>
                <w:sz w:val="22"/>
                <w:szCs w:val="22"/>
              </w:rPr>
              <w:t>[</w:t>
            </w:r>
            <w:r w:rsidRPr="006A65F3">
              <w:rPr>
                <w:b/>
                <w:i/>
                <w:sz w:val="22"/>
                <w:szCs w:val="22"/>
              </w:rPr>
              <w:t> </w:t>
            </w:r>
            <w:r w:rsidRPr="006A65F3">
              <w:rPr>
                <w:i/>
                <w:sz w:val="22"/>
                <w:szCs w:val="22"/>
              </w:rPr>
              <w:t>insert</w:t>
            </w:r>
            <w:r w:rsidRPr="006A65F3">
              <w:rPr>
                <w:b/>
                <w:i/>
                <w:sz w:val="22"/>
                <w:szCs w:val="22"/>
              </w:rPr>
              <w:t xml:space="preserve">:  Foreign Currency </w:t>
            </w:r>
            <w:proofErr w:type="gramStart"/>
            <w:r w:rsidRPr="006A65F3">
              <w:rPr>
                <w:b/>
                <w:i/>
                <w:sz w:val="22"/>
                <w:szCs w:val="22"/>
              </w:rPr>
              <w:t>A</w:t>
            </w:r>
            <w:r w:rsidRPr="006A65F3">
              <w:rPr>
                <w:i/>
                <w:sz w:val="22"/>
                <w:szCs w:val="22"/>
              </w:rPr>
              <w:t> ]</w:t>
            </w:r>
            <w:proofErr w:type="gramEnd"/>
            <w:r w:rsidRPr="006A65F3">
              <w:rPr>
                <w:b/>
                <w:i/>
                <w:sz w:val="22"/>
                <w:szCs w:val="22"/>
              </w:rPr>
              <w:t xml:space="preserve"> </w:t>
            </w:r>
            <w:r w:rsidRPr="006A65F3">
              <w:rPr>
                <w:b/>
                <w:i/>
                <w:sz w:val="22"/>
                <w:szCs w:val="22"/>
              </w:rPr>
              <w:br/>
              <w:t>Price</w:t>
            </w:r>
          </w:p>
        </w:tc>
        <w:tc>
          <w:tcPr>
            <w:tcW w:w="1890" w:type="dxa"/>
          </w:tcPr>
          <w:p w14:paraId="4EE4741C" w14:textId="77777777" w:rsidR="00157AAA" w:rsidRPr="006A65F3" w:rsidRDefault="006C1BE5">
            <w:pPr>
              <w:rPr>
                <w:b/>
                <w:i/>
                <w:sz w:val="22"/>
                <w:szCs w:val="22"/>
              </w:rPr>
            </w:pPr>
            <w:r w:rsidRPr="006A65F3">
              <w:rPr>
                <w:i/>
                <w:sz w:val="22"/>
                <w:szCs w:val="22"/>
              </w:rPr>
              <w:t>[</w:t>
            </w:r>
            <w:r w:rsidRPr="006A65F3">
              <w:rPr>
                <w:b/>
                <w:i/>
                <w:sz w:val="22"/>
                <w:szCs w:val="22"/>
              </w:rPr>
              <w:t> </w:t>
            </w:r>
            <w:r w:rsidRPr="006A65F3">
              <w:rPr>
                <w:i/>
                <w:sz w:val="22"/>
                <w:szCs w:val="22"/>
              </w:rPr>
              <w:t>insert</w:t>
            </w:r>
            <w:r w:rsidRPr="006A65F3">
              <w:rPr>
                <w:b/>
                <w:i/>
                <w:sz w:val="22"/>
                <w:szCs w:val="22"/>
              </w:rPr>
              <w:t xml:space="preserve">:  Foreign Currency </w:t>
            </w:r>
            <w:proofErr w:type="gramStart"/>
            <w:r w:rsidRPr="006A65F3">
              <w:rPr>
                <w:b/>
                <w:i/>
                <w:sz w:val="22"/>
                <w:szCs w:val="22"/>
              </w:rPr>
              <w:t>B</w:t>
            </w:r>
            <w:r w:rsidRPr="006A65F3">
              <w:rPr>
                <w:i/>
                <w:sz w:val="22"/>
                <w:szCs w:val="22"/>
              </w:rPr>
              <w:t> </w:t>
            </w:r>
            <w:r w:rsidRPr="006A65F3">
              <w:rPr>
                <w:b/>
                <w:i/>
                <w:sz w:val="22"/>
                <w:szCs w:val="22"/>
              </w:rPr>
              <w:t>]</w:t>
            </w:r>
            <w:proofErr w:type="gramEnd"/>
            <w:r w:rsidRPr="006A65F3">
              <w:rPr>
                <w:b/>
                <w:i/>
                <w:sz w:val="22"/>
                <w:szCs w:val="22"/>
              </w:rPr>
              <w:t xml:space="preserve"> </w:t>
            </w:r>
            <w:r w:rsidRPr="006A65F3">
              <w:rPr>
                <w:b/>
                <w:i/>
                <w:sz w:val="22"/>
                <w:szCs w:val="22"/>
              </w:rPr>
              <w:br/>
              <w:t>Price</w:t>
            </w:r>
          </w:p>
        </w:tc>
        <w:tc>
          <w:tcPr>
            <w:tcW w:w="1980" w:type="dxa"/>
          </w:tcPr>
          <w:p w14:paraId="2D473841" w14:textId="77777777" w:rsidR="00157AAA" w:rsidRPr="006A65F3" w:rsidRDefault="006C1BE5">
            <w:pPr>
              <w:rPr>
                <w:b/>
                <w:i/>
                <w:sz w:val="22"/>
                <w:szCs w:val="22"/>
              </w:rPr>
            </w:pPr>
            <w:r w:rsidRPr="006A65F3">
              <w:rPr>
                <w:i/>
                <w:sz w:val="22"/>
                <w:szCs w:val="22"/>
              </w:rPr>
              <w:t>[ insert</w:t>
            </w:r>
            <w:r w:rsidRPr="006A65F3">
              <w:rPr>
                <w:b/>
                <w:i/>
                <w:sz w:val="22"/>
                <w:szCs w:val="22"/>
              </w:rPr>
              <w:t xml:space="preserve">:  Foreign Currency </w:t>
            </w:r>
            <w:proofErr w:type="gramStart"/>
            <w:r w:rsidRPr="006A65F3">
              <w:rPr>
                <w:b/>
                <w:i/>
                <w:sz w:val="22"/>
                <w:szCs w:val="22"/>
              </w:rPr>
              <w:t>C</w:t>
            </w:r>
            <w:r w:rsidRPr="006A65F3">
              <w:rPr>
                <w:i/>
                <w:sz w:val="22"/>
                <w:szCs w:val="22"/>
              </w:rPr>
              <w:t> </w:t>
            </w:r>
            <w:r w:rsidRPr="006A65F3">
              <w:rPr>
                <w:b/>
                <w:i/>
                <w:sz w:val="22"/>
                <w:szCs w:val="22"/>
              </w:rPr>
              <w:t>]</w:t>
            </w:r>
            <w:proofErr w:type="gramEnd"/>
            <w:r w:rsidRPr="006A65F3">
              <w:rPr>
                <w:b/>
                <w:i/>
                <w:sz w:val="22"/>
                <w:szCs w:val="22"/>
              </w:rPr>
              <w:t xml:space="preserve"> </w:t>
            </w:r>
            <w:r w:rsidRPr="006A65F3">
              <w:rPr>
                <w:b/>
                <w:i/>
                <w:sz w:val="22"/>
                <w:szCs w:val="22"/>
              </w:rPr>
              <w:br/>
              <w:t>Price</w:t>
            </w:r>
          </w:p>
        </w:tc>
      </w:tr>
      <w:tr w:rsidR="00157AAA" w:rsidRPr="006A65F3" w14:paraId="01948C47" w14:textId="77777777">
        <w:trPr>
          <w:cantSplit/>
          <w:trHeight w:hRule="exact" w:val="240"/>
          <w:tblHeader/>
        </w:trPr>
        <w:tc>
          <w:tcPr>
            <w:tcW w:w="1170" w:type="dxa"/>
          </w:tcPr>
          <w:p w14:paraId="34A9F634" w14:textId="77777777" w:rsidR="00157AAA" w:rsidRPr="006A65F3" w:rsidRDefault="00157AAA">
            <w:pPr>
              <w:spacing w:before="100" w:after="100"/>
              <w:jc w:val="center"/>
              <w:rPr>
                <w:sz w:val="22"/>
              </w:rPr>
            </w:pPr>
          </w:p>
        </w:tc>
        <w:tc>
          <w:tcPr>
            <w:tcW w:w="3870" w:type="dxa"/>
          </w:tcPr>
          <w:p w14:paraId="7756F9F6" w14:textId="77777777" w:rsidR="00157AAA" w:rsidRPr="006A65F3" w:rsidRDefault="00157AAA">
            <w:pPr>
              <w:spacing w:before="100" w:after="100"/>
              <w:rPr>
                <w:sz w:val="22"/>
              </w:rPr>
            </w:pPr>
          </w:p>
        </w:tc>
        <w:tc>
          <w:tcPr>
            <w:tcW w:w="1710" w:type="dxa"/>
          </w:tcPr>
          <w:p w14:paraId="5EC040BC" w14:textId="77777777" w:rsidR="00157AAA" w:rsidRPr="006A65F3" w:rsidRDefault="00157AAA">
            <w:pPr>
              <w:spacing w:before="100" w:after="100"/>
              <w:jc w:val="center"/>
              <w:rPr>
                <w:sz w:val="22"/>
              </w:rPr>
            </w:pPr>
          </w:p>
        </w:tc>
        <w:tc>
          <w:tcPr>
            <w:tcW w:w="1890" w:type="dxa"/>
          </w:tcPr>
          <w:p w14:paraId="10805B92" w14:textId="77777777" w:rsidR="00157AAA" w:rsidRPr="006A65F3" w:rsidRDefault="00157AAA">
            <w:pPr>
              <w:spacing w:before="100" w:after="100"/>
              <w:jc w:val="center"/>
              <w:rPr>
                <w:sz w:val="22"/>
              </w:rPr>
            </w:pPr>
          </w:p>
        </w:tc>
        <w:tc>
          <w:tcPr>
            <w:tcW w:w="1890" w:type="dxa"/>
          </w:tcPr>
          <w:p w14:paraId="27459967" w14:textId="77777777" w:rsidR="00157AAA" w:rsidRPr="006A65F3" w:rsidRDefault="00157AAA">
            <w:pPr>
              <w:spacing w:before="100" w:after="100"/>
              <w:jc w:val="center"/>
              <w:rPr>
                <w:sz w:val="22"/>
              </w:rPr>
            </w:pPr>
          </w:p>
        </w:tc>
        <w:tc>
          <w:tcPr>
            <w:tcW w:w="1980" w:type="dxa"/>
          </w:tcPr>
          <w:p w14:paraId="341AC216" w14:textId="77777777" w:rsidR="00157AAA" w:rsidRPr="006A65F3" w:rsidRDefault="00157AAA">
            <w:pPr>
              <w:spacing w:before="100" w:after="100"/>
              <w:jc w:val="center"/>
              <w:rPr>
                <w:sz w:val="22"/>
              </w:rPr>
            </w:pPr>
          </w:p>
        </w:tc>
      </w:tr>
      <w:tr w:rsidR="00157AAA" w:rsidRPr="006A65F3" w14:paraId="4F196F67" w14:textId="77777777">
        <w:trPr>
          <w:cantSplit/>
        </w:trPr>
        <w:tc>
          <w:tcPr>
            <w:tcW w:w="1170" w:type="dxa"/>
          </w:tcPr>
          <w:p w14:paraId="3AD641CE" w14:textId="77777777" w:rsidR="00157AAA" w:rsidRPr="006A65F3" w:rsidRDefault="006C1BE5">
            <w:pPr>
              <w:spacing w:before="100" w:after="100"/>
              <w:jc w:val="center"/>
              <w:rPr>
                <w:sz w:val="22"/>
              </w:rPr>
            </w:pPr>
            <w:r w:rsidRPr="006A65F3">
              <w:rPr>
                <w:sz w:val="22"/>
              </w:rPr>
              <w:t>1.</w:t>
            </w:r>
          </w:p>
        </w:tc>
        <w:tc>
          <w:tcPr>
            <w:tcW w:w="3870" w:type="dxa"/>
          </w:tcPr>
          <w:p w14:paraId="48A756A6" w14:textId="77777777" w:rsidR="00157AAA" w:rsidRPr="006A65F3" w:rsidRDefault="006C1BE5">
            <w:pPr>
              <w:spacing w:before="100" w:after="100"/>
              <w:rPr>
                <w:sz w:val="22"/>
              </w:rPr>
            </w:pPr>
            <w:r w:rsidRPr="006A65F3">
              <w:rPr>
                <w:sz w:val="22"/>
              </w:rPr>
              <w:t>Supply and Installation Costs (from Supply and Installation Cost Summary Table)</w:t>
            </w:r>
          </w:p>
        </w:tc>
        <w:tc>
          <w:tcPr>
            <w:tcW w:w="1710" w:type="dxa"/>
          </w:tcPr>
          <w:p w14:paraId="56B4094D" w14:textId="77777777" w:rsidR="00157AAA" w:rsidRPr="006A65F3" w:rsidRDefault="00157AAA">
            <w:pPr>
              <w:spacing w:before="100" w:after="100"/>
              <w:jc w:val="center"/>
              <w:rPr>
                <w:sz w:val="22"/>
              </w:rPr>
            </w:pPr>
          </w:p>
        </w:tc>
        <w:tc>
          <w:tcPr>
            <w:tcW w:w="1890" w:type="dxa"/>
          </w:tcPr>
          <w:p w14:paraId="53D5B77F" w14:textId="77777777" w:rsidR="00157AAA" w:rsidRPr="006A65F3" w:rsidRDefault="00157AAA">
            <w:pPr>
              <w:spacing w:before="100" w:after="100"/>
              <w:jc w:val="center"/>
              <w:rPr>
                <w:sz w:val="22"/>
              </w:rPr>
            </w:pPr>
          </w:p>
        </w:tc>
        <w:tc>
          <w:tcPr>
            <w:tcW w:w="1890" w:type="dxa"/>
          </w:tcPr>
          <w:p w14:paraId="48ED6BE3" w14:textId="77777777" w:rsidR="00157AAA" w:rsidRPr="006A65F3" w:rsidRDefault="00157AAA">
            <w:pPr>
              <w:spacing w:before="100" w:after="100"/>
              <w:jc w:val="center"/>
              <w:rPr>
                <w:sz w:val="22"/>
              </w:rPr>
            </w:pPr>
          </w:p>
        </w:tc>
        <w:tc>
          <w:tcPr>
            <w:tcW w:w="1980" w:type="dxa"/>
          </w:tcPr>
          <w:p w14:paraId="5750BAC1" w14:textId="77777777" w:rsidR="00157AAA" w:rsidRPr="006A65F3" w:rsidRDefault="00157AAA">
            <w:pPr>
              <w:spacing w:before="100" w:after="100"/>
              <w:jc w:val="center"/>
              <w:rPr>
                <w:sz w:val="22"/>
              </w:rPr>
            </w:pPr>
          </w:p>
        </w:tc>
      </w:tr>
      <w:tr w:rsidR="009C698D" w14:paraId="656D20D3" w14:textId="77777777">
        <w:trPr>
          <w:cantSplit/>
        </w:trPr>
        <w:tc>
          <w:tcPr>
            <w:tcW w:w="1170" w:type="dxa"/>
          </w:tcPr>
          <w:p w14:paraId="4C996917" w14:textId="35E890D4" w:rsidR="009C698D" w:rsidRPr="006A65F3" w:rsidRDefault="009C698D">
            <w:pPr>
              <w:spacing w:before="100" w:after="100"/>
              <w:jc w:val="center"/>
              <w:rPr>
                <w:sz w:val="22"/>
              </w:rPr>
            </w:pPr>
            <w:r w:rsidRPr="006A65F3">
              <w:rPr>
                <w:sz w:val="22"/>
              </w:rPr>
              <w:t>2.</w:t>
            </w:r>
          </w:p>
        </w:tc>
        <w:tc>
          <w:tcPr>
            <w:tcW w:w="3870" w:type="dxa"/>
          </w:tcPr>
          <w:p w14:paraId="346178D7" w14:textId="3FA3998F" w:rsidR="009C698D" w:rsidRPr="006A65F3" w:rsidRDefault="009C698D">
            <w:pPr>
              <w:spacing w:before="100" w:after="100"/>
              <w:rPr>
                <w:sz w:val="22"/>
              </w:rPr>
            </w:pPr>
            <w:r w:rsidRPr="006A65F3">
              <w:rPr>
                <w:sz w:val="22"/>
              </w:rPr>
              <w:t>VAT</w:t>
            </w:r>
          </w:p>
        </w:tc>
        <w:tc>
          <w:tcPr>
            <w:tcW w:w="1710" w:type="dxa"/>
          </w:tcPr>
          <w:p w14:paraId="1A658FA6" w14:textId="77777777" w:rsidR="009C698D" w:rsidRDefault="009C698D">
            <w:pPr>
              <w:spacing w:before="100" w:after="100"/>
              <w:jc w:val="center"/>
              <w:rPr>
                <w:sz w:val="22"/>
              </w:rPr>
            </w:pPr>
          </w:p>
        </w:tc>
        <w:tc>
          <w:tcPr>
            <w:tcW w:w="1890" w:type="dxa"/>
          </w:tcPr>
          <w:p w14:paraId="454487FB" w14:textId="77777777" w:rsidR="009C698D" w:rsidRDefault="009C698D">
            <w:pPr>
              <w:spacing w:before="100" w:after="100"/>
              <w:jc w:val="center"/>
              <w:rPr>
                <w:sz w:val="22"/>
              </w:rPr>
            </w:pPr>
          </w:p>
        </w:tc>
        <w:tc>
          <w:tcPr>
            <w:tcW w:w="1890" w:type="dxa"/>
          </w:tcPr>
          <w:p w14:paraId="71217642" w14:textId="77777777" w:rsidR="009C698D" w:rsidRDefault="009C698D">
            <w:pPr>
              <w:spacing w:before="100" w:after="100"/>
              <w:jc w:val="center"/>
              <w:rPr>
                <w:sz w:val="22"/>
              </w:rPr>
            </w:pPr>
          </w:p>
        </w:tc>
        <w:tc>
          <w:tcPr>
            <w:tcW w:w="1980" w:type="dxa"/>
          </w:tcPr>
          <w:p w14:paraId="2BC2A628" w14:textId="77777777" w:rsidR="009C698D" w:rsidRDefault="009C698D">
            <w:pPr>
              <w:spacing w:before="100" w:after="100"/>
              <w:jc w:val="center"/>
              <w:rPr>
                <w:sz w:val="22"/>
              </w:rPr>
            </w:pPr>
          </w:p>
        </w:tc>
      </w:tr>
      <w:tr w:rsidR="00157AAA" w14:paraId="485F4D3B" w14:textId="77777777">
        <w:trPr>
          <w:cantSplit/>
          <w:trHeight w:hRule="exact" w:val="120"/>
        </w:trPr>
        <w:tc>
          <w:tcPr>
            <w:tcW w:w="1170" w:type="dxa"/>
          </w:tcPr>
          <w:p w14:paraId="4C5A1B7F" w14:textId="77777777" w:rsidR="00157AAA" w:rsidRDefault="00157AAA">
            <w:pPr>
              <w:spacing w:before="100" w:after="100"/>
              <w:jc w:val="center"/>
              <w:rPr>
                <w:sz w:val="22"/>
              </w:rPr>
            </w:pPr>
          </w:p>
        </w:tc>
        <w:tc>
          <w:tcPr>
            <w:tcW w:w="3870" w:type="dxa"/>
          </w:tcPr>
          <w:p w14:paraId="37DDA823" w14:textId="77777777" w:rsidR="00157AAA" w:rsidRDefault="00157AAA">
            <w:pPr>
              <w:spacing w:before="100" w:after="100"/>
              <w:rPr>
                <w:sz w:val="22"/>
              </w:rPr>
            </w:pPr>
          </w:p>
        </w:tc>
        <w:tc>
          <w:tcPr>
            <w:tcW w:w="1710" w:type="dxa"/>
          </w:tcPr>
          <w:p w14:paraId="4D8807C1" w14:textId="77777777" w:rsidR="00157AAA" w:rsidRDefault="00157AAA">
            <w:pPr>
              <w:spacing w:before="100" w:after="100"/>
              <w:jc w:val="center"/>
              <w:rPr>
                <w:sz w:val="22"/>
              </w:rPr>
            </w:pPr>
          </w:p>
        </w:tc>
        <w:tc>
          <w:tcPr>
            <w:tcW w:w="1890" w:type="dxa"/>
          </w:tcPr>
          <w:p w14:paraId="769E4410" w14:textId="77777777" w:rsidR="00157AAA" w:rsidRDefault="00157AAA">
            <w:pPr>
              <w:spacing w:before="100" w:after="100"/>
              <w:jc w:val="center"/>
              <w:rPr>
                <w:sz w:val="22"/>
              </w:rPr>
            </w:pPr>
          </w:p>
        </w:tc>
        <w:tc>
          <w:tcPr>
            <w:tcW w:w="1890" w:type="dxa"/>
          </w:tcPr>
          <w:p w14:paraId="30A6088F" w14:textId="77777777" w:rsidR="00157AAA" w:rsidRDefault="00157AAA">
            <w:pPr>
              <w:spacing w:before="100" w:after="100"/>
              <w:jc w:val="center"/>
              <w:rPr>
                <w:sz w:val="22"/>
              </w:rPr>
            </w:pPr>
          </w:p>
        </w:tc>
        <w:tc>
          <w:tcPr>
            <w:tcW w:w="1980" w:type="dxa"/>
          </w:tcPr>
          <w:p w14:paraId="6CA31B68" w14:textId="77777777" w:rsidR="00157AAA" w:rsidRDefault="00157AAA">
            <w:pPr>
              <w:spacing w:before="100" w:after="100"/>
              <w:jc w:val="center"/>
              <w:rPr>
                <w:sz w:val="22"/>
              </w:rPr>
            </w:pPr>
          </w:p>
        </w:tc>
      </w:tr>
      <w:tr w:rsidR="00157AAA" w14:paraId="17AD99EA" w14:textId="77777777">
        <w:trPr>
          <w:cantSplit/>
          <w:trHeight w:hRule="exact" w:val="120"/>
        </w:trPr>
        <w:tc>
          <w:tcPr>
            <w:tcW w:w="1170" w:type="dxa"/>
          </w:tcPr>
          <w:p w14:paraId="0B22B25E" w14:textId="77777777" w:rsidR="00157AAA" w:rsidRDefault="00157AAA">
            <w:pPr>
              <w:spacing w:before="100" w:after="100"/>
              <w:jc w:val="center"/>
              <w:rPr>
                <w:sz w:val="22"/>
              </w:rPr>
            </w:pPr>
          </w:p>
        </w:tc>
        <w:tc>
          <w:tcPr>
            <w:tcW w:w="3870" w:type="dxa"/>
          </w:tcPr>
          <w:p w14:paraId="4D218322" w14:textId="77777777" w:rsidR="00157AAA" w:rsidRDefault="00157AAA">
            <w:pPr>
              <w:spacing w:before="100" w:after="100"/>
              <w:rPr>
                <w:sz w:val="22"/>
              </w:rPr>
            </w:pPr>
          </w:p>
        </w:tc>
        <w:tc>
          <w:tcPr>
            <w:tcW w:w="1710" w:type="dxa"/>
          </w:tcPr>
          <w:p w14:paraId="19B09807" w14:textId="77777777" w:rsidR="00157AAA" w:rsidRDefault="00157AAA">
            <w:pPr>
              <w:spacing w:before="100" w:after="100"/>
              <w:jc w:val="center"/>
              <w:rPr>
                <w:sz w:val="22"/>
              </w:rPr>
            </w:pPr>
          </w:p>
        </w:tc>
        <w:tc>
          <w:tcPr>
            <w:tcW w:w="1890" w:type="dxa"/>
          </w:tcPr>
          <w:p w14:paraId="26C514DE" w14:textId="77777777" w:rsidR="00157AAA" w:rsidRDefault="00157AAA">
            <w:pPr>
              <w:spacing w:before="100" w:after="100"/>
              <w:jc w:val="center"/>
              <w:rPr>
                <w:sz w:val="22"/>
              </w:rPr>
            </w:pPr>
          </w:p>
        </w:tc>
        <w:tc>
          <w:tcPr>
            <w:tcW w:w="1890" w:type="dxa"/>
          </w:tcPr>
          <w:p w14:paraId="71BE57B2" w14:textId="77777777" w:rsidR="00157AAA" w:rsidRDefault="00157AAA">
            <w:pPr>
              <w:spacing w:before="100" w:after="100"/>
              <w:jc w:val="center"/>
              <w:rPr>
                <w:sz w:val="22"/>
              </w:rPr>
            </w:pPr>
          </w:p>
        </w:tc>
        <w:tc>
          <w:tcPr>
            <w:tcW w:w="1980" w:type="dxa"/>
          </w:tcPr>
          <w:p w14:paraId="2E3739B5" w14:textId="77777777" w:rsidR="00157AAA" w:rsidRDefault="00157AAA">
            <w:pPr>
              <w:spacing w:before="100" w:after="100"/>
              <w:jc w:val="center"/>
              <w:rPr>
                <w:sz w:val="22"/>
              </w:rPr>
            </w:pPr>
          </w:p>
        </w:tc>
      </w:tr>
      <w:tr w:rsidR="00157AAA" w14:paraId="135D8A90" w14:textId="77777777">
        <w:trPr>
          <w:cantSplit/>
        </w:trPr>
        <w:tc>
          <w:tcPr>
            <w:tcW w:w="1170" w:type="dxa"/>
          </w:tcPr>
          <w:p w14:paraId="79F67295" w14:textId="77777777" w:rsidR="00157AAA" w:rsidRDefault="006C1BE5">
            <w:pPr>
              <w:spacing w:before="100" w:after="100"/>
              <w:jc w:val="center"/>
              <w:rPr>
                <w:sz w:val="22"/>
              </w:rPr>
            </w:pPr>
            <w:r>
              <w:rPr>
                <w:sz w:val="22"/>
              </w:rPr>
              <w:t>4.</w:t>
            </w:r>
          </w:p>
        </w:tc>
        <w:tc>
          <w:tcPr>
            <w:tcW w:w="3870" w:type="dxa"/>
          </w:tcPr>
          <w:p w14:paraId="7E96B064" w14:textId="77777777" w:rsidR="00157AAA" w:rsidRDefault="006C1BE5">
            <w:pPr>
              <w:spacing w:before="100" w:after="100"/>
              <w:jc w:val="right"/>
              <w:rPr>
                <w:sz w:val="22"/>
              </w:rPr>
            </w:pPr>
            <w:r>
              <w:rPr>
                <w:sz w:val="22"/>
              </w:rPr>
              <w:t>Grand Totals (to Bid Submission Form)</w:t>
            </w:r>
          </w:p>
        </w:tc>
        <w:tc>
          <w:tcPr>
            <w:tcW w:w="1710" w:type="dxa"/>
          </w:tcPr>
          <w:p w14:paraId="75F9ECAD" w14:textId="77777777" w:rsidR="00157AAA" w:rsidRDefault="00157AAA">
            <w:pPr>
              <w:spacing w:before="100" w:after="100"/>
              <w:jc w:val="center"/>
              <w:rPr>
                <w:sz w:val="22"/>
              </w:rPr>
            </w:pPr>
          </w:p>
        </w:tc>
        <w:tc>
          <w:tcPr>
            <w:tcW w:w="1890" w:type="dxa"/>
          </w:tcPr>
          <w:p w14:paraId="0FF9AEE6" w14:textId="77777777" w:rsidR="00157AAA" w:rsidRDefault="00157AAA">
            <w:pPr>
              <w:spacing w:before="100" w:after="100"/>
              <w:jc w:val="center"/>
              <w:rPr>
                <w:sz w:val="22"/>
              </w:rPr>
            </w:pPr>
          </w:p>
        </w:tc>
        <w:tc>
          <w:tcPr>
            <w:tcW w:w="1890" w:type="dxa"/>
          </w:tcPr>
          <w:p w14:paraId="78B75F61" w14:textId="77777777" w:rsidR="00157AAA" w:rsidRDefault="00157AAA">
            <w:pPr>
              <w:spacing w:before="100" w:after="100"/>
              <w:jc w:val="center"/>
              <w:rPr>
                <w:sz w:val="22"/>
              </w:rPr>
            </w:pPr>
          </w:p>
        </w:tc>
        <w:tc>
          <w:tcPr>
            <w:tcW w:w="1980" w:type="dxa"/>
          </w:tcPr>
          <w:p w14:paraId="2DD3046D" w14:textId="77777777" w:rsidR="00157AAA" w:rsidRDefault="00157AAA">
            <w:pPr>
              <w:spacing w:before="100" w:after="100"/>
              <w:jc w:val="center"/>
              <w:rPr>
                <w:sz w:val="22"/>
              </w:rPr>
            </w:pPr>
          </w:p>
        </w:tc>
      </w:tr>
    </w:tbl>
    <w:p w14:paraId="06997C4D" w14:textId="77777777" w:rsidR="00157AAA" w:rsidRDefault="00157AAA"/>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4320"/>
        <w:gridCol w:w="360"/>
        <w:gridCol w:w="5148"/>
      </w:tblGrid>
      <w:tr w:rsidR="00157AAA" w14:paraId="3093BEC1" w14:textId="77777777">
        <w:trPr>
          <w:cantSplit/>
          <w:trHeight w:hRule="exact" w:val="240"/>
          <w:jc w:val="center"/>
        </w:trPr>
        <w:tc>
          <w:tcPr>
            <w:tcW w:w="4320" w:type="dxa"/>
          </w:tcPr>
          <w:p w14:paraId="49423C1C" w14:textId="77777777" w:rsidR="00157AAA" w:rsidRDefault="00157AAA">
            <w:pPr>
              <w:spacing w:before="100" w:after="100"/>
              <w:rPr>
                <w:sz w:val="22"/>
              </w:rPr>
            </w:pPr>
          </w:p>
        </w:tc>
        <w:tc>
          <w:tcPr>
            <w:tcW w:w="360" w:type="dxa"/>
          </w:tcPr>
          <w:p w14:paraId="0D08E979" w14:textId="77777777" w:rsidR="00157AAA" w:rsidRDefault="00157AAA">
            <w:pPr>
              <w:spacing w:before="100" w:after="100"/>
              <w:jc w:val="center"/>
              <w:rPr>
                <w:sz w:val="22"/>
              </w:rPr>
            </w:pPr>
          </w:p>
        </w:tc>
        <w:tc>
          <w:tcPr>
            <w:tcW w:w="5148" w:type="dxa"/>
          </w:tcPr>
          <w:p w14:paraId="29F17EA1" w14:textId="77777777" w:rsidR="00157AAA" w:rsidRDefault="00157AAA">
            <w:pPr>
              <w:spacing w:before="100" w:after="100"/>
              <w:jc w:val="center"/>
              <w:rPr>
                <w:sz w:val="22"/>
              </w:rPr>
            </w:pPr>
          </w:p>
        </w:tc>
      </w:tr>
      <w:tr w:rsidR="00157AAA" w14:paraId="44A47487" w14:textId="77777777">
        <w:trPr>
          <w:cantSplit/>
          <w:jc w:val="center"/>
        </w:trPr>
        <w:tc>
          <w:tcPr>
            <w:tcW w:w="4320" w:type="dxa"/>
          </w:tcPr>
          <w:p w14:paraId="2F09CAE8" w14:textId="77777777" w:rsidR="00157AAA" w:rsidRDefault="006C1BE5">
            <w:pPr>
              <w:spacing w:before="100" w:after="100"/>
              <w:jc w:val="right"/>
              <w:rPr>
                <w:sz w:val="22"/>
              </w:rPr>
            </w:pPr>
            <w:r>
              <w:rPr>
                <w:sz w:val="22"/>
              </w:rPr>
              <w:t>Name of Bidder:</w:t>
            </w:r>
          </w:p>
        </w:tc>
        <w:tc>
          <w:tcPr>
            <w:tcW w:w="360" w:type="dxa"/>
          </w:tcPr>
          <w:p w14:paraId="25B9E320" w14:textId="77777777" w:rsidR="00157AAA" w:rsidRDefault="00157AAA">
            <w:pPr>
              <w:spacing w:before="100" w:after="100"/>
              <w:jc w:val="center"/>
              <w:rPr>
                <w:sz w:val="22"/>
              </w:rPr>
            </w:pPr>
          </w:p>
        </w:tc>
        <w:tc>
          <w:tcPr>
            <w:tcW w:w="5148" w:type="dxa"/>
          </w:tcPr>
          <w:p w14:paraId="674B08FB" w14:textId="77777777" w:rsidR="00157AAA" w:rsidRDefault="00157AAA">
            <w:pPr>
              <w:spacing w:before="100" w:after="100"/>
              <w:jc w:val="center"/>
              <w:rPr>
                <w:sz w:val="22"/>
              </w:rPr>
            </w:pPr>
          </w:p>
        </w:tc>
      </w:tr>
      <w:tr w:rsidR="00157AAA" w14:paraId="2ED2BF80" w14:textId="77777777">
        <w:trPr>
          <w:cantSplit/>
          <w:trHeight w:hRule="exact" w:val="240"/>
          <w:jc w:val="center"/>
        </w:trPr>
        <w:tc>
          <w:tcPr>
            <w:tcW w:w="4320" w:type="dxa"/>
          </w:tcPr>
          <w:p w14:paraId="741735BB" w14:textId="77777777" w:rsidR="00157AAA" w:rsidRDefault="00157AAA">
            <w:pPr>
              <w:spacing w:before="100" w:after="100"/>
              <w:jc w:val="right"/>
              <w:rPr>
                <w:sz w:val="22"/>
              </w:rPr>
            </w:pPr>
          </w:p>
        </w:tc>
        <w:tc>
          <w:tcPr>
            <w:tcW w:w="360" w:type="dxa"/>
          </w:tcPr>
          <w:p w14:paraId="39754D35" w14:textId="77777777" w:rsidR="00157AAA" w:rsidRDefault="00157AAA">
            <w:pPr>
              <w:spacing w:before="100" w:after="100"/>
              <w:jc w:val="center"/>
              <w:rPr>
                <w:sz w:val="22"/>
              </w:rPr>
            </w:pPr>
          </w:p>
        </w:tc>
        <w:tc>
          <w:tcPr>
            <w:tcW w:w="5148" w:type="dxa"/>
          </w:tcPr>
          <w:p w14:paraId="641FB0E9" w14:textId="77777777" w:rsidR="00157AAA" w:rsidRDefault="00157AAA">
            <w:pPr>
              <w:spacing w:before="100" w:after="100"/>
              <w:jc w:val="center"/>
              <w:rPr>
                <w:sz w:val="22"/>
              </w:rPr>
            </w:pPr>
          </w:p>
        </w:tc>
      </w:tr>
      <w:tr w:rsidR="00157AAA" w14:paraId="5CD3372C" w14:textId="77777777">
        <w:trPr>
          <w:cantSplit/>
          <w:jc w:val="center"/>
        </w:trPr>
        <w:tc>
          <w:tcPr>
            <w:tcW w:w="4320" w:type="dxa"/>
          </w:tcPr>
          <w:p w14:paraId="660957B5" w14:textId="77777777" w:rsidR="00157AAA" w:rsidRDefault="006C1BE5">
            <w:pPr>
              <w:spacing w:before="100" w:after="100"/>
              <w:jc w:val="right"/>
              <w:rPr>
                <w:sz w:val="22"/>
              </w:rPr>
            </w:pPr>
            <w:r>
              <w:rPr>
                <w:sz w:val="22"/>
              </w:rPr>
              <w:t>Authorized Signature of Bidder:</w:t>
            </w:r>
          </w:p>
        </w:tc>
        <w:tc>
          <w:tcPr>
            <w:tcW w:w="360" w:type="dxa"/>
          </w:tcPr>
          <w:p w14:paraId="0F769C2A" w14:textId="77777777" w:rsidR="00157AAA" w:rsidRDefault="00157AAA">
            <w:pPr>
              <w:spacing w:before="100" w:after="100"/>
              <w:jc w:val="center"/>
              <w:rPr>
                <w:sz w:val="22"/>
              </w:rPr>
            </w:pPr>
          </w:p>
        </w:tc>
        <w:tc>
          <w:tcPr>
            <w:tcW w:w="5148" w:type="dxa"/>
          </w:tcPr>
          <w:p w14:paraId="5451AFD4" w14:textId="77777777" w:rsidR="00157AAA" w:rsidRDefault="00157AAA">
            <w:pPr>
              <w:spacing w:before="100" w:after="100"/>
              <w:jc w:val="center"/>
              <w:rPr>
                <w:sz w:val="22"/>
              </w:rPr>
            </w:pPr>
          </w:p>
        </w:tc>
      </w:tr>
    </w:tbl>
    <w:p w14:paraId="2DF8870D" w14:textId="77777777" w:rsidR="00157AAA" w:rsidRDefault="006C1BE5">
      <w:pPr>
        <w:pStyle w:val="Head32"/>
        <w:ind w:right="1440"/>
      </w:pPr>
      <w:r>
        <w:rPr>
          <w:sz w:val="22"/>
        </w:rPr>
        <w:br w:type="page" w:clear="all"/>
      </w:r>
      <w:bookmarkStart w:id="571" w:name="_Toc521497241"/>
      <w:bookmarkStart w:id="572" w:name="_Toc218673958"/>
      <w:bookmarkStart w:id="573" w:name="_Toc277345593"/>
      <w:r>
        <w:lastRenderedPageBreak/>
        <w:t>3.2</w:t>
      </w:r>
      <w:r>
        <w:tab/>
      </w:r>
      <w:bookmarkStart w:id="574" w:name="_Hlt529125890"/>
      <w:bookmarkEnd w:id="574"/>
      <w:r>
        <w:tab/>
        <w:t>Supply and Installation Cost Summary Tabl</w:t>
      </w:r>
      <w:bookmarkEnd w:id="571"/>
      <w:r>
        <w:t>e</w:t>
      </w:r>
      <w:bookmarkEnd w:id="572"/>
      <w:bookmarkEnd w:id="573"/>
    </w:p>
    <w:p w14:paraId="3261BF10" w14:textId="30EA6B5A" w:rsidR="00157AAA" w:rsidRDefault="006C1BE5">
      <w:pPr>
        <w:pStyle w:val="explanatorynotes"/>
        <w:ind w:right="1440"/>
        <w:jc w:val="center"/>
        <w:rPr>
          <w:rFonts w:ascii="Times New Roman" w:hAnsi="Times New Roman"/>
        </w:rPr>
      </w:pPr>
      <w:r>
        <w:rPr>
          <w:rFonts w:ascii="Times New Roman" w:hAnsi="Times New Roman"/>
        </w:rPr>
        <w:t>Costs MUST reflect prices and rates quoted in accordance with ITB 17 and 18.</w:t>
      </w:r>
    </w:p>
    <w:tbl>
      <w:tblPr>
        <w:tblpPr w:leftFromText="180" w:rightFromText="180" w:vertAnchor="text" w:tblpY="1"/>
        <w:tblOverlap w:val="neve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720"/>
        <w:gridCol w:w="4672"/>
        <w:gridCol w:w="1350"/>
        <w:gridCol w:w="1260"/>
        <w:gridCol w:w="1350"/>
        <w:gridCol w:w="1080"/>
        <w:gridCol w:w="1170"/>
        <w:gridCol w:w="1268"/>
      </w:tblGrid>
      <w:tr w:rsidR="00513AB5" w14:paraId="018A611D" w14:textId="77777777" w:rsidTr="00100729">
        <w:trPr>
          <w:cantSplit/>
          <w:tblHeader/>
        </w:trPr>
        <w:tc>
          <w:tcPr>
            <w:tcW w:w="720" w:type="dxa"/>
          </w:tcPr>
          <w:p w14:paraId="4D20E878" w14:textId="77777777" w:rsidR="00513AB5" w:rsidRDefault="00513AB5" w:rsidP="00513AB5">
            <w:pPr>
              <w:spacing w:before="100" w:after="0"/>
              <w:jc w:val="center"/>
              <w:rPr>
                <w:b/>
                <w:sz w:val="22"/>
              </w:rPr>
            </w:pPr>
          </w:p>
        </w:tc>
        <w:tc>
          <w:tcPr>
            <w:tcW w:w="4672" w:type="dxa"/>
          </w:tcPr>
          <w:p w14:paraId="0283248E" w14:textId="77777777" w:rsidR="00513AB5" w:rsidRDefault="00513AB5" w:rsidP="00513AB5">
            <w:pPr>
              <w:spacing w:before="100" w:after="0"/>
              <w:jc w:val="left"/>
              <w:rPr>
                <w:b/>
                <w:sz w:val="22"/>
              </w:rPr>
            </w:pPr>
          </w:p>
        </w:tc>
        <w:tc>
          <w:tcPr>
            <w:tcW w:w="1350" w:type="dxa"/>
          </w:tcPr>
          <w:p w14:paraId="7C1E10B5" w14:textId="77777777" w:rsidR="00513AB5" w:rsidRDefault="00513AB5" w:rsidP="00513AB5">
            <w:pPr>
              <w:spacing w:before="100" w:after="0"/>
              <w:jc w:val="center"/>
              <w:rPr>
                <w:b/>
                <w:sz w:val="22"/>
              </w:rPr>
            </w:pPr>
          </w:p>
        </w:tc>
        <w:tc>
          <w:tcPr>
            <w:tcW w:w="6128" w:type="dxa"/>
            <w:gridSpan w:val="5"/>
          </w:tcPr>
          <w:p w14:paraId="2873E7A5" w14:textId="77777777" w:rsidR="00513AB5" w:rsidRDefault="00513AB5" w:rsidP="00513AB5">
            <w:pPr>
              <w:spacing w:before="100" w:after="0"/>
              <w:jc w:val="center"/>
              <w:rPr>
                <w:b/>
                <w:sz w:val="22"/>
              </w:rPr>
            </w:pPr>
            <w:r>
              <w:rPr>
                <w:b/>
                <w:sz w:val="22"/>
              </w:rPr>
              <w:t>Supply &amp; Installation Prices</w:t>
            </w:r>
          </w:p>
        </w:tc>
      </w:tr>
      <w:tr w:rsidR="00B50A96" w14:paraId="36498ECB" w14:textId="77777777" w:rsidTr="00100729">
        <w:trPr>
          <w:cantSplit/>
          <w:tblHeader/>
        </w:trPr>
        <w:tc>
          <w:tcPr>
            <w:tcW w:w="720" w:type="dxa"/>
          </w:tcPr>
          <w:p w14:paraId="34BC438B" w14:textId="77777777" w:rsidR="00513AB5" w:rsidRDefault="00513AB5" w:rsidP="00513AB5">
            <w:pPr>
              <w:spacing w:before="100" w:after="100"/>
              <w:jc w:val="center"/>
              <w:rPr>
                <w:b/>
                <w:sz w:val="22"/>
              </w:rPr>
            </w:pPr>
          </w:p>
        </w:tc>
        <w:tc>
          <w:tcPr>
            <w:tcW w:w="4672" w:type="dxa"/>
          </w:tcPr>
          <w:p w14:paraId="3577F334" w14:textId="77777777" w:rsidR="00513AB5" w:rsidRDefault="00513AB5" w:rsidP="00513AB5">
            <w:pPr>
              <w:spacing w:before="100" w:after="100"/>
              <w:jc w:val="left"/>
              <w:rPr>
                <w:b/>
                <w:sz w:val="22"/>
              </w:rPr>
            </w:pPr>
          </w:p>
        </w:tc>
        <w:tc>
          <w:tcPr>
            <w:tcW w:w="1350" w:type="dxa"/>
          </w:tcPr>
          <w:p w14:paraId="55B9F0B6" w14:textId="77777777" w:rsidR="00513AB5" w:rsidRDefault="00513AB5" w:rsidP="00513AB5">
            <w:pPr>
              <w:spacing w:before="100" w:after="100"/>
              <w:jc w:val="center"/>
              <w:rPr>
                <w:b/>
                <w:sz w:val="22"/>
              </w:rPr>
            </w:pPr>
            <w:r>
              <w:rPr>
                <w:b/>
                <w:sz w:val="22"/>
              </w:rPr>
              <w:br/>
            </w:r>
          </w:p>
        </w:tc>
        <w:tc>
          <w:tcPr>
            <w:tcW w:w="1260" w:type="dxa"/>
          </w:tcPr>
          <w:p w14:paraId="59545DF7" w14:textId="77777777" w:rsidR="00513AB5" w:rsidRDefault="00513AB5" w:rsidP="00513AB5">
            <w:pPr>
              <w:spacing w:before="100" w:after="100"/>
              <w:jc w:val="center"/>
              <w:rPr>
                <w:b/>
                <w:sz w:val="22"/>
              </w:rPr>
            </w:pPr>
            <w:r>
              <w:rPr>
                <w:b/>
                <w:sz w:val="22"/>
              </w:rPr>
              <w:t>Locally supplied items</w:t>
            </w:r>
          </w:p>
        </w:tc>
        <w:tc>
          <w:tcPr>
            <w:tcW w:w="4868" w:type="dxa"/>
            <w:gridSpan w:val="4"/>
          </w:tcPr>
          <w:p w14:paraId="14A5C37F" w14:textId="77777777" w:rsidR="00513AB5" w:rsidRDefault="00513AB5" w:rsidP="00513AB5">
            <w:pPr>
              <w:spacing w:before="100" w:after="100"/>
              <w:jc w:val="center"/>
              <w:rPr>
                <w:b/>
                <w:sz w:val="22"/>
              </w:rPr>
            </w:pPr>
            <w:r>
              <w:rPr>
                <w:b/>
                <w:sz w:val="22"/>
              </w:rPr>
              <w:t>Items supplied from outside the Purchaser’s Country</w:t>
            </w:r>
          </w:p>
        </w:tc>
      </w:tr>
      <w:tr w:rsidR="00B50A96" w14:paraId="71CD7E16" w14:textId="77777777" w:rsidTr="00100729">
        <w:trPr>
          <w:cantSplit/>
          <w:tblHeader/>
        </w:trPr>
        <w:tc>
          <w:tcPr>
            <w:tcW w:w="720" w:type="dxa"/>
          </w:tcPr>
          <w:p w14:paraId="3EF7C94E" w14:textId="77777777" w:rsidR="00513AB5" w:rsidRDefault="00513AB5" w:rsidP="00513AB5">
            <w:pPr>
              <w:spacing w:before="100" w:after="100"/>
              <w:jc w:val="center"/>
              <w:rPr>
                <w:b/>
                <w:sz w:val="22"/>
              </w:rPr>
            </w:pPr>
            <w:proofErr w:type="gramStart"/>
            <w:r>
              <w:rPr>
                <w:b/>
                <w:sz w:val="22"/>
              </w:rPr>
              <w:t>Line Item</w:t>
            </w:r>
            <w:proofErr w:type="gramEnd"/>
            <w:r>
              <w:rPr>
                <w:b/>
                <w:sz w:val="22"/>
              </w:rPr>
              <w:t xml:space="preserve"> No.</w:t>
            </w:r>
          </w:p>
        </w:tc>
        <w:tc>
          <w:tcPr>
            <w:tcW w:w="4672" w:type="dxa"/>
          </w:tcPr>
          <w:p w14:paraId="42F27AB8" w14:textId="77777777" w:rsidR="00513AB5" w:rsidRDefault="00513AB5" w:rsidP="00513AB5">
            <w:pPr>
              <w:spacing w:before="100" w:after="100"/>
              <w:jc w:val="center"/>
              <w:rPr>
                <w:b/>
                <w:sz w:val="22"/>
              </w:rPr>
            </w:pPr>
            <w:r>
              <w:rPr>
                <w:b/>
                <w:sz w:val="22"/>
              </w:rPr>
              <w:br/>
            </w:r>
            <w:r>
              <w:rPr>
                <w:b/>
                <w:sz w:val="22"/>
              </w:rPr>
              <w:br/>
              <w:t>Subsystem / Item</w:t>
            </w:r>
          </w:p>
        </w:tc>
        <w:tc>
          <w:tcPr>
            <w:tcW w:w="1350" w:type="dxa"/>
          </w:tcPr>
          <w:p w14:paraId="6B5AC653" w14:textId="77777777" w:rsidR="00513AB5" w:rsidRDefault="00513AB5" w:rsidP="00513AB5">
            <w:pPr>
              <w:spacing w:before="100" w:after="100"/>
              <w:jc w:val="center"/>
              <w:rPr>
                <w:b/>
                <w:sz w:val="22"/>
              </w:rPr>
            </w:pPr>
            <w:r>
              <w:rPr>
                <w:b/>
                <w:sz w:val="22"/>
              </w:rPr>
              <w:t>Supply and Installation</w:t>
            </w:r>
            <w:r>
              <w:rPr>
                <w:b/>
                <w:sz w:val="22"/>
              </w:rPr>
              <w:br/>
              <w:t>Cost Sub-Table No.</w:t>
            </w:r>
          </w:p>
        </w:tc>
        <w:tc>
          <w:tcPr>
            <w:tcW w:w="1260" w:type="dxa"/>
          </w:tcPr>
          <w:p w14:paraId="1477440F" w14:textId="77777777" w:rsidR="00513AB5" w:rsidRDefault="00513AB5" w:rsidP="00513AB5">
            <w:pPr>
              <w:spacing w:before="100" w:after="100"/>
              <w:jc w:val="center"/>
              <w:rPr>
                <w:b/>
                <w:sz w:val="22"/>
              </w:rPr>
            </w:pPr>
            <w:r>
              <w:rPr>
                <w:i/>
                <w:sz w:val="22"/>
              </w:rPr>
              <w:t>[</w:t>
            </w:r>
            <w:r>
              <w:rPr>
                <w:b/>
                <w:i/>
                <w:sz w:val="22"/>
              </w:rPr>
              <w:t> </w:t>
            </w:r>
            <w:r>
              <w:rPr>
                <w:i/>
                <w:sz w:val="22"/>
              </w:rPr>
              <w:t>insert</w:t>
            </w:r>
            <w:r>
              <w:rPr>
                <w:b/>
                <w:i/>
                <w:sz w:val="22"/>
              </w:rPr>
              <w:t>:  Local Currency</w:t>
            </w:r>
            <w:r>
              <w:rPr>
                <w:i/>
                <w:sz w:val="22"/>
              </w:rPr>
              <w:t>]</w:t>
            </w:r>
            <w:r>
              <w:rPr>
                <w:b/>
                <w:sz w:val="22"/>
              </w:rPr>
              <w:br/>
            </w:r>
            <w:r>
              <w:rPr>
                <w:sz w:val="22"/>
              </w:rPr>
              <w:t>Price</w:t>
            </w:r>
          </w:p>
        </w:tc>
        <w:tc>
          <w:tcPr>
            <w:tcW w:w="1350" w:type="dxa"/>
          </w:tcPr>
          <w:p w14:paraId="3E7AA820" w14:textId="77777777" w:rsidR="00513AB5" w:rsidRDefault="00513AB5" w:rsidP="00513AB5">
            <w:pPr>
              <w:spacing w:before="100" w:after="100"/>
              <w:jc w:val="center"/>
              <w:rPr>
                <w:b/>
                <w:sz w:val="22"/>
              </w:rPr>
            </w:pPr>
            <w:r>
              <w:rPr>
                <w:i/>
                <w:sz w:val="22"/>
              </w:rPr>
              <w:t>[ insert</w:t>
            </w:r>
            <w:r>
              <w:rPr>
                <w:b/>
                <w:i/>
                <w:sz w:val="22"/>
              </w:rPr>
              <w:t>:  Local Currency</w:t>
            </w:r>
            <w:r>
              <w:rPr>
                <w:i/>
                <w:sz w:val="22"/>
              </w:rPr>
              <w:t>]</w:t>
            </w:r>
            <w:r>
              <w:rPr>
                <w:b/>
                <w:sz w:val="22"/>
              </w:rPr>
              <w:br/>
            </w:r>
            <w:r>
              <w:rPr>
                <w:sz w:val="22"/>
              </w:rPr>
              <w:t>Price</w:t>
            </w:r>
          </w:p>
        </w:tc>
        <w:tc>
          <w:tcPr>
            <w:tcW w:w="1080" w:type="dxa"/>
          </w:tcPr>
          <w:p w14:paraId="0290A1B4" w14:textId="77777777" w:rsidR="00513AB5" w:rsidRDefault="00513AB5" w:rsidP="00513AB5">
            <w:pPr>
              <w:spacing w:before="100" w:after="100"/>
              <w:jc w:val="center"/>
              <w:rPr>
                <w:b/>
                <w:sz w:val="22"/>
              </w:rPr>
            </w:pPr>
            <w:r>
              <w:rPr>
                <w:i/>
                <w:sz w:val="22"/>
              </w:rPr>
              <w:t>[</w:t>
            </w:r>
            <w:r>
              <w:rPr>
                <w:b/>
                <w:i/>
                <w:sz w:val="22"/>
              </w:rPr>
              <w:t> </w:t>
            </w:r>
            <w:r>
              <w:rPr>
                <w:i/>
                <w:sz w:val="22"/>
              </w:rPr>
              <w:t>insert</w:t>
            </w:r>
            <w:r>
              <w:rPr>
                <w:b/>
                <w:i/>
                <w:sz w:val="22"/>
              </w:rPr>
              <w:t>:  Foreign Currency A</w:t>
            </w:r>
            <w:r>
              <w:rPr>
                <w:i/>
                <w:sz w:val="22"/>
              </w:rPr>
              <w:t>]</w:t>
            </w:r>
            <w:r>
              <w:rPr>
                <w:b/>
                <w:sz w:val="22"/>
              </w:rPr>
              <w:t xml:space="preserve"> </w:t>
            </w:r>
            <w:r>
              <w:rPr>
                <w:sz w:val="22"/>
              </w:rPr>
              <w:t>Price</w:t>
            </w:r>
          </w:p>
        </w:tc>
        <w:tc>
          <w:tcPr>
            <w:tcW w:w="1170" w:type="dxa"/>
          </w:tcPr>
          <w:p w14:paraId="01983436" w14:textId="77777777" w:rsidR="00513AB5" w:rsidRDefault="00513AB5" w:rsidP="00513AB5">
            <w:pPr>
              <w:spacing w:before="100" w:after="100"/>
              <w:jc w:val="center"/>
              <w:rPr>
                <w:b/>
                <w:sz w:val="22"/>
              </w:rPr>
            </w:pPr>
            <w:r>
              <w:rPr>
                <w:i/>
                <w:sz w:val="22"/>
              </w:rPr>
              <w:t>[ insert</w:t>
            </w:r>
            <w:r>
              <w:rPr>
                <w:b/>
                <w:i/>
                <w:sz w:val="22"/>
              </w:rPr>
              <w:t>:  Foreign Currency B</w:t>
            </w:r>
            <w:r>
              <w:rPr>
                <w:i/>
                <w:sz w:val="22"/>
              </w:rPr>
              <w:t>]</w:t>
            </w:r>
            <w:r>
              <w:rPr>
                <w:b/>
                <w:sz w:val="22"/>
              </w:rPr>
              <w:t xml:space="preserve"> </w:t>
            </w:r>
            <w:r>
              <w:rPr>
                <w:sz w:val="22"/>
              </w:rPr>
              <w:t>Price</w:t>
            </w:r>
          </w:p>
        </w:tc>
        <w:tc>
          <w:tcPr>
            <w:tcW w:w="1268" w:type="dxa"/>
          </w:tcPr>
          <w:p w14:paraId="4717A97A" w14:textId="77777777" w:rsidR="00513AB5" w:rsidRDefault="00513AB5" w:rsidP="00513AB5">
            <w:pPr>
              <w:spacing w:before="100" w:after="100"/>
              <w:jc w:val="center"/>
              <w:rPr>
                <w:b/>
                <w:sz w:val="22"/>
              </w:rPr>
            </w:pPr>
            <w:r>
              <w:rPr>
                <w:i/>
                <w:sz w:val="22"/>
              </w:rPr>
              <w:t>[ insert</w:t>
            </w:r>
            <w:r>
              <w:rPr>
                <w:b/>
                <w:i/>
                <w:sz w:val="22"/>
              </w:rPr>
              <w:t>:  Foreign Currency C</w:t>
            </w:r>
            <w:r>
              <w:rPr>
                <w:i/>
                <w:sz w:val="22"/>
              </w:rPr>
              <w:t>]</w:t>
            </w:r>
            <w:r>
              <w:rPr>
                <w:b/>
                <w:sz w:val="22"/>
              </w:rPr>
              <w:t xml:space="preserve"> </w:t>
            </w:r>
            <w:r>
              <w:rPr>
                <w:sz w:val="22"/>
              </w:rPr>
              <w:t>Price</w:t>
            </w:r>
          </w:p>
        </w:tc>
      </w:tr>
      <w:tr w:rsidR="00B50A96" w14:paraId="437A4FFA" w14:textId="77777777" w:rsidTr="00100729">
        <w:trPr>
          <w:cantSplit/>
          <w:trHeight w:hRule="exact" w:val="240"/>
        </w:trPr>
        <w:tc>
          <w:tcPr>
            <w:tcW w:w="720" w:type="dxa"/>
          </w:tcPr>
          <w:p w14:paraId="736AF7BE" w14:textId="77777777" w:rsidR="00513AB5" w:rsidRDefault="00513AB5" w:rsidP="00513AB5">
            <w:pPr>
              <w:spacing w:before="100" w:after="100"/>
              <w:jc w:val="center"/>
              <w:rPr>
                <w:sz w:val="22"/>
              </w:rPr>
            </w:pPr>
          </w:p>
        </w:tc>
        <w:tc>
          <w:tcPr>
            <w:tcW w:w="4672" w:type="dxa"/>
          </w:tcPr>
          <w:p w14:paraId="69AF27A3" w14:textId="77777777" w:rsidR="00513AB5" w:rsidRDefault="00513AB5" w:rsidP="00513AB5">
            <w:pPr>
              <w:spacing w:before="100" w:after="100"/>
              <w:jc w:val="left"/>
              <w:rPr>
                <w:sz w:val="22"/>
              </w:rPr>
            </w:pPr>
          </w:p>
        </w:tc>
        <w:tc>
          <w:tcPr>
            <w:tcW w:w="1350" w:type="dxa"/>
          </w:tcPr>
          <w:p w14:paraId="7F907C8A" w14:textId="77777777" w:rsidR="00513AB5" w:rsidRDefault="00513AB5" w:rsidP="00513AB5">
            <w:pPr>
              <w:spacing w:before="100" w:after="100"/>
              <w:jc w:val="center"/>
              <w:rPr>
                <w:sz w:val="22"/>
              </w:rPr>
            </w:pPr>
          </w:p>
        </w:tc>
        <w:tc>
          <w:tcPr>
            <w:tcW w:w="1260" w:type="dxa"/>
          </w:tcPr>
          <w:p w14:paraId="6506C2A6" w14:textId="77777777" w:rsidR="00513AB5" w:rsidRDefault="00513AB5" w:rsidP="00513AB5">
            <w:pPr>
              <w:spacing w:before="100" w:after="100"/>
              <w:jc w:val="center"/>
              <w:rPr>
                <w:sz w:val="22"/>
              </w:rPr>
            </w:pPr>
          </w:p>
        </w:tc>
        <w:tc>
          <w:tcPr>
            <w:tcW w:w="1350" w:type="dxa"/>
          </w:tcPr>
          <w:p w14:paraId="4F6658B5" w14:textId="77777777" w:rsidR="00513AB5" w:rsidRDefault="00513AB5" w:rsidP="00513AB5">
            <w:pPr>
              <w:spacing w:before="100" w:after="100"/>
              <w:jc w:val="center"/>
              <w:rPr>
                <w:sz w:val="22"/>
              </w:rPr>
            </w:pPr>
          </w:p>
        </w:tc>
        <w:tc>
          <w:tcPr>
            <w:tcW w:w="1080" w:type="dxa"/>
          </w:tcPr>
          <w:p w14:paraId="24660201" w14:textId="77777777" w:rsidR="00513AB5" w:rsidRDefault="00513AB5" w:rsidP="00513AB5">
            <w:pPr>
              <w:spacing w:before="100" w:after="100"/>
              <w:jc w:val="center"/>
              <w:rPr>
                <w:sz w:val="22"/>
              </w:rPr>
            </w:pPr>
          </w:p>
        </w:tc>
        <w:tc>
          <w:tcPr>
            <w:tcW w:w="1170" w:type="dxa"/>
          </w:tcPr>
          <w:p w14:paraId="7867A991" w14:textId="77777777" w:rsidR="00513AB5" w:rsidRDefault="00513AB5" w:rsidP="00513AB5">
            <w:pPr>
              <w:spacing w:before="100" w:after="100"/>
              <w:jc w:val="center"/>
              <w:rPr>
                <w:sz w:val="22"/>
              </w:rPr>
            </w:pPr>
          </w:p>
        </w:tc>
        <w:tc>
          <w:tcPr>
            <w:tcW w:w="1268" w:type="dxa"/>
          </w:tcPr>
          <w:p w14:paraId="3BE10B46" w14:textId="77777777" w:rsidR="00513AB5" w:rsidRDefault="00513AB5" w:rsidP="00513AB5">
            <w:pPr>
              <w:spacing w:before="100" w:after="100"/>
              <w:jc w:val="center"/>
              <w:rPr>
                <w:sz w:val="22"/>
              </w:rPr>
            </w:pPr>
          </w:p>
        </w:tc>
      </w:tr>
      <w:tr w:rsidR="00B50A96" w14:paraId="4C4C2BCD" w14:textId="77777777" w:rsidTr="00100729">
        <w:trPr>
          <w:cantSplit/>
        </w:trPr>
        <w:tc>
          <w:tcPr>
            <w:tcW w:w="720" w:type="dxa"/>
          </w:tcPr>
          <w:p w14:paraId="465AF19A" w14:textId="77777777" w:rsidR="00513AB5" w:rsidRPr="00A462BD" w:rsidRDefault="00513AB5" w:rsidP="00513AB5">
            <w:pPr>
              <w:spacing w:before="100" w:after="100"/>
              <w:jc w:val="center"/>
              <w:rPr>
                <w:b/>
                <w:sz w:val="22"/>
              </w:rPr>
            </w:pPr>
            <w:r w:rsidRPr="00A462BD">
              <w:rPr>
                <w:b/>
                <w:sz w:val="22"/>
              </w:rPr>
              <w:t>0</w:t>
            </w:r>
          </w:p>
        </w:tc>
        <w:tc>
          <w:tcPr>
            <w:tcW w:w="4672" w:type="dxa"/>
          </w:tcPr>
          <w:p w14:paraId="29F37B3C" w14:textId="77777777" w:rsidR="00513AB5" w:rsidRDefault="00513AB5" w:rsidP="00513AB5">
            <w:pPr>
              <w:spacing w:before="100" w:after="100"/>
              <w:jc w:val="left"/>
              <w:rPr>
                <w:sz w:val="22"/>
              </w:rPr>
            </w:pPr>
            <w:r w:rsidRPr="004242BF">
              <w:rPr>
                <w:b/>
                <w:szCs w:val="22"/>
              </w:rPr>
              <w:t>Inception Phase</w:t>
            </w:r>
          </w:p>
        </w:tc>
        <w:tc>
          <w:tcPr>
            <w:tcW w:w="1350" w:type="dxa"/>
          </w:tcPr>
          <w:p w14:paraId="7CCB81E9" w14:textId="77777777" w:rsidR="00513AB5" w:rsidRDefault="00513AB5" w:rsidP="00513AB5">
            <w:pPr>
              <w:spacing w:before="100" w:after="100"/>
              <w:jc w:val="center"/>
              <w:rPr>
                <w:sz w:val="22"/>
              </w:rPr>
            </w:pPr>
            <w:r>
              <w:rPr>
                <w:sz w:val="22"/>
              </w:rPr>
              <w:t>0</w:t>
            </w:r>
          </w:p>
        </w:tc>
        <w:tc>
          <w:tcPr>
            <w:tcW w:w="1260" w:type="dxa"/>
          </w:tcPr>
          <w:p w14:paraId="2643D509" w14:textId="77777777" w:rsidR="00513AB5" w:rsidRDefault="00513AB5" w:rsidP="00513AB5">
            <w:pPr>
              <w:spacing w:before="100" w:after="100"/>
              <w:jc w:val="center"/>
              <w:rPr>
                <w:sz w:val="22"/>
              </w:rPr>
            </w:pPr>
          </w:p>
        </w:tc>
        <w:tc>
          <w:tcPr>
            <w:tcW w:w="1350" w:type="dxa"/>
          </w:tcPr>
          <w:p w14:paraId="13508AD2" w14:textId="77777777" w:rsidR="00513AB5" w:rsidRDefault="00513AB5" w:rsidP="00513AB5">
            <w:pPr>
              <w:spacing w:before="100" w:after="100"/>
              <w:jc w:val="center"/>
              <w:rPr>
                <w:sz w:val="22"/>
              </w:rPr>
            </w:pPr>
          </w:p>
        </w:tc>
        <w:tc>
          <w:tcPr>
            <w:tcW w:w="1080" w:type="dxa"/>
          </w:tcPr>
          <w:p w14:paraId="13EA57E2" w14:textId="77777777" w:rsidR="00513AB5" w:rsidRDefault="00513AB5" w:rsidP="00513AB5">
            <w:pPr>
              <w:spacing w:before="100" w:after="100"/>
              <w:jc w:val="center"/>
              <w:rPr>
                <w:sz w:val="22"/>
              </w:rPr>
            </w:pPr>
          </w:p>
        </w:tc>
        <w:tc>
          <w:tcPr>
            <w:tcW w:w="1170" w:type="dxa"/>
          </w:tcPr>
          <w:p w14:paraId="203A386B" w14:textId="77777777" w:rsidR="00513AB5" w:rsidRDefault="00513AB5" w:rsidP="00513AB5">
            <w:pPr>
              <w:spacing w:before="100" w:after="100"/>
              <w:jc w:val="center"/>
              <w:rPr>
                <w:sz w:val="22"/>
              </w:rPr>
            </w:pPr>
          </w:p>
        </w:tc>
        <w:tc>
          <w:tcPr>
            <w:tcW w:w="1268" w:type="dxa"/>
          </w:tcPr>
          <w:p w14:paraId="74932700" w14:textId="77777777" w:rsidR="00513AB5" w:rsidRDefault="00513AB5" w:rsidP="00513AB5">
            <w:pPr>
              <w:spacing w:before="100" w:after="100"/>
              <w:jc w:val="center"/>
              <w:rPr>
                <w:sz w:val="22"/>
              </w:rPr>
            </w:pPr>
          </w:p>
        </w:tc>
      </w:tr>
      <w:tr w:rsidR="00B50A96" w14:paraId="366D96AB" w14:textId="77777777" w:rsidTr="00100729">
        <w:trPr>
          <w:cantSplit/>
        </w:trPr>
        <w:tc>
          <w:tcPr>
            <w:tcW w:w="720" w:type="dxa"/>
          </w:tcPr>
          <w:p w14:paraId="21393A9B" w14:textId="77777777" w:rsidR="00513AB5" w:rsidRDefault="00513AB5" w:rsidP="00513AB5">
            <w:pPr>
              <w:spacing w:before="100" w:after="100"/>
              <w:jc w:val="center"/>
              <w:rPr>
                <w:sz w:val="22"/>
              </w:rPr>
            </w:pPr>
            <w:r w:rsidRPr="004242BF">
              <w:rPr>
                <w:b/>
                <w:szCs w:val="22"/>
              </w:rPr>
              <w:t>1</w:t>
            </w:r>
          </w:p>
        </w:tc>
        <w:tc>
          <w:tcPr>
            <w:tcW w:w="4672" w:type="dxa"/>
          </w:tcPr>
          <w:p w14:paraId="2B8A0BB3" w14:textId="77777777" w:rsidR="00513AB5" w:rsidRDefault="00513AB5" w:rsidP="00513AB5">
            <w:pPr>
              <w:spacing w:before="100" w:after="100"/>
              <w:jc w:val="left"/>
              <w:rPr>
                <w:sz w:val="22"/>
              </w:rPr>
            </w:pPr>
            <w:r w:rsidRPr="004242BF">
              <w:rPr>
                <w:b/>
                <w:szCs w:val="22"/>
              </w:rPr>
              <w:t>Define, validate the objectives and scope</w:t>
            </w:r>
          </w:p>
        </w:tc>
        <w:tc>
          <w:tcPr>
            <w:tcW w:w="1350" w:type="dxa"/>
          </w:tcPr>
          <w:p w14:paraId="69EF9F20" w14:textId="77777777" w:rsidR="00513AB5" w:rsidRDefault="00513AB5" w:rsidP="00513AB5">
            <w:pPr>
              <w:spacing w:before="100" w:after="100"/>
              <w:jc w:val="center"/>
              <w:rPr>
                <w:sz w:val="22"/>
              </w:rPr>
            </w:pPr>
            <w:r>
              <w:rPr>
                <w:sz w:val="22"/>
              </w:rPr>
              <w:t>1</w:t>
            </w:r>
          </w:p>
        </w:tc>
        <w:tc>
          <w:tcPr>
            <w:tcW w:w="1260" w:type="dxa"/>
          </w:tcPr>
          <w:p w14:paraId="28B88B4F" w14:textId="77777777" w:rsidR="00513AB5" w:rsidRDefault="00513AB5" w:rsidP="00513AB5">
            <w:pPr>
              <w:spacing w:before="100" w:after="100"/>
              <w:jc w:val="center"/>
              <w:rPr>
                <w:sz w:val="22"/>
              </w:rPr>
            </w:pPr>
          </w:p>
        </w:tc>
        <w:tc>
          <w:tcPr>
            <w:tcW w:w="1350" w:type="dxa"/>
          </w:tcPr>
          <w:p w14:paraId="4AC512C4" w14:textId="77777777" w:rsidR="00513AB5" w:rsidRDefault="00513AB5" w:rsidP="00513AB5">
            <w:pPr>
              <w:spacing w:before="100" w:after="100"/>
              <w:jc w:val="center"/>
              <w:rPr>
                <w:sz w:val="22"/>
              </w:rPr>
            </w:pPr>
          </w:p>
        </w:tc>
        <w:tc>
          <w:tcPr>
            <w:tcW w:w="1080" w:type="dxa"/>
          </w:tcPr>
          <w:p w14:paraId="056DC478" w14:textId="77777777" w:rsidR="00513AB5" w:rsidRDefault="00513AB5" w:rsidP="00513AB5">
            <w:pPr>
              <w:spacing w:before="100" w:after="100"/>
              <w:jc w:val="center"/>
              <w:rPr>
                <w:sz w:val="22"/>
              </w:rPr>
            </w:pPr>
          </w:p>
        </w:tc>
        <w:tc>
          <w:tcPr>
            <w:tcW w:w="1170" w:type="dxa"/>
          </w:tcPr>
          <w:p w14:paraId="5F16EC36" w14:textId="77777777" w:rsidR="00513AB5" w:rsidRDefault="00513AB5" w:rsidP="00513AB5">
            <w:pPr>
              <w:spacing w:before="100" w:after="100"/>
              <w:jc w:val="center"/>
              <w:rPr>
                <w:sz w:val="22"/>
              </w:rPr>
            </w:pPr>
          </w:p>
        </w:tc>
        <w:tc>
          <w:tcPr>
            <w:tcW w:w="1268" w:type="dxa"/>
          </w:tcPr>
          <w:p w14:paraId="0D70AB70" w14:textId="77777777" w:rsidR="00513AB5" w:rsidRDefault="00513AB5" w:rsidP="00513AB5">
            <w:pPr>
              <w:spacing w:before="100" w:after="100"/>
              <w:jc w:val="center"/>
              <w:rPr>
                <w:sz w:val="22"/>
              </w:rPr>
            </w:pPr>
          </w:p>
        </w:tc>
      </w:tr>
      <w:tr w:rsidR="00B50A96" w14:paraId="528E1BA8" w14:textId="77777777" w:rsidTr="00100729">
        <w:trPr>
          <w:cantSplit/>
        </w:trPr>
        <w:tc>
          <w:tcPr>
            <w:tcW w:w="720" w:type="dxa"/>
          </w:tcPr>
          <w:p w14:paraId="2539F3B1" w14:textId="77777777" w:rsidR="00513AB5" w:rsidRPr="004242BF" w:rsidRDefault="00513AB5" w:rsidP="00513AB5">
            <w:pPr>
              <w:spacing w:before="100" w:after="100"/>
              <w:jc w:val="center"/>
              <w:rPr>
                <w:b/>
                <w:szCs w:val="22"/>
              </w:rPr>
            </w:pPr>
            <w:r w:rsidRPr="004242BF">
              <w:rPr>
                <w:b/>
                <w:szCs w:val="22"/>
              </w:rPr>
              <w:t>2</w:t>
            </w:r>
          </w:p>
        </w:tc>
        <w:tc>
          <w:tcPr>
            <w:tcW w:w="4672" w:type="dxa"/>
          </w:tcPr>
          <w:p w14:paraId="3B469169" w14:textId="77777777" w:rsidR="00513AB5" w:rsidRPr="004242BF" w:rsidRDefault="00513AB5" w:rsidP="00513AB5">
            <w:pPr>
              <w:spacing w:before="100" w:after="100"/>
              <w:jc w:val="left"/>
              <w:rPr>
                <w:b/>
                <w:szCs w:val="22"/>
              </w:rPr>
            </w:pPr>
            <w:r w:rsidRPr="004242BF">
              <w:rPr>
                <w:b/>
                <w:szCs w:val="22"/>
              </w:rPr>
              <w:t>Specification Phase 1</w:t>
            </w:r>
          </w:p>
        </w:tc>
        <w:tc>
          <w:tcPr>
            <w:tcW w:w="1350" w:type="dxa"/>
          </w:tcPr>
          <w:p w14:paraId="1D454742" w14:textId="77777777" w:rsidR="00513AB5" w:rsidRDefault="00513AB5" w:rsidP="00513AB5">
            <w:pPr>
              <w:spacing w:before="100" w:after="100"/>
              <w:jc w:val="center"/>
              <w:rPr>
                <w:sz w:val="22"/>
              </w:rPr>
            </w:pPr>
            <w:r>
              <w:rPr>
                <w:sz w:val="22"/>
              </w:rPr>
              <w:t>2</w:t>
            </w:r>
          </w:p>
        </w:tc>
        <w:tc>
          <w:tcPr>
            <w:tcW w:w="1260" w:type="dxa"/>
          </w:tcPr>
          <w:p w14:paraId="05CB67DA" w14:textId="77777777" w:rsidR="00513AB5" w:rsidRDefault="00513AB5" w:rsidP="00513AB5">
            <w:pPr>
              <w:spacing w:before="100" w:after="100"/>
              <w:jc w:val="center"/>
              <w:rPr>
                <w:sz w:val="22"/>
              </w:rPr>
            </w:pPr>
          </w:p>
        </w:tc>
        <w:tc>
          <w:tcPr>
            <w:tcW w:w="1350" w:type="dxa"/>
          </w:tcPr>
          <w:p w14:paraId="675BC480" w14:textId="77777777" w:rsidR="00513AB5" w:rsidRDefault="00513AB5" w:rsidP="00513AB5">
            <w:pPr>
              <w:spacing w:before="100" w:after="100"/>
              <w:jc w:val="center"/>
              <w:rPr>
                <w:sz w:val="22"/>
              </w:rPr>
            </w:pPr>
          </w:p>
        </w:tc>
        <w:tc>
          <w:tcPr>
            <w:tcW w:w="1080" w:type="dxa"/>
          </w:tcPr>
          <w:p w14:paraId="468E4614" w14:textId="77777777" w:rsidR="00513AB5" w:rsidRDefault="00513AB5" w:rsidP="00513AB5">
            <w:pPr>
              <w:spacing w:before="100" w:after="100"/>
              <w:jc w:val="center"/>
              <w:rPr>
                <w:sz w:val="22"/>
              </w:rPr>
            </w:pPr>
          </w:p>
        </w:tc>
        <w:tc>
          <w:tcPr>
            <w:tcW w:w="1170" w:type="dxa"/>
          </w:tcPr>
          <w:p w14:paraId="5B235677" w14:textId="77777777" w:rsidR="00513AB5" w:rsidRDefault="00513AB5" w:rsidP="00513AB5">
            <w:pPr>
              <w:spacing w:before="100" w:after="100"/>
              <w:jc w:val="center"/>
              <w:rPr>
                <w:sz w:val="22"/>
              </w:rPr>
            </w:pPr>
          </w:p>
        </w:tc>
        <w:tc>
          <w:tcPr>
            <w:tcW w:w="1268" w:type="dxa"/>
          </w:tcPr>
          <w:p w14:paraId="75B8EDF7" w14:textId="77777777" w:rsidR="00513AB5" w:rsidRDefault="00513AB5" w:rsidP="00513AB5">
            <w:pPr>
              <w:spacing w:before="100" w:after="100"/>
              <w:jc w:val="center"/>
              <w:rPr>
                <w:sz w:val="22"/>
              </w:rPr>
            </w:pPr>
          </w:p>
        </w:tc>
      </w:tr>
      <w:tr w:rsidR="00B50A96" w14:paraId="116DE022" w14:textId="77777777" w:rsidTr="00100729">
        <w:trPr>
          <w:cantSplit/>
        </w:trPr>
        <w:tc>
          <w:tcPr>
            <w:tcW w:w="720" w:type="dxa"/>
          </w:tcPr>
          <w:p w14:paraId="30C7F0D9" w14:textId="77777777" w:rsidR="00513AB5" w:rsidRPr="004242BF" w:rsidRDefault="00513AB5" w:rsidP="00513AB5">
            <w:pPr>
              <w:spacing w:before="100" w:after="100"/>
              <w:jc w:val="center"/>
              <w:rPr>
                <w:b/>
                <w:szCs w:val="22"/>
              </w:rPr>
            </w:pPr>
            <w:r w:rsidRPr="004242BF">
              <w:rPr>
                <w:b/>
                <w:szCs w:val="22"/>
              </w:rPr>
              <w:t>3</w:t>
            </w:r>
          </w:p>
        </w:tc>
        <w:tc>
          <w:tcPr>
            <w:tcW w:w="4672" w:type="dxa"/>
          </w:tcPr>
          <w:p w14:paraId="016F6F21" w14:textId="77777777" w:rsidR="00513AB5" w:rsidRPr="004242BF" w:rsidRDefault="00513AB5" w:rsidP="00513AB5">
            <w:pPr>
              <w:spacing w:before="100" w:after="100"/>
              <w:jc w:val="left"/>
              <w:rPr>
                <w:b/>
                <w:szCs w:val="22"/>
              </w:rPr>
            </w:pPr>
            <w:r w:rsidRPr="004242BF">
              <w:rPr>
                <w:b/>
                <w:szCs w:val="22"/>
              </w:rPr>
              <w:t>Development</w:t>
            </w:r>
          </w:p>
        </w:tc>
        <w:tc>
          <w:tcPr>
            <w:tcW w:w="1350" w:type="dxa"/>
          </w:tcPr>
          <w:p w14:paraId="2B07049B" w14:textId="77777777" w:rsidR="00513AB5" w:rsidRDefault="00513AB5" w:rsidP="00513AB5">
            <w:pPr>
              <w:spacing w:before="100" w:after="100"/>
              <w:jc w:val="center"/>
              <w:rPr>
                <w:sz w:val="22"/>
              </w:rPr>
            </w:pPr>
            <w:r>
              <w:rPr>
                <w:sz w:val="22"/>
              </w:rPr>
              <w:t>3</w:t>
            </w:r>
          </w:p>
        </w:tc>
        <w:tc>
          <w:tcPr>
            <w:tcW w:w="1260" w:type="dxa"/>
          </w:tcPr>
          <w:p w14:paraId="474869F4" w14:textId="77777777" w:rsidR="00513AB5" w:rsidRDefault="00513AB5" w:rsidP="00513AB5">
            <w:pPr>
              <w:spacing w:before="100" w:after="100"/>
              <w:jc w:val="center"/>
              <w:rPr>
                <w:sz w:val="22"/>
              </w:rPr>
            </w:pPr>
          </w:p>
        </w:tc>
        <w:tc>
          <w:tcPr>
            <w:tcW w:w="1350" w:type="dxa"/>
          </w:tcPr>
          <w:p w14:paraId="40158B19" w14:textId="77777777" w:rsidR="00513AB5" w:rsidRDefault="00513AB5" w:rsidP="00513AB5">
            <w:pPr>
              <w:spacing w:before="100" w:after="100"/>
              <w:jc w:val="center"/>
              <w:rPr>
                <w:sz w:val="22"/>
              </w:rPr>
            </w:pPr>
          </w:p>
        </w:tc>
        <w:tc>
          <w:tcPr>
            <w:tcW w:w="1080" w:type="dxa"/>
          </w:tcPr>
          <w:p w14:paraId="15860AF6" w14:textId="77777777" w:rsidR="00513AB5" w:rsidRDefault="00513AB5" w:rsidP="00513AB5">
            <w:pPr>
              <w:spacing w:before="100" w:after="100"/>
              <w:jc w:val="center"/>
              <w:rPr>
                <w:sz w:val="22"/>
              </w:rPr>
            </w:pPr>
          </w:p>
        </w:tc>
        <w:tc>
          <w:tcPr>
            <w:tcW w:w="1170" w:type="dxa"/>
          </w:tcPr>
          <w:p w14:paraId="525F40C7" w14:textId="77777777" w:rsidR="00513AB5" w:rsidRDefault="00513AB5" w:rsidP="00513AB5">
            <w:pPr>
              <w:spacing w:before="100" w:after="100"/>
              <w:jc w:val="center"/>
              <w:rPr>
                <w:sz w:val="22"/>
              </w:rPr>
            </w:pPr>
          </w:p>
        </w:tc>
        <w:tc>
          <w:tcPr>
            <w:tcW w:w="1268" w:type="dxa"/>
          </w:tcPr>
          <w:p w14:paraId="2B450216" w14:textId="77777777" w:rsidR="00513AB5" w:rsidRDefault="00513AB5" w:rsidP="00513AB5">
            <w:pPr>
              <w:spacing w:before="100" w:after="100"/>
              <w:jc w:val="center"/>
              <w:rPr>
                <w:sz w:val="22"/>
              </w:rPr>
            </w:pPr>
          </w:p>
        </w:tc>
      </w:tr>
      <w:tr w:rsidR="00B50A96" w14:paraId="68014994" w14:textId="77777777" w:rsidTr="00100729">
        <w:trPr>
          <w:cantSplit/>
        </w:trPr>
        <w:tc>
          <w:tcPr>
            <w:tcW w:w="720" w:type="dxa"/>
          </w:tcPr>
          <w:p w14:paraId="3F3C3F89" w14:textId="77777777" w:rsidR="00513AB5" w:rsidRPr="004242BF" w:rsidRDefault="00513AB5" w:rsidP="00513AB5">
            <w:pPr>
              <w:spacing w:before="100" w:after="100"/>
              <w:jc w:val="center"/>
              <w:rPr>
                <w:b/>
                <w:szCs w:val="22"/>
              </w:rPr>
            </w:pPr>
            <w:r w:rsidRPr="004242BF">
              <w:rPr>
                <w:b/>
                <w:szCs w:val="22"/>
              </w:rPr>
              <w:t>4.</w:t>
            </w:r>
          </w:p>
        </w:tc>
        <w:tc>
          <w:tcPr>
            <w:tcW w:w="4672" w:type="dxa"/>
          </w:tcPr>
          <w:p w14:paraId="055E33AE" w14:textId="77777777" w:rsidR="00513AB5" w:rsidRPr="004242BF" w:rsidRDefault="00513AB5" w:rsidP="00513AB5">
            <w:pPr>
              <w:spacing w:before="100" w:after="100"/>
              <w:jc w:val="left"/>
              <w:rPr>
                <w:b/>
                <w:szCs w:val="22"/>
              </w:rPr>
            </w:pPr>
            <w:r w:rsidRPr="004242BF">
              <w:rPr>
                <w:b/>
                <w:szCs w:val="22"/>
              </w:rPr>
              <w:t>Testing</w:t>
            </w:r>
          </w:p>
        </w:tc>
        <w:tc>
          <w:tcPr>
            <w:tcW w:w="1350" w:type="dxa"/>
          </w:tcPr>
          <w:p w14:paraId="09F14393" w14:textId="77777777" w:rsidR="00513AB5" w:rsidRDefault="00513AB5" w:rsidP="00513AB5">
            <w:pPr>
              <w:spacing w:before="100" w:after="100"/>
              <w:jc w:val="center"/>
              <w:rPr>
                <w:sz w:val="22"/>
              </w:rPr>
            </w:pPr>
            <w:r>
              <w:rPr>
                <w:sz w:val="22"/>
              </w:rPr>
              <w:t>4</w:t>
            </w:r>
          </w:p>
        </w:tc>
        <w:tc>
          <w:tcPr>
            <w:tcW w:w="1260" w:type="dxa"/>
          </w:tcPr>
          <w:p w14:paraId="07BA1C12" w14:textId="77777777" w:rsidR="00513AB5" w:rsidRDefault="00513AB5" w:rsidP="00513AB5">
            <w:pPr>
              <w:spacing w:before="100" w:after="100"/>
              <w:jc w:val="center"/>
              <w:rPr>
                <w:sz w:val="22"/>
              </w:rPr>
            </w:pPr>
          </w:p>
        </w:tc>
        <w:tc>
          <w:tcPr>
            <w:tcW w:w="1350" w:type="dxa"/>
          </w:tcPr>
          <w:p w14:paraId="09D3A4D3" w14:textId="77777777" w:rsidR="00513AB5" w:rsidRDefault="00513AB5" w:rsidP="00513AB5">
            <w:pPr>
              <w:spacing w:before="100" w:after="100"/>
              <w:jc w:val="center"/>
              <w:rPr>
                <w:sz w:val="22"/>
              </w:rPr>
            </w:pPr>
          </w:p>
        </w:tc>
        <w:tc>
          <w:tcPr>
            <w:tcW w:w="1080" w:type="dxa"/>
          </w:tcPr>
          <w:p w14:paraId="1766F4AB" w14:textId="77777777" w:rsidR="00513AB5" w:rsidRDefault="00513AB5" w:rsidP="00513AB5">
            <w:pPr>
              <w:spacing w:before="100" w:after="100"/>
              <w:jc w:val="center"/>
              <w:rPr>
                <w:sz w:val="22"/>
              </w:rPr>
            </w:pPr>
          </w:p>
        </w:tc>
        <w:tc>
          <w:tcPr>
            <w:tcW w:w="1170" w:type="dxa"/>
          </w:tcPr>
          <w:p w14:paraId="63C4F892" w14:textId="77777777" w:rsidR="00513AB5" w:rsidRDefault="00513AB5" w:rsidP="00513AB5">
            <w:pPr>
              <w:spacing w:before="100" w:after="100"/>
              <w:jc w:val="center"/>
              <w:rPr>
                <w:sz w:val="22"/>
              </w:rPr>
            </w:pPr>
          </w:p>
        </w:tc>
        <w:tc>
          <w:tcPr>
            <w:tcW w:w="1268" w:type="dxa"/>
          </w:tcPr>
          <w:p w14:paraId="1680D893" w14:textId="77777777" w:rsidR="00513AB5" w:rsidRDefault="00513AB5" w:rsidP="00513AB5">
            <w:pPr>
              <w:spacing w:before="100" w:after="100"/>
              <w:jc w:val="center"/>
              <w:rPr>
                <w:sz w:val="22"/>
              </w:rPr>
            </w:pPr>
          </w:p>
        </w:tc>
      </w:tr>
      <w:tr w:rsidR="00B50A96" w14:paraId="0F7BC897" w14:textId="77777777" w:rsidTr="00100729">
        <w:trPr>
          <w:cantSplit/>
        </w:trPr>
        <w:tc>
          <w:tcPr>
            <w:tcW w:w="720" w:type="dxa"/>
          </w:tcPr>
          <w:p w14:paraId="1470AC3A" w14:textId="77777777" w:rsidR="00513AB5" w:rsidRPr="004242BF" w:rsidRDefault="00513AB5" w:rsidP="00513AB5">
            <w:pPr>
              <w:spacing w:before="100" w:after="100"/>
              <w:jc w:val="center"/>
              <w:rPr>
                <w:b/>
                <w:szCs w:val="22"/>
              </w:rPr>
            </w:pPr>
            <w:r w:rsidRPr="004C6BF5">
              <w:rPr>
                <w:b/>
                <w:szCs w:val="22"/>
              </w:rPr>
              <w:t>5</w:t>
            </w:r>
          </w:p>
        </w:tc>
        <w:tc>
          <w:tcPr>
            <w:tcW w:w="4672" w:type="dxa"/>
          </w:tcPr>
          <w:p w14:paraId="418BF168" w14:textId="77777777" w:rsidR="00513AB5" w:rsidRPr="004242BF" w:rsidRDefault="00513AB5" w:rsidP="00513AB5">
            <w:pPr>
              <w:spacing w:before="100" w:after="100"/>
              <w:jc w:val="left"/>
              <w:rPr>
                <w:b/>
                <w:szCs w:val="22"/>
              </w:rPr>
            </w:pPr>
            <w:r w:rsidRPr="004C6BF5">
              <w:rPr>
                <w:b/>
                <w:szCs w:val="22"/>
              </w:rPr>
              <w:t>Integration and Testing</w:t>
            </w:r>
          </w:p>
        </w:tc>
        <w:tc>
          <w:tcPr>
            <w:tcW w:w="1350" w:type="dxa"/>
          </w:tcPr>
          <w:p w14:paraId="30B8EF6F" w14:textId="77777777" w:rsidR="00513AB5" w:rsidRDefault="00513AB5" w:rsidP="00513AB5">
            <w:pPr>
              <w:spacing w:before="100" w:after="100"/>
              <w:jc w:val="center"/>
              <w:rPr>
                <w:sz w:val="22"/>
              </w:rPr>
            </w:pPr>
            <w:r>
              <w:rPr>
                <w:sz w:val="22"/>
              </w:rPr>
              <w:t>5</w:t>
            </w:r>
          </w:p>
        </w:tc>
        <w:tc>
          <w:tcPr>
            <w:tcW w:w="1260" w:type="dxa"/>
          </w:tcPr>
          <w:p w14:paraId="41C64832" w14:textId="77777777" w:rsidR="00513AB5" w:rsidRDefault="00513AB5" w:rsidP="00513AB5">
            <w:pPr>
              <w:spacing w:before="100" w:after="100"/>
              <w:jc w:val="center"/>
              <w:rPr>
                <w:sz w:val="22"/>
              </w:rPr>
            </w:pPr>
          </w:p>
        </w:tc>
        <w:tc>
          <w:tcPr>
            <w:tcW w:w="1350" w:type="dxa"/>
          </w:tcPr>
          <w:p w14:paraId="6ECC7BF4" w14:textId="77777777" w:rsidR="00513AB5" w:rsidRDefault="00513AB5" w:rsidP="00513AB5">
            <w:pPr>
              <w:spacing w:before="100" w:after="100"/>
              <w:jc w:val="center"/>
              <w:rPr>
                <w:sz w:val="22"/>
              </w:rPr>
            </w:pPr>
          </w:p>
        </w:tc>
        <w:tc>
          <w:tcPr>
            <w:tcW w:w="1080" w:type="dxa"/>
          </w:tcPr>
          <w:p w14:paraId="35BC3F05" w14:textId="77777777" w:rsidR="00513AB5" w:rsidRDefault="00513AB5" w:rsidP="00513AB5">
            <w:pPr>
              <w:spacing w:before="100" w:after="100"/>
              <w:jc w:val="center"/>
              <w:rPr>
                <w:sz w:val="22"/>
              </w:rPr>
            </w:pPr>
          </w:p>
        </w:tc>
        <w:tc>
          <w:tcPr>
            <w:tcW w:w="1170" w:type="dxa"/>
          </w:tcPr>
          <w:p w14:paraId="11CA7491" w14:textId="77777777" w:rsidR="00513AB5" w:rsidRDefault="00513AB5" w:rsidP="00513AB5">
            <w:pPr>
              <w:spacing w:before="100" w:after="100"/>
              <w:jc w:val="center"/>
              <w:rPr>
                <w:sz w:val="22"/>
              </w:rPr>
            </w:pPr>
          </w:p>
        </w:tc>
        <w:tc>
          <w:tcPr>
            <w:tcW w:w="1268" w:type="dxa"/>
          </w:tcPr>
          <w:p w14:paraId="1EE698AC" w14:textId="77777777" w:rsidR="00513AB5" w:rsidRDefault="00513AB5" w:rsidP="00513AB5">
            <w:pPr>
              <w:spacing w:before="100" w:after="100"/>
              <w:jc w:val="center"/>
              <w:rPr>
                <w:sz w:val="22"/>
              </w:rPr>
            </w:pPr>
          </w:p>
        </w:tc>
      </w:tr>
      <w:tr w:rsidR="00B50A96" w14:paraId="7158072D" w14:textId="77777777" w:rsidTr="00100729">
        <w:trPr>
          <w:cantSplit/>
        </w:trPr>
        <w:tc>
          <w:tcPr>
            <w:tcW w:w="720" w:type="dxa"/>
          </w:tcPr>
          <w:p w14:paraId="1ACB14FC" w14:textId="77777777" w:rsidR="00513AB5" w:rsidRPr="004C6BF5" w:rsidRDefault="00513AB5" w:rsidP="00513AB5">
            <w:pPr>
              <w:spacing w:before="100" w:after="100"/>
              <w:jc w:val="center"/>
              <w:rPr>
                <w:b/>
                <w:szCs w:val="22"/>
              </w:rPr>
            </w:pPr>
            <w:r w:rsidRPr="004242BF">
              <w:rPr>
                <w:b/>
                <w:sz w:val="22"/>
                <w:szCs w:val="22"/>
              </w:rPr>
              <w:t>6.</w:t>
            </w:r>
          </w:p>
        </w:tc>
        <w:tc>
          <w:tcPr>
            <w:tcW w:w="4672" w:type="dxa"/>
          </w:tcPr>
          <w:p w14:paraId="7BF0D000" w14:textId="2E2E4F5F" w:rsidR="00513AB5" w:rsidRPr="00EA3B24" w:rsidRDefault="00100729" w:rsidP="00513AB5">
            <w:pPr>
              <w:spacing w:before="100" w:after="100"/>
              <w:jc w:val="left"/>
              <w:rPr>
                <w:b/>
                <w:szCs w:val="22"/>
              </w:rPr>
            </w:pPr>
            <w:r>
              <w:rPr>
                <w:b/>
                <w:szCs w:val="22"/>
              </w:rPr>
              <w:t xml:space="preserve">Hardware </w:t>
            </w:r>
            <w:r w:rsidR="00513AB5" w:rsidRPr="001136D3">
              <w:rPr>
                <w:b/>
                <w:szCs w:val="22"/>
              </w:rPr>
              <w:t>Environment Readiness</w:t>
            </w:r>
          </w:p>
        </w:tc>
        <w:tc>
          <w:tcPr>
            <w:tcW w:w="1350" w:type="dxa"/>
          </w:tcPr>
          <w:p w14:paraId="606882A3" w14:textId="77777777" w:rsidR="00513AB5" w:rsidRDefault="00513AB5" w:rsidP="00513AB5">
            <w:pPr>
              <w:spacing w:before="100" w:after="100"/>
              <w:jc w:val="center"/>
              <w:rPr>
                <w:sz w:val="22"/>
              </w:rPr>
            </w:pPr>
            <w:r>
              <w:rPr>
                <w:sz w:val="22"/>
              </w:rPr>
              <w:t>6</w:t>
            </w:r>
          </w:p>
        </w:tc>
        <w:tc>
          <w:tcPr>
            <w:tcW w:w="1260" w:type="dxa"/>
          </w:tcPr>
          <w:p w14:paraId="2468A41F" w14:textId="77777777" w:rsidR="00513AB5" w:rsidRDefault="00513AB5" w:rsidP="00513AB5">
            <w:pPr>
              <w:spacing w:before="100" w:after="100"/>
              <w:jc w:val="center"/>
              <w:rPr>
                <w:sz w:val="22"/>
              </w:rPr>
            </w:pPr>
          </w:p>
        </w:tc>
        <w:tc>
          <w:tcPr>
            <w:tcW w:w="1350" w:type="dxa"/>
          </w:tcPr>
          <w:p w14:paraId="5D6D0B3B" w14:textId="77777777" w:rsidR="00513AB5" w:rsidRDefault="00513AB5" w:rsidP="00513AB5">
            <w:pPr>
              <w:spacing w:before="100" w:after="100"/>
              <w:jc w:val="center"/>
              <w:rPr>
                <w:sz w:val="22"/>
              </w:rPr>
            </w:pPr>
          </w:p>
        </w:tc>
        <w:tc>
          <w:tcPr>
            <w:tcW w:w="1080" w:type="dxa"/>
          </w:tcPr>
          <w:p w14:paraId="3B54CBB2" w14:textId="77777777" w:rsidR="00513AB5" w:rsidRDefault="00513AB5" w:rsidP="00513AB5">
            <w:pPr>
              <w:spacing w:before="100" w:after="100"/>
              <w:jc w:val="center"/>
              <w:rPr>
                <w:sz w:val="22"/>
              </w:rPr>
            </w:pPr>
          </w:p>
        </w:tc>
        <w:tc>
          <w:tcPr>
            <w:tcW w:w="1170" w:type="dxa"/>
          </w:tcPr>
          <w:p w14:paraId="3F174FC5" w14:textId="77777777" w:rsidR="00513AB5" w:rsidRDefault="00513AB5" w:rsidP="00513AB5">
            <w:pPr>
              <w:spacing w:before="100" w:after="100"/>
              <w:jc w:val="center"/>
              <w:rPr>
                <w:sz w:val="22"/>
              </w:rPr>
            </w:pPr>
          </w:p>
        </w:tc>
        <w:tc>
          <w:tcPr>
            <w:tcW w:w="1268" w:type="dxa"/>
          </w:tcPr>
          <w:p w14:paraId="7C5C05D0" w14:textId="77777777" w:rsidR="00513AB5" w:rsidRDefault="00513AB5" w:rsidP="00513AB5">
            <w:pPr>
              <w:spacing w:before="100" w:after="100"/>
              <w:jc w:val="center"/>
              <w:rPr>
                <w:sz w:val="22"/>
              </w:rPr>
            </w:pPr>
          </w:p>
        </w:tc>
      </w:tr>
      <w:tr w:rsidR="00100729" w14:paraId="5E61937E" w14:textId="77777777" w:rsidTr="00100729">
        <w:trPr>
          <w:cantSplit/>
        </w:trPr>
        <w:tc>
          <w:tcPr>
            <w:tcW w:w="720" w:type="dxa"/>
          </w:tcPr>
          <w:p w14:paraId="31692E7D" w14:textId="49A04259" w:rsidR="00100729" w:rsidRPr="004242BF" w:rsidRDefault="00100729" w:rsidP="00513AB5">
            <w:pPr>
              <w:spacing w:before="100" w:after="100"/>
              <w:jc w:val="center"/>
              <w:rPr>
                <w:b/>
                <w:sz w:val="22"/>
                <w:szCs w:val="22"/>
              </w:rPr>
            </w:pPr>
            <w:r>
              <w:rPr>
                <w:b/>
                <w:sz w:val="22"/>
                <w:szCs w:val="22"/>
              </w:rPr>
              <w:t>7.</w:t>
            </w:r>
          </w:p>
        </w:tc>
        <w:tc>
          <w:tcPr>
            <w:tcW w:w="4672" w:type="dxa"/>
          </w:tcPr>
          <w:p w14:paraId="2B293020" w14:textId="193F7896" w:rsidR="00100729" w:rsidRDefault="00100729" w:rsidP="00100729">
            <w:pPr>
              <w:spacing w:before="100" w:after="100"/>
              <w:jc w:val="left"/>
              <w:rPr>
                <w:b/>
                <w:szCs w:val="22"/>
              </w:rPr>
            </w:pPr>
            <w:r>
              <w:rPr>
                <w:b/>
                <w:szCs w:val="22"/>
              </w:rPr>
              <w:t xml:space="preserve">Software </w:t>
            </w:r>
            <w:r w:rsidRPr="001136D3">
              <w:rPr>
                <w:b/>
                <w:szCs w:val="22"/>
              </w:rPr>
              <w:t>Environment Readiness</w:t>
            </w:r>
          </w:p>
        </w:tc>
        <w:tc>
          <w:tcPr>
            <w:tcW w:w="1350" w:type="dxa"/>
          </w:tcPr>
          <w:p w14:paraId="662816BC" w14:textId="3D223D9A" w:rsidR="00100729" w:rsidRDefault="00100729" w:rsidP="00513AB5">
            <w:pPr>
              <w:spacing w:before="100" w:after="100"/>
              <w:jc w:val="center"/>
              <w:rPr>
                <w:sz w:val="22"/>
              </w:rPr>
            </w:pPr>
            <w:r>
              <w:rPr>
                <w:sz w:val="22"/>
              </w:rPr>
              <w:t>7</w:t>
            </w:r>
          </w:p>
        </w:tc>
        <w:tc>
          <w:tcPr>
            <w:tcW w:w="1260" w:type="dxa"/>
          </w:tcPr>
          <w:p w14:paraId="2AFD25B5" w14:textId="77777777" w:rsidR="00100729" w:rsidRDefault="00100729" w:rsidP="00513AB5">
            <w:pPr>
              <w:spacing w:before="100" w:after="100"/>
              <w:jc w:val="center"/>
              <w:rPr>
                <w:sz w:val="22"/>
              </w:rPr>
            </w:pPr>
          </w:p>
        </w:tc>
        <w:tc>
          <w:tcPr>
            <w:tcW w:w="1350" w:type="dxa"/>
          </w:tcPr>
          <w:p w14:paraId="4C9C4A73" w14:textId="77777777" w:rsidR="00100729" w:rsidRDefault="00100729" w:rsidP="00513AB5">
            <w:pPr>
              <w:spacing w:before="100" w:after="100"/>
              <w:jc w:val="center"/>
              <w:rPr>
                <w:sz w:val="22"/>
              </w:rPr>
            </w:pPr>
          </w:p>
        </w:tc>
        <w:tc>
          <w:tcPr>
            <w:tcW w:w="1080" w:type="dxa"/>
          </w:tcPr>
          <w:p w14:paraId="22E0F260" w14:textId="77777777" w:rsidR="00100729" w:rsidRDefault="00100729" w:rsidP="00513AB5">
            <w:pPr>
              <w:spacing w:before="100" w:after="100"/>
              <w:jc w:val="center"/>
              <w:rPr>
                <w:sz w:val="22"/>
              </w:rPr>
            </w:pPr>
          </w:p>
        </w:tc>
        <w:tc>
          <w:tcPr>
            <w:tcW w:w="1170" w:type="dxa"/>
          </w:tcPr>
          <w:p w14:paraId="2ABF0320" w14:textId="77777777" w:rsidR="00100729" w:rsidRDefault="00100729" w:rsidP="00513AB5">
            <w:pPr>
              <w:spacing w:before="100" w:after="100"/>
              <w:jc w:val="center"/>
              <w:rPr>
                <w:sz w:val="22"/>
              </w:rPr>
            </w:pPr>
          </w:p>
        </w:tc>
        <w:tc>
          <w:tcPr>
            <w:tcW w:w="1268" w:type="dxa"/>
          </w:tcPr>
          <w:p w14:paraId="7CE7A994" w14:textId="77777777" w:rsidR="00100729" w:rsidRDefault="00100729" w:rsidP="00513AB5">
            <w:pPr>
              <w:spacing w:before="100" w:after="100"/>
              <w:jc w:val="center"/>
              <w:rPr>
                <w:sz w:val="22"/>
              </w:rPr>
            </w:pPr>
          </w:p>
        </w:tc>
      </w:tr>
      <w:tr w:rsidR="00B50A96" w14:paraId="55A3C68D" w14:textId="77777777" w:rsidTr="00100729">
        <w:trPr>
          <w:cantSplit/>
        </w:trPr>
        <w:tc>
          <w:tcPr>
            <w:tcW w:w="720" w:type="dxa"/>
          </w:tcPr>
          <w:p w14:paraId="59184B0C" w14:textId="78EB56D4" w:rsidR="00513AB5" w:rsidRPr="004242BF" w:rsidRDefault="00100729" w:rsidP="00513AB5">
            <w:pPr>
              <w:spacing w:before="100" w:after="100"/>
              <w:jc w:val="center"/>
              <w:rPr>
                <w:b/>
                <w:sz w:val="22"/>
                <w:szCs w:val="22"/>
              </w:rPr>
            </w:pPr>
            <w:r>
              <w:rPr>
                <w:b/>
                <w:szCs w:val="24"/>
              </w:rPr>
              <w:t>8</w:t>
            </w:r>
            <w:r w:rsidR="00513AB5" w:rsidRPr="004C6BF5">
              <w:rPr>
                <w:b/>
                <w:szCs w:val="24"/>
              </w:rPr>
              <w:t xml:space="preserve">. </w:t>
            </w:r>
          </w:p>
        </w:tc>
        <w:tc>
          <w:tcPr>
            <w:tcW w:w="4672" w:type="dxa"/>
          </w:tcPr>
          <w:p w14:paraId="1403F563" w14:textId="77777777" w:rsidR="00513AB5" w:rsidRPr="004242BF" w:rsidRDefault="00513AB5" w:rsidP="00513AB5">
            <w:pPr>
              <w:spacing w:before="100" w:after="100"/>
              <w:jc w:val="left"/>
              <w:rPr>
                <w:b/>
                <w:sz w:val="22"/>
                <w:szCs w:val="22"/>
              </w:rPr>
            </w:pPr>
            <w:r w:rsidRPr="004C6BF5">
              <w:rPr>
                <w:b/>
                <w:szCs w:val="24"/>
              </w:rPr>
              <w:t>Pilot Deployment</w:t>
            </w:r>
          </w:p>
        </w:tc>
        <w:tc>
          <w:tcPr>
            <w:tcW w:w="1350" w:type="dxa"/>
          </w:tcPr>
          <w:p w14:paraId="76E98B43" w14:textId="519355B9" w:rsidR="00513AB5" w:rsidRDefault="00100729" w:rsidP="00513AB5">
            <w:pPr>
              <w:spacing w:before="100" w:after="100"/>
              <w:jc w:val="center"/>
              <w:rPr>
                <w:sz w:val="22"/>
              </w:rPr>
            </w:pPr>
            <w:r>
              <w:rPr>
                <w:sz w:val="22"/>
              </w:rPr>
              <w:t>8</w:t>
            </w:r>
          </w:p>
        </w:tc>
        <w:tc>
          <w:tcPr>
            <w:tcW w:w="1260" w:type="dxa"/>
          </w:tcPr>
          <w:p w14:paraId="7890814C" w14:textId="77777777" w:rsidR="00513AB5" w:rsidRDefault="00513AB5" w:rsidP="00513AB5">
            <w:pPr>
              <w:spacing w:before="100" w:after="100"/>
              <w:jc w:val="center"/>
              <w:rPr>
                <w:sz w:val="22"/>
              </w:rPr>
            </w:pPr>
          </w:p>
        </w:tc>
        <w:tc>
          <w:tcPr>
            <w:tcW w:w="1350" w:type="dxa"/>
          </w:tcPr>
          <w:p w14:paraId="5ABD3978" w14:textId="77777777" w:rsidR="00513AB5" w:rsidRDefault="00513AB5" w:rsidP="00513AB5">
            <w:pPr>
              <w:spacing w:before="100" w:after="100"/>
              <w:jc w:val="center"/>
              <w:rPr>
                <w:sz w:val="22"/>
              </w:rPr>
            </w:pPr>
          </w:p>
        </w:tc>
        <w:tc>
          <w:tcPr>
            <w:tcW w:w="1080" w:type="dxa"/>
          </w:tcPr>
          <w:p w14:paraId="285289FC" w14:textId="77777777" w:rsidR="00513AB5" w:rsidRDefault="00513AB5" w:rsidP="00513AB5">
            <w:pPr>
              <w:spacing w:before="100" w:after="100"/>
              <w:jc w:val="center"/>
              <w:rPr>
                <w:sz w:val="22"/>
              </w:rPr>
            </w:pPr>
          </w:p>
        </w:tc>
        <w:tc>
          <w:tcPr>
            <w:tcW w:w="1170" w:type="dxa"/>
          </w:tcPr>
          <w:p w14:paraId="018456C7" w14:textId="77777777" w:rsidR="00513AB5" w:rsidRDefault="00513AB5" w:rsidP="00513AB5">
            <w:pPr>
              <w:spacing w:before="100" w:after="100"/>
              <w:jc w:val="center"/>
              <w:rPr>
                <w:sz w:val="22"/>
              </w:rPr>
            </w:pPr>
          </w:p>
        </w:tc>
        <w:tc>
          <w:tcPr>
            <w:tcW w:w="1268" w:type="dxa"/>
          </w:tcPr>
          <w:p w14:paraId="4D01B5AF" w14:textId="77777777" w:rsidR="00513AB5" w:rsidRDefault="00513AB5" w:rsidP="00513AB5">
            <w:pPr>
              <w:spacing w:before="100" w:after="100"/>
              <w:jc w:val="center"/>
              <w:rPr>
                <w:sz w:val="22"/>
              </w:rPr>
            </w:pPr>
          </w:p>
        </w:tc>
      </w:tr>
      <w:tr w:rsidR="00B50A96" w14:paraId="74F88F9F" w14:textId="77777777" w:rsidTr="00100729">
        <w:trPr>
          <w:cantSplit/>
        </w:trPr>
        <w:tc>
          <w:tcPr>
            <w:tcW w:w="720" w:type="dxa"/>
          </w:tcPr>
          <w:p w14:paraId="0704FB93" w14:textId="2CE94402" w:rsidR="00513AB5" w:rsidRPr="004C6BF5" w:rsidRDefault="00100729" w:rsidP="00513AB5">
            <w:pPr>
              <w:spacing w:before="100" w:after="100"/>
              <w:jc w:val="center"/>
              <w:rPr>
                <w:b/>
                <w:szCs w:val="24"/>
              </w:rPr>
            </w:pPr>
            <w:r>
              <w:rPr>
                <w:b/>
                <w:szCs w:val="24"/>
              </w:rPr>
              <w:t>9</w:t>
            </w:r>
            <w:r w:rsidR="00513AB5" w:rsidRPr="004C6BF5">
              <w:rPr>
                <w:b/>
                <w:szCs w:val="24"/>
              </w:rPr>
              <w:t>.</w:t>
            </w:r>
          </w:p>
        </w:tc>
        <w:tc>
          <w:tcPr>
            <w:tcW w:w="4672" w:type="dxa"/>
          </w:tcPr>
          <w:p w14:paraId="6533DC8A" w14:textId="77777777" w:rsidR="00513AB5" w:rsidRPr="004C6BF5" w:rsidRDefault="00513AB5" w:rsidP="00513AB5">
            <w:pPr>
              <w:spacing w:before="100" w:after="100"/>
              <w:jc w:val="left"/>
              <w:rPr>
                <w:b/>
                <w:szCs w:val="24"/>
              </w:rPr>
            </w:pPr>
            <w:r w:rsidRPr="004C6BF5">
              <w:rPr>
                <w:b/>
                <w:szCs w:val="24"/>
              </w:rPr>
              <w:t>Specification Phase 2</w:t>
            </w:r>
          </w:p>
        </w:tc>
        <w:tc>
          <w:tcPr>
            <w:tcW w:w="1350" w:type="dxa"/>
          </w:tcPr>
          <w:p w14:paraId="11A0856F" w14:textId="2650368F" w:rsidR="00513AB5" w:rsidRDefault="00100729" w:rsidP="00513AB5">
            <w:pPr>
              <w:spacing w:before="100" w:after="100"/>
              <w:jc w:val="center"/>
              <w:rPr>
                <w:sz w:val="22"/>
              </w:rPr>
            </w:pPr>
            <w:r>
              <w:rPr>
                <w:sz w:val="22"/>
              </w:rPr>
              <w:t>9</w:t>
            </w:r>
          </w:p>
        </w:tc>
        <w:tc>
          <w:tcPr>
            <w:tcW w:w="1260" w:type="dxa"/>
          </w:tcPr>
          <w:p w14:paraId="562BAAFF" w14:textId="77777777" w:rsidR="00513AB5" w:rsidRDefault="00513AB5" w:rsidP="00513AB5">
            <w:pPr>
              <w:spacing w:before="100" w:after="100"/>
              <w:jc w:val="center"/>
              <w:rPr>
                <w:sz w:val="22"/>
              </w:rPr>
            </w:pPr>
          </w:p>
        </w:tc>
        <w:tc>
          <w:tcPr>
            <w:tcW w:w="1350" w:type="dxa"/>
          </w:tcPr>
          <w:p w14:paraId="644BD0E6" w14:textId="77777777" w:rsidR="00513AB5" w:rsidRDefault="00513AB5" w:rsidP="00513AB5">
            <w:pPr>
              <w:spacing w:before="100" w:after="100"/>
              <w:jc w:val="center"/>
              <w:rPr>
                <w:sz w:val="22"/>
              </w:rPr>
            </w:pPr>
          </w:p>
        </w:tc>
        <w:tc>
          <w:tcPr>
            <w:tcW w:w="1080" w:type="dxa"/>
          </w:tcPr>
          <w:p w14:paraId="4B9A06B5" w14:textId="77777777" w:rsidR="00513AB5" w:rsidRDefault="00513AB5" w:rsidP="00513AB5">
            <w:pPr>
              <w:spacing w:before="100" w:after="100"/>
              <w:jc w:val="center"/>
              <w:rPr>
                <w:sz w:val="22"/>
              </w:rPr>
            </w:pPr>
          </w:p>
        </w:tc>
        <w:tc>
          <w:tcPr>
            <w:tcW w:w="1170" w:type="dxa"/>
          </w:tcPr>
          <w:p w14:paraId="6F0030F5" w14:textId="77777777" w:rsidR="00513AB5" w:rsidRDefault="00513AB5" w:rsidP="00513AB5">
            <w:pPr>
              <w:spacing w:before="100" w:after="100"/>
              <w:jc w:val="center"/>
              <w:rPr>
                <w:sz w:val="22"/>
              </w:rPr>
            </w:pPr>
          </w:p>
        </w:tc>
        <w:tc>
          <w:tcPr>
            <w:tcW w:w="1268" w:type="dxa"/>
          </w:tcPr>
          <w:p w14:paraId="756313B9" w14:textId="77777777" w:rsidR="00513AB5" w:rsidRDefault="00513AB5" w:rsidP="00513AB5">
            <w:pPr>
              <w:spacing w:before="100" w:after="100"/>
              <w:jc w:val="center"/>
              <w:rPr>
                <w:sz w:val="22"/>
              </w:rPr>
            </w:pPr>
          </w:p>
        </w:tc>
      </w:tr>
      <w:tr w:rsidR="00B50A96" w14:paraId="459AAB3C" w14:textId="77777777" w:rsidTr="00100729">
        <w:trPr>
          <w:cantSplit/>
        </w:trPr>
        <w:tc>
          <w:tcPr>
            <w:tcW w:w="720" w:type="dxa"/>
          </w:tcPr>
          <w:p w14:paraId="7EAACADB" w14:textId="48E5CCAF" w:rsidR="00513AB5" w:rsidRPr="004C6BF5" w:rsidRDefault="00100729" w:rsidP="00513AB5">
            <w:pPr>
              <w:spacing w:before="100" w:after="100"/>
              <w:jc w:val="center"/>
              <w:rPr>
                <w:b/>
                <w:szCs w:val="24"/>
              </w:rPr>
            </w:pPr>
            <w:r>
              <w:rPr>
                <w:b/>
                <w:szCs w:val="22"/>
              </w:rPr>
              <w:t>10</w:t>
            </w:r>
            <w:r w:rsidR="00513AB5" w:rsidRPr="004C6BF5">
              <w:rPr>
                <w:b/>
                <w:szCs w:val="22"/>
              </w:rPr>
              <w:t>.</w:t>
            </w:r>
          </w:p>
        </w:tc>
        <w:tc>
          <w:tcPr>
            <w:tcW w:w="4672" w:type="dxa"/>
          </w:tcPr>
          <w:p w14:paraId="79353CC0" w14:textId="77777777" w:rsidR="00513AB5" w:rsidRPr="004C6BF5" w:rsidRDefault="00513AB5" w:rsidP="00513AB5">
            <w:pPr>
              <w:spacing w:before="100" w:after="100"/>
              <w:jc w:val="left"/>
              <w:rPr>
                <w:b/>
                <w:szCs w:val="24"/>
              </w:rPr>
            </w:pPr>
            <w:r w:rsidRPr="004C6BF5">
              <w:rPr>
                <w:b/>
                <w:szCs w:val="22"/>
              </w:rPr>
              <w:t>Capacity Building</w:t>
            </w:r>
          </w:p>
        </w:tc>
        <w:tc>
          <w:tcPr>
            <w:tcW w:w="1350" w:type="dxa"/>
          </w:tcPr>
          <w:p w14:paraId="0A688212" w14:textId="525C64D1" w:rsidR="00513AB5" w:rsidRDefault="00100729" w:rsidP="00513AB5">
            <w:pPr>
              <w:spacing w:before="100" w:after="100"/>
              <w:jc w:val="center"/>
              <w:rPr>
                <w:sz w:val="22"/>
              </w:rPr>
            </w:pPr>
            <w:r>
              <w:rPr>
                <w:sz w:val="22"/>
              </w:rPr>
              <w:t>10</w:t>
            </w:r>
          </w:p>
        </w:tc>
        <w:tc>
          <w:tcPr>
            <w:tcW w:w="1260" w:type="dxa"/>
          </w:tcPr>
          <w:p w14:paraId="6652AACD" w14:textId="77777777" w:rsidR="00513AB5" w:rsidRDefault="00513AB5" w:rsidP="00513AB5">
            <w:pPr>
              <w:spacing w:before="100" w:after="100"/>
              <w:jc w:val="center"/>
              <w:rPr>
                <w:sz w:val="22"/>
              </w:rPr>
            </w:pPr>
          </w:p>
        </w:tc>
        <w:tc>
          <w:tcPr>
            <w:tcW w:w="1350" w:type="dxa"/>
          </w:tcPr>
          <w:p w14:paraId="0C6F7881" w14:textId="77777777" w:rsidR="00513AB5" w:rsidRDefault="00513AB5" w:rsidP="00513AB5">
            <w:pPr>
              <w:spacing w:before="100" w:after="100"/>
              <w:jc w:val="center"/>
              <w:rPr>
                <w:sz w:val="22"/>
              </w:rPr>
            </w:pPr>
          </w:p>
        </w:tc>
        <w:tc>
          <w:tcPr>
            <w:tcW w:w="1080" w:type="dxa"/>
          </w:tcPr>
          <w:p w14:paraId="2B6EB446" w14:textId="77777777" w:rsidR="00513AB5" w:rsidRDefault="00513AB5" w:rsidP="00513AB5">
            <w:pPr>
              <w:spacing w:before="100" w:after="100"/>
              <w:jc w:val="center"/>
              <w:rPr>
                <w:sz w:val="22"/>
              </w:rPr>
            </w:pPr>
          </w:p>
        </w:tc>
        <w:tc>
          <w:tcPr>
            <w:tcW w:w="1170" w:type="dxa"/>
          </w:tcPr>
          <w:p w14:paraId="510698E0" w14:textId="77777777" w:rsidR="00513AB5" w:rsidRDefault="00513AB5" w:rsidP="00513AB5">
            <w:pPr>
              <w:spacing w:before="100" w:after="100"/>
              <w:jc w:val="center"/>
              <w:rPr>
                <w:sz w:val="22"/>
              </w:rPr>
            </w:pPr>
          </w:p>
        </w:tc>
        <w:tc>
          <w:tcPr>
            <w:tcW w:w="1268" w:type="dxa"/>
          </w:tcPr>
          <w:p w14:paraId="0523B31A" w14:textId="77777777" w:rsidR="00513AB5" w:rsidRDefault="00513AB5" w:rsidP="00513AB5">
            <w:pPr>
              <w:spacing w:before="100" w:after="100"/>
              <w:jc w:val="center"/>
              <w:rPr>
                <w:sz w:val="22"/>
              </w:rPr>
            </w:pPr>
          </w:p>
        </w:tc>
      </w:tr>
      <w:tr w:rsidR="00B50A96" w14:paraId="7C5C26B2" w14:textId="77777777" w:rsidTr="00100729">
        <w:trPr>
          <w:cantSplit/>
        </w:trPr>
        <w:tc>
          <w:tcPr>
            <w:tcW w:w="720" w:type="dxa"/>
          </w:tcPr>
          <w:p w14:paraId="59A7FEE0" w14:textId="25CB9134" w:rsidR="00513AB5" w:rsidRPr="004C6BF5" w:rsidRDefault="00100729" w:rsidP="00513AB5">
            <w:pPr>
              <w:spacing w:before="100" w:after="100"/>
              <w:jc w:val="center"/>
              <w:rPr>
                <w:b/>
                <w:szCs w:val="24"/>
              </w:rPr>
            </w:pPr>
            <w:r>
              <w:rPr>
                <w:b/>
                <w:szCs w:val="22"/>
              </w:rPr>
              <w:lastRenderedPageBreak/>
              <w:t>11</w:t>
            </w:r>
            <w:r w:rsidR="00513AB5" w:rsidRPr="004C6BF5">
              <w:rPr>
                <w:b/>
                <w:szCs w:val="22"/>
              </w:rPr>
              <w:t>.</w:t>
            </w:r>
          </w:p>
        </w:tc>
        <w:tc>
          <w:tcPr>
            <w:tcW w:w="4672" w:type="dxa"/>
          </w:tcPr>
          <w:p w14:paraId="1CE9CEAA" w14:textId="77777777" w:rsidR="00513AB5" w:rsidRPr="004C6BF5" w:rsidRDefault="00513AB5" w:rsidP="00513AB5">
            <w:pPr>
              <w:spacing w:before="100" w:after="100"/>
              <w:jc w:val="left"/>
              <w:rPr>
                <w:b/>
                <w:szCs w:val="24"/>
              </w:rPr>
            </w:pPr>
            <w:r w:rsidRPr="004C6BF5">
              <w:rPr>
                <w:b/>
                <w:szCs w:val="22"/>
              </w:rPr>
              <w:t>Test Pilot Stage SAT</w:t>
            </w:r>
          </w:p>
        </w:tc>
        <w:tc>
          <w:tcPr>
            <w:tcW w:w="1350" w:type="dxa"/>
          </w:tcPr>
          <w:p w14:paraId="50AA09D4" w14:textId="0CCF2126" w:rsidR="00513AB5" w:rsidRDefault="00100729" w:rsidP="00513AB5">
            <w:pPr>
              <w:spacing w:before="100" w:after="100"/>
              <w:jc w:val="center"/>
              <w:rPr>
                <w:sz w:val="22"/>
              </w:rPr>
            </w:pPr>
            <w:r>
              <w:rPr>
                <w:sz w:val="22"/>
              </w:rPr>
              <w:t>11</w:t>
            </w:r>
          </w:p>
        </w:tc>
        <w:tc>
          <w:tcPr>
            <w:tcW w:w="1260" w:type="dxa"/>
          </w:tcPr>
          <w:p w14:paraId="2647DB17" w14:textId="77777777" w:rsidR="00513AB5" w:rsidRDefault="00513AB5" w:rsidP="00513AB5">
            <w:pPr>
              <w:spacing w:before="100" w:after="100"/>
              <w:jc w:val="center"/>
              <w:rPr>
                <w:sz w:val="22"/>
              </w:rPr>
            </w:pPr>
          </w:p>
        </w:tc>
        <w:tc>
          <w:tcPr>
            <w:tcW w:w="1350" w:type="dxa"/>
          </w:tcPr>
          <w:p w14:paraId="2DACC95D" w14:textId="77777777" w:rsidR="00513AB5" w:rsidRDefault="00513AB5" w:rsidP="00513AB5">
            <w:pPr>
              <w:spacing w:before="100" w:after="100"/>
              <w:jc w:val="center"/>
              <w:rPr>
                <w:sz w:val="22"/>
              </w:rPr>
            </w:pPr>
          </w:p>
        </w:tc>
        <w:tc>
          <w:tcPr>
            <w:tcW w:w="1080" w:type="dxa"/>
          </w:tcPr>
          <w:p w14:paraId="58B5BD9D" w14:textId="77777777" w:rsidR="00513AB5" w:rsidRDefault="00513AB5" w:rsidP="00513AB5">
            <w:pPr>
              <w:spacing w:before="100" w:after="100"/>
              <w:jc w:val="center"/>
              <w:rPr>
                <w:sz w:val="22"/>
              </w:rPr>
            </w:pPr>
          </w:p>
        </w:tc>
        <w:tc>
          <w:tcPr>
            <w:tcW w:w="1170" w:type="dxa"/>
          </w:tcPr>
          <w:p w14:paraId="4F381F27" w14:textId="77777777" w:rsidR="00513AB5" w:rsidRDefault="00513AB5" w:rsidP="00513AB5">
            <w:pPr>
              <w:spacing w:before="100" w:after="100"/>
              <w:jc w:val="center"/>
              <w:rPr>
                <w:sz w:val="22"/>
              </w:rPr>
            </w:pPr>
          </w:p>
        </w:tc>
        <w:tc>
          <w:tcPr>
            <w:tcW w:w="1268" w:type="dxa"/>
          </w:tcPr>
          <w:p w14:paraId="37100352" w14:textId="77777777" w:rsidR="00513AB5" w:rsidRDefault="00513AB5" w:rsidP="00513AB5">
            <w:pPr>
              <w:spacing w:before="100" w:after="100"/>
              <w:jc w:val="center"/>
              <w:rPr>
                <w:sz w:val="22"/>
              </w:rPr>
            </w:pPr>
          </w:p>
        </w:tc>
      </w:tr>
      <w:tr w:rsidR="00B50A96" w14:paraId="3953D6FC" w14:textId="77777777" w:rsidTr="00100729">
        <w:trPr>
          <w:cantSplit/>
        </w:trPr>
        <w:tc>
          <w:tcPr>
            <w:tcW w:w="720" w:type="dxa"/>
          </w:tcPr>
          <w:p w14:paraId="7645668F" w14:textId="0E65A56F" w:rsidR="00513AB5" w:rsidRPr="004C6BF5" w:rsidRDefault="00100729" w:rsidP="00513AB5">
            <w:pPr>
              <w:spacing w:before="100" w:after="100"/>
              <w:jc w:val="center"/>
              <w:rPr>
                <w:b/>
                <w:szCs w:val="24"/>
              </w:rPr>
            </w:pPr>
            <w:r>
              <w:rPr>
                <w:b/>
                <w:szCs w:val="22"/>
              </w:rPr>
              <w:t>12</w:t>
            </w:r>
            <w:r w:rsidR="00513AB5" w:rsidRPr="004C6BF5">
              <w:rPr>
                <w:b/>
                <w:szCs w:val="22"/>
              </w:rPr>
              <w:t>.</w:t>
            </w:r>
          </w:p>
        </w:tc>
        <w:tc>
          <w:tcPr>
            <w:tcW w:w="4672" w:type="dxa"/>
          </w:tcPr>
          <w:p w14:paraId="5F7C6B5E" w14:textId="3A846D1A" w:rsidR="00513AB5" w:rsidRPr="004C6BF5" w:rsidRDefault="00513AB5" w:rsidP="00513AB5">
            <w:pPr>
              <w:spacing w:before="100" w:after="100"/>
              <w:jc w:val="left"/>
              <w:rPr>
                <w:b/>
                <w:szCs w:val="24"/>
              </w:rPr>
            </w:pPr>
            <w:r w:rsidRPr="004C6BF5">
              <w:rPr>
                <w:b/>
                <w:szCs w:val="22"/>
              </w:rPr>
              <w:t xml:space="preserve">Rollout </w:t>
            </w:r>
            <w:r w:rsidR="00100729">
              <w:rPr>
                <w:b/>
                <w:szCs w:val="22"/>
              </w:rPr>
              <w:t xml:space="preserve">Hardware </w:t>
            </w:r>
            <w:r w:rsidRPr="004C6BF5">
              <w:rPr>
                <w:b/>
                <w:szCs w:val="22"/>
              </w:rPr>
              <w:t>Environment Readiness</w:t>
            </w:r>
          </w:p>
        </w:tc>
        <w:tc>
          <w:tcPr>
            <w:tcW w:w="1350" w:type="dxa"/>
          </w:tcPr>
          <w:p w14:paraId="432FD2E2" w14:textId="1B76D0C6" w:rsidR="00513AB5" w:rsidRDefault="00100729" w:rsidP="00513AB5">
            <w:pPr>
              <w:spacing w:before="100" w:after="100"/>
              <w:jc w:val="center"/>
              <w:rPr>
                <w:sz w:val="22"/>
              </w:rPr>
            </w:pPr>
            <w:r>
              <w:rPr>
                <w:sz w:val="22"/>
              </w:rPr>
              <w:t>12</w:t>
            </w:r>
          </w:p>
        </w:tc>
        <w:tc>
          <w:tcPr>
            <w:tcW w:w="1260" w:type="dxa"/>
          </w:tcPr>
          <w:p w14:paraId="1CBA0ADC" w14:textId="77777777" w:rsidR="00513AB5" w:rsidRDefault="00513AB5" w:rsidP="00513AB5">
            <w:pPr>
              <w:spacing w:before="100" w:after="100"/>
              <w:jc w:val="center"/>
              <w:rPr>
                <w:sz w:val="22"/>
              </w:rPr>
            </w:pPr>
          </w:p>
        </w:tc>
        <w:tc>
          <w:tcPr>
            <w:tcW w:w="1350" w:type="dxa"/>
          </w:tcPr>
          <w:p w14:paraId="283F5CD6" w14:textId="77777777" w:rsidR="00513AB5" w:rsidRDefault="00513AB5" w:rsidP="00513AB5">
            <w:pPr>
              <w:spacing w:before="100" w:after="100"/>
              <w:jc w:val="center"/>
              <w:rPr>
                <w:sz w:val="22"/>
              </w:rPr>
            </w:pPr>
          </w:p>
        </w:tc>
        <w:tc>
          <w:tcPr>
            <w:tcW w:w="1080" w:type="dxa"/>
          </w:tcPr>
          <w:p w14:paraId="21D93916" w14:textId="77777777" w:rsidR="00513AB5" w:rsidRDefault="00513AB5" w:rsidP="00513AB5">
            <w:pPr>
              <w:spacing w:before="100" w:after="100"/>
              <w:jc w:val="center"/>
              <w:rPr>
                <w:sz w:val="22"/>
              </w:rPr>
            </w:pPr>
          </w:p>
        </w:tc>
        <w:tc>
          <w:tcPr>
            <w:tcW w:w="1170" w:type="dxa"/>
          </w:tcPr>
          <w:p w14:paraId="256FD570" w14:textId="77777777" w:rsidR="00513AB5" w:rsidRDefault="00513AB5" w:rsidP="00513AB5">
            <w:pPr>
              <w:spacing w:before="100" w:after="100"/>
              <w:jc w:val="center"/>
              <w:rPr>
                <w:sz w:val="22"/>
              </w:rPr>
            </w:pPr>
          </w:p>
        </w:tc>
        <w:tc>
          <w:tcPr>
            <w:tcW w:w="1268" w:type="dxa"/>
          </w:tcPr>
          <w:p w14:paraId="4E5BF85D" w14:textId="77777777" w:rsidR="00513AB5" w:rsidRDefault="00513AB5" w:rsidP="00513AB5">
            <w:pPr>
              <w:spacing w:before="100" w:after="100"/>
              <w:jc w:val="center"/>
              <w:rPr>
                <w:sz w:val="22"/>
              </w:rPr>
            </w:pPr>
          </w:p>
        </w:tc>
      </w:tr>
      <w:tr w:rsidR="00100729" w14:paraId="0AA82A8B" w14:textId="77777777" w:rsidTr="00100729">
        <w:trPr>
          <w:cantSplit/>
        </w:trPr>
        <w:tc>
          <w:tcPr>
            <w:tcW w:w="720" w:type="dxa"/>
          </w:tcPr>
          <w:p w14:paraId="454FDB0C" w14:textId="61CC8F93" w:rsidR="00100729" w:rsidRDefault="00100729" w:rsidP="00513AB5">
            <w:pPr>
              <w:spacing w:before="100" w:after="100"/>
              <w:jc w:val="center"/>
              <w:rPr>
                <w:b/>
                <w:szCs w:val="22"/>
              </w:rPr>
            </w:pPr>
            <w:r>
              <w:rPr>
                <w:b/>
                <w:szCs w:val="22"/>
              </w:rPr>
              <w:t>13.</w:t>
            </w:r>
          </w:p>
        </w:tc>
        <w:tc>
          <w:tcPr>
            <w:tcW w:w="4672" w:type="dxa"/>
          </w:tcPr>
          <w:p w14:paraId="23933AF8" w14:textId="226B5357" w:rsidR="00100729" w:rsidRPr="004C6BF5" w:rsidRDefault="00100729" w:rsidP="00100729">
            <w:pPr>
              <w:spacing w:before="100" w:after="100"/>
              <w:jc w:val="left"/>
              <w:rPr>
                <w:b/>
                <w:szCs w:val="22"/>
              </w:rPr>
            </w:pPr>
            <w:r w:rsidRPr="004C6BF5">
              <w:rPr>
                <w:b/>
                <w:szCs w:val="22"/>
              </w:rPr>
              <w:t xml:space="preserve">Rollout </w:t>
            </w:r>
            <w:r>
              <w:rPr>
                <w:b/>
                <w:szCs w:val="22"/>
              </w:rPr>
              <w:t xml:space="preserve">Software </w:t>
            </w:r>
            <w:r w:rsidRPr="004C6BF5">
              <w:rPr>
                <w:b/>
                <w:szCs w:val="22"/>
              </w:rPr>
              <w:t>Environment Readiness</w:t>
            </w:r>
          </w:p>
        </w:tc>
        <w:tc>
          <w:tcPr>
            <w:tcW w:w="1350" w:type="dxa"/>
          </w:tcPr>
          <w:p w14:paraId="624A0D3D" w14:textId="14A2B936" w:rsidR="00100729" w:rsidRDefault="00100729" w:rsidP="00513AB5">
            <w:pPr>
              <w:spacing w:before="100" w:after="100"/>
              <w:jc w:val="center"/>
              <w:rPr>
                <w:sz w:val="22"/>
              </w:rPr>
            </w:pPr>
            <w:r>
              <w:rPr>
                <w:sz w:val="22"/>
              </w:rPr>
              <w:t>13</w:t>
            </w:r>
          </w:p>
        </w:tc>
        <w:tc>
          <w:tcPr>
            <w:tcW w:w="1260" w:type="dxa"/>
          </w:tcPr>
          <w:p w14:paraId="4DEAD27F" w14:textId="77777777" w:rsidR="00100729" w:rsidRDefault="00100729" w:rsidP="00513AB5">
            <w:pPr>
              <w:spacing w:before="100" w:after="100"/>
              <w:jc w:val="center"/>
              <w:rPr>
                <w:sz w:val="22"/>
              </w:rPr>
            </w:pPr>
          </w:p>
        </w:tc>
        <w:tc>
          <w:tcPr>
            <w:tcW w:w="1350" w:type="dxa"/>
          </w:tcPr>
          <w:p w14:paraId="449A3D36" w14:textId="77777777" w:rsidR="00100729" w:rsidRDefault="00100729" w:rsidP="00513AB5">
            <w:pPr>
              <w:spacing w:before="100" w:after="100"/>
              <w:jc w:val="center"/>
              <w:rPr>
                <w:sz w:val="22"/>
              </w:rPr>
            </w:pPr>
          </w:p>
        </w:tc>
        <w:tc>
          <w:tcPr>
            <w:tcW w:w="1080" w:type="dxa"/>
          </w:tcPr>
          <w:p w14:paraId="6C2B09BF" w14:textId="77777777" w:rsidR="00100729" w:rsidRDefault="00100729" w:rsidP="00513AB5">
            <w:pPr>
              <w:spacing w:before="100" w:after="100"/>
              <w:jc w:val="center"/>
              <w:rPr>
                <w:sz w:val="22"/>
              </w:rPr>
            </w:pPr>
          </w:p>
        </w:tc>
        <w:tc>
          <w:tcPr>
            <w:tcW w:w="1170" w:type="dxa"/>
          </w:tcPr>
          <w:p w14:paraId="4A21C904" w14:textId="77777777" w:rsidR="00100729" w:rsidRDefault="00100729" w:rsidP="00513AB5">
            <w:pPr>
              <w:spacing w:before="100" w:after="100"/>
              <w:jc w:val="center"/>
              <w:rPr>
                <w:sz w:val="22"/>
              </w:rPr>
            </w:pPr>
          </w:p>
        </w:tc>
        <w:tc>
          <w:tcPr>
            <w:tcW w:w="1268" w:type="dxa"/>
          </w:tcPr>
          <w:p w14:paraId="0D297633" w14:textId="77777777" w:rsidR="00100729" w:rsidRDefault="00100729" w:rsidP="00513AB5">
            <w:pPr>
              <w:spacing w:before="100" w:after="100"/>
              <w:jc w:val="center"/>
              <w:rPr>
                <w:sz w:val="22"/>
              </w:rPr>
            </w:pPr>
          </w:p>
        </w:tc>
      </w:tr>
      <w:tr w:rsidR="00B50A96" w14:paraId="1FFF144B" w14:textId="77777777" w:rsidTr="00100729">
        <w:trPr>
          <w:cantSplit/>
        </w:trPr>
        <w:tc>
          <w:tcPr>
            <w:tcW w:w="720" w:type="dxa"/>
          </w:tcPr>
          <w:p w14:paraId="606B5B29" w14:textId="599C1F18" w:rsidR="00513AB5" w:rsidRPr="004C6BF5" w:rsidRDefault="00100729" w:rsidP="00513AB5">
            <w:pPr>
              <w:spacing w:before="100" w:after="100"/>
              <w:jc w:val="center"/>
              <w:rPr>
                <w:b/>
                <w:szCs w:val="22"/>
              </w:rPr>
            </w:pPr>
            <w:r>
              <w:rPr>
                <w:b/>
                <w:szCs w:val="22"/>
              </w:rPr>
              <w:t>14</w:t>
            </w:r>
            <w:r w:rsidR="00513AB5" w:rsidRPr="004C6BF5">
              <w:rPr>
                <w:b/>
                <w:szCs w:val="22"/>
              </w:rPr>
              <w:t>.</w:t>
            </w:r>
          </w:p>
        </w:tc>
        <w:tc>
          <w:tcPr>
            <w:tcW w:w="4672" w:type="dxa"/>
          </w:tcPr>
          <w:p w14:paraId="11951707" w14:textId="77777777" w:rsidR="00513AB5" w:rsidRPr="004C6BF5" w:rsidRDefault="00513AB5" w:rsidP="00513AB5">
            <w:pPr>
              <w:spacing w:before="100" w:after="100"/>
              <w:jc w:val="left"/>
              <w:rPr>
                <w:b/>
                <w:szCs w:val="22"/>
              </w:rPr>
            </w:pPr>
            <w:r w:rsidRPr="004C6BF5">
              <w:rPr>
                <w:b/>
                <w:szCs w:val="22"/>
              </w:rPr>
              <w:t>Rollout Deployment</w:t>
            </w:r>
          </w:p>
        </w:tc>
        <w:tc>
          <w:tcPr>
            <w:tcW w:w="1350" w:type="dxa"/>
          </w:tcPr>
          <w:p w14:paraId="1FA126EF" w14:textId="3DFA07D3" w:rsidR="00513AB5" w:rsidRDefault="00100729" w:rsidP="00513AB5">
            <w:pPr>
              <w:spacing w:before="100" w:after="100"/>
              <w:jc w:val="center"/>
              <w:rPr>
                <w:sz w:val="22"/>
              </w:rPr>
            </w:pPr>
            <w:r>
              <w:rPr>
                <w:sz w:val="22"/>
              </w:rPr>
              <w:t>14</w:t>
            </w:r>
          </w:p>
        </w:tc>
        <w:tc>
          <w:tcPr>
            <w:tcW w:w="1260" w:type="dxa"/>
          </w:tcPr>
          <w:p w14:paraId="045F6BEE" w14:textId="77777777" w:rsidR="00513AB5" w:rsidRDefault="00513AB5" w:rsidP="00513AB5">
            <w:pPr>
              <w:spacing w:before="100" w:after="100"/>
              <w:jc w:val="center"/>
              <w:rPr>
                <w:sz w:val="22"/>
              </w:rPr>
            </w:pPr>
          </w:p>
        </w:tc>
        <w:tc>
          <w:tcPr>
            <w:tcW w:w="1350" w:type="dxa"/>
          </w:tcPr>
          <w:p w14:paraId="5BBC396A" w14:textId="77777777" w:rsidR="00513AB5" w:rsidRDefault="00513AB5" w:rsidP="00513AB5">
            <w:pPr>
              <w:spacing w:before="100" w:after="100"/>
              <w:jc w:val="center"/>
              <w:rPr>
                <w:sz w:val="22"/>
              </w:rPr>
            </w:pPr>
          </w:p>
        </w:tc>
        <w:tc>
          <w:tcPr>
            <w:tcW w:w="1080" w:type="dxa"/>
          </w:tcPr>
          <w:p w14:paraId="5EF37AF0" w14:textId="77777777" w:rsidR="00513AB5" w:rsidRDefault="00513AB5" w:rsidP="00513AB5">
            <w:pPr>
              <w:spacing w:before="100" w:after="100"/>
              <w:jc w:val="center"/>
              <w:rPr>
                <w:sz w:val="22"/>
              </w:rPr>
            </w:pPr>
          </w:p>
        </w:tc>
        <w:tc>
          <w:tcPr>
            <w:tcW w:w="1170" w:type="dxa"/>
          </w:tcPr>
          <w:p w14:paraId="3DC02473" w14:textId="77777777" w:rsidR="00513AB5" w:rsidRDefault="00513AB5" w:rsidP="00513AB5">
            <w:pPr>
              <w:spacing w:before="100" w:after="100"/>
              <w:jc w:val="center"/>
              <w:rPr>
                <w:sz w:val="22"/>
              </w:rPr>
            </w:pPr>
          </w:p>
        </w:tc>
        <w:tc>
          <w:tcPr>
            <w:tcW w:w="1268" w:type="dxa"/>
          </w:tcPr>
          <w:p w14:paraId="0F4332C3" w14:textId="77777777" w:rsidR="00513AB5" w:rsidRDefault="00513AB5" w:rsidP="00513AB5">
            <w:pPr>
              <w:spacing w:before="100" w:after="100"/>
              <w:jc w:val="center"/>
              <w:rPr>
                <w:sz w:val="22"/>
              </w:rPr>
            </w:pPr>
          </w:p>
        </w:tc>
      </w:tr>
      <w:tr w:rsidR="00B50A96" w14:paraId="35F8C164" w14:textId="77777777" w:rsidTr="00100729">
        <w:trPr>
          <w:cantSplit/>
        </w:trPr>
        <w:tc>
          <w:tcPr>
            <w:tcW w:w="720" w:type="dxa"/>
          </w:tcPr>
          <w:p w14:paraId="17BA5698" w14:textId="61DDD7B6" w:rsidR="00513AB5" w:rsidRPr="004C6BF5" w:rsidRDefault="00100729" w:rsidP="00513AB5">
            <w:pPr>
              <w:spacing w:before="100" w:after="100"/>
              <w:jc w:val="center"/>
              <w:rPr>
                <w:b/>
                <w:szCs w:val="22"/>
              </w:rPr>
            </w:pPr>
            <w:r>
              <w:rPr>
                <w:b/>
                <w:szCs w:val="22"/>
              </w:rPr>
              <w:t>15</w:t>
            </w:r>
            <w:r w:rsidR="00513AB5" w:rsidRPr="004C6BF5">
              <w:rPr>
                <w:b/>
                <w:szCs w:val="22"/>
              </w:rPr>
              <w:t>.</w:t>
            </w:r>
          </w:p>
        </w:tc>
        <w:tc>
          <w:tcPr>
            <w:tcW w:w="4672" w:type="dxa"/>
          </w:tcPr>
          <w:p w14:paraId="6298B46C" w14:textId="77777777" w:rsidR="00513AB5" w:rsidRPr="004C6BF5" w:rsidRDefault="00513AB5" w:rsidP="00513AB5">
            <w:pPr>
              <w:spacing w:before="100" w:after="100"/>
              <w:jc w:val="left"/>
              <w:rPr>
                <w:b/>
                <w:szCs w:val="22"/>
              </w:rPr>
            </w:pPr>
            <w:r w:rsidRPr="004C6BF5">
              <w:rPr>
                <w:b/>
                <w:szCs w:val="22"/>
              </w:rPr>
              <w:t>Rollout Stage</w:t>
            </w:r>
          </w:p>
        </w:tc>
        <w:tc>
          <w:tcPr>
            <w:tcW w:w="1350" w:type="dxa"/>
          </w:tcPr>
          <w:p w14:paraId="174E7DB6" w14:textId="40163025" w:rsidR="00513AB5" w:rsidRDefault="00100729" w:rsidP="00513AB5">
            <w:pPr>
              <w:spacing w:before="100" w:after="100"/>
              <w:jc w:val="center"/>
              <w:rPr>
                <w:sz w:val="22"/>
              </w:rPr>
            </w:pPr>
            <w:r>
              <w:rPr>
                <w:sz w:val="22"/>
              </w:rPr>
              <w:t>15</w:t>
            </w:r>
          </w:p>
        </w:tc>
        <w:tc>
          <w:tcPr>
            <w:tcW w:w="1260" w:type="dxa"/>
          </w:tcPr>
          <w:p w14:paraId="393966DD" w14:textId="77777777" w:rsidR="00513AB5" w:rsidRDefault="00513AB5" w:rsidP="00513AB5">
            <w:pPr>
              <w:spacing w:before="100" w:after="100"/>
              <w:jc w:val="center"/>
              <w:rPr>
                <w:sz w:val="22"/>
              </w:rPr>
            </w:pPr>
          </w:p>
        </w:tc>
        <w:tc>
          <w:tcPr>
            <w:tcW w:w="1350" w:type="dxa"/>
          </w:tcPr>
          <w:p w14:paraId="6A2C0B84" w14:textId="77777777" w:rsidR="00513AB5" w:rsidRDefault="00513AB5" w:rsidP="00513AB5">
            <w:pPr>
              <w:spacing w:before="100" w:after="100"/>
              <w:jc w:val="center"/>
              <w:rPr>
                <w:sz w:val="22"/>
              </w:rPr>
            </w:pPr>
          </w:p>
        </w:tc>
        <w:tc>
          <w:tcPr>
            <w:tcW w:w="1080" w:type="dxa"/>
          </w:tcPr>
          <w:p w14:paraId="36C2C1FC" w14:textId="77777777" w:rsidR="00513AB5" w:rsidRDefault="00513AB5" w:rsidP="00513AB5">
            <w:pPr>
              <w:spacing w:before="100" w:after="100"/>
              <w:jc w:val="center"/>
              <w:rPr>
                <w:sz w:val="22"/>
              </w:rPr>
            </w:pPr>
          </w:p>
        </w:tc>
        <w:tc>
          <w:tcPr>
            <w:tcW w:w="1170" w:type="dxa"/>
          </w:tcPr>
          <w:p w14:paraId="6898C420" w14:textId="77777777" w:rsidR="00513AB5" w:rsidRDefault="00513AB5" w:rsidP="00513AB5">
            <w:pPr>
              <w:spacing w:before="100" w:after="100"/>
              <w:jc w:val="center"/>
              <w:rPr>
                <w:sz w:val="22"/>
              </w:rPr>
            </w:pPr>
          </w:p>
        </w:tc>
        <w:tc>
          <w:tcPr>
            <w:tcW w:w="1268" w:type="dxa"/>
          </w:tcPr>
          <w:p w14:paraId="47A8E8D3" w14:textId="77777777" w:rsidR="00513AB5" w:rsidRDefault="00513AB5" w:rsidP="00513AB5">
            <w:pPr>
              <w:spacing w:before="100" w:after="100"/>
              <w:jc w:val="center"/>
              <w:rPr>
                <w:sz w:val="22"/>
              </w:rPr>
            </w:pPr>
          </w:p>
        </w:tc>
      </w:tr>
      <w:tr w:rsidR="00513AB5" w14:paraId="3BF61646" w14:textId="77777777" w:rsidTr="00100729">
        <w:trPr>
          <w:cantSplit/>
        </w:trPr>
        <w:tc>
          <w:tcPr>
            <w:tcW w:w="8002" w:type="dxa"/>
            <w:gridSpan w:val="4"/>
          </w:tcPr>
          <w:p w14:paraId="231FF1E5" w14:textId="77777777" w:rsidR="00513AB5" w:rsidRDefault="00513AB5" w:rsidP="00513AB5">
            <w:pPr>
              <w:spacing w:before="100" w:after="100"/>
              <w:jc w:val="center"/>
              <w:rPr>
                <w:sz w:val="22"/>
              </w:rPr>
            </w:pPr>
            <w:r>
              <w:rPr>
                <w:sz w:val="22"/>
              </w:rPr>
              <w:t>SUBTOTALS</w:t>
            </w:r>
          </w:p>
        </w:tc>
        <w:tc>
          <w:tcPr>
            <w:tcW w:w="1350" w:type="dxa"/>
          </w:tcPr>
          <w:p w14:paraId="1B8FAC7E" w14:textId="77777777" w:rsidR="00513AB5" w:rsidRDefault="00513AB5" w:rsidP="00513AB5">
            <w:pPr>
              <w:spacing w:before="100" w:after="100"/>
              <w:jc w:val="center"/>
              <w:rPr>
                <w:sz w:val="22"/>
              </w:rPr>
            </w:pPr>
          </w:p>
        </w:tc>
        <w:tc>
          <w:tcPr>
            <w:tcW w:w="1080" w:type="dxa"/>
          </w:tcPr>
          <w:p w14:paraId="71D9307E" w14:textId="77777777" w:rsidR="00513AB5" w:rsidRDefault="00513AB5" w:rsidP="00513AB5">
            <w:pPr>
              <w:spacing w:before="100" w:after="100"/>
              <w:jc w:val="center"/>
              <w:rPr>
                <w:sz w:val="22"/>
              </w:rPr>
            </w:pPr>
          </w:p>
        </w:tc>
        <w:tc>
          <w:tcPr>
            <w:tcW w:w="1170" w:type="dxa"/>
          </w:tcPr>
          <w:p w14:paraId="34263FFE" w14:textId="77777777" w:rsidR="00513AB5" w:rsidRDefault="00513AB5" w:rsidP="00513AB5">
            <w:pPr>
              <w:spacing w:before="100" w:after="100"/>
              <w:jc w:val="center"/>
              <w:rPr>
                <w:sz w:val="22"/>
              </w:rPr>
            </w:pPr>
          </w:p>
        </w:tc>
        <w:tc>
          <w:tcPr>
            <w:tcW w:w="1268" w:type="dxa"/>
          </w:tcPr>
          <w:p w14:paraId="3A71D49B" w14:textId="77777777" w:rsidR="00513AB5" w:rsidRDefault="00513AB5" w:rsidP="00513AB5">
            <w:pPr>
              <w:spacing w:before="100" w:after="100"/>
              <w:jc w:val="center"/>
              <w:rPr>
                <w:sz w:val="22"/>
              </w:rPr>
            </w:pPr>
          </w:p>
        </w:tc>
      </w:tr>
      <w:tr w:rsidR="00513AB5" w14:paraId="49318018" w14:textId="77777777" w:rsidTr="00100729">
        <w:trPr>
          <w:cantSplit/>
        </w:trPr>
        <w:tc>
          <w:tcPr>
            <w:tcW w:w="8002" w:type="dxa"/>
            <w:gridSpan w:val="4"/>
          </w:tcPr>
          <w:p w14:paraId="6AC15EB5" w14:textId="77777777" w:rsidR="00513AB5" w:rsidRDefault="00513AB5" w:rsidP="00513AB5">
            <w:pPr>
              <w:widowControl w:val="0"/>
              <w:spacing w:before="100" w:after="100"/>
              <w:jc w:val="center"/>
              <w:rPr>
                <w:sz w:val="22"/>
              </w:rPr>
            </w:pPr>
            <w:r>
              <w:rPr>
                <w:sz w:val="22"/>
              </w:rPr>
              <w:t>TOTAL (To Grand Summary Table)</w:t>
            </w:r>
          </w:p>
        </w:tc>
        <w:tc>
          <w:tcPr>
            <w:tcW w:w="1350" w:type="dxa"/>
          </w:tcPr>
          <w:p w14:paraId="175B3972" w14:textId="77777777" w:rsidR="00513AB5" w:rsidRDefault="00513AB5" w:rsidP="00513AB5">
            <w:pPr>
              <w:widowControl w:val="0"/>
              <w:spacing w:before="100" w:after="100"/>
              <w:jc w:val="center"/>
              <w:rPr>
                <w:sz w:val="22"/>
              </w:rPr>
            </w:pPr>
          </w:p>
        </w:tc>
        <w:tc>
          <w:tcPr>
            <w:tcW w:w="1080" w:type="dxa"/>
          </w:tcPr>
          <w:p w14:paraId="21B78F46" w14:textId="77777777" w:rsidR="00513AB5" w:rsidRDefault="00513AB5" w:rsidP="00513AB5">
            <w:pPr>
              <w:widowControl w:val="0"/>
              <w:spacing w:before="100" w:after="100"/>
              <w:jc w:val="center"/>
              <w:rPr>
                <w:sz w:val="22"/>
              </w:rPr>
            </w:pPr>
          </w:p>
        </w:tc>
        <w:tc>
          <w:tcPr>
            <w:tcW w:w="1170" w:type="dxa"/>
          </w:tcPr>
          <w:p w14:paraId="1A004780" w14:textId="77777777" w:rsidR="00513AB5" w:rsidRDefault="00513AB5" w:rsidP="00513AB5">
            <w:pPr>
              <w:widowControl w:val="0"/>
              <w:spacing w:before="100" w:after="100"/>
              <w:jc w:val="center"/>
              <w:rPr>
                <w:sz w:val="22"/>
              </w:rPr>
            </w:pPr>
          </w:p>
        </w:tc>
        <w:tc>
          <w:tcPr>
            <w:tcW w:w="1268" w:type="dxa"/>
          </w:tcPr>
          <w:p w14:paraId="17C3AF87" w14:textId="77777777" w:rsidR="00513AB5" w:rsidRDefault="00513AB5" w:rsidP="00513AB5">
            <w:pPr>
              <w:widowControl w:val="0"/>
              <w:spacing w:before="100" w:after="100"/>
              <w:rPr>
                <w:sz w:val="22"/>
              </w:rPr>
            </w:pPr>
          </w:p>
        </w:tc>
      </w:tr>
    </w:tbl>
    <w:p w14:paraId="2C253A7B" w14:textId="77777777" w:rsidR="00513AB5" w:rsidRDefault="00513AB5">
      <w:pPr>
        <w:pStyle w:val="explanatorynotes"/>
        <w:ind w:right="1440"/>
        <w:jc w:val="center"/>
        <w:rPr>
          <w:rFonts w:ascii="Times New Roman" w:hAnsi="Times New Roman"/>
        </w:rPr>
      </w:pPr>
    </w:p>
    <w:p w14:paraId="5911F25F" w14:textId="77777777" w:rsidR="00157AAA" w:rsidRDefault="00157AAA">
      <w:pPr>
        <w:pStyle w:val="EndnoteText"/>
        <w:widowControl w:val="0"/>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0" w:after="0"/>
        <w:ind w:right="1440"/>
        <w:rPr>
          <w:sz w:val="22"/>
        </w:rPr>
      </w:pPr>
    </w:p>
    <w:p w14:paraId="208C12DC" w14:textId="77777777" w:rsidR="00157AAA" w:rsidRDefault="006C1BE5">
      <w:pPr>
        <w:ind w:left="1260" w:right="1440" w:hanging="1260"/>
        <w:rPr>
          <w:sz w:val="22"/>
        </w:rPr>
      </w:pPr>
      <w:r>
        <w:rPr>
          <w:b/>
          <w:sz w:val="22"/>
        </w:rPr>
        <w:t>Note:</w:t>
      </w:r>
      <w:r>
        <w:rPr>
          <w:sz w:val="22"/>
        </w:rPr>
        <w:tab/>
        <w:t xml:space="preserve">- - indicates not applicable.  “Indicates repetition of table entry above.  Refer to the relevant Supply and Installation Cost Sub-Table for the specific components that constitute each Subsystem or line item in this summary </w:t>
      </w:r>
      <w:proofErr w:type="gramStart"/>
      <w:r>
        <w:rPr>
          <w:sz w:val="22"/>
        </w:rPr>
        <w:t>table</w:t>
      </w:r>
      <w:proofErr w:type="gramEnd"/>
    </w:p>
    <w:p w14:paraId="38BC4E6D" w14:textId="77777777" w:rsidR="00157AAA" w:rsidRDefault="00157AAA">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0" w:after="0"/>
        <w:ind w:right="1440"/>
        <w:rPr>
          <w:sz w:val="22"/>
        </w:rPr>
      </w:pPr>
    </w:p>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4320"/>
        <w:gridCol w:w="360"/>
        <w:gridCol w:w="5148"/>
      </w:tblGrid>
      <w:tr w:rsidR="00157AAA" w14:paraId="4110EE37" w14:textId="77777777">
        <w:trPr>
          <w:cantSplit/>
          <w:trHeight w:hRule="exact" w:val="240"/>
          <w:jc w:val="center"/>
        </w:trPr>
        <w:tc>
          <w:tcPr>
            <w:tcW w:w="4320" w:type="dxa"/>
          </w:tcPr>
          <w:p w14:paraId="2B197089" w14:textId="77777777" w:rsidR="00157AAA" w:rsidRDefault="00157AAA">
            <w:pPr>
              <w:spacing w:before="100" w:after="100"/>
              <w:rPr>
                <w:sz w:val="22"/>
              </w:rPr>
            </w:pPr>
          </w:p>
        </w:tc>
        <w:tc>
          <w:tcPr>
            <w:tcW w:w="360" w:type="dxa"/>
          </w:tcPr>
          <w:p w14:paraId="09FEEF72" w14:textId="77777777" w:rsidR="00157AAA" w:rsidRDefault="00157AAA">
            <w:pPr>
              <w:spacing w:before="100" w:after="100"/>
              <w:jc w:val="center"/>
              <w:rPr>
                <w:sz w:val="22"/>
              </w:rPr>
            </w:pPr>
          </w:p>
        </w:tc>
        <w:tc>
          <w:tcPr>
            <w:tcW w:w="5148" w:type="dxa"/>
          </w:tcPr>
          <w:p w14:paraId="14349A52" w14:textId="77777777" w:rsidR="00157AAA" w:rsidRDefault="00157AAA">
            <w:pPr>
              <w:spacing w:before="100" w:after="100"/>
              <w:jc w:val="center"/>
              <w:rPr>
                <w:sz w:val="22"/>
              </w:rPr>
            </w:pPr>
          </w:p>
        </w:tc>
      </w:tr>
      <w:tr w:rsidR="00157AAA" w14:paraId="1D203A0D" w14:textId="77777777">
        <w:trPr>
          <w:cantSplit/>
          <w:jc w:val="center"/>
        </w:trPr>
        <w:tc>
          <w:tcPr>
            <w:tcW w:w="4320" w:type="dxa"/>
          </w:tcPr>
          <w:p w14:paraId="418F9730" w14:textId="77777777" w:rsidR="00157AAA" w:rsidRDefault="006C1BE5">
            <w:pPr>
              <w:spacing w:before="100" w:after="100"/>
              <w:jc w:val="right"/>
              <w:rPr>
                <w:sz w:val="22"/>
              </w:rPr>
            </w:pPr>
            <w:r>
              <w:rPr>
                <w:sz w:val="22"/>
              </w:rPr>
              <w:t>Name of Bidder:</w:t>
            </w:r>
          </w:p>
        </w:tc>
        <w:tc>
          <w:tcPr>
            <w:tcW w:w="360" w:type="dxa"/>
          </w:tcPr>
          <w:p w14:paraId="3CA7D2CC" w14:textId="77777777" w:rsidR="00157AAA" w:rsidRDefault="00157AAA">
            <w:pPr>
              <w:spacing w:before="100" w:after="100"/>
              <w:jc w:val="center"/>
              <w:rPr>
                <w:sz w:val="22"/>
              </w:rPr>
            </w:pPr>
          </w:p>
        </w:tc>
        <w:tc>
          <w:tcPr>
            <w:tcW w:w="5148" w:type="dxa"/>
          </w:tcPr>
          <w:p w14:paraId="0D4EA518" w14:textId="77777777" w:rsidR="00157AAA" w:rsidRDefault="00157AAA">
            <w:pPr>
              <w:spacing w:before="100" w:after="100"/>
              <w:jc w:val="center"/>
              <w:rPr>
                <w:sz w:val="22"/>
              </w:rPr>
            </w:pPr>
          </w:p>
        </w:tc>
      </w:tr>
      <w:tr w:rsidR="00157AAA" w14:paraId="3924ECE4" w14:textId="77777777">
        <w:trPr>
          <w:cantSplit/>
          <w:trHeight w:hRule="exact" w:val="240"/>
          <w:jc w:val="center"/>
        </w:trPr>
        <w:tc>
          <w:tcPr>
            <w:tcW w:w="4320" w:type="dxa"/>
          </w:tcPr>
          <w:p w14:paraId="785FBE44" w14:textId="77777777" w:rsidR="00157AAA" w:rsidRDefault="00157AAA">
            <w:pPr>
              <w:spacing w:before="100" w:after="100"/>
              <w:jc w:val="right"/>
              <w:rPr>
                <w:sz w:val="22"/>
              </w:rPr>
            </w:pPr>
          </w:p>
        </w:tc>
        <w:tc>
          <w:tcPr>
            <w:tcW w:w="360" w:type="dxa"/>
          </w:tcPr>
          <w:p w14:paraId="0C1323BA" w14:textId="77777777" w:rsidR="00157AAA" w:rsidRDefault="00157AAA">
            <w:pPr>
              <w:spacing w:before="100" w:after="100"/>
              <w:jc w:val="center"/>
              <w:rPr>
                <w:sz w:val="22"/>
              </w:rPr>
            </w:pPr>
          </w:p>
        </w:tc>
        <w:tc>
          <w:tcPr>
            <w:tcW w:w="5148" w:type="dxa"/>
          </w:tcPr>
          <w:p w14:paraId="554E5522" w14:textId="77777777" w:rsidR="00157AAA" w:rsidRDefault="00157AAA">
            <w:pPr>
              <w:spacing w:before="100" w:after="100"/>
              <w:jc w:val="center"/>
              <w:rPr>
                <w:sz w:val="22"/>
              </w:rPr>
            </w:pPr>
          </w:p>
        </w:tc>
      </w:tr>
      <w:tr w:rsidR="00157AAA" w14:paraId="107E0045" w14:textId="77777777">
        <w:trPr>
          <w:cantSplit/>
          <w:jc w:val="center"/>
        </w:trPr>
        <w:tc>
          <w:tcPr>
            <w:tcW w:w="4320" w:type="dxa"/>
          </w:tcPr>
          <w:p w14:paraId="58A0C41D" w14:textId="77777777" w:rsidR="00157AAA" w:rsidRDefault="006C1BE5">
            <w:pPr>
              <w:spacing w:before="100" w:after="100"/>
              <w:jc w:val="right"/>
              <w:rPr>
                <w:sz w:val="22"/>
              </w:rPr>
            </w:pPr>
            <w:r>
              <w:rPr>
                <w:sz w:val="22"/>
              </w:rPr>
              <w:t>Authorized Signature of Bidder:</w:t>
            </w:r>
          </w:p>
        </w:tc>
        <w:tc>
          <w:tcPr>
            <w:tcW w:w="360" w:type="dxa"/>
          </w:tcPr>
          <w:p w14:paraId="2A906BD8" w14:textId="77777777" w:rsidR="00157AAA" w:rsidRDefault="00157AAA">
            <w:pPr>
              <w:spacing w:before="100" w:after="100"/>
              <w:jc w:val="center"/>
              <w:rPr>
                <w:sz w:val="22"/>
              </w:rPr>
            </w:pPr>
          </w:p>
        </w:tc>
        <w:tc>
          <w:tcPr>
            <w:tcW w:w="5148" w:type="dxa"/>
          </w:tcPr>
          <w:p w14:paraId="0186191C" w14:textId="77777777" w:rsidR="00157AAA" w:rsidRDefault="00157AAA">
            <w:pPr>
              <w:spacing w:before="100" w:after="100"/>
              <w:jc w:val="center"/>
              <w:rPr>
                <w:sz w:val="22"/>
              </w:rPr>
            </w:pPr>
          </w:p>
        </w:tc>
      </w:tr>
      <w:tr w:rsidR="00157AAA" w14:paraId="0F1CE12E" w14:textId="77777777">
        <w:trPr>
          <w:cantSplit/>
          <w:trHeight w:hRule="exact" w:val="240"/>
          <w:jc w:val="center"/>
        </w:trPr>
        <w:tc>
          <w:tcPr>
            <w:tcW w:w="4320" w:type="dxa"/>
          </w:tcPr>
          <w:p w14:paraId="4CDD1A47" w14:textId="77777777" w:rsidR="00157AAA" w:rsidRDefault="00157AAA">
            <w:pPr>
              <w:spacing w:before="100" w:after="100"/>
              <w:rPr>
                <w:sz w:val="22"/>
              </w:rPr>
            </w:pPr>
          </w:p>
        </w:tc>
        <w:tc>
          <w:tcPr>
            <w:tcW w:w="360" w:type="dxa"/>
          </w:tcPr>
          <w:p w14:paraId="5945F883" w14:textId="77777777" w:rsidR="00157AAA" w:rsidRDefault="00157AAA">
            <w:pPr>
              <w:spacing w:before="100" w:after="100"/>
              <w:jc w:val="center"/>
              <w:rPr>
                <w:sz w:val="22"/>
              </w:rPr>
            </w:pPr>
          </w:p>
        </w:tc>
        <w:tc>
          <w:tcPr>
            <w:tcW w:w="5148" w:type="dxa"/>
          </w:tcPr>
          <w:p w14:paraId="6C5B8C29" w14:textId="77777777" w:rsidR="00157AAA" w:rsidRDefault="00157AAA">
            <w:pPr>
              <w:spacing w:before="100" w:after="100"/>
              <w:jc w:val="center"/>
              <w:rPr>
                <w:sz w:val="22"/>
              </w:rPr>
            </w:pPr>
          </w:p>
        </w:tc>
      </w:tr>
    </w:tbl>
    <w:p w14:paraId="61F764EB" w14:textId="77777777" w:rsidR="00157AAA" w:rsidRDefault="006C1BE5">
      <w:pPr>
        <w:pStyle w:val="Head32"/>
        <w:ind w:right="1440"/>
      </w:pPr>
      <w:r>
        <w:rPr>
          <w:sz w:val="22"/>
        </w:rPr>
        <w:br w:type="page" w:clear="all"/>
      </w:r>
      <w:bookmarkStart w:id="575" w:name="_Toc521497242"/>
      <w:bookmarkStart w:id="576" w:name="_Toc218673959"/>
      <w:bookmarkStart w:id="577" w:name="_Toc277345594"/>
      <w:r>
        <w:lastRenderedPageBreak/>
        <w:t>3.3</w:t>
      </w:r>
      <w:r>
        <w:tab/>
      </w:r>
      <w:bookmarkStart w:id="578" w:name="_Hlt529125901"/>
      <w:bookmarkEnd w:id="578"/>
      <w:r>
        <w:tab/>
        <w:t>Recurrent Cost Summary Table</w:t>
      </w:r>
      <w:bookmarkEnd w:id="575"/>
      <w:bookmarkEnd w:id="576"/>
      <w:r>
        <w:t xml:space="preserve"> </w:t>
      </w:r>
      <w:bookmarkEnd w:id="577"/>
    </w:p>
    <w:p w14:paraId="6AE788F3" w14:textId="77777777" w:rsidR="00157AAA" w:rsidRPr="008E7F57" w:rsidRDefault="006C1BE5">
      <w:pPr>
        <w:pStyle w:val="Head32"/>
        <w:ind w:right="1440"/>
        <w:rPr>
          <w:szCs w:val="28"/>
        </w:rPr>
      </w:pPr>
      <w:r w:rsidRPr="008E7F57">
        <w:rPr>
          <w:szCs w:val="28"/>
        </w:rPr>
        <w:t>NOT APPLICABLE</w:t>
      </w:r>
    </w:p>
    <w:p w14:paraId="4F7DBC9A" w14:textId="77777777" w:rsidR="00157AAA" w:rsidRDefault="00157AAA">
      <w:pPr>
        <w:ind w:right="1440"/>
        <w:rPr>
          <w:i/>
        </w:rPr>
      </w:pPr>
    </w:p>
    <w:p w14:paraId="25B93032" w14:textId="77777777" w:rsidR="00157AAA" w:rsidRDefault="006C1BE5">
      <w:pPr>
        <w:ind w:right="1440"/>
        <w:jc w:val="center"/>
      </w:pPr>
      <w:r>
        <w:t>Costs MUST reflect prices and rates quoted in accordance with ITB 17 and ITB 18.</w:t>
      </w:r>
    </w:p>
    <w:tbl>
      <w:tblPr>
        <w:tblW w:w="0" w:type="auto"/>
        <w:tblInd w:w="154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738"/>
        <w:gridCol w:w="3042"/>
        <w:gridCol w:w="1350"/>
        <w:gridCol w:w="1260"/>
        <w:gridCol w:w="1440"/>
        <w:gridCol w:w="1440"/>
        <w:gridCol w:w="1440"/>
      </w:tblGrid>
      <w:tr w:rsidR="00157AAA" w14:paraId="2FBAAD96" w14:textId="77777777">
        <w:trPr>
          <w:cantSplit/>
          <w:tblHeader/>
        </w:trPr>
        <w:tc>
          <w:tcPr>
            <w:tcW w:w="738" w:type="dxa"/>
          </w:tcPr>
          <w:p w14:paraId="4C7AB63F" w14:textId="77777777" w:rsidR="00157AAA" w:rsidRDefault="006C1BE5">
            <w:pPr>
              <w:spacing w:before="100" w:after="100"/>
              <w:jc w:val="center"/>
              <w:rPr>
                <w:b/>
                <w:sz w:val="22"/>
                <w:szCs w:val="22"/>
              </w:rPr>
            </w:pPr>
            <w:r>
              <w:rPr>
                <w:b/>
                <w:sz w:val="22"/>
                <w:szCs w:val="22"/>
              </w:rPr>
              <w:br/>
            </w:r>
            <w:proofErr w:type="gramStart"/>
            <w:r>
              <w:rPr>
                <w:b/>
                <w:sz w:val="22"/>
                <w:szCs w:val="22"/>
              </w:rPr>
              <w:t>Line Item</w:t>
            </w:r>
            <w:proofErr w:type="gramEnd"/>
            <w:r>
              <w:rPr>
                <w:b/>
                <w:sz w:val="22"/>
                <w:szCs w:val="22"/>
              </w:rPr>
              <w:t xml:space="preserve"> No.</w:t>
            </w:r>
          </w:p>
        </w:tc>
        <w:tc>
          <w:tcPr>
            <w:tcW w:w="3042" w:type="dxa"/>
          </w:tcPr>
          <w:p w14:paraId="1AAE5EB0" w14:textId="77777777" w:rsidR="00157AAA" w:rsidRDefault="006C1BE5">
            <w:pPr>
              <w:spacing w:before="100" w:after="100"/>
              <w:jc w:val="center"/>
              <w:rPr>
                <w:b/>
                <w:sz w:val="22"/>
                <w:szCs w:val="22"/>
              </w:rPr>
            </w:pPr>
            <w:r>
              <w:rPr>
                <w:b/>
                <w:sz w:val="22"/>
                <w:szCs w:val="22"/>
              </w:rPr>
              <w:br/>
            </w:r>
            <w:r>
              <w:rPr>
                <w:b/>
                <w:sz w:val="22"/>
                <w:szCs w:val="22"/>
              </w:rPr>
              <w:br/>
            </w:r>
            <w:r>
              <w:rPr>
                <w:b/>
                <w:sz w:val="22"/>
                <w:szCs w:val="22"/>
              </w:rPr>
              <w:br/>
              <w:t>Subsystem / Item</w:t>
            </w:r>
          </w:p>
        </w:tc>
        <w:tc>
          <w:tcPr>
            <w:tcW w:w="1350" w:type="dxa"/>
          </w:tcPr>
          <w:p w14:paraId="2E734A93" w14:textId="77777777" w:rsidR="00157AAA" w:rsidRDefault="006C1BE5">
            <w:pPr>
              <w:spacing w:before="100" w:after="100"/>
              <w:jc w:val="center"/>
              <w:rPr>
                <w:b/>
                <w:sz w:val="22"/>
                <w:szCs w:val="22"/>
              </w:rPr>
            </w:pPr>
            <w:r>
              <w:rPr>
                <w:b/>
                <w:sz w:val="22"/>
                <w:szCs w:val="22"/>
              </w:rPr>
              <w:br/>
              <w:t>Recurrent</w:t>
            </w:r>
            <w:r>
              <w:rPr>
                <w:b/>
                <w:sz w:val="22"/>
                <w:szCs w:val="22"/>
              </w:rPr>
              <w:br/>
              <w:t>Cost Sub-Table No.</w:t>
            </w:r>
          </w:p>
        </w:tc>
        <w:tc>
          <w:tcPr>
            <w:tcW w:w="1260" w:type="dxa"/>
          </w:tcPr>
          <w:p w14:paraId="1800AB91" w14:textId="77777777" w:rsidR="00157AAA" w:rsidRDefault="006C1BE5">
            <w:pPr>
              <w:spacing w:before="100" w:after="100"/>
              <w:jc w:val="center"/>
              <w:rPr>
                <w:b/>
                <w:i/>
                <w:sz w:val="22"/>
                <w:szCs w:val="22"/>
              </w:rPr>
            </w:pPr>
            <w:r>
              <w:rPr>
                <w:i/>
                <w:sz w:val="22"/>
                <w:szCs w:val="22"/>
              </w:rPr>
              <w:t>[</w:t>
            </w:r>
            <w:r>
              <w:rPr>
                <w:b/>
                <w:i/>
                <w:sz w:val="22"/>
                <w:szCs w:val="22"/>
              </w:rPr>
              <w:t> </w:t>
            </w:r>
            <w:r>
              <w:rPr>
                <w:i/>
                <w:sz w:val="22"/>
                <w:szCs w:val="22"/>
              </w:rPr>
              <w:t>insert</w:t>
            </w:r>
            <w:r>
              <w:rPr>
                <w:b/>
                <w:i/>
                <w:sz w:val="22"/>
                <w:szCs w:val="22"/>
              </w:rPr>
              <w:t>:  Local</w:t>
            </w:r>
            <w:r>
              <w:rPr>
                <w:b/>
                <w:i/>
                <w:sz w:val="22"/>
                <w:szCs w:val="22"/>
              </w:rPr>
              <w:br/>
            </w:r>
            <w:proofErr w:type="gramStart"/>
            <w:r>
              <w:rPr>
                <w:b/>
                <w:i/>
                <w:sz w:val="22"/>
                <w:szCs w:val="22"/>
              </w:rPr>
              <w:t>Currency </w:t>
            </w:r>
            <w:r>
              <w:rPr>
                <w:i/>
                <w:sz w:val="22"/>
                <w:szCs w:val="22"/>
              </w:rPr>
              <w:t>]</w:t>
            </w:r>
            <w:proofErr w:type="gramEnd"/>
            <w:r>
              <w:rPr>
                <w:b/>
                <w:i/>
                <w:sz w:val="22"/>
                <w:szCs w:val="22"/>
              </w:rPr>
              <w:br/>
              <w:t>Price</w:t>
            </w:r>
          </w:p>
        </w:tc>
        <w:tc>
          <w:tcPr>
            <w:tcW w:w="1440" w:type="dxa"/>
          </w:tcPr>
          <w:p w14:paraId="6CC29C0F" w14:textId="77777777" w:rsidR="00157AAA" w:rsidRDefault="006C1BE5">
            <w:pPr>
              <w:spacing w:before="100" w:after="100"/>
              <w:jc w:val="center"/>
              <w:rPr>
                <w:b/>
                <w:i/>
                <w:sz w:val="22"/>
                <w:szCs w:val="22"/>
              </w:rPr>
            </w:pPr>
            <w:r>
              <w:rPr>
                <w:i/>
                <w:sz w:val="22"/>
                <w:szCs w:val="22"/>
              </w:rPr>
              <w:t>[</w:t>
            </w:r>
            <w:r>
              <w:rPr>
                <w:b/>
                <w:i/>
                <w:sz w:val="22"/>
                <w:szCs w:val="22"/>
              </w:rPr>
              <w:t> </w:t>
            </w:r>
            <w:r>
              <w:rPr>
                <w:i/>
                <w:sz w:val="22"/>
                <w:szCs w:val="22"/>
              </w:rPr>
              <w:t>insert</w:t>
            </w:r>
            <w:r>
              <w:rPr>
                <w:b/>
                <w:i/>
                <w:sz w:val="22"/>
                <w:szCs w:val="22"/>
              </w:rPr>
              <w:t xml:space="preserve">:  Foreign Currency </w:t>
            </w:r>
            <w:proofErr w:type="gramStart"/>
            <w:r>
              <w:rPr>
                <w:b/>
                <w:i/>
                <w:sz w:val="22"/>
                <w:szCs w:val="22"/>
              </w:rPr>
              <w:t>A </w:t>
            </w:r>
            <w:r>
              <w:rPr>
                <w:i/>
                <w:sz w:val="22"/>
                <w:szCs w:val="22"/>
              </w:rPr>
              <w:t>]</w:t>
            </w:r>
            <w:proofErr w:type="gramEnd"/>
            <w:r>
              <w:rPr>
                <w:b/>
                <w:i/>
                <w:sz w:val="22"/>
                <w:szCs w:val="22"/>
              </w:rPr>
              <w:br/>
              <w:t>Price</w:t>
            </w:r>
          </w:p>
        </w:tc>
        <w:tc>
          <w:tcPr>
            <w:tcW w:w="1440" w:type="dxa"/>
          </w:tcPr>
          <w:p w14:paraId="00E9E91C" w14:textId="77777777" w:rsidR="00157AAA" w:rsidRDefault="006C1BE5">
            <w:pPr>
              <w:spacing w:before="100" w:after="100"/>
              <w:jc w:val="center"/>
              <w:rPr>
                <w:b/>
                <w:i/>
                <w:sz w:val="22"/>
                <w:szCs w:val="22"/>
              </w:rPr>
            </w:pPr>
            <w:r>
              <w:rPr>
                <w:i/>
                <w:sz w:val="22"/>
                <w:szCs w:val="22"/>
              </w:rPr>
              <w:t>[</w:t>
            </w:r>
            <w:r>
              <w:rPr>
                <w:b/>
                <w:i/>
                <w:sz w:val="22"/>
                <w:szCs w:val="22"/>
              </w:rPr>
              <w:t> </w:t>
            </w:r>
            <w:r>
              <w:rPr>
                <w:i/>
                <w:sz w:val="22"/>
                <w:szCs w:val="22"/>
              </w:rPr>
              <w:t>insert</w:t>
            </w:r>
            <w:r>
              <w:rPr>
                <w:b/>
                <w:i/>
                <w:sz w:val="22"/>
                <w:szCs w:val="22"/>
              </w:rPr>
              <w:t xml:space="preserve">:  Foreign Currency </w:t>
            </w:r>
            <w:proofErr w:type="gramStart"/>
            <w:r>
              <w:rPr>
                <w:b/>
                <w:i/>
                <w:sz w:val="22"/>
                <w:szCs w:val="22"/>
              </w:rPr>
              <w:t>B</w:t>
            </w:r>
            <w:r>
              <w:rPr>
                <w:i/>
                <w:sz w:val="22"/>
                <w:szCs w:val="22"/>
              </w:rPr>
              <w:t> ]</w:t>
            </w:r>
            <w:proofErr w:type="gramEnd"/>
            <w:r>
              <w:rPr>
                <w:b/>
                <w:i/>
                <w:sz w:val="22"/>
                <w:szCs w:val="22"/>
              </w:rPr>
              <w:br/>
              <w:t>Price</w:t>
            </w:r>
          </w:p>
        </w:tc>
        <w:tc>
          <w:tcPr>
            <w:tcW w:w="1440" w:type="dxa"/>
          </w:tcPr>
          <w:p w14:paraId="28A07BD0" w14:textId="77777777" w:rsidR="00157AAA" w:rsidRDefault="006C1BE5">
            <w:pPr>
              <w:spacing w:before="100" w:after="100"/>
              <w:jc w:val="center"/>
              <w:rPr>
                <w:b/>
                <w:i/>
                <w:sz w:val="22"/>
                <w:szCs w:val="22"/>
              </w:rPr>
            </w:pPr>
            <w:r>
              <w:rPr>
                <w:i/>
                <w:sz w:val="22"/>
                <w:szCs w:val="22"/>
              </w:rPr>
              <w:t>[</w:t>
            </w:r>
            <w:r>
              <w:rPr>
                <w:b/>
                <w:i/>
                <w:sz w:val="22"/>
                <w:szCs w:val="22"/>
              </w:rPr>
              <w:t> </w:t>
            </w:r>
            <w:r>
              <w:rPr>
                <w:i/>
                <w:sz w:val="22"/>
                <w:szCs w:val="22"/>
              </w:rPr>
              <w:t>insert</w:t>
            </w:r>
            <w:r>
              <w:rPr>
                <w:b/>
                <w:i/>
                <w:sz w:val="22"/>
                <w:szCs w:val="22"/>
              </w:rPr>
              <w:t xml:space="preserve">:  Foreign Currency </w:t>
            </w:r>
            <w:proofErr w:type="gramStart"/>
            <w:r>
              <w:rPr>
                <w:b/>
                <w:i/>
                <w:sz w:val="22"/>
                <w:szCs w:val="22"/>
              </w:rPr>
              <w:t>C</w:t>
            </w:r>
            <w:r>
              <w:rPr>
                <w:i/>
                <w:sz w:val="22"/>
                <w:szCs w:val="22"/>
              </w:rPr>
              <w:t> </w:t>
            </w:r>
            <w:r>
              <w:rPr>
                <w:b/>
                <w:i/>
                <w:sz w:val="22"/>
                <w:szCs w:val="22"/>
              </w:rPr>
              <w:t>]</w:t>
            </w:r>
            <w:proofErr w:type="gramEnd"/>
            <w:r>
              <w:rPr>
                <w:b/>
                <w:i/>
                <w:sz w:val="22"/>
                <w:szCs w:val="22"/>
              </w:rPr>
              <w:br/>
              <w:t>Price</w:t>
            </w:r>
          </w:p>
        </w:tc>
      </w:tr>
      <w:tr w:rsidR="00157AAA" w14:paraId="69C64047" w14:textId="77777777">
        <w:trPr>
          <w:cantSplit/>
        </w:trPr>
        <w:tc>
          <w:tcPr>
            <w:tcW w:w="738" w:type="dxa"/>
          </w:tcPr>
          <w:p w14:paraId="27A21C5D" w14:textId="77777777" w:rsidR="00157AAA" w:rsidRDefault="00157AAA">
            <w:pPr>
              <w:spacing w:before="100" w:after="100"/>
              <w:jc w:val="center"/>
              <w:rPr>
                <w:sz w:val="22"/>
              </w:rPr>
            </w:pPr>
          </w:p>
        </w:tc>
        <w:tc>
          <w:tcPr>
            <w:tcW w:w="3042" w:type="dxa"/>
          </w:tcPr>
          <w:p w14:paraId="1126D4D9" w14:textId="77777777" w:rsidR="00157AAA" w:rsidRDefault="00157AAA">
            <w:pPr>
              <w:spacing w:before="100" w:after="100"/>
              <w:rPr>
                <w:sz w:val="22"/>
              </w:rPr>
            </w:pPr>
          </w:p>
        </w:tc>
        <w:tc>
          <w:tcPr>
            <w:tcW w:w="1350" w:type="dxa"/>
          </w:tcPr>
          <w:p w14:paraId="19C03561" w14:textId="77777777" w:rsidR="00157AAA" w:rsidRDefault="00157AAA">
            <w:pPr>
              <w:spacing w:before="100" w:after="100"/>
              <w:jc w:val="center"/>
              <w:rPr>
                <w:sz w:val="22"/>
              </w:rPr>
            </w:pPr>
          </w:p>
        </w:tc>
        <w:tc>
          <w:tcPr>
            <w:tcW w:w="1260" w:type="dxa"/>
          </w:tcPr>
          <w:p w14:paraId="7DCC9055" w14:textId="77777777" w:rsidR="00157AAA" w:rsidRDefault="00157AAA">
            <w:pPr>
              <w:spacing w:before="100" w:after="100"/>
              <w:jc w:val="center"/>
              <w:rPr>
                <w:sz w:val="22"/>
              </w:rPr>
            </w:pPr>
          </w:p>
        </w:tc>
        <w:tc>
          <w:tcPr>
            <w:tcW w:w="1440" w:type="dxa"/>
          </w:tcPr>
          <w:p w14:paraId="2BC9F704" w14:textId="77777777" w:rsidR="00157AAA" w:rsidRDefault="00157AAA">
            <w:pPr>
              <w:spacing w:before="100" w:after="100"/>
              <w:jc w:val="center"/>
              <w:rPr>
                <w:sz w:val="22"/>
              </w:rPr>
            </w:pPr>
          </w:p>
        </w:tc>
        <w:tc>
          <w:tcPr>
            <w:tcW w:w="1440" w:type="dxa"/>
          </w:tcPr>
          <w:p w14:paraId="7E16267F" w14:textId="77777777" w:rsidR="00157AAA" w:rsidRDefault="00157AAA">
            <w:pPr>
              <w:spacing w:before="100" w:after="100"/>
              <w:jc w:val="center"/>
              <w:rPr>
                <w:sz w:val="22"/>
              </w:rPr>
            </w:pPr>
          </w:p>
        </w:tc>
        <w:tc>
          <w:tcPr>
            <w:tcW w:w="1440" w:type="dxa"/>
          </w:tcPr>
          <w:p w14:paraId="32CFD25E" w14:textId="77777777" w:rsidR="00157AAA" w:rsidRDefault="00157AAA">
            <w:pPr>
              <w:spacing w:before="100" w:after="100"/>
              <w:jc w:val="center"/>
              <w:rPr>
                <w:sz w:val="22"/>
              </w:rPr>
            </w:pPr>
          </w:p>
        </w:tc>
      </w:tr>
      <w:tr w:rsidR="00157AAA" w14:paraId="2F8EA7BC" w14:textId="77777777">
        <w:trPr>
          <w:cantSplit/>
        </w:trPr>
        <w:tc>
          <w:tcPr>
            <w:tcW w:w="738" w:type="dxa"/>
          </w:tcPr>
          <w:p w14:paraId="759CE5B7" w14:textId="77777777" w:rsidR="00157AAA" w:rsidRDefault="006C1BE5">
            <w:pPr>
              <w:spacing w:before="100" w:after="100"/>
              <w:jc w:val="center"/>
              <w:rPr>
                <w:sz w:val="22"/>
              </w:rPr>
            </w:pPr>
            <w:r>
              <w:rPr>
                <w:sz w:val="22"/>
              </w:rPr>
              <w:t>y</w:t>
            </w:r>
          </w:p>
        </w:tc>
        <w:tc>
          <w:tcPr>
            <w:tcW w:w="3042" w:type="dxa"/>
          </w:tcPr>
          <w:p w14:paraId="1F259C56" w14:textId="77777777" w:rsidR="00157AAA" w:rsidRDefault="006C1BE5">
            <w:pPr>
              <w:spacing w:before="100" w:after="100"/>
              <w:rPr>
                <w:sz w:val="22"/>
              </w:rPr>
            </w:pPr>
            <w:r>
              <w:rPr>
                <w:sz w:val="22"/>
              </w:rPr>
              <w:t>Recurrent Cost Items</w:t>
            </w:r>
          </w:p>
        </w:tc>
        <w:tc>
          <w:tcPr>
            <w:tcW w:w="1350" w:type="dxa"/>
          </w:tcPr>
          <w:p w14:paraId="00EB56A7" w14:textId="77777777" w:rsidR="00157AAA" w:rsidRDefault="00157AAA">
            <w:pPr>
              <w:spacing w:before="100" w:after="100"/>
              <w:jc w:val="center"/>
              <w:rPr>
                <w:sz w:val="22"/>
              </w:rPr>
            </w:pPr>
          </w:p>
        </w:tc>
        <w:tc>
          <w:tcPr>
            <w:tcW w:w="1260" w:type="dxa"/>
          </w:tcPr>
          <w:p w14:paraId="5F67FC1D" w14:textId="77777777" w:rsidR="00157AAA" w:rsidRDefault="00157AAA">
            <w:pPr>
              <w:spacing w:before="100" w:after="100"/>
              <w:jc w:val="center"/>
              <w:rPr>
                <w:sz w:val="22"/>
              </w:rPr>
            </w:pPr>
          </w:p>
        </w:tc>
        <w:tc>
          <w:tcPr>
            <w:tcW w:w="1440" w:type="dxa"/>
          </w:tcPr>
          <w:p w14:paraId="333FCE43" w14:textId="77777777" w:rsidR="00157AAA" w:rsidRDefault="00157AAA">
            <w:pPr>
              <w:spacing w:before="100" w:after="100"/>
              <w:jc w:val="center"/>
              <w:rPr>
                <w:sz w:val="22"/>
              </w:rPr>
            </w:pPr>
          </w:p>
        </w:tc>
        <w:tc>
          <w:tcPr>
            <w:tcW w:w="1440" w:type="dxa"/>
          </w:tcPr>
          <w:p w14:paraId="31D8AA98" w14:textId="77777777" w:rsidR="00157AAA" w:rsidRDefault="00157AAA">
            <w:pPr>
              <w:spacing w:before="100" w:after="100"/>
              <w:jc w:val="center"/>
              <w:rPr>
                <w:sz w:val="22"/>
              </w:rPr>
            </w:pPr>
          </w:p>
        </w:tc>
        <w:tc>
          <w:tcPr>
            <w:tcW w:w="1440" w:type="dxa"/>
          </w:tcPr>
          <w:p w14:paraId="60156348" w14:textId="77777777" w:rsidR="00157AAA" w:rsidRDefault="00157AAA">
            <w:pPr>
              <w:spacing w:before="100" w:after="100"/>
              <w:jc w:val="center"/>
              <w:rPr>
                <w:sz w:val="22"/>
              </w:rPr>
            </w:pPr>
          </w:p>
        </w:tc>
      </w:tr>
      <w:tr w:rsidR="00157AAA" w14:paraId="1E4B78BA" w14:textId="77777777">
        <w:trPr>
          <w:cantSplit/>
        </w:trPr>
        <w:tc>
          <w:tcPr>
            <w:tcW w:w="738" w:type="dxa"/>
          </w:tcPr>
          <w:p w14:paraId="0EC5A454" w14:textId="77777777" w:rsidR="00157AAA" w:rsidRDefault="006C1BE5">
            <w:pPr>
              <w:spacing w:before="100" w:after="100"/>
              <w:jc w:val="center"/>
              <w:rPr>
                <w:sz w:val="22"/>
              </w:rPr>
            </w:pPr>
            <w:r>
              <w:rPr>
                <w:sz w:val="22"/>
              </w:rPr>
              <w:t>y.1</w:t>
            </w:r>
          </w:p>
        </w:tc>
        <w:tc>
          <w:tcPr>
            <w:tcW w:w="3042" w:type="dxa"/>
          </w:tcPr>
          <w:p w14:paraId="4F3DD380" w14:textId="77777777" w:rsidR="00157AAA" w:rsidRDefault="006C1BE5">
            <w:pPr>
              <w:spacing w:before="100" w:after="100"/>
              <w:ind w:left="342"/>
              <w:rPr>
                <w:sz w:val="22"/>
              </w:rPr>
            </w:pPr>
            <w:r>
              <w:rPr>
                <w:sz w:val="22"/>
              </w:rPr>
              <w:t>____</w:t>
            </w:r>
          </w:p>
        </w:tc>
        <w:tc>
          <w:tcPr>
            <w:tcW w:w="1350" w:type="dxa"/>
          </w:tcPr>
          <w:p w14:paraId="11E7BD0E" w14:textId="77777777" w:rsidR="00157AAA" w:rsidRDefault="006C1BE5">
            <w:pPr>
              <w:spacing w:before="100" w:after="100"/>
              <w:jc w:val="center"/>
              <w:rPr>
                <w:sz w:val="22"/>
              </w:rPr>
            </w:pPr>
            <w:r>
              <w:rPr>
                <w:sz w:val="22"/>
              </w:rPr>
              <w:t>y.1</w:t>
            </w:r>
          </w:p>
        </w:tc>
        <w:tc>
          <w:tcPr>
            <w:tcW w:w="1260" w:type="dxa"/>
          </w:tcPr>
          <w:p w14:paraId="024C769D" w14:textId="77777777" w:rsidR="00157AAA" w:rsidRDefault="00157AAA">
            <w:pPr>
              <w:spacing w:before="100" w:after="100"/>
              <w:jc w:val="center"/>
              <w:rPr>
                <w:sz w:val="22"/>
              </w:rPr>
            </w:pPr>
          </w:p>
        </w:tc>
        <w:tc>
          <w:tcPr>
            <w:tcW w:w="1440" w:type="dxa"/>
          </w:tcPr>
          <w:p w14:paraId="4A6F252C" w14:textId="77777777" w:rsidR="00157AAA" w:rsidRDefault="00157AAA">
            <w:pPr>
              <w:spacing w:before="100" w:after="100"/>
              <w:jc w:val="center"/>
              <w:rPr>
                <w:sz w:val="22"/>
              </w:rPr>
            </w:pPr>
          </w:p>
        </w:tc>
        <w:tc>
          <w:tcPr>
            <w:tcW w:w="1440" w:type="dxa"/>
          </w:tcPr>
          <w:p w14:paraId="24F1F569" w14:textId="77777777" w:rsidR="00157AAA" w:rsidRDefault="00157AAA">
            <w:pPr>
              <w:spacing w:before="100" w:after="100"/>
              <w:jc w:val="center"/>
              <w:rPr>
                <w:sz w:val="22"/>
              </w:rPr>
            </w:pPr>
          </w:p>
        </w:tc>
        <w:tc>
          <w:tcPr>
            <w:tcW w:w="1440" w:type="dxa"/>
          </w:tcPr>
          <w:p w14:paraId="71608140" w14:textId="77777777" w:rsidR="00157AAA" w:rsidRDefault="00157AAA">
            <w:pPr>
              <w:spacing w:before="100" w:after="100"/>
              <w:jc w:val="center"/>
              <w:rPr>
                <w:sz w:val="22"/>
              </w:rPr>
            </w:pPr>
          </w:p>
        </w:tc>
      </w:tr>
      <w:tr w:rsidR="00157AAA" w14:paraId="1AC40BDB" w14:textId="77777777">
        <w:trPr>
          <w:cantSplit/>
          <w:trHeight w:hRule="exact" w:val="325"/>
        </w:trPr>
        <w:tc>
          <w:tcPr>
            <w:tcW w:w="738" w:type="dxa"/>
          </w:tcPr>
          <w:p w14:paraId="50633071" w14:textId="77777777" w:rsidR="00157AAA" w:rsidRDefault="00157AAA">
            <w:pPr>
              <w:spacing w:before="100" w:after="100"/>
              <w:jc w:val="center"/>
              <w:rPr>
                <w:sz w:val="22"/>
              </w:rPr>
            </w:pPr>
          </w:p>
        </w:tc>
        <w:tc>
          <w:tcPr>
            <w:tcW w:w="3042" w:type="dxa"/>
          </w:tcPr>
          <w:p w14:paraId="084633B9" w14:textId="77777777" w:rsidR="00157AAA" w:rsidRDefault="00157AAA">
            <w:pPr>
              <w:spacing w:before="100" w:after="100"/>
              <w:rPr>
                <w:sz w:val="22"/>
              </w:rPr>
            </w:pPr>
          </w:p>
        </w:tc>
        <w:tc>
          <w:tcPr>
            <w:tcW w:w="1350" w:type="dxa"/>
          </w:tcPr>
          <w:p w14:paraId="083AFD6D" w14:textId="77777777" w:rsidR="00157AAA" w:rsidRDefault="00157AAA">
            <w:pPr>
              <w:spacing w:before="100" w:after="100"/>
              <w:jc w:val="center"/>
              <w:rPr>
                <w:sz w:val="22"/>
              </w:rPr>
            </w:pPr>
          </w:p>
        </w:tc>
        <w:tc>
          <w:tcPr>
            <w:tcW w:w="1260" w:type="dxa"/>
          </w:tcPr>
          <w:p w14:paraId="5A19016F" w14:textId="77777777" w:rsidR="00157AAA" w:rsidRDefault="00157AAA">
            <w:pPr>
              <w:spacing w:before="100" w:after="100"/>
              <w:jc w:val="center"/>
              <w:rPr>
                <w:sz w:val="22"/>
              </w:rPr>
            </w:pPr>
          </w:p>
        </w:tc>
        <w:tc>
          <w:tcPr>
            <w:tcW w:w="1440" w:type="dxa"/>
          </w:tcPr>
          <w:p w14:paraId="0C58DA11" w14:textId="77777777" w:rsidR="00157AAA" w:rsidRDefault="00157AAA">
            <w:pPr>
              <w:spacing w:before="100" w:after="100"/>
              <w:jc w:val="center"/>
              <w:rPr>
                <w:sz w:val="22"/>
              </w:rPr>
            </w:pPr>
          </w:p>
        </w:tc>
        <w:tc>
          <w:tcPr>
            <w:tcW w:w="1440" w:type="dxa"/>
          </w:tcPr>
          <w:p w14:paraId="47B27061" w14:textId="77777777" w:rsidR="00157AAA" w:rsidRDefault="00157AAA">
            <w:pPr>
              <w:spacing w:before="100" w:after="100"/>
              <w:jc w:val="center"/>
              <w:rPr>
                <w:sz w:val="22"/>
              </w:rPr>
            </w:pPr>
          </w:p>
        </w:tc>
        <w:tc>
          <w:tcPr>
            <w:tcW w:w="1440" w:type="dxa"/>
          </w:tcPr>
          <w:p w14:paraId="238E078A" w14:textId="77777777" w:rsidR="00157AAA" w:rsidRDefault="00157AAA">
            <w:pPr>
              <w:spacing w:before="100" w:after="100"/>
              <w:jc w:val="center"/>
              <w:rPr>
                <w:sz w:val="22"/>
              </w:rPr>
            </w:pPr>
          </w:p>
        </w:tc>
      </w:tr>
      <w:tr w:rsidR="00157AAA" w14:paraId="1DD115E1" w14:textId="77777777">
        <w:trPr>
          <w:cantSplit/>
        </w:trPr>
        <w:tc>
          <w:tcPr>
            <w:tcW w:w="738" w:type="dxa"/>
          </w:tcPr>
          <w:p w14:paraId="6E07986A" w14:textId="77777777" w:rsidR="00157AAA" w:rsidRDefault="00157AAA">
            <w:pPr>
              <w:spacing w:before="100" w:after="100"/>
              <w:jc w:val="center"/>
              <w:rPr>
                <w:sz w:val="22"/>
              </w:rPr>
            </w:pPr>
          </w:p>
        </w:tc>
        <w:tc>
          <w:tcPr>
            <w:tcW w:w="4392" w:type="dxa"/>
            <w:gridSpan w:val="2"/>
          </w:tcPr>
          <w:p w14:paraId="346EFBC4" w14:textId="77777777" w:rsidR="00157AAA" w:rsidRDefault="006C1BE5">
            <w:pPr>
              <w:spacing w:before="100" w:after="100"/>
              <w:jc w:val="center"/>
              <w:rPr>
                <w:sz w:val="22"/>
              </w:rPr>
            </w:pPr>
            <w:r>
              <w:rPr>
                <w:sz w:val="22"/>
              </w:rPr>
              <w:t>Subtotals (to Grand Summary Table)</w:t>
            </w:r>
          </w:p>
        </w:tc>
        <w:tc>
          <w:tcPr>
            <w:tcW w:w="1260" w:type="dxa"/>
          </w:tcPr>
          <w:p w14:paraId="20BD5F5A" w14:textId="77777777" w:rsidR="00157AAA" w:rsidRDefault="00157AAA">
            <w:pPr>
              <w:spacing w:before="100" w:after="100"/>
              <w:jc w:val="center"/>
              <w:rPr>
                <w:sz w:val="22"/>
              </w:rPr>
            </w:pPr>
          </w:p>
        </w:tc>
        <w:tc>
          <w:tcPr>
            <w:tcW w:w="1440" w:type="dxa"/>
          </w:tcPr>
          <w:p w14:paraId="1BFFCEAC" w14:textId="77777777" w:rsidR="00157AAA" w:rsidRDefault="00157AAA">
            <w:pPr>
              <w:spacing w:before="100" w:after="100"/>
              <w:jc w:val="center"/>
              <w:rPr>
                <w:sz w:val="22"/>
              </w:rPr>
            </w:pPr>
          </w:p>
        </w:tc>
        <w:tc>
          <w:tcPr>
            <w:tcW w:w="1440" w:type="dxa"/>
          </w:tcPr>
          <w:p w14:paraId="3FA86132" w14:textId="77777777" w:rsidR="00157AAA" w:rsidRDefault="00157AAA">
            <w:pPr>
              <w:spacing w:before="100" w:after="100"/>
              <w:jc w:val="center"/>
              <w:rPr>
                <w:sz w:val="22"/>
              </w:rPr>
            </w:pPr>
          </w:p>
        </w:tc>
        <w:tc>
          <w:tcPr>
            <w:tcW w:w="1440" w:type="dxa"/>
          </w:tcPr>
          <w:p w14:paraId="39A5844B" w14:textId="77777777" w:rsidR="00157AAA" w:rsidRDefault="00157AAA">
            <w:pPr>
              <w:spacing w:before="100" w:after="100"/>
              <w:jc w:val="center"/>
              <w:rPr>
                <w:sz w:val="22"/>
              </w:rPr>
            </w:pPr>
          </w:p>
        </w:tc>
      </w:tr>
    </w:tbl>
    <w:p w14:paraId="79410A0A" w14:textId="77777777" w:rsidR="00157AAA" w:rsidRDefault="00157AAA">
      <w:pPr>
        <w:ind w:left="1260" w:right="1440" w:hanging="1260"/>
        <w:rPr>
          <w:b/>
          <w:sz w:val="22"/>
        </w:rPr>
      </w:pPr>
    </w:p>
    <w:p w14:paraId="4F2B0F67" w14:textId="77777777" w:rsidR="00157AAA" w:rsidRDefault="006C1BE5">
      <w:pPr>
        <w:ind w:left="1260" w:right="1440" w:hanging="1260"/>
        <w:rPr>
          <w:sz w:val="22"/>
        </w:rPr>
      </w:pPr>
      <w:r>
        <w:rPr>
          <w:b/>
          <w:sz w:val="22"/>
        </w:rPr>
        <w:t>Note:</w:t>
      </w:r>
      <w:r>
        <w:rPr>
          <w:sz w:val="22"/>
        </w:rPr>
        <w:tab/>
        <w:t>Refer to the relevant Recurrent Cost Sub-Tables for the specific components that constitute the Subsystem or line item in this summary table.</w:t>
      </w:r>
    </w:p>
    <w:p w14:paraId="41FAC04E" w14:textId="77777777" w:rsidR="00157AAA" w:rsidRDefault="00157AAA">
      <w:pPr>
        <w:ind w:left="1260" w:right="1440" w:hanging="1260"/>
        <w:rPr>
          <w:sz w:val="22"/>
        </w:rPr>
      </w:pPr>
    </w:p>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4320"/>
        <w:gridCol w:w="360"/>
        <w:gridCol w:w="5238"/>
      </w:tblGrid>
      <w:tr w:rsidR="00157AAA" w14:paraId="1EF3FC82" w14:textId="77777777">
        <w:trPr>
          <w:cantSplit/>
          <w:trHeight w:hRule="exact" w:val="240"/>
          <w:jc w:val="center"/>
        </w:trPr>
        <w:tc>
          <w:tcPr>
            <w:tcW w:w="4320" w:type="dxa"/>
          </w:tcPr>
          <w:p w14:paraId="4BB03AAA" w14:textId="77777777" w:rsidR="00157AAA" w:rsidRDefault="00157AAA">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100" w:after="100"/>
              <w:rPr>
                <w:sz w:val="22"/>
              </w:rPr>
            </w:pPr>
          </w:p>
        </w:tc>
        <w:tc>
          <w:tcPr>
            <w:tcW w:w="360" w:type="dxa"/>
          </w:tcPr>
          <w:p w14:paraId="42C76CCA" w14:textId="77777777" w:rsidR="00157AAA" w:rsidRDefault="00157AAA">
            <w:pPr>
              <w:spacing w:before="100" w:after="100"/>
              <w:jc w:val="center"/>
              <w:rPr>
                <w:sz w:val="22"/>
              </w:rPr>
            </w:pPr>
          </w:p>
        </w:tc>
        <w:tc>
          <w:tcPr>
            <w:tcW w:w="5238" w:type="dxa"/>
          </w:tcPr>
          <w:p w14:paraId="77A563D6" w14:textId="77777777" w:rsidR="00157AAA" w:rsidRDefault="00157AAA">
            <w:pPr>
              <w:spacing w:before="100" w:after="100"/>
              <w:jc w:val="center"/>
              <w:rPr>
                <w:sz w:val="22"/>
              </w:rPr>
            </w:pPr>
          </w:p>
        </w:tc>
      </w:tr>
      <w:tr w:rsidR="00157AAA" w14:paraId="1369A338" w14:textId="77777777">
        <w:trPr>
          <w:cantSplit/>
          <w:jc w:val="center"/>
        </w:trPr>
        <w:tc>
          <w:tcPr>
            <w:tcW w:w="4320" w:type="dxa"/>
          </w:tcPr>
          <w:p w14:paraId="112AD322" w14:textId="77777777" w:rsidR="00157AAA" w:rsidRDefault="006C1BE5">
            <w:pPr>
              <w:spacing w:before="100" w:after="100"/>
              <w:jc w:val="right"/>
              <w:rPr>
                <w:sz w:val="22"/>
              </w:rPr>
            </w:pPr>
            <w:r>
              <w:rPr>
                <w:sz w:val="22"/>
              </w:rPr>
              <w:t>Name of Bidder:</w:t>
            </w:r>
          </w:p>
        </w:tc>
        <w:tc>
          <w:tcPr>
            <w:tcW w:w="360" w:type="dxa"/>
          </w:tcPr>
          <w:p w14:paraId="32F272E7" w14:textId="77777777" w:rsidR="00157AAA" w:rsidRDefault="00157AAA">
            <w:pPr>
              <w:spacing w:before="100" w:after="100"/>
              <w:jc w:val="center"/>
              <w:rPr>
                <w:sz w:val="22"/>
              </w:rPr>
            </w:pPr>
          </w:p>
        </w:tc>
        <w:tc>
          <w:tcPr>
            <w:tcW w:w="5238" w:type="dxa"/>
          </w:tcPr>
          <w:p w14:paraId="1A2EE090" w14:textId="77777777" w:rsidR="00157AAA" w:rsidRDefault="00157AAA">
            <w:pPr>
              <w:spacing w:before="100" w:after="100"/>
              <w:jc w:val="center"/>
              <w:rPr>
                <w:sz w:val="22"/>
              </w:rPr>
            </w:pPr>
          </w:p>
        </w:tc>
      </w:tr>
      <w:tr w:rsidR="00157AAA" w14:paraId="36053F2E" w14:textId="77777777">
        <w:trPr>
          <w:cantSplit/>
          <w:trHeight w:hRule="exact" w:val="240"/>
          <w:jc w:val="center"/>
        </w:trPr>
        <w:tc>
          <w:tcPr>
            <w:tcW w:w="4320" w:type="dxa"/>
          </w:tcPr>
          <w:p w14:paraId="56A769F1" w14:textId="77777777" w:rsidR="00157AAA" w:rsidRDefault="00157AAA">
            <w:pPr>
              <w:spacing w:before="100" w:after="100"/>
              <w:jc w:val="right"/>
              <w:rPr>
                <w:sz w:val="22"/>
              </w:rPr>
            </w:pPr>
          </w:p>
        </w:tc>
        <w:tc>
          <w:tcPr>
            <w:tcW w:w="360" w:type="dxa"/>
          </w:tcPr>
          <w:p w14:paraId="6F983124" w14:textId="77777777" w:rsidR="00157AAA" w:rsidRDefault="00157AAA">
            <w:pPr>
              <w:spacing w:before="100" w:after="100"/>
              <w:jc w:val="center"/>
              <w:rPr>
                <w:sz w:val="22"/>
              </w:rPr>
            </w:pPr>
          </w:p>
        </w:tc>
        <w:tc>
          <w:tcPr>
            <w:tcW w:w="5238" w:type="dxa"/>
          </w:tcPr>
          <w:p w14:paraId="3CA2362D" w14:textId="77777777" w:rsidR="00157AAA" w:rsidRDefault="00157AAA">
            <w:pPr>
              <w:spacing w:before="100" w:after="100"/>
              <w:jc w:val="center"/>
              <w:rPr>
                <w:sz w:val="22"/>
              </w:rPr>
            </w:pPr>
          </w:p>
        </w:tc>
      </w:tr>
      <w:tr w:rsidR="00157AAA" w14:paraId="4CC7E72B" w14:textId="77777777">
        <w:trPr>
          <w:cantSplit/>
          <w:jc w:val="center"/>
        </w:trPr>
        <w:tc>
          <w:tcPr>
            <w:tcW w:w="4320" w:type="dxa"/>
          </w:tcPr>
          <w:p w14:paraId="02559198" w14:textId="77777777" w:rsidR="00157AAA" w:rsidRDefault="006C1BE5">
            <w:pPr>
              <w:spacing w:before="100" w:after="100"/>
              <w:jc w:val="right"/>
              <w:rPr>
                <w:sz w:val="22"/>
              </w:rPr>
            </w:pPr>
            <w:r>
              <w:rPr>
                <w:sz w:val="22"/>
              </w:rPr>
              <w:t>Authorized Signature of Bidder:</w:t>
            </w:r>
          </w:p>
        </w:tc>
        <w:tc>
          <w:tcPr>
            <w:tcW w:w="360" w:type="dxa"/>
          </w:tcPr>
          <w:p w14:paraId="27BF2B71" w14:textId="77777777" w:rsidR="00157AAA" w:rsidRDefault="00157AAA">
            <w:pPr>
              <w:spacing w:before="100" w:after="100"/>
              <w:jc w:val="center"/>
              <w:rPr>
                <w:sz w:val="22"/>
              </w:rPr>
            </w:pPr>
          </w:p>
        </w:tc>
        <w:tc>
          <w:tcPr>
            <w:tcW w:w="5238" w:type="dxa"/>
          </w:tcPr>
          <w:p w14:paraId="6BF262DF" w14:textId="77777777" w:rsidR="00157AAA" w:rsidRDefault="00157AAA">
            <w:pPr>
              <w:spacing w:before="100" w:after="100"/>
              <w:jc w:val="center"/>
              <w:rPr>
                <w:sz w:val="22"/>
              </w:rPr>
            </w:pPr>
          </w:p>
        </w:tc>
      </w:tr>
    </w:tbl>
    <w:p w14:paraId="2BFC34AA" w14:textId="77777777" w:rsidR="00157AAA" w:rsidRDefault="006C1BE5">
      <w:pPr>
        <w:spacing w:after="0"/>
        <w:jc w:val="left"/>
        <w:rPr>
          <w:b/>
          <w:sz w:val="22"/>
        </w:rPr>
      </w:pPr>
      <w:r>
        <w:rPr>
          <w:sz w:val="22"/>
        </w:rPr>
        <w:br w:type="page" w:clear="all"/>
      </w:r>
    </w:p>
    <w:p w14:paraId="057D21A6" w14:textId="77777777" w:rsidR="00157AAA" w:rsidRDefault="006C1BE5">
      <w:pPr>
        <w:pStyle w:val="Head32"/>
        <w:ind w:right="1440"/>
        <w:rPr>
          <w:i/>
        </w:rPr>
      </w:pPr>
      <w:bookmarkStart w:id="579" w:name="_Toc521497243"/>
      <w:bookmarkStart w:id="580" w:name="_Toc218673960"/>
      <w:bookmarkStart w:id="581" w:name="_Toc277345595"/>
      <w:r>
        <w:lastRenderedPageBreak/>
        <w:t>3.4</w:t>
      </w:r>
      <w:r>
        <w:tab/>
      </w:r>
      <w:bookmarkStart w:id="582" w:name="_Hlt529125910"/>
      <w:bookmarkEnd w:id="582"/>
      <w:r>
        <w:tab/>
        <w:t>Supply and Installation Cost Sub-</w:t>
      </w:r>
      <w:bookmarkEnd w:id="579"/>
      <w:r>
        <w:t>Table</w:t>
      </w:r>
      <w:r>
        <w:rPr>
          <w:i/>
        </w:rPr>
        <w:t xml:space="preserve"> </w:t>
      </w:r>
      <w:r>
        <w:rPr>
          <w:b w:val="0"/>
          <w:i/>
        </w:rPr>
        <w:t xml:space="preserve">[insert: </w:t>
      </w:r>
      <w:r>
        <w:rPr>
          <w:i/>
        </w:rPr>
        <w:t xml:space="preserve"> identifying </w:t>
      </w:r>
      <w:bookmarkEnd w:id="580"/>
      <w:bookmarkEnd w:id="581"/>
      <w:r>
        <w:rPr>
          <w:i/>
        </w:rPr>
        <w:t>number</w:t>
      </w:r>
      <w:r>
        <w:rPr>
          <w:b w:val="0"/>
          <w:i/>
        </w:rPr>
        <w:t>]</w:t>
      </w:r>
    </w:p>
    <w:p w14:paraId="2C808026" w14:textId="77777777" w:rsidR="00157AAA" w:rsidRDefault="006C1BE5">
      <w:pPr>
        <w:ind w:right="1440"/>
        <w:jc w:val="center"/>
        <w:rPr>
          <w:sz w:val="22"/>
        </w:rPr>
      </w:pPr>
      <w:r>
        <w:t>Line item number</w:t>
      </w:r>
      <w:proofErr w:type="gramStart"/>
      <w:r>
        <w:t xml:space="preserve">:  </w:t>
      </w:r>
      <w:r>
        <w:rPr>
          <w:i/>
        </w:rPr>
        <w:t>[</w:t>
      </w:r>
      <w:proofErr w:type="gramEnd"/>
      <w:r>
        <w:rPr>
          <w:i/>
        </w:rPr>
        <w:t xml:space="preserve">specify:  </w:t>
      </w:r>
      <w:r>
        <w:rPr>
          <w:b/>
          <w:i/>
        </w:rPr>
        <w:t>relevant line item number from the Supply and Installation Cost Summary Table</w:t>
      </w:r>
      <w:r>
        <w:rPr>
          <w:i/>
        </w:rPr>
        <w:t xml:space="preserve"> (e.g., 1.1)]</w:t>
      </w:r>
    </w:p>
    <w:p w14:paraId="58C0F70A" w14:textId="77777777" w:rsidR="00157AAA" w:rsidRDefault="00157AAA">
      <w:pPr>
        <w:ind w:right="1440"/>
        <w:jc w:val="center"/>
      </w:pPr>
    </w:p>
    <w:p w14:paraId="7DD20E2D" w14:textId="798FC62A" w:rsidR="00157AAA" w:rsidRDefault="006C1BE5">
      <w:pPr>
        <w:spacing w:after="180"/>
        <w:ind w:right="1440"/>
        <w:jc w:val="center"/>
      </w:pPr>
      <w:r>
        <w:t>Prices, rates, and subtotals MUST be quoted in accordance with ITB 17 and ITB 18.</w:t>
      </w:r>
    </w:p>
    <w:tbl>
      <w:tblPr>
        <w:tblpPr w:leftFromText="180" w:rightFromText="180" w:vertAnchor="text" w:tblpY="1"/>
        <w:tblOverlap w:val="never"/>
        <w:tblW w:w="1296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29" w:type="dxa"/>
          <w:right w:w="29" w:type="dxa"/>
        </w:tblCellMar>
        <w:tblLook w:val="0000" w:firstRow="0" w:lastRow="0" w:firstColumn="0" w:lastColumn="0" w:noHBand="0" w:noVBand="0"/>
      </w:tblPr>
      <w:tblGrid>
        <w:gridCol w:w="532"/>
        <w:gridCol w:w="3150"/>
        <w:gridCol w:w="630"/>
        <w:gridCol w:w="540"/>
        <w:gridCol w:w="900"/>
        <w:gridCol w:w="810"/>
        <w:gridCol w:w="810"/>
        <w:gridCol w:w="900"/>
        <w:gridCol w:w="810"/>
        <w:gridCol w:w="990"/>
        <w:gridCol w:w="720"/>
        <w:gridCol w:w="720"/>
        <w:gridCol w:w="720"/>
        <w:gridCol w:w="728"/>
      </w:tblGrid>
      <w:tr w:rsidR="00513AB5" w14:paraId="38D955E4" w14:textId="77777777" w:rsidTr="001136D3">
        <w:trPr>
          <w:cantSplit/>
          <w:tblHeader/>
        </w:trPr>
        <w:tc>
          <w:tcPr>
            <w:tcW w:w="532" w:type="dxa"/>
          </w:tcPr>
          <w:p w14:paraId="1B2F9D33" w14:textId="77777777" w:rsidR="00513AB5" w:rsidRDefault="00513AB5" w:rsidP="00513AB5">
            <w:pPr>
              <w:spacing w:before="100" w:after="100"/>
              <w:jc w:val="center"/>
              <w:rPr>
                <w:b/>
                <w:sz w:val="20"/>
              </w:rPr>
            </w:pPr>
          </w:p>
        </w:tc>
        <w:tc>
          <w:tcPr>
            <w:tcW w:w="3150" w:type="dxa"/>
          </w:tcPr>
          <w:p w14:paraId="0CAE69D9" w14:textId="77777777" w:rsidR="00513AB5" w:rsidRDefault="00513AB5" w:rsidP="00513AB5">
            <w:pPr>
              <w:spacing w:before="100" w:after="100"/>
              <w:jc w:val="left"/>
              <w:rPr>
                <w:b/>
                <w:sz w:val="20"/>
              </w:rPr>
            </w:pPr>
          </w:p>
        </w:tc>
        <w:tc>
          <w:tcPr>
            <w:tcW w:w="630" w:type="dxa"/>
          </w:tcPr>
          <w:p w14:paraId="1A1F65C7" w14:textId="77777777" w:rsidR="00513AB5" w:rsidRDefault="00513AB5" w:rsidP="00513AB5">
            <w:pPr>
              <w:spacing w:before="100" w:after="100"/>
              <w:jc w:val="center"/>
              <w:rPr>
                <w:b/>
                <w:sz w:val="20"/>
              </w:rPr>
            </w:pPr>
          </w:p>
        </w:tc>
        <w:tc>
          <w:tcPr>
            <w:tcW w:w="540" w:type="dxa"/>
          </w:tcPr>
          <w:p w14:paraId="419042C2" w14:textId="77777777" w:rsidR="00513AB5" w:rsidRDefault="00513AB5" w:rsidP="00513AB5">
            <w:pPr>
              <w:spacing w:before="100" w:after="100"/>
              <w:jc w:val="center"/>
              <w:rPr>
                <w:b/>
                <w:sz w:val="20"/>
              </w:rPr>
            </w:pPr>
          </w:p>
        </w:tc>
        <w:tc>
          <w:tcPr>
            <w:tcW w:w="4230" w:type="dxa"/>
            <w:gridSpan w:val="5"/>
          </w:tcPr>
          <w:p w14:paraId="565DE08C" w14:textId="77777777" w:rsidR="00513AB5" w:rsidRDefault="00513AB5" w:rsidP="00513AB5">
            <w:pPr>
              <w:spacing w:before="100" w:after="100"/>
              <w:jc w:val="center"/>
              <w:rPr>
                <w:b/>
                <w:sz w:val="20"/>
              </w:rPr>
            </w:pPr>
            <w:r>
              <w:rPr>
                <w:b/>
                <w:sz w:val="20"/>
              </w:rPr>
              <w:t>Unit Prices / Rates</w:t>
            </w:r>
          </w:p>
        </w:tc>
        <w:tc>
          <w:tcPr>
            <w:tcW w:w="3878" w:type="dxa"/>
            <w:gridSpan w:val="5"/>
          </w:tcPr>
          <w:p w14:paraId="6A7C2D0E" w14:textId="77777777" w:rsidR="00513AB5" w:rsidRDefault="00513AB5" w:rsidP="00513AB5">
            <w:pPr>
              <w:spacing w:before="100" w:after="100"/>
              <w:jc w:val="center"/>
              <w:rPr>
                <w:b/>
                <w:sz w:val="20"/>
              </w:rPr>
            </w:pPr>
            <w:r>
              <w:rPr>
                <w:b/>
                <w:sz w:val="20"/>
              </w:rPr>
              <w:t xml:space="preserve">Total Prices </w:t>
            </w:r>
          </w:p>
        </w:tc>
      </w:tr>
      <w:tr w:rsidR="00513AB5" w14:paraId="471CE74C" w14:textId="77777777" w:rsidTr="001136D3">
        <w:trPr>
          <w:cantSplit/>
          <w:tblHeader/>
        </w:trPr>
        <w:tc>
          <w:tcPr>
            <w:tcW w:w="532" w:type="dxa"/>
          </w:tcPr>
          <w:p w14:paraId="04C0E393" w14:textId="77777777" w:rsidR="00513AB5" w:rsidRDefault="00513AB5" w:rsidP="00513AB5">
            <w:pPr>
              <w:spacing w:before="100" w:after="100"/>
              <w:jc w:val="center"/>
              <w:rPr>
                <w:b/>
                <w:sz w:val="20"/>
              </w:rPr>
            </w:pPr>
          </w:p>
        </w:tc>
        <w:tc>
          <w:tcPr>
            <w:tcW w:w="3150" w:type="dxa"/>
          </w:tcPr>
          <w:p w14:paraId="76E72669" w14:textId="77777777" w:rsidR="00513AB5" w:rsidRDefault="00513AB5" w:rsidP="00513AB5">
            <w:pPr>
              <w:spacing w:before="100" w:after="100"/>
              <w:jc w:val="left"/>
              <w:rPr>
                <w:b/>
                <w:sz w:val="20"/>
              </w:rPr>
            </w:pPr>
          </w:p>
        </w:tc>
        <w:tc>
          <w:tcPr>
            <w:tcW w:w="630" w:type="dxa"/>
          </w:tcPr>
          <w:p w14:paraId="1CB98A33" w14:textId="77777777" w:rsidR="00513AB5" w:rsidRDefault="00513AB5" w:rsidP="00513AB5">
            <w:pPr>
              <w:spacing w:before="100" w:after="100"/>
              <w:jc w:val="center"/>
              <w:rPr>
                <w:b/>
                <w:sz w:val="20"/>
              </w:rPr>
            </w:pPr>
          </w:p>
        </w:tc>
        <w:tc>
          <w:tcPr>
            <w:tcW w:w="540" w:type="dxa"/>
          </w:tcPr>
          <w:p w14:paraId="14F78A57" w14:textId="77777777" w:rsidR="00513AB5" w:rsidRDefault="00513AB5" w:rsidP="00513AB5">
            <w:pPr>
              <w:spacing w:before="100" w:after="100"/>
              <w:jc w:val="center"/>
              <w:rPr>
                <w:b/>
                <w:sz w:val="20"/>
              </w:rPr>
            </w:pPr>
          </w:p>
        </w:tc>
        <w:tc>
          <w:tcPr>
            <w:tcW w:w="900" w:type="dxa"/>
          </w:tcPr>
          <w:p w14:paraId="7782EDD7" w14:textId="77777777" w:rsidR="00513AB5" w:rsidRDefault="00513AB5" w:rsidP="00513AB5">
            <w:pPr>
              <w:spacing w:before="100" w:after="100"/>
              <w:jc w:val="center"/>
              <w:rPr>
                <w:b/>
                <w:sz w:val="20"/>
              </w:rPr>
            </w:pPr>
            <w:r>
              <w:rPr>
                <w:b/>
                <w:sz w:val="20"/>
              </w:rPr>
              <w:t xml:space="preserve">Supplied Locally </w:t>
            </w:r>
          </w:p>
        </w:tc>
        <w:tc>
          <w:tcPr>
            <w:tcW w:w="3330" w:type="dxa"/>
            <w:gridSpan w:val="4"/>
          </w:tcPr>
          <w:p w14:paraId="74EB40D2" w14:textId="77777777" w:rsidR="00513AB5" w:rsidRDefault="00513AB5" w:rsidP="00513AB5">
            <w:pPr>
              <w:spacing w:before="100" w:after="100"/>
              <w:jc w:val="center"/>
              <w:rPr>
                <w:b/>
                <w:sz w:val="20"/>
              </w:rPr>
            </w:pPr>
            <w:r>
              <w:rPr>
                <w:b/>
                <w:sz w:val="20"/>
              </w:rPr>
              <w:t>Supplied from outside the Purchaser’s Country</w:t>
            </w:r>
          </w:p>
        </w:tc>
        <w:tc>
          <w:tcPr>
            <w:tcW w:w="990" w:type="dxa"/>
          </w:tcPr>
          <w:p w14:paraId="0022B1E7" w14:textId="77777777" w:rsidR="00513AB5" w:rsidRDefault="00513AB5" w:rsidP="00513AB5">
            <w:pPr>
              <w:spacing w:before="100" w:after="100"/>
              <w:jc w:val="center"/>
              <w:rPr>
                <w:b/>
                <w:sz w:val="20"/>
              </w:rPr>
            </w:pPr>
            <w:r>
              <w:rPr>
                <w:b/>
                <w:sz w:val="20"/>
              </w:rPr>
              <w:t>Supplied Locally</w:t>
            </w:r>
          </w:p>
        </w:tc>
        <w:tc>
          <w:tcPr>
            <w:tcW w:w="2888" w:type="dxa"/>
            <w:gridSpan w:val="4"/>
          </w:tcPr>
          <w:p w14:paraId="4E0F96E6" w14:textId="77777777" w:rsidR="00513AB5" w:rsidRDefault="00513AB5" w:rsidP="00513AB5">
            <w:pPr>
              <w:spacing w:before="100" w:after="100"/>
              <w:jc w:val="center"/>
              <w:rPr>
                <w:b/>
                <w:sz w:val="20"/>
              </w:rPr>
            </w:pPr>
            <w:r>
              <w:rPr>
                <w:b/>
                <w:sz w:val="20"/>
              </w:rPr>
              <w:t>Supplied from outside the Purchaser’s Country</w:t>
            </w:r>
          </w:p>
        </w:tc>
      </w:tr>
      <w:tr w:rsidR="00542D9B" w14:paraId="61F69E38" w14:textId="77777777" w:rsidTr="001136D3">
        <w:trPr>
          <w:cantSplit/>
          <w:tblHeader/>
        </w:trPr>
        <w:tc>
          <w:tcPr>
            <w:tcW w:w="532" w:type="dxa"/>
          </w:tcPr>
          <w:p w14:paraId="3AE22C7F" w14:textId="77777777" w:rsidR="00513AB5" w:rsidRDefault="00513AB5" w:rsidP="00513AB5">
            <w:pPr>
              <w:spacing w:after="0"/>
              <w:jc w:val="center"/>
              <w:rPr>
                <w:b/>
                <w:sz w:val="20"/>
              </w:rPr>
            </w:pPr>
            <w:r>
              <w:rPr>
                <w:b/>
                <w:sz w:val="20"/>
              </w:rPr>
              <w:t xml:space="preserve">Component </w:t>
            </w:r>
            <w:r>
              <w:rPr>
                <w:b/>
                <w:sz w:val="20"/>
              </w:rPr>
              <w:br/>
              <w:t>No.</w:t>
            </w:r>
          </w:p>
        </w:tc>
        <w:tc>
          <w:tcPr>
            <w:tcW w:w="3150" w:type="dxa"/>
          </w:tcPr>
          <w:p w14:paraId="11D1CE78" w14:textId="77777777" w:rsidR="00513AB5" w:rsidRDefault="00513AB5" w:rsidP="00513AB5">
            <w:pPr>
              <w:spacing w:after="0"/>
              <w:jc w:val="center"/>
              <w:rPr>
                <w:b/>
                <w:sz w:val="20"/>
              </w:rPr>
            </w:pPr>
            <w:r>
              <w:rPr>
                <w:b/>
                <w:sz w:val="20"/>
              </w:rPr>
              <w:t>Component Description</w:t>
            </w:r>
          </w:p>
        </w:tc>
        <w:tc>
          <w:tcPr>
            <w:tcW w:w="630" w:type="dxa"/>
          </w:tcPr>
          <w:p w14:paraId="38EA8C43" w14:textId="77777777" w:rsidR="00513AB5" w:rsidRDefault="00513AB5" w:rsidP="00513AB5">
            <w:pPr>
              <w:spacing w:after="0"/>
              <w:jc w:val="center"/>
              <w:rPr>
                <w:b/>
                <w:sz w:val="20"/>
              </w:rPr>
            </w:pPr>
            <w:r>
              <w:rPr>
                <w:b/>
                <w:sz w:val="20"/>
              </w:rPr>
              <w:t>Country of Origin Code</w:t>
            </w:r>
          </w:p>
        </w:tc>
        <w:tc>
          <w:tcPr>
            <w:tcW w:w="540" w:type="dxa"/>
          </w:tcPr>
          <w:p w14:paraId="1913C8CC" w14:textId="77777777" w:rsidR="00513AB5" w:rsidRDefault="00513AB5" w:rsidP="00513AB5">
            <w:pPr>
              <w:spacing w:after="0"/>
              <w:jc w:val="center"/>
              <w:rPr>
                <w:b/>
                <w:sz w:val="20"/>
              </w:rPr>
            </w:pPr>
            <w:r>
              <w:rPr>
                <w:b/>
                <w:sz w:val="20"/>
              </w:rPr>
              <w:t>Quantity</w:t>
            </w:r>
          </w:p>
        </w:tc>
        <w:tc>
          <w:tcPr>
            <w:tcW w:w="900" w:type="dxa"/>
          </w:tcPr>
          <w:p w14:paraId="270B0783" w14:textId="77777777" w:rsidR="00513AB5" w:rsidRDefault="00513AB5" w:rsidP="00513AB5">
            <w:pPr>
              <w:spacing w:before="120" w:after="0"/>
              <w:jc w:val="center"/>
              <w:rPr>
                <w:b/>
                <w:i/>
                <w:sz w:val="20"/>
              </w:rPr>
            </w:pPr>
            <w:r>
              <w:rPr>
                <w:i/>
                <w:sz w:val="20"/>
              </w:rPr>
              <w:t>[</w:t>
            </w:r>
            <w:r>
              <w:rPr>
                <w:b/>
                <w:i/>
                <w:sz w:val="20"/>
              </w:rPr>
              <w:t xml:space="preserve"> </w:t>
            </w:r>
            <w:r>
              <w:rPr>
                <w:i/>
                <w:sz w:val="20"/>
              </w:rPr>
              <w:t>insert:</w:t>
            </w:r>
            <w:r>
              <w:rPr>
                <w:b/>
                <w:i/>
                <w:sz w:val="20"/>
              </w:rPr>
              <w:t xml:space="preserve"> local currency</w:t>
            </w:r>
            <w:r>
              <w:rPr>
                <w:i/>
                <w:sz w:val="20"/>
              </w:rPr>
              <w:t>]</w:t>
            </w:r>
          </w:p>
        </w:tc>
        <w:tc>
          <w:tcPr>
            <w:tcW w:w="810" w:type="dxa"/>
          </w:tcPr>
          <w:p w14:paraId="6D2BF86A" w14:textId="77777777" w:rsidR="00513AB5" w:rsidRDefault="00513AB5" w:rsidP="00513AB5">
            <w:pPr>
              <w:spacing w:before="100" w:after="100"/>
              <w:jc w:val="center"/>
              <w:rPr>
                <w:b/>
                <w:i/>
                <w:sz w:val="20"/>
              </w:rPr>
            </w:pPr>
            <w:r>
              <w:rPr>
                <w:i/>
                <w:sz w:val="20"/>
              </w:rPr>
              <w:t>[ insert:</w:t>
            </w:r>
            <w:r>
              <w:rPr>
                <w:b/>
                <w:i/>
                <w:sz w:val="20"/>
              </w:rPr>
              <w:t xml:space="preserve"> local currency</w:t>
            </w:r>
            <w:r>
              <w:rPr>
                <w:i/>
                <w:sz w:val="20"/>
              </w:rPr>
              <w:t>]</w:t>
            </w:r>
          </w:p>
        </w:tc>
        <w:tc>
          <w:tcPr>
            <w:tcW w:w="810" w:type="dxa"/>
          </w:tcPr>
          <w:p w14:paraId="4AE5F3D1" w14:textId="77777777" w:rsidR="00513AB5" w:rsidRDefault="00513AB5" w:rsidP="00513AB5">
            <w:pPr>
              <w:spacing w:after="0"/>
              <w:jc w:val="center"/>
              <w:rPr>
                <w:b/>
                <w:i/>
                <w:sz w:val="20"/>
              </w:rPr>
            </w:pPr>
            <w:r>
              <w:rPr>
                <w:i/>
                <w:sz w:val="20"/>
              </w:rPr>
              <w:t>[</w:t>
            </w:r>
            <w:r>
              <w:rPr>
                <w:b/>
                <w:i/>
                <w:sz w:val="20"/>
              </w:rPr>
              <w:t xml:space="preserve"> </w:t>
            </w:r>
            <w:r>
              <w:rPr>
                <w:i/>
                <w:sz w:val="20"/>
              </w:rPr>
              <w:t>insert:</w:t>
            </w:r>
            <w:r>
              <w:rPr>
                <w:b/>
                <w:i/>
                <w:sz w:val="20"/>
              </w:rPr>
              <w:t xml:space="preserve"> foreign currency A</w:t>
            </w:r>
            <w:r>
              <w:rPr>
                <w:i/>
                <w:sz w:val="20"/>
              </w:rPr>
              <w:t>]</w:t>
            </w:r>
          </w:p>
        </w:tc>
        <w:tc>
          <w:tcPr>
            <w:tcW w:w="900" w:type="dxa"/>
          </w:tcPr>
          <w:p w14:paraId="72C775C2" w14:textId="77777777" w:rsidR="00513AB5" w:rsidRDefault="00513AB5" w:rsidP="00513AB5">
            <w:pPr>
              <w:spacing w:after="0"/>
              <w:jc w:val="center"/>
              <w:rPr>
                <w:b/>
                <w:i/>
                <w:sz w:val="20"/>
              </w:rPr>
            </w:pPr>
            <w:r>
              <w:rPr>
                <w:i/>
                <w:sz w:val="20"/>
              </w:rPr>
              <w:t xml:space="preserve">[ insert </w:t>
            </w:r>
            <w:r>
              <w:rPr>
                <w:b/>
                <w:i/>
                <w:sz w:val="20"/>
              </w:rPr>
              <w:t>foreign currency B</w:t>
            </w:r>
            <w:r>
              <w:rPr>
                <w:i/>
                <w:sz w:val="20"/>
              </w:rPr>
              <w:t>]</w:t>
            </w:r>
          </w:p>
        </w:tc>
        <w:tc>
          <w:tcPr>
            <w:tcW w:w="810" w:type="dxa"/>
          </w:tcPr>
          <w:p w14:paraId="68FD95B3" w14:textId="77777777" w:rsidR="00513AB5" w:rsidRDefault="00513AB5" w:rsidP="00513AB5">
            <w:pPr>
              <w:spacing w:after="0"/>
              <w:jc w:val="center"/>
              <w:rPr>
                <w:b/>
                <w:i/>
                <w:sz w:val="20"/>
              </w:rPr>
            </w:pPr>
            <w:r>
              <w:rPr>
                <w:i/>
                <w:sz w:val="20"/>
              </w:rPr>
              <w:t>[ insert:</w:t>
            </w:r>
            <w:r>
              <w:rPr>
                <w:b/>
                <w:i/>
                <w:sz w:val="20"/>
              </w:rPr>
              <w:t xml:space="preserve"> foreign currency C</w:t>
            </w:r>
            <w:r>
              <w:rPr>
                <w:i/>
                <w:sz w:val="20"/>
              </w:rPr>
              <w:t>]</w:t>
            </w:r>
          </w:p>
        </w:tc>
        <w:tc>
          <w:tcPr>
            <w:tcW w:w="990" w:type="dxa"/>
          </w:tcPr>
          <w:p w14:paraId="6364E88A" w14:textId="77777777" w:rsidR="00513AB5" w:rsidRDefault="00513AB5" w:rsidP="00513AB5">
            <w:pPr>
              <w:spacing w:before="100" w:after="100"/>
              <w:jc w:val="center"/>
              <w:rPr>
                <w:b/>
                <w:i/>
                <w:sz w:val="20"/>
              </w:rPr>
            </w:pPr>
            <w:r>
              <w:rPr>
                <w:i/>
                <w:sz w:val="20"/>
              </w:rPr>
              <w:t>[ insert:</w:t>
            </w:r>
            <w:r>
              <w:rPr>
                <w:b/>
                <w:i/>
                <w:sz w:val="20"/>
              </w:rPr>
              <w:t xml:space="preserve"> local currency</w:t>
            </w:r>
            <w:r>
              <w:rPr>
                <w:i/>
                <w:sz w:val="20"/>
              </w:rPr>
              <w:t>]</w:t>
            </w:r>
          </w:p>
        </w:tc>
        <w:tc>
          <w:tcPr>
            <w:tcW w:w="720" w:type="dxa"/>
          </w:tcPr>
          <w:p w14:paraId="3139E148" w14:textId="77777777" w:rsidR="00513AB5" w:rsidRDefault="00513AB5" w:rsidP="00513AB5">
            <w:pPr>
              <w:spacing w:before="100" w:after="100"/>
              <w:jc w:val="center"/>
              <w:rPr>
                <w:b/>
                <w:i/>
                <w:sz w:val="20"/>
              </w:rPr>
            </w:pPr>
            <w:r>
              <w:rPr>
                <w:i/>
                <w:sz w:val="20"/>
              </w:rPr>
              <w:t>[ insert:</w:t>
            </w:r>
            <w:r>
              <w:rPr>
                <w:b/>
                <w:i/>
                <w:sz w:val="20"/>
              </w:rPr>
              <w:t xml:space="preserve"> local currency</w:t>
            </w:r>
            <w:r>
              <w:rPr>
                <w:i/>
                <w:sz w:val="20"/>
              </w:rPr>
              <w:t>]</w:t>
            </w:r>
          </w:p>
        </w:tc>
        <w:tc>
          <w:tcPr>
            <w:tcW w:w="720" w:type="dxa"/>
          </w:tcPr>
          <w:p w14:paraId="14845742" w14:textId="77777777" w:rsidR="00513AB5" w:rsidRDefault="00513AB5" w:rsidP="00513AB5">
            <w:pPr>
              <w:spacing w:after="0"/>
              <w:jc w:val="center"/>
              <w:rPr>
                <w:b/>
                <w:i/>
                <w:sz w:val="20"/>
              </w:rPr>
            </w:pPr>
            <w:r>
              <w:rPr>
                <w:i/>
                <w:sz w:val="20"/>
              </w:rPr>
              <w:t>[ insert:</w:t>
            </w:r>
            <w:r>
              <w:rPr>
                <w:b/>
                <w:i/>
                <w:sz w:val="20"/>
              </w:rPr>
              <w:t xml:space="preserve"> foreign currency A</w:t>
            </w:r>
            <w:r>
              <w:rPr>
                <w:i/>
                <w:sz w:val="20"/>
              </w:rPr>
              <w:t>]</w:t>
            </w:r>
          </w:p>
        </w:tc>
        <w:tc>
          <w:tcPr>
            <w:tcW w:w="720" w:type="dxa"/>
          </w:tcPr>
          <w:p w14:paraId="3414391F" w14:textId="77777777" w:rsidR="00513AB5" w:rsidRDefault="00513AB5" w:rsidP="00513AB5">
            <w:pPr>
              <w:spacing w:after="100"/>
              <w:jc w:val="center"/>
              <w:rPr>
                <w:b/>
                <w:i/>
                <w:sz w:val="20"/>
              </w:rPr>
            </w:pPr>
            <w:r>
              <w:rPr>
                <w:i/>
                <w:sz w:val="20"/>
              </w:rPr>
              <w:t>[ insert:</w:t>
            </w:r>
            <w:r>
              <w:rPr>
                <w:b/>
                <w:i/>
                <w:sz w:val="20"/>
              </w:rPr>
              <w:t xml:space="preserve"> foreign currency</w:t>
            </w:r>
            <w:r>
              <w:rPr>
                <w:b/>
                <w:i/>
                <w:sz w:val="20"/>
              </w:rPr>
              <w:br/>
              <w:t>B</w:t>
            </w:r>
            <w:r>
              <w:rPr>
                <w:i/>
                <w:sz w:val="20"/>
              </w:rPr>
              <w:t>]</w:t>
            </w:r>
          </w:p>
        </w:tc>
        <w:tc>
          <w:tcPr>
            <w:tcW w:w="728" w:type="dxa"/>
          </w:tcPr>
          <w:p w14:paraId="06E0324E" w14:textId="77777777" w:rsidR="00513AB5" w:rsidRDefault="00513AB5" w:rsidP="00513AB5">
            <w:pPr>
              <w:spacing w:after="100"/>
              <w:jc w:val="center"/>
              <w:rPr>
                <w:b/>
                <w:i/>
                <w:sz w:val="20"/>
              </w:rPr>
            </w:pPr>
            <w:r>
              <w:rPr>
                <w:i/>
                <w:sz w:val="20"/>
              </w:rPr>
              <w:t>[</w:t>
            </w:r>
            <w:r>
              <w:rPr>
                <w:b/>
                <w:i/>
                <w:sz w:val="20"/>
              </w:rPr>
              <w:t xml:space="preserve"> </w:t>
            </w:r>
            <w:r>
              <w:rPr>
                <w:i/>
                <w:sz w:val="20"/>
              </w:rPr>
              <w:t>insert:</w:t>
            </w:r>
            <w:r>
              <w:rPr>
                <w:b/>
                <w:i/>
                <w:sz w:val="20"/>
              </w:rPr>
              <w:t xml:space="preserve"> foreign currency</w:t>
            </w:r>
            <w:r>
              <w:rPr>
                <w:b/>
                <w:i/>
                <w:sz w:val="20"/>
              </w:rPr>
              <w:br/>
              <w:t>C</w:t>
            </w:r>
            <w:r>
              <w:rPr>
                <w:i/>
                <w:sz w:val="20"/>
              </w:rPr>
              <w:t>]</w:t>
            </w:r>
          </w:p>
        </w:tc>
      </w:tr>
      <w:tr w:rsidR="00542D9B" w14:paraId="4AD5F785" w14:textId="77777777" w:rsidTr="00012998">
        <w:trPr>
          <w:cantSplit/>
          <w:trHeight w:hRule="exact" w:val="171"/>
          <w:tblHeader/>
        </w:trPr>
        <w:tc>
          <w:tcPr>
            <w:tcW w:w="532" w:type="dxa"/>
            <w:tcBorders>
              <w:bottom w:val="single" w:sz="12" w:space="0" w:color="auto"/>
            </w:tcBorders>
          </w:tcPr>
          <w:p w14:paraId="4D20B9E9" w14:textId="77777777" w:rsidR="00513AB5" w:rsidRDefault="00513AB5" w:rsidP="00513AB5">
            <w:pPr>
              <w:spacing w:before="100" w:after="100"/>
              <w:jc w:val="center"/>
              <w:rPr>
                <w:sz w:val="22"/>
              </w:rPr>
            </w:pPr>
          </w:p>
        </w:tc>
        <w:tc>
          <w:tcPr>
            <w:tcW w:w="3150" w:type="dxa"/>
            <w:tcBorders>
              <w:bottom w:val="single" w:sz="12" w:space="0" w:color="auto"/>
            </w:tcBorders>
          </w:tcPr>
          <w:p w14:paraId="7B890B3D" w14:textId="77777777" w:rsidR="00513AB5" w:rsidRDefault="00513AB5" w:rsidP="00513AB5">
            <w:pPr>
              <w:spacing w:before="100" w:after="100"/>
              <w:jc w:val="left"/>
              <w:rPr>
                <w:sz w:val="22"/>
              </w:rPr>
            </w:pPr>
          </w:p>
        </w:tc>
        <w:tc>
          <w:tcPr>
            <w:tcW w:w="630" w:type="dxa"/>
            <w:tcBorders>
              <w:bottom w:val="single" w:sz="12" w:space="0" w:color="auto"/>
            </w:tcBorders>
          </w:tcPr>
          <w:p w14:paraId="53811D11" w14:textId="77777777" w:rsidR="00513AB5" w:rsidRDefault="00513AB5" w:rsidP="00513AB5">
            <w:pPr>
              <w:spacing w:before="100" w:after="100"/>
              <w:jc w:val="center"/>
              <w:rPr>
                <w:sz w:val="22"/>
              </w:rPr>
            </w:pPr>
          </w:p>
        </w:tc>
        <w:tc>
          <w:tcPr>
            <w:tcW w:w="540" w:type="dxa"/>
            <w:tcBorders>
              <w:bottom w:val="single" w:sz="12" w:space="0" w:color="auto"/>
            </w:tcBorders>
          </w:tcPr>
          <w:p w14:paraId="1B450366" w14:textId="77777777" w:rsidR="00513AB5" w:rsidRDefault="00513AB5" w:rsidP="00513AB5">
            <w:pPr>
              <w:spacing w:before="100" w:after="100"/>
              <w:jc w:val="center"/>
              <w:rPr>
                <w:sz w:val="22"/>
              </w:rPr>
            </w:pPr>
          </w:p>
        </w:tc>
        <w:tc>
          <w:tcPr>
            <w:tcW w:w="900" w:type="dxa"/>
            <w:tcBorders>
              <w:bottom w:val="single" w:sz="12" w:space="0" w:color="auto"/>
            </w:tcBorders>
          </w:tcPr>
          <w:p w14:paraId="41A01AF3" w14:textId="77777777" w:rsidR="00513AB5" w:rsidRDefault="00513AB5" w:rsidP="00513AB5">
            <w:pPr>
              <w:spacing w:before="100" w:after="100"/>
              <w:jc w:val="center"/>
              <w:rPr>
                <w:sz w:val="22"/>
              </w:rPr>
            </w:pPr>
          </w:p>
        </w:tc>
        <w:tc>
          <w:tcPr>
            <w:tcW w:w="810" w:type="dxa"/>
            <w:tcBorders>
              <w:bottom w:val="single" w:sz="12" w:space="0" w:color="auto"/>
            </w:tcBorders>
          </w:tcPr>
          <w:p w14:paraId="3636AD47" w14:textId="77777777" w:rsidR="00513AB5" w:rsidRDefault="00513AB5" w:rsidP="00513AB5">
            <w:pPr>
              <w:spacing w:before="100" w:after="100"/>
              <w:jc w:val="center"/>
              <w:rPr>
                <w:sz w:val="22"/>
              </w:rPr>
            </w:pPr>
          </w:p>
        </w:tc>
        <w:tc>
          <w:tcPr>
            <w:tcW w:w="810" w:type="dxa"/>
            <w:tcBorders>
              <w:bottom w:val="single" w:sz="12" w:space="0" w:color="auto"/>
            </w:tcBorders>
          </w:tcPr>
          <w:p w14:paraId="6AA23DD4" w14:textId="77777777" w:rsidR="00513AB5" w:rsidRDefault="00513AB5" w:rsidP="00513AB5">
            <w:pPr>
              <w:spacing w:before="100" w:after="100"/>
              <w:jc w:val="center"/>
              <w:rPr>
                <w:sz w:val="22"/>
              </w:rPr>
            </w:pPr>
          </w:p>
        </w:tc>
        <w:tc>
          <w:tcPr>
            <w:tcW w:w="900" w:type="dxa"/>
            <w:tcBorders>
              <w:bottom w:val="single" w:sz="12" w:space="0" w:color="auto"/>
            </w:tcBorders>
          </w:tcPr>
          <w:p w14:paraId="6D2AE154" w14:textId="77777777" w:rsidR="00513AB5" w:rsidRDefault="00513AB5" w:rsidP="00513AB5">
            <w:pPr>
              <w:spacing w:before="100" w:after="100"/>
              <w:jc w:val="center"/>
              <w:rPr>
                <w:sz w:val="22"/>
              </w:rPr>
            </w:pPr>
          </w:p>
        </w:tc>
        <w:tc>
          <w:tcPr>
            <w:tcW w:w="810" w:type="dxa"/>
            <w:tcBorders>
              <w:bottom w:val="single" w:sz="12" w:space="0" w:color="auto"/>
            </w:tcBorders>
          </w:tcPr>
          <w:p w14:paraId="21134243" w14:textId="77777777" w:rsidR="00513AB5" w:rsidRDefault="00513AB5" w:rsidP="00513AB5">
            <w:pPr>
              <w:spacing w:before="100" w:after="100"/>
              <w:jc w:val="center"/>
              <w:rPr>
                <w:sz w:val="22"/>
              </w:rPr>
            </w:pPr>
          </w:p>
        </w:tc>
        <w:tc>
          <w:tcPr>
            <w:tcW w:w="990" w:type="dxa"/>
            <w:tcBorders>
              <w:bottom w:val="single" w:sz="12" w:space="0" w:color="auto"/>
            </w:tcBorders>
          </w:tcPr>
          <w:p w14:paraId="7AE1C9CC" w14:textId="77777777" w:rsidR="00513AB5" w:rsidRDefault="00513AB5" w:rsidP="00513AB5">
            <w:pPr>
              <w:spacing w:before="100" w:after="100"/>
              <w:jc w:val="center"/>
              <w:rPr>
                <w:sz w:val="22"/>
              </w:rPr>
            </w:pPr>
          </w:p>
        </w:tc>
        <w:tc>
          <w:tcPr>
            <w:tcW w:w="720" w:type="dxa"/>
            <w:tcBorders>
              <w:bottom w:val="single" w:sz="12" w:space="0" w:color="auto"/>
            </w:tcBorders>
          </w:tcPr>
          <w:p w14:paraId="43077F8F" w14:textId="77777777" w:rsidR="00513AB5" w:rsidRDefault="00513AB5" w:rsidP="00513AB5">
            <w:pPr>
              <w:spacing w:before="100" w:after="100"/>
              <w:jc w:val="center"/>
              <w:rPr>
                <w:sz w:val="22"/>
              </w:rPr>
            </w:pPr>
          </w:p>
        </w:tc>
        <w:tc>
          <w:tcPr>
            <w:tcW w:w="720" w:type="dxa"/>
            <w:tcBorders>
              <w:bottom w:val="single" w:sz="12" w:space="0" w:color="auto"/>
            </w:tcBorders>
          </w:tcPr>
          <w:p w14:paraId="11B572E2" w14:textId="77777777" w:rsidR="00513AB5" w:rsidRDefault="00513AB5" w:rsidP="00513AB5">
            <w:pPr>
              <w:spacing w:before="100" w:after="100"/>
              <w:jc w:val="center"/>
              <w:rPr>
                <w:sz w:val="22"/>
              </w:rPr>
            </w:pPr>
          </w:p>
        </w:tc>
        <w:tc>
          <w:tcPr>
            <w:tcW w:w="720" w:type="dxa"/>
            <w:tcBorders>
              <w:bottom w:val="single" w:sz="12" w:space="0" w:color="auto"/>
            </w:tcBorders>
          </w:tcPr>
          <w:p w14:paraId="79050B16" w14:textId="77777777" w:rsidR="00513AB5" w:rsidRDefault="00513AB5" w:rsidP="00513AB5">
            <w:pPr>
              <w:spacing w:before="100" w:after="100"/>
              <w:jc w:val="center"/>
              <w:rPr>
                <w:sz w:val="22"/>
              </w:rPr>
            </w:pPr>
          </w:p>
        </w:tc>
        <w:tc>
          <w:tcPr>
            <w:tcW w:w="728" w:type="dxa"/>
            <w:tcBorders>
              <w:bottom w:val="single" w:sz="12" w:space="0" w:color="auto"/>
            </w:tcBorders>
          </w:tcPr>
          <w:p w14:paraId="518733AB" w14:textId="77777777" w:rsidR="00513AB5" w:rsidRDefault="00513AB5" w:rsidP="00513AB5">
            <w:pPr>
              <w:spacing w:before="100" w:after="100"/>
              <w:jc w:val="center"/>
              <w:rPr>
                <w:sz w:val="22"/>
              </w:rPr>
            </w:pPr>
          </w:p>
        </w:tc>
      </w:tr>
      <w:tr w:rsidR="00542D9B" w14:paraId="1675079D" w14:textId="77777777" w:rsidTr="00012998">
        <w:trPr>
          <w:cantSplit/>
        </w:trPr>
        <w:tc>
          <w:tcPr>
            <w:tcW w:w="532" w:type="dxa"/>
            <w:tcBorders>
              <w:top w:val="single" w:sz="12" w:space="0" w:color="auto"/>
              <w:left w:val="single" w:sz="12" w:space="0" w:color="auto"/>
              <w:bottom w:val="single" w:sz="12" w:space="0" w:color="auto"/>
            </w:tcBorders>
          </w:tcPr>
          <w:p w14:paraId="0D857F56" w14:textId="2F6B6145" w:rsidR="00513AB5" w:rsidRPr="001136D3" w:rsidRDefault="00513AB5" w:rsidP="001136D3">
            <w:pPr>
              <w:spacing w:after="0"/>
              <w:jc w:val="left"/>
              <w:rPr>
                <w:sz w:val="22"/>
                <w:szCs w:val="22"/>
              </w:rPr>
            </w:pPr>
            <w:r w:rsidRPr="001136D3">
              <w:rPr>
                <w:b/>
                <w:sz w:val="22"/>
                <w:szCs w:val="22"/>
              </w:rPr>
              <w:t>0</w:t>
            </w:r>
            <w:r w:rsidR="000976CE">
              <w:rPr>
                <w:b/>
                <w:sz w:val="22"/>
                <w:szCs w:val="22"/>
              </w:rPr>
              <w:t>.</w:t>
            </w:r>
          </w:p>
        </w:tc>
        <w:tc>
          <w:tcPr>
            <w:tcW w:w="3150" w:type="dxa"/>
            <w:tcBorders>
              <w:top w:val="single" w:sz="12" w:space="0" w:color="auto"/>
              <w:bottom w:val="single" w:sz="12" w:space="0" w:color="auto"/>
            </w:tcBorders>
          </w:tcPr>
          <w:p w14:paraId="5572CDCC" w14:textId="77777777" w:rsidR="00513AB5" w:rsidRPr="001136D3" w:rsidRDefault="00513AB5" w:rsidP="001136D3">
            <w:pPr>
              <w:spacing w:after="0"/>
              <w:jc w:val="left"/>
              <w:rPr>
                <w:sz w:val="22"/>
                <w:szCs w:val="22"/>
              </w:rPr>
            </w:pPr>
            <w:r w:rsidRPr="001136D3">
              <w:rPr>
                <w:b/>
                <w:sz w:val="22"/>
                <w:szCs w:val="22"/>
              </w:rPr>
              <w:t>Inception Phase</w:t>
            </w:r>
          </w:p>
        </w:tc>
        <w:tc>
          <w:tcPr>
            <w:tcW w:w="630" w:type="dxa"/>
            <w:tcBorders>
              <w:top w:val="single" w:sz="12" w:space="0" w:color="auto"/>
              <w:bottom w:val="single" w:sz="12" w:space="0" w:color="auto"/>
            </w:tcBorders>
          </w:tcPr>
          <w:p w14:paraId="304DF6DC"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3A04110A" w14:textId="2682B4E3" w:rsidR="00513AB5" w:rsidRPr="004C7918" w:rsidRDefault="004C7918" w:rsidP="001136D3">
            <w:pPr>
              <w:spacing w:after="0"/>
              <w:ind w:left="36"/>
              <w:jc w:val="center"/>
              <w:rPr>
                <w:b/>
                <w:sz w:val="20"/>
              </w:rPr>
            </w:pPr>
            <w:r w:rsidRPr="004C7918">
              <w:rPr>
                <w:b/>
                <w:sz w:val="20"/>
              </w:rPr>
              <w:t>1</w:t>
            </w:r>
          </w:p>
        </w:tc>
        <w:tc>
          <w:tcPr>
            <w:tcW w:w="900" w:type="dxa"/>
            <w:tcBorders>
              <w:top w:val="single" w:sz="12" w:space="0" w:color="auto"/>
              <w:bottom w:val="single" w:sz="12" w:space="0" w:color="auto"/>
            </w:tcBorders>
          </w:tcPr>
          <w:p w14:paraId="490E9289"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F186CC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77130F45"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13DD49C"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C1238F8"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522042D5"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3AB0BCD2"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9489D28"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1C1CB57"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62A2B134" w14:textId="77777777" w:rsidR="00513AB5" w:rsidRDefault="00513AB5" w:rsidP="001136D3">
            <w:pPr>
              <w:spacing w:after="0"/>
              <w:jc w:val="center"/>
              <w:rPr>
                <w:sz w:val="20"/>
              </w:rPr>
            </w:pPr>
          </w:p>
        </w:tc>
      </w:tr>
      <w:tr w:rsidR="00542D9B" w14:paraId="6F945797" w14:textId="77777777" w:rsidTr="00012998">
        <w:trPr>
          <w:cantSplit/>
        </w:trPr>
        <w:tc>
          <w:tcPr>
            <w:tcW w:w="532" w:type="dxa"/>
            <w:tcBorders>
              <w:top w:val="single" w:sz="12" w:space="0" w:color="auto"/>
              <w:bottom w:val="single" w:sz="12" w:space="0" w:color="auto"/>
            </w:tcBorders>
          </w:tcPr>
          <w:p w14:paraId="22B1BED8"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17F32FC6" w14:textId="77777777" w:rsidR="00513AB5" w:rsidRPr="00B50A96" w:rsidRDefault="00513AB5" w:rsidP="001136D3">
            <w:pPr>
              <w:spacing w:after="0"/>
              <w:ind w:left="36"/>
              <w:jc w:val="left"/>
              <w:rPr>
                <w:sz w:val="20"/>
              </w:rPr>
            </w:pPr>
            <w:r w:rsidRPr="001136D3">
              <w:rPr>
                <w:sz w:val="20"/>
              </w:rPr>
              <w:t>0.1 Project Plan</w:t>
            </w:r>
          </w:p>
        </w:tc>
        <w:tc>
          <w:tcPr>
            <w:tcW w:w="630" w:type="dxa"/>
            <w:tcBorders>
              <w:top w:val="single" w:sz="12" w:space="0" w:color="auto"/>
              <w:bottom w:val="single" w:sz="12" w:space="0" w:color="auto"/>
            </w:tcBorders>
          </w:tcPr>
          <w:p w14:paraId="677C8775"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2F658D1D"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65E363CE"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F78C09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681F44B"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285AFF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DBD9FCE"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7EA87753"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1FF6B506"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68B630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3C63A238"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55531689" w14:textId="77777777" w:rsidR="00513AB5" w:rsidRDefault="00513AB5" w:rsidP="001136D3">
            <w:pPr>
              <w:spacing w:after="0"/>
              <w:jc w:val="center"/>
              <w:rPr>
                <w:sz w:val="20"/>
              </w:rPr>
            </w:pPr>
          </w:p>
        </w:tc>
      </w:tr>
      <w:tr w:rsidR="00542D9B" w14:paraId="6C6D8467" w14:textId="77777777" w:rsidTr="00012998">
        <w:trPr>
          <w:cantSplit/>
        </w:trPr>
        <w:tc>
          <w:tcPr>
            <w:tcW w:w="532" w:type="dxa"/>
            <w:tcBorders>
              <w:top w:val="single" w:sz="12" w:space="0" w:color="auto"/>
              <w:left w:val="single" w:sz="12" w:space="0" w:color="auto"/>
              <w:bottom w:val="single" w:sz="12" w:space="0" w:color="auto"/>
            </w:tcBorders>
          </w:tcPr>
          <w:p w14:paraId="28F1232F" w14:textId="4B674375" w:rsidR="00513AB5" w:rsidRPr="008E7F57" w:rsidRDefault="00513AB5" w:rsidP="001136D3">
            <w:pPr>
              <w:spacing w:after="0"/>
              <w:jc w:val="left"/>
              <w:rPr>
                <w:b/>
                <w:sz w:val="22"/>
                <w:szCs w:val="22"/>
              </w:rPr>
            </w:pPr>
            <w:r w:rsidRPr="008E7F57">
              <w:rPr>
                <w:b/>
                <w:sz w:val="22"/>
                <w:szCs w:val="22"/>
              </w:rPr>
              <w:t>1</w:t>
            </w:r>
            <w:r w:rsidR="000976CE" w:rsidRPr="008E7F57">
              <w:rPr>
                <w:b/>
                <w:sz w:val="22"/>
                <w:szCs w:val="22"/>
              </w:rPr>
              <w:t>.</w:t>
            </w:r>
          </w:p>
        </w:tc>
        <w:tc>
          <w:tcPr>
            <w:tcW w:w="3150" w:type="dxa"/>
            <w:tcBorders>
              <w:top w:val="single" w:sz="12" w:space="0" w:color="auto"/>
              <w:bottom w:val="single" w:sz="12" w:space="0" w:color="auto"/>
            </w:tcBorders>
          </w:tcPr>
          <w:p w14:paraId="45DF8822" w14:textId="77777777" w:rsidR="00513AB5" w:rsidRPr="008E7F57" w:rsidRDefault="00513AB5" w:rsidP="001136D3">
            <w:pPr>
              <w:spacing w:after="0"/>
              <w:ind w:left="36"/>
              <w:jc w:val="left"/>
              <w:rPr>
                <w:b/>
                <w:sz w:val="22"/>
                <w:szCs w:val="22"/>
              </w:rPr>
            </w:pPr>
            <w:r w:rsidRPr="001136D3">
              <w:rPr>
                <w:b/>
                <w:sz w:val="22"/>
                <w:szCs w:val="22"/>
              </w:rPr>
              <w:t>Define, validate the objectives and scope</w:t>
            </w:r>
          </w:p>
        </w:tc>
        <w:tc>
          <w:tcPr>
            <w:tcW w:w="630" w:type="dxa"/>
            <w:tcBorders>
              <w:top w:val="single" w:sz="12" w:space="0" w:color="auto"/>
              <w:bottom w:val="single" w:sz="12" w:space="0" w:color="auto"/>
            </w:tcBorders>
          </w:tcPr>
          <w:p w14:paraId="2B7653D3" w14:textId="77777777" w:rsidR="00513AB5" w:rsidRPr="008E7F57" w:rsidRDefault="00513AB5" w:rsidP="001136D3">
            <w:pPr>
              <w:spacing w:after="0"/>
              <w:ind w:left="36"/>
              <w:jc w:val="center"/>
              <w:rPr>
                <w:b/>
                <w:sz w:val="22"/>
                <w:szCs w:val="22"/>
              </w:rPr>
            </w:pPr>
          </w:p>
        </w:tc>
        <w:tc>
          <w:tcPr>
            <w:tcW w:w="540" w:type="dxa"/>
            <w:tcBorders>
              <w:top w:val="single" w:sz="12" w:space="0" w:color="auto"/>
              <w:bottom w:val="single" w:sz="12" w:space="0" w:color="auto"/>
            </w:tcBorders>
          </w:tcPr>
          <w:p w14:paraId="757A8676" w14:textId="07E8EFB3" w:rsidR="00513AB5" w:rsidRPr="008E7F57" w:rsidRDefault="004C7918" w:rsidP="001136D3">
            <w:pPr>
              <w:spacing w:after="0"/>
              <w:ind w:left="36"/>
              <w:jc w:val="center"/>
              <w:rPr>
                <w:b/>
                <w:sz w:val="22"/>
                <w:szCs w:val="22"/>
              </w:rPr>
            </w:pPr>
            <w:r w:rsidRPr="004C7918">
              <w:rPr>
                <w:b/>
                <w:sz w:val="20"/>
              </w:rPr>
              <w:t>1</w:t>
            </w:r>
          </w:p>
        </w:tc>
        <w:tc>
          <w:tcPr>
            <w:tcW w:w="900" w:type="dxa"/>
            <w:tcBorders>
              <w:top w:val="single" w:sz="12" w:space="0" w:color="auto"/>
              <w:bottom w:val="single" w:sz="12" w:space="0" w:color="auto"/>
            </w:tcBorders>
          </w:tcPr>
          <w:p w14:paraId="788561A3" w14:textId="77777777" w:rsidR="00513AB5" w:rsidRPr="008E7F57" w:rsidRDefault="00513AB5" w:rsidP="001136D3">
            <w:pPr>
              <w:spacing w:after="0"/>
              <w:ind w:left="36"/>
              <w:jc w:val="center"/>
              <w:rPr>
                <w:b/>
                <w:sz w:val="22"/>
                <w:szCs w:val="22"/>
              </w:rPr>
            </w:pPr>
          </w:p>
        </w:tc>
        <w:tc>
          <w:tcPr>
            <w:tcW w:w="810" w:type="dxa"/>
            <w:tcBorders>
              <w:top w:val="single" w:sz="12" w:space="0" w:color="auto"/>
              <w:bottom w:val="single" w:sz="12" w:space="0" w:color="auto"/>
            </w:tcBorders>
          </w:tcPr>
          <w:p w14:paraId="2FFFA553" w14:textId="77777777" w:rsidR="00513AB5" w:rsidRPr="008E7F57" w:rsidRDefault="00513AB5" w:rsidP="001136D3">
            <w:pPr>
              <w:spacing w:after="0"/>
              <w:ind w:left="36"/>
              <w:jc w:val="center"/>
              <w:rPr>
                <w:b/>
                <w:sz w:val="22"/>
                <w:szCs w:val="22"/>
              </w:rPr>
            </w:pPr>
          </w:p>
        </w:tc>
        <w:tc>
          <w:tcPr>
            <w:tcW w:w="810" w:type="dxa"/>
            <w:tcBorders>
              <w:top w:val="single" w:sz="12" w:space="0" w:color="auto"/>
              <w:bottom w:val="single" w:sz="12" w:space="0" w:color="auto"/>
            </w:tcBorders>
          </w:tcPr>
          <w:p w14:paraId="7D762569" w14:textId="77777777" w:rsidR="00513AB5" w:rsidRPr="008E7F57" w:rsidRDefault="00513AB5" w:rsidP="001136D3">
            <w:pPr>
              <w:spacing w:after="0"/>
              <w:ind w:left="36"/>
              <w:jc w:val="center"/>
              <w:rPr>
                <w:b/>
                <w:sz w:val="22"/>
                <w:szCs w:val="22"/>
              </w:rPr>
            </w:pPr>
          </w:p>
        </w:tc>
        <w:tc>
          <w:tcPr>
            <w:tcW w:w="900" w:type="dxa"/>
            <w:tcBorders>
              <w:top w:val="single" w:sz="12" w:space="0" w:color="auto"/>
              <w:bottom w:val="single" w:sz="12" w:space="0" w:color="auto"/>
            </w:tcBorders>
          </w:tcPr>
          <w:p w14:paraId="38861931" w14:textId="77777777" w:rsidR="00513AB5" w:rsidRPr="008E7F57" w:rsidRDefault="00513AB5" w:rsidP="001136D3">
            <w:pPr>
              <w:spacing w:after="0"/>
              <w:ind w:left="36"/>
              <w:jc w:val="center"/>
              <w:rPr>
                <w:b/>
                <w:sz w:val="22"/>
                <w:szCs w:val="22"/>
              </w:rPr>
            </w:pPr>
          </w:p>
        </w:tc>
        <w:tc>
          <w:tcPr>
            <w:tcW w:w="810" w:type="dxa"/>
            <w:tcBorders>
              <w:top w:val="single" w:sz="12" w:space="0" w:color="auto"/>
              <w:bottom w:val="single" w:sz="12" w:space="0" w:color="auto"/>
            </w:tcBorders>
          </w:tcPr>
          <w:p w14:paraId="0B8143F2" w14:textId="77777777" w:rsidR="00513AB5" w:rsidRPr="008E7F57" w:rsidRDefault="00513AB5" w:rsidP="001136D3">
            <w:pPr>
              <w:spacing w:after="0"/>
              <w:ind w:left="36"/>
              <w:jc w:val="center"/>
              <w:rPr>
                <w:b/>
                <w:sz w:val="22"/>
                <w:szCs w:val="22"/>
              </w:rPr>
            </w:pPr>
          </w:p>
        </w:tc>
        <w:tc>
          <w:tcPr>
            <w:tcW w:w="990" w:type="dxa"/>
            <w:tcBorders>
              <w:top w:val="single" w:sz="12" w:space="0" w:color="auto"/>
              <w:bottom w:val="single" w:sz="12" w:space="0" w:color="auto"/>
            </w:tcBorders>
          </w:tcPr>
          <w:p w14:paraId="791857E7" w14:textId="77777777" w:rsidR="00513AB5" w:rsidRPr="008E7F57" w:rsidRDefault="00513AB5" w:rsidP="001136D3">
            <w:pPr>
              <w:spacing w:after="0"/>
              <w:ind w:left="36"/>
              <w:jc w:val="center"/>
              <w:rPr>
                <w:b/>
                <w:sz w:val="22"/>
                <w:szCs w:val="22"/>
              </w:rPr>
            </w:pPr>
          </w:p>
        </w:tc>
        <w:tc>
          <w:tcPr>
            <w:tcW w:w="720" w:type="dxa"/>
            <w:tcBorders>
              <w:top w:val="single" w:sz="12" w:space="0" w:color="auto"/>
              <w:bottom w:val="single" w:sz="12" w:space="0" w:color="auto"/>
            </w:tcBorders>
          </w:tcPr>
          <w:p w14:paraId="35F13394" w14:textId="77777777" w:rsidR="00513AB5" w:rsidRPr="008E7F57" w:rsidRDefault="00513AB5" w:rsidP="001136D3">
            <w:pPr>
              <w:spacing w:after="0"/>
              <w:jc w:val="center"/>
              <w:rPr>
                <w:b/>
                <w:sz w:val="22"/>
                <w:szCs w:val="22"/>
              </w:rPr>
            </w:pPr>
          </w:p>
        </w:tc>
        <w:tc>
          <w:tcPr>
            <w:tcW w:w="720" w:type="dxa"/>
            <w:tcBorders>
              <w:top w:val="single" w:sz="12" w:space="0" w:color="auto"/>
              <w:bottom w:val="single" w:sz="12" w:space="0" w:color="auto"/>
            </w:tcBorders>
          </w:tcPr>
          <w:p w14:paraId="01547595" w14:textId="77777777" w:rsidR="00513AB5" w:rsidRPr="008E7F57" w:rsidRDefault="00513AB5" w:rsidP="001136D3">
            <w:pPr>
              <w:spacing w:after="0"/>
              <w:jc w:val="center"/>
              <w:rPr>
                <w:b/>
                <w:sz w:val="22"/>
                <w:szCs w:val="22"/>
              </w:rPr>
            </w:pPr>
          </w:p>
        </w:tc>
        <w:tc>
          <w:tcPr>
            <w:tcW w:w="720" w:type="dxa"/>
            <w:tcBorders>
              <w:top w:val="single" w:sz="12" w:space="0" w:color="auto"/>
              <w:bottom w:val="single" w:sz="12" w:space="0" w:color="auto"/>
            </w:tcBorders>
          </w:tcPr>
          <w:p w14:paraId="202F8D2D" w14:textId="77777777" w:rsidR="00513AB5" w:rsidRPr="008E7F57" w:rsidRDefault="00513AB5" w:rsidP="001136D3">
            <w:pPr>
              <w:spacing w:after="0"/>
              <w:jc w:val="center"/>
              <w:rPr>
                <w:b/>
                <w:sz w:val="22"/>
                <w:szCs w:val="22"/>
              </w:rPr>
            </w:pPr>
          </w:p>
        </w:tc>
        <w:tc>
          <w:tcPr>
            <w:tcW w:w="728" w:type="dxa"/>
            <w:tcBorders>
              <w:top w:val="single" w:sz="12" w:space="0" w:color="auto"/>
              <w:bottom w:val="single" w:sz="12" w:space="0" w:color="auto"/>
              <w:right w:val="single" w:sz="12" w:space="0" w:color="auto"/>
            </w:tcBorders>
          </w:tcPr>
          <w:p w14:paraId="5B47CC17" w14:textId="77777777" w:rsidR="00513AB5" w:rsidRPr="008E7F57" w:rsidRDefault="00513AB5" w:rsidP="001136D3">
            <w:pPr>
              <w:spacing w:after="0"/>
              <w:jc w:val="center"/>
              <w:rPr>
                <w:b/>
                <w:sz w:val="22"/>
                <w:szCs w:val="22"/>
              </w:rPr>
            </w:pPr>
          </w:p>
        </w:tc>
      </w:tr>
      <w:tr w:rsidR="00542D9B" w14:paraId="47B0AEF6" w14:textId="77777777" w:rsidTr="00012998">
        <w:trPr>
          <w:cantSplit/>
        </w:trPr>
        <w:tc>
          <w:tcPr>
            <w:tcW w:w="532" w:type="dxa"/>
            <w:tcBorders>
              <w:top w:val="single" w:sz="12" w:space="0" w:color="auto"/>
              <w:left w:val="single" w:sz="12" w:space="0" w:color="auto"/>
              <w:bottom w:val="single" w:sz="12" w:space="0" w:color="auto"/>
              <w:right w:val="single" w:sz="4" w:space="0" w:color="808080"/>
            </w:tcBorders>
          </w:tcPr>
          <w:p w14:paraId="407D571C" w14:textId="590D7F31" w:rsidR="00513AB5" w:rsidRDefault="00513AB5" w:rsidP="001136D3">
            <w:pPr>
              <w:spacing w:after="0"/>
              <w:jc w:val="left"/>
              <w:rPr>
                <w:sz w:val="20"/>
              </w:rPr>
            </w:pPr>
            <w:r w:rsidRPr="004242BF">
              <w:rPr>
                <w:b/>
                <w:szCs w:val="22"/>
              </w:rPr>
              <w:t>2</w:t>
            </w:r>
            <w:r w:rsidR="000976CE">
              <w:rPr>
                <w:b/>
                <w:szCs w:val="22"/>
              </w:rPr>
              <w:t>.</w:t>
            </w:r>
          </w:p>
        </w:tc>
        <w:tc>
          <w:tcPr>
            <w:tcW w:w="3150" w:type="dxa"/>
            <w:tcBorders>
              <w:top w:val="single" w:sz="12" w:space="0" w:color="auto"/>
              <w:left w:val="single" w:sz="4" w:space="0" w:color="808080"/>
              <w:bottom w:val="single" w:sz="12" w:space="0" w:color="auto"/>
              <w:right w:val="single" w:sz="4" w:space="0" w:color="808080"/>
            </w:tcBorders>
          </w:tcPr>
          <w:p w14:paraId="23839208" w14:textId="77777777" w:rsidR="00513AB5" w:rsidRPr="001136D3" w:rsidRDefault="00513AB5" w:rsidP="001136D3">
            <w:pPr>
              <w:spacing w:after="0"/>
              <w:ind w:left="36"/>
              <w:jc w:val="left"/>
              <w:rPr>
                <w:sz w:val="22"/>
                <w:szCs w:val="22"/>
              </w:rPr>
            </w:pPr>
            <w:r w:rsidRPr="001136D3">
              <w:rPr>
                <w:b/>
                <w:sz w:val="22"/>
                <w:szCs w:val="22"/>
              </w:rPr>
              <w:t>Specification Phase 1</w:t>
            </w:r>
          </w:p>
        </w:tc>
        <w:tc>
          <w:tcPr>
            <w:tcW w:w="630" w:type="dxa"/>
            <w:tcBorders>
              <w:top w:val="single" w:sz="12" w:space="0" w:color="auto"/>
              <w:left w:val="single" w:sz="4" w:space="0" w:color="808080"/>
              <w:bottom w:val="single" w:sz="12" w:space="0" w:color="auto"/>
              <w:right w:val="single" w:sz="4" w:space="0" w:color="808080"/>
            </w:tcBorders>
          </w:tcPr>
          <w:p w14:paraId="098613FA" w14:textId="77777777" w:rsidR="00513AB5" w:rsidRDefault="00513AB5" w:rsidP="001136D3">
            <w:pPr>
              <w:spacing w:after="0"/>
              <w:ind w:left="36"/>
              <w:jc w:val="center"/>
              <w:rPr>
                <w:sz w:val="20"/>
              </w:rPr>
            </w:pPr>
          </w:p>
        </w:tc>
        <w:tc>
          <w:tcPr>
            <w:tcW w:w="540" w:type="dxa"/>
            <w:tcBorders>
              <w:top w:val="single" w:sz="12" w:space="0" w:color="auto"/>
              <w:left w:val="single" w:sz="4" w:space="0" w:color="808080"/>
              <w:bottom w:val="single" w:sz="12" w:space="0" w:color="auto"/>
              <w:right w:val="single" w:sz="4" w:space="0" w:color="808080"/>
            </w:tcBorders>
          </w:tcPr>
          <w:p w14:paraId="77B913D7" w14:textId="04385AE3" w:rsidR="00513AB5" w:rsidRDefault="004C7918" w:rsidP="001136D3">
            <w:pPr>
              <w:spacing w:after="0"/>
              <w:ind w:left="36"/>
              <w:jc w:val="center"/>
              <w:rPr>
                <w:sz w:val="20"/>
              </w:rPr>
            </w:pPr>
            <w:r w:rsidRPr="004C7918">
              <w:rPr>
                <w:b/>
                <w:sz w:val="20"/>
              </w:rPr>
              <w:t>1</w:t>
            </w:r>
          </w:p>
        </w:tc>
        <w:tc>
          <w:tcPr>
            <w:tcW w:w="900" w:type="dxa"/>
            <w:tcBorders>
              <w:top w:val="single" w:sz="12" w:space="0" w:color="auto"/>
              <w:left w:val="single" w:sz="4" w:space="0" w:color="808080"/>
              <w:bottom w:val="single" w:sz="12" w:space="0" w:color="auto"/>
              <w:right w:val="single" w:sz="4" w:space="0" w:color="808080"/>
            </w:tcBorders>
          </w:tcPr>
          <w:p w14:paraId="123B1DE3" w14:textId="77777777" w:rsidR="00513AB5" w:rsidRDefault="00513AB5" w:rsidP="001136D3">
            <w:pPr>
              <w:spacing w:after="0"/>
              <w:ind w:left="36"/>
              <w:jc w:val="center"/>
              <w:rPr>
                <w:sz w:val="20"/>
              </w:rPr>
            </w:pPr>
          </w:p>
        </w:tc>
        <w:tc>
          <w:tcPr>
            <w:tcW w:w="810" w:type="dxa"/>
            <w:tcBorders>
              <w:top w:val="single" w:sz="12" w:space="0" w:color="auto"/>
              <w:left w:val="single" w:sz="4" w:space="0" w:color="808080"/>
              <w:bottom w:val="single" w:sz="12" w:space="0" w:color="auto"/>
              <w:right w:val="single" w:sz="4" w:space="0" w:color="808080"/>
            </w:tcBorders>
          </w:tcPr>
          <w:p w14:paraId="00F64DD5" w14:textId="77777777" w:rsidR="00513AB5" w:rsidRDefault="00513AB5" w:rsidP="001136D3">
            <w:pPr>
              <w:spacing w:after="0"/>
              <w:ind w:left="36"/>
              <w:jc w:val="center"/>
              <w:rPr>
                <w:sz w:val="20"/>
              </w:rPr>
            </w:pPr>
          </w:p>
        </w:tc>
        <w:tc>
          <w:tcPr>
            <w:tcW w:w="810" w:type="dxa"/>
            <w:tcBorders>
              <w:top w:val="single" w:sz="12" w:space="0" w:color="auto"/>
              <w:left w:val="single" w:sz="4" w:space="0" w:color="808080"/>
              <w:bottom w:val="single" w:sz="12" w:space="0" w:color="auto"/>
              <w:right w:val="single" w:sz="4" w:space="0" w:color="808080"/>
            </w:tcBorders>
          </w:tcPr>
          <w:p w14:paraId="041498FC" w14:textId="77777777" w:rsidR="00513AB5" w:rsidRDefault="00513AB5" w:rsidP="001136D3">
            <w:pPr>
              <w:spacing w:after="0"/>
              <w:ind w:left="36"/>
              <w:jc w:val="center"/>
              <w:rPr>
                <w:sz w:val="20"/>
              </w:rPr>
            </w:pPr>
          </w:p>
        </w:tc>
        <w:tc>
          <w:tcPr>
            <w:tcW w:w="900" w:type="dxa"/>
            <w:tcBorders>
              <w:top w:val="single" w:sz="12" w:space="0" w:color="auto"/>
              <w:left w:val="single" w:sz="4" w:space="0" w:color="808080"/>
              <w:bottom w:val="single" w:sz="12" w:space="0" w:color="auto"/>
              <w:right w:val="single" w:sz="4" w:space="0" w:color="808080"/>
            </w:tcBorders>
          </w:tcPr>
          <w:p w14:paraId="253D9C4B" w14:textId="77777777" w:rsidR="00513AB5" w:rsidRDefault="00513AB5" w:rsidP="001136D3">
            <w:pPr>
              <w:spacing w:after="0"/>
              <w:ind w:left="36"/>
              <w:jc w:val="center"/>
              <w:rPr>
                <w:sz w:val="20"/>
              </w:rPr>
            </w:pPr>
          </w:p>
        </w:tc>
        <w:tc>
          <w:tcPr>
            <w:tcW w:w="810" w:type="dxa"/>
            <w:tcBorders>
              <w:top w:val="single" w:sz="12" w:space="0" w:color="auto"/>
              <w:left w:val="single" w:sz="4" w:space="0" w:color="808080"/>
              <w:bottom w:val="single" w:sz="12" w:space="0" w:color="auto"/>
              <w:right w:val="single" w:sz="4" w:space="0" w:color="808080"/>
            </w:tcBorders>
          </w:tcPr>
          <w:p w14:paraId="47A1B6AE" w14:textId="77777777" w:rsidR="00513AB5" w:rsidRDefault="00513AB5" w:rsidP="001136D3">
            <w:pPr>
              <w:spacing w:after="0"/>
              <w:ind w:left="36"/>
              <w:jc w:val="center"/>
              <w:rPr>
                <w:sz w:val="20"/>
              </w:rPr>
            </w:pPr>
          </w:p>
        </w:tc>
        <w:tc>
          <w:tcPr>
            <w:tcW w:w="990" w:type="dxa"/>
            <w:tcBorders>
              <w:top w:val="single" w:sz="12" w:space="0" w:color="auto"/>
              <w:left w:val="single" w:sz="4" w:space="0" w:color="808080"/>
              <w:bottom w:val="single" w:sz="12" w:space="0" w:color="auto"/>
              <w:right w:val="single" w:sz="4" w:space="0" w:color="808080"/>
            </w:tcBorders>
          </w:tcPr>
          <w:p w14:paraId="21EA0C10" w14:textId="77777777" w:rsidR="00513AB5" w:rsidRDefault="00513AB5" w:rsidP="001136D3">
            <w:pPr>
              <w:spacing w:after="0"/>
              <w:ind w:left="36"/>
              <w:jc w:val="center"/>
              <w:rPr>
                <w:sz w:val="20"/>
              </w:rPr>
            </w:pPr>
          </w:p>
        </w:tc>
        <w:tc>
          <w:tcPr>
            <w:tcW w:w="720" w:type="dxa"/>
            <w:tcBorders>
              <w:top w:val="single" w:sz="12" w:space="0" w:color="auto"/>
              <w:left w:val="single" w:sz="4" w:space="0" w:color="808080"/>
              <w:bottom w:val="single" w:sz="12" w:space="0" w:color="auto"/>
              <w:right w:val="single" w:sz="4" w:space="0" w:color="808080"/>
            </w:tcBorders>
          </w:tcPr>
          <w:p w14:paraId="2ADD91B0" w14:textId="77777777" w:rsidR="00513AB5" w:rsidRDefault="00513AB5" w:rsidP="001136D3">
            <w:pPr>
              <w:spacing w:after="0"/>
              <w:jc w:val="center"/>
              <w:rPr>
                <w:sz w:val="20"/>
              </w:rPr>
            </w:pPr>
          </w:p>
        </w:tc>
        <w:tc>
          <w:tcPr>
            <w:tcW w:w="720" w:type="dxa"/>
            <w:tcBorders>
              <w:top w:val="single" w:sz="12" w:space="0" w:color="auto"/>
              <w:left w:val="single" w:sz="4" w:space="0" w:color="808080"/>
              <w:bottom w:val="single" w:sz="12" w:space="0" w:color="auto"/>
              <w:right w:val="single" w:sz="4" w:space="0" w:color="808080"/>
            </w:tcBorders>
          </w:tcPr>
          <w:p w14:paraId="112AD88B" w14:textId="77777777" w:rsidR="00513AB5" w:rsidRDefault="00513AB5" w:rsidP="001136D3">
            <w:pPr>
              <w:spacing w:after="0"/>
              <w:jc w:val="center"/>
              <w:rPr>
                <w:sz w:val="20"/>
              </w:rPr>
            </w:pPr>
          </w:p>
        </w:tc>
        <w:tc>
          <w:tcPr>
            <w:tcW w:w="720" w:type="dxa"/>
            <w:tcBorders>
              <w:top w:val="single" w:sz="12" w:space="0" w:color="auto"/>
              <w:left w:val="single" w:sz="4" w:space="0" w:color="808080"/>
              <w:bottom w:val="single" w:sz="12" w:space="0" w:color="auto"/>
              <w:right w:val="single" w:sz="4" w:space="0" w:color="808080"/>
            </w:tcBorders>
          </w:tcPr>
          <w:p w14:paraId="33C20A8A" w14:textId="77777777" w:rsidR="00513AB5" w:rsidRDefault="00513AB5" w:rsidP="001136D3">
            <w:pPr>
              <w:spacing w:after="0"/>
              <w:jc w:val="center"/>
              <w:rPr>
                <w:sz w:val="20"/>
              </w:rPr>
            </w:pPr>
          </w:p>
        </w:tc>
        <w:tc>
          <w:tcPr>
            <w:tcW w:w="728" w:type="dxa"/>
            <w:tcBorders>
              <w:top w:val="single" w:sz="12" w:space="0" w:color="auto"/>
              <w:left w:val="single" w:sz="4" w:space="0" w:color="808080"/>
              <w:bottom w:val="single" w:sz="12" w:space="0" w:color="auto"/>
              <w:right w:val="single" w:sz="12" w:space="0" w:color="auto"/>
            </w:tcBorders>
          </w:tcPr>
          <w:p w14:paraId="361B12E5" w14:textId="77777777" w:rsidR="00513AB5" w:rsidRDefault="00513AB5" w:rsidP="001136D3">
            <w:pPr>
              <w:spacing w:after="0"/>
              <w:jc w:val="center"/>
              <w:rPr>
                <w:sz w:val="20"/>
              </w:rPr>
            </w:pPr>
          </w:p>
        </w:tc>
      </w:tr>
      <w:tr w:rsidR="00542D9B" w14:paraId="3D42986E" w14:textId="77777777" w:rsidTr="00012998">
        <w:trPr>
          <w:cantSplit/>
        </w:trPr>
        <w:tc>
          <w:tcPr>
            <w:tcW w:w="532" w:type="dxa"/>
            <w:tcBorders>
              <w:top w:val="single" w:sz="12" w:space="0" w:color="auto"/>
              <w:bottom w:val="single" w:sz="12" w:space="0" w:color="auto"/>
            </w:tcBorders>
          </w:tcPr>
          <w:p w14:paraId="6034F00D" w14:textId="77777777" w:rsidR="00513AB5" w:rsidRDefault="00513AB5" w:rsidP="00513AB5">
            <w:pPr>
              <w:spacing w:after="0"/>
              <w:jc w:val="left"/>
              <w:rPr>
                <w:sz w:val="20"/>
              </w:rPr>
            </w:pPr>
          </w:p>
        </w:tc>
        <w:tc>
          <w:tcPr>
            <w:tcW w:w="3150" w:type="dxa"/>
            <w:tcBorders>
              <w:top w:val="single" w:sz="12" w:space="0" w:color="auto"/>
              <w:bottom w:val="single" w:sz="12" w:space="0" w:color="auto"/>
            </w:tcBorders>
          </w:tcPr>
          <w:p w14:paraId="69EA1702" w14:textId="77777777" w:rsidR="00513AB5" w:rsidRPr="001136D3" w:rsidRDefault="00513AB5" w:rsidP="00513AB5">
            <w:pPr>
              <w:tabs>
                <w:tab w:val="left" w:pos="9900"/>
              </w:tabs>
              <w:spacing w:after="0"/>
              <w:jc w:val="left"/>
              <w:rPr>
                <w:sz w:val="20"/>
                <w:szCs w:val="22"/>
              </w:rPr>
            </w:pPr>
            <w:r w:rsidRPr="001136D3">
              <w:rPr>
                <w:sz w:val="20"/>
                <w:szCs w:val="22"/>
              </w:rPr>
              <w:t>2.1 High Level Architecture Models</w:t>
            </w:r>
          </w:p>
          <w:p w14:paraId="5481A455" w14:textId="77777777" w:rsidR="00513AB5" w:rsidRPr="001136D3" w:rsidRDefault="00513AB5" w:rsidP="00513AB5">
            <w:pPr>
              <w:tabs>
                <w:tab w:val="left" w:pos="9900"/>
              </w:tabs>
              <w:spacing w:after="0"/>
              <w:jc w:val="left"/>
              <w:rPr>
                <w:sz w:val="20"/>
                <w:szCs w:val="22"/>
              </w:rPr>
            </w:pPr>
            <w:r w:rsidRPr="001136D3">
              <w:rPr>
                <w:sz w:val="20"/>
                <w:szCs w:val="22"/>
              </w:rPr>
              <w:t>2.2 Test Strategy</w:t>
            </w:r>
          </w:p>
          <w:p w14:paraId="0C8A2D58" w14:textId="77777777" w:rsidR="00513AB5" w:rsidRPr="001136D3" w:rsidRDefault="00513AB5" w:rsidP="00513AB5">
            <w:pPr>
              <w:tabs>
                <w:tab w:val="left" w:pos="9900"/>
              </w:tabs>
              <w:spacing w:after="0"/>
              <w:jc w:val="left"/>
              <w:rPr>
                <w:sz w:val="20"/>
                <w:szCs w:val="22"/>
              </w:rPr>
            </w:pPr>
            <w:r w:rsidRPr="001136D3">
              <w:rPr>
                <w:sz w:val="20"/>
                <w:szCs w:val="22"/>
              </w:rPr>
              <w:t>2.3 Master Test Plan</w:t>
            </w:r>
          </w:p>
          <w:p w14:paraId="2BFA41FE" w14:textId="77777777" w:rsidR="00513AB5" w:rsidRPr="001136D3" w:rsidRDefault="00513AB5" w:rsidP="00513AB5">
            <w:pPr>
              <w:tabs>
                <w:tab w:val="left" w:pos="9900"/>
              </w:tabs>
              <w:spacing w:after="0"/>
              <w:jc w:val="left"/>
              <w:rPr>
                <w:sz w:val="20"/>
                <w:szCs w:val="22"/>
              </w:rPr>
            </w:pPr>
            <w:r w:rsidRPr="001136D3">
              <w:rPr>
                <w:sz w:val="20"/>
                <w:szCs w:val="22"/>
              </w:rPr>
              <w:t>2.4 Test Design Specification</w:t>
            </w:r>
          </w:p>
          <w:p w14:paraId="3AC26984" w14:textId="77777777" w:rsidR="00513AB5" w:rsidRPr="001136D3" w:rsidRDefault="00513AB5" w:rsidP="00513AB5">
            <w:pPr>
              <w:tabs>
                <w:tab w:val="left" w:pos="9900"/>
              </w:tabs>
              <w:spacing w:after="0"/>
              <w:jc w:val="left"/>
              <w:rPr>
                <w:sz w:val="20"/>
                <w:szCs w:val="22"/>
              </w:rPr>
            </w:pPr>
            <w:r w:rsidRPr="001136D3">
              <w:rPr>
                <w:sz w:val="20"/>
                <w:szCs w:val="22"/>
              </w:rPr>
              <w:t>2.5 Detailed Architecture Models</w:t>
            </w:r>
          </w:p>
          <w:p w14:paraId="4F56C84A" w14:textId="77777777" w:rsidR="00513AB5" w:rsidRPr="00B50A96" w:rsidRDefault="00513AB5" w:rsidP="00513AB5">
            <w:pPr>
              <w:spacing w:after="0"/>
              <w:ind w:left="36"/>
              <w:jc w:val="left"/>
              <w:rPr>
                <w:sz w:val="20"/>
              </w:rPr>
            </w:pPr>
            <w:r w:rsidRPr="001136D3">
              <w:rPr>
                <w:sz w:val="20"/>
                <w:szCs w:val="22"/>
              </w:rPr>
              <w:t>2.6 Functional Specification</w:t>
            </w:r>
          </w:p>
        </w:tc>
        <w:tc>
          <w:tcPr>
            <w:tcW w:w="630" w:type="dxa"/>
            <w:tcBorders>
              <w:top w:val="single" w:sz="12" w:space="0" w:color="auto"/>
              <w:bottom w:val="single" w:sz="12" w:space="0" w:color="auto"/>
            </w:tcBorders>
          </w:tcPr>
          <w:p w14:paraId="4F4EA8D5" w14:textId="77777777" w:rsidR="00513AB5" w:rsidRDefault="00513AB5" w:rsidP="00513AB5">
            <w:pPr>
              <w:spacing w:after="0"/>
              <w:ind w:left="36"/>
              <w:jc w:val="center"/>
              <w:rPr>
                <w:sz w:val="20"/>
              </w:rPr>
            </w:pPr>
          </w:p>
        </w:tc>
        <w:tc>
          <w:tcPr>
            <w:tcW w:w="540" w:type="dxa"/>
            <w:tcBorders>
              <w:top w:val="single" w:sz="12" w:space="0" w:color="auto"/>
              <w:bottom w:val="single" w:sz="12" w:space="0" w:color="auto"/>
            </w:tcBorders>
          </w:tcPr>
          <w:p w14:paraId="17AFC714" w14:textId="77777777" w:rsidR="00513AB5" w:rsidRDefault="00513AB5" w:rsidP="00513AB5">
            <w:pPr>
              <w:spacing w:after="0"/>
              <w:ind w:left="36"/>
              <w:jc w:val="center"/>
              <w:rPr>
                <w:sz w:val="20"/>
              </w:rPr>
            </w:pPr>
          </w:p>
        </w:tc>
        <w:tc>
          <w:tcPr>
            <w:tcW w:w="900" w:type="dxa"/>
            <w:tcBorders>
              <w:top w:val="single" w:sz="12" w:space="0" w:color="auto"/>
              <w:bottom w:val="single" w:sz="12" w:space="0" w:color="auto"/>
            </w:tcBorders>
          </w:tcPr>
          <w:p w14:paraId="4D74F99F" w14:textId="77777777" w:rsidR="00513AB5" w:rsidRDefault="00513AB5" w:rsidP="00513AB5">
            <w:pPr>
              <w:spacing w:after="0"/>
              <w:ind w:left="36"/>
              <w:jc w:val="center"/>
              <w:rPr>
                <w:sz w:val="20"/>
              </w:rPr>
            </w:pPr>
          </w:p>
        </w:tc>
        <w:tc>
          <w:tcPr>
            <w:tcW w:w="810" w:type="dxa"/>
            <w:tcBorders>
              <w:top w:val="single" w:sz="12" w:space="0" w:color="auto"/>
              <w:bottom w:val="single" w:sz="12" w:space="0" w:color="auto"/>
            </w:tcBorders>
          </w:tcPr>
          <w:p w14:paraId="1B991AD0" w14:textId="77777777" w:rsidR="00513AB5" w:rsidRDefault="00513AB5" w:rsidP="00513AB5">
            <w:pPr>
              <w:spacing w:after="0"/>
              <w:ind w:left="36"/>
              <w:jc w:val="center"/>
              <w:rPr>
                <w:sz w:val="20"/>
              </w:rPr>
            </w:pPr>
          </w:p>
        </w:tc>
        <w:tc>
          <w:tcPr>
            <w:tcW w:w="810" w:type="dxa"/>
            <w:tcBorders>
              <w:top w:val="single" w:sz="12" w:space="0" w:color="auto"/>
              <w:bottom w:val="single" w:sz="12" w:space="0" w:color="auto"/>
            </w:tcBorders>
          </w:tcPr>
          <w:p w14:paraId="5BA64D11" w14:textId="77777777" w:rsidR="00513AB5" w:rsidRDefault="00513AB5" w:rsidP="00513AB5">
            <w:pPr>
              <w:spacing w:after="0"/>
              <w:ind w:left="36"/>
              <w:jc w:val="center"/>
              <w:rPr>
                <w:sz w:val="20"/>
              </w:rPr>
            </w:pPr>
          </w:p>
        </w:tc>
        <w:tc>
          <w:tcPr>
            <w:tcW w:w="900" w:type="dxa"/>
            <w:tcBorders>
              <w:top w:val="single" w:sz="12" w:space="0" w:color="auto"/>
              <w:bottom w:val="single" w:sz="12" w:space="0" w:color="auto"/>
            </w:tcBorders>
          </w:tcPr>
          <w:p w14:paraId="15E76529" w14:textId="77777777" w:rsidR="00513AB5" w:rsidRDefault="00513AB5" w:rsidP="00513AB5">
            <w:pPr>
              <w:spacing w:after="0"/>
              <w:ind w:left="36"/>
              <w:jc w:val="center"/>
              <w:rPr>
                <w:sz w:val="20"/>
              </w:rPr>
            </w:pPr>
          </w:p>
        </w:tc>
        <w:tc>
          <w:tcPr>
            <w:tcW w:w="810" w:type="dxa"/>
            <w:tcBorders>
              <w:top w:val="single" w:sz="12" w:space="0" w:color="auto"/>
              <w:bottom w:val="single" w:sz="12" w:space="0" w:color="auto"/>
            </w:tcBorders>
          </w:tcPr>
          <w:p w14:paraId="6920A385" w14:textId="77777777" w:rsidR="00513AB5" w:rsidRDefault="00513AB5" w:rsidP="00513AB5">
            <w:pPr>
              <w:spacing w:after="0"/>
              <w:ind w:left="36"/>
              <w:jc w:val="center"/>
              <w:rPr>
                <w:sz w:val="20"/>
              </w:rPr>
            </w:pPr>
          </w:p>
        </w:tc>
        <w:tc>
          <w:tcPr>
            <w:tcW w:w="990" w:type="dxa"/>
            <w:tcBorders>
              <w:top w:val="single" w:sz="12" w:space="0" w:color="auto"/>
              <w:bottom w:val="single" w:sz="12" w:space="0" w:color="auto"/>
            </w:tcBorders>
          </w:tcPr>
          <w:p w14:paraId="242E060D" w14:textId="77777777" w:rsidR="00513AB5" w:rsidRDefault="00513AB5" w:rsidP="00513AB5">
            <w:pPr>
              <w:spacing w:after="0"/>
              <w:ind w:left="36"/>
              <w:jc w:val="center"/>
              <w:rPr>
                <w:sz w:val="20"/>
              </w:rPr>
            </w:pPr>
          </w:p>
        </w:tc>
        <w:tc>
          <w:tcPr>
            <w:tcW w:w="720" w:type="dxa"/>
            <w:tcBorders>
              <w:top w:val="single" w:sz="12" w:space="0" w:color="auto"/>
              <w:bottom w:val="single" w:sz="12" w:space="0" w:color="auto"/>
            </w:tcBorders>
          </w:tcPr>
          <w:p w14:paraId="14AAE74F" w14:textId="77777777" w:rsidR="00513AB5" w:rsidRDefault="00513AB5" w:rsidP="00513AB5">
            <w:pPr>
              <w:spacing w:after="0"/>
              <w:jc w:val="center"/>
              <w:rPr>
                <w:sz w:val="20"/>
              </w:rPr>
            </w:pPr>
          </w:p>
        </w:tc>
        <w:tc>
          <w:tcPr>
            <w:tcW w:w="720" w:type="dxa"/>
            <w:tcBorders>
              <w:top w:val="single" w:sz="12" w:space="0" w:color="auto"/>
              <w:bottom w:val="single" w:sz="12" w:space="0" w:color="auto"/>
            </w:tcBorders>
          </w:tcPr>
          <w:p w14:paraId="7B787938" w14:textId="77777777" w:rsidR="00513AB5" w:rsidRDefault="00513AB5" w:rsidP="00513AB5">
            <w:pPr>
              <w:spacing w:after="0"/>
              <w:jc w:val="center"/>
              <w:rPr>
                <w:sz w:val="20"/>
              </w:rPr>
            </w:pPr>
          </w:p>
        </w:tc>
        <w:tc>
          <w:tcPr>
            <w:tcW w:w="720" w:type="dxa"/>
            <w:tcBorders>
              <w:top w:val="single" w:sz="12" w:space="0" w:color="auto"/>
              <w:bottom w:val="single" w:sz="12" w:space="0" w:color="auto"/>
            </w:tcBorders>
          </w:tcPr>
          <w:p w14:paraId="57CF4A09" w14:textId="77777777" w:rsidR="00513AB5" w:rsidRDefault="00513AB5" w:rsidP="00513AB5">
            <w:pPr>
              <w:spacing w:after="0"/>
              <w:jc w:val="center"/>
              <w:rPr>
                <w:sz w:val="20"/>
              </w:rPr>
            </w:pPr>
          </w:p>
        </w:tc>
        <w:tc>
          <w:tcPr>
            <w:tcW w:w="728" w:type="dxa"/>
            <w:tcBorders>
              <w:top w:val="single" w:sz="12" w:space="0" w:color="auto"/>
              <w:bottom w:val="single" w:sz="12" w:space="0" w:color="auto"/>
            </w:tcBorders>
          </w:tcPr>
          <w:p w14:paraId="46581C4D" w14:textId="77777777" w:rsidR="00513AB5" w:rsidRDefault="00513AB5" w:rsidP="00513AB5">
            <w:pPr>
              <w:spacing w:after="0"/>
              <w:jc w:val="center"/>
              <w:rPr>
                <w:sz w:val="20"/>
              </w:rPr>
            </w:pPr>
          </w:p>
        </w:tc>
      </w:tr>
      <w:tr w:rsidR="00542D9B" w14:paraId="31364735" w14:textId="77777777" w:rsidTr="00012998">
        <w:trPr>
          <w:cantSplit/>
        </w:trPr>
        <w:tc>
          <w:tcPr>
            <w:tcW w:w="532" w:type="dxa"/>
            <w:tcBorders>
              <w:top w:val="single" w:sz="12" w:space="0" w:color="auto"/>
              <w:left w:val="single" w:sz="12" w:space="0" w:color="auto"/>
              <w:bottom w:val="single" w:sz="12" w:space="0" w:color="auto"/>
            </w:tcBorders>
          </w:tcPr>
          <w:p w14:paraId="3EDE815D" w14:textId="088426D8" w:rsidR="00513AB5" w:rsidRDefault="00513AB5" w:rsidP="001136D3">
            <w:pPr>
              <w:spacing w:after="0"/>
              <w:jc w:val="left"/>
              <w:rPr>
                <w:sz w:val="20"/>
              </w:rPr>
            </w:pPr>
            <w:r w:rsidRPr="004242BF">
              <w:rPr>
                <w:b/>
                <w:szCs w:val="22"/>
              </w:rPr>
              <w:t>3</w:t>
            </w:r>
            <w:r w:rsidR="000976CE">
              <w:rPr>
                <w:b/>
                <w:szCs w:val="22"/>
              </w:rPr>
              <w:t>.</w:t>
            </w:r>
          </w:p>
        </w:tc>
        <w:tc>
          <w:tcPr>
            <w:tcW w:w="3150" w:type="dxa"/>
            <w:tcBorders>
              <w:top w:val="single" w:sz="12" w:space="0" w:color="auto"/>
              <w:bottom w:val="single" w:sz="12" w:space="0" w:color="auto"/>
            </w:tcBorders>
          </w:tcPr>
          <w:p w14:paraId="7915989C" w14:textId="77777777" w:rsidR="00513AB5" w:rsidRPr="001136D3" w:rsidRDefault="00513AB5" w:rsidP="001136D3">
            <w:pPr>
              <w:spacing w:after="0"/>
              <w:ind w:left="36"/>
              <w:jc w:val="left"/>
              <w:rPr>
                <w:sz w:val="22"/>
              </w:rPr>
            </w:pPr>
            <w:r w:rsidRPr="001136D3">
              <w:rPr>
                <w:b/>
                <w:sz w:val="22"/>
                <w:szCs w:val="22"/>
              </w:rPr>
              <w:t>Development</w:t>
            </w:r>
          </w:p>
        </w:tc>
        <w:tc>
          <w:tcPr>
            <w:tcW w:w="630" w:type="dxa"/>
            <w:tcBorders>
              <w:top w:val="single" w:sz="12" w:space="0" w:color="auto"/>
              <w:bottom w:val="single" w:sz="12" w:space="0" w:color="auto"/>
            </w:tcBorders>
          </w:tcPr>
          <w:p w14:paraId="4C8C91FB"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47C92705" w14:textId="274CEB3A"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0AEAC6A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BD4CF35"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E1E27D4"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45EAC85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B152AD1"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56187302"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30100D4"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889641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9D26EA0"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08EAC28D" w14:textId="77777777" w:rsidR="00513AB5" w:rsidRDefault="00513AB5" w:rsidP="001136D3">
            <w:pPr>
              <w:spacing w:after="0"/>
              <w:jc w:val="center"/>
              <w:rPr>
                <w:sz w:val="20"/>
              </w:rPr>
            </w:pPr>
          </w:p>
        </w:tc>
      </w:tr>
      <w:tr w:rsidR="00542D9B" w14:paraId="4DAEDBD7" w14:textId="77777777" w:rsidTr="00012998">
        <w:trPr>
          <w:cantSplit/>
        </w:trPr>
        <w:tc>
          <w:tcPr>
            <w:tcW w:w="532" w:type="dxa"/>
            <w:tcBorders>
              <w:top w:val="single" w:sz="12" w:space="0" w:color="auto"/>
              <w:bottom w:val="single" w:sz="12" w:space="0" w:color="auto"/>
            </w:tcBorders>
          </w:tcPr>
          <w:p w14:paraId="0A5687A3"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349E215A" w14:textId="77777777" w:rsidR="00513AB5" w:rsidRPr="001136D3" w:rsidRDefault="00513AB5" w:rsidP="001136D3">
            <w:pPr>
              <w:spacing w:after="0"/>
              <w:jc w:val="left"/>
              <w:rPr>
                <w:sz w:val="20"/>
                <w:szCs w:val="22"/>
              </w:rPr>
            </w:pPr>
            <w:r w:rsidRPr="001136D3">
              <w:rPr>
                <w:sz w:val="20"/>
                <w:szCs w:val="22"/>
              </w:rPr>
              <w:t>3.1 NSW Trader Portal</w:t>
            </w:r>
          </w:p>
          <w:p w14:paraId="317248D2" w14:textId="77777777" w:rsidR="00513AB5" w:rsidRPr="001136D3" w:rsidRDefault="00513AB5" w:rsidP="001136D3">
            <w:pPr>
              <w:spacing w:after="0"/>
              <w:jc w:val="left"/>
              <w:rPr>
                <w:sz w:val="20"/>
                <w:szCs w:val="22"/>
              </w:rPr>
            </w:pPr>
            <w:r w:rsidRPr="001136D3">
              <w:rPr>
                <w:sz w:val="20"/>
                <w:szCs w:val="22"/>
              </w:rPr>
              <w:t>3.2 NSW Help Desk</w:t>
            </w:r>
          </w:p>
          <w:p w14:paraId="086072F0" w14:textId="77777777" w:rsidR="00513AB5" w:rsidRPr="001136D3" w:rsidRDefault="00513AB5" w:rsidP="001136D3">
            <w:pPr>
              <w:spacing w:after="0"/>
              <w:jc w:val="left"/>
              <w:rPr>
                <w:sz w:val="20"/>
                <w:szCs w:val="22"/>
              </w:rPr>
            </w:pPr>
            <w:r w:rsidRPr="001136D3">
              <w:rPr>
                <w:sz w:val="20"/>
                <w:szCs w:val="22"/>
              </w:rPr>
              <w:t>3.3 Registration of Traders and Competent Authority Service</w:t>
            </w:r>
          </w:p>
          <w:p w14:paraId="77262213" w14:textId="77777777" w:rsidR="00513AB5" w:rsidRPr="001136D3" w:rsidRDefault="00513AB5" w:rsidP="001136D3">
            <w:pPr>
              <w:spacing w:after="0"/>
              <w:jc w:val="left"/>
              <w:rPr>
                <w:bCs/>
                <w:sz w:val="20"/>
                <w:szCs w:val="22"/>
              </w:rPr>
            </w:pPr>
            <w:r w:rsidRPr="001136D3">
              <w:rPr>
                <w:sz w:val="20"/>
                <w:szCs w:val="22"/>
              </w:rPr>
              <w:t xml:space="preserve">3.4 </w:t>
            </w:r>
            <w:r w:rsidRPr="001136D3">
              <w:rPr>
                <w:bCs/>
                <w:sz w:val="20"/>
                <w:szCs w:val="22"/>
              </w:rPr>
              <w:t>LPCO Application</w:t>
            </w:r>
          </w:p>
          <w:p w14:paraId="0CF61849" w14:textId="77777777" w:rsidR="00513AB5" w:rsidRPr="001136D3" w:rsidRDefault="00513AB5" w:rsidP="001136D3">
            <w:pPr>
              <w:spacing w:after="0"/>
              <w:jc w:val="left"/>
              <w:rPr>
                <w:bCs/>
                <w:sz w:val="20"/>
                <w:szCs w:val="22"/>
              </w:rPr>
            </w:pPr>
            <w:r w:rsidRPr="001136D3">
              <w:rPr>
                <w:bCs/>
                <w:sz w:val="20"/>
                <w:szCs w:val="22"/>
              </w:rPr>
              <w:t>3.5 LPCO Management</w:t>
            </w:r>
          </w:p>
          <w:p w14:paraId="580E52DA" w14:textId="77777777" w:rsidR="00513AB5" w:rsidRPr="001136D3" w:rsidRDefault="00513AB5" w:rsidP="001136D3">
            <w:pPr>
              <w:spacing w:after="0"/>
              <w:jc w:val="left"/>
              <w:rPr>
                <w:bCs/>
                <w:sz w:val="20"/>
                <w:szCs w:val="22"/>
              </w:rPr>
            </w:pPr>
            <w:r w:rsidRPr="001136D3">
              <w:rPr>
                <w:bCs/>
                <w:sz w:val="20"/>
                <w:szCs w:val="22"/>
              </w:rPr>
              <w:lastRenderedPageBreak/>
              <w:t>3.6 Payment Management</w:t>
            </w:r>
          </w:p>
          <w:p w14:paraId="388D6716" w14:textId="77777777" w:rsidR="00513AB5" w:rsidRPr="001136D3" w:rsidRDefault="00513AB5" w:rsidP="001136D3">
            <w:pPr>
              <w:spacing w:after="0"/>
              <w:jc w:val="left"/>
              <w:rPr>
                <w:bCs/>
                <w:sz w:val="20"/>
                <w:szCs w:val="22"/>
              </w:rPr>
            </w:pPr>
            <w:r w:rsidRPr="001136D3">
              <w:rPr>
                <w:bCs/>
                <w:sz w:val="20"/>
                <w:szCs w:val="22"/>
              </w:rPr>
              <w:t>3.7 Payment Processing</w:t>
            </w:r>
          </w:p>
          <w:p w14:paraId="23B8946E" w14:textId="77777777" w:rsidR="00513AB5" w:rsidRPr="001136D3" w:rsidRDefault="00513AB5" w:rsidP="001136D3">
            <w:pPr>
              <w:spacing w:after="0"/>
              <w:jc w:val="left"/>
              <w:rPr>
                <w:bCs/>
                <w:sz w:val="20"/>
                <w:szCs w:val="22"/>
              </w:rPr>
            </w:pPr>
            <w:r w:rsidRPr="001136D3">
              <w:rPr>
                <w:bCs/>
                <w:sz w:val="20"/>
                <w:szCs w:val="22"/>
              </w:rPr>
              <w:t>3.8 Notification Management</w:t>
            </w:r>
          </w:p>
          <w:p w14:paraId="7B2306D7" w14:textId="77777777" w:rsidR="00513AB5" w:rsidRPr="001136D3" w:rsidRDefault="00513AB5" w:rsidP="001136D3">
            <w:pPr>
              <w:spacing w:after="0"/>
              <w:jc w:val="left"/>
              <w:rPr>
                <w:bCs/>
                <w:sz w:val="20"/>
                <w:szCs w:val="22"/>
              </w:rPr>
            </w:pPr>
            <w:r w:rsidRPr="001136D3">
              <w:rPr>
                <w:bCs/>
                <w:sz w:val="20"/>
                <w:szCs w:val="22"/>
              </w:rPr>
              <w:t>3.9 LPCO Designer</w:t>
            </w:r>
          </w:p>
          <w:p w14:paraId="09CA5FDE" w14:textId="77777777" w:rsidR="00513AB5" w:rsidRPr="001136D3" w:rsidRDefault="00513AB5" w:rsidP="001136D3">
            <w:pPr>
              <w:spacing w:after="0"/>
              <w:jc w:val="left"/>
              <w:rPr>
                <w:bCs/>
                <w:sz w:val="20"/>
                <w:szCs w:val="22"/>
              </w:rPr>
            </w:pPr>
            <w:r w:rsidRPr="001136D3">
              <w:rPr>
                <w:bCs/>
                <w:sz w:val="20"/>
                <w:szCs w:val="22"/>
              </w:rPr>
              <w:t>3.10 Inspection Control Results</w:t>
            </w:r>
          </w:p>
          <w:p w14:paraId="33CC8192" w14:textId="77777777" w:rsidR="00513AB5" w:rsidRPr="001136D3" w:rsidRDefault="00513AB5" w:rsidP="001136D3">
            <w:pPr>
              <w:spacing w:after="0"/>
              <w:jc w:val="left"/>
              <w:rPr>
                <w:bCs/>
                <w:sz w:val="20"/>
                <w:szCs w:val="22"/>
              </w:rPr>
            </w:pPr>
            <w:r w:rsidRPr="001136D3">
              <w:rPr>
                <w:bCs/>
                <w:sz w:val="20"/>
                <w:szCs w:val="22"/>
              </w:rPr>
              <w:t>3.11 Document Management</w:t>
            </w:r>
          </w:p>
          <w:p w14:paraId="4793812D" w14:textId="77777777" w:rsidR="00513AB5" w:rsidRPr="001136D3" w:rsidRDefault="00513AB5" w:rsidP="001136D3">
            <w:pPr>
              <w:spacing w:after="0"/>
              <w:jc w:val="left"/>
              <w:rPr>
                <w:bCs/>
                <w:sz w:val="20"/>
                <w:szCs w:val="22"/>
              </w:rPr>
            </w:pPr>
            <w:r w:rsidRPr="001136D3">
              <w:rPr>
                <w:bCs/>
                <w:sz w:val="20"/>
                <w:szCs w:val="22"/>
              </w:rPr>
              <w:t>3.12 LPCO Workflow Management</w:t>
            </w:r>
          </w:p>
          <w:p w14:paraId="00CF6B9A" w14:textId="77777777" w:rsidR="00513AB5" w:rsidRPr="001136D3" w:rsidRDefault="00513AB5" w:rsidP="001136D3">
            <w:pPr>
              <w:spacing w:after="0"/>
              <w:jc w:val="left"/>
              <w:rPr>
                <w:bCs/>
                <w:sz w:val="20"/>
                <w:szCs w:val="22"/>
              </w:rPr>
            </w:pPr>
            <w:r w:rsidRPr="001136D3">
              <w:rPr>
                <w:bCs/>
                <w:sz w:val="20"/>
                <w:szCs w:val="22"/>
              </w:rPr>
              <w:t>3.13 NSW Risk Management</w:t>
            </w:r>
          </w:p>
          <w:p w14:paraId="305F94AA" w14:textId="77777777" w:rsidR="00513AB5" w:rsidRPr="001136D3" w:rsidRDefault="00513AB5" w:rsidP="001136D3">
            <w:pPr>
              <w:spacing w:after="0"/>
              <w:jc w:val="left"/>
              <w:rPr>
                <w:bCs/>
                <w:sz w:val="20"/>
                <w:szCs w:val="22"/>
              </w:rPr>
            </w:pPr>
            <w:r w:rsidRPr="001136D3">
              <w:rPr>
                <w:bCs/>
                <w:sz w:val="20"/>
                <w:szCs w:val="22"/>
              </w:rPr>
              <w:t>3.14 Referent Tables</w:t>
            </w:r>
          </w:p>
          <w:p w14:paraId="61703200" w14:textId="77777777" w:rsidR="00513AB5" w:rsidRDefault="00513AB5" w:rsidP="001136D3">
            <w:pPr>
              <w:spacing w:after="0"/>
              <w:ind w:left="36"/>
              <w:jc w:val="left"/>
              <w:rPr>
                <w:bCs/>
                <w:sz w:val="20"/>
                <w:szCs w:val="22"/>
              </w:rPr>
            </w:pPr>
            <w:r w:rsidRPr="001136D3">
              <w:rPr>
                <w:bCs/>
                <w:sz w:val="20"/>
                <w:szCs w:val="22"/>
              </w:rPr>
              <w:t>3.15 Reporting Service</w:t>
            </w:r>
          </w:p>
          <w:p w14:paraId="5DD70D8E" w14:textId="199D9FE8" w:rsidR="00974931" w:rsidRPr="00B50A96" w:rsidRDefault="00974931" w:rsidP="001136D3">
            <w:pPr>
              <w:spacing w:after="0"/>
              <w:ind w:left="36"/>
              <w:jc w:val="left"/>
              <w:rPr>
                <w:sz w:val="20"/>
              </w:rPr>
            </w:pPr>
            <w:r>
              <w:rPr>
                <w:bCs/>
                <w:sz w:val="20"/>
                <w:szCs w:val="22"/>
              </w:rPr>
              <w:t>3.16 Data Converter</w:t>
            </w:r>
          </w:p>
        </w:tc>
        <w:tc>
          <w:tcPr>
            <w:tcW w:w="630" w:type="dxa"/>
            <w:tcBorders>
              <w:top w:val="single" w:sz="12" w:space="0" w:color="auto"/>
              <w:bottom w:val="single" w:sz="12" w:space="0" w:color="auto"/>
            </w:tcBorders>
          </w:tcPr>
          <w:p w14:paraId="1E2FF716"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3126D7C4"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A304CB3"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9FB485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8131F3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40A1C3F2"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8E6E685"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6D263A5B"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6E999E2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65644E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69ECF1B"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157BE939" w14:textId="77777777" w:rsidR="00513AB5" w:rsidRDefault="00513AB5" w:rsidP="001136D3">
            <w:pPr>
              <w:spacing w:after="0"/>
              <w:jc w:val="center"/>
              <w:rPr>
                <w:sz w:val="20"/>
              </w:rPr>
            </w:pPr>
          </w:p>
        </w:tc>
      </w:tr>
      <w:tr w:rsidR="00542D9B" w14:paraId="6D6A8E6A" w14:textId="77777777" w:rsidTr="00012998">
        <w:trPr>
          <w:cantSplit/>
        </w:trPr>
        <w:tc>
          <w:tcPr>
            <w:tcW w:w="532" w:type="dxa"/>
            <w:tcBorders>
              <w:top w:val="single" w:sz="12" w:space="0" w:color="auto"/>
              <w:left w:val="single" w:sz="12" w:space="0" w:color="auto"/>
              <w:bottom w:val="single" w:sz="12" w:space="0" w:color="auto"/>
            </w:tcBorders>
          </w:tcPr>
          <w:p w14:paraId="4834A06B" w14:textId="77777777" w:rsidR="00513AB5" w:rsidRDefault="00513AB5" w:rsidP="001136D3">
            <w:pPr>
              <w:spacing w:after="0"/>
              <w:jc w:val="left"/>
              <w:rPr>
                <w:sz w:val="20"/>
              </w:rPr>
            </w:pPr>
            <w:r w:rsidRPr="004242BF">
              <w:rPr>
                <w:b/>
                <w:szCs w:val="22"/>
              </w:rPr>
              <w:t>4.</w:t>
            </w:r>
          </w:p>
        </w:tc>
        <w:tc>
          <w:tcPr>
            <w:tcW w:w="3150" w:type="dxa"/>
            <w:tcBorders>
              <w:top w:val="single" w:sz="12" w:space="0" w:color="auto"/>
              <w:bottom w:val="single" w:sz="12" w:space="0" w:color="auto"/>
            </w:tcBorders>
          </w:tcPr>
          <w:p w14:paraId="25FB167E" w14:textId="77777777" w:rsidR="00513AB5" w:rsidRPr="001136D3" w:rsidRDefault="00513AB5" w:rsidP="001136D3">
            <w:pPr>
              <w:spacing w:after="0"/>
              <w:ind w:left="36"/>
              <w:jc w:val="left"/>
              <w:rPr>
                <w:sz w:val="22"/>
              </w:rPr>
            </w:pPr>
            <w:r w:rsidRPr="001136D3">
              <w:rPr>
                <w:b/>
                <w:sz w:val="22"/>
                <w:szCs w:val="22"/>
              </w:rPr>
              <w:t>Testing</w:t>
            </w:r>
          </w:p>
        </w:tc>
        <w:tc>
          <w:tcPr>
            <w:tcW w:w="630" w:type="dxa"/>
            <w:tcBorders>
              <w:top w:val="single" w:sz="12" w:space="0" w:color="auto"/>
              <w:bottom w:val="single" w:sz="12" w:space="0" w:color="auto"/>
            </w:tcBorders>
          </w:tcPr>
          <w:p w14:paraId="2C9AAFA6"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45513EE8" w14:textId="28081A45"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58E72EA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7F6D8B3"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3E41ECD"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17E54CC"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687E409"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36440383"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6A47950D"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72DF31B"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8D4356B"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2011FED9" w14:textId="77777777" w:rsidR="00513AB5" w:rsidRDefault="00513AB5" w:rsidP="001136D3">
            <w:pPr>
              <w:spacing w:after="0"/>
              <w:jc w:val="center"/>
              <w:rPr>
                <w:sz w:val="20"/>
              </w:rPr>
            </w:pPr>
          </w:p>
        </w:tc>
      </w:tr>
      <w:tr w:rsidR="00542D9B" w14:paraId="7242A496" w14:textId="77777777" w:rsidTr="00012998">
        <w:trPr>
          <w:cantSplit/>
        </w:trPr>
        <w:tc>
          <w:tcPr>
            <w:tcW w:w="532" w:type="dxa"/>
            <w:tcBorders>
              <w:top w:val="single" w:sz="12" w:space="0" w:color="auto"/>
              <w:bottom w:val="single" w:sz="12" w:space="0" w:color="auto"/>
            </w:tcBorders>
          </w:tcPr>
          <w:p w14:paraId="2BE67291"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42C5FA78" w14:textId="77777777" w:rsidR="00513AB5" w:rsidRPr="001136D3" w:rsidRDefault="00513AB5" w:rsidP="001136D3">
            <w:pPr>
              <w:spacing w:after="0"/>
              <w:jc w:val="left"/>
              <w:rPr>
                <w:sz w:val="20"/>
                <w:szCs w:val="22"/>
              </w:rPr>
            </w:pPr>
            <w:r w:rsidRPr="001136D3">
              <w:rPr>
                <w:sz w:val="20"/>
                <w:szCs w:val="22"/>
              </w:rPr>
              <w:t>4.1 NSW Trader Portal</w:t>
            </w:r>
          </w:p>
          <w:p w14:paraId="4026A69C" w14:textId="77777777" w:rsidR="00513AB5" w:rsidRPr="001136D3" w:rsidRDefault="00513AB5" w:rsidP="001136D3">
            <w:pPr>
              <w:spacing w:after="0"/>
              <w:jc w:val="left"/>
              <w:rPr>
                <w:sz w:val="20"/>
                <w:szCs w:val="22"/>
              </w:rPr>
            </w:pPr>
            <w:r w:rsidRPr="001136D3">
              <w:rPr>
                <w:sz w:val="20"/>
                <w:szCs w:val="22"/>
              </w:rPr>
              <w:t>4.2 NSW Help Desk</w:t>
            </w:r>
          </w:p>
          <w:p w14:paraId="25D2806C" w14:textId="77777777" w:rsidR="00513AB5" w:rsidRPr="001136D3" w:rsidRDefault="00513AB5" w:rsidP="001136D3">
            <w:pPr>
              <w:spacing w:after="0"/>
              <w:jc w:val="left"/>
              <w:rPr>
                <w:sz w:val="20"/>
                <w:szCs w:val="22"/>
              </w:rPr>
            </w:pPr>
            <w:r w:rsidRPr="001136D3">
              <w:rPr>
                <w:sz w:val="20"/>
                <w:szCs w:val="22"/>
              </w:rPr>
              <w:t>4.3 Registration of Traders and Competent Authority</w:t>
            </w:r>
          </w:p>
          <w:p w14:paraId="1795693B" w14:textId="77777777" w:rsidR="00513AB5" w:rsidRPr="001136D3" w:rsidRDefault="00513AB5" w:rsidP="001136D3">
            <w:pPr>
              <w:spacing w:after="0"/>
              <w:jc w:val="left"/>
              <w:rPr>
                <w:sz w:val="20"/>
                <w:szCs w:val="22"/>
              </w:rPr>
            </w:pPr>
            <w:r w:rsidRPr="001136D3">
              <w:rPr>
                <w:sz w:val="20"/>
                <w:szCs w:val="22"/>
              </w:rPr>
              <w:t>4.4 LPCO Application</w:t>
            </w:r>
          </w:p>
          <w:p w14:paraId="59F2C689" w14:textId="77777777" w:rsidR="00513AB5" w:rsidRPr="001136D3" w:rsidRDefault="00513AB5" w:rsidP="001136D3">
            <w:pPr>
              <w:spacing w:after="0"/>
              <w:jc w:val="left"/>
              <w:rPr>
                <w:sz w:val="20"/>
                <w:szCs w:val="22"/>
              </w:rPr>
            </w:pPr>
            <w:r w:rsidRPr="001136D3">
              <w:rPr>
                <w:sz w:val="20"/>
                <w:szCs w:val="22"/>
              </w:rPr>
              <w:t>4.5 LPCO Management</w:t>
            </w:r>
          </w:p>
          <w:p w14:paraId="51B76842" w14:textId="77777777" w:rsidR="00513AB5" w:rsidRPr="001136D3" w:rsidRDefault="00513AB5" w:rsidP="001136D3">
            <w:pPr>
              <w:spacing w:after="0"/>
              <w:jc w:val="left"/>
              <w:rPr>
                <w:sz w:val="20"/>
                <w:szCs w:val="22"/>
              </w:rPr>
            </w:pPr>
            <w:r w:rsidRPr="001136D3">
              <w:rPr>
                <w:sz w:val="20"/>
                <w:szCs w:val="22"/>
              </w:rPr>
              <w:t>4.6 Payment Management</w:t>
            </w:r>
          </w:p>
          <w:p w14:paraId="04279ACD" w14:textId="77777777" w:rsidR="00513AB5" w:rsidRPr="001136D3" w:rsidRDefault="00513AB5" w:rsidP="001136D3">
            <w:pPr>
              <w:spacing w:after="0"/>
              <w:jc w:val="left"/>
              <w:rPr>
                <w:sz w:val="20"/>
                <w:szCs w:val="22"/>
              </w:rPr>
            </w:pPr>
            <w:r w:rsidRPr="001136D3">
              <w:rPr>
                <w:sz w:val="20"/>
                <w:szCs w:val="22"/>
              </w:rPr>
              <w:t>4.7 Payment Processing</w:t>
            </w:r>
          </w:p>
          <w:p w14:paraId="7E6A5062" w14:textId="77777777" w:rsidR="00513AB5" w:rsidRPr="001136D3" w:rsidRDefault="00513AB5" w:rsidP="001136D3">
            <w:pPr>
              <w:spacing w:after="0"/>
              <w:jc w:val="left"/>
              <w:rPr>
                <w:sz w:val="20"/>
                <w:szCs w:val="22"/>
              </w:rPr>
            </w:pPr>
            <w:r w:rsidRPr="001136D3">
              <w:rPr>
                <w:sz w:val="20"/>
                <w:szCs w:val="22"/>
              </w:rPr>
              <w:t>4.8 Notification Management</w:t>
            </w:r>
          </w:p>
          <w:p w14:paraId="4F9ABC5B" w14:textId="77777777" w:rsidR="00513AB5" w:rsidRPr="001136D3" w:rsidRDefault="00513AB5" w:rsidP="001136D3">
            <w:pPr>
              <w:spacing w:after="0"/>
              <w:jc w:val="left"/>
              <w:rPr>
                <w:sz w:val="20"/>
                <w:szCs w:val="22"/>
              </w:rPr>
            </w:pPr>
            <w:r w:rsidRPr="001136D3">
              <w:rPr>
                <w:bCs/>
                <w:sz w:val="20"/>
                <w:szCs w:val="22"/>
              </w:rPr>
              <w:t xml:space="preserve">4.9 </w:t>
            </w:r>
            <w:r w:rsidRPr="001136D3">
              <w:rPr>
                <w:sz w:val="20"/>
                <w:szCs w:val="22"/>
              </w:rPr>
              <w:t>LPCO Designer</w:t>
            </w:r>
          </w:p>
          <w:p w14:paraId="7E38D987" w14:textId="77777777" w:rsidR="00513AB5" w:rsidRPr="001136D3" w:rsidRDefault="00513AB5" w:rsidP="001136D3">
            <w:pPr>
              <w:spacing w:after="0"/>
              <w:jc w:val="left"/>
              <w:rPr>
                <w:sz w:val="20"/>
                <w:szCs w:val="22"/>
              </w:rPr>
            </w:pPr>
            <w:r w:rsidRPr="001136D3">
              <w:rPr>
                <w:bCs/>
                <w:sz w:val="20"/>
                <w:szCs w:val="22"/>
              </w:rPr>
              <w:t xml:space="preserve">4.10 </w:t>
            </w:r>
            <w:r w:rsidRPr="001136D3">
              <w:rPr>
                <w:sz w:val="20"/>
                <w:szCs w:val="22"/>
              </w:rPr>
              <w:t>Inspection Control Results</w:t>
            </w:r>
          </w:p>
          <w:p w14:paraId="65FE1484" w14:textId="77777777" w:rsidR="00513AB5" w:rsidRPr="001136D3" w:rsidRDefault="00513AB5" w:rsidP="001136D3">
            <w:pPr>
              <w:spacing w:after="0"/>
              <w:jc w:val="left"/>
              <w:rPr>
                <w:sz w:val="20"/>
                <w:szCs w:val="22"/>
              </w:rPr>
            </w:pPr>
            <w:r w:rsidRPr="001136D3">
              <w:rPr>
                <w:sz w:val="20"/>
                <w:szCs w:val="22"/>
              </w:rPr>
              <w:t>4.11 Document Management</w:t>
            </w:r>
          </w:p>
          <w:p w14:paraId="5F65EB2F" w14:textId="77777777" w:rsidR="00513AB5" w:rsidRPr="001136D3" w:rsidRDefault="00513AB5" w:rsidP="001136D3">
            <w:pPr>
              <w:spacing w:after="0"/>
              <w:jc w:val="left"/>
              <w:rPr>
                <w:sz w:val="20"/>
                <w:szCs w:val="22"/>
              </w:rPr>
            </w:pPr>
            <w:r w:rsidRPr="001136D3">
              <w:rPr>
                <w:sz w:val="20"/>
                <w:szCs w:val="22"/>
              </w:rPr>
              <w:t>4.12 LPCO Workflow</w:t>
            </w:r>
          </w:p>
          <w:p w14:paraId="63FC651B" w14:textId="77777777" w:rsidR="00513AB5" w:rsidRPr="001136D3" w:rsidRDefault="00513AB5" w:rsidP="001136D3">
            <w:pPr>
              <w:spacing w:after="0"/>
              <w:jc w:val="left"/>
              <w:rPr>
                <w:sz w:val="20"/>
                <w:szCs w:val="22"/>
              </w:rPr>
            </w:pPr>
            <w:r w:rsidRPr="001136D3">
              <w:rPr>
                <w:bCs/>
                <w:sz w:val="20"/>
                <w:szCs w:val="22"/>
              </w:rPr>
              <w:t xml:space="preserve">4.13 </w:t>
            </w:r>
            <w:r w:rsidRPr="001136D3">
              <w:rPr>
                <w:sz w:val="20"/>
                <w:szCs w:val="22"/>
              </w:rPr>
              <w:t>NSW Risk Management</w:t>
            </w:r>
          </w:p>
          <w:p w14:paraId="64BFA063" w14:textId="77777777" w:rsidR="00513AB5" w:rsidRPr="001136D3" w:rsidRDefault="00513AB5" w:rsidP="001136D3">
            <w:pPr>
              <w:spacing w:after="0"/>
              <w:jc w:val="left"/>
              <w:rPr>
                <w:sz w:val="20"/>
                <w:szCs w:val="22"/>
              </w:rPr>
            </w:pPr>
            <w:r w:rsidRPr="001136D3">
              <w:rPr>
                <w:bCs/>
                <w:sz w:val="20"/>
                <w:szCs w:val="22"/>
              </w:rPr>
              <w:t xml:space="preserve">4.14 </w:t>
            </w:r>
            <w:r w:rsidRPr="001136D3">
              <w:rPr>
                <w:sz w:val="20"/>
                <w:szCs w:val="22"/>
              </w:rPr>
              <w:t>Referents Tables</w:t>
            </w:r>
          </w:p>
          <w:p w14:paraId="142E10EB" w14:textId="77777777" w:rsidR="00513AB5" w:rsidRDefault="00513AB5" w:rsidP="001136D3">
            <w:pPr>
              <w:spacing w:after="0"/>
              <w:ind w:left="36"/>
              <w:jc w:val="left"/>
              <w:rPr>
                <w:sz w:val="20"/>
                <w:szCs w:val="22"/>
              </w:rPr>
            </w:pPr>
            <w:r w:rsidRPr="001136D3">
              <w:rPr>
                <w:sz w:val="20"/>
                <w:szCs w:val="22"/>
              </w:rPr>
              <w:t>4.15 Reporting Service</w:t>
            </w:r>
          </w:p>
          <w:p w14:paraId="2678DF2B" w14:textId="6DAA91F8" w:rsidR="00974931" w:rsidRPr="00542D9B" w:rsidRDefault="00974931" w:rsidP="001136D3">
            <w:pPr>
              <w:spacing w:after="0"/>
              <w:ind w:left="36"/>
              <w:jc w:val="left"/>
              <w:rPr>
                <w:sz w:val="20"/>
              </w:rPr>
            </w:pPr>
            <w:r>
              <w:rPr>
                <w:sz w:val="20"/>
                <w:szCs w:val="22"/>
              </w:rPr>
              <w:lastRenderedPageBreak/>
              <w:t>4.16 Data Converter</w:t>
            </w:r>
          </w:p>
        </w:tc>
        <w:tc>
          <w:tcPr>
            <w:tcW w:w="630" w:type="dxa"/>
            <w:tcBorders>
              <w:top w:val="single" w:sz="12" w:space="0" w:color="auto"/>
              <w:bottom w:val="single" w:sz="12" w:space="0" w:color="auto"/>
            </w:tcBorders>
          </w:tcPr>
          <w:p w14:paraId="06162900"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1B2F9734"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0BC87432"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41E4E86"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9B7328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441A930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A87448A"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425D4989"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FDAD9B9"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9DF5696"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809A429"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54EBB9C5" w14:textId="77777777" w:rsidR="00513AB5" w:rsidRDefault="00513AB5" w:rsidP="001136D3">
            <w:pPr>
              <w:spacing w:after="0"/>
              <w:jc w:val="center"/>
              <w:rPr>
                <w:sz w:val="20"/>
              </w:rPr>
            </w:pPr>
          </w:p>
        </w:tc>
      </w:tr>
      <w:tr w:rsidR="00542D9B" w14:paraId="5DA63E16" w14:textId="77777777" w:rsidTr="00012998">
        <w:trPr>
          <w:cantSplit/>
        </w:trPr>
        <w:tc>
          <w:tcPr>
            <w:tcW w:w="532" w:type="dxa"/>
            <w:tcBorders>
              <w:top w:val="single" w:sz="12" w:space="0" w:color="auto"/>
              <w:left w:val="single" w:sz="12" w:space="0" w:color="auto"/>
              <w:bottom w:val="single" w:sz="12" w:space="0" w:color="auto"/>
            </w:tcBorders>
          </w:tcPr>
          <w:p w14:paraId="01B10F86" w14:textId="6018C66E" w:rsidR="00513AB5" w:rsidRDefault="00513AB5" w:rsidP="001136D3">
            <w:pPr>
              <w:spacing w:after="0"/>
              <w:jc w:val="left"/>
              <w:rPr>
                <w:sz w:val="20"/>
              </w:rPr>
            </w:pPr>
            <w:r w:rsidRPr="004C6BF5">
              <w:rPr>
                <w:b/>
                <w:szCs w:val="22"/>
              </w:rPr>
              <w:t>5</w:t>
            </w:r>
            <w:r w:rsidR="000976CE">
              <w:rPr>
                <w:b/>
                <w:szCs w:val="22"/>
              </w:rPr>
              <w:t>.</w:t>
            </w:r>
          </w:p>
        </w:tc>
        <w:tc>
          <w:tcPr>
            <w:tcW w:w="3150" w:type="dxa"/>
            <w:tcBorders>
              <w:top w:val="single" w:sz="12" w:space="0" w:color="auto"/>
              <w:bottom w:val="single" w:sz="12" w:space="0" w:color="auto"/>
            </w:tcBorders>
          </w:tcPr>
          <w:p w14:paraId="00AD3311" w14:textId="77777777" w:rsidR="00513AB5" w:rsidRPr="001136D3" w:rsidRDefault="00513AB5" w:rsidP="001136D3">
            <w:pPr>
              <w:spacing w:after="0"/>
              <w:ind w:left="36"/>
              <w:jc w:val="left"/>
              <w:rPr>
                <w:sz w:val="22"/>
              </w:rPr>
            </w:pPr>
            <w:r w:rsidRPr="001136D3">
              <w:rPr>
                <w:b/>
                <w:sz w:val="22"/>
                <w:szCs w:val="22"/>
              </w:rPr>
              <w:t>Integration and Testing</w:t>
            </w:r>
          </w:p>
        </w:tc>
        <w:tc>
          <w:tcPr>
            <w:tcW w:w="630" w:type="dxa"/>
            <w:tcBorders>
              <w:top w:val="single" w:sz="12" w:space="0" w:color="auto"/>
              <w:bottom w:val="single" w:sz="12" w:space="0" w:color="auto"/>
            </w:tcBorders>
          </w:tcPr>
          <w:p w14:paraId="0F8CCD2D"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27A7F216" w14:textId="3AE82193"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70FF0C4A"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3875E2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7B34E8BE"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7D1BFA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4B2429D"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45B22573"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5E539141"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6F85AB5"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0BCA167"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1F88C97B" w14:textId="77777777" w:rsidR="00513AB5" w:rsidRDefault="00513AB5" w:rsidP="001136D3">
            <w:pPr>
              <w:spacing w:after="0"/>
              <w:jc w:val="center"/>
              <w:rPr>
                <w:sz w:val="20"/>
              </w:rPr>
            </w:pPr>
          </w:p>
        </w:tc>
      </w:tr>
      <w:tr w:rsidR="00542D9B" w14:paraId="13B10564" w14:textId="77777777" w:rsidTr="00012998">
        <w:trPr>
          <w:cantSplit/>
        </w:trPr>
        <w:tc>
          <w:tcPr>
            <w:tcW w:w="532" w:type="dxa"/>
            <w:tcBorders>
              <w:top w:val="single" w:sz="12" w:space="0" w:color="auto"/>
              <w:bottom w:val="single" w:sz="12" w:space="0" w:color="auto"/>
            </w:tcBorders>
          </w:tcPr>
          <w:p w14:paraId="4DA8B9FE"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5CF4239B" w14:textId="77777777" w:rsidR="00513AB5" w:rsidRPr="001136D3" w:rsidRDefault="00513AB5" w:rsidP="001136D3">
            <w:pPr>
              <w:spacing w:after="0"/>
              <w:jc w:val="left"/>
              <w:rPr>
                <w:sz w:val="20"/>
                <w:szCs w:val="22"/>
              </w:rPr>
            </w:pPr>
            <w:r w:rsidRPr="001136D3">
              <w:rPr>
                <w:sz w:val="20"/>
                <w:szCs w:val="22"/>
              </w:rPr>
              <w:t xml:space="preserve">5.1 Readiness of Environment </w:t>
            </w:r>
          </w:p>
          <w:p w14:paraId="1D06E573" w14:textId="77777777" w:rsidR="00513AB5" w:rsidRPr="001136D3" w:rsidRDefault="00513AB5" w:rsidP="001136D3">
            <w:pPr>
              <w:spacing w:after="0"/>
              <w:jc w:val="left"/>
              <w:rPr>
                <w:sz w:val="20"/>
                <w:szCs w:val="22"/>
              </w:rPr>
            </w:pPr>
            <w:r w:rsidRPr="001136D3">
              <w:rPr>
                <w:sz w:val="20"/>
                <w:szCs w:val="22"/>
              </w:rPr>
              <w:t>5.2 Acceptance Test Plan for FAT</w:t>
            </w:r>
          </w:p>
          <w:p w14:paraId="2C9D3516" w14:textId="77777777" w:rsidR="00513AB5" w:rsidRPr="001136D3" w:rsidRDefault="00513AB5" w:rsidP="001136D3">
            <w:pPr>
              <w:spacing w:after="0"/>
              <w:jc w:val="left"/>
              <w:rPr>
                <w:sz w:val="20"/>
                <w:szCs w:val="22"/>
              </w:rPr>
            </w:pPr>
            <w:r w:rsidRPr="001136D3">
              <w:rPr>
                <w:sz w:val="20"/>
                <w:szCs w:val="22"/>
              </w:rPr>
              <w:t>5.3 FAT Automated Test Cases (Scripts) for Integration</w:t>
            </w:r>
          </w:p>
          <w:p w14:paraId="260A4B56" w14:textId="77777777" w:rsidR="00513AB5" w:rsidRPr="001136D3" w:rsidRDefault="00513AB5" w:rsidP="001136D3">
            <w:pPr>
              <w:spacing w:after="0"/>
              <w:jc w:val="left"/>
              <w:rPr>
                <w:sz w:val="20"/>
                <w:szCs w:val="22"/>
              </w:rPr>
            </w:pPr>
            <w:r w:rsidRPr="001136D3">
              <w:rPr>
                <w:sz w:val="20"/>
                <w:szCs w:val="22"/>
              </w:rPr>
              <w:t>5.4 FAT Test Data</w:t>
            </w:r>
          </w:p>
          <w:p w14:paraId="73F8DA83" w14:textId="77777777" w:rsidR="00513AB5" w:rsidRPr="00542D9B" w:rsidRDefault="00513AB5" w:rsidP="001136D3">
            <w:pPr>
              <w:spacing w:after="0"/>
              <w:ind w:left="36"/>
              <w:jc w:val="left"/>
              <w:rPr>
                <w:sz w:val="20"/>
              </w:rPr>
            </w:pPr>
            <w:r w:rsidRPr="001136D3">
              <w:rPr>
                <w:sz w:val="20"/>
                <w:szCs w:val="22"/>
              </w:rPr>
              <w:t>5.5 FAT Report</w:t>
            </w:r>
          </w:p>
        </w:tc>
        <w:tc>
          <w:tcPr>
            <w:tcW w:w="630" w:type="dxa"/>
            <w:tcBorders>
              <w:top w:val="single" w:sz="12" w:space="0" w:color="auto"/>
              <w:bottom w:val="single" w:sz="12" w:space="0" w:color="auto"/>
            </w:tcBorders>
          </w:tcPr>
          <w:p w14:paraId="2CE3BD3E"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37DFAB7F"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1AC2F4EA"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43A7D50"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2E64AC5"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27CF1FD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0053E64"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74376083"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B7E67C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B60A74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5FECC34"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6AECA634" w14:textId="77777777" w:rsidR="00513AB5" w:rsidRDefault="00513AB5" w:rsidP="001136D3">
            <w:pPr>
              <w:spacing w:after="0"/>
              <w:jc w:val="center"/>
              <w:rPr>
                <w:sz w:val="20"/>
              </w:rPr>
            </w:pPr>
          </w:p>
        </w:tc>
      </w:tr>
      <w:tr w:rsidR="00542D9B" w14:paraId="65DC6A21" w14:textId="77777777" w:rsidTr="00012998">
        <w:trPr>
          <w:cantSplit/>
        </w:trPr>
        <w:tc>
          <w:tcPr>
            <w:tcW w:w="532" w:type="dxa"/>
            <w:tcBorders>
              <w:top w:val="single" w:sz="12" w:space="0" w:color="auto"/>
              <w:left w:val="single" w:sz="12" w:space="0" w:color="auto"/>
              <w:bottom w:val="single" w:sz="12" w:space="0" w:color="auto"/>
            </w:tcBorders>
          </w:tcPr>
          <w:p w14:paraId="09288168" w14:textId="77777777" w:rsidR="00513AB5" w:rsidRDefault="00513AB5" w:rsidP="001136D3">
            <w:pPr>
              <w:spacing w:after="0"/>
              <w:jc w:val="left"/>
              <w:rPr>
                <w:sz w:val="20"/>
              </w:rPr>
            </w:pPr>
            <w:r w:rsidRPr="004242BF">
              <w:rPr>
                <w:b/>
                <w:sz w:val="22"/>
                <w:szCs w:val="22"/>
              </w:rPr>
              <w:t>6.</w:t>
            </w:r>
          </w:p>
        </w:tc>
        <w:tc>
          <w:tcPr>
            <w:tcW w:w="3150" w:type="dxa"/>
            <w:tcBorders>
              <w:top w:val="single" w:sz="12" w:space="0" w:color="auto"/>
              <w:bottom w:val="single" w:sz="12" w:space="0" w:color="auto"/>
            </w:tcBorders>
          </w:tcPr>
          <w:p w14:paraId="71F92F78" w14:textId="7C591762" w:rsidR="00513AB5" w:rsidRDefault="00100729" w:rsidP="001136D3">
            <w:pPr>
              <w:spacing w:after="0"/>
              <w:ind w:left="36"/>
              <w:jc w:val="left"/>
              <w:rPr>
                <w:sz w:val="20"/>
              </w:rPr>
            </w:pPr>
            <w:r>
              <w:rPr>
                <w:b/>
                <w:sz w:val="22"/>
                <w:szCs w:val="22"/>
              </w:rPr>
              <w:t xml:space="preserve">Hardware </w:t>
            </w:r>
            <w:r w:rsidR="00513AB5" w:rsidRPr="004242BF">
              <w:rPr>
                <w:b/>
                <w:sz w:val="22"/>
                <w:szCs w:val="22"/>
              </w:rPr>
              <w:t>Environment Readiness</w:t>
            </w:r>
          </w:p>
        </w:tc>
        <w:tc>
          <w:tcPr>
            <w:tcW w:w="630" w:type="dxa"/>
            <w:tcBorders>
              <w:top w:val="single" w:sz="12" w:space="0" w:color="auto"/>
              <w:bottom w:val="single" w:sz="12" w:space="0" w:color="auto"/>
            </w:tcBorders>
          </w:tcPr>
          <w:p w14:paraId="7F9F13BD"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14C53153" w14:textId="7F17BAA6"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6C01F3C6"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1F1DCB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6ADB7B1"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616CDF42"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8BDDEA4"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1712F021"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4C92DE74"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396CF862"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481A530"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1CAAF742" w14:textId="77777777" w:rsidR="00513AB5" w:rsidRDefault="00513AB5" w:rsidP="001136D3">
            <w:pPr>
              <w:spacing w:after="0"/>
              <w:jc w:val="center"/>
              <w:rPr>
                <w:sz w:val="20"/>
              </w:rPr>
            </w:pPr>
          </w:p>
        </w:tc>
      </w:tr>
      <w:tr w:rsidR="00542D9B" w14:paraId="4C1160E8" w14:textId="77777777" w:rsidTr="00012998">
        <w:trPr>
          <w:cantSplit/>
        </w:trPr>
        <w:tc>
          <w:tcPr>
            <w:tcW w:w="532" w:type="dxa"/>
            <w:tcBorders>
              <w:top w:val="single" w:sz="12" w:space="0" w:color="auto"/>
              <w:bottom w:val="single" w:sz="12" w:space="0" w:color="auto"/>
            </w:tcBorders>
          </w:tcPr>
          <w:p w14:paraId="53E054F2"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0D9C5105" w14:textId="3D810966" w:rsidR="00513AB5" w:rsidRDefault="00513AB5" w:rsidP="00100729">
            <w:pPr>
              <w:spacing w:after="0"/>
              <w:jc w:val="left"/>
              <w:rPr>
                <w:sz w:val="20"/>
                <w:szCs w:val="22"/>
              </w:rPr>
            </w:pPr>
            <w:r w:rsidRPr="001136D3">
              <w:rPr>
                <w:sz w:val="20"/>
                <w:szCs w:val="22"/>
              </w:rPr>
              <w:t xml:space="preserve">6.1 </w:t>
            </w:r>
            <w:r w:rsidR="00100729">
              <w:rPr>
                <w:sz w:val="20"/>
                <w:szCs w:val="22"/>
              </w:rPr>
              <w:t>Hardware Environment Readiness</w:t>
            </w:r>
          </w:p>
          <w:p w14:paraId="2D8B2287" w14:textId="0B95FCBE" w:rsidR="00E978A7" w:rsidRPr="00DE1F8A" w:rsidRDefault="0015531F" w:rsidP="00E978A7">
            <w:pPr>
              <w:spacing w:after="0"/>
              <w:jc w:val="left"/>
              <w:rPr>
                <w:bCs/>
                <w:sz w:val="20"/>
                <w:szCs w:val="22"/>
              </w:rPr>
            </w:pPr>
            <w:r w:rsidRPr="00DE1F8A">
              <w:rPr>
                <w:bCs/>
                <w:sz w:val="20"/>
                <w:szCs w:val="22"/>
              </w:rPr>
              <w:t xml:space="preserve">6.2 </w:t>
            </w:r>
            <w:r w:rsidR="00E978A7" w:rsidRPr="00DE1F8A">
              <w:rPr>
                <w:bCs/>
                <w:sz w:val="20"/>
                <w:szCs w:val="22"/>
              </w:rPr>
              <w:t xml:space="preserve">Software license – Relational Database Management System </w:t>
            </w:r>
          </w:p>
          <w:p w14:paraId="6D7BC8E0" w14:textId="55DD802D" w:rsidR="00E978A7" w:rsidRPr="00DE1F8A" w:rsidRDefault="00E978A7" w:rsidP="00F60631">
            <w:pPr>
              <w:numPr>
                <w:ilvl w:val="0"/>
                <w:numId w:val="205"/>
              </w:numPr>
              <w:spacing w:after="0"/>
              <w:ind w:left="140" w:hanging="140"/>
              <w:jc w:val="left"/>
              <w:rPr>
                <w:bCs/>
                <w:sz w:val="20"/>
                <w:szCs w:val="22"/>
              </w:rPr>
            </w:pPr>
            <w:r w:rsidRPr="00DE1F8A">
              <w:rPr>
                <w:bCs/>
                <w:sz w:val="20"/>
                <w:szCs w:val="22"/>
              </w:rPr>
              <w:t>Type 1 (Gov) 4 for Primary Site</w:t>
            </w:r>
          </w:p>
          <w:p w14:paraId="6BB477F0" w14:textId="3B6B2D2F" w:rsidR="0015531F" w:rsidRPr="0015531F" w:rsidRDefault="00E978A7" w:rsidP="00F60631">
            <w:pPr>
              <w:numPr>
                <w:ilvl w:val="0"/>
                <w:numId w:val="206"/>
              </w:numPr>
              <w:spacing w:after="0"/>
              <w:ind w:left="140" w:hanging="140"/>
              <w:jc w:val="left"/>
              <w:rPr>
                <w:b/>
                <w:bCs/>
                <w:sz w:val="20"/>
                <w:szCs w:val="22"/>
              </w:rPr>
            </w:pPr>
            <w:r w:rsidRPr="00DE1F8A">
              <w:rPr>
                <w:bCs/>
                <w:sz w:val="20"/>
                <w:szCs w:val="22"/>
              </w:rPr>
              <w:t>Type 2 (Gov) for DR site</w:t>
            </w:r>
          </w:p>
        </w:tc>
        <w:tc>
          <w:tcPr>
            <w:tcW w:w="630" w:type="dxa"/>
            <w:tcBorders>
              <w:top w:val="single" w:sz="12" w:space="0" w:color="auto"/>
              <w:bottom w:val="single" w:sz="12" w:space="0" w:color="auto"/>
            </w:tcBorders>
          </w:tcPr>
          <w:p w14:paraId="056A2402"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6112A622" w14:textId="77777777" w:rsidR="00513AB5" w:rsidRDefault="00513AB5" w:rsidP="001136D3">
            <w:pPr>
              <w:spacing w:after="0"/>
              <w:ind w:left="36"/>
              <w:jc w:val="center"/>
              <w:rPr>
                <w:sz w:val="20"/>
              </w:rPr>
            </w:pPr>
          </w:p>
          <w:p w14:paraId="38D1F823" w14:textId="77777777" w:rsidR="00E978A7" w:rsidRDefault="00E978A7" w:rsidP="001136D3">
            <w:pPr>
              <w:spacing w:after="0"/>
              <w:ind w:left="36"/>
              <w:jc w:val="center"/>
              <w:rPr>
                <w:sz w:val="20"/>
              </w:rPr>
            </w:pPr>
          </w:p>
          <w:p w14:paraId="2965B940" w14:textId="3F10C335" w:rsidR="00E978A7" w:rsidRDefault="00E978A7" w:rsidP="001136D3">
            <w:pPr>
              <w:spacing w:after="0"/>
              <w:ind w:left="36"/>
              <w:jc w:val="center"/>
              <w:rPr>
                <w:sz w:val="20"/>
              </w:rPr>
            </w:pPr>
          </w:p>
          <w:p w14:paraId="53F410E8" w14:textId="05A79897" w:rsidR="00E978A7" w:rsidRDefault="00C734EE" w:rsidP="001136D3">
            <w:pPr>
              <w:spacing w:after="0"/>
              <w:ind w:left="36"/>
              <w:jc w:val="center"/>
              <w:rPr>
                <w:sz w:val="20"/>
              </w:rPr>
            </w:pPr>
            <w:r>
              <w:rPr>
                <w:sz w:val="20"/>
              </w:rPr>
              <w:t>4</w:t>
            </w:r>
            <w:r w:rsidR="00DE1F8A">
              <w:rPr>
                <w:sz w:val="20"/>
              </w:rPr>
              <w:t xml:space="preserve">     </w:t>
            </w:r>
            <w:r>
              <w:rPr>
                <w:sz w:val="20"/>
              </w:rPr>
              <w:t>2</w:t>
            </w:r>
          </w:p>
        </w:tc>
        <w:tc>
          <w:tcPr>
            <w:tcW w:w="900" w:type="dxa"/>
            <w:tcBorders>
              <w:top w:val="single" w:sz="12" w:space="0" w:color="auto"/>
              <w:bottom w:val="single" w:sz="12" w:space="0" w:color="auto"/>
            </w:tcBorders>
          </w:tcPr>
          <w:p w14:paraId="55396640"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6149A84"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F7877B2"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B94B4EA"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2ED5943"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76863A86"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1680290F"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DB3DA06"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7BFED27"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68F9A3E4" w14:textId="77777777" w:rsidR="00513AB5" w:rsidRDefault="00513AB5" w:rsidP="001136D3">
            <w:pPr>
              <w:spacing w:after="0"/>
              <w:jc w:val="center"/>
              <w:rPr>
                <w:sz w:val="20"/>
              </w:rPr>
            </w:pPr>
          </w:p>
        </w:tc>
      </w:tr>
      <w:tr w:rsidR="00100729" w14:paraId="666A1C15" w14:textId="77777777" w:rsidTr="00012998">
        <w:trPr>
          <w:cantSplit/>
        </w:trPr>
        <w:tc>
          <w:tcPr>
            <w:tcW w:w="532" w:type="dxa"/>
            <w:tcBorders>
              <w:top w:val="single" w:sz="12" w:space="0" w:color="auto"/>
              <w:left w:val="single" w:sz="12" w:space="0" w:color="auto"/>
              <w:bottom w:val="single" w:sz="12" w:space="0" w:color="auto"/>
            </w:tcBorders>
          </w:tcPr>
          <w:p w14:paraId="7EFB47F7" w14:textId="10F83070" w:rsidR="00100729" w:rsidRPr="000976CE" w:rsidRDefault="00100729" w:rsidP="001136D3">
            <w:pPr>
              <w:spacing w:after="0"/>
              <w:jc w:val="left"/>
              <w:rPr>
                <w:b/>
                <w:sz w:val="20"/>
              </w:rPr>
            </w:pPr>
            <w:r w:rsidRPr="000976CE">
              <w:rPr>
                <w:b/>
              </w:rPr>
              <w:t>7.</w:t>
            </w:r>
          </w:p>
        </w:tc>
        <w:tc>
          <w:tcPr>
            <w:tcW w:w="3150" w:type="dxa"/>
            <w:tcBorders>
              <w:top w:val="single" w:sz="12" w:space="0" w:color="auto"/>
              <w:bottom w:val="single" w:sz="12" w:space="0" w:color="auto"/>
            </w:tcBorders>
          </w:tcPr>
          <w:p w14:paraId="0904D48E" w14:textId="248F6ED1" w:rsidR="00100729" w:rsidRDefault="000976CE" w:rsidP="000976CE">
            <w:pPr>
              <w:spacing w:after="0"/>
              <w:jc w:val="left"/>
              <w:rPr>
                <w:sz w:val="20"/>
                <w:szCs w:val="22"/>
              </w:rPr>
            </w:pPr>
            <w:r>
              <w:rPr>
                <w:b/>
                <w:sz w:val="22"/>
                <w:szCs w:val="22"/>
              </w:rPr>
              <w:t xml:space="preserve">Software </w:t>
            </w:r>
            <w:r w:rsidRPr="004242BF">
              <w:rPr>
                <w:b/>
                <w:sz w:val="22"/>
                <w:szCs w:val="22"/>
              </w:rPr>
              <w:t>Environment Readiness</w:t>
            </w:r>
          </w:p>
        </w:tc>
        <w:tc>
          <w:tcPr>
            <w:tcW w:w="630" w:type="dxa"/>
            <w:tcBorders>
              <w:top w:val="single" w:sz="12" w:space="0" w:color="auto"/>
              <w:bottom w:val="single" w:sz="12" w:space="0" w:color="auto"/>
            </w:tcBorders>
          </w:tcPr>
          <w:p w14:paraId="195B0EF3" w14:textId="77777777" w:rsidR="00100729" w:rsidRDefault="00100729" w:rsidP="001136D3">
            <w:pPr>
              <w:spacing w:after="0"/>
              <w:ind w:left="36"/>
              <w:jc w:val="center"/>
              <w:rPr>
                <w:sz w:val="20"/>
              </w:rPr>
            </w:pPr>
          </w:p>
        </w:tc>
        <w:tc>
          <w:tcPr>
            <w:tcW w:w="540" w:type="dxa"/>
            <w:tcBorders>
              <w:top w:val="single" w:sz="12" w:space="0" w:color="auto"/>
              <w:bottom w:val="single" w:sz="12" w:space="0" w:color="auto"/>
            </w:tcBorders>
          </w:tcPr>
          <w:p w14:paraId="55593F11" w14:textId="0CD7F619" w:rsidR="00100729"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5BD55141" w14:textId="77777777" w:rsidR="00100729" w:rsidRDefault="00100729" w:rsidP="001136D3">
            <w:pPr>
              <w:spacing w:after="0"/>
              <w:ind w:left="36"/>
              <w:jc w:val="center"/>
              <w:rPr>
                <w:sz w:val="20"/>
              </w:rPr>
            </w:pPr>
          </w:p>
        </w:tc>
        <w:tc>
          <w:tcPr>
            <w:tcW w:w="810" w:type="dxa"/>
            <w:tcBorders>
              <w:top w:val="single" w:sz="12" w:space="0" w:color="auto"/>
              <w:bottom w:val="single" w:sz="12" w:space="0" w:color="auto"/>
            </w:tcBorders>
          </w:tcPr>
          <w:p w14:paraId="219B21E7" w14:textId="77777777" w:rsidR="00100729" w:rsidRDefault="00100729" w:rsidP="001136D3">
            <w:pPr>
              <w:spacing w:after="0"/>
              <w:ind w:left="36"/>
              <w:jc w:val="center"/>
              <w:rPr>
                <w:sz w:val="20"/>
              </w:rPr>
            </w:pPr>
          </w:p>
        </w:tc>
        <w:tc>
          <w:tcPr>
            <w:tcW w:w="810" w:type="dxa"/>
            <w:tcBorders>
              <w:top w:val="single" w:sz="12" w:space="0" w:color="auto"/>
              <w:bottom w:val="single" w:sz="12" w:space="0" w:color="auto"/>
            </w:tcBorders>
          </w:tcPr>
          <w:p w14:paraId="577054FC" w14:textId="77777777" w:rsidR="00100729" w:rsidRDefault="00100729" w:rsidP="001136D3">
            <w:pPr>
              <w:spacing w:after="0"/>
              <w:ind w:left="36"/>
              <w:jc w:val="center"/>
              <w:rPr>
                <w:sz w:val="20"/>
              </w:rPr>
            </w:pPr>
          </w:p>
        </w:tc>
        <w:tc>
          <w:tcPr>
            <w:tcW w:w="900" w:type="dxa"/>
            <w:tcBorders>
              <w:top w:val="single" w:sz="12" w:space="0" w:color="auto"/>
              <w:bottom w:val="single" w:sz="12" w:space="0" w:color="auto"/>
            </w:tcBorders>
          </w:tcPr>
          <w:p w14:paraId="0B793EFC" w14:textId="77777777" w:rsidR="00100729" w:rsidRDefault="00100729" w:rsidP="001136D3">
            <w:pPr>
              <w:spacing w:after="0"/>
              <w:ind w:left="36"/>
              <w:jc w:val="center"/>
              <w:rPr>
                <w:sz w:val="20"/>
              </w:rPr>
            </w:pPr>
          </w:p>
        </w:tc>
        <w:tc>
          <w:tcPr>
            <w:tcW w:w="810" w:type="dxa"/>
            <w:tcBorders>
              <w:top w:val="single" w:sz="12" w:space="0" w:color="auto"/>
              <w:bottom w:val="single" w:sz="12" w:space="0" w:color="auto"/>
            </w:tcBorders>
          </w:tcPr>
          <w:p w14:paraId="4572118E" w14:textId="77777777" w:rsidR="00100729" w:rsidRDefault="00100729" w:rsidP="001136D3">
            <w:pPr>
              <w:spacing w:after="0"/>
              <w:ind w:left="36"/>
              <w:jc w:val="center"/>
              <w:rPr>
                <w:sz w:val="20"/>
              </w:rPr>
            </w:pPr>
          </w:p>
        </w:tc>
        <w:tc>
          <w:tcPr>
            <w:tcW w:w="990" w:type="dxa"/>
            <w:tcBorders>
              <w:top w:val="single" w:sz="12" w:space="0" w:color="auto"/>
              <w:bottom w:val="single" w:sz="12" w:space="0" w:color="auto"/>
            </w:tcBorders>
          </w:tcPr>
          <w:p w14:paraId="44183D6B" w14:textId="77777777" w:rsidR="00100729" w:rsidRDefault="00100729" w:rsidP="001136D3">
            <w:pPr>
              <w:spacing w:after="0"/>
              <w:ind w:left="36"/>
              <w:jc w:val="center"/>
              <w:rPr>
                <w:sz w:val="20"/>
              </w:rPr>
            </w:pPr>
          </w:p>
        </w:tc>
        <w:tc>
          <w:tcPr>
            <w:tcW w:w="720" w:type="dxa"/>
            <w:tcBorders>
              <w:top w:val="single" w:sz="12" w:space="0" w:color="auto"/>
              <w:bottom w:val="single" w:sz="12" w:space="0" w:color="auto"/>
            </w:tcBorders>
          </w:tcPr>
          <w:p w14:paraId="70F8FAA0" w14:textId="77777777" w:rsidR="00100729" w:rsidRDefault="00100729" w:rsidP="001136D3">
            <w:pPr>
              <w:spacing w:after="0"/>
              <w:jc w:val="center"/>
              <w:rPr>
                <w:sz w:val="20"/>
              </w:rPr>
            </w:pPr>
          </w:p>
        </w:tc>
        <w:tc>
          <w:tcPr>
            <w:tcW w:w="720" w:type="dxa"/>
            <w:tcBorders>
              <w:top w:val="single" w:sz="12" w:space="0" w:color="auto"/>
              <w:bottom w:val="single" w:sz="12" w:space="0" w:color="auto"/>
            </w:tcBorders>
          </w:tcPr>
          <w:p w14:paraId="1AB3B447" w14:textId="77777777" w:rsidR="00100729" w:rsidRDefault="00100729" w:rsidP="001136D3">
            <w:pPr>
              <w:spacing w:after="0"/>
              <w:jc w:val="center"/>
              <w:rPr>
                <w:sz w:val="20"/>
              </w:rPr>
            </w:pPr>
          </w:p>
        </w:tc>
        <w:tc>
          <w:tcPr>
            <w:tcW w:w="720" w:type="dxa"/>
            <w:tcBorders>
              <w:top w:val="single" w:sz="12" w:space="0" w:color="auto"/>
              <w:bottom w:val="single" w:sz="12" w:space="0" w:color="auto"/>
            </w:tcBorders>
          </w:tcPr>
          <w:p w14:paraId="7B17CDD9" w14:textId="77777777" w:rsidR="00100729" w:rsidRDefault="00100729"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5B40F7AA" w14:textId="77777777" w:rsidR="00100729" w:rsidRDefault="00100729" w:rsidP="001136D3">
            <w:pPr>
              <w:spacing w:after="0"/>
              <w:jc w:val="center"/>
              <w:rPr>
                <w:sz w:val="20"/>
              </w:rPr>
            </w:pPr>
          </w:p>
        </w:tc>
      </w:tr>
      <w:tr w:rsidR="000976CE" w14:paraId="050C44B4" w14:textId="77777777" w:rsidTr="00012998">
        <w:trPr>
          <w:cantSplit/>
        </w:trPr>
        <w:tc>
          <w:tcPr>
            <w:tcW w:w="532" w:type="dxa"/>
            <w:tcBorders>
              <w:top w:val="single" w:sz="12" w:space="0" w:color="auto"/>
              <w:bottom w:val="single" w:sz="12" w:space="0" w:color="auto"/>
            </w:tcBorders>
          </w:tcPr>
          <w:p w14:paraId="6D322D0A" w14:textId="77777777" w:rsidR="000976CE" w:rsidRDefault="000976CE" w:rsidP="001136D3">
            <w:pPr>
              <w:spacing w:after="0"/>
              <w:jc w:val="left"/>
              <w:rPr>
                <w:sz w:val="20"/>
              </w:rPr>
            </w:pPr>
          </w:p>
        </w:tc>
        <w:tc>
          <w:tcPr>
            <w:tcW w:w="3150" w:type="dxa"/>
            <w:tcBorders>
              <w:top w:val="single" w:sz="12" w:space="0" w:color="auto"/>
              <w:bottom w:val="single" w:sz="12" w:space="0" w:color="auto"/>
            </w:tcBorders>
          </w:tcPr>
          <w:p w14:paraId="38F6DB3C" w14:textId="6A8AE320" w:rsidR="000976CE" w:rsidRDefault="000976CE" w:rsidP="00DE1F8A">
            <w:pPr>
              <w:spacing w:after="0"/>
              <w:jc w:val="left"/>
              <w:rPr>
                <w:sz w:val="20"/>
                <w:szCs w:val="22"/>
              </w:rPr>
            </w:pPr>
            <w:r>
              <w:rPr>
                <w:sz w:val="20"/>
                <w:szCs w:val="22"/>
              </w:rPr>
              <w:t>7</w:t>
            </w:r>
            <w:r w:rsidRPr="001136D3">
              <w:rPr>
                <w:sz w:val="20"/>
                <w:szCs w:val="22"/>
              </w:rPr>
              <w:t>.</w:t>
            </w:r>
            <w:r w:rsidR="00DE1F8A">
              <w:rPr>
                <w:sz w:val="20"/>
                <w:szCs w:val="22"/>
              </w:rPr>
              <w:t>1</w:t>
            </w:r>
            <w:r w:rsidRPr="001136D3">
              <w:rPr>
                <w:sz w:val="20"/>
                <w:szCs w:val="22"/>
              </w:rPr>
              <w:t xml:space="preserve"> Software Environment Readiness</w:t>
            </w:r>
          </w:p>
        </w:tc>
        <w:tc>
          <w:tcPr>
            <w:tcW w:w="630" w:type="dxa"/>
            <w:tcBorders>
              <w:top w:val="single" w:sz="12" w:space="0" w:color="auto"/>
              <w:bottom w:val="single" w:sz="12" w:space="0" w:color="auto"/>
            </w:tcBorders>
          </w:tcPr>
          <w:p w14:paraId="71455759" w14:textId="77777777" w:rsidR="000976CE" w:rsidRDefault="000976CE" w:rsidP="001136D3">
            <w:pPr>
              <w:spacing w:after="0"/>
              <w:ind w:left="36"/>
              <w:jc w:val="center"/>
              <w:rPr>
                <w:sz w:val="20"/>
              </w:rPr>
            </w:pPr>
          </w:p>
        </w:tc>
        <w:tc>
          <w:tcPr>
            <w:tcW w:w="540" w:type="dxa"/>
            <w:tcBorders>
              <w:top w:val="single" w:sz="12" w:space="0" w:color="auto"/>
              <w:bottom w:val="single" w:sz="12" w:space="0" w:color="auto"/>
            </w:tcBorders>
          </w:tcPr>
          <w:p w14:paraId="0C34E746" w14:textId="77777777" w:rsidR="000976CE" w:rsidRDefault="000976CE" w:rsidP="001136D3">
            <w:pPr>
              <w:spacing w:after="0"/>
              <w:ind w:left="36"/>
              <w:jc w:val="center"/>
              <w:rPr>
                <w:sz w:val="20"/>
              </w:rPr>
            </w:pPr>
          </w:p>
        </w:tc>
        <w:tc>
          <w:tcPr>
            <w:tcW w:w="900" w:type="dxa"/>
            <w:tcBorders>
              <w:top w:val="single" w:sz="12" w:space="0" w:color="auto"/>
              <w:bottom w:val="single" w:sz="12" w:space="0" w:color="auto"/>
            </w:tcBorders>
          </w:tcPr>
          <w:p w14:paraId="6499184F"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60466B29"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0889E348" w14:textId="77777777" w:rsidR="000976CE" w:rsidRDefault="000976CE" w:rsidP="001136D3">
            <w:pPr>
              <w:spacing w:after="0"/>
              <w:ind w:left="36"/>
              <w:jc w:val="center"/>
              <w:rPr>
                <w:sz w:val="20"/>
              </w:rPr>
            </w:pPr>
          </w:p>
        </w:tc>
        <w:tc>
          <w:tcPr>
            <w:tcW w:w="900" w:type="dxa"/>
            <w:tcBorders>
              <w:top w:val="single" w:sz="12" w:space="0" w:color="auto"/>
              <w:bottom w:val="single" w:sz="12" w:space="0" w:color="auto"/>
            </w:tcBorders>
          </w:tcPr>
          <w:p w14:paraId="2CE0FD66"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4E660D64" w14:textId="77777777" w:rsidR="000976CE" w:rsidRDefault="000976CE" w:rsidP="001136D3">
            <w:pPr>
              <w:spacing w:after="0"/>
              <w:ind w:left="36"/>
              <w:jc w:val="center"/>
              <w:rPr>
                <w:sz w:val="20"/>
              </w:rPr>
            </w:pPr>
          </w:p>
        </w:tc>
        <w:tc>
          <w:tcPr>
            <w:tcW w:w="990" w:type="dxa"/>
            <w:tcBorders>
              <w:top w:val="single" w:sz="12" w:space="0" w:color="auto"/>
              <w:bottom w:val="single" w:sz="12" w:space="0" w:color="auto"/>
            </w:tcBorders>
          </w:tcPr>
          <w:p w14:paraId="3C1C9F47" w14:textId="77777777" w:rsidR="000976CE" w:rsidRDefault="000976CE" w:rsidP="001136D3">
            <w:pPr>
              <w:spacing w:after="0"/>
              <w:ind w:left="36"/>
              <w:jc w:val="center"/>
              <w:rPr>
                <w:sz w:val="20"/>
              </w:rPr>
            </w:pPr>
          </w:p>
        </w:tc>
        <w:tc>
          <w:tcPr>
            <w:tcW w:w="720" w:type="dxa"/>
            <w:tcBorders>
              <w:top w:val="single" w:sz="12" w:space="0" w:color="auto"/>
              <w:bottom w:val="single" w:sz="12" w:space="0" w:color="auto"/>
            </w:tcBorders>
          </w:tcPr>
          <w:p w14:paraId="31173A7D"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632BA320"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1C1DFB0A" w14:textId="77777777" w:rsidR="000976CE" w:rsidRDefault="000976CE" w:rsidP="001136D3">
            <w:pPr>
              <w:spacing w:after="0"/>
              <w:jc w:val="center"/>
              <w:rPr>
                <w:sz w:val="20"/>
              </w:rPr>
            </w:pPr>
          </w:p>
        </w:tc>
        <w:tc>
          <w:tcPr>
            <w:tcW w:w="728" w:type="dxa"/>
            <w:tcBorders>
              <w:top w:val="single" w:sz="12" w:space="0" w:color="auto"/>
              <w:bottom w:val="single" w:sz="12" w:space="0" w:color="auto"/>
            </w:tcBorders>
          </w:tcPr>
          <w:p w14:paraId="45345E23" w14:textId="77777777" w:rsidR="000976CE" w:rsidRDefault="000976CE" w:rsidP="001136D3">
            <w:pPr>
              <w:spacing w:after="0"/>
              <w:jc w:val="center"/>
              <w:rPr>
                <w:sz w:val="20"/>
              </w:rPr>
            </w:pPr>
          </w:p>
        </w:tc>
      </w:tr>
      <w:tr w:rsidR="00542D9B" w14:paraId="794D2762" w14:textId="77777777" w:rsidTr="00012998">
        <w:trPr>
          <w:cantSplit/>
        </w:trPr>
        <w:tc>
          <w:tcPr>
            <w:tcW w:w="532" w:type="dxa"/>
            <w:tcBorders>
              <w:top w:val="single" w:sz="12" w:space="0" w:color="auto"/>
              <w:left w:val="single" w:sz="12" w:space="0" w:color="auto"/>
              <w:bottom w:val="single" w:sz="12" w:space="0" w:color="auto"/>
            </w:tcBorders>
          </w:tcPr>
          <w:p w14:paraId="51BF8084" w14:textId="58FAF9B7" w:rsidR="00513AB5" w:rsidRDefault="000976CE" w:rsidP="001136D3">
            <w:pPr>
              <w:spacing w:after="0"/>
              <w:jc w:val="left"/>
              <w:rPr>
                <w:sz w:val="20"/>
              </w:rPr>
            </w:pPr>
            <w:r w:rsidRPr="000976CE">
              <w:rPr>
                <w:b/>
                <w:sz w:val="22"/>
                <w:szCs w:val="24"/>
              </w:rPr>
              <w:t>8</w:t>
            </w:r>
            <w:r w:rsidR="00513AB5" w:rsidRPr="004C6BF5">
              <w:rPr>
                <w:b/>
                <w:szCs w:val="24"/>
              </w:rPr>
              <w:t xml:space="preserve">. </w:t>
            </w:r>
          </w:p>
        </w:tc>
        <w:tc>
          <w:tcPr>
            <w:tcW w:w="3150" w:type="dxa"/>
            <w:tcBorders>
              <w:top w:val="single" w:sz="12" w:space="0" w:color="auto"/>
              <w:bottom w:val="single" w:sz="12" w:space="0" w:color="auto"/>
            </w:tcBorders>
          </w:tcPr>
          <w:p w14:paraId="3AB238CC" w14:textId="77777777" w:rsidR="00513AB5" w:rsidRPr="001136D3" w:rsidRDefault="00513AB5" w:rsidP="001136D3">
            <w:pPr>
              <w:spacing w:after="0"/>
              <w:ind w:left="36"/>
              <w:jc w:val="left"/>
              <w:rPr>
                <w:sz w:val="22"/>
              </w:rPr>
            </w:pPr>
            <w:r w:rsidRPr="001136D3">
              <w:rPr>
                <w:b/>
                <w:sz w:val="22"/>
                <w:szCs w:val="24"/>
              </w:rPr>
              <w:t>Pilot Deployment</w:t>
            </w:r>
          </w:p>
        </w:tc>
        <w:tc>
          <w:tcPr>
            <w:tcW w:w="630" w:type="dxa"/>
            <w:tcBorders>
              <w:top w:val="single" w:sz="12" w:space="0" w:color="auto"/>
              <w:bottom w:val="single" w:sz="12" w:space="0" w:color="auto"/>
            </w:tcBorders>
          </w:tcPr>
          <w:p w14:paraId="6239B2B7"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5A89F0B1" w14:textId="1937F3DD"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78E3AAD0"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11CD8B6"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AB28E5D"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0F0C743C"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BD3CB3B"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3728816F"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27FA417D"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6AF1ACC"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6A3DB67"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1724C959" w14:textId="77777777" w:rsidR="00513AB5" w:rsidRDefault="00513AB5" w:rsidP="001136D3">
            <w:pPr>
              <w:spacing w:after="0"/>
              <w:jc w:val="center"/>
              <w:rPr>
                <w:sz w:val="20"/>
              </w:rPr>
            </w:pPr>
          </w:p>
        </w:tc>
      </w:tr>
      <w:tr w:rsidR="000976CE" w14:paraId="56C36FC7" w14:textId="77777777" w:rsidTr="00012998">
        <w:trPr>
          <w:cantSplit/>
        </w:trPr>
        <w:tc>
          <w:tcPr>
            <w:tcW w:w="532" w:type="dxa"/>
            <w:tcBorders>
              <w:top w:val="single" w:sz="12" w:space="0" w:color="auto"/>
              <w:bottom w:val="single" w:sz="12" w:space="0" w:color="auto"/>
            </w:tcBorders>
          </w:tcPr>
          <w:p w14:paraId="1FECC274" w14:textId="77777777" w:rsidR="000976CE" w:rsidRDefault="000976CE" w:rsidP="000976CE">
            <w:pPr>
              <w:spacing w:after="0"/>
              <w:jc w:val="left"/>
              <w:rPr>
                <w:sz w:val="20"/>
              </w:rPr>
            </w:pPr>
          </w:p>
        </w:tc>
        <w:tc>
          <w:tcPr>
            <w:tcW w:w="3150" w:type="dxa"/>
            <w:tcBorders>
              <w:top w:val="single" w:sz="12" w:space="0" w:color="auto"/>
              <w:bottom w:val="single" w:sz="12" w:space="0" w:color="auto"/>
            </w:tcBorders>
          </w:tcPr>
          <w:p w14:paraId="462B1175" w14:textId="77777777" w:rsidR="000976CE" w:rsidRPr="000976CE" w:rsidRDefault="000976CE" w:rsidP="000976CE">
            <w:pPr>
              <w:spacing w:after="0"/>
              <w:jc w:val="left"/>
              <w:rPr>
                <w:sz w:val="20"/>
                <w:szCs w:val="22"/>
              </w:rPr>
            </w:pPr>
            <w:r w:rsidRPr="000976CE">
              <w:rPr>
                <w:sz w:val="20"/>
                <w:szCs w:val="22"/>
              </w:rPr>
              <w:t>8.1 NSW Trader Portal</w:t>
            </w:r>
          </w:p>
          <w:p w14:paraId="7D499243" w14:textId="77777777" w:rsidR="000976CE" w:rsidRPr="000976CE" w:rsidRDefault="000976CE" w:rsidP="000976CE">
            <w:pPr>
              <w:spacing w:after="0"/>
              <w:jc w:val="left"/>
              <w:rPr>
                <w:bCs/>
                <w:sz w:val="20"/>
                <w:szCs w:val="22"/>
              </w:rPr>
            </w:pPr>
            <w:r w:rsidRPr="000976CE">
              <w:rPr>
                <w:bCs/>
                <w:sz w:val="20"/>
                <w:szCs w:val="22"/>
              </w:rPr>
              <w:t>8.2 NSW Help Desk</w:t>
            </w:r>
          </w:p>
          <w:p w14:paraId="0A7D0F9A" w14:textId="77777777" w:rsidR="000976CE" w:rsidRPr="000976CE" w:rsidRDefault="000976CE" w:rsidP="000976CE">
            <w:pPr>
              <w:spacing w:after="0"/>
              <w:jc w:val="left"/>
              <w:rPr>
                <w:bCs/>
                <w:sz w:val="20"/>
                <w:szCs w:val="22"/>
              </w:rPr>
            </w:pPr>
            <w:r w:rsidRPr="000976CE">
              <w:rPr>
                <w:bCs/>
                <w:sz w:val="20"/>
                <w:szCs w:val="22"/>
              </w:rPr>
              <w:t>8.3 Registration of Traders and Competent Authority</w:t>
            </w:r>
          </w:p>
          <w:p w14:paraId="7ACC32C6" w14:textId="77777777" w:rsidR="000976CE" w:rsidRPr="000976CE" w:rsidRDefault="000976CE" w:rsidP="000976CE">
            <w:pPr>
              <w:spacing w:after="0"/>
              <w:jc w:val="left"/>
              <w:rPr>
                <w:bCs/>
                <w:sz w:val="20"/>
                <w:szCs w:val="22"/>
              </w:rPr>
            </w:pPr>
            <w:r w:rsidRPr="000976CE">
              <w:rPr>
                <w:bCs/>
                <w:sz w:val="20"/>
                <w:szCs w:val="22"/>
              </w:rPr>
              <w:t>8.4 LPCO Application</w:t>
            </w:r>
          </w:p>
          <w:p w14:paraId="06C4E01A" w14:textId="77777777" w:rsidR="000976CE" w:rsidRPr="000976CE" w:rsidRDefault="000976CE" w:rsidP="000976CE">
            <w:pPr>
              <w:spacing w:after="0"/>
              <w:jc w:val="left"/>
              <w:rPr>
                <w:bCs/>
                <w:sz w:val="20"/>
                <w:szCs w:val="22"/>
              </w:rPr>
            </w:pPr>
            <w:r w:rsidRPr="000976CE">
              <w:rPr>
                <w:bCs/>
                <w:sz w:val="20"/>
                <w:szCs w:val="22"/>
              </w:rPr>
              <w:t>8.5 LPCO Management</w:t>
            </w:r>
          </w:p>
          <w:p w14:paraId="49D5F6D3" w14:textId="77777777" w:rsidR="000976CE" w:rsidRPr="000976CE" w:rsidRDefault="000976CE" w:rsidP="000976CE">
            <w:pPr>
              <w:spacing w:after="0"/>
              <w:jc w:val="left"/>
              <w:rPr>
                <w:bCs/>
                <w:sz w:val="20"/>
                <w:szCs w:val="22"/>
              </w:rPr>
            </w:pPr>
            <w:r w:rsidRPr="000976CE">
              <w:rPr>
                <w:bCs/>
                <w:sz w:val="20"/>
                <w:szCs w:val="22"/>
              </w:rPr>
              <w:t>8.6 Payment Management</w:t>
            </w:r>
          </w:p>
          <w:p w14:paraId="306ACB07" w14:textId="77777777" w:rsidR="000976CE" w:rsidRPr="000976CE" w:rsidRDefault="000976CE" w:rsidP="000976CE">
            <w:pPr>
              <w:spacing w:after="0"/>
              <w:jc w:val="left"/>
              <w:rPr>
                <w:bCs/>
                <w:sz w:val="20"/>
                <w:szCs w:val="22"/>
              </w:rPr>
            </w:pPr>
            <w:r w:rsidRPr="000976CE">
              <w:rPr>
                <w:bCs/>
                <w:sz w:val="20"/>
                <w:szCs w:val="22"/>
              </w:rPr>
              <w:t>8.7 Payment Processing</w:t>
            </w:r>
          </w:p>
          <w:p w14:paraId="0BFBA53C" w14:textId="77777777" w:rsidR="000976CE" w:rsidRPr="000976CE" w:rsidRDefault="000976CE" w:rsidP="000976CE">
            <w:pPr>
              <w:spacing w:after="0"/>
              <w:jc w:val="left"/>
              <w:rPr>
                <w:bCs/>
                <w:sz w:val="20"/>
                <w:szCs w:val="22"/>
              </w:rPr>
            </w:pPr>
            <w:r w:rsidRPr="000976CE">
              <w:rPr>
                <w:bCs/>
                <w:sz w:val="20"/>
                <w:szCs w:val="22"/>
              </w:rPr>
              <w:lastRenderedPageBreak/>
              <w:t>8.8 Notification Management</w:t>
            </w:r>
          </w:p>
          <w:p w14:paraId="4FFEB288" w14:textId="77777777" w:rsidR="000976CE" w:rsidRPr="000976CE" w:rsidRDefault="000976CE" w:rsidP="000976CE">
            <w:pPr>
              <w:spacing w:after="0"/>
              <w:jc w:val="left"/>
              <w:rPr>
                <w:bCs/>
                <w:sz w:val="20"/>
                <w:szCs w:val="22"/>
              </w:rPr>
            </w:pPr>
            <w:r w:rsidRPr="000976CE">
              <w:rPr>
                <w:bCs/>
                <w:sz w:val="20"/>
                <w:szCs w:val="22"/>
              </w:rPr>
              <w:t>8.9 LPCO Designer</w:t>
            </w:r>
          </w:p>
          <w:p w14:paraId="7913ED09" w14:textId="77777777" w:rsidR="000976CE" w:rsidRPr="000976CE" w:rsidRDefault="000976CE" w:rsidP="000976CE">
            <w:pPr>
              <w:spacing w:after="0"/>
              <w:jc w:val="left"/>
              <w:rPr>
                <w:bCs/>
                <w:sz w:val="20"/>
                <w:szCs w:val="22"/>
              </w:rPr>
            </w:pPr>
            <w:r w:rsidRPr="000976CE">
              <w:rPr>
                <w:bCs/>
                <w:sz w:val="20"/>
                <w:szCs w:val="22"/>
              </w:rPr>
              <w:t>8.10 Inspection Control Results </w:t>
            </w:r>
          </w:p>
          <w:p w14:paraId="0C79661D" w14:textId="77777777" w:rsidR="000976CE" w:rsidRPr="000976CE" w:rsidRDefault="000976CE" w:rsidP="000976CE">
            <w:pPr>
              <w:spacing w:after="0"/>
              <w:jc w:val="left"/>
              <w:rPr>
                <w:bCs/>
                <w:sz w:val="20"/>
                <w:szCs w:val="22"/>
              </w:rPr>
            </w:pPr>
            <w:r w:rsidRPr="000976CE">
              <w:rPr>
                <w:bCs/>
                <w:sz w:val="20"/>
                <w:szCs w:val="22"/>
              </w:rPr>
              <w:t>8.11 Document Management </w:t>
            </w:r>
          </w:p>
          <w:p w14:paraId="284F131F" w14:textId="77777777" w:rsidR="000976CE" w:rsidRPr="000976CE" w:rsidRDefault="000976CE" w:rsidP="000976CE">
            <w:pPr>
              <w:spacing w:after="0"/>
              <w:jc w:val="left"/>
              <w:rPr>
                <w:bCs/>
                <w:sz w:val="20"/>
                <w:szCs w:val="22"/>
              </w:rPr>
            </w:pPr>
            <w:r w:rsidRPr="000976CE">
              <w:rPr>
                <w:bCs/>
                <w:sz w:val="20"/>
                <w:szCs w:val="22"/>
              </w:rPr>
              <w:t>8.12 LPCO Workflow Management</w:t>
            </w:r>
          </w:p>
          <w:p w14:paraId="7C9D42A8" w14:textId="77777777" w:rsidR="000976CE" w:rsidRPr="000976CE" w:rsidRDefault="000976CE" w:rsidP="000976CE">
            <w:pPr>
              <w:spacing w:after="0"/>
              <w:jc w:val="left"/>
              <w:rPr>
                <w:bCs/>
                <w:sz w:val="20"/>
                <w:szCs w:val="22"/>
              </w:rPr>
            </w:pPr>
            <w:r w:rsidRPr="000976CE">
              <w:rPr>
                <w:bCs/>
                <w:sz w:val="20"/>
                <w:szCs w:val="22"/>
              </w:rPr>
              <w:t>8.13 NSW Risk Management Module</w:t>
            </w:r>
          </w:p>
          <w:p w14:paraId="3813224A" w14:textId="77777777" w:rsidR="000976CE" w:rsidRPr="000976CE" w:rsidRDefault="000976CE" w:rsidP="000976CE">
            <w:pPr>
              <w:spacing w:after="0"/>
              <w:jc w:val="left"/>
              <w:rPr>
                <w:bCs/>
                <w:sz w:val="20"/>
                <w:szCs w:val="22"/>
              </w:rPr>
            </w:pPr>
            <w:r w:rsidRPr="000976CE">
              <w:rPr>
                <w:bCs/>
                <w:sz w:val="20"/>
                <w:szCs w:val="22"/>
              </w:rPr>
              <w:t>8.14 Referents Tables</w:t>
            </w:r>
          </w:p>
          <w:p w14:paraId="51174314" w14:textId="77777777" w:rsidR="000976CE" w:rsidRPr="000976CE" w:rsidRDefault="000976CE" w:rsidP="000976CE">
            <w:pPr>
              <w:spacing w:after="0"/>
              <w:jc w:val="left"/>
              <w:rPr>
                <w:bCs/>
                <w:sz w:val="20"/>
                <w:szCs w:val="22"/>
              </w:rPr>
            </w:pPr>
            <w:r w:rsidRPr="000976CE">
              <w:rPr>
                <w:bCs/>
                <w:sz w:val="20"/>
                <w:szCs w:val="22"/>
              </w:rPr>
              <w:t>8.15 Reporting Service</w:t>
            </w:r>
          </w:p>
          <w:p w14:paraId="2774A4C2" w14:textId="04753A13" w:rsidR="000976CE" w:rsidRPr="00456DB1" w:rsidRDefault="000976CE" w:rsidP="000976CE">
            <w:pPr>
              <w:spacing w:after="0"/>
              <w:ind w:left="36"/>
              <w:jc w:val="left"/>
              <w:rPr>
                <w:sz w:val="20"/>
              </w:rPr>
            </w:pPr>
            <w:r w:rsidRPr="000976CE">
              <w:rPr>
                <w:bCs/>
                <w:sz w:val="20"/>
                <w:szCs w:val="22"/>
              </w:rPr>
              <w:t>8.16 Data Converter</w:t>
            </w:r>
          </w:p>
        </w:tc>
        <w:tc>
          <w:tcPr>
            <w:tcW w:w="630" w:type="dxa"/>
            <w:tcBorders>
              <w:top w:val="single" w:sz="12" w:space="0" w:color="auto"/>
              <w:bottom w:val="single" w:sz="12" w:space="0" w:color="auto"/>
            </w:tcBorders>
          </w:tcPr>
          <w:p w14:paraId="40E15DC6" w14:textId="77777777" w:rsidR="000976CE" w:rsidRDefault="000976CE" w:rsidP="000976CE">
            <w:pPr>
              <w:spacing w:after="0"/>
              <w:ind w:left="36"/>
              <w:jc w:val="center"/>
              <w:rPr>
                <w:sz w:val="20"/>
              </w:rPr>
            </w:pPr>
          </w:p>
        </w:tc>
        <w:tc>
          <w:tcPr>
            <w:tcW w:w="540" w:type="dxa"/>
            <w:tcBorders>
              <w:top w:val="single" w:sz="12" w:space="0" w:color="auto"/>
              <w:bottom w:val="single" w:sz="12" w:space="0" w:color="auto"/>
            </w:tcBorders>
          </w:tcPr>
          <w:p w14:paraId="20D750B8" w14:textId="77777777" w:rsidR="000976CE" w:rsidRDefault="000976CE" w:rsidP="000976CE">
            <w:pPr>
              <w:spacing w:after="0"/>
              <w:ind w:left="36"/>
              <w:jc w:val="center"/>
              <w:rPr>
                <w:sz w:val="20"/>
              </w:rPr>
            </w:pPr>
          </w:p>
        </w:tc>
        <w:tc>
          <w:tcPr>
            <w:tcW w:w="900" w:type="dxa"/>
            <w:tcBorders>
              <w:top w:val="single" w:sz="12" w:space="0" w:color="auto"/>
              <w:bottom w:val="single" w:sz="12" w:space="0" w:color="auto"/>
            </w:tcBorders>
          </w:tcPr>
          <w:p w14:paraId="7F4069DF" w14:textId="77777777" w:rsidR="000976CE" w:rsidRDefault="000976CE" w:rsidP="000976CE">
            <w:pPr>
              <w:spacing w:after="0"/>
              <w:ind w:left="36"/>
              <w:jc w:val="center"/>
              <w:rPr>
                <w:sz w:val="20"/>
              </w:rPr>
            </w:pPr>
          </w:p>
        </w:tc>
        <w:tc>
          <w:tcPr>
            <w:tcW w:w="810" w:type="dxa"/>
            <w:tcBorders>
              <w:top w:val="single" w:sz="12" w:space="0" w:color="auto"/>
              <w:bottom w:val="single" w:sz="12" w:space="0" w:color="auto"/>
            </w:tcBorders>
          </w:tcPr>
          <w:p w14:paraId="652A97B4" w14:textId="77777777" w:rsidR="000976CE" w:rsidRDefault="000976CE" w:rsidP="000976CE">
            <w:pPr>
              <w:spacing w:after="0"/>
              <w:ind w:left="36"/>
              <w:jc w:val="center"/>
              <w:rPr>
                <w:sz w:val="20"/>
              </w:rPr>
            </w:pPr>
          </w:p>
        </w:tc>
        <w:tc>
          <w:tcPr>
            <w:tcW w:w="810" w:type="dxa"/>
            <w:tcBorders>
              <w:top w:val="single" w:sz="12" w:space="0" w:color="auto"/>
              <w:bottom w:val="single" w:sz="12" w:space="0" w:color="auto"/>
            </w:tcBorders>
          </w:tcPr>
          <w:p w14:paraId="2E0AD2CC" w14:textId="77777777" w:rsidR="000976CE" w:rsidRDefault="000976CE" w:rsidP="000976CE">
            <w:pPr>
              <w:spacing w:after="0"/>
              <w:ind w:left="36"/>
              <w:jc w:val="center"/>
              <w:rPr>
                <w:sz w:val="20"/>
              </w:rPr>
            </w:pPr>
          </w:p>
        </w:tc>
        <w:tc>
          <w:tcPr>
            <w:tcW w:w="900" w:type="dxa"/>
            <w:tcBorders>
              <w:top w:val="single" w:sz="12" w:space="0" w:color="auto"/>
              <w:bottom w:val="single" w:sz="12" w:space="0" w:color="auto"/>
            </w:tcBorders>
          </w:tcPr>
          <w:p w14:paraId="70459FFE" w14:textId="77777777" w:rsidR="000976CE" w:rsidRDefault="000976CE" w:rsidP="000976CE">
            <w:pPr>
              <w:spacing w:after="0"/>
              <w:ind w:left="36"/>
              <w:jc w:val="center"/>
              <w:rPr>
                <w:sz w:val="20"/>
              </w:rPr>
            </w:pPr>
          </w:p>
        </w:tc>
        <w:tc>
          <w:tcPr>
            <w:tcW w:w="810" w:type="dxa"/>
            <w:tcBorders>
              <w:top w:val="single" w:sz="12" w:space="0" w:color="auto"/>
              <w:bottom w:val="single" w:sz="12" w:space="0" w:color="auto"/>
            </w:tcBorders>
          </w:tcPr>
          <w:p w14:paraId="3A17C2D8" w14:textId="77777777" w:rsidR="000976CE" w:rsidRDefault="000976CE" w:rsidP="000976CE">
            <w:pPr>
              <w:spacing w:after="0"/>
              <w:ind w:left="36"/>
              <w:jc w:val="center"/>
              <w:rPr>
                <w:sz w:val="20"/>
              </w:rPr>
            </w:pPr>
          </w:p>
        </w:tc>
        <w:tc>
          <w:tcPr>
            <w:tcW w:w="990" w:type="dxa"/>
            <w:tcBorders>
              <w:top w:val="single" w:sz="12" w:space="0" w:color="auto"/>
              <w:bottom w:val="single" w:sz="12" w:space="0" w:color="auto"/>
            </w:tcBorders>
          </w:tcPr>
          <w:p w14:paraId="3C9A9DC7" w14:textId="77777777" w:rsidR="000976CE" w:rsidRDefault="000976CE" w:rsidP="000976CE">
            <w:pPr>
              <w:spacing w:after="0"/>
              <w:ind w:left="36"/>
              <w:jc w:val="center"/>
              <w:rPr>
                <w:sz w:val="20"/>
              </w:rPr>
            </w:pPr>
          </w:p>
        </w:tc>
        <w:tc>
          <w:tcPr>
            <w:tcW w:w="720" w:type="dxa"/>
            <w:tcBorders>
              <w:top w:val="single" w:sz="12" w:space="0" w:color="auto"/>
              <w:bottom w:val="single" w:sz="12" w:space="0" w:color="auto"/>
            </w:tcBorders>
          </w:tcPr>
          <w:p w14:paraId="12A3B5CF" w14:textId="77777777" w:rsidR="000976CE" w:rsidRDefault="000976CE" w:rsidP="000976CE">
            <w:pPr>
              <w:spacing w:after="0"/>
              <w:jc w:val="center"/>
              <w:rPr>
                <w:sz w:val="20"/>
              </w:rPr>
            </w:pPr>
          </w:p>
        </w:tc>
        <w:tc>
          <w:tcPr>
            <w:tcW w:w="720" w:type="dxa"/>
            <w:tcBorders>
              <w:top w:val="single" w:sz="12" w:space="0" w:color="auto"/>
              <w:bottom w:val="single" w:sz="12" w:space="0" w:color="auto"/>
            </w:tcBorders>
          </w:tcPr>
          <w:p w14:paraId="2D8289DC" w14:textId="77777777" w:rsidR="000976CE" w:rsidRDefault="000976CE" w:rsidP="000976CE">
            <w:pPr>
              <w:spacing w:after="0"/>
              <w:jc w:val="center"/>
              <w:rPr>
                <w:sz w:val="20"/>
              </w:rPr>
            </w:pPr>
          </w:p>
        </w:tc>
        <w:tc>
          <w:tcPr>
            <w:tcW w:w="720" w:type="dxa"/>
            <w:tcBorders>
              <w:top w:val="single" w:sz="12" w:space="0" w:color="auto"/>
              <w:bottom w:val="single" w:sz="12" w:space="0" w:color="auto"/>
            </w:tcBorders>
          </w:tcPr>
          <w:p w14:paraId="03EF9797" w14:textId="77777777" w:rsidR="000976CE" w:rsidRDefault="000976CE" w:rsidP="000976CE">
            <w:pPr>
              <w:spacing w:after="0"/>
              <w:jc w:val="center"/>
              <w:rPr>
                <w:sz w:val="20"/>
              </w:rPr>
            </w:pPr>
          </w:p>
        </w:tc>
        <w:tc>
          <w:tcPr>
            <w:tcW w:w="728" w:type="dxa"/>
            <w:tcBorders>
              <w:top w:val="single" w:sz="12" w:space="0" w:color="auto"/>
              <w:bottom w:val="single" w:sz="12" w:space="0" w:color="auto"/>
            </w:tcBorders>
          </w:tcPr>
          <w:p w14:paraId="19972717" w14:textId="77777777" w:rsidR="000976CE" w:rsidRDefault="000976CE" w:rsidP="000976CE">
            <w:pPr>
              <w:spacing w:after="0"/>
              <w:jc w:val="center"/>
              <w:rPr>
                <w:sz w:val="20"/>
              </w:rPr>
            </w:pPr>
          </w:p>
        </w:tc>
      </w:tr>
      <w:tr w:rsidR="00542D9B" w14:paraId="565BFC7F" w14:textId="77777777" w:rsidTr="00012998">
        <w:trPr>
          <w:cantSplit/>
        </w:trPr>
        <w:tc>
          <w:tcPr>
            <w:tcW w:w="532" w:type="dxa"/>
            <w:tcBorders>
              <w:top w:val="single" w:sz="12" w:space="0" w:color="auto"/>
              <w:left w:val="single" w:sz="12" w:space="0" w:color="auto"/>
              <w:bottom w:val="single" w:sz="12" w:space="0" w:color="auto"/>
            </w:tcBorders>
          </w:tcPr>
          <w:p w14:paraId="22A3F7A4" w14:textId="26727B98" w:rsidR="00513AB5" w:rsidRDefault="000976CE" w:rsidP="001136D3">
            <w:pPr>
              <w:spacing w:after="0"/>
              <w:jc w:val="left"/>
              <w:rPr>
                <w:sz w:val="20"/>
              </w:rPr>
            </w:pPr>
            <w:r>
              <w:rPr>
                <w:b/>
                <w:szCs w:val="24"/>
              </w:rPr>
              <w:t>9</w:t>
            </w:r>
            <w:r w:rsidR="00513AB5" w:rsidRPr="004C6BF5">
              <w:rPr>
                <w:b/>
                <w:szCs w:val="24"/>
              </w:rPr>
              <w:t>.</w:t>
            </w:r>
          </w:p>
        </w:tc>
        <w:tc>
          <w:tcPr>
            <w:tcW w:w="3150" w:type="dxa"/>
            <w:tcBorders>
              <w:top w:val="single" w:sz="12" w:space="0" w:color="auto"/>
              <w:bottom w:val="single" w:sz="12" w:space="0" w:color="auto"/>
            </w:tcBorders>
          </w:tcPr>
          <w:p w14:paraId="076019F6" w14:textId="77777777" w:rsidR="00513AB5" w:rsidRPr="001136D3" w:rsidRDefault="00513AB5" w:rsidP="001136D3">
            <w:pPr>
              <w:spacing w:after="0"/>
              <w:ind w:left="36"/>
              <w:jc w:val="left"/>
              <w:rPr>
                <w:sz w:val="22"/>
              </w:rPr>
            </w:pPr>
            <w:r w:rsidRPr="001136D3">
              <w:rPr>
                <w:b/>
                <w:sz w:val="22"/>
                <w:szCs w:val="24"/>
              </w:rPr>
              <w:t>Specification Phase 2</w:t>
            </w:r>
          </w:p>
        </w:tc>
        <w:tc>
          <w:tcPr>
            <w:tcW w:w="630" w:type="dxa"/>
            <w:tcBorders>
              <w:top w:val="single" w:sz="12" w:space="0" w:color="auto"/>
              <w:bottom w:val="single" w:sz="12" w:space="0" w:color="auto"/>
            </w:tcBorders>
          </w:tcPr>
          <w:p w14:paraId="0CD09B82"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39EA72FD" w14:textId="66101F0B"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724A268E"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1B5FCD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DB18345"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7E05CC9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F87F8CE"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5E60D937"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4479FFC7"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756453F"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3AB2E18"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39142F01" w14:textId="77777777" w:rsidR="00513AB5" w:rsidRDefault="00513AB5" w:rsidP="001136D3">
            <w:pPr>
              <w:spacing w:after="0"/>
              <w:jc w:val="center"/>
              <w:rPr>
                <w:sz w:val="20"/>
              </w:rPr>
            </w:pPr>
          </w:p>
        </w:tc>
      </w:tr>
      <w:tr w:rsidR="00542D9B" w14:paraId="559B113A" w14:textId="77777777" w:rsidTr="00012998">
        <w:trPr>
          <w:cantSplit/>
        </w:trPr>
        <w:tc>
          <w:tcPr>
            <w:tcW w:w="532" w:type="dxa"/>
            <w:tcBorders>
              <w:top w:val="single" w:sz="12" w:space="0" w:color="auto"/>
              <w:bottom w:val="single" w:sz="12" w:space="0" w:color="auto"/>
            </w:tcBorders>
          </w:tcPr>
          <w:p w14:paraId="21F28AC0"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4DA0A624" w14:textId="77777777" w:rsidR="000976CE" w:rsidRPr="000976CE" w:rsidRDefault="000976CE" w:rsidP="000976CE">
            <w:pPr>
              <w:spacing w:after="0"/>
              <w:jc w:val="left"/>
              <w:rPr>
                <w:sz w:val="20"/>
                <w:szCs w:val="22"/>
              </w:rPr>
            </w:pPr>
            <w:r w:rsidRPr="000976CE">
              <w:rPr>
                <w:sz w:val="20"/>
                <w:szCs w:val="22"/>
              </w:rPr>
              <w:t>9.1 NSW Trader Portal</w:t>
            </w:r>
          </w:p>
          <w:p w14:paraId="27128B32" w14:textId="77777777" w:rsidR="000976CE" w:rsidRPr="000976CE" w:rsidRDefault="000976CE" w:rsidP="000976CE">
            <w:pPr>
              <w:spacing w:after="0"/>
              <w:jc w:val="left"/>
              <w:rPr>
                <w:bCs/>
                <w:sz w:val="20"/>
                <w:szCs w:val="22"/>
              </w:rPr>
            </w:pPr>
            <w:r w:rsidRPr="000976CE">
              <w:rPr>
                <w:bCs/>
                <w:sz w:val="20"/>
                <w:szCs w:val="22"/>
              </w:rPr>
              <w:t>9.2 NSW Help Desk</w:t>
            </w:r>
          </w:p>
          <w:p w14:paraId="0D72C805" w14:textId="77777777" w:rsidR="000976CE" w:rsidRPr="000976CE" w:rsidRDefault="000976CE" w:rsidP="000976CE">
            <w:pPr>
              <w:spacing w:after="0"/>
              <w:jc w:val="left"/>
              <w:rPr>
                <w:bCs/>
                <w:sz w:val="20"/>
                <w:szCs w:val="22"/>
              </w:rPr>
            </w:pPr>
            <w:r w:rsidRPr="000976CE">
              <w:rPr>
                <w:bCs/>
                <w:sz w:val="20"/>
                <w:szCs w:val="22"/>
              </w:rPr>
              <w:t>9.3 Registration of Traders and Competent Authority</w:t>
            </w:r>
          </w:p>
          <w:p w14:paraId="07702CE7" w14:textId="77777777" w:rsidR="000976CE" w:rsidRPr="000976CE" w:rsidRDefault="000976CE" w:rsidP="000976CE">
            <w:pPr>
              <w:spacing w:after="0"/>
              <w:jc w:val="left"/>
              <w:rPr>
                <w:bCs/>
                <w:sz w:val="20"/>
                <w:szCs w:val="22"/>
              </w:rPr>
            </w:pPr>
            <w:r w:rsidRPr="000976CE">
              <w:rPr>
                <w:bCs/>
                <w:sz w:val="20"/>
                <w:szCs w:val="22"/>
              </w:rPr>
              <w:t>9.4 LPCO Application</w:t>
            </w:r>
          </w:p>
          <w:p w14:paraId="75775F86" w14:textId="77777777" w:rsidR="000976CE" w:rsidRPr="000976CE" w:rsidRDefault="000976CE" w:rsidP="000976CE">
            <w:pPr>
              <w:spacing w:after="0"/>
              <w:jc w:val="left"/>
              <w:rPr>
                <w:bCs/>
                <w:sz w:val="20"/>
                <w:szCs w:val="22"/>
              </w:rPr>
            </w:pPr>
            <w:r w:rsidRPr="000976CE">
              <w:rPr>
                <w:bCs/>
                <w:sz w:val="20"/>
                <w:szCs w:val="22"/>
              </w:rPr>
              <w:t>9.5 LPCO Management</w:t>
            </w:r>
          </w:p>
          <w:p w14:paraId="7F988E10" w14:textId="77777777" w:rsidR="000976CE" w:rsidRPr="000976CE" w:rsidRDefault="000976CE" w:rsidP="000976CE">
            <w:pPr>
              <w:spacing w:after="0"/>
              <w:jc w:val="left"/>
              <w:rPr>
                <w:bCs/>
                <w:sz w:val="20"/>
                <w:szCs w:val="22"/>
              </w:rPr>
            </w:pPr>
            <w:r w:rsidRPr="000976CE">
              <w:rPr>
                <w:bCs/>
                <w:sz w:val="20"/>
                <w:szCs w:val="22"/>
              </w:rPr>
              <w:t>9.6 Payment Management</w:t>
            </w:r>
          </w:p>
          <w:p w14:paraId="1A8EFBB8" w14:textId="77777777" w:rsidR="000976CE" w:rsidRPr="000976CE" w:rsidRDefault="000976CE" w:rsidP="000976CE">
            <w:pPr>
              <w:spacing w:after="0"/>
              <w:jc w:val="left"/>
              <w:rPr>
                <w:bCs/>
                <w:sz w:val="20"/>
                <w:szCs w:val="22"/>
              </w:rPr>
            </w:pPr>
            <w:r w:rsidRPr="000976CE">
              <w:rPr>
                <w:bCs/>
                <w:sz w:val="20"/>
                <w:szCs w:val="22"/>
              </w:rPr>
              <w:t>9.7 Payment Processing</w:t>
            </w:r>
          </w:p>
          <w:p w14:paraId="7A5B77B7" w14:textId="77777777" w:rsidR="000976CE" w:rsidRPr="000976CE" w:rsidRDefault="000976CE" w:rsidP="000976CE">
            <w:pPr>
              <w:spacing w:after="0"/>
              <w:jc w:val="left"/>
              <w:rPr>
                <w:bCs/>
                <w:sz w:val="20"/>
                <w:szCs w:val="22"/>
              </w:rPr>
            </w:pPr>
            <w:r w:rsidRPr="000976CE">
              <w:rPr>
                <w:bCs/>
                <w:sz w:val="20"/>
                <w:szCs w:val="22"/>
              </w:rPr>
              <w:t>9.8 Notification Management</w:t>
            </w:r>
          </w:p>
          <w:p w14:paraId="220C9853" w14:textId="77777777" w:rsidR="000976CE" w:rsidRPr="000976CE" w:rsidRDefault="000976CE" w:rsidP="000976CE">
            <w:pPr>
              <w:spacing w:after="0"/>
              <w:jc w:val="left"/>
              <w:rPr>
                <w:bCs/>
                <w:sz w:val="20"/>
                <w:szCs w:val="22"/>
              </w:rPr>
            </w:pPr>
            <w:r w:rsidRPr="000976CE">
              <w:rPr>
                <w:bCs/>
                <w:sz w:val="20"/>
                <w:szCs w:val="22"/>
              </w:rPr>
              <w:t>9.9 LPCO Designer</w:t>
            </w:r>
          </w:p>
          <w:p w14:paraId="583C70E8" w14:textId="77777777" w:rsidR="000976CE" w:rsidRPr="000976CE" w:rsidRDefault="000976CE" w:rsidP="000976CE">
            <w:pPr>
              <w:spacing w:after="0"/>
              <w:jc w:val="left"/>
              <w:rPr>
                <w:bCs/>
                <w:sz w:val="20"/>
                <w:szCs w:val="22"/>
              </w:rPr>
            </w:pPr>
            <w:r w:rsidRPr="000976CE">
              <w:rPr>
                <w:bCs/>
                <w:sz w:val="20"/>
                <w:szCs w:val="22"/>
              </w:rPr>
              <w:t>9.10 Inspection Control Results </w:t>
            </w:r>
          </w:p>
          <w:p w14:paraId="21C45C6F" w14:textId="77777777" w:rsidR="000976CE" w:rsidRPr="000976CE" w:rsidRDefault="000976CE" w:rsidP="000976CE">
            <w:pPr>
              <w:spacing w:after="0"/>
              <w:jc w:val="left"/>
              <w:rPr>
                <w:bCs/>
                <w:sz w:val="20"/>
                <w:szCs w:val="22"/>
              </w:rPr>
            </w:pPr>
            <w:r w:rsidRPr="000976CE">
              <w:rPr>
                <w:bCs/>
                <w:sz w:val="20"/>
                <w:szCs w:val="22"/>
              </w:rPr>
              <w:t>9.11 Document Management </w:t>
            </w:r>
          </w:p>
          <w:p w14:paraId="051AD43C" w14:textId="77777777" w:rsidR="000976CE" w:rsidRPr="000976CE" w:rsidRDefault="000976CE" w:rsidP="000976CE">
            <w:pPr>
              <w:spacing w:after="0"/>
              <w:jc w:val="left"/>
              <w:rPr>
                <w:bCs/>
                <w:sz w:val="20"/>
                <w:szCs w:val="22"/>
              </w:rPr>
            </w:pPr>
            <w:r w:rsidRPr="000976CE">
              <w:rPr>
                <w:bCs/>
                <w:sz w:val="20"/>
                <w:szCs w:val="22"/>
              </w:rPr>
              <w:t>9.12 LPCO Workflow Management</w:t>
            </w:r>
          </w:p>
          <w:p w14:paraId="714CC754" w14:textId="77777777" w:rsidR="000976CE" w:rsidRPr="000976CE" w:rsidRDefault="000976CE" w:rsidP="000976CE">
            <w:pPr>
              <w:spacing w:after="0"/>
              <w:jc w:val="left"/>
              <w:rPr>
                <w:bCs/>
                <w:sz w:val="20"/>
                <w:szCs w:val="22"/>
              </w:rPr>
            </w:pPr>
            <w:r w:rsidRPr="000976CE">
              <w:rPr>
                <w:bCs/>
                <w:sz w:val="20"/>
                <w:szCs w:val="22"/>
              </w:rPr>
              <w:t>9.13 NSW Risk Management Module</w:t>
            </w:r>
          </w:p>
          <w:p w14:paraId="2987D0F0" w14:textId="77777777" w:rsidR="000976CE" w:rsidRPr="000976CE" w:rsidRDefault="000976CE" w:rsidP="000976CE">
            <w:pPr>
              <w:spacing w:after="0"/>
              <w:jc w:val="left"/>
              <w:rPr>
                <w:bCs/>
                <w:sz w:val="20"/>
                <w:szCs w:val="22"/>
              </w:rPr>
            </w:pPr>
            <w:r w:rsidRPr="000976CE">
              <w:rPr>
                <w:bCs/>
                <w:sz w:val="20"/>
                <w:szCs w:val="22"/>
              </w:rPr>
              <w:t>9.14 Referents Tables</w:t>
            </w:r>
          </w:p>
          <w:p w14:paraId="5A673E8F" w14:textId="77777777" w:rsidR="000976CE" w:rsidRPr="000976CE" w:rsidRDefault="000976CE" w:rsidP="000976CE">
            <w:pPr>
              <w:spacing w:after="0"/>
              <w:jc w:val="left"/>
              <w:rPr>
                <w:bCs/>
                <w:sz w:val="20"/>
                <w:szCs w:val="22"/>
              </w:rPr>
            </w:pPr>
            <w:r w:rsidRPr="000976CE">
              <w:rPr>
                <w:bCs/>
                <w:sz w:val="20"/>
                <w:szCs w:val="22"/>
              </w:rPr>
              <w:t>9.15 Reporting Service</w:t>
            </w:r>
          </w:p>
          <w:p w14:paraId="741524C3" w14:textId="45D7D6B4" w:rsidR="00513AB5" w:rsidRPr="00456DB1" w:rsidRDefault="000976CE" w:rsidP="000976CE">
            <w:pPr>
              <w:spacing w:after="0"/>
              <w:ind w:left="36"/>
              <w:jc w:val="left"/>
              <w:rPr>
                <w:sz w:val="20"/>
              </w:rPr>
            </w:pPr>
            <w:r w:rsidRPr="000976CE">
              <w:rPr>
                <w:bCs/>
                <w:sz w:val="20"/>
                <w:szCs w:val="22"/>
              </w:rPr>
              <w:t>9.16 Data Converter</w:t>
            </w:r>
          </w:p>
        </w:tc>
        <w:tc>
          <w:tcPr>
            <w:tcW w:w="630" w:type="dxa"/>
            <w:tcBorders>
              <w:top w:val="single" w:sz="12" w:space="0" w:color="auto"/>
              <w:bottom w:val="single" w:sz="12" w:space="0" w:color="auto"/>
            </w:tcBorders>
          </w:tcPr>
          <w:p w14:paraId="6A3049E5"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598FB62C"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794CA9F8"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D219631"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C8B9C75"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72FE195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91FA4A2"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6DFB95F8"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67B530F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D2581AD"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2EC97ED"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198D1CEB" w14:textId="77777777" w:rsidR="00513AB5" w:rsidRDefault="00513AB5" w:rsidP="001136D3">
            <w:pPr>
              <w:spacing w:after="0"/>
              <w:jc w:val="center"/>
              <w:rPr>
                <w:sz w:val="20"/>
              </w:rPr>
            </w:pPr>
          </w:p>
        </w:tc>
      </w:tr>
      <w:tr w:rsidR="00542D9B" w14:paraId="26220C79" w14:textId="77777777" w:rsidTr="00012998">
        <w:trPr>
          <w:cantSplit/>
        </w:trPr>
        <w:tc>
          <w:tcPr>
            <w:tcW w:w="532" w:type="dxa"/>
            <w:tcBorders>
              <w:top w:val="single" w:sz="12" w:space="0" w:color="auto"/>
              <w:left w:val="single" w:sz="12" w:space="0" w:color="auto"/>
              <w:bottom w:val="single" w:sz="12" w:space="0" w:color="auto"/>
            </w:tcBorders>
          </w:tcPr>
          <w:p w14:paraId="38F0BE34" w14:textId="68D791DF" w:rsidR="00513AB5" w:rsidRDefault="000976CE" w:rsidP="001136D3">
            <w:pPr>
              <w:spacing w:after="0"/>
              <w:jc w:val="left"/>
              <w:rPr>
                <w:sz w:val="20"/>
              </w:rPr>
            </w:pPr>
            <w:r>
              <w:rPr>
                <w:b/>
                <w:szCs w:val="22"/>
              </w:rPr>
              <w:t>10</w:t>
            </w:r>
            <w:r w:rsidR="00513AB5" w:rsidRPr="004C6BF5">
              <w:rPr>
                <w:b/>
                <w:szCs w:val="22"/>
              </w:rPr>
              <w:t>.</w:t>
            </w:r>
          </w:p>
        </w:tc>
        <w:tc>
          <w:tcPr>
            <w:tcW w:w="3150" w:type="dxa"/>
            <w:tcBorders>
              <w:top w:val="single" w:sz="12" w:space="0" w:color="auto"/>
              <w:bottom w:val="single" w:sz="12" w:space="0" w:color="auto"/>
            </w:tcBorders>
          </w:tcPr>
          <w:p w14:paraId="06BDAC75" w14:textId="77777777" w:rsidR="00513AB5" w:rsidRPr="001136D3" w:rsidRDefault="00513AB5" w:rsidP="001136D3">
            <w:pPr>
              <w:spacing w:after="0"/>
              <w:ind w:left="36"/>
              <w:jc w:val="left"/>
              <w:rPr>
                <w:sz w:val="22"/>
              </w:rPr>
            </w:pPr>
            <w:r w:rsidRPr="001136D3">
              <w:rPr>
                <w:b/>
                <w:sz w:val="22"/>
                <w:szCs w:val="22"/>
              </w:rPr>
              <w:t>Capacity Building</w:t>
            </w:r>
          </w:p>
        </w:tc>
        <w:tc>
          <w:tcPr>
            <w:tcW w:w="630" w:type="dxa"/>
            <w:tcBorders>
              <w:top w:val="single" w:sz="12" w:space="0" w:color="auto"/>
              <w:bottom w:val="single" w:sz="12" w:space="0" w:color="auto"/>
            </w:tcBorders>
          </w:tcPr>
          <w:p w14:paraId="358DB6A2"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18A42C30" w14:textId="6B50BAB1"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6D3FDDEA"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63147DA"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B9E5B1F"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51AA7CD"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AA440E8"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6A5AF186"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3DF09B70"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287F7E5"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453DEEB9"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73FC0393" w14:textId="77777777" w:rsidR="00513AB5" w:rsidRDefault="00513AB5" w:rsidP="001136D3">
            <w:pPr>
              <w:spacing w:after="0"/>
              <w:jc w:val="center"/>
              <w:rPr>
                <w:sz w:val="20"/>
              </w:rPr>
            </w:pPr>
          </w:p>
        </w:tc>
      </w:tr>
      <w:tr w:rsidR="00542D9B" w14:paraId="0F1C49F3" w14:textId="77777777" w:rsidTr="00012998">
        <w:trPr>
          <w:cantSplit/>
        </w:trPr>
        <w:tc>
          <w:tcPr>
            <w:tcW w:w="532" w:type="dxa"/>
            <w:tcBorders>
              <w:top w:val="single" w:sz="12" w:space="0" w:color="auto"/>
              <w:bottom w:val="single" w:sz="12" w:space="0" w:color="auto"/>
            </w:tcBorders>
          </w:tcPr>
          <w:p w14:paraId="0345515B"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154EC9E8" w14:textId="01DF9180" w:rsidR="00513AB5" w:rsidRPr="001136D3" w:rsidRDefault="000976CE" w:rsidP="001136D3">
            <w:pPr>
              <w:spacing w:after="0"/>
              <w:jc w:val="left"/>
              <w:rPr>
                <w:sz w:val="20"/>
                <w:szCs w:val="22"/>
              </w:rPr>
            </w:pPr>
            <w:r>
              <w:rPr>
                <w:sz w:val="20"/>
                <w:szCs w:val="22"/>
              </w:rPr>
              <w:t>10</w:t>
            </w:r>
            <w:r w:rsidR="00513AB5" w:rsidRPr="001136D3">
              <w:rPr>
                <w:sz w:val="20"/>
                <w:szCs w:val="22"/>
              </w:rPr>
              <w:t>.1 Training Needs Assessment</w:t>
            </w:r>
          </w:p>
          <w:p w14:paraId="0AA48574" w14:textId="400DFA49" w:rsidR="00513AB5" w:rsidRPr="00456DB1" w:rsidRDefault="000976CE" w:rsidP="001136D3">
            <w:pPr>
              <w:spacing w:after="0"/>
              <w:ind w:left="36"/>
              <w:jc w:val="left"/>
              <w:rPr>
                <w:sz w:val="20"/>
              </w:rPr>
            </w:pPr>
            <w:r>
              <w:rPr>
                <w:sz w:val="20"/>
                <w:szCs w:val="22"/>
              </w:rPr>
              <w:t>10</w:t>
            </w:r>
            <w:r w:rsidR="00513AB5" w:rsidRPr="001136D3">
              <w:rPr>
                <w:sz w:val="20"/>
                <w:szCs w:val="22"/>
              </w:rPr>
              <w:t>.2 Trainings and Workshops</w:t>
            </w:r>
          </w:p>
        </w:tc>
        <w:tc>
          <w:tcPr>
            <w:tcW w:w="630" w:type="dxa"/>
            <w:tcBorders>
              <w:top w:val="single" w:sz="12" w:space="0" w:color="auto"/>
              <w:bottom w:val="single" w:sz="12" w:space="0" w:color="auto"/>
            </w:tcBorders>
          </w:tcPr>
          <w:p w14:paraId="64A07826"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7B2E2ECE"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5C68F58"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D75FC36"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25963E8"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4A5A8F4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F376206"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5AB841BE"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69BEED63"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CA5E739"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3A46400"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349D3C3A" w14:textId="77777777" w:rsidR="00513AB5" w:rsidRDefault="00513AB5" w:rsidP="001136D3">
            <w:pPr>
              <w:spacing w:after="0"/>
              <w:jc w:val="center"/>
              <w:rPr>
                <w:sz w:val="20"/>
              </w:rPr>
            </w:pPr>
          </w:p>
        </w:tc>
      </w:tr>
      <w:tr w:rsidR="00542D9B" w14:paraId="7D7114EC" w14:textId="77777777" w:rsidTr="00012998">
        <w:trPr>
          <w:cantSplit/>
        </w:trPr>
        <w:tc>
          <w:tcPr>
            <w:tcW w:w="532" w:type="dxa"/>
            <w:tcBorders>
              <w:top w:val="single" w:sz="12" w:space="0" w:color="auto"/>
              <w:left w:val="single" w:sz="12" w:space="0" w:color="auto"/>
              <w:bottom w:val="single" w:sz="12" w:space="0" w:color="auto"/>
            </w:tcBorders>
          </w:tcPr>
          <w:p w14:paraId="4B4DB0B0" w14:textId="42A61E16" w:rsidR="00513AB5" w:rsidRDefault="000976CE" w:rsidP="001136D3">
            <w:pPr>
              <w:spacing w:after="0"/>
              <w:jc w:val="left"/>
              <w:rPr>
                <w:sz w:val="20"/>
              </w:rPr>
            </w:pPr>
            <w:r>
              <w:rPr>
                <w:b/>
                <w:szCs w:val="22"/>
              </w:rPr>
              <w:t>11</w:t>
            </w:r>
            <w:r w:rsidR="00513AB5" w:rsidRPr="004C6BF5">
              <w:rPr>
                <w:b/>
                <w:szCs w:val="22"/>
              </w:rPr>
              <w:t>.</w:t>
            </w:r>
          </w:p>
        </w:tc>
        <w:tc>
          <w:tcPr>
            <w:tcW w:w="3150" w:type="dxa"/>
            <w:tcBorders>
              <w:top w:val="single" w:sz="12" w:space="0" w:color="auto"/>
              <w:bottom w:val="single" w:sz="12" w:space="0" w:color="auto"/>
            </w:tcBorders>
          </w:tcPr>
          <w:p w14:paraId="7E803FBA" w14:textId="77777777" w:rsidR="00513AB5" w:rsidRPr="001136D3" w:rsidRDefault="00513AB5" w:rsidP="001136D3">
            <w:pPr>
              <w:spacing w:after="0"/>
              <w:ind w:left="36"/>
              <w:jc w:val="left"/>
              <w:rPr>
                <w:sz w:val="22"/>
              </w:rPr>
            </w:pPr>
            <w:r w:rsidRPr="001136D3">
              <w:rPr>
                <w:b/>
                <w:sz w:val="22"/>
                <w:szCs w:val="22"/>
              </w:rPr>
              <w:t>Test Pilot Stage SAT</w:t>
            </w:r>
          </w:p>
        </w:tc>
        <w:tc>
          <w:tcPr>
            <w:tcW w:w="630" w:type="dxa"/>
            <w:tcBorders>
              <w:top w:val="single" w:sz="12" w:space="0" w:color="auto"/>
              <w:bottom w:val="single" w:sz="12" w:space="0" w:color="auto"/>
            </w:tcBorders>
          </w:tcPr>
          <w:p w14:paraId="1919C313"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0C5D772A" w14:textId="032DDD34"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78B12FC4"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4082642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549AA1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560F712C"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9759B00"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1FC805B3"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578F6E6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348C59F6"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76410B5"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24E1972B" w14:textId="77777777" w:rsidR="00513AB5" w:rsidRDefault="00513AB5" w:rsidP="001136D3">
            <w:pPr>
              <w:spacing w:after="0"/>
              <w:jc w:val="center"/>
              <w:rPr>
                <w:sz w:val="20"/>
              </w:rPr>
            </w:pPr>
          </w:p>
        </w:tc>
      </w:tr>
      <w:tr w:rsidR="00542D9B" w14:paraId="5B5815B2" w14:textId="77777777" w:rsidTr="00012998">
        <w:trPr>
          <w:cantSplit/>
        </w:trPr>
        <w:tc>
          <w:tcPr>
            <w:tcW w:w="532" w:type="dxa"/>
            <w:tcBorders>
              <w:top w:val="single" w:sz="12" w:space="0" w:color="auto"/>
              <w:bottom w:val="single" w:sz="12" w:space="0" w:color="auto"/>
            </w:tcBorders>
          </w:tcPr>
          <w:p w14:paraId="763CACCC"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20B83C39" w14:textId="77777777" w:rsidR="000976CE" w:rsidRPr="000976CE" w:rsidRDefault="000976CE" w:rsidP="000976CE">
            <w:pPr>
              <w:spacing w:after="0"/>
              <w:jc w:val="left"/>
              <w:rPr>
                <w:sz w:val="20"/>
                <w:szCs w:val="22"/>
              </w:rPr>
            </w:pPr>
            <w:r w:rsidRPr="000976CE">
              <w:rPr>
                <w:sz w:val="20"/>
                <w:szCs w:val="22"/>
              </w:rPr>
              <w:t xml:space="preserve">11.1 Readiness of Environment </w:t>
            </w:r>
          </w:p>
          <w:p w14:paraId="56EB26BB" w14:textId="77777777" w:rsidR="000976CE" w:rsidRPr="000976CE" w:rsidRDefault="000976CE" w:rsidP="000976CE">
            <w:pPr>
              <w:spacing w:after="0"/>
              <w:jc w:val="left"/>
              <w:rPr>
                <w:sz w:val="20"/>
                <w:szCs w:val="22"/>
              </w:rPr>
            </w:pPr>
            <w:r w:rsidRPr="000976CE">
              <w:rPr>
                <w:sz w:val="20"/>
                <w:szCs w:val="22"/>
              </w:rPr>
              <w:t>11.2 Acceptance Test Plan for SAT</w:t>
            </w:r>
          </w:p>
          <w:p w14:paraId="1639AD7A" w14:textId="77777777" w:rsidR="000976CE" w:rsidRPr="000976CE" w:rsidRDefault="000976CE" w:rsidP="000976CE">
            <w:pPr>
              <w:spacing w:after="0"/>
              <w:jc w:val="left"/>
              <w:rPr>
                <w:sz w:val="20"/>
                <w:szCs w:val="22"/>
              </w:rPr>
            </w:pPr>
            <w:r w:rsidRPr="000976CE">
              <w:rPr>
                <w:sz w:val="20"/>
                <w:szCs w:val="22"/>
              </w:rPr>
              <w:t>11.3 SAT Automated Test Cases (Scripts) for Integration</w:t>
            </w:r>
          </w:p>
          <w:p w14:paraId="3DC0D71F" w14:textId="77777777" w:rsidR="000976CE" w:rsidRPr="000976CE" w:rsidRDefault="000976CE" w:rsidP="000976CE">
            <w:pPr>
              <w:spacing w:after="0"/>
              <w:jc w:val="left"/>
              <w:rPr>
                <w:sz w:val="20"/>
                <w:szCs w:val="22"/>
              </w:rPr>
            </w:pPr>
            <w:r w:rsidRPr="000976CE">
              <w:rPr>
                <w:sz w:val="20"/>
                <w:szCs w:val="22"/>
              </w:rPr>
              <w:t>11.4 SAT Test Data</w:t>
            </w:r>
          </w:p>
          <w:p w14:paraId="60C255D4" w14:textId="2A0983C6" w:rsidR="00513AB5" w:rsidRPr="00456DB1" w:rsidRDefault="000976CE" w:rsidP="000976CE">
            <w:pPr>
              <w:spacing w:after="0"/>
              <w:ind w:left="36"/>
              <w:jc w:val="left"/>
              <w:rPr>
                <w:sz w:val="20"/>
              </w:rPr>
            </w:pPr>
            <w:r w:rsidRPr="000976CE">
              <w:rPr>
                <w:sz w:val="20"/>
                <w:szCs w:val="22"/>
              </w:rPr>
              <w:t>11.5 SAT Report</w:t>
            </w:r>
          </w:p>
        </w:tc>
        <w:tc>
          <w:tcPr>
            <w:tcW w:w="630" w:type="dxa"/>
            <w:tcBorders>
              <w:top w:val="single" w:sz="12" w:space="0" w:color="auto"/>
              <w:bottom w:val="single" w:sz="12" w:space="0" w:color="auto"/>
            </w:tcBorders>
          </w:tcPr>
          <w:p w14:paraId="1A638673"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7729BAD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16F20534"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DBE64C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6C2DB5D5"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0A59069"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AA1D280"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0D1567D9"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93DA02A"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1C3624C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42EB97E"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6F8EFBA0" w14:textId="77777777" w:rsidR="00513AB5" w:rsidRDefault="00513AB5" w:rsidP="001136D3">
            <w:pPr>
              <w:spacing w:after="0"/>
              <w:jc w:val="center"/>
              <w:rPr>
                <w:sz w:val="20"/>
              </w:rPr>
            </w:pPr>
          </w:p>
        </w:tc>
      </w:tr>
      <w:tr w:rsidR="00542D9B" w14:paraId="11EB0DCB" w14:textId="77777777" w:rsidTr="00012998">
        <w:trPr>
          <w:cantSplit/>
        </w:trPr>
        <w:tc>
          <w:tcPr>
            <w:tcW w:w="532" w:type="dxa"/>
            <w:tcBorders>
              <w:top w:val="single" w:sz="12" w:space="0" w:color="auto"/>
              <w:left w:val="single" w:sz="12" w:space="0" w:color="auto"/>
              <w:bottom w:val="single" w:sz="12" w:space="0" w:color="auto"/>
            </w:tcBorders>
          </w:tcPr>
          <w:p w14:paraId="5D452F25" w14:textId="5D39F457" w:rsidR="00513AB5" w:rsidRDefault="00513AB5" w:rsidP="000976CE">
            <w:pPr>
              <w:spacing w:after="0"/>
              <w:jc w:val="left"/>
              <w:rPr>
                <w:sz w:val="20"/>
              </w:rPr>
            </w:pPr>
            <w:r w:rsidRPr="004C6BF5">
              <w:rPr>
                <w:b/>
                <w:szCs w:val="22"/>
              </w:rPr>
              <w:t>1</w:t>
            </w:r>
            <w:r w:rsidR="000976CE">
              <w:rPr>
                <w:b/>
                <w:szCs w:val="22"/>
              </w:rPr>
              <w:t>2</w:t>
            </w:r>
            <w:r w:rsidRPr="004C6BF5">
              <w:rPr>
                <w:b/>
                <w:szCs w:val="22"/>
              </w:rPr>
              <w:t>.</w:t>
            </w:r>
          </w:p>
        </w:tc>
        <w:tc>
          <w:tcPr>
            <w:tcW w:w="3150" w:type="dxa"/>
            <w:tcBorders>
              <w:top w:val="single" w:sz="12" w:space="0" w:color="auto"/>
              <w:bottom w:val="single" w:sz="12" w:space="0" w:color="auto"/>
            </w:tcBorders>
          </w:tcPr>
          <w:p w14:paraId="422E8458" w14:textId="554B2638" w:rsidR="00513AB5" w:rsidRPr="001136D3" w:rsidRDefault="00513AB5" w:rsidP="001136D3">
            <w:pPr>
              <w:spacing w:after="0"/>
              <w:ind w:left="36"/>
              <w:jc w:val="left"/>
              <w:rPr>
                <w:sz w:val="22"/>
              </w:rPr>
            </w:pPr>
            <w:r w:rsidRPr="001136D3">
              <w:rPr>
                <w:b/>
                <w:sz w:val="22"/>
                <w:szCs w:val="22"/>
              </w:rPr>
              <w:t xml:space="preserve">Rollout </w:t>
            </w:r>
            <w:r w:rsidR="000976CE">
              <w:rPr>
                <w:b/>
                <w:sz w:val="22"/>
                <w:szCs w:val="22"/>
              </w:rPr>
              <w:t xml:space="preserve">Hardware </w:t>
            </w:r>
            <w:r w:rsidRPr="001136D3">
              <w:rPr>
                <w:b/>
                <w:sz w:val="22"/>
                <w:szCs w:val="22"/>
              </w:rPr>
              <w:t>Environment Readiness</w:t>
            </w:r>
          </w:p>
        </w:tc>
        <w:tc>
          <w:tcPr>
            <w:tcW w:w="630" w:type="dxa"/>
            <w:tcBorders>
              <w:top w:val="single" w:sz="12" w:space="0" w:color="auto"/>
              <w:bottom w:val="single" w:sz="12" w:space="0" w:color="auto"/>
            </w:tcBorders>
          </w:tcPr>
          <w:p w14:paraId="0D97FF03"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1B1EBDCE" w14:textId="579D2E81"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056445A8"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72D0EBE2"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3F6439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298C2039"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7FBCE3CD"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0C7C190D"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FD9B8A7"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E8DA999"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BB01EA3"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7E9414B3" w14:textId="77777777" w:rsidR="00513AB5" w:rsidRDefault="00513AB5" w:rsidP="001136D3">
            <w:pPr>
              <w:spacing w:after="0"/>
              <w:jc w:val="center"/>
              <w:rPr>
                <w:sz w:val="20"/>
              </w:rPr>
            </w:pPr>
          </w:p>
        </w:tc>
      </w:tr>
      <w:tr w:rsidR="00542D9B" w14:paraId="02D7AA46" w14:textId="77777777" w:rsidTr="00012998">
        <w:trPr>
          <w:cantSplit/>
        </w:trPr>
        <w:tc>
          <w:tcPr>
            <w:tcW w:w="532" w:type="dxa"/>
            <w:tcBorders>
              <w:top w:val="single" w:sz="12" w:space="0" w:color="auto"/>
              <w:bottom w:val="single" w:sz="12" w:space="0" w:color="auto"/>
            </w:tcBorders>
          </w:tcPr>
          <w:p w14:paraId="017CD47B"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2CF01AD9" w14:textId="23ADDBAF" w:rsidR="00513AB5" w:rsidRPr="001136D3" w:rsidRDefault="000976CE" w:rsidP="001136D3">
            <w:pPr>
              <w:spacing w:after="0"/>
              <w:jc w:val="left"/>
              <w:rPr>
                <w:sz w:val="20"/>
                <w:szCs w:val="22"/>
              </w:rPr>
            </w:pPr>
            <w:r>
              <w:rPr>
                <w:sz w:val="20"/>
                <w:szCs w:val="22"/>
              </w:rPr>
              <w:t>12</w:t>
            </w:r>
            <w:r w:rsidR="00513AB5" w:rsidRPr="001136D3">
              <w:rPr>
                <w:sz w:val="20"/>
                <w:szCs w:val="22"/>
              </w:rPr>
              <w:t>.1 Rollout Hardware Environment Readiness</w:t>
            </w:r>
          </w:p>
          <w:p w14:paraId="1242B819" w14:textId="45C88BF0" w:rsidR="00513AB5" w:rsidRPr="00456DB1" w:rsidRDefault="00513AB5" w:rsidP="001136D3">
            <w:pPr>
              <w:spacing w:after="0"/>
              <w:ind w:left="36"/>
              <w:jc w:val="left"/>
              <w:rPr>
                <w:sz w:val="20"/>
              </w:rPr>
            </w:pPr>
          </w:p>
        </w:tc>
        <w:tc>
          <w:tcPr>
            <w:tcW w:w="630" w:type="dxa"/>
            <w:tcBorders>
              <w:top w:val="single" w:sz="12" w:space="0" w:color="auto"/>
              <w:bottom w:val="single" w:sz="12" w:space="0" w:color="auto"/>
            </w:tcBorders>
          </w:tcPr>
          <w:p w14:paraId="249D5E14"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442EEFEF"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57B76AA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284052D"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DC76E23"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36D8DF93"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905E059"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317C76EC"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EEB053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6934D644"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B0CD821"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26CC3345" w14:textId="77777777" w:rsidR="00513AB5" w:rsidRDefault="00513AB5" w:rsidP="001136D3">
            <w:pPr>
              <w:spacing w:after="0"/>
              <w:jc w:val="center"/>
              <w:rPr>
                <w:sz w:val="20"/>
              </w:rPr>
            </w:pPr>
          </w:p>
        </w:tc>
      </w:tr>
      <w:tr w:rsidR="000976CE" w14:paraId="493D87BC" w14:textId="77777777" w:rsidTr="00012998">
        <w:trPr>
          <w:cantSplit/>
        </w:trPr>
        <w:tc>
          <w:tcPr>
            <w:tcW w:w="532" w:type="dxa"/>
            <w:tcBorders>
              <w:top w:val="single" w:sz="12" w:space="0" w:color="auto"/>
              <w:left w:val="single" w:sz="12" w:space="0" w:color="auto"/>
              <w:bottom w:val="single" w:sz="12" w:space="0" w:color="auto"/>
            </w:tcBorders>
          </w:tcPr>
          <w:p w14:paraId="1AC4ABA3" w14:textId="12C2C3C3" w:rsidR="000976CE" w:rsidRPr="000976CE" w:rsidRDefault="000976CE" w:rsidP="001136D3">
            <w:pPr>
              <w:spacing w:after="0"/>
              <w:jc w:val="left"/>
              <w:rPr>
                <w:b/>
                <w:sz w:val="20"/>
              </w:rPr>
            </w:pPr>
            <w:r w:rsidRPr="000976CE">
              <w:rPr>
                <w:b/>
              </w:rPr>
              <w:t>13.</w:t>
            </w:r>
          </w:p>
        </w:tc>
        <w:tc>
          <w:tcPr>
            <w:tcW w:w="3150" w:type="dxa"/>
            <w:tcBorders>
              <w:top w:val="single" w:sz="12" w:space="0" w:color="auto"/>
              <w:bottom w:val="single" w:sz="12" w:space="0" w:color="auto"/>
            </w:tcBorders>
          </w:tcPr>
          <w:p w14:paraId="05F94756" w14:textId="20D42398" w:rsidR="000976CE" w:rsidRPr="001136D3" w:rsidRDefault="000976CE" w:rsidP="000976CE">
            <w:pPr>
              <w:spacing w:after="0"/>
              <w:jc w:val="left"/>
              <w:rPr>
                <w:sz w:val="20"/>
                <w:szCs w:val="22"/>
              </w:rPr>
            </w:pPr>
            <w:r w:rsidRPr="001136D3">
              <w:rPr>
                <w:b/>
                <w:sz w:val="22"/>
                <w:szCs w:val="22"/>
              </w:rPr>
              <w:t xml:space="preserve">Rollout </w:t>
            </w:r>
            <w:r>
              <w:rPr>
                <w:b/>
                <w:sz w:val="22"/>
                <w:szCs w:val="22"/>
              </w:rPr>
              <w:t xml:space="preserve">Software </w:t>
            </w:r>
            <w:r w:rsidRPr="001136D3">
              <w:rPr>
                <w:b/>
                <w:sz w:val="22"/>
                <w:szCs w:val="22"/>
              </w:rPr>
              <w:t>Environment Readiness</w:t>
            </w:r>
          </w:p>
        </w:tc>
        <w:tc>
          <w:tcPr>
            <w:tcW w:w="630" w:type="dxa"/>
            <w:tcBorders>
              <w:top w:val="single" w:sz="12" w:space="0" w:color="auto"/>
              <w:bottom w:val="single" w:sz="12" w:space="0" w:color="auto"/>
            </w:tcBorders>
          </w:tcPr>
          <w:p w14:paraId="47326DC8" w14:textId="77777777" w:rsidR="000976CE" w:rsidRDefault="000976CE" w:rsidP="001136D3">
            <w:pPr>
              <w:spacing w:after="0"/>
              <w:ind w:left="36"/>
              <w:jc w:val="center"/>
              <w:rPr>
                <w:sz w:val="20"/>
              </w:rPr>
            </w:pPr>
          </w:p>
        </w:tc>
        <w:tc>
          <w:tcPr>
            <w:tcW w:w="540" w:type="dxa"/>
            <w:tcBorders>
              <w:top w:val="single" w:sz="12" w:space="0" w:color="auto"/>
              <w:bottom w:val="single" w:sz="12" w:space="0" w:color="auto"/>
            </w:tcBorders>
          </w:tcPr>
          <w:p w14:paraId="74AA6CB1" w14:textId="025283C8" w:rsidR="000976CE"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4918B6BD"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542754FD"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03F45012" w14:textId="77777777" w:rsidR="000976CE" w:rsidRDefault="000976CE" w:rsidP="001136D3">
            <w:pPr>
              <w:spacing w:after="0"/>
              <w:ind w:left="36"/>
              <w:jc w:val="center"/>
              <w:rPr>
                <w:sz w:val="20"/>
              </w:rPr>
            </w:pPr>
          </w:p>
        </w:tc>
        <w:tc>
          <w:tcPr>
            <w:tcW w:w="900" w:type="dxa"/>
            <w:tcBorders>
              <w:top w:val="single" w:sz="12" w:space="0" w:color="auto"/>
              <w:bottom w:val="single" w:sz="12" w:space="0" w:color="auto"/>
            </w:tcBorders>
          </w:tcPr>
          <w:p w14:paraId="4EB07411"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62618C7C" w14:textId="77777777" w:rsidR="000976CE" w:rsidRDefault="000976CE" w:rsidP="001136D3">
            <w:pPr>
              <w:spacing w:after="0"/>
              <w:ind w:left="36"/>
              <w:jc w:val="center"/>
              <w:rPr>
                <w:sz w:val="20"/>
              </w:rPr>
            </w:pPr>
          </w:p>
        </w:tc>
        <w:tc>
          <w:tcPr>
            <w:tcW w:w="990" w:type="dxa"/>
            <w:tcBorders>
              <w:top w:val="single" w:sz="12" w:space="0" w:color="auto"/>
              <w:bottom w:val="single" w:sz="12" w:space="0" w:color="auto"/>
            </w:tcBorders>
          </w:tcPr>
          <w:p w14:paraId="535768DB" w14:textId="77777777" w:rsidR="000976CE" w:rsidRDefault="000976CE" w:rsidP="001136D3">
            <w:pPr>
              <w:spacing w:after="0"/>
              <w:ind w:left="36"/>
              <w:jc w:val="center"/>
              <w:rPr>
                <w:sz w:val="20"/>
              </w:rPr>
            </w:pPr>
          </w:p>
        </w:tc>
        <w:tc>
          <w:tcPr>
            <w:tcW w:w="720" w:type="dxa"/>
            <w:tcBorders>
              <w:top w:val="single" w:sz="12" w:space="0" w:color="auto"/>
              <w:bottom w:val="single" w:sz="12" w:space="0" w:color="auto"/>
            </w:tcBorders>
          </w:tcPr>
          <w:p w14:paraId="5B5E8468"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540A645E"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2DB95B24" w14:textId="77777777" w:rsidR="000976CE" w:rsidRDefault="000976CE"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3AEA4A9F" w14:textId="77777777" w:rsidR="000976CE" w:rsidRDefault="000976CE" w:rsidP="001136D3">
            <w:pPr>
              <w:spacing w:after="0"/>
              <w:jc w:val="center"/>
              <w:rPr>
                <w:sz w:val="20"/>
              </w:rPr>
            </w:pPr>
          </w:p>
        </w:tc>
      </w:tr>
      <w:tr w:rsidR="000976CE" w14:paraId="6D98D007" w14:textId="77777777" w:rsidTr="00012998">
        <w:trPr>
          <w:cantSplit/>
        </w:trPr>
        <w:tc>
          <w:tcPr>
            <w:tcW w:w="532" w:type="dxa"/>
            <w:tcBorders>
              <w:top w:val="single" w:sz="12" w:space="0" w:color="auto"/>
              <w:bottom w:val="single" w:sz="12" w:space="0" w:color="auto"/>
            </w:tcBorders>
          </w:tcPr>
          <w:p w14:paraId="43675C54" w14:textId="77777777" w:rsidR="000976CE" w:rsidRDefault="000976CE" w:rsidP="001136D3">
            <w:pPr>
              <w:spacing w:after="0"/>
              <w:jc w:val="left"/>
              <w:rPr>
                <w:sz w:val="20"/>
              </w:rPr>
            </w:pPr>
          </w:p>
        </w:tc>
        <w:tc>
          <w:tcPr>
            <w:tcW w:w="3150" w:type="dxa"/>
            <w:tcBorders>
              <w:top w:val="single" w:sz="12" w:space="0" w:color="auto"/>
              <w:bottom w:val="single" w:sz="12" w:space="0" w:color="auto"/>
            </w:tcBorders>
          </w:tcPr>
          <w:p w14:paraId="6F4DEA70" w14:textId="6ABC62BC" w:rsidR="000976CE" w:rsidRPr="001136D3" w:rsidRDefault="000976CE" w:rsidP="000976CE">
            <w:pPr>
              <w:spacing w:after="0"/>
              <w:jc w:val="left"/>
              <w:rPr>
                <w:sz w:val="20"/>
                <w:szCs w:val="22"/>
              </w:rPr>
            </w:pPr>
            <w:r>
              <w:rPr>
                <w:sz w:val="20"/>
                <w:szCs w:val="22"/>
              </w:rPr>
              <w:t>13</w:t>
            </w:r>
            <w:r w:rsidRPr="001136D3">
              <w:rPr>
                <w:sz w:val="20"/>
                <w:szCs w:val="22"/>
              </w:rPr>
              <w:t>.</w:t>
            </w:r>
            <w:r>
              <w:rPr>
                <w:sz w:val="20"/>
                <w:szCs w:val="22"/>
              </w:rPr>
              <w:t>1</w:t>
            </w:r>
            <w:r w:rsidRPr="001136D3">
              <w:rPr>
                <w:sz w:val="20"/>
                <w:szCs w:val="22"/>
              </w:rPr>
              <w:t xml:space="preserve"> Rollout Software Environment Readiness</w:t>
            </w:r>
          </w:p>
        </w:tc>
        <w:tc>
          <w:tcPr>
            <w:tcW w:w="630" w:type="dxa"/>
            <w:tcBorders>
              <w:top w:val="single" w:sz="12" w:space="0" w:color="auto"/>
              <w:bottom w:val="single" w:sz="12" w:space="0" w:color="auto"/>
            </w:tcBorders>
          </w:tcPr>
          <w:p w14:paraId="1B27C86B" w14:textId="77777777" w:rsidR="000976CE" w:rsidRDefault="000976CE" w:rsidP="001136D3">
            <w:pPr>
              <w:spacing w:after="0"/>
              <w:ind w:left="36"/>
              <w:jc w:val="center"/>
              <w:rPr>
                <w:sz w:val="20"/>
              </w:rPr>
            </w:pPr>
          </w:p>
        </w:tc>
        <w:tc>
          <w:tcPr>
            <w:tcW w:w="540" w:type="dxa"/>
            <w:tcBorders>
              <w:top w:val="single" w:sz="12" w:space="0" w:color="auto"/>
              <w:bottom w:val="single" w:sz="12" w:space="0" w:color="auto"/>
            </w:tcBorders>
          </w:tcPr>
          <w:p w14:paraId="604082EA" w14:textId="77777777" w:rsidR="000976CE" w:rsidRDefault="000976CE" w:rsidP="001136D3">
            <w:pPr>
              <w:spacing w:after="0"/>
              <w:ind w:left="36"/>
              <w:jc w:val="center"/>
              <w:rPr>
                <w:sz w:val="20"/>
              </w:rPr>
            </w:pPr>
          </w:p>
        </w:tc>
        <w:tc>
          <w:tcPr>
            <w:tcW w:w="900" w:type="dxa"/>
            <w:tcBorders>
              <w:top w:val="single" w:sz="12" w:space="0" w:color="auto"/>
              <w:bottom w:val="single" w:sz="12" w:space="0" w:color="auto"/>
            </w:tcBorders>
          </w:tcPr>
          <w:p w14:paraId="25EB473E"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4E18CF25"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28CF8C12" w14:textId="77777777" w:rsidR="000976CE" w:rsidRDefault="000976CE" w:rsidP="001136D3">
            <w:pPr>
              <w:spacing w:after="0"/>
              <w:ind w:left="36"/>
              <w:jc w:val="center"/>
              <w:rPr>
                <w:sz w:val="20"/>
              </w:rPr>
            </w:pPr>
          </w:p>
        </w:tc>
        <w:tc>
          <w:tcPr>
            <w:tcW w:w="900" w:type="dxa"/>
            <w:tcBorders>
              <w:top w:val="single" w:sz="12" w:space="0" w:color="auto"/>
              <w:bottom w:val="single" w:sz="12" w:space="0" w:color="auto"/>
            </w:tcBorders>
          </w:tcPr>
          <w:p w14:paraId="3D3D48E9" w14:textId="77777777" w:rsidR="000976CE" w:rsidRDefault="000976CE" w:rsidP="001136D3">
            <w:pPr>
              <w:spacing w:after="0"/>
              <w:ind w:left="36"/>
              <w:jc w:val="center"/>
              <w:rPr>
                <w:sz w:val="20"/>
              </w:rPr>
            </w:pPr>
          </w:p>
        </w:tc>
        <w:tc>
          <w:tcPr>
            <w:tcW w:w="810" w:type="dxa"/>
            <w:tcBorders>
              <w:top w:val="single" w:sz="12" w:space="0" w:color="auto"/>
              <w:bottom w:val="single" w:sz="12" w:space="0" w:color="auto"/>
            </w:tcBorders>
          </w:tcPr>
          <w:p w14:paraId="7322D939" w14:textId="77777777" w:rsidR="000976CE" w:rsidRDefault="000976CE" w:rsidP="001136D3">
            <w:pPr>
              <w:spacing w:after="0"/>
              <w:ind w:left="36"/>
              <w:jc w:val="center"/>
              <w:rPr>
                <w:sz w:val="20"/>
              </w:rPr>
            </w:pPr>
          </w:p>
        </w:tc>
        <w:tc>
          <w:tcPr>
            <w:tcW w:w="990" w:type="dxa"/>
            <w:tcBorders>
              <w:top w:val="single" w:sz="12" w:space="0" w:color="auto"/>
              <w:bottom w:val="single" w:sz="12" w:space="0" w:color="auto"/>
            </w:tcBorders>
          </w:tcPr>
          <w:p w14:paraId="1AF463F5" w14:textId="77777777" w:rsidR="000976CE" w:rsidRDefault="000976CE" w:rsidP="001136D3">
            <w:pPr>
              <w:spacing w:after="0"/>
              <w:ind w:left="36"/>
              <w:jc w:val="center"/>
              <w:rPr>
                <w:sz w:val="20"/>
              </w:rPr>
            </w:pPr>
          </w:p>
        </w:tc>
        <w:tc>
          <w:tcPr>
            <w:tcW w:w="720" w:type="dxa"/>
            <w:tcBorders>
              <w:top w:val="single" w:sz="12" w:space="0" w:color="auto"/>
              <w:bottom w:val="single" w:sz="12" w:space="0" w:color="auto"/>
            </w:tcBorders>
          </w:tcPr>
          <w:p w14:paraId="2CAB7869"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493715C8" w14:textId="77777777" w:rsidR="000976CE" w:rsidRDefault="000976CE" w:rsidP="001136D3">
            <w:pPr>
              <w:spacing w:after="0"/>
              <w:jc w:val="center"/>
              <w:rPr>
                <w:sz w:val="20"/>
              </w:rPr>
            </w:pPr>
          </w:p>
        </w:tc>
        <w:tc>
          <w:tcPr>
            <w:tcW w:w="720" w:type="dxa"/>
            <w:tcBorders>
              <w:top w:val="single" w:sz="12" w:space="0" w:color="auto"/>
              <w:bottom w:val="single" w:sz="12" w:space="0" w:color="auto"/>
            </w:tcBorders>
          </w:tcPr>
          <w:p w14:paraId="614B77FD" w14:textId="77777777" w:rsidR="000976CE" w:rsidRDefault="000976CE" w:rsidP="001136D3">
            <w:pPr>
              <w:spacing w:after="0"/>
              <w:jc w:val="center"/>
              <w:rPr>
                <w:sz w:val="20"/>
              </w:rPr>
            </w:pPr>
          </w:p>
        </w:tc>
        <w:tc>
          <w:tcPr>
            <w:tcW w:w="728" w:type="dxa"/>
            <w:tcBorders>
              <w:top w:val="single" w:sz="12" w:space="0" w:color="auto"/>
              <w:bottom w:val="single" w:sz="12" w:space="0" w:color="auto"/>
            </w:tcBorders>
          </w:tcPr>
          <w:p w14:paraId="2747190D" w14:textId="77777777" w:rsidR="000976CE" w:rsidRDefault="000976CE" w:rsidP="001136D3">
            <w:pPr>
              <w:spacing w:after="0"/>
              <w:jc w:val="center"/>
              <w:rPr>
                <w:sz w:val="20"/>
              </w:rPr>
            </w:pPr>
          </w:p>
        </w:tc>
      </w:tr>
      <w:tr w:rsidR="00542D9B" w14:paraId="19D16961" w14:textId="77777777" w:rsidTr="00012998">
        <w:trPr>
          <w:cantSplit/>
        </w:trPr>
        <w:tc>
          <w:tcPr>
            <w:tcW w:w="532" w:type="dxa"/>
            <w:tcBorders>
              <w:top w:val="single" w:sz="12" w:space="0" w:color="auto"/>
              <w:left w:val="single" w:sz="12" w:space="0" w:color="auto"/>
              <w:bottom w:val="single" w:sz="12" w:space="0" w:color="auto"/>
            </w:tcBorders>
          </w:tcPr>
          <w:p w14:paraId="26ABE87E" w14:textId="7E8F1DF5" w:rsidR="00513AB5" w:rsidRDefault="000976CE" w:rsidP="001136D3">
            <w:pPr>
              <w:spacing w:after="0"/>
              <w:jc w:val="left"/>
              <w:rPr>
                <w:sz w:val="20"/>
              </w:rPr>
            </w:pPr>
            <w:r>
              <w:rPr>
                <w:b/>
                <w:szCs w:val="22"/>
              </w:rPr>
              <w:t>14</w:t>
            </w:r>
            <w:r w:rsidR="00513AB5" w:rsidRPr="004C6BF5">
              <w:rPr>
                <w:b/>
                <w:szCs w:val="22"/>
              </w:rPr>
              <w:t>.</w:t>
            </w:r>
          </w:p>
        </w:tc>
        <w:tc>
          <w:tcPr>
            <w:tcW w:w="3150" w:type="dxa"/>
            <w:tcBorders>
              <w:top w:val="single" w:sz="12" w:space="0" w:color="auto"/>
              <w:bottom w:val="single" w:sz="12" w:space="0" w:color="auto"/>
            </w:tcBorders>
          </w:tcPr>
          <w:p w14:paraId="2C02F1EF" w14:textId="77777777" w:rsidR="00513AB5" w:rsidRPr="001136D3" w:rsidRDefault="00513AB5" w:rsidP="001136D3">
            <w:pPr>
              <w:spacing w:after="0"/>
              <w:ind w:left="36"/>
              <w:jc w:val="left"/>
              <w:rPr>
                <w:sz w:val="22"/>
              </w:rPr>
            </w:pPr>
            <w:r w:rsidRPr="001136D3">
              <w:rPr>
                <w:b/>
                <w:sz w:val="22"/>
                <w:szCs w:val="22"/>
              </w:rPr>
              <w:t>Rollout Deployment</w:t>
            </w:r>
          </w:p>
        </w:tc>
        <w:tc>
          <w:tcPr>
            <w:tcW w:w="630" w:type="dxa"/>
            <w:tcBorders>
              <w:top w:val="single" w:sz="12" w:space="0" w:color="auto"/>
              <w:bottom w:val="single" w:sz="12" w:space="0" w:color="auto"/>
            </w:tcBorders>
          </w:tcPr>
          <w:p w14:paraId="0808253C"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3B89263F" w14:textId="0C8CA8F1"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178D0240"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179C100B"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92031B6"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43200A67"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F3BF1DA"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79BA0944"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71026412"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03C5F5D0"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C73D5FF"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62E582A2" w14:textId="77777777" w:rsidR="00513AB5" w:rsidRDefault="00513AB5" w:rsidP="001136D3">
            <w:pPr>
              <w:spacing w:after="0"/>
              <w:jc w:val="center"/>
              <w:rPr>
                <w:sz w:val="20"/>
              </w:rPr>
            </w:pPr>
          </w:p>
        </w:tc>
      </w:tr>
      <w:tr w:rsidR="00542D9B" w14:paraId="6E95AE24" w14:textId="77777777" w:rsidTr="00012998">
        <w:trPr>
          <w:cantSplit/>
        </w:trPr>
        <w:tc>
          <w:tcPr>
            <w:tcW w:w="532" w:type="dxa"/>
            <w:tcBorders>
              <w:top w:val="single" w:sz="12" w:space="0" w:color="auto"/>
              <w:bottom w:val="single" w:sz="12" w:space="0" w:color="auto"/>
            </w:tcBorders>
          </w:tcPr>
          <w:p w14:paraId="11C470A1" w14:textId="77777777" w:rsidR="00513AB5" w:rsidRDefault="00513AB5" w:rsidP="001136D3">
            <w:pPr>
              <w:spacing w:after="0"/>
              <w:jc w:val="left"/>
              <w:rPr>
                <w:sz w:val="20"/>
              </w:rPr>
            </w:pPr>
          </w:p>
        </w:tc>
        <w:tc>
          <w:tcPr>
            <w:tcW w:w="3150" w:type="dxa"/>
            <w:tcBorders>
              <w:top w:val="single" w:sz="12" w:space="0" w:color="auto"/>
              <w:bottom w:val="single" w:sz="12" w:space="0" w:color="auto"/>
            </w:tcBorders>
          </w:tcPr>
          <w:p w14:paraId="009249DD" w14:textId="77777777" w:rsidR="000976CE" w:rsidRPr="000976CE" w:rsidRDefault="000976CE" w:rsidP="000976CE">
            <w:pPr>
              <w:spacing w:after="0"/>
              <w:jc w:val="left"/>
              <w:rPr>
                <w:sz w:val="20"/>
                <w:szCs w:val="22"/>
              </w:rPr>
            </w:pPr>
            <w:r w:rsidRPr="000976CE">
              <w:rPr>
                <w:sz w:val="20"/>
                <w:szCs w:val="22"/>
              </w:rPr>
              <w:t>14.1 NSW Trader Portal</w:t>
            </w:r>
          </w:p>
          <w:p w14:paraId="07284CA6" w14:textId="77777777" w:rsidR="000976CE" w:rsidRPr="000976CE" w:rsidRDefault="000976CE" w:rsidP="000976CE">
            <w:pPr>
              <w:spacing w:after="0"/>
              <w:jc w:val="left"/>
              <w:rPr>
                <w:bCs/>
                <w:sz w:val="20"/>
                <w:szCs w:val="22"/>
              </w:rPr>
            </w:pPr>
            <w:r w:rsidRPr="000976CE">
              <w:rPr>
                <w:bCs/>
                <w:sz w:val="20"/>
                <w:szCs w:val="22"/>
              </w:rPr>
              <w:t>14.2 NSW Help Desk</w:t>
            </w:r>
          </w:p>
          <w:p w14:paraId="301139F9" w14:textId="77777777" w:rsidR="000976CE" w:rsidRPr="000976CE" w:rsidRDefault="000976CE" w:rsidP="000976CE">
            <w:pPr>
              <w:spacing w:after="0"/>
              <w:jc w:val="left"/>
              <w:rPr>
                <w:bCs/>
                <w:sz w:val="20"/>
                <w:szCs w:val="22"/>
              </w:rPr>
            </w:pPr>
            <w:r w:rsidRPr="000976CE">
              <w:rPr>
                <w:bCs/>
                <w:sz w:val="20"/>
                <w:szCs w:val="22"/>
              </w:rPr>
              <w:t>14.3 Registration of Traders and Competent Authority</w:t>
            </w:r>
          </w:p>
          <w:p w14:paraId="1FE9D73E" w14:textId="77777777" w:rsidR="000976CE" w:rsidRPr="000976CE" w:rsidRDefault="000976CE" w:rsidP="000976CE">
            <w:pPr>
              <w:spacing w:after="0"/>
              <w:jc w:val="left"/>
              <w:rPr>
                <w:bCs/>
                <w:sz w:val="20"/>
                <w:szCs w:val="22"/>
              </w:rPr>
            </w:pPr>
            <w:r w:rsidRPr="000976CE">
              <w:rPr>
                <w:bCs/>
                <w:sz w:val="20"/>
                <w:szCs w:val="22"/>
              </w:rPr>
              <w:t>14.4 LPCO Application</w:t>
            </w:r>
          </w:p>
          <w:p w14:paraId="68F3362E" w14:textId="77777777" w:rsidR="000976CE" w:rsidRPr="000976CE" w:rsidRDefault="000976CE" w:rsidP="000976CE">
            <w:pPr>
              <w:spacing w:after="0"/>
              <w:jc w:val="left"/>
              <w:rPr>
                <w:bCs/>
                <w:sz w:val="20"/>
                <w:szCs w:val="22"/>
              </w:rPr>
            </w:pPr>
            <w:r w:rsidRPr="000976CE">
              <w:rPr>
                <w:bCs/>
                <w:sz w:val="20"/>
                <w:szCs w:val="22"/>
              </w:rPr>
              <w:t>14.5 LPCO Management</w:t>
            </w:r>
          </w:p>
          <w:p w14:paraId="5572844C" w14:textId="77777777" w:rsidR="000976CE" w:rsidRPr="000976CE" w:rsidRDefault="000976CE" w:rsidP="000976CE">
            <w:pPr>
              <w:spacing w:after="0"/>
              <w:jc w:val="left"/>
              <w:rPr>
                <w:bCs/>
                <w:sz w:val="20"/>
                <w:szCs w:val="22"/>
              </w:rPr>
            </w:pPr>
            <w:r w:rsidRPr="000976CE">
              <w:rPr>
                <w:bCs/>
                <w:sz w:val="20"/>
                <w:szCs w:val="22"/>
              </w:rPr>
              <w:t>14.6 Payment Management</w:t>
            </w:r>
          </w:p>
          <w:p w14:paraId="254A4A40" w14:textId="77777777" w:rsidR="000976CE" w:rsidRPr="000976CE" w:rsidRDefault="000976CE" w:rsidP="000976CE">
            <w:pPr>
              <w:spacing w:after="0"/>
              <w:jc w:val="left"/>
              <w:rPr>
                <w:bCs/>
                <w:sz w:val="20"/>
                <w:szCs w:val="22"/>
              </w:rPr>
            </w:pPr>
            <w:r w:rsidRPr="000976CE">
              <w:rPr>
                <w:bCs/>
                <w:sz w:val="20"/>
                <w:szCs w:val="22"/>
              </w:rPr>
              <w:t>14.7 Payment Processing</w:t>
            </w:r>
          </w:p>
          <w:p w14:paraId="2E0F4FA5" w14:textId="77777777" w:rsidR="000976CE" w:rsidRPr="000976CE" w:rsidRDefault="000976CE" w:rsidP="000976CE">
            <w:pPr>
              <w:spacing w:after="0"/>
              <w:jc w:val="left"/>
              <w:rPr>
                <w:bCs/>
                <w:sz w:val="20"/>
                <w:szCs w:val="22"/>
              </w:rPr>
            </w:pPr>
            <w:r w:rsidRPr="000976CE">
              <w:rPr>
                <w:bCs/>
                <w:sz w:val="20"/>
                <w:szCs w:val="22"/>
              </w:rPr>
              <w:lastRenderedPageBreak/>
              <w:t>14.8 Notification Management</w:t>
            </w:r>
          </w:p>
          <w:p w14:paraId="1C6F30FB" w14:textId="77777777" w:rsidR="000976CE" w:rsidRPr="000976CE" w:rsidRDefault="000976CE" w:rsidP="000976CE">
            <w:pPr>
              <w:spacing w:after="0"/>
              <w:jc w:val="left"/>
              <w:rPr>
                <w:bCs/>
                <w:sz w:val="20"/>
                <w:szCs w:val="22"/>
              </w:rPr>
            </w:pPr>
            <w:r w:rsidRPr="000976CE">
              <w:rPr>
                <w:bCs/>
                <w:sz w:val="20"/>
                <w:szCs w:val="22"/>
              </w:rPr>
              <w:t>14.9 LPCO Designer</w:t>
            </w:r>
          </w:p>
          <w:p w14:paraId="70B6BDF6" w14:textId="77777777" w:rsidR="000976CE" w:rsidRPr="000976CE" w:rsidRDefault="000976CE" w:rsidP="000976CE">
            <w:pPr>
              <w:spacing w:after="0"/>
              <w:jc w:val="left"/>
              <w:rPr>
                <w:bCs/>
                <w:sz w:val="20"/>
                <w:szCs w:val="22"/>
              </w:rPr>
            </w:pPr>
            <w:r w:rsidRPr="000976CE">
              <w:rPr>
                <w:bCs/>
                <w:sz w:val="20"/>
                <w:szCs w:val="22"/>
              </w:rPr>
              <w:t>14.10 Inspection Control Results </w:t>
            </w:r>
          </w:p>
          <w:p w14:paraId="2DA269B9" w14:textId="77777777" w:rsidR="000976CE" w:rsidRPr="000976CE" w:rsidRDefault="000976CE" w:rsidP="000976CE">
            <w:pPr>
              <w:spacing w:after="0"/>
              <w:jc w:val="left"/>
              <w:rPr>
                <w:bCs/>
                <w:sz w:val="20"/>
                <w:szCs w:val="22"/>
              </w:rPr>
            </w:pPr>
            <w:r w:rsidRPr="000976CE">
              <w:rPr>
                <w:bCs/>
                <w:sz w:val="20"/>
                <w:szCs w:val="22"/>
              </w:rPr>
              <w:t>14.11 Document Management </w:t>
            </w:r>
          </w:p>
          <w:p w14:paraId="4ABEB2A7" w14:textId="77777777" w:rsidR="000976CE" w:rsidRPr="000976CE" w:rsidRDefault="000976CE" w:rsidP="000976CE">
            <w:pPr>
              <w:spacing w:after="0"/>
              <w:jc w:val="left"/>
              <w:rPr>
                <w:bCs/>
                <w:sz w:val="20"/>
                <w:szCs w:val="22"/>
              </w:rPr>
            </w:pPr>
            <w:r w:rsidRPr="000976CE">
              <w:rPr>
                <w:bCs/>
                <w:sz w:val="20"/>
                <w:szCs w:val="22"/>
              </w:rPr>
              <w:t>14.12 LPCO Workflow Management</w:t>
            </w:r>
          </w:p>
          <w:p w14:paraId="10D87F59" w14:textId="77777777" w:rsidR="000976CE" w:rsidRPr="000976CE" w:rsidRDefault="000976CE" w:rsidP="000976CE">
            <w:pPr>
              <w:spacing w:after="0"/>
              <w:jc w:val="left"/>
              <w:rPr>
                <w:bCs/>
                <w:sz w:val="20"/>
                <w:szCs w:val="22"/>
              </w:rPr>
            </w:pPr>
            <w:r w:rsidRPr="000976CE">
              <w:rPr>
                <w:bCs/>
                <w:sz w:val="20"/>
                <w:szCs w:val="22"/>
              </w:rPr>
              <w:t>14.13 NSW Risk Management Module</w:t>
            </w:r>
          </w:p>
          <w:p w14:paraId="5C9A222B" w14:textId="77777777" w:rsidR="000976CE" w:rsidRPr="000976CE" w:rsidRDefault="000976CE" w:rsidP="000976CE">
            <w:pPr>
              <w:spacing w:after="0"/>
              <w:jc w:val="left"/>
              <w:rPr>
                <w:bCs/>
                <w:sz w:val="20"/>
                <w:szCs w:val="22"/>
              </w:rPr>
            </w:pPr>
            <w:r w:rsidRPr="000976CE">
              <w:rPr>
                <w:bCs/>
                <w:sz w:val="20"/>
                <w:szCs w:val="22"/>
              </w:rPr>
              <w:t>14.14 Referents Tables</w:t>
            </w:r>
          </w:p>
          <w:p w14:paraId="201DA53D" w14:textId="77777777" w:rsidR="000976CE" w:rsidRPr="000976CE" w:rsidRDefault="000976CE" w:rsidP="000976CE">
            <w:pPr>
              <w:spacing w:after="0"/>
              <w:jc w:val="left"/>
              <w:rPr>
                <w:bCs/>
                <w:sz w:val="20"/>
                <w:szCs w:val="22"/>
              </w:rPr>
            </w:pPr>
            <w:r w:rsidRPr="000976CE">
              <w:rPr>
                <w:bCs/>
                <w:sz w:val="20"/>
                <w:szCs w:val="22"/>
              </w:rPr>
              <w:t>14.15 Reporting Service</w:t>
            </w:r>
          </w:p>
          <w:p w14:paraId="23D18A0F" w14:textId="2C58D1EE" w:rsidR="00513AB5" w:rsidRPr="000976CE" w:rsidRDefault="000976CE" w:rsidP="000976CE">
            <w:pPr>
              <w:spacing w:after="0"/>
              <w:ind w:left="36"/>
              <w:jc w:val="left"/>
              <w:rPr>
                <w:sz w:val="20"/>
              </w:rPr>
            </w:pPr>
            <w:r w:rsidRPr="000976CE">
              <w:rPr>
                <w:bCs/>
                <w:sz w:val="20"/>
                <w:szCs w:val="22"/>
              </w:rPr>
              <w:t>14.16 Data Converter</w:t>
            </w:r>
          </w:p>
        </w:tc>
        <w:tc>
          <w:tcPr>
            <w:tcW w:w="630" w:type="dxa"/>
            <w:tcBorders>
              <w:top w:val="single" w:sz="12" w:space="0" w:color="auto"/>
              <w:bottom w:val="single" w:sz="12" w:space="0" w:color="auto"/>
            </w:tcBorders>
          </w:tcPr>
          <w:p w14:paraId="38AA300D"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74022AF3"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1236B061"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571935B4"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7D2E2AA1"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6F26666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F34AB95"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12A74554"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361B64F5"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53FCE2BE"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79387C3" w14:textId="77777777" w:rsidR="00513AB5" w:rsidRDefault="00513AB5" w:rsidP="001136D3">
            <w:pPr>
              <w:spacing w:after="0"/>
              <w:jc w:val="center"/>
              <w:rPr>
                <w:sz w:val="20"/>
              </w:rPr>
            </w:pPr>
          </w:p>
        </w:tc>
        <w:tc>
          <w:tcPr>
            <w:tcW w:w="728" w:type="dxa"/>
            <w:tcBorders>
              <w:top w:val="single" w:sz="12" w:space="0" w:color="auto"/>
              <w:bottom w:val="single" w:sz="12" w:space="0" w:color="auto"/>
            </w:tcBorders>
          </w:tcPr>
          <w:p w14:paraId="61CC1D87" w14:textId="77777777" w:rsidR="00513AB5" w:rsidRDefault="00513AB5" w:rsidP="001136D3">
            <w:pPr>
              <w:spacing w:after="0"/>
              <w:jc w:val="center"/>
              <w:rPr>
                <w:sz w:val="20"/>
              </w:rPr>
            </w:pPr>
          </w:p>
        </w:tc>
      </w:tr>
      <w:tr w:rsidR="00542D9B" w14:paraId="25DA81BA" w14:textId="77777777" w:rsidTr="00012998">
        <w:trPr>
          <w:cantSplit/>
        </w:trPr>
        <w:tc>
          <w:tcPr>
            <w:tcW w:w="532" w:type="dxa"/>
            <w:tcBorders>
              <w:top w:val="single" w:sz="12" w:space="0" w:color="auto"/>
              <w:left w:val="single" w:sz="12" w:space="0" w:color="auto"/>
              <w:bottom w:val="single" w:sz="12" w:space="0" w:color="auto"/>
            </w:tcBorders>
          </w:tcPr>
          <w:p w14:paraId="7F467CB5" w14:textId="1F8CC8B2" w:rsidR="00513AB5" w:rsidRDefault="000976CE" w:rsidP="001136D3">
            <w:pPr>
              <w:spacing w:after="0"/>
              <w:jc w:val="left"/>
              <w:rPr>
                <w:sz w:val="20"/>
              </w:rPr>
            </w:pPr>
            <w:r>
              <w:rPr>
                <w:b/>
                <w:szCs w:val="22"/>
              </w:rPr>
              <w:t>15</w:t>
            </w:r>
            <w:r w:rsidR="00513AB5" w:rsidRPr="004C6BF5">
              <w:rPr>
                <w:b/>
                <w:szCs w:val="22"/>
              </w:rPr>
              <w:t>.</w:t>
            </w:r>
          </w:p>
        </w:tc>
        <w:tc>
          <w:tcPr>
            <w:tcW w:w="3150" w:type="dxa"/>
            <w:tcBorders>
              <w:top w:val="single" w:sz="12" w:space="0" w:color="auto"/>
              <w:bottom w:val="single" w:sz="12" w:space="0" w:color="auto"/>
            </w:tcBorders>
          </w:tcPr>
          <w:p w14:paraId="4E2B1FAB" w14:textId="77777777" w:rsidR="00513AB5" w:rsidRDefault="00513AB5" w:rsidP="001136D3">
            <w:pPr>
              <w:spacing w:after="0"/>
              <w:ind w:left="36"/>
              <w:jc w:val="left"/>
              <w:rPr>
                <w:sz w:val="20"/>
              </w:rPr>
            </w:pPr>
            <w:r w:rsidRPr="001136D3">
              <w:rPr>
                <w:b/>
                <w:sz w:val="22"/>
                <w:szCs w:val="22"/>
              </w:rPr>
              <w:t>Rollout Stage</w:t>
            </w:r>
          </w:p>
        </w:tc>
        <w:tc>
          <w:tcPr>
            <w:tcW w:w="630" w:type="dxa"/>
            <w:tcBorders>
              <w:top w:val="single" w:sz="12" w:space="0" w:color="auto"/>
              <w:bottom w:val="single" w:sz="12" w:space="0" w:color="auto"/>
            </w:tcBorders>
          </w:tcPr>
          <w:p w14:paraId="676ABCF5" w14:textId="77777777" w:rsidR="00513AB5" w:rsidRDefault="00513AB5" w:rsidP="001136D3">
            <w:pPr>
              <w:spacing w:after="0"/>
              <w:ind w:left="36"/>
              <w:jc w:val="center"/>
              <w:rPr>
                <w:sz w:val="20"/>
              </w:rPr>
            </w:pPr>
          </w:p>
        </w:tc>
        <w:tc>
          <w:tcPr>
            <w:tcW w:w="540" w:type="dxa"/>
            <w:tcBorders>
              <w:top w:val="single" w:sz="12" w:space="0" w:color="auto"/>
              <w:bottom w:val="single" w:sz="12" w:space="0" w:color="auto"/>
            </w:tcBorders>
          </w:tcPr>
          <w:p w14:paraId="04DFFB0B" w14:textId="2DC5E4B5" w:rsidR="00513AB5" w:rsidRDefault="004C7918" w:rsidP="001136D3">
            <w:pPr>
              <w:spacing w:after="0"/>
              <w:ind w:left="36"/>
              <w:jc w:val="center"/>
              <w:rPr>
                <w:sz w:val="20"/>
              </w:rPr>
            </w:pPr>
            <w:r w:rsidRPr="004C7918">
              <w:rPr>
                <w:b/>
                <w:sz w:val="20"/>
              </w:rPr>
              <w:t>1</w:t>
            </w:r>
          </w:p>
        </w:tc>
        <w:tc>
          <w:tcPr>
            <w:tcW w:w="900" w:type="dxa"/>
            <w:tcBorders>
              <w:top w:val="single" w:sz="12" w:space="0" w:color="auto"/>
              <w:bottom w:val="single" w:sz="12" w:space="0" w:color="auto"/>
            </w:tcBorders>
          </w:tcPr>
          <w:p w14:paraId="1FAE8806"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05A51C69"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2A3F8D89" w14:textId="77777777" w:rsidR="00513AB5" w:rsidRDefault="00513AB5" w:rsidP="001136D3">
            <w:pPr>
              <w:spacing w:after="0"/>
              <w:ind w:left="36"/>
              <w:jc w:val="center"/>
              <w:rPr>
                <w:sz w:val="20"/>
              </w:rPr>
            </w:pPr>
          </w:p>
        </w:tc>
        <w:tc>
          <w:tcPr>
            <w:tcW w:w="900" w:type="dxa"/>
            <w:tcBorders>
              <w:top w:val="single" w:sz="12" w:space="0" w:color="auto"/>
              <w:bottom w:val="single" w:sz="12" w:space="0" w:color="auto"/>
            </w:tcBorders>
          </w:tcPr>
          <w:p w14:paraId="63258CBF" w14:textId="77777777" w:rsidR="00513AB5" w:rsidRDefault="00513AB5" w:rsidP="001136D3">
            <w:pPr>
              <w:spacing w:after="0"/>
              <w:ind w:left="36"/>
              <w:jc w:val="center"/>
              <w:rPr>
                <w:sz w:val="20"/>
              </w:rPr>
            </w:pPr>
          </w:p>
        </w:tc>
        <w:tc>
          <w:tcPr>
            <w:tcW w:w="810" w:type="dxa"/>
            <w:tcBorders>
              <w:top w:val="single" w:sz="12" w:space="0" w:color="auto"/>
              <w:bottom w:val="single" w:sz="12" w:space="0" w:color="auto"/>
            </w:tcBorders>
          </w:tcPr>
          <w:p w14:paraId="32955C45" w14:textId="77777777" w:rsidR="00513AB5" w:rsidRDefault="00513AB5" w:rsidP="001136D3">
            <w:pPr>
              <w:spacing w:after="0"/>
              <w:ind w:left="36"/>
              <w:jc w:val="center"/>
              <w:rPr>
                <w:sz w:val="20"/>
              </w:rPr>
            </w:pPr>
          </w:p>
        </w:tc>
        <w:tc>
          <w:tcPr>
            <w:tcW w:w="990" w:type="dxa"/>
            <w:tcBorders>
              <w:top w:val="single" w:sz="12" w:space="0" w:color="auto"/>
              <w:bottom w:val="single" w:sz="12" w:space="0" w:color="auto"/>
            </w:tcBorders>
          </w:tcPr>
          <w:p w14:paraId="27019796" w14:textId="77777777" w:rsidR="00513AB5" w:rsidRDefault="00513AB5" w:rsidP="001136D3">
            <w:pPr>
              <w:spacing w:after="0"/>
              <w:ind w:left="36"/>
              <w:jc w:val="center"/>
              <w:rPr>
                <w:sz w:val="20"/>
              </w:rPr>
            </w:pPr>
          </w:p>
        </w:tc>
        <w:tc>
          <w:tcPr>
            <w:tcW w:w="720" w:type="dxa"/>
            <w:tcBorders>
              <w:top w:val="single" w:sz="12" w:space="0" w:color="auto"/>
              <w:bottom w:val="single" w:sz="12" w:space="0" w:color="auto"/>
            </w:tcBorders>
          </w:tcPr>
          <w:p w14:paraId="03212B24"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A80A8CB" w14:textId="77777777" w:rsidR="00513AB5" w:rsidRDefault="00513AB5" w:rsidP="001136D3">
            <w:pPr>
              <w:spacing w:after="0"/>
              <w:jc w:val="center"/>
              <w:rPr>
                <w:sz w:val="20"/>
              </w:rPr>
            </w:pPr>
          </w:p>
        </w:tc>
        <w:tc>
          <w:tcPr>
            <w:tcW w:w="720" w:type="dxa"/>
            <w:tcBorders>
              <w:top w:val="single" w:sz="12" w:space="0" w:color="auto"/>
              <w:bottom w:val="single" w:sz="12" w:space="0" w:color="auto"/>
            </w:tcBorders>
          </w:tcPr>
          <w:p w14:paraId="24D84DBD" w14:textId="77777777" w:rsidR="00513AB5" w:rsidRDefault="00513AB5" w:rsidP="001136D3">
            <w:pPr>
              <w:spacing w:after="0"/>
              <w:jc w:val="center"/>
              <w:rPr>
                <w:sz w:val="20"/>
              </w:rPr>
            </w:pPr>
          </w:p>
        </w:tc>
        <w:tc>
          <w:tcPr>
            <w:tcW w:w="728" w:type="dxa"/>
            <w:tcBorders>
              <w:top w:val="single" w:sz="12" w:space="0" w:color="auto"/>
              <w:bottom w:val="single" w:sz="12" w:space="0" w:color="auto"/>
              <w:right w:val="single" w:sz="12" w:space="0" w:color="auto"/>
            </w:tcBorders>
          </w:tcPr>
          <w:p w14:paraId="192B1BE9" w14:textId="77777777" w:rsidR="00513AB5" w:rsidRDefault="00513AB5" w:rsidP="001136D3">
            <w:pPr>
              <w:spacing w:after="0"/>
              <w:jc w:val="center"/>
              <w:rPr>
                <w:sz w:val="20"/>
              </w:rPr>
            </w:pPr>
          </w:p>
        </w:tc>
      </w:tr>
      <w:tr w:rsidR="000976CE" w14:paraId="2EC228D6" w14:textId="77777777" w:rsidTr="00012998">
        <w:trPr>
          <w:cantSplit/>
        </w:trPr>
        <w:tc>
          <w:tcPr>
            <w:tcW w:w="532" w:type="dxa"/>
            <w:tcBorders>
              <w:top w:val="single" w:sz="12" w:space="0" w:color="auto"/>
            </w:tcBorders>
          </w:tcPr>
          <w:p w14:paraId="4AAF8C5E" w14:textId="77777777" w:rsidR="000976CE" w:rsidRDefault="000976CE" w:rsidP="000976CE">
            <w:pPr>
              <w:spacing w:after="0"/>
              <w:jc w:val="left"/>
              <w:rPr>
                <w:sz w:val="20"/>
              </w:rPr>
            </w:pPr>
          </w:p>
        </w:tc>
        <w:tc>
          <w:tcPr>
            <w:tcW w:w="3150" w:type="dxa"/>
            <w:tcBorders>
              <w:top w:val="single" w:sz="12" w:space="0" w:color="auto"/>
            </w:tcBorders>
          </w:tcPr>
          <w:p w14:paraId="26BB46BB" w14:textId="77777777" w:rsidR="000976CE" w:rsidRPr="000976CE" w:rsidRDefault="000976CE" w:rsidP="000976CE">
            <w:pPr>
              <w:spacing w:after="0"/>
              <w:jc w:val="left"/>
              <w:rPr>
                <w:sz w:val="20"/>
                <w:szCs w:val="22"/>
              </w:rPr>
            </w:pPr>
            <w:r w:rsidRPr="000976CE">
              <w:rPr>
                <w:sz w:val="20"/>
                <w:szCs w:val="22"/>
              </w:rPr>
              <w:t>15.1 NSW Trader Portal</w:t>
            </w:r>
          </w:p>
          <w:p w14:paraId="79952DB3" w14:textId="77777777" w:rsidR="000976CE" w:rsidRPr="000976CE" w:rsidRDefault="000976CE" w:rsidP="000976CE">
            <w:pPr>
              <w:spacing w:after="0"/>
              <w:jc w:val="left"/>
              <w:rPr>
                <w:bCs/>
                <w:sz w:val="20"/>
                <w:szCs w:val="22"/>
              </w:rPr>
            </w:pPr>
            <w:r w:rsidRPr="000976CE">
              <w:rPr>
                <w:bCs/>
                <w:sz w:val="20"/>
                <w:szCs w:val="22"/>
              </w:rPr>
              <w:t>15.2 NSW Help Desk</w:t>
            </w:r>
          </w:p>
          <w:p w14:paraId="6B072DF3" w14:textId="77777777" w:rsidR="000976CE" w:rsidRPr="000976CE" w:rsidRDefault="000976CE" w:rsidP="000976CE">
            <w:pPr>
              <w:spacing w:after="0"/>
              <w:jc w:val="left"/>
              <w:rPr>
                <w:bCs/>
                <w:sz w:val="20"/>
                <w:szCs w:val="22"/>
              </w:rPr>
            </w:pPr>
            <w:r w:rsidRPr="000976CE">
              <w:rPr>
                <w:bCs/>
                <w:sz w:val="20"/>
                <w:szCs w:val="22"/>
              </w:rPr>
              <w:t>15.3 Registration of Traders and Competent Authority</w:t>
            </w:r>
          </w:p>
          <w:p w14:paraId="0D7AC249" w14:textId="77777777" w:rsidR="000976CE" w:rsidRPr="000976CE" w:rsidRDefault="000976CE" w:rsidP="000976CE">
            <w:pPr>
              <w:spacing w:after="0"/>
              <w:jc w:val="left"/>
              <w:rPr>
                <w:bCs/>
                <w:sz w:val="20"/>
                <w:szCs w:val="22"/>
              </w:rPr>
            </w:pPr>
            <w:r w:rsidRPr="000976CE">
              <w:rPr>
                <w:bCs/>
                <w:sz w:val="20"/>
                <w:szCs w:val="22"/>
              </w:rPr>
              <w:t>15.4 LPCO Application</w:t>
            </w:r>
          </w:p>
          <w:p w14:paraId="397C1980" w14:textId="77777777" w:rsidR="000976CE" w:rsidRPr="000976CE" w:rsidRDefault="000976CE" w:rsidP="000976CE">
            <w:pPr>
              <w:spacing w:after="0"/>
              <w:jc w:val="left"/>
              <w:rPr>
                <w:bCs/>
                <w:sz w:val="20"/>
                <w:szCs w:val="22"/>
              </w:rPr>
            </w:pPr>
            <w:r w:rsidRPr="000976CE">
              <w:rPr>
                <w:bCs/>
                <w:sz w:val="20"/>
                <w:szCs w:val="22"/>
              </w:rPr>
              <w:t>15.5 LPCO Management</w:t>
            </w:r>
          </w:p>
          <w:p w14:paraId="68EB1911" w14:textId="77777777" w:rsidR="000976CE" w:rsidRPr="000976CE" w:rsidRDefault="000976CE" w:rsidP="000976CE">
            <w:pPr>
              <w:spacing w:after="0"/>
              <w:jc w:val="left"/>
              <w:rPr>
                <w:bCs/>
                <w:sz w:val="20"/>
                <w:szCs w:val="22"/>
              </w:rPr>
            </w:pPr>
            <w:r w:rsidRPr="000976CE">
              <w:rPr>
                <w:bCs/>
                <w:sz w:val="20"/>
                <w:szCs w:val="22"/>
              </w:rPr>
              <w:t>15.6 Payment Management</w:t>
            </w:r>
          </w:p>
          <w:p w14:paraId="1E2D8BA7" w14:textId="77777777" w:rsidR="000976CE" w:rsidRPr="000976CE" w:rsidRDefault="000976CE" w:rsidP="000976CE">
            <w:pPr>
              <w:spacing w:after="0"/>
              <w:jc w:val="left"/>
              <w:rPr>
                <w:bCs/>
                <w:sz w:val="20"/>
                <w:szCs w:val="22"/>
              </w:rPr>
            </w:pPr>
            <w:r w:rsidRPr="000976CE">
              <w:rPr>
                <w:bCs/>
                <w:sz w:val="20"/>
                <w:szCs w:val="22"/>
              </w:rPr>
              <w:t>15.7 Payment Processing</w:t>
            </w:r>
          </w:p>
          <w:p w14:paraId="54533D6A" w14:textId="77777777" w:rsidR="000976CE" w:rsidRPr="000976CE" w:rsidRDefault="000976CE" w:rsidP="000976CE">
            <w:pPr>
              <w:spacing w:after="0"/>
              <w:jc w:val="left"/>
              <w:rPr>
                <w:bCs/>
                <w:sz w:val="20"/>
                <w:szCs w:val="22"/>
              </w:rPr>
            </w:pPr>
            <w:r w:rsidRPr="000976CE">
              <w:rPr>
                <w:bCs/>
                <w:sz w:val="20"/>
                <w:szCs w:val="22"/>
              </w:rPr>
              <w:t>15.8 Notification Management</w:t>
            </w:r>
          </w:p>
          <w:p w14:paraId="1867EABF" w14:textId="77777777" w:rsidR="000976CE" w:rsidRPr="000976CE" w:rsidRDefault="000976CE" w:rsidP="000976CE">
            <w:pPr>
              <w:spacing w:after="0"/>
              <w:jc w:val="left"/>
              <w:rPr>
                <w:bCs/>
                <w:sz w:val="20"/>
                <w:szCs w:val="22"/>
              </w:rPr>
            </w:pPr>
            <w:r w:rsidRPr="000976CE">
              <w:rPr>
                <w:bCs/>
                <w:sz w:val="20"/>
                <w:szCs w:val="22"/>
              </w:rPr>
              <w:t>15.9 LPCO Designer</w:t>
            </w:r>
          </w:p>
          <w:p w14:paraId="65A54FB1" w14:textId="77777777" w:rsidR="000976CE" w:rsidRPr="000976CE" w:rsidRDefault="000976CE" w:rsidP="000976CE">
            <w:pPr>
              <w:spacing w:after="0"/>
              <w:jc w:val="left"/>
              <w:rPr>
                <w:bCs/>
                <w:sz w:val="20"/>
                <w:szCs w:val="22"/>
              </w:rPr>
            </w:pPr>
            <w:r w:rsidRPr="000976CE">
              <w:rPr>
                <w:bCs/>
                <w:sz w:val="20"/>
                <w:szCs w:val="22"/>
              </w:rPr>
              <w:t>15.10 Inspection Control Results </w:t>
            </w:r>
          </w:p>
          <w:p w14:paraId="11EF1CE2" w14:textId="77777777" w:rsidR="000976CE" w:rsidRPr="000976CE" w:rsidRDefault="000976CE" w:rsidP="000976CE">
            <w:pPr>
              <w:spacing w:after="0"/>
              <w:jc w:val="left"/>
              <w:rPr>
                <w:bCs/>
                <w:sz w:val="20"/>
                <w:szCs w:val="22"/>
              </w:rPr>
            </w:pPr>
            <w:r w:rsidRPr="000976CE">
              <w:rPr>
                <w:bCs/>
                <w:sz w:val="20"/>
                <w:szCs w:val="22"/>
              </w:rPr>
              <w:t>15.11 Document Management </w:t>
            </w:r>
          </w:p>
          <w:p w14:paraId="1D33CCF1" w14:textId="77777777" w:rsidR="000976CE" w:rsidRPr="000976CE" w:rsidRDefault="000976CE" w:rsidP="000976CE">
            <w:pPr>
              <w:spacing w:after="0"/>
              <w:jc w:val="left"/>
              <w:rPr>
                <w:bCs/>
                <w:sz w:val="20"/>
                <w:szCs w:val="22"/>
              </w:rPr>
            </w:pPr>
            <w:r w:rsidRPr="000976CE">
              <w:rPr>
                <w:bCs/>
                <w:sz w:val="20"/>
                <w:szCs w:val="22"/>
              </w:rPr>
              <w:t>15.12 LPCO Workflow Management</w:t>
            </w:r>
          </w:p>
          <w:p w14:paraId="6749EDEC" w14:textId="77777777" w:rsidR="000976CE" w:rsidRPr="000976CE" w:rsidRDefault="000976CE" w:rsidP="000976CE">
            <w:pPr>
              <w:spacing w:after="0"/>
              <w:jc w:val="left"/>
              <w:rPr>
                <w:bCs/>
                <w:sz w:val="20"/>
                <w:szCs w:val="22"/>
              </w:rPr>
            </w:pPr>
            <w:r w:rsidRPr="000976CE">
              <w:rPr>
                <w:bCs/>
                <w:sz w:val="20"/>
                <w:szCs w:val="22"/>
              </w:rPr>
              <w:t>15.13 NSW Risk Management Module</w:t>
            </w:r>
          </w:p>
          <w:p w14:paraId="1A3975AA" w14:textId="77777777" w:rsidR="000976CE" w:rsidRPr="000976CE" w:rsidRDefault="000976CE" w:rsidP="000976CE">
            <w:pPr>
              <w:spacing w:after="0"/>
              <w:jc w:val="left"/>
              <w:rPr>
                <w:bCs/>
                <w:sz w:val="20"/>
                <w:szCs w:val="22"/>
              </w:rPr>
            </w:pPr>
            <w:r w:rsidRPr="000976CE">
              <w:rPr>
                <w:bCs/>
                <w:sz w:val="20"/>
                <w:szCs w:val="22"/>
              </w:rPr>
              <w:t>15.14 Referents Tables</w:t>
            </w:r>
          </w:p>
          <w:p w14:paraId="2963C90F" w14:textId="77777777" w:rsidR="000976CE" w:rsidRPr="000976CE" w:rsidRDefault="000976CE" w:rsidP="000976CE">
            <w:pPr>
              <w:spacing w:after="0"/>
              <w:jc w:val="left"/>
              <w:rPr>
                <w:bCs/>
                <w:sz w:val="20"/>
                <w:szCs w:val="22"/>
              </w:rPr>
            </w:pPr>
            <w:r w:rsidRPr="000976CE">
              <w:rPr>
                <w:bCs/>
                <w:sz w:val="20"/>
                <w:szCs w:val="22"/>
              </w:rPr>
              <w:t>15.15 Reporting Service</w:t>
            </w:r>
          </w:p>
          <w:p w14:paraId="6A849A1D" w14:textId="7425172B" w:rsidR="000976CE" w:rsidRPr="000976CE" w:rsidRDefault="000976CE" w:rsidP="000976CE">
            <w:pPr>
              <w:spacing w:after="0"/>
              <w:ind w:left="36"/>
              <w:jc w:val="left"/>
              <w:rPr>
                <w:sz w:val="20"/>
              </w:rPr>
            </w:pPr>
            <w:r w:rsidRPr="000976CE">
              <w:rPr>
                <w:bCs/>
                <w:sz w:val="20"/>
                <w:szCs w:val="22"/>
              </w:rPr>
              <w:lastRenderedPageBreak/>
              <w:t>15.16 Data Converter</w:t>
            </w:r>
          </w:p>
        </w:tc>
        <w:tc>
          <w:tcPr>
            <w:tcW w:w="630" w:type="dxa"/>
            <w:tcBorders>
              <w:top w:val="single" w:sz="12" w:space="0" w:color="auto"/>
            </w:tcBorders>
          </w:tcPr>
          <w:p w14:paraId="7C1939CD" w14:textId="77777777" w:rsidR="000976CE" w:rsidRDefault="000976CE" w:rsidP="000976CE">
            <w:pPr>
              <w:spacing w:after="0"/>
              <w:ind w:left="36"/>
              <w:jc w:val="center"/>
              <w:rPr>
                <w:sz w:val="20"/>
              </w:rPr>
            </w:pPr>
          </w:p>
        </w:tc>
        <w:tc>
          <w:tcPr>
            <w:tcW w:w="540" w:type="dxa"/>
            <w:tcBorders>
              <w:top w:val="single" w:sz="12" w:space="0" w:color="auto"/>
            </w:tcBorders>
          </w:tcPr>
          <w:p w14:paraId="6ECB638F" w14:textId="77777777" w:rsidR="000976CE" w:rsidRDefault="000976CE" w:rsidP="000976CE">
            <w:pPr>
              <w:spacing w:after="0"/>
              <w:ind w:left="36"/>
              <w:jc w:val="center"/>
              <w:rPr>
                <w:sz w:val="20"/>
              </w:rPr>
            </w:pPr>
          </w:p>
        </w:tc>
        <w:tc>
          <w:tcPr>
            <w:tcW w:w="900" w:type="dxa"/>
            <w:tcBorders>
              <w:top w:val="single" w:sz="12" w:space="0" w:color="auto"/>
            </w:tcBorders>
          </w:tcPr>
          <w:p w14:paraId="0BB748FB" w14:textId="77777777" w:rsidR="000976CE" w:rsidRDefault="000976CE" w:rsidP="000976CE">
            <w:pPr>
              <w:spacing w:after="0"/>
              <w:ind w:left="36"/>
              <w:jc w:val="center"/>
              <w:rPr>
                <w:sz w:val="20"/>
              </w:rPr>
            </w:pPr>
          </w:p>
        </w:tc>
        <w:tc>
          <w:tcPr>
            <w:tcW w:w="810" w:type="dxa"/>
            <w:tcBorders>
              <w:top w:val="single" w:sz="12" w:space="0" w:color="auto"/>
            </w:tcBorders>
          </w:tcPr>
          <w:p w14:paraId="11778B8B" w14:textId="77777777" w:rsidR="000976CE" w:rsidRDefault="000976CE" w:rsidP="000976CE">
            <w:pPr>
              <w:spacing w:after="0"/>
              <w:ind w:left="36"/>
              <w:jc w:val="center"/>
              <w:rPr>
                <w:sz w:val="20"/>
              </w:rPr>
            </w:pPr>
          </w:p>
        </w:tc>
        <w:tc>
          <w:tcPr>
            <w:tcW w:w="810" w:type="dxa"/>
            <w:tcBorders>
              <w:top w:val="single" w:sz="12" w:space="0" w:color="auto"/>
            </w:tcBorders>
          </w:tcPr>
          <w:p w14:paraId="32311C7A" w14:textId="77777777" w:rsidR="000976CE" w:rsidRDefault="000976CE" w:rsidP="000976CE">
            <w:pPr>
              <w:spacing w:after="0"/>
              <w:ind w:left="36"/>
              <w:jc w:val="center"/>
              <w:rPr>
                <w:sz w:val="20"/>
              </w:rPr>
            </w:pPr>
          </w:p>
        </w:tc>
        <w:tc>
          <w:tcPr>
            <w:tcW w:w="900" w:type="dxa"/>
            <w:tcBorders>
              <w:top w:val="single" w:sz="12" w:space="0" w:color="auto"/>
            </w:tcBorders>
          </w:tcPr>
          <w:p w14:paraId="211E4B04" w14:textId="77777777" w:rsidR="000976CE" w:rsidRDefault="000976CE" w:rsidP="000976CE">
            <w:pPr>
              <w:spacing w:after="0"/>
              <w:ind w:left="36"/>
              <w:jc w:val="center"/>
              <w:rPr>
                <w:sz w:val="20"/>
              </w:rPr>
            </w:pPr>
          </w:p>
        </w:tc>
        <w:tc>
          <w:tcPr>
            <w:tcW w:w="810" w:type="dxa"/>
            <w:tcBorders>
              <w:top w:val="single" w:sz="12" w:space="0" w:color="auto"/>
            </w:tcBorders>
          </w:tcPr>
          <w:p w14:paraId="22309200" w14:textId="77777777" w:rsidR="000976CE" w:rsidRDefault="000976CE" w:rsidP="000976CE">
            <w:pPr>
              <w:spacing w:after="0"/>
              <w:ind w:left="36"/>
              <w:jc w:val="center"/>
              <w:rPr>
                <w:sz w:val="20"/>
              </w:rPr>
            </w:pPr>
          </w:p>
        </w:tc>
        <w:tc>
          <w:tcPr>
            <w:tcW w:w="990" w:type="dxa"/>
            <w:tcBorders>
              <w:top w:val="single" w:sz="12" w:space="0" w:color="auto"/>
            </w:tcBorders>
          </w:tcPr>
          <w:p w14:paraId="3C5DD0A8" w14:textId="77777777" w:rsidR="000976CE" w:rsidRDefault="000976CE" w:rsidP="000976CE">
            <w:pPr>
              <w:spacing w:after="0"/>
              <w:ind w:left="36"/>
              <w:jc w:val="center"/>
              <w:rPr>
                <w:sz w:val="20"/>
              </w:rPr>
            </w:pPr>
          </w:p>
        </w:tc>
        <w:tc>
          <w:tcPr>
            <w:tcW w:w="720" w:type="dxa"/>
            <w:tcBorders>
              <w:top w:val="single" w:sz="12" w:space="0" w:color="auto"/>
            </w:tcBorders>
          </w:tcPr>
          <w:p w14:paraId="761AA1E2" w14:textId="77777777" w:rsidR="000976CE" w:rsidRDefault="000976CE" w:rsidP="000976CE">
            <w:pPr>
              <w:spacing w:after="0"/>
              <w:jc w:val="center"/>
              <w:rPr>
                <w:sz w:val="20"/>
              </w:rPr>
            </w:pPr>
          </w:p>
        </w:tc>
        <w:tc>
          <w:tcPr>
            <w:tcW w:w="720" w:type="dxa"/>
            <w:tcBorders>
              <w:top w:val="single" w:sz="12" w:space="0" w:color="auto"/>
            </w:tcBorders>
          </w:tcPr>
          <w:p w14:paraId="76C147AB" w14:textId="77777777" w:rsidR="000976CE" w:rsidRDefault="000976CE" w:rsidP="000976CE">
            <w:pPr>
              <w:spacing w:after="0"/>
              <w:jc w:val="center"/>
              <w:rPr>
                <w:sz w:val="20"/>
              </w:rPr>
            </w:pPr>
          </w:p>
        </w:tc>
        <w:tc>
          <w:tcPr>
            <w:tcW w:w="720" w:type="dxa"/>
            <w:tcBorders>
              <w:top w:val="single" w:sz="12" w:space="0" w:color="auto"/>
            </w:tcBorders>
          </w:tcPr>
          <w:p w14:paraId="6FE772F7" w14:textId="77777777" w:rsidR="000976CE" w:rsidRDefault="000976CE" w:rsidP="000976CE">
            <w:pPr>
              <w:spacing w:after="0"/>
              <w:jc w:val="center"/>
              <w:rPr>
                <w:sz w:val="20"/>
              </w:rPr>
            </w:pPr>
          </w:p>
        </w:tc>
        <w:tc>
          <w:tcPr>
            <w:tcW w:w="728" w:type="dxa"/>
            <w:tcBorders>
              <w:top w:val="single" w:sz="12" w:space="0" w:color="auto"/>
            </w:tcBorders>
          </w:tcPr>
          <w:p w14:paraId="1D3253B6" w14:textId="77777777" w:rsidR="000976CE" w:rsidRDefault="000976CE" w:rsidP="000976CE">
            <w:pPr>
              <w:spacing w:after="0"/>
              <w:jc w:val="center"/>
              <w:rPr>
                <w:sz w:val="20"/>
              </w:rPr>
            </w:pPr>
          </w:p>
        </w:tc>
      </w:tr>
      <w:tr w:rsidR="00513AB5" w14:paraId="7CA80F6A" w14:textId="77777777" w:rsidTr="001136D3">
        <w:trPr>
          <w:cantSplit/>
        </w:trPr>
        <w:tc>
          <w:tcPr>
            <w:tcW w:w="9082" w:type="dxa"/>
            <w:gridSpan w:val="9"/>
          </w:tcPr>
          <w:p w14:paraId="69A56AAA" w14:textId="77777777" w:rsidR="00513AB5" w:rsidRDefault="00513AB5" w:rsidP="00513AB5">
            <w:pPr>
              <w:spacing w:before="100" w:after="100"/>
              <w:jc w:val="left"/>
              <w:rPr>
                <w:sz w:val="20"/>
              </w:rPr>
            </w:pPr>
            <w:r>
              <w:rPr>
                <w:sz w:val="20"/>
              </w:rPr>
              <w:t xml:space="preserve">Subtotals (to </w:t>
            </w:r>
            <w:r>
              <w:rPr>
                <w:i/>
                <w:sz w:val="20"/>
              </w:rPr>
              <w:t>[ </w:t>
            </w:r>
            <w:proofErr w:type="gramStart"/>
            <w:r>
              <w:rPr>
                <w:i/>
                <w:sz w:val="20"/>
              </w:rPr>
              <w:t>insert:</w:t>
            </w:r>
            <w:proofErr w:type="gramEnd"/>
            <w:r>
              <w:rPr>
                <w:i/>
                <w:sz w:val="20"/>
              </w:rPr>
              <w:t xml:space="preserve">  </w:t>
            </w:r>
            <w:r>
              <w:rPr>
                <w:b/>
                <w:i/>
                <w:sz w:val="20"/>
              </w:rPr>
              <w:t>line item</w:t>
            </w:r>
            <w:r>
              <w:rPr>
                <w:sz w:val="20"/>
              </w:rPr>
              <w:t>] of Supply and Installation Cost Summary Table)</w:t>
            </w:r>
          </w:p>
        </w:tc>
        <w:tc>
          <w:tcPr>
            <w:tcW w:w="990" w:type="dxa"/>
          </w:tcPr>
          <w:p w14:paraId="09F9DC32" w14:textId="77777777" w:rsidR="00513AB5" w:rsidRDefault="00513AB5" w:rsidP="00513AB5">
            <w:pPr>
              <w:spacing w:before="100" w:after="100"/>
              <w:jc w:val="center"/>
              <w:rPr>
                <w:sz w:val="20"/>
              </w:rPr>
            </w:pPr>
          </w:p>
        </w:tc>
        <w:tc>
          <w:tcPr>
            <w:tcW w:w="720" w:type="dxa"/>
          </w:tcPr>
          <w:p w14:paraId="518114DF" w14:textId="77777777" w:rsidR="00513AB5" w:rsidRDefault="00513AB5" w:rsidP="00513AB5">
            <w:pPr>
              <w:spacing w:before="100" w:after="100"/>
              <w:jc w:val="center"/>
              <w:rPr>
                <w:sz w:val="20"/>
              </w:rPr>
            </w:pPr>
          </w:p>
        </w:tc>
        <w:tc>
          <w:tcPr>
            <w:tcW w:w="720" w:type="dxa"/>
          </w:tcPr>
          <w:p w14:paraId="600A9D61" w14:textId="77777777" w:rsidR="00513AB5" w:rsidRDefault="00513AB5" w:rsidP="00513AB5">
            <w:pPr>
              <w:spacing w:before="100" w:after="100"/>
              <w:jc w:val="center"/>
              <w:rPr>
                <w:sz w:val="20"/>
              </w:rPr>
            </w:pPr>
          </w:p>
        </w:tc>
        <w:tc>
          <w:tcPr>
            <w:tcW w:w="720" w:type="dxa"/>
          </w:tcPr>
          <w:p w14:paraId="1244816F" w14:textId="77777777" w:rsidR="00513AB5" w:rsidRDefault="00513AB5" w:rsidP="00513AB5">
            <w:pPr>
              <w:spacing w:before="100" w:after="100"/>
              <w:jc w:val="center"/>
              <w:rPr>
                <w:sz w:val="20"/>
              </w:rPr>
            </w:pPr>
          </w:p>
        </w:tc>
        <w:tc>
          <w:tcPr>
            <w:tcW w:w="728" w:type="dxa"/>
          </w:tcPr>
          <w:p w14:paraId="69264814" w14:textId="77777777" w:rsidR="00513AB5" w:rsidRDefault="00513AB5" w:rsidP="00513AB5">
            <w:pPr>
              <w:spacing w:before="100" w:after="100"/>
              <w:jc w:val="center"/>
              <w:rPr>
                <w:sz w:val="20"/>
              </w:rPr>
            </w:pPr>
          </w:p>
        </w:tc>
      </w:tr>
    </w:tbl>
    <w:p w14:paraId="1BB232A5" w14:textId="77777777" w:rsidR="00513AB5" w:rsidRDefault="00513AB5">
      <w:pPr>
        <w:spacing w:after="180"/>
        <w:ind w:right="1440"/>
        <w:jc w:val="center"/>
      </w:pPr>
    </w:p>
    <w:p w14:paraId="14906181" w14:textId="77777777" w:rsidR="00157AAA" w:rsidRDefault="00157AAA">
      <w:pPr>
        <w:pStyle w:val="explanatorynotes"/>
        <w:spacing w:after="0"/>
        <w:rPr>
          <w:rFonts w:ascii="Times New Roman" w:hAnsi="Times New Roman"/>
        </w:rPr>
      </w:pPr>
    </w:p>
    <w:p w14:paraId="01F9602B" w14:textId="77777777" w:rsidR="00157AAA" w:rsidRDefault="006C1BE5">
      <w:pPr>
        <w:ind w:right="1440"/>
        <w:rPr>
          <w:sz w:val="22"/>
        </w:rPr>
      </w:pPr>
      <w:r>
        <w:rPr>
          <w:b/>
          <w:sz w:val="22"/>
        </w:rPr>
        <w:t>Note:</w:t>
      </w:r>
      <w:r>
        <w:rPr>
          <w:sz w:val="22"/>
        </w:rPr>
        <w:tab/>
        <w:t xml:space="preserve">- - indicates not applicable.  </w:t>
      </w:r>
    </w:p>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4320"/>
        <w:gridCol w:w="360"/>
        <w:gridCol w:w="4698"/>
      </w:tblGrid>
      <w:tr w:rsidR="00157AAA" w14:paraId="42FFC05F" w14:textId="77777777">
        <w:trPr>
          <w:cantSplit/>
          <w:trHeight w:hRule="exact" w:val="240"/>
          <w:jc w:val="center"/>
        </w:trPr>
        <w:tc>
          <w:tcPr>
            <w:tcW w:w="4320" w:type="dxa"/>
          </w:tcPr>
          <w:p w14:paraId="56EB14FB" w14:textId="77777777" w:rsidR="00157AAA" w:rsidRDefault="00157AAA">
            <w:pPr>
              <w:spacing w:before="100" w:after="100"/>
              <w:rPr>
                <w:sz w:val="22"/>
              </w:rPr>
            </w:pPr>
          </w:p>
        </w:tc>
        <w:tc>
          <w:tcPr>
            <w:tcW w:w="360" w:type="dxa"/>
          </w:tcPr>
          <w:p w14:paraId="1390C658" w14:textId="77777777" w:rsidR="00157AAA" w:rsidRDefault="00157AAA">
            <w:pPr>
              <w:spacing w:before="100" w:after="100"/>
              <w:jc w:val="center"/>
              <w:rPr>
                <w:sz w:val="22"/>
              </w:rPr>
            </w:pPr>
          </w:p>
        </w:tc>
        <w:tc>
          <w:tcPr>
            <w:tcW w:w="4698" w:type="dxa"/>
          </w:tcPr>
          <w:p w14:paraId="3415CA54" w14:textId="77777777" w:rsidR="00157AAA" w:rsidRDefault="00157AAA">
            <w:pPr>
              <w:spacing w:before="100" w:after="100"/>
              <w:jc w:val="center"/>
              <w:rPr>
                <w:sz w:val="22"/>
              </w:rPr>
            </w:pPr>
          </w:p>
        </w:tc>
      </w:tr>
      <w:tr w:rsidR="00157AAA" w14:paraId="0AE7BF6F" w14:textId="77777777">
        <w:trPr>
          <w:cantSplit/>
          <w:jc w:val="center"/>
        </w:trPr>
        <w:tc>
          <w:tcPr>
            <w:tcW w:w="4320" w:type="dxa"/>
          </w:tcPr>
          <w:p w14:paraId="6883DDC4" w14:textId="77777777" w:rsidR="00157AAA" w:rsidRDefault="006C1BE5">
            <w:pPr>
              <w:spacing w:before="100" w:after="100"/>
              <w:jc w:val="right"/>
              <w:rPr>
                <w:sz w:val="22"/>
              </w:rPr>
            </w:pPr>
            <w:r>
              <w:rPr>
                <w:sz w:val="22"/>
              </w:rPr>
              <w:t>Name of Bidder:</w:t>
            </w:r>
          </w:p>
        </w:tc>
        <w:tc>
          <w:tcPr>
            <w:tcW w:w="360" w:type="dxa"/>
          </w:tcPr>
          <w:p w14:paraId="25DF9F91" w14:textId="77777777" w:rsidR="00157AAA" w:rsidRDefault="00157AAA">
            <w:pPr>
              <w:spacing w:before="100" w:after="100"/>
              <w:jc w:val="center"/>
              <w:rPr>
                <w:sz w:val="22"/>
              </w:rPr>
            </w:pPr>
          </w:p>
        </w:tc>
        <w:tc>
          <w:tcPr>
            <w:tcW w:w="4698" w:type="dxa"/>
          </w:tcPr>
          <w:p w14:paraId="0EF93EB8" w14:textId="77777777" w:rsidR="00157AAA" w:rsidRDefault="00157AAA">
            <w:pPr>
              <w:spacing w:before="100" w:after="100"/>
              <w:jc w:val="center"/>
              <w:rPr>
                <w:sz w:val="22"/>
              </w:rPr>
            </w:pPr>
          </w:p>
        </w:tc>
      </w:tr>
      <w:tr w:rsidR="00157AAA" w14:paraId="39F9481F" w14:textId="77777777">
        <w:trPr>
          <w:cantSplit/>
          <w:trHeight w:hRule="exact" w:val="240"/>
          <w:jc w:val="center"/>
        </w:trPr>
        <w:tc>
          <w:tcPr>
            <w:tcW w:w="4320" w:type="dxa"/>
          </w:tcPr>
          <w:p w14:paraId="77A7CDB4" w14:textId="77777777" w:rsidR="00157AAA" w:rsidRDefault="00157AAA">
            <w:pPr>
              <w:spacing w:before="100" w:after="100"/>
              <w:jc w:val="right"/>
              <w:rPr>
                <w:sz w:val="22"/>
              </w:rPr>
            </w:pPr>
          </w:p>
        </w:tc>
        <w:tc>
          <w:tcPr>
            <w:tcW w:w="360" w:type="dxa"/>
          </w:tcPr>
          <w:p w14:paraId="7B8B5E0F" w14:textId="77777777" w:rsidR="00157AAA" w:rsidRDefault="00157AAA">
            <w:pPr>
              <w:spacing w:before="100" w:after="100"/>
              <w:jc w:val="center"/>
              <w:rPr>
                <w:sz w:val="22"/>
              </w:rPr>
            </w:pPr>
          </w:p>
        </w:tc>
        <w:tc>
          <w:tcPr>
            <w:tcW w:w="4698" w:type="dxa"/>
          </w:tcPr>
          <w:p w14:paraId="2CA46667" w14:textId="77777777" w:rsidR="00157AAA" w:rsidRDefault="00157AAA">
            <w:pPr>
              <w:spacing w:before="100" w:after="100"/>
              <w:jc w:val="center"/>
              <w:rPr>
                <w:sz w:val="22"/>
              </w:rPr>
            </w:pPr>
          </w:p>
        </w:tc>
      </w:tr>
      <w:tr w:rsidR="00157AAA" w14:paraId="4556290B" w14:textId="77777777">
        <w:trPr>
          <w:cantSplit/>
          <w:jc w:val="center"/>
        </w:trPr>
        <w:tc>
          <w:tcPr>
            <w:tcW w:w="4320" w:type="dxa"/>
          </w:tcPr>
          <w:p w14:paraId="2B50AAC6" w14:textId="77777777" w:rsidR="00157AAA" w:rsidRDefault="006C1BE5">
            <w:pPr>
              <w:spacing w:before="100" w:after="100"/>
              <w:jc w:val="right"/>
              <w:rPr>
                <w:sz w:val="22"/>
              </w:rPr>
            </w:pPr>
            <w:r>
              <w:rPr>
                <w:sz w:val="22"/>
              </w:rPr>
              <w:t>Authorized Signature of Bidder:</w:t>
            </w:r>
          </w:p>
        </w:tc>
        <w:tc>
          <w:tcPr>
            <w:tcW w:w="360" w:type="dxa"/>
          </w:tcPr>
          <w:p w14:paraId="50B43BC8" w14:textId="77777777" w:rsidR="00157AAA" w:rsidRDefault="00157AAA">
            <w:pPr>
              <w:spacing w:before="100" w:after="100"/>
              <w:jc w:val="center"/>
              <w:rPr>
                <w:sz w:val="22"/>
              </w:rPr>
            </w:pPr>
          </w:p>
        </w:tc>
        <w:tc>
          <w:tcPr>
            <w:tcW w:w="4698" w:type="dxa"/>
          </w:tcPr>
          <w:p w14:paraId="2D6636EF" w14:textId="77777777" w:rsidR="00157AAA" w:rsidRDefault="00157AAA">
            <w:pPr>
              <w:spacing w:before="100" w:after="100"/>
              <w:jc w:val="center"/>
              <w:rPr>
                <w:sz w:val="22"/>
              </w:rPr>
            </w:pPr>
          </w:p>
        </w:tc>
      </w:tr>
    </w:tbl>
    <w:p w14:paraId="15716A02" w14:textId="77777777" w:rsidR="00157AAA" w:rsidRDefault="006C1BE5">
      <w:pPr>
        <w:pStyle w:val="Head32"/>
        <w:ind w:right="1440"/>
        <w:rPr>
          <w:i/>
        </w:rPr>
      </w:pPr>
      <w:r>
        <w:rPr>
          <w:sz w:val="22"/>
        </w:rPr>
        <w:br w:type="page" w:clear="all"/>
      </w:r>
      <w:bookmarkStart w:id="583" w:name="_Toc521497244"/>
      <w:bookmarkStart w:id="584" w:name="_Toc218673961"/>
      <w:bookmarkStart w:id="585" w:name="_Toc277345596"/>
      <w:r>
        <w:lastRenderedPageBreak/>
        <w:t>3.5</w:t>
      </w:r>
      <w:r>
        <w:tab/>
      </w:r>
      <w:r>
        <w:tab/>
      </w:r>
      <w:bookmarkStart w:id="586" w:name="_Hlt529125919"/>
      <w:bookmarkEnd w:id="586"/>
      <w:r>
        <w:t xml:space="preserve">Recurrent Cost Sub-Table </w:t>
      </w:r>
      <w:r>
        <w:rPr>
          <w:b w:val="0"/>
          <w:i/>
        </w:rPr>
        <w:t xml:space="preserve">[insert: </w:t>
      </w:r>
      <w:r>
        <w:rPr>
          <w:i/>
        </w:rPr>
        <w:t xml:space="preserve"> identifying </w:t>
      </w:r>
      <w:bookmarkEnd w:id="583"/>
      <w:bookmarkEnd w:id="584"/>
      <w:r>
        <w:rPr>
          <w:i/>
        </w:rPr>
        <w:t>number</w:t>
      </w:r>
      <w:r>
        <w:rPr>
          <w:b w:val="0"/>
          <w:i/>
        </w:rPr>
        <w:t>]</w:t>
      </w:r>
      <w:r>
        <w:rPr>
          <w:i/>
        </w:rPr>
        <w:t xml:space="preserve"> -- Warranty Period</w:t>
      </w:r>
      <w:bookmarkEnd w:id="585"/>
    </w:p>
    <w:p w14:paraId="3AFC8E7E" w14:textId="77777777" w:rsidR="00157AAA" w:rsidRDefault="006C1BE5">
      <w:pPr>
        <w:pStyle w:val="Head32"/>
        <w:ind w:right="1440"/>
        <w:rPr>
          <w:i/>
        </w:rPr>
      </w:pPr>
      <w:r>
        <w:t>NOT APPLICABLE</w:t>
      </w:r>
    </w:p>
    <w:p w14:paraId="05F3415B" w14:textId="77777777" w:rsidR="00157AAA" w:rsidRDefault="006C1BE5">
      <w:pPr>
        <w:rPr>
          <w:b/>
        </w:rPr>
      </w:pPr>
      <w:r>
        <w:t>Lot number</w:t>
      </w:r>
      <w:proofErr w:type="gramStart"/>
      <w:r>
        <w:t xml:space="preserve">:  </w:t>
      </w:r>
      <w:r>
        <w:rPr>
          <w:rStyle w:val="preparersnote"/>
          <w:b w:val="0"/>
        </w:rPr>
        <w:t>[</w:t>
      </w:r>
      <w:proofErr w:type="gramEnd"/>
      <w:r>
        <w:rPr>
          <w:rStyle w:val="preparersnote"/>
          <w:b w:val="0"/>
        </w:rPr>
        <w:t>if a multi-lot procurement, insert:</w:t>
      </w:r>
      <w:r>
        <w:rPr>
          <w:rStyle w:val="preparersnote"/>
        </w:rPr>
        <w:t xml:space="preserve">  lot number, </w:t>
      </w:r>
      <w:r>
        <w:rPr>
          <w:rStyle w:val="preparersnote"/>
          <w:b w:val="0"/>
        </w:rPr>
        <w:t>otherwise state</w:t>
      </w:r>
      <w:r>
        <w:rPr>
          <w:rStyle w:val="preparersnote"/>
        </w:rPr>
        <w:t xml:space="preserve"> “single lot procurement”]</w:t>
      </w:r>
    </w:p>
    <w:p w14:paraId="601F01C5" w14:textId="77777777" w:rsidR="00157AAA" w:rsidRDefault="006C1BE5">
      <w:pPr>
        <w:ind w:right="1440"/>
      </w:pPr>
      <w:r>
        <w:t>Line item number</w:t>
      </w:r>
      <w:proofErr w:type="gramStart"/>
      <w:r>
        <w:rPr>
          <w:b/>
        </w:rPr>
        <w:t xml:space="preserve">:  </w:t>
      </w:r>
      <w:r>
        <w:rPr>
          <w:i/>
        </w:rPr>
        <w:t>[</w:t>
      </w:r>
      <w:proofErr w:type="gramEnd"/>
      <w:r>
        <w:rPr>
          <w:i/>
        </w:rPr>
        <w:t xml:space="preserve">specify:  </w:t>
      </w:r>
      <w:r>
        <w:rPr>
          <w:b/>
          <w:i/>
        </w:rPr>
        <w:t>relevant line item number from the Recurrent Cost Summary Table</w:t>
      </w:r>
      <w:r>
        <w:rPr>
          <w:i/>
        </w:rPr>
        <w:t xml:space="preserve"> </w:t>
      </w:r>
      <w:r>
        <w:rPr>
          <w:b/>
          <w:i/>
        </w:rPr>
        <w:t xml:space="preserve">– </w:t>
      </w:r>
      <w:r>
        <w:rPr>
          <w:i/>
        </w:rPr>
        <w:t>(e.g., y.1)]</w:t>
      </w:r>
    </w:p>
    <w:p w14:paraId="2093C7DF" w14:textId="77777777" w:rsidR="00157AAA" w:rsidRDefault="006C1BE5">
      <w:pPr>
        <w:ind w:right="1440"/>
        <w:rPr>
          <w:i/>
        </w:rPr>
      </w:pPr>
      <w:r>
        <w:t>Currency</w:t>
      </w:r>
      <w:proofErr w:type="gramStart"/>
      <w:r>
        <w:t xml:space="preserve">: </w:t>
      </w:r>
      <w:r>
        <w:rPr>
          <w:b/>
        </w:rPr>
        <w:t xml:space="preserve"> </w:t>
      </w:r>
      <w:r>
        <w:rPr>
          <w:i/>
        </w:rPr>
        <w:t>[</w:t>
      </w:r>
      <w:proofErr w:type="gramEnd"/>
      <w:r>
        <w:rPr>
          <w:i/>
        </w:rPr>
        <w:t xml:space="preserve">specify:  </w:t>
      </w:r>
      <w:r>
        <w:rPr>
          <w:b/>
          <w:i/>
        </w:rPr>
        <w:t>the currency of the Recurrent Costs in which the costs expressed in this Sub-Table are expressed</w:t>
      </w:r>
      <w:r>
        <w:rPr>
          <w:i/>
        </w:rPr>
        <w:t>]</w:t>
      </w:r>
    </w:p>
    <w:p w14:paraId="7D998BCC" w14:textId="790B251E" w:rsidR="00157AAA" w:rsidRPr="000D3312" w:rsidRDefault="006C1BE5" w:rsidP="000D3312">
      <w:pPr>
        <w:rPr>
          <w:b/>
          <w:i/>
          <w:iCs/>
        </w:rPr>
      </w:pPr>
      <w:r>
        <w:rPr>
          <w:rStyle w:val="preparersnote"/>
          <w:b w:val="0"/>
        </w:rPr>
        <w:t>[As necessary for operation of the System, specify:</w:t>
      </w:r>
      <w:r>
        <w:rPr>
          <w:rStyle w:val="preparersnote"/>
        </w:rPr>
        <w:t xml:space="preserve">  the detailed components and quantities in the Sub-Table below for the line item specified above, modifying the sample components and sample table entries as needed.  </w:t>
      </w:r>
      <w:r>
        <w:rPr>
          <w:rStyle w:val="preparersnote"/>
          <w:b w:val="0"/>
        </w:rPr>
        <w:t xml:space="preserve">Repeat the Sub-Table as needed to cover </w:t>
      </w:r>
      <w:proofErr w:type="gramStart"/>
      <w:r>
        <w:rPr>
          <w:rStyle w:val="preparersnote"/>
          <w:b w:val="0"/>
        </w:rPr>
        <w:t>each and every</w:t>
      </w:r>
      <w:proofErr w:type="gramEnd"/>
      <w:r>
        <w:rPr>
          <w:rStyle w:val="preparersnote"/>
          <w:b w:val="0"/>
        </w:rPr>
        <w:t xml:space="preserve"> line item in the Recurrent Cost Summary Table that requires elaboration.]</w:t>
      </w:r>
    </w:p>
    <w:p w14:paraId="20DFAF23" w14:textId="171F4020" w:rsidR="00157AAA" w:rsidRDefault="006C1BE5" w:rsidP="000D3312">
      <w:pPr>
        <w:ind w:right="1440"/>
        <w:jc w:val="center"/>
      </w:pPr>
      <w:r>
        <w:t>Costs MUST reflect prices and rates quoted in accordance with ITB 17 and ITB 18.</w:t>
      </w:r>
      <w:bookmarkStart w:id="587" w:name="_Hlt529126519"/>
      <w:bookmarkEnd w:id="587"/>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188"/>
        <w:gridCol w:w="2880"/>
        <w:gridCol w:w="1095"/>
        <w:gridCol w:w="1095"/>
        <w:gridCol w:w="1140"/>
        <w:gridCol w:w="1050"/>
        <w:gridCol w:w="1095"/>
        <w:gridCol w:w="1095"/>
        <w:gridCol w:w="2250"/>
      </w:tblGrid>
      <w:tr w:rsidR="00157AAA" w14:paraId="403A3045" w14:textId="77777777">
        <w:trPr>
          <w:cantSplit/>
          <w:tblHeader/>
        </w:trPr>
        <w:tc>
          <w:tcPr>
            <w:tcW w:w="1188" w:type="dxa"/>
          </w:tcPr>
          <w:p w14:paraId="404E9DD8" w14:textId="77777777" w:rsidR="00157AAA" w:rsidRDefault="00157AAA">
            <w:pPr>
              <w:spacing w:before="100" w:after="100"/>
              <w:jc w:val="center"/>
            </w:pPr>
          </w:p>
        </w:tc>
        <w:tc>
          <w:tcPr>
            <w:tcW w:w="2880" w:type="dxa"/>
          </w:tcPr>
          <w:p w14:paraId="230A2FED" w14:textId="77777777" w:rsidR="00157AAA" w:rsidRDefault="00157AAA">
            <w:pPr>
              <w:spacing w:before="100" w:after="100"/>
              <w:jc w:val="left"/>
            </w:pPr>
          </w:p>
        </w:tc>
        <w:tc>
          <w:tcPr>
            <w:tcW w:w="8820" w:type="dxa"/>
            <w:gridSpan w:val="7"/>
          </w:tcPr>
          <w:p w14:paraId="58DD6360" w14:textId="77777777" w:rsidR="00157AAA" w:rsidRDefault="006C1BE5">
            <w:pPr>
              <w:spacing w:before="100" w:after="100"/>
              <w:jc w:val="center"/>
            </w:pPr>
            <w:r>
              <w:t xml:space="preserve">Maximum all-inclusive costs (for costs in </w:t>
            </w:r>
            <w:r>
              <w:rPr>
                <w:i/>
              </w:rPr>
              <w:t>[ </w:t>
            </w:r>
            <w:proofErr w:type="gramStart"/>
            <w:r>
              <w:rPr>
                <w:i/>
              </w:rPr>
              <w:t>insert:</w:t>
            </w:r>
            <w:proofErr w:type="gramEnd"/>
            <w:r>
              <w:rPr>
                <w:i/>
              </w:rPr>
              <w:t xml:space="preserve">  </w:t>
            </w:r>
            <w:r>
              <w:rPr>
                <w:b/>
                <w:i/>
              </w:rPr>
              <w:t>currency</w:t>
            </w:r>
            <w:r>
              <w:rPr>
                <w:i/>
              </w:rPr>
              <w:t> ]</w:t>
            </w:r>
            <w:r>
              <w:t>)</w:t>
            </w:r>
          </w:p>
        </w:tc>
      </w:tr>
      <w:tr w:rsidR="00157AAA" w14:paraId="6E07379C" w14:textId="77777777">
        <w:trPr>
          <w:cantSplit/>
          <w:tblHeader/>
        </w:trPr>
        <w:tc>
          <w:tcPr>
            <w:tcW w:w="1188" w:type="dxa"/>
          </w:tcPr>
          <w:p w14:paraId="135A8B1B" w14:textId="77777777" w:rsidR="00157AAA" w:rsidRDefault="006C1BE5">
            <w:pPr>
              <w:spacing w:before="100" w:after="100"/>
              <w:rPr>
                <w:lang w:val="es-ES"/>
              </w:rPr>
            </w:pPr>
            <w:r>
              <w:t xml:space="preserve">Component </w:t>
            </w:r>
            <w:r>
              <w:rPr>
                <w:lang w:val="es-ES"/>
              </w:rPr>
              <w:br/>
              <w:t>No.</w:t>
            </w:r>
          </w:p>
        </w:tc>
        <w:tc>
          <w:tcPr>
            <w:tcW w:w="2880" w:type="dxa"/>
          </w:tcPr>
          <w:p w14:paraId="13973B97" w14:textId="77777777" w:rsidR="00157AAA" w:rsidRDefault="006C1BE5">
            <w:pPr>
              <w:spacing w:before="100" w:after="100"/>
              <w:jc w:val="center"/>
            </w:pPr>
            <w:r>
              <w:rPr>
                <w:lang w:val="es-ES"/>
              </w:rPr>
              <w:br/>
            </w:r>
            <w:r>
              <w:t>Component</w:t>
            </w:r>
          </w:p>
        </w:tc>
        <w:tc>
          <w:tcPr>
            <w:tcW w:w="1095" w:type="dxa"/>
          </w:tcPr>
          <w:p w14:paraId="2BD5CCD9" w14:textId="77777777" w:rsidR="00157AAA" w:rsidRDefault="006C1BE5">
            <w:pPr>
              <w:spacing w:before="100" w:after="100"/>
              <w:jc w:val="center"/>
              <w:rPr>
                <w:lang w:val="es-ES"/>
              </w:rPr>
            </w:pPr>
            <w:r>
              <w:rPr>
                <w:lang w:val="es-ES"/>
              </w:rPr>
              <w:br/>
              <w:t>Y1</w:t>
            </w:r>
          </w:p>
        </w:tc>
        <w:tc>
          <w:tcPr>
            <w:tcW w:w="1095" w:type="dxa"/>
          </w:tcPr>
          <w:p w14:paraId="44207520" w14:textId="77777777" w:rsidR="00157AAA" w:rsidRDefault="006C1BE5">
            <w:pPr>
              <w:spacing w:before="100" w:after="100"/>
              <w:jc w:val="center"/>
              <w:rPr>
                <w:lang w:val="es-ES"/>
              </w:rPr>
            </w:pPr>
            <w:r>
              <w:rPr>
                <w:lang w:val="es-ES"/>
              </w:rPr>
              <w:br/>
              <w:t>Y2</w:t>
            </w:r>
          </w:p>
        </w:tc>
        <w:tc>
          <w:tcPr>
            <w:tcW w:w="1140" w:type="dxa"/>
          </w:tcPr>
          <w:p w14:paraId="2C3A33BA" w14:textId="77777777" w:rsidR="00157AAA" w:rsidRDefault="006C1BE5">
            <w:pPr>
              <w:spacing w:before="100" w:after="100"/>
              <w:jc w:val="center"/>
              <w:rPr>
                <w:lang w:val="es-ES"/>
              </w:rPr>
            </w:pPr>
            <w:r>
              <w:rPr>
                <w:lang w:val="es-ES"/>
              </w:rPr>
              <w:br/>
              <w:t>Y3</w:t>
            </w:r>
          </w:p>
        </w:tc>
        <w:tc>
          <w:tcPr>
            <w:tcW w:w="1050" w:type="dxa"/>
          </w:tcPr>
          <w:p w14:paraId="4FDF3E03" w14:textId="77777777" w:rsidR="00157AAA" w:rsidRDefault="006C1BE5">
            <w:pPr>
              <w:spacing w:before="100" w:after="100"/>
              <w:jc w:val="center"/>
            </w:pPr>
            <w:r>
              <w:br/>
              <w:t>Y4</w:t>
            </w:r>
          </w:p>
        </w:tc>
        <w:tc>
          <w:tcPr>
            <w:tcW w:w="1095" w:type="dxa"/>
          </w:tcPr>
          <w:p w14:paraId="425AD1F4" w14:textId="77777777" w:rsidR="00157AAA" w:rsidRDefault="006C1BE5">
            <w:pPr>
              <w:spacing w:before="100" w:after="100"/>
              <w:jc w:val="center"/>
            </w:pPr>
            <w:r>
              <w:br/>
              <w:t>...</w:t>
            </w:r>
          </w:p>
        </w:tc>
        <w:tc>
          <w:tcPr>
            <w:tcW w:w="1095" w:type="dxa"/>
          </w:tcPr>
          <w:p w14:paraId="313567D1" w14:textId="77777777" w:rsidR="00157AAA" w:rsidRDefault="006C1BE5">
            <w:pPr>
              <w:spacing w:before="100" w:after="100"/>
              <w:jc w:val="center"/>
            </w:pPr>
            <w:r>
              <w:br/>
              <w:t>Yn</w:t>
            </w:r>
          </w:p>
        </w:tc>
        <w:tc>
          <w:tcPr>
            <w:tcW w:w="2250" w:type="dxa"/>
          </w:tcPr>
          <w:p w14:paraId="68DC7F29" w14:textId="77777777" w:rsidR="00157AAA" w:rsidRDefault="006C1BE5">
            <w:pPr>
              <w:spacing w:before="100" w:after="100"/>
              <w:jc w:val="center"/>
            </w:pPr>
            <w:r>
              <w:t xml:space="preserve">Sub-total for </w:t>
            </w:r>
            <w:r>
              <w:rPr>
                <w:i/>
              </w:rPr>
              <w:t>[ </w:t>
            </w:r>
            <w:proofErr w:type="gramStart"/>
            <w:r>
              <w:rPr>
                <w:i/>
              </w:rPr>
              <w:t>insert:</w:t>
            </w:r>
            <w:proofErr w:type="gramEnd"/>
            <w:r>
              <w:rPr>
                <w:i/>
              </w:rPr>
              <w:t xml:space="preserve">  </w:t>
            </w:r>
            <w:r>
              <w:rPr>
                <w:b/>
                <w:i/>
              </w:rPr>
              <w:t>currency</w:t>
            </w:r>
            <w:r>
              <w:rPr>
                <w:i/>
              </w:rPr>
              <w:t>]</w:t>
            </w:r>
          </w:p>
        </w:tc>
      </w:tr>
      <w:tr w:rsidR="00157AAA" w14:paraId="6488009C" w14:textId="77777777">
        <w:trPr>
          <w:cantSplit/>
        </w:trPr>
        <w:tc>
          <w:tcPr>
            <w:tcW w:w="1188" w:type="dxa"/>
          </w:tcPr>
          <w:p w14:paraId="25ED5535" w14:textId="4654BBF6" w:rsidR="00157AAA" w:rsidRDefault="00157AAA">
            <w:pPr>
              <w:spacing w:before="100" w:after="100"/>
              <w:jc w:val="center"/>
              <w:rPr>
                <w:sz w:val="22"/>
              </w:rPr>
            </w:pPr>
          </w:p>
        </w:tc>
        <w:tc>
          <w:tcPr>
            <w:tcW w:w="2880" w:type="dxa"/>
          </w:tcPr>
          <w:p w14:paraId="1CEA9DB6" w14:textId="3BBBA9CE" w:rsidR="00157AAA" w:rsidRDefault="00157AAA">
            <w:pPr>
              <w:spacing w:before="100" w:after="100"/>
              <w:jc w:val="left"/>
              <w:rPr>
                <w:sz w:val="22"/>
              </w:rPr>
            </w:pPr>
          </w:p>
        </w:tc>
        <w:tc>
          <w:tcPr>
            <w:tcW w:w="1095" w:type="dxa"/>
          </w:tcPr>
          <w:p w14:paraId="6FB0FF38" w14:textId="296E0AB8" w:rsidR="00157AAA" w:rsidRDefault="00157AAA">
            <w:pPr>
              <w:spacing w:before="100" w:after="100"/>
              <w:jc w:val="center"/>
              <w:rPr>
                <w:sz w:val="22"/>
              </w:rPr>
            </w:pPr>
          </w:p>
        </w:tc>
        <w:tc>
          <w:tcPr>
            <w:tcW w:w="1095" w:type="dxa"/>
          </w:tcPr>
          <w:p w14:paraId="743BF8B5" w14:textId="7D9E083C" w:rsidR="00157AAA" w:rsidRDefault="00157AAA">
            <w:pPr>
              <w:spacing w:before="100" w:after="100"/>
              <w:jc w:val="center"/>
              <w:rPr>
                <w:sz w:val="22"/>
              </w:rPr>
            </w:pPr>
          </w:p>
        </w:tc>
        <w:tc>
          <w:tcPr>
            <w:tcW w:w="1140" w:type="dxa"/>
          </w:tcPr>
          <w:p w14:paraId="3BC13137" w14:textId="32AEEC5F" w:rsidR="00157AAA" w:rsidRDefault="00157AAA">
            <w:pPr>
              <w:spacing w:before="100" w:after="100"/>
              <w:jc w:val="center"/>
              <w:rPr>
                <w:sz w:val="22"/>
              </w:rPr>
            </w:pPr>
          </w:p>
        </w:tc>
        <w:tc>
          <w:tcPr>
            <w:tcW w:w="1050" w:type="dxa"/>
          </w:tcPr>
          <w:p w14:paraId="7D89CF63" w14:textId="77777777" w:rsidR="00157AAA" w:rsidRDefault="00157AAA">
            <w:pPr>
              <w:spacing w:before="100" w:after="100"/>
              <w:jc w:val="center"/>
              <w:rPr>
                <w:sz w:val="22"/>
              </w:rPr>
            </w:pPr>
          </w:p>
        </w:tc>
        <w:tc>
          <w:tcPr>
            <w:tcW w:w="1095" w:type="dxa"/>
          </w:tcPr>
          <w:p w14:paraId="2AE602F3" w14:textId="77777777" w:rsidR="00157AAA" w:rsidRDefault="00157AAA">
            <w:pPr>
              <w:spacing w:before="100" w:after="100"/>
              <w:jc w:val="center"/>
              <w:rPr>
                <w:sz w:val="22"/>
              </w:rPr>
            </w:pPr>
          </w:p>
        </w:tc>
        <w:tc>
          <w:tcPr>
            <w:tcW w:w="1095" w:type="dxa"/>
          </w:tcPr>
          <w:p w14:paraId="550BF307" w14:textId="77777777" w:rsidR="00157AAA" w:rsidRDefault="00157AAA">
            <w:pPr>
              <w:spacing w:before="100" w:after="100"/>
              <w:jc w:val="center"/>
              <w:rPr>
                <w:sz w:val="22"/>
              </w:rPr>
            </w:pPr>
          </w:p>
        </w:tc>
        <w:tc>
          <w:tcPr>
            <w:tcW w:w="2250" w:type="dxa"/>
          </w:tcPr>
          <w:p w14:paraId="467729B6" w14:textId="77777777" w:rsidR="00157AAA" w:rsidRDefault="00157AAA">
            <w:pPr>
              <w:spacing w:before="100" w:after="100"/>
              <w:jc w:val="center"/>
              <w:rPr>
                <w:sz w:val="22"/>
              </w:rPr>
            </w:pPr>
          </w:p>
        </w:tc>
      </w:tr>
      <w:tr w:rsidR="00157AAA" w14:paraId="63B84147" w14:textId="77777777">
        <w:trPr>
          <w:cantSplit/>
        </w:trPr>
        <w:tc>
          <w:tcPr>
            <w:tcW w:w="1188" w:type="dxa"/>
          </w:tcPr>
          <w:p w14:paraId="4C6ABE9E" w14:textId="0D8ED520" w:rsidR="00157AAA" w:rsidRDefault="00157AAA">
            <w:pPr>
              <w:spacing w:before="100" w:after="100"/>
              <w:jc w:val="center"/>
              <w:rPr>
                <w:sz w:val="22"/>
              </w:rPr>
            </w:pPr>
          </w:p>
        </w:tc>
        <w:tc>
          <w:tcPr>
            <w:tcW w:w="2880" w:type="dxa"/>
          </w:tcPr>
          <w:p w14:paraId="361FA285" w14:textId="3B92EF03" w:rsidR="00157AAA" w:rsidRDefault="00157AAA">
            <w:pPr>
              <w:pStyle w:val="tabletxt"/>
              <w:spacing w:before="100" w:after="100"/>
            </w:pPr>
          </w:p>
        </w:tc>
        <w:tc>
          <w:tcPr>
            <w:tcW w:w="1095" w:type="dxa"/>
          </w:tcPr>
          <w:p w14:paraId="76AA8A1A" w14:textId="77777777" w:rsidR="00157AAA" w:rsidRDefault="00157AAA">
            <w:pPr>
              <w:spacing w:before="100" w:after="100"/>
              <w:jc w:val="center"/>
              <w:rPr>
                <w:sz w:val="22"/>
              </w:rPr>
            </w:pPr>
          </w:p>
        </w:tc>
        <w:tc>
          <w:tcPr>
            <w:tcW w:w="1095" w:type="dxa"/>
          </w:tcPr>
          <w:p w14:paraId="0780F3B8" w14:textId="77777777" w:rsidR="00157AAA" w:rsidRDefault="00157AAA">
            <w:pPr>
              <w:spacing w:before="100" w:after="100"/>
              <w:jc w:val="center"/>
              <w:rPr>
                <w:sz w:val="22"/>
              </w:rPr>
            </w:pPr>
          </w:p>
        </w:tc>
        <w:tc>
          <w:tcPr>
            <w:tcW w:w="1140" w:type="dxa"/>
          </w:tcPr>
          <w:p w14:paraId="79129F73" w14:textId="77777777" w:rsidR="00157AAA" w:rsidRDefault="00157AAA">
            <w:pPr>
              <w:spacing w:before="100" w:after="100"/>
              <w:jc w:val="center"/>
              <w:rPr>
                <w:sz w:val="22"/>
              </w:rPr>
            </w:pPr>
          </w:p>
        </w:tc>
        <w:tc>
          <w:tcPr>
            <w:tcW w:w="1050" w:type="dxa"/>
          </w:tcPr>
          <w:p w14:paraId="5A7BF52A" w14:textId="77777777" w:rsidR="00157AAA" w:rsidRDefault="00157AAA">
            <w:pPr>
              <w:spacing w:before="100" w:after="100"/>
              <w:jc w:val="center"/>
              <w:rPr>
                <w:sz w:val="22"/>
              </w:rPr>
            </w:pPr>
          </w:p>
        </w:tc>
        <w:tc>
          <w:tcPr>
            <w:tcW w:w="1095" w:type="dxa"/>
          </w:tcPr>
          <w:p w14:paraId="607925CC" w14:textId="77777777" w:rsidR="00157AAA" w:rsidRDefault="00157AAA">
            <w:pPr>
              <w:spacing w:before="100" w:after="100"/>
              <w:jc w:val="center"/>
              <w:rPr>
                <w:sz w:val="22"/>
              </w:rPr>
            </w:pPr>
          </w:p>
        </w:tc>
        <w:tc>
          <w:tcPr>
            <w:tcW w:w="1095" w:type="dxa"/>
          </w:tcPr>
          <w:p w14:paraId="22ABDF46" w14:textId="77777777" w:rsidR="00157AAA" w:rsidRDefault="00157AAA">
            <w:pPr>
              <w:spacing w:before="100" w:after="100"/>
              <w:jc w:val="center"/>
              <w:rPr>
                <w:sz w:val="22"/>
              </w:rPr>
            </w:pPr>
          </w:p>
        </w:tc>
        <w:tc>
          <w:tcPr>
            <w:tcW w:w="2250" w:type="dxa"/>
          </w:tcPr>
          <w:p w14:paraId="36A143F1" w14:textId="77777777" w:rsidR="00157AAA" w:rsidRDefault="00157AAA">
            <w:pPr>
              <w:spacing w:before="100" w:after="100"/>
              <w:jc w:val="center"/>
              <w:rPr>
                <w:sz w:val="22"/>
              </w:rPr>
            </w:pPr>
          </w:p>
        </w:tc>
      </w:tr>
      <w:tr w:rsidR="00157AAA" w14:paraId="5F30EFAB" w14:textId="77777777">
        <w:trPr>
          <w:cantSplit/>
        </w:trPr>
        <w:tc>
          <w:tcPr>
            <w:tcW w:w="1188" w:type="dxa"/>
          </w:tcPr>
          <w:p w14:paraId="2EAD1AA2" w14:textId="77777777" w:rsidR="00157AAA" w:rsidRDefault="00157AAA">
            <w:pPr>
              <w:spacing w:before="100" w:after="100"/>
              <w:jc w:val="center"/>
              <w:rPr>
                <w:sz w:val="22"/>
              </w:rPr>
            </w:pPr>
          </w:p>
        </w:tc>
        <w:tc>
          <w:tcPr>
            <w:tcW w:w="2880" w:type="dxa"/>
          </w:tcPr>
          <w:p w14:paraId="41E38A86" w14:textId="0EE81D62" w:rsidR="00157AAA" w:rsidRDefault="00157AAA">
            <w:pPr>
              <w:spacing w:before="100" w:after="100"/>
              <w:jc w:val="left"/>
              <w:rPr>
                <w:sz w:val="22"/>
              </w:rPr>
            </w:pPr>
          </w:p>
        </w:tc>
        <w:tc>
          <w:tcPr>
            <w:tcW w:w="1095" w:type="dxa"/>
          </w:tcPr>
          <w:p w14:paraId="51461012" w14:textId="77777777" w:rsidR="00157AAA" w:rsidRDefault="00157AAA">
            <w:pPr>
              <w:spacing w:before="100" w:after="100"/>
              <w:jc w:val="center"/>
              <w:rPr>
                <w:sz w:val="22"/>
              </w:rPr>
            </w:pPr>
          </w:p>
        </w:tc>
        <w:tc>
          <w:tcPr>
            <w:tcW w:w="1095" w:type="dxa"/>
          </w:tcPr>
          <w:p w14:paraId="07E350C5" w14:textId="77777777" w:rsidR="00157AAA" w:rsidRDefault="00157AAA">
            <w:pPr>
              <w:spacing w:before="100" w:after="100"/>
              <w:jc w:val="center"/>
              <w:rPr>
                <w:sz w:val="22"/>
              </w:rPr>
            </w:pPr>
          </w:p>
        </w:tc>
        <w:tc>
          <w:tcPr>
            <w:tcW w:w="1140" w:type="dxa"/>
          </w:tcPr>
          <w:p w14:paraId="369E3AF5" w14:textId="77777777" w:rsidR="00157AAA" w:rsidRDefault="00157AAA">
            <w:pPr>
              <w:spacing w:before="100" w:after="100"/>
              <w:jc w:val="center"/>
              <w:rPr>
                <w:sz w:val="22"/>
              </w:rPr>
            </w:pPr>
          </w:p>
        </w:tc>
        <w:tc>
          <w:tcPr>
            <w:tcW w:w="1050" w:type="dxa"/>
          </w:tcPr>
          <w:p w14:paraId="6F4894FB" w14:textId="77777777" w:rsidR="00157AAA" w:rsidRDefault="00157AAA">
            <w:pPr>
              <w:spacing w:before="100" w:after="100"/>
              <w:jc w:val="center"/>
              <w:rPr>
                <w:sz w:val="22"/>
              </w:rPr>
            </w:pPr>
          </w:p>
        </w:tc>
        <w:tc>
          <w:tcPr>
            <w:tcW w:w="1095" w:type="dxa"/>
          </w:tcPr>
          <w:p w14:paraId="4E884211" w14:textId="77777777" w:rsidR="00157AAA" w:rsidRDefault="00157AAA">
            <w:pPr>
              <w:spacing w:before="100" w:after="100"/>
              <w:jc w:val="center"/>
              <w:rPr>
                <w:sz w:val="22"/>
              </w:rPr>
            </w:pPr>
          </w:p>
        </w:tc>
        <w:tc>
          <w:tcPr>
            <w:tcW w:w="1095" w:type="dxa"/>
          </w:tcPr>
          <w:p w14:paraId="5C5B5AC5" w14:textId="77777777" w:rsidR="00157AAA" w:rsidRDefault="00157AAA">
            <w:pPr>
              <w:spacing w:before="100" w:after="100"/>
              <w:jc w:val="center"/>
              <w:rPr>
                <w:sz w:val="22"/>
              </w:rPr>
            </w:pPr>
          </w:p>
        </w:tc>
        <w:tc>
          <w:tcPr>
            <w:tcW w:w="2250" w:type="dxa"/>
          </w:tcPr>
          <w:p w14:paraId="37B6142E" w14:textId="77777777" w:rsidR="00157AAA" w:rsidRDefault="006C1BE5">
            <w:pPr>
              <w:spacing w:before="100" w:after="100"/>
              <w:jc w:val="center"/>
              <w:rPr>
                <w:sz w:val="22"/>
              </w:rPr>
            </w:pPr>
            <w:r>
              <w:rPr>
                <w:sz w:val="22"/>
              </w:rPr>
              <w:t>- -</w:t>
            </w:r>
          </w:p>
        </w:tc>
      </w:tr>
      <w:tr w:rsidR="00157AAA" w14:paraId="73387D54" w14:textId="77777777">
        <w:trPr>
          <w:cantSplit/>
        </w:trPr>
        <w:tc>
          <w:tcPr>
            <w:tcW w:w="10638" w:type="dxa"/>
            <w:gridSpan w:val="8"/>
          </w:tcPr>
          <w:p w14:paraId="73674D7B" w14:textId="77777777" w:rsidR="00157AAA" w:rsidRDefault="006C1BE5">
            <w:pPr>
              <w:spacing w:before="100" w:after="100"/>
              <w:jc w:val="right"/>
              <w:rPr>
                <w:sz w:val="22"/>
              </w:rPr>
            </w:pPr>
            <w:r>
              <w:rPr>
                <w:sz w:val="22"/>
              </w:rPr>
              <w:t xml:space="preserve">Cumulative Subtotal (to </w:t>
            </w:r>
            <w:r>
              <w:rPr>
                <w:i/>
                <w:sz w:val="22"/>
              </w:rPr>
              <w:t xml:space="preserve">[ insert: </w:t>
            </w:r>
            <w:proofErr w:type="gramStart"/>
            <w:r>
              <w:rPr>
                <w:b/>
                <w:i/>
                <w:sz w:val="22"/>
              </w:rPr>
              <w:t>currency </w:t>
            </w:r>
            <w:r>
              <w:rPr>
                <w:sz w:val="22"/>
              </w:rPr>
              <w:t>]</w:t>
            </w:r>
            <w:proofErr w:type="gramEnd"/>
            <w:r>
              <w:rPr>
                <w:sz w:val="22"/>
              </w:rPr>
              <w:t xml:space="preserve"> entry for </w:t>
            </w:r>
            <w:r>
              <w:rPr>
                <w:i/>
                <w:sz w:val="22"/>
              </w:rPr>
              <w:t xml:space="preserve">[ insert:  </w:t>
            </w:r>
            <w:r>
              <w:rPr>
                <w:b/>
                <w:i/>
                <w:sz w:val="22"/>
              </w:rPr>
              <w:t>line item</w:t>
            </w:r>
            <w:r>
              <w:rPr>
                <w:sz w:val="22"/>
              </w:rPr>
              <w:t> </w:t>
            </w:r>
            <w:r>
              <w:rPr>
                <w:i/>
                <w:sz w:val="22"/>
              </w:rPr>
              <w:t>]</w:t>
            </w:r>
            <w:r>
              <w:rPr>
                <w:sz w:val="22"/>
              </w:rPr>
              <w:t xml:space="preserve"> in the Recurrent Cost Summary Table)</w:t>
            </w:r>
          </w:p>
        </w:tc>
        <w:tc>
          <w:tcPr>
            <w:tcW w:w="2250" w:type="dxa"/>
          </w:tcPr>
          <w:p w14:paraId="5D146A22" w14:textId="77777777" w:rsidR="00157AAA" w:rsidRDefault="00157AAA">
            <w:pPr>
              <w:spacing w:before="100" w:after="100"/>
              <w:jc w:val="center"/>
              <w:rPr>
                <w:sz w:val="22"/>
              </w:rPr>
            </w:pPr>
          </w:p>
        </w:tc>
      </w:tr>
    </w:tbl>
    <w:p w14:paraId="2E0D6B02" w14:textId="77777777" w:rsidR="00157AAA" w:rsidRDefault="00157AAA">
      <w:pPr>
        <w:spacing w:before="80" w:after="80"/>
        <w:ind w:left="1267" w:right="1440" w:hanging="1267"/>
        <w:rPr>
          <w:sz w:val="22"/>
        </w:rPr>
      </w:pPr>
    </w:p>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4320"/>
        <w:gridCol w:w="360"/>
        <w:gridCol w:w="4248"/>
      </w:tblGrid>
      <w:tr w:rsidR="00157AAA" w14:paraId="5C16C3E0" w14:textId="77777777">
        <w:trPr>
          <w:cantSplit/>
          <w:jc w:val="center"/>
        </w:trPr>
        <w:tc>
          <w:tcPr>
            <w:tcW w:w="4320" w:type="dxa"/>
          </w:tcPr>
          <w:p w14:paraId="53CF014B" w14:textId="77777777" w:rsidR="00157AAA" w:rsidRDefault="006C1BE5">
            <w:pPr>
              <w:spacing w:before="100" w:after="100"/>
              <w:jc w:val="right"/>
              <w:rPr>
                <w:sz w:val="22"/>
              </w:rPr>
            </w:pPr>
            <w:r>
              <w:rPr>
                <w:sz w:val="22"/>
              </w:rPr>
              <w:t>Name of Bidder:</w:t>
            </w:r>
          </w:p>
        </w:tc>
        <w:tc>
          <w:tcPr>
            <w:tcW w:w="360" w:type="dxa"/>
          </w:tcPr>
          <w:p w14:paraId="477184B8" w14:textId="77777777" w:rsidR="00157AAA" w:rsidRDefault="00157AAA">
            <w:pPr>
              <w:spacing w:before="100" w:after="100"/>
              <w:jc w:val="center"/>
              <w:rPr>
                <w:sz w:val="22"/>
              </w:rPr>
            </w:pPr>
          </w:p>
        </w:tc>
        <w:tc>
          <w:tcPr>
            <w:tcW w:w="4248" w:type="dxa"/>
          </w:tcPr>
          <w:p w14:paraId="68FD64F4" w14:textId="77777777" w:rsidR="00157AAA" w:rsidRDefault="00157AAA">
            <w:pPr>
              <w:spacing w:before="100" w:after="100"/>
              <w:jc w:val="center"/>
              <w:rPr>
                <w:sz w:val="22"/>
              </w:rPr>
            </w:pPr>
          </w:p>
        </w:tc>
      </w:tr>
      <w:tr w:rsidR="00157AAA" w14:paraId="67A8C0A1" w14:textId="77777777">
        <w:trPr>
          <w:cantSplit/>
          <w:trHeight w:hRule="exact" w:val="240"/>
          <w:jc w:val="center"/>
        </w:trPr>
        <w:tc>
          <w:tcPr>
            <w:tcW w:w="4320" w:type="dxa"/>
          </w:tcPr>
          <w:p w14:paraId="70653D0B" w14:textId="77777777" w:rsidR="00157AAA" w:rsidRDefault="00157AAA">
            <w:pPr>
              <w:spacing w:before="100" w:after="100"/>
              <w:jc w:val="right"/>
              <w:rPr>
                <w:sz w:val="22"/>
              </w:rPr>
            </w:pPr>
          </w:p>
        </w:tc>
        <w:tc>
          <w:tcPr>
            <w:tcW w:w="360" w:type="dxa"/>
          </w:tcPr>
          <w:p w14:paraId="76E3B293" w14:textId="77777777" w:rsidR="00157AAA" w:rsidRDefault="00157AAA">
            <w:pPr>
              <w:spacing w:before="100" w:after="100"/>
              <w:jc w:val="center"/>
              <w:rPr>
                <w:sz w:val="22"/>
              </w:rPr>
            </w:pPr>
          </w:p>
        </w:tc>
        <w:tc>
          <w:tcPr>
            <w:tcW w:w="4248" w:type="dxa"/>
          </w:tcPr>
          <w:p w14:paraId="18469AAE" w14:textId="77777777" w:rsidR="00157AAA" w:rsidRDefault="00157AAA">
            <w:pPr>
              <w:spacing w:before="100" w:after="100"/>
              <w:jc w:val="center"/>
              <w:rPr>
                <w:sz w:val="22"/>
              </w:rPr>
            </w:pPr>
          </w:p>
        </w:tc>
      </w:tr>
      <w:tr w:rsidR="00157AAA" w14:paraId="4FFB1380" w14:textId="77777777">
        <w:trPr>
          <w:cantSplit/>
          <w:jc w:val="center"/>
        </w:trPr>
        <w:tc>
          <w:tcPr>
            <w:tcW w:w="4320" w:type="dxa"/>
          </w:tcPr>
          <w:p w14:paraId="4FF2BBE6" w14:textId="77777777" w:rsidR="00157AAA" w:rsidRDefault="006C1BE5">
            <w:pPr>
              <w:spacing w:before="100" w:after="100"/>
              <w:jc w:val="right"/>
              <w:rPr>
                <w:sz w:val="22"/>
              </w:rPr>
            </w:pPr>
            <w:r>
              <w:rPr>
                <w:sz w:val="22"/>
              </w:rPr>
              <w:t>Authorized Signature of Bidder:</w:t>
            </w:r>
          </w:p>
        </w:tc>
        <w:tc>
          <w:tcPr>
            <w:tcW w:w="360" w:type="dxa"/>
          </w:tcPr>
          <w:p w14:paraId="2E1F5779" w14:textId="77777777" w:rsidR="00157AAA" w:rsidRDefault="00157AAA">
            <w:pPr>
              <w:spacing w:before="100" w:after="100"/>
              <w:jc w:val="center"/>
              <w:rPr>
                <w:sz w:val="22"/>
              </w:rPr>
            </w:pPr>
          </w:p>
        </w:tc>
        <w:tc>
          <w:tcPr>
            <w:tcW w:w="4248" w:type="dxa"/>
          </w:tcPr>
          <w:p w14:paraId="036B8C89" w14:textId="77777777" w:rsidR="00157AAA" w:rsidRDefault="00157AAA">
            <w:pPr>
              <w:spacing w:before="100" w:after="100"/>
              <w:jc w:val="center"/>
              <w:rPr>
                <w:sz w:val="22"/>
              </w:rPr>
            </w:pPr>
          </w:p>
        </w:tc>
      </w:tr>
      <w:tr w:rsidR="00157AAA" w14:paraId="16A5718E" w14:textId="77777777">
        <w:trPr>
          <w:cantSplit/>
          <w:trHeight w:hRule="exact" w:val="240"/>
          <w:jc w:val="center"/>
        </w:trPr>
        <w:tc>
          <w:tcPr>
            <w:tcW w:w="4320" w:type="dxa"/>
          </w:tcPr>
          <w:p w14:paraId="6E27E406" w14:textId="77777777" w:rsidR="00157AAA" w:rsidRDefault="00157AAA">
            <w:pPr>
              <w:spacing w:before="100" w:after="100"/>
              <w:rPr>
                <w:sz w:val="22"/>
              </w:rPr>
            </w:pPr>
          </w:p>
        </w:tc>
        <w:tc>
          <w:tcPr>
            <w:tcW w:w="360" w:type="dxa"/>
          </w:tcPr>
          <w:p w14:paraId="0B63A1CF" w14:textId="77777777" w:rsidR="00157AAA" w:rsidRDefault="00157AAA">
            <w:pPr>
              <w:spacing w:before="100" w:after="100"/>
              <w:jc w:val="center"/>
              <w:rPr>
                <w:sz w:val="22"/>
              </w:rPr>
            </w:pPr>
          </w:p>
        </w:tc>
        <w:tc>
          <w:tcPr>
            <w:tcW w:w="4248" w:type="dxa"/>
          </w:tcPr>
          <w:p w14:paraId="08433DC5" w14:textId="77777777" w:rsidR="00157AAA" w:rsidRDefault="00157AAA">
            <w:pPr>
              <w:spacing w:before="100" w:after="100"/>
              <w:jc w:val="center"/>
              <w:rPr>
                <w:sz w:val="22"/>
              </w:rPr>
            </w:pPr>
          </w:p>
        </w:tc>
      </w:tr>
    </w:tbl>
    <w:p w14:paraId="640216E5" w14:textId="77777777" w:rsidR="00157AAA" w:rsidRDefault="006C1BE5">
      <w:pPr>
        <w:pStyle w:val="Head32"/>
        <w:ind w:right="1440"/>
      </w:pPr>
      <w:bookmarkStart w:id="588" w:name="_Toc521497245"/>
      <w:bookmarkStart w:id="589" w:name="_Toc218673962"/>
      <w:r>
        <w:rPr>
          <w:sz w:val="22"/>
        </w:rPr>
        <w:br w:type="page" w:clear="all"/>
      </w:r>
      <w:bookmarkStart w:id="590" w:name="_Toc277345597"/>
      <w:r>
        <w:lastRenderedPageBreak/>
        <w:t>3.6</w:t>
      </w:r>
      <w:r>
        <w:tab/>
      </w:r>
      <w:r>
        <w:tab/>
        <w:t>Country of Origin Code Table</w:t>
      </w:r>
      <w:bookmarkEnd w:id="588"/>
      <w:bookmarkEnd w:id="589"/>
      <w:bookmarkEnd w:id="590"/>
    </w:p>
    <w:p w14:paraId="3F3545E1" w14:textId="77777777" w:rsidR="00157AAA" w:rsidRDefault="00157AAA">
      <w:pPr>
        <w:ind w:right="1440"/>
      </w:pP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2880"/>
        <w:gridCol w:w="1440"/>
        <w:gridCol w:w="360"/>
        <w:gridCol w:w="2628"/>
        <w:gridCol w:w="1530"/>
        <w:gridCol w:w="360"/>
        <w:gridCol w:w="2250"/>
        <w:gridCol w:w="1440"/>
      </w:tblGrid>
      <w:tr w:rsidR="00157AAA" w14:paraId="53CC7120" w14:textId="77777777">
        <w:trPr>
          <w:cantSplit/>
          <w:tblHeader/>
        </w:trPr>
        <w:tc>
          <w:tcPr>
            <w:tcW w:w="2880" w:type="dxa"/>
          </w:tcPr>
          <w:p w14:paraId="79C697C9" w14:textId="77777777" w:rsidR="00157AAA" w:rsidRDefault="006C1BE5">
            <w:pPr>
              <w:spacing w:before="100" w:after="100"/>
              <w:jc w:val="center"/>
              <w:rPr>
                <w:sz w:val="22"/>
              </w:rPr>
            </w:pPr>
            <w:r>
              <w:rPr>
                <w:sz w:val="22"/>
              </w:rPr>
              <w:t>Country of Origin</w:t>
            </w:r>
          </w:p>
        </w:tc>
        <w:tc>
          <w:tcPr>
            <w:tcW w:w="1440" w:type="dxa"/>
          </w:tcPr>
          <w:p w14:paraId="52B9EC0F" w14:textId="77777777" w:rsidR="00157AAA" w:rsidRDefault="006C1BE5">
            <w:pPr>
              <w:spacing w:before="100" w:after="100"/>
              <w:jc w:val="center"/>
              <w:rPr>
                <w:sz w:val="22"/>
              </w:rPr>
            </w:pPr>
            <w:r>
              <w:rPr>
                <w:sz w:val="22"/>
              </w:rPr>
              <w:t>Country Code</w:t>
            </w:r>
          </w:p>
        </w:tc>
        <w:tc>
          <w:tcPr>
            <w:tcW w:w="360" w:type="dxa"/>
          </w:tcPr>
          <w:p w14:paraId="41A1E6F9" w14:textId="77777777" w:rsidR="00157AAA" w:rsidRDefault="00157AAA">
            <w:pPr>
              <w:spacing w:before="100" w:after="100"/>
              <w:jc w:val="center"/>
              <w:rPr>
                <w:sz w:val="22"/>
              </w:rPr>
            </w:pPr>
          </w:p>
        </w:tc>
        <w:tc>
          <w:tcPr>
            <w:tcW w:w="2628" w:type="dxa"/>
          </w:tcPr>
          <w:p w14:paraId="7B26AB08" w14:textId="77777777" w:rsidR="00157AAA" w:rsidRDefault="006C1BE5">
            <w:pPr>
              <w:spacing w:before="100" w:after="100"/>
              <w:jc w:val="center"/>
              <w:rPr>
                <w:sz w:val="22"/>
              </w:rPr>
            </w:pPr>
            <w:r>
              <w:rPr>
                <w:sz w:val="22"/>
              </w:rPr>
              <w:t>Country of Origin</w:t>
            </w:r>
          </w:p>
        </w:tc>
        <w:tc>
          <w:tcPr>
            <w:tcW w:w="1530" w:type="dxa"/>
          </w:tcPr>
          <w:p w14:paraId="157C442D" w14:textId="77777777" w:rsidR="00157AAA" w:rsidRDefault="006C1BE5">
            <w:pPr>
              <w:spacing w:before="100" w:after="100"/>
              <w:jc w:val="center"/>
              <w:rPr>
                <w:sz w:val="22"/>
              </w:rPr>
            </w:pPr>
            <w:r>
              <w:rPr>
                <w:sz w:val="22"/>
              </w:rPr>
              <w:t>Country Code</w:t>
            </w:r>
          </w:p>
        </w:tc>
        <w:tc>
          <w:tcPr>
            <w:tcW w:w="360" w:type="dxa"/>
          </w:tcPr>
          <w:p w14:paraId="5B5025F9" w14:textId="77777777" w:rsidR="00157AAA" w:rsidRDefault="00157AAA">
            <w:pPr>
              <w:spacing w:before="100" w:after="100"/>
              <w:jc w:val="center"/>
              <w:rPr>
                <w:sz w:val="22"/>
              </w:rPr>
            </w:pPr>
          </w:p>
        </w:tc>
        <w:tc>
          <w:tcPr>
            <w:tcW w:w="2250" w:type="dxa"/>
          </w:tcPr>
          <w:p w14:paraId="2CCDA111" w14:textId="77777777" w:rsidR="00157AAA" w:rsidRDefault="006C1BE5">
            <w:pPr>
              <w:spacing w:before="100" w:after="100"/>
              <w:jc w:val="center"/>
              <w:rPr>
                <w:sz w:val="22"/>
              </w:rPr>
            </w:pPr>
            <w:r>
              <w:rPr>
                <w:sz w:val="22"/>
              </w:rPr>
              <w:t>Country of Origin</w:t>
            </w:r>
          </w:p>
        </w:tc>
        <w:tc>
          <w:tcPr>
            <w:tcW w:w="1440" w:type="dxa"/>
          </w:tcPr>
          <w:p w14:paraId="67A8DA52" w14:textId="77777777" w:rsidR="00157AAA" w:rsidRDefault="006C1BE5">
            <w:pPr>
              <w:spacing w:before="100" w:after="100"/>
              <w:jc w:val="center"/>
              <w:rPr>
                <w:sz w:val="22"/>
              </w:rPr>
            </w:pPr>
            <w:r>
              <w:rPr>
                <w:sz w:val="22"/>
              </w:rPr>
              <w:t>Country Code</w:t>
            </w:r>
          </w:p>
        </w:tc>
      </w:tr>
      <w:tr w:rsidR="00157AAA" w14:paraId="20C28D81" w14:textId="77777777">
        <w:trPr>
          <w:cantSplit/>
          <w:trHeight w:hRule="exact" w:val="240"/>
          <w:tblHeader/>
        </w:trPr>
        <w:tc>
          <w:tcPr>
            <w:tcW w:w="2880" w:type="dxa"/>
          </w:tcPr>
          <w:p w14:paraId="651CC3B2" w14:textId="77777777" w:rsidR="00157AAA" w:rsidRDefault="00157AAA">
            <w:pPr>
              <w:spacing w:before="100" w:after="100"/>
              <w:jc w:val="center"/>
              <w:rPr>
                <w:sz w:val="22"/>
              </w:rPr>
            </w:pPr>
          </w:p>
        </w:tc>
        <w:tc>
          <w:tcPr>
            <w:tcW w:w="1440" w:type="dxa"/>
          </w:tcPr>
          <w:p w14:paraId="1B8C7329" w14:textId="77777777" w:rsidR="00157AAA" w:rsidRDefault="00157AAA">
            <w:pPr>
              <w:spacing w:before="100" w:after="100"/>
              <w:jc w:val="center"/>
              <w:rPr>
                <w:sz w:val="22"/>
              </w:rPr>
            </w:pPr>
          </w:p>
        </w:tc>
        <w:tc>
          <w:tcPr>
            <w:tcW w:w="360" w:type="dxa"/>
          </w:tcPr>
          <w:p w14:paraId="762AAA28" w14:textId="77777777" w:rsidR="00157AAA" w:rsidRDefault="00157AAA">
            <w:pPr>
              <w:spacing w:before="100" w:after="100"/>
              <w:jc w:val="center"/>
              <w:rPr>
                <w:sz w:val="22"/>
              </w:rPr>
            </w:pPr>
          </w:p>
        </w:tc>
        <w:tc>
          <w:tcPr>
            <w:tcW w:w="2628" w:type="dxa"/>
          </w:tcPr>
          <w:p w14:paraId="5DCEBE8F" w14:textId="77777777" w:rsidR="00157AAA" w:rsidRDefault="00157AAA">
            <w:pPr>
              <w:spacing w:before="100" w:after="100"/>
              <w:jc w:val="center"/>
              <w:rPr>
                <w:sz w:val="22"/>
              </w:rPr>
            </w:pPr>
          </w:p>
        </w:tc>
        <w:tc>
          <w:tcPr>
            <w:tcW w:w="1530" w:type="dxa"/>
          </w:tcPr>
          <w:p w14:paraId="5F7161DE" w14:textId="77777777" w:rsidR="00157AAA" w:rsidRDefault="00157AAA">
            <w:pPr>
              <w:spacing w:before="100" w:after="100"/>
              <w:jc w:val="center"/>
              <w:rPr>
                <w:sz w:val="22"/>
              </w:rPr>
            </w:pPr>
          </w:p>
        </w:tc>
        <w:tc>
          <w:tcPr>
            <w:tcW w:w="360" w:type="dxa"/>
          </w:tcPr>
          <w:p w14:paraId="1BC46D66" w14:textId="77777777" w:rsidR="00157AAA" w:rsidRDefault="00157AAA">
            <w:pPr>
              <w:spacing w:before="100" w:after="100"/>
              <w:jc w:val="center"/>
              <w:rPr>
                <w:sz w:val="22"/>
              </w:rPr>
            </w:pPr>
          </w:p>
        </w:tc>
        <w:tc>
          <w:tcPr>
            <w:tcW w:w="2250" w:type="dxa"/>
          </w:tcPr>
          <w:p w14:paraId="59A59D2C" w14:textId="77777777" w:rsidR="00157AAA" w:rsidRDefault="00157AAA">
            <w:pPr>
              <w:spacing w:before="100" w:after="100"/>
              <w:jc w:val="center"/>
              <w:rPr>
                <w:sz w:val="22"/>
              </w:rPr>
            </w:pPr>
          </w:p>
        </w:tc>
        <w:tc>
          <w:tcPr>
            <w:tcW w:w="1440" w:type="dxa"/>
          </w:tcPr>
          <w:p w14:paraId="418B86E3" w14:textId="77777777" w:rsidR="00157AAA" w:rsidRDefault="00157AAA">
            <w:pPr>
              <w:spacing w:before="100" w:after="100"/>
              <w:jc w:val="center"/>
              <w:rPr>
                <w:sz w:val="22"/>
              </w:rPr>
            </w:pPr>
          </w:p>
        </w:tc>
      </w:tr>
      <w:tr w:rsidR="00157AAA" w14:paraId="14A2C5BE" w14:textId="77777777">
        <w:trPr>
          <w:cantSplit/>
        </w:trPr>
        <w:tc>
          <w:tcPr>
            <w:tcW w:w="2880" w:type="dxa"/>
          </w:tcPr>
          <w:p w14:paraId="62BB5BF0" w14:textId="77777777" w:rsidR="00157AAA" w:rsidRDefault="00157AAA">
            <w:pPr>
              <w:spacing w:before="100" w:after="100"/>
              <w:jc w:val="center"/>
              <w:rPr>
                <w:sz w:val="22"/>
              </w:rPr>
            </w:pPr>
          </w:p>
        </w:tc>
        <w:tc>
          <w:tcPr>
            <w:tcW w:w="1440" w:type="dxa"/>
          </w:tcPr>
          <w:p w14:paraId="48C2EA5E" w14:textId="77777777" w:rsidR="00157AAA" w:rsidRDefault="00157AAA">
            <w:pPr>
              <w:spacing w:before="100" w:after="100"/>
              <w:jc w:val="center"/>
              <w:rPr>
                <w:sz w:val="22"/>
              </w:rPr>
            </w:pPr>
          </w:p>
        </w:tc>
        <w:tc>
          <w:tcPr>
            <w:tcW w:w="360" w:type="dxa"/>
          </w:tcPr>
          <w:p w14:paraId="78A5EC5D" w14:textId="77777777" w:rsidR="00157AAA" w:rsidRDefault="00157AAA">
            <w:pPr>
              <w:spacing w:before="100" w:after="100"/>
              <w:jc w:val="center"/>
              <w:rPr>
                <w:sz w:val="22"/>
              </w:rPr>
            </w:pPr>
          </w:p>
        </w:tc>
        <w:tc>
          <w:tcPr>
            <w:tcW w:w="2628" w:type="dxa"/>
          </w:tcPr>
          <w:p w14:paraId="1069B249" w14:textId="77777777" w:rsidR="00157AAA" w:rsidRDefault="00157AAA">
            <w:pPr>
              <w:spacing w:before="100" w:after="100"/>
              <w:jc w:val="center"/>
              <w:rPr>
                <w:sz w:val="22"/>
              </w:rPr>
            </w:pPr>
          </w:p>
        </w:tc>
        <w:tc>
          <w:tcPr>
            <w:tcW w:w="1530" w:type="dxa"/>
          </w:tcPr>
          <w:p w14:paraId="41E94FCB" w14:textId="77777777" w:rsidR="00157AAA" w:rsidRDefault="00157AAA">
            <w:pPr>
              <w:spacing w:before="100" w:after="100"/>
              <w:jc w:val="center"/>
              <w:rPr>
                <w:sz w:val="22"/>
              </w:rPr>
            </w:pPr>
          </w:p>
        </w:tc>
        <w:tc>
          <w:tcPr>
            <w:tcW w:w="360" w:type="dxa"/>
          </w:tcPr>
          <w:p w14:paraId="2EA6FE35" w14:textId="77777777" w:rsidR="00157AAA" w:rsidRDefault="00157AAA">
            <w:pPr>
              <w:spacing w:before="100" w:after="100"/>
              <w:jc w:val="center"/>
              <w:rPr>
                <w:sz w:val="22"/>
              </w:rPr>
            </w:pPr>
          </w:p>
        </w:tc>
        <w:tc>
          <w:tcPr>
            <w:tcW w:w="2250" w:type="dxa"/>
          </w:tcPr>
          <w:p w14:paraId="5772FA77" w14:textId="77777777" w:rsidR="00157AAA" w:rsidRDefault="00157AAA">
            <w:pPr>
              <w:spacing w:before="100" w:after="100"/>
              <w:jc w:val="center"/>
              <w:rPr>
                <w:sz w:val="22"/>
              </w:rPr>
            </w:pPr>
          </w:p>
        </w:tc>
        <w:tc>
          <w:tcPr>
            <w:tcW w:w="1440" w:type="dxa"/>
          </w:tcPr>
          <w:p w14:paraId="70FF7E72" w14:textId="77777777" w:rsidR="00157AAA" w:rsidRDefault="00157AAA">
            <w:pPr>
              <w:spacing w:before="100" w:after="100"/>
              <w:jc w:val="center"/>
              <w:rPr>
                <w:sz w:val="22"/>
              </w:rPr>
            </w:pPr>
          </w:p>
        </w:tc>
      </w:tr>
      <w:tr w:rsidR="00157AAA" w14:paraId="42614EB5" w14:textId="77777777">
        <w:trPr>
          <w:cantSplit/>
        </w:trPr>
        <w:tc>
          <w:tcPr>
            <w:tcW w:w="2880" w:type="dxa"/>
          </w:tcPr>
          <w:p w14:paraId="4388B3E9" w14:textId="77777777" w:rsidR="00157AAA" w:rsidRDefault="00157AAA">
            <w:pPr>
              <w:spacing w:before="100" w:after="100"/>
              <w:jc w:val="center"/>
              <w:rPr>
                <w:sz w:val="22"/>
              </w:rPr>
            </w:pPr>
          </w:p>
        </w:tc>
        <w:tc>
          <w:tcPr>
            <w:tcW w:w="1440" w:type="dxa"/>
          </w:tcPr>
          <w:p w14:paraId="6E6AB9B9" w14:textId="77777777" w:rsidR="00157AAA" w:rsidRDefault="00157AAA">
            <w:pPr>
              <w:spacing w:before="100" w:after="100"/>
              <w:jc w:val="center"/>
              <w:rPr>
                <w:sz w:val="22"/>
              </w:rPr>
            </w:pPr>
          </w:p>
        </w:tc>
        <w:tc>
          <w:tcPr>
            <w:tcW w:w="360" w:type="dxa"/>
          </w:tcPr>
          <w:p w14:paraId="0F63E45F" w14:textId="77777777" w:rsidR="00157AAA" w:rsidRDefault="00157AAA">
            <w:pPr>
              <w:spacing w:before="100" w:after="100"/>
              <w:jc w:val="center"/>
              <w:rPr>
                <w:sz w:val="22"/>
              </w:rPr>
            </w:pPr>
          </w:p>
        </w:tc>
        <w:tc>
          <w:tcPr>
            <w:tcW w:w="2628" w:type="dxa"/>
          </w:tcPr>
          <w:p w14:paraId="063CD53A" w14:textId="77777777" w:rsidR="00157AAA" w:rsidRDefault="00157AAA">
            <w:pPr>
              <w:spacing w:before="100" w:after="100"/>
              <w:jc w:val="center"/>
              <w:rPr>
                <w:sz w:val="22"/>
              </w:rPr>
            </w:pPr>
          </w:p>
        </w:tc>
        <w:tc>
          <w:tcPr>
            <w:tcW w:w="1530" w:type="dxa"/>
          </w:tcPr>
          <w:p w14:paraId="66CCB4D6" w14:textId="77777777" w:rsidR="00157AAA" w:rsidRDefault="00157AAA">
            <w:pPr>
              <w:spacing w:before="100" w:after="100"/>
              <w:jc w:val="center"/>
              <w:rPr>
                <w:sz w:val="22"/>
              </w:rPr>
            </w:pPr>
          </w:p>
        </w:tc>
        <w:tc>
          <w:tcPr>
            <w:tcW w:w="360" w:type="dxa"/>
          </w:tcPr>
          <w:p w14:paraId="56425A5F" w14:textId="77777777" w:rsidR="00157AAA" w:rsidRDefault="00157AAA">
            <w:pPr>
              <w:spacing w:before="100" w:after="100"/>
              <w:jc w:val="center"/>
              <w:rPr>
                <w:sz w:val="22"/>
              </w:rPr>
            </w:pPr>
          </w:p>
        </w:tc>
        <w:tc>
          <w:tcPr>
            <w:tcW w:w="2250" w:type="dxa"/>
          </w:tcPr>
          <w:p w14:paraId="4A91C62D" w14:textId="77777777" w:rsidR="00157AAA" w:rsidRDefault="00157AAA">
            <w:pPr>
              <w:spacing w:before="100" w:after="100"/>
              <w:jc w:val="center"/>
              <w:rPr>
                <w:sz w:val="22"/>
              </w:rPr>
            </w:pPr>
          </w:p>
        </w:tc>
        <w:tc>
          <w:tcPr>
            <w:tcW w:w="1440" w:type="dxa"/>
          </w:tcPr>
          <w:p w14:paraId="556C9A1E" w14:textId="77777777" w:rsidR="00157AAA" w:rsidRDefault="00157AAA">
            <w:pPr>
              <w:spacing w:before="100" w:after="100"/>
              <w:jc w:val="center"/>
              <w:rPr>
                <w:sz w:val="22"/>
              </w:rPr>
            </w:pPr>
          </w:p>
        </w:tc>
      </w:tr>
      <w:tr w:rsidR="00157AAA" w14:paraId="21606029" w14:textId="77777777">
        <w:trPr>
          <w:cantSplit/>
        </w:trPr>
        <w:tc>
          <w:tcPr>
            <w:tcW w:w="2880" w:type="dxa"/>
          </w:tcPr>
          <w:p w14:paraId="2A155F7B" w14:textId="77777777" w:rsidR="00157AAA" w:rsidRDefault="00157AAA">
            <w:pPr>
              <w:spacing w:before="100" w:after="100"/>
              <w:jc w:val="center"/>
              <w:rPr>
                <w:sz w:val="22"/>
              </w:rPr>
            </w:pPr>
          </w:p>
        </w:tc>
        <w:tc>
          <w:tcPr>
            <w:tcW w:w="1440" w:type="dxa"/>
          </w:tcPr>
          <w:p w14:paraId="10FCB07A" w14:textId="77777777" w:rsidR="00157AAA" w:rsidRDefault="00157AAA">
            <w:pPr>
              <w:spacing w:before="100" w:after="100"/>
              <w:jc w:val="center"/>
              <w:rPr>
                <w:sz w:val="22"/>
              </w:rPr>
            </w:pPr>
          </w:p>
        </w:tc>
        <w:tc>
          <w:tcPr>
            <w:tcW w:w="360" w:type="dxa"/>
          </w:tcPr>
          <w:p w14:paraId="490AF40A" w14:textId="77777777" w:rsidR="00157AAA" w:rsidRDefault="00157AAA">
            <w:pPr>
              <w:spacing w:before="100" w:after="100"/>
              <w:jc w:val="center"/>
              <w:rPr>
                <w:sz w:val="22"/>
              </w:rPr>
            </w:pPr>
          </w:p>
        </w:tc>
        <w:tc>
          <w:tcPr>
            <w:tcW w:w="2628" w:type="dxa"/>
          </w:tcPr>
          <w:p w14:paraId="4440F48E" w14:textId="77777777" w:rsidR="00157AAA" w:rsidRDefault="00157AAA">
            <w:pPr>
              <w:spacing w:before="100" w:after="100"/>
              <w:jc w:val="center"/>
              <w:rPr>
                <w:sz w:val="22"/>
              </w:rPr>
            </w:pPr>
          </w:p>
        </w:tc>
        <w:tc>
          <w:tcPr>
            <w:tcW w:w="1530" w:type="dxa"/>
          </w:tcPr>
          <w:p w14:paraId="0AF2CC06" w14:textId="77777777" w:rsidR="00157AAA" w:rsidRDefault="00157AAA">
            <w:pPr>
              <w:spacing w:before="100" w:after="100"/>
              <w:jc w:val="center"/>
              <w:rPr>
                <w:sz w:val="22"/>
              </w:rPr>
            </w:pPr>
          </w:p>
        </w:tc>
        <w:tc>
          <w:tcPr>
            <w:tcW w:w="360" w:type="dxa"/>
          </w:tcPr>
          <w:p w14:paraId="1F89ACE4" w14:textId="77777777" w:rsidR="00157AAA" w:rsidRDefault="00157AAA">
            <w:pPr>
              <w:spacing w:before="100" w:after="100"/>
              <w:jc w:val="center"/>
              <w:rPr>
                <w:sz w:val="22"/>
              </w:rPr>
            </w:pPr>
          </w:p>
        </w:tc>
        <w:tc>
          <w:tcPr>
            <w:tcW w:w="2250" w:type="dxa"/>
          </w:tcPr>
          <w:p w14:paraId="7FBA6ED5" w14:textId="77777777" w:rsidR="00157AAA" w:rsidRDefault="00157AAA">
            <w:pPr>
              <w:spacing w:before="100" w:after="100"/>
              <w:jc w:val="center"/>
              <w:rPr>
                <w:sz w:val="22"/>
              </w:rPr>
            </w:pPr>
          </w:p>
        </w:tc>
        <w:tc>
          <w:tcPr>
            <w:tcW w:w="1440" w:type="dxa"/>
          </w:tcPr>
          <w:p w14:paraId="2E3AD093" w14:textId="77777777" w:rsidR="00157AAA" w:rsidRDefault="00157AAA">
            <w:pPr>
              <w:spacing w:before="100" w:after="100"/>
              <w:jc w:val="center"/>
              <w:rPr>
                <w:sz w:val="22"/>
              </w:rPr>
            </w:pPr>
          </w:p>
        </w:tc>
      </w:tr>
      <w:tr w:rsidR="00157AAA" w14:paraId="67DA538E" w14:textId="77777777">
        <w:trPr>
          <w:cantSplit/>
        </w:trPr>
        <w:tc>
          <w:tcPr>
            <w:tcW w:w="2880" w:type="dxa"/>
          </w:tcPr>
          <w:p w14:paraId="0955C6AF" w14:textId="77777777" w:rsidR="00157AAA" w:rsidRDefault="00157AAA">
            <w:pPr>
              <w:spacing w:before="100" w:after="100"/>
              <w:jc w:val="center"/>
              <w:rPr>
                <w:sz w:val="22"/>
              </w:rPr>
            </w:pPr>
          </w:p>
        </w:tc>
        <w:tc>
          <w:tcPr>
            <w:tcW w:w="1440" w:type="dxa"/>
          </w:tcPr>
          <w:p w14:paraId="3AB3ED7C" w14:textId="77777777" w:rsidR="00157AAA" w:rsidRDefault="00157AAA">
            <w:pPr>
              <w:spacing w:before="100" w:after="100"/>
              <w:jc w:val="center"/>
              <w:rPr>
                <w:sz w:val="22"/>
              </w:rPr>
            </w:pPr>
          </w:p>
        </w:tc>
        <w:tc>
          <w:tcPr>
            <w:tcW w:w="360" w:type="dxa"/>
          </w:tcPr>
          <w:p w14:paraId="23AA7395" w14:textId="77777777" w:rsidR="00157AAA" w:rsidRDefault="00157AAA">
            <w:pPr>
              <w:spacing w:before="100" w:after="100"/>
              <w:jc w:val="center"/>
              <w:rPr>
                <w:sz w:val="22"/>
              </w:rPr>
            </w:pPr>
          </w:p>
        </w:tc>
        <w:tc>
          <w:tcPr>
            <w:tcW w:w="2628" w:type="dxa"/>
          </w:tcPr>
          <w:p w14:paraId="5D20E42F" w14:textId="77777777" w:rsidR="00157AAA" w:rsidRDefault="00157AAA">
            <w:pPr>
              <w:spacing w:before="100" w:after="100"/>
              <w:jc w:val="center"/>
              <w:rPr>
                <w:sz w:val="22"/>
              </w:rPr>
            </w:pPr>
          </w:p>
        </w:tc>
        <w:tc>
          <w:tcPr>
            <w:tcW w:w="1530" w:type="dxa"/>
          </w:tcPr>
          <w:p w14:paraId="51DEBCBC" w14:textId="77777777" w:rsidR="00157AAA" w:rsidRDefault="00157AAA">
            <w:pPr>
              <w:spacing w:before="100" w:after="100"/>
              <w:jc w:val="center"/>
              <w:rPr>
                <w:sz w:val="22"/>
              </w:rPr>
            </w:pPr>
          </w:p>
        </w:tc>
        <w:tc>
          <w:tcPr>
            <w:tcW w:w="360" w:type="dxa"/>
          </w:tcPr>
          <w:p w14:paraId="68FB5415" w14:textId="77777777" w:rsidR="00157AAA" w:rsidRDefault="00157AAA">
            <w:pPr>
              <w:spacing w:before="100" w:after="100"/>
              <w:jc w:val="center"/>
              <w:rPr>
                <w:sz w:val="22"/>
              </w:rPr>
            </w:pPr>
          </w:p>
        </w:tc>
        <w:tc>
          <w:tcPr>
            <w:tcW w:w="2250" w:type="dxa"/>
          </w:tcPr>
          <w:p w14:paraId="0CD59707" w14:textId="77777777" w:rsidR="00157AAA" w:rsidRDefault="00157AAA">
            <w:pPr>
              <w:spacing w:before="100" w:after="100"/>
              <w:jc w:val="center"/>
              <w:rPr>
                <w:sz w:val="22"/>
              </w:rPr>
            </w:pPr>
          </w:p>
        </w:tc>
        <w:tc>
          <w:tcPr>
            <w:tcW w:w="1440" w:type="dxa"/>
          </w:tcPr>
          <w:p w14:paraId="790FA282" w14:textId="77777777" w:rsidR="00157AAA" w:rsidRDefault="00157AAA">
            <w:pPr>
              <w:spacing w:before="100" w:after="100"/>
              <w:jc w:val="center"/>
              <w:rPr>
                <w:sz w:val="22"/>
              </w:rPr>
            </w:pPr>
          </w:p>
        </w:tc>
      </w:tr>
      <w:tr w:rsidR="00157AAA" w14:paraId="72F02F18" w14:textId="77777777">
        <w:trPr>
          <w:cantSplit/>
        </w:trPr>
        <w:tc>
          <w:tcPr>
            <w:tcW w:w="2880" w:type="dxa"/>
          </w:tcPr>
          <w:p w14:paraId="3DC45204" w14:textId="77777777" w:rsidR="00157AAA" w:rsidRDefault="00157AAA">
            <w:pPr>
              <w:spacing w:before="100" w:after="100"/>
              <w:jc w:val="center"/>
              <w:rPr>
                <w:sz w:val="22"/>
              </w:rPr>
            </w:pPr>
          </w:p>
        </w:tc>
        <w:tc>
          <w:tcPr>
            <w:tcW w:w="1440" w:type="dxa"/>
          </w:tcPr>
          <w:p w14:paraId="2F8B3EB8" w14:textId="77777777" w:rsidR="00157AAA" w:rsidRDefault="00157AAA">
            <w:pPr>
              <w:spacing w:before="100" w:after="100"/>
              <w:jc w:val="center"/>
              <w:rPr>
                <w:sz w:val="22"/>
              </w:rPr>
            </w:pPr>
          </w:p>
        </w:tc>
        <w:tc>
          <w:tcPr>
            <w:tcW w:w="360" w:type="dxa"/>
          </w:tcPr>
          <w:p w14:paraId="0BF1D577" w14:textId="77777777" w:rsidR="00157AAA" w:rsidRDefault="00157AAA">
            <w:pPr>
              <w:spacing w:before="100" w:after="100"/>
              <w:jc w:val="center"/>
              <w:rPr>
                <w:sz w:val="22"/>
              </w:rPr>
            </w:pPr>
          </w:p>
        </w:tc>
        <w:tc>
          <w:tcPr>
            <w:tcW w:w="2628" w:type="dxa"/>
          </w:tcPr>
          <w:p w14:paraId="5796E7AF" w14:textId="77777777" w:rsidR="00157AAA" w:rsidRDefault="00157AAA">
            <w:pPr>
              <w:spacing w:before="100" w:after="100"/>
              <w:jc w:val="center"/>
              <w:rPr>
                <w:sz w:val="22"/>
              </w:rPr>
            </w:pPr>
          </w:p>
        </w:tc>
        <w:tc>
          <w:tcPr>
            <w:tcW w:w="1530" w:type="dxa"/>
          </w:tcPr>
          <w:p w14:paraId="5342F9EB" w14:textId="77777777" w:rsidR="00157AAA" w:rsidRDefault="00157AAA">
            <w:pPr>
              <w:spacing w:before="100" w:after="100"/>
              <w:jc w:val="center"/>
              <w:rPr>
                <w:sz w:val="22"/>
              </w:rPr>
            </w:pPr>
          </w:p>
        </w:tc>
        <w:tc>
          <w:tcPr>
            <w:tcW w:w="360" w:type="dxa"/>
          </w:tcPr>
          <w:p w14:paraId="4B7A81F0" w14:textId="77777777" w:rsidR="00157AAA" w:rsidRDefault="00157AAA">
            <w:pPr>
              <w:spacing w:before="100" w:after="100"/>
              <w:jc w:val="center"/>
              <w:rPr>
                <w:sz w:val="22"/>
              </w:rPr>
            </w:pPr>
          </w:p>
        </w:tc>
        <w:tc>
          <w:tcPr>
            <w:tcW w:w="2250" w:type="dxa"/>
          </w:tcPr>
          <w:p w14:paraId="35D7BEA9" w14:textId="77777777" w:rsidR="00157AAA" w:rsidRDefault="00157AAA">
            <w:pPr>
              <w:spacing w:before="100" w:after="100"/>
              <w:jc w:val="center"/>
              <w:rPr>
                <w:sz w:val="22"/>
              </w:rPr>
            </w:pPr>
          </w:p>
        </w:tc>
        <w:tc>
          <w:tcPr>
            <w:tcW w:w="1440" w:type="dxa"/>
          </w:tcPr>
          <w:p w14:paraId="30BA3781" w14:textId="77777777" w:rsidR="00157AAA" w:rsidRDefault="00157AAA">
            <w:pPr>
              <w:spacing w:before="100" w:after="100"/>
              <w:jc w:val="center"/>
              <w:rPr>
                <w:sz w:val="22"/>
              </w:rPr>
            </w:pPr>
          </w:p>
        </w:tc>
      </w:tr>
      <w:tr w:rsidR="00157AAA" w14:paraId="4C301F67" w14:textId="77777777">
        <w:trPr>
          <w:cantSplit/>
        </w:trPr>
        <w:tc>
          <w:tcPr>
            <w:tcW w:w="2880" w:type="dxa"/>
          </w:tcPr>
          <w:p w14:paraId="034BA6C1" w14:textId="77777777" w:rsidR="00157AAA" w:rsidRDefault="00157AAA">
            <w:pPr>
              <w:spacing w:before="100" w:after="100"/>
              <w:jc w:val="center"/>
              <w:rPr>
                <w:sz w:val="22"/>
              </w:rPr>
            </w:pPr>
          </w:p>
        </w:tc>
        <w:tc>
          <w:tcPr>
            <w:tcW w:w="1440" w:type="dxa"/>
          </w:tcPr>
          <w:p w14:paraId="0848F77C" w14:textId="77777777" w:rsidR="00157AAA" w:rsidRDefault="00157AAA">
            <w:pPr>
              <w:spacing w:before="100" w:after="100"/>
              <w:jc w:val="center"/>
              <w:rPr>
                <w:sz w:val="22"/>
              </w:rPr>
            </w:pPr>
          </w:p>
        </w:tc>
        <w:tc>
          <w:tcPr>
            <w:tcW w:w="360" w:type="dxa"/>
          </w:tcPr>
          <w:p w14:paraId="724AFA75" w14:textId="77777777" w:rsidR="00157AAA" w:rsidRDefault="00157AAA">
            <w:pPr>
              <w:spacing w:before="100" w:after="100"/>
              <w:jc w:val="center"/>
              <w:rPr>
                <w:sz w:val="22"/>
              </w:rPr>
            </w:pPr>
          </w:p>
        </w:tc>
        <w:tc>
          <w:tcPr>
            <w:tcW w:w="2628" w:type="dxa"/>
          </w:tcPr>
          <w:p w14:paraId="417743FE" w14:textId="77777777" w:rsidR="00157AAA" w:rsidRDefault="00157AAA">
            <w:pPr>
              <w:spacing w:before="100" w:after="100"/>
              <w:jc w:val="center"/>
              <w:rPr>
                <w:sz w:val="22"/>
              </w:rPr>
            </w:pPr>
          </w:p>
        </w:tc>
        <w:tc>
          <w:tcPr>
            <w:tcW w:w="1530" w:type="dxa"/>
          </w:tcPr>
          <w:p w14:paraId="17784EC1" w14:textId="77777777" w:rsidR="00157AAA" w:rsidRDefault="00157AAA">
            <w:pPr>
              <w:spacing w:before="100" w:after="100"/>
              <w:jc w:val="center"/>
              <w:rPr>
                <w:sz w:val="22"/>
              </w:rPr>
            </w:pPr>
          </w:p>
        </w:tc>
        <w:tc>
          <w:tcPr>
            <w:tcW w:w="360" w:type="dxa"/>
          </w:tcPr>
          <w:p w14:paraId="7D71EFAB" w14:textId="77777777" w:rsidR="00157AAA" w:rsidRDefault="00157AAA">
            <w:pPr>
              <w:spacing w:before="100" w:after="100"/>
              <w:jc w:val="center"/>
              <w:rPr>
                <w:sz w:val="22"/>
              </w:rPr>
            </w:pPr>
          </w:p>
        </w:tc>
        <w:tc>
          <w:tcPr>
            <w:tcW w:w="2250" w:type="dxa"/>
          </w:tcPr>
          <w:p w14:paraId="17045DBF" w14:textId="77777777" w:rsidR="00157AAA" w:rsidRDefault="00157AAA">
            <w:pPr>
              <w:spacing w:before="100" w:after="100"/>
              <w:jc w:val="center"/>
              <w:rPr>
                <w:sz w:val="22"/>
              </w:rPr>
            </w:pPr>
          </w:p>
        </w:tc>
        <w:tc>
          <w:tcPr>
            <w:tcW w:w="1440" w:type="dxa"/>
          </w:tcPr>
          <w:p w14:paraId="1D8D2E26" w14:textId="77777777" w:rsidR="00157AAA" w:rsidRDefault="00157AAA">
            <w:pPr>
              <w:spacing w:before="100" w:after="100"/>
              <w:jc w:val="center"/>
              <w:rPr>
                <w:sz w:val="22"/>
              </w:rPr>
            </w:pPr>
          </w:p>
        </w:tc>
      </w:tr>
      <w:tr w:rsidR="00157AAA" w14:paraId="5D6103B7" w14:textId="77777777">
        <w:trPr>
          <w:cantSplit/>
        </w:trPr>
        <w:tc>
          <w:tcPr>
            <w:tcW w:w="2880" w:type="dxa"/>
          </w:tcPr>
          <w:p w14:paraId="6D3183B6" w14:textId="77777777" w:rsidR="00157AAA" w:rsidRDefault="00157AAA">
            <w:pPr>
              <w:spacing w:before="100" w:after="100"/>
              <w:jc w:val="center"/>
              <w:rPr>
                <w:sz w:val="22"/>
              </w:rPr>
            </w:pPr>
          </w:p>
        </w:tc>
        <w:tc>
          <w:tcPr>
            <w:tcW w:w="1440" w:type="dxa"/>
          </w:tcPr>
          <w:p w14:paraId="1F96E065" w14:textId="77777777" w:rsidR="00157AAA" w:rsidRDefault="00157AAA">
            <w:pPr>
              <w:spacing w:before="100" w:after="100"/>
              <w:jc w:val="center"/>
              <w:rPr>
                <w:sz w:val="22"/>
              </w:rPr>
            </w:pPr>
          </w:p>
        </w:tc>
        <w:tc>
          <w:tcPr>
            <w:tcW w:w="360" w:type="dxa"/>
          </w:tcPr>
          <w:p w14:paraId="7A2B3F28" w14:textId="77777777" w:rsidR="00157AAA" w:rsidRDefault="00157AAA">
            <w:pPr>
              <w:spacing w:before="100" w:after="100"/>
              <w:jc w:val="center"/>
              <w:rPr>
                <w:sz w:val="22"/>
              </w:rPr>
            </w:pPr>
          </w:p>
        </w:tc>
        <w:tc>
          <w:tcPr>
            <w:tcW w:w="2628" w:type="dxa"/>
          </w:tcPr>
          <w:p w14:paraId="6822D1C6" w14:textId="77777777" w:rsidR="00157AAA" w:rsidRDefault="00157AAA">
            <w:pPr>
              <w:spacing w:before="100" w:after="100"/>
              <w:jc w:val="center"/>
              <w:rPr>
                <w:sz w:val="22"/>
              </w:rPr>
            </w:pPr>
          </w:p>
        </w:tc>
        <w:tc>
          <w:tcPr>
            <w:tcW w:w="1530" w:type="dxa"/>
          </w:tcPr>
          <w:p w14:paraId="1AD676AB" w14:textId="77777777" w:rsidR="00157AAA" w:rsidRDefault="00157AAA">
            <w:pPr>
              <w:spacing w:before="100" w:after="100"/>
              <w:jc w:val="center"/>
              <w:rPr>
                <w:sz w:val="22"/>
              </w:rPr>
            </w:pPr>
          </w:p>
        </w:tc>
        <w:tc>
          <w:tcPr>
            <w:tcW w:w="360" w:type="dxa"/>
          </w:tcPr>
          <w:p w14:paraId="30933A84" w14:textId="77777777" w:rsidR="00157AAA" w:rsidRDefault="00157AAA">
            <w:pPr>
              <w:spacing w:before="100" w:after="100"/>
              <w:jc w:val="center"/>
              <w:rPr>
                <w:sz w:val="22"/>
              </w:rPr>
            </w:pPr>
          </w:p>
        </w:tc>
        <w:tc>
          <w:tcPr>
            <w:tcW w:w="2250" w:type="dxa"/>
          </w:tcPr>
          <w:p w14:paraId="1B389CDE" w14:textId="77777777" w:rsidR="00157AAA" w:rsidRDefault="00157AAA">
            <w:pPr>
              <w:spacing w:before="100" w:after="100"/>
              <w:jc w:val="center"/>
              <w:rPr>
                <w:sz w:val="22"/>
              </w:rPr>
            </w:pPr>
          </w:p>
        </w:tc>
        <w:tc>
          <w:tcPr>
            <w:tcW w:w="1440" w:type="dxa"/>
          </w:tcPr>
          <w:p w14:paraId="65E6ABFD" w14:textId="77777777" w:rsidR="00157AAA" w:rsidRDefault="00157AAA">
            <w:pPr>
              <w:spacing w:before="100" w:after="100"/>
              <w:jc w:val="center"/>
              <w:rPr>
                <w:sz w:val="22"/>
              </w:rPr>
            </w:pPr>
          </w:p>
        </w:tc>
      </w:tr>
      <w:tr w:rsidR="00157AAA" w14:paraId="7B778DF6" w14:textId="77777777">
        <w:trPr>
          <w:cantSplit/>
        </w:trPr>
        <w:tc>
          <w:tcPr>
            <w:tcW w:w="2880" w:type="dxa"/>
          </w:tcPr>
          <w:p w14:paraId="6DD87884" w14:textId="77777777" w:rsidR="00157AAA" w:rsidRDefault="00157AAA">
            <w:pPr>
              <w:spacing w:before="100" w:after="100"/>
              <w:jc w:val="center"/>
              <w:rPr>
                <w:sz w:val="22"/>
              </w:rPr>
            </w:pPr>
          </w:p>
        </w:tc>
        <w:tc>
          <w:tcPr>
            <w:tcW w:w="1440" w:type="dxa"/>
          </w:tcPr>
          <w:p w14:paraId="24945585" w14:textId="77777777" w:rsidR="00157AAA" w:rsidRDefault="00157AAA">
            <w:pPr>
              <w:spacing w:before="100" w:after="100"/>
              <w:jc w:val="center"/>
              <w:rPr>
                <w:sz w:val="22"/>
              </w:rPr>
            </w:pPr>
          </w:p>
        </w:tc>
        <w:tc>
          <w:tcPr>
            <w:tcW w:w="360" w:type="dxa"/>
          </w:tcPr>
          <w:p w14:paraId="69A182A4" w14:textId="77777777" w:rsidR="00157AAA" w:rsidRDefault="00157AAA">
            <w:pPr>
              <w:spacing w:before="100" w:after="100"/>
              <w:jc w:val="center"/>
              <w:rPr>
                <w:sz w:val="22"/>
              </w:rPr>
            </w:pPr>
          </w:p>
        </w:tc>
        <w:tc>
          <w:tcPr>
            <w:tcW w:w="2628" w:type="dxa"/>
          </w:tcPr>
          <w:p w14:paraId="741DB7AC" w14:textId="77777777" w:rsidR="00157AAA" w:rsidRDefault="00157AAA">
            <w:pPr>
              <w:spacing w:before="100" w:after="100"/>
              <w:jc w:val="center"/>
              <w:rPr>
                <w:sz w:val="22"/>
              </w:rPr>
            </w:pPr>
          </w:p>
        </w:tc>
        <w:tc>
          <w:tcPr>
            <w:tcW w:w="1530" w:type="dxa"/>
          </w:tcPr>
          <w:p w14:paraId="331C497B" w14:textId="77777777" w:rsidR="00157AAA" w:rsidRDefault="00157AAA">
            <w:pPr>
              <w:spacing w:before="100" w:after="100"/>
              <w:jc w:val="center"/>
              <w:rPr>
                <w:sz w:val="22"/>
              </w:rPr>
            </w:pPr>
          </w:p>
        </w:tc>
        <w:tc>
          <w:tcPr>
            <w:tcW w:w="360" w:type="dxa"/>
          </w:tcPr>
          <w:p w14:paraId="5F3BC13C" w14:textId="77777777" w:rsidR="00157AAA" w:rsidRDefault="00157AAA">
            <w:pPr>
              <w:spacing w:before="100" w:after="100"/>
              <w:jc w:val="center"/>
              <w:rPr>
                <w:sz w:val="22"/>
              </w:rPr>
            </w:pPr>
          </w:p>
        </w:tc>
        <w:tc>
          <w:tcPr>
            <w:tcW w:w="2250" w:type="dxa"/>
          </w:tcPr>
          <w:p w14:paraId="1270F490" w14:textId="77777777" w:rsidR="00157AAA" w:rsidRDefault="00157AAA">
            <w:pPr>
              <w:spacing w:before="100" w:after="100"/>
              <w:jc w:val="center"/>
              <w:rPr>
                <w:sz w:val="22"/>
              </w:rPr>
            </w:pPr>
          </w:p>
        </w:tc>
        <w:tc>
          <w:tcPr>
            <w:tcW w:w="1440" w:type="dxa"/>
          </w:tcPr>
          <w:p w14:paraId="12630305" w14:textId="77777777" w:rsidR="00157AAA" w:rsidRDefault="00157AAA">
            <w:pPr>
              <w:spacing w:before="100" w:after="100"/>
              <w:jc w:val="center"/>
              <w:rPr>
                <w:sz w:val="22"/>
              </w:rPr>
            </w:pPr>
          </w:p>
        </w:tc>
      </w:tr>
      <w:tr w:rsidR="00157AAA" w14:paraId="76343383" w14:textId="77777777">
        <w:trPr>
          <w:cantSplit/>
        </w:trPr>
        <w:tc>
          <w:tcPr>
            <w:tcW w:w="2880" w:type="dxa"/>
          </w:tcPr>
          <w:p w14:paraId="348E0A95" w14:textId="77777777" w:rsidR="00157AAA" w:rsidRDefault="00157AAA">
            <w:pPr>
              <w:spacing w:before="100" w:after="100"/>
              <w:jc w:val="center"/>
              <w:rPr>
                <w:sz w:val="22"/>
              </w:rPr>
            </w:pPr>
          </w:p>
        </w:tc>
        <w:tc>
          <w:tcPr>
            <w:tcW w:w="1440" w:type="dxa"/>
          </w:tcPr>
          <w:p w14:paraId="4838C57A" w14:textId="77777777" w:rsidR="00157AAA" w:rsidRDefault="00157AAA">
            <w:pPr>
              <w:spacing w:before="100" w:after="100"/>
              <w:jc w:val="center"/>
              <w:rPr>
                <w:sz w:val="22"/>
              </w:rPr>
            </w:pPr>
          </w:p>
        </w:tc>
        <w:tc>
          <w:tcPr>
            <w:tcW w:w="360" w:type="dxa"/>
          </w:tcPr>
          <w:p w14:paraId="44FCC0DF" w14:textId="77777777" w:rsidR="00157AAA" w:rsidRDefault="00157AAA">
            <w:pPr>
              <w:spacing w:before="100" w:after="100"/>
              <w:jc w:val="center"/>
              <w:rPr>
                <w:sz w:val="22"/>
              </w:rPr>
            </w:pPr>
          </w:p>
        </w:tc>
        <w:tc>
          <w:tcPr>
            <w:tcW w:w="2628" w:type="dxa"/>
          </w:tcPr>
          <w:p w14:paraId="2F8005E7" w14:textId="77777777" w:rsidR="00157AAA" w:rsidRDefault="00157AAA">
            <w:pPr>
              <w:spacing w:before="100" w:after="100"/>
              <w:jc w:val="center"/>
              <w:rPr>
                <w:sz w:val="22"/>
              </w:rPr>
            </w:pPr>
          </w:p>
        </w:tc>
        <w:tc>
          <w:tcPr>
            <w:tcW w:w="1530" w:type="dxa"/>
          </w:tcPr>
          <w:p w14:paraId="5D6F2F0E" w14:textId="77777777" w:rsidR="00157AAA" w:rsidRDefault="00157AAA">
            <w:pPr>
              <w:spacing w:before="100" w:after="100"/>
              <w:jc w:val="center"/>
              <w:rPr>
                <w:sz w:val="22"/>
              </w:rPr>
            </w:pPr>
          </w:p>
        </w:tc>
        <w:tc>
          <w:tcPr>
            <w:tcW w:w="360" w:type="dxa"/>
          </w:tcPr>
          <w:p w14:paraId="0D6D1883" w14:textId="77777777" w:rsidR="00157AAA" w:rsidRDefault="00157AAA">
            <w:pPr>
              <w:spacing w:before="100" w:after="100"/>
              <w:jc w:val="center"/>
              <w:rPr>
                <w:sz w:val="22"/>
              </w:rPr>
            </w:pPr>
          </w:p>
        </w:tc>
        <w:tc>
          <w:tcPr>
            <w:tcW w:w="2250" w:type="dxa"/>
          </w:tcPr>
          <w:p w14:paraId="2D5206B3" w14:textId="77777777" w:rsidR="00157AAA" w:rsidRDefault="00157AAA">
            <w:pPr>
              <w:spacing w:before="100" w:after="100"/>
              <w:jc w:val="center"/>
              <w:rPr>
                <w:sz w:val="22"/>
              </w:rPr>
            </w:pPr>
          </w:p>
        </w:tc>
        <w:tc>
          <w:tcPr>
            <w:tcW w:w="1440" w:type="dxa"/>
          </w:tcPr>
          <w:p w14:paraId="3ED7C1D7" w14:textId="77777777" w:rsidR="00157AAA" w:rsidRDefault="00157AAA">
            <w:pPr>
              <w:spacing w:before="100" w:after="100"/>
              <w:jc w:val="center"/>
              <w:rPr>
                <w:sz w:val="22"/>
              </w:rPr>
            </w:pPr>
          </w:p>
        </w:tc>
      </w:tr>
      <w:tr w:rsidR="00157AAA" w14:paraId="53CE56C3" w14:textId="77777777">
        <w:trPr>
          <w:cantSplit/>
        </w:trPr>
        <w:tc>
          <w:tcPr>
            <w:tcW w:w="2880" w:type="dxa"/>
          </w:tcPr>
          <w:p w14:paraId="4BA923B2" w14:textId="77777777" w:rsidR="00157AAA" w:rsidRDefault="00157AAA">
            <w:pPr>
              <w:spacing w:before="100" w:after="100"/>
              <w:jc w:val="center"/>
              <w:rPr>
                <w:sz w:val="22"/>
              </w:rPr>
            </w:pPr>
          </w:p>
        </w:tc>
        <w:tc>
          <w:tcPr>
            <w:tcW w:w="1440" w:type="dxa"/>
          </w:tcPr>
          <w:p w14:paraId="32CB4E4A" w14:textId="77777777" w:rsidR="00157AAA" w:rsidRDefault="00157AAA">
            <w:pPr>
              <w:spacing w:before="100" w:after="100"/>
              <w:jc w:val="center"/>
              <w:rPr>
                <w:sz w:val="22"/>
              </w:rPr>
            </w:pPr>
          </w:p>
        </w:tc>
        <w:tc>
          <w:tcPr>
            <w:tcW w:w="360" w:type="dxa"/>
          </w:tcPr>
          <w:p w14:paraId="3C873291" w14:textId="77777777" w:rsidR="00157AAA" w:rsidRDefault="00157AAA">
            <w:pPr>
              <w:spacing w:before="100" w:after="100"/>
              <w:jc w:val="center"/>
              <w:rPr>
                <w:sz w:val="22"/>
              </w:rPr>
            </w:pPr>
          </w:p>
        </w:tc>
        <w:tc>
          <w:tcPr>
            <w:tcW w:w="2628" w:type="dxa"/>
          </w:tcPr>
          <w:p w14:paraId="29ABBBAB" w14:textId="77777777" w:rsidR="00157AAA" w:rsidRDefault="00157AAA">
            <w:pPr>
              <w:spacing w:before="100" w:after="100"/>
              <w:jc w:val="center"/>
              <w:rPr>
                <w:sz w:val="22"/>
              </w:rPr>
            </w:pPr>
          </w:p>
        </w:tc>
        <w:tc>
          <w:tcPr>
            <w:tcW w:w="1530" w:type="dxa"/>
          </w:tcPr>
          <w:p w14:paraId="3C4B648A" w14:textId="77777777" w:rsidR="00157AAA" w:rsidRDefault="00157AAA">
            <w:pPr>
              <w:spacing w:before="100" w:after="100"/>
              <w:jc w:val="center"/>
              <w:rPr>
                <w:sz w:val="22"/>
              </w:rPr>
            </w:pPr>
          </w:p>
        </w:tc>
        <w:tc>
          <w:tcPr>
            <w:tcW w:w="360" w:type="dxa"/>
          </w:tcPr>
          <w:p w14:paraId="335CDEAC" w14:textId="77777777" w:rsidR="00157AAA" w:rsidRDefault="00157AAA">
            <w:pPr>
              <w:spacing w:before="100" w:after="100"/>
              <w:jc w:val="center"/>
              <w:rPr>
                <w:sz w:val="22"/>
              </w:rPr>
            </w:pPr>
          </w:p>
        </w:tc>
        <w:tc>
          <w:tcPr>
            <w:tcW w:w="2250" w:type="dxa"/>
          </w:tcPr>
          <w:p w14:paraId="0CD72C7A" w14:textId="77777777" w:rsidR="00157AAA" w:rsidRDefault="00157AAA">
            <w:pPr>
              <w:spacing w:before="100" w:after="100"/>
              <w:jc w:val="center"/>
              <w:rPr>
                <w:sz w:val="22"/>
              </w:rPr>
            </w:pPr>
          </w:p>
        </w:tc>
        <w:tc>
          <w:tcPr>
            <w:tcW w:w="1440" w:type="dxa"/>
          </w:tcPr>
          <w:p w14:paraId="35D1FC71" w14:textId="77777777" w:rsidR="00157AAA" w:rsidRDefault="00157AAA">
            <w:pPr>
              <w:spacing w:before="100" w:after="100"/>
              <w:jc w:val="center"/>
              <w:rPr>
                <w:sz w:val="22"/>
              </w:rPr>
            </w:pPr>
          </w:p>
        </w:tc>
      </w:tr>
      <w:tr w:rsidR="00157AAA" w14:paraId="31881FE4" w14:textId="77777777">
        <w:trPr>
          <w:cantSplit/>
        </w:trPr>
        <w:tc>
          <w:tcPr>
            <w:tcW w:w="2880" w:type="dxa"/>
          </w:tcPr>
          <w:p w14:paraId="2DE35D45" w14:textId="77777777" w:rsidR="00157AAA" w:rsidRDefault="00157AAA">
            <w:pPr>
              <w:spacing w:before="100" w:after="100"/>
              <w:jc w:val="center"/>
              <w:rPr>
                <w:sz w:val="22"/>
              </w:rPr>
            </w:pPr>
          </w:p>
        </w:tc>
        <w:tc>
          <w:tcPr>
            <w:tcW w:w="1440" w:type="dxa"/>
          </w:tcPr>
          <w:p w14:paraId="067DDF29" w14:textId="77777777" w:rsidR="00157AAA" w:rsidRDefault="00157AAA">
            <w:pPr>
              <w:spacing w:before="100" w:after="100"/>
              <w:jc w:val="center"/>
              <w:rPr>
                <w:sz w:val="22"/>
              </w:rPr>
            </w:pPr>
          </w:p>
        </w:tc>
        <w:tc>
          <w:tcPr>
            <w:tcW w:w="360" w:type="dxa"/>
          </w:tcPr>
          <w:p w14:paraId="25E6D920" w14:textId="77777777" w:rsidR="00157AAA" w:rsidRDefault="00157AAA">
            <w:pPr>
              <w:spacing w:before="100" w:after="100"/>
              <w:jc w:val="center"/>
              <w:rPr>
                <w:sz w:val="22"/>
              </w:rPr>
            </w:pPr>
          </w:p>
        </w:tc>
        <w:tc>
          <w:tcPr>
            <w:tcW w:w="2628" w:type="dxa"/>
          </w:tcPr>
          <w:p w14:paraId="24246111" w14:textId="77777777" w:rsidR="00157AAA" w:rsidRDefault="00157AAA">
            <w:pPr>
              <w:spacing w:before="100" w:after="100"/>
              <w:jc w:val="center"/>
              <w:rPr>
                <w:sz w:val="22"/>
              </w:rPr>
            </w:pPr>
          </w:p>
        </w:tc>
        <w:tc>
          <w:tcPr>
            <w:tcW w:w="1530" w:type="dxa"/>
          </w:tcPr>
          <w:p w14:paraId="22AC84BF" w14:textId="77777777" w:rsidR="00157AAA" w:rsidRDefault="00157AAA">
            <w:pPr>
              <w:spacing w:before="100" w:after="100"/>
              <w:jc w:val="center"/>
              <w:rPr>
                <w:sz w:val="22"/>
              </w:rPr>
            </w:pPr>
          </w:p>
        </w:tc>
        <w:tc>
          <w:tcPr>
            <w:tcW w:w="360" w:type="dxa"/>
          </w:tcPr>
          <w:p w14:paraId="4F6D565F" w14:textId="77777777" w:rsidR="00157AAA" w:rsidRDefault="00157AAA">
            <w:pPr>
              <w:spacing w:before="100" w:after="100"/>
              <w:jc w:val="center"/>
              <w:rPr>
                <w:sz w:val="22"/>
              </w:rPr>
            </w:pPr>
          </w:p>
        </w:tc>
        <w:tc>
          <w:tcPr>
            <w:tcW w:w="2250" w:type="dxa"/>
          </w:tcPr>
          <w:p w14:paraId="30976330" w14:textId="77777777" w:rsidR="00157AAA" w:rsidRDefault="00157AAA">
            <w:pPr>
              <w:spacing w:before="100" w:after="100"/>
              <w:jc w:val="center"/>
              <w:rPr>
                <w:sz w:val="22"/>
              </w:rPr>
            </w:pPr>
          </w:p>
        </w:tc>
        <w:tc>
          <w:tcPr>
            <w:tcW w:w="1440" w:type="dxa"/>
          </w:tcPr>
          <w:p w14:paraId="3AC4F8C3" w14:textId="77777777" w:rsidR="00157AAA" w:rsidRDefault="00157AAA">
            <w:pPr>
              <w:spacing w:before="100" w:after="100"/>
              <w:jc w:val="center"/>
              <w:rPr>
                <w:sz w:val="22"/>
              </w:rPr>
            </w:pPr>
          </w:p>
        </w:tc>
      </w:tr>
      <w:tr w:rsidR="00157AAA" w14:paraId="21497741" w14:textId="77777777">
        <w:trPr>
          <w:cantSplit/>
        </w:trPr>
        <w:tc>
          <w:tcPr>
            <w:tcW w:w="2880" w:type="dxa"/>
          </w:tcPr>
          <w:p w14:paraId="4E3C3981" w14:textId="77777777" w:rsidR="00157AAA" w:rsidRDefault="00157AAA">
            <w:pPr>
              <w:spacing w:before="100" w:after="100"/>
              <w:jc w:val="center"/>
              <w:rPr>
                <w:sz w:val="22"/>
              </w:rPr>
            </w:pPr>
          </w:p>
        </w:tc>
        <w:tc>
          <w:tcPr>
            <w:tcW w:w="1440" w:type="dxa"/>
          </w:tcPr>
          <w:p w14:paraId="7776F53C" w14:textId="77777777" w:rsidR="00157AAA" w:rsidRDefault="00157AAA">
            <w:pPr>
              <w:spacing w:before="100" w:after="100"/>
              <w:jc w:val="center"/>
              <w:rPr>
                <w:sz w:val="22"/>
              </w:rPr>
            </w:pPr>
          </w:p>
        </w:tc>
        <w:tc>
          <w:tcPr>
            <w:tcW w:w="360" w:type="dxa"/>
          </w:tcPr>
          <w:p w14:paraId="29AAE3CD" w14:textId="77777777" w:rsidR="00157AAA" w:rsidRDefault="00157AAA">
            <w:pPr>
              <w:spacing w:before="100" w:after="100"/>
              <w:jc w:val="center"/>
              <w:rPr>
                <w:sz w:val="22"/>
              </w:rPr>
            </w:pPr>
          </w:p>
        </w:tc>
        <w:tc>
          <w:tcPr>
            <w:tcW w:w="2628" w:type="dxa"/>
          </w:tcPr>
          <w:p w14:paraId="1BF2039F" w14:textId="77777777" w:rsidR="00157AAA" w:rsidRDefault="00157AAA">
            <w:pPr>
              <w:spacing w:before="100" w:after="100"/>
              <w:jc w:val="center"/>
              <w:rPr>
                <w:sz w:val="22"/>
              </w:rPr>
            </w:pPr>
          </w:p>
        </w:tc>
        <w:tc>
          <w:tcPr>
            <w:tcW w:w="1530" w:type="dxa"/>
          </w:tcPr>
          <w:p w14:paraId="2E819D91" w14:textId="77777777" w:rsidR="00157AAA" w:rsidRDefault="00157AAA">
            <w:pPr>
              <w:spacing w:before="100" w:after="100"/>
              <w:jc w:val="center"/>
              <w:rPr>
                <w:sz w:val="22"/>
              </w:rPr>
            </w:pPr>
          </w:p>
        </w:tc>
        <w:tc>
          <w:tcPr>
            <w:tcW w:w="360" w:type="dxa"/>
          </w:tcPr>
          <w:p w14:paraId="3D867CFF" w14:textId="77777777" w:rsidR="00157AAA" w:rsidRDefault="00157AAA">
            <w:pPr>
              <w:spacing w:before="100" w:after="100"/>
              <w:jc w:val="center"/>
              <w:rPr>
                <w:sz w:val="22"/>
              </w:rPr>
            </w:pPr>
          </w:p>
        </w:tc>
        <w:tc>
          <w:tcPr>
            <w:tcW w:w="2250" w:type="dxa"/>
          </w:tcPr>
          <w:p w14:paraId="6B761AC0" w14:textId="77777777" w:rsidR="00157AAA" w:rsidRDefault="00157AAA">
            <w:pPr>
              <w:spacing w:before="100" w:after="100"/>
              <w:jc w:val="center"/>
              <w:rPr>
                <w:sz w:val="22"/>
              </w:rPr>
            </w:pPr>
          </w:p>
        </w:tc>
        <w:tc>
          <w:tcPr>
            <w:tcW w:w="1440" w:type="dxa"/>
          </w:tcPr>
          <w:p w14:paraId="2CED28F8" w14:textId="77777777" w:rsidR="00157AAA" w:rsidRDefault="00157AAA">
            <w:pPr>
              <w:spacing w:before="100" w:after="100"/>
              <w:jc w:val="center"/>
              <w:rPr>
                <w:sz w:val="22"/>
              </w:rPr>
            </w:pPr>
          </w:p>
        </w:tc>
      </w:tr>
    </w:tbl>
    <w:p w14:paraId="1A70C531" w14:textId="77777777" w:rsidR="00157AAA" w:rsidRDefault="00157AAA">
      <w:pPr>
        <w:rPr>
          <w:sz w:val="22"/>
        </w:rPr>
      </w:pPr>
    </w:p>
    <w:bookmarkEnd w:id="559"/>
    <w:p w14:paraId="7349B4B3" w14:textId="77777777" w:rsidR="00157AAA" w:rsidRDefault="00157AAA">
      <w:pPr>
        <w:rPr>
          <w:sz w:val="22"/>
        </w:rPr>
      </w:pPr>
    </w:p>
    <w:p w14:paraId="1B639D3A" w14:textId="77777777" w:rsidR="00157AAA" w:rsidRDefault="00157AAA">
      <w:pPr>
        <w:spacing w:after="0"/>
        <w:jc w:val="left"/>
        <w:rPr>
          <w:sz w:val="20"/>
        </w:rPr>
        <w:sectPr w:rsidR="00157AAA" w:rsidSect="00734667">
          <w:headerReference w:type="even" r:id="rId59"/>
          <w:headerReference w:type="default" r:id="rId60"/>
          <w:headerReference w:type="first" r:id="rId61"/>
          <w:footnotePr>
            <w:numRestart w:val="eachSect"/>
          </w:footnotePr>
          <w:pgSz w:w="15840" w:h="12240" w:orient="landscape"/>
          <w:pgMar w:top="1440" w:right="1440" w:bottom="1440" w:left="1440" w:header="720" w:footer="720" w:gutter="0"/>
          <w:cols w:space="720"/>
          <w:titlePg/>
          <w:docGrid w:linePitch="360"/>
        </w:sectPr>
      </w:pPr>
    </w:p>
    <w:p w14:paraId="57936AB3" w14:textId="77777777" w:rsidR="00157AAA" w:rsidRDefault="006C1BE5">
      <w:pPr>
        <w:pStyle w:val="S4-header1"/>
        <w:rPr>
          <w:smallCaps/>
        </w:rPr>
      </w:pPr>
      <w:bookmarkStart w:id="591" w:name="_Toc163506159"/>
      <w:r>
        <w:rPr>
          <w:smallCaps/>
        </w:rPr>
        <w:lastRenderedPageBreak/>
        <w:t>Form ELI 5.1.1- Bidder Information Form</w:t>
      </w:r>
      <w:bookmarkEnd w:id="591"/>
    </w:p>
    <w:p w14:paraId="4D712A72" w14:textId="77777777" w:rsidR="00157AAA" w:rsidRDefault="006C1BE5">
      <w:pPr>
        <w:spacing w:before="120"/>
        <w:rPr>
          <w:i/>
          <w:iCs/>
        </w:rPr>
      </w:pPr>
      <w:r>
        <w:rPr>
          <w:i/>
          <w:iCs/>
        </w:rPr>
        <w:t>[</w:t>
      </w:r>
      <w:r>
        <w:rPr>
          <w:b/>
          <w:i/>
          <w:iCs/>
        </w:rPr>
        <w:t>Note</w:t>
      </w:r>
      <w:r>
        <w:rPr>
          <w:i/>
          <w:iCs/>
        </w:rPr>
        <w:t>:  The Bidder shall fill in this Form in accordance with the instructions indicated below. No alterations to its format shall be permitted and no substitutions shall be accepted.]</w:t>
      </w:r>
    </w:p>
    <w:p w14:paraId="097633F4" w14:textId="77777777" w:rsidR="00157AAA" w:rsidRDefault="006C1BE5">
      <w:pPr>
        <w:spacing w:before="120"/>
        <w:ind w:left="720" w:hanging="720"/>
        <w:jc w:val="left"/>
      </w:pPr>
      <w:r>
        <w:t xml:space="preserve">Date: </w:t>
      </w:r>
      <w:r>
        <w:rPr>
          <w:i/>
        </w:rPr>
        <w:t xml:space="preserve">[insert </w:t>
      </w:r>
      <w:r>
        <w:rPr>
          <w:b/>
          <w:i/>
        </w:rPr>
        <w:t xml:space="preserve">date (as day, </w:t>
      </w:r>
      <w:proofErr w:type="gramStart"/>
      <w:r>
        <w:rPr>
          <w:b/>
          <w:i/>
        </w:rPr>
        <w:t>month</w:t>
      </w:r>
      <w:proofErr w:type="gramEnd"/>
      <w:r>
        <w:rPr>
          <w:b/>
          <w:i/>
        </w:rPr>
        <w:t xml:space="preserve"> and year) of Bid submission</w:t>
      </w:r>
      <w:r>
        <w:t xml:space="preserve">] </w:t>
      </w:r>
    </w:p>
    <w:p w14:paraId="16B3D7A2" w14:textId="77777777" w:rsidR="00157AAA" w:rsidRDefault="006C1BE5">
      <w:pPr>
        <w:tabs>
          <w:tab w:val="right" w:pos="9360"/>
        </w:tabs>
        <w:spacing w:before="120"/>
        <w:ind w:left="720" w:hanging="720"/>
        <w:jc w:val="left"/>
        <w:rPr>
          <w:i/>
        </w:rPr>
      </w:pPr>
      <w:r>
        <w:t xml:space="preserve">RFB No.: </w:t>
      </w:r>
      <w:r>
        <w:rPr>
          <w:i/>
        </w:rPr>
        <w:t xml:space="preserve">[insert </w:t>
      </w:r>
      <w:r>
        <w:rPr>
          <w:b/>
          <w:i/>
        </w:rPr>
        <w:t>number of Bidding process</w:t>
      </w:r>
      <w:r>
        <w:rPr>
          <w:i/>
        </w:rPr>
        <w:t>]</w:t>
      </w:r>
    </w:p>
    <w:p w14:paraId="0C6419FA" w14:textId="77777777" w:rsidR="00157AAA" w:rsidRDefault="006C1BE5">
      <w:pPr>
        <w:tabs>
          <w:tab w:val="right" w:pos="9360"/>
        </w:tabs>
        <w:spacing w:before="120"/>
        <w:ind w:left="720" w:hanging="720"/>
        <w:jc w:val="left"/>
        <w:rPr>
          <w:b/>
        </w:rPr>
      </w:pPr>
      <w:r>
        <w:t xml:space="preserve">Alternative No.: </w:t>
      </w:r>
      <w:r>
        <w:rPr>
          <w:i/>
          <w:iCs/>
        </w:rPr>
        <w:t xml:space="preserve">[insert </w:t>
      </w:r>
      <w:r>
        <w:rPr>
          <w:b/>
          <w:i/>
          <w:iCs/>
        </w:rPr>
        <w:t xml:space="preserve">identification No if this is a Bid for an alternative] </w:t>
      </w:r>
      <w:r>
        <w:rPr>
          <w:i/>
          <w:iCs/>
        </w:rPr>
        <w:t>otherwise state</w:t>
      </w:r>
      <w:r>
        <w:rPr>
          <w:b/>
          <w:i/>
          <w:iCs/>
        </w:rPr>
        <w:t xml:space="preserve"> “not applicable”</w:t>
      </w:r>
    </w:p>
    <w:p w14:paraId="7745412B" w14:textId="77777777" w:rsidR="00157AAA" w:rsidRDefault="006C1BE5">
      <w:pPr>
        <w:spacing w:before="120"/>
        <w:ind w:left="720" w:hanging="720"/>
        <w:jc w:val="right"/>
      </w:pPr>
      <w:r>
        <w:t>Page ________ of_ ______ pages</w:t>
      </w:r>
    </w:p>
    <w:p w14:paraId="36E1F50D" w14:textId="77777777" w:rsidR="00157AAA" w:rsidRDefault="00157AAA">
      <w:pPr>
        <w:spacing w:after="0"/>
        <w:ind w:right="-720"/>
        <w:jc w:val="left"/>
        <w:rPr>
          <w:spacing w:val="-2"/>
        </w:rPr>
      </w:pPr>
    </w:p>
    <w:tbl>
      <w:tblPr>
        <w:tblW w:w="86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0"/>
      </w:tblGrid>
      <w:tr w:rsidR="00157AAA" w14:paraId="52158D06" w14:textId="77777777">
        <w:trPr>
          <w:cantSplit/>
          <w:trHeight w:val="440"/>
        </w:trPr>
        <w:tc>
          <w:tcPr>
            <w:tcW w:w="9450" w:type="dxa"/>
            <w:tcBorders>
              <w:bottom w:val="none" w:sz="4" w:space="0" w:color="000000"/>
            </w:tcBorders>
          </w:tcPr>
          <w:p w14:paraId="1582B2E4" w14:textId="77777777" w:rsidR="00157AAA" w:rsidRDefault="006C1BE5">
            <w:pPr>
              <w:spacing w:after="200"/>
              <w:ind w:left="360" w:right="612" w:hanging="360"/>
              <w:jc w:val="left"/>
            </w:pPr>
            <w:r>
              <w:rPr>
                <w:spacing w:val="-2"/>
              </w:rPr>
              <w:t xml:space="preserve">1.  </w:t>
            </w:r>
            <w:proofErr w:type="gramStart"/>
            <w:r>
              <w:rPr>
                <w:spacing w:val="-2"/>
              </w:rPr>
              <w:t>Bidder’s</w:t>
            </w:r>
            <w:r>
              <w:t xml:space="preserve">  Name</w:t>
            </w:r>
            <w:proofErr w:type="gramEnd"/>
            <w:r>
              <w:t xml:space="preserve">  </w:t>
            </w:r>
            <w:r>
              <w:rPr>
                <w:bCs/>
                <w:i/>
                <w:iCs/>
              </w:rPr>
              <w:t xml:space="preserve">[insert </w:t>
            </w:r>
            <w:r>
              <w:rPr>
                <w:b/>
                <w:bCs/>
                <w:i/>
                <w:iCs/>
              </w:rPr>
              <w:t>Bidder’s legal name</w:t>
            </w:r>
            <w:r>
              <w:rPr>
                <w:bCs/>
                <w:i/>
                <w:iCs/>
              </w:rPr>
              <w:t>]</w:t>
            </w:r>
          </w:p>
        </w:tc>
      </w:tr>
      <w:tr w:rsidR="00157AAA" w14:paraId="09E4373B" w14:textId="77777777">
        <w:trPr>
          <w:cantSplit/>
        </w:trPr>
        <w:tc>
          <w:tcPr>
            <w:tcW w:w="9450" w:type="dxa"/>
            <w:tcBorders>
              <w:left w:val="single" w:sz="4" w:space="0" w:color="auto"/>
            </w:tcBorders>
          </w:tcPr>
          <w:p w14:paraId="1FD001DD" w14:textId="77777777" w:rsidR="00157AAA" w:rsidRDefault="006C1BE5">
            <w:pPr>
              <w:spacing w:after="200"/>
              <w:ind w:left="360" w:right="612" w:hanging="360"/>
              <w:jc w:val="left"/>
              <w:rPr>
                <w:spacing w:val="-2"/>
              </w:rPr>
            </w:pPr>
            <w:r>
              <w:rPr>
                <w:spacing w:val="-2"/>
              </w:rPr>
              <w:t xml:space="preserve">2.  In case of JV, legal name of each </w:t>
            </w:r>
            <w:proofErr w:type="gramStart"/>
            <w:r>
              <w:rPr>
                <w:spacing w:val="-2"/>
              </w:rPr>
              <w:t>member :</w:t>
            </w:r>
            <w:proofErr w:type="gramEnd"/>
            <w:r>
              <w:rPr>
                <w:spacing w:val="-2"/>
              </w:rPr>
              <w:t xml:space="preserve"> </w:t>
            </w:r>
            <w:r>
              <w:rPr>
                <w:bCs/>
                <w:i/>
                <w:iCs/>
                <w:spacing w:val="-2"/>
              </w:rPr>
              <w:t xml:space="preserve">[insert </w:t>
            </w:r>
            <w:r>
              <w:rPr>
                <w:b/>
                <w:bCs/>
                <w:i/>
                <w:iCs/>
                <w:spacing w:val="-2"/>
              </w:rPr>
              <w:t>legal name of each member  in JV</w:t>
            </w:r>
            <w:r>
              <w:rPr>
                <w:bCs/>
                <w:i/>
                <w:iCs/>
                <w:spacing w:val="-2"/>
              </w:rPr>
              <w:t>]</w:t>
            </w:r>
          </w:p>
        </w:tc>
      </w:tr>
      <w:tr w:rsidR="00157AAA" w14:paraId="7014F89F" w14:textId="77777777">
        <w:trPr>
          <w:cantSplit/>
          <w:trHeight w:val="674"/>
        </w:trPr>
        <w:tc>
          <w:tcPr>
            <w:tcW w:w="9450" w:type="dxa"/>
            <w:tcBorders>
              <w:left w:val="single" w:sz="4" w:space="0" w:color="auto"/>
            </w:tcBorders>
          </w:tcPr>
          <w:p w14:paraId="132791E7" w14:textId="77777777" w:rsidR="00157AAA" w:rsidRDefault="006C1BE5">
            <w:pPr>
              <w:spacing w:after="200"/>
              <w:ind w:right="612"/>
              <w:jc w:val="left"/>
              <w:rPr>
                <w:b/>
              </w:rPr>
            </w:pPr>
            <w:r>
              <w:t>3.  Bidder’s</w:t>
            </w:r>
            <w:r>
              <w:rPr>
                <w:spacing w:val="-2"/>
              </w:rPr>
              <w:t xml:space="preserve"> actual or intended country of registration: </w:t>
            </w:r>
            <w:r>
              <w:rPr>
                <w:bCs/>
                <w:i/>
                <w:iCs/>
                <w:spacing w:val="-2"/>
              </w:rPr>
              <w:t xml:space="preserve">[insert </w:t>
            </w:r>
            <w:r>
              <w:rPr>
                <w:b/>
                <w:bCs/>
                <w:i/>
                <w:iCs/>
                <w:spacing w:val="-2"/>
              </w:rPr>
              <w:t>actual or intended country of registration</w:t>
            </w:r>
            <w:r>
              <w:rPr>
                <w:bCs/>
                <w:i/>
                <w:iCs/>
                <w:spacing w:val="-2"/>
              </w:rPr>
              <w:t>]</w:t>
            </w:r>
          </w:p>
        </w:tc>
      </w:tr>
      <w:tr w:rsidR="00157AAA" w14:paraId="714E01AA" w14:textId="77777777">
        <w:trPr>
          <w:cantSplit/>
          <w:trHeight w:val="404"/>
        </w:trPr>
        <w:tc>
          <w:tcPr>
            <w:tcW w:w="9450" w:type="dxa"/>
            <w:tcBorders>
              <w:left w:val="single" w:sz="4" w:space="0" w:color="auto"/>
            </w:tcBorders>
          </w:tcPr>
          <w:p w14:paraId="6F92E452" w14:textId="77777777" w:rsidR="00157AAA" w:rsidRDefault="006C1BE5">
            <w:pPr>
              <w:spacing w:after="200"/>
              <w:ind w:right="612"/>
              <w:jc w:val="left"/>
              <w:rPr>
                <w:b/>
                <w:spacing w:val="-2"/>
              </w:rPr>
            </w:pPr>
            <w:r>
              <w:rPr>
                <w:spacing w:val="-2"/>
              </w:rPr>
              <w:t xml:space="preserve">4.  Bidder’s year of registration: </w:t>
            </w:r>
            <w:r>
              <w:rPr>
                <w:bCs/>
                <w:i/>
                <w:iCs/>
                <w:spacing w:val="-2"/>
              </w:rPr>
              <w:t xml:space="preserve">[insert </w:t>
            </w:r>
            <w:r>
              <w:rPr>
                <w:b/>
                <w:bCs/>
                <w:i/>
                <w:iCs/>
                <w:spacing w:val="-2"/>
              </w:rPr>
              <w:t>Bidder’s year of registration</w:t>
            </w:r>
            <w:r>
              <w:rPr>
                <w:bCs/>
                <w:i/>
                <w:iCs/>
                <w:spacing w:val="-2"/>
              </w:rPr>
              <w:t>]</w:t>
            </w:r>
          </w:p>
        </w:tc>
      </w:tr>
      <w:tr w:rsidR="00157AAA" w14:paraId="7ADB2493" w14:textId="77777777">
        <w:trPr>
          <w:cantSplit/>
        </w:trPr>
        <w:tc>
          <w:tcPr>
            <w:tcW w:w="9450" w:type="dxa"/>
            <w:tcBorders>
              <w:left w:val="single" w:sz="4" w:space="0" w:color="auto"/>
            </w:tcBorders>
          </w:tcPr>
          <w:p w14:paraId="58A2DBE7" w14:textId="77777777" w:rsidR="00157AAA" w:rsidRDefault="006C1BE5">
            <w:pPr>
              <w:spacing w:after="200"/>
              <w:ind w:right="612"/>
              <w:jc w:val="left"/>
              <w:rPr>
                <w:spacing w:val="-2"/>
              </w:rPr>
            </w:pPr>
            <w:r>
              <w:rPr>
                <w:spacing w:val="-2"/>
              </w:rPr>
              <w:t xml:space="preserve">5.  </w:t>
            </w:r>
            <w:proofErr w:type="gramStart"/>
            <w:r>
              <w:rPr>
                <w:spacing w:val="-2"/>
              </w:rPr>
              <w:t>Bidder’s  Address</w:t>
            </w:r>
            <w:proofErr w:type="gramEnd"/>
            <w:r>
              <w:rPr>
                <w:spacing w:val="-2"/>
              </w:rPr>
              <w:t xml:space="preserve"> in country of registration: </w:t>
            </w:r>
            <w:r>
              <w:rPr>
                <w:bCs/>
                <w:i/>
                <w:iCs/>
                <w:spacing w:val="-2"/>
              </w:rPr>
              <w:t xml:space="preserve">[insert </w:t>
            </w:r>
            <w:r>
              <w:rPr>
                <w:b/>
                <w:bCs/>
                <w:i/>
                <w:iCs/>
                <w:spacing w:val="-2"/>
              </w:rPr>
              <w:t>Bidder’s legal address in country of registration</w:t>
            </w:r>
            <w:r>
              <w:rPr>
                <w:bCs/>
                <w:i/>
                <w:iCs/>
                <w:spacing w:val="-2"/>
              </w:rPr>
              <w:t>]</w:t>
            </w:r>
          </w:p>
        </w:tc>
      </w:tr>
      <w:tr w:rsidR="00157AAA" w14:paraId="15C10EAB" w14:textId="77777777">
        <w:trPr>
          <w:cantSplit/>
        </w:trPr>
        <w:tc>
          <w:tcPr>
            <w:tcW w:w="9450" w:type="dxa"/>
          </w:tcPr>
          <w:p w14:paraId="44171EAD" w14:textId="77777777" w:rsidR="00157AAA" w:rsidRDefault="006C1BE5">
            <w:pPr>
              <w:spacing w:after="200"/>
              <w:ind w:right="612"/>
              <w:jc w:val="left"/>
              <w:rPr>
                <w:spacing w:val="-2"/>
              </w:rPr>
            </w:pPr>
            <w:r>
              <w:rPr>
                <w:spacing w:val="-2"/>
              </w:rPr>
              <w:t>6.  Bidder’s Authorized Representative Information</w:t>
            </w:r>
          </w:p>
          <w:p w14:paraId="4600B5AE" w14:textId="77777777" w:rsidR="00157AAA" w:rsidRDefault="006C1BE5">
            <w:pPr>
              <w:ind w:left="360" w:right="612" w:hanging="360"/>
              <w:jc w:val="left"/>
              <w:rPr>
                <w:b/>
                <w:spacing w:val="-2"/>
              </w:rPr>
            </w:pPr>
            <w:r>
              <w:rPr>
                <w:spacing w:val="-2"/>
              </w:rPr>
              <w:t xml:space="preserve">     Name: </w:t>
            </w:r>
            <w:r>
              <w:rPr>
                <w:i/>
                <w:spacing w:val="-2"/>
              </w:rPr>
              <w:t xml:space="preserve">[insert </w:t>
            </w:r>
            <w:r>
              <w:rPr>
                <w:b/>
                <w:i/>
                <w:spacing w:val="-2"/>
              </w:rPr>
              <w:t>Authorized Representative’s name</w:t>
            </w:r>
            <w:r>
              <w:rPr>
                <w:i/>
                <w:spacing w:val="-2"/>
              </w:rPr>
              <w:t>]</w:t>
            </w:r>
          </w:p>
          <w:p w14:paraId="24469E18" w14:textId="77777777" w:rsidR="00157AAA" w:rsidRDefault="006C1BE5">
            <w:pPr>
              <w:ind w:right="612"/>
              <w:jc w:val="left"/>
              <w:rPr>
                <w:b/>
                <w:spacing w:val="-2"/>
              </w:rPr>
            </w:pPr>
            <w:r>
              <w:rPr>
                <w:spacing w:val="-2"/>
              </w:rPr>
              <w:t xml:space="preserve">     Address: </w:t>
            </w:r>
            <w:r>
              <w:rPr>
                <w:i/>
                <w:spacing w:val="-2"/>
              </w:rPr>
              <w:t xml:space="preserve">[insert </w:t>
            </w:r>
            <w:r>
              <w:rPr>
                <w:b/>
                <w:i/>
                <w:spacing w:val="-2"/>
              </w:rPr>
              <w:t>Authorized Representative’s Address</w:t>
            </w:r>
            <w:r>
              <w:rPr>
                <w:i/>
                <w:spacing w:val="-2"/>
              </w:rPr>
              <w:t>]</w:t>
            </w:r>
          </w:p>
          <w:p w14:paraId="442BB5F1" w14:textId="77777777" w:rsidR="00157AAA" w:rsidRDefault="006C1BE5">
            <w:pPr>
              <w:ind w:right="612"/>
              <w:jc w:val="left"/>
              <w:rPr>
                <w:b/>
                <w:spacing w:val="-2"/>
              </w:rPr>
            </w:pPr>
            <w:r>
              <w:rPr>
                <w:spacing w:val="-2"/>
              </w:rPr>
              <w:t xml:space="preserve">     Telephone/Fax numbers: </w:t>
            </w:r>
            <w:r>
              <w:rPr>
                <w:i/>
                <w:spacing w:val="-2"/>
              </w:rPr>
              <w:t xml:space="preserve">[insert </w:t>
            </w:r>
            <w:r>
              <w:rPr>
                <w:b/>
                <w:i/>
                <w:spacing w:val="-2"/>
              </w:rPr>
              <w:t>Authorized Representative’s telephone/fax numbers</w:t>
            </w:r>
            <w:r>
              <w:rPr>
                <w:i/>
                <w:spacing w:val="-2"/>
              </w:rPr>
              <w:t>]</w:t>
            </w:r>
          </w:p>
          <w:p w14:paraId="5BEFB35E" w14:textId="77777777" w:rsidR="00157AAA" w:rsidRDefault="006C1BE5">
            <w:pPr>
              <w:spacing w:after="200"/>
              <w:ind w:right="612"/>
              <w:jc w:val="left"/>
              <w:rPr>
                <w:spacing w:val="-2"/>
              </w:rPr>
            </w:pPr>
            <w:r>
              <w:rPr>
                <w:spacing w:val="-2"/>
              </w:rPr>
              <w:t xml:space="preserve">     Email Address: </w:t>
            </w:r>
            <w:r>
              <w:rPr>
                <w:i/>
                <w:spacing w:val="-2"/>
              </w:rPr>
              <w:t xml:space="preserve">[insert </w:t>
            </w:r>
            <w:r>
              <w:rPr>
                <w:b/>
                <w:i/>
                <w:spacing w:val="-2"/>
              </w:rPr>
              <w:t>Authorized Representative’s email address</w:t>
            </w:r>
            <w:r>
              <w:rPr>
                <w:i/>
                <w:spacing w:val="-2"/>
              </w:rPr>
              <w:t>]</w:t>
            </w:r>
          </w:p>
        </w:tc>
      </w:tr>
      <w:tr w:rsidR="00157AAA" w14:paraId="52EC8C71" w14:textId="77777777">
        <w:tc>
          <w:tcPr>
            <w:tcW w:w="9450" w:type="dxa"/>
          </w:tcPr>
          <w:p w14:paraId="2A5C70B7" w14:textId="77777777" w:rsidR="00157AAA" w:rsidRDefault="006C1BE5">
            <w:pPr>
              <w:spacing w:before="40"/>
              <w:ind w:left="90" w:right="612"/>
              <w:jc w:val="left"/>
              <w:rPr>
                <w:spacing w:val="-2"/>
              </w:rPr>
            </w:pPr>
            <w:r>
              <w:t xml:space="preserve">7. </w:t>
            </w:r>
            <w:r>
              <w:tab/>
            </w:r>
            <w:r>
              <w:rPr>
                <w:spacing w:val="-2"/>
              </w:rPr>
              <w:t xml:space="preserve">Attached are copies of original documents of </w:t>
            </w:r>
            <w:r>
              <w:rPr>
                <w:i/>
                <w:spacing w:val="-2"/>
              </w:rPr>
              <w:t>[check the box(es) of the attached original documents]</w:t>
            </w:r>
          </w:p>
          <w:p w14:paraId="375CF7F8" w14:textId="77777777" w:rsidR="00157AAA" w:rsidRDefault="006C1BE5">
            <w:pPr>
              <w:spacing w:before="40"/>
              <w:ind w:left="540" w:right="612" w:hanging="450"/>
              <w:jc w:val="left"/>
              <w:rPr>
                <w:spacing w:val="-8"/>
              </w:rPr>
            </w:pPr>
            <w:r>
              <w:rPr>
                <w:rFonts w:ascii="Wingdings" w:eastAsia="Wingdings" w:hAnsi="Wingdings" w:cs="Wingdings"/>
                <w:spacing w:val="-2"/>
              </w:rPr>
              <w:t></w:t>
            </w:r>
            <w:r>
              <w:rPr>
                <w:rFonts w:eastAsia="MS Mincho"/>
                <w:spacing w:val="-2"/>
              </w:rPr>
              <w:tab/>
            </w:r>
            <w:r>
              <w:rPr>
                <w:spacing w:val="-2"/>
              </w:rPr>
              <w:t xml:space="preserve">Articles of Incorporation (or equivalent documents of constitution or association), and/or documents of registration of </w:t>
            </w:r>
            <w:r>
              <w:rPr>
                <w:spacing w:val="-8"/>
              </w:rPr>
              <w:t>the legal entity named above, in accordance with ITB 4.4.</w:t>
            </w:r>
          </w:p>
          <w:p w14:paraId="04A1B69F" w14:textId="77777777" w:rsidR="00157AAA" w:rsidRDefault="006C1BE5">
            <w:pPr>
              <w:spacing w:before="40"/>
              <w:ind w:left="540" w:right="612" w:hanging="450"/>
              <w:jc w:val="left"/>
              <w:rPr>
                <w:spacing w:val="-2"/>
              </w:rPr>
            </w:pPr>
            <w:r>
              <w:rPr>
                <w:rFonts w:ascii="Wingdings" w:eastAsia="Wingdings" w:hAnsi="Wingdings" w:cs="Wingdings"/>
                <w:spacing w:val="-2"/>
              </w:rPr>
              <w:t></w:t>
            </w:r>
            <w:r>
              <w:rPr>
                <w:spacing w:val="-2"/>
              </w:rPr>
              <w:tab/>
              <w:t>In case of JV, letter of intent to form JV or JV agreement, in accordance with ITB 4.1.</w:t>
            </w:r>
          </w:p>
          <w:p w14:paraId="4AE796DA" w14:textId="77777777" w:rsidR="00157AAA" w:rsidRDefault="006C1BE5">
            <w:pPr>
              <w:spacing w:before="40"/>
              <w:ind w:left="540" w:right="612" w:hanging="450"/>
              <w:jc w:val="left"/>
              <w:rPr>
                <w:spacing w:val="-2"/>
              </w:rPr>
            </w:pPr>
            <w:r>
              <w:rPr>
                <w:rFonts w:ascii="Wingdings" w:eastAsia="Wingdings" w:hAnsi="Wingdings" w:cs="Wingdings"/>
                <w:spacing w:val="-2"/>
              </w:rPr>
              <w:t></w:t>
            </w:r>
            <w:r>
              <w:rPr>
                <w:rFonts w:eastAsia="MS Mincho"/>
                <w:spacing w:val="-2"/>
              </w:rPr>
              <w:tab/>
            </w:r>
            <w:r>
              <w:rPr>
                <w:spacing w:val="-2"/>
              </w:rPr>
              <w:t>In case of state-owned enterprise or institution, in accordance with ITB 4.6 documents establishing:</w:t>
            </w:r>
          </w:p>
          <w:p w14:paraId="3192FFAA" w14:textId="77777777" w:rsidR="00157AAA" w:rsidRDefault="006C1BE5" w:rsidP="00D530D5">
            <w:pPr>
              <w:widowControl w:val="0"/>
              <w:numPr>
                <w:ilvl w:val="0"/>
                <w:numId w:val="14"/>
              </w:numPr>
              <w:spacing w:before="40" w:after="0"/>
              <w:ind w:right="612"/>
              <w:contextualSpacing/>
              <w:jc w:val="left"/>
              <w:rPr>
                <w:spacing w:val="-8"/>
              </w:rPr>
            </w:pPr>
            <w:r>
              <w:rPr>
                <w:spacing w:val="-2"/>
              </w:rPr>
              <w:t>Legal and financial autonomy</w:t>
            </w:r>
          </w:p>
          <w:p w14:paraId="6F66E7C2" w14:textId="77777777" w:rsidR="00157AAA" w:rsidRDefault="006C1BE5" w:rsidP="00D530D5">
            <w:pPr>
              <w:widowControl w:val="0"/>
              <w:numPr>
                <w:ilvl w:val="0"/>
                <w:numId w:val="14"/>
              </w:numPr>
              <w:spacing w:before="40" w:after="0"/>
              <w:ind w:right="612"/>
              <w:contextualSpacing/>
              <w:jc w:val="left"/>
              <w:rPr>
                <w:spacing w:val="-8"/>
              </w:rPr>
            </w:pPr>
            <w:r>
              <w:rPr>
                <w:spacing w:val="-2"/>
              </w:rPr>
              <w:lastRenderedPageBreak/>
              <w:t>Operation under commercial law</w:t>
            </w:r>
          </w:p>
          <w:p w14:paraId="59D5F6DC" w14:textId="77777777" w:rsidR="00157AAA" w:rsidRDefault="006C1BE5" w:rsidP="00D530D5">
            <w:pPr>
              <w:widowControl w:val="0"/>
              <w:numPr>
                <w:ilvl w:val="0"/>
                <w:numId w:val="14"/>
              </w:numPr>
              <w:spacing w:before="40" w:after="0"/>
              <w:ind w:right="612"/>
              <w:contextualSpacing/>
              <w:jc w:val="left"/>
              <w:rPr>
                <w:spacing w:val="-8"/>
              </w:rPr>
            </w:pPr>
            <w:r>
              <w:rPr>
                <w:spacing w:val="-2"/>
              </w:rPr>
              <w:t xml:space="preserve">Establishing that the Bidder is not under the supervision of the </w:t>
            </w:r>
            <w:proofErr w:type="gramStart"/>
            <w:r>
              <w:rPr>
                <w:spacing w:val="-2"/>
              </w:rPr>
              <w:t>Purchaser</w:t>
            </w:r>
            <w:proofErr w:type="gramEnd"/>
          </w:p>
          <w:p w14:paraId="006C39A8" w14:textId="77777777" w:rsidR="00157AAA" w:rsidRDefault="006C1BE5">
            <w:pPr>
              <w:spacing w:after="200"/>
              <w:ind w:left="325" w:right="612" w:hanging="270"/>
              <w:jc w:val="left"/>
            </w:pPr>
            <w:r>
              <w:rPr>
                <w:rFonts w:eastAsia="MS Mincho"/>
                <w:spacing w:val="-2"/>
              </w:rPr>
              <w:t xml:space="preserve">8.  </w:t>
            </w:r>
            <w:r>
              <w:rPr>
                <w:spacing w:val="-2"/>
              </w:rPr>
              <w:t xml:space="preserve">Included are the organizational chart, a list of Board of Directors, and the beneficial ownership. </w:t>
            </w:r>
            <w:r>
              <w:rPr>
                <w:i/>
                <w:spacing w:val="-2"/>
              </w:rPr>
              <w:t>[If required under BDS ITB 47.1, the successful Bidder shall provide additional information on beneficial ownership, using the Beneficial Ownership Disclosure Form.]</w:t>
            </w:r>
          </w:p>
        </w:tc>
      </w:tr>
    </w:tbl>
    <w:p w14:paraId="57D49D8C" w14:textId="77777777" w:rsidR="00157AAA" w:rsidRDefault="006C1BE5">
      <w:pPr>
        <w:pStyle w:val="S4-header1"/>
        <w:rPr>
          <w:b w:val="0"/>
        </w:rPr>
      </w:pPr>
      <w:r>
        <w:rPr>
          <w:b w:val="0"/>
        </w:rPr>
        <w:lastRenderedPageBreak/>
        <w:br w:type="page" w:clear="all"/>
      </w:r>
      <w:bookmarkStart w:id="592" w:name="_Toc163506160"/>
      <w:r>
        <w:rPr>
          <w:smallCaps/>
        </w:rPr>
        <w:lastRenderedPageBreak/>
        <w:t>Form ELI 5.1.2- Bidder’s JV Members Information Form</w:t>
      </w:r>
      <w:bookmarkEnd w:id="592"/>
    </w:p>
    <w:p w14:paraId="12ACE8A4" w14:textId="77777777" w:rsidR="00157AAA" w:rsidRDefault="006C1BE5">
      <w:pPr>
        <w:spacing w:before="120"/>
        <w:jc w:val="center"/>
        <w:rPr>
          <w:i/>
          <w:iCs/>
        </w:rPr>
      </w:pPr>
      <w:r>
        <w:rPr>
          <w:i/>
          <w:iCs/>
        </w:rPr>
        <w:t xml:space="preserve">[The Bidder shall fill in this Form in accordance with the instructions indicated below. </w:t>
      </w:r>
      <w:r>
        <w:rPr>
          <w:bCs/>
          <w:i/>
          <w:iCs/>
        </w:rPr>
        <w:t xml:space="preserve">The following table shall be filled in for the Bidder and for each member of a Joint </w:t>
      </w:r>
      <w:r>
        <w:rPr>
          <w:bCs/>
          <w:i/>
          <w:iCs/>
          <w:spacing w:val="-4"/>
        </w:rPr>
        <w:t>Venture</w:t>
      </w:r>
      <w:r>
        <w:rPr>
          <w:i/>
          <w:iCs/>
        </w:rPr>
        <w:t>].</w:t>
      </w:r>
    </w:p>
    <w:p w14:paraId="0E659AD2" w14:textId="77777777" w:rsidR="00157AAA" w:rsidRDefault="006C1BE5">
      <w:pPr>
        <w:spacing w:before="120"/>
        <w:ind w:left="720" w:hanging="720"/>
        <w:jc w:val="left"/>
      </w:pPr>
      <w:r>
        <w:t xml:space="preserve">Date: </w:t>
      </w:r>
      <w:r>
        <w:rPr>
          <w:i/>
        </w:rPr>
        <w:t xml:space="preserve">[insert </w:t>
      </w:r>
      <w:r>
        <w:rPr>
          <w:b/>
          <w:i/>
        </w:rPr>
        <w:t xml:space="preserve">date (as day, </w:t>
      </w:r>
      <w:proofErr w:type="gramStart"/>
      <w:r>
        <w:rPr>
          <w:b/>
          <w:i/>
        </w:rPr>
        <w:t>month</w:t>
      </w:r>
      <w:proofErr w:type="gramEnd"/>
      <w:r>
        <w:rPr>
          <w:b/>
          <w:i/>
        </w:rPr>
        <w:t xml:space="preserve"> and year) of Bid submission</w:t>
      </w:r>
      <w:r>
        <w:t xml:space="preserve">] </w:t>
      </w:r>
    </w:p>
    <w:p w14:paraId="6AF12974" w14:textId="77777777" w:rsidR="00157AAA" w:rsidRDefault="006C1BE5">
      <w:pPr>
        <w:tabs>
          <w:tab w:val="right" w:pos="9360"/>
        </w:tabs>
        <w:spacing w:before="120"/>
        <w:ind w:left="720" w:hanging="720"/>
        <w:jc w:val="left"/>
        <w:rPr>
          <w:i/>
        </w:rPr>
      </w:pPr>
      <w:r>
        <w:t xml:space="preserve">RFB No.: </w:t>
      </w:r>
      <w:r>
        <w:rPr>
          <w:i/>
        </w:rPr>
        <w:t xml:space="preserve">[insert </w:t>
      </w:r>
      <w:r>
        <w:rPr>
          <w:b/>
          <w:i/>
        </w:rPr>
        <w:t>number of Bidding process</w:t>
      </w:r>
      <w:r>
        <w:rPr>
          <w:i/>
        </w:rPr>
        <w:t>]</w:t>
      </w:r>
    </w:p>
    <w:p w14:paraId="40D025B3" w14:textId="77777777" w:rsidR="00157AAA" w:rsidRDefault="006C1BE5">
      <w:pPr>
        <w:tabs>
          <w:tab w:val="right" w:pos="9360"/>
        </w:tabs>
        <w:spacing w:before="120"/>
        <w:ind w:left="720" w:hanging="720"/>
        <w:jc w:val="left"/>
      </w:pPr>
      <w:r>
        <w:t xml:space="preserve">Alternative No.: </w:t>
      </w:r>
      <w:r>
        <w:rPr>
          <w:i/>
          <w:iCs/>
        </w:rPr>
        <w:t xml:space="preserve">[insert </w:t>
      </w:r>
      <w:r>
        <w:rPr>
          <w:b/>
          <w:i/>
          <w:iCs/>
        </w:rPr>
        <w:t xml:space="preserve">identification No if this is a Bid for an alternative, </w:t>
      </w:r>
      <w:r>
        <w:rPr>
          <w:i/>
          <w:iCs/>
        </w:rPr>
        <w:t>otherwise state</w:t>
      </w:r>
      <w:r>
        <w:rPr>
          <w:b/>
          <w:i/>
          <w:iCs/>
        </w:rPr>
        <w:t xml:space="preserve"> “not applicable”</w:t>
      </w:r>
      <w:r>
        <w:rPr>
          <w:i/>
          <w:iCs/>
        </w:rPr>
        <w:t>]</w:t>
      </w:r>
    </w:p>
    <w:p w14:paraId="0C4326DC" w14:textId="77777777" w:rsidR="00157AAA" w:rsidRDefault="006C1BE5">
      <w:pPr>
        <w:spacing w:before="120"/>
        <w:ind w:left="720" w:hanging="720"/>
        <w:jc w:val="right"/>
      </w:pPr>
      <w:r>
        <w:t>Page ________ of_ ______ pages</w:t>
      </w:r>
    </w:p>
    <w:p w14:paraId="07368FCE" w14:textId="77777777" w:rsidR="00157AAA" w:rsidRDefault="00157AAA">
      <w:pPr>
        <w:spacing w:after="0"/>
        <w:jc w:val="left"/>
        <w:rPr>
          <w:spacing w:val="-2"/>
        </w:rPr>
      </w:pP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0"/>
      </w:tblGrid>
      <w:tr w:rsidR="00157AAA" w14:paraId="1491D945" w14:textId="77777777">
        <w:trPr>
          <w:trHeight w:val="440"/>
        </w:trPr>
        <w:tc>
          <w:tcPr>
            <w:tcW w:w="9517" w:type="dxa"/>
            <w:tcBorders>
              <w:bottom w:val="none" w:sz="4" w:space="0" w:color="000000"/>
            </w:tcBorders>
          </w:tcPr>
          <w:p w14:paraId="5337890F" w14:textId="77777777" w:rsidR="00157AAA" w:rsidRDefault="006C1BE5">
            <w:pPr>
              <w:spacing w:before="40" w:after="160"/>
              <w:ind w:left="360" w:hanging="360"/>
            </w:pPr>
            <w:r>
              <w:t>1.</w:t>
            </w:r>
            <w:r>
              <w:tab/>
              <w:t xml:space="preserve">Bidder’s Name: </w:t>
            </w:r>
            <w:r>
              <w:rPr>
                <w:i/>
              </w:rPr>
              <w:t xml:space="preserve">[insert </w:t>
            </w:r>
            <w:r>
              <w:rPr>
                <w:b/>
                <w:i/>
              </w:rPr>
              <w:t>Bidder’s legal name</w:t>
            </w:r>
            <w:r>
              <w:rPr>
                <w:i/>
              </w:rPr>
              <w:t>]</w:t>
            </w:r>
          </w:p>
        </w:tc>
      </w:tr>
      <w:tr w:rsidR="00157AAA" w14:paraId="1C41004E" w14:textId="77777777">
        <w:trPr>
          <w:trHeight w:val="674"/>
        </w:trPr>
        <w:tc>
          <w:tcPr>
            <w:tcW w:w="9517" w:type="dxa"/>
            <w:tcBorders>
              <w:left w:val="single" w:sz="4" w:space="0" w:color="auto"/>
            </w:tcBorders>
          </w:tcPr>
          <w:p w14:paraId="3A48F738" w14:textId="77777777" w:rsidR="00157AAA" w:rsidRDefault="006C1BE5">
            <w:pPr>
              <w:spacing w:before="40" w:after="160"/>
              <w:ind w:left="360" w:hanging="360"/>
              <w:rPr>
                <w:b/>
              </w:rPr>
            </w:pPr>
            <w:r>
              <w:t>2.</w:t>
            </w:r>
            <w:r>
              <w:tab/>
              <w:t xml:space="preserve">Bidder’s JV Member’s   name: </w:t>
            </w:r>
            <w:r>
              <w:rPr>
                <w:i/>
              </w:rPr>
              <w:t xml:space="preserve">[insert </w:t>
            </w:r>
            <w:r>
              <w:rPr>
                <w:b/>
                <w:i/>
              </w:rPr>
              <w:t>JV’s Member legal name</w:t>
            </w:r>
            <w:r>
              <w:rPr>
                <w:i/>
              </w:rPr>
              <w:t>]</w:t>
            </w:r>
          </w:p>
        </w:tc>
      </w:tr>
      <w:tr w:rsidR="00157AAA" w14:paraId="3E023164" w14:textId="77777777">
        <w:trPr>
          <w:trHeight w:val="674"/>
        </w:trPr>
        <w:tc>
          <w:tcPr>
            <w:tcW w:w="9517" w:type="dxa"/>
            <w:tcBorders>
              <w:left w:val="single" w:sz="4" w:space="0" w:color="auto"/>
            </w:tcBorders>
          </w:tcPr>
          <w:p w14:paraId="04B56577" w14:textId="77777777" w:rsidR="00157AAA" w:rsidRDefault="006C1BE5">
            <w:pPr>
              <w:spacing w:before="40" w:after="160"/>
              <w:ind w:left="360" w:hanging="360"/>
              <w:rPr>
                <w:b/>
              </w:rPr>
            </w:pPr>
            <w:r>
              <w:t>3.</w:t>
            </w:r>
            <w:r>
              <w:tab/>
              <w:t xml:space="preserve">Bidder’s JV Member’s country of registration: </w:t>
            </w:r>
            <w:r>
              <w:rPr>
                <w:i/>
              </w:rPr>
              <w:t xml:space="preserve">[insert </w:t>
            </w:r>
            <w:r>
              <w:rPr>
                <w:b/>
                <w:i/>
              </w:rPr>
              <w:t xml:space="preserve">JV’s </w:t>
            </w:r>
            <w:proofErr w:type="gramStart"/>
            <w:r>
              <w:rPr>
                <w:b/>
                <w:i/>
              </w:rPr>
              <w:t>Member  country</w:t>
            </w:r>
            <w:proofErr w:type="gramEnd"/>
            <w:r>
              <w:rPr>
                <w:b/>
                <w:i/>
              </w:rPr>
              <w:t xml:space="preserve"> of registration</w:t>
            </w:r>
            <w:r>
              <w:rPr>
                <w:i/>
              </w:rPr>
              <w:t>]</w:t>
            </w:r>
          </w:p>
        </w:tc>
      </w:tr>
      <w:tr w:rsidR="00157AAA" w14:paraId="70B1931F" w14:textId="77777777">
        <w:tc>
          <w:tcPr>
            <w:tcW w:w="9517" w:type="dxa"/>
            <w:tcBorders>
              <w:left w:val="single" w:sz="4" w:space="0" w:color="auto"/>
            </w:tcBorders>
          </w:tcPr>
          <w:p w14:paraId="752D94C7" w14:textId="77777777" w:rsidR="00157AAA" w:rsidRDefault="006C1BE5">
            <w:pPr>
              <w:spacing w:before="40" w:after="160"/>
              <w:ind w:left="360" w:hanging="360"/>
            </w:pPr>
            <w:r>
              <w:t>4.</w:t>
            </w:r>
            <w:r>
              <w:tab/>
              <w:t xml:space="preserve">Bidder’s JV </w:t>
            </w:r>
            <w:proofErr w:type="gramStart"/>
            <w:r>
              <w:t>Member’s  year</w:t>
            </w:r>
            <w:proofErr w:type="gramEnd"/>
            <w:r>
              <w:t xml:space="preserve"> of registration: </w:t>
            </w:r>
            <w:r>
              <w:rPr>
                <w:i/>
              </w:rPr>
              <w:t xml:space="preserve">[insert </w:t>
            </w:r>
            <w:r>
              <w:rPr>
                <w:b/>
                <w:i/>
              </w:rPr>
              <w:t>JV’s Member year of registration</w:t>
            </w:r>
            <w:r>
              <w:rPr>
                <w:i/>
              </w:rPr>
              <w:t>]</w:t>
            </w:r>
          </w:p>
        </w:tc>
      </w:tr>
      <w:tr w:rsidR="00157AAA" w14:paraId="4EC59C53" w14:textId="77777777">
        <w:tc>
          <w:tcPr>
            <w:tcW w:w="9517" w:type="dxa"/>
            <w:tcBorders>
              <w:left w:val="single" w:sz="4" w:space="0" w:color="auto"/>
            </w:tcBorders>
          </w:tcPr>
          <w:p w14:paraId="6765FDC7" w14:textId="77777777" w:rsidR="00157AAA" w:rsidRDefault="006C1BE5">
            <w:pPr>
              <w:spacing w:before="40" w:after="160"/>
              <w:ind w:left="360" w:hanging="360"/>
            </w:pPr>
            <w:r>
              <w:t>5.</w:t>
            </w:r>
            <w:r>
              <w:tab/>
              <w:t xml:space="preserve">Bidder’s JV Member’s legal address in country of registration: </w:t>
            </w:r>
            <w:r>
              <w:rPr>
                <w:i/>
              </w:rPr>
              <w:t xml:space="preserve">[insert </w:t>
            </w:r>
            <w:r>
              <w:rPr>
                <w:b/>
                <w:i/>
              </w:rPr>
              <w:t>JV’s Member legal address in country of registration</w:t>
            </w:r>
            <w:r>
              <w:rPr>
                <w:i/>
              </w:rPr>
              <w:t>]</w:t>
            </w:r>
          </w:p>
        </w:tc>
      </w:tr>
      <w:tr w:rsidR="00157AAA" w14:paraId="20BF2744" w14:textId="77777777">
        <w:tc>
          <w:tcPr>
            <w:tcW w:w="9517" w:type="dxa"/>
          </w:tcPr>
          <w:p w14:paraId="0E0AFE9D" w14:textId="77777777" w:rsidR="00157AAA" w:rsidRDefault="006C1BE5">
            <w:pPr>
              <w:spacing w:before="40" w:after="160"/>
              <w:ind w:left="360" w:hanging="360"/>
            </w:pPr>
            <w:r>
              <w:t>6.</w:t>
            </w:r>
            <w:r>
              <w:tab/>
              <w:t>Bidder’s JV Member’s authorized representative information</w:t>
            </w:r>
          </w:p>
          <w:p w14:paraId="56D67412" w14:textId="77777777" w:rsidR="00157AAA" w:rsidRDefault="006C1BE5">
            <w:pPr>
              <w:spacing w:before="40" w:after="160"/>
              <w:ind w:left="360" w:hanging="360"/>
              <w:rPr>
                <w:b/>
              </w:rPr>
            </w:pPr>
            <w:r>
              <w:t xml:space="preserve">Name: </w:t>
            </w:r>
            <w:r>
              <w:rPr>
                <w:i/>
              </w:rPr>
              <w:t xml:space="preserve">[insert </w:t>
            </w:r>
            <w:r>
              <w:rPr>
                <w:b/>
                <w:i/>
              </w:rPr>
              <w:t>name of JV’s Member authorized representative</w:t>
            </w:r>
            <w:r>
              <w:rPr>
                <w:i/>
              </w:rPr>
              <w:t>]</w:t>
            </w:r>
          </w:p>
          <w:p w14:paraId="7C2FC8BA" w14:textId="77777777" w:rsidR="00157AAA" w:rsidRDefault="006C1BE5">
            <w:pPr>
              <w:spacing w:before="40" w:after="160"/>
              <w:ind w:left="360" w:hanging="360"/>
              <w:rPr>
                <w:b/>
              </w:rPr>
            </w:pPr>
            <w:r>
              <w:t xml:space="preserve">Address: </w:t>
            </w:r>
            <w:r>
              <w:rPr>
                <w:i/>
              </w:rPr>
              <w:t xml:space="preserve">[insert </w:t>
            </w:r>
            <w:r>
              <w:rPr>
                <w:b/>
                <w:i/>
              </w:rPr>
              <w:t>address of JV’s Member authorized representative</w:t>
            </w:r>
            <w:r>
              <w:rPr>
                <w:i/>
              </w:rPr>
              <w:t>]</w:t>
            </w:r>
          </w:p>
          <w:p w14:paraId="503480E1" w14:textId="77777777" w:rsidR="00157AAA" w:rsidRDefault="006C1BE5">
            <w:pPr>
              <w:spacing w:before="40" w:after="160"/>
              <w:ind w:left="360" w:hanging="360"/>
              <w:rPr>
                <w:i/>
              </w:rPr>
            </w:pPr>
            <w:r>
              <w:t xml:space="preserve">Telephone/Fax numbers: </w:t>
            </w:r>
            <w:r>
              <w:rPr>
                <w:i/>
              </w:rPr>
              <w:t xml:space="preserve">[insert </w:t>
            </w:r>
            <w:r>
              <w:rPr>
                <w:b/>
                <w:i/>
              </w:rPr>
              <w:t>telephone/fax numbers of JV’s Member authorized representative</w:t>
            </w:r>
            <w:r>
              <w:rPr>
                <w:i/>
              </w:rPr>
              <w:t>]</w:t>
            </w:r>
          </w:p>
          <w:p w14:paraId="09411494" w14:textId="77777777" w:rsidR="00157AAA" w:rsidRDefault="006C1BE5">
            <w:pPr>
              <w:spacing w:before="40" w:after="160"/>
              <w:ind w:left="360" w:hanging="360"/>
            </w:pPr>
            <w:r>
              <w:t xml:space="preserve">Email Address: </w:t>
            </w:r>
            <w:r>
              <w:rPr>
                <w:i/>
              </w:rPr>
              <w:t xml:space="preserve">[insert </w:t>
            </w:r>
            <w:r>
              <w:rPr>
                <w:b/>
                <w:i/>
              </w:rPr>
              <w:t>email address of JV’s Member authorized representative</w:t>
            </w:r>
            <w:r>
              <w:rPr>
                <w:i/>
              </w:rPr>
              <w:t>]</w:t>
            </w:r>
          </w:p>
        </w:tc>
      </w:tr>
      <w:tr w:rsidR="00157AAA" w14:paraId="3E9805E1" w14:textId="77777777">
        <w:trPr>
          <w:trHeight w:val="3248"/>
        </w:trPr>
        <w:tc>
          <w:tcPr>
            <w:tcW w:w="9517" w:type="dxa"/>
          </w:tcPr>
          <w:p w14:paraId="605229B4" w14:textId="77777777" w:rsidR="00157AAA" w:rsidRDefault="006C1BE5">
            <w:pPr>
              <w:spacing w:before="40"/>
              <w:ind w:left="540" w:hanging="450"/>
              <w:jc w:val="left"/>
              <w:rPr>
                <w:spacing w:val="-2"/>
                <w:sz w:val="22"/>
                <w:szCs w:val="22"/>
              </w:rPr>
            </w:pPr>
            <w:r>
              <w:rPr>
                <w:spacing w:val="-2"/>
              </w:rPr>
              <w:lastRenderedPageBreak/>
              <w:t>7.</w:t>
            </w:r>
            <w:r>
              <w:rPr>
                <w:spacing w:val="-2"/>
              </w:rPr>
              <w:tab/>
            </w:r>
            <w:r>
              <w:rPr>
                <w:spacing w:val="-2"/>
                <w:sz w:val="22"/>
                <w:szCs w:val="22"/>
              </w:rPr>
              <w:t xml:space="preserve"> Attached are copies of original documents of </w:t>
            </w:r>
            <w:r>
              <w:rPr>
                <w:i/>
              </w:rPr>
              <w:t>[check the box(es) of the attached original documents]</w:t>
            </w:r>
          </w:p>
          <w:p w14:paraId="4B16BB9A" w14:textId="77777777" w:rsidR="00157AAA" w:rsidRDefault="006C1BE5">
            <w:pPr>
              <w:spacing w:before="40"/>
              <w:ind w:left="540" w:hanging="450"/>
              <w:jc w:val="left"/>
              <w:rPr>
                <w:spacing w:val="-8"/>
                <w:sz w:val="22"/>
                <w:szCs w:val="22"/>
              </w:rPr>
            </w:pPr>
            <w:r>
              <w:rPr>
                <w:rFonts w:ascii="Wingdings" w:eastAsia="Wingdings" w:hAnsi="Wingdings" w:cs="Wingdings"/>
                <w:spacing w:val="-2"/>
              </w:rPr>
              <w:t></w:t>
            </w:r>
            <w:r>
              <w:rPr>
                <w:rFonts w:eastAsia="MS Mincho"/>
                <w:spacing w:val="-2"/>
              </w:rPr>
              <w:tab/>
            </w:r>
            <w:r>
              <w:rPr>
                <w:spacing w:val="-2"/>
                <w:sz w:val="22"/>
                <w:szCs w:val="22"/>
              </w:rPr>
              <w:t xml:space="preserve">Articles of Incorporation (or equivalent documents of constitution or association), and/or registration documents of the </w:t>
            </w:r>
            <w:r>
              <w:rPr>
                <w:spacing w:val="-8"/>
                <w:sz w:val="22"/>
                <w:szCs w:val="22"/>
              </w:rPr>
              <w:t>legal entity named above, in accordance with ITB 4.4.</w:t>
            </w:r>
          </w:p>
          <w:p w14:paraId="4227DB49" w14:textId="77777777" w:rsidR="00157AAA" w:rsidRDefault="006C1BE5">
            <w:pPr>
              <w:spacing w:before="40"/>
              <w:ind w:left="540" w:hanging="450"/>
              <w:jc w:val="left"/>
              <w:rPr>
                <w:spacing w:val="-2"/>
                <w:sz w:val="22"/>
                <w:szCs w:val="22"/>
              </w:rPr>
            </w:pPr>
            <w:r>
              <w:rPr>
                <w:rFonts w:ascii="Wingdings" w:eastAsia="Wingdings" w:hAnsi="Wingdings" w:cs="Wingdings"/>
                <w:spacing w:val="-2"/>
              </w:rPr>
              <w:t></w:t>
            </w:r>
            <w:r>
              <w:rPr>
                <w:spacing w:val="-2"/>
                <w:sz w:val="22"/>
                <w:szCs w:val="22"/>
              </w:rPr>
              <w:t xml:space="preserve"> </w:t>
            </w:r>
            <w:proofErr w:type="gramStart"/>
            <w:r>
              <w:rPr>
                <w:spacing w:val="-2"/>
                <w:sz w:val="22"/>
                <w:szCs w:val="22"/>
              </w:rPr>
              <w:tab/>
              <w:t>In</w:t>
            </w:r>
            <w:proofErr w:type="gramEnd"/>
            <w:r>
              <w:rPr>
                <w:spacing w:val="-2"/>
                <w:sz w:val="22"/>
                <w:szCs w:val="22"/>
              </w:rPr>
              <w:t xml:space="preserve"> case of a state-owned enterprise or institution, documents establishing legal and financial autonomy, operation in accordance with commercial law, and they are not under the supervision of the Purchaser in accordance with ITB 4.6.</w:t>
            </w:r>
          </w:p>
          <w:p w14:paraId="0E145F48" w14:textId="77777777" w:rsidR="00157AAA" w:rsidRDefault="006C1BE5">
            <w:pPr>
              <w:spacing w:before="40"/>
              <w:ind w:left="540" w:hanging="450"/>
              <w:jc w:val="left"/>
              <w:rPr>
                <w:spacing w:val="-2"/>
              </w:rPr>
            </w:pPr>
            <w:r>
              <w:rPr>
                <w:spacing w:val="-2"/>
                <w:sz w:val="22"/>
                <w:szCs w:val="22"/>
              </w:rPr>
              <w:t xml:space="preserve">8. Included are the organizational chart, a list of Board of Directors, and the beneficial ownership. </w:t>
            </w:r>
            <w:r>
              <w:rPr>
                <w:i/>
                <w:spacing w:val="-2"/>
                <w:sz w:val="22"/>
                <w:szCs w:val="22"/>
              </w:rPr>
              <w:t>[If required under BDS ITB 47.1, the successful Bidder shall provide additional information on beneficial ownership for each JV member using the Beneficial Ownership Disclosure Form.]</w:t>
            </w:r>
          </w:p>
        </w:tc>
      </w:tr>
    </w:tbl>
    <w:p w14:paraId="69264F78" w14:textId="77777777" w:rsidR="00157AAA" w:rsidRDefault="006C1BE5">
      <w:pPr>
        <w:spacing w:after="0"/>
        <w:jc w:val="left"/>
        <w:rPr>
          <w:b/>
        </w:rPr>
      </w:pPr>
      <w:r>
        <w:rPr>
          <w:b/>
        </w:rPr>
        <w:br w:type="page" w:clear="all"/>
      </w:r>
    </w:p>
    <w:p w14:paraId="7DC39A6A" w14:textId="77777777" w:rsidR="00157AAA" w:rsidRDefault="006C1BE5">
      <w:pPr>
        <w:pStyle w:val="S4-header1"/>
        <w:rPr>
          <w:smallCaps/>
        </w:rPr>
      </w:pPr>
      <w:bookmarkStart w:id="593" w:name="_Toc163506161"/>
      <w:r>
        <w:rPr>
          <w:smallCaps/>
        </w:rPr>
        <w:lastRenderedPageBreak/>
        <w:t>Form CON – 2- Historical Contract Non-Performance, Pending Litigation and Litigation History</w:t>
      </w:r>
      <w:bookmarkEnd w:id="593"/>
    </w:p>
    <w:p w14:paraId="5407BCF5" w14:textId="77777777" w:rsidR="00157AAA" w:rsidRDefault="006C1BE5">
      <w:pPr>
        <w:jc w:val="left"/>
      </w:pPr>
      <w:r>
        <w:t>In case a prequalification process was conducted this form should be used only if the information submitted at the time of prequalification requires updating</w:t>
      </w:r>
    </w:p>
    <w:p w14:paraId="47E8E4EF" w14:textId="77777777" w:rsidR="00157AAA" w:rsidRDefault="006C1BE5">
      <w:pPr>
        <w:tabs>
          <w:tab w:val="right" w:pos="9000"/>
          <w:tab w:val="right" w:pos="9630"/>
        </w:tabs>
        <w:spacing w:before="120"/>
        <w:jc w:val="left"/>
      </w:pPr>
      <w:r>
        <w:t xml:space="preserve">Bidder’s Legal Name: </w:t>
      </w:r>
      <w:r>
        <w:rPr>
          <w:i/>
        </w:rPr>
        <w:t xml:space="preserve">[insert </w:t>
      </w:r>
      <w:r>
        <w:rPr>
          <w:b/>
          <w:i/>
        </w:rPr>
        <w:t>Bidder’s Legal Name</w:t>
      </w:r>
      <w:r>
        <w:rPr>
          <w:i/>
        </w:rPr>
        <w:t>]</w:t>
      </w:r>
      <w:r>
        <w:t xml:space="preserve">  </w:t>
      </w:r>
    </w:p>
    <w:p w14:paraId="4CA38E2C" w14:textId="77777777" w:rsidR="00157AAA" w:rsidRDefault="006C1BE5">
      <w:pPr>
        <w:tabs>
          <w:tab w:val="right" w:pos="9000"/>
          <w:tab w:val="right" w:pos="9630"/>
        </w:tabs>
        <w:spacing w:before="120"/>
        <w:jc w:val="left"/>
      </w:pPr>
      <w:r>
        <w:t xml:space="preserve">Date: </w:t>
      </w:r>
      <w:r>
        <w:rPr>
          <w:u w:val="single"/>
        </w:rPr>
        <w:t xml:space="preserve">              </w:t>
      </w:r>
      <w:proofErr w:type="gramStart"/>
      <w:r>
        <w:rPr>
          <w:u w:val="single"/>
        </w:rPr>
        <w:t xml:space="preserve">   </w:t>
      </w:r>
      <w:r>
        <w:rPr>
          <w:i/>
        </w:rPr>
        <w:t>[</w:t>
      </w:r>
      <w:proofErr w:type="gramEnd"/>
      <w:r>
        <w:rPr>
          <w:i/>
        </w:rPr>
        <w:t xml:space="preserve">insert </w:t>
      </w:r>
      <w:r>
        <w:rPr>
          <w:b/>
          <w:i/>
        </w:rPr>
        <w:t>date</w:t>
      </w:r>
      <w:r>
        <w:rPr>
          <w:i/>
        </w:rPr>
        <w:t>]</w:t>
      </w:r>
    </w:p>
    <w:p w14:paraId="399216A9" w14:textId="77777777" w:rsidR="00157AAA" w:rsidRDefault="006C1BE5">
      <w:pPr>
        <w:tabs>
          <w:tab w:val="right" w:pos="9000"/>
          <w:tab w:val="right" w:pos="9630"/>
        </w:tabs>
        <w:spacing w:before="120"/>
        <w:jc w:val="left"/>
      </w:pPr>
      <w:r>
        <w:t>JV member Legal Name</w:t>
      </w:r>
      <w:proofErr w:type="gramStart"/>
      <w:r>
        <w:t xml:space="preserve">:  </w:t>
      </w:r>
      <w:r>
        <w:rPr>
          <w:i/>
        </w:rPr>
        <w:t>[</w:t>
      </w:r>
      <w:proofErr w:type="gramEnd"/>
      <w:r>
        <w:rPr>
          <w:i/>
        </w:rPr>
        <w:t xml:space="preserve">insert </w:t>
      </w:r>
      <w:r>
        <w:rPr>
          <w:b/>
          <w:i/>
        </w:rPr>
        <w:t>JV Member Legal Name</w:t>
      </w:r>
      <w:r>
        <w:rPr>
          <w:i/>
        </w:rPr>
        <w:t>]</w:t>
      </w:r>
    </w:p>
    <w:p w14:paraId="347C21B8" w14:textId="77777777" w:rsidR="00157AAA" w:rsidRDefault="006C1BE5">
      <w:pPr>
        <w:tabs>
          <w:tab w:val="right" w:pos="9000"/>
          <w:tab w:val="right" w:pos="9630"/>
        </w:tabs>
        <w:spacing w:before="120"/>
        <w:jc w:val="left"/>
      </w:pPr>
      <w:r>
        <w:t>RFB No.</w:t>
      </w:r>
      <w:proofErr w:type="gramStart"/>
      <w:r>
        <w:t xml:space="preserve">:  </w:t>
      </w:r>
      <w:r>
        <w:rPr>
          <w:i/>
        </w:rPr>
        <w:t>[</w:t>
      </w:r>
      <w:proofErr w:type="gramEnd"/>
      <w:r>
        <w:rPr>
          <w:i/>
        </w:rPr>
        <w:t xml:space="preserve">insert </w:t>
      </w:r>
      <w:r>
        <w:rPr>
          <w:b/>
          <w:i/>
        </w:rPr>
        <w:t>RFB number</w:t>
      </w:r>
      <w:r>
        <w:rPr>
          <w:i/>
        </w:rPr>
        <w:t>]</w:t>
      </w:r>
      <w:r>
        <w:t xml:space="preserve"> </w:t>
      </w:r>
    </w:p>
    <w:p w14:paraId="19265EE5" w14:textId="77777777" w:rsidR="00157AAA" w:rsidRDefault="006C1BE5">
      <w:pPr>
        <w:tabs>
          <w:tab w:val="right" w:pos="9000"/>
        </w:tabs>
        <w:spacing w:before="120"/>
        <w:jc w:val="right"/>
      </w:pPr>
      <w:r>
        <w:t xml:space="preserve">Page _______ of _______ pages </w:t>
      </w:r>
    </w:p>
    <w:tbl>
      <w:tblPr>
        <w:tblW w:w="8640" w:type="dxa"/>
        <w:tblInd w:w="3" w:type="dxa"/>
        <w:tblLayout w:type="fixed"/>
        <w:tblCellMar>
          <w:left w:w="0" w:type="dxa"/>
          <w:right w:w="0" w:type="dxa"/>
        </w:tblCellMar>
        <w:tblLook w:val="0000" w:firstRow="0" w:lastRow="0" w:firstColumn="0" w:lastColumn="0" w:noHBand="0" w:noVBand="0"/>
      </w:tblPr>
      <w:tblGrid>
        <w:gridCol w:w="891"/>
        <w:gridCol w:w="1409"/>
        <w:gridCol w:w="4717"/>
        <w:gridCol w:w="1623"/>
      </w:tblGrid>
      <w:tr w:rsidR="00157AAA" w14:paraId="2DF92A06" w14:textId="77777777">
        <w:tc>
          <w:tcPr>
            <w:tcW w:w="9389" w:type="dxa"/>
            <w:gridSpan w:val="4"/>
            <w:tcBorders>
              <w:top w:val="single" w:sz="2" w:space="0" w:color="auto"/>
              <w:left w:val="single" w:sz="2" w:space="0" w:color="auto"/>
              <w:bottom w:val="single" w:sz="2" w:space="0" w:color="auto"/>
              <w:right w:val="single" w:sz="2" w:space="0" w:color="auto"/>
            </w:tcBorders>
          </w:tcPr>
          <w:p w14:paraId="701342DE" w14:textId="77777777" w:rsidR="00157AAA" w:rsidRDefault="006C1BE5">
            <w:pPr>
              <w:spacing w:before="60" w:after="60"/>
              <w:jc w:val="left"/>
              <w:rPr>
                <w:spacing w:val="-4"/>
              </w:rPr>
            </w:pPr>
            <w:r>
              <w:rPr>
                <w:spacing w:val="-4"/>
              </w:rPr>
              <w:t xml:space="preserve">Non-Performed Contracts in accordance with Section III, Evaluation and Qualification Criteria </w:t>
            </w:r>
          </w:p>
        </w:tc>
      </w:tr>
      <w:tr w:rsidR="00157AAA" w14:paraId="543B1761" w14:textId="77777777">
        <w:tc>
          <w:tcPr>
            <w:tcW w:w="9389" w:type="dxa"/>
            <w:gridSpan w:val="4"/>
            <w:tcBorders>
              <w:top w:val="single" w:sz="2" w:space="0" w:color="auto"/>
              <w:left w:val="single" w:sz="2" w:space="0" w:color="auto"/>
              <w:bottom w:val="single" w:sz="2" w:space="0" w:color="auto"/>
              <w:right w:val="single" w:sz="2" w:space="0" w:color="auto"/>
            </w:tcBorders>
          </w:tcPr>
          <w:p w14:paraId="4ACDE6E5" w14:textId="77777777" w:rsidR="00157AAA" w:rsidRDefault="006C1BE5">
            <w:pPr>
              <w:spacing w:before="60" w:after="60"/>
              <w:ind w:left="540" w:hanging="441"/>
              <w:rPr>
                <w:spacing w:val="-4"/>
              </w:rPr>
            </w:pPr>
            <w:r>
              <w:rPr>
                <w:rFonts w:ascii="Wingdings" w:eastAsia="Wingdings" w:hAnsi="Wingdings" w:cs="Wingdings"/>
                <w:spacing w:val="-2"/>
              </w:rPr>
              <w:t></w:t>
            </w:r>
            <w:r>
              <w:rPr>
                <w:rFonts w:ascii="MS Mincho" w:eastAsia="MS Mincho" w:hAnsi="MS Mincho" w:cs="MS Mincho"/>
                <w:spacing w:val="-2"/>
              </w:rPr>
              <w:tab/>
            </w:r>
            <w:r>
              <w:rPr>
                <w:spacing w:val="-6"/>
              </w:rPr>
              <w:t>Contract non-performance did not occur since 1</w:t>
            </w:r>
            <w:r>
              <w:rPr>
                <w:spacing w:val="-6"/>
                <w:vertAlign w:val="superscript"/>
              </w:rPr>
              <w:t>st</w:t>
            </w:r>
            <w:r>
              <w:rPr>
                <w:spacing w:val="-6"/>
              </w:rPr>
              <w:t xml:space="preserve"> January </w:t>
            </w:r>
            <w:r>
              <w:rPr>
                <w:i/>
                <w:spacing w:val="-6"/>
              </w:rPr>
              <w:t>[insert year]</w:t>
            </w:r>
            <w:r>
              <w:rPr>
                <w:i/>
                <w:iCs/>
                <w:spacing w:val="-6"/>
              </w:rPr>
              <w:t xml:space="preserve"> </w:t>
            </w:r>
            <w:r>
              <w:rPr>
                <w:spacing w:val="-4"/>
              </w:rPr>
              <w:t xml:space="preserve">specified in Section III, Evaluation and </w:t>
            </w:r>
            <w:r>
              <w:rPr>
                <w:spacing w:val="-7"/>
              </w:rPr>
              <w:t xml:space="preserve">Qualification Criteria, Sub-Factor </w:t>
            </w:r>
            <w:r>
              <w:rPr>
                <w:spacing w:val="-4"/>
              </w:rPr>
              <w:t>5.2.1.</w:t>
            </w:r>
          </w:p>
          <w:p w14:paraId="581FBA4E" w14:textId="77777777" w:rsidR="00157AAA" w:rsidRDefault="006C1BE5">
            <w:pPr>
              <w:spacing w:before="60" w:after="60"/>
              <w:ind w:left="540" w:hanging="441"/>
              <w:rPr>
                <w:spacing w:val="-4"/>
              </w:rPr>
            </w:pPr>
            <w:r>
              <w:rPr>
                <w:rFonts w:ascii="Wingdings" w:eastAsia="Wingdings" w:hAnsi="Wingdings" w:cs="Wingdings"/>
                <w:spacing w:val="-2"/>
              </w:rPr>
              <w:t></w:t>
            </w:r>
            <w:r>
              <w:rPr>
                <w:spacing w:val="-4"/>
              </w:rPr>
              <w:tab/>
              <w:t xml:space="preserve">Contract(s) not performed </w:t>
            </w:r>
            <w:r>
              <w:rPr>
                <w:spacing w:val="-6"/>
              </w:rPr>
              <w:t>since 1</w:t>
            </w:r>
            <w:r>
              <w:rPr>
                <w:spacing w:val="-6"/>
                <w:vertAlign w:val="superscript"/>
              </w:rPr>
              <w:t>st</w:t>
            </w:r>
            <w:r>
              <w:rPr>
                <w:spacing w:val="-6"/>
              </w:rPr>
              <w:t xml:space="preserve"> January </w:t>
            </w:r>
            <w:r>
              <w:rPr>
                <w:i/>
                <w:spacing w:val="-6"/>
              </w:rPr>
              <w:t>[insert year]</w:t>
            </w:r>
            <w:r>
              <w:rPr>
                <w:spacing w:val="-4"/>
              </w:rPr>
              <w:t xml:space="preserve"> specified in Section III, Evaluation and Qualification Criteria, requirement 5.2.1</w:t>
            </w:r>
          </w:p>
        </w:tc>
      </w:tr>
      <w:tr w:rsidR="00157AAA" w14:paraId="184108DA" w14:textId="77777777">
        <w:tc>
          <w:tcPr>
            <w:tcW w:w="968" w:type="dxa"/>
            <w:tcBorders>
              <w:top w:val="single" w:sz="2" w:space="0" w:color="auto"/>
              <w:left w:val="single" w:sz="2" w:space="0" w:color="auto"/>
              <w:bottom w:val="single" w:sz="2" w:space="0" w:color="auto"/>
              <w:right w:val="single" w:sz="2" w:space="0" w:color="auto"/>
            </w:tcBorders>
          </w:tcPr>
          <w:p w14:paraId="79FCC44B" w14:textId="77777777" w:rsidR="00157AAA" w:rsidRDefault="006C1BE5">
            <w:pPr>
              <w:spacing w:before="60" w:after="60"/>
              <w:ind w:left="102"/>
              <w:rPr>
                <w:b/>
                <w:bCs/>
                <w:color w:val="000000" w:themeColor="text1"/>
                <w:spacing w:val="-4"/>
              </w:rPr>
            </w:pPr>
            <w:r>
              <w:rPr>
                <w:b/>
                <w:bCs/>
                <w:color w:val="000000" w:themeColor="text1"/>
                <w:spacing w:val="-4"/>
              </w:rPr>
              <w:t>Year</w:t>
            </w:r>
          </w:p>
        </w:tc>
        <w:tc>
          <w:tcPr>
            <w:tcW w:w="1530" w:type="dxa"/>
            <w:tcBorders>
              <w:top w:val="single" w:sz="2" w:space="0" w:color="auto"/>
              <w:left w:val="single" w:sz="2" w:space="0" w:color="auto"/>
              <w:bottom w:val="single" w:sz="2" w:space="0" w:color="auto"/>
              <w:right w:val="single" w:sz="2" w:space="0" w:color="auto"/>
            </w:tcBorders>
          </w:tcPr>
          <w:p w14:paraId="71036C33" w14:textId="77777777" w:rsidR="00157AAA" w:rsidRDefault="006C1BE5">
            <w:pPr>
              <w:spacing w:before="60" w:after="60"/>
              <w:ind w:left="112"/>
              <w:jc w:val="center"/>
              <w:rPr>
                <w:b/>
                <w:bCs/>
                <w:color w:val="000000" w:themeColor="text1"/>
                <w:spacing w:val="-4"/>
              </w:rPr>
            </w:pPr>
            <w:r>
              <w:rPr>
                <w:b/>
                <w:bCs/>
                <w:color w:val="000000" w:themeColor="text1"/>
                <w:spacing w:val="-4"/>
              </w:rPr>
              <w:t>Non- performed portion of contract</w:t>
            </w:r>
          </w:p>
        </w:tc>
        <w:tc>
          <w:tcPr>
            <w:tcW w:w="5128" w:type="dxa"/>
            <w:tcBorders>
              <w:top w:val="single" w:sz="2" w:space="0" w:color="auto"/>
              <w:left w:val="single" w:sz="2" w:space="0" w:color="auto"/>
              <w:bottom w:val="single" w:sz="2" w:space="0" w:color="auto"/>
              <w:right w:val="single" w:sz="2" w:space="0" w:color="auto"/>
            </w:tcBorders>
          </w:tcPr>
          <w:p w14:paraId="2B5AE394" w14:textId="77777777" w:rsidR="00157AAA" w:rsidRDefault="006C1BE5">
            <w:pPr>
              <w:spacing w:before="60" w:after="60"/>
              <w:ind w:left="1323"/>
              <w:rPr>
                <w:b/>
                <w:bCs/>
                <w:color w:val="000000" w:themeColor="text1"/>
                <w:spacing w:val="-4"/>
              </w:rPr>
            </w:pPr>
            <w:r>
              <w:rPr>
                <w:b/>
                <w:bCs/>
                <w:color w:val="000000" w:themeColor="text1"/>
                <w:spacing w:val="-4"/>
              </w:rPr>
              <w:t>Contract Identification</w:t>
            </w:r>
          </w:p>
          <w:p w14:paraId="58D972C4" w14:textId="77777777" w:rsidR="00157AAA" w:rsidRDefault="00157AAA">
            <w:pPr>
              <w:spacing w:before="60" w:after="60"/>
              <w:ind w:left="60"/>
              <w:rPr>
                <w:i/>
                <w:iCs/>
                <w:color w:val="000000" w:themeColor="text1"/>
                <w:spacing w:val="-6"/>
              </w:rPr>
            </w:pPr>
          </w:p>
        </w:tc>
        <w:tc>
          <w:tcPr>
            <w:tcW w:w="1763" w:type="dxa"/>
            <w:tcBorders>
              <w:top w:val="single" w:sz="2" w:space="0" w:color="auto"/>
              <w:left w:val="single" w:sz="2" w:space="0" w:color="auto"/>
              <w:bottom w:val="single" w:sz="2" w:space="0" w:color="auto"/>
              <w:right w:val="single" w:sz="2" w:space="0" w:color="auto"/>
            </w:tcBorders>
          </w:tcPr>
          <w:p w14:paraId="2914A66A" w14:textId="77777777" w:rsidR="00157AAA" w:rsidRDefault="006C1BE5">
            <w:pPr>
              <w:spacing w:before="60" w:after="60"/>
              <w:jc w:val="center"/>
              <w:rPr>
                <w:i/>
                <w:iCs/>
                <w:color w:val="000000" w:themeColor="text1"/>
                <w:spacing w:val="-6"/>
              </w:rPr>
            </w:pPr>
            <w:r>
              <w:rPr>
                <w:b/>
                <w:bCs/>
                <w:color w:val="000000" w:themeColor="text1"/>
                <w:spacing w:val="-4"/>
              </w:rPr>
              <w:t>Total Contract Amount (current value, currency, exchange rate and US$ equivalent)</w:t>
            </w:r>
          </w:p>
        </w:tc>
      </w:tr>
      <w:tr w:rsidR="00157AAA" w14:paraId="085C6A72" w14:textId="77777777">
        <w:tc>
          <w:tcPr>
            <w:tcW w:w="968" w:type="dxa"/>
            <w:tcBorders>
              <w:top w:val="single" w:sz="2" w:space="0" w:color="auto"/>
              <w:left w:val="single" w:sz="2" w:space="0" w:color="auto"/>
              <w:bottom w:val="single" w:sz="2" w:space="0" w:color="auto"/>
              <w:right w:val="single" w:sz="2" w:space="0" w:color="auto"/>
            </w:tcBorders>
          </w:tcPr>
          <w:p w14:paraId="11FD4C98" w14:textId="77777777" w:rsidR="00157AAA" w:rsidRDefault="006C1BE5">
            <w:pPr>
              <w:spacing w:before="60" w:after="60"/>
              <w:rPr>
                <w:color w:val="000000" w:themeColor="text1"/>
              </w:rPr>
            </w:pPr>
            <w:r>
              <w:rPr>
                <w:i/>
                <w:iCs/>
                <w:color w:val="000000" w:themeColor="text1"/>
                <w:spacing w:val="-6"/>
              </w:rPr>
              <w:t xml:space="preserve">[insert </w:t>
            </w:r>
            <w:r>
              <w:rPr>
                <w:b/>
                <w:i/>
                <w:iCs/>
                <w:color w:val="000000" w:themeColor="text1"/>
                <w:spacing w:val="-9"/>
              </w:rPr>
              <w:t>year</w:t>
            </w:r>
            <w:r>
              <w:rPr>
                <w:i/>
                <w:iCs/>
                <w:color w:val="000000" w:themeColor="text1"/>
                <w:spacing w:val="-9"/>
              </w:rPr>
              <w:t>]</w:t>
            </w:r>
          </w:p>
        </w:tc>
        <w:tc>
          <w:tcPr>
            <w:tcW w:w="1530" w:type="dxa"/>
            <w:tcBorders>
              <w:top w:val="single" w:sz="2" w:space="0" w:color="auto"/>
              <w:left w:val="single" w:sz="2" w:space="0" w:color="auto"/>
              <w:bottom w:val="single" w:sz="2" w:space="0" w:color="auto"/>
              <w:right w:val="single" w:sz="2" w:space="0" w:color="auto"/>
            </w:tcBorders>
          </w:tcPr>
          <w:p w14:paraId="3D701BF1" w14:textId="77777777" w:rsidR="00157AAA" w:rsidRDefault="006C1BE5">
            <w:pPr>
              <w:spacing w:before="60" w:after="60"/>
              <w:rPr>
                <w:color w:val="000000" w:themeColor="text1"/>
              </w:rPr>
            </w:pPr>
            <w:r>
              <w:rPr>
                <w:i/>
                <w:iCs/>
                <w:color w:val="000000" w:themeColor="text1"/>
                <w:spacing w:val="-6"/>
              </w:rPr>
              <w:t xml:space="preserve">[insert </w:t>
            </w:r>
            <w:r>
              <w:rPr>
                <w:b/>
                <w:i/>
                <w:iCs/>
                <w:color w:val="000000" w:themeColor="text1"/>
                <w:spacing w:val="-6"/>
              </w:rPr>
              <w:t>amount and percentage</w:t>
            </w:r>
            <w:r>
              <w:rPr>
                <w:i/>
                <w:iCs/>
                <w:color w:val="000000" w:themeColor="text1"/>
                <w:spacing w:val="-6"/>
              </w:rPr>
              <w:t>]</w:t>
            </w:r>
          </w:p>
        </w:tc>
        <w:tc>
          <w:tcPr>
            <w:tcW w:w="5128" w:type="dxa"/>
            <w:tcBorders>
              <w:top w:val="single" w:sz="2" w:space="0" w:color="auto"/>
              <w:left w:val="single" w:sz="2" w:space="0" w:color="auto"/>
              <w:bottom w:val="single" w:sz="2" w:space="0" w:color="auto"/>
              <w:right w:val="single" w:sz="2" w:space="0" w:color="auto"/>
            </w:tcBorders>
          </w:tcPr>
          <w:p w14:paraId="10ECB349" w14:textId="77777777" w:rsidR="00157AAA" w:rsidRDefault="006C1BE5">
            <w:pPr>
              <w:spacing w:before="60" w:after="60"/>
              <w:ind w:left="60"/>
              <w:jc w:val="left"/>
              <w:rPr>
                <w:i/>
                <w:iCs/>
                <w:color w:val="000000" w:themeColor="text1"/>
                <w:spacing w:val="-6"/>
              </w:rPr>
            </w:pPr>
            <w:r>
              <w:rPr>
                <w:color w:val="000000" w:themeColor="text1"/>
                <w:spacing w:val="-4"/>
              </w:rPr>
              <w:t xml:space="preserve">Contract Identification: </w:t>
            </w:r>
            <w:r>
              <w:rPr>
                <w:i/>
                <w:iCs/>
                <w:color w:val="000000" w:themeColor="text1"/>
                <w:spacing w:val="-6"/>
              </w:rPr>
              <w:t xml:space="preserve">[indicate </w:t>
            </w:r>
            <w:r>
              <w:rPr>
                <w:b/>
                <w:i/>
                <w:iCs/>
                <w:color w:val="000000" w:themeColor="text1"/>
                <w:spacing w:val="-6"/>
              </w:rPr>
              <w:t>complete contract name/ number, and any other identification</w:t>
            </w:r>
            <w:r>
              <w:rPr>
                <w:i/>
                <w:iCs/>
                <w:color w:val="000000" w:themeColor="text1"/>
                <w:spacing w:val="-6"/>
              </w:rPr>
              <w:t>]</w:t>
            </w:r>
          </w:p>
          <w:p w14:paraId="63A6BCFA" w14:textId="77777777" w:rsidR="00157AAA" w:rsidRDefault="006C1BE5">
            <w:pPr>
              <w:spacing w:before="60" w:after="60"/>
              <w:ind w:left="60"/>
              <w:jc w:val="left"/>
              <w:rPr>
                <w:i/>
                <w:iCs/>
                <w:color w:val="000000" w:themeColor="text1"/>
                <w:spacing w:val="-6"/>
              </w:rPr>
            </w:pPr>
            <w:r>
              <w:rPr>
                <w:color w:val="000000" w:themeColor="text1"/>
                <w:spacing w:val="-4"/>
              </w:rPr>
              <w:t xml:space="preserve">Name of Employer: </w:t>
            </w:r>
            <w:r>
              <w:rPr>
                <w:i/>
                <w:iCs/>
                <w:color w:val="000000" w:themeColor="text1"/>
                <w:spacing w:val="-6"/>
              </w:rPr>
              <w:t xml:space="preserve">[insert </w:t>
            </w:r>
            <w:r>
              <w:rPr>
                <w:b/>
                <w:i/>
                <w:iCs/>
                <w:color w:val="000000" w:themeColor="text1"/>
                <w:spacing w:val="-6"/>
              </w:rPr>
              <w:t>full name</w:t>
            </w:r>
            <w:r>
              <w:rPr>
                <w:i/>
                <w:iCs/>
                <w:color w:val="000000" w:themeColor="text1"/>
                <w:spacing w:val="-6"/>
              </w:rPr>
              <w:t>]</w:t>
            </w:r>
          </w:p>
          <w:p w14:paraId="0EACAB46" w14:textId="77777777" w:rsidR="00157AAA" w:rsidRDefault="006C1BE5">
            <w:pPr>
              <w:spacing w:before="60" w:after="60"/>
              <w:ind w:left="58"/>
              <w:jc w:val="left"/>
              <w:rPr>
                <w:i/>
                <w:iCs/>
                <w:color w:val="000000" w:themeColor="text1"/>
                <w:spacing w:val="-6"/>
              </w:rPr>
            </w:pPr>
            <w:r>
              <w:rPr>
                <w:color w:val="000000" w:themeColor="text1"/>
                <w:spacing w:val="-4"/>
              </w:rPr>
              <w:t xml:space="preserve">Address of Employer: </w:t>
            </w:r>
            <w:r>
              <w:rPr>
                <w:i/>
                <w:iCs/>
                <w:color w:val="000000" w:themeColor="text1"/>
                <w:spacing w:val="-6"/>
              </w:rPr>
              <w:t xml:space="preserve">[insert </w:t>
            </w:r>
            <w:r>
              <w:rPr>
                <w:b/>
                <w:i/>
                <w:iCs/>
                <w:color w:val="000000" w:themeColor="text1"/>
                <w:spacing w:val="-6"/>
              </w:rPr>
              <w:t>street/city/country</w:t>
            </w:r>
            <w:r>
              <w:rPr>
                <w:i/>
                <w:iCs/>
                <w:color w:val="000000" w:themeColor="text1"/>
                <w:spacing w:val="-6"/>
              </w:rPr>
              <w:t>]</w:t>
            </w:r>
          </w:p>
          <w:p w14:paraId="113357DA" w14:textId="77777777" w:rsidR="00157AAA" w:rsidRDefault="006C1BE5">
            <w:pPr>
              <w:spacing w:before="60" w:after="60"/>
              <w:ind w:left="58"/>
              <w:jc w:val="left"/>
              <w:rPr>
                <w:color w:val="000000" w:themeColor="text1"/>
              </w:rPr>
            </w:pPr>
            <w:r>
              <w:rPr>
                <w:color w:val="000000" w:themeColor="text1"/>
                <w:spacing w:val="-4"/>
              </w:rPr>
              <w:t xml:space="preserve">Reason(s) for nonperformance: </w:t>
            </w:r>
            <w:r>
              <w:rPr>
                <w:i/>
                <w:iCs/>
                <w:color w:val="000000" w:themeColor="text1"/>
                <w:spacing w:val="-6"/>
              </w:rPr>
              <w:t xml:space="preserve">[indicate </w:t>
            </w:r>
            <w:r>
              <w:rPr>
                <w:b/>
                <w:i/>
                <w:iCs/>
                <w:color w:val="000000" w:themeColor="text1"/>
                <w:spacing w:val="-6"/>
              </w:rPr>
              <w:t>main reason(s</w:t>
            </w:r>
            <w:r>
              <w:rPr>
                <w:i/>
                <w:iCs/>
                <w:color w:val="000000" w:themeColor="text1"/>
                <w:spacing w:val="-6"/>
              </w:rPr>
              <w:t>)]</w:t>
            </w:r>
          </w:p>
        </w:tc>
        <w:tc>
          <w:tcPr>
            <w:tcW w:w="1763" w:type="dxa"/>
            <w:tcBorders>
              <w:top w:val="single" w:sz="2" w:space="0" w:color="auto"/>
              <w:left w:val="single" w:sz="2" w:space="0" w:color="auto"/>
              <w:bottom w:val="single" w:sz="2" w:space="0" w:color="auto"/>
              <w:right w:val="single" w:sz="2" w:space="0" w:color="auto"/>
            </w:tcBorders>
          </w:tcPr>
          <w:p w14:paraId="79BDFB3E" w14:textId="77777777" w:rsidR="00157AAA" w:rsidRDefault="006C1BE5">
            <w:pPr>
              <w:spacing w:before="60" w:after="60"/>
              <w:rPr>
                <w:color w:val="000000" w:themeColor="text1"/>
              </w:rPr>
            </w:pPr>
            <w:r>
              <w:rPr>
                <w:i/>
                <w:iCs/>
                <w:color w:val="000000" w:themeColor="text1"/>
                <w:spacing w:val="-6"/>
              </w:rPr>
              <w:t xml:space="preserve">[insert </w:t>
            </w:r>
            <w:r>
              <w:rPr>
                <w:b/>
                <w:i/>
                <w:iCs/>
                <w:color w:val="000000" w:themeColor="text1"/>
                <w:spacing w:val="-6"/>
              </w:rPr>
              <w:t>amount</w:t>
            </w:r>
            <w:r>
              <w:rPr>
                <w:i/>
                <w:iCs/>
                <w:color w:val="000000" w:themeColor="text1"/>
                <w:spacing w:val="-6"/>
              </w:rPr>
              <w:t>]</w:t>
            </w:r>
          </w:p>
        </w:tc>
      </w:tr>
      <w:tr w:rsidR="00157AAA" w14:paraId="3FFAF017" w14:textId="77777777">
        <w:tc>
          <w:tcPr>
            <w:tcW w:w="9389" w:type="dxa"/>
            <w:gridSpan w:val="4"/>
            <w:tcBorders>
              <w:top w:val="single" w:sz="2" w:space="0" w:color="auto"/>
              <w:left w:val="single" w:sz="2" w:space="0" w:color="auto"/>
              <w:bottom w:val="single" w:sz="2" w:space="0" w:color="auto"/>
              <w:right w:val="single" w:sz="2" w:space="0" w:color="auto"/>
            </w:tcBorders>
          </w:tcPr>
          <w:p w14:paraId="5C6C40B3" w14:textId="77777777" w:rsidR="00157AAA" w:rsidRDefault="006C1BE5">
            <w:pPr>
              <w:spacing w:before="60" w:after="60"/>
              <w:jc w:val="center"/>
              <w:rPr>
                <w:color w:val="000000" w:themeColor="text1"/>
                <w:spacing w:val="-4"/>
              </w:rPr>
            </w:pPr>
            <w:r>
              <w:rPr>
                <w:color w:val="000000" w:themeColor="text1"/>
                <w:spacing w:val="-8"/>
              </w:rPr>
              <w:t xml:space="preserve">Pending Litigation, in accordance with Section III, </w:t>
            </w:r>
            <w:r>
              <w:rPr>
                <w:bCs/>
              </w:rPr>
              <w:t>Evaluation and Qualification Criteria</w:t>
            </w:r>
          </w:p>
        </w:tc>
      </w:tr>
      <w:tr w:rsidR="00157AAA" w14:paraId="682E367A" w14:textId="77777777">
        <w:tc>
          <w:tcPr>
            <w:tcW w:w="9389" w:type="dxa"/>
            <w:gridSpan w:val="4"/>
            <w:tcBorders>
              <w:top w:val="single" w:sz="2" w:space="0" w:color="auto"/>
              <w:left w:val="single" w:sz="2" w:space="0" w:color="auto"/>
              <w:right w:val="single" w:sz="2" w:space="0" w:color="auto"/>
            </w:tcBorders>
          </w:tcPr>
          <w:p w14:paraId="18D96CC3" w14:textId="77777777" w:rsidR="00157AAA" w:rsidRDefault="006C1BE5">
            <w:pPr>
              <w:spacing w:before="60" w:after="60"/>
              <w:ind w:left="540" w:hanging="438"/>
              <w:rPr>
                <w:color w:val="000000" w:themeColor="text1"/>
                <w:spacing w:val="-4"/>
              </w:rPr>
            </w:pPr>
            <w:r>
              <w:rPr>
                <w:rFonts w:ascii="Wingdings" w:eastAsia="Wingdings" w:hAnsi="Wingdings" w:cs="Wingdings"/>
                <w:color w:val="000000" w:themeColor="text1"/>
                <w:spacing w:val="-2"/>
              </w:rPr>
              <w:t></w:t>
            </w:r>
            <w:r>
              <w:rPr>
                <w:color w:val="000000" w:themeColor="text1"/>
                <w:spacing w:val="-4"/>
              </w:rPr>
              <w:t xml:space="preserve"> </w:t>
            </w:r>
            <w:r>
              <w:rPr>
                <w:color w:val="000000" w:themeColor="text1"/>
                <w:spacing w:val="-4"/>
              </w:rPr>
              <w:tab/>
            </w:r>
            <w:r>
              <w:rPr>
                <w:color w:val="000000" w:themeColor="text1"/>
                <w:spacing w:val="-6"/>
              </w:rPr>
              <w:t xml:space="preserve">No pending </w:t>
            </w:r>
            <w:r>
              <w:rPr>
                <w:color w:val="000000" w:themeColor="text1"/>
                <w:spacing w:val="-8"/>
              </w:rPr>
              <w:t>litigation</w:t>
            </w:r>
            <w:r>
              <w:rPr>
                <w:color w:val="000000" w:themeColor="text1"/>
                <w:spacing w:val="-6"/>
              </w:rPr>
              <w:t xml:space="preserve"> in accordance with </w:t>
            </w:r>
            <w:r>
              <w:rPr>
                <w:color w:val="000000" w:themeColor="text1"/>
                <w:spacing w:val="-4"/>
              </w:rPr>
              <w:t>Sub-Factor 5.2.3.</w:t>
            </w:r>
          </w:p>
        </w:tc>
      </w:tr>
      <w:tr w:rsidR="00157AAA" w14:paraId="49412ECE" w14:textId="77777777">
        <w:tc>
          <w:tcPr>
            <w:tcW w:w="9389" w:type="dxa"/>
            <w:gridSpan w:val="4"/>
            <w:tcBorders>
              <w:left w:val="single" w:sz="2" w:space="0" w:color="auto"/>
              <w:bottom w:val="single" w:sz="2" w:space="0" w:color="auto"/>
              <w:right w:val="single" w:sz="2" w:space="0" w:color="auto"/>
            </w:tcBorders>
          </w:tcPr>
          <w:p w14:paraId="4FECC4A8" w14:textId="77777777" w:rsidR="00157AAA" w:rsidRDefault="006C1BE5">
            <w:pPr>
              <w:spacing w:before="60" w:after="60"/>
              <w:ind w:left="540" w:right="125" w:hanging="438"/>
              <w:rPr>
                <w:color w:val="000000" w:themeColor="text1"/>
                <w:spacing w:val="-4"/>
              </w:rPr>
            </w:pPr>
            <w:r>
              <w:rPr>
                <w:rFonts w:ascii="Wingdings" w:eastAsia="Wingdings" w:hAnsi="Wingdings" w:cs="Wingdings"/>
                <w:color w:val="000000" w:themeColor="text1"/>
                <w:spacing w:val="-2"/>
              </w:rPr>
              <w:t></w:t>
            </w:r>
            <w:r>
              <w:rPr>
                <w:color w:val="000000" w:themeColor="text1"/>
                <w:spacing w:val="-4"/>
              </w:rPr>
              <w:t xml:space="preserve"> </w:t>
            </w:r>
            <w:r>
              <w:rPr>
                <w:color w:val="000000" w:themeColor="text1"/>
                <w:spacing w:val="-4"/>
              </w:rPr>
              <w:tab/>
            </w:r>
            <w:r>
              <w:rPr>
                <w:color w:val="000000" w:themeColor="text1"/>
                <w:spacing w:val="-8"/>
              </w:rPr>
              <w:t xml:space="preserve">Pending litigation in accordance with </w:t>
            </w:r>
            <w:r>
              <w:rPr>
                <w:color w:val="000000" w:themeColor="text1"/>
                <w:spacing w:val="-4"/>
              </w:rPr>
              <w:t>Sub-Factor 5.2.3 as indicated below.</w:t>
            </w:r>
          </w:p>
        </w:tc>
      </w:tr>
    </w:tbl>
    <w:p w14:paraId="64AD8381" w14:textId="77777777" w:rsidR="00157AAA" w:rsidRDefault="00157AAA">
      <w:pPr>
        <w:spacing w:line="468" w:lineRule="atLeast"/>
        <w:rPr>
          <w:b/>
          <w:bCs/>
          <w:color w:val="000000" w:themeColor="text1"/>
          <w:spacing w:val="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2"/>
        <w:gridCol w:w="1468"/>
        <w:gridCol w:w="4230"/>
        <w:gridCol w:w="1622"/>
      </w:tblGrid>
      <w:tr w:rsidR="00157AAA" w14:paraId="231B890C" w14:textId="77777777">
        <w:tc>
          <w:tcPr>
            <w:tcW w:w="1218" w:type="dxa"/>
          </w:tcPr>
          <w:p w14:paraId="6F9AD090" w14:textId="77777777" w:rsidR="00157AAA" w:rsidRDefault="006C1BE5">
            <w:pPr>
              <w:spacing w:before="60" w:after="60"/>
              <w:jc w:val="center"/>
              <w:rPr>
                <w:b/>
                <w:color w:val="000000" w:themeColor="text1"/>
                <w:spacing w:val="8"/>
              </w:rPr>
            </w:pPr>
            <w:r>
              <w:rPr>
                <w:b/>
                <w:color w:val="000000" w:themeColor="text1"/>
              </w:rPr>
              <w:lastRenderedPageBreak/>
              <w:t>Year of dispute</w:t>
            </w:r>
          </w:p>
        </w:tc>
        <w:tc>
          <w:tcPr>
            <w:tcW w:w="1482" w:type="dxa"/>
          </w:tcPr>
          <w:p w14:paraId="21402950" w14:textId="77777777" w:rsidR="00157AAA" w:rsidRDefault="006C1BE5">
            <w:pPr>
              <w:spacing w:before="60" w:after="60"/>
              <w:jc w:val="center"/>
              <w:rPr>
                <w:b/>
                <w:color w:val="000000" w:themeColor="text1"/>
              </w:rPr>
            </w:pPr>
            <w:r>
              <w:rPr>
                <w:b/>
                <w:color w:val="000000" w:themeColor="text1"/>
              </w:rPr>
              <w:t>Amount in dispute (</w:t>
            </w:r>
            <w:r>
              <w:rPr>
                <w:b/>
                <w:bCs/>
                <w:color w:val="000000" w:themeColor="text1"/>
                <w:spacing w:val="-4"/>
              </w:rPr>
              <w:t>currency</w:t>
            </w:r>
            <w:r>
              <w:rPr>
                <w:b/>
                <w:color w:val="000000" w:themeColor="text1"/>
              </w:rPr>
              <w:t>)</w:t>
            </w:r>
          </w:p>
        </w:tc>
        <w:tc>
          <w:tcPr>
            <w:tcW w:w="4407" w:type="dxa"/>
          </w:tcPr>
          <w:p w14:paraId="357DA56D" w14:textId="77777777" w:rsidR="00157AAA" w:rsidRDefault="006C1BE5">
            <w:pPr>
              <w:spacing w:before="60" w:after="60"/>
              <w:jc w:val="center"/>
              <w:rPr>
                <w:b/>
                <w:color w:val="000000" w:themeColor="text1"/>
                <w:spacing w:val="8"/>
              </w:rPr>
            </w:pPr>
            <w:r>
              <w:rPr>
                <w:b/>
                <w:color w:val="000000" w:themeColor="text1"/>
              </w:rPr>
              <w:t>Contract Identification</w:t>
            </w:r>
          </w:p>
        </w:tc>
        <w:tc>
          <w:tcPr>
            <w:tcW w:w="1641" w:type="dxa"/>
          </w:tcPr>
          <w:p w14:paraId="30400564" w14:textId="77777777" w:rsidR="00157AAA" w:rsidRDefault="006C1BE5">
            <w:pPr>
              <w:spacing w:before="60" w:after="60"/>
              <w:jc w:val="center"/>
              <w:rPr>
                <w:b/>
                <w:color w:val="000000" w:themeColor="text1"/>
              </w:rPr>
            </w:pPr>
            <w:r>
              <w:rPr>
                <w:b/>
                <w:color w:val="000000" w:themeColor="text1"/>
              </w:rPr>
              <w:t>Total Contract Amount (</w:t>
            </w:r>
            <w:r>
              <w:rPr>
                <w:b/>
                <w:bCs/>
                <w:color w:val="000000" w:themeColor="text1"/>
                <w:spacing w:val="-4"/>
              </w:rPr>
              <w:t>currency</w:t>
            </w:r>
            <w:r>
              <w:rPr>
                <w:b/>
                <w:color w:val="000000" w:themeColor="text1"/>
              </w:rPr>
              <w:t>), USD Equivalent (exchange rate)</w:t>
            </w:r>
          </w:p>
        </w:tc>
      </w:tr>
      <w:tr w:rsidR="00157AAA" w14:paraId="2BE4FED2" w14:textId="77777777">
        <w:trPr>
          <w:cantSplit/>
        </w:trPr>
        <w:tc>
          <w:tcPr>
            <w:tcW w:w="1218" w:type="dxa"/>
          </w:tcPr>
          <w:p w14:paraId="72656247"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year</w:t>
            </w:r>
            <w:r>
              <w:rPr>
                <w:i/>
                <w:color w:val="000000" w:themeColor="text1"/>
                <w:sz w:val="20"/>
              </w:rPr>
              <w:t>]</w:t>
            </w:r>
          </w:p>
        </w:tc>
        <w:tc>
          <w:tcPr>
            <w:tcW w:w="1482" w:type="dxa"/>
          </w:tcPr>
          <w:p w14:paraId="36784497"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amount and currency</w:t>
            </w:r>
            <w:r>
              <w:rPr>
                <w:i/>
                <w:color w:val="000000" w:themeColor="text1"/>
                <w:sz w:val="20"/>
              </w:rPr>
              <w:t>]</w:t>
            </w:r>
          </w:p>
        </w:tc>
        <w:tc>
          <w:tcPr>
            <w:tcW w:w="4407" w:type="dxa"/>
          </w:tcPr>
          <w:p w14:paraId="3EEC2601" w14:textId="77777777" w:rsidR="00157AAA" w:rsidRDefault="006C1BE5">
            <w:pPr>
              <w:spacing w:before="60" w:after="60"/>
              <w:rPr>
                <w:color w:val="000000" w:themeColor="text1"/>
                <w:sz w:val="20"/>
              </w:rPr>
            </w:pPr>
            <w:r>
              <w:rPr>
                <w:color w:val="000000" w:themeColor="text1"/>
                <w:sz w:val="20"/>
              </w:rPr>
              <w:t xml:space="preserve">Contract Identification: </w:t>
            </w:r>
            <w:r>
              <w:rPr>
                <w:i/>
                <w:color w:val="000000" w:themeColor="text1"/>
                <w:sz w:val="20"/>
              </w:rPr>
              <w:t xml:space="preserve">[insert </w:t>
            </w:r>
            <w:r>
              <w:rPr>
                <w:b/>
                <w:i/>
                <w:color w:val="000000" w:themeColor="text1"/>
                <w:sz w:val="20"/>
              </w:rPr>
              <w:t>Contract ID</w:t>
            </w:r>
            <w:r>
              <w:rPr>
                <w:i/>
                <w:color w:val="000000" w:themeColor="text1"/>
                <w:sz w:val="20"/>
              </w:rPr>
              <w:t>]</w:t>
            </w:r>
          </w:p>
          <w:p w14:paraId="047AC357" w14:textId="77777777" w:rsidR="00157AAA" w:rsidRDefault="006C1BE5">
            <w:pPr>
              <w:spacing w:before="60" w:after="60"/>
              <w:rPr>
                <w:color w:val="000000" w:themeColor="text1"/>
                <w:sz w:val="20"/>
              </w:rPr>
            </w:pPr>
            <w:r>
              <w:rPr>
                <w:color w:val="000000" w:themeColor="text1"/>
                <w:sz w:val="20"/>
              </w:rPr>
              <w:t xml:space="preserve">Name of Employer: </w:t>
            </w:r>
            <w:r>
              <w:rPr>
                <w:i/>
                <w:color w:val="000000" w:themeColor="text1"/>
                <w:sz w:val="20"/>
              </w:rPr>
              <w:t xml:space="preserve">[insert </w:t>
            </w:r>
            <w:r>
              <w:rPr>
                <w:b/>
                <w:i/>
                <w:color w:val="000000" w:themeColor="text1"/>
                <w:sz w:val="20"/>
              </w:rPr>
              <w:t>Name of Employer</w:t>
            </w:r>
            <w:r>
              <w:rPr>
                <w:i/>
                <w:color w:val="000000" w:themeColor="text1"/>
                <w:sz w:val="20"/>
              </w:rPr>
              <w:t>]</w:t>
            </w:r>
          </w:p>
          <w:p w14:paraId="74A4A550" w14:textId="77777777" w:rsidR="00157AAA" w:rsidRDefault="006C1BE5">
            <w:pPr>
              <w:spacing w:before="60" w:after="60"/>
              <w:rPr>
                <w:color w:val="000000" w:themeColor="text1"/>
                <w:sz w:val="20"/>
              </w:rPr>
            </w:pPr>
            <w:r>
              <w:rPr>
                <w:color w:val="000000" w:themeColor="text1"/>
                <w:sz w:val="20"/>
              </w:rPr>
              <w:t xml:space="preserve">Address of Employer: </w:t>
            </w:r>
            <w:r>
              <w:rPr>
                <w:i/>
                <w:color w:val="000000" w:themeColor="text1"/>
                <w:sz w:val="20"/>
              </w:rPr>
              <w:t xml:space="preserve">[insert </w:t>
            </w:r>
            <w:r>
              <w:rPr>
                <w:b/>
                <w:i/>
                <w:color w:val="000000" w:themeColor="text1"/>
                <w:sz w:val="20"/>
              </w:rPr>
              <w:t>Address of Employer</w:t>
            </w:r>
            <w:r>
              <w:rPr>
                <w:i/>
                <w:color w:val="000000" w:themeColor="text1"/>
                <w:sz w:val="20"/>
              </w:rPr>
              <w:t>]</w:t>
            </w:r>
          </w:p>
          <w:p w14:paraId="6B66DD8E" w14:textId="77777777" w:rsidR="00157AAA" w:rsidRDefault="006C1BE5">
            <w:pPr>
              <w:spacing w:before="60" w:after="60"/>
              <w:rPr>
                <w:color w:val="000000" w:themeColor="text1"/>
                <w:sz w:val="20"/>
              </w:rPr>
            </w:pPr>
            <w:r>
              <w:rPr>
                <w:color w:val="000000" w:themeColor="text1"/>
                <w:sz w:val="20"/>
              </w:rPr>
              <w:t xml:space="preserve">Matter in dispute: </w:t>
            </w:r>
            <w:r>
              <w:rPr>
                <w:i/>
                <w:color w:val="000000" w:themeColor="text1"/>
                <w:sz w:val="20"/>
              </w:rPr>
              <w:t xml:space="preserve">[describe </w:t>
            </w:r>
            <w:r>
              <w:rPr>
                <w:b/>
                <w:i/>
                <w:color w:val="000000" w:themeColor="text1"/>
                <w:sz w:val="20"/>
              </w:rPr>
              <w:t>Matter of dispute</w:t>
            </w:r>
            <w:r>
              <w:rPr>
                <w:i/>
                <w:color w:val="000000" w:themeColor="text1"/>
                <w:sz w:val="20"/>
              </w:rPr>
              <w:t>]</w:t>
            </w:r>
          </w:p>
          <w:p w14:paraId="644E7536" w14:textId="77777777" w:rsidR="00157AAA" w:rsidRDefault="006C1BE5">
            <w:pPr>
              <w:spacing w:before="60" w:after="60"/>
              <w:rPr>
                <w:color w:val="000000" w:themeColor="text1"/>
                <w:sz w:val="20"/>
              </w:rPr>
            </w:pPr>
            <w:r>
              <w:rPr>
                <w:color w:val="000000" w:themeColor="text1"/>
                <w:sz w:val="20"/>
              </w:rPr>
              <w:t xml:space="preserve">Party who initiated the dispute: </w:t>
            </w:r>
            <w:r>
              <w:rPr>
                <w:i/>
                <w:color w:val="000000" w:themeColor="text1"/>
                <w:sz w:val="20"/>
              </w:rPr>
              <w:t xml:space="preserve">[specify </w:t>
            </w:r>
            <w:r>
              <w:rPr>
                <w:b/>
                <w:i/>
                <w:color w:val="000000" w:themeColor="text1"/>
                <w:sz w:val="20"/>
              </w:rPr>
              <w:t>Initiator of dispute</w:t>
            </w:r>
            <w:r>
              <w:rPr>
                <w:i/>
                <w:color w:val="000000" w:themeColor="text1"/>
                <w:sz w:val="20"/>
              </w:rPr>
              <w:t>]</w:t>
            </w:r>
          </w:p>
          <w:p w14:paraId="30F396B9" w14:textId="77777777" w:rsidR="00157AAA" w:rsidRDefault="006C1BE5">
            <w:pPr>
              <w:spacing w:before="60" w:after="60"/>
              <w:rPr>
                <w:i/>
                <w:color w:val="000000" w:themeColor="text1"/>
                <w:sz w:val="20"/>
              </w:rPr>
            </w:pPr>
            <w:r>
              <w:rPr>
                <w:color w:val="000000" w:themeColor="text1"/>
                <w:sz w:val="20"/>
              </w:rPr>
              <w:t xml:space="preserve">Status of dispute: </w:t>
            </w:r>
            <w:r>
              <w:rPr>
                <w:i/>
                <w:color w:val="000000" w:themeColor="text1"/>
                <w:sz w:val="20"/>
              </w:rPr>
              <w:t xml:space="preserve">[specify </w:t>
            </w:r>
            <w:r>
              <w:rPr>
                <w:b/>
                <w:i/>
                <w:color w:val="000000" w:themeColor="text1"/>
                <w:sz w:val="20"/>
              </w:rPr>
              <w:t>Status of dispute</w:t>
            </w:r>
            <w:r>
              <w:rPr>
                <w:i/>
                <w:color w:val="000000" w:themeColor="text1"/>
                <w:sz w:val="20"/>
              </w:rPr>
              <w:t>]</w:t>
            </w:r>
          </w:p>
        </w:tc>
        <w:tc>
          <w:tcPr>
            <w:tcW w:w="1641" w:type="dxa"/>
          </w:tcPr>
          <w:p w14:paraId="0BEA0596" w14:textId="77777777" w:rsidR="00157AAA" w:rsidRDefault="006C1BE5">
            <w:pPr>
              <w:spacing w:before="60" w:after="60"/>
              <w:rPr>
                <w:b/>
                <w:i/>
                <w:color w:val="000000" w:themeColor="text1"/>
                <w:sz w:val="20"/>
              </w:rPr>
            </w:pPr>
            <w:r>
              <w:rPr>
                <w:i/>
                <w:color w:val="000000" w:themeColor="text1"/>
                <w:sz w:val="20"/>
              </w:rPr>
              <w:t xml:space="preserve">[specify </w:t>
            </w:r>
            <w:r>
              <w:rPr>
                <w:b/>
                <w:i/>
                <w:color w:val="000000" w:themeColor="text1"/>
                <w:sz w:val="20"/>
              </w:rPr>
              <w:t>total contract amount and currency, USD equivalent and exchange rate</w:t>
            </w:r>
            <w:r>
              <w:rPr>
                <w:i/>
                <w:color w:val="000000" w:themeColor="text1"/>
                <w:sz w:val="20"/>
              </w:rPr>
              <w:t>]</w:t>
            </w:r>
          </w:p>
        </w:tc>
      </w:tr>
      <w:tr w:rsidR="00157AAA" w14:paraId="186E948C" w14:textId="77777777">
        <w:trPr>
          <w:cantSplit/>
        </w:trPr>
        <w:tc>
          <w:tcPr>
            <w:tcW w:w="1218" w:type="dxa"/>
          </w:tcPr>
          <w:p w14:paraId="0B108207"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year</w:t>
            </w:r>
            <w:r>
              <w:rPr>
                <w:i/>
                <w:color w:val="000000" w:themeColor="text1"/>
                <w:sz w:val="20"/>
              </w:rPr>
              <w:t>]</w:t>
            </w:r>
          </w:p>
        </w:tc>
        <w:tc>
          <w:tcPr>
            <w:tcW w:w="1482" w:type="dxa"/>
          </w:tcPr>
          <w:p w14:paraId="135901D0"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amount and currency</w:t>
            </w:r>
            <w:r>
              <w:rPr>
                <w:i/>
                <w:color w:val="000000" w:themeColor="text1"/>
                <w:sz w:val="20"/>
              </w:rPr>
              <w:t>]</w:t>
            </w:r>
          </w:p>
        </w:tc>
        <w:tc>
          <w:tcPr>
            <w:tcW w:w="4407" w:type="dxa"/>
          </w:tcPr>
          <w:p w14:paraId="58A7560A" w14:textId="77777777" w:rsidR="00157AAA" w:rsidRDefault="006C1BE5">
            <w:pPr>
              <w:spacing w:before="60" w:after="60"/>
              <w:rPr>
                <w:color w:val="000000" w:themeColor="text1"/>
                <w:sz w:val="20"/>
              </w:rPr>
            </w:pPr>
            <w:r>
              <w:rPr>
                <w:color w:val="000000" w:themeColor="text1"/>
                <w:sz w:val="20"/>
              </w:rPr>
              <w:t xml:space="preserve">Contract Identification: </w:t>
            </w:r>
            <w:r>
              <w:rPr>
                <w:i/>
                <w:color w:val="000000" w:themeColor="text1"/>
                <w:sz w:val="20"/>
              </w:rPr>
              <w:t xml:space="preserve">[insert </w:t>
            </w:r>
            <w:r>
              <w:rPr>
                <w:b/>
                <w:i/>
                <w:color w:val="000000" w:themeColor="text1"/>
                <w:sz w:val="20"/>
              </w:rPr>
              <w:t>Contract ID</w:t>
            </w:r>
            <w:r>
              <w:rPr>
                <w:i/>
                <w:color w:val="000000" w:themeColor="text1"/>
                <w:sz w:val="20"/>
              </w:rPr>
              <w:t>]</w:t>
            </w:r>
          </w:p>
          <w:p w14:paraId="269C906E" w14:textId="77777777" w:rsidR="00157AAA" w:rsidRDefault="006C1BE5">
            <w:pPr>
              <w:spacing w:before="60" w:after="60"/>
              <w:rPr>
                <w:color w:val="000000" w:themeColor="text1"/>
                <w:sz w:val="20"/>
              </w:rPr>
            </w:pPr>
            <w:r>
              <w:rPr>
                <w:color w:val="000000" w:themeColor="text1"/>
                <w:sz w:val="20"/>
              </w:rPr>
              <w:t xml:space="preserve">Name of Employer: </w:t>
            </w:r>
            <w:r>
              <w:rPr>
                <w:i/>
                <w:color w:val="000000" w:themeColor="text1"/>
                <w:sz w:val="20"/>
              </w:rPr>
              <w:t xml:space="preserve">[insert </w:t>
            </w:r>
            <w:r>
              <w:rPr>
                <w:b/>
                <w:i/>
                <w:color w:val="000000" w:themeColor="text1"/>
                <w:sz w:val="20"/>
              </w:rPr>
              <w:t>Name of Employer</w:t>
            </w:r>
            <w:r>
              <w:rPr>
                <w:i/>
                <w:color w:val="000000" w:themeColor="text1"/>
                <w:sz w:val="20"/>
              </w:rPr>
              <w:t>]</w:t>
            </w:r>
          </w:p>
          <w:p w14:paraId="5F5D9AC9" w14:textId="77777777" w:rsidR="00157AAA" w:rsidRDefault="006C1BE5">
            <w:pPr>
              <w:spacing w:before="60" w:after="60"/>
              <w:rPr>
                <w:color w:val="000000" w:themeColor="text1"/>
                <w:sz w:val="20"/>
              </w:rPr>
            </w:pPr>
            <w:r>
              <w:rPr>
                <w:color w:val="000000" w:themeColor="text1"/>
                <w:sz w:val="20"/>
              </w:rPr>
              <w:t xml:space="preserve">Address of Employer: </w:t>
            </w:r>
            <w:r>
              <w:rPr>
                <w:i/>
                <w:color w:val="000000" w:themeColor="text1"/>
                <w:sz w:val="20"/>
              </w:rPr>
              <w:t xml:space="preserve">[insert </w:t>
            </w:r>
            <w:r>
              <w:rPr>
                <w:b/>
                <w:i/>
                <w:color w:val="000000" w:themeColor="text1"/>
                <w:sz w:val="20"/>
              </w:rPr>
              <w:t>Address of Employer</w:t>
            </w:r>
            <w:r>
              <w:rPr>
                <w:i/>
                <w:color w:val="000000" w:themeColor="text1"/>
                <w:sz w:val="20"/>
              </w:rPr>
              <w:t>]</w:t>
            </w:r>
          </w:p>
          <w:p w14:paraId="2507EE28" w14:textId="77777777" w:rsidR="00157AAA" w:rsidRDefault="006C1BE5">
            <w:pPr>
              <w:spacing w:before="60" w:after="60"/>
              <w:rPr>
                <w:color w:val="000000" w:themeColor="text1"/>
                <w:sz w:val="20"/>
              </w:rPr>
            </w:pPr>
            <w:r>
              <w:rPr>
                <w:color w:val="000000" w:themeColor="text1"/>
                <w:sz w:val="20"/>
              </w:rPr>
              <w:t xml:space="preserve">Matter in dispute: </w:t>
            </w:r>
            <w:r>
              <w:rPr>
                <w:i/>
                <w:color w:val="000000" w:themeColor="text1"/>
                <w:sz w:val="20"/>
              </w:rPr>
              <w:t xml:space="preserve">[describe </w:t>
            </w:r>
            <w:r>
              <w:rPr>
                <w:b/>
                <w:i/>
                <w:color w:val="000000" w:themeColor="text1"/>
                <w:sz w:val="20"/>
              </w:rPr>
              <w:t>Matter of dispute</w:t>
            </w:r>
            <w:r>
              <w:rPr>
                <w:i/>
                <w:color w:val="000000" w:themeColor="text1"/>
                <w:sz w:val="20"/>
              </w:rPr>
              <w:t>]</w:t>
            </w:r>
          </w:p>
          <w:p w14:paraId="3C4845E7" w14:textId="77777777" w:rsidR="00157AAA" w:rsidRDefault="006C1BE5">
            <w:pPr>
              <w:spacing w:before="60" w:after="60"/>
              <w:rPr>
                <w:color w:val="000000" w:themeColor="text1"/>
                <w:sz w:val="20"/>
              </w:rPr>
            </w:pPr>
            <w:r>
              <w:rPr>
                <w:color w:val="000000" w:themeColor="text1"/>
                <w:sz w:val="20"/>
              </w:rPr>
              <w:t xml:space="preserve">Party who initiated the dispute: </w:t>
            </w:r>
            <w:r>
              <w:rPr>
                <w:i/>
                <w:color w:val="000000" w:themeColor="text1"/>
                <w:sz w:val="20"/>
              </w:rPr>
              <w:t xml:space="preserve">[specify </w:t>
            </w:r>
            <w:r>
              <w:rPr>
                <w:b/>
                <w:i/>
                <w:color w:val="000000" w:themeColor="text1"/>
                <w:sz w:val="20"/>
              </w:rPr>
              <w:t>Initiator of dispute</w:t>
            </w:r>
            <w:r>
              <w:rPr>
                <w:i/>
                <w:color w:val="000000" w:themeColor="text1"/>
                <w:sz w:val="20"/>
              </w:rPr>
              <w:t>]</w:t>
            </w:r>
          </w:p>
          <w:p w14:paraId="3BAE92CC" w14:textId="77777777" w:rsidR="00157AAA" w:rsidRDefault="006C1BE5">
            <w:pPr>
              <w:spacing w:before="60" w:after="60"/>
              <w:rPr>
                <w:i/>
                <w:color w:val="000000" w:themeColor="text1"/>
                <w:sz w:val="20"/>
              </w:rPr>
            </w:pPr>
            <w:r>
              <w:rPr>
                <w:color w:val="000000" w:themeColor="text1"/>
                <w:sz w:val="20"/>
              </w:rPr>
              <w:t xml:space="preserve">Status of dispute: </w:t>
            </w:r>
            <w:r>
              <w:rPr>
                <w:i/>
                <w:color w:val="000000" w:themeColor="text1"/>
                <w:sz w:val="20"/>
              </w:rPr>
              <w:t xml:space="preserve">[specify </w:t>
            </w:r>
            <w:r>
              <w:rPr>
                <w:b/>
                <w:i/>
                <w:color w:val="000000" w:themeColor="text1"/>
                <w:sz w:val="20"/>
              </w:rPr>
              <w:t>Status of dispute</w:t>
            </w:r>
            <w:r>
              <w:rPr>
                <w:i/>
                <w:color w:val="000000" w:themeColor="text1"/>
                <w:sz w:val="20"/>
              </w:rPr>
              <w:t>]</w:t>
            </w:r>
          </w:p>
        </w:tc>
        <w:tc>
          <w:tcPr>
            <w:tcW w:w="1641" w:type="dxa"/>
          </w:tcPr>
          <w:p w14:paraId="33427AD2" w14:textId="77777777" w:rsidR="00157AAA" w:rsidRDefault="006C1BE5">
            <w:pPr>
              <w:spacing w:before="60" w:after="60"/>
              <w:rPr>
                <w:b/>
                <w:i/>
                <w:color w:val="000000" w:themeColor="text1"/>
                <w:sz w:val="20"/>
              </w:rPr>
            </w:pPr>
            <w:r>
              <w:rPr>
                <w:i/>
                <w:color w:val="000000" w:themeColor="text1"/>
                <w:sz w:val="20"/>
              </w:rPr>
              <w:t xml:space="preserve">[specify </w:t>
            </w:r>
            <w:r>
              <w:rPr>
                <w:b/>
                <w:i/>
                <w:color w:val="000000" w:themeColor="text1"/>
                <w:sz w:val="20"/>
              </w:rPr>
              <w:t>total contract amount and currency, USD equivalent and exchange rate</w:t>
            </w:r>
            <w:r>
              <w:rPr>
                <w:i/>
                <w:color w:val="000000" w:themeColor="text1"/>
                <w:sz w:val="20"/>
              </w:rPr>
              <w:t>]</w:t>
            </w:r>
          </w:p>
        </w:tc>
      </w:tr>
      <w:tr w:rsidR="00157AAA" w14:paraId="3448BE87" w14:textId="77777777">
        <w:tc>
          <w:tcPr>
            <w:tcW w:w="8748" w:type="dxa"/>
            <w:gridSpan w:val="4"/>
          </w:tcPr>
          <w:p w14:paraId="6545728F" w14:textId="77777777" w:rsidR="00157AAA" w:rsidRDefault="006C1BE5">
            <w:pPr>
              <w:jc w:val="center"/>
              <w:rPr>
                <w:rFonts w:ascii="MS Mincho" w:eastAsia="MS Mincho" w:hAnsi="MS Mincho" w:cs="MS Mincho"/>
                <w:spacing w:val="-2"/>
              </w:rPr>
            </w:pPr>
            <w:r>
              <w:t xml:space="preserve">Litigation History </w:t>
            </w:r>
            <w:r>
              <w:rPr>
                <w:spacing w:val="-4"/>
              </w:rPr>
              <w:t xml:space="preserve">in accordance with Section III, </w:t>
            </w:r>
            <w:r>
              <w:rPr>
                <w:bCs/>
              </w:rPr>
              <w:t>Evaluation and Qualification Criteria</w:t>
            </w:r>
          </w:p>
        </w:tc>
      </w:tr>
      <w:tr w:rsidR="00157AAA" w14:paraId="58A9C704" w14:textId="77777777">
        <w:tc>
          <w:tcPr>
            <w:tcW w:w="8748" w:type="dxa"/>
            <w:gridSpan w:val="4"/>
          </w:tcPr>
          <w:p w14:paraId="65C20E11" w14:textId="77777777" w:rsidR="00157AAA" w:rsidRDefault="006C1BE5">
            <w:r>
              <w:rPr>
                <w:rFonts w:ascii="Wingdings" w:eastAsia="Wingdings" w:hAnsi="Wingdings" w:cs="Wingdings"/>
                <w:spacing w:val="-2"/>
              </w:rPr>
              <w:t></w:t>
            </w:r>
            <w:r>
              <w:rPr>
                <w:spacing w:val="-4"/>
              </w:rPr>
              <w:t xml:space="preserve"> </w:t>
            </w:r>
            <w:r>
              <w:rPr>
                <w:spacing w:val="-4"/>
              </w:rPr>
              <w:tab/>
            </w:r>
            <w:r>
              <w:rPr>
                <w:spacing w:val="-6"/>
              </w:rPr>
              <w:t xml:space="preserve">No </w:t>
            </w:r>
            <w:r>
              <w:t xml:space="preserve">Litigation History </w:t>
            </w:r>
            <w:r>
              <w:rPr>
                <w:spacing w:val="-6"/>
              </w:rPr>
              <w:t>in accordance with</w:t>
            </w:r>
            <w:r>
              <w:rPr>
                <w:spacing w:val="-4"/>
              </w:rPr>
              <w:t xml:space="preserve"> Sub-Factor 5.2.4.</w:t>
            </w:r>
          </w:p>
          <w:p w14:paraId="60A297E3" w14:textId="77777777" w:rsidR="00157AAA" w:rsidRDefault="006C1BE5">
            <w:r>
              <w:rPr>
                <w:rFonts w:ascii="Wingdings" w:eastAsia="Wingdings" w:hAnsi="Wingdings" w:cs="Wingdings"/>
                <w:spacing w:val="-2"/>
              </w:rPr>
              <w:t></w:t>
            </w:r>
            <w:r>
              <w:rPr>
                <w:spacing w:val="-4"/>
              </w:rPr>
              <w:t xml:space="preserve"> </w:t>
            </w:r>
            <w:r>
              <w:rPr>
                <w:spacing w:val="-4"/>
              </w:rPr>
              <w:tab/>
            </w:r>
            <w:r>
              <w:t>Litigation History</w:t>
            </w:r>
            <w:r>
              <w:rPr>
                <w:spacing w:val="-8"/>
              </w:rPr>
              <w:t xml:space="preserve"> in accordance with </w:t>
            </w:r>
            <w:r>
              <w:rPr>
                <w:spacing w:val="-4"/>
              </w:rPr>
              <w:t>Sub-Factor 5.2.4 as indicated below.</w:t>
            </w:r>
          </w:p>
        </w:tc>
      </w:tr>
      <w:tr w:rsidR="00157AAA" w14:paraId="18AF9E19" w14:textId="77777777">
        <w:tc>
          <w:tcPr>
            <w:tcW w:w="1218" w:type="dxa"/>
          </w:tcPr>
          <w:p w14:paraId="0444BF58" w14:textId="77777777" w:rsidR="00157AAA" w:rsidRDefault="006C1BE5">
            <w:pPr>
              <w:jc w:val="center"/>
              <w:rPr>
                <w:b/>
                <w:spacing w:val="8"/>
                <w:sz w:val="22"/>
              </w:rPr>
            </w:pPr>
            <w:r>
              <w:rPr>
                <w:b/>
                <w:sz w:val="22"/>
              </w:rPr>
              <w:t>Year of award</w:t>
            </w:r>
          </w:p>
        </w:tc>
        <w:tc>
          <w:tcPr>
            <w:tcW w:w="1482" w:type="dxa"/>
          </w:tcPr>
          <w:p w14:paraId="5C6D531B" w14:textId="77777777" w:rsidR="00157AAA" w:rsidRDefault="006C1BE5">
            <w:pPr>
              <w:jc w:val="center"/>
              <w:rPr>
                <w:b/>
                <w:sz w:val="22"/>
              </w:rPr>
            </w:pPr>
            <w:r>
              <w:rPr>
                <w:b/>
                <w:sz w:val="22"/>
              </w:rPr>
              <w:t xml:space="preserve">Outcome as percentage of Net Worth </w:t>
            </w:r>
          </w:p>
        </w:tc>
        <w:tc>
          <w:tcPr>
            <w:tcW w:w="4407" w:type="dxa"/>
          </w:tcPr>
          <w:p w14:paraId="691A1F3A" w14:textId="77777777" w:rsidR="00157AAA" w:rsidRDefault="006C1BE5">
            <w:pPr>
              <w:jc w:val="center"/>
              <w:rPr>
                <w:b/>
                <w:spacing w:val="8"/>
                <w:sz w:val="22"/>
              </w:rPr>
            </w:pPr>
            <w:r>
              <w:rPr>
                <w:b/>
                <w:sz w:val="22"/>
              </w:rPr>
              <w:t>Contract Identification</w:t>
            </w:r>
          </w:p>
        </w:tc>
        <w:tc>
          <w:tcPr>
            <w:tcW w:w="1641" w:type="dxa"/>
          </w:tcPr>
          <w:p w14:paraId="2A2CEDE8" w14:textId="77777777" w:rsidR="00157AAA" w:rsidRDefault="006C1BE5">
            <w:pPr>
              <w:jc w:val="center"/>
              <w:rPr>
                <w:b/>
                <w:sz w:val="22"/>
              </w:rPr>
            </w:pPr>
            <w:r>
              <w:rPr>
                <w:b/>
                <w:sz w:val="22"/>
              </w:rPr>
              <w:t>Total Contract Amount (</w:t>
            </w:r>
            <w:r>
              <w:rPr>
                <w:b/>
                <w:bCs/>
                <w:spacing w:val="-4"/>
                <w:sz w:val="22"/>
              </w:rPr>
              <w:t>currency</w:t>
            </w:r>
            <w:r>
              <w:rPr>
                <w:b/>
                <w:sz w:val="22"/>
              </w:rPr>
              <w:t>), USD Equivalent (exchange rate)</w:t>
            </w:r>
          </w:p>
        </w:tc>
      </w:tr>
      <w:tr w:rsidR="00157AAA" w14:paraId="58A24672" w14:textId="77777777">
        <w:trPr>
          <w:cantSplit/>
        </w:trPr>
        <w:tc>
          <w:tcPr>
            <w:tcW w:w="1218" w:type="dxa"/>
          </w:tcPr>
          <w:p w14:paraId="2450DD21"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year</w:t>
            </w:r>
            <w:r>
              <w:rPr>
                <w:i/>
                <w:color w:val="000000" w:themeColor="text1"/>
                <w:sz w:val="20"/>
              </w:rPr>
              <w:t>]</w:t>
            </w:r>
          </w:p>
        </w:tc>
        <w:tc>
          <w:tcPr>
            <w:tcW w:w="1482" w:type="dxa"/>
          </w:tcPr>
          <w:p w14:paraId="4D400FBB" w14:textId="77777777" w:rsidR="00157AAA" w:rsidRDefault="006C1BE5">
            <w:pPr>
              <w:spacing w:before="60" w:after="60"/>
              <w:rPr>
                <w:i/>
                <w:color w:val="000000" w:themeColor="text1"/>
                <w:sz w:val="20"/>
              </w:rPr>
            </w:pPr>
            <w:r>
              <w:rPr>
                <w:i/>
                <w:color w:val="000000" w:themeColor="text1"/>
                <w:sz w:val="20"/>
              </w:rPr>
              <w:t xml:space="preserve">[specify </w:t>
            </w:r>
            <w:r>
              <w:rPr>
                <w:b/>
                <w:i/>
                <w:color w:val="000000" w:themeColor="text1"/>
                <w:sz w:val="20"/>
              </w:rPr>
              <w:t>percentage of net worth</w:t>
            </w:r>
            <w:r>
              <w:rPr>
                <w:i/>
                <w:color w:val="000000" w:themeColor="text1"/>
                <w:sz w:val="20"/>
              </w:rPr>
              <w:t>]</w:t>
            </w:r>
          </w:p>
        </w:tc>
        <w:tc>
          <w:tcPr>
            <w:tcW w:w="4407" w:type="dxa"/>
          </w:tcPr>
          <w:p w14:paraId="2DA8637C" w14:textId="77777777" w:rsidR="00157AAA" w:rsidRDefault="006C1BE5">
            <w:pPr>
              <w:spacing w:before="60" w:after="60"/>
              <w:rPr>
                <w:color w:val="000000" w:themeColor="text1"/>
                <w:sz w:val="20"/>
              </w:rPr>
            </w:pPr>
            <w:r>
              <w:rPr>
                <w:color w:val="000000" w:themeColor="text1"/>
                <w:sz w:val="20"/>
              </w:rPr>
              <w:t xml:space="preserve">Contract Identification: </w:t>
            </w:r>
            <w:r>
              <w:rPr>
                <w:i/>
                <w:color w:val="000000" w:themeColor="text1"/>
                <w:sz w:val="20"/>
              </w:rPr>
              <w:t xml:space="preserve">[insert </w:t>
            </w:r>
            <w:r>
              <w:rPr>
                <w:b/>
                <w:i/>
                <w:color w:val="000000" w:themeColor="text1"/>
                <w:sz w:val="20"/>
              </w:rPr>
              <w:t>Contract ID</w:t>
            </w:r>
            <w:r>
              <w:rPr>
                <w:i/>
                <w:color w:val="000000" w:themeColor="text1"/>
                <w:sz w:val="20"/>
              </w:rPr>
              <w:t>]</w:t>
            </w:r>
          </w:p>
          <w:p w14:paraId="2FFD4AC3" w14:textId="77777777" w:rsidR="00157AAA" w:rsidRDefault="006C1BE5">
            <w:pPr>
              <w:spacing w:before="60" w:after="60"/>
              <w:rPr>
                <w:color w:val="000000" w:themeColor="text1"/>
                <w:sz w:val="20"/>
              </w:rPr>
            </w:pPr>
            <w:r>
              <w:rPr>
                <w:color w:val="000000" w:themeColor="text1"/>
                <w:sz w:val="20"/>
              </w:rPr>
              <w:t xml:space="preserve">Name of Employer: </w:t>
            </w:r>
            <w:r>
              <w:rPr>
                <w:i/>
                <w:color w:val="000000" w:themeColor="text1"/>
                <w:sz w:val="20"/>
              </w:rPr>
              <w:t xml:space="preserve">[insert </w:t>
            </w:r>
            <w:r>
              <w:rPr>
                <w:b/>
                <w:i/>
                <w:color w:val="000000" w:themeColor="text1"/>
                <w:sz w:val="20"/>
              </w:rPr>
              <w:t>Name of Employer</w:t>
            </w:r>
            <w:r>
              <w:rPr>
                <w:i/>
                <w:color w:val="000000" w:themeColor="text1"/>
                <w:sz w:val="20"/>
              </w:rPr>
              <w:t>]</w:t>
            </w:r>
          </w:p>
          <w:p w14:paraId="2329F5F4" w14:textId="77777777" w:rsidR="00157AAA" w:rsidRDefault="006C1BE5">
            <w:pPr>
              <w:spacing w:before="60" w:after="60"/>
              <w:rPr>
                <w:color w:val="000000" w:themeColor="text1"/>
                <w:sz w:val="20"/>
              </w:rPr>
            </w:pPr>
            <w:r>
              <w:rPr>
                <w:color w:val="000000" w:themeColor="text1"/>
                <w:sz w:val="20"/>
              </w:rPr>
              <w:t xml:space="preserve">Address of Employer: </w:t>
            </w:r>
            <w:r>
              <w:rPr>
                <w:i/>
                <w:color w:val="000000" w:themeColor="text1"/>
                <w:sz w:val="20"/>
              </w:rPr>
              <w:t xml:space="preserve">[insert </w:t>
            </w:r>
            <w:r>
              <w:rPr>
                <w:b/>
                <w:i/>
                <w:color w:val="000000" w:themeColor="text1"/>
                <w:sz w:val="20"/>
              </w:rPr>
              <w:t>Address of Employer</w:t>
            </w:r>
            <w:r>
              <w:rPr>
                <w:i/>
                <w:color w:val="000000" w:themeColor="text1"/>
                <w:sz w:val="20"/>
              </w:rPr>
              <w:t>]</w:t>
            </w:r>
          </w:p>
          <w:p w14:paraId="1BCD66B0" w14:textId="77777777" w:rsidR="00157AAA" w:rsidRDefault="00157AAA">
            <w:pPr>
              <w:spacing w:before="60" w:after="60"/>
              <w:rPr>
                <w:i/>
                <w:color w:val="000000" w:themeColor="text1"/>
                <w:sz w:val="20"/>
              </w:rPr>
            </w:pPr>
          </w:p>
        </w:tc>
        <w:tc>
          <w:tcPr>
            <w:tcW w:w="1641" w:type="dxa"/>
          </w:tcPr>
          <w:p w14:paraId="31E927A2" w14:textId="77777777" w:rsidR="00157AAA" w:rsidRDefault="006C1BE5">
            <w:pPr>
              <w:spacing w:before="60" w:after="60"/>
              <w:rPr>
                <w:b/>
                <w:i/>
                <w:color w:val="000000" w:themeColor="text1"/>
                <w:sz w:val="20"/>
              </w:rPr>
            </w:pPr>
            <w:r>
              <w:rPr>
                <w:i/>
                <w:color w:val="000000" w:themeColor="text1"/>
                <w:sz w:val="20"/>
              </w:rPr>
              <w:t xml:space="preserve">[specify </w:t>
            </w:r>
            <w:r>
              <w:rPr>
                <w:b/>
                <w:i/>
                <w:color w:val="000000" w:themeColor="text1"/>
                <w:sz w:val="20"/>
              </w:rPr>
              <w:t>total contract amount and currency, USD equivalent and exchange rate</w:t>
            </w:r>
            <w:r>
              <w:rPr>
                <w:i/>
                <w:color w:val="000000" w:themeColor="text1"/>
                <w:sz w:val="20"/>
              </w:rPr>
              <w:t>]</w:t>
            </w:r>
          </w:p>
        </w:tc>
      </w:tr>
    </w:tbl>
    <w:p w14:paraId="64756006" w14:textId="77777777" w:rsidR="00157AAA" w:rsidRDefault="00157AAA">
      <w:pPr>
        <w:spacing w:after="0"/>
        <w:jc w:val="left"/>
        <w:rPr>
          <w:spacing w:val="-2"/>
        </w:rPr>
      </w:pPr>
    </w:p>
    <w:p w14:paraId="05F1B381" w14:textId="77777777" w:rsidR="00157AAA" w:rsidRDefault="006C1BE5">
      <w:pPr>
        <w:spacing w:after="0"/>
        <w:jc w:val="left"/>
        <w:rPr>
          <w:spacing w:val="-2"/>
        </w:rPr>
      </w:pPr>
      <w:r>
        <w:rPr>
          <w:spacing w:val="-2"/>
        </w:rPr>
        <w:br w:type="page" w:clear="all"/>
      </w:r>
    </w:p>
    <w:p w14:paraId="24800FDE" w14:textId="77777777" w:rsidR="00157AAA" w:rsidRDefault="006C1BE5">
      <w:pPr>
        <w:pStyle w:val="S4-header1"/>
        <w:rPr>
          <w:smallCaps/>
        </w:rPr>
      </w:pPr>
      <w:bookmarkStart w:id="594" w:name="_Toc163506162"/>
      <w:bookmarkStart w:id="595" w:name="_Hlk55317640"/>
      <w:r>
        <w:rPr>
          <w:smallCaps/>
        </w:rPr>
        <w:lastRenderedPageBreak/>
        <w:t>Form CON – 3</w:t>
      </w:r>
      <w:bookmarkEnd w:id="594"/>
    </w:p>
    <w:p w14:paraId="5FED6D5F" w14:textId="77777777" w:rsidR="00157AAA" w:rsidRDefault="006C1BE5">
      <w:pPr>
        <w:pStyle w:val="S4-header1"/>
        <w:rPr>
          <w:smallCaps/>
        </w:rPr>
      </w:pPr>
      <w:bookmarkStart w:id="596" w:name="_Toc12371910"/>
      <w:bookmarkStart w:id="597" w:name="_Toc14180263"/>
      <w:bookmarkStart w:id="598" w:name="_Toc163506163"/>
      <w:bookmarkStart w:id="599" w:name="_Hlk54534220"/>
      <w:r>
        <w:rPr>
          <w:smallCaps/>
        </w:rPr>
        <w:t xml:space="preserve">Sexual Exploitation </w:t>
      </w:r>
      <w:bookmarkStart w:id="600" w:name="_Hlk10197725"/>
      <w:r>
        <w:rPr>
          <w:smallCaps/>
        </w:rPr>
        <w:t>and Abuse (SEA)</w:t>
      </w:r>
      <w:bookmarkEnd w:id="600"/>
      <w:r>
        <w:rPr>
          <w:smallCaps/>
        </w:rPr>
        <w:t xml:space="preserve"> and/or Sexual Harassment Performance Declaration</w:t>
      </w:r>
      <w:bookmarkEnd w:id="596"/>
      <w:bookmarkEnd w:id="597"/>
      <w:bookmarkEnd w:id="598"/>
      <w:r>
        <w:rPr>
          <w:smallCaps/>
        </w:rPr>
        <w:t xml:space="preserve"> </w:t>
      </w:r>
      <w:bookmarkEnd w:id="599"/>
    </w:p>
    <w:p w14:paraId="3289B86B" w14:textId="77777777" w:rsidR="00157AAA" w:rsidRDefault="006C1BE5">
      <w:pPr>
        <w:spacing w:before="120" w:line="264" w:lineRule="exact"/>
        <w:ind w:left="72"/>
        <w:jc w:val="center"/>
        <w:rPr>
          <w:i/>
          <w:iCs/>
          <w:spacing w:val="-6"/>
          <w:sz w:val="22"/>
          <w:szCs w:val="22"/>
        </w:rPr>
      </w:pPr>
      <w:r>
        <w:rPr>
          <w:bCs/>
          <w:i/>
          <w:spacing w:val="6"/>
          <w:sz w:val="22"/>
          <w:szCs w:val="22"/>
        </w:rPr>
        <w:t>[</w:t>
      </w:r>
      <w:r>
        <w:rPr>
          <w:i/>
          <w:iCs/>
          <w:spacing w:val="-6"/>
          <w:sz w:val="22"/>
          <w:szCs w:val="22"/>
        </w:rPr>
        <w:t>The following table shall be filled in by the Bidder, each member of a Joint Venture and each subcontractor proposed by the Bidder]</w:t>
      </w:r>
    </w:p>
    <w:p w14:paraId="6874B1B7" w14:textId="77777777" w:rsidR="00157AAA" w:rsidRDefault="006C1BE5">
      <w:pPr>
        <w:spacing w:before="120" w:line="264" w:lineRule="exact"/>
        <w:jc w:val="right"/>
        <w:rPr>
          <w:spacing w:val="-4"/>
          <w:sz w:val="22"/>
          <w:szCs w:val="22"/>
        </w:rPr>
      </w:pPr>
      <w:r>
        <w:rPr>
          <w:spacing w:val="-4"/>
          <w:sz w:val="22"/>
          <w:szCs w:val="22"/>
        </w:rPr>
        <w:t xml:space="preserve">Bidder’s Name: </w:t>
      </w:r>
      <w:r>
        <w:rPr>
          <w:i/>
          <w:iCs/>
          <w:spacing w:val="-6"/>
          <w:sz w:val="22"/>
          <w:szCs w:val="22"/>
        </w:rPr>
        <w:t>[insert full name]</w:t>
      </w:r>
      <w:r>
        <w:rPr>
          <w:i/>
          <w:iCs/>
          <w:spacing w:val="-6"/>
          <w:sz w:val="22"/>
          <w:szCs w:val="22"/>
        </w:rPr>
        <w:br/>
      </w:r>
      <w:r>
        <w:rPr>
          <w:spacing w:val="-4"/>
          <w:sz w:val="22"/>
          <w:szCs w:val="22"/>
        </w:rPr>
        <w:t xml:space="preserve">Date: </w:t>
      </w:r>
      <w:r>
        <w:rPr>
          <w:i/>
          <w:iCs/>
          <w:spacing w:val="-6"/>
          <w:sz w:val="22"/>
          <w:szCs w:val="22"/>
        </w:rPr>
        <w:t>[insert day, month, year]</w:t>
      </w:r>
      <w:r>
        <w:rPr>
          <w:i/>
          <w:iCs/>
          <w:spacing w:val="-6"/>
          <w:sz w:val="22"/>
          <w:szCs w:val="22"/>
        </w:rPr>
        <w:br/>
      </w:r>
      <w:r>
        <w:rPr>
          <w:spacing w:val="-4"/>
          <w:sz w:val="22"/>
          <w:szCs w:val="22"/>
        </w:rPr>
        <w:t xml:space="preserve">Joint Venture Member’s or Subcontractor’s Name: </w:t>
      </w:r>
      <w:r>
        <w:rPr>
          <w:i/>
          <w:spacing w:val="-4"/>
          <w:sz w:val="22"/>
          <w:szCs w:val="22"/>
        </w:rPr>
        <w:t>[</w:t>
      </w:r>
      <w:r>
        <w:rPr>
          <w:i/>
          <w:iCs/>
          <w:spacing w:val="-6"/>
          <w:sz w:val="22"/>
          <w:szCs w:val="22"/>
        </w:rPr>
        <w:t>insert</w:t>
      </w:r>
      <w:r>
        <w:rPr>
          <w:spacing w:val="-4"/>
          <w:sz w:val="22"/>
          <w:szCs w:val="22"/>
        </w:rPr>
        <w:t xml:space="preserve"> </w:t>
      </w:r>
      <w:r>
        <w:rPr>
          <w:i/>
          <w:iCs/>
          <w:spacing w:val="-6"/>
          <w:sz w:val="22"/>
          <w:szCs w:val="22"/>
        </w:rPr>
        <w:t>full name]</w:t>
      </w:r>
      <w:r>
        <w:rPr>
          <w:i/>
          <w:iCs/>
          <w:spacing w:val="-6"/>
          <w:sz w:val="22"/>
          <w:szCs w:val="22"/>
        </w:rPr>
        <w:br/>
      </w:r>
      <w:r>
        <w:rPr>
          <w:spacing w:val="-4"/>
          <w:sz w:val="22"/>
          <w:szCs w:val="22"/>
        </w:rPr>
        <w:t xml:space="preserve">RFB No. and title: </w:t>
      </w:r>
      <w:r>
        <w:rPr>
          <w:i/>
          <w:iCs/>
          <w:spacing w:val="-6"/>
          <w:sz w:val="22"/>
          <w:szCs w:val="22"/>
        </w:rPr>
        <w:t>[insert RFB number and title]</w:t>
      </w:r>
      <w:r>
        <w:rPr>
          <w:i/>
          <w:iCs/>
          <w:spacing w:val="-6"/>
          <w:sz w:val="22"/>
          <w:szCs w:val="22"/>
        </w:rPr>
        <w:br/>
      </w:r>
      <w:r>
        <w:rPr>
          <w:spacing w:val="-4"/>
          <w:sz w:val="22"/>
          <w:szCs w:val="22"/>
        </w:rPr>
        <w:t xml:space="preserve">Page </w:t>
      </w:r>
      <w:r>
        <w:rPr>
          <w:i/>
          <w:iCs/>
          <w:spacing w:val="-6"/>
          <w:sz w:val="22"/>
          <w:szCs w:val="22"/>
        </w:rPr>
        <w:t xml:space="preserve">[insert page number] </w:t>
      </w:r>
      <w:r>
        <w:rPr>
          <w:spacing w:val="-4"/>
          <w:sz w:val="22"/>
          <w:szCs w:val="22"/>
        </w:rPr>
        <w:t xml:space="preserve">of </w:t>
      </w:r>
      <w:r>
        <w:rPr>
          <w:i/>
          <w:iCs/>
          <w:spacing w:val="-6"/>
          <w:sz w:val="22"/>
          <w:szCs w:val="22"/>
        </w:rPr>
        <w:t xml:space="preserve">[insert total number] </w:t>
      </w:r>
      <w:proofErr w:type="gramStart"/>
      <w:r>
        <w:rPr>
          <w:spacing w:val="-4"/>
          <w:sz w:val="22"/>
          <w:szCs w:val="22"/>
        </w:rPr>
        <w:t>pages</w:t>
      </w:r>
      <w:proofErr w:type="gramEnd"/>
    </w:p>
    <w:tbl>
      <w:tblPr>
        <w:tblW w:w="9389" w:type="dxa"/>
        <w:tblInd w:w="3" w:type="dxa"/>
        <w:tblLayout w:type="fixed"/>
        <w:tblCellMar>
          <w:left w:w="0" w:type="dxa"/>
          <w:right w:w="0" w:type="dxa"/>
        </w:tblCellMar>
        <w:tblLook w:val="0000" w:firstRow="0" w:lastRow="0" w:firstColumn="0" w:lastColumn="0" w:noHBand="0" w:noVBand="0"/>
      </w:tblPr>
      <w:tblGrid>
        <w:gridCol w:w="9389"/>
      </w:tblGrid>
      <w:tr w:rsidR="00157AAA" w14:paraId="728F78D2" w14:textId="77777777">
        <w:tc>
          <w:tcPr>
            <w:tcW w:w="9389" w:type="dxa"/>
            <w:tcBorders>
              <w:top w:val="single" w:sz="2" w:space="0" w:color="auto"/>
              <w:left w:val="single" w:sz="2" w:space="0" w:color="auto"/>
              <w:bottom w:val="single" w:sz="2" w:space="0" w:color="auto"/>
              <w:right w:val="single" w:sz="2" w:space="0" w:color="auto"/>
            </w:tcBorders>
          </w:tcPr>
          <w:p w14:paraId="5FD2B94E" w14:textId="77777777" w:rsidR="00157AAA" w:rsidRDefault="006C1BE5">
            <w:pPr>
              <w:spacing w:before="120"/>
              <w:jc w:val="center"/>
              <w:rPr>
                <w:b/>
                <w:spacing w:val="-4"/>
                <w:sz w:val="22"/>
                <w:szCs w:val="22"/>
              </w:rPr>
            </w:pPr>
            <w:r>
              <w:rPr>
                <w:b/>
                <w:spacing w:val="-4"/>
                <w:sz w:val="22"/>
                <w:szCs w:val="22"/>
              </w:rPr>
              <w:t xml:space="preserve">SEA and/or SH Declaration </w:t>
            </w:r>
          </w:p>
          <w:p w14:paraId="321BE0E5" w14:textId="77777777" w:rsidR="00157AAA" w:rsidRDefault="006C1BE5">
            <w:pPr>
              <w:spacing w:before="120"/>
              <w:jc w:val="center"/>
              <w:rPr>
                <w:spacing w:val="-4"/>
                <w:sz w:val="22"/>
                <w:szCs w:val="22"/>
              </w:rPr>
            </w:pPr>
            <w:r>
              <w:rPr>
                <w:b/>
                <w:spacing w:val="-4"/>
                <w:sz w:val="22"/>
                <w:szCs w:val="22"/>
              </w:rPr>
              <w:t>in accordance with Section III, Qualification Criteria, and Requirements</w:t>
            </w:r>
          </w:p>
        </w:tc>
      </w:tr>
      <w:tr w:rsidR="00157AAA" w14:paraId="280A1917" w14:textId="77777777">
        <w:tc>
          <w:tcPr>
            <w:tcW w:w="9389" w:type="dxa"/>
            <w:tcBorders>
              <w:top w:val="single" w:sz="2" w:space="0" w:color="auto"/>
              <w:left w:val="single" w:sz="2" w:space="0" w:color="auto"/>
              <w:bottom w:val="single" w:sz="2" w:space="0" w:color="auto"/>
              <w:right w:val="single" w:sz="2" w:space="0" w:color="auto"/>
            </w:tcBorders>
          </w:tcPr>
          <w:p w14:paraId="051B0302" w14:textId="77777777" w:rsidR="00157AAA" w:rsidRDefault="006C1BE5">
            <w:pPr>
              <w:spacing w:before="120"/>
              <w:ind w:left="892" w:hanging="826"/>
              <w:rPr>
                <w:spacing w:val="-4"/>
                <w:sz w:val="22"/>
                <w:szCs w:val="22"/>
              </w:rPr>
            </w:pPr>
            <w:r>
              <w:rPr>
                <w:spacing w:val="-4"/>
                <w:sz w:val="22"/>
                <w:szCs w:val="22"/>
              </w:rPr>
              <w:t>We:</w:t>
            </w:r>
          </w:p>
          <w:p w14:paraId="784F1ACC" w14:textId="77777777" w:rsidR="00157AAA" w:rsidRDefault="006C1BE5">
            <w:pPr>
              <w:tabs>
                <w:tab w:val="left" w:pos="780"/>
              </w:tabs>
              <w:spacing w:before="120"/>
              <w:ind w:left="892" w:hanging="631"/>
              <w:rPr>
                <w:b/>
                <w:sz w:val="22"/>
                <w:szCs w:val="22"/>
              </w:rPr>
            </w:pPr>
            <w:bookmarkStart w:id="601" w:name="_Hlk10558010"/>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a) have not been subject to disqualification by the Bank for non-compliance with SEA/ SH obligations</w:t>
            </w:r>
          </w:p>
          <w:p w14:paraId="0DC3F15C" w14:textId="77777777" w:rsidR="00157AAA" w:rsidRDefault="006C1BE5">
            <w:pPr>
              <w:spacing w:before="120"/>
              <w:ind w:left="892" w:hanging="631"/>
              <w:rPr>
                <w:spacing w:val="-6"/>
                <w:sz w:val="22"/>
                <w:szCs w:val="22"/>
              </w:rPr>
            </w:pPr>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b) are subject to disqualification by the Bank for non-compliance with SEA/ SH obligations</w:t>
            </w:r>
          </w:p>
          <w:p w14:paraId="310F039B" w14:textId="77777777" w:rsidR="00157AAA" w:rsidRDefault="006C1BE5">
            <w:pPr>
              <w:tabs>
                <w:tab w:val="left" w:pos="667"/>
                <w:tab w:val="right" w:pos="9000"/>
              </w:tabs>
              <w:spacing w:before="120"/>
              <w:ind w:left="891" w:hanging="630"/>
              <w:rPr>
                <w:spacing w:val="-4"/>
                <w:sz w:val="22"/>
                <w:szCs w:val="22"/>
              </w:rPr>
            </w:pPr>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c) had been subject to disqualification by the Bank for non-compliance with SEA/ SH obligations, and were removed from the disqualification</w:t>
            </w:r>
            <w:r>
              <w:rPr>
                <w:color w:val="000000" w:themeColor="text1"/>
              </w:rPr>
              <w:t xml:space="preserve"> list</w:t>
            </w:r>
            <w:r>
              <w:rPr>
                <w:color w:val="000000" w:themeColor="text1"/>
                <w:sz w:val="22"/>
                <w:szCs w:val="22"/>
              </w:rPr>
              <w:t>. An arbitral award on the disqualification case has been made in our favor.</w:t>
            </w:r>
            <w:r>
              <w:rPr>
                <w:rFonts w:eastAsia="MS Mincho"/>
                <w:spacing w:val="-2"/>
                <w:sz w:val="22"/>
                <w:szCs w:val="22"/>
              </w:rPr>
              <w:t xml:space="preserve">  </w:t>
            </w:r>
            <w:bookmarkEnd w:id="601"/>
          </w:p>
        </w:tc>
      </w:tr>
      <w:tr w:rsidR="00157AAA" w14:paraId="66BBCC0F" w14:textId="77777777">
        <w:tc>
          <w:tcPr>
            <w:tcW w:w="9389" w:type="dxa"/>
            <w:tcBorders>
              <w:top w:val="single" w:sz="2" w:space="0" w:color="auto"/>
              <w:left w:val="single" w:sz="2" w:space="0" w:color="auto"/>
              <w:bottom w:val="single" w:sz="2" w:space="0" w:color="auto"/>
              <w:right w:val="single" w:sz="2" w:space="0" w:color="auto"/>
            </w:tcBorders>
          </w:tcPr>
          <w:p w14:paraId="267161A5" w14:textId="77777777" w:rsidR="00157AAA" w:rsidRDefault="006C1BE5">
            <w:pPr>
              <w:spacing w:before="120"/>
              <w:ind w:left="82"/>
              <w:jc w:val="left"/>
              <w:rPr>
                <w:b/>
                <w:bCs/>
                <w:sz w:val="22"/>
                <w:szCs w:val="22"/>
              </w:rPr>
            </w:pPr>
            <w:r>
              <w:rPr>
                <w:b/>
                <w:bCs/>
                <w:color w:val="000000" w:themeColor="text1"/>
                <w:sz w:val="22"/>
                <w:szCs w:val="22"/>
              </w:rPr>
              <w:t>[</w:t>
            </w:r>
            <w:r>
              <w:rPr>
                <w:b/>
                <w:bCs/>
                <w:i/>
                <w:iCs/>
                <w:sz w:val="22"/>
                <w:szCs w:val="22"/>
              </w:rPr>
              <w:t>If (c) above is applicable</w:t>
            </w:r>
            <w:r>
              <w:rPr>
                <w:b/>
                <w:bCs/>
                <w:sz w:val="22"/>
                <w:szCs w:val="22"/>
              </w:rPr>
              <w:t xml:space="preserve">, </w:t>
            </w:r>
            <w:r>
              <w:rPr>
                <w:b/>
                <w:bCs/>
                <w:i/>
                <w:iCs/>
                <w:sz w:val="22"/>
                <w:szCs w:val="22"/>
              </w:rPr>
              <w:t>attach evidence of an arbitral award reversing the findings on the issues underlying the disqualification.]</w:t>
            </w:r>
          </w:p>
        </w:tc>
      </w:tr>
      <w:tr w:rsidR="00157AAA" w14:paraId="325312CB" w14:textId="77777777">
        <w:tc>
          <w:tcPr>
            <w:tcW w:w="9389" w:type="dxa"/>
            <w:tcBorders>
              <w:top w:val="single" w:sz="2" w:space="0" w:color="auto"/>
              <w:left w:val="single" w:sz="2" w:space="0" w:color="auto"/>
              <w:bottom w:val="single" w:sz="2" w:space="0" w:color="auto"/>
              <w:right w:val="single" w:sz="2" w:space="0" w:color="auto"/>
            </w:tcBorders>
          </w:tcPr>
          <w:p w14:paraId="4D90427A" w14:textId="77777777" w:rsidR="00157AAA" w:rsidRDefault="00157AAA">
            <w:pPr>
              <w:spacing w:before="120"/>
              <w:jc w:val="center"/>
              <w:rPr>
                <w:sz w:val="22"/>
                <w:szCs w:val="22"/>
              </w:rPr>
            </w:pPr>
          </w:p>
        </w:tc>
      </w:tr>
      <w:tr w:rsidR="00157AAA" w14:paraId="2C1539BC" w14:textId="77777777">
        <w:trPr>
          <w:trHeight w:val="643"/>
        </w:trPr>
        <w:tc>
          <w:tcPr>
            <w:tcW w:w="9389" w:type="dxa"/>
            <w:tcBorders>
              <w:top w:val="single" w:sz="2" w:space="0" w:color="auto"/>
              <w:left w:val="single" w:sz="2" w:space="0" w:color="auto"/>
              <w:bottom w:val="single" w:sz="2" w:space="0" w:color="auto"/>
              <w:right w:val="single" w:sz="2" w:space="0" w:color="auto"/>
            </w:tcBorders>
          </w:tcPr>
          <w:p w14:paraId="3804D2BC" w14:textId="77777777" w:rsidR="00157AAA" w:rsidRDefault="00157AAA">
            <w:pPr>
              <w:spacing w:before="120"/>
              <w:ind w:left="82"/>
              <w:jc w:val="left"/>
              <w:rPr>
                <w:sz w:val="22"/>
                <w:szCs w:val="22"/>
              </w:rPr>
            </w:pPr>
          </w:p>
        </w:tc>
      </w:tr>
      <w:tr w:rsidR="00157AAA" w14:paraId="5B99A20B" w14:textId="77777777">
        <w:trPr>
          <w:trHeight w:val="535"/>
        </w:trPr>
        <w:tc>
          <w:tcPr>
            <w:tcW w:w="9389" w:type="dxa"/>
            <w:tcBorders>
              <w:top w:val="single" w:sz="2" w:space="0" w:color="auto"/>
              <w:left w:val="single" w:sz="2" w:space="0" w:color="auto"/>
              <w:bottom w:val="single" w:sz="2" w:space="0" w:color="auto"/>
              <w:right w:val="single" w:sz="2" w:space="0" w:color="auto"/>
            </w:tcBorders>
          </w:tcPr>
          <w:p w14:paraId="4554A70E" w14:textId="77777777" w:rsidR="00157AAA" w:rsidRDefault="00157AAA">
            <w:pPr>
              <w:spacing w:before="120"/>
              <w:ind w:left="720"/>
              <w:jc w:val="left"/>
              <w:rPr>
                <w:sz w:val="22"/>
                <w:szCs w:val="22"/>
              </w:rPr>
            </w:pPr>
          </w:p>
        </w:tc>
      </w:tr>
      <w:bookmarkEnd w:id="595"/>
      <w:tr w:rsidR="00157AAA" w14:paraId="50FD44F1" w14:textId="77777777">
        <w:trPr>
          <w:trHeight w:val="535"/>
        </w:trPr>
        <w:tc>
          <w:tcPr>
            <w:tcW w:w="9389" w:type="dxa"/>
            <w:tcBorders>
              <w:top w:val="single" w:sz="2" w:space="0" w:color="auto"/>
              <w:left w:val="single" w:sz="2" w:space="0" w:color="auto"/>
              <w:bottom w:val="single" w:sz="2" w:space="0" w:color="auto"/>
              <w:right w:val="single" w:sz="2" w:space="0" w:color="auto"/>
            </w:tcBorders>
          </w:tcPr>
          <w:p w14:paraId="2FEA77A8" w14:textId="77777777" w:rsidR="00157AAA" w:rsidRDefault="00157AAA">
            <w:pPr>
              <w:spacing w:before="120"/>
              <w:jc w:val="left"/>
              <w:rPr>
                <w:strike/>
                <w:sz w:val="22"/>
                <w:szCs w:val="22"/>
              </w:rPr>
            </w:pPr>
          </w:p>
        </w:tc>
      </w:tr>
    </w:tbl>
    <w:p w14:paraId="1F4AB462" w14:textId="77777777" w:rsidR="00157AAA" w:rsidRDefault="00157AAA">
      <w:pPr>
        <w:spacing w:after="0"/>
        <w:jc w:val="left"/>
        <w:rPr>
          <w:spacing w:val="-2"/>
        </w:rPr>
      </w:pPr>
    </w:p>
    <w:p w14:paraId="0FF6DD7C" w14:textId="77777777" w:rsidR="00157AAA" w:rsidRDefault="00157AAA">
      <w:pPr>
        <w:spacing w:after="0"/>
        <w:jc w:val="left"/>
        <w:rPr>
          <w:spacing w:val="-2"/>
        </w:rPr>
      </w:pPr>
    </w:p>
    <w:p w14:paraId="0C9B9546" w14:textId="77777777" w:rsidR="00157AAA" w:rsidRDefault="006C1BE5">
      <w:pPr>
        <w:spacing w:after="0"/>
        <w:jc w:val="left"/>
        <w:rPr>
          <w:spacing w:val="-2"/>
        </w:rPr>
      </w:pPr>
      <w:r>
        <w:rPr>
          <w:spacing w:val="-2"/>
        </w:rPr>
        <w:br w:type="page" w:clear="all"/>
      </w:r>
    </w:p>
    <w:p w14:paraId="47BA4CE3" w14:textId="77777777" w:rsidR="00157AAA" w:rsidRDefault="006C1BE5">
      <w:pPr>
        <w:pStyle w:val="S4-header1"/>
        <w:rPr>
          <w:smallCaps/>
        </w:rPr>
      </w:pPr>
      <w:bookmarkStart w:id="602" w:name="_Toc163506164"/>
      <w:r>
        <w:rPr>
          <w:smallCaps/>
        </w:rPr>
        <w:lastRenderedPageBreak/>
        <w:t>Form EXP 5.4.1- General Experience</w:t>
      </w:r>
      <w:bookmarkEnd w:id="602"/>
    </w:p>
    <w:p w14:paraId="51246B9E" w14:textId="77777777" w:rsidR="00157AAA" w:rsidRDefault="006C1BE5">
      <w:pPr>
        <w:tabs>
          <w:tab w:val="right" w:pos="9000"/>
          <w:tab w:val="right" w:pos="9630"/>
        </w:tabs>
        <w:spacing w:before="120"/>
        <w:ind w:right="162"/>
        <w:jc w:val="left"/>
      </w:pPr>
      <w:r>
        <w:t>Bidder’s Legal Name</w:t>
      </w:r>
      <w:proofErr w:type="gramStart"/>
      <w:r>
        <w:t xml:space="preserve">:  </w:t>
      </w:r>
      <w:r>
        <w:rPr>
          <w:i/>
        </w:rPr>
        <w:t>[</w:t>
      </w:r>
      <w:proofErr w:type="gramEnd"/>
      <w:r>
        <w:rPr>
          <w:i/>
        </w:rPr>
        <w:t xml:space="preserve">insert </w:t>
      </w:r>
      <w:r>
        <w:rPr>
          <w:b/>
          <w:i/>
        </w:rPr>
        <w:t>Bidder’s Legal Name</w:t>
      </w:r>
      <w:r>
        <w:rPr>
          <w:i/>
        </w:rPr>
        <w:t>]</w:t>
      </w:r>
    </w:p>
    <w:p w14:paraId="7D416D5A" w14:textId="77777777" w:rsidR="00157AAA" w:rsidRDefault="006C1BE5">
      <w:pPr>
        <w:tabs>
          <w:tab w:val="right" w:pos="9000"/>
          <w:tab w:val="right" w:pos="9630"/>
        </w:tabs>
        <w:spacing w:before="120"/>
        <w:ind w:right="162"/>
        <w:jc w:val="left"/>
      </w:pPr>
      <w:r>
        <w:t>Date</w:t>
      </w:r>
      <w:proofErr w:type="gramStart"/>
      <w:r>
        <w:t xml:space="preserve">:  </w:t>
      </w:r>
      <w:r>
        <w:rPr>
          <w:i/>
        </w:rPr>
        <w:t>[</w:t>
      </w:r>
      <w:proofErr w:type="gramEnd"/>
      <w:r>
        <w:rPr>
          <w:i/>
        </w:rPr>
        <w:t xml:space="preserve">insert </w:t>
      </w:r>
      <w:r>
        <w:rPr>
          <w:b/>
          <w:i/>
        </w:rPr>
        <w:t>Date</w:t>
      </w:r>
      <w:r>
        <w:rPr>
          <w:i/>
        </w:rPr>
        <w:t>]</w:t>
      </w:r>
    </w:p>
    <w:p w14:paraId="520D178C" w14:textId="77777777" w:rsidR="00157AAA" w:rsidRDefault="006C1BE5">
      <w:pPr>
        <w:tabs>
          <w:tab w:val="right" w:pos="9000"/>
        </w:tabs>
        <w:spacing w:before="120"/>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5B4D2774" w14:textId="77777777" w:rsidR="00157AAA" w:rsidRDefault="006C1BE5">
      <w:pPr>
        <w:tabs>
          <w:tab w:val="right" w:pos="9000"/>
        </w:tabs>
        <w:spacing w:before="120"/>
        <w:jc w:val="left"/>
      </w:pPr>
      <w:r>
        <w:t>RFB No.</w:t>
      </w:r>
      <w:proofErr w:type="gramStart"/>
      <w:r>
        <w:t xml:space="preserve">:  </w:t>
      </w:r>
      <w:r>
        <w:rPr>
          <w:i/>
        </w:rPr>
        <w:t>[</w:t>
      </w:r>
      <w:proofErr w:type="gramEnd"/>
      <w:r>
        <w:rPr>
          <w:i/>
        </w:rPr>
        <w:t xml:space="preserve">insert </w:t>
      </w:r>
      <w:r>
        <w:rPr>
          <w:b/>
          <w:i/>
        </w:rPr>
        <w:t>RFB number</w:t>
      </w:r>
      <w:r>
        <w:rPr>
          <w:i/>
        </w:rPr>
        <w:t>]</w:t>
      </w:r>
    </w:p>
    <w:p w14:paraId="39EF85ED" w14:textId="77777777" w:rsidR="00157AAA" w:rsidRDefault="006C1BE5">
      <w:pPr>
        <w:tabs>
          <w:tab w:val="right" w:pos="9000"/>
          <w:tab w:val="right" w:pos="9630"/>
        </w:tabs>
        <w:spacing w:before="120"/>
        <w:jc w:val="right"/>
      </w:pPr>
      <w:r>
        <w:t xml:space="preserve">   </w:t>
      </w:r>
      <w:r>
        <w:tab/>
        <w:t>Page _______ of _______ pages</w:t>
      </w:r>
    </w:p>
    <w:p w14:paraId="34F1A772" w14:textId="77777777" w:rsidR="00157AAA" w:rsidRDefault="00157AAA">
      <w:pPr>
        <w:pStyle w:val="Outline"/>
        <w:spacing w:before="0"/>
        <w:rPr>
          <w:spacing w:val="-2"/>
        </w:rPr>
      </w:pPr>
    </w:p>
    <w:tbl>
      <w:tblPr>
        <w:tblW w:w="864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7"/>
        <w:gridCol w:w="1079"/>
        <w:gridCol w:w="835"/>
        <w:gridCol w:w="4569"/>
        <w:gridCol w:w="1160"/>
      </w:tblGrid>
      <w:tr w:rsidR="00157AAA" w14:paraId="02CD6574" w14:textId="77777777">
        <w:trPr>
          <w:cantSplit/>
          <w:trHeight w:val="440"/>
          <w:tblHeader/>
        </w:trPr>
        <w:tc>
          <w:tcPr>
            <w:tcW w:w="1080" w:type="dxa"/>
            <w:vAlign w:val="center"/>
          </w:tcPr>
          <w:p w14:paraId="35B18BCB" w14:textId="77777777" w:rsidR="00157AAA" w:rsidRDefault="006C1BE5">
            <w:pPr>
              <w:jc w:val="center"/>
              <w:rPr>
                <w:b/>
                <w:spacing w:val="-2"/>
              </w:rPr>
            </w:pPr>
            <w:r>
              <w:rPr>
                <w:b/>
                <w:spacing w:val="-2"/>
              </w:rPr>
              <w:t>Starting Month / Year</w:t>
            </w:r>
          </w:p>
        </w:tc>
        <w:tc>
          <w:tcPr>
            <w:tcW w:w="1170" w:type="dxa"/>
            <w:vAlign w:val="center"/>
          </w:tcPr>
          <w:p w14:paraId="774CBA3E" w14:textId="77777777" w:rsidR="00157AAA" w:rsidRDefault="006C1BE5">
            <w:pPr>
              <w:jc w:val="center"/>
              <w:rPr>
                <w:b/>
                <w:spacing w:val="-2"/>
              </w:rPr>
            </w:pPr>
            <w:r>
              <w:rPr>
                <w:b/>
                <w:spacing w:val="-2"/>
              </w:rPr>
              <w:t>Ending Month / Year</w:t>
            </w:r>
          </w:p>
        </w:tc>
        <w:tc>
          <w:tcPr>
            <w:tcW w:w="900" w:type="dxa"/>
            <w:vAlign w:val="center"/>
          </w:tcPr>
          <w:p w14:paraId="5591D203" w14:textId="77777777" w:rsidR="00157AAA" w:rsidRDefault="00157AAA">
            <w:pPr>
              <w:jc w:val="center"/>
              <w:rPr>
                <w:b/>
                <w:spacing w:val="-2"/>
              </w:rPr>
            </w:pPr>
          </w:p>
          <w:p w14:paraId="56328FBC" w14:textId="77777777" w:rsidR="00157AAA" w:rsidRDefault="006C1BE5">
            <w:pPr>
              <w:jc w:val="center"/>
              <w:rPr>
                <w:b/>
                <w:spacing w:val="-2"/>
              </w:rPr>
            </w:pPr>
            <w:r>
              <w:rPr>
                <w:b/>
                <w:spacing w:val="-2"/>
              </w:rPr>
              <w:t xml:space="preserve"> Years* </w:t>
            </w:r>
          </w:p>
        </w:tc>
        <w:tc>
          <w:tcPr>
            <w:tcW w:w="5040" w:type="dxa"/>
            <w:vAlign w:val="center"/>
          </w:tcPr>
          <w:p w14:paraId="6CC1068C" w14:textId="77777777" w:rsidR="00157AAA" w:rsidRDefault="006C1BE5">
            <w:pPr>
              <w:spacing w:before="120"/>
              <w:jc w:val="center"/>
              <w:rPr>
                <w:b/>
                <w:spacing w:val="-2"/>
              </w:rPr>
            </w:pPr>
            <w:r>
              <w:rPr>
                <w:b/>
                <w:spacing w:val="-2"/>
              </w:rPr>
              <w:t xml:space="preserve">Contract Identification </w:t>
            </w:r>
          </w:p>
          <w:p w14:paraId="44250E3D" w14:textId="77777777" w:rsidR="00157AAA" w:rsidRDefault="00157AAA">
            <w:pPr>
              <w:spacing w:before="120"/>
              <w:jc w:val="center"/>
              <w:rPr>
                <w:b/>
                <w:spacing w:val="-2"/>
              </w:rPr>
            </w:pPr>
          </w:p>
        </w:tc>
        <w:tc>
          <w:tcPr>
            <w:tcW w:w="1260" w:type="dxa"/>
            <w:vAlign w:val="center"/>
          </w:tcPr>
          <w:p w14:paraId="5CA00ADB" w14:textId="77777777" w:rsidR="00157AAA" w:rsidRDefault="006C1BE5">
            <w:pPr>
              <w:spacing w:before="120"/>
              <w:jc w:val="center"/>
              <w:rPr>
                <w:b/>
                <w:spacing w:val="-2"/>
              </w:rPr>
            </w:pPr>
            <w:r>
              <w:rPr>
                <w:b/>
                <w:spacing w:val="-2"/>
              </w:rPr>
              <w:t>Role of Bidder</w:t>
            </w:r>
          </w:p>
        </w:tc>
      </w:tr>
      <w:tr w:rsidR="00157AAA" w14:paraId="1F525AE0" w14:textId="77777777">
        <w:trPr>
          <w:cantSplit/>
        </w:trPr>
        <w:tc>
          <w:tcPr>
            <w:tcW w:w="1080" w:type="dxa"/>
          </w:tcPr>
          <w:p w14:paraId="1CB9CA37" w14:textId="77777777" w:rsidR="00157AAA" w:rsidRDefault="006C1BE5">
            <w:pPr>
              <w:jc w:val="left"/>
              <w:rPr>
                <w:i/>
                <w:spacing w:val="-2"/>
                <w:sz w:val="20"/>
              </w:rPr>
            </w:pPr>
            <w:r>
              <w:rPr>
                <w:i/>
                <w:spacing w:val="-2"/>
                <w:sz w:val="20"/>
              </w:rPr>
              <w:t xml:space="preserve">[insert </w:t>
            </w:r>
            <w:r>
              <w:rPr>
                <w:b/>
                <w:i/>
                <w:spacing w:val="-2"/>
                <w:sz w:val="20"/>
              </w:rPr>
              <w:t>month / year</w:t>
            </w:r>
            <w:r>
              <w:rPr>
                <w:i/>
                <w:spacing w:val="-2"/>
                <w:sz w:val="20"/>
              </w:rPr>
              <w:t>]</w:t>
            </w:r>
          </w:p>
        </w:tc>
        <w:tc>
          <w:tcPr>
            <w:tcW w:w="1170" w:type="dxa"/>
          </w:tcPr>
          <w:p w14:paraId="1E8F66DE" w14:textId="77777777" w:rsidR="00157AAA" w:rsidRDefault="006C1BE5">
            <w:pPr>
              <w:jc w:val="left"/>
              <w:rPr>
                <w:spacing w:val="-2"/>
                <w:sz w:val="20"/>
              </w:rPr>
            </w:pPr>
            <w:r>
              <w:rPr>
                <w:i/>
                <w:spacing w:val="-2"/>
                <w:sz w:val="20"/>
              </w:rPr>
              <w:t xml:space="preserve">[insert </w:t>
            </w:r>
            <w:r>
              <w:rPr>
                <w:b/>
                <w:i/>
                <w:spacing w:val="-2"/>
                <w:sz w:val="20"/>
              </w:rPr>
              <w:t>month / year</w:t>
            </w:r>
            <w:r>
              <w:rPr>
                <w:i/>
                <w:spacing w:val="-2"/>
                <w:sz w:val="20"/>
              </w:rPr>
              <w:t>]</w:t>
            </w:r>
          </w:p>
        </w:tc>
        <w:tc>
          <w:tcPr>
            <w:tcW w:w="900" w:type="dxa"/>
          </w:tcPr>
          <w:p w14:paraId="7E6A16AE" w14:textId="77777777" w:rsidR="00157AAA" w:rsidRDefault="006C1BE5">
            <w:pPr>
              <w:jc w:val="left"/>
              <w:rPr>
                <w:spacing w:val="-2"/>
                <w:sz w:val="20"/>
              </w:rPr>
            </w:pPr>
            <w:r>
              <w:rPr>
                <w:i/>
                <w:spacing w:val="-2"/>
                <w:sz w:val="20"/>
              </w:rPr>
              <w:t xml:space="preserve">[insert </w:t>
            </w:r>
            <w:r>
              <w:rPr>
                <w:b/>
                <w:i/>
                <w:spacing w:val="-2"/>
                <w:sz w:val="20"/>
              </w:rPr>
              <w:t>number of years</w:t>
            </w:r>
            <w:r>
              <w:rPr>
                <w:i/>
                <w:spacing w:val="-2"/>
                <w:sz w:val="20"/>
              </w:rPr>
              <w:t>]</w:t>
            </w:r>
          </w:p>
        </w:tc>
        <w:tc>
          <w:tcPr>
            <w:tcW w:w="5040" w:type="dxa"/>
          </w:tcPr>
          <w:p w14:paraId="46F50EB7" w14:textId="77777777" w:rsidR="00157AAA" w:rsidRDefault="006C1BE5">
            <w:pPr>
              <w:jc w:val="left"/>
              <w:rPr>
                <w:spacing w:val="-2"/>
                <w:sz w:val="20"/>
              </w:rPr>
            </w:pPr>
            <w:r>
              <w:rPr>
                <w:spacing w:val="-2"/>
                <w:sz w:val="20"/>
              </w:rPr>
              <w:t xml:space="preserve">Contract name: </w:t>
            </w:r>
            <w:r>
              <w:rPr>
                <w:i/>
                <w:spacing w:val="-2"/>
                <w:sz w:val="20"/>
              </w:rPr>
              <w:t xml:space="preserve">[insert </w:t>
            </w:r>
            <w:r>
              <w:rPr>
                <w:b/>
                <w:i/>
                <w:spacing w:val="-2"/>
                <w:sz w:val="20"/>
              </w:rPr>
              <w:t xml:space="preserve">Name of </w:t>
            </w:r>
            <w:proofErr w:type="gramStart"/>
            <w:r>
              <w:rPr>
                <w:b/>
                <w:i/>
                <w:spacing w:val="-2"/>
                <w:sz w:val="20"/>
              </w:rPr>
              <w:t xml:space="preserve">Contract </w:t>
            </w:r>
            <w:r>
              <w:rPr>
                <w:i/>
                <w:spacing w:val="-2"/>
                <w:sz w:val="20"/>
              </w:rPr>
              <w:t>]</w:t>
            </w:r>
            <w:proofErr w:type="gramEnd"/>
          </w:p>
          <w:p w14:paraId="424265E9" w14:textId="77777777" w:rsidR="00157AAA" w:rsidRDefault="006C1BE5">
            <w:pPr>
              <w:jc w:val="left"/>
              <w:rPr>
                <w:spacing w:val="-2"/>
                <w:sz w:val="20"/>
              </w:rPr>
            </w:pPr>
            <w:r>
              <w:rPr>
                <w:spacing w:val="-2"/>
                <w:sz w:val="20"/>
              </w:rPr>
              <w:t xml:space="preserve">Brief Description of the Information System performed by the Bidder: </w:t>
            </w:r>
            <w:r>
              <w:rPr>
                <w:i/>
                <w:spacing w:val="-2"/>
                <w:sz w:val="20"/>
              </w:rPr>
              <w:t xml:space="preserve">[describe </w:t>
            </w:r>
            <w:r>
              <w:rPr>
                <w:b/>
                <w:i/>
                <w:spacing w:val="-2"/>
                <w:sz w:val="20"/>
              </w:rPr>
              <w:t>Information System</w:t>
            </w:r>
            <w:r>
              <w:rPr>
                <w:i/>
                <w:spacing w:val="-2"/>
                <w:sz w:val="20"/>
              </w:rPr>
              <w:t>]</w:t>
            </w:r>
          </w:p>
          <w:p w14:paraId="084C76E9" w14:textId="77777777" w:rsidR="00157AAA" w:rsidRDefault="006C1BE5">
            <w:pPr>
              <w:jc w:val="left"/>
              <w:rPr>
                <w:spacing w:val="-2"/>
                <w:sz w:val="20"/>
              </w:rPr>
            </w:pPr>
            <w:r>
              <w:rPr>
                <w:spacing w:val="-2"/>
                <w:sz w:val="20"/>
              </w:rPr>
              <w:t xml:space="preserve">Name of Purchaser: </w:t>
            </w:r>
            <w:r>
              <w:rPr>
                <w:i/>
                <w:spacing w:val="-2"/>
                <w:sz w:val="20"/>
              </w:rPr>
              <w:t xml:space="preserve">[insert </w:t>
            </w:r>
            <w:r>
              <w:rPr>
                <w:b/>
                <w:i/>
                <w:spacing w:val="-2"/>
                <w:sz w:val="20"/>
              </w:rPr>
              <w:t xml:space="preserve">Name of </w:t>
            </w:r>
            <w:proofErr w:type="gramStart"/>
            <w:r>
              <w:rPr>
                <w:b/>
                <w:i/>
                <w:spacing w:val="-2"/>
                <w:sz w:val="20"/>
              </w:rPr>
              <w:t xml:space="preserve">Purchaser </w:t>
            </w:r>
            <w:r>
              <w:rPr>
                <w:i/>
                <w:spacing w:val="-2"/>
                <w:sz w:val="20"/>
              </w:rPr>
              <w:t>]</w:t>
            </w:r>
            <w:proofErr w:type="gramEnd"/>
          </w:p>
          <w:p w14:paraId="787A8542" w14:textId="77777777" w:rsidR="00157AAA" w:rsidRDefault="006C1BE5">
            <w:pPr>
              <w:jc w:val="left"/>
              <w:rPr>
                <w:spacing w:val="-2"/>
                <w:sz w:val="20"/>
              </w:rPr>
            </w:pPr>
            <w:r>
              <w:rPr>
                <w:spacing w:val="-2"/>
                <w:sz w:val="20"/>
              </w:rPr>
              <w:t xml:space="preserve">Address: </w:t>
            </w:r>
            <w:r>
              <w:rPr>
                <w:i/>
                <w:spacing w:val="-2"/>
                <w:sz w:val="20"/>
              </w:rPr>
              <w:t xml:space="preserve">[insert </w:t>
            </w:r>
            <w:r>
              <w:rPr>
                <w:b/>
                <w:i/>
                <w:spacing w:val="-2"/>
                <w:sz w:val="20"/>
              </w:rPr>
              <w:t xml:space="preserve">Address of </w:t>
            </w:r>
            <w:proofErr w:type="gramStart"/>
            <w:r>
              <w:rPr>
                <w:b/>
                <w:i/>
                <w:spacing w:val="-2"/>
                <w:sz w:val="20"/>
              </w:rPr>
              <w:t xml:space="preserve">Purchaser </w:t>
            </w:r>
            <w:r>
              <w:rPr>
                <w:i/>
                <w:spacing w:val="-2"/>
                <w:sz w:val="20"/>
              </w:rPr>
              <w:t>]</w:t>
            </w:r>
            <w:proofErr w:type="gramEnd"/>
          </w:p>
        </w:tc>
        <w:tc>
          <w:tcPr>
            <w:tcW w:w="1260" w:type="dxa"/>
          </w:tcPr>
          <w:p w14:paraId="0F573329" w14:textId="77777777" w:rsidR="00157AAA" w:rsidRDefault="006C1BE5">
            <w:pPr>
              <w:jc w:val="left"/>
              <w:rPr>
                <w:spacing w:val="-2"/>
                <w:sz w:val="20"/>
              </w:rPr>
            </w:pPr>
            <w:r>
              <w:rPr>
                <w:i/>
                <w:spacing w:val="-2"/>
                <w:sz w:val="20"/>
              </w:rPr>
              <w:t xml:space="preserve">[describe </w:t>
            </w:r>
            <w:r>
              <w:rPr>
                <w:b/>
                <w:i/>
                <w:spacing w:val="-2"/>
                <w:sz w:val="20"/>
              </w:rPr>
              <w:t>role of Bidder under the contract</w:t>
            </w:r>
            <w:r>
              <w:rPr>
                <w:i/>
                <w:spacing w:val="-2"/>
                <w:sz w:val="20"/>
              </w:rPr>
              <w:t>]</w:t>
            </w:r>
          </w:p>
        </w:tc>
      </w:tr>
      <w:tr w:rsidR="00157AAA" w14:paraId="41C8618A" w14:textId="77777777">
        <w:trPr>
          <w:cantSplit/>
        </w:trPr>
        <w:tc>
          <w:tcPr>
            <w:tcW w:w="1080" w:type="dxa"/>
          </w:tcPr>
          <w:p w14:paraId="357518F2" w14:textId="77777777" w:rsidR="00157AAA" w:rsidRDefault="006C1BE5">
            <w:pPr>
              <w:jc w:val="left"/>
              <w:rPr>
                <w:i/>
                <w:spacing w:val="-2"/>
                <w:sz w:val="20"/>
              </w:rPr>
            </w:pPr>
            <w:r>
              <w:rPr>
                <w:i/>
                <w:spacing w:val="-2"/>
                <w:sz w:val="20"/>
              </w:rPr>
              <w:t xml:space="preserve">[insert </w:t>
            </w:r>
            <w:r>
              <w:rPr>
                <w:b/>
                <w:i/>
                <w:spacing w:val="-2"/>
                <w:sz w:val="20"/>
              </w:rPr>
              <w:t>month / year</w:t>
            </w:r>
            <w:r>
              <w:rPr>
                <w:i/>
                <w:spacing w:val="-2"/>
                <w:sz w:val="20"/>
              </w:rPr>
              <w:t>]</w:t>
            </w:r>
          </w:p>
        </w:tc>
        <w:tc>
          <w:tcPr>
            <w:tcW w:w="1170" w:type="dxa"/>
          </w:tcPr>
          <w:p w14:paraId="684AC006" w14:textId="77777777" w:rsidR="00157AAA" w:rsidRDefault="006C1BE5">
            <w:pPr>
              <w:jc w:val="left"/>
              <w:rPr>
                <w:spacing w:val="-2"/>
                <w:sz w:val="20"/>
              </w:rPr>
            </w:pPr>
            <w:r>
              <w:rPr>
                <w:i/>
                <w:spacing w:val="-2"/>
                <w:sz w:val="20"/>
              </w:rPr>
              <w:t xml:space="preserve">[insert </w:t>
            </w:r>
            <w:r>
              <w:rPr>
                <w:b/>
                <w:i/>
                <w:spacing w:val="-2"/>
                <w:sz w:val="20"/>
              </w:rPr>
              <w:t>month / year</w:t>
            </w:r>
            <w:r>
              <w:rPr>
                <w:i/>
                <w:spacing w:val="-2"/>
                <w:sz w:val="20"/>
              </w:rPr>
              <w:t>]</w:t>
            </w:r>
          </w:p>
        </w:tc>
        <w:tc>
          <w:tcPr>
            <w:tcW w:w="900" w:type="dxa"/>
          </w:tcPr>
          <w:p w14:paraId="16B5844B" w14:textId="77777777" w:rsidR="00157AAA" w:rsidRDefault="006C1BE5">
            <w:pPr>
              <w:jc w:val="left"/>
              <w:rPr>
                <w:spacing w:val="-2"/>
                <w:sz w:val="20"/>
              </w:rPr>
            </w:pPr>
            <w:r>
              <w:rPr>
                <w:i/>
                <w:spacing w:val="-2"/>
                <w:sz w:val="20"/>
              </w:rPr>
              <w:t xml:space="preserve">[insert </w:t>
            </w:r>
            <w:r>
              <w:rPr>
                <w:b/>
                <w:i/>
                <w:spacing w:val="-2"/>
                <w:sz w:val="20"/>
              </w:rPr>
              <w:t>number of years</w:t>
            </w:r>
            <w:r>
              <w:rPr>
                <w:i/>
                <w:spacing w:val="-2"/>
                <w:sz w:val="20"/>
              </w:rPr>
              <w:t>]</w:t>
            </w:r>
          </w:p>
        </w:tc>
        <w:tc>
          <w:tcPr>
            <w:tcW w:w="5040" w:type="dxa"/>
          </w:tcPr>
          <w:p w14:paraId="4CA0EA1E" w14:textId="77777777" w:rsidR="00157AAA" w:rsidRDefault="006C1BE5">
            <w:pPr>
              <w:jc w:val="left"/>
              <w:rPr>
                <w:spacing w:val="-2"/>
                <w:sz w:val="20"/>
              </w:rPr>
            </w:pPr>
            <w:r>
              <w:rPr>
                <w:spacing w:val="-2"/>
                <w:sz w:val="20"/>
              </w:rPr>
              <w:t xml:space="preserve">Contract name: </w:t>
            </w:r>
            <w:r>
              <w:rPr>
                <w:i/>
                <w:spacing w:val="-2"/>
                <w:sz w:val="20"/>
              </w:rPr>
              <w:t xml:space="preserve">[insert </w:t>
            </w:r>
            <w:r>
              <w:rPr>
                <w:b/>
                <w:i/>
                <w:spacing w:val="-2"/>
                <w:sz w:val="20"/>
              </w:rPr>
              <w:t xml:space="preserve">Name of </w:t>
            </w:r>
            <w:proofErr w:type="gramStart"/>
            <w:r>
              <w:rPr>
                <w:b/>
                <w:i/>
                <w:spacing w:val="-2"/>
                <w:sz w:val="20"/>
              </w:rPr>
              <w:t xml:space="preserve">Contract </w:t>
            </w:r>
            <w:r>
              <w:rPr>
                <w:i/>
                <w:spacing w:val="-2"/>
                <w:sz w:val="20"/>
              </w:rPr>
              <w:t>]</w:t>
            </w:r>
            <w:proofErr w:type="gramEnd"/>
          </w:p>
          <w:p w14:paraId="54425591" w14:textId="77777777" w:rsidR="00157AAA" w:rsidRDefault="006C1BE5">
            <w:pPr>
              <w:jc w:val="left"/>
              <w:rPr>
                <w:spacing w:val="-2"/>
                <w:sz w:val="20"/>
              </w:rPr>
            </w:pPr>
            <w:r>
              <w:rPr>
                <w:spacing w:val="-2"/>
                <w:sz w:val="20"/>
              </w:rPr>
              <w:t xml:space="preserve">Brief Description of the Information System performed by the Bidder: </w:t>
            </w:r>
            <w:r>
              <w:rPr>
                <w:i/>
                <w:spacing w:val="-2"/>
                <w:sz w:val="20"/>
              </w:rPr>
              <w:t xml:space="preserve">[describe </w:t>
            </w:r>
            <w:r>
              <w:rPr>
                <w:b/>
                <w:i/>
                <w:spacing w:val="-2"/>
                <w:sz w:val="20"/>
              </w:rPr>
              <w:t>Information System</w:t>
            </w:r>
            <w:r>
              <w:rPr>
                <w:i/>
                <w:spacing w:val="-2"/>
                <w:sz w:val="20"/>
              </w:rPr>
              <w:t>]</w:t>
            </w:r>
          </w:p>
          <w:p w14:paraId="0FD97F42" w14:textId="77777777" w:rsidR="00157AAA" w:rsidRDefault="006C1BE5">
            <w:pPr>
              <w:jc w:val="left"/>
              <w:rPr>
                <w:spacing w:val="-2"/>
                <w:sz w:val="20"/>
              </w:rPr>
            </w:pPr>
            <w:r>
              <w:rPr>
                <w:spacing w:val="-2"/>
                <w:sz w:val="20"/>
              </w:rPr>
              <w:t xml:space="preserve">Name of Purchaser: </w:t>
            </w:r>
            <w:r>
              <w:rPr>
                <w:i/>
                <w:spacing w:val="-2"/>
                <w:sz w:val="20"/>
              </w:rPr>
              <w:t xml:space="preserve">[insert </w:t>
            </w:r>
            <w:r>
              <w:rPr>
                <w:b/>
                <w:i/>
                <w:spacing w:val="-2"/>
                <w:sz w:val="20"/>
              </w:rPr>
              <w:t xml:space="preserve">Name of </w:t>
            </w:r>
            <w:proofErr w:type="gramStart"/>
            <w:r>
              <w:rPr>
                <w:b/>
                <w:i/>
                <w:spacing w:val="-2"/>
                <w:sz w:val="20"/>
              </w:rPr>
              <w:t xml:space="preserve">Purchaser </w:t>
            </w:r>
            <w:r>
              <w:rPr>
                <w:i/>
                <w:spacing w:val="-2"/>
                <w:sz w:val="20"/>
              </w:rPr>
              <w:t>]</w:t>
            </w:r>
            <w:proofErr w:type="gramEnd"/>
          </w:p>
          <w:p w14:paraId="25F3C9D1" w14:textId="77777777" w:rsidR="00157AAA" w:rsidRDefault="006C1BE5">
            <w:pPr>
              <w:jc w:val="left"/>
              <w:rPr>
                <w:spacing w:val="-2"/>
                <w:sz w:val="20"/>
              </w:rPr>
            </w:pPr>
            <w:r>
              <w:rPr>
                <w:spacing w:val="-2"/>
                <w:sz w:val="20"/>
              </w:rPr>
              <w:t xml:space="preserve">Address: </w:t>
            </w:r>
            <w:r>
              <w:rPr>
                <w:i/>
                <w:spacing w:val="-2"/>
                <w:sz w:val="20"/>
              </w:rPr>
              <w:t xml:space="preserve">[insert </w:t>
            </w:r>
            <w:r>
              <w:rPr>
                <w:b/>
                <w:i/>
                <w:spacing w:val="-2"/>
                <w:sz w:val="20"/>
              </w:rPr>
              <w:t xml:space="preserve">Address of </w:t>
            </w:r>
            <w:proofErr w:type="gramStart"/>
            <w:r>
              <w:rPr>
                <w:b/>
                <w:i/>
                <w:spacing w:val="-2"/>
                <w:sz w:val="20"/>
              </w:rPr>
              <w:t xml:space="preserve">Purchaser </w:t>
            </w:r>
            <w:r>
              <w:rPr>
                <w:i/>
                <w:spacing w:val="-2"/>
                <w:sz w:val="20"/>
              </w:rPr>
              <w:t>]</w:t>
            </w:r>
            <w:proofErr w:type="gramEnd"/>
          </w:p>
        </w:tc>
        <w:tc>
          <w:tcPr>
            <w:tcW w:w="1260" w:type="dxa"/>
          </w:tcPr>
          <w:p w14:paraId="14920B4E" w14:textId="77777777" w:rsidR="00157AAA" w:rsidRDefault="006C1BE5">
            <w:pPr>
              <w:jc w:val="left"/>
              <w:rPr>
                <w:spacing w:val="-2"/>
                <w:sz w:val="20"/>
              </w:rPr>
            </w:pPr>
            <w:r>
              <w:rPr>
                <w:i/>
                <w:spacing w:val="-2"/>
                <w:sz w:val="20"/>
              </w:rPr>
              <w:t xml:space="preserve">[describe </w:t>
            </w:r>
            <w:r>
              <w:rPr>
                <w:b/>
                <w:i/>
                <w:spacing w:val="-2"/>
                <w:sz w:val="20"/>
              </w:rPr>
              <w:t>role of Bidder under the contract</w:t>
            </w:r>
            <w:r>
              <w:rPr>
                <w:i/>
                <w:spacing w:val="-2"/>
                <w:sz w:val="20"/>
              </w:rPr>
              <w:t>]</w:t>
            </w:r>
          </w:p>
        </w:tc>
      </w:tr>
      <w:tr w:rsidR="00157AAA" w14:paraId="10F98029" w14:textId="77777777">
        <w:trPr>
          <w:cantSplit/>
        </w:trPr>
        <w:tc>
          <w:tcPr>
            <w:tcW w:w="1080" w:type="dxa"/>
          </w:tcPr>
          <w:p w14:paraId="3F52B96F" w14:textId="77777777" w:rsidR="00157AAA" w:rsidRDefault="006C1BE5">
            <w:pPr>
              <w:jc w:val="left"/>
              <w:rPr>
                <w:i/>
                <w:spacing w:val="-2"/>
                <w:sz w:val="20"/>
              </w:rPr>
            </w:pPr>
            <w:r>
              <w:rPr>
                <w:i/>
                <w:spacing w:val="-2"/>
                <w:sz w:val="20"/>
              </w:rPr>
              <w:t xml:space="preserve">[insert </w:t>
            </w:r>
            <w:r>
              <w:rPr>
                <w:b/>
                <w:i/>
                <w:spacing w:val="-2"/>
                <w:sz w:val="20"/>
              </w:rPr>
              <w:t>month / year</w:t>
            </w:r>
            <w:r>
              <w:rPr>
                <w:i/>
                <w:spacing w:val="-2"/>
                <w:sz w:val="20"/>
              </w:rPr>
              <w:t>]</w:t>
            </w:r>
          </w:p>
        </w:tc>
        <w:tc>
          <w:tcPr>
            <w:tcW w:w="1170" w:type="dxa"/>
          </w:tcPr>
          <w:p w14:paraId="63A0AA0B" w14:textId="77777777" w:rsidR="00157AAA" w:rsidRDefault="006C1BE5">
            <w:pPr>
              <w:jc w:val="left"/>
              <w:rPr>
                <w:spacing w:val="-2"/>
                <w:sz w:val="20"/>
              </w:rPr>
            </w:pPr>
            <w:r>
              <w:rPr>
                <w:i/>
                <w:spacing w:val="-2"/>
                <w:sz w:val="20"/>
              </w:rPr>
              <w:t xml:space="preserve">[insert </w:t>
            </w:r>
            <w:r>
              <w:rPr>
                <w:b/>
                <w:i/>
                <w:spacing w:val="-2"/>
                <w:sz w:val="20"/>
              </w:rPr>
              <w:t>month / year</w:t>
            </w:r>
            <w:r>
              <w:rPr>
                <w:i/>
                <w:spacing w:val="-2"/>
                <w:sz w:val="20"/>
              </w:rPr>
              <w:t>]</w:t>
            </w:r>
          </w:p>
        </w:tc>
        <w:tc>
          <w:tcPr>
            <w:tcW w:w="900" w:type="dxa"/>
          </w:tcPr>
          <w:p w14:paraId="25A85638" w14:textId="77777777" w:rsidR="00157AAA" w:rsidRDefault="006C1BE5">
            <w:pPr>
              <w:jc w:val="left"/>
              <w:rPr>
                <w:spacing w:val="-2"/>
                <w:sz w:val="20"/>
              </w:rPr>
            </w:pPr>
            <w:r>
              <w:rPr>
                <w:i/>
                <w:spacing w:val="-2"/>
                <w:sz w:val="20"/>
              </w:rPr>
              <w:t xml:space="preserve">[insert </w:t>
            </w:r>
            <w:r>
              <w:rPr>
                <w:b/>
                <w:i/>
                <w:spacing w:val="-2"/>
                <w:sz w:val="20"/>
              </w:rPr>
              <w:t>number of years</w:t>
            </w:r>
            <w:r>
              <w:rPr>
                <w:i/>
                <w:spacing w:val="-2"/>
                <w:sz w:val="20"/>
              </w:rPr>
              <w:t>]</w:t>
            </w:r>
          </w:p>
        </w:tc>
        <w:tc>
          <w:tcPr>
            <w:tcW w:w="5040" w:type="dxa"/>
          </w:tcPr>
          <w:p w14:paraId="46005D3D" w14:textId="77777777" w:rsidR="00157AAA" w:rsidRDefault="006C1BE5">
            <w:pPr>
              <w:jc w:val="left"/>
              <w:rPr>
                <w:spacing w:val="-2"/>
                <w:sz w:val="20"/>
              </w:rPr>
            </w:pPr>
            <w:r>
              <w:rPr>
                <w:spacing w:val="-2"/>
                <w:sz w:val="20"/>
              </w:rPr>
              <w:t xml:space="preserve">Contract name: </w:t>
            </w:r>
            <w:r>
              <w:rPr>
                <w:i/>
                <w:spacing w:val="-2"/>
                <w:sz w:val="20"/>
              </w:rPr>
              <w:t xml:space="preserve">[insert </w:t>
            </w:r>
            <w:r>
              <w:rPr>
                <w:b/>
                <w:i/>
                <w:spacing w:val="-2"/>
                <w:sz w:val="20"/>
              </w:rPr>
              <w:t xml:space="preserve">Name of </w:t>
            </w:r>
            <w:proofErr w:type="gramStart"/>
            <w:r>
              <w:rPr>
                <w:b/>
                <w:i/>
                <w:spacing w:val="-2"/>
                <w:sz w:val="20"/>
              </w:rPr>
              <w:t xml:space="preserve">Contract </w:t>
            </w:r>
            <w:r>
              <w:rPr>
                <w:i/>
                <w:spacing w:val="-2"/>
                <w:sz w:val="20"/>
              </w:rPr>
              <w:t>]</w:t>
            </w:r>
            <w:proofErr w:type="gramEnd"/>
          </w:p>
          <w:p w14:paraId="1705BE29" w14:textId="77777777" w:rsidR="00157AAA" w:rsidRDefault="006C1BE5">
            <w:pPr>
              <w:jc w:val="left"/>
              <w:rPr>
                <w:spacing w:val="-2"/>
                <w:sz w:val="20"/>
              </w:rPr>
            </w:pPr>
            <w:r>
              <w:rPr>
                <w:spacing w:val="-2"/>
                <w:sz w:val="20"/>
              </w:rPr>
              <w:t xml:space="preserve">Brief Description of the Information System performed by the Bidder: </w:t>
            </w:r>
            <w:r>
              <w:rPr>
                <w:i/>
                <w:spacing w:val="-2"/>
                <w:sz w:val="20"/>
              </w:rPr>
              <w:t xml:space="preserve">[describe </w:t>
            </w:r>
            <w:r>
              <w:rPr>
                <w:b/>
                <w:i/>
                <w:spacing w:val="-2"/>
                <w:sz w:val="20"/>
              </w:rPr>
              <w:t>Information System</w:t>
            </w:r>
            <w:r>
              <w:rPr>
                <w:i/>
                <w:spacing w:val="-2"/>
                <w:sz w:val="20"/>
              </w:rPr>
              <w:t>]</w:t>
            </w:r>
          </w:p>
          <w:p w14:paraId="525CEBEE" w14:textId="77777777" w:rsidR="00157AAA" w:rsidRDefault="006C1BE5">
            <w:pPr>
              <w:jc w:val="left"/>
              <w:rPr>
                <w:spacing w:val="-2"/>
                <w:sz w:val="20"/>
              </w:rPr>
            </w:pPr>
            <w:r>
              <w:rPr>
                <w:spacing w:val="-2"/>
                <w:sz w:val="20"/>
              </w:rPr>
              <w:t xml:space="preserve">Name of Purchaser: </w:t>
            </w:r>
            <w:r>
              <w:rPr>
                <w:i/>
                <w:spacing w:val="-2"/>
                <w:sz w:val="20"/>
              </w:rPr>
              <w:t xml:space="preserve">[insert </w:t>
            </w:r>
            <w:r>
              <w:rPr>
                <w:b/>
                <w:i/>
                <w:spacing w:val="-2"/>
                <w:sz w:val="20"/>
              </w:rPr>
              <w:t xml:space="preserve">Name of </w:t>
            </w:r>
            <w:proofErr w:type="gramStart"/>
            <w:r>
              <w:rPr>
                <w:b/>
                <w:i/>
                <w:spacing w:val="-2"/>
                <w:sz w:val="20"/>
              </w:rPr>
              <w:t xml:space="preserve">Purchaser </w:t>
            </w:r>
            <w:r>
              <w:rPr>
                <w:i/>
                <w:spacing w:val="-2"/>
                <w:sz w:val="20"/>
              </w:rPr>
              <w:t>]</w:t>
            </w:r>
            <w:proofErr w:type="gramEnd"/>
          </w:p>
          <w:p w14:paraId="51D3FCC6" w14:textId="77777777" w:rsidR="00157AAA" w:rsidRDefault="006C1BE5">
            <w:pPr>
              <w:jc w:val="left"/>
              <w:rPr>
                <w:spacing w:val="-2"/>
                <w:sz w:val="20"/>
              </w:rPr>
            </w:pPr>
            <w:r>
              <w:rPr>
                <w:spacing w:val="-2"/>
                <w:sz w:val="20"/>
              </w:rPr>
              <w:t xml:space="preserve">Address: </w:t>
            </w:r>
            <w:r>
              <w:rPr>
                <w:i/>
                <w:spacing w:val="-2"/>
                <w:sz w:val="20"/>
              </w:rPr>
              <w:t xml:space="preserve">[insert </w:t>
            </w:r>
            <w:r>
              <w:rPr>
                <w:b/>
                <w:i/>
                <w:spacing w:val="-2"/>
                <w:sz w:val="20"/>
              </w:rPr>
              <w:t xml:space="preserve">Address of </w:t>
            </w:r>
            <w:proofErr w:type="gramStart"/>
            <w:r>
              <w:rPr>
                <w:b/>
                <w:i/>
                <w:spacing w:val="-2"/>
                <w:sz w:val="20"/>
              </w:rPr>
              <w:t xml:space="preserve">Purchaser </w:t>
            </w:r>
            <w:r>
              <w:rPr>
                <w:i/>
                <w:spacing w:val="-2"/>
                <w:sz w:val="20"/>
              </w:rPr>
              <w:t>]</w:t>
            </w:r>
            <w:proofErr w:type="gramEnd"/>
          </w:p>
        </w:tc>
        <w:tc>
          <w:tcPr>
            <w:tcW w:w="1260" w:type="dxa"/>
          </w:tcPr>
          <w:p w14:paraId="4C9526AC" w14:textId="77777777" w:rsidR="00157AAA" w:rsidRDefault="006C1BE5">
            <w:pPr>
              <w:jc w:val="left"/>
              <w:rPr>
                <w:spacing w:val="-2"/>
                <w:sz w:val="20"/>
              </w:rPr>
            </w:pPr>
            <w:r>
              <w:rPr>
                <w:i/>
                <w:spacing w:val="-2"/>
                <w:sz w:val="20"/>
              </w:rPr>
              <w:t xml:space="preserve">[describe </w:t>
            </w:r>
            <w:r>
              <w:rPr>
                <w:b/>
                <w:i/>
                <w:spacing w:val="-2"/>
                <w:sz w:val="20"/>
              </w:rPr>
              <w:t>role of Bidder under the contract</w:t>
            </w:r>
            <w:r>
              <w:rPr>
                <w:i/>
                <w:spacing w:val="-2"/>
                <w:sz w:val="20"/>
              </w:rPr>
              <w:t>]</w:t>
            </w:r>
          </w:p>
        </w:tc>
      </w:tr>
      <w:tr w:rsidR="00157AAA" w14:paraId="65346BB8" w14:textId="77777777">
        <w:trPr>
          <w:cantSplit/>
        </w:trPr>
        <w:tc>
          <w:tcPr>
            <w:tcW w:w="1080" w:type="dxa"/>
          </w:tcPr>
          <w:p w14:paraId="4EB6590B" w14:textId="77777777" w:rsidR="00157AAA" w:rsidRDefault="006C1BE5">
            <w:pPr>
              <w:jc w:val="left"/>
              <w:rPr>
                <w:i/>
                <w:spacing w:val="-2"/>
                <w:sz w:val="20"/>
              </w:rPr>
            </w:pPr>
            <w:r>
              <w:rPr>
                <w:i/>
                <w:spacing w:val="-2"/>
                <w:sz w:val="20"/>
              </w:rPr>
              <w:t xml:space="preserve">[insert </w:t>
            </w:r>
            <w:r>
              <w:rPr>
                <w:b/>
                <w:i/>
                <w:spacing w:val="-2"/>
                <w:sz w:val="20"/>
              </w:rPr>
              <w:t>month / year</w:t>
            </w:r>
            <w:r>
              <w:rPr>
                <w:i/>
                <w:spacing w:val="-2"/>
                <w:sz w:val="20"/>
              </w:rPr>
              <w:t>]</w:t>
            </w:r>
          </w:p>
        </w:tc>
        <w:tc>
          <w:tcPr>
            <w:tcW w:w="1170" w:type="dxa"/>
          </w:tcPr>
          <w:p w14:paraId="4482E505" w14:textId="77777777" w:rsidR="00157AAA" w:rsidRDefault="006C1BE5">
            <w:pPr>
              <w:jc w:val="left"/>
              <w:rPr>
                <w:spacing w:val="-2"/>
                <w:sz w:val="20"/>
              </w:rPr>
            </w:pPr>
            <w:r>
              <w:rPr>
                <w:i/>
                <w:spacing w:val="-2"/>
                <w:sz w:val="20"/>
              </w:rPr>
              <w:t xml:space="preserve">[insert </w:t>
            </w:r>
            <w:r>
              <w:rPr>
                <w:b/>
                <w:i/>
                <w:spacing w:val="-2"/>
                <w:sz w:val="20"/>
              </w:rPr>
              <w:t>month / year</w:t>
            </w:r>
            <w:r>
              <w:rPr>
                <w:i/>
                <w:spacing w:val="-2"/>
                <w:sz w:val="20"/>
              </w:rPr>
              <w:t>]</w:t>
            </w:r>
          </w:p>
        </w:tc>
        <w:tc>
          <w:tcPr>
            <w:tcW w:w="900" w:type="dxa"/>
          </w:tcPr>
          <w:p w14:paraId="6C98CB7A" w14:textId="77777777" w:rsidR="00157AAA" w:rsidRDefault="006C1BE5">
            <w:pPr>
              <w:jc w:val="left"/>
              <w:rPr>
                <w:spacing w:val="-2"/>
                <w:sz w:val="20"/>
              </w:rPr>
            </w:pPr>
            <w:r>
              <w:rPr>
                <w:i/>
                <w:spacing w:val="-2"/>
                <w:sz w:val="20"/>
              </w:rPr>
              <w:t xml:space="preserve">[insert </w:t>
            </w:r>
            <w:r>
              <w:rPr>
                <w:b/>
                <w:i/>
                <w:spacing w:val="-2"/>
                <w:sz w:val="20"/>
              </w:rPr>
              <w:t>number of years</w:t>
            </w:r>
            <w:r>
              <w:rPr>
                <w:i/>
                <w:spacing w:val="-2"/>
                <w:sz w:val="20"/>
              </w:rPr>
              <w:t>]</w:t>
            </w:r>
          </w:p>
        </w:tc>
        <w:tc>
          <w:tcPr>
            <w:tcW w:w="5040" w:type="dxa"/>
          </w:tcPr>
          <w:p w14:paraId="3CC2FF48" w14:textId="77777777" w:rsidR="00157AAA" w:rsidRDefault="006C1BE5">
            <w:pPr>
              <w:jc w:val="left"/>
              <w:rPr>
                <w:spacing w:val="-2"/>
                <w:sz w:val="20"/>
              </w:rPr>
            </w:pPr>
            <w:r>
              <w:rPr>
                <w:spacing w:val="-2"/>
                <w:sz w:val="20"/>
              </w:rPr>
              <w:t xml:space="preserve">Contract name: </w:t>
            </w:r>
            <w:r>
              <w:rPr>
                <w:i/>
                <w:spacing w:val="-2"/>
                <w:sz w:val="20"/>
              </w:rPr>
              <w:t xml:space="preserve">[insert </w:t>
            </w:r>
            <w:r>
              <w:rPr>
                <w:b/>
                <w:i/>
                <w:spacing w:val="-2"/>
                <w:sz w:val="20"/>
              </w:rPr>
              <w:t xml:space="preserve">Name of </w:t>
            </w:r>
            <w:proofErr w:type="gramStart"/>
            <w:r>
              <w:rPr>
                <w:b/>
                <w:i/>
                <w:spacing w:val="-2"/>
                <w:sz w:val="20"/>
              </w:rPr>
              <w:t xml:space="preserve">Contract </w:t>
            </w:r>
            <w:r>
              <w:rPr>
                <w:i/>
                <w:spacing w:val="-2"/>
                <w:sz w:val="20"/>
              </w:rPr>
              <w:t>]</w:t>
            </w:r>
            <w:proofErr w:type="gramEnd"/>
          </w:p>
          <w:p w14:paraId="1FC83FA8" w14:textId="77777777" w:rsidR="00157AAA" w:rsidRDefault="006C1BE5">
            <w:pPr>
              <w:jc w:val="left"/>
              <w:rPr>
                <w:spacing w:val="-2"/>
                <w:sz w:val="20"/>
              </w:rPr>
            </w:pPr>
            <w:r>
              <w:rPr>
                <w:spacing w:val="-2"/>
                <w:sz w:val="20"/>
              </w:rPr>
              <w:t xml:space="preserve">Brief Description of the Information System performed by the Bidder: </w:t>
            </w:r>
            <w:r>
              <w:rPr>
                <w:i/>
                <w:spacing w:val="-2"/>
                <w:sz w:val="20"/>
              </w:rPr>
              <w:t xml:space="preserve">[describe </w:t>
            </w:r>
            <w:r>
              <w:rPr>
                <w:b/>
                <w:i/>
                <w:spacing w:val="-2"/>
                <w:sz w:val="20"/>
              </w:rPr>
              <w:t>Information System</w:t>
            </w:r>
            <w:r>
              <w:rPr>
                <w:i/>
                <w:spacing w:val="-2"/>
                <w:sz w:val="20"/>
              </w:rPr>
              <w:t>]</w:t>
            </w:r>
          </w:p>
          <w:p w14:paraId="603EC2FB" w14:textId="77777777" w:rsidR="00157AAA" w:rsidRDefault="006C1BE5">
            <w:pPr>
              <w:jc w:val="left"/>
              <w:rPr>
                <w:spacing w:val="-2"/>
                <w:sz w:val="20"/>
              </w:rPr>
            </w:pPr>
            <w:r>
              <w:rPr>
                <w:spacing w:val="-2"/>
                <w:sz w:val="20"/>
              </w:rPr>
              <w:t xml:space="preserve">Name of Purchaser: </w:t>
            </w:r>
            <w:r>
              <w:rPr>
                <w:i/>
                <w:spacing w:val="-2"/>
                <w:sz w:val="20"/>
              </w:rPr>
              <w:t xml:space="preserve">[insert </w:t>
            </w:r>
            <w:r>
              <w:rPr>
                <w:b/>
                <w:i/>
                <w:spacing w:val="-2"/>
                <w:sz w:val="20"/>
              </w:rPr>
              <w:t xml:space="preserve">Name of </w:t>
            </w:r>
            <w:proofErr w:type="gramStart"/>
            <w:r>
              <w:rPr>
                <w:b/>
                <w:i/>
                <w:spacing w:val="-2"/>
                <w:sz w:val="20"/>
              </w:rPr>
              <w:t xml:space="preserve">Purchaser </w:t>
            </w:r>
            <w:r>
              <w:rPr>
                <w:i/>
                <w:spacing w:val="-2"/>
                <w:sz w:val="20"/>
              </w:rPr>
              <w:t>]</w:t>
            </w:r>
            <w:proofErr w:type="gramEnd"/>
          </w:p>
          <w:p w14:paraId="62CB04CD" w14:textId="77777777" w:rsidR="00157AAA" w:rsidRDefault="006C1BE5">
            <w:pPr>
              <w:jc w:val="left"/>
              <w:rPr>
                <w:spacing w:val="-2"/>
                <w:sz w:val="20"/>
              </w:rPr>
            </w:pPr>
            <w:r>
              <w:rPr>
                <w:spacing w:val="-2"/>
                <w:sz w:val="20"/>
              </w:rPr>
              <w:t xml:space="preserve">Address: </w:t>
            </w:r>
            <w:r>
              <w:rPr>
                <w:i/>
                <w:spacing w:val="-2"/>
                <w:sz w:val="20"/>
              </w:rPr>
              <w:t xml:space="preserve">[insert </w:t>
            </w:r>
            <w:r>
              <w:rPr>
                <w:b/>
                <w:i/>
                <w:spacing w:val="-2"/>
                <w:sz w:val="20"/>
              </w:rPr>
              <w:t xml:space="preserve">Address of </w:t>
            </w:r>
            <w:proofErr w:type="gramStart"/>
            <w:r>
              <w:rPr>
                <w:b/>
                <w:i/>
                <w:spacing w:val="-2"/>
                <w:sz w:val="20"/>
              </w:rPr>
              <w:t xml:space="preserve">Purchaser </w:t>
            </w:r>
            <w:r>
              <w:rPr>
                <w:i/>
                <w:spacing w:val="-2"/>
                <w:sz w:val="20"/>
              </w:rPr>
              <w:t>]</w:t>
            </w:r>
            <w:proofErr w:type="gramEnd"/>
          </w:p>
        </w:tc>
        <w:tc>
          <w:tcPr>
            <w:tcW w:w="1260" w:type="dxa"/>
          </w:tcPr>
          <w:p w14:paraId="218422B6" w14:textId="77777777" w:rsidR="00157AAA" w:rsidRDefault="006C1BE5">
            <w:pPr>
              <w:jc w:val="left"/>
              <w:rPr>
                <w:spacing w:val="-2"/>
                <w:sz w:val="20"/>
              </w:rPr>
            </w:pPr>
            <w:r>
              <w:rPr>
                <w:i/>
                <w:spacing w:val="-2"/>
                <w:sz w:val="20"/>
              </w:rPr>
              <w:t xml:space="preserve">[describe </w:t>
            </w:r>
            <w:r>
              <w:rPr>
                <w:b/>
                <w:i/>
                <w:spacing w:val="-2"/>
                <w:sz w:val="20"/>
              </w:rPr>
              <w:t>role of Bidder under the contract</w:t>
            </w:r>
            <w:r>
              <w:rPr>
                <w:i/>
                <w:spacing w:val="-2"/>
                <w:sz w:val="20"/>
              </w:rPr>
              <w:t>]</w:t>
            </w:r>
          </w:p>
        </w:tc>
      </w:tr>
    </w:tbl>
    <w:p w14:paraId="27155640" w14:textId="77777777" w:rsidR="00157AAA" w:rsidRDefault="00157AAA">
      <w:pPr>
        <w:pStyle w:val="Outline"/>
        <w:spacing w:before="0"/>
      </w:pPr>
    </w:p>
    <w:p w14:paraId="789A9802" w14:textId="77777777" w:rsidR="00157AAA" w:rsidRDefault="006C1BE5">
      <w:pPr>
        <w:pStyle w:val="Outline"/>
        <w:spacing w:before="0"/>
        <w:rPr>
          <w:iCs/>
        </w:rPr>
      </w:pPr>
      <w:r>
        <w:t>*List calendar year for years with contracts with at least nine (9) months activity per year starting with the earliest year</w:t>
      </w:r>
      <w:r>
        <w:br w:type="page" w:clear="all"/>
      </w:r>
    </w:p>
    <w:p w14:paraId="5DC67EDC" w14:textId="77777777" w:rsidR="00157AAA" w:rsidRDefault="006C1BE5">
      <w:pPr>
        <w:pStyle w:val="S4-header1"/>
        <w:rPr>
          <w:smallCaps/>
        </w:rPr>
      </w:pPr>
      <w:bookmarkStart w:id="603" w:name="_Toc163506165"/>
      <w:r>
        <w:rPr>
          <w:smallCaps/>
        </w:rPr>
        <w:lastRenderedPageBreak/>
        <w:t>Form EXP – 5.4.2- Specific Experience</w:t>
      </w:r>
      <w:bookmarkEnd w:id="603"/>
    </w:p>
    <w:p w14:paraId="22FD9AC3"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7626E056"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4C79379B"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r>
        <w:tab/>
      </w:r>
    </w:p>
    <w:p w14:paraId="61571298"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64713087" w14:textId="77777777" w:rsidR="00157AAA" w:rsidRDefault="006C1BE5">
      <w:pPr>
        <w:tabs>
          <w:tab w:val="right" w:pos="9000"/>
          <w:tab w:val="right" w:pos="9630"/>
        </w:tabs>
      </w:pPr>
      <w:r>
        <w:t xml:space="preserve">   </w:t>
      </w:r>
      <w:r>
        <w:tab/>
        <w:t>Page _______ of _______ pages</w:t>
      </w:r>
    </w:p>
    <w:p w14:paraId="655F86AE" w14:textId="77777777" w:rsidR="00157AAA" w:rsidRDefault="00157AAA">
      <w:pPr>
        <w:pStyle w:val="Outline"/>
        <w:spacing w:before="120"/>
        <w:rPr>
          <w:spacing w:val="-2"/>
        </w:rPr>
      </w:pPr>
    </w:p>
    <w:tbl>
      <w:tblPr>
        <w:tblW w:w="8740" w:type="dxa"/>
        <w:tblInd w:w="72" w:type="dxa"/>
        <w:tblLayout w:type="fixed"/>
        <w:tblCellMar>
          <w:left w:w="72" w:type="dxa"/>
          <w:right w:w="72" w:type="dxa"/>
        </w:tblCellMar>
        <w:tblLook w:val="0000" w:firstRow="0" w:lastRow="0" w:firstColumn="0" w:lastColumn="0" w:noHBand="0" w:noVBand="0"/>
      </w:tblPr>
      <w:tblGrid>
        <w:gridCol w:w="3996"/>
        <w:gridCol w:w="1474"/>
        <w:gridCol w:w="1713"/>
        <w:gridCol w:w="1557"/>
      </w:tblGrid>
      <w:tr w:rsidR="00157AAA" w14:paraId="5E48E8E1" w14:textId="77777777">
        <w:trPr>
          <w:cantSplit/>
          <w:tblHeader/>
        </w:trPr>
        <w:tc>
          <w:tcPr>
            <w:tcW w:w="3996" w:type="dxa"/>
            <w:tcBorders>
              <w:top w:val="single" w:sz="6" w:space="0" w:color="auto"/>
              <w:left w:val="single" w:sz="6" w:space="0" w:color="auto"/>
              <w:bottom w:val="single" w:sz="6" w:space="0" w:color="auto"/>
              <w:right w:val="single" w:sz="6" w:space="0" w:color="auto"/>
            </w:tcBorders>
          </w:tcPr>
          <w:p w14:paraId="1CBEA0AC" w14:textId="77777777" w:rsidR="00157AAA" w:rsidRDefault="006C1BE5">
            <w:pPr>
              <w:spacing w:before="60" w:after="60"/>
              <w:jc w:val="left"/>
              <w:rPr>
                <w:b/>
                <w:spacing w:val="-2"/>
                <w:szCs w:val="24"/>
              </w:rPr>
            </w:pPr>
            <w:r>
              <w:rPr>
                <w:b/>
                <w:spacing w:val="-2"/>
                <w:szCs w:val="24"/>
              </w:rPr>
              <w:t>Similar Contract Number:  ___ of ___ required.</w:t>
            </w:r>
          </w:p>
        </w:tc>
        <w:tc>
          <w:tcPr>
            <w:tcW w:w="4744" w:type="dxa"/>
            <w:gridSpan w:val="3"/>
            <w:tcBorders>
              <w:top w:val="single" w:sz="6" w:space="0" w:color="auto"/>
              <w:left w:val="single" w:sz="6" w:space="0" w:color="auto"/>
              <w:bottom w:val="single" w:sz="6" w:space="0" w:color="auto"/>
              <w:right w:val="single" w:sz="6" w:space="0" w:color="auto"/>
            </w:tcBorders>
          </w:tcPr>
          <w:p w14:paraId="5826A9B2" w14:textId="77777777" w:rsidR="00157AAA" w:rsidRDefault="006C1BE5">
            <w:pPr>
              <w:spacing w:before="60" w:after="60"/>
              <w:jc w:val="center"/>
              <w:rPr>
                <w:b/>
                <w:spacing w:val="-2"/>
                <w:szCs w:val="24"/>
              </w:rPr>
            </w:pPr>
            <w:r>
              <w:rPr>
                <w:b/>
                <w:spacing w:val="-2"/>
                <w:szCs w:val="24"/>
              </w:rPr>
              <w:t>Information</w:t>
            </w:r>
          </w:p>
        </w:tc>
      </w:tr>
      <w:tr w:rsidR="00157AAA" w14:paraId="597AA606" w14:textId="77777777">
        <w:trPr>
          <w:cantSplit/>
        </w:trPr>
        <w:tc>
          <w:tcPr>
            <w:tcW w:w="3996" w:type="dxa"/>
            <w:tcBorders>
              <w:top w:val="single" w:sz="6" w:space="0" w:color="auto"/>
              <w:left w:val="single" w:sz="6" w:space="0" w:color="auto"/>
              <w:bottom w:val="single" w:sz="6" w:space="0" w:color="auto"/>
              <w:right w:val="single" w:sz="6" w:space="0" w:color="auto"/>
            </w:tcBorders>
          </w:tcPr>
          <w:p w14:paraId="2E1AEA10" w14:textId="77777777" w:rsidR="00157AAA" w:rsidRDefault="006C1BE5">
            <w:pPr>
              <w:pStyle w:val="BodyText"/>
              <w:spacing w:before="60" w:after="60"/>
            </w:pPr>
            <w:r>
              <w:t>Contract Identification</w:t>
            </w:r>
          </w:p>
        </w:tc>
        <w:tc>
          <w:tcPr>
            <w:tcW w:w="4744" w:type="dxa"/>
            <w:gridSpan w:val="3"/>
            <w:tcBorders>
              <w:top w:val="single" w:sz="6" w:space="0" w:color="auto"/>
              <w:left w:val="single" w:sz="6" w:space="0" w:color="auto"/>
              <w:bottom w:val="single" w:sz="6" w:space="0" w:color="auto"/>
              <w:right w:val="single" w:sz="6" w:space="0" w:color="auto"/>
            </w:tcBorders>
          </w:tcPr>
          <w:p w14:paraId="599237FC" w14:textId="77777777" w:rsidR="00157AAA" w:rsidRDefault="006C1BE5">
            <w:pPr>
              <w:pStyle w:val="BodyText"/>
              <w:spacing w:before="60" w:after="60"/>
              <w:rPr>
                <w:i/>
              </w:rPr>
            </w:pPr>
            <w:r>
              <w:rPr>
                <w:i/>
              </w:rPr>
              <w:t xml:space="preserve">[insert </w:t>
            </w:r>
            <w:r>
              <w:rPr>
                <w:b/>
                <w:i/>
              </w:rPr>
              <w:t>Contract ID</w:t>
            </w:r>
            <w:r>
              <w:rPr>
                <w:i/>
              </w:rPr>
              <w:t>]</w:t>
            </w:r>
          </w:p>
        </w:tc>
      </w:tr>
      <w:tr w:rsidR="00157AAA" w14:paraId="6AC14DB4" w14:textId="77777777">
        <w:trPr>
          <w:cantSplit/>
        </w:trPr>
        <w:tc>
          <w:tcPr>
            <w:tcW w:w="3996" w:type="dxa"/>
            <w:tcBorders>
              <w:top w:val="single" w:sz="6" w:space="0" w:color="auto"/>
              <w:left w:val="single" w:sz="6" w:space="0" w:color="auto"/>
              <w:bottom w:val="single" w:sz="6" w:space="0" w:color="auto"/>
              <w:right w:val="single" w:sz="6" w:space="0" w:color="auto"/>
            </w:tcBorders>
          </w:tcPr>
          <w:p w14:paraId="51400819" w14:textId="77777777" w:rsidR="00157AAA" w:rsidRDefault="006C1BE5">
            <w:pPr>
              <w:pStyle w:val="BodyText"/>
              <w:spacing w:before="60" w:after="60"/>
            </w:pPr>
            <w:r>
              <w:t xml:space="preserve">Award </w:t>
            </w:r>
            <w:proofErr w:type="gramStart"/>
            <w:r>
              <w:t>date</w:t>
            </w:r>
            <w:proofErr w:type="gramEnd"/>
            <w:r>
              <w:t xml:space="preserve"> </w:t>
            </w:r>
          </w:p>
          <w:p w14:paraId="208391B5" w14:textId="77777777" w:rsidR="00157AAA" w:rsidRDefault="006C1BE5">
            <w:pPr>
              <w:pStyle w:val="BodyText"/>
              <w:spacing w:before="60" w:after="60"/>
            </w:pPr>
            <w:r>
              <w:t>Completion date</w:t>
            </w:r>
          </w:p>
        </w:tc>
        <w:tc>
          <w:tcPr>
            <w:tcW w:w="4744" w:type="dxa"/>
            <w:gridSpan w:val="3"/>
            <w:tcBorders>
              <w:top w:val="single" w:sz="6" w:space="0" w:color="auto"/>
              <w:left w:val="none" w:sz="4" w:space="0" w:color="000000"/>
              <w:bottom w:val="single" w:sz="6" w:space="0" w:color="auto"/>
              <w:right w:val="single" w:sz="6" w:space="0" w:color="auto"/>
            </w:tcBorders>
          </w:tcPr>
          <w:p w14:paraId="7279926F" w14:textId="77777777" w:rsidR="00157AAA" w:rsidRDefault="006C1BE5">
            <w:pPr>
              <w:pStyle w:val="BodyText"/>
              <w:spacing w:before="60" w:after="60"/>
            </w:pPr>
            <w:r>
              <w:rPr>
                <w:i/>
              </w:rPr>
              <w:t xml:space="preserve">[insert </w:t>
            </w:r>
            <w:r>
              <w:rPr>
                <w:b/>
                <w:i/>
              </w:rPr>
              <w:t>Date of</w:t>
            </w:r>
            <w:r>
              <w:rPr>
                <w:i/>
              </w:rPr>
              <w:t xml:space="preserve"> </w:t>
            </w:r>
            <w:r>
              <w:rPr>
                <w:b/>
                <w:i/>
              </w:rPr>
              <w:t>Award</w:t>
            </w:r>
          </w:p>
          <w:p w14:paraId="3CF3A9AE" w14:textId="77777777" w:rsidR="00157AAA" w:rsidRDefault="006C1BE5">
            <w:pPr>
              <w:pStyle w:val="BodyText"/>
              <w:spacing w:before="60" w:after="60"/>
            </w:pPr>
            <w:r>
              <w:rPr>
                <w:i/>
              </w:rPr>
              <w:t xml:space="preserve">[insert </w:t>
            </w:r>
            <w:r>
              <w:rPr>
                <w:b/>
                <w:i/>
              </w:rPr>
              <w:t>Date of</w:t>
            </w:r>
            <w:r>
              <w:rPr>
                <w:i/>
              </w:rPr>
              <w:t xml:space="preserve"> </w:t>
            </w:r>
            <w:r>
              <w:rPr>
                <w:b/>
                <w:i/>
              </w:rPr>
              <w:t>Completion</w:t>
            </w:r>
          </w:p>
        </w:tc>
      </w:tr>
      <w:tr w:rsidR="00157AAA" w14:paraId="717AD217" w14:textId="77777777">
        <w:trPr>
          <w:cantSplit/>
        </w:trPr>
        <w:tc>
          <w:tcPr>
            <w:tcW w:w="3996" w:type="dxa"/>
            <w:tcBorders>
              <w:top w:val="single" w:sz="6" w:space="0" w:color="auto"/>
              <w:left w:val="single" w:sz="6" w:space="0" w:color="auto"/>
              <w:bottom w:val="single" w:sz="6" w:space="0" w:color="auto"/>
              <w:right w:val="single" w:sz="6" w:space="0" w:color="auto"/>
            </w:tcBorders>
          </w:tcPr>
          <w:p w14:paraId="14CED5E6" w14:textId="77777777" w:rsidR="00157AAA" w:rsidRDefault="00157AAA">
            <w:pPr>
              <w:pStyle w:val="BodyText"/>
              <w:spacing w:before="60" w:after="60"/>
            </w:pPr>
          </w:p>
        </w:tc>
        <w:tc>
          <w:tcPr>
            <w:tcW w:w="4744" w:type="dxa"/>
            <w:gridSpan w:val="3"/>
            <w:tcBorders>
              <w:top w:val="single" w:sz="6" w:space="0" w:color="auto"/>
              <w:left w:val="none" w:sz="4" w:space="0" w:color="000000"/>
              <w:bottom w:val="single" w:sz="6" w:space="0" w:color="auto"/>
              <w:right w:val="single" w:sz="4" w:space="0" w:color="auto"/>
            </w:tcBorders>
          </w:tcPr>
          <w:p w14:paraId="5DF0946C" w14:textId="77777777" w:rsidR="00157AAA" w:rsidRDefault="00157AAA">
            <w:pPr>
              <w:pStyle w:val="BodyText"/>
              <w:spacing w:before="60" w:after="60"/>
            </w:pPr>
          </w:p>
        </w:tc>
      </w:tr>
      <w:tr w:rsidR="00157AAA" w14:paraId="735EA0D1" w14:textId="77777777">
        <w:trPr>
          <w:cantSplit/>
        </w:trPr>
        <w:tc>
          <w:tcPr>
            <w:tcW w:w="3996" w:type="dxa"/>
            <w:tcBorders>
              <w:top w:val="single" w:sz="6" w:space="0" w:color="auto"/>
              <w:left w:val="single" w:sz="6" w:space="0" w:color="auto"/>
              <w:bottom w:val="single" w:sz="6" w:space="0" w:color="auto"/>
              <w:right w:val="single" w:sz="6" w:space="0" w:color="auto"/>
            </w:tcBorders>
          </w:tcPr>
          <w:p w14:paraId="0FDABAEA" w14:textId="77777777" w:rsidR="00157AAA" w:rsidRDefault="006C1BE5">
            <w:pPr>
              <w:spacing w:before="60" w:after="60"/>
              <w:rPr>
                <w:spacing w:val="-2"/>
              </w:rPr>
            </w:pPr>
            <w:r>
              <w:rPr>
                <w:spacing w:val="-2"/>
              </w:rPr>
              <w:t>Role in Contract</w:t>
            </w:r>
          </w:p>
        </w:tc>
        <w:tc>
          <w:tcPr>
            <w:tcW w:w="1474" w:type="dxa"/>
            <w:tcBorders>
              <w:top w:val="single" w:sz="6" w:space="0" w:color="auto"/>
              <w:left w:val="none" w:sz="4" w:space="0" w:color="000000"/>
              <w:bottom w:val="single" w:sz="6" w:space="0" w:color="auto"/>
              <w:right w:val="single" w:sz="6" w:space="0" w:color="auto"/>
            </w:tcBorders>
          </w:tcPr>
          <w:p w14:paraId="55414E8A" w14:textId="77777777" w:rsidR="00157AAA" w:rsidRDefault="006C1BE5">
            <w:pPr>
              <w:spacing w:before="60" w:after="60"/>
              <w:jc w:val="center"/>
              <w:rPr>
                <w:sz w:val="36"/>
              </w:rPr>
            </w:pPr>
            <w:r>
              <w:rPr>
                <w:rFonts w:ascii="Symbol" w:eastAsia="Symbol" w:hAnsi="Symbol" w:cs="Symbol"/>
                <w:sz w:val="36"/>
              </w:rPr>
              <w:t></w:t>
            </w:r>
            <w:r>
              <w:rPr>
                <w:sz w:val="36"/>
              </w:rPr>
              <w:t xml:space="preserve"> </w:t>
            </w:r>
            <w:r>
              <w:rPr>
                <w:sz w:val="36"/>
              </w:rPr>
              <w:br/>
            </w:r>
            <w:r>
              <w:t xml:space="preserve">Prime Supplier </w:t>
            </w:r>
          </w:p>
        </w:tc>
        <w:tc>
          <w:tcPr>
            <w:tcW w:w="1713" w:type="dxa"/>
            <w:tcBorders>
              <w:top w:val="single" w:sz="6" w:space="0" w:color="auto"/>
              <w:left w:val="none" w:sz="4" w:space="0" w:color="000000"/>
              <w:bottom w:val="single" w:sz="6" w:space="0" w:color="auto"/>
              <w:right w:val="single" w:sz="6" w:space="0" w:color="auto"/>
            </w:tcBorders>
          </w:tcPr>
          <w:p w14:paraId="456EF26D" w14:textId="77777777" w:rsidR="00157AAA" w:rsidRDefault="006C1BE5">
            <w:pPr>
              <w:spacing w:before="60" w:after="60"/>
              <w:jc w:val="center"/>
              <w:rPr>
                <w:spacing w:val="-2"/>
                <w:sz w:val="36"/>
              </w:rPr>
            </w:pPr>
            <w:r>
              <w:rPr>
                <w:rFonts w:ascii="Symbol" w:eastAsia="Symbol" w:hAnsi="Symbol" w:cs="Symbol"/>
                <w:sz w:val="36"/>
              </w:rPr>
              <w:t></w:t>
            </w:r>
            <w:r>
              <w:rPr>
                <w:sz w:val="36"/>
              </w:rPr>
              <w:t xml:space="preserve"> </w:t>
            </w:r>
            <w:r>
              <w:rPr>
                <w:sz w:val="36"/>
              </w:rPr>
              <w:br/>
            </w:r>
            <w:r>
              <w:t>Management Contractor</w:t>
            </w:r>
          </w:p>
        </w:tc>
        <w:tc>
          <w:tcPr>
            <w:tcW w:w="1557" w:type="dxa"/>
            <w:tcBorders>
              <w:top w:val="single" w:sz="6" w:space="0" w:color="auto"/>
              <w:left w:val="single" w:sz="6" w:space="0" w:color="auto"/>
              <w:bottom w:val="single" w:sz="6" w:space="0" w:color="auto"/>
              <w:right w:val="single" w:sz="6" w:space="0" w:color="auto"/>
            </w:tcBorders>
          </w:tcPr>
          <w:p w14:paraId="4C5727D3" w14:textId="77777777" w:rsidR="00157AAA" w:rsidRDefault="006C1BE5">
            <w:pPr>
              <w:spacing w:before="60" w:after="60"/>
              <w:jc w:val="center"/>
            </w:pPr>
            <w:r>
              <w:rPr>
                <w:rFonts w:ascii="Symbol" w:eastAsia="Symbol" w:hAnsi="Symbol" w:cs="Symbol"/>
                <w:sz w:val="36"/>
              </w:rPr>
              <w:t></w:t>
            </w:r>
            <w:r>
              <w:rPr>
                <w:sz w:val="36"/>
              </w:rPr>
              <w:t xml:space="preserve"> </w:t>
            </w:r>
            <w:r>
              <w:t>Subcontractor</w:t>
            </w:r>
          </w:p>
          <w:p w14:paraId="469F9687" w14:textId="77777777" w:rsidR="00157AAA" w:rsidRDefault="00157AAA">
            <w:pPr>
              <w:spacing w:before="60" w:after="60"/>
              <w:jc w:val="center"/>
              <w:rPr>
                <w:spacing w:val="-2"/>
                <w:sz w:val="36"/>
              </w:rPr>
            </w:pPr>
          </w:p>
        </w:tc>
      </w:tr>
      <w:tr w:rsidR="00157AAA" w14:paraId="2BBFA1D7" w14:textId="77777777">
        <w:trPr>
          <w:cantSplit/>
        </w:trPr>
        <w:tc>
          <w:tcPr>
            <w:tcW w:w="3996" w:type="dxa"/>
            <w:tcBorders>
              <w:top w:val="single" w:sz="6" w:space="0" w:color="auto"/>
              <w:left w:val="single" w:sz="6" w:space="0" w:color="auto"/>
              <w:bottom w:val="single" w:sz="6" w:space="0" w:color="auto"/>
              <w:right w:val="single" w:sz="6" w:space="0" w:color="auto"/>
            </w:tcBorders>
          </w:tcPr>
          <w:p w14:paraId="104C61B9" w14:textId="77777777" w:rsidR="00157AAA" w:rsidRDefault="006C1BE5">
            <w:pPr>
              <w:pStyle w:val="BodyText"/>
              <w:spacing w:before="60" w:after="60"/>
            </w:pPr>
            <w:r>
              <w:t>Total contract amount</w:t>
            </w:r>
          </w:p>
        </w:tc>
        <w:tc>
          <w:tcPr>
            <w:tcW w:w="3187" w:type="dxa"/>
            <w:gridSpan w:val="2"/>
            <w:tcBorders>
              <w:top w:val="single" w:sz="6" w:space="0" w:color="auto"/>
              <w:left w:val="none" w:sz="4" w:space="0" w:color="000000"/>
              <w:bottom w:val="single" w:sz="6" w:space="0" w:color="auto"/>
              <w:right w:val="single" w:sz="6" w:space="0" w:color="auto"/>
            </w:tcBorders>
          </w:tcPr>
          <w:p w14:paraId="5D4DA9FB" w14:textId="77777777" w:rsidR="00157AAA" w:rsidRDefault="00157AAA">
            <w:pPr>
              <w:pStyle w:val="BodyText"/>
              <w:spacing w:before="60" w:after="60"/>
              <w:rPr>
                <w:i/>
              </w:rPr>
            </w:pPr>
          </w:p>
        </w:tc>
        <w:tc>
          <w:tcPr>
            <w:tcW w:w="1557" w:type="dxa"/>
            <w:tcBorders>
              <w:top w:val="single" w:sz="6" w:space="0" w:color="auto"/>
              <w:left w:val="single" w:sz="6" w:space="0" w:color="auto"/>
              <w:bottom w:val="single" w:sz="6" w:space="0" w:color="auto"/>
              <w:right w:val="single" w:sz="6" w:space="0" w:color="auto"/>
            </w:tcBorders>
          </w:tcPr>
          <w:p w14:paraId="077EEFBC" w14:textId="77777777" w:rsidR="00157AAA" w:rsidRDefault="00157AAA">
            <w:pPr>
              <w:pStyle w:val="BodyText"/>
              <w:spacing w:before="60" w:after="60"/>
            </w:pPr>
          </w:p>
        </w:tc>
      </w:tr>
      <w:tr w:rsidR="00157AAA" w14:paraId="71B13757" w14:textId="77777777">
        <w:trPr>
          <w:cantSplit/>
        </w:trPr>
        <w:tc>
          <w:tcPr>
            <w:tcW w:w="3996" w:type="dxa"/>
            <w:tcBorders>
              <w:top w:val="single" w:sz="6" w:space="0" w:color="auto"/>
              <w:left w:val="single" w:sz="6" w:space="0" w:color="auto"/>
              <w:bottom w:val="single" w:sz="6" w:space="0" w:color="auto"/>
              <w:right w:val="single" w:sz="6" w:space="0" w:color="auto"/>
            </w:tcBorders>
          </w:tcPr>
          <w:p w14:paraId="71B084D4" w14:textId="77777777" w:rsidR="00157AAA" w:rsidRDefault="006C1BE5">
            <w:pPr>
              <w:pStyle w:val="BodyText"/>
              <w:spacing w:before="60" w:after="60"/>
            </w:pPr>
            <w:r>
              <w:t>If member in a JV or subcontractor, specify participation of total contract amount</w:t>
            </w:r>
          </w:p>
        </w:tc>
        <w:tc>
          <w:tcPr>
            <w:tcW w:w="1474" w:type="dxa"/>
            <w:tcBorders>
              <w:top w:val="single" w:sz="6" w:space="0" w:color="auto"/>
              <w:left w:val="none" w:sz="4" w:space="0" w:color="000000"/>
              <w:bottom w:val="single" w:sz="6" w:space="0" w:color="auto"/>
              <w:right w:val="single" w:sz="6" w:space="0" w:color="auto"/>
            </w:tcBorders>
          </w:tcPr>
          <w:p w14:paraId="1BE49D0C" w14:textId="77777777" w:rsidR="00157AAA" w:rsidRDefault="00157AAA">
            <w:pPr>
              <w:pStyle w:val="BodyText"/>
              <w:spacing w:before="60" w:after="60"/>
            </w:pPr>
          </w:p>
        </w:tc>
        <w:tc>
          <w:tcPr>
            <w:tcW w:w="1713" w:type="dxa"/>
            <w:tcBorders>
              <w:top w:val="single" w:sz="6" w:space="0" w:color="auto"/>
              <w:left w:val="single" w:sz="6" w:space="0" w:color="auto"/>
              <w:bottom w:val="single" w:sz="6" w:space="0" w:color="auto"/>
              <w:right w:val="single" w:sz="6" w:space="0" w:color="auto"/>
            </w:tcBorders>
          </w:tcPr>
          <w:p w14:paraId="2C699BB8" w14:textId="77777777" w:rsidR="00157AAA" w:rsidRDefault="00157AAA">
            <w:pPr>
              <w:pStyle w:val="BodyText"/>
              <w:spacing w:before="60" w:after="60"/>
            </w:pPr>
          </w:p>
        </w:tc>
        <w:tc>
          <w:tcPr>
            <w:tcW w:w="1557" w:type="dxa"/>
            <w:tcBorders>
              <w:top w:val="single" w:sz="6" w:space="0" w:color="auto"/>
              <w:left w:val="single" w:sz="6" w:space="0" w:color="auto"/>
              <w:bottom w:val="single" w:sz="6" w:space="0" w:color="auto"/>
              <w:right w:val="single" w:sz="6" w:space="0" w:color="auto"/>
            </w:tcBorders>
          </w:tcPr>
          <w:p w14:paraId="6A87AAD2" w14:textId="77777777" w:rsidR="00157AAA" w:rsidRDefault="00157AAA">
            <w:pPr>
              <w:pStyle w:val="BodyText"/>
              <w:spacing w:before="60" w:after="60"/>
            </w:pPr>
          </w:p>
        </w:tc>
      </w:tr>
      <w:tr w:rsidR="00157AAA" w14:paraId="17AAA78C" w14:textId="77777777">
        <w:trPr>
          <w:cantSplit/>
        </w:trPr>
        <w:tc>
          <w:tcPr>
            <w:tcW w:w="3996" w:type="dxa"/>
            <w:tcBorders>
              <w:top w:val="single" w:sz="6" w:space="0" w:color="auto"/>
              <w:left w:val="single" w:sz="6" w:space="0" w:color="auto"/>
              <w:bottom w:val="single" w:sz="6" w:space="0" w:color="auto"/>
              <w:right w:val="single" w:sz="6" w:space="0" w:color="auto"/>
            </w:tcBorders>
          </w:tcPr>
          <w:p w14:paraId="36A50AE1" w14:textId="77777777" w:rsidR="00157AAA" w:rsidRDefault="006C1BE5">
            <w:pPr>
              <w:pStyle w:val="BodyText"/>
              <w:spacing w:before="60" w:after="60"/>
            </w:pPr>
            <w:r>
              <w:t>Purchaser’s Name:</w:t>
            </w:r>
          </w:p>
        </w:tc>
        <w:tc>
          <w:tcPr>
            <w:tcW w:w="4744" w:type="dxa"/>
            <w:gridSpan w:val="3"/>
            <w:tcBorders>
              <w:top w:val="single" w:sz="6" w:space="0" w:color="auto"/>
              <w:left w:val="none" w:sz="4" w:space="0" w:color="000000"/>
              <w:bottom w:val="single" w:sz="6" w:space="0" w:color="auto"/>
              <w:right w:val="single" w:sz="6" w:space="0" w:color="auto"/>
            </w:tcBorders>
          </w:tcPr>
          <w:p w14:paraId="749F2065" w14:textId="77777777" w:rsidR="00157AAA" w:rsidRDefault="006C1BE5">
            <w:pPr>
              <w:pStyle w:val="BodyText"/>
              <w:spacing w:before="60" w:after="60"/>
              <w:rPr>
                <w:i/>
              </w:rPr>
            </w:pPr>
            <w:r>
              <w:rPr>
                <w:i/>
              </w:rPr>
              <w:t>_____________________________________</w:t>
            </w:r>
          </w:p>
        </w:tc>
      </w:tr>
      <w:tr w:rsidR="00157AAA" w14:paraId="3CE2803B" w14:textId="77777777">
        <w:trPr>
          <w:cantSplit/>
        </w:trPr>
        <w:tc>
          <w:tcPr>
            <w:tcW w:w="3996" w:type="dxa"/>
            <w:tcBorders>
              <w:top w:val="single" w:sz="6" w:space="0" w:color="auto"/>
              <w:left w:val="single" w:sz="6" w:space="0" w:color="auto"/>
              <w:bottom w:val="single" w:sz="6" w:space="0" w:color="auto"/>
              <w:right w:val="single" w:sz="6" w:space="0" w:color="auto"/>
            </w:tcBorders>
          </w:tcPr>
          <w:p w14:paraId="08EA6C39" w14:textId="77777777" w:rsidR="00157AAA" w:rsidRDefault="006C1BE5">
            <w:pPr>
              <w:pStyle w:val="BodyText"/>
              <w:spacing w:before="60" w:after="60"/>
            </w:pPr>
            <w:r>
              <w:t>Address:</w:t>
            </w:r>
          </w:p>
          <w:p w14:paraId="24466953" w14:textId="77777777" w:rsidR="00157AAA" w:rsidRDefault="006C1BE5">
            <w:pPr>
              <w:pStyle w:val="BodyText"/>
              <w:spacing w:before="60" w:after="60"/>
            </w:pPr>
            <w:r>
              <w:t>Telephone/fax number:</w:t>
            </w:r>
          </w:p>
          <w:p w14:paraId="3C436BD8" w14:textId="77777777" w:rsidR="00157AAA" w:rsidRDefault="006C1BE5">
            <w:pPr>
              <w:pStyle w:val="BodyText"/>
              <w:spacing w:before="60" w:after="60"/>
            </w:pPr>
            <w:r>
              <w:t>E-mail:</w:t>
            </w:r>
          </w:p>
        </w:tc>
        <w:tc>
          <w:tcPr>
            <w:tcW w:w="4744" w:type="dxa"/>
            <w:gridSpan w:val="3"/>
            <w:tcBorders>
              <w:top w:val="single" w:sz="6" w:space="0" w:color="auto"/>
              <w:left w:val="none" w:sz="4" w:space="0" w:color="000000"/>
              <w:bottom w:val="single" w:sz="6" w:space="0" w:color="auto"/>
              <w:right w:val="single" w:sz="6" w:space="0" w:color="auto"/>
            </w:tcBorders>
          </w:tcPr>
          <w:p w14:paraId="018D1D62" w14:textId="77777777" w:rsidR="00157AAA" w:rsidRDefault="006C1BE5">
            <w:pPr>
              <w:pStyle w:val="BodyText"/>
              <w:spacing w:before="60" w:after="60"/>
              <w:rPr>
                <w:i/>
              </w:rPr>
            </w:pPr>
            <w:r>
              <w:rPr>
                <w:i/>
              </w:rPr>
              <w:t>_____________________________________</w:t>
            </w:r>
          </w:p>
          <w:p w14:paraId="1DACD8E6" w14:textId="77777777" w:rsidR="00157AAA" w:rsidRDefault="006C1BE5">
            <w:pPr>
              <w:pStyle w:val="BodyText"/>
              <w:spacing w:before="60" w:after="60"/>
              <w:rPr>
                <w:i/>
              </w:rPr>
            </w:pPr>
            <w:r>
              <w:rPr>
                <w:i/>
              </w:rPr>
              <w:t>_____________________________________</w:t>
            </w:r>
          </w:p>
          <w:p w14:paraId="0B09AE0D" w14:textId="77777777" w:rsidR="00157AAA" w:rsidRDefault="006C1BE5">
            <w:pPr>
              <w:pStyle w:val="BodyText"/>
              <w:spacing w:before="60" w:after="60"/>
              <w:rPr>
                <w:i/>
              </w:rPr>
            </w:pPr>
            <w:r>
              <w:rPr>
                <w:i/>
              </w:rPr>
              <w:t>_____________________________________</w:t>
            </w:r>
          </w:p>
          <w:p w14:paraId="0D66D412" w14:textId="77777777" w:rsidR="00157AAA" w:rsidRDefault="00157AAA">
            <w:pPr>
              <w:pStyle w:val="BodyText"/>
              <w:spacing w:before="60" w:after="60"/>
            </w:pPr>
          </w:p>
        </w:tc>
      </w:tr>
    </w:tbl>
    <w:p w14:paraId="585E36C7" w14:textId="77777777" w:rsidR="00157AAA" w:rsidRDefault="00157AAA">
      <w:pPr>
        <w:pStyle w:val="Subtitle2"/>
      </w:pPr>
    </w:p>
    <w:p w14:paraId="316862A2" w14:textId="77777777" w:rsidR="00157AAA" w:rsidRDefault="006C1BE5">
      <w:pPr>
        <w:pStyle w:val="S4-header1"/>
        <w:rPr>
          <w:b w:val="0"/>
        </w:rPr>
      </w:pPr>
      <w:r>
        <w:br w:type="page" w:clear="all"/>
      </w:r>
      <w:bookmarkStart w:id="604" w:name="_Toc163506166"/>
      <w:r>
        <w:rPr>
          <w:smallCaps/>
        </w:rPr>
        <w:lastRenderedPageBreak/>
        <w:t>Form EXP – 5.4.2 (cont.)- Specific Experience (cont.)</w:t>
      </w:r>
      <w:bookmarkEnd w:id="604"/>
    </w:p>
    <w:p w14:paraId="0C9CC1BD"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74C11DD0"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2FA1B092"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68FF9C31"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3117E4C2" w14:textId="77777777" w:rsidR="00157AAA" w:rsidRDefault="006C1BE5">
      <w:pPr>
        <w:tabs>
          <w:tab w:val="right" w:pos="8640"/>
        </w:tabs>
      </w:pPr>
      <w:r>
        <w:t xml:space="preserve">   </w:t>
      </w:r>
      <w:r>
        <w:tab/>
        <w:t>Page _______ of _______ pages</w:t>
      </w:r>
    </w:p>
    <w:p w14:paraId="7CAFC1F6" w14:textId="77777777" w:rsidR="00157AAA" w:rsidRDefault="00157AAA">
      <w:pPr>
        <w:jc w:val="left"/>
      </w:pPr>
    </w:p>
    <w:tbl>
      <w:tblPr>
        <w:tblW w:w="8640" w:type="dxa"/>
        <w:tblInd w:w="72" w:type="dxa"/>
        <w:tblLayout w:type="fixed"/>
        <w:tblCellMar>
          <w:left w:w="72" w:type="dxa"/>
          <w:right w:w="72" w:type="dxa"/>
        </w:tblCellMar>
        <w:tblLook w:val="0000" w:firstRow="0" w:lastRow="0" w:firstColumn="0" w:lastColumn="0" w:noHBand="0" w:noVBand="0"/>
      </w:tblPr>
      <w:tblGrid>
        <w:gridCol w:w="4004"/>
        <w:gridCol w:w="4636"/>
      </w:tblGrid>
      <w:tr w:rsidR="00157AAA" w14:paraId="2B2D29B8" w14:textId="77777777">
        <w:trPr>
          <w:cantSplit/>
          <w:tblHeader/>
        </w:trPr>
        <w:tc>
          <w:tcPr>
            <w:tcW w:w="4212" w:type="dxa"/>
            <w:tcBorders>
              <w:top w:val="single" w:sz="6" w:space="0" w:color="auto"/>
              <w:left w:val="single" w:sz="6" w:space="0" w:color="auto"/>
              <w:bottom w:val="single" w:sz="4" w:space="0" w:color="auto"/>
              <w:right w:val="single" w:sz="4" w:space="0" w:color="auto"/>
            </w:tcBorders>
          </w:tcPr>
          <w:p w14:paraId="7DB0F240" w14:textId="77777777" w:rsidR="00157AAA" w:rsidRDefault="006C1BE5">
            <w:pPr>
              <w:spacing w:before="120"/>
              <w:jc w:val="left"/>
              <w:rPr>
                <w:b/>
                <w:spacing w:val="-2"/>
                <w:szCs w:val="24"/>
              </w:rPr>
            </w:pPr>
            <w:r>
              <w:rPr>
                <w:b/>
                <w:spacing w:val="-2"/>
                <w:szCs w:val="24"/>
              </w:rPr>
              <w:t xml:space="preserve">Similar Contract No. </w:t>
            </w:r>
            <w:r>
              <w:rPr>
                <w:i/>
                <w:spacing w:val="-2"/>
                <w:szCs w:val="24"/>
              </w:rPr>
              <w:t xml:space="preserve">[insert </w:t>
            </w:r>
            <w:r>
              <w:rPr>
                <w:b/>
                <w:i/>
                <w:spacing w:val="-2"/>
                <w:szCs w:val="24"/>
              </w:rPr>
              <w:t>specific number</w:t>
            </w:r>
            <w:r>
              <w:rPr>
                <w:i/>
                <w:spacing w:val="-2"/>
                <w:szCs w:val="24"/>
              </w:rPr>
              <w:t xml:space="preserve">] </w:t>
            </w:r>
            <w:r>
              <w:rPr>
                <w:b/>
                <w:spacing w:val="-2"/>
                <w:szCs w:val="24"/>
              </w:rPr>
              <w:t xml:space="preserve">of </w:t>
            </w:r>
            <w:r>
              <w:rPr>
                <w:i/>
                <w:spacing w:val="-2"/>
                <w:szCs w:val="24"/>
              </w:rPr>
              <w:t>[</w:t>
            </w:r>
            <w:r>
              <w:rPr>
                <w:b/>
                <w:bCs/>
                <w:i/>
                <w:spacing w:val="-2"/>
                <w:szCs w:val="24"/>
              </w:rPr>
              <w:t>insert to</w:t>
            </w:r>
            <w:r>
              <w:rPr>
                <w:b/>
                <w:i/>
                <w:spacing w:val="-2"/>
                <w:szCs w:val="24"/>
              </w:rPr>
              <w:t>tal number of contracts</w:t>
            </w:r>
            <w:r>
              <w:rPr>
                <w:i/>
                <w:spacing w:val="-2"/>
                <w:szCs w:val="24"/>
              </w:rPr>
              <w:t>]</w:t>
            </w:r>
            <w:r>
              <w:rPr>
                <w:b/>
                <w:spacing w:val="-2"/>
                <w:szCs w:val="24"/>
              </w:rPr>
              <w:t xml:space="preserve"> required</w:t>
            </w:r>
          </w:p>
        </w:tc>
        <w:tc>
          <w:tcPr>
            <w:tcW w:w="4878" w:type="dxa"/>
            <w:tcBorders>
              <w:top w:val="single" w:sz="6" w:space="0" w:color="auto"/>
              <w:left w:val="single" w:sz="4" w:space="0" w:color="auto"/>
              <w:bottom w:val="single" w:sz="4" w:space="0" w:color="auto"/>
              <w:right w:val="single" w:sz="6" w:space="0" w:color="auto"/>
            </w:tcBorders>
          </w:tcPr>
          <w:p w14:paraId="084A7312" w14:textId="77777777" w:rsidR="00157AAA" w:rsidRDefault="006C1BE5">
            <w:pPr>
              <w:spacing w:before="240"/>
              <w:ind w:left="288"/>
              <w:jc w:val="center"/>
              <w:rPr>
                <w:b/>
                <w:spacing w:val="-2"/>
                <w:szCs w:val="24"/>
              </w:rPr>
            </w:pPr>
            <w:r>
              <w:rPr>
                <w:b/>
                <w:spacing w:val="-2"/>
                <w:szCs w:val="24"/>
              </w:rPr>
              <w:t>Information</w:t>
            </w:r>
          </w:p>
        </w:tc>
      </w:tr>
      <w:tr w:rsidR="00157AAA" w14:paraId="326873D5" w14:textId="77777777">
        <w:trPr>
          <w:cantSplit/>
          <w:trHeight w:val="699"/>
        </w:trPr>
        <w:tc>
          <w:tcPr>
            <w:tcW w:w="4212" w:type="dxa"/>
            <w:tcBorders>
              <w:top w:val="single" w:sz="4" w:space="0" w:color="auto"/>
              <w:left w:val="single" w:sz="6" w:space="0" w:color="auto"/>
              <w:bottom w:val="single" w:sz="4" w:space="0" w:color="auto"/>
            </w:tcBorders>
          </w:tcPr>
          <w:p w14:paraId="7EA649D0" w14:textId="77777777" w:rsidR="00157AAA" w:rsidRDefault="006C1BE5">
            <w:pPr>
              <w:rPr>
                <w:spacing w:val="-2"/>
              </w:rPr>
            </w:pPr>
            <w:r>
              <w:t>Description of the similarity in accordance with Sub-Factor 5.4.2 of Section III:</w:t>
            </w:r>
          </w:p>
        </w:tc>
        <w:tc>
          <w:tcPr>
            <w:tcW w:w="4878" w:type="dxa"/>
            <w:tcBorders>
              <w:top w:val="single" w:sz="4" w:space="0" w:color="auto"/>
              <w:left w:val="single" w:sz="4" w:space="0" w:color="auto"/>
              <w:bottom w:val="single" w:sz="4" w:space="0" w:color="auto"/>
              <w:right w:val="single" w:sz="6" w:space="0" w:color="auto"/>
            </w:tcBorders>
          </w:tcPr>
          <w:p w14:paraId="4C6AA5D3" w14:textId="77777777" w:rsidR="00157AAA" w:rsidRDefault="00157AAA">
            <w:pPr>
              <w:rPr>
                <w:spacing w:val="-2"/>
              </w:rPr>
            </w:pPr>
          </w:p>
        </w:tc>
      </w:tr>
      <w:tr w:rsidR="00157AAA" w14:paraId="069EF71F" w14:textId="77777777">
        <w:trPr>
          <w:cantSplit/>
          <w:trHeight w:val="699"/>
        </w:trPr>
        <w:tc>
          <w:tcPr>
            <w:tcW w:w="4212" w:type="dxa"/>
            <w:tcBorders>
              <w:top w:val="single" w:sz="4" w:space="0" w:color="auto"/>
              <w:left w:val="single" w:sz="6" w:space="0" w:color="auto"/>
              <w:bottom w:val="single" w:sz="4" w:space="0" w:color="auto"/>
            </w:tcBorders>
          </w:tcPr>
          <w:p w14:paraId="6C308699" w14:textId="77777777" w:rsidR="00157AAA" w:rsidRDefault="006C1BE5">
            <w:pPr>
              <w:pStyle w:val="List"/>
              <w:tabs>
                <w:tab w:val="left" w:pos="864"/>
                <w:tab w:val="num" w:pos="936"/>
              </w:tabs>
              <w:ind w:left="936" w:hanging="360"/>
            </w:pPr>
            <w:r>
              <w:t>Amount</w:t>
            </w:r>
          </w:p>
        </w:tc>
        <w:tc>
          <w:tcPr>
            <w:tcW w:w="4878" w:type="dxa"/>
            <w:tcBorders>
              <w:top w:val="single" w:sz="4" w:space="0" w:color="auto"/>
              <w:left w:val="single" w:sz="4" w:space="0" w:color="auto"/>
              <w:bottom w:val="single" w:sz="4" w:space="0" w:color="auto"/>
              <w:right w:val="single" w:sz="6" w:space="0" w:color="auto"/>
            </w:tcBorders>
          </w:tcPr>
          <w:p w14:paraId="1CA87BB8" w14:textId="77777777" w:rsidR="00157AAA" w:rsidRDefault="006C1BE5">
            <w:pPr>
              <w:spacing w:before="120"/>
              <w:rPr>
                <w:i/>
                <w:spacing w:val="-2"/>
              </w:rPr>
            </w:pPr>
            <w:r>
              <w:rPr>
                <w:i/>
                <w:spacing w:val="-2"/>
              </w:rPr>
              <w:t xml:space="preserve">[insert </w:t>
            </w:r>
            <w:r>
              <w:rPr>
                <w:b/>
                <w:i/>
                <w:spacing w:val="-2"/>
              </w:rPr>
              <w:t>contract</w:t>
            </w:r>
            <w:r>
              <w:rPr>
                <w:i/>
                <w:spacing w:val="-2"/>
              </w:rPr>
              <w:t xml:space="preserve"> </w:t>
            </w:r>
            <w:r>
              <w:rPr>
                <w:b/>
                <w:i/>
                <w:spacing w:val="-2"/>
              </w:rPr>
              <w:t>amount and currency and USD equivalent and exchange rate</w:t>
            </w:r>
            <w:r>
              <w:rPr>
                <w:i/>
                <w:spacing w:val="-2"/>
              </w:rPr>
              <w:t>]</w:t>
            </w:r>
          </w:p>
        </w:tc>
      </w:tr>
      <w:tr w:rsidR="00157AAA" w14:paraId="00AD9B13" w14:textId="77777777">
        <w:trPr>
          <w:cantSplit/>
          <w:trHeight w:val="699"/>
        </w:trPr>
        <w:tc>
          <w:tcPr>
            <w:tcW w:w="4212" w:type="dxa"/>
            <w:tcBorders>
              <w:top w:val="single" w:sz="4" w:space="0" w:color="auto"/>
              <w:left w:val="single" w:sz="6" w:space="0" w:color="auto"/>
              <w:bottom w:val="single" w:sz="4" w:space="0" w:color="auto"/>
            </w:tcBorders>
          </w:tcPr>
          <w:p w14:paraId="1B7B195C" w14:textId="77777777" w:rsidR="00157AAA" w:rsidRDefault="006C1BE5">
            <w:pPr>
              <w:pStyle w:val="List"/>
              <w:tabs>
                <w:tab w:val="left" w:pos="864"/>
                <w:tab w:val="num" w:pos="936"/>
              </w:tabs>
              <w:ind w:left="936" w:hanging="360"/>
              <w:rPr>
                <w:spacing w:val="-2"/>
              </w:rPr>
            </w:pPr>
            <w:r>
              <w:t>Geographical Scope</w:t>
            </w:r>
          </w:p>
        </w:tc>
        <w:tc>
          <w:tcPr>
            <w:tcW w:w="4878" w:type="dxa"/>
            <w:tcBorders>
              <w:top w:val="single" w:sz="4" w:space="0" w:color="auto"/>
              <w:left w:val="single" w:sz="4" w:space="0" w:color="auto"/>
              <w:bottom w:val="single" w:sz="4" w:space="0" w:color="auto"/>
              <w:right w:val="single" w:sz="6" w:space="0" w:color="auto"/>
            </w:tcBorders>
          </w:tcPr>
          <w:p w14:paraId="5C88A1A2" w14:textId="77777777" w:rsidR="00157AAA" w:rsidRDefault="006C1BE5">
            <w:pPr>
              <w:spacing w:before="120"/>
              <w:rPr>
                <w:i/>
                <w:spacing w:val="-2"/>
              </w:rPr>
            </w:pPr>
            <w:r>
              <w:rPr>
                <w:i/>
                <w:spacing w:val="-2"/>
              </w:rPr>
              <w:t xml:space="preserve">[describe </w:t>
            </w:r>
            <w:r>
              <w:rPr>
                <w:b/>
                <w:i/>
                <w:spacing w:val="-2"/>
              </w:rPr>
              <w:t>geographic scope of the users of the information system</w:t>
            </w:r>
            <w:r>
              <w:rPr>
                <w:i/>
                <w:spacing w:val="-2"/>
              </w:rPr>
              <w:t>]</w:t>
            </w:r>
          </w:p>
        </w:tc>
      </w:tr>
      <w:tr w:rsidR="00157AAA" w14:paraId="4E37AC76" w14:textId="77777777">
        <w:trPr>
          <w:cantSplit/>
          <w:trHeight w:val="699"/>
        </w:trPr>
        <w:tc>
          <w:tcPr>
            <w:tcW w:w="4212" w:type="dxa"/>
            <w:tcBorders>
              <w:top w:val="single" w:sz="4" w:space="0" w:color="auto"/>
              <w:left w:val="single" w:sz="6" w:space="0" w:color="auto"/>
              <w:bottom w:val="single" w:sz="4" w:space="0" w:color="auto"/>
            </w:tcBorders>
          </w:tcPr>
          <w:p w14:paraId="1F22C580" w14:textId="77777777" w:rsidR="00157AAA" w:rsidRDefault="006C1BE5">
            <w:pPr>
              <w:pStyle w:val="List"/>
              <w:tabs>
                <w:tab w:val="left" w:pos="864"/>
                <w:tab w:val="num" w:pos="936"/>
              </w:tabs>
              <w:ind w:left="936" w:hanging="360"/>
              <w:rPr>
                <w:spacing w:val="-2"/>
              </w:rPr>
            </w:pPr>
            <w:r>
              <w:t>Functional Scope</w:t>
            </w:r>
          </w:p>
        </w:tc>
        <w:tc>
          <w:tcPr>
            <w:tcW w:w="4878" w:type="dxa"/>
            <w:tcBorders>
              <w:top w:val="single" w:sz="4" w:space="0" w:color="auto"/>
              <w:left w:val="single" w:sz="4" w:space="0" w:color="auto"/>
              <w:bottom w:val="single" w:sz="4" w:space="0" w:color="auto"/>
              <w:right w:val="single" w:sz="6" w:space="0" w:color="auto"/>
            </w:tcBorders>
          </w:tcPr>
          <w:p w14:paraId="13FF8FAD" w14:textId="77777777" w:rsidR="00157AAA" w:rsidRDefault="006C1BE5">
            <w:pPr>
              <w:spacing w:before="120"/>
              <w:rPr>
                <w:spacing w:val="-2"/>
              </w:rPr>
            </w:pPr>
            <w:r>
              <w:rPr>
                <w:i/>
                <w:spacing w:val="-2"/>
              </w:rPr>
              <w:t xml:space="preserve">[describe </w:t>
            </w:r>
            <w:r>
              <w:rPr>
                <w:b/>
                <w:i/>
                <w:spacing w:val="-2"/>
              </w:rPr>
              <w:t>the functionalities provided by the information system</w:t>
            </w:r>
            <w:r>
              <w:rPr>
                <w:i/>
                <w:spacing w:val="-2"/>
              </w:rPr>
              <w:t>]</w:t>
            </w:r>
          </w:p>
        </w:tc>
      </w:tr>
      <w:tr w:rsidR="00157AAA" w14:paraId="2C46A051" w14:textId="77777777">
        <w:trPr>
          <w:cantSplit/>
          <w:trHeight w:val="699"/>
        </w:trPr>
        <w:tc>
          <w:tcPr>
            <w:tcW w:w="4212" w:type="dxa"/>
            <w:tcBorders>
              <w:top w:val="single" w:sz="4" w:space="0" w:color="auto"/>
              <w:left w:val="single" w:sz="6" w:space="0" w:color="auto"/>
              <w:bottom w:val="single" w:sz="4" w:space="0" w:color="auto"/>
            </w:tcBorders>
          </w:tcPr>
          <w:p w14:paraId="48E00D6F" w14:textId="77777777" w:rsidR="00157AAA" w:rsidRDefault="006C1BE5">
            <w:pPr>
              <w:pStyle w:val="List"/>
              <w:tabs>
                <w:tab w:val="left" w:pos="864"/>
                <w:tab w:val="num" w:pos="936"/>
              </w:tabs>
              <w:ind w:left="936" w:hanging="360"/>
              <w:rPr>
                <w:spacing w:val="-2"/>
              </w:rPr>
            </w:pPr>
            <w:r>
              <w:rPr>
                <w:spacing w:val="-2"/>
              </w:rPr>
              <w:t>Methods/Technology</w:t>
            </w:r>
          </w:p>
        </w:tc>
        <w:tc>
          <w:tcPr>
            <w:tcW w:w="4878" w:type="dxa"/>
            <w:tcBorders>
              <w:top w:val="single" w:sz="4" w:space="0" w:color="auto"/>
              <w:left w:val="single" w:sz="4" w:space="0" w:color="auto"/>
              <w:bottom w:val="single" w:sz="4" w:space="0" w:color="auto"/>
              <w:right w:val="single" w:sz="6" w:space="0" w:color="auto"/>
            </w:tcBorders>
          </w:tcPr>
          <w:p w14:paraId="56704652" w14:textId="77777777" w:rsidR="00157AAA" w:rsidRDefault="006C1BE5">
            <w:pPr>
              <w:spacing w:before="120"/>
              <w:rPr>
                <w:spacing w:val="-2"/>
              </w:rPr>
            </w:pPr>
            <w:r>
              <w:rPr>
                <w:i/>
                <w:spacing w:val="-2"/>
              </w:rPr>
              <w:t xml:space="preserve">[describe </w:t>
            </w:r>
            <w:r>
              <w:rPr>
                <w:b/>
                <w:i/>
                <w:spacing w:val="-2"/>
              </w:rPr>
              <w:t>methodologies and technologies used to implement the information system</w:t>
            </w:r>
            <w:r>
              <w:rPr>
                <w:i/>
                <w:spacing w:val="-2"/>
              </w:rPr>
              <w:t>]</w:t>
            </w:r>
          </w:p>
        </w:tc>
      </w:tr>
      <w:tr w:rsidR="00157AAA" w14:paraId="5A4DDE76" w14:textId="77777777">
        <w:trPr>
          <w:cantSplit/>
          <w:trHeight w:val="699"/>
        </w:trPr>
        <w:tc>
          <w:tcPr>
            <w:tcW w:w="4212" w:type="dxa"/>
            <w:tcBorders>
              <w:top w:val="single" w:sz="4" w:space="0" w:color="auto"/>
              <w:left w:val="single" w:sz="6" w:space="0" w:color="auto"/>
              <w:bottom w:val="single" w:sz="4" w:space="0" w:color="auto"/>
            </w:tcBorders>
          </w:tcPr>
          <w:p w14:paraId="2C8105D0" w14:textId="77777777" w:rsidR="00157AAA" w:rsidRDefault="006C1BE5">
            <w:pPr>
              <w:pStyle w:val="List"/>
              <w:tabs>
                <w:tab w:val="left" w:pos="864"/>
                <w:tab w:val="num" w:pos="936"/>
              </w:tabs>
              <w:ind w:left="936" w:hanging="360"/>
              <w:rPr>
                <w:spacing w:val="-2"/>
              </w:rPr>
            </w:pPr>
            <w:r>
              <w:rPr>
                <w:spacing w:val="-2"/>
              </w:rPr>
              <w:t>Key Activities</w:t>
            </w:r>
          </w:p>
          <w:p w14:paraId="6CC8D3DA" w14:textId="77777777" w:rsidR="00157AAA" w:rsidRDefault="00157AAA"/>
        </w:tc>
        <w:tc>
          <w:tcPr>
            <w:tcW w:w="4878" w:type="dxa"/>
            <w:tcBorders>
              <w:top w:val="single" w:sz="4" w:space="0" w:color="auto"/>
              <w:left w:val="single" w:sz="4" w:space="0" w:color="auto"/>
              <w:bottom w:val="single" w:sz="4" w:space="0" w:color="auto"/>
              <w:right w:val="single" w:sz="6" w:space="0" w:color="auto"/>
            </w:tcBorders>
          </w:tcPr>
          <w:p w14:paraId="6F74437C" w14:textId="77777777" w:rsidR="00157AAA" w:rsidRDefault="006C1BE5">
            <w:pPr>
              <w:spacing w:before="120"/>
              <w:rPr>
                <w:spacing w:val="-2"/>
              </w:rPr>
            </w:pPr>
            <w:r>
              <w:rPr>
                <w:i/>
                <w:spacing w:val="-2"/>
              </w:rPr>
              <w:t xml:space="preserve">[describe </w:t>
            </w:r>
            <w:r>
              <w:rPr>
                <w:b/>
                <w:i/>
                <w:spacing w:val="-2"/>
              </w:rPr>
              <w:t>the key activities of the Bidder under the contract</w:t>
            </w:r>
            <w:r>
              <w:rPr>
                <w:i/>
                <w:spacing w:val="-2"/>
              </w:rPr>
              <w:t>]</w:t>
            </w:r>
          </w:p>
        </w:tc>
      </w:tr>
    </w:tbl>
    <w:p w14:paraId="785C3CCA" w14:textId="77777777" w:rsidR="00157AAA" w:rsidRDefault="00157AAA"/>
    <w:p w14:paraId="05950F1E" w14:textId="77777777" w:rsidR="00157AAA" w:rsidRDefault="006C1BE5">
      <w:pPr>
        <w:spacing w:after="0"/>
        <w:jc w:val="left"/>
      </w:pPr>
      <w:r>
        <w:br w:type="page" w:clear="all"/>
      </w:r>
    </w:p>
    <w:p w14:paraId="42719D95" w14:textId="77777777" w:rsidR="00157AAA" w:rsidRDefault="006C1BE5">
      <w:pPr>
        <w:pStyle w:val="S4-header1"/>
        <w:rPr>
          <w:smallCaps/>
        </w:rPr>
      </w:pPr>
      <w:bookmarkStart w:id="605" w:name="_Toc125873866"/>
      <w:bookmarkStart w:id="606" w:name="_Toc490650437"/>
      <w:bookmarkStart w:id="607" w:name="_Toc490653378"/>
      <w:bookmarkStart w:id="608" w:name="_Toc521497256"/>
      <w:bookmarkStart w:id="609" w:name="_Toc218673973"/>
      <w:bookmarkStart w:id="610" w:name="_Toc277345604"/>
      <w:bookmarkStart w:id="611" w:name="_Toc163506167"/>
      <w:r>
        <w:rPr>
          <w:smallCaps/>
        </w:rPr>
        <w:lastRenderedPageBreak/>
        <w:t>Form CCC</w:t>
      </w:r>
      <w:bookmarkEnd w:id="605"/>
      <w:r>
        <w:rPr>
          <w:smallCaps/>
        </w:rPr>
        <w:t>- Summary Sheet:  Current Contract Commitments / Work in Progress</w:t>
      </w:r>
      <w:bookmarkEnd w:id="606"/>
      <w:bookmarkEnd w:id="607"/>
      <w:bookmarkEnd w:id="608"/>
      <w:bookmarkEnd w:id="609"/>
      <w:bookmarkEnd w:id="610"/>
      <w:bookmarkEnd w:id="611"/>
    </w:p>
    <w:p w14:paraId="1BB73300" w14:textId="77777777" w:rsidR="00157AAA" w:rsidRDefault="006C1BE5">
      <w:pPr>
        <w:tabs>
          <w:tab w:val="right" w:pos="9000"/>
          <w:tab w:val="right" w:pos="9630"/>
        </w:tabs>
        <w:jc w:val="left"/>
        <w:rPr>
          <w:i/>
          <w:iCs/>
        </w:rPr>
      </w:pPr>
      <w:r>
        <w:rPr>
          <w:i/>
          <w:iCs/>
        </w:rPr>
        <w:t xml:space="preserve">[Bidders and each partner to </w:t>
      </w:r>
      <w:proofErr w:type="gramStart"/>
      <w:r>
        <w:rPr>
          <w:i/>
          <w:iCs/>
        </w:rPr>
        <w:t>an</w:t>
      </w:r>
      <w:proofErr w:type="gramEnd"/>
      <w:r>
        <w:rPr>
          <w:i/>
          <w:iCs/>
        </w:rPr>
        <w:t xml:space="preserve"> Joint Venture bid should provide information on their current commitments on all contracts that have been awarded, or for which a letter of intent or acceptance has been received, or for contracts approaching completion, but for which an unqualified, full completion certificate has yet to be issued.]</w:t>
      </w:r>
    </w:p>
    <w:p w14:paraId="5E2C409E" w14:textId="77777777" w:rsidR="00157AAA" w:rsidRDefault="00157AAA">
      <w:pPr>
        <w:tabs>
          <w:tab w:val="right" w:pos="9000"/>
          <w:tab w:val="right" w:pos="9630"/>
        </w:tabs>
        <w:ind w:right="162"/>
      </w:pPr>
    </w:p>
    <w:p w14:paraId="62B7E163"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434E73B3"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33B9609C"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69BC1E8E"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70ED1E47" w14:textId="77777777" w:rsidR="00157AAA" w:rsidRDefault="006C1BE5">
      <w:pPr>
        <w:tabs>
          <w:tab w:val="right" w:pos="8640"/>
        </w:tabs>
      </w:pPr>
      <w:r>
        <w:t xml:space="preserve">   </w:t>
      </w:r>
      <w:r>
        <w:tab/>
        <w:t>Page _______ of _______ pages</w:t>
      </w:r>
    </w:p>
    <w:tbl>
      <w:tblPr>
        <w:tblW w:w="8865"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2" w:type="dxa"/>
          <w:right w:w="72" w:type="dxa"/>
        </w:tblCellMar>
        <w:tblLook w:val="0000" w:firstRow="0" w:lastRow="0" w:firstColumn="0" w:lastColumn="0" w:noHBand="0" w:noVBand="0"/>
      </w:tblPr>
      <w:tblGrid>
        <w:gridCol w:w="1890"/>
        <w:gridCol w:w="1620"/>
        <w:gridCol w:w="1800"/>
        <w:gridCol w:w="1800"/>
        <w:gridCol w:w="1755"/>
      </w:tblGrid>
      <w:tr w:rsidR="00157AAA" w14:paraId="2AFC185F" w14:textId="77777777">
        <w:trPr>
          <w:cantSplit/>
          <w:jc w:val="center"/>
        </w:trPr>
        <w:tc>
          <w:tcPr>
            <w:tcW w:w="1890" w:type="dxa"/>
          </w:tcPr>
          <w:p w14:paraId="53AF6AD3" w14:textId="77777777" w:rsidR="00157AAA" w:rsidRDefault="006C1BE5">
            <w:pPr>
              <w:ind w:right="-117"/>
              <w:jc w:val="left"/>
              <w:rPr>
                <w:sz w:val="22"/>
              </w:rPr>
            </w:pPr>
            <w:r>
              <w:rPr>
                <w:sz w:val="22"/>
              </w:rPr>
              <w:t>Name of contract</w:t>
            </w:r>
          </w:p>
        </w:tc>
        <w:tc>
          <w:tcPr>
            <w:tcW w:w="1620" w:type="dxa"/>
          </w:tcPr>
          <w:p w14:paraId="0BA20330" w14:textId="77777777" w:rsidR="00157AAA" w:rsidRDefault="006C1BE5">
            <w:pPr>
              <w:ind w:right="-27"/>
              <w:jc w:val="left"/>
              <w:rPr>
                <w:sz w:val="22"/>
              </w:rPr>
            </w:pPr>
            <w:r>
              <w:rPr>
                <w:sz w:val="22"/>
              </w:rPr>
              <w:t>Purchaser, contact address/tel./fax</w:t>
            </w:r>
          </w:p>
        </w:tc>
        <w:tc>
          <w:tcPr>
            <w:tcW w:w="1800" w:type="dxa"/>
          </w:tcPr>
          <w:p w14:paraId="6160F671" w14:textId="77777777" w:rsidR="00157AAA" w:rsidRDefault="006C1BE5">
            <w:pPr>
              <w:jc w:val="left"/>
              <w:rPr>
                <w:sz w:val="22"/>
              </w:rPr>
            </w:pPr>
            <w:r>
              <w:rPr>
                <w:sz w:val="22"/>
              </w:rPr>
              <w:t>Value of outstanding Information System (current US$ equivalent)</w:t>
            </w:r>
          </w:p>
        </w:tc>
        <w:tc>
          <w:tcPr>
            <w:tcW w:w="1800" w:type="dxa"/>
          </w:tcPr>
          <w:p w14:paraId="5FDB3B1E" w14:textId="77777777" w:rsidR="00157AAA" w:rsidRDefault="006C1BE5">
            <w:pPr>
              <w:ind w:right="-27"/>
              <w:rPr>
                <w:sz w:val="22"/>
                <w:szCs w:val="22"/>
              </w:rPr>
            </w:pPr>
            <w:r>
              <w:rPr>
                <w:sz w:val="22"/>
                <w:szCs w:val="22"/>
              </w:rPr>
              <w:t>Estimated completion date</w:t>
            </w:r>
          </w:p>
        </w:tc>
        <w:tc>
          <w:tcPr>
            <w:tcW w:w="1755" w:type="dxa"/>
          </w:tcPr>
          <w:p w14:paraId="7877E794" w14:textId="77777777" w:rsidR="00157AAA" w:rsidRDefault="006C1BE5">
            <w:pPr>
              <w:ind w:right="-27"/>
              <w:jc w:val="left"/>
              <w:rPr>
                <w:sz w:val="22"/>
              </w:rPr>
            </w:pPr>
            <w:r>
              <w:rPr>
                <w:sz w:val="22"/>
              </w:rPr>
              <w:t>Average monthly invoicing over last six months</w:t>
            </w:r>
            <w:r>
              <w:rPr>
                <w:sz w:val="22"/>
              </w:rPr>
              <w:br/>
              <w:t>(US$ equivalent/month)</w:t>
            </w:r>
          </w:p>
        </w:tc>
      </w:tr>
      <w:tr w:rsidR="00157AAA" w14:paraId="3B533A23" w14:textId="77777777">
        <w:trPr>
          <w:cantSplit/>
          <w:jc w:val="center"/>
        </w:trPr>
        <w:tc>
          <w:tcPr>
            <w:tcW w:w="1890" w:type="dxa"/>
          </w:tcPr>
          <w:p w14:paraId="243FB4E1" w14:textId="77777777" w:rsidR="00157AAA" w:rsidRDefault="006C1BE5">
            <w:pPr>
              <w:ind w:right="-117"/>
              <w:rPr>
                <w:sz w:val="20"/>
              </w:rPr>
            </w:pPr>
            <w:r>
              <w:rPr>
                <w:sz w:val="20"/>
              </w:rPr>
              <w:t xml:space="preserve">1. </w:t>
            </w:r>
            <w:r>
              <w:rPr>
                <w:i/>
                <w:sz w:val="20"/>
              </w:rPr>
              <w:t xml:space="preserve">[insert </w:t>
            </w:r>
            <w:r>
              <w:rPr>
                <w:b/>
                <w:i/>
                <w:sz w:val="20"/>
              </w:rPr>
              <w:t>Name of Contract</w:t>
            </w:r>
            <w:r>
              <w:rPr>
                <w:i/>
                <w:sz w:val="20"/>
              </w:rPr>
              <w:t>]</w:t>
            </w:r>
          </w:p>
        </w:tc>
        <w:tc>
          <w:tcPr>
            <w:tcW w:w="1620" w:type="dxa"/>
          </w:tcPr>
          <w:p w14:paraId="3B0AD057" w14:textId="77777777" w:rsidR="00157AAA" w:rsidRDefault="006C1BE5">
            <w:pPr>
              <w:ind w:right="-27"/>
              <w:rPr>
                <w:sz w:val="20"/>
              </w:rPr>
            </w:pPr>
            <w:r>
              <w:rPr>
                <w:i/>
                <w:sz w:val="20"/>
              </w:rPr>
              <w:t xml:space="preserve">[insert </w:t>
            </w:r>
            <w:r>
              <w:rPr>
                <w:b/>
                <w:i/>
                <w:sz w:val="20"/>
              </w:rPr>
              <w:t>Name of Purchaser, contact address, telephone / fax number</w:t>
            </w:r>
            <w:r>
              <w:rPr>
                <w:i/>
                <w:sz w:val="20"/>
              </w:rPr>
              <w:t>]</w:t>
            </w:r>
          </w:p>
        </w:tc>
        <w:tc>
          <w:tcPr>
            <w:tcW w:w="1800" w:type="dxa"/>
          </w:tcPr>
          <w:p w14:paraId="28E760B7" w14:textId="77777777" w:rsidR="00157AAA" w:rsidRDefault="006C1BE5">
            <w:pPr>
              <w:rPr>
                <w:sz w:val="20"/>
              </w:rPr>
            </w:pPr>
            <w:r>
              <w:rPr>
                <w:i/>
                <w:sz w:val="20"/>
              </w:rPr>
              <w:t xml:space="preserve">[insert </w:t>
            </w:r>
            <w:r>
              <w:rPr>
                <w:b/>
                <w:i/>
                <w:sz w:val="20"/>
              </w:rPr>
              <w:t xml:space="preserve">Total Outstanding Contract Value of the information system in USD equivalent and exchange rate] </w:t>
            </w:r>
          </w:p>
        </w:tc>
        <w:tc>
          <w:tcPr>
            <w:tcW w:w="1800" w:type="dxa"/>
          </w:tcPr>
          <w:p w14:paraId="4F760E6B" w14:textId="77777777" w:rsidR="00157AAA" w:rsidRDefault="006C1BE5">
            <w:pPr>
              <w:ind w:right="-27"/>
              <w:rPr>
                <w:sz w:val="20"/>
              </w:rPr>
            </w:pPr>
            <w:r>
              <w:rPr>
                <w:i/>
                <w:sz w:val="20"/>
              </w:rPr>
              <w:t xml:space="preserve">[insert </w:t>
            </w:r>
            <w:r>
              <w:rPr>
                <w:b/>
                <w:i/>
                <w:sz w:val="20"/>
              </w:rPr>
              <w:t>Estimated completion date</w:t>
            </w:r>
            <w:r>
              <w:rPr>
                <w:i/>
                <w:sz w:val="20"/>
              </w:rPr>
              <w:t>]</w:t>
            </w:r>
          </w:p>
        </w:tc>
        <w:tc>
          <w:tcPr>
            <w:tcW w:w="1755" w:type="dxa"/>
          </w:tcPr>
          <w:p w14:paraId="7F13F2B6" w14:textId="77777777" w:rsidR="00157AAA" w:rsidRDefault="006C1BE5">
            <w:pPr>
              <w:ind w:right="-27"/>
              <w:rPr>
                <w:sz w:val="20"/>
              </w:rPr>
            </w:pPr>
            <w:r>
              <w:rPr>
                <w:i/>
                <w:sz w:val="20"/>
              </w:rPr>
              <w:t xml:space="preserve">[insert </w:t>
            </w:r>
            <w:r>
              <w:rPr>
                <w:b/>
                <w:i/>
                <w:sz w:val="20"/>
              </w:rPr>
              <w:t>Average monthly invoices in USD equivalent and exchange rate]</w:t>
            </w:r>
          </w:p>
        </w:tc>
      </w:tr>
      <w:tr w:rsidR="00157AAA" w14:paraId="4BAB36BC" w14:textId="77777777">
        <w:trPr>
          <w:cantSplit/>
          <w:jc w:val="center"/>
        </w:trPr>
        <w:tc>
          <w:tcPr>
            <w:tcW w:w="1890" w:type="dxa"/>
          </w:tcPr>
          <w:p w14:paraId="02EA1AAC" w14:textId="77777777" w:rsidR="00157AAA" w:rsidRDefault="006C1BE5">
            <w:pPr>
              <w:ind w:right="-117"/>
              <w:rPr>
                <w:sz w:val="20"/>
              </w:rPr>
            </w:pPr>
            <w:r>
              <w:rPr>
                <w:sz w:val="20"/>
              </w:rPr>
              <w:t xml:space="preserve">2. </w:t>
            </w:r>
            <w:r>
              <w:rPr>
                <w:i/>
                <w:sz w:val="20"/>
              </w:rPr>
              <w:t xml:space="preserve">[insert </w:t>
            </w:r>
            <w:r>
              <w:rPr>
                <w:b/>
                <w:i/>
                <w:sz w:val="20"/>
              </w:rPr>
              <w:t>Name of Contract</w:t>
            </w:r>
            <w:r>
              <w:rPr>
                <w:i/>
                <w:sz w:val="20"/>
              </w:rPr>
              <w:t>]</w:t>
            </w:r>
          </w:p>
        </w:tc>
        <w:tc>
          <w:tcPr>
            <w:tcW w:w="1620" w:type="dxa"/>
          </w:tcPr>
          <w:p w14:paraId="6A0DF6AC" w14:textId="77777777" w:rsidR="00157AAA" w:rsidRDefault="006C1BE5">
            <w:pPr>
              <w:ind w:right="-27"/>
              <w:rPr>
                <w:sz w:val="20"/>
              </w:rPr>
            </w:pPr>
            <w:r>
              <w:rPr>
                <w:i/>
                <w:sz w:val="20"/>
              </w:rPr>
              <w:t xml:space="preserve">[insert </w:t>
            </w:r>
            <w:r>
              <w:rPr>
                <w:b/>
                <w:i/>
                <w:sz w:val="20"/>
              </w:rPr>
              <w:t>Name of Purchaser, contact address, telephone / fax number</w:t>
            </w:r>
            <w:r>
              <w:rPr>
                <w:i/>
                <w:sz w:val="20"/>
              </w:rPr>
              <w:t>]</w:t>
            </w:r>
          </w:p>
        </w:tc>
        <w:tc>
          <w:tcPr>
            <w:tcW w:w="1800" w:type="dxa"/>
          </w:tcPr>
          <w:p w14:paraId="34BD1B8C" w14:textId="77777777" w:rsidR="00157AAA" w:rsidRDefault="006C1BE5">
            <w:pPr>
              <w:rPr>
                <w:sz w:val="20"/>
              </w:rPr>
            </w:pPr>
            <w:r>
              <w:rPr>
                <w:i/>
                <w:sz w:val="20"/>
              </w:rPr>
              <w:t xml:space="preserve">[insert </w:t>
            </w:r>
            <w:r>
              <w:rPr>
                <w:b/>
                <w:i/>
                <w:sz w:val="20"/>
              </w:rPr>
              <w:t xml:space="preserve">Total Outstanding Contract Value of the information system in USD equivalent and exchange rate] </w:t>
            </w:r>
          </w:p>
        </w:tc>
        <w:tc>
          <w:tcPr>
            <w:tcW w:w="1800" w:type="dxa"/>
          </w:tcPr>
          <w:p w14:paraId="55D6AC64" w14:textId="77777777" w:rsidR="00157AAA" w:rsidRDefault="006C1BE5">
            <w:pPr>
              <w:ind w:right="-27"/>
              <w:rPr>
                <w:sz w:val="20"/>
              </w:rPr>
            </w:pPr>
            <w:r>
              <w:rPr>
                <w:i/>
                <w:sz w:val="20"/>
              </w:rPr>
              <w:t xml:space="preserve">[insert </w:t>
            </w:r>
            <w:r>
              <w:rPr>
                <w:b/>
                <w:i/>
                <w:sz w:val="20"/>
              </w:rPr>
              <w:t>Estimated completion date</w:t>
            </w:r>
            <w:r>
              <w:rPr>
                <w:i/>
                <w:sz w:val="20"/>
              </w:rPr>
              <w:t>]</w:t>
            </w:r>
          </w:p>
        </w:tc>
        <w:tc>
          <w:tcPr>
            <w:tcW w:w="1755" w:type="dxa"/>
          </w:tcPr>
          <w:p w14:paraId="27A04CB3" w14:textId="77777777" w:rsidR="00157AAA" w:rsidRDefault="006C1BE5">
            <w:pPr>
              <w:ind w:right="-27"/>
              <w:rPr>
                <w:sz w:val="20"/>
              </w:rPr>
            </w:pPr>
            <w:r>
              <w:rPr>
                <w:i/>
                <w:sz w:val="20"/>
              </w:rPr>
              <w:t xml:space="preserve">[insert </w:t>
            </w:r>
            <w:r>
              <w:rPr>
                <w:b/>
                <w:i/>
                <w:sz w:val="20"/>
              </w:rPr>
              <w:t>Average monthly invoices in USD equivalent and exchange rate]</w:t>
            </w:r>
          </w:p>
        </w:tc>
      </w:tr>
      <w:tr w:rsidR="00157AAA" w14:paraId="62EADCFA" w14:textId="77777777">
        <w:trPr>
          <w:cantSplit/>
          <w:jc w:val="center"/>
        </w:trPr>
        <w:tc>
          <w:tcPr>
            <w:tcW w:w="1890" w:type="dxa"/>
          </w:tcPr>
          <w:p w14:paraId="025F9D9F" w14:textId="77777777" w:rsidR="00157AAA" w:rsidRDefault="006C1BE5">
            <w:pPr>
              <w:ind w:right="-117"/>
              <w:rPr>
                <w:sz w:val="20"/>
              </w:rPr>
            </w:pPr>
            <w:r>
              <w:rPr>
                <w:sz w:val="20"/>
              </w:rPr>
              <w:t xml:space="preserve">3. </w:t>
            </w:r>
            <w:r>
              <w:rPr>
                <w:i/>
                <w:sz w:val="20"/>
              </w:rPr>
              <w:t xml:space="preserve">[insert </w:t>
            </w:r>
            <w:r>
              <w:rPr>
                <w:b/>
                <w:i/>
                <w:sz w:val="20"/>
              </w:rPr>
              <w:t>Name of Contract</w:t>
            </w:r>
            <w:r>
              <w:rPr>
                <w:i/>
                <w:sz w:val="20"/>
              </w:rPr>
              <w:t>]</w:t>
            </w:r>
          </w:p>
        </w:tc>
        <w:tc>
          <w:tcPr>
            <w:tcW w:w="1620" w:type="dxa"/>
          </w:tcPr>
          <w:p w14:paraId="292E8FA4" w14:textId="77777777" w:rsidR="00157AAA" w:rsidRDefault="006C1BE5">
            <w:pPr>
              <w:ind w:right="-27"/>
              <w:rPr>
                <w:sz w:val="20"/>
              </w:rPr>
            </w:pPr>
            <w:r>
              <w:rPr>
                <w:i/>
                <w:sz w:val="20"/>
              </w:rPr>
              <w:t xml:space="preserve">[insert </w:t>
            </w:r>
            <w:r>
              <w:rPr>
                <w:b/>
                <w:i/>
                <w:sz w:val="20"/>
              </w:rPr>
              <w:t>Name of Purchaser, contact address, telephone / fax number</w:t>
            </w:r>
            <w:r>
              <w:rPr>
                <w:i/>
                <w:sz w:val="20"/>
              </w:rPr>
              <w:t>]</w:t>
            </w:r>
          </w:p>
        </w:tc>
        <w:tc>
          <w:tcPr>
            <w:tcW w:w="1800" w:type="dxa"/>
          </w:tcPr>
          <w:p w14:paraId="7A4946DE" w14:textId="77777777" w:rsidR="00157AAA" w:rsidRDefault="006C1BE5">
            <w:pPr>
              <w:rPr>
                <w:sz w:val="20"/>
              </w:rPr>
            </w:pPr>
            <w:r>
              <w:rPr>
                <w:i/>
                <w:sz w:val="20"/>
              </w:rPr>
              <w:t xml:space="preserve">[insert </w:t>
            </w:r>
            <w:r>
              <w:rPr>
                <w:b/>
                <w:i/>
                <w:sz w:val="20"/>
              </w:rPr>
              <w:t xml:space="preserve">Total Outstanding Contract Value of the information system in USD equivalent and exchange rate] </w:t>
            </w:r>
          </w:p>
        </w:tc>
        <w:tc>
          <w:tcPr>
            <w:tcW w:w="1800" w:type="dxa"/>
          </w:tcPr>
          <w:p w14:paraId="68309DA5" w14:textId="77777777" w:rsidR="00157AAA" w:rsidRDefault="006C1BE5">
            <w:pPr>
              <w:ind w:right="-27"/>
              <w:rPr>
                <w:sz w:val="20"/>
              </w:rPr>
            </w:pPr>
            <w:r>
              <w:rPr>
                <w:i/>
                <w:sz w:val="20"/>
              </w:rPr>
              <w:t xml:space="preserve">[insert </w:t>
            </w:r>
            <w:r>
              <w:rPr>
                <w:b/>
                <w:i/>
                <w:sz w:val="20"/>
              </w:rPr>
              <w:t>Estimated completion date</w:t>
            </w:r>
            <w:r>
              <w:rPr>
                <w:i/>
                <w:sz w:val="20"/>
              </w:rPr>
              <w:t>]</w:t>
            </w:r>
          </w:p>
        </w:tc>
        <w:tc>
          <w:tcPr>
            <w:tcW w:w="1755" w:type="dxa"/>
          </w:tcPr>
          <w:p w14:paraId="2C1CAB78" w14:textId="77777777" w:rsidR="00157AAA" w:rsidRDefault="006C1BE5">
            <w:pPr>
              <w:ind w:right="-27"/>
              <w:rPr>
                <w:sz w:val="20"/>
              </w:rPr>
            </w:pPr>
            <w:r>
              <w:rPr>
                <w:i/>
                <w:sz w:val="20"/>
              </w:rPr>
              <w:t xml:space="preserve">[insert </w:t>
            </w:r>
            <w:r>
              <w:rPr>
                <w:b/>
                <w:i/>
                <w:sz w:val="20"/>
              </w:rPr>
              <w:t>Average monthly invoices in USD equivalent and exchange rate]</w:t>
            </w:r>
          </w:p>
        </w:tc>
      </w:tr>
      <w:tr w:rsidR="00157AAA" w14:paraId="30B0E68F" w14:textId="77777777">
        <w:trPr>
          <w:cantSplit/>
          <w:jc w:val="center"/>
        </w:trPr>
        <w:tc>
          <w:tcPr>
            <w:tcW w:w="1890" w:type="dxa"/>
          </w:tcPr>
          <w:p w14:paraId="672C6079" w14:textId="77777777" w:rsidR="00157AAA" w:rsidRDefault="006C1BE5">
            <w:pPr>
              <w:ind w:right="-117"/>
              <w:rPr>
                <w:sz w:val="22"/>
              </w:rPr>
            </w:pPr>
            <w:r>
              <w:rPr>
                <w:sz w:val="22"/>
              </w:rPr>
              <w:t>...</w:t>
            </w:r>
          </w:p>
        </w:tc>
        <w:tc>
          <w:tcPr>
            <w:tcW w:w="1620" w:type="dxa"/>
          </w:tcPr>
          <w:p w14:paraId="2C7DF340" w14:textId="77777777" w:rsidR="00157AAA" w:rsidRDefault="00157AAA">
            <w:pPr>
              <w:ind w:right="-27"/>
              <w:rPr>
                <w:sz w:val="22"/>
              </w:rPr>
            </w:pPr>
          </w:p>
        </w:tc>
        <w:tc>
          <w:tcPr>
            <w:tcW w:w="1800" w:type="dxa"/>
          </w:tcPr>
          <w:p w14:paraId="76E9AA4D" w14:textId="77777777" w:rsidR="00157AAA" w:rsidRDefault="00157AAA">
            <w:pPr>
              <w:rPr>
                <w:sz w:val="22"/>
              </w:rPr>
            </w:pPr>
          </w:p>
        </w:tc>
        <w:tc>
          <w:tcPr>
            <w:tcW w:w="1800" w:type="dxa"/>
          </w:tcPr>
          <w:p w14:paraId="7D3733D2" w14:textId="77777777" w:rsidR="00157AAA" w:rsidRDefault="00157AAA">
            <w:pPr>
              <w:ind w:right="-27"/>
              <w:rPr>
                <w:sz w:val="22"/>
              </w:rPr>
            </w:pPr>
          </w:p>
        </w:tc>
        <w:tc>
          <w:tcPr>
            <w:tcW w:w="1755" w:type="dxa"/>
          </w:tcPr>
          <w:p w14:paraId="49CBF633" w14:textId="77777777" w:rsidR="00157AAA" w:rsidRDefault="00157AAA">
            <w:pPr>
              <w:ind w:right="-27"/>
              <w:rPr>
                <w:sz w:val="22"/>
              </w:rPr>
            </w:pPr>
          </w:p>
        </w:tc>
      </w:tr>
    </w:tbl>
    <w:p w14:paraId="0D89C23C" w14:textId="77777777" w:rsidR="00157AAA" w:rsidRDefault="00157AAA">
      <w:pPr>
        <w:ind w:right="-360"/>
        <w:rPr>
          <w:sz w:val="22"/>
        </w:rPr>
      </w:pPr>
    </w:p>
    <w:p w14:paraId="78ED39CE" w14:textId="77777777" w:rsidR="00157AAA" w:rsidRDefault="006C1BE5">
      <w:pPr>
        <w:pStyle w:val="S4-header1"/>
        <w:rPr>
          <w:smallCaps/>
        </w:rPr>
      </w:pPr>
      <w:bookmarkStart w:id="612" w:name="_Toc163506168"/>
      <w:r>
        <w:rPr>
          <w:smallCaps/>
        </w:rPr>
        <w:lastRenderedPageBreak/>
        <w:t>Form FIN – 5.3.1- Financial Situation: Historical Financial Performance</w:t>
      </w:r>
      <w:bookmarkEnd w:id="612"/>
    </w:p>
    <w:p w14:paraId="3FCF9503" w14:textId="77777777" w:rsidR="00157AAA" w:rsidRDefault="006C1BE5">
      <w:pPr>
        <w:jc w:val="center"/>
      </w:pPr>
      <w:r>
        <w:t>To be completed by the Bidder and, if JV, by each member</w:t>
      </w:r>
    </w:p>
    <w:p w14:paraId="199473A0"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6F248B4D"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6801026E"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09C720BD"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1EE6C920" w14:textId="2F7D9BF8" w:rsidR="00157AAA" w:rsidRDefault="006C1BE5" w:rsidP="000D3312">
      <w:pPr>
        <w:tabs>
          <w:tab w:val="right" w:pos="8640"/>
        </w:tabs>
      </w:pPr>
      <w:r>
        <w:t xml:space="preserve">   </w:t>
      </w:r>
      <w:r>
        <w:tab/>
        <w:t>Page _______ of _______ pages</w:t>
      </w: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4"/>
        <w:gridCol w:w="962"/>
        <w:gridCol w:w="943"/>
        <w:gridCol w:w="943"/>
        <w:gridCol w:w="1112"/>
        <w:gridCol w:w="1027"/>
        <w:gridCol w:w="1112"/>
        <w:gridCol w:w="1027"/>
      </w:tblGrid>
      <w:tr w:rsidR="00157AAA" w14:paraId="16ECC62D" w14:textId="77777777">
        <w:trPr>
          <w:cantSplit/>
          <w:trHeight w:val="200"/>
        </w:trPr>
        <w:tc>
          <w:tcPr>
            <w:tcW w:w="1600" w:type="dxa"/>
          </w:tcPr>
          <w:p w14:paraId="16BE806F" w14:textId="77777777" w:rsidR="00157AAA" w:rsidRDefault="006C1BE5">
            <w:pPr>
              <w:pStyle w:val="Outline"/>
              <w:spacing w:before="20" w:after="20"/>
              <w:jc w:val="center"/>
              <w:rPr>
                <w:b/>
                <w:spacing w:val="-2"/>
                <w:sz w:val="20"/>
              </w:rPr>
            </w:pPr>
            <w:r>
              <w:rPr>
                <w:b/>
                <w:spacing w:val="-2"/>
                <w:sz w:val="20"/>
              </w:rPr>
              <w:t>Financial information in US$ equivalent</w:t>
            </w:r>
          </w:p>
        </w:tc>
        <w:tc>
          <w:tcPr>
            <w:tcW w:w="7490" w:type="dxa"/>
            <w:gridSpan w:val="7"/>
          </w:tcPr>
          <w:p w14:paraId="2551D175" w14:textId="77777777" w:rsidR="00157AAA" w:rsidRDefault="006C1BE5">
            <w:pPr>
              <w:spacing w:before="20" w:after="20"/>
              <w:jc w:val="center"/>
              <w:rPr>
                <w:b/>
                <w:spacing w:val="-2"/>
                <w:sz w:val="20"/>
              </w:rPr>
            </w:pPr>
            <w:r>
              <w:rPr>
                <w:b/>
                <w:spacing w:val="-2"/>
                <w:sz w:val="20"/>
              </w:rPr>
              <w:t xml:space="preserve">Historic information for previous </w:t>
            </w:r>
            <w:r>
              <w:rPr>
                <w:i/>
                <w:spacing w:val="-2"/>
                <w:sz w:val="20"/>
              </w:rPr>
              <w:t xml:space="preserve">[insert </w:t>
            </w:r>
            <w:r>
              <w:rPr>
                <w:b/>
                <w:i/>
                <w:spacing w:val="-2"/>
                <w:sz w:val="20"/>
              </w:rPr>
              <w:t>number</w:t>
            </w:r>
            <w:r>
              <w:rPr>
                <w:i/>
                <w:spacing w:val="-2"/>
                <w:sz w:val="20"/>
              </w:rPr>
              <w:t>]</w:t>
            </w:r>
            <w:r>
              <w:rPr>
                <w:b/>
                <w:spacing w:val="-2"/>
                <w:sz w:val="20"/>
              </w:rPr>
              <w:t xml:space="preserve"> </w:t>
            </w:r>
            <w:proofErr w:type="gramStart"/>
            <w:r>
              <w:rPr>
                <w:b/>
                <w:spacing w:val="-2"/>
                <w:sz w:val="20"/>
              </w:rPr>
              <w:t>years</w:t>
            </w:r>
            <w:proofErr w:type="gramEnd"/>
          </w:p>
          <w:p w14:paraId="4EDD32A5" w14:textId="77777777" w:rsidR="00157AAA" w:rsidRDefault="006C1BE5">
            <w:pPr>
              <w:pStyle w:val="titulo"/>
              <w:spacing w:before="20" w:after="20"/>
              <w:rPr>
                <w:rFonts w:ascii="Times New Roman" w:hAnsi="Times New Roman"/>
                <w:b w:val="0"/>
                <w:i/>
                <w:strike/>
                <w:spacing w:val="-2"/>
                <w:sz w:val="20"/>
              </w:rPr>
            </w:pPr>
            <w:r>
              <w:rPr>
                <w:rFonts w:ascii="Times New Roman" w:hAnsi="Times New Roman"/>
                <w:spacing w:val="-2"/>
                <w:sz w:val="20"/>
              </w:rPr>
              <w:t xml:space="preserve"> </w:t>
            </w:r>
            <w:r>
              <w:rPr>
                <w:rFonts w:ascii="Times New Roman" w:hAnsi="Times New Roman"/>
                <w:b w:val="0"/>
                <w:i/>
                <w:spacing w:val="-2"/>
                <w:sz w:val="20"/>
              </w:rPr>
              <w:t>(US$ equivalent in 000s)</w:t>
            </w:r>
          </w:p>
        </w:tc>
      </w:tr>
      <w:tr w:rsidR="00157AAA" w14:paraId="2CC80BF3" w14:textId="77777777">
        <w:trPr>
          <w:cantSplit/>
        </w:trPr>
        <w:tc>
          <w:tcPr>
            <w:tcW w:w="1600" w:type="dxa"/>
          </w:tcPr>
          <w:p w14:paraId="147B64D9" w14:textId="77777777" w:rsidR="00157AAA" w:rsidRDefault="00157AAA">
            <w:pPr>
              <w:pStyle w:val="Subtitle2"/>
              <w:spacing w:before="20" w:after="20"/>
              <w:rPr>
                <w:sz w:val="20"/>
              </w:rPr>
            </w:pPr>
          </w:p>
        </w:tc>
        <w:tc>
          <w:tcPr>
            <w:tcW w:w="1010" w:type="dxa"/>
          </w:tcPr>
          <w:p w14:paraId="5CD88AA8" w14:textId="77777777" w:rsidR="00157AAA" w:rsidRDefault="006C1BE5">
            <w:pPr>
              <w:pStyle w:val="Subtitle2"/>
              <w:spacing w:before="20" w:after="20"/>
              <w:rPr>
                <w:sz w:val="20"/>
              </w:rPr>
            </w:pPr>
            <w:r>
              <w:rPr>
                <w:sz w:val="20"/>
              </w:rPr>
              <w:t>Year 1</w:t>
            </w:r>
          </w:p>
        </w:tc>
        <w:tc>
          <w:tcPr>
            <w:tcW w:w="990" w:type="dxa"/>
          </w:tcPr>
          <w:p w14:paraId="7A4C4737" w14:textId="77777777" w:rsidR="00157AAA" w:rsidRDefault="006C1BE5">
            <w:pPr>
              <w:pStyle w:val="Subtitle2"/>
              <w:spacing w:before="20" w:after="20"/>
              <w:rPr>
                <w:sz w:val="20"/>
              </w:rPr>
            </w:pPr>
            <w:r>
              <w:rPr>
                <w:sz w:val="20"/>
              </w:rPr>
              <w:t>Year 2</w:t>
            </w:r>
          </w:p>
        </w:tc>
        <w:tc>
          <w:tcPr>
            <w:tcW w:w="990" w:type="dxa"/>
          </w:tcPr>
          <w:p w14:paraId="5B54F04E" w14:textId="77777777" w:rsidR="00157AAA" w:rsidRDefault="006C1BE5">
            <w:pPr>
              <w:pStyle w:val="Subtitle2"/>
              <w:spacing w:before="20" w:after="20"/>
              <w:rPr>
                <w:sz w:val="20"/>
              </w:rPr>
            </w:pPr>
            <w:r>
              <w:rPr>
                <w:sz w:val="20"/>
              </w:rPr>
              <w:t>Year 3</w:t>
            </w:r>
          </w:p>
        </w:tc>
        <w:tc>
          <w:tcPr>
            <w:tcW w:w="1170" w:type="dxa"/>
          </w:tcPr>
          <w:p w14:paraId="6493CCC1" w14:textId="77777777" w:rsidR="00157AAA" w:rsidRDefault="006C1BE5">
            <w:pPr>
              <w:pStyle w:val="Subtitle2"/>
              <w:spacing w:before="20" w:after="20"/>
              <w:rPr>
                <w:sz w:val="20"/>
              </w:rPr>
            </w:pPr>
            <w:r>
              <w:rPr>
                <w:sz w:val="20"/>
              </w:rPr>
              <w:t>Year …</w:t>
            </w:r>
          </w:p>
        </w:tc>
        <w:tc>
          <w:tcPr>
            <w:tcW w:w="1080" w:type="dxa"/>
          </w:tcPr>
          <w:p w14:paraId="152301F3" w14:textId="77777777" w:rsidR="00157AAA" w:rsidRDefault="006C1BE5">
            <w:pPr>
              <w:pStyle w:val="Subtitle2"/>
              <w:spacing w:before="20" w:after="20"/>
              <w:rPr>
                <w:sz w:val="20"/>
              </w:rPr>
            </w:pPr>
            <w:r>
              <w:rPr>
                <w:sz w:val="20"/>
              </w:rPr>
              <w:t>Year n</w:t>
            </w:r>
          </w:p>
        </w:tc>
        <w:tc>
          <w:tcPr>
            <w:tcW w:w="1170" w:type="dxa"/>
          </w:tcPr>
          <w:p w14:paraId="7B0E8816" w14:textId="77777777" w:rsidR="00157AAA" w:rsidRDefault="006C1BE5">
            <w:pPr>
              <w:pStyle w:val="Subtitle2"/>
              <w:spacing w:before="20" w:after="20"/>
              <w:rPr>
                <w:sz w:val="20"/>
              </w:rPr>
            </w:pPr>
            <w:r>
              <w:rPr>
                <w:sz w:val="20"/>
              </w:rPr>
              <w:t>Avg.</w:t>
            </w:r>
          </w:p>
        </w:tc>
        <w:tc>
          <w:tcPr>
            <w:tcW w:w="1080" w:type="dxa"/>
          </w:tcPr>
          <w:p w14:paraId="7787B8C3" w14:textId="77777777" w:rsidR="00157AAA" w:rsidRDefault="006C1BE5">
            <w:pPr>
              <w:pStyle w:val="Subtitle2"/>
              <w:spacing w:before="20" w:after="20"/>
              <w:rPr>
                <w:strike/>
                <w:sz w:val="20"/>
              </w:rPr>
            </w:pPr>
            <w:r>
              <w:rPr>
                <w:sz w:val="20"/>
              </w:rPr>
              <w:t>Avg. Ratio</w:t>
            </w:r>
          </w:p>
        </w:tc>
      </w:tr>
      <w:tr w:rsidR="00157AAA" w14:paraId="5702CCD1" w14:textId="77777777">
        <w:trPr>
          <w:cantSplit/>
        </w:trPr>
        <w:tc>
          <w:tcPr>
            <w:tcW w:w="9090" w:type="dxa"/>
            <w:gridSpan w:val="8"/>
          </w:tcPr>
          <w:p w14:paraId="117F2D8A" w14:textId="77777777" w:rsidR="00157AAA" w:rsidRDefault="006C1BE5">
            <w:pPr>
              <w:pStyle w:val="Subtitle2"/>
              <w:spacing w:before="20" w:after="20"/>
              <w:rPr>
                <w:sz w:val="20"/>
              </w:rPr>
            </w:pPr>
            <w:r>
              <w:rPr>
                <w:sz w:val="20"/>
              </w:rPr>
              <w:t>Information from Balance Sheet</w:t>
            </w:r>
          </w:p>
        </w:tc>
      </w:tr>
      <w:tr w:rsidR="00157AAA" w14:paraId="15DBB8FC" w14:textId="77777777">
        <w:trPr>
          <w:cantSplit/>
          <w:trHeight w:val="494"/>
        </w:trPr>
        <w:tc>
          <w:tcPr>
            <w:tcW w:w="1600" w:type="dxa"/>
          </w:tcPr>
          <w:p w14:paraId="217844EB" w14:textId="77777777" w:rsidR="00157AAA" w:rsidRDefault="006C1BE5">
            <w:pPr>
              <w:pStyle w:val="Subtitle2"/>
              <w:spacing w:before="20" w:after="20"/>
              <w:rPr>
                <w:sz w:val="20"/>
              </w:rPr>
            </w:pPr>
            <w:r>
              <w:rPr>
                <w:sz w:val="20"/>
              </w:rPr>
              <w:t>Total Assets (TA)</w:t>
            </w:r>
          </w:p>
        </w:tc>
        <w:tc>
          <w:tcPr>
            <w:tcW w:w="1010" w:type="dxa"/>
          </w:tcPr>
          <w:p w14:paraId="1DF8C0CB" w14:textId="77777777" w:rsidR="00157AAA" w:rsidRDefault="00157AAA">
            <w:pPr>
              <w:pStyle w:val="Subtitle2"/>
              <w:spacing w:before="20" w:after="20"/>
              <w:rPr>
                <w:sz w:val="20"/>
              </w:rPr>
            </w:pPr>
          </w:p>
        </w:tc>
        <w:tc>
          <w:tcPr>
            <w:tcW w:w="990" w:type="dxa"/>
          </w:tcPr>
          <w:p w14:paraId="6B08E1EB" w14:textId="77777777" w:rsidR="00157AAA" w:rsidRDefault="00157AAA">
            <w:pPr>
              <w:pStyle w:val="Subtitle2"/>
              <w:spacing w:before="20" w:after="20"/>
              <w:rPr>
                <w:sz w:val="20"/>
              </w:rPr>
            </w:pPr>
          </w:p>
        </w:tc>
        <w:tc>
          <w:tcPr>
            <w:tcW w:w="990" w:type="dxa"/>
          </w:tcPr>
          <w:p w14:paraId="4ECFDAB9" w14:textId="77777777" w:rsidR="00157AAA" w:rsidRDefault="00157AAA">
            <w:pPr>
              <w:pStyle w:val="Subtitle2"/>
              <w:spacing w:before="20" w:after="20"/>
              <w:rPr>
                <w:sz w:val="20"/>
              </w:rPr>
            </w:pPr>
          </w:p>
        </w:tc>
        <w:tc>
          <w:tcPr>
            <w:tcW w:w="1170" w:type="dxa"/>
          </w:tcPr>
          <w:p w14:paraId="1706C9D8" w14:textId="77777777" w:rsidR="00157AAA" w:rsidRDefault="00157AAA">
            <w:pPr>
              <w:pStyle w:val="Subtitle2"/>
              <w:spacing w:before="20" w:after="20"/>
              <w:rPr>
                <w:sz w:val="20"/>
              </w:rPr>
            </w:pPr>
          </w:p>
        </w:tc>
        <w:tc>
          <w:tcPr>
            <w:tcW w:w="1080" w:type="dxa"/>
          </w:tcPr>
          <w:p w14:paraId="7A7A26C0" w14:textId="77777777" w:rsidR="00157AAA" w:rsidRDefault="00157AAA">
            <w:pPr>
              <w:pStyle w:val="Subtitle2"/>
              <w:spacing w:before="20" w:after="20"/>
              <w:rPr>
                <w:sz w:val="20"/>
              </w:rPr>
            </w:pPr>
          </w:p>
        </w:tc>
        <w:tc>
          <w:tcPr>
            <w:tcW w:w="1170" w:type="dxa"/>
          </w:tcPr>
          <w:p w14:paraId="3B2D984C" w14:textId="77777777" w:rsidR="00157AAA" w:rsidRDefault="00157AAA">
            <w:pPr>
              <w:pStyle w:val="Subtitle2"/>
              <w:spacing w:before="20" w:after="20"/>
              <w:rPr>
                <w:sz w:val="20"/>
              </w:rPr>
            </w:pPr>
          </w:p>
        </w:tc>
        <w:tc>
          <w:tcPr>
            <w:tcW w:w="1080" w:type="dxa"/>
            <w:vMerge w:val="restart"/>
          </w:tcPr>
          <w:p w14:paraId="5F3881E3" w14:textId="77777777" w:rsidR="00157AAA" w:rsidRDefault="00157AAA">
            <w:pPr>
              <w:pStyle w:val="Subtitle2"/>
              <w:spacing w:before="20" w:after="20"/>
              <w:rPr>
                <w:sz w:val="20"/>
              </w:rPr>
            </w:pPr>
          </w:p>
        </w:tc>
      </w:tr>
      <w:tr w:rsidR="00157AAA" w14:paraId="6227A73A" w14:textId="77777777">
        <w:trPr>
          <w:cantSplit/>
          <w:trHeight w:val="530"/>
        </w:trPr>
        <w:tc>
          <w:tcPr>
            <w:tcW w:w="1600" w:type="dxa"/>
          </w:tcPr>
          <w:p w14:paraId="29545505" w14:textId="77777777" w:rsidR="00157AAA" w:rsidRDefault="006C1BE5">
            <w:pPr>
              <w:pStyle w:val="Subtitle2"/>
              <w:spacing w:before="20" w:after="20"/>
              <w:rPr>
                <w:sz w:val="20"/>
              </w:rPr>
            </w:pPr>
            <w:r>
              <w:rPr>
                <w:sz w:val="20"/>
              </w:rPr>
              <w:t>Total Liabilities (TL)</w:t>
            </w:r>
          </w:p>
        </w:tc>
        <w:tc>
          <w:tcPr>
            <w:tcW w:w="1010" w:type="dxa"/>
          </w:tcPr>
          <w:p w14:paraId="234E6082" w14:textId="77777777" w:rsidR="00157AAA" w:rsidRDefault="00157AAA">
            <w:pPr>
              <w:pStyle w:val="Subtitle2"/>
              <w:spacing w:before="20" w:after="20"/>
              <w:rPr>
                <w:sz w:val="20"/>
              </w:rPr>
            </w:pPr>
          </w:p>
        </w:tc>
        <w:tc>
          <w:tcPr>
            <w:tcW w:w="990" w:type="dxa"/>
          </w:tcPr>
          <w:p w14:paraId="10D91DD7" w14:textId="77777777" w:rsidR="00157AAA" w:rsidRDefault="00157AAA">
            <w:pPr>
              <w:pStyle w:val="Subtitle2"/>
              <w:spacing w:before="20" w:after="20"/>
              <w:rPr>
                <w:sz w:val="20"/>
              </w:rPr>
            </w:pPr>
          </w:p>
        </w:tc>
        <w:tc>
          <w:tcPr>
            <w:tcW w:w="990" w:type="dxa"/>
          </w:tcPr>
          <w:p w14:paraId="745A86F0" w14:textId="77777777" w:rsidR="00157AAA" w:rsidRDefault="00157AAA">
            <w:pPr>
              <w:pStyle w:val="Subtitle2"/>
              <w:spacing w:before="20" w:after="20"/>
              <w:rPr>
                <w:sz w:val="20"/>
              </w:rPr>
            </w:pPr>
          </w:p>
        </w:tc>
        <w:tc>
          <w:tcPr>
            <w:tcW w:w="1170" w:type="dxa"/>
          </w:tcPr>
          <w:p w14:paraId="4FF78A1E" w14:textId="77777777" w:rsidR="00157AAA" w:rsidRDefault="00157AAA">
            <w:pPr>
              <w:pStyle w:val="Subtitle2"/>
              <w:spacing w:before="20" w:after="20"/>
              <w:rPr>
                <w:sz w:val="20"/>
              </w:rPr>
            </w:pPr>
          </w:p>
        </w:tc>
        <w:tc>
          <w:tcPr>
            <w:tcW w:w="1080" w:type="dxa"/>
          </w:tcPr>
          <w:p w14:paraId="667A6E26" w14:textId="77777777" w:rsidR="00157AAA" w:rsidRDefault="00157AAA">
            <w:pPr>
              <w:pStyle w:val="Subtitle2"/>
              <w:spacing w:before="20" w:after="20"/>
              <w:rPr>
                <w:sz w:val="20"/>
              </w:rPr>
            </w:pPr>
          </w:p>
        </w:tc>
        <w:tc>
          <w:tcPr>
            <w:tcW w:w="1170" w:type="dxa"/>
          </w:tcPr>
          <w:p w14:paraId="01E08C10" w14:textId="77777777" w:rsidR="00157AAA" w:rsidRDefault="00157AAA">
            <w:pPr>
              <w:pStyle w:val="Subtitle2"/>
              <w:spacing w:before="20" w:after="20"/>
              <w:rPr>
                <w:sz w:val="20"/>
              </w:rPr>
            </w:pPr>
          </w:p>
        </w:tc>
        <w:tc>
          <w:tcPr>
            <w:tcW w:w="1080" w:type="dxa"/>
            <w:vMerge/>
          </w:tcPr>
          <w:p w14:paraId="1E69F6A4" w14:textId="77777777" w:rsidR="00157AAA" w:rsidRDefault="00157AAA">
            <w:pPr>
              <w:pStyle w:val="Subtitle2"/>
              <w:spacing w:before="20" w:after="20"/>
              <w:rPr>
                <w:sz w:val="20"/>
              </w:rPr>
            </w:pPr>
          </w:p>
        </w:tc>
      </w:tr>
      <w:tr w:rsidR="00157AAA" w14:paraId="6CE1FA3B" w14:textId="77777777">
        <w:trPr>
          <w:cantSplit/>
          <w:trHeight w:val="539"/>
        </w:trPr>
        <w:tc>
          <w:tcPr>
            <w:tcW w:w="1600" w:type="dxa"/>
          </w:tcPr>
          <w:p w14:paraId="26474F03" w14:textId="77777777" w:rsidR="00157AAA" w:rsidRDefault="006C1BE5">
            <w:pPr>
              <w:pStyle w:val="Subtitle2"/>
              <w:spacing w:before="20" w:after="20"/>
              <w:rPr>
                <w:sz w:val="20"/>
              </w:rPr>
            </w:pPr>
            <w:r>
              <w:rPr>
                <w:sz w:val="20"/>
              </w:rPr>
              <w:t>Net Worth (NW)</w:t>
            </w:r>
          </w:p>
        </w:tc>
        <w:tc>
          <w:tcPr>
            <w:tcW w:w="1010" w:type="dxa"/>
          </w:tcPr>
          <w:p w14:paraId="18AEF1FF" w14:textId="77777777" w:rsidR="00157AAA" w:rsidRDefault="00157AAA">
            <w:pPr>
              <w:pStyle w:val="Subtitle2"/>
              <w:spacing w:before="20" w:after="20"/>
              <w:rPr>
                <w:sz w:val="20"/>
              </w:rPr>
            </w:pPr>
          </w:p>
        </w:tc>
        <w:tc>
          <w:tcPr>
            <w:tcW w:w="990" w:type="dxa"/>
          </w:tcPr>
          <w:p w14:paraId="0A867731" w14:textId="77777777" w:rsidR="00157AAA" w:rsidRDefault="00157AAA">
            <w:pPr>
              <w:pStyle w:val="Subtitle2"/>
              <w:spacing w:before="20" w:after="20"/>
              <w:rPr>
                <w:sz w:val="20"/>
              </w:rPr>
            </w:pPr>
          </w:p>
        </w:tc>
        <w:tc>
          <w:tcPr>
            <w:tcW w:w="990" w:type="dxa"/>
          </w:tcPr>
          <w:p w14:paraId="63974513" w14:textId="77777777" w:rsidR="00157AAA" w:rsidRDefault="00157AAA">
            <w:pPr>
              <w:pStyle w:val="Subtitle2"/>
              <w:spacing w:before="20" w:after="20"/>
              <w:rPr>
                <w:sz w:val="20"/>
              </w:rPr>
            </w:pPr>
          </w:p>
        </w:tc>
        <w:tc>
          <w:tcPr>
            <w:tcW w:w="1170" w:type="dxa"/>
          </w:tcPr>
          <w:p w14:paraId="3D41E589" w14:textId="77777777" w:rsidR="00157AAA" w:rsidRDefault="00157AAA">
            <w:pPr>
              <w:pStyle w:val="Subtitle2"/>
              <w:spacing w:before="20" w:after="20"/>
              <w:rPr>
                <w:sz w:val="20"/>
              </w:rPr>
            </w:pPr>
          </w:p>
        </w:tc>
        <w:tc>
          <w:tcPr>
            <w:tcW w:w="1080" w:type="dxa"/>
          </w:tcPr>
          <w:p w14:paraId="240F875F" w14:textId="77777777" w:rsidR="00157AAA" w:rsidRDefault="00157AAA">
            <w:pPr>
              <w:pStyle w:val="Subtitle2"/>
              <w:spacing w:before="20" w:after="20"/>
              <w:rPr>
                <w:sz w:val="20"/>
              </w:rPr>
            </w:pPr>
          </w:p>
        </w:tc>
        <w:tc>
          <w:tcPr>
            <w:tcW w:w="1170" w:type="dxa"/>
          </w:tcPr>
          <w:p w14:paraId="02C90FBF" w14:textId="77777777" w:rsidR="00157AAA" w:rsidRDefault="00157AAA">
            <w:pPr>
              <w:pStyle w:val="Subtitle2"/>
              <w:spacing w:before="20" w:after="20"/>
              <w:rPr>
                <w:sz w:val="20"/>
              </w:rPr>
            </w:pPr>
          </w:p>
        </w:tc>
        <w:tc>
          <w:tcPr>
            <w:tcW w:w="1080" w:type="dxa"/>
          </w:tcPr>
          <w:p w14:paraId="766DC9C1" w14:textId="77777777" w:rsidR="00157AAA" w:rsidRDefault="00157AAA">
            <w:pPr>
              <w:pStyle w:val="Subtitle2"/>
              <w:spacing w:before="20" w:after="20"/>
              <w:rPr>
                <w:sz w:val="20"/>
              </w:rPr>
            </w:pPr>
          </w:p>
        </w:tc>
      </w:tr>
      <w:tr w:rsidR="00157AAA" w14:paraId="29F47475" w14:textId="77777777">
        <w:trPr>
          <w:cantSplit/>
          <w:trHeight w:val="521"/>
        </w:trPr>
        <w:tc>
          <w:tcPr>
            <w:tcW w:w="1600" w:type="dxa"/>
          </w:tcPr>
          <w:p w14:paraId="3449A9C9" w14:textId="77777777" w:rsidR="00157AAA" w:rsidRDefault="006C1BE5">
            <w:pPr>
              <w:pStyle w:val="Subtitle2"/>
              <w:spacing w:before="20" w:after="20"/>
              <w:rPr>
                <w:sz w:val="20"/>
              </w:rPr>
            </w:pPr>
            <w:r>
              <w:rPr>
                <w:sz w:val="20"/>
              </w:rPr>
              <w:t>Current Assets (CA)</w:t>
            </w:r>
          </w:p>
        </w:tc>
        <w:tc>
          <w:tcPr>
            <w:tcW w:w="1010" w:type="dxa"/>
          </w:tcPr>
          <w:p w14:paraId="090363B5" w14:textId="77777777" w:rsidR="00157AAA" w:rsidRDefault="00157AAA">
            <w:pPr>
              <w:pStyle w:val="Subtitle2"/>
              <w:spacing w:before="20" w:after="20"/>
              <w:rPr>
                <w:sz w:val="20"/>
              </w:rPr>
            </w:pPr>
          </w:p>
        </w:tc>
        <w:tc>
          <w:tcPr>
            <w:tcW w:w="990" w:type="dxa"/>
          </w:tcPr>
          <w:p w14:paraId="6214C881" w14:textId="77777777" w:rsidR="00157AAA" w:rsidRDefault="00157AAA">
            <w:pPr>
              <w:pStyle w:val="Subtitle2"/>
              <w:spacing w:before="20" w:after="20"/>
              <w:rPr>
                <w:sz w:val="20"/>
              </w:rPr>
            </w:pPr>
          </w:p>
        </w:tc>
        <w:tc>
          <w:tcPr>
            <w:tcW w:w="990" w:type="dxa"/>
          </w:tcPr>
          <w:p w14:paraId="525CEE14" w14:textId="77777777" w:rsidR="00157AAA" w:rsidRDefault="00157AAA">
            <w:pPr>
              <w:pStyle w:val="Subtitle2"/>
              <w:spacing w:before="20" w:after="20"/>
              <w:rPr>
                <w:sz w:val="20"/>
              </w:rPr>
            </w:pPr>
          </w:p>
        </w:tc>
        <w:tc>
          <w:tcPr>
            <w:tcW w:w="1170" w:type="dxa"/>
          </w:tcPr>
          <w:p w14:paraId="522660B6" w14:textId="77777777" w:rsidR="00157AAA" w:rsidRDefault="00157AAA">
            <w:pPr>
              <w:pStyle w:val="Subtitle2"/>
              <w:spacing w:before="20" w:after="20"/>
              <w:rPr>
                <w:sz w:val="20"/>
              </w:rPr>
            </w:pPr>
          </w:p>
        </w:tc>
        <w:tc>
          <w:tcPr>
            <w:tcW w:w="1080" w:type="dxa"/>
          </w:tcPr>
          <w:p w14:paraId="25591217" w14:textId="77777777" w:rsidR="00157AAA" w:rsidRDefault="00157AAA">
            <w:pPr>
              <w:pStyle w:val="Subtitle2"/>
              <w:spacing w:before="20" w:after="20"/>
              <w:rPr>
                <w:sz w:val="20"/>
              </w:rPr>
            </w:pPr>
          </w:p>
        </w:tc>
        <w:tc>
          <w:tcPr>
            <w:tcW w:w="1170" w:type="dxa"/>
          </w:tcPr>
          <w:p w14:paraId="6517CC60" w14:textId="77777777" w:rsidR="00157AAA" w:rsidRDefault="00157AAA">
            <w:pPr>
              <w:pStyle w:val="Subtitle2"/>
              <w:spacing w:before="20" w:after="20"/>
              <w:rPr>
                <w:sz w:val="20"/>
              </w:rPr>
            </w:pPr>
          </w:p>
        </w:tc>
        <w:tc>
          <w:tcPr>
            <w:tcW w:w="1080" w:type="dxa"/>
            <w:vMerge w:val="restart"/>
          </w:tcPr>
          <w:p w14:paraId="5D087EC7" w14:textId="77777777" w:rsidR="00157AAA" w:rsidRDefault="00157AAA">
            <w:pPr>
              <w:pStyle w:val="Subtitle2"/>
              <w:spacing w:before="20" w:after="20"/>
              <w:rPr>
                <w:sz w:val="20"/>
              </w:rPr>
            </w:pPr>
          </w:p>
        </w:tc>
      </w:tr>
      <w:tr w:rsidR="00157AAA" w14:paraId="013844ED" w14:textId="77777777">
        <w:trPr>
          <w:cantSplit/>
          <w:trHeight w:val="449"/>
        </w:trPr>
        <w:tc>
          <w:tcPr>
            <w:tcW w:w="1600" w:type="dxa"/>
          </w:tcPr>
          <w:p w14:paraId="22247004" w14:textId="77777777" w:rsidR="00157AAA" w:rsidRDefault="006C1BE5">
            <w:pPr>
              <w:pStyle w:val="Subtitle2"/>
              <w:spacing w:before="20" w:after="20"/>
              <w:rPr>
                <w:sz w:val="20"/>
              </w:rPr>
            </w:pPr>
            <w:r>
              <w:rPr>
                <w:sz w:val="20"/>
              </w:rPr>
              <w:t>Current Liabilities (CL)</w:t>
            </w:r>
          </w:p>
        </w:tc>
        <w:tc>
          <w:tcPr>
            <w:tcW w:w="1010" w:type="dxa"/>
          </w:tcPr>
          <w:p w14:paraId="6AEA162D" w14:textId="77777777" w:rsidR="00157AAA" w:rsidRDefault="00157AAA">
            <w:pPr>
              <w:pStyle w:val="Subtitle2"/>
              <w:spacing w:before="20" w:after="20"/>
              <w:rPr>
                <w:sz w:val="20"/>
              </w:rPr>
            </w:pPr>
          </w:p>
        </w:tc>
        <w:tc>
          <w:tcPr>
            <w:tcW w:w="990" w:type="dxa"/>
          </w:tcPr>
          <w:p w14:paraId="3161BC8D" w14:textId="77777777" w:rsidR="00157AAA" w:rsidRDefault="00157AAA">
            <w:pPr>
              <w:pStyle w:val="Subtitle2"/>
              <w:spacing w:before="20" w:after="20"/>
              <w:rPr>
                <w:sz w:val="20"/>
              </w:rPr>
            </w:pPr>
          </w:p>
        </w:tc>
        <w:tc>
          <w:tcPr>
            <w:tcW w:w="990" w:type="dxa"/>
          </w:tcPr>
          <w:p w14:paraId="0D8B3EF9" w14:textId="77777777" w:rsidR="00157AAA" w:rsidRDefault="00157AAA">
            <w:pPr>
              <w:pStyle w:val="Subtitle2"/>
              <w:spacing w:before="20" w:after="20"/>
              <w:rPr>
                <w:sz w:val="20"/>
              </w:rPr>
            </w:pPr>
          </w:p>
        </w:tc>
        <w:tc>
          <w:tcPr>
            <w:tcW w:w="1170" w:type="dxa"/>
          </w:tcPr>
          <w:p w14:paraId="31FB9074" w14:textId="77777777" w:rsidR="00157AAA" w:rsidRDefault="00157AAA">
            <w:pPr>
              <w:pStyle w:val="Subtitle2"/>
              <w:spacing w:before="20" w:after="20"/>
              <w:rPr>
                <w:sz w:val="20"/>
              </w:rPr>
            </w:pPr>
          </w:p>
        </w:tc>
        <w:tc>
          <w:tcPr>
            <w:tcW w:w="1080" w:type="dxa"/>
          </w:tcPr>
          <w:p w14:paraId="1AE17C3F" w14:textId="77777777" w:rsidR="00157AAA" w:rsidRDefault="00157AAA">
            <w:pPr>
              <w:pStyle w:val="Subtitle2"/>
              <w:spacing w:before="20" w:after="20"/>
              <w:rPr>
                <w:sz w:val="20"/>
              </w:rPr>
            </w:pPr>
          </w:p>
        </w:tc>
        <w:tc>
          <w:tcPr>
            <w:tcW w:w="1170" w:type="dxa"/>
          </w:tcPr>
          <w:p w14:paraId="57684903" w14:textId="77777777" w:rsidR="00157AAA" w:rsidRDefault="00157AAA">
            <w:pPr>
              <w:pStyle w:val="Subtitle2"/>
              <w:spacing w:before="20" w:after="20"/>
              <w:rPr>
                <w:sz w:val="20"/>
              </w:rPr>
            </w:pPr>
          </w:p>
        </w:tc>
        <w:tc>
          <w:tcPr>
            <w:tcW w:w="1080" w:type="dxa"/>
            <w:vMerge/>
          </w:tcPr>
          <w:p w14:paraId="56C5E6E8" w14:textId="77777777" w:rsidR="00157AAA" w:rsidRDefault="00157AAA">
            <w:pPr>
              <w:pStyle w:val="Subtitle2"/>
              <w:spacing w:before="20" w:after="20"/>
              <w:rPr>
                <w:sz w:val="20"/>
              </w:rPr>
            </w:pPr>
          </w:p>
        </w:tc>
      </w:tr>
      <w:tr w:rsidR="00157AAA" w14:paraId="5EADFE06" w14:textId="77777777">
        <w:trPr>
          <w:cantSplit/>
        </w:trPr>
        <w:tc>
          <w:tcPr>
            <w:tcW w:w="9090" w:type="dxa"/>
            <w:gridSpan w:val="8"/>
          </w:tcPr>
          <w:p w14:paraId="66B8E820" w14:textId="77777777" w:rsidR="00157AAA" w:rsidRDefault="006C1BE5">
            <w:pPr>
              <w:pStyle w:val="Subtitle2"/>
              <w:spacing w:before="20" w:after="20"/>
              <w:rPr>
                <w:sz w:val="20"/>
              </w:rPr>
            </w:pPr>
            <w:r>
              <w:rPr>
                <w:sz w:val="20"/>
              </w:rPr>
              <w:t>Information from Income Statement</w:t>
            </w:r>
          </w:p>
        </w:tc>
      </w:tr>
      <w:tr w:rsidR="00157AAA" w14:paraId="7EB18BBA" w14:textId="77777777">
        <w:trPr>
          <w:cantSplit/>
          <w:trHeight w:val="548"/>
        </w:trPr>
        <w:tc>
          <w:tcPr>
            <w:tcW w:w="1600" w:type="dxa"/>
          </w:tcPr>
          <w:p w14:paraId="53F70EC9" w14:textId="77777777" w:rsidR="00157AAA" w:rsidRDefault="006C1BE5">
            <w:pPr>
              <w:pStyle w:val="Subtitle2"/>
              <w:spacing w:before="20" w:after="20"/>
              <w:rPr>
                <w:sz w:val="20"/>
              </w:rPr>
            </w:pPr>
            <w:r>
              <w:rPr>
                <w:sz w:val="20"/>
              </w:rPr>
              <w:t>Total Revenue (TR)</w:t>
            </w:r>
          </w:p>
        </w:tc>
        <w:tc>
          <w:tcPr>
            <w:tcW w:w="1010" w:type="dxa"/>
          </w:tcPr>
          <w:p w14:paraId="47FF105B" w14:textId="77777777" w:rsidR="00157AAA" w:rsidRDefault="00157AAA">
            <w:pPr>
              <w:pStyle w:val="Subtitle2"/>
              <w:spacing w:before="20" w:after="20"/>
              <w:rPr>
                <w:sz w:val="20"/>
              </w:rPr>
            </w:pPr>
          </w:p>
        </w:tc>
        <w:tc>
          <w:tcPr>
            <w:tcW w:w="990" w:type="dxa"/>
          </w:tcPr>
          <w:p w14:paraId="1F235D02" w14:textId="77777777" w:rsidR="00157AAA" w:rsidRDefault="00157AAA">
            <w:pPr>
              <w:pStyle w:val="Subtitle2"/>
              <w:spacing w:before="20" w:after="20"/>
              <w:rPr>
                <w:sz w:val="20"/>
              </w:rPr>
            </w:pPr>
          </w:p>
        </w:tc>
        <w:tc>
          <w:tcPr>
            <w:tcW w:w="990" w:type="dxa"/>
          </w:tcPr>
          <w:p w14:paraId="2AB3E96C" w14:textId="77777777" w:rsidR="00157AAA" w:rsidRDefault="00157AAA">
            <w:pPr>
              <w:pStyle w:val="Subtitle2"/>
              <w:spacing w:before="20" w:after="20"/>
              <w:rPr>
                <w:sz w:val="20"/>
              </w:rPr>
            </w:pPr>
          </w:p>
        </w:tc>
        <w:tc>
          <w:tcPr>
            <w:tcW w:w="1170" w:type="dxa"/>
          </w:tcPr>
          <w:p w14:paraId="530EA9F4" w14:textId="77777777" w:rsidR="00157AAA" w:rsidRDefault="00157AAA">
            <w:pPr>
              <w:pStyle w:val="Subtitle2"/>
              <w:spacing w:before="20" w:after="20"/>
              <w:rPr>
                <w:sz w:val="20"/>
              </w:rPr>
            </w:pPr>
          </w:p>
        </w:tc>
        <w:tc>
          <w:tcPr>
            <w:tcW w:w="1080" w:type="dxa"/>
          </w:tcPr>
          <w:p w14:paraId="749AC7AF" w14:textId="77777777" w:rsidR="00157AAA" w:rsidRDefault="00157AAA">
            <w:pPr>
              <w:pStyle w:val="Subtitle2"/>
              <w:spacing w:before="20" w:after="20"/>
              <w:rPr>
                <w:sz w:val="20"/>
              </w:rPr>
            </w:pPr>
          </w:p>
        </w:tc>
        <w:tc>
          <w:tcPr>
            <w:tcW w:w="1170" w:type="dxa"/>
          </w:tcPr>
          <w:p w14:paraId="70EB80CD" w14:textId="77777777" w:rsidR="00157AAA" w:rsidRDefault="00157AAA">
            <w:pPr>
              <w:pStyle w:val="Subtitle2"/>
              <w:spacing w:before="20" w:after="20"/>
              <w:rPr>
                <w:sz w:val="20"/>
              </w:rPr>
            </w:pPr>
          </w:p>
        </w:tc>
        <w:tc>
          <w:tcPr>
            <w:tcW w:w="1080" w:type="dxa"/>
            <w:vMerge w:val="restart"/>
          </w:tcPr>
          <w:p w14:paraId="15B93EF9" w14:textId="77777777" w:rsidR="00157AAA" w:rsidRDefault="00157AAA">
            <w:pPr>
              <w:pStyle w:val="Subtitle2"/>
              <w:spacing w:before="20" w:after="20"/>
              <w:rPr>
                <w:sz w:val="20"/>
              </w:rPr>
            </w:pPr>
          </w:p>
        </w:tc>
      </w:tr>
      <w:tr w:rsidR="00157AAA" w14:paraId="7A08F2C9" w14:textId="77777777">
        <w:trPr>
          <w:cantSplit/>
          <w:trHeight w:val="440"/>
        </w:trPr>
        <w:tc>
          <w:tcPr>
            <w:tcW w:w="1600" w:type="dxa"/>
          </w:tcPr>
          <w:p w14:paraId="7C4A6464" w14:textId="77777777" w:rsidR="00157AAA" w:rsidRDefault="006C1BE5">
            <w:pPr>
              <w:pStyle w:val="Subtitle2"/>
              <w:spacing w:before="20" w:after="20"/>
              <w:rPr>
                <w:sz w:val="20"/>
              </w:rPr>
            </w:pPr>
            <w:r>
              <w:rPr>
                <w:sz w:val="20"/>
              </w:rPr>
              <w:t>Profits Before Taxes (PBT)</w:t>
            </w:r>
          </w:p>
        </w:tc>
        <w:tc>
          <w:tcPr>
            <w:tcW w:w="1010" w:type="dxa"/>
          </w:tcPr>
          <w:p w14:paraId="4CFA3A0D" w14:textId="77777777" w:rsidR="00157AAA" w:rsidRDefault="00157AAA">
            <w:pPr>
              <w:pStyle w:val="Subtitle2"/>
              <w:spacing w:before="20" w:after="20"/>
              <w:rPr>
                <w:sz w:val="20"/>
              </w:rPr>
            </w:pPr>
          </w:p>
        </w:tc>
        <w:tc>
          <w:tcPr>
            <w:tcW w:w="990" w:type="dxa"/>
          </w:tcPr>
          <w:p w14:paraId="3691E9F4" w14:textId="77777777" w:rsidR="00157AAA" w:rsidRDefault="00157AAA">
            <w:pPr>
              <w:pStyle w:val="Subtitle2"/>
              <w:spacing w:before="20" w:after="20"/>
              <w:rPr>
                <w:sz w:val="20"/>
              </w:rPr>
            </w:pPr>
          </w:p>
        </w:tc>
        <w:tc>
          <w:tcPr>
            <w:tcW w:w="990" w:type="dxa"/>
          </w:tcPr>
          <w:p w14:paraId="16C8F854" w14:textId="77777777" w:rsidR="00157AAA" w:rsidRDefault="00157AAA">
            <w:pPr>
              <w:pStyle w:val="Subtitle2"/>
              <w:spacing w:before="20" w:after="20"/>
              <w:rPr>
                <w:sz w:val="20"/>
              </w:rPr>
            </w:pPr>
          </w:p>
        </w:tc>
        <w:tc>
          <w:tcPr>
            <w:tcW w:w="1170" w:type="dxa"/>
          </w:tcPr>
          <w:p w14:paraId="36EB7B51" w14:textId="77777777" w:rsidR="00157AAA" w:rsidRDefault="00157AAA">
            <w:pPr>
              <w:pStyle w:val="Subtitle2"/>
              <w:spacing w:before="20" w:after="20"/>
              <w:rPr>
                <w:sz w:val="20"/>
              </w:rPr>
            </w:pPr>
          </w:p>
        </w:tc>
        <w:tc>
          <w:tcPr>
            <w:tcW w:w="1080" w:type="dxa"/>
          </w:tcPr>
          <w:p w14:paraId="02E6B33D" w14:textId="77777777" w:rsidR="00157AAA" w:rsidRDefault="00157AAA">
            <w:pPr>
              <w:pStyle w:val="Subtitle2"/>
              <w:spacing w:before="20" w:after="20"/>
              <w:rPr>
                <w:sz w:val="20"/>
              </w:rPr>
            </w:pPr>
          </w:p>
        </w:tc>
        <w:tc>
          <w:tcPr>
            <w:tcW w:w="1170" w:type="dxa"/>
          </w:tcPr>
          <w:p w14:paraId="6776D258" w14:textId="77777777" w:rsidR="00157AAA" w:rsidRDefault="00157AAA">
            <w:pPr>
              <w:pStyle w:val="Subtitle2"/>
              <w:spacing w:before="20" w:after="20"/>
              <w:rPr>
                <w:sz w:val="20"/>
              </w:rPr>
            </w:pPr>
          </w:p>
        </w:tc>
        <w:tc>
          <w:tcPr>
            <w:tcW w:w="1080" w:type="dxa"/>
            <w:vMerge/>
          </w:tcPr>
          <w:p w14:paraId="54707A19" w14:textId="77777777" w:rsidR="00157AAA" w:rsidRDefault="00157AAA">
            <w:pPr>
              <w:pStyle w:val="Subtitle2"/>
              <w:spacing w:before="20" w:after="20"/>
              <w:rPr>
                <w:sz w:val="20"/>
              </w:rPr>
            </w:pPr>
          </w:p>
        </w:tc>
      </w:tr>
      <w:tr w:rsidR="00157AAA" w14:paraId="593AAAC4" w14:textId="77777777">
        <w:trPr>
          <w:cantSplit/>
        </w:trPr>
        <w:tc>
          <w:tcPr>
            <w:tcW w:w="9090" w:type="dxa"/>
            <w:gridSpan w:val="8"/>
          </w:tcPr>
          <w:p w14:paraId="445703D4" w14:textId="77777777" w:rsidR="00157AAA" w:rsidRDefault="00157AAA">
            <w:pPr>
              <w:pStyle w:val="Subtitle2"/>
              <w:rPr>
                <w:sz w:val="20"/>
              </w:rPr>
            </w:pPr>
          </w:p>
        </w:tc>
      </w:tr>
    </w:tbl>
    <w:p w14:paraId="71DFCD01" w14:textId="77777777" w:rsidR="00157AAA" w:rsidRDefault="006C1BE5" w:rsidP="000D3312">
      <w:pPr>
        <w:spacing w:before="120"/>
      </w:pPr>
      <w:r>
        <w:t>Attached are copies of financial statements (balance sheets, including all related notes, and income statements) for the years required above complying with the following conditions:</w:t>
      </w:r>
    </w:p>
    <w:p w14:paraId="31C882DF" w14:textId="77777777" w:rsidR="00157AAA" w:rsidRDefault="006C1BE5" w:rsidP="00D530D5">
      <w:pPr>
        <w:pStyle w:val="ListParagraph"/>
        <w:numPr>
          <w:ilvl w:val="0"/>
          <w:numId w:val="22"/>
        </w:numPr>
      </w:pPr>
      <w:r>
        <w:t xml:space="preserve">Must reflect the financial situation of the Bidder or member to a JV, and not sister or parent </w:t>
      </w:r>
      <w:proofErr w:type="gramStart"/>
      <w:r>
        <w:t>companies</w:t>
      </w:r>
      <w:proofErr w:type="gramEnd"/>
    </w:p>
    <w:p w14:paraId="745160E0" w14:textId="77777777" w:rsidR="00157AAA" w:rsidRDefault="006C1BE5" w:rsidP="00D530D5">
      <w:pPr>
        <w:pStyle w:val="ListParagraph"/>
        <w:numPr>
          <w:ilvl w:val="0"/>
          <w:numId w:val="22"/>
        </w:numPr>
      </w:pPr>
      <w:r>
        <w:t xml:space="preserve">Historic financial statements must be audited by a certified </w:t>
      </w:r>
      <w:proofErr w:type="gramStart"/>
      <w:r>
        <w:t>accountant</w:t>
      </w:r>
      <w:proofErr w:type="gramEnd"/>
    </w:p>
    <w:p w14:paraId="70FE7698" w14:textId="77777777" w:rsidR="00157AAA" w:rsidRDefault="006C1BE5" w:rsidP="00D530D5">
      <w:pPr>
        <w:pStyle w:val="ListParagraph"/>
        <w:numPr>
          <w:ilvl w:val="0"/>
          <w:numId w:val="22"/>
        </w:numPr>
      </w:pPr>
      <w:r>
        <w:t xml:space="preserve">Historic financial statements must be complete, including all notes to the financial </w:t>
      </w:r>
      <w:proofErr w:type="gramStart"/>
      <w:r>
        <w:t>statements</w:t>
      </w:r>
      <w:proofErr w:type="gramEnd"/>
    </w:p>
    <w:p w14:paraId="6D18A3EC" w14:textId="77777777" w:rsidR="00157AAA" w:rsidRDefault="006C1BE5" w:rsidP="00D530D5">
      <w:pPr>
        <w:pStyle w:val="ListParagraph"/>
        <w:numPr>
          <w:ilvl w:val="0"/>
          <w:numId w:val="22"/>
        </w:numPr>
      </w:pPr>
      <w:r>
        <w:t xml:space="preserve">Historic financial statements must correspond to accounting periods already completed and audited (no statements for partial periods shall be requested or accepted)  </w:t>
      </w:r>
    </w:p>
    <w:p w14:paraId="65557491" w14:textId="77777777" w:rsidR="00157AAA" w:rsidRDefault="006C1BE5">
      <w:pPr>
        <w:pStyle w:val="S4-header1"/>
      </w:pPr>
      <w:r>
        <w:rPr>
          <w:b w:val="0"/>
        </w:rPr>
        <w:br w:type="page" w:clear="all"/>
      </w:r>
      <w:bookmarkStart w:id="613" w:name="_Toc163506169"/>
      <w:r>
        <w:rPr>
          <w:smallCaps/>
        </w:rPr>
        <w:lastRenderedPageBreak/>
        <w:t>Form FIN – 5.3.2- Average Annual Turnover</w:t>
      </w:r>
      <w:bookmarkEnd w:id="613"/>
    </w:p>
    <w:p w14:paraId="1A65C4CE" w14:textId="77777777" w:rsidR="00157AAA" w:rsidRDefault="006C1BE5">
      <w:pPr>
        <w:jc w:val="center"/>
        <w:rPr>
          <w:b/>
          <w:bCs/>
          <w:i/>
        </w:rPr>
      </w:pPr>
      <w:r>
        <w:rPr>
          <w:b/>
          <w:bCs/>
          <w:i/>
        </w:rPr>
        <w:t>[To be completed by the Bidder and, if JV, by each member]</w:t>
      </w:r>
    </w:p>
    <w:p w14:paraId="4D3BDC6A"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0C83B696"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3400576F"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0C2706FB"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504393DD" w14:textId="77777777" w:rsidR="00157AAA" w:rsidRDefault="006C1BE5">
      <w:pPr>
        <w:tabs>
          <w:tab w:val="right" w:pos="8640"/>
        </w:tabs>
      </w:pPr>
      <w:r>
        <w:t xml:space="preserve">   </w:t>
      </w:r>
      <w:r>
        <w:tab/>
        <w:t>Page _______ of _______ pages</w:t>
      </w:r>
    </w:p>
    <w:p w14:paraId="4B8C6677" w14:textId="77777777" w:rsidR="00157AAA" w:rsidRDefault="00157AAA">
      <w:pPr>
        <w:rPr>
          <w:spacing w:val="-2"/>
        </w:rPr>
      </w:pPr>
    </w:p>
    <w:tbl>
      <w:tblPr>
        <w:tblW w:w="8640" w:type="dxa"/>
        <w:jc w:val="center"/>
        <w:tblLayout w:type="fixed"/>
        <w:tblCellMar>
          <w:left w:w="72" w:type="dxa"/>
          <w:right w:w="72" w:type="dxa"/>
        </w:tblCellMar>
        <w:tblLook w:val="0000" w:firstRow="0" w:lastRow="0" w:firstColumn="0" w:lastColumn="0" w:noHBand="0" w:noVBand="0"/>
      </w:tblPr>
      <w:tblGrid>
        <w:gridCol w:w="1399"/>
        <w:gridCol w:w="4807"/>
        <w:gridCol w:w="2434"/>
      </w:tblGrid>
      <w:tr w:rsidR="00157AAA" w14:paraId="191A6649" w14:textId="77777777">
        <w:trPr>
          <w:cantSplit/>
          <w:jc w:val="center"/>
        </w:trPr>
        <w:tc>
          <w:tcPr>
            <w:tcW w:w="9270" w:type="dxa"/>
            <w:gridSpan w:val="3"/>
            <w:tcBorders>
              <w:top w:val="single" w:sz="6" w:space="0" w:color="auto"/>
              <w:left w:val="single" w:sz="6" w:space="0" w:color="auto"/>
              <w:bottom w:val="single" w:sz="6" w:space="0" w:color="auto"/>
              <w:right w:val="single" w:sz="6" w:space="0" w:color="auto"/>
            </w:tcBorders>
          </w:tcPr>
          <w:p w14:paraId="6443D39F" w14:textId="77777777" w:rsidR="00157AAA" w:rsidRDefault="006C1BE5">
            <w:pPr>
              <w:pStyle w:val="BodyText"/>
              <w:jc w:val="center"/>
              <w:rPr>
                <w:b/>
              </w:rPr>
            </w:pPr>
            <w:r>
              <w:rPr>
                <w:b/>
              </w:rPr>
              <w:t xml:space="preserve">Annual turnover </w:t>
            </w:r>
            <w:proofErr w:type="gramStart"/>
            <w:r>
              <w:rPr>
                <w:b/>
              </w:rPr>
              <w:t>data  (</w:t>
            </w:r>
            <w:proofErr w:type="gramEnd"/>
            <w:r>
              <w:rPr>
                <w:b/>
              </w:rPr>
              <w:t>applicable activities only)</w:t>
            </w:r>
          </w:p>
        </w:tc>
      </w:tr>
      <w:tr w:rsidR="00157AAA" w14:paraId="2363E182" w14:textId="77777777">
        <w:trPr>
          <w:cantSplit/>
          <w:jc w:val="center"/>
        </w:trPr>
        <w:tc>
          <w:tcPr>
            <w:tcW w:w="1494" w:type="dxa"/>
            <w:tcBorders>
              <w:top w:val="single" w:sz="6" w:space="0" w:color="auto"/>
              <w:left w:val="single" w:sz="6" w:space="0" w:color="auto"/>
            </w:tcBorders>
          </w:tcPr>
          <w:p w14:paraId="24D2CB19" w14:textId="77777777" w:rsidR="00157AAA" w:rsidRDefault="006C1BE5">
            <w:pPr>
              <w:pStyle w:val="BodyText"/>
              <w:jc w:val="center"/>
            </w:pPr>
            <w:r>
              <w:t>Year</w:t>
            </w:r>
          </w:p>
        </w:tc>
        <w:tc>
          <w:tcPr>
            <w:tcW w:w="5166" w:type="dxa"/>
            <w:tcBorders>
              <w:top w:val="single" w:sz="6" w:space="0" w:color="auto"/>
              <w:left w:val="single" w:sz="6" w:space="0" w:color="auto"/>
            </w:tcBorders>
          </w:tcPr>
          <w:p w14:paraId="45C649FC" w14:textId="77777777" w:rsidR="00157AAA" w:rsidRDefault="006C1BE5">
            <w:pPr>
              <w:pStyle w:val="BodyText"/>
              <w:jc w:val="center"/>
            </w:pPr>
            <w:r>
              <w:t>Amount and Currency</w:t>
            </w:r>
          </w:p>
        </w:tc>
        <w:tc>
          <w:tcPr>
            <w:tcW w:w="2610" w:type="dxa"/>
            <w:tcBorders>
              <w:top w:val="single" w:sz="6" w:space="0" w:color="auto"/>
              <w:left w:val="single" w:sz="6" w:space="0" w:color="auto"/>
              <w:right w:val="single" w:sz="6" w:space="0" w:color="auto"/>
            </w:tcBorders>
          </w:tcPr>
          <w:p w14:paraId="63112276" w14:textId="77777777" w:rsidR="00157AAA" w:rsidRDefault="006C1BE5">
            <w:pPr>
              <w:pStyle w:val="BodyText"/>
              <w:jc w:val="center"/>
            </w:pPr>
            <w:r>
              <w:t>US$ equivalent</w:t>
            </w:r>
          </w:p>
        </w:tc>
      </w:tr>
      <w:tr w:rsidR="00157AAA" w14:paraId="7429C190" w14:textId="77777777">
        <w:trPr>
          <w:cantSplit/>
          <w:jc w:val="center"/>
        </w:trPr>
        <w:tc>
          <w:tcPr>
            <w:tcW w:w="1494" w:type="dxa"/>
            <w:tcBorders>
              <w:top w:val="single" w:sz="6" w:space="0" w:color="auto"/>
              <w:left w:val="single" w:sz="6" w:space="0" w:color="auto"/>
            </w:tcBorders>
          </w:tcPr>
          <w:p w14:paraId="49CF0D7F"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27458FBD"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32A80DE4"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09D092C7" w14:textId="77777777">
        <w:trPr>
          <w:cantSplit/>
          <w:jc w:val="center"/>
        </w:trPr>
        <w:tc>
          <w:tcPr>
            <w:tcW w:w="1494" w:type="dxa"/>
            <w:tcBorders>
              <w:top w:val="single" w:sz="6" w:space="0" w:color="auto"/>
              <w:left w:val="single" w:sz="6" w:space="0" w:color="auto"/>
            </w:tcBorders>
          </w:tcPr>
          <w:p w14:paraId="00F39412"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1B84399A"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3AA2923A"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7DE5CE01" w14:textId="77777777">
        <w:trPr>
          <w:cantSplit/>
          <w:jc w:val="center"/>
        </w:trPr>
        <w:tc>
          <w:tcPr>
            <w:tcW w:w="1494" w:type="dxa"/>
            <w:tcBorders>
              <w:top w:val="single" w:sz="6" w:space="0" w:color="auto"/>
              <w:left w:val="single" w:sz="6" w:space="0" w:color="auto"/>
            </w:tcBorders>
          </w:tcPr>
          <w:p w14:paraId="219B940B"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688B22DD"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3CC57351"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4311240E" w14:textId="77777777">
        <w:trPr>
          <w:cantSplit/>
          <w:jc w:val="center"/>
        </w:trPr>
        <w:tc>
          <w:tcPr>
            <w:tcW w:w="1494" w:type="dxa"/>
            <w:tcBorders>
              <w:top w:val="single" w:sz="6" w:space="0" w:color="auto"/>
              <w:left w:val="single" w:sz="6" w:space="0" w:color="auto"/>
            </w:tcBorders>
          </w:tcPr>
          <w:p w14:paraId="741CE58F"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139FA00E"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6DCBEB5C"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1EF42839" w14:textId="77777777">
        <w:trPr>
          <w:cantSplit/>
          <w:jc w:val="center"/>
        </w:trPr>
        <w:tc>
          <w:tcPr>
            <w:tcW w:w="1494" w:type="dxa"/>
            <w:tcBorders>
              <w:top w:val="single" w:sz="6" w:space="0" w:color="auto"/>
              <w:left w:val="single" w:sz="6" w:space="0" w:color="auto"/>
            </w:tcBorders>
          </w:tcPr>
          <w:p w14:paraId="03A0FBD7"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51EA16E9"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1C7DBE24"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5DB8E93A" w14:textId="77777777">
        <w:trPr>
          <w:cantSplit/>
          <w:jc w:val="center"/>
        </w:trPr>
        <w:tc>
          <w:tcPr>
            <w:tcW w:w="1494" w:type="dxa"/>
            <w:tcBorders>
              <w:top w:val="single" w:sz="6" w:space="0" w:color="auto"/>
              <w:left w:val="single" w:sz="6" w:space="0" w:color="auto"/>
            </w:tcBorders>
          </w:tcPr>
          <w:p w14:paraId="17B7CE94" w14:textId="77777777" w:rsidR="00157AAA" w:rsidRDefault="006C1BE5">
            <w:pPr>
              <w:pStyle w:val="BodyText"/>
              <w:rPr>
                <w:i/>
                <w:sz w:val="20"/>
              </w:rPr>
            </w:pPr>
            <w:r>
              <w:rPr>
                <w:i/>
                <w:sz w:val="20"/>
              </w:rPr>
              <w:t xml:space="preserve">[insert </w:t>
            </w:r>
            <w:r>
              <w:rPr>
                <w:b/>
                <w:i/>
                <w:sz w:val="20"/>
              </w:rPr>
              <w:t>year</w:t>
            </w:r>
            <w:r>
              <w:rPr>
                <w:i/>
                <w:sz w:val="20"/>
              </w:rPr>
              <w:t>]</w:t>
            </w:r>
          </w:p>
        </w:tc>
        <w:tc>
          <w:tcPr>
            <w:tcW w:w="5166" w:type="dxa"/>
            <w:tcBorders>
              <w:top w:val="single" w:sz="6" w:space="0" w:color="auto"/>
              <w:left w:val="single" w:sz="6" w:space="0" w:color="auto"/>
            </w:tcBorders>
          </w:tcPr>
          <w:p w14:paraId="017CBC44" w14:textId="77777777" w:rsidR="00157AAA" w:rsidRDefault="006C1BE5">
            <w:pPr>
              <w:pStyle w:val="BodyText"/>
              <w:spacing w:before="60" w:after="60"/>
              <w:rPr>
                <w:i/>
                <w:sz w:val="20"/>
              </w:rPr>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right w:val="single" w:sz="6" w:space="0" w:color="auto"/>
            </w:tcBorders>
          </w:tcPr>
          <w:p w14:paraId="294F2E88" w14:textId="77777777" w:rsidR="00157AAA" w:rsidRDefault="006C1BE5">
            <w:pPr>
              <w:pStyle w:val="BodyText"/>
              <w:spacing w:before="60" w:after="60"/>
              <w:rPr>
                <w:sz w:val="20"/>
              </w:rPr>
            </w:pPr>
            <w:r>
              <w:rPr>
                <w:i/>
                <w:sz w:val="20"/>
              </w:rPr>
              <w:t xml:space="preserve">[insert </w:t>
            </w:r>
            <w:r>
              <w:rPr>
                <w:b/>
                <w:i/>
                <w:sz w:val="20"/>
              </w:rPr>
              <w:t>amount in USD equivalent and exchange rate</w:t>
            </w:r>
            <w:r>
              <w:rPr>
                <w:i/>
                <w:sz w:val="20"/>
              </w:rPr>
              <w:t>]</w:t>
            </w:r>
          </w:p>
        </w:tc>
      </w:tr>
      <w:tr w:rsidR="00157AAA" w14:paraId="68ECE3B7" w14:textId="77777777">
        <w:trPr>
          <w:cantSplit/>
          <w:jc w:val="center"/>
        </w:trPr>
        <w:tc>
          <w:tcPr>
            <w:tcW w:w="1494" w:type="dxa"/>
            <w:tcBorders>
              <w:top w:val="single" w:sz="6" w:space="0" w:color="auto"/>
              <w:left w:val="single" w:sz="6" w:space="0" w:color="auto"/>
              <w:bottom w:val="single" w:sz="6" w:space="0" w:color="auto"/>
            </w:tcBorders>
          </w:tcPr>
          <w:p w14:paraId="19D848E7" w14:textId="77777777" w:rsidR="00157AAA" w:rsidRDefault="006C1BE5">
            <w:pPr>
              <w:pStyle w:val="BodyText"/>
              <w:spacing w:before="40" w:after="40"/>
              <w:jc w:val="left"/>
            </w:pPr>
            <w:r>
              <w:t>*Average Annual Turnover</w:t>
            </w:r>
          </w:p>
        </w:tc>
        <w:tc>
          <w:tcPr>
            <w:tcW w:w="5166" w:type="dxa"/>
            <w:tcBorders>
              <w:top w:val="single" w:sz="6" w:space="0" w:color="auto"/>
              <w:left w:val="single" w:sz="6" w:space="0" w:color="auto"/>
              <w:bottom w:val="single" w:sz="6" w:space="0" w:color="auto"/>
            </w:tcBorders>
          </w:tcPr>
          <w:p w14:paraId="1971743A" w14:textId="77777777" w:rsidR="00157AAA" w:rsidRDefault="006C1BE5">
            <w:pPr>
              <w:pStyle w:val="BodyText"/>
              <w:spacing w:before="60" w:after="60"/>
            </w:pPr>
            <w:r>
              <w:rPr>
                <w:sz w:val="20"/>
              </w:rPr>
              <w:t xml:space="preserve"> </w:t>
            </w:r>
            <w:r>
              <w:rPr>
                <w:i/>
                <w:sz w:val="20"/>
              </w:rPr>
              <w:t xml:space="preserve">[insert </w:t>
            </w:r>
            <w:r>
              <w:rPr>
                <w:b/>
                <w:i/>
                <w:sz w:val="20"/>
              </w:rPr>
              <w:t>amount and currency</w:t>
            </w:r>
            <w:r>
              <w:rPr>
                <w:i/>
                <w:sz w:val="20"/>
              </w:rPr>
              <w:t>]</w:t>
            </w:r>
          </w:p>
        </w:tc>
        <w:tc>
          <w:tcPr>
            <w:tcW w:w="2610" w:type="dxa"/>
            <w:tcBorders>
              <w:top w:val="single" w:sz="6" w:space="0" w:color="auto"/>
              <w:left w:val="single" w:sz="6" w:space="0" w:color="auto"/>
              <w:bottom w:val="single" w:sz="6" w:space="0" w:color="auto"/>
              <w:right w:val="single" w:sz="6" w:space="0" w:color="auto"/>
            </w:tcBorders>
          </w:tcPr>
          <w:p w14:paraId="3084924A" w14:textId="77777777" w:rsidR="00157AAA" w:rsidRDefault="006C1BE5">
            <w:pPr>
              <w:pStyle w:val="BodyText"/>
              <w:spacing w:before="60" w:after="60"/>
            </w:pPr>
            <w:r>
              <w:rPr>
                <w:i/>
                <w:sz w:val="20"/>
              </w:rPr>
              <w:t xml:space="preserve">[insert </w:t>
            </w:r>
            <w:r>
              <w:rPr>
                <w:b/>
                <w:i/>
                <w:sz w:val="20"/>
              </w:rPr>
              <w:t>amount in USD equivalent and exchange rate</w:t>
            </w:r>
            <w:r>
              <w:rPr>
                <w:i/>
                <w:sz w:val="20"/>
              </w:rPr>
              <w:t>]</w:t>
            </w:r>
          </w:p>
        </w:tc>
      </w:tr>
    </w:tbl>
    <w:p w14:paraId="62E8E495" w14:textId="77777777" w:rsidR="00157AAA" w:rsidRDefault="006C1BE5">
      <w:r>
        <w:t>*Average annual turnover calculated as total certified payments received for work in progress or completed, divided by the number of years specified in Section III, Evaluation and Qualification Criteria, Sub-Factor 5.3.2.</w:t>
      </w:r>
    </w:p>
    <w:p w14:paraId="1B9600B2" w14:textId="77777777" w:rsidR="00157AAA" w:rsidRDefault="00157AAA">
      <w:pPr>
        <w:pStyle w:val="Subtitle"/>
        <w:jc w:val="left"/>
        <w:rPr>
          <w:b w:val="0"/>
          <w:sz w:val="24"/>
        </w:rPr>
      </w:pPr>
    </w:p>
    <w:p w14:paraId="64A57AF6" w14:textId="77777777" w:rsidR="00157AAA" w:rsidRDefault="006C1BE5">
      <w:pPr>
        <w:pStyle w:val="S4-header1"/>
        <w:rPr>
          <w:rStyle w:val="Table"/>
          <w:rFonts w:ascii="Times New Roman" w:hAnsi="Times New Roman"/>
          <w:sz w:val="24"/>
        </w:rPr>
      </w:pPr>
      <w:r>
        <w:rPr>
          <w:sz w:val="28"/>
        </w:rPr>
        <w:br w:type="page" w:clear="all"/>
      </w:r>
      <w:bookmarkStart w:id="614" w:name="_Toc163506170"/>
      <w:r>
        <w:rPr>
          <w:smallCaps/>
        </w:rPr>
        <w:lastRenderedPageBreak/>
        <w:t>Form FIN 5.3.3- Financial Resources</w:t>
      </w:r>
      <w:bookmarkEnd w:id="614"/>
      <w:r>
        <w:rPr>
          <w:rStyle w:val="Table"/>
          <w:rFonts w:ascii="Times New Roman" w:hAnsi="Times New Roman"/>
          <w:spacing w:val="-2"/>
          <w:sz w:val="22"/>
        </w:rPr>
        <w:t xml:space="preserve"> </w:t>
      </w:r>
    </w:p>
    <w:p w14:paraId="3B6B2874" w14:textId="77777777" w:rsidR="00157AAA" w:rsidRDefault="00157AAA">
      <w:pPr>
        <w:rPr>
          <w:rStyle w:val="Table"/>
          <w:rFonts w:ascii="Times New Roman" w:hAnsi="Times New Roman"/>
          <w:spacing w:val="-2"/>
          <w:sz w:val="22"/>
        </w:rPr>
      </w:pPr>
    </w:p>
    <w:p w14:paraId="18FBB200" w14:textId="77777777" w:rsidR="00157AAA" w:rsidRDefault="006C1BE5">
      <w:pPr>
        <w:jc w:val="center"/>
        <w:rPr>
          <w:i/>
        </w:rPr>
      </w:pPr>
      <w:r>
        <w:rPr>
          <w:i/>
        </w:rPr>
        <w:t>To be completed by the Bidder and, if JV, by each member</w:t>
      </w:r>
    </w:p>
    <w:p w14:paraId="0AE864E6"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10737631"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3889F6D7"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1FCF630F"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7217FED4" w14:textId="77777777" w:rsidR="00157AAA" w:rsidRDefault="006C1BE5">
      <w:pPr>
        <w:tabs>
          <w:tab w:val="right" w:pos="8640"/>
        </w:tabs>
      </w:pPr>
      <w:r>
        <w:t xml:space="preserve">   </w:t>
      </w:r>
      <w:r>
        <w:tab/>
        <w:t>Page _______ of _______ pages</w:t>
      </w:r>
    </w:p>
    <w:p w14:paraId="1D97F6B1" w14:textId="77777777" w:rsidR="00157AAA" w:rsidRDefault="006C1BE5">
      <w:pPr>
        <w:spacing w:after="180"/>
        <w:rPr>
          <w:rStyle w:val="Table"/>
          <w:rFonts w:ascii="Times New Roman" w:hAnsi="Times New Roman"/>
          <w:spacing w:val="-2"/>
          <w:sz w:val="24"/>
        </w:rPr>
      </w:pPr>
      <w:r>
        <w:rPr>
          <w:rStyle w:val="Table"/>
          <w:rFonts w:ascii="Times New Roman" w:hAnsi="Times New Roman"/>
          <w:spacing w:val="-2"/>
          <w:sz w:val="24"/>
        </w:rPr>
        <w:t>Specify proposed sources of financing, such as liquid assets, unencumbered real assets, lines of credit, and other financial means, net of current commitments, available to meet the total cash flow demands of the subject contract or contracts as indicated in Section III, Evaluation and Qualification Criteria</w:t>
      </w:r>
    </w:p>
    <w:p w14:paraId="69DF9886" w14:textId="77777777" w:rsidR="00157AAA" w:rsidRDefault="00157AAA">
      <w:pPr>
        <w:spacing w:after="180"/>
        <w:rPr>
          <w:rStyle w:val="Table"/>
          <w:rFonts w:ascii="Times New Roman" w:hAnsi="Times New Roman"/>
          <w:spacing w:val="-2"/>
          <w:sz w:val="24"/>
        </w:rPr>
      </w:pPr>
    </w:p>
    <w:tbl>
      <w:tblPr>
        <w:tblW w:w="8640" w:type="dxa"/>
        <w:tblInd w:w="72" w:type="dxa"/>
        <w:tblLayout w:type="fixed"/>
        <w:tblCellMar>
          <w:left w:w="72" w:type="dxa"/>
          <w:right w:w="72" w:type="dxa"/>
        </w:tblCellMar>
        <w:tblLook w:val="0000" w:firstRow="0" w:lastRow="0" w:firstColumn="0" w:lastColumn="0" w:noHBand="0" w:noVBand="0"/>
      </w:tblPr>
      <w:tblGrid>
        <w:gridCol w:w="5985"/>
        <w:gridCol w:w="2655"/>
      </w:tblGrid>
      <w:tr w:rsidR="00157AAA" w14:paraId="241ECC84" w14:textId="77777777">
        <w:trPr>
          <w:cantSplit/>
        </w:trPr>
        <w:tc>
          <w:tcPr>
            <w:tcW w:w="6300" w:type="dxa"/>
            <w:tcBorders>
              <w:top w:val="single" w:sz="6" w:space="0" w:color="auto"/>
              <w:left w:val="single" w:sz="6" w:space="0" w:color="auto"/>
            </w:tcBorders>
          </w:tcPr>
          <w:p w14:paraId="41EB3DAC" w14:textId="77777777" w:rsidR="00157AAA" w:rsidRDefault="006C1BE5">
            <w:pPr>
              <w:spacing w:after="71"/>
              <w:jc w:val="center"/>
              <w:rPr>
                <w:rStyle w:val="Table"/>
                <w:rFonts w:ascii="Times New Roman" w:hAnsi="Times New Roman"/>
                <w:b/>
                <w:spacing w:val="-2"/>
              </w:rPr>
            </w:pPr>
            <w:r>
              <w:rPr>
                <w:rStyle w:val="Table"/>
                <w:rFonts w:ascii="Times New Roman" w:hAnsi="Times New Roman"/>
                <w:b/>
                <w:spacing w:val="-2"/>
              </w:rPr>
              <w:t>Source of financing</w:t>
            </w:r>
          </w:p>
        </w:tc>
        <w:tc>
          <w:tcPr>
            <w:tcW w:w="2790" w:type="dxa"/>
            <w:tcBorders>
              <w:top w:val="single" w:sz="6" w:space="0" w:color="auto"/>
              <w:left w:val="single" w:sz="6" w:space="0" w:color="auto"/>
              <w:right w:val="single" w:sz="6" w:space="0" w:color="auto"/>
            </w:tcBorders>
          </w:tcPr>
          <w:p w14:paraId="78A9C606" w14:textId="77777777" w:rsidR="00157AAA" w:rsidRDefault="006C1BE5">
            <w:pPr>
              <w:spacing w:after="71"/>
              <w:jc w:val="center"/>
              <w:rPr>
                <w:rStyle w:val="Table"/>
                <w:rFonts w:ascii="Times New Roman" w:hAnsi="Times New Roman"/>
                <w:b/>
                <w:spacing w:val="-2"/>
              </w:rPr>
            </w:pPr>
            <w:r>
              <w:rPr>
                <w:rStyle w:val="Table"/>
                <w:rFonts w:ascii="Times New Roman" w:hAnsi="Times New Roman"/>
                <w:b/>
                <w:spacing w:val="-2"/>
              </w:rPr>
              <w:t>Amount (US$ equivalent)</w:t>
            </w:r>
          </w:p>
        </w:tc>
      </w:tr>
      <w:tr w:rsidR="00157AAA" w14:paraId="40D36B5E" w14:textId="77777777">
        <w:trPr>
          <w:cantSplit/>
        </w:trPr>
        <w:tc>
          <w:tcPr>
            <w:tcW w:w="6300" w:type="dxa"/>
            <w:tcBorders>
              <w:top w:val="single" w:sz="6" w:space="0" w:color="auto"/>
              <w:left w:val="single" w:sz="6" w:space="0" w:color="auto"/>
            </w:tcBorders>
          </w:tcPr>
          <w:p w14:paraId="4C98B301" w14:textId="77777777" w:rsidR="00157AAA" w:rsidRDefault="006C1BE5">
            <w:pPr>
              <w:rPr>
                <w:rStyle w:val="Table"/>
                <w:rFonts w:ascii="Times New Roman" w:hAnsi="Times New Roman"/>
                <w:b/>
                <w:i/>
                <w:spacing w:val="-2"/>
                <w:sz w:val="22"/>
              </w:rPr>
            </w:pPr>
            <w:proofErr w:type="gramStart"/>
            <w:r>
              <w:rPr>
                <w:rStyle w:val="Table"/>
                <w:rFonts w:ascii="Times New Roman" w:hAnsi="Times New Roman"/>
                <w:spacing w:val="-2"/>
                <w:sz w:val="22"/>
              </w:rPr>
              <w:t xml:space="preserve">1.  </w:t>
            </w:r>
            <w:r>
              <w:rPr>
                <w:rStyle w:val="Table"/>
                <w:rFonts w:ascii="Times New Roman" w:hAnsi="Times New Roman"/>
                <w:i/>
                <w:spacing w:val="-2"/>
                <w:sz w:val="22"/>
              </w:rPr>
              <w:t>[</w:t>
            </w:r>
            <w:proofErr w:type="gramEnd"/>
            <w:r>
              <w:rPr>
                <w:rStyle w:val="Table"/>
                <w:rFonts w:ascii="Times New Roman" w:hAnsi="Times New Roman"/>
                <w:i/>
                <w:spacing w:val="-2"/>
                <w:sz w:val="22"/>
              </w:rPr>
              <w:t xml:space="preserve">describe </w:t>
            </w:r>
            <w:r>
              <w:rPr>
                <w:rStyle w:val="Table"/>
                <w:rFonts w:ascii="Times New Roman" w:hAnsi="Times New Roman"/>
                <w:b/>
                <w:i/>
                <w:spacing w:val="-2"/>
                <w:sz w:val="22"/>
              </w:rPr>
              <w:t>type and source of available financing</w:t>
            </w:r>
            <w:r>
              <w:rPr>
                <w:rStyle w:val="Table"/>
                <w:rFonts w:ascii="Times New Roman" w:hAnsi="Times New Roman"/>
                <w:i/>
                <w:spacing w:val="-2"/>
                <w:sz w:val="22"/>
              </w:rPr>
              <w:t>]</w:t>
            </w:r>
          </w:p>
          <w:p w14:paraId="1917F90B" w14:textId="77777777" w:rsidR="00157AAA" w:rsidRDefault="00157AAA">
            <w:pPr>
              <w:spacing w:after="71"/>
              <w:rPr>
                <w:rStyle w:val="Table"/>
                <w:rFonts w:ascii="Times New Roman" w:hAnsi="Times New Roman"/>
                <w:spacing w:val="-2"/>
                <w:sz w:val="22"/>
              </w:rPr>
            </w:pPr>
          </w:p>
        </w:tc>
        <w:tc>
          <w:tcPr>
            <w:tcW w:w="2790" w:type="dxa"/>
            <w:tcBorders>
              <w:top w:val="single" w:sz="6" w:space="0" w:color="auto"/>
              <w:left w:val="single" w:sz="6" w:space="0" w:color="auto"/>
              <w:right w:val="single" w:sz="6" w:space="0" w:color="auto"/>
            </w:tcBorders>
          </w:tcPr>
          <w:p w14:paraId="47B9E001" w14:textId="77777777" w:rsidR="00157AAA" w:rsidRDefault="006C1BE5">
            <w:pPr>
              <w:spacing w:after="71"/>
              <w:rPr>
                <w:rStyle w:val="Table"/>
                <w:rFonts w:ascii="Times New Roman" w:hAnsi="Times New Roman"/>
                <w:i/>
                <w:spacing w:val="-2"/>
                <w:sz w:val="22"/>
              </w:rPr>
            </w:pPr>
            <w:r>
              <w:rPr>
                <w:rStyle w:val="Table"/>
                <w:rFonts w:ascii="Times New Roman" w:hAnsi="Times New Roman"/>
                <w:i/>
                <w:spacing w:val="-2"/>
                <w:sz w:val="22"/>
              </w:rPr>
              <w:t xml:space="preserve">[insert </w:t>
            </w:r>
            <w:r>
              <w:rPr>
                <w:rStyle w:val="Table"/>
                <w:rFonts w:ascii="Times New Roman" w:hAnsi="Times New Roman"/>
                <w:b/>
                <w:i/>
                <w:spacing w:val="-2"/>
                <w:sz w:val="22"/>
              </w:rPr>
              <w:t>amount of available financing in USD equivalent and exchange rate</w:t>
            </w:r>
            <w:r>
              <w:rPr>
                <w:rStyle w:val="Table"/>
                <w:rFonts w:ascii="Times New Roman" w:hAnsi="Times New Roman"/>
                <w:i/>
                <w:spacing w:val="-2"/>
                <w:sz w:val="22"/>
              </w:rPr>
              <w:t>]</w:t>
            </w:r>
          </w:p>
        </w:tc>
      </w:tr>
      <w:tr w:rsidR="00157AAA" w14:paraId="74B81F21" w14:textId="77777777">
        <w:trPr>
          <w:cantSplit/>
        </w:trPr>
        <w:tc>
          <w:tcPr>
            <w:tcW w:w="6300" w:type="dxa"/>
            <w:tcBorders>
              <w:top w:val="single" w:sz="6" w:space="0" w:color="auto"/>
              <w:left w:val="single" w:sz="6" w:space="0" w:color="auto"/>
            </w:tcBorders>
          </w:tcPr>
          <w:p w14:paraId="09CAC94C" w14:textId="77777777" w:rsidR="00157AAA" w:rsidRDefault="006C1BE5">
            <w:pPr>
              <w:rPr>
                <w:rStyle w:val="Table"/>
                <w:rFonts w:ascii="Times New Roman" w:hAnsi="Times New Roman"/>
                <w:b/>
                <w:i/>
                <w:spacing w:val="-2"/>
                <w:sz w:val="22"/>
              </w:rPr>
            </w:pPr>
            <w:proofErr w:type="gramStart"/>
            <w:r>
              <w:rPr>
                <w:rStyle w:val="Table"/>
                <w:rFonts w:ascii="Times New Roman" w:hAnsi="Times New Roman"/>
                <w:spacing w:val="-2"/>
                <w:sz w:val="22"/>
              </w:rPr>
              <w:t xml:space="preserve">2.  </w:t>
            </w:r>
            <w:r>
              <w:rPr>
                <w:rStyle w:val="Table"/>
                <w:rFonts w:ascii="Times New Roman" w:hAnsi="Times New Roman"/>
                <w:i/>
                <w:spacing w:val="-2"/>
                <w:sz w:val="22"/>
              </w:rPr>
              <w:t>[</w:t>
            </w:r>
            <w:proofErr w:type="gramEnd"/>
            <w:r>
              <w:rPr>
                <w:rStyle w:val="Table"/>
                <w:rFonts w:ascii="Times New Roman" w:hAnsi="Times New Roman"/>
                <w:i/>
                <w:spacing w:val="-2"/>
                <w:sz w:val="22"/>
              </w:rPr>
              <w:t xml:space="preserve">describe </w:t>
            </w:r>
            <w:r>
              <w:rPr>
                <w:rStyle w:val="Table"/>
                <w:rFonts w:ascii="Times New Roman" w:hAnsi="Times New Roman"/>
                <w:b/>
                <w:i/>
                <w:spacing w:val="-2"/>
                <w:sz w:val="22"/>
              </w:rPr>
              <w:t>type and source of available financing</w:t>
            </w:r>
            <w:r>
              <w:rPr>
                <w:rStyle w:val="Table"/>
                <w:rFonts w:ascii="Times New Roman" w:hAnsi="Times New Roman"/>
                <w:i/>
                <w:spacing w:val="-2"/>
                <w:sz w:val="22"/>
              </w:rPr>
              <w:t>]</w:t>
            </w:r>
          </w:p>
          <w:p w14:paraId="43991B69" w14:textId="77777777" w:rsidR="00157AAA" w:rsidRDefault="00157AAA">
            <w:pPr>
              <w:spacing w:after="71"/>
              <w:rPr>
                <w:rStyle w:val="Table"/>
                <w:rFonts w:ascii="Times New Roman" w:hAnsi="Times New Roman"/>
                <w:spacing w:val="-2"/>
                <w:sz w:val="22"/>
              </w:rPr>
            </w:pPr>
          </w:p>
        </w:tc>
        <w:tc>
          <w:tcPr>
            <w:tcW w:w="2790" w:type="dxa"/>
            <w:tcBorders>
              <w:top w:val="single" w:sz="6" w:space="0" w:color="auto"/>
              <w:left w:val="single" w:sz="6" w:space="0" w:color="auto"/>
              <w:right w:val="single" w:sz="6" w:space="0" w:color="auto"/>
            </w:tcBorders>
          </w:tcPr>
          <w:p w14:paraId="63BD6AD3" w14:textId="77777777" w:rsidR="00157AAA" w:rsidRDefault="006C1BE5">
            <w:pPr>
              <w:spacing w:after="71"/>
              <w:rPr>
                <w:rStyle w:val="Table"/>
                <w:rFonts w:ascii="Times New Roman" w:hAnsi="Times New Roman"/>
                <w:i/>
                <w:spacing w:val="-2"/>
                <w:sz w:val="22"/>
              </w:rPr>
            </w:pPr>
            <w:r>
              <w:rPr>
                <w:rStyle w:val="Table"/>
                <w:rFonts w:ascii="Times New Roman" w:hAnsi="Times New Roman"/>
                <w:i/>
                <w:spacing w:val="-2"/>
                <w:sz w:val="22"/>
              </w:rPr>
              <w:t xml:space="preserve">[insert </w:t>
            </w:r>
            <w:r>
              <w:rPr>
                <w:rStyle w:val="Table"/>
                <w:rFonts w:ascii="Times New Roman" w:hAnsi="Times New Roman"/>
                <w:b/>
                <w:i/>
                <w:spacing w:val="-2"/>
                <w:sz w:val="22"/>
              </w:rPr>
              <w:t>amount of available financing in USD equivalent and exchange rate</w:t>
            </w:r>
            <w:r>
              <w:rPr>
                <w:rStyle w:val="Table"/>
                <w:rFonts w:ascii="Times New Roman" w:hAnsi="Times New Roman"/>
                <w:i/>
                <w:spacing w:val="-2"/>
                <w:sz w:val="22"/>
              </w:rPr>
              <w:t>]</w:t>
            </w:r>
          </w:p>
        </w:tc>
      </w:tr>
      <w:tr w:rsidR="00157AAA" w14:paraId="66924EE4" w14:textId="77777777">
        <w:trPr>
          <w:cantSplit/>
        </w:trPr>
        <w:tc>
          <w:tcPr>
            <w:tcW w:w="6300" w:type="dxa"/>
            <w:tcBorders>
              <w:top w:val="single" w:sz="6" w:space="0" w:color="auto"/>
              <w:left w:val="single" w:sz="6" w:space="0" w:color="auto"/>
              <w:bottom w:val="single" w:sz="6" w:space="0" w:color="auto"/>
            </w:tcBorders>
          </w:tcPr>
          <w:p w14:paraId="568F2634" w14:textId="77777777" w:rsidR="00157AAA" w:rsidRDefault="006C1BE5">
            <w:pPr>
              <w:rPr>
                <w:rStyle w:val="Table"/>
                <w:rFonts w:ascii="Times New Roman" w:hAnsi="Times New Roman"/>
                <w:b/>
                <w:i/>
                <w:spacing w:val="-2"/>
                <w:sz w:val="22"/>
              </w:rPr>
            </w:pPr>
            <w:proofErr w:type="gramStart"/>
            <w:r>
              <w:rPr>
                <w:rStyle w:val="Table"/>
                <w:rFonts w:ascii="Times New Roman" w:hAnsi="Times New Roman"/>
                <w:spacing w:val="-2"/>
                <w:sz w:val="22"/>
              </w:rPr>
              <w:t xml:space="preserve">3.  </w:t>
            </w:r>
            <w:r>
              <w:rPr>
                <w:rStyle w:val="Table"/>
                <w:rFonts w:ascii="Times New Roman" w:hAnsi="Times New Roman"/>
                <w:i/>
                <w:spacing w:val="-2"/>
                <w:sz w:val="22"/>
              </w:rPr>
              <w:t>[</w:t>
            </w:r>
            <w:proofErr w:type="gramEnd"/>
            <w:r>
              <w:rPr>
                <w:rStyle w:val="Table"/>
                <w:rFonts w:ascii="Times New Roman" w:hAnsi="Times New Roman"/>
                <w:i/>
                <w:spacing w:val="-2"/>
                <w:sz w:val="22"/>
              </w:rPr>
              <w:t xml:space="preserve">describe </w:t>
            </w:r>
            <w:r>
              <w:rPr>
                <w:rStyle w:val="Table"/>
                <w:rFonts w:ascii="Times New Roman" w:hAnsi="Times New Roman"/>
                <w:b/>
                <w:i/>
                <w:spacing w:val="-2"/>
                <w:sz w:val="22"/>
              </w:rPr>
              <w:t>type and source of available financing</w:t>
            </w:r>
            <w:r>
              <w:rPr>
                <w:rStyle w:val="Table"/>
                <w:rFonts w:ascii="Times New Roman" w:hAnsi="Times New Roman"/>
                <w:i/>
                <w:spacing w:val="-2"/>
                <w:sz w:val="22"/>
              </w:rPr>
              <w:t>]</w:t>
            </w:r>
          </w:p>
          <w:p w14:paraId="4CB9846A" w14:textId="77777777" w:rsidR="00157AAA" w:rsidRDefault="00157AAA">
            <w:pPr>
              <w:spacing w:after="71"/>
              <w:rPr>
                <w:rStyle w:val="Table"/>
                <w:rFonts w:ascii="Times New Roman" w:hAnsi="Times New Roman"/>
                <w:spacing w:val="-2"/>
                <w:sz w:val="22"/>
              </w:rPr>
            </w:pPr>
          </w:p>
        </w:tc>
        <w:tc>
          <w:tcPr>
            <w:tcW w:w="2790" w:type="dxa"/>
            <w:tcBorders>
              <w:top w:val="single" w:sz="6" w:space="0" w:color="auto"/>
              <w:left w:val="single" w:sz="6" w:space="0" w:color="auto"/>
              <w:bottom w:val="single" w:sz="6" w:space="0" w:color="auto"/>
              <w:right w:val="single" w:sz="6" w:space="0" w:color="auto"/>
            </w:tcBorders>
          </w:tcPr>
          <w:p w14:paraId="0419A317" w14:textId="77777777" w:rsidR="00157AAA" w:rsidRDefault="006C1BE5">
            <w:pPr>
              <w:spacing w:after="71"/>
              <w:rPr>
                <w:rStyle w:val="Table"/>
                <w:rFonts w:ascii="Times New Roman" w:hAnsi="Times New Roman"/>
                <w:i/>
                <w:spacing w:val="-2"/>
                <w:sz w:val="22"/>
              </w:rPr>
            </w:pPr>
            <w:r>
              <w:rPr>
                <w:rStyle w:val="Table"/>
                <w:rFonts w:ascii="Times New Roman" w:hAnsi="Times New Roman"/>
                <w:i/>
                <w:spacing w:val="-2"/>
                <w:sz w:val="22"/>
              </w:rPr>
              <w:t xml:space="preserve">[insert </w:t>
            </w:r>
            <w:r>
              <w:rPr>
                <w:rStyle w:val="Table"/>
                <w:rFonts w:ascii="Times New Roman" w:hAnsi="Times New Roman"/>
                <w:b/>
                <w:i/>
                <w:spacing w:val="-2"/>
                <w:sz w:val="22"/>
              </w:rPr>
              <w:t>amount of available financing in USD equivalent and exchange rate</w:t>
            </w:r>
            <w:r>
              <w:rPr>
                <w:rStyle w:val="Table"/>
                <w:rFonts w:ascii="Times New Roman" w:hAnsi="Times New Roman"/>
                <w:i/>
                <w:spacing w:val="-2"/>
                <w:sz w:val="22"/>
              </w:rPr>
              <w:t>]</w:t>
            </w:r>
          </w:p>
        </w:tc>
      </w:tr>
      <w:tr w:rsidR="00157AAA" w14:paraId="6D6F50F5" w14:textId="77777777">
        <w:trPr>
          <w:cantSplit/>
        </w:trPr>
        <w:tc>
          <w:tcPr>
            <w:tcW w:w="6300" w:type="dxa"/>
            <w:tcBorders>
              <w:top w:val="single" w:sz="6" w:space="0" w:color="auto"/>
              <w:left w:val="single" w:sz="6" w:space="0" w:color="auto"/>
              <w:bottom w:val="single" w:sz="6" w:space="0" w:color="auto"/>
            </w:tcBorders>
          </w:tcPr>
          <w:p w14:paraId="15E9811C" w14:textId="77777777" w:rsidR="00157AAA" w:rsidRDefault="006C1BE5">
            <w:pPr>
              <w:rPr>
                <w:rStyle w:val="Table"/>
                <w:rFonts w:ascii="Times New Roman" w:hAnsi="Times New Roman"/>
                <w:b/>
                <w:i/>
                <w:spacing w:val="-2"/>
                <w:sz w:val="22"/>
              </w:rPr>
            </w:pPr>
            <w:proofErr w:type="gramStart"/>
            <w:r>
              <w:rPr>
                <w:rStyle w:val="Table"/>
                <w:rFonts w:ascii="Times New Roman" w:hAnsi="Times New Roman"/>
                <w:spacing w:val="-2"/>
                <w:sz w:val="22"/>
              </w:rPr>
              <w:t xml:space="preserve">4.  </w:t>
            </w:r>
            <w:r>
              <w:rPr>
                <w:rStyle w:val="Table"/>
                <w:rFonts w:ascii="Times New Roman" w:hAnsi="Times New Roman"/>
                <w:i/>
                <w:spacing w:val="-2"/>
                <w:sz w:val="22"/>
              </w:rPr>
              <w:t>[</w:t>
            </w:r>
            <w:proofErr w:type="gramEnd"/>
            <w:r>
              <w:rPr>
                <w:rStyle w:val="Table"/>
                <w:rFonts w:ascii="Times New Roman" w:hAnsi="Times New Roman"/>
                <w:i/>
                <w:spacing w:val="-2"/>
                <w:sz w:val="22"/>
              </w:rPr>
              <w:t xml:space="preserve">describe </w:t>
            </w:r>
            <w:r>
              <w:rPr>
                <w:rStyle w:val="Table"/>
                <w:rFonts w:ascii="Times New Roman" w:hAnsi="Times New Roman"/>
                <w:b/>
                <w:i/>
                <w:spacing w:val="-2"/>
                <w:sz w:val="22"/>
              </w:rPr>
              <w:t>type and source of available financing</w:t>
            </w:r>
            <w:r>
              <w:rPr>
                <w:rStyle w:val="Table"/>
                <w:rFonts w:ascii="Times New Roman" w:hAnsi="Times New Roman"/>
                <w:i/>
                <w:spacing w:val="-2"/>
                <w:sz w:val="22"/>
              </w:rPr>
              <w:t>]</w:t>
            </w:r>
          </w:p>
          <w:p w14:paraId="3A0AC173" w14:textId="77777777" w:rsidR="00157AAA" w:rsidRDefault="00157AAA">
            <w:pPr>
              <w:spacing w:after="71"/>
              <w:rPr>
                <w:rStyle w:val="Table"/>
                <w:rFonts w:ascii="Times New Roman" w:hAnsi="Times New Roman"/>
                <w:spacing w:val="-2"/>
                <w:sz w:val="22"/>
              </w:rPr>
            </w:pPr>
          </w:p>
        </w:tc>
        <w:tc>
          <w:tcPr>
            <w:tcW w:w="2790" w:type="dxa"/>
            <w:tcBorders>
              <w:top w:val="single" w:sz="6" w:space="0" w:color="auto"/>
              <w:left w:val="single" w:sz="6" w:space="0" w:color="auto"/>
              <w:bottom w:val="single" w:sz="6" w:space="0" w:color="auto"/>
              <w:right w:val="single" w:sz="6" w:space="0" w:color="auto"/>
            </w:tcBorders>
          </w:tcPr>
          <w:p w14:paraId="49AC2E0C" w14:textId="77777777" w:rsidR="00157AAA" w:rsidRDefault="006C1BE5">
            <w:pPr>
              <w:spacing w:after="71"/>
              <w:rPr>
                <w:rStyle w:val="Table"/>
                <w:rFonts w:ascii="Times New Roman" w:hAnsi="Times New Roman"/>
                <w:i/>
                <w:spacing w:val="-2"/>
                <w:sz w:val="22"/>
              </w:rPr>
            </w:pPr>
            <w:r>
              <w:rPr>
                <w:rStyle w:val="Table"/>
                <w:rFonts w:ascii="Times New Roman" w:hAnsi="Times New Roman"/>
                <w:i/>
                <w:spacing w:val="-2"/>
                <w:sz w:val="22"/>
              </w:rPr>
              <w:t xml:space="preserve">[insert </w:t>
            </w:r>
            <w:r>
              <w:rPr>
                <w:rStyle w:val="Table"/>
                <w:rFonts w:ascii="Times New Roman" w:hAnsi="Times New Roman"/>
                <w:b/>
                <w:i/>
                <w:spacing w:val="-2"/>
                <w:sz w:val="22"/>
              </w:rPr>
              <w:t>amount of available financing in USD equivalent and exchange rate</w:t>
            </w:r>
            <w:r>
              <w:rPr>
                <w:rStyle w:val="Table"/>
                <w:rFonts w:ascii="Times New Roman" w:hAnsi="Times New Roman"/>
                <w:i/>
                <w:spacing w:val="-2"/>
                <w:sz w:val="22"/>
              </w:rPr>
              <w:t>]</w:t>
            </w:r>
          </w:p>
        </w:tc>
      </w:tr>
    </w:tbl>
    <w:p w14:paraId="6281B599" w14:textId="77777777" w:rsidR="00157AAA" w:rsidRDefault="00157AAA">
      <w:pPr>
        <w:spacing w:after="0"/>
        <w:jc w:val="left"/>
        <w:rPr>
          <w:iCs/>
        </w:rPr>
      </w:pPr>
    </w:p>
    <w:p w14:paraId="25208C52" w14:textId="77777777" w:rsidR="00157AAA" w:rsidRDefault="006C1BE5">
      <w:pPr>
        <w:spacing w:after="0"/>
        <w:jc w:val="left"/>
        <w:rPr>
          <w:b/>
          <w:iCs/>
          <w:sz w:val="32"/>
        </w:rPr>
      </w:pPr>
      <w:r>
        <w:rPr>
          <w:b/>
          <w:iCs/>
          <w:sz w:val="32"/>
        </w:rPr>
        <w:br w:type="page" w:clear="all"/>
      </w:r>
    </w:p>
    <w:p w14:paraId="6CB3E22E" w14:textId="77777777" w:rsidR="00157AAA" w:rsidRDefault="006C1BE5">
      <w:pPr>
        <w:pStyle w:val="S4-header1"/>
        <w:rPr>
          <w:smallCaps/>
        </w:rPr>
      </w:pPr>
      <w:bookmarkStart w:id="615" w:name="_Toc163506171"/>
      <w:bookmarkStart w:id="616" w:name="_Toc490650439"/>
      <w:bookmarkStart w:id="617" w:name="_Toc490653380"/>
      <w:bookmarkStart w:id="618" w:name="_Toc521497258"/>
      <w:bookmarkStart w:id="619" w:name="_Toc218673975"/>
      <w:bookmarkStart w:id="620" w:name="_Toc277345606"/>
      <w:r>
        <w:rPr>
          <w:smallCaps/>
        </w:rPr>
        <w:lastRenderedPageBreak/>
        <w:t>Personnel Capabilities- Key Personnel</w:t>
      </w:r>
      <w:bookmarkEnd w:id="615"/>
    </w:p>
    <w:p w14:paraId="4BF8E7FC" w14:textId="77777777" w:rsidR="00157AAA" w:rsidRDefault="006C1BE5">
      <w:pPr>
        <w:jc w:val="center"/>
        <w:rPr>
          <w:i/>
        </w:rPr>
      </w:pPr>
      <w:r>
        <w:rPr>
          <w:i/>
        </w:rPr>
        <w:t>To be completed by the Bidder and, if JV, by each member</w:t>
      </w:r>
    </w:p>
    <w:p w14:paraId="26E89055"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42F5C1EE"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691D9203"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2E777307"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3784A9A3" w14:textId="77777777" w:rsidR="00157AAA" w:rsidRDefault="006C1BE5">
      <w:pPr>
        <w:tabs>
          <w:tab w:val="right" w:pos="8640"/>
        </w:tabs>
      </w:pPr>
      <w:r>
        <w:t xml:space="preserve">   </w:t>
      </w:r>
      <w:r>
        <w:tab/>
        <w:t>Page _______ of _______ pages</w:t>
      </w:r>
    </w:p>
    <w:p w14:paraId="776CA0BD" w14:textId="77777777" w:rsidR="00157AAA" w:rsidRDefault="006C1BE5">
      <w:pPr>
        <w:rPr>
          <w:spacing w:val="-2"/>
        </w:rPr>
      </w:pPr>
      <w:r>
        <w:rPr>
          <w:spacing w:val="-2"/>
        </w:rPr>
        <w:t xml:space="preserve">Bidders should provide the names and details of the suitably qualified Personnel to perform the Contract. The data on their experience should be supplied using the Form PER-2 below for each candidate. </w:t>
      </w:r>
    </w:p>
    <w:p w14:paraId="1D5F5A4A" w14:textId="77777777" w:rsidR="00157AAA" w:rsidRDefault="00157AAA">
      <w:pPr>
        <w:ind w:left="86"/>
        <w:rPr>
          <w:b/>
          <w:spacing w:val="-2"/>
        </w:rPr>
      </w:pPr>
    </w:p>
    <w:p w14:paraId="6E178473" w14:textId="77777777" w:rsidR="00157AAA" w:rsidRDefault="006C1BE5">
      <w:pPr>
        <w:ind w:left="86"/>
        <w:rPr>
          <w:b/>
          <w:spacing w:val="-2"/>
        </w:rPr>
      </w:pPr>
      <w:r>
        <w:rPr>
          <w:b/>
          <w:spacing w:val="-2"/>
        </w:rPr>
        <w:t xml:space="preserve">Key Personnel </w:t>
      </w:r>
    </w:p>
    <w:tbl>
      <w:tblPr>
        <w:tblW w:w="8640" w:type="dxa"/>
        <w:tblInd w:w="72" w:type="dxa"/>
        <w:tblLayout w:type="fixed"/>
        <w:tblCellMar>
          <w:left w:w="72" w:type="dxa"/>
          <w:right w:w="72" w:type="dxa"/>
        </w:tblCellMar>
        <w:tblLook w:val="04A0" w:firstRow="1" w:lastRow="0" w:firstColumn="1" w:lastColumn="0" w:noHBand="0" w:noVBand="1"/>
      </w:tblPr>
      <w:tblGrid>
        <w:gridCol w:w="691"/>
        <w:gridCol w:w="1809"/>
        <w:gridCol w:w="6140"/>
      </w:tblGrid>
      <w:tr w:rsidR="00157AAA" w14:paraId="09D61F0A" w14:textId="77777777">
        <w:trPr>
          <w:cantSplit/>
        </w:trPr>
        <w:tc>
          <w:tcPr>
            <w:tcW w:w="720" w:type="dxa"/>
            <w:tcBorders>
              <w:top w:val="single" w:sz="6" w:space="0" w:color="auto"/>
              <w:left w:val="single" w:sz="6" w:space="0" w:color="auto"/>
              <w:bottom w:val="none" w:sz="4" w:space="0" w:color="000000"/>
              <w:right w:val="none" w:sz="4" w:space="0" w:color="000000"/>
            </w:tcBorders>
          </w:tcPr>
          <w:p w14:paraId="17411921" w14:textId="77777777" w:rsidR="00157AAA" w:rsidRDefault="006C1BE5">
            <w:pPr>
              <w:spacing w:before="120"/>
              <w:rPr>
                <w:bCs/>
                <w:spacing w:val="-2"/>
              </w:rPr>
            </w:pPr>
            <w:r>
              <w:rPr>
                <w:bCs/>
                <w:spacing w:val="-2"/>
              </w:rPr>
              <w:t>1.</w:t>
            </w:r>
          </w:p>
        </w:tc>
        <w:tc>
          <w:tcPr>
            <w:tcW w:w="8370" w:type="dxa"/>
            <w:gridSpan w:val="2"/>
            <w:tcBorders>
              <w:top w:val="single" w:sz="6" w:space="0" w:color="auto"/>
              <w:left w:val="single" w:sz="6" w:space="0" w:color="auto"/>
              <w:bottom w:val="none" w:sz="4" w:space="0" w:color="000000"/>
              <w:right w:val="single" w:sz="6" w:space="0" w:color="auto"/>
            </w:tcBorders>
          </w:tcPr>
          <w:p w14:paraId="376DC973" w14:textId="77777777" w:rsidR="00157AAA" w:rsidRDefault="006C1BE5">
            <w:pPr>
              <w:spacing w:before="120"/>
              <w:rPr>
                <w:b/>
                <w:bCs/>
                <w:spacing w:val="-2"/>
              </w:rPr>
            </w:pPr>
            <w:r>
              <w:rPr>
                <w:bCs/>
                <w:spacing w:val="-2"/>
              </w:rPr>
              <w:t>Title of position</w:t>
            </w:r>
            <w:proofErr w:type="gramStart"/>
            <w:r>
              <w:rPr>
                <w:bCs/>
                <w:spacing w:val="-2"/>
              </w:rPr>
              <w:t>:</w:t>
            </w:r>
            <w:r>
              <w:rPr>
                <w:bCs/>
                <w:i/>
                <w:spacing w:val="-2"/>
              </w:rPr>
              <w:t xml:space="preserve">  [</w:t>
            </w:r>
            <w:proofErr w:type="gramEnd"/>
            <w:r>
              <w:rPr>
                <w:bCs/>
                <w:i/>
                <w:spacing w:val="-2"/>
              </w:rPr>
              <w:t xml:space="preserve">insert </w:t>
            </w:r>
            <w:r>
              <w:rPr>
                <w:b/>
                <w:bCs/>
                <w:i/>
                <w:spacing w:val="-2"/>
              </w:rPr>
              <w:t>Title of position / role in team</w:t>
            </w:r>
            <w:r>
              <w:rPr>
                <w:bCs/>
                <w:i/>
                <w:spacing w:val="-2"/>
              </w:rPr>
              <w:t>]</w:t>
            </w:r>
          </w:p>
        </w:tc>
      </w:tr>
      <w:tr w:rsidR="00157AAA" w14:paraId="66F7ACA6" w14:textId="77777777">
        <w:trPr>
          <w:cantSplit/>
        </w:trPr>
        <w:tc>
          <w:tcPr>
            <w:tcW w:w="720" w:type="dxa"/>
            <w:tcBorders>
              <w:top w:val="none" w:sz="4" w:space="0" w:color="000000"/>
              <w:left w:val="single" w:sz="6" w:space="0" w:color="auto"/>
              <w:bottom w:val="none" w:sz="4" w:space="0" w:color="000000"/>
              <w:right w:val="none" w:sz="4" w:space="0" w:color="000000"/>
            </w:tcBorders>
          </w:tcPr>
          <w:p w14:paraId="76718970" w14:textId="77777777" w:rsidR="00157AAA" w:rsidRDefault="00157AAA">
            <w:pPr>
              <w:spacing w:before="120"/>
              <w:rPr>
                <w:b/>
                <w:bCs/>
                <w:spacing w:val="-2"/>
              </w:rPr>
            </w:pPr>
          </w:p>
        </w:tc>
        <w:tc>
          <w:tcPr>
            <w:tcW w:w="8370" w:type="dxa"/>
            <w:gridSpan w:val="2"/>
            <w:tcBorders>
              <w:top w:val="single" w:sz="6" w:space="0" w:color="auto"/>
              <w:left w:val="single" w:sz="6" w:space="0" w:color="auto"/>
              <w:bottom w:val="none" w:sz="4" w:space="0" w:color="000000"/>
              <w:right w:val="single" w:sz="6" w:space="0" w:color="auto"/>
            </w:tcBorders>
          </w:tcPr>
          <w:p w14:paraId="7CB28079" w14:textId="77777777" w:rsidR="00157AAA" w:rsidRDefault="006C1BE5">
            <w:pPr>
              <w:spacing w:before="120"/>
              <w:rPr>
                <w:b/>
                <w:bCs/>
                <w:spacing w:val="-2"/>
              </w:rPr>
            </w:pPr>
            <w:r>
              <w:rPr>
                <w:bCs/>
                <w:spacing w:val="-2"/>
              </w:rPr>
              <w:t>Name of candidate</w:t>
            </w:r>
            <w:proofErr w:type="gramStart"/>
            <w:r>
              <w:rPr>
                <w:bCs/>
                <w:spacing w:val="-2"/>
              </w:rPr>
              <w:t>:</w:t>
            </w:r>
            <w:r>
              <w:rPr>
                <w:b/>
                <w:bCs/>
                <w:spacing w:val="-2"/>
              </w:rPr>
              <w:t xml:space="preserve">  </w:t>
            </w:r>
            <w:r>
              <w:rPr>
                <w:bCs/>
                <w:i/>
                <w:spacing w:val="-2"/>
              </w:rPr>
              <w:t>[</w:t>
            </w:r>
            <w:proofErr w:type="gramEnd"/>
            <w:r>
              <w:rPr>
                <w:bCs/>
                <w:i/>
                <w:spacing w:val="-2"/>
              </w:rPr>
              <w:t xml:space="preserve">insert </w:t>
            </w:r>
            <w:r>
              <w:rPr>
                <w:b/>
                <w:bCs/>
                <w:i/>
                <w:spacing w:val="-2"/>
              </w:rPr>
              <w:t>Name of Candidate</w:t>
            </w:r>
            <w:r>
              <w:rPr>
                <w:bCs/>
                <w:i/>
                <w:spacing w:val="-2"/>
              </w:rPr>
              <w:t>]</w:t>
            </w:r>
          </w:p>
        </w:tc>
      </w:tr>
      <w:tr w:rsidR="00157AAA" w14:paraId="27A04909" w14:textId="77777777">
        <w:trPr>
          <w:cantSplit/>
        </w:trPr>
        <w:tc>
          <w:tcPr>
            <w:tcW w:w="720" w:type="dxa"/>
            <w:tcBorders>
              <w:top w:val="none" w:sz="4" w:space="0" w:color="000000"/>
              <w:left w:val="single" w:sz="6" w:space="0" w:color="auto"/>
              <w:bottom w:val="none" w:sz="4" w:space="0" w:color="000000"/>
              <w:right w:val="none" w:sz="4" w:space="0" w:color="000000"/>
            </w:tcBorders>
          </w:tcPr>
          <w:p w14:paraId="46A73E89"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1916ECA2" w14:textId="77777777" w:rsidR="00157AAA" w:rsidRDefault="006C1BE5">
            <w:r>
              <w:t>Duration of appointment:</w:t>
            </w:r>
          </w:p>
        </w:tc>
        <w:tc>
          <w:tcPr>
            <w:tcW w:w="6470" w:type="dxa"/>
            <w:tcBorders>
              <w:top w:val="single" w:sz="6" w:space="0" w:color="auto"/>
              <w:left w:val="single" w:sz="6" w:space="0" w:color="auto"/>
              <w:bottom w:val="none" w:sz="4" w:space="0" w:color="000000"/>
              <w:right w:val="single" w:sz="6" w:space="0" w:color="auto"/>
            </w:tcBorders>
          </w:tcPr>
          <w:p w14:paraId="1F80B4AE" w14:textId="77777777" w:rsidR="00157AAA" w:rsidRDefault="006C1BE5">
            <w:r>
              <w:t>[</w:t>
            </w:r>
            <w:r>
              <w:rPr>
                <w:i/>
              </w:rPr>
              <w:t xml:space="preserve">insert </w:t>
            </w:r>
            <w:r>
              <w:rPr>
                <w:b/>
                <w:i/>
              </w:rPr>
              <w:t>the whole period (start and end dates) for which this position will be engaged</w:t>
            </w:r>
            <w:r>
              <w:t>]</w:t>
            </w:r>
          </w:p>
        </w:tc>
      </w:tr>
      <w:tr w:rsidR="00157AAA" w14:paraId="15B8B0E8" w14:textId="77777777">
        <w:trPr>
          <w:cantSplit/>
        </w:trPr>
        <w:tc>
          <w:tcPr>
            <w:tcW w:w="720" w:type="dxa"/>
            <w:tcBorders>
              <w:top w:val="none" w:sz="4" w:space="0" w:color="000000"/>
              <w:left w:val="single" w:sz="6" w:space="0" w:color="auto"/>
              <w:bottom w:val="none" w:sz="4" w:space="0" w:color="000000"/>
              <w:right w:val="none" w:sz="4" w:space="0" w:color="000000"/>
            </w:tcBorders>
          </w:tcPr>
          <w:p w14:paraId="4B1E9F3B"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70CF86C7" w14:textId="77777777" w:rsidR="00157AAA" w:rsidRDefault="006C1BE5">
            <w:r>
              <w:t>Time commitment: for this position:</w:t>
            </w:r>
          </w:p>
        </w:tc>
        <w:tc>
          <w:tcPr>
            <w:tcW w:w="6470" w:type="dxa"/>
            <w:tcBorders>
              <w:top w:val="single" w:sz="6" w:space="0" w:color="auto"/>
              <w:left w:val="single" w:sz="6" w:space="0" w:color="auto"/>
              <w:bottom w:val="none" w:sz="4" w:space="0" w:color="000000"/>
              <w:right w:val="single" w:sz="6" w:space="0" w:color="auto"/>
            </w:tcBorders>
          </w:tcPr>
          <w:p w14:paraId="64727328" w14:textId="77777777" w:rsidR="00157AAA" w:rsidRDefault="006C1BE5">
            <w:r>
              <w:t>[</w:t>
            </w:r>
            <w:r>
              <w:rPr>
                <w:i/>
              </w:rPr>
              <w:t xml:space="preserve">insert </w:t>
            </w:r>
            <w:r>
              <w:rPr>
                <w:b/>
                <w:i/>
              </w:rPr>
              <w:t>the number of days/week/months/ that has been scheduled for this position</w:t>
            </w:r>
            <w:r>
              <w:t>]</w:t>
            </w:r>
          </w:p>
        </w:tc>
      </w:tr>
      <w:tr w:rsidR="00157AAA" w14:paraId="3692809A" w14:textId="77777777">
        <w:trPr>
          <w:cantSplit/>
        </w:trPr>
        <w:tc>
          <w:tcPr>
            <w:tcW w:w="720" w:type="dxa"/>
            <w:tcBorders>
              <w:top w:val="none" w:sz="4" w:space="0" w:color="000000"/>
              <w:left w:val="single" w:sz="6" w:space="0" w:color="auto"/>
              <w:bottom w:val="none" w:sz="4" w:space="0" w:color="000000"/>
              <w:right w:val="none" w:sz="4" w:space="0" w:color="000000"/>
            </w:tcBorders>
          </w:tcPr>
          <w:p w14:paraId="696772EB"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40B09BE1" w14:textId="77777777" w:rsidR="00157AAA" w:rsidRDefault="006C1BE5">
            <w:r>
              <w:t>Expected time schedule for this position:</w:t>
            </w:r>
          </w:p>
        </w:tc>
        <w:tc>
          <w:tcPr>
            <w:tcW w:w="6470" w:type="dxa"/>
            <w:tcBorders>
              <w:top w:val="single" w:sz="6" w:space="0" w:color="auto"/>
              <w:left w:val="single" w:sz="6" w:space="0" w:color="auto"/>
              <w:bottom w:val="none" w:sz="4" w:space="0" w:color="000000"/>
              <w:right w:val="single" w:sz="6" w:space="0" w:color="auto"/>
            </w:tcBorders>
          </w:tcPr>
          <w:p w14:paraId="5258DFE7" w14:textId="77777777" w:rsidR="00157AAA" w:rsidRDefault="006C1BE5">
            <w:r>
              <w:t>[</w:t>
            </w:r>
            <w:r>
              <w:rPr>
                <w:i/>
              </w:rPr>
              <w:t xml:space="preserve">insert </w:t>
            </w:r>
            <w:r>
              <w:rPr>
                <w:b/>
                <w:i/>
              </w:rPr>
              <w:t>the expected time schedule for this position (e.g. attach high level Gantt chart</w:t>
            </w:r>
            <w:r>
              <w:t>]</w:t>
            </w:r>
          </w:p>
        </w:tc>
      </w:tr>
      <w:tr w:rsidR="00157AAA" w14:paraId="1E17A135" w14:textId="77777777">
        <w:trPr>
          <w:cantSplit/>
        </w:trPr>
        <w:tc>
          <w:tcPr>
            <w:tcW w:w="720" w:type="dxa"/>
            <w:tcBorders>
              <w:top w:val="single" w:sz="6" w:space="0" w:color="auto"/>
              <w:left w:val="single" w:sz="6" w:space="0" w:color="auto"/>
              <w:bottom w:val="none" w:sz="4" w:space="0" w:color="000000"/>
              <w:right w:val="none" w:sz="4" w:space="0" w:color="000000"/>
            </w:tcBorders>
          </w:tcPr>
          <w:p w14:paraId="2D5C6C10" w14:textId="77777777" w:rsidR="00157AAA" w:rsidRDefault="006C1BE5">
            <w:pPr>
              <w:spacing w:before="120"/>
              <w:rPr>
                <w:bCs/>
                <w:spacing w:val="-2"/>
              </w:rPr>
            </w:pPr>
            <w:r>
              <w:rPr>
                <w:bCs/>
                <w:spacing w:val="-2"/>
              </w:rPr>
              <w:t>2.</w:t>
            </w:r>
          </w:p>
        </w:tc>
        <w:tc>
          <w:tcPr>
            <w:tcW w:w="8370" w:type="dxa"/>
            <w:gridSpan w:val="2"/>
            <w:tcBorders>
              <w:top w:val="single" w:sz="6" w:space="0" w:color="auto"/>
              <w:left w:val="single" w:sz="6" w:space="0" w:color="auto"/>
              <w:bottom w:val="none" w:sz="4" w:space="0" w:color="000000"/>
              <w:right w:val="single" w:sz="6" w:space="0" w:color="auto"/>
            </w:tcBorders>
          </w:tcPr>
          <w:p w14:paraId="4DAA6CAA" w14:textId="77777777" w:rsidR="00157AAA" w:rsidRDefault="006C1BE5">
            <w:pPr>
              <w:spacing w:before="120"/>
              <w:rPr>
                <w:b/>
                <w:bCs/>
                <w:spacing w:val="-2"/>
              </w:rPr>
            </w:pPr>
            <w:r>
              <w:rPr>
                <w:bCs/>
                <w:spacing w:val="-2"/>
              </w:rPr>
              <w:t>Title of position</w:t>
            </w:r>
            <w:proofErr w:type="gramStart"/>
            <w:r>
              <w:rPr>
                <w:bCs/>
                <w:spacing w:val="-2"/>
              </w:rPr>
              <w:t>:</w:t>
            </w:r>
            <w:r>
              <w:rPr>
                <w:bCs/>
                <w:i/>
                <w:spacing w:val="-2"/>
              </w:rPr>
              <w:t xml:space="preserve">  [</w:t>
            </w:r>
            <w:proofErr w:type="gramEnd"/>
            <w:r>
              <w:rPr>
                <w:bCs/>
                <w:i/>
                <w:spacing w:val="-2"/>
              </w:rPr>
              <w:t xml:space="preserve">insert </w:t>
            </w:r>
            <w:r>
              <w:rPr>
                <w:b/>
                <w:bCs/>
                <w:i/>
                <w:spacing w:val="-2"/>
              </w:rPr>
              <w:t>Title of position / role in team</w:t>
            </w:r>
            <w:r>
              <w:rPr>
                <w:bCs/>
                <w:i/>
                <w:spacing w:val="-2"/>
              </w:rPr>
              <w:t>]</w:t>
            </w:r>
          </w:p>
        </w:tc>
      </w:tr>
      <w:tr w:rsidR="00157AAA" w14:paraId="62FB313D" w14:textId="77777777">
        <w:trPr>
          <w:cantSplit/>
        </w:trPr>
        <w:tc>
          <w:tcPr>
            <w:tcW w:w="720" w:type="dxa"/>
            <w:tcBorders>
              <w:top w:val="none" w:sz="4" w:space="0" w:color="000000"/>
              <w:left w:val="single" w:sz="6" w:space="0" w:color="auto"/>
              <w:bottom w:val="none" w:sz="4" w:space="0" w:color="000000"/>
              <w:right w:val="none" w:sz="4" w:space="0" w:color="000000"/>
            </w:tcBorders>
          </w:tcPr>
          <w:p w14:paraId="0B9033DE" w14:textId="77777777" w:rsidR="00157AAA" w:rsidRDefault="00157AAA">
            <w:pPr>
              <w:spacing w:before="120"/>
              <w:rPr>
                <w:b/>
                <w:bCs/>
                <w:spacing w:val="-2"/>
              </w:rPr>
            </w:pPr>
          </w:p>
        </w:tc>
        <w:tc>
          <w:tcPr>
            <w:tcW w:w="8370" w:type="dxa"/>
            <w:gridSpan w:val="2"/>
            <w:tcBorders>
              <w:top w:val="single" w:sz="6" w:space="0" w:color="auto"/>
              <w:left w:val="single" w:sz="6" w:space="0" w:color="auto"/>
              <w:bottom w:val="none" w:sz="4" w:space="0" w:color="000000"/>
              <w:right w:val="single" w:sz="6" w:space="0" w:color="auto"/>
            </w:tcBorders>
          </w:tcPr>
          <w:p w14:paraId="3622754F" w14:textId="77777777" w:rsidR="00157AAA" w:rsidRDefault="006C1BE5">
            <w:pPr>
              <w:spacing w:before="120"/>
              <w:rPr>
                <w:b/>
                <w:bCs/>
                <w:spacing w:val="-2"/>
              </w:rPr>
            </w:pPr>
            <w:r>
              <w:rPr>
                <w:bCs/>
                <w:spacing w:val="-2"/>
              </w:rPr>
              <w:t>Name of candidate</w:t>
            </w:r>
            <w:proofErr w:type="gramStart"/>
            <w:r>
              <w:rPr>
                <w:bCs/>
                <w:spacing w:val="-2"/>
              </w:rPr>
              <w:t>:</w:t>
            </w:r>
            <w:r>
              <w:rPr>
                <w:b/>
                <w:bCs/>
                <w:spacing w:val="-2"/>
              </w:rPr>
              <w:t xml:space="preserve">  </w:t>
            </w:r>
            <w:r>
              <w:rPr>
                <w:bCs/>
                <w:i/>
                <w:spacing w:val="-2"/>
              </w:rPr>
              <w:t>[</w:t>
            </w:r>
            <w:proofErr w:type="gramEnd"/>
            <w:r>
              <w:rPr>
                <w:bCs/>
                <w:i/>
                <w:spacing w:val="-2"/>
              </w:rPr>
              <w:t xml:space="preserve">insert </w:t>
            </w:r>
            <w:r>
              <w:rPr>
                <w:b/>
                <w:bCs/>
                <w:i/>
                <w:spacing w:val="-2"/>
              </w:rPr>
              <w:t>Name of Candidate</w:t>
            </w:r>
            <w:r>
              <w:rPr>
                <w:bCs/>
                <w:i/>
                <w:spacing w:val="-2"/>
              </w:rPr>
              <w:t>]</w:t>
            </w:r>
          </w:p>
        </w:tc>
      </w:tr>
      <w:tr w:rsidR="00157AAA" w14:paraId="4C12E8E3" w14:textId="77777777">
        <w:trPr>
          <w:cantSplit/>
        </w:trPr>
        <w:tc>
          <w:tcPr>
            <w:tcW w:w="720" w:type="dxa"/>
            <w:tcBorders>
              <w:top w:val="none" w:sz="4" w:space="0" w:color="000000"/>
              <w:left w:val="single" w:sz="6" w:space="0" w:color="auto"/>
              <w:bottom w:val="none" w:sz="4" w:space="0" w:color="000000"/>
              <w:right w:val="none" w:sz="4" w:space="0" w:color="000000"/>
            </w:tcBorders>
          </w:tcPr>
          <w:p w14:paraId="599CCD52"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6F7DACA9" w14:textId="77777777" w:rsidR="00157AAA" w:rsidRDefault="006C1BE5">
            <w:r>
              <w:t>Duration of appointment:</w:t>
            </w:r>
          </w:p>
        </w:tc>
        <w:tc>
          <w:tcPr>
            <w:tcW w:w="6470" w:type="dxa"/>
            <w:tcBorders>
              <w:top w:val="single" w:sz="6" w:space="0" w:color="auto"/>
              <w:left w:val="single" w:sz="6" w:space="0" w:color="auto"/>
              <w:bottom w:val="none" w:sz="4" w:space="0" w:color="000000"/>
              <w:right w:val="single" w:sz="6" w:space="0" w:color="auto"/>
            </w:tcBorders>
          </w:tcPr>
          <w:p w14:paraId="4355C27C" w14:textId="77777777" w:rsidR="00157AAA" w:rsidRDefault="006C1BE5">
            <w:r>
              <w:t>[</w:t>
            </w:r>
            <w:r>
              <w:rPr>
                <w:i/>
              </w:rPr>
              <w:t xml:space="preserve">insert </w:t>
            </w:r>
            <w:r>
              <w:rPr>
                <w:b/>
                <w:i/>
              </w:rPr>
              <w:t>the whole period (start and end dates) for which this position will be engaged</w:t>
            </w:r>
            <w:r>
              <w:t>]</w:t>
            </w:r>
          </w:p>
        </w:tc>
      </w:tr>
      <w:tr w:rsidR="00157AAA" w14:paraId="2D57C506" w14:textId="77777777">
        <w:trPr>
          <w:cantSplit/>
        </w:trPr>
        <w:tc>
          <w:tcPr>
            <w:tcW w:w="720" w:type="dxa"/>
            <w:tcBorders>
              <w:top w:val="none" w:sz="4" w:space="0" w:color="000000"/>
              <w:left w:val="single" w:sz="6" w:space="0" w:color="auto"/>
              <w:bottom w:val="none" w:sz="4" w:space="0" w:color="000000"/>
              <w:right w:val="none" w:sz="4" w:space="0" w:color="000000"/>
            </w:tcBorders>
          </w:tcPr>
          <w:p w14:paraId="0C7D1E24"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36F9FE1B" w14:textId="77777777" w:rsidR="00157AAA" w:rsidRDefault="006C1BE5">
            <w:r>
              <w:t>Time commitment: for this position:</w:t>
            </w:r>
          </w:p>
        </w:tc>
        <w:tc>
          <w:tcPr>
            <w:tcW w:w="6470" w:type="dxa"/>
            <w:tcBorders>
              <w:top w:val="single" w:sz="6" w:space="0" w:color="auto"/>
              <w:left w:val="single" w:sz="6" w:space="0" w:color="auto"/>
              <w:bottom w:val="none" w:sz="4" w:space="0" w:color="000000"/>
              <w:right w:val="single" w:sz="6" w:space="0" w:color="auto"/>
            </w:tcBorders>
          </w:tcPr>
          <w:p w14:paraId="2F962009" w14:textId="77777777" w:rsidR="00157AAA" w:rsidRDefault="006C1BE5">
            <w:r>
              <w:t>[</w:t>
            </w:r>
            <w:r>
              <w:rPr>
                <w:i/>
              </w:rPr>
              <w:t xml:space="preserve">insert </w:t>
            </w:r>
            <w:r>
              <w:rPr>
                <w:b/>
                <w:i/>
              </w:rPr>
              <w:t>the number of days/week/months/ that has been scheduled for this position</w:t>
            </w:r>
            <w:r>
              <w:t>]</w:t>
            </w:r>
          </w:p>
        </w:tc>
      </w:tr>
      <w:tr w:rsidR="00157AAA" w14:paraId="2E59C330" w14:textId="77777777">
        <w:trPr>
          <w:cantSplit/>
        </w:trPr>
        <w:tc>
          <w:tcPr>
            <w:tcW w:w="720" w:type="dxa"/>
            <w:tcBorders>
              <w:top w:val="none" w:sz="4" w:space="0" w:color="000000"/>
              <w:left w:val="single" w:sz="6" w:space="0" w:color="auto"/>
              <w:bottom w:val="none" w:sz="4" w:space="0" w:color="000000"/>
              <w:right w:val="none" w:sz="4" w:space="0" w:color="000000"/>
            </w:tcBorders>
          </w:tcPr>
          <w:p w14:paraId="1B2E4329"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58D3366A" w14:textId="77777777" w:rsidR="00157AAA" w:rsidRDefault="006C1BE5">
            <w:r>
              <w:t>Expected time schedule for this position:</w:t>
            </w:r>
          </w:p>
        </w:tc>
        <w:tc>
          <w:tcPr>
            <w:tcW w:w="6470" w:type="dxa"/>
            <w:tcBorders>
              <w:top w:val="single" w:sz="6" w:space="0" w:color="auto"/>
              <w:left w:val="single" w:sz="6" w:space="0" w:color="auto"/>
              <w:bottom w:val="none" w:sz="4" w:space="0" w:color="000000"/>
              <w:right w:val="single" w:sz="6" w:space="0" w:color="auto"/>
            </w:tcBorders>
          </w:tcPr>
          <w:p w14:paraId="39DB5507" w14:textId="77777777" w:rsidR="00157AAA" w:rsidRDefault="006C1BE5">
            <w:r>
              <w:t>[</w:t>
            </w:r>
            <w:r>
              <w:rPr>
                <w:i/>
              </w:rPr>
              <w:t xml:space="preserve">insert </w:t>
            </w:r>
            <w:r>
              <w:rPr>
                <w:b/>
                <w:i/>
              </w:rPr>
              <w:t>the expected time schedule for this position (e.g. attach high level Gantt chart</w:t>
            </w:r>
            <w:r>
              <w:t>]</w:t>
            </w:r>
          </w:p>
        </w:tc>
      </w:tr>
      <w:tr w:rsidR="00157AAA" w14:paraId="16C7252A" w14:textId="77777777">
        <w:trPr>
          <w:cantSplit/>
        </w:trPr>
        <w:tc>
          <w:tcPr>
            <w:tcW w:w="720" w:type="dxa"/>
            <w:tcBorders>
              <w:top w:val="single" w:sz="6" w:space="0" w:color="auto"/>
              <w:left w:val="single" w:sz="6" w:space="0" w:color="auto"/>
              <w:bottom w:val="none" w:sz="4" w:space="0" w:color="000000"/>
              <w:right w:val="none" w:sz="4" w:space="0" w:color="000000"/>
            </w:tcBorders>
          </w:tcPr>
          <w:p w14:paraId="44A1D384" w14:textId="77777777" w:rsidR="00157AAA" w:rsidRDefault="006C1BE5">
            <w:pPr>
              <w:spacing w:before="120"/>
              <w:rPr>
                <w:bCs/>
                <w:spacing w:val="-2"/>
              </w:rPr>
            </w:pPr>
            <w:r>
              <w:rPr>
                <w:bCs/>
                <w:spacing w:val="-2"/>
              </w:rPr>
              <w:t>3.</w:t>
            </w:r>
          </w:p>
        </w:tc>
        <w:tc>
          <w:tcPr>
            <w:tcW w:w="8370" w:type="dxa"/>
            <w:gridSpan w:val="2"/>
            <w:tcBorders>
              <w:top w:val="single" w:sz="6" w:space="0" w:color="auto"/>
              <w:left w:val="single" w:sz="6" w:space="0" w:color="auto"/>
              <w:bottom w:val="none" w:sz="4" w:space="0" w:color="000000"/>
              <w:right w:val="single" w:sz="6" w:space="0" w:color="auto"/>
            </w:tcBorders>
          </w:tcPr>
          <w:p w14:paraId="0F3C48F2" w14:textId="77777777" w:rsidR="00157AAA" w:rsidRDefault="006C1BE5">
            <w:pPr>
              <w:spacing w:before="120"/>
              <w:rPr>
                <w:b/>
                <w:bCs/>
                <w:spacing w:val="-2"/>
              </w:rPr>
            </w:pPr>
            <w:r>
              <w:rPr>
                <w:bCs/>
                <w:spacing w:val="-2"/>
              </w:rPr>
              <w:t>Title of position</w:t>
            </w:r>
            <w:proofErr w:type="gramStart"/>
            <w:r>
              <w:rPr>
                <w:bCs/>
                <w:spacing w:val="-2"/>
              </w:rPr>
              <w:t>:</w:t>
            </w:r>
            <w:r>
              <w:rPr>
                <w:bCs/>
                <w:i/>
                <w:spacing w:val="-2"/>
              </w:rPr>
              <w:t xml:space="preserve">  [</w:t>
            </w:r>
            <w:proofErr w:type="gramEnd"/>
            <w:r>
              <w:rPr>
                <w:bCs/>
                <w:i/>
                <w:spacing w:val="-2"/>
              </w:rPr>
              <w:t xml:space="preserve">insert </w:t>
            </w:r>
            <w:r>
              <w:rPr>
                <w:b/>
                <w:bCs/>
                <w:i/>
                <w:spacing w:val="-2"/>
              </w:rPr>
              <w:t>Title of position / role in team</w:t>
            </w:r>
            <w:r>
              <w:rPr>
                <w:bCs/>
                <w:i/>
                <w:spacing w:val="-2"/>
              </w:rPr>
              <w:t>]</w:t>
            </w:r>
          </w:p>
        </w:tc>
      </w:tr>
      <w:tr w:rsidR="00157AAA" w14:paraId="65F71850" w14:textId="77777777">
        <w:trPr>
          <w:cantSplit/>
        </w:trPr>
        <w:tc>
          <w:tcPr>
            <w:tcW w:w="720" w:type="dxa"/>
            <w:tcBorders>
              <w:top w:val="none" w:sz="4" w:space="0" w:color="000000"/>
              <w:left w:val="single" w:sz="6" w:space="0" w:color="auto"/>
              <w:bottom w:val="none" w:sz="4" w:space="0" w:color="000000"/>
              <w:right w:val="none" w:sz="4" w:space="0" w:color="000000"/>
            </w:tcBorders>
          </w:tcPr>
          <w:p w14:paraId="70E9670A" w14:textId="77777777" w:rsidR="00157AAA" w:rsidRDefault="00157AAA">
            <w:pPr>
              <w:spacing w:before="120"/>
              <w:rPr>
                <w:b/>
                <w:bCs/>
                <w:spacing w:val="-2"/>
              </w:rPr>
            </w:pPr>
          </w:p>
        </w:tc>
        <w:tc>
          <w:tcPr>
            <w:tcW w:w="8370" w:type="dxa"/>
            <w:gridSpan w:val="2"/>
            <w:tcBorders>
              <w:top w:val="single" w:sz="6" w:space="0" w:color="auto"/>
              <w:left w:val="single" w:sz="6" w:space="0" w:color="auto"/>
              <w:bottom w:val="none" w:sz="4" w:space="0" w:color="000000"/>
              <w:right w:val="single" w:sz="6" w:space="0" w:color="auto"/>
            </w:tcBorders>
          </w:tcPr>
          <w:p w14:paraId="4522DFF8" w14:textId="77777777" w:rsidR="00157AAA" w:rsidRDefault="006C1BE5">
            <w:pPr>
              <w:spacing w:before="120"/>
              <w:rPr>
                <w:b/>
                <w:bCs/>
                <w:spacing w:val="-2"/>
              </w:rPr>
            </w:pPr>
            <w:r>
              <w:rPr>
                <w:bCs/>
                <w:spacing w:val="-2"/>
              </w:rPr>
              <w:t>Name of candidate</w:t>
            </w:r>
            <w:proofErr w:type="gramStart"/>
            <w:r>
              <w:rPr>
                <w:bCs/>
                <w:spacing w:val="-2"/>
              </w:rPr>
              <w:t>:</w:t>
            </w:r>
            <w:r>
              <w:rPr>
                <w:b/>
                <w:bCs/>
                <w:spacing w:val="-2"/>
              </w:rPr>
              <w:t xml:space="preserve">  </w:t>
            </w:r>
            <w:r>
              <w:rPr>
                <w:bCs/>
                <w:i/>
                <w:spacing w:val="-2"/>
              </w:rPr>
              <w:t>[</w:t>
            </w:r>
            <w:proofErr w:type="gramEnd"/>
            <w:r>
              <w:rPr>
                <w:bCs/>
                <w:i/>
                <w:spacing w:val="-2"/>
              </w:rPr>
              <w:t xml:space="preserve">insert </w:t>
            </w:r>
            <w:r>
              <w:rPr>
                <w:b/>
                <w:bCs/>
                <w:i/>
                <w:spacing w:val="-2"/>
              </w:rPr>
              <w:t>Name of Candidate</w:t>
            </w:r>
            <w:r>
              <w:rPr>
                <w:bCs/>
                <w:i/>
                <w:spacing w:val="-2"/>
              </w:rPr>
              <w:t>]</w:t>
            </w:r>
          </w:p>
        </w:tc>
      </w:tr>
      <w:tr w:rsidR="00157AAA" w14:paraId="01EE4E6E" w14:textId="77777777">
        <w:trPr>
          <w:cantSplit/>
        </w:trPr>
        <w:tc>
          <w:tcPr>
            <w:tcW w:w="720" w:type="dxa"/>
            <w:tcBorders>
              <w:top w:val="none" w:sz="4" w:space="0" w:color="000000"/>
              <w:left w:val="single" w:sz="6" w:space="0" w:color="auto"/>
              <w:bottom w:val="none" w:sz="4" w:space="0" w:color="000000"/>
              <w:right w:val="none" w:sz="4" w:space="0" w:color="000000"/>
            </w:tcBorders>
          </w:tcPr>
          <w:p w14:paraId="536CB27E"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0C08682A" w14:textId="77777777" w:rsidR="00157AAA" w:rsidRDefault="006C1BE5">
            <w:r>
              <w:t>Duration of appointment:</w:t>
            </w:r>
          </w:p>
        </w:tc>
        <w:tc>
          <w:tcPr>
            <w:tcW w:w="6470" w:type="dxa"/>
            <w:tcBorders>
              <w:top w:val="single" w:sz="6" w:space="0" w:color="auto"/>
              <w:left w:val="single" w:sz="6" w:space="0" w:color="auto"/>
              <w:bottom w:val="none" w:sz="4" w:space="0" w:color="000000"/>
              <w:right w:val="single" w:sz="6" w:space="0" w:color="auto"/>
            </w:tcBorders>
          </w:tcPr>
          <w:p w14:paraId="3990C550" w14:textId="77777777" w:rsidR="00157AAA" w:rsidRDefault="006C1BE5">
            <w:r>
              <w:t>[</w:t>
            </w:r>
            <w:r>
              <w:rPr>
                <w:i/>
              </w:rPr>
              <w:t xml:space="preserve">insert </w:t>
            </w:r>
            <w:r>
              <w:rPr>
                <w:b/>
                <w:i/>
              </w:rPr>
              <w:t>the whole period (start and end dates) for which this position will be engaged</w:t>
            </w:r>
            <w:r>
              <w:t>]</w:t>
            </w:r>
          </w:p>
        </w:tc>
      </w:tr>
      <w:tr w:rsidR="00157AAA" w14:paraId="6DF98233" w14:textId="77777777">
        <w:trPr>
          <w:cantSplit/>
        </w:trPr>
        <w:tc>
          <w:tcPr>
            <w:tcW w:w="720" w:type="dxa"/>
            <w:tcBorders>
              <w:top w:val="none" w:sz="4" w:space="0" w:color="000000"/>
              <w:left w:val="single" w:sz="6" w:space="0" w:color="auto"/>
              <w:bottom w:val="none" w:sz="4" w:space="0" w:color="000000"/>
              <w:right w:val="none" w:sz="4" w:space="0" w:color="000000"/>
            </w:tcBorders>
          </w:tcPr>
          <w:p w14:paraId="2E438690" w14:textId="77777777" w:rsidR="00157AAA" w:rsidRDefault="00157AAA">
            <w:pPr>
              <w:spacing w:before="120"/>
              <w:rPr>
                <w:b/>
                <w:bCs/>
                <w:spacing w:val="-2"/>
              </w:rPr>
            </w:pPr>
          </w:p>
        </w:tc>
        <w:tc>
          <w:tcPr>
            <w:tcW w:w="1900" w:type="dxa"/>
            <w:tcBorders>
              <w:top w:val="single" w:sz="6" w:space="0" w:color="auto"/>
              <w:left w:val="single" w:sz="6" w:space="0" w:color="auto"/>
              <w:bottom w:val="none" w:sz="4" w:space="0" w:color="000000"/>
              <w:right w:val="single" w:sz="6" w:space="0" w:color="auto"/>
            </w:tcBorders>
          </w:tcPr>
          <w:p w14:paraId="6F8E096B" w14:textId="77777777" w:rsidR="00157AAA" w:rsidRDefault="006C1BE5">
            <w:r>
              <w:t>Time commitment: for this position:</w:t>
            </w:r>
          </w:p>
        </w:tc>
        <w:tc>
          <w:tcPr>
            <w:tcW w:w="6470" w:type="dxa"/>
            <w:tcBorders>
              <w:top w:val="single" w:sz="6" w:space="0" w:color="auto"/>
              <w:left w:val="single" w:sz="6" w:space="0" w:color="auto"/>
              <w:bottom w:val="none" w:sz="4" w:space="0" w:color="000000"/>
              <w:right w:val="single" w:sz="6" w:space="0" w:color="auto"/>
            </w:tcBorders>
          </w:tcPr>
          <w:p w14:paraId="370C4D2D" w14:textId="77777777" w:rsidR="00157AAA" w:rsidRDefault="006C1BE5">
            <w:r>
              <w:t>[</w:t>
            </w:r>
            <w:r>
              <w:rPr>
                <w:i/>
              </w:rPr>
              <w:t xml:space="preserve">insert </w:t>
            </w:r>
            <w:r>
              <w:rPr>
                <w:b/>
                <w:i/>
              </w:rPr>
              <w:t>the number of days/week/months/ that has been scheduled for this position</w:t>
            </w:r>
            <w:r>
              <w:t>]</w:t>
            </w:r>
          </w:p>
        </w:tc>
      </w:tr>
      <w:tr w:rsidR="00157AAA" w14:paraId="3F62B8DE" w14:textId="77777777">
        <w:trPr>
          <w:cantSplit/>
        </w:trPr>
        <w:tc>
          <w:tcPr>
            <w:tcW w:w="720" w:type="dxa"/>
            <w:tcBorders>
              <w:top w:val="none" w:sz="4" w:space="0" w:color="000000"/>
              <w:left w:val="single" w:sz="6" w:space="0" w:color="auto"/>
              <w:bottom w:val="single" w:sz="6" w:space="0" w:color="auto"/>
              <w:right w:val="none" w:sz="4" w:space="0" w:color="000000"/>
            </w:tcBorders>
          </w:tcPr>
          <w:p w14:paraId="1804C9FA" w14:textId="77777777" w:rsidR="00157AAA" w:rsidRDefault="00157AAA">
            <w:pPr>
              <w:spacing w:before="120"/>
              <w:rPr>
                <w:b/>
                <w:bCs/>
                <w:spacing w:val="-2"/>
              </w:rPr>
            </w:pPr>
          </w:p>
        </w:tc>
        <w:tc>
          <w:tcPr>
            <w:tcW w:w="1900" w:type="dxa"/>
            <w:tcBorders>
              <w:top w:val="single" w:sz="6" w:space="0" w:color="auto"/>
              <w:left w:val="single" w:sz="6" w:space="0" w:color="auto"/>
              <w:bottom w:val="single" w:sz="6" w:space="0" w:color="auto"/>
              <w:right w:val="single" w:sz="6" w:space="0" w:color="auto"/>
            </w:tcBorders>
          </w:tcPr>
          <w:p w14:paraId="0AC54195" w14:textId="77777777" w:rsidR="00157AAA" w:rsidRDefault="006C1BE5">
            <w:r>
              <w:t>Expected time schedule for this position:</w:t>
            </w:r>
          </w:p>
        </w:tc>
        <w:tc>
          <w:tcPr>
            <w:tcW w:w="6470" w:type="dxa"/>
            <w:tcBorders>
              <w:top w:val="single" w:sz="6" w:space="0" w:color="auto"/>
              <w:left w:val="single" w:sz="6" w:space="0" w:color="auto"/>
              <w:bottom w:val="single" w:sz="6" w:space="0" w:color="auto"/>
              <w:right w:val="single" w:sz="6" w:space="0" w:color="auto"/>
            </w:tcBorders>
          </w:tcPr>
          <w:p w14:paraId="4C71A8BA" w14:textId="77777777" w:rsidR="00157AAA" w:rsidRDefault="006C1BE5">
            <w:r>
              <w:t>[</w:t>
            </w:r>
            <w:r>
              <w:rPr>
                <w:i/>
              </w:rPr>
              <w:t xml:space="preserve">insert </w:t>
            </w:r>
            <w:r>
              <w:rPr>
                <w:b/>
                <w:i/>
              </w:rPr>
              <w:t>the expected time schedule for this position (e.g. attach high level Gantt chart</w:t>
            </w:r>
            <w:r>
              <w:t>]</w:t>
            </w:r>
          </w:p>
        </w:tc>
      </w:tr>
      <w:bookmarkEnd w:id="616"/>
      <w:bookmarkEnd w:id="617"/>
      <w:bookmarkEnd w:id="618"/>
      <w:bookmarkEnd w:id="619"/>
      <w:bookmarkEnd w:id="620"/>
    </w:tbl>
    <w:p w14:paraId="495AF98F" w14:textId="77777777" w:rsidR="00157AAA" w:rsidRDefault="00157AAA"/>
    <w:p w14:paraId="4224C5C8" w14:textId="77777777" w:rsidR="00157AAA" w:rsidRDefault="006C1BE5">
      <w:pPr>
        <w:pStyle w:val="Head32"/>
        <w:ind w:right="-360"/>
      </w:pPr>
      <w:r>
        <w:rPr>
          <w:b w:val="0"/>
          <w:iCs/>
          <w:sz w:val="32"/>
        </w:rPr>
        <w:br w:type="page" w:clear="all"/>
      </w:r>
      <w:bookmarkStart w:id="621" w:name="_Toc490650440"/>
      <w:bookmarkStart w:id="622" w:name="_Toc490653381"/>
      <w:bookmarkStart w:id="623" w:name="_Toc521497259"/>
      <w:bookmarkStart w:id="624" w:name="_Toc218673976"/>
      <w:bookmarkStart w:id="625" w:name="_Toc277345607"/>
      <w:r>
        <w:lastRenderedPageBreak/>
        <w:t>Candidate Summary</w:t>
      </w:r>
      <w:bookmarkEnd w:id="621"/>
      <w:bookmarkEnd w:id="622"/>
      <w:bookmarkEnd w:id="623"/>
      <w:bookmarkEnd w:id="624"/>
      <w:bookmarkEnd w:id="625"/>
    </w:p>
    <w:p w14:paraId="17C4538A" w14:textId="77777777" w:rsidR="00157AAA" w:rsidRDefault="006C1BE5">
      <w:pPr>
        <w:jc w:val="center"/>
        <w:rPr>
          <w:i/>
        </w:rPr>
      </w:pPr>
      <w:r>
        <w:rPr>
          <w:i/>
        </w:rPr>
        <w:t>To be completed by the Bidder and, if JV, by each member</w:t>
      </w:r>
    </w:p>
    <w:p w14:paraId="61C58C5A"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72A653E0"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71ECA9E3"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1F3E70DD"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397C8A74" w14:textId="77777777" w:rsidR="00157AAA" w:rsidRDefault="006C1BE5">
      <w:pPr>
        <w:tabs>
          <w:tab w:val="right" w:pos="8640"/>
        </w:tabs>
      </w:pPr>
      <w:r>
        <w:t xml:space="preserve">   </w:t>
      </w:r>
      <w:r>
        <w:tab/>
        <w:t>Page _______ of _______ pages</w:t>
      </w:r>
    </w:p>
    <w:p w14:paraId="79D85882" w14:textId="77777777" w:rsidR="00157AAA" w:rsidRDefault="00157AAA">
      <w:pPr>
        <w:ind w:right="-360"/>
        <w:rPr>
          <w:sz w:val="22"/>
        </w:rPr>
      </w:pPr>
    </w:p>
    <w:tbl>
      <w:tblPr>
        <w:tblW w:w="8640"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2" w:type="dxa"/>
          <w:right w:w="72" w:type="dxa"/>
        </w:tblCellMar>
        <w:tblLook w:val="0000" w:firstRow="0" w:lastRow="0" w:firstColumn="0" w:lastColumn="0" w:noHBand="0" w:noVBand="0"/>
      </w:tblPr>
      <w:tblGrid>
        <w:gridCol w:w="1374"/>
        <w:gridCol w:w="3761"/>
        <w:gridCol w:w="3505"/>
      </w:tblGrid>
      <w:tr w:rsidR="00157AAA" w14:paraId="7714E570" w14:textId="77777777">
        <w:trPr>
          <w:cantSplit/>
          <w:jc w:val="center"/>
        </w:trPr>
        <w:tc>
          <w:tcPr>
            <w:tcW w:w="5400" w:type="dxa"/>
            <w:gridSpan w:val="2"/>
          </w:tcPr>
          <w:p w14:paraId="7BC8614B" w14:textId="77777777" w:rsidR="00157AAA" w:rsidRDefault="006C1BE5">
            <w:pPr>
              <w:ind w:right="-360"/>
              <w:rPr>
                <w:sz w:val="22"/>
              </w:rPr>
            </w:pPr>
            <w:proofErr w:type="gramStart"/>
            <w:r>
              <w:rPr>
                <w:sz w:val="22"/>
              </w:rPr>
              <w:t xml:space="preserve">Position;  </w:t>
            </w:r>
            <w:r>
              <w:rPr>
                <w:i/>
                <w:sz w:val="22"/>
              </w:rPr>
              <w:t>[</w:t>
            </w:r>
            <w:proofErr w:type="gramEnd"/>
            <w:r>
              <w:rPr>
                <w:i/>
                <w:sz w:val="22"/>
              </w:rPr>
              <w:t xml:space="preserve">insert </w:t>
            </w:r>
            <w:r>
              <w:rPr>
                <w:b/>
                <w:i/>
                <w:sz w:val="22"/>
              </w:rPr>
              <w:t>Title of Position</w:t>
            </w:r>
            <w:r>
              <w:rPr>
                <w:i/>
                <w:sz w:val="22"/>
              </w:rPr>
              <w:t>]</w:t>
            </w:r>
          </w:p>
          <w:p w14:paraId="51497401" w14:textId="77777777" w:rsidR="00157AAA" w:rsidRDefault="00157AAA">
            <w:pPr>
              <w:ind w:right="-360"/>
              <w:rPr>
                <w:sz w:val="22"/>
              </w:rPr>
            </w:pPr>
          </w:p>
        </w:tc>
        <w:tc>
          <w:tcPr>
            <w:tcW w:w="3690" w:type="dxa"/>
          </w:tcPr>
          <w:p w14:paraId="09F42AA6" w14:textId="77777777" w:rsidR="00157AAA" w:rsidRDefault="006C1BE5">
            <w:pPr>
              <w:ind w:right="-360"/>
              <w:rPr>
                <w:sz w:val="22"/>
              </w:rPr>
            </w:pPr>
            <w:r>
              <w:rPr>
                <w:sz w:val="22"/>
              </w:rPr>
              <w:t>Prime</w:t>
            </w:r>
            <w:r>
              <w:rPr>
                <w:sz w:val="22"/>
              </w:rPr>
              <w:tab/>
            </w:r>
            <w:r>
              <w:rPr>
                <w:rFonts w:ascii="Symbol" w:eastAsia="Symbol" w:hAnsi="Symbol" w:cs="Symbol"/>
                <w:sz w:val="32"/>
              </w:rPr>
              <w:t></w:t>
            </w:r>
            <w:r>
              <w:rPr>
                <w:sz w:val="22"/>
              </w:rPr>
              <w:tab/>
              <w:t>Alternate</w:t>
            </w:r>
          </w:p>
        </w:tc>
      </w:tr>
      <w:tr w:rsidR="00157AAA" w14:paraId="6EF36CDC" w14:textId="77777777">
        <w:trPr>
          <w:cantSplit/>
          <w:jc w:val="center"/>
        </w:trPr>
        <w:tc>
          <w:tcPr>
            <w:tcW w:w="1440" w:type="dxa"/>
          </w:tcPr>
          <w:p w14:paraId="77B2F04C" w14:textId="77777777" w:rsidR="00157AAA" w:rsidRDefault="006C1BE5">
            <w:pPr>
              <w:ind w:right="-360"/>
              <w:rPr>
                <w:sz w:val="22"/>
              </w:rPr>
            </w:pPr>
            <w:r>
              <w:rPr>
                <w:sz w:val="22"/>
              </w:rPr>
              <w:t>Candidate information</w:t>
            </w:r>
          </w:p>
        </w:tc>
        <w:tc>
          <w:tcPr>
            <w:tcW w:w="3960" w:type="dxa"/>
          </w:tcPr>
          <w:p w14:paraId="26B98221" w14:textId="77777777" w:rsidR="00157AAA" w:rsidRDefault="006C1BE5">
            <w:pPr>
              <w:ind w:right="-360"/>
              <w:rPr>
                <w:sz w:val="22"/>
              </w:rPr>
            </w:pPr>
            <w:r>
              <w:rPr>
                <w:sz w:val="22"/>
              </w:rPr>
              <w:t xml:space="preserve">Name of </w:t>
            </w:r>
            <w:proofErr w:type="gramStart"/>
            <w:r>
              <w:rPr>
                <w:sz w:val="22"/>
              </w:rPr>
              <w:t xml:space="preserve">candidate  </w:t>
            </w:r>
            <w:r>
              <w:rPr>
                <w:i/>
                <w:sz w:val="22"/>
              </w:rPr>
              <w:t>[</w:t>
            </w:r>
            <w:proofErr w:type="gramEnd"/>
            <w:r>
              <w:rPr>
                <w:i/>
                <w:sz w:val="22"/>
              </w:rPr>
              <w:t xml:space="preserve">insert </w:t>
            </w:r>
            <w:r>
              <w:rPr>
                <w:b/>
                <w:i/>
                <w:sz w:val="22"/>
              </w:rPr>
              <w:t>Name of Candidate</w:t>
            </w:r>
            <w:r>
              <w:rPr>
                <w:i/>
                <w:sz w:val="22"/>
              </w:rPr>
              <w:t>]</w:t>
            </w:r>
          </w:p>
        </w:tc>
        <w:tc>
          <w:tcPr>
            <w:tcW w:w="3690" w:type="dxa"/>
          </w:tcPr>
          <w:p w14:paraId="35C202D5" w14:textId="77777777" w:rsidR="00157AAA" w:rsidRDefault="006C1BE5">
            <w:pPr>
              <w:ind w:right="-360"/>
              <w:rPr>
                <w:sz w:val="22"/>
              </w:rPr>
            </w:pPr>
            <w:r>
              <w:rPr>
                <w:sz w:val="22"/>
              </w:rPr>
              <w:t xml:space="preserve">Date of birth </w:t>
            </w:r>
            <w:r>
              <w:rPr>
                <w:i/>
                <w:sz w:val="22"/>
              </w:rPr>
              <w:t xml:space="preserve">[insert </w:t>
            </w:r>
            <w:r>
              <w:rPr>
                <w:b/>
                <w:i/>
                <w:sz w:val="22"/>
              </w:rPr>
              <w:t>Date of Birth</w:t>
            </w:r>
            <w:r>
              <w:rPr>
                <w:i/>
                <w:sz w:val="22"/>
              </w:rPr>
              <w:t>]</w:t>
            </w:r>
          </w:p>
        </w:tc>
      </w:tr>
      <w:tr w:rsidR="00157AAA" w:rsidRPr="00DC1D8D" w14:paraId="0F7495E4" w14:textId="77777777">
        <w:trPr>
          <w:cantSplit/>
          <w:jc w:val="center"/>
        </w:trPr>
        <w:tc>
          <w:tcPr>
            <w:tcW w:w="1440" w:type="dxa"/>
          </w:tcPr>
          <w:p w14:paraId="0BA418B4" w14:textId="77777777" w:rsidR="00157AAA" w:rsidRDefault="00157AAA">
            <w:pPr>
              <w:ind w:right="-360"/>
              <w:rPr>
                <w:sz w:val="22"/>
              </w:rPr>
            </w:pPr>
          </w:p>
        </w:tc>
        <w:tc>
          <w:tcPr>
            <w:tcW w:w="7650" w:type="dxa"/>
            <w:gridSpan w:val="2"/>
          </w:tcPr>
          <w:p w14:paraId="315470B5" w14:textId="77777777" w:rsidR="00157AAA" w:rsidRDefault="006C1BE5">
            <w:pPr>
              <w:ind w:right="-360"/>
              <w:rPr>
                <w:sz w:val="22"/>
                <w:lang w:val="fr-FR"/>
              </w:rPr>
            </w:pPr>
            <w:r>
              <w:rPr>
                <w:sz w:val="22"/>
                <w:lang w:val="fr-FR"/>
              </w:rPr>
              <w:t xml:space="preserve">Professional qualifications </w:t>
            </w:r>
            <w:r>
              <w:rPr>
                <w:i/>
                <w:sz w:val="22"/>
                <w:lang w:val="fr-FR"/>
              </w:rPr>
              <w:t>[</w:t>
            </w:r>
            <w:proofErr w:type="spellStart"/>
            <w:r>
              <w:rPr>
                <w:i/>
                <w:sz w:val="22"/>
                <w:lang w:val="fr-FR"/>
              </w:rPr>
              <w:t>describe</w:t>
            </w:r>
            <w:proofErr w:type="spellEnd"/>
            <w:r>
              <w:rPr>
                <w:i/>
                <w:sz w:val="22"/>
                <w:lang w:val="fr-FR"/>
              </w:rPr>
              <w:t xml:space="preserve"> </w:t>
            </w:r>
            <w:r>
              <w:rPr>
                <w:b/>
                <w:i/>
                <w:sz w:val="22"/>
                <w:lang w:val="fr-FR"/>
              </w:rPr>
              <w:t>Professional qualifications</w:t>
            </w:r>
            <w:r>
              <w:rPr>
                <w:i/>
                <w:sz w:val="22"/>
                <w:lang w:val="fr-FR"/>
              </w:rPr>
              <w:t>]</w:t>
            </w:r>
          </w:p>
        </w:tc>
      </w:tr>
      <w:tr w:rsidR="00157AAA" w:rsidRPr="00DC1D8D" w14:paraId="4CD4E63E" w14:textId="77777777">
        <w:trPr>
          <w:cantSplit/>
          <w:jc w:val="center"/>
        </w:trPr>
        <w:tc>
          <w:tcPr>
            <w:tcW w:w="1440" w:type="dxa"/>
          </w:tcPr>
          <w:p w14:paraId="06A6FFE8" w14:textId="77777777" w:rsidR="00157AAA" w:rsidRDefault="00157AAA">
            <w:pPr>
              <w:ind w:right="-360"/>
              <w:rPr>
                <w:sz w:val="22"/>
                <w:lang w:val="fr-FR"/>
              </w:rPr>
            </w:pPr>
          </w:p>
        </w:tc>
        <w:tc>
          <w:tcPr>
            <w:tcW w:w="7650" w:type="dxa"/>
            <w:gridSpan w:val="2"/>
          </w:tcPr>
          <w:p w14:paraId="4FB423F9" w14:textId="77777777" w:rsidR="00157AAA" w:rsidRDefault="00157AAA">
            <w:pPr>
              <w:ind w:right="-360"/>
              <w:rPr>
                <w:sz w:val="22"/>
                <w:lang w:val="fr-FR"/>
              </w:rPr>
            </w:pPr>
          </w:p>
        </w:tc>
      </w:tr>
      <w:tr w:rsidR="00157AAA" w14:paraId="41A9AF78" w14:textId="77777777">
        <w:trPr>
          <w:cantSplit/>
          <w:jc w:val="center"/>
        </w:trPr>
        <w:tc>
          <w:tcPr>
            <w:tcW w:w="1440" w:type="dxa"/>
          </w:tcPr>
          <w:p w14:paraId="1E91A9C0" w14:textId="77777777" w:rsidR="00157AAA" w:rsidRDefault="006C1BE5">
            <w:pPr>
              <w:ind w:right="-360"/>
              <w:rPr>
                <w:sz w:val="22"/>
              </w:rPr>
            </w:pPr>
            <w:r>
              <w:rPr>
                <w:sz w:val="22"/>
              </w:rPr>
              <w:t>Present employment</w:t>
            </w:r>
          </w:p>
        </w:tc>
        <w:tc>
          <w:tcPr>
            <w:tcW w:w="7650" w:type="dxa"/>
            <w:gridSpan w:val="2"/>
          </w:tcPr>
          <w:p w14:paraId="5529DA54" w14:textId="77777777" w:rsidR="00157AAA" w:rsidRDefault="006C1BE5">
            <w:pPr>
              <w:ind w:right="-360"/>
              <w:rPr>
                <w:sz w:val="22"/>
              </w:rPr>
            </w:pPr>
            <w:r>
              <w:rPr>
                <w:sz w:val="22"/>
              </w:rPr>
              <w:t xml:space="preserve">Name of Employer </w:t>
            </w:r>
            <w:r>
              <w:rPr>
                <w:i/>
                <w:sz w:val="22"/>
              </w:rPr>
              <w:t xml:space="preserve">[insert </w:t>
            </w:r>
            <w:r>
              <w:rPr>
                <w:b/>
                <w:i/>
                <w:sz w:val="22"/>
              </w:rPr>
              <w:t>Name of Present Employer</w:t>
            </w:r>
            <w:r>
              <w:rPr>
                <w:i/>
                <w:sz w:val="22"/>
              </w:rPr>
              <w:t>]</w:t>
            </w:r>
          </w:p>
        </w:tc>
      </w:tr>
      <w:tr w:rsidR="00157AAA" w14:paraId="7B8052DC" w14:textId="77777777">
        <w:trPr>
          <w:cantSplit/>
          <w:jc w:val="center"/>
        </w:trPr>
        <w:tc>
          <w:tcPr>
            <w:tcW w:w="1440" w:type="dxa"/>
          </w:tcPr>
          <w:p w14:paraId="25BD581A" w14:textId="77777777" w:rsidR="00157AAA" w:rsidRDefault="00157AAA">
            <w:pPr>
              <w:ind w:right="-360"/>
              <w:rPr>
                <w:sz w:val="22"/>
              </w:rPr>
            </w:pPr>
          </w:p>
        </w:tc>
        <w:tc>
          <w:tcPr>
            <w:tcW w:w="7650" w:type="dxa"/>
            <w:gridSpan w:val="2"/>
          </w:tcPr>
          <w:p w14:paraId="6BE99830" w14:textId="77777777" w:rsidR="00157AAA" w:rsidRDefault="006C1BE5">
            <w:pPr>
              <w:ind w:right="-360"/>
              <w:rPr>
                <w:sz w:val="22"/>
              </w:rPr>
            </w:pPr>
            <w:r>
              <w:rPr>
                <w:sz w:val="22"/>
              </w:rPr>
              <w:t xml:space="preserve">Address of Employer </w:t>
            </w:r>
            <w:r>
              <w:rPr>
                <w:i/>
                <w:sz w:val="22"/>
              </w:rPr>
              <w:t xml:space="preserve">[insert </w:t>
            </w:r>
            <w:r>
              <w:rPr>
                <w:b/>
                <w:i/>
                <w:sz w:val="22"/>
              </w:rPr>
              <w:t>Address of Present Employer</w:t>
            </w:r>
            <w:r>
              <w:rPr>
                <w:i/>
                <w:sz w:val="22"/>
              </w:rPr>
              <w:t>]</w:t>
            </w:r>
          </w:p>
        </w:tc>
      </w:tr>
      <w:tr w:rsidR="00157AAA" w14:paraId="17BE8383" w14:textId="77777777">
        <w:trPr>
          <w:cantSplit/>
          <w:jc w:val="center"/>
        </w:trPr>
        <w:tc>
          <w:tcPr>
            <w:tcW w:w="1440" w:type="dxa"/>
          </w:tcPr>
          <w:p w14:paraId="04F7B1A5" w14:textId="77777777" w:rsidR="00157AAA" w:rsidRDefault="00157AAA">
            <w:pPr>
              <w:ind w:right="-360"/>
              <w:rPr>
                <w:sz w:val="22"/>
              </w:rPr>
            </w:pPr>
          </w:p>
        </w:tc>
        <w:tc>
          <w:tcPr>
            <w:tcW w:w="3960" w:type="dxa"/>
          </w:tcPr>
          <w:p w14:paraId="2D66B3D3" w14:textId="77777777" w:rsidR="00157AAA" w:rsidRDefault="006C1BE5">
            <w:pPr>
              <w:ind w:right="-27"/>
              <w:rPr>
                <w:sz w:val="22"/>
              </w:rPr>
            </w:pPr>
            <w:r>
              <w:rPr>
                <w:sz w:val="22"/>
              </w:rPr>
              <w:t xml:space="preserve">Telephone </w:t>
            </w:r>
            <w:r>
              <w:rPr>
                <w:i/>
                <w:sz w:val="22"/>
              </w:rPr>
              <w:t xml:space="preserve">[insert </w:t>
            </w:r>
            <w:r>
              <w:rPr>
                <w:b/>
                <w:i/>
                <w:sz w:val="22"/>
              </w:rPr>
              <w:t>Telephone</w:t>
            </w:r>
            <w:r>
              <w:rPr>
                <w:i/>
                <w:sz w:val="22"/>
              </w:rPr>
              <w:t xml:space="preserve"> of </w:t>
            </w:r>
            <w:r>
              <w:rPr>
                <w:b/>
                <w:i/>
                <w:sz w:val="22"/>
              </w:rPr>
              <w:t>Contact</w:t>
            </w:r>
            <w:r>
              <w:rPr>
                <w:i/>
                <w:sz w:val="22"/>
              </w:rPr>
              <w:t>]</w:t>
            </w:r>
          </w:p>
        </w:tc>
        <w:tc>
          <w:tcPr>
            <w:tcW w:w="3690" w:type="dxa"/>
          </w:tcPr>
          <w:p w14:paraId="580D77EC" w14:textId="77777777" w:rsidR="00157AAA" w:rsidRDefault="006C1BE5">
            <w:pPr>
              <w:rPr>
                <w:sz w:val="22"/>
              </w:rPr>
            </w:pPr>
            <w:r>
              <w:rPr>
                <w:sz w:val="22"/>
              </w:rPr>
              <w:t xml:space="preserve">Contact (manager / personnel officer) </w:t>
            </w:r>
            <w:r>
              <w:rPr>
                <w:i/>
                <w:sz w:val="22"/>
              </w:rPr>
              <w:t xml:space="preserve">[insert </w:t>
            </w:r>
            <w:r>
              <w:rPr>
                <w:b/>
                <w:i/>
                <w:sz w:val="22"/>
              </w:rPr>
              <w:t>Name</w:t>
            </w:r>
            <w:r>
              <w:rPr>
                <w:i/>
                <w:sz w:val="22"/>
              </w:rPr>
              <w:t>]</w:t>
            </w:r>
          </w:p>
        </w:tc>
      </w:tr>
      <w:tr w:rsidR="00157AAA" w14:paraId="60C7361B" w14:textId="77777777">
        <w:trPr>
          <w:cantSplit/>
          <w:jc w:val="center"/>
        </w:trPr>
        <w:tc>
          <w:tcPr>
            <w:tcW w:w="1440" w:type="dxa"/>
          </w:tcPr>
          <w:p w14:paraId="02C7E5DA" w14:textId="77777777" w:rsidR="00157AAA" w:rsidRDefault="00157AAA">
            <w:pPr>
              <w:ind w:right="-360"/>
              <w:rPr>
                <w:sz w:val="22"/>
              </w:rPr>
            </w:pPr>
          </w:p>
        </w:tc>
        <w:tc>
          <w:tcPr>
            <w:tcW w:w="3960" w:type="dxa"/>
          </w:tcPr>
          <w:p w14:paraId="49C98495" w14:textId="77777777" w:rsidR="00157AAA" w:rsidRDefault="006C1BE5">
            <w:pPr>
              <w:ind w:right="-360"/>
              <w:rPr>
                <w:sz w:val="22"/>
              </w:rPr>
            </w:pPr>
            <w:r>
              <w:rPr>
                <w:sz w:val="22"/>
              </w:rPr>
              <w:t xml:space="preserve">Fax </w:t>
            </w:r>
            <w:r>
              <w:rPr>
                <w:i/>
                <w:sz w:val="22"/>
              </w:rPr>
              <w:t xml:space="preserve">[insert </w:t>
            </w:r>
            <w:r>
              <w:rPr>
                <w:b/>
                <w:i/>
                <w:sz w:val="22"/>
              </w:rPr>
              <w:t>fax of Contact</w:t>
            </w:r>
            <w:r>
              <w:rPr>
                <w:i/>
                <w:sz w:val="22"/>
              </w:rPr>
              <w:t>]</w:t>
            </w:r>
          </w:p>
        </w:tc>
        <w:tc>
          <w:tcPr>
            <w:tcW w:w="3690" w:type="dxa"/>
          </w:tcPr>
          <w:p w14:paraId="52F01E4C" w14:textId="77777777" w:rsidR="00157AAA" w:rsidRDefault="006C1BE5">
            <w:pPr>
              <w:ind w:right="-360"/>
              <w:rPr>
                <w:sz w:val="22"/>
              </w:rPr>
            </w:pPr>
            <w:r>
              <w:rPr>
                <w:sz w:val="22"/>
              </w:rPr>
              <w:t xml:space="preserve">email </w:t>
            </w:r>
            <w:r>
              <w:rPr>
                <w:i/>
                <w:sz w:val="22"/>
              </w:rPr>
              <w:t xml:space="preserve">[insert </w:t>
            </w:r>
            <w:r>
              <w:rPr>
                <w:b/>
                <w:i/>
                <w:sz w:val="22"/>
              </w:rPr>
              <w:t>email</w:t>
            </w:r>
            <w:r>
              <w:rPr>
                <w:i/>
                <w:sz w:val="22"/>
              </w:rPr>
              <w:t xml:space="preserve"> of </w:t>
            </w:r>
            <w:r>
              <w:rPr>
                <w:b/>
                <w:i/>
                <w:sz w:val="22"/>
              </w:rPr>
              <w:t>Contact</w:t>
            </w:r>
            <w:r>
              <w:rPr>
                <w:i/>
                <w:sz w:val="22"/>
              </w:rPr>
              <w:t>]</w:t>
            </w:r>
          </w:p>
        </w:tc>
      </w:tr>
      <w:tr w:rsidR="00157AAA" w14:paraId="247CFF77" w14:textId="77777777">
        <w:trPr>
          <w:cantSplit/>
          <w:jc w:val="center"/>
        </w:trPr>
        <w:tc>
          <w:tcPr>
            <w:tcW w:w="1440" w:type="dxa"/>
          </w:tcPr>
          <w:p w14:paraId="5573843F" w14:textId="77777777" w:rsidR="00157AAA" w:rsidRDefault="00157AAA">
            <w:pPr>
              <w:ind w:right="-360"/>
              <w:rPr>
                <w:sz w:val="22"/>
              </w:rPr>
            </w:pPr>
          </w:p>
        </w:tc>
        <w:tc>
          <w:tcPr>
            <w:tcW w:w="3960" w:type="dxa"/>
          </w:tcPr>
          <w:p w14:paraId="4BA547F1" w14:textId="77777777" w:rsidR="00157AAA" w:rsidRDefault="006C1BE5">
            <w:pPr>
              <w:ind w:right="-360"/>
              <w:rPr>
                <w:sz w:val="22"/>
              </w:rPr>
            </w:pPr>
            <w:r>
              <w:rPr>
                <w:sz w:val="22"/>
              </w:rPr>
              <w:t xml:space="preserve">Job title of candidate </w:t>
            </w:r>
            <w:r>
              <w:rPr>
                <w:i/>
                <w:sz w:val="22"/>
              </w:rPr>
              <w:t xml:space="preserve">[insert </w:t>
            </w:r>
            <w:r>
              <w:rPr>
                <w:b/>
                <w:i/>
                <w:sz w:val="22"/>
              </w:rPr>
              <w:t>Job Title of Candidate</w:t>
            </w:r>
            <w:r>
              <w:rPr>
                <w:i/>
                <w:sz w:val="22"/>
              </w:rPr>
              <w:t>]</w:t>
            </w:r>
          </w:p>
        </w:tc>
        <w:tc>
          <w:tcPr>
            <w:tcW w:w="3690" w:type="dxa"/>
          </w:tcPr>
          <w:p w14:paraId="1EC5C756" w14:textId="77777777" w:rsidR="00157AAA" w:rsidRDefault="006C1BE5">
            <w:pPr>
              <w:ind w:right="-360"/>
              <w:rPr>
                <w:sz w:val="22"/>
              </w:rPr>
            </w:pPr>
            <w:r>
              <w:rPr>
                <w:sz w:val="22"/>
              </w:rPr>
              <w:t xml:space="preserve">Years with present Employer </w:t>
            </w:r>
            <w:r>
              <w:rPr>
                <w:i/>
                <w:sz w:val="22"/>
              </w:rPr>
              <w:t xml:space="preserve">[insert </w:t>
            </w:r>
            <w:r>
              <w:rPr>
                <w:b/>
                <w:i/>
                <w:sz w:val="22"/>
              </w:rPr>
              <w:t>Job Number of years</w:t>
            </w:r>
            <w:r>
              <w:rPr>
                <w:i/>
                <w:sz w:val="22"/>
              </w:rPr>
              <w:t>]</w:t>
            </w:r>
          </w:p>
        </w:tc>
      </w:tr>
    </w:tbl>
    <w:p w14:paraId="6A614E2C" w14:textId="77777777" w:rsidR="00157AAA" w:rsidRDefault="00157AAA">
      <w:pPr>
        <w:ind w:right="-360"/>
        <w:rPr>
          <w:sz w:val="22"/>
        </w:rPr>
      </w:pPr>
    </w:p>
    <w:p w14:paraId="3200D4F0" w14:textId="77777777" w:rsidR="00157AAA" w:rsidRDefault="006C1BE5">
      <w:pPr>
        <w:spacing w:after="240"/>
      </w:pPr>
      <w:r>
        <w:t xml:space="preserve">Summarize professional experience over the last twenty years, in reverse chronological order. Indicate </w:t>
      </w:r>
      <w:proofErr w:type="gramStart"/>
      <w:r>
        <w:t>particular technical</w:t>
      </w:r>
      <w:proofErr w:type="gramEnd"/>
      <w:r>
        <w:t xml:space="preserve"> and managerial experience relevant to the project.</w:t>
      </w:r>
    </w:p>
    <w:tbl>
      <w:tblPr>
        <w:tblW w:w="8640" w:type="dxa"/>
        <w:jc w:val="center"/>
        <w:tblLayout w:type="fixed"/>
        <w:tblCellMar>
          <w:left w:w="72" w:type="dxa"/>
          <w:right w:w="72" w:type="dxa"/>
        </w:tblCellMar>
        <w:tblLook w:val="0000" w:firstRow="0" w:lastRow="0" w:firstColumn="0" w:lastColumn="0" w:noHBand="0" w:noVBand="0"/>
      </w:tblPr>
      <w:tblGrid>
        <w:gridCol w:w="1032"/>
        <w:gridCol w:w="1032"/>
        <w:gridCol w:w="6576"/>
      </w:tblGrid>
      <w:tr w:rsidR="00157AAA" w14:paraId="77309088" w14:textId="77777777">
        <w:trPr>
          <w:cantSplit/>
          <w:jc w:val="center"/>
        </w:trPr>
        <w:tc>
          <w:tcPr>
            <w:tcW w:w="1080" w:type="dxa"/>
            <w:tcBorders>
              <w:top w:val="single" w:sz="6" w:space="0" w:color="auto"/>
              <w:left w:val="single" w:sz="6" w:space="0" w:color="auto"/>
            </w:tcBorders>
          </w:tcPr>
          <w:p w14:paraId="64F5C4B1" w14:textId="77777777" w:rsidR="00157AAA" w:rsidRDefault="006C1BE5">
            <w:pPr>
              <w:pStyle w:val="Footer"/>
              <w:ind w:right="-360"/>
              <w:rPr>
                <w:sz w:val="22"/>
              </w:rPr>
            </w:pPr>
            <w:r>
              <w:rPr>
                <w:sz w:val="22"/>
              </w:rPr>
              <w:t>From</w:t>
            </w:r>
          </w:p>
        </w:tc>
        <w:tc>
          <w:tcPr>
            <w:tcW w:w="1080" w:type="dxa"/>
            <w:tcBorders>
              <w:top w:val="single" w:sz="6" w:space="0" w:color="auto"/>
              <w:left w:val="single" w:sz="6" w:space="0" w:color="auto"/>
            </w:tcBorders>
          </w:tcPr>
          <w:p w14:paraId="43879B68" w14:textId="77777777" w:rsidR="00157AAA" w:rsidRDefault="006C1BE5">
            <w:pPr>
              <w:pStyle w:val="Footer"/>
              <w:ind w:right="-360"/>
              <w:rPr>
                <w:sz w:val="22"/>
              </w:rPr>
            </w:pPr>
            <w:r>
              <w:rPr>
                <w:sz w:val="22"/>
              </w:rPr>
              <w:t>To</w:t>
            </w:r>
          </w:p>
        </w:tc>
        <w:tc>
          <w:tcPr>
            <w:tcW w:w="6930" w:type="dxa"/>
            <w:tcBorders>
              <w:top w:val="single" w:sz="6" w:space="0" w:color="auto"/>
              <w:left w:val="single" w:sz="6" w:space="0" w:color="auto"/>
              <w:right w:val="single" w:sz="6" w:space="0" w:color="auto"/>
            </w:tcBorders>
          </w:tcPr>
          <w:p w14:paraId="4461CE35" w14:textId="77777777" w:rsidR="00157AAA" w:rsidRDefault="006C1BE5">
            <w:pPr>
              <w:pStyle w:val="Footer"/>
              <w:ind w:right="-360"/>
              <w:rPr>
                <w:sz w:val="22"/>
              </w:rPr>
            </w:pPr>
            <w:r>
              <w:rPr>
                <w:sz w:val="22"/>
              </w:rPr>
              <w:t>Company/Project/ Position/Relevant technical and management experience</w:t>
            </w:r>
          </w:p>
        </w:tc>
      </w:tr>
      <w:tr w:rsidR="00157AAA" w14:paraId="2444F8A3" w14:textId="77777777">
        <w:trPr>
          <w:cantSplit/>
          <w:jc w:val="center"/>
        </w:trPr>
        <w:tc>
          <w:tcPr>
            <w:tcW w:w="1080" w:type="dxa"/>
            <w:tcBorders>
              <w:top w:val="single" w:sz="6" w:space="0" w:color="auto"/>
              <w:left w:val="single" w:sz="6" w:space="0" w:color="auto"/>
            </w:tcBorders>
          </w:tcPr>
          <w:p w14:paraId="1D25A3F9" w14:textId="77777777" w:rsidR="00157AAA" w:rsidRDefault="006C1BE5">
            <w:pPr>
              <w:ind w:right="-27"/>
              <w:rPr>
                <w:i/>
                <w:sz w:val="22"/>
              </w:rPr>
            </w:pPr>
            <w:r>
              <w:rPr>
                <w:i/>
                <w:sz w:val="22"/>
              </w:rPr>
              <w:t xml:space="preserve">[insert </w:t>
            </w:r>
            <w:r>
              <w:rPr>
                <w:b/>
                <w:i/>
                <w:sz w:val="22"/>
              </w:rPr>
              <w:t>year</w:t>
            </w:r>
            <w:r>
              <w:rPr>
                <w:i/>
                <w:sz w:val="22"/>
              </w:rPr>
              <w:t>]</w:t>
            </w:r>
          </w:p>
        </w:tc>
        <w:tc>
          <w:tcPr>
            <w:tcW w:w="1080" w:type="dxa"/>
            <w:tcBorders>
              <w:top w:val="single" w:sz="6" w:space="0" w:color="auto"/>
              <w:left w:val="single" w:sz="6" w:space="0" w:color="auto"/>
            </w:tcBorders>
          </w:tcPr>
          <w:p w14:paraId="481056F5" w14:textId="77777777" w:rsidR="00157AAA" w:rsidRDefault="006C1BE5">
            <w:pPr>
              <w:ind w:right="-27"/>
              <w:rPr>
                <w:sz w:val="22"/>
              </w:rPr>
            </w:pPr>
            <w:r>
              <w:rPr>
                <w:i/>
                <w:sz w:val="22"/>
              </w:rPr>
              <w:t xml:space="preserve">[insert </w:t>
            </w:r>
            <w:r>
              <w:rPr>
                <w:b/>
                <w:i/>
                <w:sz w:val="22"/>
              </w:rPr>
              <w:t>year</w:t>
            </w:r>
            <w:r>
              <w:rPr>
                <w:i/>
                <w:sz w:val="22"/>
              </w:rPr>
              <w:t>]</w:t>
            </w:r>
          </w:p>
        </w:tc>
        <w:tc>
          <w:tcPr>
            <w:tcW w:w="6930" w:type="dxa"/>
            <w:tcBorders>
              <w:top w:val="single" w:sz="6" w:space="0" w:color="auto"/>
              <w:left w:val="single" w:sz="6" w:space="0" w:color="auto"/>
              <w:right w:val="single" w:sz="6" w:space="0" w:color="auto"/>
            </w:tcBorders>
          </w:tcPr>
          <w:p w14:paraId="35E4C421" w14:textId="77777777" w:rsidR="00157AAA" w:rsidRDefault="006C1BE5">
            <w:pPr>
              <w:ind w:right="-360"/>
              <w:rPr>
                <w:i/>
              </w:rPr>
            </w:pPr>
            <w:r>
              <w:rPr>
                <w:i/>
              </w:rPr>
              <w:t xml:space="preserve">[describe </w:t>
            </w:r>
            <w:r>
              <w:rPr>
                <w:b/>
                <w:i/>
              </w:rPr>
              <w:t>experience relevant to the proposed Contract under the is RFB</w:t>
            </w:r>
            <w:r>
              <w:rPr>
                <w:i/>
              </w:rPr>
              <w:t>]</w:t>
            </w:r>
          </w:p>
        </w:tc>
      </w:tr>
      <w:tr w:rsidR="00157AAA" w14:paraId="47C6B35A" w14:textId="77777777">
        <w:trPr>
          <w:cantSplit/>
          <w:jc w:val="center"/>
        </w:trPr>
        <w:tc>
          <w:tcPr>
            <w:tcW w:w="1080" w:type="dxa"/>
            <w:tcBorders>
              <w:top w:val="single" w:sz="6" w:space="0" w:color="auto"/>
              <w:left w:val="single" w:sz="6" w:space="0" w:color="auto"/>
            </w:tcBorders>
          </w:tcPr>
          <w:p w14:paraId="0503461B" w14:textId="77777777" w:rsidR="00157AAA" w:rsidRDefault="006C1BE5">
            <w:pPr>
              <w:ind w:right="-27"/>
              <w:rPr>
                <w:i/>
                <w:sz w:val="22"/>
              </w:rPr>
            </w:pPr>
            <w:r>
              <w:rPr>
                <w:i/>
                <w:sz w:val="22"/>
              </w:rPr>
              <w:t xml:space="preserve">[insert </w:t>
            </w:r>
            <w:r>
              <w:rPr>
                <w:b/>
                <w:i/>
                <w:sz w:val="22"/>
              </w:rPr>
              <w:t>year</w:t>
            </w:r>
            <w:r>
              <w:rPr>
                <w:i/>
                <w:sz w:val="22"/>
              </w:rPr>
              <w:t>]</w:t>
            </w:r>
          </w:p>
        </w:tc>
        <w:tc>
          <w:tcPr>
            <w:tcW w:w="1080" w:type="dxa"/>
            <w:tcBorders>
              <w:top w:val="single" w:sz="6" w:space="0" w:color="auto"/>
              <w:left w:val="single" w:sz="6" w:space="0" w:color="auto"/>
            </w:tcBorders>
          </w:tcPr>
          <w:p w14:paraId="69A538D2" w14:textId="77777777" w:rsidR="00157AAA" w:rsidRDefault="006C1BE5">
            <w:pPr>
              <w:ind w:right="-27"/>
              <w:rPr>
                <w:sz w:val="22"/>
              </w:rPr>
            </w:pPr>
            <w:r>
              <w:rPr>
                <w:i/>
                <w:sz w:val="22"/>
              </w:rPr>
              <w:t xml:space="preserve">[insert </w:t>
            </w:r>
            <w:r>
              <w:rPr>
                <w:b/>
                <w:i/>
                <w:sz w:val="22"/>
              </w:rPr>
              <w:t>year</w:t>
            </w:r>
            <w:r>
              <w:rPr>
                <w:i/>
                <w:sz w:val="22"/>
              </w:rPr>
              <w:t>]</w:t>
            </w:r>
          </w:p>
        </w:tc>
        <w:tc>
          <w:tcPr>
            <w:tcW w:w="6930" w:type="dxa"/>
            <w:tcBorders>
              <w:top w:val="single" w:sz="6" w:space="0" w:color="auto"/>
              <w:left w:val="single" w:sz="6" w:space="0" w:color="auto"/>
              <w:right w:val="single" w:sz="6" w:space="0" w:color="auto"/>
            </w:tcBorders>
          </w:tcPr>
          <w:p w14:paraId="0281C747" w14:textId="77777777" w:rsidR="00157AAA" w:rsidRDefault="006C1BE5">
            <w:pPr>
              <w:ind w:right="-360"/>
              <w:rPr>
                <w:i/>
              </w:rPr>
            </w:pPr>
            <w:r>
              <w:rPr>
                <w:i/>
              </w:rPr>
              <w:t xml:space="preserve">[describe </w:t>
            </w:r>
            <w:r>
              <w:rPr>
                <w:b/>
                <w:i/>
              </w:rPr>
              <w:t>experience relevant to the proposed Contract under the is RFB</w:t>
            </w:r>
            <w:r>
              <w:rPr>
                <w:i/>
              </w:rPr>
              <w:t>]</w:t>
            </w:r>
          </w:p>
        </w:tc>
      </w:tr>
      <w:tr w:rsidR="00157AAA" w14:paraId="2D9958AC" w14:textId="77777777">
        <w:trPr>
          <w:cantSplit/>
          <w:jc w:val="center"/>
        </w:trPr>
        <w:tc>
          <w:tcPr>
            <w:tcW w:w="1080" w:type="dxa"/>
            <w:tcBorders>
              <w:top w:val="single" w:sz="6" w:space="0" w:color="auto"/>
              <w:left w:val="single" w:sz="6" w:space="0" w:color="auto"/>
              <w:bottom w:val="single" w:sz="6" w:space="0" w:color="auto"/>
            </w:tcBorders>
          </w:tcPr>
          <w:p w14:paraId="2CDB6541" w14:textId="77777777" w:rsidR="00157AAA" w:rsidRDefault="006C1BE5">
            <w:pPr>
              <w:ind w:right="-27"/>
              <w:rPr>
                <w:i/>
                <w:sz w:val="22"/>
              </w:rPr>
            </w:pPr>
            <w:r>
              <w:rPr>
                <w:i/>
                <w:sz w:val="22"/>
              </w:rPr>
              <w:t xml:space="preserve">[insert </w:t>
            </w:r>
            <w:r>
              <w:rPr>
                <w:b/>
                <w:i/>
                <w:sz w:val="22"/>
              </w:rPr>
              <w:t>year</w:t>
            </w:r>
            <w:r>
              <w:rPr>
                <w:i/>
                <w:sz w:val="22"/>
              </w:rPr>
              <w:t>]</w:t>
            </w:r>
          </w:p>
        </w:tc>
        <w:tc>
          <w:tcPr>
            <w:tcW w:w="1080" w:type="dxa"/>
            <w:tcBorders>
              <w:top w:val="single" w:sz="6" w:space="0" w:color="auto"/>
              <w:left w:val="single" w:sz="6" w:space="0" w:color="auto"/>
              <w:bottom w:val="single" w:sz="6" w:space="0" w:color="auto"/>
            </w:tcBorders>
          </w:tcPr>
          <w:p w14:paraId="77C84C1F" w14:textId="77777777" w:rsidR="00157AAA" w:rsidRDefault="006C1BE5">
            <w:pPr>
              <w:ind w:right="-27"/>
              <w:rPr>
                <w:sz w:val="22"/>
              </w:rPr>
            </w:pPr>
            <w:r>
              <w:rPr>
                <w:i/>
                <w:sz w:val="22"/>
              </w:rPr>
              <w:t xml:space="preserve">[insert </w:t>
            </w:r>
            <w:r>
              <w:rPr>
                <w:b/>
                <w:i/>
                <w:sz w:val="22"/>
              </w:rPr>
              <w:t>year</w:t>
            </w:r>
            <w:r>
              <w:rPr>
                <w:i/>
                <w:sz w:val="22"/>
              </w:rPr>
              <w:t>]</w:t>
            </w:r>
          </w:p>
        </w:tc>
        <w:tc>
          <w:tcPr>
            <w:tcW w:w="6930" w:type="dxa"/>
            <w:tcBorders>
              <w:top w:val="single" w:sz="6" w:space="0" w:color="auto"/>
              <w:left w:val="single" w:sz="6" w:space="0" w:color="auto"/>
              <w:bottom w:val="single" w:sz="6" w:space="0" w:color="auto"/>
              <w:right w:val="single" w:sz="6" w:space="0" w:color="auto"/>
            </w:tcBorders>
          </w:tcPr>
          <w:p w14:paraId="5A1D3579" w14:textId="77777777" w:rsidR="00157AAA" w:rsidRDefault="006C1BE5">
            <w:pPr>
              <w:ind w:right="-360"/>
              <w:rPr>
                <w:i/>
              </w:rPr>
            </w:pPr>
            <w:r>
              <w:rPr>
                <w:i/>
              </w:rPr>
              <w:t xml:space="preserve">[describe </w:t>
            </w:r>
            <w:r>
              <w:rPr>
                <w:b/>
                <w:i/>
              </w:rPr>
              <w:t>experience relevant to the proposed Contract under the is RFB</w:t>
            </w:r>
            <w:r>
              <w:rPr>
                <w:i/>
              </w:rPr>
              <w:t>]</w:t>
            </w:r>
          </w:p>
        </w:tc>
      </w:tr>
      <w:tr w:rsidR="00157AAA" w14:paraId="4320DA62" w14:textId="77777777">
        <w:trPr>
          <w:cantSplit/>
          <w:jc w:val="center"/>
        </w:trPr>
        <w:tc>
          <w:tcPr>
            <w:tcW w:w="1080" w:type="dxa"/>
            <w:tcBorders>
              <w:top w:val="single" w:sz="6" w:space="0" w:color="auto"/>
              <w:left w:val="single" w:sz="6" w:space="0" w:color="auto"/>
              <w:bottom w:val="single" w:sz="6" w:space="0" w:color="auto"/>
            </w:tcBorders>
          </w:tcPr>
          <w:p w14:paraId="6EEB7FAB" w14:textId="77777777" w:rsidR="00157AAA" w:rsidRDefault="006C1BE5">
            <w:pPr>
              <w:ind w:right="-27"/>
              <w:rPr>
                <w:i/>
                <w:sz w:val="22"/>
              </w:rPr>
            </w:pPr>
            <w:r>
              <w:rPr>
                <w:i/>
                <w:sz w:val="22"/>
              </w:rPr>
              <w:t xml:space="preserve">[insert </w:t>
            </w:r>
            <w:r>
              <w:rPr>
                <w:b/>
                <w:i/>
                <w:sz w:val="22"/>
              </w:rPr>
              <w:t>year</w:t>
            </w:r>
            <w:r>
              <w:rPr>
                <w:i/>
                <w:sz w:val="22"/>
              </w:rPr>
              <w:t>]</w:t>
            </w:r>
          </w:p>
        </w:tc>
        <w:tc>
          <w:tcPr>
            <w:tcW w:w="1080" w:type="dxa"/>
            <w:tcBorders>
              <w:top w:val="single" w:sz="6" w:space="0" w:color="auto"/>
              <w:left w:val="single" w:sz="6" w:space="0" w:color="auto"/>
              <w:bottom w:val="single" w:sz="6" w:space="0" w:color="auto"/>
            </w:tcBorders>
          </w:tcPr>
          <w:p w14:paraId="5B8DC45F" w14:textId="77777777" w:rsidR="00157AAA" w:rsidRDefault="006C1BE5">
            <w:pPr>
              <w:ind w:right="-27"/>
              <w:rPr>
                <w:sz w:val="22"/>
              </w:rPr>
            </w:pPr>
            <w:r>
              <w:rPr>
                <w:i/>
                <w:sz w:val="22"/>
              </w:rPr>
              <w:t xml:space="preserve">[insert </w:t>
            </w:r>
            <w:r>
              <w:rPr>
                <w:b/>
                <w:i/>
                <w:sz w:val="22"/>
              </w:rPr>
              <w:t>year</w:t>
            </w:r>
            <w:r>
              <w:rPr>
                <w:i/>
                <w:sz w:val="22"/>
              </w:rPr>
              <w:t>]</w:t>
            </w:r>
          </w:p>
        </w:tc>
        <w:tc>
          <w:tcPr>
            <w:tcW w:w="6930" w:type="dxa"/>
            <w:tcBorders>
              <w:top w:val="single" w:sz="6" w:space="0" w:color="auto"/>
              <w:left w:val="single" w:sz="6" w:space="0" w:color="auto"/>
              <w:bottom w:val="single" w:sz="6" w:space="0" w:color="auto"/>
              <w:right w:val="single" w:sz="6" w:space="0" w:color="auto"/>
            </w:tcBorders>
          </w:tcPr>
          <w:p w14:paraId="68B35716" w14:textId="77777777" w:rsidR="00157AAA" w:rsidRDefault="006C1BE5">
            <w:pPr>
              <w:ind w:right="-360"/>
              <w:rPr>
                <w:i/>
              </w:rPr>
            </w:pPr>
            <w:r>
              <w:rPr>
                <w:i/>
              </w:rPr>
              <w:t xml:space="preserve">[describe </w:t>
            </w:r>
            <w:r>
              <w:rPr>
                <w:b/>
                <w:i/>
              </w:rPr>
              <w:t>experience relevant to the proposed Contract under the is RFB</w:t>
            </w:r>
            <w:r>
              <w:rPr>
                <w:i/>
              </w:rPr>
              <w:t>]</w:t>
            </w:r>
          </w:p>
        </w:tc>
      </w:tr>
    </w:tbl>
    <w:p w14:paraId="5E66B0F3" w14:textId="77777777" w:rsidR="00157AAA" w:rsidRDefault="006C1BE5">
      <w:pPr>
        <w:spacing w:after="0"/>
        <w:jc w:val="left"/>
        <w:rPr>
          <w:sz w:val="22"/>
        </w:rPr>
      </w:pPr>
      <w:r>
        <w:rPr>
          <w:sz w:val="22"/>
        </w:rPr>
        <w:br w:type="page" w:clear="all"/>
      </w:r>
    </w:p>
    <w:p w14:paraId="249F41D5" w14:textId="77777777" w:rsidR="00157AAA" w:rsidRDefault="00157AAA">
      <w:pPr>
        <w:ind w:right="-360"/>
        <w:rPr>
          <w:sz w:val="22"/>
        </w:rPr>
      </w:pPr>
    </w:p>
    <w:p w14:paraId="0CAD3CE8" w14:textId="4E085239" w:rsidR="00157AAA" w:rsidRDefault="00E3729B">
      <w:pPr>
        <w:pStyle w:val="S4-header1"/>
      </w:pPr>
      <w:bookmarkStart w:id="626" w:name="_Toc163506172"/>
      <w:bookmarkStart w:id="627" w:name="_Toc28953950"/>
      <w:r>
        <w:rPr>
          <w:noProof/>
        </w:rPr>
        <mc:AlternateContent>
          <mc:Choice Requires="wps">
            <w:drawing>
              <wp:anchor distT="45720" distB="45720" distL="114300" distR="114300" simplePos="0" relativeHeight="251658241" behindDoc="0" locked="0" layoutInCell="1" allowOverlap="1" wp14:anchorId="01CCD9BB" wp14:editId="64B9FC13">
                <wp:simplePos x="0" y="0"/>
                <wp:positionH relativeFrom="column">
                  <wp:posOffset>71120</wp:posOffset>
                </wp:positionH>
                <wp:positionV relativeFrom="paragraph">
                  <wp:posOffset>765175</wp:posOffset>
                </wp:positionV>
                <wp:extent cx="5567680" cy="1274445"/>
                <wp:effectExtent l="0" t="0" r="0" b="1905"/>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1274445"/>
                        </a:xfrm>
                        <a:prstGeom prst="rect">
                          <a:avLst/>
                        </a:prstGeom>
                        <a:solidFill>
                          <a:srgbClr val="FFFFFF"/>
                        </a:solidFill>
                        <a:ln w="9525">
                          <a:solidFill>
                            <a:srgbClr val="000000"/>
                          </a:solidFill>
                          <a:miter lim="800000"/>
                          <a:headEnd/>
                          <a:tailEnd/>
                        </a:ln>
                      </wps:spPr>
                      <wps:txbx>
                        <w:txbxContent>
                          <w:p w14:paraId="7A85F086" w14:textId="77777777" w:rsidR="0026442C" w:rsidRDefault="0026442C">
                            <w:pPr>
                              <w:rPr>
                                <w:i/>
                              </w:rPr>
                            </w:pPr>
                            <w:r>
                              <w:rPr>
                                <w:b/>
                                <w:i/>
                              </w:rPr>
                              <w:t>Note to the Purchaser</w:t>
                            </w:r>
                            <w:r>
                              <w:rPr>
                                <w:i/>
                              </w:rPr>
                              <w:t xml:space="preserve">: </w:t>
                            </w:r>
                          </w:p>
                          <w:p w14:paraId="7F694554" w14:textId="77777777" w:rsidR="0026442C" w:rsidRDefault="0026442C">
                            <w:pPr>
                              <w:ind w:left="360"/>
                              <w:rPr>
                                <w:i/>
                              </w:rPr>
                            </w:pPr>
                            <w:r>
                              <w:rPr>
                                <w:b/>
                                <w:i/>
                              </w:rPr>
                              <w:t>The following minimum requirements shall not be modified</w:t>
                            </w:r>
                            <w:r>
                              <w:rPr>
                                <w:i/>
                              </w:rPr>
                              <w:t>. The Purchaser may add additional requirements to address identified issues, informed by relevant environmental and social assessment.</w:t>
                            </w:r>
                          </w:p>
                          <w:p w14:paraId="0495A314" w14:textId="77777777" w:rsidR="0026442C" w:rsidRDefault="0026442C">
                            <w:pPr>
                              <w:ind w:firstLine="360"/>
                              <w:rPr>
                                <w:b/>
                                <w:i/>
                              </w:rPr>
                            </w:pPr>
                            <w:r>
                              <w:rPr>
                                <w:b/>
                                <w:i/>
                              </w:rPr>
                              <w:t>Delete this Box prior to issuance of the bidding documents.</w:t>
                            </w:r>
                          </w:p>
                          <w:p w14:paraId="7B9DD79B" w14:textId="77777777" w:rsidR="0026442C" w:rsidRDefault="002644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CCD9BB" id="_x0000_t202" coordsize="21600,21600" o:spt="202" path="m,l,21600r21600,l21600,xe">
                <v:stroke joinstyle="miter"/>
                <v:path gradientshapeok="t" o:connecttype="rect"/>
              </v:shapetype>
              <v:shape id="Text Box 43" o:spid="_x0000_s1026" type="#_x0000_t202" style="position:absolute;left:0;text-align:left;margin-left:5.6pt;margin-top:60.25pt;width:438.4pt;height:100.3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">
                <v:textbox>
                  <w:txbxContent>
                    <w:p w14:paraId="7A85F086" w14:textId="77777777" w:rsidR="0026442C" w:rsidRDefault="0026442C">
                      <w:pPr>
                        <w:rPr>
                          <w:i/>
                        </w:rPr>
                      </w:pPr>
                      <w:r>
                        <w:rPr>
                          <w:b/>
                          <w:i/>
                        </w:rPr>
                        <w:t>Note to the Purchaser</w:t>
                      </w:r>
                      <w:r>
                        <w:rPr>
                          <w:i/>
                        </w:rPr>
                        <w:t xml:space="preserve">: </w:t>
                      </w:r>
                    </w:p>
                    <w:p w14:paraId="7F694554" w14:textId="77777777" w:rsidR="0026442C" w:rsidRDefault="0026442C">
                      <w:pPr>
                        <w:ind w:left="360"/>
                        <w:rPr>
                          <w:i/>
                        </w:rPr>
                      </w:pPr>
                      <w:r>
                        <w:rPr>
                          <w:b/>
                          <w:i/>
                        </w:rPr>
                        <w:t>The following minimum requirements shall not be modified</w:t>
                      </w:r>
                      <w:r>
                        <w:rPr>
                          <w:i/>
                        </w:rPr>
                        <w:t>. The Purchaser may add additional requirements to address identified issues, informed by relevant environmental and social assessment.</w:t>
                      </w:r>
                    </w:p>
                    <w:p w14:paraId="0495A314" w14:textId="77777777" w:rsidR="0026442C" w:rsidRDefault="0026442C">
                      <w:pPr>
                        <w:ind w:firstLine="360"/>
                        <w:rPr>
                          <w:b/>
                          <w:i/>
                        </w:rPr>
                      </w:pPr>
                      <w:r>
                        <w:rPr>
                          <w:b/>
                          <w:i/>
                        </w:rPr>
                        <w:t>Delete this Box prior to issuance of the bidding documents.</w:t>
                      </w:r>
                    </w:p>
                    <w:p w14:paraId="7B9DD79B" w14:textId="77777777" w:rsidR="0026442C" w:rsidRDefault="0026442C"/>
                  </w:txbxContent>
                </v:textbox>
                <w10:wrap type="square"/>
              </v:shape>
            </w:pict>
          </mc:Fallback>
        </mc:AlternateContent>
      </w:r>
      <w:r>
        <w:rPr>
          <w:noProof/>
        </w:rPr>
        <mc:AlternateContent>
          <mc:Choice Requires="wps">
            <w:drawing>
              <wp:anchor distT="45720" distB="45720" distL="114300" distR="114300" simplePos="0" relativeHeight="251658242" behindDoc="0" locked="0" layoutInCell="1" allowOverlap="1" wp14:anchorId="13B836C6" wp14:editId="7B5A0085">
                <wp:simplePos x="0" y="0"/>
                <wp:positionH relativeFrom="column">
                  <wp:posOffset>73025</wp:posOffset>
                </wp:positionH>
                <wp:positionV relativeFrom="paragraph">
                  <wp:posOffset>2250440</wp:posOffset>
                </wp:positionV>
                <wp:extent cx="5567680" cy="1489710"/>
                <wp:effectExtent l="0" t="0" r="0" b="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1489710"/>
                        </a:xfrm>
                        <a:prstGeom prst="rect">
                          <a:avLst/>
                        </a:prstGeom>
                        <a:solidFill>
                          <a:srgbClr val="FFFFFF"/>
                        </a:solidFill>
                        <a:ln w="9525">
                          <a:solidFill>
                            <a:srgbClr val="000000"/>
                          </a:solidFill>
                          <a:miter lim="800000"/>
                          <a:headEnd/>
                          <a:tailEnd/>
                        </a:ln>
                      </wps:spPr>
                      <wps:txbx>
                        <w:txbxContent>
                          <w:p w14:paraId="10556B52" w14:textId="77777777" w:rsidR="0026442C" w:rsidRPr="00027431" w:rsidRDefault="0026442C">
                            <w:r w:rsidRPr="00027431">
                              <w:rPr>
                                <w:b/>
                              </w:rPr>
                              <w:t>Note to the Bidder</w:t>
                            </w:r>
                            <w:r w:rsidRPr="00027431">
                              <w:t xml:space="preserve">: </w:t>
                            </w:r>
                          </w:p>
                          <w:p w14:paraId="3802DD64" w14:textId="77777777" w:rsidR="0026442C" w:rsidRPr="00027431" w:rsidRDefault="0026442C">
                            <w:pPr>
                              <w:spacing w:after="240"/>
                              <w:ind w:left="360"/>
                            </w:pPr>
                            <w:r w:rsidRPr="00027431">
                              <w:rPr>
                                <w:b/>
                              </w:rPr>
                              <w:t>The minimum content of the Code of Conduct form as set out by the Purchaser shall not be substantially modified</w:t>
                            </w:r>
                            <w:r w:rsidRPr="00027431">
                              <w:t xml:space="preserve">. However, the Bidder may add requirements as appropriate, including to take into account Contract-specific issues/risks.  </w:t>
                            </w:r>
                          </w:p>
                          <w:p w14:paraId="60F40C6F" w14:textId="77777777" w:rsidR="0026442C" w:rsidRDefault="0026442C">
                            <w:pPr>
                              <w:ind w:left="360"/>
                              <w:rPr>
                                <w:bCs/>
                              </w:rPr>
                            </w:pPr>
                            <w:r w:rsidRPr="00027431">
                              <w:t>The Bidder shall initial and submit the Code of Conduct form as part of its bid.</w:t>
                            </w:r>
                          </w:p>
                          <w:p w14:paraId="0D8DE6A1" w14:textId="77777777" w:rsidR="0026442C" w:rsidRDefault="002644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836C6" id="Text Box 42" o:spid="_x0000_s1027" type="#_x0000_t202" style="position:absolute;left:0;text-align:left;margin-left:5.75pt;margin-top:177.2pt;width:438.4pt;height:117.3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">
                <v:textbox>
                  <w:txbxContent>
                    <w:p w14:paraId="10556B52" w14:textId="77777777" w:rsidR="0026442C" w:rsidRPr="00027431" w:rsidRDefault="0026442C">
                      <w:r w:rsidRPr="00027431">
                        <w:rPr>
                          <w:b/>
                        </w:rPr>
                        <w:t>Note to the Bidder</w:t>
                      </w:r>
                      <w:r w:rsidRPr="00027431">
                        <w:t xml:space="preserve">: </w:t>
                      </w:r>
                    </w:p>
                    <w:p w14:paraId="3802DD64" w14:textId="77777777" w:rsidR="0026442C" w:rsidRPr="00027431" w:rsidRDefault="0026442C">
                      <w:pPr>
                        <w:spacing w:after="240"/>
                        <w:ind w:left="360"/>
                      </w:pPr>
                      <w:r w:rsidRPr="00027431">
                        <w:rPr>
                          <w:b/>
                        </w:rPr>
                        <w:t>The minimum content of the Code of Conduct form as set out by the Purchaser shall not be substantially modified</w:t>
                      </w:r>
                      <w:r w:rsidRPr="00027431">
                        <w:t xml:space="preserve">. However, the Bidder may add requirements as appropriate, including to take into account Contract-specific issues/risks.  </w:t>
                      </w:r>
                    </w:p>
                    <w:p w14:paraId="60F40C6F" w14:textId="77777777" w:rsidR="0026442C" w:rsidRDefault="0026442C">
                      <w:pPr>
                        <w:ind w:left="360"/>
                        <w:rPr>
                          <w:bCs/>
                        </w:rPr>
                      </w:pPr>
                      <w:r w:rsidRPr="00027431">
                        <w:t>The Bidder shall initial and submit the Code of Conduct form as part of its bid.</w:t>
                      </w:r>
                    </w:p>
                    <w:p w14:paraId="0D8DE6A1" w14:textId="77777777" w:rsidR="0026442C" w:rsidRDefault="0026442C"/>
                  </w:txbxContent>
                </v:textbox>
                <w10:wrap type="square"/>
              </v:shape>
            </w:pict>
          </mc:Fallback>
        </mc:AlternateContent>
      </w:r>
      <w:r w:rsidR="006C1BE5">
        <w:rPr>
          <w:smallCaps/>
        </w:rPr>
        <w:t>Code of Conduct for Supplier’s Personnel Form</w:t>
      </w:r>
      <w:bookmarkStart w:id="628" w:name="_Hlk534203457"/>
      <w:bookmarkEnd w:id="626"/>
    </w:p>
    <w:p w14:paraId="17D55BF9" w14:textId="77777777" w:rsidR="00157AAA" w:rsidRDefault="00157AAA">
      <w:pPr>
        <w:spacing w:before="240"/>
        <w:rPr>
          <w:b/>
          <w:sz w:val="28"/>
          <w:szCs w:val="28"/>
        </w:rPr>
      </w:pPr>
      <w:bookmarkStart w:id="629" w:name="_Hlk27225778"/>
      <w:bookmarkEnd w:id="627"/>
    </w:p>
    <w:p w14:paraId="6F361CBF" w14:textId="77777777" w:rsidR="00157AAA" w:rsidRDefault="006C1BE5">
      <w:pPr>
        <w:spacing w:before="240"/>
        <w:jc w:val="center"/>
        <w:rPr>
          <w:bCs/>
          <w:i/>
        </w:rPr>
      </w:pPr>
      <w:r>
        <w:rPr>
          <w:b/>
          <w:sz w:val="28"/>
          <w:szCs w:val="28"/>
        </w:rPr>
        <w:t>CODE OF CONDUCT FOR SUPPLIER’S PERSONNEL</w:t>
      </w:r>
      <w:bookmarkEnd w:id="629"/>
    </w:p>
    <w:p w14:paraId="09F9BB8F" w14:textId="77777777" w:rsidR="00157AAA" w:rsidRDefault="006C1BE5">
      <w:pPr>
        <w:spacing w:before="240" w:after="240"/>
        <w:ind w:right="-72"/>
        <w:rPr>
          <w:bCs/>
          <w:strike/>
        </w:rPr>
      </w:pPr>
      <w:r>
        <w:rPr>
          <w:bCs/>
        </w:rPr>
        <w:t>We are the Supplier, [</w:t>
      </w:r>
      <w:r>
        <w:rPr>
          <w:bCs/>
          <w:i/>
        </w:rPr>
        <w:t>enter name of Supplier</w:t>
      </w:r>
      <w:r>
        <w:rPr>
          <w:bCs/>
        </w:rPr>
        <w:t>].  We have signed a contract with [</w:t>
      </w:r>
      <w:r>
        <w:rPr>
          <w:bCs/>
          <w:i/>
        </w:rPr>
        <w:t>enter name of Purchaser</w:t>
      </w:r>
      <w:r>
        <w:rPr>
          <w:bCs/>
        </w:rPr>
        <w:t>] for [</w:t>
      </w:r>
      <w:r>
        <w:rPr>
          <w:bCs/>
          <w:i/>
        </w:rPr>
        <w:t>enter description of the Information System</w:t>
      </w:r>
      <w:r>
        <w:rPr>
          <w:bCs/>
        </w:rPr>
        <w:t>]. The Information System will be supplied to and installed at [</w:t>
      </w:r>
      <w:r>
        <w:rPr>
          <w:bCs/>
          <w:i/>
        </w:rPr>
        <w:t>enter the Project Site/s]</w:t>
      </w:r>
      <w:r>
        <w:rPr>
          <w:bCs/>
        </w:rPr>
        <w:t>. Our contract requires us to implement measures to address environmental and social risks.</w:t>
      </w:r>
    </w:p>
    <w:p w14:paraId="4C9D0D47" w14:textId="77777777" w:rsidR="00157AAA" w:rsidRDefault="006C1BE5">
      <w:pPr>
        <w:spacing w:before="240" w:line="252" w:lineRule="auto"/>
        <w:rPr>
          <w:bCs/>
        </w:rPr>
      </w:pPr>
      <w:r>
        <w:rPr>
          <w:bCs/>
        </w:rPr>
        <w:t xml:space="preserve">This Code of Conduct identifies the behavior that we require from </w:t>
      </w:r>
      <w:bookmarkStart w:id="630" w:name="_Hlk26970869"/>
      <w:r>
        <w:rPr>
          <w:bCs/>
        </w:rPr>
        <w:t xml:space="preserve">Supplier’s </w:t>
      </w:r>
      <w:bookmarkStart w:id="631" w:name="_Hlk27053939"/>
      <w:r>
        <w:rPr>
          <w:bCs/>
        </w:rPr>
        <w:t xml:space="preserve">Personnel </w:t>
      </w:r>
      <w:r>
        <w:t>employed in the execution of the Contract at the Project Site</w:t>
      </w:r>
      <w:bookmarkEnd w:id="630"/>
      <w:bookmarkEnd w:id="631"/>
      <w:r>
        <w:t xml:space="preserve">/s. </w:t>
      </w:r>
    </w:p>
    <w:p w14:paraId="40133CB4" w14:textId="77777777" w:rsidR="00157AAA" w:rsidRDefault="006C1BE5">
      <w:pPr>
        <w:spacing w:before="240" w:line="252" w:lineRule="auto"/>
        <w:rPr>
          <w:bCs/>
        </w:rPr>
      </w:pPr>
      <w:r>
        <w:rPr>
          <w:bCs/>
        </w:rPr>
        <w:t xml:space="preserve">Our workplace is an environment where unsafe, offensive, </w:t>
      </w:r>
      <w:proofErr w:type="gramStart"/>
      <w:r>
        <w:rPr>
          <w:bCs/>
        </w:rPr>
        <w:t>abusive</w:t>
      </w:r>
      <w:proofErr w:type="gramEnd"/>
      <w:r>
        <w:rPr>
          <w:bCs/>
        </w:rPr>
        <w:t xml:space="preserve"> or violent behavior will not be tolerated and where all persons should feel comfortable raising issues or concerns without fear of retaliation.</w:t>
      </w:r>
    </w:p>
    <w:p w14:paraId="3D0C8C0C" w14:textId="77777777" w:rsidR="00157AAA" w:rsidRDefault="006C1BE5">
      <w:pPr>
        <w:keepNext/>
        <w:spacing w:before="240" w:line="252" w:lineRule="auto"/>
        <w:rPr>
          <w:b/>
          <w:bCs/>
        </w:rPr>
      </w:pPr>
      <w:r>
        <w:rPr>
          <w:b/>
          <w:bCs/>
        </w:rPr>
        <w:t>REQUIRED CONDUCT</w:t>
      </w:r>
    </w:p>
    <w:p w14:paraId="25658D37" w14:textId="77777777" w:rsidR="00157AAA" w:rsidRDefault="006C1BE5">
      <w:pPr>
        <w:keepNext/>
        <w:spacing w:line="252" w:lineRule="auto"/>
        <w:rPr>
          <w:bCs/>
        </w:rPr>
      </w:pPr>
      <w:r>
        <w:rPr>
          <w:bCs/>
        </w:rPr>
        <w:t xml:space="preserve">Supplier’s Personnel </w:t>
      </w:r>
      <w:r>
        <w:t xml:space="preserve">employed in the execution of the Contract at the Project Site/s </w:t>
      </w:r>
      <w:r>
        <w:rPr>
          <w:bCs/>
        </w:rPr>
        <w:t>shall:</w:t>
      </w:r>
    </w:p>
    <w:p w14:paraId="43E73D30" w14:textId="77777777" w:rsidR="00157AAA" w:rsidRDefault="006C1BE5" w:rsidP="00D530D5">
      <w:pPr>
        <w:pStyle w:val="ListParagraph"/>
        <w:numPr>
          <w:ilvl w:val="0"/>
          <w:numId w:val="50"/>
        </w:numPr>
        <w:contextualSpacing w:val="0"/>
        <w:rPr>
          <w:rFonts w:eastAsia="Arial Narrow"/>
          <w:color w:val="000000"/>
        </w:rPr>
      </w:pPr>
      <w:r>
        <w:rPr>
          <w:rFonts w:eastAsia="Arial Narrow"/>
          <w:color w:val="000000"/>
        </w:rPr>
        <w:t xml:space="preserve">carry out his/her duties competently and </w:t>
      </w:r>
      <w:proofErr w:type="gramStart"/>
      <w:r>
        <w:rPr>
          <w:rFonts w:eastAsia="Arial Narrow"/>
          <w:color w:val="000000"/>
        </w:rPr>
        <w:t>diligently;</w:t>
      </w:r>
      <w:proofErr w:type="gramEnd"/>
    </w:p>
    <w:p w14:paraId="19233BD9" w14:textId="77777777" w:rsidR="00157AAA" w:rsidRDefault="006C1BE5" w:rsidP="00D530D5">
      <w:pPr>
        <w:pStyle w:val="ListParagraph"/>
        <w:numPr>
          <w:ilvl w:val="0"/>
          <w:numId w:val="50"/>
        </w:numPr>
        <w:spacing w:line="240" w:lineRule="atLeast"/>
        <w:contextualSpacing w:val="0"/>
        <w:rPr>
          <w:rFonts w:eastAsia="Calibri" w:cs="Arial"/>
        </w:rPr>
      </w:pPr>
      <w:r>
        <w:rPr>
          <w:rFonts w:eastAsia="Arial Narrow"/>
          <w:color w:val="000000"/>
        </w:rPr>
        <w:t xml:space="preserve">comply with this Code of Conduct and all applicable laws, regulations and other requirements, including requirements </w:t>
      </w:r>
      <w:r>
        <w:t xml:space="preserve">to protect the health, safety and well-being of other Supplier’s Personnel and any other </w:t>
      </w:r>
      <w:proofErr w:type="gramStart"/>
      <w:r>
        <w:t>person;</w:t>
      </w:r>
      <w:proofErr w:type="gramEnd"/>
      <w:r>
        <w:rPr>
          <w:rFonts w:eastAsia="Calibri" w:cs="Arial"/>
        </w:rPr>
        <w:t xml:space="preserve"> </w:t>
      </w:r>
    </w:p>
    <w:p w14:paraId="77BBAC66" w14:textId="77777777" w:rsidR="00157AAA" w:rsidRDefault="006C1BE5" w:rsidP="00D530D5">
      <w:pPr>
        <w:pStyle w:val="ListParagraph"/>
        <w:numPr>
          <w:ilvl w:val="0"/>
          <w:numId w:val="50"/>
        </w:numPr>
        <w:spacing w:line="240" w:lineRule="atLeast"/>
        <w:contextualSpacing w:val="0"/>
        <w:rPr>
          <w:rFonts w:eastAsia="Calibri" w:cs="Arial"/>
        </w:rPr>
      </w:pPr>
      <w:r>
        <w:rPr>
          <w:lang w:eastAsia="en-GB"/>
        </w:rPr>
        <w:t>maintain a safe working environment including by:</w:t>
      </w:r>
    </w:p>
    <w:p w14:paraId="75D1CA93" w14:textId="77777777" w:rsidR="00157AAA" w:rsidRDefault="006C1BE5" w:rsidP="00D530D5">
      <w:pPr>
        <w:pStyle w:val="ListParagraph"/>
        <w:numPr>
          <w:ilvl w:val="1"/>
          <w:numId w:val="50"/>
        </w:numPr>
        <w:spacing w:line="240" w:lineRule="atLeast"/>
        <w:contextualSpacing w:val="0"/>
        <w:rPr>
          <w:rFonts w:eastAsia="Calibri" w:cs="Arial"/>
        </w:rPr>
      </w:pPr>
      <w:r>
        <w:rPr>
          <w:lang w:eastAsia="en-GB"/>
        </w:rPr>
        <w:lastRenderedPageBreak/>
        <w:t xml:space="preserve">ensuring that workplaces, machinery, equipment and processes under each person’s control are safe and without risk to </w:t>
      </w:r>
      <w:proofErr w:type="gramStart"/>
      <w:r>
        <w:rPr>
          <w:lang w:eastAsia="en-GB"/>
        </w:rPr>
        <w:t>health;</w:t>
      </w:r>
      <w:proofErr w:type="gramEnd"/>
      <w:r>
        <w:rPr>
          <w:lang w:eastAsia="en-GB"/>
        </w:rPr>
        <w:t xml:space="preserve"> </w:t>
      </w:r>
    </w:p>
    <w:p w14:paraId="0C555D9F" w14:textId="77777777" w:rsidR="00157AAA" w:rsidRDefault="006C1BE5" w:rsidP="00D530D5">
      <w:pPr>
        <w:pStyle w:val="ListParagraph"/>
        <w:numPr>
          <w:ilvl w:val="1"/>
          <w:numId w:val="50"/>
        </w:numPr>
        <w:spacing w:line="240" w:lineRule="atLeast"/>
        <w:contextualSpacing w:val="0"/>
        <w:rPr>
          <w:rFonts w:eastAsia="Calibri" w:cs="Arial"/>
        </w:rPr>
      </w:pPr>
      <w:r>
        <w:rPr>
          <w:rFonts w:eastAsia="Calibri"/>
        </w:rPr>
        <w:t xml:space="preserve">wearing required personal protective </w:t>
      </w:r>
      <w:proofErr w:type="gramStart"/>
      <w:r>
        <w:rPr>
          <w:rFonts w:eastAsia="Calibri"/>
        </w:rPr>
        <w:t>equipment;</w:t>
      </w:r>
      <w:proofErr w:type="gramEnd"/>
      <w:r>
        <w:rPr>
          <w:rFonts w:eastAsia="Calibri"/>
        </w:rPr>
        <w:t xml:space="preserve"> </w:t>
      </w:r>
      <w:r>
        <w:rPr>
          <w:lang w:eastAsia="en-GB"/>
        </w:rPr>
        <w:t xml:space="preserve">  </w:t>
      </w:r>
    </w:p>
    <w:p w14:paraId="41F545BF" w14:textId="77777777" w:rsidR="00157AAA" w:rsidRDefault="006C1BE5" w:rsidP="00D530D5">
      <w:pPr>
        <w:pStyle w:val="ListParagraph"/>
        <w:numPr>
          <w:ilvl w:val="1"/>
          <w:numId w:val="50"/>
        </w:numPr>
        <w:spacing w:line="240" w:lineRule="atLeast"/>
        <w:contextualSpacing w:val="0"/>
        <w:rPr>
          <w:rFonts w:eastAsia="Calibri" w:cs="Arial"/>
        </w:rPr>
      </w:pPr>
      <w:r>
        <w:rPr>
          <w:lang w:eastAsia="en-GB"/>
        </w:rPr>
        <w:t xml:space="preserve">using appropriate measures relating to </w:t>
      </w:r>
      <w:r>
        <w:t xml:space="preserve">chemical, physical and biological </w:t>
      </w:r>
      <w:proofErr w:type="gramStart"/>
      <w:r>
        <w:t>substances</w:t>
      </w:r>
      <w:proofErr w:type="gramEnd"/>
      <w:r>
        <w:t xml:space="preserve"> and agents</w:t>
      </w:r>
      <w:r>
        <w:rPr>
          <w:lang w:eastAsia="en-GB"/>
        </w:rPr>
        <w:t>; and</w:t>
      </w:r>
    </w:p>
    <w:p w14:paraId="798197EF" w14:textId="77777777" w:rsidR="00157AAA" w:rsidRDefault="006C1BE5" w:rsidP="00D530D5">
      <w:pPr>
        <w:pStyle w:val="ListParagraph"/>
        <w:numPr>
          <w:ilvl w:val="1"/>
          <w:numId w:val="50"/>
        </w:numPr>
        <w:spacing w:line="240" w:lineRule="atLeast"/>
        <w:contextualSpacing w:val="0"/>
        <w:rPr>
          <w:rFonts w:eastAsia="Calibri" w:cs="Arial"/>
        </w:rPr>
      </w:pPr>
      <w:r>
        <w:rPr>
          <w:lang w:eastAsia="en-GB"/>
        </w:rPr>
        <w:t>following applicable emergency operating procedures.</w:t>
      </w:r>
    </w:p>
    <w:p w14:paraId="7BAEAD12" w14:textId="77777777" w:rsidR="00157AAA" w:rsidRDefault="006C1BE5" w:rsidP="00D530D5">
      <w:pPr>
        <w:pStyle w:val="ListParagraph"/>
        <w:numPr>
          <w:ilvl w:val="0"/>
          <w:numId w:val="50"/>
        </w:numPr>
        <w:contextualSpacing w:val="0"/>
        <w:rPr>
          <w:rFonts w:eastAsia="Arial Narrow"/>
          <w:color w:val="000000"/>
        </w:rPr>
      </w:pPr>
      <w:r>
        <w:rPr>
          <w:rFonts w:eastAsia="Arial Narrow"/>
          <w:color w:val="000000"/>
        </w:rPr>
        <w:t xml:space="preserve">report </w:t>
      </w:r>
      <w:r>
        <w:rPr>
          <w:lang w:eastAsia="en-GB"/>
        </w:rPr>
        <w:t xml:space="preserve">work situations that he/she believes are not safe or healthy and remove himself/herself from a work situation which he/she reasonably believes presents an imminent and serious danger to his/her life or </w:t>
      </w:r>
      <w:proofErr w:type="gramStart"/>
      <w:r>
        <w:rPr>
          <w:lang w:eastAsia="en-GB"/>
        </w:rPr>
        <w:t>health;</w:t>
      </w:r>
      <w:proofErr w:type="gramEnd"/>
    </w:p>
    <w:p w14:paraId="7732987A" w14:textId="77777777" w:rsidR="00157AAA" w:rsidRDefault="006C1BE5" w:rsidP="00D530D5">
      <w:pPr>
        <w:pStyle w:val="ListParagraph"/>
        <w:numPr>
          <w:ilvl w:val="0"/>
          <w:numId w:val="50"/>
        </w:numPr>
        <w:contextualSpacing w:val="0"/>
        <w:rPr>
          <w:rFonts w:eastAsia="Arial Narrow"/>
          <w:color w:val="000000"/>
        </w:rPr>
      </w:pPr>
      <w:r>
        <w:rPr>
          <w:bCs/>
        </w:rPr>
        <w:t xml:space="preserve">treat other people with respect, and not discriminate against </w:t>
      </w:r>
      <w:r>
        <w:rPr>
          <w:rFonts w:eastAsia="Arial Narrow"/>
          <w:color w:val="000000"/>
        </w:rPr>
        <w:t xml:space="preserve">specific groups such as women, people with disabilities, migrant workers or </w:t>
      </w:r>
      <w:proofErr w:type="gramStart"/>
      <w:r>
        <w:rPr>
          <w:rFonts w:eastAsia="Arial Narrow"/>
          <w:color w:val="000000"/>
        </w:rPr>
        <w:t>children;</w:t>
      </w:r>
      <w:proofErr w:type="gramEnd"/>
    </w:p>
    <w:p w14:paraId="6B1073C8" w14:textId="77777777" w:rsidR="00157AAA" w:rsidRDefault="006C1BE5" w:rsidP="00D530D5">
      <w:pPr>
        <w:pStyle w:val="ListParagraph"/>
        <w:numPr>
          <w:ilvl w:val="0"/>
          <w:numId w:val="50"/>
        </w:numPr>
        <w:spacing w:line="240" w:lineRule="atLeast"/>
        <w:contextualSpacing w:val="0"/>
        <w:rPr>
          <w:rFonts w:eastAsia="Arial Narrow"/>
          <w:color w:val="000000"/>
        </w:rPr>
      </w:pPr>
      <w:r>
        <w:rPr>
          <w:bCs/>
        </w:rPr>
        <w:t>not engage</w:t>
      </w:r>
      <w:r>
        <w:rPr>
          <w:rFonts w:eastAsia="Arial Narrow"/>
          <w:color w:val="000000"/>
        </w:rPr>
        <w:t xml:space="preserve"> </w:t>
      </w:r>
      <w:r>
        <w:rPr>
          <w:bCs/>
        </w:rPr>
        <w:t xml:space="preserve">in any form of sexual harassment including </w:t>
      </w:r>
      <w:r>
        <w:t xml:space="preserve">unwelcome sexual advances, requests for sexual favors, and other verbal or physical conduct of a sexual nature with other Supplier’s or Purchaser’s </w:t>
      </w:r>
      <w:proofErr w:type="gramStart"/>
      <w:r>
        <w:t>Personnel;</w:t>
      </w:r>
      <w:proofErr w:type="gramEnd"/>
    </w:p>
    <w:p w14:paraId="7136BC69" w14:textId="77777777" w:rsidR="00157AAA" w:rsidRDefault="006C1BE5" w:rsidP="00D530D5">
      <w:pPr>
        <w:pStyle w:val="ListParagraph"/>
        <w:numPr>
          <w:ilvl w:val="0"/>
          <w:numId w:val="50"/>
        </w:numPr>
        <w:contextualSpacing w:val="0"/>
        <w:rPr>
          <w:color w:val="000000" w:themeColor="text1"/>
        </w:rPr>
      </w:pPr>
      <w:bookmarkStart w:id="632" w:name="_Hlk11663505"/>
      <w:r>
        <w:t xml:space="preserve">not engage in </w:t>
      </w:r>
      <w:bookmarkStart w:id="633" w:name="_Hlk10196619"/>
      <w:r>
        <w:t xml:space="preserve">Sexual Exploitation, which means any actual or attempted abuse of position of vulnerability, differential power or trust, for sexual purposes, including, but not limited to, profiting monetarily, socially or politically from the sexual exploitation of </w:t>
      </w:r>
      <w:proofErr w:type="gramStart"/>
      <w:r>
        <w:t>another</w:t>
      </w:r>
      <w:r>
        <w:rPr>
          <w:color w:val="000000" w:themeColor="text1"/>
        </w:rPr>
        <w:t>;</w:t>
      </w:r>
      <w:bookmarkEnd w:id="633"/>
      <w:proofErr w:type="gramEnd"/>
    </w:p>
    <w:p w14:paraId="5BE6F29E" w14:textId="77777777" w:rsidR="00157AAA" w:rsidRDefault="006C1BE5" w:rsidP="00D530D5">
      <w:pPr>
        <w:pStyle w:val="StyleP3Header1-ClausesAfter12pt"/>
        <w:numPr>
          <w:ilvl w:val="0"/>
          <w:numId w:val="50"/>
        </w:numPr>
        <w:tabs>
          <w:tab w:val="clear" w:pos="972"/>
          <w:tab w:val="clear" w:pos="1008"/>
        </w:tabs>
        <w:spacing w:after="120" w:line="240" w:lineRule="atLeast"/>
        <w:rPr>
          <w:rFonts w:eastAsia="Calibri" w:cs="Arial"/>
          <w:lang w:val="en-US"/>
        </w:rPr>
      </w:pPr>
      <w:bookmarkStart w:id="634" w:name="_Hlk10196916"/>
      <w:r>
        <w:rPr>
          <w:lang w:val="en-US"/>
        </w:rPr>
        <w:t xml:space="preserve">not engage in in Sexual </w:t>
      </w:r>
      <w:proofErr w:type="gramStart"/>
      <w:r>
        <w:rPr>
          <w:lang w:val="en-US"/>
        </w:rPr>
        <w:t>Abuse,  which</w:t>
      </w:r>
      <w:proofErr w:type="gramEnd"/>
      <w:r>
        <w:rPr>
          <w:lang w:val="en-US"/>
        </w:rPr>
        <w:t xml:space="preserve"> means the actual or threatened physical intrusion of a sexual nature, whether by force or under unequal or coercive conditions; </w:t>
      </w:r>
    </w:p>
    <w:p w14:paraId="45F67595" w14:textId="77777777" w:rsidR="00157AAA" w:rsidRDefault="006C1BE5" w:rsidP="00D530D5">
      <w:pPr>
        <w:pStyle w:val="StyleP3Header1-ClausesAfter12pt"/>
        <w:numPr>
          <w:ilvl w:val="0"/>
          <w:numId w:val="50"/>
        </w:numPr>
        <w:tabs>
          <w:tab w:val="clear" w:pos="972"/>
          <w:tab w:val="clear" w:pos="1008"/>
        </w:tabs>
        <w:spacing w:after="120" w:line="240" w:lineRule="atLeast"/>
        <w:rPr>
          <w:bCs/>
          <w:lang w:val="en-US"/>
        </w:rPr>
      </w:pPr>
      <w:bookmarkStart w:id="635" w:name="_Hlk10196970"/>
      <w:bookmarkEnd w:id="634"/>
      <w:r>
        <w:rPr>
          <w:bCs/>
          <w:lang w:val="en-US"/>
        </w:rPr>
        <w:t xml:space="preserve">not engage in any form of sexual activity with individuals under the age of 18, except in case of pre-existing </w:t>
      </w:r>
      <w:proofErr w:type="gramStart"/>
      <w:r>
        <w:rPr>
          <w:bCs/>
          <w:lang w:val="en-US"/>
        </w:rPr>
        <w:t>marriage;</w:t>
      </w:r>
      <w:proofErr w:type="gramEnd"/>
      <w:r>
        <w:rPr>
          <w:bCs/>
          <w:lang w:val="en-US"/>
        </w:rPr>
        <w:t xml:space="preserve"> </w:t>
      </w:r>
      <w:bookmarkEnd w:id="632"/>
      <w:bookmarkEnd w:id="635"/>
    </w:p>
    <w:p w14:paraId="1B09BB55" w14:textId="77777777" w:rsidR="00157AAA" w:rsidRDefault="006C1BE5" w:rsidP="00D530D5">
      <w:pPr>
        <w:pStyle w:val="StyleP3Header1-ClausesAfter12pt"/>
        <w:numPr>
          <w:ilvl w:val="0"/>
          <w:numId w:val="50"/>
        </w:numPr>
        <w:tabs>
          <w:tab w:val="clear" w:pos="972"/>
          <w:tab w:val="clear" w:pos="1008"/>
        </w:tabs>
        <w:spacing w:after="120" w:line="240" w:lineRule="atLeast"/>
        <w:rPr>
          <w:bCs/>
          <w:lang w:val="en-US"/>
        </w:rPr>
      </w:pPr>
      <w:r>
        <w:rPr>
          <w:bCs/>
          <w:color w:val="000000"/>
          <w:lang w:val="en-US"/>
        </w:rPr>
        <w:t xml:space="preserve">complete relevant training courses that will be provided related to the environmental and social aspects of the Contract, including on health and safety matters, </w:t>
      </w:r>
      <w:bookmarkStart w:id="636" w:name="_Hlk10197034"/>
      <w:r>
        <w:rPr>
          <w:bCs/>
          <w:color w:val="000000"/>
          <w:lang w:val="en-US"/>
        </w:rPr>
        <w:t>and Sexual Exploitation and Abuse, and Sexual Harassment (SH</w:t>
      </w:r>
      <w:proofErr w:type="gramStart"/>
      <w:r>
        <w:rPr>
          <w:bCs/>
          <w:color w:val="000000"/>
          <w:lang w:val="en-US"/>
        </w:rPr>
        <w:t>);</w:t>
      </w:r>
      <w:bookmarkEnd w:id="636"/>
      <w:proofErr w:type="gramEnd"/>
    </w:p>
    <w:p w14:paraId="5F647C6D" w14:textId="77777777" w:rsidR="00157AAA" w:rsidRDefault="006C1BE5" w:rsidP="00D530D5">
      <w:pPr>
        <w:pStyle w:val="StyleP3Header1-ClausesAfter12pt"/>
        <w:numPr>
          <w:ilvl w:val="0"/>
          <w:numId w:val="50"/>
        </w:numPr>
        <w:tabs>
          <w:tab w:val="clear" w:pos="972"/>
          <w:tab w:val="clear" w:pos="1008"/>
        </w:tabs>
        <w:spacing w:after="120" w:line="240" w:lineRule="atLeast"/>
        <w:rPr>
          <w:bCs/>
          <w:lang w:val="en-US"/>
        </w:rPr>
      </w:pPr>
      <w:r>
        <w:rPr>
          <w:rFonts w:eastAsia="Calibri" w:cs="Arial"/>
          <w:lang w:val="en-US"/>
        </w:rPr>
        <w:t xml:space="preserve"> report violations of this Code of Conduct; and</w:t>
      </w:r>
    </w:p>
    <w:p w14:paraId="2D06458E" w14:textId="77777777" w:rsidR="00157AAA" w:rsidRDefault="006C1BE5" w:rsidP="00D530D5">
      <w:pPr>
        <w:pStyle w:val="ListParagraph"/>
        <w:numPr>
          <w:ilvl w:val="0"/>
          <w:numId w:val="50"/>
        </w:numPr>
        <w:spacing w:line="240" w:lineRule="atLeast"/>
        <w:contextualSpacing w:val="0"/>
        <w:rPr>
          <w:rFonts w:eastAsia="Calibri" w:cs="Arial"/>
        </w:rPr>
      </w:pPr>
      <w:r>
        <w:rPr>
          <w:rFonts w:eastAsia="Calibri" w:cs="Arial"/>
        </w:rPr>
        <w:t xml:space="preserve">not retaliate against any person who reports violations of this Code of Conduct, whether to us or the Purchaser, or who makes use of the </w:t>
      </w:r>
      <w:r>
        <w:rPr>
          <w:rFonts w:eastAsia="Arial Narrow"/>
          <w:color w:val="000000"/>
        </w:rPr>
        <w:t>grievance mechanism for Supplier’s Personnel</w:t>
      </w:r>
      <w:r>
        <w:rPr>
          <w:rFonts w:eastAsia="Calibri" w:cs="Arial"/>
        </w:rPr>
        <w:t xml:space="preserve"> or the project’s Grievance Redress Mechanism.</w:t>
      </w:r>
      <w:r>
        <w:rPr>
          <w:rFonts w:eastAsia="Calibri"/>
        </w:rPr>
        <w:t xml:space="preserve"> </w:t>
      </w:r>
    </w:p>
    <w:p w14:paraId="64A717E6" w14:textId="77777777" w:rsidR="00157AAA" w:rsidRDefault="006C1BE5">
      <w:pPr>
        <w:keepNext/>
        <w:spacing w:line="240" w:lineRule="atLeast"/>
        <w:rPr>
          <w:rFonts w:eastAsia="Calibri" w:cs="Arial"/>
          <w:b/>
        </w:rPr>
      </w:pPr>
      <w:r>
        <w:rPr>
          <w:rFonts w:eastAsia="Calibri" w:cs="Arial"/>
          <w:b/>
        </w:rPr>
        <w:t xml:space="preserve">RAISING CONCERNS </w:t>
      </w:r>
    </w:p>
    <w:p w14:paraId="794CBF0C" w14:textId="77777777" w:rsidR="00157AAA" w:rsidRDefault="006C1BE5">
      <w:pPr>
        <w:spacing w:line="240" w:lineRule="atLeast"/>
        <w:rPr>
          <w:rFonts w:eastAsia="Calibri" w:cs="Arial"/>
        </w:rPr>
      </w:pPr>
      <w:r>
        <w:rPr>
          <w:rFonts w:eastAsia="Calibri" w:cs="Arial"/>
        </w:rPr>
        <w:t>If any person observes behavior that he/she believes may represent a violation of this Code of Conduct, or that otherwise concerns him/her, he/she should raise the issue promptly. This can be done in either of the following ways:</w:t>
      </w:r>
    </w:p>
    <w:p w14:paraId="104A302A" w14:textId="77777777" w:rsidR="00157AAA" w:rsidRDefault="006C1BE5" w:rsidP="00D530D5">
      <w:pPr>
        <w:pStyle w:val="ListParagraph"/>
        <w:numPr>
          <w:ilvl w:val="0"/>
          <w:numId w:val="51"/>
        </w:numPr>
        <w:spacing w:line="240" w:lineRule="atLeast"/>
        <w:ind w:left="446"/>
        <w:contextualSpacing w:val="0"/>
        <w:rPr>
          <w:rFonts w:eastAsia="Calibri" w:cs="Arial"/>
        </w:rPr>
      </w:pPr>
      <w:r>
        <w:rPr>
          <w:rFonts w:eastAsia="Calibri" w:cs="Arial"/>
        </w:rPr>
        <w:t>Contact [</w:t>
      </w:r>
      <w:r>
        <w:rPr>
          <w:rFonts w:eastAsia="Calibri" w:cs="Arial"/>
          <w:i/>
        </w:rPr>
        <w:t xml:space="preserve">enter name of the Supplier’s Social Expert with relevant experience in handling </w:t>
      </w:r>
      <w:bookmarkStart w:id="637" w:name="_Hlk21172013"/>
      <w:r>
        <w:rPr>
          <w:rFonts w:eastAsia="Calibri" w:cs="Arial"/>
          <w:i/>
        </w:rPr>
        <w:t>sexual exploitation, sexual abuse and sexual harassment cases</w:t>
      </w:r>
      <w:bookmarkEnd w:id="637"/>
      <w:r>
        <w:rPr>
          <w:rFonts w:eastAsia="Calibri" w:cs="Arial"/>
          <w:i/>
        </w:rPr>
        <w:t>, or if such person is not required under the Contract, another individual designated by the Supplier to handle these matters</w:t>
      </w:r>
      <w:r>
        <w:rPr>
          <w:rFonts w:eastAsia="Calibri" w:cs="Arial"/>
        </w:rPr>
        <w:t xml:space="preserve">] in writing at this address [ </w:t>
      </w:r>
      <w:proofErr w:type="gramStart"/>
      <w:r>
        <w:rPr>
          <w:rFonts w:eastAsia="Calibri" w:cs="Arial"/>
        </w:rPr>
        <w:t xml:space="preserve">  ]</w:t>
      </w:r>
      <w:proofErr w:type="gramEnd"/>
      <w:r>
        <w:rPr>
          <w:rFonts w:eastAsia="Calibri" w:cs="Arial"/>
        </w:rPr>
        <w:t xml:space="preserve"> or by telephone at [   ] or in person at [   ]; or</w:t>
      </w:r>
    </w:p>
    <w:p w14:paraId="09267807" w14:textId="77777777" w:rsidR="00157AAA" w:rsidRDefault="006C1BE5" w:rsidP="00D530D5">
      <w:pPr>
        <w:pStyle w:val="ListParagraph"/>
        <w:numPr>
          <w:ilvl w:val="0"/>
          <w:numId w:val="51"/>
        </w:numPr>
        <w:spacing w:line="240" w:lineRule="atLeast"/>
        <w:ind w:left="446"/>
        <w:contextualSpacing w:val="0"/>
        <w:rPr>
          <w:rFonts w:eastAsia="Calibri" w:cs="Arial"/>
        </w:rPr>
      </w:pPr>
      <w:r>
        <w:rPr>
          <w:rFonts w:eastAsia="Calibri" w:cs="Arial"/>
        </w:rPr>
        <w:lastRenderedPageBreak/>
        <w:t xml:space="preserve">Call </w:t>
      </w:r>
      <w:proofErr w:type="gramStart"/>
      <w:r>
        <w:rPr>
          <w:rFonts w:eastAsia="Calibri" w:cs="Arial"/>
        </w:rPr>
        <w:t>[  ]</w:t>
      </w:r>
      <w:proofErr w:type="gramEnd"/>
      <w:r>
        <w:rPr>
          <w:rFonts w:eastAsia="Calibri" w:cs="Arial"/>
        </w:rPr>
        <w:t xml:space="preserve">  to reach the Supplier’s hotline </w:t>
      </w:r>
      <w:r>
        <w:rPr>
          <w:rFonts w:eastAsia="Calibri" w:cs="Arial"/>
          <w:i/>
        </w:rPr>
        <w:t>(if any)</w:t>
      </w:r>
      <w:r>
        <w:rPr>
          <w:rFonts w:eastAsia="Calibri" w:cs="Arial"/>
        </w:rPr>
        <w:t xml:space="preserve"> and leave a message.</w:t>
      </w:r>
    </w:p>
    <w:p w14:paraId="23D763EF" w14:textId="77777777" w:rsidR="00157AAA" w:rsidRDefault="00157AAA">
      <w:pPr>
        <w:pStyle w:val="ListParagraph"/>
        <w:spacing w:line="240" w:lineRule="atLeast"/>
        <w:rPr>
          <w:rFonts w:eastAsia="Calibri" w:cs="Arial"/>
        </w:rPr>
      </w:pPr>
    </w:p>
    <w:p w14:paraId="192194EE" w14:textId="77777777" w:rsidR="00157AAA" w:rsidRDefault="006C1BE5">
      <w:pPr>
        <w:pStyle w:val="ListParagraph"/>
        <w:spacing w:line="240" w:lineRule="atLeast"/>
        <w:ind w:left="0"/>
        <w:rPr>
          <w:rFonts w:eastAsia="Calibri" w:cs="Arial"/>
        </w:rPr>
      </w:pPr>
      <w:bookmarkStart w:id="638" w:name="_Hlk11663640"/>
      <w:r>
        <w:rPr>
          <w:rFonts w:eastAsia="Calibri" w:cs="Arial"/>
        </w:rPr>
        <w:t xml:space="preserve">The person’s identity will be kept confidential, unless reporting of allegations is mandated by the country law. Anonymous complaints or allegations may also be submitted and will be given all due and appropriate consideration. We take seriously all reports of possible misconduct and will investigate and take appropriate action. </w:t>
      </w:r>
      <w:bookmarkStart w:id="639" w:name="_Hlk11686596"/>
      <w:r>
        <w:rPr>
          <w:rFonts w:eastAsia="Calibri" w:cs="Arial"/>
        </w:rPr>
        <w:t xml:space="preserve">We will provide warm referrals to service providers that may help support the person who experienced the alleged incident, as appropriate. </w:t>
      </w:r>
      <w:bookmarkEnd w:id="638"/>
      <w:bookmarkEnd w:id="639"/>
    </w:p>
    <w:p w14:paraId="385B1E6A" w14:textId="77777777" w:rsidR="00157AAA" w:rsidRDefault="006C1BE5">
      <w:pPr>
        <w:spacing w:line="240" w:lineRule="atLeast"/>
        <w:rPr>
          <w:rFonts w:eastAsia="Calibri" w:cs="Arial"/>
        </w:rPr>
      </w:pPr>
      <w:r>
        <w:rPr>
          <w:rFonts w:eastAsia="Calibri" w:cs="Arial"/>
        </w:rPr>
        <w:t xml:space="preserve">There will be no retaliation against any person who raises a concern in good faith about any behavior prohibited by this Code of Conduct.  Such retaliation would be a violation of this Code of Conduct.  </w:t>
      </w:r>
    </w:p>
    <w:p w14:paraId="1AAAABF1" w14:textId="77777777" w:rsidR="00157AAA" w:rsidRDefault="006C1BE5">
      <w:pPr>
        <w:spacing w:line="240" w:lineRule="atLeast"/>
        <w:jc w:val="center"/>
        <w:rPr>
          <w:rFonts w:eastAsia="Calibri" w:cs="Arial"/>
        </w:rPr>
      </w:pPr>
      <w:r>
        <w:rPr>
          <w:rFonts w:eastAsia="Calibri" w:cs="Arial"/>
          <w:b/>
        </w:rPr>
        <w:t>CONSEQUENCES OF VIOLATING THE CODE OF CONDUCT</w:t>
      </w:r>
    </w:p>
    <w:p w14:paraId="2092F174" w14:textId="77777777" w:rsidR="00157AAA" w:rsidRDefault="006C1BE5">
      <w:pPr>
        <w:spacing w:line="240" w:lineRule="atLeast"/>
        <w:rPr>
          <w:rFonts w:eastAsia="Calibri" w:cs="Arial"/>
        </w:rPr>
      </w:pPr>
      <w:r>
        <w:rPr>
          <w:rFonts w:eastAsia="Calibri" w:cs="Arial"/>
        </w:rPr>
        <w:t>Any violation of this Code of Conduct by the Supplier’s Personnel may result in serious consequences, up to and including termination and possible referral to legal authorities.</w:t>
      </w:r>
    </w:p>
    <w:p w14:paraId="4045ABC2" w14:textId="77777777" w:rsidR="00157AAA" w:rsidRDefault="006C1BE5">
      <w:pPr>
        <w:spacing w:before="240" w:line="252" w:lineRule="auto"/>
        <w:rPr>
          <w:bCs/>
        </w:rPr>
      </w:pPr>
      <w:r>
        <w:rPr>
          <w:bCs/>
        </w:rPr>
        <w:t>FOR SUPPLIER’s PERSONNEL:</w:t>
      </w:r>
    </w:p>
    <w:p w14:paraId="4BDB094B" w14:textId="77777777" w:rsidR="00157AAA" w:rsidRDefault="006C1BE5">
      <w:pPr>
        <w:spacing w:before="240" w:line="252" w:lineRule="auto"/>
        <w:rPr>
          <w:bCs/>
        </w:rPr>
      </w:pPr>
      <w:r>
        <w:rPr>
          <w:bCs/>
        </w:rPr>
        <w:t xml:space="preserve">I have received a copy of this Code of Conduct written in a language that I </w:t>
      </w:r>
      <w:proofErr w:type="gramStart"/>
      <w:r>
        <w:rPr>
          <w:bCs/>
        </w:rPr>
        <w:t>comprehend</w:t>
      </w:r>
      <w:proofErr w:type="gramEnd"/>
      <w:r>
        <w:rPr>
          <w:bCs/>
        </w:rPr>
        <w:t>.  I understand that if I have any questions about this Code of Conduct, I can contact [</w:t>
      </w:r>
      <w:r>
        <w:rPr>
          <w:bCs/>
          <w:i/>
        </w:rPr>
        <w:t>enter name of Supplier’s contact person(s) with relevant experience</w:t>
      </w:r>
      <w:r>
        <w:rPr>
          <w:bCs/>
        </w:rPr>
        <w:t xml:space="preserve">] requesting an explanation.  </w:t>
      </w:r>
    </w:p>
    <w:p w14:paraId="2D005797" w14:textId="77777777" w:rsidR="00157AAA" w:rsidRDefault="006C1BE5">
      <w:pPr>
        <w:spacing w:after="160" w:line="252" w:lineRule="auto"/>
        <w:rPr>
          <w:bCs/>
        </w:rPr>
      </w:pPr>
      <w:r>
        <w:rPr>
          <w:bCs/>
        </w:rPr>
        <w:t xml:space="preserve">Name of </w:t>
      </w:r>
      <w:bookmarkStart w:id="640" w:name="_Hlk26869571"/>
      <w:r>
        <w:rPr>
          <w:bCs/>
        </w:rPr>
        <w:t xml:space="preserve">Supplier’s </w:t>
      </w:r>
      <w:bookmarkEnd w:id="640"/>
      <w:r>
        <w:rPr>
          <w:bCs/>
        </w:rPr>
        <w:t xml:space="preserve">Personnel: </w:t>
      </w:r>
      <w:r>
        <w:rPr>
          <w:bCs/>
          <w:i/>
        </w:rPr>
        <w:t xml:space="preserve">[insert </w:t>
      </w:r>
      <w:r>
        <w:rPr>
          <w:b/>
          <w:bCs/>
          <w:i/>
        </w:rPr>
        <w:t>name</w:t>
      </w:r>
      <w:r>
        <w:rPr>
          <w:bCs/>
          <w:i/>
        </w:rPr>
        <w:t>]</w:t>
      </w:r>
    </w:p>
    <w:p w14:paraId="012D116E" w14:textId="77777777" w:rsidR="00157AAA" w:rsidRDefault="006C1BE5">
      <w:pPr>
        <w:spacing w:after="160" w:line="252" w:lineRule="auto"/>
        <w:rPr>
          <w:bCs/>
        </w:rPr>
      </w:pPr>
      <w:r>
        <w:rPr>
          <w:bCs/>
        </w:rPr>
        <w:t>Signature: __________________________________________________________</w:t>
      </w:r>
    </w:p>
    <w:p w14:paraId="390246B5" w14:textId="77777777" w:rsidR="00157AAA" w:rsidRDefault="006C1BE5">
      <w:pPr>
        <w:rPr>
          <w:bCs/>
        </w:rPr>
      </w:pPr>
      <w:r>
        <w:rPr>
          <w:bCs/>
        </w:rPr>
        <w:t xml:space="preserve">Date: (day month year): </w:t>
      </w:r>
      <w:r>
        <w:rPr>
          <w:bCs/>
          <w:i/>
        </w:rPr>
        <w:t xml:space="preserve">[insert </w:t>
      </w:r>
      <w:r>
        <w:rPr>
          <w:b/>
          <w:bCs/>
          <w:i/>
        </w:rPr>
        <w:t>date</w:t>
      </w:r>
      <w:r>
        <w:rPr>
          <w:bCs/>
          <w:i/>
        </w:rPr>
        <w:t>]</w:t>
      </w:r>
    </w:p>
    <w:p w14:paraId="275F6BDE" w14:textId="77777777" w:rsidR="00157AAA" w:rsidRDefault="006C1BE5">
      <w:pPr>
        <w:rPr>
          <w:bCs/>
        </w:rPr>
      </w:pPr>
      <w:r>
        <w:rPr>
          <w:bCs/>
        </w:rPr>
        <w:t>Countersignature of authorized representative of the Supplier:</w:t>
      </w:r>
    </w:p>
    <w:p w14:paraId="12B9E7FC" w14:textId="77777777" w:rsidR="00157AAA" w:rsidRDefault="006C1BE5">
      <w:pPr>
        <w:rPr>
          <w:bCs/>
        </w:rPr>
      </w:pPr>
      <w:r>
        <w:rPr>
          <w:bCs/>
        </w:rPr>
        <w:t>Signature: ________________________________________________________</w:t>
      </w:r>
    </w:p>
    <w:p w14:paraId="01057B34" w14:textId="77777777" w:rsidR="00157AAA" w:rsidRDefault="006C1BE5">
      <w:pPr>
        <w:rPr>
          <w:bCs/>
        </w:rPr>
      </w:pPr>
      <w:r>
        <w:rPr>
          <w:bCs/>
        </w:rPr>
        <w:t xml:space="preserve">Date: (day month year): </w:t>
      </w:r>
      <w:r>
        <w:rPr>
          <w:bCs/>
          <w:i/>
        </w:rPr>
        <w:t xml:space="preserve">[insert </w:t>
      </w:r>
      <w:r>
        <w:rPr>
          <w:b/>
          <w:bCs/>
          <w:i/>
        </w:rPr>
        <w:t>date</w:t>
      </w:r>
      <w:r>
        <w:rPr>
          <w:bCs/>
          <w:i/>
        </w:rPr>
        <w:t>]</w:t>
      </w:r>
      <w:bookmarkEnd w:id="628"/>
    </w:p>
    <w:p w14:paraId="4A542666" w14:textId="77777777" w:rsidR="00157AAA" w:rsidRDefault="00157AAA">
      <w:pPr>
        <w:spacing w:after="0"/>
        <w:jc w:val="left"/>
        <w:rPr>
          <w:b/>
          <w:bCs/>
        </w:rPr>
      </w:pPr>
    </w:p>
    <w:p w14:paraId="1951ECDA" w14:textId="77777777" w:rsidR="00157AAA" w:rsidRDefault="006C1BE5">
      <w:pPr>
        <w:spacing w:after="0"/>
        <w:jc w:val="left"/>
        <w:rPr>
          <w:b/>
          <w:iCs/>
          <w:sz w:val="32"/>
        </w:rPr>
      </w:pPr>
      <w:r>
        <w:rPr>
          <w:b/>
          <w:bCs/>
        </w:rPr>
        <w:t xml:space="preserve">ATTACHMENT 1: </w:t>
      </w:r>
      <w:r>
        <w:rPr>
          <w:bCs/>
        </w:rPr>
        <w:t xml:space="preserve">Behaviors constituting SEA and behaviors constituting </w:t>
      </w:r>
      <w:proofErr w:type="gramStart"/>
      <w:r>
        <w:rPr>
          <w:bCs/>
        </w:rPr>
        <w:t>SH</w:t>
      </w:r>
      <w:proofErr w:type="gramEnd"/>
    </w:p>
    <w:p w14:paraId="76F8254F" w14:textId="77777777" w:rsidR="00157AAA" w:rsidRDefault="006C1BE5">
      <w:pPr>
        <w:spacing w:after="0"/>
        <w:jc w:val="left"/>
        <w:rPr>
          <w:b/>
          <w:iCs/>
          <w:sz w:val="32"/>
        </w:rPr>
      </w:pPr>
      <w:r>
        <w:rPr>
          <w:b/>
          <w:iCs/>
          <w:sz w:val="32"/>
        </w:rPr>
        <w:br w:type="page" w:clear="all"/>
      </w:r>
    </w:p>
    <w:p w14:paraId="28BC37CB" w14:textId="77777777" w:rsidR="00157AAA" w:rsidRDefault="006C1BE5">
      <w:pPr>
        <w:spacing w:before="120"/>
        <w:ind w:right="-14"/>
        <w:jc w:val="center"/>
        <w:rPr>
          <w:b/>
          <w:bCs/>
          <w:sz w:val="22"/>
          <w:szCs w:val="22"/>
        </w:rPr>
      </w:pPr>
      <w:r>
        <w:rPr>
          <w:b/>
          <w:bCs/>
        </w:rPr>
        <w:lastRenderedPageBreak/>
        <w:t>ATTACHMENT 1 TO THE CODE OF CONDUCT FORM</w:t>
      </w:r>
    </w:p>
    <w:p w14:paraId="57B53665" w14:textId="77777777" w:rsidR="00157AAA" w:rsidRDefault="00157AAA">
      <w:pPr>
        <w:spacing w:before="120"/>
        <w:ind w:right="-14"/>
        <w:jc w:val="center"/>
        <w:rPr>
          <w:b/>
        </w:rPr>
      </w:pPr>
    </w:p>
    <w:p w14:paraId="5DF49DC0" w14:textId="77777777" w:rsidR="00157AAA" w:rsidRDefault="006C1BE5">
      <w:pPr>
        <w:spacing w:before="120"/>
        <w:ind w:right="-14"/>
        <w:jc w:val="center"/>
        <w:rPr>
          <w:sz w:val="22"/>
          <w:szCs w:val="22"/>
        </w:rPr>
      </w:pPr>
      <w:r>
        <w:rPr>
          <w:b/>
          <w:bCs/>
          <w:sz w:val="22"/>
          <w:szCs w:val="22"/>
        </w:rPr>
        <w:t>BEHAVIORS CONSTITUTING</w:t>
      </w:r>
      <w:r>
        <w:rPr>
          <w:b/>
          <w:bCs/>
        </w:rPr>
        <w:t xml:space="preserve"> SEXUAL EXPLOITATION AND ABUSE (SEA) AND BEHAVIORS CONSTITUTING SEXUAL HARASSMENT (SH)</w:t>
      </w:r>
    </w:p>
    <w:p w14:paraId="0C54BF85" w14:textId="77777777" w:rsidR="00157AAA" w:rsidRDefault="00157AAA">
      <w:pPr>
        <w:spacing w:before="120"/>
        <w:ind w:right="-14"/>
        <w:rPr>
          <w:sz w:val="22"/>
          <w:szCs w:val="22"/>
        </w:rPr>
      </w:pPr>
    </w:p>
    <w:p w14:paraId="2A4412F5" w14:textId="77777777" w:rsidR="00157AAA" w:rsidRDefault="006C1BE5">
      <w:pPr>
        <w:spacing w:before="120"/>
        <w:ind w:right="-14"/>
        <w:rPr>
          <w:szCs w:val="24"/>
        </w:rPr>
      </w:pPr>
      <w:r>
        <w:rPr>
          <w:szCs w:val="24"/>
        </w:rPr>
        <w:t>The following non-exhaustive list is intended to illustrate types of prohibited behaviors.</w:t>
      </w:r>
    </w:p>
    <w:p w14:paraId="1097F8FB" w14:textId="77777777" w:rsidR="00157AAA" w:rsidRDefault="006C1BE5" w:rsidP="00D530D5">
      <w:pPr>
        <w:numPr>
          <w:ilvl w:val="0"/>
          <w:numId w:val="52"/>
        </w:numPr>
        <w:spacing w:before="120"/>
        <w:ind w:right="-14"/>
        <w:rPr>
          <w:rFonts w:eastAsiaTheme="minorHAnsi"/>
          <w:color w:val="000000"/>
          <w:szCs w:val="24"/>
        </w:rPr>
      </w:pPr>
      <w:r>
        <w:rPr>
          <w:b/>
          <w:iCs/>
          <w:szCs w:val="24"/>
          <w:lang w:val="en-AU" w:eastAsia="ja-JP"/>
        </w:rPr>
        <w:t>Examples of sexual exploitation and abuse</w:t>
      </w:r>
      <w:r>
        <w:rPr>
          <w:iCs/>
          <w:szCs w:val="24"/>
          <w:lang w:val="en-AU" w:eastAsia="ja-JP"/>
        </w:rPr>
        <w:t xml:space="preserve"> include, but are not limited to:</w:t>
      </w:r>
    </w:p>
    <w:p w14:paraId="31375C99" w14:textId="77777777" w:rsidR="00157AAA" w:rsidRDefault="006C1BE5" w:rsidP="00D530D5">
      <w:pPr>
        <w:numPr>
          <w:ilvl w:val="0"/>
          <w:numId w:val="53"/>
        </w:numPr>
        <w:spacing w:before="120"/>
        <w:ind w:left="720" w:right="-14"/>
        <w:rPr>
          <w:color w:val="000000"/>
          <w:szCs w:val="24"/>
        </w:rPr>
      </w:pPr>
      <w:r>
        <w:rPr>
          <w:color w:val="000000"/>
          <w:szCs w:val="24"/>
        </w:rPr>
        <w:t>A Supplier’s Personnel tells a member of the community that he/she can get them jobs related to the project site in exchange for sex.</w:t>
      </w:r>
    </w:p>
    <w:p w14:paraId="33E821E4" w14:textId="77777777" w:rsidR="00157AAA" w:rsidRDefault="006C1BE5" w:rsidP="00D530D5">
      <w:pPr>
        <w:numPr>
          <w:ilvl w:val="0"/>
          <w:numId w:val="53"/>
        </w:numPr>
        <w:spacing w:before="120"/>
        <w:ind w:left="720" w:right="-14"/>
        <w:rPr>
          <w:color w:val="000000"/>
          <w:szCs w:val="24"/>
        </w:rPr>
      </w:pPr>
      <w:r>
        <w:rPr>
          <w:color w:val="000000"/>
          <w:szCs w:val="24"/>
        </w:rPr>
        <w:t>A Supplier’s Personnel rapes, or otherwise sexually assaults a member of the community.</w:t>
      </w:r>
    </w:p>
    <w:p w14:paraId="6B68E62B" w14:textId="77777777" w:rsidR="00157AAA" w:rsidRDefault="006C1BE5" w:rsidP="00D530D5">
      <w:pPr>
        <w:numPr>
          <w:ilvl w:val="0"/>
          <w:numId w:val="53"/>
        </w:numPr>
        <w:spacing w:before="120"/>
        <w:ind w:left="720" w:right="-14"/>
        <w:rPr>
          <w:color w:val="000000"/>
          <w:szCs w:val="24"/>
        </w:rPr>
      </w:pPr>
      <w:r>
        <w:rPr>
          <w:color w:val="000000"/>
          <w:szCs w:val="24"/>
        </w:rPr>
        <w:t xml:space="preserve">A Supplier’s Personnel denies a person access to the Project Site/s unless he/she performs a sexual favor.  </w:t>
      </w:r>
    </w:p>
    <w:p w14:paraId="3252DE42" w14:textId="77777777" w:rsidR="00157AAA" w:rsidRDefault="006C1BE5" w:rsidP="00D530D5">
      <w:pPr>
        <w:numPr>
          <w:ilvl w:val="0"/>
          <w:numId w:val="53"/>
        </w:numPr>
        <w:spacing w:before="120"/>
        <w:ind w:left="720" w:right="-14"/>
        <w:rPr>
          <w:color w:val="000000"/>
          <w:szCs w:val="24"/>
        </w:rPr>
      </w:pPr>
      <w:r>
        <w:rPr>
          <w:color w:val="000000"/>
          <w:szCs w:val="24"/>
        </w:rPr>
        <w:t xml:space="preserve">A Supplier’s Personnel tells a person applying for employment under the Contract that he/she will only hire him/her if he/she has sex with him/her. </w:t>
      </w:r>
    </w:p>
    <w:p w14:paraId="30254D57" w14:textId="77777777" w:rsidR="00157AAA" w:rsidRDefault="006C1BE5" w:rsidP="00D530D5">
      <w:pPr>
        <w:numPr>
          <w:ilvl w:val="0"/>
          <w:numId w:val="52"/>
        </w:numPr>
        <w:spacing w:before="120"/>
        <w:ind w:right="-14"/>
        <w:rPr>
          <w:rFonts w:ascii="Calibri" w:eastAsiaTheme="minorHAnsi" w:hAnsi="Calibri"/>
          <w:color w:val="000000"/>
          <w:szCs w:val="24"/>
        </w:rPr>
      </w:pPr>
      <w:r>
        <w:rPr>
          <w:rFonts w:eastAsiaTheme="minorHAnsi"/>
          <w:b/>
          <w:color w:val="000000"/>
          <w:szCs w:val="24"/>
        </w:rPr>
        <w:t>Examples of sexual harassment</w:t>
      </w:r>
      <w:r>
        <w:rPr>
          <w:rFonts w:eastAsiaTheme="minorHAnsi"/>
          <w:color w:val="000000"/>
          <w:szCs w:val="24"/>
        </w:rPr>
        <w:t xml:space="preserve"> </w:t>
      </w:r>
      <w:r>
        <w:rPr>
          <w:rFonts w:eastAsiaTheme="minorHAnsi"/>
          <w:b/>
          <w:color w:val="000000"/>
          <w:szCs w:val="24"/>
        </w:rPr>
        <w:t>in a work context</w:t>
      </w:r>
      <w:r>
        <w:rPr>
          <w:rFonts w:eastAsiaTheme="minorHAnsi"/>
          <w:color w:val="000000"/>
          <w:szCs w:val="24"/>
        </w:rPr>
        <w:t xml:space="preserve"> </w:t>
      </w:r>
    </w:p>
    <w:p w14:paraId="2214C166" w14:textId="77777777" w:rsidR="00157AAA" w:rsidRDefault="006C1BE5" w:rsidP="00D530D5">
      <w:pPr>
        <w:numPr>
          <w:ilvl w:val="0"/>
          <w:numId w:val="53"/>
        </w:numPr>
        <w:spacing w:before="120"/>
        <w:ind w:left="720" w:right="-14"/>
        <w:rPr>
          <w:color w:val="000000"/>
          <w:szCs w:val="24"/>
        </w:rPr>
      </w:pPr>
      <w:r>
        <w:rPr>
          <w:bCs/>
          <w:szCs w:val="24"/>
        </w:rPr>
        <w:t xml:space="preserve">A </w:t>
      </w:r>
      <w:r>
        <w:rPr>
          <w:color w:val="000000"/>
          <w:szCs w:val="24"/>
        </w:rPr>
        <w:t xml:space="preserve">Supplier’s Personnel </w:t>
      </w:r>
      <w:proofErr w:type="gramStart"/>
      <w:r>
        <w:rPr>
          <w:color w:val="000000"/>
          <w:szCs w:val="24"/>
        </w:rPr>
        <w:t>comment</w:t>
      </w:r>
      <w:proofErr w:type="gramEnd"/>
      <w:r>
        <w:rPr>
          <w:color w:val="000000"/>
          <w:szCs w:val="24"/>
        </w:rPr>
        <w:t xml:space="preserve"> on the appearance of another Supplier’s Personnel (either positive or negative) and sexual desirability. </w:t>
      </w:r>
    </w:p>
    <w:p w14:paraId="114C21C7" w14:textId="77777777" w:rsidR="00157AAA" w:rsidRDefault="006C1BE5" w:rsidP="00D530D5">
      <w:pPr>
        <w:numPr>
          <w:ilvl w:val="0"/>
          <w:numId w:val="53"/>
        </w:numPr>
        <w:spacing w:before="120"/>
        <w:ind w:left="720" w:right="-14"/>
        <w:rPr>
          <w:color w:val="000000"/>
          <w:szCs w:val="24"/>
        </w:rPr>
      </w:pPr>
      <w:r>
        <w:rPr>
          <w:color w:val="000000"/>
          <w:szCs w:val="24"/>
        </w:rPr>
        <w:t>When a Supplier’s Personnel complains about comments made by another Supplier’s Personnel on his/her appearance, the other Supplier’s Personnel comment that he/she is “asking for it” because of how he/she dresses.</w:t>
      </w:r>
    </w:p>
    <w:p w14:paraId="30B879DA" w14:textId="77777777" w:rsidR="00157AAA" w:rsidRDefault="006C1BE5" w:rsidP="00D530D5">
      <w:pPr>
        <w:numPr>
          <w:ilvl w:val="0"/>
          <w:numId w:val="53"/>
        </w:numPr>
        <w:spacing w:before="120"/>
        <w:ind w:left="720" w:right="-14"/>
        <w:rPr>
          <w:color w:val="000000"/>
          <w:szCs w:val="24"/>
        </w:rPr>
      </w:pPr>
      <w:r>
        <w:rPr>
          <w:color w:val="000000"/>
          <w:szCs w:val="24"/>
        </w:rPr>
        <w:t xml:space="preserve">Unwelcome touching of a Supplier’s Personnel or Purchaser’s Personnel by another Supplier’s Personnel. </w:t>
      </w:r>
    </w:p>
    <w:p w14:paraId="302780A1" w14:textId="77777777" w:rsidR="00157AAA" w:rsidRDefault="006C1BE5" w:rsidP="00D530D5">
      <w:pPr>
        <w:numPr>
          <w:ilvl w:val="0"/>
          <w:numId w:val="53"/>
        </w:numPr>
        <w:spacing w:before="120"/>
        <w:ind w:left="720" w:right="-14"/>
        <w:rPr>
          <w:color w:val="000000"/>
          <w:szCs w:val="24"/>
        </w:rPr>
      </w:pPr>
      <w:r>
        <w:rPr>
          <w:color w:val="000000"/>
          <w:szCs w:val="24"/>
        </w:rPr>
        <w:t>A Supplier’s Personnel tells another Supplier’s Personnel that he/she will get him/her a salary raise, or promotion if he/she sends him/her naked photographs of himself/herself.</w:t>
      </w:r>
    </w:p>
    <w:p w14:paraId="767E718F" w14:textId="77777777" w:rsidR="00157AAA" w:rsidRDefault="00157AAA">
      <w:pPr>
        <w:spacing w:after="0"/>
        <w:jc w:val="left"/>
        <w:rPr>
          <w:b/>
          <w:iCs/>
          <w:sz w:val="32"/>
        </w:rPr>
      </w:pPr>
    </w:p>
    <w:p w14:paraId="6BD76951" w14:textId="77777777" w:rsidR="00157AAA" w:rsidRDefault="006C1BE5">
      <w:pPr>
        <w:spacing w:after="0"/>
        <w:jc w:val="left"/>
        <w:rPr>
          <w:b/>
          <w:iCs/>
          <w:sz w:val="32"/>
        </w:rPr>
      </w:pPr>
      <w:r>
        <w:rPr>
          <w:b/>
          <w:iCs/>
          <w:sz w:val="32"/>
        </w:rPr>
        <w:br w:type="page" w:clear="all"/>
      </w:r>
    </w:p>
    <w:p w14:paraId="41F037B2" w14:textId="77777777" w:rsidR="00157AAA" w:rsidRDefault="006C1BE5">
      <w:pPr>
        <w:pStyle w:val="S4-header1"/>
        <w:rPr>
          <w:smallCaps/>
        </w:rPr>
      </w:pPr>
      <w:bookmarkStart w:id="641" w:name="_Toc218673977"/>
      <w:bookmarkStart w:id="642" w:name="_Toc277345608"/>
      <w:bookmarkStart w:id="643" w:name="_Toc163506173"/>
      <w:r>
        <w:rPr>
          <w:smallCaps/>
        </w:rPr>
        <w:lastRenderedPageBreak/>
        <w:t>Technical Capabilities</w:t>
      </w:r>
      <w:bookmarkEnd w:id="641"/>
      <w:bookmarkEnd w:id="642"/>
      <w:bookmarkEnd w:id="643"/>
    </w:p>
    <w:p w14:paraId="37957777" w14:textId="77777777" w:rsidR="00157AAA" w:rsidRDefault="006C1BE5">
      <w:pPr>
        <w:jc w:val="center"/>
        <w:rPr>
          <w:i/>
        </w:rPr>
      </w:pPr>
      <w:r>
        <w:rPr>
          <w:i/>
        </w:rPr>
        <w:t>[</w:t>
      </w:r>
      <w:r>
        <w:rPr>
          <w:b/>
          <w:i/>
        </w:rPr>
        <w:t>Note</w:t>
      </w:r>
      <w:r>
        <w:rPr>
          <w:i/>
        </w:rPr>
        <w:t>: To be completed by the Bidder and, if JV, by each member]</w:t>
      </w:r>
    </w:p>
    <w:p w14:paraId="7C14D4DD" w14:textId="77777777" w:rsidR="00157AAA" w:rsidRDefault="006C1BE5">
      <w:pPr>
        <w:tabs>
          <w:tab w:val="right" w:pos="9000"/>
          <w:tab w:val="right" w:pos="9630"/>
        </w:tabs>
        <w:ind w:right="162"/>
      </w:pPr>
      <w:r>
        <w:t>Bidder’s Legal Name</w:t>
      </w:r>
      <w:proofErr w:type="gramStart"/>
      <w:r>
        <w:t xml:space="preserve">:  </w:t>
      </w:r>
      <w:r>
        <w:rPr>
          <w:i/>
        </w:rPr>
        <w:t>[</w:t>
      </w:r>
      <w:proofErr w:type="gramEnd"/>
      <w:r>
        <w:rPr>
          <w:i/>
        </w:rPr>
        <w:t xml:space="preserve">insert </w:t>
      </w:r>
      <w:r>
        <w:rPr>
          <w:b/>
          <w:i/>
        </w:rPr>
        <w:t>Bidder’s Legal Name</w:t>
      </w:r>
      <w:r>
        <w:rPr>
          <w:i/>
        </w:rPr>
        <w:t>]</w:t>
      </w:r>
    </w:p>
    <w:p w14:paraId="46370ACF" w14:textId="77777777" w:rsidR="00157AAA" w:rsidRDefault="006C1BE5">
      <w:pPr>
        <w:tabs>
          <w:tab w:val="right" w:pos="9000"/>
          <w:tab w:val="right" w:pos="9630"/>
        </w:tabs>
        <w:ind w:right="162"/>
      </w:pPr>
      <w:r>
        <w:t>Date</w:t>
      </w:r>
      <w:proofErr w:type="gramStart"/>
      <w:r>
        <w:t xml:space="preserve">:  </w:t>
      </w:r>
      <w:r>
        <w:rPr>
          <w:i/>
        </w:rPr>
        <w:t>[</w:t>
      </w:r>
      <w:proofErr w:type="gramEnd"/>
      <w:r>
        <w:rPr>
          <w:i/>
        </w:rPr>
        <w:t xml:space="preserve">insert </w:t>
      </w:r>
      <w:r>
        <w:rPr>
          <w:b/>
          <w:i/>
        </w:rPr>
        <w:t>Date</w:t>
      </w:r>
      <w:r>
        <w:rPr>
          <w:i/>
        </w:rPr>
        <w:t>]</w:t>
      </w:r>
    </w:p>
    <w:p w14:paraId="48A69006" w14:textId="77777777" w:rsidR="00157AAA" w:rsidRDefault="006C1BE5">
      <w:pPr>
        <w:tabs>
          <w:tab w:val="right" w:pos="9000"/>
        </w:tabs>
        <w:jc w:val="left"/>
      </w:pPr>
      <w:r>
        <w:rPr>
          <w:spacing w:val="-2"/>
        </w:rPr>
        <w:t>JV Member Legal Name</w:t>
      </w:r>
      <w:proofErr w:type="gramStart"/>
      <w:r>
        <w:rPr>
          <w:spacing w:val="-2"/>
        </w:rPr>
        <w:t xml:space="preserve">:  </w:t>
      </w:r>
      <w:r>
        <w:rPr>
          <w:i/>
        </w:rPr>
        <w:t>[</w:t>
      </w:r>
      <w:proofErr w:type="gramEnd"/>
      <w:r>
        <w:rPr>
          <w:i/>
        </w:rPr>
        <w:t xml:space="preserve">insert </w:t>
      </w:r>
      <w:r>
        <w:rPr>
          <w:b/>
          <w:i/>
        </w:rPr>
        <w:t>JV Member Legal Name</w:t>
      </w:r>
      <w:r>
        <w:rPr>
          <w:i/>
        </w:rPr>
        <w:t>]</w:t>
      </w:r>
    </w:p>
    <w:p w14:paraId="38F01471" w14:textId="77777777" w:rsidR="00157AAA" w:rsidRDefault="006C1BE5">
      <w:pPr>
        <w:tabs>
          <w:tab w:val="right" w:pos="9000"/>
        </w:tabs>
        <w:jc w:val="left"/>
      </w:pPr>
      <w:r>
        <w:t>RFB No.</w:t>
      </w:r>
      <w:proofErr w:type="gramStart"/>
      <w:r>
        <w:t xml:space="preserve">:  </w:t>
      </w:r>
      <w:r>
        <w:rPr>
          <w:i/>
        </w:rPr>
        <w:t>[</w:t>
      </w:r>
      <w:proofErr w:type="gramEnd"/>
      <w:r>
        <w:rPr>
          <w:i/>
        </w:rPr>
        <w:t xml:space="preserve">insert </w:t>
      </w:r>
      <w:r>
        <w:rPr>
          <w:b/>
          <w:i/>
        </w:rPr>
        <w:t>RFB number</w:t>
      </w:r>
      <w:r>
        <w:rPr>
          <w:i/>
        </w:rPr>
        <w:t>]</w:t>
      </w:r>
    </w:p>
    <w:p w14:paraId="6D4CF9DB" w14:textId="77777777" w:rsidR="00157AAA" w:rsidRDefault="006C1BE5">
      <w:pPr>
        <w:tabs>
          <w:tab w:val="right" w:pos="8640"/>
        </w:tabs>
      </w:pPr>
      <w:r>
        <w:t xml:space="preserve">   </w:t>
      </w:r>
      <w:r>
        <w:tab/>
        <w:t>Page _______ of _______ pages</w:t>
      </w:r>
    </w:p>
    <w:p w14:paraId="3D1A3959" w14:textId="77777777" w:rsidR="00157AAA" w:rsidRDefault="00157AAA">
      <w:pPr>
        <w:ind w:right="-360"/>
      </w:pPr>
    </w:p>
    <w:p w14:paraId="3216EFAA" w14:textId="77777777" w:rsidR="00157AAA" w:rsidRDefault="006C1BE5">
      <w:r>
        <w:t>The Bidder shall provide adequate information to demonstrate clearly that it has the technical capability to meet the requirements for the Information System.  The Bidder should summarize important certifications, proprietary methodologies, and/or specialized technologies that the Bidder proposes to utilize in the execution of the Contract or Contracts.</w:t>
      </w:r>
    </w:p>
    <w:p w14:paraId="34F5088D" w14:textId="77777777" w:rsidR="00157AAA" w:rsidRDefault="006C1BE5">
      <w:pPr>
        <w:spacing w:after="0"/>
        <w:jc w:val="left"/>
      </w:pPr>
      <w:r>
        <w:br w:type="page" w:clear="all"/>
      </w:r>
    </w:p>
    <w:p w14:paraId="3755E11D" w14:textId="77777777" w:rsidR="00157AAA" w:rsidRDefault="006C1BE5">
      <w:pPr>
        <w:pStyle w:val="S4-header1"/>
        <w:rPr>
          <w:smallCaps/>
        </w:rPr>
      </w:pPr>
      <w:bookmarkStart w:id="644" w:name="_Toc521497247"/>
      <w:bookmarkStart w:id="645" w:name="_Toc218673979"/>
      <w:bookmarkStart w:id="646" w:name="_Toc277345610"/>
      <w:bookmarkStart w:id="647" w:name="_Toc163506174"/>
      <w:r>
        <w:rPr>
          <w:smallCaps/>
        </w:rPr>
        <w:lastRenderedPageBreak/>
        <w:t>Manufacturer’s Authorization</w:t>
      </w:r>
      <w:bookmarkEnd w:id="644"/>
      <w:bookmarkEnd w:id="645"/>
      <w:bookmarkEnd w:id="646"/>
      <w:bookmarkEnd w:id="647"/>
    </w:p>
    <w:p w14:paraId="74A9F1D8" w14:textId="77777777" w:rsidR="00157AAA" w:rsidRDefault="00157AAA">
      <w:pPr>
        <w:pStyle w:val="Footer"/>
        <w:tabs>
          <w:tab w:val="right" w:pos="9000"/>
        </w:tabs>
        <w:jc w:val="center"/>
        <w:rPr>
          <w:sz w:val="22"/>
        </w:rPr>
      </w:pPr>
    </w:p>
    <w:p w14:paraId="36AFE348" w14:textId="77777777" w:rsidR="00157AAA" w:rsidRDefault="006C1BE5">
      <w:pPr>
        <w:ind w:left="720" w:hanging="720"/>
        <w:jc w:val="left"/>
        <w:rPr>
          <w:i/>
          <w:sz w:val="22"/>
        </w:rPr>
      </w:pPr>
      <w:r>
        <w:rPr>
          <w:b/>
          <w:i/>
          <w:sz w:val="22"/>
        </w:rPr>
        <w:t>[Note</w:t>
      </w:r>
      <w:r>
        <w:rPr>
          <w:i/>
          <w:sz w:val="22"/>
        </w:rPr>
        <w:t>:</w:t>
      </w:r>
      <w:r>
        <w:rPr>
          <w:i/>
          <w:sz w:val="22"/>
        </w:rPr>
        <w:tab/>
        <w:t>This authorization should be written on the letterhead of the Manufacturer and be signed by a person with the proper authority to sign documents that are binding on the Manufacturer.]</w:t>
      </w:r>
    </w:p>
    <w:p w14:paraId="14AF05B8" w14:textId="77777777" w:rsidR="00157AAA" w:rsidRDefault="00157AAA">
      <w:pPr>
        <w:pStyle w:val="Footer"/>
        <w:tabs>
          <w:tab w:val="right" w:pos="9000"/>
        </w:tabs>
        <w:jc w:val="center"/>
        <w:rPr>
          <w:sz w:val="22"/>
        </w:rPr>
      </w:pPr>
    </w:p>
    <w:p w14:paraId="197B1F0A" w14:textId="77777777" w:rsidR="00157AAA" w:rsidRDefault="006C1BE5">
      <w:pPr>
        <w:tabs>
          <w:tab w:val="right" w:pos="9000"/>
        </w:tabs>
        <w:spacing w:after="0"/>
      </w:pPr>
      <w:r>
        <w:t>Invitation for Bids Title and No.</w:t>
      </w:r>
      <w:proofErr w:type="gramStart"/>
      <w:r>
        <w:t xml:space="preserve">:  </w:t>
      </w:r>
      <w:r>
        <w:rPr>
          <w:i/>
        </w:rPr>
        <w:t>[</w:t>
      </w:r>
      <w:proofErr w:type="gramEnd"/>
      <w:r>
        <w:rPr>
          <w:i/>
        </w:rPr>
        <w:t xml:space="preserve">Purchaser insert:  </w:t>
      </w:r>
      <w:r>
        <w:rPr>
          <w:b/>
          <w:i/>
        </w:rPr>
        <w:t>RFB Title and Number</w:t>
      </w:r>
      <w:r>
        <w:rPr>
          <w:i/>
        </w:rPr>
        <w:t>]</w:t>
      </w:r>
    </w:p>
    <w:p w14:paraId="23628924" w14:textId="77777777" w:rsidR="00157AAA" w:rsidRDefault="00157AAA">
      <w:pPr>
        <w:tabs>
          <w:tab w:val="right" w:pos="9000"/>
        </w:tabs>
        <w:spacing w:after="0"/>
      </w:pPr>
    </w:p>
    <w:p w14:paraId="163400FF" w14:textId="77777777" w:rsidR="00157AAA" w:rsidRDefault="006C1BE5">
      <w:r>
        <w:t>To</w:t>
      </w:r>
      <w:proofErr w:type="gramStart"/>
      <w:r>
        <w:t xml:space="preserve">:  </w:t>
      </w:r>
      <w:r>
        <w:rPr>
          <w:i/>
        </w:rPr>
        <w:t>[</w:t>
      </w:r>
      <w:proofErr w:type="gramEnd"/>
      <w:r>
        <w:rPr>
          <w:i/>
        </w:rPr>
        <w:t xml:space="preserve">Purchaser insert:  </w:t>
      </w:r>
      <w:r>
        <w:rPr>
          <w:b/>
          <w:i/>
        </w:rPr>
        <w:t>Purchaser’s Officer to receive the Manufacture’s Authorization</w:t>
      </w:r>
      <w:r>
        <w:rPr>
          <w:i/>
        </w:rPr>
        <w:t>]</w:t>
      </w:r>
    </w:p>
    <w:p w14:paraId="64170516" w14:textId="77777777" w:rsidR="00157AAA" w:rsidRDefault="00157AAA">
      <w:pPr>
        <w:spacing w:after="0"/>
      </w:pPr>
    </w:p>
    <w:p w14:paraId="622AFDA6" w14:textId="77777777" w:rsidR="00157AAA" w:rsidRDefault="00157AAA">
      <w:pPr>
        <w:spacing w:after="0"/>
      </w:pPr>
    </w:p>
    <w:p w14:paraId="2651AF49" w14:textId="77777777" w:rsidR="00157AAA" w:rsidRDefault="006C1BE5">
      <w:pPr>
        <w:tabs>
          <w:tab w:val="right" w:pos="8820"/>
        </w:tabs>
        <w:spacing w:after="0"/>
      </w:pPr>
      <w:r>
        <w:t xml:space="preserve">WHEREAS </w:t>
      </w:r>
      <w:r>
        <w:rPr>
          <w:i/>
        </w:rPr>
        <w:t xml:space="preserve">[ insert: </w:t>
      </w:r>
      <w:r>
        <w:rPr>
          <w:b/>
          <w:i/>
        </w:rPr>
        <w:t>Name of Manufacturer</w:t>
      </w:r>
      <w:r>
        <w:rPr>
          <w:i/>
        </w:rPr>
        <w:t xml:space="preserve"> ]</w:t>
      </w:r>
      <w:r>
        <w:t xml:space="preserve"> who are official producers of </w:t>
      </w:r>
      <w:r>
        <w:rPr>
          <w:i/>
        </w:rPr>
        <w:t xml:space="preserve">[ insert: </w:t>
      </w:r>
      <w:r>
        <w:rPr>
          <w:b/>
          <w:i/>
        </w:rPr>
        <w:t>items of supply by Manufacturer</w:t>
      </w:r>
      <w:r>
        <w:rPr>
          <w:i/>
        </w:rPr>
        <w:t xml:space="preserve"> ]</w:t>
      </w:r>
      <w:r>
        <w:t xml:space="preserve"> and having production facilities at </w:t>
      </w:r>
      <w:r>
        <w:rPr>
          <w:i/>
        </w:rPr>
        <w:t xml:space="preserve">[ insert: </w:t>
      </w:r>
      <w:r>
        <w:rPr>
          <w:b/>
          <w:i/>
        </w:rPr>
        <w:t>address of Manufacturer</w:t>
      </w:r>
      <w:r>
        <w:rPr>
          <w:i/>
        </w:rPr>
        <w:t xml:space="preserve"> ]</w:t>
      </w:r>
      <w:r>
        <w:t xml:space="preserve"> do hereby authorize </w:t>
      </w:r>
      <w:r>
        <w:rPr>
          <w:i/>
        </w:rPr>
        <w:t xml:space="preserve">[ insert:  </w:t>
      </w:r>
      <w:r>
        <w:rPr>
          <w:b/>
          <w:i/>
        </w:rPr>
        <w:t>name of Bidder or Joint Venture</w:t>
      </w:r>
      <w:r>
        <w:rPr>
          <w:i/>
        </w:rPr>
        <w:t xml:space="preserve"> ]</w:t>
      </w:r>
      <w:r>
        <w:t xml:space="preserve"> located at </w:t>
      </w:r>
      <w:r>
        <w:rPr>
          <w:i/>
        </w:rPr>
        <w:t xml:space="preserve">[ insert:  </w:t>
      </w:r>
      <w:r>
        <w:rPr>
          <w:b/>
          <w:i/>
        </w:rPr>
        <w:t>address of Bidder or Joint Venture</w:t>
      </w:r>
      <w:r>
        <w:rPr>
          <w:i/>
        </w:rPr>
        <w:t xml:space="preserve"> ]</w:t>
      </w:r>
      <w:r>
        <w:t xml:space="preserve"> (hereinafter, the “Bidder”) to submit a bid and subsequently negotiate and sign a Contract with you for resale of the following Products produced by us: </w:t>
      </w:r>
    </w:p>
    <w:p w14:paraId="26BE3F2A" w14:textId="77777777" w:rsidR="00157AAA" w:rsidRDefault="00157AAA">
      <w:pPr>
        <w:tabs>
          <w:tab w:val="right" w:pos="8820"/>
        </w:tabs>
        <w:spacing w:after="0"/>
      </w:pPr>
    </w:p>
    <w:p w14:paraId="6B89F836" w14:textId="77777777" w:rsidR="00157AAA" w:rsidRDefault="006C1BE5">
      <w:pPr>
        <w:tabs>
          <w:tab w:val="right" w:pos="8820"/>
        </w:tabs>
        <w:spacing w:after="0"/>
      </w:pPr>
      <w:r>
        <w:t xml:space="preserve">We hereby confirm </w:t>
      </w:r>
      <w:proofErr w:type="gramStart"/>
      <w:r>
        <w:t>that, in case</w:t>
      </w:r>
      <w:proofErr w:type="gramEnd"/>
      <w:r>
        <w:t xml:space="preserve"> the bidding results in a Contract between you and the Bidder, the above-listed products will come with our full standard warranty. </w:t>
      </w:r>
    </w:p>
    <w:p w14:paraId="2704142C" w14:textId="77777777" w:rsidR="00157AAA" w:rsidRDefault="00157AAA">
      <w:pPr>
        <w:tabs>
          <w:tab w:val="right" w:pos="8820"/>
        </w:tabs>
        <w:spacing w:after="0"/>
      </w:pPr>
    </w:p>
    <w:p w14:paraId="6286ACD5" w14:textId="77777777" w:rsidR="00157AAA" w:rsidRDefault="006C1BE5">
      <w:r>
        <w:t xml:space="preserve">Name </w:t>
      </w:r>
      <w:r>
        <w:rPr>
          <w:i/>
        </w:rPr>
        <w:t xml:space="preserve">[insert: </w:t>
      </w:r>
      <w:r>
        <w:rPr>
          <w:b/>
          <w:i/>
        </w:rPr>
        <w:t>Name of Officer</w:t>
      </w:r>
      <w:r>
        <w:rPr>
          <w:i/>
        </w:rPr>
        <w:t>]</w:t>
      </w:r>
      <w:r>
        <w:t xml:space="preserve"> </w:t>
      </w:r>
      <w:r>
        <w:tab/>
        <w:t xml:space="preserve">in the capacity of </w:t>
      </w:r>
      <w:r>
        <w:rPr>
          <w:i/>
        </w:rPr>
        <w:t xml:space="preserve">[insert: </w:t>
      </w:r>
      <w:r>
        <w:rPr>
          <w:b/>
          <w:i/>
        </w:rPr>
        <w:t>Title of Officer]</w:t>
      </w:r>
      <w:r>
        <w:t xml:space="preserve"> </w:t>
      </w:r>
    </w:p>
    <w:p w14:paraId="63A140D7" w14:textId="77777777" w:rsidR="00157AAA" w:rsidRDefault="006C1BE5">
      <w:proofErr w:type="gramStart"/>
      <w:r>
        <w:t>Signed  _</w:t>
      </w:r>
      <w:proofErr w:type="gramEnd"/>
      <w:r>
        <w:t>_____________________________</w:t>
      </w:r>
      <w:r>
        <w:tab/>
      </w:r>
    </w:p>
    <w:p w14:paraId="3C4173AA" w14:textId="77777777" w:rsidR="00157AAA" w:rsidRDefault="006C1BE5">
      <w:r>
        <w:t xml:space="preserve">Duly authorized to sign the authorization for and on behalf of: </w:t>
      </w:r>
      <w:r>
        <w:rPr>
          <w:i/>
        </w:rPr>
        <w:t xml:space="preserve">[ insert: </w:t>
      </w:r>
      <w:r>
        <w:rPr>
          <w:b/>
          <w:i/>
        </w:rPr>
        <w:t xml:space="preserve">Name of </w:t>
      </w:r>
      <w:proofErr w:type="gramStart"/>
      <w:r>
        <w:rPr>
          <w:b/>
          <w:i/>
        </w:rPr>
        <w:t>Manufacturer</w:t>
      </w:r>
      <w:r>
        <w:rPr>
          <w:i/>
        </w:rPr>
        <w:t xml:space="preserve"> ]</w:t>
      </w:r>
      <w:proofErr w:type="gramEnd"/>
      <w:r>
        <w:rPr>
          <w:i/>
        </w:rPr>
        <w:t xml:space="preserve"> </w:t>
      </w:r>
    </w:p>
    <w:p w14:paraId="35FF0864" w14:textId="77777777" w:rsidR="00157AAA" w:rsidRDefault="006C1BE5">
      <w:r>
        <w:t xml:space="preserve"> Dated this </w:t>
      </w:r>
      <w:r>
        <w:rPr>
          <w:i/>
        </w:rPr>
        <w:t xml:space="preserve">[ insert: </w:t>
      </w:r>
      <w:proofErr w:type="gramStart"/>
      <w:r>
        <w:rPr>
          <w:b/>
          <w:i/>
        </w:rPr>
        <w:t>ordinal</w:t>
      </w:r>
      <w:r>
        <w:rPr>
          <w:i/>
        </w:rPr>
        <w:t> ]</w:t>
      </w:r>
      <w:proofErr w:type="gramEnd"/>
      <w:r>
        <w:t xml:space="preserve"> day of  </w:t>
      </w:r>
      <w:r>
        <w:rPr>
          <w:i/>
        </w:rPr>
        <w:t xml:space="preserve">[ insert: </w:t>
      </w:r>
      <w:r>
        <w:rPr>
          <w:b/>
          <w:i/>
        </w:rPr>
        <w:t>month</w:t>
      </w:r>
      <w:r>
        <w:rPr>
          <w:i/>
        </w:rPr>
        <w:t> ]</w:t>
      </w:r>
      <w:r>
        <w:t xml:space="preserve">, </w:t>
      </w:r>
      <w:r>
        <w:rPr>
          <w:i/>
        </w:rPr>
        <w:t xml:space="preserve">[ insert: </w:t>
      </w:r>
      <w:r>
        <w:rPr>
          <w:b/>
          <w:i/>
        </w:rPr>
        <w:t>year</w:t>
      </w:r>
      <w:r>
        <w:rPr>
          <w:i/>
        </w:rPr>
        <w:t> ]</w:t>
      </w:r>
      <w:r>
        <w:t>.</w:t>
      </w:r>
    </w:p>
    <w:p w14:paraId="13F1B0AF" w14:textId="77777777" w:rsidR="00157AAA" w:rsidRDefault="006C1BE5">
      <w:pPr>
        <w:pStyle w:val="BankNormal"/>
        <w:spacing w:after="200"/>
        <w:rPr>
          <w:rFonts w:ascii="Times New Roman" w:hAnsi="Times New Roman"/>
          <w:i/>
          <w:sz w:val="24"/>
        </w:rPr>
      </w:pPr>
      <w:r>
        <w:rPr>
          <w:rFonts w:ascii="Times New Roman" w:hAnsi="Times New Roman"/>
          <w:i/>
          <w:sz w:val="24"/>
        </w:rPr>
        <w:t>[add Corporate Seal (where appropriate)]</w:t>
      </w:r>
    </w:p>
    <w:p w14:paraId="3A13E093" w14:textId="77777777" w:rsidR="00157AAA" w:rsidRDefault="006C1BE5">
      <w:pPr>
        <w:spacing w:after="0"/>
        <w:jc w:val="left"/>
        <w:rPr>
          <w:iCs/>
          <w:sz w:val="32"/>
        </w:rPr>
      </w:pPr>
      <w:r>
        <w:rPr>
          <w:b/>
          <w:iCs/>
          <w:sz w:val="32"/>
        </w:rPr>
        <w:br w:type="page" w:clear="all"/>
      </w:r>
    </w:p>
    <w:p w14:paraId="279B2751" w14:textId="77777777" w:rsidR="00157AAA" w:rsidRDefault="006C1BE5">
      <w:pPr>
        <w:pStyle w:val="S4-header1"/>
        <w:rPr>
          <w:smallCaps/>
        </w:rPr>
      </w:pPr>
      <w:bookmarkStart w:id="648" w:name="_Toc218673980"/>
      <w:bookmarkStart w:id="649" w:name="_Toc277345611"/>
      <w:bookmarkStart w:id="650" w:name="_Toc163506175"/>
      <w:r>
        <w:rPr>
          <w:smallCaps/>
        </w:rPr>
        <w:lastRenderedPageBreak/>
        <w:t>Subcontractor’s Agreement</w:t>
      </w:r>
      <w:bookmarkEnd w:id="648"/>
      <w:bookmarkEnd w:id="649"/>
      <w:bookmarkEnd w:id="650"/>
    </w:p>
    <w:p w14:paraId="064025F2" w14:textId="77777777" w:rsidR="00157AAA" w:rsidRDefault="00157AAA">
      <w:pPr>
        <w:ind w:left="720" w:hanging="720"/>
        <w:jc w:val="left"/>
        <w:rPr>
          <w:b/>
          <w:sz w:val="22"/>
        </w:rPr>
      </w:pPr>
    </w:p>
    <w:p w14:paraId="65FC6E62" w14:textId="77777777" w:rsidR="00157AAA" w:rsidRDefault="006C1BE5">
      <w:pPr>
        <w:ind w:left="720" w:hanging="720"/>
        <w:jc w:val="left"/>
        <w:rPr>
          <w:i/>
          <w:sz w:val="22"/>
        </w:rPr>
      </w:pPr>
      <w:r>
        <w:rPr>
          <w:b/>
          <w:i/>
          <w:sz w:val="22"/>
        </w:rPr>
        <w:t>Note</w:t>
      </w:r>
      <w:r>
        <w:rPr>
          <w:i/>
          <w:sz w:val="22"/>
        </w:rPr>
        <w:t xml:space="preserve">: </w:t>
      </w:r>
      <w:r>
        <w:rPr>
          <w:i/>
          <w:sz w:val="22"/>
        </w:rPr>
        <w:tab/>
        <w:t>This agreement should be written on the letterhead of the Subcontractor and be signed by a person with the proper authority to sign documents that are binding on the Subcontractor.</w:t>
      </w:r>
    </w:p>
    <w:p w14:paraId="20238BA8" w14:textId="77777777" w:rsidR="00157AAA" w:rsidRDefault="00157AAA">
      <w:pPr>
        <w:pStyle w:val="Footer"/>
        <w:tabs>
          <w:tab w:val="right" w:pos="9000"/>
        </w:tabs>
        <w:jc w:val="center"/>
        <w:rPr>
          <w:sz w:val="22"/>
        </w:rPr>
      </w:pPr>
    </w:p>
    <w:p w14:paraId="0EB16EA5" w14:textId="77777777" w:rsidR="00157AAA" w:rsidRDefault="006C1BE5">
      <w:pPr>
        <w:tabs>
          <w:tab w:val="right" w:pos="9000"/>
        </w:tabs>
        <w:spacing w:after="0"/>
      </w:pPr>
      <w:r>
        <w:t>Invitation for Bids Title and No.</w:t>
      </w:r>
      <w:proofErr w:type="gramStart"/>
      <w:r>
        <w:t xml:space="preserve">:  </w:t>
      </w:r>
      <w:r>
        <w:rPr>
          <w:i/>
        </w:rPr>
        <w:t>[</w:t>
      </w:r>
      <w:proofErr w:type="gramEnd"/>
      <w:r>
        <w:rPr>
          <w:i/>
        </w:rPr>
        <w:t xml:space="preserve">Purchaser insert:  </w:t>
      </w:r>
      <w:r>
        <w:rPr>
          <w:b/>
          <w:i/>
        </w:rPr>
        <w:t>RFB Title and Number</w:t>
      </w:r>
      <w:r>
        <w:rPr>
          <w:i/>
        </w:rPr>
        <w:t>]</w:t>
      </w:r>
    </w:p>
    <w:p w14:paraId="47EE75C6" w14:textId="77777777" w:rsidR="00157AAA" w:rsidRDefault="00157AAA">
      <w:pPr>
        <w:tabs>
          <w:tab w:val="right" w:pos="9000"/>
        </w:tabs>
        <w:spacing w:after="0"/>
      </w:pPr>
    </w:p>
    <w:p w14:paraId="222911DC" w14:textId="77777777" w:rsidR="00157AAA" w:rsidRDefault="006C1BE5">
      <w:pPr>
        <w:spacing w:after="0"/>
      </w:pPr>
      <w:r>
        <w:t>To</w:t>
      </w:r>
      <w:proofErr w:type="gramStart"/>
      <w:r>
        <w:t xml:space="preserve">:  </w:t>
      </w:r>
      <w:r>
        <w:rPr>
          <w:i/>
        </w:rPr>
        <w:t>[</w:t>
      </w:r>
      <w:proofErr w:type="gramEnd"/>
      <w:r>
        <w:rPr>
          <w:i/>
        </w:rPr>
        <w:t xml:space="preserve">Purchaser insert:  </w:t>
      </w:r>
      <w:r>
        <w:rPr>
          <w:b/>
          <w:i/>
        </w:rPr>
        <w:t>Purchaser’s Officer to receive the Subcontractor’s Agreement]</w:t>
      </w:r>
    </w:p>
    <w:p w14:paraId="1C9EF21A" w14:textId="77777777" w:rsidR="00157AAA" w:rsidRDefault="00157AAA">
      <w:pPr>
        <w:tabs>
          <w:tab w:val="left" w:pos="3720"/>
        </w:tabs>
        <w:spacing w:after="0"/>
      </w:pPr>
    </w:p>
    <w:p w14:paraId="18BA865F" w14:textId="77777777" w:rsidR="00157AAA" w:rsidRDefault="006C1BE5">
      <w:pPr>
        <w:tabs>
          <w:tab w:val="right" w:pos="8820"/>
        </w:tabs>
        <w:spacing w:after="0"/>
      </w:pPr>
      <w:r>
        <w:t xml:space="preserve">WHEREAS </w:t>
      </w:r>
      <w:r>
        <w:rPr>
          <w:i/>
        </w:rPr>
        <w:t xml:space="preserve">[ insert: </w:t>
      </w:r>
      <w:r>
        <w:rPr>
          <w:b/>
          <w:i/>
        </w:rPr>
        <w:t>Name of Subcontractor</w:t>
      </w:r>
      <w:r>
        <w:rPr>
          <w:i/>
        </w:rPr>
        <w:t xml:space="preserve"> ],</w:t>
      </w:r>
      <w:r>
        <w:t xml:space="preserve"> having head offices at </w:t>
      </w:r>
      <w:r>
        <w:rPr>
          <w:i/>
        </w:rPr>
        <w:t xml:space="preserve">[ insert: </w:t>
      </w:r>
      <w:r>
        <w:rPr>
          <w:b/>
          <w:i/>
        </w:rPr>
        <w:t>address of Subcontractor</w:t>
      </w:r>
      <w:r>
        <w:rPr>
          <w:i/>
        </w:rPr>
        <w:t xml:space="preserve"> ],</w:t>
      </w:r>
      <w:r>
        <w:t xml:space="preserve"> have been informed by </w:t>
      </w:r>
      <w:r>
        <w:rPr>
          <w:i/>
        </w:rPr>
        <w:t xml:space="preserve">[ insert:  </w:t>
      </w:r>
      <w:r>
        <w:rPr>
          <w:b/>
          <w:i/>
        </w:rPr>
        <w:t>name of Bidder or Joint Venture</w:t>
      </w:r>
      <w:r>
        <w:rPr>
          <w:i/>
        </w:rPr>
        <w:t xml:space="preserve"> ]</w:t>
      </w:r>
      <w:r>
        <w:t xml:space="preserve"> located at </w:t>
      </w:r>
      <w:r>
        <w:rPr>
          <w:i/>
        </w:rPr>
        <w:t xml:space="preserve">[ insert:  </w:t>
      </w:r>
      <w:r>
        <w:rPr>
          <w:b/>
          <w:i/>
        </w:rPr>
        <w:t>address of Bidder or Joint Venture</w:t>
      </w:r>
      <w:r>
        <w:rPr>
          <w:i/>
        </w:rPr>
        <w:t xml:space="preserve"> ]</w:t>
      </w:r>
      <w:r>
        <w:t xml:space="preserve"> (hereinafter, the “Bidder”) that it will submit a bid in which </w:t>
      </w:r>
      <w:r>
        <w:rPr>
          <w:i/>
        </w:rPr>
        <w:t xml:space="preserve">[ insert: </w:t>
      </w:r>
      <w:r>
        <w:rPr>
          <w:b/>
          <w:i/>
        </w:rPr>
        <w:t>Name of Subcontractor</w:t>
      </w:r>
      <w:r>
        <w:rPr>
          <w:i/>
        </w:rPr>
        <w:t xml:space="preserve"> ]</w:t>
      </w:r>
      <w:r>
        <w:t xml:space="preserve"> will provide  </w:t>
      </w:r>
      <w:r>
        <w:rPr>
          <w:i/>
        </w:rPr>
        <w:t xml:space="preserve">[ insert: </w:t>
      </w:r>
      <w:r>
        <w:rPr>
          <w:b/>
          <w:i/>
        </w:rPr>
        <w:t>items of supply or services provided by the Subcontractor</w:t>
      </w:r>
      <w:r>
        <w:rPr>
          <w:i/>
        </w:rPr>
        <w:t xml:space="preserve"> ].  </w:t>
      </w:r>
      <w:r>
        <w:t xml:space="preserve"> We hereby commit to provide the </w:t>
      </w:r>
      <w:proofErr w:type="gramStart"/>
      <w:r>
        <w:t>above named</w:t>
      </w:r>
      <w:proofErr w:type="gramEnd"/>
      <w:r>
        <w:t xml:space="preserve"> items, in the instance that the Bidder is awarded the Contract.</w:t>
      </w:r>
    </w:p>
    <w:p w14:paraId="46C1A375" w14:textId="77777777" w:rsidR="00157AAA" w:rsidRDefault="006C1BE5">
      <w:pPr>
        <w:tabs>
          <w:tab w:val="right" w:pos="8820"/>
        </w:tabs>
        <w:spacing w:after="0"/>
      </w:pPr>
      <w:r>
        <w:t xml:space="preserve"> </w:t>
      </w:r>
    </w:p>
    <w:p w14:paraId="0DA89B25" w14:textId="77777777" w:rsidR="00157AAA" w:rsidRDefault="006C1BE5">
      <w:r>
        <w:t xml:space="preserve">Name </w:t>
      </w:r>
      <w:r>
        <w:rPr>
          <w:i/>
        </w:rPr>
        <w:t xml:space="preserve">[insert: </w:t>
      </w:r>
      <w:r>
        <w:rPr>
          <w:b/>
          <w:i/>
        </w:rPr>
        <w:t>Name of Officer</w:t>
      </w:r>
      <w:r>
        <w:rPr>
          <w:i/>
        </w:rPr>
        <w:t>]</w:t>
      </w:r>
      <w:r>
        <w:t xml:space="preserve"> in the capacity of </w:t>
      </w:r>
      <w:r>
        <w:rPr>
          <w:i/>
        </w:rPr>
        <w:t xml:space="preserve">[insert: </w:t>
      </w:r>
      <w:r>
        <w:rPr>
          <w:b/>
          <w:i/>
        </w:rPr>
        <w:t>Title of Officer]</w:t>
      </w:r>
      <w:r>
        <w:t xml:space="preserve"> </w:t>
      </w:r>
    </w:p>
    <w:p w14:paraId="1854938A" w14:textId="77777777" w:rsidR="00157AAA" w:rsidRDefault="006C1BE5">
      <w:proofErr w:type="gramStart"/>
      <w:r>
        <w:t>Signed  _</w:t>
      </w:r>
      <w:proofErr w:type="gramEnd"/>
      <w:r>
        <w:t>_____________________________</w:t>
      </w:r>
    </w:p>
    <w:p w14:paraId="7FACD857" w14:textId="77777777" w:rsidR="00157AAA" w:rsidRDefault="006C1BE5">
      <w:r>
        <w:t xml:space="preserve">Duly authorized to sign the authorization for and on behalf of: </w:t>
      </w:r>
      <w:r>
        <w:rPr>
          <w:i/>
        </w:rPr>
        <w:t xml:space="preserve">[insert: </w:t>
      </w:r>
      <w:r>
        <w:rPr>
          <w:b/>
          <w:i/>
        </w:rPr>
        <w:t>Name of Subcontractor</w:t>
      </w:r>
      <w:r>
        <w:rPr>
          <w:i/>
        </w:rPr>
        <w:t xml:space="preserve">] </w:t>
      </w:r>
      <w:r>
        <w:tab/>
      </w:r>
    </w:p>
    <w:p w14:paraId="24F47F30" w14:textId="77777777" w:rsidR="00157AAA" w:rsidRDefault="006C1BE5">
      <w:r>
        <w:t xml:space="preserve">Dated this </w:t>
      </w:r>
      <w:r>
        <w:rPr>
          <w:i/>
        </w:rPr>
        <w:t xml:space="preserve">[ insert: </w:t>
      </w:r>
      <w:proofErr w:type="gramStart"/>
      <w:r>
        <w:rPr>
          <w:b/>
          <w:i/>
        </w:rPr>
        <w:t>ordinal</w:t>
      </w:r>
      <w:r>
        <w:rPr>
          <w:i/>
        </w:rPr>
        <w:t> ]</w:t>
      </w:r>
      <w:proofErr w:type="gramEnd"/>
      <w:r>
        <w:rPr>
          <w:i/>
        </w:rPr>
        <w:t xml:space="preserve"> </w:t>
      </w:r>
      <w:r>
        <w:t xml:space="preserve">day of </w:t>
      </w:r>
      <w:r>
        <w:rPr>
          <w:i/>
        </w:rPr>
        <w:t xml:space="preserve"> [ insert: </w:t>
      </w:r>
      <w:r>
        <w:rPr>
          <w:b/>
          <w:i/>
        </w:rPr>
        <w:t>month</w:t>
      </w:r>
      <w:r>
        <w:rPr>
          <w:i/>
        </w:rPr>
        <w:t> ]</w:t>
      </w:r>
      <w:r>
        <w:t xml:space="preserve">, </w:t>
      </w:r>
      <w:r>
        <w:rPr>
          <w:i/>
        </w:rPr>
        <w:t xml:space="preserve">[ insert: </w:t>
      </w:r>
      <w:r>
        <w:rPr>
          <w:b/>
          <w:i/>
        </w:rPr>
        <w:t>year</w:t>
      </w:r>
      <w:r>
        <w:rPr>
          <w:i/>
        </w:rPr>
        <w:t> ]</w:t>
      </w:r>
      <w:r>
        <w:t>.</w:t>
      </w:r>
    </w:p>
    <w:p w14:paraId="52C01866" w14:textId="77777777" w:rsidR="00157AAA" w:rsidRDefault="006C1BE5">
      <w:pPr>
        <w:rPr>
          <w:b/>
          <w:iCs/>
          <w:sz w:val="32"/>
        </w:rPr>
      </w:pPr>
      <w:r>
        <w:t>[add Corporate Seal (where appropriate)]</w:t>
      </w:r>
    </w:p>
    <w:p w14:paraId="2E74D13B" w14:textId="77777777" w:rsidR="00157AAA" w:rsidRDefault="00157AAA">
      <w:pPr>
        <w:spacing w:after="0"/>
        <w:jc w:val="left"/>
        <w:rPr>
          <w:b/>
          <w:iCs/>
          <w:sz w:val="32"/>
        </w:rPr>
      </w:pPr>
    </w:p>
    <w:p w14:paraId="528B858C" w14:textId="77777777" w:rsidR="00157AAA" w:rsidRDefault="006C1BE5">
      <w:pPr>
        <w:tabs>
          <w:tab w:val="left" w:pos="5238"/>
          <w:tab w:val="left" w:pos="5474"/>
          <w:tab w:val="left" w:pos="9468"/>
        </w:tabs>
        <w:jc w:val="center"/>
      </w:pPr>
      <w:r>
        <w:rPr>
          <w:b/>
          <w:sz w:val="28"/>
          <w:szCs w:val="28"/>
        </w:rPr>
        <w:t xml:space="preserve"> </w:t>
      </w:r>
      <w:r>
        <w:br w:type="page" w:clear="all"/>
      </w:r>
    </w:p>
    <w:p w14:paraId="4D8F1FC7" w14:textId="77777777" w:rsidR="00157AAA" w:rsidRDefault="006C1BE5">
      <w:pPr>
        <w:pStyle w:val="Head32"/>
        <w:ind w:right="-360"/>
      </w:pPr>
      <w:bookmarkStart w:id="651" w:name="_Toc218673985"/>
      <w:bookmarkStart w:id="652" w:name="_Toc277345614"/>
      <w:bookmarkStart w:id="653" w:name="_Toc125873862"/>
      <w:r>
        <w:lastRenderedPageBreak/>
        <w:t>List of Proposed Subcontractors</w:t>
      </w:r>
      <w:bookmarkEnd w:id="651"/>
      <w:bookmarkEnd w:id="652"/>
    </w:p>
    <w:p w14:paraId="06C2FFEB" w14:textId="77777777" w:rsidR="00157AAA" w:rsidRDefault="00157AAA">
      <w:pPr>
        <w:ind w:right="-360"/>
        <w:rPr>
          <w:sz w:val="22"/>
        </w:rPr>
      </w:pPr>
    </w:p>
    <w:tbl>
      <w:tblPr>
        <w:tblW w:w="0" w:type="auto"/>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360"/>
        <w:gridCol w:w="2538"/>
        <w:gridCol w:w="2880"/>
        <w:gridCol w:w="2700"/>
      </w:tblGrid>
      <w:tr w:rsidR="00157AAA" w14:paraId="4F7952D2" w14:textId="77777777">
        <w:trPr>
          <w:jc w:val="center"/>
        </w:trPr>
        <w:tc>
          <w:tcPr>
            <w:tcW w:w="360" w:type="dxa"/>
          </w:tcPr>
          <w:p w14:paraId="01E0A00F" w14:textId="77777777" w:rsidR="00157AAA" w:rsidRDefault="00157AAA">
            <w:pPr>
              <w:spacing w:before="120"/>
              <w:ind w:right="-360"/>
              <w:jc w:val="center"/>
              <w:rPr>
                <w:sz w:val="22"/>
              </w:rPr>
            </w:pPr>
          </w:p>
        </w:tc>
        <w:tc>
          <w:tcPr>
            <w:tcW w:w="2538" w:type="dxa"/>
          </w:tcPr>
          <w:p w14:paraId="21691014" w14:textId="77777777" w:rsidR="00157AAA" w:rsidRDefault="006C1BE5">
            <w:pPr>
              <w:spacing w:before="120"/>
              <w:ind w:right="-360"/>
              <w:jc w:val="center"/>
              <w:rPr>
                <w:sz w:val="22"/>
              </w:rPr>
            </w:pPr>
            <w:r>
              <w:rPr>
                <w:sz w:val="22"/>
              </w:rPr>
              <w:t>Item</w:t>
            </w:r>
          </w:p>
        </w:tc>
        <w:tc>
          <w:tcPr>
            <w:tcW w:w="2880" w:type="dxa"/>
          </w:tcPr>
          <w:p w14:paraId="569AA4AF" w14:textId="77777777" w:rsidR="00157AAA" w:rsidRDefault="006C1BE5">
            <w:pPr>
              <w:spacing w:before="120"/>
              <w:ind w:right="-360"/>
              <w:jc w:val="center"/>
              <w:rPr>
                <w:sz w:val="22"/>
              </w:rPr>
            </w:pPr>
            <w:r>
              <w:rPr>
                <w:sz w:val="22"/>
              </w:rPr>
              <w:t>Proposed Subcontractor</w:t>
            </w:r>
          </w:p>
        </w:tc>
        <w:tc>
          <w:tcPr>
            <w:tcW w:w="2700" w:type="dxa"/>
          </w:tcPr>
          <w:p w14:paraId="05ACC11E" w14:textId="77777777" w:rsidR="00157AAA" w:rsidRDefault="006C1BE5">
            <w:pPr>
              <w:spacing w:before="120"/>
              <w:ind w:right="-360"/>
              <w:jc w:val="center"/>
              <w:rPr>
                <w:sz w:val="22"/>
              </w:rPr>
            </w:pPr>
            <w:r>
              <w:rPr>
                <w:sz w:val="22"/>
              </w:rPr>
              <w:t>Place of Registration &amp; Qualifications</w:t>
            </w:r>
          </w:p>
        </w:tc>
      </w:tr>
      <w:tr w:rsidR="00157AAA" w14:paraId="4ADB6077" w14:textId="77777777">
        <w:trPr>
          <w:jc w:val="center"/>
        </w:trPr>
        <w:tc>
          <w:tcPr>
            <w:tcW w:w="360" w:type="dxa"/>
          </w:tcPr>
          <w:p w14:paraId="7C6B2198" w14:textId="77777777" w:rsidR="00157AAA" w:rsidRDefault="00157AAA">
            <w:pPr>
              <w:spacing w:before="120"/>
              <w:ind w:right="-360"/>
              <w:rPr>
                <w:sz w:val="22"/>
              </w:rPr>
            </w:pPr>
          </w:p>
        </w:tc>
        <w:tc>
          <w:tcPr>
            <w:tcW w:w="2538" w:type="dxa"/>
          </w:tcPr>
          <w:p w14:paraId="34F4C638" w14:textId="77777777" w:rsidR="00157AAA" w:rsidRDefault="00157AAA">
            <w:pPr>
              <w:spacing w:before="120"/>
              <w:ind w:right="-360"/>
              <w:rPr>
                <w:sz w:val="22"/>
              </w:rPr>
            </w:pPr>
          </w:p>
        </w:tc>
        <w:tc>
          <w:tcPr>
            <w:tcW w:w="2880" w:type="dxa"/>
          </w:tcPr>
          <w:p w14:paraId="2D6531E1" w14:textId="77777777" w:rsidR="00157AAA" w:rsidRDefault="00157AAA">
            <w:pPr>
              <w:spacing w:before="120"/>
              <w:ind w:right="-360"/>
              <w:rPr>
                <w:sz w:val="22"/>
              </w:rPr>
            </w:pPr>
          </w:p>
        </w:tc>
        <w:tc>
          <w:tcPr>
            <w:tcW w:w="2700" w:type="dxa"/>
          </w:tcPr>
          <w:p w14:paraId="1E374EEB" w14:textId="77777777" w:rsidR="00157AAA" w:rsidRDefault="00157AAA">
            <w:pPr>
              <w:spacing w:before="120"/>
              <w:ind w:right="-360"/>
              <w:rPr>
                <w:sz w:val="22"/>
              </w:rPr>
            </w:pPr>
          </w:p>
        </w:tc>
      </w:tr>
      <w:tr w:rsidR="00157AAA" w14:paraId="3306A46B" w14:textId="77777777">
        <w:trPr>
          <w:jc w:val="center"/>
        </w:trPr>
        <w:tc>
          <w:tcPr>
            <w:tcW w:w="360" w:type="dxa"/>
          </w:tcPr>
          <w:p w14:paraId="5D109FED" w14:textId="77777777" w:rsidR="00157AAA" w:rsidRDefault="00157AAA">
            <w:pPr>
              <w:spacing w:before="120"/>
              <w:ind w:right="-360"/>
              <w:rPr>
                <w:sz w:val="22"/>
              </w:rPr>
            </w:pPr>
          </w:p>
        </w:tc>
        <w:tc>
          <w:tcPr>
            <w:tcW w:w="2538" w:type="dxa"/>
          </w:tcPr>
          <w:p w14:paraId="61D43A1C" w14:textId="77777777" w:rsidR="00157AAA" w:rsidRDefault="00157AAA">
            <w:pPr>
              <w:spacing w:before="120"/>
              <w:ind w:right="-360"/>
              <w:rPr>
                <w:sz w:val="22"/>
              </w:rPr>
            </w:pPr>
          </w:p>
        </w:tc>
        <w:tc>
          <w:tcPr>
            <w:tcW w:w="2880" w:type="dxa"/>
          </w:tcPr>
          <w:p w14:paraId="25C63D68" w14:textId="77777777" w:rsidR="00157AAA" w:rsidRDefault="00157AAA">
            <w:pPr>
              <w:spacing w:before="120"/>
              <w:ind w:right="-360"/>
              <w:rPr>
                <w:sz w:val="22"/>
              </w:rPr>
            </w:pPr>
          </w:p>
        </w:tc>
        <w:tc>
          <w:tcPr>
            <w:tcW w:w="2700" w:type="dxa"/>
          </w:tcPr>
          <w:p w14:paraId="412E9493" w14:textId="77777777" w:rsidR="00157AAA" w:rsidRDefault="00157AAA">
            <w:pPr>
              <w:spacing w:before="120"/>
              <w:ind w:right="-360"/>
              <w:rPr>
                <w:sz w:val="22"/>
              </w:rPr>
            </w:pPr>
          </w:p>
        </w:tc>
      </w:tr>
      <w:tr w:rsidR="00157AAA" w14:paraId="6D9B976E" w14:textId="77777777">
        <w:trPr>
          <w:jc w:val="center"/>
        </w:trPr>
        <w:tc>
          <w:tcPr>
            <w:tcW w:w="360" w:type="dxa"/>
          </w:tcPr>
          <w:p w14:paraId="20DE6E9F" w14:textId="77777777" w:rsidR="00157AAA" w:rsidRDefault="00157AAA">
            <w:pPr>
              <w:spacing w:before="120"/>
              <w:ind w:right="-360"/>
              <w:rPr>
                <w:sz w:val="22"/>
              </w:rPr>
            </w:pPr>
          </w:p>
        </w:tc>
        <w:tc>
          <w:tcPr>
            <w:tcW w:w="2538" w:type="dxa"/>
          </w:tcPr>
          <w:p w14:paraId="104683C2" w14:textId="77777777" w:rsidR="00157AAA" w:rsidRDefault="00157AAA">
            <w:pPr>
              <w:spacing w:before="120"/>
              <w:ind w:right="-360"/>
              <w:rPr>
                <w:sz w:val="22"/>
              </w:rPr>
            </w:pPr>
          </w:p>
        </w:tc>
        <w:tc>
          <w:tcPr>
            <w:tcW w:w="2880" w:type="dxa"/>
          </w:tcPr>
          <w:p w14:paraId="7C397394" w14:textId="77777777" w:rsidR="00157AAA" w:rsidRDefault="00157AAA">
            <w:pPr>
              <w:spacing w:before="120"/>
              <w:ind w:right="-360"/>
              <w:rPr>
                <w:sz w:val="22"/>
              </w:rPr>
            </w:pPr>
          </w:p>
        </w:tc>
        <w:tc>
          <w:tcPr>
            <w:tcW w:w="2700" w:type="dxa"/>
          </w:tcPr>
          <w:p w14:paraId="4313E742" w14:textId="77777777" w:rsidR="00157AAA" w:rsidRDefault="00157AAA">
            <w:pPr>
              <w:spacing w:before="120"/>
              <w:ind w:right="-360"/>
              <w:rPr>
                <w:sz w:val="22"/>
              </w:rPr>
            </w:pPr>
          </w:p>
        </w:tc>
      </w:tr>
      <w:tr w:rsidR="00157AAA" w14:paraId="5F6AB89A" w14:textId="77777777">
        <w:trPr>
          <w:jc w:val="center"/>
        </w:trPr>
        <w:tc>
          <w:tcPr>
            <w:tcW w:w="360" w:type="dxa"/>
          </w:tcPr>
          <w:p w14:paraId="050D499B" w14:textId="77777777" w:rsidR="00157AAA" w:rsidRDefault="00157AAA">
            <w:pPr>
              <w:spacing w:before="120"/>
              <w:ind w:right="-360"/>
              <w:rPr>
                <w:sz w:val="22"/>
              </w:rPr>
            </w:pPr>
          </w:p>
        </w:tc>
        <w:tc>
          <w:tcPr>
            <w:tcW w:w="2538" w:type="dxa"/>
          </w:tcPr>
          <w:p w14:paraId="69CD6F7C" w14:textId="77777777" w:rsidR="00157AAA" w:rsidRDefault="00157AAA">
            <w:pPr>
              <w:spacing w:before="120"/>
              <w:ind w:right="-360"/>
              <w:rPr>
                <w:sz w:val="22"/>
              </w:rPr>
            </w:pPr>
          </w:p>
        </w:tc>
        <w:tc>
          <w:tcPr>
            <w:tcW w:w="2880" w:type="dxa"/>
          </w:tcPr>
          <w:p w14:paraId="093AE063" w14:textId="77777777" w:rsidR="00157AAA" w:rsidRDefault="00157AAA">
            <w:pPr>
              <w:spacing w:before="120"/>
              <w:ind w:right="-360"/>
              <w:rPr>
                <w:sz w:val="22"/>
              </w:rPr>
            </w:pPr>
          </w:p>
        </w:tc>
        <w:tc>
          <w:tcPr>
            <w:tcW w:w="2700" w:type="dxa"/>
          </w:tcPr>
          <w:p w14:paraId="32BEDE81" w14:textId="77777777" w:rsidR="00157AAA" w:rsidRDefault="00157AAA">
            <w:pPr>
              <w:spacing w:before="120"/>
              <w:ind w:right="-360"/>
              <w:rPr>
                <w:sz w:val="22"/>
              </w:rPr>
            </w:pPr>
          </w:p>
        </w:tc>
      </w:tr>
      <w:tr w:rsidR="00157AAA" w14:paraId="60030DBA" w14:textId="77777777">
        <w:trPr>
          <w:jc w:val="center"/>
        </w:trPr>
        <w:tc>
          <w:tcPr>
            <w:tcW w:w="360" w:type="dxa"/>
          </w:tcPr>
          <w:p w14:paraId="1C38DF90" w14:textId="77777777" w:rsidR="00157AAA" w:rsidRDefault="00157AAA">
            <w:pPr>
              <w:spacing w:before="120"/>
              <w:ind w:right="-360"/>
              <w:rPr>
                <w:sz w:val="22"/>
              </w:rPr>
            </w:pPr>
          </w:p>
        </w:tc>
        <w:tc>
          <w:tcPr>
            <w:tcW w:w="2538" w:type="dxa"/>
          </w:tcPr>
          <w:p w14:paraId="4CE55534" w14:textId="77777777" w:rsidR="00157AAA" w:rsidRDefault="00157AAA">
            <w:pPr>
              <w:spacing w:before="120"/>
              <w:ind w:right="-360"/>
              <w:rPr>
                <w:sz w:val="22"/>
              </w:rPr>
            </w:pPr>
          </w:p>
        </w:tc>
        <w:tc>
          <w:tcPr>
            <w:tcW w:w="2880" w:type="dxa"/>
          </w:tcPr>
          <w:p w14:paraId="15028715" w14:textId="77777777" w:rsidR="00157AAA" w:rsidRDefault="00157AAA">
            <w:pPr>
              <w:spacing w:before="120"/>
              <w:ind w:right="-360"/>
              <w:rPr>
                <w:sz w:val="22"/>
              </w:rPr>
            </w:pPr>
          </w:p>
        </w:tc>
        <w:tc>
          <w:tcPr>
            <w:tcW w:w="2700" w:type="dxa"/>
          </w:tcPr>
          <w:p w14:paraId="1D04E648" w14:textId="77777777" w:rsidR="00157AAA" w:rsidRDefault="00157AAA">
            <w:pPr>
              <w:spacing w:before="120"/>
              <w:ind w:right="-360"/>
              <w:rPr>
                <w:sz w:val="22"/>
              </w:rPr>
            </w:pPr>
          </w:p>
        </w:tc>
      </w:tr>
      <w:tr w:rsidR="00157AAA" w14:paraId="604A6D40" w14:textId="77777777">
        <w:trPr>
          <w:jc w:val="center"/>
        </w:trPr>
        <w:tc>
          <w:tcPr>
            <w:tcW w:w="360" w:type="dxa"/>
          </w:tcPr>
          <w:p w14:paraId="703293E6" w14:textId="77777777" w:rsidR="00157AAA" w:rsidRDefault="00157AAA">
            <w:pPr>
              <w:spacing w:before="120"/>
              <w:ind w:right="-360"/>
              <w:rPr>
                <w:sz w:val="22"/>
              </w:rPr>
            </w:pPr>
          </w:p>
        </w:tc>
        <w:tc>
          <w:tcPr>
            <w:tcW w:w="2538" w:type="dxa"/>
          </w:tcPr>
          <w:p w14:paraId="5F60DE02" w14:textId="77777777" w:rsidR="00157AAA" w:rsidRDefault="00157AAA">
            <w:pPr>
              <w:spacing w:before="120"/>
              <w:ind w:right="-360"/>
              <w:rPr>
                <w:sz w:val="22"/>
              </w:rPr>
            </w:pPr>
          </w:p>
        </w:tc>
        <w:tc>
          <w:tcPr>
            <w:tcW w:w="2880" w:type="dxa"/>
          </w:tcPr>
          <w:p w14:paraId="2231CB85" w14:textId="77777777" w:rsidR="00157AAA" w:rsidRDefault="00157AAA">
            <w:pPr>
              <w:spacing w:before="120"/>
              <w:ind w:right="-360"/>
              <w:rPr>
                <w:sz w:val="22"/>
              </w:rPr>
            </w:pPr>
          </w:p>
        </w:tc>
        <w:tc>
          <w:tcPr>
            <w:tcW w:w="2700" w:type="dxa"/>
          </w:tcPr>
          <w:p w14:paraId="6B596A28" w14:textId="77777777" w:rsidR="00157AAA" w:rsidRDefault="00157AAA">
            <w:pPr>
              <w:spacing w:before="120"/>
              <w:ind w:right="-360"/>
              <w:rPr>
                <w:sz w:val="22"/>
              </w:rPr>
            </w:pPr>
          </w:p>
        </w:tc>
      </w:tr>
      <w:tr w:rsidR="00157AAA" w14:paraId="736C16BE" w14:textId="77777777">
        <w:trPr>
          <w:jc w:val="center"/>
        </w:trPr>
        <w:tc>
          <w:tcPr>
            <w:tcW w:w="360" w:type="dxa"/>
          </w:tcPr>
          <w:p w14:paraId="224E1FAC" w14:textId="77777777" w:rsidR="00157AAA" w:rsidRDefault="00157AAA">
            <w:pPr>
              <w:spacing w:before="120"/>
              <w:ind w:right="-360"/>
              <w:rPr>
                <w:sz w:val="22"/>
              </w:rPr>
            </w:pPr>
          </w:p>
        </w:tc>
        <w:tc>
          <w:tcPr>
            <w:tcW w:w="2538" w:type="dxa"/>
          </w:tcPr>
          <w:p w14:paraId="2A21C0C8" w14:textId="77777777" w:rsidR="00157AAA" w:rsidRDefault="00157AAA">
            <w:pPr>
              <w:spacing w:before="120"/>
              <w:ind w:right="-360"/>
              <w:rPr>
                <w:sz w:val="22"/>
              </w:rPr>
            </w:pPr>
          </w:p>
        </w:tc>
        <w:tc>
          <w:tcPr>
            <w:tcW w:w="2880" w:type="dxa"/>
          </w:tcPr>
          <w:p w14:paraId="6BED9471" w14:textId="77777777" w:rsidR="00157AAA" w:rsidRDefault="00157AAA">
            <w:pPr>
              <w:spacing w:before="120"/>
              <w:ind w:right="-360"/>
              <w:rPr>
                <w:sz w:val="22"/>
              </w:rPr>
            </w:pPr>
          </w:p>
        </w:tc>
        <w:tc>
          <w:tcPr>
            <w:tcW w:w="2700" w:type="dxa"/>
          </w:tcPr>
          <w:p w14:paraId="1464A073" w14:textId="77777777" w:rsidR="00157AAA" w:rsidRDefault="00157AAA">
            <w:pPr>
              <w:spacing w:before="120"/>
              <w:ind w:right="-360"/>
              <w:rPr>
                <w:sz w:val="22"/>
              </w:rPr>
            </w:pPr>
          </w:p>
        </w:tc>
      </w:tr>
      <w:tr w:rsidR="00157AAA" w14:paraId="4158530C" w14:textId="77777777">
        <w:trPr>
          <w:jc w:val="center"/>
        </w:trPr>
        <w:tc>
          <w:tcPr>
            <w:tcW w:w="360" w:type="dxa"/>
          </w:tcPr>
          <w:p w14:paraId="14B1755B" w14:textId="77777777" w:rsidR="00157AAA" w:rsidRDefault="00157AAA">
            <w:pPr>
              <w:spacing w:before="120"/>
              <w:ind w:right="-360"/>
              <w:rPr>
                <w:sz w:val="22"/>
              </w:rPr>
            </w:pPr>
          </w:p>
        </w:tc>
        <w:tc>
          <w:tcPr>
            <w:tcW w:w="2538" w:type="dxa"/>
          </w:tcPr>
          <w:p w14:paraId="76EFE11F" w14:textId="77777777" w:rsidR="00157AAA" w:rsidRDefault="00157AAA">
            <w:pPr>
              <w:spacing w:before="120"/>
              <w:ind w:right="-360"/>
              <w:rPr>
                <w:sz w:val="22"/>
              </w:rPr>
            </w:pPr>
          </w:p>
        </w:tc>
        <w:tc>
          <w:tcPr>
            <w:tcW w:w="2880" w:type="dxa"/>
          </w:tcPr>
          <w:p w14:paraId="6B9C63E3" w14:textId="77777777" w:rsidR="00157AAA" w:rsidRDefault="00157AAA">
            <w:pPr>
              <w:spacing w:before="120"/>
              <w:ind w:right="-360"/>
              <w:rPr>
                <w:sz w:val="22"/>
              </w:rPr>
            </w:pPr>
          </w:p>
        </w:tc>
        <w:tc>
          <w:tcPr>
            <w:tcW w:w="2700" w:type="dxa"/>
          </w:tcPr>
          <w:p w14:paraId="69B0DE98" w14:textId="77777777" w:rsidR="00157AAA" w:rsidRDefault="00157AAA">
            <w:pPr>
              <w:spacing w:before="120"/>
              <w:ind w:right="-360"/>
              <w:rPr>
                <w:sz w:val="22"/>
              </w:rPr>
            </w:pPr>
          </w:p>
        </w:tc>
      </w:tr>
      <w:tr w:rsidR="00157AAA" w14:paraId="79A6FCCF" w14:textId="77777777">
        <w:trPr>
          <w:jc w:val="center"/>
        </w:trPr>
        <w:tc>
          <w:tcPr>
            <w:tcW w:w="360" w:type="dxa"/>
          </w:tcPr>
          <w:p w14:paraId="7476C76D" w14:textId="77777777" w:rsidR="00157AAA" w:rsidRDefault="00157AAA">
            <w:pPr>
              <w:spacing w:before="120"/>
              <w:ind w:right="-360"/>
              <w:rPr>
                <w:sz w:val="22"/>
              </w:rPr>
            </w:pPr>
          </w:p>
        </w:tc>
        <w:tc>
          <w:tcPr>
            <w:tcW w:w="2538" w:type="dxa"/>
          </w:tcPr>
          <w:p w14:paraId="0BCD9929" w14:textId="77777777" w:rsidR="00157AAA" w:rsidRDefault="00157AAA">
            <w:pPr>
              <w:spacing w:before="120"/>
              <w:ind w:right="-360"/>
              <w:rPr>
                <w:sz w:val="22"/>
              </w:rPr>
            </w:pPr>
          </w:p>
        </w:tc>
        <w:tc>
          <w:tcPr>
            <w:tcW w:w="2880" w:type="dxa"/>
          </w:tcPr>
          <w:p w14:paraId="69797769" w14:textId="77777777" w:rsidR="00157AAA" w:rsidRDefault="00157AAA">
            <w:pPr>
              <w:spacing w:before="120"/>
              <w:ind w:right="-360"/>
              <w:rPr>
                <w:sz w:val="22"/>
              </w:rPr>
            </w:pPr>
          </w:p>
        </w:tc>
        <w:tc>
          <w:tcPr>
            <w:tcW w:w="2700" w:type="dxa"/>
          </w:tcPr>
          <w:p w14:paraId="73E6D5DA" w14:textId="77777777" w:rsidR="00157AAA" w:rsidRDefault="00157AAA">
            <w:pPr>
              <w:spacing w:before="120"/>
              <w:ind w:right="-360"/>
              <w:rPr>
                <w:sz w:val="22"/>
              </w:rPr>
            </w:pPr>
          </w:p>
        </w:tc>
      </w:tr>
    </w:tbl>
    <w:p w14:paraId="163D91B4" w14:textId="77777777" w:rsidR="00157AAA" w:rsidRDefault="00157AAA">
      <w:pPr>
        <w:ind w:right="-360"/>
        <w:rPr>
          <w:sz w:val="22"/>
        </w:rPr>
      </w:pPr>
    </w:p>
    <w:p w14:paraId="530B6DA6" w14:textId="77777777" w:rsidR="00157AAA" w:rsidRDefault="006C1BE5">
      <w:pPr>
        <w:pStyle w:val="S4-header1"/>
      </w:pPr>
      <w:r>
        <w:rPr>
          <w:sz w:val="22"/>
        </w:rPr>
        <w:br w:type="page" w:clear="all"/>
      </w:r>
      <w:bookmarkStart w:id="654" w:name="_Toc218673986"/>
      <w:bookmarkStart w:id="655" w:name="_Toc277345615"/>
      <w:bookmarkStart w:id="656" w:name="_Toc163506176"/>
      <w:bookmarkEnd w:id="653"/>
      <w:r>
        <w:rPr>
          <w:smallCaps/>
        </w:rPr>
        <w:lastRenderedPageBreak/>
        <w:t>Intellectual Property Forms</w:t>
      </w:r>
      <w:bookmarkEnd w:id="654"/>
      <w:bookmarkEnd w:id="655"/>
      <w:bookmarkEnd w:id="656"/>
    </w:p>
    <w:p w14:paraId="787A492D" w14:textId="77777777" w:rsidR="00157AAA" w:rsidRDefault="00157AAA">
      <w:pPr>
        <w:ind w:right="-360"/>
      </w:pPr>
    </w:p>
    <w:p w14:paraId="06563551" w14:textId="77777777" w:rsidR="00157AAA" w:rsidRDefault="00157AAA"/>
    <w:p w14:paraId="3448228B" w14:textId="77777777" w:rsidR="00157AAA" w:rsidRDefault="006C1BE5">
      <w:pPr>
        <w:pStyle w:val="Heading2"/>
        <w:rPr>
          <w:rFonts w:ascii="Times New Roman" w:hAnsi="Times New Roman"/>
        </w:rPr>
      </w:pPr>
      <w:bookmarkStart w:id="657" w:name="_Toc218673988"/>
      <w:bookmarkStart w:id="658" w:name="_Toc218674014"/>
      <w:r>
        <w:rPr>
          <w:rFonts w:ascii="Times New Roman" w:hAnsi="Times New Roman"/>
        </w:rPr>
        <w:t>Notes to Bidders on working with the Intellectual Property Forms</w:t>
      </w:r>
      <w:bookmarkEnd w:id="657"/>
      <w:bookmarkEnd w:id="658"/>
      <w:r>
        <w:rPr>
          <w:rFonts w:ascii="Times New Roman" w:hAnsi="Times New Roman"/>
        </w:rPr>
        <w:t xml:space="preserve"> </w:t>
      </w:r>
    </w:p>
    <w:p w14:paraId="4E61F83A" w14:textId="77777777" w:rsidR="00157AAA" w:rsidRDefault="006C1BE5">
      <w:r>
        <w:tab/>
        <w:t xml:space="preserve">In accordance with ITB 11.1(j), Bidders must submit, as part of their bids, lists of all the Software included in the bid assigned to one of the following categories: (a) System, General-Purpose, or Application Software; (b) Standard or Custom Software; (c) Proprietary or Open Source.  Bidders must also submit a list of all Custom Materials.  These categorizations are needed to support the Intellectual Property in the GCC and SCC. </w:t>
      </w:r>
      <w:r>
        <w:rPr>
          <w:szCs w:val="24"/>
        </w:rPr>
        <w:t>The Bidder must also include the text of the software licenses for the software titles proposed.</w:t>
      </w:r>
    </w:p>
    <w:p w14:paraId="1F7C98B9" w14:textId="77777777" w:rsidR="00157AAA" w:rsidRDefault="00157AAA"/>
    <w:p w14:paraId="09FBA7E9" w14:textId="77777777" w:rsidR="00157AAA" w:rsidRDefault="00157AAA"/>
    <w:p w14:paraId="166539B0" w14:textId="77777777" w:rsidR="00157AAA" w:rsidRDefault="006C1BE5">
      <w:pPr>
        <w:spacing w:after="0"/>
        <w:jc w:val="left"/>
        <w:rPr>
          <w:b/>
          <w:i/>
          <w:sz w:val="32"/>
        </w:rPr>
      </w:pPr>
      <w:r>
        <w:rPr>
          <w:i/>
        </w:rPr>
        <w:br w:type="page" w:clear="all"/>
      </w:r>
    </w:p>
    <w:p w14:paraId="4462D693" w14:textId="77777777" w:rsidR="00157AAA" w:rsidRDefault="006C1BE5">
      <w:pPr>
        <w:pStyle w:val="Head32"/>
        <w:ind w:right="-360"/>
      </w:pPr>
      <w:bookmarkStart w:id="659" w:name="_Toc218673989"/>
      <w:bookmarkStart w:id="660" w:name="_Toc277345616"/>
      <w:r>
        <w:lastRenderedPageBreak/>
        <w:t>Software List</w:t>
      </w:r>
      <w:bookmarkEnd w:id="659"/>
      <w:bookmarkEnd w:id="660"/>
      <w:r>
        <w:t xml:space="preserve"> </w:t>
      </w:r>
    </w:p>
    <w:p w14:paraId="1ECEA3BD" w14:textId="77777777" w:rsidR="00157AAA" w:rsidRDefault="00157AAA">
      <w:pPr>
        <w:ind w:right="-360"/>
        <w:rPr>
          <w:sz w:val="22"/>
        </w:rPr>
      </w:pPr>
    </w:p>
    <w:tbl>
      <w:tblPr>
        <w:tblW w:w="8910"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2" w:type="dxa"/>
          <w:right w:w="72" w:type="dxa"/>
        </w:tblCellMar>
        <w:tblLook w:val="0000" w:firstRow="0" w:lastRow="0" w:firstColumn="0" w:lastColumn="0" w:noHBand="0" w:noVBand="0"/>
      </w:tblPr>
      <w:tblGrid>
        <w:gridCol w:w="1710"/>
        <w:gridCol w:w="1023"/>
        <w:gridCol w:w="961"/>
        <w:gridCol w:w="1063"/>
        <w:gridCol w:w="858"/>
        <w:gridCol w:w="961"/>
        <w:gridCol w:w="1209"/>
        <w:gridCol w:w="1125"/>
      </w:tblGrid>
      <w:tr w:rsidR="00157AAA" w14:paraId="7FFBE18C" w14:textId="77777777">
        <w:trPr>
          <w:tblHeader/>
          <w:jc w:val="center"/>
        </w:trPr>
        <w:tc>
          <w:tcPr>
            <w:tcW w:w="1710" w:type="dxa"/>
          </w:tcPr>
          <w:p w14:paraId="786C576F" w14:textId="77777777" w:rsidR="00157AAA" w:rsidRDefault="00157AAA">
            <w:pPr>
              <w:spacing w:before="120"/>
              <w:jc w:val="center"/>
              <w:rPr>
                <w:sz w:val="22"/>
              </w:rPr>
            </w:pPr>
          </w:p>
        </w:tc>
        <w:tc>
          <w:tcPr>
            <w:tcW w:w="3047" w:type="dxa"/>
            <w:gridSpan w:val="3"/>
          </w:tcPr>
          <w:p w14:paraId="6F632BFE" w14:textId="77777777" w:rsidR="00157AAA" w:rsidRDefault="006C1BE5">
            <w:pPr>
              <w:spacing w:before="120"/>
              <w:ind w:right="-31"/>
              <w:jc w:val="center"/>
              <w:rPr>
                <w:sz w:val="22"/>
              </w:rPr>
            </w:pPr>
            <w:r>
              <w:rPr>
                <w:sz w:val="22"/>
              </w:rPr>
              <w:t>(select one per title)</w:t>
            </w:r>
          </w:p>
        </w:tc>
        <w:tc>
          <w:tcPr>
            <w:tcW w:w="1819" w:type="dxa"/>
            <w:gridSpan w:val="2"/>
          </w:tcPr>
          <w:p w14:paraId="4A9B940D" w14:textId="77777777" w:rsidR="00157AAA" w:rsidRDefault="006C1BE5">
            <w:pPr>
              <w:spacing w:before="120"/>
              <w:ind w:right="-59"/>
              <w:jc w:val="center"/>
              <w:rPr>
                <w:rFonts w:ascii="Univers" w:hAnsi="Univers"/>
                <w:b/>
                <w:i/>
                <w:sz w:val="22"/>
              </w:rPr>
            </w:pPr>
            <w:r>
              <w:rPr>
                <w:sz w:val="22"/>
              </w:rPr>
              <w:t>(select one per title)</w:t>
            </w:r>
          </w:p>
        </w:tc>
        <w:tc>
          <w:tcPr>
            <w:tcW w:w="2334" w:type="dxa"/>
            <w:gridSpan w:val="2"/>
          </w:tcPr>
          <w:p w14:paraId="4D8B9C66" w14:textId="77777777" w:rsidR="00157AAA" w:rsidRDefault="006C1BE5">
            <w:pPr>
              <w:spacing w:before="120"/>
              <w:ind w:right="-31"/>
              <w:jc w:val="center"/>
              <w:rPr>
                <w:sz w:val="22"/>
              </w:rPr>
            </w:pPr>
            <w:r>
              <w:rPr>
                <w:sz w:val="22"/>
                <w:szCs w:val="22"/>
              </w:rPr>
              <w:t>(select one per title)</w:t>
            </w:r>
          </w:p>
        </w:tc>
      </w:tr>
      <w:tr w:rsidR="00157AAA" w14:paraId="627281E4" w14:textId="77777777">
        <w:trPr>
          <w:tblHeader/>
          <w:jc w:val="center"/>
        </w:trPr>
        <w:tc>
          <w:tcPr>
            <w:tcW w:w="1710" w:type="dxa"/>
          </w:tcPr>
          <w:p w14:paraId="7D08B8A8" w14:textId="77777777" w:rsidR="00157AAA" w:rsidRDefault="006C1BE5">
            <w:pPr>
              <w:spacing w:before="120"/>
              <w:jc w:val="center"/>
              <w:rPr>
                <w:sz w:val="20"/>
              </w:rPr>
            </w:pPr>
            <w:r>
              <w:rPr>
                <w:sz w:val="20"/>
              </w:rPr>
              <w:t>Title</w:t>
            </w:r>
          </w:p>
        </w:tc>
        <w:tc>
          <w:tcPr>
            <w:tcW w:w="1023" w:type="dxa"/>
          </w:tcPr>
          <w:p w14:paraId="52A10E86" w14:textId="77777777" w:rsidR="00157AAA" w:rsidRDefault="006C1BE5">
            <w:pPr>
              <w:spacing w:before="120"/>
              <w:ind w:right="-95"/>
              <w:jc w:val="center"/>
              <w:rPr>
                <w:sz w:val="20"/>
              </w:rPr>
            </w:pPr>
            <w:r>
              <w:rPr>
                <w:sz w:val="20"/>
              </w:rPr>
              <w:t>System</w:t>
            </w:r>
          </w:p>
        </w:tc>
        <w:tc>
          <w:tcPr>
            <w:tcW w:w="961" w:type="dxa"/>
          </w:tcPr>
          <w:p w14:paraId="07B71083" w14:textId="77777777" w:rsidR="00157AAA" w:rsidRDefault="006C1BE5">
            <w:pPr>
              <w:spacing w:before="120"/>
              <w:ind w:right="-41"/>
              <w:jc w:val="center"/>
              <w:rPr>
                <w:sz w:val="20"/>
              </w:rPr>
            </w:pPr>
            <w:r>
              <w:rPr>
                <w:sz w:val="20"/>
              </w:rPr>
              <w:t>General-Purpose</w:t>
            </w:r>
          </w:p>
        </w:tc>
        <w:tc>
          <w:tcPr>
            <w:tcW w:w="1063" w:type="dxa"/>
          </w:tcPr>
          <w:p w14:paraId="15011F4D" w14:textId="77777777" w:rsidR="00157AAA" w:rsidRDefault="006C1BE5">
            <w:pPr>
              <w:spacing w:before="120"/>
              <w:ind w:right="-31"/>
              <w:jc w:val="center"/>
              <w:rPr>
                <w:rFonts w:ascii="Univers" w:hAnsi="Univers"/>
                <w:b/>
                <w:i/>
                <w:sz w:val="20"/>
              </w:rPr>
            </w:pPr>
            <w:r>
              <w:rPr>
                <w:sz w:val="20"/>
              </w:rPr>
              <w:t>Application</w:t>
            </w:r>
          </w:p>
        </w:tc>
        <w:tc>
          <w:tcPr>
            <w:tcW w:w="858" w:type="dxa"/>
          </w:tcPr>
          <w:p w14:paraId="671A78CE" w14:textId="77777777" w:rsidR="00157AAA" w:rsidRDefault="006C1BE5">
            <w:pPr>
              <w:spacing w:before="120"/>
              <w:ind w:left="-113"/>
              <w:jc w:val="center"/>
              <w:rPr>
                <w:rFonts w:ascii="Univers" w:hAnsi="Univers"/>
                <w:b/>
                <w:i/>
                <w:sz w:val="20"/>
              </w:rPr>
            </w:pPr>
            <w:r>
              <w:rPr>
                <w:sz w:val="20"/>
              </w:rPr>
              <w:t>Standard</w:t>
            </w:r>
          </w:p>
        </w:tc>
        <w:tc>
          <w:tcPr>
            <w:tcW w:w="961" w:type="dxa"/>
          </w:tcPr>
          <w:p w14:paraId="7D995AA3" w14:textId="77777777" w:rsidR="00157AAA" w:rsidRDefault="006C1BE5">
            <w:pPr>
              <w:spacing w:before="120"/>
              <w:jc w:val="center"/>
              <w:rPr>
                <w:rFonts w:ascii="Univers" w:hAnsi="Univers"/>
                <w:b/>
                <w:i/>
                <w:sz w:val="20"/>
              </w:rPr>
            </w:pPr>
            <w:r>
              <w:rPr>
                <w:sz w:val="20"/>
              </w:rPr>
              <w:t>Custom</w:t>
            </w:r>
          </w:p>
        </w:tc>
        <w:tc>
          <w:tcPr>
            <w:tcW w:w="1209" w:type="dxa"/>
          </w:tcPr>
          <w:p w14:paraId="7F371D51" w14:textId="77777777" w:rsidR="00157AAA" w:rsidRDefault="006C1BE5">
            <w:pPr>
              <w:spacing w:before="120"/>
              <w:ind w:right="-31"/>
              <w:jc w:val="center"/>
              <w:rPr>
                <w:sz w:val="20"/>
              </w:rPr>
            </w:pPr>
            <w:r>
              <w:rPr>
                <w:sz w:val="20"/>
              </w:rPr>
              <w:t>Proprietary</w:t>
            </w:r>
          </w:p>
        </w:tc>
        <w:tc>
          <w:tcPr>
            <w:tcW w:w="1125" w:type="dxa"/>
          </w:tcPr>
          <w:p w14:paraId="006CA13E" w14:textId="77777777" w:rsidR="00157AAA" w:rsidRDefault="006C1BE5">
            <w:pPr>
              <w:spacing w:before="120"/>
              <w:ind w:right="-31"/>
              <w:jc w:val="center"/>
              <w:rPr>
                <w:sz w:val="20"/>
              </w:rPr>
            </w:pPr>
            <w:r>
              <w:rPr>
                <w:sz w:val="20"/>
              </w:rPr>
              <w:t>Open Source</w:t>
            </w:r>
          </w:p>
        </w:tc>
      </w:tr>
      <w:tr w:rsidR="00157AAA" w14:paraId="016838A7" w14:textId="77777777">
        <w:trPr>
          <w:tblHeader/>
          <w:jc w:val="center"/>
        </w:trPr>
        <w:tc>
          <w:tcPr>
            <w:tcW w:w="1710" w:type="dxa"/>
          </w:tcPr>
          <w:p w14:paraId="5DEDF4C6" w14:textId="77777777" w:rsidR="00157AAA" w:rsidRDefault="006C1BE5">
            <w:pPr>
              <w:spacing w:before="120"/>
              <w:jc w:val="center"/>
              <w:rPr>
                <w:sz w:val="22"/>
              </w:rPr>
            </w:pPr>
            <w:r>
              <w:rPr>
                <w:sz w:val="22"/>
              </w:rPr>
              <w:t>[insert Title]</w:t>
            </w:r>
          </w:p>
        </w:tc>
        <w:tc>
          <w:tcPr>
            <w:tcW w:w="1023" w:type="dxa"/>
          </w:tcPr>
          <w:p w14:paraId="0CD43948" w14:textId="77777777" w:rsidR="00157AAA" w:rsidRDefault="00157AAA">
            <w:pPr>
              <w:spacing w:before="120"/>
              <w:ind w:right="-95"/>
              <w:jc w:val="center"/>
              <w:rPr>
                <w:sz w:val="22"/>
              </w:rPr>
            </w:pPr>
          </w:p>
        </w:tc>
        <w:tc>
          <w:tcPr>
            <w:tcW w:w="961" w:type="dxa"/>
          </w:tcPr>
          <w:p w14:paraId="44A64178" w14:textId="77777777" w:rsidR="00157AAA" w:rsidRDefault="00157AAA">
            <w:pPr>
              <w:spacing w:before="120"/>
              <w:ind w:right="-41"/>
              <w:jc w:val="center"/>
              <w:rPr>
                <w:sz w:val="22"/>
              </w:rPr>
            </w:pPr>
          </w:p>
        </w:tc>
        <w:tc>
          <w:tcPr>
            <w:tcW w:w="1063" w:type="dxa"/>
          </w:tcPr>
          <w:p w14:paraId="392A68EB" w14:textId="77777777" w:rsidR="00157AAA" w:rsidRDefault="00157AAA">
            <w:pPr>
              <w:spacing w:before="120"/>
              <w:ind w:right="-31"/>
              <w:jc w:val="center"/>
              <w:rPr>
                <w:rFonts w:ascii="Univers" w:hAnsi="Univers"/>
                <w:b/>
                <w:i/>
                <w:sz w:val="22"/>
              </w:rPr>
            </w:pPr>
          </w:p>
        </w:tc>
        <w:tc>
          <w:tcPr>
            <w:tcW w:w="858" w:type="dxa"/>
          </w:tcPr>
          <w:p w14:paraId="2B07CE6C" w14:textId="77777777" w:rsidR="00157AAA" w:rsidRDefault="00157AAA">
            <w:pPr>
              <w:spacing w:before="120"/>
              <w:ind w:left="-113"/>
              <w:jc w:val="center"/>
              <w:rPr>
                <w:rFonts w:ascii="Univers" w:hAnsi="Univers"/>
                <w:b/>
                <w:i/>
                <w:sz w:val="22"/>
              </w:rPr>
            </w:pPr>
          </w:p>
        </w:tc>
        <w:tc>
          <w:tcPr>
            <w:tcW w:w="961" w:type="dxa"/>
          </w:tcPr>
          <w:p w14:paraId="6586D0E9" w14:textId="77777777" w:rsidR="00157AAA" w:rsidRDefault="00157AAA">
            <w:pPr>
              <w:spacing w:before="120"/>
              <w:jc w:val="center"/>
              <w:rPr>
                <w:rFonts w:ascii="Univers" w:hAnsi="Univers"/>
                <w:b/>
                <w:i/>
                <w:sz w:val="22"/>
              </w:rPr>
            </w:pPr>
          </w:p>
        </w:tc>
        <w:tc>
          <w:tcPr>
            <w:tcW w:w="1209" w:type="dxa"/>
          </w:tcPr>
          <w:p w14:paraId="00096605" w14:textId="77777777" w:rsidR="00157AAA" w:rsidRDefault="00157AAA">
            <w:pPr>
              <w:spacing w:before="120"/>
              <w:ind w:right="-31"/>
              <w:jc w:val="center"/>
              <w:rPr>
                <w:sz w:val="22"/>
              </w:rPr>
            </w:pPr>
          </w:p>
        </w:tc>
        <w:tc>
          <w:tcPr>
            <w:tcW w:w="1125" w:type="dxa"/>
          </w:tcPr>
          <w:p w14:paraId="039B8C76" w14:textId="77777777" w:rsidR="00157AAA" w:rsidRDefault="00157AAA">
            <w:pPr>
              <w:spacing w:before="120"/>
              <w:ind w:right="-31"/>
              <w:jc w:val="center"/>
              <w:rPr>
                <w:sz w:val="22"/>
              </w:rPr>
            </w:pPr>
          </w:p>
        </w:tc>
      </w:tr>
      <w:tr w:rsidR="00157AAA" w14:paraId="600A02CE" w14:textId="77777777">
        <w:trPr>
          <w:tblHeader/>
          <w:jc w:val="center"/>
        </w:trPr>
        <w:tc>
          <w:tcPr>
            <w:tcW w:w="1710" w:type="dxa"/>
          </w:tcPr>
          <w:p w14:paraId="16521F21" w14:textId="77777777" w:rsidR="00157AAA" w:rsidRDefault="006C1BE5">
            <w:pPr>
              <w:spacing w:before="120"/>
              <w:jc w:val="center"/>
              <w:rPr>
                <w:sz w:val="22"/>
              </w:rPr>
            </w:pPr>
            <w:r>
              <w:rPr>
                <w:sz w:val="22"/>
              </w:rPr>
              <w:t>[insert Title]</w:t>
            </w:r>
          </w:p>
        </w:tc>
        <w:tc>
          <w:tcPr>
            <w:tcW w:w="1023" w:type="dxa"/>
          </w:tcPr>
          <w:p w14:paraId="6780E8B5" w14:textId="77777777" w:rsidR="00157AAA" w:rsidRDefault="00157AAA">
            <w:pPr>
              <w:spacing w:before="120"/>
              <w:ind w:right="-95"/>
              <w:jc w:val="center"/>
              <w:rPr>
                <w:sz w:val="22"/>
              </w:rPr>
            </w:pPr>
          </w:p>
        </w:tc>
        <w:tc>
          <w:tcPr>
            <w:tcW w:w="961" w:type="dxa"/>
          </w:tcPr>
          <w:p w14:paraId="576C51FB" w14:textId="77777777" w:rsidR="00157AAA" w:rsidRDefault="00157AAA">
            <w:pPr>
              <w:spacing w:before="120"/>
              <w:ind w:right="-41"/>
              <w:jc w:val="center"/>
              <w:rPr>
                <w:sz w:val="22"/>
              </w:rPr>
            </w:pPr>
          </w:p>
        </w:tc>
        <w:tc>
          <w:tcPr>
            <w:tcW w:w="1063" w:type="dxa"/>
          </w:tcPr>
          <w:p w14:paraId="7192019E" w14:textId="77777777" w:rsidR="00157AAA" w:rsidRDefault="00157AAA">
            <w:pPr>
              <w:spacing w:before="120"/>
              <w:ind w:right="-31"/>
              <w:jc w:val="center"/>
              <w:rPr>
                <w:rFonts w:ascii="Univers" w:hAnsi="Univers"/>
                <w:b/>
                <w:i/>
                <w:sz w:val="22"/>
              </w:rPr>
            </w:pPr>
          </w:p>
        </w:tc>
        <w:tc>
          <w:tcPr>
            <w:tcW w:w="858" w:type="dxa"/>
          </w:tcPr>
          <w:p w14:paraId="0954F8C5" w14:textId="77777777" w:rsidR="00157AAA" w:rsidRDefault="00157AAA">
            <w:pPr>
              <w:spacing w:before="120"/>
              <w:ind w:left="-113"/>
              <w:jc w:val="center"/>
              <w:rPr>
                <w:rFonts w:ascii="Univers" w:hAnsi="Univers"/>
                <w:b/>
                <w:i/>
                <w:sz w:val="22"/>
              </w:rPr>
            </w:pPr>
          </w:p>
        </w:tc>
        <w:tc>
          <w:tcPr>
            <w:tcW w:w="961" w:type="dxa"/>
          </w:tcPr>
          <w:p w14:paraId="1BD86679" w14:textId="77777777" w:rsidR="00157AAA" w:rsidRDefault="00157AAA">
            <w:pPr>
              <w:spacing w:before="120"/>
              <w:jc w:val="center"/>
              <w:rPr>
                <w:rFonts w:ascii="Univers" w:hAnsi="Univers"/>
                <w:b/>
                <w:i/>
                <w:sz w:val="22"/>
              </w:rPr>
            </w:pPr>
          </w:p>
        </w:tc>
        <w:tc>
          <w:tcPr>
            <w:tcW w:w="1209" w:type="dxa"/>
          </w:tcPr>
          <w:p w14:paraId="57DFFFAE" w14:textId="77777777" w:rsidR="00157AAA" w:rsidRDefault="00157AAA">
            <w:pPr>
              <w:spacing w:before="120"/>
              <w:ind w:right="-31"/>
              <w:jc w:val="center"/>
              <w:rPr>
                <w:sz w:val="22"/>
              </w:rPr>
            </w:pPr>
          </w:p>
        </w:tc>
        <w:tc>
          <w:tcPr>
            <w:tcW w:w="1125" w:type="dxa"/>
          </w:tcPr>
          <w:p w14:paraId="47609A3D" w14:textId="77777777" w:rsidR="00157AAA" w:rsidRDefault="00157AAA">
            <w:pPr>
              <w:spacing w:before="120"/>
              <w:ind w:right="-31"/>
              <w:jc w:val="center"/>
              <w:rPr>
                <w:sz w:val="22"/>
              </w:rPr>
            </w:pPr>
          </w:p>
        </w:tc>
      </w:tr>
      <w:tr w:rsidR="00157AAA" w14:paraId="71FCDFDF" w14:textId="77777777">
        <w:trPr>
          <w:tblHeader/>
          <w:jc w:val="center"/>
        </w:trPr>
        <w:tc>
          <w:tcPr>
            <w:tcW w:w="1710" w:type="dxa"/>
          </w:tcPr>
          <w:p w14:paraId="7B1A8135" w14:textId="77777777" w:rsidR="00157AAA" w:rsidRDefault="006C1BE5">
            <w:pPr>
              <w:spacing w:before="120"/>
              <w:jc w:val="center"/>
              <w:rPr>
                <w:sz w:val="22"/>
              </w:rPr>
            </w:pPr>
            <w:r>
              <w:rPr>
                <w:sz w:val="22"/>
              </w:rPr>
              <w:t>[insert Title]</w:t>
            </w:r>
          </w:p>
        </w:tc>
        <w:tc>
          <w:tcPr>
            <w:tcW w:w="1023" w:type="dxa"/>
          </w:tcPr>
          <w:p w14:paraId="42DBCF6E" w14:textId="77777777" w:rsidR="00157AAA" w:rsidRDefault="00157AAA">
            <w:pPr>
              <w:spacing w:before="120"/>
              <w:ind w:right="-95"/>
              <w:jc w:val="center"/>
              <w:rPr>
                <w:sz w:val="22"/>
              </w:rPr>
            </w:pPr>
          </w:p>
        </w:tc>
        <w:tc>
          <w:tcPr>
            <w:tcW w:w="961" w:type="dxa"/>
          </w:tcPr>
          <w:p w14:paraId="05B18E80" w14:textId="77777777" w:rsidR="00157AAA" w:rsidRDefault="00157AAA">
            <w:pPr>
              <w:spacing w:before="120"/>
              <w:ind w:right="-41"/>
              <w:jc w:val="center"/>
              <w:rPr>
                <w:sz w:val="22"/>
              </w:rPr>
            </w:pPr>
          </w:p>
        </w:tc>
        <w:tc>
          <w:tcPr>
            <w:tcW w:w="1063" w:type="dxa"/>
          </w:tcPr>
          <w:p w14:paraId="07B46852" w14:textId="77777777" w:rsidR="00157AAA" w:rsidRDefault="00157AAA">
            <w:pPr>
              <w:spacing w:before="120"/>
              <w:ind w:right="-31"/>
              <w:jc w:val="center"/>
              <w:rPr>
                <w:rFonts w:ascii="Univers" w:hAnsi="Univers"/>
                <w:b/>
                <w:i/>
                <w:sz w:val="22"/>
              </w:rPr>
            </w:pPr>
          </w:p>
        </w:tc>
        <w:tc>
          <w:tcPr>
            <w:tcW w:w="858" w:type="dxa"/>
          </w:tcPr>
          <w:p w14:paraId="2F12BE86" w14:textId="77777777" w:rsidR="00157AAA" w:rsidRDefault="00157AAA">
            <w:pPr>
              <w:spacing w:before="120"/>
              <w:ind w:left="-113"/>
              <w:jc w:val="center"/>
              <w:rPr>
                <w:rFonts w:ascii="Univers" w:hAnsi="Univers"/>
                <w:b/>
                <w:i/>
                <w:sz w:val="22"/>
              </w:rPr>
            </w:pPr>
          </w:p>
        </w:tc>
        <w:tc>
          <w:tcPr>
            <w:tcW w:w="961" w:type="dxa"/>
          </w:tcPr>
          <w:p w14:paraId="7D23DF03" w14:textId="77777777" w:rsidR="00157AAA" w:rsidRDefault="00157AAA">
            <w:pPr>
              <w:spacing w:before="120"/>
              <w:jc w:val="center"/>
              <w:rPr>
                <w:rFonts w:ascii="Univers" w:hAnsi="Univers"/>
                <w:b/>
                <w:i/>
                <w:sz w:val="22"/>
              </w:rPr>
            </w:pPr>
          </w:p>
        </w:tc>
        <w:tc>
          <w:tcPr>
            <w:tcW w:w="1209" w:type="dxa"/>
          </w:tcPr>
          <w:p w14:paraId="642F691A" w14:textId="77777777" w:rsidR="00157AAA" w:rsidRDefault="00157AAA">
            <w:pPr>
              <w:spacing w:before="120"/>
              <w:ind w:right="-31"/>
              <w:jc w:val="center"/>
              <w:rPr>
                <w:sz w:val="22"/>
              </w:rPr>
            </w:pPr>
          </w:p>
        </w:tc>
        <w:tc>
          <w:tcPr>
            <w:tcW w:w="1125" w:type="dxa"/>
          </w:tcPr>
          <w:p w14:paraId="09E003C2" w14:textId="77777777" w:rsidR="00157AAA" w:rsidRDefault="00157AAA">
            <w:pPr>
              <w:spacing w:before="120"/>
              <w:ind w:right="-31"/>
              <w:jc w:val="center"/>
              <w:rPr>
                <w:sz w:val="22"/>
              </w:rPr>
            </w:pPr>
          </w:p>
        </w:tc>
      </w:tr>
      <w:tr w:rsidR="00157AAA" w14:paraId="44CEEB48" w14:textId="77777777">
        <w:trPr>
          <w:tblHeader/>
          <w:jc w:val="center"/>
        </w:trPr>
        <w:tc>
          <w:tcPr>
            <w:tcW w:w="1710" w:type="dxa"/>
          </w:tcPr>
          <w:p w14:paraId="0D256946" w14:textId="77777777" w:rsidR="00157AAA" w:rsidRDefault="006C1BE5">
            <w:pPr>
              <w:spacing w:before="120"/>
              <w:jc w:val="center"/>
              <w:rPr>
                <w:sz w:val="22"/>
              </w:rPr>
            </w:pPr>
            <w:r>
              <w:rPr>
                <w:sz w:val="22"/>
              </w:rPr>
              <w:t>[insert Title]</w:t>
            </w:r>
          </w:p>
        </w:tc>
        <w:tc>
          <w:tcPr>
            <w:tcW w:w="1023" w:type="dxa"/>
          </w:tcPr>
          <w:p w14:paraId="6F444E43" w14:textId="77777777" w:rsidR="00157AAA" w:rsidRDefault="00157AAA">
            <w:pPr>
              <w:spacing w:before="120"/>
              <w:ind w:right="-95"/>
              <w:jc w:val="center"/>
              <w:rPr>
                <w:sz w:val="22"/>
              </w:rPr>
            </w:pPr>
          </w:p>
        </w:tc>
        <w:tc>
          <w:tcPr>
            <w:tcW w:w="961" w:type="dxa"/>
          </w:tcPr>
          <w:p w14:paraId="2A7B4425" w14:textId="77777777" w:rsidR="00157AAA" w:rsidRDefault="00157AAA">
            <w:pPr>
              <w:spacing w:before="120"/>
              <w:ind w:right="-41"/>
              <w:jc w:val="center"/>
              <w:rPr>
                <w:sz w:val="22"/>
              </w:rPr>
            </w:pPr>
          </w:p>
        </w:tc>
        <w:tc>
          <w:tcPr>
            <w:tcW w:w="1063" w:type="dxa"/>
          </w:tcPr>
          <w:p w14:paraId="55F2172E" w14:textId="77777777" w:rsidR="00157AAA" w:rsidRDefault="00157AAA">
            <w:pPr>
              <w:spacing w:before="120"/>
              <w:ind w:right="-31"/>
              <w:jc w:val="center"/>
              <w:rPr>
                <w:rFonts w:ascii="Univers" w:hAnsi="Univers"/>
                <w:b/>
                <w:i/>
                <w:sz w:val="22"/>
              </w:rPr>
            </w:pPr>
          </w:p>
        </w:tc>
        <w:tc>
          <w:tcPr>
            <w:tcW w:w="858" w:type="dxa"/>
          </w:tcPr>
          <w:p w14:paraId="43703473" w14:textId="77777777" w:rsidR="00157AAA" w:rsidRDefault="00157AAA">
            <w:pPr>
              <w:spacing w:before="120"/>
              <w:ind w:left="-113"/>
              <w:jc w:val="center"/>
              <w:rPr>
                <w:rFonts w:ascii="Univers" w:hAnsi="Univers"/>
                <w:b/>
                <w:i/>
                <w:sz w:val="22"/>
              </w:rPr>
            </w:pPr>
          </w:p>
        </w:tc>
        <w:tc>
          <w:tcPr>
            <w:tcW w:w="961" w:type="dxa"/>
          </w:tcPr>
          <w:p w14:paraId="4298F977" w14:textId="77777777" w:rsidR="00157AAA" w:rsidRDefault="00157AAA">
            <w:pPr>
              <w:spacing w:before="120"/>
              <w:jc w:val="center"/>
              <w:rPr>
                <w:rFonts w:ascii="Univers" w:hAnsi="Univers"/>
                <w:b/>
                <w:i/>
                <w:sz w:val="22"/>
              </w:rPr>
            </w:pPr>
          </w:p>
        </w:tc>
        <w:tc>
          <w:tcPr>
            <w:tcW w:w="1209" w:type="dxa"/>
          </w:tcPr>
          <w:p w14:paraId="01A73455" w14:textId="77777777" w:rsidR="00157AAA" w:rsidRDefault="00157AAA">
            <w:pPr>
              <w:spacing w:before="120"/>
              <w:ind w:right="-31"/>
              <w:jc w:val="center"/>
              <w:rPr>
                <w:sz w:val="22"/>
              </w:rPr>
            </w:pPr>
          </w:p>
        </w:tc>
        <w:tc>
          <w:tcPr>
            <w:tcW w:w="1125" w:type="dxa"/>
          </w:tcPr>
          <w:p w14:paraId="068F5C27" w14:textId="77777777" w:rsidR="00157AAA" w:rsidRDefault="00157AAA">
            <w:pPr>
              <w:spacing w:before="120"/>
              <w:ind w:right="-31"/>
              <w:jc w:val="center"/>
              <w:rPr>
                <w:sz w:val="22"/>
              </w:rPr>
            </w:pPr>
          </w:p>
        </w:tc>
      </w:tr>
      <w:tr w:rsidR="00157AAA" w14:paraId="7A62029A" w14:textId="77777777">
        <w:trPr>
          <w:tblHeader/>
          <w:jc w:val="center"/>
        </w:trPr>
        <w:tc>
          <w:tcPr>
            <w:tcW w:w="1710" w:type="dxa"/>
          </w:tcPr>
          <w:p w14:paraId="51250773" w14:textId="77777777" w:rsidR="00157AAA" w:rsidRDefault="006C1BE5">
            <w:pPr>
              <w:spacing w:before="120"/>
              <w:jc w:val="center"/>
              <w:rPr>
                <w:sz w:val="22"/>
              </w:rPr>
            </w:pPr>
            <w:r>
              <w:rPr>
                <w:sz w:val="22"/>
              </w:rPr>
              <w:t>[insert Title]</w:t>
            </w:r>
          </w:p>
        </w:tc>
        <w:tc>
          <w:tcPr>
            <w:tcW w:w="1023" w:type="dxa"/>
          </w:tcPr>
          <w:p w14:paraId="149B9CA6" w14:textId="77777777" w:rsidR="00157AAA" w:rsidRDefault="00157AAA">
            <w:pPr>
              <w:spacing w:before="120"/>
              <w:ind w:right="-95"/>
              <w:jc w:val="center"/>
              <w:rPr>
                <w:sz w:val="22"/>
              </w:rPr>
            </w:pPr>
          </w:p>
        </w:tc>
        <w:tc>
          <w:tcPr>
            <w:tcW w:w="961" w:type="dxa"/>
          </w:tcPr>
          <w:p w14:paraId="30D545ED" w14:textId="77777777" w:rsidR="00157AAA" w:rsidRDefault="00157AAA">
            <w:pPr>
              <w:spacing w:before="120"/>
              <w:ind w:right="-41"/>
              <w:jc w:val="center"/>
              <w:rPr>
                <w:sz w:val="22"/>
              </w:rPr>
            </w:pPr>
          </w:p>
        </w:tc>
        <w:tc>
          <w:tcPr>
            <w:tcW w:w="1063" w:type="dxa"/>
          </w:tcPr>
          <w:p w14:paraId="00E862BA" w14:textId="77777777" w:rsidR="00157AAA" w:rsidRDefault="00157AAA">
            <w:pPr>
              <w:spacing w:before="120"/>
              <w:ind w:right="-31"/>
              <w:jc w:val="center"/>
              <w:rPr>
                <w:rFonts w:ascii="Univers" w:hAnsi="Univers"/>
                <w:b/>
                <w:i/>
                <w:sz w:val="22"/>
              </w:rPr>
            </w:pPr>
          </w:p>
        </w:tc>
        <w:tc>
          <w:tcPr>
            <w:tcW w:w="858" w:type="dxa"/>
          </w:tcPr>
          <w:p w14:paraId="6E2033F0" w14:textId="77777777" w:rsidR="00157AAA" w:rsidRDefault="00157AAA">
            <w:pPr>
              <w:spacing w:before="120"/>
              <w:ind w:left="-113"/>
              <w:jc w:val="center"/>
              <w:rPr>
                <w:rFonts w:ascii="Univers" w:hAnsi="Univers"/>
                <w:b/>
                <w:i/>
                <w:sz w:val="22"/>
              </w:rPr>
            </w:pPr>
          </w:p>
        </w:tc>
        <w:tc>
          <w:tcPr>
            <w:tcW w:w="961" w:type="dxa"/>
          </w:tcPr>
          <w:p w14:paraId="64756B22" w14:textId="77777777" w:rsidR="00157AAA" w:rsidRDefault="00157AAA">
            <w:pPr>
              <w:spacing w:before="120"/>
              <w:jc w:val="center"/>
              <w:rPr>
                <w:rFonts w:ascii="Univers" w:hAnsi="Univers"/>
                <w:b/>
                <w:i/>
                <w:sz w:val="22"/>
              </w:rPr>
            </w:pPr>
          </w:p>
        </w:tc>
        <w:tc>
          <w:tcPr>
            <w:tcW w:w="1209" w:type="dxa"/>
          </w:tcPr>
          <w:p w14:paraId="079BE0C8" w14:textId="77777777" w:rsidR="00157AAA" w:rsidRDefault="00157AAA">
            <w:pPr>
              <w:spacing w:before="120"/>
              <w:ind w:right="-31"/>
              <w:jc w:val="center"/>
              <w:rPr>
                <w:sz w:val="22"/>
              </w:rPr>
            </w:pPr>
          </w:p>
        </w:tc>
        <w:tc>
          <w:tcPr>
            <w:tcW w:w="1125" w:type="dxa"/>
          </w:tcPr>
          <w:p w14:paraId="020AFB94" w14:textId="77777777" w:rsidR="00157AAA" w:rsidRDefault="00157AAA">
            <w:pPr>
              <w:spacing w:before="120"/>
              <w:ind w:right="-31"/>
              <w:jc w:val="center"/>
              <w:rPr>
                <w:sz w:val="22"/>
              </w:rPr>
            </w:pPr>
          </w:p>
        </w:tc>
      </w:tr>
      <w:tr w:rsidR="00157AAA" w14:paraId="17AE2AC9" w14:textId="77777777">
        <w:trPr>
          <w:tblHeader/>
          <w:jc w:val="center"/>
        </w:trPr>
        <w:tc>
          <w:tcPr>
            <w:tcW w:w="1710" w:type="dxa"/>
          </w:tcPr>
          <w:p w14:paraId="1D0AC3BD" w14:textId="77777777" w:rsidR="00157AAA" w:rsidRDefault="006C1BE5">
            <w:pPr>
              <w:spacing w:before="120"/>
              <w:jc w:val="center"/>
              <w:rPr>
                <w:sz w:val="22"/>
              </w:rPr>
            </w:pPr>
            <w:r>
              <w:rPr>
                <w:sz w:val="22"/>
              </w:rPr>
              <w:t>[insert Title]</w:t>
            </w:r>
          </w:p>
        </w:tc>
        <w:tc>
          <w:tcPr>
            <w:tcW w:w="1023" w:type="dxa"/>
          </w:tcPr>
          <w:p w14:paraId="4103E288" w14:textId="77777777" w:rsidR="00157AAA" w:rsidRDefault="00157AAA">
            <w:pPr>
              <w:spacing w:before="120"/>
              <w:ind w:right="-95"/>
              <w:jc w:val="center"/>
              <w:rPr>
                <w:sz w:val="22"/>
              </w:rPr>
            </w:pPr>
          </w:p>
        </w:tc>
        <w:tc>
          <w:tcPr>
            <w:tcW w:w="961" w:type="dxa"/>
          </w:tcPr>
          <w:p w14:paraId="4D165013" w14:textId="77777777" w:rsidR="00157AAA" w:rsidRDefault="00157AAA">
            <w:pPr>
              <w:spacing w:before="120"/>
              <w:ind w:right="-41"/>
              <w:jc w:val="center"/>
              <w:rPr>
                <w:sz w:val="22"/>
              </w:rPr>
            </w:pPr>
          </w:p>
        </w:tc>
        <w:tc>
          <w:tcPr>
            <w:tcW w:w="1063" w:type="dxa"/>
          </w:tcPr>
          <w:p w14:paraId="6C0ACC7B" w14:textId="77777777" w:rsidR="00157AAA" w:rsidRDefault="00157AAA">
            <w:pPr>
              <w:spacing w:before="120"/>
              <w:ind w:right="-31"/>
              <w:jc w:val="center"/>
              <w:rPr>
                <w:rFonts w:ascii="Univers" w:hAnsi="Univers"/>
                <w:b/>
                <w:i/>
                <w:sz w:val="22"/>
              </w:rPr>
            </w:pPr>
          </w:p>
        </w:tc>
        <w:tc>
          <w:tcPr>
            <w:tcW w:w="858" w:type="dxa"/>
          </w:tcPr>
          <w:p w14:paraId="755373E1" w14:textId="77777777" w:rsidR="00157AAA" w:rsidRDefault="00157AAA">
            <w:pPr>
              <w:spacing w:before="120"/>
              <w:ind w:left="-113"/>
              <w:jc w:val="center"/>
              <w:rPr>
                <w:rFonts w:ascii="Univers" w:hAnsi="Univers"/>
                <w:b/>
                <w:i/>
                <w:sz w:val="22"/>
              </w:rPr>
            </w:pPr>
          </w:p>
        </w:tc>
        <w:tc>
          <w:tcPr>
            <w:tcW w:w="961" w:type="dxa"/>
          </w:tcPr>
          <w:p w14:paraId="1D917FD8" w14:textId="77777777" w:rsidR="00157AAA" w:rsidRDefault="00157AAA">
            <w:pPr>
              <w:spacing w:before="120"/>
              <w:jc w:val="center"/>
              <w:rPr>
                <w:rFonts w:ascii="Univers" w:hAnsi="Univers"/>
                <w:b/>
                <w:i/>
                <w:sz w:val="22"/>
              </w:rPr>
            </w:pPr>
          </w:p>
        </w:tc>
        <w:tc>
          <w:tcPr>
            <w:tcW w:w="1209" w:type="dxa"/>
          </w:tcPr>
          <w:p w14:paraId="71E233BE" w14:textId="77777777" w:rsidR="00157AAA" w:rsidRDefault="00157AAA">
            <w:pPr>
              <w:spacing w:before="120"/>
              <w:ind w:right="-31"/>
              <w:jc w:val="center"/>
              <w:rPr>
                <w:sz w:val="22"/>
              </w:rPr>
            </w:pPr>
          </w:p>
        </w:tc>
        <w:tc>
          <w:tcPr>
            <w:tcW w:w="1125" w:type="dxa"/>
          </w:tcPr>
          <w:p w14:paraId="0DE7FBA9" w14:textId="77777777" w:rsidR="00157AAA" w:rsidRDefault="00157AAA">
            <w:pPr>
              <w:spacing w:before="120"/>
              <w:ind w:right="-31"/>
              <w:jc w:val="center"/>
              <w:rPr>
                <w:sz w:val="22"/>
              </w:rPr>
            </w:pPr>
          </w:p>
        </w:tc>
      </w:tr>
      <w:tr w:rsidR="00157AAA" w14:paraId="51EDD433" w14:textId="77777777">
        <w:trPr>
          <w:tblHeader/>
          <w:jc w:val="center"/>
        </w:trPr>
        <w:tc>
          <w:tcPr>
            <w:tcW w:w="1710" w:type="dxa"/>
          </w:tcPr>
          <w:p w14:paraId="0FAC10D4" w14:textId="77777777" w:rsidR="00157AAA" w:rsidRDefault="00157AAA">
            <w:pPr>
              <w:spacing w:before="120"/>
              <w:jc w:val="center"/>
              <w:rPr>
                <w:sz w:val="22"/>
              </w:rPr>
            </w:pPr>
          </w:p>
        </w:tc>
        <w:tc>
          <w:tcPr>
            <w:tcW w:w="1023" w:type="dxa"/>
          </w:tcPr>
          <w:p w14:paraId="570E4425" w14:textId="77777777" w:rsidR="00157AAA" w:rsidRDefault="00157AAA">
            <w:pPr>
              <w:spacing w:before="120"/>
              <w:ind w:right="-95"/>
              <w:jc w:val="center"/>
              <w:rPr>
                <w:sz w:val="22"/>
              </w:rPr>
            </w:pPr>
          </w:p>
        </w:tc>
        <w:tc>
          <w:tcPr>
            <w:tcW w:w="961" w:type="dxa"/>
          </w:tcPr>
          <w:p w14:paraId="595922F2" w14:textId="77777777" w:rsidR="00157AAA" w:rsidRDefault="00157AAA">
            <w:pPr>
              <w:spacing w:before="120"/>
              <w:ind w:right="-41"/>
              <w:jc w:val="center"/>
              <w:rPr>
                <w:sz w:val="22"/>
              </w:rPr>
            </w:pPr>
          </w:p>
        </w:tc>
        <w:tc>
          <w:tcPr>
            <w:tcW w:w="1063" w:type="dxa"/>
          </w:tcPr>
          <w:p w14:paraId="4B9E8025" w14:textId="77777777" w:rsidR="00157AAA" w:rsidRDefault="00157AAA">
            <w:pPr>
              <w:spacing w:before="120"/>
              <w:ind w:right="-31"/>
              <w:jc w:val="center"/>
              <w:rPr>
                <w:rFonts w:ascii="Univers" w:hAnsi="Univers"/>
                <w:b/>
                <w:i/>
                <w:sz w:val="22"/>
              </w:rPr>
            </w:pPr>
          </w:p>
        </w:tc>
        <w:tc>
          <w:tcPr>
            <w:tcW w:w="858" w:type="dxa"/>
          </w:tcPr>
          <w:p w14:paraId="1AA6EA4E" w14:textId="77777777" w:rsidR="00157AAA" w:rsidRDefault="00157AAA">
            <w:pPr>
              <w:spacing w:before="120"/>
              <w:ind w:left="-113"/>
              <w:jc w:val="center"/>
              <w:rPr>
                <w:rFonts w:ascii="Univers" w:hAnsi="Univers"/>
                <w:b/>
                <w:i/>
                <w:sz w:val="22"/>
              </w:rPr>
            </w:pPr>
          </w:p>
        </w:tc>
        <w:tc>
          <w:tcPr>
            <w:tcW w:w="961" w:type="dxa"/>
          </w:tcPr>
          <w:p w14:paraId="1077642B" w14:textId="77777777" w:rsidR="00157AAA" w:rsidRDefault="00157AAA">
            <w:pPr>
              <w:spacing w:before="120"/>
              <w:jc w:val="center"/>
              <w:rPr>
                <w:rFonts w:ascii="Univers" w:hAnsi="Univers"/>
                <w:b/>
                <w:i/>
                <w:sz w:val="22"/>
              </w:rPr>
            </w:pPr>
          </w:p>
        </w:tc>
        <w:tc>
          <w:tcPr>
            <w:tcW w:w="1209" w:type="dxa"/>
          </w:tcPr>
          <w:p w14:paraId="4F4A7114" w14:textId="77777777" w:rsidR="00157AAA" w:rsidRDefault="00157AAA">
            <w:pPr>
              <w:spacing w:before="120"/>
              <w:ind w:right="-31"/>
              <w:jc w:val="center"/>
              <w:rPr>
                <w:sz w:val="22"/>
              </w:rPr>
            </w:pPr>
          </w:p>
        </w:tc>
        <w:tc>
          <w:tcPr>
            <w:tcW w:w="1125" w:type="dxa"/>
          </w:tcPr>
          <w:p w14:paraId="75E0F397" w14:textId="77777777" w:rsidR="00157AAA" w:rsidRDefault="00157AAA">
            <w:pPr>
              <w:spacing w:before="120"/>
              <w:ind w:right="-31"/>
              <w:jc w:val="center"/>
              <w:rPr>
                <w:sz w:val="22"/>
              </w:rPr>
            </w:pPr>
          </w:p>
        </w:tc>
      </w:tr>
    </w:tbl>
    <w:p w14:paraId="2BF29B8B" w14:textId="77777777" w:rsidR="00157AAA" w:rsidRDefault="00157AAA">
      <w:pPr>
        <w:ind w:right="-360"/>
        <w:jc w:val="left"/>
        <w:rPr>
          <w:b/>
          <w:szCs w:val="24"/>
        </w:rPr>
      </w:pPr>
    </w:p>
    <w:p w14:paraId="1545F65F" w14:textId="77777777" w:rsidR="00157AAA" w:rsidRDefault="006C1BE5">
      <w:pPr>
        <w:ind w:right="-360"/>
        <w:jc w:val="left"/>
        <w:rPr>
          <w:szCs w:val="24"/>
        </w:rPr>
      </w:pPr>
      <w:r>
        <w:rPr>
          <w:b/>
          <w:szCs w:val="24"/>
        </w:rPr>
        <w:t>Attachments</w:t>
      </w:r>
      <w:r>
        <w:rPr>
          <w:szCs w:val="24"/>
        </w:rPr>
        <w:t>:  Proposed Software Licenses</w:t>
      </w:r>
    </w:p>
    <w:p w14:paraId="380949F1" w14:textId="77777777" w:rsidR="00157AAA" w:rsidRDefault="006C1BE5">
      <w:pPr>
        <w:spacing w:after="0"/>
        <w:jc w:val="left"/>
        <w:rPr>
          <w:b/>
          <w:i/>
          <w:sz w:val="32"/>
        </w:rPr>
      </w:pPr>
      <w:r>
        <w:rPr>
          <w:i/>
        </w:rPr>
        <w:br w:type="page" w:clear="all"/>
      </w:r>
    </w:p>
    <w:p w14:paraId="57667B91" w14:textId="77777777" w:rsidR="00157AAA" w:rsidRDefault="006C1BE5">
      <w:pPr>
        <w:pStyle w:val="Head32"/>
      </w:pPr>
      <w:bookmarkStart w:id="661" w:name="_Toc521497250"/>
      <w:bookmarkStart w:id="662" w:name="_Toc218673990"/>
      <w:bookmarkStart w:id="663" w:name="_Toc277345617"/>
      <w:r>
        <w:lastRenderedPageBreak/>
        <w:t>List of Custom Materials</w:t>
      </w:r>
      <w:bookmarkEnd w:id="661"/>
      <w:bookmarkEnd w:id="662"/>
      <w:bookmarkEnd w:id="663"/>
    </w:p>
    <w:p w14:paraId="119F3B6D" w14:textId="77777777" w:rsidR="00157AAA" w:rsidRDefault="00157AAA">
      <w:pPr>
        <w:ind w:right="-360"/>
        <w:rPr>
          <w:sz w:val="22"/>
        </w:rPr>
      </w:pPr>
    </w:p>
    <w:tbl>
      <w:tblPr>
        <w:tblW w:w="864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8640"/>
      </w:tblGrid>
      <w:tr w:rsidR="00157AAA" w14:paraId="2E805753" w14:textId="77777777">
        <w:tc>
          <w:tcPr>
            <w:tcW w:w="9018" w:type="dxa"/>
          </w:tcPr>
          <w:p w14:paraId="24B77E98" w14:textId="77777777" w:rsidR="00157AAA" w:rsidRDefault="006C1BE5">
            <w:pPr>
              <w:spacing w:before="120"/>
              <w:ind w:right="-360"/>
              <w:jc w:val="center"/>
            </w:pPr>
            <w:r>
              <w:t xml:space="preserve"> Custom Materials</w:t>
            </w:r>
          </w:p>
        </w:tc>
      </w:tr>
      <w:tr w:rsidR="00157AAA" w14:paraId="5E29AD9C" w14:textId="77777777">
        <w:tc>
          <w:tcPr>
            <w:tcW w:w="9018" w:type="dxa"/>
          </w:tcPr>
          <w:p w14:paraId="0CA2D748" w14:textId="77777777" w:rsidR="00157AAA" w:rsidRDefault="006C1BE5">
            <w:pPr>
              <w:spacing w:before="120"/>
              <w:ind w:right="-360"/>
              <w:rPr>
                <w:i/>
                <w:sz w:val="22"/>
              </w:rPr>
            </w:pPr>
            <w:r>
              <w:rPr>
                <w:i/>
                <w:sz w:val="22"/>
              </w:rPr>
              <w:t xml:space="preserve">[insert </w:t>
            </w:r>
            <w:r>
              <w:rPr>
                <w:b/>
                <w:i/>
                <w:sz w:val="22"/>
              </w:rPr>
              <w:t>Title and description</w:t>
            </w:r>
            <w:r>
              <w:rPr>
                <w:i/>
                <w:sz w:val="22"/>
              </w:rPr>
              <w:t>]</w:t>
            </w:r>
          </w:p>
        </w:tc>
      </w:tr>
      <w:tr w:rsidR="00157AAA" w14:paraId="220ECF75" w14:textId="77777777">
        <w:tc>
          <w:tcPr>
            <w:tcW w:w="9018" w:type="dxa"/>
          </w:tcPr>
          <w:p w14:paraId="7FF62C4F" w14:textId="77777777" w:rsidR="00157AAA" w:rsidRDefault="006C1BE5">
            <w:pPr>
              <w:spacing w:before="120"/>
              <w:ind w:right="-360"/>
              <w:rPr>
                <w:i/>
                <w:sz w:val="22"/>
              </w:rPr>
            </w:pPr>
            <w:r>
              <w:rPr>
                <w:i/>
                <w:sz w:val="22"/>
              </w:rPr>
              <w:t xml:space="preserve">[insert </w:t>
            </w:r>
            <w:r>
              <w:rPr>
                <w:b/>
                <w:i/>
                <w:sz w:val="22"/>
              </w:rPr>
              <w:t>Title and description</w:t>
            </w:r>
            <w:r>
              <w:rPr>
                <w:i/>
                <w:sz w:val="22"/>
              </w:rPr>
              <w:t>]</w:t>
            </w:r>
          </w:p>
        </w:tc>
      </w:tr>
      <w:tr w:rsidR="00157AAA" w14:paraId="11E18826" w14:textId="77777777">
        <w:tc>
          <w:tcPr>
            <w:tcW w:w="9018" w:type="dxa"/>
          </w:tcPr>
          <w:p w14:paraId="2D397F9D" w14:textId="77777777" w:rsidR="00157AAA" w:rsidRDefault="006C1BE5">
            <w:pPr>
              <w:spacing w:before="120"/>
              <w:ind w:right="-360"/>
              <w:rPr>
                <w:i/>
                <w:sz w:val="22"/>
              </w:rPr>
            </w:pPr>
            <w:r>
              <w:rPr>
                <w:i/>
                <w:sz w:val="22"/>
              </w:rPr>
              <w:t xml:space="preserve">[insert </w:t>
            </w:r>
            <w:r>
              <w:rPr>
                <w:b/>
                <w:i/>
                <w:sz w:val="22"/>
              </w:rPr>
              <w:t>Title and description</w:t>
            </w:r>
            <w:r>
              <w:rPr>
                <w:i/>
                <w:sz w:val="22"/>
              </w:rPr>
              <w:t>]</w:t>
            </w:r>
          </w:p>
        </w:tc>
      </w:tr>
      <w:tr w:rsidR="00157AAA" w14:paraId="300F0B85" w14:textId="77777777">
        <w:tc>
          <w:tcPr>
            <w:tcW w:w="9018" w:type="dxa"/>
          </w:tcPr>
          <w:p w14:paraId="1430D2AE" w14:textId="77777777" w:rsidR="00157AAA" w:rsidRDefault="006C1BE5">
            <w:pPr>
              <w:spacing w:before="120"/>
              <w:ind w:right="-360"/>
              <w:rPr>
                <w:i/>
                <w:sz w:val="22"/>
              </w:rPr>
            </w:pPr>
            <w:r>
              <w:rPr>
                <w:i/>
                <w:sz w:val="22"/>
              </w:rPr>
              <w:t xml:space="preserve">[insert </w:t>
            </w:r>
            <w:r>
              <w:rPr>
                <w:b/>
                <w:i/>
                <w:sz w:val="22"/>
              </w:rPr>
              <w:t>Title and description</w:t>
            </w:r>
            <w:r>
              <w:rPr>
                <w:i/>
                <w:sz w:val="22"/>
              </w:rPr>
              <w:t>]</w:t>
            </w:r>
          </w:p>
        </w:tc>
      </w:tr>
      <w:tr w:rsidR="00157AAA" w14:paraId="5B500C9B" w14:textId="77777777">
        <w:tc>
          <w:tcPr>
            <w:tcW w:w="9018" w:type="dxa"/>
          </w:tcPr>
          <w:p w14:paraId="4C39AA88" w14:textId="77777777" w:rsidR="00157AAA" w:rsidRDefault="006C1BE5">
            <w:pPr>
              <w:spacing w:before="120"/>
              <w:ind w:right="-360"/>
              <w:rPr>
                <w:i/>
                <w:sz w:val="22"/>
              </w:rPr>
            </w:pPr>
            <w:r>
              <w:rPr>
                <w:i/>
                <w:sz w:val="22"/>
              </w:rPr>
              <w:t xml:space="preserve">[insert </w:t>
            </w:r>
            <w:r>
              <w:rPr>
                <w:b/>
                <w:i/>
                <w:sz w:val="22"/>
              </w:rPr>
              <w:t>Title and description</w:t>
            </w:r>
            <w:r>
              <w:rPr>
                <w:i/>
                <w:sz w:val="22"/>
              </w:rPr>
              <w:t>]</w:t>
            </w:r>
          </w:p>
        </w:tc>
      </w:tr>
      <w:tr w:rsidR="00157AAA" w14:paraId="10FDB1EE" w14:textId="77777777">
        <w:tc>
          <w:tcPr>
            <w:tcW w:w="9018" w:type="dxa"/>
          </w:tcPr>
          <w:p w14:paraId="2900710C" w14:textId="77777777" w:rsidR="00157AAA" w:rsidRDefault="00157AAA">
            <w:pPr>
              <w:spacing w:before="120"/>
              <w:ind w:right="-360"/>
              <w:rPr>
                <w:i/>
                <w:sz w:val="22"/>
              </w:rPr>
            </w:pPr>
          </w:p>
        </w:tc>
      </w:tr>
    </w:tbl>
    <w:p w14:paraId="6F9F9F65" w14:textId="77777777" w:rsidR="00157AAA" w:rsidRDefault="00157AAA">
      <w:pPr>
        <w:ind w:right="-360"/>
      </w:pPr>
    </w:p>
    <w:p w14:paraId="59B2DEC6" w14:textId="77777777" w:rsidR="00157AAA" w:rsidRDefault="006C1BE5">
      <w:pPr>
        <w:spacing w:after="0"/>
        <w:jc w:val="left"/>
      </w:pPr>
      <w:r>
        <w:br w:type="page" w:clear="all"/>
      </w:r>
    </w:p>
    <w:p w14:paraId="3E194026" w14:textId="77777777" w:rsidR="00157AAA" w:rsidRDefault="00157AAA">
      <w:pPr>
        <w:ind w:right="-360"/>
      </w:pPr>
    </w:p>
    <w:p w14:paraId="69BED30F" w14:textId="77777777" w:rsidR="00157AAA" w:rsidRDefault="006C1BE5">
      <w:pPr>
        <w:pStyle w:val="S4-header1"/>
      </w:pPr>
      <w:bookmarkStart w:id="664" w:name="_Toc218673991"/>
      <w:bookmarkStart w:id="665" w:name="_Toc277345618"/>
      <w:r>
        <w:tab/>
      </w:r>
      <w:bookmarkStart w:id="666" w:name="_Toc163506177"/>
      <w:r>
        <w:rPr>
          <w:smallCaps/>
        </w:rPr>
        <w:t>Conformance of Information System Materials</w:t>
      </w:r>
      <w:bookmarkEnd w:id="664"/>
      <w:bookmarkEnd w:id="665"/>
      <w:bookmarkEnd w:id="666"/>
      <w:r>
        <w:t xml:space="preserve"> </w:t>
      </w:r>
    </w:p>
    <w:p w14:paraId="58B3DDCF" w14:textId="77777777" w:rsidR="00157AAA" w:rsidRDefault="00157AAA">
      <w:pPr>
        <w:pStyle w:val="explanatorynotes"/>
      </w:pPr>
    </w:p>
    <w:p w14:paraId="2F3D887F" w14:textId="77777777" w:rsidR="00157AAA" w:rsidRDefault="00157AAA">
      <w:pPr>
        <w:ind w:right="-360"/>
        <w:sectPr w:rsidR="00157AAA" w:rsidSect="00734667">
          <w:headerReference w:type="default" r:id="rId62"/>
          <w:pgSz w:w="12240" w:h="15840"/>
          <w:pgMar w:top="1440" w:right="1800" w:bottom="1440" w:left="1800" w:header="720" w:footer="720" w:gutter="0"/>
          <w:cols w:space="720"/>
          <w:docGrid w:linePitch="360"/>
        </w:sectPr>
      </w:pPr>
    </w:p>
    <w:p w14:paraId="66AA4AA6" w14:textId="77777777" w:rsidR="00157AAA" w:rsidRDefault="006C1BE5">
      <w:pPr>
        <w:pStyle w:val="Head32"/>
      </w:pPr>
      <w:bookmarkStart w:id="667" w:name="_Toc218673994"/>
      <w:bookmarkStart w:id="668" w:name="_Toc277345619"/>
      <w:r>
        <w:lastRenderedPageBreak/>
        <w:t>Format of the Technical Bid</w:t>
      </w:r>
      <w:bookmarkEnd w:id="667"/>
      <w:bookmarkEnd w:id="668"/>
    </w:p>
    <w:p w14:paraId="2DFEAC54" w14:textId="30773D72" w:rsidR="00157AAA" w:rsidRPr="00434B69" w:rsidRDefault="00434B69" w:rsidP="00434B69">
      <w:pPr>
        <w:jc w:val="center"/>
        <w:rPr>
          <w:b/>
          <w:i/>
        </w:rPr>
      </w:pPr>
      <w:r w:rsidRPr="00434B69">
        <w:rPr>
          <w:b/>
          <w:i/>
          <w:highlight w:val="yellow"/>
        </w:rPr>
        <w:t>[The Bidders should follow instruction below for preparation of their Technical Bid]</w:t>
      </w:r>
    </w:p>
    <w:p w14:paraId="1E25ED2E" w14:textId="77777777" w:rsidR="00157AAA" w:rsidRDefault="006C1BE5">
      <w:r>
        <w:tab/>
        <w:t>In accordance with ITB 16.2, the documentary evidence of conformity of the Information System to the bidding documents includes (but is not restricted to):</w:t>
      </w:r>
    </w:p>
    <w:p w14:paraId="3008CF4F" w14:textId="77777777" w:rsidR="00157AAA" w:rsidRDefault="00157AAA">
      <w:pPr>
        <w:ind w:left="720" w:hanging="720"/>
      </w:pPr>
    </w:p>
    <w:p w14:paraId="5D05DC1E" w14:textId="77777777" w:rsidR="00157AAA" w:rsidRDefault="006C1BE5">
      <w:pPr>
        <w:ind w:left="720" w:hanging="720"/>
      </w:pPr>
      <w:r>
        <w:t>(a).</w:t>
      </w:r>
      <w:r>
        <w:tab/>
        <w:t xml:space="preserve">The Bidder’s Preliminary Project Plan, including, but not restricted, to the topics specified in the BDS ITB 16.2. The Preliminary Project Plan should also state the Bidder’s assessment of the major responsibilities of the Purchaser and any other involved third parties in System supply and installation, as well as the Bidder’s proposed means for coordinating activities by each of the involved parties to avoid delays or interference.  </w:t>
      </w:r>
    </w:p>
    <w:p w14:paraId="44DA639C" w14:textId="77777777" w:rsidR="00157AAA" w:rsidRDefault="006C1BE5">
      <w:pPr>
        <w:ind w:left="720" w:hanging="720"/>
      </w:pPr>
      <w:r>
        <w:t>(b).</w:t>
      </w:r>
      <w:r>
        <w:tab/>
        <w:t>A written confirmation by the Bidder that, if awarded the Contract, it shall accept responsibility for successful integration and interoperability of all the proposed Information Technologies included in the System, as further specified in the Technical Requirements.</w:t>
      </w:r>
    </w:p>
    <w:p w14:paraId="092C230E" w14:textId="77777777" w:rsidR="00157AAA" w:rsidRDefault="006C1BE5">
      <w:pPr>
        <w:ind w:left="720" w:hanging="720"/>
      </w:pPr>
      <w:r>
        <w:t>(c).</w:t>
      </w:r>
      <w:r>
        <w:tab/>
        <w:t xml:space="preserve">Item-by-Item Commentary on the Technical Requirements demonstrating the substantial responsiveness of the overall design of the System and the individual Information Technologies, Goods, and Services offered to those Technical Requirements.  </w:t>
      </w:r>
    </w:p>
    <w:p w14:paraId="7D497938" w14:textId="77777777" w:rsidR="00157AAA" w:rsidRDefault="006C1BE5">
      <w:pPr>
        <w:ind w:left="720" w:hanging="720"/>
      </w:pPr>
      <w:r>
        <w:tab/>
        <w:t xml:space="preserve">In demonstrating the responsiveness of its bid, the Bidder must use the Technical Responsiveness Checklist (Format).  Failure to do so </w:t>
      </w:r>
      <w:proofErr w:type="gramStart"/>
      <w:r>
        <w:t>increases significantly</w:t>
      </w:r>
      <w:proofErr w:type="gramEnd"/>
      <w:r>
        <w:t xml:space="preserve"> the risk that the Bidder’s Technical Bid will be declared technically non-responsive.  Among other things, the checklist should contain explicit cross-references to the relevant pages in supporting materials </w:t>
      </w:r>
      <w:proofErr w:type="gramStart"/>
      <w:r>
        <w:t>included</w:t>
      </w:r>
      <w:proofErr w:type="gramEnd"/>
      <w:r>
        <w:t xml:space="preserve"> the Bidder’s Technical Bid.</w:t>
      </w:r>
    </w:p>
    <w:p w14:paraId="06BC4ED6" w14:textId="77777777" w:rsidR="00157AAA" w:rsidRDefault="006C1BE5">
      <w:pPr>
        <w:ind w:left="720" w:hanging="720"/>
      </w:pPr>
      <w:r>
        <w:rPr>
          <w:b/>
        </w:rPr>
        <w:t>Note</w:t>
      </w:r>
      <w:r>
        <w:t>:</w:t>
      </w:r>
      <w:r>
        <w:tab/>
        <w:t xml:space="preserve">The Technical Requirements are voiced as requirements of the </w:t>
      </w:r>
      <w:r>
        <w:rPr>
          <w:i/>
        </w:rPr>
        <w:t>Supplier</w:t>
      </w:r>
      <w:r>
        <w:t xml:space="preserve"> and/or the </w:t>
      </w:r>
      <w:r>
        <w:rPr>
          <w:i/>
        </w:rPr>
        <w:t>System</w:t>
      </w:r>
      <w:r>
        <w:t xml:space="preserve">.  The Bidder’s response must provide clear evidence for the evaluation team to assess the credibility of the response.  A response of “yes” or “will do” is unlikely to convey the credibility of the response.  The Bidder should indicate </w:t>
      </w:r>
      <w:r>
        <w:rPr>
          <w:i/>
        </w:rPr>
        <w:t>that</w:t>
      </w:r>
      <w:r>
        <w:t xml:space="preserve"> – and to the greatest extent practical – </w:t>
      </w:r>
      <w:r>
        <w:rPr>
          <w:i/>
        </w:rPr>
        <w:t>how</w:t>
      </w:r>
      <w:r>
        <w:t xml:space="preserve"> the Bidder would comply with the requirements if awarded the contract.  Whenever the technical requirements relate to feature(s) of existing products (e.g., hardware or software), the features should be </w:t>
      </w:r>
      <w:proofErr w:type="gramStart"/>
      <w:r>
        <w:t>described</w:t>
      </w:r>
      <w:proofErr w:type="gramEnd"/>
      <w:r>
        <w:t xml:space="preserve"> and the relevant product literature referenced.  When the technical requirements relate to professional services (e.g., analysis, configuration, integration, training, etc.) some effort should be expended to describe how they would be rendered – not just a commitment to perform the [cut-and-paste] requirement.  Whenever a technical requirement is for the Supplier to provide certifications (e.g., ISO 9001), copies of these certifications must be included in the Technical Bid.  </w:t>
      </w:r>
    </w:p>
    <w:p w14:paraId="01291407" w14:textId="77777777" w:rsidR="00157AAA" w:rsidRDefault="006C1BE5">
      <w:pPr>
        <w:ind w:left="720" w:hanging="720"/>
      </w:pPr>
      <w:r>
        <w:rPr>
          <w:b/>
        </w:rPr>
        <w:t>Note</w:t>
      </w:r>
      <w:r>
        <w:t>:</w:t>
      </w:r>
      <w:r>
        <w:tab/>
        <w:t xml:space="preserve">The Manufacture’s Authorizations (and any Subcontractor Agreements) are to be included in Attachment 2 (Bidder Qualifications), in accordance </w:t>
      </w:r>
      <w:proofErr w:type="gramStart"/>
      <w:r>
        <w:t>with and</w:t>
      </w:r>
      <w:proofErr w:type="gramEnd"/>
      <w:r>
        <w:t xml:space="preserve"> ITB 15.</w:t>
      </w:r>
    </w:p>
    <w:p w14:paraId="1FF2116F" w14:textId="77777777" w:rsidR="00157AAA" w:rsidRDefault="006C1BE5">
      <w:pPr>
        <w:ind w:left="720" w:hanging="720"/>
      </w:pPr>
      <w:r>
        <w:rPr>
          <w:b/>
        </w:rPr>
        <w:t>Note</w:t>
      </w:r>
      <w:r>
        <w:t>:</w:t>
      </w:r>
      <w:r>
        <w:tab/>
        <w:t xml:space="preserve">As a matter of practice, the contract cannot be awarded to a Bidder whose Technical Bid deviates (materially) from the Technical Requirements – </w:t>
      </w:r>
      <w:r>
        <w:rPr>
          <w:i/>
        </w:rPr>
        <w:t>on any Technical Requirement</w:t>
      </w:r>
      <w:r>
        <w:t xml:space="preserve">.  Such deviations include omissions (e.g., non-responses) and responses </w:t>
      </w:r>
      <w:r>
        <w:lastRenderedPageBreak/>
        <w:t xml:space="preserve">that do not meet or exceed the requirement.  Extreme care must be exercised in the preparation and presentation of the responses to all the Technical Requirements.  </w:t>
      </w:r>
    </w:p>
    <w:p w14:paraId="24938E58" w14:textId="77777777" w:rsidR="00157AAA" w:rsidRDefault="006C1BE5">
      <w:pPr>
        <w:ind w:left="720" w:hanging="720"/>
      </w:pPr>
      <w:r>
        <w:t>(d).</w:t>
      </w:r>
      <w:r>
        <w:tab/>
        <w:t xml:space="preserve">Supporting materials to underpin the Item-by-item Commentary on the Technical Requirements (e.g., product literature, white-papers, narrative descriptions of technical approaches to be employed, etc.).  In the interest of timely bid evaluation and contract award, Bidders are encouraged not to overload the supporting materials with documents that do not directly address the Purchaser’s requirements.    </w:t>
      </w:r>
    </w:p>
    <w:p w14:paraId="4BC87BBB" w14:textId="77777777" w:rsidR="00157AAA" w:rsidRDefault="006C1BE5">
      <w:pPr>
        <w:ind w:left="720" w:hanging="720"/>
      </w:pPr>
      <w:r>
        <w:t>(e).</w:t>
      </w:r>
      <w:r>
        <w:tab/>
        <w:t>Any separate and enforceable contract(s) for Recurrent Cost items which the BDS ITB 17.2 required Bidders to bid.</w:t>
      </w:r>
    </w:p>
    <w:p w14:paraId="653F8824" w14:textId="77777777" w:rsidR="00157AAA" w:rsidRDefault="00157AAA">
      <w:pPr>
        <w:ind w:left="720" w:hanging="720"/>
      </w:pPr>
    </w:p>
    <w:p w14:paraId="5156AF15" w14:textId="77777777" w:rsidR="00157AAA" w:rsidRDefault="006C1BE5">
      <w:pPr>
        <w:ind w:left="720" w:hanging="720"/>
      </w:pPr>
      <w:r>
        <w:rPr>
          <w:b/>
        </w:rPr>
        <w:t>Note</w:t>
      </w:r>
      <w:r>
        <w:t>:</w:t>
      </w:r>
      <w:r>
        <w:tab/>
        <w:t>To facilitate bid evaluation and contract award, Bidders encouraged to provide electronic copies of their Technical Bid – preferably in a format that the evaluation team can extract text from to facilitate the bid clarification process and to facilitate the preparation of the Bid Evaluation Report.</w:t>
      </w:r>
    </w:p>
    <w:p w14:paraId="0587A8F3" w14:textId="77777777" w:rsidR="00157AAA" w:rsidRDefault="00157AAA">
      <w:pPr>
        <w:ind w:left="720" w:hanging="720"/>
      </w:pPr>
    </w:p>
    <w:p w14:paraId="40693078" w14:textId="77777777" w:rsidR="00157AAA" w:rsidRDefault="006C1BE5">
      <w:pPr>
        <w:spacing w:after="0"/>
        <w:jc w:val="left"/>
      </w:pPr>
      <w:r>
        <w:br w:type="page" w:clear="all"/>
      </w:r>
    </w:p>
    <w:p w14:paraId="1E753C4B" w14:textId="77777777" w:rsidR="00157AAA" w:rsidRDefault="00157AAA">
      <w:pPr>
        <w:ind w:right="-360"/>
      </w:pPr>
    </w:p>
    <w:p w14:paraId="1296D4C7" w14:textId="387F93B6" w:rsidR="00157AAA" w:rsidRPr="009D68A3" w:rsidRDefault="006C1BE5">
      <w:pPr>
        <w:pStyle w:val="Head32"/>
        <w:ind w:right="-360"/>
        <w:rPr>
          <w:sz w:val="32"/>
          <w:szCs w:val="32"/>
          <w:u w:val="single"/>
        </w:rPr>
      </w:pPr>
      <w:bookmarkStart w:id="669" w:name="_Toc521498282"/>
      <w:bookmarkStart w:id="670" w:name="_Toc207771490"/>
      <w:bookmarkStart w:id="671" w:name="_Toc218673995"/>
      <w:bookmarkStart w:id="672" w:name="_Toc277345620"/>
      <w:r>
        <w:tab/>
      </w:r>
      <w:r w:rsidRPr="009D68A3">
        <w:rPr>
          <w:sz w:val="32"/>
          <w:szCs w:val="32"/>
          <w:u w:val="single"/>
        </w:rPr>
        <w:t>Technical Responsiveness Checklist</w:t>
      </w:r>
      <w:bookmarkEnd w:id="669"/>
      <w:bookmarkEnd w:id="670"/>
      <w:bookmarkEnd w:id="671"/>
      <w:r w:rsidRPr="009D68A3">
        <w:rPr>
          <w:sz w:val="32"/>
          <w:szCs w:val="32"/>
          <w:u w:val="single"/>
        </w:rPr>
        <w:t xml:space="preserve"> </w:t>
      </w:r>
      <w:bookmarkEnd w:id="672"/>
    </w:p>
    <w:p w14:paraId="04D78A57" w14:textId="77777777" w:rsidR="003D47D2" w:rsidRDefault="00366663" w:rsidP="001136D3">
      <w:pPr>
        <w:spacing w:after="0"/>
        <w:ind w:right="-360"/>
        <w:jc w:val="left"/>
        <w:rPr>
          <w:szCs w:val="24"/>
        </w:rPr>
      </w:pPr>
      <w:r w:rsidRPr="001136D3">
        <w:rPr>
          <w:b/>
          <w:szCs w:val="24"/>
        </w:rPr>
        <w:t xml:space="preserve">NOTE: </w:t>
      </w:r>
      <w:r>
        <w:rPr>
          <w:szCs w:val="24"/>
        </w:rPr>
        <w:t>Bidder is obliged to fill in the rows:</w:t>
      </w:r>
      <w:r w:rsidRPr="00775DEE">
        <w:rPr>
          <w:szCs w:val="24"/>
        </w:rPr>
        <w:t xml:space="preserve"> </w:t>
      </w:r>
    </w:p>
    <w:p w14:paraId="28001D28" w14:textId="78D3FCAA" w:rsidR="00366663" w:rsidRPr="001136D3" w:rsidRDefault="003D47D2" w:rsidP="001136D3">
      <w:pPr>
        <w:spacing w:after="0"/>
        <w:ind w:right="-360"/>
        <w:jc w:val="left"/>
        <w:rPr>
          <w:szCs w:val="24"/>
          <w:lang w:val="mk-MK"/>
        </w:rPr>
      </w:pPr>
      <w:r>
        <w:rPr>
          <w:szCs w:val="24"/>
        </w:rPr>
        <w:t>“</w:t>
      </w:r>
      <w:r w:rsidR="00366663" w:rsidRPr="008C4A39">
        <w:rPr>
          <w:szCs w:val="24"/>
        </w:rPr>
        <w:t>Bidder’s technical reasons supporting compliance</w:t>
      </w:r>
      <w:r>
        <w:rPr>
          <w:szCs w:val="24"/>
        </w:rPr>
        <w:t>”</w:t>
      </w:r>
      <w:r w:rsidR="00366663" w:rsidRPr="008C4A39">
        <w:rPr>
          <w:szCs w:val="24"/>
        </w:rPr>
        <w:t xml:space="preserve"> </w:t>
      </w:r>
      <w:r>
        <w:rPr>
          <w:szCs w:val="24"/>
        </w:rPr>
        <w:t>a</w:t>
      </w:r>
      <w:r w:rsidR="00366663">
        <w:rPr>
          <w:szCs w:val="24"/>
        </w:rPr>
        <w:t xml:space="preserve">nd </w:t>
      </w:r>
      <w:r>
        <w:rPr>
          <w:szCs w:val="24"/>
        </w:rPr>
        <w:t>“</w:t>
      </w:r>
      <w:r w:rsidR="00366663" w:rsidRPr="008C4A39">
        <w:rPr>
          <w:szCs w:val="24"/>
        </w:rPr>
        <w:t>Bidder’s cross references to supporting information in Technical Bid</w:t>
      </w:r>
      <w:r>
        <w:rPr>
          <w:szCs w:val="24"/>
        </w:rPr>
        <w:t>” f</w:t>
      </w:r>
      <w:r w:rsidR="00366663">
        <w:rPr>
          <w:szCs w:val="24"/>
        </w:rPr>
        <w:t>or e</w:t>
      </w:r>
      <w:r>
        <w:rPr>
          <w:szCs w:val="24"/>
        </w:rPr>
        <w:t>a</w:t>
      </w:r>
      <w:r w:rsidR="00366663">
        <w:rPr>
          <w:szCs w:val="24"/>
        </w:rPr>
        <w:t>ch stated requirement. Empty rows may lead to non-responsiveness of technical bid</w:t>
      </w:r>
      <w:r w:rsidR="00EA3B24">
        <w:rPr>
          <w:szCs w:val="24"/>
          <w:lang w:val="mk-MK"/>
        </w:rPr>
        <w:t>.</w:t>
      </w:r>
    </w:p>
    <w:p w14:paraId="2E6A4EDE" w14:textId="77777777" w:rsidR="00EA3B24" w:rsidRPr="008C4A39" w:rsidRDefault="00EA3B24" w:rsidP="001136D3">
      <w:pPr>
        <w:spacing w:after="0"/>
        <w:ind w:right="-360"/>
        <w:jc w:val="left"/>
        <w:rPr>
          <w:szCs w:val="24"/>
        </w:rPr>
      </w:pPr>
    </w:p>
    <w:tbl>
      <w:tblPr>
        <w:tblStyle w:val="TableGrid12"/>
        <w:tblW w:w="9445" w:type="dxa"/>
        <w:tblLook w:val="04A0" w:firstRow="1" w:lastRow="0" w:firstColumn="1" w:lastColumn="0" w:noHBand="0" w:noVBand="1"/>
      </w:tblPr>
      <w:tblGrid>
        <w:gridCol w:w="2245"/>
        <w:gridCol w:w="7200"/>
      </w:tblGrid>
      <w:tr w:rsidR="00366663" w:rsidRPr="008C4A39" w14:paraId="4B34E4EA" w14:textId="77777777" w:rsidTr="001136D3">
        <w:trPr>
          <w:trHeight w:val="431"/>
          <w:tblHeader/>
        </w:trPr>
        <w:tc>
          <w:tcPr>
            <w:tcW w:w="2245" w:type="dxa"/>
            <w:shd w:val="clear" w:color="auto" w:fill="D9D9D9"/>
            <w:noWrap/>
          </w:tcPr>
          <w:p w14:paraId="30992E3E" w14:textId="77777777" w:rsidR="00366663" w:rsidRPr="008C4A39" w:rsidRDefault="00366663" w:rsidP="00883B07">
            <w:pPr>
              <w:spacing w:after="0"/>
              <w:jc w:val="left"/>
              <w:rPr>
                <w:b/>
                <w:szCs w:val="24"/>
              </w:rPr>
            </w:pPr>
            <w:r w:rsidRPr="008C4A39">
              <w:rPr>
                <w:b/>
                <w:szCs w:val="24"/>
              </w:rPr>
              <w:t>Tech. Req. Number</w:t>
            </w:r>
          </w:p>
        </w:tc>
        <w:tc>
          <w:tcPr>
            <w:tcW w:w="7200" w:type="dxa"/>
            <w:shd w:val="clear" w:color="auto" w:fill="D9D9D9"/>
          </w:tcPr>
          <w:p w14:paraId="7F8FD03E" w14:textId="77777777" w:rsidR="00366663" w:rsidRPr="008C4A39" w:rsidRDefault="00366663" w:rsidP="00883B07">
            <w:pPr>
              <w:spacing w:after="0"/>
              <w:jc w:val="left"/>
              <w:rPr>
                <w:b/>
                <w:szCs w:val="24"/>
              </w:rPr>
            </w:pPr>
            <w:r w:rsidRPr="008C4A39">
              <w:rPr>
                <w:b/>
                <w:szCs w:val="24"/>
              </w:rPr>
              <w:t>Technical Requirement</w:t>
            </w:r>
          </w:p>
        </w:tc>
      </w:tr>
      <w:tr w:rsidR="00366663" w:rsidRPr="008C4A39" w14:paraId="4735D6B3" w14:textId="77777777" w:rsidTr="001136D3">
        <w:trPr>
          <w:trHeight w:val="503"/>
        </w:trPr>
        <w:tc>
          <w:tcPr>
            <w:tcW w:w="9445" w:type="dxa"/>
            <w:gridSpan w:val="2"/>
            <w:noWrap/>
          </w:tcPr>
          <w:p w14:paraId="5000BBEA" w14:textId="77777777" w:rsidR="00366663" w:rsidRPr="008C4A39" w:rsidRDefault="00366663" w:rsidP="00883B07">
            <w:pPr>
              <w:jc w:val="left"/>
              <w:rPr>
                <w:b/>
                <w:szCs w:val="24"/>
              </w:rPr>
            </w:pPr>
            <w:r w:rsidRPr="008C4A39">
              <w:rPr>
                <w:b/>
                <w:szCs w:val="24"/>
              </w:rPr>
              <w:t>1.2.2. General Functional Requirements</w:t>
            </w:r>
          </w:p>
        </w:tc>
      </w:tr>
      <w:tr w:rsidR="00366663" w:rsidRPr="008C4A39" w14:paraId="7BC1DC65" w14:textId="77777777" w:rsidTr="001136D3">
        <w:trPr>
          <w:trHeight w:val="1020"/>
        </w:trPr>
        <w:tc>
          <w:tcPr>
            <w:tcW w:w="2245" w:type="dxa"/>
            <w:noWrap/>
          </w:tcPr>
          <w:p w14:paraId="777A70EF" w14:textId="77777777" w:rsidR="00366663" w:rsidRPr="008C4A39" w:rsidRDefault="00366663" w:rsidP="00883B07">
            <w:pPr>
              <w:spacing w:after="0"/>
              <w:jc w:val="left"/>
              <w:rPr>
                <w:szCs w:val="24"/>
              </w:rPr>
            </w:pPr>
            <w:r w:rsidRPr="008C4A39">
              <w:rPr>
                <w:szCs w:val="24"/>
              </w:rPr>
              <w:t>FR1</w:t>
            </w:r>
          </w:p>
        </w:tc>
        <w:tc>
          <w:tcPr>
            <w:tcW w:w="7200" w:type="dxa"/>
          </w:tcPr>
          <w:p w14:paraId="2F4B6DD9" w14:textId="77777777" w:rsidR="00366663" w:rsidRPr="008C4A39" w:rsidRDefault="00366663" w:rsidP="00883B07">
            <w:pPr>
              <w:spacing w:after="0"/>
              <w:rPr>
                <w:szCs w:val="24"/>
              </w:rPr>
            </w:pPr>
            <w:r w:rsidRPr="008C4A39">
              <w:rPr>
                <w:szCs w:val="24"/>
              </w:rPr>
              <w:t xml:space="preserve">The NSW is designed to facilitate Business-to-Government (B2G) and Government agency-to-Government agency (G2G) for international trade-related transactions. The NSW should facilitate this and coordinate communication with all the relevant agencies. </w:t>
            </w:r>
          </w:p>
        </w:tc>
      </w:tr>
      <w:tr w:rsidR="00366663" w:rsidRPr="008C4A39" w14:paraId="4CBD27E5" w14:textId="77777777" w:rsidTr="00883B07">
        <w:trPr>
          <w:trHeight w:val="602"/>
        </w:trPr>
        <w:tc>
          <w:tcPr>
            <w:tcW w:w="9445" w:type="dxa"/>
            <w:gridSpan w:val="2"/>
            <w:noWrap/>
          </w:tcPr>
          <w:p w14:paraId="0E2F6EDF" w14:textId="54CFBAFF" w:rsidR="00366663" w:rsidRPr="008C4A39" w:rsidRDefault="00366663" w:rsidP="001136D3">
            <w:pPr>
              <w:spacing w:after="0"/>
              <w:ind w:right="-360"/>
              <w:jc w:val="left"/>
              <w:rPr>
                <w:szCs w:val="24"/>
              </w:rPr>
            </w:pPr>
            <w:r w:rsidRPr="008C4A39">
              <w:rPr>
                <w:szCs w:val="24"/>
              </w:rPr>
              <w:t xml:space="preserve">Bidder’s technical reasons supporting compliance:  </w:t>
            </w:r>
          </w:p>
        </w:tc>
      </w:tr>
      <w:tr w:rsidR="00366663" w:rsidRPr="008C4A39" w14:paraId="231C6E8F" w14:textId="77777777" w:rsidTr="00883B07">
        <w:trPr>
          <w:trHeight w:val="485"/>
        </w:trPr>
        <w:tc>
          <w:tcPr>
            <w:tcW w:w="9445" w:type="dxa"/>
            <w:gridSpan w:val="2"/>
            <w:noWrap/>
          </w:tcPr>
          <w:p w14:paraId="79EA0DB2" w14:textId="639F3668"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00256A5A" w14:textId="77777777" w:rsidTr="001136D3">
        <w:trPr>
          <w:trHeight w:val="510"/>
        </w:trPr>
        <w:tc>
          <w:tcPr>
            <w:tcW w:w="2245" w:type="dxa"/>
            <w:noWrap/>
          </w:tcPr>
          <w:p w14:paraId="14CA3865" w14:textId="77777777" w:rsidR="00366663" w:rsidRPr="008C4A39" w:rsidRDefault="00366663" w:rsidP="00883B07">
            <w:pPr>
              <w:spacing w:after="0"/>
              <w:jc w:val="left"/>
              <w:rPr>
                <w:szCs w:val="24"/>
              </w:rPr>
            </w:pPr>
            <w:r w:rsidRPr="008C4A39">
              <w:rPr>
                <w:szCs w:val="24"/>
              </w:rPr>
              <w:t>FR2</w:t>
            </w:r>
          </w:p>
        </w:tc>
        <w:tc>
          <w:tcPr>
            <w:tcW w:w="7200" w:type="dxa"/>
          </w:tcPr>
          <w:p w14:paraId="2CE2495E" w14:textId="77777777" w:rsidR="00366663" w:rsidRPr="008C4A39" w:rsidRDefault="00366663" w:rsidP="00883B07">
            <w:pPr>
              <w:spacing w:after="0"/>
              <w:rPr>
                <w:szCs w:val="24"/>
              </w:rPr>
            </w:pPr>
            <w:r w:rsidRPr="008C4A39">
              <w:rPr>
                <w:szCs w:val="24"/>
              </w:rPr>
              <w:t>All parties should be able to use a common Trader Registration identification for all transactions.</w:t>
            </w:r>
          </w:p>
        </w:tc>
      </w:tr>
      <w:tr w:rsidR="00366663" w:rsidRPr="008C4A39" w14:paraId="0E80BE23" w14:textId="77777777" w:rsidTr="00883B07">
        <w:trPr>
          <w:trHeight w:val="510"/>
        </w:trPr>
        <w:tc>
          <w:tcPr>
            <w:tcW w:w="9445" w:type="dxa"/>
            <w:gridSpan w:val="2"/>
            <w:noWrap/>
          </w:tcPr>
          <w:p w14:paraId="2950740C" w14:textId="57E81180"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35B395F4" w14:textId="77777777" w:rsidTr="00883B07">
        <w:trPr>
          <w:trHeight w:val="510"/>
        </w:trPr>
        <w:tc>
          <w:tcPr>
            <w:tcW w:w="9445" w:type="dxa"/>
            <w:gridSpan w:val="2"/>
            <w:noWrap/>
          </w:tcPr>
          <w:p w14:paraId="4EFF5D85" w14:textId="76FC51FD"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03225E5D" w14:textId="77777777" w:rsidTr="001136D3">
        <w:trPr>
          <w:trHeight w:val="510"/>
        </w:trPr>
        <w:tc>
          <w:tcPr>
            <w:tcW w:w="2245" w:type="dxa"/>
            <w:noWrap/>
          </w:tcPr>
          <w:p w14:paraId="458C74ED" w14:textId="77777777" w:rsidR="00366663" w:rsidRPr="008C4A39" w:rsidRDefault="00366663" w:rsidP="00883B07">
            <w:pPr>
              <w:spacing w:after="0"/>
              <w:jc w:val="left"/>
              <w:rPr>
                <w:szCs w:val="24"/>
              </w:rPr>
            </w:pPr>
            <w:r w:rsidRPr="008C4A39">
              <w:rPr>
                <w:szCs w:val="24"/>
              </w:rPr>
              <w:t>FR7</w:t>
            </w:r>
          </w:p>
        </w:tc>
        <w:tc>
          <w:tcPr>
            <w:tcW w:w="7200" w:type="dxa"/>
          </w:tcPr>
          <w:p w14:paraId="386E8649" w14:textId="77777777" w:rsidR="00366663" w:rsidRPr="008C4A39" w:rsidRDefault="00366663" w:rsidP="00883B07">
            <w:pPr>
              <w:spacing w:after="0"/>
              <w:rPr>
                <w:szCs w:val="24"/>
              </w:rPr>
            </w:pPr>
            <w:r w:rsidRPr="008C4A39">
              <w:rPr>
                <w:szCs w:val="24"/>
              </w:rPr>
              <w:t xml:space="preserve">The NSW shall have a generic capability to provide links in the NSW UI to other CBRA services offered elsewhere, to preserve the perception of a single window for trade transactions submission/lodgments. </w:t>
            </w:r>
          </w:p>
        </w:tc>
      </w:tr>
      <w:tr w:rsidR="00366663" w:rsidRPr="008C4A39" w14:paraId="5F44D60A" w14:textId="77777777" w:rsidTr="00883B07">
        <w:trPr>
          <w:trHeight w:val="510"/>
        </w:trPr>
        <w:tc>
          <w:tcPr>
            <w:tcW w:w="9445" w:type="dxa"/>
            <w:gridSpan w:val="2"/>
            <w:noWrap/>
          </w:tcPr>
          <w:p w14:paraId="5DF3710D" w14:textId="2C0F0217"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732B4208" w14:textId="77777777" w:rsidTr="00883B07">
        <w:trPr>
          <w:trHeight w:val="510"/>
        </w:trPr>
        <w:tc>
          <w:tcPr>
            <w:tcW w:w="9445" w:type="dxa"/>
            <w:gridSpan w:val="2"/>
            <w:noWrap/>
          </w:tcPr>
          <w:p w14:paraId="5B053E13" w14:textId="3EE30759"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1FF06033" w14:textId="77777777" w:rsidTr="001136D3">
        <w:trPr>
          <w:trHeight w:val="510"/>
        </w:trPr>
        <w:tc>
          <w:tcPr>
            <w:tcW w:w="2245" w:type="dxa"/>
            <w:noWrap/>
          </w:tcPr>
          <w:p w14:paraId="5D9112A8" w14:textId="77777777" w:rsidR="00366663" w:rsidRPr="008C4A39" w:rsidRDefault="00366663" w:rsidP="00883B07">
            <w:pPr>
              <w:spacing w:after="0"/>
              <w:jc w:val="left"/>
              <w:rPr>
                <w:szCs w:val="24"/>
              </w:rPr>
            </w:pPr>
            <w:r w:rsidRPr="008C4A39">
              <w:rPr>
                <w:szCs w:val="24"/>
              </w:rPr>
              <w:t>FR8</w:t>
            </w:r>
          </w:p>
        </w:tc>
        <w:tc>
          <w:tcPr>
            <w:tcW w:w="7200" w:type="dxa"/>
          </w:tcPr>
          <w:p w14:paraId="2185AAA6" w14:textId="77777777" w:rsidR="00366663" w:rsidRPr="008C4A39" w:rsidRDefault="00366663" w:rsidP="00883B07">
            <w:pPr>
              <w:spacing w:after="0"/>
              <w:rPr>
                <w:szCs w:val="24"/>
              </w:rPr>
            </w:pPr>
            <w:r w:rsidRPr="008C4A39">
              <w:rPr>
                <w:szCs w:val="24"/>
              </w:rPr>
              <w:t>The NSW shall serve as the primary message repository for LPCO/ reference for data content.</w:t>
            </w:r>
          </w:p>
        </w:tc>
      </w:tr>
      <w:tr w:rsidR="00366663" w:rsidRPr="008C4A39" w14:paraId="172AB4B2" w14:textId="77777777" w:rsidTr="00883B07">
        <w:trPr>
          <w:trHeight w:val="510"/>
        </w:trPr>
        <w:tc>
          <w:tcPr>
            <w:tcW w:w="9445" w:type="dxa"/>
            <w:gridSpan w:val="2"/>
            <w:noWrap/>
          </w:tcPr>
          <w:p w14:paraId="21500DB6" w14:textId="3E1D2978"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552A3E3F" w14:textId="77777777" w:rsidTr="00883B07">
        <w:trPr>
          <w:trHeight w:val="510"/>
        </w:trPr>
        <w:tc>
          <w:tcPr>
            <w:tcW w:w="9445" w:type="dxa"/>
            <w:gridSpan w:val="2"/>
            <w:noWrap/>
          </w:tcPr>
          <w:p w14:paraId="53509328" w14:textId="79879B5C"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7F56FD69" w14:textId="77777777" w:rsidTr="001136D3">
        <w:trPr>
          <w:trHeight w:val="510"/>
        </w:trPr>
        <w:tc>
          <w:tcPr>
            <w:tcW w:w="2245" w:type="dxa"/>
            <w:noWrap/>
          </w:tcPr>
          <w:p w14:paraId="50A2D31F" w14:textId="77777777" w:rsidR="00366663" w:rsidRPr="008C4A39" w:rsidRDefault="00366663" w:rsidP="00883B07">
            <w:pPr>
              <w:spacing w:after="0"/>
              <w:jc w:val="left"/>
              <w:rPr>
                <w:szCs w:val="24"/>
              </w:rPr>
            </w:pPr>
            <w:r w:rsidRPr="008C4A39">
              <w:rPr>
                <w:szCs w:val="24"/>
              </w:rPr>
              <w:t>FR9</w:t>
            </w:r>
          </w:p>
        </w:tc>
        <w:tc>
          <w:tcPr>
            <w:tcW w:w="7200" w:type="dxa"/>
          </w:tcPr>
          <w:p w14:paraId="118A3D1B" w14:textId="77777777" w:rsidR="00366663" w:rsidRPr="008C4A39" w:rsidRDefault="00366663" w:rsidP="00883B07">
            <w:pPr>
              <w:spacing w:after="0"/>
              <w:rPr>
                <w:szCs w:val="24"/>
              </w:rPr>
            </w:pPr>
            <w:r w:rsidRPr="008C4A39">
              <w:rPr>
                <w:szCs w:val="24"/>
              </w:rPr>
              <w:t>NSW shall be the authoritative record for all international trade messages it receives.</w:t>
            </w:r>
          </w:p>
        </w:tc>
      </w:tr>
      <w:tr w:rsidR="00366663" w:rsidRPr="008C4A39" w14:paraId="3A942635" w14:textId="77777777" w:rsidTr="00883B07">
        <w:trPr>
          <w:trHeight w:val="510"/>
        </w:trPr>
        <w:tc>
          <w:tcPr>
            <w:tcW w:w="9445" w:type="dxa"/>
            <w:gridSpan w:val="2"/>
            <w:noWrap/>
          </w:tcPr>
          <w:p w14:paraId="2F96785C" w14:textId="3A24C1CE"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26D3B2EF" w14:textId="77777777" w:rsidTr="00883B07">
        <w:trPr>
          <w:trHeight w:val="510"/>
        </w:trPr>
        <w:tc>
          <w:tcPr>
            <w:tcW w:w="9445" w:type="dxa"/>
            <w:gridSpan w:val="2"/>
            <w:noWrap/>
          </w:tcPr>
          <w:p w14:paraId="3EAA5034" w14:textId="2A9F52DD"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687B5662" w14:textId="77777777" w:rsidTr="001136D3">
        <w:trPr>
          <w:trHeight w:val="1020"/>
        </w:trPr>
        <w:tc>
          <w:tcPr>
            <w:tcW w:w="2245" w:type="dxa"/>
            <w:noWrap/>
          </w:tcPr>
          <w:p w14:paraId="22843EB6" w14:textId="77777777" w:rsidR="00366663" w:rsidRPr="008C4A39" w:rsidRDefault="00366663" w:rsidP="00883B07">
            <w:pPr>
              <w:spacing w:after="0"/>
              <w:jc w:val="left"/>
              <w:rPr>
                <w:szCs w:val="24"/>
              </w:rPr>
            </w:pPr>
            <w:r w:rsidRPr="008C4A39">
              <w:rPr>
                <w:szCs w:val="24"/>
              </w:rPr>
              <w:lastRenderedPageBreak/>
              <w:t>FR10</w:t>
            </w:r>
          </w:p>
        </w:tc>
        <w:tc>
          <w:tcPr>
            <w:tcW w:w="7200" w:type="dxa"/>
          </w:tcPr>
          <w:p w14:paraId="46669552" w14:textId="77777777" w:rsidR="00366663" w:rsidRPr="008C4A39" w:rsidRDefault="00366663" w:rsidP="00883B07">
            <w:pPr>
              <w:spacing w:after="0"/>
              <w:rPr>
                <w:szCs w:val="24"/>
              </w:rPr>
            </w:pPr>
            <w:r w:rsidRPr="008C4A39">
              <w:rPr>
                <w:szCs w:val="24"/>
              </w:rPr>
              <w:t>The NSW shall provide for a flexible set-up for the NSW system administrator to configure data-driven validation rules and decisions (e.g., where certain information must be entered into the appropriate field.). It shall facilitate the regulatory agencies to enforce data validations and generate requests for more information using notification messages distributed via NSW. The NSW will make data-driven routing decisions after the data has been validated.</w:t>
            </w:r>
          </w:p>
        </w:tc>
      </w:tr>
      <w:tr w:rsidR="00366663" w:rsidRPr="008C4A39" w14:paraId="588C9ACD" w14:textId="77777777" w:rsidTr="001136D3">
        <w:trPr>
          <w:trHeight w:val="413"/>
        </w:trPr>
        <w:tc>
          <w:tcPr>
            <w:tcW w:w="9445" w:type="dxa"/>
            <w:gridSpan w:val="2"/>
            <w:noWrap/>
          </w:tcPr>
          <w:p w14:paraId="5097545F" w14:textId="2343E3B9" w:rsidR="00366663" w:rsidRPr="008C4A39" w:rsidRDefault="00366663" w:rsidP="001136D3">
            <w:pPr>
              <w:spacing w:after="0"/>
              <w:ind w:right="-360"/>
              <w:jc w:val="left"/>
              <w:rPr>
                <w:szCs w:val="24"/>
              </w:rPr>
            </w:pPr>
            <w:r w:rsidRPr="008C4A39">
              <w:rPr>
                <w:szCs w:val="24"/>
              </w:rPr>
              <w:t xml:space="preserve">Bidder’s technical reasons supporting compliance:  </w:t>
            </w:r>
          </w:p>
        </w:tc>
      </w:tr>
      <w:tr w:rsidR="00366663" w:rsidRPr="008C4A39" w14:paraId="6D7A7092" w14:textId="77777777" w:rsidTr="001136D3">
        <w:trPr>
          <w:trHeight w:val="440"/>
        </w:trPr>
        <w:tc>
          <w:tcPr>
            <w:tcW w:w="9445" w:type="dxa"/>
            <w:gridSpan w:val="2"/>
            <w:noWrap/>
          </w:tcPr>
          <w:p w14:paraId="2AFAAAE2" w14:textId="3341020F"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5A389BD5" w14:textId="77777777" w:rsidTr="001136D3">
        <w:trPr>
          <w:trHeight w:val="1020"/>
        </w:trPr>
        <w:tc>
          <w:tcPr>
            <w:tcW w:w="2245" w:type="dxa"/>
            <w:noWrap/>
          </w:tcPr>
          <w:p w14:paraId="0D3D9464" w14:textId="77777777" w:rsidR="00366663" w:rsidRPr="008C4A39" w:rsidRDefault="00366663" w:rsidP="00883B07">
            <w:pPr>
              <w:spacing w:after="0"/>
              <w:jc w:val="left"/>
              <w:rPr>
                <w:szCs w:val="24"/>
              </w:rPr>
            </w:pPr>
            <w:r w:rsidRPr="008C4A39">
              <w:rPr>
                <w:szCs w:val="24"/>
              </w:rPr>
              <w:t>FR11</w:t>
            </w:r>
          </w:p>
        </w:tc>
        <w:tc>
          <w:tcPr>
            <w:tcW w:w="7200" w:type="dxa"/>
          </w:tcPr>
          <w:p w14:paraId="0E7283D8" w14:textId="77777777" w:rsidR="00366663" w:rsidRPr="008C4A39" w:rsidRDefault="00366663" w:rsidP="00883B07">
            <w:pPr>
              <w:spacing w:after="0"/>
              <w:rPr>
                <w:szCs w:val="24"/>
              </w:rPr>
            </w:pPr>
            <w:r w:rsidRPr="008C4A39">
              <w:rPr>
                <w:szCs w:val="24"/>
              </w:rPr>
              <w:t xml:space="preserve">The NSW shall provide for an authenticated and authorized user with the ability to query the status of a lodgment and receive a response from NSW. This may be the submitter of the lodgment, or another interested party. This user may be a person using </w:t>
            </w:r>
            <w:proofErr w:type="gramStart"/>
            <w:r w:rsidRPr="008C4A39">
              <w:rPr>
                <w:szCs w:val="24"/>
              </w:rPr>
              <w:t>a</w:t>
            </w:r>
            <w:proofErr w:type="gramEnd"/>
            <w:r w:rsidRPr="008C4A39">
              <w:rPr>
                <w:szCs w:val="24"/>
              </w:rPr>
              <w:t xml:space="preserve"> NSW Web UI or via messaging. NSW will enforce data access rules controlling which users have access to which lodgments.</w:t>
            </w:r>
          </w:p>
        </w:tc>
      </w:tr>
      <w:tr w:rsidR="00366663" w:rsidRPr="008C4A39" w14:paraId="3390C4D8" w14:textId="77777777" w:rsidTr="001136D3">
        <w:trPr>
          <w:trHeight w:val="386"/>
        </w:trPr>
        <w:tc>
          <w:tcPr>
            <w:tcW w:w="9445" w:type="dxa"/>
            <w:gridSpan w:val="2"/>
            <w:noWrap/>
          </w:tcPr>
          <w:p w14:paraId="65777A03" w14:textId="407D3D06" w:rsidR="00366663" w:rsidRPr="008C4A39" w:rsidRDefault="00366663" w:rsidP="001136D3">
            <w:pPr>
              <w:spacing w:after="0"/>
              <w:ind w:right="-360"/>
              <w:jc w:val="left"/>
              <w:rPr>
                <w:szCs w:val="24"/>
              </w:rPr>
            </w:pPr>
            <w:r w:rsidRPr="008C4A39">
              <w:rPr>
                <w:szCs w:val="24"/>
              </w:rPr>
              <w:t>Bid</w:t>
            </w:r>
            <w:r w:rsidR="00BD0B36">
              <w:rPr>
                <w:szCs w:val="24"/>
              </w:rPr>
              <w:t>d</w:t>
            </w:r>
            <w:r w:rsidRPr="008C4A39">
              <w:rPr>
                <w:szCs w:val="24"/>
              </w:rPr>
              <w:t xml:space="preserve">er’s technical reasons supporting compliance:  </w:t>
            </w:r>
          </w:p>
        </w:tc>
      </w:tr>
      <w:tr w:rsidR="00366663" w:rsidRPr="008C4A39" w14:paraId="7F2ACCD8" w14:textId="77777777" w:rsidTr="001136D3">
        <w:trPr>
          <w:trHeight w:val="350"/>
        </w:trPr>
        <w:tc>
          <w:tcPr>
            <w:tcW w:w="9445" w:type="dxa"/>
            <w:gridSpan w:val="2"/>
            <w:noWrap/>
          </w:tcPr>
          <w:p w14:paraId="4876586B" w14:textId="64D6F2D7"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36C09B84" w14:textId="77777777" w:rsidTr="001136D3">
        <w:trPr>
          <w:trHeight w:val="510"/>
        </w:trPr>
        <w:tc>
          <w:tcPr>
            <w:tcW w:w="2245" w:type="dxa"/>
            <w:noWrap/>
          </w:tcPr>
          <w:p w14:paraId="280181B7" w14:textId="77777777" w:rsidR="00366663" w:rsidRPr="008C4A39" w:rsidRDefault="00366663" w:rsidP="00883B07">
            <w:pPr>
              <w:spacing w:after="0"/>
              <w:jc w:val="left"/>
              <w:rPr>
                <w:szCs w:val="24"/>
              </w:rPr>
            </w:pPr>
            <w:r w:rsidRPr="008C4A39">
              <w:rPr>
                <w:szCs w:val="24"/>
              </w:rPr>
              <w:t>FR13</w:t>
            </w:r>
          </w:p>
        </w:tc>
        <w:tc>
          <w:tcPr>
            <w:tcW w:w="7200" w:type="dxa"/>
          </w:tcPr>
          <w:p w14:paraId="5CDA1E13" w14:textId="77777777" w:rsidR="00366663" w:rsidRPr="008C4A39" w:rsidRDefault="00366663" w:rsidP="00883B07">
            <w:pPr>
              <w:spacing w:after="0"/>
              <w:rPr>
                <w:szCs w:val="24"/>
              </w:rPr>
            </w:pPr>
            <w:r w:rsidRPr="008C4A39">
              <w:rPr>
                <w:szCs w:val="24"/>
              </w:rPr>
              <w:t>The design of the NSW shall ensure that NSW data recipients will only receive information they are entitled and authorized to.</w:t>
            </w:r>
          </w:p>
        </w:tc>
      </w:tr>
      <w:tr w:rsidR="00366663" w:rsidRPr="008C4A39" w14:paraId="25E63ED1" w14:textId="77777777" w:rsidTr="00883B07">
        <w:trPr>
          <w:trHeight w:val="510"/>
        </w:trPr>
        <w:tc>
          <w:tcPr>
            <w:tcW w:w="9445" w:type="dxa"/>
            <w:gridSpan w:val="2"/>
            <w:noWrap/>
          </w:tcPr>
          <w:p w14:paraId="1FC00E03" w14:textId="5F623B12"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0D721885" w14:textId="77777777" w:rsidTr="00883B07">
        <w:trPr>
          <w:trHeight w:val="510"/>
        </w:trPr>
        <w:tc>
          <w:tcPr>
            <w:tcW w:w="9445" w:type="dxa"/>
            <w:gridSpan w:val="2"/>
            <w:noWrap/>
          </w:tcPr>
          <w:p w14:paraId="03C09072" w14:textId="6CF06BED"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6048470A" w14:textId="77777777" w:rsidTr="001136D3">
        <w:trPr>
          <w:trHeight w:val="510"/>
        </w:trPr>
        <w:tc>
          <w:tcPr>
            <w:tcW w:w="2245" w:type="dxa"/>
            <w:noWrap/>
          </w:tcPr>
          <w:p w14:paraId="6D235525" w14:textId="77777777" w:rsidR="00366663" w:rsidRPr="008C4A39" w:rsidRDefault="00366663" w:rsidP="00883B07">
            <w:pPr>
              <w:spacing w:after="0"/>
              <w:jc w:val="left"/>
              <w:rPr>
                <w:szCs w:val="24"/>
              </w:rPr>
            </w:pPr>
            <w:r w:rsidRPr="008C4A39">
              <w:rPr>
                <w:szCs w:val="24"/>
              </w:rPr>
              <w:t>FR14</w:t>
            </w:r>
          </w:p>
        </w:tc>
        <w:tc>
          <w:tcPr>
            <w:tcW w:w="7200" w:type="dxa"/>
          </w:tcPr>
          <w:p w14:paraId="7F865A6F" w14:textId="77777777" w:rsidR="00366663" w:rsidRPr="008C4A39" w:rsidRDefault="00366663" w:rsidP="00883B07">
            <w:pPr>
              <w:spacing w:after="0"/>
              <w:rPr>
                <w:szCs w:val="24"/>
              </w:rPr>
            </w:pPr>
            <w:r w:rsidRPr="008C4A39">
              <w:rPr>
                <w:szCs w:val="24"/>
              </w:rPr>
              <w:t>The NSW will cater for the NSW Operator to apply adequate security and role-based access control to allow users (where a user could be a system or a person) to perform necessary actions in NSW.</w:t>
            </w:r>
          </w:p>
        </w:tc>
      </w:tr>
      <w:tr w:rsidR="00366663" w:rsidRPr="008C4A39" w14:paraId="55835FA1" w14:textId="77777777" w:rsidTr="00883B07">
        <w:trPr>
          <w:trHeight w:val="510"/>
        </w:trPr>
        <w:tc>
          <w:tcPr>
            <w:tcW w:w="9445" w:type="dxa"/>
            <w:gridSpan w:val="2"/>
            <w:noWrap/>
          </w:tcPr>
          <w:p w14:paraId="7F40016B" w14:textId="0A47C699"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01C98A6E" w14:textId="77777777" w:rsidTr="00883B07">
        <w:trPr>
          <w:trHeight w:val="510"/>
        </w:trPr>
        <w:tc>
          <w:tcPr>
            <w:tcW w:w="9445" w:type="dxa"/>
            <w:gridSpan w:val="2"/>
            <w:noWrap/>
          </w:tcPr>
          <w:p w14:paraId="77E40610" w14:textId="0332E4CF"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522AA69E" w14:textId="77777777" w:rsidTr="001136D3">
        <w:trPr>
          <w:trHeight w:val="510"/>
        </w:trPr>
        <w:tc>
          <w:tcPr>
            <w:tcW w:w="2245" w:type="dxa"/>
            <w:noWrap/>
          </w:tcPr>
          <w:p w14:paraId="2BD03FC1" w14:textId="77777777" w:rsidR="00366663" w:rsidRPr="008C4A39" w:rsidRDefault="00366663" w:rsidP="00883B07">
            <w:pPr>
              <w:spacing w:after="0"/>
              <w:jc w:val="left"/>
              <w:rPr>
                <w:szCs w:val="24"/>
              </w:rPr>
            </w:pPr>
            <w:r w:rsidRPr="008C4A39">
              <w:rPr>
                <w:szCs w:val="24"/>
              </w:rPr>
              <w:t>FR16</w:t>
            </w:r>
          </w:p>
        </w:tc>
        <w:tc>
          <w:tcPr>
            <w:tcW w:w="7200" w:type="dxa"/>
          </w:tcPr>
          <w:p w14:paraId="6F2AA5E1" w14:textId="77777777" w:rsidR="00366663" w:rsidRPr="008C4A39" w:rsidRDefault="00366663" w:rsidP="00883B07">
            <w:pPr>
              <w:spacing w:after="0"/>
              <w:rPr>
                <w:szCs w:val="24"/>
              </w:rPr>
            </w:pPr>
            <w:r w:rsidRPr="008C4A39">
              <w:rPr>
                <w:szCs w:val="24"/>
              </w:rPr>
              <w:t>The NSW shall also cater for the transaction history access and lifecycle control. The NSW will keep records of re-submissions for all transaction types (lodgments and registrations).</w:t>
            </w:r>
          </w:p>
        </w:tc>
      </w:tr>
      <w:tr w:rsidR="00366663" w:rsidRPr="008C4A39" w14:paraId="69641A05" w14:textId="77777777" w:rsidTr="00883B07">
        <w:trPr>
          <w:trHeight w:val="510"/>
        </w:trPr>
        <w:tc>
          <w:tcPr>
            <w:tcW w:w="9445" w:type="dxa"/>
            <w:gridSpan w:val="2"/>
            <w:noWrap/>
          </w:tcPr>
          <w:p w14:paraId="3E554C7D" w14:textId="586D9553"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44F312FE" w14:textId="77777777" w:rsidTr="00883B07">
        <w:trPr>
          <w:trHeight w:val="510"/>
        </w:trPr>
        <w:tc>
          <w:tcPr>
            <w:tcW w:w="9445" w:type="dxa"/>
            <w:gridSpan w:val="2"/>
            <w:noWrap/>
          </w:tcPr>
          <w:p w14:paraId="03573E06" w14:textId="1C4AF99E"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1E5D785A" w14:textId="77777777" w:rsidTr="001136D3">
        <w:trPr>
          <w:trHeight w:val="1530"/>
        </w:trPr>
        <w:tc>
          <w:tcPr>
            <w:tcW w:w="2245" w:type="dxa"/>
            <w:noWrap/>
          </w:tcPr>
          <w:p w14:paraId="3C2C778F" w14:textId="77777777" w:rsidR="00366663" w:rsidRPr="008C4A39" w:rsidRDefault="00366663" w:rsidP="00883B07">
            <w:pPr>
              <w:spacing w:after="0"/>
              <w:jc w:val="left"/>
              <w:rPr>
                <w:szCs w:val="24"/>
              </w:rPr>
            </w:pPr>
            <w:r w:rsidRPr="008C4A39">
              <w:rPr>
                <w:szCs w:val="24"/>
              </w:rPr>
              <w:t>FR18</w:t>
            </w:r>
          </w:p>
        </w:tc>
        <w:tc>
          <w:tcPr>
            <w:tcW w:w="7200" w:type="dxa"/>
          </w:tcPr>
          <w:p w14:paraId="10F38843" w14:textId="77777777" w:rsidR="00366663" w:rsidRPr="008C4A39" w:rsidRDefault="00366663" w:rsidP="00883B07">
            <w:pPr>
              <w:spacing w:after="0"/>
              <w:rPr>
                <w:szCs w:val="24"/>
              </w:rPr>
            </w:pPr>
            <w:r w:rsidRPr="008C4A39">
              <w:rPr>
                <w:szCs w:val="24"/>
              </w:rPr>
              <w:t>A user (subject to having the appropriate permission to perform the action) can search for all his/her transactions (e.g., LPCO application and payment transaction) and, after finding the required transaction, perform one of the following actions):</w:t>
            </w:r>
          </w:p>
          <w:p w14:paraId="69BF279D" w14:textId="77777777" w:rsidR="00366663" w:rsidRPr="008C4A39" w:rsidRDefault="00366663" w:rsidP="00D530D5">
            <w:pPr>
              <w:numPr>
                <w:ilvl w:val="0"/>
                <w:numId w:val="141"/>
              </w:numPr>
              <w:spacing w:after="0"/>
              <w:contextualSpacing/>
              <w:rPr>
                <w:szCs w:val="24"/>
              </w:rPr>
            </w:pPr>
            <w:r w:rsidRPr="008C4A39">
              <w:rPr>
                <w:szCs w:val="24"/>
              </w:rPr>
              <w:t>View the transaction history including being able to see previous versions of the transaction; and</w:t>
            </w:r>
          </w:p>
          <w:p w14:paraId="655F917E" w14:textId="77777777" w:rsidR="00366663" w:rsidRPr="008C4A39" w:rsidRDefault="00366663" w:rsidP="00D530D5">
            <w:pPr>
              <w:numPr>
                <w:ilvl w:val="0"/>
                <w:numId w:val="141"/>
              </w:numPr>
              <w:spacing w:after="0"/>
              <w:contextualSpacing/>
              <w:rPr>
                <w:szCs w:val="24"/>
              </w:rPr>
            </w:pPr>
            <w:r w:rsidRPr="008C4A39">
              <w:rPr>
                <w:szCs w:val="24"/>
              </w:rPr>
              <w:lastRenderedPageBreak/>
              <w:t xml:space="preserve">Obtain the </w:t>
            </w:r>
            <w:proofErr w:type="gramStart"/>
            <w:r w:rsidRPr="008C4A39">
              <w:rPr>
                <w:szCs w:val="24"/>
              </w:rPr>
              <w:t>current status</w:t>
            </w:r>
            <w:proofErr w:type="gramEnd"/>
            <w:r w:rsidRPr="008C4A39">
              <w:rPr>
                <w:szCs w:val="24"/>
              </w:rPr>
              <w:t xml:space="preserve"> for each regulatory agency against that transaction.</w:t>
            </w:r>
          </w:p>
        </w:tc>
      </w:tr>
      <w:tr w:rsidR="00366663" w:rsidRPr="008C4A39" w14:paraId="31BBB940" w14:textId="77777777" w:rsidTr="001136D3">
        <w:trPr>
          <w:trHeight w:val="458"/>
        </w:trPr>
        <w:tc>
          <w:tcPr>
            <w:tcW w:w="9445" w:type="dxa"/>
            <w:gridSpan w:val="2"/>
            <w:noWrap/>
          </w:tcPr>
          <w:p w14:paraId="374D762F" w14:textId="619BAEB3" w:rsidR="00366663" w:rsidRPr="008C4A39" w:rsidRDefault="00366663" w:rsidP="001136D3">
            <w:pPr>
              <w:spacing w:after="0"/>
              <w:ind w:right="-360"/>
              <w:jc w:val="left"/>
              <w:rPr>
                <w:szCs w:val="24"/>
              </w:rPr>
            </w:pPr>
            <w:r w:rsidRPr="008C4A39">
              <w:rPr>
                <w:szCs w:val="24"/>
              </w:rPr>
              <w:lastRenderedPageBreak/>
              <w:t xml:space="preserve">Bidder’s technical reasons supporting compliance:  </w:t>
            </w:r>
          </w:p>
        </w:tc>
      </w:tr>
      <w:tr w:rsidR="00366663" w:rsidRPr="008C4A39" w14:paraId="32F96C73" w14:textId="77777777" w:rsidTr="001136D3">
        <w:trPr>
          <w:trHeight w:val="431"/>
        </w:trPr>
        <w:tc>
          <w:tcPr>
            <w:tcW w:w="9445" w:type="dxa"/>
            <w:gridSpan w:val="2"/>
            <w:noWrap/>
          </w:tcPr>
          <w:p w14:paraId="71B47500" w14:textId="554766E8"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7AD36D3A" w14:textId="77777777" w:rsidTr="001136D3">
        <w:trPr>
          <w:trHeight w:val="510"/>
        </w:trPr>
        <w:tc>
          <w:tcPr>
            <w:tcW w:w="2245" w:type="dxa"/>
            <w:noWrap/>
          </w:tcPr>
          <w:p w14:paraId="25C23D8A" w14:textId="77777777" w:rsidR="00366663" w:rsidRPr="008C4A39" w:rsidRDefault="00366663" w:rsidP="00883B07">
            <w:pPr>
              <w:spacing w:after="0"/>
              <w:jc w:val="left"/>
              <w:rPr>
                <w:szCs w:val="24"/>
              </w:rPr>
            </w:pPr>
            <w:r w:rsidRPr="008C4A39">
              <w:rPr>
                <w:szCs w:val="24"/>
              </w:rPr>
              <w:t>FR19</w:t>
            </w:r>
          </w:p>
        </w:tc>
        <w:tc>
          <w:tcPr>
            <w:tcW w:w="7200" w:type="dxa"/>
          </w:tcPr>
          <w:p w14:paraId="27BF8EBB" w14:textId="77777777" w:rsidR="00366663" w:rsidRPr="008C4A39" w:rsidRDefault="00366663" w:rsidP="00883B07">
            <w:pPr>
              <w:spacing w:after="0"/>
              <w:rPr>
                <w:szCs w:val="24"/>
              </w:rPr>
            </w:pPr>
            <w:r w:rsidRPr="008C4A39">
              <w:rPr>
                <w:szCs w:val="24"/>
              </w:rPr>
              <w:t>New Data Sources: As new and modern trade and logistics platforms get developed, the NSW should be able to integrate with the platforms.</w:t>
            </w:r>
          </w:p>
        </w:tc>
      </w:tr>
      <w:tr w:rsidR="00366663" w:rsidRPr="008C4A39" w14:paraId="5287815A" w14:textId="77777777" w:rsidTr="001136D3">
        <w:trPr>
          <w:trHeight w:val="422"/>
        </w:trPr>
        <w:tc>
          <w:tcPr>
            <w:tcW w:w="9445" w:type="dxa"/>
            <w:gridSpan w:val="2"/>
            <w:noWrap/>
          </w:tcPr>
          <w:p w14:paraId="052E0BCE" w14:textId="353009C2" w:rsidR="00366663" w:rsidRPr="008C4A39" w:rsidRDefault="00366663" w:rsidP="001136D3">
            <w:pPr>
              <w:ind w:right="-360"/>
              <w:jc w:val="left"/>
              <w:rPr>
                <w:szCs w:val="24"/>
              </w:rPr>
            </w:pPr>
            <w:r w:rsidRPr="008C4A39">
              <w:rPr>
                <w:szCs w:val="24"/>
              </w:rPr>
              <w:t xml:space="preserve">Bidder’s technical reasons supporting compliance:  </w:t>
            </w:r>
          </w:p>
        </w:tc>
      </w:tr>
      <w:tr w:rsidR="00366663" w:rsidRPr="008C4A39" w14:paraId="22CAD6FA" w14:textId="77777777" w:rsidTr="00883B07">
        <w:trPr>
          <w:trHeight w:val="510"/>
        </w:trPr>
        <w:tc>
          <w:tcPr>
            <w:tcW w:w="9445" w:type="dxa"/>
            <w:gridSpan w:val="2"/>
            <w:noWrap/>
          </w:tcPr>
          <w:p w14:paraId="72A799F9" w14:textId="29EB0929" w:rsidR="00366663" w:rsidRPr="008C4A39" w:rsidRDefault="00366663" w:rsidP="001136D3">
            <w:pPr>
              <w:ind w:right="-360"/>
              <w:jc w:val="left"/>
              <w:rPr>
                <w:szCs w:val="24"/>
              </w:rPr>
            </w:pPr>
            <w:r w:rsidRPr="008C4A39">
              <w:rPr>
                <w:szCs w:val="24"/>
              </w:rPr>
              <w:t>Bidder’s cross references to supporting information in Technical Bid:</w:t>
            </w:r>
          </w:p>
        </w:tc>
      </w:tr>
      <w:tr w:rsidR="00366663" w:rsidRPr="008C4A39" w14:paraId="25B3C20D" w14:textId="77777777" w:rsidTr="001136D3">
        <w:trPr>
          <w:trHeight w:val="1275"/>
        </w:trPr>
        <w:tc>
          <w:tcPr>
            <w:tcW w:w="2245" w:type="dxa"/>
            <w:noWrap/>
          </w:tcPr>
          <w:p w14:paraId="5AA5EF7D" w14:textId="77777777" w:rsidR="00366663" w:rsidRPr="008C4A39" w:rsidRDefault="00366663" w:rsidP="00883B07">
            <w:pPr>
              <w:spacing w:after="0"/>
              <w:jc w:val="left"/>
              <w:rPr>
                <w:szCs w:val="24"/>
              </w:rPr>
            </w:pPr>
            <w:r w:rsidRPr="008C4A39">
              <w:rPr>
                <w:szCs w:val="24"/>
              </w:rPr>
              <w:t>FR20</w:t>
            </w:r>
          </w:p>
        </w:tc>
        <w:tc>
          <w:tcPr>
            <w:tcW w:w="7200" w:type="dxa"/>
          </w:tcPr>
          <w:p w14:paraId="2AE170DE" w14:textId="77777777" w:rsidR="00366663" w:rsidRPr="008C4A39" w:rsidRDefault="00366663" w:rsidP="00883B07">
            <w:pPr>
              <w:spacing w:after="0"/>
              <w:rPr>
                <w:szCs w:val="24"/>
              </w:rPr>
            </w:pPr>
            <w:r w:rsidRPr="008C4A39">
              <w:rPr>
                <w:szCs w:val="24"/>
              </w:rPr>
              <w:t xml:space="preserve">The NSW will </w:t>
            </w:r>
            <w:proofErr w:type="gramStart"/>
            <w:r w:rsidRPr="008C4A39">
              <w:rPr>
                <w:szCs w:val="24"/>
              </w:rPr>
              <w:t>provide for</w:t>
            </w:r>
            <w:proofErr w:type="gramEnd"/>
            <w:r w:rsidRPr="008C4A39">
              <w:rPr>
                <w:szCs w:val="24"/>
              </w:rPr>
              <w:t xml:space="preserve"> comprehensive status management requirements, receive status updates, </w:t>
            </w:r>
            <w:proofErr w:type="gramStart"/>
            <w:r w:rsidRPr="008C4A39">
              <w:rPr>
                <w:szCs w:val="24"/>
              </w:rPr>
              <w:t>record</w:t>
            </w:r>
            <w:proofErr w:type="gramEnd"/>
            <w:r w:rsidRPr="008C4A39">
              <w:rPr>
                <w:szCs w:val="24"/>
              </w:rPr>
              <w:t xml:space="preserve"> and track lodgment status. It will receive lodgment status updates from time to time, from the customs declaration processing system and CBRAs as well as other regulatory authorities. The NSW will record the combined view of lodgment status across all agencies. This view will be available on request (via message or the user interfaces to all authorized parties. It will also be pushed out to known notification parties.</w:t>
            </w:r>
          </w:p>
        </w:tc>
      </w:tr>
      <w:tr w:rsidR="00366663" w:rsidRPr="008C4A39" w14:paraId="758CEA74" w14:textId="77777777" w:rsidTr="001136D3">
        <w:trPr>
          <w:trHeight w:val="404"/>
        </w:trPr>
        <w:tc>
          <w:tcPr>
            <w:tcW w:w="9445" w:type="dxa"/>
            <w:gridSpan w:val="2"/>
            <w:noWrap/>
          </w:tcPr>
          <w:p w14:paraId="2E0E4C2B" w14:textId="47913BDF" w:rsidR="00366663" w:rsidRPr="008C4A39" w:rsidRDefault="00366663" w:rsidP="001136D3">
            <w:pPr>
              <w:spacing w:after="0"/>
              <w:ind w:right="-360"/>
              <w:jc w:val="left"/>
              <w:rPr>
                <w:szCs w:val="24"/>
              </w:rPr>
            </w:pPr>
            <w:r w:rsidRPr="008C4A39">
              <w:rPr>
                <w:szCs w:val="24"/>
              </w:rPr>
              <w:t xml:space="preserve">Bidder’s technical reasons supporting compliance:  </w:t>
            </w:r>
          </w:p>
        </w:tc>
      </w:tr>
      <w:tr w:rsidR="00366663" w:rsidRPr="008C4A39" w14:paraId="08F638C3" w14:textId="77777777" w:rsidTr="001136D3">
        <w:trPr>
          <w:trHeight w:val="359"/>
        </w:trPr>
        <w:tc>
          <w:tcPr>
            <w:tcW w:w="9445" w:type="dxa"/>
            <w:gridSpan w:val="2"/>
            <w:noWrap/>
          </w:tcPr>
          <w:p w14:paraId="6262F24C" w14:textId="1F1CE5F1"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337337B0" w14:textId="77777777" w:rsidTr="001136D3">
        <w:trPr>
          <w:trHeight w:val="510"/>
        </w:trPr>
        <w:tc>
          <w:tcPr>
            <w:tcW w:w="2245" w:type="dxa"/>
            <w:noWrap/>
          </w:tcPr>
          <w:p w14:paraId="68EC3A93" w14:textId="77777777" w:rsidR="00366663" w:rsidRPr="008C4A39" w:rsidRDefault="00366663" w:rsidP="00883B07">
            <w:pPr>
              <w:spacing w:after="0"/>
              <w:jc w:val="left"/>
              <w:rPr>
                <w:szCs w:val="24"/>
              </w:rPr>
            </w:pPr>
            <w:r w:rsidRPr="008C4A39">
              <w:rPr>
                <w:szCs w:val="24"/>
              </w:rPr>
              <w:t>FR21</w:t>
            </w:r>
          </w:p>
        </w:tc>
        <w:tc>
          <w:tcPr>
            <w:tcW w:w="7200" w:type="dxa"/>
          </w:tcPr>
          <w:p w14:paraId="498FF9E9" w14:textId="77777777" w:rsidR="00366663" w:rsidRPr="008C4A39" w:rsidRDefault="00366663" w:rsidP="00883B07">
            <w:pPr>
              <w:spacing w:after="0"/>
              <w:rPr>
                <w:szCs w:val="24"/>
              </w:rPr>
            </w:pPr>
            <w:r w:rsidRPr="008C4A39">
              <w:rPr>
                <w:szCs w:val="24"/>
              </w:rPr>
              <w:t>NSW shall fully support audit of messaging e.g., originator, date/time and original message received through to destination(s), date/</w:t>
            </w:r>
            <w:proofErr w:type="gramStart"/>
            <w:r w:rsidRPr="008C4A39">
              <w:rPr>
                <w:szCs w:val="24"/>
              </w:rPr>
              <w:t>time</w:t>
            </w:r>
            <w:proofErr w:type="gramEnd"/>
            <w:r w:rsidRPr="008C4A39">
              <w:rPr>
                <w:szCs w:val="24"/>
              </w:rPr>
              <w:t xml:space="preserve"> and content of all outgoing messages.</w:t>
            </w:r>
          </w:p>
        </w:tc>
      </w:tr>
      <w:tr w:rsidR="00366663" w:rsidRPr="008C4A39" w14:paraId="3E62B628" w14:textId="77777777" w:rsidTr="00883B07">
        <w:trPr>
          <w:trHeight w:val="510"/>
        </w:trPr>
        <w:tc>
          <w:tcPr>
            <w:tcW w:w="9445" w:type="dxa"/>
            <w:gridSpan w:val="2"/>
            <w:noWrap/>
          </w:tcPr>
          <w:p w14:paraId="45A74DDB" w14:textId="6CE9B6DD" w:rsidR="00366663" w:rsidRPr="008C4A39" w:rsidRDefault="00366663" w:rsidP="001136D3">
            <w:pPr>
              <w:spacing w:after="0"/>
              <w:ind w:right="-360"/>
              <w:jc w:val="left"/>
              <w:rPr>
                <w:szCs w:val="24"/>
              </w:rPr>
            </w:pPr>
            <w:r w:rsidRPr="008C4A39">
              <w:rPr>
                <w:szCs w:val="24"/>
              </w:rPr>
              <w:t xml:space="preserve">Bidder’s technical reasons supporting compliance:  </w:t>
            </w:r>
          </w:p>
        </w:tc>
      </w:tr>
      <w:tr w:rsidR="00366663" w:rsidRPr="008C4A39" w14:paraId="744261CC" w14:textId="77777777" w:rsidTr="00883B07">
        <w:trPr>
          <w:trHeight w:val="510"/>
        </w:trPr>
        <w:tc>
          <w:tcPr>
            <w:tcW w:w="9445" w:type="dxa"/>
            <w:gridSpan w:val="2"/>
            <w:noWrap/>
          </w:tcPr>
          <w:p w14:paraId="61F0F70C" w14:textId="2128C441"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12DA3AF6" w14:textId="77777777" w:rsidTr="001136D3">
        <w:trPr>
          <w:trHeight w:val="1020"/>
        </w:trPr>
        <w:tc>
          <w:tcPr>
            <w:tcW w:w="2245" w:type="dxa"/>
            <w:noWrap/>
          </w:tcPr>
          <w:p w14:paraId="31AEB22A" w14:textId="77777777" w:rsidR="00366663" w:rsidRPr="008C4A39" w:rsidRDefault="00366663" w:rsidP="00883B07">
            <w:pPr>
              <w:spacing w:after="0"/>
              <w:jc w:val="left"/>
              <w:rPr>
                <w:szCs w:val="24"/>
              </w:rPr>
            </w:pPr>
            <w:r w:rsidRPr="008C4A39">
              <w:rPr>
                <w:szCs w:val="24"/>
              </w:rPr>
              <w:t>FR22</w:t>
            </w:r>
          </w:p>
        </w:tc>
        <w:tc>
          <w:tcPr>
            <w:tcW w:w="7200" w:type="dxa"/>
          </w:tcPr>
          <w:p w14:paraId="15F5D432" w14:textId="77777777" w:rsidR="00366663" w:rsidRPr="008C4A39" w:rsidRDefault="00366663" w:rsidP="00883B07">
            <w:pPr>
              <w:spacing w:after="0"/>
              <w:rPr>
                <w:szCs w:val="24"/>
              </w:rPr>
            </w:pPr>
            <w:r w:rsidRPr="008C4A39">
              <w:rPr>
                <w:szCs w:val="24"/>
              </w:rPr>
              <w:t xml:space="preserve">The NSW shall provide for data loss protection (DLP), and implement comprehensive solution with centralized workflow capabilities, integrated policies, and customized reporting, </w:t>
            </w:r>
            <w:proofErr w:type="gramStart"/>
            <w:r w:rsidRPr="008C4A39">
              <w:rPr>
                <w:szCs w:val="24"/>
              </w:rPr>
              <w:t>in order to</w:t>
            </w:r>
            <w:proofErr w:type="gramEnd"/>
            <w:r w:rsidRPr="008C4A39">
              <w:rPr>
                <w:szCs w:val="24"/>
              </w:rPr>
              <w:t xml:space="preserve"> manage data loss and protect the sensitive data through a modular DLP program that offer capabilities across three main vectors: data at rest, data in motion, and data at endpoints.</w:t>
            </w:r>
          </w:p>
        </w:tc>
      </w:tr>
      <w:tr w:rsidR="00366663" w:rsidRPr="008C4A39" w14:paraId="7EAEA632" w14:textId="77777777" w:rsidTr="001136D3">
        <w:trPr>
          <w:trHeight w:val="404"/>
        </w:trPr>
        <w:tc>
          <w:tcPr>
            <w:tcW w:w="9445" w:type="dxa"/>
            <w:gridSpan w:val="2"/>
            <w:noWrap/>
          </w:tcPr>
          <w:p w14:paraId="0BA61CE1" w14:textId="33FDBFEA" w:rsidR="00366663" w:rsidRPr="008C4A39" w:rsidRDefault="00366663" w:rsidP="001136D3">
            <w:pPr>
              <w:spacing w:after="0"/>
              <w:ind w:right="-360"/>
              <w:jc w:val="left"/>
              <w:rPr>
                <w:szCs w:val="24"/>
              </w:rPr>
            </w:pPr>
            <w:r w:rsidRPr="008C4A39">
              <w:rPr>
                <w:szCs w:val="24"/>
              </w:rPr>
              <w:t>Bid</w:t>
            </w:r>
            <w:r w:rsidR="00A967D3">
              <w:rPr>
                <w:szCs w:val="24"/>
              </w:rPr>
              <w:t>d</w:t>
            </w:r>
            <w:r w:rsidRPr="008C4A39">
              <w:rPr>
                <w:szCs w:val="24"/>
              </w:rPr>
              <w:t xml:space="preserve">er’s technical reasons supporting compliance:  </w:t>
            </w:r>
          </w:p>
        </w:tc>
      </w:tr>
      <w:tr w:rsidR="00366663" w:rsidRPr="008C4A39" w14:paraId="7FB28FF7" w14:textId="77777777" w:rsidTr="001136D3">
        <w:trPr>
          <w:trHeight w:val="341"/>
        </w:trPr>
        <w:tc>
          <w:tcPr>
            <w:tcW w:w="9445" w:type="dxa"/>
            <w:gridSpan w:val="2"/>
            <w:noWrap/>
          </w:tcPr>
          <w:p w14:paraId="3E989C57" w14:textId="3D1C919F"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E534E8" w:rsidRPr="008C4A39" w14:paraId="5328F5D0" w14:textId="645CDCBA" w:rsidTr="001136D3">
        <w:trPr>
          <w:trHeight w:val="602"/>
        </w:trPr>
        <w:tc>
          <w:tcPr>
            <w:tcW w:w="2245" w:type="dxa"/>
            <w:noWrap/>
          </w:tcPr>
          <w:p w14:paraId="62A79C6D" w14:textId="2296684A" w:rsidR="00E534E8" w:rsidRPr="008C4A39" w:rsidRDefault="00E534E8" w:rsidP="00E534E8">
            <w:pPr>
              <w:ind w:right="-360"/>
              <w:jc w:val="left"/>
              <w:rPr>
                <w:szCs w:val="24"/>
              </w:rPr>
            </w:pPr>
            <w:r>
              <w:rPr>
                <w:szCs w:val="24"/>
              </w:rPr>
              <w:t>FR137</w:t>
            </w:r>
          </w:p>
        </w:tc>
        <w:tc>
          <w:tcPr>
            <w:tcW w:w="7200" w:type="dxa"/>
          </w:tcPr>
          <w:p w14:paraId="598CAE06" w14:textId="5B03245A" w:rsidR="00E534E8" w:rsidRPr="008C4A39" w:rsidRDefault="00E534E8" w:rsidP="00E534E8">
            <w:pPr>
              <w:ind w:right="-360"/>
              <w:jc w:val="left"/>
              <w:rPr>
                <w:szCs w:val="24"/>
              </w:rPr>
            </w:pPr>
            <w:r>
              <w:rPr>
                <w:szCs w:val="24"/>
              </w:rPr>
              <w:t xml:space="preserve">The NSW System must support the CBRA with configurable workflow management for processing of each LPCO type. </w:t>
            </w:r>
          </w:p>
        </w:tc>
      </w:tr>
      <w:tr w:rsidR="00E534E8" w:rsidRPr="008C4A39" w14:paraId="1FDD457C" w14:textId="77777777" w:rsidTr="001136D3">
        <w:trPr>
          <w:trHeight w:val="467"/>
        </w:trPr>
        <w:tc>
          <w:tcPr>
            <w:tcW w:w="9445" w:type="dxa"/>
            <w:gridSpan w:val="2"/>
            <w:noWrap/>
          </w:tcPr>
          <w:p w14:paraId="7834E25F" w14:textId="36007D9E" w:rsidR="00E534E8" w:rsidRDefault="00E534E8" w:rsidP="001136D3">
            <w:pPr>
              <w:spacing w:after="0"/>
              <w:ind w:right="-360"/>
              <w:jc w:val="left"/>
              <w:rPr>
                <w:szCs w:val="24"/>
              </w:rPr>
            </w:pPr>
            <w:r w:rsidRPr="008C4A39">
              <w:rPr>
                <w:szCs w:val="24"/>
              </w:rPr>
              <w:lastRenderedPageBreak/>
              <w:t xml:space="preserve">Bidder’s technical reasons supporting compliance:  </w:t>
            </w:r>
          </w:p>
        </w:tc>
      </w:tr>
      <w:tr w:rsidR="00E534E8" w:rsidRPr="008C4A39" w14:paraId="460CE5C3" w14:textId="77777777" w:rsidTr="001136D3">
        <w:trPr>
          <w:trHeight w:val="440"/>
        </w:trPr>
        <w:tc>
          <w:tcPr>
            <w:tcW w:w="9445" w:type="dxa"/>
            <w:gridSpan w:val="2"/>
            <w:noWrap/>
          </w:tcPr>
          <w:p w14:paraId="2E386F27" w14:textId="01C36474" w:rsidR="00E534E8"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42E6E000" w14:textId="4A7CA87A" w:rsidTr="001136D3">
        <w:trPr>
          <w:trHeight w:val="602"/>
        </w:trPr>
        <w:tc>
          <w:tcPr>
            <w:tcW w:w="2245" w:type="dxa"/>
            <w:noWrap/>
          </w:tcPr>
          <w:p w14:paraId="5A95E108" w14:textId="5AFFB10A" w:rsidR="00E534E8" w:rsidRDefault="00E534E8" w:rsidP="00E534E8">
            <w:pPr>
              <w:ind w:right="-360"/>
              <w:jc w:val="left"/>
              <w:rPr>
                <w:szCs w:val="24"/>
              </w:rPr>
            </w:pPr>
            <w:r>
              <w:rPr>
                <w:szCs w:val="24"/>
              </w:rPr>
              <w:t>FR160</w:t>
            </w:r>
          </w:p>
        </w:tc>
        <w:tc>
          <w:tcPr>
            <w:tcW w:w="7200" w:type="dxa"/>
          </w:tcPr>
          <w:p w14:paraId="2B581D6D" w14:textId="0ED9F7AF" w:rsidR="00E534E8" w:rsidRDefault="00E534E8" w:rsidP="00E534E8">
            <w:pPr>
              <w:ind w:right="-360"/>
              <w:jc w:val="left"/>
              <w:rPr>
                <w:szCs w:val="24"/>
              </w:rPr>
            </w:pPr>
            <w:r>
              <w:rPr>
                <w:szCs w:val="24"/>
              </w:rPr>
              <w:t xml:space="preserve">Audit </w:t>
            </w:r>
            <w:proofErr w:type="gramStart"/>
            <w:r>
              <w:rPr>
                <w:szCs w:val="24"/>
              </w:rPr>
              <w:t>trail</w:t>
            </w:r>
            <w:proofErr w:type="gramEnd"/>
            <w:r>
              <w:rPr>
                <w:szCs w:val="24"/>
              </w:rPr>
              <w:t xml:space="preserve"> for all transactions including access to information, changes to data/information must be maintained in the system such that information can be viewed by applicant and CBRA staff.</w:t>
            </w:r>
          </w:p>
        </w:tc>
      </w:tr>
      <w:tr w:rsidR="00E534E8" w:rsidRPr="008C4A39" w14:paraId="2B5C9C8E" w14:textId="77777777" w:rsidTr="00883B07">
        <w:trPr>
          <w:trHeight w:val="602"/>
        </w:trPr>
        <w:tc>
          <w:tcPr>
            <w:tcW w:w="9445" w:type="dxa"/>
            <w:gridSpan w:val="2"/>
            <w:noWrap/>
          </w:tcPr>
          <w:p w14:paraId="2A918308" w14:textId="278E5F0D" w:rsidR="00E534E8"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423976FB" w14:textId="77777777" w:rsidTr="00883B07">
        <w:trPr>
          <w:trHeight w:val="602"/>
        </w:trPr>
        <w:tc>
          <w:tcPr>
            <w:tcW w:w="9445" w:type="dxa"/>
            <w:gridSpan w:val="2"/>
            <w:noWrap/>
          </w:tcPr>
          <w:p w14:paraId="1E266690" w14:textId="739C5CD0" w:rsidR="00E534E8"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5A3C5D2F" w14:textId="43F98DD9" w:rsidTr="001136D3">
        <w:trPr>
          <w:trHeight w:val="602"/>
        </w:trPr>
        <w:tc>
          <w:tcPr>
            <w:tcW w:w="2245" w:type="dxa"/>
            <w:noWrap/>
          </w:tcPr>
          <w:p w14:paraId="48009AB8" w14:textId="796858A5" w:rsidR="00E534E8" w:rsidRDefault="00E534E8" w:rsidP="00E534E8">
            <w:pPr>
              <w:ind w:right="-360"/>
              <w:jc w:val="left"/>
              <w:rPr>
                <w:szCs w:val="24"/>
              </w:rPr>
            </w:pPr>
            <w:r>
              <w:rPr>
                <w:szCs w:val="24"/>
              </w:rPr>
              <w:t>FR161</w:t>
            </w:r>
          </w:p>
        </w:tc>
        <w:tc>
          <w:tcPr>
            <w:tcW w:w="7200" w:type="dxa"/>
          </w:tcPr>
          <w:p w14:paraId="57C3A8AE" w14:textId="6E7E2BEF" w:rsidR="00E534E8" w:rsidRDefault="00E534E8" w:rsidP="00E534E8">
            <w:pPr>
              <w:ind w:right="-360"/>
              <w:jc w:val="left"/>
              <w:rPr>
                <w:szCs w:val="24"/>
              </w:rPr>
            </w:pPr>
            <w:r>
              <w:rPr>
                <w:szCs w:val="24"/>
              </w:rPr>
              <w:t>Access to the Audit trail should be restricted to authorized CBRA personnel.</w:t>
            </w:r>
          </w:p>
        </w:tc>
      </w:tr>
      <w:tr w:rsidR="00E534E8" w:rsidRPr="008C4A39" w14:paraId="559CDA08" w14:textId="77777777" w:rsidTr="00883B07">
        <w:trPr>
          <w:trHeight w:val="602"/>
        </w:trPr>
        <w:tc>
          <w:tcPr>
            <w:tcW w:w="9445" w:type="dxa"/>
            <w:gridSpan w:val="2"/>
            <w:noWrap/>
          </w:tcPr>
          <w:p w14:paraId="05B39662" w14:textId="21176BE2" w:rsidR="00E534E8"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0AD7FEC0" w14:textId="77777777" w:rsidTr="00883B07">
        <w:trPr>
          <w:trHeight w:val="602"/>
        </w:trPr>
        <w:tc>
          <w:tcPr>
            <w:tcW w:w="9445" w:type="dxa"/>
            <w:gridSpan w:val="2"/>
            <w:noWrap/>
          </w:tcPr>
          <w:p w14:paraId="384003A1" w14:textId="7803298B" w:rsidR="00E534E8"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1E6B6E4C" w14:textId="45BB9B2A" w:rsidTr="001136D3">
        <w:trPr>
          <w:trHeight w:val="602"/>
        </w:trPr>
        <w:tc>
          <w:tcPr>
            <w:tcW w:w="2245" w:type="dxa"/>
            <w:noWrap/>
          </w:tcPr>
          <w:p w14:paraId="332E9DE0" w14:textId="7A3C323E" w:rsidR="00E534E8" w:rsidRDefault="00E534E8" w:rsidP="001136D3">
            <w:pPr>
              <w:spacing w:after="0"/>
              <w:ind w:right="-360"/>
              <w:jc w:val="left"/>
              <w:rPr>
                <w:szCs w:val="24"/>
              </w:rPr>
            </w:pPr>
            <w:r>
              <w:rPr>
                <w:szCs w:val="24"/>
              </w:rPr>
              <w:t>FR181</w:t>
            </w:r>
          </w:p>
        </w:tc>
        <w:tc>
          <w:tcPr>
            <w:tcW w:w="7200" w:type="dxa"/>
          </w:tcPr>
          <w:p w14:paraId="493C7CDD" w14:textId="051E6603" w:rsidR="00E534E8" w:rsidRDefault="00E534E8" w:rsidP="001136D3">
            <w:pPr>
              <w:spacing w:after="0"/>
              <w:ind w:right="-360"/>
              <w:jc w:val="left"/>
              <w:rPr>
                <w:szCs w:val="24"/>
              </w:rPr>
            </w:pPr>
            <w:r>
              <w:rPr>
                <w:szCs w:val="24"/>
              </w:rPr>
              <w:t>The NSW shall serve as the “single electronic entry point and a platform for person involved in import, export, transit.</w:t>
            </w:r>
          </w:p>
        </w:tc>
      </w:tr>
      <w:tr w:rsidR="00E534E8" w:rsidRPr="008C4A39" w14:paraId="65F5E126" w14:textId="77777777" w:rsidTr="00883B07">
        <w:trPr>
          <w:trHeight w:val="602"/>
        </w:trPr>
        <w:tc>
          <w:tcPr>
            <w:tcW w:w="9445" w:type="dxa"/>
            <w:gridSpan w:val="2"/>
            <w:noWrap/>
          </w:tcPr>
          <w:p w14:paraId="77BE98B9" w14:textId="405B8BBA" w:rsidR="00E534E8"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606C7060" w14:textId="77777777" w:rsidTr="00883B07">
        <w:trPr>
          <w:trHeight w:val="602"/>
        </w:trPr>
        <w:tc>
          <w:tcPr>
            <w:tcW w:w="9445" w:type="dxa"/>
            <w:gridSpan w:val="2"/>
            <w:noWrap/>
          </w:tcPr>
          <w:p w14:paraId="34EC1849" w14:textId="24639CF1" w:rsidR="00E534E8"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7ECA2A1D" w14:textId="77777777" w:rsidTr="001136D3">
        <w:trPr>
          <w:trHeight w:val="593"/>
        </w:trPr>
        <w:tc>
          <w:tcPr>
            <w:tcW w:w="2245" w:type="dxa"/>
            <w:noWrap/>
            <w:vAlign w:val="bottom"/>
          </w:tcPr>
          <w:p w14:paraId="0049F92F" w14:textId="2D362E9C" w:rsidR="00E534E8" w:rsidRPr="008C4A39" w:rsidRDefault="00E534E8">
            <w:pPr>
              <w:spacing w:after="0"/>
              <w:jc w:val="left"/>
              <w:rPr>
                <w:szCs w:val="24"/>
              </w:rPr>
            </w:pPr>
            <w:r w:rsidRPr="008C4A39">
              <w:rPr>
                <w:szCs w:val="24"/>
              </w:rPr>
              <w:t>FR249</w:t>
            </w:r>
          </w:p>
        </w:tc>
        <w:tc>
          <w:tcPr>
            <w:tcW w:w="7200" w:type="dxa"/>
          </w:tcPr>
          <w:p w14:paraId="30E93CB1" w14:textId="25AB06F2" w:rsidR="00E534E8" w:rsidRPr="008C4A39" w:rsidRDefault="00E534E8">
            <w:pPr>
              <w:spacing w:after="0"/>
              <w:rPr>
                <w:szCs w:val="24"/>
              </w:rPr>
            </w:pPr>
            <w:r w:rsidRPr="008C4A39">
              <w:rPr>
                <w:szCs w:val="24"/>
              </w:rPr>
              <w:t>The system also must be able to offer a user interface where it is possible to search and view notifications after logging in to the NSW portal.</w:t>
            </w:r>
          </w:p>
        </w:tc>
      </w:tr>
      <w:tr w:rsidR="00E534E8" w:rsidRPr="008C4A39" w14:paraId="300E0DB5" w14:textId="77777777" w:rsidTr="00883B07">
        <w:trPr>
          <w:trHeight w:val="593"/>
        </w:trPr>
        <w:tc>
          <w:tcPr>
            <w:tcW w:w="9445" w:type="dxa"/>
            <w:gridSpan w:val="2"/>
            <w:noWrap/>
          </w:tcPr>
          <w:p w14:paraId="2CBEA4A1" w14:textId="262CF476" w:rsidR="00E534E8" w:rsidRPr="008C4A39" w:rsidRDefault="00E534E8" w:rsidP="001136D3">
            <w:pPr>
              <w:spacing w:after="0"/>
              <w:ind w:right="-360"/>
              <w:jc w:val="left"/>
              <w:rPr>
                <w:szCs w:val="24"/>
              </w:rPr>
            </w:pPr>
            <w:r w:rsidRPr="008C4A39">
              <w:rPr>
                <w:szCs w:val="24"/>
              </w:rPr>
              <w:t xml:space="preserve">Bidder’s technical reasons supporting compliance:  </w:t>
            </w:r>
          </w:p>
          <w:p w14:paraId="28BE8556" w14:textId="0DBCFC6F" w:rsidR="00E534E8" w:rsidRPr="008C4A39" w:rsidRDefault="00E534E8">
            <w:pPr>
              <w:spacing w:after="0"/>
              <w:rPr>
                <w:szCs w:val="24"/>
              </w:rPr>
            </w:pPr>
          </w:p>
        </w:tc>
      </w:tr>
      <w:tr w:rsidR="00E534E8" w:rsidRPr="008C4A39" w14:paraId="484558FF" w14:textId="77777777" w:rsidTr="00883B07">
        <w:trPr>
          <w:trHeight w:val="593"/>
        </w:trPr>
        <w:tc>
          <w:tcPr>
            <w:tcW w:w="9445" w:type="dxa"/>
            <w:gridSpan w:val="2"/>
            <w:noWrap/>
          </w:tcPr>
          <w:p w14:paraId="2630ADF3" w14:textId="58CB63B5"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348E0AE9" w14:textId="673AE0B5" w:rsidR="00E534E8" w:rsidRPr="008C4A39" w:rsidRDefault="00E534E8">
            <w:pPr>
              <w:spacing w:after="0"/>
              <w:jc w:val="left"/>
              <w:rPr>
                <w:szCs w:val="24"/>
              </w:rPr>
            </w:pPr>
          </w:p>
        </w:tc>
      </w:tr>
      <w:tr w:rsidR="00E534E8" w:rsidRPr="008C4A39" w14:paraId="6E24B786" w14:textId="77777777" w:rsidTr="001136D3">
        <w:trPr>
          <w:trHeight w:val="1020"/>
        </w:trPr>
        <w:tc>
          <w:tcPr>
            <w:tcW w:w="2245" w:type="dxa"/>
            <w:noWrap/>
            <w:vAlign w:val="bottom"/>
          </w:tcPr>
          <w:p w14:paraId="27740C00" w14:textId="2B11DC3D" w:rsidR="00E534E8" w:rsidRPr="008C4A39" w:rsidRDefault="00E534E8" w:rsidP="00E534E8">
            <w:pPr>
              <w:spacing w:after="0"/>
              <w:jc w:val="left"/>
              <w:rPr>
                <w:szCs w:val="24"/>
              </w:rPr>
            </w:pPr>
            <w:r w:rsidRPr="008C4A39">
              <w:rPr>
                <w:szCs w:val="24"/>
              </w:rPr>
              <w:t>FR250</w:t>
            </w:r>
          </w:p>
        </w:tc>
        <w:tc>
          <w:tcPr>
            <w:tcW w:w="7200" w:type="dxa"/>
          </w:tcPr>
          <w:p w14:paraId="29FD1BEA" w14:textId="5C2FE164" w:rsidR="00E534E8" w:rsidRPr="008C4A39" w:rsidRDefault="00E534E8" w:rsidP="001F1555">
            <w:pPr>
              <w:spacing w:after="0"/>
              <w:rPr>
                <w:szCs w:val="24"/>
              </w:rPr>
            </w:pPr>
            <w:r w:rsidRPr="008C4A39">
              <w:rPr>
                <w:szCs w:val="24"/>
              </w:rPr>
              <w:t>The NSW shall cater for distribution of notifications and status updates (</w:t>
            </w:r>
            <w:r w:rsidR="00A77A21" w:rsidRPr="00A77A21">
              <w:rPr>
                <w:szCs w:val="24"/>
              </w:rPr>
              <w:t xml:space="preserve">e.g. </w:t>
            </w:r>
            <w:r w:rsidRPr="00A77A21">
              <w:rPr>
                <w:szCs w:val="24"/>
              </w:rPr>
              <w:t>via messaging</w:t>
            </w:r>
            <w:r w:rsidR="00A77A21" w:rsidRPr="001F1555">
              <w:rPr>
                <w:szCs w:val="24"/>
              </w:rPr>
              <w:t xml:space="preserve">, </w:t>
            </w:r>
            <w:r w:rsidR="00A77A21" w:rsidRPr="00DE1F8A">
              <w:rPr>
                <w:szCs w:val="24"/>
              </w:rPr>
              <w:t xml:space="preserve">API, email, SMS, </w:t>
            </w:r>
            <w:r w:rsidRPr="00DE1F8A">
              <w:rPr>
                <w:szCs w:val="24"/>
              </w:rPr>
              <w:t>web service updates to the user interfaces</w:t>
            </w:r>
            <w:r w:rsidR="00A77A21" w:rsidRPr="00DE1F8A">
              <w:rPr>
                <w:szCs w:val="24"/>
              </w:rPr>
              <w:t>, and other</w:t>
            </w:r>
            <w:r w:rsidR="001F1555" w:rsidRPr="00DE1F8A">
              <w:rPr>
                <w:szCs w:val="24"/>
              </w:rPr>
              <w:t xml:space="preserve"> applicable</w:t>
            </w:r>
            <w:r w:rsidR="00A77A21" w:rsidRPr="00DE1F8A">
              <w:rPr>
                <w:szCs w:val="24"/>
              </w:rPr>
              <w:t xml:space="preserve"> interfaces</w:t>
            </w:r>
            <w:r w:rsidRPr="00DE1F8A">
              <w:rPr>
                <w:szCs w:val="24"/>
              </w:rPr>
              <w:t>).</w:t>
            </w:r>
            <w:r w:rsidRPr="008C4A39">
              <w:rPr>
                <w:szCs w:val="24"/>
              </w:rPr>
              <w:t xml:space="preserve"> The NSW will forward status updates and notifications received from regulatory authorities’ systems to the submitter and any other notifiable party via messaging interface.</w:t>
            </w:r>
            <w:r w:rsidR="00A77A21">
              <w:rPr>
                <w:szCs w:val="24"/>
              </w:rPr>
              <w:t xml:space="preserve"> </w:t>
            </w:r>
          </w:p>
        </w:tc>
      </w:tr>
      <w:tr w:rsidR="00E534E8" w:rsidRPr="008C4A39" w14:paraId="21B68E6D" w14:textId="77777777" w:rsidTr="001136D3">
        <w:trPr>
          <w:trHeight w:val="494"/>
        </w:trPr>
        <w:tc>
          <w:tcPr>
            <w:tcW w:w="9445" w:type="dxa"/>
            <w:gridSpan w:val="2"/>
            <w:noWrap/>
          </w:tcPr>
          <w:p w14:paraId="793FDAB7" w14:textId="45C895A4" w:rsidR="00E534E8" w:rsidRPr="008C4A39"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39D0E4F3" w14:textId="77777777" w:rsidTr="00883B07">
        <w:trPr>
          <w:trHeight w:val="1020"/>
        </w:trPr>
        <w:tc>
          <w:tcPr>
            <w:tcW w:w="9445" w:type="dxa"/>
            <w:gridSpan w:val="2"/>
            <w:noWrap/>
          </w:tcPr>
          <w:p w14:paraId="774554BE" w14:textId="0DB28ECA" w:rsidR="00E534E8" w:rsidRPr="008C4A39"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6D9665ED" w14:textId="77777777" w:rsidTr="001136D3">
        <w:trPr>
          <w:trHeight w:val="863"/>
        </w:trPr>
        <w:tc>
          <w:tcPr>
            <w:tcW w:w="2245" w:type="dxa"/>
            <w:noWrap/>
            <w:vAlign w:val="bottom"/>
          </w:tcPr>
          <w:p w14:paraId="1DEC15B9" w14:textId="1796F32C" w:rsidR="00E534E8" w:rsidRPr="008C4A39" w:rsidRDefault="00E534E8" w:rsidP="00E534E8">
            <w:pPr>
              <w:spacing w:after="0"/>
              <w:jc w:val="left"/>
              <w:rPr>
                <w:szCs w:val="24"/>
              </w:rPr>
            </w:pPr>
            <w:r w:rsidRPr="008C4A39">
              <w:rPr>
                <w:szCs w:val="24"/>
              </w:rPr>
              <w:lastRenderedPageBreak/>
              <w:t>FR251</w:t>
            </w:r>
          </w:p>
        </w:tc>
        <w:tc>
          <w:tcPr>
            <w:tcW w:w="7200" w:type="dxa"/>
          </w:tcPr>
          <w:p w14:paraId="050A0CB6" w14:textId="6C1909B9" w:rsidR="00E534E8" w:rsidRPr="008C4A39" w:rsidRDefault="00E534E8" w:rsidP="00E534E8">
            <w:pPr>
              <w:spacing w:after="0"/>
              <w:rPr>
                <w:szCs w:val="24"/>
              </w:rPr>
            </w:pPr>
            <w:r w:rsidRPr="008C4A39">
              <w:rPr>
                <w:szCs w:val="24"/>
              </w:rPr>
              <w:t>The NSW will provide status updates, error messages or requests for information from regulatory authorities to notifiable parties via or web service updates to the respective user interfaces and/or via email.</w:t>
            </w:r>
          </w:p>
        </w:tc>
      </w:tr>
      <w:tr w:rsidR="00E534E8" w:rsidRPr="008C4A39" w14:paraId="683FF3C5" w14:textId="77777777" w:rsidTr="001136D3">
        <w:trPr>
          <w:trHeight w:val="494"/>
        </w:trPr>
        <w:tc>
          <w:tcPr>
            <w:tcW w:w="9445" w:type="dxa"/>
            <w:gridSpan w:val="2"/>
            <w:noWrap/>
          </w:tcPr>
          <w:p w14:paraId="3DD11DB3" w14:textId="23CC34F9" w:rsidR="00E534E8" w:rsidRPr="008C4A39" w:rsidRDefault="00E534E8" w:rsidP="001136D3">
            <w:pPr>
              <w:spacing w:after="0"/>
              <w:ind w:right="-360"/>
              <w:jc w:val="left"/>
              <w:rPr>
                <w:szCs w:val="24"/>
              </w:rPr>
            </w:pPr>
            <w:r w:rsidRPr="008C4A39">
              <w:rPr>
                <w:szCs w:val="24"/>
              </w:rPr>
              <w:t xml:space="preserve">Bidder’s technical reasons supporting compliance:  </w:t>
            </w:r>
          </w:p>
          <w:p w14:paraId="1A6D2562" w14:textId="478DBE59" w:rsidR="00E534E8" w:rsidRPr="008C4A39" w:rsidRDefault="00E534E8">
            <w:pPr>
              <w:spacing w:after="0"/>
              <w:rPr>
                <w:szCs w:val="24"/>
              </w:rPr>
            </w:pPr>
          </w:p>
        </w:tc>
      </w:tr>
      <w:tr w:rsidR="00E534E8" w:rsidRPr="008C4A39" w14:paraId="6CB085C2" w14:textId="77777777" w:rsidTr="001136D3">
        <w:trPr>
          <w:trHeight w:val="422"/>
        </w:trPr>
        <w:tc>
          <w:tcPr>
            <w:tcW w:w="9445" w:type="dxa"/>
            <w:gridSpan w:val="2"/>
            <w:noWrap/>
          </w:tcPr>
          <w:p w14:paraId="7877BE3B" w14:textId="1F1D713C"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24C9CC54" w14:textId="4D7BBD64" w:rsidR="00E534E8" w:rsidRPr="008C4A39" w:rsidRDefault="00E534E8">
            <w:pPr>
              <w:spacing w:after="0"/>
              <w:jc w:val="left"/>
              <w:rPr>
                <w:szCs w:val="24"/>
              </w:rPr>
            </w:pPr>
          </w:p>
        </w:tc>
      </w:tr>
      <w:tr w:rsidR="00E534E8" w:rsidRPr="008C4A39" w14:paraId="34123F47" w14:textId="77777777" w:rsidTr="001136D3">
        <w:trPr>
          <w:trHeight w:val="683"/>
        </w:trPr>
        <w:tc>
          <w:tcPr>
            <w:tcW w:w="2245" w:type="dxa"/>
            <w:noWrap/>
            <w:vAlign w:val="bottom"/>
          </w:tcPr>
          <w:p w14:paraId="4B085C1C" w14:textId="20E00710" w:rsidR="00E534E8" w:rsidRPr="008C4A39" w:rsidRDefault="00E534E8">
            <w:pPr>
              <w:spacing w:after="0"/>
              <w:jc w:val="left"/>
              <w:rPr>
                <w:szCs w:val="24"/>
              </w:rPr>
            </w:pPr>
            <w:r w:rsidRPr="008C4A39">
              <w:rPr>
                <w:szCs w:val="24"/>
              </w:rPr>
              <w:t>FR252</w:t>
            </w:r>
          </w:p>
        </w:tc>
        <w:tc>
          <w:tcPr>
            <w:tcW w:w="7200" w:type="dxa"/>
          </w:tcPr>
          <w:p w14:paraId="1AC28919" w14:textId="4F302807" w:rsidR="00E534E8" w:rsidRPr="008C4A39" w:rsidRDefault="00E534E8">
            <w:pPr>
              <w:spacing w:after="0"/>
              <w:rPr>
                <w:szCs w:val="24"/>
              </w:rPr>
            </w:pPr>
            <w:r w:rsidRPr="008C4A39">
              <w:rPr>
                <w:szCs w:val="24"/>
              </w:rPr>
              <w:t>The gateway shall ensure reliability, the messaging solution must support “store and forward” messaging</w:t>
            </w:r>
            <w:r w:rsidR="00DA4F00">
              <w:rPr>
                <w:szCs w:val="24"/>
              </w:rPr>
              <w:t xml:space="preserve"> and implement when required by recipients</w:t>
            </w:r>
            <w:r w:rsidRPr="008C4A39">
              <w:rPr>
                <w:szCs w:val="24"/>
              </w:rPr>
              <w:t>.</w:t>
            </w:r>
          </w:p>
        </w:tc>
      </w:tr>
      <w:tr w:rsidR="00E534E8" w:rsidRPr="008C4A39" w14:paraId="68814E47" w14:textId="77777777" w:rsidTr="00883B07">
        <w:trPr>
          <w:trHeight w:val="683"/>
        </w:trPr>
        <w:tc>
          <w:tcPr>
            <w:tcW w:w="9445" w:type="dxa"/>
            <w:gridSpan w:val="2"/>
            <w:noWrap/>
          </w:tcPr>
          <w:p w14:paraId="3B124D4D" w14:textId="2D62D887" w:rsidR="00E534E8" w:rsidRPr="008C4A39" w:rsidRDefault="00E534E8" w:rsidP="001136D3">
            <w:pPr>
              <w:spacing w:after="0"/>
              <w:ind w:right="-360"/>
              <w:jc w:val="left"/>
              <w:rPr>
                <w:szCs w:val="24"/>
              </w:rPr>
            </w:pPr>
            <w:r w:rsidRPr="008C4A39">
              <w:rPr>
                <w:szCs w:val="24"/>
              </w:rPr>
              <w:t xml:space="preserve">Bidder’s technical reasons supporting compliance:  </w:t>
            </w:r>
          </w:p>
          <w:p w14:paraId="482C59E4" w14:textId="2F24AF39" w:rsidR="00E534E8" w:rsidRPr="008C4A39" w:rsidRDefault="00E534E8">
            <w:pPr>
              <w:spacing w:after="0"/>
              <w:rPr>
                <w:szCs w:val="24"/>
              </w:rPr>
            </w:pPr>
          </w:p>
        </w:tc>
      </w:tr>
      <w:tr w:rsidR="00E534E8" w:rsidRPr="008C4A39" w14:paraId="6562F51E" w14:textId="77777777" w:rsidTr="001136D3">
        <w:trPr>
          <w:trHeight w:val="413"/>
        </w:trPr>
        <w:tc>
          <w:tcPr>
            <w:tcW w:w="9445" w:type="dxa"/>
            <w:gridSpan w:val="2"/>
            <w:noWrap/>
          </w:tcPr>
          <w:p w14:paraId="43A4DA73" w14:textId="3A2EC412"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265D53C2" w14:textId="15DC2972" w:rsidR="00E534E8" w:rsidRPr="008C4A39" w:rsidRDefault="00E534E8">
            <w:pPr>
              <w:spacing w:after="0"/>
              <w:rPr>
                <w:szCs w:val="24"/>
              </w:rPr>
            </w:pPr>
          </w:p>
        </w:tc>
      </w:tr>
      <w:tr w:rsidR="00E534E8" w:rsidRPr="008C4A39" w14:paraId="3ED4A278" w14:textId="77777777" w:rsidTr="001136D3">
        <w:trPr>
          <w:trHeight w:val="593"/>
        </w:trPr>
        <w:tc>
          <w:tcPr>
            <w:tcW w:w="2245" w:type="dxa"/>
            <w:noWrap/>
            <w:vAlign w:val="bottom"/>
          </w:tcPr>
          <w:p w14:paraId="20627038" w14:textId="05D34A75" w:rsidR="00E534E8" w:rsidRPr="008C4A39" w:rsidRDefault="00E534E8">
            <w:pPr>
              <w:spacing w:after="0"/>
              <w:jc w:val="left"/>
              <w:rPr>
                <w:szCs w:val="24"/>
              </w:rPr>
            </w:pPr>
            <w:r w:rsidRPr="008C4A39">
              <w:rPr>
                <w:szCs w:val="24"/>
              </w:rPr>
              <w:t>FR253</w:t>
            </w:r>
          </w:p>
        </w:tc>
        <w:tc>
          <w:tcPr>
            <w:tcW w:w="7200" w:type="dxa"/>
          </w:tcPr>
          <w:p w14:paraId="7B77D288" w14:textId="474F3D8A" w:rsidR="00E534E8" w:rsidRPr="008C4A39" w:rsidRDefault="00E534E8">
            <w:pPr>
              <w:spacing w:after="0"/>
              <w:rPr>
                <w:szCs w:val="24"/>
              </w:rPr>
            </w:pPr>
            <w:r w:rsidRPr="008C4A39">
              <w:rPr>
                <w:szCs w:val="24"/>
              </w:rPr>
              <w:t xml:space="preserve">Communication protocols supported shall include </w:t>
            </w:r>
            <w:proofErr w:type="spellStart"/>
            <w:r w:rsidRPr="008C4A39">
              <w:rPr>
                <w:szCs w:val="24"/>
              </w:rPr>
              <w:t>ebMS</w:t>
            </w:r>
            <w:proofErr w:type="spellEnd"/>
            <w:r w:rsidRPr="008C4A39">
              <w:rPr>
                <w:szCs w:val="24"/>
              </w:rPr>
              <w:t xml:space="preserve"> (</w:t>
            </w:r>
            <w:proofErr w:type="spellStart"/>
            <w:r w:rsidRPr="008C4A39">
              <w:rPr>
                <w:szCs w:val="24"/>
              </w:rPr>
              <w:t>ebXML</w:t>
            </w:r>
            <w:proofErr w:type="spellEnd"/>
            <w:r w:rsidRPr="008C4A39">
              <w:rPr>
                <w:szCs w:val="24"/>
              </w:rPr>
              <w:t>, Messaging Service), FTP, SMTP</w:t>
            </w:r>
            <w:r w:rsidR="007B142B">
              <w:rPr>
                <w:szCs w:val="24"/>
              </w:rPr>
              <w:t xml:space="preserve">, </w:t>
            </w:r>
            <w:r w:rsidR="007B142B" w:rsidRPr="00DE1F8A">
              <w:rPr>
                <w:szCs w:val="24"/>
              </w:rPr>
              <w:t>API</w:t>
            </w:r>
            <w:r w:rsidR="00180BEA" w:rsidRPr="00DE1F8A">
              <w:rPr>
                <w:szCs w:val="24"/>
              </w:rPr>
              <w:t xml:space="preserve"> (</w:t>
            </w:r>
            <w:r w:rsidR="00E30CDF" w:rsidRPr="00DE1F8A">
              <w:rPr>
                <w:szCs w:val="24"/>
              </w:rPr>
              <w:t>RESTful)</w:t>
            </w:r>
            <w:r w:rsidRPr="008C4A39">
              <w:rPr>
                <w:szCs w:val="24"/>
              </w:rPr>
              <w:t xml:space="preserve"> and other suitable protocols and act as a </w:t>
            </w:r>
            <w:r w:rsidR="00050300">
              <w:rPr>
                <w:szCs w:val="24"/>
              </w:rPr>
              <w:t xml:space="preserve">communication service </w:t>
            </w:r>
            <w:r w:rsidR="00050300" w:rsidRPr="00050300">
              <w:rPr>
                <w:strike/>
                <w:szCs w:val="24"/>
              </w:rPr>
              <w:t>(</w:t>
            </w:r>
            <w:r w:rsidRPr="00050300">
              <w:rPr>
                <w:strike/>
                <w:szCs w:val="24"/>
              </w:rPr>
              <w:t>web service</w:t>
            </w:r>
            <w:r w:rsidR="00050300" w:rsidRPr="00050300">
              <w:rPr>
                <w:strike/>
                <w:szCs w:val="24"/>
              </w:rPr>
              <w:t>)</w:t>
            </w:r>
            <w:r w:rsidRPr="008C4A39">
              <w:rPr>
                <w:szCs w:val="24"/>
              </w:rPr>
              <w:t xml:space="preserve"> client and server.</w:t>
            </w:r>
          </w:p>
        </w:tc>
      </w:tr>
      <w:tr w:rsidR="00E534E8" w:rsidRPr="008C4A39" w14:paraId="53E2A6CD" w14:textId="77777777" w:rsidTr="00883B07">
        <w:trPr>
          <w:trHeight w:val="593"/>
        </w:trPr>
        <w:tc>
          <w:tcPr>
            <w:tcW w:w="9445" w:type="dxa"/>
            <w:gridSpan w:val="2"/>
            <w:noWrap/>
          </w:tcPr>
          <w:p w14:paraId="7E69A131" w14:textId="2AFA3D35" w:rsidR="00E534E8" w:rsidRPr="008C4A39" w:rsidRDefault="00E534E8" w:rsidP="001136D3">
            <w:pPr>
              <w:spacing w:after="0"/>
              <w:ind w:right="-360"/>
              <w:jc w:val="left"/>
              <w:rPr>
                <w:szCs w:val="24"/>
              </w:rPr>
            </w:pPr>
            <w:r w:rsidRPr="008C4A39">
              <w:rPr>
                <w:szCs w:val="24"/>
              </w:rPr>
              <w:t xml:space="preserve">Bidder’s technical reasons supporting compliance:  </w:t>
            </w:r>
          </w:p>
          <w:p w14:paraId="3559DF92" w14:textId="26E49A25" w:rsidR="00E534E8" w:rsidRPr="008C4A39" w:rsidRDefault="00E534E8">
            <w:pPr>
              <w:spacing w:after="0"/>
              <w:rPr>
                <w:szCs w:val="24"/>
              </w:rPr>
            </w:pPr>
          </w:p>
        </w:tc>
      </w:tr>
      <w:tr w:rsidR="00E534E8" w:rsidRPr="008C4A39" w14:paraId="32953A8B" w14:textId="77777777" w:rsidTr="00883B07">
        <w:trPr>
          <w:trHeight w:val="593"/>
        </w:trPr>
        <w:tc>
          <w:tcPr>
            <w:tcW w:w="9445" w:type="dxa"/>
            <w:gridSpan w:val="2"/>
            <w:noWrap/>
          </w:tcPr>
          <w:p w14:paraId="3925DA3E" w14:textId="6DBA809B"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7C325935" w14:textId="7A38BD13" w:rsidR="00E534E8" w:rsidRPr="008C4A39" w:rsidRDefault="00E534E8">
            <w:pPr>
              <w:spacing w:after="0"/>
              <w:rPr>
                <w:szCs w:val="24"/>
              </w:rPr>
            </w:pPr>
          </w:p>
        </w:tc>
      </w:tr>
      <w:tr w:rsidR="00E534E8" w:rsidRPr="008C4A39" w14:paraId="742C33A4" w14:textId="77777777" w:rsidTr="001136D3">
        <w:trPr>
          <w:trHeight w:val="629"/>
        </w:trPr>
        <w:tc>
          <w:tcPr>
            <w:tcW w:w="2245" w:type="dxa"/>
            <w:noWrap/>
            <w:vAlign w:val="bottom"/>
          </w:tcPr>
          <w:p w14:paraId="21F3BCBE" w14:textId="6B0A0398" w:rsidR="00E534E8" w:rsidRPr="008C4A39" w:rsidRDefault="00E534E8">
            <w:pPr>
              <w:spacing w:after="0"/>
              <w:jc w:val="left"/>
              <w:rPr>
                <w:szCs w:val="24"/>
              </w:rPr>
            </w:pPr>
            <w:r w:rsidRPr="008C4A39">
              <w:rPr>
                <w:szCs w:val="24"/>
              </w:rPr>
              <w:t>FR254</w:t>
            </w:r>
          </w:p>
        </w:tc>
        <w:tc>
          <w:tcPr>
            <w:tcW w:w="7200" w:type="dxa"/>
          </w:tcPr>
          <w:p w14:paraId="1E9C7B20" w14:textId="7B86AD8F" w:rsidR="00E534E8" w:rsidRPr="008C4A39" w:rsidRDefault="00E534E8" w:rsidP="00DE1F8A">
            <w:pPr>
              <w:spacing w:after="0"/>
              <w:rPr>
                <w:szCs w:val="24"/>
              </w:rPr>
            </w:pPr>
            <w:r w:rsidRPr="008C4A39">
              <w:rPr>
                <w:szCs w:val="24"/>
              </w:rPr>
              <w:t xml:space="preserve">The solution must support various messaging formats, including </w:t>
            </w:r>
            <w:r w:rsidR="00DA4F00" w:rsidRPr="00DE1F8A">
              <w:rPr>
                <w:szCs w:val="24"/>
              </w:rPr>
              <w:t>JSON</w:t>
            </w:r>
            <w:r w:rsidR="00DA4F00">
              <w:rPr>
                <w:szCs w:val="24"/>
              </w:rPr>
              <w:t xml:space="preserve">, </w:t>
            </w:r>
            <w:r w:rsidRPr="008C4A39">
              <w:rPr>
                <w:szCs w:val="24"/>
              </w:rPr>
              <w:t xml:space="preserve">XML and </w:t>
            </w:r>
            <w:proofErr w:type="spellStart"/>
            <w:r w:rsidRPr="008C4A39">
              <w:rPr>
                <w:szCs w:val="24"/>
              </w:rPr>
              <w:t>ebXML</w:t>
            </w:r>
            <w:proofErr w:type="spellEnd"/>
            <w:r w:rsidRPr="008C4A39">
              <w:rPr>
                <w:szCs w:val="24"/>
              </w:rPr>
              <w:t>.</w:t>
            </w:r>
          </w:p>
        </w:tc>
      </w:tr>
      <w:tr w:rsidR="00E534E8" w:rsidRPr="008C4A39" w14:paraId="4A8BA11D" w14:textId="77777777" w:rsidTr="001136D3">
        <w:trPr>
          <w:trHeight w:val="404"/>
        </w:trPr>
        <w:tc>
          <w:tcPr>
            <w:tcW w:w="9445" w:type="dxa"/>
            <w:gridSpan w:val="2"/>
            <w:noWrap/>
          </w:tcPr>
          <w:p w14:paraId="724E8D32" w14:textId="589A8B1A" w:rsidR="00E534E8" w:rsidRPr="008C4A39" w:rsidRDefault="00E534E8" w:rsidP="001136D3">
            <w:pPr>
              <w:ind w:right="-360"/>
              <w:jc w:val="left"/>
              <w:rPr>
                <w:szCs w:val="24"/>
              </w:rPr>
            </w:pPr>
            <w:r w:rsidRPr="008C4A39">
              <w:rPr>
                <w:szCs w:val="24"/>
              </w:rPr>
              <w:t xml:space="preserve">Bidder’s technical reasons supporting compliance:  </w:t>
            </w:r>
          </w:p>
        </w:tc>
      </w:tr>
      <w:tr w:rsidR="00E534E8" w:rsidRPr="008C4A39" w14:paraId="05A70800" w14:textId="77777777" w:rsidTr="001136D3">
        <w:trPr>
          <w:trHeight w:val="359"/>
        </w:trPr>
        <w:tc>
          <w:tcPr>
            <w:tcW w:w="9445" w:type="dxa"/>
            <w:gridSpan w:val="2"/>
            <w:noWrap/>
          </w:tcPr>
          <w:p w14:paraId="395ED1E5" w14:textId="2BB0B193" w:rsidR="00E534E8" w:rsidRPr="008C4A39" w:rsidRDefault="00E534E8" w:rsidP="001136D3">
            <w:pPr>
              <w:ind w:right="-360"/>
              <w:jc w:val="left"/>
              <w:rPr>
                <w:szCs w:val="24"/>
              </w:rPr>
            </w:pPr>
            <w:r w:rsidRPr="008C4A39">
              <w:rPr>
                <w:szCs w:val="24"/>
              </w:rPr>
              <w:t>Bidder’s cross references to supporting information in Technical Bid:</w:t>
            </w:r>
          </w:p>
        </w:tc>
      </w:tr>
      <w:tr w:rsidR="00E534E8" w:rsidRPr="008C4A39" w14:paraId="6A03E870" w14:textId="77777777" w:rsidTr="001136D3">
        <w:trPr>
          <w:trHeight w:val="1020"/>
        </w:trPr>
        <w:tc>
          <w:tcPr>
            <w:tcW w:w="2245" w:type="dxa"/>
            <w:noWrap/>
            <w:vAlign w:val="bottom"/>
          </w:tcPr>
          <w:p w14:paraId="73EA9840" w14:textId="6F131618" w:rsidR="00E534E8" w:rsidRPr="008C4A39" w:rsidRDefault="00E534E8" w:rsidP="00E534E8">
            <w:pPr>
              <w:spacing w:after="0"/>
              <w:jc w:val="left"/>
              <w:rPr>
                <w:szCs w:val="24"/>
              </w:rPr>
            </w:pPr>
            <w:r w:rsidRPr="008C4A39">
              <w:rPr>
                <w:szCs w:val="24"/>
              </w:rPr>
              <w:t>FR255</w:t>
            </w:r>
          </w:p>
        </w:tc>
        <w:tc>
          <w:tcPr>
            <w:tcW w:w="7200" w:type="dxa"/>
          </w:tcPr>
          <w:p w14:paraId="09DFCE8F" w14:textId="76BA95D5" w:rsidR="00E534E8" w:rsidRPr="008C4A39" w:rsidRDefault="00E534E8" w:rsidP="00E534E8">
            <w:pPr>
              <w:spacing w:after="0"/>
              <w:rPr>
                <w:szCs w:val="24"/>
              </w:rPr>
            </w:pPr>
            <w:r w:rsidRPr="008C4A39">
              <w:rPr>
                <w:szCs w:val="24"/>
              </w:rPr>
              <w:t>Logging shall be supported on both transmission and message levels. Any information within the transmission shall be logged and the log must be searchable. It shall also be possible to search and find related messages. Logging entries shall be stored for a configurable amount of time.</w:t>
            </w:r>
          </w:p>
        </w:tc>
      </w:tr>
      <w:tr w:rsidR="00E534E8" w:rsidRPr="008C4A39" w14:paraId="78C6902C" w14:textId="77777777" w:rsidTr="001136D3">
        <w:trPr>
          <w:trHeight w:val="368"/>
        </w:trPr>
        <w:tc>
          <w:tcPr>
            <w:tcW w:w="9445" w:type="dxa"/>
            <w:gridSpan w:val="2"/>
            <w:noWrap/>
          </w:tcPr>
          <w:p w14:paraId="14ED9054" w14:textId="4A44AE61" w:rsidR="00E534E8" w:rsidRPr="008C4A39"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7EAC82F1" w14:textId="77777777" w:rsidTr="001136D3">
        <w:trPr>
          <w:trHeight w:val="431"/>
        </w:trPr>
        <w:tc>
          <w:tcPr>
            <w:tcW w:w="9445" w:type="dxa"/>
            <w:gridSpan w:val="2"/>
            <w:noWrap/>
          </w:tcPr>
          <w:p w14:paraId="35EDCBB4" w14:textId="16464073" w:rsidR="00E534E8" w:rsidRPr="008C4A39"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4BA10521" w14:textId="77777777" w:rsidTr="001136D3">
        <w:trPr>
          <w:trHeight w:val="575"/>
        </w:trPr>
        <w:tc>
          <w:tcPr>
            <w:tcW w:w="2245" w:type="dxa"/>
            <w:noWrap/>
            <w:vAlign w:val="bottom"/>
          </w:tcPr>
          <w:p w14:paraId="3B284D7D" w14:textId="4DCACBA1" w:rsidR="00E534E8" w:rsidRPr="008C4A39" w:rsidRDefault="00E534E8" w:rsidP="00E534E8">
            <w:pPr>
              <w:spacing w:after="0"/>
              <w:jc w:val="left"/>
              <w:rPr>
                <w:szCs w:val="24"/>
              </w:rPr>
            </w:pPr>
            <w:r w:rsidRPr="008C4A39">
              <w:rPr>
                <w:szCs w:val="24"/>
              </w:rPr>
              <w:t>FR256</w:t>
            </w:r>
          </w:p>
        </w:tc>
        <w:tc>
          <w:tcPr>
            <w:tcW w:w="7200" w:type="dxa"/>
          </w:tcPr>
          <w:p w14:paraId="14318AA8" w14:textId="59F60280" w:rsidR="00E534E8" w:rsidRPr="008C4A39" w:rsidRDefault="00E534E8" w:rsidP="00E534E8">
            <w:pPr>
              <w:spacing w:after="0"/>
              <w:rPr>
                <w:szCs w:val="24"/>
              </w:rPr>
            </w:pPr>
            <w:r w:rsidRPr="008C4A39">
              <w:rPr>
                <w:szCs w:val="24"/>
              </w:rPr>
              <w:t xml:space="preserve">The gateway forwards a received message to the appropriate backend system for storage and processing. </w:t>
            </w:r>
          </w:p>
        </w:tc>
      </w:tr>
      <w:tr w:rsidR="00E534E8" w:rsidRPr="008C4A39" w14:paraId="36DCCF3D" w14:textId="77777777" w:rsidTr="001136D3">
        <w:trPr>
          <w:trHeight w:val="395"/>
        </w:trPr>
        <w:tc>
          <w:tcPr>
            <w:tcW w:w="9445" w:type="dxa"/>
            <w:gridSpan w:val="2"/>
            <w:noWrap/>
          </w:tcPr>
          <w:p w14:paraId="7B4EA25E" w14:textId="05F31840" w:rsidR="00E534E8" w:rsidRPr="008C4A39" w:rsidRDefault="00E534E8" w:rsidP="001136D3">
            <w:pPr>
              <w:spacing w:after="0"/>
              <w:ind w:right="-360"/>
              <w:jc w:val="left"/>
              <w:rPr>
                <w:szCs w:val="24"/>
              </w:rPr>
            </w:pPr>
            <w:r w:rsidRPr="008C4A39">
              <w:rPr>
                <w:szCs w:val="24"/>
              </w:rPr>
              <w:t xml:space="preserve">Bidder’s technical reasons supporting compliance:  </w:t>
            </w:r>
          </w:p>
          <w:p w14:paraId="12B7F91F" w14:textId="32FF447C" w:rsidR="00E534E8" w:rsidRPr="008C4A39" w:rsidRDefault="00E534E8">
            <w:pPr>
              <w:spacing w:after="0"/>
              <w:rPr>
                <w:szCs w:val="24"/>
              </w:rPr>
            </w:pPr>
          </w:p>
        </w:tc>
      </w:tr>
      <w:tr w:rsidR="00E534E8" w:rsidRPr="008C4A39" w14:paraId="19F62C59" w14:textId="77777777" w:rsidTr="00883B07">
        <w:trPr>
          <w:trHeight w:val="575"/>
        </w:trPr>
        <w:tc>
          <w:tcPr>
            <w:tcW w:w="9445" w:type="dxa"/>
            <w:gridSpan w:val="2"/>
            <w:noWrap/>
          </w:tcPr>
          <w:p w14:paraId="50071ABF" w14:textId="62AD721A"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3B99E515" w14:textId="115AC7BE" w:rsidR="00E534E8" w:rsidRPr="008C4A39" w:rsidRDefault="00E534E8">
            <w:pPr>
              <w:spacing w:after="0"/>
              <w:rPr>
                <w:szCs w:val="24"/>
              </w:rPr>
            </w:pPr>
          </w:p>
        </w:tc>
      </w:tr>
      <w:tr w:rsidR="00E534E8" w:rsidRPr="008C4A39" w14:paraId="0B5CB2CC" w14:textId="77777777" w:rsidTr="001136D3">
        <w:trPr>
          <w:trHeight w:val="530"/>
        </w:trPr>
        <w:tc>
          <w:tcPr>
            <w:tcW w:w="2245" w:type="dxa"/>
            <w:noWrap/>
            <w:vAlign w:val="bottom"/>
          </w:tcPr>
          <w:p w14:paraId="14102462" w14:textId="76D62BC9" w:rsidR="00E534E8" w:rsidRPr="008C4A39" w:rsidRDefault="00E534E8" w:rsidP="00E534E8">
            <w:pPr>
              <w:spacing w:after="0"/>
              <w:jc w:val="left"/>
              <w:rPr>
                <w:szCs w:val="24"/>
              </w:rPr>
            </w:pPr>
            <w:r w:rsidRPr="008C4A39">
              <w:rPr>
                <w:szCs w:val="24"/>
              </w:rPr>
              <w:t>FR257</w:t>
            </w:r>
          </w:p>
        </w:tc>
        <w:tc>
          <w:tcPr>
            <w:tcW w:w="7200" w:type="dxa"/>
          </w:tcPr>
          <w:p w14:paraId="4A50731B" w14:textId="5DA750DE" w:rsidR="00E534E8" w:rsidRPr="008C4A39" w:rsidRDefault="00E534E8" w:rsidP="00E534E8">
            <w:pPr>
              <w:spacing w:after="0"/>
              <w:rPr>
                <w:szCs w:val="24"/>
              </w:rPr>
            </w:pPr>
            <w:r w:rsidRPr="008C4A39">
              <w:rPr>
                <w:szCs w:val="24"/>
              </w:rPr>
              <w:t>Transforming messages from different formats is required by the gateway. The solution shall support any-to-any format transformation.</w:t>
            </w:r>
          </w:p>
        </w:tc>
      </w:tr>
      <w:tr w:rsidR="00E534E8" w:rsidRPr="008C4A39" w14:paraId="1921FB8C" w14:textId="77777777" w:rsidTr="00883B07">
        <w:trPr>
          <w:trHeight w:val="530"/>
        </w:trPr>
        <w:tc>
          <w:tcPr>
            <w:tcW w:w="9445" w:type="dxa"/>
            <w:gridSpan w:val="2"/>
            <w:noWrap/>
          </w:tcPr>
          <w:p w14:paraId="7E43E35E" w14:textId="7FB1A8D8" w:rsidR="00E534E8" w:rsidRPr="008C4A39" w:rsidRDefault="00E534E8" w:rsidP="00E534E8">
            <w:pPr>
              <w:ind w:right="-360"/>
              <w:jc w:val="left"/>
              <w:rPr>
                <w:szCs w:val="24"/>
              </w:rPr>
            </w:pPr>
            <w:r w:rsidRPr="008C4A39">
              <w:rPr>
                <w:szCs w:val="24"/>
              </w:rPr>
              <w:lastRenderedPageBreak/>
              <w:t xml:space="preserve">Bidder’s technical reasons supporting compliance:  </w:t>
            </w:r>
          </w:p>
          <w:p w14:paraId="0D76943F" w14:textId="2F5F8D04" w:rsidR="00E534E8" w:rsidRPr="008C4A39" w:rsidRDefault="00E534E8" w:rsidP="00E534E8">
            <w:pPr>
              <w:spacing w:after="0"/>
              <w:rPr>
                <w:szCs w:val="24"/>
              </w:rPr>
            </w:pPr>
          </w:p>
        </w:tc>
      </w:tr>
      <w:tr w:rsidR="00E534E8" w:rsidRPr="008C4A39" w14:paraId="7E56A152" w14:textId="77777777" w:rsidTr="00883B07">
        <w:trPr>
          <w:trHeight w:val="530"/>
        </w:trPr>
        <w:tc>
          <w:tcPr>
            <w:tcW w:w="9445" w:type="dxa"/>
            <w:gridSpan w:val="2"/>
            <w:noWrap/>
          </w:tcPr>
          <w:p w14:paraId="47BBE859" w14:textId="10B29DE1"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0ECD8AE8" w14:textId="58DF7C5B" w:rsidR="00E534E8" w:rsidRPr="008C4A39" w:rsidRDefault="00E534E8">
            <w:pPr>
              <w:spacing w:after="0"/>
              <w:rPr>
                <w:szCs w:val="24"/>
              </w:rPr>
            </w:pPr>
          </w:p>
        </w:tc>
      </w:tr>
      <w:tr w:rsidR="00E534E8" w:rsidRPr="008C4A39" w14:paraId="160250BE" w14:textId="77777777" w:rsidTr="001136D3">
        <w:trPr>
          <w:trHeight w:val="800"/>
        </w:trPr>
        <w:tc>
          <w:tcPr>
            <w:tcW w:w="2245" w:type="dxa"/>
            <w:noWrap/>
            <w:vAlign w:val="bottom"/>
          </w:tcPr>
          <w:p w14:paraId="5C77CC16" w14:textId="11A09777" w:rsidR="00E534E8" w:rsidRPr="008C4A39" w:rsidRDefault="00E534E8">
            <w:pPr>
              <w:spacing w:after="0"/>
              <w:jc w:val="left"/>
              <w:rPr>
                <w:szCs w:val="24"/>
              </w:rPr>
            </w:pPr>
            <w:r w:rsidRPr="008C4A39">
              <w:rPr>
                <w:szCs w:val="24"/>
              </w:rPr>
              <w:t>FR258</w:t>
            </w:r>
          </w:p>
        </w:tc>
        <w:tc>
          <w:tcPr>
            <w:tcW w:w="7200" w:type="dxa"/>
          </w:tcPr>
          <w:p w14:paraId="7ADD4739" w14:textId="6597F50B" w:rsidR="00E534E8" w:rsidRPr="008C4A39" w:rsidRDefault="00E534E8">
            <w:pPr>
              <w:spacing w:after="0"/>
              <w:rPr>
                <w:szCs w:val="24"/>
              </w:rPr>
            </w:pPr>
            <w:r w:rsidRPr="008C4A39">
              <w:rPr>
                <w:szCs w:val="24"/>
              </w:rPr>
              <w:t xml:space="preserve">Transmission and messages shall be archived and </w:t>
            </w:r>
            <w:proofErr w:type="gramStart"/>
            <w:r w:rsidRPr="008C4A39">
              <w:rPr>
                <w:szCs w:val="24"/>
              </w:rPr>
              <w:t>possible</w:t>
            </w:r>
            <w:proofErr w:type="gramEnd"/>
            <w:r w:rsidRPr="008C4A39">
              <w:rPr>
                <w:szCs w:val="24"/>
              </w:rPr>
              <w:t xml:space="preserve"> to be recreated and read at a later stage. The storage should store messages for at least three years.</w:t>
            </w:r>
          </w:p>
        </w:tc>
      </w:tr>
      <w:tr w:rsidR="00E534E8" w:rsidRPr="008C4A39" w14:paraId="4B5D2717" w14:textId="77777777" w:rsidTr="00883B07">
        <w:trPr>
          <w:trHeight w:val="800"/>
        </w:trPr>
        <w:tc>
          <w:tcPr>
            <w:tcW w:w="9445" w:type="dxa"/>
            <w:gridSpan w:val="2"/>
            <w:noWrap/>
          </w:tcPr>
          <w:p w14:paraId="71E04663" w14:textId="26A6BC71" w:rsidR="00E534E8" w:rsidRPr="008C4A39" w:rsidRDefault="00E534E8" w:rsidP="001136D3">
            <w:pPr>
              <w:spacing w:after="0"/>
              <w:ind w:right="-360"/>
              <w:jc w:val="left"/>
              <w:rPr>
                <w:szCs w:val="24"/>
              </w:rPr>
            </w:pPr>
            <w:r w:rsidRPr="008C4A39">
              <w:rPr>
                <w:szCs w:val="24"/>
              </w:rPr>
              <w:t xml:space="preserve">Bidder’s technical reasons supporting compliance:  </w:t>
            </w:r>
          </w:p>
          <w:p w14:paraId="43F93B1A" w14:textId="22796865" w:rsidR="00E534E8" w:rsidRPr="008C4A39" w:rsidRDefault="00E534E8">
            <w:pPr>
              <w:spacing w:after="0"/>
              <w:rPr>
                <w:szCs w:val="24"/>
              </w:rPr>
            </w:pPr>
          </w:p>
        </w:tc>
      </w:tr>
      <w:tr w:rsidR="00E534E8" w:rsidRPr="008C4A39" w14:paraId="70B5178F" w14:textId="77777777" w:rsidTr="00883B07">
        <w:trPr>
          <w:trHeight w:val="800"/>
        </w:trPr>
        <w:tc>
          <w:tcPr>
            <w:tcW w:w="9445" w:type="dxa"/>
            <w:gridSpan w:val="2"/>
            <w:noWrap/>
          </w:tcPr>
          <w:p w14:paraId="683913AF" w14:textId="33E60BF3" w:rsidR="00E534E8" w:rsidRPr="008C4A39" w:rsidRDefault="00E534E8" w:rsidP="001136D3">
            <w:pPr>
              <w:spacing w:after="0"/>
              <w:ind w:right="-360"/>
              <w:jc w:val="left"/>
              <w:rPr>
                <w:szCs w:val="24"/>
              </w:rPr>
            </w:pPr>
            <w:r w:rsidRPr="008C4A39">
              <w:rPr>
                <w:szCs w:val="24"/>
              </w:rPr>
              <w:t>Bidder’s cross references to supporting information in Technical Bid:</w:t>
            </w:r>
          </w:p>
        </w:tc>
      </w:tr>
      <w:tr w:rsidR="00E534E8" w:rsidRPr="008C4A39" w14:paraId="2634EAC6" w14:textId="77777777" w:rsidTr="001136D3">
        <w:trPr>
          <w:trHeight w:val="611"/>
        </w:trPr>
        <w:tc>
          <w:tcPr>
            <w:tcW w:w="2245" w:type="dxa"/>
            <w:noWrap/>
            <w:vAlign w:val="bottom"/>
          </w:tcPr>
          <w:p w14:paraId="49F9302A" w14:textId="429CC046" w:rsidR="00E534E8" w:rsidRPr="008C4A39" w:rsidRDefault="00E534E8">
            <w:pPr>
              <w:spacing w:after="0"/>
              <w:jc w:val="left"/>
              <w:rPr>
                <w:szCs w:val="24"/>
              </w:rPr>
            </w:pPr>
            <w:r w:rsidRPr="008C4A39">
              <w:rPr>
                <w:szCs w:val="24"/>
              </w:rPr>
              <w:t>FR400</w:t>
            </w:r>
          </w:p>
        </w:tc>
        <w:tc>
          <w:tcPr>
            <w:tcW w:w="7200" w:type="dxa"/>
          </w:tcPr>
          <w:p w14:paraId="77B99924" w14:textId="7C32C42C" w:rsidR="00E534E8" w:rsidRPr="008C4A39" w:rsidRDefault="00E534E8">
            <w:pPr>
              <w:spacing w:after="0"/>
              <w:rPr>
                <w:szCs w:val="24"/>
              </w:rPr>
            </w:pPr>
            <w:r w:rsidRPr="008C4A39">
              <w:rPr>
                <w:szCs w:val="24"/>
              </w:rPr>
              <w:t>Any communication between customs systems (including EU CERTEX) and the NSW, the data should be transformed, using the transformation rules.</w:t>
            </w:r>
          </w:p>
        </w:tc>
      </w:tr>
      <w:tr w:rsidR="00E534E8" w:rsidRPr="008C4A39" w14:paraId="77618508" w14:textId="77777777" w:rsidTr="00883B07">
        <w:trPr>
          <w:trHeight w:val="611"/>
        </w:trPr>
        <w:tc>
          <w:tcPr>
            <w:tcW w:w="9445" w:type="dxa"/>
            <w:gridSpan w:val="2"/>
            <w:noWrap/>
          </w:tcPr>
          <w:p w14:paraId="571F6899" w14:textId="2DFA73A1" w:rsidR="00E534E8" w:rsidRPr="008C4A39" w:rsidRDefault="00E534E8" w:rsidP="001136D3">
            <w:pPr>
              <w:spacing w:after="0"/>
              <w:ind w:right="-360"/>
              <w:jc w:val="left"/>
              <w:rPr>
                <w:szCs w:val="24"/>
              </w:rPr>
            </w:pPr>
            <w:r w:rsidRPr="008C4A39">
              <w:rPr>
                <w:szCs w:val="24"/>
              </w:rPr>
              <w:t xml:space="preserve">Bidder’s technical reasons supporting compliance:  </w:t>
            </w:r>
          </w:p>
          <w:p w14:paraId="6AFC9809" w14:textId="719CF89C" w:rsidR="00E534E8" w:rsidRPr="008C4A39" w:rsidRDefault="00E534E8">
            <w:pPr>
              <w:spacing w:after="0"/>
              <w:rPr>
                <w:szCs w:val="24"/>
              </w:rPr>
            </w:pPr>
          </w:p>
        </w:tc>
      </w:tr>
      <w:tr w:rsidR="00E534E8" w:rsidRPr="008C4A39" w14:paraId="4243E324" w14:textId="77777777" w:rsidTr="00883B07">
        <w:trPr>
          <w:trHeight w:val="611"/>
        </w:trPr>
        <w:tc>
          <w:tcPr>
            <w:tcW w:w="9445" w:type="dxa"/>
            <w:gridSpan w:val="2"/>
            <w:noWrap/>
          </w:tcPr>
          <w:p w14:paraId="7339762B" w14:textId="5BE815E6" w:rsidR="00E534E8" w:rsidRPr="008C4A39" w:rsidRDefault="00E534E8" w:rsidP="001136D3">
            <w:pPr>
              <w:spacing w:after="0"/>
              <w:ind w:right="-360"/>
              <w:jc w:val="left"/>
              <w:rPr>
                <w:szCs w:val="24"/>
              </w:rPr>
            </w:pPr>
            <w:r w:rsidRPr="008C4A39">
              <w:rPr>
                <w:szCs w:val="24"/>
              </w:rPr>
              <w:t>Bidder’s cross references to supporting information in Technical Bid:</w:t>
            </w:r>
          </w:p>
          <w:p w14:paraId="7E774FF8" w14:textId="5A4D2097" w:rsidR="00E534E8" w:rsidRPr="008C4A39" w:rsidRDefault="00E534E8">
            <w:pPr>
              <w:spacing w:after="0"/>
              <w:rPr>
                <w:szCs w:val="24"/>
              </w:rPr>
            </w:pPr>
          </w:p>
        </w:tc>
      </w:tr>
      <w:tr w:rsidR="00E534E8" w:rsidRPr="008C4A39" w14:paraId="0B8EC7CB" w14:textId="77777777" w:rsidTr="001136D3">
        <w:trPr>
          <w:trHeight w:val="611"/>
        </w:trPr>
        <w:tc>
          <w:tcPr>
            <w:tcW w:w="2245" w:type="dxa"/>
            <w:noWrap/>
            <w:vAlign w:val="bottom"/>
          </w:tcPr>
          <w:p w14:paraId="416DB445" w14:textId="7F8CDED2" w:rsidR="00E534E8" w:rsidRPr="008C4A39" w:rsidRDefault="00E534E8">
            <w:pPr>
              <w:spacing w:after="0"/>
              <w:jc w:val="left"/>
              <w:rPr>
                <w:szCs w:val="24"/>
              </w:rPr>
            </w:pPr>
            <w:r w:rsidRPr="008C4A39">
              <w:rPr>
                <w:szCs w:val="24"/>
              </w:rPr>
              <w:t>FR401</w:t>
            </w:r>
          </w:p>
        </w:tc>
        <w:tc>
          <w:tcPr>
            <w:tcW w:w="7200" w:type="dxa"/>
          </w:tcPr>
          <w:p w14:paraId="28A98CE4" w14:textId="19C04111" w:rsidR="00E534E8" w:rsidRPr="008C4A39" w:rsidRDefault="00E534E8">
            <w:pPr>
              <w:spacing w:after="0"/>
              <w:rPr>
                <w:szCs w:val="24"/>
              </w:rPr>
            </w:pPr>
            <w:r w:rsidRPr="008C4A39">
              <w:rPr>
                <w:szCs w:val="24"/>
              </w:rPr>
              <w:t>Messages received from all systems should be technically validated. If technically valid, it should be further processed. If not, generic error should be responded to that system. The error codes should be used from the MS-CERTEX Integration Guide (these are to be used for CERTEX too).</w:t>
            </w:r>
          </w:p>
        </w:tc>
      </w:tr>
      <w:tr w:rsidR="00E534E8" w:rsidRPr="008C4A39" w14:paraId="197633B3" w14:textId="77777777" w:rsidTr="00883B07">
        <w:trPr>
          <w:trHeight w:val="611"/>
        </w:trPr>
        <w:tc>
          <w:tcPr>
            <w:tcW w:w="9445" w:type="dxa"/>
            <w:gridSpan w:val="2"/>
            <w:noWrap/>
          </w:tcPr>
          <w:p w14:paraId="5824DE6F" w14:textId="0A109BB6" w:rsidR="00E534E8" w:rsidRPr="008C4A39" w:rsidRDefault="00E534E8" w:rsidP="001136D3">
            <w:pPr>
              <w:spacing w:after="0"/>
              <w:ind w:right="-360"/>
              <w:jc w:val="left"/>
              <w:rPr>
                <w:szCs w:val="24"/>
              </w:rPr>
            </w:pPr>
            <w:r w:rsidRPr="008C4A39">
              <w:rPr>
                <w:szCs w:val="24"/>
              </w:rPr>
              <w:t xml:space="preserve">Bidder’s technical reasons supporting compliance:  </w:t>
            </w:r>
          </w:p>
        </w:tc>
      </w:tr>
      <w:tr w:rsidR="00E534E8" w:rsidRPr="008C4A39" w14:paraId="448C05DE" w14:textId="77777777" w:rsidTr="00883B07">
        <w:trPr>
          <w:trHeight w:val="611"/>
        </w:trPr>
        <w:tc>
          <w:tcPr>
            <w:tcW w:w="9445" w:type="dxa"/>
            <w:gridSpan w:val="2"/>
            <w:noWrap/>
          </w:tcPr>
          <w:p w14:paraId="26812C44" w14:textId="0BD51BFC" w:rsidR="00E534E8" w:rsidRPr="008C4A39" w:rsidRDefault="00E534E8" w:rsidP="001136D3">
            <w:pPr>
              <w:spacing w:after="0"/>
              <w:ind w:right="-360"/>
              <w:jc w:val="left"/>
              <w:rPr>
                <w:szCs w:val="24"/>
              </w:rPr>
            </w:pPr>
            <w:r w:rsidRPr="008C4A39">
              <w:rPr>
                <w:szCs w:val="24"/>
              </w:rPr>
              <w:t>Bidder’s cross references to supporting information in Technical Bid:</w:t>
            </w:r>
          </w:p>
        </w:tc>
      </w:tr>
    </w:tbl>
    <w:tbl>
      <w:tblPr>
        <w:tblStyle w:val="TableGrid"/>
        <w:tblW w:w="9445" w:type="dxa"/>
        <w:tblLook w:val="04A0" w:firstRow="1" w:lastRow="0" w:firstColumn="1" w:lastColumn="0" w:noHBand="0" w:noVBand="1"/>
      </w:tblPr>
      <w:tblGrid>
        <w:gridCol w:w="2785"/>
        <w:gridCol w:w="6660"/>
      </w:tblGrid>
      <w:tr w:rsidR="00366663" w:rsidRPr="008C4A39" w14:paraId="4CF29D96" w14:textId="77777777" w:rsidTr="00883B07">
        <w:tc>
          <w:tcPr>
            <w:tcW w:w="2785" w:type="dxa"/>
            <w:shd w:val="clear" w:color="auto" w:fill="D9D9D9" w:themeFill="background1" w:themeFillShade="D9"/>
          </w:tcPr>
          <w:p w14:paraId="14D1BEF6" w14:textId="77777777" w:rsidR="00366663" w:rsidRPr="008C4A39" w:rsidRDefault="00366663" w:rsidP="00883B07">
            <w:pPr>
              <w:jc w:val="left"/>
              <w:rPr>
                <w:b/>
                <w:szCs w:val="24"/>
              </w:rPr>
            </w:pPr>
            <w:r w:rsidRPr="008C4A39">
              <w:rPr>
                <w:b/>
                <w:szCs w:val="24"/>
              </w:rPr>
              <w:t>Tech. Req. Number</w:t>
            </w:r>
          </w:p>
        </w:tc>
        <w:tc>
          <w:tcPr>
            <w:tcW w:w="6660" w:type="dxa"/>
            <w:shd w:val="clear" w:color="auto" w:fill="D9D9D9" w:themeFill="background1" w:themeFillShade="D9"/>
          </w:tcPr>
          <w:p w14:paraId="4D97A06F" w14:textId="77777777" w:rsidR="00366663" w:rsidRPr="008C4A39" w:rsidRDefault="00366663" w:rsidP="00883B07">
            <w:pPr>
              <w:jc w:val="left"/>
              <w:rPr>
                <w:b/>
                <w:szCs w:val="24"/>
              </w:rPr>
            </w:pPr>
            <w:r w:rsidRPr="008C4A39">
              <w:rPr>
                <w:b/>
                <w:szCs w:val="24"/>
              </w:rPr>
              <w:t>Technical Requirement</w:t>
            </w:r>
          </w:p>
        </w:tc>
      </w:tr>
      <w:tr w:rsidR="00366663" w:rsidRPr="008C4A39" w14:paraId="622C07C5" w14:textId="77777777" w:rsidTr="00883B07">
        <w:tc>
          <w:tcPr>
            <w:tcW w:w="9445" w:type="dxa"/>
            <w:gridSpan w:val="2"/>
          </w:tcPr>
          <w:p w14:paraId="1294667A" w14:textId="77777777" w:rsidR="00366663" w:rsidRPr="008C4A39" w:rsidRDefault="00366663" w:rsidP="00883B07">
            <w:pPr>
              <w:rPr>
                <w:b/>
                <w:i/>
                <w:szCs w:val="24"/>
              </w:rPr>
            </w:pPr>
            <w:r w:rsidRPr="008C4A39">
              <w:rPr>
                <w:b/>
                <w:szCs w:val="24"/>
              </w:rPr>
              <w:t xml:space="preserve">1.2.3.1.5. </w:t>
            </w:r>
            <w:r w:rsidRPr="008C4A39">
              <w:rPr>
                <w:b/>
                <w:i/>
                <w:szCs w:val="24"/>
              </w:rPr>
              <w:t xml:space="preserve">Publish the Applicable Procedures, Documents, </w:t>
            </w:r>
            <w:proofErr w:type="gramStart"/>
            <w:r w:rsidRPr="008C4A39">
              <w:rPr>
                <w:b/>
                <w:i/>
                <w:szCs w:val="24"/>
              </w:rPr>
              <w:t>Fees</w:t>
            </w:r>
            <w:proofErr w:type="gramEnd"/>
            <w:r w:rsidRPr="008C4A39">
              <w:rPr>
                <w:b/>
                <w:i/>
                <w:szCs w:val="24"/>
              </w:rPr>
              <w:t xml:space="preserve"> and Charges</w:t>
            </w:r>
          </w:p>
        </w:tc>
      </w:tr>
      <w:tr w:rsidR="00366663" w:rsidRPr="008C4A39" w14:paraId="72C8571B" w14:textId="77777777" w:rsidTr="00883B07">
        <w:tc>
          <w:tcPr>
            <w:tcW w:w="2785" w:type="dxa"/>
          </w:tcPr>
          <w:p w14:paraId="4E330C46" w14:textId="5DBFF754" w:rsidR="00366663" w:rsidRPr="00660624" w:rsidRDefault="00660624" w:rsidP="00883B07">
            <w:pPr>
              <w:jc w:val="left"/>
              <w:rPr>
                <w:szCs w:val="24"/>
                <w:lang w:val="mk-MK"/>
              </w:rPr>
            </w:pPr>
            <w:r>
              <w:rPr>
                <w:szCs w:val="24"/>
              </w:rPr>
              <w:t>FR5</w:t>
            </w:r>
            <w:r>
              <w:rPr>
                <w:szCs w:val="24"/>
                <w:lang w:val="mk-MK"/>
              </w:rPr>
              <w:t>89</w:t>
            </w:r>
          </w:p>
        </w:tc>
        <w:tc>
          <w:tcPr>
            <w:tcW w:w="6660" w:type="dxa"/>
          </w:tcPr>
          <w:p w14:paraId="176AAF00" w14:textId="77777777" w:rsidR="00366663" w:rsidRPr="008C4A39" w:rsidRDefault="00366663" w:rsidP="00883B07">
            <w:pPr>
              <w:pStyle w:val="NormalWeb"/>
              <w:spacing w:before="0" w:beforeAutospacing="0" w:after="0" w:afterAutospacing="0"/>
              <w:rPr>
                <w:rFonts w:ascii="Times New Roman" w:hAnsi="Times New Roman" w:cs="Times New Roman"/>
              </w:rPr>
            </w:pPr>
            <w:r w:rsidRPr="008C4A39">
              <w:rPr>
                <w:rFonts w:ascii="Times New Roman" w:hAnsi="Times New Roman" w:cs="Times New Roman"/>
              </w:rPr>
              <w:t xml:space="preserve">The system must be able to register and process and store information it has received. </w:t>
            </w:r>
          </w:p>
        </w:tc>
      </w:tr>
      <w:tr w:rsidR="00366663" w:rsidRPr="008C4A39" w14:paraId="35E178FF" w14:textId="77777777" w:rsidTr="00883B07">
        <w:tc>
          <w:tcPr>
            <w:tcW w:w="9445" w:type="dxa"/>
            <w:gridSpan w:val="2"/>
          </w:tcPr>
          <w:p w14:paraId="6931C863" w14:textId="5462313C" w:rsidR="00366663" w:rsidRPr="006944F1" w:rsidRDefault="00366663" w:rsidP="005E0FA9">
            <w:pPr>
              <w:ind w:right="-360"/>
              <w:jc w:val="left"/>
            </w:pPr>
            <w:r w:rsidRPr="008C4A39">
              <w:rPr>
                <w:szCs w:val="24"/>
              </w:rPr>
              <w:t xml:space="preserve">Bidder’s technical reasons supporting compliance:  </w:t>
            </w:r>
          </w:p>
        </w:tc>
      </w:tr>
      <w:tr w:rsidR="00366663" w:rsidRPr="008C4A39" w14:paraId="2C05AC73" w14:textId="77777777" w:rsidTr="00883B07">
        <w:tc>
          <w:tcPr>
            <w:tcW w:w="9445" w:type="dxa"/>
            <w:gridSpan w:val="2"/>
          </w:tcPr>
          <w:p w14:paraId="5E20D12E" w14:textId="3DC00615" w:rsidR="00366663" w:rsidRPr="006944F1" w:rsidRDefault="00366663" w:rsidP="005E0FA9">
            <w:pPr>
              <w:ind w:right="-360"/>
              <w:jc w:val="left"/>
            </w:pPr>
            <w:r w:rsidRPr="008C4A39">
              <w:rPr>
                <w:szCs w:val="24"/>
              </w:rPr>
              <w:t>Bidder’s cross references to supporting information in Technical Bid:</w:t>
            </w:r>
          </w:p>
        </w:tc>
      </w:tr>
      <w:tr w:rsidR="00366663" w:rsidRPr="008C4A39" w14:paraId="491A7FDD" w14:textId="77777777" w:rsidTr="00883B07">
        <w:tc>
          <w:tcPr>
            <w:tcW w:w="2785" w:type="dxa"/>
          </w:tcPr>
          <w:p w14:paraId="70B59057" w14:textId="1F602FD7" w:rsidR="00366663" w:rsidRPr="008C4A39" w:rsidRDefault="00660624" w:rsidP="00883B07">
            <w:pPr>
              <w:jc w:val="left"/>
              <w:rPr>
                <w:szCs w:val="24"/>
              </w:rPr>
            </w:pPr>
            <w:r>
              <w:rPr>
                <w:szCs w:val="24"/>
              </w:rPr>
              <w:t>FR5</w:t>
            </w:r>
            <w:r>
              <w:rPr>
                <w:szCs w:val="24"/>
                <w:lang w:val="mk-MK"/>
              </w:rPr>
              <w:t>90</w:t>
            </w:r>
          </w:p>
        </w:tc>
        <w:tc>
          <w:tcPr>
            <w:tcW w:w="6660" w:type="dxa"/>
          </w:tcPr>
          <w:p w14:paraId="006F4E46" w14:textId="77777777" w:rsidR="00366663" w:rsidRPr="008C4A39" w:rsidRDefault="00366663" w:rsidP="00883B07">
            <w:pPr>
              <w:pStyle w:val="NormalWeb"/>
              <w:spacing w:before="0" w:beforeAutospacing="0" w:after="0" w:afterAutospacing="0"/>
              <w:rPr>
                <w:rFonts w:ascii="Times New Roman" w:hAnsi="Times New Roman" w:cs="Times New Roman"/>
              </w:rPr>
            </w:pPr>
            <w:r w:rsidRPr="008C4A39">
              <w:rPr>
                <w:rFonts w:ascii="Times New Roman" w:hAnsi="Times New Roman" w:cs="Times New Roman"/>
              </w:rPr>
              <w:t xml:space="preserve">The system must be able to process the details of the information, store the data, compare with existing </w:t>
            </w:r>
            <w:proofErr w:type="gramStart"/>
            <w:r w:rsidRPr="008C4A39">
              <w:rPr>
                <w:rFonts w:ascii="Times New Roman" w:hAnsi="Times New Roman" w:cs="Times New Roman"/>
              </w:rPr>
              <w:t>fields</w:t>
            </w:r>
            <w:proofErr w:type="gramEnd"/>
            <w:r w:rsidRPr="008C4A39">
              <w:rPr>
                <w:rFonts w:ascii="Times New Roman" w:hAnsi="Times New Roman" w:cs="Times New Roman"/>
              </w:rPr>
              <w:t xml:space="preserve"> and update the separate data elements. </w:t>
            </w:r>
          </w:p>
        </w:tc>
      </w:tr>
      <w:tr w:rsidR="00366663" w:rsidRPr="008C4A39" w14:paraId="5A017749" w14:textId="77777777" w:rsidTr="00883B07">
        <w:tc>
          <w:tcPr>
            <w:tcW w:w="9445" w:type="dxa"/>
            <w:gridSpan w:val="2"/>
          </w:tcPr>
          <w:p w14:paraId="027EEAC7" w14:textId="13A49D6D" w:rsidR="00366663" w:rsidRPr="006944F1" w:rsidRDefault="00366663" w:rsidP="005E0FA9">
            <w:pPr>
              <w:ind w:right="-360"/>
              <w:jc w:val="left"/>
            </w:pPr>
            <w:r w:rsidRPr="008C4A39">
              <w:rPr>
                <w:szCs w:val="24"/>
              </w:rPr>
              <w:t xml:space="preserve">Bidder’s technical reasons supporting compliance:  </w:t>
            </w:r>
          </w:p>
        </w:tc>
      </w:tr>
      <w:tr w:rsidR="00366663" w:rsidRPr="008C4A39" w14:paraId="1B835624" w14:textId="77777777" w:rsidTr="00883B07">
        <w:tc>
          <w:tcPr>
            <w:tcW w:w="9445" w:type="dxa"/>
            <w:gridSpan w:val="2"/>
          </w:tcPr>
          <w:p w14:paraId="02BCAE9C" w14:textId="78BB70CE" w:rsidR="00366663" w:rsidRPr="006944F1" w:rsidRDefault="00366663" w:rsidP="005E0FA9">
            <w:pPr>
              <w:ind w:right="-360"/>
              <w:jc w:val="left"/>
            </w:pPr>
            <w:r w:rsidRPr="008C4A39">
              <w:rPr>
                <w:szCs w:val="24"/>
              </w:rPr>
              <w:t>Bidder’s cross references to supporting information in Technical Bid:</w:t>
            </w:r>
          </w:p>
        </w:tc>
      </w:tr>
      <w:tr w:rsidR="00366663" w:rsidRPr="008C4A39" w14:paraId="6A21F714" w14:textId="77777777" w:rsidTr="00883B07">
        <w:tc>
          <w:tcPr>
            <w:tcW w:w="2785" w:type="dxa"/>
          </w:tcPr>
          <w:p w14:paraId="188C50CA" w14:textId="77777777" w:rsidR="00366663" w:rsidRPr="008C4A39" w:rsidRDefault="00366663" w:rsidP="00883B07">
            <w:pPr>
              <w:jc w:val="left"/>
              <w:rPr>
                <w:szCs w:val="24"/>
              </w:rPr>
            </w:pPr>
            <w:r w:rsidRPr="008C4A39">
              <w:rPr>
                <w:szCs w:val="24"/>
              </w:rPr>
              <w:lastRenderedPageBreak/>
              <w:t>FR514</w:t>
            </w:r>
          </w:p>
        </w:tc>
        <w:tc>
          <w:tcPr>
            <w:tcW w:w="6660" w:type="dxa"/>
          </w:tcPr>
          <w:p w14:paraId="5A041838" w14:textId="77777777" w:rsidR="00366663" w:rsidRPr="008C4A39" w:rsidRDefault="00366663" w:rsidP="00883B07">
            <w:pPr>
              <w:rPr>
                <w:szCs w:val="24"/>
              </w:rPr>
            </w:pPr>
            <w:r w:rsidRPr="008C4A39">
              <w:rPr>
                <w:szCs w:val="24"/>
              </w:rPr>
              <w:t>The system must be able to limit the time frame during which information is visible.</w:t>
            </w:r>
          </w:p>
        </w:tc>
      </w:tr>
      <w:tr w:rsidR="00366663" w:rsidRPr="008C4A39" w14:paraId="357C84F4" w14:textId="77777777" w:rsidTr="00883B07">
        <w:tc>
          <w:tcPr>
            <w:tcW w:w="9445" w:type="dxa"/>
            <w:gridSpan w:val="2"/>
          </w:tcPr>
          <w:p w14:paraId="009D8178" w14:textId="1543BFD7" w:rsidR="00366663" w:rsidRPr="008C4A39" w:rsidRDefault="00366663" w:rsidP="005E0FA9">
            <w:pPr>
              <w:ind w:right="-360"/>
              <w:jc w:val="left"/>
              <w:rPr>
                <w:szCs w:val="24"/>
              </w:rPr>
            </w:pPr>
            <w:r w:rsidRPr="008C4A39">
              <w:rPr>
                <w:szCs w:val="24"/>
              </w:rPr>
              <w:t xml:space="preserve">Bidder’s technical reasons supporting compliance:  </w:t>
            </w:r>
          </w:p>
        </w:tc>
      </w:tr>
      <w:tr w:rsidR="00366663" w:rsidRPr="008C4A39" w14:paraId="424610E7" w14:textId="77777777" w:rsidTr="00883B07">
        <w:tc>
          <w:tcPr>
            <w:tcW w:w="9445" w:type="dxa"/>
            <w:gridSpan w:val="2"/>
          </w:tcPr>
          <w:p w14:paraId="375490DC" w14:textId="7F7351D4" w:rsidR="00366663" w:rsidRPr="008C4A39" w:rsidRDefault="00366663" w:rsidP="005E0FA9">
            <w:pPr>
              <w:ind w:right="-360"/>
              <w:jc w:val="left"/>
              <w:rPr>
                <w:szCs w:val="24"/>
              </w:rPr>
            </w:pPr>
            <w:r w:rsidRPr="008C4A39">
              <w:rPr>
                <w:szCs w:val="24"/>
              </w:rPr>
              <w:t>Bidder’s cross references to supporting information in Technical Bid:</w:t>
            </w:r>
          </w:p>
        </w:tc>
      </w:tr>
      <w:tr w:rsidR="00366663" w:rsidRPr="008C4A39" w14:paraId="7D92BEC8" w14:textId="77777777" w:rsidTr="00883B07">
        <w:tc>
          <w:tcPr>
            <w:tcW w:w="2785" w:type="dxa"/>
          </w:tcPr>
          <w:p w14:paraId="1503449D" w14:textId="77777777" w:rsidR="00366663" w:rsidRPr="008C4A39" w:rsidRDefault="00366663" w:rsidP="00883B07">
            <w:pPr>
              <w:jc w:val="left"/>
              <w:rPr>
                <w:szCs w:val="24"/>
                <w:highlight w:val="yellow"/>
              </w:rPr>
            </w:pPr>
            <w:r w:rsidRPr="008C4A39">
              <w:rPr>
                <w:szCs w:val="24"/>
              </w:rPr>
              <w:t>FR515</w:t>
            </w:r>
          </w:p>
        </w:tc>
        <w:tc>
          <w:tcPr>
            <w:tcW w:w="6660" w:type="dxa"/>
          </w:tcPr>
          <w:p w14:paraId="396BF495" w14:textId="77777777" w:rsidR="00366663" w:rsidRPr="008C4A39" w:rsidRDefault="00366663" w:rsidP="00883B07">
            <w:pPr>
              <w:rPr>
                <w:szCs w:val="24"/>
              </w:rPr>
            </w:pPr>
            <w:r w:rsidRPr="008C4A39">
              <w:rPr>
                <w:szCs w:val="24"/>
              </w:rPr>
              <w:t xml:space="preserve">The NSW must be able to publish information about the procedures, documents, </w:t>
            </w:r>
            <w:proofErr w:type="gramStart"/>
            <w:r w:rsidRPr="008C4A39">
              <w:rPr>
                <w:szCs w:val="24"/>
              </w:rPr>
              <w:t>fees</w:t>
            </w:r>
            <w:proofErr w:type="gramEnd"/>
            <w:r w:rsidRPr="008C4A39">
              <w:rPr>
                <w:szCs w:val="24"/>
              </w:rPr>
              <w:t xml:space="preserve"> and charges for applications for permits and licenses and for the inspections and any updates to it.</w:t>
            </w:r>
          </w:p>
        </w:tc>
      </w:tr>
      <w:tr w:rsidR="00366663" w:rsidRPr="008C4A39" w14:paraId="6132A147" w14:textId="77777777" w:rsidTr="00883B07">
        <w:tc>
          <w:tcPr>
            <w:tcW w:w="9445" w:type="dxa"/>
            <w:gridSpan w:val="2"/>
          </w:tcPr>
          <w:p w14:paraId="0CBD9CBC" w14:textId="5C144530" w:rsidR="00366663" w:rsidRPr="008C4A39" w:rsidRDefault="00366663" w:rsidP="005E0FA9">
            <w:pPr>
              <w:ind w:right="-360"/>
              <w:jc w:val="left"/>
              <w:rPr>
                <w:szCs w:val="24"/>
              </w:rPr>
            </w:pPr>
            <w:r w:rsidRPr="008C4A39">
              <w:rPr>
                <w:szCs w:val="24"/>
              </w:rPr>
              <w:t xml:space="preserve">Bidder’s technical reasons supporting compliance:  </w:t>
            </w:r>
          </w:p>
        </w:tc>
      </w:tr>
      <w:tr w:rsidR="00366663" w:rsidRPr="008C4A39" w14:paraId="18C3ABFC" w14:textId="77777777" w:rsidTr="00883B07">
        <w:tc>
          <w:tcPr>
            <w:tcW w:w="9445" w:type="dxa"/>
            <w:gridSpan w:val="2"/>
          </w:tcPr>
          <w:p w14:paraId="42D24C3E" w14:textId="74E5CF43" w:rsidR="00366663" w:rsidRPr="008C4A39" w:rsidRDefault="00366663" w:rsidP="005E0FA9">
            <w:pPr>
              <w:ind w:right="-360"/>
              <w:jc w:val="left"/>
              <w:rPr>
                <w:szCs w:val="24"/>
              </w:rPr>
            </w:pPr>
            <w:r w:rsidRPr="008C4A39">
              <w:rPr>
                <w:szCs w:val="24"/>
              </w:rPr>
              <w:t>Bidder’s cross references to supporting information in Technical Bid:</w:t>
            </w:r>
          </w:p>
        </w:tc>
      </w:tr>
    </w:tbl>
    <w:p w14:paraId="27453183" w14:textId="1B301BE6" w:rsidR="00366663" w:rsidRDefault="00366663">
      <w:pPr>
        <w:pStyle w:val="Head32"/>
        <w:ind w:right="-360"/>
      </w:pPr>
    </w:p>
    <w:tbl>
      <w:tblPr>
        <w:tblStyle w:val="TableGrid1"/>
        <w:tblpPr w:leftFromText="180" w:rightFromText="180" w:vertAnchor="text" w:tblpY="1"/>
        <w:tblOverlap w:val="never"/>
        <w:tblW w:w="9355" w:type="dxa"/>
        <w:tblLook w:val="04A0" w:firstRow="1" w:lastRow="0" w:firstColumn="1" w:lastColumn="0" w:noHBand="0" w:noVBand="1"/>
      </w:tblPr>
      <w:tblGrid>
        <w:gridCol w:w="2425"/>
        <w:gridCol w:w="6930"/>
      </w:tblGrid>
      <w:tr w:rsidR="00366663" w:rsidRPr="008C4A39" w14:paraId="1E0530F7" w14:textId="77777777" w:rsidTr="00883B07">
        <w:trPr>
          <w:trHeight w:val="449"/>
          <w:tblHeader/>
        </w:trPr>
        <w:tc>
          <w:tcPr>
            <w:tcW w:w="2425" w:type="dxa"/>
            <w:shd w:val="clear" w:color="auto" w:fill="D9D9D9" w:themeFill="background1" w:themeFillShade="D9"/>
            <w:noWrap/>
          </w:tcPr>
          <w:p w14:paraId="7BB520E0" w14:textId="77777777" w:rsidR="00366663" w:rsidRPr="008C4A39" w:rsidRDefault="00366663" w:rsidP="00883B07">
            <w:pPr>
              <w:spacing w:after="0"/>
              <w:jc w:val="left"/>
              <w:rPr>
                <w:b/>
                <w:szCs w:val="24"/>
              </w:rPr>
            </w:pPr>
            <w:r w:rsidRPr="008C4A39">
              <w:rPr>
                <w:b/>
                <w:szCs w:val="24"/>
              </w:rPr>
              <w:t>Tech. Req. Number</w:t>
            </w:r>
          </w:p>
        </w:tc>
        <w:tc>
          <w:tcPr>
            <w:tcW w:w="6930" w:type="dxa"/>
            <w:shd w:val="clear" w:color="auto" w:fill="D9D9D9" w:themeFill="background1" w:themeFillShade="D9"/>
          </w:tcPr>
          <w:p w14:paraId="6EBB2EF4" w14:textId="77777777" w:rsidR="00366663" w:rsidRPr="008C4A39" w:rsidRDefault="00366663" w:rsidP="00883B07">
            <w:pPr>
              <w:spacing w:after="0"/>
              <w:jc w:val="left"/>
              <w:rPr>
                <w:b/>
                <w:szCs w:val="24"/>
              </w:rPr>
            </w:pPr>
            <w:r w:rsidRPr="008C4A39">
              <w:rPr>
                <w:b/>
                <w:szCs w:val="24"/>
              </w:rPr>
              <w:t>Technical Requirement</w:t>
            </w:r>
          </w:p>
        </w:tc>
      </w:tr>
      <w:tr w:rsidR="00366663" w:rsidRPr="008C4A39" w14:paraId="1820BC44" w14:textId="77777777" w:rsidTr="00883B07">
        <w:trPr>
          <w:trHeight w:val="510"/>
        </w:trPr>
        <w:tc>
          <w:tcPr>
            <w:tcW w:w="9355" w:type="dxa"/>
            <w:gridSpan w:val="2"/>
            <w:noWrap/>
          </w:tcPr>
          <w:p w14:paraId="483443FA" w14:textId="77777777" w:rsidR="00366663" w:rsidRPr="008C4A39" w:rsidRDefault="00366663" w:rsidP="00883B07">
            <w:pPr>
              <w:jc w:val="left"/>
              <w:rPr>
                <w:b/>
                <w:szCs w:val="24"/>
              </w:rPr>
            </w:pPr>
            <w:r w:rsidRPr="008C4A39">
              <w:rPr>
                <w:b/>
                <w:szCs w:val="24"/>
              </w:rPr>
              <w:t>1.2.3.1.7. NSW Portal Functional Requirements</w:t>
            </w:r>
          </w:p>
        </w:tc>
      </w:tr>
      <w:tr w:rsidR="00366663" w:rsidRPr="008C4A39" w14:paraId="7911B1A9" w14:textId="77777777" w:rsidTr="00883B07">
        <w:trPr>
          <w:trHeight w:val="510"/>
        </w:trPr>
        <w:tc>
          <w:tcPr>
            <w:tcW w:w="2425" w:type="dxa"/>
            <w:noWrap/>
          </w:tcPr>
          <w:p w14:paraId="3AE34C81" w14:textId="77777777" w:rsidR="00366663" w:rsidRPr="008C4A39" w:rsidRDefault="00366663" w:rsidP="00883B07">
            <w:pPr>
              <w:spacing w:after="0"/>
              <w:jc w:val="left"/>
              <w:rPr>
                <w:szCs w:val="24"/>
              </w:rPr>
            </w:pPr>
            <w:r w:rsidRPr="008C4A39">
              <w:rPr>
                <w:szCs w:val="24"/>
              </w:rPr>
              <w:t>FR23</w:t>
            </w:r>
          </w:p>
        </w:tc>
        <w:tc>
          <w:tcPr>
            <w:tcW w:w="6930" w:type="dxa"/>
          </w:tcPr>
          <w:p w14:paraId="3CFAB580" w14:textId="77777777" w:rsidR="00366663" w:rsidRPr="008C4A39" w:rsidRDefault="00366663" w:rsidP="00883B07">
            <w:pPr>
              <w:spacing w:after="0"/>
              <w:rPr>
                <w:szCs w:val="24"/>
              </w:rPr>
            </w:pPr>
            <w:r w:rsidRPr="008C4A39">
              <w:rPr>
                <w:szCs w:val="24"/>
              </w:rPr>
              <w:t>NSW shall provide for an internet-based Web Portal for access to the NSW services for all categories of users that are to be registered on NSW.</w:t>
            </w:r>
          </w:p>
        </w:tc>
      </w:tr>
      <w:tr w:rsidR="00366663" w:rsidRPr="008C4A39" w14:paraId="0D59E1F8" w14:textId="77777777" w:rsidTr="00883B07">
        <w:trPr>
          <w:trHeight w:val="510"/>
        </w:trPr>
        <w:tc>
          <w:tcPr>
            <w:tcW w:w="9355" w:type="dxa"/>
            <w:gridSpan w:val="2"/>
            <w:noWrap/>
          </w:tcPr>
          <w:p w14:paraId="526F27E2" w14:textId="7BD2D13E" w:rsidR="00366663" w:rsidRPr="008C4A39" w:rsidRDefault="00366663" w:rsidP="001136D3">
            <w:pPr>
              <w:spacing w:after="0"/>
              <w:ind w:right="-360"/>
              <w:jc w:val="left"/>
              <w:rPr>
                <w:szCs w:val="24"/>
              </w:rPr>
            </w:pPr>
            <w:r w:rsidRPr="008C4A39">
              <w:rPr>
                <w:szCs w:val="24"/>
              </w:rPr>
              <w:t xml:space="preserve">Bidder’s technical reasons supporting compliance:  </w:t>
            </w:r>
          </w:p>
        </w:tc>
      </w:tr>
      <w:tr w:rsidR="00366663" w:rsidRPr="008C4A39" w14:paraId="7FFDDFAB" w14:textId="77777777" w:rsidTr="00883B07">
        <w:trPr>
          <w:trHeight w:val="510"/>
        </w:trPr>
        <w:tc>
          <w:tcPr>
            <w:tcW w:w="9355" w:type="dxa"/>
            <w:gridSpan w:val="2"/>
            <w:noWrap/>
          </w:tcPr>
          <w:p w14:paraId="1B2F4885" w14:textId="0AC24DCC" w:rsidR="00366663" w:rsidRPr="008C4A39" w:rsidRDefault="00366663" w:rsidP="001136D3">
            <w:pPr>
              <w:spacing w:after="0"/>
              <w:ind w:right="-360"/>
              <w:jc w:val="left"/>
              <w:rPr>
                <w:szCs w:val="24"/>
              </w:rPr>
            </w:pPr>
            <w:r w:rsidRPr="008C4A39">
              <w:rPr>
                <w:szCs w:val="24"/>
              </w:rPr>
              <w:t>Bidder’s cross references to supporting information in Technical Bid:</w:t>
            </w:r>
          </w:p>
        </w:tc>
      </w:tr>
      <w:tr w:rsidR="00366663" w:rsidRPr="008C4A39" w14:paraId="48CDC3D3" w14:textId="77777777" w:rsidTr="00883B07">
        <w:trPr>
          <w:trHeight w:val="2295"/>
        </w:trPr>
        <w:tc>
          <w:tcPr>
            <w:tcW w:w="2425" w:type="dxa"/>
            <w:noWrap/>
          </w:tcPr>
          <w:p w14:paraId="497A9CA8" w14:textId="77777777" w:rsidR="00366663" w:rsidRPr="008C4A39" w:rsidRDefault="00366663" w:rsidP="00883B07">
            <w:pPr>
              <w:spacing w:after="0"/>
              <w:jc w:val="left"/>
              <w:rPr>
                <w:szCs w:val="24"/>
              </w:rPr>
            </w:pPr>
            <w:r w:rsidRPr="008C4A39">
              <w:rPr>
                <w:szCs w:val="24"/>
              </w:rPr>
              <w:t>FR24</w:t>
            </w:r>
          </w:p>
        </w:tc>
        <w:tc>
          <w:tcPr>
            <w:tcW w:w="6930" w:type="dxa"/>
          </w:tcPr>
          <w:p w14:paraId="7FD8A47B" w14:textId="77777777" w:rsidR="00366663" w:rsidRPr="008C4A39" w:rsidRDefault="00366663" w:rsidP="00883B07">
            <w:pPr>
              <w:spacing w:after="0"/>
              <w:rPr>
                <w:szCs w:val="24"/>
              </w:rPr>
            </w:pPr>
            <w:r w:rsidRPr="008C4A39">
              <w:rPr>
                <w:szCs w:val="24"/>
              </w:rPr>
              <w:t>Specific system functions and tools will be accessed utilizing three respective User inter-faces as follows:</w:t>
            </w:r>
          </w:p>
          <w:p w14:paraId="352AFF84" w14:textId="77777777" w:rsidR="00366663" w:rsidRPr="008C4A39" w:rsidRDefault="00366663" w:rsidP="00883B07">
            <w:pPr>
              <w:spacing w:after="0"/>
              <w:rPr>
                <w:szCs w:val="24"/>
              </w:rPr>
            </w:pPr>
          </w:p>
          <w:p w14:paraId="4D99361B" w14:textId="03C4A693" w:rsidR="00366663" w:rsidRPr="008C4A39" w:rsidRDefault="00366663" w:rsidP="00D530D5">
            <w:pPr>
              <w:pStyle w:val="ListParagraph"/>
              <w:numPr>
                <w:ilvl w:val="0"/>
                <w:numId w:val="105"/>
              </w:numPr>
              <w:tabs>
                <w:tab w:val="left" w:pos="435"/>
              </w:tabs>
              <w:spacing w:after="0"/>
              <w:ind w:left="435" w:hanging="450"/>
              <w:rPr>
                <w:szCs w:val="24"/>
              </w:rPr>
            </w:pPr>
            <w:r w:rsidRPr="008C4A39">
              <w:rPr>
                <w:szCs w:val="24"/>
              </w:rPr>
              <w:t xml:space="preserve">Registered trade users shall be able to use the trader’s user interface to prepare and submit all necessary applications for (LPCOs) and also prepare and submit supporting documents, view their processing status and receive notifications of issue as well as to access payment and other in-formation </w:t>
            </w:r>
            <w:proofErr w:type="gramStart"/>
            <w:r w:rsidRPr="008C4A39">
              <w:rPr>
                <w:szCs w:val="24"/>
              </w:rPr>
              <w:t>services;</w:t>
            </w:r>
            <w:proofErr w:type="gramEnd"/>
          </w:p>
          <w:p w14:paraId="09BD8AC5" w14:textId="77777777" w:rsidR="00366663" w:rsidRPr="008C4A39" w:rsidRDefault="00366663" w:rsidP="00D530D5">
            <w:pPr>
              <w:pStyle w:val="ListParagraph"/>
              <w:numPr>
                <w:ilvl w:val="0"/>
                <w:numId w:val="105"/>
              </w:numPr>
              <w:tabs>
                <w:tab w:val="left" w:pos="435"/>
              </w:tabs>
              <w:spacing w:after="0"/>
              <w:ind w:left="435" w:hanging="450"/>
              <w:rPr>
                <w:szCs w:val="24"/>
              </w:rPr>
            </w:pPr>
            <w:r w:rsidRPr="008C4A39">
              <w:rPr>
                <w:szCs w:val="24"/>
              </w:rPr>
              <w:t xml:space="preserve">CBRA user interface will support CBRA users for processing </w:t>
            </w:r>
            <w:proofErr w:type="gramStart"/>
            <w:r w:rsidRPr="008C4A39">
              <w:rPr>
                <w:szCs w:val="24"/>
              </w:rPr>
              <w:t>LPCOs;</w:t>
            </w:r>
            <w:proofErr w:type="gramEnd"/>
          </w:p>
          <w:p w14:paraId="47815CB1" w14:textId="77777777" w:rsidR="00366663" w:rsidRPr="008C4A39" w:rsidRDefault="00366663" w:rsidP="00D530D5">
            <w:pPr>
              <w:pStyle w:val="ListParagraph"/>
              <w:numPr>
                <w:ilvl w:val="0"/>
                <w:numId w:val="105"/>
              </w:numPr>
              <w:tabs>
                <w:tab w:val="left" w:pos="435"/>
              </w:tabs>
              <w:spacing w:after="0"/>
              <w:ind w:left="435" w:hanging="450"/>
              <w:rPr>
                <w:szCs w:val="24"/>
              </w:rPr>
            </w:pPr>
            <w:r w:rsidRPr="008C4A39">
              <w:rPr>
                <w:szCs w:val="24"/>
              </w:rPr>
              <w:t>Information Services users of the UI of the NSW system will be provided with a set of tools to view and extract relevant and authorized information on trade transactions.</w:t>
            </w:r>
          </w:p>
        </w:tc>
      </w:tr>
      <w:tr w:rsidR="00366663" w:rsidRPr="008C4A39" w14:paraId="0D4391CD" w14:textId="77777777" w:rsidTr="00883B07">
        <w:trPr>
          <w:trHeight w:val="494"/>
        </w:trPr>
        <w:tc>
          <w:tcPr>
            <w:tcW w:w="9355" w:type="dxa"/>
            <w:gridSpan w:val="2"/>
            <w:noWrap/>
          </w:tcPr>
          <w:p w14:paraId="18DE411C"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21747F47" w14:textId="77777777" w:rsidR="00366663" w:rsidRPr="008C4A39" w:rsidRDefault="00366663" w:rsidP="00883B07">
            <w:pPr>
              <w:spacing w:after="0"/>
              <w:rPr>
                <w:szCs w:val="24"/>
              </w:rPr>
            </w:pPr>
          </w:p>
        </w:tc>
      </w:tr>
      <w:tr w:rsidR="00366663" w:rsidRPr="008C4A39" w14:paraId="5E7DE6B1" w14:textId="77777777" w:rsidTr="00883B07">
        <w:trPr>
          <w:trHeight w:val="440"/>
        </w:trPr>
        <w:tc>
          <w:tcPr>
            <w:tcW w:w="9355" w:type="dxa"/>
            <w:gridSpan w:val="2"/>
            <w:noWrap/>
          </w:tcPr>
          <w:p w14:paraId="743D1221"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65ED5FB7" w14:textId="77777777" w:rsidR="00366663" w:rsidRPr="008C4A39" w:rsidRDefault="00366663" w:rsidP="00883B07">
            <w:pPr>
              <w:spacing w:after="0"/>
              <w:rPr>
                <w:szCs w:val="24"/>
              </w:rPr>
            </w:pPr>
          </w:p>
        </w:tc>
      </w:tr>
      <w:tr w:rsidR="00366663" w:rsidRPr="008C4A39" w14:paraId="475B09B0" w14:textId="77777777" w:rsidTr="00883B07">
        <w:trPr>
          <w:trHeight w:val="840"/>
        </w:trPr>
        <w:tc>
          <w:tcPr>
            <w:tcW w:w="2425" w:type="dxa"/>
            <w:noWrap/>
          </w:tcPr>
          <w:p w14:paraId="1F07EDC4" w14:textId="77777777" w:rsidR="00366663" w:rsidRPr="008C4A39" w:rsidRDefault="00366663" w:rsidP="00883B07">
            <w:pPr>
              <w:spacing w:after="0"/>
              <w:jc w:val="left"/>
              <w:rPr>
                <w:szCs w:val="24"/>
              </w:rPr>
            </w:pPr>
            <w:r w:rsidRPr="008C4A39">
              <w:rPr>
                <w:szCs w:val="24"/>
              </w:rPr>
              <w:t>FR25</w:t>
            </w:r>
          </w:p>
        </w:tc>
        <w:tc>
          <w:tcPr>
            <w:tcW w:w="6930" w:type="dxa"/>
          </w:tcPr>
          <w:p w14:paraId="0E394D66" w14:textId="11136ED8" w:rsidR="00366663" w:rsidRPr="008C4A39" w:rsidRDefault="00366663" w:rsidP="00883B07">
            <w:pPr>
              <w:spacing w:after="240"/>
              <w:rPr>
                <w:szCs w:val="24"/>
              </w:rPr>
            </w:pPr>
            <w:r w:rsidRPr="008C4A39">
              <w:rPr>
                <w:szCs w:val="24"/>
              </w:rPr>
              <w:t xml:space="preserve">The NSW Portal will be a single access </w:t>
            </w:r>
            <w:proofErr w:type="gramStart"/>
            <w:r w:rsidRPr="008C4A39">
              <w:rPr>
                <w:szCs w:val="24"/>
              </w:rPr>
              <w:t>points</w:t>
            </w:r>
            <w:proofErr w:type="gramEnd"/>
            <w:r w:rsidRPr="008C4A39">
              <w:rPr>
                <w:szCs w:val="24"/>
              </w:rPr>
              <w:t xml:space="preserve"> for all users of the NSW. Only registered stakeholders and their authorized staff shall be provided </w:t>
            </w:r>
            <w:proofErr w:type="gramStart"/>
            <w:r w:rsidRPr="008C4A39">
              <w:rPr>
                <w:szCs w:val="24"/>
              </w:rPr>
              <w:t>the authenticated</w:t>
            </w:r>
            <w:proofErr w:type="gramEnd"/>
            <w:r w:rsidRPr="008C4A39">
              <w:rPr>
                <w:szCs w:val="24"/>
              </w:rPr>
              <w:t xml:space="preserve"> and authorized access to the respective UI. Based on their registered role and functions, the users will be provided </w:t>
            </w:r>
            <w:r w:rsidRPr="008C4A39">
              <w:rPr>
                <w:szCs w:val="24"/>
              </w:rPr>
              <w:lastRenderedPageBreak/>
              <w:t>different access to the NSW features/functionalities.</w:t>
            </w:r>
            <w:r w:rsidR="00BF1F75">
              <w:rPr>
                <w:szCs w:val="24"/>
              </w:rPr>
              <w:t xml:space="preserve"> </w:t>
            </w:r>
            <w:r w:rsidR="00BF1F75" w:rsidRPr="00DE1F8A">
              <w:rPr>
                <w:szCs w:val="24"/>
              </w:rPr>
              <w:t xml:space="preserve">The </w:t>
            </w:r>
            <w:r w:rsidR="00C2038F" w:rsidRPr="00DE1F8A">
              <w:rPr>
                <w:szCs w:val="24"/>
              </w:rPr>
              <w:t>system should provide functionality of multifactor authentication</w:t>
            </w:r>
            <w:r w:rsidR="00AE7721" w:rsidRPr="00DE1F8A">
              <w:rPr>
                <w:szCs w:val="24"/>
              </w:rPr>
              <w:t xml:space="preserve"> and</w:t>
            </w:r>
            <w:r w:rsidR="00E31F09" w:rsidRPr="00DE1F8A">
              <w:t xml:space="preserve"> possibility to integrate with the government's authentication framework (if any available)</w:t>
            </w:r>
            <w:r w:rsidR="00C2038F" w:rsidRPr="00DE1F8A">
              <w:rPr>
                <w:szCs w:val="24"/>
              </w:rPr>
              <w:t>.</w:t>
            </w:r>
          </w:p>
        </w:tc>
      </w:tr>
      <w:tr w:rsidR="00366663" w:rsidRPr="008C4A39" w14:paraId="3BFA013E" w14:textId="77777777" w:rsidTr="00883B07">
        <w:trPr>
          <w:trHeight w:val="431"/>
        </w:trPr>
        <w:tc>
          <w:tcPr>
            <w:tcW w:w="9355" w:type="dxa"/>
            <w:gridSpan w:val="2"/>
            <w:noWrap/>
          </w:tcPr>
          <w:p w14:paraId="0A8F714B" w14:textId="77777777" w:rsidR="00366663" w:rsidRPr="008C4A39" w:rsidRDefault="00366663" w:rsidP="00883B07">
            <w:pPr>
              <w:ind w:right="-360"/>
              <w:jc w:val="left"/>
              <w:rPr>
                <w:szCs w:val="24"/>
              </w:rPr>
            </w:pPr>
            <w:r w:rsidRPr="008C4A39">
              <w:rPr>
                <w:szCs w:val="24"/>
              </w:rPr>
              <w:lastRenderedPageBreak/>
              <w:t xml:space="preserve">Bidder’s technical reasons supporting compliance:  </w:t>
            </w:r>
          </w:p>
        </w:tc>
      </w:tr>
      <w:tr w:rsidR="00366663" w:rsidRPr="008C4A39" w14:paraId="2662C8FE" w14:textId="77777777" w:rsidTr="00883B07">
        <w:trPr>
          <w:trHeight w:val="251"/>
        </w:trPr>
        <w:tc>
          <w:tcPr>
            <w:tcW w:w="9355" w:type="dxa"/>
            <w:gridSpan w:val="2"/>
            <w:noWrap/>
          </w:tcPr>
          <w:p w14:paraId="010E8DC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35D39FD" w14:textId="77777777" w:rsidTr="00883B07">
        <w:trPr>
          <w:trHeight w:val="780"/>
        </w:trPr>
        <w:tc>
          <w:tcPr>
            <w:tcW w:w="2425" w:type="dxa"/>
            <w:noWrap/>
          </w:tcPr>
          <w:p w14:paraId="36C571BF" w14:textId="77777777" w:rsidR="00366663" w:rsidRPr="008C4A39" w:rsidRDefault="00366663" w:rsidP="00883B07">
            <w:pPr>
              <w:spacing w:after="0"/>
              <w:jc w:val="left"/>
              <w:rPr>
                <w:szCs w:val="24"/>
              </w:rPr>
            </w:pPr>
            <w:r w:rsidRPr="008C4A39">
              <w:rPr>
                <w:szCs w:val="24"/>
              </w:rPr>
              <w:t>FR26</w:t>
            </w:r>
          </w:p>
        </w:tc>
        <w:tc>
          <w:tcPr>
            <w:tcW w:w="6930" w:type="dxa"/>
          </w:tcPr>
          <w:p w14:paraId="4FA97794" w14:textId="77777777" w:rsidR="00366663" w:rsidRPr="008C4A39" w:rsidRDefault="00366663" w:rsidP="00883B07">
            <w:pPr>
              <w:spacing w:after="240"/>
              <w:rPr>
                <w:szCs w:val="24"/>
              </w:rPr>
            </w:pPr>
            <w:r w:rsidRPr="008C4A39">
              <w:rPr>
                <w:szCs w:val="24"/>
              </w:rPr>
              <w:t>The NSW Portal shall be segregated into three separate zones – Traders’ Zone, CBRA Zone and Information Zone. Each of the zones must be supported by above-mentioned user interfaces (UI), accessed by authorized users, perform specific functions related to their roles.</w:t>
            </w:r>
          </w:p>
        </w:tc>
      </w:tr>
      <w:tr w:rsidR="00366663" w:rsidRPr="008C4A39" w14:paraId="333DB626" w14:textId="77777777" w:rsidTr="00883B07">
        <w:trPr>
          <w:trHeight w:val="413"/>
        </w:trPr>
        <w:tc>
          <w:tcPr>
            <w:tcW w:w="9355" w:type="dxa"/>
            <w:gridSpan w:val="2"/>
            <w:noWrap/>
          </w:tcPr>
          <w:p w14:paraId="1A8674D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3E34CCE" w14:textId="77777777" w:rsidTr="00883B07">
        <w:trPr>
          <w:trHeight w:val="440"/>
        </w:trPr>
        <w:tc>
          <w:tcPr>
            <w:tcW w:w="9355" w:type="dxa"/>
            <w:gridSpan w:val="2"/>
            <w:noWrap/>
          </w:tcPr>
          <w:p w14:paraId="6181994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099CAF7" w14:textId="77777777" w:rsidTr="00883B07">
        <w:trPr>
          <w:trHeight w:val="575"/>
        </w:trPr>
        <w:tc>
          <w:tcPr>
            <w:tcW w:w="2425" w:type="dxa"/>
            <w:noWrap/>
          </w:tcPr>
          <w:p w14:paraId="02066444" w14:textId="77777777" w:rsidR="00366663" w:rsidRPr="008C4A39" w:rsidRDefault="00366663" w:rsidP="00883B07">
            <w:pPr>
              <w:spacing w:after="0"/>
              <w:jc w:val="left"/>
              <w:rPr>
                <w:szCs w:val="24"/>
              </w:rPr>
            </w:pPr>
            <w:r w:rsidRPr="008C4A39">
              <w:rPr>
                <w:szCs w:val="24"/>
              </w:rPr>
              <w:t>FR28</w:t>
            </w:r>
          </w:p>
        </w:tc>
        <w:tc>
          <w:tcPr>
            <w:tcW w:w="6930" w:type="dxa"/>
          </w:tcPr>
          <w:p w14:paraId="4A41279F" w14:textId="77777777" w:rsidR="00366663" w:rsidRPr="008C4A39" w:rsidRDefault="00366663" w:rsidP="00883B07">
            <w:pPr>
              <w:spacing w:after="240"/>
              <w:rPr>
                <w:szCs w:val="24"/>
              </w:rPr>
            </w:pPr>
            <w:r w:rsidRPr="008C4A39">
              <w:rPr>
                <w:szCs w:val="24"/>
              </w:rPr>
              <w:t>All these features shall allow NSW to be available and accessible anywhere, anytime to all concerned stakeholders as required.</w:t>
            </w:r>
          </w:p>
        </w:tc>
      </w:tr>
      <w:tr w:rsidR="00366663" w:rsidRPr="008C4A39" w14:paraId="5DD27FFC" w14:textId="77777777" w:rsidTr="00883B07">
        <w:trPr>
          <w:trHeight w:val="575"/>
        </w:trPr>
        <w:tc>
          <w:tcPr>
            <w:tcW w:w="9355" w:type="dxa"/>
            <w:gridSpan w:val="2"/>
            <w:noWrap/>
          </w:tcPr>
          <w:p w14:paraId="670C4C2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27F2B84" w14:textId="77777777" w:rsidTr="00883B07">
        <w:trPr>
          <w:trHeight w:val="575"/>
        </w:trPr>
        <w:tc>
          <w:tcPr>
            <w:tcW w:w="9355" w:type="dxa"/>
            <w:gridSpan w:val="2"/>
            <w:noWrap/>
          </w:tcPr>
          <w:p w14:paraId="6F84BE2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423F79A" w14:textId="77777777" w:rsidTr="00883B07">
        <w:trPr>
          <w:trHeight w:val="1646"/>
        </w:trPr>
        <w:tc>
          <w:tcPr>
            <w:tcW w:w="2425" w:type="dxa"/>
            <w:noWrap/>
          </w:tcPr>
          <w:p w14:paraId="73B548E2" w14:textId="77777777" w:rsidR="00366663" w:rsidRPr="008C4A39" w:rsidRDefault="00366663" w:rsidP="00883B07">
            <w:pPr>
              <w:spacing w:after="0"/>
              <w:jc w:val="left"/>
              <w:rPr>
                <w:szCs w:val="24"/>
              </w:rPr>
            </w:pPr>
            <w:r w:rsidRPr="008C4A39">
              <w:rPr>
                <w:szCs w:val="24"/>
              </w:rPr>
              <w:t>FR29</w:t>
            </w:r>
          </w:p>
        </w:tc>
        <w:tc>
          <w:tcPr>
            <w:tcW w:w="6930" w:type="dxa"/>
          </w:tcPr>
          <w:p w14:paraId="0CB9EF74" w14:textId="422F77EE" w:rsidR="00366663" w:rsidRPr="008C4A39" w:rsidRDefault="00366663" w:rsidP="00883B07">
            <w:pPr>
              <w:spacing w:after="240"/>
              <w:rPr>
                <w:szCs w:val="24"/>
              </w:rPr>
            </w:pPr>
            <w:r w:rsidRPr="008C4A39">
              <w:rPr>
                <w:szCs w:val="24"/>
              </w:rPr>
              <w:t xml:space="preserve">The Portal and Trader Zone / UI shall have </w:t>
            </w:r>
            <w:r w:rsidR="00722A2F">
              <w:rPr>
                <w:szCs w:val="24"/>
              </w:rPr>
              <w:t xml:space="preserve">a </w:t>
            </w:r>
            <w:r w:rsidRPr="008C4A39">
              <w:rPr>
                <w:szCs w:val="24"/>
              </w:rPr>
              <w:t>counter to track the number of visits by external stakeholders / Traders. While the Regulatory Authority Zone / UI shall be supported by a comprehensive audit trail to capture every activity performed by the concerned User, like login sessions, values changed, documents uploaded etc. User wise activity report shall be generated through the system as required.</w:t>
            </w:r>
          </w:p>
        </w:tc>
      </w:tr>
      <w:tr w:rsidR="00366663" w:rsidRPr="008C4A39" w14:paraId="33A79110" w14:textId="77777777" w:rsidTr="00883B07">
        <w:trPr>
          <w:trHeight w:val="521"/>
        </w:trPr>
        <w:tc>
          <w:tcPr>
            <w:tcW w:w="9355" w:type="dxa"/>
            <w:gridSpan w:val="2"/>
            <w:noWrap/>
          </w:tcPr>
          <w:p w14:paraId="02DEAD3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4A5227E" w14:textId="77777777" w:rsidTr="00883B07">
        <w:trPr>
          <w:trHeight w:val="521"/>
        </w:trPr>
        <w:tc>
          <w:tcPr>
            <w:tcW w:w="9355" w:type="dxa"/>
            <w:gridSpan w:val="2"/>
            <w:noWrap/>
          </w:tcPr>
          <w:p w14:paraId="3E74DF3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B6E4B3E" w14:textId="77777777" w:rsidTr="00883B07">
        <w:trPr>
          <w:trHeight w:val="395"/>
        </w:trPr>
        <w:tc>
          <w:tcPr>
            <w:tcW w:w="9355" w:type="dxa"/>
            <w:gridSpan w:val="2"/>
            <w:noWrap/>
          </w:tcPr>
          <w:p w14:paraId="6E2914DC" w14:textId="77777777" w:rsidR="00366663" w:rsidRPr="008C4A39" w:rsidRDefault="00366663" w:rsidP="00883B07">
            <w:pPr>
              <w:spacing w:after="0"/>
              <w:jc w:val="left"/>
              <w:rPr>
                <w:szCs w:val="24"/>
              </w:rPr>
            </w:pPr>
          </w:p>
          <w:p w14:paraId="39123B00" w14:textId="77777777" w:rsidR="00366663" w:rsidRPr="008C4A39" w:rsidRDefault="00366663" w:rsidP="00883B07">
            <w:pPr>
              <w:spacing w:after="240"/>
              <w:jc w:val="left"/>
              <w:rPr>
                <w:b/>
                <w:szCs w:val="24"/>
              </w:rPr>
            </w:pPr>
            <w:r w:rsidRPr="008C4A39">
              <w:rPr>
                <w:b/>
                <w:szCs w:val="24"/>
              </w:rPr>
              <w:t>General Portal/UI Requirements</w:t>
            </w:r>
          </w:p>
        </w:tc>
      </w:tr>
      <w:tr w:rsidR="00366663" w:rsidRPr="008C4A39" w14:paraId="3EFBA64A" w14:textId="77777777" w:rsidTr="00883B07">
        <w:trPr>
          <w:trHeight w:val="555"/>
        </w:trPr>
        <w:tc>
          <w:tcPr>
            <w:tcW w:w="2425" w:type="dxa"/>
            <w:noWrap/>
          </w:tcPr>
          <w:p w14:paraId="21492DA4" w14:textId="77777777" w:rsidR="00366663" w:rsidRPr="008C4A39" w:rsidRDefault="00366663" w:rsidP="00883B07">
            <w:pPr>
              <w:spacing w:after="0"/>
              <w:jc w:val="left"/>
              <w:rPr>
                <w:szCs w:val="24"/>
              </w:rPr>
            </w:pPr>
            <w:r w:rsidRPr="008C4A39">
              <w:rPr>
                <w:szCs w:val="24"/>
              </w:rPr>
              <w:t>FR30</w:t>
            </w:r>
          </w:p>
        </w:tc>
        <w:tc>
          <w:tcPr>
            <w:tcW w:w="6930" w:type="dxa"/>
          </w:tcPr>
          <w:p w14:paraId="0F68B530" w14:textId="4FB36AE7" w:rsidR="00366663" w:rsidRPr="008C4A39" w:rsidRDefault="00366663" w:rsidP="00883B07">
            <w:pPr>
              <w:spacing w:after="0"/>
              <w:rPr>
                <w:szCs w:val="24"/>
              </w:rPr>
            </w:pPr>
            <w:r w:rsidRPr="008C4A39">
              <w:rPr>
                <w:szCs w:val="24"/>
              </w:rPr>
              <w:t>The NSW Portal must display both static and dynamic content via the web and mobile browser</w:t>
            </w:r>
            <w:r w:rsidR="004E169F">
              <w:rPr>
                <w:szCs w:val="24"/>
              </w:rPr>
              <w:t xml:space="preserve"> </w:t>
            </w:r>
            <w:r w:rsidR="004E169F" w:rsidRPr="00DE1F8A">
              <w:rPr>
                <w:szCs w:val="24"/>
              </w:rPr>
              <w:t>in different form factors</w:t>
            </w:r>
            <w:r w:rsidRPr="00DE1F8A">
              <w:rPr>
                <w:szCs w:val="24"/>
              </w:rPr>
              <w:t>.</w:t>
            </w:r>
            <w:r w:rsidRPr="008C4A39">
              <w:rPr>
                <w:szCs w:val="24"/>
              </w:rPr>
              <w:t xml:space="preserve"> The content and information to be displayed on the Portal should be managed and administered via the “NSW Portal Administration” functionality.</w:t>
            </w:r>
          </w:p>
        </w:tc>
      </w:tr>
      <w:tr w:rsidR="00366663" w:rsidRPr="008C4A39" w14:paraId="15DDA50E" w14:textId="77777777" w:rsidTr="00883B07">
        <w:trPr>
          <w:trHeight w:val="555"/>
        </w:trPr>
        <w:tc>
          <w:tcPr>
            <w:tcW w:w="9355" w:type="dxa"/>
            <w:gridSpan w:val="2"/>
            <w:noWrap/>
          </w:tcPr>
          <w:p w14:paraId="5727330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EEC1D96" w14:textId="77777777" w:rsidTr="00883B07">
        <w:trPr>
          <w:trHeight w:val="555"/>
        </w:trPr>
        <w:tc>
          <w:tcPr>
            <w:tcW w:w="9355" w:type="dxa"/>
            <w:gridSpan w:val="2"/>
            <w:noWrap/>
          </w:tcPr>
          <w:p w14:paraId="7311DA2E"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tc>
      </w:tr>
      <w:tr w:rsidR="00366663" w:rsidRPr="008C4A39" w14:paraId="13166038" w14:textId="77777777" w:rsidTr="00883B07">
        <w:trPr>
          <w:trHeight w:val="510"/>
        </w:trPr>
        <w:tc>
          <w:tcPr>
            <w:tcW w:w="2425" w:type="dxa"/>
            <w:noWrap/>
          </w:tcPr>
          <w:p w14:paraId="1337B52C" w14:textId="77777777" w:rsidR="00366663" w:rsidRPr="008C4A39" w:rsidRDefault="00366663" w:rsidP="00883B07">
            <w:pPr>
              <w:spacing w:after="0"/>
              <w:jc w:val="left"/>
              <w:rPr>
                <w:szCs w:val="24"/>
              </w:rPr>
            </w:pPr>
            <w:r w:rsidRPr="008C4A39">
              <w:rPr>
                <w:szCs w:val="24"/>
              </w:rPr>
              <w:t>FR31</w:t>
            </w:r>
          </w:p>
        </w:tc>
        <w:tc>
          <w:tcPr>
            <w:tcW w:w="6930" w:type="dxa"/>
          </w:tcPr>
          <w:p w14:paraId="5B2E1CDE" w14:textId="77777777" w:rsidR="00366663" w:rsidRPr="008C4A39" w:rsidRDefault="00366663" w:rsidP="00883B07">
            <w:pPr>
              <w:spacing w:after="0"/>
              <w:rPr>
                <w:szCs w:val="24"/>
              </w:rPr>
            </w:pPr>
            <w:r w:rsidRPr="008C4A39">
              <w:rPr>
                <w:szCs w:val="24"/>
              </w:rPr>
              <w:t xml:space="preserve">The portal must contain </w:t>
            </w:r>
            <w:proofErr w:type="gramStart"/>
            <w:r w:rsidRPr="008C4A39">
              <w:rPr>
                <w:szCs w:val="24"/>
              </w:rPr>
              <w:t>a centralized</w:t>
            </w:r>
            <w:proofErr w:type="gramEnd"/>
            <w:r w:rsidRPr="008C4A39">
              <w:rPr>
                <w:szCs w:val="24"/>
              </w:rPr>
              <w:t xml:space="preserve"> content management. Further, the NSW Portal should provide a secure access to authorized access for users into the NSW system.</w:t>
            </w:r>
          </w:p>
        </w:tc>
      </w:tr>
      <w:tr w:rsidR="00366663" w:rsidRPr="008C4A39" w14:paraId="375A4650" w14:textId="77777777" w:rsidTr="00883B07">
        <w:trPr>
          <w:trHeight w:val="510"/>
        </w:trPr>
        <w:tc>
          <w:tcPr>
            <w:tcW w:w="9355" w:type="dxa"/>
            <w:gridSpan w:val="2"/>
            <w:noWrap/>
          </w:tcPr>
          <w:p w14:paraId="5C76099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5D362C1" w14:textId="77777777" w:rsidTr="00883B07">
        <w:trPr>
          <w:trHeight w:val="510"/>
        </w:trPr>
        <w:tc>
          <w:tcPr>
            <w:tcW w:w="9355" w:type="dxa"/>
            <w:gridSpan w:val="2"/>
            <w:noWrap/>
          </w:tcPr>
          <w:p w14:paraId="1D4832D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702C05D" w14:textId="77777777" w:rsidTr="00883B07">
        <w:trPr>
          <w:trHeight w:val="255"/>
        </w:trPr>
        <w:tc>
          <w:tcPr>
            <w:tcW w:w="2425" w:type="dxa"/>
            <w:noWrap/>
          </w:tcPr>
          <w:p w14:paraId="49808198" w14:textId="77777777" w:rsidR="00366663" w:rsidRPr="008C4A39" w:rsidRDefault="00366663" w:rsidP="00883B07">
            <w:pPr>
              <w:spacing w:after="0"/>
              <w:jc w:val="left"/>
              <w:rPr>
                <w:szCs w:val="24"/>
              </w:rPr>
            </w:pPr>
            <w:r w:rsidRPr="008C4A39">
              <w:rPr>
                <w:szCs w:val="24"/>
              </w:rPr>
              <w:t>FR32</w:t>
            </w:r>
          </w:p>
        </w:tc>
        <w:tc>
          <w:tcPr>
            <w:tcW w:w="6930" w:type="dxa"/>
          </w:tcPr>
          <w:p w14:paraId="61F88B3E" w14:textId="58A9A320" w:rsidR="00366663" w:rsidRPr="008C4A39" w:rsidRDefault="00366663" w:rsidP="00DE1F8A">
            <w:pPr>
              <w:spacing w:after="0"/>
              <w:rPr>
                <w:szCs w:val="24"/>
              </w:rPr>
            </w:pPr>
            <w:r w:rsidRPr="008C4A39">
              <w:rPr>
                <w:szCs w:val="24"/>
              </w:rPr>
              <w:t>The Portal should be able to display content in two languages – English and Macedonian</w:t>
            </w:r>
            <w:r w:rsidR="00722A2F">
              <w:rPr>
                <w:szCs w:val="24"/>
              </w:rPr>
              <w:t xml:space="preserve"> </w:t>
            </w:r>
            <w:r w:rsidR="00722A2F" w:rsidRPr="00DE1F8A">
              <w:rPr>
                <w:szCs w:val="24"/>
              </w:rPr>
              <w:t xml:space="preserve">(flexibility needed </w:t>
            </w:r>
            <w:proofErr w:type="gramStart"/>
            <w:r w:rsidR="00722A2F" w:rsidRPr="00DE1F8A">
              <w:rPr>
                <w:szCs w:val="24"/>
              </w:rPr>
              <w:t>with regard to</w:t>
            </w:r>
            <w:proofErr w:type="gramEnd"/>
            <w:r w:rsidR="00722A2F" w:rsidRPr="00DE1F8A">
              <w:rPr>
                <w:szCs w:val="24"/>
              </w:rPr>
              <w:t xml:space="preserve"> cha</w:t>
            </w:r>
            <w:r w:rsidR="00E11362" w:rsidRPr="00DE1F8A">
              <w:rPr>
                <w:szCs w:val="24"/>
              </w:rPr>
              <w:t>racter-set – roman and Cyrillic</w:t>
            </w:r>
            <w:r w:rsidR="00722A2F" w:rsidRPr="00DE1F8A">
              <w:rPr>
                <w:szCs w:val="24"/>
              </w:rPr>
              <w:t xml:space="preserve"> Support for UTF-</w:t>
            </w:r>
            <w:r w:rsidR="00E11362" w:rsidRPr="00DE1F8A">
              <w:rPr>
                <w:szCs w:val="24"/>
              </w:rPr>
              <w:t>8</w:t>
            </w:r>
            <w:r w:rsidR="00722A2F" w:rsidRPr="00DE1F8A">
              <w:rPr>
                <w:szCs w:val="24"/>
              </w:rPr>
              <w:t xml:space="preserve"> encoding)</w:t>
            </w:r>
            <w:r w:rsidRPr="00DE1F8A">
              <w:rPr>
                <w:szCs w:val="24"/>
              </w:rPr>
              <w:t>.</w:t>
            </w:r>
            <w:r w:rsidR="00050300" w:rsidRPr="00DE1F8A">
              <w:rPr>
                <w:szCs w:val="24"/>
              </w:rPr>
              <w:t xml:space="preserve"> (</w:t>
            </w:r>
            <w:r w:rsidR="00050300" w:rsidRPr="00DE1F8A">
              <w:rPr>
                <w:rStyle w:val="ui-provider"/>
                <w:rFonts w:eastAsia="Arial"/>
              </w:rPr>
              <w:t>Support for the Macedonian and English Language and regional settings (date, time, currency and number format, and other regional and cultural conventions at national level)</w:t>
            </w:r>
          </w:p>
        </w:tc>
      </w:tr>
      <w:tr w:rsidR="00366663" w:rsidRPr="008C4A39" w14:paraId="41578D95" w14:textId="77777777" w:rsidTr="00883B07">
        <w:trPr>
          <w:trHeight w:val="255"/>
        </w:trPr>
        <w:tc>
          <w:tcPr>
            <w:tcW w:w="9355" w:type="dxa"/>
            <w:gridSpan w:val="2"/>
            <w:noWrap/>
          </w:tcPr>
          <w:p w14:paraId="5F9A666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07BAC6D" w14:textId="77777777" w:rsidTr="00883B07">
        <w:trPr>
          <w:trHeight w:val="255"/>
        </w:trPr>
        <w:tc>
          <w:tcPr>
            <w:tcW w:w="9355" w:type="dxa"/>
            <w:gridSpan w:val="2"/>
            <w:noWrap/>
          </w:tcPr>
          <w:p w14:paraId="56DF52E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9C3B047" w14:textId="77777777" w:rsidTr="00883B07">
        <w:trPr>
          <w:trHeight w:val="510"/>
        </w:trPr>
        <w:tc>
          <w:tcPr>
            <w:tcW w:w="2425" w:type="dxa"/>
            <w:noWrap/>
          </w:tcPr>
          <w:p w14:paraId="3392A2E5" w14:textId="77777777" w:rsidR="00366663" w:rsidRPr="008C4A39" w:rsidRDefault="00366663" w:rsidP="00883B07">
            <w:pPr>
              <w:spacing w:after="0"/>
              <w:jc w:val="left"/>
              <w:rPr>
                <w:szCs w:val="24"/>
              </w:rPr>
            </w:pPr>
            <w:r w:rsidRPr="008C4A39">
              <w:rPr>
                <w:szCs w:val="24"/>
              </w:rPr>
              <w:t>FR33</w:t>
            </w:r>
          </w:p>
        </w:tc>
        <w:tc>
          <w:tcPr>
            <w:tcW w:w="6930" w:type="dxa"/>
          </w:tcPr>
          <w:p w14:paraId="1B80081B" w14:textId="77777777" w:rsidR="00366663" w:rsidRPr="008C4A39" w:rsidRDefault="00366663" w:rsidP="00883B07">
            <w:pPr>
              <w:spacing w:after="0"/>
              <w:rPr>
                <w:szCs w:val="24"/>
              </w:rPr>
            </w:pPr>
            <w:r w:rsidRPr="008C4A39">
              <w:rPr>
                <w:szCs w:val="24"/>
              </w:rPr>
              <w:t>The Portal must allow the User to update his/her profile; and if he/she is the entity administrator, shall be able to manage the entity’s registered employee accounts.</w:t>
            </w:r>
          </w:p>
        </w:tc>
      </w:tr>
      <w:tr w:rsidR="00366663" w:rsidRPr="008C4A39" w14:paraId="706C6D11" w14:textId="77777777" w:rsidTr="00883B07">
        <w:trPr>
          <w:trHeight w:val="510"/>
        </w:trPr>
        <w:tc>
          <w:tcPr>
            <w:tcW w:w="9355" w:type="dxa"/>
            <w:gridSpan w:val="2"/>
            <w:noWrap/>
          </w:tcPr>
          <w:p w14:paraId="034E5DAD"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2634BA7" w14:textId="77777777" w:rsidTr="00883B07">
        <w:trPr>
          <w:trHeight w:val="510"/>
        </w:trPr>
        <w:tc>
          <w:tcPr>
            <w:tcW w:w="9355" w:type="dxa"/>
            <w:gridSpan w:val="2"/>
            <w:noWrap/>
          </w:tcPr>
          <w:p w14:paraId="0AA1205D"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445FA9E" w14:textId="77777777" w:rsidTr="00883B07">
        <w:trPr>
          <w:trHeight w:val="510"/>
        </w:trPr>
        <w:tc>
          <w:tcPr>
            <w:tcW w:w="2425" w:type="dxa"/>
            <w:noWrap/>
          </w:tcPr>
          <w:p w14:paraId="165A2488" w14:textId="77777777" w:rsidR="00366663" w:rsidRPr="008C4A39" w:rsidRDefault="00366663" w:rsidP="00883B07">
            <w:pPr>
              <w:spacing w:after="0"/>
              <w:jc w:val="left"/>
              <w:rPr>
                <w:szCs w:val="24"/>
              </w:rPr>
            </w:pPr>
            <w:r w:rsidRPr="008C4A39">
              <w:rPr>
                <w:szCs w:val="24"/>
              </w:rPr>
              <w:t>FR34</w:t>
            </w:r>
          </w:p>
        </w:tc>
        <w:tc>
          <w:tcPr>
            <w:tcW w:w="6930" w:type="dxa"/>
          </w:tcPr>
          <w:p w14:paraId="1B38273C" w14:textId="77777777" w:rsidR="00366663" w:rsidRPr="008C4A39" w:rsidRDefault="00366663" w:rsidP="00883B07">
            <w:pPr>
              <w:spacing w:after="0"/>
              <w:rPr>
                <w:szCs w:val="24"/>
              </w:rPr>
            </w:pPr>
            <w:r w:rsidRPr="008C4A39">
              <w:rPr>
                <w:szCs w:val="24"/>
              </w:rPr>
              <w:t>The content and information to be displayed on the Portal should be managed and administered via the “NSW Portal Administration” functionality, which must contain a centralized content management.</w:t>
            </w:r>
          </w:p>
        </w:tc>
      </w:tr>
      <w:tr w:rsidR="00366663" w:rsidRPr="008C4A39" w14:paraId="3FEDB38E" w14:textId="77777777" w:rsidTr="00883B07">
        <w:trPr>
          <w:trHeight w:val="510"/>
        </w:trPr>
        <w:tc>
          <w:tcPr>
            <w:tcW w:w="9355" w:type="dxa"/>
            <w:gridSpan w:val="2"/>
            <w:noWrap/>
          </w:tcPr>
          <w:p w14:paraId="1BAC66B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132064A" w14:textId="77777777" w:rsidTr="00883B07">
        <w:trPr>
          <w:trHeight w:val="510"/>
        </w:trPr>
        <w:tc>
          <w:tcPr>
            <w:tcW w:w="9355" w:type="dxa"/>
            <w:gridSpan w:val="2"/>
            <w:noWrap/>
          </w:tcPr>
          <w:p w14:paraId="1D0E1B17"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B716B01" w14:textId="77777777" w:rsidTr="00883B07">
        <w:trPr>
          <w:trHeight w:val="765"/>
        </w:trPr>
        <w:tc>
          <w:tcPr>
            <w:tcW w:w="2425" w:type="dxa"/>
            <w:noWrap/>
          </w:tcPr>
          <w:p w14:paraId="372822EB" w14:textId="77777777" w:rsidR="00366663" w:rsidRPr="008C4A39" w:rsidRDefault="00366663" w:rsidP="00883B07">
            <w:pPr>
              <w:spacing w:after="0"/>
              <w:jc w:val="left"/>
              <w:rPr>
                <w:szCs w:val="24"/>
              </w:rPr>
            </w:pPr>
            <w:r w:rsidRPr="008C4A39">
              <w:rPr>
                <w:szCs w:val="24"/>
              </w:rPr>
              <w:t>FR35</w:t>
            </w:r>
          </w:p>
        </w:tc>
        <w:tc>
          <w:tcPr>
            <w:tcW w:w="6930" w:type="dxa"/>
          </w:tcPr>
          <w:p w14:paraId="19D069A4" w14:textId="77777777" w:rsidR="00366663" w:rsidRPr="008C4A39" w:rsidRDefault="00366663" w:rsidP="00883B07">
            <w:pPr>
              <w:spacing w:after="0"/>
              <w:rPr>
                <w:szCs w:val="24"/>
              </w:rPr>
            </w:pPr>
            <w:r w:rsidRPr="008C4A39">
              <w:rPr>
                <w:szCs w:val="24"/>
              </w:rPr>
              <w:t>The NSW Portal must provide a secure access to authorized users into the NSW system, with strictly controlled access and privileges based on Role Based Access Control (RBAC) mechanism defined through the “NSW Portal Administration”.</w:t>
            </w:r>
          </w:p>
        </w:tc>
      </w:tr>
      <w:tr w:rsidR="00366663" w:rsidRPr="008C4A39" w14:paraId="4B40EF65" w14:textId="77777777" w:rsidTr="00883B07">
        <w:trPr>
          <w:trHeight w:val="431"/>
        </w:trPr>
        <w:tc>
          <w:tcPr>
            <w:tcW w:w="9355" w:type="dxa"/>
            <w:gridSpan w:val="2"/>
            <w:noWrap/>
          </w:tcPr>
          <w:p w14:paraId="7922E89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65E40D4" w14:textId="77777777" w:rsidTr="00883B07">
        <w:trPr>
          <w:trHeight w:val="431"/>
        </w:trPr>
        <w:tc>
          <w:tcPr>
            <w:tcW w:w="9355" w:type="dxa"/>
            <w:gridSpan w:val="2"/>
            <w:noWrap/>
          </w:tcPr>
          <w:p w14:paraId="152CE51D"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48E4B29" w14:textId="77777777" w:rsidTr="00883B07">
        <w:trPr>
          <w:trHeight w:val="863"/>
        </w:trPr>
        <w:tc>
          <w:tcPr>
            <w:tcW w:w="2425" w:type="dxa"/>
            <w:noWrap/>
          </w:tcPr>
          <w:p w14:paraId="18EA072B" w14:textId="77777777" w:rsidR="00366663" w:rsidRPr="008C4A39" w:rsidRDefault="00366663" w:rsidP="00883B07">
            <w:pPr>
              <w:spacing w:after="0"/>
              <w:jc w:val="left"/>
              <w:rPr>
                <w:szCs w:val="24"/>
              </w:rPr>
            </w:pPr>
            <w:r w:rsidRPr="008C4A39">
              <w:rPr>
                <w:szCs w:val="24"/>
              </w:rPr>
              <w:t>FR36</w:t>
            </w:r>
          </w:p>
        </w:tc>
        <w:tc>
          <w:tcPr>
            <w:tcW w:w="6930" w:type="dxa"/>
          </w:tcPr>
          <w:p w14:paraId="6521C3BA" w14:textId="77777777" w:rsidR="00366663" w:rsidRPr="008C4A39" w:rsidRDefault="00366663" w:rsidP="00883B07">
            <w:pPr>
              <w:spacing w:after="0"/>
              <w:rPr>
                <w:szCs w:val="24"/>
              </w:rPr>
            </w:pPr>
            <w:r w:rsidRPr="008C4A39">
              <w:rPr>
                <w:szCs w:val="24"/>
              </w:rPr>
              <w:t>The type of content that NSW Portal shall display shall include (but not limited) to:</w:t>
            </w:r>
          </w:p>
          <w:p w14:paraId="5B5E9EDF"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Static Content and Dynamic Content – The various types of static and dynamic content / information, static web pages, animation, videos etc.; Information about the stakeholders, their roles, functions, policies and </w:t>
            </w:r>
            <w:proofErr w:type="gramStart"/>
            <w:r w:rsidRPr="008C4A39">
              <w:rPr>
                <w:szCs w:val="24"/>
              </w:rPr>
              <w:t>guide-lines</w:t>
            </w:r>
            <w:proofErr w:type="gramEnd"/>
            <w:r w:rsidRPr="008C4A39">
              <w:rPr>
                <w:szCs w:val="24"/>
              </w:rPr>
              <w:t>, contacts information, etc.;</w:t>
            </w:r>
          </w:p>
          <w:p w14:paraId="5801A4DB" w14:textId="77777777" w:rsidR="00366663" w:rsidRPr="008C4A39" w:rsidRDefault="00366663" w:rsidP="00D530D5">
            <w:pPr>
              <w:pStyle w:val="ListParagraph"/>
              <w:numPr>
                <w:ilvl w:val="0"/>
                <w:numId w:val="106"/>
              </w:numPr>
              <w:spacing w:after="0"/>
              <w:ind w:left="345" w:hanging="345"/>
              <w:rPr>
                <w:szCs w:val="24"/>
              </w:rPr>
            </w:pPr>
            <w:r w:rsidRPr="008C4A39">
              <w:rPr>
                <w:szCs w:val="24"/>
              </w:rPr>
              <w:lastRenderedPageBreak/>
              <w:t xml:space="preserve">Information about Services available, criteria, applicable fees, process and compliance requirements </w:t>
            </w:r>
            <w:proofErr w:type="gramStart"/>
            <w:r w:rsidRPr="008C4A39">
              <w:rPr>
                <w:szCs w:val="24"/>
              </w:rPr>
              <w:t>etc.;</w:t>
            </w:r>
            <w:proofErr w:type="gramEnd"/>
          </w:p>
          <w:p w14:paraId="521E4936"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News and </w:t>
            </w:r>
            <w:proofErr w:type="gramStart"/>
            <w:r w:rsidRPr="008C4A39">
              <w:rPr>
                <w:szCs w:val="24"/>
              </w:rPr>
              <w:t>Events;</w:t>
            </w:r>
            <w:proofErr w:type="gramEnd"/>
          </w:p>
          <w:p w14:paraId="6EEB8CC8"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Frequently Asked Questions (FAQ) / integration with Chabot / Knowledge </w:t>
            </w:r>
            <w:proofErr w:type="gramStart"/>
            <w:r w:rsidRPr="008C4A39">
              <w:rPr>
                <w:szCs w:val="24"/>
              </w:rPr>
              <w:t>repository;</w:t>
            </w:r>
            <w:proofErr w:type="gramEnd"/>
          </w:p>
          <w:p w14:paraId="5D84D1A3"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Key initiatives on Trade </w:t>
            </w:r>
            <w:proofErr w:type="gramStart"/>
            <w:r w:rsidRPr="008C4A39">
              <w:rPr>
                <w:szCs w:val="24"/>
              </w:rPr>
              <w:t>facilitation;</w:t>
            </w:r>
            <w:proofErr w:type="gramEnd"/>
          </w:p>
          <w:p w14:paraId="4B6B3328"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Photo Gallery / Video </w:t>
            </w:r>
            <w:proofErr w:type="gramStart"/>
            <w:r w:rsidRPr="008C4A39">
              <w:rPr>
                <w:szCs w:val="24"/>
              </w:rPr>
              <w:t>gallery;</w:t>
            </w:r>
            <w:proofErr w:type="gramEnd"/>
          </w:p>
          <w:p w14:paraId="6A96504F"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News / Communications from </w:t>
            </w:r>
            <w:proofErr w:type="gramStart"/>
            <w:r w:rsidRPr="008C4A39">
              <w:rPr>
                <w:szCs w:val="24"/>
              </w:rPr>
              <w:t>CBRAs;</w:t>
            </w:r>
            <w:proofErr w:type="gramEnd"/>
          </w:p>
          <w:p w14:paraId="2393CB2E" w14:textId="77777777" w:rsidR="00366663" w:rsidRPr="008C4A39" w:rsidRDefault="00366663" w:rsidP="00D530D5">
            <w:pPr>
              <w:pStyle w:val="ListParagraph"/>
              <w:numPr>
                <w:ilvl w:val="0"/>
                <w:numId w:val="106"/>
              </w:numPr>
              <w:spacing w:after="0"/>
              <w:ind w:left="345" w:hanging="345"/>
              <w:rPr>
                <w:szCs w:val="24"/>
              </w:rPr>
            </w:pPr>
            <w:r w:rsidRPr="008C4A39">
              <w:rPr>
                <w:szCs w:val="24"/>
              </w:rPr>
              <w:t xml:space="preserve">Site Map and navigation </w:t>
            </w:r>
            <w:proofErr w:type="gramStart"/>
            <w:r w:rsidRPr="008C4A39">
              <w:rPr>
                <w:szCs w:val="24"/>
              </w:rPr>
              <w:t>directions;</w:t>
            </w:r>
            <w:proofErr w:type="gramEnd"/>
          </w:p>
          <w:p w14:paraId="77E66D70" w14:textId="77777777" w:rsidR="00366663" w:rsidRPr="008C4A39" w:rsidRDefault="00366663" w:rsidP="00D530D5">
            <w:pPr>
              <w:pStyle w:val="ListParagraph"/>
              <w:numPr>
                <w:ilvl w:val="0"/>
                <w:numId w:val="106"/>
              </w:numPr>
              <w:spacing w:after="0"/>
              <w:ind w:left="345" w:hanging="345"/>
              <w:rPr>
                <w:szCs w:val="24"/>
              </w:rPr>
            </w:pPr>
            <w:r w:rsidRPr="008C4A39">
              <w:rPr>
                <w:szCs w:val="24"/>
              </w:rPr>
              <w:t>Information Desk / Helpdesk and other contact details; and</w:t>
            </w:r>
          </w:p>
          <w:p w14:paraId="5E0157B3" w14:textId="77777777" w:rsidR="00366663" w:rsidRPr="008C4A39" w:rsidRDefault="00366663" w:rsidP="00D530D5">
            <w:pPr>
              <w:pStyle w:val="ListParagraph"/>
              <w:numPr>
                <w:ilvl w:val="0"/>
                <w:numId w:val="106"/>
              </w:numPr>
              <w:spacing w:after="0"/>
              <w:ind w:left="345" w:hanging="345"/>
              <w:rPr>
                <w:szCs w:val="24"/>
              </w:rPr>
            </w:pPr>
            <w:r w:rsidRPr="008C4A39">
              <w:rPr>
                <w:szCs w:val="24"/>
              </w:rPr>
              <w:t>Quick links to external applications / sites, as applicable.</w:t>
            </w:r>
          </w:p>
        </w:tc>
      </w:tr>
      <w:tr w:rsidR="00366663" w:rsidRPr="008C4A39" w14:paraId="4D561384" w14:textId="77777777" w:rsidTr="00883B07">
        <w:trPr>
          <w:trHeight w:val="557"/>
        </w:trPr>
        <w:tc>
          <w:tcPr>
            <w:tcW w:w="9355" w:type="dxa"/>
            <w:gridSpan w:val="2"/>
            <w:noWrap/>
          </w:tcPr>
          <w:p w14:paraId="11E65BA2" w14:textId="77777777" w:rsidR="00366663" w:rsidRPr="008C4A39" w:rsidRDefault="00366663" w:rsidP="00883B07">
            <w:pPr>
              <w:ind w:right="-360"/>
              <w:jc w:val="left"/>
              <w:rPr>
                <w:szCs w:val="24"/>
              </w:rPr>
            </w:pPr>
            <w:r w:rsidRPr="008C4A39">
              <w:rPr>
                <w:szCs w:val="24"/>
              </w:rPr>
              <w:lastRenderedPageBreak/>
              <w:t xml:space="preserve">Bidder’s technical reasons supporting compliance:  </w:t>
            </w:r>
          </w:p>
        </w:tc>
      </w:tr>
      <w:tr w:rsidR="00366663" w:rsidRPr="008C4A39" w14:paraId="425924F5" w14:textId="77777777" w:rsidTr="00883B07">
        <w:trPr>
          <w:trHeight w:val="440"/>
        </w:trPr>
        <w:tc>
          <w:tcPr>
            <w:tcW w:w="9355" w:type="dxa"/>
            <w:gridSpan w:val="2"/>
            <w:noWrap/>
          </w:tcPr>
          <w:p w14:paraId="7A379B9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48E3CF0" w14:textId="77777777" w:rsidTr="00883B07">
        <w:trPr>
          <w:trHeight w:val="765"/>
        </w:trPr>
        <w:tc>
          <w:tcPr>
            <w:tcW w:w="2425" w:type="dxa"/>
            <w:noWrap/>
          </w:tcPr>
          <w:p w14:paraId="70EBA5E4" w14:textId="77777777" w:rsidR="00366663" w:rsidRPr="008C4A39" w:rsidRDefault="00366663" w:rsidP="00883B07">
            <w:pPr>
              <w:spacing w:after="0"/>
              <w:jc w:val="left"/>
              <w:rPr>
                <w:szCs w:val="24"/>
              </w:rPr>
            </w:pPr>
            <w:r w:rsidRPr="008C4A39">
              <w:rPr>
                <w:szCs w:val="24"/>
              </w:rPr>
              <w:t>FR37</w:t>
            </w:r>
          </w:p>
        </w:tc>
        <w:tc>
          <w:tcPr>
            <w:tcW w:w="6930" w:type="dxa"/>
          </w:tcPr>
          <w:p w14:paraId="1B480255" w14:textId="77777777" w:rsidR="00366663" w:rsidRPr="008C4A39" w:rsidRDefault="00366663" w:rsidP="00883B07">
            <w:pPr>
              <w:spacing w:after="0"/>
              <w:rPr>
                <w:szCs w:val="24"/>
              </w:rPr>
            </w:pPr>
            <w:r w:rsidRPr="008C4A39">
              <w:rPr>
                <w:szCs w:val="24"/>
              </w:rPr>
              <w:t>The NSW Portal must allow for regular publication reports/information/statistics for viewing, and selected download of reports and statistics. These contents can be configured to be automatically updated on the portal as defined by the authorized content publisher in the Portal “Content Management” functionality.</w:t>
            </w:r>
          </w:p>
        </w:tc>
      </w:tr>
      <w:tr w:rsidR="00366663" w:rsidRPr="008C4A39" w14:paraId="43D49235" w14:textId="77777777" w:rsidTr="00883B07">
        <w:trPr>
          <w:trHeight w:val="494"/>
        </w:trPr>
        <w:tc>
          <w:tcPr>
            <w:tcW w:w="9355" w:type="dxa"/>
            <w:gridSpan w:val="2"/>
            <w:noWrap/>
          </w:tcPr>
          <w:p w14:paraId="4FC496A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8202381" w14:textId="77777777" w:rsidTr="00883B07">
        <w:trPr>
          <w:trHeight w:val="440"/>
        </w:trPr>
        <w:tc>
          <w:tcPr>
            <w:tcW w:w="9355" w:type="dxa"/>
            <w:gridSpan w:val="2"/>
            <w:noWrap/>
          </w:tcPr>
          <w:p w14:paraId="4CF9D9AA"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05B40E1" w14:textId="77777777" w:rsidTr="00883B07">
        <w:trPr>
          <w:trHeight w:val="510"/>
        </w:trPr>
        <w:tc>
          <w:tcPr>
            <w:tcW w:w="2425" w:type="dxa"/>
            <w:noWrap/>
          </w:tcPr>
          <w:p w14:paraId="73FED00C" w14:textId="77777777" w:rsidR="00366663" w:rsidRPr="008C4A39" w:rsidRDefault="00366663" w:rsidP="00883B07">
            <w:pPr>
              <w:spacing w:after="0"/>
              <w:jc w:val="left"/>
              <w:rPr>
                <w:szCs w:val="24"/>
              </w:rPr>
            </w:pPr>
            <w:r w:rsidRPr="008C4A39">
              <w:rPr>
                <w:szCs w:val="24"/>
              </w:rPr>
              <w:t>FR38</w:t>
            </w:r>
          </w:p>
        </w:tc>
        <w:tc>
          <w:tcPr>
            <w:tcW w:w="6930" w:type="dxa"/>
            <w:tcBorders>
              <w:bottom w:val="single" w:sz="4" w:space="0" w:color="auto"/>
            </w:tcBorders>
          </w:tcPr>
          <w:p w14:paraId="11804171" w14:textId="77777777" w:rsidR="00366663" w:rsidRPr="008C4A39" w:rsidRDefault="00366663" w:rsidP="00883B07">
            <w:pPr>
              <w:spacing w:after="0"/>
              <w:rPr>
                <w:szCs w:val="24"/>
              </w:rPr>
            </w:pPr>
            <w:r w:rsidRPr="008C4A39">
              <w:rPr>
                <w:szCs w:val="24"/>
              </w:rPr>
              <w:t>On the UI, the NSW Portal shall cater for configurable and customizable dashboard. The UI should allow the User personalization features to configure the dashboard display for his purposes.</w:t>
            </w:r>
          </w:p>
        </w:tc>
      </w:tr>
      <w:tr w:rsidR="00366663" w:rsidRPr="008C4A39" w14:paraId="450C8AE7" w14:textId="77777777" w:rsidTr="00883B07">
        <w:trPr>
          <w:trHeight w:val="510"/>
        </w:trPr>
        <w:tc>
          <w:tcPr>
            <w:tcW w:w="9355" w:type="dxa"/>
            <w:gridSpan w:val="2"/>
            <w:noWrap/>
          </w:tcPr>
          <w:p w14:paraId="47D4AD6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73988B9" w14:textId="77777777" w:rsidTr="00883B07">
        <w:trPr>
          <w:trHeight w:val="510"/>
        </w:trPr>
        <w:tc>
          <w:tcPr>
            <w:tcW w:w="9355" w:type="dxa"/>
            <w:gridSpan w:val="2"/>
            <w:noWrap/>
          </w:tcPr>
          <w:p w14:paraId="0D39A347"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CF46957" w14:textId="77777777" w:rsidTr="00883B07">
        <w:trPr>
          <w:trHeight w:val="647"/>
        </w:trPr>
        <w:tc>
          <w:tcPr>
            <w:tcW w:w="2425" w:type="dxa"/>
            <w:tcBorders>
              <w:right w:val="single" w:sz="4" w:space="0" w:color="auto"/>
            </w:tcBorders>
            <w:noWrap/>
          </w:tcPr>
          <w:p w14:paraId="753F084E" w14:textId="77777777" w:rsidR="00366663" w:rsidRPr="008C4A39" w:rsidRDefault="00366663" w:rsidP="00883B07">
            <w:pPr>
              <w:spacing w:after="0"/>
              <w:jc w:val="left"/>
              <w:rPr>
                <w:szCs w:val="24"/>
              </w:rPr>
            </w:pPr>
            <w:r w:rsidRPr="008C4A39">
              <w:rPr>
                <w:szCs w:val="24"/>
              </w:rPr>
              <w:t>FR39</w:t>
            </w:r>
          </w:p>
        </w:tc>
        <w:tc>
          <w:tcPr>
            <w:tcW w:w="6930" w:type="dxa"/>
            <w:tcBorders>
              <w:top w:val="single" w:sz="4" w:space="0" w:color="auto"/>
              <w:left w:val="single" w:sz="4" w:space="0" w:color="auto"/>
              <w:bottom w:val="single" w:sz="4" w:space="0" w:color="auto"/>
              <w:right w:val="single" w:sz="4" w:space="0" w:color="auto"/>
            </w:tcBorders>
          </w:tcPr>
          <w:p w14:paraId="0E2E9625" w14:textId="77777777" w:rsidR="00366663" w:rsidRPr="008C4A39" w:rsidRDefault="00366663" w:rsidP="00883B07">
            <w:pPr>
              <w:spacing w:after="0"/>
              <w:rPr>
                <w:szCs w:val="24"/>
              </w:rPr>
            </w:pPr>
            <w:r w:rsidRPr="008C4A39">
              <w:rPr>
                <w:szCs w:val="24"/>
              </w:rPr>
              <w:t>The following key features are required to be implemented for the personal dashboard facility:</w:t>
            </w:r>
          </w:p>
          <w:p w14:paraId="2C42BC05" w14:textId="77777777" w:rsidR="00366663" w:rsidRPr="008C4A39" w:rsidRDefault="00366663" w:rsidP="00D530D5">
            <w:pPr>
              <w:pStyle w:val="ListParagraph"/>
              <w:numPr>
                <w:ilvl w:val="0"/>
                <w:numId w:val="107"/>
              </w:numPr>
              <w:spacing w:after="0"/>
              <w:rPr>
                <w:szCs w:val="24"/>
              </w:rPr>
            </w:pPr>
            <w:r w:rsidRPr="008C4A39">
              <w:rPr>
                <w:szCs w:val="24"/>
              </w:rPr>
              <w:t xml:space="preserve">Summary of all activities, service requests, status etc. as first landing </w:t>
            </w:r>
            <w:proofErr w:type="gramStart"/>
            <w:r w:rsidRPr="008C4A39">
              <w:rPr>
                <w:szCs w:val="24"/>
              </w:rPr>
              <w:t>page;</w:t>
            </w:r>
            <w:proofErr w:type="gramEnd"/>
          </w:p>
          <w:p w14:paraId="1733D699" w14:textId="77777777" w:rsidR="00366663" w:rsidRPr="008C4A39" w:rsidRDefault="00366663" w:rsidP="00D530D5">
            <w:pPr>
              <w:pStyle w:val="ListParagraph"/>
              <w:numPr>
                <w:ilvl w:val="0"/>
                <w:numId w:val="107"/>
              </w:numPr>
              <w:spacing w:after="0"/>
              <w:rPr>
                <w:szCs w:val="24"/>
              </w:rPr>
            </w:pPr>
            <w:r w:rsidRPr="008C4A39">
              <w:rPr>
                <w:szCs w:val="24"/>
              </w:rPr>
              <w:t xml:space="preserve">Quick Links – Links within the application as well as external links to access any application functionality or website other than </w:t>
            </w:r>
            <w:proofErr w:type="gramStart"/>
            <w:r w:rsidRPr="008C4A39">
              <w:rPr>
                <w:szCs w:val="24"/>
              </w:rPr>
              <w:t>NSW;</w:t>
            </w:r>
            <w:proofErr w:type="gramEnd"/>
          </w:p>
          <w:p w14:paraId="3ABC69B3" w14:textId="77777777" w:rsidR="00366663" w:rsidRPr="008C4A39" w:rsidRDefault="00366663" w:rsidP="00D530D5">
            <w:pPr>
              <w:pStyle w:val="ListParagraph"/>
              <w:numPr>
                <w:ilvl w:val="0"/>
                <w:numId w:val="107"/>
              </w:numPr>
              <w:spacing w:after="0"/>
              <w:rPr>
                <w:szCs w:val="24"/>
              </w:rPr>
            </w:pPr>
            <w:r w:rsidRPr="008C4A39">
              <w:rPr>
                <w:szCs w:val="24"/>
              </w:rPr>
              <w:t xml:space="preserve">Pending or Outstanding Activities/Tasks List – arranged sequentially, based on type of tasks. The standard sequence of completing the tasks should be on First-in-First-out (FIFO) basis, with override </w:t>
            </w:r>
            <w:proofErr w:type="gramStart"/>
            <w:r w:rsidRPr="008C4A39">
              <w:rPr>
                <w:szCs w:val="24"/>
              </w:rPr>
              <w:t>feature;</w:t>
            </w:r>
            <w:proofErr w:type="gramEnd"/>
          </w:p>
          <w:p w14:paraId="692FC1C1" w14:textId="77777777" w:rsidR="00366663" w:rsidRPr="008C4A39" w:rsidRDefault="00366663" w:rsidP="00D530D5">
            <w:pPr>
              <w:pStyle w:val="ListParagraph"/>
              <w:numPr>
                <w:ilvl w:val="0"/>
                <w:numId w:val="107"/>
              </w:numPr>
              <w:spacing w:after="0"/>
              <w:rPr>
                <w:szCs w:val="24"/>
              </w:rPr>
            </w:pPr>
            <w:r w:rsidRPr="008C4A39">
              <w:rPr>
                <w:szCs w:val="24"/>
              </w:rPr>
              <w:t xml:space="preserve">Completed Activities / Tasks – All the completed activities / tasks should be dis-played to the concerned </w:t>
            </w:r>
            <w:proofErr w:type="gramStart"/>
            <w:r w:rsidRPr="008C4A39">
              <w:rPr>
                <w:szCs w:val="24"/>
              </w:rPr>
              <w:t>user,</w:t>
            </w:r>
            <w:proofErr w:type="gramEnd"/>
            <w:r w:rsidRPr="008C4A39">
              <w:rPr>
                <w:szCs w:val="24"/>
              </w:rPr>
              <w:t xml:space="preserve"> in case the user wants to refer to it in future;</w:t>
            </w:r>
          </w:p>
          <w:p w14:paraId="6828FF20" w14:textId="77777777" w:rsidR="00366663" w:rsidRPr="008C4A39" w:rsidRDefault="00366663" w:rsidP="00D530D5">
            <w:pPr>
              <w:pStyle w:val="ListParagraph"/>
              <w:numPr>
                <w:ilvl w:val="0"/>
                <w:numId w:val="107"/>
              </w:numPr>
              <w:spacing w:after="0"/>
              <w:rPr>
                <w:szCs w:val="24"/>
              </w:rPr>
            </w:pPr>
            <w:r w:rsidRPr="008C4A39">
              <w:rPr>
                <w:szCs w:val="24"/>
              </w:rPr>
              <w:lastRenderedPageBreak/>
              <w:t>To display MIS reports retrieved from the NSW MIS functionality; and</w:t>
            </w:r>
          </w:p>
          <w:p w14:paraId="07D04BB1" w14:textId="77777777" w:rsidR="00366663" w:rsidRPr="008C4A39" w:rsidRDefault="00366663" w:rsidP="00D530D5">
            <w:pPr>
              <w:pStyle w:val="ListParagraph"/>
              <w:numPr>
                <w:ilvl w:val="0"/>
                <w:numId w:val="107"/>
              </w:numPr>
              <w:spacing w:after="0"/>
              <w:rPr>
                <w:szCs w:val="24"/>
              </w:rPr>
            </w:pPr>
            <w:r w:rsidRPr="008C4A39">
              <w:rPr>
                <w:szCs w:val="24"/>
              </w:rPr>
              <w:t>Escalations/ Red Flags – Related to any notifications, alerts etc. as per pre-defined logic or escalation matrix.</w:t>
            </w:r>
          </w:p>
        </w:tc>
      </w:tr>
      <w:tr w:rsidR="00366663" w:rsidRPr="008C4A39" w14:paraId="11C216A5" w14:textId="77777777" w:rsidTr="00883B07">
        <w:trPr>
          <w:trHeight w:val="647"/>
        </w:trPr>
        <w:tc>
          <w:tcPr>
            <w:tcW w:w="9355" w:type="dxa"/>
            <w:gridSpan w:val="2"/>
            <w:tcBorders>
              <w:right w:val="single" w:sz="4" w:space="0" w:color="auto"/>
            </w:tcBorders>
            <w:noWrap/>
          </w:tcPr>
          <w:p w14:paraId="277A169C" w14:textId="77777777" w:rsidR="00366663" w:rsidRPr="008C4A39" w:rsidRDefault="00366663" w:rsidP="00883B07">
            <w:pPr>
              <w:ind w:right="-360"/>
              <w:jc w:val="left"/>
              <w:rPr>
                <w:szCs w:val="24"/>
              </w:rPr>
            </w:pPr>
            <w:r w:rsidRPr="008C4A39">
              <w:rPr>
                <w:szCs w:val="24"/>
              </w:rPr>
              <w:lastRenderedPageBreak/>
              <w:t xml:space="preserve">Bidder’s technical reasons supporting compliance: </w:t>
            </w:r>
          </w:p>
        </w:tc>
      </w:tr>
      <w:tr w:rsidR="00366663" w:rsidRPr="008C4A39" w14:paraId="2F75AC27" w14:textId="77777777" w:rsidTr="00883B07">
        <w:trPr>
          <w:trHeight w:val="647"/>
        </w:trPr>
        <w:tc>
          <w:tcPr>
            <w:tcW w:w="9355" w:type="dxa"/>
            <w:gridSpan w:val="2"/>
            <w:tcBorders>
              <w:right w:val="single" w:sz="4" w:space="0" w:color="auto"/>
            </w:tcBorders>
            <w:noWrap/>
          </w:tcPr>
          <w:p w14:paraId="5DEB85B7"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7265892" w14:textId="77777777" w:rsidTr="00883B07">
        <w:trPr>
          <w:trHeight w:val="255"/>
        </w:trPr>
        <w:tc>
          <w:tcPr>
            <w:tcW w:w="2425" w:type="dxa"/>
            <w:noWrap/>
          </w:tcPr>
          <w:p w14:paraId="505A1282" w14:textId="77777777" w:rsidR="00366663" w:rsidRPr="008C4A39" w:rsidRDefault="00366663" w:rsidP="00883B07">
            <w:pPr>
              <w:spacing w:after="0"/>
              <w:jc w:val="left"/>
              <w:rPr>
                <w:szCs w:val="24"/>
              </w:rPr>
            </w:pPr>
            <w:r w:rsidRPr="008C4A39">
              <w:rPr>
                <w:szCs w:val="24"/>
              </w:rPr>
              <w:t>FR40</w:t>
            </w:r>
          </w:p>
        </w:tc>
        <w:tc>
          <w:tcPr>
            <w:tcW w:w="6930" w:type="dxa"/>
            <w:tcBorders>
              <w:top w:val="single" w:sz="4" w:space="0" w:color="auto"/>
            </w:tcBorders>
          </w:tcPr>
          <w:p w14:paraId="2A84E3DD" w14:textId="77777777" w:rsidR="00366663" w:rsidRPr="008C4A39" w:rsidRDefault="00366663" w:rsidP="00883B07">
            <w:pPr>
              <w:spacing w:after="0"/>
              <w:rPr>
                <w:szCs w:val="24"/>
              </w:rPr>
            </w:pPr>
            <w:r w:rsidRPr="008C4A39">
              <w:rPr>
                <w:szCs w:val="24"/>
              </w:rPr>
              <w:t>The NSW Portal must provide an audit trail function should capture any such input in the system.</w:t>
            </w:r>
          </w:p>
        </w:tc>
      </w:tr>
      <w:tr w:rsidR="00366663" w:rsidRPr="008C4A39" w14:paraId="7321EBE8" w14:textId="77777777" w:rsidTr="00883B07">
        <w:trPr>
          <w:trHeight w:val="255"/>
        </w:trPr>
        <w:tc>
          <w:tcPr>
            <w:tcW w:w="9355" w:type="dxa"/>
            <w:gridSpan w:val="2"/>
            <w:noWrap/>
          </w:tcPr>
          <w:p w14:paraId="2520B73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64DADD4" w14:textId="77777777" w:rsidTr="00883B07">
        <w:trPr>
          <w:trHeight w:val="255"/>
        </w:trPr>
        <w:tc>
          <w:tcPr>
            <w:tcW w:w="9355" w:type="dxa"/>
            <w:gridSpan w:val="2"/>
            <w:noWrap/>
          </w:tcPr>
          <w:p w14:paraId="77641A3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C86936B" w14:textId="77777777" w:rsidTr="00883B07">
        <w:trPr>
          <w:trHeight w:val="510"/>
        </w:trPr>
        <w:tc>
          <w:tcPr>
            <w:tcW w:w="2425" w:type="dxa"/>
            <w:noWrap/>
          </w:tcPr>
          <w:p w14:paraId="7D128ABC" w14:textId="77777777" w:rsidR="00366663" w:rsidRPr="008C4A39" w:rsidRDefault="00366663" w:rsidP="00883B07">
            <w:pPr>
              <w:spacing w:after="0"/>
              <w:jc w:val="left"/>
              <w:rPr>
                <w:szCs w:val="24"/>
              </w:rPr>
            </w:pPr>
            <w:r w:rsidRPr="008C4A39">
              <w:rPr>
                <w:szCs w:val="24"/>
              </w:rPr>
              <w:t>FR41</w:t>
            </w:r>
          </w:p>
        </w:tc>
        <w:tc>
          <w:tcPr>
            <w:tcW w:w="6930" w:type="dxa"/>
          </w:tcPr>
          <w:p w14:paraId="4B613DA4" w14:textId="77777777" w:rsidR="00366663" w:rsidRPr="008C4A39" w:rsidRDefault="00366663" w:rsidP="00883B07">
            <w:pPr>
              <w:spacing w:after="0"/>
              <w:rPr>
                <w:szCs w:val="24"/>
              </w:rPr>
            </w:pPr>
            <w:r w:rsidRPr="008C4A39">
              <w:rPr>
                <w:szCs w:val="24"/>
              </w:rPr>
              <w:t xml:space="preserve">The NSW Portal must provide three separate UI functional sets - Trader UI, Government Agency </w:t>
            </w:r>
            <w:proofErr w:type="gramStart"/>
            <w:r w:rsidRPr="008C4A39">
              <w:rPr>
                <w:szCs w:val="24"/>
              </w:rPr>
              <w:t>UI</w:t>
            </w:r>
            <w:proofErr w:type="gramEnd"/>
            <w:r w:rsidRPr="008C4A39">
              <w:rPr>
                <w:szCs w:val="24"/>
              </w:rPr>
              <w:t xml:space="preserve"> and Information Services UI.</w:t>
            </w:r>
          </w:p>
        </w:tc>
      </w:tr>
      <w:tr w:rsidR="00366663" w:rsidRPr="008C4A39" w14:paraId="7E621A68" w14:textId="77777777" w:rsidTr="00883B07">
        <w:trPr>
          <w:trHeight w:val="510"/>
        </w:trPr>
        <w:tc>
          <w:tcPr>
            <w:tcW w:w="9355" w:type="dxa"/>
            <w:gridSpan w:val="2"/>
            <w:noWrap/>
          </w:tcPr>
          <w:p w14:paraId="01D25DB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3F056D27" w14:textId="77777777" w:rsidTr="00883B07">
        <w:trPr>
          <w:trHeight w:val="510"/>
        </w:trPr>
        <w:tc>
          <w:tcPr>
            <w:tcW w:w="9355" w:type="dxa"/>
            <w:gridSpan w:val="2"/>
            <w:noWrap/>
          </w:tcPr>
          <w:p w14:paraId="149BFB5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780B795" w14:textId="77777777" w:rsidTr="00883B07">
        <w:trPr>
          <w:trHeight w:val="510"/>
        </w:trPr>
        <w:tc>
          <w:tcPr>
            <w:tcW w:w="9355" w:type="dxa"/>
            <w:gridSpan w:val="2"/>
            <w:shd w:val="clear" w:color="auto" w:fill="auto"/>
            <w:noWrap/>
          </w:tcPr>
          <w:p w14:paraId="4E394E61" w14:textId="77777777" w:rsidR="00366663" w:rsidRPr="008C4A39" w:rsidRDefault="00366663" w:rsidP="00883B07">
            <w:pPr>
              <w:spacing w:after="0"/>
              <w:jc w:val="left"/>
              <w:rPr>
                <w:b/>
                <w:szCs w:val="24"/>
              </w:rPr>
            </w:pPr>
            <w:r w:rsidRPr="008C4A39">
              <w:rPr>
                <w:b/>
                <w:szCs w:val="24"/>
              </w:rPr>
              <w:t>Trader UI Requirements</w:t>
            </w:r>
          </w:p>
        </w:tc>
      </w:tr>
      <w:tr w:rsidR="00366663" w:rsidRPr="008C4A39" w14:paraId="45CE3503" w14:textId="77777777" w:rsidTr="00883B07">
        <w:trPr>
          <w:trHeight w:val="510"/>
        </w:trPr>
        <w:tc>
          <w:tcPr>
            <w:tcW w:w="2425" w:type="dxa"/>
            <w:noWrap/>
          </w:tcPr>
          <w:p w14:paraId="700F8885" w14:textId="77777777" w:rsidR="00366663" w:rsidRPr="008C4A39" w:rsidRDefault="00366663" w:rsidP="00883B07">
            <w:pPr>
              <w:spacing w:after="0"/>
              <w:jc w:val="left"/>
              <w:rPr>
                <w:szCs w:val="24"/>
              </w:rPr>
            </w:pPr>
            <w:r w:rsidRPr="008C4A39">
              <w:rPr>
                <w:szCs w:val="24"/>
              </w:rPr>
              <w:t>FR42</w:t>
            </w:r>
          </w:p>
        </w:tc>
        <w:tc>
          <w:tcPr>
            <w:tcW w:w="6930" w:type="dxa"/>
          </w:tcPr>
          <w:p w14:paraId="1EF55BC4" w14:textId="77777777" w:rsidR="00366663" w:rsidRPr="008C4A39" w:rsidRDefault="00366663" w:rsidP="00883B07">
            <w:pPr>
              <w:spacing w:after="0"/>
              <w:rPr>
                <w:szCs w:val="24"/>
              </w:rPr>
            </w:pPr>
            <w:r w:rsidRPr="008C4A39">
              <w:rPr>
                <w:szCs w:val="24"/>
              </w:rPr>
              <w:t>The Trade user must be able to log in and access the homepage of the Trader UI, which shall display a menu of functions applicable to the user, alert of any new notification messages and status of applications.</w:t>
            </w:r>
          </w:p>
        </w:tc>
      </w:tr>
      <w:tr w:rsidR="00366663" w:rsidRPr="008C4A39" w14:paraId="7D532C47" w14:textId="77777777" w:rsidTr="00883B07">
        <w:trPr>
          <w:trHeight w:val="510"/>
        </w:trPr>
        <w:tc>
          <w:tcPr>
            <w:tcW w:w="9355" w:type="dxa"/>
            <w:gridSpan w:val="2"/>
            <w:noWrap/>
          </w:tcPr>
          <w:p w14:paraId="12D48085"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803DD1B" w14:textId="77777777" w:rsidTr="00883B07">
        <w:trPr>
          <w:trHeight w:val="510"/>
        </w:trPr>
        <w:tc>
          <w:tcPr>
            <w:tcW w:w="9355" w:type="dxa"/>
            <w:gridSpan w:val="2"/>
            <w:noWrap/>
          </w:tcPr>
          <w:p w14:paraId="7AD6A84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FE8F322" w14:textId="77777777" w:rsidTr="00883B07">
        <w:trPr>
          <w:trHeight w:val="510"/>
        </w:trPr>
        <w:tc>
          <w:tcPr>
            <w:tcW w:w="2425" w:type="dxa"/>
            <w:noWrap/>
          </w:tcPr>
          <w:p w14:paraId="674618C4" w14:textId="77777777" w:rsidR="00366663" w:rsidRPr="008C4A39" w:rsidRDefault="00366663" w:rsidP="00883B07">
            <w:pPr>
              <w:spacing w:after="0"/>
              <w:jc w:val="left"/>
              <w:rPr>
                <w:szCs w:val="24"/>
              </w:rPr>
            </w:pPr>
            <w:r w:rsidRPr="008C4A39">
              <w:rPr>
                <w:szCs w:val="24"/>
              </w:rPr>
              <w:t>FR43</w:t>
            </w:r>
          </w:p>
        </w:tc>
        <w:tc>
          <w:tcPr>
            <w:tcW w:w="6930" w:type="dxa"/>
          </w:tcPr>
          <w:p w14:paraId="07310DBE" w14:textId="77777777" w:rsidR="00366663" w:rsidRPr="008C4A39" w:rsidRDefault="00366663" w:rsidP="00883B07">
            <w:pPr>
              <w:spacing w:after="0"/>
              <w:rPr>
                <w:szCs w:val="24"/>
              </w:rPr>
            </w:pPr>
            <w:r w:rsidRPr="008C4A39">
              <w:rPr>
                <w:szCs w:val="24"/>
              </w:rPr>
              <w:t>The UI shall display the lodgment screens of the other NSW functionality – LPCO.</w:t>
            </w:r>
          </w:p>
        </w:tc>
      </w:tr>
      <w:tr w:rsidR="00366663" w:rsidRPr="008C4A39" w14:paraId="55AF8679" w14:textId="77777777" w:rsidTr="00883B07">
        <w:trPr>
          <w:trHeight w:val="510"/>
        </w:trPr>
        <w:tc>
          <w:tcPr>
            <w:tcW w:w="9355" w:type="dxa"/>
            <w:gridSpan w:val="2"/>
            <w:noWrap/>
          </w:tcPr>
          <w:p w14:paraId="26C459A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827495A" w14:textId="77777777" w:rsidTr="00883B07">
        <w:trPr>
          <w:trHeight w:val="510"/>
        </w:trPr>
        <w:tc>
          <w:tcPr>
            <w:tcW w:w="9355" w:type="dxa"/>
            <w:gridSpan w:val="2"/>
            <w:noWrap/>
          </w:tcPr>
          <w:p w14:paraId="49C6BC0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40270E9" w14:textId="77777777" w:rsidTr="00883B07">
        <w:trPr>
          <w:trHeight w:val="765"/>
        </w:trPr>
        <w:tc>
          <w:tcPr>
            <w:tcW w:w="2425" w:type="dxa"/>
            <w:noWrap/>
          </w:tcPr>
          <w:p w14:paraId="4635FD7A" w14:textId="77777777" w:rsidR="00366663" w:rsidRPr="008C4A39" w:rsidRDefault="00366663" w:rsidP="00883B07">
            <w:pPr>
              <w:spacing w:after="0"/>
              <w:jc w:val="left"/>
              <w:rPr>
                <w:szCs w:val="24"/>
              </w:rPr>
            </w:pPr>
            <w:r w:rsidRPr="008C4A39">
              <w:rPr>
                <w:szCs w:val="24"/>
              </w:rPr>
              <w:t>FR44</w:t>
            </w:r>
          </w:p>
        </w:tc>
        <w:tc>
          <w:tcPr>
            <w:tcW w:w="6930" w:type="dxa"/>
          </w:tcPr>
          <w:p w14:paraId="204A0DDC" w14:textId="77777777" w:rsidR="00366663" w:rsidRPr="008C4A39" w:rsidRDefault="00366663" w:rsidP="00883B07">
            <w:pPr>
              <w:spacing w:after="0"/>
              <w:rPr>
                <w:szCs w:val="24"/>
              </w:rPr>
            </w:pPr>
            <w:r w:rsidRPr="008C4A39">
              <w:rPr>
                <w:szCs w:val="24"/>
              </w:rPr>
              <w:t>The User must use the UI to access into the NSW services – for application of LPCOs and to upload required particulars and scanned/ digital copies/ images of supporting documents (as attachments) to facilitate paperless processing.</w:t>
            </w:r>
          </w:p>
        </w:tc>
      </w:tr>
      <w:tr w:rsidR="00366663" w:rsidRPr="008C4A39" w14:paraId="65DDC2B3" w14:textId="77777777" w:rsidTr="00883B07">
        <w:trPr>
          <w:trHeight w:val="521"/>
        </w:trPr>
        <w:tc>
          <w:tcPr>
            <w:tcW w:w="9355" w:type="dxa"/>
            <w:gridSpan w:val="2"/>
            <w:noWrap/>
          </w:tcPr>
          <w:p w14:paraId="7CB2792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F59CE98" w14:textId="77777777" w:rsidTr="00883B07">
        <w:trPr>
          <w:trHeight w:val="377"/>
        </w:trPr>
        <w:tc>
          <w:tcPr>
            <w:tcW w:w="9355" w:type="dxa"/>
            <w:gridSpan w:val="2"/>
            <w:noWrap/>
          </w:tcPr>
          <w:p w14:paraId="0783337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B57B1EE" w14:textId="77777777" w:rsidTr="00883B07">
        <w:trPr>
          <w:trHeight w:val="510"/>
        </w:trPr>
        <w:tc>
          <w:tcPr>
            <w:tcW w:w="2425" w:type="dxa"/>
            <w:noWrap/>
          </w:tcPr>
          <w:p w14:paraId="435774CF" w14:textId="77777777" w:rsidR="00366663" w:rsidRPr="008C4A39" w:rsidRDefault="00366663" w:rsidP="00883B07">
            <w:pPr>
              <w:spacing w:after="0"/>
              <w:jc w:val="left"/>
              <w:rPr>
                <w:szCs w:val="24"/>
              </w:rPr>
            </w:pPr>
            <w:r w:rsidRPr="008C4A39">
              <w:rPr>
                <w:szCs w:val="24"/>
              </w:rPr>
              <w:t>FR45</w:t>
            </w:r>
          </w:p>
        </w:tc>
        <w:tc>
          <w:tcPr>
            <w:tcW w:w="6930" w:type="dxa"/>
          </w:tcPr>
          <w:p w14:paraId="0D291001" w14:textId="77777777" w:rsidR="00366663" w:rsidRPr="008C4A39" w:rsidRDefault="00366663" w:rsidP="00883B07">
            <w:pPr>
              <w:spacing w:after="0"/>
              <w:rPr>
                <w:szCs w:val="24"/>
              </w:rPr>
            </w:pPr>
            <w:r w:rsidRPr="008C4A39">
              <w:rPr>
                <w:szCs w:val="24"/>
              </w:rPr>
              <w:t>The UI must provide lodgment status updates, approvals, rejections, and tracking information on transactions conducted in the NSW.  This includes a feature to view historical transactions.</w:t>
            </w:r>
          </w:p>
        </w:tc>
      </w:tr>
      <w:tr w:rsidR="00366663" w:rsidRPr="008C4A39" w14:paraId="562A4E06" w14:textId="77777777" w:rsidTr="00883B07">
        <w:trPr>
          <w:trHeight w:val="467"/>
        </w:trPr>
        <w:tc>
          <w:tcPr>
            <w:tcW w:w="9355" w:type="dxa"/>
            <w:gridSpan w:val="2"/>
            <w:noWrap/>
          </w:tcPr>
          <w:p w14:paraId="6E51E0CF" w14:textId="77777777" w:rsidR="00366663" w:rsidRPr="008C4A39" w:rsidRDefault="00366663" w:rsidP="00883B07">
            <w:pPr>
              <w:ind w:right="-360"/>
              <w:jc w:val="left"/>
              <w:rPr>
                <w:szCs w:val="24"/>
              </w:rPr>
            </w:pPr>
            <w:r w:rsidRPr="008C4A39">
              <w:rPr>
                <w:szCs w:val="24"/>
              </w:rPr>
              <w:lastRenderedPageBreak/>
              <w:t xml:space="preserve">Bidder’s technical reasons supporting compliance:  </w:t>
            </w:r>
          </w:p>
        </w:tc>
      </w:tr>
      <w:tr w:rsidR="00366663" w:rsidRPr="008C4A39" w14:paraId="0F0607BB" w14:textId="77777777" w:rsidTr="00883B07">
        <w:trPr>
          <w:trHeight w:val="510"/>
        </w:trPr>
        <w:tc>
          <w:tcPr>
            <w:tcW w:w="9355" w:type="dxa"/>
            <w:gridSpan w:val="2"/>
            <w:noWrap/>
          </w:tcPr>
          <w:p w14:paraId="30001A8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214C5EC" w14:textId="77777777" w:rsidTr="00883B07">
        <w:trPr>
          <w:trHeight w:val="510"/>
        </w:trPr>
        <w:tc>
          <w:tcPr>
            <w:tcW w:w="2425" w:type="dxa"/>
            <w:noWrap/>
          </w:tcPr>
          <w:p w14:paraId="7563593D" w14:textId="77777777" w:rsidR="00366663" w:rsidRPr="008C4A39" w:rsidRDefault="00366663" w:rsidP="00883B07">
            <w:pPr>
              <w:spacing w:after="0"/>
              <w:jc w:val="left"/>
              <w:rPr>
                <w:szCs w:val="24"/>
              </w:rPr>
            </w:pPr>
            <w:r w:rsidRPr="008C4A39">
              <w:rPr>
                <w:szCs w:val="24"/>
              </w:rPr>
              <w:t>FR46</w:t>
            </w:r>
          </w:p>
        </w:tc>
        <w:tc>
          <w:tcPr>
            <w:tcW w:w="6930" w:type="dxa"/>
          </w:tcPr>
          <w:p w14:paraId="7F635DDC" w14:textId="77777777" w:rsidR="00366663" w:rsidRPr="008C4A39" w:rsidRDefault="00366663" w:rsidP="00883B07">
            <w:pPr>
              <w:spacing w:after="0"/>
              <w:rPr>
                <w:szCs w:val="24"/>
              </w:rPr>
            </w:pPr>
            <w:r w:rsidRPr="008C4A39">
              <w:rPr>
                <w:szCs w:val="24"/>
              </w:rPr>
              <w:t>The UI must provide alerts and messaging notification service to the User for all messages / communication issued by the Customs, CBRAs and other regulatory authorities.</w:t>
            </w:r>
          </w:p>
        </w:tc>
      </w:tr>
      <w:tr w:rsidR="00366663" w:rsidRPr="008C4A39" w14:paraId="26307818" w14:textId="77777777" w:rsidTr="00883B07">
        <w:trPr>
          <w:trHeight w:val="510"/>
        </w:trPr>
        <w:tc>
          <w:tcPr>
            <w:tcW w:w="9355" w:type="dxa"/>
            <w:gridSpan w:val="2"/>
            <w:noWrap/>
          </w:tcPr>
          <w:p w14:paraId="11F9B219"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333227E0" w14:textId="77777777" w:rsidR="00366663" w:rsidRPr="008C4A39" w:rsidRDefault="00366663" w:rsidP="00883B07">
            <w:pPr>
              <w:spacing w:after="0"/>
              <w:rPr>
                <w:szCs w:val="24"/>
              </w:rPr>
            </w:pPr>
          </w:p>
        </w:tc>
      </w:tr>
      <w:tr w:rsidR="00366663" w:rsidRPr="008C4A39" w14:paraId="3FFA312A" w14:textId="77777777" w:rsidTr="00883B07">
        <w:trPr>
          <w:trHeight w:val="510"/>
        </w:trPr>
        <w:tc>
          <w:tcPr>
            <w:tcW w:w="9355" w:type="dxa"/>
            <w:gridSpan w:val="2"/>
            <w:noWrap/>
          </w:tcPr>
          <w:p w14:paraId="2C7C01A5"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2C57D103" w14:textId="77777777" w:rsidR="00366663" w:rsidRPr="008C4A39" w:rsidRDefault="00366663" w:rsidP="00883B07">
            <w:pPr>
              <w:spacing w:after="0"/>
              <w:rPr>
                <w:szCs w:val="24"/>
              </w:rPr>
            </w:pPr>
          </w:p>
        </w:tc>
      </w:tr>
      <w:tr w:rsidR="00366663" w:rsidRPr="008C4A39" w14:paraId="789BA586" w14:textId="77777777" w:rsidTr="00883B07">
        <w:trPr>
          <w:trHeight w:val="510"/>
        </w:trPr>
        <w:tc>
          <w:tcPr>
            <w:tcW w:w="2425" w:type="dxa"/>
            <w:noWrap/>
          </w:tcPr>
          <w:p w14:paraId="7C3CE043" w14:textId="77777777" w:rsidR="00366663" w:rsidRPr="008C4A39" w:rsidRDefault="00366663" w:rsidP="00883B07">
            <w:pPr>
              <w:spacing w:after="0"/>
              <w:jc w:val="left"/>
              <w:rPr>
                <w:szCs w:val="24"/>
              </w:rPr>
            </w:pPr>
            <w:r w:rsidRPr="008C4A39">
              <w:rPr>
                <w:szCs w:val="24"/>
              </w:rPr>
              <w:t>FR47</w:t>
            </w:r>
          </w:p>
        </w:tc>
        <w:tc>
          <w:tcPr>
            <w:tcW w:w="6930" w:type="dxa"/>
          </w:tcPr>
          <w:p w14:paraId="46745989" w14:textId="77777777" w:rsidR="00366663" w:rsidRPr="008C4A39" w:rsidRDefault="00366663" w:rsidP="00883B07">
            <w:pPr>
              <w:spacing w:after="0"/>
              <w:rPr>
                <w:szCs w:val="24"/>
              </w:rPr>
            </w:pPr>
            <w:r w:rsidRPr="008C4A39">
              <w:rPr>
                <w:szCs w:val="24"/>
              </w:rPr>
              <w:t>The UI must provide the User to access the payment facility of the NSW Payment Functionality, to conduct payment according to the payment notification/advice.</w:t>
            </w:r>
          </w:p>
        </w:tc>
      </w:tr>
      <w:tr w:rsidR="00366663" w:rsidRPr="008C4A39" w14:paraId="3A83FE29" w14:textId="77777777" w:rsidTr="00883B07">
        <w:trPr>
          <w:trHeight w:val="510"/>
        </w:trPr>
        <w:tc>
          <w:tcPr>
            <w:tcW w:w="9355" w:type="dxa"/>
            <w:gridSpan w:val="2"/>
            <w:noWrap/>
          </w:tcPr>
          <w:p w14:paraId="0629EDD5"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1195CA71" w14:textId="77777777" w:rsidR="00366663" w:rsidRPr="008C4A39" w:rsidRDefault="00366663" w:rsidP="00883B07">
            <w:pPr>
              <w:spacing w:after="0"/>
              <w:rPr>
                <w:szCs w:val="24"/>
              </w:rPr>
            </w:pPr>
          </w:p>
        </w:tc>
      </w:tr>
      <w:tr w:rsidR="00366663" w:rsidRPr="008C4A39" w14:paraId="15392901" w14:textId="77777777" w:rsidTr="00883B07">
        <w:trPr>
          <w:trHeight w:val="510"/>
        </w:trPr>
        <w:tc>
          <w:tcPr>
            <w:tcW w:w="9355" w:type="dxa"/>
            <w:gridSpan w:val="2"/>
            <w:noWrap/>
          </w:tcPr>
          <w:p w14:paraId="74BA2BB4"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252B9D2A" w14:textId="77777777" w:rsidR="00366663" w:rsidRPr="008C4A39" w:rsidRDefault="00366663" w:rsidP="00883B07">
            <w:pPr>
              <w:spacing w:after="0"/>
              <w:rPr>
                <w:szCs w:val="24"/>
              </w:rPr>
            </w:pPr>
          </w:p>
        </w:tc>
      </w:tr>
      <w:tr w:rsidR="00366663" w:rsidRPr="008C4A39" w14:paraId="36A45C4D" w14:textId="77777777" w:rsidTr="00883B07">
        <w:trPr>
          <w:trHeight w:val="510"/>
        </w:trPr>
        <w:tc>
          <w:tcPr>
            <w:tcW w:w="2425" w:type="dxa"/>
            <w:noWrap/>
          </w:tcPr>
          <w:p w14:paraId="4CE6CF8C" w14:textId="77777777" w:rsidR="00366663" w:rsidRPr="008C4A39" w:rsidRDefault="00366663" w:rsidP="00883B07">
            <w:pPr>
              <w:spacing w:after="0"/>
              <w:jc w:val="left"/>
              <w:rPr>
                <w:szCs w:val="24"/>
              </w:rPr>
            </w:pPr>
            <w:r w:rsidRPr="008C4A39">
              <w:rPr>
                <w:szCs w:val="24"/>
              </w:rPr>
              <w:t>FR48</w:t>
            </w:r>
          </w:p>
        </w:tc>
        <w:tc>
          <w:tcPr>
            <w:tcW w:w="6930" w:type="dxa"/>
          </w:tcPr>
          <w:p w14:paraId="4DB512F0" w14:textId="77777777" w:rsidR="00366663" w:rsidRPr="008C4A39" w:rsidRDefault="00366663" w:rsidP="00883B07">
            <w:pPr>
              <w:spacing w:after="0"/>
              <w:rPr>
                <w:szCs w:val="24"/>
              </w:rPr>
            </w:pPr>
            <w:r w:rsidRPr="008C4A39">
              <w:rPr>
                <w:szCs w:val="24"/>
              </w:rPr>
              <w:t>The UI must provide a calendar feature for the User to keep track of expiry date of LPCOs or any other documents or trade transactions and allow the User to set reminders in advance for renewals.</w:t>
            </w:r>
          </w:p>
        </w:tc>
      </w:tr>
      <w:tr w:rsidR="00366663" w:rsidRPr="008C4A39" w14:paraId="6156CE2F" w14:textId="77777777" w:rsidTr="00883B07">
        <w:trPr>
          <w:trHeight w:val="510"/>
        </w:trPr>
        <w:tc>
          <w:tcPr>
            <w:tcW w:w="9355" w:type="dxa"/>
            <w:gridSpan w:val="2"/>
            <w:noWrap/>
          </w:tcPr>
          <w:p w14:paraId="5A75CB04"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73FA3882" w14:textId="77777777" w:rsidR="00366663" w:rsidRPr="008C4A39" w:rsidRDefault="00366663" w:rsidP="00883B07">
            <w:pPr>
              <w:spacing w:after="0"/>
              <w:rPr>
                <w:szCs w:val="24"/>
              </w:rPr>
            </w:pPr>
          </w:p>
        </w:tc>
      </w:tr>
      <w:tr w:rsidR="00366663" w:rsidRPr="008C4A39" w14:paraId="051FC873" w14:textId="77777777" w:rsidTr="00883B07">
        <w:trPr>
          <w:trHeight w:val="510"/>
        </w:trPr>
        <w:tc>
          <w:tcPr>
            <w:tcW w:w="9355" w:type="dxa"/>
            <w:gridSpan w:val="2"/>
            <w:noWrap/>
          </w:tcPr>
          <w:p w14:paraId="5A30BDC2"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1AECAFC5" w14:textId="77777777" w:rsidR="00366663" w:rsidRPr="008C4A39" w:rsidRDefault="00366663" w:rsidP="00883B07">
            <w:pPr>
              <w:spacing w:after="0"/>
              <w:rPr>
                <w:szCs w:val="24"/>
              </w:rPr>
            </w:pPr>
          </w:p>
        </w:tc>
      </w:tr>
      <w:tr w:rsidR="00366663" w:rsidRPr="008C4A39" w14:paraId="6B19EEF7" w14:textId="77777777" w:rsidTr="00883B07">
        <w:trPr>
          <w:trHeight w:val="510"/>
        </w:trPr>
        <w:tc>
          <w:tcPr>
            <w:tcW w:w="2425" w:type="dxa"/>
            <w:noWrap/>
          </w:tcPr>
          <w:p w14:paraId="2F5999E0" w14:textId="77777777" w:rsidR="00366663" w:rsidRPr="008C4A39" w:rsidRDefault="00366663" w:rsidP="00883B07">
            <w:pPr>
              <w:ind w:left="738" w:right="-14" w:hanging="738"/>
              <w:jc w:val="left"/>
              <w:rPr>
                <w:szCs w:val="24"/>
              </w:rPr>
            </w:pPr>
            <w:r w:rsidRPr="008C4A39">
              <w:rPr>
                <w:szCs w:val="24"/>
              </w:rPr>
              <w:t>FR106</w:t>
            </w:r>
          </w:p>
          <w:p w14:paraId="1B7105C3" w14:textId="77777777" w:rsidR="00366663" w:rsidRPr="008C4A39" w:rsidRDefault="00366663" w:rsidP="00883B07">
            <w:pPr>
              <w:spacing w:after="0"/>
              <w:jc w:val="left"/>
              <w:rPr>
                <w:szCs w:val="24"/>
              </w:rPr>
            </w:pPr>
          </w:p>
        </w:tc>
        <w:tc>
          <w:tcPr>
            <w:tcW w:w="6930" w:type="dxa"/>
          </w:tcPr>
          <w:p w14:paraId="59F6C615" w14:textId="52EBC6B8" w:rsidR="00366663" w:rsidRPr="008C4A39" w:rsidRDefault="00366663" w:rsidP="00C96409">
            <w:pPr>
              <w:spacing w:after="0"/>
              <w:rPr>
                <w:szCs w:val="24"/>
              </w:rPr>
            </w:pPr>
            <w:r w:rsidRPr="008C4A39">
              <w:rPr>
                <w:szCs w:val="24"/>
              </w:rPr>
              <w:t>The System must establish a database of LPCO applications. For each LPCO application form, the list of Tariff codes</w:t>
            </w:r>
            <w:r w:rsidR="00C96409">
              <w:rPr>
                <w:szCs w:val="24"/>
              </w:rPr>
              <w:t xml:space="preserve"> and </w:t>
            </w:r>
            <w:r w:rsidRPr="008C4A39">
              <w:rPr>
                <w:szCs w:val="24"/>
              </w:rPr>
              <w:t>that can be selected by Applicant will be linked to the form.</w:t>
            </w:r>
          </w:p>
        </w:tc>
      </w:tr>
      <w:tr w:rsidR="00366663" w:rsidRPr="008C4A39" w14:paraId="4B18A2BD" w14:textId="77777777" w:rsidTr="00883B07">
        <w:trPr>
          <w:trHeight w:val="510"/>
        </w:trPr>
        <w:tc>
          <w:tcPr>
            <w:tcW w:w="9355" w:type="dxa"/>
            <w:gridSpan w:val="2"/>
            <w:noWrap/>
          </w:tcPr>
          <w:p w14:paraId="5CF163AD"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3389DE0F" w14:textId="77777777" w:rsidR="00366663" w:rsidRPr="008C4A39" w:rsidRDefault="00366663" w:rsidP="00883B07">
            <w:pPr>
              <w:spacing w:after="0"/>
              <w:rPr>
                <w:szCs w:val="24"/>
              </w:rPr>
            </w:pPr>
          </w:p>
        </w:tc>
      </w:tr>
      <w:tr w:rsidR="00366663" w:rsidRPr="008C4A39" w14:paraId="5C856ACA" w14:textId="77777777" w:rsidTr="00883B07">
        <w:trPr>
          <w:trHeight w:val="510"/>
        </w:trPr>
        <w:tc>
          <w:tcPr>
            <w:tcW w:w="9355" w:type="dxa"/>
            <w:gridSpan w:val="2"/>
            <w:noWrap/>
          </w:tcPr>
          <w:p w14:paraId="0B281CD5"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1CE6C7A3" w14:textId="77777777" w:rsidR="00366663" w:rsidRPr="008C4A39" w:rsidRDefault="00366663" w:rsidP="00883B07">
            <w:pPr>
              <w:spacing w:after="0"/>
              <w:rPr>
                <w:szCs w:val="24"/>
              </w:rPr>
            </w:pPr>
          </w:p>
        </w:tc>
      </w:tr>
      <w:tr w:rsidR="00366663" w:rsidRPr="008C4A39" w14:paraId="6EAB58C5" w14:textId="77777777" w:rsidTr="00883B07">
        <w:trPr>
          <w:trHeight w:val="510"/>
        </w:trPr>
        <w:tc>
          <w:tcPr>
            <w:tcW w:w="2425" w:type="dxa"/>
            <w:noWrap/>
          </w:tcPr>
          <w:p w14:paraId="055EB887" w14:textId="77777777" w:rsidR="00366663" w:rsidRPr="008C4A39" w:rsidRDefault="00366663" w:rsidP="00883B07">
            <w:pPr>
              <w:ind w:left="738" w:right="-14" w:hanging="738"/>
              <w:jc w:val="left"/>
              <w:rPr>
                <w:szCs w:val="24"/>
              </w:rPr>
            </w:pPr>
            <w:r w:rsidRPr="008C4A39">
              <w:rPr>
                <w:szCs w:val="24"/>
              </w:rPr>
              <w:t>FR117</w:t>
            </w:r>
          </w:p>
          <w:p w14:paraId="1DD9D129" w14:textId="77777777" w:rsidR="00366663" w:rsidRPr="008C4A39" w:rsidRDefault="00366663" w:rsidP="00883B07">
            <w:pPr>
              <w:ind w:left="738" w:right="-14" w:hanging="738"/>
              <w:jc w:val="left"/>
              <w:rPr>
                <w:szCs w:val="24"/>
              </w:rPr>
            </w:pPr>
          </w:p>
        </w:tc>
        <w:tc>
          <w:tcPr>
            <w:tcW w:w="6930" w:type="dxa"/>
          </w:tcPr>
          <w:p w14:paraId="4839DBA0" w14:textId="77777777" w:rsidR="00366663" w:rsidRPr="008C4A39" w:rsidRDefault="00366663" w:rsidP="00883B07">
            <w:pPr>
              <w:spacing w:after="0"/>
              <w:rPr>
                <w:szCs w:val="24"/>
              </w:rPr>
            </w:pPr>
            <w:r w:rsidRPr="008C4A39">
              <w:rPr>
                <w:szCs w:val="24"/>
              </w:rPr>
              <w:t>The Applicant must be able to change or update the information submitted for an application earlier as well as the associated supporting documentation. There should be no limitations regarding adding new, updating existing or deletion of associated documentation prior to submission. The NSW System must ensure that only the originating applicant (or his authorized representative) can change/update the application.</w:t>
            </w:r>
          </w:p>
        </w:tc>
      </w:tr>
      <w:tr w:rsidR="00366663" w:rsidRPr="008C4A39" w14:paraId="49E74697" w14:textId="77777777" w:rsidTr="00883B07">
        <w:trPr>
          <w:trHeight w:val="510"/>
        </w:trPr>
        <w:tc>
          <w:tcPr>
            <w:tcW w:w="9355" w:type="dxa"/>
            <w:gridSpan w:val="2"/>
            <w:noWrap/>
          </w:tcPr>
          <w:p w14:paraId="3E7980FE"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56565AD3" w14:textId="77777777" w:rsidR="00366663" w:rsidRPr="008C4A39" w:rsidRDefault="00366663" w:rsidP="00883B07">
            <w:pPr>
              <w:spacing w:after="0"/>
              <w:rPr>
                <w:szCs w:val="24"/>
              </w:rPr>
            </w:pPr>
          </w:p>
        </w:tc>
      </w:tr>
      <w:tr w:rsidR="00366663" w:rsidRPr="008C4A39" w14:paraId="2386FC1A" w14:textId="77777777" w:rsidTr="00883B07">
        <w:trPr>
          <w:trHeight w:val="510"/>
        </w:trPr>
        <w:tc>
          <w:tcPr>
            <w:tcW w:w="9355" w:type="dxa"/>
            <w:gridSpan w:val="2"/>
            <w:noWrap/>
          </w:tcPr>
          <w:p w14:paraId="488BE4F3"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p w14:paraId="39DB0CCE" w14:textId="77777777" w:rsidR="00366663" w:rsidRPr="008C4A39" w:rsidRDefault="00366663" w:rsidP="00883B07">
            <w:pPr>
              <w:spacing w:after="0"/>
              <w:rPr>
                <w:szCs w:val="24"/>
              </w:rPr>
            </w:pPr>
          </w:p>
        </w:tc>
      </w:tr>
      <w:tr w:rsidR="00366663" w:rsidRPr="008C4A39" w14:paraId="7902D591" w14:textId="77777777" w:rsidTr="00883B07">
        <w:trPr>
          <w:trHeight w:val="510"/>
        </w:trPr>
        <w:tc>
          <w:tcPr>
            <w:tcW w:w="9355" w:type="dxa"/>
            <w:gridSpan w:val="2"/>
            <w:shd w:val="clear" w:color="auto" w:fill="auto"/>
            <w:noWrap/>
          </w:tcPr>
          <w:p w14:paraId="0C822CF1" w14:textId="77777777" w:rsidR="00366663" w:rsidRPr="008C4A39" w:rsidRDefault="00366663" w:rsidP="00883B07">
            <w:pPr>
              <w:spacing w:after="0"/>
              <w:jc w:val="left"/>
              <w:rPr>
                <w:b/>
                <w:szCs w:val="24"/>
              </w:rPr>
            </w:pPr>
            <w:r w:rsidRPr="008C4A39">
              <w:rPr>
                <w:b/>
                <w:szCs w:val="24"/>
              </w:rPr>
              <w:t>CBRA UI Requirements</w:t>
            </w:r>
          </w:p>
        </w:tc>
      </w:tr>
      <w:tr w:rsidR="00366663" w:rsidRPr="008C4A39" w14:paraId="4C1E4A59" w14:textId="77777777" w:rsidTr="00883B07">
        <w:trPr>
          <w:trHeight w:val="1106"/>
        </w:trPr>
        <w:tc>
          <w:tcPr>
            <w:tcW w:w="2425" w:type="dxa"/>
            <w:noWrap/>
          </w:tcPr>
          <w:p w14:paraId="7CC80878" w14:textId="77777777" w:rsidR="00366663" w:rsidRPr="008C4A39" w:rsidRDefault="00366663" w:rsidP="00883B07">
            <w:pPr>
              <w:spacing w:after="0"/>
              <w:jc w:val="left"/>
              <w:rPr>
                <w:szCs w:val="24"/>
              </w:rPr>
            </w:pPr>
            <w:r w:rsidRPr="008C4A39">
              <w:rPr>
                <w:szCs w:val="24"/>
              </w:rPr>
              <w:t>FR49</w:t>
            </w:r>
          </w:p>
        </w:tc>
        <w:tc>
          <w:tcPr>
            <w:tcW w:w="6930" w:type="dxa"/>
          </w:tcPr>
          <w:p w14:paraId="20F9D9E8" w14:textId="77777777" w:rsidR="00366663" w:rsidRPr="008C4A39" w:rsidRDefault="00366663" w:rsidP="00883B07">
            <w:pPr>
              <w:spacing w:after="0"/>
              <w:rPr>
                <w:szCs w:val="24"/>
              </w:rPr>
            </w:pPr>
            <w:r w:rsidRPr="008C4A39">
              <w:rPr>
                <w:szCs w:val="24"/>
              </w:rPr>
              <w:t>The Customs UI must provide the functions for the Customs officers to conduct the necessary oversight pertaining to the trade transaction at the following stage:</w:t>
            </w:r>
          </w:p>
          <w:p w14:paraId="2C296BEE" w14:textId="77777777" w:rsidR="00366663" w:rsidRPr="008C4A39" w:rsidRDefault="00366663" w:rsidP="00D530D5">
            <w:pPr>
              <w:pStyle w:val="ListParagraph"/>
              <w:numPr>
                <w:ilvl w:val="0"/>
                <w:numId w:val="108"/>
              </w:numPr>
              <w:spacing w:after="0"/>
              <w:rPr>
                <w:szCs w:val="24"/>
              </w:rPr>
            </w:pPr>
            <w:r w:rsidRPr="008C4A39">
              <w:rPr>
                <w:szCs w:val="24"/>
              </w:rPr>
              <w:t>LPCO application, processing, and approvals.</w:t>
            </w:r>
          </w:p>
        </w:tc>
      </w:tr>
      <w:tr w:rsidR="00366663" w:rsidRPr="008C4A39" w14:paraId="2EDB9FBE" w14:textId="77777777" w:rsidTr="00883B07">
        <w:trPr>
          <w:trHeight w:val="512"/>
        </w:trPr>
        <w:tc>
          <w:tcPr>
            <w:tcW w:w="9355" w:type="dxa"/>
            <w:gridSpan w:val="2"/>
            <w:noWrap/>
          </w:tcPr>
          <w:p w14:paraId="41171DB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4BB6773" w14:textId="77777777" w:rsidTr="00883B07">
        <w:trPr>
          <w:trHeight w:val="449"/>
        </w:trPr>
        <w:tc>
          <w:tcPr>
            <w:tcW w:w="9355" w:type="dxa"/>
            <w:gridSpan w:val="2"/>
            <w:noWrap/>
          </w:tcPr>
          <w:p w14:paraId="3A8C0095"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27FF35B0" w14:textId="77777777" w:rsidR="00366663" w:rsidRPr="008C4A39" w:rsidRDefault="00366663" w:rsidP="00883B07">
            <w:pPr>
              <w:spacing w:after="0"/>
              <w:rPr>
                <w:szCs w:val="24"/>
              </w:rPr>
            </w:pPr>
          </w:p>
        </w:tc>
      </w:tr>
      <w:tr w:rsidR="00366663" w:rsidRPr="008C4A39" w14:paraId="18DE452D" w14:textId="77777777" w:rsidTr="00883B07">
        <w:trPr>
          <w:trHeight w:val="510"/>
        </w:trPr>
        <w:tc>
          <w:tcPr>
            <w:tcW w:w="2425" w:type="dxa"/>
            <w:noWrap/>
          </w:tcPr>
          <w:p w14:paraId="247C5755" w14:textId="77777777" w:rsidR="00366663" w:rsidRPr="008C4A39" w:rsidRDefault="00366663" w:rsidP="00883B07">
            <w:pPr>
              <w:spacing w:after="0"/>
              <w:jc w:val="left"/>
              <w:rPr>
                <w:szCs w:val="24"/>
              </w:rPr>
            </w:pPr>
            <w:r w:rsidRPr="008C4A39">
              <w:rPr>
                <w:szCs w:val="24"/>
              </w:rPr>
              <w:t>FR51</w:t>
            </w:r>
          </w:p>
        </w:tc>
        <w:tc>
          <w:tcPr>
            <w:tcW w:w="6930" w:type="dxa"/>
          </w:tcPr>
          <w:p w14:paraId="512F2654" w14:textId="77777777" w:rsidR="00366663" w:rsidRPr="008C4A39" w:rsidRDefault="00366663" w:rsidP="00883B07">
            <w:pPr>
              <w:spacing w:after="0"/>
              <w:rPr>
                <w:szCs w:val="24"/>
              </w:rPr>
            </w:pPr>
            <w:r w:rsidRPr="008C4A39">
              <w:rPr>
                <w:szCs w:val="24"/>
              </w:rPr>
              <w:t>The Customs UI must ensure that authorized Customs officers have access to data pertinent to them as assigned based on roles and workflow management configuration.</w:t>
            </w:r>
          </w:p>
        </w:tc>
      </w:tr>
      <w:tr w:rsidR="00366663" w:rsidRPr="008C4A39" w14:paraId="485D0DD4" w14:textId="77777777" w:rsidTr="00883B07">
        <w:trPr>
          <w:trHeight w:val="510"/>
        </w:trPr>
        <w:tc>
          <w:tcPr>
            <w:tcW w:w="9355" w:type="dxa"/>
            <w:gridSpan w:val="2"/>
            <w:noWrap/>
          </w:tcPr>
          <w:p w14:paraId="22108EF7"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7049555F" w14:textId="77777777" w:rsidR="00366663" w:rsidRPr="008C4A39" w:rsidRDefault="00366663" w:rsidP="00883B07">
            <w:pPr>
              <w:spacing w:after="0"/>
              <w:rPr>
                <w:szCs w:val="24"/>
              </w:rPr>
            </w:pPr>
          </w:p>
        </w:tc>
      </w:tr>
      <w:tr w:rsidR="00366663" w:rsidRPr="008C4A39" w14:paraId="521D2B9B" w14:textId="77777777" w:rsidTr="00883B07">
        <w:trPr>
          <w:trHeight w:val="510"/>
        </w:trPr>
        <w:tc>
          <w:tcPr>
            <w:tcW w:w="9355" w:type="dxa"/>
            <w:gridSpan w:val="2"/>
            <w:noWrap/>
          </w:tcPr>
          <w:p w14:paraId="34E862A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8B64A9F" w14:textId="77777777" w:rsidTr="00883B07">
        <w:trPr>
          <w:trHeight w:val="510"/>
        </w:trPr>
        <w:tc>
          <w:tcPr>
            <w:tcW w:w="2425" w:type="dxa"/>
            <w:noWrap/>
          </w:tcPr>
          <w:p w14:paraId="441EC714" w14:textId="77777777" w:rsidR="00366663" w:rsidRPr="008C4A39" w:rsidRDefault="00366663" w:rsidP="00883B07">
            <w:pPr>
              <w:spacing w:after="0"/>
              <w:jc w:val="left"/>
              <w:rPr>
                <w:szCs w:val="24"/>
              </w:rPr>
            </w:pPr>
            <w:r w:rsidRPr="008C4A39">
              <w:rPr>
                <w:szCs w:val="24"/>
              </w:rPr>
              <w:t>FR52</w:t>
            </w:r>
          </w:p>
        </w:tc>
        <w:tc>
          <w:tcPr>
            <w:tcW w:w="6930" w:type="dxa"/>
          </w:tcPr>
          <w:p w14:paraId="6BC82813" w14:textId="77777777" w:rsidR="00366663" w:rsidRPr="008C4A39" w:rsidRDefault="00366663" w:rsidP="00883B07">
            <w:pPr>
              <w:spacing w:after="0"/>
              <w:rPr>
                <w:szCs w:val="24"/>
              </w:rPr>
            </w:pPr>
            <w:r w:rsidRPr="008C4A39">
              <w:rPr>
                <w:szCs w:val="24"/>
              </w:rPr>
              <w:t>The Customs UI must provide the Customs officer, the online ‘in-tray’ to examine the submissions / lodgments in process, including all the supporting documentation attached to the lodgment by the Trader.</w:t>
            </w:r>
          </w:p>
        </w:tc>
      </w:tr>
      <w:tr w:rsidR="00366663" w:rsidRPr="008C4A39" w14:paraId="025B82D3" w14:textId="77777777" w:rsidTr="00883B07">
        <w:trPr>
          <w:trHeight w:val="510"/>
        </w:trPr>
        <w:tc>
          <w:tcPr>
            <w:tcW w:w="9355" w:type="dxa"/>
            <w:gridSpan w:val="2"/>
            <w:noWrap/>
          </w:tcPr>
          <w:p w14:paraId="0459C15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441CA23" w14:textId="77777777" w:rsidTr="00883B07">
        <w:trPr>
          <w:trHeight w:val="510"/>
        </w:trPr>
        <w:tc>
          <w:tcPr>
            <w:tcW w:w="9355" w:type="dxa"/>
            <w:gridSpan w:val="2"/>
            <w:noWrap/>
          </w:tcPr>
          <w:p w14:paraId="0BB6861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723D2DD" w14:textId="77777777" w:rsidTr="00883B07">
        <w:trPr>
          <w:trHeight w:val="510"/>
        </w:trPr>
        <w:tc>
          <w:tcPr>
            <w:tcW w:w="2425" w:type="dxa"/>
            <w:noWrap/>
          </w:tcPr>
          <w:p w14:paraId="1AF485A3" w14:textId="77777777" w:rsidR="00366663" w:rsidRPr="008C4A39" w:rsidRDefault="00366663" w:rsidP="00883B07">
            <w:pPr>
              <w:spacing w:after="0"/>
              <w:jc w:val="left"/>
              <w:rPr>
                <w:szCs w:val="24"/>
              </w:rPr>
            </w:pPr>
            <w:r w:rsidRPr="008C4A39">
              <w:rPr>
                <w:szCs w:val="24"/>
              </w:rPr>
              <w:t>FR53</w:t>
            </w:r>
          </w:p>
        </w:tc>
        <w:tc>
          <w:tcPr>
            <w:tcW w:w="6930" w:type="dxa"/>
          </w:tcPr>
          <w:p w14:paraId="31B77C2F" w14:textId="77777777" w:rsidR="00366663" w:rsidRPr="008C4A39" w:rsidRDefault="00366663" w:rsidP="00883B07">
            <w:pPr>
              <w:spacing w:after="0"/>
              <w:rPr>
                <w:szCs w:val="24"/>
              </w:rPr>
            </w:pPr>
            <w:r w:rsidRPr="008C4A39">
              <w:rPr>
                <w:szCs w:val="24"/>
              </w:rPr>
              <w:t>The Customs UI must allow communicating/enquiry facilities from the Customs and display in the Trader UI, concerning the lodgments or submissions.</w:t>
            </w:r>
          </w:p>
        </w:tc>
      </w:tr>
      <w:tr w:rsidR="00366663" w:rsidRPr="008C4A39" w14:paraId="6E339871" w14:textId="77777777" w:rsidTr="00883B07">
        <w:trPr>
          <w:trHeight w:val="510"/>
        </w:trPr>
        <w:tc>
          <w:tcPr>
            <w:tcW w:w="9355" w:type="dxa"/>
            <w:gridSpan w:val="2"/>
            <w:noWrap/>
          </w:tcPr>
          <w:p w14:paraId="645D668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AE8C8D8" w14:textId="77777777" w:rsidTr="00883B07">
        <w:trPr>
          <w:trHeight w:val="510"/>
        </w:trPr>
        <w:tc>
          <w:tcPr>
            <w:tcW w:w="9355" w:type="dxa"/>
            <w:gridSpan w:val="2"/>
            <w:noWrap/>
          </w:tcPr>
          <w:p w14:paraId="4C6C1EDC"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5FF5875" w14:textId="77777777" w:rsidTr="00883B07">
        <w:trPr>
          <w:trHeight w:val="510"/>
        </w:trPr>
        <w:tc>
          <w:tcPr>
            <w:tcW w:w="2425" w:type="dxa"/>
            <w:noWrap/>
          </w:tcPr>
          <w:p w14:paraId="7F6DE806" w14:textId="77777777" w:rsidR="00366663" w:rsidRPr="008C4A39" w:rsidRDefault="00366663" w:rsidP="00883B07">
            <w:pPr>
              <w:spacing w:after="0"/>
              <w:jc w:val="left"/>
              <w:rPr>
                <w:szCs w:val="24"/>
              </w:rPr>
            </w:pPr>
            <w:r w:rsidRPr="008C4A39">
              <w:rPr>
                <w:szCs w:val="24"/>
              </w:rPr>
              <w:t>FR54</w:t>
            </w:r>
          </w:p>
        </w:tc>
        <w:tc>
          <w:tcPr>
            <w:tcW w:w="6930" w:type="dxa"/>
          </w:tcPr>
          <w:p w14:paraId="366B1B34" w14:textId="77777777" w:rsidR="00366663" w:rsidRPr="008C4A39" w:rsidRDefault="00366663" w:rsidP="00883B07">
            <w:pPr>
              <w:spacing w:after="0"/>
              <w:rPr>
                <w:szCs w:val="24"/>
              </w:rPr>
            </w:pPr>
            <w:r w:rsidRPr="008C4A39">
              <w:rPr>
                <w:szCs w:val="24"/>
              </w:rPr>
              <w:t>The Customs UI must allow verification of the LPCO via the NSW System. e.g., to verify authenticity and validity of all required Certificates, Licenses, Permits, etc.</w:t>
            </w:r>
          </w:p>
        </w:tc>
      </w:tr>
      <w:tr w:rsidR="00366663" w:rsidRPr="008C4A39" w14:paraId="173DE980" w14:textId="77777777" w:rsidTr="00883B07">
        <w:trPr>
          <w:trHeight w:val="510"/>
        </w:trPr>
        <w:tc>
          <w:tcPr>
            <w:tcW w:w="9355" w:type="dxa"/>
            <w:gridSpan w:val="2"/>
            <w:noWrap/>
          </w:tcPr>
          <w:p w14:paraId="6FF14DAD"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DA2ACEB" w14:textId="77777777" w:rsidTr="00883B07">
        <w:trPr>
          <w:trHeight w:val="510"/>
        </w:trPr>
        <w:tc>
          <w:tcPr>
            <w:tcW w:w="9355" w:type="dxa"/>
            <w:gridSpan w:val="2"/>
            <w:noWrap/>
          </w:tcPr>
          <w:p w14:paraId="3D338C8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97537FB" w14:textId="77777777" w:rsidTr="00883B07">
        <w:trPr>
          <w:trHeight w:val="765"/>
        </w:trPr>
        <w:tc>
          <w:tcPr>
            <w:tcW w:w="2425" w:type="dxa"/>
            <w:noWrap/>
          </w:tcPr>
          <w:p w14:paraId="64D0B512" w14:textId="77777777" w:rsidR="00366663" w:rsidRPr="008C4A39" w:rsidRDefault="00366663" w:rsidP="00883B07">
            <w:pPr>
              <w:spacing w:after="0"/>
              <w:jc w:val="left"/>
              <w:rPr>
                <w:szCs w:val="24"/>
              </w:rPr>
            </w:pPr>
            <w:r w:rsidRPr="008C4A39">
              <w:rPr>
                <w:szCs w:val="24"/>
              </w:rPr>
              <w:lastRenderedPageBreak/>
              <w:t>FR55</w:t>
            </w:r>
          </w:p>
        </w:tc>
        <w:tc>
          <w:tcPr>
            <w:tcW w:w="6930" w:type="dxa"/>
          </w:tcPr>
          <w:p w14:paraId="35BF5D90" w14:textId="77777777" w:rsidR="00366663" w:rsidRPr="008C4A39" w:rsidRDefault="00366663" w:rsidP="00883B07">
            <w:pPr>
              <w:spacing w:after="0"/>
              <w:rPr>
                <w:szCs w:val="24"/>
              </w:rPr>
            </w:pPr>
            <w:r w:rsidRPr="008C4A39">
              <w:rPr>
                <w:szCs w:val="24"/>
              </w:rPr>
              <w:t>The CBRA UI provides for the staff of CBRAs to view all lodgment of the LPCOs, and to access the NSW System to process LPCO process applications. The UI shall be configurable for the respective CBRA, based on configuration of workflow and rules appropriate for the CBRA.</w:t>
            </w:r>
          </w:p>
        </w:tc>
      </w:tr>
      <w:tr w:rsidR="00366663" w:rsidRPr="008C4A39" w14:paraId="72B4324A" w14:textId="77777777" w:rsidTr="00883B07">
        <w:trPr>
          <w:trHeight w:val="503"/>
        </w:trPr>
        <w:tc>
          <w:tcPr>
            <w:tcW w:w="9355" w:type="dxa"/>
            <w:gridSpan w:val="2"/>
            <w:noWrap/>
          </w:tcPr>
          <w:p w14:paraId="70F1436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B8047AB" w14:textId="77777777" w:rsidTr="00883B07">
        <w:trPr>
          <w:trHeight w:val="530"/>
        </w:trPr>
        <w:tc>
          <w:tcPr>
            <w:tcW w:w="9355" w:type="dxa"/>
            <w:gridSpan w:val="2"/>
            <w:noWrap/>
          </w:tcPr>
          <w:p w14:paraId="05FA399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C113AB4" w14:textId="77777777" w:rsidTr="00883B07">
        <w:trPr>
          <w:trHeight w:val="510"/>
        </w:trPr>
        <w:tc>
          <w:tcPr>
            <w:tcW w:w="2425" w:type="dxa"/>
            <w:noWrap/>
          </w:tcPr>
          <w:p w14:paraId="334A67F4" w14:textId="77777777" w:rsidR="00366663" w:rsidRPr="008C4A39" w:rsidRDefault="00366663" w:rsidP="00883B07">
            <w:pPr>
              <w:spacing w:after="0"/>
              <w:jc w:val="left"/>
              <w:rPr>
                <w:szCs w:val="24"/>
              </w:rPr>
            </w:pPr>
            <w:r w:rsidRPr="008C4A39">
              <w:rPr>
                <w:szCs w:val="24"/>
              </w:rPr>
              <w:t>FR58</w:t>
            </w:r>
          </w:p>
        </w:tc>
        <w:tc>
          <w:tcPr>
            <w:tcW w:w="6930" w:type="dxa"/>
          </w:tcPr>
          <w:p w14:paraId="4882C6CB" w14:textId="77777777" w:rsidR="00366663" w:rsidRPr="008C4A39" w:rsidRDefault="00366663" w:rsidP="00883B07">
            <w:pPr>
              <w:spacing w:after="0"/>
              <w:rPr>
                <w:szCs w:val="24"/>
              </w:rPr>
            </w:pPr>
            <w:r w:rsidRPr="008C4A39">
              <w:rPr>
                <w:szCs w:val="24"/>
              </w:rPr>
              <w:t>The CBRA UI shall have provision for personalized dashboard showing all pending, in progress and completed tasks for each User logging into the system.</w:t>
            </w:r>
          </w:p>
        </w:tc>
      </w:tr>
      <w:tr w:rsidR="00366663" w:rsidRPr="008C4A39" w14:paraId="58C430CB" w14:textId="77777777" w:rsidTr="00883B07">
        <w:trPr>
          <w:trHeight w:val="510"/>
        </w:trPr>
        <w:tc>
          <w:tcPr>
            <w:tcW w:w="9355" w:type="dxa"/>
            <w:gridSpan w:val="2"/>
            <w:noWrap/>
          </w:tcPr>
          <w:p w14:paraId="1C05E6E1" w14:textId="77777777" w:rsidR="00366663" w:rsidRPr="008C4A39" w:rsidRDefault="00366663" w:rsidP="00883B07">
            <w:pPr>
              <w:ind w:right="-360"/>
              <w:jc w:val="left"/>
              <w:rPr>
                <w:szCs w:val="24"/>
              </w:rPr>
            </w:pPr>
            <w:r w:rsidRPr="008C4A39">
              <w:rPr>
                <w:szCs w:val="24"/>
              </w:rPr>
              <w:t xml:space="preserve">Bidder’s technical reasons supporting compliance:  </w:t>
            </w:r>
          </w:p>
          <w:p w14:paraId="29771743" w14:textId="77777777" w:rsidR="00366663" w:rsidRPr="008C4A39" w:rsidRDefault="00366663" w:rsidP="00883B07">
            <w:pPr>
              <w:spacing w:after="0"/>
              <w:rPr>
                <w:szCs w:val="24"/>
              </w:rPr>
            </w:pPr>
          </w:p>
        </w:tc>
      </w:tr>
      <w:tr w:rsidR="00366663" w:rsidRPr="008C4A39" w14:paraId="250C40A5" w14:textId="77777777" w:rsidTr="00883B07">
        <w:trPr>
          <w:trHeight w:val="510"/>
        </w:trPr>
        <w:tc>
          <w:tcPr>
            <w:tcW w:w="9355" w:type="dxa"/>
            <w:gridSpan w:val="2"/>
            <w:noWrap/>
          </w:tcPr>
          <w:p w14:paraId="7990B236"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3F11B2FC" w14:textId="77777777" w:rsidR="00366663" w:rsidRPr="008C4A39" w:rsidRDefault="00366663" w:rsidP="00883B07">
            <w:pPr>
              <w:spacing w:after="0"/>
              <w:rPr>
                <w:szCs w:val="24"/>
              </w:rPr>
            </w:pPr>
          </w:p>
        </w:tc>
      </w:tr>
      <w:tr w:rsidR="00366663" w:rsidRPr="008C4A39" w14:paraId="78F4C648" w14:textId="77777777" w:rsidTr="00883B07">
        <w:trPr>
          <w:trHeight w:val="765"/>
        </w:trPr>
        <w:tc>
          <w:tcPr>
            <w:tcW w:w="2425" w:type="dxa"/>
            <w:noWrap/>
          </w:tcPr>
          <w:p w14:paraId="6218BE46" w14:textId="77777777" w:rsidR="00366663" w:rsidRPr="008C4A39" w:rsidRDefault="00366663" w:rsidP="00883B07">
            <w:pPr>
              <w:spacing w:after="0"/>
              <w:jc w:val="left"/>
              <w:rPr>
                <w:szCs w:val="24"/>
              </w:rPr>
            </w:pPr>
            <w:r w:rsidRPr="008C4A39">
              <w:rPr>
                <w:szCs w:val="24"/>
              </w:rPr>
              <w:t>FR59</w:t>
            </w:r>
          </w:p>
        </w:tc>
        <w:tc>
          <w:tcPr>
            <w:tcW w:w="6930" w:type="dxa"/>
          </w:tcPr>
          <w:p w14:paraId="6A487671" w14:textId="77777777" w:rsidR="00366663" w:rsidRPr="008C4A39" w:rsidRDefault="00366663" w:rsidP="00883B07">
            <w:pPr>
              <w:spacing w:after="0"/>
              <w:rPr>
                <w:szCs w:val="24"/>
              </w:rPr>
            </w:pPr>
            <w:r w:rsidRPr="008C4A39">
              <w:rPr>
                <w:szCs w:val="24"/>
              </w:rPr>
              <w:t xml:space="preserve">The NSW must allow the CBRA staff and officers to log into portal and perform validation, </w:t>
            </w:r>
            <w:proofErr w:type="gramStart"/>
            <w:r w:rsidRPr="008C4A39">
              <w:rPr>
                <w:szCs w:val="24"/>
              </w:rPr>
              <w:t>processing</w:t>
            </w:r>
            <w:proofErr w:type="gramEnd"/>
            <w:r w:rsidRPr="008C4A39">
              <w:rPr>
                <w:szCs w:val="24"/>
              </w:rPr>
              <w:t xml:space="preserve"> and approval / rejection of the LPCO applications. The system shall automatically provide updates on the status to the concerned stakeholders including the Trader.</w:t>
            </w:r>
          </w:p>
        </w:tc>
      </w:tr>
      <w:tr w:rsidR="00366663" w:rsidRPr="008C4A39" w14:paraId="627D3A27" w14:textId="77777777" w:rsidTr="00883B07">
        <w:trPr>
          <w:trHeight w:val="593"/>
        </w:trPr>
        <w:tc>
          <w:tcPr>
            <w:tcW w:w="9355" w:type="dxa"/>
            <w:gridSpan w:val="2"/>
            <w:noWrap/>
          </w:tcPr>
          <w:p w14:paraId="6167B45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53D3457" w14:textId="77777777" w:rsidTr="00883B07">
        <w:trPr>
          <w:trHeight w:val="539"/>
        </w:trPr>
        <w:tc>
          <w:tcPr>
            <w:tcW w:w="9355" w:type="dxa"/>
            <w:gridSpan w:val="2"/>
            <w:noWrap/>
          </w:tcPr>
          <w:p w14:paraId="792CC2E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CD6EDB0" w14:textId="77777777" w:rsidTr="00883B07">
        <w:trPr>
          <w:trHeight w:val="510"/>
        </w:trPr>
        <w:tc>
          <w:tcPr>
            <w:tcW w:w="2425" w:type="dxa"/>
            <w:noWrap/>
          </w:tcPr>
          <w:p w14:paraId="580DB828" w14:textId="77777777" w:rsidR="00366663" w:rsidRPr="008C4A39" w:rsidRDefault="00366663" w:rsidP="00883B07">
            <w:pPr>
              <w:spacing w:after="0"/>
              <w:jc w:val="left"/>
              <w:rPr>
                <w:szCs w:val="24"/>
              </w:rPr>
            </w:pPr>
            <w:r w:rsidRPr="008C4A39">
              <w:rPr>
                <w:szCs w:val="24"/>
              </w:rPr>
              <w:t>FR60</w:t>
            </w:r>
          </w:p>
        </w:tc>
        <w:tc>
          <w:tcPr>
            <w:tcW w:w="6930" w:type="dxa"/>
          </w:tcPr>
          <w:p w14:paraId="215ECC78" w14:textId="77777777" w:rsidR="00366663" w:rsidRPr="008C4A39" w:rsidRDefault="00366663" w:rsidP="00883B07">
            <w:pPr>
              <w:spacing w:after="0"/>
              <w:rPr>
                <w:szCs w:val="24"/>
              </w:rPr>
            </w:pPr>
            <w:r w:rsidRPr="008C4A39">
              <w:rPr>
                <w:szCs w:val="24"/>
              </w:rPr>
              <w:t>The CBRA UI must provide event triggers when a Trader submits a LPCO request in the form of a message in a workflow ‘In-tray’ of an officer (or group of officers having the same role).</w:t>
            </w:r>
          </w:p>
        </w:tc>
      </w:tr>
      <w:tr w:rsidR="00366663" w:rsidRPr="008C4A39" w14:paraId="1DE7617F" w14:textId="77777777" w:rsidTr="00883B07">
        <w:trPr>
          <w:trHeight w:val="510"/>
        </w:trPr>
        <w:tc>
          <w:tcPr>
            <w:tcW w:w="9355" w:type="dxa"/>
            <w:gridSpan w:val="2"/>
            <w:noWrap/>
          </w:tcPr>
          <w:p w14:paraId="6C69477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8EBE2BD" w14:textId="77777777" w:rsidTr="00883B07">
        <w:trPr>
          <w:trHeight w:val="510"/>
        </w:trPr>
        <w:tc>
          <w:tcPr>
            <w:tcW w:w="9355" w:type="dxa"/>
            <w:gridSpan w:val="2"/>
            <w:noWrap/>
          </w:tcPr>
          <w:p w14:paraId="509400B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8244DB9" w14:textId="77777777" w:rsidTr="00883B07">
        <w:trPr>
          <w:trHeight w:val="510"/>
        </w:trPr>
        <w:tc>
          <w:tcPr>
            <w:tcW w:w="2425" w:type="dxa"/>
            <w:noWrap/>
          </w:tcPr>
          <w:p w14:paraId="6C665555" w14:textId="77777777" w:rsidR="00366663" w:rsidRPr="008C4A39" w:rsidRDefault="00366663" w:rsidP="00883B07">
            <w:pPr>
              <w:spacing w:after="0"/>
              <w:jc w:val="left"/>
              <w:rPr>
                <w:szCs w:val="24"/>
              </w:rPr>
            </w:pPr>
            <w:r w:rsidRPr="008C4A39">
              <w:rPr>
                <w:szCs w:val="24"/>
              </w:rPr>
              <w:t>FR62</w:t>
            </w:r>
          </w:p>
        </w:tc>
        <w:tc>
          <w:tcPr>
            <w:tcW w:w="6930" w:type="dxa"/>
          </w:tcPr>
          <w:p w14:paraId="2CE49491" w14:textId="77777777" w:rsidR="00366663" w:rsidRPr="008C4A39" w:rsidRDefault="00366663" w:rsidP="00883B07">
            <w:pPr>
              <w:spacing w:after="0"/>
              <w:rPr>
                <w:szCs w:val="24"/>
              </w:rPr>
            </w:pPr>
            <w:r w:rsidRPr="008C4A39">
              <w:rPr>
                <w:szCs w:val="24"/>
              </w:rPr>
              <w:t>The CBRA UI must display all the LPCO lodgments for the CBRAs to pursue and verify. The system should send automatic alerts to concerned officials of the CBRA as required.</w:t>
            </w:r>
          </w:p>
        </w:tc>
      </w:tr>
      <w:tr w:rsidR="00366663" w:rsidRPr="008C4A39" w14:paraId="7697F042" w14:textId="77777777" w:rsidTr="00883B07">
        <w:trPr>
          <w:trHeight w:val="510"/>
        </w:trPr>
        <w:tc>
          <w:tcPr>
            <w:tcW w:w="9355" w:type="dxa"/>
            <w:gridSpan w:val="2"/>
            <w:noWrap/>
          </w:tcPr>
          <w:p w14:paraId="03C6A44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DA48954" w14:textId="77777777" w:rsidTr="00883B07">
        <w:trPr>
          <w:trHeight w:val="510"/>
        </w:trPr>
        <w:tc>
          <w:tcPr>
            <w:tcW w:w="9355" w:type="dxa"/>
            <w:gridSpan w:val="2"/>
            <w:noWrap/>
          </w:tcPr>
          <w:p w14:paraId="3DE8F8FB"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96AE74E" w14:textId="77777777" w:rsidTr="00883B07">
        <w:trPr>
          <w:trHeight w:val="510"/>
        </w:trPr>
        <w:tc>
          <w:tcPr>
            <w:tcW w:w="2425" w:type="dxa"/>
            <w:noWrap/>
          </w:tcPr>
          <w:p w14:paraId="1C3534AF" w14:textId="77777777" w:rsidR="00366663" w:rsidRPr="008C4A39" w:rsidRDefault="00366663" w:rsidP="00883B07">
            <w:pPr>
              <w:spacing w:after="0"/>
              <w:jc w:val="left"/>
              <w:rPr>
                <w:szCs w:val="24"/>
              </w:rPr>
            </w:pPr>
            <w:r w:rsidRPr="008C4A39">
              <w:rPr>
                <w:szCs w:val="24"/>
              </w:rPr>
              <w:t>FR63</w:t>
            </w:r>
          </w:p>
        </w:tc>
        <w:tc>
          <w:tcPr>
            <w:tcW w:w="6930" w:type="dxa"/>
          </w:tcPr>
          <w:p w14:paraId="4032D6E5" w14:textId="77777777" w:rsidR="00366663" w:rsidRPr="008C4A39" w:rsidRDefault="00366663" w:rsidP="00883B07">
            <w:pPr>
              <w:spacing w:after="0"/>
              <w:rPr>
                <w:szCs w:val="24"/>
              </w:rPr>
            </w:pPr>
            <w:r w:rsidRPr="008C4A39">
              <w:rPr>
                <w:szCs w:val="24"/>
              </w:rPr>
              <w:t>The UI should track the activities performed by each User in the entire process chain for escalation and reporting purposes.</w:t>
            </w:r>
          </w:p>
        </w:tc>
      </w:tr>
      <w:tr w:rsidR="00366663" w:rsidRPr="008C4A39" w14:paraId="3574E8BF" w14:textId="77777777" w:rsidTr="00883B07">
        <w:trPr>
          <w:trHeight w:val="510"/>
        </w:trPr>
        <w:tc>
          <w:tcPr>
            <w:tcW w:w="9355" w:type="dxa"/>
            <w:gridSpan w:val="2"/>
            <w:noWrap/>
          </w:tcPr>
          <w:p w14:paraId="15388C8E"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F31D6A1" w14:textId="77777777" w:rsidTr="00883B07">
        <w:trPr>
          <w:trHeight w:val="510"/>
        </w:trPr>
        <w:tc>
          <w:tcPr>
            <w:tcW w:w="9355" w:type="dxa"/>
            <w:gridSpan w:val="2"/>
            <w:noWrap/>
          </w:tcPr>
          <w:p w14:paraId="6111B3F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D85DDD8" w14:textId="77777777" w:rsidTr="00883B07">
        <w:trPr>
          <w:trHeight w:val="510"/>
        </w:trPr>
        <w:tc>
          <w:tcPr>
            <w:tcW w:w="9355" w:type="dxa"/>
            <w:gridSpan w:val="2"/>
            <w:shd w:val="clear" w:color="auto" w:fill="auto"/>
            <w:noWrap/>
          </w:tcPr>
          <w:p w14:paraId="3603DEC4" w14:textId="77777777" w:rsidR="00366663" w:rsidRPr="008C4A39" w:rsidRDefault="00366663" w:rsidP="00883B07">
            <w:pPr>
              <w:spacing w:after="0"/>
              <w:jc w:val="left"/>
              <w:rPr>
                <w:b/>
                <w:szCs w:val="24"/>
              </w:rPr>
            </w:pPr>
            <w:r w:rsidRPr="008C4A39">
              <w:rPr>
                <w:b/>
                <w:szCs w:val="24"/>
              </w:rPr>
              <w:lastRenderedPageBreak/>
              <w:t>Information User UI Requirements</w:t>
            </w:r>
          </w:p>
        </w:tc>
      </w:tr>
      <w:tr w:rsidR="00366663" w:rsidRPr="008C4A39" w14:paraId="15572B93" w14:textId="77777777" w:rsidTr="00883B07">
        <w:trPr>
          <w:trHeight w:val="510"/>
        </w:trPr>
        <w:tc>
          <w:tcPr>
            <w:tcW w:w="2425" w:type="dxa"/>
            <w:noWrap/>
          </w:tcPr>
          <w:p w14:paraId="239C7CBD" w14:textId="77777777" w:rsidR="00366663" w:rsidRPr="008C4A39" w:rsidRDefault="00366663" w:rsidP="00883B07">
            <w:pPr>
              <w:spacing w:after="0"/>
              <w:jc w:val="left"/>
              <w:rPr>
                <w:szCs w:val="24"/>
              </w:rPr>
            </w:pPr>
            <w:r w:rsidRPr="008C4A39">
              <w:rPr>
                <w:szCs w:val="24"/>
              </w:rPr>
              <w:t>FR64</w:t>
            </w:r>
          </w:p>
        </w:tc>
        <w:tc>
          <w:tcPr>
            <w:tcW w:w="6930" w:type="dxa"/>
          </w:tcPr>
          <w:p w14:paraId="456A2D43" w14:textId="77777777" w:rsidR="00366663" w:rsidRPr="008C4A39" w:rsidRDefault="00366663" w:rsidP="00883B07">
            <w:pPr>
              <w:spacing w:after="0"/>
              <w:rPr>
                <w:szCs w:val="24"/>
              </w:rPr>
            </w:pPr>
            <w:r w:rsidRPr="008C4A39">
              <w:rPr>
                <w:szCs w:val="24"/>
              </w:rPr>
              <w:t>The Information UI must provide detailed information about the services and processes related to NSW and Customs regarding Trade i.e., both imports and exports.</w:t>
            </w:r>
          </w:p>
        </w:tc>
      </w:tr>
      <w:tr w:rsidR="00366663" w:rsidRPr="008C4A39" w14:paraId="502D57AF" w14:textId="77777777" w:rsidTr="00883B07">
        <w:trPr>
          <w:trHeight w:val="510"/>
        </w:trPr>
        <w:tc>
          <w:tcPr>
            <w:tcW w:w="9355" w:type="dxa"/>
            <w:gridSpan w:val="2"/>
            <w:noWrap/>
          </w:tcPr>
          <w:p w14:paraId="4C2F5DC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D450F8A" w14:textId="77777777" w:rsidTr="00883B07">
        <w:trPr>
          <w:trHeight w:val="510"/>
        </w:trPr>
        <w:tc>
          <w:tcPr>
            <w:tcW w:w="9355" w:type="dxa"/>
            <w:gridSpan w:val="2"/>
            <w:noWrap/>
          </w:tcPr>
          <w:p w14:paraId="7689BDD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395A767" w14:textId="77777777" w:rsidTr="00883B07">
        <w:trPr>
          <w:trHeight w:val="510"/>
        </w:trPr>
        <w:tc>
          <w:tcPr>
            <w:tcW w:w="2425" w:type="dxa"/>
            <w:noWrap/>
          </w:tcPr>
          <w:p w14:paraId="7D71F593" w14:textId="77777777" w:rsidR="00366663" w:rsidRPr="008C4A39" w:rsidRDefault="00366663" w:rsidP="00883B07">
            <w:pPr>
              <w:spacing w:after="0"/>
              <w:jc w:val="left"/>
              <w:rPr>
                <w:szCs w:val="24"/>
              </w:rPr>
            </w:pPr>
            <w:r w:rsidRPr="008C4A39">
              <w:rPr>
                <w:szCs w:val="24"/>
              </w:rPr>
              <w:t>FR65</w:t>
            </w:r>
          </w:p>
        </w:tc>
        <w:tc>
          <w:tcPr>
            <w:tcW w:w="6930" w:type="dxa"/>
          </w:tcPr>
          <w:p w14:paraId="17E6FD71" w14:textId="77777777" w:rsidR="00366663" w:rsidRPr="008C4A39" w:rsidRDefault="00366663" w:rsidP="00883B07">
            <w:pPr>
              <w:spacing w:after="0"/>
              <w:rPr>
                <w:szCs w:val="24"/>
              </w:rPr>
            </w:pPr>
            <w:r w:rsidRPr="008C4A39">
              <w:rPr>
                <w:szCs w:val="24"/>
              </w:rPr>
              <w:t>The UI must provide a “Personalized Dashboard” for each User category, with information and workflow customized specifically with respect to Trade rules and regulations in the country.</w:t>
            </w:r>
          </w:p>
        </w:tc>
      </w:tr>
      <w:tr w:rsidR="00366663" w:rsidRPr="008C4A39" w14:paraId="194CA433" w14:textId="77777777" w:rsidTr="00883B07">
        <w:trPr>
          <w:trHeight w:val="510"/>
        </w:trPr>
        <w:tc>
          <w:tcPr>
            <w:tcW w:w="9355" w:type="dxa"/>
            <w:gridSpan w:val="2"/>
            <w:noWrap/>
          </w:tcPr>
          <w:p w14:paraId="6F43DB9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6AA5E0D" w14:textId="77777777" w:rsidTr="00883B07">
        <w:trPr>
          <w:trHeight w:val="510"/>
        </w:trPr>
        <w:tc>
          <w:tcPr>
            <w:tcW w:w="9355" w:type="dxa"/>
            <w:gridSpan w:val="2"/>
            <w:noWrap/>
          </w:tcPr>
          <w:p w14:paraId="2C43F8B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72B673F" w14:textId="77777777" w:rsidTr="00883B07">
        <w:trPr>
          <w:trHeight w:val="510"/>
        </w:trPr>
        <w:tc>
          <w:tcPr>
            <w:tcW w:w="2425" w:type="dxa"/>
            <w:noWrap/>
          </w:tcPr>
          <w:p w14:paraId="10E6E813" w14:textId="77777777" w:rsidR="00366663" w:rsidRPr="008C4A39" w:rsidRDefault="00366663" w:rsidP="00883B07">
            <w:pPr>
              <w:spacing w:after="0"/>
              <w:jc w:val="left"/>
              <w:rPr>
                <w:szCs w:val="24"/>
              </w:rPr>
            </w:pPr>
            <w:r w:rsidRPr="008C4A39">
              <w:rPr>
                <w:szCs w:val="24"/>
              </w:rPr>
              <w:t>FR66</w:t>
            </w:r>
          </w:p>
        </w:tc>
        <w:tc>
          <w:tcPr>
            <w:tcW w:w="6930" w:type="dxa"/>
          </w:tcPr>
          <w:p w14:paraId="0561E218" w14:textId="77777777" w:rsidR="00366663" w:rsidRPr="008C4A39" w:rsidRDefault="00366663" w:rsidP="00883B07">
            <w:pPr>
              <w:spacing w:after="0"/>
              <w:rPr>
                <w:szCs w:val="24"/>
              </w:rPr>
            </w:pPr>
            <w:r w:rsidRPr="008C4A39">
              <w:rPr>
                <w:szCs w:val="24"/>
              </w:rPr>
              <w:t>The UI must provide a wizard-like functionality to assist the traders through a sequence of dialogue boxes / responses that would lead the trader to a series to well defined steps on how to avail any trade related service.</w:t>
            </w:r>
          </w:p>
        </w:tc>
      </w:tr>
      <w:tr w:rsidR="00366663" w:rsidRPr="008C4A39" w14:paraId="52827E9A" w14:textId="77777777" w:rsidTr="00883B07">
        <w:trPr>
          <w:trHeight w:val="510"/>
        </w:trPr>
        <w:tc>
          <w:tcPr>
            <w:tcW w:w="9355" w:type="dxa"/>
            <w:gridSpan w:val="2"/>
            <w:noWrap/>
          </w:tcPr>
          <w:p w14:paraId="77249C0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CEF828D" w14:textId="77777777" w:rsidTr="00883B07">
        <w:trPr>
          <w:trHeight w:val="510"/>
        </w:trPr>
        <w:tc>
          <w:tcPr>
            <w:tcW w:w="9355" w:type="dxa"/>
            <w:gridSpan w:val="2"/>
            <w:noWrap/>
          </w:tcPr>
          <w:p w14:paraId="733FAD7D"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E14FD74" w14:textId="77777777" w:rsidTr="00883B07">
        <w:trPr>
          <w:trHeight w:val="510"/>
        </w:trPr>
        <w:tc>
          <w:tcPr>
            <w:tcW w:w="2425" w:type="dxa"/>
            <w:noWrap/>
          </w:tcPr>
          <w:p w14:paraId="3B705C06" w14:textId="77777777" w:rsidR="00366663" w:rsidRPr="008C4A39" w:rsidRDefault="00366663" w:rsidP="00883B07">
            <w:pPr>
              <w:spacing w:after="0"/>
              <w:jc w:val="left"/>
              <w:rPr>
                <w:szCs w:val="24"/>
              </w:rPr>
            </w:pPr>
            <w:r w:rsidRPr="008C4A39">
              <w:rPr>
                <w:szCs w:val="24"/>
              </w:rPr>
              <w:t>FR67</w:t>
            </w:r>
          </w:p>
        </w:tc>
        <w:tc>
          <w:tcPr>
            <w:tcW w:w="6930" w:type="dxa"/>
          </w:tcPr>
          <w:p w14:paraId="6087354F" w14:textId="77777777" w:rsidR="00366663" w:rsidRPr="008C4A39" w:rsidRDefault="00366663" w:rsidP="00883B07">
            <w:pPr>
              <w:spacing w:after="0"/>
              <w:rPr>
                <w:szCs w:val="24"/>
              </w:rPr>
            </w:pPr>
            <w:r w:rsidRPr="008C4A39">
              <w:rPr>
                <w:szCs w:val="24"/>
              </w:rPr>
              <w:t>The UI must provide access to all required forms and detailed checklist of all documentary evidence or information that may be required to avail any service as required.</w:t>
            </w:r>
          </w:p>
        </w:tc>
      </w:tr>
      <w:tr w:rsidR="00366663" w:rsidRPr="008C4A39" w14:paraId="704AD8D7" w14:textId="77777777" w:rsidTr="00883B07">
        <w:trPr>
          <w:trHeight w:val="510"/>
        </w:trPr>
        <w:tc>
          <w:tcPr>
            <w:tcW w:w="9355" w:type="dxa"/>
            <w:gridSpan w:val="2"/>
            <w:noWrap/>
          </w:tcPr>
          <w:p w14:paraId="464C183E"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0C1CA1B" w14:textId="77777777" w:rsidTr="00883B07">
        <w:trPr>
          <w:trHeight w:val="510"/>
        </w:trPr>
        <w:tc>
          <w:tcPr>
            <w:tcW w:w="9355" w:type="dxa"/>
            <w:gridSpan w:val="2"/>
            <w:noWrap/>
          </w:tcPr>
          <w:p w14:paraId="026D938A"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CACC2FF" w14:textId="77777777" w:rsidTr="00883B07">
        <w:trPr>
          <w:trHeight w:val="510"/>
        </w:trPr>
        <w:tc>
          <w:tcPr>
            <w:tcW w:w="2425" w:type="dxa"/>
            <w:noWrap/>
          </w:tcPr>
          <w:p w14:paraId="657357C2" w14:textId="77777777" w:rsidR="00366663" w:rsidRPr="008C4A39" w:rsidRDefault="00366663" w:rsidP="00883B07">
            <w:pPr>
              <w:spacing w:after="0"/>
              <w:jc w:val="left"/>
              <w:rPr>
                <w:szCs w:val="24"/>
              </w:rPr>
            </w:pPr>
            <w:r w:rsidRPr="008C4A39">
              <w:rPr>
                <w:szCs w:val="24"/>
              </w:rPr>
              <w:t>FR68</w:t>
            </w:r>
          </w:p>
        </w:tc>
        <w:tc>
          <w:tcPr>
            <w:tcW w:w="6930" w:type="dxa"/>
          </w:tcPr>
          <w:p w14:paraId="14FA982D" w14:textId="77777777" w:rsidR="00366663" w:rsidRPr="008C4A39" w:rsidRDefault="00366663" w:rsidP="00883B07">
            <w:pPr>
              <w:spacing w:after="0"/>
              <w:rPr>
                <w:szCs w:val="24"/>
              </w:rPr>
            </w:pPr>
            <w:r w:rsidRPr="008C4A39">
              <w:rPr>
                <w:szCs w:val="24"/>
              </w:rPr>
              <w:t>The UI must provide updated information about the CBRAs and LPCOs along with policies and procedures highlighting changes if any, that may require changes in the required process or data requirements.</w:t>
            </w:r>
          </w:p>
        </w:tc>
      </w:tr>
      <w:tr w:rsidR="00366663" w:rsidRPr="008C4A39" w14:paraId="329EA5F5" w14:textId="77777777" w:rsidTr="00883B07">
        <w:trPr>
          <w:trHeight w:val="510"/>
        </w:trPr>
        <w:tc>
          <w:tcPr>
            <w:tcW w:w="9355" w:type="dxa"/>
            <w:gridSpan w:val="2"/>
            <w:noWrap/>
          </w:tcPr>
          <w:p w14:paraId="3AC1A9D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D2658B9" w14:textId="77777777" w:rsidTr="00883B07">
        <w:trPr>
          <w:trHeight w:val="510"/>
        </w:trPr>
        <w:tc>
          <w:tcPr>
            <w:tcW w:w="9355" w:type="dxa"/>
            <w:gridSpan w:val="2"/>
            <w:noWrap/>
          </w:tcPr>
          <w:p w14:paraId="0B51689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661B4B0" w14:textId="77777777" w:rsidTr="00883B07">
        <w:trPr>
          <w:trHeight w:val="510"/>
        </w:trPr>
        <w:tc>
          <w:tcPr>
            <w:tcW w:w="2425" w:type="dxa"/>
            <w:noWrap/>
          </w:tcPr>
          <w:p w14:paraId="53269250" w14:textId="77777777" w:rsidR="00366663" w:rsidRPr="008C4A39" w:rsidRDefault="00366663" w:rsidP="00883B07">
            <w:pPr>
              <w:spacing w:after="0"/>
              <w:jc w:val="left"/>
              <w:rPr>
                <w:szCs w:val="24"/>
              </w:rPr>
            </w:pPr>
            <w:r w:rsidRPr="008C4A39">
              <w:rPr>
                <w:szCs w:val="24"/>
              </w:rPr>
              <w:t>FR69</w:t>
            </w:r>
          </w:p>
        </w:tc>
        <w:tc>
          <w:tcPr>
            <w:tcW w:w="6930" w:type="dxa"/>
          </w:tcPr>
          <w:p w14:paraId="09C7F07E" w14:textId="77777777" w:rsidR="00366663" w:rsidRPr="008C4A39" w:rsidRDefault="00366663" w:rsidP="00883B07">
            <w:pPr>
              <w:spacing w:after="0"/>
              <w:rPr>
                <w:szCs w:val="24"/>
              </w:rPr>
            </w:pPr>
            <w:r w:rsidRPr="008C4A39">
              <w:rPr>
                <w:szCs w:val="24"/>
              </w:rPr>
              <w:t>The UI should also provide a knowledge base and help manual with key word search capability to allow users to refer to any specific information about services or processes as required.</w:t>
            </w:r>
          </w:p>
        </w:tc>
      </w:tr>
      <w:tr w:rsidR="00366663" w:rsidRPr="008C4A39" w14:paraId="0F2F424A" w14:textId="77777777" w:rsidTr="00883B07">
        <w:trPr>
          <w:trHeight w:val="510"/>
        </w:trPr>
        <w:tc>
          <w:tcPr>
            <w:tcW w:w="9355" w:type="dxa"/>
            <w:gridSpan w:val="2"/>
            <w:noWrap/>
          </w:tcPr>
          <w:p w14:paraId="7D5DB68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BA92B67" w14:textId="77777777" w:rsidTr="00883B07">
        <w:trPr>
          <w:trHeight w:val="510"/>
        </w:trPr>
        <w:tc>
          <w:tcPr>
            <w:tcW w:w="9355" w:type="dxa"/>
            <w:gridSpan w:val="2"/>
            <w:noWrap/>
          </w:tcPr>
          <w:p w14:paraId="230ED90A"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F4BD3A7" w14:textId="77777777" w:rsidTr="00883B07">
        <w:trPr>
          <w:trHeight w:val="510"/>
        </w:trPr>
        <w:tc>
          <w:tcPr>
            <w:tcW w:w="2425" w:type="dxa"/>
            <w:noWrap/>
          </w:tcPr>
          <w:p w14:paraId="73F2CEEE" w14:textId="77777777" w:rsidR="00366663" w:rsidRPr="008C4A39" w:rsidRDefault="00366663" w:rsidP="00883B07">
            <w:pPr>
              <w:spacing w:after="0"/>
              <w:jc w:val="left"/>
              <w:rPr>
                <w:szCs w:val="24"/>
              </w:rPr>
            </w:pPr>
            <w:r w:rsidRPr="008C4A39">
              <w:rPr>
                <w:szCs w:val="24"/>
              </w:rPr>
              <w:lastRenderedPageBreak/>
              <w:t>FR70</w:t>
            </w:r>
          </w:p>
        </w:tc>
        <w:tc>
          <w:tcPr>
            <w:tcW w:w="6930" w:type="dxa"/>
          </w:tcPr>
          <w:p w14:paraId="44F9695C" w14:textId="77777777" w:rsidR="00366663" w:rsidRPr="008C4A39" w:rsidRDefault="00366663" w:rsidP="00883B07">
            <w:pPr>
              <w:spacing w:after="0"/>
              <w:rPr>
                <w:szCs w:val="24"/>
              </w:rPr>
            </w:pPr>
            <w:r w:rsidRPr="008C4A39">
              <w:rPr>
                <w:szCs w:val="24"/>
              </w:rPr>
              <w:t>All the related information, and step wise key steps should be dynamically updated as and when the services or processes or related requirements are amended by respective stakeholders.</w:t>
            </w:r>
          </w:p>
        </w:tc>
      </w:tr>
      <w:tr w:rsidR="00366663" w:rsidRPr="008C4A39" w14:paraId="1DFA1FDD" w14:textId="77777777" w:rsidTr="00883B07">
        <w:trPr>
          <w:trHeight w:val="510"/>
        </w:trPr>
        <w:tc>
          <w:tcPr>
            <w:tcW w:w="9355" w:type="dxa"/>
            <w:gridSpan w:val="2"/>
            <w:noWrap/>
          </w:tcPr>
          <w:p w14:paraId="0B03705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C25A27D" w14:textId="77777777" w:rsidTr="00883B07">
        <w:trPr>
          <w:trHeight w:val="510"/>
        </w:trPr>
        <w:tc>
          <w:tcPr>
            <w:tcW w:w="9355" w:type="dxa"/>
            <w:gridSpan w:val="2"/>
            <w:noWrap/>
          </w:tcPr>
          <w:p w14:paraId="1FA51BBB"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BC2F44B" w14:textId="77777777" w:rsidTr="00883B07">
        <w:trPr>
          <w:trHeight w:val="510"/>
        </w:trPr>
        <w:tc>
          <w:tcPr>
            <w:tcW w:w="2425" w:type="dxa"/>
            <w:noWrap/>
          </w:tcPr>
          <w:p w14:paraId="6AD748CF" w14:textId="77777777" w:rsidR="00366663" w:rsidRPr="008C4A39" w:rsidRDefault="00366663" w:rsidP="00883B07">
            <w:pPr>
              <w:spacing w:after="0"/>
              <w:jc w:val="left"/>
              <w:rPr>
                <w:szCs w:val="24"/>
              </w:rPr>
            </w:pPr>
            <w:r w:rsidRPr="008C4A39">
              <w:rPr>
                <w:szCs w:val="24"/>
              </w:rPr>
              <w:t>FR71</w:t>
            </w:r>
          </w:p>
        </w:tc>
        <w:tc>
          <w:tcPr>
            <w:tcW w:w="6930" w:type="dxa"/>
          </w:tcPr>
          <w:p w14:paraId="60111E44" w14:textId="77777777" w:rsidR="00366663" w:rsidRPr="008C4A39" w:rsidRDefault="00366663" w:rsidP="00883B07">
            <w:pPr>
              <w:spacing w:after="0"/>
              <w:rPr>
                <w:szCs w:val="24"/>
              </w:rPr>
            </w:pPr>
            <w:r w:rsidRPr="008C4A39">
              <w:rPr>
                <w:szCs w:val="24"/>
              </w:rPr>
              <w:t>The UI should provide an audit trail/history of all changes in any specific service/process related to trade facilitation in the country.</w:t>
            </w:r>
          </w:p>
        </w:tc>
      </w:tr>
      <w:tr w:rsidR="00366663" w:rsidRPr="008C4A39" w14:paraId="35EFB78B" w14:textId="77777777" w:rsidTr="00883B07">
        <w:trPr>
          <w:trHeight w:val="510"/>
        </w:trPr>
        <w:tc>
          <w:tcPr>
            <w:tcW w:w="9355" w:type="dxa"/>
            <w:gridSpan w:val="2"/>
            <w:noWrap/>
          </w:tcPr>
          <w:p w14:paraId="51228FB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38CADA1" w14:textId="77777777" w:rsidTr="00883B07">
        <w:trPr>
          <w:trHeight w:val="510"/>
        </w:trPr>
        <w:tc>
          <w:tcPr>
            <w:tcW w:w="9355" w:type="dxa"/>
            <w:gridSpan w:val="2"/>
            <w:noWrap/>
          </w:tcPr>
          <w:p w14:paraId="4861307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bl>
    <w:tbl>
      <w:tblPr>
        <w:tblStyle w:val="TableGrid"/>
        <w:tblW w:w="9355" w:type="dxa"/>
        <w:tblLook w:val="04A0" w:firstRow="1" w:lastRow="0" w:firstColumn="1" w:lastColumn="0" w:noHBand="0" w:noVBand="1"/>
      </w:tblPr>
      <w:tblGrid>
        <w:gridCol w:w="2785"/>
        <w:gridCol w:w="19"/>
        <w:gridCol w:w="93"/>
        <w:gridCol w:w="6458"/>
      </w:tblGrid>
      <w:tr w:rsidR="00366663" w:rsidRPr="008C4A39" w14:paraId="4ECBC835" w14:textId="77777777" w:rsidTr="00883B07">
        <w:tc>
          <w:tcPr>
            <w:tcW w:w="2785" w:type="dxa"/>
            <w:shd w:val="clear" w:color="auto" w:fill="D9D9D9" w:themeFill="background1" w:themeFillShade="D9"/>
          </w:tcPr>
          <w:p w14:paraId="5BE84568" w14:textId="77777777" w:rsidR="00366663" w:rsidRPr="008C4A39" w:rsidRDefault="00366663" w:rsidP="001136D3">
            <w:pPr>
              <w:spacing w:after="0"/>
              <w:jc w:val="left"/>
              <w:rPr>
                <w:b/>
                <w:szCs w:val="24"/>
              </w:rPr>
            </w:pPr>
            <w:r w:rsidRPr="008C4A39">
              <w:rPr>
                <w:b/>
                <w:szCs w:val="24"/>
              </w:rPr>
              <w:t>Tech. Req. Number</w:t>
            </w:r>
          </w:p>
        </w:tc>
        <w:tc>
          <w:tcPr>
            <w:tcW w:w="6570" w:type="dxa"/>
            <w:gridSpan w:val="3"/>
            <w:shd w:val="clear" w:color="auto" w:fill="D9D9D9" w:themeFill="background1" w:themeFillShade="D9"/>
          </w:tcPr>
          <w:p w14:paraId="78BB918D" w14:textId="77777777" w:rsidR="00366663" w:rsidRPr="008C4A39" w:rsidRDefault="00366663" w:rsidP="001136D3">
            <w:pPr>
              <w:spacing w:after="0"/>
              <w:jc w:val="left"/>
              <w:rPr>
                <w:b/>
                <w:szCs w:val="24"/>
              </w:rPr>
            </w:pPr>
            <w:r w:rsidRPr="008C4A39">
              <w:rPr>
                <w:b/>
                <w:szCs w:val="24"/>
              </w:rPr>
              <w:t>Technical Requirement</w:t>
            </w:r>
          </w:p>
        </w:tc>
      </w:tr>
      <w:tr w:rsidR="00366663" w:rsidRPr="008C4A39" w14:paraId="0EBEC489" w14:textId="77777777" w:rsidTr="00883B07">
        <w:tc>
          <w:tcPr>
            <w:tcW w:w="9355" w:type="dxa"/>
            <w:gridSpan w:val="4"/>
          </w:tcPr>
          <w:p w14:paraId="7ACC6800" w14:textId="77777777" w:rsidR="00366663" w:rsidRPr="008C4A39" w:rsidRDefault="00366663" w:rsidP="001136D3">
            <w:pPr>
              <w:spacing w:after="0"/>
              <w:rPr>
                <w:b/>
                <w:szCs w:val="24"/>
              </w:rPr>
            </w:pPr>
            <w:r w:rsidRPr="008C4A39">
              <w:rPr>
                <w:b/>
                <w:szCs w:val="24"/>
              </w:rPr>
              <w:t>1.2.4.3. Administration</w:t>
            </w:r>
          </w:p>
        </w:tc>
      </w:tr>
      <w:tr w:rsidR="00366663" w:rsidRPr="008C4A39" w14:paraId="13F69392" w14:textId="77777777" w:rsidTr="00883B07">
        <w:tc>
          <w:tcPr>
            <w:tcW w:w="2785" w:type="dxa"/>
          </w:tcPr>
          <w:p w14:paraId="47866B0D" w14:textId="77777777" w:rsidR="00366663" w:rsidRPr="008C4A39" w:rsidRDefault="00366663" w:rsidP="001136D3">
            <w:pPr>
              <w:spacing w:after="0"/>
              <w:jc w:val="left"/>
              <w:rPr>
                <w:szCs w:val="24"/>
              </w:rPr>
            </w:pPr>
            <w:r w:rsidRPr="008C4A39">
              <w:rPr>
                <w:szCs w:val="24"/>
              </w:rPr>
              <w:t>FR460</w:t>
            </w:r>
          </w:p>
        </w:tc>
        <w:tc>
          <w:tcPr>
            <w:tcW w:w="6570" w:type="dxa"/>
            <w:gridSpan w:val="3"/>
          </w:tcPr>
          <w:p w14:paraId="0AC59CCE" w14:textId="77777777" w:rsidR="00366663" w:rsidRPr="008C4A39" w:rsidRDefault="00366663">
            <w:pPr>
              <w:spacing w:after="0"/>
              <w:rPr>
                <w:szCs w:val="24"/>
              </w:rPr>
            </w:pPr>
            <w:r w:rsidRPr="008C4A39">
              <w:rPr>
                <w:szCs w:val="24"/>
              </w:rPr>
              <w:t xml:space="preserve">The system must support the concept of distributed administration. With distributed administration means, an administrator has the authority to only manage users that </w:t>
            </w:r>
            <w:proofErr w:type="gramStart"/>
            <w:r w:rsidRPr="008C4A39">
              <w:rPr>
                <w:szCs w:val="24"/>
              </w:rPr>
              <w:t>belongs</w:t>
            </w:r>
            <w:proofErr w:type="gramEnd"/>
            <w:r w:rsidRPr="008C4A39">
              <w:rPr>
                <w:szCs w:val="24"/>
              </w:rPr>
              <w:t xml:space="preserve"> to a specific organization, CBRAs etc.  </w:t>
            </w:r>
            <w:r w:rsidRPr="008C4A39">
              <w:rPr>
                <w:szCs w:val="24"/>
              </w:rPr>
              <w:br/>
            </w:r>
          </w:p>
          <w:p w14:paraId="5A1D3E76" w14:textId="77777777" w:rsidR="00366663" w:rsidRPr="008C4A39" w:rsidRDefault="00366663" w:rsidP="001136D3">
            <w:pPr>
              <w:spacing w:after="0"/>
              <w:rPr>
                <w:szCs w:val="24"/>
              </w:rPr>
            </w:pPr>
            <w:r w:rsidRPr="008C4A39">
              <w:rPr>
                <w:szCs w:val="24"/>
              </w:rPr>
              <w:t>The system shall support the following principles:</w:t>
            </w:r>
          </w:p>
          <w:p w14:paraId="3A6A8C26" w14:textId="77777777" w:rsidR="00D7564E" w:rsidRDefault="00366663" w:rsidP="00D530D5">
            <w:pPr>
              <w:pStyle w:val="ListParagraph"/>
              <w:numPr>
                <w:ilvl w:val="0"/>
                <w:numId w:val="113"/>
              </w:numPr>
              <w:spacing w:after="0"/>
              <w:ind w:left="451" w:hanging="270"/>
            </w:pPr>
            <w:r w:rsidRPr="008C4A39">
              <w:rPr>
                <w:szCs w:val="24"/>
              </w:rPr>
              <w:t xml:space="preserve">The main administrator can authorize administrator privileges to sub-administrator of users belonging to a specific organization. </w:t>
            </w:r>
          </w:p>
          <w:p w14:paraId="18085D78" w14:textId="11530EC6" w:rsidR="00366663" w:rsidRPr="00D7564E" w:rsidRDefault="00366663" w:rsidP="00D530D5">
            <w:pPr>
              <w:pStyle w:val="ListParagraph"/>
              <w:numPr>
                <w:ilvl w:val="0"/>
                <w:numId w:val="113"/>
              </w:numPr>
              <w:spacing w:after="0"/>
              <w:ind w:left="451" w:hanging="270"/>
            </w:pPr>
            <w:r w:rsidRPr="00D7564E">
              <w:t>A sub-administrator can be authorized to manage users in one organization.</w:t>
            </w:r>
          </w:p>
        </w:tc>
      </w:tr>
      <w:tr w:rsidR="00366663" w:rsidRPr="008C4A39" w14:paraId="7F5DEAE0" w14:textId="77777777" w:rsidTr="00883B07">
        <w:tc>
          <w:tcPr>
            <w:tcW w:w="9355" w:type="dxa"/>
            <w:gridSpan w:val="4"/>
          </w:tcPr>
          <w:p w14:paraId="75880CB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2B053E3" w14:textId="77777777" w:rsidTr="00883B07">
        <w:tc>
          <w:tcPr>
            <w:tcW w:w="9355" w:type="dxa"/>
            <w:gridSpan w:val="4"/>
          </w:tcPr>
          <w:p w14:paraId="51089E5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C0C58CA" w14:textId="77777777" w:rsidTr="00883B07">
        <w:tc>
          <w:tcPr>
            <w:tcW w:w="2804" w:type="dxa"/>
            <w:gridSpan w:val="2"/>
            <w:tcBorders>
              <w:top w:val="single" w:sz="4" w:space="0" w:color="auto"/>
              <w:left w:val="single" w:sz="4" w:space="0" w:color="auto"/>
              <w:bottom w:val="single" w:sz="4" w:space="0" w:color="auto"/>
              <w:right w:val="single" w:sz="4" w:space="0" w:color="auto"/>
            </w:tcBorders>
            <w:shd w:val="clear" w:color="auto" w:fill="D9D9D9"/>
          </w:tcPr>
          <w:p w14:paraId="062BD713" w14:textId="77777777" w:rsidR="00366663" w:rsidRPr="008C4A39" w:rsidRDefault="00366663" w:rsidP="00883B07">
            <w:pPr>
              <w:spacing w:after="0"/>
              <w:rPr>
                <w:szCs w:val="24"/>
              </w:rPr>
            </w:pPr>
            <w:r w:rsidRPr="008C4A39">
              <w:rPr>
                <w:b/>
                <w:szCs w:val="24"/>
              </w:rPr>
              <w:t>Tech. Req. Number</w:t>
            </w:r>
          </w:p>
        </w:tc>
        <w:tc>
          <w:tcPr>
            <w:tcW w:w="6551" w:type="dxa"/>
            <w:gridSpan w:val="2"/>
            <w:tcBorders>
              <w:top w:val="single" w:sz="4" w:space="0" w:color="auto"/>
              <w:left w:val="single" w:sz="4" w:space="0" w:color="auto"/>
              <w:bottom w:val="single" w:sz="4" w:space="0" w:color="auto"/>
              <w:right w:val="single" w:sz="4" w:space="0" w:color="auto"/>
            </w:tcBorders>
            <w:shd w:val="clear" w:color="auto" w:fill="D9D9D9"/>
          </w:tcPr>
          <w:p w14:paraId="5AE69C70" w14:textId="77777777" w:rsidR="00366663" w:rsidRPr="008C4A39" w:rsidRDefault="00366663" w:rsidP="00883B07">
            <w:pPr>
              <w:spacing w:after="0"/>
              <w:jc w:val="left"/>
              <w:rPr>
                <w:szCs w:val="24"/>
              </w:rPr>
            </w:pPr>
            <w:r w:rsidRPr="008C4A39">
              <w:rPr>
                <w:b/>
                <w:szCs w:val="24"/>
              </w:rPr>
              <w:t>Technical Requirement</w:t>
            </w:r>
          </w:p>
        </w:tc>
      </w:tr>
      <w:tr w:rsidR="00366663" w:rsidRPr="008C4A39" w14:paraId="6EDF8AE3"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60B730FF" w14:textId="77777777" w:rsidR="00366663" w:rsidRPr="008C4A39" w:rsidRDefault="00366663" w:rsidP="00883B07">
            <w:pPr>
              <w:rPr>
                <w:b/>
                <w:bCs/>
                <w:iCs/>
                <w:szCs w:val="24"/>
              </w:rPr>
            </w:pPr>
            <w:r w:rsidRPr="008C4A39">
              <w:rPr>
                <w:b/>
                <w:bCs/>
                <w:iCs/>
                <w:szCs w:val="24"/>
              </w:rPr>
              <w:t>1.2.4.4. Register Economic Operator</w:t>
            </w:r>
          </w:p>
        </w:tc>
      </w:tr>
      <w:tr w:rsidR="00366663" w:rsidRPr="008C4A39" w14:paraId="03EA7A0B" w14:textId="77777777" w:rsidTr="00883B07">
        <w:tc>
          <w:tcPr>
            <w:tcW w:w="2804" w:type="dxa"/>
            <w:gridSpan w:val="2"/>
            <w:tcBorders>
              <w:top w:val="single" w:sz="4" w:space="0" w:color="auto"/>
              <w:left w:val="single" w:sz="4" w:space="0" w:color="auto"/>
              <w:bottom w:val="single" w:sz="4" w:space="0" w:color="auto"/>
              <w:right w:val="single" w:sz="4" w:space="0" w:color="auto"/>
            </w:tcBorders>
            <w:shd w:val="clear" w:color="auto" w:fill="FFFFFF"/>
          </w:tcPr>
          <w:p w14:paraId="10E02805" w14:textId="77777777" w:rsidR="00366663" w:rsidRPr="008C4A39" w:rsidRDefault="00366663" w:rsidP="00883B07">
            <w:pPr>
              <w:spacing w:after="0"/>
              <w:rPr>
                <w:szCs w:val="24"/>
              </w:rPr>
            </w:pPr>
            <w:r w:rsidRPr="008C4A39">
              <w:rPr>
                <w:szCs w:val="24"/>
              </w:rPr>
              <w:t>FR5</w:t>
            </w:r>
          </w:p>
        </w:tc>
        <w:tc>
          <w:tcPr>
            <w:tcW w:w="6551" w:type="dxa"/>
            <w:gridSpan w:val="2"/>
            <w:tcBorders>
              <w:top w:val="single" w:sz="4" w:space="0" w:color="auto"/>
              <w:left w:val="single" w:sz="4" w:space="0" w:color="auto"/>
              <w:bottom w:val="single" w:sz="4" w:space="0" w:color="auto"/>
              <w:right w:val="single" w:sz="4" w:space="0" w:color="auto"/>
            </w:tcBorders>
            <w:shd w:val="clear" w:color="auto" w:fill="FFFFFF"/>
          </w:tcPr>
          <w:p w14:paraId="026BFD8B" w14:textId="002C44CA" w:rsidR="00366663" w:rsidRPr="008C4A39" w:rsidRDefault="00366663" w:rsidP="00D7564E">
            <w:pPr>
              <w:spacing w:after="0"/>
              <w:rPr>
                <w:szCs w:val="24"/>
              </w:rPr>
            </w:pPr>
            <w:r w:rsidRPr="008C4A39">
              <w:rPr>
                <w:szCs w:val="24"/>
              </w:rPr>
              <w:t xml:space="preserve">The NSW Operator/ administrator should be able to add a new </w:t>
            </w:r>
            <w:r w:rsidR="00D7564E">
              <w:rPr>
                <w:szCs w:val="24"/>
              </w:rPr>
              <w:t>CBRA</w:t>
            </w:r>
            <w:r w:rsidRPr="008C4A39">
              <w:rPr>
                <w:szCs w:val="24"/>
              </w:rPr>
              <w:t xml:space="preserve"> to use NSW services and extend services </w:t>
            </w:r>
            <w:proofErr w:type="gramStart"/>
            <w:r w:rsidRPr="008C4A39">
              <w:rPr>
                <w:szCs w:val="24"/>
              </w:rPr>
              <w:t>similar to</w:t>
            </w:r>
            <w:proofErr w:type="gramEnd"/>
            <w:r w:rsidRPr="008C4A39">
              <w:rPr>
                <w:szCs w:val="24"/>
              </w:rPr>
              <w:t xml:space="preserve"> those of other agencies. </w:t>
            </w:r>
          </w:p>
        </w:tc>
      </w:tr>
      <w:tr w:rsidR="00366663" w:rsidRPr="008C4A39" w14:paraId="445E3924"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5558A27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C7B9FE0"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6DC2FD4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2537170" w14:textId="77777777" w:rsidTr="00883B07">
        <w:tc>
          <w:tcPr>
            <w:tcW w:w="2804" w:type="dxa"/>
            <w:gridSpan w:val="2"/>
            <w:tcBorders>
              <w:top w:val="single" w:sz="4" w:space="0" w:color="auto"/>
              <w:left w:val="single" w:sz="4" w:space="0" w:color="auto"/>
              <w:bottom w:val="single" w:sz="4" w:space="0" w:color="auto"/>
              <w:right w:val="single" w:sz="4" w:space="0" w:color="auto"/>
            </w:tcBorders>
            <w:shd w:val="clear" w:color="auto" w:fill="FFFFFF"/>
          </w:tcPr>
          <w:p w14:paraId="5DB143CB" w14:textId="77777777" w:rsidR="00366663" w:rsidRPr="008C4A39" w:rsidRDefault="00366663" w:rsidP="00883B07">
            <w:pPr>
              <w:spacing w:after="0"/>
              <w:rPr>
                <w:szCs w:val="24"/>
              </w:rPr>
            </w:pPr>
            <w:r w:rsidRPr="008C4A39">
              <w:rPr>
                <w:szCs w:val="24"/>
              </w:rPr>
              <w:t>FR6</w:t>
            </w:r>
          </w:p>
        </w:tc>
        <w:tc>
          <w:tcPr>
            <w:tcW w:w="6551" w:type="dxa"/>
            <w:gridSpan w:val="2"/>
            <w:tcBorders>
              <w:top w:val="single" w:sz="4" w:space="0" w:color="auto"/>
              <w:left w:val="single" w:sz="4" w:space="0" w:color="auto"/>
              <w:bottom w:val="single" w:sz="4" w:space="0" w:color="auto"/>
              <w:right w:val="single" w:sz="4" w:space="0" w:color="auto"/>
            </w:tcBorders>
            <w:shd w:val="clear" w:color="auto" w:fill="FFFFFF"/>
          </w:tcPr>
          <w:p w14:paraId="7482A07A" w14:textId="53087C18" w:rsidR="00366663" w:rsidRPr="008C4A39" w:rsidRDefault="00366663" w:rsidP="00D7564E">
            <w:pPr>
              <w:spacing w:after="0"/>
              <w:rPr>
                <w:szCs w:val="24"/>
              </w:rPr>
            </w:pPr>
            <w:r w:rsidRPr="008C4A39">
              <w:rPr>
                <w:szCs w:val="24"/>
              </w:rPr>
              <w:t xml:space="preserve">Adding a new </w:t>
            </w:r>
            <w:r w:rsidR="00D7564E">
              <w:rPr>
                <w:szCs w:val="24"/>
              </w:rPr>
              <w:t>regulatory authority</w:t>
            </w:r>
            <w:r w:rsidRPr="008C4A39">
              <w:rPr>
                <w:szCs w:val="24"/>
              </w:rPr>
              <w:t xml:space="preserve"> (and associated system interfaces), should be straightforward at the NSW side, involving mainly configuration and data, not programming.</w:t>
            </w:r>
          </w:p>
        </w:tc>
      </w:tr>
      <w:tr w:rsidR="00366663" w:rsidRPr="008C4A39" w14:paraId="6A3784D0"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6633BF1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4974B69"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6EEF122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7398DA4"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7FD751C0" w14:textId="77777777" w:rsidR="00366663" w:rsidRPr="008C4A39" w:rsidRDefault="00366663" w:rsidP="00883B07">
            <w:pPr>
              <w:spacing w:after="0"/>
              <w:rPr>
                <w:szCs w:val="24"/>
              </w:rPr>
            </w:pPr>
            <w:r w:rsidRPr="008C4A39">
              <w:rPr>
                <w:szCs w:val="24"/>
              </w:rPr>
              <w:lastRenderedPageBreak/>
              <w:t>FR72</w:t>
            </w:r>
          </w:p>
          <w:p w14:paraId="02683BA6"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73C4FD62" w14:textId="77777777" w:rsidR="00366663" w:rsidRPr="008C4A39" w:rsidRDefault="00366663" w:rsidP="00883B07">
            <w:pPr>
              <w:spacing w:after="0"/>
              <w:rPr>
                <w:szCs w:val="24"/>
              </w:rPr>
            </w:pPr>
            <w:r w:rsidRPr="008C4A39">
              <w:rPr>
                <w:szCs w:val="24"/>
              </w:rPr>
              <w:t xml:space="preserve">The system must provide for migration of existing registration from CDEPS and EXIM. </w:t>
            </w:r>
          </w:p>
        </w:tc>
      </w:tr>
      <w:tr w:rsidR="00366663" w:rsidRPr="008C4A39" w14:paraId="4409531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5FBB2D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FC8155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4C4DFBD"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2E06450"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39E7E04F" w14:textId="77777777" w:rsidR="00366663" w:rsidRPr="008C4A39" w:rsidRDefault="00366663" w:rsidP="00883B07">
            <w:pPr>
              <w:spacing w:after="0"/>
              <w:rPr>
                <w:szCs w:val="24"/>
              </w:rPr>
            </w:pPr>
            <w:r w:rsidRPr="008C4A39">
              <w:rPr>
                <w:szCs w:val="24"/>
              </w:rPr>
              <w:t>FR73</w:t>
            </w:r>
          </w:p>
          <w:p w14:paraId="0F94FC9C"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61ABB234" w14:textId="77777777" w:rsidR="00366663" w:rsidRPr="008C4A39" w:rsidRDefault="00366663" w:rsidP="00883B07">
            <w:pPr>
              <w:spacing w:after="0"/>
              <w:rPr>
                <w:szCs w:val="24"/>
              </w:rPr>
            </w:pPr>
            <w:r w:rsidRPr="008C4A39">
              <w:rPr>
                <w:szCs w:val="24"/>
              </w:rPr>
              <w:t xml:space="preserve">The system must allow for amendments, updates, </w:t>
            </w:r>
            <w:proofErr w:type="gramStart"/>
            <w:r w:rsidRPr="008C4A39">
              <w:rPr>
                <w:szCs w:val="24"/>
              </w:rPr>
              <w:t>renewal</w:t>
            </w:r>
            <w:proofErr w:type="gramEnd"/>
            <w:r w:rsidRPr="008C4A39">
              <w:rPr>
                <w:szCs w:val="24"/>
              </w:rPr>
              <w:t xml:space="preserve"> and cancellation of the registration.</w:t>
            </w:r>
          </w:p>
        </w:tc>
      </w:tr>
      <w:tr w:rsidR="00366663" w:rsidRPr="008C4A39" w14:paraId="35CE8D3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575085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AF41CA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00C17A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89C8096"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1FB712F" w14:textId="77777777" w:rsidR="00366663" w:rsidRPr="008C4A39" w:rsidRDefault="00366663" w:rsidP="00883B07">
            <w:pPr>
              <w:spacing w:after="0"/>
              <w:rPr>
                <w:szCs w:val="24"/>
              </w:rPr>
            </w:pPr>
            <w:r w:rsidRPr="008C4A39">
              <w:rPr>
                <w:szCs w:val="24"/>
              </w:rPr>
              <w:t>FR74</w:t>
            </w:r>
          </w:p>
          <w:p w14:paraId="2631D525"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60CAA157" w14:textId="77777777" w:rsidR="00366663" w:rsidRPr="008C4A39" w:rsidRDefault="00366663" w:rsidP="00883B07">
            <w:pPr>
              <w:spacing w:after="0"/>
              <w:rPr>
                <w:szCs w:val="24"/>
              </w:rPr>
            </w:pPr>
            <w:r w:rsidRPr="008C4A39">
              <w:rPr>
                <w:szCs w:val="24"/>
              </w:rPr>
              <w:t>The system must provide a step-by-step guide for the potential users to complete the registration.</w:t>
            </w:r>
          </w:p>
        </w:tc>
      </w:tr>
      <w:tr w:rsidR="00366663" w:rsidRPr="008C4A39" w14:paraId="56DDE37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6FDEF9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595D31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96C94D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1591D48"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FCF1569" w14:textId="77777777" w:rsidR="00366663" w:rsidRPr="008C4A39" w:rsidRDefault="00366663" w:rsidP="00883B07">
            <w:pPr>
              <w:spacing w:after="0"/>
              <w:rPr>
                <w:szCs w:val="24"/>
              </w:rPr>
            </w:pPr>
            <w:r w:rsidRPr="008C4A39">
              <w:rPr>
                <w:szCs w:val="24"/>
              </w:rPr>
              <w:t>FR75</w:t>
            </w:r>
          </w:p>
          <w:p w14:paraId="167515B8"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24CEECA4" w14:textId="77777777" w:rsidR="00366663" w:rsidRPr="008C4A39" w:rsidRDefault="00366663" w:rsidP="00883B07">
            <w:pPr>
              <w:spacing w:after="0"/>
              <w:rPr>
                <w:szCs w:val="24"/>
              </w:rPr>
            </w:pPr>
            <w:r w:rsidRPr="008C4A39">
              <w:rPr>
                <w:szCs w:val="24"/>
              </w:rPr>
              <w:t>The system must allow a user (trader, CBRA, information user) to complete the registration formalities without having to visit a government office.</w:t>
            </w:r>
          </w:p>
        </w:tc>
      </w:tr>
      <w:tr w:rsidR="00366663" w:rsidRPr="008C4A39" w14:paraId="1DB00E9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2C5147E"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2E0E24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62CE1D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5EBC9C2"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8558A39" w14:textId="77777777" w:rsidR="00366663" w:rsidRPr="008C4A39" w:rsidRDefault="00366663" w:rsidP="00883B07">
            <w:pPr>
              <w:spacing w:after="0"/>
              <w:rPr>
                <w:szCs w:val="24"/>
              </w:rPr>
            </w:pPr>
            <w:r w:rsidRPr="008C4A39">
              <w:rPr>
                <w:szCs w:val="24"/>
              </w:rPr>
              <w:t>FR76</w:t>
            </w:r>
          </w:p>
          <w:p w14:paraId="54A46AAD"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429D41A2" w14:textId="77777777" w:rsidR="00366663" w:rsidRPr="008C4A39" w:rsidRDefault="00366663" w:rsidP="00883B07">
            <w:pPr>
              <w:spacing w:after="0"/>
              <w:rPr>
                <w:szCs w:val="24"/>
              </w:rPr>
            </w:pPr>
            <w:r w:rsidRPr="008C4A39">
              <w:rPr>
                <w:szCs w:val="24"/>
              </w:rPr>
              <w:t>The system must provide the registrant to attach supporting documents in various formats (doc, pdf, jpeg, etc.) as required for registration under the respective category.</w:t>
            </w:r>
          </w:p>
        </w:tc>
      </w:tr>
      <w:tr w:rsidR="00366663" w:rsidRPr="008C4A39" w14:paraId="7D4FC23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1A7CC2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0E3D5A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7DBA8B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DBED6A4"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7F8981BF" w14:textId="77777777" w:rsidR="00366663" w:rsidRPr="008C4A39" w:rsidRDefault="00366663" w:rsidP="00883B07">
            <w:pPr>
              <w:spacing w:after="0"/>
              <w:rPr>
                <w:szCs w:val="24"/>
              </w:rPr>
            </w:pPr>
            <w:r w:rsidRPr="008C4A39">
              <w:rPr>
                <w:szCs w:val="24"/>
              </w:rPr>
              <w:t>FR77</w:t>
            </w:r>
          </w:p>
        </w:tc>
        <w:tc>
          <w:tcPr>
            <w:tcW w:w="6551" w:type="dxa"/>
            <w:gridSpan w:val="2"/>
            <w:tcBorders>
              <w:top w:val="single" w:sz="4" w:space="0" w:color="auto"/>
              <w:left w:val="single" w:sz="4" w:space="0" w:color="auto"/>
              <w:bottom w:val="single" w:sz="4" w:space="0" w:color="auto"/>
              <w:right w:val="single" w:sz="4" w:space="0" w:color="auto"/>
            </w:tcBorders>
          </w:tcPr>
          <w:p w14:paraId="59438129" w14:textId="77777777" w:rsidR="00366663" w:rsidRPr="008C4A39" w:rsidRDefault="00366663" w:rsidP="00883B07">
            <w:pPr>
              <w:spacing w:after="0"/>
              <w:rPr>
                <w:szCs w:val="24"/>
              </w:rPr>
            </w:pPr>
            <w:r w:rsidRPr="008C4A39">
              <w:rPr>
                <w:szCs w:val="24"/>
              </w:rPr>
              <w:t>The system must carry out simple validation, e.g., missing attachment for mandatory supporting document.</w:t>
            </w:r>
          </w:p>
        </w:tc>
      </w:tr>
      <w:tr w:rsidR="00366663" w:rsidRPr="008C4A39" w14:paraId="5B78BEE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D3D15C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65801F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241188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0DE206C"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950164F" w14:textId="77777777" w:rsidR="00366663" w:rsidRPr="008C4A39" w:rsidRDefault="00366663" w:rsidP="00883B07">
            <w:pPr>
              <w:spacing w:after="0"/>
              <w:rPr>
                <w:szCs w:val="24"/>
              </w:rPr>
            </w:pPr>
            <w:r w:rsidRPr="008C4A39">
              <w:rPr>
                <w:szCs w:val="24"/>
              </w:rPr>
              <w:t>FR78</w:t>
            </w:r>
          </w:p>
        </w:tc>
        <w:tc>
          <w:tcPr>
            <w:tcW w:w="6551" w:type="dxa"/>
            <w:gridSpan w:val="2"/>
            <w:tcBorders>
              <w:top w:val="single" w:sz="4" w:space="0" w:color="auto"/>
              <w:left w:val="single" w:sz="4" w:space="0" w:color="auto"/>
              <w:bottom w:val="single" w:sz="4" w:space="0" w:color="auto"/>
              <w:right w:val="single" w:sz="4" w:space="0" w:color="auto"/>
            </w:tcBorders>
          </w:tcPr>
          <w:p w14:paraId="6074834E" w14:textId="77777777" w:rsidR="00366663" w:rsidRPr="008C4A39" w:rsidRDefault="00366663" w:rsidP="00883B07">
            <w:pPr>
              <w:spacing w:after="0"/>
              <w:rPr>
                <w:szCs w:val="24"/>
              </w:rPr>
            </w:pPr>
            <w:r w:rsidRPr="008C4A39">
              <w:rPr>
                <w:szCs w:val="24"/>
              </w:rPr>
              <w:t>The system must validate the necessary data for different data fields as defined.</w:t>
            </w:r>
          </w:p>
        </w:tc>
      </w:tr>
      <w:tr w:rsidR="00366663" w:rsidRPr="008C4A39" w14:paraId="458DAF4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48ECE5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6DE15B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78AE77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DBF9FE5"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20F51A9A" w14:textId="77777777" w:rsidR="00366663" w:rsidRPr="008C4A39" w:rsidRDefault="00366663" w:rsidP="00883B07">
            <w:pPr>
              <w:spacing w:after="0"/>
              <w:rPr>
                <w:szCs w:val="24"/>
              </w:rPr>
            </w:pPr>
            <w:r w:rsidRPr="008C4A39">
              <w:rPr>
                <w:szCs w:val="24"/>
              </w:rPr>
              <w:t>FR79</w:t>
            </w:r>
          </w:p>
          <w:p w14:paraId="760A5418"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054907DF" w14:textId="77777777" w:rsidR="00366663" w:rsidRPr="008C4A39" w:rsidRDefault="00366663" w:rsidP="00883B07">
            <w:pPr>
              <w:spacing w:after="0"/>
              <w:rPr>
                <w:szCs w:val="24"/>
              </w:rPr>
            </w:pPr>
            <w:r w:rsidRPr="008C4A39">
              <w:rPr>
                <w:szCs w:val="24"/>
              </w:rPr>
              <w:t>The system must not allow the registrant to proceed to the next step if the validation rules fail, with a display of appropriate error messages.</w:t>
            </w:r>
          </w:p>
        </w:tc>
      </w:tr>
      <w:tr w:rsidR="00366663" w:rsidRPr="008C4A39" w14:paraId="337FF70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B6602A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CB3498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F34191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BA03180"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251835B4" w14:textId="77777777" w:rsidR="00366663" w:rsidRPr="008C4A39" w:rsidRDefault="00366663" w:rsidP="00883B07">
            <w:pPr>
              <w:spacing w:after="0"/>
              <w:rPr>
                <w:szCs w:val="24"/>
              </w:rPr>
            </w:pPr>
            <w:r w:rsidRPr="008C4A39">
              <w:rPr>
                <w:szCs w:val="24"/>
              </w:rPr>
              <w:t>FR81</w:t>
            </w:r>
          </w:p>
        </w:tc>
        <w:tc>
          <w:tcPr>
            <w:tcW w:w="6551" w:type="dxa"/>
            <w:gridSpan w:val="2"/>
            <w:tcBorders>
              <w:top w:val="single" w:sz="4" w:space="0" w:color="auto"/>
              <w:left w:val="single" w:sz="4" w:space="0" w:color="auto"/>
              <w:bottom w:val="single" w:sz="4" w:space="0" w:color="auto"/>
              <w:right w:val="single" w:sz="4" w:space="0" w:color="auto"/>
            </w:tcBorders>
          </w:tcPr>
          <w:p w14:paraId="2CD111AF" w14:textId="77777777" w:rsidR="00366663" w:rsidRPr="008C4A39" w:rsidRDefault="00366663" w:rsidP="00883B07">
            <w:pPr>
              <w:spacing w:after="0"/>
              <w:rPr>
                <w:szCs w:val="24"/>
              </w:rPr>
            </w:pPr>
            <w:r w:rsidRPr="008C4A39">
              <w:rPr>
                <w:szCs w:val="24"/>
              </w:rPr>
              <w:t xml:space="preserve">The NSW system must cater for configurable data validation via validation rules form. </w:t>
            </w:r>
          </w:p>
        </w:tc>
      </w:tr>
      <w:tr w:rsidR="00366663" w:rsidRPr="008C4A39" w14:paraId="0E8F11F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B97EDE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1956A9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1AFD545"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tc>
      </w:tr>
      <w:tr w:rsidR="00366663" w:rsidRPr="008C4A39" w14:paraId="46D0BA8D"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0C2626DA" w14:textId="77777777" w:rsidR="00366663" w:rsidRPr="008C4A39" w:rsidRDefault="00366663" w:rsidP="00883B07">
            <w:pPr>
              <w:spacing w:after="0"/>
              <w:rPr>
                <w:szCs w:val="24"/>
              </w:rPr>
            </w:pPr>
            <w:r w:rsidRPr="008C4A39">
              <w:rPr>
                <w:szCs w:val="24"/>
              </w:rPr>
              <w:t>FR82</w:t>
            </w:r>
          </w:p>
        </w:tc>
        <w:tc>
          <w:tcPr>
            <w:tcW w:w="6551" w:type="dxa"/>
            <w:gridSpan w:val="2"/>
            <w:tcBorders>
              <w:top w:val="single" w:sz="4" w:space="0" w:color="auto"/>
              <w:left w:val="single" w:sz="4" w:space="0" w:color="auto"/>
              <w:bottom w:val="single" w:sz="4" w:space="0" w:color="auto"/>
              <w:right w:val="single" w:sz="4" w:space="0" w:color="auto"/>
            </w:tcBorders>
          </w:tcPr>
          <w:p w14:paraId="2EAD3B82" w14:textId="77777777" w:rsidR="00366663" w:rsidRPr="008C4A39" w:rsidRDefault="00366663" w:rsidP="00883B07">
            <w:pPr>
              <w:spacing w:after="0"/>
              <w:rPr>
                <w:szCs w:val="24"/>
              </w:rPr>
            </w:pPr>
            <w:r w:rsidRPr="008C4A39">
              <w:rPr>
                <w:szCs w:val="24"/>
              </w:rPr>
              <w:t xml:space="preserve">The NSW System Administrator can add and update validation rules to the grid, column, row, or cell. </w:t>
            </w:r>
          </w:p>
        </w:tc>
      </w:tr>
      <w:tr w:rsidR="00366663" w:rsidRPr="008C4A39" w14:paraId="793F831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0918245"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87C5FC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4958E2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D9708C5"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6673A37E" w14:textId="77777777" w:rsidR="00366663" w:rsidRPr="008C4A39" w:rsidRDefault="00366663" w:rsidP="00883B07">
            <w:pPr>
              <w:spacing w:after="0"/>
              <w:rPr>
                <w:szCs w:val="24"/>
              </w:rPr>
            </w:pPr>
            <w:r w:rsidRPr="008C4A39">
              <w:rPr>
                <w:szCs w:val="24"/>
              </w:rPr>
              <w:t>FR83</w:t>
            </w:r>
          </w:p>
        </w:tc>
        <w:tc>
          <w:tcPr>
            <w:tcW w:w="6551" w:type="dxa"/>
            <w:gridSpan w:val="2"/>
            <w:tcBorders>
              <w:top w:val="single" w:sz="4" w:space="0" w:color="auto"/>
              <w:left w:val="single" w:sz="4" w:space="0" w:color="auto"/>
              <w:bottom w:val="single" w:sz="4" w:space="0" w:color="auto"/>
              <w:right w:val="single" w:sz="4" w:space="0" w:color="auto"/>
            </w:tcBorders>
          </w:tcPr>
          <w:p w14:paraId="7D54142D" w14:textId="77777777" w:rsidR="00366663" w:rsidRPr="008C4A39" w:rsidRDefault="00366663" w:rsidP="00883B07">
            <w:pPr>
              <w:spacing w:after="0"/>
              <w:rPr>
                <w:szCs w:val="24"/>
              </w:rPr>
            </w:pPr>
            <w:r w:rsidRPr="008C4A39">
              <w:rPr>
                <w:szCs w:val="24"/>
              </w:rPr>
              <w:t>When rules are processed, the affected fields can change the color of cells, and provide validation messages to users during data entry, and can change the promotional path for approval.</w:t>
            </w:r>
          </w:p>
        </w:tc>
      </w:tr>
      <w:tr w:rsidR="00366663" w:rsidRPr="008C4A39" w14:paraId="7754BB3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638424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78292E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8A044F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C27C71B"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374B1D62" w14:textId="77777777" w:rsidR="00366663" w:rsidRPr="008C4A39" w:rsidRDefault="00366663" w:rsidP="00883B07">
            <w:pPr>
              <w:spacing w:after="0"/>
              <w:rPr>
                <w:szCs w:val="24"/>
              </w:rPr>
            </w:pPr>
            <w:r w:rsidRPr="008C4A39">
              <w:rPr>
                <w:szCs w:val="24"/>
              </w:rPr>
              <w:t>FR84</w:t>
            </w:r>
          </w:p>
        </w:tc>
        <w:tc>
          <w:tcPr>
            <w:tcW w:w="6551" w:type="dxa"/>
            <w:gridSpan w:val="2"/>
            <w:tcBorders>
              <w:top w:val="single" w:sz="4" w:space="0" w:color="auto"/>
              <w:left w:val="single" w:sz="4" w:space="0" w:color="auto"/>
              <w:bottom w:val="single" w:sz="4" w:space="0" w:color="auto"/>
              <w:right w:val="single" w:sz="4" w:space="0" w:color="auto"/>
            </w:tcBorders>
          </w:tcPr>
          <w:p w14:paraId="57B3148A" w14:textId="77777777" w:rsidR="00366663" w:rsidRPr="008C4A39" w:rsidRDefault="00366663" w:rsidP="00883B07">
            <w:pPr>
              <w:spacing w:after="0"/>
              <w:rPr>
                <w:szCs w:val="24"/>
              </w:rPr>
            </w:pPr>
            <w:r w:rsidRPr="008C4A39">
              <w:rPr>
                <w:szCs w:val="24"/>
              </w:rPr>
              <w:t>NSW must save validation rules with the versioning controls.</w:t>
            </w:r>
          </w:p>
        </w:tc>
      </w:tr>
      <w:tr w:rsidR="00366663" w:rsidRPr="008C4A39" w14:paraId="4E90A57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D0E098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34AC550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E29624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FAAD7D4"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5245A99B" w14:textId="77777777" w:rsidR="00366663" w:rsidRPr="008C4A39" w:rsidRDefault="00366663" w:rsidP="00883B07">
            <w:pPr>
              <w:spacing w:after="0"/>
              <w:rPr>
                <w:szCs w:val="24"/>
              </w:rPr>
            </w:pPr>
            <w:r w:rsidRPr="008C4A39">
              <w:rPr>
                <w:szCs w:val="24"/>
              </w:rPr>
              <w:t>FR85</w:t>
            </w:r>
          </w:p>
        </w:tc>
        <w:tc>
          <w:tcPr>
            <w:tcW w:w="6551" w:type="dxa"/>
            <w:gridSpan w:val="2"/>
            <w:tcBorders>
              <w:top w:val="single" w:sz="4" w:space="0" w:color="auto"/>
              <w:left w:val="single" w:sz="4" w:space="0" w:color="auto"/>
              <w:bottom w:val="single" w:sz="4" w:space="0" w:color="auto"/>
              <w:right w:val="single" w:sz="4" w:space="0" w:color="auto"/>
            </w:tcBorders>
          </w:tcPr>
          <w:p w14:paraId="55887985" w14:textId="77777777" w:rsidR="00366663" w:rsidRPr="008C4A39" w:rsidRDefault="00366663" w:rsidP="00883B07">
            <w:pPr>
              <w:spacing w:after="0"/>
              <w:rPr>
                <w:szCs w:val="24"/>
              </w:rPr>
            </w:pPr>
            <w:r w:rsidRPr="008C4A39">
              <w:rPr>
                <w:szCs w:val="24"/>
              </w:rPr>
              <w:t xml:space="preserve">The NSW must have interfaces with other ICT systems of Government Agencies for data validation (e.g., other customs systems, Business Identification </w:t>
            </w:r>
            <w:proofErr w:type="gramStart"/>
            <w:r w:rsidRPr="008C4A39">
              <w:rPr>
                <w:szCs w:val="24"/>
              </w:rPr>
              <w:t>Number</w:t>
            </w:r>
            <w:proofErr w:type="gramEnd"/>
            <w:r w:rsidRPr="008C4A39">
              <w:rPr>
                <w:szCs w:val="24"/>
              </w:rPr>
              <w:t xml:space="preserve"> and civil identity registers).</w:t>
            </w:r>
          </w:p>
        </w:tc>
      </w:tr>
      <w:tr w:rsidR="00366663" w:rsidRPr="008C4A39" w14:paraId="534CDA8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826CB2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A0C278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667754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1EA0820"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0F541E23" w14:textId="77777777" w:rsidR="00366663" w:rsidRPr="008C4A39" w:rsidRDefault="00366663" w:rsidP="00883B07">
            <w:pPr>
              <w:spacing w:after="0"/>
              <w:rPr>
                <w:szCs w:val="24"/>
              </w:rPr>
            </w:pPr>
            <w:r w:rsidRPr="008C4A39">
              <w:rPr>
                <w:szCs w:val="24"/>
              </w:rPr>
              <w:t>FR86</w:t>
            </w:r>
          </w:p>
        </w:tc>
        <w:tc>
          <w:tcPr>
            <w:tcW w:w="6551" w:type="dxa"/>
            <w:gridSpan w:val="2"/>
            <w:tcBorders>
              <w:top w:val="single" w:sz="4" w:space="0" w:color="auto"/>
              <w:left w:val="single" w:sz="4" w:space="0" w:color="auto"/>
              <w:bottom w:val="single" w:sz="4" w:space="0" w:color="auto"/>
              <w:right w:val="single" w:sz="4" w:space="0" w:color="auto"/>
            </w:tcBorders>
          </w:tcPr>
          <w:p w14:paraId="2914E6E1" w14:textId="77777777" w:rsidR="00366663" w:rsidRPr="008C4A39" w:rsidRDefault="00366663" w:rsidP="00883B07">
            <w:pPr>
              <w:spacing w:after="0"/>
              <w:rPr>
                <w:szCs w:val="24"/>
              </w:rPr>
            </w:pPr>
            <w:r w:rsidRPr="008C4A39">
              <w:rPr>
                <w:szCs w:val="24"/>
              </w:rPr>
              <w:t>NSW System must provide the NSW System Administrator to define and create access for all CBRA agencies.</w:t>
            </w:r>
          </w:p>
        </w:tc>
      </w:tr>
      <w:tr w:rsidR="00366663" w:rsidRPr="008C4A39" w14:paraId="6F4C244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A468AE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505501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7196A0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06D6126"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37DEF32D" w14:textId="77777777" w:rsidR="00366663" w:rsidRPr="008C4A39" w:rsidRDefault="00366663" w:rsidP="00883B07">
            <w:pPr>
              <w:spacing w:after="0"/>
              <w:rPr>
                <w:szCs w:val="24"/>
              </w:rPr>
            </w:pPr>
            <w:r w:rsidRPr="008C4A39">
              <w:rPr>
                <w:szCs w:val="24"/>
              </w:rPr>
              <w:t>FR87</w:t>
            </w:r>
          </w:p>
          <w:p w14:paraId="7F23D73E"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1D0553D2" w14:textId="77777777" w:rsidR="00366663" w:rsidRPr="008C4A39" w:rsidRDefault="00366663" w:rsidP="00883B07">
            <w:pPr>
              <w:spacing w:after="0"/>
              <w:rPr>
                <w:szCs w:val="24"/>
              </w:rPr>
            </w:pPr>
            <w:r w:rsidRPr="008C4A39">
              <w:rPr>
                <w:szCs w:val="24"/>
              </w:rPr>
              <w:t>The initial set up for the Regulatory Authorities Stakeholders shall provide for migration of existing Customs/CBRA user registration from existing systems.</w:t>
            </w:r>
          </w:p>
        </w:tc>
      </w:tr>
      <w:tr w:rsidR="00366663" w:rsidRPr="008C4A39" w14:paraId="1AD0A7E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F34E20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590175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1C6E01A"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E9B0B2F"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13DC52E7" w14:textId="77777777" w:rsidR="00366663" w:rsidRPr="008C4A39" w:rsidRDefault="00366663" w:rsidP="00883B07">
            <w:pPr>
              <w:spacing w:after="0"/>
              <w:rPr>
                <w:szCs w:val="24"/>
              </w:rPr>
            </w:pPr>
            <w:r w:rsidRPr="008C4A39">
              <w:rPr>
                <w:szCs w:val="24"/>
              </w:rPr>
              <w:t>FR88</w:t>
            </w:r>
          </w:p>
          <w:p w14:paraId="066529C9"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7200AA88" w14:textId="77777777" w:rsidR="00366663" w:rsidRPr="008C4A39" w:rsidRDefault="00366663" w:rsidP="00883B07">
            <w:pPr>
              <w:spacing w:after="0"/>
              <w:rPr>
                <w:szCs w:val="24"/>
              </w:rPr>
            </w:pPr>
            <w:r w:rsidRPr="008C4A39">
              <w:rPr>
                <w:szCs w:val="24"/>
              </w:rPr>
              <w:t xml:space="preserve">In </w:t>
            </w:r>
            <w:proofErr w:type="gramStart"/>
            <w:r w:rsidRPr="008C4A39">
              <w:rPr>
                <w:szCs w:val="24"/>
              </w:rPr>
              <w:t>case</w:t>
            </w:r>
            <w:proofErr w:type="gramEnd"/>
            <w:r w:rsidRPr="008C4A39">
              <w:rPr>
                <w:szCs w:val="24"/>
              </w:rPr>
              <w:t xml:space="preserve"> of CBRA user registration data found in other existing systems, the Stakeholders Registration functionality shall also cater for migration from these systems. </w:t>
            </w:r>
          </w:p>
        </w:tc>
      </w:tr>
      <w:tr w:rsidR="00366663" w:rsidRPr="008C4A39" w14:paraId="16A9B5E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D08D394"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7C4A32F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7B3157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BC8A84B"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4592204C" w14:textId="77777777" w:rsidR="00366663" w:rsidRPr="008C4A39" w:rsidRDefault="00366663" w:rsidP="00883B07">
            <w:pPr>
              <w:spacing w:after="0"/>
              <w:rPr>
                <w:szCs w:val="24"/>
              </w:rPr>
            </w:pPr>
            <w:r w:rsidRPr="008C4A39">
              <w:rPr>
                <w:szCs w:val="24"/>
              </w:rPr>
              <w:t>FR89</w:t>
            </w:r>
          </w:p>
        </w:tc>
        <w:tc>
          <w:tcPr>
            <w:tcW w:w="6551" w:type="dxa"/>
            <w:gridSpan w:val="2"/>
            <w:tcBorders>
              <w:top w:val="single" w:sz="4" w:space="0" w:color="auto"/>
              <w:left w:val="single" w:sz="4" w:space="0" w:color="auto"/>
              <w:bottom w:val="single" w:sz="4" w:space="0" w:color="auto"/>
              <w:right w:val="single" w:sz="4" w:space="0" w:color="auto"/>
            </w:tcBorders>
          </w:tcPr>
          <w:p w14:paraId="11EDD31D" w14:textId="77777777" w:rsidR="00366663" w:rsidRPr="008C4A39" w:rsidRDefault="00366663" w:rsidP="00883B07">
            <w:pPr>
              <w:spacing w:after="0"/>
              <w:rPr>
                <w:szCs w:val="24"/>
              </w:rPr>
            </w:pPr>
            <w:r w:rsidRPr="008C4A39">
              <w:rPr>
                <w:szCs w:val="24"/>
              </w:rPr>
              <w:t>For each CBRA registrant, the NSW system must provide for the user’s role to be defined so that appropriate user access authentication and authorization shall be accorded.</w:t>
            </w:r>
          </w:p>
        </w:tc>
      </w:tr>
      <w:tr w:rsidR="00366663" w:rsidRPr="008C4A39" w14:paraId="277A2AF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BED3E42"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382C54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4CE258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6894488"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AD6D35E" w14:textId="77777777" w:rsidR="00366663" w:rsidRPr="008C4A39" w:rsidRDefault="00366663" w:rsidP="00883B07">
            <w:pPr>
              <w:spacing w:after="0"/>
              <w:rPr>
                <w:szCs w:val="24"/>
              </w:rPr>
            </w:pPr>
            <w:r w:rsidRPr="008C4A39">
              <w:rPr>
                <w:szCs w:val="24"/>
              </w:rPr>
              <w:lastRenderedPageBreak/>
              <w:t>FR92</w:t>
            </w:r>
          </w:p>
          <w:p w14:paraId="6E7774D1"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77C9748D" w14:textId="77777777" w:rsidR="00366663" w:rsidRPr="008C4A39" w:rsidRDefault="00366663" w:rsidP="00883B07">
            <w:pPr>
              <w:spacing w:after="0"/>
              <w:rPr>
                <w:szCs w:val="24"/>
              </w:rPr>
            </w:pPr>
            <w:r w:rsidRPr="008C4A39">
              <w:rPr>
                <w:szCs w:val="24"/>
              </w:rPr>
              <w:t xml:space="preserve">The NSW System functionality must provide the NSW System Administrator to define and create categories of Information Services Consumers/users. </w:t>
            </w:r>
          </w:p>
        </w:tc>
      </w:tr>
      <w:tr w:rsidR="00366663" w:rsidRPr="008C4A39" w14:paraId="11E671A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B16B9E5"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1370F7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0A2663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B451989"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3858FB68" w14:textId="77777777" w:rsidR="00366663" w:rsidRPr="008C4A39" w:rsidRDefault="00366663" w:rsidP="00883B07">
            <w:pPr>
              <w:spacing w:after="0"/>
              <w:rPr>
                <w:szCs w:val="24"/>
              </w:rPr>
            </w:pPr>
            <w:r w:rsidRPr="008C4A39">
              <w:rPr>
                <w:szCs w:val="24"/>
              </w:rPr>
              <w:t>FR93</w:t>
            </w:r>
          </w:p>
          <w:p w14:paraId="48B1A0F2" w14:textId="77777777" w:rsidR="00366663" w:rsidRPr="008C4A39" w:rsidRDefault="00366663" w:rsidP="00883B07">
            <w:pPr>
              <w:spacing w:after="0"/>
              <w:rPr>
                <w:szCs w:val="24"/>
              </w:rPr>
            </w:pPr>
          </w:p>
        </w:tc>
        <w:tc>
          <w:tcPr>
            <w:tcW w:w="6551" w:type="dxa"/>
            <w:gridSpan w:val="2"/>
            <w:tcBorders>
              <w:top w:val="single" w:sz="4" w:space="0" w:color="auto"/>
              <w:left w:val="single" w:sz="4" w:space="0" w:color="auto"/>
              <w:bottom w:val="single" w:sz="4" w:space="0" w:color="auto"/>
              <w:right w:val="single" w:sz="4" w:space="0" w:color="auto"/>
            </w:tcBorders>
          </w:tcPr>
          <w:p w14:paraId="617832E3" w14:textId="77777777" w:rsidR="00366663" w:rsidRPr="008C4A39" w:rsidRDefault="00366663" w:rsidP="00883B07">
            <w:pPr>
              <w:spacing w:after="0"/>
              <w:rPr>
                <w:szCs w:val="24"/>
              </w:rPr>
            </w:pPr>
            <w:r w:rsidRPr="008C4A39">
              <w:rPr>
                <w:szCs w:val="24"/>
              </w:rPr>
              <w:t xml:space="preserve">The NSW System must provide these as new Information Services Consumers registrants to apply via an online registration. The system shall allow for amendments, updates, </w:t>
            </w:r>
            <w:proofErr w:type="gramStart"/>
            <w:r w:rsidRPr="008C4A39">
              <w:rPr>
                <w:szCs w:val="24"/>
              </w:rPr>
              <w:t>renewal</w:t>
            </w:r>
            <w:proofErr w:type="gramEnd"/>
            <w:r w:rsidRPr="008C4A39">
              <w:rPr>
                <w:szCs w:val="24"/>
              </w:rPr>
              <w:t xml:space="preserve"> and cancellation of the registration.</w:t>
            </w:r>
          </w:p>
        </w:tc>
      </w:tr>
      <w:tr w:rsidR="00366663" w:rsidRPr="008C4A39" w14:paraId="419ECAF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4F18C44"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F48F73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3DD63C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93F4A1E"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D4209B3" w14:textId="77777777" w:rsidR="00366663" w:rsidRPr="008C4A39" w:rsidRDefault="00366663" w:rsidP="00883B07">
            <w:pPr>
              <w:spacing w:after="0"/>
              <w:rPr>
                <w:szCs w:val="24"/>
              </w:rPr>
            </w:pPr>
            <w:r w:rsidRPr="008C4A39">
              <w:rPr>
                <w:szCs w:val="24"/>
              </w:rPr>
              <w:t>FR94</w:t>
            </w:r>
          </w:p>
        </w:tc>
        <w:tc>
          <w:tcPr>
            <w:tcW w:w="6551" w:type="dxa"/>
            <w:gridSpan w:val="2"/>
            <w:tcBorders>
              <w:top w:val="single" w:sz="4" w:space="0" w:color="auto"/>
              <w:left w:val="single" w:sz="4" w:space="0" w:color="auto"/>
              <w:bottom w:val="single" w:sz="4" w:space="0" w:color="auto"/>
              <w:right w:val="single" w:sz="4" w:space="0" w:color="auto"/>
            </w:tcBorders>
          </w:tcPr>
          <w:p w14:paraId="397ADB63" w14:textId="77777777" w:rsidR="00366663" w:rsidRPr="008C4A39" w:rsidRDefault="00366663" w:rsidP="00883B07">
            <w:pPr>
              <w:spacing w:after="0"/>
              <w:rPr>
                <w:szCs w:val="24"/>
              </w:rPr>
            </w:pPr>
            <w:r w:rsidRPr="008C4A39">
              <w:rPr>
                <w:szCs w:val="24"/>
              </w:rPr>
              <w:t>The NSW System must provide an email/ text messages to the Information Services Consumers registrant notifying regarding their data migration in NSW along with a temporary login access for verifying and updating their details.</w:t>
            </w:r>
          </w:p>
        </w:tc>
      </w:tr>
      <w:tr w:rsidR="00366663" w:rsidRPr="008C4A39" w14:paraId="6715681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C0B42F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8DA7F9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B47B43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BC0E5B2"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015DD898" w14:textId="77777777" w:rsidR="00366663" w:rsidRPr="008C4A39" w:rsidRDefault="00366663" w:rsidP="00883B07">
            <w:pPr>
              <w:spacing w:after="0"/>
              <w:rPr>
                <w:szCs w:val="24"/>
              </w:rPr>
            </w:pPr>
            <w:r w:rsidRPr="008C4A39">
              <w:rPr>
                <w:szCs w:val="24"/>
              </w:rPr>
              <w:t>FR95</w:t>
            </w:r>
          </w:p>
        </w:tc>
        <w:tc>
          <w:tcPr>
            <w:tcW w:w="6551" w:type="dxa"/>
            <w:gridSpan w:val="2"/>
            <w:tcBorders>
              <w:top w:val="single" w:sz="4" w:space="0" w:color="auto"/>
              <w:left w:val="single" w:sz="4" w:space="0" w:color="auto"/>
              <w:bottom w:val="single" w:sz="4" w:space="0" w:color="auto"/>
              <w:right w:val="single" w:sz="4" w:space="0" w:color="auto"/>
            </w:tcBorders>
          </w:tcPr>
          <w:p w14:paraId="084AE1B1" w14:textId="77777777" w:rsidR="00366663" w:rsidRPr="008C4A39" w:rsidRDefault="00366663" w:rsidP="00883B07">
            <w:pPr>
              <w:spacing w:after="0"/>
              <w:rPr>
                <w:szCs w:val="24"/>
              </w:rPr>
            </w:pPr>
            <w:r w:rsidRPr="008C4A39">
              <w:rPr>
                <w:szCs w:val="24"/>
              </w:rPr>
              <w:t>For each Information Services Consumers registrant, the NSW System shall provide for the user’s role to be defined so that appropriate user access authentication and authorization shall be accorded.</w:t>
            </w:r>
          </w:p>
        </w:tc>
      </w:tr>
      <w:tr w:rsidR="00366663" w:rsidRPr="008C4A39" w14:paraId="0303272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238AAF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C66EA3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B02258A"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CA4E4F4"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63340A9B" w14:textId="77777777" w:rsidR="00366663" w:rsidRPr="008C4A39" w:rsidRDefault="00366663" w:rsidP="00883B07">
            <w:pPr>
              <w:spacing w:after="0"/>
              <w:rPr>
                <w:szCs w:val="24"/>
              </w:rPr>
            </w:pPr>
            <w:r w:rsidRPr="008C4A39">
              <w:rPr>
                <w:szCs w:val="24"/>
              </w:rPr>
              <w:t>FR96</w:t>
            </w:r>
          </w:p>
        </w:tc>
        <w:tc>
          <w:tcPr>
            <w:tcW w:w="6551" w:type="dxa"/>
            <w:gridSpan w:val="2"/>
            <w:tcBorders>
              <w:top w:val="single" w:sz="4" w:space="0" w:color="auto"/>
              <w:left w:val="single" w:sz="4" w:space="0" w:color="auto"/>
              <w:bottom w:val="single" w:sz="4" w:space="0" w:color="auto"/>
              <w:right w:val="single" w:sz="4" w:space="0" w:color="auto"/>
            </w:tcBorders>
          </w:tcPr>
          <w:p w14:paraId="5E87D936" w14:textId="77777777" w:rsidR="00366663" w:rsidRPr="008C4A39" w:rsidRDefault="00366663" w:rsidP="00883B07">
            <w:pPr>
              <w:spacing w:after="0"/>
              <w:rPr>
                <w:szCs w:val="24"/>
              </w:rPr>
            </w:pPr>
            <w:r w:rsidRPr="008C4A39">
              <w:rPr>
                <w:szCs w:val="24"/>
              </w:rPr>
              <w:t>The NSW system functionality must cater for above-mentioned functions required of registration of regulatory authorities’ users as similarly required for registration of Information Services consumers/users, as appropriate.</w:t>
            </w:r>
          </w:p>
        </w:tc>
      </w:tr>
      <w:tr w:rsidR="00366663" w:rsidRPr="008C4A39" w14:paraId="25F6193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CF03389"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989CE6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D33066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6AB4F7D"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16BFFA65" w14:textId="77777777" w:rsidR="00366663" w:rsidRPr="008C4A39" w:rsidRDefault="00366663" w:rsidP="00883B07">
            <w:pPr>
              <w:spacing w:after="0"/>
              <w:rPr>
                <w:szCs w:val="24"/>
              </w:rPr>
            </w:pPr>
            <w:r w:rsidRPr="008C4A39">
              <w:rPr>
                <w:szCs w:val="24"/>
              </w:rPr>
              <w:t>FR97</w:t>
            </w:r>
          </w:p>
        </w:tc>
        <w:tc>
          <w:tcPr>
            <w:tcW w:w="6551" w:type="dxa"/>
            <w:gridSpan w:val="2"/>
            <w:tcBorders>
              <w:top w:val="single" w:sz="4" w:space="0" w:color="auto"/>
              <w:left w:val="single" w:sz="4" w:space="0" w:color="auto"/>
              <w:bottom w:val="single" w:sz="4" w:space="0" w:color="auto"/>
              <w:right w:val="single" w:sz="4" w:space="0" w:color="auto"/>
            </w:tcBorders>
          </w:tcPr>
          <w:p w14:paraId="5DF5B846" w14:textId="77777777" w:rsidR="00366663" w:rsidRPr="008C4A39" w:rsidRDefault="00366663" w:rsidP="00883B07">
            <w:pPr>
              <w:spacing w:after="0"/>
              <w:rPr>
                <w:szCs w:val="24"/>
              </w:rPr>
            </w:pPr>
            <w:r w:rsidRPr="008C4A39">
              <w:rPr>
                <w:szCs w:val="24"/>
              </w:rPr>
              <w:t>The NSW system must cater for the NSW Operator to manage and administrate all registrants, including providing configurable rules to set, for e.g., time validity, cancellation or blocking of any registered user, person, employee, stakeholder administrator and CBRA user.</w:t>
            </w:r>
          </w:p>
        </w:tc>
      </w:tr>
      <w:tr w:rsidR="00366663" w:rsidRPr="008C4A39" w14:paraId="7BE3780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515442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76469D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080C72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3FE6E7A"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723D8564" w14:textId="77777777" w:rsidR="00366663" w:rsidRPr="008C4A39" w:rsidRDefault="00366663" w:rsidP="00883B07">
            <w:pPr>
              <w:spacing w:after="0"/>
              <w:rPr>
                <w:szCs w:val="24"/>
              </w:rPr>
            </w:pPr>
            <w:r w:rsidRPr="008C4A39">
              <w:rPr>
                <w:szCs w:val="24"/>
              </w:rPr>
              <w:t>FR98</w:t>
            </w:r>
          </w:p>
        </w:tc>
        <w:tc>
          <w:tcPr>
            <w:tcW w:w="6551" w:type="dxa"/>
            <w:gridSpan w:val="2"/>
            <w:tcBorders>
              <w:top w:val="single" w:sz="4" w:space="0" w:color="auto"/>
              <w:left w:val="single" w:sz="4" w:space="0" w:color="auto"/>
              <w:bottom w:val="single" w:sz="4" w:space="0" w:color="auto"/>
              <w:right w:val="single" w:sz="4" w:space="0" w:color="auto"/>
            </w:tcBorders>
          </w:tcPr>
          <w:p w14:paraId="3D334C2F" w14:textId="77777777" w:rsidR="00366663" w:rsidRPr="008C4A39" w:rsidRDefault="00366663" w:rsidP="00883B07">
            <w:pPr>
              <w:spacing w:after="0"/>
              <w:rPr>
                <w:szCs w:val="24"/>
              </w:rPr>
            </w:pPr>
            <w:r w:rsidRPr="008C4A39">
              <w:rPr>
                <w:szCs w:val="24"/>
              </w:rPr>
              <w:t>The NSW system must support the grouping of users into named groups. A user’s group can contain either a list of users or groups or a combination of these two.</w:t>
            </w:r>
          </w:p>
        </w:tc>
      </w:tr>
      <w:tr w:rsidR="00366663" w:rsidRPr="008C4A39" w14:paraId="16C0C58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2E1427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CAAD5F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C657E4A"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tc>
      </w:tr>
      <w:tr w:rsidR="00366663" w:rsidRPr="008C4A39" w14:paraId="2A0CF9C5"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20DF52F4" w14:textId="77777777" w:rsidR="00366663" w:rsidRPr="008C4A39" w:rsidRDefault="00366663" w:rsidP="00883B07">
            <w:pPr>
              <w:spacing w:after="0"/>
              <w:rPr>
                <w:szCs w:val="24"/>
              </w:rPr>
            </w:pPr>
            <w:r w:rsidRPr="008C4A39">
              <w:rPr>
                <w:szCs w:val="24"/>
              </w:rPr>
              <w:t>FR99</w:t>
            </w:r>
          </w:p>
        </w:tc>
        <w:tc>
          <w:tcPr>
            <w:tcW w:w="6551" w:type="dxa"/>
            <w:gridSpan w:val="2"/>
            <w:tcBorders>
              <w:top w:val="single" w:sz="4" w:space="0" w:color="auto"/>
              <w:left w:val="single" w:sz="4" w:space="0" w:color="auto"/>
              <w:bottom w:val="single" w:sz="4" w:space="0" w:color="auto"/>
              <w:right w:val="single" w:sz="4" w:space="0" w:color="auto"/>
            </w:tcBorders>
          </w:tcPr>
          <w:p w14:paraId="327E1589" w14:textId="77777777" w:rsidR="00366663" w:rsidRPr="008C4A39" w:rsidRDefault="00366663" w:rsidP="00883B07">
            <w:pPr>
              <w:spacing w:after="0"/>
              <w:rPr>
                <w:szCs w:val="24"/>
              </w:rPr>
            </w:pPr>
            <w:r w:rsidRPr="008C4A39">
              <w:rPr>
                <w:szCs w:val="24"/>
              </w:rPr>
              <w:t xml:space="preserve">The NSW system must support distributed administration meaning that </w:t>
            </w:r>
            <w:proofErr w:type="gramStart"/>
            <w:r w:rsidRPr="008C4A39">
              <w:rPr>
                <w:szCs w:val="24"/>
              </w:rPr>
              <w:t>a</w:t>
            </w:r>
            <w:proofErr w:type="gramEnd"/>
            <w:r w:rsidRPr="008C4A39">
              <w:rPr>
                <w:szCs w:val="24"/>
              </w:rPr>
              <w:t xml:space="preserve"> NSW system administrator has the authority to manage only users that belongs to a specific grouping or organization, etc.</w:t>
            </w:r>
          </w:p>
        </w:tc>
      </w:tr>
      <w:tr w:rsidR="00366663" w:rsidRPr="008C4A39" w14:paraId="1EE7F64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ED6BB9B"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45CEE8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3DF30B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195D348"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5C371877" w14:textId="77777777" w:rsidR="00366663" w:rsidRPr="008C4A39" w:rsidRDefault="00366663" w:rsidP="00883B07">
            <w:pPr>
              <w:spacing w:after="0"/>
              <w:rPr>
                <w:szCs w:val="24"/>
              </w:rPr>
            </w:pPr>
            <w:r w:rsidRPr="008C4A39">
              <w:rPr>
                <w:szCs w:val="24"/>
              </w:rPr>
              <w:t>FR100</w:t>
            </w:r>
          </w:p>
        </w:tc>
        <w:tc>
          <w:tcPr>
            <w:tcW w:w="6551" w:type="dxa"/>
            <w:gridSpan w:val="2"/>
            <w:tcBorders>
              <w:top w:val="single" w:sz="4" w:space="0" w:color="auto"/>
              <w:left w:val="single" w:sz="4" w:space="0" w:color="auto"/>
              <w:bottom w:val="single" w:sz="4" w:space="0" w:color="auto"/>
              <w:right w:val="single" w:sz="4" w:space="0" w:color="auto"/>
            </w:tcBorders>
          </w:tcPr>
          <w:p w14:paraId="48B27741" w14:textId="77777777" w:rsidR="00366663" w:rsidRPr="008C4A39" w:rsidRDefault="00366663" w:rsidP="00883B07">
            <w:pPr>
              <w:spacing w:after="0"/>
              <w:rPr>
                <w:szCs w:val="24"/>
              </w:rPr>
            </w:pPr>
            <w:r w:rsidRPr="008C4A39">
              <w:rPr>
                <w:szCs w:val="24"/>
              </w:rPr>
              <w:t>The principal NSW system administrator can authorize administrator privileges to sub administrators of users belonging to a specific grouping or organization. An NSW sub administrator can be authorized to manage users in more than one group or organization.</w:t>
            </w:r>
          </w:p>
        </w:tc>
      </w:tr>
      <w:tr w:rsidR="00366663" w:rsidRPr="008C4A39" w14:paraId="3668FAC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BD71C6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675B88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46875A2"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B9A39E7"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4D358D87" w14:textId="77777777" w:rsidR="00366663" w:rsidRPr="008C4A39" w:rsidRDefault="00366663" w:rsidP="00883B07">
            <w:pPr>
              <w:spacing w:after="0"/>
              <w:rPr>
                <w:szCs w:val="24"/>
              </w:rPr>
            </w:pPr>
            <w:r w:rsidRPr="008C4A39">
              <w:rPr>
                <w:szCs w:val="24"/>
              </w:rPr>
              <w:t>FR101</w:t>
            </w:r>
          </w:p>
        </w:tc>
        <w:tc>
          <w:tcPr>
            <w:tcW w:w="6551" w:type="dxa"/>
            <w:gridSpan w:val="2"/>
            <w:tcBorders>
              <w:top w:val="single" w:sz="4" w:space="0" w:color="auto"/>
              <w:left w:val="single" w:sz="4" w:space="0" w:color="auto"/>
              <w:bottom w:val="single" w:sz="4" w:space="0" w:color="auto"/>
              <w:right w:val="single" w:sz="4" w:space="0" w:color="auto"/>
            </w:tcBorders>
          </w:tcPr>
          <w:p w14:paraId="1A835680" w14:textId="77777777" w:rsidR="00366663" w:rsidRPr="008C4A39" w:rsidRDefault="00366663" w:rsidP="00883B07">
            <w:pPr>
              <w:spacing w:after="0"/>
              <w:rPr>
                <w:szCs w:val="24"/>
              </w:rPr>
            </w:pPr>
            <w:r w:rsidRPr="008C4A39">
              <w:rPr>
                <w:szCs w:val="24"/>
              </w:rPr>
              <w:t xml:space="preserve">The NSW System must provide a configurable notification service to be set up by the NSW system administrator, to provide notification </w:t>
            </w:r>
            <w:proofErr w:type="gramStart"/>
            <w:r w:rsidRPr="008C4A39">
              <w:rPr>
                <w:szCs w:val="24"/>
              </w:rPr>
              <w:t>message</w:t>
            </w:r>
            <w:proofErr w:type="gramEnd"/>
            <w:r w:rsidRPr="008C4A39">
              <w:rPr>
                <w:szCs w:val="24"/>
              </w:rPr>
              <w:t xml:space="preserve"> to the registrant. Upon approval, the successful stakeholder shall be provided a registration number as well as the associated QR code for each registered stakeholder, person, employee, and stakeholder administrator, for subsequent login purposes.</w:t>
            </w:r>
          </w:p>
        </w:tc>
      </w:tr>
      <w:tr w:rsidR="00366663" w:rsidRPr="008C4A39" w14:paraId="3424585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6AC1EB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DA9157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15D91A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35E91433"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4AA99527" w14:textId="77777777" w:rsidR="00366663" w:rsidRPr="008C4A39" w:rsidRDefault="00366663" w:rsidP="00883B07">
            <w:pPr>
              <w:spacing w:after="0"/>
              <w:rPr>
                <w:szCs w:val="24"/>
              </w:rPr>
            </w:pPr>
            <w:r w:rsidRPr="008C4A39">
              <w:rPr>
                <w:szCs w:val="24"/>
              </w:rPr>
              <w:t>FR102</w:t>
            </w:r>
          </w:p>
        </w:tc>
        <w:tc>
          <w:tcPr>
            <w:tcW w:w="6551" w:type="dxa"/>
            <w:gridSpan w:val="2"/>
            <w:tcBorders>
              <w:top w:val="single" w:sz="4" w:space="0" w:color="auto"/>
              <w:left w:val="single" w:sz="4" w:space="0" w:color="auto"/>
              <w:bottom w:val="single" w:sz="4" w:space="0" w:color="auto"/>
              <w:right w:val="single" w:sz="4" w:space="0" w:color="auto"/>
            </w:tcBorders>
          </w:tcPr>
          <w:p w14:paraId="66CBDCF8" w14:textId="77777777" w:rsidR="00366663" w:rsidRPr="008C4A39" w:rsidRDefault="00366663" w:rsidP="00883B07">
            <w:pPr>
              <w:spacing w:after="0"/>
              <w:rPr>
                <w:szCs w:val="24"/>
              </w:rPr>
            </w:pPr>
            <w:r w:rsidRPr="008C4A39">
              <w:rPr>
                <w:szCs w:val="24"/>
              </w:rPr>
              <w:t>For each registered user the NSW system shall provide the system administrator to define the maximum number of employees authorized as NSW users under the entity. The defined number shall be configurable by the NSW System Administrator.</w:t>
            </w:r>
          </w:p>
        </w:tc>
      </w:tr>
      <w:tr w:rsidR="00366663" w:rsidRPr="008C4A39" w14:paraId="4E4D959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9B8B6E7"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180886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1714569"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0398BDE"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7AFE17FB" w14:textId="77777777" w:rsidR="00366663" w:rsidRPr="008C4A39" w:rsidRDefault="00366663" w:rsidP="00883B07">
            <w:pPr>
              <w:spacing w:after="0"/>
              <w:rPr>
                <w:szCs w:val="24"/>
              </w:rPr>
            </w:pPr>
            <w:r w:rsidRPr="008C4A39">
              <w:rPr>
                <w:szCs w:val="24"/>
              </w:rPr>
              <w:t>FR103</w:t>
            </w:r>
          </w:p>
        </w:tc>
        <w:tc>
          <w:tcPr>
            <w:tcW w:w="6551" w:type="dxa"/>
            <w:gridSpan w:val="2"/>
            <w:tcBorders>
              <w:top w:val="single" w:sz="4" w:space="0" w:color="auto"/>
              <w:left w:val="single" w:sz="4" w:space="0" w:color="auto"/>
              <w:bottom w:val="single" w:sz="4" w:space="0" w:color="auto"/>
              <w:right w:val="single" w:sz="4" w:space="0" w:color="auto"/>
            </w:tcBorders>
          </w:tcPr>
          <w:p w14:paraId="00EAF159" w14:textId="77777777" w:rsidR="00366663" w:rsidRPr="008C4A39" w:rsidRDefault="00366663" w:rsidP="00883B07">
            <w:pPr>
              <w:spacing w:after="0"/>
              <w:rPr>
                <w:szCs w:val="24"/>
              </w:rPr>
            </w:pPr>
            <w:r w:rsidRPr="008C4A39">
              <w:rPr>
                <w:szCs w:val="24"/>
              </w:rPr>
              <w:t xml:space="preserve">The NSW System must </w:t>
            </w:r>
            <w:proofErr w:type="gramStart"/>
            <w:r w:rsidRPr="008C4A39">
              <w:rPr>
                <w:szCs w:val="24"/>
              </w:rPr>
              <w:t>provide for</w:t>
            </w:r>
            <w:proofErr w:type="gramEnd"/>
            <w:r w:rsidRPr="008C4A39">
              <w:rPr>
                <w:szCs w:val="24"/>
              </w:rPr>
              <w:t xml:space="preserve"> a configurable workflow to facilitate processing of the registration by the NSW Operator, with the final approval to be provided by an appropriate competent authority. </w:t>
            </w:r>
          </w:p>
        </w:tc>
      </w:tr>
      <w:tr w:rsidR="00366663" w:rsidRPr="008C4A39" w14:paraId="02AB6FD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AB7A7C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4C02C1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5EDF442"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989567A" w14:textId="77777777" w:rsidTr="00883B07">
        <w:tc>
          <w:tcPr>
            <w:tcW w:w="2804" w:type="dxa"/>
            <w:gridSpan w:val="2"/>
            <w:tcBorders>
              <w:top w:val="single" w:sz="4" w:space="0" w:color="auto"/>
              <w:left w:val="single" w:sz="4" w:space="0" w:color="auto"/>
              <w:bottom w:val="single" w:sz="4" w:space="0" w:color="auto"/>
              <w:right w:val="single" w:sz="4" w:space="0" w:color="auto"/>
            </w:tcBorders>
            <w:vAlign w:val="bottom"/>
          </w:tcPr>
          <w:p w14:paraId="2B687452" w14:textId="77777777" w:rsidR="00366663" w:rsidRPr="008C4A39" w:rsidRDefault="00366663" w:rsidP="00883B07">
            <w:pPr>
              <w:spacing w:after="0"/>
              <w:rPr>
                <w:szCs w:val="24"/>
              </w:rPr>
            </w:pPr>
            <w:r w:rsidRPr="008C4A39">
              <w:rPr>
                <w:szCs w:val="24"/>
              </w:rPr>
              <w:t>FR104</w:t>
            </w:r>
          </w:p>
        </w:tc>
        <w:tc>
          <w:tcPr>
            <w:tcW w:w="6551" w:type="dxa"/>
            <w:gridSpan w:val="2"/>
            <w:tcBorders>
              <w:top w:val="single" w:sz="4" w:space="0" w:color="auto"/>
              <w:left w:val="single" w:sz="4" w:space="0" w:color="auto"/>
              <w:bottom w:val="single" w:sz="4" w:space="0" w:color="auto"/>
              <w:right w:val="single" w:sz="4" w:space="0" w:color="auto"/>
            </w:tcBorders>
          </w:tcPr>
          <w:p w14:paraId="61432FB0" w14:textId="77777777" w:rsidR="00366663" w:rsidRPr="008C4A39" w:rsidRDefault="00366663" w:rsidP="00883B07">
            <w:pPr>
              <w:spacing w:after="0"/>
              <w:rPr>
                <w:szCs w:val="24"/>
              </w:rPr>
            </w:pPr>
            <w:r w:rsidRPr="008C4A39">
              <w:rPr>
                <w:szCs w:val="24"/>
              </w:rPr>
              <w:t>The NSW system must support grouping privileges into named privilege groups. A privilege group can contain either a list of privileges or privilege groups. The system must enable a user’s privileges to be expressed either as a list of individual privileges and/or as a list of privileges groups.</w:t>
            </w:r>
          </w:p>
        </w:tc>
      </w:tr>
      <w:tr w:rsidR="00366663" w:rsidRPr="008C4A39" w14:paraId="0469C0E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4C77F4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7B3288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819FAB0"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tc>
      </w:tr>
      <w:tr w:rsidR="00D7564E" w:rsidRPr="008C4A39" w14:paraId="21E8108F" w14:textId="7497C194" w:rsidTr="005E0FA9">
        <w:tc>
          <w:tcPr>
            <w:tcW w:w="2804" w:type="dxa"/>
            <w:gridSpan w:val="2"/>
            <w:tcBorders>
              <w:top w:val="single" w:sz="4" w:space="0" w:color="auto"/>
              <w:left w:val="single" w:sz="4" w:space="0" w:color="auto"/>
              <w:bottom w:val="single" w:sz="4" w:space="0" w:color="auto"/>
              <w:right w:val="single" w:sz="4" w:space="0" w:color="auto"/>
            </w:tcBorders>
          </w:tcPr>
          <w:p w14:paraId="369C369E" w14:textId="35764BE0" w:rsidR="00D7564E" w:rsidRPr="008C4A39" w:rsidRDefault="00D7564E" w:rsidP="00D7564E">
            <w:pPr>
              <w:ind w:right="-360"/>
              <w:jc w:val="left"/>
              <w:rPr>
                <w:szCs w:val="24"/>
              </w:rPr>
            </w:pPr>
            <w:r>
              <w:rPr>
                <w:szCs w:val="24"/>
              </w:rPr>
              <w:t>FR175</w:t>
            </w:r>
          </w:p>
        </w:tc>
        <w:tc>
          <w:tcPr>
            <w:tcW w:w="6551" w:type="dxa"/>
            <w:gridSpan w:val="2"/>
            <w:tcBorders>
              <w:top w:val="single" w:sz="4" w:space="0" w:color="auto"/>
              <w:left w:val="single" w:sz="4" w:space="0" w:color="auto"/>
              <w:bottom w:val="single" w:sz="4" w:space="0" w:color="auto"/>
              <w:right w:val="single" w:sz="4" w:space="0" w:color="auto"/>
            </w:tcBorders>
          </w:tcPr>
          <w:p w14:paraId="7CEA4A4A" w14:textId="547206A8" w:rsidR="00D7564E" w:rsidRPr="008C4A39" w:rsidRDefault="00D7564E" w:rsidP="00D7564E">
            <w:pPr>
              <w:ind w:right="-360"/>
              <w:jc w:val="left"/>
              <w:rPr>
                <w:szCs w:val="24"/>
              </w:rPr>
            </w:pPr>
            <w:r>
              <w:rPr>
                <w:szCs w:val="24"/>
              </w:rPr>
              <w:t xml:space="preserve">The online registration is web based and will include validations of references.  </w:t>
            </w:r>
          </w:p>
        </w:tc>
      </w:tr>
      <w:tr w:rsidR="00D7564E" w:rsidRPr="008C4A39" w14:paraId="170056C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1377140" w14:textId="116B6E2A"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29E121D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741943F" w14:textId="285A7916"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65C6B225" w14:textId="77777777" w:rsidTr="00883B07">
        <w:tc>
          <w:tcPr>
            <w:tcW w:w="2804" w:type="dxa"/>
            <w:gridSpan w:val="2"/>
            <w:tcBorders>
              <w:top w:val="single" w:sz="4" w:space="0" w:color="auto"/>
              <w:left w:val="single" w:sz="4" w:space="0" w:color="auto"/>
              <w:bottom w:val="single" w:sz="4" w:space="0" w:color="auto"/>
              <w:right w:val="single" w:sz="4" w:space="0" w:color="auto"/>
            </w:tcBorders>
            <w:shd w:val="clear" w:color="auto" w:fill="FFFFFF"/>
          </w:tcPr>
          <w:p w14:paraId="3ADD9747" w14:textId="1CA7DD43" w:rsidR="00D7564E" w:rsidRPr="008C4A39" w:rsidRDefault="00D7564E" w:rsidP="00D7564E">
            <w:pPr>
              <w:spacing w:after="0"/>
              <w:rPr>
                <w:szCs w:val="24"/>
              </w:rPr>
            </w:pPr>
            <w:r w:rsidRPr="008130B6">
              <w:rPr>
                <w:szCs w:val="24"/>
              </w:rPr>
              <w:t>FR491</w:t>
            </w:r>
          </w:p>
        </w:tc>
        <w:tc>
          <w:tcPr>
            <w:tcW w:w="6551" w:type="dxa"/>
            <w:gridSpan w:val="2"/>
            <w:tcBorders>
              <w:top w:val="single" w:sz="4" w:space="0" w:color="auto"/>
              <w:left w:val="single" w:sz="4" w:space="0" w:color="auto"/>
              <w:bottom w:val="single" w:sz="4" w:space="0" w:color="auto"/>
              <w:right w:val="single" w:sz="4" w:space="0" w:color="auto"/>
            </w:tcBorders>
            <w:shd w:val="clear" w:color="auto" w:fill="FFFFFF"/>
          </w:tcPr>
          <w:p w14:paraId="62014526" w14:textId="0CCC821A" w:rsidR="00D7564E" w:rsidRPr="008C4A39" w:rsidRDefault="00D7564E" w:rsidP="00D7564E">
            <w:pPr>
              <w:spacing w:after="0"/>
              <w:rPr>
                <w:szCs w:val="24"/>
              </w:rPr>
            </w:pPr>
            <w:r w:rsidRPr="008C4A39">
              <w:rPr>
                <w:szCs w:val="24"/>
              </w:rPr>
              <w:t>The User Administrator must be able to fill in information regarding Competent Authority.</w:t>
            </w:r>
          </w:p>
        </w:tc>
      </w:tr>
      <w:tr w:rsidR="00D7564E" w:rsidRPr="008C4A39" w14:paraId="1977120C"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12AD3280" w14:textId="062677BF"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6DF2074E" w14:textId="77777777" w:rsidTr="00883B07">
        <w:tc>
          <w:tcPr>
            <w:tcW w:w="9355" w:type="dxa"/>
            <w:gridSpan w:val="4"/>
            <w:tcBorders>
              <w:top w:val="single" w:sz="4" w:space="0" w:color="auto"/>
              <w:left w:val="single" w:sz="4" w:space="0" w:color="auto"/>
              <w:bottom w:val="single" w:sz="4" w:space="0" w:color="auto"/>
              <w:right w:val="single" w:sz="4" w:space="0" w:color="auto"/>
            </w:tcBorders>
            <w:shd w:val="clear" w:color="auto" w:fill="FFFFFF"/>
          </w:tcPr>
          <w:p w14:paraId="07FC1D05" w14:textId="17019002"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63A7AED1"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790F27E7" w14:textId="6065848B" w:rsidR="00D7564E" w:rsidRPr="008C4A39" w:rsidRDefault="00D7564E" w:rsidP="00D7564E">
            <w:pPr>
              <w:spacing w:after="0"/>
              <w:rPr>
                <w:szCs w:val="24"/>
              </w:rPr>
            </w:pPr>
            <w:r w:rsidRPr="008130B6">
              <w:rPr>
                <w:szCs w:val="24"/>
              </w:rPr>
              <w:t>FR492</w:t>
            </w:r>
          </w:p>
        </w:tc>
        <w:tc>
          <w:tcPr>
            <w:tcW w:w="6551" w:type="dxa"/>
            <w:gridSpan w:val="2"/>
            <w:tcBorders>
              <w:top w:val="single" w:sz="4" w:space="0" w:color="auto"/>
              <w:left w:val="single" w:sz="4" w:space="0" w:color="auto"/>
              <w:bottom w:val="single" w:sz="4" w:space="0" w:color="auto"/>
              <w:right w:val="single" w:sz="4" w:space="0" w:color="auto"/>
            </w:tcBorders>
          </w:tcPr>
          <w:p w14:paraId="557AD0C3" w14:textId="1A704721" w:rsidR="00D7564E" w:rsidRPr="008C4A39" w:rsidRDefault="00D7564E" w:rsidP="00D7564E">
            <w:pPr>
              <w:spacing w:after="0"/>
              <w:rPr>
                <w:szCs w:val="24"/>
              </w:rPr>
            </w:pPr>
            <w:r w:rsidRPr="008C4A39">
              <w:rPr>
                <w:szCs w:val="24"/>
              </w:rPr>
              <w:t>The system must be able to Perform Technical Validation of the Request to Check EO and/or CA Registration.</w:t>
            </w:r>
          </w:p>
        </w:tc>
      </w:tr>
      <w:tr w:rsidR="00D7564E" w:rsidRPr="008C4A39" w14:paraId="65EEBFC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2EA69EF" w14:textId="7A1889ED"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1D2C6A8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34019DA" w14:textId="67D723CF"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76CFA538"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4BFFAEEF" w14:textId="504D0408" w:rsidR="00D7564E" w:rsidRPr="008C4A39" w:rsidRDefault="00D7564E" w:rsidP="00D7564E">
            <w:pPr>
              <w:spacing w:after="0"/>
              <w:rPr>
                <w:szCs w:val="24"/>
              </w:rPr>
            </w:pPr>
            <w:r w:rsidRPr="008130B6">
              <w:rPr>
                <w:szCs w:val="24"/>
              </w:rPr>
              <w:t>FR493</w:t>
            </w:r>
          </w:p>
        </w:tc>
        <w:tc>
          <w:tcPr>
            <w:tcW w:w="6551" w:type="dxa"/>
            <w:gridSpan w:val="2"/>
            <w:tcBorders>
              <w:top w:val="single" w:sz="4" w:space="0" w:color="auto"/>
              <w:left w:val="single" w:sz="4" w:space="0" w:color="auto"/>
              <w:bottom w:val="single" w:sz="4" w:space="0" w:color="auto"/>
              <w:right w:val="single" w:sz="4" w:space="0" w:color="auto"/>
            </w:tcBorders>
          </w:tcPr>
          <w:p w14:paraId="2AE6E443" w14:textId="60FFCC49" w:rsidR="00D7564E" w:rsidRPr="008C4A39" w:rsidRDefault="00D7564E" w:rsidP="00D7564E">
            <w:pPr>
              <w:spacing w:after="0"/>
              <w:rPr>
                <w:szCs w:val="24"/>
              </w:rPr>
            </w:pPr>
            <w:r w:rsidRPr="008C4A39">
              <w:rPr>
                <w:szCs w:val="24"/>
              </w:rPr>
              <w:t>The system must be able to send request to UMS and Commercial Register to validate EO and/or CA.</w:t>
            </w:r>
          </w:p>
        </w:tc>
      </w:tr>
      <w:tr w:rsidR="00D7564E" w:rsidRPr="008C4A39" w14:paraId="4EA178B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7024F1B" w14:textId="7392C796"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0115BFC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3A16112" w14:textId="4B1FBBBA"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41B8E401"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3A6B7077" w14:textId="36EB8C6F" w:rsidR="00D7564E" w:rsidRPr="008C4A39" w:rsidRDefault="00D7564E" w:rsidP="00D7564E">
            <w:pPr>
              <w:spacing w:after="0"/>
              <w:rPr>
                <w:szCs w:val="24"/>
              </w:rPr>
            </w:pPr>
            <w:r w:rsidRPr="008C4A39">
              <w:rPr>
                <w:szCs w:val="24"/>
              </w:rPr>
              <w:t>FR494</w:t>
            </w:r>
          </w:p>
        </w:tc>
        <w:tc>
          <w:tcPr>
            <w:tcW w:w="6551" w:type="dxa"/>
            <w:gridSpan w:val="2"/>
            <w:tcBorders>
              <w:top w:val="single" w:sz="4" w:space="0" w:color="auto"/>
              <w:left w:val="single" w:sz="4" w:space="0" w:color="auto"/>
              <w:bottom w:val="single" w:sz="4" w:space="0" w:color="auto"/>
              <w:right w:val="single" w:sz="4" w:space="0" w:color="auto"/>
            </w:tcBorders>
          </w:tcPr>
          <w:p w14:paraId="46C65508" w14:textId="6F9B612A" w:rsidR="00D7564E" w:rsidRPr="008C4A39" w:rsidRDefault="00D7564E" w:rsidP="00D7564E">
            <w:pPr>
              <w:spacing w:after="0"/>
              <w:rPr>
                <w:szCs w:val="24"/>
              </w:rPr>
            </w:pPr>
            <w:r w:rsidRPr="008C4A39">
              <w:rPr>
                <w:szCs w:val="24"/>
              </w:rPr>
              <w:t>The NSW must be able to Validate Information on EO and/or CA.</w:t>
            </w:r>
          </w:p>
        </w:tc>
      </w:tr>
      <w:tr w:rsidR="00D7564E" w:rsidRPr="008C4A39" w14:paraId="144C750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D0FDADE" w14:textId="64997E9E"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51ABC28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4335E0C" w14:textId="64F50E3F"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2EA4A671"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4552C2E2" w14:textId="65C5D812" w:rsidR="00D7564E" w:rsidRPr="008C4A39" w:rsidRDefault="00D7564E" w:rsidP="00D7564E">
            <w:pPr>
              <w:spacing w:after="0"/>
              <w:rPr>
                <w:szCs w:val="24"/>
              </w:rPr>
            </w:pPr>
            <w:r w:rsidRPr="008C4A39">
              <w:rPr>
                <w:szCs w:val="24"/>
              </w:rPr>
              <w:t>FR495</w:t>
            </w:r>
          </w:p>
        </w:tc>
        <w:tc>
          <w:tcPr>
            <w:tcW w:w="6551" w:type="dxa"/>
            <w:gridSpan w:val="2"/>
            <w:tcBorders>
              <w:top w:val="single" w:sz="4" w:space="0" w:color="auto"/>
              <w:left w:val="single" w:sz="4" w:space="0" w:color="auto"/>
              <w:bottom w:val="single" w:sz="4" w:space="0" w:color="auto"/>
              <w:right w:val="single" w:sz="4" w:space="0" w:color="auto"/>
            </w:tcBorders>
          </w:tcPr>
          <w:p w14:paraId="130B2C06" w14:textId="702565F8" w:rsidR="00D7564E" w:rsidRPr="008C4A39" w:rsidRDefault="00D7564E" w:rsidP="00D7564E">
            <w:pPr>
              <w:spacing w:after="0"/>
              <w:rPr>
                <w:szCs w:val="24"/>
              </w:rPr>
            </w:pPr>
            <w:r w:rsidRPr="008C4A39">
              <w:rPr>
                <w:szCs w:val="24"/>
              </w:rPr>
              <w:t>The NSW system must be able to take decision to grant user permission.</w:t>
            </w:r>
          </w:p>
        </w:tc>
      </w:tr>
      <w:tr w:rsidR="00D7564E" w:rsidRPr="008C4A39" w14:paraId="657FBD4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D9202BB" w14:textId="62299426"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02A8676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08D9560" w14:textId="062A4A50"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67F78955"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1192D679" w14:textId="0E994F1B" w:rsidR="00D7564E" w:rsidRPr="008C4A39" w:rsidRDefault="00D7564E" w:rsidP="00D7564E">
            <w:pPr>
              <w:spacing w:after="0"/>
              <w:rPr>
                <w:szCs w:val="24"/>
              </w:rPr>
            </w:pPr>
            <w:r w:rsidRPr="008C4A39">
              <w:rPr>
                <w:szCs w:val="24"/>
              </w:rPr>
              <w:t>FR496</w:t>
            </w:r>
          </w:p>
        </w:tc>
        <w:tc>
          <w:tcPr>
            <w:tcW w:w="6551" w:type="dxa"/>
            <w:gridSpan w:val="2"/>
            <w:tcBorders>
              <w:top w:val="single" w:sz="4" w:space="0" w:color="auto"/>
              <w:left w:val="single" w:sz="4" w:space="0" w:color="auto"/>
              <w:bottom w:val="single" w:sz="4" w:space="0" w:color="auto"/>
              <w:right w:val="single" w:sz="4" w:space="0" w:color="auto"/>
            </w:tcBorders>
          </w:tcPr>
          <w:p w14:paraId="493A9874" w14:textId="15523A75" w:rsidR="00D7564E" w:rsidRPr="008C4A39" w:rsidRDefault="00D7564E" w:rsidP="00D7564E">
            <w:pPr>
              <w:spacing w:after="0"/>
              <w:rPr>
                <w:szCs w:val="24"/>
              </w:rPr>
            </w:pPr>
            <w:r w:rsidRPr="008C4A39">
              <w:rPr>
                <w:szCs w:val="24"/>
              </w:rPr>
              <w:t>The system must be able to Notify EO of Check Registration Error.</w:t>
            </w:r>
          </w:p>
        </w:tc>
      </w:tr>
      <w:tr w:rsidR="00D7564E" w:rsidRPr="008C4A39" w14:paraId="5B67CEC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E5C7100" w14:textId="421AB302"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76F3BFC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874E14B" w14:textId="4CED1019"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7EFD88F3"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001124B7" w14:textId="07D8023C" w:rsidR="00D7564E" w:rsidRPr="008C4A39" w:rsidRDefault="00D7564E" w:rsidP="00D7564E">
            <w:pPr>
              <w:spacing w:after="0"/>
              <w:rPr>
                <w:szCs w:val="24"/>
              </w:rPr>
            </w:pPr>
            <w:r w:rsidRPr="008C4A39">
              <w:rPr>
                <w:szCs w:val="24"/>
              </w:rPr>
              <w:t>FR497</w:t>
            </w:r>
          </w:p>
        </w:tc>
        <w:tc>
          <w:tcPr>
            <w:tcW w:w="6551" w:type="dxa"/>
            <w:gridSpan w:val="2"/>
            <w:tcBorders>
              <w:top w:val="single" w:sz="4" w:space="0" w:color="auto"/>
              <w:left w:val="single" w:sz="4" w:space="0" w:color="auto"/>
              <w:bottom w:val="single" w:sz="4" w:space="0" w:color="auto"/>
              <w:right w:val="single" w:sz="4" w:space="0" w:color="auto"/>
            </w:tcBorders>
          </w:tcPr>
          <w:p w14:paraId="2CBA37DB" w14:textId="74980A82" w:rsidR="00D7564E" w:rsidRPr="008C4A39" w:rsidRDefault="00D7564E" w:rsidP="00D7564E">
            <w:pPr>
              <w:spacing w:after="0"/>
              <w:rPr>
                <w:szCs w:val="24"/>
              </w:rPr>
            </w:pPr>
            <w:r w:rsidRPr="008C4A39">
              <w:rPr>
                <w:szCs w:val="24"/>
              </w:rPr>
              <w:t>The system must be able to Grant User Permission for use of NSW.</w:t>
            </w:r>
          </w:p>
        </w:tc>
      </w:tr>
      <w:tr w:rsidR="00D7564E" w:rsidRPr="008C4A39" w14:paraId="2AE21A7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F7BC930" w14:textId="02C90380"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04B900C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F1E33E0" w14:textId="515299D1"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222EB603"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485EA090" w14:textId="46435DFD" w:rsidR="00D7564E" w:rsidRPr="008C4A39" w:rsidRDefault="00D7564E" w:rsidP="00D7564E">
            <w:pPr>
              <w:spacing w:after="0"/>
              <w:rPr>
                <w:szCs w:val="24"/>
              </w:rPr>
            </w:pPr>
            <w:r w:rsidRPr="008C4A39">
              <w:rPr>
                <w:szCs w:val="24"/>
              </w:rPr>
              <w:t>FR498</w:t>
            </w:r>
          </w:p>
        </w:tc>
        <w:tc>
          <w:tcPr>
            <w:tcW w:w="6551" w:type="dxa"/>
            <w:gridSpan w:val="2"/>
            <w:tcBorders>
              <w:top w:val="single" w:sz="4" w:space="0" w:color="auto"/>
              <w:left w:val="single" w:sz="4" w:space="0" w:color="auto"/>
              <w:bottom w:val="single" w:sz="4" w:space="0" w:color="auto"/>
              <w:right w:val="single" w:sz="4" w:space="0" w:color="auto"/>
            </w:tcBorders>
          </w:tcPr>
          <w:p w14:paraId="714293D8" w14:textId="6AC94405" w:rsidR="00D7564E" w:rsidRPr="008C4A39" w:rsidRDefault="00D7564E" w:rsidP="00D7564E">
            <w:pPr>
              <w:spacing w:after="0"/>
              <w:rPr>
                <w:szCs w:val="24"/>
              </w:rPr>
            </w:pPr>
            <w:r w:rsidRPr="008C4A39">
              <w:rPr>
                <w:szCs w:val="24"/>
              </w:rPr>
              <w:t>The system must be able to Notify EO and/or UMS for granted Permission and Credentials.</w:t>
            </w:r>
          </w:p>
        </w:tc>
      </w:tr>
      <w:tr w:rsidR="00D7564E" w:rsidRPr="008C4A39" w14:paraId="045B098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5096455" w14:textId="7AD22458" w:rsidR="00D7564E" w:rsidRPr="008C4A39" w:rsidRDefault="00D7564E" w:rsidP="00D7564E">
            <w:pPr>
              <w:ind w:right="-360"/>
              <w:jc w:val="left"/>
              <w:rPr>
                <w:szCs w:val="24"/>
              </w:rPr>
            </w:pPr>
            <w:r w:rsidRPr="008C4A39">
              <w:rPr>
                <w:szCs w:val="24"/>
              </w:rPr>
              <w:t xml:space="preserve">Bidder’s technical reasons supporting compliance:  </w:t>
            </w:r>
          </w:p>
        </w:tc>
      </w:tr>
      <w:tr w:rsidR="00D7564E" w:rsidRPr="008C4A39" w14:paraId="22DA702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388D183" w14:textId="4849AFDB" w:rsidR="00D7564E" w:rsidRPr="008C4A39" w:rsidRDefault="00D7564E" w:rsidP="00D7564E">
            <w:pPr>
              <w:ind w:right="-360"/>
              <w:jc w:val="left"/>
              <w:rPr>
                <w:szCs w:val="24"/>
              </w:rPr>
            </w:pPr>
            <w:r w:rsidRPr="008C4A39">
              <w:rPr>
                <w:szCs w:val="24"/>
              </w:rPr>
              <w:t>Bidder’s cross references to supporting information in Technical Bid:</w:t>
            </w:r>
          </w:p>
        </w:tc>
      </w:tr>
      <w:tr w:rsidR="00D7564E" w:rsidRPr="008C4A39" w14:paraId="34657AA2" w14:textId="77777777" w:rsidTr="00883B07">
        <w:tc>
          <w:tcPr>
            <w:tcW w:w="2804" w:type="dxa"/>
            <w:gridSpan w:val="2"/>
            <w:tcBorders>
              <w:top w:val="single" w:sz="4" w:space="0" w:color="auto"/>
              <w:left w:val="single" w:sz="4" w:space="0" w:color="auto"/>
              <w:bottom w:val="single" w:sz="4" w:space="0" w:color="auto"/>
              <w:right w:val="single" w:sz="4" w:space="0" w:color="auto"/>
            </w:tcBorders>
          </w:tcPr>
          <w:p w14:paraId="310D2850" w14:textId="597E1A4A" w:rsidR="00D7564E" w:rsidRPr="008C4A39" w:rsidRDefault="00D7564E" w:rsidP="00D7564E">
            <w:pPr>
              <w:spacing w:after="0"/>
              <w:rPr>
                <w:szCs w:val="24"/>
              </w:rPr>
            </w:pPr>
            <w:r w:rsidRPr="008C4A39">
              <w:rPr>
                <w:szCs w:val="24"/>
              </w:rPr>
              <w:t>FR526</w:t>
            </w:r>
          </w:p>
        </w:tc>
        <w:tc>
          <w:tcPr>
            <w:tcW w:w="6551" w:type="dxa"/>
            <w:gridSpan w:val="2"/>
            <w:tcBorders>
              <w:top w:val="single" w:sz="4" w:space="0" w:color="auto"/>
              <w:left w:val="single" w:sz="4" w:space="0" w:color="auto"/>
              <w:bottom w:val="single" w:sz="4" w:space="0" w:color="auto"/>
              <w:right w:val="single" w:sz="4" w:space="0" w:color="auto"/>
            </w:tcBorders>
          </w:tcPr>
          <w:p w14:paraId="60D05BFA" w14:textId="3F20698D" w:rsidR="00D7564E" w:rsidRPr="008C4A39" w:rsidRDefault="00D7564E" w:rsidP="00D7564E">
            <w:pPr>
              <w:spacing w:after="0"/>
              <w:rPr>
                <w:szCs w:val="24"/>
              </w:rPr>
            </w:pPr>
            <w:r w:rsidRPr="008C4A39">
              <w:rPr>
                <w:szCs w:val="24"/>
              </w:rPr>
              <w:t xml:space="preserve">The system must be able to export all EO and CA </w:t>
            </w:r>
            <w:proofErr w:type="gramStart"/>
            <w:r w:rsidRPr="008C4A39">
              <w:rPr>
                <w:szCs w:val="24"/>
              </w:rPr>
              <w:t>in order to</w:t>
            </w:r>
            <w:proofErr w:type="gramEnd"/>
            <w:r w:rsidRPr="008C4A39">
              <w:rPr>
                <w:szCs w:val="24"/>
              </w:rPr>
              <w:t xml:space="preserve"> be migrated to EORI (when the system is developed). </w:t>
            </w:r>
          </w:p>
        </w:tc>
      </w:tr>
      <w:tr w:rsidR="00D7564E" w:rsidRPr="008C4A39" w14:paraId="1028563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41E7983" w14:textId="1FFCC50E" w:rsidR="00D7564E" w:rsidRPr="008C4A39" w:rsidRDefault="00D7564E" w:rsidP="00D7564E">
            <w:pPr>
              <w:ind w:right="-360"/>
              <w:jc w:val="left"/>
              <w:rPr>
                <w:szCs w:val="24"/>
              </w:rPr>
            </w:pPr>
            <w:r w:rsidRPr="008C4A39">
              <w:rPr>
                <w:szCs w:val="24"/>
              </w:rPr>
              <w:lastRenderedPageBreak/>
              <w:t xml:space="preserve">Bidder’s technical reasons supporting compliance:  </w:t>
            </w:r>
          </w:p>
        </w:tc>
      </w:tr>
      <w:tr w:rsidR="00D7564E" w:rsidRPr="008C4A39" w14:paraId="2463438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67FEAE5" w14:textId="52DD19C1" w:rsidR="00D7564E" w:rsidRPr="008C4A39" w:rsidRDefault="00D7564E" w:rsidP="00D7564E">
            <w:pPr>
              <w:ind w:right="-360"/>
              <w:jc w:val="left"/>
              <w:rPr>
                <w:szCs w:val="24"/>
              </w:rPr>
            </w:pPr>
            <w:r w:rsidRPr="008C4A39">
              <w:rPr>
                <w:szCs w:val="24"/>
              </w:rPr>
              <w:t>Bidder’s cross references to supporting information in Technical Bid:</w:t>
            </w:r>
          </w:p>
        </w:tc>
      </w:tr>
      <w:tr w:rsidR="00366663" w:rsidRPr="008C4A39" w14:paraId="68A33EB9" w14:textId="77777777" w:rsidTr="00883B07">
        <w:trPr>
          <w:tblHeader/>
        </w:trPr>
        <w:tc>
          <w:tcPr>
            <w:tcW w:w="289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F67009" w14:textId="77777777" w:rsidR="00366663" w:rsidRPr="008C4A39" w:rsidRDefault="00366663" w:rsidP="00883B07">
            <w:pPr>
              <w:spacing w:after="0"/>
              <w:rPr>
                <w:b/>
                <w:szCs w:val="24"/>
              </w:rPr>
            </w:pPr>
            <w:r w:rsidRPr="008C4A39">
              <w:rPr>
                <w:b/>
                <w:szCs w:val="24"/>
              </w:rPr>
              <w:t>Tech. Req. Number</w:t>
            </w:r>
          </w:p>
        </w:tc>
        <w:tc>
          <w:tcPr>
            <w:tcW w:w="645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34E0DC" w14:textId="77777777" w:rsidR="00366663" w:rsidRPr="008C4A39" w:rsidRDefault="00366663" w:rsidP="00883B07">
            <w:pPr>
              <w:spacing w:after="0"/>
              <w:jc w:val="left"/>
              <w:rPr>
                <w:b/>
                <w:szCs w:val="24"/>
              </w:rPr>
            </w:pPr>
            <w:r w:rsidRPr="008C4A39">
              <w:rPr>
                <w:b/>
                <w:szCs w:val="24"/>
              </w:rPr>
              <w:t>Technical Requirement</w:t>
            </w:r>
          </w:p>
        </w:tc>
      </w:tr>
      <w:tr w:rsidR="00366663" w:rsidRPr="008C4A39" w14:paraId="6EC6251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9AA2123" w14:textId="77777777" w:rsidR="00366663" w:rsidRPr="008C4A39" w:rsidRDefault="00366663" w:rsidP="00883B07">
            <w:pPr>
              <w:spacing w:after="0"/>
              <w:rPr>
                <w:szCs w:val="24"/>
              </w:rPr>
            </w:pPr>
            <w:r w:rsidRPr="008C4A39">
              <w:rPr>
                <w:b/>
                <w:bCs/>
                <w:iCs/>
                <w:szCs w:val="24"/>
              </w:rPr>
              <w:t xml:space="preserve">1.2.4.5. </w:t>
            </w:r>
            <w:r w:rsidRPr="008C4A39">
              <w:rPr>
                <w:b/>
                <w:szCs w:val="24"/>
              </w:rPr>
              <w:t>Check Economic Operator</w:t>
            </w:r>
          </w:p>
        </w:tc>
      </w:tr>
      <w:tr w:rsidR="00366663" w:rsidRPr="008C4A39" w14:paraId="57A45137"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4288BF7D" w14:textId="77777777" w:rsidR="00366663" w:rsidRPr="008C4A39" w:rsidRDefault="00366663" w:rsidP="00883B07">
            <w:pPr>
              <w:spacing w:after="0"/>
              <w:rPr>
                <w:szCs w:val="24"/>
              </w:rPr>
            </w:pPr>
            <w:r w:rsidRPr="008C4A39">
              <w:rPr>
                <w:szCs w:val="24"/>
              </w:rPr>
              <w:t>FR78</w:t>
            </w:r>
          </w:p>
        </w:tc>
        <w:tc>
          <w:tcPr>
            <w:tcW w:w="6458" w:type="dxa"/>
            <w:tcBorders>
              <w:top w:val="single" w:sz="4" w:space="0" w:color="auto"/>
              <w:left w:val="single" w:sz="4" w:space="0" w:color="auto"/>
              <w:bottom w:val="single" w:sz="4" w:space="0" w:color="auto"/>
              <w:right w:val="single" w:sz="4" w:space="0" w:color="auto"/>
            </w:tcBorders>
          </w:tcPr>
          <w:p w14:paraId="1326EED0" w14:textId="77777777" w:rsidR="00366663" w:rsidRPr="008C4A39" w:rsidRDefault="00366663" w:rsidP="00883B07">
            <w:pPr>
              <w:spacing w:after="0"/>
              <w:rPr>
                <w:szCs w:val="24"/>
              </w:rPr>
            </w:pPr>
            <w:r w:rsidRPr="008C4A39">
              <w:rPr>
                <w:szCs w:val="24"/>
              </w:rPr>
              <w:t>The system must validate the necessary data for different data fields as defined.</w:t>
            </w:r>
          </w:p>
        </w:tc>
      </w:tr>
      <w:tr w:rsidR="00366663" w:rsidRPr="008C4A39" w14:paraId="25129B4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5CC98E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FE9DA0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5DCBA7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01CE807"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195EB309" w14:textId="77777777" w:rsidR="00366663" w:rsidRPr="008C4A39" w:rsidRDefault="00366663" w:rsidP="00883B07">
            <w:pPr>
              <w:spacing w:after="0"/>
              <w:rPr>
                <w:szCs w:val="24"/>
              </w:rPr>
            </w:pPr>
            <w:r w:rsidRPr="008C4A39">
              <w:rPr>
                <w:szCs w:val="24"/>
              </w:rPr>
              <w:t>FR79</w:t>
            </w:r>
          </w:p>
          <w:p w14:paraId="61072E58"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6B89CA25" w14:textId="77777777" w:rsidR="00366663" w:rsidRPr="008C4A39" w:rsidRDefault="00366663" w:rsidP="00883B07">
            <w:pPr>
              <w:spacing w:after="0"/>
              <w:rPr>
                <w:szCs w:val="24"/>
              </w:rPr>
            </w:pPr>
            <w:r w:rsidRPr="008C4A39">
              <w:rPr>
                <w:szCs w:val="24"/>
              </w:rPr>
              <w:t>The system must not allow the registrant to proceed to the next step if the validation rules fail, with a display of appropriate error messages.</w:t>
            </w:r>
          </w:p>
        </w:tc>
      </w:tr>
      <w:tr w:rsidR="00366663" w:rsidRPr="008C4A39" w14:paraId="2077EEA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FFE0E5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9909CBC"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40A489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B8DEDB6"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0BD988C7" w14:textId="77777777" w:rsidR="00366663" w:rsidRPr="008C4A39" w:rsidRDefault="00366663" w:rsidP="00883B07">
            <w:pPr>
              <w:spacing w:after="0"/>
              <w:rPr>
                <w:szCs w:val="24"/>
              </w:rPr>
            </w:pPr>
            <w:r w:rsidRPr="008C4A39">
              <w:rPr>
                <w:szCs w:val="24"/>
              </w:rPr>
              <w:t>FR81</w:t>
            </w:r>
          </w:p>
        </w:tc>
        <w:tc>
          <w:tcPr>
            <w:tcW w:w="6458" w:type="dxa"/>
            <w:tcBorders>
              <w:top w:val="single" w:sz="4" w:space="0" w:color="auto"/>
              <w:left w:val="single" w:sz="4" w:space="0" w:color="auto"/>
              <w:bottom w:val="single" w:sz="4" w:space="0" w:color="auto"/>
              <w:right w:val="single" w:sz="4" w:space="0" w:color="auto"/>
            </w:tcBorders>
          </w:tcPr>
          <w:p w14:paraId="336101C7" w14:textId="77777777" w:rsidR="00366663" w:rsidRPr="008C4A39" w:rsidRDefault="00366663" w:rsidP="00883B07">
            <w:pPr>
              <w:spacing w:after="0"/>
              <w:rPr>
                <w:szCs w:val="24"/>
              </w:rPr>
            </w:pPr>
            <w:r w:rsidRPr="008C4A39">
              <w:rPr>
                <w:szCs w:val="24"/>
              </w:rPr>
              <w:t xml:space="preserve">The NSW system must cater for configurable data validation via validation rules form. </w:t>
            </w:r>
          </w:p>
        </w:tc>
      </w:tr>
      <w:tr w:rsidR="00366663" w:rsidRPr="008C4A39" w14:paraId="36CA6E9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EE51E5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045684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F014F2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AA008B4"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41BE239D" w14:textId="77777777" w:rsidR="00366663" w:rsidRPr="008C4A39" w:rsidRDefault="00366663" w:rsidP="00883B07">
            <w:pPr>
              <w:spacing w:after="0"/>
              <w:rPr>
                <w:szCs w:val="24"/>
              </w:rPr>
            </w:pPr>
            <w:r w:rsidRPr="008C4A39">
              <w:rPr>
                <w:szCs w:val="24"/>
              </w:rPr>
              <w:t>FR82</w:t>
            </w:r>
          </w:p>
        </w:tc>
        <w:tc>
          <w:tcPr>
            <w:tcW w:w="6458" w:type="dxa"/>
            <w:tcBorders>
              <w:top w:val="single" w:sz="4" w:space="0" w:color="auto"/>
              <w:left w:val="single" w:sz="4" w:space="0" w:color="auto"/>
              <w:bottom w:val="single" w:sz="4" w:space="0" w:color="auto"/>
              <w:right w:val="single" w:sz="4" w:space="0" w:color="auto"/>
            </w:tcBorders>
          </w:tcPr>
          <w:p w14:paraId="3669243D" w14:textId="77777777" w:rsidR="00366663" w:rsidRPr="008C4A39" w:rsidRDefault="00366663" w:rsidP="00883B07">
            <w:pPr>
              <w:spacing w:after="0"/>
              <w:rPr>
                <w:szCs w:val="24"/>
              </w:rPr>
            </w:pPr>
            <w:r w:rsidRPr="008C4A39">
              <w:rPr>
                <w:szCs w:val="24"/>
              </w:rPr>
              <w:t xml:space="preserve">The NSW System Administrator can add and update validation rules to the grid, column, row, or cell. </w:t>
            </w:r>
          </w:p>
        </w:tc>
      </w:tr>
      <w:tr w:rsidR="00366663" w:rsidRPr="008C4A39" w14:paraId="4EB1649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87AEBB5"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AE582B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66C7C34"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3D46AC2"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21D4D704" w14:textId="77777777" w:rsidR="00366663" w:rsidRPr="008C4A39" w:rsidRDefault="00366663" w:rsidP="00883B07">
            <w:pPr>
              <w:spacing w:after="0"/>
              <w:rPr>
                <w:szCs w:val="24"/>
              </w:rPr>
            </w:pPr>
            <w:r w:rsidRPr="008C4A39">
              <w:rPr>
                <w:szCs w:val="24"/>
              </w:rPr>
              <w:t>FR83</w:t>
            </w:r>
          </w:p>
        </w:tc>
        <w:tc>
          <w:tcPr>
            <w:tcW w:w="6458" w:type="dxa"/>
            <w:tcBorders>
              <w:top w:val="single" w:sz="4" w:space="0" w:color="auto"/>
              <w:left w:val="single" w:sz="4" w:space="0" w:color="auto"/>
              <w:bottom w:val="single" w:sz="4" w:space="0" w:color="auto"/>
              <w:right w:val="single" w:sz="4" w:space="0" w:color="auto"/>
            </w:tcBorders>
          </w:tcPr>
          <w:p w14:paraId="7D4965D4" w14:textId="77777777" w:rsidR="00366663" w:rsidRPr="008C4A39" w:rsidRDefault="00366663" w:rsidP="00883B07">
            <w:pPr>
              <w:spacing w:after="0"/>
              <w:rPr>
                <w:szCs w:val="24"/>
              </w:rPr>
            </w:pPr>
            <w:r w:rsidRPr="008C4A39">
              <w:rPr>
                <w:szCs w:val="24"/>
              </w:rPr>
              <w:t>When rules are processed, the affected fields can change the color of cells, and provide validation messages to users during data entry, and can change the promotional path for approval.</w:t>
            </w:r>
          </w:p>
        </w:tc>
      </w:tr>
      <w:tr w:rsidR="00366663" w:rsidRPr="008C4A39" w14:paraId="16A52D5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71047F5"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381DC1F9"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59C82F73" w14:textId="77777777" w:rsidR="00366663" w:rsidRPr="008C4A39" w:rsidRDefault="00366663" w:rsidP="00883B07">
            <w:pPr>
              <w:ind w:right="-360"/>
              <w:jc w:val="left"/>
              <w:rPr>
                <w:szCs w:val="24"/>
              </w:rPr>
            </w:pPr>
            <w:r w:rsidRPr="008C4A39">
              <w:rPr>
                <w:szCs w:val="24"/>
              </w:rPr>
              <w:t>Bidder’s cross references to supporting information in Technical Bid:</w:t>
            </w:r>
          </w:p>
          <w:p w14:paraId="6FD1435D"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4A1238E7" w14:textId="77777777" w:rsidR="00366663" w:rsidRPr="008C4A39" w:rsidRDefault="00366663" w:rsidP="00883B07">
            <w:pPr>
              <w:spacing w:after="0"/>
              <w:rPr>
                <w:szCs w:val="24"/>
              </w:rPr>
            </w:pPr>
            <w:r w:rsidRPr="008C4A39">
              <w:rPr>
                <w:szCs w:val="24"/>
              </w:rPr>
              <w:t>NSW must save validation rules with the versioning controls.</w:t>
            </w:r>
          </w:p>
        </w:tc>
      </w:tr>
      <w:tr w:rsidR="00366663" w:rsidRPr="008C4A39" w14:paraId="2F1E3515"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68A72EF1" w14:textId="77777777" w:rsidR="00366663" w:rsidRPr="008C4A39" w:rsidRDefault="00366663" w:rsidP="00883B07">
            <w:pPr>
              <w:spacing w:after="0"/>
              <w:rPr>
                <w:szCs w:val="24"/>
              </w:rPr>
            </w:pPr>
            <w:r w:rsidRPr="008C4A39">
              <w:rPr>
                <w:szCs w:val="24"/>
              </w:rPr>
              <w:t>FR85</w:t>
            </w:r>
          </w:p>
        </w:tc>
        <w:tc>
          <w:tcPr>
            <w:tcW w:w="6458" w:type="dxa"/>
            <w:tcBorders>
              <w:top w:val="single" w:sz="4" w:space="0" w:color="auto"/>
              <w:left w:val="single" w:sz="4" w:space="0" w:color="auto"/>
              <w:bottom w:val="single" w:sz="4" w:space="0" w:color="auto"/>
              <w:right w:val="single" w:sz="4" w:space="0" w:color="auto"/>
            </w:tcBorders>
          </w:tcPr>
          <w:p w14:paraId="70C0CA4F" w14:textId="77777777" w:rsidR="00366663" w:rsidRPr="008C4A39" w:rsidRDefault="00366663" w:rsidP="00883B07">
            <w:pPr>
              <w:spacing w:after="0"/>
              <w:rPr>
                <w:szCs w:val="24"/>
              </w:rPr>
            </w:pPr>
            <w:r w:rsidRPr="008C4A39">
              <w:rPr>
                <w:szCs w:val="24"/>
              </w:rPr>
              <w:t xml:space="preserve">The NSW must have interfaces with other ICT systems of Government Agencies for data validation (e.g., other customs systems, Business Identification </w:t>
            </w:r>
            <w:proofErr w:type="gramStart"/>
            <w:r w:rsidRPr="008C4A39">
              <w:rPr>
                <w:szCs w:val="24"/>
              </w:rPr>
              <w:t>Number</w:t>
            </w:r>
            <w:proofErr w:type="gramEnd"/>
            <w:r w:rsidRPr="008C4A39">
              <w:rPr>
                <w:szCs w:val="24"/>
              </w:rPr>
              <w:t xml:space="preserve"> and civil identity registers).</w:t>
            </w:r>
          </w:p>
        </w:tc>
      </w:tr>
      <w:tr w:rsidR="00366663" w:rsidRPr="008C4A39" w14:paraId="23E3ACD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4E72E3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73ACC7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069D5C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95AAE48"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15C2F2A2" w14:textId="77777777" w:rsidR="00366663" w:rsidRPr="008C4A39" w:rsidRDefault="00366663" w:rsidP="00883B07">
            <w:pPr>
              <w:spacing w:after="0"/>
              <w:rPr>
                <w:szCs w:val="24"/>
              </w:rPr>
            </w:pPr>
            <w:r w:rsidRPr="008C4A39">
              <w:rPr>
                <w:szCs w:val="24"/>
              </w:rPr>
              <w:t>FR86</w:t>
            </w:r>
          </w:p>
        </w:tc>
        <w:tc>
          <w:tcPr>
            <w:tcW w:w="6458" w:type="dxa"/>
            <w:tcBorders>
              <w:top w:val="single" w:sz="4" w:space="0" w:color="auto"/>
              <w:left w:val="single" w:sz="4" w:space="0" w:color="auto"/>
              <w:bottom w:val="single" w:sz="4" w:space="0" w:color="auto"/>
              <w:right w:val="single" w:sz="4" w:space="0" w:color="auto"/>
            </w:tcBorders>
          </w:tcPr>
          <w:p w14:paraId="72E2FEED" w14:textId="77777777" w:rsidR="00366663" w:rsidRPr="008C4A39" w:rsidRDefault="00366663" w:rsidP="00883B07">
            <w:pPr>
              <w:spacing w:after="0"/>
              <w:rPr>
                <w:szCs w:val="24"/>
              </w:rPr>
            </w:pPr>
            <w:r w:rsidRPr="008C4A39">
              <w:rPr>
                <w:szCs w:val="24"/>
              </w:rPr>
              <w:t>NSW System must provide the NSW System Administrator to define and create access for all CBRA agencies.</w:t>
            </w:r>
          </w:p>
        </w:tc>
      </w:tr>
      <w:tr w:rsidR="00366663" w:rsidRPr="008C4A39" w14:paraId="0B0F691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6DCAE1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74A1EC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93F9528" w14:textId="77777777" w:rsidR="00366663" w:rsidRPr="008C4A39" w:rsidRDefault="00366663" w:rsidP="00883B07">
            <w:pPr>
              <w:ind w:right="-360"/>
              <w:jc w:val="left"/>
              <w:rPr>
                <w:szCs w:val="24"/>
              </w:rPr>
            </w:pPr>
            <w:r w:rsidRPr="008C4A39">
              <w:rPr>
                <w:szCs w:val="24"/>
              </w:rPr>
              <w:lastRenderedPageBreak/>
              <w:t>Bidder’s cross references to supporting information in Technical Bid:</w:t>
            </w:r>
          </w:p>
        </w:tc>
      </w:tr>
      <w:tr w:rsidR="00366663" w:rsidRPr="008C4A39" w14:paraId="45F1F6D9"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018AE2A7" w14:textId="77777777" w:rsidR="00366663" w:rsidRPr="008C4A39" w:rsidRDefault="00366663" w:rsidP="00883B07">
            <w:pPr>
              <w:spacing w:after="0"/>
              <w:rPr>
                <w:szCs w:val="24"/>
              </w:rPr>
            </w:pPr>
            <w:r w:rsidRPr="008C4A39">
              <w:rPr>
                <w:szCs w:val="24"/>
              </w:rPr>
              <w:t>FR87</w:t>
            </w:r>
          </w:p>
          <w:p w14:paraId="4825E2E8"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707EA7A2" w14:textId="77777777" w:rsidR="00366663" w:rsidRPr="008C4A39" w:rsidRDefault="00366663" w:rsidP="00883B07">
            <w:pPr>
              <w:spacing w:after="0"/>
              <w:rPr>
                <w:szCs w:val="24"/>
              </w:rPr>
            </w:pPr>
            <w:r w:rsidRPr="008C4A39">
              <w:rPr>
                <w:szCs w:val="24"/>
              </w:rPr>
              <w:t>The initial set up for the Regulatory Authorities Stakeholders shall provide for migration of existing Customs/CBRA user registration from existing systems.</w:t>
            </w:r>
          </w:p>
        </w:tc>
      </w:tr>
      <w:tr w:rsidR="00366663" w:rsidRPr="008C4A39" w14:paraId="508F48B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E97CC8E"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78675B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3E65CE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B637506"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5C5DB920" w14:textId="77777777" w:rsidR="00366663" w:rsidRPr="008C4A39" w:rsidRDefault="00366663" w:rsidP="00883B07">
            <w:pPr>
              <w:spacing w:after="0"/>
              <w:rPr>
                <w:szCs w:val="24"/>
              </w:rPr>
            </w:pPr>
            <w:r w:rsidRPr="008C4A39">
              <w:rPr>
                <w:szCs w:val="24"/>
              </w:rPr>
              <w:t>FR88</w:t>
            </w:r>
          </w:p>
          <w:p w14:paraId="1293F8D0"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51BD0486" w14:textId="77777777" w:rsidR="00366663" w:rsidRPr="008C4A39" w:rsidRDefault="00366663" w:rsidP="00883B07">
            <w:pPr>
              <w:spacing w:after="0"/>
              <w:rPr>
                <w:szCs w:val="24"/>
              </w:rPr>
            </w:pPr>
            <w:r w:rsidRPr="008C4A39">
              <w:rPr>
                <w:szCs w:val="24"/>
              </w:rPr>
              <w:t xml:space="preserve">In </w:t>
            </w:r>
            <w:proofErr w:type="gramStart"/>
            <w:r w:rsidRPr="008C4A39">
              <w:rPr>
                <w:szCs w:val="24"/>
              </w:rPr>
              <w:t>case</w:t>
            </w:r>
            <w:proofErr w:type="gramEnd"/>
            <w:r w:rsidRPr="008C4A39">
              <w:rPr>
                <w:szCs w:val="24"/>
              </w:rPr>
              <w:t xml:space="preserve"> of CBRA user registration data found in other existing systems, the Stakeholders Registration functionality shall also cater for migration from these systems. </w:t>
            </w:r>
          </w:p>
        </w:tc>
      </w:tr>
      <w:tr w:rsidR="00366663" w:rsidRPr="008C4A39" w14:paraId="76C4434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18D5A0C"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96B0C8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256724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36A7588"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0ACB43E6" w14:textId="77777777" w:rsidR="00366663" w:rsidRPr="008C4A39" w:rsidRDefault="00366663" w:rsidP="00883B07">
            <w:pPr>
              <w:spacing w:after="0"/>
              <w:rPr>
                <w:szCs w:val="24"/>
              </w:rPr>
            </w:pPr>
            <w:r w:rsidRPr="008C4A39">
              <w:rPr>
                <w:szCs w:val="24"/>
              </w:rPr>
              <w:t>FR89</w:t>
            </w:r>
          </w:p>
        </w:tc>
        <w:tc>
          <w:tcPr>
            <w:tcW w:w="6458" w:type="dxa"/>
            <w:tcBorders>
              <w:top w:val="single" w:sz="4" w:space="0" w:color="auto"/>
              <w:left w:val="single" w:sz="4" w:space="0" w:color="auto"/>
              <w:bottom w:val="single" w:sz="4" w:space="0" w:color="auto"/>
              <w:right w:val="single" w:sz="4" w:space="0" w:color="auto"/>
            </w:tcBorders>
          </w:tcPr>
          <w:p w14:paraId="32F88747" w14:textId="77777777" w:rsidR="00366663" w:rsidRPr="008C4A39" w:rsidRDefault="00366663" w:rsidP="00883B07">
            <w:pPr>
              <w:spacing w:after="0"/>
              <w:rPr>
                <w:szCs w:val="24"/>
              </w:rPr>
            </w:pPr>
            <w:r w:rsidRPr="008C4A39">
              <w:rPr>
                <w:szCs w:val="24"/>
              </w:rPr>
              <w:t>For each CBRA registrant, the NSW system must provide for the user’s role to be defined so that appropriate user access authentication and authorization shall be accorded.</w:t>
            </w:r>
          </w:p>
        </w:tc>
      </w:tr>
      <w:tr w:rsidR="00366663" w:rsidRPr="008C4A39" w14:paraId="6E13F3F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62B818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25081F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E82931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57BD5361"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2595A5B6" w14:textId="77777777" w:rsidR="00366663" w:rsidRPr="008C4A39" w:rsidRDefault="00366663" w:rsidP="00883B07">
            <w:pPr>
              <w:spacing w:after="0"/>
              <w:rPr>
                <w:szCs w:val="24"/>
              </w:rPr>
            </w:pPr>
            <w:r w:rsidRPr="008C4A39">
              <w:rPr>
                <w:szCs w:val="24"/>
              </w:rPr>
              <w:t>FR92</w:t>
            </w:r>
          </w:p>
          <w:p w14:paraId="79030291"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03867183" w14:textId="77777777" w:rsidR="00366663" w:rsidRPr="008C4A39" w:rsidRDefault="00366663" w:rsidP="00883B07">
            <w:pPr>
              <w:spacing w:after="0"/>
              <w:rPr>
                <w:szCs w:val="24"/>
              </w:rPr>
            </w:pPr>
            <w:r w:rsidRPr="008C4A39">
              <w:rPr>
                <w:szCs w:val="24"/>
              </w:rPr>
              <w:t xml:space="preserve">The NSW System functionality must provide the NSW System Administrator to define and create categories of Information Services Consumers/users. </w:t>
            </w:r>
          </w:p>
        </w:tc>
      </w:tr>
      <w:tr w:rsidR="00366663" w:rsidRPr="008C4A39" w14:paraId="1CB306A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5349133"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3E1514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B130631"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6ACD8BD"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35F70115" w14:textId="77777777" w:rsidR="00366663" w:rsidRPr="008C4A39" w:rsidRDefault="00366663" w:rsidP="00883B07">
            <w:pPr>
              <w:spacing w:after="0"/>
              <w:rPr>
                <w:szCs w:val="24"/>
              </w:rPr>
            </w:pPr>
            <w:r w:rsidRPr="008C4A39">
              <w:rPr>
                <w:szCs w:val="24"/>
              </w:rPr>
              <w:t>FR93</w:t>
            </w:r>
          </w:p>
          <w:p w14:paraId="5FF14DA1" w14:textId="77777777" w:rsidR="00366663" w:rsidRPr="008C4A39" w:rsidRDefault="00366663" w:rsidP="00883B07">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473C12DF" w14:textId="77777777" w:rsidR="00366663" w:rsidRPr="008C4A39" w:rsidRDefault="00366663" w:rsidP="00883B07">
            <w:pPr>
              <w:spacing w:after="0"/>
              <w:rPr>
                <w:szCs w:val="24"/>
              </w:rPr>
            </w:pPr>
            <w:r w:rsidRPr="008C4A39">
              <w:rPr>
                <w:szCs w:val="24"/>
              </w:rPr>
              <w:t xml:space="preserve">The NSW System must provide these as new Information Services Consumers registrants to apply via an online registration. The system shall allow for amendments, updates, </w:t>
            </w:r>
            <w:proofErr w:type="gramStart"/>
            <w:r w:rsidRPr="008C4A39">
              <w:rPr>
                <w:szCs w:val="24"/>
              </w:rPr>
              <w:t>renewal</w:t>
            </w:r>
            <w:proofErr w:type="gramEnd"/>
            <w:r w:rsidRPr="008C4A39">
              <w:rPr>
                <w:szCs w:val="24"/>
              </w:rPr>
              <w:t xml:space="preserve"> and cancellation of the registration.</w:t>
            </w:r>
          </w:p>
        </w:tc>
      </w:tr>
      <w:tr w:rsidR="00366663" w:rsidRPr="008C4A39" w14:paraId="7B2E819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003C1CD"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DD1F16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22EF0A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5079524"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1A260C7A" w14:textId="77777777" w:rsidR="00366663" w:rsidRPr="008C4A39" w:rsidRDefault="00366663" w:rsidP="00883B07">
            <w:pPr>
              <w:spacing w:after="0"/>
              <w:rPr>
                <w:szCs w:val="24"/>
              </w:rPr>
            </w:pPr>
            <w:r w:rsidRPr="008C4A39">
              <w:rPr>
                <w:szCs w:val="24"/>
              </w:rPr>
              <w:t>FR94</w:t>
            </w:r>
          </w:p>
        </w:tc>
        <w:tc>
          <w:tcPr>
            <w:tcW w:w="6458" w:type="dxa"/>
            <w:tcBorders>
              <w:top w:val="single" w:sz="4" w:space="0" w:color="auto"/>
              <w:left w:val="single" w:sz="4" w:space="0" w:color="auto"/>
              <w:bottom w:val="single" w:sz="4" w:space="0" w:color="auto"/>
              <w:right w:val="single" w:sz="4" w:space="0" w:color="auto"/>
            </w:tcBorders>
          </w:tcPr>
          <w:p w14:paraId="40B96FEC" w14:textId="77777777" w:rsidR="00366663" w:rsidRPr="008C4A39" w:rsidRDefault="00366663" w:rsidP="00883B07">
            <w:pPr>
              <w:spacing w:after="0"/>
              <w:rPr>
                <w:szCs w:val="24"/>
              </w:rPr>
            </w:pPr>
            <w:r w:rsidRPr="008C4A39">
              <w:rPr>
                <w:szCs w:val="24"/>
              </w:rPr>
              <w:t>The NSW System must provide an email/ text messages to the Information Services Consumers registrant notifying regarding their data migration in NSW along with a temporary login access for verifying and updating their details.</w:t>
            </w:r>
          </w:p>
        </w:tc>
      </w:tr>
      <w:tr w:rsidR="00366663" w:rsidRPr="008C4A39" w14:paraId="798433D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EF148D7"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EB434C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FC6F50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6C076D3"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125AECC7" w14:textId="77777777" w:rsidR="00366663" w:rsidRPr="008C4A39" w:rsidRDefault="00366663" w:rsidP="00883B07">
            <w:pPr>
              <w:spacing w:after="0"/>
              <w:rPr>
                <w:szCs w:val="24"/>
              </w:rPr>
            </w:pPr>
            <w:r w:rsidRPr="008C4A39">
              <w:rPr>
                <w:szCs w:val="24"/>
              </w:rPr>
              <w:t>FR95</w:t>
            </w:r>
          </w:p>
        </w:tc>
        <w:tc>
          <w:tcPr>
            <w:tcW w:w="6458" w:type="dxa"/>
            <w:tcBorders>
              <w:top w:val="single" w:sz="4" w:space="0" w:color="auto"/>
              <w:left w:val="single" w:sz="4" w:space="0" w:color="auto"/>
              <w:bottom w:val="single" w:sz="4" w:space="0" w:color="auto"/>
              <w:right w:val="single" w:sz="4" w:space="0" w:color="auto"/>
            </w:tcBorders>
          </w:tcPr>
          <w:p w14:paraId="453A4045" w14:textId="77777777" w:rsidR="00366663" w:rsidRPr="008C4A39" w:rsidRDefault="00366663" w:rsidP="00883B07">
            <w:pPr>
              <w:spacing w:after="0"/>
              <w:rPr>
                <w:szCs w:val="24"/>
              </w:rPr>
            </w:pPr>
            <w:r w:rsidRPr="008C4A39">
              <w:rPr>
                <w:szCs w:val="24"/>
              </w:rPr>
              <w:t>For each Information Services Consumers registrant, the NSW System shall provide for the user’s role to be defined so that appropriate user access authentication and authorization shall be accorded.</w:t>
            </w:r>
          </w:p>
        </w:tc>
      </w:tr>
      <w:tr w:rsidR="00366663" w:rsidRPr="008C4A39" w14:paraId="631B286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09B5BBE"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D8055B8"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3E97027"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9035462"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4F654D9B" w14:textId="77777777" w:rsidR="00366663" w:rsidRPr="008C4A39" w:rsidRDefault="00366663" w:rsidP="00883B07">
            <w:pPr>
              <w:spacing w:after="0"/>
              <w:rPr>
                <w:szCs w:val="24"/>
              </w:rPr>
            </w:pPr>
            <w:r w:rsidRPr="008C4A39">
              <w:rPr>
                <w:szCs w:val="24"/>
              </w:rPr>
              <w:lastRenderedPageBreak/>
              <w:t>FR96</w:t>
            </w:r>
          </w:p>
        </w:tc>
        <w:tc>
          <w:tcPr>
            <w:tcW w:w="6458" w:type="dxa"/>
            <w:tcBorders>
              <w:top w:val="single" w:sz="4" w:space="0" w:color="auto"/>
              <w:left w:val="single" w:sz="4" w:space="0" w:color="auto"/>
              <w:bottom w:val="single" w:sz="4" w:space="0" w:color="auto"/>
              <w:right w:val="single" w:sz="4" w:space="0" w:color="auto"/>
            </w:tcBorders>
          </w:tcPr>
          <w:p w14:paraId="7C5F245F" w14:textId="77777777" w:rsidR="00366663" w:rsidRPr="008C4A39" w:rsidRDefault="00366663" w:rsidP="00883B07">
            <w:pPr>
              <w:spacing w:after="0"/>
              <w:rPr>
                <w:szCs w:val="24"/>
              </w:rPr>
            </w:pPr>
            <w:r w:rsidRPr="008C4A39">
              <w:rPr>
                <w:szCs w:val="24"/>
              </w:rPr>
              <w:t>The NSW system functionality must cater for above-mentioned functions required of registration of regulatory authorities’ users as similarly required for registration of Information Services consumers/users, as appropriate.</w:t>
            </w:r>
          </w:p>
        </w:tc>
      </w:tr>
      <w:tr w:rsidR="00366663" w:rsidRPr="008C4A39" w14:paraId="23094C3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FC927D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0AC0E2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6BD211C"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59E5EA7"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33A8E0D7" w14:textId="77777777" w:rsidR="00366663" w:rsidRPr="008C4A39" w:rsidRDefault="00366663" w:rsidP="00883B07">
            <w:pPr>
              <w:spacing w:after="0"/>
              <w:rPr>
                <w:szCs w:val="24"/>
              </w:rPr>
            </w:pPr>
            <w:r w:rsidRPr="008C4A39">
              <w:rPr>
                <w:szCs w:val="24"/>
              </w:rPr>
              <w:t>FR97</w:t>
            </w:r>
          </w:p>
        </w:tc>
        <w:tc>
          <w:tcPr>
            <w:tcW w:w="6458" w:type="dxa"/>
            <w:tcBorders>
              <w:top w:val="single" w:sz="4" w:space="0" w:color="auto"/>
              <w:left w:val="single" w:sz="4" w:space="0" w:color="auto"/>
              <w:bottom w:val="single" w:sz="4" w:space="0" w:color="auto"/>
              <w:right w:val="single" w:sz="4" w:space="0" w:color="auto"/>
            </w:tcBorders>
          </w:tcPr>
          <w:p w14:paraId="70C661AF" w14:textId="77777777" w:rsidR="00366663" w:rsidRPr="008C4A39" w:rsidRDefault="00366663" w:rsidP="00883B07">
            <w:pPr>
              <w:spacing w:after="0"/>
              <w:rPr>
                <w:szCs w:val="24"/>
              </w:rPr>
            </w:pPr>
            <w:r w:rsidRPr="008C4A39">
              <w:rPr>
                <w:szCs w:val="24"/>
              </w:rPr>
              <w:t>The NSW system must cater for the NSW Operator to manage and administrate all registrants, including providing configurable rules to set, for e.g., time validity, cancellation or blocking of any registered user, person, employee, stakeholder administrator and CBRA user.</w:t>
            </w:r>
          </w:p>
        </w:tc>
      </w:tr>
      <w:tr w:rsidR="00366663" w:rsidRPr="008C4A39" w14:paraId="09DB6933"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7A1EBAF"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9DAC38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15F8E1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A7493A6"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288CBEBB" w14:textId="77777777" w:rsidR="00366663" w:rsidRPr="008C4A39" w:rsidRDefault="00366663" w:rsidP="00883B07">
            <w:pPr>
              <w:spacing w:after="0"/>
              <w:rPr>
                <w:szCs w:val="24"/>
              </w:rPr>
            </w:pPr>
            <w:r w:rsidRPr="008C4A39">
              <w:rPr>
                <w:szCs w:val="24"/>
              </w:rPr>
              <w:t>FR98</w:t>
            </w:r>
          </w:p>
        </w:tc>
        <w:tc>
          <w:tcPr>
            <w:tcW w:w="6458" w:type="dxa"/>
            <w:tcBorders>
              <w:top w:val="single" w:sz="4" w:space="0" w:color="auto"/>
              <w:left w:val="single" w:sz="4" w:space="0" w:color="auto"/>
              <w:bottom w:val="single" w:sz="4" w:space="0" w:color="auto"/>
              <w:right w:val="single" w:sz="4" w:space="0" w:color="auto"/>
            </w:tcBorders>
          </w:tcPr>
          <w:p w14:paraId="3A7DE2DA" w14:textId="77777777" w:rsidR="00366663" w:rsidRPr="008C4A39" w:rsidRDefault="00366663" w:rsidP="00883B07">
            <w:pPr>
              <w:spacing w:after="0"/>
              <w:rPr>
                <w:szCs w:val="24"/>
              </w:rPr>
            </w:pPr>
            <w:r w:rsidRPr="008C4A39">
              <w:rPr>
                <w:szCs w:val="24"/>
              </w:rPr>
              <w:t>The NSW system must support the grouping of users into named groups. A user’s group can contain either a list of users or groups or a combination of these two.</w:t>
            </w:r>
          </w:p>
        </w:tc>
      </w:tr>
      <w:tr w:rsidR="00366663" w:rsidRPr="008C4A39" w14:paraId="7FB7308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551019A"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3A6E3F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1CEBFF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6C653D6"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14841290" w14:textId="77777777" w:rsidR="00366663" w:rsidRPr="008C4A39" w:rsidRDefault="00366663" w:rsidP="00883B07">
            <w:pPr>
              <w:spacing w:after="0"/>
              <w:rPr>
                <w:szCs w:val="24"/>
              </w:rPr>
            </w:pPr>
            <w:r w:rsidRPr="008C4A39">
              <w:rPr>
                <w:szCs w:val="24"/>
              </w:rPr>
              <w:t>FR99</w:t>
            </w:r>
          </w:p>
        </w:tc>
        <w:tc>
          <w:tcPr>
            <w:tcW w:w="6458" w:type="dxa"/>
            <w:tcBorders>
              <w:top w:val="single" w:sz="4" w:space="0" w:color="auto"/>
              <w:left w:val="single" w:sz="4" w:space="0" w:color="auto"/>
              <w:bottom w:val="single" w:sz="4" w:space="0" w:color="auto"/>
              <w:right w:val="single" w:sz="4" w:space="0" w:color="auto"/>
            </w:tcBorders>
          </w:tcPr>
          <w:p w14:paraId="29C8C8A6" w14:textId="77777777" w:rsidR="00366663" w:rsidRPr="008C4A39" w:rsidRDefault="00366663" w:rsidP="00883B07">
            <w:pPr>
              <w:spacing w:after="0"/>
              <w:rPr>
                <w:szCs w:val="24"/>
              </w:rPr>
            </w:pPr>
            <w:r w:rsidRPr="008C4A39">
              <w:rPr>
                <w:szCs w:val="24"/>
              </w:rPr>
              <w:t xml:space="preserve">The NSW system must support distributed administration meaning that </w:t>
            </w:r>
            <w:proofErr w:type="gramStart"/>
            <w:r w:rsidRPr="008C4A39">
              <w:rPr>
                <w:szCs w:val="24"/>
              </w:rPr>
              <w:t>a</w:t>
            </w:r>
            <w:proofErr w:type="gramEnd"/>
            <w:r w:rsidRPr="008C4A39">
              <w:rPr>
                <w:szCs w:val="24"/>
              </w:rPr>
              <w:t xml:space="preserve"> NSW system administrator has the authority to manage only users that belongs to a specific grouping or organization, etc.</w:t>
            </w:r>
          </w:p>
        </w:tc>
      </w:tr>
      <w:tr w:rsidR="00366663" w:rsidRPr="008C4A39" w14:paraId="5A1EEBC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18AEFD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6E6A26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F493798"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F4DA120"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38F21221" w14:textId="77777777" w:rsidR="00366663" w:rsidRPr="008C4A39" w:rsidRDefault="00366663" w:rsidP="00883B07">
            <w:pPr>
              <w:spacing w:after="0"/>
              <w:rPr>
                <w:szCs w:val="24"/>
              </w:rPr>
            </w:pPr>
            <w:r w:rsidRPr="008C4A39">
              <w:rPr>
                <w:szCs w:val="24"/>
              </w:rPr>
              <w:t>FR100</w:t>
            </w:r>
          </w:p>
        </w:tc>
        <w:tc>
          <w:tcPr>
            <w:tcW w:w="6458" w:type="dxa"/>
            <w:tcBorders>
              <w:top w:val="single" w:sz="4" w:space="0" w:color="auto"/>
              <w:left w:val="single" w:sz="4" w:space="0" w:color="auto"/>
              <w:bottom w:val="single" w:sz="4" w:space="0" w:color="auto"/>
              <w:right w:val="single" w:sz="4" w:space="0" w:color="auto"/>
            </w:tcBorders>
          </w:tcPr>
          <w:p w14:paraId="39AE505C" w14:textId="77777777" w:rsidR="00366663" w:rsidRPr="008C4A39" w:rsidRDefault="00366663" w:rsidP="00883B07">
            <w:pPr>
              <w:spacing w:after="0"/>
              <w:rPr>
                <w:szCs w:val="24"/>
              </w:rPr>
            </w:pPr>
            <w:r w:rsidRPr="008C4A39">
              <w:rPr>
                <w:szCs w:val="24"/>
              </w:rPr>
              <w:t>The principal NSW system administrator can authorize administrator privileges to sub administrators of users belonging to a specific grouping or organization. An NSW sub administrator can be authorized to manage users in more than one group or organization.</w:t>
            </w:r>
          </w:p>
        </w:tc>
      </w:tr>
      <w:tr w:rsidR="00366663" w:rsidRPr="008C4A39" w14:paraId="669BA9F0"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02B425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4FB8061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CD342D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B968167"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61CEDEBF" w14:textId="77777777" w:rsidR="00366663" w:rsidRPr="008C4A39" w:rsidRDefault="00366663" w:rsidP="00883B07">
            <w:pPr>
              <w:spacing w:after="0"/>
              <w:rPr>
                <w:szCs w:val="24"/>
              </w:rPr>
            </w:pPr>
            <w:r w:rsidRPr="008C4A39">
              <w:rPr>
                <w:szCs w:val="24"/>
              </w:rPr>
              <w:t>FR101</w:t>
            </w:r>
          </w:p>
        </w:tc>
        <w:tc>
          <w:tcPr>
            <w:tcW w:w="6458" w:type="dxa"/>
            <w:tcBorders>
              <w:top w:val="single" w:sz="4" w:space="0" w:color="auto"/>
              <w:left w:val="single" w:sz="4" w:space="0" w:color="auto"/>
              <w:bottom w:val="single" w:sz="4" w:space="0" w:color="auto"/>
              <w:right w:val="single" w:sz="4" w:space="0" w:color="auto"/>
            </w:tcBorders>
          </w:tcPr>
          <w:p w14:paraId="58443448" w14:textId="77777777" w:rsidR="00366663" w:rsidRPr="008C4A39" w:rsidRDefault="00366663" w:rsidP="00883B07">
            <w:pPr>
              <w:spacing w:after="0"/>
              <w:rPr>
                <w:szCs w:val="24"/>
              </w:rPr>
            </w:pPr>
            <w:r w:rsidRPr="008C4A39">
              <w:rPr>
                <w:szCs w:val="24"/>
              </w:rPr>
              <w:t xml:space="preserve">The NSW System must provide a configurable notification service to be set up by the NSW system administrator, to provide notification </w:t>
            </w:r>
            <w:proofErr w:type="gramStart"/>
            <w:r w:rsidRPr="008C4A39">
              <w:rPr>
                <w:szCs w:val="24"/>
              </w:rPr>
              <w:t>message</w:t>
            </w:r>
            <w:proofErr w:type="gramEnd"/>
            <w:r w:rsidRPr="008C4A39">
              <w:rPr>
                <w:szCs w:val="24"/>
              </w:rPr>
              <w:t xml:space="preserve"> to the registrant. Upon approval, the successful stakeholder shall be provided a registration number as well as the associated QR code for each registered stakeholder, person, employee, and stakeholder administrator, for subsequent login purposes.</w:t>
            </w:r>
          </w:p>
        </w:tc>
      </w:tr>
      <w:tr w:rsidR="00366663" w:rsidRPr="008C4A39" w14:paraId="5B7930B5"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7EF1EB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0706E66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34E89BC"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0A5D9518"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2EC22050" w14:textId="77777777" w:rsidR="00366663" w:rsidRPr="008C4A39" w:rsidRDefault="00366663" w:rsidP="00883B07">
            <w:pPr>
              <w:spacing w:after="0"/>
              <w:rPr>
                <w:szCs w:val="24"/>
              </w:rPr>
            </w:pPr>
            <w:r w:rsidRPr="008C4A39">
              <w:rPr>
                <w:szCs w:val="24"/>
              </w:rPr>
              <w:lastRenderedPageBreak/>
              <w:t>FR102</w:t>
            </w:r>
          </w:p>
        </w:tc>
        <w:tc>
          <w:tcPr>
            <w:tcW w:w="6458" w:type="dxa"/>
            <w:tcBorders>
              <w:top w:val="single" w:sz="4" w:space="0" w:color="auto"/>
              <w:left w:val="single" w:sz="4" w:space="0" w:color="auto"/>
              <w:bottom w:val="single" w:sz="4" w:space="0" w:color="auto"/>
              <w:right w:val="single" w:sz="4" w:space="0" w:color="auto"/>
            </w:tcBorders>
          </w:tcPr>
          <w:p w14:paraId="685E728E" w14:textId="77777777" w:rsidR="00366663" w:rsidRPr="008C4A39" w:rsidRDefault="00366663" w:rsidP="00883B07">
            <w:pPr>
              <w:spacing w:after="0"/>
              <w:rPr>
                <w:szCs w:val="24"/>
              </w:rPr>
            </w:pPr>
            <w:r w:rsidRPr="008C4A39">
              <w:rPr>
                <w:szCs w:val="24"/>
              </w:rPr>
              <w:t>For each registered user the NSW system shall provide the system administrator to define the maximum number of employees authorized as NSW users under the entity. The defined number shall be configurable by the NSW System Administrator.</w:t>
            </w:r>
          </w:p>
        </w:tc>
      </w:tr>
      <w:tr w:rsidR="00366663" w:rsidRPr="008C4A39" w14:paraId="4204DA5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32D7596"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CF8844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F3986E3"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00C434D"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14F7CBD9" w14:textId="77777777" w:rsidR="00366663" w:rsidRPr="008C4A39" w:rsidRDefault="00366663" w:rsidP="00883B07">
            <w:pPr>
              <w:spacing w:after="0"/>
              <w:rPr>
                <w:szCs w:val="24"/>
              </w:rPr>
            </w:pPr>
            <w:r w:rsidRPr="008C4A39">
              <w:rPr>
                <w:szCs w:val="24"/>
              </w:rPr>
              <w:t>FR103</w:t>
            </w:r>
          </w:p>
        </w:tc>
        <w:tc>
          <w:tcPr>
            <w:tcW w:w="6458" w:type="dxa"/>
            <w:tcBorders>
              <w:top w:val="single" w:sz="4" w:space="0" w:color="auto"/>
              <w:left w:val="single" w:sz="4" w:space="0" w:color="auto"/>
              <w:bottom w:val="single" w:sz="4" w:space="0" w:color="auto"/>
              <w:right w:val="single" w:sz="4" w:space="0" w:color="auto"/>
            </w:tcBorders>
          </w:tcPr>
          <w:p w14:paraId="015409E5" w14:textId="77777777" w:rsidR="00366663" w:rsidRPr="008C4A39" w:rsidRDefault="00366663" w:rsidP="00883B07">
            <w:pPr>
              <w:spacing w:after="0"/>
              <w:rPr>
                <w:szCs w:val="24"/>
              </w:rPr>
            </w:pPr>
            <w:r w:rsidRPr="008C4A39">
              <w:rPr>
                <w:szCs w:val="24"/>
              </w:rPr>
              <w:t xml:space="preserve">The NSW System must </w:t>
            </w:r>
            <w:proofErr w:type="gramStart"/>
            <w:r w:rsidRPr="008C4A39">
              <w:rPr>
                <w:szCs w:val="24"/>
              </w:rPr>
              <w:t>provide for</w:t>
            </w:r>
            <w:proofErr w:type="gramEnd"/>
            <w:r w:rsidRPr="008C4A39">
              <w:rPr>
                <w:szCs w:val="24"/>
              </w:rPr>
              <w:t xml:space="preserve"> a configurable workflow to facilitate processing of the registration by the NSW Operator, with the final approval to be provided by an appropriate competent authority. </w:t>
            </w:r>
          </w:p>
        </w:tc>
      </w:tr>
      <w:tr w:rsidR="00366663" w:rsidRPr="008C4A39" w14:paraId="321185E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17EA1C9"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AAFCC3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54BDED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7FA456D" w14:textId="77777777" w:rsidTr="00883B07">
        <w:tc>
          <w:tcPr>
            <w:tcW w:w="2897" w:type="dxa"/>
            <w:gridSpan w:val="3"/>
            <w:tcBorders>
              <w:top w:val="single" w:sz="4" w:space="0" w:color="auto"/>
              <w:left w:val="single" w:sz="4" w:space="0" w:color="auto"/>
              <w:bottom w:val="single" w:sz="4" w:space="0" w:color="auto"/>
              <w:right w:val="single" w:sz="4" w:space="0" w:color="auto"/>
            </w:tcBorders>
            <w:vAlign w:val="bottom"/>
          </w:tcPr>
          <w:p w14:paraId="353A6772" w14:textId="77777777" w:rsidR="00366663" w:rsidRPr="008C4A39" w:rsidRDefault="00366663" w:rsidP="00883B07">
            <w:pPr>
              <w:spacing w:after="0"/>
              <w:rPr>
                <w:szCs w:val="24"/>
              </w:rPr>
            </w:pPr>
            <w:r w:rsidRPr="008C4A39">
              <w:rPr>
                <w:szCs w:val="24"/>
              </w:rPr>
              <w:t>FR104</w:t>
            </w:r>
          </w:p>
        </w:tc>
        <w:tc>
          <w:tcPr>
            <w:tcW w:w="6458" w:type="dxa"/>
            <w:tcBorders>
              <w:top w:val="single" w:sz="4" w:space="0" w:color="auto"/>
              <w:left w:val="single" w:sz="4" w:space="0" w:color="auto"/>
              <w:bottom w:val="single" w:sz="4" w:space="0" w:color="auto"/>
              <w:right w:val="single" w:sz="4" w:space="0" w:color="auto"/>
            </w:tcBorders>
          </w:tcPr>
          <w:p w14:paraId="1C9F57DC" w14:textId="77777777" w:rsidR="00366663" w:rsidRPr="008C4A39" w:rsidRDefault="00366663" w:rsidP="00883B07">
            <w:pPr>
              <w:spacing w:after="0"/>
              <w:rPr>
                <w:szCs w:val="24"/>
              </w:rPr>
            </w:pPr>
            <w:r w:rsidRPr="008C4A39">
              <w:rPr>
                <w:szCs w:val="24"/>
              </w:rPr>
              <w:t>The NSW system must support grouping privileges into named privilege groups. A privilege group can contain either a list of privileges or privilege groups. The system must enable a user’s privileges to be expressed either as a list of individual privileges and/or as a list of privileges groups.</w:t>
            </w:r>
          </w:p>
        </w:tc>
      </w:tr>
      <w:tr w:rsidR="00366663" w:rsidRPr="008C4A39" w14:paraId="69D5C06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7462A68"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F8FE22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84238F5"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F606A9" w:rsidRPr="008C4A39" w14:paraId="11769A50" w14:textId="7EF598D3" w:rsidTr="005E0FA9">
        <w:tc>
          <w:tcPr>
            <w:tcW w:w="2897" w:type="dxa"/>
            <w:gridSpan w:val="3"/>
            <w:tcBorders>
              <w:top w:val="single" w:sz="4" w:space="0" w:color="auto"/>
              <w:left w:val="single" w:sz="4" w:space="0" w:color="auto"/>
              <w:bottom w:val="single" w:sz="4" w:space="0" w:color="auto"/>
              <w:right w:val="single" w:sz="4" w:space="0" w:color="auto"/>
            </w:tcBorders>
          </w:tcPr>
          <w:p w14:paraId="67B1221D" w14:textId="6F188DFE" w:rsidR="00F606A9" w:rsidRPr="008C4A39" w:rsidRDefault="00F606A9" w:rsidP="00F606A9">
            <w:pPr>
              <w:ind w:right="-360"/>
              <w:jc w:val="left"/>
              <w:rPr>
                <w:szCs w:val="24"/>
              </w:rPr>
            </w:pPr>
            <w:r>
              <w:rPr>
                <w:szCs w:val="24"/>
              </w:rPr>
              <w:t>FR135</w:t>
            </w:r>
          </w:p>
        </w:tc>
        <w:tc>
          <w:tcPr>
            <w:tcW w:w="6458" w:type="dxa"/>
            <w:tcBorders>
              <w:top w:val="single" w:sz="4" w:space="0" w:color="auto"/>
              <w:left w:val="single" w:sz="4" w:space="0" w:color="auto"/>
              <w:bottom w:val="single" w:sz="4" w:space="0" w:color="auto"/>
              <w:right w:val="single" w:sz="4" w:space="0" w:color="auto"/>
            </w:tcBorders>
          </w:tcPr>
          <w:p w14:paraId="2EF4C46C" w14:textId="49842F54" w:rsidR="00F606A9" w:rsidRPr="008C4A39" w:rsidRDefault="00F606A9" w:rsidP="005E0FA9">
            <w:pPr>
              <w:ind w:right="-360"/>
              <w:rPr>
                <w:szCs w:val="24"/>
              </w:rPr>
            </w:pPr>
            <w:r>
              <w:rPr>
                <w:szCs w:val="24"/>
              </w:rPr>
              <w:t xml:space="preserve">The CBRA staff can check the trader information by viewing the profile of a registered user via the Registration functionality. </w:t>
            </w:r>
            <w:r w:rsidRPr="00D76C30">
              <w:rPr>
                <w:szCs w:val="24"/>
              </w:rPr>
              <w:t>CBRA staff can also view the related cargo information for selected application or the issued LPCO</w:t>
            </w:r>
            <w:r w:rsidRPr="00D76C30">
              <w:rPr>
                <w:color w:val="FF0000"/>
                <w:szCs w:val="24"/>
              </w:rPr>
              <w:t>.</w:t>
            </w:r>
          </w:p>
        </w:tc>
      </w:tr>
      <w:tr w:rsidR="00F606A9" w:rsidRPr="008C4A39" w14:paraId="725A9DD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63FA2F0" w14:textId="4C574AEB"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6F7E8FA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E773D7B" w14:textId="6AFF9930"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54956F33"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3DE4A3A7" w14:textId="77777777" w:rsidR="00F606A9" w:rsidRPr="008C4A39" w:rsidRDefault="00F606A9" w:rsidP="00F606A9">
            <w:pPr>
              <w:spacing w:after="0"/>
              <w:rPr>
                <w:szCs w:val="24"/>
              </w:rPr>
            </w:pPr>
            <w:r w:rsidRPr="008C4A39">
              <w:rPr>
                <w:szCs w:val="24"/>
              </w:rPr>
              <w:t>FR156</w:t>
            </w:r>
          </w:p>
          <w:p w14:paraId="07670634" w14:textId="77777777" w:rsidR="00F606A9" w:rsidRPr="008C4A39" w:rsidRDefault="00F606A9" w:rsidP="00F606A9">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1665A5C7" w14:textId="01EE5A0B" w:rsidR="00F606A9" w:rsidRPr="008C4A39" w:rsidRDefault="00F606A9" w:rsidP="00F606A9">
            <w:pPr>
              <w:spacing w:after="0"/>
              <w:rPr>
                <w:szCs w:val="24"/>
              </w:rPr>
            </w:pPr>
            <w:r>
              <w:rPr>
                <w:szCs w:val="24"/>
              </w:rPr>
              <w:t>NSW</w:t>
            </w:r>
            <w:r w:rsidRPr="008C4A39">
              <w:rPr>
                <w:szCs w:val="24"/>
              </w:rPr>
              <w:t xml:space="preserve"> Portal must provide for the NSW Operator to assign a CBRA administrator as per request from the CBRA.</w:t>
            </w:r>
          </w:p>
        </w:tc>
      </w:tr>
      <w:tr w:rsidR="00F606A9" w:rsidRPr="008C4A39" w14:paraId="0C117799"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3D7E24E"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66CE904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525D0F9"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451704BD"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1D812FD6" w14:textId="77777777" w:rsidR="00F606A9" w:rsidRPr="008C4A39" w:rsidRDefault="00F606A9" w:rsidP="00F606A9">
            <w:pPr>
              <w:spacing w:after="0"/>
              <w:rPr>
                <w:szCs w:val="24"/>
              </w:rPr>
            </w:pPr>
            <w:r w:rsidRPr="008C4A39">
              <w:rPr>
                <w:szCs w:val="24"/>
              </w:rPr>
              <w:t>FR157</w:t>
            </w:r>
          </w:p>
          <w:p w14:paraId="0014E1E3" w14:textId="77777777" w:rsidR="00F606A9" w:rsidRPr="008C4A39" w:rsidRDefault="00F606A9" w:rsidP="00F606A9">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3C2A7D55" w14:textId="77777777" w:rsidR="00F606A9" w:rsidRPr="008C4A39" w:rsidRDefault="00F606A9" w:rsidP="00F606A9">
            <w:pPr>
              <w:spacing w:after="0"/>
              <w:rPr>
                <w:szCs w:val="24"/>
              </w:rPr>
            </w:pPr>
            <w:r w:rsidRPr="008C4A39">
              <w:rPr>
                <w:szCs w:val="24"/>
              </w:rPr>
              <w:t>The CBRA administrator must be able to create CBRA user access with specific roles of verifiers, supervisors, inspectors, approvers as required by the CBRA. The CBRA administrator can assign multiple roles to a user.</w:t>
            </w:r>
          </w:p>
        </w:tc>
      </w:tr>
      <w:tr w:rsidR="00F606A9" w:rsidRPr="008C4A39" w14:paraId="506F0B7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F1DAC7D"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70577E8A"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F183FE1"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23F8557F"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679E723C" w14:textId="77777777" w:rsidR="00F606A9" w:rsidRPr="008C4A39" w:rsidRDefault="00F606A9" w:rsidP="00F606A9">
            <w:pPr>
              <w:spacing w:after="0"/>
              <w:rPr>
                <w:szCs w:val="24"/>
              </w:rPr>
            </w:pPr>
            <w:r w:rsidRPr="008C4A39">
              <w:rPr>
                <w:szCs w:val="24"/>
              </w:rPr>
              <w:t>FR175</w:t>
            </w:r>
          </w:p>
          <w:p w14:paraId="44915C9C" w14:textId="77777777" w:rsidR="00F606A9" w:rsidRPr="008C4A39" w:rsidRDefault="00F606A9" w:rsidP="00F606A9">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179AAD55" w14:textId="5B2AA83D" w:rsidR="00F606A9" w:rsidRPr="008C4A39" w:rsidRDefault="00F606A9" w:rsidP="00F606A9">
            <w:pPr>
              <w:spacing w:after="0"/>
              <w:rPr>
                <w:szCs w:val="24"/>
              </w:rPr>
            </w:pPr>
            <w:r w:rsidRPr="008C4A39">
              <w:rPr>
                <w:szCs w:val="24"/>
              </w:rPr>
              <w:t>The online registration is web based and will include validations of references such as LPCO document number/code, for example country codes, currency etc.</w:t>
            </w:r>
          </w:p>
        </w:tc>
      </w:tr>
      <w:tr w:rsidR="00F606A9" w:rsidRPr="008C4A39" w14:paraId="2C62569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08F4A4C9"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763418C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3A1833A" w14:textId="77777777" w:rsidR="00F606A9" w:rsidRPr="008C4A39" w:rsidRDefault="00F606A9" w:rsidP="00F606A9">
            <w:pPr>
              <w:ind w:right="-360"/>
              <w:jc w:val="left"/>
              <w:rPr>
                <w:szCs w:val="24"/>
              </w:rPr>
            </w:pPr>
            <w:r w:rsidRPr="008C4A39">
              <w:rPr>
                <w:szCs w:val="24"/>
              </w:rPr>
              <w:lastRenderedPageBreak/>
              <w:t>Bidder’s cross references to supporting information in Technical Bid:</w:t>
            </w:r>
          </w:p>
        </w:tc>
      </w:tr>
      <w:tr w:rsidR="00F606A9" w:rsidRPr="008C4A39" w14:paraId="7B821A0D"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47A70918" w14:textId="77777777" w:rsidR="00F606A9" w:rsidRPr="008C4A39" w:rsidRDefault="00F606A9" w:rsidP="00F606A9">
            <w:pPr>
              <w:spacing w:after="0"/>
              <w:rPr>
                <w:szCs w:val="24"/>
              </w:rPr>
            </w:pPr>
            <w:r w:rsidRPr="008130B6">
              <w:rPr>
                <w:szCs w:val="24"/>
              </w:rPr>
              <w:t>FR491</w:t>
            </w:r>
          </w:p>
          <w:p w14:paraId="6E14BB27" w14:textId="77777777" w:rsidR="00F606A9" w:rsidRPr="008C4A39" w:rsidRDefault="00F606A9" w:rsidP="00F606A9">
            <w:pPr>
              <w:spacing w:after="0"/>
              <w:rPr>
                <w:szCs w:val="24"/>
              </w:rPr>
            </w:pPr>
          </w:p>
        </w:tc>
        <w:tc>
          <w:tcPr>
            <w:tcW w:w="6458" w:type="dxa"/>
            <w:tcBorders>
              <w:top w:val="single" w:sz="4" w:space="0" w:color="auto"/>
              <w:left w:val="single" w:sz="4" w:space="0" w:color="auto"/>
              <w:bottom w:val="single" w:sz="4" w:space="0" w:color="auto"/>
              <w:right w:val="single" w:sz="4" w:space="0" w:color="auto"/>
            </w:tcBorders>
          </w:tcPr>
          <w:p w14:paraId="2C5CB46A" w14:textId="77777777" w:rsidR="00F606A9" w:rsidRPr="008C4A39" w:rsidRDefault="00F606A9" w:rsidP="00F606A9">
            <w:pPr>
              <w:spacing w:after="0"/>
              <w:rPr>
                <w:szCs w:val="24"/>
              </w:rPr>
            </w:pPr>
            <w:r w:rsidRPr="008C4A39">
              <w:rPr>
                <w:szCs w:val="24"/>
              </w:rPr>
              <w:t>The User Administrator must be able to fill in information regarding Competent Authority.</w:t>
            </w:r>
          </w:p>
        </w:tc>
      </w:tr>
      <w:tr w:rsidR="00F606A9" w:rsidRPr="008C4A39" w14:paraId="112DE917"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92E52DE"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0FFAAF26"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953D40D"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00C013FC"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1F1DEFAA" w14:textId="77777777" w:rsidR="00F606A9" w:rsidRPr="008130B6" w:rsidRDefault="00F606A9" w:rsidP="00F606A9">
            <w:pPr>
              <w:spacing w:after="0"/>
              <w:rPr>
                <w:szCs w:val="24"/>
                <w:highlight w:val="yellow"/>
              </w:rPr>
            </w:pPr>
            <w:r w:rsidRPr="008130B6">
              <w:rPr>
                <w:szCs w:val="24"/>
              </w:rPr>
              <w:t>FR492</w:t>
            </w:r>
          </w:p>
        </w:tc>
        <w:tc>
          <w:tcPr>
            <w:tcW w:w="6458" w:type="dxa"/>
            <w:tcBorders>
              <w:top w:val="single" w:sz="4" w:space="0" w:color="auto"/>
              <w:left w:val="single" w:sz="4" w:space="0" w:color="auto"/>
              <w:bottom w:val="single" w:sz="4" w:space="0" w:color="auto"/>
              <w:right w:val="single" w:sz="4" w:space="0" w:color="auto"/>
            </w:tcBorders>
          </w:tcPr>
          <w:p w14:paraId="5A8022B3" w14:textId="77777777" w:rsidR="00F606A9" w:rsidRPr="008C4A39" w:rsidRDefault="00F606A9" w:rsidP="00F606A9">
            <w:pPr>
              <w:spacing w:after="0"/>
              <w:rPr>
                <w:szCs w:val="24"/>
              </w:rPr>
            </w:pPr>
            <w:r w:rsidRPr="008C4A39">
              <w:rPr>
                <w:szCs w:val="24"/>
              </w:rPr>
              <w:t>The system must be able to Perform Technical Validation of the Request to Check EO and/or CA Registration.</w:t>
            </w:r>
          </w:p>
        </w:tc>
      </w:tr>
      <w:tr w:rsidR="00F606A9" w:rsidRPr="008C4A39" w14:paraId="09703A0D"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3CB4DB0"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244841B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16FACE3"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6EA72C9E"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030E5E6E" w14:textId="77777777" w:rsidR="00F606A9" w:rsidRPr="008130B6" w:rsidRDefault="00F606A9" w:rsidP="00F606A9">
            <w:pPr>
              <w:spacing w:after="0"/>
              <w:rPr>
                <w:szCs w:val="24"/>
              </w:rPr>
            </w:pPr>
            <w:r w:rsidRPr="008130B6">
              <w:rPr>
                <w:szCs w:val="24"/>
              </w:rPr>
              <w:t>FR496</w:t>
            </w:r>
          </w:p>
        </w:tc>
        <w:tc>
          <w:tcPr>
            <w:tcW w:w="6458" w:type="dxa"/>
            <w:tcBorders>
              <w:top w:val="single" w:sz="4" w:space="0" w:color="auto"/>
              <w:left w:val="single" w:sz="4" w:space="0" w:color="auto"/>
              <w:bottom w:val="single" w:sz="4" w:space="0" w:color="auto"/>
              <w:right w:val="single" w:sz="4" w:space="0" w:color="auto"/>
            </w:tcBorders>
          </w:tcPr>
          <w:p w14:paraId="59495DFA" w14:textId="77777777" w:rsidR="00F606A9" w:rsidRPr="008130B6" w:rsidRDefault="00F606A9" w:rsidP="00F606A9">
            <w:pPr>
              <w:spacing w:after="0"/>
              <w:rPr>
                <w:szCs w:val="24"/>
              </w:rPr>
            </w:pPr>
            <w:r w:rsidRPr="008130B6">
              <w:rPr>
                <w:szCs w:val="24"/>
              </w:rPr>
              <w:t>The system must be able to send request to UMS and EORI to validate EO and/or CA.</w:t>
            </w:r>
          </w:p>
        </w:tc>
      </w:tr>
      <w:tr w:rsidR="00F606A9" w:rsidRPr="008C4A39" w14:paraId="0619965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E67905A"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71B91B0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EA9C361"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3D3D4A0C"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654FD87A" w14:textId="77777777" w:rsidR="00F606A9" w:rsidRPr="008C4A39" w:rsidRDefault="00F606A9" w:rsidP="00F606A9">
            <w:pPr>
              <w:spacing w:after="0"/>
              <w:rPr>
                <w:szCs w:val="24"/>
              </w:rPr>
            </w:pPr>
            <w:r w:rsidRPr="008C4A39">
              <w:rPr>
                <w:szCs w:val="24"/>
              </w:rPr>
              <w:t>FR494</w:t>
            </w:r>
          </w:p>
        </w:tc>
        <w:tc>
          <w:tcPr>
            <w:tcW w:w="6458" w:type="dxa"/>
            <w:tcBorders>
              <w:top w:val="single" w:sz="4" w:space="0" w:color="auto"/>
              <w:left w:val="single" w:sz="4" w:space="0" w:color="auto"/>
              <w:bottom w:val="single" w:sz="4" w:space="0" w:color="auto"/>
              <w:right w:val="single" w:sz="4" w:space="0" w:color="auto"/>
            </w:tcBorders>
          </w:tcPr>
          <w:p w14:paraId="4330ABD8" w14:textId="77777777" w:rsidR="00F606A9" w:rsidRPr="008C4A39" w:rsidRDefault="00F606A9" w:rsidP="00F606A9">
            <w:pPr>
              <w:spacing w:after="0"/>
              <w:rPr>
                <w:szCs w:val="24"/>
              </w:rPr>
            </w:pPr>
            <w:r w:rsidRPr="008C4A39">
              <w:rPr>
                <w:szCs w:val="24"/>
              </w:rPr>
              <w:t>The NSW must be able to Validate Information on EO and/or CA.</w:t>
            </w:r>
          </w:p>
        </w:tc>
      </w:tr>
      <w:tr w:rsidR="00F606A9" w:rsidRPr="008C4A39" w14:paraId="24B5364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34E7A42"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31B476E2"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56EF3441"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3693287F"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73418AB3" w14:textId="77777777" w:rsidR="00F606A9" w:rsidRPr="008C4A39" w:rsidRDefault="00F606A9" w:rsidP="00F606A9">
            <w:pPr>
              <w:spacing w:after="0"/>
              <w:rPr>
                <w:szCs w:val="24"/>
              </w:rPr>
            </w:pPr>
            <w:r w:rsidRPr="008C4A39">
              <w:rPr>
                <w:szCs w:val="24"/>
              </w:rPr>
              <w:t>FR495</w:t>
            </w:r>
          </w:p>
        </w:tc>
        <w:tc>
          <w:tcPr>
            <w:tcW w:w="6458" w:type="dxa"/>
            <w:tcBorders>
              <w:top w:val="single" w:sz="4" w:space="0" w:color="auto"/>
              <w:left w:val="single" w:sz="4" w:space="0" w:color="auto"/>
              <w:bottom w:val="single" w:sz="4" w:space="0" w:color="auto"/>
              <w:right w:val="single" w:sz="4" w:space="0" w:color="auto"/>
            </w:tcBorders>
          </w:tcPr>
          <w:p w14:paraId="3472E39F" w14:textId="77777777" w:rsidR="00F606A9" w:rsidRPr="008C4A39" w:rsidRDefault="00F606A9" w:rsidP="00F606A9">
            <w:pPr>
              <w:spacing w:after="0"/>
              <w:rPr>
                <w:szCs w:val="24"/>
              </w:rPr>
            </w:pPr>
            <w:r w:rsidRPr="008C4A39">
              <w:rPr>
                <w:szCs w:val="24"/>
              </w:rPr>
              <w:t>The NSW system must be able to take decision to grant user permission.</w:t>
            </w:r>
          </w:p>
        </w:tc>
      </w:tr>
      <w:tr w:rsidR="00F606A9" w:rsidRPr="008C4A39" w14:paraId="08957E1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468572E4"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0B1AE59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6A138D26"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727CD40A"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21E786B6" w14:textId="77777777" w:rsidR="00F606A9" w:rsidRPr="008130B6" w:rsidRDefault="00F606A9" w:rsidP="00F606A9">
            <w:pPr>
              <w:spacing w:after="0"/>
              <w:rPr>
                <w:szCs w:val="24"/>
              </w:rPr>
            </w:pPr>
            <w:r w:rsidRPr="008130B6">
              <w:rPr>
                <w:szCs w:val="24"/>
              </w:rPr>
              <w:t>FR496</w:t>
            </w:r>
          </w:p>
        </w:tc>
        <w:tc>
          <w:tcPr>
            <w:tcW w:w="6458" w:type="dxa"/>
            <w:tcBorders>
              <w:top w:val="single" w:sz="4" w:space="0" w:color="auto"/>
              <w:left w:val="single" w:sz="4" w:space="0" w:color="auto"/>
              <w:bottom w:val="single" w:sz="4" w:space="0" w:color="auto"/>
              <w:right w:val="single" w:sz="4" w:space="0" w:color="auto"/>
            </w:tcBorders>
          </w:tcPr>
          <w:p w14:paraId="4A27C351" w14:textId="77777777" w:rsidR="00F606A9" w:rsidRPr="008130B6" w:rsidRDefault="00F606A9" w:rsidP="00F606A9">
            <w:pPr>
              <w:spacing w:after="0"/>
              <w:rPr>
                <w:szCs w:val="24"/>
              </w:rPr>
            </w:pPr>
            <w:r w:rsidRPr="008130B6">
              <w:rPr>
                <w:szCs w:val="24"/>
              </w:rPr>
              <w:t>The system must be able to Notify EO of Check Registration Error.</w:t>
            </w:r>
          </w:p>
        </w:tc>
      </w:tr>
      <w:tr w:rsidR="00F606A9" w:rsidRPr="008C4A39" w14:paraId="4A762CAB"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9DF66C3"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3688D9FF"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29C7031"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30E5CF1F"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3B1FEF71" w14:textId="77777777" w:rsidR="00F606A9" w:rsidRPr="008C4A39" w:rsidRDefault="00F606A9" w:rsidP="00F606A9">
            <w:pPr>
              <w:spacing w:after="0"/>
              <w:rPr>
                <w:szCs w:val="24"/>
              </w:rPr>
            </w:pPr>
            <w:r w:rsidRPr="008C4A39">
              <w:rPr>
                <w:szCs w:val="24"/>
              </w:rPr>
              <w:t>FR497</w:t>
            </w:r>
          </w:p>
        </w:tc>
        <w:tc>
          <w:tcPr>
            <w:tcW w:w="6458" w:type="dxa"/>
            <w:tcBorders>
              <w:top w:val="single" w:sz="4" w:space="0" w:color="auto"/>
              <w:left w:val="single" w:sz="4" w:space="0" w:color="auto"/>
              <w:bottom w:val="single" w:sz="4" w:space="0" w:color="auto"/>
              <w:right w:val="single" w:sz="4" w:space="0" w:color="auto"/>
            </w:tcBorders>
          </w:tcPr>
          <w:p w14:paraId="533199CA" w14:textId="77777777" w:rsidR="00F606A9" w:rsidRPr="008C4A39" w:rsidRDefault="00F606A9" w:rsidP="00F606A9">
            <w:pPr>
              <w:spacing w:after="0"/>
              <w:rPr>
                <w:szCs w:val="24"/>
              </w:rPr>
            </w:pPr>
            <w:r w:rsidRPr="008C4A39">
              <w:rPr>
                <w:szCs w:val="24"/>
              </w:rPr>
              <w:t>The system must be able to Grant User Permission for use of NSW.</w:t>
            </w:r>
          </w:p>
        </w:tc>
      </w:tr>
      <w:tr w:rsidR="00F606A9" w:rsidRPr="008C4A39" w14:paraId="0882A161"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7B47B1F3"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3E8D65B4"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1675C182"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r w:rsidR="00F606A9" w:rsidRPr="008C4A39" w14:paraId="3FE10C7A" w14:textId="77777777" w:rsidTr="00883B07">
        <w:tc>
          <w:tcPr>
            <w:tcW w:w="2897" w:type="dxa"/>
            <w:gridSpan w:val="3"/>
            <w:tcBorders>
              <w:top w:val="single" w:sz="4" w:space="0" w:color="auto"/>
              <w:left w:val="single" w:sz="4" w:space="0" w:color="auto"/>
              <w:bottom w:val="single" w:sz="4" w:space="0" w:color="auto"/>
              <w:right w:val="single" w:sz="4" w:space="0" w:color="auto"/>
            </w:tcBorders>
          </w:tcPr>
          <w:p w14:paraId="51837D30" w14:textId="77777777" w:rsidR="00F606A9" w:rsidRPr="008C4A39" w:rsidRDefault="00F606A9" w:rsidP="00F606A9">
            <w:pPr>
              <w:spacing w:after="0"/>
              <w:rPr>
                <w:szCs w:val="24"/>
              </w:rPr>
            </w:pPr>
            <w:r w:rsidRPr="008C4A39">
              <w:rPr>
                <w:szCs w:val="24"/>
              </w:rPr>
              <w:t>FR498</w:t>
            </w:r>
          </w:p>
        </w:tc>
        <w:tc>
          <w:tcPr>
            <w:tcW w:w="6458" w:type="dxa"/>
            <w:tcBorders>
              <w:top w:val="single" w:sz="4" w:space="0" w:color="auto"/>
              <w:left w:val="single" w:sz="4" w:space="0" w:color="auto"/>
              <w:bottom w:val="single" w:sz="4" w:space="0" w:color="auto"/>
              <w:right w:val="single" w:sz="4" w:space="0" w:color="auto"/>
            </w:tcBorders>
          </w:tcPr>
          <w:p w14:paraId="3C666943" w14:textId="77777777" w:rsidR="00F606A9" w:rsidRPr="008C4A39" w:rsidRDefault="00F606A9" w:rsidP="00F606A9">
            <w:pPr>
              <w:spacing w:after="0"/>
              <w:rPr>
                <w:szCs w:val="24"/>
              </w:rPr>
            </w:pPr>
            <w:r w:rsidRPr="008C4A39">
              <w:rPr>
                <w:szCs w:val="24"/>
              </w:rPr>
              <w:t>The system must be able to Notify EO and/or UMS for granted Permission and Credentials.</w:t>
            </w:r>
          </w:p>
        </w:tc>
      </w:tr>
      <w:tr w:rsidR="00F606A9" w:rsidRPr="008C4A39" w14:paraId="54B7EB2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37A875B1" w14:textId="77777777" w:rsidR="00F606A9" w:rsidRPr="008C4A39" w:rsidRDefault="00F606A9" w:rsidP="00F606A9">
            <w:pPr>
              <w:ind w:right="-360"/>
              <w:jc w:val="left"/>
              <w:rPr>
                <w:szCs w:val="24"/>
              </w:rPr>
            </w:pPr>
            <w:r w:rsidRPr="008C4A39">
              <w:rPr>
                <w:szCs w:val="24"/>
              </w:rPr>
              <w:t xml:space="preserve">Bidder’s technical reasons supporting compliance:  </w:t>
            </w:r>
          </w:p>
        </w:tc>
      </w:tr>
      <w:tr w:rsidR="00F606A9" w:rsidRPr="008C4A39" w14:paraId="0223537E" w14:textId="77777777" w:rsidTr="00883B07">
        <w:tc>
          <w:tcPr>
            <w:tcW w:w="9355" w:type="dxa"/>
            <w:gridSpan w:val="4"/>
            <w:tcBorders>
              <w:top w:val="single" w:sz="4" w:space="0" w:color="auto"/>
              <w:left w:val="single" w:sz="4" w:space="0" w:color="auto"/>
              <w:bottom w:val="single" w:sz="4" w:space="0" w:color="auto"/>
              <w:right w:val="single" w:sz="4" w:space="0" w:color="auto"/>
            </w:tcBorders>
          </w:tcPr>
          <w:p w14:paraId="2EC6226C" w14:textId="77777777" w:rsidR="00F606A9" w:rsidRPr="008C4A39" w:rsidRDefault="00F606A9" w:rsidP="00F606A9">
            <w:pPr>
              <w:ind w:right="-360"/>
              <w:jc w:val="left"/>
              <w:rPr>
                <w:szCs w:val="24"/>
              </w:rPr>
            </w:pPr>
            <w:r w:rsidRPr="008C4A39">
              <w:rPr>
                <w:szCs w:val="24"/>
              </w:rPr>
              <w:t>Bidder’s cross references to supporting information in Technical Bid:</w:t>
            </w:r>
          </w:p>
        </w:tc>
      </w:tr>
    </w:tbl>
    <w:tbl>
      <w:tblPr>
        <w:tblStyle w:val="TableGrid1"/>
        <w:tblW w:w="9355" w:type="dxa"/>
        <w:tblLook w:val="04A0" w:firstRow="1" w:lastRow="0" w:firstColumn="1" w:lastColumn="0" w:noHBand="0" w:noVBand="1"/>
      </w:tblPr>
      <w:tblGrid>
        <w:gridCol w:w="2425"/>
        <w:gridCol w:w="6930"/>
      </w:tblGrid>
      <w:tr w:rsidR="00366663" w:rsidRPr="008C4A39" w14:paraId="7B7E3815" w14:textId="77777777" w:rsidTr="00883B07">
        <w:trPr>
          <w:tblHeader/>
        </w:trPr>
        <w:tc>
          <w:tcPr>
            <w:tcW w:w="2425" w:type="dxa"/>
            <w:tcBorders>
              <w:right w:val="single" w:sz="4" w:space="0" w:color="auto"/>
            </w:tcBorders>
            <w:shd w:val="clear" w:color="auto" w:fill="D9D9D9"/>
          </w:tcPr>
          <w:p w14:paraId="72853ECC" w14:textId="77777777" w:rsidR="00366663" w:rsidRPr="008C4A39" w:rsidRDefault="00366663" w:rsidP="00883B07">
            <w:pPr>
              <w:ind w:left="738" w:right="-14" w:hanging="738"/>
              <w:jc w:val="left"/>
              <w:rPr>
                <w:szCs w:val="24"/>
              </w:rPr>
            </w:pPr>
            <w:r w:rsidRPr="008C4A39">
              <w:rPr>
                <w:b/>
                <w:szCs w:val="24"/>
              </w:rPr>
              <w:t>Tech. Req. Number</w:t>
            </w:r>
          </w:p>
        </w:tc>
        <w:tc>
          <w:tcPr>
            <w:tcW w:w="6930" w:type="dxa"/>
            <w:tcBorders>
              <w:top w:val="single" w:sz="4" w:space="0" w:color="auto"/>
              <w:left w:val="single" w:sz="4" w:space="0" w:color="auto"/>
              <w:bottom w:val="single" w:sz="4" w:space="0" w:color="auto"/>
              <w:right w:val="single" w:sz="4" w:space="0" w:color="auto"/>
            </w:tcBorders>
            <w:shd w:val="clear" w:color="auto" w:fill="D9D9D9"/>
          </w:tcPr>
          <w:p w14:paraId="7CC70E58" w14:textId="77777777" w:rsidR="00366663" w:rsidRPr="008C4A39" w:rsidRDefault="00366663" w:rsidP="00883B07">
            <w:pPr>
              <w:jc w:val="left"/>
              <w:rPr>
                <w:szCs w:val="24"/>
              </w:rPr>
            </w:pPr>
            <w:r w:rsidRPr="008C4A39">
              <w:rPr>
                <w:b/>
                <w:szCs w:val="24"/>
              </w:rPr>
              <w:t>Technical Requirement</w:t>
            </w:r>
          </w:p>
        </w:tc>
      </w:tr>
      <w:tr w:rsidR="00366663" w:rsidRPr="008C4A39" w14:paraId="40E93DEC" w14:textId="77777777" w:rsidTr="00883B07">
        <w:tc>
          <w:tcPr>
            <w:tcW w:w="9355" w:type="dxa"/>
            <w:gridSpan w:val="2"/>
            <w:tcBorders>
              <w:right w:val="single" w:sz="4" w:space="0" w:color="auto"/>
            </w:tcBorders>
          </w:tcPr>
          <w:p w14:paraId="343A700C" w14:textId="77777777" w:rsidR="00366663" w:rsidRPr="008C4A39" w:rsidRDefault="00366663" w:rsidP="00883B07">
            <w:pPr>
              <w:jc w:val="left"/>
              <w:rPr>
                <w:b/>
                <w:szCs w:val="24"/>
              </w:rPr>
            </w:pPr>
            <w:r w:rsidRPr="008C4A39">
              <w:rPr>
                <w:b/>
                <w:szCs w:val="24"/>
              </w:rPr>
              <w:t>1.2.5.1. Submit Application for Issuing a Certificate</w:t>
            </w:r>
          </w:p>
        </w:tc>
      </w:tr>
      <w:tr w:rsidR="00366663" w:rsidRPr="008C4A39" w14:paraId="298740E7" w14:textId="77777777" w:rsidTr="00883B07">
        <w:tc>
          <w:tcPr>
            <w:tcW w:w="2425" w:type="dxa"/>
            <w:tcBorders>
              <w:right w:val="single" w:sz="4" w:space="0" w:color="auto"/>
            </w:tcBorders>
          </w:tcPr>
          <w:p w14:paraId="4EF95E1A" w14:textId="77777777" w:rsidR="00366663" w:rsidRPr="008C4A39" w:rsidRDefault="00366663" w:rsidP="00883B07">
            <w:pPr>
              <w:ind w:left="738" w:right="-14" w:hanging="738"/>
              <w:jc w:val="left"/>
              <w:rPr>
                <w:szCs w:val="24"/>
              </w:rPr>
            </w:pPr>
            <w:r w:rsidRPr="008C4A39">
              <w:rPr>
                <w:szCs w:val="24"/>
              </w:rPr>
              <w:t>FR15</w:t>
            </w:r>
          </w:p>
        </w:tc>
        <w:tc>
          <w:tcPr>
            <w:tcW w:w="6930" w:type="dxa"/>
            <w:tcBorders>
              <w:top w:val="single" w:sz="4" w:space="0" w:color="auto"/>
              <w:left w:val="single" w:sz="4" w:space="0" w:color="auto"/>
              <w:bottom w:val="single" w:sz="4" w:space="0" w:color="auto"/>
              <w:right w:val="single" w:sz="4" w:space="0" w:color="auto"/>
            </w:tcBorders>
          </w:tcPr>
          <w:p w14:paraId="4F9BDD57" w14:textId="77777777" w:rsidR="00366663" w:rsidRPr="008C4A39" w:rsidRDefault="00366663" w:rsidP="00883B07">
            <w:pPr>
              <w:rPr>
                <w:szCs w:val="24"/>
              </w:rPr>
            </w:pPr>
            <w:r w:rsidRPr="008C4A39">
              <w:rPr>
                <w:szCs w:val="24"/>
              </w:rPr>
              <w:t xml:space="preserve">The NSW shall provide for the NSW Operator, the configurable means to enforce control over which users can list/browse/view/edit/resubmit </w:t>
            </w:r>
            <w:r w:rsidRPr="008C4A39">
              <w:rPr>
                <w:szCs w:val="24"/>
              </w:rPr>
              <w:lastRenderedPageBreak/>
              <w:t>application and submission or lodgments - where a user could be a system or a person.</w:t>
            </w:r>
          </w:p>
        </w:tc>
      </w:tr>
      <w:tr w:rsidR="00366663" w:rsidRPr="008C4A39" w14:paraId="38EB8889" w14:textId="77777777" w:rsidTr="00883B07">
        <w:tc>
          <w:tcPr>
            <w:tcW w:w="9355" w:type="dxa"/>
            <w:gridSpan w:val="2"/>
            <w:tcBorders>
              <w:right w:val="single" w:sz="4" w:space="0" w:color="auto"/>
            </w:tcBorders>
          </w:tcPr>
          <w:p w14:paraId="44D19FC8" w14:textId="77777777" w:rsidR="00366663" w:rsidRPr="008C4A39" w:rsidRDefault="00366663" w:rsidP="00883B07">
            <w:pPr>
              <w:ind w:right="-360"/>
              <w:jc w:val="left"/>
              <w:rPr>
                <w:szCs w:val="24"/>
              </w:rPr>
            </w:pPr>
            <w:r w:rsidRPr="008C4A39">
              <w:rPr>
                <w:szCs w:val="24"/>
              </w:rPr>
              <w:lastRenderedPageBreak/>
              <w:t xml:space="preserve">Bidder’s technical reasons supporting compliance:  </w:t>
            </w:r>
          </w:p>
        </w:tc>
      </w:tr>
      <w:tr w:rsidR="00366663" w:rsidRPr="008C4A39" w14:paraId="73572180" w14:textId="77777777" w:rsidTr="00883B07">
        <w:tc>
          <w:tcPr>
            <w:tcW w:w="9355" w:type="dxa"/>
            <w:gridSpan w:val="2"/>
            <w:tcBorders>
              <w:right w:val="single" w:sz="4" w:space="0" w:color="auto"/>
            </w:tcBorders>
          </w:tcPr>
          <w:p w14:paraId="3EE1B12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48A40B0" w14:textId="77777777" w:rsidTr="00883B07">
        <w:tc>
          <w:tcPr>
            <w:tcW w:w="2425" w:type="dxa"/>
          </w:tcPr>
          <w:p w14:paraId="70AD2C00" w14:textId="77777777" w:rsidR="00366663" w:rsidRPr="008C4A39" w:rsidRDefault="00366663" w:rsidP="00883B07">
            <w:pPr>
              <w:ind w:left="738" w:right="-14" w:hanging="738"/>
              <w:jc w:val="left"/>
              <w:rPr>
                <w:szCs w:val="24"/>
              </w:rPr>
            </w:pPr>
            <w:r w:rsidRPr="008C4A39">
              <w:rPr>
                <w:szCs w:val="24"/>
              </w:rPr>
              <w:t>FR108</w:t>
            </w:r>
          </w:p>
          <w:p w14:paraId="3E7DE99F" w14:textId="77777777" w:rsidR="00366663" w:rsidRPr="008C4A39" w:rsidRDefault="00366663" w:rsidP="00883B07">
            <w:pPr>
              <w:ind w:left="738" w:right="-14" w:hanging="738"/>
              <w:jc w:val="left"/>
              <w:rPr>
                <w:szCs w:val="24"/>
              </w:rPr>
            </w:pPr>
          </w:p>
        </w:tc>
        <w:tc>
          <w:tcPr>
            <w:tcW w:w="6930" w:type="dxa"/>
          </w:tcPr>
          <w:p w14:paraId="7F7848B5" w14:textId="77777777" w:rsidR="00366663" w:rsidRPr="008C4A39" w:rsidRDefault="00366663" w:rsidP="00883B07">
            <w:pPr>
              <w:rPr>
                <w:szCs w:val="24"/>
              </w:rPr>
            </w:pPr>
            <w:r w:rsidRPr="008C4A39">
              <w:rPr>
                <w:szCs w:val="24"/>
              </w:rPr>
              <w:t>The system must support the capture and configuration of supporting documentation (scanning, crop, resize, etc.) at the time of application creation.</w:t>
            </w:r>
          </w:p>
        </w:tc>
      </w:tr>
      <w:tr w:rsidR="00366663" w:rsidRPr="008C4A39" w14:paraId="6DA98D95" w14:textId="77777777" w:rsidTr="00883B07">
        <w:tc>
          <w:tcPr>
            <w:tcW w:w="9355" w:type="dxa"/>
            <w:gridSpan w:val="2"/>
          </w:tcPr>
          <w:p w14:paraId="06E0806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CF3A668" w14:textId="77777777" w:rsidTr="00883B07">
        <w:tc>
          <w:tcPr>
            <w:tcW w:w="9355" w:type="dxa"/>
            <w:gridSpan w:val="2"/>
          </w:tcPr>
          <w:p w14:paraId="1CA97B8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4672DC55" w14:textId="77777777" w:rsidTr="00883B07">
        <w:tc>
          <w:tcPr>
            <w:tcW w:w="2425" w:type="dxa"/>
          </w:tcPr>
          <w:p w14:paraId="1A43B382" w14:textId="77777777" w:rsidR="00366663" w:rsidRPr="008C4A39" w:rsidRDefault="00366663" w:rsidP="00883B07">
            <w:pPr>
              <w:ind w:left="738" w:right="-14" w:hanging="738"/>
              <w:jc w:val="left"/>
              <w:rPr>
                <w:szCs w:val="24"/>
              </w:rPr>
            </w:pPr>
            <w:r w:rsidRPr="008C4A39">
              <w:rPr>
                <w:szCs w:val="24"/>
              </w:rPr>
              <w:t>FR110</w:t>
            </w:r>
          </w:p>
          <w:p w14:paraId="324A3FE5" w14:textId="77777777" w:rsidR="00366663" w:rsidRPr="008C4A39" w:rsidRDefault="00366663" w:rsidP="00883B07">
            <w:pPr>
              <w:ind w:left="738" w:right="-14" w:hanging="738"/>
              <w:jc w:val="left"/>
              <w:rPr>
                <w:szCs w:val="24"/>
              </w:rPr>
            </w:pPr>
          </w:p>
        </w:tc>
        <w:tc>
          <w:tcPr>
            <w:tcW w:w="6930" w:type="dxa"/>
          </w:tcPr>
          <w:p w14:paraId="6581FA79" w14:textId="77777777" w:rsidR="00366663" w:rsidRPr="008C4A39" w:rsidRDefault="00366663" w:rsidP="00883B07">
            <w:pPr>
              <w:rPr>
                <w:szCs w:val="24"/>
              </w:rPr>
            </w:pPr>
            <w:r w:rsidRPr="008C4A39">
              <w:rPr>
                <w:szCs w:val="24"/>
              </w:rPr>
              <w:t>The System must support varied application forms and data sets for different CBRAs.</w:t>
            </w:r>
          </w:p>
        </w:tc>
      </w:tr>
      <w:tr w:rsidR="00366663" w:rsidRPr="008C4A39" w14:paraId="0077FCD7" w14:textId="77777777" w:rsidTr="00883B07">
        <w:tc>
          <w:tcPr>
            <w:tcW w:w="9355" w:type="dxa"/>
            <w:gridSpan w:val="2"/>
          </w:tcPr>
          <w:p w14:paraId="3F7B83B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A3E9BD5" w14:textId="77777777" w:rsidTr="00883B07">
        <w:tc>
          <w:tcPr>
            <w:tcW w:w="9355" w:type="dxa"/>
            <w:gridSpan w:val="2"/>
          </w:tcPr>
          <w:p w14:paraId="162B67ED"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D1E9026" w14:textId="77777777" w:rsidTr="00883B07">
        <w:tc>
          <w:tcPr>
            <w:tcW w:w="2425" w:type="dxa"/>
          </w:tcPr>
          <w:p w14:paraId="6EED0A36" w14:textId="77777777" w:rsidR="00366663" w:rsidRPr="008C4A39" w:rsidRDefault="00366663" w:rsidP="00883B07">
            <w:pPr>
              <w:ind w:left="738" w:right="-14" w:hanging="738"/>
              <w:jc w:val="left"/>
              <w:rPr>
                <w:szCs w:val="24"/>
              </w:rPr>
            </w:pPr>
            <w:r w:rsidRPr="008C4A39">
              <w:rPr>
                <w:szCs w:val="24"/>
              </w:rPr>
              <w:t>FR111</w:t>
            </w:r>
          </w:p>
          <w:p w14:paraId="16ADBB49" w14:textId="77777777" w:rsidR="00366663" w:rsidRPr="008C4A39" w:rsidRDefault="00366663" w:rsidP="00883B07">
            <w:pPr>
              <w:ind w:left="738" w:right="-14" w:hanging="738"/>
              <w:jc w:val="left"/>
              <w:rPr>
                <w:szCs w:val="24"/>
              </w:rPr>
            </w:pPr>
          </w:p>
        </w:tc>
        <w:tc>
          <w:tcPr>
            <w:tcW w:w="6930" w:type="dxa"/>
          </w:tcPr>
          <w:p w14:paraId="21F68C8E" w14:textId="77777777" w:rsidR="00366663" w:rsidRPr="008C4A39" w:rsidRDefault="00366663" w:rsidP="00883B07">
            <w:pPr>
              <w:ind w:right="-14"/>
              <w:rPr>
                <w:szCs w:val="24"/>
              </w:rPr>
            </w:pPr>
            <w:r w:rsidRPr="008C4A39">
              <w:rPr>
                <w:szCs w:val="24"/>
              </w:rPr>
              <w:t>The applicant must be able to:</w:t>
            </w:r>
          </w:p>
          <w:p w14:paraId="0A7ADD6F" w14:textId="77777777" w:rsidR="00366663" w:rsidRPr="008C4A39" w:rsidRDefault="00366663" w:rsidP="00D530D5">
            <w:pPr>
              <w:numPr>
                <w:ilvl w:val="0"/>
                <w:numId w:val="65"/>
              </w:numPr>
              <w:ind w:right="-14"/>
              <w:contextualSpacing/>
              <w:rPr>
                <w:szCs w:val="24"/>
              </w:rPr>
            </w:pPr>
            <w:r w:rsidRPr="008C4A39">
              <w:rPr>
                <w:szCs w:val="24"/>
              </w:rPr>
              <w:t xml:space="preserve">Create new online LPCO applications by copying from previous </w:t>
            </w:r>
            <w:proofErr w:type="gramStart"/>
            <w:r w:rsidRPr="008C4A39">
              <w:rPr>
                <w:szCs w:val="24"/>
              </w:rPr>
              <w:t>applications;</w:t>
            </w:r>
            <w:proofErr w:type="gramEnd"/>
          </w:p>
          <w:p w14:paraId="268DA77E" w14:textId="77777777" w:rsidR="00366663" w:rsidRPr="008C4A39" w:rsidRDefault="00366663" w:rsidP="00D530D5">
            <w:pPr>
              <w:numPr>
                <w:ilvl w:val="0"/>
                <w:numId w:val="65"/>
              </w:numPr>
              <w:ind w:right="-14"/>
              <w:contextualSpacing/>
              <w:rPr>
                <w:szCs w:val="24"/>
              </w:rPr>
            </w:pPr>
            <w:r w:rsidRPr="008C4A39">
              <w:rPr>
                <w:szCs w:val="24"/>
              </w:rPr>
              <w:t>Check status of LPCO applications; and</w:t>
            </w:r>
          </w:p>
          <w:p w14:paraId="235F6125" w14:textId="77777777" w:rsidR="00366663" w:rsidRPr="008C4A39" w:rsidRDefault="00366663" w:rsidP="00D530D5">
            <w:pPr>
              <w:numPr>
                <w:ilvl w:val="0"/>
                <w:numId w:val="65"/>
              </w:numPr>
              <w:ind w:right="-14"/>
              <w:contextualSpacing/>
              <w:rPr>
                <w:szCs w:val="24"/>
              </w:rPr>
            </w:pPr>
            <w:r w:rsidRPr="008C4A39">
              <w:rPr>
                <w:szCs w:val="24"/>
              </w:rPr>
              <w:t xml:space="preserve">Receive and </w:t>
            </w:r>
            <w:proofErr w:type="gramStart"/>
            <w:r w:rsidRPr="008C4A39">
              <w:rPr>
                <w:szCs w:val="24"/>
              </w:rPr>
              <w:t>reply</w:t>
            </w:r>
            <w:proofErr w:type="gramEnd"/>
            <w:r w:rsidRPr="008C4A39">
              <w:rPr>
                <w:szCs w:val="24"/>
              </w:rPr>
              <w:t xml:space="preserve"> queries from and to the relevant CBRA in relation to applications.</w:t>
            </w:r>
          </w:p>
        </w:tc>
      </w:tr>
      <w:tr w:rsidR="00366663" w:rsidRPr="008C4A39" w14:paraId="0DD905DE" w14:textId="77777777" w:rsidTr="00883B07">
        <w:tc>
          <w:tcPr>
            <w:tcW w:w="9355" w:type="dxa"/>
            <w:gridSpan w:val="2"/>
          </w:tcPr>
          <w:p w14:paraId="388CD520"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22962C2F" w14:textId="77777777" w:rsidTr="00883B07">
        <w:tc>
          <w:tcPr>
            <w:tcW w:w="9355" w:type="dxa"/>
            <w:gridSpan w:val="2"/>
          </w:tcPr>
          <w:p w14:paraId="59C2D5F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68B63DFE" w14:textId="77777777" w:rsidTr="00883B07">
        <w:tc>
          <w:tcPr>
            <w:tcW w:w="2425" w:type="dxa"/>
          </w:tcPr>
          <w:p w14:paraId="7629D24D" w14:textId="77777777" w:rsidR="00366663" w:rsidRPr="008C4A39" w:rsidRDefault="00366663" w:rsidP="00883B07">
            <w:pPr>
              <w:ind w:left="738" w:right="-14" w:hanging="738"/>
              <w:jc w:val="left"/>
              <w:rPr>
                <w:szCs w:val="24"/>
              </w:rPr>
            </w:pPr>
            <w:r w:rsidRPr="008C4A39">
              <w:rPr>
                <w:szCs w:val="24"/>
              </w:rPr>
              <w:t>FR112</w:t>
            </w:r>
          </w:p>
        </w:tc>
        <w:tc>
          <w:tcPr>
            <w:tcW w:w="6930" w:type="dxa"/>
          </w:tcPr>
          <w:p w14:paraId="3D75BBE6" w14:textId="77777777" w:rsidR="00366663" w:rsidRPr="008C4A39" w:rsidRDefault="00366663" w:rsidP="00883B07">
            <w:pPr>
              <w:rPr>
                <w:szCs w:val="24"/>
              </w:rPr>
            </w:pPr>
            <w:r w:rsidRPr="008C4A39">
              <w:rPr>
                <w:szCs w:val="24"/>
              </w:rPr>
              <w:t>The trader must be able to select type of LPCO, based on HS code, and apply using a form.</w:t>
            </w:r>
          </w:p>
        </w:tc>
      </w:tr>
      <w:tr w:rsidR="00366663" w:rsidRPr="008C4A39" w14:paraId="560570AC" w14:textId="77777777" w:rsidTr="00883B07">
        <w:tc>
          <w:tcPr>
            <w:tcW w:w="9355" w:type="dxa"/>
            <w:gridSpan w:val="2"/>
          </w:tcPr>
          <w:p w14:paraId="32753881"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40C9859" w14:textId="77777777" w:rsidTr="00883B07">
        <w:tc>
          <w:tcPr>
            <w:tcW w:w="9355" w:type="dxa"/>
            <w:gridSpan w:val="2"/>
          </w:tcPr>
          <w:p w14:paraId="29C05F16"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2C4D0328" w14:textId="77777777" w:rsidTr="00883B07">
        <w:tc>
          <w:tcPr>
            <w:tcW w:w="2425" w:type="dxa"/>
          </w:tcPr>
          <w:p w14:paraId="023D6182" w14:textId="77777777" w:rsidR="00366663" w:rsidRPr="008C4A39" w:rsidRDefault="00366663" w:rsidP="00883B07">
            <w:pPr>
              <w:ind w:left="738" w:right="-14" w:hanging="738"/>
              <w:jc w:val="left"/>
              <w:rPr>
                <w:szCs w:val="24"/>
              </w:rPr>
            </w:pPr>
            <w:r w:rsidRPr="008C4A39">
              <w:rPr>
                <w:szCs w:val="24"/>
              </w:rPr>
              <w:t>FR113</w:t>
            </w:r>
          </w:p>
        </w:tc>
        <w:tc>
          <w:tcPr>
            <w:tcW w:w="6930" w:type="dxa"/>
          </w:tcPr>
          <w:p w14:paraId="07D25D2C" w14:textId="77777777" w:rsidR="00366663" w:rsidRPr="008C4A39" w:rsidRDefault="00366663" w:rsidP="00883B07">
            <w:pPr>
              <w:rPr>
                <w:szCs w:val="24"/>
              </w:rPr>
            </w:pPr>
            <w:r w:rsidRPr="008C4A39">
              <w:rPr>
                <w:szCs w:val="24"/>
              </w:rPr>
              <w:t>The system must be capable to handle different application forms for different LPCO and for different issuing agencies.</w:t>
            </w:r>
          </w:p>
        </w:tc>
      </w:tr>
      <w:tr w:rsidR="00366663" w:rsidRPr="008C4A39" w14:paraId="1A674B1B" w14:textId="77777777" w:rsidTr="00883B07">
        <w:tc>
          <w:tcPr>
            <w:tcW w:w="9355" w:type="dxa"/>
            <w:gridSpan w:val="2"/>
          </w:tcPr>
          <w:p w14:paraId="217ED969"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5EFE9841" w14:textId="77777777" w:rsidTr="00883B07">
        <w:tc>
          <w:tcPr>
            <w:tcW w:w="9355" w:type="dxa"/>
            <w:gridSpan w:val="2"/>
          </w:tcPr>
          <w:p w14:paraId="07B8FE40"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EFC4B8C" w14:textId="77777777" w:rsidTr="00883B07">
        <w:tc>
          <w:tcPr>
            <w:tcW w:w="2425" w:type="dxa"/>
          </w:tcPr>
          <w:p w14:paraId="6823E43E" w14:textId="77777777" w:rsidR="00366663" w:rsidRPr="008C4A39" w:rsidRDefault="00366663" w:rsidP="00883B07">
            <w:pPr>
              <w:ind w:left="738" w:right="-14" w:hanging="738"/>
              <w:jc w:val="left"/>
              <w:rPr>
                <w:szCs w:val="24"/>
              </w:rPr>
            </w:pPr>
            <w:r w:rsidRPr="008C4A39">
              <w:rPr>
                <w:szCs w:val="24"/>
              </w:rPr>
              <w:t>FR114</w:t>
            </w:r>
          </w:p>
        </w:tc>
        <w:tc>
          <w:tcPr>
            <w:tcW w:w="6930" w:type="dxa"/>
          </w:tcPr>
          <w:p w14:paraId="43F812F6" w14:textId="77777777" w:rsidR="00366663" w:rsidRPr="008C4A39" w:rsidRDefault="00366663" w:rsidP="00883B07">
            <w:pPr>
              <w:rPr>
                <w:szCs w:val="24"/>
              </w:rPr>
            </w:pPr>
            <w:r w:rsidRPr="008C4A39">
              <w:rPr>
                <w:szCs w:val="24"/>
              </w:rPr>
              <w:t>The Applicant (being a registered user) may submit his application via his registered employee or an agent subject to the online submission of a letter of authorization signed by the registered user.</w:t>
            </w:r>
          </w:p>
        </w:tc>
      </w:tr>
      <w:tr w:rsidR="00366663" w:rsidRPr="008C4A39" w14:paraId="0787F567" w14:textId="77777777" w:rsidTr="00883B07">
        <w:tc>
          <w:tcPr>
            <w:tcW w:w="9355" w:type="dxa"/>
            <w:gridSpan w:val="2"/>
          </w:tcPr>
          <w:p w14:paraId="4FEB0E14"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3655F6E4" w14:textId="77777777" w:rsidTr="00883B07">
        <w:tc>
          <w:tcPr>
            <w:tcW w:w="9355" w:type="dxa"/>
            <w:gridSpan w:val="2"/>
          </w:tcPr>
          <w:p w14:paraId="05DE259F"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7A355EDA" w14:textId="77777777" w:rsidTr="00883B07">
        <w:tc>
          <w:tcPr>
            <w:tcW w:w="2425" w:type="dxa"/>
          </w:tcPr>
          <w:p w14:paraId="1AED502A" w14:textId="77777777" w:rsidR="00366663" w:rsidRPr="008C4A39" w:rsidRDefault="00366663" w:rsidP="00883B07">
            <w:pPr>
              <w:ind w:left="738" w:right="-14" w:hanging="738"/>
              <w:jc w:val="left"/>
              <w:rPr>
                <w:szCs w:val="24"/>
              </w:rPr>
            </w:pPr>
            <w:r w:rsidRPr="008C4A39">
              <w:rPr>
                <w:szCs w:val="24"/>
              </w:rPr>
              <w:lastRenderedPageBreak/>
              <w:t>FR115</w:t>
            </w:r>
          </w:p>
          <w:p w14:paraId="1D290BBD" w14:textId="77777777" w:rsidR="00366663" w:rsidRPr="008C4A39" w:rsidRDefault="00366663" w:rsidP="00883B07">
            <w:pPr>
              <w:ind w:left="738" w:right="-14" w:hanging="738"/>
              <w:jc w:val="left"/>
              <w:rPr>
                <w:szCs w:val="24"/>
              </w:rPr>
            </w:pPr>
          </w:p>
        </w:tc>
        <w:tc>
          <w:tcPr>
            <w:tcW w:w="6930" w:type="dxa"/>
          </w:tcPr>
          <w:p w14:paraId="4AB41924" w14:textId="77777777" w:rsidR="00366663" w:rsidRPr="008C4A39" w:rsidRDefault="00366663" w:rsidP="00883B07">
            <w:pPr>
              <w:rPr>
                <w:szCs w:val="24"/>
              </w:rPr>
            </w:pPr>
            <w:r w:rsidRPr="008C4A39">
              <w:rPr>
                <w:szCs w:val="24"/>
              </w:rPr>
              <w:t xml:space="preserve">The Applicant must be able to pay any requisite LPCO fee online including the first-time application </w:t>
            </w:r>
            <w:proofErr w:type="gramStart"/>
            <w:r w:rsidRPr="008C4A39">
              <w:rPr>
                <w:szCs w:val="24"/>
              </w:rPr>
              <w:t>fee</w:t>
            </w:r>
            <w:proofErr w:type="gramEnd"/>
            <w:r w:rsidRPr="008C4A39">
              <w:rPr>
                <w:szCs w:val="24"/>
              </w:rPr>
              <w:t xml:space="preserve"> or any other fee specified to be payable, via the NSW System facilitated by the Payment functionality.</w:t>
            </w:r>
          </w:p>
        </w:tc>
      </w:tr>
      <w:tr w:rsidR="00366663" w:rsidRPr="008C4A39" w14:paraId="4025536C" w14:textId="77777777" w:rsidTr="00883B07">
        <w:tc>
          <w:tcPr>
            <w:tcW w:w="9355" w:type="dxa"/>
            <w:gridSpan w:val="2"/>
          </w:tcPr>
          <w:p w14:paraId="6C84DD29"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1D3F124D" w14:textId="77777777" w:rsidTr="00883B07">
        <w:tc>
          <w:tcPr>
            <w:tcW w:w="9355" w:type="dxa"/>
            <w:gridSpan w:val="2"/>
          </w:tcPr>
          <w:p w14:paraId="72FE34DE"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366663" w:rsidRPr="008C4A39" w14:paraId="1E0FC504" w14:textId="77777777" w:rsidTr="00883B07">
        <w:tc>
          <w:tcPr>
            <w:tcW w:w="2425" w:type="dxa"/>
          </w:tcPr>
          <w:p w14:paraId="17ADCBF2" w14:textId="77777777" w:rsidR="00366663" w:rsidRPr="008C4A39" w:rsidRDefault="00366663" w:rsidP="00883B07">
            <w:pPr>
              <w:ind w:left="738" w:right="-14" w:hanging="738"/>
              <w:jc w:val="left"/>
              <w:rPr>
                <w:szCs w:val="24"/>
              </w:rPr>
            </w:pPr>
            <w:r w:rsidRPr="008C4A39">
              <w:rPr>
                <w:szCs w:val="24"/>
              </w:rPr>
              <w:t>FR116</w:t>
            </w:r>
          </w:p>
          <w:p w14:paraId="0175D0B2" w14:textId="77777777" w:rsidR="00366663" w:rsidRPr="008C4A39" w:rsidRDefault="00366663" w:rsidP="00883B07">
            <w:pPr>
              <w:ind w:right="-14"/>
              <w:jc w:val="left"/>
              <w:rPr>
                <w:szCs w:val="24"/>
              </w:rPr>
            </w:pPr>
          </w:p>
        </w:tc>
        <w:tc>
          <w:tcPr>
            <w:tcW w:w="6930" w:type="dxa"/>
          </w:tcPr>
          <w:p w14:paraId="1FD3DE9C" w14:textId="77777777" w:rsidR="00366663" w:rsidRPr="008C4A39" w:rsidRDefault="00366663" w:rsidP="00883B07">
            <w:pPr>
              <w:rPr>
                <w:szCs w:val="24"/>
              </w:rPr>
            </w:pPr>
            <w:r w:rsidRPr="008C4A39">
              <w:rPr>
                <w:szCs w:val="24"/>
              </w:rPr>
              <w:t xml:space="preserve">The Applicant must be able to submit his retrospective application of LPCO. Under normal </w:t>
            </w:r>
            <w:proofErr w:type="gramStart"/>
            <w:r w:rsidRPr="008C4A39">
              <w:rPr>
                <w:szCs w:val="24"/>
              </w:rPr>
              <w:t>condition</w:t>
            </w:r>
            <w:proofErr w:type="gramEnd"/>
            <w:r w:rsidRPr="008C4A39">
              <w:rPr>
                <w:szCs w:val="24"/>
              </w:rPr>
              <w:t>, the LPCO should be applied before the goods have arrived in the country. However, for some types of LPCO, the trader can apply for the LPCO after the goods have arrived in the country but before cargo clearance according to the practices of the concerned CBRAs.</w:t>
            </w:r>
          </w:p>
        </w:tc>
      </w:tr>
      <w:tr w:rsidR="00366663" w:rsidRPr="008C4A39" w14:paraId="2490F902" w14:textId="77777777" w:rsidTr="00883B07">
        <w:tc>
          <w:tcPr>
            <w:tcW w:w="9355" w:type="dxa"/>
            <w:gridSpan w:val="2"/>
          </w:tcPr>
          <w:p w14:paraId="5E05EE39" w14:textId="77777777" w:rsidR="00366663" w:rsidRPr="008C4A39" w:rsidRDefault="00366663" w:rsidP="00883B07">
            <w:pPr>
              <w:ind w:right="-360"/>
              <w:jc w:val="left"/>
              <w:rPr>
                <w:szCs w:val="24"/>
              </w:rPr>
            </w:pPr>
            <w:r w:rsidRPr="008C4A39">
              <w:rPr>
                <w:szCs w:val="24"/>
              </w:rPr>
              <w:t xml:space="preserve">Bidder’s technical reasons supporting compliance:  </w:t>
            </w:r>
          </w:p>
        </w:tc>
      </w:tr>
      <w:tr w:rsidR="00366663" w:rsidRPr="008C4A39" w14:paraId="622B356A" w14:textId="77777777" w:rsidTr="00883B07">
        <w:tc>
          <w:tcPr>
            <w:tcW w:w="9355" w:type="dxa"/>
            <w:gridSpan w:val="2"/>
          </w:tcPr>
          <w:p w14:paraId="68AD79EC" w14:textId="77777777" w:rsidR="00366663" w:rsidRPr="008C4A39" w:rsidRDefault="00366663" w:rsidP="00883B07">
            <w:pPr>
              <w:ind w:right="-360"/>
              <w:jc w:val="left"/>
              <w:rPr>
                <w:szCs w:val="24"/>
              </w:rPr>
            </w:pPr>
            <w:r w:rsidRPr="008C4A39">
              <w:rPr>
                <w:szCs w:val="24"/>
              </w:rPr>
              <w:t>Bidder’s cross references to supporting information in Technical Bid:</w:t>
            </w:r>
          </w:p>
        </w:tc>
      </w:tr>
      <w:tr w:rsidR="004E4A1F" w:rsidRPr="008C4A39" w14:paraId="2727BD99" w14:textId="45BA711F" w:rsidTr="005E0FA9">
        <w:tc>
          <w:tcPr>
            <w:tcW w:w="2425" w:type="dxa"/>
          </w:tcPr>
          <w:p w14:paraId="198890CD" w14:textId="7637B523" w:rsidR="004E4A1F" w:rsidRDefault="004E4A1F" w:rsidP="005E0FA9">
            <w:pPr>
              <w:tabs>
                <w:tab w:val="left" w:pos="613"/>
              </w:tabs>
              <w:ind w:right="-360"/>
              <w:jc w:val="left"/>
              <w:rPr>
                <w:szCs w:val="24"/>
              </w:rPr>
            </w:pPr>
            <w:r>
              <w:rPr>
                <w:szCs w:val="24"/>
              </w:rPr>
              <w:t>FR118</w:t>
            </w:r>
          </w:p>
        </w:tc>
        <w:tc>
          <w:tcPr>
            <w:tcW w:w="6930" w:type="dxa"/>
          </w:tcPr>
          <w:p w14:paraId="1C929C37" w14:textId="76A36A73" w:rsidR="004E4A1F" w:rsidRDefault="004E4A1F" w:rsidP="004E4A1F">
            <w:pPr>
              <w:ind w:right="-360"/>
              <w:jc w:val="left"/>
              <w:rPr>
                <w:szCs w:val="24"/>
              </w:rPr>
            </w:pPr>
            <w:r>
              <w:rPr>
                <w:szCs w:val="24"/>
              </w:rPr>
              <w:t xml:space="preserve">The NSW system shall provide functionality to submit LPCO applications with associated documentation. There should be no restriction regarding the format of the supporting documentation; it shall be possible to associate text documents, films, sound recordings, pictures, etc. </w:t>
            </w:r>
          </w:p>
        </w:tc>
      </w:tr>
      <w:tr w:rsidR="004E4A1F" w:rsidRPr="008C4A39" w14:paraId="66713080" w14:textId="77777777" w:rsidTr="00883B07">
        <w:tc>
          <w:tcPr>
            <w:tcW w:w="9355" w:type="dxa"/>
            <w:gridSpan w:val="2"/>
          </w:tcPr>
          <w:p w14:paraId="06D9A3E5" w14:textId="367B0CAE" w:rsidR="004E4A1F" w:rsidRDefault="004E4A1F" w:rsidP="004E4A1F">
            <w:pPr>
              <w:ind w:right="-360"/>
              <w:jc w:val="left"/>
              <w:rPr>
                <w:szCs w:val="24"/>
              </w:rPr>
            </w:pPr>
            <w:r w:rsidRPr="008C4A39">
              <w:rPr>
                <w:szCs w:val="24"/>
              </w:rPr>
              <w:t xml:space="preserve">Bidder’s technical reasons supporting compliance:  </w:t>
            </w:r>
          </w:p>
        </w:tc>
      </w:tr>
      <w:tr w:rsidR="004E4A1F" w:rsidRPr="008C4A39" w14:paraId="56BF23C6" w14:textId="77777777" w:rsidTr="00883B07">
        <w:tc>
          <w:tcPr>
            <w:tcW w:w="9355" w:type="dxa"/>
            <w:gridSpan w:val="2"/>
          </w:tcPr>
          <w:p w14:paraId="04C6B94B" w14:textId="7A63464E" w:rsidR="004E4A1F" w:rsidRDefault="004E4A1F" w:rsidP="004E4A1F">
            <w:pPr>
              <w:ind w:right="-360"/>
              <w:jc w:val="left"/>
              <w:rPr>
                <w:szCs w:val="24"/>
              </w:rPr>
            </w:pPr>
            <w:r w:rsidRPr="008C4A39">
              <w:rPr>
                <w:szCs w:val="24"/>
              </w:rPr>
              <w:t>Bidder’s cross references to supporting information in Technical Bid:</w:t>
            </w:r>
          </w:p>
        </w:tc>
      </w:tr>
      <w:tr w:rsidR="004E4A1F" w:rsidRPr="008C4A39" w14:paraId="6AF01484" w14:textId="0032F7D6" w:rsidTr="005E0FA9">
        <w:tc>
          <w:tcPr>
            <w:tcW w:w="2425" w:type="dxa"/>
          </w:tcPr>
          <w:p w14:paraId="593F42BC" w14:textId="3D25719D" w:rsidR="004E4A1F" w:rsidRDefault="004E4A1F" w:rsidP="004E4A1F">
            <w:pPr>
              <w:ind w:right="-360"/>
              <w:jc w:val="left"/>
              <w:rPr>
                <w:szCs w:val="24"/>
              </w:rPr>
            </w:pPr>
            <w:r>
              <w:rPr>
                <w:szCs w:val="24"/>
              </w:rPr>
              <w:t>FR119</w:t>
            </w:r>
          </w:p>
        </w:tc>
        <w:tc>
          <w:tcPr>
            <w:tcW w:w="6930" w:type="dxa"/>
          </w:tcPr>
          <w:p w14:paraId="3E5A8C6F" w14:textId="3F3DB3BF" w:rsidR="004E4A1F" w:rsidRDefault="004E4A1F" w:rsidP="004E4A1F">
            <w:pPr>
              <w:ind w:right="-360"/>
              <w:jc w:val="left"/>
              <w:rPr>
                <w:szCs w:val="24"/>
              </w:rPr>
            </w:pPr>
            <w:r>
              <w:rPr>
                <w:szCs w:val="24"/>
              </w:rPr>
              <w:t>The NSW System shall allow CBRAs to configure a list of pre-qualified prerequisite supporting document reference number (e.g., Import / Export Registration Number, etc.) to be checked by the NSW System automatically to facilitate the Applicant’s application.</w:t>
            </w:r>
          </w:p>
        </w:tc>
      </w:tr>
      <w:tr w:rsidR="004E4A1F" w:rsidRPr="008C4A39" w14:paraId="4F16735B" w14:textId="77777777" w:rsidTr="00883B07">
        <w:tc>
          <w:tcPr>
            <w:tcW w:w="9355" w:type="dxa"/>
            <w:gridSpan w:val="2"/>
          </w:tcPr>
          <w:p w14:paraId="712C6473" w14:textId="70A3FBFB" w:rsidR="004E4A1F" w:rsidRDefault="004E4A1F" w:rsidP="004E4A1F">
            <w:pPr>
              <w:ind w:right="-360"/>
              <w:jc w:val="left"/>
              <w:rPr>
                <w:szCs w:val="24"/>
              </w:rPr>
            </w:pPr>
            <w:r w:rsidRPr="008C4A39">
              <w:rPr>
                <w:szCs w:val="24"/>
              </w:rPr>
              <w:t xml:space="preserve">Bidder’s technical reasons supporting compliance:  </w:t>
            </w:r>
          </w:p>
        </w:tc>
      </w:tr>
      <w:tr w:rsidR="004E4A1F" w:rsidRPr="008C4A39" w14:paraId="4790FB15" w14:textId="77777777" w:rsidTr="00883B07">
        <w:tc>
          <w:tcPr>
            <w:tcW w:w="9355" w:type="dxa"/>
            <w:gridSpan w:val="2"/>
          </w:tcPr>
          <w:p w14:paraId="04F50A18" w14:textId="305F833D" w:rsidR="004E4A1F" w:rsidRDefault="004E4A1F" w:rsidP="004E4A1F">
            <w:pPr>
              <w:ind w:right="-360"/>
              <w:jc w:val="left"/>
              <w:rPr>
                <w:szCs w:val="24"/>
              </w:rPr>
            </w:pPr>
            <w:r w:rsidRPr="008C4A39">
              <w:rPr>
                <w:szCs w:val="24"/>
              </w:rPr>
              <w:t>Bidder’s cross references to supporting information in Technical Bid:</w:t>
            </w:r>
          </w:p>
        </w:tc>
      </w:tr>
      <w:tr w:rsidR="004E4A1F" w:rsidRPr="008C4A39" w14:paraId="222DEA66" w14:textId="77777777" w:rsidTr="00883B07">
        <w:tc>
          <w:tcPr>
            <w:tcW w:w="2425" w:type="dxa"/>
          </w:tcPr>
          <w:p w14:paraId="2EAD05D1" w14:textId="77777777" w:rsidR="004E4A1F" w:rsidRPr="008C4A39" w:rsidRDefault="004E4A1F" w:rsidP="004E4A1F">
            <w:pPr>
              <w:ind w:left="738" w:right="-14" w:hanging="738"/>
              <w:jc w:val="left"/>
              <w:rPr>
                <w:szCs w:val="24"/>
              </w:rPr>
            </w:pPr>
            <w:r w:rsidRPr="008C4A39">
              <w:rPr>
                <w:szCs w:val="24"/>
              </w:rPr>
              <w:t>FR120</w:t>
            </w:r>
          </w:p>
        </w:tc>
        <w:tc>
          <w:tcPr>
            <w:tcW w:w="6930" w:type="dxa"/>
          </w:tcPr>
          <w:p w14:paraId="3EC4E264" w14:textId="77777777" w:rsidR="004E4A1F" w:rsidRPr="008C4A39" w:rsidRDefault="004E4A1F" w:rsidP="004E4A1F">
            <w:pPr>
              <w:rPr>
                <w:szCs w:val="24"/>
              </w:rPr>
            </w:pPr>
            <w:r w:rsidRPr="008C4A39">
              <w:rPr>
                <w:szCs w:val="24"/>
              </w:rPr>
              <w:t>The System must provide functionality to view an application form with all associated documentation.</w:t>
            </w:r>
          </w:p>
        </w:tc>
      </w:tr>
      <w:tr w:rsidR="004E4A1F" w:rsidRPr="008C4A39" w14:paraId="721D040D" w14:textId="77777777" w:rsidTr="00883B07">
        <w:tc>
          <w:tcPr>
            <w:tcW w:w="9355" w:type="dxa"/>
            <w:gridSpan w:val="2"/>
          </w:tcPr>
          <w:p w14:paraId="56861D40" w14:textId="77777777" w:rsidR="004E4A1F" w:rsidRPr="008C4A39" w:rsidRDefault="004E4A1F" w:rsidP="004E4A1F">
            <w:pPr>
              <w:ind w:right="-360"/>
              <w:jc w:val="left"/>
              <w:rPr>
                <w:szCs w:val="24"/>
              </w:rPr>
            </w:pPr>
            <w:r w:rsidRPr="008C4A39">
              <w:rPr>
                <w:szCs w:val="24"/>
              </w:rPr>
              <w:t xml:space="preserve">Bidder’s technical reasons supporting compliance:  </w:t>
            </w:r>
          </w:p>
        </w:tc>
      </w:tr>
      <w:tr w:rsidR="004E4A1F" w:rsidRPr="008C4A39" w14:paraId="27F5E778" w14:textId="77777777" w:rsidTr="00883B07">
        <w:tc>
          <w:tcPr>
            <w:tcW w:w="9355" w:type="dxa"/>
            <w:gridSpan w:val="2"/>
          </w:tcPr>
          <w:p w14:paraId="5E3164D3"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4E4A1F" w:rsidRPr="008C4A39" w14:paraId="3CE7730F" w14:textId="77777777" w:rsidTr="00883B07">
        <w:tc>
          <w:tcPr>
            <w:tcW w:w="2425" w:type="dxa"/>
          </w:tcPr>
          <w:p w14:paraId="1FBDA0E4" w14:textId="77777777" w:rsidR="004E4A1F" w:rsidRPr="008C4A39" w:rsidRDefault="004E4A1F" w:rsidP="004E4A1F">
            <w:pPr>
              <w:ind w:left="738" w:right="-14" w:hanging="738"/>
              <w:jc w:val="left"/>
              <w:rPr>
                <w:szCs w:val="24"/>
              </w:rPr>
            </w:pPr>
            <w:r w:rsidRPr="008C4A39">
              <w:rPr>
                <w:szCs w:val="24"/>
              </w:rPr>
              <w:t>FR122</w:t>
            </w:r>
          </w:p>
        </w:tc>
        <w:tc>
          <w:tcPr>
            <w:tcW w:w="6930" w:type="dxa"/>
          </w:tcPr>
          <w:p w14:paraId="48D20A71" w14:textId="77777777" w:rsidR="004E4A1F" w:rsidRPr="008C4A39" w:rsidRDefault="004E4A1F" w:rsidP="004E4A1F">
            <w:pPr>
              <w:rPr>
                <w:szCs w:val="24"/>
              </w:rPr>
            </w:pPr>
            <w:r w:rsidRPr="008C4A39">
              <w:rPr>
                <w:szCs w:val="24"/>
              </w:rPr>
              <w:t>The Applicant may submit the same set of application details for application of multiple number of the same type of LPCO.</w:t>
            </w:r>
          </w:p>
        </w:tc>
      </w:tr>
      <w:tr w:rsidR="004E4A1F" w:rsidRPr="008C4A39" w14:paraId="2988E3F9" w14:textId="77777777" w:rsidTr="00883B07">
        <w:tc>
          <w:tcPr>
            <w:tcW w:w="9355" w:type="dxa"/>
            <w:gridSpan w:val="2"/>
          </w:tcPr>
          <w:p w14:paraId="1635D068" w14:textId="77777777" w:rsidR="004E4A1F" w:rsidRPr="008C4A39" w:rsidRDefault="004E4A1F" w:rsidP="004E4A1F">
            <w:pPr>
              <w:ind w:right="-360"/>
              <w:jc w:val="left"/>
              <w:rPr>
                <w:szCs w:val="24"/>
              </w:rPr>
            </w:pPr>
            <w:r w:rsidRPr="008C4A39">
              <w:rPr>
                <w:szCs w:val="24"/>
              </w:rPr>
              <w:t xml:space="preserve">Bidder’s technical reasons supporting compliance:  </w:t>
            </w:r>
          </w:p>
        </w:tc>
      </w:tr>
      <w:tr w:rsidR="004E4A1F" w:rsidRPr="008C4A39" w14:paraId="7640020E" w14:textId="77777777" w:rsidTr="00883B07">
        <w:tc>
          <w:tcPr>
            <w:tcW w:w="9355" w:type="dxa"/>
            <w:gridSpan w:val="2"/>
          </w:tcPr>
          <w:p w14:paraId="039E9829"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4E4A1F" w:rsidRPr="008C4A39" w14:paraId="2E97CE99" w14:textId="77777777" w:rsidTr="00883B07">
        <w:tc>
          <w:tcPr>
            <w:tcW w:w="2425" w:type="dxa"/>
          </w:tcPr>
          <w:p w14:paraId="109BD6E3" w14:textId="77777777" w:rsidR="004E4A1F" w:rsidRPr="008C4A39" w:rsidRDefault="004E4A1F" w:rsidP="004E4A1F">
            <w:pPr>
              <w:ind w:left="738" w:right="-14" w:hanging="738"/>
              <w:jc w:val="left"/>
              <w:rPr>
                <w:szCs w:val="24"/>
              </w:rPr>
            </w:pPr>
            <w:r w:rsidRPr="008C4A39">
              <w:rPr>
                <w:szCs w:val="24"/>
              </w:rPr>
              <w:t>FR123</w:t>
            </w:r>
          </w:p>
        </w:tc>
        <w:tc>
          <w:tcPr>
            <w:tcW w:w="6930" w:type="dxa"/>
          </w:tcPr>
          <w:p w14:paraId="458F896C" w14:textId="77777777" w:rsidR="004E4A1F" w:rsidRPr="008C4A39" w:rsidRDefault="004E4A1F" w:rsidP="004E4A1F">
            <w:pPr>
              <w:rPr>
                <w:szCs w:val="24"/>
              </w:rPr>
            </w:pPr>
            <w:r w:rsidRPr="008C4A39">
              <w:rPr>
                <w:szCs w:val="24"/>
              </w:rPr>
              <w:t>The Applicant may submit the same application for different types of LPCOs.</w:t>
            </w:r>
          </w:p>
        </w:tc>
      </w:tr>
      <w:tr w:rsidR="004E4A1F" w:rsidRPr="008C4A39" w14:paraId="21434607" w14:textId="77777777" w:rsidTr="00883B07">
        <w:tc>
          <w:tcPr>
            <w:tcW w:w="9355" w:type="dxa"/>
            <w:gridSpan w:val="2"/>
          </w:tcPr>
          <w:p w14:paraId="10DD9FAC" w14:textId="77777777" w:rsidR="004E4A1F" w:rsidRPr="008C4A39" w:rsidRDefault="004E4A1F" w:rsidP="004E4A1F">
            <w:pPr>
              <w:ind w:right="-360"/>
              <w:jc w:val="left"/>
              <w:rPr>
                <w:szCs w:val="24"/>
              </w:rPr>
            </w:pPr>
            <w:r w:rsidRPr="008C4A39">
              <w:rPr>
                <w:szCs w:val="24"/>
              </w:rPr>
              <w:lastRenderedPageBreak/>
              <w:t xml:space="preserve">Bidder’s technical reasons supporting compliance:  </w:t>
            </w:r>
          </w:p>
        </w:tc>
      </w:tr>
      <w:tr w:rsidR="004E4A1F" w:rsidRPr="008C4A39" w14:paraId="007314CC" w14:textId="77777777" w:rsidTr="00883B07">
        <w:tc>
          <w:tcPr>
            <w:tcW w:w="9355" w:type="dxa"/>
            <w:gridSpan w:val="2"/>
          </w:tcPr>
          <w:p w14:paraId="2CE24B64"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4E4A1F" w:rsidRPr="008C4A39" w14:paraId="6F407B2B" w14:textId="77777777" w:rsidTr="00883B07">
        <w:tc>
          <w:tcPr>
            <w:tcW w:w="2425" w:type="dxa"/>
          </w:tcPr>
          <w:p w14:paraId="59F184F0" w14:textId="77777777" w:rsidR="004E4A1F" w:rsidRPr="008C4A39" w:rsidRDefault="004E4A1F" w:rsidP="004E4A1F">
            <w:pPr>
              <w:ind w:left="738" w:right="-14" w:hanging="738"/>
              <w:jc w:val="left"/>
              <w:rPr>
                <w:szCs w:val="24"/>
              </w:rPr>
            </w:pPr>
            <w:r w:rsidRPr="008C4A39">
              <w:rPr>
                <w:szCs w:val="24"/>
              </w:rPr>
              <w:t>FR124</w:t>
            </w:r>
          </w:p>
          <w:p w14:paraId="2185D930" w14:textId="77777777" w:rsidR="004E4A1F" w:rsidRPr="008C4A39" w:rsidRDefault="004E4A1F" w:rsidP="004E4A1F">
            <w:pPr>
              <w:ind w:left="738" w:right="-14" w:hanging="738"/>
              <w:jc w:val="left"/>
              <w:rPr>
                <w:szCs w:val="24"/>
              </w:rPr>
            </w:pPr>
          </w:p>
        </w:tc>
        <w:tc>
          <w:tcPr>
            <w:tcW w:w="6930" w:type="dxa"/>
          </w:tcPr>
          <w:p w14:paraId="26E9B7E4" w14:textId="77777777" w:rsidR="004E4A1F" w:rsidRPr="008C4A39" w:rsidRDefault="004E4A1F" w:rsidP="004E4A1F">
            <w:pPr>
              <w:rPr>
                <w:szCs w:val="24"/>
              </w:rPr>
            </w:pPr>
            <w:r w:rsidRPr="008C4A39">
              <w:rPr>
                <w:szCs w:val="24"/>
              </w:rPr>
              <w:t>The Applicant may submit application details for another LPCO in support of his application of the current LPCO.</w:t>
            </w:r>
          </w:p>
        </w:tc>
      </w:tr>
      <w:tr w:rsidR="004E4A1F" w:rsidRPr="008C4A39" w14:paraId="0CCE37D9" w14:textId="77777777" w:rsidTr="00883B07">
        <w:tc>
          <w:tcPr>
            <w:tcW w:w="9355" w:type="dxa"/>
            <w:gridSpan w:val="2"/>
          </w:tcPr>
          <w:p w14:paraId="17C21C8E" w14:textId="77777777" w:rsidR="004E4A1F" w:rsidRPr="008C4A39" w:rsidRDefault="004E4A1F" w:rsidP="004E4A1F">
            <w:pPr>
              <w:ind w:right="-360"/>
              <w:jc w:val="left"/>
              <w:rPr>
                <w:szCs w:val="24"/>
              </w:rPr>
            </w:pPr>
            <w:r w:rsidRPr="008C4A39">
              <w:rPr>
                <w:szCs w:val="24"/>
              </w:rPr>
              <w:t xml:space="preserve">Bidder’s technical reasons supporting compliance:  </w:t>
            </w:r>
          </w:p>
        </w:tc>
      </w:tr>
      <w:tr w:rsidR="004E4A1F" w:rsidRPr="008C4A39" w14:paraId="0914AFF3" w14:textId="77777777" w:rsidTr="00883B07">
        <w:tc>
          <w:tcPr>
            <w:tcW w:w="9355" w:type="dxa"/>
            <w:gridSpan w:val="2"/>
          </w:tcPr>
          <w:p w14:paraId="5E414584"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4E4A1F" w:rsidRPr="008C4A39" w14:paraId="292CDB47" w14:textId="77777777" w:rsidTr="00883B07">
        <w:tc>
          <w:tcPr>
            <w:tcW w:w="2425" w:type="dxa"/>
          </w:tcPr>
          <w:p w14:paraId="79AEAC54" w14:textId="77777777" w:rsidR="004E4A1F" w:rsidRPr="008C4A39" w:rsidRDefault="004E4A1F" w:rsidP="004E4A1F">
            <w:pPr>
              <w:ind w:left="738" w:right="-14" w:hanging="738"/>
              <w:jc w:val="left"/>
              <w:rPr>
                <w:szCs w:val="24"/>
              </w:rPr>
            </w:pPr>
            <w:r w:rsidRPr="008C4A39">
              <w:rPr>
                <w:szCs w:val="24"/>
              </w:rPr>
              <w:t>FR125</w:t>
            </w:r>
          </w:p>
          <w:p w14:paraId="3D16156A" w14:textId="77777777" w:rsidR="004E4A1F" w:rsidRPr="008C4A39" w:rsidRDefault="004E4A1F" w:rsidP="004E4A1F">
            <w:pPr>
              <w:ind w:left="738" w:right="-14" w:hanging="738"/>
              <w:jc w:val="left"/>
              <w:rPr>
                <w:szCs w:val="24"/>
              </w:rPr>
            </w:pPr>
          </w:p>
        </w:tc>
        <w:tc>
          <w:tcPr>
            <w:tcW w:w="6930" w:type="dxa"/>
          </w:tcPr>
          <w:p w14:paraId="134069F0" w14:textId="77777777" w:rsidR="004E4A1F" w:rsidRPr="008C4A39" w:rsidRDefault="004E4A1F" w:rsidP="004E4A1F">
            <w:pPr>
              <w:rPr>
                <w:szCs w:val="24"/>
              </w:rPr>
            </w:pPr>
            <w:r w:rsidRPr="008C4A39">
              <w:rPr>
                <w:szCs w:val="24"/>
              </w:rPr>
              <w:t xml:space="preserve">The System must conduct data validation and ensure valid and completeness of application, and then route the LPCO application with supporting documents uploaded by the applicant to the CBRA’s system, which shall respond with acknowledgment of receipt message. </w:t>
            </w:r>
          </w:p>
        </w:tc>
      </w:tr>
      <w:tr w:rsidR="004E4A1F" w:rsidRPr="008C4A39" w14:paraId="45CC3867" w14:textId="77777777" w:rsidTr="00883B07">
        <w:tc>
          <w:tcPr>
            <w:tcW w:w="9355" w:type="dxa"/>
            <w:gridSpan w:val="2"/>
          </w:tcPr>
          <w:p w14:paraId="38E50A63" w14:textId="77777777" w:rsidR="004E4A1F" w:rsidRPr="008C4A39" w:rsidRDefault="004E4A1F" w:rsidP="004E4A1F">
            <w:pPr>
              <w:ind w:right="-360"/>
              <w:jc w:val="left"/>
              <w:rPr>
                <w:szCs w:val="24"/>
              </w:rPr>
            </w:pPr>
            <w:r w:rsidRPr="008C4A39">
              <w:rPr>
                <w:szCs w:val="24"/>
              </w:rPr>
              <w:t xml:space="preserve">Bidder’s technical reasons supporting compliance:  </w:t>
            </w:r>
          </w:p>
        </w:tc>
      </w:tr>
      <w:tr w:rsidR="004E4A1F" w:rsidRPr="008C4A39" w14:paraId="0319A4AF" w14:textId="77777777" w:rsidTr="00883B07">
        <w:tc>
          <w:tcPr>
            <w:tcW w:w="9355" w:type="dxa"/>
            <w:gridSpan w:val="2"/>
          </w:tcPr>
          <w:p w14:paraId="469CA959"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4E4A1F" w:rsidRPr="008C4A39" w14:paraId="1030766E" w14:textId="77777777" w:rsidTr="00883B07">
        <w:tc>
          <w:tcPr>
            <w:tcW w:w="2425" w:type="dxa"/>
          </w:tcPr>
          <w:p w14:paraId="09CF8FE4" w14:textId="77777777" w:rsidR="004E4A1F" w:rsidRPr="008C4A39" w:rsidRDefault="004E4A1F" w:rsidP="004E4A1F">
            <w:pPr>
              <w:ind w:left="738" w:right="-14" w:hanging="738"/>
              <w:jc w:val="left"/>
              <w:rPr>
                <w:szCs w:val="24"/>
              </w:rPr>
            </w:pPr>
            <w:r w:rsidRPr="008C4A39">
              <w:rPr>
                <w:szCs w:val="24"/>
              </w:rPr>
              <w:t>FR127</w:t>
            </w:r>
          </w:p>
        </w:tc>
        <w:tc>
          <w:tcPr>
            <w:tcW w:w="6930" w:type="dxa"/>
          </w:tcPr>
          <w:p w14:paraId="7ACFC7C9" w14:textId="77777777" w:rsidR="004E4A1F" w:rsidRPr="008C4A39" w:rsidRDefault="004E4A1F" w:rsidP="004E4A1F">
            <w:pPr>
              <w:rPr>
                <w:szCs w:val="24"/>
              </w:rPr>
            </w:pPr>
            <w:r w:rsidRPr="008C4A39">
              <w:rPr>
                <w:szCs w:val="24"/>
              </w:rPr>
              <w:t>Upon approval, the system must compute the LPCO fees and charges (if any) and send a payment advice to the applicant, with a copy to update in the CBRA system.</w:t>
            </w:r>
          </w:p>
        </w:tc>
      </w:tr>
      <w:tr w:rsidR="004E4A1F" w:rsidRPr="008C4A39" w14:paraId="50DC535C" w14:textId="77777777" w:rsidTr="00883B07">
        <w:tc>
          <w:tcPr>
            <w:tcW w:w="9355" w:type="dxa"/>
            <w:gridSpan w:val="2"/>
          </w:tcPr>
          <w:p w14:paraId="2E3C0D70" w14:textId="77777777" w:rsidR="004E4A1F" w:rsidRPr="008C4A39" w:rsidRDefault="004E4A1F" w:rsidP="004E4A1F">
            <w:pPr>
              <w:ind w:right="-360"/>
              <w:jc w:val="left"/>
              <w:rPr>
                <w:szCs w:val="24"/>
              </w:rPr>
            </w:pPr>
            <w:r w:rsidRPr="008C4A39">
              <w:rPr>
                <w:szCs w:val="24"/>
              </w:rPr>
              <w:t xml:space="preserve">Bidder’s technical reasons supporting compliance:  </w:t>
            </w:r>
          </w:p>
        </w:tc>
      </w:tr>
      <w:tr w:rsidR="004E4A1F" w:rsidRPr="008C4A39" w14:paraId="7B28FEC9" w14:textId="77777777" w:rsidTr="00883B07">
        <w:tc>
          <w:tcPr>
            <w:tcW w:w="9355" w:type="dxa"/>
            <w:gridSpan w:val="2"/>
          </w:tcPr>
          <w:p w14:paraId="2F76C9D0" w14:textId="77777777" w:rsidR="004E4A1F" w:rsidRPr="008C4A39" w:rsidRDefault="004E4A1F" w:rsidP="004E4A1F">
            <w:pPr>
              <w:ind w:right="-360"/>
              <w:jc w:val="left"/>
              <w:rPr>
                <w:szCs w:val="24"/>
              </w:rPr>
            </w:pPr>
            <w:r w:rsidRPr="008C4A39">
              <w:rPr>
                <w:szCs w:val="24"/>
              </w:rPr>
              <w:t>Bidder’s cross references to supporting information in Technical Bid:</w:t>
            </w:r>
          </w:p>
        </w:tc>
      </w:tr>
      <w:tr w:rsidR="000A4969" w:rsidRPr="008C4A39" w14:paraId="1ED3C7ED" w14:textId="536CE500" w:rsidTr="005E0FA9">
        <w:tc>
          <w:tcPr>
            <w:tcW w:w="2425" w:type="dxa"/>
          </w:tcPr>
          <w:p w14:paraId="35627FF6" w14:textId="7EF3DE0C" w:rsidR="000A4969" w:rsidRPr="008C4A39" w:rsidRDefault="000A4969" w:rsidP="000A4969">
            <w:pPr>
              <w:ind w:right="-360"/>
              <w:jc w:val="left"/>
              <w:rPr>
                <w:szCs w:val="24"/>
              </w:rPr>
            </w:pPr>
            <w:r>
              <w:rPr>
                <w:szCs w:val="24"/>
              </w:rPr>
              <w:t>FR138</w:t>
            </w:r>
          </w:p>
        </w:tc>
        <w:tc>
          <w:tcPr>
            <w:tcW w:w="6930" w:type="dxa"/>
          </w:tcPr>
          <w:p w14:paraId="139A1808" w14:textId="1A09A461" w:rsidR="000A4969" w:rsidRPr="008C4A39" w:rsidRDefault="000A4969" w:rsidP="000A4969">
            <w:pPr>
              <w:ind w:right="-360"/>
              <w:jc w:val="left"/>
              <w:rPr>
                <w:szCs w:val="24"/>
              </w:rPr>
            </w:pPr>
            <w:r>
              <w:rPr>
                <w:szCs w:val="24"/>
              </w:rPr>
              <w:t xml:space="preserve">Based on pre-defined conditions for application approval, the NSW System must enable the CBRA workflow to assign different ranks of CBRAs to verify, process and approve the application accordingly. </w:t>
            </w:r>
          </w:p>
        </w:tc>
      </w:tr>
      <w:tr w:rsidR="000A4969" w:rsidRPr="008C4A39" w14:paraId="1490326D" w14:textId="77777777" w:rsidTr="00883B07">
        <w:tc>
          <w:tcPr>
            <w:tcW w:w="9355" w:type="dxa"/>
            <w:gridSpan w:val="2"/>
          </w:tcPr>
          <w:p w14:paraId="3A922B34" w14:textId="66E048F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4FE02D20" w14:textId="77777777" w:rsidTr="00883B07">
        <w:tc>
          <w:tcPr>
            <w:tcW w:w="9355" w:type="dxa"/>
            <w:gridSpan w:val="2"/>
          </w:tcPr>
          <w:p w14:paraId="04125F57" w14:textId="27C5D93D" w:rsidR="000A4969" w:rsidRDefault="000A4969" w:rsidP="000A4969">
            <w:pPr>
              <w:ind w:right="-360"/>
              <w:jc w:val="left"/>
              <w:rPr>
                <w:szCs w:val="24"/>
              </w:rPr>
            </w:pPr>
            <w:r w:rsidRPr="008C4A39">
              <w:rPr>
                <w:szCs w:val="24"/>
              </w:rPr>
              <w:t>Bidder’s cross references to supporting information in Technical Bid:</w:t>
            </w:r>
          </w:p>
        </w:tc>
      </w:tr>
      <w:tr w:rsidR="000A4969" w:rsidRPr="008C4A39" w14:paraId="6C214F9F" w14:textId="4F7913A9" w:rsidTr="005E0FA9">
        <w:tc>
          <w:tcPr>
            <w:tcW w:w="2425" w:type="dxa"/>
          </w:tcPr>
          <w:p w14:paraId="73324F83" w14:textId="63D86EB6" w:rsidR="000A4969" w:rsidRPr="008C4A39" w:rsidRDefault="000A4969" w:rsidP="000A4969">
            <w:pPr>
              <w:ind w:right="-360"/>
              <w:jc w:val="left"/>
              <w:rPr>
                <w:szCs w:val="24"/>
              </w:rPr>
            </w:pPr>
            <w:r>
              <w:rPr>
                <w:szCs w:val="24"/>
              </w:rPr>
              <w:t>FR167</w:t>
            </w:r>
          </w:p>
        </w:tc>
        <w:tc>
          <w:tcPr>
            <w:tcW w:w="6930" w:type="dxa"/>
          </w:tcPr>
          <w:p w14:paraId="4B9A9920" w14:textId="77777777" w:rsidR="000A4969" w:rsidRDefault="000A4969" w:rsidP="000A4969">
            <w:pPr>
              <w:rPr>
                <w:szCs w:val="24"/>
              </w:rPr>
            </w:pPr>
            <w:r>
              <w:rPr>
                <w:szCs w:val="24"/>
              </w:rPr>
              <w:t xml:space="preserve">The NSW must give the user the possibility to find correct and valid certificate information for given HS codes. The output shall be </w:t>
            </w:r>
            <w:proofErr w:type="gramStart"/>
            <w:r>
              <w:rPr>
                <w:szCs w:val="24"/>
              </w:rPr>
              <w:t>result</w:t>
            </w:r>
            <w:proofErr w:type="gramEnd"/>
            <w:r>
              <w:rPr>
                <w:szCs w:val="24"/>
              </w:rPr>
              <w:t xml:space="preserve"> page containing one or more records of certificate types. A record shall consist of following attributes:</w:t>
            </w:r>
          </w:p>
          <w:p w14:paraId="04F12D5B" w14:textId="77777777" w:rsidR="000A4969" w:rsidRDefault="000A4969" w:rsidP="00D530D5">
            <w:pPr>
              <w:pStyle w:val="ListParagraph"/>
              <w:numPr>
                <w:ilvl w:val="0"/>
                <w:numId w:val="110"/>
              </w:numPr>
              <w:rPr>
                <w:szCs w:val="24"/>
              </w:rPr>
            </w:pPr>
            <w:proofErr w:type="gramStart"/>
            <w:r>
              <w:rPr>
                <w:szCs w:val="24"/>
              </w:rPr>
              <w:t>Name;</w:t>
            </w:r>
            <w:proofErr w:type="gramEnd"/>
          </w:p>
          <w:p w14:paraId="6AE20719" w14:textId="77777777" w:rsidR="000A4969" w:rsidRDefault="000A4969" w:rsidP="00D530D5">
            <w:pPr>
              <w:pStyle w:val="ListParagraph"/>
              <w:numPr>
                <w:ilvl w:val="0"/>
                <w:numId w:val="110"/>
              </w:numPr>
              <w:rPr>
                <w:szCs w:val="24"/>
              </w:rPr>
            </w:pPr>
            <w:r>
              <w:rPr>
                <w:szCs w:val="24"/>
              </w:rPr>
              <w:t>Validity period; and</w:t>
            </w:r>
          </w:p>
          <w:p w14:paraId="72F422FE" w14:textId="403FCE81" w:rsidR="000A4969" w:rsidRPr="00BE338D" w:rsidRDefault="000A4969" w:rsidP="00D530D5">
            <w:pPr>
              <w:pStyle w:val="ListParagraph"/>
              <w:numPr>
                <w:ilvl w:val="0"/>
                <w:numId w:val="110"/>
              </w:numPr>
              <w:rPr>
                <w:szCs w:val="24"/>
              </w:rPr>
            </w:pPr>
            <w:r w:rsidRPr="00BE338D">
              <w:rPr>
                <w:szCs w:val="24"/>
              </w:rPr>
              <w:t>Description.</w:t>
            </w:r>
          </w:p>
        </w:tc>
      </w:tr>
      <w:tr w:rsidR="000A4969" w:rsidRPr="008C4A39" w14:paraId="71EB893D" w14:textId="77777777" w:rsidTr="00883B07">
        <w:tc>
          <w:tcPr>
            <w:tcW w:w="9355" w:type="dxa"/>
            <w:gridSpan w:val="2"/>
          </w:tcPr>
          <w:p w14:paraId="52F3E6D6" w14:textId="6A7DC5E3" w:rsidR="000A4969" w:rsidRDefault="000A4969" w:rsidP="000A4969">
            <w:pPr>
              <w:ind w:right="-360"/>
              <w:jc w:val="left"/>
              <w:rPr>
                <w:szCs w:val="24"/>
              </w:rPr>
            </w:pPr>
            <w:r w:rsidRPr="008C4A39">
              <w:rPr>
                <w:szCs w:val="24"/>
              </w:rPr>
              <w:t xml:space="preserve">Bidder’s technical reasons supporting compliance:  </w:t>
            </w:r>
          </w:p>
        </w:tc>
      </w:tr>
      <w:tr w:rsidR="000A4969" w:rsidRPr="008C4A39" w14:paraId="06BC4D47" w14:textId="77777777" w:rsidTr="00883B07">
        <w:tc>
          <w:tcPr>
            <w:tcW w:w="9355" w:type="dxa"/>
            <w:gridSpan w:val="2"/>
          </w:tcPr>
          <w:p w14:paraId="7CBA00C4" w14:textId="376551AC" w:rsidR="000A4969" w:rsidRDefault="000A4969" w:rsidP="000A4969">
            <w:pPr>
              <w:ind w:right="-360"/>
              <w:jc w:val="left"/>
              <w:rPr>
                <w:szCs w:val="24"/>
              </w:rPr>
            </w:pPr>
            <w:r w:rsidRPr="008C4A39">
              <w:rPr>
                <w:szCs w:val="24"/>
              </w:rPr>
              <w:t>Bidder’s cross references to supporting information in Technical Bid:</w:t>
            </w:r>
          </w:p>
        </w:tc>
      </w:tr>
      <w:tr w:rsidR="000A4969" w:rsidRPr="008C4A39" w14:paraId="35CE3821" w14:textId="77777777" w:rsidTr="00883B07">
        <w:tc>
          <w:tcPr>
            <w:tcW w:w="2425" w:type="dxa"/>
          </w:tcPr>
          <w:p w14:paraId="6EC35722" w14:textId="2A3F6AD0" w:rsidR="000A4969" w:rsidRPr="008C4A39" w:rsidRDefault="000A4969" w:rsidP="000A4969">
            <w:pPr>
              <w:ind w:left="738" w:right="-14" w:hanging="738"/>
              <w:jc w:val="left"/>
              <w:rPr>
                <w:szCs w:val="24"/>
              </w:rPr>
            </w:pPr>
            <w:r w:rsidRPr="008C4A39">
              <w:rPr>
                <w:szCs w:val="24"/>
              </w:rPr>
              <w:t>FR227</w:t>
            </w:r>
          </w:p>
        </w:tc>
        <w:tc>
          <w:tcPr>
            <w:tcW w:w="6930" w:type="dxa"/>
          </w:tcPr>
          <w:p w14:paraId="56F2A5C4" w14:textId="1AD64C72" w:rsidR="000A4969" w:rsidRPr="008C4A39" w:rsidRDefault="000A4969" w:rsidP="000A4969">
            <w:pPr>
              <w:rPr>
                <w:szCs w:val="24"/>
              </w:rPr>
            </w:pPr>
            <w:r w:rsidRPr="008C4A39">
              <w:rPr>
                <w:szCs w:val="24"/>
              </w:rPr>
              <w:t>The system must be able to compute all taxes, fees, fines, penalties, and charges based on computable parameters. It should also compute late payment fees, payable interest etc.</w:t>
            </w:r>
          </w:p>
        </w:tc>
      </w:tr>
      <w:tr w:rsidR="000A4969" w:rsidRPr="008C4A39" w14:paraId="5AA871F4" w14:textId="77777777" w:rsidTr="00883B07">
        <w:tc>
          <w:tcPr>
            <w:tcW w:w="9355" w:type="dxa"/>
            <w:gridSpan w:val="2"/>
          </w:tcPr>
          <w:p w14:paraId="434C215B"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2D8D380D" w14:textId="77777777" w:rsidTr="00883B07">
        <w:tc>
          <w:tcPr>
            <w:tcW w:w="9355" w:type="dxa"/>
            <w:gridSpan w:val="2"/>
          </w:tcPr>
          <w:p w14:paraId="0B288BF0" w14:textId="77777777" w:rsidR="000A4969" w:rsidRPr="008C4A39" w:rsidRDefault="000A4969" w:rsidP="000A4969">
            <w:pPr>
              <w:ind w:right="-360"/>
              <w:jc w:val="left"/>
              <w:rPr>
                <w:szCs w:val="24"/>
              </w:rPr>
            </w:pPr>
            <w:r w:rsidRPr="008C4A39">
              <w:rPr>
                <w:szCs w:val="24"/>
              </w:rPr>
              <w:lastRenderedPageBreak/>
              <w:t>Bidder’s cross references to supporting information in Technical Bid:</w:t>
            </w:r>
          </w:p>
        </w:tc>
      </w:tr>
      <w:tr w:rsidR="000A4969" w:rsidRPr="008C4A39" w14:paraId="4AD602DA" w14:textId="77777777" w:rsidTr="00883B07">
        <w:tc>
          <w:tcPr>
            <w:tcW w:w="2425" w:type="dxa"/>
          </w:tcPr>
          <w:p w14:paraId="1DAC179A" w14:textId="77777777" w:rsidR="000A4969" w:rsidRPr="008C4A39" w:rsidRDefault="000A4969" w:rsidP="000A4969">
            <w:pPr>
              <w:ind w:left="738" w:right="-14" w:hanging="738"/>
              <w:jc w:val="left"/>
              <w:rPr>
                <w:szCs w:val="24"/>
              </w:rPr>
            </w:pPr>
            <w:r w:rsidRPr="008C4A39">
              <w:rPr>
                <w:szCs w:val="24"/>
              </w:rPr>
              <w:t>FR239</w:t>
            </w:r>
          </w:p>
        </w:tc>
        <w:tc>
          <w:tcPr>
            <w:tcW w:w="6930" w:type="dxa"/>
          </w:tcPr>
          <w:p w14:paraId="6E12305B" w14:textId="77777777" w:rsidR="000A4969" w:rsidRPr="008C4A39" w:rsidRDefault="000A4969" w:rsidP="000A4969">
            <w:pPr>
              <w:rPr>
                <w:szCs w:val="24"/>
              </w:rPr>
            </w:pPr>
            <w:r w:rsidRPr="008C4A39">
              <w:rPr>
                <w:szCs w:val="24"/>
              </w:rPr>
              <w:t>The system must provide functionality to create a payment advice that contains all necessary information to conduct a payment and produce a receipt of the actual payment.</w:t>
            </w:r>
          </w:p>
        </w:tc>
      </w:tr>
      <w:tr w:rsidR="000A4969" w:rsidRPr="008C4A39" w14:paraId="7BE28D6C" w14:textId="77777777" w:rsidTr="00883B07">
        <w:tc>
          <w:tcPr>
            <w:tcW w:w="9355" w:type="dxa"/>
            <w:gridSpan w:val="2"/>
          </w:tcPr>
          <w:p w14:paraId="0F383F56"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0121BFAB" w14:textId="77777777" w:rsidTr="00883B07">
        <w:tc>
          <w:tcPr>
            <w:tcW w:w="9355" w:type="dxa"/>
            <w:gridSpan w:val="2"/>
          </w:tcPr>
          <w:p w14:paraId="3D585781"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36D4DC73" w14:textId="77777777" w:rsidTr="00883B07">
        <w:tc>
          <w:tcPr>
            <w:tcW w:w="2425" w:type="dxa"/>
          </w:tcPr>
          <w:p w14:paraId="06C2A165" w14:textId="77777777" w:rsidR="000A4969" w:rsidRPr="008C4A39" w:rsidRDefault="000A4969" w:rsidP="000A4969">
            <w:pPr>
              <w:ind w:left="738" w:right="-14" w:hanging="738"/>
              <w:jc w:val="left"/>
              <w:rPr>
                <w:szCs w:val="24"/>
              </w:rPr>
            </w:pPr>
            <w:r w:rsidRPr="008C4A39">
              <w:rPr>
                <w:szCs w:val="24"/>
              </w:rPr>
              <w:t>FR402</w:t>
            </w:r>
          </w:p>
        </w:tc>
        <w:tc>
          <w:tcPr>
            <w:tcW w:w="6930" w:type="dxa"/>
          </w:tcPr>
          <w:p w14:paraId="73B661DA" w14:textId="77777777" w:rsidR="000A4969" w:rsidRPr="008C4A39" w:rsidRDefault="000A4969" w:rsidP="000A4969">
            <w:pPr>
              <w:rPr>
                <w:szCs w:val="24"/>
              </w:rPr>
            </w:pPr>
            <w:r w:rsidRPr="008C4A39">
              <w:rPr>
                <w:szCs w:val="24"/>
              </w:rPr>
              <w:t>The system must be able to perform technical validation of the application for LPCO.</w:t>
            </w:r>
          </w:p>
        </w:tc>
      </w:tr>
      <w:tr w:rsidR="000A4969" w:rsidRPr="008C4A39" w14:paraId="3FCEC956" w14:textId="77777777" w:rsidTr="00883B07">
        <w:tc>
          <w:tcPr>
            <w:tcW w:w="9355" w:type="dxa"/>
            <w:gridSpan w:val="2"/>
          </w:tcPr>
          <w:p w14:paraId="1F19E765"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7DD70CB7" w14:textId="77777777" w:rsidTr="00883B07">
        <w:tc>
          <w:tcPr>
            <w:tcW w:w="9355" w:type="dxa"/>
            <w:gridSpan w:val="2"/>
          </w:tcPr>
          <w:p w14:paraId="7B0EB231"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2BF48E45" w14:textId="77777777" w:rsidTr="00883B07">
        <w:tc>
          <w:tcPr>
            <w:tcW w:w="2425" w:type="dxa"/>
          </w:tcPr>
          <w:p w14:paraId="3E0FBFB1" w14:textId="77777777" w:rsidR="000A4969" w:rsidRPr="008C4A39" w:rsidRDefault="000A4969" w:rsidP="000A4969">
            <w:pPr>
              <w:ind w:left="738" w:right="-14" w:hanging="738"/>
              <w:jc w:val="left"/>
              <w:rPr>
                <w:szCs w:val="24"/>
              </w:rPr>
            </w:pPr>
            <w:r w:rsidRPr="008C4A39">
              <w:rPr>
                <w:szCs w:val="24"/>
              </w:rPr>
              <w:t>FR403</w:t>
            </w:r>
          </w:p>
        </w:tc>
        <w:tc>
          <w:tcPr>
            <w:tcW w:w="6930" w:type="dxa"/>
          </w:tcPr>
          <w:p w14:paraId="7D39C2D6" w14:textId="77777777" w:rsidR="000A4969" w:rsidRPr="008C4A39" w:rsidRDefault="000A4969" w:rsidP="000A4969">
            <w:pPr>
              <w:rPr>
                <w:szCs w:val="24"/>
              </w:rPr>
            </w:pPr>
            <w:r w:rsidRPr="008C4A39">
              <w:rPr>
                <w:szCs w:val="24"/>
              </w:rPr>
              <w:t>The system must be able to check where the LPCO need to be registered.</w:t>
            </w:r>
          </w:p>
        </w:tc>
      </w:tr>
      <w:tr w:rsidR="000A4969" w:rsidRPr="008C4A39" w14:paraId="6242AA3B" w14:textId="77777777" w:rsidTr="00883B07">
        <w:tc>
          <w:tcPr>
            <w:tcW w:w="9355" w:type="dxa"/>
            <w:gridSpan w:val="2"/>
          </w:tcPr>
          <w:p w14:paraId="6002B0BA"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629BA21C" w14:textId="77777777" w:rsidTr="00883B07">
        <w:tc>
          <w:tcPr>
            <w:tcW w:w="9355" w:type="dxa"/>
            <w:gridSpan w:val="2"/>
          </w:tcPr>
          <w:p w14:paraId="32899165"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343EC72F" w14:textId="77777777" w:rsidTr="00883B07">
        <w:tc>
          <w:tcPr>
            <w:tcW w:w="2425" w:type="dxa"/>
          </w:tcPr>
          <w:p w14:paraId="07A704E3" w14:textId="77777777" w:rsidR="000A4969" w:rsidRPr="008C4A39" w:rsidRDefault="000A4969" w:rsidP="000A4969">
            <w:pPr>
              <w:ind w:left="738" w:right="-14" w:hanging="738"/>
              <w:jc w:val="left"/>
              <w:rPr>
                <w:szCs w:val="24"/>
              </w:rPr>
            </w:pPr>
            <w:r w:rsidRPr="008C4A39">
              <w:rPr>
                <w:szCs w:val="24"/>
              </w:rPr>
              <w:t>FR404</w:t>
            </w:r>
          </w:p>
        </w:tc>
        <w:tc>
          <w:tcPr>
            <w:tcW w:w="6930" w:type="dxa"/>
          </w:tcPr>
          <w:p w14:paraId="2D731D7B" w14:textId="77777777" w:rsidR="000A4969" w:rsidRPr="008C4A39" w:rsidRDefault="000A4969" w:rsidP="000A4969">
            <w:pPr>
              <w:rPr>
                <w:szCs w:val="24"/>
              </w:rPr>
            </w:pPr>
            <w:r w:rsidRPr="008C4A39">
              <w:rPr>
                <w:szCs w:val="24"/>
              </w:rPr>
              <w:t>The system must be able to Reject Application for LPCO.</w:t>
            </w:r>
          </w:p>
        </w:tc>
      </w:tr>
      <w:tr w:rsidR="000A4969" w:rsidRPr="008C4A39" w14:paraId="3ADBE82D" w14:textId="77777777" w:rsidTr="00883B07">
        <w:tc>
          <w:tcPr>
            <w:tcW w:w="9355" w:type="dxa"/>
            <w:gridSpan w:val="2"/>
          </w:tcPr>
          <w:p w14:paraId="676C2532"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7EF62E2C" w14:textId="77777777" w:rsidTr="00883B07">
        <w:tc>
          <w:tcPr>
            <w:tcW w:w="9355" w:type="dxa"/>
            <w:gridSpan w:val="2"/>
          </w:tcPr>
          <w:p w14:paraId="2166C73D"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484C8002" w14:textId="77777777" w:rsidTr="00883B07">
        <w:tc>
          <w:tcPr>
            <w:tcW w:w="2425" w:type="dxa"/>
          </w:tcPr>
          <w:p w14:paraId="455644F8" w14:textId="77777777" w:rsidR="000A4969" w:rsidRPr="008C4A39" w:rsidRDefault="000A4969" w:rsidP="000A4969">
            <w:pPr>
              <w:ind w:left="738" w:right="-14" w:hanging="738"/>
              <w:jc w:val="left"/>
              <w:rPr>
                <w:szCs w:val="24"/>
              </w:rPr>
            </w:pPr>
            <w:r w:rsidRPr="008C4A39">
              <w:rPr>
                <w:szCs w:val="24"/>
              </w:rPr>
              <w:t>FR405</w:t>
            </w:r>
          </w:p>
        </w:tc>
        <w:tc>
          <w:tcPr>
            <w:tcW w:w="6930" w:type="dxa"/>
          </w:tcPr>
          <w:p w14:paraId="19A0C905" w14:textId="77777777" w:rsidR="000A4969" w:rsidRPr="008C4A39" w:rsidRDefault="000A4969" w:rsidP="000A4969">
            <w:pPr>
              <w:rPr>
                <w:szCs w:val="24"/>
              </w:rPr>
            </w:pPr>
            <w:r w:rsidRPr="008C4A39">
              <w:rPr>
                <w:szCs w:val="24"/>
              </w:rPr>
              <w:t>The system must be able to notify the Economic Operator that the request for application for LPCO is rejected.</w:t>
            </w:r>
          </w:p>
        </w:tc>
      </w:tr>
      <w:tr w:rsidR="000A4969" w:rsidRPr="008C4A39" w14:paraId="23F7F980" w14:textId="77777777" w:rsidTr="00883B07">
        <w:tc>
          <w:tcPr>
            <w:tcW w:w="9355" w:type="dxa"/>
            <w:gridSpan w:val="2"/>
          </w:tcPr>
          <w:p w14:paraId="39D7B999"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4CBF57EF" w14:textId="77777777" w:rsidTr="00883B07">
        <w:tc>
          <w:tcPr>
            <w:tcW w:w="9355" w:type="dxa"/>
            <w:gridSpan w:val="2"/>
          </w:tcPr>
          <w:p w14:paraId="7B2B71F2"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19B0976C" w14:textId="77777777" w:rsidTr="00883B07">
        <w:tc>
          <w:tcPr>
            <w:tcW w:w="2425" w:type="dxa"/>
          </w:tcPr>
          <w:p w14:paraId="639D51F3" w14:textId="77777777" w:rsidR="000A4969" w:rsidRPr="008C4A39" w:rsidRDefault="000A4969" w:rsidP="000A4969">
            <w:pPr>
              <w:ind w:left="738" w:right="-14" w:hanging="738"/>
              <w:jc w:val="left"/>
              <w:rPr>
                <w:szCs w:val="24"/>
              </w:rPr>
            </w:pPr>
            <w:r w:rsidRPr="008C4A39">
              <w:rPr>
                <w:szCs w:val="24"/>
              </w:rPr>
              <w:t>FR406</w:t>
            </w:r>
          </w:p>
        </w:tc>
        <w:tc>
          <w:tcPr>
            <w:tcW w:w="6930" w:type="dxa"/>
          </w:tcPr>
          <w:p w14:paraId="255DC739" w14:textId="77777777" w:rsidR="000A4969" w:rsidRPr="008C4A39" w:rsidRDefault="000A4969" w:rsidP="000A4969">
            <w:pPr>
              <w:rPr>
                <w:szCs w:val="24"/>
              </w:rPr>
            </w:pPr>
            <w:r w:rsidRPr="008C4A39">
              <w:rPr>
                <w:szCs w:val="24"/>
              </w:rPr>
              <w:t>The system must be able to register, notify and share the application for LPCO and allocate unique number for application for LPCO.</w:t>
            </w:r>
          </w:p>
        </w:tc>
      </w:tr>
      <w:tr w:rsidR="000A4969" w:rsidRPr="008C4A39" w14:paraId="740B8D00"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26ADC92D"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31660F54"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7A2D280A"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38C250F3" w14:textId="77777777" w:rsidTr="00883B07">
        <w:tc>
          <w:tcPr>
            <w:tcW w:w="2425" w:type="dxa"/>
          </w:tcPr>
          <w:p w14:paraId="3366E18F" w14:textId="77777777" w:rsidR="000A4969" w:rsidRPr="008C4A39" w:rsidRDefault="000A4969" w:rsidP="000A4969">
            <w:pPr>
              <w:ind w:left="738" w:right="-14" w:hanging="738"/>
              <w:jc w:val="left"/>
              <w:rPr>
                <w:szCs w:val="24"/>
              </w:rPr>
            </w:pPr>
            <w:r w:rsidRPr="008C4A39">
              <w:rPr>
                <w:szCs w:val="24"/>
              </w:rPr>
              <w:t>FR407</w:t>
            </w:r>
          </w:p>
        </w:tc>
        <w:tc>
          <w:tcPr>
            <w:tcW w:w="6930" w:type="dxa"/>
          </w:tcPr>
          <w:p w14:paraId="0CE7EED6" w14:textId="77777777" w:rsidR="000A4969" w:rsidRPr="008C4A39" w:rsidRDefault="000A4969" w:rsidP="000A4969">
            <w:pPr>
              <w:rPr>
                <w:szCs w:val="24"/>
              </w:rPr>
            </w:pPr>
            <w:r w:rsidRPr="008C4A39">
              <w:rPr>
                <w:szCs w:val="24"/>
              </w:rPr>
              <w:t>The system must be able to send application for LPCO to Competent Authority.</w:t>
            </w:r>
          </w:p>
        </w:tc>
      </w:tr>
      <w:tr w:rsidR="000A4969" w:rsidRPr="008C4A39" w14:paraId="7E995822"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11A83F84"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61EE2893"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5BD6FE7F"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147FD51C" w14:textId="77777777" w:rsidTr="00883B07">
        <w:tc>
          <w:tcPr>
            <w:tcW w:w="2425" w:type="dxa"/>
          </w:tcPr>
          <w:p w14:paraId="08977276" w14:textId="77777777" w:rsidR="000A4969" w:rsidRPr="008C4A39" w:rsidRDefault="000A4969" w:rsidP="000A4969">
            <w:pPr>
              <w:ind w:left="738" w:right="-14" w:hanging="738"/>
              <w:jc w:val="left"/>
              <w:rPr>
                <w:szCs w:val="24"/>
              </w:rPr>
            </w:pPr>
            <w:r w:rsidRPr="008C4A39">
              <w:rPr>
                <w:szCs w:val="24"/>
              </w:rPr>
              <w:t>FR408</w:t>
            </w:r>
          </w:p>
        </w:tc>
        <w:tc>
          <w:tcPr>
            <w:tcW w:w="6930" w:type="dxa"/>
          </w:tcPr>
          <w:p w14:paraId="350ED14A" w14:textId="77777777" w:rsidR="000A4969" w:rsidRPr="008C4A39" w:rsidRDefault="000A4969" w:rsidP="000A4969">
            <w:pPr>
              <w:rPr>
                <w:szCs w:val="24"/>
              </w:rPr>
            </w:pPr>
            <w:r w:rsidRPr="008C4A39">
              <w:rPr>
                <w:szCs w:val="24"/>
              </w:rPr>
              <w:t>The system must be able to Transform Data Using Transformation Tables.</w:t>
            </w:r>
          </w:p>
        </w:tc>
      </w:tr>
      <w:tr w:rsidR="000A4969" w:rsidRPr="008C4A39" w14:paraId="5550A6B3"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071F42C1"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404D024C"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121810E6"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434EC66D" w14:textId="77777777" w:rsidTr="00883B07">
        <w:tc>
          <w:tcPr>
            <w:tcW w:w="2425" w:type="dxa"/>
          </w:tcPr>
          <w:p w14:paraId="655E0708" w14:textId="77777777" w:rsidR="000A4969" w:rsidRPr="008C4A39" w:rsidRDefault="000A4969" w:rsidP="000A4969">
            <w:pPr>
              <w:ind w:left="738" w:right="-14" w:hanging="738"/>
              <w:jc w:val="left"/>
              <w:rPr>
                <w:szCs w:val="24"/>
              </w:rPr>
            </w:pPr>
            <w:r w:rsidRPr="008C4A39">
              <w:rPr>
                <w:szCs w:val="24"/>
              </w:rPr>
              <w:lastRenderedPageBreak/>
              <w:t>FR409</w:t>
            </w:r>
          </w:p>
        </w:tc>
        <w:tc>
          <w:tcPr>
            <w:tcW w:w="6930" w:type="dxa"/>
          </w:tcPr>
          <w:p w14:paraId="6340AD8C" w14:textId="77777777" w:rsidR="000A4969" w:rsidRPr="008C4A39" w:rsidRDefault="000A4969" w:rsidP="000A4969">
            <w:pPr>
              <w:rPr>
                <w:szCs w:val="24"/>
              </w:rPr>
            </w:pPr>
            <w:r w:rsidRPr="008C4A39">
              <w:rPr>
                <w:szCs w:val="24"/>
              </w:rPr>
              <w:t>The system must be able to notify EO of the registration of the application for LPCO.</w:t>
            </w:r>
          </w:p>
        </w:tc>
      </w:tr>
      <w:tr w:rsidR="000A4969" w:rsidRPr="008C4A39" w14:paraId="03299557"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401F1306"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1EA8C29C"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6D52DB02"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2C248F26" w14:textId="77777777" w:rsidTr="00883B07">
        <w:tc>
          <w:tcPr>
            <w:tcW w:w="2425" w:type="dxa"/>
          </w:tcPr>
          <w:p w14:paraId="4B3E8DD9" w14:textId="77777777" w:rsidR="000A4969" w:rsidRPr="008C4A39" w:rsidRDefault="000A4969" w:rsidP="000A4969">
            <w:pPr>
              <w:ind w:left="738" w:right="-14" w:hanging="738"/>
              <w:jc w:val="left"/>
              <w:rPr>
                <w:szCs w:val="24"/>
              </w:rPr>
            </w:pPr>
            <w:r w:rsidRPr="008C4A39">
              <w:rPr>
                <w:szCs w:val="24"/>
              </w:rPr>
              <w:t>FR537</w:t>
            </w:r>
          </w:p>
        </w:tc>
        <w:tc>
          <w:tcPr>
            <w:tcW w:w="6930" w:type="dxa"/>
          </w:tcPr>
          <w:p w14:paraId="39D499FF" w14:textId="77777777" w:rsidR="000A4969" w:rsidRPr="008C4A39" w:rsidRDefault="000A4969" w:rsidP="000A4969">
            <w:pPr>
              <w:rPr>
                <w:szCs w:val="24"/>
              </w:rPr>
            </w:pPr>
            <w:r w:rsidRPr="008C4A39">
              <w:rPr>
                <w:szCs w:val="24"/>
              </w:rPr>
              <w:t xml:space="preserve">The NSW system must be able to send the Application for the LPCO to ITE (TARIC) for receiving the measures for the goods for which the LPCO should be issued.  </w:t>
            </w:r>
          </w:p>
        </w:tc>
      </w:tr>
      <w:tr w:rsidR="000A4969" w:rsidRPr="008C4A39" w14:paraId="06D44840"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11947189"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0DD8C958"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18E46A90"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2EC31B55" w14:textId="77777777" w:rsidTr="00883B07">
        <w:tc>
          <w:tcPr>
            <w:tcW w:w="2425" w:type="dxa"/>
          </w:tcPr>
          <w:p w14:paraId="50B0DCD4" w14:textId="77777777" w:rsidR="000A4969" w:rsidRPr="008C4A39" w:rsidRDefault="000A4969" w:rsidP="000A4969">
            <w:pPr>
              <w:ind w:left="738" w:right="-14" w:hanging="738"/>
              <w:jc w:val="left"/>
              <w:rPr>
                <w:szCs w:val="24"/>
              </w:rPr>
            </w:pPr>
            <w:r w:rsidRPr="008C4A39">
              <w:rPr>
                <w:szCs w:val="24"/>
              </w:rPr>
              <w:t>FR538</w:t>
            </w:r>
          </w:p>
        </w:tc>
        <w:tc>
          <w:tcPr>
            <w:tcW w:w="6930" w:type="dxa"/>
          </w:tcPr>
          <w:p w14:paraId="2C14A322" w14:textId="77777777" w:rsidR="000A4969" w:rsidRPr="008C4A39" w:rsidRDefault="000A4969" w:rsidP="000A4969">
            <w:pPr>
              <w:rPr>
                <w:szCs w:val="24"/>
              </w:rPr>
            </w:pPr>
            <w:r w:rsidRPr="008C4A39">
              <w:rPr>
                <w:szCs w:val="24"/>
              </w:rPr>
              <w:t>The system must be able to send Economic Operator data to EORI for checks.</w:t>
            </w:r>
          </w:p>
        </w:tc>
      </w:tr>
      <w:tr w:rsidR="000A4969" w:rsidRPr="008C4A39" w14:paraId="22258B93"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0DFC4667"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5FA00370"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15685C0C"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1CD4B6A7" w14:textId="77777777" w:rsidTr="00883B07">
        <w:tc>
          <w:tcPr>
            <w:tcW w:w="2425" w:type="dxa"/>
          </w:tcPr>
          <w:p w14:paraId="18B0B9AE" w14:textId="77777777" w:rsidR="000A4969" w:rsidRPr="008C4A39" w:rsidRDefault="000A4969" w:rsidP="000A4969">
            <w:pPr>
              <w:ind w:left="738" w:right="-14" w:hanging="738"/>
              <w:jc w:val="left"/>
              <w:rPr>
                <w:szCs w:val="24"/>
              </w:rPr>
            </w:pPr>
            <w:r w:rsidRPr="008C4A39">
              <w:rPr>
                <w:szCs w:val="24"/>
              </w:rPr>
              <w:t>FR539</w:t>
            </w:r>
          </w:p>
        </w:tc>
        <w:tc>
          <w:tcPr>
            <w:tcW w:w="6930" w:type="dxa"/>
          </w:tcPr>
          <w:p w14:paraId="4ED00175" w14:textId="77777777" w:rsidR="000A4969" w:rsidRPr="008C4A39" w:rsidRDefault="000A4969" w:rsidP="000A4969">
            <w:pPr>
              <w:rPr>
                <w:szCs w:val="24"/>
              </w:rPr>
            </w:pPr>
            <w:r w:rsidRPr="008C4A39">
              <w:rPr>
                <w:szCs w:val="24"/>
              </w:rPr>
              <w:t>The system must be able to check the list of authorized EO.</w:t>
            </w:r>
          </w:p>
        </w:tc>
      </w:tr>
      <w:tr w:rsidR="000A4969" w:rsidRPr="008C4A39" w14:paraId="0CE2C5A7"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276FF3A5"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191F56BE"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72C560CC"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r w:rsidR="000A4969" w:rsidRPr="008C4A39" w14:paraId="0D9C1670" w14:textId="77777777" w:rsidTr="00883B07">
        <w:tc>
          <w:tcPr>
            <w:tcW w:w="2425" w:type="dxa"/>
          </w:tcPr>
          <w:p w14:paraId="624F6866" w14:textId="77777777" w:rsidR="000A4969" w:rsidRPr="008C4A39" w:rsidRDefault="000A4969" w:rsidP="000A4969">
            <w:pPr>
              <w:ind w:left="738" w:right="-14" w:hanging="738"/>
              <w:jc w:val="left"/>
              <w:rPr>
                <w:szCs w:val="24"/>
              </w:rPr>
            </w:pPr>
            <w:r w:rsidRPr="008C4A39">
              <w:rPr>
                <w:szCs w:val="24"/>
              </w:rPr>
              <w:t>FR560</w:t>
            </w:r>
          </w:p>
        </w:tc>
        <w:tc>
          <w:tcPr>
            <w:tcW w:w="6930" w:type="dxa"/>
          </w:tcPr>
          <w:p w14:paraId="1B6505CC" w14:textId="498F3FD4" w:rsidR="000A4969" w:rsidRPr="008C4A39" w:rsidRDefault="000A4969" w:rsidP="000A4969">
            <w:pPr>
              <w:rPr>
                <w:szCs w:val="24"/>
              </w:rPr>
            </w:pPr>
            <w:r w:rsidRPr="008C4A39">
              <w:rPr>
                <w:szCs w:val="24"/>
              </w:rPr>
              <w:t xml:space="preserve">The system must be able to </w:t>
            </w:r>
            <w:r w:rsidR="00BD3FCB">
              <w:rPr>
                <w:szCs w:val="24"/>
              </w:rPr>
              <w:t>n</w:t>
            </w:r>
            <w:r w:rsidRPr="008C4A39">
              <w:rPr>
                <w:szCs w:val="24"/>
              </w:rPr>
              <w:t>otify Payment Service about expected payment of fees/charges.</w:t>
            </w:r>
          </w:p>
        </w:tc>
      </w:tr>
      <w:tr w:rsidR="000A4969" w:rsidRPr="008C4A39" w14:paraId="2D6C32DE"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38158A6C" w14:textId="77777777" w:rsidR="000A4969" w:rsidRPr="008C4A39" w:rsidRDefault="000A4969" w:rsidP="000A4969">
            <w:pPr>
              <w:ind w:right="-360"/>
              <w:jc w:val="left"/>
              <w:rPr>
                <w:szCs w:val="24"/>
              </w:rPr>
            </w:pPr>
            <w:r w:rsidRPr="008C4A39">
              <w:rPr>
                <w:szCs w:val="24"/>
              </w:rPr>
              <w:t xml:space="preserve">Bidder’s technical reasons supporting compliance:  </w:t>
            </w:r>
          </w:p>
        </w:tc>
      </w:tr>
      <w:tr w:rsidR="000A4969" w:rsidRPr="008C4A39" w14:paraId="2A576A6C" w14:textId="77777777" w:rsidTr="00883B07">
        <w:tc>
          <w:tcPr>
            <w:tcW w:w="9355" w:type="dxa"/>
            <w:gridSpan w:val="2"/>
            <w:tcBorders>
              <w:top w:val="single" w:sz="4" w:space="0" w:color="auto"/>
              <w:left w:val="single" w:sz="4" w:space="0" w:color="auto"/>
              <w:bottom w:val="single" w:sz="4" w:space="0" w:color="auto"/>
              <w:right w:val="single" w:sz="4" w:space="0" w:color="auto"/>
            </w:tcBorders>
          </w:tcPr>
          <w:p w14:paraId="2AE83C20" w14:textId="77777777" w:rsidR="000A4969" w:rsidRPr="008C4A39" w:rsidRDefault="000A4969" w:rsidP="000A4969">
            <w:pPr>
              <w:ind w:right="-360"/>
              <w:jc w:val="left"/>
              <w:rPr>
                <w:szCs w:val="24"/>
              </w:rPr>
            </w:pPr>
            <w:r w:rsidRPr="008C4A39">
              <w:rPr>
                <w:szCs w:val="24"/>
              </w:rPr>
              <w:t>Bidder’s cross references to supporting information in Technical Bid:</w:t>
            </w:r>
          </w:p>
        </w:tc>
      </w:tr>
    </w:tbl>
    <w:tbl>
      <w:tblPr>
        <w:tblStyle w:val="TableGrid"/>
        <w:tblW w:w="9265" w:type="dxa"/>
        <w:tblLook w:val="04A0" w:firstRow="1" w:lastRow="0" w:firstColumn="1" w:lastColumn="0" w:noHBand="0" w:noVBand="1"/>
      </w:tblPr>
      <w:tblGrid>
        <w:gridCol w:w="2405"/>
        <w:gridCol w:w="6771"/>
        <w:gridCol w:w="89"/>
      </w:tblGrid>
      <w:tr w:rsidR="00366663" w:rsidRPr="008C4A39" w14:paraId="365EEA6D" w14:textId="77777777" w:rsidTr="001136D3">
        <w:trPr>
          <w:gridAfter w:val="1"/>
          <w:wAfter w:w="90" w:type="dxa"/>
        </w:trPr>
        <w:tc>
          <w:tcPr>
            <w:tcW w:w="2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AEA463" w14:textId="77777777" w:rsidR="00366663" w:rsidRPr="008C4A39" w:rsidRDefault="00366663" w:rsidP="00883B07">
            <w:pPr>
              <w:spacing w:after="0"/>
              <w:rPr>
                <w:b/>
                <w:szCs w:val="24"/>
              </w:rPr>
            </w:pPr>
            <w:r w:rsidRPr="008C4A39">
              <w:rPr>
                <w:b/>
                <w:szCs w:val="24"/>
              </w:rPr>
              <w:t>Tech. Req. Number</w:t>
            </w:r>
          </w:p>
        </w:tc>
        <w:tc>
          <w:tcPr>
            <w:tcW w:w="6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E52F93" w14:textId="77777777" w:rsidR="00366663" w:rsidRPr="008C4A39" w:rsidRDefault="00366663" w:rsidP="00883B07">
            <w:pPr>
              <w:spacing w:after="0"/>
              <w:rPr>
                <w:b/>
                <w:szCs w:val="24"/>
              </w:rPr>
            </w:pPr>
            <w:r w:rsidRPr="008C4A39">
              <w:rPr>
                <w:b/>
                <w:szCs w:val="24"/>
              </w:rPr>
              <w:t>Technical Requirement</w:t>
            </w:r>
          </w:p>
        </w:tc>
      </w:tr>
      <w:tr w:rsidR="00366663" w:rsidRPr="008C4A39" w14:paraId="22EDE7E1"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72543122" w14:textId="77777777" w:rsidR="00366663" w:rsidRPr="008C4A39" w:rsidRDefault="00366663" w:rsidP="00883B07">
            <w:pPr>
              <w:rPr>
                <w:b/>
                <w:szCs w:val="24"/>
              </w:rPr>
            </w:pPr>
            <w:r w:rsidRPr="008C4A39">
              <w:rPr>
                <w:b/>
                <w:szCs w:val="24"/>
              </w:rPr>
              <w:t>1.2.5.2. Submit declaration/application using the integrated data set for customs and non-customs formalities</w:t>
            </w:r>
          </w:p>
        </w:tc>
      </w:tr>
      <w:tr w:rsidR="00AA17F6" w:rsidRPr="008C4A39" w14:paraId="2528BC7B" w14:textId="1FDDF6AA" w:rsidTr="001136D3">
        <w:trPr>
          <w:gridAfter w:val="1"/>
          <w:wAfter w:w="90" w:type="dxa"/>
        </w:trPr>
        <w:tc>
          <w:tcPr>
            <w:tcW w:w="2425" w:type="dxa"/>
            <w:tcBorders>
              <w:top w:val="single" w:sz="4" w:space="0" w:color="auto"/>
              <w:left w:val="single" w:sz="4" w:space="0" w:color="auto"/>
              <w:bottom w:val="single" w:sz="4" w:space="0" w:color="auto"/>
              <w:right w:val="single" w:sz="4" w:space="0" w:color="auto"/>
            </w:tcBorders>
          </w:tcPr>
          <w:p w14:paraId="13CFC798" w14:textId="649DD08E" w:rsidR="00AA17F6" w:rsidRPr="008C4A39" w:rsidRDefault="00AA17F6" w:rsidP="00AA17F6">
            <w:pPr>
              <w:rPr>
                <w:b/>
                <w:szCs w:val="24"/>
              </w:rPr>
            </w:pPr>
            <w:r w:rsidRPr="008E779D">
              <w:rPr>
                <w:szCs w:val="24"/>
              </w:rPr>
              <w:t>FR183</w:t>
            </w:r>
          </w:p>
        </w:tc>
        <w:tc>
          <w:tcPr>
            <w:tcW w:w="6840" w:type="dxa"/>
            <w:tcBorders>
              <w:top w:val="single" w:sz="4" w:space="0" w:color="auto"/>
              <w:left w:val="single" w:sz="4" w:space="0" w:color="auto"/>
              <w:bottom w:val="single" w:sz="4" w:space="0" w:color="auto"/>
              <w:right w:val="single" w:sz="4" w:space="0" w:color="auto"/>
            </w:tcBorders>
          </w:tcPr>
          <w:p w14:paraId="214C9427" w14:textId="36D6AC54" w:rsidR="00AA17F6" w:rsidRPr="008C4A39" w:rsidRDefault="00AA17F6" w:rsidP="00AA17F6">
            <w:pPr>
              <w:rPr>
                <w:b/>
                <w:szCs w:val="24"/>
              </w:rPr>
            </w:pPr>
            <w:r w:rsidRPr="00D76C30">
              <w:t xml:space="preserve">The declaration submission functionality must serve to provide for declaration with integrated set of data and transmit the completed declaration to the Customs declaration processing system that shall continue with declaration processing function. </w:t>
            </w:r>
          </w:p>
        </w:tc>
      </w:tr>
      <w:tr w:rsidR="00AA17F6" w:rsidRPr="008C4A39" w14:paraId="70936491"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07BCC9B9" w14:textId="795695D8" w:rsidR="00AA17F6" w:rsidRPr="008C4A39" w:rsidRDefault="00AA17F6" w:rsidP="00AA17F6">
            <w:pPr>
              <w:rPr>
                <w:b/>
                <w:szCs w:val="24"/>
              </w:rPr>
            </w:pPr>
            <w:r w:rsidRPr="008C4A39">
              <w:rPr>
                <w:szCs w:val="24"/>
              </w:rPr>
              <w:t xml:space="preserve">Bidder’s technical reasons supporting compliance:  </w:t>
            </w:r>
          </w:p>
        </w:tc>
      </w:tr>
      <w:tr w:rsidR="00AA17F6" w:rsidRPr="008C4A39" w14:paraId="67CECAA1"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425F9473" w14:textId="5E692E17" w:rsidR="00AA17F6" w:rsidRPr="008C4A39" w:rsidRDefault="00AA17F6" w:rsidP="00AA17F6">
            <w:pPr>
              <w:rPr>
                <w:b/>
                <w:szCs w:val="24"/>
              </w:rPr>
            </w:pPr>
            <w:r w:rsidRPr="008C4A39">
              <w:rPr>
                <w:szCs w:val="24"/>
              </w:rPr>
              <w:t>Bidder’s cross references to supporting information in Technical Bid:</w:t>
            </w:r>
          </w:p>
        </w:tc>
      </w:tr>
      <w:tr w:rsidR="00AA17F6" w:rsidRPr="008C4A39" w14:paraId="7EFE3170" w14:textId="77777777" w:rsidTr="001136D3">
        <w:trPr>
          <w:gridAfter w:val="1"/>
          <w:wAfter w:w="90" w:type="dxa"/>
        </w:trPr>
        <w:tc>
          <w:tcPr>
            <w:tcW w:w="2425" w:type="dxa"/>
            <w:tcBorders>
              <w:top w:val="single" w:sz="4" w:space="0" w:color="auto"/>
              <w:left w:val="single" w:sz="4" w:space="0" w:color="auto"/>
              <w:bottom w:val="single" w:sz="4" w:space="0" w:color="auto"/>
              <w:right w:val="single" w:sz="4" w:space="0" w:color="auto"/>
            </w:tcBorders>
          </w:tcPr>
          <w:p w14:paraId="1BE56667" w14:textId="77777777" w:rsidR="00AA17F6" w:rsidRPr="008C4A39" w:rsidRDefault="00AA17F6" w:rsidP="00AA17F6">
            <w:pPr>
              <w:spacing w:after="0"/>
              <w:rPr>
                <w:szCs w:val="24"/>
              </w:rPr>
            </w:pPr>
            <w:r w:rsidRPr="008C4A39">
              <w:rPr>
                <w:szCs w:val="24"/>
              </w:rPr>
              <w:t>FR474</w:t>
            </w:r>
          </w:p>
        </w:tc>
        <w:tc>
          <w:tcPr>
            <w:tcW w:w="6840" w:type="dxa"/>
            <w:tcBorders>
              <w:top w:val="single" w:sz="4" w:space="0" w:color="auto"/>
              <w:left w:val="single" w:sz="4" w:space="0" w:color="auto"/>
              <w:bottom w:val="single" w:sz="4" w:space="0" w:color="auto"/>
              <w:right w:val="single" w:sz="4" w:space="0" w:color="auto"/>
            </w:tcBorders>
          </w:tcPr>
          <w:p w14:paraId="4A9631B8" w14:textId="77777777" w:rsidR="00AA17F6" w:rsidRPr="008C4A39" w:rsidRDefault="00AA17F6" w:rsidP="00AA17F6">
            <w:pPr>
              <w:pStyle w:val="NormalWeb"/>
              <w:spacing w:before="0" w:beforeAutospacing="0" w:after="0" w:afterAutospacing="0"/>
              <w:rPr>
                <w:rFonts w:ascii="Times New Roman" w:hAnsi="Times New Roman" w:cs="Times New Roman"/>
              </w:rPr>
            </w:pPr>
            <w:r w:rsidRPr="008C4A39">
              <w:rPr>
                <w:rFonts w:ascii="Times New Roman" w:hAnsi="Times New Roman" w:cs="Times New Roman"/>
              </w:rPr>
              <w:t>The system must be able to receive and process integrated data set.</w:t>
            </w:r>
          </w:p>
        </w:tc>
      </w:tr>
      <w:tr w:rsidR="00AA17F6" w:rsidRPr="008C4A39" w14:paraId="4E558A4D"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78BB8E78" w14:textId="77777777" w:rsidR="00AA17F6" w:rsidRPr="008C4A39" w:rsidRDefault="00AA17F6" w:rsidP="00AA17F6">
            <w:pPr>
              <w:ind w:right="-360"/>
              <w:jc w:val="left"/>
              <w:rPr>
                <w:szCs w:val="24"/>
              </w:rPr>
            </w:pPr>
            <w:r w:rsidRPr="008C4A39">
              <w:rPr>
                <w:szCs w:val="24"/>
              </w:rPr>
              <w:t xml:space="preserve">Bidder’s technical reasons supporting compliance:  </w:t>
            </w:r>
          </w:p>
        </w:tc>
      </w:tr>
      <w:tr w:rsidR="00AA17F6" w:rsidRPr="008C4A39" w14:paraId="335D24DA"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42A79DCA" w14:textId="77777777" w:rsidR="00AA17F6" w:rsidRPr="008C4A39" w:rsidRDefault="00AA17F6" w:rsidP="00AA17F6">
            <w:pPr>
              <w:ind w:right="-360"/>
              <w:jc w:val="left"/>
              <w:rPr>
                <w:szCs w:val="24"/>
              </w:rPr>
            </w:pPr>
            <w:r w:rsidRPr="008C4A39">
              <w:rPr>
                <w:szCs w:val="24"/>
              </w:rPr>
              <w:t>Bidder’s cross references to supporting information in Technical Bid:</w:t>
            </w:r>
          </w:p>
        </w:tc>
      </w:tr>
      <w:tr w:rsidR="00AA17F6" w:rsidRPr="008C4A39" w14:paraId="5CFC7396" w14:textId="77777777" w:rsidTr="001136D3">
        <w:trPr>
          <w:gridAfter w:val="1"/>
          <w:wAfter w:w="90" w:type="dxa"/>
        </w:trPr>
        <w:tc>
          <w:tcPr>
            <w:tcW w:w="2425" w:type="dxa"/>
            <w:tcBorders>
              <w:top w:val="single" w:sz="4" w:space="0" w:color="auto"/>
              <w:left w:val="single" w:sz="4" w:space="0" w:color="auto"/>
              <w:bottom w:val="single" w:sz="4" w:space="0" w:color="auto"/>
              <w:right w:val="single" w:sz="4" w:space="0" w:color="auto"/>
            </w:tcBorders>
          </w:tcPr>
          <w:p w14:paraId="175B8A34" w14:textId="77777777" w:rsidR="00AA17F6" w:rsidRPr="008C4A39" w:rsidRDefault="00AA17F6" w:rsidP="00AA17F6">
            <w:pPr>
              <w:spacing w:after="0"/>
              <w:rPr>
                <w:szCs w:val="24"/>
              </w:rPr>
            </w:pPr>
            <w:r w:rsidRPr="008C4A39">
              <w:rPr>
                <w:szCs w:val="24"/>
              </w:rPr>
              <w:t>FR475</w:t>
            </w:r>
          </w:p>
        </w:tc>
        <w:tc>
          <w:tcPr>
            <w:tcW w:w="6840" w:type="dxa"/>
            <w:tcBorders>
              <w:top w:val="single" w:sz="4" w:space="0" w:color="auto"/>
              <w:left w:val="single" w:sz="4" w:space="0" w:color="auto"/>
              <w:bottom w:val="single" w:sz="4" w:space="0" w:color="auto"/>
              <w:right w:val="single" w:sz="4" w:space="0" w:color="auto"/>
            </w:tcBorders>
          </w:tcPr>
          <w:p w14:paraId="2DD1998D" w14:textId="77777777" w:rsidR="00AA17F6" w:rsidRPr="008C4A39" w:rsidRDefault="00AA17F6" w:rsidP="00AA17F6">
            <w:pPr>
              <w:pStyle w:val="NormalWeb"/>
              <w:spacing w:before="0" w:beforeAutospacing="0" w:after="0" w:afterAutospacing="0"/>
              <w:rPr>
                <w:rFonts w:ascii="Times New Roman" w:hAnsi="Times New Roman" w:cs="Times New Roman"/>
              </w:rPr>
            </w:pPr>
            <w:r w:rsidRPr="008C4A39">
              <w:rPr>
                <w:rFonts w:ascii="Times New Roman" w:hAnsi="Times New Roman" w:cs="Times New Roman"/>
              </w:rPr>
              <w:t>The system must be able to extract information which are relevant to the request for LPCO and to send it to the appropriate CBRA.</w:t>
            </w:r>
          </w:p>
        </w:tc>
      </w:tr>
      <w:tr w:rsidR="00AA17F6" w:rsidRPr="008C4A39" w14:paraId="69E84AFB"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5BEB38A0" w14:textId="77777777" w:rsidR="00AA17F6" w:rsidRPr="008C4A39" w:rsidRDefault="00AA17F6" w:rsidP="00AA17F6">
            <w:pPr>
              <w:ind w:right="-360"/>
              <w:jc w:val="left"/>
              <w:rPr>
                <w:szCs w:val="24"/>
              </w:rPr>
            </w:pPr>
            <w:r w:rsidRPr="008C4A39">
              <w:rPr>
                <w:szCs w:val="24"/>
              </w:rPr>
              <w:lastRenderedPageBreak/>
              <w:t xml:space="preserve">Bidder’s technical reasons supporting compliance:  </w:t>
            </w:r>
          </w:p>
        </w:tc>
      </w:tr>
      <w:tr w:rsidR="00AA17F6" w:rsidRPr="008C4A39" w14:paraId="5BBCAB8A"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0F917EDD" w14:textId="77777777" w:rsidR="00AA17F6" w:rsidRPr="008C4A39" w:rsidRDefault="00AA17F6" w:rsidP="00AA17F6">
            <w:pPr>
              <w:ind w:right="-360"/>
              <w:jc w:val="left"/>
              <w:rPr>
                <w:szCs w:val="24"/>
              </w:rPr>
            </w:pPr>
            <w:r w:rsidRPr="008C4A39">
              <w:rPr>
                <w:szCs w:val="24"/>
              </w:rPr>
              <w:t>Bidder’s cross references to supporting information in Technical Bid:</w:t>
            </w:r>
          </w:p>
        </w:tc>
      </w:tr>
      <w:tr w:rsidR="00AA17F6" w:rsidRPr="008C4A39" w14:paraId="17D84004" w14:textId="77777777" w:rsidTr="001136D3">
        <w:trPr>
          <w:gridAfter w:val="1"/>
          <w:wAfter w:w="90" w:type="dxa"/>
        </w:trPr>
        <w:tc>
          <w:tcPr>
            <w:tcW w:w="2425" w:type="dxa"/>
            <w:tcBorders>
              <w:top w:val="single" w:sz="4" w:space="0" w:color="auto"/>
              <w:left w:val="single" w:sz="4" w:space="0" w:color="auto"/>
              <w:bottom w:val="single" w:sz="4" w:space="0" w:color="auto"/>
              <w:right w:val="single" w:sz="4" w:space="0" w:color="auto"/>
            </w:tcBorders>
          </w:tcPr>
          <w:p w14:paraId="700DC35E" w14:textId="77777777" w:rsidR="00AA17F6" w:rsidRPr="008C4A39" w:rsidRDefault="00AA17F6" w:rsidP="00AA17F6">
            <w:pPr>
              <w:spacing w:after="0"/>
              <w:rPr>
                <w:szCs w:val="24"/>
              </w:rPr>
            </w:pPr>
            <w:r w:rsidRPr="008C4A39">
              <w:rPr>
                <w:szCs w:val="24"/>
              </w:rPr>
              <w:t>FR476</w:t>
            </w:r>
          </w:p>
        </w:tc>
        <w:tc>
          <w:tcPr>
            <w:tcW w:w="6840" w:type="dxa"/>
            <w:tcBorders>
              <w:top w:val="single" w:sz="4" w:space="0" w:color="auto"/>
              <w:left w:val="single" w:sz="4" w:space="0" w:color="auto"/>
              <w:bottom w:val="single" w:sz="4" w:space="0" w:color="auto"/>
              <w:right w:val="single" w:sz="4" w:space="0" w:color="auto"/>
            </w:tcBorders>
          </w:tcPr>
          <w:p w14:paraId="5B0CDF1D" w14:textId="77777777" w:rsidR="00AA17F6" w:rsidRPr="008C4A39" w:rsidRDefault="00AA17F6" w:rsidP="00AA17F6">
            <w:pPr>
              <w:pStyle w:val="NormalWeb"/>
              <w:spacing w:before="0" w:beforeAutospacing="0" w:after="0" w:afterAutospacing="0"/>
              <w:rPr>
                <w:rFonts w:ascii="Times New Roman" w:hAnsi="Times New Roman" w:cs="Times New Roman"/>
              </w:rPr>
            </w:pPr>
            <w:r w:rsidRPr="008C4A39">
              <w:rPr>
                <w:rFonts w:ascii="Times New Roman" w:hAnsi="Times New Roman" w:cs="Times New Roman"/>
              </w:rPr>
              <w:t>The system must be able to update the customs data set with the information about the LPCO, and to send it to the Customs system.</w:t>
            </w:r>
          </w:p>
        </w:tc>
      </w:tr>
      <w:tr w:rsidR="00AA17F6" w:rsidRPr="008C4A39" w14:paraId="0BAD11BA"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5E1CA32E" w14:textId="77777777" w:rsidR="00AA17F6" w:rsidRPr="008C4A39" w:rsidRDefault="00AA17F6" w:rsidP="00AA17F6">
            <w:pPr>
              <w:ind w:right="-360"/>
              <w:jc w:val="left"/>
              <w:rPr>
                <w:szCs w:val="24"/>
              </w:rPr>
            </w:pPr>
            <w:r w:rsidRPr="008C4A39">
              <w:rPr>
                <w:szCs w:val="24"/>
              </w:rPr>
              <w:t xml:space="preserve">Bidder’s technical reasons supporting compliance:  </w:t>
            </w:r>
          </w:p>
        </w:tc>
      </w:tr>
      <w:tr w:rsidR="00AA17F6" w:rsidRPr="008C4A39" w14:paraId="1E88F879" w14:textId="77777777" w:rsidTr="00883B07">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098DC346" w14:textId="77777777" w:rsidR="00AA17F6" w:rsidRPr="008C4A39" w:rsidRDefault="00AA17F6" w:rsidP="00AA17F6">
            <w:pPr>
              <w:ind w:right="-360"/>
              <w:jc w:val="left"/>
              <w:rPr>
                <w:szCs w:val="24"/>
              </w:rPr>
            </w:pPr>
            <w:r w:rsidRPr="008C4A39">
              <w:rPr>
                <w:szCs w:val="24"/>
              </w:rPr>
              <w:t>Bidder’s cross references to supporting information in Technical Bid:</w:t>
            </w:r>
          </w:p>
        </w:tc>
      </w:tr>
      <w:tr w:rsidR="00930D96" w:rsidRPr="008C4A39" w14:paraId="62E4BB37" w14:textId="77777777" w:rsidTr="001136D3">
        <w:trPr>
          <w:tblHeader/>
        </w:trPr>
        <w:tc>
          <w:tcPr>
            <w:tcW w:w="2425" w:type="dxa"/>
            <w:shd w:val="clear" w:color="auto" w:fill="D9D9D9" w:themeFill="background1" w:themeFillShade="D9"/>
          </w:tcPr>
          <w:p w14:paraId="7D7AF04B" w14:textId="77777777" w:rsidR="00930D96" w:rsidRPr="008C4A39" w:rsidRDefault="00930D96" w:rsidP="00883B07">
            <w:pPr>
              <w:rPr>
                <w:b/>
                <w:szCs w:val="24"/>
              </w:rPr>
            </w:pPr>
            <w:r w:rsidRPr="008C4A39">
              <w:rPr>
                <w:b/>
                <w:szCs w:val="24"/>
              </w:rPr>
              <w:t>Tech. Req. Number</w:t>
            </w:r>
          </w:p>
        </w:tc>
        <w:tc>
          <w:tcPr>
            <w:tcW w:w="6930" w:type="dxa"/>
            <w:gridSpan w:val="2"/>
            <w:shd w:val="clear" w:color="auto" w:fill="D9D9D9" w:themeFill="background1" w:themeFillShade="D9"/>
          </w:tcPr>
          <w:p w14:paraId="70616175" w14:textId="77777777" w:rsidR="00930D96" w:rsidRPr="008C4A39" w:rsidRDefault="00930D96" w:rsidP="00883B07">
            <w:pPr>
              <w:rPr>
                <w:b/>
                <w:szCs w:val="24"/>
              </w:rPr>
            </w:pPr>
            <w:r w:rsidRPr="008C4A39">
              <w:rPr>
                <w:b/>
                <w:szCs w:val="24"/>
              </w:rPr>
              <w:t>Technical Requirement</w:t>
            </w:r>
          </w:p>
        </w:tc>
      </w:tr>
      <w:tr w:rsidR="00930D96" w:rsidRPr="008C4A39" w14:paraId="1DF6602B" w14:textId="77777777" w:rsidTr="00883B07">
        <w:tc>
          <w:tcPr>
            <w:tcW w:w="9355" w:type="dxa"/>
            <w:gridSpan w:val="3"/>
          </w:tcPr>
          <w:p w14:paraId="7BEF149A" w14:textId="77777777" w:rsidR="00930D96" w:rsidRPr="008C4A39" w:rsidRDefault="00930D96" w:rsidP="00883B07">
            <w:pPr>
              <w:rPr>
                <w:b/>
                <w:szCs w:val="24"/>
              </w:rPr>
            </w:pPr>
            <w:r w:rsidRPr="008C4A39">
              <w:rPr>
                <w:b/>
                <w:szCs w:val="24"/>
              </w:rPr>
              <w:t>1.2.6.1.5. Provide Information about the Availability and Quantity Reservation to Customs</w:t>
            </w:r>
          </w:p>
        </w:tc>
      </w:tr>
      <w:tr w:rsidR="00930D96" w:rsidRPr="008C4A39" w14:paraId="0D9EFDD3" w14:textId="77777777" w:rsidTr="001136D3">
        <w:tc>
          <w:tcPr>
            <w:tcW w:w="2425" w:type="dxa"/>
          </w:tcPr>
          <w:p w14:paraId="0FD40DCB" w14:textId="77777777" w:rsidR="00930D96" w:rsidRPr="008C4A39" w:rsidRDefault="00930D96" w:rsidP="00883B07">
            <w:pPr>
              <w:rPr>
                <w:szCs w:val="24"/>
              </w:rPr>
            </w:pPr>
            <w:r w:rsidRPr="008C4A39">
              <w:rPr>
                <w:szCs w:val="24"/>
              </w:rPr>
              <w:t>FR459</w:t>
            </w:r>
          </w:p>
        </w:tc>
        <w:tc>
          <w:tcPr>
            <w:tcW w:w="6930" w:type="dxa"/>
            <w:gridSpan w:val="2"/>
          </w:tcPr>
          <w:p w14:paraId="5521D2C0" w14:textId="484BB6A8" w:rsidR="00930D96" w:rsidRPr="008C4A39" w:rsidRDefault="00930D96" w:rsidP="00883B07">
            <w:pPr>
              <w:rPr>
                <w:szCs w:val="24"/>
              </w:rPr>
            </w:pPr>
            <w:r w:rsidRPr="008C4A39">
              <w:rPr>
                <w:szCs w:val="24"/>
              </w:rPr>
              <w:t>The system must be able to perform validation of the request for LPCO for availability and/or quantity</w:t>
            </w:r>
            <w:r w:rsidR="0074162C">
              <w:rPr>
                <w:szCs w:val="24"/>
              </w:rPr>
              <w:t xml:space="preserve"> reservation</w:t>
            </w:r>
            <w:r w:rsidRPr="008C4A39">
              <w:rPr>
                <w:szCs w:val="24"/>
              </w:rPr>
              <w:t>.</w:t>
            </w:r>
          </w:p>
        </w:tc>
      </w:tr>
      <w:tr w:rsidR="00930D96" w:rsidRPr="008C4A39" w14:paraId="62FB1DE9" w14:textId="77777777" w:rsidTr="00883B07">
        <w:tc>
          <w:tcPr>
            <w:tcW w:w="9355" w:type="dxa"/>
            <w:gridSpan w:val="3"/>
          </w:tcPr>
          <w:p w14:paraId="277C349C"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30FE99A" w14:textId="77777777" w:rsidTr="00883B07">
        <w:tc>
          <w:tcPr>
            <w:tcW w:w="9355" w:type="dxa"/>
            <w:gridSpan w:val="3"/>
          </w:tcPr>
          <w:p w14:paraId="56B75A4C" w14:textId="77777777" w:rsidR="00930D96" w:rsidRPr="008C4A39" w:rsidRDefault="00930D96" w:rsidP="00883B07">
            <w:pPr>
              <w:rPr>
                <w:szCs w:val="24"/>
              </w:rPr>
            </w:pPr>
            <w:r w:rsidRPr="008C4A39">
              <w:rPr>
                <w:szCs w:val="24"/>
              </w:rPr>
              <w:t>Bidder’s cross references to supporting information in Technical Bid:</w:t>
            </w:r>
          </w:p>
        </w:tc>
      </w:tr>
      <w:tr w:rsidR="0074162C" w:rsidRPr="008C4A39" w14:paraId="33425109" w14:textId="70DA9822" w:rsidTr="001136D3">
        <w:tc>
          <w:tcPr>
            <w:tcW w:w="2425" w:type="dxa"/>
          </w:tcPr>
          <w:p w14:paraId="4ED0971F" w14:textId="36DE5A65" w:rsidR="0074162C" w:rsidRPr="008C4A39" w:rsidRDefault="0074162C" w:rsidP="00DE1F8A">
            <w:pPr>
              <w:rPr>
                <w:szCs w:val="24"/>
              </w:rPr>
            </w:pPr>
            <w:r w:rsidRPr="00DE1F8A">
              <w:rPr>
                <w:szCs w:val="24"/>
              </w:rPr>
              <w:t>FR</w:t>
            </w:r>
            <w:r w:rsidR="009C1237" w:rsidRPr="00DE1F8A">
              <w:rPr>
                <w:szCs w:val="24"/>
              </w:rPr>
              <w:t>433</w:t>
            </w:r>
          </w:p>
        </w:tc>
        <w:tc>
          <w:tcPr>
            <w:tcW w:w="6930" w:type="dxa"/>
            <w:gridSpan w:val="2"/>
          </w:tcPr>
          <w:p w14:paraId="0D0B4492" w14:textId="657FA128" w:rsidR="0074162C" w:rsidRPr="008C4A39" w:rsidRDefault="0074162C" w:rsidP="0074162C">
            <w:pPr>
              <w:rPr>
                <w:szCs w:val="24"/>
              </w:rPr>
            </w:pPr>
            <w:r>
              <w:rPr>
                <w:szCs w:val="24"/>
              </w:rPr>
              <w:t>The system must be able to retrieve information of LPCO.</w:t>
            </w:r>
          </w:p>
        </w:tc>
      </w:tr>
      <w:tr w:rsidR="0074162C" w:rsidRPr="008C4A39" w14:paraId="56691F86" w14:textId="77777777" w:rsidTr="00883B07">
        <w:tc>
          <w:tcPr>
            <w:tcW w:w="9355" w:type="dxa"/>
            <w:gridSpan w:val="3"/>
          </w:tcPr>
          <w:p w14:paraId="4A69C2F5" w14:textId="46DC4F01" w:rsidR="0074162C" w:rsidRDefault="0074162C" w:rsidP="0074162C">
            <w:pPr>
              <w:rPr>
                <w:szCs w:val="24"/>
              </w:rPr>
            </w:pPr>
            <w:r w:rsidRPr="008C4A39">
              <w:rPr>
                <w:szCs w:val="24"/>
              </w:rPr>
              <w:t xml:space="preserve">Bidder’s technical reasons supporting compliance:  </w:t>
            </w:r>
          </w:p>
        </w:tc>
      </w:tr>
      <w:tr w:rsidR="0074162C" w:rsidRPr="008C4A39" w14:paraId="56BF746E" w14:textId="77777777" w:rsidTr="00883B07">
        <w:tc>
          <w:tcPr>
            <w:tcW w:w="9355" w:type="dxa"/>
            <w:gridSpan w:val="3"/>
          </w:tcPr>
          <w:p w14:paraId="048E00C0" w14:textId="5F50A76D" w:rsidR="0074162C" w:rsidRDefault="0074162C" w:rsidP="0074162C">
            <w:pPr>
              <w:rPr>
                <w:szCs w:val="24"/>
              </w:rPr>
            </w:pPr>
            <w:r w:rsidRPr="008C4A39">
              <w:rPr>
                <w:szCs w:val="24"/>
              </w:rPr>
              <w:t>Bidder’s cross references to supporting information in Technical Bid:</w:t>
            </w:r>
          </w:p>
        </w:tc>
      </w:tr>
      <w:tr w:rsidR="00930D96" w:rsidRPr="008C4A39" w14:paraId="27175108" w14:textId="77777777" w:rsidTr="001136D3">
        <w:tc>
          <w:tcPr>
            <w:tcW w:w="2425" w:type="dxa"/>
          </w:tcPr>
          <w:p w14:paraId="2481AA8A" w14:textId="543CC219" w:rsidR="00930D96" w:rsidRPr="008C4A39" w:rsidRDefault="00930D96" w:rsidP="00DE1F8A">
            <w:pPr>
              <w:rPr>
                <w:szCs w:val="24"/>
              </w:rPr>
            </w:pPr>
            <w:r w:rsidRPr="00DE1F8A">
              <w:rPr>
                <w:szCs w:val="24"/>
              </w:rPr>
              <w:t>FR</w:t>
            </w:r>
            <w:r w:rsidR="00CF0E73" w:rsidRPr="00DE1F8A">
              <w:rPr>
                <w:szCs w:val="24"/>
              </w:rPr>
              <w:t>434</w:t>
            </w:r>
          </w:p>
        </w:tc>
        <w:tc>
          <w:tcPr>
            <w:tcW w:w="6930" w:type="dxa"/>
            <w:gridSpan w:val="2"/>
          </w:tcPr>
          <w:p w14:paraId="1D7831B3" w14:textId="77777777" w:rsidR="00930D96" w:rsidRPr="008C4A39" w:rsidRDefault="00930D96" w:rsidP="00883B07">
            <w:pPr>
              <w:rPr>
                <w:szCs w:val="24"/>
              </w:rPr>
            </w:pPr>
            <w:r w:rsidRPr="008C4A39">
              <w:rPr>
                <w:szCs w:val="24"/>
              </w:rPr>
              <w:t>The system must be able to identify the availability of the LPCO.</w:t>
            </w:r>
          </w:p>
        </w:tc>
      </w:tr>
      <w:tr w:rsidR="00930D96" w:rsidRPr="008C4A39" w14:paraId="5AF6B3C4" w14:textId="77777777" w:rsidTr="00883B07">
        <w:tc>
          <w:tcPr>
            <w:tcW w:w="9355" w:type="dxa"/>
            <w:gridSpan w:val="3"/>
          </w:tcPr>
          <w:p w14:paraId="448C71CE"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ADC9ED6" w14:textId="77777777" w:rsidTr="00883B07">
        <w:tc>
          <w:tcPr>
            <w:tcW w:w="9355" w:type="dxa"/>
            <w:gridSpan w:val="3"/>
          </w:tcPr>
          <w:p w14:paraId="455B4E6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E198B86" w14:textId="77777777" w:rsidTr="001136D3">
        <w:tc>
          <w:tcPr>
            <w:tcW w:w="2425" w:type="dxa"/>
          </w:tcPr>
          <w:p w14:paraId="5CC65F84" w14:textId="77777777" w:rsidR="00930D96" w:rsidRPr="008C4A39" w:rsidRDefault="00930D96" w:rsidP="00883B07">
            <w:pPr>
              <w:rPr>
                <w:szCs w:val="24"/>
              </w:rPr>
            </w:pPr>
            <w:r w:rsidRPr="008C4A39">
              <w:rPr>
                <w:szCs w:val="24"/>
              </w:rPr>
              <w:t>FR464</w:t>
            </w:r>
          </w:p>
        </w:tc>
        <w:tc>
          <w:tcPr>
            <w:tcW w:w="6930" w:type="dxa"/>
            <w:gridSpan w:val="2"/>
          </w:tcPr>
          <w:p w14:paraId="414B3ABF" w14:textId="18568509" w:rsidR="00930D96" w:rsidRPr="008C4A39" w:rsidRDefault="00930D96" w:rsidP="00883B07">
            <w:pPr>
              <w:rPr>
                <w:szCs w:val="24"/>
              </w:rPr>
            </w:pPr>
            <w:r w:rsidRPr="008C4A39">
              <w:rPr>
                <w:szCs w:val="24"/>
              </w:rPr>
              <w:t xml:space="preserve">The system must be able to request (send message) to other Competent Authority License Systems, where the LPCO was </w:t>
            </w:r>
            <w:proofErr w:type="gramStart"/>
            <w:r w:rsidRPr="008C4A39">
              <w:rPr>
                <w:szCs w:val="24"/>
              </w:rPr>
              <w:t>issued</w:t>
            </w:r>
            <w:proofErr w:type="gramEnd"/>
            <w:r w:rsidRPr="008C4A39">
              <w:rPr>
                <w:szCs w:val="24"/>
              </w:rPr>
              <w:t xml:space="preserve"> and availability and quantity</w:t>
            </w:r>
            <w:r w:rsidR="004D47E9">
              <w:rPr>
                <w:szCs w:val="24"/>
              </w:rPr>
              <w:t xml:space="preserve"> reservation</w:t>
            </w:r>
            <w:r w:rsidRPr="008C4A39">
              <w:rPr>
                <w:szCs w:val="24"/>
              </w:rPr>
              <w:t xml:space="preserve"> will be managed in those systems.</w:t>
            </w:r>
          </w:p>
        </w:tc>
      </w:tr>
      <w:tr w:rsidR="00930D96" w:rsidRPr="008C4A39" w14:paraId="6F0C571F" w14:textId="77777777" w:rsidTr="00883B07">
        <w:tc>
          <w:tcPr>
            <w:tcW w:w="9355" w:type="dxa"/>
            <w:gridSpan w:val="3"/>
          </w:tcPr>
          <w:p w14:paraId="350A813A"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5838075" w14:textId="77777777" w:rsidTr="00883B07">
        <w:tc>
          <w:tcPr>
            <w:tcW w:w="9355" w:type="dxa"/>
            <w:gridSpan w:val="3"/>
          </w:tcPr>
          <w:p w14:paraId="47774449"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3EA35913" w14:textId="77777777" w:rsidTr="001136D3">
        <w:tc>
          <w:tcPr>
            <w:tcW w:w="2425" w:type="dxa"/>
          </w:tcPr>
          <w:p w14:paraId="60E3DD79" w14:textId="77777777" w:rsidR="00930D96" w:rsidRPr="008C4A39" w:rsidRDefault="00930D96" w:rsidP="00883B07">
            <w:pPr>
              <w:rPr>
                <w:szCs w:val="24"/>
              </w:rPr>
            </w:pPr>
            <w:r w:rsidRPr="008C4A39">
              <w:rPr>
                <w:szCs w:val="24"/>
              </w:rPr>
              <w:t>FR465</w:t>
            </w:r>
          </w:p>
        </w:tc>
        <w:tc>
          <w:tcPr>
            <w:tcW w:w="6930" w:type="dxa"/>
            <w:gridSpan w:val="2"/>
          </w:tcPr>
          <w:p w14:paraId="20B4440D" w14:textId="3CF6D3F1" w:rsidR="00930D96" w:rsidRPr="008C4A39" w:rsidRDefault="00930D96" w:rsidP="00883B07">
            <w:pPr>
              <w:rPr>
                <w:szCs w:val="24"/>
              </w:rPr>
            </w:pPr>
            <w:r w:rsidRPr="008C4A39">
              <w:rPr>
                <w:szCs w:val="24"/>
              </w:rPr>
              <w:t>The system must be able to send Message to SEED+ to check the LPCO Availability and Quantity</w:t>
            </w:r>
            <w:r w:rsidR="004D47E9">
              <w:rPr>
                <w:szCs w:val="24"/>
              </w:rPr>
              <w:t xml:space="preserve"> reservation</w:t>
            </w:r>
            <w:r w:rsidRPr="008C4A39">
              <w:rPr>
                <w:szCs w:val="24"/>
              </w:rPr>
              <w:t>.</w:t>
            </w:r>
          </w:p>
        </w:tc>
      </w:tr>
      <w:tr w:rsidR="00930D96" w:rsidRPr="008C4A39" w14:paraId="729AD18E" w14:textId="77777777" w:rsidTr="00883B07">
        <w:tc>
          <w:tcPr>
            <w:tcW w:w="9355" w:type="dxa"/>
            <w:gridSpan w:val="3"/>
          </w:tcPr>
          <w:p w14:paraId="1B9D0A24"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16ED8E0" w14:textId="77777777" w:rsidTr="00883B07">
        <w:tc>
          <w:tcPr>
            <w:tcW w:w="9355" w:type="dxa"/>
            <w:gridSpan w:val="3"/>
          </w:tcPr>
          <w:p w14:paraId="3866238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80D7EF2" w14:textId="77777777" w:rsidTr="001136D3">
        <w:tc>
          <w:tcPr>
            <w:tcW w:w="2425" w:type="dxa"/>
          </w:tcPr>
          <w:p w14:paraId="5482DE7E" w14:textId="77777777" w:rsidR="00930D96" w:rsidRPr="008C4A39" w:rsidRDefault="00930D96" w:rsidP="00883B07">
            <w:pPr>
              <w:rPr>
                <w:szCs w:val="24"/>
              </w:rPr>
            </w:pPr>
            <w:r w:rsidRPr="008C4A39">
              <w:rPr>
                <w:szCs w:val="24"/>
              </w:rPr>
              <w:t>FR466</w:t>
            </w:r>
          </w:p>
        </w:tc>
        <w:tc>
          <w:tcPr>
            <w:tcW w:w="6930" w:type="dxa"/>
            <w:gridSpan w:val="2"/>
          </w:tcPr>
          <w:p w14:paraId="3B9E6ECD" w14:textId="72D7BE0A" w:rsidR="00930D96" w:rsidRPr="008C4A39" w:rsidRDefault="00930D96" w:rsidP="00883B07">
            <w:pPr>
              <w:rPr>
                <w:szCs w:val="24"/>
              </w:rPr>
            </w:pPr>
            <w:r w:rsidRPr="008C4A39">
              <w:rPr>
                <w:szCs w:val="24"/>
              </w:rPr>
              <w:t>The system must be able to send Message to EU CERTEX to check the LPCO Availability and Quantity</w:t>
            </w:r>
            <w:r w:rsidR="004D47E9">
              <w:rPr>
                <w:szCs w:val="24"/>
              </w:rPr>
              <w:t xml:space="preserve"> reservation</w:t>
            </w:r>
            <w:r w:rsidRPr="008C4A39">
              <w:rPr>
                <w:szCs w:val="24"/>
              </w:rPr>
              <w:t>.</w:t>
            </w:r>
          </w:p>
        </w:tc>
      </w:tr>
      <w:tr w:rsidR="00930D96" w:rsidRPr="008C4A39" w14:paraId="5165EF5A" w14:textId="77777777" w:rsidTr="00883B07">
        <w:tc>
          <w:tcPr>
            <w:tcW w:w="9355" w:type="dxa"/>
            <w:gridSpan w:val="3"/>
          </w:tcPr>
          <w:p w14:paraId="48CBE6E6"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AAF9EE2" w14:textId="77777777" w:rsidTr="00883B07">
        <w:tc>
          <w:tcPr>
            <w:tcW w:w="9355" w:type="dxa"/>
            <w:gridSpan w:val="3"/>
          </w:tcPr>
          <w:p w14:paraId="4E9C3BD1"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1759C95" w14:textId="77777777" w:rsidTr="001136D3">
        <w:tc>
          <w:tcPr>
            <w:tcW w:w="2425" w:type="dxa"/>
          </w:tcPr>
          <w:p w14:paraId="1E6F3BC4" w14:textId="77777777" w:rsidR="00930D96" w:rsidRPr="008C4A39" w:rsidRDefault="00930D96" w:rsidP="00883B07">
            <w:pPr>
              <w:rPr>
                <w:szCs w:val="24"/>
              </w:rPr>
            </w:pPr>
            <w:r w:rsidRPr="008C4A39">
              <w:rPr>
                <w:szCs w:val="24"/>
              </w:rPr>
              <w:lastRenderedPageBreak/>
              <w:t>FR467</w:t>
            </w:r>
          </w:p>
        </w:tc>
        <w:tc>
          <w:tcPr>
            <w:tcW w:w="6930" w:type="dxa"/>
            <w:gridSpan w:val="2"/>
          </w:tcPr>
          <w:p w14:paraId="2C5484C1" w14:textId="77777777" w:rsidR="00930D96" w:rsidRPr="008C4A39" w:rsidRDefault="00930D96" w:rsidP="00883B07">
            <w:pPr>
              <w:rPr>
                <w:szCs w:val="24"/>
              </w:rPr>
            </w:pPr>
            <w:r w:rsidRPr="008C4A39">
              <w:rPr>
                <w:szCs w:val="24"/>
              </w:rPr>
              <w:t>The system must be able to identify if the request for LPCO availability and quantity reservation is for amended declaration.</w:t>
            </w:r>
          </w:p>
        </w:tc>
      </w:tr>
      <w:tr w:rsidR="00930D96" w:rsidRPr="008C4A39" w14:paraId="4AC68C50" w14:textId="77777777" w:rsidTr="00883B07">
        <w:tc>
          <w:tcPr>
            <w:tcW w:w="9355" w:type="dxa"/>
            <w:gridSpan w:val="3"/>
          </w:tcPr>
          <w:p w14:paraId="5804CA02"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61788241" w14:textId="77777777" w:rsidTr="00883B07">
        <w:tc>
          <w:tcPr>
            <w:tcW w:w="9355" w:type="dxa"/>
            <w:gridSpan w:val="3"/>
          </w:tcPr>
          <w:p w14:paraId="3E01ADE2"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2AF9F091" w14:textId="77777777" w:rsidTr="001136D3">
        <w:tc>
          <w:tcPr>
            <w:tcW w:w="2425" w:type="dxa"/>
          </w:tcPr>
          <w:p w14:paraId="6729D892" w14:textId="77777777" w:rsidR="00930D96" w:rsidRPr="008C4A39" w:rsidRDefault="00930D96" w:rsidP="00883B07">
            <w:pPr>
              <w:rPr>
                <w:szCs w:val="24"/>
              </w:rPr>
            </w:pPr>
            <w:r w:rsidRPr="008C4A39">
              <w:rPr>
                <w:szCs w:val="24"/>
              </w:rPr>
              <w:t>FR468</w:t>
            </w:r>
          </w:p>
        </w:tc>
        <w:tc>
          <w:tcPr>
            <w:tcW w:w="6930" w:type="dxa"/>
            <w:gridSpan w:val="2"/>
          </w:tcPr>
          <w:p w14:paraId="4B663487" w14:textId="77777777" w:rsidR="00930D96" w:rsidRPr="008C4A39" w:rsidRDefault="00930D96" w:rsidP="00883B07">
            <w:pPr>
              <w:rPr>
                <w:szCs w:val="24"/>
              </w:rPr>
            </w:pPr>
            <w:r w:rsidRPr="008C4A39">
              <w:rPr>
                <w:szCs w:val="24"/>
              </w:rPr>
              <w:t>The system when declaration is amended, must release the existing quantity reservation.</w:t>
            </w:r>
          </w:p>
        </w:tc>
      </w:tr>
      <w:tr w:rsidR="00930D96" w:rsidRPr="008C4A39" w14:paraId="6AEDE674" w14:textId="77777777" w:rsidTr="00883B07">
        <w:tc>
          <w:tcPr>
            <w:tcW w:w="9355" w:type="dxa"/>
            <w:gridSpan w:val="3"/>
          </w:tcPr>
          <w:p w14:paraId="518EB621"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270E0B53" w14:textId="77777777" w:rsidTr="00883B07">
        <w:tc>
          <w:tcPr>
            <w:tcW w:w="9355" w:type="dxa"/>
            <w:gridSpan w:val="3"/>
          </w:tcPr>
          <w:p w14:paraId="43AEE182"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EBFABB0" w14:textId="77777777" w:rsidTr="001136D3">
        <w:tc>
          <w:tcPr>
            <w:tcW w:w="2425" w:type="dxa"/>
          </w:tcPr>
          <w:p w14:paraId="60D5337C" w14:textId="77777777" w:rsidR="00930D96" w:rsidRPr="008C4A39" w:rsidRDefault="00930D96" w:rsidP="00883B07">
            <w:pPr>
              <w:rPr>
                <w:szCs w:val="24"/>
              </w:rPr>
            </w:pPr>
            <w:r w:rsidRPr="008C4A39">
              <w:rPr>
                <w:szCs w:val="24"/>
              </w:rPr>
              <w:t>FR469</w:t>
            </w:r>
          </w:p>
        </w:tc>
        <w:tc>
          <w:tcPr>
            <w:tcW w:w="6930" w:type="dxa"/>
            <w:gridSpan w:val="2"/>
          </w:tcPr>
          <w:p w14:paraId="6E250F0F" w14:textId="77777777" w:rsidR="00930D96" w:rsidRPr="008C4A39" w:rsidRDefault="00930D96" w:rsidP="00883B07">
            <w:pPr>
              <w:rPr>
                <w:szCs w:val="24"/>
              </w:rPr>
            </w:pPr>
            <w:r w:rsidRPr="008C4A39">
              <w:rPr>
                <w:szCs w:val="24"/>
              </w:rPr>
              <w:t>The NSW must be able to record the quantity for Use of LPCO.  For amended declaration, new quantity is entered.</w:t>
            </w:r>
          </w:p>
        </w:tc>
      </w:tr>
      <w:tr w:rsidR="00930D96" w:rsidRPr="008C4A39" w14:paraId="7F4764E7" w14:textId="77777777" w:rsidTr="00883B07">
        <w:tc>
          <w:tcPr>
            <w:tcW w:w="9355" w:type="dxa"/>
            <w:gridSpan w:val="3"/>
          </w:tcPr>
          <w:p w14:paraId="3A2A2E85"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A40BD34" w14:textId="77777777" w:rsidTr="00883B07">
        <w:tc>
          <w:tcPr>
            <w:tcW w:w="9355" w:type="dxa"/>
            <w:gridSpan w:val="3"/>
          </w:tcPr>
          <w:p w14:paraId="70F6E1C9"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3D55C6A9" w14:textId="77777777" w:rsidTr="001136D3">
        <w:tc>
          <w:tcPr>
            <w:tcW w:w="2425" w:type="dxa"/>
          </w:tcPr>
          <w:p w14:paraId="30A73DFF" w14:textId="77777777" w:rsidR="00930D96" w:rsidRPr="008C4A39" w:rsidRDefault="00930D96" w:rsidP="00883B07">
            <w:pPr>
              <w:rPr>
                <w:szCs w:val="24"/>
              </w:rPr>
            </w:pPr>
            <w:r w:rsidRPr="008C4A39">
              <w:rPr>
                <w:szCs w:val="24"/>
              </w:rPr>
              <w:t>FR470</w:t>
            </w:r>
          </w:p>
        </w:tc>
        <w:tc>
          <w:tcPr>
            <w:tcW w:w="6930" w:type="dxa"/>
            <w:gridSpan w:val="2"/>
          </w:tcPr>
          <w:p w14:paraId="1B022BC4" w14:textId="01373E16" w:rsidR="00930D96" w:rsidRPr="008C4A39" w:rsidRDefault="00930D96" w:rsidP="00883B07">
            <w:pPr>
              <w:rPr>
                <w:szCs w:val="24"/>
              </w:rPr>
            </w:pPr>
            <w:r w:rsidRPr="008C4A39">
              <w:rPr>
                <w:szCs w:val="24"/>
              </w:rPr>
              <w:t>The system must be able to identify quantity from request for LPCO availability and quantity</w:t>
            </w:r>
            <w:r w:rsidR="004D47E9">
              <w:rPr>
                <w:szCs w:val="24"/>
              </w:rPr>
              <w:t xml:space="preserve"> reservation</w:t>
            </w:r>
            <w:r w:rsidRPr="008C4A39">
              <w:rPr>
                <w:szCs w:val="24"/>
              </w:rPr>
              <w:t>, if the quantities are sufficient and a reservation can be made.</w:t>
            </w:r>
          </w:p>
        </w:tc>
      </w:tr>
      <w:tr w:rsidR="00930D96" w:rsidRPr="008C4A39" w14:paraId="562055E0" w14:textId="77777777" w:rsidTr="00883B07">
        <w:tc>
          <w:tcPr>
            <w:tcW w:w="9355" w:type="dxa"/>
            <w:gridSpan w:val="3"/>
          </w:tcPr>
          <w:p w14:paraId="1EB30DAD"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A72EF12" w14:textId="77777777" w:rsidTr="00883B07">
        <w:tc>
          <w:tcPr>
            <w:tcW w:w="9355" w:type="dxa"/>
            <w:gridSpan w:val="3"/>
          </w:tcPr>
          <w:p w14:paraId="318B5CC6"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21F19526" w14:textId="77777777" w:rsidTr="001136D3">
        <w:tc>
          <w:tcPr>
            <w:tcW w:w="2425" w:type="dxa"/>
          </w:tcPr>
          <w:p w14:paraId="364A68E5" w14:textId="77777777" w:rsidR="00930D96" w:rsidRPr="008C4A39" w:rsidRDefault="00930D96" w:rsidP="00883B07">
            <w:pPr>
              <w:rPr>
                <w:szCs w:val="24"/>
              </w:rPr>
            </w:pPr>
            <w:r w:rsidRPr="008C4A39">
              <w:rPr>
                <w:szCs w:val="24"/>
              </w:rPr>
              <w:t>FR471</w:t>
            </w:r>
          </w:p>
        </w:tc>
        <w:tc>
          <w:tcPr>
            <w:tcW w:w="6930" w:type="dxa"/>
            <w:gridSpan w:val="2"/>
          </w:tcPr>
          <w:p w14:paraId="5FA6ED7C" w14:textId="3D71CBFF" w:rsidR="00930D96" w:rsidRPr="008C4A39" w:rsidRDefault="00930D96" w:rsidP="00883B07">
            <w:pPr>
              <w:rPr>
                <w:szCs w:val="24"/>
              </w:rPr>
            </w:pPr>
            <w:r w:rsidRPr="008C4A39">
              <w:rPr>
                <w:szCs w:val="24"/>
              </w:rPr>
              <w:t>The system must be able to reserve quantity for request for LPCO availability and quantity</w:t>
            </w:r>
            <w:r w:rsidR="004D47E9">
              <w:rPr>
                <w:szCs w:val="24"/>
              </w:rPr>
              <w:t xml:space="preserve"> reservation</w:t>
            </w:r>
            <w:r w:rsidRPr="008C4A39">
              <w:rPr>
                <w:szCs w:val="24"/>
              </w:rPr>
              <w:t>.</w:t>
            </w:r>
          </w:p>
        </w:tc>
      </w:tr>
      <w:tr w:rsidR="00930D96" w:rsidRPr="008C4A39" w14:paraId="5DD70BC0" w14:textId="77777777" w:rsidTr="00883B07">
        <w:tc>
          <w:tcPr>
            <w:tcW w:w="9355" w:type="dxa"/>
            <w:gridSpan w:val="3"/>
          </w:tcPr>
          <w:p w14:paraId="4BF3AA3F"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F457C55" w14:textId="77777777" w:rsidTr="00883B07">
        <w:tc>
          <w:tcPr>
            <w:tcW w:w="9355" w:type="dxa"/>
            <w:gridSpan w:val="3"/>
          </w:tcPr>
          <w:p w14:paraId="1DEAAEED"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5E05EF6A" w14:textId="77777777" w:rsidTr="001136D3">
        <w:tc>
          <w:tcPr>
            <w:tcW w:w="2425" w:type="dxa"/>
          </w:tcPr>
          <w:p w14:paraId="37BFB899" w14:textId="77777777" w:rsidR="00930D96" w:rsidRPr="008C4A39" w:rsidRDefault="00930D96" w:rsidP="00883B07">
            <w:pPr>
              <w:rPr>
                <w:szCs w:val="24"/>
              </w:rPr>
            </w:pPr>
            <w:r w:rsidRPr="008C4A39">
              <w:rPr>
                <w:szCs w:val="24"/>
              </w:rPr>
              <w:t>FR472</w:t>
            </w:r>
          </w:p>
        </w:tc>
        <w:tc>
          <w:tcPr>
            <w:tcW w:w="6930" w:type="dxa"/>
            <w:gridSpan w:val="2"/>
          </w:tcPr>
          <w:p w14:paraId="511998C0" w14:textId="77777777" w:rsidR="00930D96" w:rsidRPr="008C4A39" w:rsidRDefault="00930D96" w:rsidP="00883B07">
            <w:pPr>
              <w:rPr>
                <w:szCs w:val="24"/>
              </w:rPr>
            </w:pPr>
            <w:r w:rsidRPr="008C4A39">
              <w:rPr>
                <w:szCs w:val="24"/>
              </w:rPr>
              <w:t>The system must be able to notify Customs Declaration Processing Systems (CDEPS and NCTS) for information for LPCO</w:t>
            </w:r>
          </w:p>
        </w:tc>
      </w:tr>
      <w:tr w:rsidR="00930D96" w:rsidRPr="008C4A39" w14:paraId="40B5D6AA" w14:textId="77777777" w:rsidTr="00883B07">
        <w:tc>
          <w:tcPr>
            <w:tcW w:w="9355" w:type="dxa"/>
            <w:gridSpan w:val="3"/>
          </w:tcPr>
          <w:p w14:paraId="24BEA467"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F029950" w14:textId="77777777" w:rsidTr="00883B07">
        <w:tc>
          <w:tcPr>
            <w:tcW w:w="9355" w:type="dxa"/>
            <w:gridSpan w:val="3"/>
          </w:tcPr>
          <w:p w14:paraId="1AF90A08"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5EB4358" w14:textId="77777777" w:rsidTr="001136D3">
        <w:tc>
          <w:tcPr>
            <w:tcW w:w="2425" w:type="dxa"/>
          </w:tcPr>
          <w:p w14:paraId="01C08C0D" w14:textId="77777777" w:rsidR="00930D96" w:rsidRPr="008C4A39" w:rsidRDefault="00930D96" w:rsidP="00883B07">
            <w:pPr>
              <w:rPr>
                <w:szCs w:val="24"/>
              </w:rPr>
            </w:pPr>
            <w:r w:rsidRPr="008C4A39">
              <w:rPr>
                <w:szCs w:val="24"/>
              </w:rPr>
              <w:t>FR473</w:t>
            </w:r>
          </w:p>
        </w:tc>
        <w:tc>
          <w:tcPr>
            <w:tcW w:w="6930" w:type="dxa"/>
            <w:gridSpan w:val="2"/>
          </w:tcPr>
          <w:p w14:paraId="52C9771C" w14:textId="77777777" w:rsidR="00930D96" w:rsidRPr="008C4A39" w:rsidRDefault="00930D96" w:rsidP="00883B07">
            <w:pPr>
              <w:rPr>
                <w:szCs w:val="24"/>
              </w:rPr>
            </w:pPr>
            <w:r w:rsidRPr="008C4A39">
              <w:rPr>
                <w:szCs w:val="24"/>
              </w:rPr>
              <w:t>The system must be able to notify Customs Declaration Processing Systems (CDEPS and NCTS) for errors.</w:t>
            </w:r>
          </w:p>
        </w:tc>
      </w:tr>
      <w:tr w:rsidR="00930D96" w:rsidRPr="008C4A39" w14:paraId="3131B8E3" w14:textId="77777777" w:rsidTr="00883B07">
        <w:tc>
          <w:tcPr>
            <w:tcW w:w="9355" w:type="dxa"/>
            <w:gridSpan w:val="3"/>
          </w:tcPr>
          <w:p w14:paraId="7D834D19"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08995231" w14:textId="77777777" w:rsidTr="00883B07">
        <w:tc>
          <w:tcPr>
            <w:tcW w:w="9355" w:type="dxa"/>
            <w:gridSpan w:val="3"/>
          </w:tcPr>
          <w:p w14:paraId="5B8E993B" w14:textId="77777777" w:rsidR="00930D96" w:rsidRPr="008C4A39" w:rsidRDefault="00930D96" w:rsidP="00883B07">
            <w:pPr>
              <w:rPr>
                <w:szCs w:val="24"/>
              </w:rPr>
            </w:pPr>
            <w:r w:rsidRPr="008C4A39">
              <w:rPr>
                <w:szCs w:val="24"/>
              </w:rPr>
              <w:t>Bidder’s cross references to supporting information in Technical Bid:</w:t>
            </w:r>
          </w:p>
        </w:tc>
      </w:tr>
      <w:tr w:rsidR="0074162C" w:rsidRPr="008C4A39" w14:paraId="5D282EE1" w14:textId="77777777" w:rsidTr="001136D3">
        <w:trPr>
          <w:gridAfter w:val="1"/>
          <w:wAfter w:w="90" w:type="dxa"/>
          <w:tblHeader/>
        </w:trPr>
        <w:tc>
          <w:tcPr>
            <w:tcW w:w="2425" w:type="dxa"/>
            <w:shd w:val="clear" w:color="auto" w:fill="D9D9D9" w:themeFill="background1" w:themeFillShade="D9"/>
          </w:tcPr>
          <w:p w14:paraId="1C32A3F1" w14:textId="77777777" w:rsidR="0074162C" w:rsidRPr="008C4A39" w:rsidRDefault="0074162C" w:rsidP="001B187C">
            <w:pPr>
              <w:rPr>
                <w:b/>
                <w:szCs w:val="24"/>
              </w:rPr>
            </w:pPr>
            <w:r w:rsidRPr="008C4A39">
              <w:rPr>
                <w:b/>
                <w:szCs w:val="24"/>
              </w:rPr>
              <w:t>Tech. Req. Number</w:t>
            </w:r>
          </w:p>
        </w:tc>
        <w:tc>
          <w:tcPr>
            <w:tcW w:w="6840" w:type="dxa"/>
            <w:shd w:val="clear" w:color="auto" w:fill="D9D9D9" w:themeFill="background1" w:themeFillShade="D9"/>
          </w:tcPr>
          <w:p w14:paraId="5DC80301" w14:textId="77777777" w:rsidR="0074162C" w:rsidRPr="008C4A39" w:rsidRDefault="0074162C" w:rsidP="001B187C">
            <w:pPr>
              <w:jc w:val="left"/>
              <w:rPr>
                <w:b/>
                <w:szCs w:val="24"/>
              </w:rPr>
            </w:pPr>
            <w:r w:rsidRPr="008C4A39">
              <w:rPr>
                <w:b/>
                <w:szCs w:val="24"/>
              </w:rPr>
              <w:t>Technical Requirement</w:t>
            </w:r>
          </w:p>
        </w:tc>
      </w:tr>
      <w:tr w:rsidR="0074162C" w:rsidRPr="008C4A39" w14:paraId="0626DE28" w14:textId="77777777" w:rsidTr="001B187C">
        <w:trPr>
          <w:gridAfter w:val="1"/>
          <w:wAfter w:w="90" w:type="dxa"/>
        </w:trPr>
        <w:tc>
          <w:tcPr>
            <w:tcW w:w="9265" w:type="dxa"/>
            <w:gridSpan w:val="2"/>
          </w:tcPr>
          <w:p w14:paraId="699B4EB1" w14:textId="4BE4A899" w:rsidR="0074162C" w:rsidRPr="008C4A39" w:rsidRDefault="004D47E9" w:rsidP="001B187C">
            <w:pPr>
              <w:rPr>
                <w:b/>
                <w:szCs w:val="24"/>
              </w:rPr>
            </w:pPr>
            <w:r>
              <w:rPr>
                <w:b/>
                <w:szCs w:val="24"/>
              </w:rPr>
              <w:t>1.2.6.1.6</w:t>
            </w:r>
            <w:r w:rsidR="0074162C" w:rsidRPr="008C4A39">
              <w:rPr>
                <w:b/>
                <w:szCs w:val="24"/>
              </w:rPr>
              <w:t>. Register the Use of LPCO</w:t>
            </w:r>
          </w:p>
        </w:tc>
      </w:tr>
      <w:tr w:rsidR="0074162C" w:rsidRPr="008C4A39" w14:paraId="64163694" w14:textId="77777777" w:rsidTr="001136D3">
        <w:trPr>
          <w:gridAfter w:val="1"/>
          <w:wAfter w:w="90" w:type="dxa"/>
        </w:trPr>
        <w:tc>
          <w:tcPr>
            <w:tcW w:w="2425" w:type="dxa"/>
          </w:tcPr>
          <w:p w14:paraId="1C254FB1" w14:textId="77777777" w:rsidR="0074162C" w:rsidRPr="008C4A39" w:rsidRDefault="0074162C" w:rsidP="001B187C">
            <w:pPr>
              <w:rPr>
                <w:szCs w:val="24"/>
              </w:rPr>
            </w:pPr>
            <w:r w:rsidRPr="008C4A39">
              <w:rPr>
                <w:szCs w:val="24"/>
              </w:rPr>
              <w:t>FR106</w:t>
            </w:r>
          </w:p>
        </w:tc>
        <w:tc>
          <w:tcPr>
            <w:tcW w:w="6840" w:type="dxa"/>
          </w:tcPr>
          <w:p w14:paraId="5E6F04C1" w14:textId="77777777" w:rsidR="0074162C" w:rsidRPr="008C4A39" w:rsidRDefault="0074162C" w:rsidP="001B187C">
            <w:pPr>
              <w:rPr>
                <w:szCs w:val="24"/>
              </w:rPr>
            </w:pPr>
            <w:r w:rsidRPr="008C4A39">
              <w:rPr>
                <w:szCs w:val="24"/>
              </w:rPr>
              <w:t>The NSW System shall establish a database of LPCO applications. For each LPCO application form, the list of Tariff codes that can be selected by Applicant will be linked to the form.</w:t>
            </w:r>
          </w:p>
        </w:tc>
      </w:tr>
      <w:tr w:rsidR="0074162C" w:rsidRPr="008C4A39" w14:paraId="72BC945F"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4338BD22" w14:textId="77777777" w:rsidR="0074162C" w:rsidRPr="008C4A39" w:rsidRDefault="0074162C" w:rsidP="001B187C">
            <w:pPr>
              <w:ind w:right="-360"/>
              <w:jc w:val="left"/>
              <w:rPr>
                <w:szCs w:val="24"/>
              </w:rPr>
            </w:pPr>
            <w:r w:rsidRPr="008C4A39">
              <w:rPr>
                <w:szCs w:val="24"/>
              </w:rPr>
              <w:lastRenderedPageBreak/>
              <w:t xml:space="preserve">Bidder’s technical reasons supporting compliance:  </w:t>
            </w:r>
          </w:p>
        </w:tc>
      </w:tr>
      <w:tr w:rsidR="0074162C" w:rsidRPr="008C4A39" w14:paraId="3604EF5F"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4794E43E" w14:textId="77777777" w:rsidR="0074162C" w:rsidRPr="008C4A39" w:rsidRDefault="0074162C" w:rsidP="001B187C">
            <w:pPr>
              <w:ind w:right="-360"/>
              <w:jc w:val="left"/>
              <w:rPr>
                <w:szCs w:val="24"/>
              </w:rPr>
            </w:pPr>
            <w:r w:rsidRPr="008C4A39">
              <w:rPr>
                <w:szCs w:val="24"/>
              </w:rPr>
              <w:t>Bidder’s cross references to supporting information in Technical Bid:</w:t>
            </w:r>
          </w:p>
        </w:tc>
      </w:tr>
      <w:tr w:rsidR="0074162C" w:rsidRPr="008C4A39" w14:paraId="4D8E19FE" w14:textId="77777777" w:rsidTr="001136D3">
        <w:trPr>
          <w:gridAfter w:val="1"/>
          <w:wAfter w:w="90" w:type="dxa"/>
          <w:tblHeader/>
        </w:trPr>
        <w:tc>
          <w:tcPr>
            <w:tcW w:w="2425" w:type="dxa"/>
            <w:shd w:val="clear" w:color="auto" w:fill="auto"/>
          </w:tcPr>
          <w:p w14:paraId="7457231D" w14:textId="77777777" w:rsidR="0074162C" w:rsidRPr="008C4A39" w:rsidRDefault="0074162C" w:rsidP="001B187C">
            <w:pPr>
              <w:rPr>
                <w:szCs w:val="24"/>
              </w:rPr>
            </w:pPr>
            <w:r w:rsidRPr="008C4A39">
              <w:rPr>
                <w:szCs w:val="24"/>
              </w:rPr>
              <w:t>FR120</w:t>
            </w:r>
          </w:p>
        </w:tc>
        <w:tc>
          <w:tcPr>
            <w:tcW w:w="6840" w:type="dxa"/>
            <w:shd w:val="clear" w:color="auto" w:fill="auto"/>
          </w:tcPr>
          <w:p w14:paraId="4DEB0E3D" w14:textId="77777777" w:rsidR="0074162C" w:rsidRPr="008C4A39" w:rsidRDefault="0074162C" w:rsidP="001B187C">
            <w:pPr>
              <w:rPr>
                <w:szCs w:val="24"/>
              </w:rPr>
            </w:pPr>
            <w:r w:rsidRPr="008C4A39">
              <w:rPr>
                <w:szCs w:val="24"/>
              </w:rPr>
              <w:t>The NSW System shall provide functionality to view an application form with all associated documentation.</w:t>
            </w:r>
          </w:p>
        </w:tc>
      </w:tr>
      <w:tr w:rsidR="0074162C" w:rsidRPr="008C4A39" w14:paraId="01275822"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5F880B53" w14:textId="77777777" w:rsidR="0074162C" w:rsidRPr="008C4A39" w:rsidRDefault="0074162C" w:rsidP="001B187C">
            <w:pPr>
              <w:ind w:right="-360"/>
              <w:jc w:val="left"/>
              <w:rPr>
                <w:szCs w:val="24"/>
              </w:rPr>
            </w:pPr>
            <w:r w:rsidRPr="008C4A39">
              <w:rPr>
                <w:szCs w:val="24"/>
              </w:rPr>
              <w:t xml:space="preserve">Bidder’s technical reasons supporting compliance:  </w:t>
            </w:r>
          </w:p>
        </w:tc>
      </w:tr>
      <w:tr w:rsidR="0074162C" w:rsidRPr="008C4A39" w14:paraId="2DA1F038"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5D6CAFD2" w14:textId="77777777" w:rsidR="0074162C" w:rsidRPr="008C4A39" w:rsidRDefault="0074162C" w:rsidP="001B187C">
            <w:pPr>
              <w:ind w:right="-360"/>
              <w:jc w:val="left"/>
              <w:rPr>
                <w:szCs w:val="24"/>
              </w:rPr>
            </w:pPr>
            <w:r w:rsidRPr="008C4A39">
              <w:rPr>
                <w:szCs w:val="24"/>
              </w:rPr>
              <w:t>Bidder’s cross references to supporting information in Technical Bid:</w:t>
            </w:r>
          </w:p>
        </w:tc>
      </w:tr>
      <w:tr w:rsidR="004D47E9" w:rsidRPr="008C4A39" w14:paraId="3A391619" w14:textId="77777777" w:rsidTr="001136D3">
        <w:trPr>
          <w:gridAfter w:val="1"/>
          <w:wAfter w:w="90" w:type="dxa"/>
          <w:tblHeader/>
        </w:trPr>
        <w:tc>
          <w:tcPr>
            <w:tcW w:w="2425" w:type="dxa"/>
            <w:tcBorders>
              <w:top w:val="single" w:sz="4" w:space="0" w:color="auto"/>
              <w:left w:val="single" w:sz="4" w:space="0" w:color="auto"/>
              <w:bottom w:val="single" w:sz="4" w:space="0" w:color="auto"/>
              <w:right w:val="single" w:sz="4" w:space="0" w:color="auto"/>
            </w:tcBorders>
          </w:tcPr>
          <w:p w14:paraId="7DBFB5F5" w14:textId="3628A86E" w:rsidR="004D47E9" w:rsidRPr="008C4A39" w:rsidRDefault="004D47E9" w:rsidP="004D47E9">
            <w:pPr>
              <w:ind w:right="-360"/>
              <w:jc w:val="left"/>
              <w:rPr>
                <w:szCs w:val="24"/>
              </w:rPr>
            </w:pPr>
            <w:r>
              <w:rPr>
                <w:szCs w:val="24"/>
              </w:rPr>
              <w:t>FR153</w:t>
            </w:r>
          </w:p>
        </w:tc>
        <w:tc>
          <w:tcPr>
            <w:tcW w:w="6840" w:type="dxa"/>
            <w:tcBorders>
              <w:top w:val="single" w:sz="4" w:space="0" w:color="auto"/>
              <w:left w:val="single" w:sz="4" w:space="0" w:color="auto"/>
              <w:bottom w:val="single" w:sz="4" w:space="0" w:color="auto"/>
              <w:right w:val="single" w:sz="4" w:space="0" w:color="auto"/>
            </w:tcBorders>
          </w:tcPr>
          <w:p w14:paraId="6001A58E" w14:textId="50D24B24" w:rsidR="004D47E9" w:rsidRPr="008C4A39" w:rsidRDefault="004D47E9" w:rsidP="004D47E9">
            <w:pPr>
              <w:ind w:right="-360"/>
              <w:jc w:val="left"/>
              <w:rPr>
                <w:szCs w:val="24"/>
              </w:rPr>
            </w:pPr>
            <w:r>
              <w:rPr>
                <w:szCs w:val="24"/>
              </w:rPr>
              <w:t xml:space="preserve">For those LPCO </w:t>
            </w:r>
            <w:r w:rsidRPr="00C13577">
              <w:rPr>
                <w:szCs w:val="24"/>
              </w:rPr>
              <w:t>that will only be issued by paper,</w:t>
            </w:r>
            <w:r>
              <w:rPr>
                <w:szCs w:val="24"/>
              </w:rPr>
              <w:t xml:space="preserve"> a notification shall be issued to the Applicant upon successful application and payment. The LPCO shall be obtained at the counter of the CBRA. A QR code shall also be included in LPCO issued on paper. The requirement of the QR code is the same as that included in LPCO issued electronically.</w:t>
            </w:r>
          </w:p>
        </w:tc>
      </w:tr>
      <w:tr w:rsidR="004D47E9" w:rsidRPr="008C4A39" w14:paraId="39E8C690"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2E56257C" w14:textId="3BB83CF1"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283AAAA8"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29A48979" w14:textId="2606C9E9"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7C1BEC08" w14:textId="77777777" w:rsidTr="001136D3">
        <w:trPr>
          <w:gridAfter w:val="1"/>
          <w:wAfter w:w="90" w:type="dxa"/>
          <w:tblHeader/>
        </w:trPr>
        <w:tc>
          <w:tcPr>
            <w:tcW w:w="2425" w:type="dxa"/>
            <w:shd w:val="clear" w:color="auto" w:fill="auto"/>
          </w:tcPr>
          <w:p w14:paraId="1DE6B167" w14:textId="77777777" w:rsidR="004D47E9" w:rsidRPr="008C4A39" w:rsidRDefault="004D47E9" w:rsidP="004D47E9">
            <w:pPr>
              <w:rPr>
                <w:szCs w:val="24"/>
              </w:rPr>
            </w:pPr>
            <w:r w:rsidRPr="008C4A39">
              <w:rPr>
                <w:szCs w:val="24"/>
              </w:rPr>
              <w:t>FR155</w:t>
            </w:r>
          </w:p>
        </w:tc>
        <w:tc>
          <w:tcPr>
            <w:tcW w:w="6840" w:type="dxa"/>
            <w:shd w:val="clear" w:color="auto" w:fill="auto"/>
          </w:tcPr>
          <w:p w14:paraId="36307597" w14:textId="53A071FE" w:rsidR="004D47E9" w:rsidRPr="008C4A39" w:rsidRDefault="004D47E9">
            <w:pPr>
              <w:rPr>
                <w:szCs w:val="24"/>
              </w:rPr>
            </w:pPr>
            <w:r w:rsidRPr="008C4A39">
              <w:rPr>
                <w:szCs w:val="24"/>
              </w:rPr>
              <w:t>The trader shall be able to upload LPCOs issued abroad into the NSW</w:t>
            </w:r>
            <w:r>
              <w:rPr>
                <w:szCs w:val="24"/>
              </w:rPr>
              <w:t>.</w:t>
            </w:r>
            <w:r w:rsidRPr="008C4A39">
              <w:rPr>
                <w:szCs w:val="24"/>
              </w:rPr>
              <w:t xml:space="preserve"> </w:t>
            </w:r>
          </w:p>
        </w:tc>
      </w:tr>
      <w:tr w:rsidR="004D47E9" w:rsidRPr="008C4A39" w14:paraId="2CF1228F" w14:textId="77777777" w:rsidTr="001B187C">
        <w:trPr>
          <w:gridAfter w:val="1"/>
          <w:wAfter w:w="90" w:type="dxa"/>
          <w:tblHeader/>
        </w:trPr>
        <w:tc>
          <w:tcPr>
            <w:tcW w:w="9265" w:type="dxa"/>
            <w:gridSpan w:val="2"/>
            <w:shd w:val="clear" w:color="auto" w:fill="auto"/>
          </w:tcPr>
          <w:p w14:paraId="563AE85D"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39A7FECA" w14:textId="77777777" w:rsidTr="001B187C">
        <w:trPr>
          <w:gridAfter w:val="1"/>
          <w:wAfter w:w="90" w:type="dxa"/>
          <w:tblHeader/>
        </w:trPr>
        <w:tc>
          <w:tcPr>
            <w:tcW w:w="9265" w:type="dxa"/>
            <w:gridSpan w:val="2"/>
            <w:shd w:val="clear" w:color="auto" w:fill="auto"/>
          </w:tcPr>
          <w:p w14:paraId="39C79B92"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35F92F5B" w14:textId="77777777" w:rsidTr="001136D3">
        <w:trPr>
          <w:gridAfter w:val="1"/>
          <w:wAfter w:w="90" w:type="dxa"/>
          <w:tblHeader/>
        </w:trPr>
        <w:tc>
          <w:tcPr>
            <w:tcW w:w="2425" w:type="dxa"/>
            <w:shd w:val="clear" w:color="auto" w:fill="auto"/>
          </w:tcPr>
          <w:p w14:paraId="1C349E17" w14:textId="77777777" w:rsidR="004D47E9" w:rsidRPr="008C4A39" w:rsidRDefault="004D47E9" w:rsidP="004D47E9">
            <w:pPr>
              <w:rPr>
                <w:szCs w:val="24"/>
              </w:rPr>
            </w:pPr>
            <w:r w:rsidRPr="008C4A39">
              <w:rPr>
                <w:szCs w:val="24"/>
              </w:rPr>
              <w:t>FR158</w:t>
            </w:r>
          </w:p>
        </w:tc>
        <w:tc>
          <w:tcPr>
            <w:tcW w:w="6840" w:type="dxa"/>
            <w:shd w:val="clear" w:color="auto" w:fill="auto"/>
          </w:tcPr>
          <w:p w14:paraId="29A18C82" w14:textId="77777777" w:rsidR="004D47E9" w:rsidRPr="008C4A39" w:rsidRDefault="004D47E9" w:rsidP="004D47E9">
            <w:pPr>
              <w:rPr>
                <w:szCs w:val="24"/>
              </w:rPr>
            </w:pPr>
            <w:r w:rsidRPr="008C4A39">
              <w:rPr>
                <w:szCs w:val="24"/>
              </w:rPr>
              <w:t>The CBRA administrator shall be able to record the following SLAs:</w:t>
            </w:r>
          </w:p>
          <w:p w14:paraId="35981AE3" w14:textId="77777777" w:rsidR="004D47E9" w:rsidRPr="008C4A39" w:rsidRDefault="004D47E9" w:rsidP="00D530D5">
            <w:pPr>
              <w:pStyle w:val="ListParagraph"/>
              <w:numPr>
                <w:ilvl w:val="0"/>
                <w:numId w:val="109"/>
              </w:numPr>
              <w:rPr>
                <w:szCs w:val="24"/>
              </w:rPr>
            </w:pPr>
            <w:r w:rsidRPr="008C4A39">
              <w:rPr>
                <w:szCs w:val="24"/>
              </w:rPr>
              <w:t xml:space="preserve">Duration to process will be measured as from time when complete application has been submitted until CBRA has issued rejection or approval for </w:t>
            </w:r>
            <w:proofErr w:type="gramStart"/>
            <w:r w:rsidRPr="008C4A39">
              <w:rPr>
                <w:szCs w:val="24"/>
              </w:rPr>
              <w:t>application;</w:t>
            </w:r>
            <w:proofErr w:type="gramEnd"/>
          </w:p>
          <w:p w14:paraId="274C5121" w14:textId="77777777" w:rsidR="004D47E9" w:rsidRPr="008C4A39" w:rsidRDefault="004D47E9" w:rsidP="00D530D5">
            <w:pPr>
              <w:pStyle w:val="ListParagraph"/>
              <w:numPr>
                <w:ilvl w:val="0"/>
                <w:numId w:val="109"/>
              </w:numPr>
              <w:rPr>
                <w:szCs w:val="24"/>
              </w:rPr>
            </w:pPr>
            <w:r w:rsidRPr="008C4A39">
              <w:rPr>
                <w:szCs w:val="24"/>
              </w:rPr>
              <w:t xml:space="preserve">No. of hours or days to complete processing of </w:t>
            </w:r>
            <w:proofErr w:type="gramStart"/>
            <w:r w:rsidRPr="008C4A39">
              <w:rPr>
                <w:szCs w:val="24"/>
              </w:rPr>
              <w:t>inspection;</w:t>
            </w:r>
            <w:proofErr w:type="gramEnd"/>
          </w:p>
          <w:p w14:paraId="35D13096" w14:textId="77777777" w:rsidR="004D47E9" w:rsidRPr="008C4A39" w:rsidRDefault="004D47E9" w:rsidP="00D530D5">
            <w:pPr>
              <w:pStyle w:val="ListParagraph"/>
              <w:numPr>
                <w:ilvl w:val="0"/>
                <w:numId w:val="109"/>
              </w:numPr>
              <w:rPr>
                <w:szCs w:val="24"/>
              </w:rPr>
            </w:pPr>
            <w:r w:rsidRPr="008C4A39">
              <w:rPr>
                <w:szCs w:val="24"/>
              </w:rPr>
              <w:t>Time to complete will be measured as from time when Customs submits request to CBRA for cargo inspection and time when inspection results are entered on NSW; and</w:t>
            </w:r>
          </w:p>
          <w:p w14:paraId="3541BCEA" w14:textId="77777777" w:rsidR="004D47E9" w:rsidRPr="008C4A39" w:rsidRDefault="004D47E9" w:rsidP="00D530D5">
            <w:pPr>
              <w:pStyle w:val="ListParagraph"/>
              <w:numPr>
                <w:ilvl w:val="0"/>
                <w:numId w:val="109"/>
              </w:numPr>
              <w:rPr>
                <w:szCs w:val="24"/>
              </w:rPr>
            </w:pPr>
            <w:r w:rsidRPr="008C4A39">
              <w:rPr>
                <w:szCs w:val="24"/>
              </w:rPr>
              <w:t>SLAs shall be entered for each LPCO for which CBRA is responsible.</w:t>
            </w:r>
          </w:p>
        </w:tc>
      </w:tr>
      <w:tr w:rsidR="004D47E9" w:rsidRPr="008C4A39" w14:paraId="49647530"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339A8170"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7EA743F4"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2DF08190"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09360492" w14:textId="77777777" w:rsidTr="001136D3">
        <w:trPr>
          <w:gridAfter w:val="1"/>
          <w:wAfter w:w="90" w:type="dxa"/>
          <w:tblHeader/>
        </w:trPr>
        <w:tc>
          <w:tcPr>
            <w:tcW w:w="2425" w:type="dxa"/>
            <w:shd w:val="clear" w:color="auto" w:fill="auto"/>
          </w:tcPr>
          <w:p w14:paraId="2E1C7537" w14:textId="77777777" w:rsidR="004D47E9" w:rsidRPr="008C4A39" w:rsidRDefault="004D47E9" w:rsidP="004D47E9">
            <w:pPr>
              <w:rPr>
                <w:szCs w:val="24"/>
              </w:rPr>
            </w:pPr>
            <w:r w:rsidRPr="008C4A39">
              <w:rPr>
                <w:szCs w:val="24"/>
              </w:rPr>
              <w:t>FR169</w:t>
            </w:r>
          </w:p>
        </w:tc>
        <w:tc>
          <w:tcPr>
            <w:tcW w:w="6840" w:type="dxa"/>
            <w:shd w:val="clear" w:color="auto" w:fill="auto"/>
          </w:tcPr>
          <w:p w14:paraId="14C97DB3" w14:textId="77777777" w:rsidR="004D47E9" w:rsidRPr="008C4A39" w:rsidRDefault="004D47E9" w:rsidP="004D47E9">
            <w:pPr>
              <w:spacing w:after="0"/>
              <w:rPr>
                <w:szCs w:val="24"/>
              </w:rPr>
            </w:pPr>
            <w:r w:rsidRPr="008C4A39">
              <w:rPr>
                <w:szCs w:val="24"/>
              </w:rPr>
              <w:t>Provide the user with information from the goods nomenclature so classification of the goods to import/export can be done correctly. This functionality shall be accessible through a web-based interface where the user can browse the goods nomenclature tree.</w:t>
            </w:r>
            <w:r w:rsidRPr="008C4A39">
              <w:rPr>
                <w:szCs w:val="24"/>
              </w:rPr>
              <w:br/>
            </w:r>
            <w:r w:rsidRPr="008C4A39">
              <w:rPr>
                <w:szCs w:val="24"/>
              </w:rPr>
              <w:br/>
              <w:t>The output of this operation shall be a result page containing a tree structure of nomenclature data that reflects the relationship between codes in the goods nomenclature.</w:t>
            </w:r>
          </w:p>
          <w:p w14:paraId="10E7F0C8" w14:textId="77777777" w:rsidR="004D47E9" w:rsidRPr="008C4A39" w:rsidRDefault="004D47E9" w:rsidP="004D47E9">
            <w:pPr>
              <w:spacing w:after="0"/>
              <w:rPr>
                <w:szCs w:val="24"/>
              </w:rPr>
            </w:pPr>
            <w:r w:rsidRPr="008C4A39">
              <w:rPr>
                <w:szCs w:val="24"/>
              </w:rPr>
              <w:br/>
              <w:t>Following data shall be presented on all levels in the tree structure:</w:t>
            </w:r>
          </w:p>
          <w:p w14:paraId="2D0CD757" w14:textId="77777777" w:rsidR="004D47E9" w:rsidRPr="008C4A39" w:rsidRDefault="004D47E9" w:rsidP="00D530D5">
            <w:pPr>
              <w:pStyle w:val="ListParagraph"/>
              <w:numPr>
                <w:ilvl w:val="0"/>
                <w:numId w:val="111"/>
              </w:numPr>
              <w:rPr>
                <w:szCs w:val="24"/>
              </w:rPr>
            </w:pPr>
            <w:r w:rsidRPr="008C4A39">
              <w:rPr>
                <w:szCs w:val="24"/>
              </w:rPr>
              <w:lastRenderedPageBreak/>
              <w:t>Goods nomenclature code; and</w:t>
            </w:r>
          </w:p>
          <w:p w14:paraId="60ADDE4C" w14:textId="77777777" w:rsidR="004D47E9" w:rsidRPr="008C4A39" w:rsidRDefault="004D47E9" w:rsidP="00D530D5">
            <w:pPr>
              <w:pStyle w:val="ListParagraph"/>
              <w:numPr>
                <w:ilvl w:val="0"/>
                <w:numId w:val="111"/>
              </w:numPr>
              <w:rPr>
                <w:szCs w:val="24"/>
              </w:rPr>
            </w:pPr>
            <w:r w:rsidRPr="008C4A39">
              <w:rPr>
                <w:szCs w:val="24"/>
              </w:rPr>
              <w:t>Goods nomenclature code description.</w:t>
            </w:r>
          </w:p>
        </w:tc>
      </w:tr>
      <w:tr w:rsidR="004D47E9" w:rsidRPr="008C4A39" w14:paraId="316FDCD7"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785A0B49" w14:textId="77777777" w:rsidR="004D47E9" w:rsidRPr="008C4A39" w:rsidRDefault="004D47E9" w:rsidP="004D47E9">
            <w:pPr>
              <w:ind w:right="-360"/>
              <w:jc w:val="left"/>
              <w:rPr>
                <w:szCs w:val="24"/>
              </w:rPr>
            </w:pPr>
            <w:r w:rsidRPr="008C4A39">
              <w:rPr>
                <w:szCs w:val="24"/>
              </w:rPr>
              <w:lastRenderedPageBreak/>
              <w:t xml:space="preserve">Bidder’s technical reasons supporting compliance:  </w:t>
            </w:r>
          </w:p>
        </w:tc>
      </w:tr>
      <w:tr w:rsidR="004D47E9" w:rsidRPr="008C4A39" w14:paraId="356CFD8D"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2B77FE8C"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099DDD4D" w14:textId="77777777" w:rsidTr="001136D3">
        <w:trPr>
          <w:gridAfter w:val="1"/>
          <w:wAfter w:w="90" w:type="dxa"/>
          <w:tblHeader/>
        </w:trPr>
        <w:tc>
          <w:tcPr>
            <w:tcW w:w="2425" w:type="dxa"/>
            <w:shd w:val="clear" w:color="auto" w:fill="auto"/>
          </w:tcPr>
          <w:p w14:paraId="3147E902" w14:textId="77777777" w:rsidR="004D47E9" w:rsidRPr="008C4A39" w:rsidRDefault="004D47E9" w:rsidP="004D47E9">
            <w:pPr>
              <w:rPr>
                <w:szCs w:val="24"/>
              </w:rPr>
            </w:pPr>
            <w:r w:rsidRPr="008C4A39">
              <w:rPr>
                <w:szCs w:val="24"/>
              </w:rPr>
              <w:t>FR170</w:t>
            </w:r>
          </w:p>
        </w:tc>
        <w:tc>
          <w:tcPr>
            <w:tcW w:w="6840" w:type="dxa"/>
            <w:shd w:val="clear" w:color="auto" w:fill="auto"/>
          </w:tcPr>
          <w:p w14:paraId="2EC2C2F3" w14:textId="77777777" w:rsidR="004D47E9" w:rsidRPr="008C4A39" w:rsidRDefault="004D47E9" w:rsidP="004D47E9">
            <w:pPr>
              <w:rPr>
                <w:szCs w:val="24"/>
              </w:rPr>
            </w:pPr>
            <w:r w:rsidRPr="008C4A39">
              <w:rPr>
                <w:szCs w:val="24"/>
              </w:rPr>
              <w:t>The NSW must provide the user with classification notes so the classification of goods to import / export will be correct. This functionality shall be accessible through a web-based interface where the user can execute queries in the system. This means that not only the nomenclature but also the section, head notes and the Commentary Notes should be available in NSW.</w:t>
            </w:r>
          </w:p>
          <w:p w14:paraId="00BDBA39" w14:textId="77777777" w:rsidR="004D47E9" w:rsidRPr="008C4A39" w:rsidRDefault="004D47E9" w:rsidP="004D47E9">
            <w:pPr>
              <w:rPr>
                <w:szCs w:val="24"/>
              </w:rPr>
            </w:pPr>
            <w:r w:rsidRPr="008C4A39">
              <w:rPr>
                <w:szCs w:val="24"/>
              </w:rPr>
              <w:t>The output shall be text with instruction how to classify the goods on different level of granularity.</w:t>
            </w:r>
          </w:p>
        </w:tc>
      </w:tr>
      <w:tr w:rsidR="004D47E9" w:rsidRPr="008C4A39" w14:paraId="05A32326"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083F761E"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2579E5DD"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5E881426"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137FAB93" w14:textId="77777777" w:rsidTr="001136D3">
        <w:trPr>
          <w:gridAfter w:val="1"/>
          <w:wAfter w:w="90" w:type="dxa"/>
          <w:tblHeader/>
        </w:trPr>
        <w:tc>
          <w:tcPr>
            <w:tcW w:w="2425" w:type="dxa"/>
            <w:shd w:val="clear" w:color="auto" w:fill="auto"/>
          </w:tcPr>
          <w:p w14:paraId="5074083B" w14:textId="77777777" w:rsidR="004D47E9" w:rsidRPr="008C4A39" w:rsidRDefault="004D47E9" w:rsidP="004D47E9">
            <w:pPr>
              <w:rPr>
                <w:szCs w:val="24"/>
              </w:rPr>
            </w:pPr>
            <w:r w:rsidRPr="008C4A39">
              <w:rPr>
                <w:szCs w:val="24"/>
              </w:rPr>
              <w:t>FR173</w:t>
            </w:r>
          </w:p>
        </w:tc>
        <w:tc>
          <w:tcPr>
            <w:tcW w:w="6840" w:type="dxa"/>
            <w:shd w:val="clear" w:color="auto" w:fill="auto"/>
          </w:tcPr>
          <w:p w14:paraId="0E6C9B13" w14:textId="77777777" w:rsidR="004D47E9" w:rsidRPr="008C4A39" w:rsidRDefault="004D47E9" w:rsidP="004D47E9">
            <w:pPr>
              <w:rPr>
                <w:szCs w:val="24"/>
              </w:rPr>
            </w:pPr>
            <w:r w:rsidRPr="008C4A39">
              <w:rPr>
                <w:szCs w:val="24"/>
              </w:rPr>
              <w:t>Provide the user with the possibility to validate a customs declaration sub item so that all required documents, measurement units etc. are known before submitting a declaration.</w:t>
            </w:r>
            <w:r w:rsidRPr="008C4A39">
              <w:rPr>
                <w:szCs w:val="24"/>
              </w:rPr>
              <w:br/>
            </w:r>
            <w:r w:rsidRPr="008C4A39">
              <w:rPr>
                <w:szCs w:val="24"/>
              </w:rPr>
              <w:br/>
              <w:t>The output shall be a result page containing following information:</w:t>
            </w:r>
          </w:p>
          <w:p w14:paraId="7785E0FF" w14:textId="77777777" w:rsidR="004D47E9" w:rsidRPr="008C4A39" w:rsidRDefault="004D47E9" w:rsidP="00D530D5">
            <w:pPr>
              <w:pStyle w:val="ListParagraph"/>
              <w:numPr>
                <w:ilvl w:val="0"/>
                <w:numId w:val="112"/>
              </w:numPr>
              <w:rPr>
                <w:szCs w:val="24"/>
              </w:rPr>
            </w:pPr>
            <w:r w:rsidRPr="008C4A39">
              <w:rPr>
                <w:szCs w:val="24"/>
              </w:rPr>
              <w:t xml:space="preserve">Fault codes indication usage of non-valid </w:t>
            </w:r>
            <w:proofErr w:type="gramStart"/>
            <w:r w:rsidRPr="008C4A39">
              <w:rPr>
                <w:szCs w:val="24"/>
              </w:rPr>
              <w:t>data;</w:t>
            </w:r>
            <w:proofErr w:type="gramEnd"/>
          </w:p>
          <w:p w14:paraId="66158035" w14:textId="77777777" w:rsidR="004D47E9" w:rsidRPr="008C4A39" w:rsidRDefault="004D47E9" w:rsidP="00D530D5">
            <w:pPr>
              <w:pStyle w:val="ListParagraph"/>
              <w:numPr>
                <w:ilvl w:val="0"/>
                <w:numId w:val="112"/>
              </w:numPr>
              <w:rPr>
                <w:szCs w:val="24"/>
              </w:rPr>
            </w:pPr>
            <w:r w:rsidRPr="008C4A39">
              <w:rPr>
                <w:szCs w:val="24"/>
              </w:rPr>
              <w:t>List of missing document codes; and</w:t>
            </w:r>
          </w:p>
          <w:p w14:paraId="61E46EE8" w14:textId="77777777" w:rsidR="004D47E9" w:rsidRPr="008C4A39" w:rsidRDefault="004D47E9" w:rsidP="00D530D5">
            <w:pPr>
              <w:pStyle w:val="ListParagraph"/>
              <w:numPr>
                <w:ilvl w:val="0"/>
                <w:numId w:val="112"/>
              </w:numPr>
              <w:rPr>
                <w:szCs w:val="24"/>
              </w:rPr>
            </w:pPr>
            <w:r w:rsidRPr="008C4A39">
              <w:rPr>
                <w:szCs w:val="24"/>
              </w:rPr>
              <w:t>List of missing measurement units.</w:t>
            </w:r>
          </w:p>
        </w:tc>
      </w:tr>
      <w:tr w:rsidR="004D47E9" w:rsidRPr="008C4A39" w14:paraId="479333FE"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23E5F275"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761C0780" w14:textId="77777777" w:rsidTr="001B187C">
        <w:trPr>
          <w:gridAfter w:val="1"/>
          <w:wAfter w:w="90" w:type="dxa"/>
          <w:tblHeader/>
        </w:trPr>
        <w:tc>
          <w:tcPr>
            <w:tcW w:w="9265" w:type="dxa"/>
            <w:gridSpan w:val="2"/>
            <w:tcBorders>
              <w:top w:val="single" w:sz="4" w:space="0" w:color="auto"/>
              <w:left w:val="single" w:sz="4" w:space="0" w:color="auto"/>
              <w:bottom w:val="single" w:sz="4" w:space="0" w:color="auto"/>
              <w:right w:val="single" w:sz="4" w:space="0" w:color="auto"/>
            </w:tcBorders>
          </w:tcPr>
          <w:p w14:paraId="753E67AB"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6EC0B62D" w14:textId="77777777" w:rsidTr="001136D3">
        <w:trPr>
          <w:gridAfter w:val="1"/>
          <w:wAfter w:w="90" w:type="dxa"/>
        </w:trPr>
        <w:tc>
          <w:tcPr>
            <w:tcW w:w="2425" w:type="dxa"/>
            <w:shd w:val="clear" w:color="auto" w:fill="auto"/>
          </w:tcPr>
          <w:p w14:paraId="15110EF6" w14:textId="77777777" w:rsidR="004D47E9" w:rsidRPr="008C4A39" w:rsidRDefault="004D47E9" w:rsidP="004D47E9">
            <w:pPr>
              <w:rPr>
                <w:szCs w:val="24"/>
              </w:rPr>
            </w:pPr>
            <w:r w:rsidRPr="008C4A39">
              <w:rPr>
                <w:szCs w:val="24"/>
              </w:rPr>
              <w:t>FR442</w:t>
            </w:r>
          </w:p>
        </w:tc>
        <w:tc>
          <w:tcPr>
            <w:tcW w:w="6840" w:type="dxa"/>
            <w:shd w:val="clear" w:color="auto" w:fill="auto"/>
          </w:tcPr>
          <w:p w14:paraId="4A77BDFF" w14:textId="77777777" w:rsidR="004D47E9" w:rsidRPr="008C4A39" w:rsidRDefault="004D47E9" w:rsidP="004D47E9">
            <w:pPr>
              <w:rPr>
                <w:szCs w:val="24"/>
              </w:rPr>
            </w:pPr>
            <w:r w:rsidRPr="008C4A39">
              <w:rPr>
                <w:szCs w:val="24"/>
              </w:rPr>
              <w:t>The system must be able to perform technical validation on the message received for goods clearance from customs systems.</w:t>
            </w:r>
          </w:p>
        </w:tc>
      </w:tr>
      <w:tr w:rsidR="004D47E9" w:rsidRPr="008C4A39" w14:paraId="64010C9F" w14:textId="77777777" w:rsidTr="001B187C">
        <w:trPr>
          <w:gridAfter w:val="1"/>
          <w:wAfter w:w="90" w:type="dxa"/>
        </w:trPr>
        <w:tc>
          <w:tcPr>
            <w:tcW w:w="9265" w:type="dxa"/>
            <w:gridSpan w:val="2"/>
            <w:shd w:val="clear" w:color="auto" w:fill="auto"/>
          </w:tcPr>
          <w:p w14:paraId="7219D4AE"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2B7680B8" w14:textId="77777777" w:rsidTr="001B187C">
        <w:trPr>
          <w:gridAfter w:val="1"/>
          <w:wAfter w:w="90" w:type="dxa"/>
        </w:trPr>
        <w:tc>
          <w:tcPr>
            <w:tcW w:w="9265" w:type="dxa"/>
            <w:gridSpan w:val="2"/>
            <w:shd w:val="clear" w:color="auto" w:fill="auto"/>
          </w:tcPr>
          <w:p w14:paraId="174E21E1"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60B7AEFA" w14:textId="77777777" w:rsidTr="001136D3">
        <w:trPr>
          <w:gridAfter w:val="1"/>
          <w:wAfter w:w="90" w:type="dxa"/>
        </w:trPr>
        <w:tc>
          <w:tcPr>
            <w:tcW w:w="2425" w:type="dxa"/>
            <w:shd w:val="clear" w:color="auto" w:fill="auto"/>
          </w:tcPr>
          <w:p w14:paraId="7C34CD5C" w14:textId="77777777" w:rsidR="004D47E9" w:rsidRPr="008C4A39" w:rsidRDefault="004D47E9" w:rsidP="004D47E9">
            <w:pPr>
              <w:rPr>
                <w:szCs w:val="24"/>
              </w:rPr>
            </w:pPr>
            <w:r w:rsidRPr="008C4A39">
              <w:rPr>
                <w:szCs w:val="24"/>
              </w:rPr>
              <w:t>FR443</w:t>
            </w:r>
          </w:p>
        </w:tc>
        <w:tc>
          <w:tcPr>
            <w:tcW w:w="6840" w:type="dxa"/>
            <w:shd w:val="clear" w:color="auto" w:fill="auto"/>
          </w:tcPr>
          <w:p w14:paraId="10B73D4F" w14:textId="77777777" w:rsidR="004D47E9" w:rsidRPr="008C4A39" w:rsidRDefault="004D47E9" w:rsidP="004D47E9">
            <w:pPr>
              <w:rPr>
                <w:szCs w:val="24"/>
              </w:rPr>
            </w:pPr>
            <w:r w:rsidRPr="008C4A39">
              <w:rPr>
                <w:szCs w:val="24"/>
              </w:rPr>
              <w:t>The system must be able to perform technical validation on the message received for intervention from customs systems.</w:t>
            </w:r>
          </w:p>
        </w:tc>
      </w:tr>
      <w:tr w:rsidR="004D47E9" w:rsidRPr="008C4A39" w14:paraId="55844A54" w14:textId="77777777" w:rsidTr="001B187C">
        <w:trPr>
          <w:gridAfter w:val="1"/>
          <w:wAfter w:w="90" w:type="dxa"/>
        </w:trPr>
        <w:tc>
          <w:tcPr>
            <w:tcW w:w="9265" w:type="dxa"/>
            <w:gridSpan w:val="2"/>
            <w:shd w:val="clear" w:color="auto" w:fill="auto"/>
          </w:tcPr>
          <w:p w14:paraId="01C09E44"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4055ABC7" w14:textId="77777777" w:rsidTr="001B187C">
        <w:trPr>
          <w:gridAfter w:val="1"/>
          <w:wAfter w:w="90" w:type="dxa"/>
        </w:trPr>
        <w:tc>
          <w:tcPr>
            <w:tcW w:w="9265" w:type="dxa"/>
            <w:gridSpan w:val="2"/>
            <w:shd w:val="clear" w:color="auto" w:fill="auto"/>
          </w:tcPr>
          <w:p w14:paraId="4F245820"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4DE31DA7" w14:textId="77777777" w:rsidTr="001136D3">
        <w:trPr>
          <w:gridAfter w:val="1"/>
          <w:wAfter w:w="90" w:type="dxa"/>
        </w:trPr>
        <w:tc>
          <w:tcPr>
            <w:tcW w:w="2425" w:type="dxa"/>
            <w:shd w:val="clear" w:color="auto" w:fill="auto"/>
          </w:tcPr>
          <w:p w14:paraId="31ABB734" w14:textId="77777777" w:rsidR="004D47E9" w:rsidRPr="008C4A39" w:rsidRDefault="004D47E9" w:rsidP="004D47E9">
            <w:pPr>
              <w:rPr>
                <w:szCs w:val="24"/>
              </w:rPr>
            </w:pPr>
            <w:r w:rsidRPr="008C4A39">
              <w:rPr>
                <w:szCs w:val="24"/>
              </w:rPr>
              <w:t>FR444</w:t>
            </w:r>
          </w:p>
        </w:tc>
        <w:tc>
          <w:tcPr>
            <w:tcW w:w="6840" w:type="dxa"/>
            <w:shd w:val="clear" w:color="auto" w:fill="auto"/>
          </w:tcPr>
          <w:p w14:paraId="23A00B6D" w14:textId="77777777" w:rsidR="004D47E9" w:rsidRPr="008C4A39" w:rsidRDefault="004D47E9" w:rsidP="004D47E9">
            <w:pPr>
              <w:rPr>
                <w:szCs w:val="24"/>
              </w:rPr>
            </w:pPr>
            <w:r w:rsidRPr="008C4A39">
              <w:rPr>
                <w:szCs w:val="24"/>
              </w:rPr>
              <w:t>The system must be able to notify customs system for technically not valid message.</w:t>
            </w:r>
          </w:p>
        </w:tc>
      </w:tr>
      <w:tr w:rsidR="004D47E9" w:rsidRPr="008C4A39" w14:paraId="0E700B4E"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1CF56D55"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57BFD57B"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7B6E765D"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4176A7DC" w14:textId="77777777" w:rsidTr="001136D3">
        <w:trPr>
          <w:gridAfter w:val="1"/>
          <w:wAfter w:w="90" w:type="dxa"/>
        </w:trPr>
        <w:tc>
          <w:tcPr>
            <w:tcW w:w="2425" w:type="dxa"/>
            <w:shd w:val="clear" w:color="auto" w:fill="auto"/>
          </w:tcPr>
          <w:p w14:paraId="756DA7B9" w14:textId="3DC01A0B" w:rsidR="004D47E9" w:rsidRPr="00DE1F8A" w:rsidRDefault="004D47E9" w:rsidP="00DE1F8A">
            <w:pPr>
              <w:rPr>
                <w:szCs w:val="24"/>
              </w:rPr>
            </w:pPr>
            <w:r w:rsidRPr="00DE1F8A">
              <w:rPr>
                <w:szCs w:val="24"/>
              </w:rPr>
              <w:lastRenderedPageBreak/>
              <w:t>FR</w:t>
            </w:r>
            <w:r w:rsidR="00AF3431" w:rsidRPr="00DE1F8A">
              <w:rPr>
                <w:szCs w:val="24"/>
              </w:rPr>
              <w:t>433</w:t>
            </w:r>
          </w:p>
        </w:tc>
        <w:tc>
          <w:tcPr>
            <w:tcW w:w="6840" w:type="dxa"/>
            <w:shd w:val="clear" w:color="auto" w:fill="auto"/>
          </w:tcPr>
          <w:p w14:paraId="0AC84E75" w14:textId="77777777" w:rsidR="004D47E9" w:rsidRPr="008C4A39" w:rsidRDefault="004D47E9" w:rsidP="004D47E9">
            <w:pPr>
              <w:rPr>
                <w:szCs w:val="24"/>
              </w:rPr>
            </w:pPr>
            <w:r w:rsidRPr="008C4A39">
              <w:rPr>
                <w:szCs w:val="24"/>
              </w:rPr>
              <w:t>The system must be able to retrieve information of LPCO.</w:t>
            </w:r>
          </w:p>
        </w:tc>
      </w:tr>
      <w:tr w:rsidR="004D47E9" w:rsidRPr="008C4A39" w14:paraId="5F494205" w14:textId="77777777" w:rsidTr="001B187C">
        <w:trPr>
          <w:gridAfter w:val="1"/>
          <w:wAfter w:w="90" w:type="dxa"/>
        </w:trPr>
        <w:tc>
          <w:tcPr>
            <w:tcW w:w="9265" w:type="dxa"/>
            <w:gridSpan w:val="2"/>
            <w:shd w:val="clear" w:color="auto" w:fill="auto"/>
          </w:tcPr>
          <w:p w14:paraId="00127619" w14:textId="77777777" w:rsidR="004D47E9" w:rsidRPr="00DE1F8A" w:rsidRDefault="004D47E9" w:rsidP="004D47E9">
            <w:pPr>
              <w:ind w:right="-360"/>
              <w:jc w:val="left"/>
              <w:rPr>
                <w:szCs w:val="24"/>
              </w:rPr>
            </w:pPr>
            <w:r w:rsidRPr="00DE1F8A">
              <w:rPr>
                <w:szCs w:val="24"/>
              </w:rPr>
              <w:t xml:space="preserve">Bidder’s technical reasons supporting compliance:  </w:t>
            </w:r>
          </w:p>
        </w:tc>
      </w:tr>
      <w:tr w:rsidR="004D47E9" w:rsidRPr="008C4A39" w14:paraId="1B332F01" w14:textId="77777777" w:rsidTr="001B187C">
        <w:trPr>
          <w:gridAfter w:val="1"/>
          <w:wAfter w:w="90" w:type="dxa"/>
        </w:trPr>
        <w:tc>
          <w:tcPr>
            <w:tcW w:w="9265" w:type="dxa"/>
            <w:gridSpan w:val="2"/>
            <w:shd w:val="clear" w:color="auto" w:fill="auto"/>
          </w:tcPr>
          <w:p w14:paraId="1876A8B7" w14:textId="77777777" w:rsidR="004D47E9" w:rsidRPr="00DE1F8A" w:rsidRDefault="004D47E9" w:rsidP="004D47E9">
            <w:pPr>
              <w:ind w:right="-360"/>
              <w:jc w:val="left"/>
              <w:rPr>
                <w:szCs w:val="24"/>
              </w:rPr>
            </w:pPr>
            <w:r w:rsidRPr="00DE1F8A">
              <w:rPr>
                <w:szCs w:val="24"/>
              </w:rPr>
              <w:t>Bidder’s cross references to supporting information in Technical Bid:</w:t>
            </w:r>
          </w:p>
        </w:tc>
      </w:tr>
      <w:tr w:rsidR="004D47E9" w:rsidRPr="008C4A39" w14:paraId="7658DE71" w14:textId="77777777" w:rsidTr="001136D3">
        <w:trPr>
          <w:gridAfter w:val="1"/>
          <w:wAfter w:w="90" w:type="dxa"/>
        </w:trPr>
        <w:tc>
          <w:tcPr>
            <w:tcW w:w="2425" w:type="dxa"/>
            <w:shd w:val="clear" w:color="auto" w:fill="auto"/>
          </w:tcPr>
          <w:p w14:paraId="159EE786" w14:textId="25231F03" w:rsidR="004D47E9" w:rsidRPr="00DE1F8A" w:rsidRDefault="004D47E9" w:rsidP="00DE1F8A">
            <w:pPr>
              <w:rPr>
                <w:szCs w:val="24"/>
              </w:rPr>
            </w:pPr>
            <w:r w:rsidRPr="00DE1F8A">
              <w:rPr>
                <w:szCs w:val="24"/>
              </w:rPr>
              <w:t>FR</w:t>
            </w:r>
            <w:r w:rsidR="009201E0" w:rsidRPr="00DE1F8A">
              <w:rPr>
                <w:szCs w:val="24"/>
              </w:rPr>
              <w:t>434</w:t>
            </w:r>
          </w:p>
        </w:tc>
        <w:tc>
          <w:tcPr>
            <w:tcW w:w="6840" w:type="dxa"/>
            <w:shd w:val="clear" w:color="auto" w:fill="auto"/>
          </w:tcPr>
          <w:p w14:paraId="0C24AEF7" w14:textId="77777777" w:rsidR="004D47E9" w:rsidRPr="008C4A39" w:rsidRDefault="004D47E9" w:rsidP="004D47E9">
            <w:pPr>
              <w:rPr>
                <w:szCs w:val="24"/>
              </w:rPr>
            </w:pPr>
            <w:r w:rsidRPr="008C4A39">
              <w:rPr>
                <w:szCs w:val="24"/>
              </w:rPr>
              <w:t>The system must be able to identify the availability of the LPCO.</w:t>
            </w:r>
          </w:p>
        </w:tc>
      </w:tr>
      <w:tr w:rsidR="004D47E9" w:rsidRPr="008C4A39" w14:paraId="1022701B" w14:textId="77777777" w:rsidTr="001B187C">
        <w:trPr>
          <w:gridAfter w:val="1"/>
          <w:wAfter w:w="90" w:type="dxa"/>
        </w:trPr>
        <w:tc>
          <w:tcPr>
            <w:tcW w:w="9265" w:type="dxa"/>
            <w:gridSpan w:val="2"/>
            <w:shd w:val="clear" w:color="auto" w:fill="auto"/>
          </w:tcPr>
          <w:p w14:paraId="4A5A9567" w14:textId="77777777" w:rsidR="004D47E9" w:rsidRPr="00DE1F8A" w:rsidRDefault="004D47E9" w:rsidP="004D47E9">
            <w:pPr>
              <w:ind w:right="-360"/>
              <w:jc w:val="left"/>
              <w:rPr>
                <w:szCs w:val="24"/>
              </w:rPr>
            </w:pPr>
            <w:r w:rsidRPr="00DE1F8A">
              <w:rPr>
                <w:szCs w:val="24"/>
              </w:rPr>
              <w:t xml:space="preserve">Bidder’s technical reasons supporting compliance:  </w:t>
            </w:r>
          </w:p>
        </w:tc>
      </w:tr>
      <w:tr w:rsidR="004D47E9" w:rsidRPr="008C4A39" w14:paraId="13FEF82B" w14:textId="77777777" w:rsidTr="001B187C">
        <w:trPr>
          <w:gridAfter w:val="1"/>
          <w:wAfter w:w="90" w:type="dxa"/>
        </w:trPr>
        <w:tc>
          <w:tcPr>
            <w:tcW w:w="9265" w:type="dxa"/>
            <w:gridSpan w:val="2"/>
            <w:shd w:val="clear" w:color="auto" w:fill="auto"/>
          </w:tcPr>
          <w:p w14:paraId="14336D90" w14:textId="77777777" w:rsidR="004D47E9" w:rsidRPr="00DE1F8A" w:rsidRDefault="004D47E9" w:rsidP="004D47E9">
            <w:pPr>
              <w:ind w:right="-360"/>
              <w:jc w:val="left"/>
              <w:rPr>
                <w:szCs w:val="24"/>
              </w:rPr>
            </w:pPr>
            <w:r w:rsidRPr="00DE1F8A">
              <w:rPr>
                <w:szCs w:val="24"/>
              </w:rPr>
              <w:t>Bidder’s cross references to supporting information in Technical Bid:</w:t>
            </w:r>
          </w:p>
        </w:tc>
      </w:tr>
      <w:tr w:rsidR="004D47E9" w:rsidRPr="008C4A39" w14:paraId="1D452ED0" w14:textId="77777777" w:rsidTr="001136D3">
        <w:trPr>
          <w:gridAfter w:val="1"/>
          <w:wAfter w:w="90" w:type="dxa"/>
        </w:trPr>
        <w:tc>
          <w:tcPr>
            <w:tcW w:w="2425" w:type="dxa"/>
            <w:shd w:val="clear" w:color="auto" w:fill="auto"/>
          </w:tcPr>
          <w:p w14:paraId="37834EB5" w14:textId="37EEF1C2" w:rsidR="004D47E9" w:rsidRPr="00DE1F8A" w:rsidRDefault="004D47E9" w:rsidP="00DE1F8A">
            <w:pPr>
              <w:rPr>
                <w:szCs w:val="24"/>
              </w:rPr>
            </w:pPr>
            <w:r w:rsidRPr="00DE1F8A">
              <w:rPr>
                <w:szCs w:val="24"/>
              </w:rPr>
              <w:t>FR</w:t>
            </w:r>
            <w:r w:rsidR="00947B25" w:rsidRPr="00DE1F8A">
              <w:rPr>
                <w:szCs w:val="24"/>
              </w:rPr>
              <w:t>435</w:t>
            </w:r>
          </w:p>
        </w:tc>
        <w:tc>
          <w:tcPr>
            <w:tcW w:w="6840" w:type="dxa"/>
            <w:shd w:val="clear" w:color="auto" w:fill="auto"/>
          </w:tcPr>
          <w:p w14:paraId="436F3B5D" w14:textId="77777777" w:rsidR="004D47E9" w:rsidRPr="008C4A39" w:rsidRDefault="004D47E9" w:rsidP="004D47E9">
            <w:pPr>
              <w:rPr>
                <w:szCs w:val="24"/>
              </w:rPr>
            </w:pPr>
            <w:r w:rsidRPr="008C4A39">
              <w:rPr>
                <w:szCs w:val="24"/>
              </w:rPr>
              <w:t>The system must be able to identify the status for a given LPCO.</w:t>
            </w:r>
          </w:p>
        </w:tc>
      </w:tr>
      <w:tr w:rsidR="004D47E9" w:rsidRPr="008C4A39" w14:paraId="5D53F2D2" w14:textId="77777777" w:rsidTr="001B187C">
        <w:trPr>
          <w:gridAfter w:val="1"/>
          <w:wAfter w:w="90" w:type="dxa"/>
        </w:trPr>
        <w:tc>
          <w:tcPr>
            <w:tcW w:w="9265" w:type="dxa"/>
            <w:gridSpan w:val="2"/>
            <w:shd w:val="clear" w:color="auto" w:fill="auto"/>
          </w:tcPr>
          <w:p w14:paraId="022194BE"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5F51CAFC" w14:textId="77777777" w:rsidTr="001B187C">
        <w:trPr>
          <w:gridAfter w:val="1"/>
          <w:wAfter w:w="90" w:type="dxa"/>
        </w:trPr>
        <w:tc>
          <w:tcPr>
            <w:tcW w:w="9265" w:type="dxa"/>
            <w:gridSpan w:val="2"/>
            <w:shd w:val="clear" w:color="auto" w:fill="auto"/>
          </w:tcPr>
          <w:p w14:paraId="78974C29"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530FF4DF" w14:textId="77777777" w:rsidTr="001136D3">
        <w:trPr>
          <w:gridAfter w:val="1"/>
          <w:wAfter w:w="90" w:type="dxa"/>
        </w:trPr>
        <w:tc>
          <w:tcPr>
            <w:tcW w:w="2425" w:type="dxa"/>
            <w:shd w:val="clear" w:color="auto" w:fill="auto"/>
          </w:tcPr>
          <w:p w14:paraId="5FE51CC2" w14:textId="77777777" w:rsidR="004D47E9" w:rsidRPr="008C4A39" w:rsidRDefault="004D47E9" w:rsidP="004D47E9">
            <w:pPr>
              <w:rPr>
                <w:szCs w:val="24"/>
              </w:rPr>
            </w:pPr>
            <w:r w:rsidRPr="008C4A39">
              <w:rPr>
                <w:szCs w:val="24"/>
              </w:rPr>
              <w:t>FR449</w:t>
            </w:r>
          </w:p>
        </w:tc>
        <w:tc>
          <w:tcPr>
            <w:tcW w:w="6840" w:type="dxa"/>
            <w:shd w:val="clear" w:color="auto" w:fill="auto"/>
          </w:tcPr>
          <w:p w14:paraId="738D17F0" w14:textId="77777777" w:rsidR="004D47E9" w:rsidRPr="008C4A39" w:rsidRDefault="004D47E9" w:rsidP="004D47E9">
            <w:pPr>
              <w:rPr>
                <w:szCs w:val="24"/>
              </w:rPr>
            </w:pPr>
            <w:r w:rsidRPr="008C4A39">
              <w:rPr>
                <w:szCs w:val="24"/>
              </w:rPr>
              <w:t xml:space="preserve">The system must be able to process intervention: </w:t>
            </w:r>
          </w:p>
          <w:p w14:paraId="06DC4DC0" w14:textId="77777777" w:rsidR="004D47E9" w:rsidRPr="008C4A39" w:rsidRDefault="004D47E9" w:rsidP="004D47E9">
            <w:pPr>
              <w:ind w:left="340"/>
              <w:rPr>
                <w:rFonts w:eastAsiaTheme="majorEastAsia"/>
                <w:szCs w:val="24"/>
              </w:rPr>
            </w:pPr>
            <w:r w:rsidRPr="008C4A39">
              <w:rPr>
                <w:rFonts w:eastAsiaTheme="majorEastAsia"/>
                <w:szCs w:val="24"/>
              </w:rPr>
              <w:t xml:space="preserve">01-Force write-off (if the goods have been released without previous reservation (positive outcome)), </w:t>
            </w:r>
          </w:p>
          <w:p w14:paraId="4C9F6018" w14:textId="77777777" w:rsidR="004D47E9" w:rsidRPr="008C4A39" w:rsidRDefault="004D47E9" w:rsidP="004D47E9">
            <w:pPr>
              <w:ind w:left="340"/>
              <w:rPr>
                <w:rFonts w:eastAsiaTheme="majorEastAsia"/>
                <w:szCs w:val="24"/>
              </w:rPr>
            </w:pPr>
            <w:r w:rsidRPr="008C4A39">
              <w:rPr>
                <w:rFonts w:eastAsiaTheme="majorEastAsia"/>
                <w:szCs w:val="24"/>
              </w:rPr>
              <w:t xml:space="preserve">02 – Amend write-off (if the data in the declaration have been amended after the release of the goods) </w:t>
            </w:r>
          </w:p>
          <w:p w14:paraId="19364C0B" w14:textId="77777777" w:rsidR="004D47E9" w:rsidRPr="008C4A39" w:rsidRDefault="004D47E9" w:rsidP="004D47E9">
            <w:pPr>
              <w:ind w:left="340"/>
              <w:rPr>
                <w:rFonts w:eastAsiaTheme="majorEastAsia"/>
                <w:szCs w:val="24"/>
              </w:rPr>
            </w:pPr>
            <w:r w:rsidRPr="008C4A39">
              <w:rPr>
                <w:rFonts w:eastAsiaTheme="majorEastAsia"/>
                <w:szCs w:val="24"/>
              </w:rPr>
              <w:t>03 – Delete write-off (if the declaration was invalidated after the release of the goods).</w:t>
            </w:r>
          </w:p>
        </w:tc>
      </w:tr>
      <w:tr w:rsidR="004D47E9" w:rsidRPr="008C4A39" w14:paraId="65AA4EC0" w14:textId="77777777" w:rsidTr="001B187C">
        <w:trPr>
          <w:gridAfter w:val="1"/>
          <w:wAfter w:w="90" w:type="dxa"/>
        </w:trPr>
        <w:tc>
          <w:tcPr>
            <w:tcW w:w="9265" w:type="dxa"/>
            <w:gridSpan w:val="2"/>
            <w:shd w:val="clear" w:color="auto" w:fill="auto"/>
          </w:tcPr>
          <w:p w14:paraId="2631F5AA"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6AB8AA87" w14:textId="77777777" w:rsidTr="001B187C">
        <w:trPr>
          <w:gridAfter w:val="1"/>
          <w:wAfter w:w="90" w:type="dxa"/>
        </w:trPr>
        <w:tc>
          <w:tcPr>
            <w:tcW w:w="9265" w:type="dxa"/>
            <w:gridSpan w:val="2"/>
            <w:shd w:val="clear" w:color="auto" w:fill="auto"/>
          </w:tcPr>
          <w:p w14:paraId="519C0D57"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5C023FF2" w14:textId="77777777" w:rsidTr="001136D3">
        <w:trPr>
          <w:gridAfter w:val="1"/>
          <w:wAfter w:w="90" w:type="dxa"/>
        </w:trPr>
        <w:tc>
          <w:tcPr>
            <w:tcW w:w="2425" w:type="dxa"/>
            <w:shd w:val="clear" w:color="auto" w:fill="auto"/>
          </w:tcPr>
          <w:p w14:paraId="4972FAC6" w14:textId="77777777" w:rsidR="004D47E9" w:rsidRPr="008C4A39" w:rsidRDefault="004D47E9" w:rsidP="004D47E9">
            <w:pPr>
              <w:rPr>
                <w:szCs w:val="24"/>
              </w:rPr>
            </w:pPr>
            <w:r w:rsidRPr="008C4A39">
              <w:rPr>
                <w:szCs w:val="24"/>
              </w:rPr>
              <w:t>FR450</w:t>
            </w:r>
          </w:p>
        </w:tc>
        <w:tc>
          <w:tcPr>
            <w:tcW w:w="6840" w:type="dxa"/>
            <w:shd w:val="clear" w:color="auto" w:fill="auto"/>
          </w:tcPr>
          <w:p w14:paraId="5B0B4FD3" w14:textId="77777777" w:rsidR="004D47E9" w:rsidRPr="008C4A39" w:rsidRDefault="004D47E9" w:rsidP="004D47E9">
            <w:pPr>
              <w:rPr>
                <w:szCs w:val="24"/>
              </w:rPr>
            </w:pPr>
            <w:r w:rsidRPr="008C4A39">
              <w:rPr>
                <w:szCs w:val="24"/>
              </w:rPr>
              <w:t>The system must be able to cancel quantity reservation for LPCO.</w:t>
            </w:r>
          </w:p>
        </w:tc>
      </w:tr>
      <w:tr w:rsidR="004D47E9" w:rsidRPr="008C4A39" w14:paraId="2FBDA4F5"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5D5C0F23"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2DDF2E4D"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196E0C6B"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0A4108C1" w14:textId="77777777" w:rsidTr="001136D3">
        <w:trPr>
          <w:gridAfter w:val="1"/>
          <w:wAfter w:w="90" w:type="dxa"/>
        </w:trPr>
        <w:tc>
          <w:tcPr>
            <w:tcW w:w="2425" w:type="dxa"/>
            <w:shd w:val="clear" w:color="auto" w:fill="auto"/>
          </w:tcPr>
          <w:p w14:paraId="66001A1C" w14:textId="77777777" w:rsidR="004D47E9" w:rsidRPr="008C4A39" w:rsidRDefault="004D47E9" w:rsidP="004D47E9">
            <w:pPr>
              <w:rPr>
                <w:szCs w:val="24"/>
              </w:rPr>
            </w:pPr>
            <w:r w:rsidRPr="008C4A39">
              <w:rPr>
                <w:szCs w:val="24"/>
              </w:rPr>
              <w:t>FR451</w:t>
            </w:r>
          </w:p>
        </w:tc>
        <w:tc>
          <w:tcPr>
            <w:tcW w:w="6840" w:type="dxa"/>
            <w:shd w:val="clear" w:color="auto" w:fill="auto"/>
          </w:tcPr>
          <w:p w14:paraId="2CF691B8" w14:textId="77777777" w:rsidR="004D47E9" w:rsidRPr="008C4A39" w:rsidRDefault="004D47E9" w:rsidP="004D47E9">
            <w:pPr>
              <w:rPr>
                <w:szCs w:val="24"/>
              </w:rPr>
            </w:pPr>
            <w:r w:rsidRPr="008C4A39">
              <w:rPr>
                <w:szCs w:val="24"/>
              </w:rPr>
              <w:t>The system must be able to write-off quantity reservation for LPCO.</w:t>
            </w:r>
          </w:p>
        </w:tc>
      </w:tr>
      <w:tr w:rsidR="004D47E9" w:rsidRPr="008C4A39" w14:paraId="2D4F6EFD"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7BF97D78"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4C346E0C"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5B61A644"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697E7882" w14:textId="77777777" w:rsidTr="001136D3">
        <w:trPr>
          <w:gridAfter w:val="1"/>
          <w:wAfter w:w="90" w:type="dxa"/>
        </w:trPr>
        <w:tc>
          <w:tcPr>
            <w:tcW w:w="2425" w:type="dxa"/>
            <w:shd w:val="clear" w:color="auto" w:fill="auto"/>
          </w:tcPr>
          <w:p w14:paraId="126E990E" w14:textId="77777777" w:rsidR="004D47E9" w:rsidRPr="008C4A39" w:rsidRDefault="004D47E9" w:rsidP="004D47E9">
            <w:pPr>
              <w:rPr>
                <w:szCs w:val="24"/>
              </w:rPr>
            </w:pPr>
            <w:r w:rsidRPr="008C4A39">
              <w:rPr>
                <w:szCs w:val="24"/>
              </w:rPr>
              <w:t>FR452</w:t>
            </w:r>
          </w:p>
        </w:tc>
        <w:tc>
          <w:tcPr>
            <w:tcW w:w="6840" w:type="dxa"/>
            <w:shd w:val="clear" w:color="auto" w:fill="auto"/>
          </w:tcPr>
          <w:p w14:paraId="37F267A2" w14:textId="02AF246F" w:rsidR="004D47E9" w:rsidRPr="008C4A39" w:rsidRDefault="004D47E9">
            <w:pPr>
              <w:rPr>
                <w:szCs w:val="24"/>
              </w:rPr>
            </w:pPr>
            <w:r w:rsidRPr="008C4A39">
              <w:rPr>
                <w:szCs w:val="24"/>
              </w:rPr>
              <w:t xml:space="preserve">The system must be able to send message to EU CERTEX message </w:t>
            </w:r>
            <w:r>
              <w:rPr>
                <w:szCs w:val="24"/>
              </w:rPr>
              <w:t>for</w:t>
            </w:r>
            <w:r w:rsidRPr="008C4A39">
              <w:rPr>
                <w:szCs w:val="24"/>
              </w:rPr>
              <w:t xml:space="preserve"> the goods clearance.</w:t>
            </w:r>
          </w:p>
        </w:tc>
      </w:tr>
      <w:tr w:rsidR="004D47E9" w:rsidRPr="008C4A39" w14:paraId="7EF703D5"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33E1F815"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70A132BC"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655B0A26"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3046156E" w14:textId="77777777" w:rsidTr="001136D3">
        <w:trPr>
          <w:gridAfter w:val="1"/>
          <w:wAfter w:w="90" w:type="dxa"/>
        </w:trPr>
        <w:tc>
          <w:tcPr>
            <w:tcW w:w="2425" w:type="dxa"/>
            <w:shd w:val="clear" w:color="auto" w:fill="auto"/>
          </w:tcPr>
          <w:p w14:paraId="73245BD1" w14:textId="77777777" w:rsidR="004D47E9" w:rsidRPr="008C4A39" w:rsidRDefault="004D47E9" w:rsidP="004D47E9">
            <w:pPr>
              <w:rPr>
                <w:szCs w:val="24"/>
              </w:rPr>
            </w:pPr>
            <w:r w:rsidRPr="008C4A39">
              <w:rPr>
                <w:szCs w:val="24"/>
              </w:rPr>
              <w:t>FR453</w:t>
            </w:r>
          </w:p>
        </w:tc>
        <w:tc>
          <w:tcPr>
            <w:tcW w:w="6840" w:type="dxa"/>
            <w:shd w:val="clear" w:color="auto" w:fill="auto"/>
          </w:tcPr>
          <w:p w14:paraId="54E35523" w14:textId="14156755" w:rsidR="004D47E9" w:rsidRPr="008C4A39" w:rsidRDefault="004D47E9">
            <w:pPr>
              <w:rPr>
                <w:szCs w:val="24"/>
              </w:rPr>
            </w:pPr>
            <w:r w:rsidRPr="008C4A39">
              <w:rPr>
                <w:szCs w:val="24"/>
              </w:rPr>
              <w:t xml:space="preserve">The system must be able to send message to EU CERTEX message </w:t>
            </w:r>
            <w:r>
              <w:rPr>
                <w:szCs w:val="24"/>
              </w:rPr>
              <w:t>for</w:t>
            </w:r>
            <w:r w:rsidRPr="008C4A39">
              <w:rPr>
                <w:szCs w:val="24"/>
              </w:rPr>
              <w:t xml:space="preserve"> the intervention.</w:t>
            </w:r>
          </w:p>
        </w:tc>
      </w:tr>
      <w:tr w:rsidR="004D47E9" w:rsidRPr="008C4A39" w14:paraId="1B4732B2"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0BB0DE27"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1B5622E5"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157096CE"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7F77BF72" w14:textId="77777777" w:rsidTr="001136D3">
        <w:trPr>
          <w:gridAfter w:val="1"/>
          <w:wAfter w:w="90" w:type="dxa"/>
        </w:trPr>
        <w:tc>
          <w:tcPr>
            <w:tcW w:w="2425" w:type="dxa"/>
            <w:shd w:val="clear" w:color="auto" w:fill="auto"/>
          </w:tcPr>
          <w:p w14:paraId="52857EA9" w14:textId="77777777" w:rsidR="004D47E9" w:rsidRPr="008C4A39" w:rsidRDefault="004D47E9" w:rsidP="004D47E9">
            <w:pPr>
              <w:rPr>
                <w:szCs w:val="24"/>
              </w:rPr>
            </w:pPr>
            <w:r w:rsidRPr="008C4A39">
              <w:rPr>
                <w:szCs w:val="24"/>
              </w:rPr>
              <w:lastRenderedPageBreak/>
              <w:t>FR454</w:t>
            </w:r>
          </w:p>
        </w:tc>
        <w:tc>
          <w:tcPr>
            <w:tcW w:w="6840" w:type="dxa"/>
            <w:shd w:val="clear" w:color="auto" w:fill="auto"/>
          </w:tcPr>
          <w:p w14:paraId="66590092" w14:textId="1429D36B" w:rsidR="004D47E9" w:rsidRPr="008C4A39" w:rsidRDefault="004D47E9">
            <w:pPr>
              <w:rPr>
                <w:szCs w:val="24"/>
              </w:rPr>
            </w:pPr>
            <w:r w:rsidRPr="008C4A39">
              <w:rPr>
                <w:szCs w:val="24"/>
              </w:rPr>
              <w:t xml:space="preserve">The system must be able to send message to other Competent Authorities Licensing systems message </w:t>
            </w:r>
            <w:r>
              <w:rPr>
                <w:szCs w:val="24"/>
              </w:rPr>
              <w:t>for</w:t>
            </w:r>
            <w:r w:rsidRPr="008C4A39">
              <w:rPr>
                <w:szCs w:val="24"/>
              </w:rPr>
              <w:t xml:space="preserve"> the goods clearance.</w:t>
            </w:r>
          </w:p>
        </w:tc>
      </w:tr>
      <w:tr w:rsidR="004D47E9" w:rsidRPr="008C4A39" w14:paraId="69749FF0"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2FF87386"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447E22CA"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3A28A63C"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66106814" w14:textId="77777777" w:rsidTr="001136D3">
        <w:trPr>
          <w:gridAfter w:val="1"/>
          <w:wAfter w:w="90" w:type="dxa"/>
        </w:trPr>
        <w:tc>
          <w:tcPr>
            <w:tcW w:w="2425" w:type="dxa"/>
            <w:shd w:val="clear" w:color="auto" w:fill="auto"/>
          </w:tcPr>
          <w:p w14:paraId="360974CD" w14:textId="77777777" w:rsidR="004D47E9" w:rsidRPr="008C4A39" w:rsidRDefault="004D47E9" w:rsidP="004D47E9">
            <w:pPr>
              <w:rPr>
                <w:szCs w:val="24"/>
              </w:rPr>
            </w:pPr>
            <w:r w:rsidRPr="008C4A39">
              <w:rPr>
                <w:szCs w:val="24"/>
              </w:rPr>
              <w:t>FR455</w:t>
            </w:r>
          </w:p>
        </w:tc>
        <w:tc>
          <w:tcPr>
            <w:tcW w:w="6840" w:type="dxa"/>
            <w:shd w:val="clear" w:color="auto" w:fill="auto"/>
          </w:tcPr>
          <w:p w14:paraId="23D2B903" w14:textId="77777777" w:rsidR="004D47E9" w:rsidRPr="008C4A39" w:rsidRDefault="004D47E9" w:rsidP="004D47E9">
            <w:pPr>
              <w:rPr>
                <w:szCs w:val="24"/>
              </w:rPr>
            </w:pPr>
            <w:r w:rsidRPr="008C4A39">
              <w:rPr>
                <w:szCs w:val="24"/>
              </w:rPr>
              <w:t>The system must be able to send message to other Competent Authorities Licensing systems message to record the intervention.</w:t>
            </w:r>
          </w:p>
        </w:tc>
      </w:tr>
      <w:tr w:rsidR="004D47E9" w:rsidRPr="008C4A39" w14:paraId="22649277"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1E75A5C1"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2E12E5B3"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07539F4C"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3E433D76" w14:textId="77777777" w:rsidTr="001136D3">
        <w:trPr>
          <w:gridAfter w:val="1"/>
          <w:wAfter w:w="90" w:type="dxa"/>
        </w:trPr>
        <w:tc>
          <w:tcPr>
            <w:tcW w:w="2425" w:type="dxa"/>
            <w:shd w:val="clear" w:color="auto" w:fill="auto"/>
          </w:tcPr>
          <w:p w14:paraId="2602DB9F" w14:textId="77777777" w:rsidR="004D47E9" w:rsidRPr="008C4A39" w:rsidRDefault="004D47E9" w:rsidP="004D47E9">
            <w:pPr>
              <w:rPr>
                <w:szCs w:val="24"/>
              </w:rPr>
            </w:pPr>
            <w:r w:rsidRPr="008C4A39">
              <w:rPr>
                <w:szCs w:val="24"/>
              </w:rPr>
              <w:t>FR456</w:t>
            </w:r>
          </w:p>
        </w:tc>
        <w:tc>
          <w:tcPr>
            <w:tcW w:w="6840" w:type="dxa"/>
            <w:shd w:val="clear" w:color="auto" w:fill="auto"/>
          </w:tcPr>
          <w:p w14:paraId="56B02333" w14:textId="23A06872" w:rsidR="004D47E9" w:rsidRPr="008C4A39" w:rsidRDefault="004D47E9">
            <w:pPr>
              <w:rPr>
                <w:szCs w:val="24"/>
              </w:rPr>
            </w:pPr>
            <w:r w:rsidRPr="008C4A39">
              <w:rPr>
                <w:szCs w:val="24"/>
              </w:rPr>
              <w:t xml:space="preserve">The system must be able to send message to SEED+ message </w:t>
            </w:r>
            <w:r>
              <w:rPr>
                <w:szCs w:val="24"/>
              </w:rPr>
              <w:t>for</w:t>
            </w:r>
            <w:r w:rsidRPr="008C4A39">
              <w:rPr>
                <w:szCs w:val="24"/>
              </w:rPr>
              <w:t xml:space="preserve"> the goods clearance.</w:t>
            </w:r>
          </w:p>
        </w:tc>
      </w:tr>
      <w:tr w:rsidR="004D47E9" w:rsidRPr="008C4A39" w14:paraId="03D685E0"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34999ADB"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76468E4A" w14:textId="77777777" w:rsidTr="001B187C">
        <w:trPr>
          <w:gridAfter w:val="1"/>
          <w:wAfter w:w="90" w:type="dxa"/>
        </w:trPr>
        <w:tc>
          <w:tcPr>
            <w:tcW w:w="9265" w:type="dxa"/>
            <w:gridSpan w:val="2"/>
            <w:tcBorders>
              <w:top w:val="single" w:sz="4" w:space="0" w:color="auto"/>
              <w:left w:val="single" w:sz="4" w:space="0" w:color="auto"/>
              <w:bottom w:val="single" w:sz="4" w:space="0" w:color="auto"/>
              <w:right w:val="single" w:sz="4" w:space="0" w:color="auto"/>
            </w:tcBorders>
          </w:tcPr>
          <w:p w14:paraId="57DA8C55"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1A8E438E" w14:textId="77777777" w:rsidTr="001136D3">
        <w:trPr>
          <w:gridAfter w:val="1"/>
          <w:wAfter w:w="90" w:type="dxa"/>
        </w:trPr>
        <w:tc>
          <w:tcPr>
            <w:tcW w:w="2425" w:type="dxa"/>
            <w:shd w:val="clear" w:color="auto" w:fill="auto"/>
          </w:tcPr>
          <w:p w14:paraId="0BCD9EED" w14:textId="77777777" w:rsidR="004D47E9" w:rsidRPr="008C4A39" w:rsidRDefault="004D47E9" w:rsidP="004D47E9">
            <w:pPr>
              <w:rPr>
                <w:szCs w:val="24"/>
              </w:rPr>
            </w:pPr>
            <w:r w:rsidRPr="008C4A39">
              <w:rPr>
                <w:szCs w:val="24"/>
              </w:rPr>
              <w:t>FR457</w:t>
            </w:r>
          </w:p>
        </w:tc>
        <w:tc>
          <w:tcPr>
            <w:tcW w:w="6840" w:type="dxa"/>
            <w:shd w:val="clear" w:color="auto" w:fill="auto"/>
          </w:tcPr>
          <w:p w14:paraId="6A56AF41" w14:textId="5BD39635" w:rsidR="004D47E9" w:rsidRPr="008C4A39" w:rsidRDefault="004D47E9">
            <w:pPr>
              <w:rPr>
                <w:szCs w:val="24"/>
              </w:rPr>
            </w:pPr>
            <w:r w:rsidRPr="008C4A39">
              <w:rPr>
                <w:szCs w:val="24"/>
              </w:rPr>
              <w:t xml:space="preserve">The system must be able to send message to SEED+ message </w:t>
            </w:r>
            <w:r>
              <w:rPr>
                <w:szCs w:val="24"/>
              </w:rPr>
              <w:t>for</w:t>
            </w:r>
            <w:r w:rsidRPr="008C4A39">
              <w:rPr>
                <w:szCs w:val="24"/>
              </w:rPr>
              <w:t xml:space="preserve"> the intervention.</w:t>
            </w:r>
          </w:p>
        </w:tc>
      </w:tr>
      <w:tr w:rsidR="004D47E9" w:rsidRPr="008C4A39" w14:paraId="637C1753" w14:textId="77777777" w:rsidTr="001B187C">
        <w:trPr>
          <w:gridAfter w:val="1"/>
          <w:wAfter w:w="90" w:type="dxa"/>
        </w:trPr>
        <w:tc>
          <w:tcPr>
            <w:tcW w:w="9265" w:type="dxa"/>
            <w:gridSpan w:val="2"/>
            <w:shd w:val="clear" w:color="auto" w:fill="auto"/>
          </w:tcPr>
          <w:p w14:paraId="5EC26A7D"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16737804" w14:textId="77777777" w:rsidTr="001B187C">
        <w:trPr>
          <w:gridAfter w:val="1"/>
          <w:wAfter w:w="90" w:type="dxa"/>
        </w:trPr>
        <w:tc>
          <w:tcPr>
            <w:tcW w:w="9265" w:type="dxa"/>
            <w:gridSpan w:val="2"/>
            <w:shd w:val="clear" w:color="auto" w:fill="auto"/>
          </w:tcPr>
          <w:p w14:paraId="2A97A3CB"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r w:rsidR="004D47E9" w:rsidRPr="008C4A39" w14:paraId="6E36BE29" w14:textId="77777777" w:rsidTr="001136D3">
        <w:trPr>
          <w:gridAfter w:val="1"/>
          <w:wAfter w:w="90" w:type="dxa"/>
        </w:trPr>
        <w:tc>
          <w:tcPr>
            <w:tcW w:w="2425" w:type="dxa"/>
            <w:shd w:val="clear" w:color="auto" w:fill="auto"/>
          </w:tcPr>
          <w:p w14:paraId="66D0000D" w14:textId="77777777" w:rsidR="004D47E9" w:rsidRPr="008C4A39" w:rsidRDefault="004D47E9" w:rsidP="004D47E9">
            <w:pPr>
              <w:rPr>
                <w:szCs w:val="24"/>
              </w:rPr>
            </w:pPr>
            <w:r w:rsidRPr="008C4A39">
              <w:rPr>
                <w:szCs w:val="24"/>
              </w:rPr>
              <w:t>FR458</w:t>
            </w:r>
          </w:p>
        </w:tc>
        <w:tc>
          <w:tcPr>
            <w:tcW w:w="6840" w:type="dxa"/>
            <w:shd w:val="clear" w:color="auto" w:fill="auto"/>
          </w:tcPr>
          <w:p w14:paraId="549EE151" w14:textId="77777777" w:rsidR="004D47E9" w:rsidRPr="008C4A39" w:rsidRDefault="004D47E9" w:rsidP="004D47E9">
            <w:pPr>
              <w:rPr>
                <w:szCs w:val="24"/>
              </w:rPr>
            </w:pPr>
            <w:r w:rsidRPr="008C4A39">
              <w:rPr>
                <w:szCs w:val="24"/>
              </w:rPr>
              <w:t>The system must be able to notify the customs systems data warehouse for the outcome of the quantity management outcome for the clearance of the goods or intervention.</w:t>
            </w:r>
          </w:p>
        </w:tc>
      </w:tr>
      <w:tr w:rsidR="004D47E9" w:rsidRPr="008C4A39" w14:paraId="795A82BA" w14:textId="77777777" w:rsidTr="001B187C">
        <w:trPr>
          <w:gridAfter w:val="1"/>
          <w:wAfter w:w="90" w:type="dxa"/>
        </w:trPr>
        <w:tc>
          <w:tcPr>
            <w:tcW w:w="9265" w:type="dxa"/>
            <w:gridSpan w:val="2"/>
            <w:shd w:val="clear" w:color="auto" w:fill="auto"/>
          </w:tcPr>
          <w:p w14:paraId="452A0DA6" w14:textId="77777777" w:rsidR="004D47E9" w:rsidRPr="008C4A39" w:rsidRDefault="004D47E9" w:rsidP="004D47E9">
            <w:pPr>
              <w:ind w:right="-360"/>
              <w:jc w:val="left"/>
              <w:rPr>
                <w:szCs w:val="24"/>
              </w:rPr>
            </w:pPr>
            <w:r w:rsidRPr="008C4A39">
              <w:rPr>
                <w:szCs w:val="24"/>
              </w:rPr>
              <w:t xml:space="preserve">Bidder’s technical reasons supporting compliance:  </w:t>
            </w:r>
          </w:p>
        </w:tc>
      </w:tr>
      <w:tr w:rsidR="004D47E9" w:rsidRPr="008C4A39" w14:paraId="1FAC4F56" w14:textId="77777777" w:rsidTr="001B187C">
        <w:trPr>
          <w:gridAfter w:val="1"/>
          <w:wAfter w:w="90" w:type="dxa"/>
        </w:trPr>
        <w:tc>
          <w:tcPr>
            <w:tcW w:w="9265" w:type="dxa"/>
            <w:gridSpan w:val="2"/>
            <w:shd w:val="clear" w:color="auto" w:fill="auto"/>
          </w:tcPr>
          <w:p w14:paraId="20560937" w14:textId="77777777" w:rsidR="004D47E9" w:rsidRPr="008C4A39" w:rsidRDefault="004D47E9" w:rsidP="004D47E9">
            <w:pPr>
              <w:ind w:right="-360"/>
              <w:jc w:val="left"/>
              <w:rPr>
                <w:szCs w:val="24"/>
              </w:rPr>
            </w:pPr>
            <w:r w:rsidRPr="008C4A39">
              <w:rPr>
                <w:szCs w:val="24"/>
              </w:rPr>
              <w:t>Bidder’s cross references to supporting information in Technical Bid:</w:t>
            </w:r>
          </w:p>
        </w:tc>
      </w:tr>
    </w:tbl>
    <w:tbl>
      <w:tblPr>
        <w:tblStyle w:val="TableGrid1"/>
        <w:tblW w:w="9355" w:type="dxa"/>
        <w:tblLook w:val="04A0" w:firstRow="1" w:lastRow="0" w:firstColumn="1" w:lastColumn="0" w:noHBand="0" w:noVBand="1"/>
      </w:tblPr>
      <w:tblGrid>
        <w:gridCol w:w="2376"/>
        <w:gridCol w:w="49"/>
        <w:gridCol w:w="6930"/>
      </w:tblGrid>
      <w:tr w:rsidR="00930D96" w:rsidRPr="008C4A39" w14:paraId="5793B548" w14:textId="77777777" w:rsidTr="001136D3">
        <w:trPr>
          <w:tblHeader/>
        </w:trPr>
        <w:tc>
          <w:tcPr>
            <w:tcW w:w="2425" w:type="dxa"/>
            <w:gridSpan w:val="2"/>
            <w:shd w:val="clear" w:color="auto" w:fill="D9D9D9"/>
          </w:tcPr>
          <w:p w14:paraId="12544F6D" w14:textId="77777777" w:rsidR="00930D96" w:rsidRPr="008C4A39" w:rsidRDefault="00930D96" w:rsidP="00883B07">
            <w:pPr>
              <w:rPr>
                <w:b/>
                <w:szCs w:val="24"/>
              </w:rPr>
            </w:pPr>
            <w:r w:rsidRPr="008C4A39">
              <w:rPr>
                <w:b/>
                <w:szCs w:val="24"/>
              </w:rPr>
              <w:t>Tech. Req. Number</w:t>
            </w:r>
          </w:p>
        </w:tc>
        <w:tc>
          <w:tcPr>
            <w:tcW w:w="6930" w:type="dxa"/>
            <w:shd w:val="clear" w:color="auto" w:fill="D9D9D9"/>
          </w:tcPr>
          <w:p w14:paraId="4777BCD3" w14:textId="77777777" w:rsidR="00930D96" w:rsidRPr="008C4A39" w:rsidRDefault="00930D96" w:rsidP="00883B07">
            <w:pPr>
              <w:jc w:val="left"/>
              <w:rPr>
                <w:b/>
                <w:szCs w:val="24"/>
              </w:rPr>
            </w:pPr>
            <w:r w:rsidRPr="008C4A39">
              <w:rPr>
                <w:b/>
                <w:szCs w:val="24"/>
              </w:rPr>
              <w:t>Technical Requirement</w:t>
            </w:r>
          </w:p>
        </w:tc>
      </w:tr>
      <w:tr w:rsidR="00930D96" w:rsidRPr="008C4A39" w14:paraId="4F16E200" w14:textId="77777777" w:rsidTr="00883B07">
        <w:tc>
          <w:tcPr>
            <w:tcW w:w="9355" w:type="dxa"/>
            <w:gridSpan w:val="3"/>
            <w:shd w:val="clear" w:color="auto" w:fill="FFFFFF"/>
          </w:tcPr>
          <w:p w14:paraId="589E61B2" w14:textId="77777777" w:rsidR="00930D96" w:rsidRPr="008C4A39" w:rsidRDefault="00930D96" w:rsidP="00883B07">
            <w:pPr>
              <w:rPr>
                <w:b/>
                <w:szCs w:val="24"/>
              </w:rPr>
            </w:pPr>
            <w:r w:rsidRPr="008C4A39">
              <w:rPr>
                <w:b/>
                <w:szCs w:val="24"/>
              </w:rPr>
              <w:t>1.2.7.2. Process Payment Request</w:t>
            </w:r>
          </w:p>
        </w:tc>
      </w:tr>
      <w:tr w:rsidR="001B187C" w:rsidRPr="008C4A39" w14:paraId="37E62EF4" w14:textId="2F502923" w:rsidTr="001136D3">
        <w:tc>
          <w:tcPr>
            <w:tcW w:w="2425" w:type="dxa"/>
            <w:gridSpan w:val="2"/>
            <w:shd w:val="clear" w:color="auto" w:fill="FFFFFF"/>
          </w:tcPr>
          <w:p w14:paraId="5579ACC7" w14:textId="18DB41F5" w:rsidR="001B187C" w:rsidRPr="008C4A39" w:rsidRDefault="001B187C" w:rsidP="001B187C">
            <w:pPr>
              <w:rPr>
                <w:b/>
                <w:szCs w:val="24"/>
              </w:rPr>
            </w:pPr>
            <w:r>
              <w:rPr>
                <w:szCs w:val="24"/>
              </w:rPr>
              <w:t>FR115</w:t>
            </w:r>
          </w:p>
        </w:tc>
        <w:tc>
          <w:tcPr>
            <w:tcW w:w="6930" w:type="dxa"/>
            <w:shd w:val="clear" w:color="auto" w:fill="FFFFFF"/>
          </w:tcPr>
          <w:p w14:paraId="3146F46A" w14:textId="6F43D8A6" w:rsidR="001B187C" w:rsidRPr="008C4A39" w:rsidRDefault="001B187C" w:rsidP="001B187C">
            <w:pPr>
              <w:rPr>
                <w:b/>
                <w:szCs w:val="24"/>
              </w:rPr>
            </w:pPr>
            <w:r>
              <w:rPr>
                <w:szCs w:val="24"/>
              </w:rPr>
              <w:t>The Applicant shall be able to pay any requisite LPCO fee online including any other fee specified to be payable, via the NSW System facilitated by the Payment functionality.</w:t>
            </w:r>
          </w:p>
        </w:tc>
      </w:tr>
      <w:tr w:rsidR="001B187C" w:rsidRPr="008C4A39" w14:paraId="2F5DA190" w14:textId="77777777" w:rsidTr="00883B07">
        <w:tc>
          <w:tcPr>
            <w:tcW w:w="9355" w:type="dxa"/>
            <w:gridSpan w:val="3"/>
            <w:shd w:val="clear" w:color="auto" w:fill="FFFFFF"/>
          </w:tcPr>
          <w:p w14:paraId="313DEA98" w14:textId="7A0B89F8" w:rsidR="001B187C" w:rsidRPr="008C4A39" w:rsidRDefault="001B187C" w:rsidP="001B187C">
            <w:pPr>
              <w:rPr>
                <w:b/>
                <w:szCs w:val="24"/>
              </w:rPr>
            </w:pPr>
            <w:r w:rsidRPr="008C4A39">
              <w:rPr>
                <w:szCs w:val="24"/>
              </w:rPr>
              <w:t xml:space="preserve">Bidder’s technical reasons supporting compliance:  </w:t>
            </w:r>
          </w:p>
        </w:tc>
      </w:tr>
      <w:tr w:rsidR="001B187C" w:rsidRPr="008C4A39" w14:paraId="29EDBB03" w14:textId="77777777" w:rsidTr="00883B07">
        <w:tc>
          <w:tcPr>
            <w:tcW w:w="9355" w:type="dxa"/>
            <w:gridSpan w:val="3"/>
            <w:shd w:val="clear" w:color="auto" w:fill="FFFFFF"/>
          </w:tcPr>
          <w:p w14:paraId="5352C8C9" w14:textId="3621B336" w:rsidR="001B187C" w:rsidRPr="008C4A39" w:rsidRDefault="001B187C" w:rsidP="001B187C">
            <w:pPr>
              <w:rPr>
                <w:b/>
                <w:szCs w:val="24"/>
              </w:rPr>
            </w:pPr>
            <w:r w:rsidRPr="008C4A39">
              <w:rPr>
                <w:szCs w:val="24"/>
              </w:rPr>
              <w:t>Bidder’s cross references to supporting information in Technical Bid:</w:t>
            </w:r>
          </w:p>
        </w:tc>
      </w:tr>
      <w:tr w:rsidR="00930D96" w:rsidRPr="008C4A39" w14:paraId="180257A6" w14:textId="77777777" w:rsidTr="001136D3">
        <w:tc>
          <w:tcPr>
            <w:tcW w:w="2425" w:type="dxa"/>
            <w:gridSpan w:val="2"/>
            <w:shd w:val="clear" w:color="auto" w:fill="FFFFFF"/>
          </w:tcPr>
          <w:p w14:paraId="3BE8E8E6" w14:textId="77777777" w:rsidR="00930D96" w:rsidRPr="008C4A39" w:rsidRDefault="00930D96" w:rsidP="00883B07">
            <w:pPr>
              <w:rPr>
                <w:szCs w:val="24"/>
              </w:rPr>
            </w:pPr>
            <w:r w:rsidRPr="008C4A39">
              <w:rPr>
                <w:szCs w:val="24"/>
              </w:rPr>
              <w:t>FR128</w:t>
            </w:r>
          </w:p>
        </w:tc>
        <w:tc>
          <w:tcPr>
            <w:tcW w:w="6930" w:type="dxa"/>
            <w:shd w:val="clear" w:color="auto" w:fill="FFFFFF"/>
          </w:tcPr>
          <w:p w14:paraId="713BA3A8" w14:textId="77777777" w:rsidR="00930D96" w:rsidRPr="008C4A39" w:rsidRDefault="00930D96" w:rsidP="00883B07">
            <w:pPr>
              <w:rPr>
                <w:szCs w:val="24"/>
              </w:rPr>
            </w:pPr>
            <w:r w:rsidRPr="008C4A39">
              <w:rPr>
                <w:szCs w:val="24"/>
              </w:rPr>
              <w:t xml:space="preserve">Upon payment by the applicant, the NSW system must receive the payment confirmation from the bank via the NSW Payment </w:t>
            </w:r>
            <w:proofErr w:type="gramStart"/>
            <w:r w:rsidRPr="008C4A39">
              <w:rPr>
                <w:szCs w:val="24"/>
              </w:rPr>
              <w:t>functionality, and</w:t>
            </w:r>
            <w:proofErr w:type="gramEnd"/>
            <w:r w:rsidRPr="008C4A39">
              <w:rPr>
                <w:szCs w:val="24"/>
              </w:rPr>
              <w:t xml:space="preserve"> update this status to the CBRA system.</w:t>
            </w:r>
          </w:p>
        </w:tc>
      </w:tr>
      <w:tr w:rsidR="00930D96" w:rsidRPr="008C4A39" w14:paraId="0A46EE3A" w14:textId="77777777" w:rsidTr="00883B07">
        <w:tc>
          <w:tcPr>
            <w:tcW w:w="9355" w:type="dxa"/>
            <w:gridSpan w:val="3"/>
            <w:shd w:val="clear" w:color="auto" w:fill="FFFFFF"/>
          </w:tcPr>
          <w:p w14:paraId="2CE93946"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FDB41E5" w14:textId="77777777" w:rsidTr="00883B07">
        <w:tc>
          <w:tcPr>
            <w:tcW w:w="9355" w:type="dxa"/>
            <w:gridSpan w:val="3"/>
            <w:shd w:val="clear" w:color="auto" w:fill="FFFFFF"/>
          </w:tcPr>
          <w:p w14:paraId="5E2DD899" w14:textId="77777777" w:rsidR="00930D96" w:rsidRPr="008C4A39" w:rsidRDefault="00930D96" w:rsidP="00883B07">
            <w:pPr>
              <w:rPr>
                <w:szCs w:val="24"/>
              </w:rPr>
            </w:pPr>
            <w:r w:rsidRPr="008C4A39">
              <w:rPr>
                <w:szCs w:val="24"/>
              </w:rPr>
              <w:t>Bidder’s cross references to supporting information in Technical Bid:</w:t>
            </w:r>
          </w:p>
        </w:tc>
      </w:tr>
      <w:tr w:rsidR="001B187C" w:rsidRPr="008C4A39" w14:paraId="7353D6F1" w14:textId="09F6FB19" w:rsidTr="001136D3">
        <w:tc>
          <w:tcPr>
            <w:tcW w:w="2425" w:type="dxa"/>
            <w:gridSpan w:val="2"/>
            <w:shd w:val="clear" w:color="auto" w:fill="FFFFFF"/>
          </w:tcPr>
          <w:p w14:paraId="654A6D66" w14:textId="0FF4129C" w:rsidR="001B187C" w:rsidRPr="008C4A39" w:rsidRDefault="001B187C" w:rsidP="001B187C">
            <w:pPr>
              <w:rPr>
                <w:szCs w:val="24"/>
              </w:rPr>
            </w:pPr>
            <w:r>
              <w:rPr>
                <w:szCs w:val="24"/>
              </w:rPr>
              <w:lastRenderedPageBreak/>
              <w:t>FR147</w:t>
            </w:r>
          </w:p>
        </w:tc>
        <w:tc>
          <w:tcPr>
            <w:tcW w:w="6930" w:type="dxa"/>
            <w:shd w:val="clear" w:color="auto" w:fill="FFFFFF"/>
          </w:tcPr>
          <w:p w14:paraId="630BA693" w14:textId="5CA70EEA" w:rsidR="001B187C" w:rsidRPr="008C4A39" w:rsidRDefault="001B187C" w:rsidP="001B187C">
            <w:pPr>
              <w:rPr>
                <w:szCs w:val="24"/>
              </w:rPr>
            </w:pPr>
            <w:r>
              <w:rPr>
                <w:szCs w:val="24"/>
              </w:rPr>
              <w:t>The NSW System must provide functionality to collect, compile and send all necessary information needed to process a payment through a payment gateway.</w:t>
            </w:r>
          </w:p>
        </w:tc>
      </w:tr>
      <w:tr w:rsidR="007B236C" w:rsidRPr="008C4A39" w14:paraId="0B0C928B" w14:textId="77777777" w:rsidTr="00883B07">
        <w:tc>
          <w:tcPr>
            <w:tcW w:w="9355" w:type="dxa"/>
            <w:gridSpan w:val="3"/>
            <w:shd w:val="clear" w:color="auto" w:fill="FFFFFF"/>
          </w:tcPr>
          <w:p w14:paraId="43AAD079" w14:textId="4DB845CE" w:rsidR="007B236C" w:rsidRPr="008C4A39" w:rsidRDefault="007B236C" w:rsidP="007B236C">
            <w:pPr>
              <w:rPr>
                <w:szCs w:val="24"/>
              </w:rPr>
            </w:pPr>
            <w:r w:rsidRPr="008C4A39">
              <w:rPr>
                <w:szCs w:val="24"/>
              </w:rPr>
              <w:t xml:space="preserve">Bidder’s technical reasons supporting compliance:  </w:t>
            </w:r>
          </w:p>
        </w:tc>
      </w:tr>
      <w:tr w:rsidR="007B236C" w:rsidRPr="008C4A39" w14:paraId="2C7E8568" w14:textId="77777777" w:rsidTr="00883B07">
        <w:tc>
          <w:tcPr>
            <w:tcW w:w="9355" w:type="dxa"/>
            <w:gridSpan w:val="3"/>
            <w:shd w:val="clear" w:color="auto" w:fill="FFFFFF"/>
          </w:tcPr>
          <w:p w14:paraId="54506D50" w14:textId="1490BB84" w:rsidR="007B236C" w:rsidRPr="008C4A39" w:rsidRDefault="007B236C" w:rsidP="007B236C">
            <w:pPr>
              <w:rPr>
                <w:szCs w:val="24"/>
              </w:rPr>
            </w:pPr>
            <w:r w:rsidRPr="008C4A39">
              <w:rPr>
                <w:szCs w:val="24"/>
              </w:rPr>
              <w:t>Bidder’s cross references to supporting information in Technical Bid:</w:t>
            </w:r>
          </w:p>
        </w:tc>
      </w:tr>
      <w:tr w:rsidR="001B187C" w:rsidRPr="008C4A39" w14:paraId="6C189FE4" w14:textId="5A75C00F" w:rsidTr="001136D3">
        <w:tc>
          <w:tcPr>
            <w:tcW w:w="2425" w:type="dxa"/>
            <w:gridSpan w:val="2"/>
            <w:shd w:val="clear" w:color="auto" w:fill="FFFFFF"/>
          </w:tcPr>
          <w:p w14:paraId="4B9D497A" w14:textId="0D609883" w:rsidR="001B187C" w:rsidRDefault="001B187C" w:rsidP="001B187C">
            <w:pPr>
              <w:rPr>
                <w:szCs w:val="24"/>
              </w:rPr>
            </w:pPr>
            <w:r>
              <w:rPr>
                <w:szCs w:val="24"/>
              </w:rPr>
              <w:t>FR149</w:t>
            </w:r>
          </w:p>
        </w:tc>
        <w:tc>
          <w:tcPr>
            <w:tcW w:w="6930" w:type="dxa"/>
            <w:shd w:val="clear" w:color="auto" w:fill="FFFFFF"/>
          </w:tcPr>
          <w:p w14:paraId="7255EE7D" w14:textId="48F580F2" w:rsidR="001B187C" w:rsidRDefault="001B187C" w:rsidP="001B187C">
            <w:pPr>
              <w:rPr>
                <w:szCs w:val="24"/>
              </w:rPr>
            </w:pPr>
            <w:r>
              <w:rPr>
                <w:szCs w:val="24"/>
              </w:rPr>
              <w:t>After successful LPCO processing, the NSW System shall prompt the applicant to pay the relevant fee for this LPCO prior to issuance.</w:t>
            </w:r>
          </w:p>
        </w:tc>
      </w:tr>
      <w:tr w:rsidR="007B236C" w:rsidRPr="008C4A39" w14:paraId="7CDFEAE8" w14:textId="77777777" w:rsidTr="00883B07">
        <w:tc>
          <w:tcPr>
            <w:tcW w:w="9355" w:type="dxa"/>
            <w:gridSpan w:val="3"/>
            <w:shd w:val="clear" w:color="auto" w:fill="FFFFFF"/>
          </w:tcPr>
          <w:p w14:paraId="41C9FC46" w14:textId="1FBDFD38" w:rsidR="007B236C" w:rsidRDefault="007B236C" w:rsidP="007B236C">
            <w:pPr>
              <w:rPr>
                <w:szCs w:val="24"/>
              </w:rPr>
            </w:pPr>
            <w:r w:rsidRPr="008C4A39">
              <w:rPr>
                <w:szCs w:val="24"/>
              </w:rPr>
              <w:t xml:space="preserve">Bidder’s technical reasons supporting compliance:  </w:t>
            </w:r>
          </w:p>
        </w:tc>
      </w:tr>
      <w:tr w:rsidR="007B236C" w:rsidRPr="008C4A39" w14:paraId="2C19C8F7" w14:textId="77777777" w:rsidTr="00883B07">
        <w:tc>
          <w:tcPr>
            <w:tcW w:w="9355" w:type="dxa"/>
            <w:gridSpan w:val="3"/>
            <w:shd w:val="clear" w:color="auto" w:fill="FFFFFF"/>
          </w:tcPr>
          <w:p w14:paraId="326A1E51" w14:textId="23C94F06" w:rsidR="007B236C" w:rsidRDefault="007B236C" w:rsidP="007B236C">
            <w:pPr>
              <w:rPr>
                <w:szCs w:val="24"/>
              </w:rPr>
            </w:pPr>
            <w:r w:rsidRPr="008C4A39">
              <w:rPr>
                <w:szCs w:val="24"/>
              </w:rPr>
              <w:t>Bidder’s cross references to supporting information in Technical Bid:</w:t>
            </w:r>
          </w:p>
        </w:tc>
      </w:tr>
      <w:tr w:rsidR="007B236C" w:rsidRPr="008C4A39" w14:paraId="54FEA9CB" w14:textId="7A238A9A" w:rsidTr="001136D3">
        <w:tc>
          <w:tcPr>
            <w:tcW w:w="2425" w:type="dxa"/>
            <w:gridSpan w:val="2"/>
            <w:shd w:val="clear" w:color="auto" w:fill="FFFFFF"/>
          </w:tcPr>
          <w:p w14:paraId="3D71E22D" w14:textId="12936957" w:rsidR="007B236C" w:rsidRDefault="007B236C" w:rsidP="007B236C">
            <w:pPr>
              <w:rPr>
                <w:szCs w:val="24"/>
              </w:rPr>
            </w:pPr>
            <w:r>
              <w:rPr>
                <w:szCs w:val="24"/>
              </w:rPr>
              <w:t>FR150</w:t>
            </w:r>
          </w:p>
        </w:tc>
        <w:tc>
          <w:tcPr>
            <w:tcW w:w="6930" w:type="dxa"/>
            <w:shd w:val="clear" w:color="auto" w:fill="FFFFFF"/>
          </w:tcPr>
          <w:p w14:paraId="40891F98" w14:textId="26908D8F" w:rsidR="007B236C" w:rsidRDefault="007B236C" w:rsidP="007B236C">
            <w:pPr>
              <w:rPr>
                <w:szCs w:val="24"/>
              </w:rPr>
            </w:pPr>
            <w:r>
              <w:rPr>
                <w:szCs w:val="24"/>
              </w:rPr>
              <w:t>The applicant pays the fees and gets an acknowledgement from the NSW System.</w:t>
            </w:r>
          </w:p>
        </w:tc>
      </w:tr>
      <w:tr w:rsidR="007B236C" w:rsidRPr="008C4A39" w14:paraId="133AF969" w14:textId="77777777" w:rsidTr="00883B07">
        <w:tc>
          <w:tcPr>
            <w:tcW w:w="9355" w:type="dxa"/>
            <w:gridSpan w:val="3"/>
            <w:shd w:val="clear" w:color="auto" w:fill="FFFFFF"/>
          </w:tcPr>
          <w:p w14:paraId="2A2CC980" w14:textId="29A62880" w:rsidR="007B236C" w:rsidRDefault="007B236C" w:rsidP="007B236C">
            <w:pPr>
              <w:rPr>
                <w:szCs w:val="24"/>
              </w:rPr>
            </w:pPr>
            <w:r w:rsidRPr="008C4A39">
              <w:rPr>
                <w:szCs w:val="24"/>
              </w:rPr>
              <w:t xml:space="preserve">Bidder’s technical reasons supporting compliance:  </w:t>
            </w:r>
          </w:p>
        </w:tc>
      </w:tr>
      <w:tr w:rsidR="007B236C" w:rsidRPr="008C4A39" w14:paraId="5AA2CF34" w14:textId="77777777" w:rsidTr="00883B07">
        <w:tc>
          <w:tcPr>
            <w:tcW w:w="9355" w:type="dxa"/>
            <w:gridSpan w:val="3"/>
            <w:shd w:val="clear" w:color="auto" w:fill="FFFFFF"/>
          </w:tcPr>
          <w:p w14:paraId="488CBFB1" w14:textId="1AC9CA32" w:rsidR="007B236C" w:rsidRDefault="007B236C" w:rsidP="007B236C">
            <w:pPr>
              <w:rPr>
                <w:szCs w:val="24"/>
              </w:rPr>
            </w:pPr>
            <w:r w:rsidRPr="008C4A39">
              <w:rPr>
                <w:szCs w:val="24"/>
              </w:rPr>
              <w:t>Bidder’s cross references to supporting information in Technical Bid:</w:t>
            </w:r>
          </w:p>
        </w:tc>
      </w:tr>
      <w:tr w:rsidR="007B236C" w:rsidRPr="008C4A39" w14:paraId="478CF21F" w14:textId="45DCD252" w:rsidTr="001136D3">
        <w:tc>
          <w:tcPr>
            <w:tcW w:w="2425" w:type="dxa"/>
            <w:gridSpan w:val="2"/>
            <w:shd w:val="clear" w:color="auto" w:fill="FFFFFF"/>
          </w:tcPr>
          <w:p w14:paraId="64811845" w14:textId="0C2C4126" w:rsidR="007B236C" w:rsidRDefault="007B236C" w:rsidP="007B236C">
            <w:pPr>
              <w:rPr>
                <w:szCs w:val="24"/>
              </w:rPr>
            </w:pPr>
            <w:r>
              <w:rPr>
                <w:szCs w:val="24"/>
              </w:rPr>
              <w:t>FR159</w:t>
            </w:r>
          </w:p>
        </w:tc>
        <w:tc>
          <w:tcPr>
            <w:tcW w:w="6930" w:type="dxa"/>
            <w:shd w:val="clear" w:color="auto" w:fill="FFFFFF"/>
          </w:tcPr>
          <w:p w14:paraId="437D68FC" w14:textId="51A042B7" w:rsidR="007B236C" w:rsidRDefault="007B236C" w:rsidP="007B236C">
            <w:pPr>
              <w:rPr>
                <w:szCs w:val="24"/>
              </w:rPr>
            </w:pPr>
            <w:r>
              <w:rPr>
                <w:szCs w:val="24"/>
              </w:rPr>
              <w:t>The CBRA must be able to indicate the following for each LPCO: amount of processing fee if applicable, amount of permit fee if applicable. In case any of these fees is to be determined on a case-by-case basis, CBRA administrator will mark this requirement and CBRA will compute fee based on specific content of LPCO application.</w:t>
            </w:r>
          </w:p>
        </w:tc>
      </w:tr>
      <w:tr w:rsidR="007B236C" w:rsidRPr="008C4A39" w14:paraId="2577DB26" w14:textId="77777777" w:rsidTr="00883B07">
        <w:tc>
          <w:tcPr>
            <w:tcW w:w="9355" w:type="dxa"/>
            <w:gridSpan w:val="3"/>
            <w:shd w:val="clear" w:color="auto" w:fill="FFFFFF"/>
          </w:tcPr>
          <w:p w14:paraId="0F7F65FA" w14:textId="4525AE65" w:rsidR="007B236C" w:rsidRDefault="007B236C" w:rsidP="007B236C">
            <w:pPr>
              <w:rPr>
                <w:szCs w:val="24"/>
              </w:rPr>
            </w:pPr>
            <w:r w:rsidRPr="008C4A39">
              <w:rPr>
                <w:szCs w:val="24"/>
              </w:rPr>
              <w:t xml:space="preserve">Bidder’s technical reasons supporting compliance:  </w:t>
            </w:r>
          </w:p>
        </w:tc>
      </w:tr>
      <w:tr w:rsidR="007B236C" w:rsidRPr="008C4A39" w14:paraId="24D0AC41" w14:textId="77777777" w:rsidTr="00883B07">
        <w:tc>
          <w:tcPr>
            <w:tcW w:w="9355" w:type="dxa"/>
            <w:gridSpan w:val="3"/>
            <w:shd w:val="clear" w:color="auto" w:fill="FFFFFF"/>
          </w:tcPr>
          <w:p w14:paraId="10C65C54" w14:textId="0B077637" w:rsidR="007B236C" w:rsidRDefault="007B236C" w:rsidP="007B236C">
            <w:pPr>
              <w:rPr>
                <w:szCs w:val="24"/>
              </w:rPr>
            </w:pPr>
            <w:r w:rsidRPr="008C4A39">
              <w:rPr>
                <w:szCs w:val="24"/>
              </w:rPr>
              <w:t>Bidder’s cross references to supporting information in Technical Bid:</w:t>
            </w:r>
          </w:p>
        </w:tc>
      </w:tr>
      <w:tr w:rsidR="007B236C" w:rsidRPr="008C4A39" w14:paraId="01DC2F68" w14:textId="77777777" w:rsidTr="001136D3">
        <w:tc>
          <w:tcPr>
            <w:tcW w:w="2425" w:type="dxa"/>
            <w:gridSpan w:val="2"/>
            <w:shd w:val="clear" w:color="auto" w:fill="FFFFFF"/>
            <w:vAlign w:val="bottom"/>
          </w:tcPr>
          <w:p w14:paraId="397BBFA4" w14:textId="77777777" w:rsidR="007B236C" w:rsidRPr="008C4A39" w:rsidRDefault="007B236C" w:rsidP="007B236C">
            <w:pPr>
              <w:rPr>
                <w:b/>
                <w:szCs w:val="24"/>
              </w:rPr>
            </w:pPr>
            <w:r w:rsidRPr="008C4A39">
              <w:rPr>
                <w:szCs w:val="24"/>
              </w:rPr>
              <w:t>FR226</w:t>
            </w:r>
          </w:p>
        </w:tc>
        <w:tc>
          <w:tcPr>
            <w:tcW w:w="6930" w:type="dxa"/>
            <w:shd w:val="clear" w:color="auto" w:fill="FFFFFF"/>
          </w:tcPr>
          <w:p w14:paraId="5B73BB10" w14:textId="77777777" w:rsidR="007B236C" w:rsidRPr="008C4A39" w:rsidRDefault="007B236C" w:rsidP="007B236C">
            <w:pPr>
              <w:rPr>
                <w:b/>
                <w:szCs w:val="24"/>
              </w:rPr>
            </w:pPr>
            <w:r w:rsidRPr="008C4A39">
              <w:rPr>
                <w:szCs w:val="24"/>
              </w:rPr>
              <w:t>The Payment functionality of NSW must be the single interface for all types of payments relating to the clearance of the consignment.</w:t>
            </w:r>
          </w:p>
        </w:tc>
      </w:tr>
      <w:tr w:rsidR="007B236C" w:rsidRPr="008C4A39" w14:paraId="3A7F9BE8" w14:textId="77777777" w:rsidTr="00883B07">
        <w:tc>
          <w:tcPr>
            <w:tcW w:w="9355" w:type="dxa"/>
            <w:gridSpan w:val="3"/>
            <w:shd w:val="clear" w:color="auto" w:fill="FFFFFF"/>
            <w:vAlign w:val="bottom"/>
          </w:tcPr>
          <w:p w14:paraId="77134D0B"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51F67806" w14:textId="77777777" w:rsidTr="00883B07">
        <w:tc>
          <w:tcPr>
            <w:tcW w:w="9355" w:type="dxa"/>
            <w:gridSpan w:val="3"/>
            <w:shd w:val="clear" w:color="auto" w:fill="FFFFFF"/>
            <w:vAlign w:val="bottom"/>
          </w:tcPr>
          <w:p w14:paraId="4C8CD5E4"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676491C4" w14:textId="77777777" w:rsidTr="001136D3">
        <w:tc>
          <w:tcPr>
            <w:tcW w:w="2425" w:type="dxa"/>
            <w:gridSpan w:val="2"/>
            <w:shd w:val="clear" w:color="auto" w:fill="FFFFFF"/>
            <w:vAlign w:val="bottom"/>
          </w:tcPr>
          <w:p w14:paraId="7767631B" w14:textId="77777777" w:rsidR="007B236C" w:rsidRPr="008C4A39" w:rsidRDefault="007B236C" w:rsidP="007B236C">
            <w:pPr>
              <w:rPr>
                <w:b/>
                <w:szCs w:val="24"/>
              </w:rPr>
            </w:pPr>
            <w:r w:rsidRPr="008C4A39">
              <w:rPr>
                <w:szCs w:val="24"/>
              </w:rPr>
              <w:t>FR227</w:t>
            </w:r>
          </w:p>
        </w:tc>
        <w:tc>
          <w:tcPr>
            <w:tcW w:w="6930" w:type="dxa"/>
            <w:shd w:val="clear" w:color="auto" w:fill="FFFFFF"/>
          </w:tcPr>
          <w:p w14:paraId="5451F659" w14:textId="77777777" w:rsidR="007B236C" w:rsidRPr="008C4A39" w:rsidRDefault="007B236C" w:rsidP="007B236C">
            <w:pPr>
              <w:rPr>
                <w:b/>
                <w:szCs w:val="24"/>
              </w:rPr>
            </w:pPr>
            <w:r w:rsidRPr="008C4A39">
              <w:rPr>
                <w:szCs w:val="24"/>
              </w:rPr>
              <w:t xml:space="preserve">The NSW system must be able to compute all taxes, fees, fines, penalties, and charges based on computable parameters. It should also compute late payment fees, payable interest </w:t>
            </w:r>
            <w:proofErr w:type="spellStart"/>
            <w:r w:rsidRPr="008C4A39">
              <w:rPr>
                <w:szCs w:val="24"/>
              </w:rPr>
              <w:t>etc</w:t>
            </w:r>
            <w:proofErr w:type="spellEnd"/>
            <w:r w:rsidRPr="008C4A39">
              <w:rPr>
                <w:szCs w:val="24"/>
              </w:rPr>
              <w:t>, related to LPCO.</w:t>
            </w:r>
          </w:p>
        </w:tc>
      </w:tr>
      <w:tr w:rsidR="007B236C" w:rsidRPr="008C4A39" w14:paraId="5CC6842C" w14:textId="77777777" w:rsidTr="00883B07">
        <w:tc>
          <w:tcPr>
            <w:tcW w:w="9355" w:type="dxa"/>
            <w:gridSpan w:val="3"/>
            <w:shd w:val="clear" w:color="auto" w:fill="FFFFFF"/>
            <w:vAlign w:val="bottom"/>
          </w:tcPr>
          <w:p w14:paraId="1838F974"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38487655" w14:textId="77777777" w:rsidTr="00883B07">
        <w:tc>
          <w:tcPr>
            <w:tcW w:w="9355" w:type="dxa"/>
            <w:gridSpan w:val="3"/>
            <w:shd w:val="clear" w:color="auto" w:fill="FFFFFF"/>
            <w:vAlign w:val="bottom"/>
          </w:tcPr>
          <w:p w14:paraId="46C96C31"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11FFD754" w14:textId="77777777" w:rsidTr="001136D3">
        <w:tc>
          <w:tcPr>
            <w:tcW w:w="2425" w:type="dxa"/>
            <w:gridSpan w:val="2"/>
            <w:shd w:val="clear" w:color="auto" w:fill="FFFFFF"/>
            <w:vAlign w:val="bottom"/>
          </w:tcPr>
          <w:p w14:paraId="4EF06F3F" w14:textId="77777777" w:rsidR="007B236C" w:rsidRPr="008C4A39" w:rsidRDefault="007B236C" w:rsidP="007B236C">
            <w:pPr>
              <w:rPr>
                <w:b/>
                <w:szCs w:val="24"/>
              </w:rPr>
            </w:pPr>
            <w:r w:rsidRPr="008C4A39">
              <w:rPr>
                <w:szCs w:val="24"/>
              </w:rPr>
              <w:t>FR228</w:t>
            </w:r>
          </w:p>
        </w:tc>
        <w:tc>
          <w:tcPr>
            <w:tcW w:w="6930" w:type="dxa"/>
            <w:shd w:val="clear" w:color="auto" w:fill="FFFFFF"/>
          </w:tcPr>
          <w:p w14:paraId="78E8B1F4" w14:textId="77777777" w:rsidR="007B236C" w:rsidRPr="008C4A39" w:rsidRDefault="007B236C" w:rsidP="007B236C">
            <w:pPr>
              <w:rPr>
                <w:b/>
                <w:szCs w:val="24"/>
              </w:rPr>
            </w:pPr>
            <w:r w:rsidRPr="008C4A39">
              <w:rPr>
                <w:szCs w:val="24"/>
              </w:rPr>
              <w:t>On the Traders interface, the system must display all pending payment invoices/notices and allow the payments for each presented invoice/notice or as a lump sum amount.</w:t>
            </w:r>
          </w:p>
        </w:tc>
      </w:tr>
      <w:tr w:rsidR="007B236C" w:rsidRPr="008C4A39" w14:paraId="20BC36FB" w14:textId="77777777" w:rsidTr="00883B07">
        <w:tc>
          <w:tcPr>
            <w:tcW w:w="9355" w:type="dxa"/>
            <w:gridSpan w:val="3"/>
            <w:shd w:val="clear" w:color="auto" w:fill="FFFFFF"/>
            <w:vAlign w:val="bottom"/>
          </w:tcPr>
          <w:p w14:paraId="1EF46465"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6AD122F0" w14:textId="77777777" w:rsidTr="00883B07">
        <w:tc>
          <w:tcPr>
            <w:tcW w:w="9355" w:type="dxa"/>
            <w:gridSpan w:val="3"/>
            <w:shd w:val="clear" w:color="auto" w:fill="FFFFFF"/>
            <w:vAlign w:val="bottom"/>
          </w:tcPr>
          <w:p w14:paraId="6F960F2D"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4B1223C3" w14:textId="77777777" w:rsidTr="001136D3">
        <w:tc>
          <w:tcPr>
            <w:tcW w:w="2425" w:type="dxa"/>
            <w:gridSpan w:val="2"/>
            <w:shd w:val="clear" w:color="auto" w:fill="FFFFFF"/>
            <w:vAlign w:val="bottom"/>
          </w:tcPr>
          <w:p w14:paraId="7436391C" w14:textId="77777777" w:rsidR="007B236C" w:rsidRPr="008C4A39" w:rsidRDefault="007B236C" w:rsidP="007B236C">
            <w:pPr>
              <w:rPr>
                <w:b/>
                <w:szCs w:val="24"/>
              </w:rPr>
            </w:pPr>
            <w:r w:rsidRPr="008C4A39">
              <w:rPr>
                <w:szCs w:val="24"/>
              </w:rPr>
              <w:lastRenderedPageBreak/>
              <w:t>FR229</w:t>
            </w:r>
          </w:p>
        </w:tc>
        <w:tc>
          <w:tcPr>
            <w:tcW w:w="6930" w:type="dxa"/>
            <w:shd w:val="clear" w:color="auto" w:fill="FFFFFF"/>
          </w:tcPr>
          <w:p w14:paraId="5F39E4FA" w14:textId="77777777" w:rsidR="007B236C" w:rsidRPr="008C4A39" w:rsidRDefault="007B236C" w:rsidP="007B236C">
            <w:pPr>
              <w:rPr>
                <w:b/>
                <w:szCs w:val="24"/>
              </w:rPr>
            </w:pPr>
            <w:r w:rsidRPr="008C4A39">
              <w:rPr>
                <w:szCs w:val="24"/>
              </w:rPr>
              <w:t>The NSW system must provide for the payer make the online payment using online banking modes.</w:t>
            </w:r>
          </w:p>
        </w:tc>
      </w:tr>
      <w:tr w:rsidR="007B236C" w:rsidRPr="008C4A39" w14:paraId="27EE23E1" w14:textId="77777777" w:rsidTr="00883B07">
        <w:tc>
          <w:tcPr>
            <w:tcW w:w="9355" w:type="dxa"/>
            <w:gridSpan w:val="3"/>
            <w:shd w:val="clear" w:color="auto" w:fill="FFFFFF"/>
            <w:vAlign w:val="bottom"/>
          </w:tcPr>
          <w:p w14:paraId="11F2BA9F"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28FA233F" w14:textId="77777777" w:rsidTr="00883B07">
        <w:tc>
          <w:tcPr>
            <w:tcW w:w="9355" w:type="dxa"/>
            <w:gridSpan w:val="3"/>
            <w:shd w:val="clear" w:color="auto" w:fill="FFFFFF"/>
            <w:vAlign w:val="bottom"/>
          </w:tcPr>
          <w:p w14:paraId="75E33877"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6AC7A515" w14:textId="77777777" w:rsidTr="001136D3">
        <w:tc>
          <w:tcPr>
            <w:tcW w:w="2425" w:type="dxa"/>
            <w:gridSpan w:val="2"/>
            <w:shd w:val="clear" w:color="auto" w:fill="FFFFFF"/>
            <w:vAlign w:val="bottom"/>
          </w:tcPr>
          <w:p w14:paraId="1F26DEA9" w14:textId="77777777" w:rsidR="007B236C" w:rsidRPr="008C4A39" w:rsidRDefault="007B236C" w:rsidP="007B236C">
            <w:pPr>
              <w:rPr>
                <w:b/>
                <w:szCs w:val="24"/>
              </w:rPr>
            </w:pPr>
            <w:r w:rsidRPr="008C4A39">
              <w:rPr>
                <w:szCs w:val="24"/>
              </w:rPr>
              <w:t>FR230</w:t>
            </w:r>
          </w:p>
        </w:tc>
        <w:tc>
          <w:tcPr>
            <w:tcW w:w="6930" w:type="dxa"/>
            <w:shd w:val="clear" w:color="auto" w:fill="FFFFFF"/>
          </w:tcPr>
          <w:p w14:paraId="3138CAC5" w14:textId="77777777" w:rsidR="007B236C" w:rsidRPr="008C4A39" w:rsidRDefault="007B236C" w:rsidP="007B236C">
            <w:pPr>
              <w:rPr>
                <w:b/>
                <w:szCs w:val="24"/>
              </w:rPr>
            </w:pPr>
            <w:r w:rsidRPr="008C4A39">
              <w:rPr>
                <w:szCs w:val="24"/>
              </w:rPr>
              <w:t>The NSW system must be able to connect to various interfaces, including payment gateway.</w:t>
            </w:r>
          </w:p>
        </w:tc>
      </w:tr>
      <w:tr w:rsidR="007B236C" w:rsidRPr="008C4A39" w14:paraId="2714D4DC" w14:textId="77777777" w:rsidTr="00883B07">
        <w:tc>
          <w:tcPr>
            <w:tcW w:w="9355" w:type="dxa"/>
            <w:gridSpan w:val="3"/>
            <w:shd w:val="clear" w:color="auto" w:fill="FFFFFF"/>
            <w:vAlign w:val="bottom"/>
          </w:tcPr>
          <w:p w14:paraId="0814F558"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03BC0B21" w14:textId="77777777" w:rsidTr="00883B07">
        <w:tc>
          <w:tcPr>
            <w:tcW w:w="9355" w:type="dxa"/>
            <w:gridSpan w:val="3"/>
            <w:shd w:val="clear" w:color="auto" w:fill="FFFFFF"/>
            <w:vAlign w:val="bottom"/>
          </w:tcPr>
          <w:p w14:paraId="6536D5FC"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47DCCE01" w14:textId="77777777" w:rsidTr="001136D3">
        <w:tc>
          <w:tcPr>
            <w:tcW w:w="2425" w:type="dxa"/>
            <w:gridSpan w:val="2"/>
            <w:shd w:val="clear" w:color="auto" w:fill="FFFFFF"/>
            <w:vAlign w:val="bottom"/>
          </w:tcPr>
          <w:p w14:paraId="600397A6" w14:textId="77777777" w:rsidR="007B236C" w:rsidRPr="008C4A39" w:rsidRDefault="007B236C" w:rsidP="007B236C">
            <w:pPr>
              <w:rPr>
                <w:b/>
                <w:szCs w:val="24"/>
              </w:rPr>
            </w:pPr>
            <w:r w:rsidRPr="008C4A39">
              <w:rPr>
                <w:szCs w:val="24"/>
              </w:rPr>
              <w:t>FR231</w:t>
            </w:r>
          </w:p>
        </w:tc>
        <w:tc>
          <w:tcPr>
            <w:tcW w:w="6930" w:type="dxa"/>
            <w:shd w:val="clear" w:color="auto" w:fill="FFFFFF"/>
          </w:tcPr>
          <w:p w14:paraId="04DDB105" w14:textId="77777777" w:rsidR="007B236C" w:rsidRPr="008C4A39" w:rsidRDefault="007B236C" w:rsidP="007B236C">
            <w:pPr>
              <w:rPr>
                <w:b/>
                <w:szCs w:val="24"/>
              </w:rPr>
            </w:pPr>
            <w:r w:rsidRPr="008C4A39">
              <w:rPr>
                <w:szCs w:val="24"/>
              </w:rPr>
              <w:t>The NSW system must have the facility to allow the trader to make periodic payments against pending payment notices/invoices.</w:t>
            </w:r>
          </w:p>
        </w:tc>
      </w:tr>
      <w:tr w:rsidR="007B236C" w:rsidRPr="008C4A39" w14:paraId="7F6998C0" w14:textId="77777777" w:rsidTr="00883B07">
        <w:tc>
          <w:tcPr>
            <w:tcW w:w="9355" w:type="dxa"/>
            <w:gridSpan w:val="3"/>
            <w:shd w:val="clear" w:color="auto" w:fill="FFFFFF"/>
            <w:vAlign w:val="bottom"/>
          </w:tcPr>
          <w:p w14:paraId="7CD7D73F"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10C56D88" w14:textId="77777777" w:rsidTr="00883B07">
        <w:tc>
          <w:tcPr>
            <w:tcW w:w="9355" w:type="dxa"/>
            <w:gridSpan w:val="3"/>
            <w:shd w:val="clear" w:color="auto" w:fill="FFFFFF"/>
            <w:vAlign w:val="bottom"/>
          </w:tcPr>
          <w:p w14:paraId="1115EA2D"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326405B1" w14:textId="77777777" w:rsidTr="001136D3">
        <w:tc>
          <w:tcPr>
            <w:tcW w:w="2425" w:type="dxa"/>
            <w:gridSpan w:val="2"/>
            <w:shd w:val="clear" w:color="auto" w:fill="FFFFFF"/>
            <w:vAlign w:val="bottom"/>
          </w:tcPr>
          <w:p w14:paraId="0107C231" w14:textId="77777777" w:rsidR="007B236C" w:rsidRPr="008C4A39" w:rsidRDefault="007B236C" w:rsidP="007B236C">
            <w:pPr>
              <w:rPr>
                <w:b/>
                <w:szCs w:val="24"/>
              </w:rPr>
            </w:pPr>
            <w:r w:rsidRPr="008C4A39">
              <w:rPr>
                <w:szCs w:val="24"/>
              </w:rPr>
              <w:t>FR232</w:t>
            </w:r>
          </w:p>
        </w:tc>
        <w:tc>
          <w:tcPr>
            <w:tcW w:w="6930" w:type="dxa"/>
            <w:shd w:val="clear" w:color="auto" w:fill="FFFFFF"/>
          </w:tcPr>
          <w:p w14:paraId="21B185BA" w14:textId="77777777" w:rsidR="007B236C" w:rsidRPr="008C4A39" w:rsidRDefault="007B236C" w:rsidP="007B236C">
            <w:pPr>
              <w:rPr>
                <w:b/>
                <w:szCs w:val="24"/>
              </w:rPr>
            </w:pPr>
            <w:r w:rsidRPr="008C4A39">
              <w:rPr>
                <w:szCs w:val="24"/>
              </w:rPr>
              <w:t>The NSW system must allow the trader to deposit lump sum amounts against which payment payable amounts can be debited.</w:t>
            </w:r>
          </w:p>
        </w:tc>
      </w:tr>
      <w:tr w:rsidR="007B236C" w:rsidRPr="008C4A39" w14:paraId="71CC6B59" w14:textId="77777777" w:rsidTr="00883B07">
        <w:tc>
          <w:tcPr>
            <w:tcW w:w="9355" w:type="dxa"/>
            <w:gridSpan w:val="3"/>
            <w:shd w:val="clear" w:color="auto" w:fill="FFFFFF"/>
            <w:vAlign w:val="bottom"/>
          </w:tcPr>
          <w:p w14:paraId="423B2377"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767CB483" w14:textId="77777777" w:rsidTr="00883B07">
        <w:tc>
          <w:tcPr>
            <w:tcW w:w="9355" w:type="dxa"/>
            <w:gridSpan w:val="3"/>
            <w:shd w:val="clear" w:color="auto" w:fill="FFFFFF"/>
            <w:vAlign w:val="bottom"/>
          </w:tcPr>
          <w:p w14:paraId="4A3F390E"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383F0D09" w14:textId="77777777" w:rsidTr="001136D3">
        <w:tc>
          <w:tcPr>
            <w:tcW w:w="2425" w:type="dxa"/>
            <w:gridSpan w:val="2"/>
            <w:shd w:val="clear" w:color="auto" w:fill="FFFFFF"/>
            <w:vAlign w:val="bottom"/>
          </w:tcPr>
          <w:p w14:paraId="2925EB0B" w14:textId="77777777" w:rsidR="007B236C" w:rsidRPr="008C4A39" w:rsidRDefault="007B236C" w:rsidP="007B236C">
            <w:pPr>
              <w:rPr>
                <w:b/>
                <w:szCs w:val="24"/>
              </w:rPr>
            </w:pPr>
            <w:r w:rsidRPr="008C4A39">
              <w:rPr>
                <w:szCs w:val="24"/>
              </w:rPr>
              <w:t>FR234</w:t>
            </w:r>
          </w:p>
        </w:tc>
        <w:tc>
          <w:tcPr>
            <w:tcW w:w="6930" w:type="dxa"/>
            <w:shd w:val="clear" w:color="auto" w:fill="FFFFFF"/>
          </w:tcPr>
          <w:p w14:paraId="2EB6DCBD" w14:textId="77777777" w:rsidR="007B236C" w:rsidRPr="008C4A39" w:rsidRDefault="007B236C" w:rsidP="007B236C">
            <w:pPr>
              <w:rPr>
                <w:b/>
                <w:szCs w:val="24"/>
              </w:rPr>
            </w:pPr>
            <w:r w:rsidRPr="008C4A39">
              <w:rPr>
                <w:szCs w:val="24"/>
              </w:rPr>
              <w:t>The NSW system must allow the trader view both paid and unpaid amounts.</w:t>
            </w:r>
          </w:p>
        </w:tc>
      </w:tr>
      <w:tr w:rsidR="007B236C" w:rsidRPr="008C4A39" w14:paraId="73E00019" w14:textId="77777777" w:rsidTr="00883B07">
        <w:tc>
          <w:tcPr>
            <w:tcW w:w="9355" w:type="dxa"/>
            <w:gridSpan w:val="3"/>
            <w:shd w:val="clear" w:color="auto" w:fill="FFFFFF"/>
            <w:vAlign w:val="bottom"/>
          </w:tcPr>
          <w:p w14:paraId="65E3EBF5"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489217D1" w14:textId="77777777" w:rsidTr="00883B07">
        <w:tc>
          <w:tcPr>
            <w:tcW w:w="9355" w:type="dxa"/>
            <w:gridSpan w:val="3"/>
            <w:shd w:val="clear" w:color="auto" w:fill="FFFFFF"/>
            <w:vAlign w:val="bottom"/>
          </w:tcPr>
          <w:p w14:paraId="7370C713"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44E110C4" w14:textId="77777777" w:rsidTr="001136D3">
        <w:tc>
          <w:tcPr>
            <w:tcW w:w="2425" w:type="dxa"/>
            <w:gridSpan w:val="2"/>
            <w:shd w:val="clear" w:color="auto" w:fill="FFFFFF"/>
            <w:vAlign w:val="bottom"/>
          </w:tcPr>
          <w:p w14:paraId="27A886C4" w14:textId="77777777" w:rsidR="007B236C" w:rsidRPr="008C4A39" w:rsidRDefault="007B236C" w:rsidP="007B236C">
            <w:pPr>
              <w:rPr>
                <w:b/>
                <w:szCs w:val="24"/>
              </w:rPr>
            </w:pPr>
            <w:r w:rsidRPr="008C4A39">
              <w:rPr>
                <w:szCs w:val="24"/>
              </w:rPr>
              <w:t>FR236</w:t>
            </w:r>
          </w:p>
        </w:tc>
        <w:tc>
          <w:tcPr>
            <w:tcW w:w="6930" w:type="dxa"/>
            <w:shd w:val="clear" w:color="auto" w:fill="FFFFFF"/>
          </w:tcPr>
          <w:p w14:paraId="0746DEE1" w14:textId="77777777" w:rsidR="007B236C" w:rsidRPr="008C4A39" w:rsidRDefault="007B236C" w:rsidP="007B236C">
            <w:pPr>
              <w:rPr>
                <w:b/>
                <w:szCs w:val="24"/>
              </w:rPr>
            </w:pPr>
            <w:r w:rsidRPr="008C4A39">
              <w:rPr>
                <w:szCs w:val="24"/>
              </w:rPr>
              <w:t xml:space="preserve">The NSW System must capture granular details </w:t>
            </w:r>
            <w:proofErr w:type="gramStart"/>
            <w:r w:rsidRPr="008C4A39">
              <w:rPr>
                <w:szCs w:val="24"/>
              </w:rPr>
              <w:t>with regard to</w:t>
            </w:r>
            <w:proofErr w:type="gramEnd"/>
            <w:r w:rsidRPr="008C4A39">
              <w:rPr>
                <w:szCs w:val="24"/>
              </w:rPr>
              <w:t xml:space="preserve"> each payable amount. Details may include which transaction the payment pertains to.  The amounts collected of duties taxes, fees and charges may be maintained according to the accounting heads defined by the government.</w:t>
            </w:r>
          </w:p>
        </w:tc>
      </w:tr>
      <w:tr w:rsidR="007B236C" w:rsidRPr="008C4A39" w14:paraId="69A330B6" w14:textId="77777777" w:rsidTr="00883B07">
        <w:tc>
          <w:tcPr>
            <w:tcW w:w="9355" w:type="dxa"/>
            <w:gridSpan w:val="3"/>
            <w:shd w:val="clear" w:color="auto" w:fill="FFFFFF"/>
            <w:vAlign w:val="bottom"/>
          </w:tcPr>
          <w:p w14:paraId="094CFD6F"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2C9B7163" w14:textId="77777777" w:rsidTr="00883B07">
        <w:tc>
          <w:tcPr>
            <w:tcW w:w="9355" w:type="dxa"/>
            <w:gridSpan w:val="3"/>
            <w:shd w:val="clear" w:color="auto" w:fill="FFFFFF"/>
            <w:vAlign w:val="bottom"/>
          </w:tcPr>
          <w:p w14:paraId="3490A875"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1CD88262" w14:textId="77777777" w:rsidTr="001136D3">
        <w:tc>
          <w:tcPr>
            <w:tcW w:w="2425" w:type="dxa"/>
            <w:gridSpan w:val="2"/>
            <w:shd w:val="clear" w:color="auto" w:fill="FFFFFF"/>
            <w:vAlign w:val="bottom"/>
          </w:tcPr>
          <w:p w14:paraId="6259B77B" w14:textId="77777777" w:rsidR="007B236C" w:rsidRPr="008C4A39" w:rsidRDefault="007B236C" w:rsidP="007B236C">
            <w:pPr>
              <w:rPr>
                <w:b/>
                <w:szCs w:val="24"/>
              </w:rPr>
            </w:pPr>
            <w:r w:rsidRPr="008C4A39">
              <w:rPr>
                <w:szCs w:val="24"/>
              </w:rPr>
              <w:t>FR238</w:t>
            </w:r>
          </w:p>
        </w:tc>
        <w:tc>
          <w:tcPr>
            <w:tcW w:w="6930" w:type="dxa"/>
            <w:shd w:val="clear" w:color="auto" w:fill="FFFFFF"/>
          </w:tcPr>
          <w:p w14:paraId="26E0E5B1" w14:textId="77777777" w:rsidR="007B236C" w:rsidRPr="008C4A39" w:rsidRDefault="007B236C" w:rsidP="007B236C">
            <w:pPr>
              <w:rPr>
                <w:b/>
                <w:szCs w:val="24"/>
              </w:rPr>
            </w:pPr>
            <w:r w:rsidRPr="008C4A39">
              <w:rPr>
                <w:szCs w:val="24"/>
              </w:rPr>
              <w:t>The NSW system must be able to carry out payment reconciliation with banks.</w:t>
            </w:r>
          </w:p>
        </w:tc>
      </w:tr>
      <w:tr w:rsidR="007B236C" w:rsidRPr="008C4A39" w14:paraId="00B299AF" w14:textId="77777777" w:rsidTr="00883B07">
        <w:tc>
          <w:tcPr>
            <w:tcW w:w="9355" w:type="dxa"/>
            <w:gridSpan w:val="3"/>
            <w:shd w:val="clear" w:color="auto" w:fill="FFFFFF"/>
            <w:vAlign w:val="bottom"/>
          </w:tcPr>
          <w:p w14:paraId="390E9D3A"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4C428D66" w14:textId="77777777" w:rsidTr="00883B07">
        <w:tc>
          <w:tcPr>
            <w:tcW w:w="9355" w:type="dxa"/>
            <w:gridSpan w:val="3"/>
            <w:shd w:val="clear" w:color="auto" w:fill="FFFFFF"/>
            <w:vAlign w:val="bottom"/>
          </w:tcPr>
          <w:p w14:paraId="5EBE795B"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078368C8" w14:textId="77777777" w:rsidTr="001136D3">
        <w:tc>
          <w:tcPr>
            <w:tcW w:w="2425" w:type="dxa"/>
            <w:gridSpan w:val="2"/>
            <w:shd w:val="clear" w:color="auto" w:fill="FFFFFF"/>
            <w:vAlign w:val="bottom"/>
          </w:tcPr>
          <w:p w14:paraId="3037523B" w14:textId="77777777" w:rsidR="007B236C" w:rsidRPr="008C4A39" w:rsidRDefault="007B236C" w:rsidP="007B236C">
            <w:pPr>
              <w:rPr>
                <w:b/>
                <w:szCs w:val="24"/>
              </w:rPr>
            </w:pPr>
            <w:r w:rsidRPr="008C4A39">
              <w:rPr>
                <w:szCs w:val="24"/>
              </w:rPr>
              <w:t>FR239</w:t>
            </w:r>
          </w:p>
        </w:tc>
        <w:tc>
          <w:tcPr>
            <w:tcW w:w="6930" w:type="dxa"/>
            <w:shd w:val="clear" w:color="auto" w:fill="FFFFFF"/>
          </w:tcPr>
          <w:p w14:paraId="555A628C" w14:textId="77777777" w:rsidR="007B236C" w:rsidRPr="008C4A39" w:rsidRDefault="007B236C" w:rsidP="007B236C">
            <w:pPr>
              <w:rPr>
                <w:b/>
                <w:szCs w:val="24"/>
              </w:rPr>
            </w:pPr>
            <w:r w:rsidRPr="008C4A39">
              <w:rPr>
                <w:szCs w:val="24"/>
              </w:rPr>
              <w:t>The system must provide functionality to create a payment advice that contains all necessary information to conduct a payment and produce a receipt of the actual payment</w:t>
            </w:r>
          </w:p>
        </w:tc>
      </w:tr>
      <w:tr w:rsidR="007B236C" w:rsidRPr="008C4A39" w14:paraId="5392F10E" w14:textId="77777777" w:rsidTr="00883B07">
        <w:tc>
          <w:tcPr>
            <w:tcW w:w="9355" w:type="dxa"/>
            <w:gridSpan w:val="3"/>
            <w:shd w:val="clear" w:color="auto" w:fill="FFFFFF"/>
            <w:vAlign w:val="bottom"/>
          </w:tcPr>
          <w:p w14:paraId="575784EA" w14:textId="77777777" w:rsidR="007B236C" w:rsidRPr="008C4A39" w:rsidRDefault="007B236C" w:rsidP="007B236C">
            <w:pPr>
              <w:rPr>
                <w:szCs w:val="24"/>
              </w:rPr>
            </w:pPr>
            <w:r w:rsidRPr="008C4A39">
              <w:rPr>
                <w:szCs w:val="24"/>
              </w:rPr>
              <w:lastRenderedPageBreak/>
              <w:t xml:space="preserve">Bidder’s technical reasons supporting compliance:  </w:t>
            </w:r>
          </w:p>
        </w:tc>
      </w:tr>
      <w:tr w:rsidR="007B236C" w:rsidRPr="008C4A39" w14:paraId="10693DB0" w14:textId="77777777" w:rsidTr="00883B07">
        <w:tc>
          <w:tcPr>
            <w:tcW w:w="9355" w:type="dxa"/>
            <w:gridSpan w:val="3"/>
            <w:shd w:val="clear" w:color="auto" w:fill="FFFFFF"/>
            <w:vAlign w:val="bottom"/>
          </w:tcPr>
          <w:p w14:paraId="47367D14"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618B222A" w14:textId="77777777" w:rsidTr="001136D3">
        <w:tc>
          <w:tcPr>
            <w:tcW w:w="2425" w:type="dxa"/>
            <w:gridSpan w:val="2"/>
            <w:shd w:val="clear" w:color="auto" w:fill="FFFFFF"/>
            <w:vAlign w:val="bottom"/>
          </w:tcPr>
          <w:p w14:paraId="30703F1D" w14:textId="77777777" w:rsidR="007B236C" w:rsidRPr="008C4A39" w:rsidRDefault="007B236C" w:rsidP="007B236C">
            <w:pPr>
              <w:rPr>
                <w:b/>
                <w:szCs w:val="24"/>
              </w:rPr>
            </w:pPr>
            <w:r w:rsidRPr="008C4A39">
              <w:rPr>
                <w:szCs w:val="24"/>
              </w:rPr>
              <w:t>FR240</w:t>
            </w:r>
          </w:p>
        </w:tc>
        <w:tc>
          <w:tcPr>
            <w:tcW w:w="6930" w:type="dxa"/>
            <w:shd w:val="clear" w:color="auto" w:fill="FFFFFF"/>
          </w:tcPr>
          <w:p w14:paraId="5D31FB86" w14:textId="77777777" w:rsidR="007B236C" w:rsidRPr="008C4A39" w:rsidRDefault="007B236C" w:rsidP="007B236C">
            <w:pPr>
              <w:rPr>
                <w:b/>
                <w:szCs w:val="24"/>
              </w:rPr>
            </w:pPr>
            <w:r w:rsidRPr="008C4A39">
              <w:rPr>
                <w:szCs w:val="24"/>
              </w:rPr>
              <w:t>The system must ensure that only the trader and the payee is associated to the created advice.</w:t>
            </w:r>
          </w:p>
        </w:tc>
      </w:tr>
      <w:tr w:rsidR="007B236C" w:rsidRPr="008C4A39" w14:paraId="75229085" w14:textId="77777777" w:rsidTr="00883B07">
        <w:tc>
          <w:tcPr>
            <w:tcW w:w="9355" w:type="dxa"/>
            <w:gridSpan w:val="3"/>
            <w:shd w:val="clear" w:color="auto" w:fill="FFFFFF"/>
            <w:vAlign w:val="bottom"/>
          </w:tcPr>
          <w:p w14:paraId="31AA80F9"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41DC144F" w14:textId="77777777" w:rsidTr="00883B07">
        <w:tc>
          <w:tcPr>
            <w:tcW w:w="9355" w:type="dxa"/>
            <w:gridSpan w:val="3"/>
            <w:shd w:val="clear" w:color="auto" w:fill="FFFFFF"/>
            <w:vAlign w:val="bottom"/>
          </w:tcPr>
          <w:p w14:paraId="4A0F23C5"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0C5A25F5" w14:textId="77777777" w:rsidTr="001136D3">
        <w:tc>
          <w:tcPr>
            <w:tcW w:w="2425" w:type="dxa"/>
            <w:gridSpan w:val="2"/>
            <w:shd w:val="clear" w:color="auto" w:fill="FFFFFF"/>
          </w:tcPr>
          <w:p w14:paraId="3303E913" w14:textId="46E3BE0A" w:rsidR="007B236C" w:rsidRPr="008C4A39" w:rsidRDefault="007B236C" w:rsidP="007B236C">
            <w:pPr>
              <w:rPr>
                <w:szCs w:val="24"/>
                <w:lang w:val="mk-MK"/>
              </w:rPr>
            </w:pPr>
            <w:r w:rsidRPr="008C4A39">
              <w:rPr>
                <w:szCs w:val="24"/>
              </w:rPr>
              <w:t>FR</w:t>
            </w:r>
            <w:r w:rsidR="007769C8">
              <w:rPr>
                <w:szCs w:val="24"/>
                <w:lang w:val="mk-MK"/>
              </w:rPr>
              <w:t>584</w:t>
            </w:r>
          </w:p>
        </w:tc>
        <w:tc>
          <w:tcPr>
            <w:tcW w:w="6930" w:type="dxa"/>
            <w:shd w:val="clear" w:color="auto" w:fill="FFFFFF"/>
          </w:tcPr>
          <w:p w14:paraId="38115798" w14:textId="77777777" w:rsidR="007B236C" w:rsidRPr="008C4A39" w:rsidRDefault="007B236C" w:rsidP="007B236C">
            <w:pPr>
              <w:rPr>
                <w:szCs w:val="24"/>
              </w:rPr>
            </w:pPr>
            <w:r w:rsidRPr="008C4A39">
              <w:rPr>
                <w:szCs w:val="24"/>
              </w:rPr>
              <w:t>The payment system must be able to register payments.</w:t>
            </w:r>
          </w:p>
        </w:tc>
      </w:tr>
      <w:tr w:rsidR="007B236C" w:rsidRPr="008C4A39" w14:paraId="2E11C1E8" w14:textId="77777777" w:rsidTr="00883B07">
        <w:tc>
          <w:tcPr>
            <w:tcW w:w="9355" w:type="dxa"/>
            <w:gridSpan w:val="3"/>
            <w:shd w:val="clear" w:color="auto" w:fill="FFFFFF"/>
          </w:tcPr>
          <w:p w14:paraId="796EE345"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5236F1D5" w14:textId="77777777" w:rsidTr="00883B07">
        <w:tc>
          <w:tcPr>
            <w:tcW w:w="9355" w:type="dxa"/>
            <w:gridSpan w:val="3"/>
            <w:shd w:val="clear" w:color="auto" w:fill="FFFFFF"/>
          </w:tcPr>
          <w:p w14:paraId="7A48B439"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0F1DF9D8" w14:textId="77777777" w:rsidTr="001136D3">
        <w:tc>
          <w:tcPr>
            <w:tcW w:w="2425" w:type="dxa"/>
            <w:gridSpan w:val="2"/>
            <w:shd w:val="clear" w:color="auto" w:fill="FFFFFF"/>
          </w:tcPr>
          <w:p w14:paraId="20E84D6D" w14:textId="7166BFBE" w:rsidR="007B236C" w:rsidRPr="008C4A39" w:rsidRDefault="007B236C" w:rsidP="007B236C">
            <w:pPr>
              <w:rPr>
                <w:szCs w:val="24"/>
                <w:lang w:val="mk-MK"/>
              </w:rPr>
            </w:pPr>
            <w:r w:rsidRPr="008C4A39">
              <w:rPr>
                <w:szCs w:val="24"/>
              </w:rPr>
              <w:t>FR</w:t>
            </w:r>
            <w:r w:rsidR="007769C8">
              <w:rPr>
                <w:szCs w:val="24"/>
                <w:lang w:val="mk-MK"/>
              </w:rPr>
              <w:t>585</w:t>
            </w:r>
          </w:p>
        </w:tc>
        <w:tc>
          <w:tcPr>
            <w:tcW w:w="6930" w:type="dxa"/>
            <w:shd w:val="clear" w:color="auto" w:fill="FFFFFF"/>
          </w:tcPr>
          <w:p w14:paraId="0AEF084C" w14:textId="77777777" w:rsidR="007B236C" w:rsidRPr="008C4A39" w:rsidRDefault="007B236C" w:rsidP="007B236C">
            <w:pPr>
              <w:rPr>
                <w:szCs w:val="24"/>
              </w:rPr>
            </w:pPr>
            <w:r w:rsidRPr="008C4A39">
              <w:rPr>
                <w:szCs w:val="24"/>
              </w:rPr>
              <w:t>The system must be able to store information about received payments.</w:t>
            </w:r>
          </w:p>
        </w:tc>
      </w:tr>
      <w:tr w:rsidR="007B236C" w:rsidRPr="008C4A39" w14:paraId="71DE1ECC" w14:textId="77777777" w:rsidTr="00883B07">
        <w:tc>
          <w:tcPr>
            <w:tcW w:w="9355" w:type="dxa"/>
            <w:gridSpan w:val="3"/>
            <w:shd w:val="clear" w:color="auto" w:fill="FFFFFF"/>
          </w:tcPr>
          <w:p w14:paraId="0C0689B8"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373885FB" w14:textId="77777777" w:rsidTr="00883B07">
        <w:tc>
          <w:tcPr>
            <w:tcW w:w="9355" w:type="dxa"/>
            <w:gridSpan w:val="3"/>
            <w:shd w:val="clear" w:color="auto" w:fill="FFFFFF"/>
          </w:tcPr>
          <w:p w14:paraId="715078D5"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58B3A5E3" w14:textId="77777777" w:rsidTr="001136D3">
        <w:tc>
          <w:tcPr>
            <w:tcW w:w="2425" w:type="dxa"/>
            <w:gridSpan w:val="2"/>
          </w:tcPr>
          <w:p w14:paraId="0E78B8BE" w14:textId="128209BB" w:rsidR="007B236C" w:rsidRPr="008C4A39" w:rsidRDefault="007B236C" w:rsidP="007B236C">
            <w:pPr>
              <w:rPr>
                <w:szCs w:val="24"/>
                <w:lang w:val="mk-MK"/>
              </w:rPr>
            </w:pPr>
            <w:r w:rsidRPr="008C4A39">
              <w:rPr>
                <w:szCs w:val="24"/>
              </w:rPr>
              <w:t>FR</w:t>
            </w:r>
            <w:r w:rsidRPr="008C4A39">
              <w:rPr>
                <w:szCs w:val="24"/>
                <w:lang w:val="mk-MK"/>
              </w:rPr>
              <w:t>5</w:t>
            </w:r>
            <w:r w:rsidR="007769C8">
              <w:rPr>
                <w:szCs w:val="24"/>
                <w:lang w:val="mk-MK"/>
              </w:rPr>
              <w:t>86</w:t>
            </w:r>
          </w:p>
        </w:tc>
        <w:tc>
          <w:tcPr>
            <w:tcW w:w="6930" w:type="dxa"/>
          </w:tcPr>
          <w:p w14:paraId="4853FA3C" w14:textId="77777777" w:rsidR="007B236C" w:rsidRPr="008C4A39" w:rsidRDefault="007B236C" w:rsidP="007B236C">
            <w:pPr>
              <w:rPr>
                <w:szCs w:val="24"/>
              </w:rPr>
            </w:pPr>
            <w:r w:rsidRPr="008C4A39">
              <w:rPr>
                <w:szCs w:val="24"/>
              </w:rPr>
              <w:t>The payment system must be able to send payment details to the data store.</w:t>
            </w:r>
          </w:p>
        </w:tc>
      </w:tr>
      <w:tr w:rsidR="007B236C" w:rsidRPr="008C4A39" w14:paraId="54FE6652" w14:textId="77777777" w:rsidTr="00883B07">
        <w:tc>
          <w:tcPr>
            <w:tcW w:w="9355" w:type="dxa"/>
            <w:gridSpan w:val="3"/>
          </w:tcPr>
          <w:p w14:paraId="7EEFEA59"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56BB3131" w14:textId="77777777" w:rsidTr="00883B07">
        <w:tc>
          <w:tcPr>
            <w:tcW w:w="9355" w:type="dxa"/>
            <w:gridSpan w:val="3"/>
          </w:tcPr>
          <w:p w14:paraId="3EA839B9" w14:textId="77777777" w:rsidR="007B236C" w:rsidRPr="008C4A39" w:rsidRDefault="007B236C" w:rsidP="007B236C">
            <w:pPr>
              <w:rPr>
                <w:szCs w:val="24"/>
              </w:rPr>
            </w:pPr>
            <w:r w:rsidRPr="008C4A39">
              <w:rPr>
                <w:szCs w:val="24"/>
              </w:rPr>
              <w:t>Bidder’s cross references to supporting information in Technical Bid:</w:t>
            </w:r>
          </w:p>
        </w:tc>
      </w:tr>
      <w:tr w:rsidR="007B236C" w:rsidRPr="008C4A39" w14:paraId="5C1775FD" w14:textId="77777777" w:rsidTr="001136D3">
        <w:tc>
          <w:tcPr>
            <w:tcW w:w="2425" w:type="dxa"/>
            <w:gridSpan w:val="2"/>
          </w:tcPr>
          <w:p w14:paraId="665B0D79" w14:textId="54D49755" w:rsidR="007B236C" w:rsidRPr="008C4A39" w:rsidRDefault="007B236C" w:rsidP="007B236C">
            <w:pPr>
              <w:rPr>
                <w:szCs w:val="24"/>
                <w:lang w:val="mk-MK"/>
              </w:rPr>
            </w:pPr>
            <w:r w:rsidRPr="008C4A39">
              <w:rPr>
                <w:szCs w:val="24"/>
              </w:rPr>
              <w:t>FR</w:t>
            </w:r>
            <w:r w:rsidR="007769C8">
              <w:rPr>
                <w:szCs w:val="24"/>
                <w:lang w:val="mk-MK"/>
              </w:rPr>
              <w:t>587</w:t>
            </w:r>
          </w:p>
        </w:tc>
        <w:tc>
          <w:tcPr>
            <w:tcW w:w="6930" w:type="dxa"/>
          </w:tcPr>
          <w:p w14:paraId="4E20D1A5" w14:textId="77777777" w:rsidR="007B236C" w:rsidRPr="008C4A39" w:rsidRDefault="007B236C" w:rsidP="007B236C">
            <w:pPr>
              <w:rPr>
                <w:szCs w:val="24"/>
              </w:rPr>
            </w:pPr>
            <w:r w:rsidRPr="008C4A39">
              <w:rPr>
                <w:szCs w:val="24"/>
              </w:rPr>
              <w:t>The payment system must be able to receive payment details - amount and type of payment from the data store.</w:t>
            </w:r>
          </w:p>
        </w:tc>
      </w:tr>
      <w:tr w:rsidR="007B236C" w:rsidRPr="008C4A39" w14:paraId="73F8C1A6" w14:textId="77777777" w:rsidTr="00883B07">
        <w:tc>
          <w:tcPr>
            <w:tcW w:w="9355" w:type="dxa"/>
            <w:gridSpan w:val="3"/>
          </w:tcPr>
          <w:p w14:paraId="0B165CF4" w14:textId="77777777" w:rsidR="007B236C" w:rsidRPr="008C4A39" w:rsidRDefault="007B236C" w:rsidP="007B236C">
            <w:pPr>
              <w:rPr>
                <w:szCs w:val="24"/>
              </w:rPr>
            </w:pPr>
            <w:r w:rsidRPr="008C4A39">
              <w:rPr>
                <w:szCs w:val="24"/>
              </w:rPr>
              <w:t xml:space="preserve">Bidder’s technical reasons supporting compliance:  </w:t>
            </w:r>
          </w:p>
        </w:tc>
      </w:tr>
      <w:tr w:rsidR="007B236C" w:rsidRPr="008C4A39" w14:paraId="46DBC4D8" w14:textId="77777777" w:rsidTr="00883B07">
        <w:tc>
          <w:tcPr>
            <w:tcW w:w="9355" w:type="dxa"/>
            <w:gridSpan w:val="3"/>
          </w:tcPr>
          <w:p w14:paraId="2929E24F" w14:textId="77777777" w:rsidR="007B236C" w:rsidRPr="008C4A39" w:rsidRDefault="007B236C" w:rsidP="007B236C">
            <w:pPr>
              <w:rPr>
                <w:szCs w:val="24"/>
              </w:rPr>
            </w:pPr>
            <w:r w:rsidRPr="008C4A39">
              <w:rPr>
                <w:szCs w:val="24"/>
              </w:rPr>
              <w:t>Bidder’s cross references to supporting information in Technical Bid:</w:t>
            </w:r>
          </w:p>
        </w:tc>
      </w:tr>
      <w:tr w:rsidR="009B775B" w:rsidRPr="008C4A39" w14:paraId="240B2163" w14:textId="3A37CBB8" w:rsidTr="009B775B">
        <w:tc>
          <w:tcPr>
            <w:tcW w:w="2425" w:type="dxa"/>
            <w:gridSpan w:val="2"/>
          </w:tcPr>
          <w:p w14:paraId="5E7AB1FD" w14:textId="44F6F286" w:rsidR="009B775B" w:rsidRPr="008C4A39" w:rsidRDefault="00574BD2" w:rsidP="009B775B">
            <w:pPr>
              <w:rPr>
                <w:szCs w:val="24"/>
              </w:rPr>
            </w:pPr>
            <w:r>
              <w:rPr>
                <w:szCs w:val="24"/>
              </w:rPr>
              <w:t>FR588</w:t>
            </w:r>
          </w:p>
        </w:tc>
        <w:tc>
          <w:tcPr>
            <w:tcW w:w="6930" w:type="dxa"/>
          </w:tcPr>
          <w:p w14:paraId="098F17C1" w14:textId="1EAA22F7" w:rsidR="009B775B" w:rsidRPr="008C4A39" w:rsidRDefault="009B775B" w:rsidP="009B775B">
            <w:pPr>
              <w:rPr>
                <w:szCs w:val="24"/>
              </w:rPr>
            </w:pPr>
            <w:r w:rsidRPr="009B775B">
              <w:rPr>
                <w:szCs w:val="24"/>
              </w:rPr>
              <w:t xml:space="preserve">The system must have </w:t>
            </w:r>
            <w:r>
              <w:rPr>
                <w:szCs w:val="24"/>
              </w:rPr>
              <w:t xml:space="preserve">the </w:t>
            </w:r>
            <w:r w:rsidRPr="009B775B">
              <w:rPr>
                <w:szCs w:val="24"/>
              </w:rPr>
              <w:t>possibility to administrate the payments, matching, un</w:t>
            </w:r>
            <w:r>
              <w:rPr>
                <w:szCs w:val="24"/>
              </w:rPr>
              <w:t>-</w:t>
            </w:r>
            <w:proofErr w:type="gramStart"/>
            <w:r w:rsidRPr="009B775B">
              <w:rPr>
                <w:szCs w:val="24"/>
              </w:rPr>
              <w:t>matching</w:t>
            </w:r>
            <w:proofErr w:type="gramEnd"/>
            <w:r w:rsidRPr="009B775B">
              <w:rPr>
                <w:szCs w:val="24"/>
              </w:rPr>
              <w:t xml:space="preserve"> and refunds.</w:t>
            </w:r>
          </w:p>
        </w:tc>
      </w:tr>
      <w:tr w:rsidR="009B775B" w:rsidRPr="008C4A39" w14:paraId="7D29C43D" w14:textId="77777777" w:rsidTr="00883B07">
        <w:tc>
          <w:tcPr>
            <w:tcW w:w="9355" w:type="dxa"/>
            <w:gridSpan w:val="3"/>
          </w:tcPr>
          <w:p w14:paraId="5D6B6C62" w14:textId="3F819677" w:rsidR="009B775B" w:rsidRDefault="009B775B" w:rsidP="009B775B">
            <w:pPr>
              <w:rPr>
                <w:szCs w:val="24"/>
              </w:rPr>
            </w:pPr>
            <w:r w:rsidRPr="008C4A39">
              <w:rPr>
                <w:szCs w:val="24"/>
              </w:rPr>
              <w:t xml:space="preserve">Bidder’s technical reasons supporting compliance:  </w:t>
            </w:r>
          </w:p>
        </w:tc>
      </w:tr>
      <w:tr w:rsidR="009B775B" w:rsidRPr="008C4A39" w14:paraId="3F2C869B" w14:textId="77777777" w:rsidTr="00883B07">
        <w:tc>
          <w:tcPr>
            <w:tcW w:w="9355" w:type="dxa"/>
            <w:gridSpan w:val="3"/>
          </w:tcPr>
          <w:p w14:paraId="09C0A953" w14:textId="728141AE" w:rsidR="009B775B" w:rsidRDefault="009B775B" w:rsidP="009B775B">
            <w:pPr>
              <w:rPr>
                <w:szCs w:val="24"/>
              </w:rPr>
            </w:pPr>
            <w:r w:rsidRPr="008C4A39">
              <w:rPr>
                <w:szCs w:val="24"/>
              </w:rPr>
              <w:t>Bidder’s cross references to supporting information in Technical Bid:</w:t>
            </w:r>
          </w:p>
        </w:tc>
      </w:tr>
      <w:tr w:rsidR="009E3409" w:rsidRPr="008C4A39" w14:paraId="7C0EDF0C" w14:textId="77777777" w:rsidTr="009E3409">
        <w:tc>
          <w:tcPr>
            <w:tcW w:w="2376" w:type="dxa"/>
          </w:tcPr>
          <w:p w14:paraId="41610A9E" w14:textId="1ADB8E00" w:rsidR="009E3409" w:rsidRPr="00DE1F8A" w:rsidRDefault="009E3409" w:rsidP="009E3409">
            <w:pPr>
              <w:rPr>
                <w:szCs w:val="24"/>
              </w:rPr>
            </w:pPr>
            <w:r w:rsidRPr="00DE1F8A">
              <w:rPr>
                <w:szCs w:val="24"/>
              </w:rPr>
              <w:t>FR591</w:t>
            </w:r>
          </w:p>
        </w:tc>
        <w:tc>
          <w:tcPr>
            <w:tcW w:w="6979" w:type="dxa"/>
            <w:gridSpan w:val="2"/>
          </w:tcPr>
          <w:p w14:paraId="792E30B1" w14:textId="3C19156B" w:rsidR="009E3409" w:rsidRPr="00DE1F8A" w:rsidRDefault="009E3409" w:rsidP="009E3409">
            <w:pPr>
              <w:rPr>
                <w:szCs w:val="24"/>
              </w:rPr>
            </w:pPr>
            <w:r w:rsidRPr="00DE1F8A">
              <w:rPr>
                <w:szCs w:val="24"/>
              </w:rPr>
              <w:t>The system must be able to allow payment advice to be cancelled.</w:t>
            </w:r>
          </w:p>
        </w:tc>
      </w:tr>
      <w:tr w:rsidR="009E3409" w:rsidRPr="008C4A39" w14:paraId="69A837A0" w14:textId="77777777" w:rsidTr="00883B07">
        <w:tc>
          <w:tcPr>
            <w:tcW w:w="9355" w:type="dxa"/>
            <w:gridSpan w:val="3"/>
          </w:tcPr>
          <w:p w14:paraId="0C7117BC" w14:textId="1A6E0C22" w:rsidR="009E3409" w:rsidRPr="00DE1F8A" w:rsidRDefault="009E3409" w:rsidP="009E3409">
            <w:pPr>
              <w:rPr>
                <w:szCs w:val="24"/>
              </w:rPr>
            </w:pPr>
            <w:r w:rsidRPr="00DE1F8A">
              <w:rPr>
                <w:szCs w:val="24"/>
              </w:rPr>
              <w:t xml:space="preserve">Bidder’s technical reasons supporting compliance:  </w:t>
            </w:r>
          </w:p>
        </w:tc>
      </w:tr>
      <w:tr w:rsidR="009E3409" w:rsidRPr="008C4A39" w14:paraId="7FA1784D" w14:textId="77777777" w:rsidTr="00883B07">
        <w:tc>
          <w:tcPr>
            <w:tcW w:w="9355" w:type="dxa"/>
            <w:gridSpan w:val="3"/>
          </w:tcPr>
          <w:p w14:paraId="64BE9D32" w14:textId="0AD43492" w:rsidR="009E3409" w:rsidRPr="00DE1F8A" w:rsidRDefault="009E3409" w:rsidP="009E3409">
            <w:pPr>
              <w:rPr>
                <w:szCs w:val="24"/>
              </w:rPr>
            </w:pPr>
            <w:r w:rsidRPr="00DE1F8A">
              <w:rPr>
                <w:szCs w:val="24"/>
              </w:rPr>
              <w:t>Bidder’s cross references to supporting information in Technical Bid:</w:t>
            </w:r>
          </w:p>
        </w:tc>
      </w:tr>
      <w:tr w:rsidR="009E3409" w:rsidRPr="008C4A39" w14:paraId="24CF0133" w14:textId="77777777" w:rsidTr="009E3409">
        <w:tc>
          <w:tcPr>
            <w:tcW w:w="2376" w:type="dxa"/>
          </w:tcPr>
          <w:p w14:paraId="0BB7B5F6" w14:textId="6A278728" w:rsidR="009E3409" w:rsidRPr="00DE1F8A" w:rsidRDefault="009E3409" w:rsidP="009E3409">
            <w:pPr>
              <w:rPr>
                <w:szCs w:val="24"/>
              </w:rPr>
            </w:pPr>
            <w:r w:rsidRPr="00DE1F8A">
              <w:rPr>
                <w:szCs w:val="24"/>
              </w:rPr>
              <w:t>FR592</w:t>
            </w:r>
          </w:p>
        </w:tc>
        <w:tc>
          <w:tcPr>
            <w:tcW w:w="6979" w:type="dxa"/>
            <w:gridSpan w:val="2"/>
          </w:tcPr>
          <w:p w14:paraId="54FA63AF" w14:textId="6EC82789" w:rsidR="009E3409" w:rsidRPr="00DE1F8A" w:rsidRDefault="009E3409" w:rsidP="009E3409">
            <w:pPr>
              <w:rPr>
                <w:szCs w:val="24"/>
              </w:rPr>
            </w:pPr>
            <w:r w:rsidRPr="00DE1F8A">
              <w:rPr>
                <w:szCs w:val="24"/>
              </w:rPr>
              <w:t>The system must be able to generate a request for refund by the CBRA’s and send the request information to the treasury.</w:t>
            </w:r>
          </w:p>
        </w:tc>
      </w:tr>
      <w:tr w:rsidR="009E3409" w:rsidRPr="008C4A39" w14:paraId="010D2A73" w14:textId="77777777" w:rsidTr="00883B07">
        <w:tc>
          <w:tcPr>
            <w:tcW w:w="9355" w:type="dxa"/>
            <w:gridSpan w:val="3"/>
          </w:tcPr>
          <w:p w14:paraId="122DC5E2" w14:textId="77D2C634" w:rsidR="009E3409" w:rsidRPr="008C4A39" w:rsidRDefault="009E3409" w:rsidP="009E3409">
            <w:pPr>
              <w:rPr>
                <w:szCs w:val="24"/>
              </w:rPr>
            </w:pPr>
            <w:r w:rsidRPr="008C4A39">
              <w:rPr>
                <w:szCs w:val="24"/>
              </w:rPr>
              <w:t xml:space="preserve">Bidder’s technical reasons supporting compliance:  </w:t>
            </w:r>
          </w:p>
        </w:tc>
      </w:tr>
      <w:tr w:rsidR="009E3409" w:rsidRPr="008C4A39" w14:paraId="79C4989E" w14:textId="77777777" w:rsidTr="00883B07">
        <w:tc>
          <w:tcPr>
            <w:tcW w:w="9355" w:type="dxa"/>
            <w:gridSpan w:val="3"/>
          </w:tcPr>
          <w:p w14:paraId="1F7C2C84" w14:textId="6C0AB2B9" w:rsidR="009E3409" w:rsidRPr="008C4A39" w:rsidRDefault="009E3409" w:rsidP="009E3409">
            <w:pPr>
              <w:rPr>
                <w:szCs w:val="24"/>
              </w:rPr>
            </w:pPr>
            <w:r w:rsidRPr="008C4A39">
              <w:rPr>
                <w:szCs w:val="24"/>
              </w:rPr>
              <w:t>Bidder’s cross references to supporting information in Technical Bid:</w:t>
            </w:r>
          </w:p>
        </w:tc>
      </w:tr>
      <w:tr w:rsidR="009E3409" w:rsidRPr="008C4A39" w14:paraId="752B485D" w14:textId="77777777" w:rsidTr="009E3409">
        <w:tc>
          <w:tcPr>
            <w:tcW w:w="2376" w:type="dxa"/>
          </w:tcPr>
          <w:p w14:paraId="0C0BD1BC" w14:textId="35FF94C4" w:rsidR="009E3409" w:rsidRPr="00DE1F8A" w:rsidRDefault="009E3409" w:rsidP="009E3409">
            <w:pPr>
              <w:rPr>
                <w:szCs w:val="24"/>
              </w:rPr>
            </w:pPr>
            <w:r w:rsidRPr="00DE1F8A">
              <w:rPr>
                <w:szCs w:val="24"/>
              </w:rPr>
              <w:lastRenderedPageBreak/>
              <w:t>FR593</w:t>
            </w:r>
          </w:p>
        </w:tc>
        <w:tc>
          <w:tcPr>
            <w:tcW w:w="6979" w:type="dxa"/>
            <w:gridSpan w:val="2"/>
          </w:tcPr>
          <w:p w14:paraId="40FE41B3" w14:textId="63DAE586" w:rsidR="009E3409" w:rsidRPr="00DE1F8A" w:rsidRDefault="009E3409" w:rsidP="009E3409">
            <w:pPr>
              <w:rPr>
                <w:szCs w:val="24"/>
              </w:rPr>
            </w:pPr>
            <w:r w:rsidRPr="00DE1F8A">
              <w:rPr>
                <w:szCs w:val="24"/>
              </w:rPr>
              <w:t>The system should allow generation of predefined rules, based on which the payment will be automatically accepted or rejected.</w:t>
            </w:r>
          </w:p>
        </w:tc>
      </w:tr>
      <w:tr w:rsidR="009E3409" w:rsidRPr="008C4A39" w14:paraId="7C334E0D" w14:textId="77777777" w:rsidTr="00883B07">
        <w:tc>
          <w:tcPr>
            <w:tcW w:w="9355" w:type="dxa"/>
            <w:gridSpan w:val="3"/>
          </w:tcPr>
          <w:p w14:paraId="3EF5F135" w14:textId="75907BD8" w:rsidR="009E3409" w:rsidRPr="00DE1F8A" w:rsidRDefault="009E3409" w:rsidP="009E3409">
            <w:pPr>
              <w:rPr>
                <w:szCs w:val="24"/>
              </w:rPr>
            </w:pPr>
            <w:r w:rsidRPr="00DE1F8A">
              <w:rPr>
                <w:szCs w:val="24"/>
              </w:rPr>
              <w:t xml:space="preserve">Bidder’s technical reasons supporting compliance:  </w:t>
            </w:r>
          </w:p>
        </w:tc>
      </w:tr>
      <w:tr w:rsidR="009E3409" w:rsidRPr="008C4A39" w14:paraId="3D1362E0" w14:textId="77777777" w:rsidTr="00883B07">
        <w:tc>
          <w:tcPr>
            <w:tcW w:w="9355" w:type="dxa"/>
            <w:gridSpan w:val="3"/>
          </w:tcPr>
          <w:p w14:paraId="745A08E0" w14:textId="42EBF47F" w:rsidR="009E3409" w:rsidRPr="00DE1F8A" w:rsidRDefault="009E3409" w:rsidP="009E3409">
            <w:pPr>
              <w:rPr>
                <w:szCs w:val="24"/>
              </w:rPr>
            </w:pPr>
            <w:r w:rsidRPr="00DE1F8A">
              <w:rPr>
                <w:szCs w:val="24"/>
              </w:rPr>
              <w:t>Bidder’s cross references to supporting information in Technical Bid:</w:t>
            </w:r>
          </w:p>
        </w:tc>
      </w:tr>
      <w:tr w:rsidR="009E3409" w:rsidRPr="008C4A39" w14:paraId="40F4C01E" w14:textId="77777777" w:rsidTr="009E3409">
        <w:tc>
          <w:tcPr>
            <w:tcW w:w="2376" w:type="dxa"/>
          </w:tcPr>
          <w:p w14:paraId="3BF1EB14" w14:textId="12319B48" w:rsidR="009E3409" w:rsidRPr="00DE1F8A" w:rsidRDefault="009E3409" w:rsidP="009E3409">
            <w:pPr>
              <w:rPr>
                <w:szCs w:val="24"/>
              </w:rPr>
            </w:pPr>
            <w:r w:rsidRPr="00DE1F8A">
              <w:rPr>
                <w:szCs w:val="24"/>
              </w:rPr>
              <w:t>FR594</w:t>
            </w:r>
          </w:p>
        </w:tc>
        <w:tc>
          <w:tcPr>
            <w:tcW w:w="6979" w:type="dxa"/>
            <w:gridSpan w:val="2"/>
          </w:tcPr>
          <w:p w14:paraId="0818F828" w14:textId="122C86F4" w:rsidR="009E3409" w:rsidRPr="00DE1F8A" w:rsidRDefault="009E3409" w:rsidP="009E3409">
            <w:pPr>
              <w:pStyle w:val="CommentText"/>
              <w:rPr>
                <w:sz w:val="24"/>
                <w:szCs w:val="24"/>
              </w:rPr>
            </w:pPr>
            <w:r w:rsidRPr="00DE1F8A">
              <w:rPr>
                <w:sz w:val="24"/>
                <w:szCs w:val="24"/>
              </w:rPr>
              <w:t>The NSW payment component should be a configurable module which would have the possibility to compute the operational costs of the NSW (taking</w:t>
            </w:r>
            <w:r w:rsidRPr="00DE1F8A">
              <w:rPr>
                <w:sz w:val="24"/>
                <w:szCs w:val="24"/>
                <w:lang w:val="mk-MK"/>
              </w:rPr>
              <w:t xml:space="preserve"> </w:t>
            </w:r>
            <w:r w:rsidRPr="00DE1F8A">
              <w:rPr>
                <w:sz w:val="24"/>
                <w:szCs w:val="24"/>
              </w:rPr>
              <w:t>in</w:t>
            </w:r>
            <w:r w:rsidRPr="00DE1F8A">
              <w:rPr>
                <w:sz w:val="24"/>
                <w:szCs w:val="24"/>
                <w:lang w:val="mk-MK"/>
              </w:rPr>
              <w:t xml:space="preserve"> </w:t>
            </w:r>
            <w:r w:rsidRPr="00DE1F8A">
              <w:rPr>
                <w:sz w:val="24"/>
                <w:szCs w:val="24"/>
              </w:rPr>
              <w:t>account all customs declarations for all customs procedures) and the fees (including administrative tax) for issuing of LPCOs.</w:t>
            </w:r>
          </w:p>
        </w:tc>
      </w:tr>
      <w:tr w:rsidR="009E3409" w:rsidRPr="008C4A39" w14:paraId="1C63DE2F" w14:textId="77777777" w:rsidTr="00883B07">
        <w:tc>
          <w:tcPr>
            <w:tcW w:w="9355" w:type="dxa"/>
            <w:gridSpan w:val="3"/>
          </w:tcPr>
          <w:p w14:paraId="6ADC3180" w14:textId="0D8F7C2F" w:rsidR="009E3409" w:rsidRPr="00DE1F8A" w:rsidRDefault="009E3409" w:rsidP="009E3409">
            <w:pPr>
              <w:rPr>
                <w:szCs w:val="24"/>
              </w:rPr>
            </w:pPr>
            <w:r w:rsidRPr="00DE1F8A">
              <w:rPr>
                <w:szCs w:val="24"/>
              </w:rPr>
              <w:t xml:space="preserve">Bidder’s technical reasons supporting compliance:  </w:t>
            </w:r>
          </w:p>
        </w:tc>
      </w:tr>
      <w:tr w:rsidR="009E3409" w:rsidRPr="008C4A39" w14:paraId="09BD6CA2" w14:textId="77777777" w:rsidTr="00883B07">
        <w:tc>
          <w:tcPr>
            <w:tcW w:w="9355" w:type="dxa"/>
            <w:gridSpan w:val="3"/>
          </w:tcPr>
          <w:p w14:paraId="41DE5707" w14:textId="549BC60E" w:rsidR="009E3409" w:rsidRPr="00DE1F8A" w:rsidRDefault="009E3409" w:rsidP="009E3409">
            <w:pPr>
              <w:rPr>
                <w:szCs w:val="24"/>
              </w:rPr>
            </w:pPr>
            <w:r w:rsidRPr="00DE1F8A">
              <w:rPr>
                <w:szCs w:val="24"/>
              </w:rPr>
              <w:t>Bidder’s cross references to supporting information in Technical Bid:</w:t>
            </w:r>
          </w:p>
        </w:tc>
      </w:tr>
      <w:tr w:rsidR="009E3409" w:rsidRPr="008C4A39" w14:paraId="50811616" w14:textId="77777777" w:rsidTr="009E3409">
        <w:tc>
          <w:tcPr>
            <w:tcW w:w="2376" w:type="dxa"/>
          </w:tcPr>
          <w:p w14:paraId="08EEF31F" w14:textId="374E9C1D" w:rsidR="009E3409" w:rsidRPr="00DE1F8A" w:rsidRDefault="009E3409" w:rsidP="009E3409">
            <w:pPr>
              <w:rPr>
                <w:szCs w:val="24"/>
              </w:rPr>
            </w:pPr>
            <w:r w:rsidRPr="00DE1F8A">
              <w:rPr>
                <w:szCs w:val="24"/>
              </w:rPr>
              <w:t>FR595</w:t>
            </w:r>
          </w:p>
        </w:tc>
        <w:tc>
          <w:tcPr>
            <w:tcW w:w="6979" w:type="dxa"/>
            <w:gridSpan w:val="2"/>
          </w:tcPr>
          <w:p w14:paraId="30B5FB93" w14:textId="6A42B6F2" w:rsidR="009E3409" w:rsidRPr="00DE1F8A" w:rsidRDefault="009E3409" w:rsidP="009E3409">
            <w:pPr>
              <w:rPr>
                <w:szCs w:val="24"/>
              </w:rPr>
            </w:pPr>
            <w:r w:rsidRPr="00DE1F8A">
              <w:rPr>
                <w:szCs w:val="24"/>
              </w:rPr>
              <w:t xml:space="preserve">The system must be able to allow the stakeholders to have access to all of its own payment </w:t>
            </w:r>
            <w:proofErr w:type="gramStart"/>
            <w:r w:rsidRPr="00DE1F8A">
              <w:rPr>
                <w:szCs w:val="24"/>
              </w:rPr>
              <w:t>advices</w:t>
            </w:r>
            <w:proofErr w:type="gramEnd"/>
            <w:r w:rsidRPr="00DE1F8A">
              <w:rPr>
                <w:szCs w:val="24"/>
              </w:rPr>
              <w:t>, and to check the status of each advice, i.e. whether it is marked as paid, unpaid, pending, exceeded, canceled or other relevant information.</w:t>
            </w:r>
          </w:p>
        </w:tc>
      </w:tr>
      <w:tr w:rsidR="009E3409" w:rsidRPr="008C4A39" w14:paraId="5C641737" w14:textId="77777777" w:rsidTr="00883B07">
        <w:tc>
          <w:tcPr>
            <w:tcW w:w="9355" w:type="dxa"/>
            <w:gridSpan w:val="3"/>
          </w:tcPr>
          <w:p w14:paraId="7FCFA7C4" w14:textId="454CA6F3" w:rsidR="009E3409" w:rsidRPr="008C4A39" w:rsidRDefault="009E3409" w:rsidP="009E3409">
            <w:pPr>
              <w:rPr>
                <w:szCs w:val="24"/>
              </w:rPr>
            </w:pPr>
            <w:r w:rsidRPr="008C4A39">
              <w:rPr>
                <w:szCs w:val="24"/>
              </w:rPr>
              <w:t xml:space="preserve">Bidder’s technical reasons supporting compliance:  </w:t>
            </w:r>
          </w:p>
        </w:tc>
      </w:tr>
      <w:tr w:rsidR="009E3409" w:rsidRPr="008C4A39" w14:paraId="7E5905DE" w14:textId="77777777" w:rsidTr="00883B07">
        <w:tc>
          <w:tcPr>
            <w:tcW w:w="9355" w:type="dxa"/>
            <w:gridSpan w:val="3"/>
          </w:tcPr>
          <w:p w14:paraId="7A2F2986" w14:textId="28AD9DF5" w:rsidR="009E3409" w:rsidRPr="008C4A39" w:rsidRDefault="009E3409" w:rsidP="009E3409">
            <w:pPr>
              <w:rPr>
                <w:szCs w:val="24"/>
              </w:rPr>
            </w:pPr>
            <w:r w:rsidRPr="008C4A39">
              <w:rPr>
                <w:szCs w:val="24"/>
              </w:rPr>
              <w:t>Bidder’s cross references to supporting information in Technical Bid:</w:t>
            </w:r>
          </w:p>
        </w:tc>
      </w:tr>
      <w:tr w:rsidR="009E3409" w:rsidRPr="008C4A39" w14:paraId="27CD805E" w14:textId="77777777" w:rsidTr="009E3409">
        <w:tc>
          <w:tcPr>
            <w:tcW w:w="2376" w:type="dxa"/>
          </w:tcPr>
          <w:p w14:paraId="7B9FF96E" w14:textId="710C3E7F" w:rsidR="009E3409" w:rsidRPr="00DE1F8A" w:rsidRDefault="009E3409" w:rsidP="009E3409">
            <w:pPr>
              <w:rPr>
                <w:szCs w:val="24"/>
              </w:rPr>
            </w:pPr>
            <w:r w:rsidRPr="00DE1F8A">
              <w:rPr>
                <w:szCs w:val="24"/>
              </w:rPr>
              <w:t>FR596</w:t>
            </w:r>
          </w:p>
        </w:tc>
        <w:tc>
          <w:tcPr>
            <w:tcW w:w="6979" w:type="dxa"/>
            <w:gridSpan w:val="2"/>
          </w:tcPr>
          <w:p w14:paraId="353E0834" w14:textId="5BEC9985" w:rsidR="009E3409" w:rsidRPr="00DE1F8A" w:rsidRDefault="009E3409" w:rsidP="009E3409">
            <w:pPr>
              <w:rPr>
                <w:szCs w:val="24"/>
              </w:rPr>
            </w:pPr>
            <w:r w:rsidRPr="00DE1F8A">
              <w:rPr>
                <w:szCs w:val="24"/>
              </w:rPr>
              <w:t>The system must be able to allow possibility for exchange of files/information for payments and returns with treasury MF.</w:t>
            </w:r>
          </w:p>
        </w:tc>
      </w:tr>
      <w:tr w:rsidR="009E3409" w:rsidRPr="008C4A39" w14:paraId="35313416" w14:textId="77777777" w:rsidTr="00883B07">
        <w:tc>
          <w:tcPr>
            <w:tcW w:w="9355" w:type="dxa"/>
            <w:gridSpan w:val="3"/>
          </w:tcPr>
          <w:p w14:paraId="1898B3AA" w14:textId="19AC1A3C" w:rsidR="009E3409" w:rsidRPr="008C4A39" w:rsidRDefault="009E3409" w:rsidP="009E3409">
            <w:pPr>
              <w:rPr>
                <w:szCs w:val="24"/>
              </w:rPr>
            </w:pPr>
            <w:r w:rsidRPr="008C4A39">
              <w:rPr>
                <w:szCs w:val="24"/>
              </w:rPr>
              <w:t xml:space="preserve">Bidder’s technical reasons supporting compliance:  </w:t>
            </w:r>
          </w:p>
        </w:tc>
      </w:tr>
      <w:tr w:rsidR="009E3409" w:rsidRPr="008C4A39" w14:paraId="25612CAB" w14:textId="77777777" w:rsidTr="00883B07">
        <w:tc>
          <w:tcPr>
            <w:tcW w:w="9355" w:type="dxa"/>
            <w:gridSpan w:val="3"/>
          </w:tcPr>
          <w:p w14:paraId="56CD8481" w14:textId="7A774151" w:rsidR="009E3409" w:rsidRPr="008C4A39" w:rsidRDefault="009E3409" w:rsidP="009E3409">
            <w:pPr>
              <w:rPr>
                <w:szCs w:val="24"/>
              </w:rPr>
            </w:pPr>
            <w:r w:rsidRPr="008C4A39">
              <w:rPr>
                <w:szCs w:val="24"/>
              </w:rPr>
              <w:t>Bidder’s cross references to supporting information in Technical Bid:</w:t>
            </w:r>
          </w:p>
        </w:tc>
      </w:tr>
    </w:tbl>
    <w:tbl>
      <w:tblPr>
        <w:tblStyle w:val="TableGrid2"/>
        <w:tblW w:w="9355" w:type="dxa"/>
        <w:tblLook w:val="04A0" w:firstRow="1" w:lastRow="0" w:firstColumn="1" w:lastColumn="0" w:noHBand="0" w:noVBand="1"/>
      </w:tblPr>
      <w:tblGrid>
        <w:gridCol w:w="2245"/>
        <w:gridCol w:w="90"/>
        <w:gridCol w:w="7020"/>
      </w:tblGrid>
      <w:tr w:rsidR="00930D96" w:rsidRPr="008C4A39" w14:paraId="36745612" w14:textId="77777777" w:rsidTr="001136D3">
        <w:trPr>
          <w:tblHeader/>
        </w:trPr>
        <w:tc>
          <w:tcPr>
            <w:tcW w:w="2245" w:type="dxa"/>
            <w:tcBorders>
              <w:top w:val="single" w:sz="4" w:space="0" w:color="auto"/>
              <w:left w:val="single" w:sz="4" w:space="0" w:color="auto"/>
              <w:bottom w:val="single" w:sz="4" w:space="0" w:color="auto"/>
              <w:right w:val="single" w:sz="4" w:space="0" w:color="auto"/>
            </w:tcBorders>
            <w:shd w:val="clear" w:color="auto" w:fill="D9D9D9"/>
            <w:hideMark/>
          </w:tcPr>
          <w:p w14:paraId="57E9B14E" w14:textId="77777777" w:rsidR="00930D96" w:rsidRPr="008C4A39" w:rsidRDefault="00930D96" w:rsidP="00883B07">
            <w:pPr>
              <w:spacing w:after="0"/>
              <w:rPr>
                <w:b/>
                <w:szCs w:val="24"/>
              </w:rPr>
            </w:pPr>
            <w:r w:rsidRPr="008C4A39">
              <w:rPr>
                <w:b/>
                <w:szCs w:val="24"/>
              </w:rPr>
              <w:t>Tech. Req. Number</w:t>
            </w:r>
          </w:p>
        </w:tc>
        <w:tc>
          <w:tcPr>
            <w:tcW w:w="711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3B43E350" w14:textId="77777777" w:rsidR="00930D96" w:rsidRPr="008C4A39" w:rsidRDefault="00930D96" w:rsidP="00883B07">
            <w:pPr>
              <w:spacing w:after="0"/>
              <w:jc w:val="left"/>
              <w:rPr>
                <w:b/>
                <w:szCs w:val="24"/>
              </w:rPr>
            </w:pPr>
            <w:r w:rsidRPr="008C4A39">
              <w:rPr>
                <w:b/>
                <w:szCs w:val="24"/>
              </w:rPr>
              <w:t>Technical Requirement</w:t>
            </w:r>
          </w:p>
        </w:tc>
      </w:tr>
      <w:tr w:rsidR="00930D96" w:rsidRPr="008C4A39" w14:paraId="0AFD5855"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2816BA7F" w14:textId="77777777" w:rsidR="00930D96" w:rsidRPr="008C4A39" w:rsidRDefault="00930D96" w:rsidP="00883B07">
            <w:pPr>
              <w:spacing w:after="0"/>
              <w:jc w:val="left"/>
              <w:rPr>
                <w:b/>
                <w:szCs w:val="24"/>
              </w:rPr>
            </w:pPr>
            <w:r w:rsidRPr="008C4A39">
              <w:rPr>
                <w:b/>
                <w:szCs w:val="24"/>
              </w:rPr>
              <w:t>1.2.7.3. Check Payment Availability</w:t>
            </w:r>
          </w:p>
        </w:tc>
      </w:tr>
      <w:tr w:rsidR="00930D96" w:rsidRPr="008C4A39" w14:paraId="1DCA34AA" w14:textId="77777777" w:rsidTr="001136D3">
        <w:tc>
          <w:tcPr>
            <w:tcW w:w="2245" w:type="dxa"/>
            <w:tcBorders>
              <w:top w:val="single" w:sz="4" w:space="0" w:color="auto"/>
              <w:left w:val="single" w:sz="4" w:space="0" w:color="auto"/>
              <w:bottom w:val="single" w:sz="4" w:space="0" w:color="auto"/>
              <w:right w:val="single" w:sz="4" w:space="0" w:color="auto"/>
            </w:tcBorders>
          </w:tcPr>
          <w:p w14:paraId="34325F37" w14:textId="77777777" w:rsidR="00930D96" w:rsidRPr="008C4A39" w:rsidRDefault="00930D96" w:rsidP="00883B07">
            <w:pPr>
              <w:spacing w:after="0"/>
              <w:rPr>
                <w:szCs w:val="24"/>
              </w:rPr>
            </w:pPr>
            <w:r w:rsidRPr="008C4A39">
              <w:rPr>
                <w:szCs w:val="24"/>
              </w:rPr>
              <w:t>FR522</w:t>
            </w:r>
          </w:p>
        </w:tc>
        <w:tc>
          <w:tcPr>
            <w:tcW w:w="7110" w:type="dxa"/>
            <w:gridSpan w:val="2"/>
            <w:tcBorders>
              <w:top w:val="single" w:sz="4" w:space="0" w:color="auto"/>
              <w:left w:val="single" w:sz="4" w:space="0" w:color="auto"/>
              <w:bottom w:val="single" w:sz="4" w:space="0" w:color="auto"/>
              <w:right w:val="single" w:sz="4" w:space="0" w:color="auto"/>
            </w:tcBorders>
          </w:tcPr>
          <w:p w14:paraId="0B7B8C83" w14:textId="77777777" w:rsidR="00930D96" w:rsidRPr="008C4A39" w:rsidRDefault="00930D96" w:rsidP="00883B07">
            <w:pPr>
              <w:spacing w:after="0"/>
              <w:jc w:val="left"/>
              <w:rPr>
                <w:szCs w:val="24"/>
              </w:rPr>
            </w:pPr>
            <w:r w:rsidRPr="008C4A39">
              <w:rPr>
                <w:szCs w:val="24"/>
              </w:rPr>
              <w:t xml:space="preserve">The system must be able to register the request to check the payment availability  </w:t>
            </w:r>
          </w:p>
        </w:tc>
      </w:tr>
      <w:tr w:rsidR="00930D96" w:rsidRPr="008C4A39" w14:paraId="1DB17AFA"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715324A3" w14:textId="77777777" w:rsidR="00930D96" w:rsidRPr="008C4A39" w:rsidRDefault="00930D96" w:rsidP="00883B07">
            <w:pPr>
              <w:spacing w:after="0"/>
              <w:jc w:val="left"/>
              <w:rPr>
                <w:szCs w:val="24"/>
              </w:rPr>
            </w:pPr>
            <w:r w:rsidRPr="008C4A39">
              <w:rPr>
                <w:szCs w:val="24"/>
              </w:rPr>
              <w:t xml:space="preserve">Bidder’s technical reasons supporting compliance:  </w:t>
            </w:r>
          </w:p>
        </w:tc>
      </w:tr>
      <w:tr w:rsidR="00930D96" w:rsidRPr="008C4A39" w14:paraId="4CEF7629"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3CC782BE" w14:textId="77777777" w:rsidR="00930D96" w:rsidRPr="008C4A39" w:rsidRDefault="00930D96" w:rsidP="00883B07">
            <w:pPr>
              <w:spacing w:after="0"/>
              <w:jc w:val="left"/>
              <w:rPr>
                <w:szCs w:val="24"/>
              </w:rPr>
            </w:pPr>
            <w:r w:rsidRPr="008C4A39">
              <w:rPr>
                <w:szCs w:val="24"/>
              </w:rPr>
              <w:t>Bidder’s cross references to supporting information in Technical Bid:</w:t>
            </w:r>
          </w:p>
        </w:tc>
      </w:tr>
      <w:tr w:rsidR="00930D96" w:rsidRPr="008C4A39" w14:paraId="2CC358D3" w14:textId="77777777" w:rsidTr="001136D3">
        <w:tc>
          <w:tcPr>
            <w:tcW w:w="2245" w:type="dxa"/>
            <w:tcBorders>
              <w:top w:val="single" w:sz="4" w:space="0" w:color="auto"/>
              <w:left w:val="single" w:sz="4" w:space="0" w:color="auto"/>
              <w:bottom w:val="single" w:sz="4" w:space="0" w:color="auto"/>
              <w:right w:val="single" w:sz="4" w:space="0" w:color="auto"/>
            </w:tcBorders>
          </w:tcPr>
          <w:p w14:paraId="1994D325" w14:textId="77777777" w:rsidR="00930D96" w:rsidRPr="008C4A39" w:rsidRDefault="00930D96" w:rsidP="00883B07">
            <w:pPr>
              <w:spacing w:after="0"/>
              <w:rPr>
                <w:szCs w:val="24"/>
              </w:rPr>
            </w:pPr>
            <w:r w:rsidRPr="008C4A39">
              <w:rPr>
                <w:szCs w:val="24"/>
              </w:rPr>
              <w:t>FR523</w:t>
            </w:r>
          </w:p>
          <w:p w14:paraId="7D74FA85" w14:textId="77777777" w:rsidR="00930D96" w:rsidRPr="008C4A39" w:rsidRDefault="00930D96" w:rsidP="00883B07">
            <w:pPr>
              <w:spacing w:after="0"/>
              <w:rPr>
                <w:szCs w:val="24"/>
              </w:rPr>
            </w:pPr>
          </w:p>
        </w:tc>
        <w:tc>
          <w:tcPr>
            <w:tcW w:w="7110" w:type="dxa"/>
            <w:gridSpan w:val="2"/>
            <w:tcBorders>
              <w:top w:val="single" w:sz="4" w:space="0" w:color="auto"/>
              <w:left w:val="single" w:sz="4" w:space="0" w:color="auto"/>
              <w:bottom w:val="single" w:sz="4" w:space="0" w:color="auto"/>
              <w:right w:val="single" w:sz="4" w:space="0" w:color="auto"/>
            </w:tcBorders>
            <w:hideMark/>
          </w:tcPr>
          <w:p w14:paraId="0BBBB67B" w14:textId="77777777" w:rsidR="00930D96" w:rsidRPr="008C4A39" w:rsidRDefault="00930D96" w:rsidP="00883B07">
            <w:pPr>
              <w:spacing w:after="0"/>
              <w:jc w:val="left"/>
              <w:rPr>
                <w:szCs w:val="24"/>
              </w:rPr>
            </w:pPr>
            <w:r w:rsidRPr="008C4A39">
              <w:rPr>
                <w:szCs w:val="24"/>
              </w:rPr>
              <w:t xml:space="preserve">The system must be able to retrieve payment information. If the payment is found, the information is retrieved, if not, means the payment is not made.  </w:t>
            </w:r>
          </w:p>
          <w:p w14:paraId="3B545165" w14:textId="77777777" w:rsidR="00930D96" w:rsidRPr="008C4A39" w:rsidRDefault="00930D96" w:rsidP="00883B07">
            <w:pPr>
              <w:spacing w:after="0"/>
              <w:rPr>
                <w:szCs w:val="24"/>
              </w:rPr>
            </w:pPr>
          </w:p>
        </w:tc>
      </w:tr>
      <w:tr w:rsidR="00930D96" w:rsidRPr="008C4A39" w14:paraId="154D930A"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5D3354EB" w14:textId="77777777" w:rsidR="00930D96" w:rsidRPr="008C4A39" w:rsidRDefault="00930D96" w:rsidP="00883B07">
            <w:pPr>
              <w:spacing w:after="0"/>
              <w:jc w:val="left"/>
              <w:rPr>
                <w:szCs w:val="24"/>
              </w:rPr>
            </w:pPr>
            <w:r w:rsidRPr="008C4A39">
              <w:rPr>
                <w:szCs w:val="24"/>
              </w:rPr>
              <w:t xml:space="preserve">Bidder’s technical reasons supporting compliance:  </w:t>
            </w:r>
          </w:p>
        </w:tc>
      </w:tr>
      <w:tr w:rsidR="00930D96" w:rsidRPr="008C4A39" w14:paraId="3A379372"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5C0EAE0A" w14:textId="77777777" w:rsidR="00930D96" w:rsidRPr="008C4A39" w:rsidRDefault="00930D96" w:rsidP="00883B07">
            <w:pPr>
              <w:spacing w:after="0"/>
              <w:jc w:val="left"/>
              <w:rPr>
                <w:szCs w:val="24"/>
              </w:rPr>
            </w:pPr>
            <w:r w:rsidRPr="008C4A39">
              <w:rPr>
                <w:szCs w:val="24"/>
              </w:rPr>
              <w:t>Bidder’s cross references to supporting information in Technical Bid:</w:t>
            </w:r>
          </w:p>
        </w:tc>
      </w:tr>
      <w:tr w:rsidR="00930D96" w:rsidRPr="008C4A39" w14:paraId="7CE12BB5" w14:textId="77777777" w:rsidTr="001136D3">
        <w:tc>
          <w:tcPr>
            <w:tcW w:w="2245" w:type="dxa"/>
            <w:tcBorders>
              <w:top w:val="single" w:sz="4" w:space="0" w:color="auto"/>
              <w:left w:val="single" w:sz="4" w:space="0" w:color="auto"/>
              <w:bottom w:val="single" w:sz="4" w:space="0" w:color="auto"/>
              <w:right w:val="single" w:sz="4" w:space="0" w:color="auto"/>
            </w:tcBorders>
          </w:tcPr>
          <w:p w14:paraId="01203FC7" w14:textId="77777777" w:rsidR="00930D96" w:rsidRPr="008C4A39" w:rsidRDefault="00930D96" w:rsidP="00883B07">
            <w:pPr>
              <w:spacing w:after="0"/>
              <w:rPr>
                <w:szCs w:val="24"/>
              </w:rPr>
            </w:pPr>
            <w:r w:rsidRPr="008C4A39">
              <w:rPr>
                <w:szCs w:val="24"/>
              </w:rPr>
              <w:t>FR524</w:t>
            </w:r>
          </w:p>
        </w:tc>
        <w:tc>
          <w:tcPr>
            <w:tcW w:w="7110" w:type="dxa"/>
            <w:gridSpan w:val="2"/>
            <w:tcBorders>
              <w:top w:val="single" w:sz="4" w:space="0" w:color="auto"/>
              <w:left w:val="single" w:sz="4" w:space="0" w:color="auto"/>
              <w:bottom w:val="single" w:sz="4" w:space="0" w:color="auto"/>
              <w:right w:val="single" w:sz="4" w:space="0" w:color="auto"/>
            </w:tcBorders>
          </w:tcPr>
          <w:p w14:paraId="4D3B7415" w14:textId="77777777" w:rsidR="00930D96" w:rsidRPr="008C4A39" w:rsidRDefault="00930D96" w:rsidP="00883B07">
            <w:pPr>
              <w:spacing w:after="0"/>
              <w:jc w:val="left"/>
              <w:rPr>
                <w:szCs w:val="24"/>
              </w:rPr>
            </w:pPr>
            <w:r w:rsidRPr="008C4A39">
              <w:rPr>
                <w:szCs w:val="24"/>
              </w:rPr>
              <w:t xml:space="preserve">The system must be able to send notification with the payment information to the requestor. </w:t>
            </w:r>
          </w:p>
        </w:tc>
      </w:tr>
      <w:tr w:rsidR="00930D96" w:rsidRPr="008C4A39" w14:paraId="4C4A4A5A"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6556C180" w14:textId="77777777" w:rsidR="00930D96" w:rsidRPr="008C4A39" w:rsidRDefault="00930D96" w:rsidP="00883B07">
            <w:pPr>
              <w:spacing w:after="0"/>
              <w:jc w:val="left"/>
              <w:rPr>
                <w:szCs w:val="24"/>
                <w:lang w:val="bg-BG"/>
              </w:rPr>
            </w:pPr>
            <w:r w:rsidRPr="008C4A39">
              <w:rPr>
                <w:szCs w:val="24"/>
              </w:rPr>
              <w:t xml:space="preserve">Bidder’s technical reasons supporting compliance:  </w:t>
            </w:r>
          </w:p>
        </w:tc>
      </w:tr>
      <w:tr w:rsidR="00930D96" w:rsidRPr="008C4A39" w14:paraId="54666F2B" w14:textId="77777777" w:rsidTr="00883B07">
        <w:tc>
          <w:tcPr>
            <w:tcW w:w="9355" w:type="dxa"/>
            <w:gridSpan w:val="3"/>
            <w:tcBorders>
              <w:top w:val="single" w:sz="4" w:space="0" w:color="auto"/>
              <w:left w:val="single" w:sz="4" w:space="0" w:color="auto"/>
              <w:bottom w:val="single" w:sz="4" w:space="0" w:color="auto"/>
              <w:right w:val="single" w:sz="4" w:space="0" w:color="auto"/>
            </w:tcBorders>
          </w:tcPr>
          <w:p w14:paraId="59134C64" w14:textId="77777777" w:rsidR="00930D96" w:rsidRPr="008C4A39" w:rsidRDefault="00930D96" w:rsidP="00883B07">
            <w:pPr>
              <w:spacing w:after="0"/>
              <w:jc w:val="left"/>
              <w:rPr>
                <w:szCs w:val="24"/>
              </w:rPr>
            </w:pPr>
            <w:r w:rsidRPr="008C4A39">
              <w:rPr>
                <w:szCs w:val="24"/>
              </w:rPr>
              <w:t>Bidder’s cross references to supporting information in Technical Bid:</w:t>
            </w:r>
          </w:p>
        </w:tc>
      </w:tr>
      <w:tr w:rsidR="00FB7C09" w:rsidRPr="008C4A39" w14:paraId="63158D68" w14:textId="77777777" w:rsidTr="001136D3">
        <w:trPr>
          <w:tblHeader/>
        </w:trPr>
        <w:tc>
          <w:tcPr>
            <w:tcW w:w="2245" w:type="dxa"/>
            <w:tcBorders>
              <w:top w:val="single" w:sz="4" w:space="0" w:color="auto"/>
              <w:left w:val="single" w:sz="4" w:space="0" w:color="auto"/>
              <w:bottom w:val="single" w:sz="4" w:space="0" w:color="auto"/>
              <w:right w:val="single" w:sz="4" w:space="0" w:color="auto"/>
            </w:tcBorders>
            <w:shd w:val="clear" w:color="auto" w:fill="D9D9D9"/>
            <w:hideMark/>
          </w:tcPr>
          <w:p w14:paraId="744D5A14" w14:textId="77777777" w:rsidR="00FB7C09" w:rsidRPr="008C4A39" w:rsidRDefault="00FB7C09" w:rsidP="00EA3B24">
            <w:pPr>
              <w:spacing w:after="0"/>
              <w:rPr>
                <w:b/>
                <w:szCs w:val="24"/>
              </w:rPr>
            </w:pPr>
            <w:r w:rsidRPr="008C4A39">
              <w:rPr>
                <w:b/>
                <w:szCs w:val="24"/>
              </w:rPr>
              <w:t>Tech. Req. Number</w:t>
            </w:r>
          </w:p>
        </w:tc>
        <w:tc>
          <w:tcPr>
            <w:tcW w:w="711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5685B8F6" w14:textId="77777777" w:rsidR="00FB7C09" w:rsidRPr="008C4A39" w:rsidRDefault="00FB7C09" w:rsidP="00EA3B24">
            <w:pPr>
              <w:spacing w:after="0"/>
              <w:jc w:val="left"/>
              <w:rPr>
                <w:b/>
                <w:szCs w:val="24"/>
              </w:rPr>
            </w:pPr>
            <w:r w:rsidRPr="008C4A39">
              <w:rPr>
                <w:b/>
                <w:szCs w:val="24"/>
              </w:rPr>
              <w:t>Technical Requirement</w:t>
            </w:r>
          </w:p>
        </w:tc>
      </w:tr>
      <w:tr w:rsidR="00FB7C09" w:rsidRPr="008C4A39" w14:paraId="176D311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4CDEB907" w14:textId="11EF988A" w:rsidR="00FB7C09" w:rsidRPr="008C4A39" w:rsidRDefault="00FB7C09">
            <w:pPr>
              <w:spacing w:after="0"/>
              <w:jc w:val="left"/>
              <w:rPr>
                <w:b/>
                <w:szCs w:val="24"/>
              </w:rPr>
            </w:pPr>
            <w:r>
              <w:rPr>
                <w:b/>
                <w:szCs w:val="24"/>
              </w:rPr>
              <w:lastRenderedPageBreak/>
              <w:t>1.2.8</w:t>
            </w:r>
            <w:r w:rsidRPr="008C4A39">
              <w:rPr>
                <w:b/>
                <w:szCs w:val="24"/>
              </w:rPr>
              <w:t>.</w:t>
            </w:r>
            <w:r w:rsidR="00512166">
              <w:rPr>
                <w:b/>
                <w:szCs w:val="24"/>
              </w:rPr>
              <w:t>1.</w:t>
            </w:r>
            <w:r w:rsidRPr="008C4A39">
              <w:rPr>
                <w:b/>
                <w:szCs w:val="24"/>
              </w:rPr>
              <w:t xml:space="preserve"> </w:t>
            </w:r>
            <w:r>
              <w:rPr>
                <w:b/>
                <w:szCs w:val="24"/>
              </w:rPr>
              <w:t>Notification Gateway</w:t>
            </w:r>
          </w:p>
        </w:tc>
      </w:tr>
      <w:tr w:rsidR="00771711" w:rsidRPr="008C4A39" w14:paraId="6EEC2F50" w14:textId="77777777" w:rsidTr="001136D3">
        <w:tc>
          <w:tcPr>
            <w:tcW w:w="2245" w:type="dxa"/>
            <w:tcBorders>
              <w:top w:val="single" w:sz="4" w:space="0" w:color="auto"/>
              <w:left w:val="single" w:sz="4" w:space="0" w:color="auto"/>
              <w:bottom w:val="single" w:sz="4" w:space="0" w:color="auto"/>
              <w:right w:val="single" w:sz="4" w:space="0" w:color="auto"/>
            </w:tcBorders>
          </w:tcPr>
          <w:p w14:paraId="5301EAC5" w14:textId="51643B13" w:rsidR="00771711" w:rsidRPr="008C4A39" w:rsidRDefault="00771711" w:rsidP="00771711">
            <w:pPr>
              <w:spacing w:after="0"/>
              <w:rPr>
                <w:szCs w:val="24"/>
              </w:rPr>
            </w:pPr>
            <w:r>
              <w:rPr>
                <w:szCs w:val="24"/>
              </w:rPr>
              <w:t>FR561</w:t>
            </w:r>
          </w:p>
        </w:tc>
        <w:tc>
          <w:tcPr>
            <w:tcW w:w="7110" w:type="dxa"/>
            <w:gridSpan w:val="2"/>
            <w:tcBorders>
              <w:top w:val="single" w:sz="4" w:space="0" w:color="auto"/>
              <w:left w:val="single" w:sz="4" w:space="0" w:color="auto"/>
              <w:bottom w:val="single" w:sz="4" w:space="0" w:color="auto"/>
              <w:right w:val="single" w:sz="4" w:space="0" w:color="auto"/>
            </w:tcBorders>
          </w:tcPr>
          <w:p w14:paraId="0B985B1D" w14:textId="5481FDD8" w:rsidR="00771711" w:rsidRPr="008C4A39" w:rsidRDefault="00771711" w:rsidP="00771711">
            <w:pPr>
              <w:spacing w:after="0"/>
              <w:jc w:val="left"/>
              <w:rPr>
                <w:szCs w:val="24"/>
              </w:rPr>
            </w:pPr>
            <w:r w:rsidRPr="00771711">
              <w:rPr>
                <w:szCs w:val="24"/>
              </w:rPr>
              <w:t>The system must be able to handle notifications to NSW users for relevant changes</w:t>
            </w:r>
            <w:r>
              <w:rPr>
                <w:szCs w:val="24"/>
              </w:rPr>
              <w:t>.</w:t>
            </w:r>
          </w:p>
        </w:tc>
      </w:tr>
      <w:tr w:rsidR="00FB7C09" w:rsidRPr="008C4A39" w14:paraId="2FEE11A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75E010B6" w14:textId="77777777" w:rsidR="00FB7C09" w:rsidRPr="008C4A39" w:rsidRDefault="00FB7C09" w:rsidP="00EA3B24">
            <w:pPr>
              <w:spacing w:after="0"/>
              <w:jc w:val="left"/>
              <w:rPr>
                <w:szCs w:val="24"/>
              </w:rPr>
            </w:pPr>
            <w:r w:rsidRPr="008C4A39">
              <w:rPr>
                <w:szCs w:val="24"/>
              </w:rPr>
              <w:t xml:space="preserve">Bidder’s technical reasons supporting compliance:  </w:t>
            </w:r>
          </w:p>
        </w:tc>
      </w:tr>
      <w:tr w:rsidR="00FB7C09" w:rsidRPr="008C4A39" w14:paraId="4A61D7E8"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5B28E18D" w14:textId="77777777" w:rsidR="00FB7C09" w:rsidRPr="008C4A39" w:rsidRDefault="00FB7C09" w:rsidP="00EA3B24">
            <w:pPr>
              <w:spacing w:after="0"/>
              <w:jc w:val="left"/>
              <w:rPr>
                <w:szCs w:val="24"/>
              </w:rPr>
            </w:pPr>
            <w:r w:rsidRPr="008C4A39">
              <w:rPr>
                <w:szCs w:val="24"/>
              </w:rPr>
              <w:t>Bidder’s cross references to supporting information in Technical Bid:</w:t>
            </w:r>
          </w:p>
        </w:tc>
      </w:tr>
      <w:tr w:rsidR="00771711" w:rsidRPr="008C4A39" w14:paraId="59A42F0E" w14:textId="77777777" w:rsidTr="001136D3">
        <w:tc>
          <w:tcPr>
            <w:tcW w:w="2245" w:type="dxa"/>
            <w:tcBorders>
              <w:top w:val="single" w:sz="4" w:space="0" w:color="auto"/>
              <w:left w:val="single" w:sz="4" w:space="0" w:color="auto"/>
              <w:bottom w:val="single" w:sz="4" w:space="0" w:color="auto"/>
              <w:right w:val="single" w:sz="4" w:space="0" w:color="auto"/>
            </w:tcBorders>
          </w:tcPr>
          <w:p w14:paraId="1847ACF9" w14:textId="6BEC2CAC" w:rsidR="00771711" w:rsidRPr="008C4A39" w:rsidRDefault="00771711" w:rsidP="00771711">
            <w:pPr>
              <w:spacing w:after="0"/>
              <w:rPr>
                <w:szCs w:val="24"/>
              </w:rPr>
            </w:pPr>
            <w:r>
              <w:rPr>
                <w:szCs w:val="24"/>
              </w:rPr>
              <w:t>FR562</w:t>
            </w:r>
          </w:p>
        </w:tc>
        <w:tc>
          <w:tcPr>
            <w:tcW w:w="7110" w:type="dxa"/>
            <w:gridSpan w:val="2"/>
            <w:tcBorders>
              <w:top w:val="single" w:sz="4" w:space="0" w:color="auto"/>
              <w:left w:val="single" w:sz="4" w:space="0" w:color="auto"/>
              <w:bottom w:val="single" w:sz="4" w:space="0" w:color="auto"/>
              <w:right w:val="single" w:sz="4" w:space="0" w:color="auto"/>
            </w:tcBorders>
          </w:tcPr>
          <w:p w14:paraId="362F8F96" w14:textId="6EAA6E6B" w:rsidR="00771711" w:rsidRPr="008C4A39" w:rsidRDefault="00771711" w:rsidP="00771711">
            <w:pPr>
              <w:spacing w:after="0"/>
              <w:rPr>
                <w:szCs w:val="24"/>
              </w:rPr>
            </w:pPr>
            <w:r w:rsidRPr="00771711">
              <w:rPr>
                <w:szCs w:val="24"/>
              </w:rPr>
              <w:t>The system must be able to configure the notifications for users and roles</w:t>
            </w:r>
            <w:r>
              <w:rPr>
                <w:szCs w:val="24"/>
              </w:rPr>
              <w:t>.</w:t>
            </w:r>
          </w:p>
        </w:tc>
      </w:tr>
      <w:tr w:rsidR="00FB7C09" w:rsidRPr="008C4A39" w14:paraId="50C74B09"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0AAE0375" w14:textId="77777777" w:rsidR="00FB7C09" w:rsidRPr="008C4A39" w:rsidRDefault="00FB7C09" w:rsidP="00EA3B24">
            <w:pPr>
              <w:spacing w:after="0"/>
              <w:jc w:val="left"/>
              <w:rPr>
                <w:szCs w:val="24"/>
              </w:rPr>
            </w:pPr>
            <w:r w:rsidRPr="008C4A39">
              <w:rPr>
                <w:szCs w:val="24"/>
              </w:rPr>
              <w:t xml:space="preserve">Bidder’s technical reasons supporting compliance:  </w:t>
            </w:r>
          </w:p>
        </w:tc>
      </w:tr>
      <w:tr w:rsidR="00FB7C09" w:rsidRPr="008C4A39" w14:paraId="11B52A8A"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08968691" w14:textId="77777777" w:rsidR="00FB7C09" w:rsidRPr="008C4A39" w:rsidRDefault="00FB7C09" w:rsidP="00EA3B24">
            <w:pPr>
              <w:spacing w:after="0"/>
              <w:jc w:val="left"/>
              <w:rPr>
                <w:szCs w:val="24"/>
              </w:rPr>
            </w:pPr>
            <w:r w:rsidRPr="008C4A39">
              <w:rPr>
                <w:szCs w:val="24"/>
              </w:rPr>
              <w:t>Bidder’s cross references to supporting information in Technical Bid:</w:t>
            </w:r>
          </w:p>
        </w:tc>
      </w:tr>
      <w:tr w:rsidR="00771711" w:rsidRPr="008C4A39" w14:paraId="2E16675F" w14:textId="77777777" w:rsidTr="001136D3">
        <w:tc>
          <w:tcPr>
            <w:tcW w:w="2245" w:type="dxa"/>
            <w:tcBorders>
              <w:top w:val="single" w:sz="4" w:space="0" w:color="auto"/>
              <w:left w:val="single" w:sz="4" w:space="0" w:color="auto"/>
              <w:bottom w:val="single" w:sz="4" w:space="0" w:color="auto"/>
              <w:right w:val="single" w:sz="4" w:space="0" w:color="auto"/>
            </w:tcBorders>
          </w:tcPr>
          <w:p w14:paraId="6E2DBD02" w14:textId="47B6313B" w:rsidR="00771711" w:rsidRPr="008C4A39" w:rsidRDefault="00771711" w:rsidP="00771711">
            <w:pPr>
              <w:spacing w:after="0"/>
              <w:rPr>
                <w:szCs w:val="24"/>
              </w:rPr>
            </w:pPr>
            <w:r>
              <w:rPr>
                <w:szCs w:val="24"/>
              </w:rPr>
              <w:t>FR563</w:t>
            </w:r>
          </w:p>
        </w:tc>
        <w:tc>
          <w:tcPr>
            <w:tcW w:w="7110" w:type="dxa"/>
            <w:gridSpan w:val="2"/>
            <w:tcBorders>
              <w:top w:val="single" w:sz="4" w:space="0" w:color="auto"/>
              <w:left w:val="single" w:sz="4" w:space="0" w:color="auto"/>
              <w:bottom w:val="single" w:sz="4" w:space="0" w:color="auto"/>
              <w:right w:val="single" w:sz="4" w:space="0" w:color="auto"/>
            </w:tcBorders>
          </w:tcPr>
          <w:p w14:paraId="6BB8DD80" w14:textId="10D41296" w:rsidR="00771711" w:rsidRPr="008C4A39" w:rsidRDefault="00771711" w:rsidP="00771711">
            <w:pPr>
              <w:spacing w:after="0"/>
              <w:jc w:val="left"/>
              <w:rPr>
                <w:szCs w:val="24"/>
              </w:rPr>
            </w:pPr>
            <w:r w:rsidRPr="00771711">
              <w:rPr>
                <w:szCs w:val="24"/>
              </w:rPr>
              <w:t>The system must be able to send notification via mail based on the user settings</w:t>
            </w:r>
            <w:r>
              <w:rPr>
                <w:szCs w:val="24"/>
              </w:rPr>
              <w:t>.</w:t>
            </w:r>
          </w:p>
        </w:tc>
      </w:tr>
      <w:tr w:rsidR="00FB7C09" w:rsidRPr="008C4A39" w14:paraId="073120E9"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2C886255" w14:textId="77777777" w:rsidR="00FB7C09" w:rsidRPr="008C4A39" w:rsidRDefault="00FB7C09" w:rsidP="00EA3B24">
            <w:pPr>
              <w:spacing w:after="0"/>
              <w:jc w:val="left"/>
              <w:rPr>
                <w:szCs w:val="24"/>
                <w:lang w:val="bg-BG"/>
              </w:rPr>
            </w:pPr>
            <w:r w:rsidRPr="008C4A39">
              <w:rPr>
                <w:szCs w:val="24"/>
              </w:rPr>
              <w:t xml:space="preserve">Bidder’s technical reasons supporting compliance:  </w:t>
            </w:r>
          </w:p>
        </w:tc>
      </w:tr>
      <w:tr w:rsidR="00FB7C09" w:rsidRPr="008C4A39" w14:paraId="59AA5E69"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02C84FCF" w14:textId="77777777" w:rsidR="00FB7C09" w:rsidRPr="008C4A39" w:rsidRDefault="00FB7C09" w:rsidP="00EA3B24">
            <w:pPr>
              <w:spacing w:after="0"/>
              <w:jc w:val="left"/>
              <w:rPr>
                <w:szCs w:val="24"/>
              </w:rPr>
            </w:pPr>
            <w:r w:rsidRPr="008C4A39">
              <w:rPr>
                <w:szCs w:val="24"/>
              </w:rPr>
              <w:t>Bidder’s cross references to supporting information in Technical Bid:</w:t>
            </w:r>
          </w:p>
        </w:tc>
      </w:tr>
      <w:tr w:rsidR="00771711" w:rsidRPr="008C4A39" w14:paraId="6E5D314F" w14:textId="2CF2A91E" w:rsidTr="001136D3">
        <w:tc>
          <w:tcPr>
            <w:tcW w:w="2335" w:type="dxa"/>
            <w:gridSpan w:val="2"/>
            <w:tcBorders>
              <w:top w:val="single" w:sz="4" w:space="0" w:color="auto"/>
              <w:left w:val="single" w:sz="4" w:space="0" w:color="auto"/>
              <w:bottom w:val="single" w:sz="4" w:space="0" w:color="auto"/>
              <w:right w:val="single" w:sz="4" w:space="0" w:color="auto"/>
            </w:tcBorders>
          </w:tcPr>
          <w:p w14:paraId="692C9501" w14:textId="3CB1AE5E" w:rsidR="00771711" w:rsidRPr="008C4A39" w:rsidRDefault="00771711" w:rsidP="00771711">
            <w:pPr>
              <w:spacing w:after="0"/>
              <w:jc w:val="left"/>
              <w:rPr>
                <w:szCs w:val="24"/>
              </w:rPr>
            </w:pPr>
            <w:r>
              <w:rPr>
                <w:szCs w:val="24"/>
              </w:rPr>
              <w:t>FR564</w:t>
            </w:r>
          </w:p>
        </w:tc>
        <w:tc>
          <w:tcPr>
            <w:tcW w:w="7020" w:type="dxa"/>
            <w:tcBorders>
              <w:top w:val="single" w:sz="4" w:space="0" w:color="auto"/>
              <w:left w:val="single" w:sz="4" w:space="0" w:color="auto"/>
              <w:bottom w:val="single" w:sz="4" w:space="0" w:color="auto"/>
              <w:right w:val="single" w:sz="4" w:space="0" w:color="auto"/>
            </w:tcBorders>
          </w:tcPr>
          <w:p w14:paraId="744EC142" w14:textId="38645254" w:rsidR="00771711" w:rsidRPr="008C4A39" w:rsidRDefault="00771711" w:rsidP="00771711">
            <w:pPr>
              <w:spacing w:after="0"/>
              <w:jc w:val="left"/>
              <w:rPr>
                <w:szCs w:val="24"/>
              </w:rPr>
            </w:pPr>
            <w:r w:rsidRPr="00771711">
              <w:rPr>
                <w:szCs w:val="24"/>
              </w:rPr>
              <w:t>The system shall be able to send notifications via other channels in future</w:t>
            </w:r>
            <w:r>
              <w:rPr>
                <w:szCs w:val="24"/>
              </w:rPr>
              <w:t>.</w:t>
            </w:r>
          </w:p>
        </w:tc>
      </w:tr>
      <w:tr w:rsidR="00512166" w:rsidRPr="008C4A39" w14:paraId="52B67AA5"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068FB8F0" w14:textId="35549302" w:rsidR="00512166" w:rsidRDefault="00512166" w:rsidP="00512166">
            <w:pPr>
              <w:spacing w:after="0"/>
              <w:jc w:val="left"/>
              <w:rPr>
                <w:szCs w:val="24"/>
              </w:rPr>
            </w:pPr>
            <w:r w:rsidRPr="008C4A39">
              <w:rPr>
                <w:szCs w:val="24"/>
              </w:rPr>
              <w:t xml:space="preserve">Bidder’s technical reasons supporting compliance:  </w:t>
            </w:r>
          </w:p>
        </w:tc>
      </w:tr>
      <w:tr w:rsidR="00512166" w:rsidRPr="008C4A39" w14:paraId="34A5E33C"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2CB4F19D" w14:textId="08988A7F" w:rsidR="00512166" w:rsidRDefault="00512166" w:rsidP="00512166">
            <w:pPr>
              <w:spacing w:after="0"/>
              <w:jc w:val="left"/>
              <w:rPr>
                <w:szCs w:val="24"/>
              </w:rPr>
            </w:pPr>
            <w:r w:rsidRPr="008C4A39">
              <w:rPr>
                <w:szCs w:val="24"/>
              </w:rPr>
              <w:t>Bidder’s cross references to supporting information in Technical Bid:</w:t>
            </w:r>
          </w:p>
        </w:tc>
      </w:tr>
      <w:tr w:rsidR="00771711" w:rsidRPr="008C4A39" w14:paraId="53E76182" w14:textId="77777777" w:rsidTr="001136D3">
        <w:trPr>
          <w:tblHeader/>
        </w:trPr>
        <w:tc>
          <w:tcPr>
            <w:tcW w:w="2245" w:type="dxa"/>
            <w:tcBorders>
              <w:top w:val="single" w:sz="4" w:space="0" w:color="auto"/>
              <w:left w:val="single" w:sz="4" w:space="0" w:color="auto"/>
              <w:bottom w:val="single" w:sz="4" w:space="0" w:color="auto"/>
              <w:right w:val="single" w:sz="4" w:space="0" w:color="auto"/>
            </w:tcBorders>
            <w:shd w:val="clear" w:color="auto" w:fill="D9D9D9"/>
            <w:hideMark/>
          </w:tcPr>
          <w:p w14:paraId="15177C04" w14:textId="77777777" w:rsidR="00771711" w:rsidRPr="008C4A39" w:rsidRDefault="00771711" w:rsidP="00771711">
            <w:pPr>
              <w:spacing w:after="0"/>
              <w:rPr>
                <w:b/>
                <w:szCs w:val="24"/>
              </w:rPr>
            </w:pPr>
            <w:r w:rsidRPr="008C4A39">
              <w:rPr>
                <w:b/>
                <w:szCs w:val="24"/>
              </w:rPr>
              <w:t>Tech. Req. Number</w:t>
            </w:r>
          </w:p>
        </w:tc>
        <w:tc>
          <w:tcPr>
            <w:tcW w:w="711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40FD63B8" w14:textId="77777777" w:rsidR="00771711" w:rsidRPr="008C4A39" w:rsidRDefault="00771711" w:rsidP="00771711">
            <w:pPr>
              <w:spacing w:after="0"/>
              <w:jc w:val="left"/>
              <w:rPr>
                <w:b/>
                <w:szCs w:val="24"/>
              </w:rPr>
            </w:pPr>
            <w:r w:rsidRPr="008C4A39">
              <w:rPr>
                <w:b/>
                <w:szCs w:val="24"/>
              </w:rPr>
              <w:t>Technical Requirement</w:t>
            </w:r>
          </w:p>
        </w:tc>
      </w:tr>
      <w:tr w:rsidR="00771711" w:rsidRPr="008C4A39" w14:paraId="57B10572"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6E94A5FE" w14:textId="04C290DE" w:rsidR="00771711" w:rsidRPr="008C4A39" w:rsidRDefault="00771711">
            <w:pPr>
              <w:spacing w:after="0"/>
              <w:jc w:val="left"/>
              <w:rPr>
                <w:b/>
                <w:szCs w:val="24"/>
              </w:rPr>
            </w:pPr>
            <w:r>
              <w:rPr>
                <w:b/>
                <w:szCs w:val="24"/>
              </w:rPr>
              <w:t>1.2.9</w:t>
            </w:r>
            <w:r w:rsidRPr="008C4A39">
              <w:rPr>
                <w:b/>
                <w:szCs w:val="24"/>
              </w:rPr>
              <w:t xml:space="preserve">. </w:t>
            </w:r>
            <w:r>
              <w:rPr>
                <w:b/>
                <w:szCs w:val="24"/>
              </w:rPr>
              <w:t xml:space="preserve">NSW LPCO Designer </w:t>
            </w:r>
          </w:p>
        </w:tc>
      </w:tr>
      <w:tr w:rsidR="003124AF" w:rsidRPr="008C4A39" w14:paraId="74242DBA" w14:textId="77777777" w:rsidTr="001136D3">
        <w:tc>
          <w:tcPr>
            <w:tcW w:w="2245" w:type="dxa"/>
            <w:tcBorders>
              <w:top w:val="single" w:sz="4" w:space="0" w:color="auto"/>
              <w:left w:val="single" w:sz="4" w:space="0" w:color="auto"/>
              <w:bottom w:val="single" w:sz="4" w:space="0" w:color="auto"/>
              <w:right w:val="single" w:sz="4" w:space="0" w:color="auto"/>
            </w:tcBorders>
          </w:tcPr>
          <w:p w14:paraId="3D2AD023" w14:textId="283B6850" w:rsidR="003124AF" w:rsidRPr="008C4A39" w:rsidRDefault="003124AF" w:rsidP="003124AF">
            <w:pPr>
              <w:spacing w:after="0"/>
              <w:rPr>
                <w:szCs w:val="24"/>
              </w:rPr>
            </w:pPr>
            <w:r>
              <w:rPr>
                <w:szCs w:val="24"/>
              </w:rPr>
              <w:t>FR565</w:t>
            </w:r>
          </w:p>
        </w:tc>
        <w:tc>
          <w:tcPr>
            <w:tcW w:w="7110" w:type="dxa"/>
            <w:gridSpan w:val="2"/>
            <w:tcBorders>
              <w:top w:val="single" w:sz="4" w:space="0" w:color="auto"/>
              <w:left w:val="single" w:sz="4" w:space="0" w:color="auto"/>
              <w:bottom w:val="single" w:sz="4" w:space="0" w:color="auto"/>
              <w:right w:val="single" w:sz="4" w:space="0" w:color="auto"/>
            </w:tcBorders>
          </w:tcPr>
          <w:p w14:paraId="2E7FB3DF" w14:textId="0A1D910B" w:rsidR="003124AF" w:rsidRPr="008C4A39" w:rsidRDefault="003124AF" w:rsidP="003124AF">
            <w:pPr>
              <w:spacing w:after="0"/>
              <w:jc w:val="left"/>
              <w:rPr>
                <w:szCs w:val="24"/>
              </w:rPr>
            </w:pPr>
            <w:r w:rsidRPr="00771711">
              <w:rPr>
                <w:szCs w:val="24"/>
              </w:rPr>
              <w:t>The system must be able to efficiently create, customize, and manage digital certificates forms</w:t>
            </w:r>
            <w:r>
              <w:rPr>
                <w:szCs w:val="24"/>
              </w:rPr>
              <w:t>.</w:t>
            </w:r>
          </w:p>
        </w:tc>
      </w:tr>
      <w:tr w:rsidR="00771711" w:rsidRPr="008C4A39" w14:paraId="0167C4FF"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2AFB2FDC" w14:textId="77777777" w:rsidR="00771711" w:rsidRPr="008C4A39" w:rsidRDefault="00771711" w:rsidP="00771711">
            <w:pPr>
              <w:spacing w:after="0"/>
              <w:jc w:val="left"/>
              <w:rPr>
                <w:szCs w:val="24"/>
              </w:rPr>
            </w:pPr>
            <w:r w:rsidRPr="008C4A39">
              <w:rPr>
                <w:szCs w:val="24"/>
              </w:rPr>
              <w:t xml:space="preserve">Bidder’s technical reasons supporting compliance:  </w:t>
            </w:r>
          </w:p>
        </w:tc>
      </w:tr>
      <w:tr w:rsidR="00771711" w:rsidRPr="008C4A39" w14:paraId="7C28BF56"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04FD155A" w14:textId="77777777" w:rsidR="00771711" w:rsidRPr="008C4A39" w:rsidRDefault="00771711" w:rsidP="00771711">
            <w:pPr>
              <w:spacing w:after="0"/>
              <w:jc w:val="left"/>
              <w:rPr>
                <w:szCs w:val="24"/>
              </w:rPr>
            </w:pPr>
            <w:r w:rsidRPr="008C4A39">
              <w:rPr>
                <w:szCs w:val="24"/>
              </w:rPr>
              <w:t>Bidder’s cross references to supporting information in Technical Bid:</w:t>
            </w:r>
          </w:p>
        </w:tc>
      </w:tr>
      <w:tr w:rsidR="003124AF" w:rsidRPr="008C4A39" w14:paraId="250A1EC3" w14:textId="77777777" w:rsidTr="001136D3">
        <w:tc>
          <w:tcPr>
            <w:tcW w:w="2245" w:type="dxa"/>
            <w:tcBorders>
              <w:top w:val="single" w:sz="4" w:space="0" w:color="auto"/>
              <w:left w:val="single" w:sz="4" w:space="0" w:color="auto"/>
              <w:bottom w:val="single" w:sz="4" w:space="0" w:color="auto"/>
              <w:right w:val="single" w:sz="4" w:space="0" w:color="auto"/>
            </w:tcBorders>
          </w:tcPr>
          <w:p w14:paraId="424140EF" w14:textId="36B0ED5E" w:rsidR="003124AF" w:rsidRPr="008C4A39" w:rsidRDefault="003124AF" w:rsidP="003124AF">
            <w:pPr>
              <w:spacing w:after="0"/>
              <w:rPr>
                <w:szCs w:val="24"/>
              </w:rPr>
            </w:pPr>
            <w:r>
              <w:rPr>
                <w:szCs w:val="24"/>
              </w:rPr>
              <w:t>FR566</w:t>
            </w:r>
          </w:p>
        </w:tc>
        <w:tc>
          <w:tcPr>
            <w:tcW w:w="7110" w:type="dxa"/>
            <w:gridSpan w:val="2"/>
            <w:tcBorders>
              <w:top w:val="single" w:sz="4" w:space="0" w:color="auto"/>
              <w:left w:val="single" w:sz="4" w:space="0" w:color="auto"/>
              <w:bottom w:val="single" w:sz="4" w:space="0" w:color="auto"/>
              <w:right w:val="single" w:sz="4" w:space="0" w:color="auto"/>
            </w:tcBorders>
          </w:tcPr>
          <w:p w14:paraId="5C64E09F" w14:textId="3C8F04B8" w:rsidR="003124AF" w:rsidRPr="008C4A39" w:rsidRDefault="003124AF" w:rsidP="003124AF">
            <w:pPr>
              <w:spacing w:after="0"/>
              <w:rPr>
                <w:szCs w:val="24"/>
              </w:rPr>
            </w:pPr>
            <w:r w:rsidRPr="00771711">
              <w:rPr>
                <w:szCs w:val="24"/>
              </w:rPr>
              <w:t>The system must be able to configure notification alerts to address any anomalies or potential delays encountered during the LPCO design process</w:t>
            </w:r>
            <w:r>
              <w:rPr>
                <w:szCs w:val="24"/>
              </w:rPr>
              <w:t>.</w:t>
            </w:r>
          </w:p>
        </w:tc>
      </w:tr>
      <w:tr w:rsidR="00771711" w:rsidRPr="008C4A39" w14:paraId="23A6A5C0"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104AE101" w14:textId="77777777" w:rsidR="00771711" w:rsidRPr="008C4A39" w:rsidRDefault="00771711" w:rsidP="00771711">
            <w:pPr>
              <w:spacing w:after="0"/>
              <w:jc w:val="left"/>
              <w:rPr>
                <w:szCs w:val="24"/>
              </w:rPr>
            </w:pPr>
            <w:r w:rsidRPr="008C4A39">
              <w:rPr>
                <w:szCs w:val="24"/>
              </w:rPr>
              <w:t xml:space="preserve">Bidder’s technical reasons supporting compliance:  </w:t>
            </w:r>
          </w:p>
        </w:tc>
      </w:tr>
      <w:tr w:rsidR="00771711" w:rsidRPr="008C4A39" w14:paraId="472306E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4B318E0B" w14:textId="77777777" w:rsidR="00771711" w:rsidRPr="008C4A39" w:rsidRDefault="00771711" w:rsidP="00771711">
            <w:pPr>
              <w:spacing w:after="0"/>
              <w:jc w:val="left"/>
              <w:rPr>
                <w:szCs w:val="24"/>
              </w:rPr>
            </w:pPr>
            <w:r w:rsidRPr="008C4A39">
              <w:rPr>
                <w:szCs w:val="24"/>
              </w:rPr>
              <w:t>Bidder’s cross references to supporting information in Technical Bid:</w:t>
            </w:r>
          </w:p>
        </w:tc>
      </w:tr>
      <w:tr w:rsidR="003124AF" w:rsidRPr="008C4A39" w14:paraId="19FB806F" w14:textId="77777777" w:rsidTr="001136D3">
        <w:tc>
          <w:tcPr>
            <w:tcW w:w="2245" w:type="dxa"/>
            <w:tcBorders>
              <w:top w:val="single" w:sz="4" w:space="0" w:color="auto"/>
              <w:left w:val="single" w:sz="4" w:space="0" w:color="auto"/>
              <w:bottom w:val="single" w:sz="4" w:space="0" w:color="auto"/>
              <w:right w:val="single" w:sz="4" w:space="0" w:color="auto"/>
            </w:tcBorders>
          </w:tcPr>
          <w:p w14:paraId="25CD7E27" w14:textId="5841E092" w:rsidR="003124AF" w:rsidRPr="008C4A39" w:rsidRDefault="003124AF" w:rsidP="003124AF">
            <w:pPr>
              <w:spacing w:after="0"/>
              <w:rPr>
                <w:szCs w:val="24"/>
              </w:rPr>
            </w:pPr>
            <w:r>
              <w:rPr>
                <w:szCs w:val="24"/>
              </w:rPr>
              <w:t>FR567</w:t>
            </w:r>
          </w:p>
        </w:tc>
        <w:tc>
          <w:tcPr>
            <w:tcW w:w="7110" w:type="dxa"/>
            <w:gridSpan w:val="2"/>
            <w:tcBorders>
              <w:top w:val="single" w:sz="4" w:space="0" w:color="auto"/>
              <w:left w:val="single" w:sz="4" w:space="0" w:color="auto"/>
              <w:bottom w:val="single" w:sz="4" w:space="0" w:color="auto"/>
              <w:right w:val="single" w:sz="4" w:space="0" w:color="auto"/>
            </w:tcBorders>
          </w:tcPr>
          <w:p w14:paraId="576D5FA7" w14:textId="72511C99" w:rsidR="003124AF" w:rsidRPr="008C4A39" w:rsidRDefault="003124AF" w:rsidP="003124AF">
            <w:pPr>
              <w:spacing w:after="0"/>
              <w:jc w:val="left"/>
              <w:rPr>
                <w:szCs w:val="24"/>
              </w:rPr>
            </w:pPr>
            <w:r w:rsidRPr="00771711">
              <w:rPr>
                <w:szCs w:val="24"/>
              </w:rPr>
              <w:t>The system must be able to incorporate custom field definitions across an array of data types, including Integer, String, Data etc.</w:t>
            </w:r>
          </w:p>
        </w:tc>
      </w:tr>
      <w:tr w:rsidR="00771711" w:rsidRPr="008C4A39" w14:paraId="62D651B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607AD1FA" w14:textId="77777777" w:rsidR="00771711" w:rsidRPr="008C4A39" w:rsidRDefault="00771711" w:rsidP="00771711">
            <w:pPr>
              <w:spacing w:after="0"/>
              <w:jc w:val="left"/>
              <w:rPr>
                <w:szCs w:val="24"/>
                <w:lang w:val="bg-BG"/>
              </w:rPr>
            </w:pPr>
            <w:r w:rsidRPr="008C4A39">
              <w:rPr>
                <w:szCs w:val="24"/>
              </w:rPr>
              <w:t xml:space="preserve">Bidder’s technical reasons supporting compliance:  </w:t>
            </w:r>
          </w:p>
        </w:tc>
      </w:tr>
      <w:tr w:rsidR="00771711" w:rsidRPr="008C4A39" w14:paraId="5B5E9643"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530AAB68" w14:textId="77777777" w:rsidR="00771711" w:rsidRPr="008C4A39" w:rsidRDefault="00771711" w:rsidP="00771711">
            <w:pPr>
              <w:spacing w:after="0"/>
              <w:jc w:val="left"/>
              <w:rPr>
                <w:szCs w:val="24"/>
              </w:rPr>
            </w:pPr>
            <w:r w:rsidRPr="008C4A39">
              <w:rPr>
                <w:szCs w:val="24"/>
              </w:rPr>
              <w:t>Bidder’s cross references to supporting information in Technical Bid:</w:t>
            </w:r>
          </w:p>
        </w:tc>
      </w:tr>
      <w:tr w:rsidR="003124AF" w:rsidRPr="008C4A39" w14:paraId="61CDF958" w14:textId="5431065E" w:rsidTr="001136D3">
        <w:tc>
          <w:tcPr>
            <w:tcW w:w="2245" w:type="dxa"/>
            <w:tcBorders>
              <w:top w:val="single" w:sz="4" w:space="0" w:color="auto"/>
              <w:left w:val="single" w:sz="4" w:space="0" w:color="auto"/>
              <w:bottom w:val="single" w:sz="4" w:space="0" w:color="auto"/>
              <w:right w:val="single" w:sz="4" w:space="0" w:color="auto"/>
            </w:tcBorders>
          </w:tcPr>
          <w:p w14:paraId="588AD9AF" w14:textId="02036BD1" w:rsidR="003124AF" w:rsidRPr="008C4A39" w:rsidRDefault="003124AF" w:rsidP="003124AF">
            <w:pPr>
              <w:spacing w:after="0"/>
              <w:jc w:val="left"/>
              <w:rPr>
                <w:szCs w:val="24"/>
              </w:rPr>
            </w:pPr>
            <w:r>
              <w:rPr>
                <w:szCs w:val="24"/>
              </w:rPr>
              <w:t>FR568</w:t>
            </w:r>
          </w:p>
        </w:tc>
        <w:tc>
          <w:tcPr>
            <w:tcW w:w="7110" w:type="dxa"/>
            <w:gridSpan w:val="2"/>
            <w:tcBorders>
              <w:top w:val="single" w:sz="4" w:space="0" w:color="auto"/>
              <w:left w:val="single" w:sz="4" w:space="0" w:color="auto"/>
              <w:bottom w:val="single" w:sz="4" w:space="0" w:color="auto"/>
              <w:right w:val="single" w:sz="4" w:space="0" w:color="auto"/>
            </w:tcBorders>
          </w:tcPr>
          <w:p w14:paraId="77CE1571" w14:textId="5A7CD4FA" w:rsidR="003124AF" w:rsidRPr="008C4A39" w:rsidRDefault="003124AF" w:rsidP="003124AF">
            <w:pPr>
              <w:spacing w:after="0"/>
              <w:jc w:val="left"/>
              <w:rPr>
                <w:szCs w:val="24"/>
              </w:rPr>
            </w:pPr>
            <w:r w:rsidRPr="00771711">
              <w:rPr>
                <w:szCs w:val="24"/>
              </w:rPr>
              <w:t>The system must be able to have the ability to establish data exchange mechanisms with reference data interfaces from other CBRAs</w:t>
            </w:r>
            <w:r>
              <w:rPr>
                <w:szCs w:val="24"/>
              </w:rPr>
              <w:t>.</w:t>
            </w:r>
          </w:p>
        </w:tc>
      </w:tr>
      <w:tr w:rsidR="003124AF" w:rsidRPr="008C4A39" w14:paraId="423B99C3"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18DF1BD6" w14:textId="3F618946" w:rsidR="003124AF" w:rsidRDefault="003124AF" w:rsidP="003124AF">
            <w:pPr>
              <w:spacing w:after="0"/>
              <w:jc w:val="left"/>
              <w:rPr>
                <w:szCs w:val="24"/>
              </w:rPr>
            </w:pPr>
            <w:r w:rsidRPr="008C4A39">
              <w:rPr>
                <w:szCs w:val="24"/>
              </w:rPr>
              <w:t xml:space="preserve">Bidder’s technical reasons supporting compliance:  </w:t>
            </w:r>
          </w:p>
        </w:tc>
      </w:tr>
      <w:tr w:rsidR="003124AF" w:rsidRPr="008C4A39" w14:paraId="501D685B"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421238E4" w14:textId="080FF901" w:rsidR="003124AF" w:rsidRDefault="003124AF" w:rsidP="003124AF">
            <w:pPr>
              <w:spacing w:after="0"/>
              <w:jc w:val="left"/>
              <w:rPr>
                <w:szCs w:val="24"/>
              </w:rPr>
            </w:pPr>
            <w:r w:rsidRPr="008C4A39">
              <w:rPr>
                <w:szCs w:val="24"/>
              </w:rPr>
              <w:t>Bidder’s cross references to supporting information in Technical Bid:</w:t>
            </w:r>
          </w:p>
        </w:tc>
      </w:tr>
      <w:tr w:rsidR="003124AF" w:rsidRPr="008C4A39" w14:paraId="6812884C" w14:textId="4C84E2CC" w:rsidTr="001136D3">
        <w:tc>
          <w:tcPr>
            <w:tcW w:w="2245" w:type="dxa"/>
            <w:tcBorders>
              <w:top w:val="single" w:sz="4" w:space="0" w:color="auto"/>
              <w:left w:val="single" w:sz="4" w:space="0" w:color="auto"/>
              <w:bottom w:val="single" w:sz="4" w:space="0" w:color="auto"/>
              <w:right w:val="single" w:sz="4" w:space="0" w:color="auto"/>
            </w:tcBorders>
          </w:tcPr>
          <w:p w14:paraId="73C5030A" w14:textId="000AB4C0" w:rsidR="003124AF" w:rsidRDefault="003124AF" w:rsidP="003124AF">
            <w:pPr>
              <w:spacing w:after="0"/>
              <w:jc w:val="left"/>
              <w:rPr>
                <w:szCs w:val="24"/>
              </w:rPr>
            </w:pPr>
            <w:r>
              <w:rPr>
                <w:szCs w:val="24"/>
              </w:rPr>
              <w:t>FR569</w:t>
            </w:r>
          </w:p>
        </w:tc>
        <w:tc>
          <w:tcPr>
            <w:tcW w:w="7110" w:type="dxa"/>
            <w:gridSpan w:val="2"/>
            <w:tcBorders>
              <w:top w:val="single" w:sz="4" w:space="0" w:color="auto"/>
              <w:left w:val="single" w:sz="4" w:space="0" w:color="auto"/>
              <w:bottom w:val="single" w:sz="4" w:space="0" w:color="auto"/>
              <w:right w:val="single" w:sz="4" w:space="0" w:color="auto"/>
            </w:tcBorders>
          </w:tcPr>
          <w:p w14:paraId="20FD940A" w14:textId="25DBE5C6" w:rsidR="003124AF" w:rsidRDefault="003124AF" w:rsidP="003124AF">
            <w:pPr>
              <w:spacing w:after="0"/>
              <w:jc w:val="left"/>
              <w:rPr>
                <w:szCs w:val="24"/>
              </w:rPr>
            </w:pPr>
            <w:r w:rsidRPr="00771711">
              <w:rPr>
                <w:szCs w:val="24"/>
              </w:rPr>
              <w:t>The system must be able to define and exchange data from various registers in CBRAs.</w:t>
            </w:r>
          </w:p>
        </w:tc>
      </w:tr>
      <w:tr w:rsidR="003124AF" w:rsidRPr="008C4A39" w14:paraId="6089A63E"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3E1C58DB" w14:textId="030B12A4" w:rsidR="003124AF" w:rsidRDefault="003124AF" w:rsidP="003124AF">
            <w:pPr>
              <w:spacing w:after="0"/>
              <w:jc w:val="left"/>
              <w:rPr>
                <w:szCs w:val="24"/>
              </w:rPr>
            </w:pPr>
            <w:r w:rsidRPr="008C4A39">
              <w:rPr>
                <w:szCs w:val="24"/>
              </w:rPr>
              <w:t xml:space="preserve">Bidder’s technical reasons supporting compliance:  </w:t>
            </w:r>
          </w:p>
        </w:tc>
      </w:tr>
      <w:tr w:rsidR="003124AF" w:rsidRPr="008C4A39" w14:paraId="7ACD863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4A5A070E" w14:textId="3AB84719" w:rsidR="003124AF" w:rsidRDefault="003124AF" w:rsidP="003124AF">
            <w:pPr>
              <w:spacing w:after="0"/>
              <w:jc w:val="left"/>
              <w:rPr>
                <w:szCs w:val="24"/>
              </w:rPr>
            </w:pPr>
            <w:r w:rsidRPr="008C4A39">
              <w:rPr>
                <w:szCs w:val="24"/>
              </w:rPr>
              <w:t>Bidder’s cross references to supporting information in Technical Bid:</w:t>
            </w:r>
          </w:p>
        </w:tc>
      </w:tr>
      <w:tr w:rsidR="003124AF" w:rsidRPr="008C4A39" w14:paraId="447483B6" w14:textId="6C6887B8" w:rsidTr="001136D3">
        <w:tc>
          <w:tcPr>
            <w:tcW w:w="2245" w:type="dxa"/>
            <w:tcBorders>
              <w:top w:val="single" w:sz="4" w:space="0" w:color="auto"/>
              <w:left w:val="single" w:sz="4" w:space="0" w:color="auto"/>
              <w:bottom w:val="single" w:sz="4" w:space="0" w:color="auto"/>
              <w:right w:val="single" w:sz="4" w:space="0" w:color="auto"/>
            </w:tcBorders>
          </w:tcPr>
          <w:p w14:paraId="552340A9" w14:textId="3EA36BBD" w:rsidR="003124AF" w:rsidRDefault="003124AF" w:rsidP="003124AF">
            <w:pPr>
              <w:spacing w:after="0"/>
              <w:jc w:val="left"/>
              <w:rPr>
                <w:szCs w:val="24"/>
              </w:rPr>
            </w:pPr>
            <w:r>
              <w:rPr>
                <w:szCs w:val="24"/>
              </w:rPr>
              <w:t>FR570</w:t>
            </w:r>
          </w:p>
        </w:tc>
        <w:tc>
          <w:tcPr>
            <w:tcW w:w="7110" w:type="dxa"/>
            <w:gridSpan w:val="2"/>
            <w:tcBorders>
              <w:top w:val="single" w:sz="4" w:space="0" w:color="auto"/>
              <w:left w:val="single" w:sz="4" w:space="0" w:color="auto"/>
              <w:bottom w:val="single" w:sz="4" w:space="0" w:color="auto"/>
              <w:right w:val="single" w:sz="4" w:space="0" w:color="auto"/>
            </w:tcBorders>
          </w:tcPr>
          <w:p w14:paraId="012B9715" w14:textId="11B09727" w:rsidR="003124AF" w:rsidRDefault="003124AF" w:rsidP="003124AF">
            <w:pPr>
              <w:spacing w:after="0"/>
              <w:jc w:val="left"/>
              <w:rPr>
                <w:szCs w:val="24"/>
              </w:rPr>
            </w:pPr>
            <w:r w:rsidRPr="00771711">
              <w:rPr>
                <w:szCs w:val="24"/>
              </w:rPr>
              <w:t>The system must be able to enable the designation of mandatory documents for upload, tailored specifically to each LPCO.</w:t>
            </w:r>
          </w:p>
        </w:tc>
      </w:tr>
      <w:tr w:rsidR="003124AF" w:rsidRPr="008C4A39" w14:paraId="18FB38E9"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2192D4D2" w14:textId="4A834CCA" w:rsidR="003124AF" w:rsidRDefault="003124AF" w:rsidP="003124AF">
            <w:pPr>
              <w:spacing w:after="0"/>
              <w:jc w:val="left"/>
              <w:rPr>
                <w:szCs w:val="24"/>
              </w:rPr>
            </w:pPr>
            <w:r w:rsidRPr="008C4A39">
              <w:rPr>
                <w:szCs w:val="24"/>
              </w:rPr>
              <w:t xml:space="preserve">Bidder’s technical reasons supporting compliance:  </w:t>
            </w:r>
          </w:p>
        </w:tc>
      </w:tr>
      <w:tr w:rsidR="003124AF" w:rsidRPr="008C4A39" w14:paraId="6914F164"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20795094" w14:textId="18D5FF36" w:rsidR="003124AF" w:rsidRDefault="003124AF" w:rsidP="003124AF">
            <w:pPr>
              <w:spacing w:after="0"/>
              <w:jc w:val="left"/>
              <w:rPr>
                <w:szCs w:val="24"/>
              </w:rPr>
            </w:pPr>
            <w:r w:rsidRPr="008C4A39">
              <w:rPr>
                <w:szCs w:val="24"/>
              </w:rPr>
              <w:t>Bidder’s cross references to supporting information in Technical Bid:</w:t>
            </w:r>
          </w:p>
        </w:tc>
      </w:tr>
      <w:tr w:rsidR="003124AF" w:rsidRPr="008C4A39" w14:paraId="0A266784" w14:textId="4B1B0E35" w:rsidTr="001136D3">
        <w:tc>
          <w:tcPr>
            <w:tcW w:w="2245" w:type="dxa"/>
            <w:tcBorders>
              <w:top w:val="single" w:sz="4" w:space="0" w:color="auto"/>
              <w:left w:val="single" w:sz="4" w:space="0" w:color="auto"/>
              <w:bottom w:val="single" w:sz="4" w:space="0" w:color="auto"/>
              <w:right w:val="single" w:sz="4" w:space="0" w:color="auto"/>
            </w:tcBorders>
          </w:tcPr>
          <w:p w14:paraId="363AD5BC" w14:textId="54EE8B57" w:rsidR="003124AF" w:rsidRDefault="003124AF" w:rsidP="003124AF">
            <w:pPr>
              <w:spacing w:after="0"/>
              <w:jc w:val="left"/>
              <w:rPr>
                <w:szCs w:val="24"/>
              </w:rPr>
            </w:pPr>
            <w:r>
              <w:rPr>
                <w:szCs w:val="24"/>
              </w:rPr>
              <w:lastRenderedPageBreak/>
              <w:t>FR571</w:t>
            </w:r>
          </w:p>
        </w:tc>
        <w:tc>
          <w:tcPr>
            <w:tcW w:w="7110" w:type="dxa"/>
            <w:gridSpan w:val="2"/>
            <w:tcBorders>
              <w:top w:val="single" w:sz="4" w:space="0" w:color="auto"/>
              <w:left w:val="single" w:sz="4" w:space="0" w:color="auto"/>
              <w:bottom w:val="single" w:sz="4" w:space="0" w:color="auto"/>
              <w:right w:val="single" w:sz="4" w:space="0" w:color="auto"/>
            </w:tcBorders>
          </w:tcPr>
          <w:p w14:paraId="67FCEA88" w14:textId="07369B40" w:rsidR="003124AF" w:rsidRDefault="003124AF" w:rsidP="003124AF">
            <w:pPr>
              <w:spacing w:after="0"/>
              <w:jc w:val="left"/>
              <w:rPr>
                <w:szCs w:val="24"/>
              </w:rPr>
            </w:pPr>
            <w:r w:rsidRPr="00771711">
              <w:rPr>
                <w:szCs w:val="24"/>
              </w:rPr>
              <w:t>The system shall be able to allow future changes for updates (adding or modifying) applications for LPCO (in configuration, not programing).</w:t>
            </w:r>
          </w:p>
        </w:tc>
      </w:tr>
      <w:tr w:rsidR="003124AF" w:rsidRPr="008C4A39" w14:paraId="53A93F1D"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51A575E9" w14:textId="1D215B94" w:rsidR="003124AF" w:rsidRDefault="003124AF" w:rsidP="003124AF">
            <w:pPr>
              <w:spacing w:after="0"/>
              <w:jc w:val="left"/>
              <w:rPr>
                <w:szCs w:val="24"/>
              </w:rPr>
            </w:pPr>
            <w:r w:rsidRPr="008C4A39">
              <w:rPr>
                <w:szCs w:val="24"/>
              </w:rPr>
              <w:t xml:space="preserve">Bidder’s technical reasons supporting compliance:  </w:t>
            </w:r>
          </w:p>
        </w:tc>
      </w:tr>
      <w:tr w:rsidR="003124AF" w:rsidRPr="008C4A39" w14:paraId="40ABD935" w14:textId="77777777" w:rsidTr="00EA3B24">
        <w:tc>
          <w:tcPr>
            <w:tcW w:w="9355" w:type="dxa"/>
            <w:gridSpan w:val="3"/>
            <w:tcBorders>
              <w:top w:val="single" w:sz="4" w:space="0" w:color="auto"/>
              <w:left w:val="single" w:sz="4" w:space="0" w:color="auto"/>
              <w:bottom w:val="single" w:sz="4" w:space="0" w:color="auto"/>
              <w:right w:val="single" w:sz="4" w:space="0" w:color="auto"/>
            </w:tcBorders>
          </w:tcPr>
          <w:p w14:paraId="19E6A746" w14:textId="766CB715" w:rsidR="003124AF" w:rsidRDefault="003124AF" w:rsidP="003124AF">
            <w:pPr>
              <w:spacing w:after="0"/>
              <w:jc w:val="left"/>
              <w:rPr>
                <w:szCs w:val="24"/>
              </w:rPr>
            </w:pPr>
            <w:r w:rsidRPr="008C4A39">
              <w:rPr>
                <w:szCs w:val="24"/>
              </w:rPr>
              <w:t>Bidder’s cross references to supporting information in Technical Bid:</w:t>
            </w:r>
          </w:p>
        </w:tc>
      </w:tr>
    </w:tbl>
    <w:tbl>
      <w:tblPr>
        <w:tblStyle w:val="TableGrid3"/>
        <w:tblW w:w="9355" w:type="dxa"/>
        <w:tblLook w:val="04A0" w:firstRow="1" w:lastRow="0" w:firstColumn="1" w:lastColumn="0" w:noHBand="0" w:noVBand="1"/>
      </w:tblPr>
      <w:tblGrid>
        <w:gridCol w:w="2245"/>
        <w:gridCol w:w="7110"/>
      </w:tblGrid>
      <w:tr w:rsidR="00930D96" w:rsidRPr="00485B84" w14:paraId="406A5851" w14:textId="77777777" w:rsidTr="001136D3">
        <w:trPr>
          <w:tblHeader/>
        </w:trPr>
        <w:tc>
          <w:tcPr>
            <w:tcW w:w="2245" w:type="dxa"/>
            <w:shd w:val="clear" w:color="auto" w:fill="D9D9D9"/>
          </w:tcPr>
          <w:p w14:paraId="3E4435E4" w14:textId="77777777" w:rsidR="00930D96" w:rsidRPr="00485B84" w:rsidRDefault="00930D96" w:rsidP="00883B07">
            <w:pPr>
              <w:rPr>
                <w:rFonts w:ascii="Times New Roman" w:hAnsi="Times New Roman"/>
                <w:b/>
                <w:szCs w:val="24"/>
              </w:rPr>
            </w:pPr>
            <w:proofErr w:type="spellStart"/>
            <w:proofErr w:type="gramStart"/>
            <w:r w:rsidRPr="00485B84">
              <w:rPr>
                <w:rFonts w:ascii="Times New Roman" w:hAnsi="Times New Roman"/>
                <w:b/>
                <w:szCs w:val="24"/>
              </w:rPr>
              <w:t>Tech.Req.Number</w:t>
            </w:r>
            <w:proofErr w:type="spellEnd"/>
            <w:proofErr w:type="gramEnd"/>
          </w:p>
        </w:tc>
        <w:tc>
          <w:tcPr>
            <w:tcW w:w="7110" w:type="dxa"/>
            <w:shd w:val="clear" w:color="auto" w:fill="D9D9D9"/>
          </w:tcPr>
          <w:p w14:paraId="59D44BBC" w14:textId="77777777" w:rsidR="00930D96" w:rsidRPr="00485B84" w:rsidRDefault="00930D96" w:rsidP="00883B07">
            <w:pPr>
              <w:jc w:val="left"/>
              <w:rPr>
                <w:rFonts w:ascii="Times New Roman" w:hAnsi="Times New Roman"/>
                <w:b/>
                <w:szCs w:val="24"/>
              </w:rPr>
            </w:pPr>
            <w:r w:rsidRPr="00485B84">
              <w:rPr>
                <w:rFonts w:ascii="Times New Roman" w:hAnsi="Times New Roman"/>
                <w:b/>
                <w:szCs w:val="24"/>
              </w:rPr>
              <w:t>Technical Requirement</w:t>
            </w:r>
          </w:p>
        </w:tc>
      </w:tr>
      <w:tr w:rsidR="00930D96" w:rsidRPr="00485B84" w14:paraId="68D6905D" w14:textId="77777777" w:rsidTr="00883B07">
        <w:tc>
          <w:tcPr>
            <w:tcW w:w="9355" w:type="dxa"/>
            <w:gridSpan w:val="2"/>
            <w:vAlign w:val="bottom"/>
          </w:tcPr>
          <w:p w14:paraId="4ACB0047" w14:textId="77777777" w:rsidR="00930D96" w:rsidRPr="00485B84" w:rsidRDefault="00930D96" w:rsidP="00883B07">
            <w:pPr>
              <w:rPr>
                <w:rFonts w:ascii="Times New Roman" w:hAnsi="Times New Roman"/>
                <w:b/>
                <w:szCs w:val="24"/>
              </w:rPr>
            </w:pPr>
            <w:r w:rsidRPr="00485B84">
              <w:rPr>
                <w:rFonts w:ascii="Times New Roman" w:hAnsi="Times New Roman"/>
                <w:b/>
                <w:szCs w:val="24"/>
              </w:rPr>
              <w:t>1.2.10.1. Register Inspection Protocol Results</w:t>
            </w:r>
          </w:p>
        </w:tc>
      </w:tr>
      <w:tr w:rsidR="00930D96" w:rsidRPr="00485B84" w14:paraId="51909274" w14:textId="77777777" w:rsidTr="001136D3">
        <w:tc>
          <w:tcPr>
            <w:tcW w:w="2245" w:type="dxa"/>
            <w:vAlign w:val="bottom"/>
          </w:tcPr>
          <w:p w14:paraId="0A6D2132" w14:textId="078BA608" w:rsidR="00930D96" w:rsidRPr="00485B84" w:rsidRDefault="00930D96" w:rsidP="00DE1F8A">
            <w:pPr>
              <w:rPr>
                <w:rFonts w:ascii="Times New Roman" w:hAnsi="Times New Roman"/>
                <w:szCs w:val="24"/>
              </w:rPr>
            </w:pPr>
            <w:r w:rsidRPr="00DE1F8A">
              <w:rPr>
                <w:rFonts w:ascii="Times New Roman" w:hAnsi="Times New Roman"/>
                <w:szCs w:val="24"/>
              </w:rPr>
              <w:t>FR</w:t>
            </w:r>
            <w:r w:rsidR="00A150A1" w:rsidRPr="00DE1F8A">
              <w:rPr>
                <w:rFonts w:ascii="Times New Roman" w:hAnsi="Times New Roman"/>
                <w:szCs w:val="24"/>
              </w:rPr>
              <w:t>597</w:t>
            </w:r>
          </w:p>
        </w:tc>
        <w:tc>
          <w:tcPr>
            <w:tcW w:w="7110" w:type="dxa"/>
          </w:tcPr>
          <w:p w14:paraId="179F33BD" w14:textId="49DAB88B" w:rsidR="00930D96" w:rsidRPr="00485B84" w:rsidRDefault="00930D96" w:rsidP="00883B07">
            <w:pPr>
              <w:rPr>
                <w:rFonts w:ascii="Times New Roman" w:hAnsi="Times New Roman"/>
                <w:szCs w:val="24"/>
              </w:rPr>
            </w:pPr>
            <w:r w:rsidRPr="00485B84">
              <w:rPr>
                <w:rFonts w:ascii="Times New Roman" w:hAnsi="Times New Roman"/>
                <w:szCs w:val="24"/>
              </w:rPr>
              <w:t xml:space="preserve">The ICR must be able to receive notification </w:t>
            </w:r>
            <w:r w:rsidR="002D2765" w:rsidRPr="00DE1F8A">
              <w:rPr>
                <w:rFonts w:ascii="Times New Roman" w:hAnsi="Times New Roman"/>
                <w:szCs w:val="24"/>
              </w:rPr>
              <w:t>generated</w:t>
            </w:r>
            <w:r w:rsidR="002D2765">
              <w:rPr>
                <w:rFonts w:ascii="Times New Roman" w:hAnsi="Times New Roman"/>
                <w:szCs w:val="24"/>
              </w:rPr>
              <w:t xml:space="preserve"> </w:t>
            </w:r>
            <w:r w:rsidRPr="00485B84">
              <w:rPr>
                <w:rFonts w:ascii="Times New Roman" w:hAnsi="Times New Roman"/>
                <w:szCs w:val="24"/>
              </w:rPr>
              <w:t>by the Risk management component about the recommended inspection control.</w:t>
            </w:r>
          </w:p>
        </w:tc>
      </w:tr>
      <w:tr w:rsidR="00930D96" w:rsidRPr="00485B84" w14:paraId="2A2A9298" w14:textId="77777777" w:rsidTr="00883B07">
        <w:tc>
          <w:tcPr>
            <w:tcW w:w="9355" w:type="dxa"/>
            <w:gridSpan w:val="2"/>
            <w:vAlign w:val="bottom"/>
          </w:tcPr>
          <w:p w14:paraId="324F6035"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349C5879" w14:textId="77777777" w:rsidTr="00883B07">
        <w:tc>
          <w:tcPr>
            <w:tcW w:w="9355" w:type="dxa"/>
            <w:gridSpan w:val="2"/>
            <w:vAlign w:val="bottom"/>
          </w:tcPr>
          <w:p w14:paraId="3E4693AE"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243283D2" w14:textId="77777777" w:rsidTr="001136D3">
        <w:tc>
          <w:tcPr>
            <w:tcW w:w="2245" w:type="dxa"/>
            <w:vAlign w:val="bottom"/>
          </w:tcPr>
          <w:p w14:paraId="6CFAE0C3" w14:textId="77777777" w:rsidR="00930D96" w:rsidRPr="00485B84" w:rsidRDefault="00930D96" w:rsidP="00883B07">
            <w:pPr>
              <w:rPr>
                <w:rFonts w:ascii="Times New Roman" w:hAnsi="Times New Roman"/>
                <w:szCs w:val="24"/>
              </w:rPr>
            </w:pPr>
            <w:r w:rsidRPr="00485B84">
              <w:rPr>
                <w:rFonts w:ascii="Times New Roman" w:hAnsi="Times New Roman"/>
                <w:szCs w:val="24"/>
              </w:rPr>
              <w:t>FR189</w:t>
            </w:r>
          </w:p>
        </w:tc>
        <w:tc>
          <w:tcPr>
            <w:tcW w:w="7110" w:type="dxa"/>
          </w:tcPr>
          <w:p w14:paraId="6F8D8BA1" w14:textId="77777777" w:rsidR="00930D96" w:rsidRPr="00485B84" w:rsidRDefault="00930D96" w:rsidP="00883B07">
            <w:pPr>
              <w:rPr>
                <w:rFonts w:ascii="Times New Roman" w:hAnsi="Times New Roman"/>
                <w:szCs w:val="24"/>
              </w:rPr>
            </w:pPr>
            <w:r w:rsidRPr="00485B84">
              <w:rPr>
                <w:rFonts w:ascii="Times New Roman" w:hAnsi="Times New Roman"/>
                <w:szCs w:val="24"/>
              </w:rPr>
              <w:t>The ICR must allow the Inspector manager to draft inspection schedules and notify the inspectors.</w:t>
            </w:r>
          </w:p>
        </w:tc>
      </w:tr>
      <w:tr w:rsidR="00930D96" w:rsidRPr="00485B84" w14:paraId="7D399C63" w14:textId="77777777" w:rsidTr="00883B07">
        <w:tc>
          <w:tcPr>
            <w:tcW w:w="9355" w:type="dxa"/>
            <w:gridSpan w:val="2"/>
            <w:vAlign w:val="bottom"/>
          </w:tcPr>
          <w:p w14:paraId="40F7CB28"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541C4036" w14:textId="77777777" w:rsidTr="00883B07">
        <w:tc>
          <w:tcPr>
            <w:tcW w:w="9355" w:type="dxa"/>
            <w:gridSpan w:val="2"/>
            <w:vAlign w:val="bottom"/>
          </w:tcPr>
          <w:p w14:paraId="26318085"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0E78AEE4" w14:textId="77777777" w:rsidTr="001136D3">
        <w:tc>
          <w:tcPr>
            <w:tcW w:w="2245" w:type="dxa"/>
            <w:vAlign w:val="bottom"/>
          </w:tcPr>
          <w:p w14:paraId="5AD845E9" w14:textId="58ABA1D8" w:rsidR="00930D96" w:rsidRPr="00485B84" w:rsidRDefault="00930D96" w:rsidP="00DE1F8A">
            <w:pPr>
              <w:rPr>
                <w:rFonts w:ascii="Times New Roman" w:hAnsi="Times New Roman"/>
                <w:szCs w:val="24"/>
              </w:rPr>
            </w:pPr>
            <w:r w:rsidRPr="00DE1F8A">
              <w:rPr>
                <w:rFonts w:ascii="Times New Roman" w:hAnsi="Times New Roman"/>
                <w:szCs w:val="24"/>
              </w:rPr>
              <w:t>FR</w:t>
            </w:r>
            <w:r w:rsidR="008F4659" w:rsidRPr="00DE1F8A">
              <w:rPr>
                <w:rFonts w:ascii="Times New Roman" w:hAnsi="Times New Roman"/>
                <w:szCs w:val="24"/>
              </w:rPr>
              <w:t>597</w:t>
            </w:r>
          </w:p>
        </w:tc>
        <w:tc>
          <w:tcPr>
            <w:tcW w:w="7110" w:type="dxa"/>
          </w:tcPr>
          <w:p w14:paraId="35FEE3DF" w14:textId="77777777" w:rsidR="00930D96" w:rsidRPr="00485B84" w:rsidRDefault="00930D96" w:rsidP="00883B07">
            <w:pPr>
              <w:rPr>
                <w:rFonts w:ascii="Times New Roman" w:hAnsi="Times New Roman"/>
                <w:szCs w:val="24"/>
              </w:rPr>
            </w:pPr>
            <w:r w:rsidRPr="00485B84">
              <w:rPr>
                <w:rFonts w:ascii="Times New Roman" w:hAnsi="Times New Roman"/>
                <w:szCs w:val="24"/>
              </w:rPr>
              <w:t>The ICR must send the notification via the mobile app and/or email. The schedule must be captured in the calendar as well.</w:t>
            </w:r>
          </w:p>
        </w:tc>
      </w:tr>
      <w:tr w:rsidR="00930D96" w:rsidRPr="00485B84" w14:paraId="39606DF4" w14:textId="77777777" w:rsidTr="00883B07">
        <w:tc>
          <w:tcPr>
            <w:tcW w:w="9355" w:type="dxa"/>
            <w:gridSpan w:val="2"/>
            <w:vAlign w:val="bottom"/>
          </w:tcPr>
          <w:p w14:paraId="46DA223E"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6208D6D6" w14:textId="77777777" w:rsidTr="00883B07">
        <w:tc>
          <w:tcPr>
            <w:tcW w:w="9355" w:type="dxa"/>
            <w:gridSpan w:val="2"/>
            <w:vAlign w:val="bottom"/>
          </w:tcPr>
          <w:p w14:paraId="436703C8"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69380097" w14:textId="77777777" w:rsidTr="001136D3">
        <w:tc>
          <w:tcPr>
            <w:tcW w:w="2245" w:type="dxa"/>
            <w:vAlign w:val="bottom"/>
          </w:tcPr>
          <w:p w14:paraId="0826BF04" w14:textId="77777777" w:rsidR="00930D96" w:rsidRPr="00485B84" w:rsidRDefault="00930D96" w:rsidP="00883B07">
            <w:pPr>
              <w:rPr>
                <w:rFonts w:ascii="Times New Roman" w:hAnsi="Times New Roman"/>
                <w:szCs w:val="24"/>
              </w:rPr>
            </w:pPr>
            <w:r w:rsidRPr="00485B84">
              <w:rPr>
                <w:rFonts w:ascii="Times New Roman" w:hAnsi="Times New Roman"/>
                <w:szCs w:val="24"/>
              </w:rPr>
              <w:t>FR191</w:t>
            </w:r>
          </w:p>
        </w:tc>
        <w:tc>
          <w:tcPr>
            <w:tcW w:w="7110" w:type="dxa"/>
          </w:tcPr>
          <w:p w14:paraId="517AA5D0"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The ICR must allow the inspectors to provide data inputs in structured form, but in detailed textual form as well, and to upload any relevant information to support their findings, including X-Ray scans, </w:t>
            </w:r>
            <w:proofErr w:type="gramStart"/>
            <w:r w:rsidRPr="00485B84">
              <w:rPr>
                <w:rFonts w:ascii="Times New Roman" w:hAnsi="Times New Roman"/>
                <w:szCs w:val="24"/>
              </w:rPr>
              <w:t>photos</w:t>
            </w:r>
            <w:proofErr w:type="gramEnd"/>
            <w:r w:rsidRPr="00485B84">
              <w:rPr>
                <w:rFonts w:ascii="Times New Roman" w:hAnsi="Times New Roman"/>
                <w:szCs w:val="24"/>
              </w:rPr>
              <w:t xml:space="preserve"> and documents directly through their smart phone, tablet or laptop/computer from the shed/examination yard. </w:t>
            </w:r>
          </w:p>
        </w:tc>
      </w:tr>
      <w:tr w:rsidR="00930D96" w:rsidRPr="00485B84" w14:paraId="32F04FE0" w14:textId="77777777" w:rsidTr="00883B07">
        <w:tc>
          <w:tcPr>
            <w:tcW w:w="9355" w:type="dxa"/>
            <w:gridSpan w:val="2"/>
            <w:vAlign w:val="bottom"/>
          </w:tcPr>
          <w:p w14:paraId="247B8D81"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38FA53F9" w14:textId="77777777" w:rsidTr="00883B07">
        <w:tc>
          <w:tcPr>
            <w:tcW w:w="9355" w:type="dxa"/>
            <w:gridSpan w:val="2"/>
            <w:vAlign w:val="bottom"/>
          </w:tcPr>
          <w:p w14:paraId="48351F30"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53650A79" w14:textId="77777777" w:rsidTr="001136D3">
        <w:tc>
          <w:tcPr>
            <w:tcW w:w="2245" w:type="dxa"/>
            <w:vAlign w:val="bottom"/>
          </w:tcPr>
          <w:p w14:paraId="767441A2" w14:textId="77777777" w:rsidR="00930D96" w:rsidRPr="00485B84" w:rsidRDefault="00930D96" w:rsidP="00883B07">
            <w:pPr>
              <w:rPr>
                <w:rFonts w:ascii="Times New Roman" w:hAnsi="Times New Roman"/>
                <w:szCs w:val="24"/>
              </w:rPr>
            </w:pPr>
            <w:r w:rsidRPr="00485B84">
              <w:rPr>
                <w:rFonts w:ascii="Times New Roman" w:hAnsi="Times New Roman"/>
                <w:szCs w:val="24"/>
              </w:rPr>
              <w:t>FR192</w:t>
            </w:r>
          </w:p>
        </w:tc>
        <w:tc>
          <w:tcPr>
            <w:tcW w:w="7110" w:type="dxa"/>
          </w:tcPr>
          <w:p w14:paraId="6506DD4F" w14:textId="77777777" w:rsidR="00930D96" w:rsidRPr="00485B84" w:rsidRDefault="00930D96" w:rsidP="00883B07">
            <w:pPr>
              <w:rPr>
                <w:rFonts w:ascii="Times New Roman" w:hAnsi="Times New Roman"/>
                <w:szCs w:val="24"/>
              </w:rPr>
            </w:pPr>
            <w:r w:rsidRPr="00485B84">
              <w:rPr>
                <w:rFonts w:ascii="Times New Roman" w:hAnsi="Times New Roman"/>
                <w:szCs w:val="24"/>
              </w:rPr>
              <w:t>There should be no restrictions regarding the format of the associated documentation provided with an inspection order or inspection report; it shall be possible to associate text documents, videos, sound recordings, picture, etc.</w:t>
            </w:r>
          </w:p>
        </w:tc>
      </w:tr>
      <w:tr w:rsidR="00930D96" w:rsidRPr="00485B84" w14:paraId="1676D785" w14:textId="77777777" w:rsidTr="00883B07">
        <w:tc>
          <w:tcPr>
            <w:tcW w:w="9355" w:type="dxa"/>
            <w:gridSpan w:val="2"/>
            <w:vAlign w:val="bottom"/>
          </w:tcPr>
          <w:p w14:paraId="664F9793"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1668AFC2" w14:textId="77777777" w:rsidTr="00883B07">
        <w:tc>
          <w:tcPr>
            <w:tcW w:w="9355" w:type="dxa"/>
            <w:gridSpan w:val="2"/>
            <w:vAlign w:val="bottom"/>
          </w:tcPr>
          <w:p w14:paraId="6836B91E"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7D10E458" w14:textId="77777777" w:rsidTr="001136D3">
        <w:tc>
          <w:tcPr>
            <w:tcW w:w="2245" w:type="dxa"/>
          </w:tcPr>
          <w:p w14:paraId="492B629E" w14:textId="77777777" w:rsidR="00930D96" w:rsidRPr="00485B84" w:rsidRDefault="00930D96" w:rsidP="00883B07">
            <w:pPr>
              <w:rPr>
                <w:rFonts w:ascii="Times New Roman" w:hAnsi="Times New Roman"/>
                <w:szCs w:val="24"/>
              </w:rPr>
            </w:pPr>
            <w:r w:rsidRPr="00485B84">
              <w:rPr>
                <w:rFonts w:ascii="Times New Roman" w:hAnsi="Times New Roman"/>
                <w:szCs w:val="24"/>
              </w:rPr>
              <w:t>FR521</w:t>
            </w:r>
          </w:p>
        </w:tc>
        <w:tc>
          <w:tcPr>
            <w:tcW w:w="7110" w:type="dxa"/>
          </w:tcPr>
          <w:p w14:paraId="207329A2" w14:textId="77777777" w:rsidR="00930D96" w:rsidRPr="00485B84" w:rsidRDefault="00930D96" w:rsidP="00883B07">
            <w:pPr>
              <w:rPr>
                <w:rFonts w:ascii="Times New Roman" w:hAnsi="Times New Roman"/>
                <w:szCs w:val="24"/>
              </w:rPr>
            </w:pPr>
            <w:r w:rsidRPr="00485B84">
              <w:rPr>
                <w:rFonts w:ascii="Times New Roman" w:hAnsi="Times New Roman"/>
                <w:szCs w:val="24"/>
              </w:rPr>
              <w:t>The system must be able to register the control results</w:t>
            </w:r>
          </w:p>
        </w:tc>
      </w:tr>
      <w:tr w:rsidR="00930D96" w:rsidRPr="00485B84" w14:paraId="1D0EA094" w14:textId="77777777" w:rsidTr="00883B07">
        <w:tc>
          <w:tcPr>
            <w:tcW w:w="9355" w:type="dxa"/>
            <w:gridSpan w:val="2"/>
          </w:tcPr>
          <w:p w14:paraId="0C150287" w14:textId="77777777" w:rsidR="00930D96" w:rsidRPr="00485B84" w:rsidRDefault="00930D96" w:rsidP="00883B07">
            <w:pPr>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23D435E4" w14:textId="77777777" w:rsidTr="00883B07">
        <w:tc>
          <w:tcPr>
            <w:tcW w:w="9355" w:type="dxa"/>
            <w:gridSpan w:val="2"/>
          </w:tcPr>
          <w:p w14:paraId="553315B2" w14:textId="77777777" w:rsidR="00930D96" w:rsidRPr="00485B84" w:rsidRDefault="00930D96" w:rsidP="00883B07">
            <w:pPr>
              <w:rPr>
                <w:rFonts w:ascii="Times New Roman" w:hAnsi="Times New Roman"/>
                <w:szCs w:val="24"/>
              </w:rPr>
            </w:pPr>
            <w:r w:rsidRPr="00485B84">
              <w:rPr>
                <w:rFonts w:ascii="Times New Roman" w:hAnsi="Times New Roman"/>
                <w:szCs w:val="24"/>
              </w:rPr>
              <w:t>Bidder’s cross references to supporting information in Technical Bid:</w:t>
            </w:r>
          </w:p>
        </w:tc>
      </w:tr>
      <w:tr w:rsidR="00930D96" w:rsidRPr="00485B84" w14:paraId="5CBDF00D" w14:textId="77777777" w:rsidTr="001136D3">
        <w:tc>
          <w:tcPr>
            <w:tcW w:w="2245" w:type="dxa"/>
          </w:tcPr>
          <w:p w14:paraId="1F2438B5" w14:textId="77777777" w:rsidR="00930D96" w:rsidRPr="00485B84" w:rsidRDefault="00930D96" w:rsidP="00883B07">
            <w:pPr>
              <w:rPr>
                <w:rFonts w:ascii="Times New Roman" w:hAnsi="Times New Roman"/>
                <w:szCs w:val="24"/>
              </w:rPr>
            </w:pPr>
            <w:r w:rsidRPr="00485B84">
              <w:rPr>
                <w:rFonts w:ascii="Times New Roman" w:hAnsi="Times New Roman"/>
                <w:szCs w:val="24"/>
              </w:rPr>
              <w:lastRenderedPageBreak/>
              <w:t>FR525</w:t>
            </w:r>
          </w:p>
        </w:tc>
        <w:tc>
          <w:tcPr>
            <w:tcW w:w="7110" w:type="dxa"/>
          </w:tcPr>
          <w:p w14:paraId="4BA0392A" w14:textId="7763D34D" w:rsidR="00930D96" w:rsidRPr="00485B84" w:rsidRDefault="00930D96">
            <w:pPr>
              <w:jc w:val="left"/>
              <w:rPr>
                <w:rFonts w:ascii="Times New Roman" w:hAnsi="Times New Roman"/>
                <w:szCs w:val="24"/>
              </w:rPr>
            </w:pPr>
            <w:r w:rsidRPr="00485B84">
              <w:rPr>
                <w:rFonts w:ascii="Times New Roman" w:hAnsi="Times New Roman"/>
                <w:szCs w:val="24"/>
              </w:rPr>
              <w:t>The system must be able to transmit control results to the DWH and/or other IT systems</w:t>
            </w:r>
            <w:r w:rsidR="00247E28" w:rsidRPr="00485B84">
              <w:rPr>
                <w:rFonts w:ascii="Times New Roman" w:hAnsi="Times New Roman"/>
                <w:szCs w:val="24"/>
              </w:rPr>
              <w:t>.</w:t>
            </w:r>
          </w:p>
        </w:tc>
      </w:tr>
      <w:tr w:rsidR="00930D96" w:rsidRPr="00485B84" w14:paraId="3D277178" w14:textId="77777777" w:rsidTr="00883B07">
        <w:tc>
          <w:tcPr>
            <w:tcW w:w="9355" w:type="dxa"/>
            <w:gridSpan w:val="2"/>
          </w:tcPr>
          <w:p w14:paraId="7DAEFCDC" w14:textId="77777777" w:rsidR="00930D96" w:rsidRPr="00485B84" w:rsidRDefault="00930D96" w:rsidP="00883B07">
            <w:pPr>
              <w:jc w:val="left"/>
              <w:rPr>
                <w:rFonts w:ascii="Times New Roman" w:hAnsi="Times New Roman"/>
                <w:szCs w:val="24"/>
              </w:rPr>
            </w:pPr>
            <w:r w:rsidRPr="00485B84">
              <w:rPr>
                <w:rFonts w:ascii="Times New Roman" w:hAnsi="Times New Roman"/>
                <w:szCs w:val="24"/>
              </w:rPr>
              <w:t xml:space="preserve">Bidder’s technical reasons supporting compliance:  </w:t>
            </w:r>
          </w:p>
        </w:tc>
      </w:tr>
      <w:tr w:rsidR="00930D96" w:rsidRPr="00485B84" w14:paraId="77CFAAF6" w14:textId="77777777" w:rsidTr="00883B07">
        <w:tc>
          <w:tcPr>
            <w:tcW w:w="9355" w:type="dxa"/>
            <w:gridSpan w:val="2"/>
          </w:tcPr>
          <w:p w14:paraId="2D38D1A6" w14:textId="77777777" w:rsidR="00930D96" w:rsidRPr="00485B84" w:rsidRDefault="00930D96" w:rsidP="00883B07">
            <w:pPr>
              <w:jc w:val="left"/>
              <w:rPr>
                <w:rFonts w:ascii="Times New Roman" w:hAnsi="Times New Roman"/>
                <w:szCs w:val="24"/>
              </w:rPr>
            </w:pPr>
            <w:r w:rsidRPr="00485B84">
              <w:rPr>
                <w:rFonts w:ascii="Times New Roman" w:hAnsi="Times New Roman"/>
                <w:szCs w:val="24"/>
              </w:rPr>
              <w:t>Bidder’s cross references to supporting information in Technical Bid:</w:t>
            </w:r>
          </w:p>
        </w:tc>
      </w:tr>
    </w:tbl>
    <w:tbl>
      <w:tblPr>
        <w:tblStyle w:val="TableGrid1"/>
        <w:tblW w:w="9355" w:type="dxa"/>
        <w:tblLook w:val="04A0" w:firstRow="1" w:lastRow="0" w:firstColumn="1" w:lastColumn="0" w:noHBand="0" w:noVBand="1"/>
      </w:tblPr>
      <w:tblGrid>
        <w:gridCol w:w="2245"/>
        <w:gridCol w:w="7110"/>
      </w:tblGrid>
      <w:tr w:rsidR="00930D96" w:rsidRPr="008C4A39" w14:paraId="61A34AF6" w14:textId="77777777" w:rsidTr="001136D3">
        <w:trPr>
          <w:tblHeader/>
        </w:trPr>
        <w:tc>
          <w:tcPr>
            <w:tcW w:w="2245" w:type="dxa"/>
            <w:tcBorders>
              <w:right w:val="single" w:sz="4" w:space="0" w:color="auto"/>
            </w:tcBorders>
            <w:shd w:val="clear" w:color="auto" w:fill="D9D9D9"/>
          </w:tcPr>
          <w:p w14:paraId="1D3D3DAD" w14:textId="77777777" w:rsidR="00930D96" w:rsidRPr="008C4A39" w:rsidRDefault="00930D96" w:rsidP="00883B07">
            <w:pPr>
              <w:spacing w:after="60"/>
              <w:ind w:left="738" w:right="-14" w:hanging="738"/>
              <w:jc w:val="left"/>
              <w:rPr>
                <w:b/>
                <w:szCs w:val="24"/>
              </w:rPr>
            </w:pPr>
            <w:proofErr w:type="spellStart"/>
            <w:proofErr w:type="gramStart"/>
            <w:r w:rsidRPr="008C4A39">
              <w:rPr>
                <w:b/>
                <w:szCs w:val="24"/>
              </w:rPr>
              <w:t>Tech.Req.Number</w:t>
            </w:r>
            <w:proofErr w:type="spellEnd"/>
            <w:proofErr w:type="gramEnd"/>
          </w:p>
        </w:tc>
        <w:tc>
          <w:tcPr>
            <w:tcW w:w="7110" w:type="dxa"/>
            <w:tcBorders>
              <w:top w:val="single" w:sz="4" w:space="0" w:color="auto"/>
              <w:left w:val="single" w:sz="4" w:space="0" w:color="auto"/>
              <w:bottom w:val="single" w:sz="4" w:space="0" w:color="auto"/>
              <w:right w:val="single" w:sz="4" w:space="0" w:color="auto"/>
            </w:tcBorders>
            <w:shd w:val="clear" w:color="auto" w:fill="D9D9D9"/>
          </w:tcPr>
          <w:p w14:paraId="5173C6ED" w14:textId="77777777" w:rsidR="00930D96" w:rsidRPr="008C4A39" w:rsidRDefault="00930D96" w:rsidP="00883B07">
            <w:pPr>
              <w:spacing w:after="60"/>
              <w:jc w:val="left"/>
              <w:rPr>
                <w:b/>
                <w:szCs w:val="24"/>
              </w:rPr>
            </w:pPr>
            <w:r w:rsidRPr="008C4A39">
              <w:rPr>
                <w:b/>
                <w:szCs w:val="24"/>
              </w:rPr>
              <w:t>Technical Requirement</w:t>
            </w:r>
          </w:p>
        </w:tc>
      </w:tr>
      <w:tr w:rsidR="00930D96" w:rsidRPr="008C4A39" w14:paraId="4C97FBBB" w14:textId="77777777" w:rsidTr="00883B07">
        <w:tc>
          <w:tcPr>
            <w:tcW w:w="9355" w:type="dxa"/>
            <w:gridSpan w:val="2"/>
            <w:tcBorders>
              <w:right w:val="single" w:sz="4" w:space="0" w:color="auto"/>
            </w:tcBorders>
            <w:vAlign w:val="bottom"/>
          </w:tcPr>
          <w:p w14:paraId="507FA98A" w14:textId="77777777" w:rsidR="00930D96" w:rsidRPr="008C4A39" w:rsidRDefault="00930D96" w:rsidP="00883B07">
            <w:pPr>
              <w:spacing w:after="60"/>
              <w:rPr>
                <w:b/>
                <w:szCs w:val="24"/>
              </w:rPr>
            </w:pPr>
            <w:r w:rsidRPr="008C4A39">
              <w:rPr>
                <w:b/>
                <w:szCs w:val="24"/>
              </w:rPr>
              <w:t>1.2.11.1. NSW Document and Content Management Functional Requirements</w:t>
            </w:r>
          </w:p>
        </w:tc>
      </w:tr>
      <w:tr w:rsidR="00930D96" w:rsidRPr="008C4A39" w14:paraId="0D3C1C90" w14:textId="77777777" w:rsidTr="001136D3">
        <w:tc>
          <w:tcPr>
            <w:tcW w:w="2245" w:type="dxa"/>
            <w:tcBorders>
              <w:right w:val="single" w:sz="4" w:space="0" w:color="auto"/>
            </w:tcBorders>
            <w:vAlign w:val="bottom"/>
          </w:tcPr>
          <w:p w14:paraId="7DA124A6" w14:textId="77777777" w:rsidR="00930D96" w:rsidRPr="008C4A39" w:rsidRDefault="00930D96" w:rsidP="00883B07">
            <w:pPr>
              <w:spacing w:after="60"/>
              <w:ind w:left="738" w:right="-14" w:hanging="738"/>
              <w:jc w:val="left"/>
              <w:rPr>
                <w:szCs w:val="24"/>
              </w:rPr>
            </w:pPr>
            <w:r w:rsidRPr="008C4A39">
              <w:rPr>
                <w:szCs w:val="24"/>
              </w:rPr>
              <w:t>FR193</w:t>
            </w:r>
          </w:p>
        </w:tc>
        <w:tc>
          <w:tcPr>
            <w:tcW w:w="7110" w:type="dxa"/>
            <w:tcBorders>
              <w:top w:val="single" w:sz="4" w:space="0" w:color="auto"/>
              <w:left w:val="single" w:sz="4" w:space="0" w:color="auto"/>
              <w:bottom w:val="single" w:sz="4" w:space="0" w:color="auto"/>
              <w:right w:val="single" w:sz="4" w:space="0" w:color="auto"/>
            </w:tcBorders>
          </w:tcPr>
          <w:p w14:paraId="2A07EDD7" w14:textId="77777777" w:rsidR="00930D96" w:rsidRPr="008C4A39" w:rsidRDefault="00930D96" w:rsidP="00883B07">
            <w:pPr>
              <w:spacing w:after="60"/>
              <w:rPr>
                <w:szCs w:val="24"/>
              </w:rPr>
            </w:pPr>
            <w:r w:rsidRPr="008C4A39">
              <w:rPr>
                <w:szCs w:val="24"/>
              </w:rPr>
              <w:t xml:space="preserve">The CDWMS shall provide functionality to publish different types of content that includes </w:t>
            </w:r>
            <w:proofErr w:type="spellStart"/>
            <w:r w:rsidRPr="008C4A39">
              <w:rPr>
                <w:szCs w:val="24"/>
              </w:rPr>
              <w:t>eForms</w:t>
            </w:r>
            <w:proofErr w:type="spellEnd"/>
            <w:r w:rsidRPr="008C4A39">
              <w:rPr>
                <w:szCs w:val="24"/>
              </w:rPr>
              <w:t xml:space="preserve">, documents, </w:t>
            </w:r>
            <w:proofErr w:type="gramStart"/>
            <w:r w:rsidRPr="008C4A39">
              <w:rPr>
                <w:szCs w:val="24"/>
              </w:rPr>
              <w:t>media</w:t>
            </w:r>
            <w:proofErr w:type="gramEnd"/>
            <w:r w:rsidRPr="008C4A39">
              <w:rPr>
                <w:szCs w:val="24"/>
              </w:rPr>
              <w:t xml:space="preserve"> and other rich web content.</w:t>
            </w:r>
          </w:p>
        </w:tc>
      </w:tr>
      <w:tr w:rsidR="00930D96" w:rsidRPr="008C4A39" w14:paraId="358583E0" w14:textId="77777777" w:rsidTr="00883B07">
        <w:tc>
          <w:tcPr>
            <w:tcW w:w="9355" w:type="dxa"/>
            <w:gridSpan w:val="2"/>
            <w:tcBorders>
              <w:right w:val="single" w:sz="4" w:space="0" w:color="auto"/>
            </w:tcBorders>
            <w:vAlign w:val="bottom"/>
          </w:tcPr>
          <w:p w14:paraId="5620706A"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3259356C" w14:textId="77777777" w:rsidTr="00883B07">
        <w:tc>
          <w:tcPr>
            <w:tcW w:w="9355" w:type="dxa"/>
            <w:gridSpan w:val="2"/>
            <w:tcBorders>
              <w:right w:val="single" w:sz="4" w:space="0" w:color="auto"/>
            </w:tcBorders>
            <w:vAlign w:val="bottom"/>
          </w:tcPr>
          <w:p w14:paraId="5E20FB65"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705EB005" w14:textId="77777777" w:rsidTr="001136D3">
        <w:tc>
          <w:tcPr>
            <w:tcW w:w="2245" w:type="dxa"/>
            <w:tcBorders>
              <w:right w:val="single" w:sz="4" w:space="0" w:color="auto"/>
            </w:tcBorders>
            <w:vAlign w:val="bottom"/>
          </w:tcPr>
          <w:p w14:paraId="23634102" w14:textId="77777777" w:rsidR="00930D96" w:rsidRPr="008C4A39" w:rsidRDefault="00930D96" w:rsidP="00883B07">
            <w:pPr>
              <w:spacing w:after="60"/>
              <w:ind w:left="738" w:right="-14" w:hanging="738"/>
              <w:jc w:val="left"/>
              <w:rPr>
                <w:szCs w:val="24"/>
              </w:rPr>
            </w:pPr>
            <w:r w:rsidRPr="008C4A39">
              <w:rPr>
                <w:szCs w:val="24"/>
              </w:rPr>
              <w:t>FR194</w:t>
            </w:r>
          </w:p>
        </w:tc>
        <w:tc>
          <w:tcPr>
            <w:tcW w:w="7110" w:type="dxa"/>
            <w:tcBorders>
              <w:top w:val="single" w:sz="4" w:space="0" w:color="auto"/>
              <w:left w:val="single" w:sz="4" w:space="0" w:color="auto"/>
              <w:bottom w:val="single" w:sz="4" w:space="0" w:color="auto"/>
              <w:right w:val="single" w:sz="4" w:space="0" w:color="auto"/>
            </w:tcBorders>
          </w:tcPr>
          <w:p w14:paraId="31C1BC39" w14:textId="77777777" w:rsidR="00930D96" w:rsidRPr="008C4A39" w:rsidRDefault="00930D96" w:rsidP="00883B07">
            <w:pPr>
              <w:spacing w:after="60"/>
              <w:rPr>
                <w:szCs w:val="24"/>
              </w:rPr>
            </w:pPr>
            <w:r w:rsidRPr="008C4A39">
              <w:rPr>
                <w:szCs w:val="24"/>
              </w:rPr>
              <w:t>The CDWMS must be capable to store both structured and unstructured documents and associate metadata to the stored document.</w:t>
            </w:r>
          </w:p>
        </w:tc>
      </w:tr>
      <w:tr w:rsidR="00930D96" w:rsidRPr="008C4A39" w14:paraId="690BA1A2" w14:textId="77777777" w:rsidTr="00883B07">
        <w:tc>
          <w:tcPr>
            <w:tcW w:w="9355" w:type="dxa"/>
            <w:gridSpan w:val="2"/>
            <w:tcBorders>
              <w:right w:val="single" w:sz="4" w:space="0" w:color="auto"/>
            </w:tcBorders>
            <w:vAlign w:val="bottom"/>
          </w:tcPr>
          <w:p w14:paraId="7B939D6F"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2E0E2B2D" w14:textId="77777777" w:rsidTr="00883B07">
        <w:tc>
          <w:tcPr>
            <w:tcW w:w="9355" w:type="dxa"/>
            <w:gridSpan w:val="2"/>
            <w:tcBorders>
              <w:right w:val="single" w:sz="4" w:space="0" w:color="auto"/>
            </w:tcBorders>
            <w:vAlign w:val="bottom"/>
          </w:tcPr>
          <w:p w14:paraId="7E44BCDB"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1A5610A3" w14:textId="77777777" w:rsidTr="001136D3">
        <w:tc>
          <w:tcPr>
            <w:tcW w:w="2245" w:type="dxa"/>
            <w:tcBorders>
              <w:right w:val="single" w:sz="4" w:space="0" w:color="auto"/>
            </w:tcBorders>
            <w:vAlign w:val="bottom"/>
          </w:tcPr>
          <w:p w14:paraId="709B1C82" w14:textId="77777777" w:rsidR="00930D96" w:rsidRPr="008C4A39" w:rsidRDefault="00930D96" w:rsidP="00883B07">
            <w:pPr>
              <w:spacing w:after="60"/>
              <w:ind w:left="738" w:right="-14" w:hanging="738"/>
              <w:jc w:val="left"/>
              <w:rPr>
                <w:szCs w:val="24"/>
              </w:rPr>
            </w:pPr>
            <w:r w:rsidRPr="008C4A39">
              <w:rPr>
                <w:szCs w:val="24"/>
              </w:rPr>
              <w:t>FR195</w:t>
            </w:r>
          </w:p>
        </w:tc>
        <w:tc>
          <w:tcPr>
            <w:tcW w:w="7110" w:type="dxa"/>
            <w:tcBorders>
              <w:top w:val="single" w:sz="4" w:space="0" w:color="auto"/>
              <w:left w:val="single" w:sz="4" w:space="0" w:color="auto"/>
              <w:bottom w:val="single" w:sz="4" w:space="0" w:color="auto"/>
              <w:right w:val="single" w:sz="4" w:space="0" w:color="auto"/>
            </w:tcBorders>
          </w:tcPr>
          <w:p w14:paraId="09A1AC27" w14:textId="77777777" w:rsidR="00930D96" w:rsidRPr="008C4A39" w:rsidRDefault="00930D96" w:rsidP="00883B07">
            <w:pPr>
              <w:spacing w:after="60"/>
              <w:rPr>
                <w:szCs w:val="24"/>
              </w:rPr>
            </w:pPr>
            <w:r w:rsidRPr="008C4A39">
              <w:rPr>
                <w:szCs w:val="24"/>
              </w:rPr>
              <w:t>There should no restriction regarding the format of the document to be stored; it must be possible to store text documents, films, sound recordings, pictures, etc.</w:t>
            </w:r>
          </w:p>
        </w:tc>
      </w:tr>
      <w:tr w:rsidR="00930D96" w:rsidRPr="008C4A39" w14:paraId="2522014E" w14:textId="77777777" w:rsidTr="00883B07">
        <w:tc>
          <w:tcPr>
            <w:tcW w:w="9355" w:type="dxa"/>
            <w:gridSpan w:val="2"/>
            <w:tcBorders>
              <w:right w:val="single" w:sz="4" w:space="0" w:color="auto"/>
            </w:tcBorders>
            <w:vAlign w:val="bottom"/>
          </w:tcPr>
          <w:p w14:paraId="72C90717"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182BC38F" w14:textId="77777777" w:rsidTr="00883B07">
        <w:tc>
          <w:tcPr>
            <w:tcW w:w="9355" w:type="dxa"/>
            <w:gridSpan w:val="2"/>
            <w:tcBorders>
              <w:right w:val="single" w:sz="4" w:space="0" w:color="auto"/>
            </w:tcBorders>
            <w:vAlign w:val="bottom"/>
          </w:tcPr>
          <w:p w14:paraId="2498E23B"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04D49F16" w14:textId="77777777" w:rsidTr="001136D3">
        <w:tc>
          <w:tcPr>
            <w:tcW w:w="2245" w:type="dxa"/>
            <w:tcBorders>
              <w:right w:val="single" w:sz="4" w:space="0" w:color="auto"/>
            </w:tcBorders>
            <w:vAlign w:val="bottom"/>
          </w:tcPr>
          <w:p w14:paraId="61F9FB6C" w14:textId="77777777" w:rsidR="00930D96" w:rsidRPr="008C4A39" w:rsidRDefault="00930D96" w:rsidP="00883B07">
            <w:pPr>
              <w:spacing w:after="60"/>
              <w:ind w:left="738" w:right="-14" w:hanging="738"/>
              <w:jc w:val="left"/>
              <w:rPr>
                <w:szCs w:val="24"/>
              </w:rPr>
            </w:pPr>
            <w:r w:rsidRPr="008C4A39">
              <w:rPr>
                <w:szCs w:val="24"/>
              </w:rPr>
              <w:t>FR196</w:t>
            </w:r>
          </w:p>
        </w:tc>
        <w:tc>
          <w:tcPr>
            <w:tcW w:w="7110" w:type="dxa"/>
            <w:tcBorders>
              <w:top w:val="single" w:sz="4" w:space="0" w:color="auto"/>
              <w:left w:val="single" w:sz="4" w:space="0" w:color="auto"/>
              <w:bottom w:val="single" w:sz="4" w:space="0" w:color="auto"/>
              <w:right w:val="single" w:sz="4" w:space="0" w:color="auto"/>
            </w:tcBorders>
          </w:tcPr>
          <w:p w14:paraId="4E2F3A19" w14:textId="77777777" w:rsidR="00930D96" w:rsidRPr="008C4A39" w:rsidRDefault="00930D96" w:rsidP="00883B07">
            <w:pPr>
              <w:spacing w:after="60"/>
              <w:rPr>
                <w:szCs w:val="24"/>
              </w:rPr>
            </w:pPr>
            <w:r w:rsidRPr="008C4A39">
              <w:rPr>
                <w:szCs w:val="24"/>
              </w:rPr>
              <w:t>The CDWMS must be able to store and manage several versions of the same document and provide traceability of versions.</w:t>
            </w:r>
          </w:p>
        </w:tc>
      </w:tr>
      <w:tr w:rsidR="00930D96" w:rsidRPr="008C4A39" w14:paraId="359DA172" w14:textId="77777777" w:rsidTr="00883B07">
        <w:tc>
          <w:tcPr>
            <w:tcW w:w="9355" w:type="dxa"/>
            <w:gridSpan w:val="2"/>
            <w:tcBorders>
              <w:right w:val="single" w:sz="4" w:space="0" w:color="auto"/>
            </w:tcBorders>
            <w:vAlign w:val="bottom"/>
          </w:tcPr>
          <w:p w14:paraId="6BE7C5D6"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7EF6C0F0" w14:textId="77777777" w:rsidTr="00883B07">
        <w:tc>
          <w:tcPr>
            <w:tcW w:w="9355" w:type="dxa"/>
            <w:gridSpan w:val="2"/>
            <w:tcBorders>
              <w:right w:val="single" w:sz="4" w:space="0" w:color="auto"/>
            </w:tcBorders>
            <w:vAlign w:val="bottom"/>
          </w:tcPr>
          <w:p w14:paraId="7B47723E"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31A4D7F0" w14:textId="77777777" w:rsidTr="001136D3">
        <w:tc>
          <w:tcPr>
            <w:tcW w:w="2245" w:type="dxa"/>
            <w:tcBorders>
              <w:right w:val="single" w:sz="4" w:space="0" w:color="auto"/>
            </w:tcBorders>
            <w:vAlign w:val="bottom"/>
          </w:tcPr>
          <w:p w14:paraId="5B54A050" w14:textId="77777777" w:rsidR="00930D96" w:rsidRPr="008C4A39" w:rsidRDefault="00930D96" w:rsidP="00883B07">
            <w:pPr>
              <w:spacing w:after="60"/>
              <w:ind w:left="738" w:right="-14" w:hanging="738"/>
              <w:jc w:val="left"/>
              <w:rPr>
                <w:szCs w:val="24"/>
              </w:rPr>
            </w:pPr>
            <w:r w:rsidRPr="008C4A39">
              <w:rPr>
                <w:szCs w:val="24"/>
              </w:rPr>
              <w:t>FR197</w:t>
            </w:r>
          </w:p>
        </w:tc>
        <w:tc>
          <w:tcPr>
            <w:tcW w:w="7110" w:type="dxa"/>
            <w:tcBorders>
              <w:top w:val="single" w:sz="4" w:space="0" w:color="auto"/>
              <w:left w:val="single" w:sz="4" w:space="0" w:color="auto"/>
              <w:bottom w:val="single" w:sz="4" w:space="0" w:color="auto"/>
              <w:right w:val="single" w:sz="4" w:space="0" w:color="auto"/>
            </w:tcBorders>
          </w:tcPr>
          <w:p w14:paraId="5896F0E8" w14:textId="77777777" w:rsidR="00930D96" w:rsidRPr="008C4A39" w:rsidRDefault="00930D96" w:rsidP="00883B07">
            <w:pPr>
              <w:spacing w:after="60"/>
              <w:rPr>
                <w:szCs w:val="24"/>
              </w:rPr>
            </w:pPr>
            <w:r w:rsidRPr="008C4A39">
              <w:rPr>
                <w:szCs w:val="24"/>
              </w:rPr>
              <w:t>The CDWMS must be capable to handle multiple user requests of the same document and optimistic locking must be supported to ensure efficiency.</w:t>
            </w:r>
          </w:p>
        </w:tc>
      </w:tr>
      <w:tr w:rsidR="00930D96" w:rsidRPr="008C4A39" w14:paraId="4E9075E4" w14:textId="77777777" w:rsidTr="00883B07">
        <w:tc>
          <w:tcPr>
            <w:tcW w:w="9355" w:type="dxa"/>
            <w:gridSpan w:val="2"/>
            <w:tcBorders>
              <w:right w:val="single" w:sz="4" w:space="0" w:color="auto"/>
            </w:tcBorders>
            <w:vAlign w:val="bottom"/>
          </w:tcPr>
          <w:p w14:paraId="1BFCDBFF"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167D4459" w14:textId="77777777" w:rsidTr="00883B07">
        <w:tc>
          <w:tcPr>
            <w:tcW w:w="9355" w:type="dxa"/>
            <w:gridSpan w:val="2"/>
            <w:tcBorders>
              <w:right w:val="single" w:sz="4" w:space="0" w:color="auto"/>
            </w:tcBorders>
            <w:vAlign w:val="bottom"/>
          </w:tcPr>
          <w:p w14:paraId="170784C5"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379623E0" w14:textId="77777777" w:rsidTr="001136D3">
        <w:tc>
          <w:tcPr>
            <w:tcW w:w="2245" w:type="dxa"/>
            <w:tcBorders>
              <w:right w:val="single" w:sz="4" w:space="0" w:color="auto"/>
            </w:tcBorders>
            <w:vAlign w:val="bottom"/>
          </w:tcPr>
          <w:p w14:paraId="5EB3C872" w14:textId="77777777" w:rsidR="00930D96" w:rsidRPr="008C4A39" w:rsidRDefault="00930D96" w:rsidP="00883B07">
            <w:pPr>
              <w:spacing w:after="60"/>
              <w:ind w:left="738" w:right="-14" w:hanging="738"/>
              <w:jc w:val="left"/>
              <w:rPr>
                <w:szCs w:val="24"/>
              </w:rPr>
            </w:pPr>
            <w:r w:rsidRPr="008C4A39">
              <w:rPr>
                <w:szCs w:val="24"/>
              </w:rPr>
              <w:t>FR198</w:t>
            </w:r>
          </w:p>
        </w:tc>
        <w:tc>
          <w:tcPr>
            <w:tcW w:w="7110" w:type="dxa"/>
            <w:tcBorders>
              <w:top w:val="single" w:sz="4" w:space="0" w:color="auto"/>
              <w:left w:val="single" w:sz="4" w:space="0" w:color="auto"/>
              <w:bottom w:val="single" w:sz="4" w:space="0" w:color="auto"/>
              <w:right w:val="single" w:sz="4" w:space="0" w:color="auto"/>
            </w:tcBorders>
          </w:tcPr>
          <w:p w14:paraId="321DAD82" w14:textId="77777777" w:rsidR="00930D96" w:rsidRPr="008C4A39" w:rsidRDefault="00930D96" w:rsidP="00883B07">
            <w:pPr>
              <w:spacing w:after="60"/>
              <w:rPr>
                <w:szCs w:val="24"/>
              </w:rPr>
            </w:pPr>
            <w:r w:rsidRPr="008C4A39">
              <w:rPr>
                <w:szCs w:val="24"/>
              </w:rPr>
              <w:t>The CDWMS must support designing and processing of e-forms. The e-forms shall be possible to link to a workflow for processing.</w:t>
            </w:r>
          </w:p>
        </w:tc>
      </w:tr>
      <w:tr w:rsidR="00930D96" w:rsidRPr="008C4A39" w14:paraId="79080417" w14:textId="77777777" w:rsidTr="00883B07">
        <w:tc>
          <w:tcPr>
            <w:tcW w:w="9355" w:type="dxa"/>
            <w:gridSpan w:val="2"/>
            <w:tcBorders>
              <w:right w:val="single" w:sz="4" w:space="0" w:color="auto"/>
            </w:tcBorders>
            <w:vAlign w:val="bottom"/>
          </w:tcPr>
          <w:p w14:paraId="15EB2570"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4BA65765" w14:textId="77777777" w:rsidTr="00883B07">
        <w:tc>
          <w:tcPr>
            <w:tcW w:w="9355" w:type="dxa"/>
            <w:gridSpan w:val="2"/>
            <w:tcBorders>
              <w:right w:val="single" w:sz="4" w:space="0" w:color="auto"/>
            </w:tcBorders>
            <w:vAlign w:val="bottom"/>
          </w:tcPr>
          <w:p w14:paraId="4391CE5B"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22A55643" w14:textId="77777777" w:rsidTr="001136D3">
        <w:tc>
          <w:tcPr>
            <w:tcW w:w="2245" w:type="dxa"/>
            <w:tcBorders>
              <w:right w:val="single" w:sz="4" w:space="0" w:color="auto"/>
            </w:tcBorders>
            <w:vAlign w:val="bottom"/>
          </w:tcPr>
          <w:p w14:paraId="47738B78" w14:textId="77777777" w:rsidR="00930D96" w:rsidRPr="008C4A39" w:rsidRDefault="00930D96" w:rsidP="00883B07">
            <w:pPr>
              <w:spacing w:after="60"/>
              <w:ind w:left="738" w:right="-14" w:hanging="738"/>
              <w:jc w:val="left"/>
              <w:rPr>
                <w:szCs w:val="24"/>
              </w:rPr>
            </w:pPr>
            <w:r w:rsidRPr="008C4A39">
              <w:rPr>
                <w:szCs w:val="24"/>
              </w:rPr>
              <w:t>FR199</w:t>
            </w:r>
          </w:p>
        </w:tc>
        <w:tc>
          <w:tcPr>
            <w:tcW w:w="7110" w:type="dxa"/>
            <w:tcBorders>
              <w:top w:val="single" w:sz="4" w:space="0" w:color="auto"/>
              <w:left w:val="single" w:sz="4" w:space="0" w:color="auto"/>
              <w:bottom w:val="single" w:sz="4" w:space="0" w:color="auto"/>
              <w:right w:val="single" w:sz="4" w:space="0" w:color="auto"/>
            </w:tcBorders>
          </w:tcPr>
          <w:p w14:paraId="36BA42E7" w14:textId="77777777" w:rsidR="00930D96" w:rsidRPr="008C4A39" w:rsidRDefault="00930D96" w:rsidP="00883B07">
            <w:pPr>
              <w:spacing w:after="60"/>
              <w:rPr>
                <w:szCs w:val="24"/>
              </w:rPr>
            </w:pPr>
            <w:r w:rsidRPr="008C4A39">
              <w:rPr>
                <w:szCs w:val="24"/>
              </w:rPr>
              <w:t xml:space="preserve">It shall be possible to define a workflow for different document types enabling a pre-defined process to be executed when certain types of documents are stored, </w:t>
            </w:r>
            <w:proofErr w:type="gramStart"/>
            <w:r w:rsidRPr="008C4A39">
              <w:rPr>
                <w:szCs w:val="24"/>
              </w:rPr>
              <w:t>updated</w:t>
            </w:r>
            <w:proofErr w:type="gramEnd"/>
            <w:r w:rsidRPr="008C4A39">
              <w:rPr>
                <w:szCs w:val="24"/>
              </w:rPr>
              <w:t xml:space="preserve"> or deleted. A graphical user interface used when managing workflows should be provided.</w:t>
            </w:r>
          </w:p>
        </w:tc>
      </w:tr>
      <w:tr w:rsidR="00930D96" w:rsidRPr="008C4A39" w14:paraId="41834A52" w14:textId="77777777" w:rsidTr="00883B07">
        <w:tc>
          <w:tcPr>
            <w:tcW w:w="9355" w:type="dxa"/>
            <w:gridSpan w:val="2"/>
            <w:tcBorders>
              <w:right w:val="single" w:sz="4" w:space="0" w:color="auto"/>
            </w:tcBorders>
            <w:vAlign w:val="bottom"/>
          </w:tcPr>
          <w:p w14:paraId="3BEB009D"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42D67BA9" w14:textId="77777777" w:rsidTr="00883B07">
        <w:tc>
          <w:tcPr>
            <w:tcW w:w="9355" w:type="dxa"/>
            <w:gridSpan w:val="2"/>
            <w:tcBorders>
              <w:right w:val="single" w:sz="4" w:space="0" w:color="auto"/>
            </w:tcBorders>
            <w:vAlign w:val="bottom"/>
          </w:tcPr>
          <w:p w14:paraId="64C709F9" w14:textId="77777777" w:rsidR="00930D96" w:rsidRPr="008C4A39" w:rsidRDefault="00930D96" w:rsidP="00883B07">
            <w:pPr>
              <w:spacing w:after="60"/>
              <w:rPr>
                <w:szCs w:val="24"/>
              </w:rPr>
            </w:pPr>
            <w:r w:rsidRPr="008C4A39">
              <w:rPr>
                <w:szCs w:val="24"/>
              </w:rPr>
              <w:lastRenderedPageBreak/>
              <w:t>Bidder’s cross references to supporting information in Technical Bid:</w:t>
            </w:r>
          </w:p>
        </w:tc>
      </w:tr>
      <w:tr w:rsidR="00930D96" w:rsidRPr="008C4A39" w14:paraId="1724798B" w14:textId="77777777" w:rsidTr="001136D3">
        <w:tc>
          <w:tcPr>
            <w:tcW w:w="2245" w:type="dxa"/>
            <w:tcBorders>
              <w:right w:val="single" w:sz="4" w:space="0" w:color="auto"/>
            </w:tcBorders>
            <w:vAlign w:val="bottom"/>
          </w:tcPr>
          <w:p w14:paraId="3952D2F1" w14:textId="77777777" w:rsidR="00930D96" w:rsidRPr="008C4A39" w:rsidRDefault="00930D96" w:rsidP="00883B07">
            <w:pPr>
              <w:spacing w:after="60"/>
              <w:ind w:left="738" w:right="-14" w:hanging="738"/>
              <w:jc w:val="left"/>
              <w:rPr>
                <w:szCs w:val="24"/>
              </w:rPr>
            </w:pPr>
            <w:r w:rsidRPr="008C4A39">
              <w:rPr>
                <w:szCs w:val="24"/>
              </w:rPr>
              <w:t>FR200</w:t>
            </w:r>
          </w:p>
        </w:tc>
        <w:tc>
          <w:tcPr>
            <w:tcW w:w="7110" w:type="dxa"/>
            <w:tcBorders>
              <w:top w:val="single" w:sz="4" w:space="0" w:color="auto"/>
              <w:left w:val="single" w:sz="4" w:space="0" w:color="auto"/>
              <w:bottom w:val="single" w:sz="4" w:space="0" w:color="auto"/>
              <w:right w:val="single" w:sz="4" w:space="0" w:color="auto"/>
            </w:tcBorders>
          </w:tcPr>
          <w:p w14:paraId="39734B81" w14:textId="77777777" w:rsidR="00930D96" w:rsidRPr="008C4A39" w:rsidRDefault="00930D96" w:rsidP="00883B07">
            <w:pPr>
              <w:spacing w:after="60"/>
              <w:rPr>
                <w:szCs w:val="24"/>
              </w:rPr>
            </w:pPr>
            <w:r w:rsidRPr="008C4A39">
              <w:rPr>
                <w:szCs w:val="24"/>
              </w:rPr>
              <w:t>It shall be possible to define rules for the execution of the workflows.</w:t>
            </w:r>
          </w:p>
        </w:tc>
      </w:tr>
      <w:tr w:rsidR="00930D96" w:rsidRPr="008C4A39" w14:paraId="532DEDED" w14:textId="77777777" w:rsidTr="00883B07">
        <w:tc>
          <w:tcPr>
            <w:tcW w:w="9355" w:type="dxa"/>
            <w:gridSpan w:val="2"/>
            <w:tcBorders>
              <w:right w:val="single" w:sz="4" w:space="0" w:color="auto"/>
            </w:tcBorders>
            <w:vAlign w:val="bottom"/>
          </w:tcPr>
          <w:p w14:paraId="6D578FA0"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34FD16D3" w14:textId="77777777" w:rsidTr="00883B07">
        <w:tc>
          <w:tcPr>
            <w:tcW w:w="9355" w:type="dxa"/>
            <w:gridSpan w:val="2"/>
            <w:tcBorders>
              <w:right w:val="single" w:sz="4" w:space="0" w:color="auto"/>
            </w:tcBorders>
            <w:vAlign w:val="bottom"/>
          </w:tcPr>
          <w:p w14:paraId="240D803B"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06154A65" w14:textId="77777777" w:rsidTr="001136D3">
        <w:tc>
          <w:tcPr>
            <w:tcW w:w="2245" w:type="dxa"/>
            <w:tcBorders>
              <w:right w:val="single" w:sz="4" w:space="0" w:color="auto"/>
            </w:tcBorders>
            <w:vAlign w:val="bottom"/>
          </w:tcPr>
          <w:p w14:paraId="6C6169C0" w14:textId="77777777" w:rsidR="00930D96" w:rsidRPr="008C4A39" w:rsidRDefault="00930D96" w:rsidP="00883B07">
            <w:pPr>
              <w:spacing w:after="60"/>
              <w:ind w:left="738" w:right="-14" w:hanging="738"/>
              <w:jc w:val="left"/>
              <w:rPr>
                <w:szCs w:val="24"/>
              </w:rPr>
            </w:pPr>
            <w:r w:rsidRPr="008C4A39">
              <w:rPr>
                <w:szCs w:val="24"/>
              </w:rPr>
              <w:t>FR201</w:t>
            </w:r>
          </w:p>
        </w:tc>
        <w:tc>
          <w:tcPr>
            <w:tcW w:w="7110" w:type="dxa"/>
            <w:tcBorders>
              <w:top w:val="single" w:sz="4" w:space="0" w:color="auto"/>
              <w:left w:val="single" w:sz="4" w:space="0" w:color="auto"/>
              <w:bottom w:val="single" w:sz="4" w:space="0" w:color="auto"/>
              <w:right w:val="single" w:sz="4" w:space="0" w:color="auto"/>
            </w:tcBorders>
          </w:tcPr>
          <w:p w14:paraId="7022E76E" w14:textId="77777777" w:rsidR="00930D96" w:rsidRPr="008C4A39" w:rsidRDefault="00930D96" w:rsidP="00883B07">
            <w:pPr>
              <w:spacing w:after="60"/>
              <w:rPr>
                <w:szCs w:val="24"/>
              </w:rPr>
            </w:pPr>
            <w:r w:rsidRPr="008C4A39">
              <w:rPr>
                <w:szCs w:val="24"/>
              </w:rPr>
              <w:t>It shall be possible to perform free-text searches and searches based on metadata tags attached to the information stored in the repository. The search shall be supported using API or a user interface</w:t>
            </w:r>
          </w:p>
        </w:tc>
      </w:tr>
      <w:tr w:rsidR="00930D96" w:rsidRPr="008C4A39" w14:paraId="4A8698B5" w14:textId="77777777" w:rsidTr="00883B07">
        <w:tc>
          <w:tcPr>
            <w:tcW w:w="9355" w:type="dxa"/>
            <w:gridSpan w:val="2"/>
            <w:tcBorders>
              <w:right w:val="single" w:sz="4" w:space="0" w:color="auto"/>
            </w:tcBorders>
            <w:vAlign w:val="bottom"/>
          </w:tcPr>
          <w:p w14:paraId="79D3B9AA"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309E703D" w14:textId="77777777" w:rsidTr="00883B07">
        <w:tc>
          <w:tcPr>
            <w:tcW w:w="9355" w:type="dxa"/>
            <w:gridSpan w:val="2"/>
            <w:tcBorders>
              <w:right w:val="single" w:sz="4" w:space="0" w:color="auto"/>
            </w:tcBorders>
            <w:vAlign w:val="bottom"/>
          </w:tcPr>
          <w:p w14:paraId="289D2B9A"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345AA646" w14:textId="77777777" w:rsidTr="001136D3">
        <w:tc>
          <w:tcPr>
            <w:tcW w:w="2245" w:type="dxa"/>
            <w:tcBorders>
              <w:right w:val="single" w:sz="4" w:space="0" w:color="auto"/>
            </w:tcBorders>
            <w:vAlign w:val="bottom"/>
          </w:tcPr>
          <w:p w14:paraId="49449DF7" w14:textId="77777777" w:rsidR="00930D96" w:rsidRPr="008C4A39" w:rsidRDefault="00930D96" w:rsidP="00883B07">
            <w:pPr>
              <w:spacing w:after="60"/>
              <w:ind w:left="738" w:right="-14" w:hanging="738"/>
              <w:jc w:val="left"/>
              <w:rPr>
                <w:szCs w:val="24"/>
              </w:rPr>
            </w:pPr>
            <w:r w:rsidRPr="008C4A39">
              <w:rPr>
                <w:szCs w:val="24"/>
              </w:rPr>
              <w:t>FR202</w:t>
            </w:r>
          </w:p>
        </w:tc>
        <w:tc>
          <w:tcPr>
            <w:tcW w:w="7110" w:type="dxa"/>
            <w:tcBorders>
              <w:top w:val="single" w:sz="4" w:space="0" w:color="auto"/>
              <w:left w:val="single" w:sz="4" w:space="0" w:color="auto"/>
              <w:bottom w:val="single" w:sz="4" w:space="0" w:color="auto"/>
              <w:right w:val="single" w:sz="4" w:space="0" w:color="auto"/>
            </w:tcBorders>
          </w:tcPr>
          <w:p w14:paraId="686CE358" w14:textId="77777777" w:rsidR="00930D96" w:rsidRPr="008C4A39" w:rsidRDefault="00930D96" w:rsidP="00883B07">
            <w:pPr>
              <w:spacing w:after="60"/>
              <w:rPr>
                <w:szCs w:val="24"/>
              </w:rPr>
            </w:pPr>
            <w:r w:rsidRPr="008C4A39">
              <w:rPr>
                <w:szCs w:val="24"/>
              </w:rPr>
              <w:t>The CDWMS must support metadata (document attributes) to enable structured searches of documents.</w:t>
            </w:r>
          </w:p>
        </w:tc>
      </w:tr>
      <w:tr w:rsidR="00930D96" w:rsidRPr="008C4A39" w14:paraId="48F453BC" w14:textId="77777777" w:rsidTr="00883B07">
        <w:tc>
          <w:tcPr>
            <w:tcW w:w="9355" w:type="dxa"/>
            <w:gridSpan w:val="2"/>
            <w:tcBorders>
              <w:right w:val="single" w:sz="4" w:space="0" w:color="auto"/>
            </w:tcBorders>
            <w:vAlign w:val="bottom"/>
          </w:tcPr>
          <w:p w14:paraId="14A99636"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238F6532" w14:textId="77777777" w:rsidTr="00883B07">
        <w:tc>
          <w:tcPr>
            <w:tcW w:w="9355" w:type="dxa"/>
            <w:gridSpan w:val="2"/>
            <w:tcBorders>
              <w:right w:val="single" w:sz="4" w:space="0" w:color="auto"/>
            </w:tcBorders>
            <w:vAlign w:val="bottom"/>
          </w:tcPr>
          <w:p w14:paraId="603D1D06" w14:textId="77777777" w:rsidR="00930D96" w:rsidRPr="008C4A39" w:rsidRDefault="00930D96" w:rsidP="00883B07">
            <w:pPr>
              <w:spacing w:after="60"/>
              <w:rPr>
                <w:szCs w:val="24"/>
              </w:rPr>
            </w:pPr>
            <w:r w:rsidRPr="008C4A39">
              <w:rPr>
                <w:szCs w:val="24"/>
              </w:rPr>
              <w:t>Bidder’s cross references to supporting information in Technical Bid:</w:t>
            </w:r>
          </w:p>
        </w:tc>
      </w:tr>
      <w:tr w:rsidR="00930D96" w:rsidRPr="008C4A39" w14:paraId="3C3A5CF0" w14:textId="77777777" w:rsidTr="001136D3">
        <w:tc>
          <w:tcPr>
            <w:tcW w:w="2245" w:type="dxa"/>
            <w:tcBorders>
              <w:right w:val="single" w:sz="4" w:space="0" w:color="auto"/>
            </w:tcBorders>
            <w:vAlign w:val="bottom"/>
          </w:tcPr>
          <w:p w14:paraId="4F29E5DC" w14:textId="77777777" w:rsidR="00930D96" w:rsidRPr="008C4A39" w:rsidRDefault="00930D96" w:rsidP="00883B07">
            <w:pPr>
              <w:spacing w:after="60"/>
              <w:ind w:left="738" w:right="-14" w:hanging="738"/>
              <w:jc w:val="left"/>
              <w:rPr>
                <w:szCs w:val="24"/>
              </w:rPr>
            </w:pPr>
            <w:r w:rsidRPr="008C4A39">
              <w:rPr>
                <w:szCs w:val="24"/>
              </w:rPr>
              <w:t>FR203</w:t>
            </w:r>
          </w:p>
        </w:tc>
        <w:tc>
          <w:tcPr>
            <w:tcW w:w="7110" w:type="dxa"/>
            <w:tcBorders>
              <w:top w:val="single" w:sz="4" w:space="0" w:color="auto"/>
              <w:left w:val="single" w:sz="4" w:space="0" w:color="auto"/>
              <w:bottom w:val="single" w:sz="4" w:space="0" w:color="auto"/>
              <w:right w:val="single" w:sz="4" w:space="0" w:color="auto"/>
            </w:tcBorders>
          </w:tcPr>
          <w:p w14:paraId="156419B1" w14:textId="77777777" w:rsidR="00930D96" w:rsidRPr="008C4A39" w:rsidRDefault="00930D96" w:rsidP="00883B07">
            <w:pPr>
              <w:spacing w:after="60"/>
              <w:rPr>
                <w:szCs w:val="24"/>
              </w:rPr>
            </w:pPr>
            <w:r w:rsidRPr="008C4A39">
              <w:rPr>
                <w:szCs w:val="24"/>
              </w:rPr>
              <w:t>There should be no restriction in number of, size of and types of metadata to be associated to the stored documents.</w:t>
            </w:r>
          </w:p>
        </w:tc>
      </w:tr>
      <w:tr w:rsidR="00930D96" w:rsidRPr="008C4A39" w14:paraId="3F3A7F75" w14:textId="77777777" w:rsidTr="00883B07">
        <w:tc>
          <w:tcPr>
            <w:tcW w:w="9355" w:type="dxa"/>
            <w:gridSpan w:val="2"/>
            <w:tcBorders>
              <w:right w:val="single" w:sz="4" w:space="0" w:color="auto"/>
            </w:tcBorders>
            <w:vAlign w:val="bottom"/>
          </w:tcPr>
          <w:p w14:paraId="260C4186" w14:textId="77777777" w:rsidR="00930D96" w:rsidRPr="008C4A39" w:rsidRDefault="00930D96" w:rsidP="00883B07">
            <w:pPr>
              <w:spacing w:after="60"/>
              <w:rPr>
                <w:szCs w:val="24"/>
              </w:rPr>
            </w:pPr>
            <w:r w:rsidRPr="008C4A39">
              <w:rPr>
                <w:szCs w:val="24"/>
              </w:rPr>
              <w:t xml:space="preserve">Bidder’s technical reasons supporting compliance:  </w:t>
            </w:r>
          </w:p>
        </w:tc>
      </w:tr>
      <w:tr w:rsidR="00930D96" w:rsidRPr="008C4A39" w14:paraId="0ABFB0E8" w14:textId="77777777" w:rsidTr="00883B07">
        <w:tc>
          <w:tcPr>
            <w:tcW w:w="9355" w:type="dxa"/>
            <w:gridSpan w:val="2"/>
            <w:tcBorders>
              <w:right w:val="single" w:sz="4" w:space="0" w:color="auto"/>
            </w:tcBorders>
            <w:vAlign w:val="bottom"/>
          </w:tcPr>
          <w:p w14:paraId="423873CF" w14:textId="77777777" w:rsidR="00930D96" w:rsidRPr="008C4A39" w:rsidRDefault="00930D96" w:rsidP="00883B07">
            <w:pPr>
              <w:spacing w:after="60"/>
              <w:rPr>
                <w:szCs w:val="24"/>
              </w:rPr>
            </w:pPr>
            <w:r w:rsidRPr="008C4A39">
              <w:rPr>
                <w:szCs w:val="24"/>
              </w:rPr>
              <w:t>Bidder’s cross references to supporting information in Technical Bid:</w:t>
            </w:r>
          </w:p>
        </w:tc>
      </w:tr>
    </w:tbl>
    <w:tbl>
      <w:tblPr>
        <w:tblStyle w:val="TableGrid2"/>
        <w:tblW w:w="9355" w:type="dxa"/>
        <w:tblLook w:val="04A0" w:firstRow="1" w:lastRow="0" w:firstColumn="1" w:lastColumn="0" w:noHBand="0" w:noVBand="1"/>
      </w:tblPr>
      <w:tblGrid>
        <w:gridCol w:w="2245"/>
        <w:gridCol w:w="7110"/>
      </w:tblGrid>
      <w:tr w:rsidR="00930D96" w:rsidRPr="008C4A39" w14:paraId="05A1D241" w14:textId="77777777" w:rsidTr="001136D3">
        <w:trPr>
          <w:tblHeader/>
        </w:trPr>
        <w:tc>
          <w:tcPr>
            <w:tcW w:w="2245" w:type="dxa"/>
            <w:shd w:val="clear" w:color="auto" w:fill="D9D9D9"/>
          </w:tcPr>
          <w:p w14:paraId="644760CE" w14:textId="77777777" w:rsidR="00930D96" w:rsidRPr="008C4A39" w:rsidRDefault="00930D96" w:rsidP="001136D3">
            <w:pPr>
              <w:spacing w:after="0"/>
              <w:rPr>
                <w:b/>
                <w:szCs w:val="24"/>
              </w:rPr>
            </w:pPr>
            <w:r w:rsidRPr="008C4A39">
              <w:rPr>
                <w:b/>
                <w:szCs w:val="24"/>
              </w:rPr>
              <w:t>Tech. Req. Number</w:t>
            </w:r>
          </w:p>
        </w:tc>
        <w:tc>
          <w:tcPr>
            <w:tcW w:w="7110" w:type="dxa"/>
            <w:shd w:val="clear" w:color="auto" w:fill="D9D9D9"/>
          </w:tcPr>
          <w:p w14:paraId="21599B26"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5BA1B5AB" w14:textId="77777777" w:rsidTr="00883B07">
        <w:tc>
          <w:tcPr>
            <w:tcW w:w="9355" w:type="dxa"/>
            <w:gridSpan w:val="2"/>
            <w:vAlign w:val="bottom"/>
          </w:tcPr>
          <w:p w14:paraId="2C0BCC19" w14:textId="77777777" w:rsidR="00930D96" w:rsidRPr="008C4A39" w:rsidRDefault="00930D96" w:rsidP="00883B07">
            <w:pPr>
              <w:rPr>
                <w:b/>
                <w:szCs w:val="24"/>
              </w:rPr>
            </w:pPr>
            <w:r w:rsidRPr="008C4A39">
              <w:rPr>
                <w:b/>
                <w:szCs w:val="24"/>
              </w:rPr>
              <w:t>1.2.12.2. Process the Application by the CBRA and Issuance of a Certificate</w:t>
            </w:r>
          </w:p>
        </w:tc>
      </w:tr>
      <w:tr w:rsidR="00930D96" w:rsidRPr="008C4A39" w14:paraId="74EC610F" w14:textId="77777777" w:rsidTr="001136D3">
        <w:tc>
          <w:tcPr>
            <w:tcW w:w="2245" w:type="dxa"/>
            <w:vAlign w:val="bottom"/>
          </w:tcPr>
          <w:p w14:paraId="65C3521C" w14:textId="77777777" w:rsidR="00930D96" w:rsidRPr="008C4A39" w:rsidRDefault="00930D96" w:rsidP="00883B07">
            <w:pPr>
              <w:rPr>
                <w:szCs w:val="24"/>
              </w:rPr>
            </w:pPr>
            <w:r w:rsidRPr="008C4A39">
              <w:rPr>
                <w:szCs w:val="24"/>
              </w:rPr>
              <w:t>FR3</w:t>
            </w:r>
          </w:p>
        </w:tc>
        <w:tc>
          <w:tcPr>
            <w:tcW w:w="7110" w:type="dxa"/>
          </w:tcPr>
          <w:p w14:paraId="1131F915" w14:textId="77777777" w:rsidR="00930D96" w:rsidRPr="008C4A39" w:rsidRDefault="00930D96" w:rsidP="00883B07">
            <w:pPr>
              <w:spacing w:after="0"/>
              <w:rPr>
                <w:szCs w:val="24"/>
              </w:rPr>
            </w:pPr>
            <w:r w:rsidRPr="008C4A39">
              <w:rPr>
                <w:szCs w:val="24"/>
              </w:rPr>
              <w:t xml:space="preserve">NSW must allow the flexibility to add or change the </w:t>
            </w:r>
          </w:p>
          <w:p w14:paraId="452D463D" w14:textId="77777777" w:rsidR="00930D96" w:rsidRPr="008C4A39" w:rsidRDefault="00930D96" w:rsidP="00883B07">
            <w:pPr>
              <w:spacing w:after="0"/>
              <w:rPr>
                <w:szCs w:val="24"/>
              </w:rPr>
            </w:pPr>
            <w:r w:rsidRPr="008C4A39">
              <w:rPr>
                <w:szCs w:val="24"/>
              </w:rPr>
              <w:t>workflow and routing behavior for a transaction.</w:t>
            </w:r>
          </w:p>
        </w:tc>
      </w:tr>
      <w:tr w:rsidR="00930D96" w:rsidRPr="008C4A39" w14:paraId="5F08F4D6" w14:textId="77777777" w:rsidTr="00883B07">
        <w:tc>
          <w:tcPr>
            <w:tcW w:w="9355" w:type="dxa"/>
            <w:gridSpan w:val="2"/>
            <w:vAlign w:val="bottom"/>
          </w:tcPr>
          <w:p w14:paraId="2B54608E" w14:textId="77777777" w:rsidR="00930D96" w:rsidRPr="008C4A39" w:rsidRDefault="00930D96" w:rsidP="00883B07">
            <w:pPr>
              <w:spacing w:after="0"/>
              <w:rPr>
                <w:szCs w:val="24"/>
              </w:rPr>
            </w:pPr>
            <w:r w:rsidRPr="008C4A39">
              <w:rPr>
                <w:szCs w:val="24"/>
              </w:rPr>
              <w:t xml:space="preserve">Bidder’s technical reasons supporting compliance:  </w:t>
            </w:r>
          </w:p>
        </w:tc>
      </w:tr>
      <w:tr w:rsidR="00930D96" w:rsidRPr="008C4A39" w14:paraId="6D11A6D2" w14:textId="77777777" w:rsidTr="00883B07">
        <w:tc>
          <w:tcPr>
            <w:tcW w:w="9355" w:type="dxa"/>
            <w:gridSpan w:val="2"/>
            <w:vAlign w:val="bottom"/>
          </w:tcPr>
          <w:p w14:paraId="75A599FE" w14:textId="77777777" w:rsidR="00930D96" w:rsidRPr="008C4A39" w:rsidRDefault="00930D96" w:rsidP="00883B07">
            <w:pPr>
              <w:spacing w:after="0"/>
              <w:rPr>
                <w:szCs w:val="24"/>
              </w:rPr>
            </w:pPr>
            <w:r w:rsidRPr="008C4A39">
              <w:rPr>
                <w:szCs w:val="24"/>
              </w:rPr>
              <w:t>Bidder’s cross references to supporting information in Technical Bid:</w:t>
            </w:r>
          </w:p>
        </w:tc>
      </w:tr>
      <w:tr w:rsidR="00930D96" w:rsidRPr="008C4A39" w14:paraId="0601B466" w14:textId="77777777" w:rsidTr="001136D3">
        <w:tc>
          <w:tcPr>
            <w:tcW w:w="2245" w:type="dxa"/>
            <w:vAlign w:val="bottom"/>
          </w:tcPr>
          <w:p w14:paraId="5939C8BD" w14:textId="77777777" w:rsidR="00930D96" w:rsidRPr="008C4A39" w:rsidRDefault="00930D96" w:rsidP="00883B07">
            <w:pPr>
              <w:rPr>
                <w:szCs w:val="24"/>
              </w:rPr>
            </w:pPr>
            <w:r w:rsidRPr="008C4A39">
              <w:rPr>
                <w:szCs w:val="24"/>
              </w:rPr>
              <w:t>FR4</w:t>
            </w:r>
          </w:p>
        </w:tc>
        <w:tc>
          <w:tcPr>
            <w:tcW w:w="7110" w:type="dxa"/>
          </w:tcPr>
          <w:p w14:paraId="18D6DDA5" w14:textId="77777777" w:rsidR="00930D96" w:rsidRPr="008C4A39" w:rsidRDefault="00930D96" w:rsidP="00883B07">
            <w:pPr>
              <w:rPr>
                <w:szCs w:val="24"/>
              </w:rPr>
            </w:pPr>
            <w:r w:rsidRPr="008C4A39">
              <w:rPr>
                <w:szCs w:val="24"/>
              </w:rPr>
              <w:t xml:space="preserve">The NSW Operator / administrator must be able to change the routing behavior and workflow/events associated for </w:t>
            </w:r>
            <w:proofErr w:type="gramStart"/>
            <w:r w:rsidRPr="008C4A39">
              <w:rPr>
                <w:szCs w:val="24"/>
              </w:rPr>
              <w:t>particular submission/lodgment</w:t>
            </w:r>
            <w:proofErr w:type="gramEnd"/>
            <w:r w:rsidRPr="008C4A39">
              <w:rPr>
                <w:szCs w:val="24"/>
              </w:rPr>
              <w:t xml:space="preserve"> types based on business rules.</w:t>
            </w:r>
          </w:p>
        </w:tc>
      </w:tr>
      <w:tr w:rsidR="00930D96" w:rsidRPr="008C4A39" w14:paraId="60419AD6" w14:textId="77777777" w:rsidTr="00883B07">
        <w:tc>
          <w:tcPr>
            <w:tcW w:w="9355" w:type="dxa"/>
            <w:gridSpan w:val="2"/>
            <w:vAlign w:val="bottom"/>
          </w:tcPr>
          <w:p w14:paraId="0A725C0A"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0089218" w14:textId="77777777" w:rsidTr="00883B07">
        <w:tc>
          <w:tcPr>
            <w:tcW w:w="9355" w:type="dxa"/>
            <w:gridSpan w:val="2"/>
            <w:vAlign w:val="bottom"/>
          </w:tcPr>
          <w:p w14:paraId="4FDDEE37"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D37EC42" w14:textId="77777777" w:rsidTr="001136D3">
        <w:tc>
          <w:tcPr>
            <w:tcW w:w="2245" w:type="dxa"/>
          </w:tcPr>
          <w:p w14:paraId="33D95B97" w14:textId="77777777" w:rsidR="00930D96" w:rsidRPr="008C4A39" w:rsidRDefault="00930D96" w:rsidP="00883B07">
            <w:pPr>
              <w:rPr>
                <w:szCs w:val="24"/>
              </w:rPr>
            </w:pPr>
            <w:r w:rsidRPr="008C4A39">
              <w:rPr>
                <w:szCs w:val="24"/>
              </w:rPr>
              <w:t>FR119</w:t>
            </w:r>
          </w:p>
        </w:tc>
        <w:tc>
          <w:tcPr>
            <w:tcW w:w="7110" w:type="dxa"/>
          </w:tcPr>
          <w:p w14:paraId="349B8487" w14:textId="77777777" w:rsidR="00930D96" w:rsidRPr="008C4A39" w:rsidRDefault="00930D96" w:rsidP="00883B07">
            <w:pPr>
              <w:rPr>
                <w:szCs w:val="24"/>
              </w:rPr>
            </w:pPr>
            <w:r w:rsidRPr="008C4A39">
              <w:rPr>
                <w:szCs w:val="24"/>
              </w:rPr>
              <w:t>The System must allow CBRAs to configure a list of pre-qualified prerequisite supporting document reference number (e.g., Import / Export Registration Number, etc.) to be checked by the NSW System automatically to facilitate the Applicant’s application.</w:t>
            </w:r>
          </w:p>
        </w:tc>
      </w:tr>
      <w:tr w:rsidR="00930D96" w:rsidRPr="008C4A39" w14:paraId="52EE5E16" w14:textId="77777777" w:rsidTr="00883B07">
        <w:tc>
          <w:tcPr>
            <w:tcW w:w="9355" w:type="dxa"/>
            <w:gridSpan w:val="2"/>
          </w:tcPr>
          <w:p w14:paraId="756F892C"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0FE7FE20" w14:textId="77777777" w:rsidTr="00883B07">
        <w:tc>
          <w:tcPr>
            <w:tcW w:w="9355" w:type="dxa"/>
            <w:gridSpan w:val="2"/>
          </w:tcPr>
          <w:p w14:paraId="1D9C4AA3"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228374B1" w14:textId="77777777" w:rsidTr="001136D3">
        <w:tc>
          <w:tcPr>
            <w:tcW w:w="2245" w:type="dxa"/>
          </w:tcPr>
          <w:p w14:paraId="520CB9DC" w14:textId="77777777" w:rsidR="00930D96" w:rsidRPr="008C4A39" w:rsidRDefault="00930D96" w:rsidP="00883B07">
            <w:pPr>
              <w:rPr>
                <w:szCs w:val="24"/>
              </w:rPr>
            </w:pPr>
            <w:r w:rsidRPr="008C4A39">
              <w:rPr>
                <w:szCs w:val="24"/>
              </w:rPr>
              <w:t>FR126</w:t>
            </w:r>
          </w:p>
        </w:tc>
        <w:tc>
          <w:tcPr>
            <w:tcW w:w="7110" w:type="dxa"/>
          </w:tcPr>
          <w:p w14:paraId="4D431B84" w14:textId="77777777" w:rsidR="00930D96" w:rsidRPr="008C4A39" w:rsidRDefault="00930D96" w:rsidP="00883B07">
            <w:pPr>
              <w:rPr>
                <w:szCs w:val="24"/>
              </w:rPr>
            </w:pPr>
            <w:r w:rsidRPr="008C4A39">
              <w:rPr>
                <w:szCs w:val="24"/>
              </w:rPr>
              <w:t>The CBRA shall perform the processing of the LPCO application. The NSW shall receive status updates from the CBRA system and display to the trader UI.</w:t>
            </w:r>
          </w:p>
        </w:tc>
      </w:tr>
      <w:tr w:rsidR="00930D96" w:rsidRPr="008C4A39" w14:paraId="7E107D92" w14:textId="77777777" w:rsidTr="00883B07">
        <w:tc>
          <w:tcPr>
            <w:tcW w:w="9355" w:type="dxa"/>
            <w:gridSpan w:val="2"/>
          </w:tcPr>
          <w:p w14:paraId="282066B2" w14:textId="77777777" w:rsidR="00930D96" w:rsidRPr="008C4A39" w:rsidRDefault="00930D96" w:rsidP="00883B07">
            <w:pPr>
              <w:rPr>
                <w:szCs w:val="24"/>
              </w:rPr>
            </w:pPr>
            <w:r w:rsidRPr="008C4A39">
              <w:rPr>
                <w:szCs w:val="24"/>
              </w:rPr>
              <w:lastRenderedPageBreak/>
              <w:t xml:space="preserve">Bidder’s technical reasons supporting compliance:  </w:t>
            </w:r>
          </w:p>
        </w:tc>
      </w:tr>
      <w:tr w:rsidR="00930D96" w:rsidRPr="008C4A39" w14:paraId="0F90D09F" w14:textId="77777777" w:rsidTr="00883B07">
        <w:tc>
          <w:tcPr>
            <w:tcW w:w="9355" w:type="dxa"/>
            <w:gridSpan w:val="2"/>
          </w:tcPr>
          <w:p w14:paraId="59AE521C"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6636330F" w14:textId="77777777" w:rsidTr="001136D3">
        <w:tc>
          <w:tcPr>
            <w:tcW w:w="2245" w:type="dxa"/>
          </w:tcPr>
          <w:p w14:paraId="41A00C13" w14:textId="77777777" w:rsidR="00930D96" w:rsidRPr="008C4A39" w:rsidRDefault="00930D96" w:rsidP="00883B07">
            <w:pPr>
              <w:rPr>
                <w:szCs w:val="24"/>
              </w:rPr>
            </w:pPr>
            <w:r w:rsidRPr="008C4A39">
              <w:rPr>
                <w:szCs w:val="24"/>
              </w:rPr>
              <w:t>FR127</w:t>
            </w:r>
          </w:p>
        </w:tc>
        <w:tc>
          <w:tcPr>
            <w:tcW w:w="7110" w:type="dxa"/>
          </w:tcPr>
          <w:p w14:paraId="33FC041A" w14:textId="77777777" w:rsidR="00930D96" w:rsidRPr="008C4A39" w:rsidRDefault="00930D96" w:rsidP="00883B07">
            <w:pPr>
              <w:rPr>
                <w:szCs w:val="24"/>
              </w:rPr>
            </w:pPr>
            <w:r w:rsidRPr="008C4A39">
              <w:rPr>
                <w:szCs w:val="24"/>
              </w:rPr>
              <w:t>Upon approval, the system must compute the LPCO fees and charges (if any) and send a payment advice to the applicant, with a copy to update in the CBRA system.</w:t>
            </w:r>
          </w:p>
        </w:tc>
      </w:tr>
      <w:tr w:rsidR="00930D96" w:rsidRPr="008C4A39" w14:paraId="7FE37884" w14:textId="77777777" w:rsidTr="00883B07">
        <w:tc>
          <w:tcPr>
            <w:tcW w:w="9355" w:type="dxa"/>
            <w:gridSpan w:val="2"/>
          </w:tcPr>
          <w:p w14:paraId="4851A994"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32F40644" w14:textId="77777777" w:rsidTr="00883B07">
        <w:tc>
          <w:tcPr>
            <w:tcW w:w="9355" w:type="dxa"/>
            <w:gridSpan w:val="2"/>
          </w:tcPr>
          <w:p w14:paraId="5493536B"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6DD332D3" w14:textId="77777777" w:rsidTr="001136D3">
        <w:tc>
          <w:tcPr>
            <w:tcW w:w="2245" w:type="dxa"/>
          </w:tcPr>
          <w:p w14:paraId="56A122BD" w14:textId="77777777" w:rsidR="00930D96" w:rsidRPr="008C4A39" w:rsidRDefault="00930D96" w:rsidP="00883B07">
            <w:pPr>
              <w:rPr>
                <w:szCs w:val="24"/>
              </w:rPr>
            </w:pPr>
            <w:r w:rsidRPr="008C4A39">
              <w:rPr>
                <w:szCs w:val="24"/>
              </w:rPr>
              <w:t>FR128</w:t>
            </w:r>
          </w:p>
        </w:tc>
        <w:tc>
          <w:tcPr>
            <w:tcW w:w="7110" w:type="dxa"/>
          </w:tcPr>
          <w:p w14:paraId="7EBE83CC" w14:textId="77777777" w:rsidR="00930D96" w:rsidRPr="008C4A39" w:rsidRDefault="00930D96" w:rsidP="00883B07">
            <w:pPr>
              <w:rPr>
                <w:szCs w:val="24"/>
              </w:rPr>
            </w:pPr>
            <w:r w:rsidRPr="008C4A39">
              <w:rPr>
                <w:szCs w:val="24"/>
              </w:rPr>
              <w:t>Upon payment by the applicant, the system must receive the payment confirmation from the bank via the NSW Payment functionality and update this status to the CBRA system.</w:t>
            </w:r>
          </w:p>
        </w:tc>
      </w:tr>
      <w:tr w:rsidR="00930D96" w:rsidRPr="008C4A39" w14:paraId="0DC4549F" w14:textId="77777777" w:rsidTr="00883B07">
        <w:tc>
          <w:tcPr>
            <w:tcW w:w="9355" w:type="dxa"/>
            <w:gridSpan w:val="2"/>
          </w:tcPr>
          <w:p w14:paraId="5A51C375"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0021B2B" w14:textId="77777777" w:rsidTr="00883B07">
        <w:tc>
          <w:tcPr>
            <w:tcW w:w="9355" w:type="dxa"/>
            <w:gridSpan w:val="2"/>
          </w:tcPr>
          <w:p w14:paraId="3FEF0791"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958CD7D" w14:textId="77777777" w:rsidTr="001136D3">
        <w:tc>
          <w:tcPr>
            <w:tcW w:w="2245" w:type="dxa"/>
          </w:tcPr>
          <w:p w14:paraId="7BD9241F" w14:textId="77777777" w:rsidR="00930D96" w:rsidRPr="008C4A39" w:rsidRDefault="00930D96" w:rsidP="00883B07">
            <w:pPr>
              <w:rPr>
                <w:szCs w:val="24"/>
              </w:rPr>
            </w:pPr>
            <w:r w:rsidRPr="008C4A39">
              <w:rPr>
                <w:szCs w:val="24"/>
              </w:rPr>
              <w:t>FR129</w:t>
            </w:r>
          </w:p>
        </w:tc>
        <w:tc>
          <w:tcPr>
            <w:tcW w:w="7110" w:type="dxa"/>
          </w:tcPr>
          <w:p w14:paraId="544BC1DB" w14:textId="77777777" w:rsidR="00930D96" w:rsidRPr="008C4A39" w:rsidRDefault="00930D96" w:rsidP="00883B07">
            <w:pPr>
              <w:rPr>
                <w:szCs w:val="24"/>
              </w:rPr>
            </w:pPr>
            <w:r w:rsidRPr="008C4A39">
              <w:rPr>
                <w:szCs w:val="24"/>
              </w:rPr>
              <w:t>When the CBRA issues the electronic LPCO with the associated UCR, and send to the NSW System, which shall notify and relay to the applicant via the Trader UI.</w:t>
            </w:r>
          </w:p>
        </w:tc>
      </w:tr>
      <w:tr w:rsidR="00930D96" w:rsidRPr="008C4A39" w14:paraId="754B53AC" w14:textId="77777777" w:rsidTr="00883B07">
        <w:tc>
          <w:tcPr>
            <w:tcW w:w="9355" w:type="dxa"/>
            <w:gridSpan w:val="2"/>
          </w:tcPr>
          <w:p w14:paraId="5ED039EE"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976FCFE" w14:textId="77777777" w:rsidTr="00883B07">
        <w:tc>
          <w:tcPr>
            <w:tcW w:w="9355" w:type="dxa"/>
            <w:gridSpan w:val="2"/>
          </w:tcPr>
          <w:p w14:paraId="65D5E31F"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49F2CC3" w14:textId="77777777" w:rsidTr="001136D3">
        <w:tc>
          <w:tcPr>
            <w:tcW w:w="2245" w:type="dxa"/>
          </w:tcPr>
          <w:p w14:paraId="44D48938" w14:textId="77777777" w:rsidR="00930D96" w:rsidRPr="008C4A39" w:rsidRDefault="00930D96" w:rsidP="00883B07">
            <w:pPr>
              <w:rPr>
                <w:szCs w:val="24"/>
              </w:rPr>
            </w:pPr>
            <w:r w:rsidRPr="008C4A39">
              <w:rPr>
                <w:szCs w:val="24"/>
              </w:rPr>
              <w:t>FR131</w:t>
            </w:r>
          </w:p>
        </w:tc>
        <w:tc>
          <w:tcPr>
            <w:tcW w:w="7110" w:type="dxa"/>
          </w:tcPr>
          <w:p w14:paraId="28A1073B" w14:textId="77777777" w:rsidR="00930D96" w:rsidRPr="008C4A39" w:rsidRDefault="00930D96" w:rsidP="00883B07">
            <w:pPr>
              <w:rPr>
                <w:szCs w:val="24"/>
              </w:rPr>
            </w:pPr>
            <w:r w:rsidRPr="008C4A39">
              <w:rPr>
                <w:szCs w:val="24"/>
              </w:rPr>
              <w:t xml:space="preserve">The CBRA staff shall receive an alert on </w:t>
            </w:r>
            <w:proofErr w:type="gramStart"/>
            <w:r w:rsidRPr="008C4A39">
              <w:rPr>
                <w:szCs w:val="24"/>
              </w:rPr>
              <w:t>pending</w:t>
            </w:r>
            <w:proofErr w:type="gramEnd"/>
            <w:r w:rsidRPr="008C4A39">
              <w:rPr>
                <w:szCs w:val="24"/>
              </w:rPr>
              <w:t xml:space="preserve"> LPCO application to be processed. </w:t>
            </w:r>
          </w:p>
        </w:tc>
      </w:tr>
      <w:tr w:rsidR="00930D96" w:rsidRPr="008C4A39" w14:paraId="71A4EE77" w14:textId="77777777" w:rsidTr="00883B07">
        <w:tc>
          <w:tcPr>
            <w:tcW w:w="9355" w:type="dxa"/>
            <w:gridSpan w:val="2"/>
          </w:tcPr>
          <w:p w14:paraId="298515E0"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746888B" w14:textId="77777777" w:rsidTr="00883B07">
        <w:tc>
          <w:tcPr>
            <w:tcW w:w="9355" w:type="dxa"/>
            <w:gridSpan w:val="2"/>
          </w:tcPr>
          <w:p w14:paraId="5F5D3EF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9393645" w14:textId="77777777" w:rsidTr="001136D3">
        <w:tc>
          <w:tcPr>
            <w:tcW w:w="2245" w:type="dxa"/>
          </w:tcPr>
          <w:p w14:paraId="07F0F00D" w14:textId="77777777" w:rsidR="00930D96" w:rsidRPr="008C4A39" w:rsidRDefault="00930D96" w:rsidP="00883B07">
            <w:pPr>
              <w:rPr>
                <w:szCs w:val="24"/>
              </w:rPr>
            </w:pPr>
            <w:r w:rsidRPr="008C4A39">
              <w:rPr>
                <w:szCs w:val="24"/>
              </w:rPr>
              <w:t>FR132</w:t>
            </w:r>
          </w:p>
        </w:tc>
        <w:tc>
          <w:tcPr>
            <w:tcW w:w="7110" w:type="dxa"/>
          </w:tcPr>
          <w:p w14:paraId="4135D500" w14:textId="77777777" w:rsidR="00930D96" w:rsidRPr="008C4A39" w:rsidRDefault="00930D96" w:rsidP="00883B07">
            <w:pPr>
              <w:rPr>
                <w:szCs w:val="24"/>
              </w:rPr>
            </w:pPr>
            <w:r w:rsidRPr="008C4A39">
              <w:rPr>
                <w:szCs w:val="24"/>
              </w:rPr>
              <w:t>The system must provide functionality for the appropriate staff of the CBRA to access the LPCO processing functionality to process, reject or approve an application.</w:t>
            </w:r>
          </w:p>
        </w:tc>
      </w:tr>
      <w:tr w:rsidR="00930D96" w:rsidRPr="008C4A39" w14:paraId="66D63F5A" w14:textId="77777777" w:rsidTr="00883B07">
        <w:tc>
          <w:tcPr>
            <w:tcW w:w="9355" w:type="dxa"/>
            <w:gridSpan w:val="2"/>
          </w:tcPr>
          <w:p w14:paraId="32E3C3AB"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8C687B7" w14:textId="77777777" w:rsidTr="00883B07">
        <w:tc>
          <w:tcPr>
            <w:tcW w:w="9355" w:type="dxa"/>
            <w:gridSpan w:val="2"/>
          </w:tcPr>
          <w:p w14:paraId="44493D6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C8E25BB" w14:textId="77777777" w:rsidTr="001136D3">
        <w:tc>
          <w:tcPr>
            <w:tcW w:w="2245" w:type="dxa"/>
          </w:tcPr>
          <w:p w14:paraId="035160C2" w14:textId="77777777" w:rsidR="00930D96" w:rsidRPr="008C4A39" w:rsidRDefault="00930D96" w:rsidP="00883B07">
            <w:pPr>
              <w:rPr>
                <w:szCs w:val="24"/>
              </w:rPr>
            </w:pPr>
            <w:r w:rsidRPr="008C4A39">
              <w:rPr>
                <w:szCs w:val="24"/>
              </w:rPr>
              <w:t>FR133</w:t>
            </w:r>
          </w:p>
        </w:tc>
        <w:tc>
          <w:tcPr>
            <w:tcW w:w="7110" w:type="dxa"/>
          </w:tcPr>
          <w:p w14:paraId="63F9ADD1" w14:textId="77777777" w:rsidR="00930D96" w:rsidRPr="008C4A39" w:rsidRDefault="00930D96" w:rsidP="00883B07">
            <w:pPr>
              <w:rPr>
                <w:szCs w:val="24"/>
              </w:rPr>
            </w:pPr>
            <w:r w:rsidRPr="008C4A39">
              <w:rPr>
                <w:szCs w:val="24"/>
              </w:rPr>
              <w:t xml:space="preserve">CBRA staff shall be able to provide comments/rationale for rejection of LPCO application. This information shall be made available to the applicant. </w:t>
            </w:r>
          </w:p>
        </w:tc>
      </w:tr>
      <w:tr w:rsidR="00930D96" w:rsidRPr="008C4A39" w14:paraId="698F7707" w14:textId="77777777" w:rsidTr="00883B07">
        <w:tc>
          <w:tcPr>
            <w:tcW w:w="9355" w:type="dxa"/>
            <w:gridSpan w:val="2"/>
          </w:tcPr>
          <w:p w14:paraId="744A82F9"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5F0B116" w14:textId="77777777" w:rsidTr="00883B07">
        <w:tc>
          <w:tcPr>
            <w:tcW w:w="9355" w:type="dxa"/>
            <w:gridSpan w:val="2"/>
          </w:tcPr>
          <w:p w14:paraId="3FD62906"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6E9CD59" w14:textId="77777777" w:rsidTr="001136D3">
        <w:tc>
          <w:tcPr>
            <w:tcW w:w="2245" w:type="dxa"/>
          </w:tcPr>
          <w:p w14:paraId="4DC64DAB" w14:textId="77777777" w:rsidR="00930D96" w:rsidRPr="008C4A39" w:rsidRDefault="00930D96" w:rsidP="00883B07">
            <w:pPr>
              <w:rPr>
                <w:szCs w:val="24"/>
              </w:rPr>
            </w:pPr>
            <w:r w:rsidRPr="008C4A39">
              <w:rPr>
                <w:szCs w:val="24"/>
              </w:rPr>
              <w:t>FR134</w:t>
            </w:r>
          </w:p>
        </w:tc>
        <w:tc>
          <w:tcPr>
            <w:tcW w:w="7110" w:type="dxa"/>
          </w:tcPr>
          <w:p w14:paraId="4B9E6732" w14:textId="77777777" w:rsidR="00930D96" w:rsidRPr="008C4A39" w:rsidRDefault="00930D96" w:rsidP="00883B07">
            <w:pPr>
              <w:rPr>
                <w:szCs w:val="24"/>
              </w:rPr>
            </w:pPr>
            <w:r w:rsidRPr="008C4A39">
              <w:rPr>
                <w:szCs w:val="24"/>
              </w:rPr>
              <w:t>When an application is approved, the system must provide the ability to archive the application so that it can be retrieved as required.</w:t>
            </w:r>
          </w:p>
        </w:tc>
      </w:tr>
      <w:tr w:rsidR="00930D96" w:rsidRPr="008C4A39" w14:paraId="5D0A7A92" w14:textId="77777777" w:rsidTr="00883B07">
        <w:tc>
          <w:tcPr>
            <w:tcW w:w="9355" w:type="dxa"/>
            <w:gridSpan w:val="2"/>
          </w:tcPr>
          <w:p w14:paraId="22777D31"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6DF6026F" w14:textId="77777777" w:rsidTr="00883B07">
        <w:tc>
          <w:tcPr>
            <w:tcW w:w="9355" w:type="dxa"/>
            <w:gridSpan w:val="2"/>
          </w:tcPr>
          <w:p w14:paraId="760D0E99" w14:textId="77777777" w:rsidR="00930D96" w:rsidRPr="008C4A39" w:rsidRDefault="00930D96" w:rsidP="00883B07">
            <w:pPr>
              <w:rPr>
                <w:szCs w:val="24"/>
              </w:rPr>
            </w:pPr>
            <w:r w:rsidRPr="008C4A39">
              <w:rPr>
                <w:szCs w:val="24"/>
              </w:rPr>
              <w:lastRenderedPageBreak/>
              <w:t>Bidder’s cross references to supporting information in Technical Bid:</w:t>
            </w:r>
          </w:p>
        </w:tc>
      </w:tr>
      <w:tr w:rsidR="00930D96" w:rsidRPr="008C4A39" w14:paraId="6C86FCA3" w14:textId="77777777" w:rsidTr="001136D3">
        <w:tc>
          <w:tcPr>
            <w:tcW w:w="2245" w:type="dxa"/>
          </w:tcPr>
          <w:p w14:paraId="11C84A19" w14:textId="77777777" w:rsidR="00930D96" w:rsidRPr="008C4A39" w:rsidRDefault="00930D96" w:rsidP="00883B07">
            <w:pPr>
              <w:rPr>
                <w:szCs w:val="24"/>
              </w:rPr>
            </w:pPr>
            <w:r w:rsidRPr="008C4A39">
              <w:rPr>
                <w:szCs w:val="24"/>
              </w:rPr>
              <w:t>FR135</w:t>
            </w:r>
          </w:p>
        </w:tc>
        <w:tc>
          <w:tcPr>
            <w:tcW w:w="7110" w:type="dxa"/>
          </w:tcPr>
          <w:p w14:paraId="4BCF589A" w14:textId="77777777" w:rsidR="00930D96" w:rsidRPr="008C4A39" w:rsidRDefault="00930D96" w:rsidP="00883B07">
            <w:pPr>
              <w:rPr>
                <w:szCs w:val="24"/>
              </w:rPr>
            </w:pPr>
            <w:r w:rsidRPr="008C4A39">
              <w:rPr>
                <w:szCs w:val="24"/>
              </w:rPr>
              <w:t xml:space="preserve">The CBRA staff can check the trader information by viewing the profile of a registered user via the Registration </w:t>
            </w:r>
            <w:proofErr w:type="gramStart"/>
            <w:r w:rsidRPr="008C4A39">
              <w:rPr>
                <w:szCs w:val="24"/>
              </w:rPr>
              <w:t>functionality..</w:t>
            </w:r>
            <w:proofErr w:type="gramEnd"/>
          </w:p>
        </w:tc>
      </w:tr>
      <w:tr w:rsidR="00930D96" w:rsidRPr="008C4A39" w14:paraId="633F856A" w14:textId="77777777" w:rsidTr="00883B07">
        <w:tc>
          <w:tcPr>
            <w:tcW w:w="9355" w:type="dxa"/>
            <w:gridSpan w:val="2"/>
          </w:tcPr>
          <w:p w14:paraId="1196DA40"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A70C83B" w14:textId="77777777" w:rsidTr="00883B07">
        <w:tc>
          <w:tcPr>
            <w:tcW w:w="9355" w:type="dxa"/>
            <w:gridSpan w:val="2"/>
          </w:tcPr>
          <w:p w14:paraId="16EE2E3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2D7D5659" w14:textId="77777777" w:rsidTr="001136D3">
        <w:tc>
          <w:tcPr>
            <w:tcW w:w="2245" w:type="dxa"/>
          </w:tcPr>
          <w:p w14:paraId="63BE52C1" w14:textId="77777777" w:rsidR="00930D96" w:rsidRPr="008C4A39" w:rsidRDefault="00930D96" w:rsidP="00883B07">
            <w:pPr>
              <w:rPr>
                <w:szCs w:val="24"/>
              </w:rPr>
            </w:pPr>
            <w:r w:rsidRPr="008C4A39">
              <w:rPr>
                <w:szCs w:val="24"/>
              </w:rPr>
              <w:t>FR136</w:t>
            </w:r>
          </w:p>
        </w:tc>
        <w:tc>
          <w:tcPr>
            <w:tcW w:w="7110" w:type="dxa"/>
          </w:tcPr>
          <w:p w14:paraId="17798F5B" w14:textId="77777777" w:rsidR="00930D96" w:rsidRPr="008C4A39" w:rsidRDefault="00930D96" w:rsidP="00883B07">
            <w:pPr>
              <w:rPr>
                <w:szCs w:val="24"/>
              </w:rPr>
            </w:pPr>
            <w:r w:rsidRPr="008C4A39">
              <w:rPr>
                <w:szCs w:val="24"/>
              </w:rPr>
              <w:t>The system must include all necessary workflow to support the acceptance, review, and authorization of LPCO applications.</w:t>
            </w:r>
          </w:p>
        </w:tc>
      </w:tr>
      <w:tr w:rsidR="00930D96" w:rsidRPr="008C4A39" w14:paraId="3FBD29BE" w14:textId="77777777" w:rsidTr="00883B07">
        <w:tc>
          <w:tcPr>
            <w:tcW w:w="9355" w:type="dxa"/>
            <w:gridSpan w:val="2"/>
          </w:tcPr>
          <w:p w14:paraId="3C666854"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674352A4" w14:textId="77777777" w:rsidTr="00883B07">
        <w:tc>
          <w:tcPr>
            <w:tcW w:w="9355" w:type="dxa"/>
            <w:gridSpan w:val="2"/>
          </w:tcPr>
          <w:p w14:paraId="56F745F3"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2B916C24" w14:textId="77777777" w:rsidTr="001136D3">
        <w:tc>
          <w:tcPr>
            <w:tcW w:w="2245" w:type="dxa"/>
          </w:tcPr>
          <w:p w14:paraId="4B49D455" w14:textId="77777777" w:rsidR="00930D96" w:rsidRPr="008C4A39" w:rsidRDefault="00930D96" w:rsidP="00883B07">
            <w:pPr>
              <w:rPr>
                <w:szCs w:val="24"/>
              </w:rPr>
            </w:pPr>
            <w:r w:rsidRPr="008C4A39">
              <w:rPr>
                <w:szCs w:val="24"/>
              </w:rPr>
              <w:t>FR138</w:t>
            </w:r>
          </w:p>
          <w:p w14:paraId="6A639B8A" w14:textId="77777777" w:rsidR="00930D96" w:rsidRPr="008C4A39" w:rsidRDefault="00930D96" w:rsidP="00883B07">
            <w:pPr>
              <w:rPr>
                <w:szCs w:val="24"/>
              </w:rPr>
            </w:pPr>
          </w:p>
        </w:tc>
        <w:tc>
          <w:tcPr>
            <w:tcW w:w="7110" w:type="dxa"/>
          </w:tcPr>
          <w:p w14:paraId="0A52F519" w14:textId="77777777" w:rsidR="00930D96" w:rsidRPr="008C4A39" w:rsidRDefault="00930D96" w:rsidP="00883B07">
            <w:pPr>
              <w:rPr>
                <w:szCs w:val="24"/>
              </w:rPr>
            </w:pPr>
            <w:r w:rsidRPr="008C4A39">
              <w:rPr>
                <w:szCs w:val="24"/>
              </w:rPr>
              <w:t xml:space="preserve">Based on pre-defined conditions for application approval, the system shall enable the CBRA workflow to assign different ranks of CBRAs to verify, process and approve the application accordingly. </w:t>
            </w:r>
          </w:p>
        </w:tc>
      </w:tr>
      <w:tr w:rsidR="00930D96" w:rsidRPr="008C4A39" w14:paraId="4ACEE7FA" w14:textId="77777777" w:rsidTr="00883B07">
        <w:tc>
          <w:tcPr>
            <w:tcW w:w="9355" w:type="dxa"/>
            <w:gridSpan w:val="2"/>
          </w:tcPr>
          <w:p w14:paraId="04EE736E"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8BEE5EA" w14:textId="77777777" w:rsidTr="00883B07">
        <w:tc>
          <w:tcPr>
            <w:tcW w:w="9355" w:type="dxa"/>
            <w:gridSpan w:val="2"/>
          </w:tcPr>
          <w:p w14:paraId="7EA63151"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6F7E9BF" w14:textId="77777777" w:rsidTr="001136D3">
        <w:tc>
          <w:tcPr>
            <w:tcW w:w="2245" w:type="dxa"/>
          </w:tcPr>
          <w:p w14:paraId="5E8714A7" w14:textId="77777777" w:rsidR="00930D96" w:rsidRPr="008C4A39" w:rsidRDefault="00930D96" w:rsidP="00883B07">
            <w:pPr>
              <w:rPr>
                <w:szCs w:val="24"/>
              </w:rPr>
            </w:pPr>
            <w:r w:rsidRPr="008C4A39">
              <w:rPr>
                <w:szCs w:val="24"/>
              </w:rPr>
              <w:t>FR139</w:t>
            </w:r>
          </w:p>
        </w:tc>
        <w:tc>
          <w:tcPr>
            <w:tcW w:w="7110" w:type="dxa"/>
          </w:tcPr>
          <w:p w14:paraId="7F3031EA" w14:textId="77777777" w:rsidR="00930D96" w:rsidRPr="008C4A39" w:rsidRDefault="00930D96" w:rsidP="00883B07">
            <w:pPr>
              <w:rPr>
                <w:szCs w:val="24"/>
              </w:rPr>
            </w:pPr>
            <w:r w:rsidRPr="008C4A39">
              <w:rPr>
                <w:szCs w:val="24"/>
              </w:rPr>
              <w:t xml:space="preserve">The system must enable </w:t>
            </w:r>
            <w:proofErr w:type="gramStart"/>
            <w:r w:rsidRPr="008C4A39">
              <w:rPr>
                <w:szCs w:val="24"/>
              </w:rPr>
              <w:t>to</w:t>
            </w:r>
            <w:proofErr w:type="gramEnd"/>
            <w:r w:rsidRPr="008C4A39">
              <w:rPr>
                <w:szCs w:val="24"/>
              </w:rPr>
              <w:t xml:space="preserve"> transfer of applications between CBRAs, dependent upon the associated business rules. The NSW System must provide the applicant with current information regarding the process status. </w:t>
            </w:r>
          </w:p>
        </w:tc>
      </w:tr>
      <w:tr w:rsidR="00930D96" w:rsidRPr="008C4A39" w14:paraId="6C287661" w14:textId="77777777" w:rsidTr="00883B07">
        <w:tc>
          <w:tcPr>
            <w:tcW w:w="9355" w:type="dxa"/>
            <w:gridSpan w:val="2"/>
          </w:tcPr>
          <w:p w14:paraId="1FCF3B73"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B2CBBB4" w14:textId="77777777" w:rsidTr="00883B07">
        <w:tc>
          <w:tcPr>
            <w:tcW w:w="9355" w:type="dxa"/>
            <w:gridSpan w:val="2"/>
          </w:tcPr>
          <w:p w14:paraId="67524BA4" w14:textId="77777777" w:rsidR="00930D96" w:rsidRPr="008C4A39" w:rsidRDefault="00930D96" w:rsidP="00883B07">
            <w:pPr>
              <w:rPr>
                <w:szCs w:val="24"/>
              </w:rPr>
            </w:pPr>
            <w:r w:rsidRPr="008C4A39">
              <w:rPr>
                <w:szCs w:val="24"/>
              </w:rPr>
              <w:t>Bidder’s cross references to supporting information in Technical Bid:</w:t>
            </w:r>
          </w:p>
        </w:tc>
      </w:tr>
      <w:tr w:rsidR="003A0F42" w:rsidRPr="008C4A39" w14:paraId="3246A66B" w14:textId="47FEBC66" w:rsidTr="001136D3">
        <w:tc>
          <w:tcPr>
            <w:tcW w:w="2245" w:type="dxa"/>
          </w:tcPr>
          <w:p w14:paraId="12C5331D" w14:textId="73CC8418" w:rsidR="003A0F42" w:rsidRPr="008C4A39" w:rsidRDefault="003A0F42" w:rsidP="003A0F42">
            <w:pPr>
              <w:rPr>
                <w:szCs w:val="24"/>
              </w:rPr>
            </w:pPr>
            <w:r>
              <w:rPr>
                <w:szCs w:val="24"/>
              </w:rPr>
              <w:t>FR140</w:t>
            </w:r>
          </w:p>
        </w:tc>
        <w:tc>
          <w:tcPr>
            <w:tcW w:w="7110" w:type="dxa"/>
          </w:tcPr>
          <w:p w14:paraId="128E6083" w14:textId="16D49107" w:rsidR="003A0F42" w:rsidRPr="008C4A39" w:rsidRDefault="003A0F42" w:rsidP="003A0F42">
            <w:pPr>
              <w:rPr>
                <w:szCs w:val="24"/>
              </w:rPr>
            </w:pPr>
            <w:r>
              <w:rPr>
                <w:szCs w:val="24"/>
              </w:rPr>
              <w:t xml:space="preserve">The NSW system must provide functionality for one CBRA to participate in the approval process. </w:t>
            </w:r>
          </w:p>
        </w:tc>
      </w:tr>
      <w:tr w:rsidR="003A0F42" w:rsidRPr="008C4A39" w14:paraId="7CDEB8CD" w14:textId="77777777" w:rsidTr="00883B07">
        <w:tc>
          <w:tcPr>
            <w:tcW w:w="9355" w:type="dxa"/>
            <w:gridSpan w:val="2"/>
          </w:tcPr>
          <w:p w14:paraId="16B3700F" w14:textId="2FD9F638" w:rsidR="003A0F42" w:rsidRPr="008C4A39" w:rsidRDefault="003A0F42" w:rsidP="003A0F42">
            <w:pPr>
              <w:rPr>
                <w:szCs w:val="24"/>
              </w:rPr>
            </w:pPr>
            <w:r w:rsidRPr="008C4A39">
              <w:rPr>
                <w:szCs w:val="24"/>
              </w:rPr>
              <w:t xml:space="preserve">Bidder’s technical reasons supporting compliance:  </w:t>
            </w:r>
          </w:p>
        </w:tc>
      </w:tr>
      <w:tr w:rsidR="003A0F42" w:rsidRPr="008C4A39" w14:paraId="657411E6" w14:textId="77777777" w:rsidTr="00883B07">
        <w:tc>
          <w:tcPr>
            <w:tcW w:w="9355" w:type="dxa"/>
            <w:gridSpan w:val="2"/>
          </w:tcPr>
          <w:p w14:paraId="34135A18" w14:textId="6E723E17" w:rsidR="003A0F42" w:rsidRPr="008C4A39" w:rsidRDefault="003A0F42" w:rsidP="003A0F42">
            <w:pPr>
              <w:rPr>
                <w:szCs w:val="24"/>
              </w:rPr>
            </w:pPr>
            <w:r w:rsidRPr="008C4A39">
              <w:rPr>
                <w:szCs w:val="24"/>
              </w:rPr>
              <w:t>Bidder’s cross references to supporting information in Technical Bid:</w:t>
            </w:r>
          </w:p>
        </w:tc>
      </w:tr>
      <w:tr w:rsidR="003A0F42" w:rsidRPr="008C4A39" w14:paraId="45C11B0E" w14:textId="77777777" w:rsidTr="001136D3">
        <w:tc>
          <w:tcPr>
            <w:tcW w:w="2245" w:type="dxa"/>
          </w:tcPr>
          <w:p w14:paraId="5E29BC29" w14:textId="77777777" w:rsidR="003A0F42" w:rsidRPr="008C4A39" w:rsidRDefault="003A0F42" w:rsidP="003A0F42">
            <w:pPr>
              <w:rPr>
                <w:szCs w:val="24"/>
              </w:rPr>
            </w:pPr>
            <w:r w:rsidRPr="008C4A39">
              <w:rPr>
                <w:szCs w:val="24"/>
              </w:rPr>
              <w:t>FR141</w:t>
            </w:r>
          </w:p>
        </w:tc>
        <w:tc>
          <w:tcPr>
            <w:tcW w:w="7110" w:type="dxa"/>
          </w:tcPr>
          <w:p w14:paraId="02244D96" w14:textId="77777777" w:rsidR="003A0F42" w:rsidRPr="008C4A39" w:rsidRDefault="003A0F42" w:rsidP="003A0F42">
            <w:pPr>
              <w:rPr>
                <w:szCs w:val="24"/>
              </w:rPr>
            </w:pPr>
            <w:r w:rsidRPr="008C4A39">
              <w:rPr>
                <w:szCs w:val="24"/>
              </w:rPr>
              <w:t xml:space="preserve">The system must provide functionality for viewing an approved application, an LPCO, with all associated documentation. The NSW System must ensure that only authorized users can access the documentation. </w:t>
            </w:r>
          </w:p>
        </w:tc>
      </w:tr>
      <w:tr w:rsidR="003A0F42" w:rsidRPr="008C4A39" w14:paraId="218D8FFB" w14:textId="77777777" w:rsidTr="00883B07">
        <w:tc>
          <w:tcPr>
            <w:tcW w:w="9355" w:type="dxa"/>
            <w:gridSpan w:val="2"/>
          </w:tcPr>
          <w:p w14:paraId="1C37BE55"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053E1FEF" w14:textId="77777777" w:rsidTr="00883B07">
        <w:tc>
          <w:tcPr>
            <w:tcW w:w="9355" w:type="dxa"/>
            <w:gridSpan w:val="2"/>
          </w:tcPr>
          <w:p w14:paraId="4ED96680"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15B4BD42" w14:textId="77777777" w:rsidTr="001136D3">
        <w:tc>
          <w:tcPr>
            <w:tcW w:w="2245" w:type="dxa"/>
          </w:tcPr>
          <w:p w14:paraId="3B5BC8B9" w14:textId="77777777" w:rsidR="003A0F42" w:rsidRPr="008C4A39" w:rsidRDefault="003A0F42" w:rsidP="003A0F42">
            <w:pPr>
              <w:rPr>
                <w:szCs w:val="24"/>
              </w:rPr>
            </w:pPr>
            <w:r w:rsidRPr="008C4A39">
              <w:rPr>
                <w:szCs w:val="24"/>
              </w:rPr>
              <w:t>FR142</w:t>
            </w:r>
          </w:p>
        </w:tc>
        <w:tc>
          <w:tcPr>
            <w:tcW w:w="7110" w:type="dxa"/>
          </w:tcPr>
          <w:p w14:paraId="4B304430" w14:textId="77777777" w:rsidR="003A0F42" w:rsidRPr="008C4A39" w:rsidRDefault="003A0F42" w:rsidP="003A0F42">
            <w:pPr>
              <w:rPr>
                <w:szCs w:val="24"/>
              </w:rPr>
            </w:pPr>
            <w:r w:rsidRPr="008C4A39">
              <w:rPr>
                <w:szCs w:val="24"/>
              </w:rPr>
              <w:t>The CBRA staff must be able to approve or reject applications by validating the supporting documents and checking the content of the application.</w:t>
            </w:r>
          </w:p>
        </w:tc>
      </w:tr>
      <w:tr w:rsidR="003A0F42" w:rsidRPr="008C4A39" w14:paraId="4981FB92" w14:textId="77777777" w:rsidTr="00883B07">
        <w:tc>
          <w:tcPr>
            <w:tcW w:w="9355" w:type="dxa"/>
            <w:gridSpan w:val="2"/>
          </w:tcPr>
          <w:p w14:paraId="51CD3BF5"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134351B4" w14:textId="77777777" w:rsidTr="00883B07">
        <w:tc>
          <w:tcPr>
            <w:tcW w:w="9355" w:type="dxa"/>
            <w:gridSpan w:val="2"/>
          </w:tcPr>
          <w:p w14:paraId="1A9CFA84"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00A38A4F" w14:textId="77777777" w:rsidTr="001136D3">
        <w:tc>
          <w:tcPr>
            <w:tcW w:w="2245" w:type="dxa"/>
          </w:tcPr>
          <w:p w14:paraId="18A21F44" w14:textId="77777777" w:rsidR="003A0F42" w:rsidRPr="008C4A39" w:rsidRDefault="003A0F42" w:rsidP="003A0F42">
            <w:pPr>
              <w:rPr>
                <w:szCs w:val="24"/>
              </w:rPr>
            </w:pPr>
            <w:r w:rsidRPr="008C4A39">
              <w:rPr>
                <w:szCs w:val="24"/>
              </w:rPr>
              <w:lastRenderedPageBreak/>
              <w:t>FR143</w:t>
            </w:r>
          </w:p>
        </w:tc>
        <w:tc>
          <w:tcPr>
            <w:tcW w:w="7110" w:type="dxa"/>
          </w:tcPr>
          <w:p w14:paraId="1E962203" w14:textId="77777777" w:rsidR="003A0F42" w:rsidRPr="008C4A39" w:rsidRDefault="003A0F42" w:rsidP="003A0F42">
            <w:pPr>
              <w:rPr>
                <w:szCs w:val="24"/>
              </w:rPr>
            </w:pPr>
            <w:r w:rsidRPr="008C4A39">
              <w:rPr>
                <w:szCs w:val="24"/>
              </w:rPr>
              <w:t>The system must provide for the CBRA staff to view and download the processing history of specified LPCO application. The sequence of actions taken by the applicant and the CBRA can be viewed and downloaded.</w:t>
            </w:r>
          </w:p>
        </w:tc>
      </w:tr>
      <w:tr w:rsidR="003A0F42" w:rsidRPr="008C4A39" w14:paraId="4D105182" w14:textId="77777777" w:rsidTr="00883B07">
        <w:tc>
          <w:tcPr>
            <w:tcW w:w="9355" w:type="dxa"/>
            <w:gridSpan w:val="2"/>
          </w:tcPr>
          <w:p w14:paraId="1CFDBB8A"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0913628" w14:textId="77777777" w:rsidTr="00883B07">
        <w:tc>
          <w:tcPr>
            <w:tcW w:w="9355" w:type="dxa"/>
            <w:gridSpan w:val="2"/>
          </w:tcPr>
          <w:p w14:paraId="0613CC4C"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33474358" w14:textId="77777777" w:rsidTr="001136D3">
        <w:tc>
          <w:tcPr>
            <w:tcW w:w="2245" w:type="dxa"/>
          </w:tcPr>
          <w:p w14:paraId="1DD77F5D" w14:textId="77777777" w:rsidR="003A0F42" w:rsidRPr="008C4A39" w:rsidRDefault="003A0F42" w:rsidP="003A0F42">
            <w:pPr>
              <w:rPr>
                <w:szCs w:val="24"/>
              </w:rPr>
            </w:pPr>
            <w:r w:rsidRPr="008C4A39">
              <w:rPr>
                <w:szCs w:val="24"/>
              </w:rPr>
              <w:t>FR145</w:t>
            </w:r>
          </w:p>
        </w:tc>
        <w:tc>
          <w:tcPr>
            <w:tcW w:w="7110" w:type="dxa"/>
          </w:tcPr>
          <w:p w14:paraId="6F3DDCA9" w14:textId="77777777" w:rsidR="003A0F42" w:rsidRPr="008C4A39" w:rsidRDefault="003A0F42" w:rsidP="003A0F42">
            <w:pPr>
              <w:rPr>
                <w:szCs w:val="24"/>
              </w:rPr>
            </w:pPr>
            <w:r w:rsidRPr="008C4A39">
              <w:rPr>
                <w:szCs w:val="24"/>
              </w:rPr>
              <w:t>The system must provide the function for the CBRA to notify the Applicant of the status and result of the application. The CBRA can input the applicable terms and conditions as part of the approval.</w:t>
            </w:r>
          </w:p>
        </w:tc>
      </w:tr>
      <w:tr w:rsidR="003A0F42" w:rsidRPr="008C4A39" w14:paraId="2CA3FF68" w14:textId="77777777" w:rsidTr="00883B07">
        <w:tc>
          <w:tcPr>
            <w:tcW w:w="9355" w:type="dxa"/>
            <w:gridSpan w:val="2"/>
          </w:tcPr>
          <w:p w14:paraId="4FEF5BDD"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0E6C2A44" w14:textId="77777777" w:rsidTr="00883B07">
        <w:tc>
          <w:tcPr>
            <w:tcW w:w="9355" w:type="dxa"/>
            <w:gridSpan w:val="2"/>
          </w:tcPr>
          <w:p w14:paraId="2A8A159E"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7D0D2243" w14:textId="77777777" w:rsidTr="001136D3">
        <w:tc>
          <w:tcPr>
            <w:tcW w:w="2245" w:type="dxa"/>
          </w:tcPr>
          <w:p w14:paraId="669E1A57" w14:textId="77777777" w:rsidR="003A0F42" w:rsidRPr="008C4A39" w:rsidRDefault="003A0F42" w:rsidP="003A0F42">
            <w:pPr>
              <w:rPr>
                <w:szCs w:val="24"/>
              </w:rPr>
            </w:pPr>
            <w:r w:rsidRPr="008C4A39">
              <w:rPr>
                <w:szCs w:val="24"/>
              </w:rPr>
              <w:t>FR146</w:t>
            </w:r>
          </w:p>
        </w:tc>
        <w:tc>
          <w:tcPr>
            <w:tcW w:w="7110" w:type="dxa"/>
          </w:tcPr>
          <w:p w14:paraId="5A6558D1" w14:textId="77777777" w:rsidR="003A0F42" w:rsidRPr="008C4A39" w:rsidRDefault="003A0F42" w:rsidP="003A0F42">
            <w:pPr>
              <w:rPr>
                <w:szCs w:val="24"/>
              </w:rPr>
            </w:pPr>
            <w:r w:rsidRPr="008C4A39">
              <w:rPr>
                <w:szCs w:val="24"/>
              </w:rPr>
              <w:t>The CBRA may view and download all outgoing correspondence related to LPCO application from the NSW System to the applicant.</w:t>
            </w:r>
          </w:p>
        </w:tc>
      </w:tr>
      <w:tr w:rsidR="003A0F42" w:rsidRPr="008C4A39" w14:paraId="1E49101A" w14:textId="77777777" w:rsidTr="00883B07">
        <w:tc>
          <w:tcPr>
            <w:tcW w:w="9355" w:type="dxa"/>
            <w:gridSpan w:val="2"/>
          </w:tcPr>
          <w:p w14:paraId="7BE86A75"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13F13DFD" w14:textId="77777777" w:rsidTr="00883B07">
        <w:tc>
          <w:tcPr>
            <w:tcW w:w="9355" w:type="dxa"/>
            <w:gridSpan w:val="2"/>
          </w:tcPr>
          <w:p w14:paraId="73FB8A30"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06CE46FD" w14:textId="77777777" w:rsidTr="001136D3">
        <w:tc>
          <w:tcPr>
            <w:tcW w:w="2245" w:type="dxa"/>
          </w:tcPr>
          <w:p w14:paraId="28E3D1C7" w14:textId="77777777" w:rsidR="003A0F42" w:rsidRPr="008C4A39" w:rsidRDefault="003A0F42" w:rsidP="003A0F42">
            <w:pPr>
              <w:rPr>
                <w:szCs w:val="24"/>
              </w:rPr>
            </w:pPr>
            <w:r w:rsidRPr="008C4A39">
              <w:rPr>
                <w:szCs w:val="24"/>
              </w:rPr>
              <w:t>FR147</w:t>
            </w:r>
          </w:p>
        </w:tc>
        <w:tc>
          <w:tcPr>
            <w:tcW w:w="7110" w:type="dxa"/>
          </w:tcPr>
          <w:p w14:paraId="46F381FB" w14:textId="77777777" w:rsidR="003A0F42" w:rsidRPr="008C4A39" w:rsidRDefault="003A0F42" w:rsidP="003A0F42">
            <w:pPr>
              <w:rPr>
                <w:szCs w:val="24"/>
              </w:rPr>
            </w:pPr>
            <w:r w:rsidRPr="008C4A39">
              <w:rPr>
                <w:szCs w:val="24"/>
              </w:rPr>
              <w:t>The system must provide functionality to collect, compile and send all necessary information needed to process a payment through a payment gateway.</w:t>
            </w:r>
          </w:p>
        </w:tc>
      </w:tr>
      <w:tr w:rsidR="003A0F42" w:rsidRPr="008C4A39" w14:paraId="5C7AFA9C" w14:textId="77777777" w:rsidTr="00883B07">
        <w:tc>
          <w:tcPr>
            <w:tcW w:w="9355" w:type="dxa"/>
            <w:gridSpan w:val="2"/>
          </w:tcPr>
          <w:p w14:paraId="3286125B"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502EF64" w14:textId="77777777" w:rsidTr="00883B07">
        <w:tc>
          <w:tcPr>
            <w:tcW w:w="9355" w:type="dxa"/>
            <w:gridSpan w:val="2"/>
          </w:tcPr>
          <w:p w14:paraId="74ED0C6F"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7769CD2A" w14:textId="77777777" w:rsidTr="001136D3">
        <w:tc>
          <w:tcPr>
            <w:tcW w:w="2245" w:type="dxa"/>
          </w:tcPr>
          <w:p w14:paraId="1CA6ACEB" w14:textId="77777777" w:rsidR="003A0F42" w:rsidRPr="008C4A39" w:rsidRDefault="003A0F42" w:rsidP="003A0F42">
            <w:pPr>
              <w:rPr>
                <w:szCs w:val="24"/>
              </w:rPr>
            </w:pPr>
            <w:r w:rsidRPr="008C4A39">
              <w:rPr>
                <w:szCs w:val="24"/>
              </w:rPr>
              <w:t>FR148</w:t>
            </w:r>
          </w:p>
        </w:tc>
        <w:tc>
          <w:tcPr>
            <w:tcW w:w="7110" w:type="dxa"/>
          </w:tcPr>
          <w:p w14:paraId="414461D4" w14:textId="77777777" w:rsidR="003A0F42" w:rsidRPr="008C4A39" w:rsidRDefault="003A0F42" w:rsidP="003A0F42">
            <w:pPr>
              <w:rPr>
                <w:szCs w:val="24"/>
              </w:rPr>
            </w:pPr>
            <w:r w:rsidRPr="008C4A39">
              <w:rPr>
                <w:szCs w:val="24"/>
              </w:rPr>
              <w:t xml:space="preserve">The system must provide functionality for an issuing CBRA to review an application and make comments and provide messages to the applicant. </w:t>
            </w:r>
          </w:p>
        </w:tc>
      </w:tr>
      <w:tr w:rsidR="003A0F42" w:rsidRPr="008C4A39" w14:paraId="20BEC868" w14:textId="77777777" w:rsidTr="00883B07">
        <w:tc>
          <w:tcPr>
            <w:tcW w:w="9355" w:type="dxa"/>
            <w:gridSpan w:val="2"/>
          </w:tcPr>
          <w:p w14:paraId="30F0CB94"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6F7DD8F2" w14:textId="77777777" w:rsidTr="00883B07">
        <w:tc>
          <w:tcPr>
            <w:tcW w:w="9355" w:type="dxa"/>
            <w:gridSpan w:val="2"/>
          </w:tcPr>
          <w:p w14:paraId="521AF6E0"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69C3EC41" w14:textId="77777777" w:rsidTr="001136D3">
        <w:tc>
          <w:tcPr>
            <w:tcW w:w="2245" w:type="dxa"/>
          </w:tcPr>
          <w:p w14:paraId="49F8B97E" w14:textId="77777777" w:rsidR="003A0F42" w:rsidRPr="008C4A39" w:rsidRDefault="003A0F42" w:rsidP="003A0F42">
            <w:pPr>
              <w:rPr>
                <w:szCs w:val="24"/>
              </w:rPr>
            </w:pPr>
            <w:r w:rsidRPr="008C4A39">
              <w:rPr>
                <w:szCs w:val="24"/>
              </w:rPr>
              <w:t>FR149</w:t>
            </w:r>
          </w:p>
        </w:tc>
        <w:tc>
          <w:tcPr>
            <w:tcW w:w="7110" w:type="dxa"/>
          </w:tcPr>
          <w:p w14:paraId="65F10118" w14:textId="77777777" w:rsidR="003A0F42" w:rsidRPr="008C4A39" w:rsidRDefault="003A0F42" w:rsidP="003A0F42">
            <w:pPr>
              <w:rPr>
                <w:szCs w:val="24"/>
              </w:rPr>
            </w:pPr>
            <w:r w:rsidRPr="008C4A39">
              <w:rPr>
                <w:szCs w:val="24"/>
              </w:rPr>
              <w:t>After successful LPCO processing, the system must prompt the applicant to pay the relevant fee for this LPCO prior to issuance.</w:t>
            </w:r>
          </w:p>
        </w:tc>
      </w:tr>
      <w:tr w:rsidR="003A0F42" w:rsidRPr="008C4A39" w14:paraId="12D88347" w14:textId="77777777" w:rsidTr="00883B07">
        <w:tc>
          <w:tcPr>
            <w:tcW w:w="9355" w:type="dxa"/>
            <w:gridSpan w:val="2"/>
          </w:tcPr>
          <w:p w14:paraId="1C4B6117"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DB581C5" w14:textId="77777777" w:rsidTr="00883B07">
        <w:tc>
          <w:tcPr>
            <w:tcW w:w="9355" w:type="dxa"/>
            <w:gridSpan w:val="2"/>
          </w:tcPr>
          <w:p w14:paraId="1730FF0E"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6F010AAF" w14:textId="77777777" w:rsidTr="001136D3">
        <w:tc>
          <w:tcPr>
            <w:tcW w:w="2245" w:type="dxa"/>
          </w:tcPr>
          <w:p w14:paraId="4740398F" w14:textId="77777777" w:rsidR="003A0F42" w:rsidRPr="008C4A39" w:rsidRDefault="003A0F42" w:rsidP="003A0F42">
            <w:pPr>
              <w:rPr>
                <w:szCs w:val="24"/>
              </w:rPr>
            </w:pPr>
            <w:r w:rsidRPr="008C4A39">
              <w:rPr>
                <w:szCs w:val="24"/>
              </w:rPr>
              <w:t>FR152</w:t>
            </w:r>
          </w:p>
        </w:tc>
        <w:tc>
          <w:tcPr>
            <w:tcW w:w="7110" w:type="dxa"/>
          </w:tcPr>
          <w:p w14:paraId="05ECF85F" w14:textId="77777777" w:rsidR="003A0F42" w:rsidRPr="008C4A39" w:rsidRDefault="003A0F42" w:rsidP="003A0F42">
            <w:pPr>
              <w:rPr>
                <w:szCs w:val="24"/>
              </w:rPr>
            </w:pPr>
            <w:r w:rsidRPr="008C4A39">
              <w:rPr>
                <w:szCs w:val="24"/>
              </w:rPr>
              <w:t xml:space="preserve">An electronic and digitally signed copy of the LPCO will be issued upon successful payment. The electronic copy of the LPCO in PDF format may be downloaded and printed by the Applicant if required. A QR code shall be included in the LPCO to allow both Applicant and Customs and border agency officers to use mobile phones, </w:t>
            </w:r>
            <w:proofErr w:type="gramStart"/>
            <w:r w:rsidRPr="008C4A39">
              <w:rPr>
                <w:szCs w:val="24"/>
              </w:rPr>
              <w:t>tablets</w:t>
            </w:r>
            <w:proofErr w:type="gramEnd"/>
            <w:r w:rsidRPr="008C4A39">
              <w:rPr>
                <w:szCs w:val="24"/>
              </w:rPr>
              <w:t xml:space="preserve"> and barcode scanner to scan the QR code and access the LPCO (in PDF format) stored in the LPCO functionality.</w:t>
            </w:r>
          </w:p>
        </w:tc>
      </w:tr>
      <w:tr w:rsidR="003A0F42" w:rsidRPr="008C4A39" w14:paraId="29337FBC" w14:textId="77777777" w:rsidTr="00883B07">
        <w:tc>
          <w:tcPr>
            <w:tcW w:w="9355" w:type="dxa"/>
            <w:gridSpan w:val="2"/>
          </w:tcPr>
          <w:p w14:paraId="1603C1EE" w14:textId="77777777" w:rsidR="003A0F42" w:rsidRPr="008C4A39" w:rsidRDefault="003A0F42" w:rsidP="003A0F42">
            <w:pPr>
              <w:rPr>
                <w:szCs w:val="24"/>
              </w:rPr>
            </w:pPr>
            <w:r w:rsidRPr="008C4A39">
              <w:rPr>
                <w:szCs w:val="24"/>
              </w:rPr>
              <w:lastRenderedPageBreak/>
              <w:t xml:space="preserve">Bidder’s technical reasons supporting compliance:  </w:t>
            </w:r>
          </w:p>
        </w:tc>
      </w:tr>
      <w:tr w:rsidR="003A0F42" w:rsidRPr="008C4A39" w14:paraId="2BADBC51" w14:textId="77777777" w:rsidTr="00883B07">
        <w:tc>
          <w:tcPr>
            <w:tcW w:w="9355" w:type="dxa"/>
            <w:gridSpan w:val="2"/>
          </w:tcPr>
          <w:p w14:paraId="37B81295"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471B9AB2" w14:textId="77777777" w:rsidTr="001136D3">
        <w:tc>
          <w:tcPr>
            <w:tcW w:w="2245" w:type="dxa"/>
          </w:tcPr>
          <w:p w14:paraId="431E2F44" w14:textId="77777777" w:rsidR="003A0F42" w:rsidRPr="008C4A39" w:rsidRDefault="003A0F42" w:rsidP="003A0F42">
            <w:pPr>
              <w:rPr>
                <w:szCs w:val="24"/>
              </w:rPr>
            </w:pPr>
            <w:r w:rsidRPr="008C4A39">
              <w:rPr>
                <w:szCs w:val="24"/>
              </w:rPr>
              <w:t>FR158</w:t>
            </w:r>
          </w:p>
        </w:tc>
        <w:tc>
          <w:tcPr>
            <w:tcW w:w="7110" w:type="dxa"/>
          </w:tcPr>
          <w:p w14:paraId="7808143F" w14:textId="77777777" w:rsidR="003A0F42" w:rsidRPr="008C4A39" w:rsidRDefault="003A0F42" w:rsidP="003A0F42">
            <w:pPr>
              <w:rPr>
                <w:szCs w:val="24"/>
              </w:rPr>
            </w:pPr>
            <w:r w:rsidRPr="008C4A39">
              <w:rPr>
                <w:szCs w:val="24"/>
              </w:rPr>
              <w:t>The CBRA administrator shall be able to record the following SLAs:</w:t>
            </w:r>
          </w:p>
          <w:p w14:paraId="68FDBF34" w14:textId="77777777" w:rsidR="003A0F42" w:rsidRPr="008C4A39" w:rsidRDefault="003A0F42" w:rsidP="00D530D5">
            <w:pPr>
              <w:numPr>
                <w:ilvl w:val="0"/>
                <w:numId w:val="66"/>
              </w:numPr>
              <w:contextualSpacing/>
              <w:rPr>
                <w:szCs w:val="24"/>
              </w:rPr>
            </w:pPr>
            <w:r w:rsidRPr="008C4A39">
              <w:rPr>
                <w:szCs w:val="24"/>
              </w:rPr>
              <w:t xml:space="preserve">Duration to process will be measured as from time when complete application has been submitted until CBRA has issued rejection or approval for </w:t>
            </w:r>
            <w:proofErr w:type="gramStart"/>
            <w:r w:rsidRPr="008C4A39">
              <w:rPr>
                <w:szCs w:val="24"/>
              </w:rPr>
              <w:t>application;</w:t>
            </w:r>
            <w:proofErr w:type="gramEnd"/>
          </w:p>
          <w:p w14:paraId="699D13B7" w14:textId="77777777" w:rsidR="003A0F42" w:rsidRPr="008C4A39" w:rsidRDefault="003A0F42" w:rsidP="00D530D5">
            <w:pPr>
              <w:numPr>
                <w:ilvl w:val="0"/>
                <w:numId w:val="66"/>
              </w:numPr>
              <w:contextualSpacing/>
              <w:rPr>
                <w:szCs w:val="24"/>
              </w:rPr>
            </w:pPr>
            <w:r w:rsidRPr="008C4A39">
              <w:rPr>
                <w:szCs w:val="24"/>
              </w:rPr>
              <w:t xml:space="preserve"> No. of hours or days to complete processing of </w:t>
            </w:r>
            <w:proofErr w:type="gramStart"/>
            <w:r w:rsidRPr="008C4A39">
              <w:rPr>
                <w:szCs w:val="24"/>
              </w:rPr>
              <w:t>inspection;</w:t>
            </w:r>
            <w:proofErr w:type="gramEnd"/>
          </w:p>
          <w:p w14:paraId="4A0A4DEA" w14:textId="77777777" w:rsidR="003A0F42" w:rsidRPr="008C4A39" w:rsidRDefault="003A0F42" w:rsidP="00D530D5">
            <w:pPr>
              <w:numPr>
                <w:ilvl w:val="0"/>
                <w:numId w:val="66"/>
              </w:numPr>
              <w:contextualSpacing/>
              <w:rPr>
                <w:szCs w:val="24"/>
              </w:rPr>
            </w:pPr>
            <w:r w:rsidRPr="008C4A39">
              <w:rPr>
                <w:szCs w:val="24"/>
              </w:rPr>
              <w:t>Time to complete will be measured as from time when Customs submits request to CBRA for cargo inspection and time when inspection results are entered on NSW; and</w:t>
            </w:r>
          </w:p>
          <w:p w14:paraId="085BDC35" w14:textId="77777777" w:rsidR="003A0F42" w:rsidRPr="008C4A39" w:rsidRDefault="003A0F42" w:rsidP="00D530D5">
            <w:pPr>
              <w:numPr>
                <w:ilvl w:val="0"/>
                <w:numId w:val="66"/>
              </w:numPr>
              <w:contextualSpacing/>
              <w:rPr>
                <w:szCs w:val="24"/>
              </w:rPr>
            </w:pPr>
            <w:r w:rsidRPr="008C4A39">
              <w:rPr>
                <w:szCs w:val="24"/>
              </w:rPr>
              <w:t>Service Level Agreements (SLAs) shall be entered for each LPCO for which CBRA is responsible.</w:t>
            </w:r>
          </w:p>
        </w:tc>
      </w:tr>
      <w:tr w:rsidR="003A0F42" w:rsidRPr="008C4A39" w14:paraId="716D4227" w14:textId="77777777" w:rsidTr="00883B07">
        <w:tc>
          <w:tcPr>
            <w:tcW w:w="9355" w:type="dxa"/>
            <w:gridSpan w:val="2"/>
          </w:tcPr>
          <w:p w14:paraId="090A7669"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33809885" w14:textId="77777777" w:rsidTr="00883B07">
        <w:tc>
          <w:tcPr>
            <w:tcW w:w="9355" w:type="dxa"/>
            <w:gridSpan w:val="2"/>
          </w:tcPr>
          <w:p w14:paraId="078FD239"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438796F4" w14:textId="65253A59" w:rsidTr="001136D3">
        <w:tc>
          <w:tcPr>
            <w:tcW w:w="2245" w:type="dxa"/>
          </w:tcPr>
          <w:p w14:paraId="4A6C9B1D" w14:textId="475E4431" w:rsidR="003A0F42" w:rsidRPr="008C4A39" w:rsidRDefault="003A0F42" w:rsidP="003A0F42">
            <w:pPr>
              <w:rPr>
                <w:szCs w:val="24"/>
              </w:rPr>
            </w:pPr>
            <w:r>
              <w:rPr>
                <w:szCs w:val="24"/>
              </w:rPr>
              <w:t>FR162</w:t>
            </w:r>
          </w:p>
        </w:tc>
        <w:tc>
          <w:tcPr>
            <w:tcW w:w="7110" w:type="dxa"/>
          </w:tcPr>
          <w:p w14:paraId="603C580D" w14:textId="479201DD" w:rsidR="003A0F42" w:rsidRPr="008C4A39" w:rsidRDefault="003A0F42" w:rsidP="003A0F42">
            <w:pPr>
              <w:rPr>
                <w:szCs w:val="24"/>
              </w:rPr>
            </w:pPr>
            <w:r>
              <w:rPr>
                <w:szCs w:val="24"/>
              </w:rPr>
              <w:t xml:space="preserve">The NSW must provide a feature where alerts can be sent to CBRA designated staff when (a) SLA for processing an application is exceeded or (b) SLA for inspection is exceeded. The NSW LPCO Portal shall enable CBRA supervisors to query performance of CBRAs in </w:t>
            </w:r>
            <w:proofErr w:type="gramStart"/>
            <w:r>
              <w:rPr>
                <w:szCs w:val="24"/>
              </w:rPr>
              <w:t>processing of</w:t>
            </w:r>
            <w:proofErr w:type="gramEnd"/>
            <w:r>
              <w:rPr>
                <w:szCs w:val="24"/>
              </w:rPr>
              <w:t xml:space="preserve"> LPCOs. Reports on CBRA performance of SLAs shall also be available.</w:t>
            </w:r>
          </w:p>
        </w:tc>
      </w:tr>
      <w:tr w:rsidR="003A0F42" w:rsidRPr="008C4A39" w14:paraId="45658FFB" w14:textId="77777777" w:rsidTr="00883B07">
        <w:tc>
          <w:tcPr>
            <w:tcW w:w="9355" w:type="dxa"/>
            <w:gridSpan w:val="2"/>
          </w:tcPr>
          <w:p w14:paraId="48CEECF7" w14:textId="33B6982C" w:rsidR="003A0F42" w:rsidRDefault="003A0F42" w:rsidP="003A0F42">
            <w:pPr>
              <w:rPr>
                <w:szCs w:val="24"/>
              </w:rPr>
            </w:pPr>
            <w:r w:rsidRPr="008C4A39">
              <w:rPr>
                <w:szCs w:val="24"/>
              </w:rPr>
              <w:t xml:space="preserve">Bidder’s technical reasons supporting compliance:  </w:t>
            </w:r>
          </w:p>
        </w:tc>
      </w:tr>
      <w:tr w:rsidR="003A0F42" w:rsidRPr="008C4A39" w14:paraId="27A9EB8D" w14:textId="77777777" w:rsidTr="00883B07">
        <w:tc>
          <w:tcPr>
            <w:tcW w:w="9355" w:type="dxa"/>
            <w:gridSpan w:val="2"/>
          </w:tcPr>
          <w:p w14:paraId="62746DEC" w14:textId="3D966253" w:rsidR="003A0F42" w:rsidRDefault="003A0F42" w:rsidP="003A0F42">
            <w:pPr>
              <w:rPr>
                <w:szCs w:val="24"/>
              </w:rPr>
            </w:pPr>
            <w:r w:rsidRPr="008C4A39">
              <w:rPr>
                <w:szCs w:val="24"/>
              </w:rPr>
              <w:t>Bidder’s cross references to supporting information in Technical Bid:</w:t>
            </w:r>
          </w:p>
        </w:tc>
      </w:tr>
      <w:tr w:rsidR="003A0F42" w:rsidRPr="008C4A39" w14:paraId="03CDE8BA" w14:textId="77777777" w:rsidTr="001136D3">
        <w:tc>
          <w:tcPr>
            <w:tcW w:w="2245" w:type="dxa"/>
          </w:tcPr>
          <w:p w14:paraId="6767E88D" w14:textId="77777777" w:rsidR="003A0F42" w:rsidRPr="008C4A39" w:rsidRDefault="003A0F42" w:rsidP="003A0F42">
            <w:pPr>
              <w:rPr>
                <w:szCs w:val="24"/>
              </w:rPr>
            </w:pPr>
            <w:r w:rsidRPr="008C4A39">
              <w:rPr>
                <w:szCs w:val="24"/>
              </w:rPr>
              <w:t>FR188</w:t>
            </w:r>
          </w:p>
        </w:tc>
        <w:tc>
          <w:tcPr>
            <w:tcW w:w="7110" w:type="dxa"/>
          </w:tcPr>
          <w:p w14:paraId="185158F2" w14:textId="77777777" w:rsidR="003A0F42" w:rsidRPr="008C4A39" w:rsidRDefault="003A0F42" w:rsidP="003A0F42">
            <w:pPr>
              <w:rPr>
                <w:szCs w:val="24"/>
              </w:rPr>
            </w:pPr>
            <w:r w:rsidRPr="008C4A39">
              <w:rPr>
                <w:szCs w:val="24"/>
              </w:rPr>
              <w:t>The Inspection/Examination functionality shall provide CBRA user interfaces for scheduling joint examination and drawing of samples, if warranted by the RMS for goods targeted by both Customs and the CBRA.</w:t>
            </w:r>
          </w:p>
        </w:tc>
      </w:tr>
      <w:tr w:rsidR="003A0F42" w:rsidRPr="008C4A39" w14:paraId="15638620" w14:textId="77777777" w:rsidTr="00883B07">
        <w:tc>
          <w:tcPr>
            <w:tcW w:w="9355" w:type="dxa"/>
            <w:gridSpan w:val="2"/>
          </w:tcPr>
          <w:p w14:paraId="0D65CC83"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75B1B7F" w14:textId="77777777" w:rsidTr="00883B07">
        <w:tc>
          <w:tcPr>
            <w:tcW w:w="9355" w:type="dxa"/>
            <w:gridSpan w:val="2"/>
          </w:tcPr>
          <w:p w14:paraId="261D2682"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54418E74" w14:textId="77777777" w:rsidTr="001136D3">
        <w:tc>
          <w:tcPr>
            <w:tcW w:w="2245" w:type="dxa"/>
          </w:tcPr>
          <w:p w14:paraId="0D3AC1EA" w14:textId="77777777" w:rsidR="003A0F42" w:rsidRPr="008C4A39" w:rsidRDefault="003A0F42" w:rsidP="003A0F42">
            <w:pPr>
              <w:rPr>
                <w:szCs w:val="24"/>
              </w:rPr>
            </w:pPr>
            <w:r w:rsidRPr="008C4A39">
              <w:rPr>
                <w:szCs w:val="24"/>
              </w:rPr>
              <w:t>FR190</w:t>
            </w:r>
          </w:p>
        </w:tc>
        <w:tc>
          <w:tcPr>
            <w:tcW w:w="7110" w:type="dxa"/>
          </w:tcPr>
          <w:p w14:paraId="222DDB44" w14:textId="77777777" w:rsidR="003A0F42" w:rsidRPr="008C4A39" w:rsidRDefault="003A0F42" w:rsidP="003A0F42">
            <w:pPr>
              <w:rPr>
                <w:szCs w:val="24"/>
              </w:rPr>
            </w:pPr>
            <w:r w:rsidRPr="008C4A39">
              <w:rPr>
                <w:szCs w:val="24"/>
              </w:rPr>
              <w:t>It will also help Customs to schedule joint inspection with the concerned CBRA agreeing on a mutually agreed date/time and location, and notify relevant parties (via Traders UI, CBRA user interfaces) so that the consignment can be presented as scheduled.</w:t>
            </w:r>
          </w:p>
        </w:tc>
      </w:tr>
      <w:tr w:rsidR="003A0F42" w:rsidRPr="008C4A39" w14:paraId="70B18231" w14:textId="77777777" w:rsidTr="00883B07">
        <w:tc>
          <w:tcPr>
            <w:tcW w:w="9355" w:type="dxa"/>
            <w:gridSpan w:val="2"/>
          </w:tcPr>
          <w:p w14:paraId="7202CE4E"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788FF382" w14:textId="77777777" w:rsidTr="00883B07">
        <w:tc>
          <w:tcPr>
            <w:tcW w:w="9355" w:type="dxa"/>
            <w:gridSpan w:val="2"/>
          </w:tcPr>
          <w:p w14:paraId="64DC7561"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2F10D9C3" w14:textId="77777777" w:rsidTr="001136D3">
        <w:tc>
          <w:tcPr>
            <w:tcW w:w="2245" w:type="dxa"/>
          </w:tcPr>
          <w:p w14:paraId="457DCA4C" w14:textId="77777777" w:rsidR="003A0F42" w:rsidRPr="008C4A39" w:rsidRDefault="003A0F42" w:rsidP="003A0F42">
            <w:pPr>
              <w:rPr>
                <w:szCs w:val="24"/>
              </w:rPr>
            </w:pPr>
            <w:r w:rsidRPr="008C4A39">
              <w:rPr>
                <w:szCs w:val="24"/>
              </w:rPr>
              <w:t>FR227</w:t>
            </w:r>
          </w:p>
        </w:tc>
        <w:tc>
          <w:tcPr>
            <w:tcW w:w="7110" w:type="dxa"/>
          </w:tcPr>
          <w:p w14:paraId="05C69A0F" w14:textId="77777777" w:rsidR="003A0F42" w:rsidRPr="008C4A39" w:rsidRDefault="003A0F42" w:rsidP="003A0F42">
            <w:pPr>
              <w:rPr>
                <w:szCs w:val="24"/>
              </w:rPr>
            </w:pPr>
            <w:r w:rsidRPr="008C4A39">
              <w:rPr>
                <w:szCs w:val="24"/>
              </w:rPr>
              <w:t>The system must be able to compute all taxes, fees, fines, penalties, and charges based on computable parameters. It should also compute late payment fees, payable interest etc.</w:t>
            </w:r>
          </w:p>
        </w:tc>
      </w:tr>
      <w:tr w:rsidR="003A0F42" w:rsidRPr="008C4A39" w14:paraId="01F2A240" w14:textId="77777777" w:rsidTr="00883B07">
        <w:tc>
          <w:tcPr>
            <w:tcW w:w="9355" w:type="dxa"/>
            <w:gridSpan w:val="2"/>
          </w:tcPr>
          <w:p w14:paraId="347EDD0A"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9BD3535" w14:textId="77777777" w:rsidTr="00883B07">
        <w:tc>
          <w:tcPr>
            <w:tcW w:w="9355" w:type="dxa"/>
            <w:gridSpan w:val="2"/>
          </w:tcPr>
          <w:p w14:paraId="54472E04" w14:textId="77777777" w:rsidR="003A0F42" w:rsidRPr="008C4A39" w:rsidRDefault="003A0F42" w:rsidP="003A0F42">
            <w:pPr>
              <w:rPr>
                <w:szCs w:val="24"/>
              </w:rPr>
            </w:pPr>
            <w:r w:rsidRPr="008C4A39">
              <w:rPr>
                <w:szCs w:val="24"/>
              </w:rPr>
              <w:lastRenderedPageBreak/>
              <w:t>Bidder’s cross references to supporting information in Technical Bid:</w:t>
            </w:r>
          </w:p>
        </w:tc>
      </w:tr>
      <w:tr w:rsidR="003A0F42" w:rsidRPr="008C4A39" w14:paraId="66C96ED0" w14:textId="77777777" w:rsidTr="001136D3">
        <w:tc>
          <w:tcPr>
            <w:tcW w:w="2245" w:type="dxa"/>
          </w:tcPr>
          <w:p w14:paraId="7AAF165B" w14:textId="77777777" w:rsidR="003A0F42" w:rsidRPr="008C4A39" w:rsidRDefault="003A0F42" w:rsidP="003A0F42">
            <w:pPr>
              <w:rPr>
                <w:szCs w:val="24"/>
              </w:rPr>
            </w:pPr>
            <w:r w:rsidRPr="008C4A39">
              <w:rPr>
                <w:szCs w:val="24"/>
              </w:rPr>
              <w:t>FR239</w:t>
            </w:r>
          </w:p>
        </w:tc>
        <w:tc>
          <w:tcPr>
            <w:tcW w:w="7110" w:type="dxa"/>
          </w:tcPr>
          <w:p w14:paraId="29F994AD" w14:textId="77777777" w:rsidR="003A0F42" w:rsidRPr="008C4A39" w:rsidRDefault="003A0F42" w:rsidP="003A0F42">
            <w:pPr>
              <w:rPr>
                <w:szCs w:val="24"/>
              </w:rPr>
            </w:pPr>
            <w:r w:rsidRPr="008C4A39">
              <w:rPr>
                <w:szCs w:val="24"/>
              </w:rPr>
              <w:t>The system must provide functionality to create a payment advice that contains all necessary information to conduct a payment and produce a receipt of the actual payment.</w:t>
            </w:r>
          </w:p>
        </w:tc>
      </w:tr>
      <w:tr w:rsidR="003A0F42" w:rsidRPr="008C4A39" w14:paraId="007481BD" w14:textId="77777777" w:rsidTr="00883B07">
        <w:tc>
          <w:tcPr>
            <w:tcW w:w="9355" w:type="dxa"/>
            <w:gridSpan w:val="2"/>
          </w:tcPr>
          <w:p w14:paraId="58AD03B8"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2DF2631F" w14:textId="77777777" w:rsidTr="00883B07">
        <w:tc>
          <w:tcPr>
            <w:tcW w:w="9355" w:type="dxa"/>
            <w:gridSpan w:val="2"/>
          </w:tcPr>
          <w:p w14:paraId="10A1E59D"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0EB614B5" w14:textId="77777777" w:rsidTr="001136D3">
        <w:tc>
          <w:tcPr>
            <w:tcW w:w="2245" w:type="dxa"/>
          </w:tcPr>
          <w:p w14:paraId="46D16C3F" w14:textId="77777777" w:rsidR="003A0F42" w:rsidRPr="008C4A39" w:rsidRDefault="003A0F42" w:rsidP="003A0F42">
            <w:pPr>
              <w:rPr>
                <w:szCs w:val="24"/>
              </w:rPr>
            </w:pPr>
            <w:r w:rsidRPr="008C4A39">
              <w:rPr>
                <w:szCs w:val="24"/>
              </w:rPr>
              <w:t>FR240</w:t>
            </w:r>
          </w:p>
        </w:tc>
        <w:tc>
          <w:tcPr>
            <w:tcW w:w="7110" w:type="dxa"/>
          </w:tcPr>
          <w:p w14:paraId="6B32961F" w14:textId="77777777" w:rsidR="003A0F42" w:rsidRPr="008C4A39" w:rsidRDefault="003A0F42" w:rsidP="003A0F42">
            <w:pPr>
              <w:rPr>
                <w:szCs w:val="24"/>
              </w:rPr>
            </w:pPr>
            <w:r w:rsidRPr="008C4A39">
              <w:rPr>
                <w:szCs w:val="24"/>
              </w:rPr>
              <w:t>The system must ensure that only the trader and the payee is associated to the created advice.</w:t>
            </w:r>
          </w:p>
        </w:tc>
      </w:tr>
      <w:tr w:rsidR="003A0F42" w:rsidRPr="008C4A39" w14:paraId="47A48397" w14:textId="77777777" w:rsidTr="00883B07">
        <w:tc>
          <w:tcPr>
            <w:tcW w:w="9355" w:type="dxa"/>
            <w:gridSpan w:val="2"/>
          </w:tcPr>
          <w:p w14:paraId="7A451787"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2A84C84E" w14:textId="77777777" w:rsidTr="00883B07">
        <w:tc>
          <w:tcPr>
            <w:tcW w:w="9355" w:type="dxa"/>
            <w:gridSpan w:val="2"/>
          </w:tcPr>
          <w:p w14:paraId="0D5900EA"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4EADEC5D" w14:textId="77777777" w:rsidTr="001136D3">
        <w:tc>
          <w:tcPr>
            <w:tcW w:w="2245" w:type="dxa"/>
          </w:tcPr>
          <w:p w14:paraId="43053420" w14:textId="77777777" w:rsidR="003A0F42" w:rsidRPr="008C4A39" w:rsidRDefault="003A0F42" w:rsidP="003A0F42">
            <w:pPr>
              <w:rPr>
                <w:szCs w:val="24"/>
              </w:rPr>
            </w:pPr>
            <w:r w:rsidRPr="008C4A39">
              <w:rPr>
                <w:szCs w:val="24"/>
              </w:rPr>
              <w:t>FR410</w:t>
            </w:r>
          </w:p>
        </w:tc>
        <w:tc>
          <w:tcPr>
            <w:tcW w:w="7110" w:type="dxa"/>
          </w:tcPr>
          <w:p w14:paraId="39AD76A8" w14:textId="77777777" w:rsidR="003A0F42" w:rsidRPr="008C4A39" w:rsidRDefault="003A0F42" w:rsidP="003A0F42">
            <w:pPr>
              <w:rPr>
                <w:szCs w:val="24"/>
              </w:rPr>
            </w:pPr>
            <w:r w:rsidRPr="008C4A39">
              <w:rPr>
                <w:szCs w:val="24"/>
              </w:rPr>
              <w:t>The system must be able to send the Application for the LPCO to consultation module in TARIM for receiving the appropriate measure by tariff code ITE (TARIC).</w:t>
            </w:r>
          </w:p>
        </w:tc>
      </w:tr>
      <w:tr w:rsidR="003A0F42" w:rsidRPr="008C4A39" w14:paraId="2F384008" w14:textId="77777777" w:rsidTr="00883B07">
        <w:tc>
          <w:tcPr>
            <w:tcW w:w="9355" w:type="dxa"/>
            <w:gridSpan w:val="2"/>
          </w:tcPr>
          <w:p w14:paraId="015183C1"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5D960E28" w14:textId="77777777" w:rsidTr="00883B07">
        <w:tc>
          <w:tcPr>
            <w:tcW w:w="9355" w:type="dxa"/>
            <w:gridSpan w:val="2"/>
          </w:tcPr>
          <w:p w14:paraId="1BFD403C"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2AB4F833" w14:textId="77777777" w:rsidTr="001136D3">
        <w:tc>
          <w:tcPr>
            <w:tcW w:w="2245" w:type="dxa"/>
          </w:tcPr>
          <w:p w14:paraId="60A9FA3F" w14:textId="77777777" w:rsidR="003A0F42" w:rsidRPr="008C4A39" w:rsidRDefault="003A0F42" w:rsidP="003A0F42">
            <w:pPr>
              <w:rPr>
                <w:szCs w:val="24"/>
              </w:rPr>
            </w:pPr>
            <w:r w:rsidRPr="008C4A39">
              <w:rPr>
                <w:szCs w:val="24"/>
              </w:rPr>
              <w:t>FR411</w:t>
            </w:r>
          </w:p>
        </w:tc>
        <w:tc>
          <w:tcPr>
            <w:tcW w:w="7110" w:type="dxa"/>
          </w:tcPr>
          <w:p w14:paraId="73F21FA5" w14:textId="77777777" w:rsidR="003A0F42" w:rsidRPr="008C4A39" w:rsidRDefault="003A0F42" w:rsidP="003A0F42">
            <w:pPr>
              <w:rPr>
                <w:szCs w:val="24"/>
              </w:rPr>
            </w:pPr>
            <w:r w:rsidRPr="008C4A39">
              <w:rPr>
                <w:szCs w:val="24"/>
              </w:rPr>
              <w:t xml:space="preserve">The system must be able to send Economic Operator data to EORI for checks. </w:t>
            </w:r>
          </w:p>
        </w:tc>
      </w:tr>
      <w:tr w:rsidR="003A0F42" w:rsidRPr="008C4A39" w14:paraId="264A3303" w14:textId="77777777" w:rsidTr="00883B07">
        <w:tc>
          <w:tcPr>
            <w:tcW w:w="9355" w:type="dxa"/>
            <w:gridSpan w:val="2"/>
          </w:tcPr>
          <w:p w14:paraId="7BA28EB8"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CE5A6C1" w14:textId="77777777" w:rsidTr="00883B07">
        <w:tc>
          <w:tcPr>
            <w:tcW w:w="9355" w:type="dxa"/>
            <w:gridSpan w:val="2"/>
          </w:tcPr>
          <w:p w14:paraId="0793D1D6"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557187AB" w14:textId="77777777" w:rsidTr="001136D3">
        <w:tc>
          <w:tcPr>
            <w:tcW w:w="2245" w:type="dxa"/>
          </w:tcPr>
          <w:p w14:paraId="213B13CE" w14:textId="77777777" w:rsidR="003A0F42" w:rsidRPr="008C4A39" w:rsidRDefault="003A0F42" w:rsidP="003A0F42">
            <w:pPr>
              <w:rPr>
                <w:szCs w:val="24"/>
              </w:rPr>
            </w:pPr>
            <w:r w:rsidRPr="008C4A39">
              <w:rPr>
                <w:szCs w:val="24"/>
              </w:rPr>
              <w:t>FR412</w:t>
            </w:r>
          </w:p>
        </w:tc>
        <w:tc>
          <w:tcPr>
            <w:tcW w:w="7110" w:type="dxa"/>
          </w:tcPr>
          <w:p w14:paraId="72738992" w14:textId="77777777" w:rsidR="003A0F42" w:rsidRPr="008C4A39" w:rsidRDefault="003A0F42" w:rsidP="003A0F42">
            <w:pPr>
              <w:rPr>
                <w:szCs w:val="24"/>
              </w:rPr>
            </w:pPr>
            <w:r w:rsidRPr="008C4A39">
              <w:rPr>
                <w:szCs w:val="24"/>
              </w:rPr>
              <w:t>The system must be able to perform business validation of the application for LPCO with verifying the data of the fields if they comply with the rules and conditions, and that all documents are available for the LPCO.</w:t>
            </w:r>
          </w:p>
        </w:tc>
      </w:tr>
      <w:tr w:rsidR="003A0F42" w:rsidRPr="008C4A39" w14:paraId="51D7F608" w14:textId="77777777" w:rsidTr="00883B07">
        <w:tc>
          <w:tcPr>
            <w:tcW w:w="9355" w:type="dxa"/>
            <w:gridSpan w:val="2"/>
          </w:tcPr>
          <w:p w14:paraId="7F6E9F08"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5BACAB5" w14:textId="77777777" w:rsidTr="00883B07">
        <w:tc>
          <w:tcPr>
            <w:tcW w:w="9355" w:type="dxa"/>
            <w:gridSpan w:val="2"/>
          </w:tcPr>
          <w:p w14:paraId="6506821F"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62EAC8C2" w14:textId="77777777" w:rsidTr="001136D3">
        <w:tc>
          <w:tcPr>
            <w:tcW w:w="2245" w:type="dxa"/>
          </w:tcPr>
          <w:p w14:paraId="29FF6DBA" w14:textId="77777777" w:rsidR="003A0F42" w:rsidRPr="008C4A39" w:rsidRDefault="003A0F42" w:rsidP="003A0F42">
            <w:pPr>
              <w:rPr>
                <w:szCs w:val="24"/>
              </w:rPr>
            </w:pPr>
            <w:r w:rsidRPr="008C4A39">
              <w:rPr>
                <w:szCs w:val="24"/>
              </w:rPr>
              <w:t>FR413</w:t>
            </w:r>
          </w:p>
        </w:tc>
        <w:tc>
          <w:tcPr>
            <w:tcW w:w="7110" w:type="dxa"/>
          </w:tcPr>
          <w:p w14:paraId="47214898" w14:textId="77777777" w:rsidR="003A0F42" w:rsidRPr="008C4A39" w:rsidRDefault="003A0F42" w:rsidP="003A0F42">
            <w:pPr>
              <w:rPr>
                <w:szCs w:val="24"/>
              </w:rPr>
            </w:pPr>
            <w:r w:rsidRPr="008C4A39">
              <w:rPr>
                <w:szCs w:val="24"/>
              </w:rPr>
              <w:t>The system must be able to verify ITE measures for the application for LPCO.</w:t>
            </w:r>
          </w:p>
        </w:tc>
      </w:tr>
      <w:tr w:rsidR="003A0F42" w:rsidRPr="008C4A39" w14:paraId="6AB3D516" w14:textId="77777777" w:rsidTr="00883B07">
        <w:tc>
          <w:tcPr>
            <w:tcW w:w="9355" w:type="dxa"/>
            <w:gridSpan w:val="2"/>
          </w:tcPr>
          <w:p w14:paraId="642496A3"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FC41F78" w14:textId="77777777" w:rsidTr="00883B07">
        <w:tc>
          <w:tcPr>
            <w:tcW w:w="9355" w:type="dxa"/>
            <w:gridSpan w:val="2"/>
          </w:tcPr>
          <w:p w14:paraId="1002A016"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2D7F98F2" w14:textId="77777777" w:rsidTr="001136D3">
        <w:tc>
          <w:tcPr>
            <w:tcW w:w="2245" w:type="dxa"/>
          </w:tcPr>
          <w:p w14:paraId="31F81044" w14:textId="77777777" w:rsidR="003A0F42" w:rsidRPr="008C4A39" w:rsidRDefault="003A0F42" w:rsidP="003A0F42">
            <w:pPr>
              <w:rPr>
                <w:szCs w:val="24"/>
              </w:rPr>
            </w:pPr>
            <w:r w:rsidRPr="008C4A39">
              <w:rPr>
                <w:szCs w:val="24"/>
              </w:rPr>
              <w:t>FR414</w:t>
            </w:r>
          </w:p>
        </w:tc>
        <w:tc>
          <w:tcPr>
            <w:tcW w:w="7110" w:type="dxa"/>
          </w:tcPr>
          <w:p w14:paraId="1494DA18" w14:textId="77777777" w:rsidR="003A0F42" w:rsidRPr="008C4A39" w:rsidRDefault="003A0F42" w:rsidP="003A0F42">
            <w:pPr>
              <w:rPr>
                <w:szCs w:val="24"/>
              </w:rPr>
            </w:pPr>
            <w:r w:rsidRPr="008C4A39">
              <w:rPr>
                <w:szCs w:val="24"/>
              </w:rPr>
              <w:t>The system must be able to validate the EORI data response for Economic Operator for application for LPCO.</w:t>
            </w:r>
          </w:p>
        </w:tc>
      </w:tr>
      <w:tr w:rsidR="003A0F42" w:rsidRPr="008C4A39" w14:paraId="1899371A" w14:textId="77777777" w:rsidTr="00883B07">
        <w:tc>
          <w:tcPr>
            <w:tcW w:w="9355" w:type="dxa"/>
            <w:gridSpan w:val="2"/>
          </w:tcPr>
          <w:p w14:paraId="131B47AB"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5EBCCA3F" w14:textId="77777777" w:rsidTr="00883B07">
        <w:tc>
          <w:tcPr>
            <w:tcW w:w="9355" w:type="dxa"/>
            <w:gridSpan w:val="2"/>
          </w:tcPr>
          <w:p w14:paraId="48E39AF7"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35331B0E" w14:textId="77777777" w:rsidTr="001136D3">
        <w:tc>
          <w:tcPr>
            <w:tcW w:w="2245" w:type="dxa"/>
          </w:tcPr>
          <w:p w14:paraId="0BA7CEE6" w14:textId="77777777" w:rsidR="003A0F42" w:rsidRPr="008C4A39" w:rsidRDefault="003A0F42" w:rsidP="003A0F42">
            <w:pPr>
              <w:rPr>
                <w:szCs w:val="24"/>
              </w:rPr>
            </w:pPr>
            <w:r w:rsidRPr="008C4A39">
              <w:rPr>
                <w:szCs w:val="24"/>
              </w:rPr>
              <w:lastRenderedPageBreak/>
              <w:t>FR415</w:t>
            </w:r>
          </w:p>
        </w:tc>
        <w:tc>
          <w:tcPr>
            <w:tcW w:w="7110" w:type="dxa"/>
          </w:tcPr>
          <w:p w14:paraId="3FB8F245" w14:textId="77777777" w:rsidR="003A0F42" w:rsidRPr="008C4A39" w:rsidRDefault="003A0F42" w:rsidP="003A0F42">
            <w:pPr>
              <w:rPr>
                <w:szCs w:val="24"/>
              </w:rPr>
            </w:pPr>
            <w:r w:rsidRPr="008C4A39">
              <w:rPr>
                <w:szCs w:val="24"/>
              </w:rPr>
              <w:t>The system must be able to notify EO of rejection of application for LPCO.</w:t>
            </w:r>
          </w:p>
        </w:tc>
      </w:tr>
      <w:tr w:rsidR="003A0F42" w:rsidRPr="008C4A39" w14:paraId="4D76C8D0" w14:textId="77777777" w:rsidTr="00883B07">
        <w:tc>
          <w:tcPr>
            <w:tcW w:w="9355" w:type="dxa"/>
            <w:gridSpan w:val="2"/>
          </w:tcPr>
          <w:p w14:paraId="04A1C7B3"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3D224CD8" w14:textId="77777777" w:rsidTr="00883B07">
        <w:tc>
          <w:tcPr>
            <w:tcW w:w="9355" w:type="dxa"/>
            <w:gridSpan w:val="2"/>
          </w:tcPr>
          <w:p w14:paraId="6102A289"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2E8E5449" w14:textId="77777777" w:rsidTr="001136D3">
        <w:tc>
          <w:tcPr>
            <w:tcW w:w="2245" w:type="dxa"/>
          </w:tcPr>
          <w:p w14:paraId="67EAC399" w14:textId="77777777" w:rsidR="003A0F42" w:rsidRPr="008C4A39" w:rsidRDefault="003A0F42" w:rsidP="003A0F42">
            <w:pPr>
              <w:rPr>
                <w:szCs w:val="24"/>
              </w:rPr>
            </w:pPr>
            <w:r w:rsidRPr="008C4A39">
              <w:rPr>
                <w:szCs w:val="24"/>
              </w:rPr>
              <w:t>FR416</w:t>
            </w:r>
          </w:p>
        </w:tc>
        <w:tc>
          <w:tcPr>
            <w:tcW w:w="7110" w:type="dxa"/>
          </w:tcPr>
          <w:p w14:paraId="345EA936" w14:textId="77777777" w:rsidR="003A0F42" w:rsidRPr="008C4A39" w:rsidRDefault="003A0F42" w:rsidP="003A0F42">
            <w:pPr>
              <w:rPr>
                <w:szCs w:val="24"/>
              </w:rPr>
            </w:pPr>
            <w:r w:rsidRPr="008C4A39">
              <w:rPr>
                <w:szCs w:val="24"/>
              </w:rPr>
              <w:t>The system must be able to allocate Unique Number to the LPCO.</w:t>
            </w:r>
          </w:p>
        </w:tc>
      </w:tr>
      <w:tr w:rsidR="003A0F42" w:rsidRPr="008C4A39" w14:paraId="45BBD0E8" w14:textId="77777777" w:rsidTr="00883B07">
        <w:tc>
          <w:tcPr>
            <w:tcW w:w="9355" w:type="dxa"/>
            <w:gridSpan w:val="2"/>
          </w:tcPr>
          <w:p w14:paraId="25443BEE"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28399185" w14:textId="77777777" w:rsidTr="00883B07">
        <w:tc>
          <w:tcPr>
            <w:tcW w:w="9355" w:type="dxa"/>
            <w:gridSpan w:val="2"/>
          </w:tcPr>
          <w:p w14:paraId="514A3E01"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0F04C93D" w14:textId="77777777" w:rsidTr="001136D3">
        <w:tc>
          <w:tcPr>
            <w:tcW w:w="2245" w:type="dxa"/>
          </w:tcPr>
          <w:p w14:paraId="43905709" w14:textId="77777777" w:rsidR="003A0F42" w:rsidRPr="008C4A39" w:rsidRDefault="003A0F42" w:rsidP="003A0F42">
            <w:pPr>
              <w:rPr>
                <w:szCs w:val="24"/>
              </w:rPr>
            </w:pPr>
            <w:r w:rsidRPr="008C4A39">
              <w:rPr>
                <w:szCs w:val="24"/>
              </w:rPr>
              <w:t>FR417</w:t>
            </w:r>
          </w:p>
        </w:tc>
        <w:tc>
          <w:tcPr>
            <w:tcW w:w="7110" w:type="dxa"/>
          </w:tcPr>
          <w:p w14:paraId="1367C532" w14:textId="77777777" w:rsidR="003A0F42" w:rsidRPr="008C4A39" w:rsidRDefault="003A0F42" w:rsidP="003A0F42">
            <w:pPr>
              <w:rPr>
                <w:szCs w:val="24"/>
              </w:rPr>
            </w:pPr>
            <w:r w:rsidRPr="008C4A39">
              <w:rPr>
                <w:szCs w:val="24"/>
              </w:rPr>
              <w:t>The system must be able to change status of the application for LPCO to accepted.</w:t>
            </w:r>
          </w:p>
        </w:tc>
      </w:tr>
      <w:tr w:rsidR="003A0F42" w:rsidRPr="008C4A39" w14:paraId="78D4DA04" w14:textId="77777777" w:rsidTr="00883B07">
        <w:tc>
          <w:tcPr>
            <w:tcW w:w="9355" w:type="dxa"/>
            <w:gridSpan w:val="2"/>
          </w:tcPr>
          <w:p w14:paraId="45A8D3DF"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1B513B10" w14:textId="77777777" w:rsidTr="00883B07">
        <w:tc>
          <w:tcPr>
            <w:tcW w:w="9355" w:type="dxa"/>
            <w:gridSpan w:val="2"/>
          </w:tcPr>
          <w:p w14:paraId="18BCBAA6"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70C83217" w14:textId="77777777" w:rsidTr="001136D3">
        <w:tc>
          <w:tcPr>
            <w:tcW w:w="2245" w:type="dxa"/>
          </w:tcPr>
          <w:p w14:paraId="1653969A" w14:textId="77777777" w:rsidR="003A0F42" w:rsidRPr="008C4A39" w:rsidRDefault="003A0F42" w:rsidP="003A0F42">
            <w:pPr>
              <w:rPr>
                <w:szCs w:val="24"/>
              </w:rPr>
            </w:pPr>
            <w:r w:rsidRPr="008C4A39">
              <w:rPr>
                <w:szCs w:val="24"/>
              </w:rPr>
              <w:t>FR418</w:t>
            </w:r>
          </w:p>
        </w:tc>
        <w:tc>
          <w:tcPr>
            <w:tcW w:w="7110" w:type="dxa"/>
          </w:tcPr>
          <w:p w14:paraId="1FC557DB" w14:textId="77777777" w:rsidR="003A0F42" w:rsidRPr="008C4A39" w:rsidRDefault="003A0F42" w:rsidP="003A0F42">
            <w:pPr>
              <w:rPr>
                <w:szCs w:val="24"/>
              </w:rPr>
            </w:pPr>
            <w:r w:rsidRPr="008C4A39">
              <w:rPr>
                <w:szCs w:val="24"/>
              </w:rPr>
              <w:t>The system must be able to send application for LPCO to risk analysis.</w:t>
            </w:r>
          </w:p>
        </w:tc>
      </w:tr>
      <w:tr w:rsidR="003A0F42" w:rsidRPr="008C4A39" w14:paraId="069D08AB" w14:textId="77777777" w:rsidTr="00883B07">
        <w:tc>
          <w:tcPr>
            <w:tcW w:w="9355" w:type="dxa"/>
            <w:gridSpan w:val="2"/>
          </w:tcPr>
          <w:p w14:paraId="4B368BC6"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1EB3EDD" w14:textId="77777777" w:rsidTr="00883B07">
        <w:tc>
          <w:tcPr>
            <w:tcW w:w="9355" w:type="dxa"/>
            <w:gridSpan w:val="2"/>
          </w:tcPr>
          <w:p w14:paraId="51624483"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43E5A298" w14:textId="77777777" w:rsidTr="001136D3">
        <w:tc>
          <w:tcPr>
            <w:tcW w:w="2245" w:type="dxa"/>
          </w:tcPr>
          <w:p w14:paraId="78D785FD" w14:textId="77777777" w:rsidR="003A0F42" w:rsidRPr="008C4A39" w:rsidRDefault="003A0F42" w:rsidP="003A0F42">
            <w:pPr>
              <w:rPr>
                <w:szCs w:val="24"/>
              </w:rPr>
            </w:pPr>
            <w:r w:rsidRPr="008C4A39">
              <w:rPr>
                <w:szCs w:val="24"/>
              </w:rPr>
              <w:t>FR419</w:t>
            </w:r>
          </w:p>
        </w:tc>
        <w:tc>
          <w:tcPr>
            <w:tcW w:w="7110" w:type="dxa"/>
          </w:tcPr>
          <w:p w14:paraId="7F3C35B7" w14:textId="77777777" w:rsidR="003A0F42" w:rsidRPr="008C4A39" w:rsidRDefault="003A0F42" w:rsidP="003A0F42">
            <w:pPr>
              <w:rPr>
                <w:szCs w:val="24"/>
              </w:rPr>
            </w:pPr>
            <w:r w:rsidRPr="008C4A39">
              <w:rPr>
                <w:szCs w:val="24"/>
              </w:rPr>
              <w:t>The system must be able to check if additional controls are recommended from the results of the risk analysis.</w:t>
            </w:r>
          </w:p>
        </w:tc>
      </w:tr>
      <w:tr w:rsidR="003A0F42" w:rsidRPr="008C4A39" w14:paraId="7642C653" w14:textId="77777777" w:rsidTr="00883B07">
        <w:tc>
          <w:tcPr>
            <w:tcW w:w="9355" w:type="dxa"/>
            <w:gridSpan w:val="2"/>
          </w:tcPr>
          <w:p w14:paraId="5B9B7776"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1B68513D" w14:textId="77777777" w:rsidTr="00883B07">
        <w:tc>
          <w:tcPr>
            <w:tcW w:w="9355" w:type="dxa"/>
            <w:gridSpan w:val="2"/>
          </w:tcPr>
          <w:p w14:paraId="7ABF63E5"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3277EF64" w14:textId="77777777" w:rsidTr="001136D3">
        <w:tc>
          <w:tcPr>
            <w:tcW w:w="2245" w:type="dxa"/>
          </w:tcPr>
          <w:p w14:paraId="0C014D2E" w14:textId="77777777" w:rsidR="003A0F42" w:rsidRPr="008C4A39" w:rsidRDefault="003A0F42" w:rsidP="003A0F42">
            <w:pPr>
              <w:rPr>
                <w:szCs w:val="24"/>
              </w:rPr>
            </w:pPr>
            <w:r w:rsidRPr="008C4A39">
              <w:rPr>
                <w:szCs w:val="24"/>
              </w:rPr>
              <w:t>FR420</w:t>
            </w:r>
          </w:p>
        </w:tc>
        <w:tc>
          <w:tcPr>
            <w:tcW w:w="7110" w:type="dxa"/>
          </w:tcPr>
          <w:p w14:paraId="28FAA425" w14:textId="77777777" w:rsidR="003A0F42" w:rsidRPr="008C4A39" w:rsidRDefault="003A0F42" w:rsidP="003A0F42">
            <w:pPr>
              <w:rPr>
                <w:szCs w:val="24"/>
              </w:rPr>
            </w:pPr>
            <w:r w:rsidRPr="008C4A39">
              <w:rPr>
                <w:szCs w:val="24"/>
              </w:rPr>
              <w:t>The system must be able to notify EO for time and place of control.</w:t>
            </w:r>
          </w:p>
        </w:tc>
      </w:tr>
      <w:tr w:rsidR="003A0F42" w:rsidRPr="008C4A39" w14:paraId="117AD4D7" w14:textId="77777777" w:rsidTr="00883B07">
        <w:tc>
          <w:tcPr>
            <w:tcW w:w="9355" w:type="dxa"/>
            <w:gridSpan w:val="2"/>
          </w:tcPr>
          <w:p w14:paraId="3E27A1E6"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3BA3BDC6" w14:textId="77777777" w:rsidTr="00883B07">
        <w:tc>
          <w:tcPr>
            <w:tcW w:w="9355" w:type="dxa"/>
            <w:gridSpan w:val="2"/>
          </w:tcPr>
          <w:p w14:paraId="3043FF3E"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7B9FAE76" w14:textId="77777777" w:rsidTr="001136D3">
        <w:tc>
          <w:tcPr>
            <w:tcW w:w="2245" w:type="dxa"/>
          </w:tcPr>
          <w:p w14:paraId="13B41D04" w14:textId="77777777" w:rsidR="003A0F42" w:rsidRPr="008C4A39" w:rsidRDefault="003A0F42" w:rsidP="003A0F42">
            <w:pPr>
              <w:rPr>
                <w:szCs w:val="24"/>
              </w:rPr>
            </w:pPr>
            <w:r w:rsidRPr="008C4A39">
              <w:rPr>
                <w:szCs w:val="24"/>
              </w:rPr>
              <w:t>FR421</w:t>
            </w:r>
          </w:p>
        </w:tc>
        <w:tc>
          <w:tcPr>
            <w:tcW w:w="7110" w:type="dxa"/>
          </w:tcPr>
          <w:p w14:paraId="7FC9CBE3" w14:textId="77777777" w:rsidR="003A0F42" w:rsidRPr="008C4A39" w:rsidRDefault="003A0F42" w:rsidP="003A0F42">
            <w:pPr>
              <w:rPr>
                <w:szCs w:val="24"/>
              </w:rPr>
            </w:pPr>
            <w:r w:rsidRPr="008C4A39">
              <w:rPr>
                <w:szCs w:val="24"/>
              </w:rPr>
              <w:t>The system must be able to send application for LPCO for controls to inspection control results.</w:t>
            </w:r>
          </w:p>
        </w:tc>
      </w:tr>
      <w:tr w:rsidR="003A0F42" w:rsidRPr="008C4A39" w14:paraId="45785E27" w14:textId="77777777" w:rsidTr="00883B07">
        <w:tc>
          <w:tcPr>
            <w:tcW w:w="9355" w:type="dxa"/>
            <w:gridSpan w:val="2"/>
          </w:tcPr>
          <w:p w14:paraId="37F4CD65"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42D52EC5" w14:textId="77777777" w:rsidTr="00883B07">
        <w:tc>
          <w:tcPr>
            <w:tcW w:w="9355" w:type="dxa"/>
            <w:gridSpan w:val="2"/>
          </w:tcPr>
          <w:p w14:paraId="35C0DC6E"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7A08CC70" w14:textId="77777777" w:rsidTr="001136D3">
        <w:tc>
          <w:tcPr>
            <w:tcW w:w="2245" w:type="dxa"/>
          </w:tcPr>
          <w:p w14:paraId="077007FF" w14:textId="77777777" w:rsidR="003A0F42" w:rsidRPr="008C4A39" w:rsidRDefault="003A0F42" w:rsidP="003A0F42">
            <w:pPr>
              <w:rPr>
                <w:szCs w:val="24"/>
              </w:rPr>
            </w:pPr>
            <w:r w:rsidRPr="008C4A39">
              <w:rPr>
                <w:szCs w:val="24"/>
              </w:rPr>
              <w:t>FR422</w:t>
            </w:r>
          </w:p>
        </w:tc>
        <w:tc>
          <w:tcPr>
            <w:tcW w:w="7110" w:type="dxa"/>
          </w:tcPr>
          <w:p w14:paraId="6FEF7F9A" w14:textId="77777777" w:rsidR="003A0F42" w:rsidRPr="008C4A39" w:rsidRDefault="003A0F42" w:rsidP="003A0F42">
            <w:pPr>
              <w:rPr>
                <w:szCs w:val="24"/>
              </w:rPr>
            </w:pPr>
            <w:r w:rsidRPr="008C4A39">
              <w:rPr>
                <w:szCs w:val="24"/>
              </w:rPr>
              <w:t xml:space="preserve">The system must </w:t>
            </w:r>
            <w:proofErr w:type="gramStart"/>
            <w:r w:rsidRPr="008C4A39">
              <w:rPr>
                <w:szCs w:val="24"/>
              </w:rPr>
              <w:t>allow to</w:t>
            </w:r>
            <w:proofErr w:type="gramEnd"/>
            <w:r w:rsidRPr="008C4A39">
              <w:rPr>
                <w:szCs w:val="24"/>
              </w:rPr>
              <w:t xml:space="preserve"> the NSW Officer to accept or reject the application for LPCO (issuing LPCO). The NSW Officer, should be presented with:  </w:t>
            </w:r>
          </w:p>
          <w:p w14:paraId="51FF191A" w14:textId="77777777" w:rsidR="003A0F42" w:rsidRPr="008C4A39" w:rsidRDefault="003A0F42" w:rsidP="00D530D5">
            <w:pPr>
              <w:numPr>
                <w:ilvl w:val="0"/>
                <w:numId w:val="135"/>
              </w:numPr>
              <w:ind w:left="577" w:hanging="270"/>
              <w:contextualSpacing/>
              <w:rPr>
                <w:szCs w:val="24"/>
              </w:rPr>
            </w:pPr>
            <w:r w:rsidRPr="008C4A39">
              <w:rPr>
                <w:szCs w:val="24"/>
              </w:rPr>
              <w:t xml:space="preserve">Application for LPCO </w:t>
            </w:r>
          </w:p>
          <w:p w14:paraId="4272D27C" w14:textId="77777777" w:rsidR="003A0F42" w:rsidRPr="008C4A39" w:rsidRDefault="003A0F42" w:rsidP="00D530D5">
            <w:pPr>
              <w:numPr>
                <w:ilvl w:val="0"/>
                <w:numId w:val="135"/>
              </w:numPr>
              <w:ind w:left="577" w:hanging="270"/>
              <w:contextualSpacing/>
              <w:rPr>
                <w:szCs w:val="24"/>
              </w:rPr>
            </w:pPr>
            <w:r w:rsidRPr="008C4A39">
              <w:rPr>
                <w:szCs w:val="24"/>
              </w:rPr>
              <w:t>Risk Analysis Results</w:t>
            </w:r>
          </w:p>
          <w:p w14:paraId="4A01C94B" w14:textId="77777777" w:rsidR="003A0F42" w:rsidRPr="008C4A39" w:rsidRDefault="003A0F42" w:rsidP="00D530D5">
            <w:pPr>
              <w:numPr>
                <w:ilvl w:val="0"/>
                <w:numId w:val="135"/>
              </w:numPr>
              <w:ind w:left="577" w:hanging="270"/>
              <w:contextualSpacing/>
              <w:rPr>
                <w:szCs w:val="24"/>
              </w:rPr>
            </w:pPr>
            <w:r w:rsidRPr="008C4A39">
              <w:rPr>
                <w:szCs w:val="24"/>
              </w:rPr>
              <w:t xml:space="preserve">Measures from ITE </w:t>
            </w:r>
          </w:p>
          <w:p w14:paraId="419431D1" w14:textId="77777777" w:rsidR="003A0F42" w:rsidRPr="008C4A39" w:rsidRDefault="003A0F42" w:rsidP="00D530D5">
            <w:pPr>
              <w:numPr>
                <w:ilvl w:val="0"/>
                <w:numId w:val="135"/>
              </w:numPr>
              <w:ind w:left="577" w:hanging="270"/>
              <w:contextualSpacing/>
              <w:rPr>
                <w:szCs w:val="24"/>
              </w:rPr>
            </w:pPr>
            <w:r w:rsidRPr="008C4A39">
              <w:rPr>
                <w:szCs w:val="24"/>
              </w:rPr>
              <w:t>Control Results (if any)</w:t>
            </w:r>
          </w:p>
          <w:p w14:paraId="6D47E428" w14:textId="77777777" w:rsidR="003A0F42" w:rsidRPr="008C4A39" w:rsidRDefault="003A0F42" w:rsidP="00D530D5">
            <w:pPr>
              <w:numPr>
                <w:ilvl w:val="0"/>
                <w:numId w:val="135"/>
              </w:numPr>
              <w:ind w:left="577" w:hanging="270"/>
              <w:contextualSpacing/>
              <w:rPr>
                <w:szCs w:val="24"/>
              </w:rPr>
            </w:pPr>
            <w:r w:rsidRPr="008C4A39">
              <w:rPr>
                <w:szCs w:val="24"/>
              </w:rPr>
              <w:t>Fees are paid.</w:t>
            </w:r>
          </w:p>
        </w:tc>
      </w:tr>
      <w:tr w:rsidR="003A0F42" w:rsidRPr="008C4A39" w14:paraId="6182EF9D" w14:textId="77777777" w:rsidTr="00883B07">
        <w:tc>
          <w:tcPr>
            <w:tcW w:w="9355" w:type="dxa"/>
            <w:gridSpan w:val="2"/>
          </w:tcPr>
          <w:p w14:paraId="3E97D2E8"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689E0D47" w14:textId="77777777" w:rsidTr="00883B07">
        <w:tc>
          <w:tcPr>
            <w:tcW w:w="9355" w:type="dxa"/>
            <w:gridSpan w:val="2"/>
          </w:tcPr>
          <w:p w14:paraId="772F31FF" w14:textId="77777777" w:rsidR="003A0F42" w:rsidRPr="008C4A39" w:rsidRDefault="003A0F42" w:rsidP="003A0F42">
            <w:pPr>
              <w:rPr>
                <w:szCs w:val="24"/>
              </w:rPr>
            </w:pPr>
            <w:r w:rsidRPr="008C4A39">
              <w:rPr>
                <w:szCs w:val="24"/>
              </w:rPr>
              <w:lastRenderedPageBreak/>
              <w:t>Bidder’s cross references to supporting information in Technical Bid:</w:t>
            </w:r>
          </w:p>
        </w:tc>
      </w:tr>
      <w:tr w:rsidR="003A0F42" w:rsidRPr="008C4A39" w14:paraId="204E2A3E" w14:textId="77777777" w:rsidTr="001136D3">
        <w:tc>
          <w:tcPr>
            <w:tcW w:w="2245" w:type="dxa"/>
          </w:tcPr>
          <w:p w14:paraId="1270508F" w14:textId="77777777" w:rsidR="003A0F42" w:rsidRPr="008C4A39" w:rsidRDefault="003A0F42" w:rsidP="003A0F42">
            <w:pPr>
              <w:rPr>
                <w:szCs w:val="24"/>
              </w:rPr>
            </w:pPr>
            <w:r w:rsidRPr="008C4A39">
              <w:rPr>
                <w:szCs w:val="24"/>
              </w:rPr>
              <w:t>FR423</w:t>
            </w:r>
          </w:p>
        </w:tc>
        <w:tc>
          <w:tcPr>
            <w:tcW w:w="7110" w:type="dxa"/>
          </w:tcPr>
          <w:p w14:paraId="79CF49C6" w14:textId="77777777" w:rsidR="003A0F42" w:rsidRPr="008C4A39" w:rsidRDefault="003A0F42" w:rsidP="003A0F42">
            <w:pPr>
              <w:jc w:val="left"/>
              <w:rPr>
                <w:szCs w:val="24"/>
              </w:rPr>
            </w:pPr>
            <w:r w:rsidRPr="008C4A39">
              <w:rPr>
                <w:szCs w:val="24"/>
              </w:rPr>
              <w:t>The system must be able to Notify EO of Rejection of Application for LPCO.</w:t>
            </w:r>
          </w:p>
        </w:tc>
      </w:tr>
      <w:tr w:rsidR="003A0F42" w:rsidRPr="008C4A39" w14:paraId="63F658A6" w14:textId="77777777" w:rsidTr="001136D3">
        <w:tc>
          <w:tcPr>
            <w:tcW w:w="2245" w:type="dxa"/>
          </w:tcPr>
          <w:p w14:paraId="71B742FE" w14:textId="77777777" w:rsidR="003A0F42" w:rsidRPr="008C4A39" w:rsidRDefault="003A0F42" w:rsidP="003A0F42">
            <w:pPr>
              <w:rPr>
                <w:szCs w:val="24"/>
              </w:rPr>
            </w:pPr>
            <w:r w:rsidRPr="008C4A39">
              <w:rPr>
                <w:szCs w:val="24"/>
              </w:rPr>
              <w:t>FR424</w:t>
            </w:r>
          </w:p>
        </w:tc>
        <w:tc>
          <w:tcPr>
            <w:tcW w:w="7110" w:type="dxa"/>
          </w:tcPr>
          <w:p w14:paraId="1E920C80" w14:textId="77777777" w:rsidR="003A0F42" w:rsidRPr="008C4A39" w:rsidRDefault="003A0F42" w:rsidP="003A0F42">
            <w:pPr>
              <w:jc w:val="left"/>
              <w:rPr>
                <w:szCs w:val="24"/>
              </w:rPr>
            </w:pPr>
            <w:r w:rsidRPr="008C4A39">
              <w:rPr>
                <w:szCs w:val="24"/>
              </w:rPr>
              <w:t>The system must be able to change the Status of the LPCO to “accepted”.</w:t>
            </w:r>
          </w:p>
        </w:tc>
      </w:tr>
      <w:tr w:rsidR="003A0F42" w:rsidRPr="008C4A39" w14:paraId="175E093E" w14:textId="77777777" w:rsidTr="00883B07">
        <w:tc>
          <w:tcPr>
            <w:tcW w:w="9355" w:type="dxa"/>
            <w:gridSpan w:val="2"/>
          </w:tcPr>
          <w:p w14:paraId="7CB3C373" w14:textId="77777777" w:rsidR="003A0F42" w:rsidRPr="008C4A39" w:rsidRDefault="003A0F42" w:rsidP="003A0F42">
            <w:pPr>
              <w:jc w:val="left"/>
              <w:rPr>
                <w:szCs w:val="24"/>
              </w:rPr>
            </w:pPr>
            <w:r w:rsidRPr="008C4A39">
              <w:rPr>
                <w:szCs w:val="24"/>
              </w:rPr>
              <w:t xml:space="preserve">Bidder’s technical reasons supporting compliance:  </w:t>
            </w:r>
          </w:p>
        </w:tc>
      </w:tr>
      <w:tr w:rsidR="003A0F42" w:rsidRPr="008C4A39" w14:paraId="333ADD09" w14:textId="77777777" w:rsidTr="00883B07">
        <w:tc>
          <w:tcPr>
            <w:tcW w:w="9355" w:type="dxa"/>
            <w:gridSpan w:val="2"/>
          </w:tcPr>
          <w:p w14:paraId="0D9549BF" w14:textId="77777777" w:rsidR="003A0F42" w:rsidRPr="008C4A39" w:rsidRDefault="003A0F42" w:rsidP="003A0F42">
            <w:pPr>
              <w:jc w:val="left"/>
              <w:rPr>
                <w:szCs w:val="24"/>
              </w:rPr>
            </w:pPr>
            <w:r w:rsidRPr="008C4A39">
              <w:rPr>
                <w:szCs w:val="24"/>
              </w:rPr>
              <w:t>Bidder’s cross references to supporting information in Technical Bid:</w:t>
            </w:r>
          </w:p>
        </w:tc>
      </w:tr>
      <w:tr w:rsidR="003A0F42" w:rsidRPr="008C4A39" w14:paraId="70FCD7A1" w14:textId="77777777" w:rsidTr="001136D3">
        <w:tc>
          <w:tcPr>
            <w:tcW w:w="2245" w:type="dxa"/>
          </w:tcPr>
          <w:p w14:paraId="743E6208" w14:textId="77777777" w:rsidR="003A0F42" w:rsidRPr="008C4A39" w:rsidRDefault="003A0F42" w:rsidP="003A0F42">
            <w:pPr>
              <w:rPr>
                <w:szCs w:val="24"/>
              </w:rPr>
            </w:pPr>
            <w:r w:rsidRPr="008C4A39">
              <w:rPr>
                <w:szCs w:val="24"/>
              </w:rPr>
              <w:t>FR425</w:t>
            </w:r>
          </w:p>
        </w:tc>
        <w:tc>
          <w:tcPr>
            <w:tcW w:w="7110" w:type="dxa"/>
          </w:tcPr>
          <w:p w14:paraId="1843BCDA" w14:textId="77777777" w:rsidR="003A0F42" w:rsidRPr="008C4A39" w:rsidRDefault="003A0F42" w:rsidP="003A0F42">
            <w:pPr>
              <w:jc w:val="left"/>
              <w:rPr>
                <w:szCs w:val="24"/>
              </w:rPr>
            </w:pPr>
            <w:r w:rsidRPr="008C4A39">
              <w:rPr>
                <w:szCs w:val="24"/>
              </w:rPr>
              <w:t xml:space="preserve">The system must be able to Issue Certificate with: </w:t>
            </w:r>
          </w:p>
          <w:p w14:paraId="79B0B90E" w14:textId="77777777" w:rsidR="003A0F42" w:rsidRPr="008C4A39" w:rsidRDefault="003A0F42" w:rsidP="00D530D5">
            <w:pPr>
              <w:numPr>
                <w:ilvl w:val="0"/>
                <w:numId w:val="136"/>
              </w:numPr>
              <w:contextualSpacing/>
              <w:jc w:val="left"/>
              <w:rPr>
                <w:szCs w:val="24"/>
              </w:rPr>
            </w:pPr>
            <w:r w:rsidRPr="008C4A39">
              <w:rPr>
                <w:szCs w:val="24"/>
              </w:rPr>
              <w:t xml:space="preserve">unique LPCO number, </w:t>
            </w:r>
          </w:p>
          <w:p w14:paraId="0BB84154" w14:textId="77777777" w:rsidR="003A0F42" w:rsidRPr="008C4A39" w:rsidRDefault="003A0F42" w:rsidP="00D530D5">
            <w:pPr>
              <w:numPr>
                <w:ilvl w:val="0"/>
                <w:numId w:val="136"/>
              </w:numPr>
              <w:contextualSpacing/>
              <w:jc w:val="left"/>
              <w:rPr>
                <w:szCs w:val="24"/>
              </w:rPr>
            </w:pPr>
            <w:r w:rsidRPr="008C4A39">
              <w:rPr>
                <w:szCs w:val="24"/>
              </w:rPr>
              <w:t xml:space="preserve">validity period </w:t>
            </w:r>
          </w:p>
          <w:p w14:paraId="36AEF514" w14:textId="77777777" w:rsidR="003A0F42" w:rsidRPr="008C4A39" w:rsidRDefault="003A0F42" w:rsidP="00D530D5">
            <w:pPr>
              <w:numPr>
                <w:ilvl w:val="0"/>
                <w:numId w:val="136"/>
              </w:numPr>
              <w:contextualSpacing/>
              <w:jc w:val="left"/>
              <w:rPr>
                <w:szCs w:val="24"/>
              </w:rPr>
            </w:pPr>
            <w:r w:rsidRPr="008C4A39">
              <w:rPr>
                <w:szCs w:val="24"/>
              </w:rPr>
              <w:t>an official signature of the Competent Authority.</w:t>
            </w:r>
          </w:p>
        </w:tc>
      </w:tr>
      <w:tr w:rsidR="003A0F42" w:rsidRPr="008C4A39" w14:paraId="437314C2" w14:textId="77777777" w:rsidTr="00883B07">
        <w:tc>
          <w:tcPr>
            <w:tcW w:w="9355" w:type="dxa"/>
            <w:gridSpan w:val="2"/>
          </w:tcPr>
          <w:p w14:paraId="2EE933C0" w14:textId="77777777" w:rsidR="003A0F42" w:rsidRPr="008C4A39" w:rsidRDefault="003A0F42" w:rsidP="003A0F42">
            <w:pPr>
              <w:jc w:val="left"/>
              <w:rPr>
                <w:szCs w:val="24"/>
              </w:rPr>
            </w:pPr>
            <w:r w:rsidRPr="008C4A39">
              <w:rPr>
                <w:szCs w:val="24"/>
              </w:rPr>
              <w:t xml:space="preserve">Bidder’s technical reasons supporting compliance:  </w:t>
            </w:r>
          </w:p>
        </w:tc>
      </w:tr>
      <w:tr w:rsidR="003A0F42" w:rsidRPr="008C4A39" w14:paraId="06EDE275" w14:textId="77777777" w:rsidTr="00883B07">
        <w:tc>
          <w:tcPr>
            <w:tcW w:w="9355" w:type="dxa"/>
            <w:gridSpan w:val="2"/>
          </w:tcPr>
          <w:p w14:paraId="30F01F4F" w14:textId="77777777" w:rsidR="003A0F42" w:rsidRPr="008C4A39" w:rsidRDefault="003A0F42" w:rsidP="003A0F42">
            <w:pPr>
              <w:jc w:val="left"/>
              <w:rPr>
                <w:szCs w:val="24"/>
              </w:rPr>
            </w:pPr>
            <w:r w:rsidRPr="008C4A39">
              <w:rPr>
                <w:szCs w:val="24"/>
              </w:rPr>
              <w:t>Bidder’s cross references to supporting information in Technical Bid:</w:t>
            </w:r>
          </w:p>
        </w:tc>
      </w:tr>
      <w:tr w:rsidR="003A0F42" w:rsidRPr="008C4A39" w14:paraId="21DD5F24" w14:textId="77777777" w:rsidTr="001136D3">
        <w:tc>
          <w:tcPr>
            <w:tcW w:w="2245" w:type="dxa"/>
          </w:tcPr>
          <w:p w14:paraId="6F15644A" w14:textId="77777777" w:rsidR="003A0F42" w:rsidRPr="008C4A39" w:rsidRDefault="003A0F42" w:rsidP="003A0F42">
            <w:pPr>
              <w:rPr>
                <w:szCs w:val="24"/>
              </w:rPr>
            </w:pPr>
            <w:r w:rsidRPr="008C4A39">
              <w:rPr>
                <w:szCs w:val="24"/>
              </w:rPr>
              <w:t>FR426</w:t>
            </w:r>
          </w:p>
        </w:tc>
        <w:tc>
          <w:tcPr>
            <w:tcW w:w="7110" w:type="dxa"/>
          </w:tcPr>
          <w:p w14:paraId="22B55728" w14:textId="77777777" w:rsidR="003A0F42" w:rsidRPr="008C4A39" w:rsidRDefault="003A0F42" w:rsidP="003A0F42">
            <w:pPr>
              <w:rPr>
                <w:szCs w:val="24"/>
              </w:rPr>
            </w:pPr>
            <w:r w:rsidRPr="008C4A39">
              <w:rPr>
                <w:szCs w:val="24"/>
              </w:rPr>
              <w:t>The system must be able to Notify EO of Acceptance of Application for LPCO.</w:t>
            </w:r>
          </w:p>
        </w:tc>
      </w:tr>
      <w:tr w:rsidR="003A0F42" w:rsidRPr="008C4A39" w14:paraId="0B7E96FD" w14:textId="77777777" w:rsidTr="00883B07">
        <w:tc>
          <w:tcPr>
            <w:tcW w:w="9355" w:type="dxa"/>
            <w:gridSpan w:val="2"/>
          </w:tcPr>
          <w:p w14:paraId="4497B81A"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654792A0" w14:textId="77777777" w:rsidTr="00883B07">
        <w:tc>
          <w:tcPr>
            <w:tcW w:w="9355" w:type="dxa"/>
            <w:gridSpan w:val="2"/>
          </w:tcPr>
          <w:p w14:paraId="12731DB6"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33AC93F6" w14:textId="77777777" w:rsidTr="001136D3">
        <w:tc>
          <w:tcPr>
            <w:tcW w:w="2245" w:type="dxa"/>
          </w:tcPr>
          <w:p w14:paraId="05D0F738" w14:textId="77777777" w:rsidR="003A0F42" w:rsidRPr="008C4A39" w:rsidRDefault="003A0F42" w:rsidP="003A0F42">
            <w:pPr>
              <w:rPr>
                <w:szCs w:val="24"/>
              </w:rPr>
            </w:pPr>
            <w:r w:rsidRPr="008C4A39">
              <w:rPr>
                <w:szCs w:val="24"/>
              </w:rPr>
              <w:t>FR427</w:t>
            </w:r>
          </w:p>
        </w:tc>
        <w:tc>
          <w:tcPr>
            <w:tcW w:w="7110" w:type="dxa"/>
          </w:tcPr>
          <w:p w14:paraId="3CA8D2D2" w14:textId="77777777" w:rsidR="003A0F42" w:rsidRPr="008C4A39" w:rsidRDefault="003A0F42" w:rsidP="003A0F42">
            <w:pPr>
              <w:rPr>
                <w:szCs w:val="24"/>
              </w:rPr>
            </w:pPr>
            <w:r w:rsidRPr="008C4A39">
              <w:rPr>
                <w:szCs w:val="24"/>
              </w:rPr>
              <w:t>The system must be able to send LPCO data to repository.</w:t>
            </w:r>
          </w:p>
        </w:tc>
      </w:tr>
      <w:tr w:rsidR="003A0F42" w:rsidRPr="008C4A39" w14:paraId="054369B5" w14:textId="77777777" w:rsidTr="00883B07">
        <w:tc>
          <w:tcPr>
            <w:tcW w:w="9355" w:type="dxa"/>
            <w:gridSpan w:val="2"/>
          </w:tcPr>
          <w:p w14:paraId="7EB51DC1"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1D35596C" w14:textId="77777777" w:rsidTr="00883B07">
        <w:tc>
          <w:tcPr>
            <w:tcW w:w="9355" w:type="dxa"/>
            <w:gridSpan w:val="2"/>
          </w:tcPr>
          <w:p w14:paraId="063AEA26" w14:textId="77777777" w:rsidR="003A0F42" w:rsidRPr="008C4A39" w:rsidRDefault="003A0F42" w:rsidP="003A0F42">
            <w:pPr>
              <w:rPr>
                <w:szCs w:val="24"/>
              </w:rPr>
            </w:pPr>
            <w:r w:rsidRPr="008C4A39">
              <w:rPr>
                <w:szCs w:val="24"/>
              </w:rPr>
              <w:t>Bidder’s cross references to supporting information in Technical Bid:</w:t>
            </w:r>
          </w:p>
        </w:tc>
      </w:tr>
      <w:tr w:rsidR="003A0F42" w:rsidRPr="008C4A39" w14:paraId="3F1A8A7F" w14:textId="77777777" w:rsidTr="001136D3">
        <w:tc>
          <w:tcPr>
            <w:tcW w:w="2245" w:type="dxa"/>
          </w:tcPr>
          <w:p w14:paraId="22B43EC1" w14:textId="77777777" w:rsidR="003A0F42" w:rsidRPr="008C4A39" w:rsidRDefault="003A0F42" w:rsidP="003A0F42">
            <w:pPr>
              <w:rPr>
                <w:szCs w:val="24"/>
              </w:rPr>
            </w:pPr>
            <w:r w:rsidRPr="008C4A39">
              <w:rPr>
                <w:szCs w:val="24"/>
              </w:rPr>
              <w:t>FR428</w:t>
            </w:r>
          </w:p>
        </w:tc>
        <w:tc>
          <w:tcPr>
            <w:tcW w:w="7110" w:type="dxa"/>
          </w:tcPr>
          <w:p w14:paraId="77D846A1" w14:textId="77777777" w:rsidR="003A0F42" w:rsidRPr="008C4A39" w:rsidRDefault="003A0F42" w:rsidP="003A0F42">
            <w:pPr>
              <w:rPr>
                <w:szCs w:val="24"/>
              </w:rPr>
            </w:pPr>
            <w:r w:rsidRPr="008C4A39">
              <w:rPr>
                <w:szCs w:val="24"/>
              </w:rPr>
              <w:t>The system must be able to send the new issued LPCO to SEED+.</w:t>
            </w:r>
          </w:p>
        </w:tc>
      </w:tr>
      <w:tr w:rsidR="003A0F42" w:rsidRPr="008C4A39" w14:paraId="48B1F8D7" w14:textId="77777777" w:rsidTr="00883B07">
        <w:tc>
          <w:tcPr>
            <w:tcW w:w="9355" w:type="dxa"/>
            <w:gridSpan w:val="2"/>
          </w:tcPr>
          <w:p w14:paraId="783FF549" w14:textId="77777777" w:rsidR="003A0F42" w:rsidRPr="008C4A39" w:rsidRDefault="003A0F42" w:rsidP="003A0F42">
            <w:pPr>
              <w:rPr>
                <w:szCs w:val="24"/>
              </w:rPr>
            </w:pPr>
            <w:r w:rsidRPr="008C4A39">
              <w:rPr>
                <w:szCs w:val="24"/>
              </w:rPr>
              <w:t xml:space="preserve">Bidder’s technical reasons supporting compliance:  </w:t>
            </w:r>
          </w:p>
        </w:tc>
      </w:tr>
      <w:tr w:rsidR="003A0F42" w:rsidRPr="008C4A39" w14:paraId="2B2EF77C" w14:textId="77777777" w:rsidTr="00883B07">
        <w:tc>
          <w:tcPr>
            <w:tcW w:w="9355" w:type="dxa"/>
            <w:gridSpan w:val="2"/>
          </w:tcPr>
          <w:p w14:paraId="6EA42BBE" w14:textId="77777777" w:rsidR="003A0F42" w:rsidRPr="008C4A39" w:rsidRDefault="003A0F42" w:rsidP="003A0F42">
            <w:pPr>
              <w:rPr>
                <w:szCs w:val="24"/>
              </w:rPr>
            </w:pPr>
            <w:r w:rsidRPr="008C4A39">
              <w:rPr>
                <w:szCs w:val="24"/>
              </w:rPr>
              <w:t>Bidder’s cross references to supporting information in Technical Bid:</w:t>
            </w:r>
          </w:p>
        </w:tc>
      </w:tr>
    </w:tbl>
    <w:tbl>
      <w:tblPr>
        <w:tblStyle w:val="TableGrid4"/>
        <w:tblW w:w="9355" w:type="dxa"/>
        <w:tblLook w:val="04A0" w:firstRow="1" w:lastRow="0" w:firstColumn="1" w:lastColumn="0" w:noHBand="0" w:noVBand="1"/>
      </w:tblPr>
      <w:tblGrid>
        <w:gridCol w:w="2245"/>
        <w:gridCol w:w="7110"/>
      </w:tblGrid>
      <w:tr w:rsidR="00930D96" w:rsidRPr="008C4A39" w14:paraId="47C913D9" w14:textId="77777777" w:rsidTr="001136D3">
        <w:trPr>
          <w:tblHeader/>
        </w:trPr>
        <w:tc>
          <w:tcPr>
            <w:tcW w:w="2245" w:type="dxa"/>
            <w:shd w:val="clear" w:color="auto" w:fill="D9D9D9"/>
          </w:tcPr>
          <w:p w14:paraId="2BBD21D8" w14:textId="77777777" w:rsidR="00930D96" w:rsidRPr="008C4A39" w:rsidRDefault="00930D96" w:rsidP="00883B07">
            <w:pPr>
              <w:rPr>
                <w:b/>
                <w:szCs w:val="24"/>
              </w:rPr>
            </w:pPr>
            <w:r w:rsidRPr="008C4A39">
              <w:rPr>
                <w:b/>
                <w:szCs w:val="24"/>
              </w:rPr>
              <w:t>Tech. Req. Number</w:t>
            </w:r>
          </w:p>
        </w:tc>
        <w:tc>
          <w:tcPr>
            <w:tcW w:w="7110" w:type="dxa"/>
            <w:shd w:val="clear" w:color="auto" w:fill="D9D9D9"/>
          </w:tcPr>
          <w:p w14:paraId="11C82F3E" w14:textId="77777777" w:rsidR="00930D96" w:rsidRPr="008C4A39" w:rsidRDefault="00930D96" w:rsidP="00883B07">
            <w:pPr>
              <w:jc w:val="left"/>
              <w:rPr>
                <w:b/>
                <w:szCs w:val="24"/>
              </w:rPr>
            </w:pPr>
            <w:r w:rsidRPr="008C4A39">
              <w:rPr>
                <w:b/>
                <w:szCs w:val="24"/>
              </w:rPr>
              <w:t>Technical Requirement</w:t>
            </w:r>
          </w:p>
        </w:tc>
      </w:tr>
      <w:tr w:rsidR="00930D96" w:rsidRPr="008C4A39" w14:paraId="31B39DB8" w14:textId="77777777" w:rsidTr="00883B07">
        <w:tc>
          <w:tcPr>
            <w:tcW w:w="9355" w:type="dxa"/>
            <w:gridSpan w:val="2"/>
          </w:tcPr>
          <w:p w14:paraId="080B39C3" w14:textId="77777777" w:rsidR="00930D96" w:rsidRPr="008C4A39" w:rsidRDefault="00930D96" w:rsidP="00883B07">
            <w:pPr>
              <w:rPr>
                <w:b/>
                <w:szCs w:val="24"/>
              </w:rPr>
            </w:pPr>
            <w:r w:rsidRPr="008C4A39">
              <w:rPr>
                <w:b/>
                <w:szCs w:val="24"/>
              </w:rPr>
              <w:t>1.2.12.3. Annulment of License, Permit, Certificate, and Other (LPCO)</w:t>
            </w:r>
          </w:p>
        </w:tc>
      </w:tr>
      <w:tr w:rsidR="00930D96" w:rsidRPr="008C4A39" w14:paraId="482AA073" w14:textId="77777777" w:rsidTr="001136D3">
        <w:tc>
          <w:tcPr>
            <w:tcW w:w="2245" w:type="dxa"/>
          </w:tcPr>
          <w:p w14:paraId="52B6784E" w14:textId="77777777" w:rsidR="00930D96" w:rsidRPr="008C4A39" w:rsidRDefault="00930D96" w:rsidP="00883B07">
            <w:pPr>
              <w:rPr>
                <w:szCs w:val="24"/>
              </w:rPr>
            </w:pPr>
            <w:r w:rsidRPr="008C4A39">
              <w:rPr>
                <w:szCs w:val="24"/>
              </w:rPr>
              <w:t>FR154</w:t>
            </w:r>
          </w:p>
        </w:tc>
        <w:tc>
          <w:tcPr>
            <w:tcW w:w="7110" w:type="dxa"/>
          </w:tcPr>
          <w:p w14:paraId="3D3227B8" w14:textId="1FC42DA3" w:rsidR="00930D96" w:rsidRPr="008C4A39" w:rsidRDefault="00930D96">
            <w:pPr>
              <w:rPr>
                <w:szCs w:val="24"/>
              </w:rPr>
            </w:pPr>
            <w:r w:rsidRPr="008C4A39">
              <w:rPr>
                <w:szCs w:val="24"/>
              </w:rPr>
              <w:t>The CBRA may als</w:t>
            </w:r>
            <w:r w:rsidR="008E02DF">
              <w:rPr>
                <w:szCs w:val="24"/>
              </w:rPr>
              <w:t xml:space="preserve">o initiate the action to amend or </w:t>
            </w:r>
            <w:r w:rsidRPr="008C4A39">
              <w:rPr>
                <w:szCs w:val="24"/>
              </w:rPr>
              <w:t>cancel an issued LPCO.</w:t>
            </w:r>
          </w:p>
        </w:tc>
      </w:tr>
      <w:tr w:rsidR="00930D96" w:rsidRPr="008C4A39" w14:paraId="6E013D7B" w14:textId="77777777" w:rsidTr="00883B07">
        <w:tc>
          <w:tcPr>
            <w:tcW w:w="9355" w:type="dxa"/>
            <w:gridSpan w:val="2"/>
          </w:tcPr>
          <w:p w14:paraId="265A371E"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6B03FBD0" w14:textId="77777777" w:rsidTr="00883B07">
        <w:tc>
          <w:tcPr>
            <w:tcW w:w="9355" w:type="dxa"/>
            <w:gridSpan w:val="2"/>
          </w:tcPr>
          <w:p w14:paraId="40A091B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A33F7F8" w14:textId="77777777" w:rsidTr="001136D3">
        <w:tc>
          <w:tcPr>
            <w:tcW w:w="2245" w:type="dxa"/>
          </w:tcPr>
          <w:p w14:paraId="12E059F2" w14:textId="77777777" w:rsidR="00930D96" w:rsidRPr="008C4A39" w:rsidRDefault="00930D96" w:rsidP="00883B07">
            <w:pPr>
              <w:rPr>
                <w:szCs w:val="24"/>
              </w:rPr>
            </w:pPr>
            <w:r w:rsidRPr="008C4A39">
              <w:rPr>
                <w:szCs w:val="24"/>
              </w:rPr>
              <w:t>FR430</w:t>
            </w:r>
          </w:p>
        </w:tc>
        <w:tc>
          <w:tcPr>
            <w:tcW w:w="7110" w:type="dxa"/>
          </w:tcPr>
          <w:p w14:paraId="43E7444C" w14:textId="77777777" w:rsidR="00930D96" w:rsidRPr="008C4A39" w:rsidRDefault="00930D96" w:rsidP="00883B07">
            <w:pPr>
              <w:rPr>
                <w:szCs w:val="24"/>
              </w:rPr>
            </w:pPr>
            <w:r w:rsidRPr="008C4A39">
              <w:rPr>
                <w:szCs w:val="24"/>
              </w:rPr>
              <w:t>The system must be able to perform technical validation of the application for LPCO annulment.</w:t>
            </w:r>
          </w:p>
        </w:tc>
      </w:tr>
      <w:tr w:rsidR="00930D96" w:rsidRPr="008C4A39" w14:paraId="1F9A03A8" w14:textId="77777777" w:rsidTr="00883B07">
        <w:tc>
          <w:tcPr>
            <w:tcW w:w="9355" w:type="dxa"/>
            <w:gridSpan w:val="2"/>
          </w:tcPr>
          <w:p w14:paraId="56BCAF32"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5B6AE3B0" w14:textId="77777777" w:rsidTr="00883B07">
        <w:tc>
          <w:tcPr>
            <w:tcW w:w="9355" w:type="dxa"/>
            <w:gridSpan w:val="2"/>
          </w:tcPr>
          <w:p w14:paraId="728B0C7C"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0B1610EF" w14:textId="77777777" w:rsidTr="001136D3">
        <w:tc>
          <w:tcPr>
            <w:tcW w:w="2245" w:type="dxa"/>
          </w:tcPr>
          <w:p w14:paraId="2EADAD7B" w14:textId="77777777" w:rsidR="00930D96" w:rsidRPr="008C4A39" w:rsidRDefault="00930D96" w:rsidP="00883B07">
            <w:pPr>
              <w:rPr>
                <w:szCs w:val="24"/>
              </w:rPr>
            </w:pPr>
            <w:r w:rsidRPr="008C4A39">
              <w:rPr>
                <w:szCs w:val="24"/>
              </w:rPr>
              <w:lastRenderedPageBreak/>
              <w:t>FR431</w:t>
            </w:r>
          </w:p>
        </w:tc>
        <w:tc>
          <w:tcPr>
            <w:tcW w:w="7110" w:type="dxa"/>
          </w:tcPr>
          <w:p w14:paraId="57E519A7" w14:textId="77777777" w:rsidR="00930D96" w:rsidRPr="008C4A39" w:rsidRDefault="00930D96" w:rsidP="00883B07">
            <w:pPr>
              <w:rPr>
                <w:szCs w:val="24"/>
              </w:rPr>
            </w:pPr>
            <w:r w:rsidRPr="008C4A39">
              <w:rPr>
                <w:szCs w:val="24"/>
              </w:rPr>
              <w:t>The system must be able to record the request for annulment of LPCO.</w:t>
            </w:r>
          </w:p>
        </w:tc>
      </w:tr>
      <w:tr w:rsidR="00930D96" w:rsidRPr="008C4A39" w14:paraId="1EFCADEE" w14:textId="77777777" w:rsidTr="00883B07">
        <w:tc>
          <w:tcPr>
            <w:tcW w:w="9355" w:type="dxa"/>
            <w:gridSpan w:val="2"/>
          </w:tcPr>
          <w:p w14:paraId="68945E90"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E3CF4E3" w14:textId="77777777" w:rsidTr="00883B07">
        <w:tc>
          <w:tcPr>
            <w:tcW w:w="9355" w:type="dxa"/>
            <w:gridSpan w:val="2"/>
          </w:tcPr>
          <w:p w14:paraId="5EA9415A"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6CE9A8EC" w14:textId="77777777" w:rsidTr="001136D3">
        <w:tc>
          <w:tcPr>
            <w:tcW w:w="2245" w:type="dxa"/>
          </w:tcPr>
          <w:p w14:paraId="238B5E1E" w14:textId="77777777" w:rsidR="00930D96" w:rsidRPr="008C4A39" w:rsidRDefault="00930D96" w:rsidP="00883B07">
            <w:pPr>
              <w:rPr>
                <w:szCs w:val="24"/>
              </w:rPr>
            </w:pPr>
            <w:r w:rsidRPr="008C4A39">
              <w:rPr>
                <w:szCs w:val="24"/>
              </w:rPr>
              <w:t>FR433</w:t>
            </w:r>
          </w:p>
        </w:tc>
        <w:tc>
          <w:tcPr>
            <w:tcW w:w="7110" w:type="dxa"/>
          </w:tcPr>
          <w:p w14:paraId="34A65A79" w14:textId="77777777" w:rsidR="00930D96" w:rsidRPr="008C4A39" w:rsidRDefault="00930D96" w:rsidP="00883B07">
            <w:pPr>
              <w:rPr>
                <w:szCs w:val="24"/>
              </w:rPr>
            </w:pPr>
            <w:r w:rsidRPr="008C4A39">
              <w:rPr>
                <w:szCs w:val="24"/>
              </w:rPr>
              <w:t>The system must be able to retrieve information of LPCO.</w:t>
            </w:r>
          </w:p>
        </w:tc>
      </w:tr>
      <w:tr w:rsidR="00930D96" w:rsidRPr="008C4A39" w14:paraId="05F0BB3B" w14:textId="77777777" w:rsidTr="00883B07">
        <w:tc>
          <w:tcPr>
            <w:tcW w:w="9355" w:type="dxa"/>
            <w:gridSpan w:val="2"/>
          </w:tcPr>
          <w:p w14:paraId="5B026530"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0EF80127" w14:textId="77777777" w:rsidTr="00883B07">
        <w:tc>
          <w:tcPr>
            <w:tcW w:w="9355" w:type="dxa"/>
            <w:gridSpan w:val="2"/>
          </w:tcPr>
          <w:p w14:paraId="7F4B8346"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F6F27F0" w14:textId="77777777" w:rsidTr="001136D3">
        <w:tc>
          <w:tcPr>
            <w:tcW w:w="2245" w:type="dxa"/>
          </w:tcPr>
          <w:p w14:paraId="5B50FE39" w14:textId="77777777" w:rsidR="00930D96" w:rsidRPr="008C4A39" w:rsidRDefault="00930D96" w:rsidP="00883B07">
            <w:pPr>
              <w:rPr>
                <w:szCs w:val="24"/>
              </w:rPr>
            </w:pPr>
            <w:r w:rsidRPr="008C4A39">
              <w:rPr>
                <w:szCs w:val="24"/>
              </w:rPr>
              <w:t>FR434</w:t>
            </w:r>
          </w:p>
        </w:tc>
        <w:tc>
          <w:tcPr>
            <w:tcW w:w="7110" w:type="dxa"/>
          </w:tcPr>
          <w:p w14:paraId="4D35AE5E" w14:textId="77777777" w:rsidR="00930D96" w:rsidRPr="008C4A39" w:rsidRDefault="00930D96" w:rsidP="00883B07">
            <w:pPr>
              <w:rPr>
                <w:szCs w:val="24"/>
              </w:rPr>
            </w:pPr>
            <w:r w:rsidRPr="008C4A39">
              <w:rPr>
                <w:szCs w:val="24"/>
              </w:rPr>
              <w:t>The system must be able to identify the availability of the LPCO.</w:t>
            </w:r>
          </w:p>
        </w:tc>
      </w:tr>
      <w:tr w:rsidR="00930D96" w:rsidRPr="008C4A39" w14:paraId="0F0EEAAE" w14:textId="77777777" w:rsidTr="00883B07">
        <w:tc>
          <w:tcPr>
            <w:tcW w:w="9355" w:type="dxa"/>
            <w:gridSpan w:val="2"/>
          </w:tcPr>
          <w:p w14:paraId="065BE939"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24D0FCD8" w14:textId="77777777" w:rsidTr="00883B07">
        <w:tc>
          <w:tcPr>
            <w:tcW w:w="9355" w:type="dxa"/>
            <w:gridSpan w:val="2"/>
          </w:tcPr>
          <w:p w14:paraId="4A4DC6D0"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5DDEEE29" w14:textId="77777777" w:rsidTr="001136D3">
        <w:tc>
          <w:tcPr>
            <w:tcW w:w="2245" w:type="dxa"/>
          </w:tcPr>
          <w:p w14:paraId="0080B7CD" w14:textId="77777777" w:rsidR="00930D96" w:rsidRPr="008C4A39" w:rsidRDefault="00930D96" w:rsidP="00883B07">
            <w:pPr>
              <w:rPr>
                <w:szCs w:val="24"/>
              </w:rPr>
            </w:pPr>
            <w:r w:rsidRPr="008C4A39">
              <w:rPr>
                <w:szCs w:val="24"/>
              </w:rPr>
              <w:t>FR435</w:t>
            </w:r>
          </w:p>
        </w:tc>
        <w:tc>
          <w:tcPr>
            <w:tcW w:w="7110" w:type="dxa"/>
          </w:tcPr>
          <w:p w14:paraId="6517D1F7" w14:textId="77777777" w:rsidR="00930D96" w:rsidRPr="008C4A39" w:rsidRDefault="00930D96" w:rsidP="00883B07">
            <w:pPr>
              <w:rPr>
                <w:szCs w:val="24"/>
              </w:rPr>
            </w:pPr>
            <w:r w:rsidRPr="008C4A39">
              <w:rPr>
                <w:szCs w:val="24"/>
              </w:rPr>
              <w:t>The system must be able to identify the status for a given LPCO.</w:t>
            </w:r>
          </w:p>
        </w:tc>
      </w:tr>
      <w:tr w:rsidR="00930D96" w:rsidRPr="008C4A39" w14:paraId="209BA9C9" w14:textId="77777777" w:rsidTr="00883B07">
        <w:tc>
          <w:tcPr>
            <w:tcW w:w="9355" w:type="dxa"/>
            <w:gridSpan w:val="2"/>
          </w:tcPr>
          <w:p w14:paraId="4C6382BF"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7703F930" w14:textId="77777777" w:rsidTr="00883B07">
        <w:tc>
          <w:tcPr>
            <w:tcW w:w="9355" w:type="dxa"/>
            <w:gridSpan w:val="2"/>
          </w:tcPr>
          <w:p w14:paraId="0ECD5A0A"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4E3C4B4E" w14:textId="77777777" w:rsidTr="001136D3">
        <w:tc>
          <w:tcPr>
            <w:tcW w:w="2245" w:type="dxa"/>
          </w:tcPr>
          <w:p w14:paraId="6E7B922F" w14:textId="77777777" w:rsidR="00930D96" w:rsidRPr="008C4A39" w:rsidRDefault="00930D96" w:rsidP="00883B07">
            <w:pPr>
              <w:rPr>
                <w:szCs w:val="24"/>
              </w:rPr>
            </w:pPr>
            <w:r w:rsidRPr="008C4A39">
              <w:rPr>
                <w:szCs w:val="24"/>
              </w:rPr>
              <w:t>FR436</w:t>
            </w:r>
          </w:p>
        </w:tc>
        <w:tc>
          <w:tcPr>
            <w:tcW w:w="7110" w:type="dxa"/>
          </w:tcPr>
          <w:p w14:paraId="15A3F6B5" w14:textId="77777777" w:rsidR="00930D96" w:rsidRPr="008C4A39" w:rsidRDefault="00930D96" w:rsidP="00883B07">
            <w:pPr>
              <w:rPr>
                <w:szCs w:val="24"/>
              </w:rPr>
            </w:pPr>
            <w:r w:rsidRPr="008C4A39">
              <w:rPr>
                <w:szCs w:val="24"/>
              </w:rPr>
              <w:t>The system must be able to check status of LPCO for annulment.</w:t>
            </w:r>
          </w:p>
        </w:tc>
      </w:tr>
      <w:tr w:rsidR="00930D96" w:rsidRPr="008C4A39" w14:paraId="7D2CB525" w14:textId="77777777" w:rsidTr="00883B07">
        <w:tc>
          <w:tcPr>
            <w:tcW w:w="9355" w:type="dxa"/>
            <w:gridSpan w:val="2"/>
          </w:tcPr>
          <w:p w14:paraId="7A21C919"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06CEE13A" w14:textId="77777777" w:rsidTr="00883B07">
        <w:tc>
          <w:tcPr>
            <w:tcW w:w="9355" w:type="dxa"/>
            <w:gridSpan w:val="2"/>
          </w:tcPr>
          <w:p w14:paraId="372E5064"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BCDA50E" w14:textId="77777777" w:rsidTr="001136D3">
        <w:tc>
          <w:tcPr>
            <w:tcW w:w="2245" w:type="dxa"/>
          </w:tcPr>
          <w:p w14:paraId="49A319D4" w14:textId="77777777" w:rsidR="00930D96" w:rsidRPr="008C4A39" w:rsidRDefault="00930D96" w:rsidP="00883B07">
            <w:pPr>
              <w:rPr>
                <w:szCs w:val="24"/>
              </w:rPr>
            </w:pPr>
            <w:r w:rsidRPr="008C4A39">
              <w:rPr>
                <w:szCs w:val="24"/>
              </w:rPr>
              <w:t>FR437</w:t>
            </w:r>
          </w:p>
        </w:tc>
        <w:tc>
          <w:tcPr>
            <w:tcW w:w="7110" w:type="dxa"/>
          </w:tcPr>
          <w:p w14:paraId="1122B6DB" w14:textId="77777777" w:rsidR="00930D96" w:rsidRPr="008C4A39" w:rsidRDefault="00930D96" w:rsidP="00883B07">
            <w:pPr>
              <w:rPr>
                <w:szCs w:val="24"/>
              </w:rPr>
            </w:pPr>
            <w:r w:rsidRPr="008C4A39">
              <w:rPr>
                <w:szCs w:val="24"/>
              </w:rPr>
              <w:t>The system must be able to notify for rejection of request for annulment of LPCO.</w:t>
            </w:r>
          </w:p>
        </w:tc>
      </w:tr>
      <w:tr w:rsidR="00930D96" w:rsidRPr="008C4A39" w14:paraId="4DCB5F10" w14:textId="77777777" w:rsidTr="00883B07">
        <w:tc>
          <w:tcPr>
            <w:tcW w:w="9355" w:type="dxa"/>
            <w:gridSpan w:val="2"/>
          </w:tcPr>
          <w:p w14:paraId="1B41FE74"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EAC28E6" w14:textId="77777777" w:rsidTr="00883B07">
        <w:tc>
          <w:tcPr>
            <w:tcW w:w="9355" w:type="dxa"/>
            <w:gridSpan w:val="2"/>
          </w:tcPr>
          <w:p w14:paraId="0E0AC820"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1FABD3FA" w14:textId="77777777" w:rsidTr="001136D3">
        <w:tc>
          <w:tcPr>
            <w:tcW w:w="2245" w:type="dxa"/>
          </w:tcPr>
          <w:p w14:paraId="3DA9DF04" w14:textId="77777777" w:rsidR="00930D96" w:rsidRPr="008C4A39" w:rsidRDefault="00930D96" w:rsidP="00883B07">
            <w:pPr>
              <w:rPr>
                <w:szCs w:val="24"/>
              </w:rPr>
            </w:pPr>
            <w:r w:rsidRPr="008C4A39">
              <w:rPr>
                <w:szCs w:val="24"/>
              </w:rPr>
              <w:t>FR438</w:t>
            </w:r>
          </w:p>
        </w:tc>
        <w:tc>
          <w:tcPr>
            <w:tcW w:w="7110" w:type="dxa"/>
          </w:tcPr>
          <w:p w14:paraId="38DD5FAA" w14:textId="77777777" w:rsidR="00930D96" w:rsidRPr="008C4A39" w:rsidRDefault="00930D96" w:rsidP="00883B07">
            <w:pPr>
              <w:rPr>
                <w:color w:val="FF0000"/>
                <w:szCs w:val="24"/>
              </w:rPr>
            </w:pPr>
            <w:r w:rsidRPr="008C4A39">
              <w:rPr>
                <w:szCs w:val="24"/>
              </w:rPr>
              <w:t>The Inspection Officer must be able to take decision for annulment of LPCO.</w:t>
            </w:r>
          </w:p>
        </w:tc>
      </w:tr>
      <w:tr w:rsidR="00930D96" w:rsidRPr="008C4A39" w14:paraId="16B585D5" w14:textId="77777777" w:rsidTr="00883B07">
        <w:tc>
          <w:tcPr>
            <w:tcW w:w="9355" w:type="dxa"/>
            <w:gridSpan w:val="2"/>
          </w:tcPr>
          <w:p w14:paraId="1DEFE1C8"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2E989EB2" w14:textId="77777777" w:rsidTr="00883B07">
        <w:tc>
          <w:tcPr>
            <w:tcW w:w="9355" w:type="dxa"/>
            <w:gridSpan w:val="2"/>
          </w:tcPr>
          <w:p w14:paraId="4CDBFD7E"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049D5AA7" w14:textId="77777777" w:rsidTr="001136D3">
        <w:tc>
          <w:tcPr>
            <w:tcW w:w="2245" w:type="dxa"/>
          </w:tcPr>
          <w:p w14:paraId="300CD6ED" w14:textId="77777777" w:rsidR="00930D96" w:rsidRPr="008C4A39" w:rsidRDefault="00930D96" w:rsidP="00883B07">
            <w:pPr>
              <w:rPr>
                <w:szCs w:val="24"/>
              </w:rPr>
            </w:pPr>
            <w:r w:rsidRPr="008C4A39">
              <w:rPr>
                <w:szCs w:val="24"/>
              </w:rPr>
              <w:t>FR439</w:t>
            </w:r>
          </w:p>
        </w:tc>
        <w:tc>
          <w:tcPr>
            <w:tcW w:w="7110" w:type="dxa"/>
          </w:tcPr>
          <w:p w14:paraId="779E07C7" w14:textId="77777777" w:rsidR="00930D96" w:rsidRPr="008C4A39" w:rsidRDefault="00930D96" w:rsidP="00883B07">
            <w:pPr>
              <w:rPr>
                <w:szCs w:val="24"/>
              </w:rPr>
            </w:pPr>
            <w:r w:rsidRPr="008C4A39">
              <w:rPr>
                <w:szCs w:val="24"/>
              </w:rPr>
              <w:t>The system must be able to notify of decision for rejection of annulment of LPCO.</w:t>
            </w:r>
          </w:p>
        </w:tc>
      </w:tr>
      <w:tr w:rsidR="00930D96" w:rsidRPr="008C4A39" w14:paraId="01B9E09E" w14:textId="77777777" w:rsidTr="00883B07">
        <w:tc>
          <w:tcPr>
            <w:tcW w:w="9355" w:type="dxa"/>
            <w:gridSpan w:val="2"/>
          </w:tcPr>
          <w:p w14:paraId="23AB67CD"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14381491" w14:textId="77777777" w:rsidTr="00883B07">
        <w:tc>
          <w:tcPr>
            <w:tcW w:w="9355" w:type="dxa"/>
            <w:gridSpan w:val="2"/>
          </w:tcPr>
          <w:p w14:paraId="52EAC944"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76651B55" w14:textId="77777777" w:rsidTr="001136D3">
        <w:tc>
          <w:tcPr>
            <w:tcW w:w="2245" w:type="dxa"/>
          </w:tcPr>
          <w:p w14:paraId="4679C782" w14:textId="77777777" w:rsidR="00930D96" w:rsidRPr="008C4A39" w:rsidRDefault="00930D96" w:rsidP="00883B07">
            <w:pPr>
              <w:rPr>
                <w:szCs w:val="24"/>
              </w:rPr>
            </w:pPr>
            <w:r w:rsidRPr="008C4A39">
              <w:rPr>
                <w:szCs w:val="24"/>
              </w:rPr>
              <w:t>FR440</w:t>
            </w:r>
          </w:p>
        </w:tc>
        <w:tc>
          <w:tcPr>
            <w:tcW w:w="7110" w:type="dxa"/>
          </w:tcPr>
          <w:p w14:paraId="48E78EFB" w14:textId="77777777" w:rsidR="00930D96" w:rsidRPr="008C4A39" w:rsidRDefault="00930D96" w:rsidP="00883B07">
            <w:pPr>
              <w:rPr>
                <w:szCs w:val="24"/>
              </w:rPr>
            </w:pPr>
            <w:r w:rsidRPr="008C4A39">
              <w:rPr>
                <w:szCs w:val="24"/>
              </w:rPr>
              <w:t>The system must be able to annul LPCO.</w:t>
            </w:r>
          </w:p>
        </w:tc>
      </w:tr>
      <w:tr w:rsidR="00930D96" w:rsidRPr="008C4A39" w14:paraId="01CC35C8" w14:textId="77777777" w:rsidTr="00883B07">
        <w:tc>
          <w:tcPr>
            <w:tcW w:w="9355" w:type="dxa"/>
            <w:gridSpan w:val="2"/>
          </w:tcPr>
          <w:p w14:paraId="1FD67827"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051873F9" w14:textId="77777777" w:rsidTr="00883B07">
        <w:tc>
          <w:tcPr>
            <w:tcW w:w="9355" w:type="dxa"/>
            <w:gridSpan w:val="2"/>
          </w:tcPr>
          <w:p w14:paraId="1237E352" w14:textId="77777777" w:rsidR="00930D96" w:rsidRPr="008C4A39" w:rsidRDefault="00930D96" w:rsidP="00883B07">
            <w:pPr>
              <w:rPr>
                <w:szCs w:val="24"/>
              </w:rPr>
            </w:pPr>
            <w:r w:rsidRPr="008C4A39">
              <w:rPr>
                <w:szCs w:val="24"/>
              </w:rPr>
              <w:t>Bidder’s cross references to supporting information in Technical Bid:</w:t>
            </w:r>
          </w:p>
        </w:tc>
      </w:tr>
      <w:tr w:rsidR="00930D96" w:rsidRPr="008C4A39" w14:paraId="3FC85C8D" w14:textId="77777777" w:rsidTr="001136D3">
        <w:tc>
          <w:tcPr>
            <w:tcW w:w="2245" w:type="dxa"/>
          </w:tcPr>
          <w:p w14:paraId="1625BDE6" w14:textId="77777777" w:rsidR="00930D96" w:rsidRPr="008C4A39" w:rsidRDefault="00930D96" w:rsidP="00883B07">
            <w:pPr>
              <w:rPr>
                <w:szCs w:val="24"/>
              </w:rPr>
            </w:pPr>
            <w:r w:rsidRPr="008C4A39">
              <w:rPr>
                <w:szCs w:val="24"/>
              </w:rPr>
              <w:lastRenderedPageBreak/>
              <w:t>FR441</w:t>
            </w:r>
          </w:p>
        </w:tc>
        <w:tc>
          <w:tcPr>
            <w:tcW w:w="7110" w:type="dxa"/>
          </w:tcPr>
          <w:p w14:paraId="40F2DB00" w14:textId="77777777" w:rsidR="00930D96" w:rsidRPr="008C4A39" w:rsidRDefault="00930D96" w:rsidP="00883B07">
            <w:pPr>
              <w:rPr>
                <w:szCs w:val="24"/>
              </w:rPr>
            </w:pPr>
            <w:r w:rsidRPr="008C4A39">
              <w:rPr>
                <w:szCs w:val="24"/>
              </w:rPr>
              <w:t>The system must be able to notify both EO and Customs for annulment of LPCO.</w:t>
            </w:r>
          </w:p>
        </w:tc>
      </w:tr>
      <w:tr w:rsidR="00930D96" w:rsidRPr="008C4A39" w14:paraId="25E2C29E" w14:textId="77777777" w:rsidTr="00883B07">
        <w:tc>
          <w:tcPr>
            <w:tcW w:w="9355" w:type="dxa"/>
            <w:gridSpan w:val="2"/>
          </w:tcPr>
          <w:p w14:paraId="049366FE" w14:textId="77777777" w:rsidR="00930D96" w:rsidRPr="008C4A39" w:rsidRDefault="00930D96" w:rsidP="00883B07">
            <w:pPr>
              <w:rPr>
                <w:szCs w:val="24"/>
              </w:rPr>
            </w:pPr>
            <w:r w:rsidRPr="008C4A39">
              <w:rPr>
                <w:szCs w:val="24"/>
              </w:rPr>
              <w:t xml:space="preserve">Bidder’s technical reasons supporting compliance:  </w:t>
            </w:r>
          </w:p>
        </w:tc>
      </w:tr>
      <w:tr w:rsidR="00930D96" w:rsidRPr="008C4A39" w14:paraId="44766EB6" w14:textId="77777777" w:rsidTr="00883B07">
        <w:tc>
          <w:tcPr>
            <w:tcW w:w="9355" w:type="dxa"/>
            <w:gridSpan w:val="2"/>
          </w:tcPr>
          <w:p w14:paraId="0750DE8D" w14:textId="77777777" w:rsidR="00930D96" w:rsidRPr="008C4A39" w:rsidRDefault="00930D96" w:rsidP="00883B07">
            <w:pPr>
              <w:rPr>
                <w:szCs w:val="24"/>
              </w:rPr>
            </w:pPr>
            <w:r w:rsidRPr="008C4A39">
              <w:rPr>
                <w:szCs w:val="24"/>
              </w:rPr>
              <w:t>Bidder’s cross references to supporting information in Technical Bid:</w:t>
            </w:r>
          </w:p>
        </w:tc>
      </w:tr>
    </w:tbl>
    <w:tbl>
      <w:tblPr>
        <w:tblStyle w:val="TableGrid5"/>
        <w:tblW w:w="9265" w:type="dxa"/>
        <w:tblLook w:val="04A0" w:firstRow="1" w:lastRow="0" w:firstColumn="1" w:lastColumn="0" w:noHBand="0" w:noVBand="1"/>
      </w:tblPr>
      <w:tblGrid>
        <w:gridCol w:w="2245"/>
        <w:gridCol w:w="7020"/>
      </w:tblGrid>
      <w:tr w:rsidR="00930D96" w:rsidRPr="008C4A39" w14:paraId="0B3B5159" w14:textId="77777777" w:rsidTr="001136D3">
        <w:tc>
          <w:tcPr>
            <w:tcW w:w="2245" w:type="dxa"/>
            <w:tcBorders>
              <w:top w:val="single" w:sz="4" w:space="0" w:color="auto"/>
              <w:left w:val="single" w:sz="4" w:space="0" w:color="auto"/>
              <w:bottom w:val="single" w:sz="4" w:space="0" w:color="auto"/>
              <w:right w:val="single" w:sz="4" w:space="0" w:color="auto"/>
            </w:tcBorders>
            <w:shd w:val="clear" w:color="auto" w:fill="D9D9D9"/>
          </w:tcPr>
          <w:p w14:paraId="0C7DD3E3" w14:textId="77777777" w:rsidR="00930D96" w:rsidRPr="008C4A39" w:rsidRDefault="00930D96" w:rsidP="00883B07">
            <w:pPr>
              <w:spacing w:after="0"/>
              <w:rPr>
                <w:b/>
                <w:szCs w:val="24"/>
              </w:rPr>
            </w:pPr>
            <w:r w:rsidRPr="008C4A39">
              <w:rPr>
                <w:b/>
                <w:szCs w:val="24"/>
              </w:rPr>
              <w:t>Tech. Req. Number</w:t>
            </w:r>
          </w:p>
        </w:tc>
        <w:tc>
          <w:tcPr>
            <w:tcW w:w="7020" w:type="dxa"/>
            <w:tcBorders>
              <w:top w:val="single" w:sz="4" w:space="0" w:color="auto"/>
              <w:left w:val="single" w:sz="4" w:space="0" w:color="auto"/>
              <w:bottom w:val="single" w:sz="4" w:space="0" w:color="auto"/>
              <w:right w:val="single" w:sz="4" w:space="0" w:color="auto"/>
            </w:tcBorders>
            <w:shd w:val="clear" w:color="auto" w:fill="D9D9D9"/>
          </w:tcPr>
          <w:p w14:paraId="52366130" w14:textId="77777777" w:rsidR="00930D96" w:rsidRPr="008C4A39" w:rsidRDefault="00930D96" w:rsidP="00883B07">
            <w:pPr>
              <w:spacing w:after="0"/>
              <w:jc w:val="left"/>
              <w:rPr>
                <w:b/>
                <w:szCs w:val="24"/>
              </w:rPr>
            </w:pPr>
            <w:r w:rsidRPr="008C4A39">
              <w:rPr>
                <w:b/>
                <w:szCs w:val="24"/>
              </w:rPr>
              <w:t>Technical Requirements</w:t>
            </w:r>
          </w:p>
        </w:tc>
      </w:tr>
      <w:tr w:rsidR="00930D96" w:rsidRPr="008C4A39" w14:paraId="5AFDC464" w14:textId="77777777" w:rsidTr="00883B07">
        <w:tc>
          <w:tcPr>
            <w:tcW w:w="9265" w:type="dxa"/>
            <w:gridSpan w:val="2"/>
            <w:tcBorders>
              <w:top w:val="single" w:sz="4" w:space="0" w:color="auto"/>
              <w:left w:val="single" w:sz="4" w:space="0" w:color="auto"/>
              <w:bottom w:val="single" w:sz="4" w:space="0" w:color="auto"/>
              <w:right w:val="single" w:sz="4" w:space="0" w:color="auto"/>
            </w:tcBorders>
            <w:shd w:val="clear" w:color="auto" w:fill="auto"/>
          </w:tcPr>
          <w:p w14:paraId="7DAC6DD0" w14:textId="77777777" w:rsidR="00930D96" w:rsidRPr="008C4A39" w:rsidRDefault="00930D96" w:rsidP="00883B07">
            <w:pPr>
              <w:rPr>
                <w:b/>
                <w:szCs w:val="24"/>
              </w:rPr>
            </w:pPr>
            <w:r w:rsidRPr="008C4A39">
              <w:rPr>
                <w:b/>
                <w:szCs w:val="24"/>
              </w:rPr>
              <w:t>1.2.12.4. Withdrawal of Application</w:t>
            </w:r>
          </w:p>
        </w:tc>
      </w:tr>
      <w:tr w:rsidR="00930D96" w:rsidRPr="008C4A39" w14:paraId="43A13A46" w14:textId="77777777" w:rsidTr="001136D3">
        <w:tc>
          <w:tcPr>
            <w:tcW w:w="2245" w:type="dxa"/>
            <w:tcBorders>
              <w:top w:val="single" w:sz="4" w:space="0" w:color="auto"/>
              <w:left w:val="single" w:sz="4" w:space="0" w:color="auto"/>
              <w:bottom w:val="single" w:sz="4" w:space="0" w:color="auto"/>
              <w:right w:val="single" w:sz="4" w:space="0" w:color="auto"/>
            </w:tcBorders>
            <w:shd w:val="clear" w:color="auto" w:fill="auto"/>
          </w:tcPr>
          <w:p w14:paraId="546405AC" w14:textId="77777777" w:rsidR="00930D96" w:rsidRPr="008C4A39" w:rsidRDefault="00930D96" w:rsidP="00883B07">
            <w:pPr>
              <w:ind w:left="738" w:right="-14" w:hanging="738"/>
              <w:jc w:val="left"/>
              <w:rPr>
                <w:szCs w:val="24"/>
              </w:rPr>
            </w:pPr>
            <w:r w:rsidRPr="008C4A39">
              <w:rPr>
                <w:szCs w:val="24"/>
              </w:rPr>
              <w:t>FR121</w:t>
            </w:r>
          </w:p>
          <w:p w14:paraId="1C3A6D0E" w14:textId="77777777" w:rsidR="00930D96" w:rsidRPr="008C4A39" w:rsidRDefault="00930D96" w:rsidP="00883B07">
            <w:pPr>
              <w:ind w:left="738" w:right="-14" w:hanging="738"/>
              <w:jc w:val="left"/>
              <w:rPr>
                <w:szCs w:val="24"/>
              </w:rPr>
            </w:pPr>
          </w:p>
        </w:tc>
        <w:tc>
          <w:tcPr>
            <w:tcW w:w="7020" w:type="dxa"/>
            <w:tcBorders>
              <w:top w:val="single" w:sz="4" w:space="0" w:color="auto"/>
              <w:left w:val="single" w:sz="4" w:space="0" w:color="auto"/>
              <w:bottom w:val="single" w:sz="4" w:space="0" w:color="auto"/>
              <w:right w:val="single" w:sz="4" w:space="0" w:color="auto"/>
            </w:tcBorders>
            <w:shd w:val="clear" w:color="auto" w:fill="auto"/>
          </w:tcPr>
          <w:p w14:paraId="08767633" w14:textId="77777777" w:rsidR="00930D96" w:rsidRPr="008C4A39" w:rsidRDefault="00930D96" w:rsidP="00883B07">
            <w:pPr>
              <w:spacing w:after="0"/>
              <w:jc w:val="left"/>
              <w:rPr>
                <w:szCs w:val="24"/>
              </w:rPr>
            </w:pPr>
            <w:r w:rsidRPr="008C4A39">
              <w:rPr>
                <w:szCs w:val="24"/>
              </w:rPr>
              <w:t>The Applicant must be able to withdraw his application submitted earlier. The NSW System shall provide functionality to withdraw / cancel an application with all associated documentation prior to submission. The NSW System must ensure that only the originating applicant (or his representative) can withdraw/cancel the application.</w:t>
            </w:r>
          </w:p>
        </w:tc>
      </w:tr>
      <w:tr w:rsidR="00930D96" w:rsidRPr="008C4A39" w14:paraId="51B3446D" w14:textId="77777777" w:rsidTr="00883B07">
        <w:tc>
          <w:tcPr>
            <w:tcW w:w="9265" w:type="dxa"/>
            <w:gridSpan w:val="2"/>
            <w:tcBorders>
              <w:top w:val="single" w:sz="4" w:space="0" w:color="auto"/>
              <w:left w:val="single" w:sz="4" w:space="0" w:color="auto"/>
              <w:bottom w:val="single" w:sz="4" w:space="0" w:color="auto"/>
              <w:right w:val="single" w:sz="4" w:space="0" w:color="auto"/>
            </w:tcBorders>
            <w:shd w:val="clear" w:color="auto" w:fill="auto"/>
          </w:tcPr>
          <w:p w14:paraId="1B456EAB" w14:textId="77777777" w:rsidR="00930D96" w:rsidRPr="008C4A39" w:rsidRDefault="00930D96" w:rsidP="00883B07">
            <w:pPr>
              <w:spacing w:after="0"/>
              <w:jc w:val="left"/>
              <w:rPr>
                <w:szCs w:val="24"/>
              </w:rPr>
            </w:pPr>
            <w:r w:rsidRPr="008C4A39">
              <w:rPr>
                <w:szCs w:val="24"/>
              </w:rPr>
              <w:t xml:space="preserve">Bidder’s technical reasons supporting compliance:  </w:t>
            </w:r>
          </w:p>
        </w:tc>
      </w:tr>
      <w:tr w:rsidR="00930D96" w:rsidRPr="008C4A39" w14:paraId="061BC08D" w14:textId="77777777" w:rsidTr="00883B07">
        <w:tc>
          <w:tcPr>
            <w:tcW w:w="9265" w:type="dxa"/>
            <w:gridSpan w:val="2"/>
            <w:tcBorders>
              <w:top w:val="single" w:sz="4" w:space="0" w:color="auto"/>
              <w:left w:val="single" w:sz="4" w:space="0" w:color="auto"/>
              <w:bottom w:val="single" w:sz="4" w:space="0" w:color="auto"/>
              <w:right w:val="single" w:sz="4" w:space="0" w:color="auto"/>
            </w:tcBorders>
            <w:shd w:val="clear" w:color="auto" w:fill="auto"/>
          </w:tcPr>
          <w:p w14:paraId="6554ED2D" w14:textId="77777777" w:rsidR="00930D96" w:rsidRPr="008C4A39" w:rsidRDefault="00930D96" w:rsidP="00883B07">
            <w:pPr>
              <w:spacing w:after="0"/>
              <w:jc w:val="left"/>
              <w:rPr>
                <w:szCs w:val="24"/>
              </w:rPr>
            </w:pPr>
            <w:r w:rsidRPr="008C4A39">
              <w:rPr>
                <w:szCs w:val="24"/>
              </w:rPr>
              <w:t>Bidder’s cross references to supporting information in Technical Bid:</w:t>
            </w:r>
          </w:p>
        </w:tc>
      </w:tr>
      <w:tr w:rsidR="00930D96" w:rsidRPr="008C4A39" w14:paraId="05D16B42" w14:textId="77777777" w:rsidTr="001136D3">
        <w:tc>
          <w:tcPr>
            <w:tcW w:w="2245" w:type="dxa"/>
            <w:tcBorders>
              <w:top w:val="single" w:sz="4" w:space="0" w:color="auto"/>
              <w:left w:val="single" w:sz="4" w:space="0" w:color="auto"/>
              <w:bottom w:val="single" w:sz="4" w:space="0" w:color="auto"/>
              <w:right w:val="single" w:sz="4" w:space="0" w:color="auto"/>
            </w:tcBorders>
            <w:shd w:val="clear" w:color="auto" w:fill="auto"/>
          </w:tcPr>
          <w:p w14:paraId="71B69598" w14:textId="77777777" w:rsidR="00930D96" w:rsidRPr="008C4A39" w:rsidRDefault="00930D96" w:rsidP="00883B07">
            <w:pPr>
              <w:ind w:left="738" w:right="-14" w:hanging="738"/>
              <w:jc w:val="left"/>
              <w:rPr>
                <w:szCs w:val="24"/>
              </w:rPr>
            </w:pPr>
            <w:r w:rsidRPr="008C4A39">
              <w:rPr>
                <w:szCs w:val="24"/>
              </w:rPr>
              <w:t>FR144</w:t>
            </w:r>
          </w:p>
        </w:tc>
        <w:tc>
          <w:tcPr>
            <w:tcW w:w="7020" w:type="dxa"/>
            <w:tcBorders>
              <w:top w:val="single" w:sz="4" w:space="0" w:color="auto"/>
              <w:left w:val="single" w:sz="4" w:space="0" w:color="auto"/>
              <w:bottom w:val="single" w:sz="4" w:space="0" w:color="auto"/>
              <w:right w:val="single" w:sz="4" w:space="0" w:color="auto"/>
            </w:tcBorders>
            <w:shd w:val="clear" w:color="auto" w:fill="auto"/>
          </w:tcPr>
          <w:p w14:paraId="0495E727" w14:textId="77777777" w:rsidR="00930D96" w:rsidRPr="008C4A39" w:rsidRDefault="00930D96" w:rsidP="00883B07">
            <w:pPr>
              <w:spacing w:after="0"/>
              <w:jc w:val="left"/>
              <w:rPr>
                <w:szCs w:val="24"/>
              </w:rPr>
            </w:pPr>
            <w:r w:rsidRPr="008C4A39">
              <w:rPr>
                <w:szCs w:val="24"/>
              </w:rPr>
              <w:t>The system must provide functionality for CBRA to process any change or withdrawal requests from applicant before an application is approved.</w:t>
            </w:r>
          </w:p>
        </w:tc>
      </w:tr>
      <w:tr w:rsidR="00930D96" w:rsidRPr="008C4A39" w14:paraId="502EA60B" w14:textId="77777777" w:rsidTr="00883B07">
        <w:tc>
          <w:tcPr>
            <w:tcW w:w="9265" w:type="dxa"/>
            <w:gridSpan w:val="2"/>
            <w:tcBorders>
              <w:top w:val="single" w:sz="4" w:space="0" w:color="auto"/>
              <w:left w:val="single" w:sz="4" w:space="0" w:color="auto"/>
              <w:bottom w:val="single" w:sz="4" w:space="0" w:color="auto"/>
              <w:right w:val="single" w:sz="4" w:space="0" w:color="auto"/>
            </w:tcBorders>
            <w:shd w:val="clear" w:color="auto" w:fill="auto"/>
          </w:tcPr>
          <w:p w14:paraId="4E0C7D45" w14:textId="77777777" w:rsidR="00930D96" w:rsidRPr="008C4A39" w:rsidRDefault="00930D96" w:rsidP="00883B07">
            <w:pPr>
              <w:spacing w:after="0"/>
              <w:jc w:val="left"/>
              <w:rPr>
                <w:szCs w:val="24"/>
              </w:rPr>
            </w:pPr>
            <w:r w:rsidRPr="008C4A39">
              <w:rPr>
                <w:szCs w:val="24"/>
              </w:rPr>
              <w:t xml:space="preserve">Bidder’s technical reasons supporting compliance:  </w:t>
            </w:r>
          </w:p>
        </w:tc>
      </w:tr>
      <w:tr w:rsidR="00930D96" w:rsidRPr="008C4A39" w14:paraId="56B2AE51" w14:textId="77777777" w:rsidTr="00883B07">
        <w:tc>
          <w:tcPr>
            <w:tcW w:w="9265" w:type="dxa"/>
            <w:gridSpan w:val="2"/>
            <w:tcBorders>
              <w:top w:val="single" w:sz="4" w:space="0" w:color="auto"/>
              <w:left w:val="single" w:sz="4" w:space="0" w:color="auto"/>
              <w:bottom w:val="single" w:sz="4" w:space="0" w:color="auto"/>
              <w:right w:val="single" w:sz="4" w:space="0" w:color="auto"/>
            </w:tcBorders>
            <w:shd w:val="clear" w:color="auto" w:fill="auto"/>
          </w:tcPr>
          <w:p w14:paraId="28A4D601" w14:textId="77777777" w:rsidR="00930D96" w:rsidRPr="008C4A39" w:rsidRDefault="00930D96" w:rsidP="00883B07">
            <w:pPr>
              <w:spacing w:after="0"/>
              <w:jc w:val="left"/>
              <w:rPr>
                <w:szCs w:val="24"/>
              </w:rPr>
            </w:pPr>
            <w:r w:rsidRPr="008C4A39">
              <w:rPr>
                <w:szCs w:val="24"/>
              </w:rPr>
              <w:t>Bidder’s cross references to supporting information in Technical Bid:</w:t>
            </w:r>
          </w:p>
        </w:tc>
      </w:tr>
      <w:tr w:rsidR="00930D96" w:rsidRPr="008C4A39" w14:paraId="25ED27A2" w14:textId="77777777" w:rsidTr="001136D3">
        <w:tc>
          <w:tcPr>
            <w:tcW w:w="2245" w:type="dxa"/>
            <w:tcBorders>
              <w:top w:val="single" w:sz="4" w:space="0" w:color="auto"/>
              <w:left w:val="single" w:sz="4" w:space="0" w:color="auto"/>
              <w:bottom w:val="single" w:sz="4" w:space="0" w:color="auto"/>
              <w:right w:val="single" w:sz="4" w:space="0" w:color="auto"/>
            </w:tcBorders>
          </w:tcPr>
          <w:p w14:paraId="1FD63DFB" w14:textId="77777777" w:rsidR="00930D96" w:rsidRPr="008C4A39" w:rsidRDefault="00930D96" w:rsidP="00883B07">
            <w:pPr>
              <w:spacing w:after="0"/>
              <w:rPr>
                <w:szCs w:val="24"/>
              </w:rPr>
            </w:pPr>
            <w:r w:rsidRPr="008C4A39">
              <w:rPr>
                <w:szCs w:val="24"/>
              </w:rPr>
              <w:t>FR477</w:t>
            </w:r>
          </w:p>
        </w:tc>
        <w:tc>
          <w:tcPr>
            <w:tcW w:w="7020" w:type="dxa"/>
            <w:tcBorders>
              <w:top w:val="single" w:sz="4" w:space="0" w:color="auto"/>
              <w:left w:val="single" w:sz="4" w:space="0" w:color="auto"/>
              <w:bottom w:val="single" w:sz="4" w:space="0" w:color="auto"/>
              <w:right w:val="single" w:sz="4" w:space="0" w:color="auto"/>
            </w:tcBorders>
          </w:tcPr>
          <w:p w14:paraId="791496E1" w14:textId="77777777" w:rsidR="00930D96" w:rsidRPr="008C4A39" w:rsidRDefault="00930D96" w:rsidP="00883B07">
            <w:pPr>
              <w:spacing w:after="0"/>
              <w:rPr>
                <w:rFonts w:eastAsia="Arial Unicode MS"/>
                <w:szCs w:val="24"/>
              </w:rPr>
            </w:pPr>
            <w:r w:rsidRPr="008C4A39">
              <w:rPr>
                <w:rFonts w:eastAsia="Arial Unicode MS"/>
                <w:szCs w:val="24"/>
              </w:rPr>
              <w:t xml:space="preserve">The system must record the request of withdrawal of application. </w:t>
            </w:r>
          </w:p>
        </w:tc>
      </w:tr>
      <w:tr w:rsidR="00930D96" w:rsidRPr="008C4A39" w14:paraId="6B2CD2FA"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161628ED"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6450A00C"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1A6BA94"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3E254511" w14:textId="77777777" w:rsidTr="001136D3">
        <w:tc>
          <w:tcPr>
            <w:tcW w:w="2245" w:type="dxa"/>
            <w:tcBorders>
              <w:top w:val="single" w:sz="4" w:space="0" w:color="auto"/>
              <w:left w:val="single" w:sz="4" w:space="0" w:color="auto"/>
              <w:bottom w:val="single" w:sz="4" w:space="0" w:color="auto"/>
              <w:right w:val="single" w:sz="4" w:space="0" w:color="auto"/>
            </w:tcBorders>
          </w:tcPr>
          <w:p w14:paraId="0418D5DD" w14:textId="77777777" w:rsidR="00930D96" w:rsidRPr="008C4A39" w:rsidRDefault="00930D96" w:rsidP="00883B07">
            <w:pPr>
              <w:spacing w:after="0"/>
              <w:rPr>
                <w:szCs w:val="24"/>
              </w:rPr>
            </w:pPr>
            <w:r w:rsidRPr="008C4A39">
              <w:rPr>
                <w:szCs w:val="24"/>
              </w:rPr>
              <w:t>FR478</w:t>
            </w:r>
          </w:p>
        </w:tc>
        <w:tc>
          <w:tcPr>
            <w:tcW w:w="7020" w:type="dxa"/>
            <w:tcBorders>
              <w:top w:val="single" w:sz="4" w:space="0" w:color="auto"/>
              <w:left w:val="single" w:sz="4" w:space="0" w:color="auto"/>
              <w:bottom w:val="single" w:sz="4" w:space="0" w:color="auto"/>
              <w:right w:val="single" w:sz="4" w:space="0" w:color="auto"/>
            </w:tcBorders>
          </w:tcPr>
          <w:p w14:paraId="47D1292C" w14:textId="77777777" w:rsidR="00930D96" w:rsidRPr="008C4A39" w:rsidRDefault="00930D96" w:rsidP="00883B07">
            <w:pPr>
              <w:spacing w:after="0"/>
              <w:rPr>
                <w:rFonts w:eastAsia="Arial Unicode MS"/>
                <w:szCs w:val="24"/>
              </w:rPr>
            </w:pPr>
            <w:r w:rsidRPr="008C4A39">
              <w:rPr>
                <w:rFonts w:eastAsia="Arial Unicode MS"/>
                <w:szCs w:val="24"/>
              </w:rPr>
              <w:t xml:space="preserve">The system must identify the state before the state "Withdrawn". </w:t>
            </w:r>
          </w:p>
        </w:tc>
      </w:tr>
      <w:tr w:rsidR="00930D96" w:rsidRPr="008C4A39" w14:paraId="017C7775"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6D76CFA"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4BB7B382"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1EFF85AB"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4F024117" w14:textId="77777777" w:rsidTr="001136D3">
        <w:tc>
          <w:tcPr>
            <w:tcW w:w="2245" w:type="dxa"/>
            <w:tcBorders>
              <w:top w:val="single" w:sz="4" w:space="0" w:color="auto"/>
              <w:left w:val="single" w:sz="4" w:space="0" w:color="auto"/>
              <w:bottom w:val="single" w:sz="4" w:space="0" w:color="auto"/>
              <w:right w:val="single" w:sz="4" w:space="0" w:color="auto"/>
            </w:tcBorders>
          </w:tcPr>
          <w:p w14:paraId="616E6505" w14:textId="77777777" w:rsidR="00930D96" w:rsidRPr="008C4A39" w:rsidRDefault="00930D96" w:rsidP="00883B07">
            <w:pPr>
              <w:spacing w:after="0"/>
              <w:rPr>
                <w:szCs w:val="24"/>
              </w:rPr>
            </w:pPr>
            <w:r w:rsidRPr="008C4A39">
              <w:rPr>
                <w:szCs w:val="24"/>
              </w:rPr>
              <w:t>FR479</w:t>
            </w:r>
          </w:p>
        </w:tc>
        <w:tc>
          <w:tcPr>
            <w:tcW w:w="7020" w:type="dxa"/>
            <w:tcBorders>
              <w:top w:val="single" w:sz="4" w:space="0" w:color="auto"/>
              <w:left w:val="single" w:sz="4" w:space="0" w:color="auto"/>
              <w:bottom w:val="single" w:sz="4" w:space="0" w:color="auto"/>
              <w:right w:val="single" w:sz="4" w:space="0" w:color="auto"/>
            </w:tcBorders>
          </w:tcPr>
          <w:p w14:paraId="63264A6E" w14:textId="77777777" w:rsidR="00930D96" w:rsidRPr="008C4A39" w:rsidRDefault="00930D96" w:rsidP="00883B07">
            <w:pPr>
              <w:spacing w:after="0"/>
              <w:rPr>
                <w:rFonts w:eastAsia="Arial Unicode MS"/>
                <w:szCs w:val="24"/>
              </w:rPr>
            </w:pPr>
            <w:r w:rsidRPr="008C4A39">
              <w:rPr>
                <w:rFonts w:eastAsia="Arial Unicode MS"/>
                <w:szCs w:val="24"/>
              </w:rPr>
              <w:t>The system must identify if the state of the application has ever been "Accepted".</w:t>
            </w:r>
          </w:p>
        </w:tc>
      </w:tr>
      <w:tr w:rsidR="00930D96" w:rsidRPr="008C4A39" w14:paraId="0ED30047"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2487F51C"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539FA9D1"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4FBE53BF"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1B6EC6B1" w14:textId="77777777" w:rsidTr="001136D3">
        <w:tc>
          <w:tcPr>
            <w:tcW w:w="2245" w:type="dxa"/>
            <w:tcBorders>
              <w:top w:val="single" w:sz="4" w:space="0" w:color="auto"/>
              <w:left w:val="single" w:sz="4" w:space="0" w:color="auto"/>
              <w:bottom w:val="single" w:sz="4" w:space="0" w:color="auto"/>
              <w:right w:val="single" w:sz="4" w:space="0" w:color="auto"/>
            </w:tcBorders>
          </w:tcPr>
          <w:p w14:paraId="2F429231" w14:textId="77777777" w:rsidR="00930D96" w:rsidRPr="008C4A39" w:rsidRDefault="00930D96" w:rsidP="00883B07">
            <w:pPr>
              <w:spacing w:after="0"/>
              <w:rPr>
                <w:szCs w:val="24"/>
              </w:rPr>
            </w:pPr>
            <w:r w:rsidRPr="008C4A39">
              <w:rPr>
                <w:szCs w:val="24"/>
              </w:rPr>
              <w:t>FR480</w:t>
            </w:r>
          </w:p>
        </w:tc>
        <w:tc>
          <w:tcPr>
            <w:tcW w:w="7020" w:type="dxa"/>
            <w:tcBorders>
              <w:top w:val="single" w:sz="4" w:space="0" w:color="auto"/>
              <w:left w:val="single" w:sz="4" w:space="0" w:color="auto"/>
              <w:bottom w:val="single" w:sz="4" w:space="0" w:color="auto"/>
              <w:right w:val="single" w:sz="4" w:space="0" w:color="auto"/>
            </w:tcBorders>
          </w:tcPr>
          <w:p w14:paraId="27EF1E6B" w14:textId="77777777" w:rsidR="00930D96" w:rsidRPr="008C4A39" w:rsidRDefault="00930D96" w:rsidP="00883B07">
            <w:pPr>
              <w:spacing w:after="0"/>
              <w:rPr>
                <w:rFonts w:eastAsia="Arial Unicode MS"/>
                <w:szCs w:val="24"/>
              </w:rPr>
            </w:pPr>
            <w:r w:rsidRPr="008C4A39">
              <w:rPr>
                <w:rFonts w:eastAsia="Arial Unicode MS"/>
                <w:szCs w:val="24"/>
              </w:rPr>
              <w:t>The system must send a request for LPCO withdrawal to the other licensing system.</w:t>
            </w:r>
          </w:p>
        </w:tc>
      </w:tr>
      <w:tr w:rsidR="00930D96" w:rsidRPr="008C4A39" w14:paraId="565B56B9"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03C92349"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6750AE52"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091AE1AF"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604F9169" w14:textId="77777777" w:rsidTr="001136D3">
        <w:tc>
          <w:tcPr>
            <w:tcW w:w="2245" w:type="dxa"/>
            <w:tcBorders>
              <w:top w:val="single" w:sz="4" w:space="0" w:color="auto"/>
              <w:left w:val="single" w:sz="4" w:space="0" w:color="auto"/>
              <w:bottom w:val="single" w:sz="4" w:space="0" w:color="auto"/>
              <w:right w:val="single" w:sz="4" w:space="0" w:color="auto"/>
            </w:tcBorders>
          </w:tcPr>
          <w:p w14:paraId="1D3C5F06" w14:textId="77777777" w:rsidR="00930D96" w:rsidRPr="008C4A39" w:rsidRDefault="00930D96" w:rsidP="00883B07">
            <w:pPr>
              <w:spacing w:after="0"/>
              <w:rPr>
                <w:szCs w:val="24"/>
              </w:rPr>
            </w:pPr>
            <w:r w:rsidRPr="008C4A39">
              <w:rPr>
                <w:szCs w:val="24"/>
              </w:rPr>
              <w:t>FR481</w:t>
            </w:r>
          </w:p>
        </w:tc>
        <w:tc>
          <w:tcPr>
            <w:tcW w:w="7020" w:type="dxa"/>
            <w:tcBorders>
              <w:top w:val="single" w:sz="4" w:space="0" w:color="auto"/>
              <w:left w:val="single" w:sz="4" w:space="0" w:color="auto"/>
              <w:bottom w:val="single" w:sz="4" w:space="0" w:color="auto"/>
              <w:right w:val="single" w:sz="4" w:space="0" w:color="auto"/>
            </w:tcBorders>
          </w:tcPr>
          <w:p w14:paraId="30163DDA" w14:textId="77777777" w:rsidR="00930D96" w:rsidRPr="008C4A39" w:rsidRDefault="00930D96" w:rsidP="00883B07">
            <w:pPr>
              <w:spacing w:after="0"/>
              <w:rPr>
                <w:rFonts w:eastAsia="Arial Unicode MS"/>
                <w:szCs w:val="24"/>
              </w:rPr>
            </w:pPr>
            <w:r w:rsidRPr="008C4A39">
              <w:rPr>
                <w:rFonts w:eastAsia="Arial Unicode MS"/>
                <w:szCs w:val="24"/>
              </w:rPr>
              <w:t>The system must perform validation of withdrawal acceptance.</w:t>
            </w:r>
          </w:p>
        </w:tc>
      </w:tr>
      <w:tr w:rsidR="00930D96" w:rsidRPr="008C4A39" w14:paraId="4085D4B5"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78A5257"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0A05A418"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93DFC51"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4B4A3285" w14:textId="77777777" w:rsidTr="001136D3">
        <w:tc>
          <w:tcPr>
            <w:tcW w:w="2245" w:type="dxa"/>
            <w:tcBorders>
              <w:top w:val="single" w:sz="4" w:space="0" w:color="auto"/>
              <w:left w:val="single" w:sz="4" w:space="0" w:color="auto"/>
              <w:bottom w:val="single" w:sz="4" w:space="0" w:color="auto"/>
              <w:right w:val="single" w:sz="4" w:space="0" w:color="auto"/>
            </w:tcBorders>
          </w:tcPr>
          <w:p w14:paraId="1574D914" w14:textId="77777777" w:rsidR="00930D96" w:rsidRPr="008C4A39" w:rsidRDefault="00930D96" w:rsidP="00883B07">
            <w:pPr>
              <w:spacing w:after="0"/>
              <w:rPr>
                <w:szCs w:val="24"/>
              </w:rPr>
            </w:pPr>
            <w:r w:rsidRPr="008C4A39">
              <w:rPr>
                <w:szCs w:val="24"/>
              </w:rPr>
              <w:t>FR482</w:t>
            </w:r>
          </w:p>
        </w:tc>
        <w:tc>
          <w:tcPr>
            <w:tcW w:w="7020" w:type="dxa"/>
            <w:tcBorders>
              <w:top w:val="single" w:sz="4" w:space="0" w:color="auto"/>
              <w:left w:val="single" w:sz="4" w:space="0" w:color="auto"/>
              <w:bottom w:val="single" w:sz="4" w:space="0" w:color="auto"/>
              <w:right w:val="single" w:sz="4" w:space="0" w:color="auto"/>
            </w:tcBorders>
          </w:tcPr>
          <w:p w14:paraId="3EB89C1F" w14:textId="77777777" w:rsidR="00930D96" w:rsidRPr="008C4A39" w:rsidRDefault="00930D96" w:rsidP="00883B07">
            <w:pPr>
              <w:spacing w:after="0"/>
              <w:rPr>
                <w:rFonts w:eastAsia="Arial Unicode MS"/>
                <w:szCs w:val="24"/>
              </w:rPr>
            </w:pPr>
            <w:r w:rsidRPr="008C4A39">
              <w:rPr>
                <w:rFonts w:eastAsia="Arial Unicode MS"/>
                <w:szCs w:val="24"/>
              </w:rPr>
              <w:t>The system must be able to notify the EI of rejection of withdrawal of application.</w:t>
            </w:r>
          </w:p>
        </w:tc>
      </w:tr>
      <w:tr w:rsidR="00930D96" w:rsidRPr="008C4A39" w14:paraId="04838978"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7880E950"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5FAC3E74"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453D672F"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28629BED" w14:textId="77777777" w:rsidTr="001136D3">
        <w:tc>
          <w:tcPr>
            <w:tcW w:w="2245" w:type="dxa"/>
            <w:tcBorders>
              <w:top w:val="single" w:sz="4" w:space="0" w:color="auto"/>
              <w:left w:val="single" w:sz="4" w:space="0" w:color="auto"/>
              <w:bottom w:val="single" w:sz="4" w:space="0" w:color="auto"/>
              <w:right w:val="single" w:sz="4" w:space="0" w:color="auto"/>
            </w:tcBorders>
          </w:tcPr>
          <w:p w14:paraId="6DE4D3CF" w14:textId="77777777" w:rsidR="00930D96" w:rsidRPr="008C4A39" w:rsidRDefault="00930D96" w:rsidP="00883B07">
            <w:pPr>
              <w:spacing w:after="0"/>
              <w:rPr>
                <w:szCs w:val="24"/>
              </w:rPr>
            </w:pPr>
            <w:r w:rsidRPr="008C4A39">
              <w:rPr>
                <w:szCs w:val="24"/>
              </w:rPr>
              <w:t>FR483</w:t>
            </w:r>
          </w:p>
        </w:tc>
        <w:tc>
          <w:tcPr>
            <w:tcW w:w="7020" w:type="dxa"/>
            <w:tcBorders>
              <w:top w:val="single" w:sz="4" w:space="0" w:color="auto"/>
              <w:left w:val="single" w:sz="4" w:space="0" w:color="auto"/>
              <w:bottom w:val="single" w:sz="4" w:space="0" w:color="auto"/>
              <w:right w:val="single" w:sz="4" w:space="0" w:color="auto"/>
            </w:tcBorders>
          </w:tcPr>
          <w:p w14:paraId="7E9EAD13" w14:textId="77777777" w:rsidR="00930D96" w:rsidRPr="008C4A39" w:rsidRDefault="00930D96" w:rsidP="00883B07">
            <w:pPr>
              <w:spacing w:after="0"/>
              <w:rPr>
                <w:rFonts w:eastAsia="Arial Unicode MS"/>
                <w:szCs w:val="24"/>
              </w:rPr>
            </w:pPr>
            <w:r w:rsidRPr="008C4A39">
              <w:rPr>
                <w:rFonts w:eastAsia="Arial Unicode MS"/>
                <w:szCs w:val="24"/>
              </w:rPr>
              <w:t>The system must record data as it is registered or processed automatically.</w:t>
            </w:r>
          </w:p>
        </w:tc>
      </w:tr>
      <w:tr w:rsidR="00930D96" w:rsidRPr="008C4A39" w14:paraId="508DC34F"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A04ADD5"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00C3DEBA"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98A7BFF" w14:textId="77777777" w:rsidR="00930D96" w:rsidRPr="008C4A39" w:rsidRDefault="00930D96" w:rsidP="00883B07">
            <w:pPr>
              <w:spacing w:after="0"/>
              <w:rPr>
                <w:rFonts w:eastAsia="Arial Unicode MS"/>
                <w:szCs w:val="24"/>
              </w:rPr>
            </w:pPr>
            <w:r w:rsidRPr="008C4A39">
              <w:rPr>
                <w:szCs w:val="24"/>
              </w:rPr>
              <w:lastRenderedPageBreak/>
              <w:t>Bidder’s cross references to supporting information in Technical Bid:</w:t>
            </w:r>
          </w:p>
        </w:tc>
      </w:tr>
      <w:tr w:rsidR="00930D96" w:rsidRPr="008C4A39" w14:paraId="3073F914" w14:textId="77777777" w:rsidTr="001136D3">
        <w:tc>
          <w:tcPr>
            <w:tcW w:w="2245" w:type="dxa"/>
            <w:tcBorders>
              <w:top w:val="single" w:sz="4" w:space="0" w:color="auto"/>
              <w:left w:val="single" w:sz="4" w:space="0" w:color="auto"/>
              <w:bottom w:val="single" w:sz="4" w:space="0" w:color="auto"/>
              <w:right w:val="single" w:sz="4" w:space="0" w:color="auto"/>
            </w:tcBorders>
          </w:tcPr>
          <w:p w14:paraId="7544270F" w14:textId="77777777" w:rsidR="00930D96" w:rsidRPr="008C4A39" w:rsidRDefault="00930D96" w:rsidP="00883B07">
            <w:pPr>
              <w:spacing w:after="0"/>
              <w:rPr>
                <w:szCs w:val="24"/>
              </w:rPr>
            </w:pPr>
            <w:r w:rsidRPr="008C4A39">
              <w:rPr>
                <w:szCs w:val="24"/>
              </w:rPr>
              <w:t>FR484</w:t>
            </w:r>
          </w:p>
        </w:tc>
        <w:tc>
          <w:tcPr>
            <w:tcW w:w="7020" w:type="dxa"/>
            <w:tcBorders>
              <w:top w:val="single" w:sz="4" w:space="0" w:color="auto"/>
              <w:left w:val="single" w:sz="4" w:space="0" w:color="auto"/>
              <w:bottom w:val="single" w:sz="4" w:space="0" w:color="auto"/>
              <w:right w:val="single" w:sz="4" w:space="0" w:color="auto"/>
            </w:tcBorders>
          </w:tcPr>
          <w:p w14:paraId="529B7212" w14:textId="77777777" w:rsidR="00930D96" w:rsidRPr="008C4A39" w:rsidRDefault="00930D96" w:rsidP="00883B07">
            <w:pPr>
              <w:spacing w:after="0"/>
              <w:rPr>
                <w:rFonts w:eastAsia="Arial Unicode MS"/>
                <w:szCs w:val="24"/>
              </w:rPr>
            </w:pPr>
            <w:r w:rsidRPr="008C4A39">
              <w:rPr>
                <w:rFonts w:eastAsia="Arial Unicode MS"/>
                <w:szCs w:val="24"/>
              </w:rPr>
              <w:t>The system must notify the applicant with an IE of acceptance of withdrawal.</w:t>
            </w:r>
          </w:p>
        </w:tc>
      </w:tr>
      <w:tr w:rsidR="00930D96" w:rsidRPr="008C4A39" w14:paraId="370C8019"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C273441"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5A62A40B"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759B1ADE"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bl>
    <w:tbl>
      <w:tblPr>
        <w:tblStyle w:val="TableGrid6"/>
        <w:tblW w:w="9265" w:type="dxa"/>
        <w:tblLook w:val="04A0" w:firstRow="1" w:lastRow="0" w:firstColumn="1" w:lastColumn="0" w:noHBand="0" w:noVBand="1"/>
      </w:tblPr>
      <w:tblGrid>
        <w:gridCol w:w="2245"/>
        <w:gridCol w:w="7020"/>
      </w:tblGrid>
      <w:tr w:rsidR="00930D96" w:rsidRPr="008C4A39" w14:paraId="5FA3BA81" w14:textId="77777777" w:rsidTr="001136D3">
        <w:tc>
          <w:tcPr>
            <w:tcW w:w="2245" w:type="dxa"/>
            <w:tcBorders>
              <w:top w:val="single" w:sz="4" w:space="0" w:color="auto"/>
              <w:left w:val="single" w:sz="4" w:space="0" w:color="auto"/>
              <w:bottom w:val="single" w:sz="4" w:space="0" w:color="auto"/>
              <w:right w:val="single" w:sz="4" w:space="0" w:color="auto"/>
            </w:tcBorders>
            <w:shd w:val="clear" w:color="auto" w:fill="D9D9D9"/>
          </w:tcPr>
          <w:p w14:paraId="01BAEA5E" w14:textId="77777777" w:rsidR="00930D96" w:rsidRPr="008C4A39" w:rsidRDefault="00930D96" w:rsidP="00883B07">
            <w:pPr>
              <w:spacing w:after="0"/>
              <w:rPr>
                <w:b/>
                <w:szCs w:val="24"/>
              </w:rPr>
            </w:pPr>
            <w:r w:rsidRPr="008C4A39">
              <w:rPr>
                <w:b/>
                <w:szCs w:val="24"/>
              </w:rPr>
              <w:t>Tech. Req. Number</w:t>
            </w:r>
          </w:p>
        </w:tc>
        <w:tc>
          <w:tcPr>
            <w:tcW w:w="7020" w:type="dxa"/>
            <w:tcBorders>
              <w:top w:val="single" w:sz="4" w:space="0" w:color="auto"/>
              <w:left w:val="single" w:sz="4" w:space="0" w:color="auto"/>
              <w:bottom w:val="single" w:sz="4" w:space="0" w:color="auto"/>
              <w:right w:val="single" w:sz="4" w:space="0" w:color="auto"/>
            </w:tcBorders>
            <w:shd w:val="clear" w:color="auto" w:fill="D9D9D9"/>
          </w:tcPr>
          <w:p w14:paraId="7ABDD510" w14:textId="77777777" w:rsidR="00930D96" w:rsidRPr="008C4A39" w:rsidRDefault="00930D96" w:rsidP="00883B07">
            <w:pPr>
              <w:spacing w:after="0"/>
              <w:rPr>
                <w:b/>
                <w:szCs w:val="24"/>
              </w:rPr>
            </w:pPr>
            <w:r w:rsidRPr="008C4A39">
              <w:rPr>
                <w:b/>
                <w:szCs w:val="24"/>
              </w:rPr>
              <w:t>Technical Requirements</w:t>
            </w:r>
          </w:p>
        </w:tc>
      </w:tr>
      <w:tr w:rsidR="00930D96" w:rsidRPr="008C4A39" w14:paraId="7ADC0770"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2736C2CD" w14:textId="77777777" w:rsidR="00930D96" w:rsidRPr="008C4A39" w:rsidRDefault="00930D96" w:rsidP="00883B07">
            <w:pPr>
              <w:rPr>
                <w:b/>
                <w:szCs w:val="24"/>
              </w:rPr>
            </w:pPr>
            <w:r w:rsidRPr="008C4A39">
              <w:rPr>
                <w:b/>
                <w:szCs w:val="24"/>
              </w:rPr>
              <w:t>1.2.12.5. Right to be Heard</w:t>
            </w:r>
          </w:p>
        </w:tc>
      </w:tr>
      <w:tr w:rsidR="00930D96" w:rsidRPr="008C4A39" w14:paraId="35AA7BDB" w14:textId="77777777" w:rsidTr="001136D3">
        <w:tc>
          <w:tcPr>
            <w:tcW w:w="2245" w:type="dxa"/>
            <w:tcBorders>
              <w:top w:val="single" w:sz="4" w:space="0" w:color="auto"/>
              <w:left w:val="single" w:sz="4" w:space="0" w:color="auto"/>
              <w:bottom w:val="single" w:sz="4" w:space="0" w:color="auto"/>
              <w:right w:val="single" w:sz="4" w:space="0" w:color="auto"/>
            </w:tcBorders>
          </w:tcPr>
          <w:p w14:paraId="66165323" w14:textId="77777777" w:rsidR="00930D96" w:rsidRPr="008C4A39" w:rsidRDefault="00930D96" w:rsidP="00883B07">
            <w:pPr>
              <w:spacing w:after="0"/>
              <w:rPr>
                <w:szCs w:val="24"/>
              </w:rPr>
            </w:pPr>
            <w:r w:rsidRPr="008C4A39">
              <w:rPr>
                <w:szCs w:val="24"/>
              </w:rPr>
              <w:t>FR485</w:t>
            </w:r>
          </w:p>
        </w:tc>
        <w:tc>
          <w:tcPr>
            <w:tcW w:w="7020" w:type="dxa"/>
            <w:tcBorders>
              <w:top w:val="single" w:sz="4" w:space="0" w:color="auto"/>
              <w:left w:val="single" w:sz="4" w:space="0" w:color="auto"/>
              <w:bottom w:val="single" w:sz="4" w:space="0" w:color="auto"/>
              <w:right w:val="single" w:sz="4" w:space="0" w:color="auto"/>
            </w:tcBorders>
          </w:tcPr>
          <w:p w14:paraId="018064DF" w14:textId="77777777" w:rsidR="00930D96" w:rsidRPr="008C4A39" w:rsidRDefault="00930D96" w:rsidP="00883B07">
            <w:pPr>
              <w:spacing w:after="0"/>
              <w:rPr>
                <w:rFonts w:eastAsia="Arial Unicode MS"/>
                <w:szCs w:val="24"/>
              </w:rPr>
            </w:pPr>
            <w:r w:rsidRPr="008C4A39">
              <w:rPr>
                <w:rFonts w:eastAsia="Arial Unicode MS"/>
                <w:szCs w:val="24"/>
              </w:rPr>
              <w:t>The system must notify the EO with an IE about grounds of intended decision.</w:t>
            </w:r>
          </w:p>
        </w:tc>
      </w:tr>
      <w:tr w:rsidR="00930D96" w:rsidRPr="008C4A39" w14:paraId="03D379D2"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85E46EA"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6F4A8424"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2F51599"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098590BD" w14:textId="77777777" w:rsidTr="001136D3">
        <w:trPr>
          <w:trHeight w:val="692"/>
        </w:trPr>
        <w:tc>
          <w:tcPr>
            <w:tcW w:w="2245" w:type="dxa"/>
            <w:tcBorders>
              <w:top w:val="single" w:sz="4" w:space="0" w:color="auto"/>
              <w:left w:val="single" w:sz="4" w:space="0" w:color="auto"/>
              <w:bottom w:val="single" w:sz="4" w:space="0" w:color="auto"/>
              <w:right w:val="single" w:sz="4" w:space="0" w:color="auto"/>
            </w:tcBorders>
          </w:tcPr>
          <w:p w14:paraId="18BC590F" w14:textId="77777777" w:rsidR="00930D96" w:rsidRPr="008C4A39" w:rsidRDefault="00930D96" w:rsidP="00883B07">
            <w:pPr>
              <w:spacing w:after="0"/>
              <w:rPr>
                <w:szCs w:val="24"/>
              </w:rPr>
            </w:pPr>
            <w:r w:rsidRPr="008C4A39">
              <w:rPr>
                <w:szCs w:val="24"/>
              </w:rPr>
              <w:t>FR486</w:t>
            </w:r>
          </w:p>
        </w:tc>
        <w:tc>
          <w:tcPr>
            <w:tcW w:w="7020" w:type="dxa"/>
            <w:tcBorders>
              <w:top w:val="single" w:sz="4" w:space="0" w:color="auto"/>
              <w:left w:val="single" w:sz="4" w:space="0" w:color="auto"/>
              <w:bottom w:val="single" w:sz="4" w:space="0" w:color="auto"/>
              <w:right w:val="single" w:sz="4" w:space="0" w:color="auto"/>
            </w:tcBorders>
          </w:tcPr>
          <w:p w14:paraId="0CB15138" w14:textId="77777777" w:rsidR="00930D96" w:rsidRPr="008C4A39" w:rsidRDefault="00930D96" w:rsidP="00883B07">
            <w:pPr>
              <w:spacing w:after="0"/>
              <w:rPr>
                <w:rFonts w:eastAsia="Arial Unicode MS"/>
                <w:szCs w:val="24"/>
              </w:rPr>
            </w:pPr>
            <w:r w:rsidRPr="008C4A39">
              <w:rPr>
                <w:rFonts w:eastAsia="Arial Unicode MS"/>
                <w:szCs w:val="24"/>
              </w:rPr>
              <w:t>The system must calculate the date upon which the time limit to express point of view expires.</w:t>
            </w:r>
          </w:p>
        </w:tc>
      </w:tr>
      <w:tr w:rsidR="00930D96" w:rsidRPr="008C4A39" w14:paraId="1322A460"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40E4965"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6FEBFFD0"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308B3F1"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7FA02746" w14:textId="77777777" w:rsidTr="001136D3">
        <w:tc>
          <w:tcPr>
            <w:tcW w:w="2245" w:type="dxa"/>
            <w:tcBorders>
              <w:top w:val="single" w:sz="4" w:space="0" w:color="auto"/>
              <w:left w:val="single" w:sz="4" w:space="0" w:color="auto"/>
              <w:bottom w:val="single" w:sz="4" w:space="0" w:color="auto"/>
              <w:right w:val="single" w:sz="4" w:space="0" w:color="auto"/>
            </w:tcBorders>
          </w:tcPr>
          <w:p w14:paraId="4BC1B18B" w14:textId="77777777" w:rsidR="00930D96" w:rsidRPr="008C4A39" w:rsidRDefault="00930D96" w:rsidP="00883B07">
            <w:pPr>
              <w:spacing w:after="0"/>
              <w:rPr>
                <w:szCs w:val="24"/>
              </w:rPr>
            </w:pPr>
            <w:r w:rsidRPr="008C4A39">
              <w:rPr>
                <w:szCs w:val="24"/>
              </w:rPr>
              <w:t>FR487</w:t>
            </w:r>
          </w:p>
        </w:tc>
        <w:tc>
          <w:tcPr>
            <w:tcW w:w="7020" w:type="dxa"/>
            <w:tcBorders>
              <w:top w:val="single" w:sz="4" w:space="0" w:color="auto"/>
              <w:left w:val="single" w:sz="4" w:space="0" w:color="auto"/>
              <w:bottom w:val="single" w:sz="4" w:space="0" w:color="auto"/>
              <w:right w:val="single" w:sz="4" w:space="0" w:color="auto"/>
            </w:tcBorders>
          </w:tcPr>
          <w:p w14:paraId="60C4F963" w14:textId="77777777" w:rsidR="00930D96" w:rsidRPr="008C4A39" w:rsidRDefault="00930D96" w:rsidP="00883B07">
            <w:pPr>
              <w:spacing w:after="0"/>
              <w:rPr>
                <w:rFonts w:eastAsia="Arial Unicode MS"/>
                <w:szCs w:val="24"/>
              </w:rPr>
            </w:pPr>
            <w:r w:rsidRPr="008C4A39">
              <w:rPr>
                <w:rFonts w:eastAsia="Arial Unicode MS"/>
                <w:szCs w:val="24"/>
              </w:rPr>
              <w:t>The system must be able to notify EO about the extension of time limit to take decision.</w:t>
            </w:r>
          </w:p>
        </w:tc>
      </w:tr>
      <w:tr w:rsidR="00930D96" w:rsidRPr="008C4A39" w14:paraId="78832F14"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E0FA03E"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5AA36A18"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5BB21A2F"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1E72F215" w14:textId="77777777" w:rsidTr="001136D3">
        <w:tc>
          <w:tcPr>
            <w:tcW w:w="2245" w:type="dxa"/>
            <w:tcBorders>
              <w:top w:val="single" w:sz="4" w:space="0" w:color="auto"/>
              <w:left w:val="single" w:sz="4" w:space="0" w:color="auto"/>
              <w:bottom w:val="single" w:sz="4" w:space="0" w:color="auto"/>
              <w:right w:val="single" w:sz="4" w:space="0" w:color="auto"/>
            </w:tcBorders>
          </w:tcPr>
          <w:p w14:paraId="4A29FF92" w14:textId="77777777" w:rsidR="00930D96" w:rsidRPr="008C4A39" w:rsidRDefault="00930D96" w:rsidP="00883B07">
            <w:pPr>
              <w:spacing w:after="0"/>
              <w:rPr>
                <w:szCs w:val="24"/>
              </w:rPr>
            </w:pPr>
            <w:r w:rsidRPr="008C4A39">
              <w:rPr>
                <w:szCs w:val="24"/>
              </w:rPr>
              <w:t>FR488</w:t>
            </w:r>
          </w:p>
        </w:tc>
        <w:tc>
          <w:tcPr>
            <w:tcW w:w="7020" w:type="dxa"/>
            <w:tcBorders>
              <w:top w:val="single" w:sz="4" w:space="0" w:color="auto"/>
              <w:left w:val="single" w:sz="4" w:space="0" w:color="auto"/>
              <w:bottom w:val="single" w:sz="4" w:space="0" w:color="auto"/>
              <w:right w:val="single" w:sz="4" w:space="0" w:color="auto"/>
            </w:tcBorders>
          </w:tcPr>
          <w:p w14:paraId="483E709C" w14:textId="77777777" w:rsidR="00930D96" w:rsidRPr="008C4A39" w:rsidRDefault="00930D96" w:rsidP="00883B07">
            <w:pPr>
              <w:spacing w:after="0"/>
              <w:rPr>
                <w:rFonts w:eastAsia="Arial Unicode MS"/>
                <w:szCs w:val="24"/>
              </w:rPr>
            </w:pPr>
            <w:r w:rsidRPr="008C4A39">
              <w:rPr>
                <w:rFonts w:eastAsia="Arial Unicode MS"/>
                <w:szCs w:val="24"/>
              </w:rPr>
              <w:t>The system must be able to identify if the applicant intends to further express his point of view.</w:t>
            </w:r>
          </w:p>
        </w:tc>
      </w:tr>
      <w:tr w:rsidR="00930D96" w:rsidRPr="008C4A39" w14:paraId="1DB62BB0"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ABDC833"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2FD570EB"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70B6CCA3"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296B1063" w14:textId="77777777" w:rsidTr="001136D3">
        <w:tc>
          <w:tcPr>
            <w:tcW w:w="2245" w:type="dxa"/>
            <w:tcBorders>
              <w:top w:val="single" w:sz="4" w:space="0" w:color="auto"/>
              <w:left w:val="single" w:sz="4" w:space="0" w:color="auto"/>
              <w:bottom w:val="single" w:sz="4" w:space="0" w:color="auto"/>
              <w:right w:val="single" w:sz="4" w:space="0" w:color="auto"/>
            </w:tcBorders>
          </w:tcPr>
          <w:p w14:paraId="2A59A9D6" w14:textId="77777777" w:rsidR="00930D96" w:rsidRPr="008C4A39" w:rsidRDefault="00930D96" w:rsidP="00883B07">
            <w:pPr>
              <w:spacing w:after="0"/>
              <w:rPr>
                <w:szCs w:val="24"/>
              </w:rPr>
            </w:pPr>
            <w:r w:rsidRPr="008C4A39">
              <w:rPr>
                <w:szCs w:val="24"/>
              </w:rPr>
              <w:t>FR489</w:t>
            </w:r>
          </w:p>
        </w:tc>
        <w:tc>
          <w:tcPr>
            <w:tcW w:w="7020" w:type="dxa"/>
            <w:tcBorders>
              <w:top w:val="single" w:sz="4" w:space="0" w:color="auto"/>
              <w:left w:val="single" w:sz="4" w:space="0" w:color="auto"/>
              <w:bottom w:val="single" w:sz="4" w:space="0" w:color="auto"/>
              <w:right w:val="single" w:sz="4" w:space="0" w:color="auto"/>
            </w:tcBorders>
          </w:tcPr>
          <w:p w14:paraId="4CD52EA3" w14:textId="77777777" w:rsidR="00930D96" w:rsidRPr="008C4A39" w:rsidRDefault="00930D96" w:rsidP="00883B07">
            <w:pPr>
              <w:spacing w:after="0"/>
              <w:rPr>
                <w:rFonts w:eastAsia="Arial Unicode MS"/>
                <w:szCs w:val="24"/>
              </w:rPr>
            </w:pPr>
            <w:r w:rsidRPr="008C4A39">
              <w:rPr>
                <w:rFonts w:eastAsia="Arial Unicode MS"/>
                <w:szCs w:val="24"/>
              </w:rPr>
              <w:t>The system must identify the attached documents in expressed point of view.</w:t>
            </w:r>
          </w:p>
        </w:tc>
      </w:tr>
      <w:tr w:rsidR="00930D96" w:rsidRPr="008C4A39" w14:paraId="0E114AA9"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0B607265"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23569655"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4869F130"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2E9A87B7" w14:textId="77777777" w:rsidTr="001136D3">
        <w:tc>
          <w:tcPr>
            <w:tcW w:w="2245" w:type="dxa"/>
            <w:tcBorders>
              <w:top w:val="single" w:sz="4" w:space="0" w:color="auto"/>
              <w:left w:val="single" w:sz="4" w:space="0" w:color="auto"/>
              <w:bottom w:val="single" w:sz="4" w:space="0" w:color="auto"/>
              <w:right w:val="single" w:sz="4" w:space="0" w:color="auto"/>
            </w:tcBorders>
          </w:tcPr>
          <w:p w14:paraId="4BD1F0D4" w14:textId="77777777" w:rsidR="00930D96" w:rsidRPr="008C4A39" w:rsidRDefault="00930D96" w:rsidP="00883B07">
            <w:pPr>
              <w:spacing w:after="0"/>
              <w:rPr>
                <w:szCs w:val="24"/>
              </w:rPr>
            </w:pPr>
            <w:r w:rsidRPr="008C4A39">
              <w:rPr>
                <w:szCs w:val="24"/>
              </w:rPr>
              <w:t>FR490</w:t>
            </w:r>
          </w:p>
        </w:tc>
        <w:tc>
          <w:tcPr>
            <w:tcW w:w="7020" w:type="dxa"/>
            <w:tcBorders>
              <w:top w:val="single" w:sz="4" w:space="0" w:color="auto"/>
              <w:left w:val="single" w:sz="4" w:space="0" w:color="auto"/>
              <w:bottom w:val="single" w:sz="4" w:space="0" w:color="auto"/>
              <w:right w:val="single" w:sz="4" w:space="0" w:color="auto"/>
            </w:tcBorders>
          </w:tcPr>
          <w:p w14:paraId="5010C676" w14:textId="77777777" w:rsidR="00930D96" w:rsidRPr="008C4A39" w:rsidRDefault="00930D96" w:rsidP="00883B07">
            <w:pPr>
              <w:spacing w:after="0"/>
              <w:rPr>
                <w:rFonts w:eastAsia="Arial Unicode MS"/>
                <w:szCs w:val="24"/>
              </w:rPr>
            </w:pPr>
            <w:r w:rsidRPr="008C4A39">
              <w:rPr>
                <w:rFonts w:eastAsia="Arial Unicode MS"/>
                <w:szCs w:val="24"/>
              </w:rPr>
              <w:t>The system must record the results of the RTBH.</w:t>
            </w:r>
          </w:p>
        </w:tc>
      </w:tr>
      <w:tr w:rsidR="00930D96" w:rsidRPr="008C4A39" w14:paraId="593A472B"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79555211"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5BF1043A"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2BC9132A"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3DA41ACC" w14:textId="77777777" w:rsidTr="001136D3">
        <w:tc>
          <w:tcPr>
            <w:tcW w:w="2245" w:type="dxa"/>
            <w:tcBorders>
              <w:top w:val="single" w:sz="4" w:space="0" w:color="auto"/>
              <w:left w:val="single" w:sz="4" w:space="0" w:color="auto"/>
              <w:bottom w:val="single" w:sz="4" w:space="0" w:color="auto"/>
              <w:right w:val="single" w:sz="4" w:space="0" w:color="auto"/>
            </w:tcBorders>
          </w:tcPr>
          <w:p w14:paraId="483C1A55" w14:textId="77777777" w:rsidR="00930D96" w:rsidRPr="008C4A39" w:rsidRDefault="00930D96" w:rsidP="00883B07">
            <w:pPr>
              <w:spacing w:after="0"/>
              <w:rPr>
                <w:szCs w:val="24"/>
              </w:rPr>
            </w:pPr>
            <w:r w:rsidRPr="008C4A39">
              <w:rPr>
                <w:szCs w:val="24"/>
              </w:rPr>
              <w:t>FR541</w:t>
            </w:r>
          </w:p>
        </w:tc>
        <w:tc>
          <w:tcPr>
            <w:tcW w:w="7020" w:type="dxa"/>
            <w:tcBorders>
              <w:top w:val="single" w:sz="4" w:space="0" w:color="auto"/>
              <w:left w:val="single" w:sz="4" w:space="0" w:color="auto"/>
              <w:bottom w:val="single" w:sz="4" w:space="0" w:color="auto"/>
              <w:right w:val="single" w:sz="4" w:space="0" w:color="auto"/>
            </w:tcBorders>
          </w:tcPr>
          <w:p w14:paraId="44CB12FC" w14:textId="77777777" w:rsidR="00930D96" w:rsidRPr="008C4A39" w:rsidRDefault="00930D96" w:rsidP="00883B07">
            <w:pPr>
              <w:spacing w:after="0"/>
              <w:rPr>
                <w:rFonts w:eastAsia="Arial Unicode MS"/>
                <w:szCs w:val="24"/>
              </w:rPr>
            </w:pPr>
            <w:r w:rsidRPr="008C4A39">
              <w:rPr>
                <w:rFonts w:eastAsia="Arial Unicode MS"/>
                <w:szCs w:val="24"/>
              </w:rPr>
              <w:t>The system must be able to extend the time limit to take decision.</w:t>
            </w:r>
          </w:p>
        </w:tc>
      </w:tr>
      <w:tr w:rsidR="00930D96" w:rsidRPr="008C4A39" w14:paraId="607312F9"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5BA4E85D"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0B83F589"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39ABB678"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r w:rsidR="00930D96" w:rsidRPr="008C4A39" w14:paraId="5AC57A72" w14:textId="77777777" w:rsidTr="001136D3">
        <w:tc>
          <w:tcPr>
            <w:tcW w:w="2245" w:type="dxa"/>
            <w:tcBorders>
              <w:top w:val="single" w:sz="4" w:space="0" w:color="auto"/>
              <w:left w:val="single" w:sz="4" w:space="0" w:color="auto"/>
              <w:bottom w:val="single" w:sz="4" w:space="0" w:color="auto"/>
              <w:right w:val="single" w:sz="4" w:space="0" w:color="auto"/>
            </w:tcBorders>
          </w:tcPr>
          <w:p w14:paraId="606F3760" w14:textId="77777777" w:rsidR="00930D96" w:rsidRPr="008C4A39" w:rsidRDefault="00930D96" w:rsidP="00883B07">
            <w:pPr>
              <w:spacing w:after="0"/>
              <w:rPr>
                <w:szCs w:val="24"/>
              </w:rPr>
            </w:pPr>
            <w:r w:rsidRPr="008C4A39">
              <w:rPr>
                <w:szCs w:val="24"/>
              </w:rPr>
              <w:t>FR542</w:t>
            </w:r>
          </w:p>
        </w:tc>
        <w:tc>
          <w:tcPr>
            <w:tcW w:w="7020" w:type="dxa"/>
            <w:tcBorders>
              <w:top w:val="single" w:sz="4" w:space="0" w:color="auto"/>
              <w:left w:val="single" w:sz="4" w:space="0" w:color="auto"/>
              <w:bottom w:val="single" w:sz="4" w:space="0" w:color="auto"/>
              <w:right w:val="single" w:sz="4" w:space="0" w:color="auto"/>
            </w:tcBorders>
          </w:tcPr>
          <w:p w14:paraId="25AC36F7" w14:textId="77777777" w:rsidR="00930D96" w:rsidRPr="008C4A39" w:rsidRDefault="00930D96" w:rsidP="00883B07">
            <w:pPr>
              <w:spacing w:after="0"/>
              <w:rPr>
                <w:rFonts w:eastAsia="Arial Unicode MS"/>
                <w:szCs w:val="24"/>
              </w:rPr>
            </w:pPr>
            <w:r w:rsidRPr="008C4A39">
              <w:rPr>
                <w:rFonts w:eastAsia="Arial Unicode MS"/>
                <w:szCs w:val="24"/>
              </w:rPr>
              <w:t>The system must be able to record the expiry time limit to express point of view.</w:t>
            </w:r>
          </w:p>
        </w:tc>
      </w:tr>
      <w:tr w:rsidR="00930D96" w:rsidRPr="008C4A39" w14:paraId="7CEB2825"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4F743A6" w14:textId="77777777" w:rsidR="00930D96" w:rsidRPr="008C4A39" w:rsidRDefault="00930D96" w:rsidP="00883B07">
            <w:pPr>
              <w:spacing w:after="0"/>
              <w:rPr>
                <w:rFonts w:eastAsia="Arial Unicode MS"/>
                <w:szCs w:val="24"/>
              </w:rPr>
            </w:pPr>
            <w:r w:rsidRPr="008C4A39">
              <w:rPr>
                <w:szCs w:val="24"/>
              </w:rPr>
              <w:t xml:space="preserve">Bidder’s technical reasons supporting compliance:  </w:t>
            </w:r>
          </w:p>
        </w:tc>
      </w:tr>
      <w:tr w:rsidR="00930D96" w:rsidRPr="008C4A39" w14:paraId="3819506F"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64700269" w14:textId="77777777" w:rsidR="00930D96" w:rsidRPr="008C4A39" w:rsidRDefault="00930D96" w:rsidP="00883B07">
            <w:pPr>
              <w:spacing w:after="0"/>
              <w:rPr>
                <w:rFonts w:eastAsia="Arial Unicode MS"/>
                <w:szCs w:val="24"/>
              </w:rPr>
            </w:pPr>
            <w:r w:rsidRPr="008C4A39">
              <w:rPr>
                <w:szCs w:val="24"/>
              </w:rPr>
              <w:t>Bidder’s cross references to supporting information in Technical Bid:</w:t>
            </w:r>
          </w:p>
        </w:tc>
      </w:tr>
    </w:tbl>
    <w:tbl>
      <w:tblPr>
        <w:tblStyle w:val="TableGrid7"/>
        <w:tblW w:w="9265" w:type="dxa"/>
        <w:tblLook w:val="04A0" w:firstRow="1" w:lastRow="0" w:firstColumn="1" w:lastColumn="0" w:noHBand="0" w:noVBand="1"/>
      </w:tblPr>
      <w:tblGrid>
        <w:gridCol w:w="2245"/>
        <w:gridCol w:w="7020"/>
      </w:tblGrid>
      <w:tr w:rsidR="00930D96" w:rsidRPr="008C4A39" w14:paraId="53574F09" w14:textId="77777777" w:rsidTr="001136D3">
        <w:tc>
          <w:tcPr>
            <w:tcW w:w="2245" w:type="dxa"/>
            <w:shd w:val="clear" w:color="auto" w:fill="D9D9D9"/>
          </w:tcPr>
          <w:p w14:paraId="0EADF470" w14:textId="77777777" w:rsidR="00930D96" w:rsidRPr="008C4A39" w:rsidRDefault="00930D96" w:rsidP="00883B07">
            <w:pPr>
              <w:rPr>
                <w:b/>
                <w:szCs w:val="24"/>
              </w:rPr>
            </w:pPr>
            <w:r w:rsidRPr="008C4A39">
              <w:rPr>
                <w:b/>
                <w:szCs w:val="24"/>
              </w:rPr>
              <w:t>Tech. Req. Number</w:t>
            </w:r>
          </w:p>
        </w:tc>
        <w:tc>
          <w:tcPr>
            <w:tcW w:w="7020" w:type="dxa"/>
            <w:shd w:val="clear" w:color="auto" w:fill="D9D9D9"/>
          </w:tcPr>
          <w:p w14:paraId="428715AC" w14:textId="77777777" w:rsidR="00930D96" w:rsidRPr="008C4A39" w:rsidRDefault="00930D96" w:rsidP="00883B07">
            <w:pPr>
              <w:jc w:val="left"/>
              <w:rPr>
                <w:b/>
                <w:szCs w:val="24"/>
              </w:rPr>
            </w:pPr>
            <w:r w:rsidRPr="008C4A39">
              <w:rPr>
                <w:b/>
                <w:szCs w:val="24"/>
              </w:rPr>
              <w:t>Technical Requirements</w:t>
            </w:r>
          </w:p>
        </w:tc>
      </w:tr>
      <w:tr w:rsidR="00930D96" w:rsidRPr="008C4A39" w14:paraId="60D3D008" w14:textId="77777777" w:rsidTr="00883B07">
        <w:tc>
          <w:tcPr>
            <w:tcW w:w="9265" w:type="dxa"/>
            <w:gridSpan w:val="2"/>
            <w:shd w:val="clear" w:color="auto" w:fill="auto"/>
          </w:tcPr>
          <w:p w14:paraId="577FE728" w14:textId="77777777" w:rsidR="00930D96" w:rsidRPr="008C4A39" w:rsidRDefault="00930D96" w:rsidP="001136D3">
            <w:pPr>
              <w:spacing w:after="0"/>
              <w:rPr>
                <w:b/>
                <w:szCs w:val="24"/>
              </w:rPr>
            </w:pPr>
            <w:r w:rsidRPr="008C4A39">
              <w:rPr>
                <w:b/>
                <w:szCs w:val="24"/>
              </w:rPr>
              <w:t>1.2.12.6. Register information for the issued LPCO by other countries through SEED + or Traces NT</w:t>
            </w:r>
          </w:p>
        </w:tc>
      </w:tr>
      <w:tr w:rsidR="009B62E6" w:rsidRPr="008C4A39" w14:paraId="5094FED3" w14:textId="39443371" w:rsidTr="001136D3">
        <w:tc>
          <w:tcPr>
            <w:tcW w:w="2245" w:type="dxa"/>
            <w:shd w:val="clear" w:color="auto" w:fill="auto"/>
          </w:tcPr>
          <w:p w14:paraId="7572CFA6" w14:textId="1BD81630" w:rsidR="009B62E6" w:rsidRPr="008C4A39" w:rsidRDefault="009B62E6" w:rsidP="001136D3">
            <w:pPr>
              <w:spacing w:after="0"/>
              <w:rPr>
                <w:b/>
                <w:szCs w:val="24"/>
              </w:rPr>
            </w:pPr>
            <w:r>
              <w:rPr>
                <w:szCs w:val="24"/>
              </w:rPr>
              <w:t>FR109</w:t>
            </w:r>
          </w:p>
        </w:tc>
        <w:tc>
          <w:tcPr>
            <w:tcW w:w="7020" w:type="dxa"/>
            <w:shd w:val="clear" w:color="auto" w:fill="auto"/>
          </w:tcPr>
          <w:p w14:paraId="0876585C" w14:textId="0BD23F6E" w:rsidR="009B62E6" w:rsidRPr="008C4A39" w:rsidRDefault="009B62E6" w:rsidP="001136D3">
            <w:pPr>
              <w:spacing w:after="0"/>
              <w:rPr>
                <w:b/>
                <w:szCs w:val="24"/>
              </w:rPr>
            </w:pPr>
            <w:r>
              <w:rPr>
                <w:szCs w:val="24"/>
              </w:rPr>
              <w:t>The module shall be able to integrate electronically issued certificates from abroad through the SEED+ connectivity.</w:t>
            </w:r>
          </w:p>
        </w:tc>
      </w:tr>
      <w:tr w:rsidR="009B62E6" w:rsidRPr="008C4A39" w14:paraId="45643B8A" w14:textId="77777777" w:rsidTr="00883B07">
        <w:tc>
          <w:tcPr>
            <w:tcW w:w="9265" w:type="dxa"/>
            <w:gridSpan w:val="2"/>
            <w:shd w:val="clear" w:color="auto" w:fill="auto"/>
          </w:tcPr>
          <w:p w14:paraId="712C23BF" w14:textId="617A0686" w:rsidR="009B62E6" w:rsidRPr="008C4A39" w:rsidRDefault="009B62E6" w:rsidP="001136D3">
            <w:pPr>
              <w:spacing w:after="0"/>
              <w:rPr>
                <w:b/>
                <w:szCs w:val="24"/>
              </w:rPr>
            </w:pPr>
            <w:r w:rsidRPr="008C4A39">
              <w:rPr>
                <w:szCs w:val="24"/>
              </w:rPr>
              <w:t xml:space="preserve">Bidder’s technical reasons supporting compliance:  </w:t>
            </w:r>
          </w:p>
        </w:tc>
      </w:tr>
      <w:tr w:rsidR="009B62E6" w:rsidRPr="008C4A39" w14:paraId="05BF69D1" w14:textId="77777777" w:rsidTr="00883B07">
        <w:tc>
          <w:tcPr>
            <w:tcW w:w="9265" w:type="dxa"/>
            <w:gridSpan w:val="2"/>
            <w:shd w:val="clear" w:color="auto" w:fill="auto"/>
          </w:tcPr>
          <w:p w14:paraId="4B2FD9B2" w14:textId="5D52AAAD" w:rsidR="009B62E6" w:rsidRPr="008C4A39" w:rsidRDefault="009B62E6" w:rsidP="001136D3">
            <w:pPr>
              <w:spacing w:after="0"/>
              <w:rPr>
                <w:b/>
                <w:szCs w:val="24"/>
              </w:rPr>
            </w:pPr>
            <w:r w:rsidRPr="008C4A39">
              <w:rPr>
                <w:szCs w:val="24"/>
              </w:rPr>
              <w:lastRenderedPageBreak/>
              <w:t>Bidder’s cross references to supporting information in Technical Bid:</w:t>
            </w:r>
          </w:p>
        </w:tc>
      </w:tr>
      <w:tr w:rsidR="009B62E6" w:rsidRPr="008C4A39" w14:paraId="53A036B9" w14:textId="77777777" w:rsidTr="001136D3">
        <w:tc>
          <w:tcPr>
            <w:tcW w:w="2245" w:type="dxa"/>
            <w:shd w:val="clear" w:color="auto" w:fill="auto"/>
          </w:tcPr>
          <w:p w14:paraId="38E0AF54" w14:textId="77777777" w:rsidR="009B62E6" w:rsidRPr="008C4A39" w:rsidRDefault="009B62E6" w:rsidP="001136D3">
            <w:pPr>
              <w:spacing w:after="0"/>
              <w:rPr>
                <w:szCs w:val="24"/>
              </w:rPr>
            </w:pPr>
            <w:r w:rsidRPr="008C4A39">
              <w:rPr>
                <w:szCs w:val="24"/>
              </w:rPr>
              <w:t>FR429</w:t>
            </w:r>
          </w:p>
        </w:tc>
        <w:tc>
          <w:tcPr>
            <w:tcW w:w="7020" w:type="dxa"/>
            <w:shd w:val="clear" w:color="auto" w:fill="auto"/>
          </w:tcPr>
          <w:p w14:paraId="1EB2FCFD" w14:textId="77777777" w:rsidR="009B62E6" w:rsidRPr="008C4A39" w:rsidRDefault="009B62E6" w:rsidP="001136D3">
            <w:pPr>
              <w:spacing w:after="0"/>
              <w:jc w:val="left"/>
              <w:rPr>
                <w:rFonts w:eastAsia="Arial Unicode MS"/>
                <w:szCs w:val="24"/>
              </w:rPr>
            </w:pPr>
            <w:r w:rsidRPr="008C4A39">
              <w:rPr>
                <w:rFonts w:eastAsia="Arial Unicode MS"/>
                <w:szCs w:val="24"/>
              </w:rPr>
              <w:t xml:space="preserve">The system </w:t>
            </w:r>
            <w:r w:rsidRPr="008C4A39">
              <w:rPr>
                <w:szCs w:val="24"/>
              </w:rPr>
              <w:t xml:space="preserve">must </w:t>
            </w:r>
            <w:r w:rsidRPr="008C4A39">
              <w:rPr>
                <w:rFonts w:eastAsia="Arial Unicode MS"/>
                <w:szCs w:val="24"/>
              </w:rPr>
              <w:t xml:space="preserve">be able to send LPCO received from SEED+ and to manage the quantity in NSW). </w:t>
            </w:r>
          </w:p>
        </w:tc>
      </w:tr>
      <w:tr w:rsidR="009B62E6" w:rsidRPr="008C4A39" w14:paraId="39F5C325" w14:textId="77777777" w:rsidTr="00883B07">
        <w:tc>
          <w:tcPr>
            <w:tcW w:w="9265" w:type="dxa"/>
            <w:gridSpan w:val="2"/>
            <w:shd w:val="clear" w:color="auto" w:fill="auto"/>
          </w:tcPr>
          <w:p w14:paraId="4460359E" w14:textId="77777777" w:rsidR="009B62E6" w:rsidRPr="008C4A39" w:rsidRDefault="009B62E6" w:rsidP="001136D3">
            <w:pPr>
              <w:spacing w:after="0"/>
              <w:jc w:val="left"/>
              <w:rPr>
                <w:rFonts w:eastAsia="Arial Unicode MS"/>
                <w:szCs w:val="24"/>
              </w:rPr>
            </w:pPr>
            <w:r w:rsidRPr="008C4A39">
              <w:rPr>
                <w:szCs w:val="24"/>
              </w:rPr>
              <w:t xml:space="preserve">Bidder’s technical reasons supporting compliance:  </w:t>
            </w:r>
          </w:p>
        </w:tc>
      </w:tr>
      <w:tr w:rsidR="009B62E6" w:rsidRPr="008C4A39" w14:paraId="1872AD35" w14:textId="77777777" w:rsidTr="00883B07">
        <w:tc>
          <w:tcPr>
            <w:tcW w:w="9265" w:type="dxa"/>
            <w:gridSpan w:val="2"/>
            <w:shd w:val="clear" w:color="auto" w:fill="auto"/>
          </w:tcPr>
          <w:p w14:paraId="244C26A1" w14:textId="77777777" w:rsidR="009B62E6" w:rsidRPr="008C4A39" w:rsidRDefault="009B62E6" w:rsidP="001136D3">
            <w:pPr>
              <w:spacing w:after="0"/>
              <w:jc w:val="left"/>
              <w:rPr>
                <w:rFonts w:eastAsia="Arial Unicode MS"/>
                <w:szCs w:val="24"/>
              </w:rPr>
            </w:pPr>
            <w:r w:rsidRPr="008C4A39">
              <w:rPr>
                <w:szCs w:val="24"/>
              </w:rPr>
              <w:t>Bidder’s cross references to supporting information in Technical Bid:</w:t>
            </w:r>
          </w:p>
        </w:tc>
      </w:tr>
      <w:tr w:rsidR="009B62E6" w:rsidRPr="008C4A39" w14:paraId="603F5BD7" w14:textId="77777777" w:rsidTr="001136D3">
        <w:tc>
          <w:tcPr>
            <w:tcW w:w="2245" w:type="dxa"/>
            <w:shd w:val="clear" w:color="auto" w:fill="auto"/>
          </w:tcPr>
          <w:p w14:paraId="026B7F02" w14:textId="77777777" w:rsidR="009B62E6" w:rsidRPr="008C4A39" w:rsidRDefault="009B62E6" w:rsidP="001136D3">
            <w:pPr>
              <w:spacing w:after="0"/>
              <w:rPr>
                <w:szCs w:val="24"/>
              </w:rPr>
            </w:pPr>
            <w:r w:rsidRPr="008C4A39">
              <w:rPr>
                <w:szCs w:val="24"/>
              </w:rPr>
              <w:t>FR529</w:t>
            </w:r>
          </w:p>
        </w:tc>
        <w:tc>
          <w:tcPr>
            <w:tcW w:w="7020" w:type="dxa"/>
            <w:shd w:val="clear" w:color="auto" w:fill="auto"/>
          </w:tcPr>
          <w:p w14:paraId="70F41E67" w14:textId="77777777" w:rsidR="009B62E6" w:rsidRPr="008C4A39" w:rsidRDefault="009B62E6" w:rsidP="001136D3">
            <w:pPr>
              <w:spacing w:after="0"/>
              <w:rPr>
                <w:szCs w:val="24"/>
              </w:rPr>
            </w:pPr>
            <w:r w:rsidRPr="008C4A39">
              <w:rPr>
                <w:szCs w:val="24"/>
              </w:rPr>
              <w:t>The system must be able to perform technical validation on information on issued LPCO from other CEFTA countries.</w:t>
            </w:r>
          </w:p>
        </w:tc>
      </w:tr>
      <w:tr w:rsidR="009B62E6" w:rsidRPr="008C4A39" w14:paraId="6AAFD6CE" w14:textId="77777777" w:rsidTr="00883B07">
        <w:tc>
          <w:tcPr>
            <w:tcW w:w="9265" w:type="dxa"/>
            <w:gridSpan w:val="2"/>
            <w:shd w:val="clear" w:color="auto" w:fill="auto"/>
          </w:tcPr>
          <w:p w14:paraId="79B332C6"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38D28096" w14:textId="77777777" w:rsidTr="00883B07">
        <w:tc>
          <w:tcPr>
            <w:tcW w:w="9265" w:type="dxa"/>
            <w:gridSpan w:val="2"/>
            <w:shd w:val="clear" w:color="auto" w:fill="auto"/>
          </w:tcPr>
          <w:p w14:paraId="76D086DB"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58A75892" w14:textId="77777777" w:rsidTr="001136D3">
        <w:tc>
          <w:tcPr>
            <w:tcW w:w="2245" w:type="dxa"/>
            <w:shd w:val="clear" w:color="auto" w:fill="auto"/>
          </w:tcPr>
          <w:p w14:paraId="7E9BCC3C" w14:textId="77777777" w:rsidR="009B62E6" w:rsidRPr="008C4A39" w:rsidRDefault="009B62E6" w:rsidP="001136D3">
            <w:pPr>
              <w:spacing w:after="0"/>
              <w:rPr>
                <w:szCs w:val="24"/>
              </w:rPr>
            </w:pPr>
            <w:r w:rsidRPr="008C4A39">
              <w:rPr>
                <w:szCs w:val="24"/>
              </w:rPr>
              <w:t>FR530</w:t>
            </w:r>
          </w:p>
        </w:tc>
        <w:tc>
          <w:tcPr>
            <w:tcW w:w="7020" w:type="dxa"/>
            <w:shd w:val="clear" w:color="auto" w:fill="auto"/>
          </w:tcPr>
          <w:p w14:paraId="39F72085" w14:textId="77777777" w:rsidR="009B62E6" w:rsidRPr="008C4A39" w:rsidRDefault="009B62E6" w:rsidP="001136D3">
            <w:pPr>
              <w:spacing w:after="0"/>
              <w:rPr>
                <w:szCs w:val="24"/>
              </w:rPr>
            </w:pPr>
            <w:r w:rsidRPr="008C4A39">
              <w:rPr>
                <w:szCs w:val="24"/>
              </w:rPr>
              <w:t>The system must be able to Notify SEED + of validation errors in LPCO information.</w:t>
            </w:r>
          </w:p>
        </w:tc>
      </w:tr>
      <w:tr w:rsidR="009B62E6" w:rsidRPr="008C4A39" w14:paraId="6DCCD305" w14:textId="77777777" w:rsidTr="00883B07">
        <w:tc>
          <w:tcPr>
            <w:tcW w:w="9265" w:type="dxa"/>
            <w:gridSpan w:val="2"/>
            <w:shd w:val="clear" w:color="auto" w:fill="auto"/>
          </w:tcPr>
          <w:p w14:paraId="26FDB31B"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5239729A" w14:textId="77777777" w:rsidTr="00883B07">
        <w:tc>
          <w:tcPr>
            <w:tcW w:w="9265" w:type="dxa"/>
            <w:gridSpan w:val="2"/>
            <w:shd w:val="clear" w:color="auto" w:fill="auto"/>
          </w:tcPr>
          <w:p w14:paraId="65C85A34"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481390AF" w14:textId="77777777" w:rsidTr="001136D3">
        <w:tc>
          <w:tcPr>
            <w:tcW w:w="2245" w:type="dxa"/>
            <w:shd w:val="clear" w:color="auto" w:fill="auto"/>
          </w:tcPr>
          <w:p w14:paraId="00EE6580" w14:textId="77777777" w:rsidR="009B62E6" w:rsidRPr="008C4A39" w:rsidRDefault="009B62E6" w:rsidP="001136D3">
            <w:pPr>
              <w:spacing w:after="0"/>
              <w:rPr>
                <w:szCs w:val="24"/>
              </w:rPr>
            </w:pPr>
            <w:r w:rsidRPr="008C4A39">
              <w:rPr>
                <w:szCs w:val="24"/>
              </w:rPr>
              <w:t>FR531</w:t>
            </w:r>
          </w:p>
        </w:tc>
        <w:tc>
          <w:tcPr>
            <w:tcW w:w="7020" w:type="dxa"/>
            <w:shd w:val="clear" w:color="auto" w:fill="auto"/>
          </w:tcPr>
          <w:p w14:paraId="54B89406" w14:textId="77777777" w:rsidR="009B62E6" w:rsidRPr="008C4A39" w:rsidRDefault="009B62E6" w:rsidP="001136D3">
            <w:pPr>
              <w:spacing w:after="0"/>
              <w:rPr>
                <w:szCs w:val="24"/>
              </w:rPr>
            </w:pPr>
            <w:r w:rsidRPr="008C4A39">
              <w:rPr>
                <w:szCs w:val="24"/>
              </w:rPr>
              <w:t>The system must be able to check the responsible authority that issued the LPCO.</w:t>
            </w:r>
          </w:p>
        </w:tc>
      </w:tr>
      <w:tr w:rsidR="009B62E6" w:rsidRPr="008C4A39" w14:paraId="3C8D9989" w14:textId="77777777" w:rsidTr="00883B07">
        <w:tc>
          <w:tcPr>
            <w:tcW w:w="9265" w:type="dxa"/>
            <w:gridSpan w:val="2"/>
            <w:shd w:val="clear" w:color="auto" w:fill="auto"/>
          </w:tcPr>
          <w:p w14:paraId="31A25B19"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264B362A" w14:textId="77777777" w:rsidTr="00883B07">
        <w:tc>
          <w:tcPr>
            <w:tcW w:w="9265" w:type="dxa"/>
            <w:gridSpan w:val="2"/>
            <w:shd w:val="clear" w:color="auto" w:fill="auto"/>
          </w:tcPr>
          <w:p w14:paraId="1F47F33D"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35878C74" w14:textId="77777777" w:rsidTr="001136D3">
        <w:tc>
          <w:tcPr>
            <w:tcW w:w="2245" w:type="dxa"/>
            <w:shd w:val="clear" w:color="auto" w:fill="auto"/>
          </w:tcPr>
          <w:p w14:paraId="2E69BC48" w14:textId="77777777" w:rsidR="009B62E6" w:rsidRPr="008C4A39" w:rsidRDefault="009B62E6" w:rsidP="001136D3">
            <w:pPr>
              <w:spacing w:after="0"/>
              <w:rPr>
                <w:szCs w:val="24"/>
              </w:rPr>
            </w:pPr>
            <w:r w:rsidRPr="008C4A39">
              <w:rPr>
                <w:szCs w:val="24"/>
              </w:rPr>
              <w:t>FR532</w:t>
            </w:r>
          </w:p>
        </w:tc>
        <w:tc>
          <w:tcPr>
            <w:tcW w:w="7020" w:type="dxa"/>
            <w:shd w:val="clear" w:color="auto" w:fill="auto"/>
          </w:tcPr>
          <w:p w14:paraId="2968D386" w14:textId="77777777" w:rsidR="009B62E6" w:rsidRPr="008C4A39" w:rsidRDefault="009B62E6" w:rsidP="001136D3">
            <w:pPr>
              <w:spacing w:after="0"/>
              <w:rPr>
                <w:szCs w:val="24"/>
              </w:rPr>
            </w:pPr>
            <w:r w:rsidRPr="008C4A39">
              <w:rPr>
                <w:szCs w:val="24"/>
              </w:rPr>
              <w:t>The system must be able to perform business validation on information of issued LPCO in other CEFTA Countries.</w:t>
            </w:r>
          </w:p>
        </w:tc>
      </w:tr>
      <w:tr w:rsidR="009B62E6" w:rsidRPr="008C4A39" w14:paraId="7E9F1687" w14:textId="77777777" w:rsidTr="00883B07">
        <w:tc>
          <w:tcPr>
            <w:tcW w:w="9265" w:type="dxa"/>
            <w:gridSpan w:val="2"/>
            <w:shd w:val="clear" w:color="auto" w:fill="auto"/>
          </w:tcPr>
          <w:p w14:paraId="2C2410A3"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2A4817B5" w14:textId="77777777" w:rsidTr="00883B07">
        <w:tc>
          <w:tcPr>
            <w:tcW w:w="9265" w:type="dxa"/>
            <w:gridSpan w:val="2"/>
            <w:shd w:val="clear" w:color="auto" w:fill="auto"/>
          </w:tcPr>
          <w:p w14:paraId="383026AA"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2D9710D3" w14:textId="77777777" w:rsidTr="001136D3">
        <w:tc>
          <w:tcPr>
            <w:tcW w:w="2245" w:type="dxa"/>
            <w:shd w:val="clear" w:color="auto" w:fill="auto"/>
          </w:tcPr>
          <w:p w14:paraId="2AC24D54" w14:textId="77777777" w:rsidR="009B62E6" w:rsidRPr="008C4A39" w:rsidRDefault="009B62E6" w:rsidP="001136D3">
            <w:pPr>
              <w:spacing w:after="0"/>
              <w:rPr>
                <w:szCs w:val="24"/>
              </w:rPr>
            </w:pPr>
            <w:r w:rsidRPr="008C4A39">
              <w:rPr>
                <w:szCs w:val="24"/>
              </w:rPr>
              <w:t>FR533</w:t>
            </w:r>
          </w:p>
        </w:tc>
        <w:tc>
          <w:tcPr>
            <w:tcW w:w="7020" w:type="dxa"/>
            <w:shd w:val="clear" w:color="auto" w:fill="auto"/>
          </w:tcPr>
          <w:p w14:paraId="7B1D496F" w14:textId="7212F266" w:rsidR="009B62E6" w:rsidRPr="008C4A39" w:rsidRDefault="009B62E6" w:rsidP="001136D3">
            <w:pPr>
              <w:spacing w:after="0"/>
              <w:rPr>
                <w:szCs w:val="24"/>
              </w:rPr>
            </w:pPr>
            <w:r>
              <w:t>The system must be able to notify SEED+ about the acceptance or non-acceptance of the LPCO.</w:t>
            </w:r>
          </w:p>
        </w:tc>
      </w:tr>
      <w:tr w:rsidR="009B62E6" w:rsidRPr="008C4A39" w14:paraId="5512EBFF" w14:textId="77777777" w:rsidTr="00883B07">
        <w:tc>
          <w:tcPr>
            <w:tcW w:w="9265" w:type="dxa"/>
            <w:gridSpan w:val="2"/>
            <w:shd w:val="clear" w:color="auto" w:fill="auto"/>
          </w:tcPr>
          <w:p w14:paraId="176D3EE7"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2DA3FC1C" w14:textId="77777777" w:rsidTr="00883B07">
        <w:tc>
          <w:tcPr>
            <w:tcW w:w="9265" w:type="dxa"/>
            <w:gridSpan w:val="2"/>
            <w:shd w:val="clear" w:color="auto" w:fill="auto"/>
          </w:tcPr>
          <w:p w14:paraId="51F48BCC"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477B68C8" w14:textId="77777777" w:rsidTr="001136D3">
        <w:tc>
          <w:tcPr>
            <w:tcW w:w="2245" w:type="dxa"/>
            <w:shd w:val="clear" w:color="auto" w:fill="auto"/>
          </w:tcPr>
          <w:p w14:paraId="070B8056" w14:textId="77777777" w:rsidR="009B62E6" w:rsidRPr="008C4A39" w:rsidRDefault="009B62E6" w:rsidP="001136D3">
            <w:pPr>
              <w:spacing w:after="0"/>
              <w:rPr>
                <w:szCs w:val="24"/>
              </w:rPr>
            </w:pPr>
            <w:r w:rsidRPr="008C4A39">
              <w:rPr>
                <w:szCs w:val="24"/>
              </w:rPr>
              <w:t>FR534</w:t>
            </w:r>
          </w:p>
        </w:tc>
        <w:tc>
          <w:tcPr>
            <w:tcW w:w="7020" w:type="dxa"/>
            <w:shd w:val="clear" w:color="auto" w:fill="auto"/>
          </w:tcPr>
          <w:p w14:paraId="5F4725A1" w14:textId="77777777" w:rsidR="009B62E6" w:rsidRPr="008C4A39" w:rsidRDefault="009B62E6" w:rsidP="001136D3">
            <w:pPr>
              <w:spacing w:after="0"/>
              <w:rPr>
                <w:szCs w:val="24"/>
              </w:rPr>
            </w:pPr>
            <w:r w:rsidRPr="008C4A39">
              <w:rPr>
                <w:szCs w:val="24"/>
              </w:rPr>
              <w:t>The system must be able to send LPCO data to repository.</w:t>
            </w:r>
          </w:p>
        </w:tc>
      </w:tr>
      <w:tr w:rsidR="009B62E6" w:rsidRPr="008C4A39" w14:paraId="264AC58C" w14:textId="77777777" w:rsidTr="00883B07">
        <w:tc>
          <w:tcPr>
            <w:tcW w:w="9265" w:type="dxa"/>
            <w:gridSpan w:val="2"/>
            <w:shd w:val="clear" w:color="auto" w:fill="auto"/>
          </w:tcPr>
          <w:p w14:paraId="646F8B95"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37691FBB" w14:textId="77777777" w:rsidTr="00883B07">
        <w:tc>
          <w:tcPr>
            <w:tcW w:w="9265" w:type="dxa"/>
            <w:gridSpan w:val="2"/>
            <w:shd w:val="clear" w:color="auto" w:fill="auto"/>
          </w:tcPr>
          <w:p w14:paraId="1D894D59"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7319EFE8" w14:textId="77777777" w:rsidTr="001136D3">
        <w:tc>
          <w:tcPr>
            <w:tcW w:w="2245" w:type="dxa"/>
            <w:shd w:val="clear" w:color="auto" w:fill="auto"/>
          </w:tcPr>
          <w:p w14:paraId="56F31EF3" w14:textId="77777777" w:rsidR="009B62E6" w:rsidRPr="008C4A39" w:rsidRDefault="009B62E6" w:rsidP="001136D3">
            <w:pPr>
              <w:spacing w:after="0"/>
              <w:rPr>
                <w:szCs w:val="24"/>
              </w:rPr>
            </w:pPr>
            <w:r w:rsidRPr="008C4A39">
              <w:rPr>
                <w:szCs w:val="24"/>
              </w:rPr>
              <w:t>FR535</w:t>
            </w:r>
          </w:p>
        </w:tc>
        <w:tc>
          <w:tcPr>
            <w:tcW w:w="7020" w:type="dxa"/>
            <w:shd w:val="clear" w:color="auto" w:fill="auto"/>
          </w:tcPr>
          <w:p w14:paraId="47F73E32" w14:textId="77777777" w:rsidR="009B62E6" w:rsidRPr="008C4A39" w:rsidRDefault="009B62E6" w:rsidP="001136D3">
            <w:pPr>
              <w:spacing w:after="0"/>
              <w:rPr>
                <w:szCs w:val="24"/>
              </w:rPr>
            </w:pPr>
            <w:r w:rsidRPr="008C4A39">
              <w:rPr>
                <w:szCs w:val="24"/>
              </w:rPr>
              <w:t>The system must be able to notify other CBRA about LPCO issued in CEFTA countries.</w:t>
            </w:r>
          </w:p>
        </w:tc>
      </w:tr>
      <w:tr w:rsidR="009B62E6" w:rsidRPr="008C4A39" w14:paraId="6986749A" w14:textId="77777777" w:rsidTr="00883B07">
        <w:tc>
          <w:tcPr>
            <w:tcW w:w="9265" w:type="dxa"/>
            <w:gridSpan w:val="2"/>
            <w:shd w:val="clear" w:color="auto" w:fill="auto"/>
          </w:tcPr>
          <w:p w14:paraId="45159F20"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77D46F97" w14:textId="77777777" w:rsidTr="00883B07">
        <w:tc>
          <w:tcPr>
            <w:tcW w:w="9265" w:type="dxa"/>
            <w:gridSpan w:val="2"/>
            <w:shd w:val="clear" w:color="auto" w:fill="auto"/>
          </w:tcPr>
          <w:p w14:paraId="663419F3" w14:textId="77777777" w:rsidR="009B62E6" w:rsidRPr="008C4A39" w:rsidRDefault="009B62E6" w:rsidP="001136D3">
            <w:pPr>
              <w:spacing w:after="0"/>
              <w:rPr>
                <w:szCs w:val="24"/>
              </w:rPr>
            </w:pPr>
            <w:r w:rsidRPr="008C4A39">
              <w:rPr>
                <w:szCs w:val="24"/>
              </w:rPr>
              <w:t>Bidder’s cross references to supporting information in Technical Bid:</w:t>
            </w:r>
          </w:p>
        </w:tc>
      </w:tr>
      <w:tr w:rsidR="009B62E6" w:rsidRPr="008C4A39" w14:paraId="4C2025C2" w14:textId="77777777" w:rsidTr="001136D3">
        <w:tc>
          <w:tcPr>
            <w:tcW w:w="2245" w:type="dxa"/>
            <w:shd w:val="clear" w:color="auto" w:fill="auto"/>
          </w:tcPr>
          <w:p w14:paraId="2BC9FEC6" w14:textId="77777777" w:rsidR="009B62E6" w:rsidRPr="008C4A39" w:rsidRDefault="009B62E6" w:rsidP="001136D3">
            <w:pPr>
              <w:spacing w:after="0"/>
              <w:rPr>
                <w:szCs w:val="24"/>
              </w:rPr>
            </w:pPr>
            <w:r w:rsidRPr="008C4A39">
              <w:rPr>
                <w:szCs w:val="24"/>
              </w:rPr>
              <w:t>FR536</w:t>
            </w:r>
          </w:p>
        </w:tc>
        <w:tc>
          <w:tcPr>
            <w:tcW w:w="7020" w:type="dxa"/>
            <w:shd w:val="clear" w:color="auto" w:fill="auto"/>
          </w:tcPr>
          <w:p w14:paraId="7F3FC2C6" w14:textId="77777777" w:rsidR="009B62E6" w:rsidRPr="008C4A39" w:rsidRDefault="009B62E6" w:rsidP="001136D3">
            <w:pPr>
              <w:spacing w:after="0"/>
              <w:rPr>
                <w:szCs w:val="24"/>
              </w:rPr>
            </w:pPr>
            <w:r w:rsidRPr="008C4A39">
              <w:rPr>
                <w:szCs w:val="24"/>
              </w:rPr>
              <w:t>The system must be able to review the notification message received from other CBRA.</w:t>
            </w:r>
          </w:p>
        </w:tc>
      </w:tr>
      <w:tr w:rsidR="009B62E6" w:rsidRPr="008C4A39" w14:paraId="4D3D45DB" w14:textId="77777777" w:rsidTr="00883B07">
        <w:tc>
          <w:tcPr>
            <w:tcW w:w="9265" w:type="dxa"/>
            <w:gridSpan w:val="2"/>
            <w:shd w:val="clear" w:color="auto" w:fill="auto"/>
          </w:tcPr>
          <w:p w14:paraId="085558D3" w14:textId="77777777" w:rsidR="009B62E6" w:rsidRPr="008C4A39" w:rsidRDefault="009B62E6" w:rsidP="001136D3">
            <w:pPr>
              <w:spacing w:after="0"/>
              <w:rPr>
                <w:szCs w:val="24"/>
              </w:rPr>
            </w:pPr>
            <w:r w:rsidRPr="008C4A39">
              <w:rPr>
                <w:szCs w:val="24"/>
              </w:rPr>
              <w:t xml:space="preserve">Bidder’s technical reasons supporting compliance:  </w:t>
            </w:r>
          </w:p>
        </w:tc>
      </w:tr>
      <w:tr w:rsidR="009B62E6" w:rsidRPr="008C4A39" w14:paraId="209F8A05" w14:textId="77777777" w:rsidTr="00883B07">
        <w:tc>
          <w:tcPr>
            <w:tcW w:w="9265" w:type="dxa"/>
            <w:gridSpan w:val="2"/>
            <w:shd w:val="clear" w:color="auto" w:fill="auto"/>
          </w:tcPr>
          <w:p w14:paraId="42ADCD08" w14:textId="77777777" w:rsidR="009B62E6" w:rsidRPr="008C4A39" w:rsidRDefault="009B62E6" w:rsidP="001136D3">
            <w:pPr>
              <w:spacing w:after="0"/>
              <w:rPr>
                <w:szCs w:val="24"/>
              </w:rPr>
            </w:pPr>
            <w:r w:rsidRPr="008C4A39">
              <w:rPr>
                <w:szCs w:val="24"/>
              </w:rPr>
              <w:t>Bidder’s cross references to supporting information in Technical Bid:</w:t>
            </w:r>
          </w:p>
        </w:tc>
      </w:tr>
    </w:tbl>
    <w:tbl>
      <w:tblPr>
        <w:tblStyle w:val="TableGrid8"/>
        <w:tblW w:w="9355" w:type="dxa"/>
        <w:tblLook w:val="04A0" w:firstRow="1" w:lastRow="0" w:firstColumn="1" w:lastColumn="0" w:noHBand="0" w:noVBand="1"/>
      </w:tblPr>
      <w:tblGrid>
        <w:gridCol w:w="2245"/>
        <w:gridCol w:w="7110"/>
      </w:tblGrid>
      <w:tr w:rsidR="00B27292" w:rsidRPr="008C4A39" w14:paraId="23E4D93D" w14:textId="77777777" w:rsidTr="001136D3">
        <w:trPr>
          <w:trHeight w:val="396"/>
        </w:trPr>
        <w:tc>
          <w:tcPr>
            <w:tcW w:w="2245" w:type="dxa"/>
            <w:shd w:val="clear" w:color="auto" w:fill="D9D9D9"/>
          </w:tcPr>
          <w:p w14:paraId="778C33C2" w14:textId="30E60E28" w:rsidR="00B27292" w:rsidRPr="008C4A39" w:rsidRDefault="00B27292" w:rsidP="001136D3">
            <w:pPr>
              <w:spacing w:after="0"/>
              <w:rPr>
                <w:rFonts w:eastAsia="Calibri"/>
                <w:b/>
                <w:szCs w:val="24"/>
                <w:lang w:val="en-GB"/>
              </w:rPr>
            </w:pPr>
            <w:r w:rsidRPr="008C4A39">
              <w:rPr>
                <w:b/>
                <w:szCs w:val="24"/>
              </w:rPr>
              <w:t>Tech. Req. Number</w:t>
            </w:r>
          </w:p>
        </w:tc>
        <w:tc>
          <w:tcPr>
            <w:tcW w:w="7110" w:type="dxa"/>
            <w:shd w:val="clear" w:color="auto" w:fill="D9D9D9"/>
          </w:tcPr>
          <w:p w14:paraId="58AA9A0D" w14:textId="04B9F2DF" w:rsidR="00B27292" w:rsidRPr="008C4A39" w:rsidRDefault="00B27292" w:rsidP="001136D3">
            <w:pPr>
              <w:spacing w:after="0"/>
              <w:rPr>
                <w:rFonts w:eastAsia="Calibri"/>
                <w:b/>
                <w:szCs w:val="24"/>
                <w:lang w:val="en-GB"/>
              </w:rPr>
            </w:pPr>
            <w:r w:rsidRPr="008C4A39">
              <w:rPr>
                <w:b/>
                <w:szCs w:val="24"/>
              </w:rPr>
              <w:t>Technical Requirement</w:t>
            </w:r>
          </w:p>
        </w:tc>
      </w:tr>
      <w:tr w:rsidR="00930D96" w:rsidRPr="008C4A39" w14:paraId="3C79BD03" w14:textId="77777777" w:rsidTr="00883B07">
        <w:trPr>
          <w:trHeight w:val="396"/>
          <w:tblHeader/>
        </w:trPr>
        <w:tc>
          <w:tcPr>
            <w:tcW w:w="9355" w:type="dxa"/>
            <w:gridSpan w:val="2"/>
            <w:shd w:val="clear" w:color="auto" w:fill="auto"/>
            <w:vAlign w:val="center"/>
          </w:tcPr>
          <w:p w14:paraId="1D6EBDF2" w14:textId="77777777" w:rsidR="00930D96" w:rsidRPr="008C4A39" w:rsidRDefault="00930D96" w:rsidP="001136D3">
            <w:pPr>
              <w:spacing w:after="0"/>
              <w:rPr>
                <w:b/>
                <w:szCs w:val="24"/>
              </w:rPr>
            </w:pPr>
            <w:r w:rsidRPr="008C4A39">
              <w:rPr>
                <w:b/>
                <w:szCs w:val="24"/>
              </w:rPr>
              <w:t>1.2.13.1. Process: Perform Risk Assessment</w:t>
            </w:r>
          </w:p>
        </w:tc>
      </w:tr>
      <w:tr w:rsidR="00930D96" w:rsidRPr="008C4A39" w14:paraId="58272B02" w14:textId="77777777" w:rsidTr="001136D3">
        <w:trPr>
          <w:trHeight w:val="396"/>
          <w:tblHeader/>
        </w:trPr>
        <w:tc>
          <w:tcPr>
            <w:tcW w:w="2245" w:type="dxa"/>
            <w:shd w:val="clear" w:color="auto" w:fill="auto"/>
            <w:vAlign w:val="center"/>
          </w:tcPr>
          <w:p w14:paraId="2554FC99" w14:textId="77777777" w:rsidR="00930D96" w:rsidRPr="008C4A39" w:rsidRDefault="00930D96" w:rsidP="001136D3">
            <w:pPr>
              <w:spacing w:after="0"/>
              <w:rPr>
                <w:rFonts w:eastAsia="Calibri"/>
                <w:szCs w:val="24"/>
                <w:lang w:val="en-GB"/>
              </w:rPr>
            </w:pPr>
            <w:r w:rsidRPr="008C4A39">
              <w:rPr>
                <w:rFonts w:eastAsia="Calibri"/>
                <w:szCs w:val="24"/>
                <w:lang w:val="en-GB"/>
              </w:rPr>
              <w:t>FR260</w:t>
            </w:r>
          </w:p>
        </w:tc>
        <w:tc>
          <w:tcPr>
            <w:tcW w:w="7110" w:type="dxa"/>
            <w:shd w:val="clear" w:color="auto" w:fill="auto"/>
          </w:tcPr>
          <w:p w14:paraId="486B519F"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The RMC must accept and validated different datasets, based on the economic operator LPCO application, through </w:t>
            </w:r>
            <w:r w:rsidRPr="008C4A39">
              <w:rPr>
                <w:szCs w:val="24"/>
                <w:lang w:val="en-GB"/>
              </w:rPr>
              <w:t>mappings for XML LPCO elements.</w:t>
            </w:r>
          </w:p>
        </w:tc>
      </w:tr>
      <w:tr w:rsidR="00930D96" w:rsidRPr="008C4A39" w14:paraId="1C4EB7D8" w14:textId="77777777" w:rsidTr="00883B07">
        <w:trPr>
          <w:trHeight w:val="396"/>
          <w:tblHeader/>
        </w:trPr>
        <w:tc>
          <w:tcPr>
            <w:tcW w:w="9355" w:type="dxa"/>
            <w:gridSpan w:val="2"/>
            <w:shd w:val="clear" w:color="auto" w:fill="auto"/>
            <w:vAlign w:val="center"/>
          </w:tcPr>
          <w:p w14:paraId="71A9DB4B"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0FCD3A3D" w14:textId="77777777" w:rsidTr="00883B07">
        <w:trPr>
          <w:trHeight w:val="396"/>
          <w:tblHeader/>
        </w:trPr>
        <w:tc>
          <w:tcPr>
            <w:tcW w:w="9355" w:type="dxa"/>
            <w:gridSpan w:val="2"/>
            <w:shd w:val="clear" w:color="auto" w:fill="auto"/>
            <w:vAlign w:val="center"/>
          </w:tcPr>
          <w:p w14:paraId="12EFAD04"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53C3D033" w14:textId="77777777" w:rsidTr="001136D3">
        <w:trPr>
          <w:trHeight w:val="144"/>
          <w:tblHeader/>
        </w:trPr>
        <w:tc>
          <w:tcPr>
            <w:tcW w:w="2245" w:type="dxa"/>
            <w:shd w:val="clear" w:color="auto" w:fill="auto"/>
            <w:vAlign w:val="center"/>
          </w:tcPr>
          <w:p w14:paraId="4F3FEA16" w14:textId="77777777" w:rsidR="00930D96" w:rsidRPr="008C4A39" w:rsidRDefault="00930D96" w:rsidP="001136D3">
            <w:pPr>
              <w:spacing w:after="0"/>
              <w:rPr>
                <w:rFonts w:eastAsia="Calibri"/>
                <w:b/>
                <w:szCs w:val="24"/>
                <w:lang w:val="en-GB"/>
              </w:rPr>
            </w:pPr>
            <w:r w:rsidRPr="008C4A39">
              <w:rPr>
                <w:rFonts w:eastAsia="Calibri"/>
                <w:szCs w:val="24"/>
                <w:lang w:val="en-GB"/>
              </w:rPr>
              <w:lastRenderedPageBreak/>
              <w:t>FR261</w:t>
            </w:r>
          </w:p>
        </w:tc>
        <w:tc>
          <w:tcPr>
            <w:tcW w:w="7110" w:type="dxa"/>
            <w:shd w:val="clear" w:color="auto" w:fill="auto"/>
          </w:tcPr>
          <w:p w14:paraId="6204231C" w14:textId="77777777" w:rsidR="00930D96" w:rsidRPr="008C4A39" w:rsidRDefault="00930D96" w:rsidP="001136D3">
            <w:pPr>
              <w:spacing w:after="0"/>
              <w:rPr>
                <w:rFonts w:eastAsia="Calibri"/>
                <w:b/>
                <w:szCs w:val="24"/>
                <w:lang w:val="en-GB"/>
              </w:rPr>
            </w:pPr>
            <w:r w:rsidRPr="008C4A39">
              <w:rPr>
                <w:rFonts w:eastAsia="Calibri"/>
                <w:szCs w:val="24"/>
                <w:lang w:val="en-GB"/>
              </w:rPr>
              <w:t xml:space="preserve">The risk management component must be fully configurable </w:t>
            </w:r>
            <w:proofErr w:type="gramStart"/>
            <w:r w:rsidRPr="008C4A39">
              <w:rPr>
                <w:rFonts w:eastAsia="Calibri"/>
                <w:szCs w:val="24"/>
                <w:lang w:val="en-GB"/>
              </w:rPr>
              <w:t>in order to</w:t>
            </w:r>
            <w:proofErr w:type="gramEnd"/>
            <w:r w:rsidRPr="008C4A39">
              <w:rPr>
                <w:rFonts w:eastAsia="Calibri"/>
                <w:szCs w:val="24"/>
                <w:lang w:val="en-GB"/>
              </w:rPr>
              <w:t xml:space="preserve"> define different types of parameters, e.g., risk indicators, criteria, profile, percentage random selection, profile owner, timeout, etc.</w:t>
            </w:r>
          </w:p>
        </w:tc>
      </w:tr>
      <w:tr w:rsidR="00930D96" w:rsidRPr="008C4A39" w14:paraId="0027ADFD" w14:textId="77777777" w:rsidTr="00883B07">
        <w:trPr>
          <w:trHeight w:val="144"/>
          <w:tblHeader/>
        </w:trPr>
        <w:tc>
          <w:tcPr>
            <w:tcW w:w="9355" w:type="dxa"/>
            <w:gridSpan w:val="2"/>
            <w:shd w:val="clear" w:color="auto" w:fill="auto"/>
            <w:vAlign w:val="center"/>
          </w:tcPr>
          <w:p w14:paraId="1A170501"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7F10CA17" w14:textId="77777777" w:rsidTr="00883B07">
        <w:trPr>
          <w:trHeight w:val="144"/>
          <w:tblHeader/>
        </w:trPr>
        <w:tc>
          <w:tcPr>
            <w:tcW w:w="9355" w:type="dxa"/>
            <w:gridSpan w:val="2"/>
            <w:shd w:val="clear" w:color="auto" w:fill="auto"/>
            <w:vAlign w:val="center"/>
          </w:tcPr>
          <w:p w14:paraId="0D4A8659"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607F45AD" w14:textId="77777777" w:rsidTr="001136D3">
        <w:trPr>
          <w:trHeight w:val="144"/>
          <w:tblHeader/>
        </w:trPr>
        <w:tc>
          <w:tcPr>
            <w:tcW w:w="2245" w:type="dxa"/>
            <w:shd w:val="clear" w:color="auto" w:fill="auto"/>
            <w:vAlign w:val="center"/>
          </w:tcPr>
          <w:p w14:paraId="4225C0B1" w14:textId="77777777" w:rsidR="00930D96" w:rsidRPr="008C4A39" w:rsidRDefault="00930D96" w:rsidP="001136D3">
            <w:pPr>
              <w:spacing w:after="0"/>
              <w:rPr>
                <w:rFonts w:eastAsia="Calibri"/>
                <w:b/>
                <w:szCs w:val="24"/>
                <w:lang w:val="en-GB"/>
              </w:rPr>
            </w:pPr>
            <w:r w:rsidRPr="008C4A39">
              <w:rPr>
                <w:rFonts w:eastAsia="Calibri"/>
                <w:szCs w:val="24"/>
                <w:lang w:val="en-GB"/>
              </w:rPr>
              <w:t>FR262</w:t>
            </w:r>
          </w:p>
        </w:tc>
        <w:tc>
          <w:tcPr>
            <w:tcW w:w="7110" w:type="dxa"/>
            <w:shd w:val="clear" w:color="auto" w:fill="auto"/>
          </w:tcPr>
          <w:p w14:paraId="3D5E2A08" w14:textId="77777777" w:rsidR="00930D96" w:rsidRPr="008C4A39" w:rsidRDefault="00930D96" w:rsidP="001136D3">
            <w:pPr>
              <w:spacing w:after="0"/>
              <w:rPr>
                <w:rFonts w:eastAsia="Calibri"/>
                <w:szCs w:val="24"/>
                <w:lang w:val="en-GB"/>
              </w:rPr>
            </w:pPr>
            <w:r w:rsidRPr="008C4A39">
              <w:rPr>
                <w:rFonts w:eastAsia="Calibri"/>
                <w:szCs w:val="24"/>
                <w:lang w:val="en-GB"/>
              </w:rPr>
              <w:t>The Risk Management Component must assess ONLY LPCO Applications of the requesting agency, based on the Risk profiles, which are maintained by the same agency.</w:t>
            </w:r>
          </w:p>
        </w:tc>
      </w:tr>
      <w:tr w:rsidR="00930D96" w:rsidRPr="008C4A39" w14:paraId="73255711" w14:textId="77777777" w:rsidTr="00883B07">
        <w:trPr>
          <w:trHeight w:val="144"/>
          <w:tblHeader/>
        </w:trPr>
        <w:tc>
          <w:tcPr>
            <w:tcW w:w="9355" w:type="dxa"/>
            <w:gridSpan w:val="2"/>
            <w:shd w:val="clear" w:color="auto" w:fill="auto"/>
            <w:vAlign w:val="center"/>
          </w:tcPr>
          <w:p w14:paraId="0DA0F6B6" w14:textId="77777777" w:rsidR="00930D96" w:rsidRPr="008C4A39" w:rsidRDefault="00930D96" w:rsidP="001136D3">
            <w:pPr>
              <w:spacing w:after="0"/>
              <w:rPr>
                <w:rFonts w:eastAsia="Calibri"/>
                <w:szCs w:val="24"/>
                <w:lang w:val="bg-BG"/>
              </w:rPr>
            </w:pPr>
            <w:r w:rsidRPr="008C4A39">
              <w:rPr>
                <w:rFonts w:eastAsia="Calibri"/>
                <w:szCs w:val="24"/>
                <w:lang w:val="en-GB"/>
              </w:rPr>
              <w:t xml:space="preserve">Bidder’s technical reasons supporting compliance:  </w:t>
            </w:r>
          </w:p>
        </w:tc>
      </w:tr>
      <w:tr w:rsidR="00930D96" w:rsidRPr="008C4A39" w14:paraId="1E4CA60F" w14:textId="77777777" w:rsidTr="00883B07">
        <w:trPr>
          <w:trHeight w:val="144"/>
          <w:tblHeader/>
        </w:trPr>
        <w:tc>
          <w:tcPr>
            <w:tcW w:w="9355" w:type="dxa"/>
            <w:gridSpan w:val="2"/>
            <w:shd w:val="clear" w:color="auto" w:fill="auto"/>
            <w:vAlign w:val="center"/>
          </w:tcPr>
          <w:p w14:paraId="7A8A14CB"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7B58929E" w14:textId="77777777" w:rsidTr="001136D3">
        <w:trPr>
          <w:trHeight w:val="144"/>
          <w:tblHeader/>
        </w:trPr>
        <w:tc>
          <w:tcPr>
            <w:tcW w:w="2245" w:type="dxa"/>
            <w:shd w:val="clear" w:color="auto" w:fill="auto"/>
            <w:vAlign w:val="center"/>
          </w:tcPr>
          <w:p w14:paraId="7D8B6017" w14:textId="77777777" w:rsidR="00930D96" w:rsidRPr="008C4A39" w:rsidRDefault="00930D96" w:rsidP="001136D3">
            <w:pPr>
              <w:spacing w:after="0"/>
              <w:rPr>
                <w:rFonts w:eastAsia="Calibri"/>
                <w:szCs w:val="24"/>
                <w:lang w:val="en-GB"/>
              </w:rPr>
            </w:pPr>
            <w:r w:rsidRPr="008C4A39">
              <w:rPr>
                <w:rFonts w:eastAsia="Calibri"/>
                <w:szCs w:val="24"/>
                <w:lang w:val="en-GB"/>
              </w:rPr>
              <w:t>FR263</w:t>
            </w:r>
          </w:p>
        </w:tc>
        <w:tc>
          <w:tcPr>
            <w:tcW w:w="7110" w:type="dxa"/>
            <w:shd w:val="clear" w:color="auto" w:fill="auto"/>
          </w:tcPr>
          <w:p w14:paraId="66F25FF8" w14:textId="77777777" w:rsidR="00930D96" w:rsidRPr="008C4A39" w:rsidRDefault="00930D96" w:rsidP="001136D3">
            <w:pPr>
              <w:spacing w:after="0"/>
              <w:rPr>
                <w:rFonts w:eastAsia="Calibri"/>
                <w:szCs w:val="24"/>
                <w:lang w:val="en-GB"/>
              </w:rPr>
            </w:pPr>
            <w:r w:rsidRPr="008C4A39">
              <w:rPr>
                <w:rFonts w:eastAsia="Calibri"/>
                <w:szCs w:val="24"/>
                <w:lang w:val="en-GB"/>
              </w:rPr>
              <w:t>The RMC must assess LPCO applications of the requesting agency, based on the Risk profiles, which are provided by other institutions like the DG TAXUD, CEFTA, etc. and provide feedback to those institutions.</w:t>
            </w:r>
          </w:p>
        </w:tc>
      </w:tr>
      <w:tr w:rsidR="00930D96" w:rsidRPr="008C4A39" w14:paraId="142E789F" w14:textId="77777777" w:rsidTr="00883B07">
        <w:trPr>
          <w:trHeight w:val="144"/>
          <w:tblHeader/>
        </w:trPr>
        <w:tc>
          <w:tcPr>
            <w:tcW w:w="9355" w:type="dxa"/>
            <w:gridSpan w:val="2"/>
            <w:shd w:val="clear" w:color="auto" w:fill="auto"/>
            <w:vAlign w:val="center"/>
          </w:tcPr>
          <w:p w14:paraId="0FFDBC53"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15D4B22B" w14:textId="77777777" w:rsidTr="00883B07">
        <w:trPr>
          <w:trHeight w:val="144"/>
          <w:tblHeader/>
        </w:trPr>
        <w:tc>
          <w:tcPr>
            <w:tcW w:w="9355" w:type="dxa"/>
            <w:gridSpan w:val="2"/>
            <w:shd w:val="clear" w:color="auto" w:fill="auto"/>
            <w:vAlign w:val="center"/>
          </w:tcPr>
          <w:p w14:paraId="55D635A4"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56B0E5D4" w14:textId="77777777" w:rsidTr="001136D3">
        <w:trPr>
          <w:trHeight w:val="144"/>
          <w:tblHeader/>
        </w:trPr>
        <w:tc>
          <w:tcPr>
            <w:tcW w:w="2245" w:type="dxa"/>
            <w:shd w:val="clear" w:color="auto" w:fill="auto"/>
            <w:vAlign w:val="center"/>
          </w:tcPr>
          <w:p w14:paraId="1BC3CA14" w14:textId="77777777" w:rsidR="00930D96" w:rsidRPr="008C4A39" w:rsidRDefault="00930D96" w:rsidP="001136D3">
            <w:pPr>
              <w:spacing w:after="0"/>
              <w:rPr>
                <w:rFonts w:eastAsia="Calibri"/>
                <w:b/>
                <w:szCs w:val="24"/>
                <w:lang w:val="en-GB"/>
              </w:rPr>
            </w:pPr>
            <w:r w:rsidRPr="008C4A39">
              <w:rPr>
                <w:rFonts w:eastAsia="Calibri"/>
                <w:szCs w:val="24"/>
                <w:lang w:val="en-GB"/>
              </w:rPr>
              <w:t>FR264</w:t>
            </w:r>
          </w:p>
        </w:tc>
        <w:tc>
          <w:tcPr>
            <w:tcW w:w="7110" w:type="dxa"/>
            <w:shd w:val="clear" w:color="auto" w:fill="auto"/>
          </w:tcPr>
          <w:p w14:paraId="412C2C6B"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The RMC must assess other than the LPCO Application documents. </w:t>
            </w:r>
          </w:p>
        </w:tc>
      </w:tr>
      <w:tr w:rsidR="00930D96" w:rsidRPr="008C4A39" w14:paraId="1F0B1363" w14:textId="77777777" w:rsidTr="00883B07">
        <w:trPr>
          <w:trHeight w:val="144"/>
          <w:tblHeader/>
        </w:trPr>
        <w:tc>
          <w:tcPr>
            <w:tcW w:w="9355" w:type="dxa"/>
            <w:gridSpan w:val="2"/>
            <w:shd w:val="clear" w:color="auto" w:fill="auto"/>
            <w:vAlign w:val="center"/>
          </w:tcPr>
          <w:p w14:paraId="5B6DD180"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47C54757" w14:textId="77777777" w:rsidTr="00883B07">
        <w:trPr>
          <w:trHeight w:val="144"/>
          <w:tblHeader/>
        </w:trPr>
        <w:tc>
          <w:tcPr>
            <w:tcW w:w="9355" w:type="dxa"/>
            <w:gridSpan w:val="2"/>
            <w:shd w:val="clear" w:color="auto" w:fill="auto"/>
            <w:vAlign w:val="center"/>
          </w:tcPr>
          <w:p w14:paraId="06F3886C"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66FDC807" w14:textId="77777777" w:rsidTr="001136D3">
        <w:trPr>
          <w:trHeight w:val="144"/>
          <w:tblHeader/>
        </w:trPr>
        <w:tc>
          <w:tcPr>
            <w:tcW w:w="2245" w:type="dxa"/>
            <w:shd w:val="clear" w:color="auto" w:fill="auto"/>
            <w:vAlign w:val="center"/>
          </w:tcPr>
          <w:p w14:paraId="764E9F9B" w14:textId="77777777" w:rsidR="00930D96" w:rsidRPr="008C4A39" w:rsidRDefault="00930D96" w:rsidP="001136D3">
            <w:pPr>
              <w:spacing w:after="0"/>
              <w:rPr>
                <w:rFonts w:eastAsia="Calibri"/>
                <w:b/>
                <w:szCs w:val="24"/>
                <w:lang w:val="en-GB"/>
              </w:rPr>
            </w:pPr>
            <w:r w:rsidRPr="008C4A39">
              <w:rPr>
                <w:rFonts w:eastAsia="Calibri"/>
                <w:szCs w:val="24"/>
                <w:lang w:val="en-GB"/>
              </w:rPr>
              <w:t>FR265</w:t>
            </w:r>
          </w:p>
        </w:tc>
        <w:tc>
          <w:tcPr>
            <w:tcW w:w="7110" w:type="dxa"/>
            <w:shd w:val="clear" w:color="auto" w:fill="auto"/>
          </w:tcPr>
          <w:p w14:paraId="414DF6B1" w14:textId="77777777" w:rsidR="00930D96" w:rsidRPr="008C4A39" w:rsidRDefault="00930D96" w:rsidP="001136D3">
            <w:pPr>
              <w:spacing w:after="0"/>
              <w:rPr>
                <w:rFonts w:eastAsia="Calibri"/>
                <w:b/>
                <w:szCs w:val="24"/>
                <w:lang w:val="en-GB"/>
              </w:rPr>
            </w:pPr>
            <w:r w:rsidRPr="008C4A39">
              <w:rPr>
                <w:rFonts w:eastAsia="Calibri"/>
                <w:szCs w:val="24"/>
                <w:lang w:val="en-GB"/>
              </w:rPr>
              <w:t xml:space="preserve">The RMC must be able to accept assessment results, provided by external systems and specify the needed actions automatically based on the scoring model. </w:t>
            </w:r>
          </w:p>
        </w:tc>
      </w:tr>
      <w:tr w:rsidR="00930D96" w:rsidRPr="008C4A39" w14:paraId="759A04B4" w14:textId="77777777" w:rsidTr="00883B07">
        <w:trPr>
          <w:trHeight w:val="144"/>
          <w:tblHeader/>
        </w:trPr>
        <w:tc>
          <w:tcPr>
            <w:tcW w:w="9355" w:type="dxa"/>
            <w:gridSpan w:val="2"/>
            <w:shd w:val="clear" w:color="auto" w:fill="auto"/>
            <w:vAlign w:val="center"/>
          </w:tcPr>
          <w:p w14:paraId="30EFABAE"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6E6C12CB" w14:textId="77777777" w:rsidTr="00883B07">
        <w:trPr>
          <w:trHeight w:val="144"/>
          <w:tblHeader/>
        </w:trPr>
        <w:tc>
          <w:tcPr>
            <w:tcW w:w="9355" w:type="dxa"/>
            <w:gridSpan w:val="2"/>
            <w:shd w:val="clear" w:color="auto" w:fill="auto"/>
            <w:vAlign w:val="center"/>
          </w:tcPr>
          <w:p w14:paraId="30B36D12"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2488CBF4" w14:textId="77777777" w:rsidTr="001136D3">
        <w:trPr>
          <w:trHeight w:val="144"/>
          <w:tblHeader/>
        </w:trPr>
        <w:tc>
          <w:tcPr>
            <w:tcW w:w="2245" w:type="dxa"/>
            <w:shd w:val="clear" w:color="auto" w:fill="auto"/>
            <w:vAlign w:val="center"/>
          </w:tcPr>
          <w:p w14:paraId="4319EBFC" w14:textId="77777777" w:rsidR="00930D96" w:rsidRPr="008C4A39" w:rsidRDefault="00930D96" w:rsidP="001136D3">
            <w:pPr>
              <w:spacing w:after="0"/>
              <w:rPr>
                <w:rFonts w:eastAsia="Calibri"/>
                <w:szCs w:val="24"/>
                <w:lang w:val="en-GB"/>
              </w:rPr>
            </w:pPr>
            <w:r w:rsidRPr="008C4A39">
              <w:rPr>
                <w:rFonts w:eastAsia="Calibri"/>
                <w:szCs w:val="24"/>
                <w:lang w:val="en-GB"/>
              </w:rPr>
              <w:t>FR527</w:t>
            </w:r>
          </w:p>
        </w:tc>
        <w:tc>
          <w:tcPr>
            <w:tcW w:w="7110" w:type="dxa"/>
            <w:shd w:val="clear" w:color="auto" w:fill="auto"/>
          </w:tcPr>
          <w:p w14:paraId="547EEE4C" w14:textId="77777777" w:rsidR="00930D96" w:rsidRPr="008C4A39" w:rsidRDefault="00930D96">
            <w:pPr>
              <w:spacing w:after="0"/>
              <w:jc w:val="left"/>
              <w:rPr>
                <w:color w:val="000000"/>
                <w:szCs w:val="24"/>
                <w:shd w:val="clear" w:color="auto" w:fill="FFFFFF"/>
              </w:rPr>
            </w:pPr>
            <w:r w:rsidRPr="008C4A39">
              <w:rPr>
                <w:color w:val="000000"/>
                <w:szCs w:val="24"/>
                <w:shd w:val="clear" w:color="auto" w:fill="FFFFFF"/>
                <w:lang w:val="en-GB"/>
              </w:rPr>
              <w:t>The Solution must support storage of internal data in a database in the Solution to be used in connection with the Risk assessment process.</w:t>
            </w:r>
          </w:p>
        </w:tc>
      </w:tr>
      <w:tr w:rsidR="00930D96" w:rsidRPr="008C4A39" w14:paraId="6F639B69" w14:textId="77777777" w:rsidTr="00883B07">
        <w:trPr>
          <w:trHeight w:val="144"/>
          <w:tblHeader/>
        </w:trPr>
        <w:tc>
          <w:tcPr>
            <w:tcW w:w="9355" w:type="dxa"/>
            <w:gridSpan w:val="2"/>
            <w:shd w:val="clear" w:color="auto" w:fill="auto"/>
            <w:vAlign w:val="center"/>
          </w:tcPr>
          <w:p w14:paraId="2F050A29" w14:textId="77777777" w:rsidR="00930D96" w:rsidRPr="008C4A39" w:rsidRDefault="00930D96">
            <w:pPr>
              <w:spacing w:after="0"/>
              <w:jc w:val="left"/>
              <w:rPr>
                <w:color w:val="000000"/>
                <w:szCs w:val="24"/>
                <w:shd w:val="clear" w:color="auto" w:fill="FFFFFF"/>
                <w:lang w:val="en-GB"/>
              </w:rPr>
            </w:pPr>
            <w:r w:rsidRPr="008C4A39">
              <w:rPr>
                <w:rFonts w:eastAsia="Calibri"/>
                <w:szCs w:val="24"/>
                <w:lang w:val="en-GB"/>
              </w:rPr>
              <w:t xml:space="preserve">Bidder’s technical reasons supporting compliance:  </w:t>
            </w:r>
          </w:p>
        </w:tc>
      </w:tr>
      <w:tr w:rsidR="00930D96" w:rsidRPr="008C4A39" w14:paraId="5B752E52" w14:textId="77777777" w:rsidTr="00883B07">
        <w:trPr>
          <w:trHeight w:val="144"/>
          <w:tblHeader/>
        </w:trPr>
        <w:tc>
          <w:tcPr>
            <w:tcW w:w="9355" w:type="dxa"/>
            <w:gridSpan w:val="2"/>
            <w:shd w:val="clear" w:color="auto" w:fill="auto"/>
            <w:vAlign w:val="center"/>
          </w:tcPr>
          <w:p w14:paraId="5B4E0726" w14:textId="77777777" w:rsidR="00930D96" w:rsidRPr="008C4A39" w:rsidRDefault="00930D96">
            <w:pPr>
              <w:spacing w:after="0"/>
              <w:jc w:val="left"/>
              <w:rPr>
                <w:color w:val="000000"/>
                <w:szCs w:val="24"/>
                <w:shd w:val="clear" w:color="auto" w:fill="FFFFFF"/>
                <w:lang w:val="en-GB"/>
              </w:rPr>
            </w:pPr>
            <w:r w:rsidRPr="008C4A39">
              <w:rPr>
                <w:szCs w:val="24"/>
              </w:rPr>
              <w:t>Bidder’s cross references to supporting information in Technical Bid:</w:t>
            </w:r>
          </w:p>
        </w:tc>
      </w:tr>
      <w:tr w:rsidR="00930D96" w:rsidRPr="008C4A39" w14:paraId="115994E6" w14:textId="77777777" w:rsidTr="001136D3">
        <w:trPr>
          <w:trHeight w:val="144"/>
          <w:tblHeader/>
        </w:trPr>
        <w:tc>
          <w:tcPr>
            <w:tcW w:w="2245" w:type="dxa"/>
            <w:shd w:val="clear" w:color="auto" w:fill="auto"/>
            <w:vAlign w:val="center"/>
          </w:tcPr>
          <w:p w14:paraId="397EE0BF" w14:textId="77777777" w:rsidR="00930D96" w:rsidRPr="008C4A39" w:rsidRDefault="00930D96" w:rsidP="001136D3">
            <w:pPr>
              <w:spacing w:after="0"/>
              <w:rPr>
                <w:rFonts w:eastAsia="Calibri"/>
                <w:b/>
                <w:szCs w:val="24"/>
                <w:lang w:val="en-GB"/>
              </w:rPr>
            </w:pPr>
            <w:r w:rsidRPr="008C4A39">
              <w:rPr>
                <w:rFonts w:eastAsia="Calibri"/>
                <w:szCs w:val="24"/>
                <w:lang w:val="en-GB"/>
              </w:rPr>
              <w:t>FR274</w:t>
            </w:r>
          </w:p>
        </w:tc>
        <w:tc>
          <w:tcPr>
            <w:tcW w:w="7110" w:type="dxa"/>
            <w:shd w:val="clear" w:color="auto" w:fill="auto"/>
          </w:tcPr>
          <w:p w14:paraId="5380DAE0" w14:textId="77777777" w:rsidR="00930D96" w:rsidRPr="008C4A39" w:rsidRDefault="00930D96" w:rsidP="001136D3">
            <w:pPr>
              <w:spacing w:after="0"/>
              <w:rPr>
                <w:rFonts w:eastAsia="Calibri"/>
                <w:b/>
                <w:szCs w:val="24"/>
                <w:lang w:val="en-GB"/>
              </w:rPr>
            </w:pPr>
            <w:r w:rsidRPr="008C4A39">
              <w:rPr>
                <w:rFonts w:eastAsia="Calibri"/>
                <w:szCs w:val="24"/>
                <w:lang w:val="en-GB"/>
              </w:rPr>
              <w:t xml:space="preserve">The RMC must provide an alert / notification system including sending e-mail alerts and SMS to inform all intervention instructions (i.e. the reason for selection) to the risk analyst reviewing the transaction; in the case where more than one risk criteria </w:t>
            </w:r>
            <w:proofErr w:type="gramStart"/>
            <w:r w:rsidRPr="008C4A39">
              <w:rPr>
                <w:rFonts w:eastAsia="Calibri"/>
                <w:szCs w:val="24"/>
                <w:lang w:val="en-GB"/>
              </w:rPr>
              <w:t>applies</w:t>
            </w:r>
            <w:proofErr w:type="gramEnd"/>
            <w:r w:rsidRPr="008C4A39">
              <w:rPr>
                <w:rFonts w:eastAsia="Calibri"/>
                <w:szCs w:val="24"/>
                <w:lang w:val="en-GB"/>
              </w:rPr>
              <w:t>, all intervention instructions will be displayed.</w:t>
            </w:r>
          </w:p>
        </w:tc>
      </w:tr>
      <w:tr w:rsidR="00930D96" w:rsidRPr="008C4A39" w14:paraId="2CC3AE32" w14:textId="77777777" w:rsidTr="00883B07">
        <w:trPr>
          <w:trHeight w:val="144"/>
          <w:tblHeader/>
        </w:trPr>
        <w:tc>
          <w:tcPr>
            <w:tcW w:w="9355" w:type="dxa"/>
            <w:gridSpan w:val="2"/>
            <w:shd w:val="clear" w:color="auto" w:fill="auto"/>
            <w:vAlign w:val="center"/>
          </w:tcPr>
          <w:p w14:paraId="34B20702"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636167A4" w14:textId="77777777" w:rsidTr="00883B07">
        <w:trPr>
          <w:trHeight w:val="144"/>
          <w:tblHeader/>
        </w:trPr>
        <w:tc>
          <w:tcPr>
            <w:tcW w:w="9355" w:type="dxa"/>
            <w:gridSpan w:val="2"/>
            <w:shd w:val="clear" w:color="auto" w:fill="auto"/>
            <w:vAlign w:val="center"/>
          </w:tcPr>
          <w:p w14:paraId="69FE7F2A"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4C821174" w14:textId="77777777" w:rsidTr="001136D3">
        <w:trPr>
          <w:trHeight w:val="670"/>
          <w:tblHeader/>
        </w:trPr>
        <w:tc>
          <w:tcPr>
            <w:tcW w:w="2245" w:type="dxa"/>
            <w:shd w:val="clear" w:color="auto" w:fill="auto"/>
            <w:vAlign w:val="center"/>
          </w:tcPr>
          <w:p w14:paraId="2AD1E24F" w14:textId="77777777" w:rsidR="00930D96" w:rsidRPr="008C4A39" w:rsidRDefault="00930D96" w:rsidP="001136D3">
            <w:pPr>
              <w:spacing w:after="0"/>
              <w:rPr>
                <w:rFonts w:eastAsia="Calibri"/>
                <w:szCs w:val="24"/>
                <w:lang w:val="en-GB"/>
              </w:rPr>
            </w:pPr>
            <w:r w:rsidRPr="008C4A39">
              <w:rPr>
                <w:rFonts w:eastAsia="Calibri"/>
                <w:szCs w:val="24"/>
                <w:lang w:val="en-GB"/>
              </w:rPr>
              <w:t>FR528</w:t>
            </w:r>
          </w:p>
        </w:tc>
        <w:tc>
          <w:tcPr>
            <w:tcW w:w="7110" w:type="dxa"/>
            <w:shd w:val="clear" w:color="auto" w:fill="auto"/>
          </w:tcPr>
          <w:p w14:paraId="50E3C179" w14:textId="77777777" w:rsidR="00930D96" w:rsidRPr="008C4A39" w:rsidRDefault="00930D96" w:rsidP="001136D3">
            <w:pPr>
              <w:spacing w:after="0"/>
              <w:rPr>
                <w:szCs w:val="24"/>
                <w:lang w:val="en-GB"/>
              </w:rPr>
            </w:pPr>
            <w:r w:rsidRPr="008C4A39">
              <w:rPr>
                <w:szCs w:val="24"/>
                <w:lang w:val="en-GB"/>
              </w:rPr>
              <w:t>The system should operate as hybrid, both as integrated service and an independent entity. Other Cross Border Regulatory Agencies (CBRAs) should utilize the interfaces to submit LPCO forms for Risk Assessment and retrieve corresponding results.</w:t>
            </w:r>
          </w:p>
        </w:tc>
      </w:tr>
      <w:tr w:rsidR="00930D96" w:rsidRPr="008C4A39" w14:paraId="398817C3" w14:textId="77777777" w:rsidTr="00883B07">
        <w:trPr>
          <w:trHeight w:val="413"/>
          <w:tblHeader/>
        </w:trPr>
        <w:tc>
          <w:tcPr>
            <w:tcW w:w="9355" w:type="dxa"/>
            <w:gridSpan w:val="2"/>
            <w:shd w:val="clear" w:color="auto" w:fill="auto"/>
            <w:vAlign w:val="center"/>
          </w:tcPr>
          <w:p w14:paraId="34E46875" w14:textId="77777777" w:rsidR="00930D96" w:rsidRPr="008C4A39" w:rsidRDefault="00930D96">
            <w:pPr>
              <w:spacing w:after="0"/>
              <w:rPr>
                <w:szCs w:val="24"/>
                <w:lang w:val="en-GB"/>
              </w:rPr>
            </w:pPr>
            <w:r w:rsidRPr="008C4A39">
              <w:rPr>
                <w:rFonts w:eastAsia="Calibri"/>
                <w:szCs w:val="24"/>
                <w:lang w:val="en-GB"/>
              </w:rPr>
              <w:t xml:space="preserve">Bidder’s technical reasons supporting compliance:  </w:t>
            </w:r>
          </w:p>
        </w:tc>
      </w:tr>
      <w:tr w:rsidR="00930D96" w:rsidRPr="008C4A39" w14:paraId="04722F16" w14:textId="77777777" w:rsidTr="00883B07">
        <w:trPr>
          <w:trHeight w:val="341"/>
          <w:tblHeader/>
        </w:trPr>
        <w:tc>
          <w:tcPr>
            <w:tcW w:w="9355" w:type="dxa"/>
            <w:gridSpan w:val="2"/>
            <w:shd w:val="clear" w:color="auto" w:fill="auto"/>
            <w:vAlign w:val="center"/>
          </w:tcPr>
          <w:p w14:paraId="350463B7" w14:textId="77777777" w:rsidR="00930D96" w:rsidRPr="008C4A39" w:rsidRDefault="00930D96">
            <w:pPr>
              <w:spacing w:after="0"/>
              <w:rPr>
                <w:szCs w:val="24"/>
                <w:lang w:val="en-GB"/>
              </w:rPr>
            </w:pPr>
            <w:r w:rsidRPr="008C4A39">
              <w:rPr>
                <w:szCs w:val="24"/>
              </w:rPr>
              <w:t>Bidder’s cross references to supporting information in Technical Bid:</w:t>
            </w:r>
          </w:p>
        </w:tc>
      </w:tr>
      <w:tr w:rsidR="00930D96" w:rsidRPr="008C4A39" w14:paraId="1C42F7AE" w14:textId="77777777" w:rsidTr="001136D3">
        <w:trPr>
          <w:trHeight w:val="670"/>
          <w:tblHeader/>
        </w:trPr>
        <w:tc>
          <w:tcPr>
            <w:tcW w:w="2245" w:type="dxa"/>
            <w:shd w:val="clear" w:color="auto" w:fill="auto"/>
            <w:vAlign w:val="center"/>
          </w:tcPr>
          <w:p w14:paraId="2B851D09" w14:textId="77777777" w:rsidR="00930D96" w:rsidRPr="008C4A39" w:rsidRDefault="00930D96" w:rsidP="001136D3">
            <w:pPr>
              <w:spacing w:after="0"/>
              <w:rPr>
                <w:rFonts w:eastAsia="Calibri"/>
                <w:b/>
                <w:szCs w:val="24"/>
                <w:lang w:val="en-GB"/>
              </w:rPr>
            </w:pPr>
            <w:r w:rsidRPr="008C4A39">
              <w:rPr>
                <w:rFonts w:eastAsia="Calibri"/>
                <w:szCs w:val="24"/>
                <w:lang w:val="en-GB"/>
              </w:rPr>
              <w:t>FR276</w:t>
            </w:r>
          </w:p>
        </w:tc>
        <w:tc>
          <w:tcPr>
            <w:tcW w:w="7110" w:type="dxa"/>
            <w:shd w:val="clear" w:color="auto" w:fill="auto"/>
          </w:tcPr>
          <w:p w14:paraId="2CB7A508" w14:textId="77777777" w:rsidR="00930D96" w:rsidRPr="008C4A39" w:rsidRDefault="00930D96" w:rsidP="001136D3">
            <w:pPr>
              <w:spacing w:after="0"/>
              <w:rPr>
                <w:rFonts w:eastAsia="Calibri"/>
                <w:b/>
                <w:szCs w:val="24"/>
                <w:lang w:val="en-GB"/>
              </w:rPr>
            </w:pPr>
            <w:r w:rsidRPr="008C4A39">
              <w:rPr>
                <w:rFonts w:eastAsia="Calibri"/>
                <w:szCs w:val="24"/>
                <w:lang w:val="en-GB"/>
              </w:rPr>
              <w:t xml:space="preserve">To support configurability, the RMC must provide an administration tool designed to facilitate the continuous updating, keeping </w:t>
            </w:r>
            <w:proofErr w:type="gramStart"/>
            <w:r w:rsidRPr="008C4A39">
              <w:rPr>
                <w:rFonts w:eastAsia="Calibri"/>
                <w:szCs w:val="24"/>
                <w:lang w:val="en-GB"/>
              </w:rPr>
              <w:t>records</w:t>
            </w:r>
            <w:proofErr w:type="gramEnd"/>
            <w:r w:rsidRPr="008C4A39">
              <w:rPr>
                <w:rFonts w:eastAsia="Calibri"/>
                <w:szCs w:val="24"/>
                <w:lang w:val="en-GB"/>
              </w:rPr>
              <w:t xml:space="preserve"> and </w:t>
            </w:r>
            <w:r w:rsidRPr="008C4A39">
              <w:rPr>
                <w:rFonts w:eastAsia="Calibri"/>
                <w:szCs w:val="24"/>
                <w:lang w:val="en-GB"/>
              </w:rPr>
              <w:lastRenderedPageBreak/>
              <w:t>defining of risk criteria, weightings, trader/import profiles and random sampling.</w:t>
            </w:r>
          </w:p>
        </w:tc>
      </w:tr>
      <w:tr w:rsidR="00930D96" w:rsidRPr="008C4A39" w14:paraId="23FD49B2" w14:textId="77777777" w:rsidTr="00883B07">
        <w:trPr>
          <w:trHeight w:val="395"/>
          <w:tblHeader/>
        </w:trPr>
        <w:tc>
          <w:tcPr>
            <w:tcW w:w="9355" w:type="dxa"/>
            <w:gridSpan w:val="2"/>
            <w:shd w:val="clear" w:color="auto" w:fill="auto"/>
            <w:vAlign w:val="center"/>
          </w:tcPr>
          <w:p w14:paraId="50248489" w14:textId="77777777" w:rsidR="00930D96" w:rsidRPr="008C4A39" w:rsidRDefault="00930D96" w:rsidP="001136D3">
            <w:pPr>
              <w:spacing w:after="0"/>
              <w:rPr>
                <w:rFonts w:eastAsia="Calibri"/>
                <w:szCs w:val="24"/>
                <w:lang w:val="en-GB"/>
              </w:rPr>
            </w:pPr>
            <w:r w:rsidRPr="008C4A39">
              <w:rPr>
                <w:rFonts w:eastAsia="Calibri"/>
                <w:szCs w:val="24"/>
                <w:lang w:val="en-GB"/>
              </w:rPr>
              <w:lastRenderedPageBreak/>
              <w:t xml:space="preserve">Bidder’s technical reasons supporting compliance:  </w:t>
            </w:r>
          </w:p>
        </w:tc>
      </w:tr>
      <w:tr w:rsidR="00930D96" w:rsidRPr="008C4A39" w14:paraId="0D992BBF" w14:textId="77777777" w:rsidTr="00883B07">
        <w:trPr>
          <w:trHeight w:val="341"/>
          <w:tblHeader/>
        </w:trPr>
        <w:tc>
          <w:tcPr>
            <w:tcW w:w="9355" w:type="dxa"/>
            <w:gridSpan w:val="2"/>
            <w:shd w:val="clear" w:color="auto" w:fill="auto"/>
            <w:vAlign w:val="center"/>
          </w:tcPr>
          <w:p w14:paraId="470107E8"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0E47384E" w14:textId="77777777" w:rsidTr="001136D3">
        <w:trPr>
          <w:trHeight w:val="670"/>
          <w:tblHeader/>
        </w:trPr>
        <w:tc>
          <w:tcPr>
            <w:tcW w:w="2245" w:type="dxa"/>
            <w:shd w:val="clear" w:color="auto" w:fill="auto"/>
            <w:vAlign w:val="center"/>
          </w:tcPr>
          <w:p w14:paraId="482FF768" w14:textId="77777777" w:rsidR="00930D96" w:rsidRPr="008C4A39" w:rsidRDefault="00930D96" w:rsidP="001136D3">
            <w:pPr>
              <w:spacing w:after="0"/>
              <w:rPr>
                <w:rFonts w:eastAsia="Calibri"/>
                <w:szCs w:val="24"/>
                <w:lang w:val="en-GB"/>
              </w:rPr>
            </w:pPr>
            <w:r w:rsidRPr="008C4A39">
              <w:rPr>
                <w:rFonts w:eastAsia="Calibri"/>
                <w:szCs w:val="24"/>
                <w:lang w:val="en-GB"/>
              </w:rPr>
              <w:t>FR281</w:t>
            </w:r>
          </w:p>
        </w:tc>
        <w:tc>
          <w:tcPr>
            <w:tcW w:w="7110" w:type="dxa"/>
            <w:shd w:val="clear" w:color="auto" w:fill="auto"/>
          </w:tcPr>
          <w:p w14:paraId="73333362" w14:textId="77777777" w:rsidR="00930D96" w:rsidRPr="008C4A39" w:rsidRDefault="00930D96" w:rsidP="001136D3">
            <w:pPr>
              <w:spacing w:after="0"/>
              <w:rPr>
                <w:rFonts w:eastAsia="Calibri"/>
                <w:szCs w:val="24"/>
                <w:lang w:val="en-GB"/>
              </w:rPr>
            </w:pPr>
            <w:r w:rsidRPr="008C4A39">
              <w:rPr>
                <w:rFonts w:eastAsia="Calibri"/>
                <w:szCs w:val="24"/>
                <w:lang w:val="en-GB"/>
              </w:rPr>
              <w:t>The RMC must provide for prohibitions and restrictions (blacklists) to be defined criteria to ensure any shipment meeting the specific parameters will be selected for inspection.</w:t>
            </w:r>
          </w:p>
        </w:tc>
      </w:tr>
      <w:tr w:rsidR="00930D96" w:rsidRPr="008C4A39" w14:paraId="2669D04D" w14:textId="77777777" w:rsidTr="00883B07">
        <w:trPr>
          <w:trHeight w:val="503"/>
          <w:tblHeader/>
        </w:trPr>
        <w:tc>
          <w:tcPr>
            <w:tcW w:w="9355" w:type="dxa"/>
            <w:gridSpan w:val="2"/>
            <w:shd w:val="clear" w:color="auto" w:fill="auto"/>
            <w:vAlign w:val="center"/>
          </w:tcPr>
          <w:p w14:paraId="5D47CBFF"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08221277" w14:textId="77777777" w:rsidTr="00883B07">
        <w:trPr>
          <w:trHeight w:val="359"/>
          <w:tblHeader/>
        </w:trPr>
        <w:tc>
          <w:tcPr>
            <w:tcW w:w="9355" w:type="dxa"/>
            <w:gridSpan w:val="2"/>
            <w:shd w:val="clear" w:color="auto" w:fill="auto"/>
            <w:vAlign w:val="center"/>
          </w:tcPr>
          <w:p w14:paraId="4468EB92"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3CFF80EC" w14:textId="77777777" w:rsidTr="001136D3">
        <w:trPr>
          <w:trHeight w:val="670"/>
          <w:tblHeader/>
        </w:trPr>
        <w:tc>
          <w:tcPr>
            <w:tcW w:w="2245" w:type="dxa"/>
            <w:shd w:val="clear" w:color="auto" w:fill="auto"/>
            <w:vAlign w:val="center"/>
          </w:tcPr>
          <w:p w14:paraId="1E2B0B37" w14:textId="77777777" w:rsidR="00930D96" w:rsidRPr="008C4A39" w:rsidRDefault="00930D96" w:rsidP="001136D3">
            <w:pPr>
              <w:spacing w:after="0"/>
              <w:rPr>
                <w:rFonts w:eastAsia="Calibri"/>
                <w:szCs w:val="24"/>
                <w:lang w:val="en-GB"/>
              </w:rPr>
            </w:pPr>
            <w:r w:rsidRPr="008C4A39">
              <w:rPr>
                <w:rFonts w:eastAsia="Calibri"/>
                <w:szCs w:val="24"/>
                <w:lang w:val="en-GB"/>
              </w:rPr>
              <w:t>FR282</w:t>
            </w:r>
          </w:p>
        </w:tc>
        <w:tc>
          <w:tcPr>
            <w:tcW w:w="7110" w:type="dxa"/>
            <w:shd w:val="clear" w:color="auto" w:fill="auto"/>
          </w:tcPr>
          <w:p w14:paraId="745A085B" w14:textId="77777777" w:rsidR="00930D96" w:rsidRPr="008C4A39" w:rsidRDefault="00930D96" w:rsidP="001136D3">
            <w:pPr>
              <w:spacing w:after="0"/>
              <w:rPr>
                <w:rFonts w:eastAsia="Calibri"/>
                <w:szCs w:val="24"/>
                <w:lang w:val="en-GB"/>
              </w:rPr>
            </w:pPr>
            <w:r w:rsidRPr="008C4A39">
              <w:rPr>
                <w:rFonts w:eastAsia="Calibri"/>
                <w:szCs w:val="24"/>
                <w:lang w:val="en-GB"/>
              </w:rPr>
              <w:t>The RMC must automatically adjust the relevance of the profiles and their respective weighting based upon the performance and the parameters of that criteria application.</w:t>
            </w:r>
          </w:p>
        </w:tc>
      </w:tr>
      <w:tr w:rsidR="00930D96" w:rsidRPr="008C4A39" w14:paraId="28542671" w14:textId="77777777" w:rsidTr="00883B07">
        <w:trPr>
          <w:trHeight w:val="440"/>
          <w:tblHeader/>
        </w:trPr>
        <w:tc>
          <w:tcPr>
            <w:tcW w:w="9355" w:type="dxa"/>
            <w:gridSpan w:val="2"/>
            <w:shd w:val="clear" w:color="auto" w:fill="auto"/>
            <w:vAlign w:val="center"/>
          </w:tcPr>
          <w:p w14:paraId="3101ACEF"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00752CAF" w14:textId="77777777" w:rsidTr="00883B07">
        <w:trPr>
          <w:trHeight w:val="350"/>
          <w:tblHeader/>
        </w:trPr>
        <w:tc>
          <w:tcPr>
            <w:tcW w:w="9355" w:type="dxa"/>
            <w:gridSpan w:val="2"/>
            <w:shd w:val="clear" w:color="auto" w:fill="auto"/>
            <w:vAlign w:val="center"/>
          </w:tcPr>
          <w:p w14:paraId="3F5379D1"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1801DB2C" w14:textId="77777777" w:rsidTr="001136D3">
        <w:trPr>
          <w:trHeight w:val="950"/>
          <w:tblHeader/>
        </w:trPr>
        <w:tc>
          <w:tcPr>
            <w:tcW w:w="2245" w:type="dxa"/>
            <w:shd w:val="clear" w:color="auto" w:fill="auto"/>
            <w:vAlign w:val="center"/>
          </w:tcPr>
          <w:p w14:paraId="2A3FDC50" w14:textId="77777777" w:rsidR="00930D96" w:rsidRPr="008C4A39" w:rsidRDefault="00930D96" w:rsidP="001136D3">
            <w:pPr>
              <w:spacing w:after="0"/>
              <w:rPr>
                <w:rFonts w:eastAsia="Calibri"/>
                <w:szCs w:val="24"/>
                <w:lang w:val="en-GB"/>
              </w:rPr>
            </w:pPr>
            <w:r w:rsidRPr="008C4A39">
              <w:rPr>
                <w:rFonts w:eastAsia="Calibri"/>
                <w:szCs w:val="24"/>
                <w:lang w:val="en-GB"/>
              </w:rPr>
              <w:t>FR284</w:t>
            </w:r>
          </w:p>
        </w:tc>
        <w:tc>
          <w:tcPr>
            <w:tcW w:w="7110" w:type="dxa"/>
            <w:shd w:val="clear" w:color="auto" w:fill="auto"/>
          </w:tcPr>
          <w:p w14:paraId="6EF3BF61" w14:textId="77777777" w:rsidR="00930D96" w:rsidRPr="008C4A39" w:rsidRDefault="00930D96" w:rsidP="001136D3">
            <w:pPr>
              <w:spacing w:after="0"/>
              <w:rPr>
                <w:rFonts w:eastAsia="Calibri"/>
                <w:szCs w:val="24"/>
                <w:lang w:val="en-GB"/>
              </w:rPr>
            </w:pPr>
            <w:r w:rsidRPr="008C4A39">
              <w:rPr>
                <w:rFonts w:eastAsia="Calibri"/>
                <w:szCs w:val="24"/>
                <w:lang w:val="en-GB"/>
              </w:rPr>
              <w:t>The user will have the option to enter the frequency including counting mechanism under which specific CBRA should be executed (example, 3% inspection rate for shipments coming from country X and containing goods under classification Y, or first 10-20 shipments with same conditions).</w:t>
            </w:r>
          </w:p>
        </w:tc>
      </w:tr>
      <w:tr w:rsidR="00930D96" w:rsidRPr="008C4A39" w14:paraId="6DD3969A" w14:textId="77777777" w:rsidTr="00883B07">
        <w:trPr>
          <w:trHeight w:val="413"/>
          <w:tblHeader/>
        </w:trPr>
        <w:tc>
          <w:tcPr>
            <w:tcW w:w="9355" w:type="dxa"/>
            <w:gridSpan w:val="2"/>
            <w:shd w:val="clear" w:color="auto" w:fill="auto"/>
            <w:vAlign w:val="center"/>
          </w:tcPr>
          <w:p w14:paraId="1A41EAA6"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2BC85BC7" w14:textId="77777777" w:rsidTr="00883B07">
        <w:trPr>
          <w:trHeight w:val="440"/>
          <w:tblHeader/>
        </w:trPr>
        <w:tc>
          <w:tcPr>
            <w:tcW w:w="9355" w:type="dxa"/>
            <w:gridSpan w:val="2"/>
            <w:shd w:val="clear" w:color="auto" w:fill="auto"/>
            <w:vAlign w:val="center"/>
          </w:tcPr>
          <w:p w14:paraId="694589E7"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21DDAF56" w14:textId="77777777" w:rsidTr="001136D3">
        <w:trPr>
          <w:trHeight w:val="670"/>
          <w:tblHeader/>
        </w:trPr>
        <w:tc>
          <w:tcPr>
            <w:tcW w:w="2245" w:type="dxa"/>
            <w:shd w:val="clear" w:color="auto" w:fill="auto"/>
            <w:vAlign w:val="center"/>
          </w:tcPr>
          <w:p w14:paraId="4075BA9C" w14:textId="77777777" w:rsidR="00930D96" w:rsidRPr="008C4A39" w:rsidRDefault="00930D96" w:rsidP="001136D3">
            <w:pPr>
              <w:spacing w:after="0"/>
              <w:rPr>
                <w:rFonts w:eastAsia="Calibri"/>
                <w:szCs w:val="24"/>
                <w:lang w:val="en-GB"/>
              </w:rPr>
            </w:pPr>
            <w:r w:rsidRPr="008C4A39">
              <w:rPr>
                <w:rFonts w:eastAsia="Calibri"/>
                <w:szCs w:val="24"/>
                <w:lang w:val="en-GB"/>
              </w:rPr>
              <w:t>FR285</w:t>
            </w:r>
          </w:p>
        </w:tc>
        <w:tc>
          <w:tcPr>
            <w:tcW w:w="7110" w:type="dxa"/>
            <w:shd w:val="clear" w:color="auto" w:fill="auto"/>
          </w:tcPr>
          <w:p w14:paraId="7F84B9ED" w14:textId="77777777" w:rsidR="00930D96" w:rsidRPr="008C4A39" w:rsidRDefault="00930D96" w:rsidP="001136D3">
            <w:pPr>
              <w:spacing w:after="0"/>
              <w:rPr>
                <w:rFonts w:eastAsia="Calibri"/>
                <w:szCs w:val="24"/>
                <w:lang w:val="en-GB"/>
              </w:rPr>
            </w:pPr>
            <w:r w:rsidRPr="008C4A39">
              <w:rPr>
                <w:rFonts w:eastAsia="Calibri"/>
                <w:szCs w:val="24"/>
                <w:lang w:val="en-GB"/>
              </w:rPr>
              <w:t>The RMC must recommend the control actions that must be taken based on the risk level. In addition to recommending specific control actions, the RMS will also provide instructions to be carried out during control procedures.</w:t>
            </w:r>
          </w:p>
        </w:tc>
      </w:tr>
      <w:tr w:rsidR="00930D96" w:rsidRPr="008C4A39" w14:paraId="159C9F9E" w14:textId="77777777" w:rsidTr="00883B07">
        <w:trPr>
          <w:trHeight w:val="670"/>
          <w:tblHeader/>
        </w:trPr>
        <w:tc>
          <w:tcPr>
            <w:tcW w:w="9355" w:type="dxa"/>
            <w:gridSpan w:val="2"/>
            <w:shd w:val="clear" w:color="auto" w:fill="auto"/>
            <w:vAlign w:val="center"/>
          </w:tcPr>
          <w:p w14:paraId="509C41FE"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190F4DE5" w14:textId="77777777" w:rsidTr="00883B07">
        <w:trPr>
          <w:trHeight w:val="670"/>
          <w:tblHeader/>
        </w:trPr>
        <w:tc>
          <w:tcPr>
            <w:tcW w:w="9355" w:type="dxa"/>
            <w:gridSpan w:val="2"/>
            <w:shd w:val="clear" w:color="auto" w:fill="auto"/>
            <w:vAlign w:val="center"/>
          </w:tcPr>
          <w:p w14:paraId="34A42AEB"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7FD3CD68" w14:textId="77777777" w:rsidTr="001136D3">
        <w:trPr>
          <w:trHeight w:val="940"/>
          <w:tblHeader/>
        </w:trPr>
        <w:tc>
          <w:tcPr>
            <w:tcW w:w="2245" w:type="dxa"/>
            <w:shd w:val="clear" w:color="auto" w:fill="auto"/>
            <w:vAlign w:val="center"/>
          </w:tcPr>
          <w:p w14:paraId="7B2BF978" w14:textId="77777777" w:rsidR="00930D96" w:rsidRPr="008C4A39" w:rsidRDefault="00930D96" w:rsidP="001136D3">
            <w:pPr>
              <w:spacing w:after="0"/>
              <w:rPr>
                <w:rFonts w:eastAsia="Calibri"/>
                <w:szCs w:val="24"/>
                <w:lang w:val="en-GB"/>
              </w:rPr>
            </w:pPr>
            <w:r w:rsidRPr="008C4A39">
              <w:rPr>
                <w:rFonts w:eastAsia="Calibri"/>
                <w:szCs w:val="24"/>
                <w:lang w:val="en-GB"/>
              </w:rPr>
              <w:t>FR286</w:t>
            </w:r>
          </w:p>
        </w:tc>
        <w:tc>
          <w:tcPr>
            <w:tcW w:w="7110" w:type="dxa"/>
            <w:shd w:val="clear" w:color="auto" w:fill="auto"/>
          </w:tcPr>
          <w:p w14:paraId="610E6209" w14:textId="77777777" w:rsidR="00930D96" w:rsidRPr="008C4A39" w:rsidRDefault="00930D96" w:rsidP="001136D3">
            <w:pPr>
              <w:spacing w:after="0"/>
              <w:rPr>
                <w:rFonts w:eastAsia="Calibri"/>
                <w:szCs w:val="24"/>
                <w:lang w:val="en-GB"/>
              </w:rPr>
            </w:pPr>
            <w:r w:rsidRPr="008C4A39">
              <w:rPr>
                <w:szCs w:val="24"/>
                <w:lang w:val="en-GB"/>
              </w:rPr>
              <w:t>The Solution must ensure that Control Recommendations are derived from a combined assessment of the Agency Risk Criteria(‘s), Risk Profiles, Random Selection and Risk Models.</w:t>
            </w:r>
          </w:p>
        </w:tc>
      </w:tr>
      <w:tr w:rsidR="00930D96" w:rsidRPr="008C4A39" w14:paraId="5E8BEB92" w14:textId="77777777" w:rsidTr="00883B07">
        <w:trPr>
          <w:trHeight w:val="467"/>
          <w:tblHeader/>
        </w:trPr>
        <w:tc>
          <w:tcPr>
            <w:tcW w:w="9355" w:type="dxa"/>
            <w:gridSpan w:val="2"/>
            <w:shd w:val="clear" w:color="auto" w:fill="auto"/>
            <w:vAlign w:val="center"/>
          </w:tcPr>
          <w:p w14:paraId="7B7BFC53" w14:textId="77777777" w:rsidR="00930D96" w:rsidRPr="008C4A39" w:rsidRDefault="00930D96" w:rsidP="001136D3">
            <w:pPr>
              <w:spacing w:after="0"/>
              <w:rPr>
                <w:szCs w:val="24"/>
                <w:lang w:val="en-GB"/>
              </w:rPr>
            </w:pPr>
            <w:r w:rsidRPr="008C4A39">
              <w:rPr>
                <w:rFonts w:eastAsia="Calibri"/>
                <w:szCs w:val="24"/>
                <w:lang w:val="en-GB"/>
              </w:rPr>
              <w:t xml:space="preserve">Bidder’s technical reasons supporting compliance:  </w:t>
            </w:r>
          </w:p>
        </w:tc>
      </w:tr>
      <w:tr w:rsidR="00930D96" w:rsidRPr="008C4A39" w14:paraId="7C5817AF" w14:textId="77777777" w:rsidTr="00883B07">
        <w:trPr>
          <w:trHeight w:val="530"/>
          <w:tblHeader/>
        </w:trPr>
        <w:tc>
          <w:tcPr>
            <w:tcW w:w="9355" w:type="dxa"/>
            <w:gridSpan w:val="2"/>
            <w:shd w:val="clear" w:color="auto" w:fill="auto"/>
            <w:vAlign w:val="center"/>
          </w:tcPr>
          <w:p w14:paraId="38D91DC6" w14:textId="77777777" w:rsidR="00930D96" w:rsidRPr="008C4A39" w:rsidRDefault="00930D96" w:rsidP="001136D3">
            <w:pPr>
              <w:spacing w:after="0"/>
              <w:rPr>
                <w:szCs w:val="24"/>
                <w:lang w:val="en-GB"/>
              </w:rPr>
            </w:pPr>
            <w:r w:rsidRPr="008C4A39">
              <w:rPr>
                <w:szCs w:val="24"/>
              </w:rPr>
              <w:t>Bidder’s cross references to supporting information in Technical Bid:</w:t>
            </w:r>
          </w:p>
        </w:tc>
      </w:tr>
      <w:tr w:rsidR="00930D96" w:rsidRPr="008C4A39" w14:paraId="004A9574" w14:textId="77777777" w:rsidTr="001136D3">
        <w:trPr>
          <w:trHeight w:val="940"/>
          <w:tblHeader/>
        </w:trPr>
        <w:tc>
          <w:tcPr>
            <w:tcW w:w="2245" w:type="dxa"/>
            <w:shd w:val="clear" w:color="auto" w:fill="auto"/>
            <w:vAlign w:val="center"/>
          </w:tcPr>
          <w:p w14:paraId="5A917DD9" w14:textId="77777777" w:rsidR="00930D96" w:rsidRPr="008C4A39" w:rsidRDefault="00930D96" w:rsidP="001136D3">
            <w:pPr>
              <w:spacing w:after="0"/>
              <w:rPr>
                <w:rFonts w:eastAsia="Calibri"/>
                <w:szCs w:val="24"/>
                <w:lang w:val="en-GB"/>
              </w:rPr>
            </w:pPr>
            <w:r w:rsidRPr="008C4A39">
              <w:rPr>
                <w:rFonts w:eastAsia="Calibri"/>
                <w:szCs w:val="24"/>
                <w:lang w:val="en-GB"/>
              </w:rPr>
              <w:t>FR287</w:t>
            </w:r>
          </w:p>
        </w:tc>
        <w:tc>
          <w:tcPr>
            <w:tcW w:w="7110" w:type="dxa"/>
            <w:shd w:val="clear" w:color="auto" w:fill="auto"/>
          </w:tcPr>
          <w:p w14:paraId="1A95CF9E" w14:textId="77777777" w:rsidR="00930D96" w:rsidRPr="008C4A39" w:rsidRDefault="00930D96" w:rsidP="001136D3">
            <w:pPr>
              <w:spacing w:after="0"/>
              <w:rPr>
                <w:rFonts w:eastAsia="Calibri"/>
                <w:szCs w:val="24"/>
                <w:lang w:val="bg-BG"/>
              </w:rPr>
            </w:pPr>
            <w:r w:rsidRPr="008C4A39">
              <w:rPr>
                <w:rFonts w:eastAsia="Calibri"/>
                <w:szCs w:val="24"/>
                <w:lang w:val="en-GB"/>
              </w:rPr>
              <w:t xml:space="preserve">The RMS must provide for a configurable control treatments and options for specifying the consignments based on the risk results: green, red, yellow, blue lane etc. Colours must be defined for each level in the </w:t>
            </w:r>
            <w:r w:rsidRPr="008C4A39">
              <w:rPr>
                <w:rFonts w:eastAsia="Calibri"/>
                <w:szCs w:val="24"/>
                <w:lang w:val="en-GB"/>
              </w:rPr>
              <w:lastRenderedPageBreak/>
              <w:t>scoring model. Each CBRA should have options to define colour for each level based on agency policy and rules.</w:t>
            </w:r>
          </w:p>
        </w:tc>
      </w:tr>
      <w:tr w:rsidR="00930D96" w:rsidRPr="008C4A39" w14:paraId="5F75B774" w14:textId="77777777" w:rsidTr="00883B07">
        <w:trPr>
          <w:trHeight w:val="476"/>
          <w:tblHeader/>
        </w:trPr>
        <w:tc>
          <w:tcPr>
            <w:tcW w:w="9355" w:type="dxa"/>
            <w:gridSpan w:val="2"/>
            <w:shd w:val="clear" w:color="auto" w:fill="auto"/>
            <w:vAlign w:val="center"/>
          </w:tcPr>
          <w:p w14:paraId="48542755" w14:textId="77777777" w:rsidR="00930D96" w:rsidRPr="008C4A39" w:rsidRDefault="00930D96" w:rsidP="001136D3">
            <w:pPr>
              <w:spacing w:after="0"/>
              <w:rPr>
                <w:rFonts w:eastAsia="Calibri"/>
                <w:szCs w:val="24"/>
                <w:lang w:val="en-GB"/>
              </w:rPr>
            </w:pPr>
            <w:r w:rsidRPr="008C4A39">
              <w:rPr>
                <w:rFonts w:eastAsia="Calibri"/>
                <w:szCs w:val="24"/>
                <w:lang w:val="en-GB"/>
              </w:rPr>
              <w:lastRenderedPageBreak/>
              <w:t xml:space="preserve">Bidder’s technical reasons supporting compliance:  </w:t>
            </w:r>
          </w:p>
        </w:tc>
      </w:tr>
      <w:tr w:rsidR="00930D96" w:rsidRPr="008C4A39" w14:paraId="580FBA7D" w14:textId="77777777" w:rsidTr="00883B07">
        <w:trPr>
          <w:trHeight w:val="440"/>
          <w:tblHeader/>
        </w:trPr>
        <w:tc>
          <w:tcPr>
            <w:tcW w:w="9355" w:type="dxa"/>
            <w:gridSpan w:val="2"/>
            <w:shd w:val="clear" w:color="auto" w:fill="auto"/>
            <w:vAlign w:val="center"/>
          </w:tcPr>
          <w:p w14:paraId="420BC19F"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549B2529" w14:textId="77777777" w:rsidTr="001136D3">
        <w:trPr>
          <w:trHeight w:val="400"/>
          <w:tblHeader/>
        </w:trPr>
        <w:tc>
          <w:tcPr>
            <w:tcW w:w="2245" w:type="dxa"/>
            <w:shd w:val="clear" w:color="auto" w:fill="auto"/>
            <w:vAlign w:val="center"/>
          </w:tcPr>
          <w:p w14:paraId="6E72436B" w14:textId="77777777" w:rsidR="00930D96" w:rsidRPr="008C4A39" w:rsidRDefault="00930D96" w:rsidP="001136D3">
            <w:pPr>
              <w:spacing w:after="0"/>
              <w:rPr>
                <w:rFonts w:eastAsia="Calibri"/>
                <w:szCs w:val="24"/>
                <w:lang w:val="en-GB"/>
              </w:rPr>
            </w:pPr>
            <w:r w:rsidRPr="008C4A39">
              <w:rPr>
                <w:rFonts w:eastAsia="Calibri"/>
                <w:szCs w:val="24"/>
                <w:lang w:val="en-GB"/>
              </w:rPr>
              <w:t>FR289</w:t>
            </w:r>
          </w:p>
        </w:tc>
        <w:tc>
          <w:tcPr>
            <w:tcW w:w="7110" w:type="dxa"/>
            <w:shd w:val="clear" w:color="auto" w:fill="auto"/>
          </w:tcPr>
          <w:p w14:paraId="3091634C" w14:textId="77777777" w:rsidR="00930D96" w:rsidRPr="008C4A39" w:rsidRDefault="00930D96" w:rsidP="001136D3">
            <w:pPr>
              <w:spacing w:after="0"/>
              <w:rPr>
                <w:rFonts w:eastAsia="Calibri"/>
                <w:szCs w:val="24"/>
                <w:lang w:val="en-GB"/>
              </w:rPr>
            </w:pPr>
            <w:r w:rsidRPr="008C4A39">
              <w:rPr>
                <w:rFonts w:eastAsia="Calibri"/>
                <w:szCs w:val="24"/>
                <w:lang w:val="en-GB"/>
              </w:rPr>
              <w:t>The RMC must allow entering the frequency and time periods under which specific control treatments and options should be executed</w:t>
            </w:r>
          </w:p>
        </w:tc>
      </w:tr>
      <w:tr w:rsidR="00930D96" w:rsidRPr="008C4A39" w14:paraId="5A1A4078" w14:textId="77777777" w:rsidTr="00883B07">
        <w:trPr>
          <w:trHeight w:val="400"/>
          <w:tblHeader/>
        </w:trPr>
        <w:tc>
          <w:tcPr>
            <w:tcW w:w="9355" w:type="dxa"/>
            <w:gridSpan w:val="2"/>
            <w:shd w:val="clear" w:color="auto" w:fill="auto"/>
            <w:vAlign w:val="center"/>
          </w:tcPr>
          <w:p w14:paraId="5EED8BD5"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6CD8C64F" w14:textId="77777777" w:rsidTr="00883B07">
        <w:trPr>
          <w:trHeight w:val="400"/>
          <w:tblHeader/>
        </w:trPr>
        <w:tc>
          <w:tcPr>
            <w:tcW w:w="9355" w:type="dxa"/>
            <w:gridSpan w:val="2"/>
            <w:shd w:val="clear" w:color="auto" w:fill="auto"/>
            <w:vAlign w:val="center"/>
          </w:tcPr>
          <w:p w14:paraId="3C28307C"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03E2EB46" w14:textId="77777777" w:rsidTr="001136D3">
        <w:trPr>
          <w:trHeight w:val="670"/>
          <w:tblHeader/>
        </w:trPr>
        <w:tc>
          <w:tcPr>
            <w:tcW w:w="2245" w:type="dxa"/>
            <w:shd w:val="clear" w:color="auto" w:fill="auto"/>
            <w:vAlign w:val="center"/>
          </w:tcPr>
          <w:p w14:paraId="533CA68E" w14:textId="77777777" w:rsidR="00930D96" w:rsidRPr="008C4A39" w:rsidRDefault="00930D96" w:rsidP="001136D3">
            <w:pPr>
              <w:spacing w:after="0"/>
              <w:rPr>
                <w:rFonts w:eastAsia="Calibri"/>
                <w:szCs w:val="24"/>
                <w:lang w:val="en-GB"/>
              </w:rPr>
            </w:pPr>
            <w:r w:rsidRPr="008C4A39">
              <w:rPr>
                <w:rFonts w:eastAsia="Calibri"/>
                <w:szCs w:val="24"/>
                <w:lang w:val="en-GB"/>
              </w:rPr>
              <w:t>FR290</w:t>
            </w:r>
          </w:p>
        </w:tc>
        <w:tc>
          <w:tcPr>
            <w:tcW w:w="7110" w:type="dxa"/>
            <w:shd w:val="clear" w:color="auto" w:fill="auto"/>
          </w:tcPr>
          <w:p w14:paraId="58CE781E" w14:textId="66A9AA74" w:rsidR="00930D96" w:rsidRPr="008C4A39" w:rsidRDefault="00930D96" w:rsidP="001136D3">
            <w:pPr>
              <w:spacing w:after="0"/>
              <w:rPr>
                <w:rFonts w:eastAsia="Calibri"/>
                <w:szCs w:val="24"/>
                <w:lang w:val="en-GB"/>
              </w:rPr>
            </w:pPr>
            <w:r w:rsidRPr="008C4A39">
              <w:rPr>
                <w:rFonts w:eastAsia="Calibri"/>
                <w:szCs w:val="24"/>
                <w:lang w:val="en-GB"/>
              </w:rPr>
              <w:t>The RMC must allow the Risk Rules to be designed based on variously approaches: ‘Rules based Approa</w:t>
            </w:r>
            <w:r w:rsidR="002D2765">
              <w:rPr>
                <w:rFonts w:eastAsia="Calibri"/>
                <w:szCs w:val="24"/>
                <w:lang w:val="en-GB"/>
              </w:rPr>
              <w:t>ch’, ‘Statistical Approach’, ‘</w:t>
            </w:r>
            <w:proofErr w:type="spellStart"/>
            <w:r w:rsidR="002D2765">
              <w:rPr>
                <w:rFonts w:eastAsia="Calibri"/>
                <w:szCs w:val="24"/>
                <w:lang w:val="en-GB"/>
              </w:rPr>
              <w:t>N</w:t>
            </w:r>
            <w:r w:rsidR="002D2765" w:rsidRPr="00CD2F52">
              <w:rPr>
                <w:rFonts w:eastAsia="Calibri"/>
                <w:szCs w:val="24"/>
                <w:lang w:val="en-GB"/>
              </w:rPr>
              <w:t>u</w:t>
            </w:r>
            <w:r w:rsidRPr="008C4A39">
              <w:rPr>
                <w:rFonts w:eastAsia="Calibri"/>
                <w:szCs w:val="24"/>
                <w:lang w:val="en-GB"/>
              </w:rPr>
              <w:t>l</w:t>
            </w:r>
            <w:proofErr w:type="spellEnd"/>
            <w:r w:rsidRPr="008C4A39">
              <w:rPr>
                <w:rFonts w:eastAsia="Calibri"/>
                <w:szCs w:val="24"/>
                <w:lang w:val="en-GB"/>
              </w:rPr>
              <w:t xml:space="preserve"> Factors’ and ‘Random Approach’.</w:t>
            </w:r>
          </w:p>
        </w:tc>
      </w:tr>
      <w:tr w:rsidR="00930D96" w:rsidRPr="008C4A39" w14:paraId="4AADE840" w14:textId="77777777" w:rsidTr="00883B07">
        <w:trPr>
          <w:trHeight w:val="539"/>
          <w:tblHeader/>
        </w:trPr>
        <w:tc>
          <w:tcPr>
            <w:tcW w:w="9355" w:type="dxa"/>
            <w:gridSpan w:val="2"/>
            <w:shd w:val="clear" w:color="auto" w:fill="auto"/>
            <w:vAlign w:val="center"/>
          </w:tcPr>
          <w:p w14:paraId="33687DC6"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65B97A0F" w14:textId="77777777" w:rsidTr="00883B07">
        <w:trPr>
          <w:trHeight w:val="440"/>
          <w:tblHeader/>
        </w:trPr>
        <w:tc>
          <w:tcPr>
            <w:tcW w:w="9355" w:type="dxa"/>
            <w:gridSpan w:val="2"/>
            <w:shd w:val="clear" w:color="auto" w:fill="auto"/>
            <w:vAlign w:val="center"/>
          </w:tcPr>
          <w:p w14:paraId="0CB3B87E"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6FDFF085" w14:textId="77777777" w:rsidTr="001136D3">
        <w:trPr>
          <w:trHeight w:val="400"/>
          <w:tblHeader/>
        </w:trPr>
        <w:tc>
          <w:tcPr>
            <w:tcW w:w="2245" w:type="dxa"/>
            <w:shd w:val="clear" w:color="auto" w:fill="auto"/>
            <w:vAlign w:val="center"/>
          </w:tcPr>
          <w:p w14:paraId="178C8BCF" w14:textId="77777777" w:rsidR="00930D96" w:rsidRPr="008C4A39" w:rsidRDefault="00930D96" w:rsidP="001136D3">
            <w:pPr>
              <w:spacing w:after="0"/>
              <w:rPr>
                <w:rFonts w:eastAsia="Calibri"/>
                <w:szCs w:val="24"/>
                <w:lang w:val="en-GB"/>
              </w:rPr>
            </w:pPr>
            <w:r w:rsidRPr="008C4A39">
              <w:rPr>
                <w:rFonts w:eastAsia="Calibri"/>
                <w:szCs w:val="24"/>
                <w:lang w:val="en-GB"/>
              </w:rPr>
              <w:t>FR291</w:t>
            </w:r>
          </w:p>
        </w:tc>
        <w:tc>
          <w:tcPr>
            <w:tcW w:w="7110" w:type="dxa"/>
            <w:shd w:val="clear" w:color="auto" w:fill="auto"/>
          </w:tcPr>
          <w:p w14:paraId="05DC4F6E"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The risk rules engine will set control action </w:t>
            </w:r>
            <w:proofErr w:type="gramStart"/>
            <w:r w:rsidRPr="008C4A39">
              <w:rPr>
                <w:rFonts w:eastAsia="Calibri"/>
                <w:szCs w:val="24"/>
                <w:lang w:val="en-GB"/>
              </w:rPr>
              <w:t>required, when</w:t>
            </w:r>
            <w:proofErr w:type="gramEnd"/>
            <w:r w:rsidRPr="008C4A39">
              <w:rPr>
                <w:rFonts w:eastAsia="Calibri"/>
                <w:szCs w:val="24"/>
                <w:lang w:val="en-GB"/>
              </w:rPr>
              <w:t xml:space="preserve"> specific defined criteria are met.</w:t>
            </w:r>
          </w:p>
        </w:tc>
      </w:tr>
      <w:tr w:rsidR="00930D96" w:rsidRPr="008C4A39" w14:paraId="140FCA69" w14:textId="77777777" w:rsidTr="00883B07">
        <w:trPr>
          <w:trHeight w:val="400"/>
          <w:tblHeader/>
        </w:trPr>
        <w:tc>
          <w:tcPr>
            <w:tcW w:w="9355" w:type="dxa"/>
            <w:gridSpan w:val="2"/>
            <w:shd w:val="clear" w:color="auto" w:fill="auto"/>
            <w:vAlign w:val="center"/>
          </w:tcPr>
          <w:p w14:paraId="7D1B1C0B"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4AE51928" w14:textId="77777777" w:rsidTr="00883B07">
        <w:trPr>
          <w:trHeight w:val="400"/>
          <w:tblHeader/>
        </w:trPr>
        <w:tc>
          <w:tcPr>
            <w:tcW w:w="9355" w:type="dxa"/>
            <w:gridSpan w:val="2"/>
            <w:shd w:val="clear" w:color="auto" w:fill="auto"/>
            <w:vAlign w:val="center"/>
          </w:tcPr>
          <w:p w14:paraId="3CD4CDB9"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7D1EAB51" w14:textId="77777777" w:rsidTr="001136D3">
        <w:trPr>
          <w:trHeight w:val="390"/>
          <w:tblHeader/>
        </w:trPr>
        <w:tc>
          <w:tcPr>
            <w:tcW w:w="2245" w:type="dxa"/>
            <w:shd w:val="clear" w:color="auto" w:fill="auto"/>
            <w:vAlign w:val="center"/>
          </w:tcPr>
          <w:p w14:paraId="52030366" w14:textId="77777777" w:rsidR="00930D96" w:rsidRPr="008C4A39" w:rsidRDefault="00930D96" w:rsidP="001136D3">
            <w:pPr>
              <w:spacing w:after="0"/>
              <w:rPr>
                <w:rFonts w:eastAsia="Calibri"/>
                <w:szCs w:val="24"/>
                <w:lang w:val="en-GB"/>
              </w:rPr>
            </w:pPr>
            <w:r w:rsidRPr="008C4A39">
              <w:rPr>
                <w:rFonts w:eastAsia="Calibri"/>
                <w:szCs w:val="24"/>
                <w:lang w:val="en-GB"/>
              </w:rPr>
              <w:t>FR293</w:t>
            </w:r>
          </w:p>
        </w:tc>
        <w:tc>
          <w:tcPr>
            <w:tcW w:w="7110" w:type="dxa"/>
            <w:shd w:val="clear" w:color="auto" w:fill="auto"/>
          </w:tcPr>
          <w:p w14:paraId="58A64129" w14:textId="77777777" w:rsidR="00930D96" w:rsidRPr="008C4A39" w:rsidRDefault="00930D96" w:rsidP="001136D3">
            <w:pPr>
              <w:spacing w:after="0"/>
              <w:rPr>
                <w:rFonts w:eastAsia="Calibri"/>
                <w:szCs w:val="24"/>
                <w:lang w:val="en-GB"/>
              </w:rPr>
            </w:pPr>
            <w:r w:rsidRPr="008C4A39">
              <w:rPr>
                <w:rFonts w:eastAsia="Calibri"/>
                <w:szCs w:val="24"/>
                <w:lang w:val="en-GB"/>
              </w:rPr>
              <w:t>Random selections must be automatically adjusted to match resource levels.</w:t>
            </w:r>
          </w:p>
        </w:tc>
      </w:tr>
      <w:tr w:rsidR="00930D96" w:rsidRPr="008C4A39" w14:paraId="2250A8E5" w14:textId="77777777" w:rsidTr="00883B07">
        <w:trPr>
          <w:trHeight w:val="390"/>
          <w:tblHeader/>
        </w:trPr>
        <w:tc>
          <w:tcPr>
            <w:tcW w:w="9355" w:type="dxa"/>
            <w:gridSpan w:val="2"/>
            <w:shd w:val="clear" w:color="auto" w:fill="auto"/>
            <w:vAlign w:val="center"/>
          </w:tcPr>
          <w:p w14:paraId="1C9F3212"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4BB5E7B7" w14:textId="77777777" w:rsidTr="00883B07">
        <w:trPr>
          <w:trHeight w:val="390"/>
          <w:tblHeader/>
        </w:trPr>
        <w:tc>
          <w:tcPr>
            <w:tcW w:w="9355" w:type="dxa"/>
            <w:gridSpan w:val="2"/>
            <w:shd w:val="clear" w:color="auto" w:fill="auto"/>
            <w:vAlign w:val="center"/>
          </w:tcPr>
          <w:p w14:paraId="0B6C1031"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170AFDA6" w14:textId="77777777" w:rsidTr="001136D3">
        <w:trPr>
          <w:trHeight w:val="400"/>
          <w:tblHeader/>
        </w:trPr>
        <w:tc>
          <w:tcPr>
            <w:tcW w:w="2245" w:type="dxa"/>
            <w:shd w:val="clear" w:color="auto" w:fill="auto"/>
            <w:vAlign w:val="center"/>
          </w:tcPr>
          <w:p w14:paraId="1C872F00" w14:textId="77777777" w:rsidR="00930D96" w:rsidRPr="008C4A39" w:rsidRDefault="00930D96" w:rsidP="001136D3">
            <w:pPr>
              <w:spacing w:after="0"/>
              <w:rPr>
                <w:rFonts w:eastAsia="Calibri"/>
                <w:szCs w:val="24"/>
                <w:lang w:val="en-GB"/>
              </w:rPr>
            </w:pPr>
            <w:r w:rsidRPr="008C4A39">
              <w:rPr>
                <w:rFonts w:eastAsia="Calibri"/>
                <w:szCs w:val="24"/>
                <w:lang w:val="en-GB"/>
              </w:rPr>
              <w:t>FR294</w:t>
            </w:r>
          </w:p>
        </w:tc>
        <w:tc>
          <w:tcPr>
            <w:tcW w:w="7110" w:type="dxa"/>
            <w:shd w:val="clear" w:color="auto" w:fill="auto"/>
          </w:tcPr>
          <w:p w14:paraId="0922CC79" w14:textId="77777777" w:rsidR="00930D96" w:rsidRPr="008C4A39" w:rsidRDefault="00930D96" w:rsidP="001136D3">
            <w:pPr>
              <w:spacing w:after="0"/>
              <w:rPr>
                <w:rFonts w:eastAsia="Calibri"/>
                <w:szCs w:val="24"/>
                <w:lang w:val="en-GB"/>
              </w:rPr>
            </w:pPr>
            <w:r w:rsidRPr="008C4A39">
              <w:rPr>
                <w:rFonts w:eastAsia="Calibri"/>
                <w:szCs w:val="24"/>
                <w:lang w:val="en-GB"/>
              </w:rPr>
              <w:t>The RMC must allow entering the frequency and time periods under which specific control treatments and options should be executed.</w:t>
            </w:r>
          </w:p>
        </w:tc>
      </w:tr>
      <w:tr w:rsidR="00930D96" w:rsidRPr="008C4A39" w14:paraId="05517C35" w14:textId="77777777" w:rsidTr="00883B07">
        <w:trPr>
          <w:trHeight w:val="400"/>
          <w:tblHeader/>
        </w:trPr>
        <w:tc>
          <w:tcPr>
            <w:tcW w:w="9355" w:type="dxa"/>
            <w:gridSpan w:val="2"/>
            <w:shd w:val="clear" w:color="auto" w:fill="auto"/>
            <w:vAlign w:val="center"/>
          </w:tcPr>
          <w:p w14:paraId="1BB18BEB"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5D303477" w14:textId="77777777" w:rsidTr="00883B07">
        <w:trPr>
          <w:trHeight w:val="400"/>
          <w:tblHeader/>
        </w:trPr>
        <w:tc>
          <w:tcPr>
            <w:tcW w:w="9355" w:type="dxa"/>
            <w:gridSpan w:val="2"/>
            <w:shd w:val="clear" w:color="auto" w:fill="auto"/>
            <w:vAlign w:val="center"/>
          </w:tcPr>
          <w:p w14:paraId="2216BBD2"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67D256FA" w14:textId="77777777" w:rsidTr="001136D3">
        <w:trPr>
          <w:trHeight w:val="670"/>
          <w:tblHeader/>
        </w:trPr>
        <w:tc>
          <w:tcPr>
            <w:tcW w:w="2245" w:type="dxa"/>
            <w:shd w:val="clear" w:color="auto" w:fill="auto"/>
            <w:vAlign w:val="center"/>
          </w:tcPr>
          <w:p w14:paraId="1D599685" w14:textId="77777777" w:rsidR="00930D96" w:rsidRPr="008C4A39" w:rsidRDefault="00930D96" w:rsidP="001136D3">
            <w:pPr>
              <w:spacing w:after="0"/>
              <w:rPr>
                <w:rFonts w:eastAsia="Calibri"/>
                <w:szCs w:val="24"/>
                <w:lang w:val="en-GB"/>
              </w:rPr>
            </w:pPr>
            <w:r w:rsidRPr="008C4A39">
              <w:rPr>
                <w:rFonts w:eastAsia="Calibri"/>
                <w:szCs w:val="24"/>
                <w:lang w:val="en-GB"/>
              </w:rPr>
              <w:t>FR296</w:t>
            </w:r>
          </w:p>
        </w:tc>
        <w:tc>
          <w:tcPr>
            <w:tcW w:w="7110" w:type="dxa"/>
            <w:shd w:val="clear" w:color="auto" w:fill="auto"/>
          </w:tcPr>
          <w:p w14:paraId="10F02544" w14:textId="77777777" w:rsidR="00930D96" w:rsidRPr="008C4A39" w:rsidRDefault="00930D96" w:rsidP="001136D3">
            <w:pPr>
              <w:spacing w:after="0"/>
              <w:rPr>
                <w:rFonts w:eastAsia="Calibri"/>
                <w:szCs w:val="24"/>
                <w:lang w:val="en-GB"/>
              </w:rPr>
            </w:pPr>
            <w:r w:rsidRPr="008C4A39">
              <w:rPr>
                <w:rFonts w:eastAsia="Calibri"/>
                <w:szCs w:val="24"/>
                <w:lang w:val="en-GB"/>
              </w:rPr>
              <w:t>The RMC must provide a random LPCO selection facility that will direct those LPCO's that would normally pass for no intervention to both documentary and physical examination channels.</w:t>
            </w:r>
          </w:p>
        </w:tc>
      </w:tr>
      <w:tr w:rsidR="00930D96" w:rsidRPr="008C4A39" w14:paraId="6CC8515D" w14:textId="77777777" w:rsidTr="00883B07">
        <w:trPr>
          <w:trHeight w:val="377"/>
          <w:tblHeader/>
        </w:trPr>
        <w:tc>
          <w:tcPr>
            <w:tcW w:w="9355" w:type="dxa"/>
            <w:gridSpan w:val="2"/>
            <w:shd w:val="clear" w:color="auto" w:fill="auto"/>
            <w:vAlign w:val="center"/>
          </w:tcPr>
          <w:p w14:paraId="0B5F9448"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2F258C1C" w14:textId="77777777" w:rsidTr="00883B07">
        <w:trPr>
          <w:trHeight w:val="332"/>
          <w:tblHeader/>
        </w:trPr>
        <w:tc>
          <w:tcPr>
            <w:tcW w:w="9355" w:type="dxa"/>
            <w:gridSpan w:val="2"/>
            <w:shd w:val="clear" w:color="auto" w:fill="auto"/>
            <w:vAlign w:val="center"/>
          </w:tcPr>
          <w:p w14:paraId="5BE65A5D"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44F29255" w14:textId="77777777" w:rsidTr="001136D3">
        <w:trPr>
          <w:trHeight w:val="400"/>
          <w:tblHeader/>
        </w:trPr>
        <w:tc>
          <w:tcPr>
            <w:tcW w:w="2245" w:type="dxa"/>
            <w:shd w:val="clear" w:color="auto" w:fill="auto"/>
            <w:vAlign w:val="center"/>
          </w:tcPr>
          <w:p w14:paraId="4E7CDE58" w14:textId="77777777" w:rsidR="00930D96" w:rsidRPr="008C4A39" w:rsidRDefault="00930D96" w:rsidP="001136D3">
            <w:pPr>
              <w:spacing w:after="0"/>
              <w:rPr>
                <w:rFonts w:eastAsia="Calibri"/>
                <w:szCs w:val="24"/>
                <w:lang w:val="en-GB"/>
              </w:rPr>
            </w:pPr>
            <w:r w:rsidRPr="008C4A39">
              <w:rPr>
                <w:rFonts w:eastAsia="Calibri"/>
                <w:szCs w:val="24"/>
                <w:lang w:val="en-GB"/>
              </w:rPr>
              <w:t>FR298</w:t>
            </w:r>
          </w:p>
        </w:tc>
        <w:tc>
          <w:tcPr>
            <w:tcW w:w="7110" w:type="dxa"/>
            <w:shd w:val="clear" w:color="auto" w:fill="auto"/>
          </w:tcPr>
          <w:p w14:paraId="276ABD72" w14:textId="77777777" w:rsidR="00930D96" w:rsidRPr="008C4A39" w:rsidRDefault="00930D96" w:rsidP="001136D3">
            <w:pPr>
              <w:spacing w:after="0"/>
              <w:rPr>
                <w:rFonts w:eastAsia="Calibri"/>
                <w:szCs w:val="24"/>
                <w:lang w:val="en-GB"/>
              </w:rPr>
            </w:pPr>
            <w:r w:rsidRPr="008C4A39">
              <w:rPr>
                <w:rFonts w:eastAsia="Calibri"/>
                <w:szCs w:val="24"/>
                <w:lang w:val="en-GB"/>
              </w:rPr>
              <w:t>RMC must provide reports for each CBRAs in according with certain criteria and requirements.</w:t>
            </w:r>
          </w:p>
        </w:tc>
      </w:tr>
      <w:tr w:rsidR="00930D96" w:rsidRPr="008C4A39" w14:paraId="3AE33CDA" w14:textId="77777777" w:rsidTr="001136D3">
        <w:trPr>
          <w:trHeight w:val="670"/>
          <w:tblHeader/>
        </w:trPr>
        <w:tc>
          <w:tcPr>
            <w:tcW w:w="2245" w:type="dxa"/>
            <w:shd w:val="clear" w:color="auto" w:fill="auto"/>
            <w:vAlign w:val="center"/>
          </w:tcPr>
          <w:p w14:paraId="28E4B181" w14:textId="77777777" w:rsidR="00930D96" w:rsidRPr="008C4A39" w:rsidRDefault="00930D96" w:rsidP="001136D3">
            <w:pPr>
              <w:spacing w:after="0"/>
              <w:rPr>
                <w:rFonts w:eastAsia="Calibri"/>
                <w:szCs w:val="24"/>
                <w:lang w:val="en-GB"/>
              </w:rPr>
            </w:pPr>
            <w:r w:rsidRPr="008C4A39">
              <w:rPr>
                <w:rFonts w:eastAsia="Calibri"/>
                <w:szCs w:val="24"/>
                <w:lang w:val="en-GB"/>
              </w:rPr>
              <w:t>FR300</w:t>
            </w:r>
          </w:p>
        </w:tc>
        <w:tc>
          <w:tcPr>
            <w:tcW w:w="7110" w:type="dxa"/>
            <w:shd w:val="clear" w:color="auto" w:fill="auto"/>
          </w:tcPr>
          <w:p w14:paraId="687A678B" w14:textId="77777777" w:rsidR="00930D96" w:rsidRPr="008C4A39" w:rsidRDefault="00930D96" w:rsidP="001136D3">
            <w:pPr>
              <w:spacing w:after="0"/>
              <w:rPr>
                <w:rFonts w:eastAsia="Calibri"/>
                <w:szCs w:val="24"/>
                <w:lang w:val="en-GB"/>
              </w:rPr>
            </w:pPr>
            <w:r w:rsidRPr="008C4A39">
              <w:rPr>
                <w:rFonts w:eastAsia="Calibri"/>
                <w:szCs w:val="24"/>
                <w:lang w:val="en-GB"/>
              </w:rPr>
              <w:t>The RMC must make available the intervention data e.g., findings such as misclassification, etc., to the Risk analysis and Profiling, Intelligence and Post Audit offices and any other interested parties through the Data Warehouse.</w:t>
            </w:r>
          </w:p>
        </w:tc>
      </w:tr>
      <w:tr w:rsidR="00930D96" w:rsidRPr="008C4A39" w14:paraId="7F61FF91" w14:textId="77777777" w:rsidTr="00883B07">
        <w:trPr>
          <w:trHeight w:val="440"/>
          <w:tblHeader/>
        </w:trPr>
        <w:tc>
          <w:tcPr>
            <w:tcW w:w="9355" w:type="dxa"/>
            <w:gridSpan w:val="2"/>
            <w:shd w:val="clear" w:color="auto" w:fill="auto"/>
            <w:vAlign w:val="center"/>
          </w:tcPr>
          <w:p w14:paraId="3AA24C9D" w14:textId="77777777" w:rsidR="00930D96" w:rsidRPr="008C4A39" w:rsidRDefault="00930D96" w:rsidP="001136D3">
            <w:pPr>
              <w:spacing w:after="0"/>
              <w:rPr>
                <w:rFonts w:eastAsia="Calibri"/>
                <w:szCs w:val="24"/>
                <w:lang w:val="en-GB"/>
              </w:rPr>
            </w:pPr>
            <w:r w:rsidRPr="008C4A39">
              <w:rPr>
                <w:rFonts w:eastAsia="Calibri"/>
                <w:szCs w:val="24"/>
                <w:lang w:val="en-GB"/>
              </w:rPr>
              <w:lastRenderedPageBreak/>
              <w:t xml:space="preserve">Bidder’s technical reasons supporting compliance:  </w:t>
            </w:r>
          </w:p>
        </w:tc>
      </w:tr>
      <w:tr w:rsidR="00930D96" w:rsidRPr="008C4A39" w14:paraId="3E7C5CF7" w14:textId="77777777" w:rsidTr="00883B07">
        <w:trPr>
          <w:trHeight w:val="440"/>
          <w:tblHeader/>
        </w:trPr>
        <w:tc>
          <w:tcPr>
            <w:tcW w:w="9355" w:type="dxa"/>
            <w:gridSpan w:val="2"/>
            <w:shd w:val="clear" w:color="auto" w:fill="auto"/>
            <w:vAlign w:val="center"/>
          </w:tcPr>
          <w:p w14:paraId="6D966A63"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2448034F" w14:textId="77777777" w:rsidTr="001136D3">
        <w:trPr>
          <w:trHeight w:val="670"/>
          <w:tblHeader/>
        </w:trPr>
        <w:tc>
          <w:tcPr>
            <w:tcW w:w="2245" w:type="dxa"/>
            <w:shd w:val="clear" w:color="auto" w:fill="auto"/>
            <w:vAlign w:val="center"/>
          </w:tcPr>
          <w:p w14:paraId="44073317" w14:textId="77777777" w:rsidR="00930D96" w:rsidRPr="008C4A39" w:rsidRDefault="00930D96" w:rsidP="001136D3">
            <w:pPr>
              <w:spacing w:after="0"/>
              <w:rPr>
                <w:rFonts w:eastAsia="Calibri"/>
                <w:szCs w:val="24"/>
                <w:lang w:val="en-GB"/>
              </w:rPr>
            </w:pPr>
            <w:r w:rsidRPr="008C4A39">
              <w:rPr>
                <w:rFonts w:eastAsia="Calibri"/>
                <w:szCs w:val="24"/>
                <w:lang w:val="en-GB"/>
              </w:rPr>
              <w:t>FR301</w:t>
            </w:r>
          </w:p>
        </w:tc>
        <w:tc>
          <w:tcPr>
            <w:tcW w:w="7110" w:type="dxa"/>
            <w:shd w:val="clear" w:color="auto" w:fill="auto"/>
          </w:tcPr>
          <w:p w14:paraId="633FDE82"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The RMC must provide a secure communication platform to support information sharing and data exchange between risk analysts, profilers, </w:t>
            </w:r>
            <w:proofErr w:type="gramStart"/>
            <w:r w:rsidRPr="008C4A39">
              <w:rPr>
                <w:rFonts w:eastAsia="Calibri"/>
                <w:szCs w:val="24"/>
                <w:lang w:val="en-GB"/>
              </w:rPr>
              <w:t>inspectors</w:t>
            </w:r>
            <w:proofErr w:type="gramEnd"/>
            <w:r w:rsidRPr="008C4A39">
              <w:rPr>
                <w:rFonts w:eastAsia="Calibri"/>
                <w:szCs w:val="24"/>
                <w:lang w:val="en-GB"/>
              </w:rPr>
              <w:t xml:space="preserve"> and managers within the CBRAs.</w:t>
            </w:r>
          </w:p>
        </w:tc>
      </w:tr>
      <w:tr w:rsidR="00930D96" w:rsidRPr="008C4A39" w14:paraId="7FA4BA31" w14:textId="77777777" w:rsidTr="00883B07">
        <w:trPr>
          <w:trHeight w:val="386"/>
          <w:tblHeader/>
        </w:trPr>
        <w:tc>
          <w:tcPr>
            <w:tcW w:w="9355" w:type="dxa"/>
            <w:gridSpan w:val="2"/>
            <w:shd w:val="clear" w:color="auto" w:fill="auto"/>
            <w:vAlign w:val="center"/>
          </w:tcPr>
          <w:p w14:paraId="79B3BE9E"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10DB891D" w14:textId="77777777" w:rsidTr="00883B07">
        <w:trPr>
          <w:trHeight w:val="260"/>
          <w:tblHeader/>
        </w:trPr>
        <w:tc>
          <w:tcPr>
            <w:tcW w:w="9355" w:type="dxa"/>
            <w:gridSpan w:val="2"/>
            <w:shd w:val="clear" w:color="auto" w:fill="auto"/>
            <w:vAlign w:val="center"/>
          </w:tcPr>
          <w:p w14:paraId="6D87E14F"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04C1E3CF" w14:textId="77777777" w:rsidTr="001136D3">
        <w:trPr>
          <w:trHeight w:val="400"/>
          <w:tblHeader/>
        </w:trPr>
        <w:tc>
          <w:tcPr>
            <w:tcW w:w="2245" w:type="dxa"/>
            <w:shd w:val="clear" w:color="auto" w:fill="auto"/>
            <w:vAlign w:val="center"/>
          </w:tcPr>
          <w:p w14:paraId="5127E949" w14:textId="77777777" w:rsidR="00930D96" w:rsidRPr="008C4A39" w:rsidRDefault="00930D96" w:rsidP="001136D3">
            <w:pPr>
              <w:spacing w:after="0"/>
              <w:rPr>
                <w:rFonts w:eastAsia="Calibri"/>
                <w:szCs w:val="24"/>
                <w:lang w:val="en-GB"/>
              </w:rPr>
            </w:pPr>
            <w:r w:rsidRPr="008C4A39">
              <w:rPr>
                <w:rFonts w:eastAsia="Calibri"/>
                <w:szCs w:val="24"/>
                <w:lang w:val="en-GB"/>
              </w:rPr>
              <w:t>FR302</w:t>
            </w:r>
          </w:p>
        </w:tc>
        <w:tc>
          <w:tcPr>
            <w:tcW w:w="7110" w:type="dxa"/>
            <w:shd w:val="clear" w:color="auto" w:fill="auto"/>
          </w:tcPr>
          <w:p w14:paraId="032D87DD" w14:textId="77777777" w:rsidR="00930D96" w:rsidRPr="008C4A39" w:rsidRDefault="00930D96" w:rsidP="001136D3">
            <w:pPr>
              <w:spacing w:after="0"/>
              <w:rPr>
                <w:rFonts w:eastAsia="Calibri"/>
                <w:szCs w:val="24"/>
                <w:lang w:val="en-GB"/>
              </w:rPr>
            </w:pPr>
            <w:r w:rsidRPr="008C4A39">
              <w:rPr>
                <w:rFonts w:eastAsia="Calibri"/>
                <w:szCs w:val="24"/>
                <w:lang w:val="en-GB"/>
              </w:rPr>
              <w:t>The RMC must provide reports on effectiveness of all risk objectives and treatment methods to support and maintain compliance.</w:t>
            </w:r>
          </w:p>
        </w:tc>
      </w:tr>
      <w:tr w:rsidR="00930D96" w:rsidRPr="008C4A39" w14:paraId="345ED1B2" w14:textId="77777777" w:rsidTr="00883B07">
        <w:trPr>
          <w:trHeight w:val="400"/>
          <w:tblHeader/>
        </w:trPr>
        <w:tc>
          <w:tcPr>
            <w:tcW w:w="9355" w:type="dxa"/>
            <w:gridSpan w:val="2"/>
            <w:shd w:val="clear" w:color="auto" w:fill="auto"/>
            <w:vAlign w:val="center"/>
          </w:tcPr>
          <w:p w14:paraId="1D4D2A5C"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64039EC3" w14:textId="77777777" w:rsidTr="00883B07">
        <w:trPr>
          <w:trHeight w:val="400"/>
          <w:tblHeader/>
        </w:trPr>
        <w:tc>
          <w:tcPr>
            <w:tcW w:w="9355" w:type="dxa"/>
            <w:gridSpan w:val="2"/>
            <w:shd w:val="clear" w:color="auto" w:fill="auto"/>
            <w:vAlign w:val="center"/>
          </w:tcPr>
          <w:p w14:paraId="349F72CB"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47A11413" w14:textId="77777777" w:rsidTr="001136D3">
        <w:trPr>
          <w:trHeight w:val="400"/>
          <w:tblHeader/>
        </w:trPr>
        <w:tc>
          <w:tcPr>
            <w:tcW w:w="2245" w:type="dxa"/>
            <w:shd w:val="clear" w:color="auto" w:fill="auto"/>
            <w:vAlign w:val="center"/>
          </w:tcPr>
          <w:p w14:paraId="79EE8C32" w14:textId="77777777" w:rsidR="00930D96" w:rsidRPr="008C4A39" w:rsidRDefault="00930D96" w:rsidP="001136D3">
            <w:pPr>
              <w:spacing w:after="0"/>
              <w:rPr>
                <w:rFonts w:eastAsia="Calibri"/>
                <w:szCs w:val="24"/>
                <w:lang w:val="en-GB"/>
              </w:rPr>
            </w:pPr>
            <w:r w:rsidRPr="008C4A39">
              <w:rPr>
                <w:rFonts w:eastAsia="Calibri"/>
                <w:szCs w:val="24"/>
                <w:lang w:val="en-GB"/>
              </w:rPr>
              <w:t>FR305</w:t>
            </w:r>
          </w:p>
        </w:tc>
        <w:tc>
          <w:tcPr>
            <w:tcW w:w="7110" w:type="dxa"/>
            <w:shd w:val="clear" w:color="auto" w:fill="auto"/>
          </w:tcPr>
          <w:p w14:paraId="4F854B28" w14:textId="77777777" w:rsidR="00930D96" w:rsidRPr="008C4A39" w:rsidRDefault="00930D96" w:rsidP="001136D3">
            <w:pPr>
              <w:spacing w:after="0"/>
              <w:rPr>
                <w:rFonts w:eastAsia="Calibri"/>
                <w:szCs w:val="24"/>
                <w:lang w:val="en-GB"/>
              </w:rPr>
            </w:pPr>
            <w:r w:rsidRPr="008C4A39">
              <w:rPr>
                <w:rFonts w:eastAsia="Calibri"/>
                <w:szCs w:val="24"/>
                <w:lang w:val="en-GB"/>
              </w:rPr>
              <w:t>A full history of risk assessment results must be maintained in the RMC.</w:t>
            </w:r>
          </w:p>
        </w:tc>
      </w:tr>
      <w:tr w:rsidR="00930D96" w:rsidRPr="008C4A39" w14:paraId="5857D646" w14:textId="77777777" w:rsidTr="00883B07">
        <w:trPr>
          <w:trHeight w:val="400"/>
          <w:tblHeader/>
        </w:trPr>
        <w:tc>
          <w:tcPr>
            <w:tcW w:w="9355" w:type="dxa"/>
            <w:gridSpan w:val="2"/>
            <w:shd w:val="clear" w:color="auto" w:fill="auto"/>
            <w:vAlign w:val="center"/>
          </w:tcPr>
          <w:p w14:paraId="098BEEE1"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4AFA9805" w14:textId="77777777" w:rsidTr="00883B07">
        <w:trPr>
          <w:trHeight w:val="400"/>
          <w:tblHeader/>
        </w:trPr>
        <w:tc>
          <w:tcPr>
            <w:tcW w:w="9355" w:type="dxa"/>
            <w:gridSpan w:val="2"/>
            <w:shd w:val="clear" w:color="auto" w:fill="auto"/>
            <w:vAlign w:val="center"/>
          </w:tcPr>
          <w:p w14:paraId="3CC41F89"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53350138" w14:textId="77777777" w:rsidTr="001136D3">
        <w:trPr>
          <w:trHeight w:val="1471"/>
          <w:tblHeader/>
        </w:trPr>
        <w:tc>
          <w:tcPr>
            <w:tcW w:w="2245" w:type="dxa"/>
            <w:shd w:val="clear" w:color="auto" w:fill="auto"/>
            <w:vAlign w:val="center"/>
          </w:tcPr>
          <w:p w14:paraId="0AA6DC13" w14:textId="77777777" w:rsidR="00930D96" w:rsidRPr="008C4A39" w:rsidRDefault="00930D96" w:rsidP="001136D3">
            <w:pPr>
              <w:spacing w:after="0"/>
              <w:rPr>
                <w:rFonts w:eastAsia="Calibri"/>
                <w:szCs w:val="24"/>
                <w:lang w:val="en-GB"/>
              </w:rPr>
            </w:pPr>
            <w:r w:rsidRPr="008C4A39">
              <w:rPr>
                <w:rFonts w:eastAsia="Calibri"/>
                <w:szCs w:val="24"/>
                <w:lang w:val="en-GB"/>
              </w:rPr>
              <w:t>FR306</w:t>
            </w:r>
          </w:p>
        </w:tc>
        <w:tc>
          <w:tcPr>
            <w:tcW w:w="7110" w:type="dxa"/>
            <w:shd w:val="clear" w:color="auto" w:fill="auto"/>
          </w:tcPr>
          <w:p w14:paraId="3E5579BA" w14:textId="77777777" w:rsidR="00930D96" w:rsidRPr="008C4A39" w:rsidRDefault="00930D96">
            <w:pPr>
              <w:spacing w:after="0"/>
              <w:rPr>
                <w:rFonts w:eastAsia="Calibri"/>
                <w:szCs w:val="24"/>
                <w:lang w:val="en-GB"/>
              </w:rPr>
            </w:pPr>
            <w:r w:rsidRPr="008C4A39">
              <w:rPr>
                <w:rFonts w:eastAsia="Calibri"/>
                <w:szCs w:val="24"/>
                <w:lang w:val="en-GB"/>
              </w:rPr>
              <w:t>The RMC must be able to generate different types of reports about the performance of the risk management process, including:</w:t>
            </w:r>
          </w:p>
          <w:p w14:paraId="702BB094" w14:textId="77777777" w:rsidR="00930D96" w:rsidRPr="008C4A39" w:rsidRDefault="00930D96" w:rsidP="00D530D5">
            <w:pPr>
              <w:numPr>
                <w:ilvl w:val="0"/>
                <w:numId w:val="157"/>
              </w:numPr>
              <w:suppressAutoHyphens/>
              <w:spacing w:after="0"/>
              <w:rPr>
                <w:rFonts w:eastAsia="Calibri"/>
                <w:szCs w:val="24"/>
                <w:lang w:val="en-GB"/>
              </w:rPr>
            </w:pPr>
            <w:r w:rsidRPr="008C4A39">
              <w:rPr>
                <w:rFonts w:eastAsia="Calibri"/>
                <w:szCs w:val="24"/>
                <w:lang w:val="en-GB"/>
              </w:rPr>
              <w:t>The measurement of the effectiveness of risk management and mitigation activities/controls taken based on the levels of the risk of transactions; and</w:t>
            </w:r>
          </w:p>
          <w:p w14:paraId="57222011" w14:textId="77777777" w:rsidR="00930D96" w:rsidRPr="008C4A39" w:rsidRDefault="00930D96" w:rsidP="00D530D5">
            <w:pPr>
              <w:numPr>
                <w:ilvl w:val="0"/>
                <w:numId w:val="157"/>
              </w:numPr>
              <w:suppressAutoHyphens/>
              <w:spacing w:after="0"/>
              <w:rPr>
                <w:rFonts w:eastAsia="Calibri"/>
                <w:szCs w:val="24"/>
                <w:lang w:val="en-GB"/>
              </w:rPr>
            </w:pPr>
            <w:r w:rsidRPr="008C4A39">
              <w:rPr>
                <w:rFonts w:eastAsia="Calibri"/>
                <w:szCs w:val="24"/>
                <w:lang w:val="en-GB"/>
              </w:rPr>
              <w:t>Measurement of the compliance of traders, declarant, origins, etc.</w:t>
            </w:r>
          </w:p>
        </w:tc>
      </w:tr>
      <w:tr w:rsidR="00930D96" w:rsidRPr="008C4A39" w14:paraId="4F48C103" w14:textId="77777777" w:rsidTr="00883B07">
        <w:trPr>
          <w:trHeight w:val="494"/>
          <w:tblHeader/>
        </w:trPr>
        <w:tc>
          <w:tcPr>
            <w:tcW w:w="9355" w:type="dxa"/>
            <w:gridSpan w:val="2"/>
            <w:shd w:val="clear" w:color="auto" w:fill="auto"/>
            <w:vAlign w:val="center"/>
          </w:tcPr>
          <w:p w14:paraId="337CA167"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5E53FC59" w14:textId="77777777" w:rsidTr="00883B07">
        <w:trPr>
          <w:trHeight w:val="620"/>
          <w:tblHeader/>
        </w:trPr>
        <w:tc>
          <w:tcPr>
            <w:tcW w:w="9355" w:type="dxa"/>
            <w:gridSpan w:val="2"/>
            <w:shd w:val="clear" w:color="auto" w:fill="auto"/>
            <w:vAlign w:val="center"/>
          </w:tcPr>
          <w:p w14:paraId="35216CB4"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r w:rsidR="00930D96" w:rsidRPr="008C4A39" w14:paraId="22E3B376" w14:textId="77777777" w:rsidTr="001136D3">
        <w:trPr>
          <w:trHeight w:val="1070"/>
          <w:tblHeader/>
        </w:trPr>
        <w:tc>
          <w:tcPr>
            <w:tcW w:w="2245" w:type="dxa"/>
            <w:shd w:val="clear" w:color="auto" w:fill="auto"/>
            <w:vAlign w:val="center"/>
          </w:tcPr>
          <w:p w14:paraId="5704BCB2" w14:textId="77777777" w:rsidR="00930D96" w:rsidRPr="008C4A39" w:rsidRDefault="00930D96" w:rsidP="001136D3">
            <w:pPr>
              <w:spacing w:after="0"/>
              <w:rPr>
                <w:rFonts w:eastAsia="Calibri"/>
                <w:szCs w:val="24"/>
                <w:lang w:val="en-GB"/>
              </w:rPr>
            </w:pPr>
            <w:r w:rsidRPr="008C4A39">
              <w:rPr>
                <w:rFonts w:eastAsia="Calibri"/>
                <w:szCs w:val="24"/>
                <w:lang w:val="en-GB"/>
              </w:rPr>
              <w:t>FR307</w:t>
            </w:r>
          </w:p>
        </w:tc>
        <w:tc>
          <w:tcPr>
            <w:tcW w:w="7110" w:type="dxa"/>
            <w:shd w:val="clear" w:color="auto" w:fill="auto"/>
          </w:tcPr>
          <w:p w14:paraId="6BC7D4C0" w14:textId="77777777" w:rsidR="00930D96" w:rsidRPr="008C4A39" w:rsidRDefault="00930D96">
            <w:pPr>
              <w:spacing w:after="0"/>
              <w:rPr>
                <w:rFonts w:eastAsia="Calibri"/>
                <w:szCs w:val="24"/>
                <w:lang w:val="en-GB"/>
              </w:rPr>
            </w:pPr>
            <w:r w:rsidRPr="008C4A39">
              <w:rPr>
                <w:rFonts w:eastAsia="Calibri"/>
                <w:szCs w:val="24"/>
                <w:lang w:val="en-GB"/>
              </w:rPr>
              <w:t xml:space="preserve">The RMC </w:t>
            </w:r>
            <w:proofErr w:type="gramStart"/>
            <w:r w:rsidRPr="008C4A39">
              <w:rPr>
                <w:rFonts w:eastAsia="Calibri"/>
                <w:szCs w:val="24"/>
                <w:lang w:val="en-GB"/>
              </w:rPr>
              <w:t>should</w:t>
            </w:r>
            <w:proofErr w:type="gramEnd"/>
            <w:r w:rsidRPr="008C4A39">
              <w:rPr>
                <w:rFonts w:eastAsia="Calibri"/>
                <w:szCs w:val="24"/>
                <w:lang w:val="en-GB"/>
              </w:rPr>
              <w:t xml:space="preserve"> able to calculate and enable analysis of:</w:t>
            </w:r>
          </w:p>
          <w:p w14:paraId="6C39ACA7" w14:textId="77777777" w:rsidR="00930D96" w:rsidRPr="008C4A39" w:rsidRDefault="00930D96" w:rsidP="00D530D5">
            <w:pPr>
              <w:numPr>
                <w:ilvl w:val="0"/>
                <w:numId w:val="158"/>
              </w:numPr>
              <w:suppressAutoHyphens/>
              <w:spacing w:after="0"/>
              <w:rPr>
                <w:rFonts w:eastAsia="Calibri"/>
                <w:szCs w:val="24"/>
                <w:lang w:val="en-GB"/>
              </w:rPr>
            </w:pPr>
            <w:r w:rsidRPr="008C4A39">
              <w:rPr>
                <w:rFonts w:eastAsia="Calibri"/>
                <w:szCs w:val="24"/>
                <w:lang w:val="en-GB"/>
              </w:rPr>
              <w:t xml:space="preserve">Risk management effectiveness by risk </w:t>
            </w:r>
            <w:proofErr w:type="gramStart"/>
            <w:r w:rsidRPr="008C4A39">
              <w:rPr>
                <w:rFonts w:eastAsia="Calibri"/>
                <w:szCs w:val="24"/>
                <w:lang w:val="en-GB"/>
              </w:rPr>
              <w:t>rule;</w:t>
            </w:r>
            <w:proofErr w:type="gramEnd"/>
          </w:p>
          <w:p w14:paraId="7BA179E0" w14:textId="77777777" w:rsidR="00930D96" w:rsidRPr="008C4A39" w:rsidRDefault="00930D96" w:rsidP="00D530D5">
            <w:pPr>
              <w:numPr>
                <w:ilvl w:val="0"/>
                <w:numId w:val="158"/>
              </w:numPr>
              <w:suppressAutoHyphens/>
              <w:spacing w:after="0"/>
              <w:rPr>
                <w:rFonts w:eastAsia="Calibri"/>
                <w:szCs w:val="24"/>
                <w:lang w:val="en-GB"/>
              </w:rPr>
            </w:pPr>
            <w:r w:rsidRPr="008C4A39">
              <w:rPr>
                <w:rFonts w:eastAsia="Calibri"/>
                <w:szCs w:val="24"/>
                <w:lang w:val="en-GB"/>
              </w:rPr>
              <w:t xml:space="preserve">Risk profile </w:t>
            </w:r>
            <w:proofErr w:type="gramStart"/>
            <w:r w:rsidRPr="008C4A39">
              <w:rPr>
                <w:rFonts w:eastAsia="Calibri"/>
                <w:szCs w:val="24"/>
                <w:lang w:val="en-GB"/>
              </w:rPr>
              <w:t>effectiveness;</w:t>
            </w:r>
            <w:proofErr w:type="gramEnd"/>
          </w:p>
          <w:p w14:paraId="7CCD8646" w14:textId="77777777" w:rsidR="00930D96" w:rsidRPr="008C4A39" w:rsidRDefault="00930D96" w:rsidP="00D530D5">
            <w:pPr>
              <w:numPr>
                <w:ilvl w:val="0"/>
                <w:numId w:val="158"/>
              </w:numPr>
              <w:suppressAutoHyphens/>
              <w:spacing w:after="0"/>
              <w:rPr>
                <w:rFonts w:eastAsia="Calibri"/>
                <w:szCs w:val="24"/>
                <w:lang w:val="en-GB"/>
              </w:rPr>
            </w:pPr>
            <w:r w:rsidRPr="008C4A39">
              <w:rPr>
                <w:rFonts w:eastAsia="Calibri"/>
                <w:szCs w:val="24"/>
                <w:lang w:val="en-GB"/>
              </w:rPr>
              <w:t>Risk profile detection simultaneously with other risk profiles; and</w:t>
            </w:r>
          </w:p>
          <w:p w14:paraId="73A52E07" w14:textId="77777777" w:rsidR="00930D96" w:rsidRPr="008C4A39" w:rsidRDefault="00930D96" w:rsidP="00D530D5">
            <w:pPr>
              <w:numPr>
                <w:ilvl w:val="0"/>
                <w:numId w:val="158"/>
              </w:numPr>
              <w:suppressAutoHyphens/>
              <w:spacing w:after="0"/>
              <w:rPr>
                <w:rFonts w:eastAsia="Calibri"/>
                <w:szCs w:val="24"/>
                <w:lang w:val="en-GB"/>
              </w:rPr>
            </w:pPr>
            <w:r w:rsidRPr="008C4A39">
              <w:rPr>
                <w:rFonts w:eastAsia="Calibri"/>
                <w:szCs w:val="24"/>
                <w:lang w:val="en-GB"/>
              </w:rPr>
              <w:t xml:space="preserve">Measure compliance history by individual trader and by different parameters such as commodities, origin, declarant, and any other parameters. </w:t>
            </w:r>
          </w:p>
        </w:tc>
      </w:tr>
      <w:tr w:rsidR="00930D96" w:rsidRPr="008C4A39" w14:paraId="08D6F605" w14:textId="77777777" w:rsidTr="00883B07">
        <w:trPr>
          <w:trHeight w:val="341"/>
          <w:tblHeader/>
        </w:trPr>
        <w:tc>
          <w:tcPr>
            <w:tcW w:w="9355" w:type="dxa"/>
            <w:gridSpan w:val="2"/>
            <w:shd w:val="clear" w:color="auto" w:fill="auto"/>
            <w:vAlign w:val="center"/>
          </w:tcPr>
          <w:p w14:paraId="14688585" w14:textId="77777777" w:rsidR="00930D96" w:rsidRPr="008C4A39" w:rsidRDefault="00930D96" w:rsidP="001136D3">
            <w:pPr>
              <w:spacing w:after="0"/>
              <w:rPr>
                <w:rFonts w:eastAsia="Calibri"/>
                <w:szCs w:val="24"/>
                <w:lang w:val="en-GB"/>
              </w:rPr>
            </w:pPr>
            <w:r w:rsidRPr="008C4A39">
              <w:rPr>
                <w:rFonts w:eastAsia="Calibri"/>
                <w:szCs w:val="24"/>
                <w:lang w:val="en-GB"/>
              </w:rPr>
              <w:t xml:space="preserve">Bidder’s technical reasons supporting compliance:  </w:t>
            </w:r>
          </w:p>
        </w:tc>
      </w:tr>
      <w:tr w:rsidR="00930D96" w:rsidRPr="008C4A39" w14:paraId="1A21D690" w14:textId="77777777" w:rsidTr="00883B07">
        <w:trPr>
          <w:trHeight w:val="386"/>
          <w:tblHeader/>
        </w:trPr>
        <w:tc>
          <w:tcPr>
            <w:tcW w:w="9355" w:type="dxa"/>
            <w:gridSpan w:val="2"/>
            <w:shd w:val="clear" w:color="auto" w:fill="auto"/>
            <w:vAlign w:val="center"/>
          </w:tcPr>
          <w:p w14:paraId="39A8C1DC" w14:textId="77777777" w:rsidR="00930D96" w:rsidRPr="008C4A39" w:rsidRDefault="00930D96" w:rsidP="001136D3">
            <w:pPr>
              <w:spacing w:after="0"/>
              <w:rPr>
                <w:rFonts w:eastAsia="Calibri"/>
                <w:szCs w:val="24"/>
                <w:lang w:val="en-GB"/>
              </w:rPr>
            </w:pPr>
            <w:r w:rsidRPr="008C4A39">
              <w:rPr>
                <w:szCs w:val="24"/>
              </w:rPr>
              <w:t>Bidder’s cross references to supporting information in Technical Bid:</w:t>
            </w:r>
          </w:p>
        </w:tc>
      </w:tr>
    </w:tbl>
    <w:tbl>
      <w:tblPr>
        <w:tblStyle w:val="TableGrid"/>
        <w:tblW w:w="9265" w:type="dxa"/>
        <w:tblLook w:val="04A0" w:firstRow="1" w:lastRow="0" w:firstColumn="1" w:lastColumn="0" w:noHBand="0" w:noVBand="1"/>
      </w:tblPr>
      <w:tblGrid>
        <w:gridCol w:w="2245"/>
        <w:gridCol w:w="450"/>
        <w:gridCol w:w="90"/>
        <w:gridCol w:w="6480"/>
      </w:tblGrid>
      <w:tr w:rsidR="00930D96" w:rsidRPr="008C4A39" w14:paraId="4B8E65A6" w14:textId="77777777" w:rsidTr="001136D3">
        <w:trPr>
          <w:tblHeader/>
        </w:trPr>
        <w:tc>
          <w:tcPr>
            <w:tcW w:w="2245" w:type="dxa"/>
            <w:shd w:val="clear" w:color="auto" w:fill="D9D9D9" w:themeFill="background1" w:themeFillShade="D9"/>
          </w:tcPr>
          <w:p w14:paraId="2FF4A5F9" w14:textId="77777777" w:rsidR="00930D96" w:rsidRPr="008C4A39" w:rsidRDefault="00930D96" w:rsidP="001136D3">
            <w:pPr>
              <w:spacing w:after="0"/>
              <w:rPr>
                <w:b/>
                <w:szCs w:val="24"/>
              </w:rPr>
            </w:pPr>
            <w:r w:rsidRPr="008C4A39">
              <w:rPr>
                <w:b/>
                <w:szCs w:val="24"/>
              </w:rPr>
              <w:t>Tech. Req. Number</w:t>
            </w:r>
          </w:p>
        </w:tc>
        <w:tc>
          <w:tcPr>
            <w:tcW w:w="7020" w:type="dxa"/>
            <w:gridSpan w:val="3"/>
            <w:shd w:val="clear" w:color="auto" w:fill="D9D9D9" w:themeFill="background1" w:themeFillShade="D9"/>
          </w:tcPr>
          <w:p w14:paraId="579007F7"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5E0C4FC5" w14:textId="77777777" w:rsidTr="00883B07">
        <w:tc>
          <w:tcPr>
            <w:tcW w:w="9265" w:type="dxa"/>
            <w:gridSpan w:val="4"/>
          </w:tcPr>
          <w:p w14:paraId="30DE5FC2" w14:textId="77777777" w:rsidR="00930D96" w:rsidRPr="008C4A39" w:rsidRDefault="00930D96">
            <w:pPr>
              <w:spacing w:after="0"/>
              <w:rPr>
                <w:b/>
                <w:iCs/>
                <w:szCs w:val="24"/>
              </w:rPr>
            </w:pPr>
            <w:r w:rsidRPr="008C4A39">
              <w:rPr>
                <w:b/>
                <w:i/>
                <w:szCs w:val="24"/>
              </w:rPr>
              <w:t xml:space="preserve">1.2.13.3. </w:t>
            </w:r>
            <w:r w:rsidRPr="008C4A39">
              <w:rPr>
                <w:b/>
                <w:iCs/>
                <w:szCs w:val="24"/>
              </w:rPr>
              <w:t xml:space="preserve">Risk profile recommendation service </w:t>
            </w:r>
          </w:p>
        </w:tc>
      </w:tr>
      <w:tr w:rsidR="00930D96" w:rsidRPr="008C4A39" w14:paraId="02A5CAD2" w14:textId="77777777" w:rsidTr="001136D3">
        <w:tc>
          <w:tcPr>
            <w:tcW w:w="2245" w:type="dxa"/>
          </w:tcPr>
          <w:p w14:paraId="195D1E8C" w14:textId="23662439" w:rsidR="00930D96" w:rsidRPr="008C4A39" w:rsidRDefault="008130B6" w:rsidP="001136D3">
            <w:pPr>
              <w:spacing w:after="0"/>
              <w:rPr>
                <w:szCs w:val="24"/>
              </w:rPr>
            </w:pPr>
            <w:r>
              <w:rPr>
                <w:rFonts w:eastAsia="Calibri"/>
                <w:szCs w:val="24"/>
                <w:lang w:val="en-GB"/>
              </w:rPr>
              <w:t>FR516</w:t>
            </w:r>
          </w:p>
        </w:tc>
        <w:tc>
          <w:tcPr>
            <w:tcW w:w="7020" w:type="dxa"/>
            <w:gridSpan w:val="3"/>
          </w:tcPr>
          <w:p w14:paraId="24699C81" w14:textId="77777777" w:rsidR="00930D96" w:rsidRPr="008C4A39" w:rsidRDefault="00930D96" w:rsidP="001136D3">
            <w:pPr>
              <w:spacing w:after="0"/>
              <w:rPr>
                <w:szCs w:val="24"/>
              </w:rPr>
            </w:pPr>
            <w:r w:rsidRPr="008C4A39">
              <w:rPr>
                <w:rFonts w:eastAsia="Calibri"/>
                <w:szCs w:val="24"/>
                <w:lang w:val="en-GB"/>
              </w:rPr>
              <w:t>The RMC must be able to apply Machine Learning algorithms for the discovery of the risk patterns from unstructured text.</w:t>
            </w:r>
          </w:p>
        </w:tc>
      </w:tr>
      <w:tr w:rsidR="00930D96" w:rsidRPr="008C4A39" w14:paraId="3A807762"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D62987B"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1B7A65B9"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D70CD21"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147C908A" w14:textId="77777777" w:rsidTr="001136D3">
        <w:tc>
          <w:tcPr>
            <w:tcW w:w="2245" w:type="dxa"/>
          </w:tcPr>
          <w:p w14:paraId="419D3210" w14:textId="7E7298B4" w:rsidR="00930D96" w:rsidRPr="008C4A39" w:rsidRDefault="008130B6" w:rsidP="001136D3">
            <w:pPr>
              <w:spacing w:after="0"/>
              <w:rPr>
                <w:szCs w:val="24"/>
              </w:rPr>
            </w:pPr>
            <w:r>
              <w:rPr>
                <w:rFonts w:eastAsia="Calibri"/>
                <w:szCs w:val="24"/>
                <w:lang w:val="en-GB"/>
              </w:rPr>
              <w:lastRenderedPageBreak/>
              <w:t>FR517</w:t>
            </w:r>
          </w:p>
        </w:tc>
        <w:tc>
          <w:tcPr>
            <w:tcW w:w="7020" w:type="dxa"/>
            <w:gridSpan w:val="3"/>
          </w:tcPr>
          <w:p w14:paraId="46967112" w14:textId="77777777" w:rsidR="00930D96" w:rsidRPr="008C4A39" w:rsidRDefault="00930D96" w:rsidP="001136D3">
            <w:pPr>
              <w:spacing w:after="0"/>
              <w:jc w:val="left"/>
              <w:rPr>
                <w:szCs w:val="24"/>
              </w:rPr>
            </w:pPr>
            <w:r w:rsidRPr="008C4A39">
              <w:rPr>
                <w:rFonts w:eastAsia="Calibri"/>
                <w:iCs/>
                <w:szCs w:val="24"/>
                <w:lang w:val="en-GB"/>
              </w:rPr>
              <w:t>The RMC must be able to match the discovered information with the risk indicators managed in the Risk assessment functional block.</w:t>
            </w:r>
          </w:p>
        </w:tc>
      </w:tr>
      <w:tr w:rsidR="00930D96" w:rsidRPr="008C4A39" w14:paraId="68CFC7EF"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09C1BF2D"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2404859"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06360A92"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1BC3FC70" w14:textId="77777777" w:rsidTr="001136D3">
        <w:trPr>
          <w:tblHeader/>
        </w:trPr>
        <w:tc>
          <w:tcPr>
            <w:tcW w:w="2245" w:type="dxa"/>
            <w:shd w:val="clear" w:color="auto" w:fill="auto"/>
          </w:tcPr>
          <w:p w14:paraId="572458D8" w14:textId="3CE1757B" w:rsidR="00930D96" w:rsidRPr="008C4A39" w:rsidRDefault="008130B6" w:rsidP="001136D3">
            <w:pPr>
              <w:spacing w:after="0"/>
              <w:rPr>
                <w:szCs w:val="24"/>
              </w:rPr>
            </w:pPr>
            <w:r>
              <w:rPr>
                <w:rFonts w:eastAsia="Calibri"/>
                <w:szCs w:val="24"/>
                <w:lang w:val="en-GB"/>
              </w:rPr>
              <w:t>FR518</w:t>
            </w:r>
          </w:p>
        </w:tc>
        <w:tc>
          <w:tcPr>
            <w:tcW w:w="7020" w:type="dxa"/>
            <w:gridSpan w:val="3"/>
            <w:shd w:val="clear" w:color="auto" w:fill="auto"/>
          </w:tcPr>
          <w:p w14:paraId="2871407E" w14:textId="77777777" w:rsidR="00930D96" w:rsidRPr="008C4A39" w:rsidRDefault="00930D96" w:rsidP="001136D3">
            <w:pPr>
              <w:spacing w:after="0"/>
              <w:rPr>
                <w:szCs w:val="24"/>
              </w:rPr>
            </w:pPr>
            <w:r w:rsidRPr="008C4A39">
              <w:rPr>
                <w:rFonts w:eastAsia="Calibri"/>
                <w:szCs w:val="24"/>
                <w:lang w:val="en-GB"/>
              </w:rPr>
              <w:t>The RMC must provide functionality for the user manually to adapt the proposed risk profiles before registering them into the system.</w:t>
            </w:r>
          </w:p>
        </w:tc>
      </w:tr>
      <w:tr w:rsidR="00930D96" w:rsidRPr="008C4A39" w14:paraId="5BA190F0"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8B82649"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89A25EE"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0423FE5"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48D5B270" w14:textId="77777777" w:rsidTr="001136D3">
        <w:trPr>
          <w:tblHeader/>
        </w:trPr>
        <w:tc>
          <w:tcPr>
            <w:tcW w:w="2245" w:type="dxa"/>
            <w:shd w:val="clear" w:color="auto" w:fill="auto"/>
          </w:tcPr>
          <w:p w14:paraId="7CAE1152" w14:textId="77777777" w:rsidR="00930D96" w:rsidRPr="008C4A39" w:rsidRDefault="00930D96" w:rsidP="001136D3">
            <w:pPr>
              <w:spacing w:after="0"/>
              <w:rPr>
                <w:szCs w:val="24"/>
              </w:rPr>
            </w:pPr>
            <w:r w:rsidRPr="008C4A39">
              <w:rPr>
                <w:rFonts w:eastAsia="Calibri"/>
                <w:szCs w:val="24"/>
              </w:rPr>
              <w:t>FR543</w:t>
            </w:r>
          </w:p>
        </w:tc>
        <w:tc>
          <w:tcPr>
            <w:tcW w:w="7020" w:type="dxa"/>
            <w:gridSpan w:val="3"/>
            <w:shd w:val="clear" w:color="auto" w:fill="auto"/>
          </w:tcPr>
          <w:p w14:paraId="3CDB6C47" w14:textId="77777777" w:rsidR="00930D96" w:rsidRPr="008C4A39" w:rsidRDefault="00930D96" w:rsidP="001136D3">
            <w:pPr>
              <w:spacing w:after="0"/>
              <w:rPr>
                <w:szCs w:val="24"/>
              </w:rPr>
            </w:pPr>
            <w:r w:rsidRPr="008C4A39">
              <w:rPr>
                <w:rFonts w:eastAsia="Calibri"/>
                <w:iCs/>
                <w:szCs w:val="24"/>
                <w:lang w:val="en-GB"/>
              </w:rPr>
              <w:t>The RMC must be able to discover risk indicators from the historical data (internal and external sources).</w:t>
            </w:r>
          </w:p>
        </w:tc>
      </w:tr>
      <w:tr w:rsidR="00930D96" w:rsidRPr="008C4A39" w14:paraId="1F263191"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92B59F0"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4D70468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748584D"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46B7E50" w14:textId="77777777" w:rsidTr="00883B07">
        <w:trPr>
          <w:tblHeader/>
        </w:trPr>
        <w:tc>
          <w:tcPr>
            <w:tcW w:w="2785" w:type="dxa"/>
            <w:gridSpan w:val="3"/>
            <w:shd w:val="clear" w:color="auto" w:fill="D9D9D9" w:themeFill="background1" w:themeFillShade="D9"/>
          </w:tcPr>
          <w:p w14:paraId="11E7032E"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6671BCF9"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2AACCCD9" w14:textId="77777777" w:rsidTr="00883B07">
        <w:tc>
          <w:tcPr>
            <w:tcW w:w="9265" w:type="dxa"/>
            <w:gridSpan w:val="4"/>
          </w:tcPr>
          <w:p w14:paraId="1AD9A572" w14:textId="77777777" w:rsidR="00930D96" w:rsidRPr="008C4A39" w:rsidRDefault="00930D96">
            <w:pPr>
              <w:spacing w:after="0"/>
              <w:rPr>
                <w:b/>
                <w:iCs/>
                <w:szCs w:val="24"/>
              </w:rPr>
            </w:pPr>
            <w:r w:rsidRPr="008C4A39">
              <w:rPr>
                <w:b/>
                <w:i/>
                <w:szCs w:val="24"/>
              </w:rPr>
              <w:t xml:space="preserve">1.2.13.4. </w:t>
            </w:r>
            <w:r w:rsidRPr="008C4A39">
              <w:rPr>
                <w:b/>
                <w:iCs/>
                <w:szCs w:val="24"/>
              </w:rPr>
              <w:t>Intelligent Insight service</w:t>
            </w:r>
          </w:p>
        </w:tc>
      </w:tr>
      <w:tr w:rsidR="00930D96" w:rsidRPr="008C4A39" w14:paraId="461E405A" w14:textId="77777777" w:rsidTr="00883B07">
        <w:tc>
          <w:tcPr>
            <w:tcW w:w="2785" w:type="dxa"/>
            <w:gridSpan w:val="3"/>
          </w:tcPr>
          <w:p w14:paraId="423B70C8" w14:textId="77777777" w:rsidR="00930D96" w:rsidRPr="008C4A39" w:rsidRDefault="00930D96" w:rsidP="001136D3">
            <w:pPr>
              <w:spacing w:after="0"/>
              <w:rPr>
                <w:szCs w:val="24"/>
              </w:rPr>
            </w:pPr>
            <w:r w:rsidRPr="008C4A39">
              <w:rPr>
                <w:rFonts w:eastAsia="Calibri"/>
                <w:szCs w:val="24"/>
                <w:lang w:val="en-GB"/>
              </w:rPr>
              <w:t>FR544</w:t>
            </w:r>
          </w:p>
        </w:tc>
        <w:tc>
          <w:tcPr>
            <w:tcW w:w="6480" w:type="dxa"/>
          </w:tcPr>
          <w:p w14:paraId="7D627B39" w14:textId="77777777" w:rsidR="00930D96" w:rsidRPr="008C4A39" w:rsidRDefault="00930D96" w:rsidP="001136D3">
            <w:pPr>
              <w:spacing w:after="0"/>
              <w:rPr>
                <w:szCs w:val="24"/>
              </w:rPr>
            </w:pPr>
            <w:r w:rsidRPr="008C4A39">
              <w:rPr>
                <w:rFonts w:eastAsia="Calibri"/>
                <w:szCs w:val="24"/>
                <w:lang w:val="en-GB"/>
              </w:rPr>
              <w:t>The RMC must provide information about the Risk profiles hitting map (the number of hit per risk profile / risk indicator).</w:t>
            </w:r>
          </w:p>
        </w:tc>
      </w:tr>
      <w:tr w:rsidR="00930D96" w:rsidRPr="008C4A39" w14:paraId="01D27C49"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197A646"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4F42FEDC"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02F6C07C"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1DAEB7E7" w14:textId="77777777" w:rsidTr="00883B07">
        <w:tc>
          <w:tcPr>
            <w:tcW w:w="2785" w:type="dxa"/>
            <w:gridSpan w:val="3"/>
          </w:tcPr>
          <w:p w14:paraId="58381608" w14:textId="77777777" w:rsidR="00930D96" w:rsidRPr="008C4A39" w:rsidRDefault="00930D96" w:rsidP="001136D3">
            <w:pPr>
              <w:spacing w:after="0"/>
              <w:rPr>
                <w:szCs w:val="24"/>
              </w:rPr>
            </w:pPr>
            <w:r w:rsidRPr="008C4A39">
              <w:rPr>
                <w:rFonts w:eastAsia="Calibri"/>
                <w:szCs w:val="24"/>
                <w:lang w:val="en-GB"/>
              </w:rPr>
              <w:t>FR545</w:t>
            </w:r>
          </w:p>
        </w:tc>
        <w:tc>
          <w:tcPr>
            <w:tcW w:w="6480" w:type="dxa"/>
          </w:tcPr>
          <w:p w14:paraId="7AB21A7A" w14:textId="77777777" w:rsidR="00930D96" w:rsidRPr="008C4A39" w:rsidRDefault="00930D96" w:rsidP="001136D3">
            <w:pPr>
              <w:spacing w:after="0"/>
              <w:jc w:val="left"/>
              <w:rPr>
                <w:szCs w:val="24"/>
              </w:rPr>
            </w:pPr>
            <w:r w:rsidRPr="008C4A39">
              <w:rPr>
                <w:rFonts w:eastAsia="Calibri"/>
                <w:szCs w:val="24"/>
                <w:lang w:val="en-GB"/>
              </w:rPr>
              <w:t xml:space="preserve">The RMC must provide information about the rate of random selected inspections towards all inspection by agency. </w:t>
            </w:r>
          </w:p>
        </w:tc>
      </w:tr>
      <w:tr w:rsidR="00930D96" w:rsidRPr="008C4A39" w14:paraId="581373E9"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52D1DCE1"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4C90E2E"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7D52991E"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2AB03017" w14:textId="77777777" w:rsidTr="00883B07">
        <w:trPr>
          <w:tblHeader/>
        </w:trPr>
        <w:tc>
          <w:tcPr>
            <w:tcW w:w="2785" w:type="dxa"/>
            <w:gridSpan w:val="3"/>
            <w:shd w:val="clear" w:color="auto" w:fill="auto"/>
          </w:tcPr>
          <w:p w14:paraId="1031E556" w14:textId="77777777" w:rsidR="00930D96" w:rsidRPr="008C4A39" w:rsidRDefault="00930D96" w:rsidP="001136D3">
            <w:pPr>
              <w:spacing w:after="0"/>
              <w:rPr>
                <w:szCs w:val="24"/>
              </w:rPr>
            </w:pPr>
            <w:r w:rsidRPr="008C4A39">
              <w:rPr>
                <w:rFonts w:eastAsia="Calibri"/>
                <w:szCs w:val="24"/>
                <w:lang w:val="en-GB"/>
              </w:rPr>
              <w:t>FR546</w:t>
            </w:r>
          </w:p>
        </w:tc>
        <w:tc>
          <w:tcPr>
            <w:tcW w:w="6480" w:type="dxa"/>
            <w:shd w:val="clear" w:color="auto" w:fill="auto"/>
          </w:tcPr>
          <w:p w14:paraId="6537D9EC" w14:textId="77777777" w:rsidR="00930D96" w:rsidRPr="008C4A39" w:rsidRDefault="00930D96" w:rsidP="001136D3">
            <w:pPr>
              <w:spacing w:after="0"/>
              <w:rPr>
                <w:szCs w:val="24"/>
              </w:rPr>
            </w:pPr>
            <w:r w:rsidRPr="008C4A39">
              <w:rPr>
                <w:rFonts w:eastAsia="Calibri"/>
                <w:szCs w:val="24"/>
                <w:lang w:val="en-GB"/>
              </w:rPr>
              <w:t>The RMC must provide information about the rate of fraud detected during the inspections and the total number of inspections, based on the risk profile hits.</w:t>
            </w:r>
          </w:p>
        </w:tc>
      </w:tr>
      <w:tr w:rsidR="00930D96" w:rsidRPr="008C4A39" w14:paraId="4264037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431B7C6"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38CC7C9D"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1E5D296"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DC8C003" w14:textId="77777777" w:rsidTr="00883B07">
        <w:trPr>
          <w:tblHeader/>
        </w:trPr>
        <w:tc>
          <w:tcPr>
            <w:tcW w:w="2785" w:type="dxa"/>
            <w:gridSpan w:val="3"/>
            <w:shd w:val="clear" w:color="auto" w:fill="auto"/>
          </w:tcPr>
          <w:p w14:paraId="17D56EC0" w14:textId="77777777" w:rsidR="00930D96" w:rsidRPr="008C4A39" w:rsidRDefault="00930D96" w:rsidP="001136D3">
            <w:pPr>
              <w:spacing w:after="0"/>
              <w:rPr>
                <w:szCs w:val="24"/>
              </w:rPr>
            </w:pPr>
            <w:r w:rsidRPr="008C4A39">
              <w:rPr>
                <w:rFonts w:eastAsia="Calibri"/>
                <w:szCs w:val="24"/>
                <w:lang w:val="en-GB"/>
              </w:rPr>
              <w:t>FR547</w:t>
            </w:r>
          </w:p>
        </w:tc>
        <w:tc>
          <w:tcPr>
            <w:tcW w:w="6480" w:type="dxa"/>
            <w:shd w:val="clear" w:color="auto" w:fill="auto"/>
          </w:tcPr>
          <w:p w14:paraId="72067BD0" w14:textId="77777777" w:rsidR="00930D96" w:rsidRPr="008C4A39" w:rsidRDefault="00930D96" w:rsidP="001136D3">
            <w:pPr>
              <w:spacing w:after="0"/>
              <w:rPr>
                <w:szCs w:val="24"/>
              </w:rPr>
            </w:pPr>
            <w:r w:rsidRPr="008C4A39">
              <w:rPr>
                <w:rFonts w:eastAsia="Calibri"/>
                <w:iCs/>
                <w:szCs w:val="24"/>
                <w:lang w:val="en-GB"/>
              </w:rPr>
              <w:t>The RMC must provide information about the fraud detected per country, transport means, goods, company.</w:t>
            </w:r>
          </w:p>
        </w:tc>
      </w:tr>
      <w:tr w:rsidR="00930D96" w:rsidRPr="008C4A39" w14:paraId="261B199E"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97B313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266784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8B27CB1"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6CE982E9" w14:textId="77777777" w:rsidTr="00883B07">
        <w:trPr>
          <w:tblHeader/>
        </w:trPr>
        <w:tc>
          <w:tcPr>
            <w:tcW w:w="2785" w:type="dxa"/>
            <w:gridSpan w:val="3"/>
            <w:shd w:val="clear" w:color="auto" w:fill="auto"/>
          </w:tcPr>
          <w:p w14:paraId="60211DDF" w14:textId="77777777" w:rsidR="00930D96" w:rsidRPr="008C4A39" w:rsidRDefault="00930D96" w:rsidP="001136D3">
            <w:pPr>
              <w:spacing w:after="0"/>
              <w:rPr>
                <w:szCs w:val="24"/>
              </w:rPr>
            </w:pPr>
            <w:r w:rsidRPr="008C4A39">
              <w:rPr>
                <w:rFonts w:eastAsia="Calibri"/>
                <w:szCs w:val="24"/>
                <w:lang w:val="en-GB"/>
              </w:rPr>
              <w:t>FR548</w:t>
            </w:r>
          </w:p>
        </w:tc>
        <w:tc>
          <w:tcPr>
            <w:tcW w:w="6480" w:type="dxa"/>
            <w:shd w:val="clear" w:color="auto" w:fill="auto"/>
          </w:tcPr>
          <w:p w14:paraId="7183EB5F" w14:textId="77777777" w:rsidR="00930D96" w:rsidRPr="008C4A39" w:rsidRDefault="00930D96" w:rsidP="001136D3">
            <w:pPr>
              <w:spacing w:after="0"/>
              <w:rPr>
                <w:szCs w:val="24"/>
              </w:rPr>
            </w:pPr>
            <w:r w:rsidRPr="008C4A39">
              <w:rPr>
                <w:rFonts w:eastAsia="Calibri"/>
                <w:szCs w:val="24"/>
                <w:lang w:val="en-GB"/>
              </w:rPr>
              <w:t>The RMC must provide mirror statistics analysis about the discrepancies of the declared import and export data.</w:t>
            </w:r>
          </w:p>
        </w:tc>
      </w:tr>
      <w:tr w:rsidR="00930D96" w:rsidRPr="008C4A39" w14:paraId="7CB400D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55017F5"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F630300"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20906AEE"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4C61BA42" w14:textId="77777777" w:rsidTr="00883B07">
        <w:trPr>
          <w:tblHeader/>
        </w:trPr>
        <w:tc>
          <w:tcPr>
            <w:tcW w:w="2785" w:type="dxa"/>
            <w:gridSpan w:val="3"/>
            <w:tcBorders>
              <w:top w:val="single" w:sz="4" w:space="0" w:color="auto"/>
              <w:left w:val="single" w:sz="4" w:space="0" w:color="auto"/>
              <w:bottom w:val="single" w:sz="4" w:space="0" w:color="auto"/>
              <w:right w:val="single" w:sz="4" w:space="0" w:color="auto"/>
            </w:tcBorders>
          </w:tcPr>
          <w:p w14:paraId="74770F55" w14:textId="77777777" w:rsidR="00930D96" w:rsidRPr="008C4A39" w:rsidRDefault="00930D96" w:rsidP="001136D3">
            <w:pPr>
              <w:spacing w:after="0"/>
              <w:ind w:right="-360"/>
              <w:jc w:val="left"/>
              <w:rPr>
                <w:szCs w:val="24"/>
              </w:rPr>
            </w:pPr>
            <w:r w:rsidRPr="008C4A39">
              <w:rPr>
                <w:rFonts w:eastAsia="Calibri"/>
                <w:szCs w:val="24"/>
                <w:lang w:val="en-GB"/>
              </w:rPr>
              <w:t>FR549</w:t>
            </w:r>
          </w:p>
        </w:tc>
        <w:tc>
          <w:tcPr>
            <w:tcW w:w="6480" w:type="dxa"/>
            <w:tcBorders>
              <w:top w:val="single" w:sz="4" w:space="0" w:color="auto"/>
              <w:left w:val="single" w:sz="4" w:space="0" w:color="auto"/>
              <w:bottom w:val="single" w:sz="4" w:space="0" w:color="auto"/>
              <w:right w:val="single" w:sz="4" w:space="0" w:color="auto"/>
            </w:tcBorders>
          </w:tcPr>
          <w:p w14:paraId="16942525" w14:textId="77777777" w:rsidR="00930D96" w:rsidRPr="008C4A39" w:rsidRDefault="00930D96" w:rsidP="001136D3">
            <w:pPr>
              <w:spacing w:after="0"/>
              <w:ind w:right="-360"/>
              <w:jc w:val="left"/>
              <w:rPr>
                <w:szCs w:val="24"/>
              </w:rPr>
            </w:pPr>
            <w:r w:rsidRPr="008C4A39">
              <w:rPr>
                <w:bCs/>
                <w:iCs/>
                <w:szCs w:val="24"/>
              </w:rPr>
              <w:t>The system should provide functionality for conducting statistical analysis on the current information, offering various methods and measures for data analysis</w:t>
            </w:r>
          </w:p>
        </w:tc>
      </w:tr>
      <w:tr w:rsidR="00930D96" w:rsidRPr="008C4A39" w14:paraId="36B2404C"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C334A3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7709379"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F597F2B"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2C30A657" w14:textId="77777777" w:rsidTr="00883B07">
        <w:trPr>
          <w:tblHeader/>
        </w:trPr>
        <w:tc>
          <w:tcPr>
            <w:tcW w:w="2785" w:type="dxa"/>
            <w:gridSpan w:val="3"/>
            <w:shd w:val="clear" w:color="auto" w:fill="D9D9D9" w:themeFill="background1" w:themeFillShade="D9"/>
          </w:tcPr>
          <w:p w14:paraId="2B428101"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315BDCC1"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3FDB4C66" w14:textId="77777777" w:rsidTr="00883B07">
        <w:tc>
          <w:tcPr>
            <w:tcW w:w="9265" w:type="dxa"/>
            <w:gridSpan w:val="4"/>
          </w:tcPr>
          <w:p w14:paraId="616A235B" w14:textId="77777777" w:rsidR="00930D96" w:rsidRPr="008C4A39" w:rsidRDefault="00930D96">
            <w:pPr>
              <w:spacing w:after="0"/>
              <w:jc w:val="left"/>
              <w:rPr>
                <w:b/>
                <w:i/>
                <w:szCs w:val="24"/>
              </w:rPr>
            </w:pPr>
            <w:r w:rsidRPr="008C4A39">
              <w:rPr>
                <w:b/>
                <w:i/>
                <w:szCs w:val="24"/>
              </w:rPr>
              <w:t xml:space="preserve">1.2.13.5. </w:t>
            </w:r>
            <w:r w:rsidRPr="008C4A39">
              <w:rPr>
                <w:b/>
                <w:iCs/>
                <w:szCs w:val="24"/>
              </w:rPr>
              <w:t>Market surveillance service</w:t>
            </w:r>
          </w:p>
        </w:tc>
      </w:tr>
      <w:tr w:rsidR="00930D96" w:rsidRPr="008C4A39" w14:paraId="1B0D6166" w14:textId="77777777" w:rsidTr="00883B07">
        <w:tc>
          <w:tcPr>
            <w:tcW w:w="2785" w:type="dxa"/>
            <w:gridSpan w:val="3"/>
          </w:tcPr>
          <w:p w14:paraId="5B0EC5F0" w14:textId="77777777" w:rsidR="00930D96" w:rsidRPr="008C4A39" w:rsidRDefault="00930D96" w:rsidP="001136D3">
            <w:pPr>
              <w:spacing w:after="0"/>
              <w:rPr>
                <w:szCs w:val="24"/>
              </w:rPr>
            </w:pPr>
            <w:r w:rsidRPr="008C4A39">
              <w:rPr>
                <w:rFonts w:eastAsia="Calibri"/>
                <w:szCs w:val="24"/>
                <w:lang w:val="en-GB"/>
              </w:rPr>
              <w:t>FR550</w:t>
            </w:r>
          </w:p>
        </w:tc>
        <w:tc>
          <w:tcPr>
            <w:tcW w:w="6480" w:type="dxa"/>
          </w:tcPr>
          <w:p w14:paraId="60CC5CB4" w14:textId="77777777" w:rsidR="00930D96" w:rsidRPr="008C4A39" w:rsidRDefault="00930D96" w:rsidP="001136D3">
            <w:pPr>
              <w:spacing w:after="0"/>
              <w:rPr>
                <w:szCs w:val="24"/>
              </w:rPr>
            </w:pPr>
            <w:r w:rsidRPr="008C4A39">
              <w:rPr>
                <w:bCs/>
                <w:iCs/>
                <w:szCs w:val="24"/>
              </w:rPr>
              <w:t xml:space="preserve">The system should be capable of gathering data from a wide range of online sources, including websites and online stores, to capture </w:t>
            </w:r>
            <w:r w:rsidRPr="008C4A39">
              <w:rPr>
                <w:bCs/>
                <w:iCs/>
                <w:szCs w:val="24"/>
              </w:rPr>
              <w:lastRenderedPageBreak/>
              <w:t>pricing information and related data relevant to market surveillance.</w:t>
            </w:r>
          </w:p>
        </w:tc>
      </w:tr>
      <w:tr w:rsidR="00930D96" w:rsidRPr="008C4A39" w14:paraId="1C5B5F58"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B5E5121" w14:textId="77777777" w:rsidR="00930D96" w:rsidRPr="008C4A39" w:rsidRDefault="00930D96" w:rsidP="001136D3">
            <w:pPr>
              <w:spacing w:after="0"/>
              <w:ind w:right="-360"/>
              <w:jc w:val="left"/>
              <w:rPr>
                <w:szCs w:val="24"/>
              </w:rPr>
            </w:pPr>
            <w:r w:rsidRPr="008C4A39">
              <w:rPr>
                <w:szCs w:val="24"/>
              </w:rPr>
              <w:lastRenderedPageBreak/>
              <w:t xml:space="preserve">Bidder’s technical reasons supporting compliance: </w:t>
            </w:r>
          </w:p>
        </w:tc>
      </w:tr>
      <w:tr w:rsidR="00930D96" w:rsidRPr="008C4A39" w14:paraId="65F82AFF"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78656C49"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3966EB2" w14:textId="77777777" w:rsidTr="00883B07">
        <w:tc>
          <w:tcPr>
            <w:tcW w:w="2785" w:type="dxa"/>
            <w:gridSpan w:val="3"/>
          </w:tcPr>
          <w:p w14:paraId="7C9669DA" w14:textId="77777777" w:rsidR="00930D96" w:rsidRPr="008C4A39" w:rsidRDefault="00930D96" w:rsidP="001136D3">
            <w:pPr>
              <w:spacing w:after="0"/>
              <w:rPr>
                <w:szCs w:val="24"/>
              </w:rPr>
            </w:pPr>
            <w:r w:rsidRPr="008C4A39">
              <w:rPr>
                <w:rFonts w:eastAsia="Calibri"/>
                <w:szCs w:val="24"/>
                <w:lang w:val="en-GB"/>
              </w:rPr>
              <w:t>FR551</w:t>
            </w:r>
          </w:p>
        </w:tc>
        <w:tc>
          <w:tcPr>
            <w:tcW w:w="6480" w:type="dxa"/>
          </w:tcPr>
          <w:p w14:paraId="3167BBA5" w14:textId="77777777" w:rsidR="00930D96" w:rsidRPr="008C4A39" w:rsidRDefault="00930D96" w:rsidP="001136D3">
            <w:pPr>
              <w:spacing w:after="0"/>
              <w:jc w:val="left"/>
              <w:rPr>
                <w:szCs w:val="24"/>
              </w:rPr>
            </w:pPr>
            <w:r w:rsidRPr="008C4A39">
              <w:rPr>
                <w:bCs/>
                <w:iCs/>
                <w:szCs w:val="24"/>
              </w:rPr>
              <w:t>The service should perform price comparisons across different online platforms, identifying potential instances of price dumping by analyzing pricing trends, deviations, and historical data.</w:t>
            </w:r>
          </w:p>
        </w:tc>
      </w:tr>
      <w:tr w:rsidR="00930D96" w:rsidRPr="008C4A39" w14:paraId="3F10095C"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D21A6FC"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601C8BD"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543D2FB"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6ABD579" w14:textId="77777777" w:rsidTr="00883B07">
        <w:trPr>
          <w:tblHeader/>
        </w:trPr>
        <w:tc>
          <w:tcPr>
            <w:tcW w:w="2785" w:type="dxa"/>
            <w:gridSpan w:val="3"/>
            <w:shd w:val="clear" w:color="auto" w:fill="auto"/>
          </w:tcPr>
          <w:p w14:paraId="3D7EE788" w14:textId="77777777" w:rsidR="00930D96" w:rsidRPr="008C4A39" w:rsidRDefault="00930D96" w:rsidP="001136D3">
            <w:pPr>
              <w:spacing w:after="0"/>
              <w:rPr>
                <w:szCs w:val="24"/>
              </w:rPr>
            </w:pPr>
            <w:r w:rsidRPr="008C4A39">
              <w:rPr>
                <w:rFonts w:eastAsia="Calibri"/>
                <w:szCs w:val="24"/>
                <w:lang w:val="en-GB"/>
              </w:rPr>
              <w:t>FR552</w:t>
            </w:r>
          </w:p>
        </w:tc>
        <w:tc>
          <w:tcPr>
            <w:tcW w:w="6480" w:type="dxa"/>
            <w:shd w:val="clear" w:color="auto" w:fill="auto"/>
          </w:tcPr>
          <w:p w14:paraId="48852366" w14:textId="77777777" w:rsidR="00930D96" w:rsidRPr="008C4A39" w:rsidRDefault="00930D96" w:rsidP="001136D3">
            <w:pPr>
              <w:spacing w:after="0"/>
              <w:rPr>
                <w:szCs w:val="24"/>
              </w:rPr>
            </w:pPr>
            <w:r w:rsidRPr="008C4A39">
              <w:rPr>
                <w:bCs/>
                <w:iCs/>
                <w:szCs w:val="24"/>
              </w:rPr>
              <w:t>The system should utilize rule-based algorithms to detect price dumping practices based on predefined criteria, thresholds, and market regulations.</w:t>
            </w:r>
          </w:p>
        </w:tc>
      </w:tr>
      <w:tr w:rsidR="00930D96" w:rsidRPr="008C4A39" w14:paraId="43414B20"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9295F7E"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076072A1"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AEBE943"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E6B8C77" w14:textId="77777777" w:rsidTr="00883B07">
        <w:trPr>
          <w:tblHeader/>
        </w:trPr>
        <w:tc>
          <w:tcPr>
            <w:tcW w:w="2785" w:type="dxa"/>
            <w:gridSpan w:val="3"/>
            <w:shd w:val="clear" w:color="auto" w:fill="auto"/>
          </w:tcPr>
          <w:p w14:paraId="1A1A4250" w14:textId="77777777" w:rsidR="00930D96" w:rsidRPr="008C4A39" w:rsidRDefault="00930D96" w:rsidP="001136D3">
            <w:pPr>
              <w:spacing w:after="0"/>
              <w:rPr>
                <w:szCs w:val="24"/>
              </w:rPr>
            </w:pPr>
            <w:r w:rsidRPr="008C4A39">
              <w:rPr>
                <w:rFonts w:eastAsia="Calibri"/>
                <w:szCs w:val="24"/>
                <w:lang w:val="en-GB"/>
              </w:rPr>
              <w:t>FR553</w:t>
            </w:r>
          </w:p>
        </w:tc>
        <w:tc>
          <w:tcPr>
            <w:tcW w:w="6480" w:type="dxa"/>
            <w:shd w:val="clear" w:color="auto" w:fill="auto"/>
          </w:tcPr>
          <w:p w14:paraId="7C6EB6E6" w14:textId="77777777" w:rsidR="00930D96" w:rsidRPr="008C4A39" w:rsidRDefault="00930D96" w:rsidP="001136D3">
            <w:pPr>
              <w:spacing w:after="0"/>
              <w:rPr>
                <w:szCs w:val="24"/>
              </w:rPr>
            </w:pPr>
            <w:r w:rsidRPr="008C4A39">
              <w:rPr>
                <w:bCs/>
                <w:iCs/>
                <w:szCs w:val="24"/>
              </w:rPr>
              <w:t>When potential instances of price dumping are detected, the service should generate real-time alerts, notifying relevant stakeholders, such as market regulators or competition authorities, about the identified irregularities.</w:t>
            </w:r>
          </w:p>
        </w:tc>
      </w:tr>
      <w:tr w:rsidR="00930D96" w:rsidRPr="008C4A39" w14:paraId="6182F19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EF89543"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60E9E86"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77C4922"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E7A31E1" w14:textId="77777777" w:rsidTr="00883B07">
        <w:trPr>
          <w:tblHeader/>
        </w:trPr>
        <w:tc>
          <w:tcPr>
            <w:tcW w:w="2785" w:type="dxa"/>
            <w:gridSpan w:val="3"/>
            <w:shd w:val="clear" w:color="auto" w:fill="auto"/>
          </w:tcPr>
          <w:p w14:paraId="29E48094" w14:textId="77777777" w:rsidR="00930D96" w:rsidRPr="008C4A39" w:rsidRDefault="00930D96" w:rsidP="001136D3">
            <w:pPr>
              <w:spacing w:after="0"/>
              <w:rPr>
                <w:szCs w:val="24"/>
              </w:rPr>
            </w:pPr>
            <w:r w:rsidRPr="008C4A39">
              <w:rPr>
                <w:rFonts w:eastAsia="Calibri"/>
                <w:szCs w:val="24"/>
                <w:lang w:val="en-GB"/>
              </w:rPr>
              <w:t>FR554</w:t>
            </w:r>
          </w:p>
        </w:tc>
        <w:tc>
          <w:tcPr>
            <w:tcW w:w="6480" w:type="dxa"/>
            <w:shd w:val="clear" w:color="auto" w:fill="auto"/>
          </w:tcPr>
          <w:p w14:paraId="3E257805" w14:textId="77777777" w:rsidR="00930D96" w:rsidRPr="008C4A39" w:rsidRDefault="00930D96" w:rsidP="001136D3">
            <w:pPr>
              <w:spacing w:after="0"/>
              <w:rPr>
                <w:szCs w:val="24"/>
              </w:rPr>
            </w:pPr>
            <w:r w:rsidRPr="008C4A39">
              <w:rPr>
                <w:bCs/>
                <w:iCs/>
                <w:szCs w:val="24"/>
              </w:rPr>
              <w:t>The system should provide comprehensive reports and visualizations that present the findings and analysis of market surveillance activities, enabling stakeholders to interpret and act upon the information effectively.</w:t>
            </w:r>
          </w:p>
        </w:tc>
      </w:tr>
      <w:tr w:rsidR="00930D96" w:rsidRPr="008C4A39" w14:paraId="3999CF74"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0D86B50"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28F3F6F6"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CB8647D"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0C4D0F23" w14:textId="77777777" w:rsidTr="00883B07">
        <w:trPr>
          <w:tblHeader/>
        </w:trPr>
        <w:tc>
          <w:tcPr>
            <w:tcW w:w="2785" w:type="dxa"/>
            <w:gridSpan w:val="3"/>
            <w:shd w:val="clear" w:color="auto" w:fill="D9D9D9" w:themeFill="background1" w:themeFillShade="D9"/>
          </w:tcPr>
          <w:p w14:paraId="5FE903E4"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09473871"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5697ABCD" w14:textId="77777777" w:rsidTr="00883B07">
        <w:tc>
          <w:tcPr>
            <w:tcW w:w="9265" w:type="dxa"/>
            <w:gridSpan w:val="4"/>
          </w:tcPr>
          <w:p w14:paraId="034A5B27" w14:textId="77777777" w:rsidR="00930D96" w:rsidRPr="008C4A39" w:rsidRDefault="00930D96">
            <w:pPr>
              <w:spacing w:after="0"/>
              <w:jc w:val="left"/>
              <w:rPr>
                <w:b/>
                <w:i/>
                <w:szCs w:val="24"/>
              </w:rPr>
            </w:pPr>
            <w:r w:rsidRPr="008C4A39">
              <w:rPr>
                <w:b/>
                <w:i/>
                <w:szCs w:val="24"/>
              </w:rPr>
              <w:t>1.2.13.6. Process: Maintain Risk Profile</w:t>
            </w:r>
          </w:p>
        </w:tc>
      </w:tr>
      <w:tr w:rsidR="00930D96" w:rsidRPr="008C4A39" w14:paraId="20A95F8E" w14:textId="77777777" w:rsidTr="00883B07">
        <w:tc>
          <w:tcPr>
            <w:tcW w:w="2785" w:type="dxa"/>
            <w:gridSpan w:val="3"/>
          </w:tcPr>
          <w:p w14:paraId="13A6C001" w14:textId="77777777" w:rsidR="00930D96" w:rsidRPr="008130B6" w:rsidRDefault="00930D96" w:rsidP="001136D3">
            <w:pPr>
              <w:spacing w:after="0"/>
              <w:rPr>
                <w:szCs w:val="24"/>
              </w:rPr>
            </w:pPr>
            <w:r w:rsidRPr="008130B6">
              <w:rPr>
                <w:rFonts w:eastAsia="Calibri"/>
                <w:szCs w:val="24"/>
                <w:lang w:val="en-GB"/>
              </w:rPr>
              <w:t>FR500</w:t>
            </w:r>
          </w:p>
        </w:tc>
        <w:tc>
          <w:tcPr>
            <w:tcW w:w="6480" w:type="dxa"/>
          </w:tcPr>
          <w:p w14:paraId="7F209963" w14:textId="77777777" w:rsidR="00930D96" w:rsidRPr="008130B6" w:rsidRDefault="00930D96" w:rsidP="001136D3">
            <w:pPr>
              <w:spacing w:after="0"/>
              <w:rPr>
                <w:szCs w:val="24"/>
              </w:rPr>
            </w:pPr>
            <w:r w:rsidRPr="008130B6">
              <w:rPr>
                <w:rFonts w:eastAsia="Calibri"/>
                <w:szCs w:val="24"/>
                <w:lang w:val="en-GB"/>
              </w:rPr>
              <w:t xml:space="preserve">The system must allow manual entry of a risk profile: Risk profile settings should include added and setup: Risk category; Profile owner; Document Type; Risk profile schedule; </w:t>
            </w:r>
            <w:proofErr w:type="gramStart"/>
            <w:r w:rsidRPr="008130B6">
              <w:rPr>
                <w:rFonts w:eastAsia="Calibri"/>
                <w:szCs w:val="24"/>
                <w:lang w:val="en-GB"/>
              </w:rPr>
              <w:t>White list</w:t>
            </w:r>
            <w:proofErr w:type="gramEnd"/>
            <w:r w:rsidRPr="008130B6">
              <w:rPr>
                <w:rFonts w:eastAsia="Calibri"/>
                <w:szCs w:val="24"/>
                <w:lang w:val="en-GB"/>
              </w:rPr>
              <w:t>; Rule and add score; Risk indicator that can be able conditional or required and Recommendation.</w:t>
            </w:r>
          </w:p>
        </w:tc>
      </w:tr>
      <w:tr w:rsidR="00930D96" w:rsidRPr="008C4A39" w14:paraId="166B5396"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CC39657"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440B39B"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E725C03"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55ED69CC" w14:textId="77777777" w:rsidTr="00883B07">
        <w:tc>
          <w:tcPr>
            <w:tcW w:w="2785" w:type="dxa"/>
            <w:gridSpan w:val="3"/>
          </w:tcPr>
          <w:p w14:paraId="71373D50" w14:textId="77777777" w:rsidR="00930D96" w:rsidRPr="008130B6" w:rsidRDefault="00930D96" w:rsidP="001136D3">
            <w:pPr>
              <w:spacing w:after="0"/>
              <w:rPr>
                <w:szCs w:val="24"/>
              </w:rPr>
            </w:pPr>
            <w:r w:rsidRPr="008130B6">
              <w:rPr>
                <w:rFonts w:eastAsia="Calibri"/>
                <w:szCs w:val="24"/>
                <w:lang w:val="en-GB"/>
              </w:rPr>
              <w:t>FR501</w:t>
            </w:r>
          </w:p>
        </w:tc>
        <w:tc>
          <w:tcPr>
            <w:tcW w:w="6480" w:type="dxa"/>
          </w:tcPr>
          <w:p w14:paraId="6F381794" w14:textId="77777777" w:rsidR="00930D96" w:rsidRPr="008C4A39" w:rsidRDefault="00930D96" w:rsidP="001136D3">
            <w:pPr>
              <w:spacing w:after="0"/>
              <w:jc w:val="left"/>
              <w:rPr>
                <w:szCs w:val="24"/>
              </w:rPr>
            </w:pPr>
            <w:r w:rsidRPr="008C4A39">
              <w:rPr>
                <w:rFonts w:eastAsia="Calibri"/>
                <w:szCs w:val="24"/>
                <w:lang w:val="en-GB"/>
              </w:rPr>
              <w:t>The system must allow a test risk profile to be created. And through the test risk profile to make a report of historical data.</w:t>
            </w:r>
          </w:p>
        </w:tc>
      </w:tr>
      <w:tr w:rsidR="00930D96" w:rsidRPr="008C4A39" w14:paraId="0212FCF4"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00099A5"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24B3FDE"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D7EBDFC"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27C36E12" w14:textId="77777777" w:rsidTr="00883B07">
        <w:trPr>
          <w:tblHeader/>
        </w:trPr>
        <w:tc>
          <w:tcPr>
            <w:tcW w:w="2785" w:type="dxa"/>
            <w:gridSpan w:val="3"/>
            <w:shd w:val="clear" w:color="auto" w:fill="auto"/>
          </w:tcPr>
          <w:p w14:paraId="4BDE17E4" w14:textId="77777777" w:rsidR="00930D96" w:rsidRPr="008C4A39" w:rsidRDefault="00930D96" w:rsidP="001136D3">
            <w:pPr>
              <w:spacing w:after="0"/>
              <w:rPr>
                <w:szCs w:val="24"/>
              </w:rPr>
            </w:pPr>
            <w:r w:rsidRPr="008C4A39">
              <w:rPr>
                <w:rFonts w:eastAsia="Calibri"/>
                <w:szCs w:val="24"/>
                <w:lang w:val="en-GB"/>
              </w:rPr>
              <w:t>FR502</w:t>
            </w:r>
          </w:p>
        </w:tc>
        <w:tc>
          <w:tcPr>
            <w:tcW w:w="6480" w:type="dxa"/>
            <w:shd w:val="clear" w:color="auto" w:fill="auto"/>
          </w:tcPr>
          <w:p w14:paraId="22476391" w14:textId="77777777" w:rsidR="00930D96" w:rsidRPr="008C4A39" w:rsidRDefault="00930D96" w:rsidP="001136D3">
            <w:pPr>
              <w:spacing w:after="0"/>
              <w:rPr>
                <w:szCs w:val="24"/>
              </w:rPr>
            </w:pPr>
            <w:r w:rsidRPr="008C4A39">
              <w:rPr>
                <w:rFonts w:eastAsia="Calibri"/>
                <w:szCs w:val="24"/>
                <w:lang w:val="en-GB"/>
              </w:rPr>
              <w:t>The system must be able to automatically input data from the additional information received</w:t>
            </w:r>
          </w:p>
        </w:tc>
      </w:tr>
      <w:tr w:rsidR="00930D96" w:rsidRPr="008C4A39" w14:paraId="4DC0FC7C"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F626B74"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29B0B17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FA2F57D"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C84B862" w14:textId="77777777" w:rsidTr="00883B07">
        <w:trPr>
          <w:tblHeader/>
        </w:trPr>
        <w:tc>
          <w:tcPr>
            <w:tcW w:w="2785" w:type="dxa"/>
            <w:gridSpan w:val="3"/>
            <w:shd w:val="clear" w:color="auto" w:fill="auto"/>
          </w:tcPr>
          <w:p w14:paraId="7A945820" w14:textId="77777777" w:rsidR="00930D96" w:rsidRPr="008C4A39" w:rsidRDefault="00930D96" w:rsidP="001136D3">
            <w:pPr>
              <w:spacing w:after="0"/>
              <w:rPr>
                <w:szCs w:val="24"/>
              </w:rPr>
            </w:pPr>
            <w:r w:rsidRPr="008C4A39">
              <w:rPr>
                <w:rFonts w:eastAsia="Calibri"/>
                <w:szCs w:val="24"/>
                <w:lang w:val="en-GB"/>
              </w:rPr>
              <w:lastRenderedPageBreak/>
              <w:t>FR503</w:t>
            </w:r>
          </w:p>
        </w:tc>
        <w:tc>
          <w:tcPr>
            <w:tcW w:w="6480" w:type="dxa"/>
            <w:shd w:val="clear" w:color="auto" w:fill="auto"/>
          </w:tcPr>
          <w:p w14:paraId="2805AB2D" w14:textId="77777777" w:rsidR="00930D96" w:rsidRPr="008C4A39" w:rsidRDefault="00930D96" w:rsidP="001136D3">
            <w:pPr>
              <w:spacing w:after="0"/>
              <w:rPr>
                <w:szCs w:val="24"/>
              </w:rPr>
            </w:pPr>
            <w:r w:rsidRPr="008C4A39">
              <w:rPr>
                <w:rFonts w:eastAsia="Calibri"/>
                <w:szCs w:val="24"/>
                <w:lang w:val="en-GB"/>
              </w:rPr>
              <w:t>The RMS must provide a user-friendly interface for defining various types of parameters, including risk indicators, criteria, profiles, and other relevant factors. Users must be able to create, modify, and delete these parameters as needed.</w:t>
            </w:r>
          </w:p>
        </w:tc>
      </w:tr>
      <w:tr w:rsidR="00930D96" w:rsidRPr="008C4A39" w14:paraId="167D6FF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AA27C0B"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2FC7691"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53D1285"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0F2258EE" w14:textId="77777777" w:rsidTr="00883B07">
        <w:trPr>
          <w:tblHeader/>
        </w:trPr>
        <w:tc>
          <w:tcPr>
            <w:tcW w:w="2785" w:type="dxa"/>
            <w:gridSpan w:val="3"/>
            <w:shd w:val="clear" w:color="auto" w:fill="auto"/>
          </w:tcPr>
          <w:p w14:paraId="5A5D9B59" w14:textId="77777777" w:rsidR="00930D96" w:rsidRPr="008C4A39" w:rsidRDefault="00930D96" w:rsidP="001136D3">
            <w:pPr>
              <w:spacing w:after="0"/>
              <w:rPr>
                <w:szCs w:val="24"/>
              </w:rPr>
            </w:pPr>
            <w:r w:rsidRPr="008C4A39">
              <w:rPr>
                <w:rFonts w:eastAsia="Calibri"/>
                <w:szCs w:val="24"/>
                <w:lang w:val="en-GB"/>
              </w:rPr>
              <w:t>FR504</w:t>
            </w:r>
          </w:p>
        </w:tc>
        <w:tc>
          <w:tcPr>
            <w:tcW w:w="6480" w:type="dxa"/>
            <w:shd w:val="clear" w:color="auto" w:fill="auto"/>
          </w:tcPr>
          <w:p w14:paraId="541D9D24" w14:textId="77777777" w:rsidR="00930D96" w:rsidRPr="008C4A39" w:rsidRDefault="00930D96" w:rsidP="001136D3">
            <w:pPr>
              <w:spacing w:after="0"/>
              <w:rPr>
                <w:szCs w:val="24"/>
              </w:rPr>
            </w:pPr>
            <w:r w:rsidRPr="008C4A39">
              <w:rPr>
                <w:rFonts w:eastAsia="Calibri"/>
                <w:szCs w:val="24"/>
                <w:lang w:val="en-GB"/>
              </w:rPr>
              <w:t>The system must allow users to define risk indicators that are relevant to their specific domain or industry. These indicators could include factors such as transaction value, country of origin, product type, compliance history, weight of goods, mathematical calculations among available data or any other variables that contribute to risk assessment.</w:t>
            </w:r>
          </w:p>
        </w:tc>
      </w:tr>
      <w:tr w:rsidR="00930D96" w:rsidRPr="008C4A39" w14:paraId="0E9C689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3BA56B0"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21BF8B51"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21645938"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5357EE3A" w14:textId="77777777" w:rsidTr="00883B07">
        <w:trPr>
          <w:tblHeader/>
        </w:trPr>
        <w:tc>
          <w:tcPr>
            <w:tcW w:w="2785" w:type="dxa"/>
            <w:gridSpan w:val="3"/>
            <w:tcBorders>
              <w:top w:val="single" w:sz="4" w:space="0" w:color="auto"/>
              <w:left w:val="single" w:sz="4" w:space="0" w:color="auto"/>
              <w:bottom w:val="single" w:sz="4" w:space="0" w:color="auto"/>
              <w:right w:val="single" w:sz="4" w:space="0" w:color="auto"/>
            </w:tcBorders>
          </w:tcPr>
          <w:p w14:paraId="4C507153" w14:textId="77777777" w:rsidR="00930D96" w:rsidRPr="008C4A39" w:rsidRDefault="00930D96" w:rsidP="001136D3">
            <w:pPr>
              <w:spacing w:after="0"/>
              <w:ind w:right="-360"/>
              <w:jc w:val="left"/>
              <w:rPr>
                <w:szCs w:val="24"/>
              </w:rPr>
            </w:pPr>
            <w:r w:rsidRPr="008C4A39">
              <w:rPr>
                <w:rFonts w:eastAsia="Calibri"/>
                <w:szCs w:val="24"/>
                <w:lang w:val="en-GB"/>
              </w:rPr>
              <w:t>FR505</w:t>
            </w:r>
          </w:p>
        </w:tc>
        <w:tc>
          <w:tcPr>
            <w:tcW w:w="6480" w:type="dxa"/>
            <w:tcBorders>
              <w:top w:val="single" w:sz="4" w:space="0" w:color="auto"/>
              <w:left w:val="single" w:sz="4" w:space="0" w:color="auto"/>
              <w:bottom w:val="single" w:sz="4" w:space="0" w:color="auto"/>
              <w:right w:val="single" w:sz="4" w:space="0" w:color="auto"/>
            </w:tcBorders>
          </w:tcPr>
          <w:p w14:paraId="45186142" w14:textId="77777777" w:rsidR="00930D96" w:rsidRPr="008C4A39" w:rsidRDefault="00930D96" w:rsidP="001136D3">
            <w:pPr>
              <w:spacing w:after="0"/>
              <w:ind w:right="-360"/>
              <w:jc w:val="left"/>
              <w:rPr>
                <w:szCs w:val="24"/>
              </w:rPr>
            </w:pPr>
            <w:r w:rsidRPr="008C4A39">
              <w:rPr>
                <w:rFonts w:eastAsia="Calibri"/>
                <w:szCs w:val="24"/>
                <w:lang w:val="en-GB"/>
              </w:rPr>
              <w:t>The RMC must enable users to configure criteria that determine the risk levels. Users should be able to set thresholds, weights, or scoring rules for each criterion</w:t>
            </w:r>
          </w:p>
        </w:tc>
      </w:tr>
      <w:tr w:rsidR="00930D96" w:rsidRPr="008C4A39" w14:paraId="12CE4A5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F5B0B5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1227B436"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F06C7B2"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C659BD6" w14:textId="77777777" w:rsidTr="00883B07">
        <w:trPr>
          <w:tblHeader/>
        </w:trPr>
        <w:tc>
          <w:tcPr>
            <w:tcW w:w="2785" w:type="dxa"/>
            <w:gridSpan w:val="3"/>
            <w:tcBorders>
              <w:top w:val="single" w:sz="4" w:space="0" w:color="auto"/>
              <w:left w:val="single" w:sz="4" w:space="0" w:color="auto"/>
              <w:bottom w:val="single" w:sz="4" w:space="0" w:color="auto"/>
              <w:right w:val="single" w:sz="4" w:space="0" w:color="auto"/>
            </w:tcBorders>
          </w:tcPr>
          <w:p w14:paraId="1839261B" w14:textId="77777777" w:rsidR="00930D96" w:rsidRPr="008C4A39" w:rsidRDefault="00930D96" w:rsidP="001136D3">
            <w:pPr>
              <w:spacing w:after="0"/>
              <w:ind w:right="-360"/>
              <w:jc w:val="left"/>
              <w:rPr>
                <w:szCs w:val="24"/>
              </w:rPr>
            </w:pPr>
            <w:r w:rsidRPr="008C4A39">
              <w:rPr>
                <w:rFonts w:eastAsia="Calibri"/>
                <w:szCs w:val="24"/>
                <w:lang w:val="en-GB"/>
              </w:rPr>
              <w:t>FR506</w:t>
            </w:r>
          </w:p>
        </w:tc>
        <w:tc>
          <w:tcPr>
            <w:tcW w:w="6480" w:type="dxa"/>
            <w:tcBorders>
              <w:top w:val="single" w:sz="4" w:space="0" w:color="auto"/>
              <w:left w:val="single" w:sz="4" w:space="0" w:color="auto"/>
              <w:bottom w:val="single" w:sz="4" w:space="0" w:color="auto"/>
              <w:right w:val="single" w:sz="4" w:space="0" w:color="auto"/>
            </w:tcBorders>
          </w:tcPr>
          <w:p w14:paraId="63778CE8" w14:textId="77777777" w:rsidR="00930D96" w:rsidRPr="008C4A39" w:rsidRDefault="00930D96" w:rsidP="001136D3">
            <w:pPr>
              <w:spacing w:after="0"/>
              <w:ind w:right="-360"/>
              <w:jc w:val="left"/>
              <w:rPr>
                <w:szCs w:val="24"/>
              </w:rPr>
            </w:pPr>
            <w:r w:rsidRPr="008C4A39">
              <w:rPr>
                <w:rFonts w:eastAsia="Calibri"/>
                <w:szCs w:val="24"/>
                <w:lang w:val="en-GB"/>
              </w:rPr>
              <w:t>The system must support the creation of risk profiles that represent different risk categories or levels. Users should be able to define the characteristics, risk thresholds, and associated actions or controls for each profile.</w:t>
            </w:r>
          </w:p>
        </w:tc>
      </w:tr>
      <w:tr w:rsidR="00930D96" w:rsidRPr="008C4A39" w14:paraId="7C91750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1184EBC"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56A0F34"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342D173"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4BDFC4A4" w14:textId="77777777" w:rsidTr="00883B07">
        <w:trPr>
          <w:tblHeader/>
        </w:trPr>
        <w:tc>
          <w:tcPr>
            <w:tcW w:w="2785" w:type="dxa"/>
            <w:gridSpan w:val="3"/>
            <w:tcBorders>
              <w:top w:val="single" w:sz="4" w:space="0" w:color="auto"/>
              <w:left w:val="single" w:sz="4" w:space="0" w:color="auto"/>
              <w:bottom w:val="single" w:sz="4" w:space="0" w:color="auto"/>
              <w:right w:val="single" w:sz="4" w:space="0" w:color="auto"/>
            </w:tcBorders>
          </w:tcPr>
          <w:p w14:paraId="30D6236B" w14:textId="77777777" w:rsidR="00930D96" w:rsidRPr="008C4A39" w:rsidRDefault="00930D96" w:rsidP="001136D3">
            <w:pPr>
              <w:spacing w:after="0"/>
              <w:ind w:right="-360"/>
              <w:jc w:val="left"/>
              <w:rPr>
                <w:szCs w:val="24"/>
              </w:rPr>
            </w:pPr>
            <w:r w:rsidRPr="008C4A39">
              <w:rPr>
                <w:rFonts w:eastAsia="Calibri"/>
                <w:szCs w:val="24"/>
                <w:lang w:val="en-GB"/>
              </w:rPr>
              <w:t>FR507</w:t>
            </w:r>
          </w:p>
        </w:tc>
        <w:tc>
          <w:tcPr>
            <w:tcW w:w="6480" w:type="dxa"/>
            <w:tcBorders>
              <w:top w:val="single" w:sz="4" w:space="0" w:color="auto"/>
              <w:left w:val="single" w:sz="4" w:space="0" w:color="auto"/>
              <w:bottom w:val="single" w:sz="4" w:space="0" w:color="auto"/>
              <w:right w:val="single" w:sz="4" w:space="0" w:color="auto"/>
            </w:tcBorders>
          </w:tcPr>
          <w:p w14:paraId="22199E6F" w14:textId="77777777" w:rsidR="00930D96" w:rsidRPr="008C4A39" w:rsidRDefault="00930D96" w:rsidP="001136D3">
            <w:pPr>
              <w:spacing w:after="0"/>
              <w:ind w:right="-360"/>
              <w:jc w:val="left"/>
              <w:rPr>
                <w:szCs w:val="24"/>
              </w:rPr>
            </w:pPr>
            <w:r w:rsidRPr="008C4A39">
              <w:rPr>
                <w:rFonts w:eastAsia="Calibri"/>
                <w:szCs w:val="24"/>
              </w:rPr>
              <w:t>The RMC must support the obsolescence of the Risk profiles without being deleted and keeping the history for those profiles.</w:t>
            </w:r>
          </w:p>
        </w:tc>
      </w:tr>
      <w:tr w:rsidR="00930D96" w:rsidRPr="008C4A39" w14:paraId="098D28E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287A9E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3CCF619A"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7680689"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2F88D38" w14:textId="77777777" w:rsidTr="00883B07">
        <w:trPr>
          <w:tblHeader/>
        </w:trPr>
        <w:tc>
          <w:tcPr>
            <w:tcW w:w="2785" w:type="dxa"/>
            <w:gridSpan w:val="3"/>
            <w:tcBorders>
              <w:top w:val="single" w:sz="4" w:space="0" w:color="auto"/>
              <w:left w:val="single" w:sz="4" w:space="0" w:color="auto"/>
              <w:bottom w:val="single" w:sz="4" w:space="0" w:color="auto"/>
              <w:right w:val="single" w:sz="4" w:space="0" w:color="auto"/>
            </w:tcBorders>
          </w:tcPr>
          <w:p w14:paraId="7AE034BF" w14:textId="77777777" w:rsidR="00930D96" w:rsidRPr="008C4A39" w:rsidRDefault="00930D96" w:rsidP="001136D3">
            <w:pPr>
              <w:spacing w:after="0"/>
              <w:ind w:right="-360"/>
              <w:jc w:val="left"/>
              <w:rPr>
                <w:szCs w:val="24"/>
              </w:rPr>
            </w:pPr>
            <w:r w:rsidRPr="008C4A39">
              <w:rPr>
                <w:rFonts w:eastAsia="Calibri"/>
                <w:szCs w:val="24"/>
                <w:lang w:val="en-GB"/>
              </w:rPr>
              <w:t>FR508</w:t>
            </w:r>
          </w:p>
        </w:tc>
        <w:tc>
          <w:tcPr>
            <w:tcW w:w="6480" w:type="dxa"/>
            <w:tcBorders>
              <w:top w:val="single" w:sz="4" w:space="0" w:color="auto"/>
              <w:left w:val="single" w:sz="4" w:space="0" w:color="auto"/>
              <w:bottom w:val="single" w:sz="4" w:space="0" w:color="auto"/>
              <w:right w:val="single" w:sz="4" w:space="0" w:color="auto"/>
            </w:tcBorders>
          </w:tcPr>
          <w:p w14:paraId="0654817F" w14:textId="77777777" w:rsidR="00930D96" w:rsidRPr="008C4A39" w:rsidRDefault="00930D96" w:rsidP="001136D3">
            <w:pPr>
              <w:spacing w:after="0"/>
              <w:ind w:right="-360"/>
              <w:jc w:val="left"/>
              <w:rPr>
                <w:szCs w:val="24"/>
              </w:rPr>
            </w:pPr>
            <w:r w:rsidRPr="008C4A39">
              <w:rPr>
                <w:rFonts w:eastAsia="Calibri"/>
                <w:szCs w:val="24"/>
              </w:rPr>
              <w:t>The RMC must allow search of the risk profiles based on different criteria, including tagging.</w:t>
            </w:r>
          </w:p>
        </w:tc>
      </w:tr>
      <w:tr w:rsidR="00930D96" w:rsidRPr="008C4A39" w14:paraId="180469EA"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44EA45D"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09DD059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C5FFF96"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519AC9EC" w14:textId="77777777" w:rsidTr="00883B07">
        <w:trPr>
          <w:tblHeader/>
        </w:trPr>
        <w:tc>
          <w:tcPr>
            <w:tcW w:w="2695" w:type="dxa"/>
            <w:gridSpan w:val="2"/>
            <w:tcBorders>
              <w:top w:val="single" w:sz="4" w:space="0" w:color="auto"/>
              <w:left w:val="single" w:sz="4" w:space="0" w:color="auto"/>
              <w:bottom w:val="single" w:sz="4" w:space="0" w:color="auto"/>
              <w:right w:val="single" w:sz="4" w:space="0" w:color="auto"/>
            </w:tcBorders>
          </w:tcPr>
          <w:p w14:paraId="7F2B710D" w14:textId="77777777" w:rsidR="00930D96" w:rsidRPr="008C4A39" w:rsidRDefault="00930D96" w:rsidP="001136D3">
            <w:pPr>
              <w:spacing w:after="0"/>
              <w:ind w:right="-360"/>
              <w:jc w:val="left"/>
              <w:rPr>
                <w:szCs w:val="24"/>
              </w:rPr>
            </w:pPr>
            <w:r w:rsidRPr="008C4A39">
              <w:rPr>
                <w:rFonts w:eastAsia="Calibri"/>
                <w:szCs w:val="24"/>
                <w:lang w:val="en-GB"/>
              </w:rPr>
              <w:t>FR509</w:t>
            </w:r>
          </w:p>
        </w:tc>
        <w:tc>
          <w:tcPr>
            <w:tcW w:w="6570" w:type="dxa"/>
            <w:gridSpan w:val="2"/>
            <w:tcBorders>
              <w:top w:val="single" w:sz="4" w:space="0" w:color="auto"/>
              <w:left w:val="single" w:sz="4" w:space="0" w:color="auto"/>
              <w:bottom w:val="single" w:sz="4" w:space="0" w:color="auto"/>
              <w:right w:val="single" w:sz="4" w:space="0" w:color="auto"/>
            </w:tcBorders>
          </w:tcPr>
          <w:p w14:paraId="409CF6B6" w14:textId="77777777" w:rsidR="00930D96" w:rsidRPr="008C4A39" w:rsidRDefault="00930D96" w:rsidP="001136D3">
            <w:pPr>
              <w:spacing w:after="0"/>
              <w:rPr>
                <w:iCs/>
                <w:szCs w:val="24"/>
                <w:lang w:val="en-GB"/>
              </w:rPr>
            </w:pPr>
            <w:r w:rsidRPr="008C4A39">
              <w:rPr>
                <w:iCs/>
                <w:szCs w:val="24"/>
                <w:lang w:val="en-GB"/>
              </w:rPr>
              <w:t xml:space="preserve">The Solution must keep an audit trail of all data changes, such as, but not limited to: </w:t>
            </w:r>
          </w:p>
          <w:p w14:paraId="60B168AD" w14:textId="77777777" w:rsidR="00930D96" w:rsidRPr="008C4A39" w:rsidRDefault="00930D96" w:rsidP="00D530D5">
            <w:pPr>
              <w:numPr>
                <w:ilvl w:val="0"/>
                <w:numId w:val="161"/>
              </w:numPr>
              <w:spacing w:after="0"/>
              <w:rPr>
                <w:szCs w:val="24"/>
              </w:rPr>
            </w:pPr>
            <w:r w:rsidRPr="008C4A39">
              <w:rPr>
                <w:szCs w:val="24"/>
              </w:rPr>
              <w:t>What data was affected?</w:t>
            </w:r>
          </w:p>
          <w:p w14:paraId="11099668" w14:textId="77777777" w:rsidR="00930D96" w:rsidRPr="008C4A39" w:rsidRDefault="00930D96" w:rsidP="00D530D5">
            <w:pPr>
              <w:numPr>
                <w:ilvl w:val="0"/>
                <w:numId w:val="161"/>
              </w:numPr>
              <w:spacing w:after="0"/>
              <w:rPr>
                <w:szCs w:val="24"/>
                <w:lang w:val="en-GB"/>
              </w:rPr>
            </w:pPr>
            <w:r w:rsidRPr="008C4A39">
              <w:rPr>
                <w:szCs w:val="24"/>
                <w:lang w:val="en-GB"/>
              </w:rPr>
              <w:t xml:space="preserve">The kind of change (creation, </w:t>
            </w:r>
            <w:proofErr w:type="gramStart"/>
            <w:r w:rsidRPr="008C4A39">
              <w:rPr>
                <w:szCs w:val="24"/>
                <w:lang w:val="en-GB"/>
              </w:rPr>
              <w:t>update</w:t>
            </w:r>
            <w:proofErr w:type="gramEnd"/>
            <w:r w:rsidRPr="008C4A39">
              <w:rPr>
                <w:szCs w:val="24"/>
                <w:lang w:val="en-GB"/>
              </w:rPr>
              <w:t xml:space="preserve"> or deletion)</w:t>
            </w:r>
          </w:p>
          <w:p w14:paraId="37DBDA4A" w14:textId="77777777" w:rsidR="00930D96" w:rsidRPr="008C4A39" w:rsidRDefault="00930D96" w:rsidP="00D530D5">
            <w:pPr>
              <w:numPr>
                <w:ilvl w:val="0"/>
                <w:numId w:val="161"/>
              </w:numPr>
              <w:spacing w:after="0"/>
              <w:rPr>
                <w:szCs w:val="24"/>
              </w:rPr>
            </w:pPr>
            <w:r w:rsidRPr="008C4A39">
              <w:rPr>
                <w:szCs w:val="24"/>
              </w:rPr>
              <w:t xml:space="preserve">Who </w:t>
            </w:r>
            <w:proofErr w:type="gramStart"/>
            <w:r w:rsidRPr="008C4A39">
              <w:rPr>
                <w:szCs w:val="24"/>
              </w:rPr>
              <w:t>applied</w:t>
            </w:r>
            <w:proofErr w:type="gramEnd"/>
            <w:r w:rsidRPr="008C4A39">
              <w:rPr>
                <w:szCs w:val="24"/>
              </w:rPr>
              <w:t xml:space="preserve"> the change?</w:t>
            </w:r>
          </w:p>
          <w:p w14:paraId="08521FCE" w14:textId="77777777" w:rsidR="00930D96" w:rsidRPr="008C4A39" w:rsidRDefault="00930D96" w:rsidP="00D530D5">
            <w:pPr>
              <w:numPr>
                <w:ilvl w:val="0"/>
                <w:numId w:val="161"/>
              </w:numPr>
              <w:spacing w:after="0"/>
              <w:rPr>
                <w:szCs w:val="24"/>
              </w:rPr>
            </w:pPr>
            <w:r w:rsidRPr="008C4A39">
              <w:rPr>
                <w:szCs w:val="24"/>
                <w:lang w:val="en-GB"/>
              </w:rPr>
              <w:t>When was the change applied?</w:t>
            </w:r>
          </w:p>
        </w:tc>
      </w:tr>
      <w:tr w:rsidR="00930D96" w:rsidRPr="008C4A39" w14:paraId="74C3394D"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A414364"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E0FC4EC"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07A4759"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BE35CD1" w14:textId="77777777" w:rsidTr="00883B07">
        <w:trPr>
          <w:tblHeader/>
        </w:trPr>
        <w:tc>
          <w:tcPr>
            <w:tcW w:w="2695" w:type="dxa"/>
            <w:gridSpan w:val="2"/>
            <w:tcBorders>
              <w:top w:val="single" w:sz="4" w:space="0" w:color="auto"/>
              <w:left w:val="single" w:sz="4" w:space="0" w:color="auto"/>
              <w:bottom w:val="single" w:sz="4" w:space="0" w:color="auto"/>
              <w:right w:val="single" w:sz="4" w:space="0" w:color="auto"/>
            </w:tcBorders>
          </w:tcPr>
          <w:p w14:paraId="6E027649" w14:textId="77777777" w:rsidR="00930D96" w:rsidRPr="008C4A39" w:rsidRDefault="00930D96" w:rsidP="001136D3">
            <w:pPr>
              <w:spacing w:after="0"/>
              <w:ind w:right="-360"/>
              <w:jc w:val="left"/>
              <w:rPr>
                <w:szCs w:val="24"/>
              </w:rPr>
            </w:pPr>
            <w:r w:rsidRPr="008C4A39">
              <w:rPr>
                <w:rFonts w:eastAsia="Calibri"/>
                <w:szCs w:val="24"/>
                <w:lang w:val="en-GB"/>
              </w:rPr>
              <w:t>FR510</w:t>
            </w:r>
          </w:p>
        </w:tc>
        <w:tc>
          <w:tcPr>
            <w:tcW w:w="6570" w:type="dxa"/>
            <w:gridSpan w:val="2"/>
            <w:tcBorders>
              <w:top w:val="single" w:sz="4" w:space="0" w:color="auto"/>
              <w:left w:val="single" w:sz="4" w:space="0" w:color="auto"/>
              <w:bottom w:val="single" w:sz="4" w:space="0" w:color="auto"/>
              <w:right w:val="single" w:sz="4" w:space="0" w:color="auto"/>
            </w:tcBorders>
          </w:tcPr>
          <w:p w14:paraId="6F80D11E" w14:textId="77777777" w:rsidR="00930D96" w:rsidRPr="008C4A39" w:rsidRDefault="00930D96" w:rsidP="001136D3">
            <w:pPr>
              <w:spacing w:after="0"/>
              <w:ind w:right="-360"/>
              <w:jc w:val="left"/>
              <w:rPr>
                <w:szCs w:val="24"/>
              </w:rPr>
            </w:pPr>
            <w:r w:rsidRPr="008C4A39">
              <w:rPr>
                <w:szCs w:val="24"/>
                <w:lang w:val="en-GB"/>
              </w:rPr>
              <w:t xml:space="preserve">The Solution must support configuration of roles and user rights to all functionality in the Solution based on a CRUD approach, i.e. one </w:t>
            </w:r>
            <w:r w:rsidRPr="008C4A39">
              <w:rPr>
                <w:szCs w:val="24"/>
                <w:lang w:val="en-GB"/>
              </w:rPr>
              <w:lastRenderedPageBreak/>
              <w:t>user can read Risk Profile but not update them, whereas another user can do both.</w:t>
            </w:r>
          </w:p>
        </w:tc>
      </w:tr>
      <w:tr w:rsidR="00930D96" w:rsidRPr="008C4A39" w14:paraId="0B801D7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C6C8D94" w14:textId="77777777" w:rsidR="00930D96" w:rsidRPr="008C4A39" w:rsidRDefault="00930D96" w:rsidP="001136D3">
            <w:pPr>
              <w:spacing w:after="0"/>
              <w:ind w:right="-360"/>
              <w:jc w:val="left"/>
              <w:rPr>
                <w:szCs w:val="24"/>
              </w:rPr>
            </w:pPr>
            <w:r w:rsidRPr="008C4A39">
              <w:rPr>
                <w:szCs w:val="24"/>
              </w:rPr>
              <w:lastRenderedPageBreak/>
              <w:t xml:space="preserve">Bidder’s technical reasons supporting compliance: </w:t>
            </w:r>
          </w:p>
        </w:tc>
      </w:tr>
      <w:tr w:rsidR="00930D96" w:rsidRPr="008C4A39" w14:paraId="40DEB6DA"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CF728A2"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538B0561" w14:textId="77777777" w:rsidTr="00883B07">
        <w:trPr>
          <w:tblHeader/>
        </w:trPr>
        <w:tc>
          <w:tcPr>
            <w:tcW w:w="2695" w:type="dxa"/>
            <w:gridSpan w:val="2"/>
            <w:tcBorders>
              <w:top w:val="single" w:sz="4" w:space="0" w:color="auto"/>
              <w:left w:val="single" w:sz="4" w:space="0" w:color="auto"/>
              <w:bottom w:val="single" w:sz="4" w:space="0" w:color="auto"/>
              <w:right w:val="single" w:sz="4" w:space="0" w:color="auto"/>
            </w:tcBorders>
          </w:tcPr>
          <w:p w14:paraId="3B19A788" w14:textId="77777777" w:rsidR="00930D96" w:rsidRPr="008C4A39" w:rsidRDefault="00930D96" w:rsidP="001136D3">
            <w:pPr>
              <w:spacing w:after="0"/>
              <w:ind w:right="-360"/>
              <w:jc w:val="left"/>
              <w:rPr>
                <w:szCs w:val="24"/>
              </w:rPr>
            </w:pPr>
            <w:r w:rsidRPr="008C4A39">
              <w:rPr>
                <w:rFonts w:eastAsia="Calibri"/>
                <w:szCs w:val="24"/>
                <w:lang w:val="en-GB"/>
              </w:rPr>
              <w:t>FR511</w:t>
            </w:r>
          </w:p>
        </w:tc>
        <w:tc>
          <w:tcPr>
            <w:tcW w:w="6570" w:type="dxa"/>
            <w:gridSpan w:val="2"/>
            <w:tcBorders>
              <w:top w:val="single" w:sz="4" w:space="0" w:color="auto"/>
              <w:left w:val="single" w:sz="4" w:space="0" w:color="auto"/>
              <w:bottom w:val="single" w:sz="4" w:space="0" w:color="auto"/>
              <w:right w:val="single" w:sz="4" w:space="0" w:color="auto"/>
            </w:tcBorders>
          </w:tcPr>
          <w:p w14:paraId="623CDA2E" w14:textId="77777777" w:rsidR="00930D96" w:rsidRPr="008C4A39" w:rsidRDefault="00930D96" w:rsidP="001136D3">
            <w:pPr>
              <w:spacing w:after="0"/>
              <w:ind w:right="-360"/>
              <w:jc w:val="left"/>
              <w:rPr>
                <w:szCs w:val="24"/>
              </w:rPr>
            </w:pPr>
            <w:r w:rsidRPr="008C4A39">
              <w:rPr>
                <w:rFonts w:eastAsia="Calibri"/>
                <w:szCs w:val="24"/>
                <w:lang w:val="en-GB"/>
              </w:rPr>
              <w:t xml:space="preserve">The RMC must provide functionality to copy risk profiles and paste them, allowing changes afterwards. </w:t>
            </w:r>
          </w:p>
        </w:tc>
      </w:tr>
      <w:tr w:rsidR="00930D96" w:rsidRPr="008C4A39" w14:paraId="7C2D822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75A3EF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E554D8A"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8E82EB8"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67F91EC2" w14:textId="77777777" w:rsidTr="00883B07">
        <w:trPr>
          <w:tblHeader/>
        </w:trPr>
        <w:tc>
          <w:tcPr>
            <w:tcW w:w="2695" w:type="dxa"/>
            <w:gridSpan w:val="2"/>
            <w:tcBorders>
              <w:top w:val="single" w:sz="4" w:space="0" w:color="auto"/>
              <w:left w:val="single" w:sz="4" w:space="0" w:color="auto"/>
              <w:bottom w:val="single" w:sz="4" w:space="0" w:color="auto"/>
              <w:right w:val="single" w:sz="4" w:space="0" w:color="auto"/>
            </w:tcBorders>
          </w:tcPr>
          <w:p w14:paraId="298C9B59" w14:textId="77777777" w:rsidR="00930D96" w:rsidRPr="008C4A39" w:rsidRDefault="00930D96" w:rsidP="001136D3">
            <w:pPr>
              <w:spacing w:after="0"/>
              <w:ind w:right="-360"/>
              <w:jc w:val="left"/>
              <w:rPr>
                <w:szCs w:val="24"/>
              </w:rPr>
            </w:pPr>
            <w:r w:rsidRPr="008C4A39">
              <w:rPr>
                <w:rFonts w:eastAsia="Calibri"/>
                <w:szCs w:val="24"/>
                <w:lang w:val="en-GB"/>
              </w:rPr>
              <w:t>FR512</w:t>
            </w:r>
          </w:p>
        </w:tc>
        <w:tc>
          <w:tcPr>
            <w:tcW w:w="6570" w:type="dxa"/>
            <w:gridSpan w:val="2"/>
            <w:tcBorders>
              <w:top w:val="single" w:sz="4" w:space="0" w:color="auto"/>
              <w:left w:val="single" w:sz="4" w:space="0" w:color="auto"/>
              <w:bottom w:val="single" w:sz="4" w:space="0" w:color="auto"/>
              <w:right w:val="single" w:sz="4" w:space="0" w:color="auto"/>
            </w:tcBorders>
          </w:tcPr>
          <w:p w14:paraId="123074AF" w14:textId="77777777" w:rsidR="00930D96" w:rsidRPr="008C4A39" w:rsidRDefault="00930D96" w:rsidP="001136D3">
            <w:pPr>
              <w:spacing w:after="0"/>
              <w:ind w:right="-360"/>
              <w:jc w:val="left"/>
              <w:rPr>
                <w:szCs w:val="24"/>
              </w:rPr>
            </w:pPr>
            <w:r w:rsidRPr="008C4A39">
              <w:rPr>
                <w:rFonts w:eastAsia="Calibri"/>
                <w:szCs w:val="24"/>
                <w:lang w:val="en-GB"/>
              </w:rPr>
              <w:t>The RMC must allow generation of report about the risk profiles, whereas the similarities could be easily identified.</w:t>
            </w:r>
          </w:p>
        </w:tc>
      </w:tr>
      <w:tr w:rsidR="00930D96" w:rsidRPr="008C4A39" w14:paraId="28023B1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B1DF9BA"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5A169D6"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8A10DF5"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5DE3072E" w14:textId="77777777" w:rsidTr="00883B07">
        <w:trPr>
          <w:tblHeader/>
        </w:trPr>
        <w:tc>
          <w:tcPr>
            <w:tcW w:w="2695" w:type="dxa"/>
            <w:gridSpan w:val="2"/>
            <w:tcBorders>
              <w:top w:val="single" w:sz="4" w:space="0" w:color="auto"/>
              <w:left w:val="single" w:sz="4" w:space="0" w:color="auto"/>
              <w:bottom w:val="single" w:sz="4" w:space="0" w:color="auto"/>
              <w:right w:val="single" w:sz="4" w:space="0" w:color="auto"/>
            </w:tcBorders>
          </w:tcPr>
          <w:p w14:paraId="2C661E12" w14:textId="77777777" w:rsidR="00930D96" w:rsidRPr="008C4A39" w:rsidRDefault="00930D96" w:rsidP="001136D3">
            <w:pPr>
              <w:spacing w:after="0"/>
              <w:ind w:right="-360"/>
              <w:jc w:val="left"/>
              <w:rPr>
                <w:szCs w:val="24"/>
              </w:rPr>
            </w:pPr>
            <w:r w:rsidRPr="008C4A39">
              <w:rPr>
                <w:rFonts w:eastAsia="Calibri"/>
                <w:szCs w:val="24"/>
                <w:lang w:val="en-GB"/>
              </w:rPr>
              <w:t>FR513</w:t>
            </w:r>
          </w:p>
        </w:tc>
        <w:tc>
          <w:tcPr>
            <w:tcW w:w="6570" w:type="dxa"/>
            <w:gridSpan w:val="2"/>
            <w:tcBorders>
              <w:top w:val="single" w:sz="4" w:space="0" w:color="auto"/>
              <w:left w:val="single" w:sz="4" w:space="0" w:color="auto"/>
              <w:bottom w:val="single" w:sz="4" w:space="0" w:color="auto"/>
              <w:right w:val="single" w:sz="4" w:space="0" w:color="auto"/>
            </w:tcBorders>
          </w:tcPr>
          <w:p w14:paraId="649C5E85" w14:textId="184BF321" w:rsidR="00930D96" w:rsidRPr="008C4A39" w:rsidRDefault="00660624" w:rsidP="00660624">
            <w:pPr>
              <w:spacing w:after="0"/>
              <w:ind w:right="-360"/>
              <w:jc w:val="left"/>
              <w:rPr>
                <w:szCs w:val="24"/>
              </w:rPr>
            </w:pPr>
            <w:r>
              <w:rPr>
                <w:szCs w:val="24"/>
                <w:lang w:val="en-GB"/>
              </w:rPr>
              <w:t xml:space="preserve">The Solution must ensure that </w:t>
            </w:r>
            <w:r w:rsidR="00930D96" w:rsidRPr="008C4A39">
              <w:rPr>
                <w:szCs w:val="24"/>
                <w:lang w:val="en-GB"/>
              </w:rPr>
              <w:t>the status of the Risk profile can be changed from closed to open</w:t>
            </w:r>
            <w:r w:rsidR="00930D96" w:rsidRPr="008C4A39">
              <w:rPr>
                <w:szCs w:val="24"/>
              </w:rPr>
              <w:t xml:space="preserve"> and vice versa</w:t>
            </w:r>
            <w:r w:rsidR="00930D96" w:rsidRPr="008C4A39">
              <w:rPr>
                <w:szCs w:val="24"/>
                <w:lang w:val="en-GB"/>
              </w:rPr>
              <w:t>.</w:t>
            </w:r>
          </w:p>
        </w:tc>
      </w:tr>
      <w:tr w:rsidR="00930D96" w:rsidRPr="008C4A39" w14:paraId="6E8B39C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9975B02"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343D2B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E33C61A"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9721A40" w14:textId="77777777" w:rsidTr="00883B07">
        <w:trPr>
          <w:tblHeader/>
        </w:trPr>
        <w:tc>
          <w:tcPr>
            <w:tcW w:w="2785" w:type="dxa"/>
            <w:gridSpan w:val="3"/>
            <w:shd w:val="clear" w:color="auto" w:fill="D9D9D9" w:themeFill="background1" w:themeFillShade="D9"/>
          </w:tcPr>
          <w:p w14:paraId="2C612120"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254093C8"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0504F830" w14:textId="77777777" w:rsidTr="00883B07">
        <w:tc>
          <w:tcPr>
            <w:tcW w:w="9265" w:type="dxa"/>
            <w:gridSpan w:val="4"/>
          </w:tcPr>
          <w:p w14:paraId="6965E4BC" w14:textId="77777777" w:rsidR="00930D96" w:rsidRPr="008C4A39" w:rsidRDefault="00930D96" w:rsidP="001136D3">
            <w:pPr>
              <w:spacing w:after="0"/>
              <w:rPr>
                <w:b/>
                <w:i/>
                <w:szCs w:val="24"/>
              </w:rPr>
            </w:pPr>
            <w:r w:rsidRPr="008C4A39">
              <w:rPr>
                <w:b/>
                <w:i/>
                <w:szCs w:val="24"/>
              </w:rPr>
              <w:t>1.2.13.</w:t>
            </w:r>
            <w:proofErr w:type="gramStart"/>
            <w:r w:rsidRPr="008C4A39">
              <w:rPr>
                <w:b/>
                <w:i/>
                <w:szCs w:val="24"/>
              </w:rPr>
              <w:t>7.Process</w:t>
            </w:r>
            <w:proofErr w:type="gramEnd"/>
            <w:r w:rsidRPr="008C4A39">
              <w:rPr>
                <w:b/>
                <w:i/>
                <w:szCs w:val="24"/>
              </w:rPr>
              <w:t>: Maintain Risk Scoring model</w:t>
            </w:r>
          </w:p>
        </w:tc>
      </w:tr>
      <w:tr w:rsidR="00930D96" w:rsidRPr="008C4A39" w14:paraId="53137798" w14:textId="77777777" w:rsidTr="00883B07">
        <w:tc>
          <w:tcPr>
            <w:tcW w:w="2785" w:type="dxa"/>
            <w:gridSpan w:val="3"/>
            <w:vAlign w:val="center"/>
          </w:tcPr>
          <w:p w14:paraId="2AB1EE87" w14:textId="77777777" w:rsidR="00930D96" w:rsidRPr="008C4A39" w:rsidRDefault="00930D96" w:rsidP="001136D3">
            <w:pPr>
              <w:spacing w:after="0"/>
              <w:jc w:val="left"/>
              <w:rPr>
                <w:szCs w:val="24"/>
              </w:rPr>
            </w:pPr>
            <w:r w:rsidRPr="008C4A39">
              <w:rPr>
                <w:rFonts w:eastAsia="Calibri"/>
                <w:szCs w:val="24"/>
                <w:lang w:val="en-GB"/>
              </w:rPr>
              <w:t>FR269</w:t>
            </w:r>
          </w:p>
        </w:tc>
        <w:tc>
          <w:tcPr>
            <w:tcW w:w="6480" w:type="dxa"/>
          </w:tcPr>
          <w:p w14:paraId="07188784" w14:textId="77777777" w:rsidR="00930D96" w:rsidRPr="008C4A39" w:rsidRDefault="00930D96" w:rsidP="001136D3">
            <w:pPr>
              <w:spacing w:after="0"/>
              <w:jc w:val="left"/>
              <w:rPr>
                <w:szCs w:val="24"/>
              </w:rPr>
            </w:pPr>
            <w:r w:rsidRPr="008C4A39">
              <w:rPr>
                <w:rFonts w:eastAsia="Calibri"/>
                <w:szCs w:val="24"/>
                <w:lang w:val="en-GB"/>
              </w:rPr>
              <w:t xml:space="preserve">The RMC must provide for a risk-rating tool (scoring model). For each criterion, the RMS shall provide for a user definable risk rating (e.g., high, </w:t>
            </w:r>
            <w:proofErr w:type="gramStart"/>
            <w:r w:rsidRPr="008C4A39">
              <w:rPr>
                <w:rFonts w:eastAsia="Calibri"/>
                <w:szCs w:val="24"/>
                <w:lang w:val="en-GB"/>
              </w:rPr>
              <w:t>medium</w:t>
            </w:r>
            <w:proofErr w:type="gramEnd"/>
            <w:r w:rsidRPr="008C4A39">
              <w:rPr>
                <w:rFonts w:eastAsia="Calibri"/>
                <w:szCs w:val="24"/>
                <w:lang w:val="en-GB"/>
              </w:rPr>
              <w:t xml:space="preserve"> and low) shall be determined and a weight coefficient assigned to differentiate each profile according to the priority of each profile.</w:t>
            </w:r>
          </w:p>
        </w:tc>
      </w:tr>
      <w:tr w:rsidR="00930D96" w:rsidRPr="008C4A39" w14:paraId="220468E4"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CDFD53E"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02B4BD72"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E38C39A"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7E67EA8" w14:textId="77777777" w:rsidTr="00883B07">
        <w:tc>
          <w:tcPr>
            <w:tcW w:w="2785" w:type="dxa"/>
            <w:gridSpan w:val="3"/>
            <w:vAlign w:val="center"/>
          </w:tcPr>
          <w:p w14:paraId="6AD4715D" w14:textId="77777777" w:rsidR="00930D96" w:rsidRPr="008C4A39" w:rsidRDefault="00930D96" w:rsidP="001136D3">
            <w:pPr>
              <w:spacing w:after="0"/>
              <w:rPr>
                <w:szCs w:val="24"/>
              </w:rPr>
            </w:pPr>
            <w:r w:rsidRPr="008C4A39">
              <w:rPr>
                <w:rFonts w:eastAsia="Calibri"/>
                <w:szCs w:val="24"/>
                <w:lang w:val="en-GB"/>
              </w:rPr>
              <w:t>FR270</w:t>
            </w:r>
          </w:p>
        </w:tc>
        <w:tc>
          <w:tcPr>
            <w:tcW w:w="6480" w:type="dxa"/>
          </w:tcPr>
          <w:p w14:paraId="730DEA68" w14:textId="77777777" w:rsidR="00930D96" w:rsidRPr="008C4A39" w:rsidRDefault="00930D96" w:rsidP="001136D3">
            <w:pPr>
              <w:spacing w:after="0"/>
              <w:rPr>
                <w:szCs w:val="24"/>
              </w:rPr>
            </w:pPr>
            <w:r w:rsidRPr="008C4A39">
              <w:rPr>
                <w:rFonts w:eastAsia="Calibri"/>
                <w:szCs w:val="24"/>
                <w:lang w:val="en-GB"/>
              </w:rPr>
              <w:t>The RMC scoring model must provide a risk-rating algorithm / method will be applied. This score is one element within the risk assessment toolset. It can be used to rank risk criteria, profiles to assist with direct attention to areas of greatest risk.</w:t>
            </w:r>
          </w:p>
        </w:tc>
      </w:tr>
      <w:tr w:rsidR="00930D96" w:rsidRPr="008C4A39" w14:paraId="7025FEA2"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095DC01"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197326CF"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7CA678BF"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49D0862C" w14:textId="77777777" w:rsidTr="00883B07">
        <w:trPr>
          <w:tblHeader/>
        </w:trPr>
        <w:tc>
          <w:tcPr>
            <w:tcW w:w="2785" w:type="dxa"/>
            <w:gridSpan w:val="3"/>
            <w:shd w:val="clear" w:color="auto" w:fill="auto"/>
            <w:vAlign w:val="center"/>
          </w:tcPr>
          <w:p w14:paraId="71A48A92" w14:textId="77777777" w:rsidR="00930D96" w:rsidRPr="008C4A39" w:rsidRDefault="00930D96" w:rsidP="001136D3">
            <w:pPr>
              <w:spacing w:after="0"/>
              <w:rPr>
                <w:szCs w:val="24"/>
              </w:rPr>
            </w:pPr>
            <w:r w:rsidRPr="008C4A39">
              <w:rPr>
                <w:rFonts w:eastAsia="Calibri"/>
                <w:szCs w:val="24"/>
                <w:lang w:val="en-GB"/>
              </w:rPr>
              <w:t>FR271</w:t>
            </w:r>
          </w:p>
        </w:tc>
        <w:tc>
          <w:tcPr>
            <w:tcW w:w="6480" w:type="dxa"/>
            <w:shd w:val="clear" w:color="auto" w:fill="auto"/>
          </w:tcPr>
          <w:p w14:paraId="5064E5CB" w14:textId="77777777" w:rsidR="00930D96" w:rsidRPr="008C4A39" w:rsidRDefault="00930D96" w:rsidP="001136D3">
            <w:pPr>
              <w:spacing w:after="0"/>
              <w:rPr>
                <w:szCs w:val="24"/>
              </w:rPr>
            </w:pPr>
            <w:r w:rsidRPr="008C4A39">
              <w:rPr>
                <w:rFonts w:eastAsia="Calibri"/>
                <w:szCs w:val="24"/>
                <w:lang w:val="en-GB"/>
              </w:rPr>
              <w:t xml:space="preserve">The RMC must provide functionality to reassess the risk scoring model at </w:t>
            </w:r>
            <w:proofErr w:type="gramStart"/>
            <w:r w:rsidRPr="008C4A39">
              <w:rPr>
                <w:rFonts w:eastAsia="Calibri"/>
                <w:szCs w:val="24"/>
                <w:lang w:val="en-GB"/>
              </w:rPr>
              <w:t>particular time</w:t>
            </w:r>
            <w:proofErr w:type="gramEnd"/>
            <w:r w:rsidRPr="008C4A39">
              <w:rPr>
                <w:rFonts w:eastAsia="Calibri"/>
                <w:szCs w:val="24"/>
                <w:lang w:val="en-GB"/>
              </w:rPr>
              <w:t xml:space="preserve"> intervals and when the risk rating criteria changes.</w:t>
            </w:r>
          </w:p>
        </w:tc>
      </w:tr>
      <w:tr w:rsidR="00930D96" w:rsidRPr="008C4A39" w14:paraId="332E6FE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FB80F43"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3AA75E9"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787E6B5"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0A5EB1B8" w14:textId="77777777" w:rsidTr="00883B07">
        <w:trPr>
          <w:tblHeader/>
        </w:trPr>
        <w:tc>
          <w:tcPr>
            <w:tcW w:w="2785" w:type="dxa"/>
            <w:gridSpan w:val="3"/>
            <w:shd w:val="clear" w:color="auto" w:fill="auto"/>
            <w:vAlign w:val="center"/>
          </w:tcPr>
          <w:p w14:paraId="4D7A4269" w14:textId="77777777" w:rsidR="00930D96" w:rsidRPr="008C4A39" w:rsidRDefault="00930D96" w:rsidP="001136D3">
            <w:pPr>
              <w:spacing w:after="0"/>
              <w:rPr>
                <w:szCs w:val="24"/>
              </w:rPr>
            </w:pPr>
            <w:r w:rsidRPr="008C4A39">
              <w:rPr>
                <w:rFonts w:eastAsia="Calibri"/>
                <w:szCs w:val="24"/>
                <w:lang w:val="en-GB"/>
              </w:rPr>
              <w:t>FR272</w:t>
            </w:r>
          </w:p>
        </w:tc>
        <w:tc>
          <w:tcPr>
            <w:tcW w:w="6480" w:type="dxa"/>
            <w:shd w:val="clear" w:color="auto" w:fill="auto"/>
          </w:tcPr>
          <w:p w14:paraId="66529D05" w14:textId="77777777" w:rsidR="00930D96" w:rsidRPr="008C4A39" w:rsidRDefault="00930D96" w:rsidP="001136D3">
            <w:pPr>
              <w:spacing w:after="0"/>
              <w:rPr>
                <w:szCs w:val="24"/>
              </w:rPr>
            </w:pPr>
            <w:r w:rsidRPr="008C4A39">
              <w:rPr>
                <w:rFonts w:eastAsia="Calibri"/>
                <w:szCs w:val="24"/>
                <w:lang w:val="en-GB"/>
              </w:rPr>
              <w:t>The RMC risk rating must be able to assess the risk of an entity as well as the transaction pre-, post- or at the border, because these risks may be different.</w:t>
            </w:r>
          </w:p>
        </w:tc>
      </w:tr>
      <w:tr w:rsidR="00930D96" w:rsidRPr="008C4A39" w14:paraId="10D96ECE"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DD49EB5"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48578AC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07CA1CB"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222D9DAF" w14:textId="77777777" w:rsidTr="00883B07">
        <w:trPr>
          <w:tblHeader/>
        </w:trPr>
        <w:tc>
          <w:tcPr>
            <w:tcW w:w="2785" w:type="dxa"/>
            <w:gridSpan w:val="3"/>
            <w:shd w:val="clear" w:color="auto" w:fill="auto"/>
            <w:vAlign w:val="center"/>
          </w:tcPr>
          <w:p w14:paraId="61734683" w14:textId="77777777" w:rsidR="00930D96" w:rsidRPr="008C4A39" w:rsidRDefault="00930D96" w:rsidP="001136D3">
            <w:pPr>
              <w:spacing w:after="0"/>
              <w:rPr>
                <w:szCs w:val="24"/>
              </w:rPr>
            </w:pPr>
            <w:r w:rsidRPr="008C4A39">
              <w:rPr>
                <w:rFonts w:eastAsia="Calibri"/>
                <w:szCs w:val="24"/>
                <w:lang w:val="en-GB"/>
              </w:rPr>
              <w:t>FR273</w:t>
            </w:r>
          </w:p>
        </w:tc>
        <w:tc>
          <w:tcPr>
            <w:tcW w:w="6480" w:type="dxa"/>
            <w:shd w:val="clear" w:color="auto" w:fill="auto"/>
          </w:tcPr>
          <w:p w14:paraId="1E64F592" w14:textId="77777777" w:rsidR="00930D96" w:rsidRPr="001136D3" w:rsidRDefault="00930D96" w:rsidP="001136D3">
            <w:pPr>
              <w:spacing w:after="0"/>
              <w:rPr>
                <w:szCs w:val="24"/>
              </w:rPr>
            </w:pPr>
            <w:r w:rsidRPr="001136D3">
              <w:rPr>
                <w:rFonts w:eastAsia="Calibri"/>
                <w:szCs w:val="24"/>
                <w:lang w:val="en-GB"/>
              </w:rPr>
              <w:t xml:space="preserve">Where the risk rating for an entity / transaction exceeds a predetermined threshold, the RMC shall generate an alert will be </w:t>
            </w:r>
            <w:r w:rsidRPr="001136D3">
              <w:rPr>
                <w:rFonts w:eastAsia="Calibri"/>
                <w:szCs w:val="24"/>
                <w:lang w:val="en-GB"/>
              </w:rPr>
              <w:lastRenderedPageBreak/>
              <w:t>created automatically, identifying that entity / transaction to be of concern.</w:t>
            </w:r>
          </w:p>
        </w:tc>
      </w:tr>
      <w:tr w:rsidR="00930D96" w:rsidRPr="008C4A39" w14:paraId="68787B9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B070C87" w14:textId="77777777" w:rsidR="00930D96" w:rsidRPr="008C4A39" w:rsidRDefault="00930D96" w:rsidP="001136D3">
            <w:pPr>
              <w:spacing w:after="0"/>
              <w:ind w:right="-360"/>
              <w:jc w:val="left"/>
              <w:rPr>
                <w:szCs w:val="24"/>
              </w:rPr>
            </w:pPr>
            <w:r w:rsidRPr="008C4A39">
              <w:rPr>
                <w:szCs w:val="24"/>
              </w:rPr>
              <w:lastRenderedPageBreak/>
              <w:t xml:space="preserve">Bidder’s technical reasons supporting compliance:  </w:t>
            </w:r>
          </w:p>
        </w:tc>
      </w:tr>
      <w:tr w:rsidR="00930D96" w:rsidRPr="008C4A39" w14:paraId="03AF2EB0"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12A6D47"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12CA7BF7" w14:textId="77777777" w:rsidTr="00883B07">
        <w:trPr>
          <w:tblHeader/>
        </w:trPr>
        <w:tc>
          <w:tcPr>
            <w:tcW w:w="2785" w:type="dxa"/>
            <w:gridSpan w:val="3"/>
            <w:shd w:val="clear" w:color="auto" w:fill="D9D9D9" w:themeFill="background1" w:themeFillShade="D9"/>
          </w:tcPr>
          <w:p w14:paraId="30D2FAFA"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28F32476"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627375C4" w14:textId="77777777" w:rsidTr="00883B07">
        <w:tc>
          <w:tcPr>
            <w:tcW w:w="9265" w:type="dxa"/>
            <w:gridSpan w:val="4"/>
          </w:tcPr>
          <w:p w14:paraId="7D0275F0" w14:textId="77777777" w:rsidR="00930D96" w:rsidRPr="008C4A39" w:rsidRDefault="00930D96" w:rsidP="001136D3">
            <w:pPr>
              <w:spacing w:after="0"/>
              <w:rPr>
                <w:b/>
                <w:szCs w:val="24"/>
              </w:rPr>
            </w:pPr>
            <w:r w:rsidRPr="008C4A39">
              <w:rPr>
                <w:b/>
                <w:szCs w:val="24"/>
              </w:rPr>
              <w:t>1.2.14. Referent Tables</w:t>
            </w:r>
          </w:p>
        </w:tc>
      </w:tr>
      <w:tr w:rsidR="006E6F0B" w:rsidRPr="008C4A39" w14:paraId="6F79BE75" w14:textId="77777777" w:rsidTr="00883B07">
        <w:tc>
          <w:tcPr>
            <w:tcW w:w="2785" w:type="dxa"/>
            <w:gridSpan w:val="3"/>
          </w:tcPr>
          <w:p w14:paraId="0279CA88" w14:textId="00F6971E" w:rsidR="006E6F0B" w:rsidRPr="008C4A39" w:rsidRDefault="006E6F0B" w:rsidP="001136D3">
            <w:pPr>
              <w:spacing w:after="0"/>
              <w:rPr>
                <w:szCs w:val="24"/>
              </w:rPr>
            </w:pPr>
            <w:r w:rsidRPr="00014667">
              <w:rPr>
                <w:rFonts w:eastAsia="Calibri"/>
                <w:szCs w:val="24"/>
                <w:lang w:val="en-GB"/>
              </w:rPr>
              <w:t>FR</w:t>
            </w:r>
            <w:r>
              <w:rPr>
                <w:rFonts w:eastAsia="Calibri"/>
                <w:szCs w:val="24"/>
                <w:lang w:val="en-GB"/>
              </w:rPr>
              <w:t>572</w:t>
            </w:r>
          </w:p>
        </w:tc>
        <w:tc>
          <w:tcPr>
            <w:tcW w:w="6480" w:type="dxa"/>
          </w:tcPr>
          <w:p w14:paraId="155B6D38" w14:textId="0F101DB6" w:rsidR="006E6F0B" w:rsidRPr="008C4A39" w:rsidRDefault="006E6F0B" w:rsidP="001136D3">
            <w:pPr>
              <w:spacing w:after="0"/>
              <w:rPr>
                <w:szCs w:val="24"/>
              </w:rPr>
            </w:pPr>
            <w:r w:rsidRPr="00014667">
              <w:rPr>
                <w:rFonts w:eastAsia="Calibri"/>
                <w:szCs w:val="24"/>
                <w:lang w:val="en-GB"/>
              </w:rPr>
              <w:t>The system must be able to have module for reference tables from where the common data will be shared within other modules/services.</w:t>
            </w:r>
          </w:p>
        </w:tc>
      </w:tr>
      <w:tr w:rsidR="00930D96" w:rsidRPr="008C4A39" w14:paraId="241B2C3B"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C8C796E"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5E7D06E0"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417CA0E9"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p w14:paraId="6535DD70" w14:textId="77777777" w:rsidR="00930D96" w:rsidRPr="008C4A39" w:rsidRDefault="00930D96" w:rsidP="001136D3">
            <w:pPr>
              <w:spacing w:after="0"/>
              <w:rPr>
                <w:szCs w:val="24"/>
              </w:rPr>
            </w:pPr>
          </w:p>
        </w:tc>
      </w:tr>
      <w:tr w:rsidR="006E6F0B" w:rsidRPr="008C4A39" w14:paraId="6EB2A765" w14:textId="77777777" w:rsidTr="001136D3">
        <w:tc>
          <w:tcPr>
            <w:tcW w:w="2785" w:type="dxa"/>
            <w:gridSpan w:val="3"/>
            <w:vAlign w:val="center"/>
          </w:tcPr>
          <w:p w14:paraId="7D7D9C82" w14:textId="57AC4E72" w:rsidR="006E6F0B" w:rsidRPr="008C4A39" w:rsidRDefault="006E6F0B" w:rsidP="001136D3">
            <w:pPr>
              <w:spacing w:after="0"/>
              <w:rPr>
                <w:szCs w:val="24"/>
              </w:rPr>
            </w:pPr>
            <w:r w:rsidRPr="00014667">
              <w:rPr>
                <w:rFonts w:eastAsia="Calibri"/>
                <w:szCs w:val="24"/>
                <w:lang w:val="en-GB"/>
              </w:rPr>
              <w:t>FR573</w:t>
            </w:r>
          </w:p>
        </w:tc>
        <w:tc>
          <w:tcPr>
            <w:tcW w:w="6480" w:type="dxa"/>
          </w:tcPr>
          <w:p w14:paraId="56EA1EF6" w14:textId="084A57D7" w:rsidR="006E6F0B" w:rsidRPr="008C4A39" w:rsidRDefault="006E6F0B" w:rsidP="001136D3">
            <w:pPr>
              <w:spacing w:after="0"/>
              <w:jc w:val="left"/>
              <w:rPr>
                <w:szCs w:val="24"/>
              </w:rPr>
            </w:pPr>
            <w:r w:rsidRPr="00014667">
              <w:rPr>
                <w:rFonts w:eastAsia="Calibri"/>
                <w:szCs w:val="24"/>
                <w:lang w:val="en-GB"/>
              </w:rPr>
              <w:t>The system must have user interface to define and manage the reference tables</w:t>
            </w:r>
          </w:p>
        </w:tc>
      </w:tr>
      <w:tr w:rsidR="00930D96" w:rsidRPr="008C4A39" w14:paraId="07155DC5"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56CCBA56"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88637EE"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59BB10F4"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6E6F0B" w:rsidRPr="008C4A39" w14:paraId="15BAD11D" w14:textId="77777777" w:rsidTr="001136D3">
        <w:trPr>
          <w:tblHeader/>
        </w:trPr>
        <w:tc>
          <w:tcPr>
            <w:tcW w:w="2785" w:type="dxa"/>
            <w:gridSpan w:val="3"/>
            <w:shd w:val="clear" w:color="auto" w:fill="auto"/>
            <w:vAlign w:val="center"/>
          </w:tcPr>
          <w:p w14:paraId="501C96C0" w14:textId="1AE4A26F" w:rsidR="006E6F0B" w:rsidRPr="008C4A39" w:rsidRDefault="006E6F0B" w:rsidP="001136D3">
            <w:pPr>
              <w:spacing w:after="0"/>
              <w:rPr>
                <w:szCs w:val="24"/>
              </w:rPr>
            </w:pPr>
            <w:r w:rsidRPr="00014667">
              <w:rPr>
                <w:rFonts w:eastAsia="Calibri"/>
                <w:szCs w:val="24"/>
                <w:lang w:val="en-GB"/>
              </w:rPr>
              <w:t>FR574</w:t>
            </w:r>
          </w:p>
        </w:tc>
        <w:tc>
          <w:tcPr>
            <w:tcW w:w="6480" w:type="dxa"/>
            <w:shd w:val="clear" w:color="auto" w:fill="auto"/>
          </w:tcPr>
          <w:p w14:paraId="73D0362A" w14:textId="50383F02" w:rsidR="006E6F0B" w:rsidRPr="008C4A39" w:rsidRDefault="006E6F0B" w:rsidP="001136D3">
            <w:pPr>
              <w:spacing w:after="0"/>
              <w:rPr>
                <w:szCs w:val="24"/>
              </w:rPr>
            </w:pPr>
            <w:r w:rsidRPr="00014667">
              <w:rPr>
                <w:rFonts w:eastAsia="Calibri"/>
                <w:szCs w:val="24"/>
                <w:lang w:val="en-GB"/>
              </w:rPr>
              <w:t>The system must have API to provide the data from the referent tables</w:t>
            </w:r>
          </w:p>
        </w:tc>
      </w:tr>
      <w:tr w:rsidR="00930D96" w:rsidRPr="008C4A39" w14:paraId="619D49CC"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AF4EFB8"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28029784"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A24FCC9"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1CBF83F7" w14:textId="77777777" w:rsidTr="00883B07">
        <w:trPr>
          <w:tblHeader/>
        </w:trPr>
        <w:tc>
          <w:tcPr>
            <w:tcW w:w="2785" w:type="dxa"/>
            <w:gridSpan w:val="3"/>
            <w:shd w:val="clear" w:color="auto" w:fill="D9D9D9" w:themeFill="background1" w:themeFillShade="D9"/>
          </w:tcPr>
          <w:p w14:paraId="31E72089"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0AD80835"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1376B57E" w14:textId="77777777" w:rsidTr="00883B07">
        <w:tc>
          <w:tcPr>
            <w:tcW w:w="9265" w:type="dxa"/>
            <w:gridSpan w:val="4"/>
          </w:tcPr>
          <w:p w14:paraId="7A3662BC" w14:textId="77777777" w:rsidR="00930D96" w:rsidRPr="008C4A39" w:rsidRDefault="00930D96" w:rsidP="001136D3">
            <w:pPr>
              <w:spacing w:after="0"/>
              <w:rPr>
                <w:b/>
                <w:bCs/>
                <w:iCs/>
                <w:szCs w:val="24"/>
              </w:rPr>
            </w:pPr>
            <w:r w:rsidRPr="008C4A39">
              <w:rPr>
                <w:b/>
                <w:szCs w:val="24"/>
              </w:rPr>
              <w:t>1.2.15. Reporting Service</w:t>
            </w:r>
          </w:p>
        </w:tc>
      </w:tr>
      <w:tr w:rsidR="00C83465" w:rsidRPr="008C4A39" w14:paraId="3167FE13" w14:textId="77777777" w:rsidTr="00883B07">
        <w:tc>
          <w:tcPr>
            <w:tcW w:w="2785" w:type="dxa"/>
            <w:gridSpan w:val="3"/>
          </w:tcPr>
          <w:p w14:paraId="4C1D6B87" w14:textId="1C55E1E6" w:rsidR="00C83465" w:rsidRPr="008C4A39" w:rsidRDefault="00C83465" w:rsidP="001136D3">
            <w:pPr>
              <w:spacing w:after="0"/>
              <w:rPr>
                <w:szCs w:val="24"/>
              </w:rPr>
            </w:pPr>
            <w:r>
              <w:rPr>
                <w:szCs w:val="24"/>
              </w:rPr>
              <w:t>FR163</w:t>
            </w:r>
          </w:p>
        </w:tc>
        <w:tc>
          <w:tcPr>
            <w:tcW w:w="6480" w:type="dxa"/>
          </w:tcPr>
          <w:p w14:paraId="1FB30232" w14:textId="25C7EB7B" w:rsidR="00C83465" w:rsidRPr="008C4A39" w:rsidRDefault="00C83465" w:rsidP="001136D3">
            <w:pPr>
              <w:spacing w:after="0"/>
              <w:rPr>
                <w:szCs w:val="24"/>
              </w:rPr>
            </w:pPr>
            <w:r>
              <w:rPr>
                <w:szCs w:val="24"/>
              </w:rPr>
              <w:t>The NSW must allow generation of reports to facilitate effective monitoring of performance and SLAs.</w:t>
            </w:r>
          </w:p>
        </w:tc>
      </w:tr>
      <w:tr w:rsidR="00C83465" w:rsidRPr="008C4A39" w14:paraId="546A65BE"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7D8AE46F" w14:textId="77777777" w:rsidR="00C83465" w:rsidRPr="008C4A39" w:rsidRDefault="00C83465" w:rsidP="001136D3">
            <w:pPr>
              <w:spacing w:after="0"/>
              <w:ind w:right="-360"/>
              <w:jc w:val="left"/>
              <w:rPr>
                <w:szCs w:val="24"/>
              </w:rPr>
            </w:pPr>
            <w:r w:rsidRPr="008C4A39">
              <w:rPr>
                <w:szCs w:val="24"/>
              </w:rPr>
              <w:t xml:space="preserve">Bidder’s technical reasons supporting compliance:  </w:t>
            </w:r>
          </w:p>
        </w:tc>
      </w:tr>
      <w:tr w:rsidR="00C83465" w:rsidRPr="008C4A39" w14:paraId="4B0C803B"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0CE07C3" w14:textId="77777777" w:rsidR="00C83465" w:rsidRPr="008C4A39" w:rsidRDefault="00C83465" w:rsidP="001136D3">
            <w:pPr>
              <w:spacing w:after="0"/>
              <w:ind w:right="-360"/>
              <w:jc w:val="left"/>
              <w:rPr>
                <w:szCs w:val="24"/>
              </w:rPr>
            </w:pPr>
            <w:r w:rsidRPr="008C4A39">
              <w:rPr>
                <w:szCs w:val="24"/>
              </w:rPr>
              <w:t>Bidder’s cross references to supporting information in Technical Bid:</w:t>
            </w:r>
          </w:p>
        </w:tc>
      </w:tr>
      <w:tr w:rsidR="006E6F0B" w:rsidRPr="008C4A39" w14:paraId="36DF2050" w14:textId="77777777" w:rsidTr="001136D3">
        <w:tc>
          <w:tcPr>
            <w:tcW w:w="2785" w:type="dxa"/>
            <w:gridSpan w:val="3"/>
            <w:vAlign w:val="center"/>
          </w:tcPr>
          <w:p w14:paraId="39A040B5" w14:textId="566D2C41" w:rsidR="006E6F0B" w:rsidRPr="008C4A39" w:rsidRDefault="006E6F0B" w:rsidP="001136D3">
            <w:pPr>
              <w:spacing w:after="0"/>
              <w:rPr>
                <w:szCs w:val="24"/>
              </w:rPr>
            </w:pPr>
            <w:r w:rsidRPr="00014667">
              <w:rPr>
                <w:rFonts w:eastAsia="Calibri"/>
                <w:szCs w:val="24"/>
                <w:lang w:val="en-GB"/>
              </w:rPr>
              <w:t>FR575</w:t>
            </w:r>
          </w:p>
        </w:tc>
        <w:tc>
          <w:tcPr>
            <w:tcW w:w="6480" w:type="dxa"/>
          </w:tcPr>
          <w:p w14:paraId="53DF4176" w14:textId="3547A716" w:rsidR="006E6F0B" w:rsidRPr="008C4A39" w:rsidRDefault="006E6F0B" w:rsidP="001136D3">
            <w:pPr>
              <w:spacing w:after="0"/>
              <w:jc w:val="left"/>
              <w:rPr>
                <w:szCs w:val="24"/>
              </w:rPr>
            </w:pPr>
            <w:r w:rsidRPr="00014667">
              <w:rPr>
                <w:rFonts w:eastAsia="Calibri"/>
                <w:szCs w:val="24"/>
                <w:lang w:val="en-GB"/>
              </w:rPr>
              <w:t xml:space="preserve">The system must be able to provide reporting functionality for the business, </w:t>
            </w:r>
            <w:proofErr w:type="gramStart"/>
            <w:r w:rsidRPr="00014667">
              <w:rPr>
                <w:rFonts w:eastAsia="Calibri"/>
                <w:szCs w:val="24"/>
                <w:lang w:val="en-GB"/>
              </w:rPr>
              <w:t>services</w:t>
            </w:r>
            <w:proofErr w:type="gramEnd"/>
            <w:r w:rsidRPr="00014667">
              <w:rPr>
                <w:rFonts w:eastAsia="Calibri"/>
                <w:szCs w:val="24"/>
                <w:lang w:val="en-GB"/>
              </w:rPr>
              <w:t xml:space="preserve"> and system.</w:t>
            </w:r>
          </w:p>
        </w:tc>
      </w:tr>
      <w:tr w:rsidR="006E6F0B" w:rsidRPr="008C4A39" w14:paraId="511D00DC"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28E76BBD" w14:textId="77777777" w:rsidR="006E6F0B" w:rsidRPr="008C4A39" w:rsidRDefault="006E6F0B" w:rsidP="001136D3">
            <w:pPr>
              <w:spacing w:after="0"/>
              <w:ind w:right="-360"/>
              <w:jc w:val="left"/>
              <w:rPr>
                <w:szCs w:val="24"/>
              </w:rPr>
            </w:pPr>
            <w:r w:rsidRPr="008C4A39">
              <w:rPr>
                <w:szCs w:val="24"/>
              </w:rPr>
              <w:t xml:space="preserve">Bidder’s technical reasons supporting compliance:  </w:t>
            </w:r>
          </w:p>
        </w:tc>
      </w:tr>
      <w:tr w:rsidR="006E6F0B" w:rsidRPr="008C4A39" w14:paraId="609157E6"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60B6D189" w14:textId="77777777" w:rsidR="006E6F0B" w:rsidRPr="008C4A39" w:rsidRDefault="006E6F0B" w:rsidP="001136D3">
            <w:pPr>
              <w:spacing w:after="0"/>
              <w:ind w:right="-360"/>
              <w:jc w:val="left"/>
              <w:rPr>
                <w:szCs w:val="24"/>
              </w:rPr>
            </w:pPr>
            <w:r w:rsidRPr="008C4A39">
              <w:rPr>
                <w:szCs w:val="24"/>
              </w:rPr>
              <w:t>Bidder’s cross references to supporting information in Technical Bid:</w:t>
            </w:r>
          </w:p>
        </w:tc>
      </w:tr>
      <w:tr w:rsidR="006E6F0B" w:rsidRPr="008C4A39" w14:paraId="71F87DCA" w14:textId="77777777" w:rsidTr="001136D3">
        <w:trPr>
          <w:tblHeader/>
        </w:trPr>
        <w:tc>
          <w:tcPr>
            <w:tcW w:w="2785" w:type="dxa"/>
            <w:gridSpan w:val="3"/>
            <w:shd w:val="clear" w:color="auto" w:fill="auto"/>
            <w:vAlign w:val="center"/>
          </w:tcPr>
          <w:p w14:paraId="42E5F84F" w14:textId="7EFE2CAA" w:rsidR="006E6F0B" w:rsidRPr="008C4A39" w:rsidRDefault="006E6F0B" w:rsidP="001136D3">
            <w:pPr>
              <w:spacing w:after="0"/>
              <w:rPr>
                <w:szCs w:val="24"/>
              </w:rPr>
            </w:pPr>
            <w:r w:rsidRPr="00014667">
              <w:rPr>
                <w:rFonts w:eastAsia="Calibri"/>
                <w:szCs w:val="24"/>
                <w:lang w:val="en-GB"/>
              </w:rPr>
              <w:t>FR576</w:t>
            </w:r>
          </w:p>
        </w:tc>
        <w:tc>
          <w:tcPr>
            <w:tcW w:w="6480" w:type="dxa"/>
            <w:shd w:val="clear" w:color="auto" w:fill="auto"/>
          </w:tcPr>
          <w:p w14:paraId="0B73BBCE" w14:textId="02E0A3F2" w:rsidR="006E6F0B" w:rsidRPr="008C4A39" w:rsidRDefault="006E6F0B" w:rsidP="001136D3">
            <w:pPr>
              <w:spacing w:after="0"/>
              <w:rPr>
                <w:szCs w:val="24"/>
              </w:rPr>
            </w:pPr>
            <w:r w:rsidRPr="00014667">
              <w:rPr>
                <w:rFonts w:eastAsia="Calibri"/>
                <w:szCs w:val="24"/>
                <w:lang w:val="en-GB"/>
              </w:rPr>
              <w:t>The system must be able to integrate with the current environment referring to data infrastructure (data warehouse and authentication systems).</w:t>
            </w:r>
          </w:p>
        </w:tc>
      </w:tr>
      <w:tr w:rsidR="006E6F0B" w:rsidRPr="008C4A39" w14:paraId="152CB3E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4FE91D0" w14:textId="1219CD2B" w:rsidR="006E6F0B" w:rsidRPr="008C4A39" w:rsidRDefault="006E6F0B" w:rsidP="001136D3">
            <w:pPr>
              <w:spacing w:after="0"/>
              <w:ind w:right="-360"/>
              <w:jc w:val="left"/>
              <w:rPr>
                <w:szCs w:val="24"/>
              </w:rPr>
            </w:pPr>
            <w:r w:rsidRPr="008C4A39">
              <w:rPr>
                <w:szCs w:val="24"/>
              </w:rPr>
              <w:t xml:space="preserve">Bidder’s technical reasons supporting compliance:  </w:t>
            </w:r>
          </w:p>
        </w:tc>
      </w:tr>
      <w:tr w:rsidR="006E6F0B" w:rsidRPr="008C4A39" w14:paraId="30FBF08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EFE6880" w14:textId="141F5B98" w:rsidR="006E6F0B" w:rsidRPr="008C4A39" w:rsidRDefault="006E6F0B" w:rsidP="001136D3">
            <w:pPr>
              <w:spacing w:after="0"/>
              <w:ind w:right="-360"/>
              <w:jc w:val="left"/>
              <w:rPr>
                <w:szCs w:val="24"/>
              </w:rPr>
            </w:pPr>
            <w:r w:rsidRPr="008C4A39">
              <w:rPr>
                <w:szCs w:val="24"/>
              </w:rPr>
              <w:t>Bidder’s cross references to supporting information in Technical Bid:</w:t>
            </w:r>
          </w:p>
        </w:tc>
      </w:tr>
      <w:tr w:rsidR="006E6F0B" w:rsidRPr="008C4A39" w14:paraId="4A066661" w14:textId="77777777" w:rsidTr="001136D3">
        <w:trPr>
          <w:tblHeader/>
        </w:trPr>
        <w:tc>
          <w:tcPr>
            <w:tcW w:w="2785" w:type="dxa"/>
            <w:gridSpan w:val="3"/>
            <w:shd w:val="clear" w:color="auto" w:fill="auto"/>
            <w:vAlign w:val="center"/>
          </w:tcPr>
          <w:p w14:paraId="4C4873BE" w14:textId="0DCAE14B" w:rsidR="006E6F0B" w:rsidRPr="008C4A39" w:rsidRDefault="006E6F0B" w:rsidP="001136D3">
            <w:pPr>
              <w:spacing w:after="0"/>
              <w:rPr>
                <w:szCs w:val="24"/>
              </w:rPr>
            </w:pPr>
            <w:r w:rsidRPr="00014667">
              <w:rPr>
                <w:rFonts w:eastAsia="Calibri"/>
                <w:szCs w:val="24"/>
                <w:lang w:val="en-GB"/>
              </w:rPr>
              <w:t>FR577</w:t>
            </w:r>
          </w:p>
        </w:tc>
        <w:tc>
          <w:tcPr>
            <w:tcW w:w="6480" w:type="dxa"/>
            <w:shd w:val="clear" w:color="auto" w:fill="auto"/>
          </w:tcPr>
          <w:p w14:paraId="128D190B" w14:textId="56F8470F" w:rsidR="006E6F0B" w:rsidRPr="008C4A39" w:rsidRDefault="006E6F0B" w:rsidP="001136D3">
            <w:pPr>
              <w:spacing w:after="0"/>
              <w:rPr>
                <w:szCs w:val="24"/>
              </w:rPr>
            </w:pPr>
            <w:r w:rsidRPr="00014667">
              <w:rPr>
                <w:rFonts w:eastAsia="Calibri"/>
                <w:szCs w:val="24"/>
                <w:lang w:val="en-GB"/>
              </w:rPr>
              <w:t>The system must have option to tailor data analysis by creating customizable dashboards to present specific business and service’s needs.</w:t>
            </w:r>
          </w:p>
        </w:tc>
      </w:tr>
      <w:tr w:rsidR="006E6F0B" w:rsidRPr="008C4A39" w14:paraId="7802F2A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2927798" w14:textId="361ECF02" w:rsidR="006E6F0B" w:rsidRPr="008C4A39" w:rsidRDefault="006E6F0B" w:rsidP="001136D3">
            <w:pPr>
              <w:spacing w:after="0"/>
              <w:ind w:right="-360"/>
              <w:jc w:val="left"/>
              <w:rPr>
                <w:szCs w:val="24"/>
              </w:rPr>
            </w:pPr>
            <w:r w:rsidRPr="008C4A39">
              <w:rPr>
                <w:szCs w:val="24"/>
              </w:rPr>
              <w:t xml:space="preserve">Bidder’s technical reasons supporting compliance:  </w:t>
            </w:r>
          </w:p>
        </w:tc>
      </w:tr>
      <w:tr w:rsidR="006E6F0B" w:rsidRPr="008C4A39" w14:paraId="3DCF3294"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24251624" w14:textId="59BDC394" w:rsidR="006E6F0B" w:rsidRPr="008C4A39" w:rsidRDefault="006E6F0B" w:rsidP="001136D3">
            <w:pPr>
              <w:spacing w:after="0"/>
              <w:ind w:right="-360"/>
              <w:jc w:val="left"/>
              <w:rPr>
                <w:szCs w:val="24"/>
              </w:rPr>
            </w:pPr>
            <w:r w:rsidRPr="008C4A39">
              <w:rPr>
                <w:szCs w:val="24"/>
              </w:rPr>
              <w:t>Bidder’s cross references to supporting information in Technical Bid:</w:t>
            </w:r>
          </w:p>
        </w:tc>
      </w:tr>
      <w:tr w:rsidR="006E6F0B" w:rsidRPr="008C4A39" w14:paraId="655EC835" w14:textId="77777777" w:rsidTr="001136D3">
        <w:trPr>
          <w:tblHeader/>
        </w:trPr>
        <w:tc>
          <w:tcPr>
            <w:tcW w:w="2785" w:type="dxa"/>
            <w:gridSpan w:val="3"/>
            <w:shd w:val="clear" w:color="auto" w:fill="auto"/>
            <w:vAlign w:val="center"/>
          </w:tcPr>
          <w:p w14:paraId="50D426E4" w14:textId="1BF7A19C" w:rsidR="006E6F0B" w:rsidRPr="008C4A39" w:rsidRDefault="006E6F0B" w:rsidP="001136D3">
            <w:pPr>
              <w:spacing w:after="0"/>
              <w:rPr>
                <w:szCs w:val="24"/>
              </w:rPr>
            </w:pPr>
            <w:r w:rsidRPr="00014667">
              <w:rPr>
                <w:rFonts w:eastAsia="Calibri"/>
                <w:szCs w:val="24"/>
                <w:lang w:val="en-GB"/>
              </w:rPr>
              <w:t>FR578</w:t>
            </w:r>
          </w:p>
        </w:tc>
        <w:tc>
          <w:tcPr>
            <w:tcW w:w="6480" w:type="dxa"/>
            <w:shd w:val="clear" w:color="auto" w:fill="auto"/>
          </w:tcPr>
          <w:p w14:paraId="75E4CB79" w14:textId="107CB9FC" w:rsidR="006E6F0B" w:rsidRPr="008C4A39" w:rsidRDefault="006E6F0B" w:rsidP="001136D3">
            <w:pPr>
              <w:spacing w:after="0"/>
              <w:rPr>
                <w:szCs w:val="24"/>
              </w:rPr>
            </w:pPr>
            <w:r w:rsidRPr="00014667">
              <w:rPr>
                <w:rFonts w:eastAsia="Calibri"/>
                <w:szCs w:val="24"/>
                <w:lang w:val="en-GB"/>
              </w:rPr>
              <w:t xml:space="preserve">The system shall have the drag and drop functionality for widgets, </w:t>
            </w:r>
            <w:proofErr w:type="gramStart"/>
            <w:r w:rsidRPr="00014667">
              <w:rPr>
                <w:rFonts w:eastAsia="Calibri"/>
                <w:szCs w:val="24"/>
                <w:lang w:val="en-GB"/>
              </w:rPr>
              <w:t>graphs</w:t>
            </w:r>
            <w:proofErr w:type="gramEnd"/>
            <w:r w:rsidRPr="00014667">
              <w:rPr>
                <w:rFonts w:eastAsia="Calibri"/>
                <w:szCs w:val="24"/>
                <w:lang w:val="en-GB"/>
              </w:rPr>
              <w:t xml:space="preserve"> and charts in order to visualize the data.</w:t>
            </w:r>
          </w:p>
        </w:tc>
      </w:tr>
      <w:tr w:rsidR="006E6F0B" w:rsidRPr="008C4A39" w14:paraId="52939D3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0337EC9" w14:textId="054A5A74" w:rsidR="006E6F0B" w:rsidRPr="008C4A39" w:rsidRDefault="006E6F0B" w:rsidP="001136D3">
            <w:pPr>
              <w:spacing w:after="0"/>
              <w:ind w:right="-360"/>
              <w:jc w:val="left"/>
              <w:rPr>
                <w:szCs w:val="24"/>
              </w:rPr>
            </w:pPr>
            <w:r w:rsidRPr="008C4A39">
              <w:rPr>
                <w:szCs w:val="24"/>
              </w:rPr>
              <w:t xml:space="preserve">Bidder’s technical reasons supporting compliance:  </w:t>
            </w:r>
          </w:p>
        </w:tc>
      </w:tr>
      <w:tr w:rsidR="006E6F0B" w:rsidRPr="008C4A39" w14:paraId="0862291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40329AB" w14:textId="1B9FC303" w:rsidR="006E6F0B" w:rsidRPr="008C4A39" w:rsidRDefault="006E6F0B" w:rsidP="001136D3">
            <w:pPr>
              <w:spacing w:after="0"/>
              <w:ind w:right="-360"/>
              <w:jc w:val="left"/>
              <w:rPr>
                <w:szCs w:val="24"/>
              </w:rPr>
            </w:pPr>
            <w:r w:rsidRPr="008C4A39">
              <w:rPr>
                <w:szCs w:val="24"/>
              </w:rPr>
              <w:t>Bidder’s cross references to supporting information in Technical Bid:</w:t>
            </w:r>
          </w:p>
        </w:tc>
      </w:tr>
      <w:tr w:rsidR="006E6F0B" w:rsidRPr="008C4A39" w14:paraId="1824A3BF" w14:textId="64937EA5" w:rsidTr="001136D3">
        <w:trPr>
          <w:tblHeader/>
        </w:trPr>
        <w:tc>
          <w:tcPr>
            <w:tcW w:w="2785" w:type="dxa"/>
            <w:gridSpan w:val="3"/>
            <w:tcBorders>
              <w:top w:val="single" w:sz="4" w:space="0" w:color="auto"/>
              <w:left w:val="single" w:sz="4" w:space="0" w:color="auto"/>
              <w:bottom w:val="single" w:sz="4" w:space="0" w:color="auto"/>
              <w:right w:val="single" w:sz="4" w:space="0" w:color="auto"/>
            </w:tcBorders>
            <w:vAlign w:val="center"/>
          </w:tcPr>
          <w:p w14:paraId="42DC4A8C" w14:textId="54F1EAE4" w:rsidR="006E6F0B" w:rsidRDefault="006E6F0B" w:rsidP="006E6F0B">
            <w:pPr>
              <w:spacing w:after="0"/>
              <w:ind w:right="-360"/>
              <w:jc w:val="left"/>
              <w:rPr>
                <w:szCs w:val="24"/>
              </w:rPr>
            </w:pPr>
            <w:r w:rsidRPr="00014667">
              <w:rPr>
                <w:rFonts w:eastAsia="Calibri"/>
                <w:szCs w:val="24"/>
                <w:lang w:val="en-GB"/>
              </w:rPr>
              <w:lastRenderedPageBreak/>
              <w:t>FR579</w:t>
            </w:r>
          </w:p>
        </w:tc>
        <w:tc>
          <w:tcPr>
            <w:tcW w:w="6480" w:type="dxa"/>
            <w:tcBorders>
              <w:top w:val="single" w:sz="4" w:space="0" w:color="auto"/>
              <w:left w:val="single" w:sz="4" w:space="0" w:color="auto"/>
              <w:bottom w:val="single" w:sz="4" w:space="0" w:color="auto"/>
              <w:right w:val="single" w:sz="4" w:space="0" w:color="auto"/>
            </w:tcBorders>
          </w:tcPr>
          <w:p w14:paraId="096E731C" w14:textId="17633B98" w:rsidR="006E6F0B" w:rsidRDefault="006E6F0B" w:rsidP="006E6F0B">
            <w:pPr>
              <w:spacing w:after="0"/>
              <w:ind w:right="-360"/>
              <w:jc w:val="left"/>
              <w:rPr>
                <w:szCs w:val="24"/>
              </w:rPr>
            </w:pPr>
            <w:r w:rsidRPr="00014667">
              <w:rPr>
                <w:rFonts w:eastAsia="Calibri"/>
                <w:szCs w:val="24"/>
                <w:lang w:val="en-GB"/>
              </w:rPr>
              <w:t>The system must be able to use real-time data synchronization.</w:t>
            </w:r>
          </w:p>
        </w:tc>
      </w:tr>
      <w:tr w:rsidR="006E6F0B" w:rsidRPr="008C4A39" w14:paraId="6E8A5F0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23FA42E" w14:textId="416BE15E" w:rsidR="006E6F0B" w:rsidRDefault="006E6F0B" w:rsidP="006E6F0B">
            <w:pPr>
              <w:spacing w:after="0"/>
              <w:ind w:right="-360"/>
              <w:jc w:val="left"/>
              <w:rPr>
                <w:szCs w:val="24"/>
              </w:rPr>
            </w:pPr>
            <w:r w:rsidRPr="008C4A39">
              <w:rPr>
                <w:szCs w:val="24"/>
              </w:rPr>
              <w:t xml:space="preserve">Bidder’s technical reasons supporting compliance:  </w:t>
            </w:r>
          </w:p>
        </w:tc>
      </w:tr>
      <w:tr w:rsidR="006E6F0B" w:rsidRPr="008C4A39" w14:paraId="51AEFF0F"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B77E592" w14:textId="3EB710B6" w:rsidR="006E6F0B" w:rsidRDefault="006E6F0B" w:rsidP="006E6F0B">
            <w:pPr>
              <w:spacing w:after="0"/>
              <w:ind w:right="-360"/>
              <w:jc w:val="left"/>
              <w:rPr>
                <w:szCs w:val="24"/>
              </w:rPr>
            </w:pPr>
            <w:r w:rsidRPr="008C4A39">
              <w:rPr>
                <w:szCs w:val="24"/>
              </w:rPr>
              <w:t>Bidder’s cross references to supporting information in Technical Bid:</w:t>
            </w:r>
          </w:p>
        </w:tc>
      </w:tr>
      <w:tr w:rsidR="006E6F0B" w:rsidRPr="008C4A39" w14:paraId="5C895E93" w14:textId="2D5BA198" w:rsidTr="001136D3">
        <w:trPr>
          <w:tblHeader/>
        </w:trPr>
        <w:tc>
          <w:tcPr>
            <w:tcW w:w="2785" w:type="dxa"/>
            <w:gridSpan w:val="3"/>
            <w:tcBorders>
              <w:top w:val="single" w:sz="4" w:space="0" w:color="auto"/>
              <w:left w:val="single" w:sz="4" w:space="0" w:color="auto"/>
              <w:bottom w:val="single" w:sz="4" w:space="0" w:color="auto"/>
              <w:right w:val="single" w:sz="4" w:space="0" w:color="auto"/>
            </w:tcBorders>
            <w:vAlign w:val="center"/>
          </w:tcPr>
          <w:p w14:paraId="627924E5" w14:textId="3DFFD9A7" w:rsidR="006E6F0B" w:rsidRDefault="006E6F0B" w:rsidP="006E6F0B">
            <w:pPr>
              <w:spacing w:after="0"/>
              <w:ind w:right="-360"/>
              <w:jc w:val="left"/>
              <w:rPr>
                <w:szCs w:val="24"/>
              </w:rPr>
            </w:pPr>
            <w:r w:rsidRPr="00014667">
              <w:rPr>
                <w:rFonts w:eastAsia="Calibri"/>
                <w:szCs w:val="24"/>
                <w:lang w:val="en-GB"/>
              </w:rPr>
              <w:t>FR580</w:t>
            </w:r>
          </w:p>
        </w:tc>
        <w:tc>
          <w:tcPr>
            <w:tcW w:w="6480" w:type="dxa"/>
            <w:tcBorders>
              <w:top w:val="single" w:sz="4" w:space="0" w:color="auto"/>
              <w:left w:val="single" w:sz="4" w:space="0" w:color="auto"/>
              <w:bottom w:val="single" w:sz="4" w:space="0" w:color="auto"/>
              <w:right w:val="single" w:sz="4" w:space="0" w:color="auto"/>
            </w:tcBorders>
          </w:tcPr>
          <w:p w14:paraId="2F5318AA" w14:textId="5BF41614" w:rsidR="006E6F0B" w:rsidRDefault="006E6F0B" w:rsidP="006E6F0B">
            <w:pPr>
              <w:spacing w:after="0"/>
              <w:ind w:right="-360"/>
              <w:jc w:val="left"/>
              <w:rPr>
                <w:szCs w:val="24"/>
              </w:rPr>
            </w:pPr>
            <w:r w:rsidRPr="00014667">
              <w:rPr>
                <w:rFonts w:eastAsia="Calibri"/>
                <w:szCs w:val="24"/>
                <w:lang w:val="en-GB"/>
              </w:rPr>
              <w:t>The system must be able to transform complex data sets into actionable insights with advanced data visualization tools.</w:t>
            </w:r>
          </w:p>
        </w:tc>
      </w:tr>
      <w:tr w:rsidR="006E6F0B" w:rsidRPr="008C4A39" w14:paraId="416F6F0B"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277B54C2" w14:textId="0E14F420" w:rsidR="006E6F0B" w:rsidRDefault="006E6F0B" w:rsidP="006E6F0B">
            <w:pPr>
              <w:spacing w:after="0"/>
              <w:ind w:right="-360"/>
              <w:jc w:val="left"/>
              <w:rPr>
                <w:szCs w:val="24"/>
              </w:rPr>
            </w:pPr>
            <w:r w:rsidRPr="008C4A39">
              <w:rPr>
                <w:szCs w:val="24"/>
              </w:rPr>
              <w:t xml:space="preserve">Bidder’s technical reasons supporting compliance:  </w:t>
            </w:r>
          </w:p>
        </w:tc>
      </w:tr>
      <w:tr w:rsidR="006E6F0B" w:rsidRPr="008C4A39" w14:paraId="3AEE66F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DAE187E" w14:textId="42CB1308" w:rsidR="006E6F0B" w:rsidRDefault="006E6F0B" w:rsidP="006E6F0B">
            <w:pPr>
              <w:spacing w:after="0"/>
              <w:ind w:right="-360"/>
              <w:jc w:val="left"/>
              <w:rPr>
                <w:szCs w:val="24"/>
              </w:rPr>
            </w:pPr>
            <w:r w:rsidRPr="008C4A39">
              <w:rPr>
                <w:szCs w:val="24"/>
              </w:rPr>
              <w:t>Bidder’s cross references to supporting information in Technical Bid:</w:t>
            </w:r>
          </w:p>
        </w:tc>
      </w:tr>
      <w:tr w:rsidR="006E6F0B" w:rsidRPr="008C4A39" w14:paraId="4D2B5220" w14:textId="2293E13B" w:rsidTr="001136D3">
        <w:trPr>
          <w:tblHeader/>
        </w:trPr>
        <w:tc>
          <w:tcPr>
            <w:tcW w:w="2785" w:type="dxa"/>
            <w:gridSpan w:val="3"/>
            <w:tcBorders>
              <w:top w:val="single" w:sz="4" w:space="0" w:color="auto"/>
              <w:left w:val="single" w:sz="4" w:space="0" w:color="auto"/>
              <w:bottom w:val="single" w:sz="4" w:space="0" w:color="auto"/>
              <w:right w:val="single" w:sz="4" w:space="0" w:color="auto"/>
            </w:tcBorders>
            <w:vAlign w:val="center"/>
          </w:tcPr>
          <w:p w14:paraId="1B6A0415" w14:textId="13B271A9" w:rsidR="006E6F0B" w:rsidRDefault="006E6F0B" w:rsidP="006E6F0B">
            <w:pPr>
              <w:spacing w:after="0"/>
              <w:ind w:right="-360"/>
              <w:jc w:val="left"/>
              <w:rPr>
                <w:szCs w:val="24"/>
              </w:rPr>
            </w:pPr>
            <w:r w:rsidRPr="00014667">
              <w:rPr>
                <w:rFonts w:eastAsia="Calibri"/>
                <w:szCs w:val="24"/>
                <w:lang w:val="en-GB"/>
              </w:rPr>
              <w:t>FR581</w:t>
            </w:r>
          </w:p>
        </w:tc>
        <w:tc>
          <w:tcPr>
            <w:tcW w:w="6480" w:type="dxa"/>
            <w:tcBorders>
              <w:top w:val="single" w:sz="4" w:space="0" w:color="auto"/>
              <w:left w:val="single" w:sz="4" w:space="0" w:color="auto"/>
              <w:bottom w:val="single" w:sz="4" w:space="0" w:color="auto"/>
              <w:right w:val="single" w:sz="4" w:space="0" w:color="auto"/>
            </w:tcBorders>
          </w:tcPr>
          <w:p w14:paraId="1E345121" w14:textId="1C0C01EC" w:rsidR="006E6F0B" w:rsidRDefault="006E6F0B" w:rsidP="006E6F0B">
            <w:pPr>
              <w:spacing w:after="0"/>
              <w:ind w:right="-360"/>
              <w:jc w:val="left"/>
              <w:rPr>
                <w:szCs w:val="24"/>
              </w:rPr>
            </w:pPr>
            <w:r w:rsidRPr="00014667">
              <w:rPr>
                <w:rFonts w:eastAsia="Calibri"/>
                <w:szCs w:val="24"/>
                <w:lang w:val="en-GB"/>
              </w:rPr>
              <w:t>The system shall have possibility for cross-module analytics and should identify correlations and trends between seemingly unrelated data sets.</w:t>
            </w:r>
          </w:p>
        </w:tc>
      </w:tr>
      <w:tr w:rsidR="006E6F0B" w:rsidRPr="008C4A39" w14:paraId="4B50FCB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519E91EC" w14:textId="168F02FD" w:rsidR="006E6F0B" w:rsidRDefault="006E6F0B" w:rsidP="006E6F0B">
            <w:pPr>
              <w:spacing w:after="0"/>
              <w:ind w:right="-360"/>
              <w:jc w:val="left"/>
              <w:rPr>
                <w:szCs w:val="24"/>
              </w:rPr>
            </w:pPr>
            <w:r w:rsidRPr="008C4A39">
              <w:rPr>
                <w:szCs w:val="24"/>
              </w:rPr>
              <w:t xml:space="preserve">Bidder’s technical reasons supporting compliance:  </w:t>
            </w:r>
          </w:p>
        </w:tc>
      </w:tr>
      <w:tr w:rsidR="006E6F0B" w:rsidRPr="008C4A39" w14:paraId="256CFF97"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EE2FF68" w14:textId="463F1553" w:rsidR="006E6F0B" w:rsidRDefault="006E6F0B" w:rsidP="006E6F0B">
            <w:pPr>
              <w:spacing w:after="0"/>
              <w:ind w:right="-360"/>
              <w:jc w:val="left"/>
              <w:rPr>
                <w:szCs w:val="24"/>
              </w:rPr>
            </w:pPr>
            <w:r w:rsidRPr="008C4A39">
              <w:rPr>
                <w:szCs w:val="24"/>
              </w:rPr>
              <w:t>Bidder’s cross references to supporting information in Technical Bid:</w:t>
            </w:r>
          </w:p>
        </w:tc>
      </w:tr>
      <w:tr w:rsidR="006E6F0B" w:rsidRPr="008C4A39" w14:paraId="47A2AC7C" w14:textId="3CEBF910" w:rsidTr="001136D3">
        <w:trPr>
          <w:tblHeader/>
        </w:trPr>
        <w:tc>
          <w:tcPr>
            <w:tcW w:w="2785" w:type="dxa"/>
            <w:gridSpan w:val="3"/>
            <w:tcBorders>
              <w:top w:val="single" w:sz="4" w:space="0" w:color="auto"/>
              <w:left w:val="single" w:sz="4" w:space="0" w:color="auto"/>
              <w:bottom w:val="single" w:sz="4" w:space="0" w:color="auto"/>
              <w:right w:val="single" w:sz="4" w:space="0" w:color="auto"/>
            </w:tcBorders>
            <w:vAlign w:val="center"/>
          </w:tcPr>
          <w:p w14:paraId="7456F930" w14:textId="0FA62DCB" w:rsidR="006E6F0B" w:rsidRDefault="006E6F0B" w:rsidP="006E6F0B">
            <w:pPr>
              <w:spacing w:after="0"/>
              <w:ind w:right="-360"/>
              <w:jc w:val="left"/>
              <w:rPr>
                <w:szCs w:val="24"/>
              </w:rPr>
            </w:pPr>
            <w:r w:rsidRPr="00014667">
              <w:rPr>
                <w:rFonts w:eastAsia="Calibri"/>
                <w:szCs w:val="24"/>
                <w:lang w:val="en-GB"/>
              </w:rPr>
              <w:t>FR582</w:t>
            </w:r>
          </w:p>
        </w:tc>
        <w:tc>
          <w:tcPr>
            <w:tcW w:w="6480" w:type="dxa"/>
            <w:tcBorders>
              <w:top w:val="single" w:sz="4" w:space="0" w:color="auto"/>
              <w:left w:val="single" w:sz="4" w:space="0" w:color="auto"/>
              <w:bottom w:val="single" w:sz="4" w:space="0" w:color="auto"/>
              <w:right w:val="single" w:sz="4" w:space="0" w:color="auto"/>
            </w:tcBorders>
          </w:tcPr>
          <w:p w14:paraId="43BEA13F" w14:textId="2073A5A3" w:rsidR="006E6F0B" w:rsidRDefault="006E6F0B" w:rsidP="006E6F0B">
            <w:pPr>
              <w:spacing w:after="0"/>
              <w:ind w:right="-360"/>
              <w:jc w:val="left"/>
              <w:rPr>
                <w:szCs w:val="24"/>
              </w:rPr>
            </w:pPr>
            <w:r w:rsidRPr="00014667">
              <w:rPr>
                <w:rFonts w:eastAsia="Calibri"/>
                <w:szCs w:val="24"/>
                <w:lang w:val="en-GB"/>
              </w:rPr>
              <w:t>The system must employ robust encryption protocols and access controls, ensuring accessibility to authorized personnel.</w:t>
            </w:r>
          </w:p>
        </w:tc>
      </w:tr>
      <w:tr w:rsidR="006E6F0B" w:rsidRPr="008C4A39" w14:paraId="4444473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48B6F94" w14:textId="5F7F6373" w:rsidR="006E6F0B" w:rsidRDefault="006E6F0B" w:rsidP="006E6F0B">
            <w:pPr>
              <w:spacing w:after="0"/>
              <w:ind w:right="-360"/>
              <w:jc w:val="left"/>
              <w:rPr>
                <w:szCs w:val="24"/>
              </w:rPr>
            </w:pPr>
            <w:r w:rsidRPr="008C4A39">
              <w:rPr>
                <w:szCs w:val="24"/>
              </w:rPr>
              <w:t xml:space="preserve">Bidder’s technical reasons supporting compliance:  </w:t>
            </w:r>
          </w:p>
        </w:tc>
      </w:tr>
      <w:tr w:rsidR="006E6F0B" w:rsidRPr="008C4A39" w14:paraId="608F3D99"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726A4DB" w14:textId="791907BD" w:rsidR="006E6F0B" w:rsidRDefault="006E6F0B" w:rsidP="006E6F0B">
            <w:pPr>
              <w:spacing w:after="0"/>
              <w:ind w:right="-360"/>
              <w:jc w:val="left"/>
              <w:rPr>
                <w:szCs w:val="24"/>
              </w:rPr>
            </w:pPr>
            <w:r w:rsidRPr="008C4A39">
              <w:rPr>
                <w:szCs w:val="24"/>
              </w:rPr>
              <w:t>Bidder’s cross references to supporting information in Technical Bid:</w:t>
            </w:r>
          </w:p>
        </w:tc>
      </w:tr>
      <w:tr w:rsidR="006E6F0B" w:rsidRPr="008C4A39" w14:paraId="545D0791" w14:textId="4FA885F4" w:rsidTr="001136D3">
        <w:trPr>
          <w:tblHeader/>
        </w:trPr>
        <w:tc>
          <w:tcPr>
            <w:tcW w:w="2785" w:type="dxa"/>
            <w:gridSpan w:val="3"/>
            <w:tcBorders>
              <w:top w:val="single" w:sz="4" w:space="0" w:color="auto"/>
              <w:left w:val="single" w:sz="4" w:space="0" w:color="auto"/>
              <w:bottom w:val="single" w:sz="4" w:space="0" w:color="auto"/>
              <w:right w:val="single" w:sz="4" w:space="0" w:color="auto"/>
            </w:tcBorders>
            <w:vAlign w:val="center"/>
          </w:tcPr>
          <w:p w14:paraId="5335DC9B" w14:textId="1DFD67CB" w:rsidR="006E6F0B" w:rsidRDefault="006E6F0B" w:rsidP="006E6F0B">
            <w:pPr>
              <w:spacing w:after="0"/>
              <w:ind w:right="-360"/>
              <w:jc w:val="left"/>
              <w:rPr>
                <w:szCs w:val="24"/>
              </w:rPr>
            </w:pPr>
            <w:r w:rsidRPr="00014667">
              <w:rPr>
                <w:rFonts w:eastAsia="Calibri"/>
                <w:szCs w:val="24"/>
                <w:lang w:val="en-GB"/>
              </w:rPr>
              <w:t>FR583</w:t>
            </w:r>
          </w:p>
        </w:tc>
        <w:tc>
          <w:tcPr>
            <w:tcW w:w="6480" w:type="dxa"/>
            <w:tcBorders>
              <w:top w:val="single" w:sz="4" w:space="0" w:color="auto"/>
              <w:left w:val="single" w:sz="4" w:space="0" w:color="auto"/>
              <w:bottom w:val="single" w:sz="4" w:space="0" w:color="auto"/>
              <w:right w:val="single" w:sz="4" w:space="0" w:color="auto"/>
            </w:tcBorders>
          </w:tcPr>
          <w:p w14:paraId="0F27AE98" w14:textId="5D4AE9EF" w:rsidR="006E6F0B" w:rsidRDefault="006E6F0B" w:rsidP="006E6F0B">
            <w:pPr>
              <w:spacing w:after="0"/>
              <w:ind w:right="-360"/>
              <w:jc w:val="left"/>
              <w:rPr>
                <w:szCs w:val="24"/>
              </w:rPr>
            </w:pPr>
            <w:r w:rsidRPr="00014667">
              <w:rPr>
                <w:rFonts w:eastAsia="Calibri"/>
                <w:szCs w:val="24"/>
                <w:lang w:val="en-GB"/>
              </w:rPr>
              <w:t>The system must be able to produce different reports for each CBRA.</w:t>
            </w:r>
          </w:p>
        </w:tc>
      </w:tr>
      <w:tr w:rsidR="006E6F0B" w:rsidRPr="008C4A39" w14:paraId="772C81E3"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7CE0F44" w14:textId="0849413D" w:rsidR="006E6F0B" w:rsidRDefault="006E6F0B" w:rsidP="006E6F0B">
            <w:pPr>
              <w:spacing w:after="0"/>
              <w:ind w:right="-360"/>
              <w:jc w:val="left"/>
              <w:rPr>
                <w:szCs w:val="24"/>
              </w:rPr>
            </w:pPr>
            <w:r w:rsidRPr="008C4A39">
              <w:rPr>
                <w:szCs w:val="24"/>
              </w:rPr>
              <w:t xml:space="preserve">Bidder’s technical reasons supporting compliance:  </w:t>
            </w:r>
          </w:p>
        </w:tc>
      </w:tr>
      <w:tr w:rsidR="006E6F0B" w:rsidRPr="008C4A39" w14:paraId="2C08ECFA"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7D972F92" w14:textId="73D3E435" w:rsidR="006E6F0B" w:rsidRDefault="006E6F0B" w:rsidP="006E6F0B">
            <w:pPr>
              <w:spacing w:after="0"/>
              <w:ind w:right="-360"/>
              <w:jc w:val="left"/>
              <w:rPr>
                <w:szCs w:val="24"/>
              </w:rPr>
            </w:pPr>
            <w:r w:rsidRPr="008C4A39">
              <w:rPr>
                <w:szCs w:val="24"/>
              </w:rPr>
              <w:t>Bidder’s cross references to supporting information in Technical Bid:</w:t>
            </w:r>
          </w:p>
        </w:tc>
      </w:tr>
      <w:tr w:rsidR="00930D96" w:rsidRPr="008C4A39" w14:paraId="4B4693FF" w14:textId="77777777" w:rsidTr="00883B07">
        <w:trPr>
          <w:tblHeader/>
        </w:trPr>
        <w:tc>
          <w:tcPr>
            <w:tcW w:w="2785" w:type="dxa"/>
            <w:gridSpan w:val="3"/>
            <w:shd w:val="clear" w:color="auto" w:fill="D9D9D9" w:themeFill="background1" w:themeFillShade="D9"/>
          </w:tcPr>
          <w:p w14:paraId="06C647EC"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7FC1DCF5"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727DDAAE" w14:textId="77777777" w:rsidTr="00883B07">
        <w:tc>
          <w:tcPr>
            <w:tcW w:w="9265" w:type="dxa"/>
            <w:gridSpan w:val="4"/>
          </w:tcPr>
          <w:p w14:paraId="6DA8742D" w14:textId="77777777" w:rsidR="00930D96" w:rsidRPr="008C4A39" w:rsidRDefault="00930D96" w:rsidP="001136D3">
            <w:pPr>
              <w:spacing w:after="0"/>
              <w:rPr>
                <w:b/>
                <w:szCs w:val="24"/>
              </w:rPr>
            </w:pPr>
            <w:r w:rsidRPr="008C4A39">
              <w:rPr>
                <w:b/>
                <w:bCs/>
                <w:szCs w:val="24"/>
              </w:rPr>
              <w:t>1.2.16 Help Desk</w:t>
            </w:r>
          </w:p>
        </w:tc>
      </w:tr>
      <w:tr w:rsidR="00930D96" w:rsidRPr="008C4A39" w14:paraId="441A9EB7" w14:textId="77777777" w:rsidTr="00883B07">
        <w:tc>
          <w:tcPr>
            <w:tcW w:w="2785" w:type="dxa"/>
            <w:gridSpan w:val="3"/>
          </w:tcPr>
          <w:p w14:paraId="613B3A9F" w14:textId="77777777" w:rsidR="00930D96" w:rsidRPr="008C4A39" w:rsidRDefault="00930D96" w:rsidP="001136D3">
            <w:pPr>
              <w:spacing w:after="0"/>
              <w:rPr>
                <w:szCs w:val="24"/>
              </w:rPr>
            </w:pPr>
            <w:r w:rsidRPr="008C4A39">
              <w:rPr>
                <w:szCs w:val="24"/>
              </w:rPr>
              <w:t>FR</w:t>
            </w:r>
            <w:r w:rsidRPr="008C4A39">
              <w:rPr>
                <w:szCs w:val="24"/>
                <w:lang w:val="mk-MK"/>
              </w:rPr>
              <w:t>555</w:t>
            </w:r>
          </w:p>
        </w:tc>
        <w:tc>
          <w:tcPr>
            <w:tcW w:w="6480" w:type="dxa"/>
          </w:tcPr>
          <w:p w14:paraId="3844D7E1" w14:textId="77777777" w:rsidR="00930D96" w:rsidRPr="008C4A39" w:rsidRDefault="00930D96" w:rsidP="001136D3">
            <w:pPr>
              <w:spacing w:after="0"/>
              <w:rPr>
                <w:szCs w:val="24"/>
              </w:rPr>
            </w:pPr>
            <w:r w:rsidRPr="008C4A39">
              <w:rPr>
                <w:szCs w:val="24"/>
              </w:rPr>
              <w:t>NSW users shall be able to submit questions or issues through the NSW Portal.</w:t>
            </w:r>
          </w:p>
        </w:tc>
      </w:tr>
      <w:tr w:rsidR="00930D96" w:rsidRPr="008C4A39" w14:paraId="75B8CB4D"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4C47B35D"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7CF1C56"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4D5C44FA"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6E5A5AF9" w14:textId="77777777" w:rsidTr="00883B07">
        <w:tc>
          <w:tcPr>
            <w:tcW w:w="2785" w:type="dxa"/>
            <w:gridSpan w:val="3"/>
          </w:tcPr>
          <w:p w14:paraId="0F7EF034" w14:textId="77777777" w:rsidR="00930D96" w:rsidRPr="008C4A39" w:rsidRDefault="00930D96" w:rsidP="001136D3">
            <w:pPr>
              <w:spacing w:after="0"/>
              <w:rPr>
                <w:szCs w:val="24"/>
              </w:rPr>
            </w:pPr>
            <w:r w:rsidRPr="008C4A39">
              <w:rPr>
                <w:szCs w:val="24"/>
              </w:rPr>
              <w:t>FR556</w:t>
            </w:r>
          </w:p>
        </w:tc>
        <w:tc>
          <w:tcPr>
            <w:tcW w:w="6480" w:type="dxa"/>
          </w:tcPr>
          <w:p w14:paraId="13D1B005" w14:textId="77777777" w:rsidR="00930D96" w:rsidRPr="008C4A39" w:rsidRDefault="00930D96" w:rsidP="001136D3">
            <w:pPr>
              <w:spacing w:after="0"/>
              <w:jc w:val="left"/>
              <w:rPr>
                <w:szCs w:val="24"/>
              </w:rPr>
            </w:pPr>
            <w:r w:rsidRPr="008C4A39">
              <w:rPr>
                <w:szCs w:val="24"/>
              </w:rPr>
              <w:t xml:space="preserve">It shall be possible to send messages and notifications to users </w:t>
            </w:r>
            <w:r w:rsidRPr="008C4A39">
              <w:rPr>
                <w:szCs w:val="24"/>
              </w:rPr>
              <w:br/>
              <w:t>whenever there is any information (newsletter) regarding the NSW services or if there are any issues with the delivery of the services. Notifications shall also be sent out whenever the status of a trouble ticket is changed.</w:t>
            </w:r>
          </w:p>
        </w:tc>
      </w:tr>
      <w:tr w:rsidR="00930D96" w:rsidRPr="008C4A39" w14:paraId="7187F7F8"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1B60F447"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3B7B9403" w14:textId="77777777" w:rsidTr="00883B07">
        <w:tc>
          <w:tcPr>
            <w:tcW w:w="9265" w:type="dxa"/>
            <w:gridSpan w:val="4"/>
            <w:tcBorders>
              <w:top w:val="single" w:sz="4" w:space="0" w:color="auto"/>
              <w:left w:val="single" w:sz="4" w:space="0" w:color="auto"/>
              <w:bottom w:val="single" w:sz="4" w:space="0" w:color="auto"/>
              <w:right w:val="single" w:sz="4" w:space="0" w:color="auto"/>
            </w:tcBorders>
          </w:tcPr>
          <w:p w14:paraId="0840DD6F"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37B16068" w14:textId="77777777" w:rsidTr="00883B07">
        <w:trPr>
          <w:tblHeader/>
        </w:trPr>
        <w:tc>
          <w:tcPr>
            <w:tcW w:w="2785" w:type="dxa"/>
            <w:gridSpan w:val="3"/>
            <w:shd w:val="clear" w:color="auto" w:fill="auto"/>
          </w:tcPr>
          <w:p w14:paraId="0EEA02C5" w14:textId="77777777" w:rsidR="00930D96" w:rsidRPr="008C4A39" w:rsidRDefault="00930D96" w:rsidP="001136D3">
            <w:pPr>
              <w:spacing w:after="0"/>
              <w:rPr>
                <w:szCs w:val="24"/>
              </w:rPr>
            </w:pPr>
            <w:r w:rsidRPr="008C4A39">
              <w:rPr>
                <w:szCs w:val="24"/>
              </w:rPr>
              <w:t>FR557</w:t>
            </w:r>
          </w:p>
        </w:tc>
        <w:tc>
          <w:tcPr>
            <w:tcW w:w="6480" w:type="dxa"/>
            <w:shd w:val="clear" w:color="auto" w:fill="auto"/>
          </w:tcPr>
          <w:p w14:paraId="42790493" w14:textId="77777777" w:rsidR="00930D96" w:rsidRPr="008C4A39" w:rsidRDefault="00930D96" w:rsidP="001136D3">
            <w:pPr>
              <w:spacing w:after="0"/>
              <w:rPr>
                <w:szCs w:val="24"/>
              </w:rPr>
            </w:pPr>
            <w:r w:rsidRPr="008C4A39">
              <w:rPr>
                <w:szCs w:val="24"/>
              </w:rPr>
              <w:t xml:space="preserve">It shall be possible for NSW users to call the NSW Helpdesk for </w:t>
            </w:r>
            <w:r w:rsidRPr="008C4A39">
              <w:rPr>
                <w:szCs w:val="24"/>
              </w:rPr>
              <w:br/>
              <w:t>assistance and questions.</w:t>
            </w:r>
          </w:p>
        </w:tc>
      </w:tr>
      <w:tr w:rsidR="00930D96" w:rsidRPr="008C4A39" w14:paraId="7A3CE242"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2ACC49ED"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3C4325E"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0CC10407"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6536434F" w14:textId="77777777" w:rsidTr="00883B07">
        <w:trPr>
          <w:tblHeader/>
        </w:trPr>
        <w:tc>
          <w:tcPr>
            <w:tcW w:w="2785" w:type="dxa"/>
            <w:gridSpan w:val="3"/>
            <w:shd w:val="clear" w:color="auto" w:fill="auto"/>
          </w:tcPr>
          <w:p w14:paraId="78CD3855" w14:textId="77777777" w:rsidR="00930D96" w:rsidRPr="008C4A39" w:rsidRDefault="00930D96" w:rsidP="001136D3">
            <w:pPr>
              <w:spacing w:after="0"/>
              <w:rPr>
                <w:szCs w:val="24"/>
              </w:rPr>
            </w:pPr>
            <w:r w:rsidRPr="008C4A39">
              <w:rPr>
                <w:szCs w:val="24"/>
              </w:rPr>
              <w:t>FR558</w:t>
            </w:r>
          </w:p>
        </w:tc>
        <w:tc>
          <w:tcPr>
            <w:tcW w:w="6480" w:type="dxa"/>
            <w:shd w:val="clear" w:color="auto" w:fill="auto"/>
          </w:tcPr>
          <w:p w14:paraId="73F6FC34" w14:textId="77777777" w:rsidR="00930D96" w:rsidRPr="008C4A39" w:rsidRDefault="00930D96" w:rsidP="001136D3">
            <w:pPr>
              <w:spacing w:after="0"/>
              <w:rPr>
                <w:szCs w:val="24"/>
              </w:rPr>
            </w:pPr>
            <w:r w:rsidRPr="008C4A39">
              <w:rPr>
                <w:szCs w:val="24"/>
              </w:rPr>
              <w:t xml:space="preserve">NSW users shall also have the possibility to use online chat with </w:t>
            </w:r>
            <w:r w:rsidRPr="008C4A39">
              <w:rPr>
                <w:szCs w:val="24"/>
              </w:rPr>
              <w:br/>
              <w:t xml:space="preserve">NSW Helpdesk. </w:t>
            </w:r>
          </w:p>
        </w:tc>
      </w:tr>
      <w:tr w:rsidR="00930D96" w:rsidRPr="008C4A39" w14:paraId="26195375"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6DC1279B"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7B3007D1"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34A36395"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r w:rsidR="00930D96" w:rsidRPr="008C4A39" w14:paraId="7074B583" w14:textId="77777777" w:rsidTr="00883B07">
        <w:trPr>
          <w:tblHeader/>
        </w:trPr>
        <w:tc>
          <w:tcPr>
            <w:tcW w:w="2785" w:type="dxa"/>
            <w:gridSpan w:val="3"/>
            <w:shd w:val="clear" w:color="auto" w:fill="auto"/>
          </w:tcPr>
          <w:p w14:paraId="7CA8E212" w14:textId="77777777" w:rsidR="00930D96" w:rsidRPr="008C4A39" w:rsidRDefault="00930D96" w:rsidP="001136D3">
            <w:pPr>
              <w:spacing w:after="0"/>
              <w:rPr>
                <w:szCs w:val="24"/>
              </w:rPr>
            </w:pPr>
            <w:r w:rsidRPr="008C4A39">
              <w:rPr>
                <w:szCs w:val="24"/>
              </w:rPr>
              <w:t>FR559</w:t>
            </w:r>
          </w:p>
        </w:tc>
        <w:tc>
          <w:tcPr>
            <w:tcW w:w="6480" w:type="dxa"/>
            <w:shd w:val="clear" w:color="auto" w:fill="auto"/>
          </w:tcPr>
          <w:p w14:paraId="75F5C432" w14:textId="77777777" w:rsidR="00930D96" w:rsidRPr="008C4A39" w:rsidRDefault="00930D96" w:rsidP="001136D3">
            <w:pPr>
              <w:spacing w:after="0"/>
              <w:rPr>
                <w:szCs w:val="24"/>
              </w:rPr>
            </w:pPr>
            <w:r w:rsidRPr="008C4A39">
              <w:rPr>
                <w:szCs w:val="24"/>
              </w:rPr>
              <w:t>The NSW Helpdesk shall be responsible for proactive and continuous monitoring of NSW services and the underlying ICT infrastructure.</w:t>
            </w:r>
          </w:p>
        </w:tc>
      </w:tr>
      <w:tr w:rsidR="00930D96" w:rsidRPr="008C4A39" w14:paraId="4AD63E0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48644C77" w14:textId="77777777" w:rsidR="00930D96" w:rsidRPr="008C4A39" w:rsidRDefault="00930D96" w:rsidP="001136D3">
            <w:pPr>
              <w:spacing w:after="0"/>
              <w:ind w:right="-360"/>
              <w:jc w:val="left"/>
              <w:rPr>
                <w:szCs w:val="24"/>
              </w:rPr>
            </w:pPr>
            <w:r w:rsidRPr="008C4A39">
              <w:rPr>
                <w:szCs w:val="24"/>
              </w:rPr>
              <w:lastRenderedPageBreak/>
              <w:t xml:space="preserve">Bidder’s technical reasons supporting compliance:  </w:t>
            </w:r>
          </w:p>
        </w:tc>
      </w:tr>
      <w:tr w:rsidR="00930D96" w:rsidRPr="008C4A39" w14:paraId="3613CF08" w14:textId="77777777" w:rsidTr="00883B07">
        <w:trPr>
          <w:tblHeader/>
        </w:trPr>
        <w:tc>
          <w:tcPr>
            <w:tcW w:w="9265" w:type="dxa"/>
            <w:gridSpan w:val="4"/>
            <w:tcBorders>
              <w:top w:val="single" w:sz="4" w:space="0" w:color="auto"/>
              <w:left w:val="single" w:sz="4" w:space="0" w:color="auto"/>
              <w:bottom w:val="single" w:sz="4" w:space="0" w:color="auto"/>
              <w:right w:val="single" w:sz="4" w:space="0" w:color="auto"/>
            </w:tcBorders>
          </w:tcPr>
          <w:p w14:paraId="181699B7"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bl>
    <w:tbl>
      <w:tblPr>
        <w:tblStyle w:val="TableGrid4"/>
        <w:tblW w:w="9355" w:type="dxa"/>
        <w:tblLook w:val="04A0" w:firstRow="1" w:lastRow="0" w:firstColumn="1" w:lastColumn="0" w:noHBand="0" w:noVBand="1"/>
      </w:tblPr>
      <w:tblGrid>
        <w:gridCol w:w="2785"/>
        <w:gridCol w:w="6570"/>
      </w:tblGrid>
      <w:tr w:rsidR="006B1214" w:rsidRPr="008C4A39" w14:paraId="07496FCB" w14:textId="77777777" w:rsidTr="006B1214">
        <w:trPr>
          <w:tblHeader/>
        </w:trPr>
        <w:tc>
          <w:tcPr>
            <w:tcW w:w="2785" w:type="dxa"/>
            <w:shd w:val="clear" w:color="auto" w:fill="D9D9D9"/>
          </w:tcPr>
          <w:p w14:paraId="08161F6B" w14:textId="77777777" w:rsidR="006B1214" w:rsidRPr="008C4A39" w:rsidRDefault="006B1214" w:rsidP="001136D3">
            <w:pPr>
              <w:spacing w:after="0"/>
              <w:rPr>
                <w:b/>
                <w:szCs w:val="24"/>
              </w:rPr>
            </w:pPr>
            <w:r w:rsidRPr="008C4A39">
              <w:rPr>
                <w:b/>
                <w:szCs w:val="24"/>
              </w:rPr>
              <w:t>Tech. Req. Number</w:t>
            </w:r>
          </w:p>
        </w:tc>
        <w:tc>
          <w:tcPr>
            <w:tcW w:w="6570" w:type="dxa"/>
            <w:shd w:val="clear" w:color="auto" w:fill="D9D9D9"/>
          </w:tcPr>
          <w:p w14:paraId="53BFFC93" w14:textId="77777777" w:rsidR="006B1214" w:rsidRPr="008C4A39" w:rsidRDefault="006B1214" w:rsidP="001136D3">
            <w:pPr>
              <w:spacing w:after="0"/>
              <w:jc w:val="left"/>
              <w:rPr>
                <w:b/>
                <w:szCs w:val="24"/>
              </w:rPr>
            </w:pPr>
            <w:r w:rsidRPr="008C4A39">
              <w:rPr>
                <w:b/>
                <w:szCs w:val="24"/>
              </w:rPr>
              <w:t>Technical Requirement</w:t>
            </w:r>
          </w:p>
        </w:tc>
      </w:tr>
      <w:tr w:rsidR="006B1214" w:rsidRPr="008C4A39" w14:paraId="20BE28D7" w14:textId="77777777" w:rsidTr="006B1214">
        <w:tc>
          <w:tcPr>
            <w:tcW w:w="9355" w:type="dxa"/>
            <w:gridSpan w:val="2"/>
          </w:tcPr>
          <w:p w14:paraId="275270CD" w14:textId="77777777" w:rsidR="006B1214" w:rsidRPr="008C4A39" w:rsidRDefault="006B1214" w:rsidP="001136D3">
            <w:pPr>
              <w:spacing w:after="0"/>
              <w:jc w:val="left"/>
              <w:rPr>
                <w:b/>
                <w:szCs w:val="24"/>
              </w:rPr>
            </w:pPr>
            <w:r>
              <w:rPr>
                <w:b/>
                <w:szCs w:val="24"/>
              </w:rPr>
              <w:t xml:space="preserve">1.3 </w:t>
            </w:r>
            <w:r w:rsidRPr="00F56255">
              <w:rPr>
                <w:b/>
                <w:szCs w:val="24"/>
              </w:rPr>
              <w:t>Architectural Requirements to be met by the Information System</w:t>
            </w:r>
          </w:p>
        </w:tc>
      </w:tr>
      <w:tr w:rsidR="006B1214" w:rsidRPr="008C4A39" w14:paraId="24488239" w14:textId="77777777" w:rsidTr="006B1214">
        <w:tc>
          <w:tcPr>
            <w:tcW w:w="2785" w:type="dxa"/>
          </w:tcPr>
          <w:p w14:paraId="3A3174B5" w14:textId="77777777" w:rsidR="006B1214" w:rsidRPr="00F56255" w:rsidRDefault="006B1214" w:rsidP="001136D3">
            <w:pPr>
              <w:spacing w:after="0"/>
              <w:rPr>
                <w:szCs w:val="24"/>
              </w:rPr>
            </w:pPr>
            <w:r w:rsidRPr="00F56255">
              <w:t>1.3.1.1.</w:t>
            </w:r>
          </w:p>
        </w:tc>
        <w:tc>
          <w:tcPr>
            <w:tcW w:w="6570" w:type="dxa"/>
          </w:tcPr>
          <w:p w14:paraId="16570ADD" w14:textId="77777777" w:rsidR="006B1214" w:rsidRPr="00F56255" w:rsidRDefault="006B1214" w:rsidP="001136D3">
            <w:pPr>
              <w:spacing w:after="0"/>
              <w:rPr>
                <w:szCs w:val="24"/>
              </w:rPr>
            </w:pPr>
            <w:r w:rsidRPr="00F56255">
              <w:t>The Supplier must define baseline architecture implementation.</w:t>
            </w:r>
          </w:p>
        </w:tc>
      </w:tr>
      <w:tr w:rsidR="006B1214" w:rsidRPr="008C4A39" w14:paraId="20C13CE1" w14:textId="77777777" w:rsidTr="006B1214">
        <w:tc>
          <w:tcPr>
            <w:tcW w:w="9355" w:type="dxa"/>
            <w:gridSpan w:val="2"/>
          </w:tcPr>
          <w:p w14:paraId="0CB8988E"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0730A41E" w14:textId="77777777" w:rsidTr="006B1214">
        <w:tc>
          <w:tcPr>
            <w:tcW w:w="9355" w:type="dxa"/>
            <w:gridSpan w:val="2"/>
          </w:tcPr>
          <w:p w14:paraId="30494D8B"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62EC37B5" w14:textId="77777777" w:rsidTr="006B1214">
        <w:tc>
          <w:tcPr>
            <w:tcW w:w="2785" w:type="dxa"/>
          </w:tcPr>
          <w:p w14:paraId="7014C579" w14:textId="77777777" w:rsidR="006B1214" w:rsidRPr="00F56255" w:rsidRDefault="006B1214" w:rsidP="001136D3">
            <w:pPr>
              <w:spacing w:after="0"/>
              <w:rPr>
                <w:szCs w:val="24"/>
              </w:rPr>
            </w:pPr>
            <w:r w:rsidRPr="00F56255">
              <w:t>1.3.2.</w:t>
            </w:r>
          </w:p>
        </w:tc>
        <w:tc>
          <w:tcPr>
            <w:tcW w:w="6570" w:type="dxa"/>
          </w:tcPr>
          <w:p w14:paraId="67E8A419" w14:textId="77777777" w:rsidR="006B1214" w:rsidRPr="00F56255" w:rsidRDefault="006B1214" w:rsidP="001136D3">
            <w:pPr>
              <w:spacing w:after="0"/>
              <w:rPr>
                <w:szCs w:val="24"/>
              </w:rPr>
            </w:pPr>
            <w:r w:rsidRPr="00F56255">
              <w:t>Target Business Architecture</w:t>
            </w:r>
          </w:p>
        </w:tc>
      </w:tr>
      <w:tr w:rsidR="006B1214" w:rsidRPr="008C4A39" w14:paraId="061D9E6E" w14:textId="77777777" w:rsidTr="006B1214">
        <w:tc>
          <w:tcPr>
            <w:tcW w:w="9355" w:type="dxa"/>
            <w:gridSpan w:val="2"/>
          </w:tcPr>
          <w:p w14:paraId="1B2218C9"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57311481" w14:textId="77777777" w:rsidTr="006B1214">
        <w:tc>
          <w:tcPr>
            <w:tcW w:w="9355" w:type="dxa"/>
            <w:gridSpan w:val="2"/>
          </w:tcPr>
          <w:p w14:paraId="39539969"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53FDF5B1" w14:textId="77777777" w:rsidTr="006B1214">
        <w:tc>
          <w:tcPr>
            <w:tcW w:w="2785" w:type="dxa"/>
          </w:tcPr>
          <w:p w14:paraId="10EC7E05" w14:textId="77777777" w:rsidR="006B1214" w:rsidRPr="00F56255" w:rsidRDefault="006B1214" w:rsidP="001136D3">
            <w:pPr>
              <w:spacing w:after="0"/>
              <w:rPr>
                <w:szCs w:val="24"/>
              </w:rPr>
            </w:pPr>
            <w:r w:rsidRPr="00F56255">
              <w:t xml:space="preserve">1.3.2.1.5. </w:t>
            </w:r>
          </w:p>
        </w:tc>
        <w:tc>
          <w:tcPr>
            <w:tcW w:w="6570" w:type="dxa"/>
          </w:tcPr>
          <w:p w14:paraId="5BAB4188" w14:textId="77777777" w:rsidR="006B1214" w:rsidRPr="00F56255" w:rsidRDefault="006B1214" w:rsidP="001136D3">
            <w:pPr>
              <w:spacing w:after="0"/>
              <w:rPr>
                <w:szCs w:val="24"/>
              </w:rPr>
            </w:pPr>
            <w:r w:rsidRPr="00F56255">
              <w:t>Business Requirements per stakeholder</w:t>
            </w:r>
          </w:p>
        </w:tc>
      </w:tr>
      <w:tr w:rsidR="006B1214" w:rsidRPr="008C4A39" w14:paraId="0CE3685F" w14:textId="77777777" w:rsidTr="006B1214">
        <w:tc>
          <w:tcPr>
            <w:tcW w:w="9355" w:type="dxa"/>
            <w:gridSpan w:val="2"/>
          </w:tcPr>
          <w:p w14:paraId="50C767BC"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10DDD326" w14:textId="77777777" w:rsidTr="006B1214">
        <w:tc>
          <w:tcPr>
            <w:tcW w:w="9355" w:type="dxa"/>
            <w:gridSpan w:val="2"/>
          </w:tcPr>
          <w:p w14:paraId="0B27CC85"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24A8B298" w14:textId="77777777" w:rsidTr="006B1214">
        <w:tc>
          <w:tcPr>
            <w:tcW w:w="2785" w:type="dxa"/>
          </w:tcPr>
          <w:p w14:paraId="28FA2190" w14:textId="77777777" w:rsidR="006B1214" w:rsidRPr="00F56255" w:rsidRDefault="006B1214" w:rsidP="001136D3">
            <w:pPr>
              <w:spacing w:after="0"/>
              <w:jc w:val="left"/>
            </w:pPr>
            <w:r w:rsidRPr="00F56255">
              <w:t xml:space="preserve">1.3.3.1. </w:t>
            </w:r>
          </w:p>
          <w:p w14:paraId="1EE6531A" w14:textId="77777777" w:rsidR="006B1214" w:rsidRPr="00F56255" w:rsidRDefault="006B1214" w:rsidP="001136D3">
            <w:pPr>
              <w:spacing w:after="0"/>
              <w:rPr>
                <w:szCs w:val="24"/>
              </w:rPr>
            </w:pPr>
          </w:p>
        </w:tc>
        <w:tc>
          <w:tcPr>
            <w:tcW w:w="6570" w:type="dxa"/>
          </w:tcPr>
          <w:p w14:paraId="050ED25B" w14:textId="77777777" w:rsidR="006B1214" w:rsidRPr="00F56255" w:rsidRDefault="006B1214" w:rsidP="001136D3">
            <w:pPr>
              <w:spacing w:after="0"/>
              <w:rPr>
                <w:szCs w:val="24"/>
              </w:rPr>
            </w:pPr>
            <w:r w:rsidRPr="00F56255">
              <w:t>New Data Sources</w:t>
            </w:r>
          </w:p>
        </w:tc>
      </w:tr>
      <w:tr w:rsidR="006B1214" w:rsidRPr="008C4A39" w14:paraId="60406D17" w14:textId="77777777" w:rsidTr="006B1214">
        <w:tc>
          <w:tcPr>
            <w:tcW w:w="9355" w:type="dxa"/>
            <w:gridSpan w:val="2"/>
          </w:tcPr>
          <w:p w14:paraId="76D83A45"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51A6FD37" w14:textId="77777777" w:rsidTr="006B1214">
        <w:tc>
          <w:tcPr>
            <w:tcW w:w="9355" w:type="dxa"/>
            <w:gridSpan w:val="2"/>
          </w:tcPr>
          <w:p w14:paraId="22A5E74B"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51D318D9" w14:textId="77777777" w:rsidTr="006B1214">
        <w:tc>
          <w:tcPr>
            <w:tcW w:w="2785" w:type="dxa"/>
          </w:tcPr>
          <w:p w14:paraId="0E4D0013" w14:textId="77777777" w:rsidR="006B1214" w:rsidRPr="00F56255" w:rsidRDefault="006B1214" w:rsidP="001136D3">
            <w:pPr>
              <w:spacing w:after="0"/>
              <w:rPr>
                <w:szCs w:val="24"/>
              </w:rPr>
            </w:pPr>
            <w:r w:rsidRPr="00F56255">
              <w:t xml:space="preserve">1.3.3.2. </w:t>
            </w:r>
          </w:p>
        </w:tc>
        <w:tc>
          <w:tcPr>
            <w:tcW w:w="6570" w:type="dxa"/>
          </w:tcPr>
          <w:p w14:paraId="3B088B41" w14:textId="77777777" w:rsidR="006B1214" w:rsidRPr="008C4A39" w:rsidRDefault="006B1214" w:rsidP="001136D3">
            <w:pPr>
              <w:spacing w:after="0"/>
              <w:rPr>
                <w:szCs w:val="24"/>
              </w:rPr>
            </w:pPr>
            <w:r w:rsidRPr="00F56255">
              <w:rPr>
                <w:bCs/>
                <w:szCs w:val="24"/>
              </w:rPr>
              <w:t>Reporting and Business Intelligence</w:t>
            </w:r>
          </w:p>
        </w:tc>
      </w:tr>
      <w:tr w:rsidR="006B1214" w:rsidRPr="008C4A39" w14:paraId="397E0E74" w14:textId="77777777" w:rsidTr="006B1214">
        <w:tc>
          <w:tcPr>
            <w:tcW w:w="9355" w:type="dxa"/>
            <w:gridSpan w:val="2"/>
          </w:tcPr>
          <w:p w14:paraId="2A6D2DAD"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184D3B36" w14:textId="77777777" w:rsidTr="006B1214">
        <w:tc>
          <w:tcPr>
            <w:tcW w:w="9355" w:type="dxa"/>
            <w:gridSpan w:val="2"/>
          </w:tcPr>
          <w:p w14:paraId="33FD525B"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64246E75" w14:textId="77777777" w:rsidTr="006B1214">
        <w:tc>
          <w:tcPr>
            <w:tcW w:w="2785" w:type="dxa"/>
          </w:tcPr>
          <w:p w14:paraId="65E54B66" w14:textId="77777777" w:rsidR="006B1214" w:rsidRPr="00F56255" w:rsidRDefault="006B1214">
            <w:pPr>
              <w:spacing w:after="0"/>
            </w:pPr>
            <w:r w:rsidRPr="00F56255">
              <w:t xml:space="preserve">1.3.4. </w:t>
            </w:r>
          </w:p>
        </w:tc>
        <w:tc>
          <w:tcPr>
            <w:tcW w:w="6570" w:type="dxa"/>
          </w:tcPr>
          <w:p w14:paraId="288A7E85" w14:textId="77777777" w:rsidR="006B1214" w:rsidRPr="00F56255" w:rsidRDefault="006B1214" w:rsidP="001136D3">
            <w:pPr>
              <w:spacing w:after="0"/>
              <w:rPr>
                <w:szCs w:val="24"/>
              </w:rPr>
            </w:pPr>
            <w:r w:rsidRPr="00F56255">
              <w:t>Application Architecture</w:t>
            </w:r>
          </w:p>
        </w:tc>
      </w:tr>
      <w:tr w:rsidR="006B1214" w:rsidRPr="008C4A39" w14:paraId="14FABA88" w14:textId="77777777" w:rsidTr="006B1214">
        <w:tc>
          <w:tcPr>
            <w:tcW w:w="9355" w:type="dxa"/>
            <w:gridSpan w:val="2"/>
          </w:tcPr>
          <w:p w14:paraId="64AE7CE8"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3C9A9845" w14:textId="77777777" w:rsidTr="006B1214">
        <w:tc>
          <w:tcPr>
            <w:tcW w:w="9355" w:type="dxa"/>
            <w:gridSpan w:val="2"/>
          </w:tcPr>
          <w:p w14:paraId="71D2BC9C"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4DE77437" w14:textId="77777777" w:rsidTr="006B1214">
        <w:tc>
          <w:tcPr>
            <w:tcW w:w="2785" w:type="dxa"/>
          </w:tcPr>
          <w:p w14:paraId="11D0629D" w14:textId="77777777" w:rsidR="006B1214" w:rsidRPr="00F56255" w:rsidRDefault="006B1214" w:rsidP="001136D3">
            <w:pPr>
              <w:spacing w:after="0"/>
              <w:rPr>
                <w:szCs w:val="24"/>
              </w:rPr>
            </w:pPr>
            <w:r w:rsidRPr="00F56255">
              <w:t>1.3.4.1.</w:t>
            </w:r>
          </w:p>
        </w:tc>
        <w:tc>
          <w:tcPr>
            <w:tcW w:w="6570" w:type="dxa"/>
          </w:tcPr>
          <w:p w14:paraId="0263E8D2" w14:textId="77777777" w:rsidR="006B1214" w:rsidRPr="00F56255" w:rsidRDefault="006B1214" w:rsidP="001136D3">
            <w:pPr>
              <w:spacing w:after="0"/>
              <w:rPr>
                <w:szCs w:val="24"/>
              </w:rPr>
            </w:pPr>
            <w:r w:rsidRPr="00F56255">
              <w:t>Interfaces between NSW and other systems</w:t>
            </w:r>
          </w:p>
        </w:tc>
      </w:tr>
      <w:tr w:rsidR="006B1214" w:rsidRPr="008C4A39" w14:paraId="29E8B81D" w14:textId="77777777" w:rsidTr="006B1214">
        <w:tc>
          <w:tcPr>
            <w:tcW w:w="9355" w:type="dxa"/>
            <w:gridSpan w:val="2"/>
          </w:tcPr>
          <w:p w14:paraId="4362371A"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7A93B65C" w14:textId="77777777" w:rsidTr="006B1214">
        <w:tc>
          <w:tcPr>
            <w:tcW w:w="9355" w:type="dxa"/>
            <w:gridSpan w:val="2"/>
          </w:tcPr>
          <w:p w14:paraId="5FEBF7F1"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05A9522D" w14:textId="77777777" w:rsidTr="006B1214">
        <w:trPr>
          <w:trHeight w:val="431"/>
        </w:trPr>
        <w:tc>
          <w:tcPr>
            <w:tcW w:w="2785" w:type="dxa"/>
          </w:tcPr>
          <w:p w14:paraId="0FC7D126" w14:textId="77777777" w:rsidR="006B1214" w:rsidRPr="008C4A39" w:rsidRDefault="006B1214" w:rsidP="001136D3">
            <w:pPr>
              <w:spacing w:after="0"/>
              <w:rPr>
                <w:szCs w:val="24"/>
              </w:rPr>
            </w:pPr>
            <w:r>
              <w:rPr>
                <w:szCs w:val="24"/>
              </w:rPr>
              <w:t>1.3.4.2.</w:t>
            </w:r>
          </w:p>
        </w:tc>
        <w:tc>
          <w:tcPr>
            <w:tcW w:w="6570" w:type="dxa"/>
          </w:tcPr>
          <w:p w14:paraId="7FAF5DAA" w14:textId="77777777" w:rsidR="006B1214" w:rsidRPr="008C4A39" w:rsidRDefault="006B1214" w:rsidP="001136D3">
            <w:pPr>
              <w:spacing w:after="0"/>
              <w:rPr>
                <w:szCs w:val="24"/>
              </w:rPr>
            </w:pPr>
            <w:r>
              <w:rPr>
                <w:szCs w:val="24"/>
              </w:rPr>
              <w:t>User Management</w:t>
            </w:r>
          </w:p>
        </w:tc>
      </w:tr>
      <w:tr w:rsidR="006B1214" w:rsidRPr="008C4A39" w14:paraId="738F7591" w14:textId="77777777" w:rsidTr="006B1214">
        <w:tc>
          <w:tcPr>
            <w:tcW w:w="9355" w:type="dxa"/>
            <w:gridSpan w:val="2"/>
          </w:tcPr>
          <w:p w14:paraId="4BC22EEF"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0B585BED" w14:textId="77777777" w:rsidTr="006B1214">
        <w:tc>
          <w:tcPr>
            <w:tcW w:w="9355" w:type="dxa"/>
            <w:gridSpan w:val="2"/>
          </w:tcPr>
          <w:p w14:paraId="619E2759"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6C60857C" w14:textId="77777777" w:rsidTr="006B1214">
        <w:tc>
          <w:tcPr>
            <w:tcW w:w="2785" w:type="dxa"/>
          </w:tcPr>
          <w:p w14:paraId="57CB375D" w14:textId="77777777" w:rsidR="006B1214" w:rsidRPr="00F56255" w:rsidRDefault="006B1214" w:rsidP="001136D3">
            <w:pPr>
              <w:spacing w:after="0"/>
              <w:rPr>
                <w:szCs w:val="24"/>
              </w:rPr>
            </w:pPr>
            <w:r w:rsidRPr="00F56255">
              <w:t>1.3.4.4.</w:t>
            </w:r>
          </w:p>
        </w:tc>
        <w:tc>
          <w:tcPr>
            <w:tcW w:w="6570" w:type="dxa"/>
          </w:tcPr>
          <w:p w14:paraId="2A17C154" w14:textId="77777777" w:rsidR="006B1214" w:rsidRPr="00F56255" w:rsidRDefault="006B1214" w:rsidP="001136D3">
            <w:pPr>
              <w:spacing w:after="0"/>
              <w:rPr>
                <w:szCs w:val="24"/>
              </w:rPr>
            </w:pPr>
            <w:r w:rsidRPr="00F56255">
              <w:t>EUCDM 5 to EUCDM 6.2 Converter</w:t>
            </w:r>
          </w:p>
        </w:tc>
      </w:tr>
      <w:tr w:rsidR="006B1214" w:rsidRPr="008C4A39" w14:paraId="390349E1" w14:textId="77777777" w:rsidTr="006B1214">
        <w:tc>
          <w:tcPr>
            <w:tcW w:w="9355" w:type="dxa"/>
            <w:gridSpan w:val="2"/>
          </w:tcPr>
          <w:p w14:paraId="4DEDDB4F"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0B356724" w14:textId="77777777" w:rsidTr="006B1214">
        <w:tc>
          <w:tcPr>
            <w:tcW w:w="9355" w:type="dxa"/>
            <w:gridSpan w:val="2"/>
          </w:tcPr>
          <w:p w14:paraId="4E3610F5"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48F330DA" w14:textId="77777777" w:rsidTr="006B1214">
        <w:tc>
          <w:tcPr>
            <w:tcW w:w="2785" w:type="dxa"/>
          </w:tcPr>
          <w:p w14:paraId="1AC28548" w14:textId="77777777" w:rsidR="006B1214" w:rsidRPr="008C4A39" w:rsidRDefault="006B1214" w:rsidP="001136D3">
            <w:pPr>
              <w:spacing w:after="0"/>
              <w:rPr>
                <w:szCs w:val="24"/>
              </w:rPr>
            </w:pPr>
            <w:r>
              <w:rPr>
                <w:szCs w:val="24"/>
              </w:rPr>
              <w:t>1.3.5.</w:t>
            </w:r>
          </w:p>
        </w:tc>
        <w:tc>
          <w:tcPr>
            <w:tcW w:w="6570" w:type="dxa"/>
          </w:tcPr>
          <w:p w14:paraId="337FCD49" w14:textId="77777777" w:rsidR="006B1214" w:rsidRPr="00F56255" w:rsidRDefault="006B1214" w:rsidP="001136D3">
            <w:pPr>
              <w:spacing w:after="0"/>
            </w:pPr>
            <w:r w:rsidRPr="00F56255">
              <w:t>Technology Architecture</w:t>
            </w:r>
          </w:p>
        </w:tc>
      </w:tr>
      <w:tr w:rsidR="006B1214" w:rsidRPr="008C4A39" w14:paraId="5D43311D" w14:textId="77777777" w:rsidTr="006B1214">
        <w:tc>
          <w:tcPr>
            <w:tcW w:w="9355" w:type="dxa"/>
            <w:gridSpan w:val="2"/>
          </w:tcPr>
          <w:p w14:paraId="34A5F20A"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635884AA" w14:textId="77777777" w:rsidTr="006B1214">
        <w:tc>
          <w:tcPr>
            <w:tcW w:w="9355" w:type="dxa"/>
            <w:gridSpan w:val="2"/>
          </w:tcPr>
          <w:p w14:paraId="75C00A50"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658E3FF2" w14:textId="77777777" w:rsidTr="006B1214">
        <w:tc>
          <w:tcPr>
            <w:tcW w:w="2785" w:type="dxa"/>
          </w:tcPr>
          <w:p w14:paraId="55E65349" w14:textId="77777777" w:rsidR="006B1214" w:rsidRPr="008C4A39" w:rsidRDefault="006B1214" w:rsidP="001136D3">
            <w:pPr>
              <w:spacing w:after="0"/>
              <w:rPr>
                <w:szCs w:val="24"/>
              </w:rPr>
            </w:pPr>
            <w:r>
              <w:rPr>
                <w:szCs w:val="24"/>
              </w:rPr>
              <w:t>1.3.5.1.</w:t>
            </w:r>
          </w:p>
        </w:tc>
        <w:tc>
          <w:tcPr>
            <w:tcW w:w="6570" w:type="dxa"/>
          </w:tcPr>
          <w:p w14:paraId="0015F615" w14:textId="77777777" w:rsidR="006B1214" w:rsidRPr="00F56255" w:rsidRDefault="006B1214" w:rsidP="001136D3">
            <w:pPr>
              <w:spacing w:after="0"/>
              <w:rPr>
                <w:szCs w:val="24"/>
              </w:rPr>
            </w:pPr>
            <w:r w:rsidRPr="00F56255">
              <w:t>Security Architecture</w:t>
            </w:r>
          </w:p>
        </w:tc>
      </w:tr>
      <w:tr w:rsidR="006B1214" w:rsidRPr="008C4A39" w14:paraId="09C69CD0" w14:textId="77777777" w:rsidTr="006B1214">
        <w:tc>
          <w:tcPr>
            <w:tcW w:w="9355" w:type="dxa"/>
            <w:gridSpan w:val="2"/>
          </w:tcPr>
          <w:p w14:paraId="1D380939"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2EADB662" w14:textId="77777777" w:rsidTr="006B1214">
        <w:tc>
          <w:tcPr>
            <w:tcW w:w="9355" w:type="dxa"/>
            <w:gridSpan w:val="2"/>
          </w:tcPr>
          <w:p w14:paraId="237A8785"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04094D86" w14:textId="77777777" w:rsidTr="006B1214">
        <w:tc>
          <w:tcPr>
            <w:tcW w:w="2785" w:type="dxa"/>
          </w:tcPr>
          <w:p w14:paraId="593AA8DD" w14:textId="77777777" w:rsidR="006B1214" w:rsidRPr="008C4A39" w:rsidRDefault="006B1214" w:rsidP="001136D3">
            <w:pPr>
              <w:spacing w:after="0"/>
              <w:rPr>
                <w:szCs w:val="24"/>
              </w:rPr>
            </w:pPr>
            <w:r>
              <w:rPr>
                <w:szCs w:val="24"/>
              </w:rPr>
              <w:t>1.3.7.</w:t>
            </w:r>
          </w:p>
        </w:tc>
        <w:tc>
          <w:tcPr>
            <w:tcW w:w="6570" w:type="dxa"/>
          </w:tcPr>
          <w:p w14:paraId="3A6D0944" w14:textId="77777777" w:rsidR="006B1214" w:rsidRPr="004A3DD7" w:rsidRDefault="006B1214" w:rsidP="001136D3">
            <w:pPr>
              <w:spacing w:after="0"/>
              <w:rPr>
                <w:szCs w:val="24"/>
              </w:rPr>
            </w:pPr>
            <w:r w:rsidRPr="004A3DD7">
              <w:t>Network and Infrastructure Architecture</w:t>
            </w:r>
          </w:p>
        </w:tc>
      </w:tr>
      <w:tr w:rsidR="006B1214" w:rsidRPr="008C4A39" w14:paraId="4F2574F6" w14:textId="77777777" w:rsidTr="006B1214">
        <w:tc>
          <w:tcPr>
            <w:tcW w:w="9355" w:type="dxa"/>
            <w:gridSpan w:val="2"/>
          </w:tcPr>
          <w:p w14:paraId="73EFBCA8"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36DE34F5" w14:textId="77777777" w:rsidTr="006B1214">
        <w:tc>
          <w:tcPr>
            <w:tcW w:w="9355" w:type="dxa"/>
            <w:gridSpan w:val="2"/>
          </w:tcPr>
          <w:p w14:paraId="6B04EBFD" w14:textId="77777777" w:rsidR="006B1214" w:rsidRPr="008C4A39" w:rsidRDefault="006B1214" w:rsidP="001136D3">
            <w:pPr>
              <w:spacing w:after="0"/>
              <w:rPr>
                <w:szCs w:val="24"/>
              </w:rPr>
            </w:pPr>
            <w:r w:rsidRPr="008C4A39">
              <w:rPr>
                <w:szCs w:val="24"/>
              </w:rPr>
              <w:t>Bidder’s cross references to supporting information in Technical Bid:</w:t>
            </w:r>
          </w:p>
        </w:tc>
      </w:tr>
      <w:tr w:rsidR="006B1214" w:rsidRPr="008C4A39" w14:paraId="15E6DE68" w14:textId="77777777" w:rsidTr="006B1214">
        <w:tc>
          <w:tcPr>
            <w:tcW w:w="2785" w:type="dxa"/>
          </w:tcPr>
          <w:p w14:paraId="05A27226" w14:textId="77777777" w:rsidR="006B1214" w:rsidRPr="008C4A39" w:rsidRDefault="006B1214" w:rsidP="001136D3">
            <w:pPr>
              <w:spacing w:after="0"/>
              <w:rPr>
                <w:szCs w:val="24"/>
              </w:rPr>
            </w:pPr>
            <w:r>
              <w:rPr>
                <w:szCs w:val="24"/>
              </w:rPr>
              <w:t>1.3.8.</w:t>
            </w:r>
          </w:p>
        </w:tc>
        <w:tc>
          <w:tcPr>
            <w:tcW w:w="6570" w:type="dxa"/>
          </w:tcPr>
          <w:p w14:paraId="4401D8CC" w14:textId="77777777" w:rsidR="006B1214" w:rsidRPr="008C4A39" w:rsidRDefault="006B1214" w:rsidP="001136D3">
            <w:pPr>
              <w:spacing w:after="0"/>
              <w:rPr>
                <w:szCs w:val="24"/>
              </w:rPr>
            </w:pPr>
            <w:r>
              <w:rPr>
                <w:szCs w:val="24"/>
              </w:rPr>
              <w:t>Hardware Architecture</w:t>
            </w:r>
          </w:p>
        </w:tc>
      </w:tr>
      <w:tr w:rsidR="006B1214" w:rsidRPr="008C4A39" w14:paraId="6F5A51C1" w14:textId="77777777" w:rsidTr="006B1214">
        <w:tc>
          <w:tcPr>
            <w:tcW w:w="9355" w:type="dxa"/>
            <w:gridSpan w:val="2"/>
          </w:tcPr>
          <w:p w14:paraId="54EEFC85"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3CECEBEE" w14:textId="77777777" w:rsidTr="006B1214">
        <w:tc>
          <w:tcPr>
            <w:tcW w:w="9355" w:type="dxa"/>
            <w:gridSpan w:val="2"/>
          </w:tcPr>
          <w:p w14:paraId="76FF5857" w14:textId="77777777" w:rsidR="006B1214" w:rsidRPr="008C4A39" w:rsidRDefault="006B1214" w:rsidP="001136D3">
            <w:pPr>
              <w:spacing w:after="0"/>
              <w:rPr>
                <w:szCs w:val="24"/>
              </w:rPr>
            </w:pPr>
            <w:r w:rsidRPr="008C4A39">
              <w:rPr>
                <w:szCs w:val="24"/>
              </w:rPr>
              <w:lastRenderedPageBreak/>
              <w:t>Bidder’s cross references to supporting information in Technical Bid:</w:t>
            </w:r>
          </w:p>
        </w:tc>
      </w:tr>
      <w:tr w:rsidR="006B1214" w:rsidRPr="008C4A39" w14:paraId="0D0FEB54" w14:textId="77777777" w:rsidTr="006B1214">
        <w:tc>
          <w:tcPr>
            <w:tcW w:w="2785" w:type="dxa"/>
          </w:tcPr>
          <w:p w14:paraId="6823D9B5" w14:textId="77777777" w:rsidR="006B1214" w:rsidRPr="008C4A39" w:rsidRDefault="006B1214" w:rsidP="001136D3">
            <w:pPr>
              <w:spacing w:after="0"/>
              <w:rPr>
                <w:szCs w:val="24"/>
              </w:rPr>
            </w:pPr>
            <w:r>
              <w:rPr>
                <w:szCs w:val="24"/>
              </w:rPr>
              <w:t>1.3.8.3.</w:t>
            </w:r>
          </w:p>
        </w:tc>
        <w:tc>
          <w:tcPr>
            <w:tcW w:w="6570" w:type="dxa"/>
          </w:tcPr>
          <w:p w14:paraId="4263E333" w14:textId="77777777" w:rsidR="006B1214" w:rsidRPr="008C4A39" w:rsidRDefault="006B1214" w:rsidP="001136D3">
            <w:pPr>
              <w:spacing w:after="0"/>
              <w:rPr>
                <w:szCs w:val="24"/>
              </w:rPr>
            </w:pPr>
            <w:r>
              <w:rPr>
                <w:szCs w:val="24"/>
              </w:rPr>
              <w:t>Other Architecture Information</w:t>
            </w:r>
          </w:p>
        </w:tc>
      </w:tr>
      <w:tr w:rsidR="006B1214" w:rsidRPr="008C4A39" w14:paraId="0DC92C55" w14:textId="77777777" w:rsidTr="006B1214">
        <w:tc>
          <w:tcPr>
            <w:tcW w:w="9355" w:type="dxa"/>
            <w:gridSpan w:val="2"/>
          </w:tcPr>
          <w:p w14:paraId="36C3BA27" w14:textId="77777777" w:rsidR="006B1214" w:rsidRPr="008C4A39" w:rsidRDefault="006B1214" w:rsidP="001136D3">
            <w:pPr>
              <w:spacing w:after="0"/>
              <w:rPr>
                <w:szCs w:val="24"/>
              </w:rPr>
            </w:pPr>
            <w:r w:rsidRPr="008C4A39">
              <w:rPr>
                <w:szCs w:val="24"/>
              </w:rPr>
              <w:t xml:space="preserve">Bidder’s technical reasons supporting compliance:  </w:t>
            </w:r>
          </w:p>
        </w:tc>
      </w:tr>
      <w:tr w:rsidR="006B1214" w:rsidRPr="008C4A39" w14:paraId="68A3B6FE" w14:textId="77777777" w:rsidTr="006B1214">
        <w:tc>
          <w:tcPr>
            <w:tcW w:w="9355" w:type="dxa"/>
            <w:gridSpan w:val="2"/>
          </w:tcPr>
          <w:p w14:paraId="79B67B43" w14:textId="77777777" w:rsidR="006B1214" w:rsidRPr="008C4A39" w:rsidRDefault="006B1214" w:rsidP="001136D3">
            <w:pPr>
              <w:spacing w:after="0"/>
              <w:rPr>
                <w:szCs w:val="24"/>
              </w:rPr>
            </w:pPr>
            <w:r w:rsidRPr="008C4A39">
              <w:rPr>
                <w:szCs w:val="24"/>
              </w:rPr>
              <w:t>Bidder’s cross references to supporting information in Technical Bid:</w:t>
            </w:r>
          </w:p>
        </w:tc>
      </w:tr>
    </w:tbl>
    <w:tbl>
      <w:tblPr>
        <w:tblStyle w:val="TableGrid"/>
        <w:tblW w:w="9265" w:type="dxa"/>
        <w:tblLook w:val="04A0" w:firstRow="1" w:lastRow="0" w:firstColumn="1" w:lastColumn="0" w:noHBand="0" w:noVBand="1"/>
      </w:tblPr>
      <w:tblGrid>
        <w:gridCol w:w="2785"/>
        <w:gridCol w:w="6480"/>
      </w:tblGrid>
      <w:tr w:rsidR="00930D96" w:rsidRPr="008C4A39" w14:paraId="64C597B9" w14:textId="77777777" w:rsidTr="00883B07">
        <w:trPr>
          <w:tblHeader/>
        </w:trPr>
        <w:tc>
          <w:tcPr>
            <w:tcW w:w="2785" w:type="dxa"/>
            <w:shd w:val="clear" w:color="auto" w:fill="D9D9D9" w:themeFill="background1" w:themeFillShade="D9"/>
          </w:tcPr>
          <w:p w14:paraId="384BB9AF" w14:textId="77777777" w:rsidR="00930D96" w:rsidRPr="008C4A39" w:rsidRDefault="00930D96" w:rsidP="001136D3">
            <w:pPr>
              <w:spacing w:after="0"/>
              <w:rPr>
                <w:b/>
                <w:szCs w:val="24"/>
              </w:rPr>
            </w:pPr>
            <w:r w:rsidRPr="008C4A39">
              <w:rPr>
                <w:b/>
                <w:szCs w:val="24"/>
              </w:rPr>
              <w:t>Tech. Req. Number</w:t>
            </w:r>
          </w:p>
        </w:tc>
        <w:tc>
          <w:tcPr>
            <w:tcW w:w="6480" w:type="dxa"/>
            <w:shd w:val="clear" w:color="auto" w:fill="D9D9D9" w:themeFill="background1" w:themeFillShade="D9"/>
          </w:tcPr>
          <w:p w14:paraId="4C1F3874"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2C3BBA7C" w14:textId="77777777" w:rsidTr="00883B07">
        <w:tc>
          <w:tcPr>
            <w:tcW w:w="9265" w:type="dxa"/>
            <w:gridSpan w:val="2"/>
          </w:tcPr>
          <w:p w14:paraId="0B5A8F65" w14:textId="77777777" w:rsidR="00930D96" w:rsidRPr="008C4A39" w:rsidRDefault="00930D96" w:rsidP="001136D3">
            <w:pPr>
              <w:spacing w:after="0"/>
              <w:rPr>
                <w:b/>
                <w:szCs w:val="24"/>
              </w:rPr>
            </w:pPr>
            <w:r w:rsidRPr="008C4A39">
              <w:rPr>
                <w:b/>
                <w:bCs/>
                <w:szCs w:val="24"/>
              </w:rPr>
              <w:t>1.4</w:t>
            </w:r>
            <w:r w:rsidRPr="008C4A39">
              <w:rPr>
                <w:b/>
                <w:bCs/>
                <w:szCs w:val="24"/>
              </w:rPr>
              <w:tab/>
              <w:t>Systems Administration and Management Functions Required to be met by the Information System</w:t>
            </w:r>
          </w:p>
        </w:tc>
      </w:tr>
      <w:tr w:rsidR="00930D96" w:rsidRPr="008C4A39" w14:paraId="348559B3" w14:textId="77777777" w:rsidTr="00883B07">
        <w:tc>
          <w:tcPr>
            <w:tcW w:w="2785" w:type="dxa"/>
          </w:tcPr>
          <w:p w14:paraId="0A6DE1A5" w14:textId="77777777" w:rsidR="00930D96" w:rsidRPr="008C4A39" w:rsidRDefault="00930D96" w:rsidP="001136D3">
            <w:pPr>
              <w:spacing w:after="0"/>
              <w:rPr>
                <w:szCs w:val="24"/>
              </w:rPr>
            </w:pPr>
            <w:r w:rsidRPr="008C4A39">
              <w:rPr>
                <w:szCs w:val="24"/>
              </w:rPr>
              <w:t>1.4.1</w:t>
            </w:r>
          </w:p>
        </w:tc>
        <w:tc>
          <w:tcPr>
            <w:tcW w:w="6480" w:type="dxa"/>
          </w:tcPr>
          <w:p w14:paraId="34762C11" w14:textId="77777777" w:rsidR="00930D96" w:rsidRPr="008C4A39" w:rsidRDefault="00930D96" w:rsidP="001136D3">
            <w:pPr>
              <w:spacing w:after="0"/>
              <w:rPr>
                <w:szCs w:val="24"/>
              </w:rPr>
            </w:pPr>
            <w:r w:rsidRPr="008C4A39">
              <w:rPr>
                <w:szCs w:val="24"/>
              </w:rPr>
              <w:t>The Supplier must make sure that all components have (archiving procedures, configuration management, version control, data management, fallback procedures, problem tracking, and audit trail).</w:t>
            </w:r>
          </w:p>
        </w:tc>
      </w:tr>
      <w:tr w:rsidR="00930D96" w:rsidRPr="008C4A39" w14:paraId="705F8C26"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7ACEF37A" w14:textId="77777777" w:rsidR="00930D96" w:rsidRPr="008C4A39" w:rsidRDefault="00930D96" w:rsidP="001136D3">
            <w:pPr>
              <w:spacing w:after="0"/>
              <w:ind w:right="-360"/>
              <w:jc w:val="left"/>
              <w:rPr>
                <w:szCs w:val="24"/>
              </w:rPr>
            </w:pPr>
            <w:r w:rsidRPr="008C4A39">
              <w:rPr>
                <w:szCs w:val="24"/>
              </w:rPr>
              <w:t xml:space="preserve">Bidder’s technical reasons supporting compliance:  </w:t>
            </w:r>
          </w:p>
        </w:tc>
      </w:tr>
      <w:tr w:rsidR="00930D96" w:rsidRPr="008C4A39" w14:paraId="6E714DD2" w14:textId="77777777" w:rsidTr="00883B07">
        <w:tc>
          <w:tcPr>
            <w:tcW w:w="9265" w:type="dxa"/>
            <w:gridSpan w:val="2"/>
            <w:tcBorders>
              <w:top w:val="single" w:sz="4" w:space="0" w:color="auto"/>
              <w:left w:val="single" w:sz="4" w:space="0" w:color="auto"/>
              <w:bottom w:val="single" w:sz="4" w:space="0" w:color="auto"/>
              <w:right w:val="single" w:sz="4" w:space="0" w:color="auto"/>
            </w:tcBorders>
          </w:tcPr>
          <w:p w14:paraId="1C907F53" w14:textId="77777777" w:rsidR="00930D96" w:rsidRPr="008C4A39" w:rsidRDefault="00930D96" w:rsidP="001136D3">
            <w:pPr>
              <w:spacing w:after="0"/>
              <w:ind w:right="-360"/>
              <w:jc w:val="left"/>
              <w:rPr>
                <w:szCs w:val="24"/>
              </w:rPr>
            </w:pPr>
            <w:r w:rsidRPr="008C4A39">
              <w:rPr>
                <w:szCs w:val="24"/>
              </w:rPr>
              <w:t>Bidder’s cross references to supporting information in Technical Bid:</w:t>
            </w:r>
          </w:p>
        </w:tc>
      </w:tr>
    </w:tbl>
    <w:tbl>
      <w:tblPr>
        <w:tblStyle w:val="TableGrid4"/>
        <w:tblW w:w="9355" w:type="dxa"/>
        <w:tblLook w:val="04A0" w:firstRow="1" w:lastRow="0" w:firstColumn="1" w:lastColumn="0" w:noHBand="0" w:noVBand="1"/>
      </w:tblPr>
      <w:tblGrid>
        <w:gridCol w:w="2785"/>
        <w:gridCol w:w="6570"/>
      </w:tblGrid>
      <w:tr w:rsidR="00930D96" w:rsidRPr="008C4A39" w14:paraId="57AA0FA4" w14:textId="77777777" w:rsidTr="00883B07">
        <w:trPr>
          <w:tblHeader/>
        </w:trPr>
        <w:tc>
          <w:tcPr>
            <w:tcW w:w="2785" w:type="dxa"/>
            <w:shd w:val="clear" w:color="auto" w:fill="D9D9D9"/>
          </w:tcPr>
          <w:p w14:paraId="2ED01BB1" w14:textId="77777777" w:rsidR="00930D96" w:rsidRPr="008C4A39" w:rsidRDefault="00930D96" w:rsidP="001136D3">
            <w:pPr>
              <w:spacing w:after="0"/>
              <w:rPr>
                <w:b/>
                <w:szCs w:val="24"/>
              </w:rPr>
            </w:pPr>
            <w:r w:rsidRPr="008C4A39">
              <w:rPr>
                <w:b/>
                <w:szCs w:val="24"/>
              </w:rPr>
              <w:t>Tech. Req. Number</w:t>
            </w:r>
          </w:p>
        </w:tc>
        <w:tc>
          <w:tcPr>
            <w:tcW w:w="6570" w:type="dxa"/>
            <w:shd w:val="clear" w:color="auto" w:fill="D9D9D9"/>
          </w:tcPr>
          <w:p w14:paraId="00C31931"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1B25875C" w14:textId="77777777" w:rsidTr="00883B07">
        <w:tc>
          <w:tcPr>
            <w:tcW w:w="9355" w:type="dxa"/>
            <w:gridSpan w:val="2"/>
          </w:tcPr>
          <w:p w14:paraId="3226F22D" w14:textId="77777777" w:rsidR="00930D96" w:rsidRPr="008C4A39" w:rsidRDefault="00930D96" w:rsidP="001136D3">
            <w:pPr>
              <w:spacing w:after="0"/>
              <w:rPr>
                <w:b/>
                <w:szCs w:val="24"/>
              </w:rPr>
            </w:pPr>
            <w:r w:rsidRPr="008C4A39">
              <w:rPr>
                <w:b/>
                <w:szCs w:val="24"/>
              </w:rPr>
              <w:t>1.5.1.1 Availability of Non-Functional Requirements</w:t>
            </w:r>
          </w:p>
        </w:tc>
      </w:tr>
      <w:tr w:rsidR="00930D96" w:rsidRPr="008C4A39" w14:paraId="1CBFE488" w14:textId="77777777" w:rsidTr="00883B07">
        <w:tc>
          <w:tcPr>
            <w:tcW w:w="2785" w:type="dxa"/>
          </w:tcPr>
          <w:p w14:paraId="09C69431" w14:textId="77777777" w:rsidR="00930D96" w:rsidRPr="008C4A39" w:rsidRDefault="00930D96" w:rsidP="001136D3">
            <w:pPr>
              <w:spacing w:after="0"/>
              <w:rPr>
                <w:szCs w:val="24"/>
              </w:rPr>
            </w:pPr>
            <w:r w:rsidRPr="008C4A39">
              <w:rPr>
                <w:color w:val="000000"/>
                <w:szCs w:val="24"/>
              </w:rPr>
              <w:t>NSW_AVA_0001</w:t>
            </w:r>
          </w:p>
        </w:tc>
        <w:tc>
          <w:tcPr>
            <w:tcW w:w="6570" w:type="dxa"/>
          </w:tcPr>
          <w:p w14:paraId="222FBF05" w14:textId="77777777" w:rsidR="00930D96" w:rsidRPr="008C4A39" w:rsidRDefault="00930D96" w:rsidP="001136D3">
            <w:pPr>
              <w:spacing w:after="0"/>
              <w:rPr>
                <w:szCs w:val="24"/>
              </w:rPr>
            </w:pPr>
            <w:r w:rsidRPr="008C4A39">
              <w:rPr>
                <w:bCs/>
                <w:color w:val="000000"/>
                <w:szCs w:val="24"/>
              </w:rPr>
              <w:t>Periodic Maintenance Downtime</w:t>
            </w:r>
          </w:p>
        </w:tc>
      </w:tr>
      <w:tr w:rsidR="00930D96" w:rsidRPr="008C4A39" w14:paraId="3AE0C3FD" w14:textId="77777777" w:rsidTr="00883B07">
        <w:tc>
          <w:tcPr>
            <w:tcW w:w="9355" w:type="dxa"/>
            <w:gridSpan w:val="2"/>
          </w:tcPr>
          <w:p w14:paraId="08AEF45A"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2A6A470A" w14:textId="77777777" w:rsidTr="00883B07">
        <w:tc>
          <w:tcPr>
            <w:tcW w:w="9355" w:type="dxa"/>
            <w:gridSpan w:val="2"/>
          </w:tcPr>
          <w:p w14:paraId="5BCB8997"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6F03DF3" w14:textId="77777777" w:rsidTr="00883B07">
        <w:tc>
          <w:tcPr>
            <w:tcW w:w="2785" w:type="dxa"/>
          </w:tcPr>
          <w:p w14:paraId="4A3414A9" w14:textId="77777777" w:rsidR="00930D96" w:rsidRPr="008C4A39" w:rsidRDefault="00930D96" w:rsidP="001136D3">
            <w:pPr>
              <w:spacing w:after="0"/>
              <w:rPr>
                <w:szCs w:val="24"/>
              </w:rPr>
            </w:pPr>
            <w:r w:rsidRPr="008C4A39">
              <w:rPr>
                <w:color w:val="000000"/>
                <w:szCs w:val="24"/>
              </w:rPr>
              <w:t>NSW_AVA_0002</w:t>
            </w:r>
          </w:p>
        </w:tc>
        <w:tc>
          <w:tcPr>
            <w:tcW w:w="6570" w:type="dxa"/>
          </w:tcPr>
          <w:p w14:paraId="4B0982EB" w14:textId="77777777" w:rsidR="00930D96" w:rsidRPr="008C4A39" w:rsidRDefault="00930D96" w:rsidP="001136D3">
            <w:pPr>
              <w:spacing w:after="0"/>
              <w:rPr>
                <w:szCs w:val="24"/>
              </w:rPr>
            </w:pPr>
            <w:r w:rsidRPr="008C4A39">
              <w:rPr>
                <w:b/>
                <w:bCs/>
                <w:color w:val="000000"/>
                <w:szCs w:val="24"/>
              </w:rPr>
              <w:t>Trade Availability Requirement</w:t>
            </w:r>
          </w:p>
        </w:tc>
      </w:tr>
      <w:tr w:rsidR="00930D96" w:rsidRPr="008C4A39" w14:paraId="5CA141A0" w14:textId="77777777" w:rsidTr="00883B07">
        <w:tc>
          <w:tcPr>
            <w:tcW w:w="9355" w:type="dxa"/>
            <w:gridSpan w:val="2"/>
          </w:tcPr>
          <w:p w14:paraId="09855F2F"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354F8779" w14:textId="77777777" w:rsidTr="00883B07">
        <w:tc>
          <w:tcPr>
            <w:tcW w:w="9355" w:type="dxa"/>
            <w:gridSpan w:val="2"/>
          </w:tcPr>
          <w:p w14:paraId="315F6FC4"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2E057373" w14:textId="77777777" w:rsidTr="00883B07">
        <w:tc>
          <w:tcPr>
            <w:tcW w:w="2785" w:type="dxa"/>
          </w:tcPr>
          <w:p w14:paraId="470CFB8F" w14:textId="77777777" w:rsidR="00930D96" w:rsidRPr="008C4A39" w:rsidRDefault="00930D96" w:rsidP="001136D3">
            <w:pPr>
              <w:spacing w:after="0"/>
              <w:rPr>
                <w:szCs w:val="24"/>
              </w:rPr>
            </w:pPr>
            <w:r w:rsidRPr="008C4A39">
              <w:rPr>
                <w:color w:val="000000"/>
                <w:szCs w:val="24"/>
              </w:rPr>
              <w:t>NSW_AVA_0003</w:t>
            </w:r>
          </w:p>
        </w:tc>
        <w:tc>
          <w:tcPr>
            <w:tcW w:w="6570" w:type="dxa"/>
          </w:tcPr>
          <w:p w14:paraId="581B652E" w14:textId="77777777" w:rsidR="00930D96" w:rsidRPr="008C4A39" w:rsidRDefault="00930D96" w:rsidP="001136D3">
            <w:pPr>
              <w:spacing w:after="0"/>
              <w:rPr>
                <w:szCs w:val="24"/>
              </w:rPr>
            </w:pPr>
            <w:r w:rsidRPr="008C4A39">
              <w:rPr>
                <w:b/>
                <w:bCs/>
                <w:color w:val="000000"/>
                <w:szCs w:val="24"/>
              </w:rPr>
              <w:t>Hot Deployment Support</w:t>
            </w:r>
          </w:p>
        </w:tc>
      </w:tr>
      <w:tr w:rsidR="00930D96" w:rsidRPr="008C4A39" w14:paraId="5CF4BDE5" w14:textId="77777777" w:rsidTr="00883B07">
        <w:tc>
          <w:tcPr>
            <w:tcW w:w="9355" w:type="dxa"/>
            <w:gridSpan w:val="2"/>
          </w:tcPr>
          <w:p w14:paraId="222ABF2C"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2B71DB00" w14:textId="77777777" w:rsidTr="00883B07">
        <w:tc>
          <w:tcPr>
            <w:tcW w:w="9355" w:type="dxa"/>
            <w:gridSpan w:val="2"/>
          </w:tcPr>
          <w:p w14:paraId="3425DBE6"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687DF6F9" w14:textId="77777777" w:rsidTr="00883B07">
        <w:tc>
          <w:tcPr>
            <w:tcW w:w="2785" w:type="dxa"/>
          </w:tcPr>
          <w:p w14:paraId="49EB5DAD" w14:textId="77777777" w:rsidR="00930D96" w:rsidRPr="008C4A39" w:rsidRDefault="00930D96" w:rsidP="001136D3">
            <w:pPr>
              <w:spacing w:after="0"/>
              <w:rPr>
                <w:szCs w:val="24"/>
              </w:rPr>
            </w:pPr>
            <w:r w:rsidRPr="008C4A39">
              <w:rPr>
                <w:color w:val="000000"/>
                <w:szCs w:val="24"/>
              </w:rPr>
              <w:t>NSW_AVA_0004</w:t>
            </w:r>
          </w:p>
        </w:tc>
        <w:tc>
          <w:tcPr>
            <w:tcW w:w="6570" w:type="dxa"/>
          </w:tcPr>
          <w:p w14:paraId="6575850B" w14:textId="77777777" w:rsidR="00930D96" w:rsidRPr="008C4A39" w:rsidRDefault="00930D96" w:rsidP="001136D3">
            <w:pPr>
              <w:spacing w:after="0"/>
              <w:rPr>
                <w:szCs w:val="24"/>
              </w:rPr>
            </w:pPr>
            <w:r w:rsidRPr="008C4A39">
              <w:rPr>
                <w:b/>
                <w:bCs/>
                <w:color w:val="000000"/>
                <w:szCs w:val="24"/>
              </w:rPr>
              <w:t>Minimal Manual Intervention in Recovery</w:t>
            </w:r>
          </w:p>
        </w:tc>
      </w:tr>
      <w:tr w:rsidR="00930D96" w:rsidRPr="008C4A39" w14:paraId="03760D40" w14:textId="77777777" w:rsidTr="00883B07">
        <w:tc>
          <w:tcPr>
            <w:tcW w:w="9355" w:type="dxa"/>
            <w:gridSpan w:val="2"/>
          </w:tcPr>
          <w:p w14:paraId="43789196"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519E1E3A" w14:textId="77777777" w:rsidTr="00883B07">
        <w:tc>
          <w:tcPr>
            <w:tcW w:w="9355" w:type="dxa"/>
            <w:gridSpan w:val="2"/>
          </w:tcPr>
          <w:p w14:paraId="62E6F6FC"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2EDF2AD2" w14:textId="77777777" w:rsidTr="00883B07">
        <w:tc>
          <w:tcPr>
            <w:tcW w:w="2785" w:type="dxa"/>
          </w:tcPr>
          <w:p w14:paraId="39FA7A80" w14:textId="77777777" w:rsidR="00930D96" w:rsidRPr="008C4A39" w:rsidRDefault="00930D96" w:rsidP="001136D3">
            <w:pPr>
              <w:spacing w:after="0"/>
              <w:rPr>
                <w:szCs w:val="24"/>
              </w:rPr>
            </w:pPr>
            <w:r w:rsidRPr="008C4A39">
              <w:rPr>
                <w:color w:val="000000"/>
                <w:szCs w:val="24"/>
              </w:rPr>
              <w:t>NSW_AVA_0005</w:t>
            </w:r>
          </w:p>
        </w:tc>
        <w:tc>
          <w:tcPr>
            <w:tcW w:w="6570" w:type="dxa"/>
          </w:tcPr>
          <w:p w14:paraId="593A5BC3" w14:textId="77777777" w:rsidR="00930D96" w:rsidRPr="008C4A39" w:rsidRDefault="00930D96" w:rsidP="001136D3">
            <w:pPr>
              <w:spacing w:after="0"/>
              <w:rPr>
                <w:szCs w:val="24"/>
              </w:rPr>
            </w:pPr>
            <w:r w:rsidRPr="008C4A39">
              <w:rPr>
                <w:b/>
                <w:bCs/>
                <w:color w:val="000000"/>
                <w:szCs w:val="24"/>
              </w:rPr>
              <w:t>Failure Containment</w:t>
            </w:r>
          </w:p>
        </w:tc>
      </w:tr>
      <w:tr w:rsidR="00930D96" w:rsidRPr="008C4A39" w14:paraId="7343EB26" w14:textId="77777777" w:rsidTr="00883B07">
        <w:tc>
          <w:tcPr>
            <w:tcW w:w="9355" w:type="dxa"/>
            <w:gridSpan w:val="2"/>
          </w:tcPr>
          <w:p w14:paraId="427A921B"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307272EC" w14:textId="77777777" w:rsidTr="00883B07">
        <w:tc>
          <w:tcPr>
            <w:tcW w:w="9355" w:type="dxa"/>
            <w:gridSpan w:val="2"/>
          </w:tcPr>
          <w:p w14:paraId="0FA10CBD"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0EB3ABB5" w14:textId="77777777" w:rsidTr="00883B07">
        <w:tc>
          <w:tcPr>
            <w:tcW w:w="2785" w:type="dxa"/>
          </w:tcPr>
          <w:p w14:paraId="31AF8D6B" w14:textId="77777777" w:rsidR="00930D96" w:rsidRPr="008C4A39" w:rsidRDefault="00930D96" w:rsidP="001136D3">
            <w:pPr>
              <w:spacing w:after="0"/>
              <w:rPr>
                <w:szCs w:val="24"/>
              </w:rPr>
            </w:pPr>
            <w:r w:rsidRPr="008C4A39">
              <w:rPr>
                <w:color w:val="000000"/>
                <w:szCs w:val="24"/>
              </w:rPr>
              <w:t>NSW_AVA_0006</w:t>
            </w:r>
          </w:p>
        </w:tc>
        <w:tc>
          <w:tcPr>
            <w:tcW w:w="6570" w:type="dxa"/>
          </w:tcPr>
          <w:p w14:paraId="36D118DD" w14:textId="77777777" w:rsidR="00930D96" w:rsidRPr="008C4A39" w:rsidRDefault="00930D96" w:rsidP="001136D3">
            <w:pPr>
              <w:spacing w:after="0"/>
              <w:rPr>
                <w:szCs w:val="24"/>
              </w:rPr>
            </w:pPr>
            <w:r w:rsidRPr="008C4A39">
              <w:rPr>
                <w:b/>
                <w:bCs/>
                <w:color w:val="000000"/>
                <w:szCs w:val="24"/>
              </w:rPr>
              <w:t>Application Deployment Rollback</w:t>
            </w:r>
          </w:p>
        </w:tc>
      </w:tr>
      <w:tr w:rsidR="00930D96" w:rsidRPr="008C4A39" w14:paraId="27970E74" w14:textId="77777777" w:rsidTr="00883B07">
        <w:tc>
          <w:tcPr>
            <w:tcW w:w="9355" w:type="dxa"/>
            <w:gridSpan w:val="2"/>
          </w:tcPr>
          <w:p w14:paraId="1DCEF4EE"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79D2560D" w14:textId="77777777" w:rsidTr="00883B07">
        <w:tc>
          <w:tcPr>
            <w:tcW w:w="9355" w:type="dxa"/>
            <w:gridSpan w:val="2"/>
          </w:tcPr>
          <w:p w14:paraId="69123042"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656D8570" w14:textId="77777777" w:rsidTr="00883B07">
        <w:tc>
          <w:tcPr>
            <w:tcW w:w="2785" w:type="dxa"/>
          </w:tcPr>
          <w:p w14:paraId="153C1727" w14:textId="77777777" w:rsidR="00930D96" w:rsidRPr="008C4A39" w:rsidRDefault="00930D96" w:rsidP="001136D3">
            <w:pPr>
              <w:spacing w:after="0"/>
              <w:rPr>
                <w:szCs w:val="24"/>
              </w:rPr>
            </w:pPr>
            <w:r w:rsidRPr="008C4A39">
              <w:rPr>
                <w:color w:val="000000"/>
                <w:szCs w:val="24"/>
              </w:rPr>
              <w:t>NSW_AVA_0007</w:t>
            </w:r>
          </w:p>
        </w:tc>
        <w:tc>
          <w:tcPr>
            <w:tcW w:w="6570" w:type="dxa"/>
          </w:tcPr>
          <w:p w14:paraId="3D50F255" w14:textId="77777777" w:rsidR="00930D96" w:rsidRPr="008C4A39" w:rsidRDefault="00930D96" w:rsidP="001136D3">
            <w:pPr>
              <w:spacing w:after="0"/>
              <w:rPr>
                <w:szCs w:val="24"/>
              </w:rPr>
            </w:pPr>
            <w:r w:rsidRPr="008C4A39">
              <w:rPr>
                <w:bCs/>
                <w:color w:val="000000"/>
                <w:szCs w:val="24"/>
              </w:rPr>
              <w:t>Downtime during Deployment</w:t>
            </w:r>
          </w:p>
        </w:tc>
      </w:tr>
      <w:tr w:rsidR="00930D96" w:rsidRPr="008C4A39" w14:paraId="15728475" w14:textId="77777777" w:rsidTr="00883B07">
        <w:tc>
          <w:tcPr>
            <w:tcW w:w="9355" w:type="dxa"/>
            <w:gridSpan w:val="2"/>
          </w:tcPr>
          <w:p w14:paraId="35A4FC5E"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52196D2A" w14:textId="77777777" w:rsidTr="00883B07">
        <w:tc>
          <w:tcPr>
            <w:tcW w:w="9355" w:type="dxa"/>
            <w:gridSpan w:val="2"/>
          </w:tcPr>
          <w:p w14:paraId="65503BF7"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38012A8" w14:textId="77777777" w:rsidTr="00883B07">
        <w:tc>
          <w:tcPr>
            <w:tcW w:w="2785" w:type="dxa"/>
          </w:tcPr>
          <w:p w14:paraId="347DB675" w14:textId="77777777" w:rsidR="00930D96" w:rsidRPr="008C4A39" w:rsidRDefault="00930D96" w:rsidP="001136D3">
            <w:pPr>
              <w:spacing w:after="0"/>
              <w:rPr>
                <w:szCs w:val="24"/>
              </w:rPr>
            </w:pPr>
            <w:r w:rsidRPr="008C4A39">
              <w:rPr>
                <w:color w:val="000000"/>
                <w:szCs w:val="24"/>
              </w:rPr>
              <w:t>NSW_AVA_0008</w:t>
            </w:r>
          </w:p>
        </w:tc>
        <w:tc>
          <w:tcPr>
            <w:tcW w:w="6570" w:type="dxa"/>
          </w:tcPr>
          <w:p w14:paraId="55CD63F2" w14:textId="77777777" w:rsidR="00930D96" w:rsidRPr="008C4A39" w:rsidRDefault="00930D96" w:rsidP="001136D3">
            <w:pPr>
              <w:spacing w:after="0"/>
              <w:rPr>
                <w:szCs w:val="24"/>
              </w:rPr>
            </w:pPr>
            <w:r w:rsidRPr="008C4A39">
              <w:rPr>
                <w:bCs/>
                <w:color w:val="000000"/>
                <w:szCs w:val="24"/>
              </w:rPr>
              <w:t>Failure of Database</w:t>
            </w:r>
          </w:p>
        </w:tc>
      </w:tr>
      <w:tr w:rsidR="00930D96" w:rsidRPr="008C4A39" w14:paraId="1602C079" w14:textId="77777777" w:rsidTr="00883B07">
        <w:tc>
          <w:tcPr>
            <w:tcW w:w="9355" w:type="dxa"/>
            <w:gridSpan w:val="2"/>
          </w:tcPr>
          <w:p w14:paraId="23588569"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1B4758EF" w14:textId="77777777" w:rsidTr="00883B07">
        <w:tc>
          <w:tcPr>
            <w:tcW w:w="9355" w:type="dxa"/>
            <w:gridSpan w:val="2"/>
          </w:tcPr>
          <w:p w14:paraId="029EA5B2"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0114FEB1" w14:textId="77777777" w:rsidTr="00883B07">
        <w:tc>
          <w:tcPr>
            <w:tcW w:w="2785" w:type="dxa"/>
          </w:tcPr>
          <w:p w14:paraId="1B2B964E" w14:textId="77777777" w:rsidR="00930D96" w:rsidRPr="008C4A39" w:rsidRDefault="00930D96" w:rsidP="001136D3">
            <w:pPr>
              <w:spacing w:after="0"/>
              <w:rPr>
                <w:szCs w:val="24"/>
              </w:rPr>
            </w:pPr>
            <w:r w:rsidRPr="008C4A39">
              <w:rPr>
                <w:color w:val="000000"/>
                <w:szCs w:val="24"/>
              </w:rPr>
              <w:t>NSW_AVA_0009</w:t>
            </w:r>
          </w:p>
        </w:tc>
        <w:tc>
          <w:tcPr>
            <w:tcW w:w="6570" w:type="dxa"/>
          </w:tcPr>
          <w:p w14:paraId="7231F1C5" w14:textId="77777777" w:rsidR="00930D96" w:rsidRPr="008C4A39" w:rsidRDefault="00930D96" w:rsidP="001136D3">
            <w:pPr>
              <w:spacing w:after="0"/>
              <w:rPr>
                <w:color w:val="FF0000"/>
                <w:szCs w:val="24"/>
              </w:rPr>
            </w:pPr>
            <w:r w:rsidRPr="008C4A39">
              <w:rPr>
                <w:bCs/>
                <w:color w:val="000000"/>
                <w:szCs w:val="24"/>
              </w:rPr>
              <w:t>Presentation Layer</w:t>
            </w:r>
          </w:p>
        </w:tc>
      </w:tr>
      <w:tr w:rsidR="00930D96" w:rsidRPr="008C4A39" w14:paraId="2682BFBA" w14:textId="77777777" w:rsidTr="00883B07">
        <w:tc>
          <w:tcPr>
            <w:tcW w:w="9355" w:type="dxa"/>
            <w:gridSpan w:val="2"/>
          </w:tcPr>
          <w:p w14:paraId="1D7B83FA"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44D9F9FE" w14:textId="77777777" w:rsidTr="00883B07">
        <w:tc>
          <w:tcPr>
            <w:tcW w:w="9355" w:type="dxa"/>
            <w:gridSpan w:val="2"/>
          </w:tcPr>
          <w:p w14:paraId="01020081"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2CB9AB1" w14:textId="77777777" w:rsidTr="00883B07">
        <w:tc>
          <w:tcPr>
            <w:tcW w:w="2785" w:type="dxa"/>
          </w:tcPr>
          <w:p w14:paraId="79584C0B" w14:textId="77777777" w:rsidR="00930D96" w:rsidRPr="008C4A39" w:rsidRDefault="00930D96" w:rsidP="001136D3">
            <w:pPr>
              <w:spacing w:after="0"/>
              <w:rPr>
                <w:szCs w:val="24"/>
              </w:rPr>
            </w:pPr>
            <w:r w:rsidRPr="008C4A39">
              <w:rPr>
                <w:color w:val="000000"/>
                <w:szCs w:val="24"/>
              </w:rPr>
              <w:t>NSW_AVA_0010</w:t>
            </w:r>
          </w:p>
        </w:tc>
        <w:tc>
          <w:tcPr>
            <w:tcW w:w="6570" w:type="dxa"/>
          </w:tcPr>
          <w:p w14:paraId="4B6A299F" w14:textId="77777777" w:rsidR="00930D96" w:rsidRPr="008C4A39" w:rsidRDefault="00930D96" w:rsidP="001136D3">
            <w:pPr>
              <w:spacing w:after="0"/>
              <w:rPr>
                <w:szCs w:val="24"/>
              </w:rPr>
            </w:pPr>
            <w:r w:rsidRPr="008C4A39">
              <w:rPr>
                <w:bCs/>
                <w:color w:val="000000"/>
                <w:szCs w:val="24"/>
              </w:rPr>
              <w:t>Asynchronous Layer</w:t>
            </w:r>
          </w:p>
        </w:tc>
      </w:tr>
      <w:tr w:rsidR="00930D96" w:rsidRPr="008C4A39" w14:paraId="7B8105FA" w14:textId="77777777" w:rsidTr="00883B07">
        <w:tc>
          <w:tcPr>
            <w:tcW w:w="9355" w:type="dxa"/>
            <w:gridSpan w:val="2"/>
          </w:tcPr>
          <w:p w14:paraId="17FA61A7"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6C9DD046" w14:textId="77777777" w:rsidTr="00883B07">
        <w:tc>
          <w:tcPr>
            <w:tcW w:w="9355" w:type="dxa"/>
            <w:gridSpan w:val="2"/>
          </w:tcPr>
          <w:p w14:paraId="1FCF3E82" w14:textId="77777777" w:rsidR="00930D96" w:rsidRPr="008C4A39" w:rsidRDefault="00930D96" w:rsidP="001136D3">
            <w:pPr>
              <w:spacing w:after="0"/>
              <w:rPr>
                <w:szCs w:val="24"/>
              </w:rPr>
            </w:pPr>
            <w:r w:rsidRPr="008C4A39">
              <w:rPr>
                <w:szCs w:val="24"/>
              </w:rPr>
              <w:lastRenderedPageBreak/>
              <w:t>Bidder’s cross references to supporting information in Technical Bid:</w:t>
            </w:r>
          </w:p>
        </w:tc>
      </w:tr>
      <w:tr w:rsidR="00930D96" w:rsidRPr="008C4A39" w14:paraId="48836D8D" w14:textId="77777777" w:rsidTr="00883B07">
        <w:tc>
          <w:tcPr>
            <w:tcW w:w="2785" w:type="dxa"/>
          </w:tcPr>
          <w:p w14:paraId="7D4BFF78" w14:textId="77777777" w:rsidR="00930D96" w:rsidRPr="008C4A39" w:rsidRDefault="00930D96" w:rsidP="001136D3">
            <w:pPr>
              <w:spacing w:after="0"/>
              <w:rPr>
                <w:szCs w:val="24"/>
              </w:rPr>
            </w:pPr>
            <w:r w:rsidRPr="008C4A39">
              <w:rPr>
                <w:color w:val="000000"/>
                <w:szCs w:val="24"/>
              </w:rPr>
              <w:t>NSW_AVA_0011</w:t>
            </w:r>
          </w:p>
        </w:tc>
        <w:tc>
          <w:tcPr>
            <w:tcW w:w="6570" w:type="dxa"/>
          </w:tcPr>
          <w:p w14:paraId="67948A1D" w14:textId="77777777" w:rsidR="00930D96" w:rsidRPr="008C4A39" w:rsidRDefault="00930D96" w:rsidP="001136D3">
            <w:pPr>
              <w:spacing w:after="0"/>
              <w:rPr>
                <w:szCs w:val="24"/>
              </w:rPr>
            </w:pPr>
            <w:r w:rsidRPr="008C4A39">
              <w:rPr>
                <w:bCs/>
                <w:color w:val="000000"/>
                <w:szCs w:val="24"/>
              </w:rPr>
              <w:t>Ability to Recover by Resubmitting Failed Request</w:t>
            </w:r>
          </w:p>
        </w:tc>
      </w:tr>
      <w:tr w:rsidR="00930D96" w:rsidRPr="008C4A39" w14:paraId="4A47A783" w14:textId="77777777" w:rsidTr="00883B07">
        <w:tc>
          <w:tcPr>
            <w:tcW w:w="9355" w:type="dxa"/>
            <w:gridSpan w:val="2"/>
          </w:tcPr>
          <w:p w14:paraId="750E8D17"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199C5CEE" w14:textId="77777777" w:rsidTr="00883B07">
        <w:tc>
          <w:tcPr>
            <w:tcW w:w="9355" w:type="dxa"/>
            <w:gridSpan w:val="2"/>
          </w:tcPr>
          <w:p w14:paraId="39F225AE"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6EF386CF" w14:textId="77777777" w:rsidTr="00883B07">
        <w:tc>
          <w:tcPr>
            <w:tcW w:w="2785" w:type="dxa"/>
          </w:tcPr>
          <w:p w14:paraId="1EA5CC56" w14:textId="77777777" w:rsidR="00930D96" w:rsidRPr="008C4A39" w:rsidRDefault="00930D96" w:rsidP="001136D3">
            <w:pPr>
              <w:spacing w:after="0"/>
              <w:rPr>
                <w:szCs w:val="24"/>
              </w:rPr>
            </w:pPr>
            <w:r w:rsidRPr="008C4A39">
              <w:rPr>
                <w:color w:val="000000"/>
                <w:szCs w:val="24"/>
              </w:rPr>
              <w:t>NSW_AVA_0012</w:t>
            </w:r>
          </w:p>
        </w:tc>
        <w:tc>
          <w:tcPr>
            <w:tcW w:w="6570" w:type="dxa"/>
          </w:tcPr>
          <w:p w14:paraId="599CC9B8" w14:textId="77777777" w:rsidR="00930D96" w:rsidRPr="008C4A39" w:rsidRDefault="00930D96">
            <w:pPr>
              <w:spacing w:after="0"/>
              <w:jc w:val="left"/>
              <w:rPr>
                <w:bCs/>
                <w:color w:val="000000"/>
                <w:szCs w:val="24"/>
              </w:rPr>
            </w:pPr>
            <w:r w:rsidRPr="008C4A39">
              <w:rPr>
                <w:bCs/>
                <w:szCs w:val="24"/>
              </w:rPr>
              <w:t>Failure of Asynchronous Communication Component</w:t>
            </w:r>
          </w:p>
        </w:tc>
      </w:tr>
      <w:tr w:rsidR="00930D96" w:rsidRPr="008C4A39" w14:paraId="6408A771" w14:textId="77777777" w:rsidTr="00883B07">
        <w:tc>
          <w:tcPr>
            <w:tcW w:w="9355" w:type="dxa"/>
            <w:gridSpan w:val="2"/>
          </w:tcPr>
          <w:p w14:paraId="0F87B3C8"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6A5EC5A0" w14:textId="77777777" w:rsidTr="00883B07">
        <w:tc>
          <w:tcPr>
            <w:tcW w:w="9355" w:type="dxa"/>
            <w:gridSpan w:val="2"/>
          </w:tcPr>
          <w:p w14:paraId="3B0C8533"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21C1FE14" w14:textId="77777777" w:rsidTr="00883B07">
        <w:tc>
          <w:tcPr>
            <w:tcW w:w="2785" w:type="dxa"/>
          </w:tcPr>
          <w:p w14:paraId="50D06BA2" w14:textId="77777777" w:rsidR="00930D96" w:rsidRPr="008C4A39" w:rsidRDefault="00930D96" w:rsidP="001136D3">
            <w:pPr>
              <w:spacing w:after="0"/>
              <w:rPr>
                <w:szCs w:val="24"/>
              </w:rPr>
            </w:pPr>
            <w:r w:rsidRPr="008C4A39">
              <w:rPr>
                <w:color w:val="000000"/>
                <w:szCs w:val="24"/>
              </w:rPr>
              <w:t>NSW_AVA_0013</w:t>
            </w:r>
          </w:p>
        </w:tc>
        <w:tc>
          <w:tcPr>
            <w:tcW w:w="6570" w:type="dxa"/>
          </w:tcPr>
          <w:p w14:paraId="66BDFDE4" w14:textId="77777777" w:rsidR="00930D96" w:rsidRPr="008C4A39" w:rsidRDefault="00930D96">
            <w:pPr>
              <w:spacing w:after="0"/>
              <w:jc w:val="left"/>
              <w:rPr>
                <w:bCs/>
                <w:szCs w:val="24"/>
              </w:rPr>
            </w:pPr>
            <w:r w:rsidRPr="008C4A39">
              <w:rPr>
                <w:bCs/>
                <w:szCs w:val="24"/>
              </w:rPr>
              <w:t>Failure of HTTP Communication</w:t>
            </w:r>
          </w:p>
        </w:tc>
      </w:tr>
      <w:tr w:rsidR="00930D96" w:rsidRPr="008C4A39" w14:paraId="0360FD32" w14:textId="77777777" w:rsidTr="00883B07">
        <w:tc>
          <w:tcPr>
            <w:tcW w:w="9355" w:type="dxa"/>
            <w:gridSpan w:val="2"/>
          </w:tcPr>
          <w:p w14:paraId="2A3D0E79" w14:textId="77777777" w:rsidR="00930D96" w:rsidRPr="008C4A39" w:rsidRDefault="00930D96">
            <w:pPr>
              <w:spacing w:after="0"/>
              <w:jc w:val="left"/>
              <w:rPr>
                <w:b/>
                <w:bCs/>
                <w:szCs w:val="24"/>
              </w:rPr>
            </w:pPr>
            <w:r w:rsidRPr="008C4A39">
              <w:rPr>
                <w:szCs w:val="24"/>
              </w:rPr>
              <w:t xml:space="preserve">Bidder’s technical reasons supporting compliance:  </w:t>
            </w:r>
          </w:p>
        </w:tc>
      </w:tr>
      <w:tr w:rsidR="00930D96" w:rsidRPr="008C4A39" w14:paraId="74BF621C" w14:textId="77777777" w:rsidTr="00883B07">
        <w:tc>
          <w:tcPr>
            <w:tcW w:w="9355" w:type="dxa"/>
            <w:gridSpan w:val="2"/>
          </w:tcPr>
          <w:p w14:paraId="3ADE1459" w14:textId="77777777" w:rsidR="00930D96" w:rsidRPr="008C4A39" w:rsidRDefault="00930D96">
            <w:pPr>
              <w:spacing w:after="0"/>
              <w:jc w:val="left"/>
              <w:rPr>
                <w:b/>
                <w:bCs/>
                <w:szCs w:val="24"/>
              </w:rPr>
            </w:pPr>
            <w:r w:rsidRPr="008C4A39">
              <w:rPr>
                <w:szCs w:val="24"/>
              </w:rPr>
              <w:t>Bidder’s cross references to supporting information in Technical Bid:</w:t>
            </w:r>
          </w:p>
        </w:tc>
      </w:tr>
      <w:tr w:rsidR="00930D96" w:rsidRPr="008C4A39" w14:paraId="661C3F89" w14:textId="77777777" w:rsidTr="00883B07">
        <w:tc>
          <w:tcPr>
            <w:tcW w:w="2785" w:type="dxa"/>
          </w:tcPr>
          <w:p w14:paraId="6D23CCD2" w14:textId="77777777" w:rsidR="00930D96" w:rsidRPr="008C4A39" w:rsidRDefault="00930D96" w:rsidP="001136D3">
            <w:pPr>
              <w:spacing w:after="0"/>
              <w:rPr>
                <w:szCs w:val="24"/>
              </w:rPr>
            </w:pPr>
            <w:r w:rsidRPr="008C4A39">
              <w:rPr>
                <w:color w:val="000000"/>
                <w:szCs w:val="24"/>
              </w:rPr>
              <w:t>NSW_AVA_0014</w:t>
            </w:r>
          </w:p>
        </w:tc>
        <w:tc>
          <w:tcPr>
            <w:tcW w:w="6570" w:type="dxa"/>
          </w:tcPr>
          <w:p w14:paraId="11758FD9" w14:textId="77777777" w:rsidR="00930D96" w:rsidRPr="008C4A39" w:rsidRDefault="00930D96">
            <w:pPr>
              <w:spacing w:after="0"/>
              <w:jc w:val="left"/>
              <w:rPr>
                <w:bCs/>
                <w:szCs w:val="24"/>
              </w:rPr>
            </w:pPr>
            <w:r w:rsidRPr="008C4A39">
              <w:rPr>
                <w:bCs/>
                <w:color w:val="000000"/>
                <w:szCs w:val="24"/>
              </w:rPr>
              <w:t>Failure of a Batch Service</w:t>
            </w:r>
          </w:p>
        </w:tc>
      </w:tr>
      <w:tr w:rsidR="00930D96" w:rsidRPr="008C4A39" w14:paraId="77208F61" w14:textId="77777777" w:rsidTr="00883B07">
        <w:tc>
          <w:tcPr>
            <w:tcW w:w="9355" w:type="dxa"/>
            <w:gridSpan w:val="2"/>
          </w:tcPr>
          <w:p w14:paraId="64BE6473" w14:textId="77777777" w:rsidR="00930D96" w:rsidRPr="008C4A39" w:rsidRDefault="00930D96">
            <w:pPr>
              <w:spacing w:after="0"/>
              <w:jc w:val="left"/>
              <w:rPr>
                <w:b/>
                <w:bCs/>
                <w:szCs w:val="24"/>
              </w:rPr>
            </w:pPr>
            <w:r w:rsidRPr="008C4A39">
              <w:rPr>
                <w:szCs w:val="24"/>
              </w:rPr>
              <w:t xml:space="preserve">Bidder’s technical reasons supporting compliance:  </w:t>
            </w:r>
          </w:p>
        </w:tc>
      </w:tr>
      <w:tr w:rsidR="00930D96" w:rsidRPr="008C4A39" w14:paraId="49C398F9" w14:textId="77777777" w:rsidTr="00883B07">
        <w:tc>
          <w:tcPr>
            <w:tcW w:w="9355" w:type="dxa"/>
            <w:gridSpan w:val="2"/>
          </w:tcPr>
          <w:p w14:paraId="372962E4" w14:textId="77777777" w:rsidR="00930D96" w:rsidRPr="008C4A39" w:rsidRDefault="00930D96">
            <w:pPr>
              <w:spacing w:after="0"/>
              <w:jc w:val="left"/>
              <w:rPr>
                <w:b/>
                <w:bCs/>
                <w:szCs w:val="24"/>
              </w:rPr>
            </w:pPr>
            <w:r w:rsidRPr="008C4A39">
              <w:rPr>
                <w:szCs w:val="24"/>
              </w:rPr>
              <w:t>Bidder’s cross references to supporting information in Technical Bid:</w:t>
            </w:r>
          </w:p>
        </w:tc>
      </w:tr>
      <w:tr w:rsidR="00930D96" w:rsidRPr="008C4A39" w14:paraId="6B3E1D9A" w14:textId="77777777" w:rsidTr="00883B07">
        <w:tc>
          <w:tcPr>
            <w:tcW w:w="2785" w:type="dxa"/>
          </w:tcPr>
          <w:p w14:paraId="6FD0619E" w14:textId="77777777" w:rsidR="00930D96" w:rsidRPr="008C4A39" w:rsidRDefault="00930D96" w:rsidP="001136D3">
            <w:pPr>
              <w:spacing w:after="0"/>
              <w:rPr>
                <w:szCs w:val="24"/>
              </w:rPr>
            </w:pPr>
            <w:r w:rsidRPr="008C4A39">
              <w:rPr>
                <w:color w:val="000000"/>
                <w:szCs w:val="24"/>
              </w:rPr>
              <w:t>NSW_AVA_0015</w:t>
            </w:r>
          </w:p>
        </w:tc>
        <w:tc>
          <w:tcPr>
            <w:tcW w:w="6570" w:type="dxa"/>
          </w:tcPr>
          <w:p w14:paraId="283DF072" w14:textId="77777777" w:rsidR="00930D96" w:rsidRPr="008C4A39" w:rsidRDefault="00930D96">
            <w:pPr>
              <w:spacing w:after="0"/>
              <w:jc w:val="left"/>
              <w:rPr>
                <w:bCs/>
                <w:szCs w:val="24"/>
              </w:rPr>
            </w:pPr>
            <w:r w:rsidRPr="008C4A39">
              <w:rPr>
                <w:bCs/>
                <w:color w:val="000000"/>
                <w:szCs w:val="24"/>
              </w:rPr>
              <w:t>Backup and Restore Procedures</w:t>
            </w:r>
          </w:p>
        </w:tc>
      </w:tr>
      <w:tr w:rsidR="00930D96" w:rsidRPr="008C4A39" w14:paraId="031FFA52" w14:textId="77777777" w:rsidTr="00883B07">
        <w:tc>
          <w:tcPr>
            <w:tcW w:w="9355" w:type="dxa"/>
            <w:gridSpan w:val="2"/>
          </w:tcPr>
          <w:p w14:paraId="49029521" w14:textId="77777777" w:rsidR="00930D96" w:rsidRPr="008C4A39" w:rsidRDefault="00930D96">
            <w:pPr>
              <w:spacing w:after="0"/>
              <w:jc w:val="left"/>
              <w:rPr>
                <w:b/>
                <w:bCs/>
                <w:szCs w:val="24"/>
              </w:rPr>
            </w:pPr>
            <w:r w:rsidRPr="008C4A39">
              <w:rPr>
                <w:szCs w:val="24"/>
              </w:rPr>
              <w:t xml:space="preserve">Bidder’s technical reasons supporting compliance:  </w:t>
            </w:r>
          </w:p>
        </w:tc>
      </w:tr>
      <w:tr w:rsidR="00930D96" w:rsidRPr="008C4A39" w14:paraId="3B6C77A6" w14:textId="77777777" w:rsidTr="00883B07">
        <w:tc>
          <w:tcPr>
            <w:tcW w:w="9355" w:type="dxa"/>
            <w:gridSpan w:val="2"/>
          </w:tcPr>
          <w:p w14:paraId="7CD2BB68" w14:textId="77777777" w:rsidR="00930D96" w:rsidRPr="008C4A39" w:rsidRDefault="00930D96">
            <w:pPr>
              <w:spacing w:after="0"/>
              <w:jc w:val="left"/>
              <w:rPr>
                <w:b/>
                <w:bCs/>
                <w:szCs w:val="24"/>
              </w:rPr>
            </w:pPr>
            <w:r w:rsidRPr="008C4A39">
              <w:rPr>
                <w:szCs w:val="24"/>
              </w:rPr>
              <w:t>Bidder’s cross references to supporting information in Technical Bid:</w:t>
            </w:r>
          </w:p>
        </w:tc>
      </w:tr>
      <w:tr w:rsidR="00930D96" w:rsidRPr="008C4A39" w14:paraId="2645ECDD" w14:textId="77777777" w:rsidTr="00883B07">
        <w:tc>
          <w:tcPr>
            <w:tcW w:w="2785" w:type="dxa"/>
          </w:tcPr>
          <w:p w14:paraId="4B36F73E" w14:textId="77777777" w:rsidR="00930D96" w:rsidRPr="008C4A39" w:rsidRDefault="00930D96" w:rsidP="001136D3">
            <w:pPr>
              <w:spacing w:after="0"/>
              <w:rPr>
                <w:szCs w:val="24"/>
              </w:rPr>
            </w:pPr>
            <w:r w:rsidRPr="008C4A39">
              <w:rPr>
                <w:color w:val="000000"/>
                <w:szCs w:val="24"/>
              </w:rPr>
              <w:t>NSW_AVA_0016</w:t>
            </w:r>
          </w:p>
        </w:tc>
        <w:tc>
          <w:tcPr>
            <w:tcW w:w="6570" w:type="dxa"/>
          </w:tcPr>
          <w:p w14:paraId="16B7DA7F" w14:textId="77777777" w:rsidR="00930D96" w:rsidRPr="008C4A39" w:rsidRDefault="00930D96">
            <w:pPr>
              <w:spacing w:after="0"/>
              <w:jc w:val="left"/>
              <w:rPr>
                <w:bCs/>
                <w:szCs w:val="24"/>
              </w:rPr>
            </w:pPr>
            <w:r w:rsidRPr="008C4A39">
              <w:rPr>
                <w:bCs/>
                <w:color w:val="000000"/>
                <w:szCs w:val="24"/>
              </w:rPr>
              <w:t>Availability Requirement for Office</w:t>
            </w:r>
          </w:p>
        </w:tc>
      </w:tr>
      <w:tr w:rsidR="00930D96" w:rsidRPr="008C4A39" w14:paraId="0D8BE33D" w14:textId="77777777" w:rsidTr="00883B07">
        <w:tc>
          <w:tcPr>
            <w:tcW w:w="9355" w:type="dxa"/>
            <w:gridSpan w:val="2"/>
          </w:tcPr>
          <w:p w14:paraId="639CB300" w14:textId="77777777" w:rsidR="00930D96" w:rsidRPr="008C4A39" w:rsidRDefault="00930D96">
            <w:pPr>
              <w:spacing w:after="0"/>
              <w:jc w:val="left"/>
              <w:rPr>
                <w:b/>
                <w:bCs/>
                <w:szCs w:val="24"/>
              </w:rPr>
            </w:pPr>
            <w:r w:rsidRPr="008C4A39">
              <w:rPr>
                <w:szCs w:val="24"/>
              </w:rPr>
              <w:t xml:space="preserve">Bidder’s technical reasons supporting compliance:  </w:t>
            </w:r>
          </w:p>
        </w:tc>
      </w:tr>
      <w:tr w:rsidR="00930D96" w:rsidRPr="008C4A39" w14:paraId="79DD0D2E" w14:textId="77777777" w:rsidTr="00883B07">
        <w:tc>
          <w:tcPr>
            <w:tcW w:w="9355" w:type="dxa"/>
            <w:gridSpan w:val="2"/>
          </w:tcPr>
          <w:p w14:paraId="4A9965A3" w14:textId="77777777" w:rsidR="00930D96" w:rsidRPr="008C4A39" w:rsidRDefault="00930D96">
            <w:pPr>
              <w:spacing w:after="0"/>
              <w:jc w:val="left"/>
              <w:rPr>
                <w:b/>
                <w:bCs/>
                <w:szCs w:val="24"/>
              </w:rPr>
            </w:pPr>
            <w:r w:rsidRPr="008C4A39">
              <w:rPr>
                <w:szCs w:val="24"/>
              </w:rPr>
              <w:t>Bidder’s cross references to supporting information in Technical Bid:</w:t>
            </w:r>
          </w:p>
        </w:tc>
      </w:tr>
      <w:tr w:rsidR="00930D96" w:rsidRPr="008C4A39" w14:paraId="02606F48" w14:textId="77777777" w:rsidTr="00883B07">
        <w:trPr>
          <w:tblHeader/>
        </w:trPr>
        <w:tc>
          <w:tcPr>
            <w:tcW w:w="2785" w:type="dxa"/>
            <w:shd w:val="clear" w:color="auto" w:fill="D9D9D9"/>
          </w:tcPr>
          <w:p w14:paraId="0902C330" w14:textId="77777777" w:rsidR="00930D96" w:rsidRPr="008C4A39" w:rsidRDefault="00930D96" w:rsidP="001136D3">
            <w:pPr>
              <w:spacing w:after="0"/>
              <w:rPr>
                <w:b/>
                <w:szCs w:val="24"/>
              </w:rPr>
            </w:pPr>
            <w:r w:rsidRPr="008C4A39">
              <w:rPr>
                <w:b/>
                <w:szCs w:val="24"/>
              </w:rPr>
              <w:t>Tech. Req. Number</w:t>
            </w:r>
          </w:p>
        </w:tc>
        <w:tc>
          <w:tcPr>
            <w:tcW w:w="6570" w:type="dxa"/>
            <w:shd w:val="clear" w:color="auto" w:fill="D9D9D9"/>
          </w:tcPr>
          <w:p w14:paraId="4A06CFD8"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52470D1C" w14:textId="77777777" w:rsidTr="00883B07">
        <w:tc>
          <w:tcPr>
            <w:tcW w:w="9355" w:type="dxa"/>
            <w:gridSpan w:val="2"/>
          </w:tcPr>
          <w:p w14:paraId="4899E084" w14:textId="77777777" w:rsidR="00930D96" w:rsidRPr="008C4A39" w:rsidRDefault="00930D96" w:rsidP="001136D3">
            <w:pPr>
              <w:spacing w:after="0"/>
              <w:rPr>
                <w:b/>
                <w:szCs w:val="24"/>
              </w:rPr>
            </w:pPr>
            <w:r w:rsidRPr="008C4A39">
              <w:rPr>
                <w:b/>
                <w:szCs w:val="24"/>
              </w:rPr>
              <w:t>1.5.1.2 Access Control and Connectivity Non-Functional Requirements</w:t>
            </w:r>
          </w:p>
        </w:tc>
      </w:tr>
      <w:tr w:rsidR="00930D96" w:rsidRPr="008C4A39" w14:paraId="19BC279E" w14:textId="77777777" w:rsidTr="00883B07">
        <w:tc>
          <w:tcPr>
            <w:tcW w:w="2785" w:type="dxa"/>
          </w:tcPr>
          <w:p w14:paraId="0ACEBDE5" w14:textId="77777777" w:rsidR="00930D96" w:rsidRPr="008C4A39" w:rsidRDefault="00930D96" w:rsidP="001136D3">
            <w:pPr>
              <w:spacing w:after="0"/>
              <w:rPr>
                <w:szCs w:val="24"/>
              </w:rPr>
            </w:pPr>
            <w:r w:rsidRPr="008C4A39">
              <w:rPr>
                <w:color w:val="000000"/>
                <w:szCs w:val="24"/>
              </w:rPr>
              <w:t>NSW_ACC_0001</w:t>
            </w:r>
          </w:p>
        </w:tc>
        <w:tc>
          <w:tcPr>
            <w:tcW w:w="6570" w:type="dxa"/>
          </w:tcPr>
          <w:p w14:paraId="3857C20C" w14:textId="77777777" w:rsidR="00930D96" w:rsidRPr="008C4A39" w:rsidRDefault="00930D96" w:rsidP="001136D3">
            <w:pPr>
              <w:spacing w:after="0"/>
              <w:rPr>
                <w:szCs w:val="24"/>
              </w:rPr>
            </w:pPr>
            <w:r w:rsidRPr="008C4A39">
              <w:rPr>
                <w:b/>
                <w:bCs/>
                <w:szCs w:val="24"/>
              </w:rPr>
              <w:t>Control of Access Rights</w:t>
            </w:r>
          </w:p>
        </w:tc>
      </w:tr>
      <w:tr w:rsidR="00930D96" w:rsidRPr="008C4A39" w14:paraId="18976F18" w14:textId="77777777" w:rsidTr="00883B07">
        <w:tc>
          <w:tcPr>
            <w:tcW w:w="9355" w:type="dxa"/>
            <w:gridSpan w:val="2"/>
          </w:tcPr>
          <w:p w14:paraId="6248A965"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4BF266DD" w14:textId="77777777" w:rsidTr="00883B07">
        <w:tc>
          <w:tcPr>
            <w:tcW w:w="9355" w:type="dxa"/>
            <w:gridSpan w:val="2"/>
          </w:tcPr>
          <w:p w14:paraId="048DB8AD"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FDE6DFA" w14:textId="77777777" w:rsidTr="00883B07">
        <w:tc>
          <w:tcPr>
            <w:tcW w:w="2785" w:type="dxa"/>
          </w:tcPr>
          <w:p w14:paraId="2D6117F5" w14:textId="77777777" w:rsidR="00930D96" w:rsidRPr="008C4A39" w:rsidRDefault="00930D96" w:rsidP="001136D3">
            <w:pPr>
              <w:spacing w:after="0"/>
              <w:rPr>
                <w:szCs w:val="24"/>
              </w:rPr>
            </w:pPr>
            <w:r w:rsidRPr="008C4A39">
              <w:rPr>
                <w:color w:val="000000"/>
                <w:szCs w:val="24"/>
              </w:rPr>
              <w:t>NSW_ACC_0002</w:t>
            </w:r>
          </w:p>
        </w:tc>
        <w:tc>
          <w:tcPr>
            <w:tcW w:w="6570" w:type="dxa"/>
          </w:tcPr>
          <w:p w14:paraId="00E0EC85" w14:textId="77777777" w:rsidR="00930D96" w:rsidRPr="008C4A39" w:rsidRDefault="00930D96" w:rsidP="001136D3">
            <w:pPr>
              <w:spacing w:after="0"/>
              <w:rPr>
                <w:szCs w:val="24"/>
              </w:rPr>
            </w:pPr>
            <w:r w:rsidRPr="008C4A39">
              <w:rPr>
                <w:b/>
                <w:bCs/>
                <w:color w:val="000000"/>
                <w:szCs w:val="24"/>
              </w:rPr>
              <w:t>Access Authentication</w:t>
            </w:r>
          </w:p>
        </w:tc>
      </w:tr>
      <w:tr w:rsidR="00930D96" w:rsidRPr="008C4A39" w14:paraId="3389741C" w14:textId="77777777" w:rsidTr="00883B07">
        <w:tc>
          <w:tcPr>
            <w:tcW w:w="9355" w:type="dxa"/>
            <w:gridSpan w:val="2"/>
          </w:tcPr>
          <w:p w14:paraId="232DEA7D"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73468F66" w14:textId="77777777" w:rsidTr="00883B07">
        <w:tc>
          <w:tcPr>
            <w:tcW w:w="9355" w:type="dxa"/>
            <w:gridSpan w:val="2"/>
          </w:tcPr>
          <w:p w14:paraId="3B382094"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08FA4815" w14:textId="77777777" w:rsidTr="00883B07">
        <w:tc>
          <w:tcPr>
            <w:tcW w:w="2785" w:type="dxa"/>
          </w:tcPr>
          <w:p w14:paraId="74F840C0" w14:textId="77777777" w:rsidR="00930D96" w:rsidRPr="008C4A39" w:rsidRDefault="00930D96" w:rsidP="001136D3">
            <w:pPr>
              <w:spacing w:after="0"/>
              <w:rPr>
                <w:szCs w:val="24"/>
              </w:rPr>
            </w:pPr>
            <w:r w:rsidRPr="008C4A39">
              <w:rPr>
                <w:color w:val="000000"/>
                <w:szCs w:val="24"/>
              </w:rPr>
              <w:t>NSW_ACC_0003</w:t>
            </w:r>
          </w:p>
        </w:tc>
        <w:tc>
          <w:tcPr>
            <w:tcW w:w="6570" w:type="dxa"/>
          </w:tcPr>
          <w:p w14:paraId="72D8F9F6" w14:textId="77777777" w:rsidR="00930D96" w:rsidRPr="008C4A39" w:rsidRDefault="00930D96" w:rsidP="001136D3">
            <w:pPr>
              <w:spacing w:after="0"/>
              <w:rPr>
                <w:szCs w:val="24"/>
              </w:rPr>
            </w:pPr>
            <w:r w:rsidRPr="008C4A39">
              <w:rPr>
                <w:b/>
                <w:bCs/>
                <w:color w:val="000000"/>
                <w:szCs w:val="24"/>
              </w:rPr>
              <w:t>Type of Users</w:t>
            </w:r>
          </w:p>
        </w:tc>
      </w:tr>
      <w:tr w:rsidR="00930D96" w:rsidRPr="008C4A39" w14:paraId="57C422AF" w14:textId="77777777" w:rsidTr="00883B07">
        <w:tc>
          <w:tcPr>
            <w:tcW w:w="9355" w:type="dxa"/>
            <w:gridSpan w:val="2"/>
          </w:tcPr>
          <w:p w14:paraId="04AC0EE5"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5A80FE6F" w14:textId="77777777" w:rsidTr="00883B07">
        <w:tc>
          <w:tcPr>
            <w:tcW w:w="9355" w:type="dxa"/>
            <w:gridSpan w:val="2"/>
          </w:tcPr>
          <w:p w14:paraId="1A7375F5"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6F76304D" w14:textId="77777777" w:rsidTr="00883B07">
        <w:tc>
          <w:tcPr>
            <w:tcW w:w="2785" w:type="dxa"/>
          </w:tcPr>
          <w:p w14:paraId="21ADDEA3" w14:textId="77777777" w:rsidR="00930D96" w:rsidRPr="008C4A39" w:rsidRDefault="00930D96" w:rsidP="001136D3">
            <w:pPr>
              <w:spacing w:after="0"/>
              <w:rPr>
                <w:szCs w:val="24"/>
              </w:rPr>
            </w:pPr>
            <w:r w:rsidRPr="008C4A39">
              <w:rPr>
                <w:color w:val="000000"/>
                <w:szCs w:val="24"/>
              </w:rPr>
              <w:t>NSW_ACC_0004</w:t>
            </w:r>
          </w:p>
        </w:tc>
        <w:tc>
          <w:tcPr>
            <w:tcW w:w="6570" w:type="dxa"/>
          </w:tcPr>
          <w:p w14:paraId="2642E5CA" w14:textId="77777777" w:rsidR="00930D96" w:rsidRPr="008C4A39" w:rsidRDefault="00930D96" w:rsidP="001136D3">
            <w:pPr>
              <w:spacing w:after="0"/>
              <w:rPr>
                <w:szCs w:val="24"/>
              </w:rPr>
            </w:pPr>
            <w:r w:rsidRPr="008C4A39">
              <w:rPr>
                <w:b/>
                <w:bCs/>
                <w:color w:val="000000"/>
                <w:szCs w:val="24"/>
              </w:rPr>
              <w:t>External Access</w:t>
            </w:r>
          </w:p>
        </w:tc>
      </w:tr>
      <w:tr w:rsidR="00930D96" w:rsidRPr="008C4A39" w14:paraId="294E6935" w14:textId="77777777" w:rsidTr="00883B07">
        <w:tc>
          <w:tcPr>
            <w:tcW w:w="9355" w:type="dxa"/>
            <w:gridSpan w:val="2"/>
          </w:tcPr>
          <w:p w14:paraId="2427E379"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2E2C590B" w14:textId="77777777" w:rsidTr="00883B07">
        <w:tc>
          <w:tcPr>
            <w:tcW w:w="9355" w:type="dxa"/>
            <w:gridSpan w:val="2"/>
          </w:tcPr>
          <w:p w14:paraId="4026DE56"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56D097EA" w14:textId="77777777" w:rsidTr="00883B07">
        <w:tc>
          <w:tcPr>
            <w:tcW w:w="2785" w:type="dxa"/>
          </w:tcPr>
          <w:p w14:paraId="7660BFA1" w14:textId="77777777" w:rsidR="00930D96" w:rsidRPr="008C4A39" w:rsidRDefault="00930D96" w:rsidP="001136D3">
            <w:pPr>
              <w:spacing w:after="0"/>
              <w:rPr>
                <w:szCs w:val="24"/>
              </w:rPr>
            </w:pPr>
            <w:r w:rsidRPr="008C4A39">
              <w:rPr>
                <w:color w:val="000000"/>
                <w:szCs w:val="24"/>
              </w:rPr>
              <w:t>NSW_ACC_0005</w:t>
            </w:r>
          </w:p>
        </w:tc>
        <w:tc>
          <w:tcPr>
            <w:tcW w:w="6570" w:type="dxa"/>
          </w:tcPr>
          <w:p w14:paraId="78A46C03" w14:textId="77777777" w:rsidR="00930D96" w:rsidRPr="008C4A39" w:rsidRDefault="00930D96" w:rsidP="001136D3">
            <w:pPr>
              <w:spacing w:after="0"/>
              <w:rPr>
                <w:szCs w:val="24"/>
              </w:rPr>
            </w:pPr>
            <w:r w:rsidRPr="008C4A39">
              <w:rPr>
                <w:b/>
                <w:bCs/>
                <w:color w:val="000000"/>
                <w:szCs w:val="24"/>
              </w:rPr>
              <w:t>Password</w:t>
            </w:r>
          </w:p>
        </w:tc>
      </w:tr>
      <w:tr w:rsidR="00930D96" w:rsidRPr="008C4A39" w14:paraId="6B3F5FBE" w14:textId="77777777" w:rsidTr="00883B07">
        <w:tc>
          <w:tcPr>
            <w:tcW w:w="9355" w:type="dxa"/>
            <w:gridSpan w:val="2"/>
          </w:tcPr>
          <w:p w14:paraId="1B60CA58"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7D606D13" w14:textId="77777777" w:rsidTr="00883B07">
        <w:tc>
          <w:tcPr>
            <w:tcW w:w="9355" w:type="dxa"/>
            <w:gridSpan w:val="2"/>
          </w:tcPr>
          <w:p w14:paraId="7948EAB0"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79364DBE" w14:textId="77777777" w:rsidTr="00883B07">
        <w:tc>
          <w:tcPr>
            <w:tcW w:w="2785" w:type="dxa"/>
          </w:tcPr>
          <w:p w14:paraId="77457DF1" w14:textId="77777777" w:rsidR="00930D96" w:rsidRPr="008C4A39" w:rsidRDefault="00930D96" w:rsidP="001136D3">
            <w:pPr>
              <w:spacing w:after="0"/>
              <w:rPr>
                <w:szCs w:val="24"/>
              </w:rPr>
            </w:pPr>
            <w:r w:rsidRPr="008C4A39">
              <w:rPr>
                <w:color w:val="000000"/>
                <w:szCs w:val="24"/>
              </w:rPr>
              <w:t>NSW_ACC_0006</w:t>
            </w:r>
          </w:p>
        </w:tc>
        <w:tc>
          <w:tcPr>
            <w:tcW w:w="6570" w:type="dxa"/>
          </w:tcPr>
          <w:p w14:paraId="3FFD731F" w14:textId="77777777" w:rsidR="00930D96" w:rsidRPr="008C4A39" w:rsidRDefault="00930D96" w:rsidP="001136D3">
            <w:pPr>
              <w:spacing w:after="0"/>
              <w:rPr>
                <w:szCs w:val="24"/>
              </w:rPr>
            </w:pPr>
            <w:r w:rsidRPr="008C4A39">
              <w:rPr>
                <w:b/>
                <w:bCs/>
                <w:color w:val="000000"/>
                <w:szCs w:val="24"/>
              </w:rPr>
              <w:t>Security Checks</w:t>
            </w:r>
          </w:p>
        </w:tc>
      </w:tr>
      <w:tr w:rsidR="00930D96" w:rsidRPr="008C4A39" w14:paraId="52A6FA22" w14:textId="77777777" w:rsidTr="00883B07">
        <w:tc>
          <w:tcPr>
            <w:tcW w:w="9355" w:type="dxa"/>
            <w:gridSpan w:val="2"/>
          </w:tcPr>
          <w:p w14:paraId="335157ED"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502DCF90" w14:textId="77777777" w:rsidTr="00883B07">
        <w:tc>
          <w:tcPr>
            <w:tcW w:w="9355" w:type="dxa"/>
            <w:gridSpan w:val="2"/>
          </w:tcPr>
          <w:p w14:paraId="6AD6DECA"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188B4397" w14:textId="77777777" w:rsidTr="00883B07">
        <w:tc>
          <w:tcPr>
            <w:tcW w:w="2785" w:type="dxa"/>
          </w:tcPr>
          <w:p w14:paraId="08809B9C" w14:textId="77777777" w:rsidR="00930D96" w:rsidRPr="008C4A39" w:rsidRDefault="00930D96" w:rsidP="001136D3">
            <w:pPr>
              <w:spacing w:after="0"/>
              <w:rPr>
                <w:szCs w:val="24"/>
              </w:rPr>
            </w:pPr>
            <w:r w:rsidRPr="008C4A39">
              <w:rPr>
                <w:color w:val="000000"/>
                <w:szCs w:val="24"/>
              </w:rPr>
              <w:t>NSW_ACC_0007</w:t>
            </w:r>
          </w:p>
        </w:tc>
        <w:tc>
          <w:tcPr>
            <w:tcW w:w="6570" w:type="dxa"/>
          </w:tcPr>
          <w:p w14:paraId="48DE7069" w14:textId="77777777" w:rsidR="00930D96" w:rsidRPr="008C4A39" w:rsidRDefault="00930D96" w:rsidP="001136D3">
            <w:pPr>
              <w:spacing w:after="0"/>
              <w:rPr>
                <w:szCs w:val="24"/>
              </w:rPr>
            </w:pPr>
            <w:r w:rsidRPr="008C4A39">
              <w:rPr>
                <w:b/>
                <w:bCs/>
                <w:color w:val="000000"/>
                <w:szCs w:val="24"/>
              </w:rPr>
              <w:t>Single Authentication</w:t>
            </w:r>
          </w:p>
        </w:tc>
      </w:tr>
      <w:tr w:rsidR="00930D96" w:rsidRPr="008C4A39" w14:paraId="48104F3B" w14:textId="77777777" w:rsidTr="00883B07">
        <w:tc>
          <w:tcPr>
            <w:tcW w:w="9355" w:type="dxa"/>
            <w:gridSpan w:val="2"/>
          </w:tcPr>
          <w:p w14:paraId="31ACAA5C"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3C95E9A0" w14:textId="77777777" w:rsidTr="00883B07">
        <w:tc>
          <w:tcPr>
            <w:tcW w:w="9355" w:type="dxa"/>
            <w:gridSpan w:val="2"/>
          </w:tcPr>
          <w:p w14:paraId="34BC7309"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5000118A" w14:textId="77777777" w:rsidTr="00883B07">
        <w:tc>
          <w:tcPr>
            <w:tcW w:w="2785" w:type="dxa"/>
          </w:tcPr>
          <w:p w14:paraId="5E30724B" w14:textId="77777777" w:rsidR="00930D96" w:rsidRPr="008C4A39" w:rsidRDefault="00930D96" w:rsidP="001136D3">
            <w:pPr>
              <w:spacing w:after="0"/>
              <w:rPr>
                <w:szCs w:val="24"/>
              </w:rPr>
            </w:pPr>
            <w:r w:rsidRPr="008C4A39">
              <w:rPr>
                <w:color w:val="000000"/>
                <w:szCs w:val="24"/>
              </w:rPr>
              <w:t xml:space="preserve"> NSW_ACC_0008</w:t>
            </w:r>
          </w:p>
        </w:tc>
        <w:tc>
          <w:tcPr>
            <w:tcW w:w="6570" w:type="dxa"/>
          </w:tcPr>
          <w:p w14:paraId="039D98EB" w14:textId="77777777" w:rsidR="00930D96" w:rsidRPr="008C4A39" w:rsidRDefault="00930D96" w:rsidP="001136D3">
            <w:pPr>
              <w:spacing w:after="0"/>
              <w:rPr>
                <w:szCs w:val="24"/>
              </w:rPr>
            </w:pPr>
            <w:r w:rsidRPr="008C4A39">
              <w:rPr>
                <w:b/>
                <w:bCs/>
                <w:color w:val="000000"/>
                <w:szCs w:val="24"/>
              </w:rPr>
              <w:t>HTTP Proxy for Outbound HTTP Requests</w:t>
            </w:r>
          </w:p>
        </w:tc>
      </w:tr>
      <w:tr w:rsidR="00930D96" w:rsidRPr="008C4A39" w14:paraId="7B079182" w14:textId="77777777" w:rsidTr="00883B07">
        <w:tc>
          <w:tcPr>
            <w:tcW w:w="9355" w:type="dxa"/>
            <w:gridSpan w:val="2"/>
          </w:tcPr>
          <w:p w14:paraId="2DADAE61"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22F3BAB2" w14:textId="77777777" w:rsidTr="00883B07">
        <w:tc>
          <w:tcPr>
            <w:tcW w:w="9355" w:type="dxa"/>
            <w:gridSpan w:val="2"/>
          </w:tcPr>
          <w:p w14:paraId="6C6612FF" w14:textId="77777777" w:rsidR="00930D96" w:rsidRPr="008C4A39" w:rsidRDefault="00930D96" w:rsidP="001136D3">
            <w:pPr>
              <w:spacing w:after="0"/>
              <w:rPr>
                <w:szCs w:val="24"/>
              </w:rPr>
            </w:pPr>
            <w:r w:rsidRPr="008C4A39">
              <w:rPr>
                <w:szCs w:val="24"/>
              </w:rPr>
              <w:lastRenderedPageBreak/>
              <w:t>Bidder’s cross references to supporting information in Technical Bid:</w:t>
            </w:r>
          </w:p>
        </w:tc>
      </w:tr>
      <w:tr w:rsidR="00930D96" w:rsidRPr="008C4A39" w14:paraId="58A1B110" w14:textId="77777777" w:rsidTr="00883B07">
        <w:tc>
          <w:tcPr>
            <w:tcW w:w="2785" w:type="dxa"/>
          </w:tcPr>
          <w:p w14:paraId="7B4E1474" w14:textId="77777777" w:rsidR="00930D96" w:rsidRPr="008C4A39" w:rsidRDefault="00930D96" w:rsidP="001136D3">
            <w:pPr>
              <w:spacing w:after="0"/>
              <w:rPr>
                <w:szCs w:val="24"/>
              </w:rPr>
            </w:pPr>
            <w:r w:rsidRPr="008C4A39">
              <w:rPr>
                <w:color w:val="000000"/>
                <w:szCs w:val="24"/>
              </w:rPr>
              <w:t>NSW_ACC_0009</w:t>
            </w:r>
          </w:p>
        </w:tc>
        <w:tc>
          <w:tcPr>
            <w:tcW w:w="6570" w:type="dxa"/>
          </w:tcPr>
          <w:p w14:paraId="7D73A584" w14:textId="77777777" w:rsidR="00930D96" w:rsidRPr="008C4A39" w:rsidRDefault="00930D96" w:rsidP="001136D3">
            <w:pPr>
              <w:spacing w:after="0"/>
              <w:rPr>
                <w:color w:val="FF0000"/>
                <w:szCs w:val="24"/>
              </w:rPr>
            </w:pPr>
            <w:r w:rsidRPr="008C4A39">
              <w:rPr>
                <w:b/>
                <w:bCs/>
                <w:color w:val="000000"/>
                <w:szCs w:val="24"/>
              </w:rPr>
              <w:t>Identical Behavior</w:t>
            </w:r>
          </w:p>
        </w:tc>
      </w:tr>
      <w:tr w:rsidR="00930D96" w:rsidRPr="008C4A39" w14:paraId="39A7A8F6" w14:textId="77777777" w:rsidTr="00883B07">
        <w:tc>
          <w:tcPr>
            <w:tcW w:w="9355" w:type="dxa"/>
            <w:gridSpan w:val="2"/>
          </w:tcPr>
          <w:p w14:paraId="4E12933F"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3E4D04B5" w14:textId="77777777" w:rsidTr="00883B07">
        <w:tc>
          <w:tcPr>
            <w:tcW w:w="9355" w:type="dxa"/>
            <w:gridSpan w:val="2"/>
          </w:tcPr>
          <w:p w14:paraId="7009AD5F"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53CF8225" w14:textId="77777777" w:rsidTr="00883B07">
        <w:tc>
          <w:tcPr>
            <w:tcW w:w="2785" w:type="dxa"/>
          </w:tcPr>
          <w:p w14:paraId="2BBA5C83" w14:textId="77777777" w:rsidR="00930D96" w:rsidRPr="008C4A39" w:rsidRDefault="00930D96" w:rsidP="001136D3">
            <w:pPr>
              <w:spacing w:after="0"/>
              <w:rPr>
                <w:szCs w:val="24"/>
              </w:rPr>
            </w:pPr>
            <w:r w:rsidRPr="008C4A39">
              <w:rPr>
                <w:color w:val="000000"/>
                <w:szCs w:val="24"/>
              </w:rPr>
              <w:t>NSW_ACC_0010</w:t>
            </w:r>
          </w:p>
        </w:tc>
        <w:tc>
          <w:tcPr>
            <w:tcW w:w="6570" w:type="dxa"/>
          </w:tcPr>
          <w:p w14:paraId="277BCF61" w14:textId="77777777" w:rsidR="00930D96" w:rsidRPr="008C4A39" w:rsidRDefault="00930D96" w:rsidP="001136D3">
            <w:pPr>
              <w:spacing w:after="0"/>
              <w:rPr>
                <w:szCs w:val="24"/>
              </w:rPr>
            </w:pPr>
            <w:r w:rsidRPr="008C4A39">
              <w:rPr>
                <w:b/>
                <w:bCs/>
                <w:color w:val="000000"/>
                <w:szCs w:val="24"/>
              </w:rPr>
              <w:t>Reverse Proxies</w:t>
            </w:r>
          </w:p>
        </w:tc>
      </w:tr>
      <w:tr w:rsidR="00930D96" w:rsidRPr="008C4A39" w14:paraId="2D601FA9" w14:textId="77777777" w:rsidTr="00883B07">
        <w:tc>
          <w:tcPr>
            <w:tcW w:w="9355" w:type="dxa"/>
            <w:gridSpan w:val="2"/>
          </w:tcPr>
          <w:p w14:paraId="5AC0B156"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5B9018DF" w14:textId="77777777" w:rsidTr="00883B07">
        <w:tc>
          <w:tcPr>
            <w:tcW w:w="9355" w:type="dxa"/>
            <w:gridSpan w:val="2"/>
          </w:tcPr>
          <w:p w14:paraId="5BAB740E"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5B409908" w14:textId="77777777" w:rsidTr="00883B07">
        <w:trPr>
          <w:tblHeader/>
        </w:trPr>
        <w:tc>
          <w:tcPr>
            <w:tcW w:w="2785" w:type="dxa"/>
            <w:shd w:val="clear" w:color="auto" w:fill="D9D9D9"/>
          </w:tcPr>
          <w:p w14:paraId="7C48831D" w14:textId="77777777" w:rsidR="00930D96" w:rsidRPr="008C4A39" w:rsidRDefault="00930D96" w:rsidP="001136D3">
            <w:pPr>
              <w:spacing w:after="0"/>
              <w:rPr>
                <w:b/>
                <w:szCs w:val="24"/>
              </w:rPr>
            </w:pPr>
            <w:r w:rsidRPr="008C4A39">
              <w:rPr>
                <w:b/>
                <w:szCs w:val="24"/>
              </w:rPr>
              <w:t>Tech. Req. Number</w:t>
            </w:r>
          </w:p>
        </w:tc>
        <w:tc>
          <w:tcPr>
            <w:tcW w:w="6570" w:type="dxa"/>
            <w:shd w:val="clear" w:color="auto" w:fill="D9D9D9"/>
          </w:tcPr>
          <w:p w14:paraId="04DADC43"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034B8778" w14:textId="77777777" w:rsidTr="00883B07">
        <w:tc>
          <w:tcPr>
            <w:tcW w:w="9355" w:type="dxa"/>
            <w:gridSpan w:val="2"/>
          </w:tcPr>
          <w:p w14:paraId="583BA591" w14:textId="77777777" w:rsidR="00930D96" w:rsidRPr="008C4A39" w:rsidRDefault="00930D96" w:rsidP="001136D3">
            <w:pPr>
              <w:spacing w:after="0"/>
              <w:rPr>
                <w:b/>
                <w:szCs w:val="24"/>
              </w:rPr>
            </w:pPr>
            <w:r w:rsidRPr="008C4A39">
              <w:rPr>
                <w:b/>
                <w:szCs w:val="24"/>
              </w:rPr>
              <w:t>1.5.1.3 Performance Requirements for Software</w:t>
            </w:r>
          </w:p>
        </w:tc>
      </w:tr>
      <w:tr w:rsidR="00930D96" w:rsidRPr="008C4A39" w14:paraId="78823371" w14:textId="77777777" w:rsidTr="00883B07">
        <w:tc>
          <w:tcPr>
            <w:tcW w:w="2785" w:type="dxa"/>
          </w:tcPr>
          <w:p w14:paraId="0398A744" w14:textId="77777777" w:rsidR="00930D96" w:rsidRPr="00BD0B36" w:rsidRDefault="00930D96" w:rsidP="001136D3">
            <w:pPr>
              <w:spacing w:after="0"/>
              <w:rPr>
                <w:szCs w:val="24"/>
              </w:rPr>
            </w:pPr>
            <w:r w:rsidRPr="001136D3">
              <w:rPr>
                <w:rStyle w:val="Preparersnotenobold"/>
                <w:i w:val="0"/>
                <w:szCs w:val="24"/>
              </w:rPr>
              <w:t>NSW_PER_0001</w:t>
            </w:r>
          </w:p>
        </w:tc>
        <w:tc>
          <w:tcPr>
            <w:tcW w:w="6570" w:type="dxa"/>
          </w:tcPr>
          <w:p w14:paraId="125596AD" w14:textId="77777777" w:rsidR="00930D96" w:rsidRPr="008C4A39" w:rsidRDefault="00930D96" w:rsidP="001136D3">
            <w:pPr>
              <w:spacing w:after="0"/>
              <w:rPr>
                <w:szCs w:val="24"/>
              </w:rPr>
            </w:pPr>
            <w:r w:rsidRPr="008C4A39">
              <w:rPr>
                <w:bCs/>
                <w:szCs w:val="24"/>
              </w:rPr>
              <w:t>Average Response time</w:t>
            </w:r>
          </w:p>
        </w:tc>
      </w:tr>
      <w:tr w:rsidR="00930D96" w:rsidRPr="008C4A39" w14:paraId="2F16D712" w14:textId="77777777" w:rsidTr="00883B07">
        <w:tc>
          <w:tcPr>
            <w:tcW w:w="9355" w:type="dxa"/>
            <w:gridSpan w:val="2"/>
          </w:tcPr>
          <w:p w14:paraId="35FC6761"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7ACEC174" w14:textId="77777777" w:rsidTr="00883B07">
        <w:tc>
          <w:tcPr>
            <w:tcW w:w="9355" w:type="dxa"/>
            <w:gridSpan w:val="2"/>
          </w:tcPr>
          <w:p w14:paraId="1A45976C"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A56CA4B" w14:textId="77777777" w:rsidTr="00883B07">
        <w:tc>
          <w:tcPr>
            <w:tcW w:w="2785" w:type="dxa"/>
          </w:tcPr>
          <w:p w14:paraId="68E07A52" w14:textId="77777777" w:rsidR="00930D96" w:rsidRPr="00BD0B36" w:rsidRDefault="00930D96" w:rsidP="001136D3">
            <w:pPr>
              <w:spacing w:after="0"/>
              <w:rPr>
                <w:szCs w:val="24"/>
              </w:rPr>
            </w:pPr>
            <w:r w:rsidRPr="001136D3">
              <w:rPr>
                <w:rStyle w:val="Preparersnotenobold"/>
                <w:i w:val="0"/>
                <w:szCs w:val="24"/>
              </w:rPr>
              <w:t>NSW_PER_0002</w:t>
            </w:r>
          </w:p>
        </w:tc>
        <w:tc>
          <w:tcPr>
            <w:tcW w:w="6570" w:type="dxa"/>
          </w:tcPr>
          <w:p w14:paraId="06C18D4F" w14:textId="77777777" w:rsidR="00930D96" w:rsidRPr="008C4A39" w:rsidRDefault="00930D96" w:rsidP="001136D3">
            <w:pPr>
              <w:spacing w:after="0"/>
              <w:rPr>
                <w:szCs w:val="24"/>
              </w:rPr>
            </w:pPr>
            <w:r w:rsidRPr="008C4A39">
              <w:rPr>
                <w:bCs/>
                <w:szCs w:val="24"/>
              </w:rPr>
              <w:t>Throughput</w:t>
            </w:r>
          </w:p>
        </w:tc>
      </w:tr>
      <w:tr w:rsidR="00930D96" w:rsidRPr="008C4A39" w14:paraId="2DC04FD2" w14:textId="77777777" w:rsidTr="00883B07">
        <w:tc>
          <w:tcPr>
            <w:tcW w:w="9355" w:type="dxa"/>
            <w:gridSpan w:val="2"/>
          </w:tcPr>
          <w:p w14:paraId="7E9B7ABB"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6380AD7D" w14:textId="77777777" w:rsidTr="00883B07">
        <w:tc>
          <w:tcPr>
            <w:tcW w:w="9355" w:type="dxa"/>
            <w:gridSpan w:val="2"/>
          </w:tcPr>
          <w:p w14:paraId="45C2F6BE"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3DB5DA3E" w14:textId="77777777" w:rsidTr="00883B07">
        <w:trPr>
          <w:tblHeader/>
        </w:trPr>
        <w:tc>
          <w:tcPr>
            <w:tcW w:w="2785" w:type="dxa"/>
            <w:shd w:val="clear" w:color="auto" w:fill="D9D9D9"/>
          </w:tcPr>
          <w:p w14:paraId="4D315A4C" w14:textId="77777777" w:rsidR="00930D96" w:rsidRPr="008C4A39" w:rsidRDefault="00930D96" w:rsidP="001136D3">
            <w:pPr>
              <w:spacing w:after="0"/>
              <w:rPr>
                <w:b/>
                <w:szCs w:val="24"/>
              </w:rPr>
            </w:pPr>
            <w:r w:rsidRPr="008C4A39">
              <w:rPr>
                <w:b/>
                <w:szCs w:val="24"/>
              </w:rPr>
              <w:t>Tech. Req. Number</w:t>
            </w:r>
          </w:p>
        </w:tc>
        <w:tc>
          <w:tcPr>
            <w:tcW w:w="6570" w:type="dxa"/>
            <w:shd w:val="clear" w:color="auto" w:fill="D9D9D9"/>
          </w:tcPr>
          <w:p w14:paraId="7961F30B" w14:textId="77777777" w:rsidR="00930D96" w:rsidRPr="008C4A39" w:rsidRDefault="00930D96" w:rsidP="001136D3">
            <w:pPr>
              <w:spacing w:after="0"/>
              <w:jc w:val="left"/>
              <w:rPr>
                <w:b/>
                <w:szCs w:val="24"/>
              </w:rPr>
            </w:pPr>
            <w:r w:rsidRPr="008C4A39">
              <w:rPr>
                <w:b/>
                <w:szCs w:val="24"/>
              </w:rPr>
              <w:t>Technical Requirement</w:t>
            </w:r>
          </w:p>
        </w:tc>
      </w:tr>
      <w:tr w:rsidR="00930D96" w:rsidRPr="008C4A39" w14:paraId="16468A53" w14:textId="77777777" w:rsidTr="00883B07">
        <w:tc>
          <w:tcPr>
            <w:tcW w:w="9355" w:type="dxa"/>
            <w:gridSpan w:val="2"/>
          </w:tcPr>
          <w:p w14:paraId="04825013" w14:textId="77777777" w:rsidR="00930D96" w:rsidRPr="008C4A39" w:rsidRDefault="00930D96" w:rsidP="001136D3">
            <w:pPr>
              <w:spacing w:after="0"/>
              <w:rPr>
                <w:b/>
                <w:szCs w:val="24"/>
              </w:rPr>
            </w:pPr>
            <w:r w:rsidRPr="008C4A39">
              <w:rPr>
                <w:b/>
                <w:szCs w:val="24"/>
              </w:rPr>
              <w:t>1.5.1.4</w:t>
            </w:r>
            <w:r w:rsidRPr="008C4A39">
              <w:rPr>
                <w:b/>
                <w:szCs w:val="24"/>
              </w:rPr>
              <w:tab/>
              <w:t>Audit Non-Functional Requirements</w:t>
            </w:r>
          </w:p>
        </w:tc>
      </w:tr>
      <w:tr w:rsidR="00930D96" w:rsidRPr="008C4A39" w14:paraId="44D590A1" w14:textId="77777777" w:rsidTr="00883B07">
        <w:tc>
          <w:tcPr>
            <w:tcW w:w="2785" w:type="dxa"/>
          </w:tcPr>
          <w:p w14:paraId="2B354614" w14:textId="77777777" w:rsidR="00930D96" w:rsidRPr="008C4A39" w:rsidRDefault="00930D96" w:rsidP="001136D3">
            <w:pPr>
              <w:spacing w:after="0"/>
              <w:rPr>
                <w:szCs w:val="24"/>
              </w:rPr>
            </w:pPr>
            <w:r w:rsidRPr="008C4A39">
              <w:rPr>
                <w:szCs w:val="24"/>
              </w:rPr>
              <w:t xml:space="preserve">NSW_AUD_0001 </w:t>
            </w:r>
          </w:p>
        </w:tc>
        <w:tc>
          <w:tcPr>
            <w:tcW w:w="6570" w:type="dxa"/>
          </w:tcPr>
          <w:p w14:paraId="35CE4263" w14:textId="77777777" w:rsidR="00930D96" w:rsidRPr="008C4A39" w:rsidRDefault="00930D96" w:rsidP="001136D3">
            <w:pPr>
              <w:spacing w:after="0"/>
              <w:rPr>
                <w:szCs w:val="24"/>
              </w:rPr>
            </w:pPr>
            <w:r w:rsidRPr="008C4A39">
              <w:rPr>
                <w:szCs w:val="24"/>
              </w:rPr>
              <w:t>Audit Trail of Data Changes</w:t>
            </w:r>
          </w:p>
        </w:tc>
      </w:tr>
      <w:tr w:rsidR="00930D96" w:rsidRPr="008C4A39" w14:paraId="1A3AFA5B" w14:textId="77777777" w:rsidTr="00883B07">
        <w:tc>
          <w:tcPr>
            <w:tcW w:w="9355" w:type="dxa"/>
            <w:gridSpan w:val="2"/>
          </w:tcPr>
          <w:p w14:paraId="501A40F6"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07BB25E6" w14:textId="77777777" w:rsidTr="00883B07">
        <w:tc>
          <w:tcPr>
            <w:tcW w:w="9355" w:type="dxa"/>
            <w:gridSpan w:val="2"/>
          </w:tcPr>
          <w:p w14:paraId="63A3387E" w14:textId="77777777" w:rsidR="00930D96" w:rsidRPr="008C4A39" w:rsidRDefault="00930D96" w:rsidP="001136D3">
            <w:pPr>
              <w:spacing w:after="0"/>
              <w:rPr>
                <w:szCs w:val="24"/>
              </w:rPr>
            </w:pPr>
            <w:r w:rsidRPr="008C4A39">
              <w:rPr>
                <w:szCs w:val="24"/>
              </w:rPr>
              <w:t>Bidder’s cross references to supporting information in Technical Bid:</w:t>
            </w:r>
          </w:p>
        </w:tc>
      </w:tr>
      <w:tr w:rsidR="00930D96" w:rsidRPr="008C4A39" w14:paraId="4F4AB724" w14:textId="77777777" w:rsidTr="00883B07">
        <w:tc>
          <w:tcPr>
            <w:tcW w:w="2785" w:type="dxa"/>
          </w:tcPr>
          <w:p w14:paraId="31A9A027" w14:textId="77777777" w:rsidR="00930D96" w:rsidRPr="008C4A39" w:rsidRDefault="00930D96" w:rsidP="001136D3">
            <w:pPr>
              <w:spacing w:after="0"/>
              <w:rPr>
                <w:szCs w:val="24"/>
              </w:rPr>
            </w:pPr>
            <w:r w:rsidRPr="008C4A39">
              <w:rPr>
                <w:szCs w:val="24"/>
              </w:rPr>
              <w:t xml:space="preserve">NSW_AUD_0002 </w:t>
            </w:r>
          </w:p>
        </w:tc>
        <w:tc>
          <w:tcPr>
            <w:tcW w:w="6570" w:type="dxa"/>
          </w:tcPr>
          <w:p w14:paraId="5371C977" w14:textId="77777777" w:rsidR="00930D96" w:rsidRPr="008C4A39" w:rsidRDefault="00930D96" w:rsidP="001136D3">
            <w:pPr>
              <w:spacing w:after="0"/>
              <w:rPr>
                <w:szCs w:val="24"/>
              </w:rPr>
            </w:pPr>
            <w:r w:rsidRPr="008C4A39">
              <w:rPr>
                <w:szCs w:val="24"/>
              </w:rPr>
              <w:t>Audit Trail Data Exchange Storage</w:t>
            </w:r>
          </w:p>
        </w:tc>
      </w:tr>
      <w:tr w:rsidR="00930D96" w:rsidRPr="008C4A39" w14:paraId="1B222E87" w14:textId="77777777" w:rsidTr="00883B07">
        <w:tc>
          <w:tcPr>
            <w:tcW w:w="9355" w:type="dxa"/>
            <w:gridSpan w:val="2"/>
          </w:tcPr>
          <w:p w14:paraId="0060C2EA" w14:textId="77777777" w:rsidR="00930D96" w:rsidRPr="008C4A39" w:rsidRDefault="00930D96" w:rsidP="001136D3">
            <w:pPr>
              <w:spacing w:after="0"/>
              <w:rPr>
                <w:szCs w:val="24"/>
              </w:rPr>
            </w:pPr>
            <w:r w:rsidRPr="008C4A39">
              <w:rPr>
                <w:szCs w:val="24"/>
              </w:rPr>
              <w:t xml:space="preserve">Bidder’s technical reasons supporting compliance:  </w:t>
            </w:r>
          </w:p>
        </w:tc>
      </w:tr>
      <w:tr w:rsidR="00930D96" w:rsidRPr="008C4A39" w14:paraId="35C71BE9" w14:textId="77777777" w:rsidTr="00883B07">
        <w:tc>
          <w:tcPr>
            <w:tcW w:w="9355" w:type="dxa"/>
            <w:gridSpan w:val="2"/>
          </w:tcPr>
          <w:p w14:paraId="095FA845" w14:textId="77777777" w:rsidR="00930D96" w:rsidRPr="008C4A39" w:rsidRDefault="00930D96" w:rsidP="001136D3">
            <w:pPr>
              <w:spacing w:after="0"/>
              <w:rPr>
                <w:szCs w:val="24"/>
              </w:rPr>
            </w:pPr>
            <w:r w:rsidRPr="008C4A39">
              <w:rPr>
                <w:szCs w:val="24"/>
              </w:rPr>
              <w:t>Bidder’s cross references to supporting information in Technical Bid:</w:t>
            </w:r>
          </w:p>
        </w:tc>
      </w:tr>
      <w:tr w:rsidR="007D7654" w:rsidRPr="008C4A39" w14:paraId="1796C1B5" w14:textId="77777777" w:rsidTr="00883B07">
        <w:trPr>
          <w:tblHeader/>
        </w:trPr>
        <w:tc>
          <w:tcPr>
            <w:tcW w:w="2785" w:type="dxa"/>
            <w:shd w:val="clear" w:color="auto" w:fill="D9D9D9"/>
          </w:tcPr>
          <w:p w14:paraId="245B070D"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532A449B"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33AE2E1D" w14:textId="77777777" w:rsidTr="00883B07">
        <w:tc>
          <w:tcPr>
            <w:tcW w:w="9355" w:type="dxa"/>
            <w:gridSpan w:val="2"/>
          </w:tcPr>
          <w:p w14:paraId="0D91F69A" w14:textId="77777777" w:rsidR="007D7654" w:rsidRPr="008C4A39" w:rsidRDefault="007D7654" w:rsidP="001136D3">
            <w:pPr>
              <w:spacing w:after="0"/>
              <w:rPr>
                <w:b/>
                <w:szCs w:val="24"/>
              </w:rPr>
            </w:pPr>
            <w:r w:rsidRPr="008C4A39">
              <w:rPr>
                <w:b/>
                <w:szCs w:val="24"/>
              </w:rPr>
              <w:t>1.5.1.5</w:t>
            </w:r>
            <w:r w:rsidRPr="008C4A39">
              <w:rPr>
                <w:b/>
                <w:szCs w:val="24"/>
              </w:rPr>
              <w:tab/>
              <w:t>Data Integrity Non-Functional Requirements</w:t>
            </w:r>
          </w:p>
        </w:tc>
      </w:tr>
      <w:tr w:rsidR="007D7654" w:rsidRPr="008C4A39" w14:paraId="4C68AE3B" w14:textId="77777777" w:rsidTr="00883B07">
        <w:tc>
          <w:tcPr>
            <w:tcW w:w="2785" w:type="dxa"/>
          </w:tcPr>
          <w:p w14:paraId="3C2BE2E8" w14:textId="77777777" w:rsidR="007D7654" w:rsidRPr="008C4A39" w:rsidRDefault="007D7654" w:rsidP="001136D3">
            <w:pPr>
              <w:spacing w:after="0"/>
              <w:rPr>
                <w:szCs w:val="24"/>
              </w:rPr>
            </w:pPr>
            <w:r w:rsidRPr="008C4A39">
              <w:rPr>
                <w:color w:val="000000"/>
                <w:szCs w:val="24"/>
              </w:rPr>
              <w:t>NSW_DIN_0001</w:t>
            </w:r>
          </w:p>
        </w:tc>
        <w:tc>
          <w:tcPr>
            <w:tcW w:w="6570" w:type="dxa"/>
          </w:tcPr>
          <w:p w14:paraId="7AACA5FC" w14:textId="77777777" w:rsidR="007D7654" w:rsidRPr="008C4A39" w:rsidRDefault="007D7654" w:rsidP="001136D3">
            <w:pPr>
              <w:spacing w:after="0"/>
              <w:rPr>
                <w:szCs w:val="24"/>
              </w:rPr>
            </w:pPr>
            <w:r w:rsidRPr="008C4A39">
              <w:rPr>
                <w:bCs/>
                <w:color w:val="000000"/>
                <w:szCs w:val="24"/>
              </w:rPr>
              <w:t>Administrator Inspection</w:t>
            </w:r>
          </w:p>
        </w:tc>
      </w:tr>
      <w:tr w:rsidR="007D7654" w:rsidRPr="008C4A39" w14:paraId="42CE3B23" w14:textId="77777777" w:rsidTr="00883B07">
        <w:tc>
          <w:tcPr>
            <w:tcW w:w="9355" w:type="dxa"/>
            <w:gridSpan w:val="2"/>
          </w:tcPr>
          <w:p w14:paraId="66F0E6A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9DFEE58" w14:textId="77777777" w:rsidTr="00883B07">
        <w:tc>
          <w:tcPr>
            <w:tcW w:w="9355" w:type="dxa"/>
            <w:gridSpan w:val="2"/>
          </w:tcPr>
          <w:p w14:paraId="7CBF81B5"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BFA7D00" w14:textId="77777777" w:rsidTr="00883B07">
        <w:tc>
          <w:tcPr>
            <w:tcW w:w="2785" w:type="dxa"/>
          </w:tcPr>
          <w:p w14:paraId="7EC78DE4" w14:textId="77777777" w:rsidR="007D7654" w:rsidRPr="008C4A39" w:rsidRDefault="007D7654" w:rsidP="001136D3">
            <w:pPr>
              <w:spacing w:after="0"/>
              <w:rPr>
                <w:szCs w:val="24"/>
              </w:rPr>
            </w:pPr>
            <w:r w:rsidRPr="008C4A39">
              <w:rPr>
                <w:color w:val="000000"/>
                <w:szCs w:val="24"/>
              </w:rPr>
              <w:t>NSW_DIN_0002</w:t>
            </w:r>
          </w:p>
        </w:tc>
        <w:tc>
          <w:tcPr>
            <w:tcW w:w="6570" w:type="dxa"/>
          </w:tcPr>
          <w:p w14:paraId="489B618F" w14:textId="77777777" w:rsidR="007D7654" w:rsidRPr="008C4A39" w:rsidRDefault="007D7654" w:rsidP="001136D3">
            <w:pPr>
              <w:spacing w:after="0"/>
              <w:rPr>
                <w:szCs w:val="24"/>
              </w:rPr>
            </w:pPr>
            <w:r w:rsidRPr="008C4A39">
              <w:rPr>
                <w:bCs/>
                <w:color w:val="000000"/>
                <w:szCs w:val="24"/>
              </w:rPr>
              <w:t>Data Consistency</w:t>
            </w:r>
          </w:p>
        </w:tc>
      </w:tr>
      <w:tr w:rsidR="007D7654" w:rsidRPr="008C4A39" w14:paraId="69AAECD8" w14:textId="77777777" w:rsidTr="00883B07">
        <w:tc>
          <w:tcPr>
            <w:tcW w:w="9355" w:type="dxa"/>
            <w:gridSpan w:val="2"/>
          </w:tcPr>
          <w:p w14:paraId="239A188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0307F3C" w14:textId="77777777" w:rsidTr="00883B07">
        <w:tc>
          <w:tcPr>
            <w:tcW w:w="9355" w:type="dxa"/>
            <w:gridSpan w:val="2"/>
          </w:tcPr>
          <w:p w14:paraId="5D4D0E75"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51EE7B6" w14:textId="77777777" w:rsidTr="00883B07">
        <w:tc>
          <w:tcPr>
            <w:tcW w:w="2785" w:type="dxa"/>
          </w:tcPr>
          <w:p w14:paraId="0F8E0DBF" w14:textId="77777777" w:rsidR="007D7654" w:rsidRPr="008C4A39" w:rsidRDefault="007D7654" w:rsidP="001136D3">
            <w:pPr>
              <w:spacing w:after="0"/>
              <w:rPr>
                <w:szCs w:val="24"/>
              </w:rPr>
            </w:pPr>
            <w:r w:rsidRPr="008C4A39">
              <w:rPr>
                <w:color w:val="000000"/>
                <w:szCs w:val="24"/>
              </w:rPr>
              <w:t>NSW_DIN_0003</w:t>
            </w:r>
          </w:p>
        </w:tc>
        <w:tc>
          <w:tcPr>
            <w:tcW w:w="6570" w:type="dxa"/>
          </w:tcPr>
          <w:p w14:paraId="57B2100F" w14:textId="77777777" w:rsidR="007D7654" w:rsidRPr="008C4A39" w:rsidRDefault="007D7654" w:rsidP="001136D3">
            <w:pPr>
              <w:spacing w:after="0"/>
              <w:rPr>
                <w:szCs w:val="24"/>
              </w:rPr>
            </w:pPr>
            <w:r w:rsidRPr="008C4A39">
              <w:rPr>
                <w:bCs/>
                <w:color w:val="000000"/>
                <w:szCs w:val="24"/>
              </w:rPr>
              <w:t>Data Protection</w:t>
            </w:r>
          </w:p>
        </w:tc>
      </w:tr>
      <w:tr w:rsidR="007D7654" w:rsidRPr="008C4A39" w14:paraId="01C4AA47" w14:textId="77777777" w:rsidTr="00883B07">
        <w:tc>
          <w:tcPr>
            <w:tcW w:w="9355" w:type="dxa"/>
            <w:gridSpan w:val="2"/>
          </w:tcPr>
          <w:p w14:paraId="6DAC3045"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17BDF5D" w14:textId="77777777" w:rsidTr="00883B07">
        <w:tc>
          <w:tcPr>
            <w:tcW w:w="9355" w:type="dxa"/>
            <w:gridSpan w:val="2"/>
          </w:tcPr>
          <w:p w14:paraId="70C505C9"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2E55D6B" w14:textId="77777777" w:rsidTr="00883B07">
        <w:tc>
          <w:tcPr>
            <w:tcW w:w="2785" w:type="dxa"/>
          </w:tcPr>
          <w:p w14:paraId="1834E08F" w14:textId="77777777" w:rsidR="007D7654" w:rsidRPr="008C4A39" w:rsidRDefault="007D7654" w:rsidP="001136D3">
            <w:pPr>
              <w:spacing w:after="0"/>
              <w:rPr>
                <w:szCs w:val="24"/>
              </w:rPr>
            </w:pPr>
            <w:r w:rsidRPr="008C4A39">
              <w:rPr>
                <w:color w:val="000000"/>
                <w:szCs w:val="24"/>
              </w:rPr>
              <w:t>NSW_DIN_0004</w:t>
            </w:r>
          </w:p>
        </w:tc>
        <w:tc>
          <w:tcPr>
            <w:tcW w:w="6570" w:type="dxa"/>
          </w:tcPr>
          <w:p w14:paraId="3F978566" w14:textId="77777777" w:rsidR="007D7654" w:rsidRPr="008C4A39" w:rsidRDefault="007D7654" w:rsidP="001136D3">
            <w:pPr>
              <w:spacing w:after="0"/>
              <w:rPr>
                <w:szCs w:val="24"/>
              </w:rPr>
            </w:pPr>
            <w:r w:rsidRPr="008C4A39">
              <w:rPr>
                <w:bCs/>
                <w:color w:val="000000"/>
                <w:szCs w:val="24"/>
              </w:rPr>
              <w:t>Duplicate Message Handling</w:t>
            </w:r>
          </w:p>
        </w:tc>
      </w:tr>
      <w:tr w:rsidR="007D7654" w:rsidRPr="008C4A39" w14:paraId="68E38579" w14:textId="77777777" w:rsidTr="00883B07">
        <w:tc>
          <w:tcPr>
            <w:tcW w:w="9355" w:type="dxa"/>
            <w:gridSpan w:val="2"/>
          </w:tcPr>
          <w:p w14:paraId="243D90A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1ECACF5" w14:textId="77777777" w:rsidTr="00883B07">
        <w:tc>
          <w:tcPr>
            <w:tcW w:w="9355" w:type="dxa"/>
            <w:gridSpan w:val="2"/>
          </w:tcPr>
          <w:p w14:paraId="7B846A3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4F9751C" w14:textId="77777777" w:rsidTr="00883B07">
        <w:trPr>
          <w:tblHeader/>
        </w:trPr>
        <w:tc>
          <w:tcPr>
            <w:tcW w:w="2785" w:type="dxa"/>
            <w:shd w:val="clear" w:color="auto" w:fill="D9D9D9"/>
          </w:tcPr>
          <w:p w14:paraId="71CB4717"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1E73365E"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190A7DD2" w14:textId="77777777" w:rsidTr="00883B07">
        <w:tc>
          <w:tcPr>
            <w:tcW w:w="9355" w:type="dxa"/>
            <w:gridSpan w:val="2"/>
          </w:tcPr>
          <w:p w14:paraId="310E9F85" w14:textId="77777777" w:rsidR="007D7654" w:rsidRPr="008C4A39" w:rsidRDefault="007D7654" w:rsidP="001136D3">
            <w:pPr>
              <w:spacing w:after="0"/>
              <w:rPr>
                <w:b/>
                <w:szCs w:val="24"/>
              </w:rPr>
            </w:pPr>
            <w:r w:rsidRPr="008C4A39">
              <w:rPr>
                <w:b/>
                <w:szCs w:val="24"/>
              </w:rPr>
              <w:t>1.5.1.6</w:t>
            </w:r>
            <w:r w:rsidRPr="008C4A39">
              <w:rPr>
                <w:b/>
                <w:szCs w:val="24"/>
              </w:rPr>
              <w:tab/>
              <w:t>Implementation Non-Functional Requirements</w:t>
            </w:r>
          </w:p>
        </w:tc>
      </w:tr>
      <w:tr w:rsidR="007D7654" w:rsidRPr="008C4A39" w14:paraId="57016F4A" w14:textId="77777777" w:rsidTr="00883B07">
        <w:tc>
          <w:tcPr>
            <w:tcW w:w="2785" w:type="dxa"/>
          </w:tcPr>
          <w:p w14:paraId="4289A639" w14:textId="77777777" w:rsidR="007D7654" w:rsidRPr="008C4A39" w:rsidRDefault="007D7654" w:rsidP="001136D3">
            <w:pPr>
              <w:spacing w:after="0"/>
              <w:rPr>
                <w:szCs w:val="24"/>
              </w:rPr>
            </w:pPr>
            <w:r w:rsidRPr="008C4A39">
              <w:rPr>
                <w:color w:val="000000"/>
                <w:szCs w:val="24"/>
              </w:rPr>
              <w:t>NSW_IMP_0001</w:t>
            </w:r>
          </w:p>
        </w:tc>
        <w:tc>
          <w:tcPr>
            <w:tcW w:w="6570" w:type="dxa"/>
          </w:tcPr>
          <w:p w14:paraId="35BAB6BE" w14:textId="77777777" w:rsidR="007D7654" w:rsidRPr="008C4A39" w:rsidRDefault="007D7654" w:rsidP="001136D3">
            <w:pPr>
              <w:spacing w:after="0"/>
              <w:rPr>
                <w:szCs w:val="24"/>
              </w:rPr>
            </w:pPr>
            <w:r w:rsidRPr="008C4A39">
              <w:rPr>
                <w:bCs/>
                <w:color w:val="000000"/>
                <w:szCs w:val="24"/>
              </w:rPr>
              <w:t>Automated Build of Delivery Package</w:t>
            </w:r>
          </w:p>
        </w:tc>
      </w:tr>
      <w:tr w:rsidR="007D7654" w:rsidRPr="008C4A39" w14:paraId="3065A3B1" w14:textId="77777777" w:rsidTr="00883B07">
        <w:tc>
          <w:tcPr>
            <w:tcW w:w="9355" w:type="dxa"/>
            <w:gridSpan w:val="2"/>
          </w:tcPr>
          <w:p w14:paraId="6D1742A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3D8B35F" w14:textId="77777777" w:rsidTr="00883B07">
        <w:tc>
          <w:tcPr>
            <w:tcW w:w="9355" w:type="dxa"/>
            <w:gridSpan w:val="2"/>
          </w:tcPr>
          <w:p w14:paraId="464583A9"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A1C5306" w14:textId="77777777" w:rsidTr="00883B07">
        <w:tc>
          <w:tcPr>
            <w:tcW w:w="2785" w:type="dxa"/>
          </w:tcPr>
          <w:p w14:paraId="5B664091" w14:textId="77777777" w:rsidR="007D7654" w:rsidRPr="008C4A39" w:rsidRDefault="007D7654" w:rsidP="001136D3">
            <w:pPr>
              <w:spacing w:after="0"/>
              <w:rPr>
                <w:szCs w:val="24"/>
              </w:rPr>
            </w:pPr>
            <w:r w:rsidRPr="008C4A39">
              <w:rPr>
                <w:color w:val="000000"/>
                <w:szCs w:val="24"/>
              </w:rPr>
              <w:t>NSW_IMP_0002</w:t>
            </w:r>
          </w:p>
        </w:tc>
        <w:tc>
          <w:tcPr>
            <w:tcW w:w="6570" w:type="dxa"/>
          </w:tcPr>
          <w:p w14:paraId="7CC7DAA8" w14:textId="77777777" w:rsidR="007D7654" w:rsidRPr="008C4A39" w:rsidRDefault="007D7654" w:rsidP="001136D3">
            <w:pPr>
              <w:spacing w:after="0"/>
              <w:rPr>
                <w:szCs w:val="24"/>
              </w:rPr>
            </w:pPr>
            <w:r w:rsidRPr="008C4A39">
              <w:rPr>
                <w:bCs/>
                <w:color w:val="000000"/>
                <w:szCs w:val="24"/>
              </w:rPr>
              <w:t>Automated Installation Procedure</w:t>
            </w:r>
          </w:p>
        </w:tc>
      </w:tr>
      <w:tr w:rsidR="007D7654" w:rsidRPr="008C4A39" w14:paraId="4B5932CE" w14:textId="77777777" w:rsidTr="00883B07">
        <w:tc>
          <w:tcPr>
            <w:tcW w:w="9355" w:type="dxa"/>
            <w:gridSpan w:val="2"/>
          </w:tcPr>
          <w:p w14:paraId="4BA9C78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48E61189" w14:textId="77777777" w:rsidTr="00883B07">
        <w:tc>
          <w:tcPr>
            <w:tcW w:w="9355" w:type="dxa"/>
            <w:gridSpan w:val="2"/>
          </w:tcPr>
          <w:p w14:paraId="37FEE6B9" w14:textId="77777777" w:rsidR="007D7654" w:rsidRPr="008C4A39" w:rsidRDefault="007D7654" w:rsidP="001136D3">
            <w:pPr>
              <w:spacing w:after="0"/>
              <w:rPr>
                <w:szCs w:val="24"/>
              </w:rPr>
            </w:pPr>
            <w:r w:rsidRPr="008C4A39">
              <w:rPr>
                <w:szCs w:val="24"/>
              </w:rPr>
              <w:lastRenderedPageBreak/>
              <w:t>Bidder’s cross references to supporting information in Technical Bid:</w:t>
            </w:r>
          </w:p>
        </w:tc>
      </w:tr>
      <w:tr w:rsidR="007D7654" w:rsidRPr="008C4A39" w14:paraId="2EAC66DD" w14:textId="77777777" w:rsidTr="00883B07">
        <w:tc>
          <w:tcPr>
            <w:tcW w:w="2785" w:type="dxa"/>
          </w:tcPr>
          <w:p w14:paraId="3D3B95CD" w14:textId="77777777" w:rsidR="007D7654" w:rsidRPr="008C4A39" w:rsidRDefault="007D7654" w:rsidP="001136D3">
            <w:pPr>
              <w:spacing w:after="0"/>
              <w:rPr>
                <w:szCs w:val="24"/>
              </w:rPr>
            </w:pPr>
            <w:r w:rsidRPr="008C4A39">
              <w:rPr>
                <w:color w:val="000000"/>
                <w:szCs w:val="24"/>
              </w:rPr>
              <w:t>NSW_IMP_0003</w:t>
            </w:r>
          </w:p>
        </w:tc>
        <w:tc>
          <w:tcPr>
            <w:tcW w:w="6570" w:type="dxa"/>
          </w:tcPr>
          <w:p w14:paraId="31EEBBEE" w14:textId="77777777" w:rsidR="007D7654" w:rsidRPr="008C4A39" w:rsidRDefault="007D7654" w:rsidP="001136D3">
            <w:pPr>
              <w:spacing w:after="0"/>
              <w:rPr>
                <w:szCs w:val="24"/>
              </w:rPr>
            </w:pPr>
            <w:r w:rsidRPr="008C4A39">
              <w:rPr>
                <w:bCs/>
                <w:color w:val="000000"/>
                <w:szCs w:val="24"/>
              </w:rPr>
              <w:t>Delivery Package of Release</w:t>
            </w:r>
          </w:p>
        </w:tc>
      </w:tr>
      <w:tr w:rsidR="007D7654" w:rsidRPr="008C4A39" w14:paraId="5225437B" w14:textId="77777777" w:rsidTr="00883B07">
        <w:tc>
          <w:tcPr>
            <w:tcW w:w="9355" w:type="dxa"/>
            <w:gridSpan w:val="2"/>
          </w:tcPr>
          <w:p w14:paraId="26F2F81D"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956C44F" w14:textId="77777777" w:rsidTr="00883B07">
        <w:tc>
          <w:tcPr>
            <w:tcW w:w="9355" w:type="dxa"/>
            <w:gridSpan w:val="2"/>
          </w:tcPr>
          <w:p w14:paraId="7A9AA271"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346AE61" w14:textId="77777777" w:rsidTr="00883B07">
        <w:tc>
          <w:tcPr>
            <w:tcW w:w="2785" w:type="dxa"/>
          </w:tcPr>
          <w:p w14:paraId="30B5DCE6" w14:textId="77777777" w:rsidR="007D7654" w:rsidRPr="008C4A39" w:rsidRDefault="007D7654" w:rsidP="001136D3">
            <w:pPr>
              <w:spacing w:after="0"/>
              <w:rPr>
                <w:szCs w:val="24"/>
              </w:rPr>
            </w:pPr>
            <w:r w:rsidRPr="008C4A39">
              <w:rPr>
                <w:color w:val="000000"/>
                <w:szCs w:val="24"/>
              </w:rPr>
              <w:t>NSW_IMP_0004</w:t>
            </w:r>
          </w:p>
        </w:tc>
        <w:tc>
          <w:tcPr>
            <w:tcW w:w="6570" w:type="dxa"/>
          </w:tcPr>
          <w:p w14:paraId="4BE820FF" w14:textId="77777777" w:rsidR="007D7654" w:rsidRPr="008C4A39" w:rsidRDefault="007D7654" w:rsidP="001136D3">
            <w:pPr>
              <w:spacing w:after="0"/>
              <w:rPr>
                <w:szCs w:val="24"/>
              </w:rPr>
            </w:pPr>
            <w:r w:rsidRPr="008C4A39">
              <w:rPr>
                <w:bCs/>
                <w:color w:val="000000"/>
                <w:szCs w:val="24"/>
              </w:rPr>
              <w:t>Identification of Exact Version</w:t>
            </w:r>
          </w:p>
        </w:tc>
      </w:tr>
      <w:tr w:rsidR="007D7654" w:rsidRPr="008C4A39" w14:paraId="35F199BA" w14:textId="77777777" w:rsidTr="00883B07">
        <w:tc>
          <w:tcPr>
            <w:tcW w:w="9355" w:type="dxa"/>
            <w:gridSpan w:val="2"/>
          </w:tcPr>
          <w:p w14:paraId="699C8D9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60B3E9F7" w14:textId="77777777" w:rsidTr="00883B07">
        <w:tc>
          <w:tcPr>
            <w:tcW w:w="9355" w:type="dxa"/>
            <w:gridSpan w:val="2"/>
          </w:tcPr>
          <w:p w14:paraId="10A3384F"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07B63A5" w14:textId="77777777" w:rsidTr="00883B07">
        <w:tc>
          <w:tcPr>
            <w:tcW w:w="2785" w:type="dxa"/>
          </w:tcPr>
          <w:p w14:paraId="71239C91" w14:textId="77777777" w:rsidR="007D7654" w:rsidRPr="008C4A39" w:rsidRDefault="007D7654" w:rsidP="001136D3">
            <w:pPr>
              <w:spacing w:after="0"/>
              <w:rPr>
                <w:szCs w:val="24"/>
              </w:rPr>
            </w:pPr>
            <w:r w:rsidRPr="008C4A39">
              <w:rPr>
                <w:color w:val="000000"/>
                <w:szCs w:val="24"/>
              </w:rPr>
              <w:t>NSW_IMP_0005</w:t>
            </w:r>
          </w:p>
        </w:tc>
        <w:tc>
          <w:tcPr>
            <w:tcW w:w="6570" w:type="dxa"/>
          </w:tcPr>
          <w:p w14:paraId="7E3A5FD5" w14:textId="77777777" w:rsidR="007D7654" w:rsidRPr="008C4A39" w:rsidRDefault="007D7654" w:rsidP="001136D3">
            <w:pPr>
              <w:spacing w:after="0"/>
              <w:rPr>
                <w:szCs w:val="24"/>
              </w:rPr>
            </w:pPr>
            <w:r w:rsidRPr="008C4A39">
              <w:rPr>
                <w:bCs/>
                <w:color w:val="000000"/>
                <w:szCs w:val="24"/>
              </w:rPr>
              <w:t>Installation Package</w:t>
            </w:r>
          </w:p>
        </w:tc>
      </w:tr>
      <w:tr w:rsidR="007D7654" w:rsidRPr="008C4A39" w14:paraId="7D67DCB1" w14:textId="77777777" w:rsidTr="00883B07">
        <w:tc>
          <w:tcPr>
            <w:tcW w:w="9355" w:type="dxa"/>
            <w:gridSpan w:val="2"/>
          </w:tcPr>
          <w:p w14:paraId="38AA6EC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F4905C0" w14:textId="77777777" w:rsidTr="00883B07">
        <w:tc>
          <w:tcPr>
            <w:tcW w:w="9355" w:type="dxa"/>
            <w:gridSpan w:val="2"/>
          </w:tcPr>
          <w:p w14:paraId="148A78C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220AC36" w14:textId="77777777" w:rsidTr="00883B07">
        <w:tc>
          <w:tcPr>
            <w:tcW w:w="2785" w:type="dxa"/>
          </w:tcPr>
          <w:p w14:paraId="4F6E4FD8" w14:textId="77777777" w:rsidR="007D7654" w:rsidRPr="008C4A39" w:rsidRDefault="007D7654" w:rsidP="001136D3">
            <w:pPr>
              <w:spacing w:after="0"/>
              <w:rPr>
                <w:szCs w:val="24"/>
              </w:rPr>
            </w:pPr>
            <w:r w:rsidRPr="008C4A39">
              <w:rPr>
                <w:color w:val="000000"/>
                <w:szCs w:val="24"/>
              </w:rPr>
              <w:t>NSW_IMP_0006</w:t>
            </w:r>
          </w:p>
        </w:tc>
        <w:tc>
          <w:tcPr>
            <w:tcW w:w="6570" w:type="dxa"/>
          </w:tcPr>
          <w:p w14:paraId="55F9FB0B" w14:textId="77777777" w:rsidR="007D7654" w:rsidRPr="008C4A39" w:rsidRDefault="007D7654" w:rsidP="001136D3">
            <w:pPr>
              <w:spacing w:after="0"/>
              <w:rPr>
                <w:szCs w:val="24"/>
              </w:rPr>
            </w:pPr>
            <w:r w:rsidRPr="008C4A39">
              <w:rPr>
                <w:bCs/>
                <w:color w:val="000000"/>
                <w:szCs w:val="24"/>
              </w:rPr>
              <w:t>Smoke Test Scenarios</w:t>
            </w:r>
          </w:p>
        </w:tc>
      </w:tr>
      <w:tr w:rsidR="007D7654" w:rsidRPr="008C4A39" w14:paraId="1E9B56CD" w14:textId="77777777" w:rsidTr="00883B07">
        <w:tc>
          <w:tcPr>
            <w:tcW w:w="9355" w:type="dxa"/>
            <w:gridSpan w:val="2"/>
          </w:tcPr>
          <w:p w14:paraId="6A7B7DF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4F641D62" w14:textId="77777777" w:rsidTr="00883B07">
        <w:tc>
          <w:tcPr>
            <w:tcW w:w="9355" w:type="dxa"/>
            <w:gridSpan w:val="2"/>
          </w:tcPr>
          <w:p w14:paraId="485DBE8E"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2D42D90" w14:textId="77777777" w:rsidTr="00883B07">
        <w:tc>
          <w:tcPr>
            <w:tcW w:w="2785" w:type="dxa"/>
          </w:tcPr>
          <w:p w14:paraId="4EC82399" w14:textId="77777777" w:rsidR="007D7654" w:rsidRPr="008C4A39" w:rsidRDefault="007D7654" w:rsidP="001136D3">
            <w:pPr>
              <w:spacing w:after="0"/>
              <w:rPr>
                <w:szCs w:val="24"/>
              </w:rPr>
            </w:pPr>
            <w:r w:rsidRPr="008C4A39">
              <w:rPr>
                <w:color w:val="000000"/>
                <w:szCs w:val="24"/>
              </w:rPr>
              <w:t>NSW_IMP_0007</w:t>
            </w:r>
          </w:p>
        </w:tc>
        <w:tc>
          <w:tcPr>
            <w:tcW w:w="6570" w:type="dxa"/>
          </w:tcPr>
          <w:p w14:paraId="6F0A8D1B" w14:textId="77777777" w:rsidR="007D7654" w:rsidRPr="008C4A39" w:rsidRDefault="007D7654" w:rsidP="001136D3">
            <w:pPr>
              <w:spacing w:after="0"/>
              <w:rPr>
                <w:szCs w:val="24"/>
              </w:rPr>
            </w:pPr>
            <w:r w:rsidRPr="008C4A39">
              <w:rPr>
                <w:bCs/>
                <w:color w:val="000000"/>
                <w:szCs w:val="24"/>
              </w:rPr>
              <w:t>Unit Testing</w:t>
            </w:r>
          </w:p>
        </w:tc>
      </w:tr>
      <w:tr w:rsidR="007D7654" w:rsidRPr="008C4A39" w14:paraId="7D9D3B31" w14:textId="77777777" w:rsidTr="00883B07">
        <w:tc>
          <w:tcPr>
            <w:tcW w:w="9355" w:type="dxa"/>
            <w:gridSpan w:val="2"/>
          </w:tcPr>
          <w:p w14:paraId="20E49E65"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0A8A15B" w14:textId="77777777" w:rsidTr="00883B07">
        <w:tc>
          <w:tcPr>
            <w:tcW w:w="9355" w:type="dxa"/>
            <w:gridSpan w:val="2"/>
          </w:tcPr>
          <w:p w14:paraId="13F4C7FB"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6071D50" w14:textId="77777777" w:rsidTr="00883B07">
        <w:tc>
          <w:tcPr>
            <w:tcW w:w="2785" w:type="dxa"/>
          </w:tcPr>
          <w:p w14:paraId="5042EA3D" w14:textId="77777777" w:rsidR="007D7654" w:rsidRPr="008C4A39" w:rsidRDefault="007D7654" w:rsidP="001136D3">
            <w:pPr>
              <w:spacing w:after="0"/>
              <w:rPr>
                <w:szCs w:val="24"/>
              </w:rPr>
            </w:pPr>
            <w:r w:rsidRPr="008C4A39">
              <w:rPr>
                <w:color w:val="000000"/>
                <w:szCs w:val="24"/>
              </w:rPr>
              <w:t>NSW_IMP_0008</w:t>
            </w:r>
          </w:p>
        </w:tc>
        <w:tc>
          <w:tcPr>
            <w:tcW w:w="6570" w:type="dxa"/>
          </w:tcPr>
          <w:p w14:paraId="3220F942" w14:textId="77777777" w:rsidR="007D7654" w:rsidRPr="008C4A39" w:rsidRDefault="007D7654" w:rsidP="001136D3">
            <w:pPr>
              <w:spacing w:after="0"/>
              <w:rPr>
                <w:szCs w:val="24"/>
              </w:rPr>
            </w:pPr>
            <w:r w:rsidRPr="008C4A39">
              <w:rPr>
                <w:bCs/>
                <w:color w:val="000000"/>
                <w:szCs w:val="24"/>
              </w:rPr>
              <w:t>Integration on Test Environment and Automated Test Execution</w:t>
            </w:r>
          </w:p>
        </w:tc>
      </w:tr>
      <w:tr w:rsidR="007D7654" w:rsidRPr="008C4A39" w14:paraId="6FFE0959" w14:textId="77777777" w:rsidTr="00883B07">
        <w:tc>
          <w:tcPr>
            <w:tcW w:w="9355" w:type="dxa"/>
            <w:gridSpan w:val="2"/>
          </w:tcPr>
          <w:p w14:paraId="49FC52B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0DF56F81" w14:textId="77777777" w:rsidTr="00883B07">
        <w:tc>
          <w:tcPr>
            <w:tcW w:w="9355" w:type="dxa"/>
            <w:gridSpan w:val="2"/>
          </w:tcPr>
          <w:p w14:paraId="7FB9977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DB5B4B7" w14:textId="77777777" w:rsidTr="00883B07">
        <w:tc>
          <w:tcPr>
            <w:tcW w:w="2785" w:type="dxa"/>
          </w:tcPr>
          <w:p w14:paraId="1BC35A4B" w14:textId="77777777" w:rsidR="007D7654" w:rsidRPr="008C4A39" w:rsidRDefault="007D7654" w:rsidP="001136D3">
            <w:pPr>
              <w:spacing w:after="0"/>
              <w:rPr>
                <w:szCs w:val="24"/>
              </w:rPr>
            </w:pPr>
            <w:r w:rsidRPr="008C4A39">
              <w:rPr>
                <w:color w:val="000000"/>
                <w:szCs w:val="24"/>
              </w:rPr>
              <w:t>NSW_IMP_0009</w:t>
            </w:r>
          </w:p>
        </w:tc>
        <w:tc>
          <w:tcPr>
            <w:tcW w:w="6570" w:type="dxa"/>
          </w:tcPr>
          <w:p w14:paraId="306BAC17" w14:textId="77777777" w:rsidR="007D7654" w:rsidRPr="008C4A39" w:rsidRDefault="007D7654" w:rsidP="001136D3">
            <w:pPr>
              <w:spacing w:after="0"/>
              <w:rPr>
                <w:color w:val="FF0000"/>
                <w:szCs w:val="24"/>
              </w:rPr>
            </w:pPr>
            <w:r w:rsidRPr="008C4A39">
              <w:rPr>
                <w:bCs/>
                <w:color w:val="000000"/>
                <w:szCs w:val="24"/>
              </w:rPr>
              <w:t>User Interface</w:t>
            </w:r>
          </w:p>
        </w:tc>
      </w:tr>
      <w:tr w:rsidR="007D7654" w:rsidRPr="008C4A39" w14:paraId="46261A8F" w14:textId="77777777" w:rsidTr="00883B07">
        <w:tc>
          <w:tcPr>
            <w:tcW w:w="9355" w:type="dxa"/>
            <w:gridSpan w:val="2"/>
          </w:tcPr>
          <w:p w14:paraId="2EE2997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92E2195" w14:textId="77777777" w:rsidTr="00883B07">
        <w:tc>
          <w:tcPr>
            <w:tcW w:w="9355" w:type="dxa"/>
            <w:gridSpan w:val="2"/>
          </w:tcPr>
          <w:p w14:paraId="3ED5BFD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08F639B" w14:textId="77777777" w:rsidTr="00883B07">
        <w:trPr>
          <w:tblHeader/>
        </w:trPr>
        <w:tc>
          <w:tcPr>
            <w:tcW w:w="2785" w:type="dxa"/>
            <w:shd w:val="clear" w:color="auto" w:fill="D9D9D9"/>
          </w:tcPr>
          <w:p w14:paraId="3B4F51C8"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6D012904"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5D1373FE" w14:textId="77777777" w:rsidTr="00883B07">
        <w:tc>
          <w:tcPr>
            <w:tcW w:w="9355" w:type="dxa"/>
            <w:gridSpan w:val="2"/>
          </w:tcPr>
          <w:p w14:paraId="77ED1389" w14:textId="77777777" w:rsidR="007D7654" w:rsidRPr="008C4A39" w:rsidRDefault="007D7654" w:rsidP="001136D3">
            <w:pPr>
              <w:spacing w:after="0"/>
              <w:rPr>
                <w:b/>
                <w:szCs w:val="24"/>
              </w:rPr>
            </w:pPr>
            <w:r w:rsidRPr="008C4A39">
              <w:rPr>
                <w:b/>
                <w:szCs w:val="24"/>
              </w:rPr>
              <w:t>1.5.1.7</w:t>
            </w:r>
            <w:r w:rsidRPr="008C4A39">
              <w:rPr>
                <w:b/>
                <w:szCs w:val="24"/>
              </w:rPr>
              <w:tab/>
              <w:t>Installation Non-Functional Requirements</w:t>
            </w:r>
          </w:p>
        </w:tc>
      </w:tr>
      <w:tr w:rsidR="007D7654" w:rsidRPr="008C4A39" w14:paraId="3301BFD5" w14:textId="77777777" w:rsidTr="00883B07">
        <w:tc>
          <w:tcPr>
            <w:tcW w:w="2785" w:type="dxa"/>
          </w:tcPr>
          <w:p w14:paraId="4E55AF9D" w14:textId="77777777" w:rsidR="007D7654" w:rsidRPr="008C4A39" w:rsidRDefault="007D7654" w:rsidP="001136D3">
            <w:pPr>
              <w:spacing w:after="0"/>
              <w:rPr>
                <w:szCs w:val="24"/>
              </w:rPr>
            </w:pPr>
            <w:r w:rsidRPr="008C4A39">
              <w:rPr>
                <w:color w:val="000000"/>
                <w:szCs w:val="24"/>
              </w:rPr>
              <w:t>NSW_INS_0001</w:t>
            </w:r>
          </w:p>
        </w:tc>
        <w:tc>
          <w:tcPr>
            <w:tcW w:w="6570" w:type="dxa"/>
          </w:tcPr>
          <w:p w14:paraId="483EF9CB" w14:textId="77777777" w:rsidR="007D7654" w:rsidRPr="008C4A39" w:rsidRDefault="007D7654" w:rsidP="001136D3">
            <w:pPr>
              <w:spacing w:after="0"/>
              <w:rPr>
                <w:szCs w:val="24"/>
              </w:rPr>
            </w:pPr>
            <w:r w:rsidRPr="008C4A39">
              <w:rPr>
                <w:bCs/>
                <w:color w:val="000000"/>
                <w:szCs w:val="24"/>
              </w:rPr>
              <w:t>Continuous Integration Practice</w:t>
            </w:r>
          </w:p>
        </w:tc>
      </w:tr>
      <w:tr w:rsidR="007D7654" w:rsidRPr="008C4A39" w14:paraId="741BBEFE" w14:textId="77777777" w:rsidTr="00883B07">
        <w:tc>
          <w:tcPr>
            <w:tcW w:w="9355" w:type="dxa"/>
            <w:gridSpan w:val="2"/>
          </w:tcPr>
          <w:p w14:paraId="6529151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48AE123" w14:textId="77777777" w:rsidTr="00883B07">
        <w:tc>
          <w:tcPr>
            <w:tcW w:w="9355" w:type="dxa"/>
            <w:gridSpan w:val="2"/>
          </w:tcPr>
          <w:p w14:paraId="677AFEB9"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F9F1F5F" w14:textId="77777777" w:rsidTr="00883B07">
        <w:trPr>
          <w:tblHeader/>
        </w:trPr>
        <w:tc>
          <w:tcPr>
            <w:tcW w:w="2785" w:type="dxa"/>
            <w:shd w:val="clear" w:color="auto" w:fill="D9D9D9"/>
          </w:tcPr>
          <w:p w14:paraId="774CEB10"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5CE2B0A2"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50036791" w14:textId="77777777" w:rsidTr="00883B07">
        <w:tc>
          <w:tcPr>
            <w:tcW w:w="9355" w:type="dxa"/>
            <w:gridSpan w:val="2"/>
          </w:tcPr>
          <w:p w14:paraId="16838EA1" w14:textId="77777777" w:rsidR="007D7654" w:rsidRPr="008C4A39" w:rsidRDefault="007D7654" w:rsidP="001136D3">
            <w:pPr>
              <w:spacing w:after="0"/>
              <w:rPr>
                <w:b/>
                <w:szCs w:val="24"/>
              </w:rPr>
            </w:pPr>
            <w:r w:rsidRPr="008C4A39">
              <w:rPr>
                <w:b/>
                <w:szCs w:val="24"/>
              </w:rPr>
              <w:t>1.5.1.8</w:t>
            </w:r>
            <w:r w:rsidRPr="008C4A39">
              <w:rPr>
                <w:b/>
                <w:szCs w:val="24"/>
              </w:rPr>
              <w:tab/>
              <w:t>Logging Non-Functional Requirements</w:t>
            </w:r>
          </w:p>
        </w:tc>
      </w:tr>
      <w:tr w:rsidR="007D7654" w:rsidRPr="008C4A39" w14:paraId="12123EF0" w14:textId="77777777" w:rsidTr="00883B07">
        <w:tc>
          <w:tcPr>
            <w:tcW w:w="2785" w:type="dxa"/>
          </w:tcPr>
          <w:p w14:paraId="2DA8FE8B" w14:textId="77777777" w:rsidR="007D7654" w:rsidRPr="008C4A39" w:rsidRDefault="007D7654" w:rsidP="001136D3">
            <w:pPr>
              <w:spacing w:after="0"/>
              <w:rPr>
                <w:szCs w:val="24"/>
              </w:rPr>
            </w:pPr>
            <w:r w:rsidRPr="008C4A39">
              <w:rPr>
                <w:color w:val="000000"/>
                <w:szCs w:val="24"/>
              </w:rPr>
              <w:t>NSW_LOG_0001</w:t>
            </w:r>
          </w:p>
        </w:tc>
        <w:tc>
          <w:tcPr>
            <w:tcW w:w="6570" w:type="dxa"/>
          </w:tcPr>
          <w:p w14:paraId="4739DE4E" w14:textId="77777777" w:rsidR="007D7654" w:rsidRPr="008C4A39" w:rsidRDefault="007D7654" w:rsidP="001136D3">
            <w:pPr>
              <w:spacing w:after="0"/>
              <w:rPr>
                <w:szCs w:val="24"/>
              </w:rPr>
            </w:pPr>
            <w:r w:rsidRPr="008C4A39">
              <w:rPr>
                <w:bCs/>
                <w:color w:val="000000"/>
                <w:szCs w:val="24"/>
              </w:rPr>
              <w:t>Authentication Log</w:t>
            </w:r>
          </w:p>
        </w:tc>
      </w:tr>
      <w:tr w:rsidR="007D7654" w:rsidRPr="008C4A39" w14:paraId="227015AB" w14:textId="77777777" w:rsidTr="00883B07">
        <w:tc>
          <w:tcPr>
            <w:tcW w:w="9355" w:type="dxa"/>
            <w:gridSpan w:val="2"/>
          </w:tcPr>
          <w:p w14:paraId="6105468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0757A21" w14:textId="77777777" w:rsidTr="00883B07">
        <w:tc>
          <w:tcPr>
            <w:tcW w:w="9355" w:type="dxa"/>
            <w:gridSpan w:val="2"/>
          </w:tcPr>
          <w:p w14:paraId="40FC0C6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0DC15F4" w14:textId="77777777" w:rsidTr="00883B07">
        <w:tc>
          <w:tcPr>
            <w:tcW w:w="2785" w:type="dxa"/>
          </w:tcPr>
          <w:p w14:paraId="55DB173C" w14:textId="77777777" w:rsidR="007D7654" w:rsidRPr="008C4A39" w:rsidRDefault="007D7654" w:rsidP="001136D3">
            <w:pPr>
              <w:spacing w:after="0"/>
              <w:rPr>
                <w:szCs w:val="24"/>
              </w:rPr>
            </w:pPr>
            <w:r w:rsidRPr="008C4A39">
              <w:rPr>
                <w:color w:val="000000"/>
                <w:szCs w:val="24"/>
              </w:rPr>
              <w:t>NSW_LOG_0002</w:t>
            </w:r>
          </w:p>
        </w:tc>
        <w:tc>
          <w:tcPr>
            <w:tcW w:w="6570" w:type="dxa"/>
          </w:tcPr>
          <w:p w14:paraId="51172B11" w14:textId="77777777" w:rsidR="007D7654" w:rsidRPr="008C4A39" w:rsidRDefault="007D7654" w:rsidP="001136D3">
            <w:pPr>
              <w:spacing w:after="0"/>
              <w:rPr>
                <w:szCs w:val="24"/>
              </w:rPr>
            </w:pPr>
            <w:r w:rsidRPr="008C4A39">
              <w:rPr>
                <w:bCs/>
                <w:color w:val="000000"/>
                <w:szCs w:val="24"/>
              </w:rPr>
              <w:t>Availability Period of Technical Logs</w:t>
            </w:r>
          </w:p>
        </w:tc>
      </w:tr>
      <w:tr w:rsidR="007D7654" w:rsidRPr="008C4A39" w14:paraId="1E6DEC4F" w14:textId="77777777" w:rsidTr="00883B07">
        <w:tc>
          <w:tcPr>
            <w:tcW w:w="9355" w:type="dxa"/>
            <w:gridSpan w:val="2"/>
          </w:tcPr>
          <w:p w14:paraId="1642DEE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8306081" w14:textId="77777777" w:rsidTr="00883B07">
        <w:tc>
          <w:tcPr>
            <w:tcW w:w="9355" w:type="dxa"/>
            <w:gridSpan w:val="2"/>
          </w:tcPr>
          <w:p w14:paraId="7A0F4E00"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5A3A3D55" w14:textId="77777777" w:rsidTr="00883B07">
        <w:tc>
          <w:tcPr>
            <w:tcW w:w="2785" w:type="dxa"/>
          </w:tcPr>
          <w:p w14:paraId="32F318E5" w14:textId="77777777" w:rsidR="007D7654" w:rsidRPr="008C4A39" w:rsidRDefault="007D7654" w:rsidP="001136D3">
            <w:pPr>
              <w:spacing w:after="0"/>
              <w:rPr>
                <w:szCs w:val="24"/>
              </w:rPr>
            </w:pPr>
            <w:r w:rsidRPr="008C4A39">
              <w:rPr>
                <w:color w:val="000000"/>
                <w:szCs w:val="24"/>
              </w:rPr>
              <w:t>NSW_LOG_0003</w:t>
            </w:r>
          </w:p>
        </w:tc>
        <w:tc>
          <w:tcPr>
            <w:tcW w:w="6570" w:type="dxa"/>
          </w:tcPr>
          <w:p w14:paraId="330ECF7A" w14:textId="77777777" w:rsidR="007D7654" w:rsidRPr="008C4A39" w:rsidRDefault="007D7654" w:rsidP="001136D3">
            <w:pPr>
              <w:spacing w:after="0"/>
              <w:rPr>
                <w:szCs w:val="24"/>
              </w:rPr>
            </w:pPr>
            <w:r w:rsidRPr="008C4A39">
              <w:rPr>
                <w:bCs/>
                <w:color w:val="000000"/>
                <w:szCs w:val="24"/>
              </w:rPr>
              <w:t>Central Storage of Logs</w:t>
            </w:r>
          </w:p>
        </w:tc>
      </w:tr>
      <w:tr w:rsidR="007D7654" w:rsidRPr="008C4A39" w14:paraId="19A025D6" w14:textId="77777777" w:rsidTr="00883B07">
        <w:tc>
          <w:tcPr>
            <w:tcW w:w="9355" w:type="dxa"/>
            <w:gridSpan w:val="2"/>
          </w:tcPr>
          <w:p w14:paraId="074FC0B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80BCCD5" w14:textId="77777777" w:rsidTr="00883B07">
        <w:tc>
          <w:tcPr>
            <w:tcW w:w="9355" w:type="dxa"/>
            <w:gridSpan w:val="2"/>
          </w:tcPr>
          <w:p w14:paraId="2FD84CE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9080339" w14:textId="77777777" w:rsidTr="00883B07">
        <w:tc>
          <w:tcPr>
            <w:tcW w:w="2785" w:type="dxa"/>
          </w:tcPr>
          <w:p w14:paraId="17BDCBB7" w14:textId="77777777" w:rsidR="007D7654" w:rsidRPr="008C4A39" w:rsidRDefault="007D7654" w:rsidP="001136D3">
            <w:pPr>
              <w:spacing w:after="0"/>
              <w:rPr>
                <w:szCs w:val="24"/>
              </w:rPr>
            </w:pPr>
            <w:r w:rsidRPr="008C4A39">
              <w:rPr>
                <w:color w:val="000000"/>
                <w:szCs w:val="24"/>
              </w:rPr>
              <w:t>NSW_LOG_0004</w:t>
            </w:r>
          </w:p>
        </w:tc>
        <w:tc>
          <w:tcPr>
            <w:tcW w:w="6570" w:type="dxa"/>
          </w:tcPr>
          <w:p w14:paraId="673CF821" w14:textId="77777777" w:rsidR="007D7654" w:rsidRPr="008C4A39" w:rsidRDefault="007D7654" w:rsidP="001136D3">
            <w:pPr>
              <w:spacing w:after="0"/>
              <w:rPr>
                <w:szCs w:val="24"/>
              </w:rPr>
            </w:pPr>
            <w:r w:rsidRPr="008C4A39">
              <w:rPr>
                <w:bCs/>
                <w:color w:val="000000"/>
                <w:szCs w:val="24"/>
              </w:rPr>
              <w:t>Dump Messages</w:t>
            </w:r>
          </w:p>
        </w:tc>
      </w:tr>
      <w:tr w:rsidR="007D7654" w:rsidRPr="008C4A39" w14:paraId="7CA54283" w14:textId="77777777" w:rsidTr="00883B07">
        <w:tc>
          <w:tcPr>
            <w:tcW w:w="9355" w:type="dxa"/>
            <w:gridSpan w:val="2"/>
          </w:tcPr>
          <w:p w14:paraId="3370778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6A301A75" w14:textId="77777777" w:rsidTr="00883B07">
        <w:tc>
          <w:tcPr>
            <w:tcW w:w="9355" w:type="dxa"/>
            <w:gridSpan w:val="2"/>
          </w:tcPr>
          <w:p w14:paraId="6AF593B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A1FB683" w14:textId="77777777" w:rsidTr="00883B07">
        <w:trPr>
          <w:tblHeader/>
        </w:trPr>
        <w:tc>
          <w:tcPr>
            <w:tcW w:w="2785" w:type="dxa"/>
            <w:shd w:val="clear" w:color="auto" w:fill="D9D9D9"/>
          </w:tcPr>
          <w:p w14:paraId="29049F07"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31558D6F"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1EC33EE2" w14:textId="77777777" w:rsidTr="00883B07">
        <w:tc>
          <w:tcPr>
            <w:tcW w:w="9355" w:type="dxa"/>
            <w:gridSpan w:val="2"/>
          </w:tcPr>
          <w:p w14:paraId="6DA99B99" w14:textId="77777777" w:rsidR="007D7654" w:rsidRPr="008C4A39" w:rsidRDefault="007D7654" w:rsidP="001136D3">
            <w:pPr>
              <w:spacing w:after="0"/>
              <w:rPr>
                <w:b/>
                <w:szCs w:val="24"/>
              </w:rPr>
            </w:pPr>
            <w:r w:rsidRPr="008C4A39">
              <w:rPr>
                <w:b/>
                <w:szCs w:val="24"/>
              </w:rPr>
              <w:t>1.5.1.9</w:t>
            </w:r>
            <w:r w:rsidRPr="008C4A39">
              <w:rPr>
                <w:b/>
                <w:szCs w:val="24"/>
              </w:rPr>
              <w:tab/>
              <w:t>Monitoring Non-Functional Requirements</w:t>
            </w:r>
          </w:p>
        </w:tc>
      </w:tr>
      <w:tr w:rsidR="007D7654" w:rsidRPr="008C4A39" w14:paraId="47C4A318" w14:textId="77777777" w:rsidTr="00883B07">
        <w:tc>
          <w:tcPr>
            <w:tcW w:w="2785" w:type="dxa"/>
          </w:tcPr>
          <w:p w14:paraId="43503925" w14:textId="77777777" w:rsidR="007D7654" w:rsidRPr="008C4A39" w:rsidRDefault="007D7654" w:rsidP="001136D3">
            <w:pPr>
              <w:spacing w:after="0"/>
              <w:rPr>
                <w:szCs w:val="24"/>
              </w:rPr>
            </w:pPr>
            <w:r w:rsidRPr="008C4A39">
              <w:rPr>
                <w:color w:val="000000"/>
                <w:szCs w:val="24"/>
              </w:rPr>
              <w:t>NSW_MON_0001</w:t>
            </w:r>
          </w:p>
        </w:tc>
        <w:tc>
          <w:tcPr>
            <w:tcW w:w="6570" w:type="dxa"/>
          </w:tcPr>
          <w:p w14:paraId="77AD207F" w14:textId="77777777" w:rsidR="007D7654" w:rsidRPr="008C4A39" w:rsidRDefault="007D7654" w:rsidP="001136D3">
            <w:pPr>
              <w:spacing w:after="0"/>
              <w:rPr>
                <w:szCs w:val="24"/>
              </w:rPr>
            </w:pPr>
            <w:r w:rsidRPr="008C4A39">
              <w:rPr>
                <w:bCs/>
                <w:color w:val="000000"/>
                <w:szCs w:val="24"/>
              </w:rPr>
              <w:t>Integration with External Monitoring Component</w:t>
            </w:r>
          </w:p>
        </w:tc>
      </w:tr>
      <w:tr w:rsidR="007D7654" w:rsidRPr="008C4A39" w14:paraId="042FDFB6" w14:textId="77777777" w:rsidTr="00883B07">
        <w:tc>
          <w:tcPr>
            <w:tcW w:w="9355" w:type="dxa"/>
            <w:gridSpan w:val="2"/>
          </w:tcPr>
          <w:p w14:paraId="5DB1AC67" w14:textId="77777777" w:rsidR="007D7654" w:rsidRPr="008C4A39" w:rsidRDefault="007D7654" w:rsidP="001136D3">
            <w:pPr>
              <w:spacing w:after="0"/>
              <w:rPr>
                <w:szCs w:val="24"/>
              </w:rPr>
            </w:pPr>
            <w:r w:rsidRPr="008C4A39">
              <w:rPr>
                <w:szCs w:val="24"/>
              </w:rPr>
              <w:lastRenderedPageBreak/>
              <w:t xml:space="preserve">Bidder’s technical reasons supporting compliance:  </w:t>
            </w:r>
          </w:p>
        </w:tc>
      </w:tr>
      <w:tr w:rsidR="007D7654" w:rsidRPr="008C4A39" w14:paraId="694E2B19" w14:textId="77777777" w:rsidTr="00883B07">
        <w:tc>
          <w:tcPr>
            <w:tcW w:w="9355" w:type="dxa"/>
            <w:gridSpan w:val="2"/>
          </w:tcPr>
          <w:p w14:paraId="3BA5F8FF"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C504D14" w14:textId="77777777" w:rsidTr="00883B07">
        <w:tc>
          <w:tcPr>
            <w:tcW w:w="2785" w:type="dxa"/>
          </w:tcPr>
          <w:p w14:paraId="76D83D76" w14:textId="77777777" w:rsidR="007D7654" w:rsidRPr="008C4A39" w:rsidRDefault="007D7654" w:rsidP="001136D3">
            <w:pPr>
              <w:spacing w:after="0"/>
              <w:rPr>
                <w:szCs w:val="24"/>
              </w:rPr>
            </w:pPr>
            <w:r w:rsidRPr="008C4A39">
              <w:rPr>
                <w:color w:val="000000"/>
                <w:szCs w:val="24"/>
              </w:rPr>
              <w:t>NSW_MON_0002</w:t>
            </w:r>
          </w:p>
        </w:tc>
        <w:tc>
          <w:tcPr>
            <w:tcW w:w="6570" w:type="dxa"/>
          </w:tcPr>
          <w:p w14:paraId="60BAE0D6" w14:textId="77777777" w:rsidR="007D7654" w:rsidRPr="008C4A39" w:rsidRDefault="007D7654" w:rsidP="001136D3">
            <w:pPr>
              <w:spacing w:after="0"/>
              <w:rPr>
                <w:szCs w:val="24"/>
              </w:rPr>
            </w:pPr>
            <w:r w:rsidRPr="008C4A39">
              <w:rPr>
                <w:bCs/>
                <w:color w:val="000000"/>
                <w:szCs w:val="24"/>
              </w:rPr>
              <w:t>Metrics</w:t>
            </w:r>
          </w:p>
        </w:tc>
      </w:tr>
      <w:tr w:rsidR="007D7654" w:rsidRPr="008C4A39" w14:paraId="23582BD4" w14:textId="77777777" w:rsidTr="00883B07">
        <w:tc>
          <w:tcPr>
            <w:tcW w:w="9355" w:type="dxa"/>
            <w:gridSpan w:val="2"/>
          </w:tcPr>
          <w:p w14:paraId="2FA9E23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02889D82" w14:textId="77777777" w:rsidTr="00883B07">
        <w:tc>
          <w:tcPr>
            <w:tcW w:w="9355" w:type="dxa"/>
            <w:gridSpan w:val="2"/>
          </w:tcPr>
          <w:p w14:paraId="08962150"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5B8185DF" w14:textId="77777777" w:rsidTr="00883B07">
        <w:trPr>
          <w:tblHeader/>
        </w:trPr>
        <w:tc>
          <w:tcPr>
            <w:tcW w:w="2785" w:type="dxa"/>
            <w:shd w:val="clear" w:color="auto" w:fill="D9D9D9"/>
          </w:tcPr>
          <w:p w14:paraId="5FDCC1D4"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3304D58E"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0CC8746E" w14:textId="77777777" w:rsidTr="00883B07">
        <w:tc>
          <w:tcPr>
            <w:tcW w:w="9355" w:type="dxa"/>
            <w:gridSpan w:val="2"/>
          </w:tcPr>
          <w:p w14:paraId="12F99B53" w14:textId="77777777" w:rsidR="007D7654" w:rsidRPr="008C4A39" w:rsidRDefault="007D7654" w:rsidP="001136D3">
            <w:pPr>
              <w:spacing w:after="0"/>
              <w:rPr>
                <w:b/>
                <w:szCs w:val="24"/>
              </w:rPr>
            </w:pPr>
            <w:r w:rsidRPr="008C4A39">
              <w:rPr>
                <w:b/>
                <w:szCs w:val="24"/>
              </w:rPr>
              <w:t>1.5.1.10 Ownership of Assets Non-Functional Requirements</w:t>
            </w:r>
          </w:p>
        </w:tc>
      </w:tr>
      <w:tr w:rsidR="007D7654" w:rsidRPr="008C4A39" w14:paraId="057FC59E" w14:textId="77777777" w:rsidTr="00883B07">
        <w:tc>
          <w:tcPr>
            <w:tcW w:w="2785" w:type="dxa"/>
          </w:tcPr>
          <w:p w14:paraId="0127590F" w14:textId="77777777" w:rsidR="007D7654" w:rsidRPr="008C4A39" w:rsidRDefault="007D7654" w:rsidP="001136D3">
            <w:pPr>
              <w:spacing w:after="0"/>
              <w:rPr>
                <w:szCs w:val="24"/>
              </w:rPr>
            </w:pPr>
            <w:r w:rsidRPr="008C4A39">
              <w:rPr>
                <w:color w:val="000000"/>
                <w:szCs w:val="24"/>
              </w:rPr>
              <w:t>NSW_OOA_0001</w:t>
            </w:r>
          </w:p>
        </w:tc>
        <w:tc>
          <w:tcPr>
            <w:tcW w:w="6570" w:type="dxa"/>
          </w:tcPr>
          <w:p w14:paraId="5D9057A9" w14:textId="77777777" w:rsidR="007D7654" w:rsidRPr="008C4A39" w:rsidRDefault="007D7654" w:rsidP="001136D3">
            <w:pPr>
              <w:spacing w:after="0"/>
              <w:rPr>
                <w:szCs w:val="24"/>
              </w:rPr>
            </w:pPr>
            <w:r w:rsidRPr="008C4A39">
              <w:rPr>
                <w:bCs/>
                <w:color w:val="000000"/>
                <w:szCs w:val="24"/>
              </w:rPr>
              <w:t>Data Masking Strategies</w:t>
            </w:r>
          </w:p>
        </w:tc>
      </w:tr>
      <w:tr w:rsidR="007D7654" w:rsidRPr="008C4A39" w14:paraId="7CD86205" w14:textId="77777777" w:rsidTr="00883B07">
        <w:tc>
          <w:tcPr>
            <w:tcW w:w="9355" w:type="dxa"/>
            <w:gridSpan w:val="2"/>
          </w:tcPr>
          <w:p w14:paraId="11CCE77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D5568F0" w14:textId="77777777" w:rsidTr="00883B07">
        <w:tc>
          <w:tcPr>
            <w:tcW w:w="9355" w:type="dxa"/>
            <w:gridSpan w:val="2"/>
          </w:tcPr>
          <w:p w14:paraId="143556F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910F20E" w14:textId="77777777" w:rsidTr="00883B07">
        <w:tc>
          <w:tcPr>
            <w:tcW w:w="2785" w:type="dxa"/>
          </w:tcPr>
          <w:p w14:paraId="30A7B606" w14:textId="77777777" w:rsidR="007D7654" w:rsidRPr="008C4A39" w:rsidRDefault="007D7654" w:rsidP="001136D3">
            <w:pPr>
              <w:spacing w:after="0"/>
              <w:rPr>
                <w:szCs w:val="24"/>
              </w:rPr>
            </w:pPr>
            <w:r w:rsidRPr="008C4A39">
              <w:rPr>
                <w:color w:val="000000"/>
                <w:szCs w:val="24"/>
              </w:rPr>
              <w:t>NSW_OOA_0002</w:t>
            </w:r>
          </w:p>
        </w:tc>
        <w:tc>
          <w:tcPr>
            <w:tcW w:w="6570" w:type="dxa"/>
          </w:tcPr>
          <w:p w14:paraId="2CFEE12B" w14:textId="77777777" w:rsidR="007D7654" w:rsidRPr="008C4A39" w:rsidRDefault="007D7654" w:rsidP="001136D3">
            <w:pPr>
              <w:spacing w:after="0"/>
              <w:rPr>
                <w:szCs w:val="24"/>
              </w:rPr>
            </w:pPr>
            <w:r w:rsidRPr="008C4A39">
              <w:rPr>
                <w:bCs/>
                <w:color w:val="000000"/>
                <w:szCs w:val="24"/>
              </w:rPr>
              <w:t>Data Ownership</w:t>
            </w:r>
          </w:p>
        </w:tc>
      </w:tr>
      <w:tr w:rsidR="007D7654" w:rsidRPr="008C4A39" w14:paraId="193FA237" w14:textId="77777777" w:rsidTr="00883B07">
        <w:tc>
          <w:tcPr>
            <w:tcW w:w="9355" w:type="dxa"/>
            <w:gridSpan w:val="2"/>
          </w:tcPr>
          <w:p w14:paraId="2A22EF3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D8825B4" w14:textId="77777777" w:rsidTr="00883B07">
        <w:tc>
          <w:tcPr>
            <w:tcW w:w="9355" w:type="dxa"/>
            <w:gridSpan w:val="2"/>
          </w:tcPr>
          <w:p w14:paraId="393EE947"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7C1FA47" w14:textId="77777777" w:rsidTr="00883B07">
        <w:trPr>
          <w:tblHeader/>
        </w:trPr>
        <w:tc>
          <w:tcPr>
            <w:tcW w:w="2785" w:type="dxa"/>
            <w:shd w:val="clear" w:color="auto" w:fill="D9D9D9"/>
          </w:tcPr>
          <w:p w14:paraId="685EAF2D"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13734245"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018B11FE" w14:textId="77777777" w:rsidTr="00883B07">
        <w:tc>
          <w:tcPr>
            <w:tcW w:w="9355" w:type="dxa"/>
            <w:gridSpan w:val="2"/>
          </w:tcPr>
          <w:p w14:paraId="77AB4BE2" w14:textId="77777777" w:rsidR="007D7654" w:rsidRPr="008C4A39" w:rsidRDefault="007D7654" w:rsidP="001136D3">
            <w:pPr>
              <w:spacing w:after="0"/>
              <w:rPr>
                <w:b/>
                <w:szCs w:val="24"/>
              </w:rPr>
            </w:pPr>
            <w:r w:rsidRPr="008C4A39">
              <w:rPr>
                <w:b/>
                <w:szCs w:val="24"/>
              </w:rPr>
              <w:t>1.5.1.11 Scalability Non-Functional Requirements</w:t>
            </w:r>
          </w:p>
        </w:tc>
      </w:tr>
      <w:tr w:rsidR="007D7654" w:rsidRPr="008C4A39" w14:paraId="6A107AF8" w14:textId="77777777" w:rsidTr="00883B07">
        <w:tc>
          <w:tcPr>
            <w:tcW w:w="2785" w:type="dxa"/>
          </w:tcPr>
          <w:p w14:paraId="4F3DFE89" w14:textId="77777777" w:rsidR="007D7654" w:rsidRPr="008C4A39" w:rsidRDefault="007D7654" w:rsidP="001136D3">
            <w:pPr>
              <w:spacing w:after="0"/>
              <w:rPr>
                <w:szCs w:val="24"/>
              </w:rPr>
            </w:pPr>
            <w:r w:rsidRPr="008C4A39">
              <w:rPr>
                <w:color w:val="000000"/>
                <w:szCs w:val="24"/>
              </w:rPr>
              <w:t>NSW_SCA_0001</w:t>
            </w:r>
          </w:p>
        </w:tc>
        <w:tc>
          <w:tcPr>
            <w:tcW w:w="6570" w:type="dxa"/>
          </w:tcPr>
          <w:p w14:paraId="185AAFA1" w14:textId="77777777" w:rsidR="007D7654" w:rsidRPr="008C4A39" w:rsidRDefault="007D7654" w:rsidP="001136D3">
            <w:pPr>
              <w:spacing w:after="0"/>
              <w:rPr>
                <w:szCs w:val="24"/>
              </w:rPr>
            </w:pPr>
            <w:r w:rsidRPr="008C4A39">
              <w:rPr>
                <w:bCs/>
                <w:color w:val="000000"/>
                <w:szCs w:val="24"/>
              </w:rPr>
              <w:t>Maximum Size of Messages Exchanged via CCN</w:t>
            </w:r>
          </w:p>
        </w:tc>
      </w:tr>
      <w:tr w:rsidR="007D7654" w:rsidRPr="008C4A39" w14:paraId="6173309D" w14:textId="77777777" w:rsidTr="00883B07">
        <w:tc>
          <w:tcPr>
            <w:tcW w:w="9355" w:type="dxa"/>
            <w:gridSpan w:val="2"/>
          </w:tcPr>
          <w:p w14:paraId="154A60E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D465EDF" w14:textId="77777777" w:rsidTr="00883B07">
        <w:tc>
          <w:tcPr>
            <w:tcW w:w="9355" w:type="dxa"/>
            <w:gridSpan w:val="2"/>
          </w:tcPr>
          <w:p w14:paraId="1B1CDC91"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0E83322" w14:textId="77777777" w:rsidTr="00883B07">
        <w:tc>
          <w:tcPr>
            <w:tcW w:w="2785" w:type="dxa"/>
          </w:tcPr>
          <w:p w14:paraId="4FB273B1" w14:textId="77777777" w:rsidR="007D7654" w:rsidRPr="008C4A39" w:rsidRDefault="007D7654" w:rsidP="001136D3">
            <w:pPr>
              <w:spacing w:after="0"/>
              <w:rPr>
                <w:szCs w:val="24"/>
              </w:rPr>
            </w:pPr>
            <w:r w:rsidRPr="008C4A39">
              <w:rPr>
                <w:color w:val="000000"/>
                <w:szCs w:val="24"/>
              </w:rPr>
              <w:t>NSW_SCA_0002</w:t>
            </w:r>
          </w:p>
        </w:tc>
        <w:tc>
          <w:tcPr>
            <w:tcW w:w="6570" w:type="dxa"/>
          </w:tcPr>
          <w:p w14:paraId="0C0D2F9C" w14:textId="77777777" w:rsidR="007D7654" w:rsidRPr="008C4A39" w:rsidRDefault="007D7654" w:rsidP="001136D3">
            <w:pPr>
              <w:spacing w:after="0"/>
              <w:rPr>
                <w:szCs w:val="24"/>
              </w:rPr>
            </w:pPr>
            <w:r w:rsidRPr="008C4A39">
              <w:rPr>
                <w:bCs/>
                <w:color w:val="000000"/>
                <w:szCs w:val="24"/>
              </w:rPr>
              <w:t>Multiple Users</w:t>
            </w:r>
          </w:p>
        </w:tc>
      </w:tr>
      <w:tr w:rsidR="007D7654" w:rsidRPr="008C4A39" w14:paraId="405E865E" w14:textId="77777777" w:rsidTr="00883B07">
        <w:tc>
          <w:tcPr>
            <w:tcW w:w="9355" w:type="dxa"/>
            <w:gridSpan w:val="2"/>
          </w:tcPr>
          <w:p w14:paraId="16FE99C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E6FFD8B" w14:textId="77777777" w:rsidTr="00883B07">
        <w:tc>
          <w:tcPr>
            <w:tcW w:w="9355" w:type="dxa"/>
            <w:gridSpan w:val="2"/>
          </w:tcPr>
          <w:p w14:paraId="05558F88"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4A8B708" w14:textId="77777777" w:rsidTr="00883B07">
        <w:tc>
          <w:tcPr>
            <w:tcW w:w="2785" w:type="dxa"/>
          </w:tcPr>
          <w:p w14:paraId="695E8C9E" w14:textId="77777777" w:rsidR="007D7654" w:rsidRPr="008C4A39" w:rsidRDefault="007D7654" w:rsidP="001136D3">
            <w:pPr>
              <w:spacing w:after="0"/>
              <w:rPr>
                <w:szCs w:val="24"/>
              </w:rPr>
            </w:pPr>
            <w:r w:rsidRPr="008C4A39">
              <w:rPr>
                <w:color w:val="000000"/>
                <w:szCs w:val="24"/>
              </w:rPr>
              <w:t>NSW_SCA_0003</w:t>
            </w:r>
          </w:p>
        </w:tc>
        <w:tc>
          <w:tcPr>
            <w:tcW w:w="6570" w:type="dxa"/>
          </w:tcPr>
          <w:p w14:paraId="6B458268" w14:textId="77777777" w:rsidR="007D7654" w:rsidRPr="008C4A39" w:rsidRDefault="007D7654" w:rsidP="001136D3">
            <w:pPr>
              <w:spacing w:after="0"/>
              <w:rPr>
                <w:szCs w:val="24"/>
              </w:rPr>
            </w:pPr>
            <w:r w:rsidRPr="008C4A39">
              <w:rPr>
                <w:bCs/>
                <w:color w:val="000000"/>
                <w:szCs w:val="24"/>
              </w:rPr>
              <w:t>Scalable Architecture</w:t>
            </w:r>
          </w:p>
        </w:tc>
      </w:tr>
      <w:tr w:rsidR="007D7654" w:rsidRPr="008C4A39" w14:paraId="275EE7E3" w14:textId="77777777" w:rsidTr="00883B07">
        <w:tc>
          <w:tcPr>
            <w:tcW w:w="9355" w:type="dxa"/>
            <w:gridSpan w:val="2"/>
          </w:tcPr>
          <w:p w14:paraId="3782936F"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EB4F9F6" w14:textId="77777777" w:rsidTr="00883B07">
        <w:tc>
          <w:tcPr>
            <w:tcW w:w="9355" w:type="dxa"/>
            <w:gridSpan w:val="2"/>
          </w:tcPr>
          <w:p w14:paraId="7EF2ABC7"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0BD91FE" w14:textId="77777777" w:rsidTr="00883B07">
        <w:tc>
          <w:tcPr>
            <w:tcW w:w="2785" w:type="dxa"/>
          </w:tcPr>
          <w:p w14:paraId="3FE63832" w14:textId="77777777" w:rsidR="007D7654" w:rsidRPr="008C4A39" w:rsidRDefault="007D7654" w:rsidP="001136D3">
            <w:pPr>
              <w:spacing w:after="0"/>
              <w:rPr>
                <w:szCs w:val="24"/>
              </w:rPr>
            </w:pPr>
            <w:r w:rsidRPr="008C4A39">
              <w:rPr>
                <w:color w:val="000000"/>
                <w:szCs w:val="24"/>
              </w:rPr>
              <w:t>NSW_SCA_0004</w:t>
            </w:r>
          </w:p>
        </w:tc>
        <w:tc>
          <w:tcPr>
            <w:tcW w:w="6570" w:type="dxa"/>
          </w:tcPr>
          <w:p w14:paraId="7E06AA3B" w14:textId="77777777" w:rsidR="007D7654" w:rsidRPr="008C4A39" w:rsidRDefault="007D7654" w:rsidP="001136D3">
            <w:pPr>
              <w:spacing w:after="0"/>
              <w:rPr>
                <w:szCs w:val="24"/>
              </w:rPr>
            </w:pPr>
            <w:r w:rsidRPr="008C4A39">
              <w:rPr>
                <w:bCs/>
                <w:color w:val="000000"/>
                <w:szCs w:val="24"/>
              </w:rPr>
              <w:t>Split Messages that Exceed Size</w:t>
            </w:r>
          </w:p>
        </w:tc>
      </w:tr>
      <w:tr w:rsidR="007D7654" w:rsidRPr="008C4A39" w14:paraId="24B133E1" w14:textId="77777777" w:rsidTr="00883B07">
        <w:tc>
          <w:tcPr>
            <w:tcW w:w="9355" w:type="dxa"/>
            <w:gridSpan w:val="2"/>
          </w:tcPr>
          <w:p w14:paraId="6396A12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105D257" w14:textId="77777777" w:rsidTr="00883B07">
        <w:tc>
          <w:tcPr>
            <w:tcW w:w="9355" w:type="dxa"/>
            <w:gridSpan w:val="2"/>
          </w:tcPr>
          <w:p w14:paraId="3D2008FE"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597A7FA" w14:textId="77777777" w:rsidTr="00883B07">
        <w:trPr>
          <w:tblHeader/>
        </w:trPr>
        <w:tc>
          <w:tcPr>
            <w:tcW w:w="2785" w:type="dxa"/>
            <w:shd w:val="clear" w:color="auto" w:fill="D9D9D9"/>
          </w:tcPr>
          <w:p w14:paraId="6747F6D8"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4ED5A7EA"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5BF182CB" w14:textId="77777777" w:rsidTr="00883B07">
        <w:tc>
          <w:tcPr>
            <w:tcW w:w="9355" w:type="dxa"/>
            <w:gridSpan w:val="2"/>
          </w:tcPr>
          <w:p w14:paraId="56141835" w14:textId="77777777" w:rsidR="007D7654" w:rsidRPr="008C4A39" w:rsidRDefault="007D7654" w:rsidP="001136D3">
            <w:pPr>
              <w:spacing w:after="0"/>
              <w:rPr>
                <w:b/>
                <w:szCs w:val="24"/>
              </w:rPr>
            </w:pPr>
            <w:r w:rsidRPr="008C4A39">
              <w:rPr>
                <w:b/>
                <w:szCs w:val="24"/>
              </w:rPr>
              <w:t>1.5.1.12 Usability Non-Functional Requirements</w:t>
            </w:r>
          </w:p>
        </w:tc>
      </w:tr>
      <w:tr w:rsidR="007D7654" w:rsidRPr="008C4A39" w14:paraId="6FE64A41" w14:textId="77777777" w:rsidTr="00883B07">
        <w:tc>
          <w:tcPr>
            <w:tcW w:w="2785" w:type="dxa"/>
          </w:tcPr>
          <w:p w14:paraId="5B3381E8" w14:textId="77777777" w:rsidR="007D7654" w:rsidRPr="008C4A39" w:rsidRDefault="007D7654" w:rsidP="001136D3">
            <w:pPr>
              <w:spacing w:after="0"/>
              <w:rPr>
                <w:szCs w:val="24"/>
              </w:rPr>
            </w:pPr>
            <w:r w:rsidRPr="008C4A39">
              <w:rPr>
                <w:color w:val="000000"/>
                <w:szCs w:val="24"/>
              </w:rPr>
              <w:t>NSW_USE_0001</w:t>
            </w:r>
          </w:p>
        </w:tc>
        <w:tc>
          <w:tcPr>
            <w:tcW w:w="6570" w:type="dxa"/>
          </w:tcPr>
          <w:p w14:paraId="620B8B27" w14:textId="77777777" w:rsidR="007D7654" w:rsidRPr="008C4A39" w:rsidRDefault="007D7654" w:rsidP="001136D3">
            <w:pPr>
              <w:spacing w:after="0"/>
              <w:rPr>
                <w:szCs w:val="24"/>
              </w:rPr>
            </w:pPr>
            <w:r w:rsidRPr="008C4A39">
              <w:rPr>
                <w:bCs/>
                <w:color w:val="000000"/>
                <w:szCs w:val="24"/>
              </w:rPr>
              <w:t>Multiple Users</w:t>
            </w:r>
          </w:p>
        </w:tc>
      </w:tr>
      <w:tr w:rsidR="007D7654" w:rsidRPr="008C4A39" w14:paraId="68EEE6AC" w14:textId="77777777" w:rsidTr="00883B07">
        <w:tc>
          <w:tcPr>
            <w:tcW w:w="9355" w:type="dxa"/>
            <w:gridSpan w:val="2"/>
          </w:tcPr>
          <w:p w14:paraId="70BB9FD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23EEC72" w14:textId="77777777" w:rsidTr="00883B07">
        <w:tc>
          <w:tcPr>
            <w:tcW w:w="9355" w:type="dxa"/>
            <w:gridSpan w:val="2"/>
          </w:tcPr>
          <w:p w14:paraId="301434EB"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29B8DEF" w14:textId="77777777" w:rsidTr="00883B07">
        <w:tc>
          <w:tcPr>
            <w:tcW w:w="2785" w:type="dxa"/>
          </w:tcPr>
          <w:p w14:paraId="1301996C" w14:textId="77777777" w:rsidR="007D7654" w:rsidRPr="008C4A39" w:rsidRDefault="007D7654" w:rsidP="001136D3">
            <w:pPr>
              <w:spacing w:after="0"/>
              <w:rPr>
                <w:szCs w:val="24"/>
              </w:rPr>
            </w:pPr>
            <w:r w:rsidRPr="008C4A39">
              <w:rPr>
                <w:color w:val="000000"/>
                <w:szCs w:val="24"/>
              </w:rPr>
              <w:t>NSW_USE_0002</w:t>
            </w:r>
          </w:p>
        </w:tc>
        <w:tc>
          <w:tcPr>
            <w:tcW w:w="6570" w:type="dxa"/>
          </w:tcPr>
          <w:p w14:paraId="3F678D11" w14:textId="77777777" w:rsidR="007D7654" w:rsidRPr="008C4A39" w:rsidRDefault="007D7654" w:rsidP="001136D3">
            <w:pPr>
              <w:spacing w:after="0"/>
              <w:rPr>
                <w:szCs w:val="24"/>
              </w:rPr>
            </w:pPr>
            <w:r w:rsidRPr="008C4A39">
              <w:rPr>
                <w:bCs/>
                <w:color w:val="000000"/>
                <w:szCs w:val="24"/>
              </w:rPr>
              <w:t>Textual Data</w:t>
            </w:r>
          </w:p>
        </w:tc>
      </w:tr>
      <w:tr w:rsidR="007D7654" w:rsidRPr="008C4A39" w14:paraId="47B00BF2" w14:textId="77777777" w:rsidTr="00883B07">
        <w:tc>
          <w:tcPr>
            <w:tcW w:w="9355" w:type="dxa"/>
            <w:gridSpan w:val="2"/>
          </w:tcPr>
          <w:p w14:paraId="24A0CB9D"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D0E6521" w14:textId="77777777" w:rsidTr="00883B07">
        <w:tc>
          <w:tcPr>
            <w:tcW w:w="9355" w:type="dxa"/>
            <w:gridSpan w:val="2"/>
          </w:tcPr>
          <w:p w14:paraId="47C71F7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55B2B88C" w14:textId="77777777" w:rsidTr="00883B07">
        <w:tc>
          <w:tcPr>
            <w:tcW w:w="2785" w:type="dxa"/>
          </w:tcPr>
          <w:p w14:paraId="6C4A8178" w14:textId="77777777" w:rsidR="007D7654" w:rsidRPr="008C4A39" w:rsidRDefault="007D7654" w:rsidP="001136D3">
            <w:pPr>
              <w:spacing w:after="0"/>
              <w:rPr>
                <w:szCs w:val="24"/>
              </w:rPr>
            </w:pPr>
            <w:r w:rsidRPr="008C4A39">
              <w:rPr>
                <w:color w:val="000000"/>
                <w:szCs w:val="24"/>
              </w:rPr>
              <w:t>NSW_USE_0003</w:t>
            </w:r>
          </w:p>
        </w:tc>
        <w:tc>
          <w:tcPr>
            <w:tcW w:w="6570" w:type="dxa"/>
          </w:tcPr>
          <w:p w14:paraId="0155DAAC" w14:textId="77777777" w:rsidR="007D7654" w:rsidRPr="008C4A39" w:rsidRDefault="007D7654" w:rsidP="001136D3">
            <w:pPr>
              <w:spacing w:after="0"/>
              <w:rPr>
                <w:szCs w:val="24"/>
              </w:rPr>
            </w:pPr>
            <w:r w:rsidRPr="008C4A39">
              <w:rPr>
                <w:bCs/>
                <w:color w:val="000000"/>
                <w:szCs w:val="24"/>
              </w:rPr>
              <w:t>User Interface Uniformity</w:t>
            </w:r>
          </w:p>
        </w:tc>
      </w:tr>
      <w:tr w:rsidR="007D7654" w:rsidRPr="008C4A39" w14:paraId="00D1B81F" w14:textId="77777777" w:rsidTr="00883B07">
        <w:tc>
          <w:tcPr>
            <w:tcW w:w="9355" w:type="dxa"/>
            <w:gridSpan w:val="2"/>
          </w:tcPr>
          <w:p w14:paraId="445EB85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45C54BCC" w14:textId="77777777" w:rsidTr="00883B07">
        <w:tc>
          <w:tcPr>
            <w:tcW w:w="9355" w:type="dxa"/>
            <w:gridSpan w:val="2"/>
          </w:tcPr>
          <w:p w14:paraId="089135B0" w14:textId="77777777" w:rsidR="007D7654" w:rsidRPr="008C4A39" w:rsidRDefault="007D7654" w:rsidP="001136D3">
            <w:pPr>
              <w:spacing w:after="0"/>
              <w:rPr>
                <w:szCs w:val="24"/>
              </w:rPr>
            </w:pPr>
            <w:r w:rsidRPr="008C4A39">
              <w:rPr>
                <w:szCs w:val="24"/>
              </w:rPr>
              <w:t>Bidder’s cross references to supporting information in Technical Bid:</w:t>
            </w:r>
          </w:p>
        </w:tc>
      </w:tr>
      <w:tr w:rsidR="00C70444" w:rsidRPr="008C4A39" w14:paraId="03CDED84" w14:textId="77777777" w:rsidTr="006B1214">
        <w:trPr>
          <w:tblHeader/>
        </w:trPr>
        <w:tc>
          <w:tcPr>
            <w:tcW w:w="2785" w:type="dxa"/>
            <w:shd w:val="clear" w:color="auto" w:fill="D9D9D9"/>
          </w:tcPr>
          <w:p w14:paraId="7EC9D3E7" w14:textId="77777777" w:rsidR="00C70444" w:rsidRPr="008C4A39" w:rsidRDefault="00C70444" w:rsidP="001136D3">
            <w:pPr>
              <w:spacing w:after="0"/>
              <w:rPr>
                <w:b/>
                <w:szCs w:val="24"/>
              </w:rPr>
            </w:pPr>
            <w:r w:rsidRPr="008C4A39">
              <w:rPr>
                <w:b/>
                <w:szCs w:val="24"/>
              </w:rPr>
              <w:t>Tech. Req. Number</w:t>
            </w:r>
          </w:p>
        </w:tc>
        <w:tc>
          <w:tcPr>
            <w:tcW w:w="6570" w:type="dxa"/>
            <w:shd w:val="clear" w:color="auto" w:fill="D9D9D9"/>
          </w:tcPr>
          <w:p w14:paraId="1FD32F65" w14:textId="77777777" w:rsidR="00C70444" w:rsidRPr="008C4A39" w:rsidRDefault="00C70444" w:rsidP="001136D3">
            <w:pPr>
              <w:spacing w:after="0"/>
              <w:jc w:val="left"/>
              <w:rPr>
                <w:b/>
                <w:szCs w:val="24"/>
              </w:rPr>
            </w:pPr>
            <w:r w:rsidRPr="008C4A39">
              <w:rPr>
                <w:b/>
                <w:szCs w:val="24"/>
              </w:rPr>
              <w:t>Technical Requirement</w:t>
            </w:r>
          </w:p>
        </w:tc>
      </w:tr>
      <w:tr w:rsidR="00C70444" w:rsidRPr="008C4A39" w14:paraId="21AE5C4C" w14:textId="77777777" w:rsidTr="006B1214">
        <w:tc>
          <w:tcPr>
            <w:tcW w:w="9355" w:type="dxa"/>
            <w:gridSpan w:val="2"/>
          </w:tcPr>
          <w:p w14:paraId="0E1DA0CC" w14:textId="77777777" w:rsidR="00C70444" w:rsidRPr="008C4A39" w:rsidRDefault="00C70444" w:rsidP="001136D3">
            <w:pPr>
              <w:spacing w:after="0"/>
              <w:rPr>
                <w:b/>
                <w:szCs w:val="24"/>
              </w:rPr>
            </w:pPr>
            <w:r w:rsidRPr="008C4A39">
              <w:rPr>
                <w:b/>
                <w:szCs w:val="24"/>
              </w:rPr>
              <w:t>1.5.1.12 Usability Non-Functional Requirements</w:t>
            </w:r>
          </w:p>
        </w:tc>
      </w:tr>
      <w:tr w:rsidR="00C70444" w:rsidRPr="008C4A39" w14:paraId="679D8E62" w14:textId="77777777" w:rsidTr="006B1214">
        <w:tc>
          <w:tcPr>
            <w:tcW w:w="2785" w:type="dxa"/>
          </w:tcPr>
          <w:p w14:paraId="39178D34" w14:textId="77777777" w:rsidR="00C70444" w:rsidRPr="008C4A39" w:rsidRDefault="00C70444" w:rsidP="001136D3">
            <w:pPr>
              <w:spacing w:after="0"/>
              <w:rPr>
                <w:szCs w:val="24"/>
              </w:rPr>
            </w:pPr>
            <w:r w:rsidRPr="008C4A39">
              <w:rPr>
                <w:color w:val="000000"/>
                <w:szCs w:val="24"/>
              </w:rPr>
              <w:t>NSW_USE_0001</w:t>
            </w:r>
          </w:p>
        </w:tc>
        <w:tc>
          <w:tcPr>
            <w:tcW w:w="6570" w:type="dxa"/>
          </w:tcPr>
          <w:p w14:paraId="5790C334" w14:textId="77777777" w:rsidR="00C70444" w:rsidRPr="008C4A39" w:rsidRDefault="00C70444" w:rsidP="001136D3">
            <w:pPr>
              <w:spacing w:after="0"/>
              <w:rPr>
                <w:szCs w:val="24"/>
              </w:rPr>
            </w:pPr>
            <w:r w:rsidRPr="008C4A39">
              <w:rPr>
                <w:bCs/>
                <w:color w:val="000000"/>
                <w:szCs w:val="24"/>
              </w:rPr>
              <w:t>Multiple Users</w:t>
            </w:r>
          </w:p>
        </w:tc>
      </w:tr>
      <w:tr w:rsidR="00C70444" w:rsidRPr="008C4A39" w14:paraId="2ED5C079" w14:textId="77777777" w:rsidTr="006B1214">
        <w:tc>
          <w:tcPr>
            <w:tcW w:w="9355" w:type="dxa"/>
            <w:gridSpan w:val="2"/>
          </w:tcPr>
          <w:p w14:paraId="226C4668" w14:textId="77777777" w:rsidR="00C70444" w:rsidRPr="008C4A39" w:rsidRDefault="00C70444" w:rsidP="001136D3">
            <w:pPr>
              <w:spacing w:after="0"/>
              <w:rPr>
                <w:szCs w:val="24"/>
              </w:rPr>
            </w:pPr>
            <w:r w:rsidRPr="008C4A39">
              <w:rPr>
                <w:szCs w:val="24"/>
              </w:rPr>
              <w:t xml:space="preserve">Bidder’s technical reasons supporting compliance:  </w:t>
            </w:r>
          </w:p>
        </w:tc>
      </w:tr>
      <w:tr w:rsidR="00C70444" w:rsidRPr="008C4A39" w14:paraId="64000A3E" w14:textId="77777777" w:rsidTr="006B1214">
        <w:tc>
          <w:tcPr>
            <w:tcW w:w="9355" w:type="dxa"/>
            <w:gridSpan w:val="2"/>
          </w:tcPr>
          <w:p w14:paraId="5945C0BD" w14:textId="77777777" w:rsidR="00C70444" w:rsidRPr="008C4A39" w:rsidRDefault="00C70444" w:rsidP="001136D3">
            <w:pPr>
              <w:spacing w:after="0"/>
              <w:rPr>
                <w:szCs w:val="24"/>
              </w:rPr>
            </w:pPr>
            <w:r w:rsidRPr="008C4A39">
              <w:rPr>
                <w:szCs w:val="24"/>
              </w:rPr>
              <w:t>Bidder’s cross references to supporting information in Technical Bid:</w:t>
            </w:r>
          </w:p>
        </w:tc>
      </w:tr>
      <w:tr w:rsidR="00C70444" w:rsidRPr="008C4A39" w14:paraId="45C93AC0" w14:textId="77777777" w:rsidTr="006B1214">
        <w:tc>
          <w:tcPr>
            <w:tcW w:w="2785" w:type="dxa"/>
          </w:tcPr>
          <w:p w14:paraId="7095E8D4" w14:textId="77777777" w:rsidR="00C70444" w:rsidRPr="008C4A39" w:rsidRDefault="00C70444" w:rsidP="001136D3">
            <w:pPr>
              <w:spacing w:after="0"/>
              <w:rPr>
                <w:szCs w:val="24"/>
              </w:rPr>
            </w:pPr>
            <w:r w:rsidRPr="008C4A39">
              <w:rPr>
                <w:color w:val="000000"/>
                <w:szCs w:val="24"/>
              </w:rPr>
              <w:t>NSW_USE_0002</w:t>
            </w:r>
          </w:p>
        </w:tc>
        <w:tc>
          <w:tcPr>
            <w:tcW w:w="6570" w:type="dxa"/>
          </w:tcPr>
          <w:p w14:paraId="4211F3F8" w14:textId="77777777" w:rsidR="00C70444" w:rsidRPr="008C4A39" w:rsidRDefault="00C70444" w:rsidP="001136D3">
            <w:pPr>
              <w:spacing w:after="0"/>
              <w:rPr>
                <w:szCs w:val="24"/>
              </w:rPr>
            </w:pPr>
            <w:r w:rsidRPr="008C4A39">
              <w:rPr>
                <w:bCs/>
                <w:color w:val="000000"/>
                <w:szCs w:val="24"/>
              </w:rPr>
              <w:t>Textual Data</w:t>
            </w:r>
          </w:p>
        </w:tc>
      </w:tr>
      <w:tr w:rsidR="00C70444" w:rsidRPr="008C4A39" w14:paraId="451A7D25" w14:textId="77777777" w:rsidTr="006B1214">
        <w:tc>
          <w:tcPr>
            <w:tcW w:w="9355" w:type="dxa"/>
            <w:gridSpan w:val="2"/>
          </w:tcPr>
          <w:p w14:paraId="53DFA06E" w14:textId="77777777" w:rsidR="00C70444" w:rsidRPr="008C4A39" w:rsidRDefault="00C70444" w:rsidP="001136D3">
            <w:pPr>
              <w:spacing w:after="0"/>
              <w:rPr>
                <w:szCs w:val="24"/>
              </w:rPr>
            </w:pPr>
            <w:r w:rsidRPr="008C4A39">
              <w:rPr>
                <w:szCs w:val="24"/>
              </w:rPr>
              <w:lastRenderedPageBreak/>
              <w:t xml:space="preserve">Bidder’s technical reasons supporting compliance:  </w:t>
            </w:r>
          </w:p>
        </w:tc>
      </w:tr>
      <w:tr w:rsidR="00C70444" w:rsidRPr="008C4A39" w14:paraId="3C7AED1E" w14:textId="77777777" w:rsidTr="006B1214">
        <w:tc>
          <w:tcPr>
            <w:tcW w:w="9355" w:type="dxa"/>
            <w:gridSpan w:val="2"/>
          </w:tcPr>
          <w:p w14:paraId="243FBE79" w14:textId="77777777" w:rsidR="00C70444" w:rsidRPr="008C4A39" w:rsidRDefault="00C70444" w:rsidP="001136D3">
            <w:pPr>
              <w:spacing w:after="0"/>
              <w:rPr>
                <w:szCs w:val="24"/>
              </w:rPr>
            </w:pPr>
            <w:r w:rsidRPr="008C4A39">
              <w:rPr>
                <w:szCs w:val="24"/>
              </w:rPr>
              <w:t>Bidder’s cross references to supporting information in Technical Bid:</w:t>
            </w:r>
          </w:p>
        </w:tc>
      </w:tr>
      <w:tr w:rsidR="00C70444" w:rsidRPr="008C4A39" w14:paraId="1AD92CA0" w14:textId="77777777" w:rsidTr="006B1214">
        <w:tc>
          <w:tcPr>
            <w:tcW w:w="2785" w:type="dxa"/>
          </w:tcPr>
          <w:p w14:paraId="52E76479" w14:textId="77777777" w:rsidR="00C70444" w:rsidRPr="008C4A39" w:rsidRDefault="00C70444" w:rsidP="001136D3">
            <w:pPr>
              <w:spacing w:after="0"/>
              <w:rPr>
                <w:szCs w:val="24"/>
              </w:rPr>
            </w:pPr>
            <w:r w:rsidRPr="008C4A39">
              <w:rPr>
                <w:color w:val="000000"/>
                <w:szCs w:val="24"/>
              </w:rPr>
              <w:t>NSW_USE_0003</w:t>
            </w:r>
          </w:p>
        </w:tc>
        <w:tc>
          <w:tcPr>
            <w:tcW w:w="6570" w:type="dxa"/>
          </w:tcPr>
          <w:p w14:paraId="1206683A" w14:textId="77777777" w:rsidR="00C70444" w:rsidRPr="008C4A39" w:rsidRDefault="00C70444" w:rsidP="001136D3">
            <w:pPr>
              <w:spacing w:after="0"/>
              <w:rPr>
                <w:szCs w:val="24"/>
              </w:rPr>
            </w:pPr>
            <w:r w:rsidRPr="008C4A39">
              <w:rPr>
                <w:bCs/>
                <w:color w:val="000000"/>
                <w:szCs w:val="24"/>
              </w:rPr>
              <w:t>User Interface Uniformity</w:t>
            </w:r>
          </w:p>
        </w:tc>
      </w:tr>
      <w:tr w:rsidR="00C70444" w:rsidRPr="008C4A39" w14:paraId="26F64CB0" w14:textId="77777777" w:rsidTr="006B1214">
        <w:tc>
          <w:tcPr>
            <w:tcW w:w="9355" w:type="dxa"/>
            <w:gridSpan w:val="2"/>
          </w:tcPr>
          <w:p w14:paraId="1891A868" w14:textId="77777777" w:rsidR="00C70444" w:rsidRPr="008C4A39" w:rsidRDefault="00C70444" w:rsidP="001136D3">
            <w:pPr>
              <w:spacing w:after="0"/>
              <w:rPr>
                <w:szCs w:val="24"/>
              </w:rPr>
            </w:pPr>
            <w:r w:rsidRPr="008C4A39">
              <w:rPr>
                <w:szCs w:val="24"/>
              </w:rPr>
              <w:t xml:space="preserve">Bidder’s technical reasons supporting compliance:  </w:t>
            </w:r>
          </w:p>
        </w:tc>
      </w:tr>
      <w:tr w:rsidR="00C70444" w:rsidRPr="008C4A39" w14:paraId="6AAED85D" w14:textId="77777777" w:rsidTr="006B1214">
        <w:tc>
          <w:tcPr>
            <w:tcW w:w="9355" w:type="dxa"/>
            <w:gridSpan w:val="2"/>
          </w:tcPr>
          <w:p w14:paraId="51E8CA89" w14:textId="77777777" w:rsidR="00C70444" w:rsidRPr="008C4A39" w:rsidRDefault="00C70444" w:rsidP="001136D3">
            <w:pPr>
              <w:spacing w:after="0"/>
              <w:rPr>
                <w:szCs w:val="24"/>
              </w:rPr>
            </w:pPr>
            <w:r w:rsidRPr="008C4A39">
              <w:rPr>
                <w:szCs w:val="24"/>
              </w:rPr>
              <w:t>Bidder’s cross references to supporting information in Technical Bid:</w:t>
            </w:r>
          </w:p>
        </w:tc>
      </w:tr>
      <w:tr w:rsidR="007D7654" w:rsidRPr="008C4A39" w14:paraId="73A3479D" w14:textId="77777777" w:rsidTr="00883B07">
        <w:trPr>
          <w:tblHeader/>
        </w:trPr>
        <w:tc>
          <w:tcPr>
            <w:tcW w:w="2785" w:type="dxa"/>
            <w:shd w:val="clear" w:color="auto" w:fill="D9D9D9"/>
          </w:tcPr>
          <w:p w14:paraId="769C375E"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6204F7CC"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32E8E126" w14:textId="77777777" w:rsidTr="00883B07">
        <w:tc>
          <w:tcPr>
            <w:tcW w:w="9355" w:type="dxa"/>
            <w:gridSpan w:val="2"/>
          </w:tcPr>
          <w:p w14:paraId="59FF5190" w14:textId="77777777" w:rsidR="007D7654" w:rsidRPr="008C4A39" w:rsidRDefault="007D7654" w:rsidP="001136D3">
            <w:pPr>
              <w:spacing w:after="0"/>
              <w:rPr>
                <w:b/>
                <w:szCs w:val="24"/>
              </w:rPr>
            </w:pPr>
            <w:r w:rsidRPr="008C4A39">
              <w:rPr>
                <w:b/>
                <w:szCs w:val="24"/>
              </w:rPr>
              <w:t>2.1 System Analysis, Design and Customization/Development</w:t>
            </w:r>
          </w:p>
        </w:tc>
      </w:tr>
      <w:tr w:rsidR="007D7654" w:rsidRPr="008C4A39" w14:paraId="3CEE0B95" w14:textId="77777777" w:rsidTr="00883B07">
        <w:tc>
          <w:tcPr>
            <w:tcW w:w="2785" w:type="dxa"/>
          </w:tcPr>
          <w:p w14:paraId="2B122E7F" w14:textId="77777777" w:rsidR="007D7654" w:rsidRPr="008C4A39" w:rsidRDefault="007D7654" w:rsidP="001136D3">
            <w:pPr>
              <w:spacing w:after="0"/>
              <w:rPr>
                <w:szCs w:val="24"/>
              </w:rPr>
            </w:pPr>
            <w:r w:rsidRPr="008C4A39">
              <w:rPr>
                <w:szCs w:val="24"/>
              </w:rPr>
              <w:t>2.1.1</w:t>
            </w:r>
          </w:p>
        </w:tc>
        <w:tc>
          <w:tcPr>
            <w:tcW w:w="6570" w:type="dxa"/>
          </w:tcPr>
          <w:p w14:paraId="738E80BF" w14:textId="77777777" w:rsidR="007D7654" w:rsidRPr="008C4A39" w:rsidRDefault="007D7654" w:rsidP="001136D3">
            <w:pPr>
              <w:spacing w:after="0"/>
              <w:rPr>
                <w:szCs w:val="24"/>
              </w:rPr>
            </w:pPr>
            <w:r w:rsidRPr="008C4A39">
              <w:rPr>
                <w:szCs w:val="24"/>
              </w:rPr>
              <w:t>The Supplier MUST perform the following Analysis and Design activities using a formal system analysis/development methodology with the following key activities and design deliverables</w:t>
            </w:r>
          </w:p>
        </w:tc>
      </w:tr>
      <w:tr w:rsidR="007D7654" w:rsidRPr="008C4A39" w14:paraId="7B56649F" w14:textId="77777777" w:rsidTr="00883B07">
        <w:tc>
          <w:tcPr>
            <w:tcW w:w="9355" w:type="dxa"/>
            <w:gridSpan w:val="2"/>
          </w:tcPr>
          <w:p w14:paraId="133F380F"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A113A88" w14:textId="77777777" w:rsidTr="00883B07">
        <w:tc>
          <w:tcPr>
            <w:tcW w:w="9355" w:type="dxa"/>
            <w:gridSpan w:val="2"/>
          </w:tcPr>
          <w:p w14:paraId="3C5F2B69"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9AB539B" w14:textId="77777777" w:rsidTr="00883B07">
        <w:tc>
          <w:tcPr>
            <w:tcW w:w="2785" w:type="dxa"/>
          </w:tcPr>
          <w:p w14:paraId="71FF2FA5" w14:textId="77777777" w:rsidR="007D7654" w:rsidRPr="008C4A39" w:rsidRDefault="007D7654" w:rsidP="001136D3">
            <w:pPr>
              <w:spacing w:after="0"/>
              <w:rPr>
                <w:szCs w:val="24"/>
              </w:rPr>
            </w:pPr>
            <w:r w:rsidRPr="008C4A39">
              <w:rPr>
                <w:szCs w:val="24"/>
              </w:rPr>
              <w:t>2.1.2</w:t>
            </w:r>
          </w:p>
        </w:tc>
        <w:tc>
          <w:tcPr>
            <w:tcW w:w="6570" w:type="dxa"/>
          </w:tcPr>
          <w:p w14:paraId="65D3CEA4" w14:textId="77777777" w:rsidR="007D7654" w:rsidRPr="008C4A39" w:rsidRDefault="007D7654" w:rsidP="001136D3">
            <w:pPr>
              <w:spacing w:after="0"/>
              <w:rPr>
                <w:szCs w:val="24"/>
              </w:rPr>
            </w:pPr>
            <w:r w:rsidRPr="008C4A39">
              <w:rPr>
                <w:bCs/>
                <w:szCs w:val="24"/>
              </w:rPr>
              <w:t>The Supplier must review requirements and develop detailed technical specifications</w:t>
            </w:r>
          </w:p>
        </w:tc>
      </w:tr>
      <w:tr w:rsidR="007D7654" w:rsidRPr="008C4A39" w14:paraId="4D50D345" w14:textId="77777777" w:rsidTr="00883B07">
        <w:tc>
          <w:tcPr>
            <w:tcW w:w="9355" w:type="dxa"/>
            <w:gridSpan w:val="2"/>
          </w:tcPr>
          <w:p w14:paraId="0CB3159D"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FDC1DC2" w14:textId="77777777" w:rsidTr="00883B07">
        <w:tc>
          <w:tcPr>
            <w:tcW w:w="9355" w:type="dxa"/>
            <w:gridSpan w:val="2"/>
          </w:tcPr>
          <w:p w14:paraId="30C5D07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C84A193" w14:textId="77777777" w:rsidTr="00883B07">
        <w:tc>
          <w:tcPr>
            <w:tcW w:w="2785" w:type="dxa"/>
          </w:tcPr>
          <w:p w14:paraId="2A6E66DB" w14:textId="77777777" w:rsidR="007D7654" w:rsidRPr="008C4A39" w:rsidRDefault="007D7654" w:rsidP="001136D3">
            <w:pPr>
              <w:spacing w:after="0"/>
              <w:rPr>
                <w:szCs w:val="24"/>
              </w:rPr>
            </w:pPr>
            <w:r w:rsidRPr="008C4A39">
              <w:rPr>
                <w:szCs w:val="24"/>
              </w:rPr>
              <w:t>2.1.3</w:t>
            </w:r>
          </w:p>
        </w:tc>
        <w:tc>
          <w:tcPr>
            <w:tcW w:w="6570" w:type="dxa"/>
          </w:tcPr>
          <w:p w14:paraId="686CAF0E" w14:textId="77777777" w:rsidR="007D7654" w:rsidRPr="008C4A39" w:rsidRDefault="007D7654" w:rsidP="001136D3">
            <w:pPr>
              <w:spacing w:after="0"/>
              <w:rPr>
                <w:szCs w:val="24"/>
              </w:rPr>
            </w:pPr>
            <w:r w:rsidRPr="008C4A39">
              <w:rPr>
                <w:bCs/>
                <w:szCs w:val="24"/>
              </w:rPr>
              <w:t xml:space="preserve">The Supplier must define the practical High Level Architecture design of NSW based on the proposed </w:t>
            </w:r>
            <w:proofErr w:type="gramStart"/>
            <w:r w:rsidRPr="008C4A39">
              <w:rPr>
                <w:bCs/>
                <w:szCs w:val="24"/>
              </w:rPr>
              <w:t>High Level</w:t>
            </w:r>
            <w:proofErr w:type="gramEnd"/>
            <w:r w:rsidRPr="008C4A39">
              <w:rPr>
                <w:bCs/>
                <w:szCs w:val="24"/>
              </w:rPr>
              <w:t xml:space="preserve"> Architecture in this document</w:t>
            </w:r>
          </w:p>
        </w:tc>
      </w:tr>
      <w:tr w:rsidR="007D7654" w:rsidRPr="008C4A39" w14:paraId="21134E9D" w14:textId="77777777" w:rsidTr="00883B07">
        <w:tc>
          <w:tcPr>
            <w:tcW w:w="9355" w:type="dxa"/>
            <w:gridSpan w:val="2"/>
          </w:tcPr>
          <w:p w14:paraId="7737570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44642F16" w14:textId="77777777" w:rsidTr="00883B07">
        <w:tc>
          <w:tcPr>
            <w:tcW w:w="9355" w:type="dxa"/>
            <w:gridSpan w:val="2"/>
          </w:tcPr>
          <w:p w14:paraId="7CBB9C32"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D0A0FFD" w14:textId="77777777" w:rsidTr="00883B07">
        <w:tc>
          <w:tcPr>
            <w:tcW w:w="2785" w:type="dxa"/>
          </w:tcPr>
          <w:p w14:paraId="526F41D2" w14:textId="77777777" w:rsidR="007D7654" w:rsidRPr="008C4A39" w:rsidRDefault="007D7654" w:rsidP="001136D3">
            <w:pPr>
              <w:spacing w:after="0"/>
              <w:rPr>
                <w:szCs w:val="24"/>
              </w:rPr>
            </w:pPr>
            <w:r w:rsidRPr="008C4A39">
              <w:rPr>
                <w:szCs w:val="24"/>
              </w:rPr>
              <w:t>2.1.4</w:t>
            </w:r>
          </w:p>
        </w:tc>
        <w:tc>
          <w:tcPr>
            <w:tcW w:w="6570" w:type="dxa"/>
          </w:tcPr>
          <w:p w14:paraId="113D0589" w14:textId="77777777" w:rsidR="007D7654" w:rsidRPr="008C4A39" w:rsidRDefault="007D7654" w:rsidP="001136D3">
            <w:pPr>
              <w:spacing w:after="0"/>
              <w:rPr>
                <w:szCs w:val="24"/>
              </w:rPr>
            </w:pPr>
            <w:r w:rsidRPr="008C4A39">
              <w:rPr>
                <w:bCs/>
                <w:szCs w:val="24"/>
              </w:rPr>
              <w:t>The Supplier must prepare the testing documentation (TEST Strategy, FAT design, Implementation of Regression Testing and Release Management)</w:t>
            </w:r>
          </w:p>
        </w:tc>
      </w:tr>
      <w:tr w:rsidR="007D7654" w:rsidRPr="008C4A39" w14:paraId="45845BDF" w14:textId="77777777" w:rsidTr="00883B07">
        <w:tc>
          <w:tcPr>
            <w:tcW w:w="9355" w:type="dxa"/>
            <w:gridSpan w:val="2"/>
          </w:tcPr>
          <w:p w14:paraId="36145818"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0B3FB796" w14:textId="77777777" w:rsidTr="00883B07">
        <w:tc>
          <w:tcPr>
            <w:tcW w:w="9355" w:type="dxa"/>
            <w:gridSpan w:val="2"/>
          </w:tcPr>
          <w:p w14:paraId="01C55AF9"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88C820D" w14:textId="77777777" w:rsidTr="00883B07">
        <w:tc>
          <w:tcPr>
            <w:tcW w:w="2785" w:type="dxa"/>
          </w:tcPr>
          <w:p w14:paraId="2672A0A8" w14:textId="77777777" w:rsidR="007D7654" w:rsidRPr="008C4A39" w:rsidRDefault="007D7654" w:rsidP="001136D3">
            <w:pPr>
              <w:spacing w:after="0"/>
              <w:rPr>
                <w:szCs w:val="24"/>
              </w:rPr>
            </w:pPr>
            <w:r w:rsidRPr="008C4A39">
              <w:rPr>
                <w:szCs w:val="24"/>
              </w:rPr>
              <w:t>2.1.5</w:t>
            </w:r>
          </w:p>
        </w:tc>
        <w:tc>
          <w:tcPr>
            <w:tcW w:w="6570" w:type="dxa"/>
          </w:tcPr>
          <w:p w14:paraId="168A091E" w14:textId="77777777" w:rsidR="007D7654" w:rsidRPr="008C4A39" w:rsidRDefault="007D7654" w:rsidP="001136D3">
            <w:pPr>
              <w:spacing w:after="0"/>
              <w:rPr>
                <w:szCs w:val="24"/>
              </w:rPr>
            </w:pPr>
            <w:r w:rsidRPr="008C4A39">
              <w:rPr>
                <w:bCs/>
                <w:szCs w:val="24"/>
              </w:rPr>
              <w:t>Three (3) Groups Processing Models</w:t>
            </w:r>
          </w:p>
        </w:tc>
      </w:tr>
      <w:tr w:rsidR="007D7654" w:rsidRPr="008C4A39" w14:paraId="531218B4" w14:textId="77777777" w:rsidTr="00883B07">
        <w:tc>
          <w:tcPr>
            <w:tcW w:w="9355" w:type="dxa"/>
            <w:gridSpan w:val="2"/>
          </w:tcPr>
          <w:p w14:paraId="51660D1E"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62B47B19" w14:textId="77777777" w:rsidTr="00883B07">
        <w:tc>
          <w:tcPr>
            <w:tcW w:w="9355" w:type="dxa"/>
            <w:gridSpan w:val="2"/>
          </w:tcPr>
          <w:p w14:paraId="784AA54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ABEA319" w14:textId="77777777" w:rsidTr="00883B07">
        <w:trPr>
          <w:tblHeader/>
        </w:trPr>
        <w:tc>
          <w:tcPr>
            <w:tcW w:w="2785" w:type="dxa"/>
            <w:shd w:val="clear" w:color="auto" w:fill="D9D9D9"/>
          </w:tcPr>
          <w:p w14:paraId="4DB19150"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302085ED"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124DBC97" w14:textId="77777777" w:rsidTr="00883B07">
        <w:tc>
          <w:tcPr>
            <w:tcW w:w="9355" w:type="dxa"/>
            <w:gridSpan w:val="2"/>
          </w:tcPr>
          <w:p w14:paraId="2E83D34B" w14:textId="77777777" w:rsidR="007D7654" w:rsidRPr="008C4A39" w:rsidRDefault="007D7654" w:rsidP="001136D3">
            <w:pPr>
              <w:spacing w:after="0"/>
              <w:rPr>
                <w:b/>
                <w:szCs w:val="24"/>
              </w:rPr>
            </w:pPr>
            <w:r w:rsidRPr="008C4A39">
              <w:rPr>
                <w:b/>
                <w:szCs w:val="24"/>
              </w:rPr>
              <w:t>2.2 Software Customization / Development</w:t>
            </w:r>
          </w:p>
        </w:tc>
      </w:tr>
      <w:tr w:rsidR="007D7654" w:rsidRPr="008C4A39" w14:paraId="32768548" w14:textId="77777777" w:rsidTr="00883B07">
        <w:tc>
          <w:tcPr>
            <w:tcW w:w="2785" w:type="dxa"/>
          </w:tcPr>
          <w:p w14:paraId="4B48A640" w14:textId="77777777" w:rsidR="007D7654" w:rsidRPr="008C4A39" w:rsidRDefault="007D7654" w:rsidP="001136D3">
            <w:pPr>
              <w:spacing w:after="0"/>
              <w:rPr>
                <w:szCs w:val="24"/>
              </w:rPr>
            </w:pPr>
            <w:r w:rsidRPr="008C4A39">
              <w:rPr>
                <w:szCs w:val="24"/>
              </w:rPr>
              <w:t>2.2.1</w:t>
            </w:r>
          </w:p>
        </w:tc>
        <w:tc>
          <w:tcPr>
            <w:tcW w:w="6570" w:type="dxa"/>
          </w:tcPr>
          <w:p w14:paraId="3D1EC456" w14:textId="77777777" w:rsidR="007D7654" w:rsidRPr="008C4A39" w:rsidRDefault="007D7654" w:rsidP="001136D3">
            <w:pPr>
              <w:spacing w:after="0"/>
              <w:rPr>
                <w:bCs/>
                <w:iCs/>
                <w:szCs w:val="24"/>
              </w:rPr>
            </w:pPr>
            <w:r w:rsidRPr="008C4A39">
              <w:rPr>
                <w:bCs/>
                <w:iCs/>
                <w:szCs w:val="24"/>
              </w:rPr>
              <w:t>Software Development Methodology</w:t>
            </w:r>
          </w:p>
          <w:p w14:paraId="605EDDF9" w14:textId="77777777" w:rsidR="007D7654" w:rsidRPr="008C4A39" w:rsidRDefault="007D7654" w:rsidP="001136D3">
            <w:pPr>
              <w:spacing w:after="0"/>
              <w:rPr>
                <w:szCs w:val="24"/>
              </w:rPr>
            </w:pPr>
          </w:p>
        </w:tc>
      </w:tr>
      <w:tr w:rsidR="007D7654" w:rsidRPr="008C4A39" w14:paraId="4BAB754E" w14:textId="77777777" w:rsidTr="00883B07">
        <w:tc>
          <w:tcPr>
            <w:tcW w:w="9355" w:type="dxa"/>
            <w:gridSpan w:val="2"/>
          </w:tcPr>
          <w:p w14:paraId="07E3DD3F"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61B5EC4D" w14:textId="77777777" w:rsidTr="00883B07">
        <w:tc>
          <w:tcPr>
            <w:tcW w:w="9355" w:type="dxa"/>
            <w:gridSpan w:val="2"/>
          </w:tcPr>
          <w:p w14:paraId="0BC00CC1"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BEE3430" w14:textId="77777777" w:rsidTr="00883B07">
        <w:tc>
          <w:tcPr>
            <w:tcW w:w="2785" w:type="dxa"/>
          </w:tcPr>
          <w:p w14:paraId="1B373BEA" w14:textId="77777777" w:rsidR="007D7654" w:rsidRPr="008C4A39" w:rsidRDefault="007D7654" w:rsidP="001136D3">
            <w:pPr>
              <w:spacing w:after="0"/>
              <w:rPr>
                <w:szCs w:val="24"/>
              </w:rPr>
            </w:pPr>
            <w:r w:rsidRPr="008C4A39">
              <w:rPr>
                <w:szCs w:val="24"/>
              </w:rPr>
              <w:t>2.2.2</w:t>
            </w:r>
          </w:p>
        </w:tc>
        <w:tc>
          <w:tcPr>
            <w:tcW w:w="6570" w:type="dxa"/>
          </w:tcPr>
          <w:p w14:paraId="31022FBD" w14:textId="77777777" w:rsidR="007D7654" w:rsidRPr="008C4A39" w:rsidRDefault="007D7654" w:rsidP="001136D3">
            <w:pPr>
              <w:spacing w:after="0"/>
              <w:rPr>
                <w:szCs w:val="24"/>
              </w:rPr>
            </w:pPr>
            <w:r w:rsidRPr="008C4A39">
              <w:rPr>
                <w:bCs/>
                <w:szCs w:val="24"/>
              </w:rPr>
              <w:t>The Supplier must design and implement of NSW components and processes</w:t>
            </w:r>
          </w:p>
        </w:tc>
      </w:tr>
      <w:tr w:rsidR="007D7654" w:rsidRPr="008C4A39" w14:paraId="1DBD72E3" w14:textId="77777777" w:rsidTr="00883B07">
        <w:tc>
          <w:tcPr>
            <w:tcW w:w="9355" w:type="dxa"/>
            <w:gridSpan w:val="2"/>
          </w:tcPr>
          <w:p w14:paraId="3C54D6B3"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0839D7B" w14:textId="77777777" w:rsidTr="00883B07">
        <w:tc>
          <w:tcPr>
            <w:tcW w:w="9355" w:type="dxa"/>
            <w:gridSpan w:val="2"/>
          </w:tcPr>
          <w:p w14:paraId="07ED2A7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3D4E384" w14:textId="77777777" w:rsidTr="00883B07">
        <w:tc>
          <w:tcPr>
            <w:tcW w:w="2785" w:type="dxa"/>
          </w:tcPr>
          <w:p w14:paraId="443D47A2" w14:textId="77777777" w:rsidR="007D7654" w:rsidRPr="008C4A39" w:rsidRDefault="007D7654" w:rsidP="001136D3">
            <w:pPr>
              <w:spacing w:after="0"/>
              <w:rPr>
                <w:szCs w:val="24"/>
              </w:rPr>
            </w:pPr>
            <w:r w:rsidRPr="008C4A39">
              <w:rPr>
                <w:szCs w:val="24"/>
              </w:rPr>
              <w:t>2.2.3</w:t>
            </w:r>
          </w:p>
        </w:tc>
        <w:tc>
          <w:tcPr>
            <w:tcW w:w="6570" w:type="dxa"/>
          </w:tcPr>
          <w:p w14:paraId="7DF1E46B" w14:textId="77777777" w:rsidR="007D7654" w:rsidRPr="008C4A39" w:rsidRDefault="007D7654" w:rsidP="001136D3">
            <w:pPr>
              <w:spacing w:after="0"/>
              <w:rPr>
                <w:szCs w:val="24"/>
              </w:rPr>
            </w:pPr>
            <w:r w:rsidRPr="008C4A39">
              <w:rPr>
                <w:szCs w:val="24"/>
              </w:rPr>
              <w:t>The Supplier must design and develop Business Monitoring and Reporting</w:t>
            </w:r>
          </w:p>
        </w:tc>
      </w:tr>
      <w:tr w:rsidR="007D7654" w:rsidRPr="008C4A39" w14:paraId="1B049A43" w14:textId="77777777" w:rsidTr="00883B07">
        <w:tc>
          <w:tcPr>
            <w:tcW w:w="9355" w:type="dxa"/>
            <w:gridSpan w:val="2"/>
          </w:tcPr>
          <w:p w14:paraId="5929288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7441A25" w14:textId="77777777" w:rsidTr="00883B07">
        <w:tc>
          <w:tcPr>
            <w:tcW w:w="9355" w:type="dxa"/>
            <w:gridSpan w:val="2"/>
          </w:tcPr>
          <w:p w14:paraId="1A9EC04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1780481" w14:textId="77777777" w:rsidTr="00883B07">
        <w:tc>
          <w:tcPr>
            <w:tcW w:w="2785" w:type="dxa"/>
          </w:tcPr>
          <w:p w14:paraId="6AABE4EA" w14:textId="77777777" w:rsidR="007D7654" w:rsidRPr="008C4A39" w:rsidRDefault="007D7654" w:rsidP="001136D3">
            <w:pPr>
              <w:spacing w:after="0"/>
              <w:rPr>
                <w:szCs w:val="24"/>
              </w:rPr>
            </w:pPr>
            <w:r w:rsidRPr="008C4A39">
              <w:rPr>
                <w:szCs w:val="24"/>
              </w:rPr>
              <w:lastRenderedPageBreak/>
              <w:t>2.2.4</w:t>
            </w:r>
          </w:p>
        </w:tc>
        <w:tc>
          <w:tcPr>
            <w:tcW w:w="6570" w:type="dxa"/>
          </w:tcPr>
          <w:p w14:paraId="5F79DF4A" w14:textId="77777777" w:rsidR="007D7654" w:rsidRPr="008C4A39" w:rsidRDefault="007D7654" w:rsidP="001136D3">
            <w:pPr>
              <w:spacing w:after="0"/>
              <w:rPr>
                <w:szCs w:val="24"/>
              </w:rPr>
            </w:pPr>
            <w:r w:rsidRPr="008C4A39">
              <w:rPr>
                <w:szCs w:val="24"/>
              </w:rPr>
              <w:t>The Supplier must design and develop Service Monitoring and Reporting</w:t>
            </w:r>
          </w:p>
        </w:tc>
      </w:tr>
      <w:tr w:rsidR="007D7654" w:rsidRPr="008C4A39" w14:paraId="5D9625A3" w14:textId="77777777" w:rsidTr="00883B07">
        <w:tc>
          <w:tcPr>
            <w:tcW w:w="9355" w:type="dxa"/>
            <w:gridSpan w:val="2"/>
          </w:tcPr>
          <w:p w14:paraId="5451B4E9"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6EAE2A63" w14:textId="77777777" w:rsidTr="00883B07">
        <w:tc>
          <w:tcPr>
            <w:tcW w:w="9355" w:type="dxa"/>
            <w:gridSpan w:val="2"/>
          </w:tcPr>
          <w:p w14:paraId="642EB3A2"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83A511A" w14:textId="77777777" w:rsidTr="00883B07">
        <w:tc>
          <w:tcPr>
            <w:tcW w:w="2785" w:type="dxa"/>
          </w:tcPr>
          <w:p w14:paraId="2A9CFE52" w14:textId="77777777" w:rsidR="007D7654" w:rsidRPr="008C4A39" w:rsidRDefault="007D7654" w:rsidP="001136D3">
            <w:pPr>
              <w:spacing w:after="0"/>
              <w:rPr>
                <w:szCs w:val="24"/>
              </w:rPr>
            </w:pPr>
            <w:r w:rsidRPr="008C4A39">
              <w:rPr>
                <w:szCs w:val="24"/>
              </w:rPr>
              <w:t>2.2.5</w:t>
            </w:r>
          </w:p>
        </w:tc>
        <w:tc>
          <w:tcPr>
            <w:tcW w:w="6570" w:type="dxa"/>
          </w:tcPr>
          <w:p w14:paraId="63D5480F" w14:textId="77777777" w:rsidR="007D7654" w:rsidRPr="008C4A39" w:rsidRDefault="007D7654" w:rsidP="001136D3">
            <w:pPr>
              <w:spacing w:after="0"/>
              <w:rPr>
                <w:szCs w:val="24"/>
              </w:rPr>
            </w:pPr>
            <w:r w:rsidRPr="008C4A39">
              <w:rPr>
                <w:szCs w:val="24"/>
              </w:rPr>
              <w:t>The Supplier must design and develop System Monitoring and Reporting</w:t>
            </w:r>
          </w:p>
        </w:tc>
      </w:tr>
      <w:tr w:rsidR="007D7654" w:rsidRPr="008C4A39" w14:paraId="5A04B8E7" w14:textId="77777777" w:rsidTr="00883B07">
        <w:tc>
          <w:tcPr>
            <w:tcW w:w="9355" w:type="dxa"/>
            <w:gridSpan w:val="2"/>
          </w:tcPr>
          <w:p w14:paraId="40460A44"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CF9E4F7" w14:textId="77777777" w:rsidTr="00883B07">
        <w:tc>
          <w:tcPr>
            <w:tcW w:w="9355" w:type="dxa"/>
            <w:gridSpan w:val="2"/>
          </w:tcPr>
          <w:p w14:paraId="02366CD5"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13B5D8C" w14:textId="77777777" w:rsidTr="00883B07">
        <w:tc>
          <w:tcPr>
            <w:tcW w:w="2785" w:type="dxa"/>
          </w:tcPr>
          <w:p w14:paraId="19D1E3C7" w14:textId="77777777" w:rsidR="007D7654" w:rsidRPr="008C4A39" w:rsidRDefault="007D7654" w:rsidP="001136D3">
            <w:pPr>
              <w:spacing w:after="0"/>
              <w:rPr>
                <w:szCs w:val="24"/>
              </w:rPr>
            </w:pPr>
            <w:r w:rsidRPr="008C4A39">
              <w:rPr>
                <w:szCs w:val="24"/>
              </w:rPr>
              <w:t>2.2.6</w:t>
            </w:r>
          </w:p>
        </w:tc>
        <w:tc>
          <w:tcPr>
            <w:tcW w:w="6570" w:type="dxa"/>
          </w:tcPr>
          <w:p w14:paraId="241C0011" w14:textId="77777777" w:rsidR="007D7654" w:rsidRPr="008C4A39" w:rsidRDefault="007D7654" w:rsidP="001136D3">
            <w:pPr>
              <w:spacing w:after="0"/>
              <w:rPr>
                <w:szCs w:val="24"/>
              </w:rPr>
            </w:pPr>
            <w:r w:rsidRPr="008C4A39">
              <w:rPr>
                <w:szCs w:val="24"/>
              </w:rPr>
              <w:t>The Supplier must design and develop Alerting systems</w:t>
            </w:r>
          </w:p>
        </w:tc>
      </w:tr>
      <w:tr w:rsidR="007D7654" w:rsidRPr="008C4A39" w14:paraId="0BAFDC5F" w14:textId="77777777" w:rsidTr="00883B07">
        <w:tc>
          <w:tcPr>
            <w:tcW w:w="9355" w:type="dxa"/>
            <w:gridSpan w:val="2"/>
          </w:tcPr>
          <w:p w14:paraId="3D80A7BD"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D5F2345" w14:textId="77777777" w:rsidTr="00883B07">
        <w:tc>
          <w:tcPr>
            <w:tcW w:w="9355" w:type="dxa"/>
            <w:gridSpan w:val="2"/>
          </w:tcPr>
          <w:p w14:paraId="74A5F2C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8EC4735" w14:textId="77777777" w:rsidTr="00883B07">
        <w:tc>
          <w:tcPr>
            <w:tcW w:w="2785" w:type="dxa"/>
          </w:tcPr>
          <w:p w14:paraId="65D8CE6E" w14:textId="77777777" w:rsidR="007D7654" w:rsidRPr="008C4A39" w:rsidRDefault="007D7654" w:rsidP="001136D3">
            <w:pPr>
              <w:spacing w:after="0"/>
              <w:rPr>
                <w:szCs w:val="24"/>
              </w:rPr>
            </w:pPr>
            <w:r w:rsidRPr="008C4A39">
              <w:rPr>
                <w:szCs w:val="24"/>
              </w:rPr>
              <w:t>2.2.7</w:t>
            </w:r>
          </w:p>
        </w:tc>
        <w:tc>
          <w:tcPr>
            <w:tcW w:w="6570" w:type="dxa"/>
          </w:tcPr>
          <w:p w14:paraId="49742CEC" w14:textId="77777777" w:rsidR="007D7654" w:rsidRPr="008C4A39" w:rsidRDefault="007D7654" w:rsidP="001136D3">
            <w:pPr>
              <w:spacing w:after="0"/>
              <w:rPr>
                <w:szCs w:val="24"/>
              </w:rPr>
            </w:pPr>
            <w:r w:rsidRPr="008C4A39">
              <w:rPr>
                <w:szCs w:val="24"/>
              </w:rPr>
              <w:t>The Supplier must develop the export of the dashboards and reports in PDF and/or CSV formats</w:t>
            </w:r>
          </w:p>
        </w:tc>
      </w:tr>
      <w:tr w:rsidR="007D7654" w:rsidRPr="008C4A39" w14:paraId="6F19F1A5" w14:textId="77777777" w:rsidTr="00883B07">
        <w:tc>
          <w:tcPr>
            <w:tcW w:w="9355" w:type="dxa"/>
            <w:gridSpan w:val="2"/>
          </w:tcPr>
          <w:p w14:paraId="6B747E30"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E69D955" w14:textId="77777777" w:rsidTr="00883B07">
        <w:tc>
          <w:tcPr>
            <w:tcW w:w="9355" w:type="dxa"/>
            <w:gridSpan w:val="2"/>
          </w:tcPr>
          <w:p w14:paraId="51582AA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57C29E8E" w14:textId="77777777" w:rsidTr="00883B07">
        <w:trPr>
          <w:tblHeader/>
        </w:trPr>
        <w:tc>
          <w:tcPr>
            <w:tcW w:w="2785" w:type="dxa"/>
            <w:shd w:val="clear" w:color="auto" w:fill="D9D9D9"/>
          </w:tcPr>
          <w:p w14:paraId="03D35468"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5D59C40A"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010544F4" w14:textId="77777777" w:rsidTr="00883B07">
        <w:tc>
          <w:tcPr>
            <w:tcW w:w="9355" w:type="dxa"/>
            <w:gridSpan w:val="2"/>
          </w:tcPr>
          <w:p w14:paraId="60498F24" w14:textId="77777777" w:rsidR="007D7654" w:rsidRPr="008C4A39" w:rsidRDefault="007D7654" w:rsidP="001136D3">
            <w:pPr>
              <w:spacing w:after="0"/>
              <w:rPr>
                <w:b/>
                <w:szCs w:val="24"/>
              </w:rPr>
            </w:pPr>
            <w:r w:rsidRPr="008C4A39">
              <w:rPr>
                <w:b/>
                <w:szCs w:val="24"/>
              </w:rPr>
              <w:t>2.3 System Integration (to other existing systems)</w:t>
            </w:r>
          </w:p>
        </w:tc>
      </w:tr>
      <w:tr w:rsidR="007D7654" w:rsidRPr="008C4A39" w14:paraId="58AF6C28" w14:textId="77777777" w:rsidTr="00883B07">
        <w:tc>
          <w:tcPr>
            <w:tcW w:w="2785" w:type="dxa"/>
          </w:tcPr>
          <w:p w14:paraId="4232F532" w14:textId="77777777" w:rsidR="007D7654" w:rsidRPr="008C4A39" w:rsidRDefault="007D7654" w:rsidP="001136D3">
            <w:pPr>
              <w:spacing w:after="0"/>
              <w:rPr>
                <w:szCs w:val="24"/>
              </w:rPr>
            </w:pPr>
            <w:r w:rsidRPr="008C4A39">
              <w:rPr>
                <w:szCs w:val="24"/>
              </w:rPr>
              <w:t>2.3.1</w:t>
            </w:r>
          </w:p>
        </w:tc>
        <w:tc>
          <w:tcPr>
            <w:tcW w:w="6570" w:type="dxa"/>
          </w:tcPr>
          <w:p w14:paraId="37F54D9E" w14:textId="77777777" w:rsidR="007D7654" w:rsidRPr="008C4A39" w:rsidRDefault="007D7654" w:rsidP="001136D3">
            <w:pPr>
              <w:spacing w:after="0"/>
              <w:rPr>
                <w:szCs w:val="24"/>
              </w:rPr>
            </w:pPr>
            <w:r w:rsidRPr="008C4A39">
              <w:rPr>
                <w:szCs w:val="24"/>
              </w:rPr>
              <w:t xml:space="preserve">The Supplier MUST perform the following Integration Services </w:t>
            </w:r>
          </w:p>
        </w:tc>
      </w:tr>
      <w:tr w:rsidR="007D7654" w:rsidRPr="008C4A39" w14:paraId="76196B11" w14:textId="77777777" w:rsidTr="00883B07">
        <w:tc>
          <w:tcPr>
            <w:tcW w:w="9355" w:type="dxa"/>
            <w:gridSpan w:val="2"/>
          </w:tcPr>
          <w:p w14:paraId="5CD5187D"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1F3149C" w14:textId="77777777" w:rsidTr="00883B07">
        <w:tc>
          <w:tcPr>
            <w:tcW w:w="9355" w:type="dxa"/>
            <w:gridSpan w:val="2"/>
          </w:tcPr>
          <w:p w14:paraId="482D6E7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6CC8BB1" w14:textId="77777777" w:rsidTr="00883B07">
        <w:trPr>
          <w:tblHeader/>
        </w:trPr>
        <w:tc>
          <w:tcPr>
            <w:tcW w:w="2785" w:type="dxa"/>
            <w:shd w:val="clear" w:color="auto" w:fill="D9D9D9"/>
          </w:tcPr>
          <w:p w14:paraId="2930A181"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49B09838"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689FC165" w14:textId="77777777" w:rsidTr="00883B07">
        <w:tc>
          <w:tcPr>
            <w:tcW w:w="9355" w:type="dxa"/>
            <w:gridSpan w:val="2"/>
          </w:tcPr>
          <w:p w14:paraId="4017B5A1" w14:textId="77777777" w:rsidR="007D7654" w:rsidRPr="008C4A39" w:rsidRDefault="007D7654" w:rsidP="001136D3">
            <w:pPr>
              <w:spacing w:after="0"/>
              <w:rPr>
                <w:b/>
                <w:szCs w:val="24"/>
              </w:rPr>
            </w:pPr>
            <w:r w:rsidRPr="008C4A39">
              <w:rPr>
                <w:b/>
                <w:szCs w:val="24"/>
              </w:rPr>
              <w:t>2.4 Training and Training Materials</w:t>
            </w:r>
          </w:p>
        </w:tc>
      </w:tr>
      <w:tr w:rsidR="007D7654" w:rsidRPr="008C4A39" w14:paraId="0D06E4AB" w14:textId="77777777" w:rsidTr="00883B07">
        <w:tc>
          <w:tcPr>
            <w:tcW w:w="2785" w:type="dxa"/>
          </w:tcPr>
          <w:p w14:paraId="53CB2CB6" w14:textId="77777777" w:rsidR="007D7654" w:rsidRPr="008C4A39" w:rsidRDefault="007D7654" w:rsidP="001136D3">
            <w:pPr>
              <w:spacing w:after="0"/>
              <w:rPr>
                <w:szCs w:val="24"/>
              </w:rPr>
            </w:pPr>
            <w:r w:rsidRPr="008C4A39">
              <w:rPr>
                <w:szCs w:val="24"/>
              </w:rPr>
              <w:t>2.4.1</w:t>
            </w:r>
          </w:p>
        </w:tc>
        <w:tc>
          <w:tcPr>
            <w:tcW w:w="6570" w:type="dxa"/>
          </w:tcPr>
          <w:p w14:paraId="347F26F9" w14:textId="77777777" w:rsidR="007D7654" w:rsidRPr="008C4A39" w:rsidRDefault="007D7654" w:rsidP="001136D3">
            <w:pPr>
              <w:spacing w:after="0"/>
              <w:rPr>
                <w:szCs w:val="24"/>
              </w:rPr>
            </w:pPr>
            <w:r w:rsidRPr="008C4A39">
              <w:rPr>
                <w:bCs/>
                <w:iCs/>
                <w:szCs w:val="24"/>
              </w:rPr>
              <w:t>The Supplier MUST provide the following Training Services and Materials for the training that will be delivered to beneficiary agency (training program, materials for trainers, scenarios for exercises, evaluation sheets, data base of questions for knowledge tests, etc.). Trainings should include two levels of evaluations, reflection of the participants regarding training (Level 1) and knowledge tests after completing training (Level 2).</w:t>
            </w:r>
          </w:p>
        </w:tc>
      </w:tr>
      <w:tr w:rsidR="007D7654" w:rsidRPr="008C4A39" w14:paraId="16413D32" w14:textId="77777777" w:rsidTr="00883B07">
        <w:tc>
          <w:tcPr>
            <w:tcW w:w="9355" w:type="dxa"/>
            <w:gridSpan w:val="2"/>
          </w:tcPr>
          <w:p w14:paraId="5C7F2F2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7CF2E12" w14:textId="77777777" w:rsidTr="00883B07">
        <w:tc>
          <w:tcPr>
            <w:tcW w:w="9355" w:type="dxa"/>
            <w:gridSpan w:val="2"/>
          </w:tcPr>
          <w:p w14:paraId="5FD55FF5"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21705CB" w14:textId="77777777" w:rsidTr="00883B07">
        <w:tc>
          <w:tcPr>
            <w:tcW w:w="2785" w:type="dxa"/>
          </w:tcPr>
          <w:p w14:paraId="022729E1" w14:textId="77777777" w:rsidR="007D7654" w:rsidRPr="008C4A39" w:rsidRDefault="007D7654" w:rsidP="001136D3">
            <w:pPr>
              <w:spacing w:after="0"/>
              <w:rPr>
                <w:szCs w:val="24"/>
              </w:rPr>
            </w:pPr>
            <w:r w:rsidRPr="008C4A39">
              <w:rPr>
                <w:szCs w:val="24"/>
              </w:rPr>
              <w:t>2.4.1.1</w:t>
            </w:r>
          </w:p>
        </w:tc>
        <w:tc>
          <w:tcPr>
            <w:tcW w:w="6570" w:type="dxa"/>
          </w:tcPr>
          <w:p w14:paraId="337E5F33" w14:textId="77777777" w:rsidR="007D7654" w:rsidRPr="008C4A39" w:rsidRDefault="007D7654" w:rsidP="001136D3">
            <w:pPr>
              <w:spacing w:after="0"/>
              <w:rPr>
                <w:szCs w:val="24"/>
              </w:rPr>
            </w:pPr>
            <w:r w:rsidRPr="008C4A39">
              <w:rPr>
                <w:b/>
                <w:szCs w:val="24"/>
              </w:rPr>
              <w:t>The Supplier must provide training to the NSW system administrators</w:t>
            </w:r>
          </w:p>
        </w:tc>
      </w:tr>
      <w:tr w:rsidR="007D7654" w:rsidRPr="008C4A39" w14:paraId="4EB5E586" w14:textId="77777777" w:rsidTr="00883B07">
        <w:tc>
          <w:tcPr>
            <w:tcW w:w="9355" w:type="dxa"/>
            <w:gridSpan w:val="2"/>
          </w:tcPr>
          <w:p w14:paraId="1845F43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4CFF0F76" w14:textId="77777777" w:rsidTr="00883B07">
        <w:tc>
          <w:tcPr>
            <w:tcW w:w="9355" w:type="dxa"/>
            <w:gridSpan w:val="2"/>
          </w:tcPr>
          <w:p w14:paraId="33332AD6"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49025F4" w14:textId="77777777" w:rsidTr="00883B07">
        <w:tc>
          <w:tcPr>
            <w:tcW w:w="2785" w:type="dxa"/>
          </w:tcPr>
          <w:p w14:paraId="7000F2CA" w14:textId="77777777" w:rsidR="007D7654" w:rsidRPr="008C4A39" w:rsidRDefault="007D7654" w:rsidP="001136D3">
            <w:pPr>
              <w:spacing w:after="0"/>
              <w:rPr>
                <w:szCs w:val="24"/>
              </w:rPr>
            </w:pPr>
            <w:r w:rsidRPr="008C4A39">
              <w:rPr>
                <w:szCs w:val="24"/>
              </w:rPr>
              <w:t>2.4.1.2</w:t>
            </w:r>
          </w:p>
        </w:tc>
        <w:tc>
          <w:tcPr>
            <w:tcW w:w="6570" w:type="dxa"/>
          </w:tcPr>
          <w:p w14:paraId="6F6F0FD0" w14:textId="77777777" w:rsidR="007D7654" w:rsidRPr="008C4A39" w:rsidRDefault="007D7654" w:rsidP="001136D3">
            <w:pPr>
              <w:spacing w:after="0"/>
              <w:rPr>
                <w:b/>
                <w:szCs w:val="24"/>
              </w:rPr>
            </w:pPr>
            <w:r w:rsidRPr="008C4A39">
              <w:rPr>
                <w:b/>
                <w:szCs w:val="24"/>
              </w:rPr>
              <w:t xml:space="preserve">The Supplier must provide training for developing Help Desk System Administrator </w:t>
            </w:r>
            <w:proofErr w:type="gramStart"/>
            <w:r w:rsidRPr="008C4A39">
              <w:rPr>
                <w:b/>
                <w:szCs w:val="24"/>
              </w:rPr>
              <w:t>skills</w:t>
            </w:r>
            <w:proofErr w:type="gramEnd"/>
          </w:p>
          <w:p w14:paraId="12BE9614" w14:textId="77777777" w:rsidR="007D7654" w:rsidRPr="008C4A39" w:rsidRDefault="007D7654" w:rsidP="001136D3">
            <w:pPr>
              <w:spacing w:after="0"/>
              <w:rPr>
                <w:szCs w:val="24"/>
              </w:rPr>
            </w:pPr>
          </w:p>
        </w:tc>
      </w:tr>
      <w:tr w:rsidR="007D7654" w:rsidRPr="008C4A39" w14:paraId="1B2D87CD" w14:textId="77777777" w:rsidTr="00883B07">
        <w:tc>
          <w:tcPr>
            <w:tcW w:w="9355" w:type="dxa"/>
            <w:gridSpan w:val="2"/>
          </w:tcPr>
          <w:p w14:paraId="190CCD5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9EF66AF" w14:textId="77777777" w:rsidTr="00883B07">
        <w:tc>
          <w:tcPr>
            <w:tcW w:w="9355" w:type="dxa"/>
            <w:gridSpan w:val="2"/>
          </w:tcPr>
          <w:p w14:paraId="3CBF821D"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CFD8A11" w14:textId="77777777" w:rsidTr="00883B07">
        <w:tc>
          <w:tcPr>
            <w:tcW w:w="2785" w:type="dxa"/>
          </w:tcPr>
          <w:p w14:paraId="1042FA61" w14:textId="77777777" w:rsidR="007D7654" w:rsidRPr="008C4A39" w:rsidRDefault="007D7654" w:rsidP="001136D3">
            <w:pPr>
              <w:spacing w:after="0"/>
              <w:rPr>
                <w:szCs w:val="24"/>
              </w:rPr>
            </w:pPr>
            <w:r w:rsidRPr="008C4A39">
              <w:rPr>
                <w:szCs w:val="24"/>
              </w:rPr>
              <w:t>2.4.1.3</w:t>
            </w:r>
          </w:p>
        </w:tc>
        <w:tc>
          <w:tcPr>
            <w:tcW w:w="6570" w:type="dxa"/>
          </w:tcPr>
          <w:p w14:paraId="748C148E" w14:textId="77777777" w:rsidR="007D7654" w:rsidRPr="008C4A39" w:rsidRDefault="007D7654" w:rsidP="001136D3">
            <w:pPr>
              <w:spacing w:after="0"/>
              <w:rPr>
                <w:szCs w:val="24"/>
              </w:rPr>
            </w:pPr>
            <w:r w:rsidRPr="008C4A39">
              <w:rPr>
                <w:szCs w:val="24"/>
              </w:rPr>
              <w:t xml:space="preserve">The Supplier must provide training for developing Digital Signing and Validation administrator skills </w:t>
            </w:r>
          </w:p>
        </w:tc>
      </w:tr>
      <w:tr w:rsidR="007D7654" w:rsidRPr="008C4A39" w14:paraId="3E7DECFE" w14:textId="77777777" w:rsidTr="00883B07">
        <w:tc>
          <w:tcPr>
            <w:tcW w:w="9355" w:type="dxa"/>
            <w:gridSpan w:val="2"/>
          </w:tcPr>
          <w:p w14:paraId="65A6790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45E5B21" w14:textId="77777777" w:rsidTr="00883B07">
        <w:tc>
          <w:tcPr>
            <w:tcW w:w="9355" w:type="dxa"/>
            <w:gridSpan w:val="2"/>
          </w:tcPr>
          <w:p w14:paraId="7FF991E1"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97771BF" w14:textId="77777777" w:rsidTr="00883B07">
        <w:tc>
          <w:tcPr>
            <w:tcW w:w="2785" w:type="dxa"/>
          </w:tcPr>
          <w:p w14:paraId="52DAB42A" w14:textId="77777777" w:rsidR="007D7654" w:rsidRPr="008C4A39" w:rsidRDefault="007D7654" w:rsidP="001136D3">
            <w:pPr>
              <w:spacing w:after="0"/>
              <w:rPr>
                <w:szCs w:val="24"/>
              </w:rPr>
            </w:pPr>
            <w:r w:rsidRPr="008C4A39">
              <w:rPr>
                <w:szCs w:val="24"/>
              </w:rPr>
              <w:lastRenderedPageBreak/>
              <w:t>2.4.1.4</w:t>
            </w:r>
          </w:p>
        </w:tc>
        <w:tc>
          <w:tcPr>
            <w:tcW w:w="6570" w:type="dxa"/>
          </w:tcPr>
          <w:p w14:paraId="2B3E8B6C" w14:textId="77777777" w:rsidR="007D7654" w:rsidRPr="008C4A39" w:rsidRDefault="007D7654" w:rsidP="001136D3">
            <w:pPr>
              <w:spacing w:after="0"/>
              <w:rPr>
                <w:szCs w:val="24"/>
              </w:rPr>
            </w:pPr>
            <w:r w:rsidRPr="008C4A39">
              <w:rPr>
                <w:szCs w:val="24"/>
              </w:rPr>
              <w:t>The Supplier must provide training for developing payment administrator skills</w:t>
            </w:r>
          </w:p>
        </w:tc>
      </w:tr>
      <w:tr w:rsidR="007D7654" w:rsidRPr="008C4A39" w14:paraId="1B5A2760" w14:textId="77777777" w:rsidTr="00883B07">
        <w:tc>
          <w:tcPr>
            <w:tcW w:w="9355" w:type="dxa"/>
            <w:gridSpan w:val="2"/>
          </w:tcPr>
          <w:p w14:paraId="1653791E"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F4F5740" w14:textId="77777777" w:rsidTr="00883B07">
        <w:tc>
          <w:tcPr>
            <w:tcW w:w="9355" w:type="dxa"/>
            <w:gridSpan w:val="2"/>
          </w:tcPr>
          <w:p w14:paraId="6CA55F8B"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64352C4" w14:textId="77777777" w:rsidTr="00883B07">
        <w:tc>
          <w:tcPr>
            <w:tcW w:w="2785" w:type="dxa"/>
          </w:tcPr>
          <w:p w14:paraId="41D3008D" w14:textId="77777777" w:rsidR="007D7654" w:rsidRPr="008C4A39" w:rsidRDefault="007D7654" w:rsidP="001136D3">
            <w:pPr>
              <w:spacing w:after="0"/>
              <w:rPr>
                <w:szCs w:val="24"/>
              </w:rPr>
            </w:pPr>
            <w:r w:rsidRPr="008C4A39">
              <w:rPr>
                <w:szCs w:val="24"/>
              </w:rPr>
              <w:t>2.4.1.5</w:t>
            </w:r>
          </w:p>
        </w:tc>
        <w:tc>
          <w:tcPr>
            <w:tcW w:w="6570" w:type="dxa"/>
          </w:tcPr>
          <w:p w14:paraId="56C8F3F1" w14:textId="77777777" w:rsidR="007D7654" w:rsidRPr="008C4A39" w:rsidRDefault="007D7654" w:rsidP="001136D3">
            <w:pPr>
              <w:spacing w:after="0"/>
              <w:rPr>
                <w:szCs w:val="24"/>
              </w:rPr>
            </w:pPr>
            <w:r w:rsidRPr="008C4A39">
              <w:rPr>
                <w:szCs w:val="24"/>
              </w:rPr>
              <w:t>The Supplier must provide training for developing Risk Management administrator skills</w:t>
            </w:r>
          </w:p>
        </w:tc>
      </w:tr>
      <w:tr w:rsidR="007D7654" w:rsidRPr="008C4A39" w14:paraId="011CDFCE" w14:textId="77777777" w:rsidTr="00883B07">
        <w:tc>
          <w:tcPr>
            <w:tcW w:w="9355" w:type="dxa"/>
            <w:gridSpan w:val="2"/>
          </w:tcPr>
          <w:p w14:paraId="0FCB30D4"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0146227E" w14:textId="77777777" w:rsidTr="00883B07">
        <w:tc>
          <w:tcPr>
            <w:tcW w:w="9355" w:type="dxa"/>
            <w:gridSpan w:val="2"/>
          </w:tcPr>
          <w:p w14:paraId="4BC28A72"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3D3EBD51" w14:textId="77777777" w:rsidTr="00883B07">
        <w:tc>
          <w:tcPr>
            <w:tcW w:w="2785" w:type="dxa"/>
          </w:tcPr>
          <w:p w14:paraId="7AA5EA00" w14:textId="77777777" w:rsidR="007D7654" w:rsidRPr="008C4A39" w:rsidRDefault="007D7654" w:rsidP="001136D3">
            <w:pPr>
              <w:spacing w:after="0"/>
              <w:rPr>
                <w:szCs w:val="24"/>
              </w:rPr>
            </w:pPr>
            <w:r w:rsidRPr="008C4A39">
              <w:rPr>
                <w:szCs w:val="24"/>
              </w:rPr>
              <w:t>2.4.1.6</w:t>
            </w:r>
          </w:p>
        </w:tc>
        <w:tc>
          <w:tcPr>
            <w:tcW w:w="6570" w:type="dxa"/>
          </w:tcPr>
          <w:p w14:paraId="4A0F04FA" w14:textId="77777777" w:rsidR="007D7654" w:rsidRPr="008C4A39" w:rsidRDefault="007D7654" w:rsidP="001136D3">
            <w:pPr>
              <w:spacing w:after="0"/>
              <w:rPr>
                <w:szCs w:val="24"/>
              </w:rPr>
            </w:pPr>
            <w:r w:rsidRPr="008C4A39">
              <w:rPr>
                <w:szCs w:val="24"/>
              </w:rPr>
              <w:t>The Supplier must provide training for developing Business Monitoring and Reporting administrator skills</w:t>
            </w:r>
          </w:p>
        </w:tc>
      </w:tr>
      <w:tr w:rsidR="007D7654" w:rsidRPr="008C4A39" w14:paraId="13703149" w14:textId="77777777" w:rsidTr="00883B07">
        <w:tc>
          <w:tcPr>
            <w:tcW w:w="9355" w:type="dxa"/>
            <w:gridSpan w:val="2"/>
          </w:tcPr>
          <w:p w14:paraId="2AF1A5BE"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9C06983" w14:textId="77777777" w:rsidTr="00883B07">
        <w:tc>
          <w:tcPr>
            <w:tcW w:w="9355" w:type="dxa"/>
            <w:gridSpan w:val="2"/>
          </w:tcPr>
          <w:p w14:paraId="521F6707"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84643CE" w14:textId="77777777" w:rsidTr="00883B07">
        <w:tc>
          <w:tcPr>
            <w:tcW w:w="2785" w:type="dxa"/>
          </w:tcPr>
          <w:p w14:paraId="059C84A2" w14:textId="77777777" w:rsidR="007D7654" w:rsidRPr="008C4A39" w:rsidRDefault="007D7654" w:rsidP="001136D3">
            <w:pPr>
              <w:spacing w:after="0"/>
              <w:rPr>
                <w:szCs w:val="24"/>
              </w:rPr>
            </w:pPr>
            <w:r w:rsidRPr="008C4A39">
              <w:rPr>
                <w:szCs w:val="24"/>
              </w:rPr>
              <w:t>2.4.1.7</w:t>
            </w:r>
          </w:p>
        </w:tc>
        <w:tc>
          <w:tcPr>
            <w:tcW w:w="6570" w:type="dxa"/>
          </w:tcPr>
          <w:p w14:paraId="6098FD9C" w14:textId="77777777" w:rsidR="007D7654" w:rsidRPr="008C4A39" w:rsidRDefault="007D7654" w:rsidP="001136D3">
            <w:pPr>
              <w:spacing w:after="0"/>
              <w:rPr>
                <w:szCs w:val="24"/>
              </w:rPr>
            </w:pPr>
            <w:r w:rsidRPr="008C4A39">
              <w:rPr>
                <w:szCs w:val="24"/>
              </w:rPr>
              <w:t>The Supplier must provide training for developing Service Monitoring and Reporting administrator skills</w:t>
            </w:r>
          </w:p>
        </w:tc>
      </w:tr>
      <w:tr w:rsidR="007D7654" w:rsidRPr="008C4A39" w14:paraId="33676C9B" w14:textId="77777777" w:rsidTr="00883B07">
        <w:tc>
          <w:tcPr>
            <w:tcW w:w="9355" w:type="dxa"/>
            <w:gridSpan w:val="2"/>
          </w:tcPr>
          <w:p w14:paraId="6AA41285"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C8B99B0" w14:textId="77777777" w:rsidTr="00883B07">
        <w:tc>
          <w:tcPr>
            <w:tcW w:w="9355" w:type="dxa"/>
            <w:gridSpan w:val="2"/>
          </w:tcPr>
          <w:p w14:paraId="21BE4C8E"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88AA603" w14:textId="77777777" w:rsidTr="00883B07">
        <w:tc>
          <w:tcPr>
            <w:tcW w:w="2785" w:type="dxa"/>
          </w:tcPr>
          <w:p w14:paraId="3293ADF6" w14:textId="77777777" w:rsidR="007D7654" w:rsidRPr="008C4A39" w:rsidRDefault="007D7654" w:rsidP="001136D3">
            <w:pPr>
              <w:spacing w:after="0"/>
              <w:rPr>
                <w:szCs w:val="24"/>
              </w:rPr>
            </w:pPr>
            <w:r w:rsidRPr="008C4A39">
              <w:rPr>
                <w:szCs w:val="24"/>
              </w:rPr>
              <w:t>2.4.1.8</w:t>
            </w:r>
          </w:p>
        </w:tc>
        <w:tc>
          <w:tcPr>
            <w:tcW w:w="6570" w:type="dxa"/>
          </w:tcPr>
          <w:p w14:paraId="6685729C" w14:textId="77777777" w:rsidR="007D7654" w:rsidRPr="008C4A39" w:rsidRDefault="007D7654" w:rsidP="001136D3">
            <w:pPr>
              <w:spacing w:after="0"/>
              <w:rPr>
                <w:szCs w:val="24"/>
              </w:rPr>
            </w:pPr>
            <w:r w:rsidRPr="008C4A39">
              <w:rPr>
                <w:szCs w:val="24"/>
              </w:rPr>
              <w:t>The Supplier must provide training for developing System Monitoring and Reporting administrator skills</w:t>
            </w:r>
          </w:p>
        </w:tc>
      </w:tr>
      <w:tr w:rsidR="007D7654" w:rsidRPr="008C4A39" w14:paraId="7061B48A" w14:textId="77777777" w:rsidTr="00883B07">
        <w:tc>
          <w:tcPr>
            <w:tcW w:w="9355" w:type="dxa"/>
            <w:gridSpan w:val="2"/>
          </w:tcPr>
          <w:p w14:paraId="6A0F84AC"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0262607" w14:textId="77777777" w:rsidTr="00883B07">
        <w:tc>
          <w:tcPr>
            <w:tcW w:w="9355" w:type="dxa"/>
            <w:gridSpan w:val="2"/>
          </w:tcPr>
          <w:p w14:paraId="6F580E36"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E1405A7" w14:textId="77777777" w:rsidTr="00883B07">
        <w:tc>
          <w:tcPr>
            <w:tcW w:w="2785" w:type="dxa"/>
          </w:tcPr>
          <w:p w14:paraId="728DB07C" w14:textId="77777777" w:rsidR="007D7654" w:rsidRPr="008C4A39" w:rsidRDefault="007D7654" w:rsidP="001136D3">
            <w:pPr>
              <w:spacing w:after="0"/>
              <w:rPr>
                <w:szCs w:val="24"/>
              </w:rPr>
            </w:pPr>
            <w:r w:rsidRPr="008C4A39">
              <w:rPr>
                <w:szCs w:val="24"/>
              </w:rPr>
              <w:t>2.4.1.9</w:t>
            </w:r>
          </w:p>
        </w:tc>
        <w:tc>
          <w:tcPr>
            <w:tcW w:w="6570" w:type="dxa"/>
          </w:tcPr>
          <w:p w14:paraId="40B86C00" w14:textId="77777777" w:rsidR="007D7654" w:rsidRPr="008C4A39" w:rsidRDefault="007D7654" w:rsidP="001136D3">
            <w:pPr>
              <w:spacing w:after="0"/>
              <w:rPr>
                <w:szCs w:val="24"/>
              </w:rPr>
            </w:pPr>
            <w:r w:rsidRPr="008C4A39">
              <w:rPr>
                <w:szCs w:val="24"/>
              </w:rPr>
              <w:t>The Supplier must provide training for developing Alerting administrator skills</w:t>
            </w:r>
          </w:p>
        </w:tc>
      </w:tr>
      <w:tr w:rsidR="007D7654" w:rsidRPr="008C4A39" w14:paraId="1AB91574" w14:textId="77777777" w:rsidTr="00883B07">
        <w:tc>
          <w:tcPr>
            <w:tcW w:w="9355" w:type="dxa"/>
            <w:gridSpan w:val="2"/>
          </w:tcPr>
          <w:p w14:paraId="6129C6B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6BAC04E" w14:textId="77777777" w:rsidTr="00883B07">
        <w:tc>
          <w:tcPr>
            <w:tcW w:w="9355" w:type="dxa"/>
            <w:gridSpan w:val="2"/>
          </w:tcPr>
          <w:p w14:paraId="4978B4BE"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A65EF76" w14:textId="77777777" w:rsidTr="00883B07">
        <w:tc>
          <w:tcPr>
            <w:tcW w:w="2785" w:type="dxa"/>
          </w:tcPr>
          <w:p w14:paraId="35703DAA" w14:textId="77777777" w:rsidR="007D7654" w:rsidRPr="008C4A39" w:rsidRDefault="007D7654" w:rsidP="001136D3">
            <w:pPr>
              <w:spacing w:after="0"/>
              <w:rPr>
                <w:szCs w:val="24"/>
              </w:rPr>
            </w:pPr>
            <w:r w:rsidRPr="008C4A39">
              <w:rPr>
                <w:szCs w:val="24"/>
              </w:rPr>
              <w:t>2.4.1.10</w:t>
            </w:r>
          </w:p>
        </w:tc>
        <w:tc>
          <w:tcPr>
            <w:tcW w:w="6570" w:type="dxa"/>
          </w:tcPr>
          <w:p w14:paraId="2DFA679E" w14:textId="77777777" w:rsidR="007D7654" w:rsidRPr="008C4A39" w:rsidRDefault="007D7654" w:rsidP="001136D3">
            <w:pPr>
              <w:spacing w:after="0"/>
              <w:rPr>
                <w:szCs w:val="24"/>
              </w:rPr>
            </w:pPr>
            <w:r w:rsidRPr="008C4A39">
              <w:rPr>
                <w:szCs w:val="24"/>
              </w:rPr>
              <w:t>The supplier must provide training for the NSW Trader Interface</w:t>
            </w:r>
          </w:p>
        </w:tc>
      </w:tr>
      <w:tr w:rsidR="007D7654" w:rsidRPr="008C4A39" w14:paraId="300C79E4" w14:textId="77777777" w:rsidTr="00883B07">
        <w:tc>
          <w:tcPr>
            <w:tcW w:w="9355" w:type="dxa"/>
            <w:gridSpan w:val="2"/>
          </w:tcPr>
          <w:p w14:paraId="33A0849E"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92CE6BD" w14:textId="77777777" w:rsidTr="00883B07">
        <w:tc>
          <w:tcPr>
            <w:tcW w:w="9355" w:type="dxa"/>
            <w:gridSpan w:val="2"/>
          </w:tcPr>
          <w:p w14:paraId="69ACE728"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CB0242A" w14:textId="77777777" w:rsidTr="00883B07">
        <w:tc>
          <w:tcPr>
            <w:tcW w:w="2785" w:type="dxa"/>
          </w:tcPr>
          <w:p w14:paraId="3A9CA824" w14:textId="77777777" w:rsidR="007D7654" w:rsidRPr="008C4A39" w:rsidRDefault="007D7654" w:rsidP="001136D3">
            <w:pPr>
              <w:spacing w:after="0"/>
              <w:rPr>
                <w:szCs w:val="24"/>
              </w:rPr>
            </w:pPr>
            <w:r w:rsidRPr="008C4A39">
              <w:rPr>
                <w:szCs w:val="24"/>
              </w:rPr>
              <w:t>2.4.1.11</w:t>
            </w:r>
          </w:p>
        </w:tc>
        <w:tc>
          <w:tcPr>
            <w:tcW w:w="6570" w:type="dxa"/>
          </w:tcPr>
          <w:p w14:paraId="26EB51DC" w14:textId="77777777" w:rsidR="007D7654" w:rsidRPr="008C4A39" w:rsidRDefault="007D7654" w:rsidP="001136D3">
            <w:pPr>
              <w:spacing w:after="0"/>
              <w:rPr>
                <w:szCs w:val="24"/>
              </w:rPr>
            </w:pPr>
            <w:r w:rsidRPr="008C4A39">
              <w:rPr>
                <w:szCs w:val="24"/>
              </w:rPr>
              <w:t>The supplier must provide training for the NSW CBRA Interface</w:t>
            </w:r>
          </w:p>
        </w:tc>
      </w:tr>
      <w:tr w:rsidR="007D7654" w:rsidRPr="008C4A39" w14:paraId="4163F3CB" w14:textId="77777777" w:rsidTr="00883B07">
        <w:tc>
          <w:tcPr>
            <w:tcW w:w="9355" w:type="dxa"/>
            <w:gridSpan w:val="2"/>
          </w:tcPr>
          <w:p w14:paraId="7C681E6B"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65318A5" w14:textId="77777777" w:rsidTr="00883B07">
        <w:tc>
          <w:tcPr>
            <w:tcW w:w="9355" w:type="dxa"/>
            <w:gridSpan w:val="2"/>
          </w:tcPr>
          <w:p w14:paraId="328C9594"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AC8636F" w14:textId="77777777" w:rsidTr="00883B07">
        <w:tc>
          <w:tcPr>
            <w:tcW w:w="2785" w:type="dxa"/>
          </w:tcPr>
          <w:p w14:paraId="4CE54F87" w14:textId="77777777" w:rsidR="007D7654" w:rsidRPr="008C4A39" w:rsidRDefault="007D7654" w:rsidP="001136D3">
            <w:pPr>
              <w:spacing w:after="0"/>
              <w:rPr>
                <w:szCs w:val="24"/>
              </w:rPr>
            </w:pPr>
            <w:r w:rsidRPr="008C4A39">
              <w:rPr>
                <w:szCs w:val="24"/>
              </w:rPr>
              <w:t>2.4.1.12</w:t>
            </w:r>
          </w:p>
        </w:tc>
        <w:tc>
          <w:tcPr>
            <w:tcW w:w="6570" w:type="dxa"/>
          </w:tcPr>
          <w:p w14:paraId="1428C2DD" w14:textId="77777777" w:rsidR="007D7654" w:rsidRPr="008C4A39" w:rsidRDefault="007D7654" w:rsidP="001136D3">
            <w:pPr>
              <w:spacing w:after="0"/>
              <w:rPr>
                <w:bCs/>
                <w:szCs w:val="24"/>
              </w:rPr>
            </w:pPr>
            <w:r w:rsidRPr="008C4A39">
              <w:rPr>
                <w:bCs/>
                <w:szCs w:val="24"/>
              </w:rPr>
              <w:t>The supplier must provide training for the NSW Module for Border Inspection Staff</w:t>
            </w:r>
          </w:p>
        </w:tc>
      </w:tr>
      <w:tr w:rsidR="007D7654" w:rsidRPr="008C4A39" w14:paraId="116EB595" w14:textId="77777777" w:rsidTr="00883B07">
        <w:tc>
          <w:tcPr>
            <w:tcW w:w="9355" w:type="dxa"/>
            <w:gridSpan w:val="2"/>
          </w:tcPr>
          <w:p w14:paraId="749BA0A4"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14F2A27" w14:textId="77777777" w:rsidTr="00883B07">
        <w:tc>
          <w:tcPr>
            <w:tcW w:w="9355" w:type="dxa"/>
            <w:gridSpan w:val="2"/>
          </w:tcPr>
          <w:p w14:paraId="5F38CE4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706624A" w14:textId="77777777" w:rsidTr="00883B07">
        <w:tc>
          <w:tcPr>
            <w:tcW w:w="2785" w:type="dxa"/>
          </w:tcPr>
          <w:p w14:paraId="7510ED43" w14:textId="77777777" w:rsidR="007D7654" w:rsidRPr="008C4A39" w:rsidRDefault="007D7654" w:rsidP="001136D3">
            <w:pPr>
              <w:spacing w:after="0"/>
              <w:rPr>
                <w:szCs w:val="24"/>
              </w:rPr>
            </w:pPr>
            <w:r w:rsidRPr="008C4A39">
              <w:rPr>
                <w:szCs w:val="24"/>
              </w:rPr>
              <w:t>2.4.1.13</w:t>
            </w:r>
          </w:p>
        </w:tc>
        <w:tc>
          <w:tcPr>
            <w:tcW w:w="6570" w:type="dxa"/>
          </w:tcPr>
          <w:p w14:paraId="256B0E0A" w14:textId="77777777" w:rsidR="007D7654" w:rsidRPr="008C4A39" w:rsidRDefault="007D7654" w:rsidP="001136D3">
            <w:pPr>
              <w:spacing w:after="0"/>
              <w:rPr>
                <w:szCs w:val="24"/>
              </w:rPr>
            </w:pPr>
            <w:r w:rsidRPr="008C4A39">
              <w:rPr>
                <w:szCs w:val="24"/>
              </w:rPr>
              <w:t>The supplier must provide, NSW Import Data and Data Sharing Service training</w:t>
            </w:r>
          </w:p>
        </w:tc>
      </w:tr>
      <w:tr w:rsidR="007D7654" w:rsidRPr="008C4A39" w14:paraId="620C9B1F" w14:textId="77777777" w:rsidTr="00883B07">
        <w:tc>
          <w:tcPr>
            <w:tcW w:w="9355" w:type="dxa"/>
            <w:gridSpan w:val="2"/>
          </w:tcPr>
          <w:p w14:paraId="6AF55D63"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87DCE68" w14:textId="77777777" w:rsidTr="00883B07">
        <w:tc>
          <w:tcPr>
            <w:tcW w:w="9355" w:type="dxa"/>
            <w:gridSpan w:val="2"/>
          </w:tcPr>
          <w:p w14:paraId="18A7CD5B"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33A7E1B" w14:textId="77777777" w:rsidTr="00883B07">
        <w:tc>
          <w:tcPr>
            <w:tcW w:w="2785" w:type="dxa"/>
          </w:tcPr>
          <w:p w14:paraId="0D646E62" w14:textId="77777777" w:rsidR="007D7654" w:rsidRPr="008C4A39" w:rsidRDefault="007D7654" w:rsidP="001136D3">
            <w:pPr>
              <w:spacing w:after="0"/>
              <w:rPr>
                <w:szCs w:val="24"/>
              </w:rPr>
            </w:pPr>
            <w:r w:rsidRPr="008C4A39">
              <w:rPr>
                <w:szCs w:val="24"/>
              </w:rPr>
              <w:t>2.4.1.14</w:t>
            </w:r>
          </w:p>
        </w:tc>
        <w:tc>
          <w:tcPr>
            <w:tcW w:w="6570" w:type="dxa"/>
          </w:tcPr>
          <w:p w14:paraId="60EB7027" w14:textId="77777777" w:rsidR="007D7654" w:rsidRPr="008C4A39" w:rsidRDefault="007D7654" w:rsidP="001136D3">
            <w:pPr>
              <w:spacing w:after="0"/>
              <w:rPr>
                <w:szCs w:val="24"/>
              </w:rPr>
            </w:pPr>
            <w:r w:rsidRPr="008C4A39">
              <w:rPr>
                <w:szCs w:val="24"/>
              </w:rPr>
              <w:t>The supplier must provide training for the NSW Reporting Service</w:t>
            </w:r>
          </w:p>
        </w:tc>
      </w:tr>
      <w:tr w:rsidR="007D7654" w:rsidRPr="008C4A39" w14:paraId="6BAA1771" w14:textId="77777777" w:rsidTr="00883B07">
        <w:tc>
          <w:tcPr>
            <w:tcW w:w="9355" w:type="dxa"/>
            <w:gridSpan w:val="2"/>
          </w:tcPr>
          <w:p w14:paraId="3604A7E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7489BC8" w14:textId="77777777" w:rsidTr="00883B07">
        <w:tc>
          <w:tcPr>
            <w:tcW w:w="9355" w:type="dxa"/>
            <w:gridSpan w:val="2"/>
          </w:tcPr>
          <w:p w14:paraId="775231AC"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A81DDD4" w14:textId="77777777" w:rsidTr="00883B07">
        <w:tc>
          <w:tcPr>
            <w:tcW w:w="2785" w:type="dxa"/>
          </w:tcPr>
          <w:p w14:paraId="278D0AB8" w14:textId="77777777" w:rsidR="007D7654" w:rsidRPr="008C4A39" w:rsidRDefault="007D7654" w:rsidP="001136D3">
            <w:pPr>
              <w:spacing w:after="0"/>
              <w:rPr>
                <w:szCs w:val="24"/>
              </w:rPr>
            </w:pPr>
            <w:r w:rsidRPr="008C4A39">
              <w:rPr>
                <w:szCs w:val="24"/>
              </w:rPr>
              <w:t>2.4.1.15</w:t>
            </w:r>
          </w:p>
        </w:tc>
        <w:tc>
          <w:tcPr>
            <w:tcW w:w="6570" w:type="dxa"/>
          </w:tcPr>
          <w:p w14:paraId="68E0FE1F" w14:textId="77777777" w:rsidR="007D7654" w:rsidRPr="008C4A39" w:rsidRDefault="007D7654" w:rsidP="001136D3">
            <w:pPr>
              <w:spacing w:after="0"/>
              <w:rPr>
                <w:szCs w:val="24"/>
              </w:rPr>
            </w:pPr>
            <w:r w:rsidRPr="008C4A39">
              <w:rPr>
                <w:szCs w:val="24"/>
              </w:rPr>
              <w:t>The supplier must provide training for the NSW Risk Management</w:t>
            </w:r>
          </w:p>
        </w:tc>
      </w:tr>
      <w:tr w:rsidR="007D7654" w:rsidRPr="008C4A39" w14:paraId="2B670035" w14:textId="77777777" w:rsidTr="00883B07">
        <w:tc>
          <w:tcPr>
            <w:tcW w:w="9355" w:type="dxa"/>
            <w:gridSpan w:val="2"/>
          </w:tcPr>
          <w:p w14:paraId="0327DD72"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262965B3" w14:textId="77777777" w:rsidTr="00883B07">
        <w:tc>
          <w:tcPr>
            <w:tcW w:w="9355" w:type="dxa"/>
            <w:gridSpan w:val="2"/>
          </w:tcPr>
          <w:p w14:paraId="297FC806"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0021756B" w14:textId="77777777" w:rsidTr="00883B07">
        <w:tc>
          <w:tcPr>
            <w:tcW w:w="2785" w:type="dxa"/>
          </w:tcPr>
          <w:p w14:paraId="1D2F3D80" w14:textId="77777777" w:rsidR="007D7654" w:rsidRPr="008C4A39" w:rsidRDefault="007D7654" w:rsidP="001136D3">
            <w:pPr>
              <w:spacing w:after="0"/>
              <w:rPr>
                <w:szCs w:val="24"/>
              </w:rPr>
            </w:pPr>
            <w:r w:rsidRPr="008C4A39">
              <w:rPr>
                <w:szCs w:val="24"/>
              </w:rPr>
              <w:lastRenderedPageBreak/>
              <w:t>2.4.1.16</w:t>
            </w:r>
          </w:p>
        </w:tc>
        <w:tc>
          <w:tcPr>
            <w:tcW w:w="6570" w:type="dxa"/>
          </w:tcPr>
          <w:p w14:paraId="38571731" w14:textId="77777777" w:rsidR="007D7654" w:rsidRPr="008C4A39" w:rsidRDefault="007D7654" w:rsidP="001136D3">
            <w:pPr>
              <w:spacing w:after="0"/>
              <w:rPr>
                <w:szCs w:val="24"/>
              </w:rPr>
            </w:pPr>
            <w:r w:rsidRPr="008C4A39">
              <w:rPr>
                <w:szCs w:val="24"/>
              </w:rPr>
              <w:t>The supplier must provide training for Preparing a Joint Inspection Plan through NSW</w:t>
            </w:r>
          </w:p>
        </w:tc>
      </w:tr>
      <w:tr w:rsidR="007D7654" w:rsidRPr="008C4A39" w14:paraId="4E18D389" w14:textId="77777777" w:rsidTr="00883B07">
        <w:tc>
          <w:tcPr>
            <w:tcW w:w="9355" w:type="dxa"/>
            <w:gridSpan w:val="2"/>
          </w:tcPr>
          <w:p w14:paraId="1EA22958"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D31375E" w14:textId="77777777" w:rsidTr="00883B07">
        <w:tc>
          <w:tcPr>
            <w:tcW w:w="9355" w:type="dxa"/>
            <w:gridSpan w:val="2"/>
          </w:tcPr>
          <w:p w14:paraId="29780A55"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0BD738B" w14:textId="77777777" w:rsidTr="00883B07">
        <w:tc>
          <w:tcPr>
            <w:tcW w:w="2785" w:type="dxa"/>
          </w:tcPr>
          <w:p w14:paraId="6425FED7" w14:textId="77777777" w:rsidR="007D7654" w:rsidRPr="008C4A39" w:rsidRDefault="007D7654" w:rsidP="001136D3">
            <w:pPr>
              <w:spacing w:after="0"/>
              <w:rPr>
                <w:szCs w:val="24"/>
              </w:rPr>
            </w:pPr>
            <w:r w:rsidRPr="008C4A39">
              <w:rPr>
                <w:szCs w:val="24"/>
              </w:rPr>
              <w:t>2.4.1.17</w:t>
            </w:r>
          </w:p>
        </w:tc>
        <w:tc>
          <w:tcPr>
            <w:tcW w:w="6570" w:type="dxa"/>
          </w:tcPr>
          <w:p w14:paraId="20AE7B50" w14:textId="77777777" w:rsidR="007D7654" w:rsidRPr="008C4A39" w:rsidRDefault="007D7654" w:rsidP="001136D3">
            <w:pPr>
              <w:spacing w:after="0"/>
              <w:rPr>
                <w:szCs w:val="24"/>
              </w:rPr>
            </w:pPr>
            <w:r w:rsidRPr="008C4A39">
              <w:rPr>
                <w:szCs w:val="24"/>
              </w:rPr>
              <w:t>The supplier must provide training for Understanding and Mapping HS Codes</w:t>
            </w:r>
          </w:p>
        </w:tc>
      </w:tr>
      <w:tr w:rsidR="007D7654" w:rsidRPr="008C4A39" w14:paraId="1773E309" w14:textId="77777777" w:rsidTr="00883B07">
        <w:tc>
          <w:tcPr>
            <w:tcW w:w="9355" w:type="dxa"/>
            <w:gridSpan w:val="2"/>
          </w:tcPr>
          <w:p w14:paraId="5F068046"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5C6073E2" w14:textId="77777777" w:rsidTr="00883B07">
        <w:tc>
          <w:tcPr>
            <w:tcW w:w="9355" w:type="dxa"/>
            <w:gridSpan w:val="2"/>
          </w:tcPr>
          <w:p w14:paraId="53D98F6F"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624DF431" w14:textId="77777777" w:rsidTr="00883B07">
        <w:tc>
          <w:tcPr>
            <w:tcW w:w="2785" w:type="dxa"/>
          </w:tcPr>
          <w:p w14:paraId="7B4A87C7" w14:textId="77777777" w:rsidR="007D7654" w:rsidRPr="008C4A39" w:rsidRDefault="007D7654" w:rsidP="001136D3">
            <w:pPr>
              <w:spacing w:after="0"/>
              <w:rPr>
                <w:szCs w:val="24"/>
              </w:rPr>
            </w:pPr>
            <w:r w:rsidRPr="008C4A39">
              <w:rPr>
                <w:szCs w:val="24"/>
              </w:rPr>
              <w:t>2.4.1.18</w:t>
            </w:r>
          </w:p>
        </w:tc>
        <w:tc>
          <w:tcPr>
            <w:tcW w:w="6570" w:type="dxa"/>
          </w:tcPr>
          <w:p w14:paraId="7547E5F6" w14:textId="77777777" w:rsidR="007D7654" w:rsidRPr="008C4A39" w:rsidRDefault="007D7654" w:rsidP="001136D3">
            <w:pPr>
              <w:spacing w:after="0"/>
              <w:rPr>
                <w:szCs w:val="24"/>
              </w:rPr>
            </w:pPr>
            <w:r w:rsidRPr="008C4A39">
              <w:rPr>
                <w:szCs w:val="24"/>
              </w:rPr>
              <w:t>The supplier must provide training for Risk Management (RM) Awareness Training for Staff</w:t>
            </w:r>
          </w:p>
        </w:tc>
      </w:tr>
      <w:tr w:rsidR="007D7654" w:rsidRPr="008C4A39" w14:paraId="3DFF0DDD" w14:textId="77777777" w:rsidTr="00883B07">
        <w:tc>
          <w:tcPr>
            <w:tcW w:w="9355" w:type="dxa"/>
            <w:gridSpan w:val="2"/>
          </w:tcPr>
          <w:p w14:paraId="639DF64F"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B4F2035" w14:textId="77777777" w:rsidTr="00883B07">
        <w:tc>
          <w:tcPr>
            <w:tcW w:w="9355" w:type="dxa"/>
            <w:gridSpan w:val="2"/>
          </w:tcPr>
          <w:p w14:paraId="7CC3B6F7"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71604879" w14:textId="77777777" w:rsidTr="00883B07">
        <w:tc>
          <w:tcPr>
            <w:tcW w:w="2785" w:type="dxa"/>
          </w:tcPr>
          <w:p w14:paraId="25938279" w14:textId="77777777" w:rsidR="007D7654" w:rsidRPr="008C4A39" w:rsidRDefault="007D7654" w:rsidP="001136D3">
            <w:pPr>
              <w:spacing w:after="0"/>
              <w:rPr>
                <w:szCs w:val="24"/>
              </w:rPr>
            </w:pPr>
            <w:r w:rsidRPr="008C4A39">
              <w:rPr>
                <w:szCs w:val="24"/>
              </w:rPr>
              <w:t>2.4.1.19</w:t>
            </w:r>
          </w:p>
        </w:tc>
        <w:tc>
          <w:tcPr>
            <w:tcW w:w="6570" w:type="dxa"/>
          </w:tcPr>
          <w:p w14:paraId="2701211E" w14:textId="77777777" w:rsidR="007D7654" w:rsidRPr="008C4A39" w:rsidRDefault="007D7654" w:rsidP="001136D3">
            <w:pPr>
              <w:spacing w:after="0"/>
              <w:rPr>
                <w:szCs w:val="24"/>
              </w:rPr>
            </w:pPr>
            <w:r w:rsidRPr="008C4A39">
              <w:rPr>
                <w:szCs w:val="24"/>
              </w:rPr>
              <w:t>The supplier must provide training for Practical NSW RM Training, including Risk Profile Development</w:t>
            </w:r>
          </w:p>
        </w:tc>
      </w:tr>
      <w:tr w:rsidR="007D7654" w:rsidRPr="008C4A39" w14:paraId="641830B2" w14:textId="77777777" w:rsidTr="00883B07">
        <w:tc>
          <w:tcPr>
            <w:tcW w:w="9355" w:type="dxa"/>
            <w:gridSpan w:val="2"/>
          </w:tcPr>
          <w:p w14:paraId="15C93C3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19AADA94" w14:textId="77777777" w:rsidTr="00883B07">
        <w:tc>
          <w:tcPr>
            <w:tcW w:w="9355" w:type="dxa"/>
            <w:gridSpan w:val="2"/>
          </w:tcPr>
          <w:p w14:paraId="0F10FC47" w14:textId="77777777" w:rsidR="007D7654" w:rsidRPr="008C4A39" w:rsidRDefault="007D7654" w:rsidP="001136D3">
            <w:pPr>
              <w:spacing w:after="0"/>
              <w:rPr>
                <w:szCs w:val="24"/>
              </w:rPr>
            </w:pPr>
            <w:r w:rsidRPr="008C4A39">
              <w:rPr>
                <w:szCs w:val="24"/>
              </w:rPr>
              <w:t>Bidder’s cross references to supporting information in Technical Bid:</w:t>
            </w:r>
          </w:p>
        </w:tc>
      </w:tr>
      <w:tr w:rsidR="00E86A01" w:rsidRPr="008C4A39" w14:paraId="4A98D8C1" w14:textId="77777777" w:rsidTr="00E86A01">
        <w:tc>
          <w:tcPr>
            <w:tcW w:w="2785" w:type="dxa"/>
          </w:tcPr>
          <w:p w14:paraId="40398B1B" w14:textId="6FB4D15C" w:rsidR="00E86A01" w:rsidRPr="00CD2F52" w:rsidRDefault="00E86A01" w:rsidP="001136D3">
            <w:pPr>
              <w:spacing w:after="0"/>
              <w:rPr>
                <w:bCs/>
                <w:szCs w:val="24"/>
              </w:rPr>
            </w:pPr>
            <w:r w:rsidRPr="00CD2F52">
              <w:rPr>
                <w:bCs/>
              </w:rPr>
              <w:t>2.4.1.20</w:t>
            </w:r>
          </w:p>
        </w:tc>
        <w:tc>
          <w:tcPr>
            <w:tcW w:w="6570" w:type="dxa"/>
          </w:tcPr>
          <w:p w14:paraId="7C6505B5" w14:textId="1202F703" w:rsidR="00E86A01" w:rsidRPr="00CD2F52" w:rsidRDefault="00E12AE0" w:rsidP="00E86A01">
            <w:pPr>
              <w:rPr>
                <w:bCs/>
              </w:rPr>
            </w:pPr>
            <w:r w:rsidRPr="00CD2F52">
              <w:t xml:space="preserve">The supplier must provide training for </w:t>
            </w:r>
            <w:r w:rsidRPr="00CD2F52">
              <w:rPr>
                <w:bCs/>
              </w:rPr>
              <w:t>Oracle DBA Database Administration.</w:t>
            </w:r>
          </w:p>
        </w:tc>
      </w:tr>
      <w:tr w:rsidR="00E86A01" w:rsidRPr="008C4A39" w14:paraId="58A42E48" w14:textId="77777777" w:rsidTr="00883B07">
        <w:tc>
          <w:tcPr>
            <w:tcW w:w="9355" w:type="dxa"/>
            <w:gridSpan w:val="2"/>
          </w:tcPr>
          <w:p w14:paraId="6066890A" w14:textId="27CEF770" w:rsidR="00E86A01" w:rsidRPr="008C4A39" w:rsidRDefault="00E86A01" w:rsidP="00E86A01">
            <w:pPr>
              <w:spacing w:after="0"/>
              <w:rPr>
                <w:szCs w:val="24"/>
              </w:rPr>
            </w:pPr>
            <w:r w:rsidRPr="008C4A39">
              <w:rPr>
                <w:szCs w:val="24"/>
              </w:rPr>
              <w:t xml:space="preserve">Bidder’s technical reasons supporting compliance:  </w:t>
            </w:r>
          </w:p>
        </w:tc>
      </w:tr>
      <w:tr w:rsidR="00E86A01" w:rsidRPr="008C4A39" w14:paraId="340F26E5" w14:textId="77777777" w:rsidTr="00883B07">
        <w:tc>
          <w:tcPr>
            <w:tcW w:w="9355" w:type="dxa"/>
            <w:gridSpan w:val="2"/>
          </w:tcPr>
          <w:p w14:paraId="3EC2038E" w14:textId="49F75D60" w:rsidR="00E86A01" w:rsidRPr="008C4A39" w:rsidRDefault="00E86A01" w:rsidP="00E86A01">
            <w:pPr>
              <w:spacing w:after="0"/>
              <w:rPr>
                <w:szCs w:val="24"/>
              </w:rPr>
            </w:pPr>
            <w:r w:rsidRPr="008C4A39">
              <w:rPr>
                <w:szCs w:val="24"/>
              </w:rPr>
              <w:t>Bidder’s cross references to supporting information in Technical Bid:</w:t>
            </w:r>
          </w:p>
        </w:tc>
      </w:tr>
      <w:tr w:rsidR="007D7654" w:rsidRPr="008C4A39" w14:paraId="4A4DDDBA" w14:textId="77777777" w:rsidTr="00883B07">
        <w:trPr>
          <w:tblHeader/>
        </w:trPr>
        <w:tc>
          <w:tcPr>
            <w:tcW w:w="2785" w:type="dxa"/>
            <w:shd w:val="clear" w:color="auto" w:fill="D9D9D9"/>
          </w:tcPr>
          <w:p w14:paraId="02130FF9"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30586600"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39E2F0BE" w14:textId="77777777" w:rsidTr="00883B07">
        <w:tc>
          <w:tcPr>
            <w:tcW w:w="9355" w:type="dxa"/>
            <w:gridSpan w:val="2"/>
          </w:tcPr>
          <w:p w14:paraId="283FFD3E" w14:textId="77777777" w:rsidR="007D7654" w:rsidRPr="008C4A39" w:rsidRDefault="007D7654" w:rsidP="001136D3">
            <w:pPr>
              <w:spacing w:after="0"/>
              <w:rPr>
                <w:b/>
                <w:szCs w:val="24"/>
              </w:rPr>
            </w:pPr>
            <w:r w:rsidRPr="008C4A39">
              <w:rPr>
                <w:b/>
                <w:szCs w:val="24"/>
              </w:rPr>
              <w:t>2.5 Data Conversion and Migration</w:t>
            </w:r>
          </w:p>
        </w:tc>
      </w:tr>
      <w:tr w:rsidR="007D7654" w:rsidRPr="008C4A39" w14:paraId="4DD478F6" w14:textId="77777777" w:rsidTr="00883B07">
        <w:tc>
          <w:tcPr>
            <w:tcW w:w="2785" w:type="dxa"/>
          </w:tcPr>
          <w:p w14:paraId="523A6BDC" w14:textId="77777777" w:rsidR="007D7654" w:rsidRPr="008C4A39" w:rsidRDefault="007D7654" w:rsidP="001136D3">
            <w:pPr>
              <w:spacing w:after="0"/>
              <w:rPr>
                <w:szCs w:val="24"/>
              </w:rPr>
            </w:pPr>
            <w:r w:rsidRPr="008C4A39">
              <w:rPr>
                <w:szCs w:val="24"/>
              </w:rPr>
              <w:t>2.5.1</w:t>
            </w:r>
          </w:p>
        </w:tc>
        <w:tc>
          <w:tcPr>
            <w:tcW w:w="6570" w:type="dxa"/>
          </w:tcPr>
          <w:p w14:paraId="2648B1A9" w14:textId="77777777" w:rsidR="007D7654" w:rsidRPr="008C4A39" w:rsidRDefault="007D7654" w:rsidP="001136D3">
            <w:pPr>
              <w:spacing w:after="0"/>
              <w:rPr>
                <w:szCs w:val="24"/>
              </w:rPr>
            </w:pPr>
            <w:r w:rsidRPr="008C4A39">
              <w:rPr>
                <w:szCs w:val="24"/>
              </w:rPr>
              <w:t>T</w:t>
            </w:r>
            <w:r w:rsidRPr="008C4A39">
              <w:rPr>
                <w:szCs w:val="24"/>
                <w:lang w:val="mk-MK"/>
              </w:rPr>
              <w:t>he Supplier is required to provide Data Conversion and Migration Services according to the following specifications</w:t>
            </w:r>
          </w:p>
        </w:tc>
      </w:tr>
      <w:tr w:rsidR="007D7654" w:rsidRPr="008C4A39" w14:paraId="5BFDC9D7" w14:textId="77777777" w:rsidTr="00883B07">
        <w:tc>
          <w:tcPr>
            <w:tcW w:w="9355" w:type="dxa"/>
            <w:gridSpan w:val="2"/>
          </w:tcPr>
          <w:p w14:paraId="6B3143A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CCBF069" w14:textId="77777777" w:rsidTr="00883B07">
        <w:tc>
          <w:tcPr>
            <w:tcW w:w="9355" w:type="dxa"/>
            <w:gridSpan w:val="2"/>
          </w:tcPr>
          <w:p w14:paraId="32352B53"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5D3D1D75" w14:textId="77777777" w:rsidTr="00883B07">
        <w:trPr>
          <w:tblHeader/>
        </w:trPr>
        <w:tc>
          <w:tcPr>
            <w:tcW w:w="2785" w:type="dxa"/>
            <w:shd w:val="clear" w:color="auto" w:fill="D9D9D9"/>
          </w:tcPr>
          <w:p w14:paraId="3201FB02"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110739B2"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6DC9A400" w14:textId="77777777" w:rsidTr="00883B07">
        <w:tc>
          <w:tcPr>
            <w:tcW w:w="9355" w:type="dxa"/>
            <w:gridSpan w:val="2"/>
          </w:tcPr>
          <w:p w14:paraId="0C9FE966" w14:textId="77777777" w:rsidR="007D7654" w:rsidRPr="008C4A39" w:rsidRDefault="007D7654" w:rsidP="001136D3">
            <w:pPr>
              <w:spacing w:after="0"/>
              <w:rPr>
                <w:b/>
                <w:szCs w:val="24"/>
              </w:rPr>
            </w:pPr>
            <w:r w:rsidRPr="008C4A39">
              <w:rPr>
                <w:b/>
                <w:szCs w:val="24"/>
              </w:rPr>
              <w:t>2.6 Documentation Requirements</w:t>
            </w:r>
          </w:p>
        </w:tc>
      </w:tr>
      <w:tr w:rsidR="007D7654" w:rsidRPr="008C4A39" w14:paraId="7140D9E4" w14:textId="77777777" w:rsidTr="00883B07">
        <w:tc>
          <w:tcPr>
            <w:tcW w:w="2785" w:type="dxa"/>
          </w:tcPr>
          <w:p w14:paraId="6BA58BCF" w14:textId="77777777" w:rsidR="007D7654" w:rsidRPr="008C4A39" w:rsidRDefault="007D7654" w:rsidP="001136D3">
            <w:pPr>
              <w:spacing w:after="0"/>
              <w:rPr>
                <w:szCs w:val="24"/>
              </w:rPr>
            </w:pPr>
            <w:r w:rsidRPr="008C4A39">
              <w:rPr>
                <w:szCs w:val="24"/>
              </w:rPr>
              <w:t>2.6.1</w:t>
            </w:r>
          </w:p>
        </w:tc>
        <w:tc>
          <w:tcPr>
            <w:tcW w:w="6570" w:type="dxa"/>
          </w:tcPr>
          <w:p w14:paraId="48F16F1F" w14:textId="77777777" w:rsidR="007D7654" w:rsidRPr="008C4A39" w:rsidRDefault="007D7654" w:rsidP="001136D3">
            <w:pPr>
              <w:spacing w:after="0"/>
              <w:rPr>
                <w:szCs w:val="24"/>
              </w:rPr>
            </w:pPr>
            <w:r w:rsidRPr="008C4A39">
              <w:rPr>
                <w:bCs/>
                <w:iCs/>
                <w:szCs w:val="24"/>
              </w:rPr>
              <w:t>The Supplier MUST prepare and provide the following Documentation</w:t>
            </w:r>
          </w:p>
        </w:tc>
      </w:tr>
      <w:tr w:rsidR="007D7654" w:rsidRPr="008C4A39" w14:paraId="2CD7BA11" w14:textId="77777777" w:rsidTr="00883B07">
        <w:tc>
          <w:tcPr>
            <w:tcW w:w="9355" w:type="dxa"/>
            <w:gridSpan w:val="2"/>
          </w:tcPr>
          <w:p w14:paraId="5FF3F3AA"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8EC9E14" w14:textId="77777777" w:rsidTr="00883B07">
        <w:tc>
          <w:tcPr>
            <w:tcW w:w="9355" w:type="dxa"/>
            <w:gridSpan w:val="2"/>
          </w:tcPr>
          <w:p w14:paraId="6B09FAEF"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17058E6F" w14:textId="77777777" w:rsidTr="00883B07">
        <w:trPr>
          <w:tblHeader/>
        </w:trPr>
        <w:tc>
          <w:tcPr>
            <w:tcW w:w="2785" w:type="dxa"/>
            <w:shd w:val="clear" w:color="auto" w:fill="D9D9D9"/>
          </w:tcPr>
          <w:p w14:paraId="5DCB95FB" w14:textId="77777777" w:rsidR="007D7654" w:rsidRPr="008C4A39" w:rsidRDefault="007D7654" w:rsidP="001136D3">
            <w:pPr>
              <w:spacing w:after="0"/>
              <w:rPr>
                <w:b/>
                <w:szCs w:val="24"/>
              </w:rPr>
            </w:pPr>
            <w:r w:rsidRPr="008C4A39">
              <w:rPr>
                <w:b/>
                <w:szCs w:val="24"/>
              </w:rPr>
              <w:t>Tech. Req. Number</w:t>
            </w:r>
          </w:p>
        </w:tc>
        <w:tc>
          <w:tcPr>
            <w:tcW w:w="6570" w:type="dxa"/>
            <w:shd w:val="clear" w:color="auto" w:fill="D9D9D9"/>
          </w:tcPr>
          <w:p w14:paraId="664598D8" w14:textId="77777777" w:rsidR="007D7654" w:rsidRPr="008C4A39" w:rsidRDefault="007D7654" w:rsidP="001136D3">
            <w:pPr>
              <w:spacing w:after="0"/>
              <w:jc w:val="left"/>
              <w:rPr>
                <w:b/>
                <w:szCs w:val="24"/>
              </w:rPr>
            </w:pPr>
            <w:r w:rsidRPr="008C4A39">
              <w:rPr>
                <w:b/>
                <w:szCs w:val="24"/>
              </w:rPr>
              <w:t>Technical Requirement</w:t>
            </w:r>
          </w:p>
        </w:tc>
      </w:tr>
      <w:tr w:rsidR="007D7654" w:rsidRPr="008C4A39" w14:paraId="6D8755F2" w14:textId="77777777" w:rsidTr="00883B07">
        <w:tc>
          <w:tcPr>
            <w:tcW w:w="9355" w:type="dxa"/>
            <w:gridSpan w:val="2"/>
          </w:tcPr>
          <w:p w14:paraId="4B35E462" w14:textId="77777777" w:rsidR="007D7654" w:rsidRPr="008C4A39" w:rsidRDefault="007D7654" w:rsidP="001136D3">
            <w:pPr>
              <w:spacing w:after="0"/>
              <w:rPr>
                <w:b/>
                <w:szCs w:val="24"/>
              </w:rPr>
            </w:pPr>
            <w:r w:rsidRPr="008C4A39">
              <w:rPr>
                <w:b/>
                <w:szCs w:val="24"/>
              </w:rPr>
              <w:t>3.0 General Technical Requirements</w:t>
            </w:r>
          </w:p>
        </w:tc>
      </w:tr>
      <w:tr w:rsidR="007D7654" w:rsidRPr="008C4A39" w14:paraId="412BC259" w14:textId="77777777" w:rsidTr="00883B07">
        <w:tc>
          <w:tcPr>
            <w:tcW w:w="2785" w:type="dxa"/>
          </w:tcPr>
          <w:p w14:paraId="7BF916A7" w14:textId="77777777" w:rsidR="007D7654" w:rsidRPr="008C4A39" w:rsidRDefault="007D7654" w:rsidP="001136D3">
            <w:pPr>
              <w:spacing w:after="0"/>
              <w:rPr>
                <w:szCs w:val="24"/>
              </w:rPr>
            </w:pPr>
            <w:r w:rsidRPr="008C4A39">
              <w:rPr>
                <w:szCs w:val="24"/>
              </w:rPr>
              <w:t>3.0.1</w:t>
            </w:r>
          </w:p>
        </w:tc>
        <w:tc>
          <w:tcPr>
            <w:tcW w:w="6570" w:type="dxa"/>
          </w:tcPr>
          <w:p w14:paraId="1DE6FAAF" w14:textId="77777777" w:rsidR="007D7654" w:rsidRPr="008C4A39" w:rsidRDefault="007D7654" w:rsidP="001136D3">
            <w:pPr>
              <w:spacing w:after="0"/>
              <w:rPr>
                <w:szCs w:val="24"/>
              </w:rPr>
            </w:pPr>
            <w:r w:rsidRPr="008C4A39">
              <w:rPr>
                <w:bCs/>
                <w:color w:val="000000"/>
                <w:szCs w:val="24"/>
              </w:rPr>
              <w:t>Power Supply Standard</w:t>
            </w:r>
          </w:p>
        </w:tc>
      </w:tr>
      <w:tr w:rsidR="007D7654" w:rsidRPr="008C4A39" w14:paraId="0D075A46" w14:textId="77777777" w:rsidTr="00883B07">
        <w:tc>
          <w:tcPr>
            <w:tcW w:w="9355" w:type="dxa"/>
            <w:gridSpan w:val="2"/>
          </w:tcPr>
          <w:p w14:paraId="46CBA1B4"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32AE878C" w14:textId="77777777" w:rsidTr="00883B07">
        <w:tc>
          <w:tcPr>
            <w:tcW w:w="9355" w:type="dxa"/>
            <w:gridSpan w:val="2"/>
          </w:tcPr>
          <w:p w14:paraId="6E1EE7C6"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22F3FF22" w14:textId="77777777" w:rsidTr="00883B07">
        <w:tc>
          <w:tcPr>
            <w:tcW w:w="2785" w:type="dxa"/>
          </w:tcPr>
          <w:p w14:paraId="6C92DFFF" w14:textId="77777777" w:rsidR="007D7654" w:rsidRPr="008C4A39" w:rsidRDefault="007D7654" w:rsidP="001136D3">
            <w:pPr>
              <w:spacing w:after="0"/>
              <w:rPr>
                <w:szCs w:val="24"/>
              </w:rPr>
            </w:pPr>
            <w:r w:rsidRPr="008C4A39">
              <w:rPr>
                <w:szCs w:val="24"/>
              </w:rPr>
              <w:t>3.0.2</w:t>
            </w:r>
          </w:p>
        </w:tc>
        <w:tc>
          <w:tcPr>
            <w:tcW w:w="6570" w:type="dxa"/>
          </w:tcPr>
          <w:p w14:paraId="59A8272E" w14:textId="77777777" w:rsidR="007D7654" w:rsidRPr="008C4A39" w:rsidRDefault="007D7654" w:rsidP="001136D3">
            <w:pPr>
              <w:spacing w:after="0"/>
              <w:rPr>
                <w:szCs w:val="24"/>
              </w:rPr>
            </w:pPr>
            <w:r w:rsidRPr="008C4A39">
              <w:rPr>
                <w:bCs/>
                <w:color w:val="000000"/>
                <w:szCs w:val="24"/>
              </w:rPr>
              <w:t xml:space="preserve">Environmental Standard  </w:t>
            </w:r>
          </w:p>
        </w:tc>
      </w:tr>
      <w:tr w:rsidR="007D7654" w:rsidRPr="008C4A39" w14:paraId="6B2E2617" w14:textId="77777777" w:rsidTr="00883B07">
        <w:tc>
          <w:tcPr>
            <w:tcW w:w="9355" w:type="dxa"/>
            <w:gridSpan w:val="2"/>
          </w:tcPr>
          <w:p w14:paraId="058F72A7"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71800014" w14:textId="77777777" w:rsidTr="00883B07">
        <w:tc>
          <w:tcPr>
            <w:tcW w:w="9355" w:type="dxa"/>
            <w:gridSpan w:val="2"/>
          </w:tcPr>
          <w:p w14:paraId="64782DC0" w14:textId="77777777" w:rsidR="007D7654" w:rsidRPr="008C4A39" w:rsidRDefault="007D7654" w:rsidP="001136D3">
            <w:pPr>
              <w:spacing w:after="0"/>
              <w:rPr>
                <w:szCs w:val="24"/>
              </w:rPr>
            </w:pPr>
            <w:r w:rsidRPr="008C4A39">
              <w:rPr>
                <w:szCs w:val="24"/>
              </w:rPr>
              <w:t>Bidder’s cross references to supporting information in Technical Bid:</w:t>
            </w:r>
          </w:p>
        </w:tc>
      </w:tr>
      <w:tr w:rsidR="007D7654" w:rsidRPr="008C4A39" w14:paraId="4A2D2291" w14:textId="77777777" w:rsidTr="00883B07">
        <w:tc>
          <w:tcPr>
            <w:tcW w:w="2785" w:type="dxa"/>
          </w:tcPr>
          <w:p w14:paraId="568FFD98" w14:textId="25C86C69" w:rsidR="007D7654" w:rsidRPr="008C4A39" w:rsidRDefault="007D7654" w:rsidP="001136D3">
            <w:pPr>
              <w:spacing w:after="0"/>
              <w:rPr>
                <w:szCs w:val="24"/>
              </w:rPr>
            </w:pPr>
            <w:r w:rsidRPr="008C4A39">
              <w:rPr>
                <w:szCs w:val="24"/>
              </w:rPr>
              <w:t>3.0.</w:t>
            </w:r>
            <w:r w:rsidR="004059B2">
              <w:rPr>
                <w:szCs w:val="24"/>
              </w:rPr>
              <w:t>3</w:t>
            </w:r>
          </w:p>
        </w:tc>
        <w:tc>
          <w:tcPr>
            <w:tcW w:w="6570" w:type="dxa"/>
          </w:tcPr>
          <w:p w14:paraId="6D0093A5" w14:textId="77777777" w:rsidR="007D7654" w:rsidRPr="008C4A39" w:rsidRDefault="007D7654" w:rsidP="001136D3">
            <w:pPr>
              <w:spacing w:after="0"/>
              <w:rPr>
                <w:szCs w:val="24"/>
              </w:rPr>
            </w:pPr>
            <w:r w:rsidRPr="008C4A39">
              <w:rPr>
                <w:bCs/>
                <w:color w:val="000000"/>
                <w:szCs w:val="24"/>
              </w:rPr>
              <w:t>Installation, Configuration and Start-up</w:t>
            </w:r>
          </w:p>
        </w:tc>
      </w:tr>
      <w:tr w:rsidR="007D7654" w:rsidRPr="008C4A39" w14:paraId="07967F98" w14:textId="77777777" w:rsidTr="00883B07">
        <w:tc>
          <w:tcPr>
            <w:tcW w:w="9355" w:type="dxa"/>
            <w:gridSpan w:val="2"/>
          </w:tcPr>
          <w:p w14:paraId="4093F7CE" w14:textId="77777777" w:rsidR="007D7654" w:rsidRPr="008C4A39" w:rsidRDefault="007D7654" w:rsidP="001136D3">
            <w:pPr>
              <w:spacing w:after="0"/>
              <w:rPr>
                <w:szCs w:val="24"/>
              </w:rPr>
            </w:pPr>
            <w:r w:rsidRPr="008C4A39">
              <w:rPr>
                <w:szCs w:val="24"/>
              </w:rPr>
              <w:t xml:space="preserve">Bidder’s technical reasons supporting compliance:  </w:t>
            </w:r>
          </w:p>
        </w:tc>
      </w:tr>
      <w:tr w:rsidR="007D7654" w:rsidRPr="008C4A39" w14:paraId="0B2ADD53" w14:textId="77777777" w:rsidTr="00883B07">
        <w:tc>
          <w:tcPr>
            <w:tcW w:w="9355" w:type="dxa"/>
            <w:gridSpan w:val="2"/>
          </w:tcPr>
          <w:p w14:paraId="33A990F5" w14:textId="77777777" w:rsidR="007D7654" w:rsidRPr="008C4A39" w:rsidRDefault="007D7654" w:rsidP="001136D3">
            <w:pPr>
              <w:spacing w:after="0"/>
              <w:rPr>
                <w:szCs w:val="24"/>
              </w:rPr>
            </w:pPr>
            <w:r w:rsidRPr="008C4A39">
              <w:rPr>
                <w:szCs w:val="24"/>
              </w:rPr>
              <w:t>Bidder’s cross references to supporting information in Technical Bid:</w:t>
            </w:r>
          </w:p>
        </w:tc>
      </w:tr>
    </w:tbl>
    <w:p w14:paraId="1A80360E" w14:textId="6C3FCB35" w:rsidR="00FB7C09" w:rsidRDefault="00FB7C09" w:rsidP="001136D3">
      <w:pPr>
        <w:pStyle w:val="Head32"/>
        <w:ind w:right="-360"/>
        <w:jc w:val="both"/>
      </w:pPr>
    </w:p>
    <w:p w14:paraId="6F460F4E" w14:textId="7E01CC01" w:rsidR="00416750" w:rsidRPr="009D68A3" w:rsidRDefault="00416750" w:rsidP="00416750">
      <w:pPr>
        <w:pStyle w:val="Head32"/>
        <w:ind w:right="-360"/>
        <w:rPr>
          <w:sz w:val="32"/>
          <w:szCs w:val="32"/>
          <w:u w:val="single"/>
        </w:rPr>
      </w:pPr>
      <w:r w:rsidRPr="009D68A3">
        <w:rPr>
          <w:sz w:val="32"/>
          <w:szCs w:val="32"/>
          <w:u w:val="single"/>
        </w:rPr>
        <w:t xml:space="preserve">Technical Responsiveness Checklist </w:t>
      </w:r>
      <w:r w:rsidR="009D68A3" w:rsidRPr="009D68A3">
        <w:rPr>
          <w:sz w:val="32"/>
          <w:szCs w:val="32"/>
          <w:u w:val="single"/>
        </w:rPr>
        <w:t>–</w:t>
      </w:r>
      <w:r w:rsidRPr="009D68A3">
        <w:rPr>
          <w:sz w:val="32"/>
          <w:szCs w:val="32"/>
          <w:u w:val="single"/>
        </w:rPr>
        <w:t xml:space="preserve"> Continue</w:t>
      </w:r>
    </w:p>
    <w:p w14:paraId="59FA01C4" w14:textId="2E6D52C1" w:rsidR="009D68A3" w:rsidRPr="001D7384" w:rsidRDefault="009D68A3" w:rsidP="009D68A3">
      <w:pPr>
        <w:pStyle w:val="NoSpacing"/>
        <w:rPr>
          <w:b/>
        </w:rPr>
      </w:pPr>
      <w:bookmarkStart w:id="673" w:name="_Hlk162905636"/>
      <w:r w:rsidRPr="001D7384">
        <w:rPr>
          <w:b/>
        </w:rPr>
        <w:t>3.1.1.</w:t>
      </w:r>
      <w:r w:rsidRPr="001D7384">
        <w:t xml:space="preserve"> </w:t>
      </w:r>
      <w:r w:rsidRPr="001D7384">
        <w:rPr>
          <w:b/>
        </w:rPr>
        <w:t xml:space="preserve">Minimum Hardware Requirements </w:t>
      </w:r>
    </w:p>
    <w:p w14:paraId="03155FAA" w14:textId="77777777" w:rsidR="009D68A3" w:rsidRPr="001D7384" w:rsidRDefault="009D68A3" w:rsidP="009D68A3">
      <w:pPr>
        <w:pStyle w:val="NoSpacing"/>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274"/>
        <w:gridCol w:w="708"/>
      </w:tblGrid>
      <w:tr w:rsidR="009D68A3" w:rsidRPr="001D7384" w14:paraId="0D58513F" w14:textId="77777777" w:rsidTr="00952869">
        <w:trPr>
          <w:trHeight w:val="680"/>
          <w:jc w:val="center"/>
        </w:trPr>
        <w:tc>
          <w:tcPr>
            <w:tcW w:w="817" w:type="dxa"/>
            <w:shd w:val="clear" w:color="auto" w:fill="D5DCE4"/>
            <w:vAlign w:val="center"/>
            <w:hideMark/>
          </w:tcPr>
          <w:p w14:paraId="6722A1A7" w14:textId="77777777" w:rsidR="009D68A3" w:rsidRPr="001D7384" w:rsidRDefault="009D68A3" w:rsidP="009D68A3">
            <w:pPr>
              <w:spacing w:after="0"/>
              <w:jc w:val="center"/>
              <w:rPr>
                <w:b/>
                <w:bCs/>
                <w:szCs w:val="22"/>
                <w:lang w:val="sr-Latn-RS"/>
              </w:rPr>
            </w:pPr>
            <w:r w:rsidRPr="001D7384">
              <w:rPr>
                <w:b/>
                <w:bCs/>
                <w:szCs w:val="22"/>
              </w:rPr>
              <w:t>Item No</w:t>
            </w:r>
          </w:p>
        </w:tc>
        <w:tc>
          <w:tcPr>
            <w:tcW w:w="5274" w:type="dxa"/>
            <w:shd w:val="clear" w:color="auto" w:fill="D5DCE4"/>
            <w:noWrap/>
            <w:vAlign w:val="center"/>
            <w:hideMark/>
          </w:tcPr>
          <w:p w14:paraId="36A081A0" w14:textId="77777777" w:rsidR="009D68A3" w:rsidRPr="001D7384" w:rsidRDefault="009D68A3" w:rsidP="009D68A3">
            <w:pPr>
              <w:spacing w:after="0"/>
              <w:jc w:val="center"/>
              <w:rPr>
                <w:b/>
                <w:bCs/>
                <w:szCs w:val="22"/>
              </w:rPr>
            </w:pPr>
            <w:r w:rsidRPr="001D7384">
              <w:rPr>
                <w:b/>
                <w:bCs/>
                <w:szCs w:val="22"/>
              </w:rPr>
              <w:t xml:space="preserve">Item </w:t>
            </w:r>
          </w:p>
        </w:tc>
        <w:tc>
          <w:tcPr>
            <w:tcW w:w="708" w:type="dxa"/>
            <w:tcBorders>
              <w:right w:val="single" w:sz="4" w:space="0" w:color="auto"/>
            </w:tcBorders>
            <w:shd w:val="clear" w:color="auto" w:fill="D5DCE4"/>
            <w:noWrap/>
            <w:vAlign w:val="center"/>
            <w:hideMark/>
          </w:tcPr>
          <w:p w14:paraId="46999790" w14:textId="77777777" w:rsidR="009D68A3" w:rsidRPr="001D7384" w:rsidRDefault="009D68A3" w:rsidP="009D68A3">
            <w:pPr>
              <w:spacing w:after="0"/>
              <w:jc w:val="center"/>
              <w:rPr>
                <w:b/>
                <w:bCs/>
                <w:szCs w:val="22"/>
              </w:rPr>
            </w:pPr>
            <w:r w:rsidRPr="001D7384">
              <w:rPr>
                <w:b/>
                <w:bCs/>
                <w:szCs w:val="22"/>
              </w:rPr>
              <w:t>Qty</w:t>
            </w:r>
          </w:p>
        </w:tc>
      </w:tr>
      <w:tr w:rsidR="009D68A3" w:rsidRPr="001D7384" w14:paraId="37119464" w14:textId="77777777" w:rsidTr="00952869">
        <w:trPr>
          <w:trHeight w:val="288"/>
          <w:jc w:val="center"/>
        </w:trPr>
        <w:tc>
          <w:tcPr>
            <w:tcW w:w="817" w:type="dxa"/>
            <w:shd w:val="clear" w:color="auto" w:fill="auto"/>
            <w:noWrap/>
            <w:hideMark/>
          </w:tcPr>
          <w:p w14:paraId="1031A0E0" w14:textId="77777777" w:rsidR="009D68A3" w:rsidRPr="001D7384" w:rsidRDefault="009D68A3" w:rsidP="009D68A3">
            <w:pPr>
              <w:spacing w:after="0"/>
              <w:rPr>
                <w:szCs w:val="22"/>
              </w:rPr>
            </w:pPr>
            <w:r w:rsidRPr="001D7384">
              <w:rPr>
                <w:szCs w:val="22"/>
              </w:rPr>
              <w:t>1.1</w:t>
            </w:r>
          </w:p>
        </w:tc>
        <w:tc>
          <w:tcPr>
            <w:tcW w:w="5274" w:type="dxa"/>
            <w:shd w:val="clear" w:color="auto" w:fill="auto"/>
            <w:noWrap/>
            <w:hideMark/>
          </w:tcPr>
          <w:p w14:paraId="5AF573AF" w14:textId="77777777" w:rsidR="009D68A3" w:rsidRPr="001D7384" w:rsidRDefault="009D68A3" w:rsidP="009D68A3">
            <w:pPr>
              <w:spacing w:after="0"/>
              <w:rPr>
                <w:szCs w:val="22"/>
              </w:rPr>
            </w:pPr>
            <w:r w:rsidRPr="001D7384">
              <w:rPr>
                <w:szCs w:val="22"/>
              </w:rPr>
              <w:t xml:space="preserve">Server Rack with equipment </w:t>
            </w:r>
          </w:p>
        </w:tc>
        <w:tc>
          <w:tcPr>
            <w:tcW w:w="708" w:type="dxa"/>
            <w:tcBorders>
              <w:right w:val="single" w:sz="4" w:space="0" w:color="auto"/>
            </w:tcBorders>
            <w:shd w:val="clear" w:color="auto" w:fill="auto"/>
            <w:noWrap/>
            <w:hideMark/>
          </w:tcPr>
          <w:p w14:paraId="1563F743" w14:textId="77777777" w:rsidR="009D68A3" w:rsidRPr="001D7384" w:rsidRDefault="009D68A3" w:rsidP="009D68A3">
            <w:pPr>
              <w:spacing w:after="0"/>
              <w:rPr>
                <w:szCs w:val="22"/>
              </w:rPr>
            </w:pPr>
            <w:r w:rsidRPr="001D7384">
              <w:rPr>
                <w:szCs w:val="22"/>
              </w:rPr>
              <w:t>1</w:t>
            </w:r>
          </w:p>
        </w:tc>
      </w:tr>
      <w:tr w:rsidR="009D68A3" w:rsidRPr="001D7384" w14:paraId="3F09A01E" w14:textId="77777777" w:rsidTr="00952869">
        <w:trPr>
          <w:trHeight w:val="288"/>
          <w:jc w:val="center"/>
        </w:trPr>
        <w:tc>
          <w:tcPr>
            <w:tcW w:w="817" w:type="dxa"/>
            <w:shd w:val="clear" w:color="auto" w:fill="auto"/>
            <w:noWrap/>
            <w:hideMark/>
          </w:tcPr>
          <w:p w14:paraId="38768C02" w14:textId="77777777" w:rsidR="009D68A3" w:rsidRPr="001D7384" w:rsidRDefault="009D68A3" w:rsidP="009D68A3">
            <w:pPr>
              <w:spacing w:after="0"/>
              <w:rPr>
                <w:szCs w:val="22"/>
              </w:rPr>
            </w:pPr>
            <w:r w:rsidRPr="001D7384">
              <w:rPr>
                <w:szCs w:val="22"/>
              </w:rPr>
              <w:t>1.2</w:t>
            </w:r>
          </w:p>
        </w:tc>
        <w:tc>
          <w:tcPr>
            <w:tcW w:w="5274" w:type="dxa"/>
            <w:shd w:val="clear" w:color="auto" w:fill="auto"/>
            <w:hideMark/>
          </w:tcPr>
          <w:p w14:paraId="36E5EDBD" w14:textId="77777777" w:rsidR="009D68A3" w:rsidRPr="001D7384" w:rsidRDefault="009D68A3" w:rsidP="009D68A3">
            <w:pPr>
              <w:spacing w:after="0"/>
              <w:rPr>
                <w:szCs w:val="22"/>
              </w:rPr>
            </w:pPr>
            <w:r w:rsidRPr="001D7384">
              <w:rPr>
                <w:szCs w:val="22"/>
              </w:rPr>
              <w:t>Top-of-rack (</w:t>
            </w:r>
            <w:proofErr w:type="spellStart"/>
            <w:r w:rsidRPr="001D7384">
              <w:rPr>
                <w:szCs w:val="22"/>
              </w:rPr>
              <w:t>ToR</w:t>
            </w:r>
            <w:proofErr w:type="spellEnd"/>
            <w:r w:rsidRPr="001D7384">
              <w:rPr>
                <w:szCs w:val="22"/>
              </w:rPr>
              <w:t>) switches</w:t>
            </w:r>
          </w:p>
        </w:tc>
        <w:tc>
          <w:tcPr>
            <w:tcW w:w="708" w:type="dxa"/>
            <w:tcBorders>
              <w:right w:val="single" w:sz="4" w:space="0" w:color="auto"/>
            </w:tcBorders>
            <w:shd w:val="clear" w:color="auto" w:fill="auto"/>
            <w:noWrap/>
            <w:hideMark/>
          </w:tcPr>
          <w:p w14:paraId="2DDE2A4D" w14:textId="77777777" w:rsidR="009D68A3" w:rsidRPr="001D7384" w:rsidRDefault="009D68A3" w:rsidP="009D68A3">
            <w:pPr>
              <w:spacing w:after="0"/>
              <w:rPr>
                <w:szCs w:val="22"/>
              </w:rPr>
            </w:pPr>
            <w:r w:rsidRPr="001D7384">
              <w:rPr>
                <w:szCs w:val="22"/>
              </w:rPr>
              <w:t>2 + 1</w:t>
            </w:r>
          </w:p>
        </w:tc>
      </w:tr>
      <w:tr w:rsidR="009D68A3" w:rsidRPr="001D7384" w14:paraId="232E4D6A" w14:textId="77777777" w:rsidTr="00952869">
        <w:trPr>
          <w:trHeight w:val="288"/>
          <w:jc w:val="center"/>
        </w:trPr>
        <w:tc>
          <w:tcPr>
            <w:tcW w:w="817" w:type="dxa"/>
            <w:shd w:val="clear" w:color="auto" w:fill="auto"/>
            <w:noWrap/>
            <w:hideMark/>
          </w:tcPr>
          <w:p w14:paraId="6F50780F" w14:textId="77777777" w:rsidR="009D68A3" w:rsidRPr="001D7384" w:rsidRDefault="009D68A3" w:rsidP="009D68A3">
            <w:pPr>
              <w:spacing w:after="0"/>
              <w:rPr>
                <w:szCs w:val="22"/>
              </w:rPr>
            </w:pPr>
            <w:r w:rsidRPr="001D7384">
              <w:rPr>
                <w:szCs w:val="22"/>
              </w:rPr>
              <w:t>1.3</w:t>
            </w:r>
          </w:p>
        </w:tc>
        <w:tc>
          <w:tcPr>
            <w:tcW w:w="5274" w:type="dxa"/>
            <w:shd w:val="clear" w:color="auto" w:fill="auto"/>
            <w:noWrap/>
            <w:hideMark/>
          </w:tcPr>
          <w:p w14:paraId="7D1ADD7E" w14:textId="77777777" w:rsidR="009D68A3" w:rsidRPr="001D7384" w:rsidRDefault="009D68A3" w:rsidP="009D68A3">
            <w:pPr>
              <w:spacing w:after="0"/>
              <w:rPr>
                <w:szCs w:val="22"/>
              </w:rPr>
            </w:pPr>
            <w:r w:rsidRPr="001D7384">
              <w:rPr>
                <w:szCs w:val="22"/>
              </w:rPr>
              <w:t>Network Out-of-Band Management (OOBM) switch</w:t>
            </w:r>
          </w:p>
        </w:tc>
        <w:tc>
          <w:tcPr>
            <w:tcW w:w="708" w:type="dxa"/>
            <w:tcBorders>
              <w:right w:val="single" w:sz="4" w:space="0" w:color="auto"/>
            </w:tcBorders>
            <w:shd w:val="clear" w:color="auto" w:fill="auto"/>
            <w:noWrap/>
            <w:hideMark/>
          </w:tcPr>
          <w:p w14:paraId="0AB02955" w14:textId="77777777" w:rsidR="009D68A3" w:rsidRPr="001D7384" w:rsidRDefault="009D68A3" w:rsidP="009D68A3">
            <w:pPr>
              <w:spacing w:after="0"/>
              <w:rPr>
                <w:szCs w:val="22"/>
              </w:rPr>
            </w:pPr>
            <w:r w:rsidRPr="001D7384">
              <w:rPr>
                <w:szCs w:val="22"/>
              </w:rPr>
              <w:t>2</w:t>
            </w:r>
          </w:p>
        </w:tc>
      </w:tr>
      <w:tr w:rsidR="009D68A3" w:rsidRPr="001D7384" w14:paraId="1FC66E08" w14:textId="77777777" w:rsidTr="00952869">
        <w:trPr>
          <w:trHeight w:val="288"/>
          <w:jc w:val="center"/>
        </w:trPr>
        <w:tc>
          <w:tcPr>
            <w:tcW w:w="817" w:type="dxa"/>
            <w:shd w:val="clear" w:color="auto" w:fill="auto"/>
            <w:noWrap/>
            <w:hideMark/>
          </w:tcPr>
          <w:p w14:paraId="425CA370" w14:textId="77777777" w:rsidR="009D68A3" w:rsidRPr="001D7384" w:rsidRDefault="009D68A3" w:rsidP="009D68A3">
            <w:pPr>
              <w:spacing w:after="0"/>
              <w:rPr>
                <w:szCs w:val="22"/>
              </w:rPr>
            </w:pPr>
            <w:r w:rsidRPr="001D7384">
              <w:rPr>
                <w:szCs w:val="22"/>
              </w:rPr>
              <w:t>1.4</w:t>
            </w:r>
          </w:p>
        </w:tc>
        <w:tc>
          <w:tcPr>
            <w:tcW w:w="5274" w:type="dxa"/>
            <w:shd w:val="clear" w:color="auto" w:fill="auto"/>
            <w:noWrap/>
            <w:hideMark/>
          </w:tcPr>
          <w:p w14:paraId="76F6E7E9" w14:textId="77777777" w:rsidR="009D68A3" w:rsidRPr="001D7384" w:rsidRDefault="009D68A3" w:rsidP="009D68A3">
            <w:pPr>
              <w:spacing w:after="0"/>
              <w:rPr>
                <w:szCs w:val="22"/>
              </w:rPr>
            </w:pPr>
            <w:r w:rsidRPr="001D7384">
              <w:rPr>
                <w:szCs w:val="22"/>
              </w:rPr>
              <w:t xml:space="preserve">Database Servers – Virtualized UNIX/Linux hosts        </w:t>
            </w:r>
          </w:p>
        </w:tc>
        <w:tc>
          <w:tcPr>
            <w:tcW w:w="708" w:type="dxa"/>
            <w:tcBorders>
              <w:right w:val="single" w:sz="4" w:space="0" w:color="auto"/>
            </w:tcBorders>
            <w:shd w:val="clear" w:color="auto" w:fill="auto"/>
            <w:noWrap/>
            <w:hideMark/>
          </w:tcPr>
          <w:p w14:paraId="792BC8E2" w14:textId="77777777" w:rsidR="009D68A3" w:rsidRPr="001D7384" w:rsidRDefault="009D68A3" w:rsidP="009D68A3">
            <w:pPr>
              <w:spacing w:after="0"/>
              <w:rPr>
                <w:szCs w:val="22"/>
              </w:rPr>
            </w:pPr>
            <w:r w:rsidRPr="001D7384">
              <w:rPr>
                <w:szCs w:val="22"/>
              </w:rPr>
              <w:t>2 + 1</w:t>
            </w:r>
          </w:p>
        </w:tc>
      </w:tr>
      <w:tr w:rsidR="009D68A3" w:rsidRPr="001D7384" w14:paraId="51ED1307" w14:textId="77777777" w:rsidTr="00952869">
        <w:trPr>
          <w:trHeight w:val="288"/>
          <w:jc w:val="center"/>
        </w:trPr>
        <w:tc>
          <w:tcPr>
            <w:tcW w:w="817" w:type="dxa"/>
            <w:shd w:val="clear" w:color="auto" w:fill="auto"/>
            <w:noWrap/>
            <w:hideMark/>
          </w:tcPr>
          <w:p w14:paraId="1A77D9FD" w14:textId="77777777" w:rsidR="009D68A3" w:rsidRPr="001D7384" w:rsidRDefault="009D68A3" w:rsidP="009D68A3">
            <w:pPr>
              <w:spacing w:after="0"/>
              <w:rPr>
                <w:szCs w:val="22"/>
              </w:rPr>
            </w:pPr>
            <w:r w:rsidRPr="001D7384">
              <w:rPr>
                <w:szCs w:val="22"/>
              </w:rPr>
              <w:t>1.5</w:t>
            </w:r>
          </w:p>
        </w:tc>
        <w:tc>
          <w:tcPr>
            <w:tcW w:w="5274" w:type="dxa"/>
            <w:shd w:val="clear" w:color="auto" w:fill="auto"/>
            <w:noWrap/>
            <w:hideMark/>
          </w:tcPr>
          <w:p w14:paraId="02F2716A" w14:textId="77777777" w:rsidR="009D68A3" w:rsidRPr="001D7384" w:rsidRDefault="009D68A3" w:rsidP="009D68A3">
            <w:pPr>
              <w:spacing w:after="0"/>
              <w:rPr>
                <w:szCs w:val="22"/>
              </w:rPr>
            </w:pPr>
            <w:r w:rsidRPr="001D7384">
              <w:rPr>
                <w:szCs w:val="22"/>
              </w:rPr>
              <w:t>General Compute Servers – Hypervisor hosts</w:t>
            </w:r>
          </w:p>
        </w:tc>
        <w:tc>
          <w:tcPr>
            <w:tcW w:w="708" w:type="dxa"/>
            <w:tcBorders>
              <w:right w:val="single" w:sz="4" w:space="0" w:color="auto"/>
            </w:tcBorders>
            <w:shd w:val="clear" w:color="auto" w:fill="auto"/>
            <w:noWrap/>
            <w:hideMark/>
          </w:tcPr>
          <w:p w14:paraId="29F5B352" w14:textId="77777777" w:rsidR="009D68A3" w:rsidRPr="001D7384" w:rsidRDefault="009D68A3" w:rsidP="009D68A3">
            <w:pPr>
              <w:spacing w:after="0"/>
              <w:rPr>
                <w:szCs w:val="22"/>
              </w:rPr>
            </w:pPr>
            <w:r w:rsidRPr="001D7384">
              <w:rPr>
                <w:szCs w:val="22"/>
              </w:rPr>
              <w:t>4 + 1</w:t>
            </w:r>
          </w:p>
        </w:tc>
      </w:tr>
      <w:tr w:rsidR="009D68A3" w:rsidRPr="001D7384" w14:paraId="78561027" w14:textId="77777777" w:rsidTr="00952869">
        <w:trPr>
          <w:trHeight w:val="288"/>
          <w:jc w:val="center"/>
        </w:trPr>
        <w:tc>
          <w:tcPr>
            <w:tcW w:w="817" w:type="dxa"/>
            <w:shd w:val="clear" w:color="auto" w:fill="auto"/>
            <w:noWrap/>
          </w:tcPr>
          <w:p w14:paraId="0EFFD3E7" w14:textId="77777777" w:rsidR="009D68A3" w:rsidRPr="001D7384" w:rsidRDefault="009D68A3" w:rsidP="009D68A3">
            <w:pPr>
              <w:spacing w:after="0"/>
              <w:rPr>
                <w:szCs w:val="22"/>
              </w:rPr>
            </w:pPr>
            <w:r w:rsidRPr="001D7384">
              <w:rPr>
                <w:szCs w:val="22"/>
              </w:rPr>
              <w:t>1.6</w:t>
            </w:r>
          </w:p>
        </w:tc>
        <w:tc>
          <w:tcPr>
            <w:tcW w:w="5274" w:type="dxa"/>
            <w:shd w:val="clear" w:color="auto" w:fill="auto"/>
            <w:noWrap/>
          </w:tcPr>
          <w:p w14:paraId="07710F07" w14:textId="77777777" w:rsidR="009D68A3" w:rsidRPr="001D7384" w:rsidRDefault="009D68A3" w:rsidP="009D68A3">
            <w:pPr>
              <w:spacing w:after="0"/>
              <w:rPr>
                <w:szCs w:val="22"/>
              </w:rPr>
            </w:pPr>
            <w:r w:rsidRPr="001D7384">
              <w:rPr>
                <w:szCs w:val="22"/>
              </w:rPr>
              <w:t>Central Storage Infrastructure</w:t>
            </w:r>
          </w:p>
        </w:tc>
        <w:tc>
          <w:tcPr>
            <w:tcW w:w="708" w:type="dxa"/>
            <w:tcBorders>
              <w:right w:val="single" w:sz="4" w:space="0" w:color="auto"/>
            </w:tcBorders>
            <w:shd w:val="clear" w:color="auto" w:fill="auto"/>
            <w:noWrap/>
          </w:tcPr>
          <w:p w14:paraId="175A254F" w14:textId="77777777" w:rsidR="009D68A3" w:rsidRPr="001D7384" w:rsidRDefault="009D68A3" w:rsidP="009D68A3">
            <w:pPr>
              <w:spacing w:after="0"/>
              <w:rPr>
                <w:szCs w:val="22"/>
              </w:rPr>
            </w:pPr>
            <w:r w:rsidRPr="001D7384">
              <w:rPr>
                <w:szCs w:val="22"/>
              </w:rPr>
              <w:t>1 + 1</w:t>
            </w:r>
          </w:p>
        </w:tc>
      </w:tr>
      <w:tr w:rsidR="009D68A3" w:rsidRPr="001D7384" w14:paraId="472DDC89" w14:textId="77777777" w:rsidTr="00952869">
        <w:trPr>
          <w:trHeight w:val="288"/>
          <w:jc w:val="center"/>
        </w:trPr>
        <w:tc>
          <w:tcPr>
            <w:tcW w:w="817" w:type="dxa"/>
            <w:shd w:val="clear" w:color="auto" w:fill="auto"/>
            <w:noWrap/>
          </w:tcPr>
          <w:p w14:paraId="18B69AD0" w14:textId="77777777" w:rsidR="009D68A3" w:rsidRPr="001D7384" w:rsidRDefault="009D68A3" w:rsidP="009D68A3">
            <w:pPr>
              <w:spacing w:after="0"/>
              <w:rPr>
                <w:szCs w:val="22"/>
              </w:rPr>
            </w:pPr>
            <w:r w:rsidRPr="001D7384">
              <w:rPr>
                <w:szCs w:val="22"/>
              </w:rPr>
              <w:t>1.7</w:t>
            </w:r>
          </w:p>
        </w:tc>
        <w:tc>
          <w:tcPr>
            <w:tcW w:w="5274" w:type="dxa"/>
            <w:shd w:val="clear" w:color="auto" w:fill="auto"/>
            <w:noWrap/>
          </w:tcPr>
          <w:p w14:paraId="305DCDBE" w14:textId="77777777" w:rsidR="009D68A3" w:rsidRPr="001D7384" w:rsidRDefault="009D68A3" w:rsidP="009D68A3">
            <w:pPr>
              <w:spacing w:after="0"/>
              <w:rPr>
                <w:szCs w:val="22"/>
              </w:rPr>
            </w:pPr>
            <w:r w:rsidRPr="001D7384">
              <w:rPr>
                <w:szCs w:val="22"/>
              </w:rPr>
              <w:t xml:space="preserve">Central FC SAN </w:t>
            </w:r>
            <w:proofErr w:type="spellStart"/>
            <w:r w:rsidRPr="001D7384">
              <w:rPr>
                <w:szCs w:val="22"/>
              </w:rPr>
              <w:t>NVMe</w:t>
            </w:r>
            <w:proofErr w:type="spellEnd"/>
            <w:r w:rsidRPr="001D7384">
              <w:rPr>
                <w:szCs w:val="22"/>
              </w:rPr>
              <w:t xml:space="preserve"> Infrastructure</w:t>
            </w:r>
          </w:p>
        </w:tc>
        <w:tc>
          <w:tcPr>
            <w:tcW w:w="708" w:type="dxa"/>
            <w:tcBorders>
              <w:right w:val="single" w:sz="4" w:space="0" w:color="auto"/>
            </w:tcBorders>
            <w:shd w:val="clear" w:color="auto" w:fill="auto"/>
            <w:noWrap/>
          </w:tcPr>
          <w:p w14:paraId="19AAC3FF" w14:textId="77777777" w:rsidR="009D68A3" w:rsidRPr="001D7384" w:rsidRDefault="009D68A3" w:rsidP="009D68A3">
            <w:pPr>
              <w:spacing w:after="0"/>
              <w:rPr>
                <w:szCs w:val="22"/>
              </w:rPr>
            </w:pPr>
            <w:r w:rsidRPr="001D7384">
              <w:rPr>
                <w:szCs w:val="22"/>
              </w:rPr>
              <w:t>2</w:t>
            </w:r>
          </w:p>
        </w:tc>
      </w:tr>
      <w:tr w:rsidR="009D68A3" w:rsidRPr="001D7384" w14:paraId="09758B6E" w14:textId="77777777" w:rsidTr="00952869">
        <w:trPr>
          <w:trHeight w:val="288"/>
          <w:jc w:val="center"/>
        </w:trPr>
        <w:tc>
          <w:tcPr>
            <w:tcW w:w="817" w:type="dxa"/>
            <w:shd w:val="clear" w:color="auto" w:fill="auto"/>
            <w:noWrap/>
          </w:tcPr>
          <w:p w14:paraId="457257E0" w14:textId="77777777" w:rsidR="009D68A3" w:rsidRPr="001D7384" w:rsidRDefault="009D68A3" w:rsidP="009D68A3">
            <w:pPr>
              <w:spacing w:after="0"/>
              <w:rPr>
                <w:szCs w:val="22"/>
              </w:rPr>
            </w:pPr>
            <w:r w:rsidRPr="001D7384">
              <w:rPr>
                <w:szCs w:val="22"/>
              </w:rPr>
              <w:t>1.8</w:t>
            </w:r>
          </w:p>
        </w:tc>
        <w:tc>
          <w:tcPr>
            <w:tcW w:w="5274" w:type="dxa"/>
            <w:shd w:val="clear" w:color="auto" w:fill="auto"/>
            <w:noWrap/>
          </w:tcPr>
          <w:p w14:paraId="4EA1F9A0" w14:textId="77777777" w:rsidR="009D68A3" w:rsidRPr="001D7384" w:rsidRDefault="009D68A3" w:rsidP="009D68A3">
            <w:pPr>
              <w:spacing w:after="0"/>
              <w:rPr>
                <w:szCs w:val="22"/>
              </w:rPr>
            </w:pPr>
            <w:r w:rsidRPr="001D7384">
              <w:rPr>
                <w:szCs w:val="22"/>
              </w:rPr>
              <w:t>Backup server</w:t>
            </w:r>
          </w:p>
        </w:tc>
        <w:tc>
          <w:tcPr>
            <w:tcW w:w="708" w:type="dxa"/>
            <w:tcBorders>
              <w:right w:val="single" w:sz="4" w:space="0" w:color="auto"/>
            </w:tcBorders>
            <w:shd w:val="clear" w:color="auto" w:fill="auto"/>
            <w:noWrap/>
          </w:tcPr>
          <w:p w14:paraId="36F25361" w14:textId="77777777" w:rsidR="009D68A3" w:rsidRPr="001D7384" w:rsidRDefault="009D68A3" w:rsidP="009D68A3">
            <w:pPr>
              <w:spacing w:after="0"/>
              <w:rPr>
                <w:szCs w:val="22"/>
              </w:rPr>
            </w:pPr>
            <w:r w:rsidRPr="001D7384">
              <w:rPr>
                <w:szCs w:val="22"/>
              </w:rPr>
              <w:t>1</w:t>
            </w:r>
          </w:p>
        </w:tc>
      </w:tr>
      <w:tr w:rsidR="009D68A3" w:rsidRPr="001D7384" w14:paraId="47AA198A" w14:textId="77777777" w:rsidTr="00952869">
        <w:trPr>
          <w:trHeight w:val="288"/>
          <w:jc w:val="center"/>
        </w:trPr>
        <w:tc>
          <w:tcPr>
            <w:tcW w:w="817" w:type="dxa"/>
            <w:shd w:val="clear" w:color="auto" w:fill="auto"/>
            <w:noWrap/>
          </w:tcPr>
          <w:p w14:paraId="7D72B09B" w14:textId="77777777" w:rsidR="009D68A3" w:rsidRPr="001D7384" w:rsidRDefault="009D68A3" w:rsidP="009D68A3">
            <w:pPr>
              <w:spacing w:after="0"/>
              <w:rPr>
                <w:szCs w:val="22"/>
              </w:rPr>
            </w:pPr>
            <w:r w:rsidRPr="001D7384">
              <w:rPr>
                <w:szCs w:val="22"/>
              </w:rPr>
              <w:t>1.9</w:t>
            </w:r>
          </w:p>
        </w:tc>
        <w:tc>
          <w:tcPr>
            <w:tcW w:w="5274" w:type="dxa"/>
            <w:shd w:val="clear" w:color="auto" w:fill="auto"/>
            <w:noWrap/>
          </w:tcPr>
          <w:p w14:paraId="33EE2C9C" w14:textId="77777777" w:rsidR="009D68A3" w:rsidRPr="001D7384" w:rsidRDefault="009D68A3" w:rsidP="009D68A3">
            <w:pPr>
              <w:spacing w:after="0"/>
              <w:rPr>
                <w:szCs w:val="22"/>
              </w:rPr>
            </w:pPr>
            <w:r w:rsidRPr="001D7384">
              <w:rPr>
                <w:szCs w:val="22"/>
              </w:rPr>
              <w:t xml:space="preserve">Backup storage </w:t>
            </w:r>
          </w:p>
        </w:tc>
        <w:tc>
          <w:tcPr>
            <w:tcW w:w="708" w:type="dxa"/>
            <w:tcBorders>
              <w:right w:val="single" w:sz="4" w:space="0" w:color="auto"/>
            </w:tcBorders>
            <w:shd w:val="clear" w:color="auto" w:fill="auto"/>
            <w:noWrap/>
          </w:tcPr>
          <w:p w14:paraId="533231B7" w14:textId="77777777" w:rsidR="009D68A3" w:rsidRPr="001D7384" w:rsidRDefault="009D68A3" w:rsidP="009D68A3">
            <w:pPr>
              <w:spacing w:after="0"/>
              <w:rPr>
                <w:szCs w:val="22"/>
              </w:rPr>
            </w:pPr>
            <w:r w:rsidRPr="001D7384">
              <w:rPr>
                <w:szCs w:val="22"/>
              </w:rPr>
              <w:t>1</w:t>
            </w:r>
          </w:p>
        </w:tc>
      </w:tr>
      <w:tr w:rsidR="009D68A3" w:rsidRPr="001D7384" w14:paraId="7959E657" w14:textId="77777777" w:rsidTr="00952869">
        <w:trPr>
          <w:trHeight w:val="288"/>
          <w:jc w:val="center"/>
        </w:trPr>
        <w:tc>
          <w:tcPr>
            <w:tcW w:w="817" w:type="dxa"/>
            <w:shd w:val="clear" w:color="auto" w:fill="auto"/>
            <w:noWrap/>
          </w:tcPr>
          <w:p w14:paraId="63A297BA" w14:textId="77777777" w:rsidR="009D68A3" w:rsidRPr="001D7384" w:rsidRDefault="009D68A3" w:rsidP="009D68A3">
            <w:pPr>
              <w:spacing w:after="0"/>
              <w:rPr>
                <w:szCs w:val="22"/>
              </w:rPr>
            </w:pPr>
            <w:r w:rsidRPr="001D7384">
              <w:rPr>
                <w:szCs w:val="22"/>
              </w:rPr>
              <w:t>1.10</w:t>
            </w:r>
          </w:p>
        </w:tc>
        <w:tc>
          <w:tcPr>
            <w:tcW w:w="5274" w:type="dxa"/>
            <w:shd w:val="clear" w:color="auto" w:fill="auto"/>
            <w:noWrap/>
          </w:tcPr>
          <w:p w14:paraId="6FA3972E" w14:textId="77777777" w:rsidR="009D68A3" w:rsidRPr="001D7384" w:rsidRDefault="009D68A3" w:rsidP="009D68A3">
            <w:pPr>
              <w:spacing w:after="0"/>
              <w:rPr>
                <w:szCs w:val="22"/>
              </w:rPr>
            </w:pPr>
            <w:r w:rsidRPr="001D7384">
              <w:rPr>
                <w:szCs w:val="22"/>
              </w:rPr>
              <w:t>Backup software</w:t>
            </w:r>
          </w:p>
        </w:tc>
        <w:tc>
          <w:tcPr>
            <w:tcW w:w="708" w:type="dxa"/>
            <w:tcBorders>
              <w:right w:val="single" w:sz="4" w:space="0" w:color="auto"/>
            </w:tcBorders>
            <w:shd w:val="clear" w:color="auto" w:fill="auto"/>
            <w:noWrap/>
          </w:tcPr>
          <w:p w14:paraId="71EBAD07" w14:textId="77777777" w:rsidR="009D68A3" w:rsidRPr="001D7384" w:rsidRDefault="009D68A3" w:rsidP="009D68A3">
            <w:pPr>
              <w:spacing w:after="0"/>
              <w:rPr>
                <w:szCs w:val="22"/>
              </w:rPr>
            </w:pPr>
            <w:r w:rsidRPr="001D7384">
              <w:rPr>
                <w:szCs w:val="22"/>
              </w:rPr>
              <w:t>1</w:t>
            </w:r>
          </w:p>
        </w:tc>
      </w:tr>
      <w:tr w:rsidR="009D68A3" w:rsidRPr="001D7384" w14:paraId="04222DAE" w14:textId="77777777" w:rsidTr="00952869">
        <w:trPr>
          <w:trHeight w:val="288"/>
          <w:jc w:val="center"/>
        </w:trPr>
        <w:tc>
          <w:tcPr>
            <w:tcW w:w="817" w:type="dxa"/>
            <w:shd w:val="clear" w:color="auto" w:fill="auto"/>
            <w:noWrap/>
          </w:tcPr>
          <w:p w14:paraId="08E6A11A" w14:textId="77777777" w:rsidR="009D68A3" w:rsidRPr="001D7384" w:rsidRDefault="009D68A3" w:rsidP="009D68A3">
            <w:pPr>
              <w:spacing w:after="0"/>
              <w:rPr>
                <w:szCs w:val="22"/>
              </w:rPr>
            </w:pPr>
            <w:r w:rsidRPr="001D7384">
              <w:rPr>
                <w:szCs w:val="22"/>
              </w:rPr>
              <w:t>1.11</w:t>
            </w:r>
          </w:p>
        </w:tc>
        <w:tc>
          <w:tcPr>
            <w:tcW w:w="5274" w:type="dxa"/>
            <w:shd w:val="clear" w:color="auto" w:fill="auto"/>
            <w:noWrap/>
          </w:tcPr>
          <w:p w14:paraId="12BF21EA" w14:textId="77777777" w:rsidR="009D68A3" w:rsidRPr="001D7384" w:rsidRDefault="009D68A3" w:rsidP="009D68A3">
            <w:pPr>
              <w:spacing w:after="0"/>
              <w:rPr>
                <w:szCs w:val="22"/>
              </w:rPr>
            </w:pPr>
            <w:r w:rsidRPr="001D7384">
              <w:rPr>
                <w:szCs w:val="22"/>
              </w:rPr>
              <w:t>WAN Security devices</w:t>
            </w:r>
          </w:p>
        </w:tc>
        <w:tc>
          <w:tcPr>
            <w:tcW w:w="708" w:type="dxa"/>
            <w:tcBorders>
              <w:right w:val="single" w:sz="4" w:space="0" w:color="auto"/>
            </w:tcBorders>
            <w:shd w:val="clear" w:color="auto" w:fill="auto"/>
            <w:noWrap/>
          </w:tcPr>
          <w:p w14:paraId="4984BBB7" w14:textId="77777777" w:rsidR="009D68A3" w:rsidRPr="001D7384" w:rsidRDefault="009D68A3" w:rsidP="009D68A3">
            <w:pPr>
              <w:spacing w:after="0"/>
              <w:rPr>
                <w:szCs w:val="22"/>
              </w:rPr>
            </w:pPr>
            <w:r w:rsidRPr="001D7384">
              <w:rPr>
                <w:szCs w:val="22"/>
              </w:rPr>
              <w:t>2 + 1</w:t>
            </w:r>
          </w:p>
        </w:tc>
      </w:tr>
      <w:tr w:rsidR="009D68A3" w:rsidRPr="001D7384" w14:paraId="22E00502" w14:textId="77777777" w:rsidTr="00952869">
        <w:trPr>
          <w:trHeight w:val="288"/>
          <w:jc w:val="center"/>
        </w:trPr>
        <w:tc>
          <w:tcPr>
            <w:tcW w:w="817" w:type="dxa"/>
            <w:shd w:val="clear" w:color="auto" w:fill="auto"/>
            <w:noWrap/>
          </w:tcPr>
          <w:p w14:paraId="2E3F29A7" w14:textId="77777777" w:rsidR="009D68A3" w:rsidRPr="001D7384" w:rsidRDefault="009D68A3" w:rsidP="009D68A3">
            <w:pPr>
              <w:spacing w:after="0"/>
              <w:rPr>
                <w:szCs w:val="22"/>
              </w:rPr>
            </w:pPr>
            <w:r w:rsidRPr="001D7384">
              <w:rPr>
                <w:szCs w:val="22"/>
              </w:rPr>
              <w:t>1.12</w:t>
            </w:r>
          </w:p>
        </w:tc>
        <w:tc>
          <w:tcPr>
            <w:tcW w:w="5274" w:type="dxa"/>
            <w:shd w:val="clear" w:color="auto" w:fill="auto"/>
            <w:noWrap/>
          </w:tcPr>
          <w:p w14:paraId="482DC369" w14:textId="77777777" w:rsidR="009D68A3" w:rsidRPr="001D7384" w:rsidRDefault="009D68A3" w:rsidP="009D68A3">
            <w:pPr>
              <w:spacing w:after="0"/>
              <w:rPr>
                <w:szCs w:val="22"/>
              </w:rPr>
            </w:pPr>
            <w:r w:rsidRPr="001D7384">
              <w:rPr>
                <w:szCs w:val="22"/>
              </w:rPr>
              <w:t>Server Endpoint Detection and Response (EDR) system</w:t>
            </w:r>
          </w:p>
        </w:tc>
        <w:tc>
          <w:tcPr>
            <w:tcW w:w="708" w:type="dxa"/>
            <w:tcBorders>
              <w:right w:val="single" w:sz="4" w:space="0" w:color="auto"/>
            </w:tcBorders>
            <w:shd w:val="clear" w:color="auto" w:fill="auto"/>
            <w:noWrap/>
          </w:tcPr>
          <w:p w14:paraId="1EAE6186" w14:textId="77777777" w:rsidR="009D68A3" w:rsidRPr="001D7384" w:rsidRDefault="009D68A3" w:rsidP="009D68A3">
            <w:pPr>
              <w:spacing w:after="0"/>
              <w:rPr>
                <w:szCs w:val="22"/>
              </w:rPr>
            </w:pPr>
            <w:r w:rsidRPr="001D7384">
              <w:rPr>
                <w:szCs w:val="22"/>
              </w:rPr>
              <w:t>1</w:t>
            </w:r>
          </w:p>
        </w:tc>
      </w:tr>
      <w:tr w:rsidR="009D68A3" w:rsidRPr="001D7384" w14:paraId="2709ED9E" w14:textId="77777777" w:rsidTr="00952869">
        <w:trPr>
          <w:trHeight w:val="288"/>
          <w:jc w:val="center"/>
        </w:trPr>
        <w:tc>
          <w:tcPr>
            <w:tcW w:w="817" w:type="dxa"/>
            <w:shd w:val="clear" w:color="auto" w:fill="auto"/>
            <w:noWrap/>
          </w:tcPr>
          <w:p w14:paraId="072CE177" w14:textId="77777777" w:rsidR="009D68A3" w:rsidRPr="001D7384" w:rsidRDefault="009D68A3" w:rsidP="009D68A3">
            <w:pPr>
              <w:spacing w:after="0"/>
              <w:rPr>
                <w:szCs w:val="22"/>
              </w:rPr>
            </w:pPr>
            <w:r w:rsidRPr="001D7384">
              <w:rPr>
                <w:szCs w:val="22"/>
              </w:rPr>
              <w:t>1.13</w:t>
            </w:r>
          </w:p>
        </w:tc>
        <w:tc>
          <w:tcPr>
            <w:tcW w:w="5274" w:type="dxa"/>
            <w:shd w:val="clear" w:color="auto" w:fill="auto"/>
            <w:noWrap/>
          </w:tcPr>
          <w:p w14:paraId="5FD24D7F" w14:textId="77777777" w:rsidR="009D68A3" w:rsidRPr="001D7384" w:rsidRDefault="009D68A3" w:rsidP="009D68A3">
            <w:pPr>
              <w:spacing w:after="0"/>
              <w:rPr>
                <w:szCs w:val="22"/>
              </w:rPr>
            </w:pPr>
            <w:r w:rsidRPr="001D7384">
              <w:rPr>
                <w:szCs w:val="22"/>
              </w:rPr>
              <w:t>HW and SW Installation and configuration</w:t>
            </w:r>
          </w:p>
        </w:tc>
        <w:tc>
          <w:tcPr>
            <w:tcW w:w="708" w:type="dxa"/>
            <w:tcBorders>
              <w:right w:val="single" w:sz="4" w:space="0" w:color="auto"/>
            </w:tcBorders>
            <w:shd w:val="clear" w:color="auto" w:fill="auto"/>
            <w:noWrap/>
          </w:tcPr>
          <w:p w14:paraId="21F3F4FA" w14:textId="77777777" w:rsidR="009D68A3" w:rsidRPr="001D7384" w:rsidRDefault="009D68A3" w:rsidP="009D68A3">
            <w:pPr>
              <w:spacing w:after="0"/>
              <w:rPr>
                <w:szCs w:val="22"/>
              </w:rPr>
            </w:pPr>
            <w:r w:rsidRPr="001D7384">
              <w:rPr>
                <w:szCs w:val="22"/>
              </w:rPr>
              <w:t>1</w:t>
            </w:r>
          </w:p>
        </w:tc>
      </w:tr>
      <w:tr w:rsidR="009D68A3" w:rsidRPr="001D7384" w14:paraId="5375F6FC" w14:textId="77777777" w:rsidTr="00952869">
        <w:trPr>
          <w:trHeight w:val="288"/>
          <w:jc w:val="center"/>
        </w:trPr>
        <w:tc>
          <w:tcPr>
            <w:tcW w:w="817" w:type="dxa"/>
            <w:shd w:val="clear" w:color="auto" w:fill="auto"/>
            <w:noWrap/>
          </w:tcPr>
          <w:p w14:paraId="42ED9539" w14:textId="77777777" w:rsidR="009D68A3" w:rsidRPr="001D7384" w:rsidRDefault="009D68A3" w:rsidP="009D68A3">
            <w:pPr>
              <w:spacing w:after="0"/>
              <w:rPr>
                <w:szCs w:val="22"/>
              </w:rPr>
            </w:pPr>
            <w:r w:rsidRPr="001D7384">
              <w:rPr>
                <w:szCs w:val="22"/>
              </w:rPr>
              <w:t>1.14</w:t>
            </w:r>
          </w:p>
        </w:tc>
        <w:tc>
          <w:tcPr>
            <w:tcW w:w="5274" w:type="dxa"/>
            <w:shd w:val="clear" w:color="auto" w:fill="auto"/>
            <w:noWrap/>
          </w:tcPr>
          <w:p w14:paraId="2F8288D8" w14:textId="77777777" w:rsidR="009D68A3" w:rsidRPr="001D7384" w:rsidRDefault="009D68A3" w:rsidP="009D68A3">
            <w:pPr>
              <w:spacing w:after="0"/>
              <w:rPr>
                <w:szCs w:val="22"/>
              </w:rPr>
            </w:pPr>
            <w:r w:rsidRPr="001D7384">
              <w:rPr>
                <w:szCs w:val="22"/>
              </w:rPr>
              <w:t>Software license –Relational</w:t>
            </w:r>
            <w:r w:rsidRPr="001D7384">
              <w:rPr>
                <w:szCs w:val="22"/>
              </w:rPr>
              <w:tab/>
              <w:t>Database Management</w:t>
            </w:r>
          </w:p>
        </w:tc>
        <w:tc>
          <w:tcPr>
            <w:tcW w:w="708" w:type="dxa"/>
            <w:tcBorders>
              <w:right w:val="single" w:sz="4" w:space="0" w:color="auto"/>
            </w:tcBorders>
            <w:shd w:val="clear" w:color="auto" w:fill="auto"/>
            <w:noWrap/>
          </w:tcPr>
          <w:p w14:paraId="3DC897D7" w14:textId="77777777" w:rsidR="009D68A3" w:rsidRPr="001D7384" w:rsidRDefault="009D68A3" w:rsidP="009D68A3">
            <w:pPr>
              <w:spacing w:after="0"/>
              <w:rPr>
                <w:szCs w:val="22"/>
              </w:rPr>
            </w:pPr>
            <w:r w:rsidRPr="001D7384">
              <w:rPr>
                <w:szCs w:val="22"/>
              </w:rPr>
              <w:t>4+2</w:t>
            </w:r>
          </w:p>
        </w:tc>
      </w:tr>
      <w:bookmarkEnd w:id="673"/>
    </w:tbl>
    <w:p w14:paraId="3D50BA49" w14:textId="77777777" w:rsidR="009D68A3" w:rsidRPr="001D7384" w:rsidRDefault="009D68A3" w:rsidP="00416750">
      <w:pPr>
        <w:pStyle w:val="Head32"/>
        <w:ind w:right="-360"/>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4531"/>
        <w:gridCol w:w="3690"/>
      </w:tblGrid>
      <w:tr w:rsidR="003F11D6" w:rsidRPr="001D7384" w14:paraId="5A573471" w14:textId="77777777" w:rsidTr="00416750">
        <w:trPr>
          <w:trHeight w:val="879"/>
          <w:tblHeader/>
        </w:trPr>
        <w:tc>
          <w:tcPr>
            <w:tcW w:w="1134" w:type="dxa"/>
            <w:shd w:val="pct5" w:color="auto" w:fill="FFFFFF"/>
          </w:tcPr>
          <w:p w14:paraId="55446A84" w14:textId="77777777" w:rsidR="003F11D6" w:rsidRPr="001D7384" w:rsidRDefault="003F11D6" w:rsidP="00E12AE0">
            <w:pPr>
              <w:spacing w:after="0"/>
              <w:jc w:val="center"/>
              <w:rPr>
                <w:b/>
                <w:szCs w:val="24"/>
              </w:rPr>
            </w:pPr>
          </w:p>
          <w:p w14:paraId="3CB72584" w14:textId="77777777" w:rsidR="003F11D6" w:rsidRPr="001D7384" w:rsidRDefault="003F11D6" w:rsidP="00E12AE0">
            <w:pPr>
              <w:spacing w:after="0"/>
              <w:jc w:val="center"/>
              <w:rPr>
                <w:b/>
                <w:szCs w:val="24"/>
              </w:rPr>
            </w:pPr>
            <w:r w:rsidRPr="001D7384">
              <w:rPr>
                <w:b/>
                <w:szCs w:val="24"/>
              </w:rPr>
              <w:t xml:space="preserve">Item </w:t>
            </w:r>
            <w:r w:rsidRPr="001D7384">
              <w:rPr>
                <w:b/>
                <w:szCs w:val="24"/>
                <w:lang w:val="en-GB"/>
              </w:rPr>
              <w:t>number</w:t>
            </w:r>
          </w:p>
        </w:tc>
        <w:tc>
          <w:tcPr>
            <w:tcW w:w="4531" w:type="dxa"/>
            <w:shd w:val="pct5" w:color="auto" w:fill="FFFFFF"/>
          </w:tcPr>
          <w:p w14:paraId="59271171" w14:textId="77777777" w:rsidR="003F11D6" w:rsidRPr="001D7384" w:rsidRDefault="003F11D6" w:rsidP="00E12AE0">
            <w:pPr>
              <w:spacing w:after="0"/>
              <w:rPr>
                <w:b/>
                <w:szCs w:val="24"/>
              </w:rPr>
            </w:pPr>
          </w:p>
          <w:p w14:paraId="4AD509BF" w14:textId="77777777" w:rsidR="003F11D6" w:rsidRPr="001D7384" w:rsidRDefault="003F11D6" w:rsidP="00E12AE0">
            <w:pPr>
              <w:spacing w:after="0"/>
              <w:jc w:val="center"/>
              <w:rPr>
                <w:b/>
                <w:szCs w:val="24"/>
              </w:rPr>
            </w:pPr>
            <w:r w:rsidRPr="001D7384">
              <w:rPr>
                <w:b/>
                <w:szCs w:val="24"/>
                <w:lang w:val="en-GB"/>
              </w:rPr>
              <w:t>Minimum required specifications</w:t>
            </w:r>
          </w:p>
        </w:tc>
        <w:tc>
          <w:tcPr>
            <w:tcW w:w="3690" w:type="dxa"/>
            <w:shd w:val="pct5" w:color="auto" w:fill="FFFFFF"/>
          </w:tcPr>
          <w:p w14:paraId="69E3BB3A" w14:textId="77777777" w:rsidR="003F11D6" w:rsidRPr="001D7384" w:rsidRDefault="003F11D6" w:rsidP="00E12AE0">
            <w:pPr>
              <w:tabs>
                <w:tab w:val="left" w:pos="729"/>
              </w:tabs>
              <w:spacing w:after="0"/>
              <w:rPr>
                <w:b/>
                <w:szCs w:val="24"/>
              </w:rPr>
            </w:pPr>
          </w:p>
          <w:p w14:paraId="60928DEA" w14:textId="77777777" w:rsidR="003F11D6" w:rsidRPr="001D7384" w:rsidRDefault="003F11D6" w:rsidP="00E12AE0">
            <w:pPr>
              <w:tabs>
                <w:tab w:val="left" w:pos="729"/>
              </w:tabs>
              <w:spacing w:after="0"/>
              <w:jc w:val="center"/>
              <w:rPr>
                <w:b/>
                <w:szCs w:val="24"/>
              </w:rPr>
            </w:pPr>
            <w:r w:rsidRPr="001D7384">
              <w:rPr>
                <w:b/>
                <w:szCs w:val="24"/>
                <w:lang w:val="en-GB"/>
              </w:rPr>
              <w:t>Specifications</w:t>
            </w:r>
            <w:r w:rsidRPr="001D7384">
              <w:rPr>
                <w:b/>
                <w:szCs w:val="24"/>
              </w:rPr>
              <w:t xml:space="preserve"> </w:t>
            </w:r>
            <w:r w:rsidRPr="001D7384">
              <w:rPr>
                <w:b/>
                <w:szCs w:val="24"/>
                <w:lang w:val="en-GB"/>
              </w:rPr>
              <w:t>offered</w:t>
            </w:r>
          </w:p>
        </w:tc>
      </w:tr>
      <w:tr w:rsidR="003F11D6" w:rsidRPr="001D7384" w14:paraId="584DFA03" w14:textId="77777777" w:rsidTr="00416750">
        <w:tc>
          <w:tcPr>
            <w:tcW w:w="1134" w:type="dxa"/>
          </w:tcPr>
          <w:p w14:paraId="5E83B5E1" w14:textId="77777777" w:rsidR="003F11D6" w:rsidRPr="001D7384" w:rsidRDefault="003F11D6" w:rsidP="00E12AE0">
            <w:pPr>
              <w:spacing w:after="0"/>
              <w:rPr>
                <w:b/>
                <w:szCs w:val="24"/>
                <w:lang w:val="en-GB"/>
              </w:rPr>
            </w:pPr>
            <w:r w:rsidRPr="001D7384">
              <w:rPr>
                <w:b/>
                <w:szCs w:val="24"/>
                <w:lang w:val="en-GB"/>
              </w:rPr>
              <w:t>1.1</w:t>
            </w:r>
          </w:p>
        </w:tc>
        <w:tc>
          <w:tcPr>
            <w:tcW w:w="4531" w:type="dxa"/>
            <w:vAlign w:val="center"/>
          </w:tcPr>
          <w:p w14:paraId="7DE568FA" w14:textId="0745A479" w:rsidR="003F11D6" w:rsidRPr="001D7384" w:rsidRDefault="003F11D6" w:rsidP="00E12AE0">
            <w:pPr>
              <w:spacing w:after="0"/>
              <w:rPr>
                <w:b/>
                <w:szCs w:val="24"/>
                <w:lang w:val="en-GB"/>
              </w:rPr>
            </w:pPr>
            <w:r w:rsidRPr="001D7384">
              <w:rPr>
                <w:b/>
                <w:szCs w:val="24"/>
                <w:lang w:val="en-GB"/>
              </w:rPr>
              <w:t>Server Rack with equipment            Qty. 1</w:t>
            </w:r>
          </w:p>
          <w:p w14:paraId="64F942C4" w14:textId="77777777" w:rsidR="003F11D6" w:rsidRPr="001D7384" w:rsidRDefault="003F11D6" w:rsidP="00E12AE0">
            <w:pPr>
              <w:spacing w:after="0"/>
              <w:rPr>
                <w:bCs/>
                <w:szCs w:val="24"/>
                <w:lang w:val="en-GB"/>
              </w:rPr>
            </w:pPr>
          </w:p>
          <w:p w14:paraId="4983547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Rack Size: 19"</w:t>
            </w:r>
          </w:p>
          <w:p w14:paraId="4E4C04F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Height (Rack Units): 42U</w:t>
            </w:r>
          </w:p>
          <w:p w14:paraId="55683ABF" w14:textId="77777777" w:rsidR="003F11D6" w:rsidRPr="001D7384" w:rsidRDefault="003F11D6" w:rsidP="00E12AE0">
            <w:pPr>
              <w:pStyle w:val="ListParagraph"/>
              <w:numPr>
                <w:ilvl w:val="0"/>
                <w:numId w:val="153"/>
              </w:numPr>
              <w:spacing w:after="0"/>
              <w:ind w:left="491" w:hanging="436"/>
              <w:rPr>
                <w:bCs/>
                <w:szCs w:val="24"/>
                <w:lang w:val="fr-BE"/>
              </w:rPr>
            </w:pPr>
            <w:proofErr w:type="spellStart"/>
            <w:r w:rsidRPr="001D7384">
              <w:rPr>
                <w:bCs/>
                <w:szCs w:val="24"/>
                <w:lang w:val="fr-BE"/>
              </w:rPr>
              <w:t>External</w:t>
            </w:r>
            <w:proofErr w:type="spellEnd"/>
            <w:r w:rsidRPr="001D7384">
              <w:rPr>
                <w:bCs/>
                <w:szCs w:val="24"/>
                <w:lang w:val="fr-BE"/>
              </w:rPr>
              <w:t xml:space="preserve"> dimensions (</w:t>
            </w:r>
            <w:proofErr w:type="spellStart"/>
            <w:r w:rsidRPr="001D7384">
              <w:rPr>
                <w:bCs/>
                <w:szCs w:val="24"/>
                <w:lang w:val="fr-BE"/>
              </w:rPr>
              <w:t>WxDxH</w:t>
            </w:r>
            <w:proofErr w:type="spellEnd"/>
            <w:proofErr w:type="gramStart"/>
            <w:r w:rsidRPr="001D7384">
              <w:rPr>
                <w:bCs/>
                <w:szCs w:val="24"/>
                <w:lang w:val="fr-BE"/>
              </w:rPr>
              <w:t>):</w:t>
            </w:r>
            <w:proofErr w:type="gramEnd"/>
            <w:r w:rsidRPr="001D7384">
              <w:rPr>
                <w:bCs/>
                <w:szCs w:val="24"/>
                <w:lang w:val="fr-BE"/>
              </w:rPr>
              <w:t xml:space="preserve"> (605 mm) x (1200 mm) x (2000 mm)</w:t>
            </w:r>
          </w:p>
          <w:p w14:paraId="1AA28D4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Perforated lockable front and rear </w:t>
            </w:r>
            <w:proofErr w:type="gramStart"/>
            <w:r w:rsidRPr="001D7384">
              <w:rPr>
                <w:bCs/>
                <w:szCs w:val="24"/>
                <w:lang w:val="en-GB"/>
              </w:rPr>
              <w:t>doors</w:t>
            </w:r>
            <w:proofErr w:type="gramEnd"/>
          </w:p>
          <w:p w14:paraId="69119E4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Quick release doors with simple lift-off design</w:t>
            </w:r>
          </w:p>
          <w:p w14:paraId="63F0DA7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Lockable Side Panels for easy handling and access to equipment</w:t>
            </w:r>
          </w:p>
          <w:p w14:paraId="29F9B93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Adjustable </w:t>
            </w:r>
            <w:proofErr w:type="spellStart"/>
            <w:r w:rsidRPr="001D7384">
              <w:rPr>
                <w:bCs/>
                <w:szCs w:val="24"/>
                <w:lang w:val="en-GB"/>
              </w:rPr>
              <w:t>leveling</w:t>
            </w:r>
            <w:proofErr w:type="spellEnd"/>
            <w:r w:rsidRPr="001D7384">
              <w:rPr>
                <w:bCs/>
                <w:szCs w:val="24"/>
                <w:lang w:val="en-GB"/>
              </w:rPr>
              <w:t xml:space="preserve"> pads.</w:t>
            </w:r>
          </w:p>
          <w:p w14:paraId="6C43060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Rear Cable Channels for toolless mount of up to 8x 0U vertical power distribution units (PDU) rack strips, and vertical cable organizers</w:t>
            </w:r>
          </w:p>
          <w:p w14:paraId="624A802C" w14:textId="77777777" w:rsidR="003F11D6" w:rsidRPr="001D7384" w:rsidRDefault="003F11D6" w:rsidP="00E12AE0">
            <w:pPr>
              <w:spacing w:after="0"/>
              <w:rPr>
                <w:b/>
                <w:szCs w:val="24"/>
                <w:lang w:val="en-GB"/>
              </w:rPr>
            </w:pPr>
          </w:p>
          <w:p w14:paraId="5F240527" w14:textId="77777777" w:rsidR="003F11D6" w:rsidRPr="001D7384" w:rsidRDefault="003F11D6" w:rsidP="00E12AE0">
            <w:pPr>
              <w:spacing w:after="0"/>
              <w:rPr>
                <w:b/>
                <w:szCs w:val="24"/>
                <w:lang w:val="en-GB"/>
              </w:rPr>
            </w:pPr>
            <w:r w:rsidRPr="001D7384">
              <w:rPr>
                <w:b/>
                <w:szCs w:val="24"/>
                <w:lang w:val="en-GB"/>
              </w:rPr>
              <w:lastRenderedPageBreak/>
              <w:t xml:space="preserve">Rack PDUs </w:t>
            </w:r>
          </w:p>
          <w:p w14:paraId="03E69BF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Quantity: 2</w:t>
            </w:r>
          </w:p>
          <w:p w14:paraId="40F9EA5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Vertical, Zero U</w:t>
            </w:r>
          </w:p>
          <w:p w14:paraId="4E9FA10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Output Connections: (36) x IEC 60320 C13, (6) x IEC 60320 C19</w:t>
            </w:r>
          </w:p>
          <w:p w14:paraId="5CF1AE2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Input Connections: IEC 60309 32 A 2P + </w:t>
            </w:r>
            <w:proofErr w:type="gramStart"/>
            <w:r w:rsidRPr="001D7384">
              <w:rPr>
                <w:bCs/>
                <w:szCs w:val="24"/>
                <w:lang w:val="en-GB"/>
              </w:rPr>
              <w:t>E</w:t>
            </w:r>
            <w:proofErr w:type="gramEnd"/>
          </w:p>
          <w:p w14:paraId="3EB3373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Nominal Output Voltage: 230V</w:t>
            </w:r>
          </w:p>
          <w:p w14:paraId="7C59BDB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Nominal Input Voltage: 200V, 208V, 230V</w:t>
            </w:r>
          </w:p>
          <w:p w14:paraId="19CF66E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Load Capacity: </w:t>
            </w:r>
            <w:proofErr w:type="gramStart"/>
            <w:r w:rsidRPr="001D7384">
              <w:rPr>
                <w:bCs/>
                <w:szCs w:val="24"/>
                <w:lang w:val="en-GB"/>
              </w:rPr>
              <w:t>7650VA</w:t>
            </w:r>
            <w:proofErr w:type="gramEnd"/>
          </w:p>
          <w:p w14:paraId="44AA7A1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Maximum Input Current: 32A</w:t>
            </w:r>
          </w:p>
          <w:p w14:paraId="5B1B831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Input frequency: 50 - 60 </w:t>
            </w:r>
            <w:proofErr w:type="gramStart"/>
            <w:r w:rsidRPr="001D7384">
              <w:rPr>
                <w:bCs/>
                <w:szCs w:val="24"/>
                <w:lang w:val="en-GB"/>
              </w:rPr>
              <w:t>Hz</w:t>
            </w:r>
            <w:proofErr w:type="gramEnd"/>
          </w:p>
          <w:p w14:paraId="49814ABF" w14:textId="77777777" w:rsidR="003F11D6" w:rsidRPr="001D7384" w:rsidRDefault="003F11D6" w:rsidP="00E12AE0">
            <w:pPr>
              <w:spacing w:after="0"/>
              <w:rPr>
                <w:b/>
                <w:szCs w:val="24"/>
                <w:lang w:val="en-GB"/>
              </w:rPr>
            </w:pPr>
          </w:p>
          <w:p w14:paraId="001D541D" w14:textId="77777777" w:rsidR="003F11D6" w:rsidRPr="001D7384" w:rsidRDefault="003F11D6" w:rsidP="00E12AE0">
            <w:pPr>
              <w:spacing w:after="0"/>
              <w:rPr>
                <w:b/>
                <w:szCs w:val="24"/>
                <w:lang w:val="en-GB"/>
              </w:rPr>
            </w:pPr>
            <w:r w:rsidRPr="001D7384">
              <w:rPr>
                <w:b/>
                <w:szCs w:val="24"/>
                <w:lang w:val="en-GB"/>
              </w:rPr>
              <w:t>Vertical Cable Organizer</w:t>
            </w:r>
          </w:p>
          <w:p w14:paraId="00307E0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Quantity: 2</w:t>
            </w:r>
          </w:p>
          <w:p w14:paraId="5F5FB3C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Zero U</w:t>
            </w:r>
          </w:p>
          <w:p w14:paraId="75819ED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8 Cable Rings</w:t>
            </w:r>
          </w:p>
          <w:p w14:paraId="08B7A175" w14:textId="77777777" w:rsidR="003F11D6" w:rsidRPr="001D7384" w:rsidRDefault="003F11D6" w:rsidP="00E12AE0">
            <w:pPr>
              <w:spacing w:after="0"/>
              <w:rPr>
                <w:b/>
                <w:szCs w:val="24"/>
                <w:lang w:val="en-GB"/>
              </w:rPr>
            </w:pPr>
          </w:p>
          <w:p w14:paraId="07B9C905" w14:textId="77777777" w:rsidR="003F11D6" w:rsidRPr="001D7384" w:rsidRDefault="003F11D6" w:rsidP="00E12AE0">
            <w:pPr>
              <w:spacing w:after="0"/>
              <w:rPr>
                <w:b/>
                <w:szCs w:val="24"/>
                <w:lang w:val="en-GB"/>
              </w:rPr>
            </w:pPr>
            <w:r w:rsidRPr="001D7384">
              <w:rPr>
                <w:b/>
                <w:szCs w:val="24"/>
                <w:lang w:val="en-GB"/>
              </w:rPr>
              <w:t>Blanking Panels</w:t>
            </w:r>
          </w:p>
          <w:p w14:paraId="7D616B2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Quantity: min. 20</w:t>
            </w:r>
          </w:p>
          <w:p w14:paraId="1D599D8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1U 19" Black Blanking Panel</w:t>
            </w:r>
          </w:p>
        </w:tc>
        <w:tc>
          <w:tcPr>
            <w:tcW w:w="3690" w:type="dxa"/>
            <w:vAlign w:val="center"/>
          </w:tcPr>
          <w:p w14:paraId="11FDFBF9" w14:textId="77777777" w:rsidR="003F11D6" w:rsidRPr="001D7384" w:rsidRDefault="003F11D6" w:rsidP="00E12AE0">
            <w:pPr>
              <w:spacing w:after="0"/>
              <w:rPr>
                <w:b/>
                <w:szCs w:val="24"/>
                <w:lang w:val="en-GB"/>
              </w:rPr>
            </w:pPr>
          </w:p>
        </w:tc>
      </w:tr>
      <w:tr w:rsidR="003F11D6" w:rsidRPr="001D7384" w14:paraId="42D15D47" w14:textId="77777777" w:rsidTr="00416750">
        <w:tc>
          <w:tcPr>
            <w:tcW w:w="1134" w:type="dxa"/>
          </w:tcPr>
          <w:p w14:paraId="427D33E9" w14:textId="77777777" w:rsidR="003F11D6" w:rsidRPr="001D7384" w:rsidRDefault="003F11D6" w:rsidP="00E12AE0">
            <w:pPr>
              <w:spacing w:after="0"/>
              <w:rPr>
                <w:b/>
                <w:szCs w:val="24"/>
                <w:lang w:val="en-GB"/>
              </w:rPr>
            </w:pPr>
            <w:r w:rsidRPr="001D7384">
              <w:rPr>
                <w:b/>
                <w:szCs w:val="24"/>
                <w:lang w:val="en-GB"/>
              </w:rPr>
              <w:t>1.2</w:t>
            </w:r>
          </w:p>
        </w:tc>
        <w:tc>
          <w:tcPr>
            <w:tcW w:w="4531" w:type="dxa"/>
            <w:vAlign w:val="center"/>
          </w:tcPr>
          <w:p w14:paraId="583D3DEC" w14:textId="77777777" w:rsidR="003F11D6" w:rsidRPr="001D7384" w:rsidRDefault="003F11D6" w:rsidP="00E12AE0">
            <w:pPr>
              <w:spacing w:after="0"/>
              <w:rPr>
                <w:b/>
                <w:bCs/>
                <w:szCs w:val="24"/>
                <w:lang w:val="en-GB"/>
              </w:rPr>
            </w:pPr>
            <w:r w:rsidRPr="001D7384">
              <w:rPr>
                <w:b/>
                <w:bCs/>
                <w:szCs w:val="24"/>
                <w:lang w:val="en-GB"/>
              </w:rPr>
              <w:t>Top-of-rack (</w:t>
            </w:r>
            <w:proofErr w:type="spellStart"/>
            <w:r w:rsidRPr="001D7384">
              <w:rPr>
                <w:b/>
                <w:bCs/>
                <w:szCs w:val="24"/>
                <w:lang w:val="en-GB"/>
              </w:rPr>
              <w:t>ToR</w:t>
            </w:r>
            <w:proofErr w:type="spellEnd"/>
            <w:r w:rsidRPr="001D7384">
              <w:rPr>
                <w:b/>
                <w:bCs/>
                <w:szCs w:val="24"/>
                <w:lang w:val="en-GB"/>
              </w:rPr>
              <w:t>) switches               Qty. 2 + 1 (cluster for Primary site + single for DR Site)</w:t>
            </w:r>
          </w:p>
          <w:p w14:paraId="407D5D21" w14:textId="77777777" w:rsidR="003F11D6" w:rsidRPr="001D7384" w:rsidRDefault="003F11D6" w:rsidP="00E12AE0">
            <w:pPr>
              <w:spacing w:after="0"/>
              <w:rPr>
                <w:szCs w:val="24"/>
                <w:lang w:val="en-GB"/>
              </w:rPr>
            </w:pPr>
          </w:p>
          <w:p w14:paraId="246A7F06" w14:textId="77777777" w:rsidR="003F11D6" w:rsidRPr="001D7384" w:rsidRDefault="003F11D6" w:rsidP="00E12AE0">
            <w:pPr>
              <w:spacing w:after="0"/>
              <w:rPr>
                <w:b/>
                <w:bCs/>
                <w:szCs w:val="24"/>
                <w:lang w:val="en-GB"/>
              </w:rPr>
            </w:pPr>
            <w:r w:rsidRPr="001D7384">
              <w:rPr>
                <w:b/>
                <w:bCs/>
                <w:szCs w:val="24"/>
                <w:lang w:val="en-GB"/>
              </w:rPr>
              <w:t>Physical characteristics</w:t>
            </w:r>
          </w:p>
          <w:p w14:paraId="2497E05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Type: L3, Datacentre switch</w:t>
            </w:r>
          </w:p>
          <w:p w14:paraId="71858D2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Chassis type: 1U, Rack mountable, including rack mounting </w:t>
            </w:r>
            <w:proofErr w:type="gramStart"/>
            <w:r w:rsidRPr="001D7384">
              <w:rPr>
                <w:bCs/>
                <w:szCs w:val="24"/>
                <w:lang w:val="en-GB"/>
              </w:rPr>
              <w:t>kit</w:t>
            </w:r>
            <w:proofErr w:type="gramEnd"/>
          </w:p>
          <w:p w14:paraId="2B8498B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Minimum 48x10/25GbE SFP28 downlink ports</w:t>
            </w:r>
          </w:p>
          <w:p w14:paraId="18E44B7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Minimum 8x 40/100GbE uplink ports</w:t>
            </w:r>
          </w:p>
          <w:p w14:paraId="09303F5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Console access:  mini-USB or RJ-45 copper ports.</w:t>
            </w:r>
          </w:p>
          <w:p w14:paraId="1AFBCDE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Airflow: “</w:t>
            </w:r>
            <w:r w:rsidRPr="001D7384">
              <w:rPr>
                <w:b/>
                <w:szCs w:val="24"/>
                <w:lang w:val="en-GB"/>
              </w:rPr>
              <w:t>front-to-back</w:t>
            </w:r>
            <w:r w:rsidRPr="001D7384">
              <w:rPr>
                <w:bCs/>
                <w:szCs w:val="24"/>
                <w:lang w:val="en-GB"/>
              </w:rPr>
              <w:t>”</w:t>
            </w:r>
          </w:p>
          <w:p w14:paraId="49168E6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Supply: Redundant AC power supplies, hot-swappable, dual,</w:t>
            </w:r>
          </w:p>
          <w:p w14:paraId="0160DDF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Cords:  2m (PDU 10A)</w:t>
            </w:r>
          </w:p>
          <w:p w14:paraId="7C2FB4C0" w14:textId="77777777" w:rsidR="003F11D6" w:rsidRPr="001D7384" w:rsidRDefault="003F11D6" w:rsidP="00E12AE0">
            <w:pPr>
              <w:spacing w:after="0"/>
              <w:rPr>
                <w:szCs w:val="24"/>
                <w:lang w:val="en-GB"/>
              </w:rPr>
            </w:pPr>
          </w:p>
          <w:p w14:paraId="4D362528" w14:textId="77777777" w:rsidR="003F11D6" w:rsidRPr="001D7384" w:rsidRDefault="003F11D6" w:rsidP="00E12AE0">
            <w:pPr>
              <w:spacing w:after="0"/>
              <w:rPr>
                <w:b/>
                <w:bCs/>
                <w:szCs w:val="24"/>
                <w:lang w:val="en-GB"/>
              </w:rPr>
            </w:pPr>
            <w:r w:rsidRPr="001D7384">
              <w:rPr>
                <w:b/>
                <w:bCs/>
                <w:szCs w:val="24"/>
                <w:lang w:val="en-GB"/>
              </w:rPr>
              <w:t>Layer 3 networking</w:t>
            </w:r>
          </w:p>
          <w:p w14:paraId="313C5B3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Static routing: hardware </w:t>
            </w:r>
            <w:proofErr w:type="gramStart"/>
            <w:r w:rsidRPr="001D7384">
              <w:rPr>
                <w:bCs/>
                <w:szCs w:val="24"/>
                <w:lang w:val="en-GB"/>
              </w:rPr>
              <w:t>based</w:t>
            </w:r>
            <w:proofErr w:type="gramEnd"/>
          </w:p>
          <w:p w14:paraId="7383B46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 xml:space="preserve">Routing protocols </w:t>
            </w:r>
            <w:proofErr w:type="spellStart"/>
            <w:r w:rsidRPr="001D7384">
              <w:rPr>
                <w:bCs/>
                <w:szCs w:val="24"/>
                <w:lang w:val="en-GB"/>
              </w:rPr>
              <w:t>supppported</w:t>
            </w:r>
            <w:proofErr w:type="spellEnd"/>
            <w:r w:rsidRPr="001D7384">
              <w:rPr>
                <w:bCs/>
                <w:szCs w:val="24"/>
                <w:lang w:val="en-GB"/>
              </w:rPr>
              <w:t>: min. BGP, VRF, ISIS, VRRP</w:t>
            </w:r>
          </w:p>
          <w:p w14:paraId="1EACBD7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Multicast support: min. 8.000 route entries</w:t>
            </w:r>
          </w:p>
          <w:p w14:paraId="63EC72C9" w14:textId="77777777" w:rsidR="003F11D6" w:rsidRPr="001D7384" w:rsidRDefault="003F11D6" w:rsidP="00E12AE0">
            <w:pPr>
              <w:spacing w:after="0"/>
              <w:rPr>
                <w:szCs w:val="24"/>
                <w:lang w:val="en-GB"/>
              </w:rPr>
            </w:pPr>
          </w:p>
          <w:p w14:paraId="00FC87F4" w14:textId="77777777" w:rsidR="003F11D6" w:rsidRPr="001D7384" w:rsidRDefault="003F11D6" w:rsidP="00E12AE0">
            <w:pPr>
              <w:spacing w:after="0"/>
              <w:rPr>
                <w:b/>
                <w:bCs/>
                <w:szCs w:val="24"/>
                <w:lang w:val="en-GB"/>
              </w:rPr>
            </w:pPr>
            <w:r w:rsidRPr="001D7384">
              <w:rPr>
                <w:b/>
                <w:bCs/>
                <w:szCs w:val="24"/>
                <w:lang w:val="en-GB"/>
              </w:rPr>
              <w:t>Performance</w:t>
            </w:r>
          </w:p>
          <w:p w14:paraId="72F8439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Switching capacity: min. of 3.800 Gbps</w:t>
            </w:r>
          </w:p>
          <w:p w14:paraId="3945577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Packet buffer memory capacity: min. of 32MB</w:t>
            </w:r>
          </w:p>
          <w:p w14:paraId="343A29C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Forwarding rate: min. of 3.800 Mpps</w:t>
            </w:r>
          </w:p>
          <w:p w14:paraId="3662A40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Maximum latency: up </w:t>
            </w:r>
            <w:proofErr w:type="gramStart"/>
            <w:r w:rsidRPr="001D7384">
              <w:rPr>
                <w:bCs/>
                <w:szCs w:val="24"/>
                <w:lang w:val="en-GB"/>
              </w:rPr>
              <w:t>to  1</w:t>
            </w:r>
            <w:proofErr w:type="gramEnd"/>
            <w:r w:rsidRPr="001D7384">
              <w:rPr>
                <w:bCs/>
                <w:szCs w:val="24"/>
                <w:lang w:val="en-GB"/>
              </w:rPr>
              <w:t xml:space="preserve"> µs</w:t>
            </w:r>
          </w:p>
          <w:p w14:paraId="013C1C8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On-board drive: SSD, min 32 GB capacity</w:t>
            </w:r>
          </w:p>
          <w:p w14:paraId="7A1F3B69" w14:textId="77777777" w:rsidR="003F11D6" w:rsidRPr="001D7384" w:rsidRDefault="003F11D6" w:rsidP="00E12AE0">
            <w:pPr>
              <w:spacing w:after="0"/>
              <w:rPr>
                <w:bCs/>
                <w:szCs w:val="24"/>
                <w:lang w:val="en-GB"/>
              </w:rPr>
            </w:pPr>
          </w:p>
          <w:p w14:paraId="1B371938" w14:textId="77777777" w:rsidR="003F11D6" w:rsidRPr="001D7384" w:rsidRDefault="003F11D6" w:rsidP="00E12AE0">
            <w:pPr>
              <w:spacing w:after="0"/>
              <w:rPr>
                <w:szCs w:val="24"/>
                <w:lang w:val="en-GB"/>
              </w:rPr>
            </w:pPr>
            <w:r w:rsidRPr="001D7384">
              <w:rPr>
                <w:b/>
                <w:bCs/>
                <w:szCs w:val="24"/>
                <w:lang w:val="en-GB"/>
              </w:rPr>
              <w:t>Security features</w:t>
            </w:r>
          </w:p>
          <w:p w14:paraId="2BCF31E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FIPS 140-2 compatibility</w:t>
            </w:r>
          </w:p>
          <w:p w14:paraId="46BABD2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MAC Sec support (IEEE 802.1ae)</w:t>
            </w:r>
          </w:p>
          <w:p w14:paraId="04F7E853" w14:textId="77777777" w:rsidR="003F11D6" w:rsidRPr="001D7384" w:rsidRDefault="003F11D6" w:rsidP="00E12AE0">
            <w:pPr>
              <w:spacing w:after="0"/>
              <w:rPr>
                <w:szCs w:val="24"/>
                <w:lang w:val="en-GB"/>
              </w:rPr>
            </w:pPr>
          </w:p>
          <w:p w14:paraId="3598797E" w14:textId="77777777" w:rsidR="003F11D6" w:rsidRPr="001D7384" w:rsidRDefault="003F11D6" w:rsidP="00E12AE0">
            <w:pPr>
              <w:spacing w:after="0"/>
              <w:rPr>
                <w:szCs w:val="24"/>
                <w:lang w:val="en-GB"/>
              </w:rPr>
            </w:pPr>
            <w:r w:rsidRPr="001D7384">
              <w:rPr>
                <w:b/>
                <w:bCs/>
                <w:szCs w:val="24"/>
                <w:lang w:val="en-GB"/>
              </w:rPr>
              <w:t>Cables and Transceivers (for each TOR switch)</w:t>
            </w:r>
          </w:p>
          <w:p w14:paraId="3579993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1 x 100GbE, QSFP28 to QSFP28, Passive Copper Direct Attach, 1m for Multi-Chassis Link Aggregation (MCLAG)</w:t>
            </w:r>
          </w:p>
          <w:p w14:paraId="14F8710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2 x Transceiver, 25GbE SFP28 SR, MMF, Duplex LC</w:t>
            </w:r>
          </w:p>
          <w:p w14:paraId="1A16134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2 x Transceiver, SFP+, 10GbE, SR, 850nm Wavelength, 300m </w:t>
            </w:r>
            <w:proofErr w:type="gramStart"/>
            <w:r w:rsidRPr="001D7384">
              <w:rPr>
                <w:bCs/>
                <w:szCs w:val="24"/>
                <w:lang w:val="en-GB"/>
              </w:rPr>
              <w:t>Reach</w:t>
            </w:r>
            <w:proofErr w:type="gramEnd"/>
          </w:p>
          <w:p w14:paraId="5BED9767" w14:textId="77777777" w:rsidR="003F11D6" w:rsidRPr="001D7384" w:rsidRDefault="003F11D6" w:rsidP="00E12AE0">
            <w:pPr>
              <w:pStyle w:val="ListParagraph"/>
              <w:numPr>
                <w:ilvl w:val="0"/>
                <w:numId w:val="153"/>
              </w:numPr>
              <w:spacing w:after="0"/>
              <w:ind w:left="491" w:hanging="436"/>
              <w:rPr>
                <w:szCs w:val="24"/>
                <w:lang w:val="en-GB"/>
              </w:rPr>
            </w:pPr>
            <w:r w:rsidRPr="001D7384">
              <w:rPr>
                <w:bCs/>
                <w:szCs w:val="24"/>
                <w:lang w:val="en-GB"/>
              </w:rPr>
              <w:t>2 x Fibre Cable, OM4, MMF</w:t>
            </w:r>
            <w:r w:rsidRPr="001D7384">
              <w:rPr>
                <w:szCs w:val="24"/>
                <w:lang w:val="en-GB"/>
              </w:rPr>
              <w:t>, LC/LC, 50 Meter</w:t>
            </w:r>
          </w:p>
        </w:tc>
        <w:tc>
          <w:tcPr>
            <w:tcW w:w="3690" w:type="dxa"/>
            <w:vAlign w:val="center"/>
          </w:tcPr>
          <w:p w14:paraId="44D62EBF" w14:textId="77777777" w:rsidR="003F11D6" w:rsidRPr="001D7384" w:rsidRDefault="003F11D6" w:rsidP="00E12AE0">
            <w:pPr>
              <w:spacing w:after="0"/>
              <w:rPr>
                <w:b/>
                <w:szCs w:val="24"/>
                <w:lang w:val="en-GB"/>
              </w:rPr>
            </w:pPr>
            <w:r w:rsidRPr="001D7384">
              <w:rPr>
                <w:szCs w:val="24"/>
                <w:lang w:val="en-GB"/>
              </w:rPr>
              <w:lastRenderedPageBreak/>
              <w:t xml:space="preserve"> </w:t>
            </w:r>
          </w:p>
        </w:tc>
      </w:tr>
      <w:tr w:rsidR="003F11D6" w:rsidRPr="001D7384" w14:paraId="2C93FA81" w14:textId="77777777" w:rsidTr="00416750">
        <w:tc>
          <w:tcPr>
            <w:tcW w:w="1134" w:type="dxa"/>
          </w:tcPr>
          <w:p w14:paraId="74F43E3D" w14:textId="77777777" w:rsidR="003F11D6" w:rsidRPr="001D7384" w:rsidRDefault="003F11D6" w:rsidP="00E12AE0">
            <w:pPr>
              <w:spacing w:after="0"/>
              <w:rPr>
                <w:b/>
                <w:szCs w:val="24"/>
                <w:lang w:val="en-GB"/>
              </w:rPr>
            </w:pPr>
            <w:r w:rsidRPr="001D7384">
              <w:rPr>
                <w:b/>
                <w:szCs w:val="24"/>
                <w:lang w:val="en-GB"/>
              </w:rPr>
              <w:t>1.3</w:t>
            </w:r>
          </w:p>
        </w:tc>
        <w:tc>
          <w:tcPr>
            <w:tcW w:w="4531" w:type="dxa"/>
            <w:vAlign w:val="center"/>
          </w:tcPr>
          <w:p w14:paraId="59049502" w14:textId="77777777" w:rsidR="003F11D6" w:rsidRPr="001D7384" w:rsidRDefault="003F11D6" w:rsidP="00E12AE0">
            <w:pPr>
              <w:spacing w:after="0"/>
              <w:rPr>
                <w:b/>
                <w:szCs w:val="24"/>
                <w:lang w:val="en-GB"/>
              </w:rPr>
            </w:pPr>
            <w:r w:rsidRPr="001D7384">
              <w:rPr>
                <w:b/>
                <w:szCs w:val="24"/>
                <w:lang w:val="en-GB"/>
              </w:rPr>
              <w:t>Network Out-of-Band Management (OOBM) switch    Qty. 2</w:t>
            </w:r>
          </w:p>
          <w:p w14:paraId="1FD54878" w14:textId="77777777" w:rsidR="003F11D6" w:rsidRPr="001D7384" w:rsidRDefault="003F11D6" w:rsidP="00E12AE0">
            <w:pPr>
              <w:spacing w:after="0"/>
              <w:rPr>
                <w:szCs w:val="24"/>
                <w:lang w:val="en-GB"/>
              </w:rPr>
            </w:pPr>
          </w:p>
          <w:p w14:paraId="5449D5CB" w14:textId="77777777" w:rsidR="003F11D6" w:rsidRPr="001D7384" w:rsidRDefault="003F11D6" w:rsidP="00E12AE0">
            <w:pPr>
              <w:spacing w:after="0"/>
              <w:rPr>
                <w:b/>
                <w:bCs/>
                <w:szCs w:val="24"/>
                <w:lang w:val="en-GB"/>
              </w:rPr>
            </w:pPr>
            <w:r w:rsidRPr="001D7384">
              <w:rPr>
                <w:b/>
                <w:bCs/>
                <w:szCs w:val="24"/>
                <w:lang w:val="en-GB"/>
              </w:rPr>
              <w:t>Physical characteristics</w:t>
            </w:r>
          </w:p>
          <w:p w14:paraId="2F9BC16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Type: L3, Access switch</w:t>
            </w:r>
          </w:p>
          <w:p w14:paraId="0557ABD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Chassis type: 1U, Rack mountable, including rack mounting </w:t>
            </w:r>
            <w:proofErr w:type="gramStart"/>
            <w:r w:rsidRPr="001D7384">
              <w:rPr>
                <w:bCs/>
                <w:szCs w:val="24"/>
                <w:lang w:val="en-GB"/>
              </w:rPr>
              <w:t>kit</w:t>
            </w:r>
            <w:proofErr w:type="gramEnd"/>
          </w:p>
          <w:p w14:paraId="0F692B8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Minimum 48x</w:t>
            </w:r>
            <w:r w:rsidRPr="001D7384">
              <w:rPr>
                <w:szCs w:val="24"/>
              </w:rPr>
              <w:t xml:space="preserve"> </w:t>
            </w:r>
            <w:r w:rsidRPr="001D7384">
              <w:rPr>
                <w:bCs/>
                <w:szCs w:val="24"/>
                <w:lang w:val="en-GB"/>
              </w:rPr>
              <w:t>RJ45 10M/100M/1G/ auto-sensing downlink ports</w:t>
            </w:r>
          </w:p>
          <w:p w14:paraId="50B6D51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Minimum 4x SFP+ 10G uplink ports</w:t>
            </w:r>
          </w:p>
          <w:p w14:paraId="111AD74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Console access:  mini-USB or RJ-45 copper ports.</w:t>
            </w:r>
          </w:p>
          <w:p w14:paraId="4DC0E66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Airflow: “</w:t>
            </w:r>
            <w:r w:rsidRPr="001D7384">
              <w:rPr>
                <w:b/>
                <w:szCs w:val="24"/>
                <w:lang w:val="en-GB"/>
              </w:rPr>
              <w:t>side-to-back</w:t>
            </w:r>
            <w:r w:rsidRPr="001D7384">
              <w:rPr>
                <w:bCs/>
                <w:szCs w:val="24"/>
                <w:lang w:val="en-GB"/>
              </w:rPr>
              <w:t>”</w:t>
            </w:r>
          </w:p>
          <w:p w14:paraId="7C52E43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Power Supply: Redundant AC power supplies, dual,</w:t>
            </w:r>
          </w:p>
          <w:p w14:paraId="1308F42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Cords:  2m (PDU 10A)</w:t>
            </w:r>
          </w:p>
          <w:p w14:paraId="598C7488" w14:textId="77777777" w:rsidR="003F11D6" w:rsidRPr="001D7384" w:rsidRDefault="003F11D6" w:rsidP="00E12AE0">
            <w:pPr>
              <w:spacing w:after="0"/>
              <w:rPr>
                <w:szCs w:val="24"/>
                <w:lang w:val="en-GB"/>
              </w:rPr>
            </w:pPr>
          </w:p>
          <w:p w14:paraId="7C5F6DDA" w14:textId="77777777" w:rsidR="003F11D6" w:rsidRPr="001D7384" w:rsidRDefault="003F11D6" w:rsidP="00E12AE0">
            <w:pPr>
              <w:spacing w:after="0"/>
              <w:rPr>
                <w:b/>
                <w:bCs/>
                <w:szCs w:val="24"/>
                <w:lang w:val="en-GB"/>
              </w:rPr>
            </w:pPr>
            <w:r w:rsidRPr="001D7384">
              <w:rPr>
                <w:b/>
                <w:bCs/>
                <w:szCs w:val="24"/>
                <w:lang w:val="en-GB"/>
              </w:rPr>
              <w:t>Performance</w:t>
            </w:r>
          </w:p>
          <w:p w14:paraId="74064C5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Switching capacity: min. Up to 175 Gbps</w:t>
            </w:r>
          </w:p>
          <w:p w14:paraId="30AB811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Forwarding rate: min. Up to 255 Mpps</w:t>
            </w:r>
          </w:p>
          <w:p w14:paraId="3E84475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Maximum latency: up </w:t>
            </w:r>
            <w:proofErr w:type="gramStart"/>
            <w:r w:rsidRPr="001D7384">
              <w:rPr>
                <w:bCs/>
                <w:szCs w:val="24"/>
                <w:lang w:val="en-GB"/>
              </w:rPr>
              <w:t>to  1</w:t>
            </w:r>
            <w:proofErr w:type="gramEnd"/>
            <w:r w:rsidRPr="001D7384">
              <w:rPr>
                <w:bCs/>
                <w:szCs w:val="24"/>
                <w:lang w:val="en-GB"/>
              </w:rPr>
              <w:t xml:space="preserve"> µs</w:t>
            </w:r>
          </w:p>
          <w:p w14:paraId="73B0C0D8" w14:textId="77777777" w:rsidR="003F11D6" w:rsidRPr="001D7384" w:rsidRDefault="003F11D6" w:rsidP="00E12AE0">
            <w:pPr>
              <w:spacing w:after="0"/>
              <w:rPr>
                <w:szCs w:val="24"/>
                <w:lang w:val="en-GB"/>
              </w:rPr>
            </w:pPr>
            <w:r w:rsidRPr="001D7384">
              <w:rPr>
                <w:szCs w:val="24"/>
                <w:lang w:val="en-GB"/>
              </w:rPr>
              <w:t xml:space="preserve"> </w:t>
            </w:r>
          </w:p>
          <w:p w14:paraId="5EE3172D" w14:textId="77777777" w:rsidR="003F11D6" w:rsidRPr="001D7384" w:rsidRDefault="003F11D6" w:rsidP="00E12AE0">
            <w:pPr>
              <w:spacing w:after="0"/>
              <w:rPr>
                <w:b/>
                <w:szCs w:val="24"/>
                <w:lang w:val="en-GB"/>
              </w:rPr>
            </w:pPr>
            <w:r w:rsidRPr="001D7384">
              <w:rPr>
                <w:b/>
                <w:szCs w:val="24"/>
                <w:lang w:val="en-GB"/>
              </w:rPr>
              <w:t>Cables and Transceivers</w:t>
            </w:r>
          </w:p>
          <w:p w14:paraId="48FD0B2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2 x SFP+ to SFP+, 10GbE, Passive Copper </w:t>
            </w:r>
            <w:proofErr w:type="spellStart"/>
            <w:r w:rsidRPr="001D7384">
              <w:rPr>
                <w:bCs/>
                <w:szCs w:val="24"/>
                <w:lang w:val="en-GB"/>
              </w:rPr>
              <w:t>Twinax</w:t>
            </w:r>
            <w:proofErr w:type="spellEnd"/>
            <w:r w:rsidRPr="001D7384">
              <w:rPr>
                <w:bCs/>
                <w:szCs w:val="24"/>
                <w:lang w:val="en-GB"/>
              </w:rPr>
              <w:t>, Direct Attach Cable, 1 Meter (compatible with TOR switches Item No. 1.2)</w:t>
            </w:r>
          </w:p>
          <w:p w14:paraId="2EA220BA" w14:textId="77777777" w:rsidR="003F11D6" w:rsidRPr="001D7384" w:rsidRDefault="003F11D6" w:rsidP="00E12AE0">
            <w:pPr>
              <w:pStyle w:val="ListParagraph"/>
              <w:spacing w:after="0"/>
              <w:ind w:left="349"/>
              <w:rPr>
                <w:bCs/>
                <w:szCs w:val="24"/>
                <w:lang w:val="en-GB"/>
              </w:rPr>
            </w:pPr>
          </w:p>
        </w:tc>
        <w:tc>
          <w:tcPr>
            <w:tcW w:w="3690" w:type="dxa"/>
          </w:tcPr>
          <w:p w14:paraId="1CCE4A93" w14:textId="77777777" w:rsidR="003F11D6" w:rsidRPr="001D7384" w:rsidRDefault="003F11D6" w:rsidP="00E12AE0">
            <w:pPr>
              <w:spacing w:after="0"/>
              <w:rPr>
                <w:b/>
                <w:szCs w:val="24"/>
                <w:lang w:val="en-GB"/>
              </w:rPr>
            </w:pPr>
            <w:r w:rsidRPr="001D7384">
              <w:rPr>
                <w:szCs w:val="24"/>
                <w:lang w:val="en-GB"/>
              </w:rPr>
              <w:lastRenderedPageBreak/>
              <w:t xml:space="preserve"> </w:t>
            </w:r>
          </w:p>
        </w:tc>
      </w:tr>
      <w:tr w:rsidR="003F11D6" w:rsidRPr="001D7384" w14:paraId="3AA35587" w14:textId="77777777" w:rsidTr="00416750">
        <w:tc>
          <w:tcPr>
            <w:tcW w:w="1134" w:type="dxa"/>
          </w:tcPr>
          <w:p w14:paraId="43FDF95C" w14:textId="77777777" w:rsidR="003F11D6" w:rsidRPr="001D7384" w:rsidRDefault="003F11D6" w:rsidP="00E12AE0">
            <w:pPr>
              <w:spacing w:after="0"/>
              <w:rPr>
                <w:b/>
                <w:szCs w:val="24"/>
                <w:lang w:val="en-GB"/>
              </w:rPr>
            </w:pPr>
            <w:r w:rsidRPr="001D7384">
              <w:rPr>
                <w:b/>
                <w:szCs w:val="24"/>
                <w:lang w:val="en-GB"/>
              </w:rPr>
              <w:t>1.4</w:t>
            </w:r>
          </w:p>
        </w:tc>
        <w:tc>
          <w:tcPr>
            <w:tcW w:w="4531" w:type="dxa"/>
          </w:tcPr>
          <w:p w14:paraId="015417BE" w14:textId="77777777" w:rsidR="003F11D6" w:rsidRPr="001D7384" w:rsidRDefault="003F11D6" w:rsidP="00E12AE0">
            <w:pPr>
              <w:spacing w:after="0"/>
              <w:rPr>
                <w:b/>
                <w:szCs w:val="24"/>
                <w:lang w:val="en-GB"/>
              </w:rPr>
            </w:pPr>
            <w:r w:rsidRPr="001D7384">
              <w:rPr>
                <w:b/>
                <w:szCs w:val="24"/>
                <w:lang w:val="en-GB"/>
              </w:rPr>
              <w:t>Database Servers – Virtualized UNIX/Linux hosts        Qty. 2 + 1 (cluster for Primary site + single for DR Site)</w:t>
            </w:r>
          </w:p>
          <w:p w14:paraId="121F74EC" w14:textId="77777777" w:rsidR="003F11D6" w:rsidRPr="001D7384" w:rsidRDefault="003F11D6" w:rsidP="00E12AE0">
            <w:pPr>
              <w:spacing w:after="0"/>
              <w:rPr>
                <w:bCs/>
                <w:szCs w:val="24"/>
                <w:lang w:val="en-GB"/>
              </w:rPr>
            </w:pPr>
          </w:p>
          <w:p w14:paraId="5BD52B3F" w14:textId="77777777" w:rsidR="003F11D6" w:rsidRPr="001D7384" w:rsidRDefault="003F11D6" w:rsidP="00E12AE0">
            <w:pPr>
              <w:spacing w:after="0"/>
              <w:rPr>
                <w:b/>
                <w:szCs w:val="24"/>
                <w:lang w:val="en-GB"/>
              </w:rPr>
            </w:pPr>
            <w:r w:rsidRPr="001D7384">
              <w:rPr>
                <w:b/>
                <w:szCs w:val="24"/>
                <w:lang w:val="en-GB"/>
              </w:rPr>
              <w:t>Chassis and Power supply</w:t>
            </w:r>
          </w:p>
          <w:p w14:paraId="1BE8E6F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Form factor/height: Rack mount, max. </w:t>
            </w:r>
            <w:proofErr w:type="gramStart"/>
            <w:r w:rsidRPr="001D7384">
              <w:rPr>
                <w:bCs/>
                <w:szCs w:val="24"/>
                <w:lang w:val="en-GB"/>
              </w:rPr>
              <w:t>2U</w:t>
            </w:r>
            <w:proofErr w:type="gramEnd"/>
          </w:p>
          <w:p w14:paraId="50F26B0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Chassis Configuration: </w:t>
            </w:r>
            <w:proofErr w:type="spellStart"/>
            <w:r w:rsidRPr="001D7384">
              <w:rPr>
                <w:bCs/>
                <w:szCs w:val="24"/>
                <w:lang w:val="en-GB"/>
              </w:rPr>
              <w:t>NVMe</w:t>
            </w:r>
            <w:proofErr w:type="spellEnd"/>
            <w:r w:rsidRPr="001D7384">
              <w:rPr>
                <w:bCs/>
                <w:szCs w:val="24"/>
                <w:lang w:val="en-GB"/>
              </w:rPr>
              <w:t xml:space="preserve"> Chassis,</w:t>
            </w:r>
          </w:p>
          <w:p w14:paraId="7EFFB8D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supply: minimum Dual, Hot-Plug, 1850W,</w:t>
            </w:r>
          </w:p>
          <w:p w14:paraId="3362E1C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Power cords: 2 x Rack Power Cord 1m (C13/C14 10A) </w:t>
            </w:r>
          </w:p>
          <w:p w14:paraId="737C68D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Rails: Toolless, Sliding Rails</w:t>
            </w:r>
          </w:p>
          <w:p w14:paraId="06CE8F8B" w14:textId="77777777" w:rsidR="003F11D6" w:rsidRPr="001D7384" w:rsidRDefault="003F11D6" w:rsidP="00E12AE0">
            <w:pPr>
              <w:pStyle w:val="ListParagraph"/>
              <w:numPr>
                <w:ilvl w:val="0"/>
                <w:numId w:val="153"/>
              </w:numPr>
              <w:spacing w:after="0"/>
              <w:ind w:left="491" w:hanging="436"/>
              <w:rPr>
                <w:bCs/>
                <w:szCs w:val="24"/>
                <w:lang w:val="de-DE"/>
              </w:rPr>
            </w:pPr>
            <w:r w:rsidRPr="001D7384">
              <w:rPr>
                <w:bCs/>
                <w:szCs w:val="24"/>
                <w:lang w:val="de-DE"/>
              </w:rPr>
              <w:t>Ports: minimum 1 x USB-2.0, 1 x USB-3.0, 2 x Ethernet management RJ-45 ports</w:t>
            </w:r>
          </w:p>
          <w:p w14:paraId="3D658B28" w14:textId="77777777" w:rsidR="003F11D6" w:rsidRPr="001D7384" w:rsidRDefault="003F11D6" w:rsidP="00E12AE0">
            <w:pPr>
              <w:spacing w:after="0"/>
              <w:rPr>
                <w:b/>
                <w:szCs w:val="24"/>
                <w:lang w:val="de-DE"/>
              </w:rPr>
            </w:pPr>
          </w:p>
          <w:p w14:paraId="7B985831" w14:textId="77777777" w:rsidR="003F11D6" w:rsidRPr="001D7384" w:rsidRDefault="003F11D6" w:rsidP="00E12AE0">
            <w:pPr>
              <w:spacing w:after="0"/>
              <w:rPr>
                <w:b/>
                <w:szCs w:val="24"/>
                <w:lang w:val="en-GB"/>
              </w:rPr>
            </w:pPr>
            <w:r w:rsidRPr="001D7384">
              <w:rPr>
                <w:b/>
                <w:szCs w:val="24"/>
                <w:lang w:val="en-GB"/>
              </w:rPr>
              <w:t>Motherboard, CPU and Memory</w:t>
            </w:r>
          </w:p>
          <w:p w14:paraId="1E7C47C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DDR4 DIMM slots: min. 32</w:t>
            </w:r>
          </w:p>
          <w:p w14:paraId="20D9D65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memory channels per CPU: min. 8</w:t>
            </w:r>
          </w:p>
          <w:p w14:paraId="60007A8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sockets: </w:t>
            </w:r>
            <w:r w:rsidRPr="001D7384">
              <w:rPr>
                <w:b/>
                <w:szCs w:val="24"/>
                <w:lang w:val="en-GB"/>
              </w:rPr>
              <w:t>minimum 2 processor sockets</w:t>
            </w:r>
            <w:r w:rsidRPr="001D7384">
              <w:rPr>
                <w:bCs/>
                <w:szCs w:val="24"/>
                <w:lang w:val="en-GB"/>
              </w:rPr>
              <w:t xml:space="preserve"> supported, each with a min. of 12 cores each,</w:t>
            </w:r>
            <w:r w:rsidRPr="001D7384">
              <w:rPr>
                <w:b/>
                <w:szCs w:val="24"/>
                <w:lang w:val="en-GB"/>
              </w:rPr>
              <w:t xml:space="preserve"> with NX unit acceleration</w:t>
            </w:r>
            <w:r w:rsidRPr="001D7384">
              <w:rPr>
                <w:bCs/>
                <w:szCs w:val="24"/>
                <w:lang w:val="en-GB"/>
              </w:rPr>
              <w:t>.</w:t>
            </w:r>
          </w:p>
          <w:p w14:paraId="0D6A873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CPU generation: minimum latest Generation RISC architecture processors.</w:t>
            </w:r>
          </w:p>
          <w:p w14:paraId="4AD1CC2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CPU Clock rate</w:t>
            </w:r>
            <w:r w:rsidRPr="001D7384">
              <w:rPr>
                <w:b/>
                <w:szCs w:val="24"/>
                <w:lang w:val="en-GB"/>
              </w:rPr>
              <w:t>: min.</w:t>
            </w:r>
            <w:r w:rsidRPr="001D7384">
              <w:rPr>
                <w:bCs/>
                <w:szCs w:val="24"/>
                <w:lang w:val="en-GB"/>
              </w:rPr>
              <w:t xml:space="preserve"> </w:t>
            </w:r>
            <w:r w:rsidRPr="001D7384">
              <w:rPr>
                <w:b/>
                <w:szCs w:val="24"/>
                <w:lang w:val="en-GB"/>
              </w:rPr>
              <w:t>3,9 GHz</w:t>
            </w:r>
          </w:p>
          <w:p w14:paraId="6D90D99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Number of active cores per CPU: </w:t>
            </w:r>
            <w:r w:rsidRPr="001D7384">
              <w:rPr>
                <w:b/>
                <w:szCs w:val="24"/>
                <w:lang w:val="en-GB"/>
              </w:rPr>
              <w:t>min. 6</w:t>
            </w:r>
          </w:p>
          <w:p w14:paraId="68F85A4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L3 Cache: </w:t>
            </w:r>
            <w:r w:rsidRPr="001D7384">
              <w:rPr>
                <w:b/>
                <w:szCs w:val="24"/>
                <w:lang w:val="en-GB"/>
              </w:rPr>
              <w:t>min. 8 MB per physical core</w:t>
            </w:r>
          </w:p>
          <w:p w14:paraId="1AAB7F1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execution threads: </w:t>
            </w:r>
            <w:r w:rsidRPr="001D7384">
              <w:rPr>
                <w:b/>
                <w:szCs w:val="24"/>
                <w:lang w:val="en-GB"/>
              </w:rPr>
              <w:t>min. 8 hardware based simultaneous threads</w:t>
            </w:r>
            <w:r w:rsidRPr="001D7384">
              <w:rPr>
                <w:bCs/>
                <w:szCs w:val="24"/>
                <w:lang w:val="en-GB"/>
              </w:rPr>
              <w:t xml:space="preserve"> for each physical </w:t>
            </w:r>
            <w:proofErr w:type="gramStart"/>
            <w:r w:rsidRPr="001D7384">
              <w:rPr>
                <w:bCs/>
                <w:szCs w:val="24"/>
                <w:lang w:val="en-GB"/>
              </w:rPr>
              <w:t>core</w:t>
            </w:r>
            <w:proofErr w:type="gramEnd"/>
          </w:p>
          <w:p w14:paraId="4037DC3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Memory type: ECC DDR4, with AES based memory encryption for all data in system </w:t>
            </w:r>
            <w:proofErr w:type="gramStart"/>
            <w:r w:rsidRPr="001D7384">
              <w:rPr>
                <w:bCs/>
                <w:szCs w:val="24"/>
                <w:lang w:val="en-GB"/>
              </w:rPr>
              <w:t>memory</w:t>
            </w:r>
            <w:proofErr w:type="gramEnd"/>
          </w:p>
          <w:p w14:paraId="3A0806A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speed: min. 3200 Mbps</w:t>
            </w:r>
          </w:p>
          <w:p w14:paraId="60F49C0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Capacity: min. 512 GB, (8 x 64 GB)</w:t>
            </w:r>
          </w:p>
          <w:p w14:paraId="23134E9B" w14:textId="77777777" w:rsidR="003F11D6" w:rsidRPr="001D7384" w:rsidRDefault="003F11D6" w:rsidP="00E12AE0">
            <w:pPr>
              <w:spacing w:after="0"/>
              <w:rPr>
                <w:b/>
                <w:szCs w:val="24"/>
                <w:lang w:val="en-GB"/>
              </w:rPr>
            </w:pPr>
            <w:r w:rsidRPr="001D7384">
              <w:rPr>
                <w:b/>
                <w:szCs w:val="24"/>
                <w:lang w:val="en-GB"/>
              </w:rPr>
              <w:t>Storage configuration</w:t>
            </w:r>
          </w:p>
          <w:p w14:paraId="36BB466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PCI SAN controllers: 2 x 32 GB Dual Port Fiber Channel HBA, SW SFP</w:t>
            </w:r>
          </w:p>
          <w:p w14:paraId="4988E32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Boot disks: Boot-From-SAN </w:t>
            </w:r>
            <w:proofErr w:type="gramStart"/>
            <w:r w:rsidRPr="001D7384">
              <w:rPr>
                <w:bCs/>
                <w:szCs w:val="24"/>
                <w:lang w:val="en-GB"/>
              </w:rPr>
              <w:t>configuration</w:t>
            </w:r>
            <w:proofErr w:type="gramEnd"/>
          </w:p>
          <w:p w14:paraId="237FA4DE" w14:textId="77777777" w:rsidR="003F11D6" w:rsidRPr="001D7384" w:rsidRDefault="003F11D6" w:rsidP="00E12AE0">
            <w:pPr>
              <w:spacing w:after="0"/>
              <w:rPr>
                <w:b/>
                <w:szCs w:val="24"/>
                <w:lang w:val="en-GB"/>
              </w:rPr>
            </w:pPr>
          </w:p>
          <w:p w14:paraId="72E48D9F" w14:textId="77777777" w:rsidR="003F11D6" w:rsidRPr="001D7384" w:rsidRDefault="003F11D6" w:rsidP="00E12AE0">
            <w:pPr>
              <w:spacing w:after="0"/>
              <w:rPr>
                <w:b/>
                <w:szCs w:val="24"/>
                <w:lang w:val="en-GB"/>
              </w:rPr>
            </w:pPr>
            <w:r w:rsidRPr="001D7384">
              <w:rPr>
                <w:b/>
                <w:szCs w:val="24"/>
                <w:lang w:val="en-GB"/>
              </w:rPr>
              <w:t>Network Interface Cards</w:t>
            </w:r>
          </w:p>
          <w:p w14:paraId="4519F6B6"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w:t>
            </w:r>
            <w:proofErr w:type="spellStart"/>
            <w:proofErr w:type="gramStart"/>
            <w:r w:rsidRPr="001D7384">
              <w:rPr>
                <w:bCs/>
                <w:szCs w:val="24"/>
                <w:lang w:val="fr-BE"/>
              </w:rPr>
              <w:t>NIC’s</w:t>
            </w:r>
            <w:proofErr w:type="spellEnd"/>
            <w:r w:rsidRPr="001D7384">
              <w:rPr>
                <w:bCs/>
                <w:szCs w:val="24"/>
                <w:lang w:val="fr-BE"/>
              </w:rPr>
              <w:t>:</w:t>
            </w:r>
            <w:proofErr w:type="gramEnd"/>
            <w:r w:rsidRPr="001D7384">
              <w:rPr>
                <w:bCs/>
                <w:szCs w:val="24"/>
                <w:lang w:val="fr-BE"/>
              </w:rPr>
              <w:t xml:space="preserve"> 2 x Dual Port 25 </w:t>
            </w:r>
            <w:proofErr w:type="spellStart"/>
            <w:r w:rsidRPr="001D7384">
              <w:rPr>
                <w:bCs/>
                <w:szCs w:val="24"/>
                <w:lang w:val="fr-BE"/>
              </w:rPr>
              <w:t>Gbe</w:t>
            </w:r>
            <w:proofErr w:type="spellEnd"/>
            <w:r w:rsidRPr="001D7384">
              <w:rPr>
                <w:bCs/>
                <w:szCs w:val="24"/>
                <w:lang w:val="fr-BE"/>
              </w:rPr>
              <w:t xml:space="preserve"> - SFP28, </w:t>
            </w:r>
            <w:proofErr w:type="spellStart"/>
            <w:r w:rsidRPr="001D7384">
              <w:rPr>
                <w:bCs/>
                <w:szCs w:val="24"/>
                <w:lang w:val="fr-BE"/>
              </w:rPr>
              <w:t>RoCE</w:t>
            </w:r>
            <w:proofErr w:type="spellEnd"/>
            <w:r w:rsidRPr="001D7384">
              <w:rPr>
                <w:bCs/>
                <w:szCs w:val="24"/>
                <w:lang w:val="fr-BE"/>
              </w:rPr>
              <w:t>.</w:t>
            </w:r>
          </w:p>
          <w:p w14:paraId="101A77F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Networking Cables: 4 x SFP28 to SFP28, 25GbE, Passive Copper </w:t>
            </w:r>
            <w:proofErr w:type="spellStart"/>
            <w:r w:rsidRPr="001D7384">
              <w:rPr>
                <w:bCs/>
                <w:szCs w:val="24"/>
                <w:lang w:val="en-GB"/>
              </w:rPr>
              <w:t>Twinax</w:t>
            </w:r>
            <w:proofErr w:type="spellEnd"/>
            <w:r w:rsidRPr="001D7384">
              <w:rPr>
                <w:bCs/>
                <w:szCs w:val="24"/>
                <w:lang w:val="en-GB"/>
              </w:rPr>
              <w:t xml:space="preserve"> Direct Attach Cable, 3 Meter (compatible with TOR switches Item No. 1.2)</w:t>
            </w:r>
          </w:p>
          <w:p w14:paraId="6278FC05" w14:textId="77777777" w:rsidR="003F11D6" w:rsidRPr="001D7384" w:rsidRDefault="003F11D6" w:rsidP="00E12AE0">
            <w:pPr>
              <w:spacing w:after="0"/>
              <w:rPr>
                <w:b/>
                <w:szCs w:val="24"/>
                <w:lang w:val="en-GB"/>
              </w:rPr>
            </w:pPr>
          </w:p>
          <w:p w14:paraId="56693BFC" w14:textId="77777777" w:rsidR="003F11D6" w:rsidRPr="001D7384" w:rsidRDefault="003F11D6" w:rsidP="00E12AE0">
            <w:pPr>
              <w:spacing w:after="0"/>
              <w:rPr>
                <w:b/>
                <w:szCs w:val="24"/>
                <w:lang w:val="en-GB"/>
              </w:rPr>
            </w:pPr>
            <w:r w:rsidRPr="001D7384">
              <w:rPr>
                <w:b/>
                <w:szCs w:val="24"/>
                <w:lang w:val="en-GB"/>
              </w:rPr>
              <w:t>Security features</w:t>
            </w:r>
          </w:p>
          <w:p w14:paraId="1E2F092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Cryptographic algorithm acceleration, for Advanced Encryption</w:t>
            </w:r>
            <w:r w:rsidRPr="001D7384">
              <w:rPr>
                <w:bCs/>
                <w:szCs w:val="24"/>
                <w:lang w:val="en-GB"/>
              </w:rPr>
              <w:cr/>
              <w:t>Standard (AES) and SHA3</w:t>
            </w:r>
          </w:p>
          <w:p w14:paraId="0D7F693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Front Bezel</w:t>
            </w:r>
          </w:p>
          <w:p w14:paraId="6BF3944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Cryptographically signed firmware</w:t>
            </w:r>
          </w:p>
          <w:p w14:paraId="7A8D58D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Secure Boot</w:t>
            </w:r>
          </w:p>
          <w:p w14:paraId="1B9513B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Trusted Boot</w:t>
            </w:r>
          </w:p>
          <w:p w14:paraId="4122C3A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Single Root I/O Virtualization (SR-IOV)</w:t>
            </w:r>
          </w:p>
          <w:p w14:paraId="6DB7B108" w14:textId="77777777" w:rsidR="003F11D6" w:rsidRPr="001D7384" w:rsidRDefault="003F11D6" w:rsidP="00E12AE0">
            <w:pPr>
              <w:spacing w:after="0"/>
              <w:rPr>
                <w:b/>
                <w:szCs w:val="24"/>
                <w:lang w:val="en-GB"/>
              </w:rPr>
            </w:pPr>
          </w:p>
          <w:p w14:paraId="3B0F6CED" w14:textId="77777777" w:rsidR="003F11D6" w:rsidRPr="001D7384" w:rsidRDefault="003F11D6" w:rsidP="00E12AE0">
            <w:pPr>
              <w:spacing w:after="0"/>
              <w:rPr>
                <w:b/>
                <w:szCs w:val="24"/>
                <w:lang w:val="en-GB"/>
              </w:rPr>
            </w:pPr>
            <w:r w:rsidRPr="001D7384">
              <w:rPr>
                <w:b/>
                <w:szCs w:val="24"/>
                <w:lang w:val="en-GB"/>
              </w:rPr>
              <w:lastRenderedPageBreak/>
              <w:t>Embedded Management</w:t>
            </w:r>
          </w:p>
          <w:p w14:paraId="59D2A50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Separate, integrated dual 1 Gb Base-T module for monitoring and management of server and its components. Support for local and remote access via Graphic Web Interface (GUI). A remote access license must be included in the offer.</w:t>
            </w:r>
          </w:p>
          <w:p w14:paraId="0111CAB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Web-based GUI.</w:t>
            </w:r>
          </w:p>
          <w:p w14:paraId="229AD22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Health Monitoring through sensors.</w:t>
            </w:r>
          </w:p>
          <w:p w14:paraId="287C1B4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control, Boot control,</w:t>
            </w:r>
          </w:p>
          <w:p w14:paraId="3C3019C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 Media, Virtual Folders</w:t>
            </w:r>
          </w:p>
          <w:p w14:paraId="1C58A27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 Console, HTML access to Virtual Console</w:t>
            </w:r>
          </w:p>
          <w:p w14:paraId="0F5EA5B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SSH connection to OS</w:t>
            </w:r>
          </w:p>
          <w:p w14:paraId="3D087DE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Email Alerting </w:t>
            </w:r>
          </w:p>
          <w:p w14:paraId="09D2DCA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Temperature monitoring</w:t>
            </w:r>
          </w:p>
        </w:tc>
        <w:tc>
          <w:tcPr>
            <w:tcW w:w="3690" w:type="dxa"/>
          </w:tcPr>
          <w:p w14:paraId="79672B42" w14:textId="77777777" w:rsidR="003F11D6" w:rsidRPr="001D7384" w:rsidRDefault="003F11D6" w:rsidP="00E12AE0">
            <w:pPr>
              <w:spacing w:after="0"/>
              <w:rPr>
                <w:b/>
                <w:szCs w:val="24"/>
                <w:lang w:val="en-GB"/>
              </w:rPr>
            </w:pPr>
          </w:p>
        </w:tc>
      </w:tr>
      <w:tr w:rsidR="003F11D6" w:rsidRPr="00AC5790" w14:paraId="48BA13D4" w14:textId="77777777" w:rsidTr="00416750">
        <w:tc>
          <w:tcPr>
            <w:tcW w:w="1134" w:type="dxa"/>
          </w:tcPr>
          <w:p w14:paraId="2714F489" w14:textId="77777777" w:rsidR="003F11D6" w:rsidRPr="001D7384" w:rsidRDefault="003F11D6" w:rsidP="00E12AE0">
            <w:pPr>
              <w:spacing w:after="0"/>
              <w:rPr>
                <w:b/>
                <w:szCs w:val="24"/>
                <w:lang w:val="en-GB"/>
              </w:rPr>
            </w:pPr>
            <w:r w:rsidRPr="001D7384">
              <w:rPr>
                <w:b/>
                <w:szCs w:val="24"/>
                <w:lang w:val="en-GB"/>
              </w:rPr>
              <w:lastRenderedPageBreak/>
              <w:t>1.5</w:t>
            </w:r>
          </w:p>
        </w:tc>
        <w:tc>
          <w:tcPr>
            <w:tcW w:w="4531" w:type="dxa"/>
          </w:tcPr>
          <w:p w14:paraId="69F5F319" w14:textId="77777777" w:rsidR="003F11D6" w:rsidRPr="001D7384" w:rsidRDefault="003F11D6" w:rsidP="00E12AE0">
            <w:pPr>
              <w:spacing w:after="0"/>
              <w:rPr>
                <w:b/>
                <w:szCs w:val="24"/>
                <w:lang w:val="en-GB"/>
              </w:rPr>
            </w:pPr>
            <w:r w:rsidRPr="001D7384">
              <w:rPr>
                <w:b/>
                <w:szCs w:val="24"/>
                <w:lang w:val="en-GB"/>
              </w:rPr>
              <w:t>General Compute Servers – Hypervisor hosts - Qty. 4 + 1 (cluster for Primary site + single for DR Site)</w:t>
            </w:r>
          </w:p>
          <w:p w14:paraId="1B7C034A" w14:textId="77777777" w:rsidR="003F11D6" w:rsidRPr="001D7384" w:rsidRDefault="003F11D6" w:rsidP="00E12AE0">
            <w:pPr>
              <w:spacing w:after="0"/>
              <w:rPr>
                <w:bCs/>
                <w:szCs w:val="24"/>
                <w:lang w:val="en-GB"/>
              </w:rPr>
            </w:pPr>
          </w:p>
          <w:p w14:paraId="7F96F55C" w14:textId="77777777" w:rsidR="003F11D6" w:rsidRPr="001D7384" w:rsidRDefault="003F11D6" w:rsidP="00E12AE0">
            <w:pPr>
              <w:spacing w:after="0"/>
              <w:rPr>
                <w:b/>
                <w:szCs w:val="24"/>
                <w:lang w:val="en-GB"/>
              </w:rPr>
            </w:pPr>
            <w:r w:rsidRPr="001D7384">
              <w:rPr>
                <w:b/>
                <w:szCs w:val="24"/>
                <w:lang w:val="en-GB"/>
              </w:rPr>
              <w:t>Chassis and Power supply</w:t>
            </w:r>
          </w:p>
          <w:p w14:paraId="5D4FD59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Form factor/height: Rack mount, max. </w:t>
            </w:r>
            <w:proofErr w:type="gramStart"/>
            <w:r w:rsidRPr="001D7384">
              <w:rPr>
                <w:bCs/>
                <w:szCs w:val="24"/>
                <w:lang w:val="en-GB"/>
              </w:rPr>
              <w:t>2U</w:t>
            </w:r>
            <w:proofErr w:type="gramEnd"/>
          </w:p>
          <w:p w14:paraId="5AC0DAF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Power supply: minimum Dual, Hot -Plug, 1100W, Titanium efficiency class </w:t>
            </w:r>
          </w:p>
          <w:p w14:paraId="339E086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Power cords: 2 x Rack Power Cord 1m (C13/C14 10A) </w:t>
            </w:r>
          </w:p>
          <w:p w14:paraId="50B5583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Rails: Toolless, Sliding Rails, with cable management arm</w:t>
            </w:r>
          </w:p>
          <w:p w14:paraId="58063F6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Ports: minimum 2 x USB-2.0, 1 x USB-3.0, 1 x VGA, 1 x USB port, minimum optional serial port</w:t>
            </w:r>
          </w:p>
          <w:p w14:paraId="02BB0AD8" w14:textId="77777777" w:rsidR="003F11D6" w:rsidRPr="001D7384" w:rsidRDefault="003F11D6" w:rsidP="00E12AE0">
            <w:pPr>
              <w:spacing w:after="0"/>
              <w:rPr>
                <w:b/>
                <w:szCs w:val="24"/>
                <w:lang w:val="en-GB"/>
              </w:rPr>
            </w:pPr>
          </w:p>
          <w:p w14:paraId="5C9BAB54" w14:textId="77777777" w:rsidR="003F11D6" w:rsidRPr="001D7384" w:rsidRDefault="003F11D6" w:rsidP="00E12AE0">
            <w:pPr>
              <w:spacing w:after="0"/>
              <w:rPr>
                <w:b/>
                <w:szCs w:val="24"/>
                <w:lang w:val="en-GB"/>
              </w:rPr>
            </w:pPr>
            <w:r w:rsidRPr="001D7384">
              <w:rPr>
                <w:b/>
                <w:szCs w:val="24"/>
                <w:lang w:val="en-GB"/>
              </w:rPr>
              <w:t>Motherboard, CPU and Memory</w:t>
            </w:r>
          </w:p>
          <w:p w14:paraId="5B088B7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DDR5 DIMM slots: min. 32</w:t>
            </w:r>
          </w:p>
          <w:p w14:paraId="71DB057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memory channels per CPU: min. 16</w:t>
            </w:r>
          </w:p>
          <w:p w14:paraId="7A6D404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CPU sockets: minimum 2 processor sockets supported.</w:t>
            </w:r>
          </w:p>
          <w:p w14:paraId="4C48D24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CPU generation: minimum latest Generation x64 architecture processors or equivalent.</w:t>
            </w:r>
          </w:p>
          <w:p w14:paraId="20B7642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Required number: </w:t>
            </w:r>
            <w:r w:rsidRPr="001D7384">
              <w:rPr>
                <w:b/>
                <w:szCs w:val="24"/>
                <w:lang w:val="en-GB"/>
              </w:rPr>
              <w:t xml:space="preserve">2 </w:t>
            </w:r>
            <w:proofErr w:type="gramStart"/>
            <w:r w:rsidRPr="001D7384">
              <w:rPr>
                <w:b/>
                <w:szCs w:val="24"/>
                <w:lang w:val="en-GB"/>
              </w:rPr>
              <w:t>Pcs</w:t>
            </w:r>
            <w:proofErr w:type="gramEnd"/>
          </w:p>
          <w:p w14:paraId="36890F4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CPU Clock rate</w:t>
            </w:r>
            <w:r w:rsidRPr="001D7384">
              <w:rPr>
                <w:b/>
                <w:szCs w:val="24"/>
                <w:lang w:val="en-GB"/>
              </w:rPr>
              <w:t>: min.</w:t>
            </w:r>
            <w:r w:rsidRPr="001D7384">
              <w:rPr>
                <w:bCs/>
                <w:szCs w:val="24"/>
                <w:lang w:val="en-GB"/>
              </w:rPr>
              <w:t xml:space="preserve"> </w:t>
            </w:r>
            <w:r w:rsidRPr="001D7384">
              <w:rPr>
                <w:b/>
                <w:szCs w:val="24"/>
                <w:lang w:val="en-GB"/>
              </w:rPr>
              <w:t>3.5 GHz</w:t>
            </w:r>
          </w:p>
          <w:p w14:paraId="431B964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Number of cores per processor: </w:t>
            </w:r>
            <w:r w:rsidRPr="001D7384">
              <w:rPr>
                <w:b/>
                <w:szCs w:val="24"/>
                <w:lang w:val="en-GB"/>
              </w:rPr>
              <w:t>min. 16</w:t>
            </w:r>
          </w:p>
          <w:p w14:paraId="1460A47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L3 Cache: </w:t>
            </w:r>
            <w:r w:rsidRPr="001D7384">
              <w:rPr>
                <w:b/>
                <w:szCs w:val="24"/>
                <w:lang w:val="en-GB"/>
              </w:rPr>
              <w:t>min. 45 MB</w:t>
            </w:r>
          </w:p>
          <w:p w14:paraId="5A933DE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type. ECC DDR5</w:t>
            </w:r>
          </w:p>
          <w:p w14:paraId="5DBBAA3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speed: min. 4800 MHz</w:t>
            </w:r>
          </w:p>
          <w:p w14:paraId="037E59F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Capacity: min. 1024 GB, (16 x 64 GB)</w:t>
            </w:r>
          </w:p>
          <w:p w14:paraId="214D81D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Minimum memory upgrade support 8TB</w:t>
            </w:r>
          </w:p>
          <w:p w14:paraId="3579EDCB" w14:textId="77777777" w:rsidR="003F11D6" w:rsidRPr="001D7384" w:rsidRDefault="003F11D6" w:rsidP="00E12AE0">
            <w:pPr>
              <w:pStyle w:val="ListParagraph"/>
              <w:spacing w:after="0"/>
              <w:ind w:left="491"/>
              <w:rPr>
                <w:bCs/>
                <w:szCs w:val="24"/>
                <w:lang w:val="en-GB"/>
              </w:rPr>
            </w:pPr>
          </w:p>
          <w:p w14:paraId="21A4476F" w14:textId="77777777" w:rsidR="003F11D6" w:rsidRPr="001D7384" w:rsidRDefault="003F11D6" w:rsidP="00E12AE0">
            <w:pPr>
              <w:spacing w:after="0"/>
              <w:rPr>
                <w:b/>
                <w:szCs w:val="24"/>
                <w:lang w:val="en-GB"/>
              </w:rPr>
            </w:pPr>
          </w:p>
          <w:p w14:paraId="36553A20" w14:textId="77777777" w:rsidR="003F11D6" w:rsidRPr="001D7384" w:rsidRDefault="003F11D6" w:rsidP="00E12AE0">
            <w:pPr>
              <w:spacing w:after="0"/>
              <w:rPr>
                <w:b/>
                <w:szCs w:val="24"/>
                <w:lang w:val="en-GB"/>
              </w:rPr>
            </w:pPr>
            <w:r w:rsidRPr="001D7384">
              <w:rPr>
                <w:b/>
                <w:szCs w:val="24"/>
                <w:lang w:val="en-GB"/>
              </w:rPr>
              <w:t>Storage configuration</w:t>
            </w:r>
          </w:p>
          <w:p w14:paraId="7EA3BE6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Boot disks: Two (2) Internal M.2 SSD drives configured in RAID1, minimum capacity </w:t>
            </w:r>
            <w:proofErr w:type="gramStart"/>
            <w:r w:rsidRPr="001D7384">
              <w:rPr>
                <w:bCs/>
                <w:szCs w:val="24"/>
                <w:lang w:val="en-GB"/>
              </w:rPr>
              <w:t>480GB</w:t>
            </w:r>
            <w:proofErr w:type="gramEnd"/>
          </w:p>
          <w:p w14:paraId="6ACD75D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PCI SAN controllers: 32 GB Dual Port Fiber Channel HBA, SW SFP</w:t>
            </w:r>
          </w:p>
          <w:p w14:paraId="672FEC36" w14:textId="77777777" w:rsidR="003F11D6" w:rsidRPr="001D7384" w:rsidRDefault="003F11D6" w:rsidP="00E12AE0">
            <w:pPr>
              <w:spacing w:after="0"/>
              <w:rPr>
                <w:b/>
                <w:szCs w:val="24"/>
                <w:lang w:val="en-GB"/>
              </w:rPr>
            </w:pPr>
          </w:p>
          <w:p w14:paraId="3485CBBA" w14:textId="77777777" w:rsidR="003F11D6" w:rsidRPr="001D7384" w:rsidRDefault="003F11D6" w:rsidP="00E12AE0">
            <w:pPr>
              <w:spacing w:after="0"/>
              <w:rPr>
                <w:b/>
                <w:szCs w:val="24"/>
                <w:lang w:val="en-GB"/>
              </w:rPr>
            </w:pPr>
            <w:r w:rsidRPr="001D7384">
              <w:rPr>
                <w:b/>
                <w:szCs w:val="24"/>
                <w:lang w:val="en-GB"/>
              </w:rPr>
              <w:t>Network Interface Cards</w:t>
            </w:r>
          </w:p>
          <w:p w14:paraId="0BE57EEE"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w:t>
            </w:r>
            <w:proofErr w:type="spellStart"/>
            <w:proofErr w:type="gramStart"/>
            <w:r w:rsidRPr="001D7384">
              <w:rPr>
                <w:bCs/>
                <w:szCs w:val="24"/>
                <w:lang w:val="fr-BE"/>
              </w:rPr>
              <w:t>NIC’s</w:t>
            </w:r>
            <w:proofErr w:type="spellEnd"/>
            <w:r w:rsidRPr="001D7384">
              <w:rPr>
                <w:bCs/>
                <w:szCs w:val="24"/>
                <w:lang w:val="fr-BE"/>
              </w:rPr>
              <w:t>:</w:t>
            </w:r>
            <w:proofErr w:type="gramEnd"/>
            <w:r w:rsidRPr="001D7384">
              <w:rPr>
                <w:bCs/>
                <w:szCs w:val="24"/>
                <w:lang w:val="fr-BE"/>
              </w:rPr>
              <w:t xml:space="preserve"> 2 x Dual Port 25 </w:t>
            </w:r>
            <w:proofErr w:type="spellStart"/>
            <w:r w:rsidRPr="001D7384">
              <w:rPr>
                <w:bCs/>
                <w:szCs w:val="24"/>
                <w:lang w:val="fr-BE"/>
              </w:rPr>
              <w:t>Gbe</w:t>
            </w:r>
            <w:proofErr w:type="spellEnd"/>
            <w:r w:rsidRPr="001D7384">
              <w:rPr>
                <w:bCs/>
                <w:szCs w:val="24"/>
                <w:lang w:val="fr-BE"/>
              </w:rPr>
              <w:t xml:space="preserve"> - SFP28, </w:t>
            </w:r>
            <w:proofErr w:type="spellStart"/>
            <w:r w:rsidRPr="001D7384">
              <w:rPr>
                <w:bCs/>
                <w:szCs w:val="24"/>
                <w:lang w:val="fr-BE"/>
              </w:rPr>
              <w:t>RoCE</w:t>
            </w:r>
            <w:proofErr w:type="spellEnd"/>
            <w:r w:rsidRPr="001D7384">
              <w:rPr>
                <w:bCs/>
                <w:szCs w:val="24"/>
                <w:lang w:val="fr-BE"/>
              </w:rPr>
              <w:t>.</w:t>
            </w:r>
          </w:p>
          <w:p w14:paraId="7E433A90"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w:t>
            </w:r>
            <w:proofErr w:type="spellStart"/>
            <w:proofErr w:type="gramStart"/>
            <w:r w:rsidRPr="001D7384">
              <w:rPr>
                <w:bCs/>
                <w:szCs w:val="24"/>
                <w:lang w:val="fr-BE"/>
              </w:rPr>
              <w:t>NIC’s</w:t>
            </w:r>
            <w:proofErr w:type="spellEnd"/>
            <w:r w:rsidRPr="001D7384">
              <w:rPr>
                <w:bCs/>
                <w:szCs w:val="24"/>
                <w:lang w:val="fr-BE"/>
              </w:rPr>
              <w:t>:</w:t>
            </w:r>
            <w:proofErr w:type="gramEnd"/>
            <w:r w:rsidRPr="001D7384">
              <w:rPr>
                <w:bCs/>
                <w:szCs w:val="24"/>
                <w:lang w:val="fr-BE"/>
              </w:rPr>
              <w:t xml:space="preserve"> 1 x Dual Port 1 </w:t>
            </w:r>
            <w:proofErr w:type="spellStart"/>
            <w:r w:rsidRPr="001D7384">
              <w:rPr>
                <w:bCs/>
                <w:szCs w:val="24"/>
                <w:lang w:val="fr-BE"/>
              </w:rPr>
              <w:t>Gbe</w:t>
            </w:r>
            <w:proofErr w:type="spellEnd"/>
            <w:r w:rsidRPr="001D7384">
              <w:rPr>
                <w:bCs/>
                <w:szCs w:val="24"/>
                <w:lang w:val="fr-BE"/>
              </w:rPr>
              <w:t xml:space="preserve"> – RJ-45.</w:t>
            </w:r>
          </w:p>
          <w:p w14:paraId="742A98C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Networking Cables: 4 x SFP28 to SFP28, 25GbE, Passive Copper </w:t>
            </w:r>
            <w:proofErr w:type="spellStart"/>
            <w:r w:rsidRPr="001D7384">
              <w:rPr>
                <w:bCs/>
                <w:szCs w:val="24"/>
                <w:lang w:val="en-GB"/>
              </w:rPr>
              <w:t>Twinax</w:t>
            </w:r>
            <w:proofErr w:type="spellEnd"/>
            <w:r w:rsidRPr="001D7384">
              <w:rPr>
                <w:bCs/>
                <w:szCs w:val="24"/>
                <w:lang w:val="en-GB"/>
              </w:rPr>
              <w:t xml:space="preserve"> Direct Attach Cable, 3 Meter (compatible with TOR switches Item No. 1.2)</w:t>
            </w:r>
          </w:p>
          <w:p w14:paraId="2134DF4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Networking Cables: 4 x OM3 LC-LC FC Cable, 10 Meter (compatible with FC switches Item No. 1.7)</w:t>
            </w:r>
          </w:p>
          <w:p w14:paraId="04670C9A" w14:textId="77777777" w:rsidR="003F11D6" w:rsidRPr="001D7384" w:rsidRDefault="003F11D6" w:rsidP="00E12AE0">
            <w:pPr>
              <w:spacing w:after="0"/>
              <w:rPr>
                <w:b/>
                <w:szCs w:val="24"/>
                <w:lang w:val="en-GB"/>
              </w:rPr>
            </w:pPr>
          </w:p>
          <w:p w14:paraId="005B26F2" w14:textId="77777777" w:rsidR="003F11D6" w:rsidRPr="001D7384" w:rsidRDefault="003F11D6" w:rsidP="00E12AE0">
            <w:pPr>
              <w:spacing w:after="0"/>
              <w:rPr>
                <w:b/>
                <w:szCs w:val="24"/>
                <w:lang w:val="en-GB"/>
              </w:rPr>
            </w:pPr>
            <w:r w:rsidRPr="001D7384">
              <w:rPr>
                <w:b/>
                <w:szCs w:val="24"/>
                <w:lang w:val="en-GB"/>
              </w:rPr>
              <w:t>Security features</w:t>
            </w:r>
          </w:p>
          <w:p w14:paraId="43F1D1D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Trusted Platform Module 2, factory enabled with Secure Boot</w:t>
            </w:r>
          </w:p>
          <w:p w14:paraId="2F0B898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LCD bezel</w:t>
            </w:r>
          </w:p>
          <w:p w14:paraId="68A814A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Cryptographically signed firmware</w:t>
            </w:r>
          </w:p>
          <w:p w14:paraId="132C1F6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Secure Boot</w:t>
            </w:r>
          </w:p>
          <w:p w14:paraId="1EBCC39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Silicon Root of Trust</w:t>
            </w:r>
          </w:p>
          <w:p w14:paraId="4AA8ABF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System Lockdown</w:t>
            </w:r>
          </w:p>
          <w:p w14:paraId="43DAAF8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Management of Data at Rest Encryption keys</w:t>
            </w:r>
          </w:p>
          <w:p w14:paraId="378B89E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Secure Erase</w:t>
            </w:r>
          </w:p>
          <w:p w14:paraId="7F356868" w14:textId="77777777" w:rsidR="003F11D6" w:rsidRPr="001D7384" w:rsidRDefault="003F11D6" w:rsidP="00E12AE0">
            <w:pPr>
              <w:spacing w:after="0"/>
              <w:rPr>
                <w:bCs/>
                <w:szCs w:val="24"/>
                <w:lang w:val="en-GB"/>
              </w:rPr>
            </w:pPr>
          </w:p>
          <w:p w14:paraId="3EF35EA9" w14:textId="77777777" w:rsidR="003F11D6" w:rsidRPr="001D7384" w:rsidRDefault="003F11D6" w:rsidP="00E12AE0">
            <w:pPr>
              <w:spacing w:after="0"/>
              <w:rPr>
                <w:b/>
                <w:szCs w:val="24"/>
                <w:lang w:val="en-GB"/>
              </w:rPr>
            </w:pPr>
            <w:r w:rsidRPr="001D7384">
              <w:rPr>
                <w:b/>
                <w:szCs w:val="24"/>
                <w:lang w:val="en-GB"/>
              </w:rPr>
              <w:t>Embedded Management</w:t>
            </w:r>
          </w:p>
          <w:p w14:paraId="19833D0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Embedded system management controller with own processing power which is FIPS 140-2 Level 1 </w:t>
            </w:r>
            <w:proofErr w:type="gramStart"/>
            <w:r w:rsidRPr="001D7384">
              <w:rPr>
                <w:bCs/>
                <w:szCs w:val="24"/>
                <w:lang w:val="en-GB"/>
              </w:rPr>
              <w:t>certified</w:t>
            </w:r>
            <w:proofErr w:type="gramEnd"/>
            <w:r w:rsidRPr="001D7384">
              <w:rPr>
                <w:bCs/>
                <w:szCs w:val="24"/>
                <w:lang w:val="en-GB"/>
              </w:rPr>
              <w:t xml:space="preserve">  </w:t>
            </w:r>
          </w:p>
          <w:p w14:paraId="5ACA1CB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Built-in wireless module for wireless diagnostics over BLE / NFC.  </w:t>
            </w:r>
          </w:p>
          <w:p w14:paraId="16BDC35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embedded controller should allow proactive for error alerts on network adapters, memory, internal drives (SAS HDDs and SSDs, </w:t>
            </w:r>
            <w:proofErr w:type="spellStart"/>
            <w:r w:rsidRPr="001D7384">
              <w:rPr>
                <w:bCs/>
                <w:szCs w:val="24"/>
                <w:lang w:val="en-GB"/>
              </w:rPr>
              <w:t>NVMe</w:t>
            </w:r>
            <w:proofErr w:type="spellEnd"/>
            <w:r w:rsidRPr="001D7384">
              <w:rPr>
                <w:bCs/>
                <w:szCs w:val="24"/>
                <w:lang w:val="en-GB"/>
              </w:rPr>
              <w:t xml:space="preserve">), fans, power modules, RAID controllers, Fibre Channel HBAs, ambient server temperature (including graphical displays) on SSD) and other errors.  </w:t>
            </w:r>
          </w:p>
          <w:p w14:paraId="08FBFFC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allow quality control / bandwidth of remote access to the server.  </w:t>
            </w:r>
          </w:p>
          <w:p w14:paraId="468F617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include independent 10/100/100 Mbit Ethernet adapter for real time remote management as well as a dedicated USB port for WSMAN management access at the front side. </w:t>
            </w:r>
          </w:p>
          <w:p w14:paraId="059AB74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provide agent-free hardware, </w:t>
            </w:r>
            <w:proofErr w:type="gramStart"/>
            <w:r w:rsidRPr="001D7384">
              <w:rPr>
                <w:bCs/>
                <w:szCs w:val="24"/>
                <w:lang w:val="en-GB"/>
              </w:rPr>
              <w:t>firmware</w:t>
            </w:r>
            <w:proofErr w:type="gramEnd"/>
            <w:r w:rsidRPr="001D7384">
              <w:rPr>
                <w:bCs/>
                <w:szCs w:val="24"/>
                <w:lang w:val="en-GB"/>
              </w:rPr>
              <w:t xml:space="preserve"> and performance monitoring, including inventory, crash screen / video capture, boot capture, and alerting.  </w:t>
            </w:r>
          </w:p>
          <w:p w14:paraId="1B74BB6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support the IPMI 2.0 protocol, VNC connectivity with the operating system, include HTML 5 based browser interface, SMASH-CLP, Dynamic DNS, DHCP with Zero Touch functionality, NFS v4 and </w:t>
            </w:r>
            <w:proofErr w:type="spellStart"/>
            <w:r w:rsidRPr="001D7384">
              <w:rPr>
                <w:bCs/>
                <w:szCs w:val="24"/>
                <w:lang w:val="en-GB"/>
              </w:rPr>
              <w:t>WSMan</w:t>
            </w:r>
            <w:proofErr w:type="spellEnd"/>
            <w:r w:rsidRPr="001D7384">
              <w:rPr>
                <w:bCs/>
                <w:szCs w:val="24"/>
                <w:lang w:val="en-GB"/>
              </w:rPr>
              <w:t xml:space="preserve"> support, E-mail alerts, Virtual console (KVM) as well as virtual media attachment.  </w:t>
            </w:r>
          </w:p>
          <w:p w14:paraId="6845941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Front-facing LCD panel for local management and diagnostics.  </w:t>
            </w:r>
          </w:p>
          <w:p w14:paraId="504F090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Unlimited Virtual Console with HTML5 or VNC.</w:t>
            </w:r>
          </w:p>
          <w:p w14:paraId="03192C41" w14:textId="77777777" w:rsidR="003F11D6" w:rsidRPr="001D7384" w:rsidRDefault="003F11D6" w:rsidP="00E12AE0">
            <w:pPr>
              <w:spacing w:after="0"/>
              <w:jc w:val="left"/>
              <w:rPr>
                <w:b/>
                <w:szCs w:val="24"/>
                <w:lang w:val="en-GB"/>
              </w:rPr>
            </w:pPr>
          </w:p>
          <w:p w14:paraId="77C378A0" w14:textId="77777777" w:rsidR="003F11D6" w:rsidRPr="001D7384" w:rsidRDefault="003F11D6" w:rsidP="00E12AE0">
            <w:pPr>
              <w:spacing w:after="0"/>
              <w:rPr>
                <w:b/>
                <w:szCs w:val="24"/>
                <w:lang w:val="en-GB"/>
              </w:rPr>
            </w:pPr>
            <w:r w:rsidRPr="001D7384">
              <w:rPr>
                <w:b/>
                <w:szCs w:val="24"/>
                <w:lang w:val="en-GB"/>
              </w:rPr>
              <w:t>Virtualization Hypervisor</w:t>
            </w:r>
          </w:p>
          <w:p w14:paraId="20F7891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Virtualization software shall provide a virtualization layer that sits directly on the bare metal server hardware with no dependence on a general-purpose OS for greater reliability and security. </w:t>
            </w:r>
          </w:p>
          <w:p w14:paraId="5353F92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Central management interface, accessible over secure HTTP Strict Transport Security (HSTS) graphical interface.</w:t>
            </w:r>
          </w:p>
          <w:p w14:paraId="578AEC7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Virtualization software shall have the capability to create Virtual machines with up to 256 virtual processors and up to 2 TB virtual RAM in virtual machines for all the guest operating system supported by the hypervisor.</w:t>
            </w:r>
          </w:p>
          <w:p w14:paraId="079D94A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Virtualization software should support live migration of virtual machines with no disruption to users or loss of service, eliminating the need to schedule application downtime for planned server maintenance.</w:t>
            </w:r>
          </w:p>
          <w:p w14:paraId="435B955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Virtualization software should perform live migration of virtual machines files from one storage array to another without any Virtual Machine downtime. </w:t>
            </w:r>
          </w:p>
          <w:p w14:paraId="2B7D14E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Virtualization software should support Network File System (NFS), </w:t>
            </w:r>
            <w:proofErr w:type="spellStart"/>
            <w:r w:rsidRPr="001D7384">
              <w:rPr>
                <w:bCs/>
                <w:szCs w:val="24"/>
                <w:lang w:val="en-GB"/>
              </w:rPr>
              <w:t>Gluster</w:t>
            </w:r>
            <w:proofErr w:type="spellEnd"/>
            <w:r w:rsidRPr="001D7384">
              <w:rPr>
                <w:bCs/>
                <w:szCs w:val="24"/>
                <w:lang w:val="en-GB"/>
              </w:rPr>
              <w:t xml:space="preserve"> FS storage, Internet Small Computer System Interface (iSCSI), and Fibre Channel Protocol (FCP) type of storage.</w:t>
            </w:r>
          </w:p>
          <w:p w14:paraId="7898BEA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Virtualization software shall have High Availability capabilities for the virtual machines in the sense, if in case one server fails all the Virtual machines running on that server shall be automatically restarted to another physical server running same virtualization software. </w:t>
            </w:r>
          </w:p>
          <w:p w14:paraId="16D6345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The solution should provide secure access and account management through identity federation.</w:t>
            </w:r>
          </w:p>
          <w:p w14:paraId="32A24E8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 xml:space="preserve">The solution should support for increasing capacity by adding CPU, </w:t>
            </w:r>
            <w:proofErr w:type="gramStart"/>
            <w:r w:rsidRPr="001D7384">
              <w:rPr>
                <w:bCs/>
                <w:szCs w:val="24"/>
                <w:lang w:val="en-GB"/>
              </w:rPr>
              <w:t>Memory</w:t>
            </w:r>
            <w:proofErr w:type="gramEnd"/>
            <w:r w:rsidRPr="001D7384">
              <w:rPr>
                <w:bCs/>
                <w:szCs w:val="24"/>
                <w:lang w:val="en-GB"/>
              </w:rPr>
              <w:t xml:space="preserve"> or any other devices to virtual machines on an as needed basis without any disruption in working or downtime for supported operating systems.</w:t>
            </w:r>
          </w:p>
          <w:p w14:paraId="17AAC2D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Virtualization software should support automated load balancing of workload across the resources allocated to workloads in a cluster.</w:t>
            </w:r>
          </w:p>
          <w:p w14:paraId="0D00B3D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Virtualization software should be able to receive server health information and migrate virtual machines from degraded hosts.</w:t>
            </w:r>
          </w:p>
          <w:p w14:paraId="6F00898F" w14:textId="668BF93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Licensing should be based on per-CPU licensing model and offer need to include licenses for at least four hypervisor hosts / </w:t>
            </w:r>
            <w:r w:rsidRPr="001D7384">
              <w:rPr>
                <w:b/>
                <w:szCs w:val="24"/>
                <w:lang w:val="en-GB"/>
              </w:rPr>
              <w:t xml:space="preserve">8 </w:t>
            </w:r>
            <w:proofErr w:type="gramStart"/>
            <w:r w:rsidRPr="001D7384">
              <w:rPr>
                <w:b/>
                <w:szCs w:val="24"/>
                <w:lang w:val="en-GB"/>
              </w:rPr>
              <w:t>CPU’s</w:t>
            </w:r>
            <w:proofErr w:type="gramEnd"/>
            <w:r w:rsidRPr="001D7384">
              <w:rPr>
                <w:b/>
                <w:szCs w:val="24"/>
                <w:lang w:val="en-GB"/>
              </w:rPr>
              <w:t xml:space="preserve"> with unlimited physical cores on each</w:t>
            </w:r>
            <w:r w:rsidRPr="001D7384">
              <w:rPr>
                <w:bCs/>
                <w:szCs w:val="24"/>
                <w:lang w:val="en-GB"/>
              </w:rPr>
              <w:t>.</w:t>
            </w:r>
          </w:p>
          <w:p w14:paraId="02AA2B3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For the offered software license, it is needed to provide technical support directly from the vendor at all levels </w:t>
            </w:r>
            <w:r w:rsidRPr="001D7384">
              <w:rPr>
                <w:b/>
                <w:szCs w:val="24"/>
                <w:lang w:val="en-GB"/>
              </w:rPr>
              <w:t>for a period of at least 3 years</w:t>
            </w:r>
            <w:r w:rsidRPr="001D7384">
              <w:rPr>
                <w:bCs/>
                <w:szCs w:val="24"/>
                <w:lang w:val="en-GB"/>
              </w:rPr>
              <w:t>, and which provide possibility to install latest version of the solution during a support period.</w:t>
            </w:r>
          </w:p>
          <w:p w14:paraId="55487E9F" w14:textId="77777777" w:rsidR="003F11D6" w:rsidRPr="001D7384" w:rsidRDefault="003F11D6" w:rsidP="00E12AE0">
            <w:pPr>
              <w:spacing w:after="0"/>
              <w:jc w:val="left"/>
              <w:rPr>
                <w:b/>
                <w:szCs w:val="24"/>
                <w:lang w:val="en-GB"/>
              </w:rPr>
            </w:pPr>
          </w:p>
        </w:tc>
        <w:tc>
          <w:tcPr>
            <w:tcW w:w="3690" w:type="dxa"/>
          </w:tcPr>
          <w:p w14:paraId="592E88F5" w14:textId="77777777" w:rsidR="003F11D6" w:rsidRPr="001D7384" w:rsidRDefault="003F11D6" w:rsidP="00E12AE0">
            <w:pPr>
              <w:spacing w:after="0"/>
              <w:rPr>
                <w:b/>
                <w:szCs w:val="24"/>
                <w:lang w:val="en-GB"/>
              </w:rPr>
            </w:pPr>
          </w:p>
        </w:tc>
      </w:tr>
      <w:tr w:rsidR="003F11D6" w:rsidRPr="00AC5790" w14:paraId="4170F282" w14:textId="77777777" w:rsidTr="00416750">
        <w:tc>
          <w:tcPr>
            <w:tcW w:w="1134" w:type="dxa"/>
          </w:tcPr>
          <w:p w14:paraId="259797D7" w14:textId="77777777" w:rsidR="003F11D6" w:rsidRPr="001D7384" w:rsidRDefault="003F11D6" w:rsidP="00E12AE0">
            <w:pPr>
              <w:spacing w:after="0"/>
              <w:rPr>
                <w:b/>
                <w:szCs w:val="24"/>
                <w:lang w:val="en-GB"/>
              </w:rPr>
            </w:pPr>
            <w:r w:rsidRPr="001D7384">
              <w:rPr>
                <w:b/>
                <w:szCs w:val="24"/>
                <w:lang w:val="en-GB"/>
              </w:rPr>
              <w:lastRenderedPageBreak/>
              <w:t>1.6</w:t>
            </w:r>
          </w:p>
        </w:tc>
        <w:tc>
          <w:tcPr>
            <w:tcW w:w="4531" w:type="dxa"/>
            <w:vAlign w:val="center"/>
          </w:tcPr>
          <w:p w14:paraId="43A8D531" w14:textId="77777777" w:rsidR="003F11D6" w:rsidRPr="001D7384" w:rsidRDefault="003F11D6" w:rsidP="00E12AE0">
            <w:pPr>
              <w:spacing w:after="0"/>
              <w:rPr>
                <w:b/>
                <w:szCs w:val="24"/>
                <w:lang w:val="en-GB"/>
              </w:rPr>
            </w:pPr>
            <w:r w:rsidRPr="001D7384">
              <w:rPr>
                <w:b/>
                <w:szCs w:val="24"/>
                <w:lang w:val="en-GB"/>
              </w:rPr>
              <w:t>Central Storage Infrastructure - Qty. 1 + 1 (for Primary site + for DR Site)</w:t>
            </w:r>
          </w:p>
          <w:p w14:paraId="3F079A95" w14:textId="77777777" w:rsidR="003F11D6" w:rsidRPr="001D7384" w:rsidRDefault="003F11D6" w:rsidP="00E12AE0">
            <w:pPr>
              <w:spacing w:after="0"/>
              <w:rPr>
                <w:bCs/>
                <w:szCs w:val="24"/>
                <w:lang w:val="en-GB"/>
              </w:rPr>
            </w:pPr>
          </w:p>
          <w:p w14:paraId="21C2218B" w14:textId="77777777" w:rsidR="003F11D6" w:rsidRPr="001D7384" w:rsidRDefault="003F11D6" w:rsidP="00E12AE0">
            <w:pPr>
              <w:spacing w:after="0"/>
              <w:ind w:left="55"/>
              <w:rPr>
                <w:bCs/>
                <w:szCs w:val="24"/>
                <w:lang w:val="en-GB"/>
              </w:rPr>
            </w:pPr>
            <w:proofErr w:type="spellStart"/>
            <w:r w:rsidRPr="001D7384">
              <w:rPr>
                <w:bCs/>
                <w:szCs w:val="24"/>
                <w:lang w:val="en-GB"/>
              </w:rPr>
              <w:t>NVMe</w:t>
            </w:r>
            <w:proofErr w:type="spellEnd"/>
            <w:r w:rsidRPr="001D7384">
              <w:rPr>
                <w:bCs/>
                <w:szCs w:val="24"/>
                <w:lang w:val="en-GB"/>
              </w:rPr>
              <w:t>-based Unified Block and File Storage System</w:t>
            </w:r>
          </w:p>
          <w:p w14:paraId="2F8D9C0D" w14:textId="77777777" w:rsidR="003F11D6" w:rsidRPr="001D7384" w:rsidRDefault="003F11D6" w:rsidP="00E12AE0">
            <w:pPr>
              <w:spacing w:after="0"/>
              <w:ind w:left="55"/>
              <w:rPr>
                <w:bCs/>
                <w:szCs w:val="24"/>
                <w:lang w:val="en-GB"/>
              </w:rPr>
            </w:pPr>
          </w:p>
          <w:p w14:paraId="66A86E4B" w14:textId="77777777" w:rsidR="003F11D6" w:rsidRPr="001D7384" w:rsidRDefault="003F11D6" w:rsidP="00E12AE0">
            <w:pPr>
              <w:spacing w:after="0"/>
              <w:rPr>
                <w:b/>
                <w:szCs w:val="24"/>
                <w:lang w:val="en-GB"/>
              </w:rPr>
            </w:pPr>
            <w:r w:rsidRPr="001D7384">
              <w:rPr>
                <w:b/>
                <w:szCs w:val="24"/>
                <w:lang w:val="en-GB"/>
              </w:rPr>
              <w:t>Centralized Storage:</w:t>
            </w:r>
          </w:p>
          <w:p w14:paraId="669C2FB3" w14:textId="77777777" w:rsidR="003F11D6" w:rsidRPr="001D7384" w:rsidRDefault="003F11D6" w:rsidP="00E12AE0">
            <w:pPr>
              <w:pStyle w:val="ListParagraph"/>
              <w:numPr>
                <w:ilvl w:val="0"/>
                <w:numId w:val="153"/>
              </w:numPr>
              <w:spacing w:after="0"/>
              <w:ind w:left="449" w:hanging="436"/>
              <w:rPr>
                <w:bCs/>
                <w:szCs w:val="24"/>
                <w:lang w:val="en-GB"/>
              </w:rPr>
            </w:pPr>
            <w:r w:rsidRPr="001D7384">
              <w:rPr>
                <w:bCs/>
                <w:szCs w:val="24"/>
                <w:lang w:val="en-GB"/>
              </w:rPr>
              <w:t xml:space="preserve">The storage solution shall include as a minimum end-to-end </w:t>
            </w:r>
            <w:proofErr w:type="spellStart"/>
            <w:r w:rsidRPr="001D7384">
              <w:rPr>
                <w:bCs/>
                <w:szCs w:val="24"/>
                <w:lang w:val="en-GB"/>
              </w:rPr>
              <w:t>NVMe</w:t>
            </w:r>
            <w:proofErr w:type="spellEnd"/>
            <w:r w:rsidRPr="001D7384">
              <w:rPr>
                <w:bCs/>
                <w:szCs w:val="24"/>
                <w:lang w:val="en-GB"/>
              </w:rPr>
              <w:t xml:space="preserve"> all-flash architecture storage platform with appropriate capacity for on-prem data storage.</w:t>
            </w:r>
          </w:p>
          <w:p w14:paraId="10DEDAE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Minimum of 72 GB direct </w:t>
            </w:r>
            <w:proofErr w:type="gramStart"/>
            <w:r w:rsidRPr="001D7384">
              <w:rPr>
                <w:bCs/>
                <w:szCs w:val="24"/>
                <w:lang w:val="en-GB"/>
              </w:rPr>
              <w:t>controller based</w:t>
            </w:r>
            <w:proofErr w:type="gramEnd"/>
            <w:r w:rsidRPr="001D7384">
              <w:rPr>
                <w:bCs/>
                <w:szCs w:val="24"/>
                <w:lang w:val="en-GB"/>
              </w:rPr>
              <w:t xml:space="preserve"> memory for cache and other functionalities shall be included for each pair of controllers (144 GB in total).</w:t>
            </w:r>
          </w:p>
          <w:p w14:paraId="50812AA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Minimum of two active controllers shall be included, expandable by at least four times.</w:t>
            </w:r>
          </w:p>
          <w:p w14:paraId="064D6AB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Minimum of 32-Gbps </w:t>
            </w:r>
            <w:proofErr w:type="spellStart"/>
            <w:r w:rsidRPr="001D7384">
              <w:rPr>
                <w:bCs/>
                <w:szCs w:val="24"/>
                <w:lang w:val="en-GB"/>
              </w:rPr>
              <w:t>NVMe</w:t>
            </w:r>
            <w:proofErr w:type="spellEnd"/>
            <w:r w:rsidRPr="001D7384">
              <w:rPr>
                <w:bCs/>
                <w:szCs w:val="24"/>
                <w:lang w:val="en-GB"/>
              </w:rPr>
              <w:t xml:space="preserve"> over Fibre Channel data access protocol shall be offered, through a minimum of 4 redundant port pairs.</w:t>
            </w:r>
          </w:p>
          <w:p w14:paraId="6303842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Minimum of 25-Gbps Ethernet data access protocol shall be offered for block and </w:t>
            </w:r>
            <w:proofErr w:type="gramStart"/>
            <w:r w:rsidRPr="001D7384">
              <w:rPr>
                <w:bCs/>
                <w:szCs w:val="24"/>
                <w:lang w:val="en-GB"/>
              </w:rPr>
              <w:t>file based</w:t>
            </w:r>
            <w:proofErr w:type="gramEnd"/>
            <w:r w:rsidRPr="001D7384">
              <w:rPr>
                <w:bCs/>
                <w:szCs w:val="24"/>
                <w:lang w:val="en-GB"/>
              </w:rPr>
              <w:t xml:space="preserve"> access to data, through a minimum of 4 redundant port pairs.</w:t>
            </w:r>
          </w:p>
          <w:p w14:paraId="18F0F926" w14:textId="77777777" w:rsidR="003F11D6" w:rsidRPr="001D7384" w:rsidRDefault="003F11D6" w:rsidP="00E12AE0">
            <w:pPr>
              <w:spacing w:after="0"/>
              <w:rPr>
                <w:bCs/>
                <w:szCs w:val="24"/>
                <w:lang w:val="en-GB"/>
              </w:rPr>
            </w:pPr>
          </w:p>
          <w:p w14:paraId="6F92F6C0" w14:textId="77777777" w:rsidR="003F11D6" w:rsidRPr="001D7384" w:rsidRDefault="003F11D6" w:rsidP="00E12AE0">
            <w:pPr>
              <w:spacing w:after="0"/>
              <w:rPr>
                <w:b/>
                <w:szCs w:val="24"/>
                <w:lang w:val="en-GB"/>
              </w:rPr>
            </w:pPr>
            <w:r w:rsidRPr="001D7384">
              <w:rPr>
                <w:b/>
                <w:szCs w:val="24"/>
                <w:lang w:val="en-GB"/>
              </w:rPr>
              <w:t>Storage Capacity:</w:t>
            </w:r>
          </w:p>
          <w:p w14:paraId="74111CAE" w14:textId="77777777" w:rsidR="003F11D6" w:rsidRPr="001D7384" w:rsidRDefault="003F11D6" w:rsidP="00E12AE0">
            <w:pPr>
              <w:pStyle w:val="ListParagraph"/>
              <w:rPr>
                <w:bCs/>
                <w:szCs w:val="24"/>
                <w:lang w:val="en-GB"/>
              </w:rPr>
            </w:pPr>
          </w:p>
          <w:p w14:paraId="4F86460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A minimum of 14 x 3.8 TB </w:t>
            </w:r>
            <w:proofErr w:type="spellStart"/>
            <w:r w:rsidRPr="001D7384">
              <w:rPr>
                <w:bCs/>
                <w:szCs w:val="24"/>
                <w:lang w:val="en-GB"/>
              </w:rPr>
              <w:t>NVMe</w:t>
            </w:r>
            <w:proofErr w:type="spellEnd"/>
            <w:r w:rsidRPr="001D7384">
              <w:rPr>
                <w:bCs/>
                <w:szCs w:val="24"/>
                <w:lang w:val="en-GB"/>
              </w:rPr>
              <w:t xml:space="preserve"> data storage drives.</w:t>
            </w:r>
          </w:p>
          <w:p w14:paraId="6D388BD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A minimum of 37 TiB usable (no compression/deduplication/thin provisioning) and dual drive failure protected capacity for archive data storage.</w:t>
            </w:r>
          </w:p>
          <w:p w14:paraId="2D5ADF5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Dedicated spare drive or spare drive capacity must be included.</w:t>
            </w:r>
          </w:p>
          <w:p w14:paraId="1237448F" w14:textId="77777777" w:rsidR="003F11D6" w:rsidRPr="001D7384" w:rsidRDefault="003F11D6" w:rsidP="00E12AE0">
            <w:pPr>
              <w:spacing w:after="0"/>
              <w:rPr>
                <w:bCs/>
                <w:szCs w:val="24"/>
                <w:lang w:val="en-GB"/>
              </w:rPr>
            </w:pPr>
          </w:p>
          <w:p w14:paraId="6D4DD2A6" w14:textId="77777777" w:rsidR="003F11D6" w:rsidRPr="001D7384" w:rsidRDefault="003F11D6" w:rsidP="00E12AE0">
            <w:pPr>
              <w:spacing w:after="0"/>
              <w:rPr>
                <w:b/>
                <w:szCs w:val="24"/>
                <w:lang w:val="en-GB"/>
              </w:rPr>
            </w:pPr>
            <w:r w:rsidRPr="001D7384">
              <w:rPr>
                <w:b/>
                <w:szCs w:val="24"/>
                <w:lang w:val="en-GB"/>
              </w:rPr>
              <w:t>Data at-rest encryption requirements:</w:t>
            </w:r>
          </w:p>
          <w:p w14:paraId="5D972D0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Full storage level hardware-based encryption shall be implemented, with private keys controlled by Customs.</w:t>
            </w:r>
          </w:p>
          <w:p w14:paraId="0BA84A9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The storage solution shall include as a minimum Advanced Encryption Standard (AES) 256-bit.</w:t>
            </w:r>
          </w:p>
          <w:p w14:paraId="5241D719" w14:textId="77777777" w:rsidR="003F11D6" w:rsidRPr="001D7384" w:rsidRDefault="003F11D6" w:rsidP="00E12AE0">
            <w:pPr>
              <w:spacing w:after="0"/>
              <w:rPr>
                <w:bCs/>
                <w:szCs w:val="24"/>
                <w:lang w:val="en-GB"/>
              </w:rPr>
            </w:pPr>
          </w:p>
          <w:p w14:paraId="42E5B0ED" w14:textId="77777777" w:rsidR="003F11D6" w:rsidRPr="001D7384" w:rsidRDefault="003F11D6" w:rsidP="00E12AE0">
            <w:pPr>
              <w:spacing w:after="0"/>
              <w:rPr>
                <w:b/>
                <w:szCs w:val="24"/>
                <w:lang w:val="en-GB"/>
              </w:rPr>
            </w:pPr>
            <w:r w:rsidRPr="001D7384">
              <w:rPr>
                <w:b/>
                <w:szCs w:val="24"/>
                <w:lang w:val="en-GB"/>
              </w:rPr>
              <w:t>Protocols for host access:</w:t>
            </w:r>
          </w:p>
          <w:p w14:paraId="00C13B9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Supported block protocols: iSCSI, Fibre Channel, </w:t>
            </w:r>
            <w:proofErr w:type="spellStart"/>
            <w:r w:rsidRPr="001D7384">
              <w:rPr>
                <w:bCs/>
                <w:szCs w:val="24"/>
                <w:lang w:val="en-GB"/>
              </w:rPr>
              <w:t>NVMe</w:t>
            </w:r>
            <w:proofErr w:type="spellEnd"/>
            <w:r w:rsidRPr="001D7384">
              <w:rPr>
                <w:bCs/>
                <w:szCs w:val="24"/>
                <w:lang w:val="en-GB"/>
              </w:rPr>
              <w:t xml:space="preserve">/FC, </w:t>
            </w:r>
            <w:proofErr w:type="spellStart"/>
            <w:r w:rsidRPr="001D7384">
              <w:rPr>
                <w:bCs/>
                <w:szCs w:val="24"/>
                <w:lang w:val="en-GB"/>
              </w:rPr>
              <w:t>NVMe</w:t>
            </w:r>
            <w:proofErr w:type="spellEnd"/>
            <w:r w:rsidRPr="001D7384">
              <w:rPr>
                <w:bCs/>
                <w:szCs w:val="24"/>
                <w:lang w:val="en-GB"/>
              </w:rPr>
              <w:t xml:space="preserve">/TCP, </w:t>
            </w:r>
            <w:proofErr w:type="spellStart"/>
            <w:r w:rsidRPr="001D7384">
              <w:rPr>
                <w:bCs/>
                <w:szCs w:val="24"/>
                <w:lang w:val="en-GB"/>
              </w:rPr>
              <w:t>vVols</w:t>
            </w:r>
            <w:proofErr w:type="spellEnd"/>
            <w:r w:rsidRPr="001D7384">
              <w:rPr>
                <w:bCs/>
                <w:szCs w:val="24"/>
                <w:lang w:val="en-GB"/>
              </w:rPr>
              <w:t xml:space="preserve"> over </w:t>
            </w:r>
            <w:proofErr w:type="spellStart"/>
            <w:r w:rsidRPr="001D7384">
              <w:rPr>
                <w:bCs/>
                <w:szCs w:val="24"/>
                <w:lang w:val="en-GB"/>
              </w:rPr>
              <w:t>NVMe</w:t>
            </w:r>
            <w:proofErr w:type="spellEnd"/>
            <w:r w:rsidRPr="001D7384">
              <w:rPr>
                <w:bCs/>
                <w:szCs w:val="24"/>
                <w:lang w:val="en-GB"/>
              </w:rPr>
              <w:t>/FC and TCP.</w:t>
            </w:r>
          </w:p>
          <w:p w14:paraId="1017818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Supported </w:t>
            </w:r>
            <w:proofErr w:type="gramStart"/>
            <w:r w:rsidRPr="001D7384">
              <w:rPr>
                <w:bCs/>
                <w:szCs w:val="24"/>
                <w:lang w:val="en-GB"/>
              </w:rPr>
              <w:t>file based</w:t>
            </w:r>
            <w:proofErr w:type="gramEnd"/>
            <w:r w:rsidRPr="001D7384">
              <w:rPr>
                <w:bCs/>
                <w:szCs w:val="24"/>
                <w:lang w:val="en-GB"/>
              </w:rPr>
              <w:t xml:space="preserve"> protocols:</w:t>
            </w:r>
            <w:r w:rsidRPr="001D7384">
              <w:t xml:space="preserve"> </w:t>
            </w:r>
            <w:r w:rsidRPr="001D7384">
              <w:rPr>
                <w:bCs/>
                <w:szCs w:val="24"/>
                <w:lang w:val="en-GB"/>
              </w:rPr>
              <w:t>NFS v4.1, SMB 3.1, SFTP, RSVD/SMB, NDMP v4.</w:t>
            </w:r>
          </w:p>
          <w:p w14:paraId="70D19719" w14:textId="77777777" w:rsidR="003F11D6" w:rsidRPr="001D7384" w:rsidRDefault="003F11D6" w:rsidP="00E12AE0">
            <w:pPr>
              <w:spacing w:after="0"/>
              <w:rPr>
                <w:bCs/>
                <w:szCs w:val="24"/>
                <w:lang w:val="en-GB"/>
              </w:rPr>
            </w:pPr>
          </w:p>
          <w:p w14:paraId="339E8B1D" w14:textId="77777777" w:rsidR="003F11D6" w:rsidRPr="001D7384" w:rsidRDefault="003F11D6" w:rsidP="00E12AE0">
            <w:pPr>
              <w:spacing w:after="0"/>
              <w:rPr>
                <w:bCs/>
                <w:szCs w:val="24"/>
                <w:lang w:val="en-GB"/>
              </w:rPr>
            </w:pPr>
            <w:r w:rsidRPr="001D7384">
              <w:rPr>
                <w:b/>
                <w:szCs w:val="24"/>
                <w:lang w:val="en-GB"/>
              </w:rPr>
              <w:t>Protection in case of power outage:</w:t>
            </w:r>
            <w:r w:rsidRPr="001D7384">
              <w:rPr>
                <w:bCs/>
                <w:szCs w:val="24"/>
                <w:lang w:val="en-GB"/>
              </w:rPr>
              <w:t xml:space="preserve"> </w:t>
            </w:r>
          </w:p>
          <w:p w14:paraId="644B9E7E" w14:textId="77777777" w:rsidR="003F11D6" w:rsidRPr="001D7384" w:rsidRDefault="003F11D6" w:rsidP="00E12AE0">
            <w:pPr>
              <w:spacing w:after="0"/>
              <w:rPr>
                <w:bCs/>
                <w:szCs w:val="24"/>
                <w:lang w:val="en-GB"/>
              </w:rPr>
            </w:pPr>
            <w:r w:rsidRPr="001D7384">
              <w:rPr>
                <w:bCs/>
                <w:szCs w:val="24"/>
                <w:lang w:val="en-GB"/>
              </w:rPr>
              <w:lastRenderedPageBreak/>
              <w:t>The solution must have a battery that is part of the controller, is not allowed to use a battery in the power supply of the data storage system or standalone batteries.</w:t>
            </w:r>
          </w:p>
          <w:p w14:paraId="440C2223" w14:textId="77777777" w:rsidR="003F11D6" w:rsidRPr="001D7384" w:rsidRDefault="003F11D6" w:rsidP="00E12AE0">
            <w:pPr>
              <w:spacing w:after="0"/>
              <w:rPr>
                <w:bCs/>
                <w:szCs w:val="24"/>
                <w:lang w:val="en-GB"/>
              </w:rPr>
            </w:pPr>
          </w:p>
          <w:p w14:paraId="208674CE" w14:textId="77777777" w:rsidR="003F11D6" w:rsidRPr="001D7384" w:rsidRDefault="003F11D6" w:rsidP="00E12AE0">
            <w:pPr>
              <w:spacing w:after="0"/>
              <w:rPr>
                <w:bCs/>
                <w:szCs w:val="24"/>
                <w:lang w:val="en-GB"/>
              </w:rPr>
            </w:pPr>
            <w:r w:rsidRPr="001D7384">
              <w:rPr>
                <w:b/>
                <w:szCs w:val="24"/>
                <w:lang w:val="en-GB"/>
              </w:rPr>
              <w:t>Storage efficiency:</w:t>
            </w:r>
            <w:r w:rsidRPr="001D7384">
              <w:rPr>
                <w:bCs/>
                <w:szCs w:val="24"/>
                <w:lang w:val="en-GB"/>
              </w:rPr>
              <w:tab/>
            </w:r>
          </w:p>
          <w:p w14:paraId="613BBF60" w14:textId="77777777" w:rsidR="003F11D6" w:rsidRPr="001D7384" w:rsidRDefault="003F11D6" w:rsidP="00E12AE0">
            <w:pPr>
              <w:spacing w:after="0"/>
              <w:rPr>
                <w:bCs/>
                <w:szCs w:val="24"/>
                <w:lang w:val="en-GB"/>
              </w:rPr>
            </w:pPr>
            <w:r w:rsidRPr="001D7384">
              <w:rPr>
                <w:bCs/>
                <w:szCs w:val="24"/>
                <w:lang w:val="en-GB"/>
              </w:rPr>
              <w:t>The solution must support in-line compression and in-line deduplication for maximum capacity efficiency (post-process compression and deduplication is not allowed).</w:t>
            </w:r>
          </w:p>
          <w:p w14:paraId="4C29BD16" w14:textId="77777777" w:rsidR="003F11D6" w:rsidRPr="001D7384" w:rsidRDefault="003F11D6" w:rsidP="00E12AE0">
            <w:pPr>
              <w:spacing w:after="0"/>
              <w:rPr>
                <w:bCs/>
                <w:szCs w:val="24"/>
                <w:lang w:val="en-GB"/>
              </w:rPr>
            </w:pPr>
            <w:r w:rsidRPr="001D7384">
              <w:rPr>
                <w:bCs/>
                <w:szCs w:val="24"/>
                <w:lang w:val="en-GB"/>
              </w:rPr>
              <w:t>The solution must fully support the Virtual Provisioning function. Thin Provisioning functionality must be included for the entire capacity of the data storage system (without license restriction according to the cap).</w:t>
            </w:r>
          </w:p>
          <w:p w14:paraId="7847CE74" w14:textId="77777777" w:rsidR="003F11D6" w:rsidRPr="001D7384" w:rsidRDefault="003F11D6" w:rsidP="00E12AE0">
            <w:pPr>
              <w:spacing w:after="0"/>
              <w:rPr>
                <w:bCs/>
                <w:szCs w:val="24"/>
                <w:lang w:val="en-GB"/>
              </w:rPr>
            </w:pPr>
            <w:r w:rsidRPr="001D7384">
              <w:rPr>
                <w:bCs/>
                <w:szCs w:val="24"/>
                <w:lang w:val="en-GB"/>
              </w:rPr>
              <w:t>The solution must support Application Consistency copies with local and remote replications.</w:t>
            </w:r>
          </w:p>
        </w:tc>
        <w:tc>
          <w:tcPr>
            <w:tcW w:w="3690" w:type="dxa"/>
          </w:tcPr>
          <w:p w14:paraId="75C833B2" w14:textId="77777777" w:rsidR="003F11D6" w:rsidRPr="001D7384" w:rsidRDefault="003F11D6" w:rsidP="00E12AE0">
            <w:pPr>
              <w:spacing w:after="0"/>
              <w:rPr>
                <w:b/>
                <w:szCs w:val="24"/>
                <w:lang w:val="en-GB"/>
              </w:rPr>
            </w:pPr>
          </w:p>
        </w:tc>
      </w:tr>
      <w:tr w:rsidR="003F11D6" w:rsidRPr="00AC5790" w14:paraId="1D30CC6D" w14:textId="77777777" w:rsidTr="00416750">
        <w:tc>
          <w:tcPr>
            <w:tcW w:w="1134" w:type="dxa"/>
          </w:tcPr>
          <w:p w14:paraId="251447C2" w14:textId="77777777" w:rsidR="003F11D6" w:rsidRPr="001D7384" w:rsidRDefault="003F11D6" w:rsidP="00E12AE0">
            <w:pPr>
              <w:spacing w:after="0"/>
              <w:rPr>
                <w:b/>
                <w:szCs w:val="24"/>
                <w:lang w:val="en-GB"/>
              </w:rPr>
            </w:pPr>
            <w:r w:rsidRPr="001D7384">
              <w:rPr>
                <w:b/>
                <w:szCs w:val="24"/>
                <w:lang w:val="en-GB"/>
              </w:rPr>
              <w:lastRenderedPageBreak/>
              <w:t>1.7</w:t>
            </w:r>
          </w:p>
        </w:tc>
        <w:tc>
          <w:tcPr>
            <w:tcW w:w="4531" w:type="dxa"/>
            <w:vAlign w:val="center"/>
          </w:tcPr>
          <w:p w14:paraId="1611B1D9" w14:textId="77777777" w:rsidR="003F11D6" w:rsidRPr="001D7384" w:rsidRDefault="003F11D6" w:rsidP="00E12AE0">
            <w:pPr>
              <w:spacing w:after="0"/>
              <w:rPr>
                <w:b/>
                <w:szCs w:val="24"/>
                <w:lang w:val="en-GB"/>
              </w:rPr>
            </w:pPr>
            <w:r w:rsidRPr="001D7384">
              <w:rPr>
                <w:b/>
                <w:szCs w:val="24"/>
                <w:lang w:val="en-GB"/>
              </w:rPr>
              <w:t xml:space="preserve">Central FC SAN </w:t>
            </w:r>
            <w:proofErr w:type="spellStart"/>
            <w:r w:rsidRPr="001D7384">
              <w:rPr>
                <w:b/>
                <w:szCs w:val="24"/>
                <w:lang w:val="en-GB"/>
              </w:rPr>
              <w:t>NVMe</w:t>
            </w:r>
            <w:proofErr w:type="spellEnd"/>
            <w:r w:rsidRPr="001D7384">
              <w:rPr>
                <w:b/>
                <w:szCs w:val="24"/>
                <w:lang w:val="en-GB"/>
              </w:rPr>
              <w:t xml:space="preserve"> Infrastructure </w:t>
            </w:r>
          </w:p>
          <w:p w14:paraId="3FE0998A" w14:textId="77777777" w:rsidR="003F11D6" w:rsidRPr="001D7384" w:rsidRDefault="003F11D6" w:rsidP="00E12AE0">
            <w:pPr>
              <w:spacing w:after="0"/>
              <w:rPr>
                <w:b/>
                <w:szCs w:val="24"/>
                <w:lang w:val="en-GB"/>
              </w:rPr>
            </w:pPr>
          </w:p>
          <w:p w14:paraId="266F1674" w14:textId="77777777" w:rsidR="003F11D6" w:rsidRPr="001D7384" w:rsidRDefault="003F11D6" w:rsidP="00E12AE0">
            <w:pPr>
              <w:spacing w:after="0"/>
              <w:rPr>
                <w:b/>
                <w:szCs w:val="24"/>
                <w:lang w:val="en-GB"/>
              </w:rPr>
            </w:pPr>
            <w:r w:rsidRPr="001D7384">
              <w:rPr>
                <w:b/>
                <w:szCs w:val="24"/>
                <w:lang w:val="en-GB"/>
              </w:rPr>
              <w:t xml:space="preserve">Fiber Channel </w:t>
            </w:r>
            <w:proofErr w:type="spellStart"/>
            <w:r w:rsidRPr="001D7384">
              <w:rPr>
                <w:b/>
                <w:szCs w:val="24"/>
                <w:lang w:val="en-GB"/>
              </w:rPr>
              <w:t>NVMe</w:t>
            </w:r>
            <w:proofErr w:type="spellEnd"/>
            <w:r w:rsidRPr="001D7384">
              <w:rPr>
                <w:b/>
                <w:szCs w:val="24"/>
                <w:lang w:val="en-GB"/>
              </w:rPr>
              <w:t xml:space="preserve"> SAN infrastructure – Qty. 2 (for Primary site)</w:t>
            </w:r>
          </w:p>
          <w:p w14:paraId="0EBD3962" w14:textId="77777777" w:rsidR="003F11D6" w:rsidRPr="001D7384" w:rsidRDefault="003F11D6" w:rsidP="00E12AE0">
            <w:pPr>
              <w:spacing w:after="0"/>
              <w:rPr>
                <w:b/>
                <w:szCs w:val="24"/>
                <w:lang w:val="en-GB"/>
              </w:rPr>
            </w:pPr>
          </w:p>
          <w:p w14:paraId="0C4F24E5" w14:textId="77777777" w:rsidR="003F11D6" w:rsidRPr="001D7384" w:rsidRDefault="003F11D6" w:rsidP="00E12AE0">
            <w:pPr>
              <w:spacing w:after="0"/>
              <w:rPr>
                <w:bCs/>
                <w:szCs w:val="24"/>
                <w:lang w:val="en-GB"/>
              </w:rPr>
            </w:pPr>
            <w:r w:rsidRPr="001D7384">
              <w:rPr>
                <w:bCs/>
                <w:szCs w:val="24"/>
                <w:lang w:val="en-GB"/>
              </w:rPr>
              <w:t xml:space="preserve">Full hardware-redundant (dual fabric) 32 Gb </w:t>
            </w:r>
            <w:proofErr w:type="spellStart"/>
            <w:r w:rsidRPr="001D7384">
              <w:rPr>
                <w:bCs/>
                <w:szCs w:val="24"/>
                <w:lang w:val="en-GB"/>
              </w:rPr>
              <w:t>NVMe</w:t>
            </w:r>
            <w:proofErr w:type="spellEnd"/>
            <w:r w:rsidRPr="001D7384">
              <w:rPr>
                <w:bCs/>
                <w:szCs w:val="24"/>
                <w:lang w:val="en-GB"/>
              </w:rPr>
              <w:t xml:space="preserve"> over Fibre Channel low latency communication networking infrastructure for block level FC SAN protocols, with no possibility for SCSI protocol interruption in case of a single element failure.</w:t>
            </w:r>
          </w:p>
          <w:p w14:paraId="534712D2" w14:textId="77777777" w:rsidR="003F11D6" w:rsidRPr="001D7384" w:rsidRDefault="003F11D6" w:rsidP="00E12AE0">
            <w:pPr>
              <w:spacing w:after="0"/>
              <w:rPr>
                <w:b/>
                <w:szCs w:val="24"/>
                <w:lang w:val="en-GB"/>
              </w:rPr>
            </w:pPr>
          </w:p>
          <w:p w14:paraId="68A9F3E1" w14:textId="77777777" w:rsidR="003F11D6" w:rsidRPr="001D7384" w:rsidRDefault="003F11D6" w:rsidP="00E12AE0">
            <w:pPr>
              <w:spacing w:after="0"/>
              <w:rPr>
                <w:b/>
                <w:szCs w:val="24"/>
                <w:lang w:val="en-GB"/>
              </w:rPr>
            </w:pPr>
            <w:r w:rsidRPr="001D7384">
              <w:rPr>
                <w:b/>
                <w:szCs w:val="24"/>
                <w:lang w:val="en-GB"/>
              </w:rPr>
              <w:t>General FC switching characteristics (per switch)</w:t>
            </w:r>
          </w:p>
          <w:p w14:paraId="5AFDE6A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fr-BE"/>
              </w:rPr>
              <w:t xml:space="preserve">Full support for </w:t>
            </w:r>
            <w:proofErr w:type="spellStart"/>
            <w:r w:rsidRPr="001D7384">
              <w:rPr>
                <w:bCs/>
                <w:szCs w:val="24"/>
                <w:lang w:val="fr-BE"/>
              </w:rPr>
              <w:t>NVMe</w:t>
            </w:r>
            <w:proofErr w:type="spellEnd"/>
            <w:r w:rsidRPr="001D7384">
              <w:rPr>
                <w:bCs/>
                <w:szCs w:val="24"/>
                <w:lang w:val="fr-BE"/>
              </w:rPr>
              <w:t xml:space="preserve"> over Fibre Channel </w:t>
            </w:r>
            <w:proofErr w:type="gramStart"/>
            <w:r w:rsidRPr="001D7384">
              <w:rPr>
                <w:bCs/>
                <w:szCs w:val="24"/>
                <w:lang w:val="fr-BE"/>
              </w:rPr>
              <w:t xml:space="preserve">and  </w:t>
            </w:r>
            <w:proofErr w:type="spellStart"/>
            <w:r w:rsidRPr="001D7384">
              <w:rPr>
                <w:bCs/>
                <w:szCs w:val="24"/>
                <w:lang w:val="fr-BE"/>
              </w:rPr>
              <w:t>Quality</w:t>
            </w:r>
            <w:proofErr w:type="spellEnd"/>
            <w:proofErr w:type="gramEnd"/>
            <w:r w:rsidRPr="001D7384">
              <w:rPr>
                <w:bCs/>
                <w:szCs w:val="24"/>
                <w:lang w:val="fr-BE"/>
              </w:rPr>
              <w:t xml:space="preserve"> of Service (QoS)</w:t>
            </w:r>
          </w:p>
          <w:p w14:paraId="5986DF1F" w14:textId="77777777" w:rsidR="003F11D6" w:rsidRPr="001D7384" w:rsidRDefault="003F11D6" w:rsidP="00E12AE0">
            <w:pPr>
              <w:pStyle w:val="ListParagraph"/>
              <w:numPr>
                <w:ilvl w:val="0"/>
                <w:numId w:val="153"/>
              </w:numPr>
              <w:spacing w:after="0"/>
              <w:ind w:left="491" w:hanging="436"/>
              <w:rPr>
                <w:bCs/>
                <w:szCs w:val="24"/>
                <w:lang w:val="en-GB"/>
              </w:rPr>
            </w:pPr>
            <w:proofErr w:type="spellStart"/>
            <w:r w:rsidRPr="001D7384">
              <w:rPr>
                <w:bCs/>
                <w:szCs w:val="24"/>
                <w:lang w:val="fr-BE"/>
              </w:rPr>
              <w:t>Supported</w:t>
            </w:r>
            <w:proofErr w:type="spellEnd"/>
            <w:r w:rsidRPr="001D7384">
              <w:rPr>
                <w:bCs/>
                <w:szCs w:val="24"/>
                <w:lang w:val="fr-BE"/>
              </w:rPr>
              <w:t xml:space="preserve"> port </w:t>
            </w:r>
            <w:proofErr w:type="gramStart"/>
            <w:r w:rsidRPr="001D7384">
              <w:rPr>
                <w:bCs/>
                <w:szCs w:val="24"/>
                <w:lang w:val="fr-BE"/>
              </w:rPr>
              <w:t>types:</w:t>
            </w:r>
            <w:proofErr w:type="gramEnd"/>
            <w:r w:rsidRPr="001D7384">
              <w:t xml:space="preserve"> </w:t>
            </w:r>
            <w:proofErr w:type="spellStart"/>
            <w:r w:rsidRPr="001D7384">
              <w:rPr>
                <w:bCs/>
                <w:szCs w:val="24"/>
                <w:lang w:val="fr-BE"/>
              </w:rPr>
              <w:t>F_Port</w:t>
            </w:r>
            <w:proofErr w:type="spellEnd"/>
            <w:r w:rsidRPr="001D7384">
              <w:rPr>
                <w:bCs/>
                <w:szCs w:val="24"/>
                <w:lang w:val="fr-BE"/>
              </w:rPr>
              <w:t xml:space="preserve">, </w:t>
            </w:r>
            <w:proofErr w:type="spellStart"/>
            <w:r w:rsidRPr="001D7384">
              <w:rPr>
                <w:bCs/>
                <w:szCs w:val="24"/>
                <w:lang w:val="fr-BE"/>
              </w:rPr>
              <w:t>E_Port</w:t>
            </w:r>
            <w:proofErr w:type="spellEnd"/>
            <w:r w:rsidRPr="001D7384">
              <w:rPr>
                <w:bCs/>
                <w:szCs w:val="24"/>
                <w:lang w:val="fr-BE"/>
              </w:rPr>
              <w:t xml:space="preserve">, B Port TE Port, </w:t>
            </w:r>
            <w:proofErr w:type="spellStart"/>
            <w:r w:rsidRPr="001D7384">
              <w:rPr>
                <w:bCs/>
                <w:szCs w:val="24"/>
                <w:lang w:val="fr-BE"/>
              </w:rPr>
              <w:t>SD_Port</w:t>
            </w:r>
            <w:proofErr w:type="spellEnd"/>
            <w:r w:rsidRPr="001D7384">
              <w:rPr>
                <w:bCs/>
                <w:szCs w:val="24"/>
                <w:lang w:val="fr-BE"/>
              </w:rPr>
              <w:t xml:space="preserve">, </w:t>
            </w:r>
            <w:proofErr w:type="spellStart"/>
            <w:r w:rsidRPr="001D7384">
              <w:rPr>
                <w:bCs/>
                <w:szCs w:val="24"/>
                <w:lang w:val="fr-BE"/>
              </w:rPr>
              <w:t>ST_Port</w:t>
            </w:r>
            <w:proofErr w:type="spellEnd"/>
          </w:p>
          <w:p w14:paraId="262AA08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ISL Trunking: up to 16 physical ports</w:t>
            </w:r>
          </w:p>
          <w:p w14:paraId="4C5CFC9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NPV mode and N-Port ID Virtualization (NPIV)</w:t>
            </w:r>
          </w:p>
          <w:p w14:paraId="2653D4E6" w14:textId="77777777" w:rsidR="003F11D6" w:rsidRPr="001D7384" w:rsidRDefault="003F11D6" w:rsidP="00E12AE0">
            <w:pPr>
              <w:spacing w:after="0"/>
              <w:rPr>
                <w:b/>
                <w:szCs w:val="24"/>
                <w:lang w:val="en-GB"/>
              </w:rPr>
            </w:pPr>
          </w:p>
          <w:p w14:paraId="791B486E" w14:textId="77777777" w:rsidR="003F11D6" w:rsidRPr="001D7384" w:rsidRDefault="003F11D6" w:rsidP="00E12AE0">
            <w:pPr>
              <w:spacing w:after="0"/>
              <w:rPr>
                <w:b/>
                <w:szCs w:val="24"/>
                <w:lang w:val="en-GB"/>
              </w:rPr>
            </w:pPr>
            <w:r w:rsidRPr="001D7384">
              <w:rPr>
                <w:b/>
                <w:szCs w:val="24"/>
                <w:lang w:val="en-GB"/>
              </w:rPr>
              <w:t>Performance characteristics (per switch)</w:t>
            </w:r>
          </w:p>
          <w:p w14:paraId="26B68BB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fr-BE"/>
              </w:rPr>
              <w:lastRenderedPageBreak/>
              <w:t xml:space="preserve">Min. </w:t>
            </w:r>
            <w:proofErr w:type="spellStart"/>
            <w:r w:rsidRPr="001D7384">
              <w:rPr>
                <w:bCs/>
                <w:szCs w:val="24"/>
                <w:lang w:val="fr-BE"/>
              </w:rPr>
              <w:t>dedicated</w:t>
            </w:r>
            <w:proofErr w:type="spellEnd"/>
            <w:r w:rsidRPr="001D7384">
              <w:rPr>
                <w:bCs/>
                <w:szCs w:val="24"/>
                <w:lang w:val="fr-BE"/>
              </w:rPr>
              <w:t xml:space="preserve"> </w:t>
            </w:r>
            <w:proofErr w:type="spellStart"/>
            <w:proofErr w:type="gramStart"/>
            <w:r w:rsidRPr="001D7384">
              <w:rPr>
                <w:bCs/>
                <w:szCs w:val="24"/>
                <w:lang w:val="fr-BE"/>
              </w:rPr>
              <w:t>bandwidth</w:t>
            </w:r>
            <w:proofErr w:type="spellEnd"/>
            <w:r w:rsidRPr="001D7384">
              <w:rPr>
                <w:bCs/>
                <w:szCs w:val="24"/>
                <w:lang w:val="fr-BE"/>
              </w:rPr>
              <w:t>:</w:t>
            </w:r>
            <w:proofErr w:type="gramEnd"/>
            <w:r w:rsidRPr="001D7384">
              <w:rPr>
                <w:bCs/>
                <w:szCs w:val="24"/>
                <w:lang w:val="fr-BE"/>
              </w:rPr>
              <w:tab/>
              <w:t xml:space="preserve">32 Gb/s for </w:t>
            </w:r>
            <w:proofErr w:type="spellStart"/>
            <w:r w:rsidRPr="001D7384">
              <w:rPr>
                <w:bCs/>
                <w:szCs w:val="24"/>
                <w:lang w:val="fr-BE"/>
              </w:rPr>
              <w:t>every</w:t>
            </w:r>
            <w:proofErr w:type="spellEnd"/>
            <w:r w:rsidRPr="001D7384">
              <w:rPr>
                <w:bCs/>
                <w:szCs w:val="24"/>
                <w:lang w:val="fr-BE"/>
              </w:rPr>
              <w:t xml:space="preserve"> port (32 * 32 </w:t>
            </w:r>
            <w:proofErr w:type="spellStart"/>
            <w:r w:rsidRPr="001D7384">
              <w:rPr>
                <w:bCs/>
                <w:szCs w:val="24"/>
                <w:lang w:val="fr-BE"/>
              </w:rPr>
              <w:t>Gbps</w:t>
            </w:r>
            <w:proofErr w:type="spellEnd"/>
            <w:r w:rsidRPr="001D7384">
              <w:rPr>
                <w:bCs/>
                <w:szCs w:val="24"/>
                <w:lang w:val="fr-BE"/>
              </w:rPr>
              <w:t>)</w:t>
            </w:r>
          </w:p>
          <w:p w14:paraId="441B9B2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Buffer credits: up to 500 buffer credits for every port, up to 8250 buffer credits for a single port in a port group</w:t>
            </w:r>
          </w:p>
          <w:p w14:paraId="721C7B5D" w14:textId="77777777" w:rsidR="003F11D6" w:rsidRPr="001D7384" w:rsidRDefault="003F11D6" w:rsidP="00E12AE0">
            <w:pPr>
              <w:spacing w:after="0"/>
              <w:rPr>
                <w:bCs/>
                <w:szCs w:val="24"/>
                <w:lang w:val="en-GB"/>
              </w:rPr>
            </w:pPr>
          </w:p>
          <w:p w14:paraId="49B58836" w14:textId="77777777" w:rsidR="003F11D6" w:rsidRPr="001D7384" w:rsidRDefault="003F11D6" w:rsidP="00E12AE0">
            <w:pPr>
              <w:spacing w:after="0"/>
              <w:rPr>
                <w:b/>
                <w:szCs w:val="24"/>
                <w:lang w:val="en-GB"/>
              </w:rPr>
            </w:pPr>
            <w:r w:rsidRPr="001D7384">
              <w:rPr>
                <w:b/>
                <w:szCs w:val="24"/>
                <w:lang w:val="en-GB"/>
              </w:rPr>
              <w:t>FC SAN Chassis and Power supply</w:t>
            </w:r>
          </w:p>
          <w:p w14:paraId="543748F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Form factor/height: Rack mount, max. 1U per </w:t>
            </w:r>
            <w:proofErr w:type="gramStart"/>
            <w:r w:rsidRPr="001D7384">
              <w:rPr>
                <w:bCs/>
                <w:szCs w:val="24"/>
                <w:lang w:val="en-GB"/>
              </w:rPr>
              <w:t>switch</w:t>
            </w:r>
            <w:proofErr w:type="gramEnd"/>
          </w:p>
          <w:p w14:paraId="67F74BA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Chassis Configuration: 1U Chassis with up to 32 SFP+ FC ports,</w:t>
            </w:r>
          </w:p>
          <w:p w14:paraId="151D2AC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supply: minimum Dual, Hot -Plug,</w:t>
            </w:r>
          </w:p>
          <w:p w14:paraId="1AFF764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Power cords: 2 x Rack Power Cord 1m (C13/C14 10A) </w:t>
            </w:r>
          </w:p>
          <w:p w14:paraId="5569550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Rails: 19” Rails,</w:t>
            </w:r>
          </w:p>
          <w:p w14:paraId="44F032E7" w14:textId="77777777" w:rsidR="003F11D6" w:rsidRPr="001D7384" w:rsidRDefault="003F11D6" w:rsidP="00E12AE0">
            <w:pPr>
              <w:pStyle w:val="ListParagraph"/>
              <w:numPr>
                <w:ilvl w:val="0"/>
                <w:numId w:val="153"/>
              </w:numPr>
              <w:spacing w:after="0"/>
              <w:ind w:left="491" w:hanging="436"/>
              <w:rPr>
                <w:bCs/>
                <w:szCs w:val="24"/>
              </w:rPr>
            </w:pPr>
            <w:r w:rsidRPr="001D7384">
              <w:rPr>
                <w:bCs/>
                <w:szCs w:val="24"/>
              </w:rPr>
              <w:t>Management Interfaces: minimum 1 x serial port, 1 x RJ-45 1Gb Ethernet port, FCIP in-band management, SFTP and AES encrypted SSH v2.</w:t>
            </w:r>
          </w:p>
          <w:p w14:paraId="4DDDB2B1" w14:textId="77777777" w:rsidR="003F11D6" w:rsidRPr="001D7384" w:rsidRDefault="003F11D6" w:rsidP="00E12AE0">
            <w:pPr>
              <w:spacing w:after="0"/>
              <w:rPr>
                <w:b/>
                <w:szCs w:val="24"/>
              </w:rPr>
            </w:pPr>
          </w:p>
          <w:p w14:paraId="4D1D03EC" w14:textId="77777777" w:rsidR="003F11D6" w:rsidRPr="001D7384" w:rsidRDefault="003F11D6" w:rsidP="00E12AE0">
            <w:pPr>
              <w:spacing w:after="0"/>
              <w:rPr>
                <w:b/>
                <w:szCs w:val="24"/>
                <w:lang w:val="en-GB"/>
              </w:rPr>
            </w:pPr>
            <w:r w:rsidRPr="001D7384">
              <w:rPr>
                <w:b/>
                <w:szCs w:val="24"/>
                <w:lang w:val="en-GB"/>
              </w:rPr>
              <w:t>FC ports configuration (per switch)</w:t>
            </w:r>
          </w:p>
          <w:p w14:paraId="6D2C437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24 x 32Gb/sec short-wave SFP+ usable ports (with LC connector),</w:t>
            </w:r>
          </w:p>
          <w:p w14:paraId="5625C237" w14:textId="77777777" w:rsidR="003F11D6" w:rsidRPr="001D7384" w:rsidRDefault="003F11D6" w:rsidP="00E12AE0">
            <w:pPr>
              <w:spacing w:after="0"/>
              <w:rPr>
                <w:b/>
                <w:szCs w:val="24"/>
                <w:lang w:val="en-GB"/>
              </w:rPr>
            </w:pPr>
          </w:p>
          <w:p w14:paraId="01988DA1" w14:textId="77777777" w:rsidR="003F11D6" w:rsidRPr="001D7384" w:rsidRDefault="003F11D6" w:rsidP="00E12AE0">
            <w:pPr>
              <w:spacing w:after="0"/>
              <w:rPr>
                <w:b/>
                <w:szCs w:val="24"/>
                <w:lang w:val="en-GB"/>
              </w:rPr>
            </w:pPr>
            <w:r w:rsidRPr="001D7384">
              <w:rPr>
                <w:b/>
                <w:szCs w:val="24"/>
                <w:lang w:val="en-GB"/>
              </w:rPr>
              <w:t>Security features</w:t>
            </w:r>
          </w:p>
          <w:p w14:paraId="547DFE3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FC-SP for host-to-switch and switch-to-switch authentication </w:t>
            </w:r>
          </w:p>
          <w:p w14:paraId="008DEAE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In-order delivery</w:t>
            </w:r>
          </w:p>
          <w:p w14:paraId="5F78A4C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Port security</w:t>
            </w:r>
          </w:p>
          <w:p w14:paraId="325788B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VSANs</w:t>
            </w:r>
          </w:p>
          <w:p w14:paraId="6323DE6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 Control-plane security</w:t>
            </w:r>
          </w:p>
        </w:tc>
        <w:tc>
          <w:tcPr>
            <w:tcW w:w="3690" w:type="dxa"/>
          </w:tcPr>
          <w:p w14:paraId="72179856" w14:textId="77777777" w:rsidR="003F11D6" w:rsidRPr="001D7384" w:rsidRDefault="003F11D6" w:rsidP="00E12AE0">
            <w:pPr>
              <w:spacing w:after="0"/>
              <w:rPr>
                <w:b/>
                <w:szCs w:val="24"/>
                <w:lang w:val="en-GB"/>
              </w:rPr>
            </w:pPr>
          </w:p>
        </w:tc>
      </w:tr>
      <w:tr w:rsidR="003F11D6" w:rsidRPr="00AC5790" w14:paraId="0FB5D259" w14:textId="77777777" w:rsidTr="00416750">
        <w:tc>
          <w:tcPr>
            <w:tcW w:w="1134" w:type="dxa"/>
          </w:tcPr>
          <w:p w14:paraId="741F2153" w14:textId="77777777" w:rsidR="003F11D6" w:rsidRPr="001D7384" w:rsidRDefault="003F11D6" w:rsidP="00E12AE0">
            <w:pPr>
              <w:spacing w:after="0"/>
              <w:rPr>
                <w:b/>
                <w:szCs w:val="24"/>
                <w:lang w:val="en-GB"/>
              </w:rPr>
            </w:pPr>
            <w:r w:rsidRPr="001D7384">
              <w:rPr>
                <w:b/>
                <w:szCs w:val="24"/>
                <w:lang w:val="en-GB"/>
              </w:rPr>
              <w:t>1.8</w:t>
            </w:r>
          </w:p>
        </w:tc>
        <w:tc>
          <w:tcPr>
            <w:tcW w:w="4531" w:type="dxa"/>
            <w:vAlign w:val="center"/>
          </w:tcPr>
          <w:p w14:paraId="694E620A" w14:textId="77777777" w:rsidR="003F11D6" w:rsidRPr="001D7384" w:rsidRDefault="003F11D6" w:rsidP="00E12AE0">
            <w:pPr>
              <w:spacing w:after="0"/>
              <w:rPr>
                <w:b/>
                <w:szCs w:val="24"/>
                <w:lang w:val="en-GB"/>
              </w:rPr>
            </w:pPr>
            <w:r w:rsidRPr="001D7384">
              <w:rPr>
                <w:b/>
                <w:szCs w:val="24"/>
                <w:lang w:val="en-GB"/>
              </w:rPr>
              <w:t xml:space="preserve">Backup Server </w:t>
            </w:r>
            <w:proofErr w:type="gramStart"/>
            <w:r w:rsidRPr="001D7384">
              <w:rPr>
                <w:b/>
                <w:szCs w:val="24"/>
                <w:lang w:val="en-GB"/>
              </w:rPr>
              <w:t>-  Qty.</w:t>
            </w:r>
            <w:proofErr w:type="gramEnd"/>
            <w:r w:rsidRPr="001D7384">
              <w:rPr>
                <w:b/>
                <w:szCs w:val="24"/>
                <w:lang w:val="en-GB"/>
              </w:rPr>
              <w:t xml:space="preserve"> 1</w:t>
            </w:r>
          </w:p>
          <w:p w14:paraId="7F140141" w14:textId="77777777" w:rsidR="003F11D6" w:rsidRPr="001D7384" w:rsidRDefault="003F11D6" w:rsidP="00E12AE0">
            <w:pPr>
              <w:spacing w:after="0"/>
              <w:rPr>
                <w:bCs/>
                <w:szCs w:val="24"/>
                <w:lang w:val="en-GB"/>
              </w:rPr>
            </w:pPr>
          </w:p>
          <w:p w14:paraId="3D8122D5" w14:textId="77777777" w:rsidR="003F11D6" w:rsidRPr="001D7384" w:rsidRDefault="003F11D6" w:rsidP="00E12AE0">
            <w:pPr>
              <w:spacing w:after="0"/>
              <w:rPr>
                <w:b/>
                <w:szCs w:val="24"/>
                <w:lang w:val="en-GB"/>
              </w:rPr>
            </w:pPr>
            <w:r w:rsidRPr="001D7384">
              <w:rPr>
                <w:b/>
                <w:szCs w:val="24"/>
                <w:lang w:val="en-GB"/>
              </w:rPr>
              <w:t>Chassis and Power supply</w:t>
            </w:r>
          </w:p>
          <w:p w14:paraId="1E2227E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Form factor/height: Rack mount, max. </w:t>
            </w:r>
            <w:proofErr w:type="gramStart"/>
            <w:r w:rsidRPr="001D7384">
              <w:rPr>
                <w:bCs/>
                <w:szCs w:val="24"/>
                <w:lang w:val="en-GB"/>
              </w:rPr>
              <w:t>2U</w:t>
            </w:r>
            <w:proofErr w:type="gramEnd"/>
          </w:p>
          <w:p w14:paraId="1F61EA0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Chassis Configuration: Chassis configuration options for housing up to 10 internal drives</w:t>
            </w:r>
          </w:p>
          <w:p w14:paraId="0A5B632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Power supply: minimum dual, Hot -Plug, 1100W, Titanium efficiency class power supply modules</w:t>
            </w:r>
          </w:p>
          <w:p w14:paraId="6EF7EF3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 xml:space="preserve">Power cords: 2 x Rack Power Cord 1m (C13/C14 10A) </w:t>
            </w:r>
          </w:p>
          <w:p w14:paraId="38A0EA3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Rails: Toolless, Sliding Rails, with cable management arm</w:t>
            </w:r>
          </w:p>
          <w:p w14:paraId="10464D13"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Ports: minimum 4 x USB, 1 x VGA, 1 x DB-9 COM port</w:t>
            </w:r>
          </w:p>
          <w:p w14:paraId="74078680" w14:textId="77777777" w:rsidR="003F11D6" w:rsidRPr="001D7384" w:rsidRDefault="003F11D6" w:rsidP="00E12AE0">
            <w:pPr>
              <w:spacing w:after="0"/>
              <w:rPr>
                <w:b/>
                <w:szCs w:val="24"/>
                <w:lang w:val="en-GB"/>
              </w:rPr>
            </w:pPr>
          </w:p>
          <w:p w14:paraId="5FBFC9F8" w14:textId="77777777" w:rsidR="003F11D6" w:rsidRPr="001D7384" w:rsidRDefault="003F11D6" w:rsidP="00E12AE0">
            <w:pPr>
              <w:spacing w:after="0"/>
              <w:rPr>
                <w:b/>
                <w:szCs w:val="24"/>
                <w:lang w:val="en-GB"/>
              </w:rPr>
            </w:pPr>
            <w:r w:rsidRPr="001D7384">
              <w:rPr>
                <w:b/>
                <w:szCs w:val="24"/>
                <w:lang w:val="en-GB"/>
              </w:rPr>
              <w:t>Motherboard, CPU and Memory</w:t>
            </w:r>
          </w:p>
          <w:p w14:paraId="5BB4177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DDR5 DIMM slots: min. 12</w:t>
            </w:r>
          </w:p>
          <w:p w14:paraId="26F5316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Number of memory channels per CPU: min. 12</w:t>
            </w:r>
          </w:p>
          <w:p w14:paraId="2775425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sockets: minimum 1 processor socket </w:t>
            </w:r>
            <w:proofErr w:type="gramStart"/>
            <w:r w:rsidRPr="001D7384">
              <w:rPr>
                <w:bCs/>
                <w:szCs w:val="24"/>
                <w:lang w:val="en-GB"/>
              </w:rPr>
              <w:t>supported</w:t>
            </w:r>
            <w:proofErr w:type="gramEnd"/>
          </w:p>
          <w:p w14:paraId="587DE79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CPU generation: minimum latest Generation x86 architecture processors or equivalent.</w:t>
            </w:r>
          </w:p>
          <w:p w14:paraId="712AF867"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Required number: </w:t>
            </w:r>
            <w:r w:rsidRPr="001D7384">
              <w:rPr>
                <w:b/>
                <w:szCs w:val="24"/>
                <w:lang w:val="en-GB"/>
              </w:rPr>
              <w:t xml:space="preserve">1 </w:t>
            </w:r>
            <w:proofErr w:type="gramStart"/>
            <w:r w:rsidRPr="001D7384">
              <w:rPr>
                <w:b/>
                <w:szCs w:val="24"/>
                <w:lang w:val="en-GB"/>
              </w:rPr>
              <w:t>Pcs</w:t>
            </w:r>
            <w:proofErr w:type="gramEnd"/>
          </w:p>
          <w:p w14:paraId="1888721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CPU Clock rate</w:t>
            </w:r>
            <w:r w:rsidRPr="001D7384">
              <w:rPr>
                <w:b/>
                <w:szCs w:val="24"/>
                <w:lang w:val="en-GB"/>
              </w:rPr>
              <w:t>: min.</w:t>
            </w:r>
            <w:r w:rsidRPr="001D7384">
              <w:rPr>
                <w:bCs/>
                <w:szCs w:val="24"/>
                <w:lang w:val="en-GB"/>
              </w:rPr>
              <w:t xml:space="preserve"> </w:t>
            </w:r>
            <w:r w:rsidRPr="001D7384">
              <w:rPr>
                <w:b/>
                <w:szCs w:val="24"/>
                <w:lang w:val="en-GB"/>
              </w:rPr>
              <w:t>3 GHz</w:t>
            </w:r>
          </w:p>
          <w:p w14:paraId="458EB58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Number of cores per processor: </w:t>
            </w:r>
            <w:r w:rsidRPr="001D7384">
              <w:rPr>
                <w:b/>
                <w:szCs w:val="24"/>
                <w:lang w:val="en-GB"/>
              </w:rPr>
              <w:t>min. 16</w:t>
            </w:r>
          </w:p>
          <w:p w14:paraId="0ED7B51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CPU Cache: </w:t>
            </w:r>
            <w:r w:rsidRPr="001D7384">
              <w:rPr>
                <w:b/>
                <w:szCs w:val="24"/>
                <w:lang w:val="en-GB"/>
              </w:rPr>
              <w:t>min. 45 MB</w:t>
            </w:r>
          </w:p>
          <w:p w14:paraId="044B2F8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type. ECC DDR5</w:t>
            </w:r>
          </w:p>
          <w:p w14:paraId="536A8D9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speed: min. 4800 MHz</w:t>
            </w:r>
          </w:p>
          <w:p w14:paraId="39C7450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Memory Capacity: min. 128 GB, (4 x 32 GB)</w:t>
            </w:r>
          </w:p>
          <w:p w14:paraId="2CB10A72" w14:textId="77777777" w:rsidR="003F11D6" w:rsidRPr="001D7384" w:rsidRDefault="003F11D6" w:rsidP="00E12AE0">
            <w:pPr>
              <w:spacing w:after="0"/>
              <w:rPr>
                <w:b/>
                <w:szCs w:val="24"/>
                <w:lang w:val="en-GB"/>
              </w:rPr>
            </w:pPr>
          </w:p>
          <w:p w14:paraId="1EEA8185" w14:textId="77777777" w:rsidR="003F11D6" w:rsidRPr="001D7384" w:rsidRDefault="003F11D6" w:rsidP="00E12AE0">
            <w:pPr>
              <w:spacing w:after="0"/>
              <w:rPr>
                <w:b/>
                <w:szCs w:val="24"/>
                <w:lang w:val="en-GB"/>
              </w:rPr>
            </w:pPr>
            <w:r w:rsidRPr="001D7384">
              <w:rPr>
                <w:b/>
                <w:szCs w:val="24"/>
                <w:lang w:val="en-GB"/>
              </w:rPr>
              <w:t>Storage configuration</w:t>
            </w:r>
          </w:p>
          <w:p w14:paraId="25779772" w14:textId="77777777" w:rsidR="003F11D6" w:rsidRPr="001D7384" w:rsidRDefault="003F11D6" w:rsidP="00E12AE0">
            <w:pPr>
              <w:pStyle w:val="ListParagraph"/>
              <w:numPr>
                <w:ilvl w:val="0"/>
                <w:numId w:val="153"/>
              </w:numPr>
              <w:spacing w:after="0"/>
              <w:ind w:left="491" w:hanging="436"/>
              <w:rPr>
                <w:bCs/>
                <w:szCs w:val="24"/>
                <w:lang w:val="fr-BE"/>
              </w:rPr>
            </w:pPr>
            <w:proofErr w:type="spellStart"/>
            <w:r w:rsidRPr="001D7384">
              <w:rPr>
                <w:bCs/>
                <w:szCs w:val="24"/>
                <w:lang w:val="fr-BE"/>
              </w:rPr>
              <w:t>Internal</w:t>
            </w:r>
            <w:proofErr w:type="spellEnd"/>
            <w:r w:rsidRPr="001D7384">
              <w:rPr>
                <w:bCs/>
                <w:szCs w:val="24"/>
                <w:lang w:val="fr-BE"/>
              </w:rPr>
              <w:t xml:space="preserve"> hardware SAS/</w:t>
            </w:r>
            <w:proofErr w:type="spellStart"/>
            <w:r w:rsidRPr="001D7384">
              <w:rPr>
                <w:bCs/>
                <w:szCs w:val="24"/>
                <w:lang w:val="fr-BE"/>
              </w:rPr>
              <w:t>NVMe</w:t>
            </w:r>
            <w:proofErr w:type="spellEnd"/>
            <w:r w:rsidRPr="001D7384">
              <w:rPr>
                <w:bCs/>
                <w:szCs w:val="24"/>
                <w:lang w:val="fr-BE"/>
              </w:rPr>
              <w:t xml:space="preserve"> RAID </w:t>
            </w:r>
            <w:proofErr w:type="spellStart"/>
            <w:r w:rsidRPr="001D7384">
              <w:rPr>
                <w:bCs/>
                <w:szCs w:val="24"/>
                <w:lang w:val="fr-BE"/>
              </w:rPr>
              <w:t>controllers</w:t>
            </w:r>
            <w:proofErr w:type="spellEnd"/>
            <w:r w:rsidRPr="001D7384">
              <w:rPr>
                <w:bCs/>
                <w:szCs w:val="24"/>
                <w:lang w:val="fr-BE"/>
              </w:rPr>
              <w:t xml:space="preserve"> </w:t>
            </w:r>
            <w:proofErr w:type="spellStart"/>
            <w:r w:rsidRPr="001D7384">
              <w:rPr>
                <w:bCs/>
                <w:szCs w:val="24"/>
                <w:lang w:val="fr-BE"/>
              </w:rPr>
              <w:t>with</w:t>
            </w:r>
            <w:proofErr w:type="spellEnd"/>
            <w:r w:rsidRPr="001D7384">
              <w:rPr>
                <w:bCs/>
                <w:szCs w:val="24"/>
                <w:lang w:val="fr-BE"/>
              </w:rPr>
              <w:t xml:space="preserve"> min. of 2 x </w:t>
            </w:r>
            <w:proofErr w:type="spellStart"/>
            <w:r w:rsidRPr="001D7384">
              <w:rPr>
                <w:bCs/>
                <w:szCs w:val="24"/>
                <w:lang w:val="fr-BE"/>
              </w:rPr>
              <w:t>SSDs</w:t>
            </w:r>
            <w:proofErr w:type="spellEnd"/>
            <w:r w:rsidRPr="001D7384">
              <w:rPr>
                <w:bCs/>
                <w:szCs w:val="24"/>
                <w:lang w:val="fr-BE"/>
              </w:rPr>
              <w:t xml:space="preserve"> of min 480GB </w:t>
            </w:r>
            <w:proofErr w:type="spellStart"/>
            <w:r w:rsidRPr="001D7384">
              <w:rPr>
                <w:bCs/>
                <w:szCs w:val="24"/>
                <w:lang w:val="fr-BE"/>
              </w:rPr>
              <w:t>capacity</w:t>
            </w:r>
            <w:proofErr w:type="spellEnd"/>
            <w:r w:rsidRPr="001D7384">
              <w:rPr>
                <w:bCs/>
                <w:szCs w:val="24"/>
                <w:lang w:val="fr-BE"/>
              </w:rPr>
              <w:t xml:space="preserve"> (</w:t>
            </w:r>
            <w:proofErr w:type="spellStart"/>
            <w:r w:rsidRPr="001D7384">
              <w:rPr>
                <w:bCs/>
                <w:szCs w:val="24"/>
                <w:lang w:val="fr-BE"/>
              </w:rPr>
              <w:t>configured</w:t>
            </w:r>
            <w:proofErr w:type="spellEnd"/>
            <w:r w:rsidRPr="001D7384">
              <w:rPr>
                <w:bCs/>
                <w:szCs w:val="24"/>
                <w:lang w:val="fr-BE"/>
              </w:rPr>
              <w:t xml:space="preserve"> in RAID 1)</w:t>
            </w:r>
          </w:p>
          <w:p w14:paraId="77F9B8DE"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SAN </w:t>
            </w:r>
            <w:proofErr w:type="spellStart"/>
            <w:proofErr w:type="gramStart"/>
            <w:r w:rsidRPr="001D7384">
              <w:rPr>
                <w:bCs/>
                <w:szCs w:val="24"/>
                <w:lang w:val="fr-BE"/>
              </w:rPr>
              <w:t>controllers</w:t>
            </w:r>
            <w:proofErr w:type="spellEnd"/>
            <w:r w:rsidRPr="001D7384">
              <w:rPr>
                <w:bCs/>
                <w:szCs w:val="24"/>
                <w:lang w:val="fr-BE"/>
              </w:rPr>
              <w:t>:</w:t>
            </w:r>
            <w:proofErr w:type="gramEnd"/>
            <w:r w:rsidRPr="001D7384">
              <w:rPr>
                <w:bCs/>
                <w:szCs w:val="24"/>
                <w:lang w:val="fr-BE"/>
              </w:rPr>
              <w:t xml:space="preserve"> 1 x 32 GB Dual Port </w:t>
            </w:r>
            <w:proofErr w:type="spellStart"/>
            <w:r w:rsidRPr="001D7384">
              <w:rPr>
                <w:bCs/>
                <w:szCs w:val="24"/>
                <w:lang w:val="fr-BE"/>
              </w:rPr>
              <w:t>Fiber</w:t>
            </w:r>
            <w:proofErr w:type="spellEnd"/>
            <w:r w:rsidRPr="001D7384">
              <w:rPr>
                <w:bCs/>
                <w:szCs w:val="24"/>
                <w:lang w:val="fr-BE"/>
              </w:rPr>
              <w:t xml:space="preserve"> Channel HBA, SW SFP</w:t>
            </w:r>
          </w:p>
          <w:p w14:paraId="42360F4A" w14:textId="77777777" w:rsidR="003F11D6" w:rsidRPr="001D7384" w:rsidRDefault="003F11D6" w:rsidP="00E12AE0">
            <w:pPr>
              <w:spacing w:after="0"/>
              <w:rPr>
                <w:b/>
                <w:szCs w:val="24"/>
                <w:lang w:val="fr-BE"/>
              </w:rPr>
            </w:pPr>
          </w:p>
          <w:p w14:paraId="2EF5606D" w14:textId="77777777" w:rsidR="003F11D6" w:rsidRPr="001D7384" w:rsidRDefault="003F11D6" w:rsidP="00E12AE0">
            <w:pPr>
              <w:spacing w:after="0"/>
              <w:rPr>
                <w:b/>
                <w:szCs w:val="24"/>
                <w:lang w:val="en-GB"/>
              </w:rPr>
            </w:pPr>
            <w:r w:rsidRPr="001D7384">
              <w:rPr>
                <w:b/>
                <w:szCs w:val="24"/>
                <w:lang w:val="en-GB"/>
              </w:rPr>
              <w:t>Network Interface Cards</w:t>
            </w:r>
          </w:p>
          <w:p w14:paraId="16810792"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w:t>
            </w:r>
            <w:proofErr w:type="spellStart"/>
            <w:proofErr w:type="gramStart"/>
            <w:r w:rsidRPr="001D7384">
              <w:rPr>
                <w:bCs/>
                <w:szCs w:val="24"/>
                <w:lang w:val="fr-BE"/>
              </w:rPr>
              <w:t>NIC’s</w:t>
            </w:r>
            <w:proofErr w:type="spellEnd"/>
            <w:r w:rsidRPr="001D7384">
              <w:rPr>
                <w:bCs/>
                <w:szCs w:val="24"/>
                <w:lang w:val="fr-BE"/>
              </w:rPr>
              <w:t>:</w:t>
            </w:r>
            <w:proofErr w:type="gramEnd"/>
            <w:r w:rsidRPr="001D7384">
              <w:rPr>
                <w:bCs/>
                <w:szCs w:val="24"/>
                <w:lang w:val="fr-BE"/>
              </w:rPr>
              <w:t xml:space="preserve"> 1 x Dual Port 1 </w:t>
            </w:r>
            <w:proofErr w:type="spellStart"/>
            <w:r w:rsidRPr="001D7384">
              <w:rPr>
                <w:bCs/>
                <w:szCs w:val="24"/>
                <w:lang w:val="fr-BE"/>
              </w:rPr>
              <w:t>Gbe</w:t>
            </w:r>
            <w:proofErr w:type="spellEnd"/>
            <w:r w:rsidRPr="001D7384">
              <w:rPr>
                <w:bCs/>
                <w:szCs w:val="24"/>
                <w:lang w:val="fr-BE"/>
              </w:rPr>
              <w:t xml:space="preserve"> – RJ-45</w:t>
            </w:r>
          </w:p>
          <w:p w14:paraId="6F0C3AF0" w14:textId="77777777" w:rsidR="003F11D6" w:rsidRPr="001D7384" w:rsidRDefault="003F11D6" w:rsidP="00E12AE0">
            <w:pPr>
              <w:pStyle w:val="ListParagraph"/>
              <w:numPr>
                <w:ilvl w:val="0"/>
                <w:numId w:val="153"/>
              </w:numPr>
              <w:spacing w:after="0"/>
              <w:ind w:left="491" w:hanging="436"/>
              <w:rPr>
                <w:bCs/>
                <w:szCs w:val="24"/>
                <w:lang w:val="fr-BE"/>
              </w:rPr>
            </w:pPr>
            <w:r w:rsidRPr="001D7384">
              <w:rPr>
                <w:bCs/>
                <w:szCs w:val="24"/>
                <w:lang w:val="fr-BE"/>
              </w:rPr>
              <w:t xml:space="preserve">PCI </w:t>
            </w:r>
            <w:proofErr w:type="spellStart"/>
            <w:proofErr w:type="gramStart"/>
            <w:r w:rsidRPr="001D7384">
              <w:rPr>
                <w:bCs/>
                <w:szCs w:val="24"/>
                <w:lang w:val="fr-BE"/>
              </w:rPr>
              <w:t>NIC’s</w:t>
            </w:r>
            <w:proofErr w:type="spellEnd"/>
            <w:r w:rsidRPr="001D7384">
              <w:rPr>
                <w:bCs/>
                <w:szCs w:val="24"/>
                <w:lang w:val="fr-BE"/>
              </w:rPr>
              <w:t>:</w:t>
            </w:r>
            <w:proofErr w:type="gramEnd"/>
            <w:r w:rsidRPr="001D7384">
              <w:rPr>
                <w:bCs/>
                <w:szCs w:val="24"/>
                <w:lang w:val="fr-BE"/>
              </w:rPr>
              <w:t xml:space="preserve"> 1 x Dual Port 25 </w:t>
            </w:r>
            <w:proofErr w:type="spellStart"/>
            <w:r w:rsidRPr="001D7384">
              <w:rPr>
                <w:bCs/>
                <w:szCs w:val="24"/>
                <w:lang w:val="fr-BE"/>
              </w:rPr>
              <w:t>Gbe</w:t>
            </w:r>
            <w:proofErr w:type="spellEnd"/>
            <w:r w:rsidRPr="001D7384">
              <w:rPr>
                <w:bCs/>
                <w:szCs w:val="24"/>
                <w:lang w:val="fr-BE"/>
              </w:rPr>
              <w:t xml:space="preserve"> - SFP28, </w:t>
            </w:r>
            <w:proofErr w:type="spellStart"/>
            <w:r w:rsidRPr="001D7384">
              <w:rPr>
                <w:bCs/>
                <w:szCs w:val="24"/>
                <w:lang w:val="fr-BE"/>
              </w:rPr>
              <w:t>RoCE</w:t>
            </w:r>
            <w:proofErr w:type="spellEnd"/>
            <w:r w:rsidRPr="001D7384">
              <w:rPr>
                <w:bCs/>
                <w:szCs w:val="24"/>
                <w:lang w:val="fr-BE"/>
              </w:rPr>
              <w:t>.</w:t>
            </w:r>
          </w:p>
          <w:p w14:paraId="433DED4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Networking Cables: 2 x SFP28 to SFP28, 25GbE, Passive Copper </w:t>
            </w:r>
            <w:proofErr w:type="spellStart"/>
            <w:r w:rsidRPr="001D7384">
              <w:rPr>
                <w:bCs/>
                <w:szCs w:val="24"/>
                <w:lang w:val="en-GB"/>
              </w:rPr>
              <w:t>Twinax</w:t>
            </w:r>
            <w:proofErr w:type="spellEnd"/>
            <w:r w:rsidRPr="001D7384">
              <w:rPr>
                <w:bCs/>
                <w:szCs w:val="24"/>
                <w:lang w:val="en-GB"/>
              </w:rPr>
              <w:t xml:space="preserve"> Direct Attach Cable, 3 Meter (compatible with TOR switches Item No. 1.2)</w:t>
            </w:r>
          </w:p>
          <w:p w14:paraId="39C5237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lastRenderedPageBreak/>
              <w:t>Networking Cables: 2 x OM3 LC-LC FC Cable, 10 Meter (compatible with FC switches Item No. 1.7)</w:t>
            </w:r>
          </w:p>
          <w:p w14:paraId="5AEFA364" w14:textId="77777777" w:rsidR="003F11D6" w:rsidRPr="001D7384" w:rsidRDefault="003F11D6" w:rsidP="00E12AE0">
            <w:pPr>
              <w:spacing w:after="0"/>
              <w:rPr>
                <w:b/>
                <w:szCs w:val="24"/>
                <w:lang w:val="en-GB"/>
              </w:rPr>
            </w:pPr>
          </w:p>
          <w:p w14:paraId="365C0E84" w14:textId="77777777" w:rsidR="003F11D6" w:rsidRPr="001D7384" w:rsidRDefault="003F11D6" w:rsidP="00E12AE0">
            <w:pPr>
              <w:spacing w:after="0"/>
              <w:jc w:val="left"/>
              <w:rPr>
                <w:b/>
                <w:szCs w:val="24"/>
                <w:lang w:val="en-GB"/>
              </w:rPr>
            </w:pPr>
          </w:p>
          <w:p w14:paraId="04A5B9F8" w14:textId="77777777" w:rsidR="003F11D6" w:rsidRPr="001D7384" w:rsidRDefault="003F11D6" w:rsidP="00E12AE0">
            <w:pPr>
              <w:spacing w:after="0"/>
              <w:rPr>
                <w:b/>
                <w:szCs w:val="24"/>
                <w:lang w:val="en-GB"/>
              </w:rPr>
            </w:pPr>
            <w:r w:rsidRPr="001D7384">
              <w:rPr>
                <w:b/>
                <w:szCs w:val="24"/>
                <w:lang w:val="en-GB"/>
              </w:rPr>
              <w:t>Security features</w:t>
            </w:r>
          </w:p>
          <w:p w14:paraId="64DC14AA"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Trusted Platform Module 2, factory enabled with Secure Boot</w:t>
            </w:r>
          </w:p>
          <w:p w14:paraId="6A11B916"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LCD bezel</w:t>
            </w:r>
          </w:p>
          <w:p w14:paraId="44F68072"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Cryptographically signed firmware</w:t>
            </w:r>
          </w:p>
          <w:p w14:paraId="3FAA6E21"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Secure Boot</w:t>
            </w:r>
          </w:p>
          <w:p w14:paraId="084FC43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Silicon Root of Trust</w:t>
            </w:r>
          </w:p>
          <w:p w14:paraId="7727AF8C"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System Lockdown</w:t>
            </w:r>
          </w:p>
          <w:p w14:paraId="48867CD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Management of Data at Rest Encryption keys</w:t>
            </w:r>
          </w:p>
          <w:p w14:paraId="6A6FAB4D"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Secure Erase</w:t>
            </w:r>
          </w:p>
          <w:p w14:paraId="590BA474" w14:textId="77777777" w:rsidR="003F11D6" w:rsidRPr="001D7384" w:rsidRDefault="003F11D6" w:rsidP="00E12AE0">
            <w:pPr>
              <w:spacing w:after="0"/>
              <w:rPr>
                <w:bCs/>
                <w:szCs w:val="24"/>
                <w:lang w:val="en-GB"/>
              </w:rPr>
            </w:pPr>
          </w:p>
          <w:p w14:paraId="2EB0DD2B" w14:textId="77777777" w:rsidR="003F11D6" w:rsidRPr="001D7384" w:rsidRDefault="003F11D6" w:rsidP="00E12AE0">
            <w:pPr>
              <w:spacing w:after="0"/>
              <w:rPr>
                <w:b/>
                <w:szCs w:val="24"/>
                <w:lang w:val="en-GB"/>
              </w:rPr>
            </w:pPr>
            <w:r w:rsidRPr="001D7384">
              <w:rPr>
                <w:b/>
                <w:szCs w:val="24"/>
                <w:lang w:val="en-GB"/>
              </w:rPr>
              <w:t>Embedded Management</w:t>
            </w:r>
          </w:p>
          <w:p w14:paraId="52218B1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Embedded system management controller with own processing power which is FIPS 140-2 Level 1 </w:t>
            </w:r>
            <w:proofErr w:type="gramStart"/>
            <w:r w:rsidRPr="001D7384">
              <w:rPr>
                <w:bCs/>
                <w:szCs w:val="24"/>
                <w:lang w:val="en-GB"/>
              </w:rPr>
              <w:t>certified</w:t>
            </w:r>
            <w:proofErr w:type="gramEnd"/>
            <w:r w:rsidRPr="001D7384">
              <w:rPr>
                <w:bCs/>
                <w:szCs w:val="24"/>
                <w:lang w:val="en-GB"/>
              </w:rPr>
              <w:t xml:space="preserve">  </w:t>
            </w:r>
          </w:p>
          <w:p w14:paraId="6BE1F4B4"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Built-in wireless module for wireless diagnostics over BLE / NFC.  </w:t>
            </w:r>
          </w:p>
          <w:p w14:paraId="56758730"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embedded controller should allow proactive for error alerts on network adapters, memory, internal drives (SAS HDDs and SSDs, </w:t>
            </w:r>
            <w:proofErr w:type="spellStart"/>
            <w:r w:rsidRPr="001D7384">
              <w:rPr>
                <w:bCs/>
                <w:szCs w:val="24"/>
                <w:lang w:val="en-GB"/>
              </w:rPr>
              <w:t>NVMe</w:t>
            </w:r>
            <w:proofErr w:type="spellEnd"/>
            <w:r w:rsidRPr="001D7384">
              <w:rPr>
                <w:bCs/>
                <w:szCs w:val="24"/>
                <w:lang w:val="en-GB"/>
              </w:rPr>
              <w:t xml:space="preserve">), fans, power modules, RAID controllers, Fibre Channel HBAs, ambient server temperature (including graphical displays) on SSD) and other errors.  </w:t>
            </w:r>
          </w:p>
          <w:p w14:paraId="75D0288E"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allow quality control / bandwidth of remote access to the server.  </w:t>
            </w:r>
          </w:p>
          <w:p w14:paraId="4DB0D3E9"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include independent 10/100/100 Mbit Ethernet adapter for real time remote management as well as a dedicated USB port for WSMAN management access at the front side. </w:t>
            </w:r>
          </w:p>
          <w:p w14:paraId="13BE6318"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provide agent-free hardware, </w:t>
            </w:r>
            <w:proofErr w:type="gramStart"/>
            <w:r w:rsidRPr="001D7384">
              <w:rPr>
                <w:bCs/>
                <w:szCs w:val="24"/>
                <w:lang w:val="en-GB"/>
              </w:rPr>
              <w:t>firmware</w:t>
            </w:r>
            <w:proofErr w:type="gramEnd"/>
            <w:r w:rsidRPr="001D7384">
              <w:rPr>
                <w:bCs/>
                <w:szCs w:val="24"/>
                <w:lang w:val="en-GB"/>
              </w:rPr>
              <w:t xml:space="preserve"> and performance monitoring, including </w:t>
            </w:r>
            <w:r w:rsidRPr="001D7384">
              <w:rPr>
                <w:bCs/>
                <w:szCs w:val="24"/>
                <w:lang w:val="en-GB"/>
              </w:rPr>
              <w:lastRenderedPageBreak/>
              <w:t xml:space="preserve">inventory, crash screen / video capture, boot capture, and alerting.  </w:t>
            </w:r>
          </w:p>
          <w:p w14:paraId="09EC5435"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The controller should support the IPMI 2.0 protocol, VNC connectivity with the operating system, include HTML 5 based browser interface, SMASH-CLP, Dynamic DNS, DHCP with Zero Touch functionality, NFS v4 and </w:t>
            </w:r>
            <w:proofErr w:type="spellStart"/>
            <w:r w:rsidRPr="001D7384">
              <w:rPr>
                <w:bCs/>
                <w:szCs w:val="24"/>
                <w:lang w:val="en-GB"/>
              </w:rPr>
              <w:t>WSMan</w:t>
            </w:r>
            <w:proofErr w:type="spellEnd"/>
            <w:r w:rsidRPr="001D7384">
              <w:rPr>
                <w:bCs/>
                <w:szCs w:val="24"/>
                <w:lang w:val="en-GB"/>
              </w:rPr>
              <w:t xml:space="preserve"> support, E-mail alerts, Virtual console (KVM) as well as virtual media attachment.  </w:t>
            </w:r>
          </w:p>
          <w:p w14:paraId="4A67297B"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 xml:space="preserve">Front-facing LCD panel for local management and diagnostics.  </w:t>
            </w:r>
          </w:p>
          <w:p w14:paraId="72AF1E4F" w14:textId="77777777" w:rsidR="003F11D6" w:rsidRPr="001D7384" w:rsidRDefault="003F11D6" w:rsidP="00E12AE0">
            <w:pPr>
              <w:pStyle w:val="ListParagraph"/>
              <w:numPr>
                <w:ilvl w:val="0"/>
                <w:numId w:val="153"/>
              </w:numPr>
              <w:spacing w:after="0"/>
              <w:ind w:left="491" w:hanging="436"/>
              <w:rPr>
                <w:bCs/>
                <w:szCs w:val="24"/>
                <w:lang w:val="en-GB"/>
              </w:rPr>
            </w:pPr>
            <w:r w:rsidRPr="001D7384">
              <w:rPr>
                <w:bCs/>
                <w:szCs w:val="24"/>
                <w:lang w:val="en-GB"/>
              </w:rPr>
              <w:t>Unlimited Virtual Console with HTML5 or VNC.</w:t>
            </w:r>
          </w:p>
          <w:p w14:paraId="432AB99B" w14:textId="77777777" w:rsidR="003F11D6" w:rsidRPr="001D7384" w:rsidRDefault="003F11D6" w:rsidP="00E12AE0">
            <w:pPr>
              <w:spacing w:after="0"/>
              <w:jc w:val="left"/>
              <w:rPr>
                <w:b/>
                <w:szCs w:val="24"/>
                <w:lang w:val="en-GB"/>
              </w:rPr>
            </w:pPr>
          </w:p>
          <w:p w14:paraId="591F415B" w14:textId="77777777" w:rsidR="003F11D6" w:rsidRPr="001D7384" w:rsidRDefault="003F11D6" w:rsidP="00E12AE0">
            <w:pPr>
              <w:spacing w:after="0"/>
              <w:rPr>
                <w:bCs/>
                <w:szCs w:val="24"/>
                <w:lang w:val="en-GB"/>
              </w:rPr>
            </w:pPr>
          </w:p>
        </w:tc>
        <w:tc>
          <w:tcPr>
            <w:tcW w:w="3690" w:type="dxa"/>
          </w:tcPr>
          <w:p w14:paraId="1F1B15EE" w14:textId="77777777" w:rsidR="003F11D6" w:rsidRPr="001D7384" w:rsidRDefault="003F11D6" w:rsidP="00E12AE0">
            <w:pPr>
              <w:spacing w:after="0"/>
              <w:rPr>
                <w:b/>
                <w:szCs w:val="24"/>
                <w:lang w:val="en-GB"/>
              </w:rPr>
            </w:pPr>
          </w:p>
        </w:tc>
      </w:tr>
      <w:tr w:rsidR="003F11D6" w:rsidRPr="00AC5790" w14:paraId="55ACAA44" w14:textId="77777777" w:rsidTr="00416750">
        <w:tc>
          <w:tcPr>
            <w:tcW w:w="1134" w:type="dxa"/>
          </w:tcPr>
          <w:p w14:paraId="4D5366EA" w14:textId="77777777" w:rsidR="003F11D6" w:rsidRPr="001D7384" w:rsidRDefault="003F11D6" w:rsidP="00E12AE0">
            <w:pPr>
              <w:spacing w:after="0"/>
              <w:rPr>
                <w:b/>
                <w:szCs w:val="24"/>
                <w:lang w:val="en-GB"/>
              </w:rPr>
            </w:pPr>
            <w:r w:rsidRPr="001D7384">
              <w:rPr>
                <w:b/>
                <w:szCs w:val="24"/>
                <w:lang w:val="en-GB"/>
              </w:rPr>
              <w:lastRenderedPageBreak/>
              <w:t>1.9</w:t>
            </w:r>
          </w:p>
        </w:tc>
        <w:tc>
          <w:tcPr>
            <w:tcW w:w="4531" w:type="dxa"/>
            <w:vAlign w:val="center"/>
          </w:tcPr>
          <w:p w14:paraId="139FFCE5" w14:textId="77777777" w:rsidR="003F11D6" w:rsidRPr="001D7384" w:rsidRDefault="003F11D6" w:rsidP="00E12AE0">
            <w:pPr>
              <w:spacing w:after="0"/>
              <w:rPr>
                <w:b/>
                <w:szCs w:val="24"/>
                <w:lang w:val="en-GB"/>
              </w:rPr>
            </w:pPr>
            <w:r w:rsidRPr="001D7384">
              <w:rPr>
                <w:b/>
                <w:szCs w:val="24"/>
                <w:lang w:val="en-GB"/>
              </w:rPr>
              <w:t xml:space="preserve">Backup Storage </w:t>
            </w:r>
            <w:proofErr w:type="gramStart"/>
            <w:r w:rsidRPr="001D7384">
              <w:rPr>
                <w:b/>
                <w:szCs w:val="24"/>
                <w:lang w:val="en-GB"/>
              </w:rPr>
              <w:t>-  Qty.</w:t>
            </w:r>
            <w:proofErr w:type="gramEnd"/>
            <w:r w:rsidRPr="001D7384">
              <w:rPr>
                <w:b/>
                <w:szCs w:val="24"/>
                <w:lang w:val="en-GB"/>
              </w:rPr>
              <w:t xml:space="preserve"> 1</w:t>
            </w:r>
          </w:p>
          <w:p w14:paraId="7BB5A784" w14:textId="77777777" w:rsidR="003F11D6" w:rsidRPr="001D7384" w:rsidRDefault="003F11D6" w:rsidP="00E12AE0">
            <w:pPr>
              <w:spacing w:after="0"/>
              <w:rPr>
                <w:b/>
                <w:szCs w:val="24"/>
                <w:lang w:val="en-GB"/>
              </w:rPr>
            </w:pPr>
          </w:p>
          <w:p w14:paraId="02E87A5A" w14:textId="77777777" w:rsidR="003F11D6" w:rsidRPr="001D7384" w:rsidRDefault="003F11D6" w:rsidP="00E12AE0">
            <w:pPr>
              <w:spacing w:after="0"/>
              <w:rPr>
                <w:bCs/>
                <w:szCs w:val="24"/>
                <w:lang w:val="en-GB"/>
              </w:rPr>
            </w:pPr>
            <w:r w:rsidRPr="001D7384">
              <w:rPr>
                <w:bCs/>
                <w:szCs w:val="24"/>
                <w:lang w:val="en-GB"/>
              </w:rPr>
              <w:t>Purpose built data backup storage with built-in data deduplication functionality.</w:t>
            </w:r>
          </w:p>
          <w:p w14:paraId="2BAA8ADD" w14:textId="77777777" w:rsidR="003F11D6" w:rsidRPr="001D7384" w:rsidRDefault="003F11D6" w:rsidP="00E12AE0">
            <w:pPr>
              <w:spacing w:after="0"/>
              <w:rPr>
                <w:bCs/>
                <w:szCs w:val="24"/>
                <w:lang w:val="en-GB"/>
              </w:rPr>
            </w:pPr>
          </w:p>
          <w:p w14:paraId="489E14A8"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Up to 2U rack-mount deduplication storage device for backup data, including rails and other mounting equipment for standard cabinets.</w:t>
            </w:r>
          </w:p>
          <w:p w14:paraId="738B4FBD"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Minimum usable capacity of 16 TB with SAS/NL-SAS disks, protected by RAID technology that enables data availability even in the event of simultaneous failure of at least two disks.</w:t>
            </w:r>
          </w:p>
          <w:p w14:paraId="427EF647"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Includes at least 64 GB of global memory, a minimum of 300 GB of metadata cache memory, and a processor with at least eight cores.</w:t>
            </w:r>
          </w:p>
          <w:p w14:paraId="1BBADBEF"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Includes inline data deduplication. Deduplication should be performed also at the source of the data.</w:t>
            </w:r>
          </w:p>
          <w:p w14:paraId="6A942701"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Supports deduplication of variable blocks and it shall be global.</w:t>
            </w:r>
          </w:p>
          <w:p w14:paraId="50A940A2"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t>Enables global data compression.</w:t>
            </w:r>
          </w:p>
          <w:p w14:paraId="08215694" w14:textId="77777777" w:rsidR="003F11D6" w:rsidRPr="001D7384" w:rsidRDefault="003F11D6" w:rsidP="00E12AE0">
            <w:pPr>
              <w:pStyle w:val="ListParagraph"/>
              <w:numPr>
                <w:ilvl w:val="0"/>
                <w:numId w:val="196"/>
              </w:numPr>
              <w:suppressAutoHyphens/>
              <w:spacing w:after="0"/>
              <w:rPr>
                <w:bCs/>
                <w:szCs w:val="24"/>
                <w:lang w:val="en-GB"/>
              </w:rPr>
            </w:pPr>
            <w:r w:rsidRPr="001D7384">
              <w:rPr>
                <w:bCs/>
                <w:szCs w:val="24"/>
                <w:lang w:val="en-GB"/>
              </w:rPr>
              <w:lastRenderedPageBreak/>
              <w:t>Supports data transfer over LAN with the following protocols: CIFS, NFS v3, NDMP, FTP.</w:t>
            </w:r>
          </w:p>
          <w:p w14:paraId="02032970" w14:textId="77777777" w:rsidR="003F11D6" w:rsidRPr="001D7384" w:rsidRDefault="003F11D6" w:rsidP="00E12AE0">
            <w:pPr>
              <w:spacing w:after="0"/>
              <w:rPr>
                <w:bCs/>
                <w:szCs w:val="24"/>
                <w:lang w:val="en-GB"/>
              </w:rPr>
            </w:pPr>
          </w:p>
          <w:p w14:paraId="4E594D9B" w14:textId="77777777" w:rsidR="003F11D6" w:rsidRPr="001D7384" w:rsidRDefault="003F11D6" w:rsidP="00E12AE0">
            <w:pPr>
              <w:spacing w:after="0"/>
              <w:rPr>
                <w:bCs/>
                <w:szCs w:val="24"/>
                <w:lang w:val="en-GB"/>
              </w:rPr>
            </w:pPr>
            <w:r w:rsidRPr="001D7384">
              <w:rPr>
                <w:bCs/>
                <w:szCs w:val="24"/>
                <w:lang w:val="en-GB"/>
              </w:rPr>
              <w:t>Simultaneous data transfer over SAN/FC (Storage Area Network/Fibre Channel) and LAN must be available, allowing them to operate simultaneously.</w:t>
            </w:r>
          </w:p>
          <w:p w14:paraId="53031BAF" w14:textId="77777777" w:rsidR="003F11D6" w:rsidRPr="001D7384" w:rsidRDefault="003F11D6" w:rsidP="00E12AE0">
            <w:pPr>
              <w:spacing w:after="0"/>
              <w:rPr>
                <w:bCs/>
                <w:szCs w:val="24"/>
                <w:lang w:val="en-GB"/>
              </w:rPr>
            </w:pPr>
          </w:p>
          <w:p w14:paraId="3949FA64" w14:textId="77777777" w:rsidR="003F11D6" w:rsidRPr="001D7384" w:rsidRDefault="003F11D6" w:rsidP="00E12AE0">
            <w:pPr>
              <w:spacing w:after="0"/>
              <w:rPr>
                <w:bCs/>
                <w:szCs w:val="24"/>
                <w:lang w:val="en-GB"/>
              </w:rPr>
            </w:pPr>
            <w:r w:rsidRPr="001D7384">
              <w:rPr>
                <w:bCs/>
                <w:szCs w:val="24"/>
                <w:lang w:val="en-GB"/>
              </w:rPr>
              <w:t>Writes at least 4 TB/h or at least 7 TB/h with client-side deduplication.</w:t>
            </w:r>
          </w:p>
          <w:p w14:paraId="6617A4CB" w14:textId="77777777" w:rsidR="003F11D6" w:rsidRPr="001D7384" w:rsidRDefault="003F11D6" w:rsidP="00E12AE0">
            <w:pPr>
              <w:pStyle w:val="ListParagraph"/>
              <w:numPr>
                <w:ilvl w:val="0"/>
                <w:numId w:val="197"/>
              </w:numPr>
              <w:suppressAutoHyphens/>
              <w:spacing w:after="0"/>
              <w:rPr>
                <w:bCs/>
                <w:szCs w:val="24"/>
                <w:lang w:val="en-GB"/>
              </w:rPr>
            </w:pPr>
            <w:r w:rsidRPr="001D7384">
              <w:rPr>
                <w:bCs/>
                <w:szCs w:val="24"/>
                <w:lang w:val="en-GB"/>
              </w:rPr>
              <w:t>Minimum of 2 redundant power supplies.</w:t>
            </w:r>
          </w:p>
          <w:p w14:paraId="3419F11D" w14:textId="77777777" w:rsidR="003F11D6" w:rsidRPr="001D7384" w:rsidRDefault="003F11D6" w:rsidP="00E12AE0">
            <w:pPr>
              <w:pStyle w:val="ListParagraph"/>
              <w:numPr>
                <w:ilvl w:val="0"/>
                <w:numId w:val="197"/>
              </w:numPr>
              <w:suppressAutoHyphens/>
              <w:spacing w:after="0"/>
              <w:rPr>
                <w:bCs/>
                <w:szCs w:val="24"/>
                <w:lang w:val="en-GB"/>
              </w:rPr>
            </w:pPr>
            <w:r w:rsidRPr="001D7384">
              <w:rPr>
                <w:bCs/>
                <w:szCs w:val="24"/>
                <w:lang w:val="en-GB"/>
              </w:rPr>
              <w:t xml:space="preserve">Minimum of 4 x 10 GbE Ethernet LAN ports with the possibility of aggregation, usable for NAS, SFTP and SMB client </w:t>
            </w:r>
            <w:proofErr w:type="gramStart"/>
            <w:r w:rsidRPr="001D7384">
              <w:rPr>
                <w:bCs/>
                <w:szCs w:val="24"/>
                <w:lang w:val="en-GB"/>
              </w:rPr>
              <w:t>access;</w:t>
            </w:r>
            <w:proofErr w:type="gramEnd"/>
            <w:r w:rsidRPr="001D7384">
              <w:rPr>
                <w:bCs/>
                <w:szCs w:val="24"/>
                <w:lang w:val="en-GB"/>
              </w:rPr>
              <w:t xml:space="preserve"> </w:t>
            </w:r>
          </w:p>
          <w:p w14:paraId="6243B88E" w14:textId="77777777" w:rsidR="003F11D6" w:rsidRPr="001D7384" w:rsidRDefault="003F11D6" w:rsidP="00E12AE0">
            <w:pPr>
              <w:pStyle w:val="ListParagraph"/>
              <w:numPr>
                <w:ilvl w:val="0"/>
                <w:numId w:val="197"/>
              </w:numPr>
              <w:suppressAutoHyphens/>
              <w:spacing w:after="0"/>
              <w:rPr>
                <w:bCs/>
                <w:szCs w:val="24"/>
                <w:lang w:val="en-GB"/>
              </w:rPr>
            </w:pPr>
            <w:r w:rsidRPr="001D7384">
              <w:rPr>
                <w:bCs/>
                <w:szCs w:val="24"/>
                <w:lang w:val="en-GB"/>
              </w:rPr>
              <w:t>Minimum of 1 x Quad Port 16 Gb Fiber Channel HBA adapter for VTL connectivity and access.</w:t>
            </w:r>
          </w:p>
          <w:p w14:paraId="5B0C0350" w14:textId="77777777" w:rsidR="003F11D6" w:rsidRPr="001D7384" w:rsidRDefault="003F11D6" w:rsidP="00E12AE0">
            <w:pPr>
              <w:spacing w:after="0"/>
              <w:rPr>
                <w:bCs/>
                <w:szCs w:val="24"/>
                <w:lang w:val="en-GB"/>
              </w:rPr>
            </w:pPr>
          </w:p>
          <w:p w14:paraId="76E80B32" w14:textId="77777777" w:rsidR="003F11D6" w:rsidRPr="001D7384" w:rsidRDefault="003F11D6" w:rsidP="00E12AE0">
            <w:pPr>
              <w:spacing w:after="0"/>
              <w:rPr>
                <w:bCs/>
                <w:szCs w:val="24"/>
                <w:lang w:val="en-GB"/>
              </w:rPr>
            </w:pPr>
            <w:r w:rsidRPr="001D7384">
              <w:rPr>
                <w:bCs/>
                <w:szCs w:val="24"/>
                <w:lang w:val="en-GB"/>
              </w:rPr>
              <w:t>Includes a separate Ethernet LAN port for remote management via HTTPS graphic console.</w:t>
            </w:r>
          </w:p>
          <w:p w14:paraId="3F027606" w14:textId="77777777" w:rsidR="003F11D6" w:rsidRPr="001D7384" w:rsidRDefault="003F11D6" w:rsidP="00E12AE0">
            <w:pPr>
              <w:spacing w:after="0"/>
              <w:rPr>
                <w:bCs/>
                <w:szCs w:val="24"/>
                <w:lang w:val="en-GB"/>
              </w:rPr>
            </w:pPr>
            <w:r w:rsidRPr="001D7384">
              <w:rPr>
                <w:bCs/>
                <w:szCs w:val="24"/>
                <w:lang w:val="en-GB"/>
              </w:rPr>
              <w:t>Includes local LED diagnostics on the front of the device.</w:t>
            </w:r>
          </w:p>
          <w:p w14:paraId="5C769D91" w14:textId="77777777" w:rsidR="003F11D6" w:rsidRPr="001D7384" w:rsidRDefault="003F11D6" w:rsidP="00E12AE0">
            <w:pPr>
              <w:spacing w:after="0"/>
              <w:rPr>
                <w:bCs/>
                <w:szCs w:val="24"/>
                <w:lang w:val="en-GB"/>
              </w:rPr>
            </w:pPr>
            <w:r w:rsidRPr="001D7384">
              <w:rPr>
                <w:bCs/>
                <w:szCs w:val="24"/>
                <w:lang w:val="en-GB"/>
              </w:rPr>
              <w:t>Includes direct local management USB port on the front of the device.</w:t>
            </w:r>
          </w:p>
          <w:p w14:paraId="4D87B844" w14:textId="77777777" w:rsidR="003F11D6" w:rsidRPr="001D7384" w:rsidRDefault="003F11D6" w:rsidP="00E12AE0">
            <w:pPr>
              <w:spacing w:after="0"/>
              <w:rPr>
                <w:bCs/>
                <w:szCs w:val="24"/>
                <w:lang w:val="en-GB"/>
              </w:rPr>
            </w:pPr>
            <w:r w:rsidRPr="001D7384">
              <w:rPr>
                <w:bCs/>
                <w:szCs w:val="24"/>
                <w:lang w:val="en-GB"/>
              </w:rPr>
              <w:t>All necessary cables for normal system operation should be provided at a minimum speed of 10 Gbps.</w:t>
            </w:r>
          </w:p>
          <w:p w14:paraId="6AB4D474" w14:textId="77777777" w:rsidR="003F11D6" w:rsidRPr="001D7384" w:rsidRDefault="003F11D6" w:rsidP="00E12AE0">
            <w:pPr>
              <w:spacing w:after="0"/>
              <w:rPr>
                <w:bCs/>
                <w:szCs w:val="24"/>
                <w:lang w:val="en-GB"/>
              </w:rPr>
            </w:pPr>
          </w:p>
          <w:p w14:paraId="3647587B" w14:textId="77777777" w:rsidR="003F11D6" w:rsidRPr="001D7384" w:rsidRDefault="003F11D6" w:rsidP="00E12AE0">
            <w:pPr>
              <w:spacing w:after="0"/>
              <w:rPr>
                <w:bCs/>
                <w:szCs w:val="24"/>
                <w:lang w:val="en-GB"/>
              </w:rPr>
            </w:pPr>
            <w:r w:rsidRPr="001D7384">
              <w:rPr>
                <w:bCs/>
                <w:szCs w:val="24"/>
                <w:lang w:val="en-GB"/>
              </w:rPr>
              <w:t>Highly available and hot-pluggable power supply modules included, sufficient for full system configuration.</w:t>
            </w:r>
          </w:p>
          <w:p w14:paraId="6A1A4790" w14:textId="77777777" w:rsidR="003F11D6" w:rsidRPr="001D7384" w:rsidRDefault="003F11D6" w:rsidP="00E12AE0">
            <w:pPr>
              <w:spacing w:after="0"/>
              <w:rPr>
                <w:bCs/>
                <w:szCs w:val="24"/>
                <w:lang w:val="en-GB"/>
              </w:rPr>
            </w:pPr>
            <w:r w:rsidRPr="001D7384">
              <w:rPr>
                <w:bCs/>
                <w:szCs w:val="24"/>
                <w:lang w:val="en-GB"/>
              </w:rPr>
              <w:t>Included power cables from standard PDU – C13/C14 (or equivalent).</w:t>
            </w:r>
          </w:p>
          <w:p w14:paraId="0D385A33" w14:textId="77777777" w:rsidR="003F11D6" w:rsidRPr="001D7384" w:rsidRDefault="003F11D6" w:rsidP="00E12AE0">
            <w:pPr>
              <w:spacing w:after="0"/>
              <w:rPr>
                <w:b/>
                <w:szCs w:val="24"/>
                <w:lang w:val="en-GB"/>
              </w:rPr>
            </w:pPr>
          </w:p>
        </w:tc>
        <w:tc>
          <w:tcPr>
            <w:tcW w:w="3690" w:type="dxa"/>
          </w:tcPr>
          <w:p w14:paraId="45E905CF" w14:textId="77777777" w:rsidR="003F11D6" w:rsidRPr="001D7384" w:rsidRDefault="003F11D6" w:rsidP="00E12AE0">
            <w:pPr>
              <w:spacing w:after="0"/>
              <w:rPr>
                <w:b/>
                <w:szCs w:val="24"/>
                <w:lang w:val="en-GB"/>
              </w:rPr>
            </w:pPr>
          </w:p>
        </w:tc>
      </w:tr>
      <w:tr w:rsidR="003F11D6" w:rsidRPr="00AC5790" w14:paraId="32A65123" w14:textId="77777777" w:rsidTr="00416750">
        <w:tc>
          <w:tcPr>
            <w:tcW w:w="1134" w:type="dxa"/>
          </w:tcPr>
          <w:p w14:paraId="5C0CC3D9" w14:textId="77777777" w:rsidR="003F11D6" w:rsidRPr="001D7384" w:rsidRDefault="003F11D6" w:rsidP="00E12AE0">
            <w:pPr>
              <w:spacing w:after="0"/>
              <w:rPr>
                <w:b/>
                <w:szCs w:val="24"/>
                <w:lang w:val="en-GB"/>
              </w:rPr>
            </w:pPr>
            <w:r w:rsidRPr="001D7384">
              <w:rPr>
                <w:b/>
                <w:szCs w:val="24"/>
                <w:lang w:val="en-GB"/>
              </w:rPr>
              <w:t>1.10</w:t>
            </w:r>
          </w:p>
        </w:tc>
        <w:tc>
          <w:tcPr>
            <w:tcW w:w="4531" w:type="dxa"/>
            <w:vAlign w:val="center"/>
          </w:tcPr>
          <w:p w14:paraId="70C2512B" w14:textId="77777777" w:rsidR="003F11D6" w:rsidRPr="001D7384" w:rsidRDefault="003F11D6" w:rsidP="00E12AE0">
            <w:pPr>
              <w:spacing w:after="0"/>
              <w:rPr>
                <w:b/>
                <w:szCs w:val="24"/>
                <w:lang w:val="en-GB"/>
              </w:rPr>
            </w:pPr>
            <w:r w:rsidRPr="001D7384">
              <w:rPr>
                <w:b/>
                <w:szCs w:val="24"/>
                <w:lang w:val="en-GB"/>
              </w:rPr>
              <w:t>Backup software                      Qty. 1</w:t>
            </w:r>
          </w:p>
          <w:p w14:paraId="69B0C9B1" w14:textId="77777777" w:rsidR="003F11D6" w:rsidRPr="001D7384" w:rsidRDefault="003F11D6" w:rsidP="00E12AE0">
            <w:pPr>
              <w:spacing w:after="0"/>
              <w:rPr>
                <w:bCs/>
                <w:szCs w:val="24"/>
                <w:lang w:val="en-GB"/>
              </w:rPr>
            </w:pPr>
          </w:p>
          <w:p w14:paraId="3E367ADF"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Backup software should protect all virtual machines that reside on the Hypervisor Cluster referenced in item 1.5 (total 8 hypervisor sockets)</w:t>
            </w:r>
          </w:p>
          <w:p w14:paraId="4B14823F"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lastRenderedPageBreak/>
              <w:t>The offered solution must have a system for monitoring the virtual and backup environment, sending alarms and alerts to system administrators and the ability to generate reports, predefined or created by users.</w:t>
            </w:r>
          </w:p>
          <w:p w14:paraId="6CD57E6E"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Support for backup and restores of data from disk, LTO tapes and cloud.</w:t>
            </w:r>
          </w:p>
          <w:p w14:paraId="6622563F" w14:textId="748B1B5E" w:rsidR="003F11D6" w:rsidRPr="00E91689" w:rsidRDefault="003F11D6" w:rsidP="00F16FC9">
            <w:pPr>
              <w:pStyle w:val="ListParagraph"/>
              <w:numPr>
                <w:ilvl w:val="0"/>
                <w:numId w:val="154"/>
              </w:numPr>
              <w:spacing w:after="0"/>
              <w:ind w:left="483" w:hanging="436"/>
              <w:rPr>
                <w:bCs/>
                <w:szCs w:val="24"/>
                <w:lang w:val="en-GB"/>
              </w:rPr>
            </w:pPr>
            <w:r w:rsidRPr="00E91689">
              <w:rPr>
                <w:bCs/>
                <w:szCs w:val="24"/>
                <w:lang w:val="en-GB"/>
              </w:rPr>
              <w:t>Supported physical platforms</w:t>
            </w:r>
            <w:r w:rsidRPr="00E91689">
              <w:rPr>
                <w:bCs/>
                <w:szCs w:val="24"/>
                <w:lang w:val="mk-MK"/>
              </w:rPr>
              <w:t xml:space="preserve"> </w:t>
            </w:r>
            <w:r w:rsidRPr="00E91689">
              <w:rPr>
                <w:bCs/>
                <w:szCs w:val="24"/>
              </w:rPr>
              <w:t>refer to the most   common underlying operating systems.</w:t>
            </w:r>
            <w:r w:rsidRPr="00E91689">
              <w:rPr>
                <w:bCs/>
                <w:szCs w:val="24"/>
                <w:lang w:val="en-GB"/>
              </w:rPr>
              <w:t xml:space="preserve"> </w:t>
            </w:r>
          </w:p>
          <w:p w14:paraId="4E5391F1" w14:textId="77777777" w:rsidR="003F11D6" w:rsidRPr="001D7384" w:rsidRDefault="003F11D6" w:rsidP="00E12AE0">
            <w:pPr>
              <w:spacing w:after="0"/>
              <w:rPr>
                <w:bCs/>
                <w:szCs w:val="24"/>
                <w:lang w:val="en-GB"/>
              </w:rPr>
            </w:pPr>
            <w:r w:rsidRPr="001D7384">
              <w:rPr>
                <w:bCs/>
                <w:szCs w:val="24"/>
                <w:lang w:val="en-GB"/>
              </w:rPr>
              <w:t>Recovery from backup:</w:t>
            </w:r>
          </w:p>
          <w:p w14:paraId="7712A955" w14:textId="3A226A91"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Recovery of full virtual machine, fast recovery only on changed data. Recovery of data’s Active Directory into email’s, Active Directory </w:t>
            </w:r>
            <w:proofErr w:type="gramStart"/>
            <w:r w:rsidRPr="001D7384">
              <w:rPr>
                <w:bCs/>
                <w:szCs w:val="24"/>
                <w:lang w:val="en-GB"/>
              </w:rPr>
              <w:t>data’s</w:t>
            </w:r>
            <w:proofErr w:type="gramEnd"/>
            <w:r w:rsidRPr="001D7384">
              <w:rPr>
                <w:bCs/>
                <w:szCs w:val="24"/>
                <w:lang w:val="en-GB"/>
              </w:rPr>
              <w:t xml:space="preserve"> and SQL tables</w:t>
            </w:r>
            <w:r w:rsidR="00E91689">
              <w:rPr>
                <w:bCs/>
                <w:szCs w:val="24"/>
                <w:lang w:val="en-GB"/>
              </w:rPr>
              <w:t>.</w:t>
            </w:r>
            <w:r w:rsidRPr="001D7384">
              <w:rPr>
                <w:bCs/>
                <w:szCs w:val="24"/>
                <w:lang w:val="en-GB"/>
              </w:rPr>
              <w:t xml:space="preserve">  </w:t>
            </w:r>
          </w:p>
          <w:p w14:paraId="21F71977" w14:textId="0E8BEBBF"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Direct recovery of data from virtual or physical servers into any of </w:t>
            </w:r>
            <w:r w:rsidRPr="001D7384">
              <w:rPr>
                <w:color w:val="0D0D0D"/>
                <w:shd w:val="clear" w:color="auto" w:fill="FFFFFF"/>
              </w:rPr>
              <w:t>powerful cloud computing platforms that offer a wide range of services to support various use cases, from hosting websites and applications to running big data analytics and machine learning workloads</w:t>
            </w:r>
            <w:r w:rsidR="00E91689">
              <w:rPr>
                <w:color w:val="0D0D0D"/>
                <w:shd w:val="clear" w:color="auto" w:fill="FFFFFF"/>
              </w:rPr>
              <w:t>.</w:t>
            </w:r>
            <w:r w:rsidRPr="001D7384">
              <w:rPr>
                <w:bCs/>
                <w:szCs w:val="24"/>
                <w:lang w:val="en-GB"/>
              </w:rPr>
              <w:t xml:space="preserve">  </w:t>
            </w:r>
          </w:p>
          <w:p w14:paraId="1F98C02D"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Minimum protection function of range of applications, databases, and platforms, including cloud with backup to cloud, backup in cloud storage, long term retention and cloud disaster recovery.</w:t>
            </w:r>
          </w:p>
          <w:p w14:paraId="42113EF0"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Minimum options for consistent data protection across virtual machines, cloud native applications and containers.</w:t>
            </w:r>
          </w:p>
          <w:p w14:paraId="2AA846B2"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NAS backup: Backup of NAS Filers over NDMP protocols</w:t>
            </w:r>
          </w:p>
          <w:p w14:paraId="14ACD569"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Minimum options for quickly and easy recovery from </w:t>
            </w:r>
            <w:proofErr w:type="spellStart"/>
            <w:r w:rsidRPr="001D7384">
              <w:rPr>
                <w:bCs/>
                <w:szCs w:val="24"/>
                <w:lang w:val="en-GB"/>
              </w:rPr>
              <w:t>cyber attacks</w:t>
            </w:r>
            <w:proofErr w:type="spellEnd"/>
            <w:r w:rsidRPr="001D7384">
              <w:rPr>
                <w:bCs/>
                <w:szCs w:val="24"/>
                <w:lang w:val="en-GB"/>
              </w:rPr>
              <w:t>.</w:t>
            </w:r>
          </w:p>
          <w:p w14:paraId="4583E035"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Minimum data protection to the cloud with disaster recovery, long-term retention, and protect cloud native </w:t>
            </w:r>
            <w:r w:rsidRPr="001D7384">
              <w:rPr>
                <w:bCs/>
                <w:szCs w:val="24"/>
                <w:lang w:val="en-GB"/>
              </w:rPr>
              <w:lastRenderedPageBreak/>
              <w:t>workloads across single or multiple cloud environments.</w:t>
            </w:r>
          </w:p>
          <w:p w14:paraId="6F3D1A88"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Deduplication and compression of backups and swap spaces </w:t>
            </w:r>
          </w:p>
          <w:p w14:paraId="41CAB0F5" w14:textId="7A6AC41F" w:rsidR="003F11D6" w:rsidRPr="00E91689" w:rsidRDefault="003F11D6" w:rsidP="00E20014">
            <w:pPr>
              <w:pStyle w:val="ListParagraph"/>
              <w:numPr>
                <w:ilvl w:val="0"/>
                <w:numId w:val="154"/>
              </w:numPr>
              <w:spacing w:after="0"/>
              <w:ind w:left="483" w:hanging="436"/>
              <w:rPr>
                <w:bCs/>
                <w:szCs w:val="24"/>
                <w:lang w:val="en-GB"/>
              </w:rPr>
            </w:pPr>
            <w:r w:rsidRPr="00E91689">
              <w:rPr>
                <w:bCs/>
                <w:szCs w:val="24"/>
                <w:lang w:val="en-GB"/>
              </w:rPr>
              <w:t>Minimum designed to support multiple hypervisors that that allow virtualization platforms used to create and manage virtual machines (VMs) on physical hardware. Provide synchronous or asynchronous replication policies.</w:t>
            </w:r>
          </w:p>
          <w:p w14:paraId="17F37622"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Minimum function for monitoring, </w:t>
            </w:r>
            <w:proofErr w:type="gramStart"/>
            <w:r w:rsidRPr="001D7384">
              <w:rPr>
                <w:bCs/>
                <w:szCs w:val="24"/>
                <w:lang w:val="en-GB"/>
              </w:rPr>
              <w:t>alerting</w:t>
            </w:r>
            <w:proofErr w:type="gramEnd"/>
            <w:r w:rsidRPr="001D7384">
              <w:rPr>
                <w:bCs/>
                <w:szCs w:val="24"/>
                <w:lang w:val="en-GB"/>
              </w:rPr>
              <w:t xml:space="preserve"> and reporting.</w:t>
            </w:r>
          </w:p>
          <w:p w14:paraId="7207A2A2" w14:textId="77777777" w:rsidR="003F11D6" w:rsidRPr="001D7384" w:rsidRDefault="003F11D6" w:rsidP="00E12AE0">
            <w:pPr>
              <w:pStyle w:val="ListParagraph"/>
              <w:numPr>
                <w:ilvl w:val="0"/>
                <w:numId w:val="154"/>
              </w:numPr>
              <w:spacing w:after="0"/>
              <w:ind w:left="483" w:hanging="436"/>
              <w:rPr>
                <w:bCs/>
                <w:szCs w:val="24"/>
                <w:lang w:val="en-GB"/>
              </w:rPr>
            </w:pPr>
            <w:r w:rsidRPr="001D7384">
              <w:rPr>
                <w:bCs/>
                <w:szCs w:val="24"/>
                <w:lang w:val="en-GB"/>
              </w:rPr>
              <w:t xml:space="preserve">Minimum indication of potential cyber-attacks, proactive </w:t>
            </w:r>
            <w:proofErr w:type="gramStart"/>
            <w:r w:rsidRPr="001D7384">
              <w:rPr>
                <w:bCs/>
                <w:szCs w:val="24"/>
                <w:lang w:val="en-GB"/>
              </w:rPr>
              <w:t>analysis</w:t>
            </w:r>
            <w:proofErr w:type="gramEnd"/>
            <w:r w:rsidRPr="001D7384">
              <w:rPr>
                <w:bCs/>
                <w:szCs w:val="24"/>
                <w:lang w:val="en-GB"/>
              </w:rPr>
              <w:t xml:space="preserve"> and data protection</w:t>
            </w:r>
          </w:p>
        </w:tc>
        <w:tc>
          <w:tcPr>
            <w:tcW w:w="3690" w:type="dxa"/>
          </w:tcPr>
          <w:p w14:paraId="29F7081B" w14:textId="77777777" w:rsidR="003F11D6" w:rsidRPr="001D7384" w:rsidRDefault="003F11D6" w:rsidP="00E12AE0">
            <w:pPr>
              <w:spacing w:after="0"/>
              <w:rPr>
                <w:b/>
                <w:szCs w:val="24"/>
                <w:lang w:val="en-GB"/>
              </w:rPr>
            </w:pPr>
          </w:p>
        </w:tc>
      </w:tr>
      <w:tr w:rsidR="003F11D6" w:rsidRPr="00AC5790" w14:paraId="2E2E2F1F" w14:textId="77777777" w:rsidTr="00416750">
        <w:trPr>
          <w:trHeight w:val="8540"/>
        </w:trPr>
        <w:tc>
          <w:tcPr>
            <w:tcW w:w="1134" w:type="dxa"/>
          </w:tcPr>
          <w:p w14:paraId="318367A9" w14:textId="77777777" w:rsidR="003F11D6" w:rsidRPr="001D7384" w:rsidRDefault="003F11D6" w:rsidP="00E12AE0">
            <w:pPr>
              <w:spacing w:after="0"/>
              <w:rPr>
                <w:b/>
                <w:szCs w:val="24"/>
                <w:lang w:val="en-GB"/>
              </w:rPr>
            </w:pPr>
            <w:r w:rsidRPr="001D7384">
              <w:rPr>
                <w:b/>
                <w:szCs w:val="24"/>
                <w:lang w:val="en-GB"/>
              </w:rPr>
              <w:lastRenderedPageBreak/>
              <w:t>1.11</w:t>
            </w:r>
          </w:p>
        </w:tc>
        <w:tc>
          <w:tcPr>
            <w:tcW w:w="4531" w:type="dxa"/>
            <w:vAlign w:val="center"/>
          </w:tcPr>
          <w:p w14:paraId="192C7DDD" w14:textId="77777777" w:rsidR="003F11D6" w:rsidRPr="001D7384" w:rsidRDefault="003F11D6" w:rsidP="00E12AE0">
            <w:pPr>
              <w:spacing w:after="0"/>
              <w:rPr>
                <w:b/>
                <w:szCs w:val="24"/>
                <w:lang w:val="en-GB"/>
              </w:rPr>
            </w:pPr>
            <w:r w:rsidRPr="001D7384">
              <w:rPr>
                <w:b/>
                <w:szCs w:val="24"/>
                <w:lang w:val="en-GB"/>
              </w:rPr>
              <w:t>WAN Security Devices</w:t>
            </w:r>
          </w:p>
          <w:p w14:paraId="5AE534FD" w14:textId="77777777" w:rsidR="003F11D6" w:rsidRPr="001D7384" w:rsidRDefault="003F11D6" w:rsidP="00E12AE0">
            <w:pPr>
              <w:spacing w:after="0"/>
              <w:rPr>
                <w:bCs/>
                <w:szCs w:val="24"/>
                <w:lang w:val="en-GB"/>
              </w:rPr>
            </w:pPr>
          </w:p>
          <w:p w14:paraId="262EC679" w14:textId="77777777" w:rsidR="003F11D6" w:rsidRPr="001D7384" w:rsidRDefault="003F11D6" w:rsidP="00E12AE0">
            <w:pPr>
              <w:spacing w:after="0"/>
              <w:rPr>
                <w:bCs/>
                <w:szCs w:val="24"/>
                <w:lang w:val="en-GB"/>
              </w:rPr>
            </w:pPr>
          </w:p>
          <w:p w14:paraId="6B80CD65" w14:textId="77777777" w:rsidR="003F11D6" w:rsidRPr="001D7384" w:rsidRDefault="003F11D6" w:rsidP="00E12AE0">
            <w:pPr>
              <w:spacing w:after="0"/>
              <w:rPr>
                <w:bCs/>
                <w:szCs w:val="24"/>
                <w:lang w:val="en-GB"/>
              </w:rPr>
            </w:pPr>
            <w:r w:rsidRPr="001D7384">
              <w:rPr>
                <w:bCs/>
                <w:szCs w:val="24"/>
                <w:lang w:val="en-GB"/>
              </w:rPr>
              <w:t xml:space="preserve">WAN (internet facing) Firewalls for Zero Trust Network Access Framework– Qty: 2 + </w:t>
            </w:r>
            <w:proofErr w:type="gramStart"/>
            <w:r w:rsidRPr="001D7384">
              <w:rPr>
                <w:bCs/>
                <w:szCs w:val="24"/>
                <w:lang w:val="en-GB"/>
              </w:rPr>
              <w:t>1</w:t>
            </w:r>
            <w:proofErr w:type="gramEnd"/>
          </w:p>
          <w:p w14:paraId="475499CC" w14:textId="77777777" w:rsidR="003F11D6" w:rsidRPr="001D7384" w:rsidRDefault="003F11D6" w:rsidP="00E12AE0">
            <w:pPr>
              <w:spacing w:after="0"/>
              <w:rPr>
                <w:bCs/>
                <w:szCs w:val="24"/>
                <w:lang w:val="en-GB"/>
              </w:rPr>
            </w:pPr>
          </w:p>
          <w:p w14:paraId="139CF590" w14:textId="77777777" w:rsidR="003F11D6" w:rsidRPr="001D7384" w:rsidRDefault="003F11D6" w:rsidP="00E12AE0">
            <w:pPr>
              <w:pStyle w:val="ListParagraph"/>
              <w:numPr>
                <w:ilvl w:val="0"/>
                <w:numId w:val="191"/>
              </w:numPr>
              <w:suppressAutoHyphens/>
              <w:spacing w:after="0"/>
              <w:rPr>
                <w:bCs/>
                <w:szCs w:val="24"/>
                <w:lang w:val="en-GB"/>
              </w:rPr>
            </w:pPr>
            <w:r w:rsidRPr="001D7384">
              <w:rPr>
                <w:bCs/>
                <w:szCs w:val="24"/>
                <w:lang w:val="en-GB"/>
              </w:rPr>
              <w:t>Next Generation IP level protection system against external cyber-attacks for the NSW network and the system management platforms.</w:t>
            </w:r>
          </w:p>
          <w:p w14:paraId="07854F9C" w14:textId="77777777" w:rsidR="003F11D6" w:rsidRPr="001D7384" w:rsidRDefault="003F11D6" w:rsidP="00E12AE0">
            <w:pPr>
              <w:pStyle w:val="ListParagraph"/>
              <w:numPr>
                <w:ilvl w:val="0"/>
                <w:numId w:val="191"/>
              </w:numPr>
              <w:suppressAutoHyphens/>
              <w:spacing w:after="0"/>
              <w:rPr>
                <w:bCs/>
                <w:szCs w:val="24"/>
                <w:lang w:val="en-GB"/>
              </w:rPr>
            </w:pPr>
            <w:r w:rsidRPr="001D7384">
              <w:rPr>
                <w:bCs/>
                <w:szCs w:val="24"/>
                <w:lang w:val="en-GB"/>
              </w:rPr>
              <w:t>The solution must be fully redundant.</w:t>
            </w:r>
          </w:p>
          <w:p w14:paraId="204BD34A" w14:textId="77777777" w:rsidR="003F11D6" w:rsidRPr="001D7384" w:rsidRDefault="003F11D6" w:rsidP="00E12AE0">
            <w:pPr>
              <w:pStyle w:val="ListParagraph"/>
              <w:numPr>
                <w:ilvl w:val="0"/>
                <w:numId w:val="191"/>
              </w:numPr>
              <w:suppressAutoHyphens/>
              <w:spacing w:after="0"/>
              <w:rPr>
                <w:bCs/>
                <w:szCs w:val="24"/>
                <w:lang w:val="en-GB"/>
              </w:rPr>
            </w:pPr>
            <w:r w:rsidRPr="001D7384">
              <w:rPr>
                <w:bCs/>
                <w:szCs w:val="24"/>
                <w:lang w:val="en-GB"/>
              </w:rPr>
              <w:t>The solution must include machine learning (AI) malware detection functionality.</w:t>
            </w:r>
          </w:p>
          <w:p w14:paraId="17F57987" w14:textId="77777777" w:rsidR="003F11D6" w:rsidRPr="001D7384" w:rsidRDefault="003F11D6" w:rsidP="00E12AE0">
            <w:pPr>
              <w:pStyle w:val="ListParagraph"/>
              <w:numPr>
                <w:ilvl w:val="0"/>
                <w:numId w:val="191"/>
              </w:numPr>
              <w:suppressAutoHyphens/>
              <w:spacing w:after="0"/>
              <w:rPr>
                <w:bCs/>
                <w:szCs w:val="24"/>
                <w:lang w:val="en-GB"/>
              </w:rPr>
            </w:pPr>
            <w:r w:rsidRPr="001D7384">
              <w:rPr>
                <w:bCs/>
                <w:szCs w:val="24"/>
                <w:lang w:val="en-GB"/>
              </w:rPr>
              <w:t>The solution must include a stream-based anti-virus scanning functionality.</w:t>
            </w:r>
          </w:p>
          <w:p w14:paraId="3F43F9FF" w14:textId="77777777" w:rsidR="003F11D6" w:rsidRPr="001D7384" w:rsidRDefault="003F11D6" w:rsidP="00E12AE0">
            <w:pPr>
              <w:pStyle w:val="ListParagraph"/>
              <w:numPr>
                <w:ilvl w:val="0"/>
                <w:numId w:val="191"/>
              </w:numPr>
              <w:suppressAutoHyphens/>
              <w:spacing w:after="0"/>
              <w:rPr>
                <w:bCs/>
                <w:szCs w:val="24"/>
                <w:lang w:val="en-GB"/>
              </w:rPr>
            </w:pPr>
            <w:r w:rsidRPr="001D7384">
              <w:rPr>
                <w:bCs/>
                <w:szCs w:val="24"/>
                <w:lang w:val="en-GB"/>
              </w:rPr>
              <w:t>The solution must include zero-day attack protection anti-virus engine, which integrates into the regular anti-virus scanning of Windows Portable Executables (PEs) of the system.</w:t>
            </w:r>
          </w:p>
          <w:p w14:paraId="2DDA9031" w14:textId="77777777" w:rsidR="003F11D6" w:rsidRPr="001D7384" w:rsidRDefault="003F11D6" w:rsidP="00E12AE0">
            <w:pPr>
              <w:spacing w:after="0"/>
              <w:rPr>
                <w:bCs/>
                <w:szCs w:val="24"/>
                <w:lang w:val="en-GB"/>
              </w:rPr>
            </w:pPr>
            <w:r w:rsidRPr="001D7384">
              <w:rPr>
                <w:bCs/>
                <w:szCs w:val="24"/>
                <w:lang w:val="en-GB"/>
              </w:rPr>
              <w:t>All remote access to the NSW platforms must be configured exclusively over dual stack IPv4 and IPv6 SSL VPN connectivity, with Zero Trust Network Access (ZTNA) HTTPS access proxy.</w:t>
            </w:r>
          </w:p>
          <w:p w14:paraId="34DA7880" w14:textId="77777777" w:rsidR="003F11D6" w:rsidRPr="001D7384" w:rsidRDefault="003F11D6" w:rsidP="00E12AE0">
            <w:pPr>
              <w:spacing w:after="0"/>
              <w:rPr>
                <w:bCs/>
                <w:szCs w:val="24"/>
                <w:lang w:val="en-GB"/>
              </w:rPr>
            </w:pPr>
            <w:r w:rsidRPr="001D7384">
              <w:rPr>
                <w:bCs/>
                <w:szCs w:val="24"/>
                <w:lang w:val="en-GB"/>
              </w:rPr>
              <w:t xml:space="preserve">The NSW network platforms must </w:t>
            </w:r>
            <w:proofErr w:type="gramStart"/>
            <w:r w:rsidRPr="001D7384">
              <w:rPr>
                <w:bCs/>
                <w:szCs w:val="24"/>
                <w:lang w:val="en-GB"/>
              </w:rPr>
              <w:t>be located in</w:t>
            </w:r>
            <w:proofErr w:type="gramEnd"/>
            <w:r w:rsidRPr="001D7384">
              <w:rPr>
                <w:bCs/>
                <w:szCs w:val="24"/>
                <w:lang w:val="en-GB"/>
              </w:rPr>
              <w:t xml:space="preserve"> isolated network domains behind the cyber security system.</w:t>
            </w:r>
          </w:p>
          <w:p w14:paraId="3C4D9207" w14:textId="77777777" w:rsidR="003F11D6" w:rsidRPr="001D7384" w:rsidRDefault="003F11D6" w:rsidP="00E12AE0">
            <w:pPr>
              <w:spacing w:after="0"/>
              <w:rPr>
                <w:bCs/>
                <w:szCs w:val="24"/>
                <w:lang w:val="en-GB"/>
              </w:rPr>
            </w:pPr>
            <w:r w:rsidRPr="001D7384">
              <w:rPr>
                <w:bCs/>
                <w:szCs w:val="24"/>
                <w:lang w:val="en-GB"/>
              </w:rPr>
              <w:t xml:space="preserve">The cyber security protection system should consist of hardware and appropriate licenses including installation and configuration of the network system.  </w:t>
            </w:r>
          </w:p>
          <w:p w14:paraId="06E7F3FB" w14:textId="77777777" w:rsidR="003F11D6" w:rsidRPr="001D7384" w:rsidRDefault="003F11D6" w:rsidP="00E12AE0">
            <w:pPr>
              <w:spacing w:after="0"/>
              <w:rPr>
                <w:bCs/>
                <w:szCs w:val="24"/>
                <w:lang w:val="en-GB"/>
              </w:rPr>
            </w:pPr>
          </w:p>
          <w:p w14:paraId="0B87AB12" w14:textId="77777777" w:rsidR="003F11D6" w:rsidRPr="001D7384" w:rsidRDefault="003F11D6" w:rsidP="00E12AE0">
            <w:pPr>
              <w:spacing w:after="0"/>
              <w:rPr>
                <w:bCs/>
                <w:szCs w:val="24"/>
                <w:lang w:val="en-GB"/>
              </w:rPr>
            </w:pPr>
            <w:r w:rsidRPr="001D7384">
              <w:rPr>
                <w:bCs/>
                <w:szCs w:val="24"/>
                <w:lang w:val="en-GB"/>
              </w:rPr>
              <w:t>General protection system requirements:</w:t>
            </w:r>
          </w:p>
          <w:p w14:paraId="6EBA7E92" w14:textId="77777777" w:rsidR="003F11D6" w:rsidRPr="001D7384" w:rsidRDefault="003F11D6" w:rsidP="00E12AE0">
            <w:pPr>
              <w:pStyle w:val="ListParagraph"/>
              <w:numPr>
                <w:ilvl w:val="0"/>
                <w:numId w:val="187"/>
              </w:numPr>
              <w:suppressAutoHyphens/>
              <w:spacing w:after="0"/>
              <w:rPr>
                <w:bCs/>
                <w:szCs w:val="24"/>
                <w:lang w:val="en-GB"/>
              </w:rPr>
            </w:pPr>
            <w:r w:rsidRPr="001D7384">
              <w:rPr>
                <w:bCs/>
                <w:szCs w:val="24"/>
                <w:lang w:val="en-GB"/>
              </w:rPr>
              <w:t>The solution must contain two fully independent systems configured in a cluster.</w:t>
            </w:r>
          </w:p>
          <w:p w14:paraId="03968740" w14:textId="77777777" w:rsidR="003F11D6" w:rsidRPr="001D7384" w:rsidRDefault="003F11D6" w:rsidP="00E12AE0">
            <w:pPr>
              <w:pStyle w:val="ListParagraph"/>
              <w:numPr>
                <w:ilvl w:val="0"/>
                <w:numId w:val="187"/>
              </w:numPr>
              <w:suppressAutoHyphens/>
              <w:spacing w:after="0"/>
              <w:rPr>
                <w:bCs/>
                <w:szCs w:val="24"/>
                <w:lang w:val="en-GB"/>
              </w:rPr>
            </w:pPr>
            <w:r w:rsidRPr="001D7384">
              <w:rPr>
                <w:bCs/>
                <w:szCs w:val="24"/>
                <w:lang w:val="en-GB"/>
              </w:rPr>
              <w:t xml:space="preserve">The cluster must include as a minimum a pair of highly available </w:t>
            </w:r>
            <w:r w:rsidRPr="001D7384">
              <w:rPr>
                <w:bCs/>
                <w:szCs w:val="24"/>
                <w:lang w:val="en-GB"/>
              </w:rPr>
              <w:lastRenderedPageBreak/>
              <w:t>hardware-accelerated appliances, which do not use a standard x86 architecture.</w:t>
            </w:r>
          </w:p>
          <w:p w14:paraId="40CF5E6B" w14:textId="77777777" w:rsidR="003F11D6" w:rsidRPr="001D7384" w:rsidRDefault="003F11D6" w:rsidP="00E12AE0">
            <w:pPr>
              <w:pStyle w:val="ListParagraph"/>
              <w:numPr>
                <w:ilvl w:val="0"/>
                <w:numId w:val="187"/>
              </w:numPr>
              <w:suppressAutoHyphens/>
              <w:spacing w:after="0"/>
              <w:rPr>
                <w:bCs/>
                <w:szCs w:val="24"/>
                <w:lang w:val="en-GB"/>
              </w:rPr>
            </w:pPr>
            <w:r w:rsidRPr="001D7384">
              <w:rPr>
                <w:bCs/>
                <w:szCs w:val="24"/>
                <w:lang w:val="en-GB"/>
              </w:rPr>
              <w:t xml:space="preserve">The appliances must contain proprietary and low footprint operating system which is completely locked and secure. </w:t>
            </w:r>
          </w:p>
          <w:p w14:paraId="6E66033D" w14:textId="77777777" w:rsidR="003F11D6" w:rsidRPr="001D7384" w:rsidRDefault="003F11D6" w:rsidP="00E12AE0">
            <w:pPr>
              <w:pStyle w:val="ListParagraph"/>
              <w:numPr>
                <w:ilvl w:val="0"/>
                <w:numId w:val="187"/>
              </w:numPr>
              <w:suppressAutoHyphens/>
              <w:spacing w:after="0"/>
              <w:rPr>
                <w:bCs/>
                <w:szCs w:val="24"/>
                <w:lang w:val="en-GB"/>
              </w:rPr>
            </w:pPr>
            <w:r w:rsidRPr="001D7384">
              <w:rPr>
                <w:bCs/>
                <w:szCs w:val="24"/>
                <w:lang w:val="en-GB"/>
              </w:rPr>
              <w:t>The appliance’s operating system must be validated by NIST according to the FIPS 140-2 Cryptographic Module Validation Program.</w:t>
            </w:r>
          </w:p>
          <w:p w14:paraId="5A97293B" w14:textId="77777777" w:rsidR="003F11D6" w:rsidRPr="001D7384" w:rsidRDefault="003F11D6" w:rsidP="00E12AE0">
            <w:pPr>
              <w:pStyle w:val="ListParagraph"/>
              <w:numPr>
                <w:ilvl w:val="0"/>
                <w:numId w:val="187"/>
              </w:numPr>
              <w:suppressAutoHyphens/>
              <w:spacing w:after="0"/>
              <w:rPr>
                <w:bCs/>
                <w:szCs w:val="24"/>
                <w:lang w:val="en-GB"/>
              </w:rPr>
            </w:pPr>
            <w:r w:rsidRPr="001D7384">
              <w:rPr>
                <w:bCs/>
                <w:szCs w:val="24"/>
                <w:lang w:val="en-GB"/>
              </w:rPr>
              <w:t>The core functionalities of the cyber security products, such as the firewall and the anti-malware engine must be certified as a minimum by the ICSA Labs.</w:t>
            </w:r>
          </w:p>
          <w:p w14:paraId="74158FD3" w14:textId="77777777" w:rsidR="003F11D6" w:rsidRPr="001D7384" w:rsidRDefault="003F11D6" w:rsidP="00E12AE0">
            <w:pPr>
              <w:spacing w:after="0"/>
              <w:rPr>
                <w:bCs/>
                <w:szCs w:val="24"/>
                <w:lang w:val="en-GB"/>
              </w:rPr>
            </w:pPr>
            <w:r w:rsidRPr="001D7384">
              <w:rPr>
                <w:bCs/>
                <w:szCs w:val="24"/>
                <w:lang w:val="en-GB"/>
              </w:rPr>
              <w:t>Each of the appliances must include a centralized web-based management graphical interface.</w:t>
            </w:r>
          </w:p>
          <w:p w14:paraId="7A3B9838" w14:textId="77777777" w:rsidR="003F11D6" w:rsidRPr="001D7384" w:rsidRDefault="003F11D6" w:rsidP="00E12AE0">
            <w:pPr>
              <w:spacing w:after="0"/>
              <w:rPr>
                <w:bCs/>
                <w:szCs w:val="24"/>
                <w:lang w:val="en-GB"/>
              </w:rPr>
            </w:pPr>
            <w:r w:rsidRPr="001D7384">
              <w:rPr>
                <w:bCs/>
                <w:szCs w:val="24"/>
                <w:lang w:val="en-GB"/>
              </w:rPr>
              <w:t>The appliances must include a sniffer, transparent (bridge) and Gateway (NAT) deployment options.</w:t>
            </w:r>
          </w:p>
          <w:p w14:paraId="5B4BA53D" w14:textId="77777777" w:rsidR="003F11D6" w:rsidRPr="001D7384" w:rsidRDefault="003F11D6" w:rsidP="00E12AE0">
            <w:pPr>
              <w:spacing w:after="0"/>
              <w:rPr>
                <w:bCs/>
                <w:szCs w:val="24"/>
                <w:lang w:val="en-GB"/>
              </w:rPr>
            </w:pPr>
            <w:r w:rsidRPr="001D7384">
              <w:rPr>
                <w:bCs/>
                <w:szCs w:val="24"/>
                <w:lang w:val="en-GB"/>
              </w:rPr>
              <w:t>Each system must provide a full Zero Trust Network Access role-based application access for local and remote users.</w:t>
            </w:r>
          </w:p>
          <w:p w14:paraId="000EE99C" w14:textId="77777777" w:rsidR="003F11D6" w:rsidRPr="001D7384" w:rsidRDefault="003F11D6" w:rsidP="00E12AE0">
            <w:pPr>
              <w:spacing w:after="0"/>
              <w:rPr>
                <w:bCs/>
                <w:szCs w:val="24"/>
                <w:lang w:val="en-GB"/>
              </w:rPr>
            </w:pPr>
            <w:r w:rsidRPr="001D7384">
              <w:rPr>
                <w:bCs/>
                <w:szCs w:val="24"/>
                <w:lang w:val="en-GB"/>
              </w:rPr>
              <w:t>The system must not include any license limit for security features such as Firewall, VPN, Anti-Virus, IPS, Application Control as well as on number of secured devices or users.</w:t>
            </w:r>
          </w:p>
          <w:p w14:paraId="5724ADFB" w14:textId="77777777" w:rsidR="003F11D6" w:rsidRPr="001D7384" w:rsidRDefault="003F11D6" w:rsidP="00E12AE0">
            <w:pPr>
              <w:spacing w:after="0"/>
              <w:rPr>
                <w:bCs/>
                <w:szCs w:val="24"/>
                <w:lang w:val="en-GB"/>
              </w:rPr>
            </w:pPr>
          </w:p>
          <w:p w14:paraId="35336BC0" w14:textId="77777777" w:rsidR="003F11D6" w:rsidRPr="001D7384" w:rsidRDefault="003F11D6" w:rsidP="00E12AE0">
            <w:pPr>
              <w:spacing w:after="0"/>
              <w:rPr>
                <w:bCs/>
                <w:szCs w:val="24"/>
                <w:lang w:val="en-GB"/>
              </w:rPr>
            </w:pPr>
            <w:r w:rsidRPr="001D7384">
              <w:rPr>
                <w:bCs/>
                <w:szCs w:val="24"/>
                <w:lang w:val="en-GB"/>
              </w:rPr>
              <w:t>System capacity requirements:</w:t>
            </w:r>
          </w:p>
          <w:p w14:paraId="10B965A4"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 xml:space="preserve">Standard rack-mountable devices, supporting IPv4 and IPv6. </w:t>
            </w:r>
          </w:p>
          <w:p w14:paraId="337D0398" w14:textId="77777777" w:rsidR="003F11D6" w:rsidRPr="001D7384" w:rsidRDefault="003F11D6" w:rsidP="00E12AE0">
            <w:pPr>
              <w:spacing w:after="0"/>
              <w:rPr>
                <w:bCs/>
                <w:szCs w:val="24"/>
                <w:lang w:val="en-GB"/>
              </w:rPr>
            </w:pPr>
            <w:r w:rsidRPr="001D7384">
              <w:rPr>
                <w:bCs/>
                <w:szCs w:val="24"/>
                <w:lang w:val="en-GB"/>
              </w:rPr>
              <w:t>A secure permanent and highly available connectivity between the two sites must be established, to provide for a centralized security management and monitoring functionality from both sites.</w:t>
            </w:r>
          </w:p>
          <w:p w14:paraId="5DFFAED7" w14:textId="77777777" w:rsidR="003F11D6" w:rsidRPr="001D7384" w:rsidRDefault="003F11D6" w:rsidP="00E12AE0">
            <w:pPr>
              <w:spacing w:after="0"/>
              <w:rPr>
                <w:bCs/>
                <w:szCs w:val="24"/>
                <w:lang w:val="en-GB"/>
              </w:rPr>
            </w:pPr>
          </w:p>
          <w:p w14:paraId="34E35907" w14:textId="77777777" w:rsidR="003F11D6" w:rsidRPr="001D7384" w:rsidRDefault="003F11D6" w:rsidP="00E12AE0">
            <w:pPr>
              <w:spacing w:after="0"/>
              <w:rPr>
                <w:bCs/>
                <w:szCs w:val="24"/>
                <w:lang w:val="en-GB"/>
              </w:rPr>
            </w:pPr>
            <w:r w:rsidRPr="001D7384">
              <w:rPr>
                <w:bCs/>
                <w:szCs w:val="24"/>
                <w:lang w:val="en-GB"/>
              </w:rPr>
              <w:t>Capacity / performance requirements per each device are as following:</w:t>
            </w:r>
          </w:p>
          <w:p w14:paraId="10DB431A"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 xml:space="preserve">Standard firewall throughput for 512-byte UDP packets: At least 25 Gbps. </w:t>
            </w:r>
          </w:p>
          <w:p w14:paraId="46AA02F4"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lastRenderedPageBreak/>
              <w:t>The device must be capable of handling at least 3.3 Gbps of NG firewall throughput, with active IPS, application control and threat protection functionality.</w:t>
            </w:r>
          </w:p>
          <w:p w14:paraId="03402190"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Standard firewall latency for 64-byte UDP packets: less than 5 microseconds.</w:t>
            </w:r>
          </w:p>
          <w:p w14:paraId="4E543966"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 xml:space="preserve">The device must be capable of handling at least 275.000 new TCP connections per second. </w:t>
            </w:r>
          </w:p>
          <w:p w14:paraId="102ADEB8"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system must be capable of handling at least 12 Gbps of IPsec VPN throughput for 512-byte packets.</w:t>
            </w:r>
          </w:p>
          <w:p w14:paraId="57AEE919"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be capable of handling at least 2 Gbps of SSL VPN throughput.</w:t>
            </w:r>
          </w:p>
          <w:p w14:paraId="6C313D05"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be capable of handling at least 5 Gbps of IPS throughput.</w:t>
            </w:r>
          </w:p>
          <w:p w14:paraId="37FED9F5"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be capable of handling at least 3.35 Gbps throughput with the firewall, IPS and Application Control functionalities and active logging functionality.</w:t>
            </w:r>
          </w:p>
          <w:p w14:paraId="46FC70A2"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include at least 450 GB of onboard internal SSD storage for backing up full logs.</w:t>
            </w:r>
          </w:p>
          <w:p w14:paraId="5D79CE84"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 xml:space="preserve">The device must be capable of handling at least 2.950.000 concurrent TCP sessions. </w:t>
            </w:r>
          </w:p>
          <w:p w14:paraId="24F48BBA"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be capable of handling at least 2.75 Gbps of System Application Control throughput for HTTP traffic, with active Threat Protection functionality, IPS and NGFW.</w:t>
            </w:r>
          </w:p>
          <w:p w14:paraId="54A11604" w14:textId="77777777" w:rsidR="003F11D6" w:rsidRPr="001D7384" w:rsidRDefault="003F11D6" w:rsidP="00E12AE0">
            <w:pPr>
              <w:pStyle w:val="ListParagraph"/>
              <w:numPr>
                <w:ilvl w:val="0"/>
                <w:numId w:val="188"/>
              </w:numPr>
              <w:suppressAutoHyphens/>
              <w:spacing w:after="0"/>
              <w:rPr>
                <w:bCs/>
                <w:szCs w:val="24"/>
                <w:lang w:val="en-GB"/>
              </w:rPr>
            </w:pPr>
            <w:r w:rsidRPr="001D7384">
              <w:rPr>
                <w:bCs/>
                <w:szCs w:val="24"/>
                <w:lang w:val="en-GB"/>
              </w:rPr>
              <w:t>The device must be capable of handling at least 1.900 Gateway-to-Gateway IPsec VPN Tunnels.</w:t>
            </w:r>
          </w:p>
          <w:p w14:paraId="42D6812D" w14:textId="77777777" w:rsidR="003F11D6" w:rsidRPr="001D7384" w:rsidRDefault="003F11D6" w:rsidP="00E12AE0">
            <w:pPr>
              <w:spacing w:after="0"/>
              <w:rPr>
                <w:bCs/>
                <w:szCs w:val="24"/>
                <w:lang w:val="en-GB"/>
              </w:rPr>
            </w:pPr>
          </w:p>
          <w:p w14:paraId="3A268080" w14:textId="77777777" w:rsidR="003F11D6" w:rsidRPr="001D7384" w:rsidRDefault="003F11D6" w:rsidP="00E12AE0">
            <w:pPr>
              <w:spacing w:after="0"/>
              <w:rPr>
                <w:bCs/>
                <w:szCs w:val="24"/>
                <w:lang w:val="en-GB"/>
              </w:rPr>
            </w:pPr>
            <w:r w:rsidRPr="001D7384">
              <w:rPr>
                <w:bCs/>
                <w:szCs w:val="24"/>
                <w:lang w:val="en-GB"/>
              </w:rPr>
              <w:lastRenderedPageBreak/>
              <w:t>System connectivity requirements:</w:t>
            </w:r>
          </w:p>
          <w:p w14:paraId="721C9094"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 xml:space="preserve">The system must include at least 2 x Gigabit Ethernet RJ-45 dedicated Management ports. </w:t>
            </w:r>
          </w:p>
          <w:p w14:paraId="4CE3750D"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 xml:space="preserve">The system must include at least 16 x Gigabit Ethernet RJ-45 inside (host/switch) ports. </w:t>
            </w:r>
          </w:p>
          <w:p w14:paraId="4D0E5428"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 xml:space="preserve">The system must include at least 2 x 10 Gigabit Ethernet SFP+ ports. </w:t>
            </w:r>
          </w:p>
          <w:p w14:paraId="39BF539B"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 xml:space="preserve">The system must include at least 8 x Gigabit Ethernet SFP ports. </w:t>
            </w:r>
          </w:p>
          <w:p w14:paraId="7BF72950"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The system must include dual power supplies.</w:t>
            </w:r>
          </w:p>
          <w:p w14:paraId="53F8D141"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The system must include Bluetooth Low Energy (BLE) support.</w:t>
            </w:r>
          </w:p>
          <w:p w14:paraId="0B8099BC"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The system must include at least 1 x console port.</w:t>
            </w:r>
          </w:p>
          <w:p w14:paraId="5F968315" w14:textId="77777777" w:rsidR="003F11D6" w:rsidRPr="001D7384" w:rsidRDefault="003F11D6" w:rsidP="00E12AE0">
            <w:pPr>
              <w:pStyle w:val="ListParagraph"/>
              <w:numPr>
                <w:ilvl w:val="0"/>
                <w:numId w:val="189"/>
              </w:numPr>
              <w:suppressAutoHyphens/>
              <w:spacing w:after="0"/>
              <w:rPr>
                <w:bCs/>
                <w:szCs w:val="24"/>
                <w:lang w:val="en-GB"/>
              </w:rPr>
            </w:pPr>
            <w:r w:rsidRPr="001D7384">
              <w:rPr>
                <w:bCs/>
                <w:szCs w:val="24"/>
                <w:lang w:val="en-GB"/>
              </w:rPr>
              <w:t>The system must include at least 1 x USB 3.0 port.</w:t>
            </w:r>
          </w:p>
          <w:p w14:paraId="2C2FA8E7" w14:textId="77777777" w:rsidR="003F11D6" w:rsidRPr="001D7384" w:rsidRDefault="003F11D6" w:rsidP="00E12AE0">
            <w:pPr>
              <w:spacing w:after="0"/>
              <w:rPr>
                <w:bCs/>
                <w:szCs w:val="24"/>
                <w:lang w:val="en-GB"/>
              </w:rPr>
            </w:pPr>
          </w:p>
          <w:p w14:paraId="3B6F6B74" w14:textId="77777777" w:rsidR="003F11D6" w:rsidRPr="001D7384" w:rsidRDefault="003F11D6" w:rsidP="00E12AE0">
            <w:pPr>
              <w:spacing w:after="0"/>
              <w:rPr>
                <w:bCs/>
                <w:szCs w:val="24"/>
                <w:lang w:val="en-GB"/>
              </w:rPr>
            </w:pPr>
            <w:r w:rsidRPr="001D7384">
              <w:rPr>
                <w:bCs/>
                <w:szCs w:val="24"/>
                <w:lang w:val="en-GB"/>
              </w:rPr>
              <w:t>Advanced security system requirements:</w:t>
            </w:r>
          </w:p>
          <w:p w14:paraId="3C7A0A32"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The system must be capable of and configured for active/active clustering.</w:t>
            </w:r>
          </w:p>
          <w:p w14:paraId="30E5FDD3" w14:textId="77777777" w:rsidR="003F11D6" w:rsidRPr="001D7384" w:rsidRDefault="003F11D6" w:rsidP="00E12AE0">
            <w:pPr>
              <w:spacing w:after="0"/>
              <w:rPr>
                <w:bCs/>
                <w:szCs w:val="24"/>
                <w:lang w:val="en-GB"/>
              </w:rPr>
            </w:pPr>
            <w:r w:rsidRPr="001D7384">
              <w:rPr>
                <w:bCs/>
                <w:szCs w:val="24"/>
                <w:lang w:val="en-GB"/>
              </w:rPr>
              <w:t xml:space="preserve">The security profiles in proxy mode must perform SSL inspection on HTTP/2 traffic that is secured by TLS 1.3 using the Application-Layer Protocol Negotiation (ALPN). </w:t>
            </w:r>
          </w:p>
          <w:p w14:paraId="02476372" w14:textId="77777777" w:rsidR="003F11D6" w:rsidRPr="001D7384" w:rsidRDefault="003F11D6" w:rsidP="00E12AE0">
            <w:pPr>
              <w:spacing w:after="0"/>
              <w:rPr>
                <w:bCs/>
                <w:szCs w:val="24"/>
                <w:lang w:val="en-GB"/>
              </w:rPr>
            </w:pPr>
            <w:r w:rsidRPr="001D7384">
              <w:rPr>
                <w:bCs/>
                <w:szCs w:val="24"/>
                <w:lang w:val="en-GB"/>
              </w:rPr>
              <w:t xml:space="preserve">The system must allow for SSL VPN hub and spokes topologies to be </w:t>
            </w:r>
            <w:proofErr w:type="gramStart"/>
            <w:r w:rsidRPr="001D7384">
              <w:rPr>
                <w:bCs/>
                <w:szCs w:val="24"/>
                <w:lang w:val="en-GB"/>
              </w:rPr>
              <w:t>configured</w:t>
            </w:r>
            <w:proofErr w:type="gramEnd"/>
          </w:p>
          <w:p w14:paraId="07BEAD16" w14:textId="77777777" w:rsidR="003F11D6" w:rsidRPr="001D7384" w:rsidRDefault="003F11D6" w:rsidP="00E12AE0">
            <w:pPr>
              <w:spacing w:after="0"/>
              <w:rPr>
                <w:bCs/>
                <w:szCs w:val="24"/>
                <w:lang w:val="en-GB"/>
              </w:rPr>
            </w:pPr>
            <w:r w:rsidRPr="001D7384">
              <w:rPr>
                <w:bCs/>
                <w:szCs w:val="24"/>
                <w:lang w:val="en-GB"/>
              </w:rPr>
              <w:t>The system must allow for SAML user authentication for explicit web proxies and transparent web proxies.</w:t>
            </w:r>
          </w:p>
          <w:p w14:paraId="3902DFF7" w14:textId="77777777" w:rsidR="003F11D6" w:rsidRPr="001D7384" w:rsidRDefault="003F11D6" w:rsidP="00E12AE0">
            <w:pPr>
              <w:spacing w:after="0"/>
              <w:rPr>
                <w:bCs/>
                <w:szCs w:val="24"/>
                <w:lang w:val="en-GB"/>
              </w:rPr>
            </w:pPr>
            <w:r w:rsidRPr="001D7384">
              <w:rPr>
                <w:bCs/>
                <w:szCs w:val="24"/>
                <w:lang w:val="en-GB"/>
              </w:rPr>
              <w:t>The system’s IPS engine must handle DNS filter in flow mode, with support for botnet domain and IP filtering as well as remote category rating.</w:t>
            </w:r>
          </w:p>
          <w:p w14:paraId="3E56CF54" w14:textId="77777777" w:rsidR="003F11D6" w:rsidRPr="001D7384" w:rsidRDefault="003F11D6" w:rsidP="00E12AE0">
            <w:pPr>
              <w:spacing w:after="0"/>
              <w:rPr>
                <w:bCs/>
                <w:szCs w:val="24"/>
                <w:lang w:val="en-GB"/>
              </w:rPr>
            </w:pPr>
            <w:r w:rsidRPr="001D7384">
              <w:rPr>
                <w:bCs/>
                <w:szCs w:val="24"/>
                <w:lang w:val="en-GB"/>
              </w:rPr>
              <w:t>The system’s IPS engine must handle SIP inspection in a flow-based firewall policy.</w:t>
            </w:r>
          </w:p>
          <w:p w14:paraId="235C9472" w14:textId="77777777" w:rsidR="003F11D6" w:rsidRPr="001D7384" w:rsidRDefault="003F11D6" w:rsidP="00E12AE0">
            <w:pPr>
              <w:spacing w:after="0"/>
              <w:rPr>
                <w:bCs/>
                <w:szCs w:val="24"/>
                <w:lang w:val="en-GB"/>
              </w:rPr>
            </w:pPr>
            <w:r w:rsidRPr="001D7384">
              <w:rPr>
                <w:bCs/>
                <w:szCs w:val="24"/>
                <w:lang w:val="en-GB"/>
              </w:rPr>
              <w:lastRenderedPageBreak/>
              <w:t>The system must allow for DNS over TLS (DoT) and DNS over HTTPS (</w:t>
            </w:r>
            <w:proofErr w:type="spellStart"/>
            <w:r w:rsidRPr="001D7384">
              <w:rPr>
                <w:bCs/>
                <w:szCs w:val="24"/>
                <w:lang w:val="en-GB"/>
              </w:rPr>
              <w:t>DoH</w:t>
            </w:r>
            <w:proofErr w:type="spellEnd"/>
            <w:r w:rsidRPr="001D7384">
              <w:rPr>
                <w:bCs/>
                <w:szCs w:val="24"/>
                <w:lang w:val="en-GB"/>
              </w:rPr>
              <w:t>) for DNS inspection.</w:t>
            </w:r>
          </w:p>
          <w:p w14:paraId="31B7A578" w14:textId="77777777" w:rsidR="003F11D6" w:rsidRPr="001D7384" w:rsidRDefault="003F11D6" w:rsidP="00E12AE0">
            <w:pPr>
              <w:spacing w:after="0"/>
              <w:rPr>
                <w:bCs/>
                <w:szCs w:val="24"/>
                <w:lang w:val="en-GB"/>
              </w:rPr>
            </w:pPr>
            <w:r w:rsidRPr="001D7384">
              <w:rPr>
                <w:bCs/>
                <w:szCs w:val="24"/>
                <w:lang w:val="en-GB"/>
              </w:rPr>
              <w:t>Networking: support for DHCP, DNS, VLANs, RIP, OSPF, ISIS, BGP, Multicast, ICAP, QoS and NAT46/64.</w:t>
            </w:r>
          </w:p>
          <w:p w14:paraId="6D53AE14" w14:textId="77777777" w:rsidR="003F11D6" w:rsidRPr="001D7384" w:rsidRDefault="003F11D6" w:rsidP="00E12AE0">
            <w:pPr>
              <w:spacing w:after="0"/>
              <w:rPr>
                <w:bCs/>
                <w:szCs w:val="24"/>
                <w:lang w:val="en-GB"/>
              </w:rPr>
            </w:pPr>
            <w:r w:rsidRPr="001D7384">
              <w:rPr>
                <w:bCs/>
                <w:szCs w:val="24"/>
                <w:lang w:val="en-GB"/>
              </w:rPr>
              <w:t>The system must include a web proxy (transparent and Explicit) functionality for HTTP and HTTPS traffic.</w:t>
            </w:r>
          </w:p>
          <w:p w14:paraId="3E4A2C07" w14:textId="77777777" w:rsidR="003F11D6" w:rsidRPr="001D7384" w:rsidRDefault="003F11D6" w:rsidP="00E12AE0">
            <w:pPr>
              <w:spacing w:after="0"/>
              <w:rPr>
                <w:bCs/>
                <w:szCs w:val="24"/>
                <w:lang w:val="en-GB"/>
              </w:rPr>
            </w:pPr>
            <w:r w:rsidRPr="001D7384">
              <w:rPr>
                <w:bCs/>
                <w:szCs w:val="24"/>
                <w:lang w:val="en-GB"/>
              </w:rPr>
              <w:t>The system must include Layer 3-4 object-based Firewall, including session helpers and ALGs.</w:t>
            </w:r>
          </w:p>
          <w:p w14:paraId="3E87DEA3" w14:textId="77777777" w:rsidR="003F11D6" w:rsidRPr="001D7384" w:rsidRDefault="003F11D6" w:rsidP="00E12AE0">
            <w:pPr>
              <w:spacing w:after="0"/>
              <w:rPr>
                <w:bCs/>
                <w:szCs w:val="24"/>
                <w:lang w:val="en-GB"/>
              </w:rPr>
            </w:pPr>
            <w:r w:rsidRPr="001D7384">
              <w:rPr>
                <w:bCs/>
                <w:szCs w:val="24"/>
                <w:lang w:val="en-GB"/>
              </w:rPr>
              <w:t>The system must include all standard VPN functionalities, including IPsec, L2TP over IPsec and PPTP.</w:t>
            </w:r>
          </w:p>
          <w:p w14:paraId="7D74E1BC" w14:textId="77777777" w:rsidR="003F11D6" w:rsidRPr="001D7384" w:rsidRDefault="003F11D6" w:rsidP="00E12AE0">
            <w:pPr>
              <w:spacing w:after="0"/>
              <w:rPr>
                <w:bCs/>
                <w:szCs w:val="24"/>
                <w:lang w:val="en-GB"/>
              </w:rPr>
            </w:pPr>
          </w:p>
          <w:p w14:paraId="0804F74A" w14:textId="77777777" w:rsidR="003F11D6" w:rsidRPr="001D7384" w:rsidRDefault="003F11D6" w:rsidP="00E12AE0">
            <w:pPr>
              <w:spacing w:after="0"/>
              <w:rPr>
                <w:bCs/>
                <w:szCs w:val="24"/>
                <w:lang w:val="en-GB"/>
              </w:rPr>
            </w:pPr>
            <w:r w:rsidRPr="001D7384">
              <w:rPr>
                <w:bCs/>
                <w:szCs w:val="24"/>
                <w:lang w:val="en-GB"/>
              </w:rPr>
              <w:t>The system must include SSL VPN access with customizable web portal, bookmarks manager and single sign-on for back-end web apps.</w:t>
            </w:r>
          </w:p>
          <w:p w14:paraId="418F8D73" w14:textId="77777777" w:rsidR="003F11D6" w:rsidRPr="001D7384" w:rsidRDefault="003F11D6" w:rsidP="00E12AE0">
            <w:pPr>
              <w:spacing w:after="0"/>
              <w:rPr>
                <w:bCs/>
                <w:szCs w:val="24"/>
                <w:lang w:val="en-GB"/>
              </w:rPr>
            </w:pPr>
            <w:r w:rsidRPr="001D7384">
              <w:rPr>
                <w:bCs/>
                <w:szCs w:val="24"/>
                <w:lang w:val="en-GB"/>
              </w:rPr>
              <w:t>The system must include integrated token server for dual-factor authentication, mandating MFA using 8-digit one-time password (OTP) for remote connectivity, supporting management and provisioning of at least 500 users through the integrated GUI.</w:t>
            </w:r>
          </w:p>
          <w:p w14:paraId="3B325E21" w14:textId="77777777" w:rsidR="003F11D6" w:rsidRPr="001D7384" w:rsidRDefault="003F11D6" w:rsidP="00E12AE0">
            <w:pPr>
              <w:spacing w:after="0"/>
              <w:rPr>
                <w:bCs/>
                <w:szCs w:val="24"/>
                <w:lang w:val="en-GB"/>
              </w:rPr>
            </w:pPr>
          </w:p>
          <w:p w14:paraId="1651DA4D" w14:textId="77777777" w:rsidR="003F11D6" w:rsidRPr="001D7384" w:rsidRDefault="003F11D6" w:rsidP="00E12AE0">
            <w:pPr>
              <w:spacing w:after="0"/>
              <w:rPr>
                <w:bCs/>
                <w:szCs w:val="24"/>
                <w:lang w:val="en-GB"/>
              </w:rPr>
            </w:pPr>
            <w:r w:rsidRPr="001D7384">
              <w:rPr>
                <w:bCs/>
                <w:szCs w:val="24"/>
                <w:lang w:val="en-GB"/>
              </w:rPr>
              <w:t xml:space="preserve">The system must include a mobile device perpetual software license and functionality for generation of one-time password tokens for at least 25 users connecting remotely over VPN, as well as for local firewall authentication. This offered mobile OTP generation software must operate under the iOS, </w:t>
            </w:r>
            <w:proofErr w:type="gramStart"/>
            <w:r w:rsidRPr="001D7384">
              <w:rPr>
                <w:bCs/>
                <w:szCs w:val="24"/>
                <w:lang w:val="en-GB"/>
              </w:rPr>
              <w:t>Android</w:t>
            </w:r>
            <w:proofErr w:type="gramEnd"/>
            <w:r w:rsidRPr="001D7384">
              <w:rPr>
                <w:bCs/>
                <w:szCs w:val="24"/>
                <w:lang w:val="en-GB"/>
              </w:rPr>
              <w:t xml:space="preserve"> and Windows Phone platform mobile devices.</w:t>
            </w:r>
          </w:p>
          <w:p w14:paraId="5D308C4B" w14:textId="77777777" w:rsidR="003F11D6" w:rsidRPr="001D7384" w:rsidRDefault="003F11D6" w:rsidP="00E12AE0">
            <w:pPr>
              <w:spacing w:after="0"/>
              <w:rPr>
                <w:bCs/>
                <w:szCs w:val="24"/>
                <w:lang w:val="en-GB"/>
              </w:rPr>
            </w:pPr>
            <w:r w:rsidRPr="001D7384">
              <w:rPr>
                <w:bCs/>
                <w:szCs w:val="24"/>
                <w:lang w:val="en-GB"/>
              </w:rPr>
              <w:t>The system must include Intrusion Prevention System with signatures rated by category and risk.</w:t>
            </w:r>
          </w:p>
          <w:p w14:paraId="2A830EA9" w14:textId="77777777" w:rsidR="003F11D6" w:rsidRPr="001D7384" w:rsidRDefault="003F11D6" w:rsidP="00E12AE0">
            <w:pPr>
              <w:spacing w:after="0"/>
              <w:rPr>
                <w:bCs/>
                <w:szCs w:val="24"/>
                <w:lang w:val="en-GB"/>
              </w:rPr>
            </w:pPr>
          </w:p>
          <w:p w14:paraId="00D63514" w14:textId="77777777" w:rsidR="003F11D6" w:rsidRPr="001D7384" w:rsidRDefault="003F11D6" w:rsidP="00E12AE0">
            <w:pPr>
              <w:spacing w:after="0"/>
              <w:rPr>
                <w:bCs/>
                <w:szCs w:val="24"/>
                <w:lang w:val="en-GB"/>
              </w:rPr>
            </w:pPr>
            <w:r w:rsidRPr="001D7384">
              <w:rPr>
                <w:bCs/>
                <w:szCs w:val="24"/>
                <w:lang w:val="en-GB"/>
              </w:rPr>
              <w:t xml:space="preserve">The system must include Application Control functionality with all common applications pre-defined (like Botnet, Collaboration, </w:t>
            </w:r>
            <w:r w:rsidRPr="001D7384">
              <w:rPr>
                <w:bCs/>
                <w:szCs w:val="24"/>
                <w:lang w:val="en-GB"/>
              </w:rPr>
              <w:lastRenderedPageBreak/>
              <w:t xml:space="preserve">Email, File Sharing, Games, Network Services, P2P, proxy services, Remote access, </w:t>
            </w:r>
            <w:proofErr w:type="gramStart"/>
            <w:r w:rsidRPr="001D7384">
              <w:rPr>
                <w:bCs/>
                <w:szCs w:val="24"/>
                <w:lang w:val="en-GB"/>
              </w:rPr>
              <w:t>Social Media</w:t>
            </w:r>
            <w:proofErr w:type="gramEnd"/>
            <w:r w:rsidRPr="001D7384">
              <w:rPr>
                <w:bCs/>
                <w:szCs w:val="24"/>
                <w:lang w:val="en-GB"/>
              </w:rPr>
              <w:t>, Storage, Video/Audio and VoIP and others); support for special types of apps like SPDY, SSH and custom app signatures.</w:t>
            </w:r>
          </w:p>
          <w:p w14:paraId="34BEDEEA" w14:textId="77777777" w:rsidR="003F11D6" w:rsidRPr="001D7384" w:rsidRDefault="003F11D6" w:rsidP="00E12AE0">
            <w:pPr>
              <w:spacing w:after="0"/>
              <w:rPr>
                <w:bCs/>
                <w:szCs w:val="24"/>
                <w:lang w:val="en-GB"/>
              </w:rPr>
            </w:pPr>
            <w:r w:rsidRPr="001D7384">
              <w:rPr>
                <w:bCs/>
                <w:szCs w:val="24"/>
                <w:lang w:val="en-GB"/>
              </w:rPr>
              <w:t xml:space="preserve">The system must include Anti-malware protection with IP Reputation, Antivirus for the following protocols: HTTP/HTTPS, SMTP/SMTPS, POP3/POP3S, IMAP/IMAPS, MAPI, FTP, SFTP, SMB, NNTP; Heuristics analysis, file submission and </w:t>
            </w:r>
            <w:proofErr w:type="gramStart"/>
            <w:r w:rsidRPr="001D7384">
              <w:rPr>
                <w:bCs/>
                <w:szCs w:val="24"/>
                <w:lang w:val="en-GB"/>
              </w:rPr>
              <w:t>on-premise</w:t>
            </w:r>
            <w:proofErr w:type="gramEnd"/>
            <w:r w:rsidRPr="001D7384">
              <w:rPr>
                <w:bCs/>
                <w:szCs w:val="24"/>
                <w:lang w:val="en-GB"/>
              </w:rPr>
              <w:t xml:space="preserve"> as well as cloud-based sandbox integration functionality. The included sandbox functionality must be fully compliant with the MITRE ATT&amp;CK reporting.</w:t>
            </w:r>
          </w:p>
          <w:p w14:paraId="197A75A7" w14:textId="77777777" w:rsidR="003F11D6" w:rsidRPr="001D7384" w:rsidRDefault="003F11D6" w:rsidP="00E12AE0">
            <w:pPr>
              <w:spacing w:after="0"/>
              <w:rPr>
                <w:bCs/>
                <w:szCs w:val="24"/>
                <w:lang w:val="en-GB"/>
              </w:rPr>
            </w:pPr>
            <w:r w:rsidRPr="001D7384">
              <w:rPr>
                <w:bCs/>
                <w:szCs w:val="24"/>
                <w:lang w:val="en-GB"/>
              </w:rPr>
              <w:t xml:space="preserve">The system must include web filtering, including URL based filter categories with regular expressions or wildcards pattern </w:t>
            </w:r>
            <w:proofErr w:type="gramStart"/>
            <w:r w:rsidRPr="001D7384">
              <w:rPr>
                <w:bCs/>
                <w:szCs w:val="24"/>
                <w:lang w:val="en-GB"/>
              </w:rPr>
              <w:t>matching;</w:t>
            </w:r>
            <w:proofErr w:type="gramEnd"/>
            <w:r w:rsidRPr="001D7384">
              <w:rPr>
                <w:bCs/>
                <w:szCs w:val="24"/>
                <w:lang w:val="en-GB"/>
              </w:rPr>
              <w:t xml:space="preserve"> </w:t>
            </w:r>
          </w:p>
          <w:p w14:paraId="0A0040F4" w14:textId="77777777" w:rsidR="003F11D6" w:rsidRPr="001D7384" w:rsidRDefault="003F11D6" w:rsidP="00E12AE0">
            <w:pPr>
              <w:spacing w:after="0"/>
              <w:rPr>
                <w:bCs/>
                <w:szCs w:val="24"/>
                <w:lang w:val="en-GB"/>
              </w:rPr>
            </w:pPr>
          </w:p>
          <w:p w14:paraId="46C89217" w14:textId="77777777" w:rsidR="003F11D6" w:rsidRPr="001D7384" w:rsidRDefault="003F11D6" w:rsidP="00E12AE0">
            <w:pPr>
              <w:spacing w:after="0"/>
              <w:rPr>
                <w:bCs/>
                <w:szCs w:val="24"/>
                <w:lang w:val="en-GB"/>
              </w:rPr>
            </w:pPr>
            <w:r w:rsidRPr="001D7384">
              <w:rPr>
                <w:bCs/>
                <w:szCs w:val="24"/>
                <w:lang w:val="en-GB"/>
              </w:rPr>
              <w:t>The system must include web content matching, video filtering based on YouTube categories or channel ID, DNS filter with DNS rating service, DNS safe search and category-based DNS domain filter.</w:t>
            </w:r>
          </w:p>
          <w:p w14:paraId="17995C74" w14:textId="77777777" w:rsidR="003F11D6" w:rsidRPr="001D7384" w:rsidRDefault="003F11D6" w:rsidP="00E12AE0">
            <w:pPr>
              <w:spacing w:after="0"/>
              <w:rPr>
                <w:bCs/>
                <w:szCs w:val="24"/>
                <w:lang w:val="en-GB"/>
              </w:rPr>
            </w:pPr>
            <w:r w:rsidRPr="001D7384">
              <w:rPr>
                <w:bCs/>
                <w:szCs w:val="24"/>
                <w:lang w:val="en-GB"/>
              </w:rPr>
              <w:t>The Intrusion Prevention system must include botnet C&amp;C domain blocking functionality.</w:t>
            </w:r>
          </w:p>
          <w:p w14:paraId="717C9312" w14:textId="77777777" w:rsidR="003F11D6" w:rsidRPr="001D7384" w:rsidRDefault="003F11D6" w:rsidP="00E12AE0">
            <w:pPr>
              <w:spacing w:after="0"/>
              <w:rPr>
                <w:bCs/>
                <w:szCs w:val="24"/>
                <w:lang w:val="en-GB"/>
              </w:rPr>
            </w:pPr>
            <w:r w:rsidRPr="001D7384">
              <w:rPr>
                <w:bCs/>
                <w:szCs w:val="24"/>
                <w:lang w:val="en-GB"/>
              </w:rPr>
              <w:t>The system must include DLP engine with support for the HTTP-POST/GET, SMTP, POP3, IMAP, MAPI, FTP protocols.</w:t>
            </w:r>
          </w:p>
          <w:p w14:paraId="53231DF0" w14:textId="77777777" w:rsidR="003F11D6" w:rsidRPr="001D7384" w:rsidRDefault="003F11D6" w:rsidP="00E12AE0">
            <w:pPr>
              <w:spacing w:after="0"/>
              <w:rPr>
                <w:bCs/>
                <w:szCs w:val="24"/>
                <w:lang w:val="en-GB"/>
              </w:rPr>
            </w:pPr>
            <w:r w:rsidRPr="001D7384">
              <w:rPr>
                <w:bCs/>
                <w:szCs w:val="24"/>
                <w:lang w:val="en-GB"/>
              </w:rPr>
              <w:t>The system must include user &amp; device-based policies &amp; inventory, including remote device fingerprinting and active scanning of devices on the network.</w:t>
            </w:r>
          </w:p>
          <w:p w14:paraId="05405888" w14:textId="77777777" w:rsidR="003F11D6" w:rsidRPr="001D7384" w:rsidRDefault="003F11D6" w:rsidP="00E12AE0">
            <w:pPr>
              <w:spacing w:after="0"/>
              <w:rPr>
                <w:bCs/>
                <w:szCs w:val="24"/>
                <w:lang w:val="en-GB"/>
              </w:rPr>
            </w:pPr>
            <w:r w:rsidRPr="001D7384">
              <w:rPr>
                <w:bCs/>
                <w:szCs w:val="24"/>
                <w:lang w:val="en-GB"/>
              </w:rPr>
              <w:t>The system must include real-time updates for Web Categorization &amp; Antispam (cloud database).</w:t>
            </w:r>
          </w:p>
          <w:p w14:paraId="109112CE" w14:textId="77777777" w:rsidR="003F11D6" w:rsidRPr="001D7384" w:rsidRDefault="003F11D6" w:rsidP="00E12AE0">
            <w:pPr>
              <w:spacing w:after="0"/>
              <w:rPr>
                <w:bCs/>
                <w:szCs w:val="24"/>
                <w:lang w:val="en-GB"/>
              </w:rPr>
            </w:pPr>
            <w:r w:rsidRPr="001D7384">
              <w:rPr>
                <w:bCs/>
                <w:szCs w:val="24"/>
                <w:lang w:val="en-GB"/>
              </w:rPr>
              <w:t>The system must include Push updates for IP Reputation, AV, IPS and Application Control.</w:t>
            </w:r>
          </w:p>
          <w:p w14:paraId="288B218F" w14:textId="77777777" w:rsidR="003F11D6" w:rsidRPr="001D7384" w:rsidRDefault="003F11D6" w:rsidP="00E12AE0">
            <w:pPr>
              <w:spacing w:after="0"/>
              <w:rPr>
                <w:bCs/>
                <w:szCs w:val="24"/>
                <w:lang w:val="en-GB"/>
              </w:rPr>
            </w:pPr>
          </w:p>
          <w:p w14:paraId="7C9331AE" w14:textId="77777777" w:rsidR="003F11D6" w:rsidRPr="001D7384" w:rsidRDefault="003F11D6" w:rsidP="00E12AE0">
            <w:pPr>
              <w:spacing w:after="0"/>
              <w:rPr>
                <w:bCs/>
                <w:szCs w:val="24"/>
                <w:lang w:val="en-GB"/>
              </w:rPr>
            </w:pPr>
            <w:r w:rsidRPr="001D7384">
              <w:rPr>
                <w:bCs/>
                <w:szCs w:val="24"/>
                <w:lang w:val="en-GB"/>
              </w:rPr>
              <w:t>Virtualization requirements:</w:t>
            </w:r>
          </w:p>
          <w:p w14:paraId="35E5CC09"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The system must include virtualization support - segregation of physical device into multiple virtual domains (minimum 10 included with no additional cost); each virtual domain must work independent from the others in Gateway/NAT or Transparent/Bridge like a virtual UTM Firewall.</w:t>
            </w:r>
          </w:p>
          <w:p w14:paraId="4BD1376E" w14:textId="77777777" w:rsidR="003F11D6" w:rsidRPr="001D7384" w:rsidRDefault="003F11D6" w:rsidP="00E12AE0">
            <w:pPr>
              <w:spacing w:after="0"/>
              <w:rPr>
                <w:bCs/>
                <w:szCs w:val="24"/>
                <w:lang w:val="en-GB"/>
              </w:rPr>
            </w:pPr>
            <w:r w:rsidRPr="001D7384">
              <w:rPr>
                <w:bCs/>
                <w:szCs w:val="24"/>
                <w:lang w:val="en-GB"/>
              </w:rPr>
              <w:t>The system must include functionality to reserve physical and logical resources per virtual domain.</w:t>
            </w:r>
          </w:p>
          <w:p w14:paraId="34485FB6" w14:textId="77777777" w:rsidR="003F11D6" w:rsidRPr="001D7384" w:rsidRDefault="003F11D6" w:rsidP="00E12AE0">
            <w:pPr>
              <w:spacing w:after="0"/>
              <w:rPr>
                <w:bCs/>
                <w:szCs w:val="24"/>
                <w:lang w:val="en-GB"/>
              </w:rPr>
            </w:pPr>
            <w:r w:rsidRPr="001D7384">
              <w:rPr>
                <w:bCs/>
                <w:szCs w:val="24"/>
                <w:lang w:val="en-GB"/>
              </w:rPr>
              <w:t>The system must include role-based administration &amp; multi-tenancy functionality.</w:t>
            </w:r>
          </w:p>
          <w:p w14:paraId="578CA068" w14:textId="77777777" w:rsidR="003F11D6" w:rsidRPr="001D7384" w:rsidRDefault="003F11D6" w:rsidP="00E12AE0">
            <w:pPr>
              <w:spacing w:after="0"/>
              <w:rPr>
                <w:bCs/>
                <w:szCs w:val="24"/>
                <w:lang w:val="en-GB"/>
              </w:rPr>
            </w:pPr>
            <w:r w:rsidRPr="001D7384">
              <w:rPr>
                <w:bCs/>
                <w:szCs w:val="24"/>
                <w:lang w:val="en-GB"/>
              </w:rPr>
              <w:t>The system must include the following high availability functionality: Active-Passive, Active-Active, virtual clusters), including geographically dispersed HA; The clustering functionality must provide for device failover in case of link failure, loss of power, SSD drive failure or memory utilization exceeding certain threshold.</w:t>
            </w:r>
          </w:p>
          <w:p w14:paraId="48F2A713" w14:textId="77777777" w:rsidR="003F11D6" w:rsidRPr="001D7384" w:rsidRDefault="003F11D6" w:rsidP="00E12AE0">
            <w:pPr>
              <w:spacing w:after="0"/>
              <w:rPr>
                <w:bCs/>
                <w:szCs w:val="24"/>
                <w:lang w:val="en-GB"/>
              </w:rPr>
            </w:pPr>
            <w:r w:rsidRPr="001D7384">
              <w:rPr>
                <w:bCs/>
                <w:szCs w:val="24"/>
                <w:lang w:val="en-GB"/>
              </w:rPr>
              <w:t>The system must include integration with Active Directory, LDAP, TACACS+ or RADIUS; The system must include single sign-on with Active Directory and VDI users (Proxy/Firewall authentication).</w:t>
            </w:r>
          </w:p>
          <w:p w14:paraId="20004FF5" w14:textId="77777777" w:rsidR="003F11D6" w:rsidRPr="001D7384" w:rsidRDefault="003F11D6" w:rsidP="00E12AE0">
            <w:pPr>
              <w:spacing w:after="0"/>
              <w:rPr>
                <w:bCs/>
                <w:szCs w:val="24"/>
                <w:lang w:val="en-GB"/>
              </w:rPr>
            </w:pPr>
          </w:p>
          <w:p w14:paraId="47082B7E" w14:textId="77777777" w:rsidR="003F11D6" w:rsidRPr="001D7384" w:rsidRDefault="003F11D6" w:rsidP="00E12AE0">
            <w:pPr>
              <w:spacing w:after="0"/>
              <w:rPr>
                <w:bCs/>
                <w:szCs w:val="24"/>
                <w:lang w:val="en-GB"/>
              </w:rPr>
            </w:pPr>
            <w:r w:rsidRPr="001D7384">
              <w:rPr>
                <w:bCs/>
                <w:szCs w:val="24"/>
                <w:lang w:val="en-GB"/>
              </w:rPr>
              <w:t>All network devices should be redundant and with a redundant power supply</w:t>
            </w:r>
          </w:p>
        </w:tc>
        <w:tc>
          <w:tcPr>
            <w:tcW w:w="3690" w:type="dxa"/>
          </w:tcPr>
          <w:p w14:paraId="1F79512C" w14:textId="77777777" w:rsidR="003F11D6" w:rsidRPr="001D7384" w:rsidRDefault="003F11D6" w:rsidP="00E12AE0">
            <w:pPr>
              <w:spacing w:after="0"/>
              <w:rPr>
                <w:b/>
                <w:szCs w:val="24"/>
                <w:lang w:val="en-GB"/>
              </w:rPr>
            </w:pPr>
          </w:p>
        </w:tc>
      </w:tr>
      <w:tr w:rsidR="003F11D6" w:rsidRPr="00AC5790" w14:paraId="723C4072" w14:textId="77777777" w:rsidTr="00416750">
        <w:trPr>
          <w:trHeight w:val="8540"/>
        </w:trPr>
        <w:tc>
          <w:tcPr>
            <w:tcW w:w="1134" w:type="dxa"/>
          </w:tcPr>
          <w:p w14:paraId="3CD27361" w14:textId="77777777" w:rsidR="003F11D6" w:rsidRPr="001D7384" w:rsidRDefault="003F11D6" w:rsidP="00E12AE0">
            <w:pPr>
              <w:spacing w:after="0"/>
              <w:rPr>
                <w:b/>
                <w:szCs w:val="24"/>
                <w:lang w:val="en-GB"/>
              </w:rPr>
            </w:pPr>
            <w:r w:rsidRPr="001D7384">
              <w:rPr>
                <w:b/>
                <w:szCs w:val="24"/>
                <w:lang w:val="en-GB"/>
              </w:rPr>
              <w:lastRenderedPageBreak/>
              <w:t>1.12</w:t>
            </w:r>
          </w:p>
        </w:tc>
        <w:tc>
          <w:tcPr>
            <w:tcW w:w="4531" w:type="dxa"/>
            <w:vAlign w:val="center"/>
          </w:tcPr>
          <w:p w14:paraId="70A13623" w14:textId="77777777" w:rsidR="003F11D6" w:rsidRPr="001D7384" w:rsidRDefault="003F11D6" w:rsidP="00E12AE0">
            <w:pPr>
              <w:spacing w:after="0"/>
              <w:rPr>
                <w:b/>
                <w:szCs w:val="24"/>
                <w:lang w:val="en-GB"/>
              </w:rPr>
            </w:pPr>
            <w:r w:rsidRPr="001D7384">
              <w:rPr>
                <w:b/>
                <w:szCs w:val="24"/>
                <w:lang w:val="en-GB"/>
              </w:rPr>
              <w:t>Server Endpoint Detection and Response (EDR) system Qty. 1</w:t>
            </w:r>
          </w:p>
          <w:p w14:paraId="1B21254C" w14:textId="77777777" w:rsidR="00416750" w:rsidRPr="001D7384" w:rsidRDefault="00416750" w:rsidP="00E12AE0">
            <w:pPr>
              <w:spacing w:after="0"/>
              <w:rPr>
                <w:bCs/>
                <w:szCs w:val="24"/>
                <w:lang w:val="en-GB"/>
              </w:rPr>
            </w:pPr>
          </w:p>
          <w:p w14:paraId="63A3F30C" w14:textId="718875EE" w:rsidR="003F11D6" w:rsidRPr="001D7384" w:rsidRDefault="003F11D6" w:rsidP="00E12AE0">
            <w:pPr>
              <w:spacing w:after="0"/>
              <w:rPr>
                <w:bCs/>
                <w:szCs w:val="24"/>
                <w:lang w:val="en-GB"/>
              </w:rPr>
            </w:pPr>
            <w:r w:rsidRPr="001D7384">
              <w:rPr>
                <w:bCs/>
                <w:szCs w:val="24"/>
                <w:lang w:val="en-GB"/>
              </w:rPr>
              <w:t>System for protecting the servers with centralized management solution, for a minimum of 30 virtual servers.</w:t>
            </w:r>
          </w:p>
          <w:p w14:paraId="23AFFE95" w14:textId="77777777" w:rsidR="003F11D6" w:rsidRPr="001D7384" w:rsidRDefault="003F11D6" w:rsidP="00E12AE0">
            <w:pPr>
              <w:spacing w:after="0"/>
              <w:rPr>
                <w:bCs/>
                <w:szCs w:val="24"/>
                <w:lang w:val="en-GB"/>
              </w:rPr>
            </w:pPr>
          </w:p>
          <w:p w14:paraId="31C67132" w14:textId="77777777" w:rsidR="003F11D6" w:rsidRPr="001D7384" w:rsidRDefault="003F11D6" w:rsidP="00E12AE0">
            <w:pPr>
              <w:spacing w:after="0"/>
              <w:rPr>
                <w:bCs/>
                <w:szCs w:val="24"/>
                <w:lang w:val="en-GB"/>
              </w:rPr>
            </w:pPr>
            <w:r w:rsidRPr="001D7384">
              <w:rPr>
                <w:bCs/>
                <w:szCs w:val="24"/>
                <w:lang w:val="en-GB"/>
              </w:rPr>
              <w:t>The protection system must have at least the following standard security functionalities:</w:t>
            </w:r>
          </w:p>
          <w:p w14:paraId="24F1678D" w14:textId="77777777" w:rsidR="003F11D6" w:rsidRPr="001D7384" w:rsidRDefault="003F11D6" w:rsidP="00E12AE0">
            <w:pPr>
              <w:spacing w:after="0"/>
              <w:rPr>
                <w:bCs/>
                <w:szCs w:val="24"/>
                <w:lang w:val="en-GB"/>
              </w:rPr>
            </w:pPr>
          </w:p>
          <w:p w14:paraId="5C1E64A3" w14:textId="77777777" w:rsidR="003F11D6" w:rsidRPr="001D7384" w:rsidRDefault="003F11D6" w:rsidP="00E12AE0">
            <w:pPr>
              <w:spacing w:after="0"/>
              <w:rPr>
                <w:bCs/>
                <w:szCs w:val="24"/>
                <w:lang w:val="en-GB"/>
              </w:rPr>
            </w:pPr>
            <w:r w:rsidRPr="001D7384">
              <w:rPr>
                <w:bCs/>
                <w:szCs w:val="24"/>
                <w:lang w:val="en-GB"/>
              </w:rPr>
              <w:t>Protection against malicious threats, including:</w:t>
            </w:r>
          </w:p>
          <w:p w14:paraId="1507A7F2"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Anti-Ransomware protection,</w:t>
            </w:r>
          </w:p>
          <w:p w14:paraId="61C2A383"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Next Generation Antivirus Protection,</w:t>
            </w:r>
          </w:p>
          <w:p w14:paraId="0307C610"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Anti-Bot Protection,</w:t>
            </w:r>
          </w:p>
          <w:p w14:paraId="5C4615BF"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Anti-Exploit protection,</w:t>
            </w:r>
          </w:p>
          <w:p w14:paraId="07BD3A9A"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Anti-viral protection,</w:t>
            </w:r>
          </w:p>
          <w:p w14:paraId="017DD3E1"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Automated generation of forensic reports</w:t>
            </w:r>
          </w:p>
          <w:p w14:paraId="53361F7A" w14:textId="77777777" w:rsidR="003F11D6" w:rsidRPr="001D7384" w:rsidRDefault="003F11D6" w:rsidP="00E12AE0">
            <w:pPr>
              <w:pStyle w:val="ListParagraph"/>
              <w:numPr>
                <w:ilvl w:val="0"/>
                <w:numId w:val="190"/>
              </w:numPr>
              <w:suppressAutoHyphens/>
              <w:spacing w:after="0"/>
              <w:rPr>
                <w:bCs/>
                <w:szCs w:val="24"/>
                <w:lang w:val="en-GB"/>
              </w:rPr>
            </w:pPr>
            <w:proofErr w:type="spellStart"/>
            <w:r w:rsidRPr="001D7384">
              <w:rPr>
                <w:bCs/>
                <w:szCs w:val="24"/>
                <w:lang w:val="en-GB"/>
              </w:rPr>
              <w:t>Behavioral</w:t>
            </w:r>
            <w:proofErr w:type="spellEnd"/>
            <w:r w:rsidRPr="001D7384">
              <w:rPr>
                <w:bCs/>
                <w:szCs w:val="24"/>
                <w:lang w:val="en-GB"/>
              </w:rPr>
              <w:t xml:space="preserve"> guard</w:t>
            </w:r>
          </w:p>
          <w:p w14:paraId="5E6262C3"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Zero-phishing</w:t>
            </w:r>
          </w:p>
          <w:p w14:paraId="7F73B72A"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Corporate credential reuse protection</w:t>
            </w:r>
          </w:p>
          <w:p w14:paraId="1546CEC8" w14:textId="77777777" w:rsidR="003F11D6" w:rsidRPr="001D7384" w:rsidRDefault="003F11D6" w:rsidP="00E12AE0">
            <w:pPr>
              <w:pStyle w:val="ListParagraph"/>
              <w:numPr>
                <w:ilvl w:val="0"/>
                <w:numId w:val="190"/>
              </w:numPr>
              <w:suppressAutoHyphens/>
              <w:spacing w:after="0"/>
              <w:rPr>
                <w:bCs/>
                <w:szCs w:val="24"/>
                <w:lang w:val="en-GB"/>
              </w:rPr>
            </w:pPr>
            <w:r w:rsidRPr="001D7384">
              <w:rPr>
                <w:bCs/>
                <w:szCs w:val="24"/>
                <w:lang w:val="en-GB"/>
              </w:rPr>
              <w:t xml:space="preserve">Zero-Day protection founded on sandbox </w:t>
            </w:r>
            <w:proofErr w:type="gramStart"/>
            <w:r w:rsidRPr="001D7384">
              <w:rPr>
                <w:bCs/>
                <w:szCs w:val="24"/>
                <w:lang w:val="en-GB"/>
              </w:rPr>
              <w:t>emulation</w:t>
            </w:r>
            <w:proofErr w:type="gramEnd"/>
          </w:p>
          <w:p w14:paraId="58778055" w14:textId="77777777" w:rsidR="003F11D6" w:rsidRPr="001D7384" w:rsidRDefault="003F11D6" w:rsidP="00E12AE0">
            <w:pPr>
              <w:spacing w:after="0"/>
              <w:rPr>
                <w:bCs/>
                <w:szCs w:val="24"/>
                <w:lang w:val="en-GB"/>
              </w:rPr>
            </w:pPr>
          </w:p>
          <w:p w14:paraId="7B832720" w14:textId="77777777" w:rsidR="003F11D6" w:rsidRPr="001D7384" w:rsidRDefault="003F11D6" w:rsidP="00E12AE0">
            <w:pPr>
              <w:spacing w:after="0"/>
              <w:rPr>
                <w:bCs/>
                <w:szCs w:val="24"/>
                <w:lang w:val="en-GB"/>
              </w:rPr>
            </w:pPr>
            <w:r w:rsidRPr="001D7384">
              <w:rPr>
                <w:bCs/>
                <w:szCs w:val="24"/>
                <w:lang w:val="en-GB"/>
              </w:rPr>
              <w:t>Protection of access control, including:</w:t>
            </w:r>
          </w:p>
          <w:p w14:paraId="7180E631" w14:textId="77777777" w:rsidR="003F11D6" w:rsidRPr="001D7384" w:rsidRDefault="003F11D6" w:rsidP="00E12AE0">
            <w:pPr>
              <w:spacing w:after="0"/>
              <w:rPr>
                <w:bCs/>
                <w:szCs w:val="24"/>
                <w:lang w:val="en-GB"/>
              </w:rPr>
            </w:pPr>
          </w:p>
          <w:p w14:paraId="790BD178" w14:textId="77777777" w:rsidR="003F11D6" w:rsidRPr="001D7384" w:rsidRDefault="003F11D6" w:rsidP="00E12AE0">
            <w:pPr>
              <w:pStyle w:val="ListParagraph"/>
              <w:numPr>
                <w:ilvl w:val="0"/>
                <w:numId w:val="192"/>
              </w:numPr>
              <w:suppressAutoHyphens/>
              <w:spacing w:after="0"/>
              <w:rPr>
                <w:bCs/>
                <w:szCs w:val="24"/>
                <w:lang w:val="en-GB"/>
              </w:rPr>
            </w:pPr>
            <w:r w:rsidRPr="001D7384">
              <w:rPr>
                <w:bCs/>
                <w:szCs w:val="24"/>
                <w:lang w:val="en-GB"/>
              </w:rPr>
              <w:t>Endpoint Firewall</w:t>
            </w:r>
          </w:p>
          <w:p w14:paraId="556FE98B" w14:textId="77777777" w:rsidR="003F11D6" w:rsidRPr="001D7384" w:rsidRDefault="003F11D6" w:rsidP="00E12AE0">
            <w:pPr>
              <w:pStyle w:val="ListParagraph"/>
              <w:numPr>
                <w:ilvl w:val="0"/>
                <w:numId w:val="192"/>
              </w:numPr>
              <w:suppressAutoHyphens/>
              <w:spacing w:after="0"/>
              <w:rPr>
                <w:bCs/>
                <w:szCs w:val="24"/>
                <w:lang w:val="en-GB"/>
              </w:rPr>
            </w:pPr>
            <w:r w:rsidRPr="001D7384">
              <w:rPr>
                <w:bCs/>
                <w:szCs w:val="24"/>
                <w:lang w:val="en-GB"/>
              </w:rPr>
              <w:t>Application Control</w:t>
            </w:r>
          </w:p>
          <w:p w14:paraId="415F6A90" w14:textId="77777777" w:rsidR="003F11D6" w:rsidRPr="001D7384" w:rsidRDefault="003F11D6" w:rsidP="00E12AE0">
            <w:pPr>
              <w:spacing w:after="0"/>
              <w:rPr>
                <w:bCs/>
                <w:szCs w:val="24"/>
                <w:lang w:val="en-GB"/>
              </w:rPr>
            </w:pPr>
            <w:r w:rsidRPr="001D7384">
              <w:rPr>
                <w:bCs/>
                <w:szCs w:val="24"/>
                <w:lang w:val="en-GB"/>
              </w:rPr>
              <w:t>protection from access to malicious web pages and URL links</w:t>
            </w:r>
          </w:p>
          <w:p w14:paraId="0487F3D4" w14:textId="77777777" w:rsidR="003F11D6" w:rsidRPr="001D7384" w:rsidRDefault="003F11D6" w:rsidP="00E12AE0">
            <w:pPr>
              <w:pStyle w:val="ListParagraph"/>
              <w:numPr>
                <w:ilvl w:val="0"/>
                <w:numId w:val="193"/>
              </w:numPr>
              <w:suppressAutoHyphens/>
              <w:spacing w:after="0"/>
              <w:rPr>
                <w:bCs/>
                <w:szCs w:val="24"/>
                <w:lang w:val="en-GB"/>
              </w:rPr>
            </w:pPr>
            <w:r w:rsidRPr="001D7384">
              <w:rPr>
                <w:bCs/>
                <w:szCs w:val="24"/>
                <w:lang w:val="en-GB"/>
              </w:rPr>
              <w:t>Port Protection</w:t>
            </w:r>
          </w:p>
          <w:p w14:paraId="6EA1B380" w14:textId="77777777" w:rsidR="003F11D6" w:rsidRPr="001D7384" w:rsidRDefault="003F11D6" w:rsidP="00E12AE0">
            <w:pPr>
              <w:pStyle w:val="ListParagraph"/>
              <w:numPr>
                <w:ilvl w:val="0"/>
                <w:numId w:val="193"/>
              </w:numPr>
              <w:suppressAutoHyphens/>
              <w:spacing w:after="0"/>
              <w:rPr>
                <w:bCs/>
                <w:szCs w:val="24"/>
                <w:lang w:val="en-GB"/>
              </w:rPr>
            </w:pPr>
            <w:r w:rsidRPr="001D7384">
              <w:rPr>
                <w:bCs/>
                <w:szCs w:val="24"/>
                <w:lang w:val="en-GB"/>
              </w:rPr>
              <w:t>Endpoint Compliance</w:t>
            </w:r>
          </w:p>
          <w:p w14:paraId="4C702B23" w14:textId="77777777" w:rsidR="003F11D6" w:rsidRPr="001D7384" w:rsidRDefault="003F11D6" w:rsidP="00E12AE0">
            <w:pPr>
              <w:pStyle w:val="ListParagraph"/>
              <w:numPr>
                <w:ilvl w:val="0"/>
                <w:numId w:val="193"/>
              </w:numPr>
              <w:suppressAutoHyphens/>
              <w:spacing w:after="0"/>
              <w:rPr>
                <w:bCs/>
                <w:szCs w:val="24"/>
                <w:lang w:val="en-GB"/>
              </w:rPr>
            </w:pPr>
            <w:r w:rsidRPr="001D7384">
              <w:rPr>
                <w:bCs/>
                <w:szCs w:val="24"/>
                <w:lang w:val="en-GB"/>
              </w:rPr>
              <w:t xml:space="preserve">Full disk encryption </w:t>
            </w:r>
          </w:p>
          <w:p w14:paraId="0633BE73" w14:textId="77777777" w:rsidR="003F11D6" w:rsidRPr="001D7384" w:rsidRDefault="003F11D6" w:rsidP="00E12AE0">
            <w:pPr>
              <w:pStyle w:val="ListParagraph"/>
              <w:numPr>
                <w:ilvl w:val="0"/>
                <w:numId w:val="193"/>
              </w:numPr>
              <w:suppressAutoHyphens/>
              <w:spacing w:after="0"/>
              <w:rPr>
                <w:bCs/>
                <w:szCs w:val="24"/>
                <w:lang w:val="en-GB"/>
              </w:rPr>
            </w:pPr>
            <w:r w:rsidRPr="001D7384">
              <w:rPr>
                <w:bCs/>
                <w:szCs w:val="24"/>
                <w:lang w:val="en-GB"/>
              </w:rPr>
              <w:t>Media Encryption</w:t>
            </w:r>
          </w:p>
          <w:p w14:paraId="0A1E085D" w14:textId="77777777" w:rsidR="003F11D6" w:rsidRPr="001D7384" w:rsidRDefault="003F11D6" w:rsidP="00E12AE0">
            <w:pPr>
              <w:pStyle w:val="ListParagraph"/>
              <w:numPr>
                <w:ilvl w:val="0"/>
                <w:numId w:val="193"/>
              </w:numPr>
              <w:suppressAutoHyphens/>
              <w:spacing w:after="0"/>
              <w:rPr>
                <w:bCs/>
                <w:szCs w:val="24"/>
                <w:lang w:val="en-GB"/>
              </w:rPr>
            </w:pPr>
            <w:r w:rsidRPr="001D7384">
              <w:rPr>
                <w:bCs/>
                <w:szCs w:val="24"/>
                <w:lang w:val="en-GB"/>
              </w:rPr>
              <w:t xml:space="preserve">Remote Access VPN </w:t>
            </w:r>
          </w:p>
          <w:p w14:paraId="3D338F4F" w14:textId="77777777" w:rsidR="003F11D6" w:rsidRPr="001D7384" w:rsidRDefault="003F11D6" w:rsidP="00E12AE0">
            <w:pPr>
              <w:spacing w:after="0"/>
              <w:rPr>
                <w:b/>
                <w:szCs w:val="24"/>
                <w:lang w:val="en-GB"/>
              </w:rPr>
            </w:pPr>
          </w:p>
          <w:p w14:paraId="7E0D9406" w14:textId="77777777" w:rsidR="003F11D6" w:rsidRPr="001D7384" w:rsidRDefault="003F11D6" w:rsidP="00E12AE0">
            <w:pPr>
              <w:spacing w:after="0"/>
              <w:rPr>
                <w:bCs/>
                <w:szCs w:val="24"/>
                <w:lang w:val="en-GB"/>
              </w:rPr>
            </w:pPr>
            <w:r w:rsidRPr="001D7384">
              <w:rPr>
                <w:bCs/>
                <w:szCs w:val="24"/>
                <w:lang w:val="en-GB"/>
              </w:rPr>
              <w:t>The requested solution must have the ability to adaptively detect and block malware resulting from mutations based on their real-time behaviour.</w:t>
            </w:r>
          </w:p>
          <w:p w14:paraId="69F4B193" w14:textId="77777777" w:rsidR="003F11D6" w:rsidRPr="001D7384" w:rsidRDefault="003F11D6" w:rsidP="00E12AE0">
            <w:pPr>
              <w:spacing w:after="0"/>
              <w:rPr>
                <w:bCs/>
                <w:szCs w:val="24"/>
                <w:lang w:val="en-GB"/>
              </w:rPr>
            </w:pPr>
          </w:p>
          <w:p w14:paraId="6B4D36EE" w14:textId="77777777" w:rsidR="003F11D6" w:rsidRPr="001D7384" w:rsidRDefault="003F11D6" w:rsidP="00E12AE0">
            <w:pPr>
              <w:spacing w:after="0"/>
              <w:rPr>
                <w:bCs/>
                <w:szCs w:val="24"/>
                <w:lang w:val="en-GB"/>
              </w:rPr>
            </w:pPr>
            <w:r w:rsidRPr="001D7384">
              <w:rPr>
                <w:bCs/>
                <w:szCs w:val="24"/>
                <w:lang w:val="en-GB"/>
              </w:rPr>
              <w:t>Next Generation Antiviral Protection must be based on machine learning mechanism.</w:t>
            </w:r>
          </w:p>
          <w:p w14:paraId="0C414332" w14:textId="77777777" w:rsidR="003F11D6" w:rsidRPr="001D7384" w:rsidRDefault="003F11D6" w:rsidP="00E12AE0">
            <w:pPr>
              <w:spacing w:after="0"/>
              <w:rPr>
                <w:bCs/>
                <w:szCs w:val="24"/>
                <w:lang w:val="en-GB"/>
              </w:rPr>
            </w:pPr>
          </w:p>
          <w:p w14:paraId="3EBB9D05" w14:textId="77777777" w:rsidR="003F11D6" w:rsidRPr="001D7384" w:rsidRDefault="003F11D6" w:rsidP="00E12AE0">
            <w:pPr>
              <w:spacing w:after="0"/>
              <w:rPr>
                <w:bCs/>
                <w:szCs w:val="24"/>
                <w:lang w:val="en-GB"/>
              </w:rPr>
            </w:pPr>
            <w:r w:rsidRPr="001D7384">
              <w:rPr>
                <w:bCs/>
                <w:szCs w:val="24"/>
                <w:lang w:val="en-GB"/>
              </w:rPr>
              <w:t>The requested solution must have an Anti-Exploit protection, with the possibility of detecting suspicious processes in memory.</w:t>
            </w:r>
          </w:p>
          <w:p w14:paraId="3E83AA13" w14:textId="77777777" w:rsidR="003F11D6" w:rsidRPr="001D7384" w:rsidRDefault="003F11D6" w:rsidP="00E12AE0">
            <w:pPr>
              <w:spacing w:after="0"/>
              <w:rPr>
                <w:bCs/>
                <w:szCs w:val="24"/>
                <w:lang w:val="en-GB"/>
              </w:rPr>
            </w:pPr>
            <w:r w:rsidRPr="001D7384">
              <w:rPr>
                <w:bCs/>
                <w:szCs w:val="24"/>
                <w:lang w:val="en-GB"/>
              </w:rPr>
              <w:t>The built-in under the framework Anti-Exploit must be based on at least the following technologies:</w:t>
            </w:r>
          </w:p>
          <w:p w14:paraId="5C206BE6" w14:textId="77777777" w:rsidR="003F11D6" w:rsidRPr="001D7384" w:rsidRDefault="003F11D6" w:rsidP="00E12AE0">
            <w:pPr>
              <w:spacing w:after="0"/>
              <w:rPr>
                <w:bCs/>
                <w:szCs w:val="24"/>
                <w:lang w:val="en-GB"/>
              </w:rPr>
            </w:pPr>
          </w:p>
          <w:p w14:paraId="62D83DF4" w14:textId="77777777" w:rsidR="003F11D6" w:rsidRPr="001D7384" w:rsidRDefault="003F11D6" w:rsidP="00E12AE0">
            <w:pPr>
              <w:pStyle w:val="ListParagraph"/>
              <w:numPr>
                <w:ilvl w:val="0"/>
                <w:numId w:val="194"/>
              </w:numPr>
              <w:suppressAutoHyphens/>
              <w:spacing w:after="0"/>
              <w:rPr>
                <w:bCs/>
                <w:szCs w:val="24"/>
                <w:lang w:val="en-GB"/>
              </w:rPr>
            </w:pPr>
            <w:r w:rsidRPr="001D7384">
              <w:rPr>
                <w:bCs/>
                <w:szCs w:val="24"/>
                <w:lang w:val="en-GB"/>
              </w:rPr>
              <w:t>Import – Export Address Table Parsing</w:t>
            </w:r>
          </w:p>
          <w:p w14:paraId="1CCDACF5" w14:textId="77777777" w:rsidR="003F11D6" w:rsidRPr="001D7384" w:rsidRDefault="003F11D6" w:rsidP="00E12AE0">
            <w:pPr>
              <w:pStyle w:val="ListParagraph"/>
              <w:numPr>
                <w:ilvl w:val="0"/>
                <w:numId w:val="194"/>
              </w:numPr>
              <w:suppressAutoHyphens/>
              <w:spacing w:after="0"/>
              <w:rPr>
                <w:bCs/>
                <w:szCs w:val="24"/>
                <w:lang w:val="en-GB"/>
              </w:rPr>
            </w:pPr>
            <w:r w:rsidRPr="001D7384">
              <w:rPr>
                <w:bCs/>
                <w:szCs w:val="24"/>
                <w:lang w:val="en-GB"/>
              </w:rPr>
              <w:t>Return Oriented Programming</w:t>
            </w:r>
          </w:p>
          <w:p w14:paraId="1970FB63" w14:textId="77777777" w:rsidR="003F11D6" w:rsidRPr="001D7384" w:rsidRDefault="003F11D6" w:rsidP="00E12AE0">
            <w:pPr>
              <w:pStyle w:val="ListParagraph"/>
              <w:numPr>
                <w:ilvl w:val="0"/>
                <w:numId w:val="194"/>
              </w:numPr>
              <w:suppressAutoHyphens/>
              <w:spacing w:after="0"/>
              <w:rPr>
                <w:bCs/>
                <w:szCs w:val="24"/>
                <w:lang w:val="en-GB"/>
              </w:rPr>
            </w:pPr>
            <w:r w:rsidRPr="001D7384">
              <w:rPr>
                <w:bCs/>
                <w:szCs w:val="24"/>
                <w:lang w:val="en-GB"/>
              </w:rPr>
              <w:t>Stack Pivoting</w:t>
            </w:r>
          </w:p>
          <w:p w14:paraId="1E68CA47" w14:textId="77777777" w:rsidR="003F11D6" w:rsidRPr="001D7384" w:rsidRDefault="003F11D6" w:rsidP="00E12AE0">
            <w:pPr>
              <w:pStyle w:val="ListParagraph"/>
              <w:numPr>
                <w:ilvl w:val="0"/>
                <w:numId w:val="194"/>
              </w:numPr>
              <w:suppressAutoHyphens/>
              <w:spacing w:after="0"/>
              <w:rPr>
                <w:bCs/>
                <w:szCs w:val="24"/>
                <w:lang w:val="en-GB"/>
              </w:rPr>
            </w:pPr>
            <w:r w:rsidRPr="001D7384">
              <w:rPr>
                <w:bCs/>
                <w:szCs w:val="24"/>
                <w:lang w:val="en-GB"/>
              </w:rPr>
              <w:t>VB Script God Mode</w:t>
            </w:r>
          </w:p>
          <w:p w14:paraId="3524B9F2" w14:textId="77777777" w:rsidR="003F11D6" w:rsidRPr="001D7384" w:rsidRDefault="003F11D6" w:rsidP="00E12AE0">
            <w:pPr>
              <w:spacing w:after="0"/>
              <w:rPr>
                <w:bCs/>
                <w:szCs w:val="24"/>
                <w:lang w:val="en-GB"/>
              </w:rPr>
            </w:pPr>
          </w:p>
          <w:p w14:paraId="5CFE3C93" w14:textId="77777777" w:rsidR="003F11D6" w:rsidRPr="001D7384" w:rsidRDefault="003F11D6" w:rsidP="00E12AE0">
            <w:pPr>
              <w:spacing w:after="0"/>
              <w:rPr>
                <w:bCs/>
                <w:szCs w:val="24"/>
                <w:lang w:val="en-GB"/>
              </w:rPr>
            </w:pPr>
            <w:r w:rsidRPr="001D7384">
              <w:rPr>
                <w:bCs/>
                <w:szCs w:val="24"/>
                <w:lang w:val="en-GB"/>
              </w:rPr>
              <w:t>The requested solution must have a zero-day malware protection based on the principle of sending files to a secure cloud sandbox for detailed verification.</w:t>
            </w:r>
          </w:p>
          <w:p w14:paraId="2066AE11" w14:textId="77777777" w:rsidR="003F11D6" w:rsidRPr="001D7384" w:rsidRDefault="003F11D6" w:rsidP="00E12AE0">
            <w:pPr>
              <w:spacing w:after="0"/>
              <w:rPr>
                <w:bCs/>
                <w:szCs w:val="24"/>
                <w:lang w:val="en-GB"/>
              </w:rPr>
            </w:pPr>
          </w:p>
          <w:p w14:paraId="1E3093C6" w14:textId="77777777" w:rsidR="003F11D6" w:rsidRPr="001D7384" w:rsidRDefault="003F11D6" w:rsidP="00E12AE0">
            <w:pPr>
              <w:spacing w:after="0"/>
              <w:rPr>
                <w:bCs/>
                <w:szCs w:val="24"/>
                <w:lang w:val="en-GB"/>
              </w:rPr>
            </w:pPr>
            <w:r w:rsidRPr="001D7384">
              <w:rPr>
                <w:bCs/>
                <w:szCs w:val="24"/>
                <w:lang w:val="en-GB"/>
              </w:rPr>
              <w:t xml:space="preserve">The requested solution must have the possibility to automatically remove active elements of documents such as PDF JavaScript Actions, Macros, and Embedded objects in which there may be malicious content and delivery of filtered documents without waiting for the completion of sandbox file checking. </w:t>
            </w:r>
          </w:p>
          <w:p w14:paraId="48A1E55A" w14:textId="77777777" w:rsidR="003F11D6" w:rsidRPr="001D7384" w:rsidRDefault="003F11D6" w:rsidP="00E12AE0">
            <w:pPr>
              <w:spacing w:after="0"/>
              <w:rPr>
                <w:bCs/>
                <w:szCs w:val="24"/>
                <w:lang w:val="en-GB"/>
              </w:rPr>
            </w:pPr>
            <w:r w:rsidRPr="001D7384">
              <w:rPr>
                <w:bCs/>
                <w:szCs w:val="24"/>
                <w:lang w:val="en-GB"/>
              </w:rPr>
              <w:t xml:space="preserve">User must have the option to download the original file after completing the </w:t>
            </w:r>
            <w:proofErr w:type="gramStart"/>
            <w:r w:rsidRPr="001D7384">
              <w:rPr>
                <w:bCs/>
                <w:szCs w:val="24"/>
                <w:lang w:val="en-GB"/>
              </w:rPr>
              <w:t>sand-box</w:t>
            </w:r>
            <w:proofErr w:type="gramEnd"/>
            <w:r w:rsidRPr="001D7384">
              <w:rPr>
                <w:bCs/>
                <w:szCs w:val="24"/>
                <w:lang w:val="en-GB"/>
              </w:rPr>
              <w:t xml:space="preserve"> check</w:t>
            </w:r>
          </w:p>
          <w:p w14:paraId="05E8800C" w14:textId="77777777" w:rsidR="003F11D6" w:rsidRPr="001D7384" w:rsidRDefault="003F11D6" w:rsidP="00E12AE0">
            <w:pPr>
              <w:spacing w:after="0"/>
              <w:rPr>
                <w:bCs/>
                <w:szCs w:val="24"/>
                <w:lang w:val="en-GB"/>
              </w:rPr>
            </w:pPr>
            <w:r w:rsidRPr="001D7384">
              <w:rPr>
                <w:bCs/>
                <w:szCs w:val="24"/>
                <w:lang w:val="en-GB"/>
              </w:rPr>
              <w:t xml:space="preserve">The port protection level must have the opportunity to control content exchanged through USB, </w:t>
            </w:r>
            <w:proofErr w:type="spellStart"/>
            <w:r w:rsidRPr="001D7384">
              <w:rPr>
                <w:bCs/>
                <w:szCs w:val="24"/>
                <w:lang w:val="en-GB"/>
              </w:rPr>
              <w:t>WiFi</w:t>
            </w:r>
            <w:proofErr w:type="spellEnd"/>
            <w:r w:rsidRPr="001D7384">
              <w:rPr>
                <w:bCs/>
                <w:szCs w:val="24"/>
                <w:lang w:val="en-GB"/>
              </w:rPr>
              <w:t xml:space="preserve">, and Bluetooth ports. </w:t>
            </w:r>
          </w:p>
          <w:p w14:paraId="4384F160" w14:textId="02145792" w:rsidR="003F11D6" w:rsidRPr="001D7384" w:rsidRDefault="003F11D6" w:rsidP="00E12AE0">
            <w:pPr>
              <w:spacing w:after="0"/>
              <w:rPr>
                <w:bCs/>
                <w:szCs w:val="24"/>
                <w:lang w:val="en-GB"/>
              </w:rPr>
            </w:pPr>
            <w:r w:rsidRPr="001D7384">
              <w:rPr>
                <w:bCs/>
                <w:szCs w:val="24"/>
                <w:lang w:val="en-GB"/>
              </w:rPr>
              <w:t xml:space="preserve">The required solution must have an integrated tool for proactively detecting and removing </w:t>
            </w:r>
            <w:r w:rsidR="001D7384" w:rsidRPr="001D7384">
              <w:rPr>
                <w:bCs/>
                <w:szCs w:val="24"/>
                <w:lang w:val="en-GB"/>
              </w:rPr>
              <w:t>cyber</w:t>
            </w:r>
            <w:r w:rsidR="001D7384">
              <w:rPr>
                <w:bCs/>
                <w:szCs w:val="24"/>
                <w:lang w:val="en-GB"/>
              </w:rPr>
              <w:t>-</w:t>
            </w:r>
            <w:r w:rsidR="001D7384" w:rsidRPr="001D7384">
              <w:rPr>
                <w:bCs/>
                <w:szCs w:val="24"/>
                <w:lang w:val="en-GB"/>
              </w:rPr>
              <w:t>attacks</w:t>
            </w:r>
            <w:r w:rsidRPr="001D7384">
              <w:rPr>
                <w:bCs/>
                <w:szCs w:val="24"/>
                <w:lang w:val="en-GB"/>
              </w:rPr>
              <w:t xml:space="preserve"> (Threat Hunting) based on compromise indicators (IoC). </w:t>
            </w:r>
          </w:p>
          <w:p w14:paraId="5E2CBF5F" w14:textId="56B2CFE9" w:rsidR="003F11D6" w:rsidRPr="001D7384" w:rsidRDefault="003F11D6" w:rsidP="00E12AE0">
            <w:pPr>
              <w:spacing w:after="0"/>
              <w:rPr>
                <w:bCs/>
                <w:szCs w:val="24"/>
                <w:lang w:val="en-GB"/>
              </w:rPr>
            </w:pPr>
            <w:r w:rsidRPr="001D7384">
              <w:rPr>
                <w:bCs/>
                <w:szCs w:val="24"/>
                <w:lang w:val="en-GB"/>
              </w:rPr>
              <w:t xml:space="preserve">The requested solution must have the compatibility to be installed on servers with </w:t>
            </w:r>
            <w:r w:rsidRPr="001D7384">
              <w:rPr>
                <w:bCs/>
                <w:szCs w:val="24"/>
                <w:lang w:val="en-GB"/>
              </w:rPr>
              <w:lastRenderedPageBreak/>
              <w:t>at least the most common underlying versions of operating systems.</w:t>
            </w:r>
          </w:p>
          <w:p w14:paraId="75B694FF" w14:textId="77777777" w:rsidR="003F11D6" w:rsidRPr="001D7384" w:rsidRDefault="003F11D6" w:rsidP="00E12AE0">
            <w:pPr>
              <w:spacing w:after="0"/>
              <w:rPr>
                <w:bCs/>
                <w:szCs w:val="24"/>
                <w:lang w:val="en-GB"/>
              </w:rPr>
            </w:pPr>
          </w:p>
          <w:p w14:paraId="23D6229A" w14:textId="77777777" w:rsidR="003F11D6" w:rsidRPr="001D7384" w:rsidRDefault="003F11D6" w:rsidP="00E12AE0">
            <w:pPr>
              <w:spacing w:after="0"/>
              <w:rPr>
                <w:bCs/>
                <w:szCs w:val="24"/>
                <w:lang w:val="en-GB"/>
              </w:rPr>
            </w:pPr>
            <w:r w:rsidRPr="001D7384">
              <w:rPr>
                <w:bCs/>
                <w:szCs w:val="24"/>
                <w:lang w:val="en-GB"/>
              </w:rPr>
              <w:t>The requested solution must have the functionality to control the input/output traffic of the servers using the source/destination IP address and the gate.</w:t>
            </w:r>
          </w:p>
          <w:p w14:paraId="68FA42B0" w14:textId="77777777" w:rsidR="003F11D6" w:rsidRPr="001D7384" w:rsidRDefault="003F11D6" w:rsidP="00E12AE0">
            <w:pPr>
              <w:spacing w:after="0"/>
              <w:rPr>
                <w:bCs/>
                <w:szCs w:val="24"/>
                <w:lang w:val="en-GB"/>
              </w:rPr>
            </w:pPr>
          </w:p>
          <w:p w14:paraId="63DD447C" w14:textId="77777777" w:rsidR="003F11D6" w:rsidRPr="001D7384" w:rsidRDefault="003F11D6" w:rsidP="00E12AE0">
            <w:pPr>
              <w:spacing w:after="0"/>
              <w:rPr>
                <w:bCs/>
                <w:szCs w:val="24"/>
                <w:lang w:val="en-GB"/>
              </w:rPr>
            </w:pPr>
            <w:r w:rsidRPr="001D7384">
              <w:rPr>
                <w:bCs/>
                <w:szCs w:val="24"/>
                <w:lang w:val="en-GB"/>
              </w:rPr>
              <w:t>A third-party solution must have an automated tool to verify the compliance of endpoint security settings with the centrally defined standards.</w:t>
            </w:r>
          </w:p>
        </w:tc>
        <w:tc>
          <w:tcPr>
            <w:tcW w:w="3690" w:type="dxa"/>
          </w:tcPr>
          <w:p w14:paraId="3A992E20" w14:textId="77777777" w:rsidR="003F11D6" w:rsidRPr="001D7384" w:rsidRDefault="003F11D6" w:rsidP="00E12AE0">
            <w:pPr>
              <w:spacing w:after="0"/>
              <w:rPr>
                <w:b/>
                <w:szCs w:val="24"/>
                <w:lang w:val="en-GB"/>
              </w:rPr>
            </w:pPr>
          </w:p>
        </w:tc>
      </w:tr>
      <w:tr w:rsidR="003F11D6" w:rsidRPr="0078065D" w14:paraId="6648BB4D" w14:textId="77777777" w:rsidTr="00416750">
        <w:trPr>
          <w:trHeight w:val="3279"/>
        </w:trPr>
        <w:tc>
          <w:tcPr>
            <w:tcW w:w="1134" w:type="dxa"/>
          </w:tcPr>
          <w:p w14:paraId="0C815086" w14:textId="77777777" w:rsidR="003F11D6" w:rsidRPr="001D7384" w:rsidRDefault="003F11D6" w:rsidP="00E12AE0">
            <w:pPr>
              <w:spacing w:after="0"/>
              <w:rPr>
                <w:b/>
                <w:szCs w:val="24"/>
                <w:lang w:val="en-GB"/>
              </w:rPr>
            </w:pPr>
            <w:r w:rsidRPr="001D7384">
              <w:rPr>
                <w:b/>
                <w:szCs w:val="24"/>
                <w:lang w:val="en-GB"/>
              </w:rPr>
              <w:lastRenderedPageBreak/>
              <w:t>1.13</w:t>
            </w:r>
          </w:p>
        </w:tc>
        <w:tc>
          <w:tcPr>
            <w:tcW w:w="4531" w:type="dxa"/>
            <w:vAlign w:val="center"/>
          </w:tcPr>
          <w:p w14:paraId="57FAE8F0" w14:textId="77777777" w:rsidR="003F11D6" w:rsidRPr="001D7384" w:rsidRDefault="003F11D6" w:rsidP="00E12AE0">
            <w:pPr>
              <w:spacing w:after="0"/>
              <w:rPr>
                <w:b/>
                <w:szCs w:val="24"/>
                <w:lang w:val="en-GB"/>
              </w:rPr>
            </w:pPr>
            <w:r w:rsidRPr="001D7384">
              <w:rPr>
                <w:b/>
                <w:szCs w:val="24"/>
                <w:lang w:val="en-GB"/>
              </w:rPr>
              <w:t>HW Installation and configuration</w:t>
            </w:r>
          </w:p>
          <w:p w14:paraId="4FC72B3C"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Required hardware management IP addresses and Operating system management IP addresses must be asked in advanced and provided by the Beneficiary.</w:t>
            </w:r>
          </w:p>
          <w:p w14:paraId="26D273CA"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Rack, PDU and Horizontal and Vertical Cable Management installation. Connecting PDU’s to Customs power sockets provided by the Beneficiary.</w:t>
            </w:r>
          </w:p>
          <w:p w14:paraId="72B0E1CC"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Installing TOR switches and OOBM switches in rack.</w:t>
            </w:r>
          </w:p>
          <w:p w14:paraId="06D35203"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lastRenderedPageBreak/>
              <w:t>Configuring switches according to the Beneficiary instructions.</w:t>
            </w:r>
          </w:p>
          <w:p w14:paraId="73FDFD27"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Server installation in rack. Connecting LAN, and OOBM cables.</w:t>
            </w:r>
          </w:p>
          <w:p w14:paraId="71E5A69E"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Configuring server management IP addresses.</w:t>
            </w:r>
          </w:p>
          <w:p w14:paraId="1235F982"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Backup system integration and configuration.</w:t>
            </w:r>
          </w:p>
          <w:p w14:paraId="3BB19850" w14:textId="77777777" w:rsidR="003F11D6" w:rsidRPr="001D7384" w:rsidRDefault="003F11D6" w:rsidP="00E12AE0">
            <w:pPr>
              <w:pStyle w:val="ListParagraph"/>
              <w:numPr>
                <w:ilvl w:val="0"/>
                <w:numId w:val="154"/>
              </w:numPr>
              <w:spacing w:after="0"/>
              <w:ind w:left="490" w:hanging="436"/>
              <w:rPr>
                <w:bCs/>
                <w:szCs w:val="24"/>
                <w:lang w:val="en-GB"/>
              </w:rPr>
            </w:pPr>
            <w:r w:rsidRPr="001D7384">
              <w:rPr>
                <w:bCs/>
                <w:szCs w:val="24"/>
                <w:lang w:val="en-GB"/>
              </w:rPr>
              <w:t>It is the Contractor responsibility to provide LLD (Low Level Design) documentation and deliver to Beneficiary in electronic form and in hard copy.</w:t>
            </w:r>
          </w:p>
          <w:p w14:paraId="272D15B9" w14:textId="77777777" w:rsidR="003F11D6" w:rsidRPr="001D7384" w:rsidRDefault="003F11D6" w:rsidP="00E12AE0">
            <w:pPr>
              <w:spacing w:after="0"/>
              <w:rPr>
                <w:bCs/>
                <w:szCs w:val="24"/>
                <w:lang w:val="en-GB"/>
              </w:rPr>
            </w:pPr>
          </w:p>
          <w:p w14:paraId="07A719D3" w14:textId="77777777" w:rsidR="003F11D6" w:rsidRPr="001D7384" w:rsidRDefault="003F11D6" w:rsidP="00E12AE0">
            <w:pPr>
              <w:spacing w:after="0"/>
              <w:rPr>
                <w:b/>
                <w:szCs w:val="24"/>
                <w:lang w:val="en-GB"/>
              </w:rPr>
            </w:pPr>
            <w:r w:rsidRPr="001D7384">
              <w:rPr>
                <w:b/>
                <w:szCs w:val="24"/>
                <w:lang w:val="en-GB"/>
              </w:rPr>
              <w:t>Server virtualization software/platform installation and configuration</w:t>
            </w:r>
          </w:p>
          <w:p w14:paraId="30966F4C" w14:textId="77777777" w:rsidR="003F11D6" w:rsidRPr="001D7384" w:rsidRDefault="003F11D6" w:rsidP="00E12AE0">
            <w:pPr>
              <w:pStyle w:val="ListParagraph"/>
              <w:numPr>
                <w:ilvl w:val="0"/>
                <w:numId w:val="154"/>
              </w:numPr>
              <w:spacing w:after="0"/>
              <w:ind w:left="490"/>
              <w:rPr>
                <w:bCs/>
                <w:szCs w:val="24"/>
                <w:lang w:val="en-GB"/>
              </w:rPr>
            </w:pPr>
            <w:r w:rsidRPr="001D7384">
              <w:rPr>
                <w:bCs/>
                <w:szCs w:val="24"/>
                <w:lang w:val="en-GB"/>
              </w:rPr>
              <w:t>Required IP addresses for all services for Virtualization software/platform must be asked in advanced and provided by the Beneficiary.</w:t>
            </w:r>
          </w:p>
          <w:p w14:paraId="16388091" w14:textId="77777777" w:rsidR="003F11D6" w:rsidRPr="001D7384" w:rsidRDefault="003F11D6" w:rsidP="00E12AE0">
            <w:pPr>
              <w:pStyle w:val="ListParagraph"/>
              <w:numPr>
                <w:ilvl w:val="0"/>
                <w:numId w:val="154"/>
              </w:numPr>
              <w:spacing w:after="0"/>
              <w:ind w:left="490"/>
              <w:rPr>
                <w:bCs/>
                <w:szCs w:val="24"/>
                <w:lang w:val="en-GB"/>
              </w:rPr>
            </w:pPr>
            <w:r w:rsidRPr="001D7384">
              <w:rPr>
                <w:bCs/>
                <w:szCs w:val="24"/>
                <w:lang w:val="en-GB"/>
              </w:rPr>
              <w:t>It is the Contractor responsibility to install and configure all required and proposed virtualization management components.</w:t>
            </w:r>
          </w:p>
          <w:p w14:paraId="10A8F8DF" w14:textId="77777777" w:rsidR="003F11D6" w:rsidRPr="001D7384" w:rsidRDefault="003F11D6" w:rsidP="00E12AE0">
            <w:pPr>
              <w:pStyle w:val="ListParagraph"/>
              <w:numPr>
                <w:ilvl w:val="0"/>
                <w:numId w:val="155"/>
              </w:numPr>
              <w:spacing w:after="0"/>
              <w:ind w:left="490"/>
              <w:rPr>
                <w:bCs/>
                <w:szCs w:val="24"/>
                <w:lang w:val="en-GB"/>
              </w:rPr>
            </w:pPr>
            <w:r w:rsidRPr="001D7384">
              <w:rPr>
                <w:bCs/>
                <w:szCs w:val="24"/>
                <w:lang w:val="en-GB"/>
              </w:rPr>
              <w:t xml:space="preserve">Contractor will install and configure virtualization software on servers (item 1.4 and 1.5) and create virtual machines. All configuration parameters such as allocation of virtual CPUs, RAM, virtual disk space, </w:t>
            </w:r>
            <w:proofErr w:type="spellStart"/>
            <w:r w:rsidRPr="001D7384">
              <w:rPr>
                <w:bCs/>
                <w:szCs w:val="24"/>
                <w:lang w:val="en-GB"/>
              </w:rPr>
              <w:t>vNiC</w:t>
            </w:r>
            <w:proofErr w:type="spellEnd"/>
            <w:r w:rsidRPr="001D7384">
              <w:rPr>
                <w:bCs/>
                <w:szCs w:val="24"/>
                <w:lang w:val="en-GB"/>
              </w:rPr>
              <w:t xml:space="preserve"> to each virtual machine are subject of proposed software solution design.</w:t>
            </w:r>
          </w:p>
        </w:tc>
        <w:tc>
          <w:tcPr>
            <w:tcW w:w="3690" w:type="dxa"/>
          </w:tcPr>
          <w:p w14:paraId="3D602D59" w14:textId="77777777" w:rsidR="003F11D6" w:rsidRPr="001D7384" w:rsidRDefault="003F11D6" w:rsidP="00E12AE0">
            <w:pPr>
              <w:spacing w:after="0"/>
              <w:rPr>
                <w:b/>
                <w:szCs w:val="24"/>
                <w:lang w:val="en-GB"/>
              </w:rPr>
            </w:pPr>
          </w:p>
        </w:tc>
      </w:tr>
    </w:tbl>
    <w:p w14:paraId="6663A07F" w14:textId="1BFDE151" w:rsidR="00E12AE0" w:rsidRDefault="00E12AE0" w:rsidP="001136D3">
      <w:pPr>
        <w:pStyle w:val="Head32"/>
        <w:ind w:right="-360"/>
        <w:jc w:val="both"/>
      </w:pPr>
    </w:p>
    <w:p w14:paraId="1F8922CD" w14:textId="77777777" w:rsidR="003F11D6" w:rsidRPr="003F11D6" w:rsidRDefault="003F11D6" w:rsidP="003F11D6">
      <w:pPr>
        <w:pStyle w:val="Head5a2"/>
      </w:pPr>
      <w:r w:rsidRPr="001D7384">
        <w:t>Data Base Management System Specifications</w:t>
      </w:r>
    </w:p>
    <w:p w14:paraId="6CE03C38" w14:textId="77777777" w:rsidR="003F11D6" w:rsidRDefault="003F11D6" w:rsidP="001136D3">
      <w:pPr>
        <w:pStyle w:val="Head32"/>
        <w:ind w:right="-360"/>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77"/>
        <w:gridCol w:w="5218"/>
        <w:gridCol w:w="2695"/>
      </w:tblGrid>
      <w:tr w:rsidR="003F11D6" w:rsidRPr="00AC5790" w14:paraId="26D18BD1"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664978D" w14:textId="77777777" w:rsidR="003F11D6" w:rsidRPr="00927FB2" w:rsidRDefault="003F11D6" w:rsidP="00E10D1E">
            <w:pPr>
              <w:pStyle w:val="TableParagraph"/>
              <w:spacing w:before="118" w:line="254" w:lineRule="auto"/>
              <w:ind w:left="107"/>
              <w:rPr>
                <w:b/>
              </w:rPr>
            </w:pPr>
            <w:r w:rsidRPr="00927FB2">
              <w:rPr>
                <w:b/>
              </w:rPr>
              <w:t>1</w:t>
            </w:r>
          </w:p>
        </w:tc>
        <w:tc>
          <w:tcPr>
            <w:tcW w:w="2902"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91E5FB1" w14:textId="77777777" w:rsidR="00416750" w:rsidRPr="00927FB2" w:rsidRDefault="003F11D6" w:rsidP="00E10D1E">
            <w:pPr>
              <w:pStyle w:val="TableParagraph"/>
              <w:tabs>
                <w:tab w:val="left" w:pos="177"/>
                <w:tab w:val="left" w:pos="2243"/>
                <w:tab w:val="left" w:pos="2685"/>
                <w:tab w:val="left" w:pos="3985"/>
              </w:tabs>
              <w:spacing w:before="118" w:line="254" w:lineRule="auto"/>
              <w:ind w:left="107" w:right="98"/>
              <w:rPr>
                <w:b/>
              </w:rPr>
            </w:pPr>
            <w:r w:rsidRPr="00927FB2">
              <w:rPr>
                <w:b/>
              </w:rPr>
              <w:t>Software license –</w:t>
            </w:r>
            <w:r w:rsidRPr="00927FB2">
              <w:rPr>
                <w:b/>
              </w:rPr>
              <w:tab/>
              <w:t>Relational</w:t>
            </w:r>
            <w:r w:rsidRPr="00927FB2">
              <w:rPr>
                <w:b/>
              </w:rPr>
              <w:tab/>
            </w:r>
            <w:r w:rsidRPr="00927FB2">
              <w:rPr>
                <w:b/>
                <w:spacing w:val="-3"/>
              </w:rPr>
              <w:t xml:space="preserve">Database </w:t>
            </w:r>
            <w:r w:rsidRPr="00927FB2">
              <w:rPr>
                <w:b/>
              </w:rPr>
              <w:t>Management System Type 1 (Gov) – Quantity</w:t>
            </w:r>
            <w:r w:rsidRPr="00927FB2">
              <w:rPr>
                <w:b/>
                <w:spacing w:val="-8"/>
              </w:rPr>
              <w:t xml:space="preserve"> </w:t>
            </w:r>
            <w:r w:rsidRPr="00927FB2">
              <w:rPr>
                <w:b/>
              </w:rPr>
              <w:t>4</w:t>
            </w:r>
          </w:p>
          <w:p w14:paraId="5C169EB0" w14:textId="544D83C6" w:rsidR="003F11D6" w:rsidRPr="00927FB2" w:rsidRDefault="003F11D6" w:rsidP="00E10D1E">
            <w:pPr>
              <w:pStyle w:val="TableParagraph"/>
              <w:tabs>
                <w:tab w:val="left" w:pos="177"/>
                <w:tab w:val="left" w:pos="2243"/>
                <w:tab w:val="left" w:pos="2685"/>
                <w:tab w:val="left" w:pos="3985"/>
              </w:tabs>
              <w:spacing w:before="118" w:line="254" w:lineRule="auto"/>
              <w:ind w:left="107" w:right="98"/>
              <w:rPr>
                <w:b/>
              </w:rPr>
            </w:pPr>
          </w:p>
        </w:tc>
        <w:tc>
          <w:tcPr>
            <w:tcW w:w="149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D2B50E" w14:textId="77777777" w:rsidR="003F11D6" w:rsidRPr="00927FB2" w:rsidRDefault="003F11D6" w:rsidP="00E10D1E">
            <w:pPr>
              <w:pStyle w:val="TableParagraph"/>
              <w:spacing w:line="254" w:lineRule="auto"/>
              <w:rPr>
                <w:b/>
              </w:rPr>
            </w:pPr>
            <w:r w:rsidRPr="00927FB2">
              <w:rPr>
                <w:b/>
              </w:rPr>
              <w:t xml:space="preserve">Specifications offered </w:t>
            </w:r>
          </w:p>
        </w:tc>
      </w:tr>
      <w:tr w:rsidR="003F11D6" w:rsidRPr="00AC5790" w14:paraId="459D7173"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FED91BD" w14:textId="77777777" w:rsidR="003F11D6" w:rsidRPr="00927FB2" w:rsidRDefault="003F11D6" w:rsidP="00E10D1E">
            <w:pPr>
              <w:pStyle w:val="TableParagraph"/>
              <w:spacing w:before="118" w:line="254" w:lineRule="auto"/>
              <w:ind w:left="107"/>
            </w:pPr>
            <w:r w:rsidRPr="00927FB2">
              <w:lastRenderedPageBreak/>
              <w:t>1.1</w:t>
            </w:r>
          </w:p>
        </w:tc>
        <w:tc>
          <w:tcPr>
            <w:tcW w:w="2902" w:type="pct"/>
            <w:tcBorders>
              <w:top w:val="single" w:sz="4" w:space="0" w:color="000000"/>
              <w:left w:val="single" w:sz="4" w:space="0" w:color="000000"/>
              <w:bottom w:val="single" w:sz="4" w:space="0" w:color="000000"/>
              <w:right w:val="single" w:sz="4" w:space="0" w:color="000000"/>
            </w:tcBorders>
            <w:hideMark/>
          </w:tcPr>
          <w:p w14:paraId="67FCDE11" w14:textId="77777777" w:rsidR="003F11D6" w:rsidRPr="00927FB2" w:rsidRDefault="003F11D6" w:rsidP="00E10D1E">
            <w:pPr>
              <w:pStyle w:val="TableParagraph"/>
              <w:spacing w:before="113" w:line="254" w:lineRule="auto"/>
              <w:ind w:left="107" w:right="95"/>
            </w:pPr>
            <w:r w:rsidRPr="00927FB2">
              <w:t>A database management system must be proposed as relational database software (RDBMS - Relational Database Management System)</w:t>
            </w:r>
          </w:p>
        </w:tc>
        <w:tc>
          <w:tcPr>
            <w:tcW w:w="1499" w:type="pct"/>
            <w:tcBorders>
              <w:top w:val="single" w:sz="4" w:space="0" w:color="000000"/>
              <w:left w:val="single" w:sz="4" w:space="0" w:color="000000"/>
              <w:bottom w:val="single" w:sz="4" w:space="0" w:color="000000"/>
              <w:right w:val="single" w:sz="4" w:space="0" w:color="000000"/>
            </w:tcBorders>
          </w:tcPr>
          <w:p w14:paraId="6AE02D48" w14:textId="77777777" w:rsidR="003F11D6" w:rsidRPr="00927FB2" w:rsidRDefault="003F11D6" w:rsidP="00E10D1E">
            <w:pPr>
              <w:pStyle w:val="TableParagraph"/>
              <w:spacing w:line="254" w:lineRule="auto"/>
            </w:pPr>
          </w:p>
        </w:tc>
      </w:tr>
      <w:tr w:rsidR="003F11D6" w:rsidRPr="00AC5790" w14:paraId="27F5155F"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41615BB" w14:textId="77777777" w:rsidR="003F11D6" w:rsidRPr="00927FB2" w:rsidRDefault="003F11D6" w:rsidP="00E10D1E">
            <w:pPr>
              <w:pStyle w:val="TableParagraph"/>
              <w:spacing w:before="118" w:line="254" w:lineRule="auto"/>
              <w:ind w:left="107"/>
            </w:pPr>
            <w:r w:rsidRPr="00927FB2">
              <w:t>1.2</w:t>
            </w:r>
          </w:p>
        </w:tc>
        <w:tc>
          <w:tcPr>
            <w:tcW w:w="2902" w:type="pct"/>
            <w:tcBorders>
              <w:top w:val="single" w:sz="4" w:space="0" w:color="000000"/>
              <w:left w:val="single" w:sz="4" w:space="0" w:color="000000"/>
              <w:bottom w:val="single" w:sz="4" w:space="0" w:color="000000"/>
              <w:right w:val="single" w:sz="4" w:space="0" w:color="000000"/>
            </w:tcBorders>
            <w:hideMark/>
          </w:tcPr>
          <w:p w14:paraId="1E4C6F51" w14:textId="77777777" w:rsidR="003F11D6" w:rsidRPr="00927FB2" w:rsidRDefault="003F11D6" w:rsidP="00E10D1E">
            <w:pPr>
              <w:pStyle w:val="TableParagraph"/>
              <w:spacing w:before="113" w:line="254" w:lineRule="auto"/>
              <w:ind w:left="107" w:right="107"/>
            </w:pPr>
            <w:r w:rsidRPr="00927FB2">
              <w:t>The RDBMS shall provide add, delete, edit, search, and sort options for records in the selected databases.</w:t>
            </w:r>
          </w:p>
        </w:tc>
        <w:tc>
          <w:tcPr>
            <w:tcW w:w="1499" w:type="pct"/>
            <w:tcBorders>
              <w:top w:val="single" w:sz="4" w:space="0" w:color="000000"/>
              <w:left w:val="single" w:sz="4" w:space="0" w:color="000000"/>
              <w:bottom w:val="single" w:sz="4" w:space="0" w:color="000000"/>
              <w:right w:val="single" w:sz="4" w:space="0" w:color="000000"/>
            </w:tcBorders>
          </w:tcPr>
          <w:p w14:paraId="75573BBB" w14:textId="77777777" w:rsidR="003F11D6" w:rsidRPr="00927FB2" w:rsidRDefault="003F11D6" w:rsidP="00E10D1E">
            <w:pPr>
              <w:pStyle w:val="TableParagraph"/>
              <w:spacing w:line="254" w:lineRule="auto"/>
            </w:pPr>
          </w:p>
        </w:tc>
      </w:tr>
      <w:tr w:rsidR="003F11D6" w:rsidRPr="00AC5790" w14:paraId="5D29E083"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0041AF1D" w14:textId="77777777" w:rsidR="003F11D6" w:rsidRPr="00927FB2" w:rsidRDefault="003F11D6" w:rsidP="00E10D1E">
            <w:pPr>
              <w:pStyle w:val="TableParagraph"/>
              <w:spacing w:before="118" w:line="254" w:lineRule="auto"/>
              <w:ind w:left="107"/>
            </w:pPr>
            <w:r w:rsidRPr="00927FB2">
              <w:t>1.3</w:t>
            </w:r>
          </w:p>
        </w:tc>
        <w:tc>
          <w:tcPr>
            <w:tcW w:w="2902" w:type="pct"/>
            <w:tcBorders>
              <w:top w:val="single" w:sz="4" w:space="0" w:color="000000"/>
              <w:left w:val="single" w:sz="4" w:space="0" w:color="000000"/>
              <w:bottom w:val="single" w:sz="4" w:space="0" w:color="000000"/>
              <w:right w:val="single" w:sz="4" w:space="0" w:color="000000"/>
            </w:tcBorders>
            <w:hideMark/>
          </w:tcPr>
          <w:p w14:paraId="72E79797" w14:textId="541531A6" w:rsidR="003F11D6" w:rsidRPr="00927FB2" w:rsidRDefault="003F11D6" w:rsidP="00E10D1E">
            <w:pPr>
              <w:pStyle w:val="TableParagraph"/>
              <w:spacing w:before="113" w:line="254" w:lineRule="auto"/>
              <w:ind w:left="107" w:right="93"/>
            </w:pPr>
            <w:r w:rsidRPr="00927FB2">
              <w:t xml:space="preserve">Proposed RDBMS must be fully compatible and certified by the RDBMS vendor for the operating system of the database servers, installed on the Primary location and the database servers </w:t>
            </w:r>
            <w:r w:rsidR="00FD5243" w:rsidRPr="00927FB2">
              <w:t xml:space="preserve">"Database Servers – Virtualized UNIX/Linux hosts" </w:t>
            </w:r>
          </w:p>
        </w:tc>
        <w:tc>
          <w:tcPr>
            <w:tcW w:w="1499" w:type="pct"/>
            <w:tcBorders>
              <w:top w:val="single" w:sz="4" w:space="0" w:color="000000"/>
              <w:left w:val="single" w:sz="4" w:space="0" w:color="000000"/>
              <w:bottom w:val="single" w:sz="4" w:space="0" w:color="000000"/>
              <w:right w:val="single" w:sz="4" w:space="0" w:color="000000"/>
            </w:tcBorders>
          </w:tcPr>
          <w:p w14:paraId="39AF7491" w14:textId="77777777" w:rsidR="003F11D6" w:rsidRPr="00927FB2" w:rsidRDefault="003F11D6" w:rsidP="00E10D1E">
            <w:pPr>
              <w:pStyle w:val="TableParagraph"/>
              <w:spacing w:line="254" w:lineRule="auto"/>
            </w:pPr>
          </w:p>
        </w:tc>
      </w:tr>
      <w:tr w:rsidR="003F11D6" w:rsidRPr="00AC5790" w14:paraId="5435DC3C"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2A96F641" w14:textId="77777777" w:rsidR="003F11D6" w:rsidRPr="00927FB2" w:rsidRDefault="003F11D6" w:rsidP="00E10D1E">
            <w:pPr>
              <w:pStyle w:val="TableParagraph"/>
              <w:spacing w:before="118" w:line="254" w:lineRule="auto"/>
              <w:ind w:left="107"/>
            </w:pPr>
            <w:r w:rsidRPr="00927FB2">
              <w:t>1.4</w:t>
            </w:r>
          </w:p>
        </w:tc>
        <w:tc>
          <w:tcPr>
            <w:tcW w:w="2902" w:type="pct"/>
            <w:tcBorders>
              <w:top w:val="single" w:sz="4" w:space="0" w:color="000000"/>
              <w:left w:val="single" w:sz="4" w:space="0" w:color="000000"/>
              <w:bottom w:val="single" w:sz="4" w:space="0" w:color="000000"/>
              <w:right w:val="single" w:sz="4" w:space="0" w:color="000000"/>
            </w:tcBorders>
            <w:hideMark/>
          </w:tcPr>
          <w:p w14:paraId="7C71EE55" w14:textId="77777777" w:rsidR="003F11D6" w:rsidRPr="00927FB2" w:rsidRDefault="003F11D6" w:rsidP="00E10D1E">
            <w:pPr>
              <w:pStyle w:val="TableParagraph"/>
              <w:spacing w:before="113" w:line="254" w:lineRule="auto"/>
              <w:ind w:left="107"/>
            </w:pPr>
            <w:r w:rsidRPr="00927FB2">
              <w:t>Proposed RDBMS must not limit the size of the database to be created.</w:t>
            </w:r>
          </w:p>
        </w:tc>
        <w:tc>
          <w:tcPr>
            <w:tcW w:w="1499" w:type="pct"/>
            <w:tcBorders>
              <w:top w:val="single" w:sz="4" w:space="0" w:color="000000"/>
              <w:left w:val="single" w:sz="4" w:space="0" w:color="000000"/>
              <w:bottom w:val="single" w:sz="4" w:space="0" w:color="000000"/>
              <w:right w:val="single" w:sz="4" w:space="0" w:color="000000"/>
            </w:tcBorders>
          </w:tcPr>
          <w:p w14:paraId="39D12119" w14:textId="77777777" w:rsidR="003F11D6" w:rsidRPr="00927FB2" w:rsidRDefault="003F11D6" w:rsidP="00E10D1E">
            <w:pPr>
              <w:pStyle w:val="TableParagraph"/>
              <w:spacing w:line="254" w:lineRule="auto"/>
            </w:pPr>
          </w:p>
        </w:tc>
      </w:tr>
      <w:tr w:rsidR="003F11D6" w:rsidRPr="00AC5790" w14:paraId="488FD180"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314EDD7D" w14:textId="77777777" w:rsidR="003F11D6" w:rsidRPr="00927FB2" w:rsidRDefault="003F11D6" w:rsidP="00E10D1E">
            <w:pPr>
              <w:pStyle w:val="TableParagraph"/>
              <w:spacing w:before="118" w:line="254" w:lineRule="auto"/>
              <w:ind w:left="107"/>
            </w:pPr>
            <w:r w:rsidRPr="00927FB2">
              <w:t>1.5</w:t>
            </w:r>
          </w:p>
        </w:tc>
        <w:tc>
          <w:tcPr>
            <w:tcW w:w="2902" w:type="pct"/>
            <w:tcBorders>
              <w:top w:val="single" w:sz="4" w:space="0" w:color="000000"/>
              <w:left w:val="single" w:sz="4" w:space="0" w:color="000000"/>
              <w:bottom w:val="single" w:sz="4" w:space="0" w:color="000000"/>
              <w:right w:val="single" w:sz="4" w:space="0" w:color="000000"/>
            </w:tcBorders>
            <w:hideMark/>
          </w:tcPr>
          <w:p w14:paraId="3993C945" w14:textId="77777777" w:rsidR="003F11D6" w:rsidRPr="00927FB2" w:rsidRDefault="003F11D6" w:rsidP="00E10D1E">
            <w:pPr>
              <w:pStyle w:val="TableParagraph"/>
              <w:spacing w:before="117" w:line="252" w:lineRule="exact"/>
              <w:ind w:left="107" w:right="107"/>
            </w:pPr>
            <w:r w:rsidRPr="00927FB2">
              <w:t>Proposed RDBMS must support concurrent multi- user access and must not limit the number of connected users.</w:t>
            </w:r>
          </w:p>
        </w:tc>
        <w:tc>
          <w:tcPr>
            <w:tcW w:w="1499" w:type="pct"/>
            <w:tcBorders>
              <w:top w:val="single" w:sz="4" w:space="0" w:color="000000"/>
              <w:left w:val="single" w:sz="4" w:space="0" w:color="000000"/>
              <w:bottom w:val="single" w:sz="4" w:space="0" w:color="000000"/>
              <w:right w:val="single" w:sz="4" w:space="0" w:color="000000"/>
            </w:tcBorders>
          </w:tcPr>
          <w:p w14:paraId="759D3321" w14:textId="77777777" w:rsidR="003F11D6" w:rsidRPr="00927FB2" w:rsidRDefault="003F11D6" w:rsidP="00E10D1E">
            <w:pPr>
              <w:pStyle w:val="TableParagraph"/>
              <w:spacing w:line="254" w:lineRule="auto"/>
            </w:pPr>
          </w:p>
        </w:tc>
      </w:tr>
      <w:tr w:rsidR="003F11D6" w:rsidRPr="00AC5790" w14:paraId="77269D4A"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064F257" w14:textId="77777777" w:rsidR="003F11D6" w:rsidRPr="00927FB2" w:rsidRDefault="003F11D6" w:rsidP="00E10D1E">
            <w:pPr>
              <w:pStyle w:val="TableParagraph"/>
              <w:spacing w:before="118" w:line="254" w:lineRule="auto"/>
              <w:ind w:left="107"/>
            </w:pPr>
            <w:r w:rsidRPr="00927FB2">
              <w:t>1.6</w:t>
            </w:r>
          </w:p>
        </w:tc>
        <w:tc>
          <w:tcPr>
            <w:tcW w:w="2902" w:type="pct"/>
            <w:tcBorders>
              <w:top w:val="single" w:sz="4" w:space="0" w:color="000000"/>
              <w:left w:val="single" w:sz="4" w:space="0" w:color="000000"/>
              <w:bottom w:val="single" w:sz="4" w:space="0" w:color="000000"/>
              <w:right w:val="single" w:sz="4" w:space="0" w:color="000000"/>
            </w:tcBorders>
            <w:hideMark/>
          </w:tcPr>
          <w:p w14:paraId="4BB1E173" w14:textId="77777777" w:rsidR="003F11D6" w:rsidRPr="00927FB2" w:rsidRDefault="003F11D6" w:rsidP="00E10D1E">
            <w:pPr>
              <w:pStyle w:val="TableParagraph"/>
              <w:spacing w:before="113" w:line="254" w:lineRule="auto"/>
              <w:ind w:left="107" w:right="94"/>
            </w:pPr>
            <w:r w:rsidRPr="00927FB2">
              <w:t>Proposed RDBMS must be 100% compatible with common Internet/intranet platforms and Internet browsers.</w:t>
            </w:r>
          </w:p>
        </w:tc>
        <w:tc>
          <w:tcPr>
            <w:tcW w:w="1499" w:type="pct"/>
            <w:tcBorders>
              <w:top w:val="single" w:sz="4" w:space="0" w:color="000000"/>
              <w:left w:val="single" w:sz="4" w:space="0" w:color="000000"/>
              <w:bottom w:val="single" w:sz="4" w:space="0" w:color="000000"/>
              <w:right w:val="single" w:sz="4" w:space="0" w:color="000000"/>
            </w:tcBorders>
          </w:tcPr>
          <w:p w14:paraId="0222DD8F" w14:textId="77777777" w:rsidR="003F11D6" w:rsidRPr="00927FB2" w:rsidRDefault="003F11D6" w:rsidP="00E10D1E">
            <w:pPr>
              <w:pStyle w:val="TableParagraph"/>
              <w:spacing w:line="254" w:lineRule="auto"/>
            </w:pPr>
          </w:p>
        </w:tc>
      </w:tr>
      <w:tr w:rsidR="003F11D6" w:rsidRPr="00AC5790" w14:paraId="24B408A8"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1F6D1FDD" w14:textId="77777777" w:rsidR="003F11D6" w:rsidRPr="00927FB2" w:rsidRDefault="003F11D6" w:rsidP="00E10D1E">
            <w:pPr>
              <w:pStyle w:val="TableParagraph"/>
              <w:spacing w:before="118" w:line="254" w:lineRule="auto"/>
              <w:ind w:left="107"/>
            </w:pPr>
            <w:r w:rsidRPr="00927FB2">
              <w:t>1.7</w:t>
            </w:r>
          </w:p>
        </w:tc>
        <w:tc>
          <w:tcPr>
            <w:tcW w:w="2902" w:type="pct"/>
            <w:tcBorders>
              <w:top w:val="single" w:sz="4" w:space="0" w:color="000000"/>
              <w:left w:val="single" w:sz="4" w:space="0" w:color="000000"/>
              <w:bottom w:val="single" w:sz="4" w:space="0" w:color="000000"/>
              <w:right w:val="single" w:sz="4" w:space="0" w:color="000000"/>
            </w:tcBorders>
            <w:hideMark/>
          </w:tcPr>
          <w:p w14:paraId="386C1E0E" w14:textId="77777777" w:rsidR="003F11D6" w:rsidRPr="00927FB2" w:rsidRDefault="003F11D6" w:rsidP="00E10D1E">
            <w:pPr>
              <w:pStyle w:val="TableParagraph"/>
              <w:spacing w:before="113" w:line="254" w:lineRule="auto"/>
              <w:ind w:left="107" w:right="97"/>
            </w:pPr>
            <w:r w:rsidRPr="00927FB2">
              <w:t>Proposed RDBMS must support Unicode character set, as well as official languages of North Macedonia and English language.</w:t>
            </w:r>
          </w:p>
        </w:tc>
        <w:tc>
          <w:tcPr>
            <w:tcW w:w="1499" w:type="pct"/>
            <w:tcBorders>
              <w:top w:val="single" w:sz="4" w:space="0" w:color="000000"/>
              <w:left w:val="single" w:sz="4" w:space="0" w:color="000000"/>
              <w:bottom w:val="single" w:sz="4" w:space="0" w:color="000000"/>
              <w:right w:val="single" w:sz="4" w:space="0" w:color="000000"/>
            </w:tcBorders>
          </w:tcPr>
          <w:p w14:paraId="26C9BE7A" w14:textId="77777777" w:rsidR="003F11D6" w:rsidRPr="00927FB2" w:rsidRDefault="003F11D6" w:rsidP="00E10D1E">
            <w:pPr>
              <w:pStyle w:val="TableParagraph"/>
              <w:spacing w:line="254" w:lineRule="auto"/>
            </w:pPr>
          </w:p>
        </w:tc>
      </w:tr>
      <w:tr w:rsidR="003F11D6" w:rsidRPr="00AC5790" w14:paraId="4E540494"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29BCC9EF" w14:textId="77777777" w:rsidR="003F11D6" w:rsidRPr="00927FB2" w:rsidRDefault="003F11D6" w:rsidP="00E10D1E">
            <w:pPr>
              <w:pStyle w:val="TableParagraph"/>
              <w:spacing w:before="118" w:line="254" w:lineRule="auto"/>
              <w:ind w:left="107"/>
            </w:pPr>
            <w:r w:rsidRPr="00927FB2">
              <w:t>1.8</w:t>
            </w:r>
          </w:p>
        </w:tc>
        <w:tc>
          <w:tcPr>
            <w:tcW w:w="2902" w:type="pct"/>
            <w:tcBorders>
              <w:top w:val="single" w:sz="4" w:space="0" w:color="000000"/>
              <w:left w:val="single" w:sz="4" w:space="0" w:color="000000"/>
              <w:bottom w:val="single" w:sz="4" w:space="0" w:color="000000"/>
              <w:right w:val="single" w:sz="4" w:space="0" w:color="000000"/>
            </w:tcBorders>
            <w:hideMark/>
          </w:tcPr>
          <w:p w14:paraId="4A9B9271" w14:textId="77777777" w:rsidR="003F11D6" w:rsidRPr="00927FB2" w:rsidRDefault="003F11D6" w:rsidP="00E10D1E">
            <w:pPr>
              <w:pStyle w:val="TableParagraph"/>
              <w:spacing w:before="113" w:line="254" w:lineRule="auto"/>
              <w:ind w:left="107" w:right="97"/>
            </w:pPr>
            <w:r w:rsidRPr="00927FB2">
              <w:t xml:space="preserve">Proposed RDBMS must support a Web </w:t>
            </w:r>
            <w:proofErr w:type="gramStart"/>
            <w:r w:rsidRPr="00927FB2">
              <w:t>browser based</w:t>
            </w:r>
            <w:proofErr w:type="gramEnd"/>
            <w:r w:rsidRPr="00927FB2">
              <w:t xml:space="preserve"> console interface and remote administration utility for administration, maintenance, backup/recovery, monitoring and</w:t>
            </w:r>
            <w:r w:rsidRPr="00927FB2">
              <w:rPr>
                <w:spacing w:val="-5"/>
              </w:rPr>
              <w:t xml:space="preserve"> </w:t>
            </w:r>
            <w:r w:rsidRPr="00927FB2">
              <w:t>tuning.</w:t>
            </w:r>
          </w:p>
        </w:tc>
        <w:tc>
          <w:tcPr>
            <w:tcW w:w="1499" w:type="pct"/>
            <w:tcBorders>
              <w:top w:val="single" w:sz="4" w:space="0" w:color="000000"/>
              <w:left w:val="single" w:sz="4" w:space="0" w:color="000000"/>
              <w:bottom w:val="single" w:sz="4" w:space="0" w:color="000000"/>
              <w:right w:val="single" w:sz="4" w:space="0" w:color="000000"/>
            </w:tcBorders>
          </w:tcPr>
          <w:p w14:paraId="4D4DD0DE" w14:textId="77777777" w:rsidR="003F11D6" w:rsidRPr="00927FB2" w:rsidRDefault="003F11D6" w:rsidP="00E10D1E">
            <w:pPr>
              <w:pStyle w:val="TableParagraph"/>
              <w:spacing w:line="254" w:lineRule="auto"/>
            </w:pPr>
          </w:p>
        </w:tc>
      </w:tr>
      <w:tr w:rsidR="003F11D6" w:rsidRPr="00AC5790" w14:paraId="11CBD947"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01B2D331" w14:textId="370A608C" w:rsidR="003F11D6" w:rsidRPr="00927FB2" w:rsidRDefault="000E2832" w:rsidP="00E10D1E">
            <w:pPr>
              <w:pStyle w:val="TableParagraph"/>
              <w:spacing w:before="118" w:line="254" w:lineRule="auto"/>
              <w:ind w:left="107"/>
            </w:pPr>
            <w:r w:rsidRPr="00927FB2">
              <w:t>1.9</w:t>
            </w:r>
          </w:p>
        </w:tc>
        <w:tc>
          <w:tcPr>
            <w:tcW w:w="2902" w:type="pct"/>
            <w:tcBorders>
              <w:top w:val="single" w:sz="4" w:space="0" w:color="000000"/>
              <w:left w:val="single" w:sz="4" w:space="0" w:color="000000"/>
              <w:bottom w:val="single" w:sz="4" w:space="0" w:color="000000"/>
              <w:right w:val="single" w:sz="4" w:space="0" w:color="000000"/>
            </w:tcBorders>
            <w:hideMark/>
          </w:tcPr>
          <w:p w14:paraId="445CA6BD" w14:textId="77777777" w:rsidR="003F11D6" w:rsidRPr="00927FB2" w:rsidRDefault="003F11D6" w:rsidP="00E10D1E">
            <w:pPr>
              <w:pStyle w:val="TableParagraph"/>
              <w:spacing w:before="113" w:line="254" w:lineRule="auto"/>
              <w:ind w:left="107" w:right="95"/>
            </w:pPr>
            <w:r w:rsidRPr="00927FB2">
              <w:t>Proposed RDBMS must have built-in support for developing stored procedures, functions, and packages (collections of procedures and functions).</w:t>
            </w:r>
          </w:p>
        </w:tc>
        <w:tc>
          <w:tcPr>
            <w:tcW w:w="1499" w:type="pct"/>
            <w:tcBorders>
              <w:top w:val="single" w:sz="4" w:space="0" w:color="000000"/>
              <w:left w:val="single" w:sz="4" w:space="0" w:color="000000"/>
              <w:bottom w:val="single" w:sz="4" w:space="0" w:color="000000"/>
              <w:right w:val="single" w:sz="4" w:space="0" w:color="000000"/>
            </w:tcBorders>
          </w:tcPr>
          <w:p w14:paraId="31757362" w14:textId="77777777" w:rsidR="003F11D6" w:rsidRPr="00927FB2" w:rsidRDefault="003F11D6" w:rsidP="00E10D1E">
            <w:pPr>
              <w:pStyle w:val="TableParagraph"/>
              <w:spacing w:line="254" w:lineRule="auto"/>
            </w:pPr>
          </w:p>
        </w:tc>
      </w:tr>
      <w:tr w:rsidR="003F11D6" w:rsidRPr="00AC5790" w14:paraId="7432F417"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45B2A65" w14:textId="66C4B2EE" w:rsidR="003F11D6" w:rsidRPr="00927FB2" w:rsidRDefault="000E2832" w:rsidP="00E10D1E">
            <w:pPr>
              <w:pStyle w:val="TableParagraph"/>
              <w:spacing w:before="118" w:line="254" w:lineRule="auto"/>
              <w:ind w:left="107"/>
            </w:pPr>
            <w:r w:rsidRPr="00927FB2">
              <w:t>1.10</w:t>
            </w:r>
          </w:p>
        </w:tc>
        <w:tc>
          <w:tcPr>
            <w:tcW w:w="2902" w:type="pct"/>
            <w:tcBorders>
              <w:top w:val="single" w:sz="4" w:space="0" w:color="000000"/>
              <w:left w:val="single" w:sz="4" w:space="0" w:color="000000"/>
              <w:bottom w:val="single" w:sz="4" w:space="0" w:color="000000"/>
              <w:right w:val="single" w:sz="4" w:space="0" w:color="000000"/>
            </w:tcBorders>
            <w:hideMark/>
          </w:tcPr>
          <w:p w14:paraId="487647F9" w14:textId="77777777" w:rsidR="003F11D6" w:rsidRPr="00927FB2" w:rsidRDefault="003F11D6" w:rsidP="00E10D1E">
            <w:pPr>
              <w:pStyle w:val="TableParagraph"/>
              <w:spacing w:before="113" w:line="254" w:lineRule="auto"/>
              <w:ind w:left="107" w:right="95"/>
            </w:pPr>
            <w:r w:rsidRPr="00927FB2">
              <w:t>Proposed RDBMS must have built-in support for stored procedures, functions, and packages compilation during development and before execution.</w:t>
            </w:r>
          </w:p>
        </w:tc>
        <w:tc>
          <w:tcPr>
            <w:tcW w:w="1499" w:type="pct"/>
            <w:tcBorders>
              <w:top w:val="single" w:sz="4" w:space="0" w:color="000000"/>
              <w:left w:val="single" w:sz="4" w:space="0" w:color="000000"/>
              <w:bottom w:val="single" w:sz="4" w:space="0" w:color="000000"/>
              <w:right w:val="single" w:sz="4" w:space="0" w:color="000000"/>
            </w:tcBorders>
          </w:tcPr>
          <w:p w14:paraId="7CB3E8C8" w14:textId="77777777" w:rsidR="003F11D6" w:rsidRPr="00927FB2" w:rsidRDefault="003F11D6" w:rsidP="00E10D1E">
            <w:pPr>
              <w:pStyle w:val="TableParagraph"/>
              <w:spacing w:line="254" w:lineRule="auto"/>
            </w:pPr>
          </w:p>
        </w:tc>
      </w:tr>
      <w:tr w:rsidR="003F11D6" w:rsidRPr="00AC5790" w14:paraId="6A9A7F59"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1FB12388" w14:textId="599683F3" w:rsidR="003F11D6" w:rsidRPr="00927FB2" w:rsidRDefault="003F11D6" w:rsidP="00E10D1E">
            <w:pPr>
              <w:pStyle w:val="TableParagraph"/>
              <w:spacing w:before="118" w:line="254" w:lineRule="auto"/>
              <w:ind w:left="107"/>
            </w:pPr>
            <w:r w:rsidRPr="00927FB2">
              <w:t>1</w:t>
            </w:r>
            <w:r w:rsidR="000E2832" w:rsidRPr="00927FB2">
              <w:t>.11</w:t>
            </w:r>
          </w:p>
        </w:tc>
        <w:tc>
          <w:tcPr>
            <w:tcW w:w="2902" w:type="pct"/>
            <w:tcBorders>
              <w:top w:val="single" w:sz="4" w:space="0" w:color="000000"/>
              <w:left w:val="single" w:sz="4" w:space="0" w:color="000000"/>
              <w:bottom w:val="single" w:sz="4" w:space="0" w:color="000000"/>
              <w:right w:val="single" w:sz="4" w:space="0" w:color="000000"/>
            </w:tcBorders>
            <w:hideMark/>
          </w:tcPr>
          <w:p w14:paraId="69ACCA15" w14:textId="77777777" w:rsidR="003F11D6" w:rsidRPr="00927FB2" w:rsidRDefault="003F11D6" w:rsidP="00E10D1E">
            <w:pPr>
              <w:pStyle w:val="TableParagraph"/>
              <w:spacing w:before="113" w:line="254" w:lineRule="auto"/>
              <w:ind w:left="107" w:right="96"/>
            </w:pPr>
            <w:r w:rsidRPr="00927FB2">
              <w:t xml:space="preserve">Proposed RDBMS must support permissions assigned to database objects based on privileges, </w:t>
            </w:r>
            <w:proofErr w:type="gramStart"/>
            <w:r w:rsidRPr="00927FB2">
              <w:t>users</w:t>
            </w:r>
            <w:proofErr w:type="gramEnd"/>
            <w:r w:rsidRPr="00927FB2">
              <w:t xml:space="preserve"> and</w:t>
            </w:r>
            <w:r w:rsidRPr="00927FB2">
              <w:rPr>
                <w:spacing w:val="-4"/>
              </w:rPr>
              <w:t xml:space="preserve"> </w:t>
            </w:r>
            <w:r w:rsidRPr="00927FB2">
              <w:t>roles.</w:t>
            </w:r>
          </w:p>
        </w:tc>
        <w:tc>
          <w:tcPr>
            <w:tcW w:w="1499" w:type="pct"/>
            <w:tcBorders>
              <w:top w:val="single" w:sz="4" w:space="0" w:color="000000"/>
              <w:left w:val="single" w:sz="4" w:space="0" w:color="000000"/>
              <w:bottom w:val="single" w:sz="4" w:space="0" w:color="000000"/>
              <w:right w:val="single" w:sz="4" w:space="0" w:color="000000"/>
            </w:tcBorders>
          </w:tcPr>
          <w:p w14:paraId="24D171E1" w14:textId="77777777" w:rsidR="003F11D6" w:rsidRPr="00927FB2" w:rsidRDefault="003F11D6" w:rsidP="00E10D1E">
            <w:pPr>
              <w:pStyle w:val="TableParagraph"/>
              <w:spacing w:line="254" w:lineRule="auto"/>
            </w:pPr>
          </w:p>
        </w:tc>
      </w:tr>
      <w:tr w:rsidR="003F11D6" w:rsidRPr="00AC5790" w14:paraId="296CF842"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414677A" w14:textId="2FFA26FD" w:rsidR="003F11D6" w:rsidRPr="00927FB2" w:rsidRDefault="000E2832" w:rsidP="00E10D1E">
            <w:pPr>
              <w:pStyle w:val="TableParagraph"/>
              <w:spacing w:before="118" w:line="254" w:lineRule="auto"/>
              <w:ind w:left="107"/>
            </w:pPr>
            <w:r w:rsidRPr="00927FB2">
              <w:t>1.12</w:t>
            </w:r>
          </w:p>
        </w:tc>
        <w:tc>
          <w:tcPr>
            <w:tcW w:w="2902" w:type="pct"/>
            <w:tcBorders>
              <w:top w:val="single" w:sz="4" w:space="0" w:color="000000"/>
              <w:left w:val="single" w:sz="4" w:space="0" w:color="000000"/>
              <w:bottom w:val="single" w:sz="4" w:space="0" w:color="000000"/>
              <w:right w:val="single" w:sz="4" w:space="0" w:color="000000"/>
            </w:tcBorders>
            <w:hideMark/>
          </w:tcPr>
          <w:p w14:paraId="5DD28D9B" w14:textId="77777777" w:rsidR="003F11D6" w:rsidRPr="00927FB2" w:rsidRDefault="003F11D6" w:rsidP="00E10D1E">
            <w:pPr>
              <w:pStyle w:val="TableParagraph"/>
              <w:spacing w:before="116" w:line="254" w:lineRule="auto"/>
              <w:ind w:left="107"/>
            </w:pPr>
            <w:r w:rsidRPr="00927FB2">
              <w:t>Proposed RDBMS must provide an audit mechanism.</w:t>
            </w:r>
          </w:p>
        </w:tc>
        <w:tc>
          <w:tcPr>
            <w:tcW w:w="1499" w:type="pct"/>
            <w:tcBorders>
              <w:top w:val="single" w:sz="4" w:space="0" w:color="000000"/>
              <w:left w:val="single" w:sz="4" w:space="0" w:color="000000"/>
              <w:bottom w:val="single" w:sz="4" w:space="0" w:color="000000"/>
              <w:right w:val="single" w:sz="4" w:space="0" w:color="000000"/>
            </w:tcBorders>
          </w:tcPr>
          <w:p w14:paraId="718F6ECA" w14:textId="77777777" w:rsidR="003F11D6" w:rsidRPr="00927FB2" w:rsidRDefault="003F11D6" w:rsidP="00E10D1E">
            <w:pPr>
              <w:pStyle w:val="TableParagraph"/>
              <w:spacing w:line="254" w:lineRule="auto"/>
            </w:pPr>
          </w:p>
        </w:tc>
      </w:tr>
      <w:tr w:rsidR="003F11D6" w:rsidRPr="00AC5790" w14:paraId="7C7E04C3"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47CBB4B" w14:textId="014A715C" w:rsidR="003F11D6" w:rsidRPr="00927FB2" w:rsidRDefault="000E2832" w:rsidP="00E10D1E">
            <w:pPr>
              <w:pStyle w:val="TableParagraph"/>
              <w:spacing w:before="118" w:line="254" w:lineRule="auto"/>
              <w:ind w:left="107"/>
            </w:pPr>
            <w:r w:rsidRPr="00927FB2">
              <w:t>1.13</w:t>
            </w:r>
          </w:p>
        </w:tc>
        <w:tc>
          <w:tcPr>
            <w:tcW w:w="2902" w:type="pct"/>
            <w:tcBorders>
              <w:top w:val="single" w:sz="4" w:space="0" w:color="000000"/>
              <w:left w:val="single" w:sz="4" w:space="0" w:color="000000"/>
              <w:bottom w:val="single" w:sz="4" w:space="0" w:color="000000"/>
              <w:right w:val="single" w:sz="4" w:space="0" w:color="000000"/>
            </w:tcBorders>
            <w:hideMark/>
          </w:tcPr>
          <w:p w14:paraId="502A0962" w14:textId="77777777" w:rsidR="003F11D6" w:rsidRPr="00927FB2" w:rsidRDefault="003F11D6" w:rsidP="00E10D1E">
            <w:pPr>
              <w:pStyle w:val="TableParagraph"/>
              <w:spacing w:before="113" w:line="254" w:lineRule="auto"/>
              <w:ind w:left="107"/>
            </w:pPr>
            <w:r w:rsidRPr="00927FB2">
              <w:t>Proposed RDBMS must provide network encryption for the data sent between the client and server.</w:t>
            </w:r>
          </w:p>
        </w:tc>
        <w:tc>
          <w:tcPr>
            <w:tcW w:w="1499" w:type="pct"/>
            <w:tcBorders>
              <w:top w:val="single" w:sz="4" w:space="0" w:color="000000"/>
              <w:left w:val="single" w:sz="4" w:space="0" w:color="000000"/>
              <w:bottom w:val="single" w:sz="4" w:space="0" w:color="000000"/>
              <w:right w:val="single" w:sz="4" w:space="0" w:color="000000"/>
            </w:tcBorders>
          </w:tcPr>
          <w:p w14:paraId="77B6C5F8" w14:textId="77777777" w:rsidR="003F11D6" w:rsidRPr="00927FB2" w:rsidRDefault="003F11D6" w:rsidP="00E10D1E">
            <w:pPr>
              <w:pStyle w:val="TableParagraph"/>
              <w:spacing w:line="254" w:lineRule="auto"/>
            </w:pPr>
          </w:p>
        </w:tc>
      </w:tr>
      <w:tr w:rsidR="003F11D6" w:rsidRPr="00AC5790" w14:paraId="08F248B7"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0989A926" w14:textId="70FBC5EA" w:rsidR="003F11D6" w:rsidRPr="00927FB2" w:rsidRDefault="000E2832" w:rsidP="00E10D1E">
            <w:pPr>
              <w:pStyle w:val="TableParagraph"/>
              <w:spacing w:before="118" w:line="254" w:lineRule="auto"/>
              <w:ind w:left="107"/>
            </w:pPr>
            <w:r w:rsidRPr="00927FB2">
              <w:t>1.14</w:t>
            </w:r>
          </w:p>
        </w:tc>
        <w:tc>
          <w:tcPr>
            <w:tcW w:w="2902" w:type="pct"/>
            <w:tcBorders>
              <w:top w:val="single" w:sz="4" w:space="0" w:color="000000"/>
              <w:left w:val="single" w:sz="4" w:space="0" w:color="000000"/>
              <w:bottom w:val="single" w:sz="4" w:space="0" w:color="000000"/>
              <w:right w:val="single" w:sz="4" w:space="0" w:color="000000"/>
            </w:tcBorders>
            <w:hideMark/>
          </w:tcPr>
          <w:p w14:paraId="012AD779" w14:textId="77777777" w:rsidR="003F11D6" w:rsidRPr="00927FB2" w:rsidRDefault="003F11D6" w:rsidP="00E10D1E">
            <w:pPr>
              <w:pStyle w:val="TableParagraph"/>
              <w:spacing w:before="113" w:line="254" w:lineRule="auto"/>
              <w:ind w:left="107" w:right="95"/>
            </w:pPr>
            <w:r w:rsidRPr="00927FB2">
              <w:t>Proposed RDBMS must support complete and incremental backup/recovery. Backup functionality must support online operations in such way that backup of database can be done while database is up and running.</w:t>
            </w:r>
          </w:p>
        </w:tc>
        <w:tc>
          <w:tcPr>
            <w:tcW w:w="1499" w:type="pct"/>
            <w:tcBorders>
              <w:top w:val="single" w:sz="4" w:space="0" w:color="000000"/>
              <w:left w:val="single" w:sz="4" w:space="0" w:color="000000"/>
              <w:bottom w:val="single" w:sz="4" w:space="0" w:color="000000"/>
              <w:right w:val="single" w:sz="4" w:space="0" w:color="000000"/>
            </w:tcBorders>
          </w:tcPr>
          <w:p w14:paraId="6398E711" w14:textId="77777777" w:rsidR="003F11D6" w:rsidRPr="00927FB2" w:rsidRDefault="003F11D6" w:rsidP="00E10D1E">
            <w:pPr>
              <w:pStyle w:val="TableParagraph"/>
              <w:spacing w:line="254" w:lineRule="auto"/>
            </w:pPr>
          </w:p>
        </w:tc>
      </w:tr>
      <w:tr w:rsidR="003F11D6" w:rsidRPr="00AC5790" w14:paraId="52B2E4D6"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1DC4256" w14:textId="6DC93A3F" w:rsidR="003F11D6" w:rsidRPr="00927FB2" w:rsidRDefault="000E2832" w:rsidP="00E10D1E">
            <w:pPr>
              <w:pStyle w:val="TableParagraph"/>
              <w:spacing w:before="118" w:line="254" w:lineRule="auto"/>
              <w:ind w:left="107"/>
            </w:pPr>
            <w:r w:rsidRPr="00927FB2">
              <w:lastRenderedPageBreak/>
              <w:t>1.15</w:t>
            </w:r>
          </w:p>
        </w:tc>
        <w:tc>
          <w:tcPr>
            <w:tcW w:w="2902" w:type="pct"/>
            <w:tcBorders>
              <w:top w:val="single" w:sz="4" w:space="0" w:color="000000"/>
              <w:left w:val="single" w:sz="4" w:space="0" w:color="000000"/>
              <w:bottom w:val="single" w:sz="4" w:space="0" w:color="000000"/>
              <w:right w:val="single" w:sz="4" w:space="0" w:color="000000"/>
            </w:tcBorders>
            <w:hideMark/>
          </w:tcPr>
          <w:p w14:paraId="09E9BD61" w14:textId="77777777" w:rsidR="003F11D6" w:rsidRPr="00927FB2" w:rsidRDefault="003F11D6" w:rsidP="00E10D1E">
            <w:pPr>
              <w:pStyle w:val="TableParagraph"/>
              <w:spacing w:before="113" w:line="254" w:lineRule="auto"/>
              <w:ind w:left="107" w:right="107"/>
            </w:pPr>
            <w:r w:rsidRPr="00927FB2">
              <w:t>Proposed RDBMS must support automatic recovery in case of a transaction or system failure.</w:t>
            </w:r>
          </w:p>
        </w:tc>
        <w:tc>
          <w:tcPr>
            <w:tcW w:w="1499" w:type="pct"/>
            <w:tcBorders>
              <w:top w:val="single" w:sz="4" w:space="0" w:color="000000"/>
              <w:left w:val="single" w:sz="4" w:space="0" w:color="000000"/>
              <w:bottom w:val="single" w:sz="4" w:space="0" w:color="000000"/>
              <w:right w:val="single" w:sz="4" w:space="0" w:color="000000"/>
            </w:tcBorders>
          </w:tcPr>
          <w:p w14:paraId="6712E76F" w14:textId="77777777" w:rsidR="003F11D6" w:rsidRPr="00927FB2" w:rsidRDefault="003F11D6" w:rsidP="00E10D1E">
            <w:pPr>
              <w:pStyle w:val="TableParagraph"/>
              <w:spacing w:line="254" w:lineRule="auto"/>
            </w:pPr>
          </w:p>
        </w:tc>
      </w:tr>
      <w:tr w:rsidR="003F11D6" w:rsidRPr="00AC5790" w14:paraId="5A9985F7"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3401D397" w14:textId="591740DA" w:rsidR="003F11D6" w:rsidRPr="00927FB2" w:rsidRDefault="000E2832" w:rsidP="00E10D1E">
            <w:pPr>
              <w:pStyle w:val="TableParagraph"/>
              <w:spacing w:before="118" w:line="254" w:lineRule="auto"/>
              <w:ind w:left="107"/>
            </w:pPr>
            <w:r w:rsidRPr="00927FB2">
              <w:t>1.16</w:t>
            </w:r>
          </w:p>
        </w:tc>
        <w:tc>
          <w:tcPr>
            <w:tcW w:w="2902" w:type="pct"/>
            <w:tcBorders>
              <w:top w:val="single" w:sz="4" w:space="0" w:color="000000"/>
              <w:left w:val="single" w:sz="4" w:space="0" w:color="000000"/>
              <w:bottom w:val="single" w:sz="4" w:space="0" w:color="000000"/>
              <w:right w:val="single" w:sz="4" w:space="0" w:color="000000"/>
            </w:tcBorders>
            <w:hideMark/>
          </w:tcPr>
          <w:p w14:paraId="451F0645" w14:textId="77777777" w:rsidR="003F11D6" w:rsidRPr="00927FB2" w:rsidRDefault="003F11D6" w:rsidP="00E10D1E">
            <w:pPr>
              <w:pStyle w:val="TableParagraph"/>
              <w:spacing w:before="113" w:line="254" w:lineRule="auto"/>
              <w:ind w:left="107" w:right="96"/>
            </w:pPr>
            <w:r w:rsidRPr="00927FB2">
              <w:t>Proposed RDBMS must have support for alphanumeric, unstructured data, XML as well as spatial data.</w:t>
            </w:r>
          </w:p>
        </w:tc>
        <w:tc>
          <w:tcPr>
            <w:tcW w:w="1499" w:type="pct"/>
            <w:tcBorders>
              <w:top w:val="single" w:sz="4" w:space="0" w:color="000000"/>
              <w:left w:val="single" w:sz="4" w:space="0" w:color="000000"/>
              <w:bottom w:val="single" w:sz="4" w:space="0" w:color="000000"/>
              <w:right w:val="single" w:sz="4" w:space="0" w:color="000000"/>
            </w:tcBorders>
          </w:tcPr>
          <w:p w14:paraId="52406AAB" w14:textId="77777777" w:rsidR="003F11D6" w:rsidRPr="00927FB2" w:rsidRDefault="003F11D6" w:rsidP="00E10D1E">
            <w:pPr>
              <w:pStyle w:val="TableParagraph"/>
              <w:spacing w:line="254" w:lineRule="auto"/>
            </w:pPr>
          </w:p>
        </w:tc>
      </w:tr>
      <w:tr w:rsidR="003F11D6" w:rsidRPr="00AC5790" w14:paraId="5A04D53C"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EB53709" w14:textId="572324A8" w:rsidR="003F11D6" w:rsidRPr="00927FB2" w:rsidRDefault="001D7384" w:rsidP="00E10D1E">
            <w:pPr>
              <w:pStyle w:val="TableParagraph"/>
              <w:spacing w:before="118" w:line="254" w:lineRule="auto"/>
              <w:ind w:left="107"/>
            </w:pPr>
            <w:r w:rsidRPr="00927FB2">
              <w:t>1.1</w:t>
            </w:r>
            <w:r w:rsidR="000E2832" w:rsidRPr="00927FB2">
              <w:t>7</w:t>
            </w:r>
          </w:p>
        </w:tc>
        <w:tc>
          <w:tcPr>
            <w:tcW w:w="2902" w:type="pct"/>
            <w:tcBorders>
              <w:top w:val="single" w:sz="4" w:space="0" w:color="000000"/>
              <w:left w:val="single" w:sz="4" w:space="0" w:color="000000"/>
              <w:bottom w:val="single" w:sz="4" w:space="0" w:color="000000"/>
              <w:right w:val="single" w:sz="4" w:space="0" w:color="000000"/>
            </w:tcBorders>
            <w:hideMark/>
          </w:tcPr>
          <w:p w14:paraId="190D3A1A" w14:textId="77777777" w:rsidR="003F11D6" w:rsidRPr="00927FB2" w:rsidRDefault="003F11D6" w:rsidP="00E10D1E">
            <w:pPr>
              <w:pStyle w:val="TableParagraph"/>
              <w:spacing w:before="113" w:line="254" w:lineRule="auto"/>
              <w:ind w:left="107"/>
            </w:pPr>
            <w:r w:rsidRPr="00927FB2">
              <w:t>Spatial features of RDBMS must support:</w:t>
            </w:r>
          </w:p>
          <w:p w14:paraId="2B7AA527" w14:textId="77777777" w:rsidR="003F11D6" w:rsidRPr="00927FB2" w:rsidRDefault="003F11D6" w:rsidP="00E10D1E">
            <w:pPr>
              <w:pStyle w:val="TableParagraph"/>
              <w:spacing w:line="276" w:lineRule="auto"/>
              <w:ind w:left="467" w:right="91"/>
            </w:pPr>
            <w:r w:rsidRPr="00927FB2">
              <w:t>Spatial data must support different geometry types such as: points,</w:t>
            </w:r>
            <w:r w:rsidRPr="00927FB2">
              <w:rPr>
                <w:spacing w:val="19"/>
              </w:rPr>
              <w:t xml:space="preserve"> </w:t>
            </w:r>
            <w:r w:rsidRPr="00927FB2">
              <w:t>multi-points, lines, line strings, multi-line strings, polygons, multi- polygons, surfaces, multiple surfaces, 3-D geometry, and point cloud storage.</w:t>
            </w:r>
          </w:p>
          <w:p w14:paraId="1B1E9B5E" w14:textId="77777777" w:rsidR="003F11D6" w:rsidRPr="00927FB2" w:rsidRDefault="003F11D6" w:rsidP="00E10D1E">
            <w:pPr>
              <w:pStyle w:val="TableParagraph"/>
              <w:numPr>
                <w:ilvl w:val="0"/>
                <w:numId w:val="198"/>
              </w:numPr>
              <w:tabs>
                <w:tab w:val="left" w:pos="468"/>
              </w:tabs>
              <w:spacing w:line="276" w:lineRule="auto"/>
              <w:ind w:right="96"/>
            </w:pPr>
            <w:r w:rsidRPr="00927FB2">
              <w:t xml:space="preserve">Spatial operators for determining geospatial measurements like area, distance, </w:t>
            </w:r>
            <w:proofErr w:type="gramStart"/>
            <w:r w:rsidRPr="00927FB2">
              <w:t>length</w:t>
            </w:r>
            <w:proofErr w:type="gramEnd"/>
            <w:r w:rsidRPr="00927FB2">
              <w:t xml:space="preserve"> and perimeter, as well as geospatial set operations like union, difference, and symmetric</w:t>
            </w:r>
            <w:r w:rsidRPr="00927FB2">
              <w:rPr>
                <w:spacing w:val="-12"/>
              </w:rPr>
              <w:t xml:space="preserve"> </w:t>
            </w:r>
            <w:r w:rsidRPr="00927FB2">
              <w:t>difference.</w:t>
            </w:r>
          </w:p>
          <w:p w14:paraId="003B2298" w14:textId="77777777" w:rsidR="003F11D6" w:rsidRPr="00927FB2" w:rsidRDefault="003F11D6" w:rsidP="00E10D1E">
            <w:pPr>
              <w:pStyle w:val="TableParagraph"/>
              <w:numPr>
                <w:ilvl w:val="0"/>
                <w:numId w:val="198"/>
              </w:numPr>
              <w:tabs>
                <w:tab w:val="left" w:pos="468"/>
              </w:tabs>
              <w:spacing w:line="276" w:lineRule="auto"/>
              <w:ind w:right="95"/>
            </w:pPr>
            <w:r w:rsidRPr="00927FB2">
              <w:t>Data models such as: topology data model for working with data about nodes, edges, and faces in a topology, network data model to model and analyze link-node graphs to represent physical and logical networks used in transportation,</w:t>
            </w:r>
            <w:r w:rsidRPr="00927FB2">
              <w:rPr>
                <w:spacing w:val="-12"/>
              </w:rPr>
              <w:t xml:space="preserve"> </w:t>
            </w:r>
            <w:r w:rsidRPr="00927FB2">
              <w:t>etc.</w:t>
            </w:r>
          </w:p>
          <w:p w14:paraId="77AAD298" w14:textId="77777777" w:rsidR="003F11D6" w:rsidRPr="00927FB2" w:rsidRDefault="003F11D6" w:rsidP="00E10D1E">
            <w:pPr>
              <w:pStyle w:val="TableParagraph"/>
              <w:numPr>
                <w:ilvl w:val="0"/>
                <w:numId w:val="198"/>
              </w:numPr>
              <w:tabs>
                <w:tab w:val="left" w:pos="468"/>
              </w:tabs>
              <w:spacing w:line="276" w:lineRule="auto"/>
              <w:ind w:right="93"/>
            </w:pPr>
            <w:r w:rsidRPr="00927FB2">
              <w:t>Raster data to store, index, query, analyze, and deliver data as raster image and its associated metadata.</w:t>
            </w:r>
          </w:p>
          <w:p w14:paraId="6F5E05F5" w14:textId="77777777" w:rsidR="003F11D6" w:rsidRPr="00927FB2" w:rsidRDefault="003F11D6" w:rsidP="00E10D1E">
            <w:pPr>
              <w:pStyle w:val="TableParagraph"/>
              <w:numPr>
                <w:ilvl w:val="0"/>
                <w:numId w:val="199"/>
              </w:numPr>
              <w:tabs>
                <w:tab w:val="left" w:pos="468"/>
              </w:tabs>
              <w:spacing w:before="97" w:line="290" w:lineRule="atLeast"/>
              <w:ind w:right="95"/>
            </w:pPr>
            <w:r w:rsidRPr="00927FB2">
              <w:t>Graphs such as property and RDF (Resource Description Framework)</w:t>
            </w:r>
            <w:r w:rsidRPr="00927FB2">
              <w:rPr>
                <w:spacing w:val="-1"/>
              </w:rPr>
              <w:t xml:space="preserve"> </w:t>
            </w:r>
            <w:r w:rsidRPr="00927FB2">
              <w:t>graphs.</w:t>
            </w:r>
          </w:p>
        </w:tc>
        <w:tc>
          <w:tcPr>
            <w:tcW w:w="1499" w:type="pct"/>
            <w:tcBorders>
              <w:top w:val="single" w:sz="4" w:space="0" w:color="000000"/>
              <w:left w:val="single" w:sz="4" w:space="0" w:color="000000"/>
              <w:bottom w:val="single" w:sz="4" w:space="0" w:color="000000"/>
              <w:right w:val="single" w:sz="4" w:space="0" w:color="000000"/>
            </w:tcBorders>
          </w:tcPr>
          <w:p w14:paraId="05177015" w14:textId="77777777" w:rsidR="003F11D6" w:rsidRPr="00927FB2" w:rsidRDefault="003F11D6" w:rsidP="00E10D1E">
            <w:pPr>
              <w:pStyle w:val="TableParagraph"/>
              <w:spacing w:line="254" w:lineRule="auto"/>
            </w:pPr>
          </w:p>
        </w:tc>
      </w:tr>
      <w:tr w:rsidR="003F11D6" w:rsidRPr="00AC5790" w14:paraId="70680345"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0675405B" w14:textId="04F0D311" w:rsidR="003F11D6" w:rsidRPr="00927FB2" w:rsidRDefault="000E2832" w:rsidP="00E10D1E">
            <w:pPr>
              <w:pStyle w:val="TableParagraph"/>
              <w:spacing w:before="118" w:line="254" w:lineRule="auto"/>
              <w:ind w:left="107"/>
            </w:pPr>
            <w:r w:rsidRPr="00927FB2">
              <w:t>1.18</w:t>
            </w:r>
          </w:p>
        </w:tc>
        <w:tc>
          <w:tcPr>
            <w:tcW w:w="2902" w:type="pct"/>
            <w:tcBorders>
              <w:top w:val="single" w:sz="4" w:space="0" w:color="000000"/>
              <w:left w:val="single" w:sz="4" w:space="0" w:color="000000"/>
              <w:bottom w:val="single" w:sz="4" w:space="0" w:color="000000"/>
              <w:right w:val="single" w:sz="4" w:space="0" w:color="000000"/>
            </w:tcBorders>
            <w:hideMark/>
          </w:tcPr>
          <w:p w14:paraId="5B32A991" w14:textId="77777777" w:rsidR="003F11D6" w:rsidRPr="00927FB2" w:rsidRDefault="003F11D6" w:rsidP="00E10D1E">
            <w:pPr>
              <w:pStyle w:val="TableParagraph"/>
              <w:spacing w:before="113" w:line="254" w:lineRule="auto"/>
              <w:ind w:left="107" w:right="93"/>
            </w:pPr>
            <w:r w:rsidRPr="00927FB2">
              <w:t xml:space="preserve">Proposed RDBMS must have support for Machine Learning (ML) features including but not limited </w:t>
            </w:r>
            <w:proofErr w:type="gramStart"/>
            <w:r w:rsidRPr="00927FB2">
              <w:t>to:</w:t>
            </w:r>
            <w:proofErr w:type="gramEnd"/>
            <w:r w:rsidRPr="00927FB2">
              <w:t xml:space="preserve"> development of ML models and ML model scoring, predictive analytics which can use ML algorithms implemented as SQL functions, and built-in integration with open-source R language.</w:t>
            </w:r>
          </w:p>
        </w:tc>
        <w:tc>
          <w:tcPr>
            <w:tcW w:w="1499" w:type="pct"/>
            <w:tcBorders>
              <w:top w:val="single" w:sz="4" w:space="0" w:color="000000"/>
              <w:left w:val="single" w:sz="4" w:space="0" w:color="000000"/>
              <w:bottom w:val="single" w:sz="4" w:space="0" w:color="000000"/>
              <w:right w:val="single" w:sz="4" w:space="0" w:color="000000"/>
            </w:tcBorders>
          </w:tcPr>
          <w:p w14:paraId="419FF698" w14:textId="77777777" w:rsidR="003F11D6" w:rsidRPr="00927FB2" w:rsidRDefault="003F11D6" w:rsidP="00E10D1E">
            <w:pPr>
              <w:pStyle w:val="TableParagraph"/>
              <w:spacing w:line="254" w:lineRule="auto"/>
            </w:pPr>
          </w:p>
        </w:tc>
      </w:tr>
      <w:tr w:rsidR="003F11D6" w:rsidRPr="00AC5790" w14:paraId="2AA65EBD"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61525012" w14:textId="65737FAC" w:rsidR="003F11D6" w:rsidRPr="00927FB2" w:rsidRDefault="000E2832" w:rsidP="00E10D1E">
            <w:pPr>
              <w:pStyle w:val="TableParagraph"/>
              <w:spacing w:before="118" w:line="254" w:lineRule="auto"/>
              <w:ind w:left="107"/>
            </w:pPr>
            <w:r w:rsidRPr="00927FB2">
              <w:t>1.19</w:t>
            </w:r>
          </w:p>
        </w:tc>
        <w:tc>
          <w:tcPr>
            <w:tcW w:w="2902" w:type="pct"/>
            <w:tcBorders>
              <w:top w:val="single" w:sz="4" w:space="0" w:color="000000"/>
              <w:left w:val="single" w:sz="4" w:space="0" w:color="000000"/>
              <w:bottom w:val="single" w:sz="4" w:space="0" w:color="000000"/>
              <w:right w:val="single" w:sz="4" w:space="0" w:color="000000"/>
            </w:tcBorders>
            <w:hideMark/>
          </w:tcPr>
          <w:p w14:paraId="2098601D" w14:textId="4DDD49FE" w:rsidR="003F11D6" w:rsidRPr="00927FB2" w:rsidRDefault="003F11D6" w:rsidP="00E91689">
            <w:pPr>
              <w:pStyle w:val="TableParagraph"/>
              <w:spacing w:before="116" w:line="254" w:lineRule="auto"/>
              <w:ind w:left="107" w:right="95"/>
            </w:pPr>
            <w:r w:rsidRPr="00927FB2">
              <w:t>Proposed RDBMS must have support for table and index partitioning by dividing them into smaller pieces.   Table   partitioning   must   support</w:t>
            </w:r>
            <w:r w:rsidRPr="00927FB2">
              <w:rPr>
                <w:spacing w:val="40"/>
              </w:rPr>
              <w:t xml:space="preserve"> </w:t>
            </w:r>
            <w:r w:rsidRPr="00927FB2">
              <w:t>different</w:t>
            </w:r>
            <w:r w:rsidR="00E91689">
              <w:t xml:space="preserve"> </w:t>
            </w:r>
            <w:r w:rsidRPr="00927FB2">
              <w:t>partitioning methods such as: range partitioning,</w:t>
            </w:r>
            <w:r w:rsidRPr="00927FB2">
              <w:rPr>
                <w:spacing w:val="4"/>
              </w:rPr>
              <w:t xml:space="preserve"> </w:t>
            </w:r>
            <w:r w:rsidRPr="00927FB2">
              <w:t>hash partitioning,</w:t>
            </w:r>
            <w:r w:rsidRPr="00927FB2">
              <w:tab/>
              <w:t>list partitioning, and</w:t>
            </w:r>
            <w:r w:rsidRPr="00927FB2">
              <w:tab/>
              <w:t>composite partitioning (combination of other methods).</w:t>
            </w:r>
          </w:p>
        </w:tc>
        <w:tc>
          <w:tcPr>
            <w:tcW w:w="1499" w:type="pct"/>
            <w:tcBorders>
              <w:top w:val="single" w:sz="4" w:space="0" w:color="000000"/>
              <w:left w:val="single" w:sz="4" w:space="0" w:color="000000"/>
              <w:bottom w:val="single" w:sz="4" w:space="0" w:color="000000"/>
              <w:right w:val="single" w:sz="4" w:space="0" w:color="000000"/>
            </w:tcBorders>
          </w:tcPr>
          <w:p w14:paraId="10AC093C" w14:textId="77777777" w:rsidR="003F11D6" w:rsidRPr="00927FB2" w:rsidRDefault="003F11D6" w:rsidP="00E10D1E">
            <w:pPr>
              <w:pStyle w:val="TableParagraph"/>
              <w:spacing w:line="254" w:lineRule="auto"/>
            </w:pPr>
          </w:p>
        </w:tc>
      </w:tr>
      <w:tr w:rsidR="003F11D6" w:rsidRPr="00AC5790" w14:paraId="6939615D"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B8D4C34" w14:textId="7327C5C4" w:rsidR="003F11D6" w:rsidRPr="00927FB2" w:rsidRDefault="000E2832" w:rsidP="00E10D1E">
            <w:pPr>
              <w:pStyle w:val="TableParagraph"/>
              <w:spacing w:before="118" w:line="254" w:lineRule="auto"/>
              <w:ind w:left="107"/>
            </w:pPr>
            <w:r w:rsidRPr="00927FB2">
              <w:t>1.20</w:t>
            </w:r>
          </w:p>
        </w:tc>
        <w:tc>
          <w:tcPr>
            <w:tcW w:w="2902" w:type="pct"/>
            <w:tcBorders>
              <w:top w:val="single" w:sz="4" w:space="0" w:color="000000"/>
              <w:left w:val="single" w:sz="4" w:space="0" w:color="000000"/>
              <w:bottom w:val="single" w:sz="4" w:space="0" w:color="000000"/>
              <w:right w:val="single" w:sz="4" w:space="0" w:color="000000"/>
            </w:tcBorders>
            <w:hideMark/>
          </w:tcPr>
          <w:p w14:paraId="06B1550A" w14:textId="77777777" w:rsidR="003F11D6" w:rsidRPr="00927FB2" w:rsidRDefault="003F11D6" w:rsidP="00E10D1E">
            <w:pPr>
              <w:pStyle w:val="TableParagraph"/>
              <w:spacing w:before="113" w:line="254" w:lineRule="auto"/>
              <w:ind w:left="107" w:right="95"/>
            </w:pPr>
            <w:r w:rsidRPr="00927FB2">
              <w:t xml:space="preserve">Proposed RDBMS must have support for high availability in a way that it has cluster of two or more database nodes sharing data in between database nodes, and where all the nodes in a cluster are active and equally process the data. If one database node in cluster fails, traffic intended for the failed node is either passed onto an existing surviving nodes or load balanced across </w:t>
            </w:r>
            <w:r w:rsidRPr="00927FB2">
              <w:lastRenderedPageBreak/>
              <w:t>the remaining nodes.</w:t>
            </w:r>
          </w:p>
        </w:tc>
        <w:tc>
          <w:tcPr>
            <w:tcW w:w="1499" w:type="pct"/>
            <w:tcBorders>
              <w:top w:val="single" w:sz="4" w:space="0" w:color="000000"/>
              <w:left w:val="single" w:sz="4" w:space="0" w:color="000000"/>
              <w:bottom w:val="single" w:sz="4" w:space="0" w:color="000000"/>
              <w:right w:val="single" w:sz="4" w:space="0" w:color="000000"/>
            </w:tcBorders>
          </w:tcPr>
          <w:p w14:paraId="5C18148F" w14:textId="77777777" w:rsidR="003F11D6" w:rsidRPr="00927FB2" w:rsidRDefault="003F11D6" w:rsidP="00E10D1E">
            <w:pPr>
              <w:pStyle w:val="TableParagraph"/>
              <w:spacing w:line="254" w:lineRule="auto"/>
            </w:pPr>
          </w:p>
        </w:tc>
      </w:tr>
      <w:tr w:rsidR="003F11D6" w:rsidRPr="00AC5790" w14:paraId="772B9132"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95909C5" w14:textId="31940FE0" w:rsidR="003F11D6" w:rsidRPr="00927FB2" w:rsidRDefault="003F11D6" w:rsidP="00E10D1E">
            <w:pPr>
              <w:pStyle w:val="TableParagraph"/>
              <w:spacing w:before="118" w:line="254" w:lineRule="auto"/>
              <w:ind w:left="107"/>
            </w:pPr>
            <w:r w:rsidRPr="00927FB2">
              <w:t>1</w:t>
            </w:r>
            <w:r w:rsidR="000E2832" w:rsidRPr="00927FB2">
              <w:t>.21</w:t>
            </w:r>
          </w:p>
        </w:tc>
        <w:tc>
          <w:tcPr>
            <w:tcW w:w="2902" w:type="pct"/>
            <w:tcBorders>
              <w:top w:val="single" w:sz="4" w:space="0" w:color="000000"/>
              <w:left w:val="single" w:sz="4" w:space="0" w:color="000000"/>
              <w:bottom w:val="single" w:sz="4" w:space="0" w:color="000000"/>
              <w:right w:val="single" w:sz="4" w:space="0" w:color="000000"/>
            </w:tcBorders>
            <w:hideMark/>
          </w:tcPr>
          <w:p w14:paraId="47D8B45D" w14:textId="77777777" w:rsidR="003F11D6" w:rsidRPr="00927FB2" w:rsidRDefault="003F11D6" w:rsidP="00E10D1E">
            <w:pPr>
              <w:pStyle w:val="TableParagraph"/>
              <w:spacing w:before="113" w:line="254" w:lineRule="auto"/>
              <w:ind w:left="107" w:right="97"/>
            </w:pPr>
            <w:r w:rsidRPr="00927FB2">
              <w:t>Proposed RDBMS must be able to add new database nodes into database cluster dynamically without any downtime and without interrupting data access.</w:t>
            </w:r>
          </w:p>
        </w:tc>
        <w:tc>
          <w:tcPr>
            <w:tcW w:w="1499" w:type="pct"/>
            <w:tcBorders>
              <w:top w:val="single" w:sz="4" w:space="0" w:color="000000"/>
              <w:left w:val="single" w:sz="4" w:space="0" w:color="000000"/>
              <w:bottom w:val="single" w:sz="4" w:space="0" w:color="000000"/>
              <w:right w:val="single" w:sz="4" w:space="0" w:color="000000"/>
            </w:tcBorders>
          </w:tcPr>
          <w:p w14:paraId="5F8C3FE8" w14:textId="77777777" w:rsidR="003F11D6" w:rsidRPr="00927FB2" w:rsidRDefault="003F11D6" w:rsidP="00E10D1E">
            <w:pPr>
              <w:pStyle w:val="TableParagraph"/>
              <w:spacing w:line="254" w:lineRule="auto"/>
            </w:pPr>
          </w:p>
        </w:tc>
      </w:tr>
      <w:tr w:rsidR="003F11D6" w:rsidRPr="00AC5790" w14:paraId="12A7572C"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D6E345B" w14:textId="672FD2BE" w:rsidR="003F11D6" w:rsidRPr="00927FB2" w:rsidRDefault="000E2832" w:rsidP="00E10D1E">
            <w:pPr>
              <w:pStyle w:val="TableParagraph"/>
              <w:spacing w:before="118" w:line="254" w:lineRule="auto"/>
              <w:ind w:left="107"/>
            </w:pPr>
            <w:r w:rsidRPr="00927FB2">
              <w:t>1.22</w:t>
            </w:r>
          </w:p>
        </w:tc>
        <w:tc>
          <w:tcPr>
            <w:tcW w:w="2902" w:type="pct"/>
            <w:tcBorders>
              <w:top w:val="single" w:sz="4" w:space="0" w:color="000000"/>
              <w:left w:val="single" w:sz="4" w:space="0" w:color="000000"/>
              <w:bottom w:val="single" w:sz="4" w:space="0" w:color="000000"/>
              <w:right w:val="single" w:sz="4" w:space="0" w:color="000000"/>
            </w:tcBorders>
            <w:hideMark/>
          </w:tcPr>
          <w:p w14:paraId="67DB7760" w14:textId="77777777" w:rsidR="003F11D6" w:rsidRPr="00927FB2" w:rsidRDefault="003F11D6" w:rsidP="00E10D1E">
            <w:pPr>
              <w:pStyle w:val="TableParagraph"/>
              <w:spacing w:before="113" w:line="254" w:lineRule="auto"/>
              <w:ind w:left="107" w:right="95"/>
            </w:pPr>
            <w:r w:rsidRPr="00927FB2">
              <w:t>Proposed RDBMS must be able to remove one active database node from database cluster dynamically without any downtime and without interrupting data access</w:t>
            </w:r>
          </w:p>
        </w:tc>
        <w:tc>
          <w:tcPr>
            <w:tcW w:w="1499" w:type="pct"/>
            <w:tcBorders>
              <w:top w:val="single" w:sz="4" w:space="0" w:color="000000"/>
              <w:left w:val="single" w:sz="4" w:space="0" w:color="000000"/>
              <w:bottom w:val="single" w:sz="4" w:space="0" w:color="000000"/>
              <w:right w:val="single" w:sz="4" w:space="0" w:color="000000"/>
            </w:tcBorders>
          </w:tcPr>
          <w:p w14:paraId="697F826D" w14:textId="77777777" w:rsidR="003F11D6" w:rsidRPr="00927FB2" w:rsidRDefault="003F11D6" w:rsidP="00E10D1E">
            <w:pPr>
              <w:pStyle w:val="TableParagraph"/>
              <w:spacing w:line="254" w:lineRule="auto"/>
            </w:pPr>
          </w:p>
        </w:tc>
      </w:tr>
      <w:tr w:rsidR="003F11D6" w:rsidRPr="00AC5790" w14:paraId="1554A92B"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38C7F9DE" w14:textId="74F2616B" w:rsidR="003F11D6" w:rsidRPr="00927FB2" w:rsidRDefault="000E2832" w:rsidP="00E10D1E">
            <w:pPr>
              <w:pStyle w:val="TableParagraph"/>
              <w:spacing w:before="118" w:line="254" w:lineRule="auto"/>
              <w:ind w:left="107"/>
            </w:pPr>
            <w:r w:rsidRPr="00927FB2">
              <w:t>1.23</w:t>
            </w:r>
          </w:p>
        </w:tc>
        <w:tc>
          <w:tcPr>
            <w:tcW w:w="2902" w:type="pct"/>
            <w:tcBorders>
              <w:top w:val="single" w:sz="4" w:space="0" w:color="000000"/>
              <w:left w:val="single" w:sz="4" w:space="0" w:color="000000"/>
              <w:bottom w:val="single" w:sz="4" w:space="0" w:color="000000"/>
              <w:right w:val="single" w:sz="4" w:space="0" w:color="000000"/>
            </w:tcBorders>
            <w:hideMark/>
          </w:tcPr>
          <w:p w14:paraId="6AC98D0B" w14:textId="77777777" w:rsidR="003F11D6" w:rsidRPr="00927FB2" w:rsidRDefault="003F11D6" w:rsidP="00E10D1E">
            <w:pPr>
              <w:pStyle w:val="TableParagraph"/>
              <w:spacing w:before="113" w:line="254" w:lineRule="auto"/>
              <w:ind w:left="107" w:right="97"/>
            </w:pPr>
            <w:r w:rsidRPr="00927FB2">
              <w:t>Proposed RDBMS must be able to apply new patches to active database nodes in database cluster dynamically in rolling manner without any downtime of database cluster and without interrupting data access.</w:t>
            </w:r>
          </w:p>
        </w:tc>
        <w:tc>
          <w:tcPr>
            <w:tcW w:w="1499" w:type="pct"/>
            <w:tcBorders>
              <w:top w:val="single" w:sz="4" w:space="0" w:color="000000"/>
              <w:left w:val="single" w:sz="4" w:space="0" w:color="000000"/>
              <w:bottom w:val="single" w:sz="4" w:space="0" w:color="000000"/>
              <w:right w:val="single" w:sz="4" w:space="0" w:color="000000"/>
            </w:tcBorders>
          </w:tcPr>
          <w:p w14:paraId="5134BF34" w14:textId="77777777" w:rsidR="003F11D6" w:rsidRPr="00927FB2" w:rsidRDefault="003F11D6" w:rsidP="00E10D1E">
            <w:pPr>
              <w:pStyle w:val="TableParagraph"/>
              <w:spacing w:line="254" w:lineRule="auto"/>
            </w:pPr>
          </w:p>
        </w:tc>
      </w:tr>
      <w:tr w:rsidR="003F11D6" w:rsidRPr="00AC5790" w14:paraId="3BBE5A2A"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6BEA9183" w14:textId="00AA094B" w:rsidR="003F11D6" w:rsidRPr="00927FB2" w:rsidRDefault="000E2832" w:rsidP="00E10D1E">
            <w:pPr>
              <w:pStyle w:val="TableParagraph"/>
              <w:spacing w:before="118" w:line="254" w:lineRule="auto"/>
              <w:ind w:left="107"/>
            </w:pPr>
            <w:r w:rsidRPr="00927FB2">
              <w:t>1.24</w:t>
            </w:r>
          </w:p>
        </w:tc>
        <w:tc>
          <w:tcPr>
            <w:tcW w:w="2902" w:type="pct"/>
            <w:tcBorders>
              <w:top w:val="single" w:sz="4" w:space="0" w:color="000000"/>
              <w:left w:val="single" w:sz="4" w:space="0" w:color="000000"/>
              <w:bottom w:val="single" w:sz="4" w:space="0" w:color="000000"/>
              <w:right w:val="single" w:sz="4" w:space="0" w:color="000000"/>
            </w:tcBorders>
            <w:hideMark/>
          </w:tcPr>
          <w:p w14:paraId="20DD45F4" w14:textId="77777777" w:rsidR="003F11D6" w:rsidRPr="00927FB2" w:rsidRDefault="003F11D6" w:rsidP="00E10D1E">
            <w:pPr>
              <w:pStyle w:val="TableParagraph"/>
              <w:spacing w:before="113" w:line="254" w:lineRule="auto"/>
              <w:ind w:left="107" w:right="96"/>
            </w:pPr>
            <w:r w:rsidRPr="00927FB2">
              <w:t>RDBMS must support online operations such as table redefinition and index rebuild without database restart.</w:t>
            </w:r>
          </w:p>
        </w:tc>
        <w:tc>
          <w:tcPr>
            <w:tcW w:w="1499" w:type="pct"/>
            <w:tcBorders>
              <w:top w:val="single" w:sz="4" w:space="0" w:color="000000"/>
              <w:left w:val="single" w:sz="4" w:space="0" w:color="000000"/>
              <w:bottom w:val="single" w:sz="4" w:space="0" w:color="000000"/>
              <w:right w:val="single" w:sz="4" w:space="0" w:color="000000"/>
            </w:tcBorders>
          </w:tcPr>
          <w:p w14:paraId="63D162C0" w14:textId="77777777" w:rsidR="003F11D6" w:rsidRPr="00927FB2" w:rsidRDefault="003F11D6" w:rsidP="00E10D1E">
            <w:pPr>
              <w:pStyle w:val="TableParagraph"/>
              <w:spacing w:line="254" w:lineRule="auto"/>
            </w:pPr>
          </w:p>
        </w:tc>
      </w:tr>
      <w:tr w:rsidR="003F11D6" w:rsidRPr="00AC5790" w14:paraId="5C00D301"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1095DB39" w14:textId="2270669D" w:rsidR="003F11D6" w:rsidRPr="00927FB2" w:rsidRDefault="000E2832" w:rsidP="00E10D1E">
            <w:pPr>
              <w:pStyle w:val="TableParagraph"/>
              <w:spacing w:before="118" w:line="254" w:lineRule="auto"/>
              <w:ind w:left="107"/>
            </w:pPr>
            <w:r w:rsidRPr="00927FB2">
              <w:t>1.25</w:t>
            </w:r>
          </w:p>
        </w:tc>
        <w:tc>
          <w:tcPr>
            <w:tcW w:w="2902" w:type="pct"/>
            <w:tcBorders>
              <w:top w:val="single" w:sz="4" w:space="0" w:color="000000"/>
              <w:left w:val="single" w:sz="4" w:space="0" w:color="000000"/>
              <w:bottom w:val="single" w:sz="4" w:space="0" w:color="000000"/>
              <w:right w:val="single" w:sz="4" w:space="0" w:color="000000"/>
            </w:tcBorders>
            <w:hideMark/>
          </w:tcPr>
          <w:p w14:paraId="6007C4A4" w14:textId="77777777" w:rsidR="003F11D6" w:rsidRPr="00927FB2" w:rsidRDefault="003F11D6" w:rsidP="00E10D1E">
            <w:pPr>
              <w:pStyle w:val="TableParagraph"/>
              <w:spacing w:before="113" w:line="254" w:lineRule="auto"/>
              <w:ind w:left="107"/>
            </w:pPr>
            <w:r w:rsidRPr="00927FB2">
              <w:t>Proposed RDBMS must have built-in ability to view changes across row versions.</w:t>
            </w:r>
          </w:p>
        </w:tc>
        <w:tc>
          <w:tcPr>
            <w:tcW w:w="1499" w:type="pct"/>
            <w:tcBorders>
              <w:top w:val="single" w:sz="4" w:space="0" w:color="000000"/>
              <w:left w:val="single" w:sz="4" w:space="0" w:color="000000"/>
              <w:bottom w:val="single" w:sz="4" w:space="0" w:color="000000"/>
              <w:right w:val="single" w:sz="4" w:space="0" w:color="000000"/>
            </w:tcBorders>
          </w:tcPr>
          <w:p w14:paraId="250FA47E" w14:textId="77777777" w:rsidR="003F11D6" w:rsidRPr="00927FB2" w:rsidRDefault="003F11D6" w:rsidP="00E10D1E">
            <w:pPr>
              <w:pStyle w:val="TableParagraph"/>
              <w:spacing w:line="254" w:lineRule="auto"/>
            </w:pPr>
          </w:p>
        </w:tc>
      </w:tr>
      <w:tr w:rsidR="003F11D6" w:rsidRPr="00AC5790" w14:paraId="1FA46D6B"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26ABA22F" w14:textId="0017F4C7" w:rsidR="003F11D6" w:rsidRPr="00927FB2" w:rsidRDefault="000E2832" w:rsidP="00E10D1E">
            <w:pPr>
              <w:pStyle w:val="TableParagraph"/>
              <w:spacing w:before="118" w:line="254" w:lineRule="auto"/>
              <w:ind w:left="107"/>
            </w:pPr>
            <w:r w:rsidRPr="00927FB2">
              <w:t>1.26</w:t>
            </w:r>
          </w:p>
        </w:tc>
        <w:tc>
          <w:tcPr>
            <w:tcW w:w="2902" w:type="pct"/>
            <w:tcBorders>
              <w:top w:val="single" w:sz="4" w:space="0" w:color="000000"/>
              <w:left w:val="single" w:sz="4" w:space="0" w:color="000000"/>
              <w:bottom w:val="single" w:sz="4" w:space="0" w:color="000000"/>
              <w:right w:val="single" w:sz="4" w:space="0" w:color="000000"/>
            </w:tcBorders>
            <w:hideMark/>
          </w:tcPr>
          <w:p w14:paraId="2179B03B" w14:textId="77777777" w:rsidR="003F11D6" w:rsidRPr="00927FB2" w:rsidRDefault="003F11D6" w:rsidP="00E10D1E">
            <w:pPr>
              <w:pStyle w:val="TableParagraph"/>
              <w:spacing w:before="113"/>
              <w:ind w:left="107" w:right="107"/>
            </w:pPr>
            <w:r w:rsidRPr="00927FB2">
              <w:t>Proposed RDBMS must have built-in ability to rewind the TABLE to a past point in time.</w:t>
            </w:r>
          </w:p>
        </w:tc>
        <w:tc>
          <w:tcPr>
            <w:tcW w:w="1499" w:type="pct"/>
            <w:tcBorders>
              <w:top w:val="single" w:sz="4" w:space="0" w:color="000000"/>
              <w:left w:val="single" w:sz="4" w:space="0" w:color="000000"/>
              <w:bottom w:val="single" w:sz="4" w:space="0" w:color="000000"/>
              <w:right w:val="single" w:sz="4" w:space="0" w:color="000000"/>
            </w:tcBorders>
          </w:tcPr>
          <w:p w14:paraId="546A8207" w14:textId="77777777" w:rsidR="003F11D6" w:rsidRPr="00927FB2" w:rsidRDefault="003F11D6" w:rsidP="00E10D1E">
            <w:pPr>
              <w:pStyle w:val="TableParagraph"/>
              <w:spacing w:line="254" w:lineRule="auto"/>
            </w:pPr>
          </w:p>
        </w:tc>
      </w:tr>
      <w:tr w:rsidR="003F11D6" w:rsidRPr="00AC5790" w14:paraId="03DB8E0C"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020651FB" w14:textId="3C5B972E" w:rsidR="003F11D6" w:rsidRPr="00927FB2" w:rsidRDefault="000E2832" w:rsidP="00E10D1E">
            <w:pPr>
              <w:pStyle w:val="TableParagraph"/>
              <w:spacing w:before="118" w:line="254" w:lineRule="auto"/>
              <w:ind w:left="107"/>
            </w:pPr>
            <w:r w:rsidRPr="00927FB2">
              <w:t>1.27</w:t>
            </w:r>
          </w:p>
        </w:tc>
        <w:tc>
          <w:tcPr>
            <w:tcW w:w="2902" w:type="pct"/>
            <w:tcBorders>
              <w:top w:val="single" w:sz="4" w:space="0" w:color="000000"/>
              <w:left w:val="single" w:sz="4" w:space="0" w:color="000000"/>
              <w:bottom w:val="single" w:sz="4" w:space="0" w:color="000000"/>
              <w:right w:val="single" w:sz="4" w:space="0" w:color="000000"/>
            </w:tcBorders>
            <w:hideMark/>
          </w:tcPr>
          <w:p w14:paraId="4783AED3" w14:textId="77777777" w:rsidR="003F11D6" w:rsidRPr="00927FB2" w:rsidRDefault="003F11D6" w:rsidP="00E10D1E">
            <w:pPr>
              <w:pStyle w:val="TableParagraph"/>
              <w:spacing w:before="113" w:line="254" w:lineRule="auto"/>
              <w:ind w:left="107" w:right="95"/>
            </w:pPr>
            <w:r w:rsidRPr="00927FB2">
              <w:t>Proposed RDBMS must have built-in capability to rewind the database to a prior point without the need to RESTORE the database.</w:t>
            </w:r>
          </w:p>
        </w:tc>
        <w:tc>
          <w:tcPr>
            <w:tcW w:w="1499" w:type="pct"/>
            <w:tcBorders>
              <w:top w:val="single" w:sz="4" w:space="0" w:color="000000"/>
              <w:left w:val="single" w:sz="4" w:space="0" w:color="000000"/>
              <w:bottom w:val="single" w:sz="4" w:space="0" w:color="000000"/>
              <w:right w:val="single" w:sz="4" w:space="0" w:color="000000"/>
            </w:tcBorders>
          </w:tcPr>
          <w:p w14:paraId="21D6A7AD" w14:textId="77777777" w:rsidR="003F11D6" w:rsidRPr="00927FB2" w:rsidRDefault="003F11D6" w:rsidP="00E10D1E">
            <w:pPr>
              <w:pStyle w:val="TableParagraph"/>
              <w:spacing w:line="254" w:lineRule="auto"/>
            </w:pPr>
          </w:p>
        </w:tc>
      </w:tr>
      <w:tr w:rsidR="003F11D6" w:rsidRPr="00AC5790" w14:paraId="0FBC3CE0"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18E5153D" w14:textId="7A0A1F92" w:rsidR="003F11D6" w:rsidRPr="00927FB2" w:rsidRDefault="000E2832" w:rsidP="00E10D1E">
            <w:pPr>
              <w:pStyle w:val="TableParagraph"/>
              <w:spacing w:before="118" w:line="254" w:lineRule="auto"/>
              <w:ind w:left="107"/>
            </w:pPr>
            <w:r w:rsidRPr="00927FB2">
              <w:t>1.28</w:t>
            </w:r>
          </w:p>
        </w:tc>
        <w:tc>
          <w:tcPr>
            <w:tcW w:w="2902" w:type="pct"/>
            <w:tcBorders>
              <w:top w:val="single" w:sz="4" w:space="0" w:color="000000"/>
              <w:left w:val="single" w:sz="4" w:space="0" w:color="000000"/>
              <w:bottom w:val="single" w:sz="4" w:space="0" w:color="000000"/>
              <w:right w:val="single" w:sz="4" w:space="0" w:color="000000"/>
            </w:tcBorders>
            <w:hideMark/>
          </w:tcPr>
          <w:p w14:paraId="276C8573" w14:textId="77777777" w:rsidR="003F11D6" w:rsidRPr="00927FB2" w:rsidRDefault="003F11D6" w:rsidP="00E10D1E">
            <w:pPr>
              <w:pStyle w:val="TableParagraph"/>
              <w:spacing w:before="113" w:line="254" w:lineRule="auto"/>
              <w:ind w:left="107" w:right="107"/>
            </w:pPr>
            <w:r w:rsidRPr="00927FB2">
              <w:t>Proposed RDBMS must have built-in ability to recover dropped objects.</w:t>
            </w:r>
          </w:p>
        </w:tc>
        <w:tc>
          <w:tcPr>
            <w:tcW w:w="1499" w:type="pct"/>
            <w:tcBorders>
              <w:top w:val="single" w:sz="4" w:space="0" w:color="000000"/>
              <w:left w:val="single" w:sz="4" w:space="0" w:color="000000"/>
              <w:bottom w:val="single" w:sz="4" w:space="0" w:color="000000"/>
              <w:right w:val="single" w:sz="4" w:space="0" w:color="000000"/>
            </w:tcBorders>
          </w:tcPr>
          <w:p w14:paraId="094860C7" w14:textId="77777777" w:rsidR="003F11D6" w:rsidRPr="00927FB2" w:rsidRDefault="003F11D6" w:rsidP="00E10D1E">
            <w:pPr>
              <w:pStyle w:val="TableParagraph"/>
              <w:spacing w:line="254" w:lineRule="auto"/>
            </w:pPr>
          </w:p>
        </w:tc>
      </w:tr>
      <w:tr w:rsidR="003F11D6" w:rsidRPr="00AC5790" w14:paraId="41FE5CA2"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37808E9" w14:textId="3B244887" w:rsidR="003F11D6" w:rsidRPr="00927FB2" w:rsidRDefault="000E2832" w:rsidP="00E10D1E">
            <w:pPr>
              <w:pStyle w:val="TableParagraph"/>
              <w:spacing w:before="118" w:line="254" w:lineRule="auto"/>
              <w:ind w:left="107"/>
            </w:pPr>
            <w:r w:rsidRPr="00927FB2">
              <w:t>1.29</w:t>
            </w:r>
          </w:p>
        </w:tc>
        <w:tc>
          <w:tcPr>
            <w:tcW w:w="2902" w:type="pct"/>
            <w:tcBorders>
              <w:top w:val="single" w:sz="4" w:space="0" w:color="000000"/>
              <w:left w:val="single" w:sz="4" w:space="0" w:color="000000"/>
              <w:bottom w:val="single" w:sz="4" w:space="0" w:color="000000"/>
              <w:right w:val="single" w:sz="4" w:space="0" w:color="000000"/>
            </w:tcBorders>
            <w:hideMark/>
          </w:tcPr>
          <w:p w14:paraId="6EFA9A93" w14:textId="77777777" w:rsidR="003F11D6" w:rsidRPr="00927FB2" w:rsidRDefault="003F11D6" w:rsidP="00E10D1E">
            <w:pPr>
              <w:pStyle w:val="TableParagraph"/>
              <w:spacing w:before="114" w:line="254" w:lineRule="auto"/>
              <w:ind w:left="107" w:right="94"/>
            </w:pPr>
            <w:r w:rsidRPr="00927FB2">
              <w:t xml:space="preserve">Proposed RDBMS must be able to monitor SQL statements and analyze SQL statement execution in order to detect and diagnose database performance </w:t>
            </w:r>
            <w:proofErr w:type="gramStart"/>
            <w:r w:rsidRPr="00927FB2">
              <w:t>problems, and</w:t>
            </w:r>
            <w:proofErr w:type="gramEnd"/>
            <w:r w:rsidRPr="00927FB2">
              <w:t xml:space="preserve"> help administrators to proactively tune their database environment.</w:t>
            </w:r>
          </w:p>
        </w:tc>
        <w:tc>
          <w:tcPr>
            <w:tcW w:w="1499" w:type="pct"/>
            <w:tcBorders>
              <w:top w:val="single" w:sz="4" w:space="0" w:color="000000"/>
              <w:left w:val="single" w:sz="4" w:space="0" w:color="000000"/>
              <w:bottom w:val="single" w:sz="4" w:space="0" w:color="000000"/>
              <w:right w:val="single" w:sz="4" w:space="0" w:color="000000"/>
            </w:tcBorders>
          </w:tcPr>
          <w:p w14:paraId="1F08E1A1" w14:textId="77777777" w:rsidR="003F11D6" w:rsidRPr="00927FB2" w:rsidRDefault="003F11D6" w:rsidP="00E10D1E">
            <w:pPr>
              <w:pStyle w:val="TableParagraph"/>
              <w:spacing w:line="254" w:lineRule="auto"/>
            </w:pPr>
          </w:p>
        </w:tc>
      </w:tr>
      <w:tr w:rsidR="003F11D6" w:rsidRPr="00AC5790" w14:paraId="603A8B06"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56348D5D" w14:textId="57797AAD" w:rsidR="003F11D6" w:rsidRPr="00927FB2" w:rsidRDefault="000E2832" w:rsidP="00E10D1E">
            <w:pPr>
              <w:pStyle w:val="TableParagraph"/>
              <w:spacing w:before="118" w:line="254" w:lineRule="auto"/>
              <w:ind w:left="107"/>
            </w:pPr>
            <w:r w:rsidRPr="00927FB2">
              <w:t>1.30</w:t>
            </w:r>
          </w:p>
        </w:tc>
        <w:tc>
          <w:tcPr>
            <w:tcW w:w="2902" w:type="pct"/>
            <w:tcBorders>
              <w:top w:val="single" w:sz="4" w:space="0" w:color="000000"/>
              <w:left w:val="single" w:sz="4" w:space="0" w:color="000000"/>
              <w:bottom w:val="single" w:sz="4" w:space="0" w:color="000000"/>
              <w:right w:val="single" w:sz="4" w:space="0" w:color="000000"/>
            </w:tcBorders>
            <w:hideMark/>
          </w:tcPr>
          <w:p w14:paraId="392012CF" w14:textId="622F9CCD" w:rsidR="003F11D6" w:rsidRPr="00927FB2" w:rsidRDefault="003F11D6" w:rsidP="00E10D1E">
            <w:pPr>
              <w:pStyle w:val="TableParagraph"/>
              <w:spacing w:before="113" w:line="254" w:lineRule="auto"/>
              <w:ind w:left="107" w:right="94"/>
            </w:pPr>
            <w:r w:rsidRPr="00927FB2">
              <w:t xml:space="preserve">RDBMS must be proposed with suitable set of licenses to be installed on the </w:t>
            </w:r>
            <w:r w:rsidR="004F14B2" w:rsidRPr="00927FB2">
              <w:t xml:space="preserve">Primary Site </w:t>
            </w:r>
            <w:r w:rsidRPr="00927FB2">
              <w:t xml:space="preserve">database servers, </w:t>
            </w:r>
          </w:p>
        </w:tc>
        <w:tc>
          <w:tcPr>
            <w:tcW w:w="1499" w:type="pct"/>
            <w:tcBorders>
              <w:top w:val="single" w:sz="4" w:space="0" w:color="000000"/>
              <w:left w:val="single" w:sz="4" w:space="0" w:color="000000"/>
              <w:bottom w:val="single" w:sz="4" w:space="0" w:color="000000"/>
              <w:right w:val="single" w:sz="4" w:space="0" w:color="000000"/>
            </w:tcBorders>
          </w:tcPr>
          <w:p w14:paraId="1E7E69DD" w14:textId="77777777" w:rsidR="003F11D6" w:rsidRPr="00927FB2" w:rsidRDefault="003F11D6" w:rsidP="00E10D1E">
            <w:pPr>
              <w:pStyle w:val="TableParagraph"/>
              <w:spacing w:line="254" w:lineRule="auto"/>
            </w:pPr>
          </w:p>
        </w:tc>
      </w:tr>
      <w:tr w:rsidR="003F11D6" w:rsidRPr="00AC5790" w14:paraId="65745E49"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40F456EC" w14:textId="1DC343FB" w:rsidR="003F11D6" w:rsidRPr="00927FB2" w:rsidRDefault="000E2832" w:rsidP="00E10D1E">
            <w:pPr>
              <w:pStyle w:val="TableParagraph"/>
              <w:spacing w:before="118" w:line="254" w:lineRule="auto"/>
              <w:ind w:left="107"/>
            </w:pPr>
            <w:r w:rsidRPr="00927FB2">
              <w:t>1.31</w:t>
            </w:r>
          </w:p>
        </w:tc>
        <w:tc>
          <w:tcPr>
            <w:tcW w:w="2902" w:type="pct"/>
            <w:tcBorders>
              <w:top w:val="single" w:sz="4" w:space="0" w:color="000000"/>
              <w:left w:val="single" w:sz="4" w:space="0" w:color="000000"/>
              <w:bottom w:val="single" w:sz="4" w:space="0" w:color="000000"/>
              <w:right w:val="single" w:sz="4" w:space="0" w:color="000000"/>
            </w:tcBorders>
            <w:hideMark/>
          </w:tcPr>
          <w:p w14:paraId="78B76B3B" w14:textId="77777777" w:rsidR="003F11D6" w:rsidRPr="00927FB2" w:rsidRDefault="003F11D6" w:rsidP="00E10D1E">
            <w:pPr>
              <w:pStyle w:val="TableParagraph"/>
              <w:spacing w:before="113" w:line="254" w:lineRule="auto"/>
              <w:ind w:left="107"/>
            </w:pPr>
            <w:r w:rsidRPr="00927FB2">
              <w:t>RDBMS must include technical support including:</w:t>
            </w:r>
          </w:p>
          <w:p w14:paraId="2F99ABEC" w14:textId="77777777" w:rsidR="003F11D6" w:rsidRPr="00927FB2" w:rsidRDefault="003F11D6" w:rsidP="00E10D1E">
            <w:pPr>
              <w:pStyle w:val="TableParagraph"/>
              <w:numPr>
                <w:ilvl w:val="0"/>
                <w:numId w:val="200"/>
              </w:numPr>
              <w:tabs>
                <w:tab w:val="left" w:pos="468"/>
              </w:tabs>
              <w:spacing w:before="120" w:line="254" w:lineRule="auto"/>
              <w:ind w:hanging="361"/>
            </w:pPr>
            <w:proofErr w:type="gramStart"/>
            <w:r w:rsidRPr="00927FB2">
              <w:t>Download of</w:t>
            </w:r>
            <w:proofErr w:type="gramEnd"/>
            <w:r w:rsidRPr="00927FB2">
              <w:t xml:space="preserve"> patches, </w:t>
            </w:r>
            <w:proofErr w:type="gramStart"/>
            <w:r w:rsidRPr="00927FB2">
              <w:t>upgrades</w:t>
            </w:r>
            <w:proofErr w:type="gramEnd"/>
            <w:r w:rsidRPr="00927FB2">
              <w:t xml:space="preserve"> and new</w:t>
            </w:r>
            <w:r w:rsidRPr="00927FB2">
              <w:rPr>
                <w:spacing w:val="-10"/>
              </w:rPr>
              <w:t xml:space="preserve"> </w:t>
            </w:r>
            <w:r w:rsidRPr="00927FB2">
              <w:t>releases.</w:t>
            </w:r>
          </w:p>
          <w:p w14:paraId="35654F62" w14:textId="77777777" w:rsidR="003F11D6" w:rsidRPr="00927FB2" w:rsidRDefault="003F11D6" w:rsidP="00E10D1E">
            <w:pPr>
              <w:pStyle w:val="TableParagraph"/>
              <w:numPr>
                <w:ilvl w:val="0"/>
                <w:numId w:val="200"/>
              </w:numPr>
              <w:tabs>
                <w:tab w:val="left" w:pos="468"/>
              </w:tabs>
              <w:spacing w:before="36" w:line="268" w:lineRule="auto"/>
              <w:ind w:right="97"/>
            </w:pPr>
            <w:r w:rsidRPr="00927FB2">
              <w:t>24 x 7 x 365 access to hardware and software professionals to report problems if they</w:t>
            </w:r>
            <w:r w:rsidRPr="00927FB2">
              <w:rPr>
                <w:spacing w:val="-9"/>
              </w:rPr>
              <w:t xml:space="preserve"> </w:t>
            </w:r>
            <w:r w:rsidRPr="00927FB2">
              <w:t>occur.</w:t>
            </w:r>
          </w:p>
        </w:tc>
        <w:tc>
          <w:tcPr>
            <w:tcW w:w="1499" w:type="pct"/>
            <w:tcBorders>
              <w:top w:val="single" w:sz="4" w:space="0" w:color="000000"/>
              <w:left w:val="single" w:sz="4" w:space="0" w:color="000000"/>
              <w:bottom w:val="single" w:sz="4" w:space="0" w:color="000000"/>
              <w:right w:val="single" w:sz="4" w:space="0" w:color="000000"/>
            </w:tcBorders>
          </w:tcPr>
          <w:p w14:paraId="0AA3237E" w14:textId="77777777" w:rsidR="003F11D6" w:rsidRPr="00927FB2" w:rsidRDefault="003F11D6" w:rsidP="00E10D1E">
            <w:pPr>
              <w:pStyle w:val="TableParagraph"/>
              <w:spacing w:line="254" w:lineRule="auto"/>
            </w:pPr>
          </w:p>
        </w:tc>
      </w:tr>
      <w:tr w:rsidR="003F11D6" w:rsidRPr="00AC5790" w14:paraId="3D67F58A" w14:textId="77777777" w:rsidTr="003F11D6">
        <w:trPr>
          <w:trHeight w:val="626"/>
        </w:trPr>
        <w:tc>
          <w:tcPr>
            <w:tcW w:w="599" w:type="pct"/>
            <w:tcBorders>
              <w:top w:val="single" w:sz="4" w:space="0" w:color="000000"/>
              <w:left w:val="single" w:sz="4" w:space="0" w:color="000000"/>
              <w:bottom w:val="single" w:sz="4" w:space="0" w:color="000000"/>
              <w:right w:val="single" w:sz="4" w:space="0" w:color="000000"/>
            </w:tcBorders>
            <w:hideMark/>
          </w:tcPr>
          <w:p w14:paraId="3C51F814" w14:textId="449569CD" w:rsidR="003F11D6" w:rsidRPr="00927FB2" w:rsidRDefault="000E2832" w:rsidP="00E10D1E">
            <w:pPr>
              <w:pStyle w:val="TableParagraph"/>
              <w:spacing w:before="118" w:line="254" w:lineRule="auto"/>
              <w:ind w:left="107"/>
            </w:pPr>
            <w:r w:rsidRPr="00927FB2">
              <w:t>1.32</w:t>
            </w:r>
          </w:p>
        </w:tc>
        <w:tc>
          <w:tcPr>
            <w:tcW w:w="2902" w:type="pct"/>
            <w:tcBorders>
              <w:top w:val="single" w:sz="4" w:space="0" w:color="000000"/>
              <w:left w:val="single" w:sz="4" w:space="0" w:color="000000"/>
              <w:bottom w:val="single" w:sz="4" w:space="0" w:color="000000"/>
              <w:right w:val="single" w:sz="4" w:space="0" w:color="000000"/>
            </w:tcBorders>
            <w:hideMark/>
          </w:tcPr>
          <w:p w14:paraId="2FA6DDC6" w14:textId="77777777" w:rsidR="003F11D6" w:rsidRPr="00927FB2" w:rsidRDefault="003F11D6" w:rsidP="00E10D1E">
            <w:pPr>
              <w:pStyle w:val="TableParagraph"/>
              <w:spacing w:before="113" w:line="254" w:lineRule="auto"/>
              <w:ind w:left="107"/>
            </w:pPr>
            <w:r w:rsidRPr="00927FB2">
              <w:t>The Bidder is required to provide technical support for at least one year.</w:t>
            </w:r>
          </w:p>
        </w:tc>
        <w:tc>
          <w:tcPr>
            <w:tcW w:w="1499" w:type="pct"/>
            <w:tcBorders>
              <w:top w:val="single" w:sz="4" w:space="0" w:color="000000"/>
              <w:left w:val="single" w:sz="4" w:space="0" w:color="000000"/>
              <w:bottom w:val="single" w:sz="4" w:space="0" w:color="000000"/>
              <w:right w:val="single" w:sz="4" w:space="0" w:color="000000"/>
            </w:tcBorders>
          </w:tcPr>
          <w:p w14:paraId="2F96CBD9" w14:textId="77777777" w:rsidR="003F11D6" w:rsidRPr="00927FB2" w:rsidRDefault="003F11D6" w:rsidP="00E10D1E">
            <w:pPr>
              <w:pStyle w:val="TableParagraph"/>
              <w:spacing w:line="254" w:lineRule="auto"/>
            </w:pPr>
          </w:p>
        </w:tc>
      </w:tr>
    </w:tbl>
    <w:p w14:paraId="19E193EF" w14:textId="16620BE1" w:rsidR="00E12AE0" w:rsidRDefault="00E12AE0" w:rsidP="001136D3">
      <w:pPr>
        <w:pStyle w:val="Head32"/>
        <w:ind w:right="-360"/>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20"/>
        <w:gridCol w:w="5175"/>
        <w:gridCol w:w="2695"/>
      </w:tblGrid>
      <w:tr w:rsidR="003F11D6" w:rsidRPr="00AC5790" w14:paraId="54DB9C3D" w14:textId="77777777" w:rsidTr="00927FB2">
        <w:trPr>
          <w:trHeight w:val="74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6410A34D" w14:textId="77777777" w:rsidR="003F11D6" w:rsidRPr="00927FB2" w:rsidRDefault="003F11D6" w:rsidP="00E10D1E">
            <w:pPr>
              <w:pStyle w:val="TableParagraph"/>
              <w:spacing w:before="118" w:line="254" w:lineRule="auto"/>
              <w:ind w:left="107"/>
              <w:rPr>
                <w:b/>
              </w:rPr>
            </w:pPr>
            <w:r w:rsidRPr="00927FB2">
              <w:rPr>
                <w:b/>
              </w:rPr>
              <w:lastRenderedPageBreak/>
              <w:t>2</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33DCBABB" w14:textId="77777777" w:rsidR="003F11D6" w:rsidRPr="00927FB2" w:rsidRDefault="003F11D6" w:rsidP="00E10D1E">
            <w:pPr>
              <w:pStyle w:val="TableParagraph"/>
              <w:tabs>
                <w:tab w:val="left" w:pos="177"/>
                <w:tab w:val="left" w:pos="2243"/>
                <w:tab w:val="left" w:pos="2685"/>
                <w:tab w:val="left" w:pos="3985"/>
              </w:tabs>
              <w:spacing w:before="118" w:line="254" w:lineRule="auto"/>
              <w:ind w:left="107" w:right="98"/>
              <w:rPr>
                <w:b/>
              </w:rPr>
            </w:pPr>
            <w:r w:rsidRPr="00927FB2">
              <w:rPr>
                <w:b/>
              </w:rPr>
              <w:t>Software license –</w:t>
            </w:r>
            <w:r w:rsidRPr="00927FB2">
              <w:rPr>
                <w:b/>
              </w:rPr>
              <w:tab/>
              <w:t>Relational</w:t>
            </w:r>
            <w:r w:rsidRPr="00927FB2">
              <w:rPr>
                <w:b/>
              </w:rPr>
              <w:tab/>
            </w:r>
            <w:r w:rsidRPr="00927FB2">
              <w:rPr>
                <w:b/>
                <w:spacing w:val="-3"/>
              </w:rPr>
              <w:t xml:space="preserve">Database </w:t>
            </w:r>
            <w:r w:rsidRPr="00927FB2">
              <w:rPr>
                <w:b/>
              </w:rPr>
              <w:t>Management System Type 2 (Gov) – Quantity</w:t>
            </w:r>
            <w:r w:rsidRPr="00927FB2">
              <w:rPr>
                <w:b/>
                <w:spacing w:val="-8"/>
              </w:rPr>
              <w:t xml:space="preserve"> </w:t>
            </w:r>
            <w:r w:rsidRPr="00927FB2">
              <w:rPr>
                <w:b/>
              </w:rPr>
              <w:t>2 (DR)</w:t>
            </w:r>
          </w:p>
          <w:p w14:paraId="6D55A1B4" w14:textId="5188A7A0" w:rsidR="00416750" w:rsidRPr="00927FB2" w:rsidRDefault="00416750" w:rsidP="00E10D1E">
            <w:pPr>
              <w:pStyle w:val="TableParagraph"/>
              <w:tabs>
                <w:tab w:val="left" w:pos="177"/>
                <w:tab w:val="left" w:pos="2243"/>
                <w:tab w:val="left" w:pos="2685"/>
                <w:tab w:val="left" w:pos="3985"/>
              </w:tabs>
              <w:spacing w:before="118" w:line="254" w:lineRule="auto"/>
              <w:ind w:left="107" w:right="98"/>
              <w:rPr>
                <w:b/>
              </w:rPr>
            </w:pP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09296357" w14:textId="77777777" w:rsidR="003F11D6" w:rsidRPr="00927FB2" w:rsidRDefault="003F11D6" w:rsidP="00E10D1E">
            <w:pPr>
              <w:pStyle w:val="TableParagraph"/>
              <w:spacing w:line="254" w:lineRule="auto"/>
            </w:pPr>
            <w:r w:rsidRPr="00927FB2">
              <w:rPr>
                <w:b/>
              </w:rPr>
              <w:t xml:space="preserve">Specifications offered </w:t>
            </w:r>
          </w:p>
        </w:tc>
      </w:tr>
      <w:tr w:rsidR="003F11D6" w:rsidRPr="00AC5790" w14:paraId="67E8DF71" w14:textId="77777777" w:rsidTr="00927FB2">
        <w:trPr>
          <w:trHeight w:val="1000"/>
        </w:trPr>
        <w:tc>
          <w:tcPr>
            <w:tcW w:w="623" w:type="pct"/>
            <w:tcBorders>
              <w:top w:val="single" w:sz="4" w:space="0" w:color="000000"/>
              <w:left w:val="single" w:sz="4" w:space="0" w:color="000000"/>
              <w:bottom w:val="single" w:sz="4" w:space="0" w:color="000000"/>
              <w:right w:val="single" w:sz="4" w:space="0" w:color="000000"/>
            </w:tcBorders>
            <w:shd w:val="clear" w:color="auto" w:fill="auto"/>
          </w:tcPr>
          <w:p w14:paraId="0805B35E" w14:textId="77777777" w:rsidR="003F11D6" w:rsidRPr="00927FB2" w:rsidRDefault="003F11D6" w:rsidP="00E10D1E">
            <w:pPr>
              <w:pStyle w:val="TableParagraph"/>
              <w:spacing w:before="4" w:line="254" w:lineRule="auto"/>
              <w:rPr>
                <w:b/>
              </w:rPr>
            </w:pPr>
          </w:p>
          <w:p w14:paraId="5DBEE381" w14:textId="77777777" w:rsidR="003F11D6" w:rsidRPr="00927FB2" w:rsidRDefault="003F11D6" w:rsidP="00E10D1E">
            <w:pPr>
              <w:pStyle w:val="TableParagraph"/>
              <w:spacing w:line="254" w:lineRule="auto"/>
              <w:ind w:left="107"/>
            </w:pPr>
            <w:r w:rsidRPr="00927FB2">
              <w:t>2.1</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F2ABB34" w14:textId="77777777" w:rsidR="003F11D6" w:rsidRPr="00927FB2" w:rsidRDefault="003F11D6" w:rsidP="00E10D1E">
            <w:pPr>
              <w:pStyle w:val="TableParagraph"/>
              <w:spacing w:before="114" w:line="254" w:lineRule="auto"/>
              <w:ind w:left="107" w:right="95"/>
            </w:pPr>
            <w:r w:rsidRPr="00927FB2">
              <w:t>A database management system must be proposed as relational database software (RDBMS - Relational Database Management System)</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255CB6F3" w14:textId="77777777" w:rsidR="003F11D6" w:rsidRPr="00927FB2" w:rsidRDefault="003F11D6" w:rsidP="00E10D1E">
            <w:pPr>
              <w:pStyle w:val="TableParagraph"/>
              <w:spacing w:line="254" w:lineRule="auto"/>
            </w:pPr>
          </w:p>
        </w:tc>
      </w:tr>
      <w:tr w:rsidR="003F11D6" w:rsidRPr="00AC5790" w14:paraId="16A0706B" w14:textId="77777777" w:rsidTr="00927FB2">
        <w:trPr>
          <w:trHeight w:val="745"/>
        </w:trPr>
        <w:tc>
          <w:tcPr>
            <w:tcW w:w="623" w:type="pct"/>
            <w:tcBorders>
              <w:top w:val="single" w:sz="4" w:space="0" w:color="000000"/>
              <w:left w:val="single" w:sz="4" w:space="0" w:color="000000"/>
              <w:bottom w:val="single" w:sz="4" w:space="0" w:color="000000"/>
              <w:right w:val="single" w:sz="4" w:space="0" w:color="000000"/>
            </w:tcBorders>
            <w:shd w:val="clear" w:color="auto" w:fill="auto"/>
          </w:tcPr>
          <w:p w14:paraId="6BD0DEFF" w14:textId="77777777" w:rsidR="003F11D6" w:rsidRPr="00927FB2" w:rsidRDefault="003F11D6" w:rsidP="00E10D1E">
            <w:pPr>
              <w:pStyle w:val="TableParagraph"/>
              <w:spacing w:line="254" w:lineRule="auto"/>
              <w:rPr>
                <w:b/>
              </w:rPr>
            </w:pPr>
          </w:p>
          <w:p w14:paraId="4707BA86" w14:textId="77777777" w:rsidR="003F11D6" w:rsidRPr="00927FB2" w:rsidRDefault="003F11D6" w:rsidP="00E10D1E">
            <w:pPr>
              <w:pStyle w:val="TableParagraph"/>
              <w:spacing w:line="254" w:lineRule="auto"/>
              <w:ind w:left="107"/>
            </w:pPr>
            <w:r w:rsidRPr="00927FB2">
              <w:t>2.2</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E8B7116" w14:textId="77777777" w:rsidR="003F11D6" w:rsidRPr="00927FB2" w:rsidRDefault="003F11D6" w:rsidP="00E10D1E">
            <w:pPr>
              <w:pStyle w:val="TableParagraph"/>
              <w:spacing w:before="113" w:line="254" w:lineRule="auto"/>
              <w:ind w:left="107" w:right="107"/>
            </w:pPr>
            <w:r w:rsidRPr="00927FB2">
              <w:t>The RDBMS shall provide add, delete, edit, search, and sort options for records in the selected databases.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167E1AA2" w14:textId="77777777" w:rsidR="003F11D6" w:rsidRPr="00927FB2" w:rsidRDefault="003F11D6" w:rsidP="00E10D1E">
            <w:pPr>
              <w:pStyle w:val="TableParagraph"/>
              <w:spacing w:line="254" w:lineRule="auto"/>
            </w:pPr>
          </w:p>
        </w:tc>
      </w:tr>
      <w:tr w:rsidR="003F11D6" w:rsidRPr="00AC5790" w14:paraId="6A1A4B80" w14:textId="77777777" w:rsidTr="00927FB2">
        <w:trPr>
          <w:trHeight w:val="1757"/>
        </w:trPr>
        <w:tc>
          <w:tcPr>
            <w:tcW w:w="623" w:type="pct"/>
            <w:tcBorders>
              <w:top w:val="single" w:sz="4" w:space="0" w:color="000000"/>
              <w:left w:val="single" w:sz="4" w:space="0" w:color="000000"/>
              <w:bottom w:val="single" w:sz="4" w:space="0" w:color="000000"/>
              <w:right w:val="single" w:sz="4" w:space="0" w:color="000000"/>
            </w:tcBorders>
            <w:shd w:val="clear" w:color="auto" w:fill="auto"/>
          </w:tcPr>
          <w:p w14:paraId="24058526" w14:textId="77777777" w:rsidR="003F11D6" w:rsidRPr="00927FB2" w:rsidRDefault="003F11D6" w:rsidP="00E10D1E">
            <w:pPr>
              <w:pStyle w:val="TableParagraph"/>
              <w:spacing w:line="254" w:lineRule="auto"/>
              <w:rPr>
                <w:b/>
              </w:rPr>
            </w:pPr>
          </w:p>
          <w:p w14:paraId="02D1D933" w14:textId="77777777" w:rsidR="003F11D6" w:rsidRPr="00927FB2" w:rsidRDefault="003F11D6" w:rsidP="00E10D1E">
            <w:pPr>
              <w:pStyle w:val="TableParagraph"/>
              <w:spacing w:line="254" w:lineRule="auto"/>
              <w:rPr>
                <w:b/>
              </w:rPr>
            </w:pPr>
          </w:p>
          <w:p w14:paraId="47863D90" w14:textId="77777777" w:rsidR="003F11D6" w:rsidRPr="00927FB2" w:rsidRDefault="003F11D6" w:rsidP="00E10D1E">
            <w:pPr>
              <w:pStyle w:val="TableParagraph"/>
              <w:spacing w:before="174" w:line="254" w:lineRule="auto"/>
              <w:ind w:left="107"/>
            </w:pPr>
            <w:r w:rsidRPr="00927FB2">
              <w:t>2.3</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3F49476" w14:textId="18257B30" w:rsidR="003F11D6" w:rsidRPr="00927FB2" w:rsidRDefault="003F11D6" w:rsidP="00E10D1E">
            <w:pPr>
              <w:pStyle w:val="TableParagraph"/>
              <w:spacing w:before="113" w:line="254" w:lineRule="auto"/>
              <w:ind w:left="107" w:right="93"/>
            </w:pPr>
            <w:r w:rsidRPr="00927FB2">
              <w:t>Proposed RDBMS must be fully compatible and certified by the RDBMS vendor for the operating system of the database servers, on the DR location</w:t>
            </w:r>
            <w:r w:rsidR="00FD5243" w:rsidRPr="00927FB2">
              <w:t xml:space="preserve"> and the database servers "Database Servers – Virtualized UNIX/Linux hosts".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58F0207F" w14:textId="77777777" w:rsidR="003F11D6" w:rsidRPr="00927FB2" w:rsidRDefault="003F11D6" w:rsidP="00E10D1E">
            <w:pPr>
              <w:pStyle w:val="TableParagraph"/>
              <w:spacing w:line="254" w:lineRule="auto"/>
            </w:pPr>
          </w:p>
        </w:tc>
      </w:tr>
      <w:tr w:rsidR="003F11D6" w:rsidRPr="00AC5790" w14:paraId="06236E75" w14:textId="77777777" w:rsidTr="00927FB2">
        <w:trPr>
          <w:trHeight w:val="745"/>
        </w:trPr>
        <w:tc>
          <w:tcPr>
            <w:tcW w:w="623" w:type="pct"/>
            <w:tcBorders>
              <w:top w:val="single" w:sz="4" w:space="0" w:color="000000"/>
              <w:left w:val="single" w:sz="4" w:space="0" w:color="000000"/>
              <w:bottom w:val="single" w:sz="4" w:space="0" w:color="000000"/>
              <w:right w:val="single" w:sz="4" w:space="0" w:color="000000"/>
            </w:tcBorders>
            <w:shd w:val="clear" w:color="auto" w:fill="auto"/>
          </w:tcPr>
          <w:p w14:paraId="0DCF65C3" w14:textId="77777777" w:rsidR="003F11D6" w:rsidRPr="00927FB2" w:rsidRDefault="003F11D6" w:rsidP="00E10D1E">
            <w:pPr>
              <w:pStyle w:val="TableParagraph"/>
              <w:spacing w:before="3" w:line="254" w:lineRule="auto"/>
              <w:rPr>
                <w:b/>
              </w:rPr>
            </w:pPr>
          </w:p>
          <w:p w14:paraId="687FB1C5" w14:textId="77777777" w:rsidR="003F11D6" w:rsidRPr="00927FB2" w:rsidRDefault="003F11D6" w:rsidP="00E10D1E">
            <w:pPr>
              <w:pStyle w:val="TableParagraph"/>
              <w:spacing w:line="254" w:lineRule="auto"/>
              <w:ind w:left="107"/>
            </w:pPr>
            <w:r w:rsidRPr="00927FB2">
              <w:t>2.4</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5D3BACC" w14:textId="77777777" w:rsidR="003F11D6" w:rsidRPr="00927FB2" w:rsidRDefault="003F11D6" w:rsidP="00E10D1E">
            <w:pPr>
              <w:pStyle w:val="TableParagraph"/>
              <w:spacing w:before="113" w:line="254" w:lineRule="auto"/>
              <w:ind w:left="107"/>
            </w:pPr>
            <w:r w:rsidRPr="00927FB2">
              <w:t>Proposed RDBMS must not limit the size of the database to be created.</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26B1CAA0" w14:textId="77777777" w:rsidR="003F11D6" w:rsidRPr="00927FB2" w:rsidRDefault="003F11D6" w:rsidP="00E10D1E">
            <w:pPr>
              <w:pStyle w:val="TableParagraph"/>
              <w:spacing w:line="254" w:lineRule="auto"/>
            </w:pPr>
          </w:p>
        </w:tc>
      </w:tr>
      <w:tr w:rsidR="003F11D6" w:rsidRPr="00AC5790" w14:paraId="495E7AD2"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18511F53" w14:textId="77777777" w:rsidR="003F11D6" w:rsidRPr="00927FB2" w:rsidRDefault="003F11D6" w:rsidP="00E10D1E">
            <w:pPr>
              <w:pStyle w:val="TableParagraph"/>
              <w:spacing w:before="161" w:line="254" w:lineRule="auto"/>
              <w:ind w:left="107"/>
            </w:pPr>
            <w:r w:rsidRPr="00927FB2">
              <w:t>2.5</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B2B7C0E" w14:textId="77777777" w:rsidR="003F11D6" w:rsidRPr="00927FB2" w:rsidRDefault="003F11D6" w:rsidP="00E10D1E">
            <w:pPr>
              <w:pStyle w:val="TableParagraph"/>
              <w:spacing w:before="113" w:line="250" w:lineRule="atLeast"/>
              <w:ind w:left="107" w:right="107"/>
            </w:pPr>
            <w:r w:rsidRPr="00927FB2">
              <w:t>Proposed RDBMS must support concurrent multi- user access and must not limit the number of connected users.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E431B2C" w14:textId="77777777" w:rsidR="003F11D6" w:rsidRPr="00927FB2" w:rsidRDefault="003F11D6" w:rsidP="00E10D1E">
            <w:pPr>
              <w:pStyle w:val="TableParagraph"/>
              <w:spacing w:line="254" w:lineRule="auto"/>
            </w:pPr>
          </w:p>
        </w:tc>
      </w:tr>
      <w:tr w:rsidR="003F11D6" w:rsidRPr="00AC5790" w14:paraId="12A6D2BD"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489AB31D" w14:textId="77777777" w:rsidR="003F11D6" w:rsidRPr="00927FB2" w:rsidRDefault="003F11D6" w:rsidP="00E10D1E">
            <w:pPr>
              <w:pStyle w:val="TableParagraph"/>
              <w:spacing w:before="161" w:line="254" w:lineRule="auto"/>
              <w:ind w:left="107"/>
            </w:pPr>
            <w:r w:rsidRPr="00927FB2">
              <w:t>2.6</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1D63DCB" w14:textId="77777777" w:rsidR="003F11D6" w:rsidRPr="00927FB2" w:rsidRDefault="003F11D6" w:rsidP="00E10D1E">
            <w:pPr>
              <w:pStyle w:val="TableParagraph"/>
              <w:spacing w:before="113" w:line="254" w:lineRule="auto"/>
              <w:ind w:left="107" w:right="96"/>
            </w:pPr>
            <w:r w:rsidRPr="00927FB2">
              <w:t>Proposed RDBMS must be 100% compatible with common Internet/intranet platforms and Internet browsers.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30D81EB" w14:textId="77777777" w:rsidR="003F11D6" w:rsidRPr="00927FB2" w:rsidRDefault="003F11D6" w:rsidP="00E10D1E">
            <w:pPr>
              <w:pStyle w:val="TableParagraph"/>
              <w:spacing w:line="254" w:lineRule="auto"/>
            </w:pPr>
          </w:p>
        </w:tc>
      </w:tr>
      <w:tr w:rsidR="003F11D6" w:rsidRPr="00AC5790" w14:paraId="008F9F5B"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24EF4EA4" w14:textId="77777777" w:rsidR="003F11D6" w:rsidRPr="00927FB2" w:rsidRDefault="003F11D6" w:rsidP="00E10D1E">
            <w:pPr>
              <w:pStyle w:val="TableParagraph"/>
              <w:spacing w:before="161" w:line="254" w:lineRule="auto"/>
              <w:ind w:left="107"/>
            </w:pPr>
            <w:r w:rsidRPr="00927FB2">
              <w:t>2.7</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BA8A2FA" w14:textId="77777777" w:rsidR="003F11D6" w:rsidRPr="00927FB2" w:rsidRDefault="003F11D6" w:rsidP="00E10D1E">
            <w:pPr>
              <w:pStyle w:val="TableParagraph"/>
              <w:spacing w:before="113" w:line="254" w:lineRule="auto"/>
              <w:ind w:left="107" w:right="97"/>
            </w:pPr>
            <w:r w:rsidRPr="00927FB2">
              <w:t>Proposed RDBMS must support Unicode character set, as well as official languages of North Macedonia and English language.</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5F81098A" w14:textId="77777777" w:rsidR="003F11D6" w:rsidRPr="00927FB2" w:rsidRDefault="003F11D6" w:rsidP="00E10D1E">
            <w:pPr>
              <w:pStyle w:val="TableParagraph"/>
              <w:spacing w:line="254" w:lineRule="auto"/>
            </w:pPr>
          </w:p>
        </w:tc>
      </w:tr>
      <w:tr w:rsidR="003F11D6" w:rsidRPr="00AC5790" w14:paraId="79828349"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20E12873" w14:textId="77777777" w:rsidR="003F11D6" w:rsidRPr="00927FB2" w:rsidRDefault="003F11D6" w:rsidP="00E10D1E">
            <w:pPr>
              <w:pStyle w:val="TableParagraph"/>
              <w:spacing w:before="161" w:line="254" w:lineRule="auto"/>
              <w:ind w:left="107"/>
            </w:pPr>
            <w:r w:rsidRPr="00927FB2">
              <w:t>2.8</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8D974B4" w14:textId="77777777" w:rsidR="003F11D6" w:rsidRPr="00927FB2" w:rsidRDefault="003F11D6" w:rsidP="00E10D1E">
            <w:pPr>
              <w:pStyle w:val="TableParagraph"/>
              <w:spacing w:before="113" w:line="254" w:lineRule="auto"/>
              <w:ind w:left="107" w:right="97"/>
            </w:pPr>
            <w:r w:rsidRPr="00927FB2">
              <w:t xml:space="preserve">Proposed RDBMS must support a Web </w:t>
            </w:r>
            <w:proofErr w:type="gramStart"/>
            <w:r w:rsidRPr="00927FB2">
              <w:t>browser based</w:t>
            </w:r>
            <w:proofErr w:type="gramEnd"/>
            <w:r w:rsidRPr="00927FB2">
              <w:t xml:space="preserve"> console interface and remote administration utility for administration, maintenance, backup/recovery, monitoring and</w:t>
            </w:r>
            <w:r w:rsidRPr="00927FB2">
              <w:rPr>
                <w:spacing w:val="-5"/>
              </w:rPr>
              <w:t xml:space="preserve"> </w:t>
            </w:r>
            <w:r w:rsidRPr="00927FB2">
              <w:t>tuning.</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95F1A2F" w14:textId="77777777" w:rsidR="003F11D6" w:rsidRPr="00927FB2" w:rsidRDefault="003F11D6" w:rsidP="00E10D1E">
            <w:pPr>
              <w:pStyle w:val="TableParagraph"/>
              <w:spacing w:line="254" w:lineRule="auto"/>
            </w:pPr>
          </w:p>
        </w:tc>
      </w:tr>
      <w:tr w:rsidR="003F11D6" w:rsidRPr="00AC5790" w14:paraId="7509B6D2"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58E4020C" w14:textId="0A7A480E" w:rsidR="003F11D6" w:rsidRPr="00927FB2" w:rsidRDefault="000E2832" w:rsidP="00E10D1E">
            <w:pPr>
              <w:pStyle w:val="TableParagraph"/>
              <w:spacing w:before="161" w:line="254" w:lineRule="auto"/>
              <w:ind w:left="107"/>
            </w:pPr>
            <w:r w:rsidRPr="00927FB2">
              <w:t>2.9</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3E2F61EC" w14:textId="77777777" w:rsidR="003F11D6" w:rsidRPr="00927FB2" w:rsidRDefault="003F11D6" w:rsidP="00E10D1E">
            <w:pPr>
              <w:pStyle w:val="TableParagraph"/>
              <w:spacing w:before="113" w:line="254" w:lineRule="auto"/>
              <w:ind w:left="107" w:right="95"/>
            </w:pPr>
            <w:r w:rsidRPr="00927FB2">
              <w:t>Proposed RDBMS must have built-in support for developing stored procedures, functions, and packages (collections of procedures and functions).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3ACC733A" w14:textId="77777777" w:rsidR="003F11D6" w:rsidRPr="00927FB2" w:rsidRDefault="003F11D6" w:rsidP="00E10D1E">
            <w:pPr>
              <w:pStyle w:val="TableParagraph"/>
              <w:spacing w:line="254" w:lineRule="auto"/>
            </w:pPr>
          </w:p>
        </w:tc>
      </w:tr>
      <w:tr w:rsidR="003F11D6" w:rsidRPr="00AC5790" w14:paraId="75E7FF43"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10B77B12" w14:textId="41840F45" w:rsidR="003F11D6" w:rsidRPr="00927FB2" w:rsidRDefault="003F11D6" w:rsidP="000E2832">
            <w:pPr>
              <w:pStyle w:val="TableParagraph"/>
              <w:spacing w:before="161" w:line="254" w:lineRule="auto"/>
              <w:ind w:left="107"/>
            </w:pPr>
            <w:r w:rsidRPr="00927FB2">
              <w:t>2.1</w:t>
            </w:r>
            <w:r w:rsidR="000E2832" w:rsidRPr="00927FB2">
              <w:t>0</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69F920DA" w14:textId="77777777" w:rsidR="003F11D6" w:rsidRPr="00927FB2" w:rsidRDefault="003F11D6" w:rsidP="00E10D1E">
            <w:pPr>
              <w:pStyle w:val="TableParagraph"/>
              <w:spacing w:before="113" w:line="254" w:lineRule="auto"/>
              <w:ind w:left="107" w:right="95"/>
            </w:pPr>
            <w:r w:rsidRPr="00927FB2">
              <w:t>Proposed RDBMS must have built-in support for stored procedures, functions, and packages compilation during development and before execution.</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156E37B2" w14:textId="77777777" w:rsidR="003F11D6" w:rsidRPr="00927FB2" w:rsidRDefault="003F11D6" w:rsidP="00E10D1E">
            <w:pPr>
              <w:pStyle w:val="TableParagraph"/>
              <w:spacing w:line="254" w:lineRule="auto"/>
            </w:pPr>
          </w:p>
        </w:tc>
      </w:tr>
      <w:tr w:rsidR="003F11D6" w:rsidRPr="00AC5790" w14:paraId="588E7E1C"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5F923963" w14:textId="5EDCCFC4" w:rsidR="003F11D6" w:rsidRPr="00927FB2" w:rsidRDefault="000E2832" w:rsidP="000E2832">
            <w:pPr>
              <w:pStyle w:val="TableParagraph"/>
              <w:spacing w:before="161" w:line="254" w:lineRule="auto"/>
              <w:ind w:left="107"/>
            </w:pPr>
            <w:r w:rsidRPr="00927FB2">
              <w:t>2</w:t>
            </w:r>
            <w:r w:rsidR="003F11D6" w:rsidRPr="00927FB2">
              <w:t>.1</w:t>
            </w:r>
            <w:r w:rsidRPr="00927FB2">
              <w:t>1</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7B07C69" w14:textId="77777777" w:rsidR="003F11D6" w:rsidRPr="00927FB2" w:rsidRDefault="003F11D6" w:rsidP="00E10D1E">
            <w:pPr>
              <w:pStyle w:val="TableParagraph"/>
              <w:spacing w:before="113" w:line="254" w:lineRule="auto"/>
              <w:ind w:left="107" w:right="96"/>
            </w:pPr>
            <w:r w:rsidRPr="00927FB2">
              <w:t xml:space="preserve">Proposed RDBMS must support permissions assigned to database objects based on privileges, </w:t>
            </w:r>
            <w:proofErr w:type="gramStart"/>
            <w:r w:rsidRPr="00927FB2">
              <w:t>users</w:t>
            </w:r>
            <w:proofErr w:type="gramEnd"/>
            <w:r w:rsidRPr="00927FB2">
              <w:t xml:space="preserve"> and</w:t>
            </w:r>
            <w:r w:rsidRPr="00927FB2">
              <w:rPr>
                <w:spacing w:val="-4"/>
              </w:rPr>
              <w:t xml:space="preserve"> </w:t>
            </w:r>
            <w:r w:rsidRPr="00927FB2">
              <w:t>roles.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18A17BC6" w14:textId="77777777" w:rsidR="003F11D6" w:rsidRPr="00927FB2" w:rsidRDefault="003F11D6" w:rsidP="00E10D1E">
            <w:pPr>
              <w:pStyle w:val="TableParagraph"/>
              <w:spacing w:line="254" w:lineRule="auto"/>
            </w:pPr>
          </w:p>
        </w:tc>
      </w:tr>
      <w:tr w:rsidR="003F11D6" w:rsidRPr="00AC5790" w14:paraId="4C2AB243"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6D88E33E" w14:textId="46E3166B" w:rsidR="003F11D6" w:rsidRPr="00927FB2" w:rsidRDefault="000E2832" w:rsidP="00E10D1E">
            <w:pPr>
              <w:pStyle w:val="TableParagraph"/>
              <w:spacing w:before="161" w:line="254" w:lineRule="auto"/>
              <w:ind w:left="107"/>
            </w:pPr>
            <w:r w:rsidRPr="00927FB2">
              <w:t>2.12</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3782B104" w14:textId="77777777" w:rsidR="003F11D6" w:rsidRPr="00927FB2" w:rsidRDefault="003F11D6" w:rsidP="00E10D1E">
            <w:pPr>
              <w:pStyle w:val="TableParagraph"/>
              <w:spacing w:before="116" w:line="254" w:lineRule="auto"/>
              <w:ind w:left="107"/>
            </w:pPr>
            <w:r w:rsidRPr="00927FB2">
              <w:t>Proposed RDBMS must provide an audit mechanism.</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2BCDCB15" w14:textId="77777777" w:rsidR="003F11D6" w:rsidRPr="00927FB2" w:rsidRDefault="003F11D6" w:rsidP="00E10D1E">
            <w:pPr>
              <w:pStyle w:val="TableParagraph"/>
              <w:spacing w:line="254" w:lineRule="auto"/>
            </w:pPr>
          </w:p>
        </w:tc>
      </w:tr>
      <w:tr w:rsidR="003F11D6" w:rsidRPr="00AC5790" w14:paraId="04242FA7"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1D059E11" w14:textId="31FF71BB" w:rsidR="003F11D6" w:rsidRPr="00927FB2" w:rsidRDefault="000E2832" w:rsidP="00E10D1E">
            <w:pPr>
              <w:pStyle w:val="TableParagraph"/>
              <w:spacing w:before="161" w:line="254" w:lineRule="auto"/>
              <w:ind w:left="107"/>
            </w:pPr>
            <w:r w:rsidRPr="00927FB2">
              <w:lastRenderedPageBreak/>
              <w:t>2.13</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B8DB0F6" w14:textId="77777777" w:rsidR="003F11D6" w:rsidRPr="00927FB2" w:rsidRDefault="003F11D6" w:rsidP="00E10D1E">
            <w:pPr>
              <w:pStyle w:val="TableParagraph"/>
              <w:spacing w:before="113" w:line="254" w:lineRule="auto"/>
              <w:ind w:left="107"/>
            </w:pPr>
            <w:r w:rsidRPr="00927FB2">
              <w:t>Proposed RDBMS must provide network encryption for the data sent between the client and server.</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05CAD5D1" w14:textId="77777777" w:rsidR="003F11D6" w:rsidRPr="00927FB2" w:rsidRDefault="003F11D6" w:rsidP="00E10D1E">
            <w:pPr>
              <w:pStyle w:val="TableParagraph"/>
              <w:spacing w:line="254" w:lineRule="auto"/>
            </w:pPr>
          </w:p>
        </w:tc>
      </w:tr>
      <w:tr w:rsidR="003F11D6" w:rsidRPr="00AC5790" w14:paraId="75147742"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7B44BBAF" w14:textId="7E0868C3" w:rsidR="003F11D6" w:rsidRPr="00927FB2" w:rsidRDefault="000E2832" w:rsidP="00E10D1E">
            <w:pPr>
              <w:pStyle w:val="TableParagraph"/>
              <w:spacing w:before="161" w:line="254" w:lineRule="auto"/>
              <w:ind w:left="107"/>
            </w:pPr>
            <w:r w:rsidRPr="00927FB2">
              <w:t>2.14</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16E11440" w14:textId="77777777" w:rsidR="003F11D6" w:rsidRPr="00927FB2" w:rsidRDefault="003F11D6" w:rsidP="00E10D1E">
            <w:pPr>
              <w:pStyle w:val="TableParagraph"/>
              <w:spacing w:before="113" w:line="254" w:lineRule="auto"/>
              <w:ind w:left="107" w:right="95"/>
            </w:pPr>
            <w:r w:rsidRPr="00927FB2">
              <w:t>Proposed RDBMS must support complete and incremental backup/recovery. Backup functionality must support online operations in such way that backup of database can be done while database is up and running.</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53D28F79" w14:textId="77777777" w:rsidR="003F11D6" w:rsidRPr="00927FB2" w:rsidRDefault="003F11D6" w:rsidP="00E10D1E">
            <w:pPr>
              <w:pStyle w:val="TableParagraph"/>
              <w:spacing w:line="254" w:lineRule="auto"/>
            </w:pPr>
          </w:p>
        </w:tc>
      </w:tr>
      <w:tr w:rsidR="003F11D6" w:rsidRPr="00AC5790" w14:paraId="2561499F"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2D30143E" w14:textId="31C7FB1A" w:rsidR="003F11D6" w:rsidRPr="00927FB2" w:rsidRDefault="000E2832" w:rsidP="00E10D1E">
            <w:pPr>
              <w:pStyle w:val="TableParagraph"/>
              <w:spacing w:before="161" w:line="254" w:lineRule="auto"/>
              <w:ind w:left="107"/>
            </w:pPr>
            <w:r w:rsidRPr="00927FB2">
              <w:t>2.15</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28854C57" w14:textId="77777777" w:rsidR="003F11D6" w:rsidRPr="00927FB2" w:rsidRDefault="003F11D6" w:rsidP="00E10D1E">
            <w:pPr>
              <w:pStyle w:val="TableParagraph"/>
              <w:spacing w:before="113" w:line="254" w:lineRule="auto"/>
              <w:ind w:left="107" w:right="107"/>
            </w:pPr>
            <w:r w:rsidRPr="00927FB2">
              <w:t>Proposed RDBMS must support automatic recovery in case of a transaction or system failure.</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1CCE79D4" w14:textId="77777777" w:rsidR="003F11D6" w:rsidRPr="00927FB2" w:rsidRDefault="003F11D6" w:rsidP="00E10D1E">
            <w:pPr>
              <w:pStyle w:val="TableParagraph"/>
              <w:spacing w:line="254" w:lineRule="auto"/>
            </w:pPr>
          </w:p>
        </w:tc>
      </w:tr>
      <w:tr w:rsidR="003F11D6" w:rsidRPr="00AC5790" w14:paraId="4A9F57AF"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20522019" w14:textId="3EE08CF6" w:rsidR="003F11D6" w:rsidRPr="00927FB2" w:rsidRDefault="000E2832" w:rsidP="00E10D1E">
            <w:pPr>
              <w:pStyle w:val="TableParagraph"/>
              <w:spacing w:before="161" w:line="254" w:lineRule="auto"/>
              <w:ind w:left="107"/>
            </w:pPr>
            <w:r w:rsidRPr="00927FB2">
              <w:t>2.16</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9A60F90" w14:textId="77777777" w:rsidR="003F11D6" w:rsidRPr="00927FB2" w:rsidRDefault="003F11D6" w:rsidP="00E10D1E">
            <w:pPr>
              <w:pStyle w:val="TableParagraph"/>
              <w:spacing w:before="113" w:line="254" w:lineRule="auto"/>
              <w:ind w:left="107" w:right="96"/>
            </w:pPr>
            <w:r w:rsidRPr="00927FB2">
              <w:t>Proposed RDBMS must have support for alphanumeric, unstructured data, XML as well as spatial data.</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2AFCECB" w14:textId="77777777" w:rsidR="003F11D6" w:rsidRPr="00927FB2" w:rsidRDefault="003F11D6" w:rsidP="00E10D1E">
            <w:pPr>
              <w:pStyle w:val="TableParagraph"/>
              <w:spacing w:line="254" w:lineRule="auto"/>
            </w:pPr>
          </w:p>
        </w:tc>
      </w:tr>
      <w:tr w:rsidR="003F11D6" w:rsidRPr="00AC5790" w14:paraId="35583112"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5DF3B322" w14:textId="09FEB8F1" w:rsidR="003F11D6" w:rsidRPr="00927FB2" w:rsidRDefault="000E2832" w:rsidP="00E10D1E">
            <w:pPr>
              <w:pStyle w:val="TableParagraph"/>
              <w:spacing w:before="161" w:line="254" w:lineRule="auto"/>
              <w:ind w:left="107"/>
            </w:pPr>
            <w:r w:rsidRPr="00927FB2">
              <w:t>2.17</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692C0208" w14:textId="77777777" w:rsidR="003F11D6" w:rsidRPr="00927FB2" w:rsidRDefault="003F11D6" w:rsidP="00E10D1E">
            <w:pPr>
              <w:pStyle w:val="TableParagraph"/>
              <w:spacing w:before="113" w:line="254" w:lineRule="auto"/>
              <w:ind w:left="107"/>
            </w:pPr>
            <w:r w:rsidRPr="00927FB2">
              <w:t>Spatial features of RDBMS must support:</w:t>
            </w:r>
          </w:p>
          <w:p w14:paraId="5856CF36" w14:textId="77777777" w:rsidR="003F11D6" w:rsidRPr="00927FB2" w:rsidRDefault="003F11D6" w:rsidP="00E10D1E">
            <w:pPr>
              <w:pStyle w:val="TableParagraph"/>
              <w:spacing w:line="276" w:lineRule="auto"/>
              <w:ind w:left="467" w:right="91"/>
            </w:pPr>
            <w:r w:rsidRPr="00927FB2">
              <w:t>Spatial data must support different geometry types such as: points,</w:t>
            </w:r>
            <w:r w:rsidRPr="00927FB2">
              <w:rPr>
                <w:spacing w:val="19"/>
              </w:rPr>
              <w:t xml:space="preserve"> </w:t>
            </w:r>
            <w:r w:rsidRPr="00927FB2">
              <w:t>multi-points, lines, line strings, multi-line strings, polygons, multi- polygons, surfaces, multiple surfaces, 3-D geometry, and point cloud storage.</w:t>
            </w:r>
          </w:p>
          <w:p w14:paraId="15583073" w14:textId="77777777" w:rsidR="003F11D6" w:rsidRPr="00927FB2" w:rsidRDefault="003F11D6" w:rsidP="00E10D1E">
            <w:pPr>
              <w:pStyle w:val="TableParagraph"/>
              <w:numPr>
                <w:ilvl w:val="0"/>
                <w:numId w:val="201"/>
              </w:numPr>
              <w:tabs>
                <w:tab w:val="left" w:pos="468"/>
              </w:tabs>
              <w:spacing w:line="276" w:lineRule="auto"/>
              <w:ind w:right="94"/>
            </w:pPr>
            <w:r w:rsidRPr="00927FB2">
              <w:t xml:space="preserve">Spatial operators for determining geospatial measurements like area, distance, </w:t>
            </w:r>
            <w:proofErr w:type="gramStart"/>
            <w:r w:rsidRPr="00927FB2">
              <w:t>length</w:t>
            </w:r>
            <w:proofErr w:type="gramEnd"/>
            <w:r w:rsidRPr="00927FB2">
              <w:t xml:space="preserve"> and perimeter, as well as geospatial set operations like union, difference, and symmetric</w:t>
            </w:r>
            <w:r w:rsidRPr="00927FB2">
              <w:rPr>
                <w:spacing w:val="-11"/>
              </w:rPr>
              <w:t xml:space="preserve"> </w:t>
            </w:r>
            <w:r w:rsidRPr="00927FB2">
              <w:t>difference.</w:t>
            </w:r>
          </w:p>
          <w:p w14:paraId="7347597B" w14:textId="77777777" w:rsidR="003F11D6" w:rsidRPr="00927FB2" w:rsidRDefault="003F11D6" w:rsidP="00E10D1E">
            <w:pPr>
              <w:pStyle w:val="TableParagraph"/>
              <w:numPr>
                <w:ilvl w:val="0"/>
                <w:numId w:val="201"/>
              </w:numPr>
              <w:tabs>
                <w:tab w:val="left" w:pos="468"/>
              </w:tabs>
              <w:spacing w:line="276" w:lineRule="auto"/>
              <w:ind w:right="97"/>
            </w:pPr>
            <w:r w:rsidRPr="00927FB2">
              <w:t>Data models such as: topology data model for working with data about nodes, edges, and faces in a topology, network data model to model and analyze link-node graphs to represent physical and logical networks used in transportation,</w:t>
            </w:r>
            <w:r w:rsidRPr="00927FB2">
              <w:rPr>
                <w:spacing w:val="-12"/>
              </w:rPr>
              <w:t xml:space="preserve"> </w:t>
            </w:r>
            <w:r w:rsidRPr="00927FB2">
              <w:t>etc.</w:t>
            </w:r>
          </w:p>
          <w:p w14:paraId="1340BC3F" w14:textId="77777777" w:rsidR="003F11D6" w:rsidRPr="00927FB2" w:rsidRDefault="003F11D6" w:rsidP="00E10D1E">
            <w:pPr>
              <w:pStyle w:val="TableParagraph"/>
              <w:numPr>
                <w:ilvl w:val="0"/>
                <w:numId w:val="201"/>
              </w:numPr>
              <w:tabs>
                <w:tab w:val="left" w:pos="468"/>
              </w:tabs>
              <w:spacing w:line="276" w:lineRule="auto"/>
              <w:ind w:right="97"/>
            </w:pPr>
            <w:r w:rsidRPr="00927FB2">
              <w:t>Raster data to store, index, query, analyze, and deliver data as raster image and its associated metadata.</w:t>
            </w:r>
          </w:p>
          <w:p w14:paraId="35827A67" w14:textId="77777777" w:rsidR="003F11D6" w:rsidRPr="00927FB2" w:rsidRDefault="003F11D6" w:rsidP="00E10D1E">
            <w:pPr>
              <w:pStyle w:val="TableParagraph"/>
              <w:numPr>
                <w:ilvl w:val="0"/>
                <w:numId w:val="202"/>
              </w:numPr>
              <w:tabs>
                <w:tab w:val="left" w:pos="468"/>
              </w:tabs>
              <w:spacing w:before="97" w:line="290" w:lineRule="atLeast"/>
              <w:ind w:right="95"/>
            </w:pPr>
            <w:r w:rsidRPr="00927FB2">
              <w:t>Graphs such as property and RDF (Resource Description Framework)</w:t>
            </w:r>
            <w:r w:rsidRPr="00927FB2">
              <w:rPr>
                <w:spacing w:val="-1"/>
              </w:rPr>
              <w:t xml:space="preserve"> </w:t>
            </w:r>
            <w:r w:rsidRPr="00927FB2">
              <w:t>graphs.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699EA020" w14:textId="77777777" w:rsidR="003F11D6" w:rsidRPr="00927FB2" w:rsidRDefault="003F11D6" w:rsidP="00E10D1E">
            <w:pPr>
              <w:pStyle w:val="TableParagraph"/>
              <w:spacing w:line="254" w:lineRule="auto"/>
            </w:pPr>
          </w:p>
        </w:tc>
      </w:tr>
      <w:tr w:rsidR="003F11D6" w:rsidRPr="00AC5790" w14:paraId="1F4A81B6"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135F4CA5" w14:textId="5E11691E" w:rsidR="003F11D6" w:rsidRPr="00927FB2" w:rsidRDefault="000E2832" w:rsidP="00E10D1E">
            <w:pPr>
              <w:pStyle w:val="TableParagraph"/>
              <w:spacing w:before="161" w:line="254" w:lineRule="auto"/>
              <w:ind w:left="107"/>
            </w:pPr>
            <w:r w:rsidRPr="00927FB2">
              <w:t>2.18</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4A0C05E5" w14:textId="77777777" w:rsidR="003F11D6" w:rsidRPr="00927FB2" w:rsidRDefault="003F11D6" w:rsidP="00E10D1E">
            <w:pPr>
              <w:pStyle w:val="TableParagraph"/>
              <w:spacing w:before="113" w:line="254" w:lineRule="auto"/>
              <w:ind w:left="107" w:right="93"/>
            </w:pPr>
            <w:r w:rsidRPr="00927FB2">
              <w:t xml:space="preserve">Proposed RDBMS must have support for Machine Learning (ML) features including but not limited </w:t>
            </w:r>
            <w:proofErr w:type="gramStart"/>
            <w:r w:rsidRPr="00927FB2">
              <w:t>to:</w:t>
            </w:r>
            <w:proofErr w:type="gramEnd"/>
            <w:r w:rsidRPr="00927FB2">
              <w:t xml:space="preserve"> development of ML models and ML model scoring, predictive analytics which can use ML algorithms implemented as SQL functions, and built-in integration with open-source R language.</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A4B059F" w14:textId="77777777" w:rsidR="003F11D6" w:rsidRPr="00927FB2" w:rsidRDefault="003F11D6" w:rsidP="00E10D1E">
            <w:pPr>
              <w:pStyle w:val="TableParagraph"/>
              <w:spacing w:line="254" w:lineRule="auto"/>
            </w:pPr>
          </w:p>
        </w:tc>
      </w:tr>
      <w:tr w:rsidR="003F11D6" w:rsidRPr="00AC5790" w14:paraId="0A9E6170"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085EF877" w14:textId="12C31629" w:rsidR="003F11D6" w:rsidRPr="00927FB2" w:rsidRDefault="000E2832" w:rsidP="00E10D1E">
            <w:pPr>
              <w:pStyle w:val="TableParagraph"/>
              <w:spacing w:before="161" w:line="254" w:lineRule="auto"/>
              <w:ind w:left="107"/>
            </w:pPr>
            <w:r w:rsidRPr="00927FB2">
              <w:t>2.19</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3E6E9C70" w14:textId="77777777" w:rsidR="003F11D6" w:rsidRPr="00927FB2" w:rsidRDefault="003F11D6" w:rsidP="00E10D1E">
            <w:pPr>
              <w:pStyle w:val="TableParagraph"/>
              <w:spacing w:before="116" w:line="254" w:lineRule="auto"/>
              <w:ind w:left="107" w:right="95"/>
            </w:pPr>
            <w:r w:rsidRPr="00927FB2">
              <w:t>Proposed RDBMS must have support for table and index partitioning by dividing them into smaller pieces.   Table   partitioning   must   support</w:t>
            </w:r>
            <w:r w:rsidRPr="00927FB2">
              <w:rPr>
                <w:spacing w:val="40"/>
              </w:rPr>
              <w:t xml:space="preserve"> </w:t>
            </w:r>
            <w:r w:rsidRPr="00927FB2">
              <w:t>different partitioning methods such as: range partitioning,</w:t>
            </w:r>
            <w:r w:rsidRPr="00927FB2">
              <w:rPr>
                <w:spacing w:val="4"/>
              </w:rPr>
              <w:t xml:space="preserve"> </w:t>
            </w:r>
            <w:r w:rsidRPr="00927FB2">
              <w:t>hash partitioning,</w:t>
            </w:r>
            <w:r w:rsidRPr="00927FB2">
              <w:tab/>
              <w:t xml:space="preserve">list partitioning, and composite </w:t>
            </w:r>
            <w:r w:rsidRPr="00927FB2">
              <w:lastRenderedPageBreak/>
              <w:t>partitioning (combination of other methods).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347438CC" w14:textId="77777777" w:rsidR="003F11D6" w:rsidRPr="00927FB2" w:rsidRDefault="003F11D6" w:rsidP="00E10D1E">
            <w:pPr>
              <w:pStyle w:val="TableParagraph"/>
              <w:spacing w:line="254" w:lineRule="auto"/>
            </w:pPr>
          </w:p>
        </w:tc>
      </w:tr>
      <w:tr w:rsidR="003F11D6" w:rsidRPr="00AC5790" w14:paraId="7CDE9C9D"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790CC2E7" w14:textId="0CDF6994" w:rsidR="003F11D6" w:rsidRPr="00927FB2" w:rsidRDefault="000E2832" w:rsidP="00E10D1E">
            <w:pPr>
              <w:pStyle w:val="TableParagraph"/>
              <w:spacing w:before="161" w:line="254" w:lineRule="auto"/>
              <w:ind w:left="107"/>
            </w:pPr>
            <w:r w:rsidRPr="00927FB2">
              <w:t>2.20</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99E011D" w14:textId="77777777" w:rsidR="003F11D6" w:rsidRPr="00927FB2" w:rsidRDefault="003F11D6" w:rsidP="00E10D1E">
            <w:pPr>
              <w:pStyle w:val="TableParagraph"/>
              <w:spacing w:before="113" w:line="254" w:lineRule="auto"/>
              <w:ind w:left="107" w:right="95"/>
            </w:pPr>
            <w:r w:rsidRPr="00927FB2">
              <w:t>RDBMS must support online operations such as table redefinition and index rebuild without database restart.</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3D9DB6A3" w14:textId="77777777" w:rsidR="003F11D6" w:rsidRPr="00927FB2" w:rsidRDefault="003F11D6" w:rsidP="00E10D1E">
            <w:pPr>
              <w:pStyle w:val="TableParagraph"/>
              <w:spacing w:line="254" w:lineRule="auto"/>
            </w:pPr>
          </w:p>
        </w:tc>
      </w:tr>
      <w:tr w:rsidR="003F11D6" w:rsidRPr="00AC5790" w14:paraId="1F02C1E6"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032B21A2" w14:textId="3128FEEB" w:rsidR="003F11D6" w:rsidRPr="00927FB2" w:rsidRDefault="000E2832" w:rsidP="00E10D1E">
            <w:pPr>
              <w:pStyle w:val="TableParagraph"/>
              <w:spacing w:before="161" w:line="254" w:lineRule="auto"/>
              <w:ind w:left="107"/>
            </w:pPr>
            <w:r w:rsidRPr="00927FB2">
              <w:t>2.21</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28B5FB3A" w14:textId="77777777" w:rsidR="003F11D6" w:rsidRPr="00927FB2" w:rsidRDefault="003F11D6" w:rsidP="00E10D1E">
            <w:pPr>
              <w:pStyle w:val="TableParagraph"/>
              <w:spacing w:before="113" w:line="254" w:lineRule="auto"/>
              <w:ind w:left="107"/>
            </w:pPr>
            <w:r w:rsidRPr="00927FB2">
              <w:t>Proposed RDBMS must have built-in ability to view changes across row versions.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68739C76" w14:textId="77777777" w:rsidR="003F11D6" w:rsidRPr="00927FB2" w:rsidRDefault="003F11D6" w:rsidP="00E10D1E">
            <w:pPr>
              <w:pStyle w:val="TableParagraph"/>
              <w:spacing w:line="254" w:lineRule="auto"/>
            </w:pPr>
          </w:p>
        </w:tc>
      </w:tr>
      <w:tr w:rsidR="003F11D6" w:rsidRPr="00AC5790" w14:paraId="5CC0208A"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47D56328" w14:textId="75872E22" w:rsidR="003F11D6" w:rsidRPr="00927FB2" w:rsidRDefault="000E2832" w:rsidP="00E10D1E">
            <w:pPr>
              <w:pStyle w:val="TableParagraph"/>
              <w:spacing w:before="161" w:line="254" w:lineRule="auto"/>
              <w:ind w:left="107"/>
            </w:pPr>
            <w:r w:rsidRPr="00927FB2">
              <w:t>2.22</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6049BDC3" w14:textId="77777777" w:rsidR="003F11D6" w:rsidRPr="00927FB2" w:rsidRDefault="003F11D6" w:rsidP="00E10D1E">
            <w:pPr>
              <w:pStyle w:val="TableParagraph"/>
              <w:spacing w:before="113" w:line="254" w:lineRule="auto"/>
              <w:ind w:left="107" w:right="107"/>
            </w:pPr>
            <w:r w:rsidRPr="00927FB2">
              <w:t>Proposed RDBMS must have built-in ability to rewind the TABLE to a past point in time.</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0801BF94" w14:textId="77777777" w:rsidR="003F11D6" w:rsidRPr="00927FB2" w:rsidRDefault="003F11D6" w:rsidP="00E10D1E">
            <w:pPr>
              <w:pStyle w:val="TableParagraph"/>
              <w:spacing w:line="254" w:lineRule="auto"/>
            </w:pPr>
          </w:p>
        </w:tc>
      </w:tr>
      <w:tr w:rsidR="003F11D6" w:rsidRPr="00AC5790" w14:paraId="664C3B3F"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51AD48F1" w14:textId="78EFAE6D" w:rsidR="003F11D6" w:rsidRPr="00927FB2" w:rsidRDefault="000E2832" w:rsidP="00E10D1E">
            <w:pPr>
              <w:pStyle w:val="TableParagraph"/>
              <w:spacing w:before="161" w:line="254" w:lineRule="auto"/>
              <w:ind w:left="107"/>
            </w:pPr>
            <w:r w:rsidRPr="00927FB2">
              <w:t>2.23</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7FD41439" w14:textId="77777777" w:rsidR="003F11D6" w:rsidRPr="00927FB2" w:rsidRDefault="003F11D6" w:rsidP="00E10D1E">
            <w:pPr>
              <w:pStyle w:val="TableParagraph"/>
              <w:spacing w:before="114" w:line="254" w:lineRule="auto"/>
              <w:ind w:left="107" w:right="95"/>
            </w:pPr>
            <w:r w:rsidRPr="00927FB2">
              <w:t>Proposed RDBMS must have built-in capability to rewind the database to a prior point without the need to RESTORE the database.</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0618C446" w14:textId="77777777" w:rsidR="003F11D6" w:rsidRPr="00927FB2" w:rsidRDefault="003F11D6" w:rsidP="00E10D1E">
            <w:pPr>
              <w:pStyle w:val="TableParagraph"/>
              <w:spacing w:line="254" w:lineRule="auto"/>
            </w:pPr>
          </w:p>
        </w:tc>
      </w:tr>
      <w:tr w:rsidR="003F11D6" w:rsidRPr="00AC5790" w14:paraId="0B4A2EBD"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1589D3BB" w14:textId="1CF3A910" w:rsidR="003F11D6" w:rsidRPr="00927FB2" w:rsidRDefault="000E2832" w:rsidP="00E10D1E">
            <w:pPr>
              <w:pStyle w:val="TableParagraph"/>
              <w:spacing w:before="161" w:line="254" w:lineRule="auto"/>
              <w:ind w:left="107"/>
            </w:pPr>
            <w:r w:rsidRPr="00927FB2">
              <w:t>2.24</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638C595D" w14:textId="77777777" w:rsidR="003F11D6" w:rsidRPr="00927FB2" w:rsidRDefault="003F11D6" w:rsidP="00E10D1E">
            <w:pPr>
              <w:pStyle w:val="TableParagraph"/>
              <w:spacing w:before="113" w:line="254" w:lineRule="auto"/>
              <w:ind w:left="107" w:right="107"/>
            </w:pPr>
            <w:r w:rsidRPr="00927FB2">
              <w:t>Proposed RDBMS must have built-in ability to recover dropped objects.</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1A4D39FA" w14:textId="77777777" w:rsidR="003F11D6" w:rsidRPr="00927FB2" w:rsidRDefault="003F11D6" w:rsidP="00E10D1E">
            <w:pPr>
              <w:pStyle w:val="TableParagraph"/>
              <w:spacing w:line="254" w:lineRule="auto"/>
            </w:pPr>
          </w:p>
        </w:tc>
      </w:tr>
      <w:tr w:rsidR="003F11D6" w:rsidRPr="00AC5790" w14:paraId="5937D253"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37EFC102" w14:textId="1EF28F8D" w:rsidR="003F11D6" w:rsidRPr="00927FB2" w:rsidRDefault="000E2832" w:rsidP="00E10D1E">
            <w:pPr>
              <w:pStyle w:val="TableParagraph"/>
              <w:spacing w:before="161" w:line="254" w:lineRule="auto"/>
              <w:ind w:left="107"/>
            </w:pPr>
            <w:r w:rsidRPr="00927FB2">
              <w:t>2.25</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03CC33FC" w14:textId="77777777" w:rsidR="003F11D6" w:rsidRPr="00927FB2" w:rsidRDefault="003F11D6" w:rsidP="00E10D1E">
            <w:pPr>
              <w:pStyle w:val="TableParagraph"/>
              <w:spacing w:before="113" w:line="254" w:lineRule="auto"/>
              <w:ind w:left="107" w:right="96"/>
            </w:pPr>
            <w:r w:rsidRPr="00927FB2">
              <w:t xml:space="preserve">Proposed RDBMS must be able to monitor SQL statements and analyze SQL statement execution in order to detect and diagnose database performance </w:t>
            </w:r>
            <w:proofErr w:type="gramStart"/>
            <w:r w:rsidRPr="00927FB2">
              <w:t>problems, and</w:t>
            </w:r>
            <w:proofErr w:type="gramEnd"/>
            <w:r w:rsidRPr="00927FB2">
              <w:t xml:space="preserve"> help administrators to proactively tune their database environment.</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BF2FE3F" w14:textId="77777777" w:rsidR="003F11D6" w:rsidRPr="00927FB2" w:rsidRDefault="003F11D6" w:rsidP="00E10D1E">
            <w:pPr>
              <w:pStyle w:val="TableParagraph"/>
              <w:spacing w:line="254" w:lineRule="auto"/>
            </w:pPr>
          </w:p>
        </w:tc>
      </w:tr>
      <w:tr w:rsidR="003F11D6" w:rsidRPr="00AC5790" w14:paraId="3AED532F"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4D8CA1B4" w14:textId="258C80A2" w:rsidR="003F11D6" w:rsidRPr="00927FB2" w:rsidRDefault="000E2832" w:rsidP="00E10D1E">
            <w:pPr>
              <w:pStyle w:val="TableParagraph"/>
              <w:spacing w:before="161" w:line="254" w:lineRule="auto"/>
              <w:ind w:left="107"/>
            </w:pPr>
            <w:r w:rsidRPr="00927FB2">
              <w:t>2.26</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27245148" w14:textId="71B0924D" w:rsidR="003F11D6" w:rsidRPr="00927FB2" w:rsidRDefault="003F11D6" w:rsidP="00E10D1E">
            <w:pPr>
              <w:pStyle w:val="TableParagraph"/>
              <w:spacing w:before="113" w:line="254" w:lineRule="auto"/>
              <w:ind w:left="107" w:right="94"/>
            </w:pPr>
            <w:r w:rsidRPr="00927FB2">
              <w:t xml:space="preserve">RDBMS must be proposed with </w:t>
            </w:r>
            <w:proofErr w:type="gramStart"/>
            <w:r w:rsidRPr="00927FB2">
              <w:t>suitable</w:t>
            </w:r>
            <w:proofErr w:type="gramEnd"/>
            <w:r w:rsidRPr="00927FB2">
              <w:t xml:space="preserve"> set of licenses to be installed on the database servers on DR location. </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374EF74C" w14:textId="77777777" w:rsidR="003F11D6" w:rsidRPr="00927FB2" w:rsidRDefault="003F11D6" w:rsidP="00E10D1E">
            <w:pPr>
              <w:pStyle w:val="TableParagraph"/>
              <w:spacing w:line="254" w:lineRule="auto"/>
            </w:pPr>
          </w:p>
        </w:tc>
      </w:tr>
      <w:tr w:rsidR="003F11D6" w14:paraId="78ADA988" w14:textId="77777777" w:rsidTr="00927FB2">
        <w:trPr>
          <w:trHeight w:val="626"/>
        </w:trPr>
        <w:tc>
          <w:tcPr>
            <w:tcW w:w="623" w:type="pct"/>
            <w:tcBorders>
              <w:top w:val="single" w:sz="4" w:space="0" w:color="000000"/>
              <w:left w:val="single" w:sz="4" w:space="0" w:color="000000"/>
              <w:bottom w:val="single" w:sz="4" w:space="0" w:color="000000"/>
              <w:right w:val="single" w:sz="4" w:space="0" w:color="000000"/>
            </w:tcBorders>
            <w:shd w:val="clear" w:color="auto" w:fill="auto"/>
            <w:hideMark/>
          </w:tcPr>
          <w:p w14:paraId="3D9CF80F" w14:textId="377E0DCE" w:rsidR="003F11D6" w:rsidRPr="00927FB2" w:rsidRDefault="000E2832" w:rsidP="00E10D1E">
            <w:pPr>
              <w:pStyle w:val="TableParagraph"/>
              <w:spacing w:before="161" w:line="254" w:lineRule="auto"/>
              <w:ind w:left="107"/>
            </w:pPr>
            <w:r w:rsidRPr="00927FB2">
              <w:t>2.27</w:t>
            </w:r>
          </w:p>
        </w:tc>
        <w:tc>
          <w:tcPr>
            <w:tcW w:w="2878" w:type="pct"/>
            <w:tcBorders>
              <w:top w:val="single" w:sz="4" w:space="0" w:color="000000"/>
              <w:left w:val="single" w:sz="4" w:space="0" w:color="000000"/>
              <w:bottom w:val="single" w:sz="4" w:space="0" w:color="000000"/>
              <w:right w:val="single" w:sz="4" w:space="0" w:color="000000"/>
            </w:tcBorders>
            <w:shd w:val="clear" w:color="auto" w:fill="auto"/>
            <w:hideMark/>
          </w:tcPr>
          <w:p w14:paraId="49E523F3" w14:textId="77777777" w:rsidR="003F11D6" w:rsidRPr="00927FB2" w:rsidRDefault="003F11D6" w:rsidP="00E10D1E">
            <w:pPr>
              <w:pStyle w:val="TableParagraph"/>
              <w:spacing w:before="113" w:line="254" w:lineRule="auto"/>
              <w:ind w:left="107"/>
            </w:pPr>
            <w:r w:rsidRPr="00927FB2">
              <w:t>RDBMS must include technical support including:</w:t>
            </w:r>
          </w:p>
          <w:p w14:paraId="76A10C92" w14:textId="77777777" w:rsidR="003F11D6" w:rsidRPr="00927FB2" w:rsidRDefault="003F11D6" w:rsidP="00E10D1E">
            <w:pPr>
              <w:pStyle w:val="TableParagraph"/>
              <w:numPr>
                <w:ilvl w:val="0"/>
                <w:numId w:val="203"/>
              </w:numPr>
              <w:tabs>
                <w:tab w:val="left" w:pos="468"/>
              </w:tabs>
              <w:spacing w:before="120" w:line="254" w:lineRule="auto"/>
              <w:ind w:hanging="361"/>
            </w:pPr>
            <w:proofErr w:type="gramStart"/>
            <w:r w:rsidRPr="00927FB2">
              <w:t>Download of</w:t>
            </w:r>
            <w:proofErr w:type="gramEnd"/>
            <w:r w:rsidRPr="00927FB2">
              <w:t xml:space="preserve"> patches, </w:t>
            </w:r>
            <w:proofErr w:type="gramStart"/>
            <w:r w:rsidRPr="00927FB2">
              <w:t>upgrades</w:t>
            </w:r>
            <w:proofErr w:type="gramEnd"/>
            <w:r w:rsidRPr="00927FB2">
              <w:t xml:space="preserve"> and new</w:t>
            </w:r>
            <w:r w:rsidRPr="00927FB2">
              <w:rPr>
                <w:spacing w:val="-10"/>
              </w:rPr>
              <w:t xml:space="preserve"> </w:t>
            </w:r>
            <w:r w:rsidRPr="00927FB2">
              <w:t>releases.</w:t>
            </w:r>
          </w:p>
          <w:p w14:paraId="1B6C4171" w14:textId="77777777" w:rsidR="003F11D6" w:rsidRPr="00927FB2" w:rsidRDefault="003F11D6" w:rsidP="00E10D1E">
            <w:pPr>
              <w:pStyle w:val="TableParagraph"/>
              <w:numPr>
                <w:ilvl w:val="0"/>
                <w:numId w:val="203"/>
              </w:numPr>
              <w:tabs>
                <w:tab w:val="left" w:pos="468"/>
              </w:tabs>
              <w:spacing w:before="38" w:line="268" w:lineRule="auto"/>
              <w:ind w:right="97"/>
            </w:pPr>
            <w:r w:rsidRPr="00927FB2">
              <w:t>24 x 7 x 365 access to hardware and software professionals to report problems if they</w:t>
            </w:r>
            <w:r w:rsidRPr="00927FB2">
              <w:rPr>
                <w:spacing w:val="-12"/>
              </w:rPr>
              <w:t xml:space="preserve"> </w:t>
            </w:r>
            <w:r w:rsidRPr="00927FB2">
              <w:t>occur.</w:t>
            </w:r>
          </w:p>
          <w:p w14:paraId="23173E08" w14:textId="77777777" w:rsidR="003F11D6" w:rsidRPr="00927FB2" w:rsidRDefault="003F11D6" w:rsidP="00E10D1E">
            <w:pPr>
              <w:pStyle w:val="TableParagraph"/>
              <w:spacing w:before="113" w:line="254" w:lineRule="auto"/>
              <w:ind w:left="107" w:right="94"/>
            </w:pPr>
            <w:r w:rsidRPr="00927FB2">
              <w:t>The Bidder is required to provide technical support for at least one year.</w:t>
            </w:r>
          </w:p>
        </w:tc>
        <w:tc>
          <w:tcPr>
            <w:tcW w:w="1499" w:type="pct"/>
            <w:tcBorders>
              <w:top w:val="single" w:sz="4" w:space="0" w:color="000000"/>
              <w:left w:val="single" w:sz="4" w:space="0" w:color="000000"/>
              <w:bottom w:val="single" w:sz="4" w:space="0" w:color="000000"/>
              <w:right w:val="single" w:sz="4" w:space="0" w:color="000000"/>
            </w:tcBorders>
            <w:shd w:val="clear" w:color="auto" w:fill="auto"/>
          </w:tcPr>
          <w:p w14:paraId="4DB3724D" w14:textId="77777777" w:rsidR="003F11D6" w:rsidRPr="00927FB2" w:rsidRDefault="003F11D6" w:rsidP="00E10D1E">
            <w:pPr>
              <w:pStyle w:val="TableParagraph"/>
              <w:spacing w:line="254" w:lineRule="auto"/>
            </w:pPr>
          </w:p>
        </w:tc>
      </w:tr>
    </w:tbl>
    <w:p w14:paraId="4A6E86E9" w14:textId="5C3D8970" w:rsidR="003F11D6" w:rsidRDefault="003F11D6" w:rsidP="001136D3">
      <w:pPr>
        <w:pStyle w:val="Head32"/>
        <w:ind w:right="-360"/>
        <w:jc w:val="both"/>
      </w:pPr>
    </w:p>
    <w:p w14:paraId="534E8894" w14:textId="77777777" w:rsidR="009D68A3" w:rsidRPr="009D68A3" w:rsidRDefault="009D68A3" w:rsidP="009D68A3">
      <w:pPr>
        <w:pStyle w:val="Head32"/>
        <w:ind w:right="-360"/>
        <w:rPr>
          <w:sz w:val="32"/>
          <w:szCs w:val="32"/>
          <w:u w:val="single"/>
        </w:rPr>
      </w:pPr>
      <w:r w:rsidRPr="009D68A3">
        <w:rPr>
          <w:sz w:val="32"/>
          <w:szCs w:val="32"/>
          <w:u w:val="single"/>
        </w:rPr>
        <w:t>Technical Responsiveness Checklist - Continue</w:t>
      </w:r>
    </w:p>
    <w:p w14:paraId="5A9167FF" w14:textId="77777777" w:rsidR="00FB7C09" w:rsidRDefault="00FB7C09" w:rsidP="001136D3">
      <w:pPr>
        <w:pStyle w:val="Head32"/>
        <w:ind w:right="-360"/>
        <w:jc w:val="both"/>
      </w:pPr>
    </w:p>
    <w:tbl>
      <w:tblPr>
        <w:tblStyle w:val="TableGrid4"/>
        <w:tblW w:w="9355" w:type="dxa"/>
        <w:tblLayout w:type="fixed"/>
        <w:tblLook w:val="04A0" w:firstRow="1" w:lastRow="0" w:firstColumn="1" w:lastColumn="0" w:noHBand="0" w:noVBand="1"/>
      </w:tblPr>
      <w:tblGrid>
        <w:gridCol w:w="2785"/>
        <w:gridCol w:w="6570"/>
      </w:tblGrid>
      <w:tr w:rsidR="005E531D" w:rsidRPr="008C4A39" w14:paraId="08E0AE9D" w14:textId="77777777" w:rsidTr="005E531D">
        <w:trPr>
          <w:tblHeader/>
        </w:trPr>
        <w:tc>
          <w:tcPr>
            <w:tcW w:w="2785" w:type="dxa"/>
            <w:shd w:val="clear" w:color="auto" w:fill="D9D9D9"/>
          </w:tcPr>
          <w:p w14:paraId="454FBD97" w14:textId="222A4325" w:rsidR="005E531D" w:rsidRPr="008C4A39" w:rsidRDefault="005E531D" w:rsidP="005E531D">
            <w:pPr>
              <w:spacing w:after="0"/>
              <w:rPr>
                <w:b/>
                <w:szCs w:val="24"/>
              </w:rPr>
            </w:pPr>
            <w:r w:rsidRPr="008C4A39">
              <w:rPr>
                <w:b/>
                <w:szCs w:val="24"/>
              </w:rPr>
              <w:t>Tech. Req. Number</w:t>
            </w:r>
          </w:p>
        </w:tc>
        <w:tc>
          <w:tcPr>
            <w:tcW w:w="6570" w:type="dxa"/>
            <w:shd w:val="clear" w:color="auto" w:fill="D9D9D9"/>
          </w:tcPr>
          <w:p w14:paraId="1F292798" w14:textId="77777777" w:rsidR="005E531D" w:rsidRPr="008C4A39" w:rsidRDefault="005E531D" w:rsidP="005E531D">
            <w:pPr>
              <w:spacing w:after="0"/>
              <w:jc w:val="left"/>
              <w:rPr>
                <w:b/>
                <w:szCs w:val="24"/>
              </w:rPr>
            </w:pPr>
            <w:r w:rsidRPr="008C4A39">
              <w:rPr>
                <w:b/>
                <w:szCs w:val="24"/>
              </w:rPr>
              <w:t>Technical Requirement</w:t>
            </w:r>
          </w:p>
        </w:tc>
      </w:tr>
      <w:tr w:rsidR="005E531D" w:rsidRPr="008C4A39" w14:paraId="051448A0" w14:textId="77777777" w:rsidTr="005E531D">
        <w:tc>
          <w:tcPr>
            <w:tcW w:w="9355" w:type="dxa"/>
            <w:gridSpan w:val="2"/>
          </w:tcPr>
          <w:p w14:paraId="2E977FF3" w14:textId="77777777" w:rsidR="005E531D" w:rsidRPr="008C4A39" w:rsidRDefault="005E531D" w:rsidP="005E531D">
            <w:pPr>
              <w:spacing w:after="0"/>
              <w:rPr>
                <w:b/>
                <w:szCs w:val="24"/>
              </w:rPr>
            </w:pPr>
            <w:r>
              <w:rPr>
                <w:b/>
                <w:szCs w:val="24"/>
              </w:rPr>
              <w:t xml:space="preserve">4.1 </w:t>
            </w:r>
            <w:r w:rsidRPr="00C26C2A">
              <w:rPr>
                <w:b/>
                <w:szCs w:val="24"/>
              </w:rPr>
              <w:t>Testing</w:t>
            </w:r>
          </w:p>
        </w:tc>
      </w:tr>
      <w:tr w:rsidR="005E531D" w:rsidRPr="008C4A39" w14:paraId="07892CD0" w14:textId="77777777" w:rsidTr="005E531D">
        <w:tc>
          <w:tcPr>
            <w:tcW w:w="2785" w:type="dxa"/>
          </w:tcPr>
          <w:p w14:paraId="7632D034" w14:textId="77777777" w:rsidR="005E531D" w:rsidRPr="008C4A39" w:rsidRDefault="005E531D" w:rsidP="005E531D">
            <w:pPr>
              <w:spacing w:after="0"/>
              <w:rPr>
                <w:szCs w:val="24"/>
              </w:rPr>
            </w:pPr>
            <w:r>
              <w:rPr>
                <w:szCs w:val="24"/>
              </w:rPr>
              <w:t>4.1.1.</w:t>
            </w:r>
          </w:p>
        </w:tc>
        <w:tc>
          <w:tcPr>
            <w:tcW w:w="6570" w:type="dxa"/>
          </w:tcPr>
          <w:p w14:paraId="166A4FEE" w14:textId="77777777" w:rsidR="005E531D" w:rsidRPr="008C4A39" w:rsidRDefault="005E531D" w:rsidP="005E531D">
            <w:pPr>
              <w:spacing w:after="0"/>
              <w:rPr>
                <w:szCs w:val="24"/>
              </w:rPr>
            </w:pPr>
            <w:r w:rsidRPr="00C26C2A">
              <w:rPr>
                <w:bCs/>
                <w:color w:val="000000"/>
                <w:szCs w:val="24"/>
              </w:rPr>
              <w:t>The Supplier must organize the testing in two environments at supplier premises and at beneficiary premises</w:t>
            </w:r>
          </w:p>
        </w:tc>
      </w:tr>
      <w:tr w:rsidR="005E531D" w:rsidRPr="008C4A39" w14:paraId="0355E8A4" w14:textId="77777777" w:rsidTr="005E531D">
        <w:tc>
          <w:tcPr>
            <w:tcW w:w="9355" w:type="dxa"/>
            <w:gridSpan w:val="2"/>
          </w:tcPr>
          <w:p w14:paraId="3488E8C0"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24C4A7E7" w14:textId="77777777" w:rsidTr="005E531D">
        <w:tc>
          <w:tcPr>
            <w:tcW w:w="9355" w:type="dxa"/>
            <w:gridSpan w:val="2"/>
          </w:tcPr>
          <w:p w14:paraId="11CA9BB8"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3F2FE87D" w14:textId="77777777" w:rsidTr="005E531D">
        <w:tc>
          <w:tcPr>
            <w:tcW w:w="2785" w:type="dxa"/>
          </w:tcPr>
          <w:p w14:paraId="276A1C64" w14:textId="77777777" w:rsidR="005E531D" w:rsidRPr="00C26C2A" w:rsidRDefault="005E531D" w:rsidP="005E531D">
            <w:pPr>
              <w:spacing w:after="0"/>
              <w:rPr>
                <w:szCs w:val="24"/>
              </w:rPr>
            </w:pPr>
            <w:r w:rsidRPr="00C26C2A">
              <w:t>4.1.1.1</w:t>
            </w:r>
          </w:p>
        </w:tc>
        <w:tc>
          <w:tcPr>
            <w:tcW w:w="6570" w:type="dxa"/>
          </w:tcPr>
          <w:p w14:paraId="2CCFE925" w14:textId="77777777" w:rsidR="005E531D" w:rsidRPr="00C26C2A" w:rsidRDefault="005E531D" w:rsidP="005E531D">
            <w:pPr>
              <w:spacing w:after="0"/>
              <w:rPr>
                <w:szCs w:val="24"/>
              </w:rPr>
            </w:pPr>
            <w:r w:rsidRPr="00C26C2A">
              <w:t>The Supplier must perform Unit Testing (UT) for all software modules/services</w:t>
            </w:r>
          </w:p>
        </w:tc>
      </w:tr>
      <w:tr w:rsidR="005E531D" w:rsidRPr="008C4A39" w14:paraId="37CF3AB8" w14:textId="77777777" w:rsidTr="005E531D">
        <w:tc>
          <w:tcPr>
            <w:tcW w:w="9355" w:type="dxa"/>
            <w:gridSpan w:val="2"/>
          </w:tcPr>
          <w:p w14:paraId="2BF6D828"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0A544011" w14:textId="77777777" w:rsidTr="005E531D">
        <w:tc>
          <w:tcPr>
            <w:tcW w:w="9355" w:type="dxa"/>
            <w:gridSpan w:val="2"/>
          </w:tcPr>
          <w:p w14:paraId="240C6390"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4B6F98FE" w14:textId="77777777" w:rsidTr="005E531D">
        <w:tc>
          <w:tcPr>
            <w:tcW w:w="2785" w:type="dxa"/>
          </w:tcPr>
          <w:p w14:paraId="5D2A7ADB" w14:textId="77777777" w:rsidR="005E531D" w:rsidRPr="008C4A39" w:rsidRDefault="005E531D" w:rsidP="005E531D">
            <w:pPr>
              <w:spacing w:after="0"/>
              <w:rPr>
                <w:szCs w:val="24"/>
              </w:rPr>
            </w:pPr>
            <w:r>
              <w:rPr>
                <w:szCs w:val="24"/>
              </w:rPr>
              <w:lastRenderedPageBreak/>
              <w:t>4.1.1.2</w:t>
            </w:r>
          </w:p>
        </w:tc>
        <w:tc>
          <w:tcPr>
            <w:tcW w:w="6570" w:type="dxa"/>
          </w:tcPr>
          <w:p w14:paraId="41B8039E" w14:textId="77777777" w:rsidR="005E531D" w:rsidRPr="00C26C2A" w:rsidRDefault="005E531D" w:rsidP="005E531D">
            <w:pPr>
              <w:spacing w:after="0"/>
              <w:rPr>
                <w:szCs w:val="24"/>
              </w:rPr>
            </w:pPr>
            <w:r w:rsidRPr="00C26C2A">
              <w:t>The Supplier must perform Integration Testing (IT) for all software modules/services</w:t>
            </w:r>
          </w:p>
        </w:tc>
      </w:tr>
      <w:tr w:rsidR="005E531D" w:rsidRPr="008C4A39" w14:paraId="118CDF6D" w14:textId="77777777" w:rsidTr="005E531D">
        <w:tc>
          <w:tcPr>
            <w:tcW w:w="9355" w:type="dxa"/>
            <w:gridSpan w:val="2"/>
          </w:tcPr>
          <w:p w14:paraId="134D24E3"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6D4425AB" w14:textId="77777777" w:rsidTr="005E531D">
        <w:tc>
          <w:tcPr>
            <w:tcW w:w="9355" w:type="dxa"/>
            <w:gridSpan w:val="2"/>
          </w:tcPr>
          <w:p w14:paraId="64640C99"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5923B2CB" w14:textId="77777777" w:rsidTr="005E531D">
        <w:tc>
          <w:tcPr>
            <w:tcW w:w="2785" w:type="dxa"/>
          </w:tcPr>
          <w:p w14:paraId="6A65F406" w14:textId="77777777" w:rsidR="005E531D" w:rsidRPr="00C26C2A" w:rsidRDefault="005E531D" w:rsidP="005E531D">
            <w:pPr>
              <w:spacing w:after="0"/>
              <w:rPr>
                <w:szCs w:val="24"/>
              </w:rPr>
            </w:pPr>
            <w:r w:rsidRPr="00C26C2A">
              <w:t>4.1.1.3</w:t>
            </w:r>
          </w:p>
        </w:tc>
        <w:tc>
          <w:tcPr>
            <w:tcW w:w="6570" w:type="dxa"/>
          </w:tcPr>
          <w:p w14:paraId="644F8164" w14:textId="77777777" w:rsidR="005E531D" w:rsidRPr="00C26C2A" w:rsidRDefault="005E531D" w:rsidP="005E531D">
            <w:pPr>
              <w:spacing w:after="0"/>
              <w:rPr>
                <w:szCs w:val="24"/>
              </w:rPr>
            </w:pPr>
            <w:r w:rsidRPr="00C26C2A">
              <w:t>The Supplier must perform Factory Acceptance Testing (FAT) for all software modules/services</w:t>
            </w:r>
          </w:p>
        </w:tc>
      </w:tr>
      <w:tr w:rsidR="005E531D" w:rsidRPr="008C4A39" w14:paraId="0AD7E730" w14:textId="77777777" w:rsidTr="005E531D">
        <w:tc>
          <w:tcPr>
            <w:tcW w:w="9355" w:type="dxa"/>
            <w:gridSpan w:val="2"/>
          </w:tcPr>
          <w:p w14:paraId="498EEAF0"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254BACF6" w14:textId="77777777" w:rsidTr="005E531D">
        <w:tc>
          <w:tcPr>
            <w:tcW w:w="9355" w:type="dxa"/>
            <w:gridSpan w:val="2"/>
          </w:tcPr>
          <w:p w14:paraId="17CCC26E"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2F59C452" w14:textId="77777777" w:rsidTr="005E531D">
        <w:tc>
          <w:tcPr>
            <w:tcW w:w="2785" w:type="dxa"/>
          </w:tcPr>
          <w:p w14:paraId="63371947" w14:textId="77777777" w:rsidR="005E531D" w:rsidRPr="008C4A39" w:rsidRDefault="005E531D" w:rsidP="005E531D">
            <w:pPr>
              <w:spacing w:after="0"/>
              <w:rPr>
                <w:szCs w:val="24"/>
              </w:rPr>
            </w:pPr>
            <w:r>
              <w:rPr>
                <w:szCs w:val="24"/>
              </w:rPr>
              <w:t>4.1.1.4</w:t>
            </w:r>
          </w:p>
        </w:tc>
        <w:tc>
          <w:tcPr>
            <w:tcW w:w="6570" w:type="dxa"/>
          </w:tcPr>
          <w:p w14:paraId="53D1B6AC" w14:textId="77777777" w:rsidR="005E531D" w:rsidRPr="00C26C2A" w:rsidRDefault="005E531D" w:rsidP="005E531D">
            <w:pPr>
              <w:spacing w:after="0"/>
              <w:rPr>
                <w:szCs w:val="24"/>
              </w:rPr>
            </w:pPr>
            <w:r w:rsidRPr="00C26C2A">
              <w:t>The Supplier must perform Site Acceptance Testing (SAT) for all software modules/services</w:t>
            </w:r>
          </w:p>
        </w:tc>
      </w:tr>
      <w:tr w:rsidR="005E531D" w:rsidRPr="008C4A39" w14:paraId="59BC5A4B" w14:textId="77777777" w:rsidTr="005E531D">
        <w:tc>
          <w:tcPr>
            <w:tcW w:w="9355" w:type="dxa"/>
            <w:gridSpan w:val="2"/>
          </w:tcPr>
          <w:p w14:paraId="21CD3D7B"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324F62FB" w14:textId="77777777" w:rsidTr="005E531D">
        <w:tc>
          <w:tcPr>
            <w:tcW w:w="9355" w:type="dxa"/>
            <w:gridSpan w:val="2"/>
          </w:tcPr>
          <w:p w14:paraId="29E0DB72"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576E7110" w14:textId="77777777" w:rsidTr="005E531D">
        <w:tc>
          <w:tcPr>
            <w:tcW w:w="2785" w:type="dxa"/>
          </w:tcPr>
          <w:p w14:paraId="2A95045D" w14:textId="77777777" w:rsidR="005E531D" w:rsidRPr="008C4A39" w:rsidRDefault="005E531D" w:rsidP="005E531D">
            <w:pPr>
              <w:spacing w:after="0"/>
              <w:rPr>
                <w:szCs w:val="24"/>
              </w:rPr>
            </w:pPr>
            <w:r>
              <w:rPr>
                <w:szCs w:val="24"/>
              </w:rPr>
              <w:t>4.1.1.5</w:t>
            </w:r>
          </w:p>
        </w:tc>
        <w:tc>
          <w:tcPr>
            <w:tcW w:w="6570" w:type="dxa"/>
          </w:tcPr>
          <w:p w14:paraId="31D51AB5" w14:textId="77777777" w:rsidR="005E531D" w:rsidRPr="00C26C2A" w:rsidRDefault="005E531D" w:rsidP="005E531D">
            <w:pPr>
              <w:spacing w:after="0"/>
              <w:rPr>
                <w:szCs w:val="24"/>
              </w:rPr>
            </w:pPr>
            <w:r w:rsidRPr="00C26C2A">
              <w:t>The Supplier must perform Qualification Testing (QT)</w:t>
            </w:r>
          </w:p>
        </w:tc>
      </w:tr>
      <w:tr w:rsidR="005E531D" w:rsidRPr="008C4A39" w14:paraId="3172713D" w14:textId="77777777" w:rsidTr="005E531D">
        <w:tc>
          <w:tcPr>
            <w:tcW w:w="9355" w:type="dxa"/>
            <w:gridSpan w:val="2"/>
          </w:tcPr>
          <w:p w14:paraId="42F44E73"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51A1B7BA" w14:textId="77777777" w:rsidTr="005E531D">
        <w:tc>
          <w:tcPr>
            <w:tcW w:w="9355" w:type="dxa"/>
            <w:gridSpan w:val="2"/>
          </w:tcPr>
          <w:p w14:paraId="0E6EF460" w14:textId="77777777" w:rsidR="005E531D" w:rsidRPr="008C4A39" w:rsidRDefault="005E531D" w:rsidP="005E531D">
            <w:pPr>
              <w:spacing w:after="0"/>
              <w:rPr>
                <w:szCs w:val="24"/>
              </w:rPr>
            </w:pPr>
            <w:r w:rsidRPr="008C4A39">
              <w:rPr>
                <w:szCs w:val="24"/>
              </w:rPr>
              <w:t>Bidder’s cross references to supporting information in Technical Bid:</w:t>
            </w:r>
          </w:p>
        </w:tc>
      </w:tr>
      <w:tr w:rsidR="005E531D" w:rsidRPr="008C4A39" w14:paraId="24AB3843" w14:textId="77777777" w:rsidTr="005E531D">
        <w:tc>
          <w:tcPr>
            <w:tcW w:w="2785" w:type="dxa"/>
          </w:tcPr>
          <w:p w14:paraId="441244E5" w14:textId="77777777" w:rsidR="005E531D" w:rsidRPr="008C4A39" w:rsidRDefault="005E531D" w:rsidP="005E531D">
            <w:pPr>
              <w:spacing w:after="0"/>
              <w:rPr>
                <w:szCs w:val="24"/>
              </w:rPr>
            </w:pPr>
            <w:r>
              <w:rPr>
                <w:szCs w:val="24"/>
              </w:rPr>
              <w:t>4.1.1.6</w:t>
            </w:r>
          </w:p>
        </w:tc>
        <w:tc>
          <w:tcPr>
            <w:tcW w:w="6570" w:type="dxa"/>
          </w:tcPr>
          <w:p w14:paraId="0BE9D55E" w14:textId="77777777" w:rsidR="005E531D" w:rsidRPr="00C26C2A" w:rsidRDefault="005E531D" w:rsidP="005E531D">
            <w:pPr>
              <w:spacing w:after="0"/>
              <w:rPr>
                <w:szCs w:val="24"/>
              </w:rPr>
            </w:pPr>
            <w:r w:rsidRPr="00C26C2A">
              <w:t>The Supplier must deliver the testing documentation for the testing processes</w:t>
            </w:r>
          </w:p>
        </w:tc>
      </w:tr>
      <w:tr w:rsidR="005E531D" w:rsidRPr="008C4A39" w14:paraId="52206C99" w14:textId="77777777" w:rsidTr="005E531D">
        <w:tc>
          <w:tcPr>
            <w:tcW w:w="9355" w:type="dxa"/>
            <w:gridSpan w:val="2"/>
          </w:tcPr>
          <w:p w14:paraId="579A3642" w14:textId="77777777" w:rsidR="005E531D" w:rsidRPr="008C4A39" w:rsidRDefault="005E531D" w:rsidP="005E531D">
            <w:pPr>
              <w:spacing w:after="0"/>
              <w:rPr>
                <w:szCs w:val="24"/>
              </w:rPr>
            </w:pPr>
            <w:r w:rsidRPr="008C4A39">
              <w:rPr>
                <w:szCs w:val="24"/>
              </w:rPr>
              <w:t xml:space="preserve">Bidder’s technical reasons supporting compliance:  </w:t>
            </w:r>
          </w:p>
        </w:tc>
      </w:tr>
      <w:tr w:rsidR="005E531D" w:rsidRPr="008C4A39" w14:paraId="4891987B" w14:textId="77777777" w:rsidTr="005E531D">
        <w:tc>
          <w:tcPr>
            <w:tcW w:w="9355" w:type="dxa"/>
            <w:gridSpan w:val="2"/>
          </w:tcPr>
          <w:p w14:paraId="40F315A1" w14:textId="77777777" w:rsidR="005E531D" w:rsidRPr="008C4A39" w:rsidRDefault="005E531D" w:rsidP="005E531D">
            <w:pPr>
              <w:spacing w:after="0"/>
              <w:rPr>
                <w:szCs w:val="24"/>
              </w:rPr>
            </w:pPr>
            <w:r w:rsidRPr="008C4A39">
              <w:rPr>
                <w:szCs w:val="24"/>
              </w:rPr>
              <w:t>Bidder’s cross references to supporting information in Technical Bid:</w:t>
            </w:r>
          </w:p>
        </w:tc>
      </w:tr>
      <w:tr w:rsidR="00EC5011" w:rsidRPr="008C4A39" w14:paraId="0DF5E8C2" w14:textId="77777777" w:rsidTr="00E901CE">
        <w:trPr>
          <w:tblHeader/>
        </w:trPr>
        <w:tc>
          <w:tcPr>
            <w:tcW w:w="2785" w:type="dxa"/>
            <w:shd w:val="clear" w:color="auto" w:fill="D9D9D9"/>
          </w:tcPr>
          <w:p w14:paraId="5C6D40FF" w14:textId="77777777" w:rsidR="00EC5011" w:rsidRPr="008C4A39" w:rsidRDefault="00EC5011" w:rsidP="00E901CE">
            <w:pPr>
              <w:spacing w:after="0"/>
              <w:rPr>
                <w:b/>
                <w:szCs w:val="24"/>
              </w:rPr>
            </w:pPr>
            <w:r w:rsidRPr="008C4A39">
              <w:rPr>
                <w:b/>
                <w:szCs w:val="24"/>
              </w:rPr>
              <w:t>Tech. Req. Number</w:t>
            </w:r>
          </w:p>
        </w:tc>
        <w:tc>
          <w:tcPr>
            <w:tcW w:w="6570" w:type="dxa"/>
            <w:shd w:val="clear" w:color="auto" w:fill="D9D9D9"/>
          </w:tcPr>
          <w:p w14:paraId="666363BB" w14:textId="77777777" w:rsidR="00EC5011" w:rsidRPr="008C4A39" w:rsidRDefault="00EC5011" w:rsidP="00E901CE">
            <w:pPr>
              <w:spacing w:after="0"/>
              <w:jc w:val="left"/>
              <w:rPr>
                <w:b/>
                <w:szCs w:val="24"/>
              </w:rPr>
            </w:pPr>
            <w:r w:rsidRPr="008C4A39">
              <w:rPr>
                <w:b/>
                <w:szCs w:val="24"/>
              </w:rPr>
              <w:t>Technical Requirement</w:t>
            </w:r>
          </w:p>
        </w:tc>
      </w:tr>
      <w:tr w:rsidR="00EC5011" w:rsidRPr="008C4A39" w14:paraId="4927A218" w14:textId="77777777" w:rsidTr="00E901CE">
        <w:tc>
          <w:tcPr>
            <w:tcW w:w="9355" w:type="dxa"/>
            <w:gridSpan w:val="2"/>
          </w:tcPr>
          <w:p w14:paraId="2DEF1C91" w14:textId="77777777" w:rsidR="00EC5011" w:rsidRPr="008C4A39" w:rsidRDefault="00EC5011" w:rsidP="00E901CE">
            <w:pPr>
              <w:spacing w:after="0"/>
              <w:rPr>
                <w:b/>
                <w:szCs w:val="24"/>
              </w:rPr>
            </w:pPr>
            <w:r>
              <w:rPr>
                <w:b/>
                <w:szCs w:val="24"/>
              </w:rPr>
              <w:t>5.2 Technical Support</w:t>
            </w:r>
          </w:p>
        </w:tc>
      </w:tr>
      <w:tr w:rsidR="00EC5011" w:rsidRPr="008C4A39" w14:paraId="741FEBDA" w14:textId="77777777" w:rsidTr="00E901CE">
        <w:tc>
          <w:tcPr>
            <w:tcW w:w="2785" w:type="dxa"/>
          </w:tcPr>
          <w:p w14:paraId="10824E22" w14:textId="77777777" w:rsidR="00EC5011" w:rsidRPr="008C4A39" w:rsidRDefault="00EC5011" w:rsidP="00E901CE">
            <w:pPr>
              <w:spacing w:after="0"/>
              <w:rPr>
                <w:szCs w:val="24"/>
              </w:rPr>
            </w:pPr>
            <w:r>
              <w:rPr>
                <w:szCs w:val="24"/>
              </w:rPr>
              <w:t>5.2.1</w:t>
            </w:r>
          </w:p>
        </w:tc>
        <w:tc>
          <w:tcPr>
            <w:tcW w:w="6570" w:type="dxa"/>
          </w:tcPr>
          <w:p w14:paraId="71FC38E7" w14:textId="77777777" w:rsidR="00EC5011" w:rsidRPr="008C4A39" w:rsidRDefault="00EC5011" w:rsidP="00E901CE">
            <w:pPr>
              <w:spacing w:after="0"/>
              <w:rPr>
                <w:szCs w:val="24"/>
              </w:rPr>
            </w:pPr>
            <w:r>
              <w:t>The Supplier MUST provide the following services under the Contract for a period of twelve months</w:t>
            </w:r>
          </w:p>
        </w:tc>
      </w:tr>
      <w:tr w:rsidR="00EC5011" w:rsidRPr="008C4A39" w14:paraId="5419C302" w14:textId="77777777" w:rsidTr="00E901CE">
        <w:tc>
          <w:tcPr>
            <w:tcW w:w="9355" w:type="dxa"/>
            <w:gridSpan w:val="2"/>
          </w:tcPr>
          <w:p w14:paraId="07A806CE" w14:textId="77777777" w:rsidR="00EC5011" w:rsidRPr="008C4A39" w:rsidRDefault="00EC5011" w:rsidP="00E901CE">
            <w:pPr>
              <w:spacing w:after="0"/>
              <w:rPr>
                <w:szCs w:val="24"/>
              </w:rPr>
            </w:pPr>
            <w:r w:rsidRPr="008C4A39">
              <w:rPr>
                <w:szCs w:val="24"/>
              </w:rPr>
              <w:t xml:space="preserve">Bidder’s technical reasons supporting compliance:  </w:t>
            </w:r>
          </w:p>
        </w:tc>
      </w:tr>
      <w:tr w:rsidR="00EC5011" w:rsidRPr="008C4A39" w14:paraId="6E9E7FBF" w14:textId="77777777" w:rsidTr="00E901CE">
        <w:tc>
          <w:tcPr>
            <w:tcW w:w="9355" w:type="dxa"/>
            <w:gridSpan w:val="2"/>
          </w:tcPr>
          <w:p w14:paraId="7B5B0A13" w14:textId="77777777" w:rsidR="00EC5011" w:rsidRPr="008C4A39" w:rsidRDefault="00EC5011" w:rsidP="00E901CE">
            <w:pPr>
              <w:spacing w:after="0"/>
              <w:rPr>
                <w:szCs w:val="24"/>
              </w:rPr>
            </w:pPr>
            <w:r w:rsidRPr="008C4A39">
              <w:rPr>
                <w:szCs w:val="24"/>
              </w:rPr>
              <w:t>Bidder’s cross references to supporting information in Technical Bid:</w:t>
            </w:r>
          </w:p>
        </w:tc>
      </w:tr>
      <w:tr w:rsidR="00EC5011" w:rsidRPr="008C4A39" w14:paraId="45787176" w14:textId="77777777" w:rsidTr="00E901CE">
        <w:tc>
          <w:tcPr>
            <w:tcW w:w="2785" w:type="dxa"/>
          </w:tcPr>
          <w:p w14:paraId="5197C489" w14:textId="77777777" w:rsidR="00EC5011" w:rsidRPr="00C26C2A" w:rsidRDefault="00EC5011" w:rsidP="00E901CE">
            <w:pPr>
              <w:spacing w:after="0"/>
              <w:rPr>
                <w:szCs w:val="24"/>
              </w:rPr>
            </w:pPr>
            <w:r>
              <w:rPr>
                <w:szCs w:val="24"/>
              </w:rPr>
              <w:t>5.2.1.1</w:t>
            </w:r>
          </w:p>
        </w:tc>
        <w:tc>
          <w:tcPr>
            <w:tcW w:w="6570" w:type="dxa"/>
          </w:tcPr>
          <w:p w14:paraId="465BA93D" w14:textId="77777777" w:rsidR="00EC5011" w:rsidRPr="00C26C2A" w:rsidRDefault="00EC5011" w:rsidP="00E901CE">
            <w:pPr>
              <w:spacing w:after="0"/>
              <w:rPr>
                <w:szCs w:val="24"/>
              </w:rPr>
            </w:pPr>
            <w:r>
              <w:rPr>
                <w:szCs w:val="24"/>
              </w:rPr>
              <w:t>User Support/hot line</w:t>
            </w:r>
          </w:p>
        </w:tc>
      </w:tr>
      <w:tr w:rsidR="00EC5011" w:rsidRPr="008C4A39" w14:paraId="42871CC6" w14:textId="77777777" w:rsidTr="00E901CE">
        <w:tc>
          <w:tcPr>
            <w:tcW w:w="9355" w:type="dxa"/>
            <w:gridSpan w:val="2"/>
          </w:tcPr>
          <w:p w14:paraId="38A58FB6" w14:textId="77777777" w:rsidR="00EC5011" w:rsidRPr="008C4A39" w:rsidRDefault="00EC5011" w:rsidP="00E901CE">
            <w:pPr>
              <w:spacing w:after="0"/>
              <w:rPr>
                <w:szCs w:val="24"/>
              </w:rPr>
            </w:pPr>
            <w:r w:rsidRPr="008C4A39">
              <w:rPr>
                <w:szCs w:val="24"/>
              </w:rPr>
              <w:t xml:space="preserve">Bidder’s technical reasons supporting compliance:  </w:t>
            </w:r>
          </w:p>
        </w:tc>
      </w:tr>
      <w:tr w:rsidR="00EC5011" w:rsidRPr="008C4A39" w14:paraId="26B47FEA" w14:textId="77777777" w:rsidTr="00E901CE">
        <w:tc>
          <w:tcPr>
            <w:tcW w:w="9355" w:type="dxa"/>
            <w:gridSpan w:val="2"/>
          </w:tcPr>
          <w:p w14:paraId="5467A1BC" w14:textId="77777777" w:rsidR="00EC5011" w:rsidRPr="008C4A39" w:rsidRDefault="00EC5011" w:rsidP="00E901CE">
            <w:pPr>
              <w:spacing w:after="0"/>
              <w:rPr>
                <w:szCs w:val="24"/>
              </w:rPr>
            </w:pPr>
            <w:r w:rsidRPr="008C4A39">
              <w:rPr>
                <w:szCs w:val="24"/>
              </w:rPr>
              <w:t>Bidder’s cross references to supporting information in Technical Bid:</w:t>
            </w:r>
          </w:p>
        </w:tc>
      </w:tr>
      <w:tr w:rsidR="00EC5011" w:rsidRPr="008C4A39" w14:paraId="4A2EAAB7" w14:textId="77777777" w:rsidTr="00E901CE">
        <w:tc>
          <w:tcPr>
            <w:tcW w:w="2785" w:type="dxa"/>
          </w:tcPr>
          <w:p w14:paraId="759C0CF2" w14:textId="77777777" w:rsidR="00EC5011" w:rsidRPr="008C4A39" w:rsidRDefault="00EC5011" w:rsidP="00E901CE">
            <w:pPr>
              <w:spacing w:after="0"/>
              <w:rPr>
                <w:szCs w:val="24"/>
              </w:rPr>
            </w:pPr>
            <w:r>
              <w:rPr>
                <w:szCs w:val="24"/>
              </w:rPr>
              <w:t>5.2.1.2</w:t>
            </w:r>
          </w:p>
        </w:tc>
        <w:tc>
          <w:tcPr>
            <w:tcW w:w="6570" w:type="dxa"/>
          </w:tcPr>
          <w:p w14:paraId="7EA9910D" w14:textId="77777777" w:rsidR="00EC5011" w:rsidRPr="00C26C2A" w:rsidRDefault="00EC5011" w:rsidP="00E901CE">
            <w:pPr>
              <w:spacing w:after="0"/>
              <w:rPr>
                <w:szCs w:val="24"/>
              </w:rPr>
            </w:pPr>
            <w:r>
              <w:rPr>
                <w:szCs w:val="24"/>
              </w:rPr>
              <w:t>Technical Assistance</w:t>
            </w:r>
          </w:p>
        </w:tc>
      </w:tr>
      <w:tr w:rsidR="00EC5011" w:rsidRPr="008C4A39" w14:paraId="7AF38714" w14:textId="77777777" w:rsidTr="00E901CE">
        <w:tc>
          <w:tcPr>
            <w:tcW w:w="9355" w:type="dxa"/>
            <w:gridSpan w:val="2"/>
          </w:tcPr>
          <w:p w14:paraId="7B580638" w14:textId="77777777" w:rsidR="00EC5011" w:rsidRPr="008C4A39" w:rsidRDefault="00EC5011" w:rsidP="00E901CE">
            <w:pPr>
              <w:spacing w:after="0"/>
              <w:rPr>
                <w:szCs w:val="24"/>
              </w:rPr>
            </w:pPr>
            <w:r w:rsidRPr="008C4A39">
              <w:rPr>
                <w:szCs w:val="24"/>
              </w:rPr>
              <w:t xml:space="preserve">Bidder’s technical reasons supporting compliance:  </w:t>
            </w:r>
          </w:p>
        </w:tc>
      </w:tr>
      <w:tr w:rsidR="00EC5011" w:rsidRPr="008C4A39" w14:paraId="5CA86F57" w14:textId="77777777" w:rsidTr="00E901CE">
        <w:tc>
          <w:tcPr>
            <w:tcW w:w="9355" w:type="dxa"/>
            <w:gridSpan w:val="2"/>
          </w:tcPr>
          <w:p w14:paraId="6B920A77" w14:textId="77777777" w:rsidR="00EC5011" w:rsidRPr="008C4A39" w:rsidRDefault="00EC5011" w:rsidP="00E901CE">
            <w:pPr>
              <w:spacing w:after="0"/>
              <w:rPr>
                <w:szCs w:val="24"/>
              </w:rPr>
            </w:pPr>
            <w:r w:rsidRPr="008C4A39">
              <w:rPr>
                <w:szCs w:val="24"/>
              </w:rPr>
              <w:t>Bidder’s cross references to supporting information in Technical Bid:</w:t>
            </w:r>
          </w:p>
        </w:tc>
      </w:tr>
      <w:tr w:rsidR="00EC5011" w:rsidRPr="008C4A39" w14:paraId="7157DCC2" w14:textId="77777777" w:rsidTr="00E901CE">
        <w:tc>
          <w:tcPr>
            <w:tcW w:w="2785" w:type="dxa"/>
          </w:tcPr>
          <w:p w14:paraId="44C43D0A" w14:textId="77777777" w:rsidR="00EC5011" w:rsidRPr="00C26C2A" w:rsidRDefault="00EC5011" w:rsidP="00E901CE">
            <w:pPr>
              <w:spacing w:after="0"/>
              <w:rPr>
                <w:szCs w:val="24"/>
              </w:rPr>
            </w:pPr>
            <w:r>
              <w:rPr>
                <w:szCs w:val="24"/>
              </w:rPr>
              <w:t>5.2.1.3</w:t>
            </w:r>
          </w:p>
        </w:tc>
        <w:tc>
          <w:tcPr>
            <w:tcW w:w="6570" w:type="dxa"/>
          </w:tcPr>
          <w:p w14:paraId="376679B5" w14:textId="77777777" w:rsidR="00EC5011" w:rsidRPr="00C26C2A" w:rsidRDefault="00EC5011" w:rsidP="00E901CE">
            <w:pPr>
              <w:spacing w:after="0"/>
              <w:rPr>
                <w:szCs w:val="24"/>
              </w:rPr>
            </w:pPr>
            <w:r>
              <w:rPr>
                <w:szCs w:val="24"/>
              </w:rPr>
              <w:t>Maintenance Services</w:t>
            </w:r>
          </w:p>
        </w:tc>
      </w:tr>
      <w:tr w:rsidR="00EC5011" w:rsidRPr="008C4A39" w14:paraId="34F6A83E" w14:textId="77777777" w:rsidTr="00E901CE">
        <w:tc>
          <w:tcPr>
            <w:tcW w:w="9355" w:type="dxa"/>
            <w:gridSpan w:val="2"/>
          </w:tcPr>
          <w:p w14:paraId="52BCEDAB" w14:textId="77777777" w:rsidR="00EC5011" w:rsidRPr="008C4A39" w:rsidRDefault="00EC5011" w:rsidP="00E901CE">
            <w:pPr>
              <w:spacing w:after="0"/>
              <w:rPr>
                <w:szCs w:val="24"/>
              </w:rPr>
            </w:pPr>
            <w:r w:rsidRPr="008C4A39">
              <w:rPr>
                <w:szCs w:val="24"/>
              </w:rPr>
              <w:t xml:space="preserve">Bidder’s technical reasons supporting compliance:  </w:t>
            </w:r>
          </w:p>
        </w:tc>
      </w:tr>
      <w:tr w:rsidR="00EC5011" w:rsidRPr="008C4A39" w14:paraId="3F9506F9" w14:textId="77777777" w:rsidTr="00E901CE">
        <w:tc>
          <w:tcPr>
            <w:tcW w:w="9355" w:type="dxa"/>
            <w:gridSpan w:val="2"/>
          </w:tcPr>
          <w:p w14:paraId="75A1144F" w14:textId="77777777" w:rsidR="00EC5011" w:rsidRPr="008C4A39" w:rsidRDefault="00EC5011" w:rsidP="00E901CE">
            <w:pPr>
              <w:spacing w:after="0"/>
              <w:rPr>
                <w:szCs w:val="24"/>
              </w:rPr>
            </w:pPr>
            <w:r w:rsidRPr="008C4A39">
              <w:rPr>
                <w:szCs w:val="24"/>
              </w:rPr>
              <w:t>Bidder’s cross references to supporting information in Technical Bid:</w:t>
            </w:r>
          </w:p>
        </w:tc>
      </w:tr>
    </w:tbl>
    <w:p w14:paraId="3F6D8D5E" w14:textId="77777777" w:rsidR="00157AAA" w:rsidRDefault="00157AAA">
      <w:pPr>
        <w:ind w:right="-360"/>
        <w:rPr>
          <w:sz w:val="22"/>
        </w:rPr>
      </w:pPr>
    </w:p>
    <w:p w14:paraId="0D879454" w14:textId="77777777" w:rsidR="00157AAA" w:rsidRDefault="00157AAA">
      <w:pPr>
        <w:ind w:right="-360"/>
        <w:rPr>
          <w:sz w:val="22"/>
          <w:highlight w:val="cyan"/>
        </w:rPr>
      </w:pPr>
    </w:p>
    <w:p w14:paraId="255208AC" w14:textId="77777777" w:rsidR="00157AAA" w:rsidRDefault="006C1BE5">
      <w:pPr>
        <w:rPr>
          <w:sz w:val="22"/>
          <w:highlight w:val="cyan"/>
        </w:rPr>
      </w:pPr>
      <w:r>
        <w:rPr>
          <w:b/>
          <w:color w:val="000000"/>
          <w:spacing w:val="-2"/>
        </w:rPr>
        <w:t>Note:</w:t>
      </w:r>
      <w:r>
        <w:rPr>
          <w:color w:val="000000"/>
          <w:spacing w:val="-2"/>
        </w:rPr>
        <w:t xml:space="preserve"> For more info about Technical Requirements please refer to </w:t>
      </w:r>
      <w:proofErr w:type="gramStart"/>
      <w:r>
        <w:rPr>
          <w:color w:val="000000"/>
          <w:spacing w:val="-2"/>
        </w:rPr>
        <w:t xml:space="preserve">the </w:t>
      </w:r>
      <w:r>
        <w:rPr>
          <w:b/>
          <w:i/>
          <w:color w:val="000000"/>
          <w:spacing w:val="-2"/>
        </w:rPr>
        <w:t>Section</w:t>
      </w:r>
      <w:proofErr w:type="gramEnd"/>
      <w:r>
        <w:rPr>
          <w:b/>
          <w:i/>
          <w:color w:val="000000"/>
          <w:spacing w:val="-2"/>
        </w:rPr>
        <w:t xml:space="preserve"> VII - Requirements of the Information System</w:t>
      </w:r>
      <w:r>
        <w:rPr>
          <w:color w:val="000000"/>
          <w:spacing w:val="-2"/>
        </w:rPr>
        <w:t xml:space="preserve">. All requirements listed in </w:t>
      </w:r>
      <w:proofErr w:type="gramStart"/>
      <w:r>
        <w:rPr>
          <w:color w:val="000000"/>
          <w:spacing w:val="-2"/>
        </w:rPr>
        <w:t xml:space="preserve">the </w:t>
      </w:r>
      <w:r>
        <w:rPr>
          <w:b/>
          <w:i/>
          <w:color w:val="000000"/>
          <w:spacing w:val="-2"/>
        </w:rPr>
        <w:t>Section</w:t>
      </w:r>
      <w:proofErr w:type="gramEnd"/>
      <w:r>
        <w:rPr>
          <w:b/>
          <w:i/>
          <w:color w:val="000000"/>
          <w:spacing w:val="-2"/>
        </w:rPr>
        <w:t xml:space="preserve"> VII - Requirements of the Information System </w:t>
      </w:r>
      <w:r>
        <w:rPr>
          <w:color w:val="000000"/>
          <w:spacing w:val="-2"/>
        </w:rPr>
        <w:t xml:space="preserve">should be included in the Technical Responsiveness Checklist. </w:t>
      </w:r>
    </w:p>
    <w:p w14:paraId="57238420" w14:textId="77777777" w:rsidR="00157AAA" w:rsidRDefault="00157AAA">
      <w:pPr>
        <w:spacing w:after="0"/>
        <w:jc w:val="left"/>
        <w:rPr>
          <w:b/>
          <w:i/>
          <w:sz w:val="32"/>
        </w:rPr>
      </w:pPr>
    </w:p>
    <w:p w14:paraId="0890B112" w14:textId="77777777" w:rsidR="00157AAA" w:rsidRDefault="00157AAA">
      <w:bookmarkStart w:id="674" w:name="_Toc41971546"/>
      <w:bookmarkStart w:id="675" w:name="_Toc437338956"/>
      <w:bookmarkStart w:id="676" w:name="_Toc462645153"/>
    </w:p>
    <w:p w14:paraId="31E5B32A" w14:textId="77777777" w:rsidR="00157AAA" w:rsidRDefault="006C1BE5">
      <w:pPr>
        <w:pStyle w:val="S4-header1"/>
        <w:rPr>
          <w:iCs/>
        </w:rPr>
      </w:pPr>
      <w:bookmarkStart w:id="677" w:name="_Toc41971548"/>
      <w:bookmarkEnd w:id="674"/>
      <w:bookmarkEnd w:id="675"/>
      <w:bookmarkEnd w:id="676"/>
      <w:r>
        <w:rPr>
          <w:b w:val="0"/>
          <w:szCs w:val="24"/>
        </w:rPr>
        <w:lastRenderedPageBreak/>
        <w:t xml:space="preserve"> </w:t>
      </w:r>
      <w:bookmarkStart w:id="678" w:name="_Toc498849283"/>
      <w:bookmarkStart w:id="679" w:name="_Toc498850123"/>
      <w:bookmarkStart w:id="680" w:name="_Toc498851728"/>
      <w:bookmarkEnd w:id="677"/>
      <w:r>
        <w:br w:type="page" w:clear="all"/>
      </w:r>
      <w:bookmarkEnd w:id="678"/>
      <w:bookmarkEnd w:id="679"/>
      <w:bookmarkEnd w:id="680"/>
      <w:r>
        <w:rPr>
          <w:b w:val="0"/>
        </w:rPr>
        <w:lastRenderedPageBreak/>
        <w:t xml:space="preserve"> </w:t>
      </w:r>
      <w:bookmarkStart w:id="681" w:name="_Toc163506178"/>
      <w:r>
        <w:rPr>
          <w:smallCaps/>
        </w:rPr>
        <w:t>Form of Bid Security (Bank Guarantee)</w:t>
      </w:r>
      <w:bookmarkEnd w:id="681"/>
    </w:p>
    <w:p w14:paraId="541731DE" w14:textId="77777777" w:rsidR="00157AAA" w:rsidRDefault="006C1BE5">
      <w:pPr>
        <w:spacing w:after="0"/>
        <w:jc w:val="left"/>
        <w:rPr>
          <w:i/>
          <w:iCs/>
        </w:rPr>
      </w:pPr>
      <w:r>
        <w:rPr>
          <w:i/>
          <w:iCs/>
        </w:rPr>
        <w:t>[The bank shall fill in this Bank Guarantee Form in accordance with the instructions indicated.]</w:t>
      </w:r>
    </w:p>
    <w:p w14:paraId="18E0E2CC" w14:textId="77777777" w:rsidR="00157AAA" w:rsidRDefault="006C1BE5">
      <w:pPr>
        <w:spacing w:before="100" w:beforeAutospacing="1" w:after="100" w:afterAutospacing="1"/>
        <w:jc w:val="left"/>
        <w:rPr>
          <w:rFonts w:eastAsia="Arial Unicode MS"/>
          <w:i/>
          <w:iCs/>
          <w:szCs w:val="24"/>
        </w:rPr>
      </w:pPr>
      <w:r>
        <w:rPr>
          <w:i/>
          <w:iCs/>
        </w:rPr>
        <w:t xml:space="preserve"> </w:t>
      </w:r>
      <w:r>
        <w:rPr>
          <w:rFonts w:eastAsia="Arial Unicode MS"/>
          <w:i/>
          <w:iCs/>
          <w:szCs w:val="24"/>
        </w:rPr>
        <w:t>[Guarantor letterhead or SWIFT identifier code]</w:t>
      </w:r>
    </w:p>
    <w:p w14:paraId="06697B16" w14:textId="77777777" w:rsidR="00157AAA" w:rsidRDefault="006C1BE5">
      <w:r>
        <w:t>Beneficiary</w:t>
      </w:r>
      <w:proofErr w:type="gramStart"/>
      <w:r>
        <w:t>:</w:t>
      </w:r>
      <w:r>
        <w:rPr>
          <w:b/>
        </w:rPr>
        <w:t xml:space="preserve">  </w:t>
      </w:r>
      <w:r>
        <w:rPr>
          <w:i/>
          <w:iCs/>
        </w:rPr>
        <w:t>[</w:t>
      </w:r>
      <w:proofErr w:type="gramEnd"/>
      <w:r>
        <w:rPr>
          <w:i/>
          <w:iCs/>
        </w:rPr>
        <w:t xml:space="preserve">Purchaser to insert its </w:t>
      </w:r>
      <w:r>
        <w:rPr>
          <w:b/>
          <w:i/>
          <w:iCs/>
        </w:rPr>
        <w:t>name and address</w:t>
      </w:r>
      <w:r>
        <w:rPr>
          <w:i/>
          <w:iCs/>
        </w:rPr>
        <w:t>]</w:t>
      </w:r>
      <w:r>
        <w:t xml:space="preserve"> </w:t>
      </w:r>
    </w:p>
    <w:p w14:paraId="17A3BFB4" w14:textId="77777777" w:rsidR="00157AAA" w:rsidRDefault="006C1BE5">
      <w:pPr>
        <w:spacing w:before="100" w:beforeAutospacing="1" w:after="100" w:afterAutospacing="1"/>
        <w:jc w:val="left"/>
        <w:rPr>
          <w:rFonts w:eastAsia="Arial Unicode MS"/>
          <w:i/>
          <w:iCs/>
          <w:szCs w:val="24"/>
        </w:rPr>
      </w:pPr>
      <w:r>
        <w:rPr>
          <w:rFonts w:eastAsia="Arial Unicode MS"/>
          <w:bCs/>
          <w:szCs w:val="24"/>
        </w:rPr>
        <w:t>RFB No.</w:t>
      </w:r>
      <w:proofErr w:type="gramStart"/>
      <w:r>
        <w:rPr>
          <w:rFonts w:eastAsia="Arial Unicode MS"/>
          <w:bCs/>
          <w:szCs w:val="24"/>
        </w:rPr>
        <w:t xml:space="preserve">:  </w:t>
      </w:r>
      <w:r>
        <w:rPr>
          <w:rFonts w:eastAsia="Arial Unicode MS"/>
          <w:i/>
          <w:iCs/>
          <w:szCs w:val="24"/>
        </w:rPr>
        <w:t>[</w:t>
      </w:r>
      <w:proofErr w:type="gramEnd"/>
      <w:r>
        <w:rPr>
          <w:rFonts w:eastAsia="Arial Unicode MS"/>
          <w:i/>
          <w:iCs/>
          <w:szCs w:val="24"/>
        </w:rPr>
        <w:t xml:space="preserve">Purchaser to insert reference </w:t>
      </w:r>
      <w:r>
        <w:rPr>
          <w:rFonts w:eastAsia="Arial Unicode MS"/>
          <w:b/>
          <w:i/>
          <w:iCs/>
          <w:szCs w:val="24"/>
        </w:rPr>
        <w:t>number for the RFB</w:t>
      </w:r>
      <w:r>
        <w:rPr>
          <w:rFonts w:eastAsia="Arial Unicode MS"/>
          <w:i/>
          <w:iCs/>
          <w:szCs w:val="24"/>
        </w:rPr>
        <w:t>]</w:t>
      </w:r>
    </w:p>
    <w:p w14:paraId="7FFE2584" w14:textId="77777777" w:rsidR="00157AAA" w:rsidRDefault="006C1BE5">
      <w:pPr>
        <w:spacing w:before="100" w:beforeAutospacing="1" w:after="100" w:afterAutospacing="1"/>
        <w:jc w:val="left"/>
        <w:rPr>
          <w:rFonts w:eastAsia="Arial Unicode MS"/>
          <w:i/>
          <w:iCs/>
          <w:szCs w:val="24"/>
        </w:rPr>
      </w:pPr>
      <w:r>
        <w:rPr>
          <w:rFonts w:eastAsia="Arial Unicode MS"/>
          <w:bCs/>
          <w:szCs w:val="24"/>
        </w:rPr>
        <w:t>Alternative No</w:t>
      </w:r>
      <w:r>
        <w:rPr>
          <w:rFonts w:eastAsia="Arial Unicode MS"/>
          <w:i/>
          <w:iCs/>
          <w:szCs w:val="24"/>
        </w:rPr>
        <w:t>.: [Insert identification No if this is a Bid for an alternative]</w:t>
      </w:r>
    </w:p>
    <w:p w14:paraId="53F243F2"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b/>
        </w:rPr>
        <w:t>Date</w:t>
      </w:r>
      <w:proofErr w:type="gramStart"/>
      <w:r>
        <w:rPr>
          <w:rFonts w:ascii="Times New Roman" w:hAnsi="Times New Roman" w:cs="Times New Roman"/>
          <w:b/>
        </w:rPr>
        <w:t>:</w:t>
      </w:r>
      <w:r>
        <w:rPr>
          <w:rFonts w:ascii="Times New Roman" w:hAnsi="Times New Roman" w:cs="Times New Roman"/>
        </w:rPr>
        <w:t xml:space="preserve">  </w:t>
      </w:r>
      <w:r>
        <w:rPr>
          <w:rFonts w:ascii="Times New Roman" w:hAnsi="Times New Roman" w:cs="Times New Roman"/>
          <w:i/>
          <w:iCs/>
        </w:rPr>
        <w:t>[</w:t>
      </w:r>
      <w:proofErr w:type="gramEnd"/>
      <w:r>
        <w:rPr>
          <w:rFonts w:ascii="Times New Roman" w:hAnsi="Times New Roman" w:cs="Times New Roman"/>
          <w:i/>
          <w:iCs/>
        </w:rPr>
        <w:t xml:space="preserve">Insert </w:t>
      </w:r>
      <w:r>
        <w:rPr>
          <w:rFonts w:ascii="Times New Roman" w:hAnsi="Times New Roman" w:cs="Times New Roman"/>
          <w:b/>
          <w:i/>
          <w:iCs/>
        </w:rPr>
        <w:t>date of issue</w:t>
      </w:r>
      <w:r>
        <w:rPr>
          <w:rFonts w:ascii="Times New Roman" w:hAnsi="Times New Roman" w:cs="Times New Roman"/>
          <w:i/>
          <w:iCs/>
        </w:rPr>
        <w:t>]</w:t>
      </w:r>
    </w:p>
    <w:p w14:paraId="102572A9"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b/>
        </w:rPr>
        <w:t>BID GUARANTEE No.:</w:t>
      </w:r>
      <w:r>
        <w:rPr>
          <w:rFonts w:ascii="Times New Roman" w:hAnsi="Times New Roman" w:cs="Times New Roman"/>
        </w:rPr>
        <w:t xml:space="preserve"> </w:t>
      </w:r>
      <w:r>
        <w:rPr>
          <w:rFonts w:ascii="Times New Roman" w:hAnsi="Times New Roman" w:cs="Times New Roman"/>
          <w:i/>
          <w:iCs/>
        </w:rPr>
        <w:t xml:space="preserve">[Insert </w:t>
      </w:r>
      <w:r>
        <w:rPr>
          <w:rFonts w:ascii="Times New Roman" w:hAnsi="Times New Roman" w:cs="Times New Roman"/>
          <w:b/>
          <w:i/>
          <w:iCs/>
        </w:rPr>
        <w:t>guarantee reference number</w:t>
      </w:r>
      <w:r>
        <w:rPr>
          <w:rFonts w:ascii="Times New Roman" w:hAnsi="Times New Roman" w:cs="Times New Roman"/>
          <w:i/>
          <w:iCs/>
        </w:rPr>
        <w:t>]</w:t>
      </w:r>
    </w:p>
    <w:p w14:paraId="07AC6569"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rPr>
        <w:t xml:space="preserve">We have been informed that </w:t>
      </w:r>
      <w:r>
        <w:rPr>
          <w:rFonts w:ascii="Times New Roman" w:hAnsi="Times New Roman" w:cs="Times New Roman"/>
          <w:i/>
          <w:iCs/>
        </w:rPr>
        <w:t xml:space="preserve">[insert </w:t>
      </w:r>
      <w:r>
        <w:rPr>
          <w:rFonts w:ascii="Times New Roman" w:hAnsi="Times New Roman" w:cs="Times New Roman"/>
          <w:b/>
          <w:i/>
          <w:iCs/>
        </w:rPr>
        <w:t>name of the Bidder</w:t>
      </w:r>
      <w:r>
        <w:rPr>
          <w:rFonts w:ascii="Times New Roman" w:hAnsi="Times New Roman" w:cs="Times New Roman"/>
          <w:i/>
          <w:iCs/>
        </w:rPr>
        <w:t xml:space="preserve">, which in the case of a joint venture shall be the name of the joint venture (whether legally constituted or prospective) or the names of all members thereof] </w:t>
      </w:r>
      <w:r>
        <w:rPr>
          <w:rFonts w:ascii="Times New Roman" w:hAnsi="Times New Roman" w:cs="Times New Roman"/>
        </w:rPr>
        <w:t xml:space="preserve">(hereinafter called “the Applicant”) has submitted or will submit the Beneficiary its bid  (hereinafter called “the Bid”) for the execution of </w:t>
      </w:r>
      <w:r>
        <w:rPr>
          <w:rFonts w:ascii="Times New Roman" w:hAnsi="Times New Roman" w:cs="Times New Roman"/>
          <w:i/>
        </w:rPr>
        <w:t xml:space="preserve">[insert </w:t>
      </w:r>
      <w:r>
        <w:rPr>
          <w:rFonts w:ascii="Times New Roman" w:hAnsi="Times New Roman" w:cs="Times New Roman"/>
          <w:b/>
          <w:i/>
        </w:rPr>
        <w:t>Name of Contract</w:t>
      </w:r>
      <w:r>
        <w:rPr>
          <w:rFonts w:ascii="Times New Roman" w:hAnsi="Times New Roman" w:cs="Times New Roman"/>
          <w:i/>
        </w:rPr>
        <w:t>]</w:t>
      </w:r>
      <w:r>
        <w:rPr>
          <w:rFonts w:ascii="Times New Roman" w:hAnsi="Times New Roman" w:cs="Times New Roman"/>
        </w:rPr>
        <w:t xml:space="preserve">  under Request for Bids No. [</w:t>
      </w:r>
      <w:r>
        <w:rPr>
          <w:rFonts w:ascii="Times New Roman" w:hAnsi="Times New Roman" w:cs="Times New Roman"/>
          <w:i/>
        </w:rPr>
        <w:t xml:space="preserve">insert </w:t>
      </w:r>
      <w:r>
        <w:rPr>
          <w:rFonts w:ascii="Times New Roman" w:hAnsi="Times New Roman" w:cs="Times New Roman"/>
          <w:b/>
          <w:i/>
        </w:rPr>
        <w:t>number</w:t>
      </w:r>
      <w:r>
        <w:rPr>
          <w:rFonts w:ascii="Times New Roman" w:hAnsi="Times New Roman" w:cs="Times New Roman"/>
          <w:i/>
        </w:rPr>
        <w:t>]</w:t>
      </w:r>
      <w:r>
        <w:rPr>
          <w:rFonts w:ascii="Times New Roman" w:hAnsi="Times New Roman" w:cs="Times New Roman"/>
        </w:rPr>
        <w:t xml:space="preserve">  (“the RFB”). </w:t>
      </w:r>
    </w:p>
    <w:p w14:paraId="7BBB2078"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rPr>
        <w:t>Furthermore, we understand that, according to the Beneficiary’s, Bids must be supported by a Bid guarantee.</w:t>
      </w:r>
    </w:p>
    <w:p w14:paraId="54D985B1"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rPr>
        <w:t xml:space="preserve">At the request of the Applicant, we as Guarantor, hereby irrevocably undertake to pay the Beneficiary any sum or sums not exceeding in total an amount of </w:t>
      </w:r>
      <w:r>
        <w:rPr>
          <w:rFonts w:ascii="Times New Roman" w:hAnsi="Times New Roman" w:cs="Times New Roman"/>
          <w:i/>
        </w:rPr>
        <w:t xml:space="preserve">[insert </w:t>
      </w:r>
      <w:r>
        <w:rPr>
          <w:rFonts w:ascii="Times New Roman" w:hAnsi="Times New Roman" w:cs="Times New Roman"/>
          <w:b/>
          <w:i/>
        </w:rPr>
        <w:t>amount in figures</w:t>
      </w:r>
      <w:r>
        <w:rPr>
          <w:rFonts w:ascii="Times New Roman" w:hAnsi="Times New Roman" w:cs="Times New Roman"/>
          <w:i/>
        </w:rPr>
        <w:t xml:space="preserve">  ([insert </w:t>
      </w:r>
      <w:r>
        <w:rPr>
          <w:rFonts w:ascii="Times New Roman" w:hAnsi="Times New Roman" w:cs="Times New Roman"/>
          <w:b/>
          <w:i/>
        </w:rPr>
        <w:t>amount in words</w:t>
      </w:r>
      <w:r>
        <w:rPr>
          <w:rFonts w:ascii="Times New Roman" w:hAnsi="Times New Roman" w:cs="Times New Roman"/>
          <w:i/>
        </w:rPr>
        <w:t xml:space="preserve">)] </w:t>
      </w:r>
      <w:r>
        <w:rPr>
          <w:rFonts w:ascii="Times New Roman" w:hAnsi="Times New Roman" w:cs="Times New Roman"/>
        </w:rPr>
        <w:t>upon receipt by us of the Beneficiary’s complying  demand supported by the Beneficiary’s  statement, whether in the demand itself or a separate signed document accompanying the demand, stating that either the Applicant:</w:t>
      </w:r>
    </w:p>
    <w:p w14:paraId="37EAB8EF" w14:textId="77777777" w:rsidR="00157AAA" w:rsidRDefault="006C1BE5">
      <w:pPr>
        <w:pStyle w:val="NormalWeb"/>
        <w:spacing w:before="0" w:beforeAutospacing="0" w:after="200" w:afterAutospacing="0"/>
        <w:ind w:left="720" w:hanging="540"/>
        <w:rPr>
          <w:rFonts w:ascii="Times New Roman" w:hAnsi="Times New Roman" w:cs="Times New Roman"/>
        </w:rPr>
      </w:pPr>
      <w:r>
        <w:rPr>
          <w:rFonts w:ascii="Times New Roman" w:hAnsi="Times New Roman" w:cs="Times New Roman"/>
        </w:rPr>
        <w:t xml:space="preserve">(a) </w:t>
      </w:r>
      <w:r>
        <w:rPr>
          <w:rFonts w:ascii="Times New Roman" w:hAnsi="Times New Roman" w:cs="Times New Roman"/>
        </w:rPr>
        <w:tab/>
        <w:t>has withdrawn its Bid prior to the Bid validity expiry date set forth in the Applicant’s Letter of Bid, or any extended date provided by the Applicant; or</w:t>
      </w:r>
    </w:p>
    <w:p w14:paraId="42C5764D" w14:textId="77777777" w:rsidR="00157AAA" w:rsidRDefault="006C1BE5">
      <w:pPr>
        <w:pStyle w:val="NormalWeb"/>
        <w:spacing w:before="0" w:beforeAutospacing="0" w:after="200" w:afterAutospacing="0"/>
        <w:ind w:left="720" w:hanging="540"/>
        <w:rPr>
          <w:rFonts w:ascii="Times New Roman" w:hAnsi="Times New Roman" w:cs="Times New Roman"/>
        </w:rPr>
      </w:pPr>
      <w:r>
        <w:rPr>
          <w:rFonts w:ascii="Times New Roman" w:hAnsi="Times New Roman" w:cs="Times New Roman"/>
        </w:rPr>
        <w:t xml:space="preserve">(b) </w:t>
      </w:r>
      <w:r>
        <w:rPr>
          <w:rFonts w:ascii="Times New Roman" w:hAnsi="Times New Roman" w:cs="Times New Roman"/>
        </w:rPr>
        <w:tab/>
        <w:t xml:space="preserve">having been notified of the acceptance of its Bid by the Beneficiary </w:t>
      </w:r>
      <w:bookmarkStart w:id="682" w:name="_Hlk27228000"/>
      <w:r>
        <w:rPr>
          <w:rFonts w:ascii="Times New Roman" w:hAnsi="Times New Roman" w:cs="Times New Roman"/>
        </w:rPr>
        <w:t>prior to the expiry date of the Bid validity</w:t>
      </w:r>
      <w:bookmarkEnd w:id="682"/>
      <w:r>
        <w:rPr>
          <w:rFonts w:ascii="Times New Roman" w:hAnsi="Times New Roman" w:cs="Times New Roman"/>
        </w:rPr>
        <w:t xml:space="preserve"> or any extension thereof provided by the Applicant has failed to: (</w:t>
      </w:r>
      <w:proofErr w:type="spellStart"/>
      <w:r>
        <w:rPr>
          <w:rFonts w:ascii="Times New Roman" w:hAnsi="Times New Roman" w:cs="Times New Roman"/>
        </w:rPr>
        <w:t>i</w:t>
      </w:r>
      <w:proofErr w:type="spellEnd"/>
      <w:r>
        <w:rPr>
          <w:rFonts w:ascii="Times New Roman" w:hAnsi="Times New Roman" w:cs="Times New Roman"/>
        </w:rPr>
        <w:t>) execute the Contract Agreement, if required, or (ii) furnish the performance security, in accordance with the Instructions to Bidders (“ITB”) of the Beneficiary’s bidding document.</w:t>
      </w:r>
    </w:p>
    <w:p w14:paraId="2C583AC5" w14:textId="77777777" w:rsidR="00157AAA" w:rsidRDefault="006C1BE5">
      <w:pPr>
        <w:pStyle w:val="NormalWeb"/>
        <w:spacing w:before="0" w:beforeAutospacing="0" w:after="200" w:afterAutospacing="0"/>
        <w:rPr>
          <w:rFonts w:ascii="Times New Roman" w:hAnsi="Times New Roman" w:cs="Times New Roman"/>
          <w:color w:val="000000"/>
        </w:rPr>
      </w:pPr>
      <w:r>
        <w:rPr>
          <w:rFonts w:ascii="Times New Roman" w:hAnsi="Times New Roman" w:cs="Times New Roman"/>
          <w:color w:val="000000"/>
        </w:rPr>
        <w:t>This guarantee will expire:  (a) if the Applicant is the successful Bidder, upon our receipt of copies of the contract agreement signed by the Applicant and the Performance Security issued to</w:t>
      </w:r>
      <w:r>
        <w:rPr>
          <w:rFonts w:ascii="Times New Roman" w:hAnsi="Times New Roman" w:cs="Times New Roman"/>
        </w:rPr>
        <w:t xml:space="preserve"> the Beneficiary in relation to such Contract Agreement</w:t>
      </w:r>
      <w:r>
        <w:rPr>
          <w:rFonts w:ascii="Times New Roman" w:hAnsi="Times New Roman" w:cs="Times New Roman"/>
          <w:color w:val="000000"/>
        </w:rPr>
        <w:t>; or (b) if the Applicant  is not the successful Bidder, upon the earlier of (</w:t>
      </w:r>
      <w:proofErr w:type="spellStart"/>
      <w:r>
        <w:rPr>
          <w:rFonts w:ascii="Times New Roman" w:hAnsi="Times New Roman" w:cs="Times New Roman"/>
          <w:color w:val="000000"/>
        </w:rPr>
        <w:t>i</w:t>
      </w:r>
      <w:proofErr w:type="spellEnd"/>
      <w:r>
        <w:rPr>
          <w:rFonts w:ascii="Times New Roman" w:hAnsi="Times New Roman" w:cs="Times New Roman"/>
          <w:color w:val="000000"/>
        </w:rPr>
        <w:t xml:space="preserve">) our receipt of a copy of the Beneficiary’s  notification to the Applicant of the results of the Bidding process; or (ii) twenty-eight days after the </w:t>
      </w:r>
      <w:r>
        <w:rPr>
          <w:rFonts w:ascii="Times New Roman" w:hAnsi="Times New Roman" w:cs="Times New Roman"/>
        </w:rPr>
        <w:t>expiry date of the Bid validity</w:t>
      </w:r>
      <w:r>
        <w:rPr>
          <w:rFonts w:ascii="Times New Roman" w:hAnsi="Times New Roman" w:cs="Times New Roman"/>
          <w:color w:val="000000"/>
        </w:rPr>
        <w:t>.</w:t>
      </w:r>
    </w:p>
    <w:p w14:paraId="4FD36664"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rPr>
        <w:lastRenderedPageBreak/>
        <w:t>Consequently, any demand for payment under this guarantee must be received by us at the office on or before that date.</w:t>
      </w:r>
    </w:p>
    <w:p w14:paraId="7C0BE776" w14:textId="77777777" w:rsidR="00157AAA" w:rsidRDefault="006C1BE5">
      <w:pPr>
        <w:pStyle w:val="NormalWeb"/>
        <w:spacing w:before="0" w:beforeAutospacing="0" w:after="200" w:afterAutospacing="0"/>
        <w:rPr>
          <w:rFonts w:ascii="Times New Roman" w:hAnsi="Times New Roman" w:cs="Times New Roman"/>
        </w:rPr>
      </w:pPr>
      <w:r>
        <w:rPr>
          <w:rFonts w:ascii="Times New Roman" w:hAnsi="Times New Roman" w:cs="Times New Roman"/>
        </w:rPr>
        <w:t>This guarantee is subject to the Uniform Rules for Demand Guarantees (URDG) 2010 Revision, ICC Publication No. 758.</w:t>
      </w:r>
    </w:p>
    <w:p w14:paraId="6FBB919A" w14:textId="77777777" w:rsidR="00157AAA" w:rsidRDefault="00157AAA">
      <w:pPr>
        <w:pStyle w:val="NormalWeb"/>
        <w:spacing w:before="0" w:beforeAutospacing="0" w:after="200" w:afterAutospacing="0"/>
        <w:rPr>
          <w:rFonts w:ascii="Times New Roman" w:hAnsi="Times New Roman" w:cs="Times New Roman"/>
        </w:rPr>
      </w:pPr>
    </w:p>
    <w:p w14:paraId="09CDA4FA" w14:textId="77777777" w:rsidR="00157AAA" w:rsidRDefault="006C1BE5">
      <w:pPr>
        <w:pStyle w:val="NormalWeb"/>
        <w:spacing w:before="0" w:after="0"/>
        <w:rPr>
          <w:rFonts w:ascii="Times New Roman" w:hAnsi="Times New Roman" w:cs="Times New Roman"/>
          <w:b/>
        </w:rPr>
      </w:pPr>
      <w:r>
        <w:rPr>
          <w:rFonts w:ascii="Times New Roman" w:hAnsi="Times New Roman" w:cs="Times New Roman"/>
          <w:b/>
        </w:rPr>
        <w:t>_____________________________</w:t>
      </w:r>
    </w:p>
    <w:p w14:paraId="313ED12E" w14:textId="77777777" w:rsidR="00157AAA" w:rsidRDefault="006C1BE5">
      <w:pPr>
        <w:pStyle w:val="NormalWeb"/>
        <w:spacing w:before="0" w:after="0"/>
        <w:rPr>
          <w:rFonts w:ascii="Times New Roman" w:hAnsi="Times New Roman" w:cs="Times New Roman"/>
          <w:i/>
        </w:rPr>
      </w:pPr>
      <w:r>
        <w:rPr>
          <w:rFonts w:ascii="Times New Roman" w:hAnsi="Times New Roman" w:cs="Times New Roman"/>
          <w:i/>
        </w:rPr>
        <w:t>[signature(s)]</w:t>
      </w:r>
    </w:p>
    <w:p w14:paraId="28F23FBC" w14:textId="77777777" w:rsidR="00157AAA" w:rsidRDefault="00157AAA">
      <w:pPr>
        <w:pStyle w:val="NormalWeb"/>
        <w:spacing w:before="0" w:after="0"/>
        <w:rPr>
          <w:rFonts w:ascii="Times New Roman" w:hAnsi="Times New Roman" w:cs="Times New Roman"/>
          <w:i/>
        </w:rPr>
        <w:sectPr w:rsidR="00157AAA" w:rsidSect="00734667">
          <w:headerReference w:type="default" r:id="rId63"/>
          <w:footnotePr>
            <w:numRestart w:val="eachSect"/>
          </w:footnotePr>
          <w:pgSz w:w="12240" w:h="15840"/>
          <w:pgMar w:top="1440" w:right="1800" w:bottom="1440" w:left="1440" w:header="720" w:footer="720" w:gutter="0"/>
          <w:cols w:space="720"/>
          <w:docGrid w:linePitch="360"/>
        </w:sectPr>
      </w:pPr>
    </w:p>
    <w:p w14:paraId="7083CDDC" w14:textId="77777777" w:rsidR="00157AAA" w:rsidRDefault="00157AAA">
      <w:pPr>
        <w:pStyle w:val="S4-header1"/>
        <w:rPr>
          <w:smallCaps/>
        </w:rPr>
      </w:pPr>
      <w:bookmarkStart w:id="683" w:name="_Toc125871320"/>
      <w:bookmarkStart w:id="684" w:name="_Toc482500894"/>
      <w:bookmarkStart w:id="685" w:name="_Toc87082191"/>
      <w:bookmarkStart w:id="686" w:name="_Toc103155217"/>
    </w:p>
    <w:p w14:paraId="0B7D6477" w14:textId="77777777" w:rsidR="00157AAA" w:rsidRDefault="006C1BE5">
      <w:pPr>
        <w:pStyle w:val="S4-header1"/>
        <w:rPr>
          <w:smallCaps/>
        </w:rPr>
      </w:pPr>
      <w:bookmarkStart w:id="687" w:name="_Toc163506179"/>
      <w:r>
        <w:rPr>
          <w:smallCaps/>
        </w:rPr>
        <w:t>Form of Bid Security</w:t>
      </w:r>
      <w:bookmarkEnd w:id="683"/>
      <w:r>
        <w:rPr>
          <w:smallCaps/>
        </w:rPr>
        <w:t xml:space="preserve"> (Bid Bond)</w:t>
      </w:r>
      <w:bookmarkEnd w:id="684"/>
      <w:bookmarkEnd w:id="685"/>
      <w:bookmarkEnd w:id="686"/>
      <w:bookmarkEnd w:id="687"/>
      <w:r>
        <w:rPr>
          <w:smallCaps/>
        </w:rPr>
        <w:t xml:space="preserve">  </w:t>
      </w:r>
    </w:p>
    <w:p w14:paraId="6483E04D" w14:textId="77777777" w:rsidR="00157AAA" w:rsidRDefault="00157AAA">
      <w:pPr>
        <w:tabs>
          <w:tab w:val="left" w:pos="9000"/>
        </w:tabs>
        <w:spacing w:after="200"/>
      </w:pPr>
    </w:p>
    <w:p w14:paraId="3240D738" w14:textId="77777777" w:rsidR="00157AAA" w:rsidRDefault="006C1BE5">
      <w:pPr>
        <w:tabs>
          <w:tab w:val="left" w:pos="9000"/>
        </w:tabs>
        <w:spacing w:before="240" w:after="240"/>
      </w:pPr>
      <w:r>
        <w:t xml:space="preserve">BOND NO. </w:t>
      </w:r>
      <w:r>
        <w:rPr>
          <w:i/>
        </w:rPr>
        <w:t xml:space="preserve">[insert </w:t>
      </w:r>
      <w:r>
        <w:rPr>
          <w:b/>
          <w:i/>
        </w:rPr>
        <w:t>number</w:t>
      </w:r>
      <w:r>
        <w:rPr>
          <w:i/>
        </w:rPr>
        <w:t>]</w:t>
      </w:r>
    </w:p>
    <w:p w14:paraId="7C8D52BC" w14:textId="77777777" w:rsidR="00157AAA" w:rsidRDefault="006C1BE5">
      <w:pPr>
        <w:tabs>
          <w:tab w:val="left" w:pos="9000"/>
        </w:tabs>
        <w:spacing w:before="240" w:after="240"/>
      </w:pPr>
      <w:r>
        <w:t xml:space="preserve">BY THIS BOND </w:t>
      </w:r>
      <w:r>
        <w:rPr>
          <w:i/>
        </w:rPr>
        <w:t xml:space="preserve">[insert </w:t>
      </w:r>
      <w:r>
        <w:rPr>
          <w:b/>
          <w:i/>
        </w:rPr>
        <w:t>Name</w:t>
      </w:r>
      <w:r>
        <w:rPr>
          <w:i/>
        </w:rPr>
        <w:t>]</w:t>
      </w:r>
      <w:r>
        <w:t xml:space="preserve"> as Principal (hereinafter called “the Principal”), and </w:t>
      </w:r>
      <w:r>
        <w:rPr>
          <w:i/>
        </w:rPr>
        <w:t xml:space="preserve">[insert </w:t>
      </w:r>
      <w:r>
        <w:rPr>
          <w:b/>
          <w:i/>
        </w:rPr>
        <w:t>Name</w:t>
      </w:r>
      <w:r>
        <w:rPr>
          <w:i/>
        </w:rPr>
        <w:t>],</w:t>
      </w:r>
      <w:r>
        <w:t xml:space="preserve"> </w:t>
      </w:r>
      <w:r>
        <w:rPr>
          <w:b/>
        </w:rPr>
        <w:t xml:space="preserve">authorized to transact business in </w:t>
      </w:r>
      <w:r>
        <w:rPr>
          <w:i/>
        </w:rPr>
        <w:t xml:space="preserve">[insert </w:t>
      </w:r>
      <w:r>
        <w:rPr>
          <w:b/>
          <w:i/>
        </w:rPr>
        <w:t>Jurisdiction</w:t>
      </w:r>
      <w:r>
        <w:rPr>
          <w:i/>
        </w:rPr>
        <w:t>],</w:t>
      </w:r>
      <w:r>
        <w:t xml:space="preserve"> as Surety (hereinafter called “the Surety”), are held and firmly bound unto </w:t>
      </w:r>
      <w:r>
        <w:rPr>
          <w:i/>
        </w:rPr>
        <w:t xml:space="preserve">[insert </w:t>
      </w:r>
      <w:r>
        <w:rPr>
          <w:b/>
          <w:i/>
        </w:rPr>
        <w:t>Purchaser</w:t>
      </w:r>
      <w:r>
        <w:rPr>
          <w:i/>
        </w:rPr>
        <w:t xml:space="preserve"> </w:t>
      </w:r>
      <w:r>
        <w:rPr>
          <w:b/>
          <w:i/>
        </w:rPr>
        <w:t>Name</w:t>
      </w:r>
      <w:r>
        <w:rPr>
          <w:i/>
        </w:rPr>
        <w:t>]</w:t>
      </w:r>
      <w:r>
        <w:t xml:space="preserve"> as </w:t>
      </w:r>
      <w:proofErr w:type="spellStart"/>
      <w:r>
        <w:t>Obligee</w:t>
      </w:r>
      <w:proofErr w:type="spellEnd"/>
      <w:r>
        <w:t xml:space="preserve"> (hereinafter called “the Purchaser”) in the sum of </w:t>
      </w:r>
      <w:r>
        <w:rPr>
          <w:i/>
        </w:rPr>
        <w:t xml:space="preserve">[insert </w:t>
      </w:r>
      <w:r>
        <w:rPr>
          <w:b/>
          <w:i/>
        </w:rPr>
        <w:t>amount in figures</w:t>
      </w:r>
      <w:r>
        <w:rPr>
          <w:i/>
        </w:rPr>
        <w:t xml:space="preserve">] </w:t>
      </w:r>
      <w:r>
        <w:rPr>
          <w:rStyle w:val="FootnoteReference"/>
        </w:rPr>
        <w:footnoteReference w:id="9"/>
      </w:r>
      <w:r>
        <w:t xml:space="preserve"> (</w:t>
      </w:r>
      <w:r>
        <w:rPr>
          <w:i/>
        </w:rPr>
        <w:t xml:space="preserve">[insert </w:t>
      </w:r>
      <w:r>
        <w:rPr>
          <w:b/>
          <w:i/>
        </w:rPr>
        <w:t>amount in words]</w:t>
      </w:r>
      <w:r>
        <w:t>), for the payment of which sum, well and truly to be made, we, the said Principal and Surety, bind ourselves, our successors and assigns, jointly and severally, firmly by these presents.</w:t>
      </w:r>
    </w:p>
    <w:p w14:paraId="6510B32D" w14:textId="77777777" w:rsidR="00157AAA" w:rsidRDefault="006C1BE5">
      <w:pPr>
        <w:tabs>
          <w:tab w:val="left" w:pos="9000"/>
        </w:tabs>
        <w:spacing w:before="240" w:after="240"/>
      </w:pPr>
      <w:r>
        <w:t xml:space="preserve">WHEREAS the Principal has submitted or will submit a written Bid to the Purchaser dated the </w:t>
      </w:r>
      <w:r>
        <w:rPr>
          <w:i/>
        </w:rPr>
        <w:t xml:space="preserve">[insert </w:t>
      </w:r>
      <w:r>
        <w:rPr>
          <w:b/>
          <w:i/>
        </w:rPr>
        <w:t>ordinal</w:t>
      </w:r>
      <w:r>
        <w:rPr>
          <w:i/>
        </w:rPr>
        <w:t xml:space="preserve"> </w:t>
      </w:r>
      <w:r>
        <w:rPr>
          <w:b/>
          <w:i/>
        </w:rPr>
        <w:t>number</w:t>
      </w:r>
      <w:r>
        <w:t xml:space="preserve"> day of </w:t>
      </w:r>
      <w:r>
        <w:rPr>
          <w:i/>
        </w:rPr>
        <w:t xml:space="preserve">[insert </w:t>
      </w:r>
      <w:r>
        <w:rPr>
          <w:b/>
          <w:i/>
        </w:rPr>
        <w:t>month</w:t>
      </w:r>
      <w:r>
        <w:rPr>
          <w:i/>
        </w:rPr>
        <w:t>] [</w:t>
      </w:r>
      <w:r>
        <w:rPr>
          <w:b/>
          <w:i/>
        </w:rPr>
        <w:t>insert year</w:t>
      </w:r>
      <w:r>
        <w:rPr>
          <w:i/>
        </w:rPr>
        <w:t>],</w:t>
      </w:r>
      <w:r>
        <w:t xml:space="preserve"> for </w:t>
      </w:r>
      <w:r>
        <w:rPr>
          <w:i/>
        </w:rPr>
        <w:t xml:space="preserve">[insert </w:t>
      </w:r>
      <w:r>
        <w:rPr>
          <w:b/>
          <w:i/>
        </w:rPr>
        <w:t xml:space="preserve">name of </w:t>
      </w:r>
      <w:proofErr w:type="gramStart"/>
      <w:r>
        <w:rPr>
          <w:b/>
          <w:i/>
        </w:rPr>
        <w:t>Contract</w:t>
      </w:r>
      <w:r>
        <w:rPr>
          <w:i/>
        </w:rPr>
        <w:t>]</w:t>
      </w:r>
      <w:r>
        <w:t xml:space="preserve"> </w:t>
      </w:r>
      <w:r>
        <w:rPr>
          <w:i/>
        </w:rPr>
        <w:t xml:space="preserve"> </w:t>
      </w:r>
      <w:r>
        <w:t>(</w:t>
      </w:r>
      <w:proofErr w:type="gramEnd"/>
      <w:r>
        <w:t>hereinafter called the “Bid”).</w:t>
      </w:r>
    </w:p>
    <w:p w14:paraId="4CB6C014" w14:textId="77777777" w:rsidR="00157AAA" w:rsidRDefault="006C1BE5">
      <w:pPr>
        <w:tabs>
          <w:tab w:val="left" w:pos="9000"/>
        </w:tabs>
        <w:spacing w:before="240" w:after="240"/>
      </w:pPr>
      <w:r>
        <w:t xml:space="preserve">NOW, THEREFORE, THE CONDITION OF THIS OBLIGATION is such that if the </w:t>
      </w:r>
      <w:proofErr w:type="gramStart"/>
      <w:r>
        <w:t>Principal</w:t>
      </w:r>
      <w:proofErr w:type="gramEnd"/>
      <w:r>
        <w:t>:</w:t>
      </w:r>
    </w:p>
    <w:p w14:paraId="19F3AD57" w14:textId="77777777" w:rsidR="00157AAA" w:rsidRDefault="006C1BE5" w:rsidP="00D530D5">
      <w:pPr>
        <w:numPr>
          <w:ilvl w:val="0"/>
          <w:numId w:val="9"/>
        </w:numPr>
        <w:tabs>
          <w:tab w:val="clear" w:pos="720"/>
          <w:tab w:val="left" w:pos="9000"/>
        </w:tabs>
        <w:spacing w:before="240" w:after="240"/>
        <w:ind w:left="540" w:hanging="540"/>
      </w:pPr>
      <w:r>
        <w:t xml:space="preserve">withdraws its Bid prior to the Bid validity </w:t>
      </w:r>
      <w:r>
        <w:rPr>
          <w:rFonts w:eastAsia="Arial Unicode MS" w:cs="Times New Roman Bold"/>
        </w:rPr>
        <w:t xml:space="preserve">expiry date </w:t>
      </w:r>
      <w:r>
        <w:rPr>
          <w:rFonts w:eastAsia="Arial Unicode MS"/>
        </w:rPr>
        <w:t xml:space="preserve">set forth </w:t>
      </w:r>
      <w:r>
        <w:rPr>
          <w:color w:val="000000" w:themeColor="text1"/>
        </w:rPr>
        <w:t xml:space="preserve">in the Principal’s Letter of Bid, or any extended date provided by the </w:t>
      </w:r>
      <w:proofErr w:type="gramStart"/>
      <w:r>
        <w:rPr>
          <w:color w:val="000000" w:themeColor="text1"/>
        </w:rPr>
        <w:t>Principal</w:t>
      </w:r>
      <w:proofErr w:type="gramEnd"/>
      <w:r>
        <w:t>; or</w:t>
      </w:r>
    </w:p>
    <w:p w14:paraId="344D8F90" w14:textId="77777777" w:rsidR="00157AAA" w:rsidRDefault="006C1BE5" w:rsidP="00D530D5">
      <w:pPr>
        <w:numPr>
          <w:ilvl w:val="0"/>
          <w:numId w:val="9"/>
        </w:numPr>
        <w:tabs>
          <w:tab w:val="left" w:pos="9000"/>
        </w:tabs>
        <w:spacing w:before="240" w:after="240"/>
        <w:ind w:left="540" w:hanging="540"/>
      </w:pPr>
      <w:r>
        <w:t xml:space="preserve">having been notified of the acceptance of its Bid by the </w:t>
      </w:r>
      <w:proofErr w:type="gramStart"/>
      <w:r>
        <w:t xml:space="preserve">Purchaser  </w:t>
      </w:r>
      <w:r>
        <w:rPr>
          <w:color w:val="000000" w:themeColor="text1"/>
        </w:rPr>
        <w:t>prior</w:t>
      </w:r>
      <w:proofErr w:type="gramEnd"/>
      <w:r>
        <w:rPr>
          <w:color w:val="000000" w:themeColor="text1"/>
        </w:rPr>
        <w:t xml:space="preserve"> to the expiry date of the Bid validity</w:t>
      </w:r>
      <w:r>
        <w:t xml:space="preserve"> or any extension thereto provided by the Applicant has failed to; (</w:t>
      </w:r>
      <w:proofErr w:type="spellStart"/>
      <w:r>
        <w:t>i</w:t>
      </w:r>
      <w:proofErr w:type="spellEnd"/>
      <w:r>
        <w:t>) execute the Contract Agreement, or (ii) furnish the Performance Security in accordance with the Instructions to Bidders (“ITB”) of the Purchaser’s bidding document.</w:t>
      </w:r>
    </w:p>
    <w:p w14:paraId="1E89608E" w14:textId="77777777" w:rsidR="00157AAA" w:rsidRDefault="006C1BE5">
      <w:pPr>
        <w:tabs>
          <w:tab w:val="left" w:pos="9000"/>
        </w:tabs>
        <w:spacing w:before="240" w:after="240"/>
      </w:pPr>
      <w:r>
        <w:t xml:space="preserve">then the Surety undertakes to immediately pay to the Purchaser up to the above amount upon receipt of the Purchaser’s first written demand, without the Purchaser having to substantiate its demand, provided that in its demand the Purchaser shall state that the demand arises from the occurrence of any of the above events, specifying which event(s) has occurred. </w:t>
      </w:r>
    </w:p>
    <w:p w14:paraId="1749E7E1" w14:textId="77777777" w:rsidR="00157AAA" w:rsidRDefault="006C1BE5">
      <w:pPr>
        <w:tabs>
          <w:tab w:val="left" w:pos="9000"/>
        </w:tabs>
        <w:spacing w:before="240" w:after="240"/>
      </w:pPr>
      <w:r>
        <w:t xml:space="preserve">The Surety hereby agrees that its obligation will remain in full force and effect up to and including the date 28 days after the date of expiry of the Bid validity set forth in the Principal’s Letter of Bid or extended thereto provided by the </w:t>
      </w:r>
      <w:proofErr w:type="gramStart"/>
      <w:r>
        <w:t>Principal</w:t>
      </w:r>
      <w:proofErr w:type="gramEnd"/>
      <w:r>
        <w:t>.</w:t>
      </w:r>
    </w:p>
    <w:p w14:paraId="09515060" w14:textId="77777777" w:rsidR="00157AAA" w:rsidRDefault="006C1BE5">
      <w:pPr>
        <w:tabs>
          <w:tab w:val="left" w:pos="9000"/>
        </w:tabs>
        <w:spacing w:before="240" w:after="240"/>
      </w:pPr>
      <w:r>
        <w:lastRenderedPageBreak/>
        <w:t xml:space="preserve">IN TESTIMONY WHEREOF, the Principal and the Surety have caused these presents to be executed in their respective names this </w:t>
      </w:r>
      <w:r>
        <w:rPr>
          <w:i/>
        </w:rPr>
        <w:t xml:space="preserve">[insert </w:t>
      </w:r>
      <w:r>
        <w:rPr>
          <w:b/>
          <w:i/>
        </w:rPr>
        <w:t>number</w:t>
      </w:r>
      <w:r>
        <w:t xml:space="preserve"> day of </w:t>
      </w:r>
      <w:r>
        <w:rPr>
          <w:i/>
        </w:rPr>
        <w:t xml:space="preserve">[insert </w:t>
      </w:r>
      <w:r>
        <w:rPr>
          <w:b/>
          <w:i/>
        </w:rPr>
        <w:t>month</w:t>
      </w:r>
      <w:r>
        <w:rPr>
          <w:i/>
        </w:rPr>
        <w:t>] [insert</w:t>
      </w:r>
      <w:r>
        <w:rPr>
          <w:b/>
          <w:i/>
        </w:rPr>
        <w:t xml:space="preserve"> year</w:t>
      </w:r>
      <w:r>
        <w:rPr>
          <w:i/>
        </w:rPr>
        <w:t>]</w:t>
      </w:r>
      <w:r>
        <w:t>.</w:t>
      </w:r>
    </w:p>
    <w:p w14:paraId="0F8517BE" w14:textId="77777777" w:rsidR="00157AAA" w:rsidRDefault="006C1BE5">
      <w:pPr>
        <w:tabs>
          <w:tab w:val="left" w:pos="4320"/>
          <w:tab w:val="left" w:pos="9000"/>
        </w:tabs>
        <w:spacing w:before="240" w:after="240"/>
      </w:pPr>
      <w:r>
        <w:t>Principal: _______________________</w:t>
      </w:r>
      <w:r>
        <w:tab/>
        <w:t>Surety: _____________________________</w:t>
      </w:r>
      <w:r>
        <w:br/>
      </w:r>
      <w:r>
        <w:tab/>
        <w:t>Corporate Seal (where appropriate)</w:t>
      </w:r>
    </w:p>
    <w:p w14:paraId="7FEC9595" w14:textId="77777777" w:rsidR="00157AAA" w:rsidRDefault="006C1BE5">
      <w:pPr>
        <w:tabs>
          <w:tab w:val="left" w:pos="4320"/>
          <w:tab w:val="left" w:pos="9000"/>
        </w:tabs>
        <w:spacing w:before="120"/>
      </w:pPr>
      <w:r>
        <w:t>_______________________________</w:t>
      </w:r>
      <w:r>
        <w:tab/>
        <w:t>____________________________________</w:t>
      </w:r>
      <w:r>
        <w:br/>
      </w:r>
      <w:r>
        <w:rPr>
          <w:i/>
        </w:rPr>
        <w:t>(Signature)</w:t>
      </w:r>
      <w:r>
        <w:rPr>
          <w:i/>
        </w:rPr>
        <w:tab/>
        <w:t>(Signature)</w:t>
      </w:r>
    </w:p>
    <w:p w14:paraId="323372DC" w14:textId="77777777" w:rsidR="00157AAA" w:rsidRDefault="006C1BE5">
      <w:pPr>
        <w:tabs>
          <w:tab w:val="left" w:pos="4320"/>
          <w:tab w:val="left" w:pos="9000"/>
        </w:tabs>
        <w:spacing w:before="120"/>
        <w:rPr>
          <w:i/>
        </w:rPr>
      </w:pPr>
      <w:r>
        <w:rPr>
          <w:i/>
        </w:rPr>
        <w:t>(Printed name and title)</w:t>
      </w:r>
      <w:r>
        <w:rPr>
          <w:i/>
        </w:rPr>
        <w:tab/>
        <w:t>(Printed name and title)</w:t>
      </w:r>
    </w:p>
    <w:p w14:paraId="7ACA33F7" w14:textId="77777777" w:rsidR="00157AAA" w:rsidRDefault="006C1BE5">
      <w:pPr>
        <w:pStyle w:val="S4-header1"/>
        <w:spacing w:after="120"/>
      </w:pPr>
      <w:r>
        <w:rPr>
          <w:i/>
        </w:rPr>
        <w:br w:type="page" w:clear="all"/>
      </w:r>
      <w:bookmarkStart w:id="688" w:name="_Toc125871321"/>
      <w:bookmarkStart w:id="689" w:name="_Toc163506180"/>
      <w:r>
        <w:rPr>
          <w:smallCaps/>
        </w:rPr>
        <w:lastRenderedPageBreak/>
        <w:t>Form of Bid-Securing Declaration</w:t>
      </w:r>
      <w:bookmarkEnd w:id="688"/>
      <w:bookmarkEnd w:id="689"/>
    </w:p>
    <w:p w14:paraId="3A3886F6" w14:textId="77777777" w:rsidR="00157AAA" w:rsidRDefault="006C1BE5">
      <w:pPr>
        <w:spacing w:after="0"/>
        <w:jc w:val="left"/>
        <w:rPr>
          <w:i/>
          <w:iCs/>
        </w:rPr>
      </w:pPr>
      <w:r>
        <w:rPr>
          <w:i/>
          <w:iCs/>
        </w:rPr>
        <w:t>[The Bidder shall fill in this Form in accordance with the instructions indicated.]</w:t>
      </w:r>
    </w:p>
    <w:p w14:paraId="259E6B81" w14:textId="77777777" w:rsidR="00157AAA" w:rsidRDefault="00157AAA">
      <w:pPr>
        <w:tabs>
          <w:tab w:val="left" w:pos="4968"/>
          <w:tab w:val="left" w:pos="9558"/>
        </w:tabs>
      </w:pPr>
    </w:p>
    <w:p w14:paraId="498EE910" w14:textId="77777777" w:rsidR="00157AAA" w:rsidRDefault="006C1BE5">
      <w:pPr>
        <w:tabs>
          <w:tab w:val="right" w:pos="9360"/>
        </w:tabs>
        <w:spacing w:after="0"/>
        <w:ind w:left="720" w:hanging="720"/>
        <w:jc w:val="right"/>
      </w:pPr>
      <w:r>
        <w:t xml:space="preserve">Date: </w:t>
      </w:r>
      <w:r>
        <w:rPr>
          <w:i/>
        </w:rPr>
        <w:t xml:space="preserve">[insert </w:t>
      </w:r>
      <w:r>
        <w:rPr>
          <w:b/>
          <w:i/>
        </w:rPr>
        <w:t>date</w:t>
      </w:r>
      <w:r>
        <w:rPr>
          <w:i/>
        </w:rPr>
        <w:t xml:space="preserve"> (as day, </w:t>
      </w:r>
      <w:proofErr w:type="gramStart"/>
      <w:r>
        <w:rPr>
          <w:i/>
        </w:rPr>
        <w:t>month</w:t>
      </w:r>
      <w:proofErr w:type="gramEnd"/>
      <w:r>
        <w:rPr>
          <w:i/>
        </w:rPr>
        <w:t xml:space="preserve"> and year)]</w:t>
      </w:r>
    </w:p>
    <w:p w14:paraId="0A8FE34E" w14:textId="77777777" w:rsidR="00157AAA" w:rsidRDefault="006C1BE5">
      <w:pPr>
        <w:tabs>
          <w:tab w:val="right" w:pos="9360"/>
        </w:tabs>
        <w:spacing w:after="0"/>
        <w:ind w:left="720" w:hanging="720"/>
        <w:jc w:val="right"/>
        <w:rPr>
          <w:i/>
        </w:rPr>
      </w:pPr>
      <w:r>
        <w:t xml:space="preserve">Bid No.: </w:t>
      </w:r>
      <w:r>
        <w:rPr>
          <w:i/>
        </w:rPr>
        <w:t xml:space="preserve">[insert </w:t>
      </w:r>
      <w:r>
        <w:rPr>
          <w:b/>
          <w:i/>
        </w:rPr>
        <w:t>number of bidding process</w:t>
      </w:r>
      <w:r>
        <w:rPr>
          <w:i/>
        </w:rPr>
        <w:t>]</w:t>
      </w:r>
    </w:p>
    <w:p w14:paraId="4D0FEEAB" w14:textId="77777777" w:rsidR="00157AAA" w:rsidRDefault="006C1BE5">
      <w:pPr>
        <w:tabs>
          <w:tab w:val="right" w:pos="9360"/>
        </w:tabs>
        <w:spacing w:after="0"/>
        <w:ind w:left="720" w:hanging="720"/>
        <w:jc w:val="right"/>
      </w:pPr>
      <w:r>
        <w:t xml:space="preserve">Alternative No.: </w:t>
      </w:r>
      <w:r>
        <w:rPr>
          <w:i/>
          <w:iCs/>
        </w:rPr>
        <w:t xml:space="preserve">[insert </w:t>
      </w:r>
      <w:r>
        <w:rPr>
          <w:b/>
          <w:i/>
          <w:iCs/>
        </w:rPr>
        <w:t>identification No if this is a Bid for an alternative</w:t>
      </w:r>
      <w:r>
        <w:rPr>
          <w:i/>
          <w:iCs/>
        </w:rPr>
        <w:t>]</w:t>
      </w:r>
    </w:p>
    <w:p w14:paraId="7743ECF6" w14:textId="77777777" w:rsidR="00157AAA" w:rsidRDefault="00157AAA">
      <w:pPr>
        <w:tabs>
          <w:tab w:val="right" w:pos="9360"/>
        </w:tabs>
        <w:spacing w:after="0"/>
        <w:ind w:left="720" w:hanging="720"/>
        <w:jc w:val="right"/>
        <w:rPr>
          <w:sz w:val="28"/>
        </w:rPr>
      </w:pPr>
    </w:p>
    <w:p w14:paraId="03E68737" w14:textId="77777777" w:rsidR="00157AAA" w:rsidRDefault="006C1BE5">
      <w:pPr>
        <w:jc w:val="left"/>
        <w:rPr>
          <w:b/>
        </w:rPr>
      </w:pPr>
      <w:r>
        <w:t xml:space="preserve">To: </w:t>
      </w:r>
      <w:r>
        <w:rPr>
          <w:i/>
        </w:rPr>
        <w:t xml:space="preserve">[insert </w:t>
      </w:r>
      <w:r>
        <w:rPr>
          <w:b/>
          <w:i/>
        </w:rPr>
        <w:t>complete name of Purchaser</w:t>
      </w:r>
      <w:r>
        <w:rPr>
          <w:i/>
        </w:rPr>
        <w:t>]</w:t>
      </w:r>
    </w:p>
    <w:p w14:paraId="3DDE078C" w14:textId="77777777" w:rsidR="00157AAA" w:rsidRDefault="006C1BE5">
      <w:r>
        <w:t xml:space="preserve">We, the undersigned, declare that: </w:t>
      </w:r>
      <w:r>
        <w:tab/>
      </w:r>
      <w:r>
        <w:tab/>
      </w:r>
      <w:r>
        <w:tab/>
      </w:r>
    </w:p>
    <w:p w14:paraId="09D4530A" w14:textId="77777777" w:rsidR="00157AAA" w:rsidRDefault="006C1BE5">
      <w:pPr>
        <w:pStyle w:val="NormalWeb"/>
        <w:spacing w:before="0" w:beforeAutospacing="0" w:after="120" w:afterAutospacing="0"/>
        <w:rPr>
          <w:rFonts w:ascii="Times New Roman" w:hAnsi="Times New Roman" w:cs="Times New Roman"/>
          <w:szCs w:val="20"/>
        </w:rPr>
      </w:pPr>
      <w:r>
        <w:rPr>
          <w:rFonts w:ascii="Times New Roman" w:hAnsi="Times New Roman" w:cs="Times New Roman"/>
          <w:szCs w:val="20"/>
        </w:rPr>
        <w:t>We understand that, according to your conditions, Bids must be supported by a Bid-Securing Declaration.</w:t>
      </w:r>
    </w:p>
    <w:p w14:paraId="31825D8E" w14:textId="77777777" w:rsidR="00157AAA" w:rsidRDefault="006C1BE5">
      <w:pPr>
        <w:pStyle w:val="NormalWeb"/>
        <w:spacing w:before="0" w:beforeAutospacing="0" w:after="120" w:afterAutospacing="0"/>
        <w:rPr>
          <w:rFonts w:ascii="Times New Roman" w:hAnsi="Times New Roman" w:cs="Times New Roman"/>
          <w:szCs w:val="20"/>
        </w:rPr>
      </w:pPr>
      <w:r>
        <w:rPr>
          <w:rFonts w:ascii="Times New Roman" w:hAnsi="Times New Roman" w:cs="Times New Roman"/>
          <w:szCs w:val="20"/>
        </w:rPr>
        <w:t xml:space="preserve">We accept that </w:t>
      </w:r>
      <w:r>
        <w:rPr>
          <w:rFonts w:ascii="Times New Roman" w:hAnsi="Times New Roman" w:cs="Times New Roman"/>
        </w:rPr>
        <w:t xml:space="preserve">we will automatically be suspended from being eligible for bidding </w:t>
      </w:r>
      <w:r>
        <w:rPr>
          <w:rFonts w:ascii="Times New Roman" w:hAnsi="Times New Roman"/>
          <w:iCs/>
          <w:color w:val="000000" w:themeColor="text1"/>
        </w:rPr>
        <w:t xml:space="preserve">or submitting proposals </w:t>
      </w:r>
      <w:r>
        <w:rPr>
          <w:rFonts w:ascii="Times New Roman" w:hAnsi="Times New Roman" w:cs="Times New Roman"/>
        </w:rPr>
        <w:t xml:space="preserve">in any contract with the Purchaser for the </w:t>
      </w:r>
      <w:proofErr w:type="gramStart"/>
      <w:r>
        <w:rPr>
          <w:rFonts w:ascii="Times New Roman" w:hAnsi="Times New Roman" w:cs="Times New Roman"/>
        </w:rPr>
        <w:t>period of time</w:t>
      </w:r>
      <w:proofErr w:type="gramEnd"/>
      <w:r>
        <w:rPr>
          <w:rFonts w:ascii="Times New Roman" w:hAnsi="Times New Roman" w:cs="Times New Roman"/>
        </w:rPr>
        <w:t xml:space="preserve"> </w:t>
      </w:r>
      <w:r>
        <w:rPr>
          <w:rFonts w:ascii="Times New Roman" w:hAnsi="Times New Roman" w:cs="Times New Roman"/>
          <w:iCs/>
          <w:color w:val="000000" w:themeColor="text1"/>
        </w:rPr>
        <w:t>specified in Section II – Bid Data Sheet,</w:t>
      </w:r>
      <w:r>
        <w:rPr>
          <w:rFonts w:ascii="Times New Roman" w:hAnsi="Times New Roman" w:cs="Times New Roman"/>
          <w:szCs w:val="20"/>
        </w:rPr>
        <w:t xml:space="preserve"> if we are in breach of our obligation(s) under the bid conditions, because we:</w:t>
      </w:r>
    </w:p>
    <w:p w14:paraId="714BEFE4" w14:textId="77777777" w:rsidR="00157AAA" w:rsidRDefault="006C1BE5">
      <w:pPr>
        <w:pStyle w:val="NormalWeb"/>
        <w:spacing w:before="0" w:beforeAutospacing="0" w:after="120" w:afterAutospacing="0"/>
        <w:ind w:left="540" w:hanging="540"/>
        <w:rPr>
          <w:rFonts w:ascii="Times New Roman" w:hAnsi="Times New Roman" w:cs="Times New Roman"/>
          <w:szCs w:val="20"/>
        </w:rPr>
      </w:pPr>
      <w:r>
        <w:rPr>
          <w:rFonts w:ascii="Times New Roman" w:hAnsi="Times New Roman" w:cs="Times New Roman"/>
          <w:szCs w:val="20"/>
        </w:rPr>
        <w:t xml:space="preserve">(a) </w:t>
      </w:r>
      <w:r>
        <w:rPr>
          <w:rFonts w:ascii="Times New Roman" w:hAnsi="Times New Roman" w:cs="Times New Roman"/>
          <w:szCs w:val="20"/>
        </w:rPr>
        <w:tab/>
        <w:t>have withdrawn our Bid</w:t>
      </w:r>
      <w:bookmarkStart w:id="690" w:name="_Hlk27228351"/>
      <w:r>
        <w:rPr>
          <w:rFonts w:ascii="Times New Roman" w:hAnsi="Times New Roman" w:cs="Times New Roman"/>
          <w:szCs w:val="20"/>
        </w:rPr>
        <w:t xml:space="preserve"> </w:t>
      </w:r>
      <w:r>
        <w:rPr>
          <w:rFonts w:ascii="Times New Roman" w:hAnsi="Times New Roman" w:cs="Times New Roman"/>
          <w:iCs/>
          <w:color w:val="000000" w:themeColor="text1"/>
          <w:szCs w:val="20"/>
        </w:rPr>
        <w:t>prior to the expiry date</w:t>
      </w:r>
      <w:r>
        <w:rPr>
          <w:rFonts w:ascii="Times New Roman" w:hAnsi="Times New Roman" w:cs="Times New Roman"/>
          <w:szCs w:val="20"/>
        </w:rPr>
        <w:t xml:space="preserve"> of the Bid validity specified in the Letter of Bid</w:t>
      </w:r>
      <w:r>
        <w:rPr>
          <w:rFonts w:ascii="Times New Roman" w:hAnsi="Times New Roman" w:cs="Times New Roman"/>
          <w:iCs/>
          <w:color w:val="000000" w:themeColor="text1"/>
          <w:szCs w:val="20"/>
        </w:rPr>
        <w:t xml:space="preserve"> or any extended date provided by us</w:t>
      </w:r>
      <w:bookmarkEnd w:id="690"/>
      <w:r>
        <w:rPr>
          <w:rFonts w:ascii="Times New Roman" w:hAnsi="Times New Roman" w:cs="Times New Roman"/>
          <w:szCs w:val="20"/>
        </w:rPr>
        <w:t>; or</w:t>
      </w:r>
    </w:p>
    <w:p w14:paraId="093EFFD5" w14:textId="77777777" w:rsidR="00157AAA" w:rsidRDefault="006C1BE5">
      <w:pPr>
        <w:pStyle w:val="NormalWeb"/>
        <w:spacing w:before="0" w:beforeAutospacing="0" w:after="120" w:afterAutospacing="0"/>
        <w:ind w:left="540" w:hanging="540"/>
        <w:rPr>
          <w:rFonts w:ascii="Times New Roman" w:hAnsi="Times New Roman" w:cs="Times New Roman"/>
          <w:szCs w:val="20"/>
        </w:rPr>
      </w:pPr>
      <w:r>
        <w:rPr>
          <w:rFonts w:ascii="Times New Roman" w:hAnsi="Times New Roman" w:cs="Times New Roman"/>
          <w:szCs w:val="20"/>
        </w:rPr>
        <w:t xml:space="preserve">(b) </w:t>
      </w:r>
      <w:r>
        <w:rPr>
          <w:rFonts w:ascii="Times New Roman" w:hAnsi="Times New Roman" w:cs="Times New Roman"/>
          <w:szCs w:val="20"/>
        </w:rPr>
        <w:tab/>
        <w:t xml:space="preserve">having been notified of the acceptance of our Bid by the </w:t>
      </w:r>
      <w:proofErr w:type="gramStart"/>
      <w:r>
        <w:rPr>
          <w:rFonts w:ascii="Times New Roman" w:hAnsi="Times New Roman" w:cs="Times New Roman"/>
          <w:szCs w:val="20"/>
        </w:rPr>
        <w:t>Purchaser</w:t>
      </w:r>
      <w:bookmarkStart w:id="691" w:name="_Hlk27228386"/>
      <w:r>
        <w:rPr>
          <w:rFonts w:ascii="Times New Roman" w:hAnsi="Times New Roman" w:cs="Times New Roman"/>
          <w:szCs w:val="20"/>
        </w:rPr>
        <w:t xml:space="preserve">  </w:t>
      </w:r>
      <w:r>
        <w:rPr>
          <w:rFonts w:ascii="Times New Roman" w:hAnsi="Times New Roman" w:cs="Times New Roman"/>
          <w:iCs/>
          <w:color w:val="000000" w:themeColor="text1"/>
          <w:szCs w:val="20"/>
        </w:rPr>
        <w:t>prior</w:t>
      </w:r>
      <w:proofErr w:type="gramEnd"/>
      <w:r>
        <w:rPr>
          <w:rFonts w:ascii="Times New Roman" w:hAnsi="Times New Roman" w:cs="Times New Roman"/>
          <w:iCs/>
          <w:color w:val="000000" w:themeColor="text1"/>
          <w:szCs w:val="20"/>
        </w:rPr>
        <w:t xml:space="preserve"> to the expiry date of the Bid validity </w:t>
      </w:r>
      <w:r>
        <w:rPr>
          <w:rFonts w:ascii="Times New Roman" w:hAnsi="Times New Roman" w:cs="Times New Roman"/>
          <w:iCs/>
          <w:color w:val="000000" w:themeColor="text1"/>
        </w:rPr>
        <w:t>in the Letter of Bid or any extended date provided by us</w:t>
      </w:r>
      <w:bookmarkEnd w:id="691"/>
      <w:r>
        <w:rPr>
          <w:rFonts w:ascii="Times New Roman" w:hAnsi="Times New Roman" w:cs="Times New Roman"/>
          <w:szCs w:val="20"/>
        </w:rPr>
        <w:t>, (</w:t>
      </w:r>
      <w:proofErr w:type="spellStart"/>
      <w:r>
        <w:rPr>
          <w:rFonts w:ascii="Times New Roman" w:hAnsi="Times New Roman" w:cs="Times New Roman"/>
          <w:szCs w:val="20"/>
        </w:rPr>
        <w:t>i</w:t>
      </w:r>
      <w:proofErr w:type="spellEnd"/>
      <w:r>
        <w:rPr>
          <w:rFonts w:ascii="Times New Roman" w:hAnsi="Times New Roman" w:cs="Times New Roman"/>
          <w:szCs w:val="20"/>
        </w:rPr>
        <w:t>) fail to sign the Contract agreement; or (ii) fail or refuse to furnish the Performance Security, if required, in accordance with the ITB.</w:t>
      </w:r>
    </w:p>
    <w:p w14:paraId="50E9478C" w14:textId="77777777" w:rsidR="00157AAA" w:rsidRDefault="006C1BE5">
      <w:pPr>
        <w:pStyle w:val="NormalWeb"/>
        <w:spacing w:before="0" w:beforeAutospacing="0" w:after="120" w:afterAutospacing="0"/>
        <w:rPr>
          <w:rFonts w:ascii="Times New Roman" w:hAnsi="Times New Roman" w:cs="Times New Roman"/>
          <w:szCs w:val="20"/>
        </w:rPr>
      </w:pPr>
      <w:r>
        <w:rPr>
          <w:rFonts w:ascii="Times New Roman" w:hAnsi="Times New Roman" w:cs="Times New Roman"/>
          <w:szCs w:val="20"/>
        </w:rPr>
        <w:t>We understand this Bid-Securing Declaration shall expire if we are not the successful Bidder, upon the earlier of (</w:t>
      </w:r>
      <w:proofErr w:type="spellStart"/>
      <w:r>
        <w:rPr>
          <w:rFonts w:ascii="Times New Roman" w:hAnsi="Times New Roman" w:cs="Times New Roman"/>
          <w:szCs w:val="20"/>
        </w:rPr>
        <w:t>i</w:t>
      </w:r>
      <w:proofErr w:type="spellEnd"/>
      <w:r>
        <w:rPr>
          <w:rFonts w:ascii="Times New Roman" w:hAnsi="Times New Roman" w:cs="Times New Roman"/>
          <w:szCs w:val="20"/>
        </w:rPr>
        <w:t>) our receipt of your notification to us of the name of the successful Bidder; or (ii) twenty-eight days after the expiry date of the Bid validity.</w:t>
      </w:r>
    </w:p>
    <w:p w14:paraId="206AB667" w14:textId="77777777" w:rsidR="00157AAA" w:rsidRDefault="006C1BE5">
      <w:pPr>
        <w:tabs>
          <w:tab w:val="left" w:pos="6120"/>
        </w:tabs>
        <w:jc w:val="left"/>
        <w:rPr>
          <w:iCs/>
        </w:rPr>
      </w:pPr>
      <w:r>
        <w:rPr>
          <w:iCs/>
        </w:rPr>
        <w:t>Name of the Bidder</w:t>
      </w:r>
      <w:r>
        <w:rPr>
          <w:b/>
          <w:bCs/>
          <w:iCs/>
        </w:rPr>
        <w:t>*</w:t>
      </w:r>
      <w:r>
        <w:rPr>
          <w:iCs/>
        </w:rPr>
        <w:t xml:space="preserve"> </w:t>
      </w:r>
      <w:r>
        <w:rPr>
          <w:i/>
          <w:iCs/>
          <w:u w:val="single"/>
        </w:rPr>
        <w:t>[</w:t>
      </w:r>
      <w:r>
        <w:rPr>
          <w:i/>
          <w:iCs/>
        </w:rPr>
        <w:t xml:space="preserve">insert </w:t>
      </w:r>
      <w:r>
        <w:rPr>
          <w:b/>
          <w:i/>
          <w:iCs/>
        </w:rPr>
        <w:t>Name of Bidder</w:t>
      </w:r>
      <w:r>
        <w:rPr>
          <w:i/>
          <w:iCs/>
        </w:rPr>
        <w:t>]</w:t>
      </w:r>
    </w:p>
    <w:p w14:paraId="38E46084" w14:textId="77777777" w:rsidR="00157AAA" w:rsidRDefault="006C1BE5">
      <w:pPr>
        <w:tabs>
          <w:tab w:val="right" w:pos="9000"/>
        </w:tabs>
        <w:jc w:val="left"/>
        <w:rPr>
          <w:iCs/>
          <w:u w:val="single"/>
        </w:rPr>
      </w:pPr>
      <w:r>
        <w:rPr>
          <w:iCs/>
        </w:rPr>
        <w:t>Name of the person duly authorized to sign the Bid on behalf of the Bidder</w:t>
      </w:r>
      <w:r>
        <w:rPr>
          <w:b/>
          <w:bCs/>
          <w:iCs/>
        </w:rPr>
        <w:t>**</w:t>
      </w:r>
      <w:r>
        <w:rPr>
          <w:i/>
          <w:iCs/>
          <w:u w:val="single"/>
        </w:rPr>
        <w:t>[</w:t>
      </w:r>
      <w:r>
        <w:rPr>
          <w:i/>
          <w:iCs/>
        </w:rPr>
        <w:t xml:space="preserve">insert </w:t>
      </w:r>
      <w:r>
        <w:rPr>
          <w:b/>
          <w:i/>
          <w:iCs/>
        </w:rPr>
        <w:t>Name of authorized person</w:t>
      </w:r>
      <w:r>
        <w:rPr>
          <w:i/>
          <w:iCs/>
        </w:rPr>
        <w:t>]</w:t>
      </w:r>
    </w:p>
    <w:p w14:paraId="2C576C4A" w14:textId="77777777" w:rsidR="00157AAA" w:rsidRDefault="006C1BE5">
      <w:pPr>
        <w:tabs>
          <w:tab w:val="right" w:pos="9000"/>
        </w:tabs>
        <w:jc w:val="left"/>
        <w:rPr>
          <w:iCs/>
        </w:rPr>
      </w:pPr>
      <w:r>
        <w:rPr>
          <w:iCs/>
        </w:rPr>
        <w:t xml:space="preserve">Title of the person signing the </w:t>
      </w:r>
      <w:proofErr w:type="gramStart"/>
      <w:r>
        <w:rPr>
          <w:iCs/>
        </w:rPr>
        <w:t>Bid</w:t>
      </w:r>
      <w:r>
        <w:rPr>
          <w:i/>
          <w:iCs/>
          <w:u w:val="single"/>
        </w:rPr>
        <w:t>[</w:t>
      </w:r>
      <w:proofErr w:type="gramEnd"/>
      <w:r>
        <w:rPr>
          <w:i/>
          <w:iCs/>
        </w:rPr>
        <w:t xml:space="preserve">insert </w:t>
      </w:r>
      <w:r>
        <w:rPr>
          <w:b/>
          <w:i/>
          <w:iCs/>
        </w:rPr>
        <w:t>Title of authorized person</w:t>
      </w:r>
      <w:r>
        <w:rPr>
          <w:i/>
          <w:iCs/>
        </w:rPr>
        <w:t>]</w:t>
      </w:r>
    </w:p>
    <w:p w14:paraId="30E21F89" w14:textId="77777777" w:rsidR="00157AAA" w:rsidRDefault="006C1BE5">
      <w:pPr>
        <w:tabs>
          <w:tab w:val="right" w:pos="9000"/>
        </w:tabs>
        <w:jc w:val="left"/>
        <w:rPr>
          <w:iCs/>
        </w:rPr>
      </w:pPr>
      <w:r>
        <w:rPr>
          <w:iCs/>
        </w:rPr>
        <w:t>Signature of the person named above</w:t>
      </w:r>
      <w:r>
        <w:rPr>
          <w:iCs/>
          <w:u w:val="single"/>
        </w:rPr>
        <w:tab/>
      </w:r>
      <w:r>
        <w:rPr>
          <w:iCs/>
        </w:rPr>
        <w:t>______________________</w:t>
      </w:r>
    </w:p>
    <w:p w14:paraId="6DE09DA3" w14:textId="77777777" w:rsidR="00157AAA" w:rsidRDefault="006C1BE5">
      <w:pPr>
        <w:tabs>
          <w:tab w:val="left" w:pos="6120"/>
        </w:tabs>
        <w:jc w:val="left"/>
        <w:rPr>
          <w:iCs/>
        </w:rPr>
      </w:pPr>
      <w:r>
        <w:rPr>
          <w:iCs/>
        </w:rPr>
        <w:t xml:space="preserve">Date signed </w:t>
      </w:r>
      <w:r>
        <w:rPr>
          <w:i/>
          <w:iCs/>
        </w:rPr>
        <w:t xml:space="preserve">[insert </w:t>
      </w:r>
      <w:r>
        <w:rPr>
          <w:b/>
          <w:i/>
          <w:iCs/>
        </w:rPr>
        <w:t>ordinal</w:t>
      </w:r>
      <w:r>
        <w:rPr>
          <w:i/>
          <w:iCs/>
        </w:rPr>
        <w:t xml:space="preserve"> </w:t>
      </w:r>
      <w:r>
        <w:rPr>
          <w:b/>
          <w:i/>
          <w:iCs/>
        </w:rPr>
        <w:t>number</w:t>
      </w:r>
      <w:r>
        <w:rPr>
          <w:i/>
          <w:iCs/>
        </w:rPr>
        <w:t>]</w:t>
      </w:r>
      <w:r>
        <w:rPr>
          <w:iCs/>
        </w:rPr>
        <w:t xml:space="preserve"> day of </w:t>
      </w:r>
      <w:r>
        <w:rPr>
          <w:i/>
          <w:iCs/>
        </w:rPr>
        <w:t xml:space="preserve">[insert </w:t>
      </w:r>
      <w:r>
        <w:rPr>
          <w:b/>
          <w:i/>
          <w:iCs/>
        </w:rPr>
        <w:t>month</w:t>
      </w:r>
      <w:proofErr w:type="gramStart"/>
      <w:r>
        <w:rPr>
          <w:i/>
          <w:iCs/>
        </w:rPr>
        <w:t>]</w:t>
      </w:r>
      <w:r>
        <w:rPr>
          <w:iCs/>
        </w:rPr>
        <w:t xml:space="preserve"> ,</w:t>
      </w:r>
      <w:proofErr w:type="gramEnd"/>
      <w:r>
        <w:rPr>
          <w:iCs/>
        </w:rPr>
        <w:t xml:space="preserve"> </w:t>
      </w:r>
      <w:r>
        <w:rPr>
          <w:i/>
          <w:iCs/>
        </w:rPr>
        <w:t xml:space="preserve">[insert </w:t>
      </w:r>
      <w:r>
        <w:rPr>
          <w:b/>
          <w:i/>
          <w:iCs/>
        </w:rPr>
        <w:t>year</w:t>
      </w:r>
      <w:r>
        <w:rPr>
          <w:i/>
          <w:iCs/>
        </w:rPr>
        <w:t>]</w:t>
      </w:r>
      <w:r>
        <w:rPr>
          <w:iCs/>
        </w:rPr>
        <w:t xml:space="preserve"> </w:t>
      </w:r>
    </w:p>
    <w:p w14:paraId="5D0C725F" w14:textId="77777777" w:rsidR="00157AAA" w:rsidRDefault="00157AAA">
      <w:pPr>
        <w:tabs>
          <w:tab w:val="left" w:pos="6120"/>
        </w:tabs>
        <w:spacing w:after="200"/>
        <w:jc w:val="left"/>
        <w:rPr>
          <w:b/>
          <w:bCs/>
          <w:iCs/>
          <w:sz w:val="20"/>
        </w:rPr>
      </w:pPr>
    </w:p>
    <w:p w14:paraId="418C7F9A" w14:textId="77777777" w:rsidR="00157AAA" w:rsidRDefault="006C1BE5">
      <w:pPr>
        <w:tabs>
          <w:tab w:val="left" w:pos="6120"/>
        </w:tabs>
        <w:spacing w:after="200"/>
        <w:jc w:val="left"/>
        <w:rPr>
          <w:iCs/>
          <w:sz w:val="20"/>
        </w:rPr>
      </w:pPr>
      <w:r>
        <w:rPr>
          <w:b/>
          <w:bCs/>
          <w:iCs/>
          <w:sz w:val="20"/>
        </w:rPr>
        <w:t>*</w:t>
      </w:r>
      <w:r>
        <w:rPr>
          <w:iCs/>
          <w:sz w:val="20"/>
        </w:rPr>
        <w:t>: In the case of the Bid submitted by joint venture specify the name of the Joint Venture as Bidder</w:t>
      </w:r>
    </w:p>
    <w:p w14:paraId="46080FA9" w14:textId="77777777" w:rsidR="00157AAA" w:rsidRDefault="006C1BE5">
      <w:pPr>
        <w:tabs>
          <w:tab w:val="right" w:pos="9000"/>
        </w:tabs>
        <w:spacing w:after="0"/>
        <w:jc w:val="left"/>
        <w:rPr>
          <w:bCs/>
          <w:iCs/>
          <w:sz w:val="20"/>
        </w:rPr>
      </w:pPr>
      <w:r>
        <w:rPr>
          <w:bCs/>
          <w:iCs/>
          <w:sz w:val="20"/>
        </w:rPr>
        <w:t>**: Person signing the Bid shall have the power of attorney given by the Bidder attached to the Bid</w:t>
      </w:r>
    </w:p>
    <w:p w14:paraId="3E4DA2A2" w14:textId="77777777" w:rsidR="00157AAA" w:rsidRDefault="00157AAA">
      <w:pPr>
        <w:tabs>
          <w:tab w:val="right" w:pos="9000"/>
        </w:tabs>
        <w:spacing w:after="0"/>
        <w:jc w:val="left"/>
        <w:rPr>
          <w:bCs/>
          <w:iCs/>
          <w:sz w:val="20"/>
        </w:rPr>
      </w:pPr>
    </w:p>
    <w:p w14:paraId="4364EB55" w14:textId="77777777" w:rsidR="00157AAA" w:rsidRDefault="006C1BE5">
      <w:pPr>
        <w:tabs>
          <w:tab w:val="right" w:pos="9000"/>
        </w:tabs>
        <w:spacing w:after="0"/>
        <w:jc w:val="left"/>
        <w:rPr>
          <w:i/>
          <w:iCs/>
          <w:spacing w:val="-2"/>
          <w:sz w:val="20"/>
        </w:rPr>
      </w:pPr>
      <w:r>
        <w:rPr>
          <w:iCs/>
        </w:rPr>
        <w:t xml:space="preserve"> </w:t>
      </w:r>
      <w:r>
        <w:rPr>
          <w:i/>
          <w:iCs/>
          <w:sz w:val="20"/>
        </w:rPr>
        <w:t>[Note: In case of a Joint Venture, the Bid-Securing Declaration must be in the name of all members to the Joint Venture that submits the bid.]</w:t>
      </w:r>
    </w:p>
    <w:p w14:paraId="11A4E47D" w14:textId="77777777" w:rsidR="00157AAA" w:rsidRDefault="00157AAA">
      <w:pPr>
        <w:pStyle w:val="S4-header1"/>
        <w:rPr>
          <w:sz w:val="22"/>
        </w:rPr>
      </w:pPr>
      <w:bookmarkStart w:id="692" w:name="_Toc438266926"/>
      <w:bookmarkStart w:id="693" w:name="_Toc438267900"/>
      <w:bookmarkStart w:id="694" w:name="_Toc438366668"/>
    </w:p>
    <w:p w14:paraId="455F52EB" w14:textId="77777777" w:rsidR="00157AAA" w:rsidRDefault="00157AAA">
      <w:pPr>
        <w:sectPr w:rsidR="00157AAA" w:rsidSect="00734667">
          <w:headerReference w:type="default" r:id="rId64"/>
          <w:footnotePr>
            <w:numRestart w:val="eachSect"/>
          </w:footnotePr>
          <w:pgSz w:w="12240" w:h="15840"/>
          <w:pgMar w:top="1440" w:right="1800" w:bottom="1440" w:left="1440" w:header="720" w:footer="720" w:gutter="0"/>
          <w:cols w:space="720"/>
          <w:docGrid w:linePitch="360"/>
        </w:sectPr>
      </w:pPr>
    </w:p>
    <w:p w14:paraId="74FCDDC1" w14:textId="77777777" w:rsidR="00157AAA" w:rsidRDefault="006C1BE5">
      <w:pPr>
        <w:pStyle w:val="Head02"/>
      </w:pPr>
      <w:bookmarkStart w:id="695" w:name="_Toc41971245"/>
      <w:bookmarkStart w:id="696" w:name="_Toc125954069"/>
      <w:bookmarkStart w:id="697" w:name="_Toc197840924"/>
      <w:bookmarkStart w:id="698" w:name="_Toc73977453"/>
      <w:r>
        <w:rPr>
          <w:rFonts w:ascii="Times New Roman" w:hAnsi="Times New Roman"/>
        </w:rPr>
        <w:lastRenderedPageBreak/>
        <w:t>Section V - Eligible Countries</w:t>
      </w:r>
      <w:bookmarkEnd w:id="692"/>
      <w:bookmarkEnd w:id="693"/>
      <w:bookmarkEnd w:id="694"/>
      <w:bookmarkEnd w:id="695"/>
      <w:bookmarkEnd w:id="696"/>
      <w:bookmarkEnd w:id="697"/>
      <w:bookmarkEnd w:id="698"/>
    </w:p>
    <w:p w14:paraId="23D433E5" w14:textId="77777777" w:rsidR="00157AAA" w:rsidRDefault="00157AAA">
      <w:pPr>
        <w:jc w:val="center"/>
        <w:rPr>
          <w:b/>
        </w:rPr>
      </w:pPr>
    </w:p>
    <w:p w14:paraId="1ED7988F" w14:textId="77777777" w:rsidR="00157AAA" w:rsidRDefault="006C1BE5">
      <w:pPr>
        <w:spacing w:after="0"/>
        <w:jc w:val="center"/>
        <w:rPr>
          <w:b/>
        </w:rPr>
      </w:pPr>
      <w:r>
        <w:rPr>
          <w:b/>
        </w:rPr>
        <w:t>Eligibility for the Provision of Information System</w:t>
      </w:r>
    </w:p>
    <w:p w14:paraId="50045A8C" w14:textId="77777777" w:rsidR="00157AAA" w:rsidRDefault="00157AAA">
      <w:pPr>
        <w:spacing w:after="0"/>
        <w:jc w:val="center"/>
      </w:pPr>
    </w:p>
    <w:p w14:paraId="52129A54" w14:textId="77777777" w:rsidR="00157AAA" w:rsidRDefault="00157AAA">
      <w:pPr>
        <w:spacing w:after="0"/>
        <w:jc w:val="center"/>
      </w:pPr>
    </w:p>
    <w:p w14:paraId="2EB770D1" w14:textId="77777777" w:rsidR="00157AAA" w:rsidRDefault="006C1BE5">
      <w:pPr>
        <w:spacing w:after="0"/>
      </w:pPr>
      <w:r>
        <w:t>In reference to ITB 4.8 and ITB 5.1, for the information of the Bidders, at the present time firms and information systems from the following countries are excluded from this bidding process:</w:t>
      </w:r>
    </w:p>
    <w:p w14:paraId="4E6FD5C5" w14:textId="77777777" w:rsidR="00157AAA" w:rsidRDefault="00157AAA">
      <w:pPr>
        <w:spacing w:after="0"/>
        <w:ind w:left="1440" w:hanging="720"/>
      </w:pPr>
    </w:p>
    <w:p w14:paraId="3368CA39" w14:textId="77777777" w:rsidR="00157AAA" w:rsidRDefault="006C1BE5">
      <w:pPr>
        <w:tabs>
          <w:tab w:val="left" w:pos="1440"/>
        </w:tabs>
        <w:spacing w:after="0"/>
        <w:ind w:left="720"/>
        <w:jc w:val="left"/>
        <w:rPr>
          <w:i/>
          <w:iCs/>
          <w:spacing w:val="-4"/>
        </w:rPr>
      </w:pPr>
      <w:r>
        <w:rPr>
          <w:spacing w:val="-2"/>
        </w:rPr>
        <w:t>Under ITB 4.8(a) and ITB 5.1</w:t>
      </w:r>
      <w:proofErr w:type="gramStart"/>
      <w:r>
        <w:rPr>
          <w:spacing w:val="-2"/>
        </w:rPr>
        <w:t xml:space="preserve">: </w:t>
      </w:r>
      <w:r>
        <w:rPr>
          <w:i/>
          <w:iCs/>
          <w:spacing w:val="-4"/>
        </w:rPr>
        <w:t xml:space="preserve"> [</w:t>
      </w:r>
      <w:proofErr w:type="gramEnd"/>
      <w:r>
        <w:rPr>
          <w:i/>
          <w:iCs/>
          <w:spacing w:val="-4"/>
        </w:rPr>
        <w:t>insert a list of the countries following approval by the Bank to apply the restriction or state “none”].</w:t>
      </w:r>
    </w:p>
    <w:p w14:paraId="5622B683" w14:textId="77777777" w:rsidR="00157AAA" w:rsidRDefault="00157AAA">
      <w:pPr>
        <w:tabs>
          <w:tab w:val="left" w:pos="1440"/>
        </w:tabs>
        <w:spacing w:after="0"/>
        <w:ind w:left="720"/>
        <w:jc w:val="left"/>
        <w:rPr>
          <w:i/>
          <w:iCs/>
          <w:spacing w:val="-4"/>
        </w:rPr>
      </w:pPr>
    </w:p>
    <w:p w14:paraId="0CC09636" w14:textId="77777777" w:rsidR="00157AAA" w:rsidRDefault="006C1BE5">
      <w:pPr>
        <w:spacing w:after="0"/>
        <w:ind w:left="720"/>
        <w:jc w:val="left"/>
        <w:rPr>
          <w:b/>
        </w:rPr>
      </w:pPr>
      <w:r>
        <w:rPr>
          <w:spacing w:val="-7"/>
        </w:rPr>
        <w:t>Under ITB 4.8(b) and ITB 5.1:</w:t>
      </w:r>
      <w:proofErr w:type="gramStart"/>
      <w:r>
        <w:rPr>
          <w:spacing w:val="-7"/>
        </w:rPr>
        <w:tab/>
      </w:r>
      <w:r>
        <w:rPr>
          <w:i/>
          <w:iCs/>
          <w:spacing w:val="-4"/>
        </w:rPr>
        <w:t xml:space="preserve">  [</w:t>
      </w:r>
      <w:proofErr w:type="gramEnd"/>
      <w:r>
        <w:rPr>
          <w:i/>
          <w:iCs/>
          <w:spacing w:val="-4"/>
        </w:rPr>
        <w:t>insert a list of the countries following approval by the Bank to apply the restriction or state “none”]</w:t>
      </w:r>
    </w:p>
    <w:p w14:paraId="534F4831" w14:textId="77777777" w:rsidR="00157AAA" w:rsidRDefault="00157AAA">
      <w:pPr>
        <w:pStyle w:val="Footer"/>
        <w:tabs>
          <w:tab w:val="left" w:pos="-1080"/>
          <w:tab w:val="left" w:pos="-720"/>
          <w:tab w:val="left" w:pos="0"/>
          <w:tab w:val="left" w:pos="720"/>
          <w:tab w:val="left" w:pos="1440"/>
          <w:tab w:val="left" w:pos="2160"/>
          <w:tab w:val="left" w:pos="3510"/>
          <w:tab w:val="left" w:pos="5310"/>
          <w:tab w:val="left" w:pos="6480"/>
        </w:tabs>
      </w:pPr>
    </w:p>
    <w:p w14:paraId="239170F2" w14:textId="77777777" w:rsidR="00157AAA" w:rsidRDefault="00157AAA">
      <w:pPr>
        <w:pStyle w:val="Footer"/>
        <w:tabs>
          <w:tab w:val="left" w:pos="-1080"/>
          <w:tab w:val="left" w:pos="-720"/>
          <w:tab w:val="left" w:pos="0"/>
          <w:tab w:val="left" w:pos="720"/>
          <w:tab w:val="left" w:pos="1440"/>
          <w:tab w:val="left" w:pos="2160"/>
          <w:tab w:val="left" w:pos="3510"/>
          <w:tab w:val="left" w:pos="5310"/>
          <w:tab w:val="left" w:pos="6480"/>
        </w:tabs>
      </w:pPr>
    </w:p>
    <w:p w14:paraId="1DA6B208" w14:textId="77777777" w:rsidR="00157AAA" w:rsidRDefault="00157AAA"/>
    <w:p w14:paraId="1F08A6A3" w14:textId="77777777" w:rsidR="00157AAA" w:rsidRDefault="00157AAA"/>
    <w:p w14:paraId="29ED8ADE" w14:textId="77777777" w:rsidR="00157AAA" w:rsidRDefault="00157AAA"/>
    <w:p w14:paraId="18F51D59" w14:textId="77777777" w:rsidR="00157AAA" w:rsidRDefault="00157AAA"/>
    <w:p w14:paraId="0E73A9BD" w14:textId="77777777" w:rsidR="00157AAA" w:rsidRDefault="00157AAA"/>
    <w:p w14:paraId="0643794D" w14:textId="77777777" w:rsidR="00157AAA" w:rsidRDefault="00157AAA"/>
    <w:p w14:paraId="659136F1" w14:textId="77777777" w:rsidR="00157AAA" w:rsidRDefault="00157AAA"/>
    <w:p w14:paraId="0EF5AFB1" w14:textId="77777777" w:rsidR="00157AAA" w:rsidRDefault="00157AAA"/>
    <w:p w14:paraId="0B3A0D4E" w14:textId="77777777" w:rsidR="00157AAA" w:rsidRDefault="006C1BE5">
      <w:pPr>
        <w:tabs>
          <w:tab w:val="left" w:pos="5532"/>
        </w:tabs>
        <w:sectPr w:rsidR="00157AAA" w:rsidSect="00734667">
          <w:headerReference w:type="even" r:id="rId65"/>
          <w:headerReference w:type="first" r:id="rId66"/>
          <w:type w:val="oddPage"/>
          <w:pgSz w:w="12240" w:h="15840"/>
          <w:pgMar w:top="1440" w:right="1440" w:bottom="1440" w:left="1440" w:header="720" w:footer="720" w:gutter="0"/>
          <w:cols w:space="720"/>
          <w:titlePg/>
          <w:docGrid w:linePitch="360"/>
        </w:sectPr>
      </w:pPr>
      <w:r>
        <w:tab/>
      </w:r>
    </w:p>
    <w:p w14:paraId="4D1D0FEC" w14:textId="77777777" w:rsidR="00157AAA" w:rsidRDefault="006C1BE5">
      <w:pPr>
        <w:pStyle w:val="Head02"/>
        <w:rPr>
          <w:b w:val="0"/>
        </w:rPr>
      </w:pPr>
      <w:bookmarkStart w:id="699" w:name="_Toc73977454"/>
      <w:r>
        <w:rPr>
          <w:rFonts w:ascii="Times New Roman" w:hAnsi="Times New Roman"/>
        </w:rPr>
        <w:lastRenderedPageBreak/>
        <w:t>Section VI - Fraud and Corruption</w:t>
      </w:r>
      <w:bookmarkEnd w:id="699"/>
    </w:p>
    <w:p w14:paraId="6EF8BF7A" w14:textId="77777777" w:rsidR="00157AAA" w:rsidRDefault="006C1BE5">
      <w:pPr>
        <w:jc w:val="center"/>
        <w:rPr>
          <w:rFonts w:eastAsiaTheme="minorHAnsi"/>
          <w:b/>
          <w:sz w:val="28"/>
          <w:szCs w:val="28"/>
        </w:rPr>
      </w:pPr>
      <w:r>
        <w:rPr>
          <w:rFonts w:eastAsiaTheme="minorHAnsi"/>
          <w:b/>
          <w:sz w:val="28"/>
          <w:szCs w:val="28"/>
        </w:rPr>
        <w:t>(Section VI shall not be modified)</w:t>
      </w:r>
    </w:p>
    <w:p w14:paraId="57D696FE" w14:textId="77777777" w:rsidR="00157AAA" w:rsidRDefault="00157AAA">
      <w:pPr>
        <w:rPr>
          <w:rFonts w:eastAsiaTheme="minorHAnsi"/>
        </w:rPr>
      </w:pPr>
    </w:p>
    <w:p w14:paraId="5E6B68DC" w14:textId="77777777" w:rsidR="00157AAA" w:rsidRDefault="006C1BE5" w:rsidP="00D530D5">
      <w:pPr>
        <w:numPr>
          <w:ilvl w:val="0"/>
          <w:numId w:val="26"/>
        </w:numPr>
        <w:ind w:left="360"/>
        <w:rPr>
          <w:rFonts w:eastAsiaTheme="minorHAnsi"/>
          <w:b/>
          <w:szCs w:val="24"/>
        </w:rPr>
      </w:pPr>
      <w:r>
        <w:rPr>
          <w:rFonts w:eastAsiaTheme="minorHAnsi"/>
          <w:b/>
          <w:szCs w:val="24"/>
        </w:rPr>
        <w:t>Purpose</w:t>
      </w:r>
    </w:p>
    <w:p w14:paraId="59A2B0EA" w14:textId="77777777" w:rsidR="00157AAA" w:rsidRDefault="006C1BE5" w:rsidP="00D530D5">
      <w:pPr>
        <w:pStyle w:val="ListParagraph"/>
        <w:numPr>
          <w:ilvl w:val="1"/>
          <w:numId w:val="26"/>
        </w:numPr>
        <w:ind w:left="360"/>
        <w:contextualSpacing w:val="0"/>
        <w:rPr>
          <w:rFonts w:eastAsiaTheme="minorHAnsi"/>
          <w:szCs w:val="24"/>
        </w:rPr>
      </w:pPr>
      <w:r>
        <w:rPr>
          <w:rFonts w:eastAsiaTheme="minorHAnsi"/>
          <w:szCs w:val="24"/>
        </w:rPr>
        <w:t>The Bank’s Anti-Corruption Guidelines and this annex apply with respect to procurement under Bank Investment Project Financing operations.</w:t>
      </w:r>
    </w:p>
    <w:p w14:paraId="5169D78D" w14:textId="77777777" w:rsidR="00157AAA" w:rsidRDefault="006C1BE5" w:rsidP="00D530D5">
      <w:pPr>
        <w:numPr>
          <w:ilvl w:val="0"/>
          <w:numId w:val="26"/>
        </w:numPr>
        <w:ind w:left="360"/>
        <w:rPr>
          <w:rFonts w:eastAsiaTheme="minorHAnsi"/>
          <w:b/>
          <w:szCs w:val="24"/>
        </w:rPr>
      </w:pPr>
      <w:r>
        <w:rPr>
          <w:rFonts w:eastAsiaTheme="minorHAnsi"/>
          <w:b/>
          <w:szCs w:val="24"/>
        </w:rPr>
        <w:t>Requirements</w:t>
      </w:r>
    </w:p>
    <w:p w14:paraId="647F0E31" w14:textId="77777777" w:rsidR="00157AAA" w:rsidRDefault="006C1BE5" w:rsidP="00D530D5">
      <w:pPr>
        <w:pStyle w:val="ListParagraph"/>
        <w:numPr>
          <w:ilvl w:val="0"/>
          <w:numId w:val="30"/>
        </w:numPr>
        <w:contextualSpacing w:val="0"/>
        <w:rPr>
          <w:rFonts w:eastAsiaTheme="minorHAnsi"/>
          <w:szCs w:val="24"/>
        </w:rPr>
      </w:pPr>
      <w:r>
        <w:rPr>
          <w:rFonts w:eastAsiaTheme="minorHAnsi"/>
          <w:color w:val="000000"/>
          <w:szCs w:val="24"/>
        </w:rPr>
        <w:t xml:space="preserve">The Bank requires that Borrowers (including beneficiaries of Bank financing); bidders </w:t>
      </w:r>
      <w:r>
        <w:rPr>
          <w:rFonts w:eastAsiaTheme="minorHAnsi"/>
          <w:color w:val="000000"/>
        </w:rPr>
        <w:t>(applicants/proposers)</w:t>
      </w:r>
      <w:r>
        <w:rPr>
          <w:rFonts w:eastAsiaTheme="minorHAnsi"/>
          <w:color w:val="000000"/>
          <w:szCs w:val="24"/>
        </w:rPr>
        <w:t xml:space="preserve">, consultants, </w:t>
      </w:r>
      <w:proofErr w:type="gramStart"/>
      <w:r>
        <w:rPr>
          <w:rFonts w:eastAsiaTheme="minorHAnsi"/>
          <w:color w:val="000000"/>
          <w:szCs w:val="24"/>
        </w:rPr>
        <w:t>contractors</w:t>
      </w:r>
      <w:proofErr w:type="gramEnd"/>
      <w:r>
        <w:rPr>
          <w:rFonts w:eastAsiaTheme="minorHAnsi"/>
          <w:color w:val="000000"/>
          <w:szCs w:val="24"/>
        </w:rPr>
        <w:t xml:space="preserve">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7950630F" w14:textId="77777777" w:rsidR="00157AAA" w:rsidRDefault="006C1BE5" w:rsidP="00D530D5">
      <w:pPr>
        <w:pStyle w:val="ListParagraph"/>
        <w:numPr>
          <w:ilvl w:val="0"/>
          <w:numId w:val="30"/>
        </w:numPr>
        <w:contextualSpacing w:val="0"/>
        <w:rPr>
          <w:rFonts w:eastAsiaTheme="minorHAnsi"/>
          <w:szCs w:val="24"/>
        </w:rPr>
      </w:pPr>
      <w:r>
        <w:rPr>
          <w:rFonts w:eastAsiaTheme="minorHAnsi"/>
          <w:szCs w:val="24"/>
        </w:rPr>
        <w:t>To this end, the Bank:</w:t>
      </w:r>
    </w:p>
    <w:p w14:paraId="1BF540EB" w14:textId="77777777" w:rsidR="00157AAA" w:rsidRDefault="006C1BE5" w:rsidP="00D530D5">
      <w:pPr>
        <w:numPr>
          <w:ilvl w:val="0"/>
          <w:numId w:val="27"/>
        </w:numPr>
        <w:rPr>
          <w:rFonts w:eastAsiaTheme="minorHAnsi"/>
          <w:color w:val="000000"/>
          <w:szCs w:val="24"/>
        </w:rPr>
      </w:pPr>
      <w:r>
        <w:rPr>
          <w:rFonts w:eastAsiaTheme="minorHAnsi"/>
          <w:color w:val="000000"/>
          <w:szCs w:val="24"/>
        </w:rPr>
        <w:t>Defines, for the purposes of this provision, the terms set forth below as follows:</w:t>
      </w:r>
    </w:p>
    <w:p w14:paraId="2AC844A0" w14:textId="77777777" w:rsidR="00157AAA" w:rsidRDefault="006C1BE5" w:rsidP="00D530D5">
      <w:pPr>
        <w:numPr>
          <w:ilvl w:val="0"/>
          <w:numId w:val="28"/>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corrupt</w:t>
      </w:r>
      <w:proofErr w:type="gramEnd"/>
      <w:r>
        <w:rPr>
          <w:rFonts w:eastAsiaTheme="minorHAnsi"/>
          <w:color w:val="000000"/>
          <w:szCs w:val="24"/>
        </w:rPr>
        <w:t xml:space="preserve"> practice” is the offering, giving, receiving, or soliciting, directly or indirectly, of anything of value to influence improperly the actions of another party;</w:t>
      </w:r>
    </w:p>
    <w:p w14:paraId="5FFD6C04" w14:textId="77777777" w:rsidR="00157AAA" w:rsidRDefault="006C1BE5" w:rsidP="00D530D5">
      <w:pPr>
        <w:numPr>
          <w:ilvl w:val="0"/>
          <w:numId w:val="28"/>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fraudulent</w:t>
      </w:r>
      <w:proofErr w:type="gramEnd"/>
      <w:r>
        <w:rPr>
          <w:rFonts w:eastAsiaTheme="minorHAnsi"/>
          <w:color w:val="000000"/>
          <w:szCs w:val="24"/>
        </w:rPr>
        <w:t xml:space="preserve"> practice” is any act or omission, including misrepresentation, that knowingly or recklessly misleads, or attempts to mislead, a party to obtain financial or other benefit or to avoid an obligation;</w:t>
      </w:r>
    </w:p>
    <w:p w14:paraId="1825B0A5" w14:textId="77777777" w:rsidR="00157AAA" w:rsidRDefault="006C1BE5" w:rsidP="00D530D5">
      <w:pPr>
        <w:numPr>
          <w:ilvl w:val="0"/>
          <w:numId w:val="28"/>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collusive</w:t>
      </w:r>
      <w:proofErr w:type="gramEnd"/>
      <w:r>
        <w:rPr>
          <w:rFonts w:eastAsiaTheme="minorHAnsi"/>
          <w:color w:val="000000"/>
          <w:szCs w:val="24"/>
        </w:rPr>
        <w:t xml:space="preserve"> practice” is an arrangement between two or more parties designed to achieve an improper purpose, including to influence improperly the actions of another party;</w:t>
      </w:r>
    </w:p>
    <w:p w14:paraId="78F65F96" w14:textId="77777777" w:rsidR="00157AAA" w:rsidRDefault="006C1BE5" w:rsidP="00D530D5">
      <w:pPr>
        <w:numPr>
          <w:ilvl w:val="0"/>
          <w:numId w:val="28"/>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coercive</w:t>
      </w:r>
      <w:proofErr w:type="gramEnd"/>
      <w:r>
        <w:rPr>
          <w:rFonts w:eastAsiaTheme="minorHAnsi"/>
          <w:color w:val="000000"/>
          <w:szCs w:val="24"/>
        </w:rPr>
        <w:t xml:space="preserve"> practice” is impairing or harming, or threatening to impair or harm, directly or indirectly, any party or the property of the party to influence improperly the actions of a party;</w:t>
      </w:r>
    </w:p>
    <w:p w14:paraId="1EBDFFCB" w14:textId="77777777" w:rsidR="00157AAA" w:rsidRDefault="006C1BE5" w:rsidP="00D530D5">
      <w:pPr>
        <w:numPr>
          <w:ilvl w:val="0"/>
          <w:numId w:val="28"/>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obstructive</w:t>
      </w:r>
      <w:proofErr w:type="gramEnd"/>
      <w:r>
        <w:rPr>
          <w:rFonts w:eastAsiaTheme="minorHAnsi"/>
          <w:color w:val="000000"/>
          <w:szCs w:val="24"/>
        </w:rPr>
        <w:t xml:space="preserve"> practice” is:</w:t>
      </w:r>
    </w:p>
    <w:p w14:paraId="7A0AE3C9" w14:textId="77777777" w:rsidR="00157AAA" w:rsidRDefault="006C1BE5" w:rsidP="00D530D5">
      <w:pPr>
        <w:numPr>
          <w:ilvl w:val="0"/>
          <w:numId w:val="29"/>
        </w:numPr>
        <w:ind w:left="1890" w:hanging="540"/>
        <w:rPr>
          <w:rFonts w:eastAsiaTheme="minorHAnsi"/>
          <w:color w:val="000000"/>
          <w:szCs w:val="24"/>
        </w:rPr>
      </w:pPr>
      <w:r>
        <w:rPr>
          <w:rFonts w:eastAsiaTheme="minorHAnsi"/>
          <w:color w:val="000000"/>
          <w:szCs w:val="24"/>
        </w:rPr>
        <w:t xml:space="preserve">deliberately destroying, falsifying, altering, or concealing of evidence material to the investigation or making false statements to investigators </w:t>
      </w:r>
      <w:proofErr w:type="gramStart"/>
      <w:r>
        <w:rPr>
          <w:rFonts w:eastAsiaTheme="minorHAnsi"/>
          <w:color w:val="000000"/>
          <w:szCs w:val="24"/>
        </w:rPr>
        <w:t>in order to</w:t>
      </w:r>
      <w:proofErr w:type="gramEnd"/>
      <w:r>
        <w:rPr>
          <w:rFonts w:eastAsiaTheme="minorHAnsi"/>
          <w:color w:val="000000"/>
          <w:szCs w:val="24"/>
        </w:rPr>
        <w:t xml:space="preserve">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0ED19C72" w14:textId="77777777" w:rsidR="00157AAA" w:rsidRDefault="006C1BE5" w:rsidP="00D530D5">
      <w:pPr>
        <w:numPr>
          <w:ilvl w:val="0"/>
          <w:numId w:val="29"/>
        </w:numPr>
        <w:ind w:left="1890" w:hanging="540"/>
        <w:rPr>
          <w:rFonts w:eastAsiaTheme="minorHAnsi"/>
          <w:color w:val="000000"/>
          <w:szCs w:val="24"/>
        </w:rPr>
      </w:pPr>
      <w:r>
        <w:rPr>
          <w:rFonts w:eastAsiaTheme="minorHAnsi"/>
          <w:color w:val="000000"/>
          <w:szCs w:val="24"/>
        </w:rPr>
        <w:t>acts intended to materially impede the exercise of the Bank’s inspection and audit rights provided for under paragraph 2.2 e. below.</w:t>
      </w:r>
    </w:p>
    <w:p w14:paraId="1A6B6FCC" w14:textId="77777777" w:rsidR="00157AAA" w:rsidRDefault="006C1BE5" w:rsidP="00D530D5">
      <w:pPr>
        <w:numPr>
          <w:ilvl w:val="0"/>
          <w:numId w:val="27"/>
        </w:numPr>
        <w:rPr>
          <w:rFonts w:eastAsiaTheme="minorHAnsi"/>
          <w:color w:val="000000"/>
          <w:szCs w:val="24"/>
        </w:rPr>
      </w:pPr>
      <w:r>
        <w:rPr>
          <w:rFonts w:eastAsiaTheme="minorHAnsi"/>
          <w:color w:val="000000"/>
          <w:szCs w:val="24"/>
        </w:rPr>
        <w:t>Rejects a proposal for award if the Bank determines that the firm or individual recommended for award, any of its personnel, or its agents, or its sub-consultants, sub-</w:t>
      </w:r>
      <w:r>
        <w:rPr>
          <w:rFonts w:eastAsiaTheme="minorHAnsi"/>
          <w:color w:val="000000"/>
          <w:szCs w:val="24"/>
        </w:rPr>
        <w:lastRenderedPageBreak/>
        <w:t xml:space="preserve">contractors, service providers, suppliers and/ or their employees, has, directly or indirectly, engaged in corrupt, fraudulent, collusive, coercive, or obstructive practices in competing for the contract in </w:t>
      </w:r>
      <w:proofErr w:type="gramStart"/>
      <w:r>
        <w:rPr>
          <w:rFonts w:eastAsiaTheme="minorHAnsi"/>
          <w:color w:val="000000"/>
          <w:szCs w:val="24"/>
        </w:rPr>
        <w:t>question;</w:t>
      </w:r>
      <w:proofErr w:type="gramEnd"/>
    </w:p>
    <w:p w14:paraId="26ACA94C" w14:textId="77777777" w:rsidR="00157AAA" w:rsidRDefault="006C1BE5" w:rsidP="00D530D5">
      <w:pPr>
        <w:numPr>
          <w:ilvl w:val="0"/>
          <w:numId w:val="27"/>
        </w:numPr>
        <w:rPr>
          <w:rFonts w:eastAsiaTheme="minorHAnsi"/>
          <w:szCs w:val="24"/>
        </w:rPr>
      </w:pPr>
      <w:r>
        <w:rPr>
          <w:rFonts w:eastAsiaTheme="minorHAnsi"/>
          <w:color w:val="000000"/>
          <w:szCs w:val="24"/>
        </w:rPr>
        <w:t xml:space="preserve">In addition to the legal remedies set out in the relevant Legal Agreement, may take other appropriate actions, including declaring </w:t>
      </w:r>
      <w:proofErr w:type="spellStart"/>
      <w:r>
        <w:rPr>
          <w:rFonts w:eastAsiaTheme="minorHAnsi"/>
          <w:color w:val="000000"/>
          <w:szCs w:val="24"/>
        </w:rPr>
        <w:t>misprocurement</w:t>
      </w:r>
      <w:proofErr w:type="spellEnd"/>
      <w:r>
        <w:rPr>
          <w:rFonts w:eastAsiaTheme="minorHAnsi"/>
          <w:color w:val="000000"/>
          <w:szCs w:val="24"/>
        </w:rPr>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48E78753" w14:textId="77777777" w:rsidR="00157AAA" w:rsidRDefault="006C1BE5" w:rsidP="00D530D5">
      <w:pPr>
        <w:numPr>
          <w:ilvl w:val="0"/>
          <w:numId w:val="27"/>
        </w:numPr>
        <w:rPr>
          <w:rFonts w:eastAsiaTheme="minorHAnsi"/>
          <w:color w:val="000000"/>
          <w:szCs w:val="24"/>
        </w:rPr>
      </w:pPr>
      <w:r>
        <w:rPr>
          <w:rFonts w:eastAsiaTheme="minorHAnsi"/>
          <w:color w:val="000000"/>
          <w:szCs w:val="24"/>
        </w:rPr>
        <w:t>Pursuant to the Bank’s Anti-Corruption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Pr>
          <w:rFonts w:eastAsiaTheme="minorHAnsi"/>
          <w:color w:val="000000"/>
          <w:szCs w:val="24"/>
        </w:rPr>
        <w:t>i</w:t>
      </w:r>
      <w:proofErr w:type="spellEnd"/>
      <w:r>
        <w:rPr>
          <w:rFonts w:eastAsiaTheme="minorHAnsi"/>
          <w:color w:val="000000"/>
          <w:szCs w:val="24"/>
        </w:rPr>
        <w:t>) to be awarded or otherwise benefit from a Bank-financed contract, financially or in any other manner;</w:t>
      </w:r>
      <w:r>
        <w:rPr>
          <w:rStyle w:val="FootnoteReference"/>
          <w:rFonts w:eastAsiaTheme="minorHAnsi"/>
          <w:color w:val="000000"/>
          <w:sz w:val="24"/>
          <w:szCs w:val="24"/>
        </w:rPr>
        <w:footnoteReference w:id="10"/>
      </w:r>
      <w:r>
        <w:rPr>
          <w:rFonts w:eastAsiaTheme="minorHAnsi"/>
          <w:color w:val="000000"/>
          <w:szCs w:val="24"/>
        </w:rPr>
        <w:t xml:space="preserve"> (ii) to be a nominated</w:t>
      </w:r>
      <w:r>
        <w:rPr>
          <w:rStyle w:val="FootnoteReference"/>
          <w:rFonts w:eastAsiaTheme="minorHAnsi"/>
          <w:color w:val="000000"/>
          <w:sz w:val="24"/>
          <w:szCs w:val="24"/>
        </w:rPr>
        <w:footnoteReference w:id="11"/>
      </w:r>
      <w:r>
        <w:rPr>
          <w:rFonts w:eastAsiaTheme="minorHAnsi"/>
          <w:color w:val="000000"/>
          <w:szCs w:val="24"/>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587CD685" w14:textId="77777777" w:rsidR="00157AAA" w:rsidRDefault="006C1BE5" w:rsidP="00D530D5">
      <w:pPr>
        <w:pStyle w:val="ListParagraph"/>
        <w:numPr>
          <w:ilvl w:val="0"/>
          <w:numId w:val="27"/>
        </w:numPr>
        <w:contextualSpacing w:val="0"/>
      </w:pPr>
      <w:r>
        <w:rPr>
          <w:rFonts w:eastAsiaTheme="minorHAnsi"/>
          <w:color w:val="000000"/>
          <w:szCs w:val="24"/>
        </w:rPr>
        <w:t>Requires that a clause be included in bidding/request for proposals documents and in contracts financed by a Bank loan, requiring (</w:t>
      </w:r>
      <w:proofErr w:type="spellStart"/>
      <w:r>
        <w:rPr>
          <w:rFonts w:eastAsiaTheme="minorHAnsi"/>
          <w:color w:val="000000"/>
          <w:szCs w:val="24"/>
        </w:rPr>
        <w:t>i</w:t>
      </w:r>
      <w:proofErr w:type="spellEnd"/>
      <w:r>
        <w:rPr>
          <w:rFonts w:eastAsiaTheme="minorHAnsi"/>
          <w:color w:val="000000"/>
          <w:szCs w:val="24"/>
        </w:rPr>
        <w:t xml:space="preserve">) bidders </w:t>
      </w:r>
      <w:r>
        <w:rPr>
          <w:rFonts w:eastAsiaTheme="minorHAnsi"/>
          <w:color w:val="000000"/>
        </w:rPr>
        <w:t>(applicants/proposers)</w:t>
      </w:r>
      <w:r>
        <w:rPr>
          <w:rFonts w:eastAsiaTheme="minorHAnsi"/>
          <w:color w:val="000000"/>
          <w:szCs w:val="24"/>
        </w:rPr>
        <w:t>, consultants, contractors, and suppliers, and their sub-contractors, sub-consultants, service providers, suppliers, agents personnel, permit the Bank to inspect</w:t>
      </w:r>
      <w:r>
        <w:rPr>
          <w:rStyle w:val="FootnoteReference"/>
          <w:rFonts w:eastAsiaTheme="minorHAnsi"/>
          <w:color w:val="000000"/>
          <w:sz w:val="24"/>
          <w:szCs w:val="24"/>
        </w:rPr>
        <w:footnoteReference w:id="12"/>
      </w:r>
      <w:r>
        <w:rPr>
          <w:rFonts w:eastAsiaTheme="minorHAnsi"/>
          <w:color w:val="000000"/>
          <w:szCs w:val="24"/>
        </w:rPr>
        <w:t xml:space="preserve"> all accounts, records and other documents relating to the </w:t>
      </w:r>
      <w:r>
        <w:rPr>
          <w:rFonts w:eastAsiaTheme="minorHAnsi"/>
          <w:color w:val="000000"/>
        </w:rPr>
        <w:t>procurement process, selection and/or contract execution</w:t>
      </w:r>
      <w:r>
        <w:rPr>
          <w:rFonts w:eastAsiaTheme="minorHAnsi"/>
          <w:color w:val="000000"/>
          <w:szCs w:val="24"/>
        </w:rPr>
        <w:t>, and to have them audited by auditors appointed by the Bank.</w:t>
      </w:r>
      <w:bookmarkStart w:id="700" w:name="_Toc438529602"/>
      <w:bookmarkStart w:id="701" w:name="_Toc438725758"/>
      <w:bookmarkStart w:id="702" w:name="_Toc438817753"/>
      <w:bookmarkStart w:id="703" w:name="_Toc438954447"/>
      <w:bookmarkStart w:id="704" w:name="_Toc461939622"/>
      <w:bookmarkStart w:id="705" w:name="_Toc125954070"/>
      <w:bookmarkStart w:id="706" w:name="_Toc197840925"/>
    </w:p>
    <w:p w14:paraId="1625447E" w14:textId="77777777" w:rsidR="00157AAA" w:rsidRDefault="00157AAA">
      <w:pPr>
        <w:pStyle w:val="Head0"/>
        <w:rPr>
          <w:rFonts w:ascii="Times New Roman" w:hAnsi="Times New Roman"/>
        </w:rPr>
        <w:sectPr w:rsidR="00157AAA" w:rsidSect="00734667">
          <w:headerReference w:type="even" r:id="rId67"/>
          <w:headerReference w:type="default" r:id="rId68"/>
          <w:headerReference w:type="first" r:id="rId69"/>
          <w:footnotePr>
            <w:numRestart w:val="eachSect"/>
          </w:footnotePr>
          <w:type w:val="oddPage"/>
          <w:pgSz w:w="12240" w:h="15840"/>
          <w:pgMar w:top="1440" w:right="1440" w:bottom="1440" w:left="1440" w:header="720" w:footer="720" w:gutter="0"/>
          <w:cols w:space="720"/>
          <w:titlePg/>
          <w:docGrid w:linePitch="360"/>
        </w:sectPr>
      </w:pPr>
    </w:p>
    <w:p w14:paraId="2EC1613A" w14:textId="77777777" w:rsidR="00157AAA" w:rsidRDefault="00157AAA">
      <w:pPr>
        <w:pStyle w:val="Head0"/>
      </w:pPr>
    </w:p>
    <w:p w14:paraId="4BBBC48A" w14:textId="77777777" w:rsidR="00157AAA" w:rsidRDefault="006C1BE5">
      <w:pPr>
        <w:pStyle w:val="Head0"/>
      </w:pPr>
      <w:r>
        <w:rPr>
          <w:rFonts w:ascii="Times New Roman" w:hAnsi="Times New Roman"/>
        </w:rPr>
        <w:t>PART 2 – Purchaser’s Requirement</w:t>
      </w:r>
      <w:bookmarkEnd w:id="700"/>
      <w:bookmarkEnd w:id="701"/>
      <w:bookmarkEnd w:id="702"/>
      <w:bookmarkEnd w:id="703"/>
      <w:bookmarkEnd w:id="704"/>
      <w:r>
        <w:rPr>
          <w:rFonts w:ascii="Times New Roman" w:hAnsi="Times New Roman"/>
        </w:rPr>
        <w:t>s</w:t>
      </w:r>
      <w:bookmarkEnd w:id="705"/>
      <w:bookmarkEnd w:id="706"/>
    </w:p>
    <w:p w14:paraId="7D6FAD22" w14:textId="77777777" w:rsidR="00157AAA" w:rsidRDefault="006C1BE5">
      <w:pPr>
        <w:pStyle w:val="Head02"/>
      </w:pPr>
      <w:r>
        <w:br w:type="page" w:clear="all"/>
      </w:r>
    </w:p>
    <w:p w14:paraId="4051EABC" w14:textId="77777777" w:rsidR="00157AAA" w:rsidRDefault="006C1BE5">
      <w:pPr>
        <w:pStyle w:val="Head02"/>
        <w:rPr>
          <w:rFonts w:ascii="Times New Roman" w:hAnsi="Times New Roman"/>
        </w:rPr>
      </w:pPr>
      <w:bookmarkStart w:id="707" w:name="_Toc73977455"/>
      <w:r>
        <w:rPr>
          <w:rFonts w:ascii="Times New Roman" w:hAnsi="Times New Roman"/>
        </w:rPr>
        <w:lastRenderedPageBreak/>
        <w:t>Section VII - Requirements of the Information System</w:t>
      </w:r>
      <w:bookmarkEnd w:id="707"/>
    </w:p>
    <w:p w14:paraId="21A71207" w14:textId="77777777" w:rsidR="00157AAA" w:rsidRDefault="006C1BE5">
      <w:pPr>
        <w:jc w:val="center"/>
        <w:rPr>
          <w:rFonts w:ascii="Times New Roman Bold" w:hAnsi="Times New Roman Bold"/>
          <w:b/>
          <w:smallCaps/>
          <w:sz w:val="28"/>
          <w:szCs w:val="28"/>
        </w:rPr>
      </w:pPr>
      <w:r>
        <w:rPr>
          <w:rFonts w:ascii="Times New Roman Bold" w:hAnsi="Times New Roman Bold"/>
          <w:b/>
          <w:smallCaps/>
          <w:sz w:val="28"/>
          <w:szCs w:val="28"/>
        </w:rPr>
        <w:t xml:space="preserve">(including Technical Requirements, Implementation Schedule, System Inventory Tables, </w:t>
      </w:r>
      <w:proofErr w:type="gramStart"/>
      <w:r>
        <w:rPr>
          <w:rFonts w:ascii="Times New Roman Bold" w:hAnsi="Times New Roman Bold"/>
          <w:b/>
          <w:smallCaps/>
          <w:sz w:val="28"/>
          <w:szCs w:val="28"/>
        </w:rPr>
        <w:t>Background</w:t>
      </w:r>
      <w:proofErr w:type="gramEnd"/>
      <w:r>
        <w:rPr>
          <w:rFonts w:ascii="Times New Roman Bold" w:hAnsi="Times New Roman Bold"/>
          <w:b/>
          <w:smallCaps/>
          <w:sz w:val="28"/>
          <w:szCs w:val="28"/>
        </w:rPr>
        <w:t xml:space="preserve"> and Informational Materials)</w:t>
      </w:r>
    </w:p>
    <w:p w14:paraId="216B6751" w14:textId="77777777" w:rsidR="00157AAA" w:rsidRDefault="00157AAA">
      <w:pPr>
        <w:pStyle w:val="Subtitle2"/>
      </w:pPr>
    </w:p>
    <w:p w14:paraId="306760EC" w14:textId="77777777" w:rsidR="00157AAA" w:rsidRDefault="006C1BE5">
      <w:pPr>
        <w:jc w:val="center"/>
        <w:rPr>
          <w:b/>
          <w:sz w:val="36"/>
          <w:szCs w:val="36"/>
        </w:rPr>
      </w:pPr>
      <w:bookmarkStart w:id="708" w:name="_Toc454641235"/>
      <w:r>
        <w:rPr>
          <w:b/>
          <w:sz w:val="36"/>
          <w:szCs w:val="36"/>
        </w:rPr>
        <w:t>Technical Requirements</w:t>
      </w:r>
      <w:bookmarkEnd w:id="708"/>
    </w:p>
    <w:p w14:paraId="08FE170D" w14:textId="77777777" w:rsidR="00157AAA" w:rsidRDefault="00157AAA">
      <w:pPr>
        <w:jc w:val="center"/>
        <w:rPr>
          <w:sz w:val="22"/>
        </w:rPr>
      </w:pPr>
    </w:p>
    <w:p w14:paraId="16C714FB" w14:textId="77777777" w:rsidR="00157AAA" w:rsidRDefault="006C1BE5">
      <w:pPr>
        <w:rPr>
          <w:b/>
          <w:sz w:val="36"/>
          <w:szCs w:val="36"/>
        </w:rPr>
      </w:pPr>
      <w:r>
        <w:br w:type="page" w:clear="all"/>
      </w:r>
      <w:bookmarkStart w:id="709" w:name="_Toc454641236"/>
      <w:r>
        <w:rPr>
          <w:b/>
          <w:sz w:val="36"/>
          <w:szCs w:val="36"/>
        </w:rPr>
        <w:lastRenderedPageBreak/>
        <w:t>Technical Requirements</w:t>
      </w:r>
      <w:bookmarkEnd w:id="709"/>
    </w:p>
    <w:p w14:paraId="6E7CB10E" w14:textId="77777777" w:rsidR="00157AAA" w:rsidRDefault="00157AAA">
      <w:pPr>
        <w:pStyle w:val="explanatoryclause"/>
        <w:ind w:left="1411" w:right="0"/>
        <w:rPr>
          <w:sz w:val="24"/>
        </w:rPr>
      </w:pPr>
    </w:p>
    <w:p w14:paraId="40A1580D" w14:textId="77777777" w:rsidR="00157AAA" w:rsidRDefault="006C1BE5" w:rsidP="00D530D5">
      <w:pPr>
        <w:pStyle w:val="Heading2"/>
        <w:numPr>
          <w:ilvl w:val="0"/>
          <w:numId w:val="129"/>
        </w:numPr>
        <w:rPr>
          <w:rFonts w:ascii="Times New Roman" w:hAnsi="Times New Roman"/>
        </w:rPr>
      </w:pPr>
      <w:bookmarkStart w:id="710" w:name="_Toc521498748"/>
      <w:bookmarkStart w:id="711" w:name="_Toc215902372"/>
      <w:r>
        <w:rPr>
          <w:rFonts w:ascii="Times New Roman" w:hAnsi="Times New Roman"/>
        </w:rPr>
        <w:t>Table of Contents:  Technical Requirements</w:t>
      </w:r>
      <w:bookmarkEnd w:id="710"/>
      <w:bookmarkEnd w:id="711"/>
    </w:p>
    <w:p w14:paraId="08BBCF35" w14:textId="1DE98CAF" w:rsidR="00157AAA" w:rsidRPr="00027431" w:rsidRDefault="006C1BE5">
      <w:pPr>
        <w:pStyle w:val="TOC1"/>
        <w:rPr>
          <w:rFonts w:asciiTheme="minorHAnsi" w:eastAsiaTheme="minorEastAsia" w:hAnsiTheme="minorHAnsi" w:cstheme="minorBidi"/>
          <w:b w:val="0"/>
          <w:sz w:val="22"/>
          <w:szCs w:val="22"/>
        </w:rPr>
      </w:pPr>
      <w:r>
        <w:rPr>
          <w:b w:val="0"/>
        </w:rPr>
        <w:fldChar w:fldCharType="begin"/>
      </w:r>
      <w:r>
        <w:rPr>
          <w:b w:val="0"/>
        </w:rPr>
        <w:instrText xml:space="preserve"> TOC \h \z \t "Head 5a.1,1,Head 5a.2,2" </w:instrText>
      </w:r>
      <w:r>
        <w:rPr>
          <w:b w:val="0"/>
        </w:rPr>
        <w:fldChar w:fldCharType="separate"/>
      </w:r>
      <w:hyperlink w:anchor="_Toc145658518" w:tooltip="#_Toc145658518" w:history="1">
        <w:r>
          <w:rPr>
            <w:rStyle w:val="Hyperlink"/>
          </w:rPr>
          <w:t>A.  Acronyms Used in The Technical Requirements</w:t>
        </w:r>
        <w:r>
          <w:tab/>
        </w:r>
        <w:r>
          <w:fldChar w:fldCharType="begin"/>
        </w:r>
        <w:r>
          <w:instrText xml:space="preserve"> PAGEREF _Toc145658518 \h </w:instrText>
        </w:r>
        <w:r>
          <w:fldChar w:fldCharType="separate"/>
        </w:r>
        <w:r w:rsidR="00060F24">
          <w:rPr>
            <w:noProof/>
          </w:rPr>
          <w:t>239</w:t>
        </w:r>
        <w:r>
          <w:fldChar w:fldCharType="end"/>
        </w:r>
      </w:hyperlink>
    </w:p>
    <w:p w14:paraId="2808C79F" w14:textId="23C6E107" w:rsidR="00157AAA" w:rsidRPr="00027431" w:rsidRDefault="00000000">
      <w:pPr>
        <w:pStyle w:val="TOC2"/>
        <w:rPr>
          <w:rFonts w:asciiTheme="minorHAnsi" w:eastAsiaTheme="minorEastAsia" w:hAnsiTheme="minorHAnsi" w:cstheme="minorBidi"/>
          <w:sz w:val="22"/>
          <w:szCs w:val="22"/>
        </w:rPr>
      </w:pPr>
      <w:hyperlink w:anchor="_Toc145658519" w:tooltip="#_Toc145658519" w:history="1">
        <w:r w:rsidR="006C1BE5">
          <w:rPr>
            <w:rStyle w:val="Hyperlink"/>
          </w:rPr>
          <w:t>0.1</w:t>
        </w:r>
        <w:r w:rsidR="006C1BE5" w:rsidRPr="00027431">
          <w:rPr>
            <w:rFonts w:asciiTheme="minorHAnsi" w:eastAsiaTheme="minorEastAsia" w:hAnsiTheme="minorHAnsi" w:cstheme="minorBidi"/>
            <w:sz w:val="22"/>
            <w:szCs w:val="22"/>
          </w:rPr>
          <w:tab/>
        </w:r>
        <w:r w:rsidR="006C1BE5">
          <w:rPr>
            <w:rStyle w:val="Hyperlink"/>
          </w:rPr>
          <w:t>Acronym Table</w:t>
        </w:r>
        <w:r w:rsidR="006C1BE5">
          <w:tab/>
        </w:r>
        <w:r w:rsidR="006C1BE5">
          <w:fldChar w:fldCharType="begin"/>
        </w:r>
        <w:r w:rsidR="006C1BE5">
          <w:instrText xml:space="preserve"> PAGEREF _Toc145658519 \h </w:instrText>
        </w:r>
        <w:r w:rsidR="006C1BE5">
          <w:fldChar w:fldCharType="separate"/>
        </w:r>
        <w:r w:rsidR="00060F24">
          <w:rPr>
            <w:noProof/>
          </w:rPr>
          <w:t>239</w:t>
        </w:r>
        <w:r w:rsidR="006C1BE5">
          <w:fldChar w:fldCharType="end"/>
        </w:r>
      </w:hyperlink>
    </w:p>
    <w:p w14:paraId="73DEEE68" w14:textId="1FB3A003" w:rsidR="00157AAA" w:rsidRPr="00027431" w:rsidRDefault="00000000">
      <w:pPr>
        <w:pStyle w:val="TOC1"/>
        <w:rPr>
          <w:rFonts w:asciiTheme="minorHAnsi" w:eastAsiaTheme="minorEastAsia" w:hAnsiTheme="minorHAnsi" w:cstheme="minorBidi"/>
          <w:b w:val="0"/>
          <w:sz w:val="22"/>
          <w:szCs w:val="22"/>
        </w:rPr>
      </w:pPr>
      <w:hyperlink w:anchor="_Toc145658520" w:tooltip="#_Toc145658520" w:history="1">
        <w:r w:rsidR="006C1BE5">
          <w:rPr>
            <w:rStyle w:val="Hyperlink"/>
          </w:rPr>
          <w:t>B.  Functional, Architectural and Performance Requirements</w:t>
        </w:r>
        <w:r w:rsidR="006C1BE5">
          <w:tab/>
        </w:r>
        <w:r w:rsidR="006C1BE5">
          <w:fldChar w:fldCharType="begin"/>
        </w:r>
        <w:r w:rsidR="006C1BE5">
          <w:instrText xml:space="preserve"> PAGEREF _Toc145658520 \h </w:instrText>
        </w:r>
        <w:r w:rsidR="006C1BE5">
          <w:fldChar w:fldCharType="separate"/>
        </w:r>
        <w:r w:rsidR="00060F24">
          <w:rPr>
            <w:noProof/>
          </w:rPr>
          <w:t>242</w:t>
        </w:r>
        <w:r w:rsidR="006C1BE5">
          <w:fldChar w:fldCharType="end"/>
        </w:r>
      </w:hyperlink>
    </w:p>
    <w:p w14:paraId="4A6D0F35" w14:textId="490E5E18" w:rsidR="00157AAA" w:rsidRPr="00027431" w:rsidRDefault="00000000">
      <w:pPr>
        <w:pStyle w:val="TOC2"/>
        <w:rPr>
          <w:rFonts w:asciiTheme="minorHAnsi" w:eastAsiaTheme="minorEastAsia" w:hAnsiTheme="minorHAnsi" w:cstheme="minorBidi"/>
          <w:sz w:val="22"/>
          <w:szCs w:val="22"/>
        </w:rPr>
      </w:pPr>
      <w:hyperlink w:anchor="_Toc145658521" w:tooltip="#_Toc145658521" w:history="1">
        <w:r w:rsidR="006C1BE5">
          <w:rPr>
            <w:rStyle w:val="Hyperlink"/>
          </w:rPr>
          <w:t>1.1</w:t>
        </w:r>
        <w:r w:rsidR="006C1BE5" w:rsidRPr="00027431">
          <w:rPr>
            <w:rFonts w:asciiTheme="minorHAnsi" w:eastAsiaTheme="minorEastAsia" w:hAnsiTheme="minorHAnsi" w:cstheme="minorBidi"/>
            <w:sz w:val="22"/>
            <w:szCs w:val="22"/>
          </w:rPr>
          <w:tab/>
        </w:r>
        <w:r w:rsidR="006C1BE5">
          <w:rPr>
            <w:rStyle w:val="Hyperlink"/>
          </w:rPr>
          <w:t>Legal and Regulatory Requirements to be met by the Information System</w:t>
        </w:r>
        <w:r w:rsidR="006C1BE5">
          <w:tab/>
        </w:r>
        <w:r w:rsidR="006C1BE5">
          <w:fldChar w:fldCharType="begin"/>
        </w:r>
        <w:r w:rsidR="006C1BE5">
          <w:instrText xml:space="preserve"> PAGEREF _Toc145658521 \h </w:instrText>
        </w:r>
        <w:r w:rsidR="006C1BE5">
          <w:fldChar w:fldCharType="separate"/>
        </w:r>
        <w:r w:rsidR="00060F24">
          <w:rPr>
            <w:noProof/>
          </w:rPr>
          <w:t>242</w:t>
        </w:r>
        <w:r w:rsidR="006C1BE5">
          <w:fldChar w:fldCharType="end"/>
        </w:r>
      </w:hyperlink>
    </w:p>
    <w:p w14:paraId="54ED2ECE" w14:textId="473C91BD" w:rsidR="00157AAA" w:rsidRPr="00027431" w:rsidRDefault="00000000">
      <w:pPr>
        <w:pStyle w:val="TOC2"/>
        <w:rPr>
          <w:rFonts w:asciiTheme="minorHAnsi" w:eastAsiaTheme="minorEastAsia" w:hAnsiTheme="minorHAnsi" w:cstheme="minorBidi"/>
          <w:sz w:val="22"/>
          <w:szCs w:val="22"/>
        </w:rPr>
      </w:pPr>
      <w:hyperlink w:anchor="_Toc145658522" w:tooltip="#_Toc145658522" w:history="1">
        <w:r w:rsidR="006C1BE5">
          <w:rPr>
            <w:rStyle w:val="Hyperlink"/>
          </w:rPr>
          <w:t>1.2</w:t>
        </w:r>
        <w:r w:rsidR="006C1BE5" w:rsidRPr="00027431">
          <w:rPr>
            <w:rFonts w:asciiTheme="minorHAnsi" w:eastAsiaTheme="minorEastAsia" w:hAnsiTheme="minorHAnsi" w:cstheme="minorBidi"/>
            <w:sz w:val="22"/>
            <w:szCs w:val="22"/>
          </w:rPr>
          <w:tab/>
        </w:r>
        <w:r w:rsidR="006C1BE5">
          <w:rPr>
            <w:rStyle w:val="Hyperlink"/>
          </w:rPr>
          <w:t>Business Function Requirements to be met by the Information System</w:t>
        </w:r>
        <w:r w:rsidR="006C1BE5">
          <w:tab/>
        </w:r>
        <w:r w:rsidR="006C1BE5">
          <w:fldChar w:fldCharType="begin"/>
        </w:r>
        <w:r w:rsidR="006C1BE5">
          <w:instrText xml:space="preserve"> PAGEREF _Toc145658522 \h </w:instrText>
        </w:r>
        <w:r w:rsidR="006C1BE5">
          <w:fldChar w:fldCharType="separate"/>
        </w:r>
        <w:r w:rsidR="00060F24">
          <w:rPr>
            <w:noProof/>
          </w:rPr>
          <w:t>243</w:t>
        </w:r>
        <w:r w:rsidR="006C1BE5">
          <w:fldChar w:fldCharType="end"/>
        </w:r>
      </w:hyperlink>
    </w:p>
    <w:p w14:paraId="2A298AC6" w14:textId="79AFE363" w:rsidR="00157AAA" w:rsidRPr="00027431" w:rsidRDefault="00000000">
      <w:pPr>
        <w:pStyle w:val="TOC2"/>
        <w:rPr>
          <w:rFonts w:asciiTheme="minorHAnsi" w:eastAsiaTheme="minorEastAsia" w:hAnsiTheme="minorHAnsi" w:cstheme="minorBidi"/>
          <w:sz w:val="22"/>
          <w:szCs w:val="22"/>
        </w:rPr>
      </w:pPr>
      <w:hyperlink w:anchor="_Toc145658523" w:tooltip="#_Toc145658523" w:history="1">
        <w:r w:rsidR="006C1BE5">
          <w:rPr>
            <w:rStyle w:val="Hyperlink"/>
          </w:rPr>
          <w:t>1.3</w:t>
        </w:r>
        <w:r w:rsidR="006C1BE5" w:rsidRPr="00027431">
          <w:rPr>
            <w:rFonts w:asciiTheme="minorHAnsi" w:eastAsiaTheme="minorEastAsia" w:hAnsiTheme="minorHAnsi" w:cstheme="minorBidi"/>
            <w:sz w:val="22"/>
            <w:szCs w:val="22"/>
          </w:rPr>
          <w:tab/>
        </w:r>
        <w:r w:rsidR="006C1BE5">
          <w:rPr>
            <w:rStyle w:val="Hyperlink"/>
          </w:rPr>
          <w:t>Architectural Requirements to be met by the Information System</w:t>
        </w:r>
        <w:r w:rsidR="006C1BE5">
          <w:tab/>
        </w:r>
        <w:r w:rsidR="006C1BE5">
          <w:fldChar w:fldCharType="begin"/>
        </w:r>
        <w:r w:rsidR="006C1BE5">
          <w:instrText xml:space="preserve"> PAGEREF _Toc145658523 \h </w:instrText>
        </w:r>
        <w:r w:rsidR="006C1BE5">
          <w:fldChar w:fldCharType="separate"/>
        </w:r>
        <w:r w:rsidR="00060F24">
          <w:rPr>
            <w:noProof/>
          </w:rPr>
          <w:t>327</w:t>
        </w:r>
        <w:r w:rsidR="006C1BE5">
          <w:fldChar w:fldCharType="end"/>
        </w:r>
      </w:hyperlink>
    </w:p>
    <w:p w14:paraId="16BDA406" w14:textId="6BB34419" w:rsidR="00157AAA" w:rsidRPr="00027431" w:rsidRDefault="00000000">
      <w:pPr>
        <w:pStyle w:val="TOC2"/>
        <w:rPr>
          <w:rFonts w:asciiTheme="minorHAnsi" w:eastAsiaTheme="minorEastAsia" w:hAnsiTheme="minorHAnsi" w:cstheme="minorBidi"/>
          <w:sz w:val="22"/>
          <w:szCs w:val="22"/>
        </w:rPr>
      </w:pPr>
      <w:hyperlink w:anchor="_Toc145658525" w:tooltip="#_Toc145658525" w:history="1">
        <w:r w:rsidR="006C1BE5">
          <w:rPr>
            <w:rStyle w:val="Hyperlink"/>
            <w:bCs/>
          </w:rPr>
          <w:t>1.4</w:t>
        </w:r>
        <w:r w:rsidR="006C1BE5" w:rsidRPr="00027431">
          <w:rPr>
            <w:rFonts w:asciiTheme="minorHAnsi" w:eastAsiaTheme="minorEastAsia" w:hAnsiTheme="minorHAnsi" w:cstheme="minorBidi"/>
            <w:sz w:val="22"/>
            <w:szCs w:val="22"/>
          </w:rPr>
          <w:tab/>
        </w:r>
        <w:r w:rsidR="006C1BE5">
          <w:rPr>
            <w:rStyle w:val="Hyperlink"/>
            <w:bCs/>
          </w:rPr>
          <w:t>Systems Administration and Management Functions Required to be met by the Information System</w:t>
        </w:r>
        <w:r w:rsidR="006C1BE5">
          <w:tab/>
        </w:r>
        <w:r w:rsidR="006C1BE5">
          <w:fldChar w:fldCharType="begin"/>
        </w:r>
        <w:r w:rsidR="006C1BE5">
          <w:instrText xml:space="preserve"> PAGEREF _Toc145658525 \h </w:instrText>
        </w:r>
        <w:r w:rsidR="006C1BE5">
          <w:fldChar w:fldCharType="separate"/>
        </w:r>
        <w:r w:rsidR="00060F24">
          <w:rPr>
            <w:noProof/>
          </w:rPr>
          <w:t>351</w:t>
        </w:r>
        <w:r w:rsidR="006C1BE5">
          <w:fldChar w:fldCharType="end"/>
        </w:r>
      </w:hyperlink>
    </w:p>
    <w:p w14:paraId="044A48B5" w14:textId="57486C17" w:rsidR="00157AAA" w:rsidRPr="00027431" w:rsidRDefault="00000000">
      <w:pPr>
        <w:pStyle w:val="TOC2"/>
        <w:rPr>
          <w:rFonts w:asciiTheme="minorHAnsi" w:eastAsiaTheme="minorEastAsia" w:hAnsiTheme="minorHAnsi" w:cstheme="minorBidi"/>
          <w:sz w:val="22"/>
          <w:szCs w:val="22"/>
        </w:rPr>
      </w:pPr>
      <w:hyperlink w:anchor="_Toc145658526" w:tooltip="#_Toc145658526" w:history="1">
        <w:r w:rsidR="006C1BE5">
          <w:rPr>
            <w:rStyle w:val="Hyperlink"/>
          </w:rPr>
          <w:t>1.5</w:t>
        </w:r>
        <w:r w:rsidR="006C1BE5" w:rsidRPr="00027431">
          <w:rPr>
            <w:rFonts w:asciiTheme="minorHAnsi" w:eastAsiaTheme="minorEastAsia" w:hAnsiTheme="minorHAnsi" w:cstheme="minorBidi"/>
            <w:sz w:val="22"/>
            <w:szCs w:val="22"/>
          </w:rPr>
          <w:tab/>
        </w:r>
        <w:r w:rsidR="006C1BE5">
          <w:rPr>
            <w:rStyle w:val="Hyperlink"/>
          </w:rPr>
          <w:t>Performance Requirements of the Information System</w:t>
        </w:r>
        <w:r w:rsidR="006C1BE5">
          <w:tab/>
        </w:r>
        <w:r w:rsidR="006C1BE5">
          <w:fldChar w:fldCharType="begin"/>
        </w:r>
        <w:r w:rsidR="006C1BE5">
          <w:instrText xml:space="preserve"> PAGEREF _Toc145658526 \h </w:instrText>
        </w:r>
        <w:r w:rsidR="006C1BE5">
          <w:fldChar w:fldCharType="separate"/>
        </w:r>
        <w:r w:rsidR="00060F24">
          <w:rPr>
            <w:noProof/>
          </w:rPr>
          <w:t>352</w:t>
        </w:r>
        <w:r w:rsidR="006C1BE5">
          <w:fldChar w:fldCharType="end"/>
        </w:r>
      </w:hyperlink>
    </w:p>
    <w:p w14:paraId="30D40905" w14:textId="106795AF" w:rsidR="00157AAA" w:rsidRPr="00027431" w:rsidRDefault="00000000">
      <w:pPr>
        <w:pStyle w:val="TOC1"/>
        <w:rPr>
          <w:rFonts w:asciiTheme="minorHAnsi" w:eastAsiaTheme="minorEastAsia" w:hAnsiTheme="minorHAnsi" w:cstheme="minorBidi"/>
          <w:b w:val="0"/>
          <w:sz w:val="22"/>
          <w:szCs w:val="22"/>
        </w:rPr>
      </w:pPr>
      <w:hyperlink w:anchor="_Toc145658527" w:tooltip="#_Toc145658527" w:history="1">
        <w:r w:rsidR="006C1BE5">
          <w:rPr>
            <w:rStyle w:val="Hyperlink"/>
          </w:rPr>
          <w:t>C.  Service Specifications – Supply &amp; Install Items</w:t>
        </w:r>
        <w:r w:rsidR="006C1BE5">
          <w:tab/>
        </w:r>
        <w:r w:rsidR="006C1BE5">
          <w:fldChar w:fldCharType="begin"/>
        </w:r>
        <w:r w:rsidR="006C1BE5">
          <w:instrText xml:space="preserve"> PAGEREF _Toc145658527 \h </w:instrText>
        </w:r>
        <w:r w:rsidR="006C1BE5">
          <w:fldChar w:fldCharType="separate"/>
        </w:r>
        <w:r w:rsidR="00060F24">
          <w:rPr>
            <w:noProof/>
          </w:rPr>
          <w:t>361</w:t>
        </w:r>
        <w:r w:rsidR="006C1BE5">
          <w:fldChar w:fldCharType="end"/>
        </w:r>
      </w:hyperlink>
    </w:p>
    <w:p w14:paraId="516AC04F" w14:textId="477BDA73" w:rsidR="00157AAA" w:rsidRPr="00027431" w:rsidRDefault="00000000">
      <w:pPr>
        <w:pStyle w:val="TOC2"/>
        <w:rPr>
          <w:rFonts w:asciiTheme="minorHAnsi" w:eastAsiaTheme="minorEastAsia" w:hAnsiTheme="minorHAnsi" w:cstheme="minorBidi"/>
          <w:sz w:val="22"/>
          <w:szCs w:val="22"/>
        </w:rPr>
      </w:pPr>
      <w:hyperlink w:anchor="_Toc145658528" w:tooltip="#_Toc145658528" w:history="1">
        <w:r w:rsidR="006C1BE5">
          <w:rPr>
            <w:rStyle w:val="Hyperlink"/>
          </w:rPr>
          <w:t>2.1</w:t>
        </w:r>
        <w:r w:rsidR="006C1BE5" w:rsidRPr="00027431">
          <w:rPr>
            <w:rFonts w:asciiTheme="minorHAnsi" w:eastAsiaTheme="minorEastAsia" w:hAnsiTheme="minorHAnsi" w:cstheme="minorBidi"/>
            <w:sz w:val="22"/>
            <w:szCs w:val="22"/>
          </w:rPr>
          <w:tab/>
        </w:r>
        <w:r w:rsidR="006C1BE5">
          <w:rPr>
            <w:rStyle w:val="Hyperlink"/>
          </w:rPr>
          <w:t>System Analysis, Design and Customization/Development</w:t>
        </w:r>
        <w:r w:rsidR="006C1BE5">
          <w:tab/>
        </w:r>
        <w:r w:rsidR="006C1BE5">
          <w:fldChar w:fldCharType="begin"/>
        </w:r>
        <w:r w:rsidR="006C1BE5">
          <w:instrText xml:space="preserve"> PAGEREF _Toc145658528 \h </w:instrText>
        </w:r>
        <w:r w:rsidR="006C1BE5">
          <w:fldChar w:fldCharType="separate"/>
        </w:r>
        <w:r w:rsidR="00060F24">
          <w:rPr>
            <w:noProof/>
          </w:rPr>
          <w:t>361</w:t>
        </w:r>
        <w:r w:rsidR="006C1BE5">
          <w:fldChar w:fldCharType="end"/>
        </w:r>
      </w:hyperlink>
    </w:p>
    <w:p w14:paraId="07607915" w14:textId="75785926" w:rsidR="00157AAA" w:rsidRPr="00027431" w:rsidRDefault="00000000">
      <w:pPr>
        <w:pStyle w:val="TOC2"/>
        <w:rPr>
          <w:rFonts w:asciiTheme="minorHAnsi" w:eastAsiaTheme="minorEastAsia" w:hAnsiTheme="minorHAnsi" w:cstheme="minorBidi"/>
          <w:sz w:val="22"/>
          <w:szCs w:val="22"/>
        </w:rPr>
      </w:pPr>
      <w:hyperlink w:anchor="_Toc145658529" w:tooltip="#_Toc145658529" w:history="1">
        <w:r w:rsidR="006C1BE5">
          <w:rPr>
            <w:rStyle w:val="Hyperlink"/>
          </w:rPr>
          <w:t>2.2</w:t>
        </w:r>
        <w:r w:rsidR="006C1BE5" w:rsidRPr="00027431">
          <w:rPr>
            <w:rFonts w:asciiTheme="minorHAnsi" w:eastAsiaTheme="minorEastAsia" w:hAnsiTheme="minorHAnsi" w:cstheme="minorBidi"/>
            <w:sz w:val="22"/>
            <w:szCs w:val="22"/>
          </w:rPr>
          <w:tab/>
        </w:r>
        <w:r w:rsidR="006C1BE5">
          <w:rPr>
            <w:rStyle w:val="Hyperlink"/>
          </w:rPr>
          <w:t>Software Customization / Development</w:t>
        </w:r>
        <w:r w:rsidR="006C1BE5">
          <w:tab/>
        </w:r>
        <w:r w:rsidR="006C1BE5">
          <w:fldChar w:fldCharType="begin"/>
        </w:r>
        <w:r w:rsidR="006C1BE5">
          <w:instrText xml:space="preserve"> PAGEREF _Toc145658529 \h </w:instrText>
        </w:r>
        <w:r w:rsidR="006C1BE5">
          <w:fldChar w:fldCharType="separate"/>
        </w:r>
        <w:r w:rsidR="00060F24">
          <w:rPr>
            <w:noProof/>
          </w:rPr>
          <w:t>364</w:t>
        </w:r>
        <w:r w:rsidR="006C1BE5">
          <w:fldChar w:fldCharType="end"/>
        </w:r>
      </w:hyperlink>
    </w:p>
    <w:p w14:paraId="1B11E110" w14:textId="2500EBCF" w:rsidR="00157AAA" w:rsidRPr="00027431" w:rsidRDefault="00000000">
      <w:pPr>
        <w:pStyle w:val="TOC2"/>
        <w:rPr>
          <w:rFonts w:asciiTheme="minorHAnsi" w:eastAsiaTheme="minorEastAsia" w:hAnsiTheme="minorHAnsi" w:cstheme="minorBidi"/>
          <w:sz w:val="22"/>
          <w:szCs w:val="22"/>
        </w:rPr>
      </w:pPr>
      <w:hyperlink w:anchor="_Toc145658530" w:tooltip="#_Toc145658530" w:history="1">
        <w:r w:rsidR="006C1BE5">
          <w:rPr>
            <w:rStyle w:val="Hyperlink"/>
          </w:rPr>
          <w:t>2.3</w:t>
        </w:r>
        <w:r w:rsidR="006C1BE5" w:rsidRPr="00027431">
          <w:rPr>
            <w:rFonts w:asciiTheme="minorHAnsi" w:eastAsiaTheme="minorEastAsia" w:hAnsiTheme="minorHAnsi" w:cstheme="minorBidi"/>
            <w:sz w:val="22"/>
            <w:szCs w:val="22"/>
          </w:rPr>
          <w:tab/>
        </w:r>
        <w:r w:rsidR="006C1BE5">
          <w:rPr>
            <w:rStyle w:val="Hyperlink"/>
          </w:rPr>
          <w:t>System Integration (to other existing systems)</w:t>
        </w:r>
        <w:r w:rsidR="006C1BE5">
          <w:tab/>
        </w:r>
        <w:r w:rsidR="006C1BE5">
          <w:fldChar w:fldCharType="begin"/>
        </w:r>
        <w:r w:rsidR="006C1BE5">
          <w:instrText xml:space="preserve"> PAGEREF _Toc145658530 \h </w:instrText>
        </w:r>
        <w:r w:rsidR="006C1BE5">
          <w:fldChar w:fldCharType="separate"/>
        </w:r>
        <w:r w:rsidR="00060F24">
          <w:rPr>
            <w:noProof/>
          </w:rPr>
          <w:t>368</w:t>
        </w:r>
        <w:r w:rsidR="006C1BE5">
          <w:fldChar w:fldCharType="end"/>
        </w:r>
      </w:hyperlink>
    </w:p>
    <w:p w14:paraId="17F3F2C4" w14:textId="2F633858" w:rsidR="00157AAA" w:rsidRPr="00027431" w:rsidRDefault="00000000">
      <w:pPr>
        <w:pStyle w:val="TOC2"/>
        <w:rPr>
          <w:rFonts w:asciiTheme="minorHAnsi" w:eastAsiaTheme="minorEastAsia" w:hAnsiTheme="minorHAnsi" w:cstheme="minorBidi"/>
          <w:sz w:val="22"/>
          <w:szCs w:val="22"/>
        </w:rPr>
      </w:pPr>
      <w:hyperlink w:anchor="_Toc145658531" w:tooltip="#_Toc145658531" w:history="1">
        <w:r w:rsidR="006C1BE5">
          <w:rPr>
            <w:rStyle w:val="Hyperlink"/>
          </w:rPr>
          <w:t>2.4</w:t>
        </w:r>
        <w:r w:rsidR="006C1BE5" w:rsidRPr="00027431">
          <w:rPr>
            <w:rFonts w:asciiTheme="minorHAnsi" w:eastAsiaTheme="minorEastAsia" w:hAnsiTheme="minorHAnsi" w:cstheme="minorBidi"/>
            <w:sz w:val="22"/>
            <w:szCs w:val="22"/>
          </w:rPr>
          <w:tab/>
        </w:r>
        <w:r w:rsidR="006C1BE5">
          <w:rPr>
            <w:rStyle w:val="Hyperlink"/>
          </w:rPr>
          <w:t>Training and Training Materials</w:t>
        </w:r>
        <w:r w:rsidR="006C1BE5">
          <w:tab/>
        </w:r>
        <w:r w:rsidR="006C1BE5">
          <w:fldChar w:fldCharType="begin"/>
        </w:r>
        <w:r w:rsidR="006C1BE5">
          <w:instrText xml:space="preserve"> PAGEREF _Toc145658531 \h </w:instrText>
        </w:r>
        <w:r w:rsidR="006C1BE5">
          <w:fldChar w:fldCharType="separate"/>
        </w:r>
        <w:r w:rsidR="00060F24">
          <w:rPr>
            <w:noProof/>
          </w:rPr>
          <w:t>368</w:t>
        </w:r>
        <w:r w:rsidR="006C1BE5">
          <w:fldChar w:fldCharType="end"/>
        </w:r>
      </w:hyperlink>
    </w:p>
    <w:p w14:paraId="04B4F56A" w14:textId="0C756123" w:rsidR="00157AAA" w:rsidRPr="00027431" w:rsidRDefault="00000000">
      <w:pPr>
        <w:pStyle w:val="TOC2"/>
        <w:rPr>
          <w:rFonts w:asciiTheme="minorHAnsi" w:eastAsiaTheme="minorEastAsia" w:hAnsiTheme="minorHAnsi" w:cstheme="minorBidi"/>
          <w:sz w:val="22"/>
          <w:szCs w:val="22"/>
        </w:rPr>
      </w:pPr>
      <w:hyperlink w:anchor="_Toc145658532" w:tooltip="#_Toc145658532" w:history="1">
        <w:r w:rsidR="006C1BE5">
          <w:rPr>
            <w:rStyle w:val="Hyperlink"/>
          </w:rPr>
          <w:t>2.5</w:t>
        </w:r>
        <w:r w:rsidR="006C1BE5" w:rsidRPr="00027431">
          <w:rPr>
            <w:rFonts w:asciiTheme="minorHAnsi" w:eastAsiaTheme="minorEastAsia" w:hAnsiTheme="minorHAnsi" w:cstheme="minorBidi"/>
            <w:sz w:val="22"/>
            <w:szCs w:val="22"/>
          </w:rPr>
          <w:tab/>
        </w:r>
        <w:r w:rsidR="006C1BE5">
          <w:rPr>
            <w:rStyle w:val="Hyperlink"/>
          </w:rPr>
          <w:t>Data Conversion and Migration</w:t>
        </w:r>
        <w:r w:rsidR="006C1BE5">
          <w:tab/>
        </w:r>
        <w:r w:rsidR="006C1BE5">
          <w:fldChar w:fldCharType="begin"/>
        </w:r>
        <w:r w:rsidR="006C1BE5">
          <w:instrText xml:space="preserve"> PAGEREF _Toc145658532 \h </w:instrText>
        </w:r>
        <w:r w:rsidR="006C1BE5">
          <w:fldChar w:fldCharType="separate"/>
        </w:r>
        <w:r w:rsidR="00060F24">
          <w:rPr>
            <w:noProof/>
          </w:rPr>
          <w:t>368</w:t>
        </w:r>
        <w:r w:rsidR="006C1BE5">
          <w:fldChar w:fldCharType="end"/>
        </w:r>
      </w:hyperlink>
    </w:p>
    <w:p w14:paraId="2D379D6E" w14:textId="0E1C350A" w:rsidR="00157AAA" w:rsidRPr="00027431" w:rsidRDefault="00000000">
      <w:pPr>
        <w:pStyle w:val="TOC2"/>
        <w:rPr>
          <w:rFonts w:asciiTheme="minorHAnsi" w:eastAsiaTheme="minorEastAsia" w:hAnsiTheme="minorHAnsi" w:cstheme="minorBidi"/>
          <w:sz w:val="22"/>
          <w:szCs w:val="22"/>
        </w:rPr>
      </w:pPr>
      <w:hyperlink w:anchor="_Toc145658533" w:tooltip="#_Toc145658533" w:history="1">
        <w:r w:rsidR="006C1BE5">
          <w:rPr>
            <w:rStyle w:val="Hyperlink"/>
          </w:rPr>
          <w:t>2.6</w:t>
        </w:r>
        <w:r w:rsidR="006C1BE5" w:rsidRPr="00027431">
          <w:rPr>
            <w:rFonts w:asciiTheme="minorHAnsi" w:eastAsiaTheme="minorEastAsia" w:hAnsiTheme="minorHAnsi" w:cstheme="minorBidi"/>
            <w:sz w:val="22"/>
            <w:szCs w:val="22"/>
          </w:rPr>
          <w:tab/>
        </w:r>
        <w:r w:rsidR="006C1BE5">
          <w:rPr>
            <w:rStyle w:val="Hyperlink"/>
          </w:rPr>
          <w:t>Documentation Requirements</w:t>
        </w:r>
        <w:r w:rsidR="006C1BE5">
          <w:tab/>
        </w:r>
        <w:r w:rsidR="006C1BE5">
          <w:fldChar w:fldCharType="begin"/>
        </w:r>
        <w:r w:rsidR="006C1BE5">
          <w:instrText xml:space="preserve"> PAGEREF _Toc145658533 \h </w:instrText>
        </w:r>
        <w:r w:rsidR="006C1BE5">
          <w:fldChar w:fldCharType="separate"/>
        </w:r>
        <w:r w:rsidR="00060F24">
          <w:rPr>
            <w:noProof/>
          </w:rPr>
          <w:t>368</w:t>
        </w:r>
        <w:r w:rsidR="006C1BE5">
          <w:fldChar w:fldCharType="end"/>
        </w:r>
      </w:hyperlink>
    </w:p>
    <w:p w14:paraId="7E9DB754" w14:textId="7CD00AD1" w:rsidR="00157AAA" w:rsidRPr="00027431" w:rsidRDefault="00000000">
      <w:pPr>
        <w:pStyle w:val="TOC1"/>
        <w:rPr>
          <w:rFonts w:asciiTheme="minorHAnsi" w:eastAsiaTheme="minorEastAsia" w:hAnsiTheme="minorHAnsi" w:cstheme="minorBidi"/>
          <w:b w:val="0"/>
          <w:sz w:val="22"/>
          <w:szCs w:val="22"/>
        </w:rPr>
      </w:pPr>
      <w:hyperlink w:anchor="_Toc145658535" w:tooltip="#_Toc145658535" w:history="1">
        <w:r w:rsidR="006C1BE5">
          <w:rPr>
            <w:rStyle w:val="Hyperlink"/>
          </w:rPr>
          <w:t>D.  Technology Specifications – Supply &amp; Install Items</w:t>
        </w:r>
        <w:r w:rsidR="006C1BE5">
          <w:tab/>
        </w:r>
        <w:r w:rsidR="006C1BE5">
          <w:fldChar w:fldCharType="begin"/>
        </w:r>
        <w:r w:rsidR="006C1BE5">
          <w:instrText xml:space="preserve"> PAGEREF _Toc145658535 \h </w:instrText>
        </w:r>
        <w:r w:rsidR="006C1BE5">
          <w:fldChar w:fldCharType="separate"/>
        </w:r>
        <w:r w:rsidR="00060F24">
          <w:rPr>
            <w:noProof/>
          </w:rPr>
          <w:t>368</w:t>
        </w:r>
        <w:r w:rsidR="006C1BE5">
          <w:fldChar w:fldCharType="end"/>
        </w:r>
      </w:hyperlink>
    </w:p>
    <w:p w14:paraId="038EFFF7" w14:textId="543BDF72" w:rsidR="00157AAA" w:rsidRPr="00027431" w:rsidRDefault="00000000">
      <w:pPr>
        <w:pStyle w:val="TOC2"/>
        <w:rPr>
          <w:rFonts w:asciiTheme="minorHAnsi" w:eastAsiaTheme="minorEastAsia" w:hAnsiTheme="minorHAnsi" w:cstheme="minorBidi"/>
          <w:sz w:val="22"/>
          <w:szCs w:val="22"/>
        </w:rPr>
      </w:pPr>
      <w:hyperlink w:anchor="_Toc145658536" w:tooltip="#_Toc145658536" w:history="1">
        <w:r w:rsidR="006C1BE5">
          <w:rPr>
            <w:rStyle w:val="Hyperlink"/>
          </w:rPr>
          <w:t>3.0</w:t>
        </w:r>
        <w:r w:rsidR="006C1BE5" w:rsidRPr="00027431">
          <w:rPr>
            <w:rFonts w:asciiTheme="minorHAnsi" w:eastAsiaTheme="minorEastAsia" w:hAnsiTheme="minorHAnsi" w:cstheme="minorBidi"/>
            <w:sz w:val="22"/>
            <w:szCs w:val="22"/>
          </w:rPr>
          <w:tab/>
        </w:r>
        <w:r w:rsidR="006C1BE5">
          <w:rPr>
            <w:rStyle w:val="Hyperlink"/>
          </w:rPr>
          <w:t>General Technical Requirements</w:t>
        </w:r>
        <w:r w:rsidR="006C1BE5">
          <w:tab/>
        </w:r>
        <w:r w:rsidR="006C1BE5">
          <w:fldChar w:fldCharType="begin"/>
        </w:r>
        <w:r w:rsidR="006C1BE5">
          <w:instrText xml:space="preserve"> PAGEREF _Toc145658536 \h </w:instrText>
        </w:r>
        <w:r w:rsidR="006C1BE5">
          <w:fldChar w:fldCharType="separate"/>
        </w:r>
        <w:r w:rsidR="00060F24">
          <w:rPr>
            <w:noProof/>
          </w:rPr>
          <w:t>368</w:t>
        </w:r>
        <w:r w:rsidR="006C1BE5">
          <w:fldChar w:fldCharType="end"/>
        </w:r>
      </w:hyperlink>
    </w:p>
    <w:p w14:paraId="1FFE5051" w14:textId="17F80B6F" w:rsidR="00157AAA" w:rsidRPr="00027431" w:rsidRDefault="00000000">
      <w:pPr>
        <w:pStyle w:val="TOC2"/>
        <w:rPr>
          <w:rFonts w:asciiTheme="minorHAnsi" w:eastAsiaTheme="minorEastAsia" w:hAnsiTheme="minorHAnsi" w:cstheme="minorBidi"/>
          <w:sz w:val="22"/>
          <w:szCs w:val="22"/>
        </w:rPr>
      </w:pPr>
      <w:hyperlink w:anchor="_Toc145658537" w:tooltip="#_Toc145658537" w:history="1">
        <w:r w:rsidR="006C1BE5">
          <w:rPr>
            <w:rStyle w:val="Hyperlink"/>
          </w:rPr>
          <w:t>3.1</w:t>
        </w:r>
        <w:r w:rsidR="006C1BE5" w:rsidRPr="00027431">
          <w:rPr>
            <w:rFonts w:asciiTheme="minorHAnsi" w:eastAsiaTheme="minorEastAsia" w:hAnsiTheme="minorHAnsi" w:cstheme="minorBidi"/>
            <w:sz w:val="22"/>
            <w:szCs w:val="22"/>
          </w:rPr>
          <w:tab/>
        </w:r>
        <w:r w:rsidR="006C1BE5">
          <w:rPr>
            <w:rStyle w:val="Hyperlink"/>
          </w:rPr>
          <w:t>Computing Hardware Specifications</w:t>
        </w:r>
        <w:r w:rsidR="006C1BE5">
          <w:tab/>
        </w:r>
        <w:r w:rsidR="006C1BE5">
          <w:fldChar w:fldCharType="begin"/>
        </w:r>
        <w:r w:rsidR="006C1BE5">
          <w:instrText xml:space="preserve"> PAGEREF _Toc145658537 \h </w:instrText>
        </w:r>
        <w:r w:rsidR="006C1BE5">
          <w:fldChar w:fldCharType="separate"/>
        </w:r>
        <w:r w:rsidR="00060F24">
          <w:rPr>
            <w:noProof/>
          </w:rPr>
          <w:t>368</w:t>
        </w:r>
        <w:r w:rsidR="006C1BE5">
          <w:fldChar w:fldCharType="end"/>
        </w:r>
      </w:hyperlink>
    </w:p>
    <w:p w14:paraId="7A5C05FE" w14:textId="21DB4DD5" w:rsidR="00157AAA" w:rsidRPr="00027431" w:rsidRDefault="00000000">
      <w:pPr>
        <w:pStyle w:val="TOC1"/>
        <w:rPr>
          <w:rFonts w:asciiTheme="minorHAnsi" w:eastAsiaTheme="minorEastAsia" w:hAnsiTheme="minorHAnsi" w:cstheme="minorBidi"/>
          <w:b w:val="0"/>
          <w:sz w:val="22"/>
          <w:szCs w:val="22"/>
        </w:rPr>
      </w:pPr>
      <w:hyperlink w:anchor="_Toc145658538" w:tooltip="#_Toc145658538" w:history="1">
        <w:r w:rsidR="006C1BE5">
          <w:rPr>
            <w:rStyle w:val="Hyperlink"/>
          </w:rPr>
          <w:t>E.  Testing and Quality Assurance Requirements</w:t>
        </w:r>
        <w:r w:rsidR="006C1BE5">
          <w:tab/>
        </w:r>
        <w:r w:rsidR="006C1BE5">
          <w:fldChar w:fldCharType="begin"/>
        </w:r>
        <w:r w:rsidR="006C1BE5">
          <w:instrText xml:space="preserve"> PAGEREF _Toc145658538 \h </w:instrText>
        </w:r>
        <w:r w:rsidR="006C1BE5">
          <w:fldChar w:fldCharType="separate"/>
        </w:r>
        <w:r w:rsidR="00060F24">
          <w:rPr>
            <w:noProof/>
          </w:rPr>
          <w:t>368</w:t>
        </w:r>
        <w:r w:rsidR="006C1BE5">
          <w:fldChar w:fldCharType="end"/>
        </w:r>
      </w:hyperlink>
    </w:p>
    <w:p w14:paraId="375EE7EC" w14:textId="7545BA2B" w:rsidR="00157AAA" w:rsidRPr="00027431" w:rsidRDefault="00000000">
      <w:pPr>
        <w:pStyle w:val="TOC2"/>
        <w:rPr>
          <w:rFonts w:asciiTheme="minorHAnsi" w:eastAsiaTheme="minorEastAsia" w:hAnsiTheme="minorHAnsi" w:cstheme="minorBidi"/>
          <w:sz w:val="22"/>
          <w:szCs w:val="22"/>
        </w:rPr>
      </w:pPr>
      <w:hyperlink w:anchor="_Toc145658539" w:tooltip="#_Toc145658539" w:history="1">
        <w:r w:rsidR="006C1BE5">
          <w:rPr>
            <w:rStyle w:val="Hyperlink"/>
          </w:rPr>
          <w:t>4.1</w:t>
        </w:r>
        <w:r w:rsidR="006C1BE5" w:rsidRPr="00027431">
          <w:rPr>
            <w:rFonts w:asciiTheme="minorHAnsi" w:eastAsiaTheme="minorEastAsia" w:hAnsiTheme="minorHAnsi" w:cstheme="minorBidi"/>
            <w:sz w:val="22"/>
            <w:szCs w:val="22"/>
          </w:rPr>
          <w:tab/>
        </w:r>
        <w:r w:rsidR="006C1BE5">
          <w:rPr>
            <w:rStyle w:val="Hyperlink"/>
          </w:rPr>
          <w:t>Testing</w:t>
        </w:r>
        <w:r w:rsidR="006C1BE5">
          <w:tab/>
        </w:r>
        <w:r w:rsidR="006C1BE5">
          <w:fldChar w:fldCharType="begin"/>
        </w:r>
        <w:r w:rsidR="006C1BE5">
          <w:instrText xml:space="preserve"> PAGEREF _Toc145658539 \h </w:instrText>
        </w:r>
        <w:r w:rsidR="006C1BE5">
          <w:fldChar w:fldCharType="separate"/>
        </w:r>
        <w:r w:rsidR="00060F24">
          <w:rPr>
            <w:noProof/>
          </w:rPr>
          <w:t>368</w:t>
        </w:r>
        <w:r w:rsidR="006C1BE5">
          <w:fldChar w:fldCharType="end"/>
        </w:r>
      </w:hyperlink>
    </w:p>
    <w:p w14:paraId="4EF40BF2" w14:textId="0F040301" w:rsidR="00157AAA" w:rsidRPr="00027431" w:rsidRDefault="00000000">
      <w:pPr>
        <w:pStyle w:val="TOC1"/>
        <w:rPr>
          <w:rFonts w:asciiTheme="minorHAnsi" w:eastAsiaTheme="minorEastAsia" w:hAnsiTheme="minorHAnsi" w:cstheme="minorBidi"/>
          <w:b w:val="0"/>
          <w:sz w:val="22"/>
          <w:szCs w:val="22"/>
        </w:rPr>
      </w:pPr>
      <w:hyperlink w:anchor="_Toc145658540" w:tooltip="#_Toc145658540" w:history="1">
        <w:r w:rsidR="006C1BE5">
          <w:rPr>
            <w:rStyle w:val="Hyperlink"/>
          </w:rPr>
          <w:t>F.  Service Specifications – Recurrent Cost Items</w:t>
        </w:r>
        <w:r w:rsidR="006C1BE5">
          <w:tab/>
        </w:r>
        <w:r w:rsidR="006C1BE5">
          <w:fldChar w:fldCharType="begin"/>
        </w:r>
        <w:r w:rsidR="006C1BE5">
          <w:instrText xml:space="preserve"> PAGEREF _Toc145658540 \h </w:instrText>
        </w:r>
        <w:r w:rsidR="006C1BE5">
          <w:fldChar w:fldCharType="separate"/>
        </w:r>
        <w:r w:rsidR="00060F24">
          <w:rPr>
            <w:noProof/>
          </w:rPr>
          <w:t>368</w:t>
        </w:r>
        <w:r w:rsidR="006C1BE5">
          <w:fldChar w:fldCharType="end"/>
        </w:r>
      </w:hyperlink>
    </w:p>
    <w:p w14:paraId="037B1A22" w14:textId="27F3E8C0" w:rsidR="00157AAA" w:rsidRPr="00206014" w:rsidRDefault="00000000">
      <w:pPr>
        <w:pStyle w:val="TOC2"/>
        <w:rPr>
          <w:rFonts w:asciiTheme="minorHAnsi" w:eastAsiaTheme="minorEastAsia" w:hAnsiTheme="minorHAnsi" w:cstheme="minorBidi"/>
          <w:sz w:val="22"/>
          <w:szCs w:val="22"/>
        </w:rPr>
      </w:pPr>
      <w:hyperlink w:anchor="_Toc145658541" w:tooltip="#_Toc145658541" w:history="1">
        <w:r w:rsidR="006C1BE5" w:rsidRPr="00206014">
          <w:rPr>
            <w:rStyle w:val="Hyperlink"/>
          </w:rPr>
          <w:t>5.2</w:t>
        </w:r>
        <w:r w:rsidR="006C1BE5" w:rsidRPr="00206014">
          <w:rPr>
            <w:rFonts w:asciiTheme="minorHAnsi" w:eastAsiaTheme="minorEastAsia" w:hAnsiTheme="minorHAnsi" w:cstheme="minorBidi"/>
            <w:sz w:val="22"/>
            <w:szCs w:val="22"/>
          </w:rPr>
          <w:tab/>
        </w:r>
        <w:r w:rsidR="006C1BE5" w:rsidRPr="00206014">
          <w:rPr>
            <w:rStyle w:val="Hyperlink"/>
          </w:rPr>
          <w:t>Technical Support</w:t>
        </w:r>
        <w:r w:rsidR="006C1BE5" w:rsidRPr="00206014">
          <w:tab/>
        </w:r>
        <w:r w:rsidR="006C1BE5" w:rsidRPr="00206014">
          <w:fldChar w:fldCharType="begin"/>
        </w:r>
        <w:r w:rsidR="006C1BE5" w:rsidRPr="00206014">
          <w:instrText xml:space="preserve"> PAGEREF _Toc145658541 \h </w:instrText>
        </w:r>
        <w:r w:rsidR="006C1BE5" w:rsidRPr="00206014">
          <w:fldChar w:fldCharType="separate"/>
        </w:r>
        <w:r w:rsidR="00060F24" w:rsidRPr="00206014">
          <w:rPr>
            <w:noProof/>
          </w:rPr>
          <w:t>368</w:t>
        </w:r>
        <w:r w:rsidR="006C1BE5" w:rsidRPr="00206014">
          <w:fldChar w:fldCharType="end"/>
        </w:r>
      </w:hyperlink>
    </w:p>
    <w:p w14:paraId="1B17233D" w14:textId="77777777" w:rsidR="00157AAA" w:rsidRDefault="006C1BE5">
      <w:pPr>
        <w:pStyle w:val="explanatoryclause"/>
        <w:tabs>
          <w:tab w:val="right" w:leader="hyphen" w:pos="8640"/>
        </w:tabs>
        <w:ind w:left="1411" w:right="0"/>
        <w:rPr>
          <w:rFonts w:ascii="Times New Roman Bold" w:hAnsi="Times New Roman Bold"/>
          <w:b/>
        </w:rPr>
      </w:pPr>
      <w:r>
        <w:rPr>
          <w:rFonts w:ascii="Times New Roman Bold" w:hAnsi="Times New Roman Bold"/>
          <w:b/>
        </w:rPr>
        <w:fldChar w:fldCharType="end"/>
      </w:r>
    </w:p>
    <w:p w14:paraId="340875DC" w14:textId="77777777" w:rsidR="00206014" w:rsidRDefault="00206014">
      <w:pPr>
        <w:pStyle w:val="explanatoryclause"/>
        <w:tabs>
          <w:tab w:val="right" w:leader="hyphen" w:pos="8640"/>
        </w:tabs>
        <w:ind w:left="1411" w:right="0"/>
        <w:rPr>
          <w:rFonts w:ascii="Times New Roman Bold" w:hAnsi="Times New Roman Bold"/>
          <w:b/>
        </w:rPr>
      </w:pPr>
    </w:p>
    <w:p w14:paraId="296170F7" w14:textId="77777777" w:rsidR="00206014" w:rsidRDefault="00206014">
      <w:pPr>
        <w:pStyle w:val="explanatoryclause"/>
        <w:tabs>
          <w:tab w:val="right" w:leader="hyphen" w:pos="8640"/>
        </w:tabs>
        <w:ind w:left="1411" w:right="0"/>
        <w:rPr>
          <w:rFonts w:ascii="Times New Roman Bold" w:hAnsi="Times New Roman Bold"/>
          <w:b/>
        </w:rPr>
      </w:pPr>
    </w:p>
    <w:p w14:paraId="07016B50" w14:textId="77777777" w:rsidR="00206014" w:rsidRDefault="00206014">
      <w:pPr>
        <w:pStyle w:val="explanatoryclause"/>
        <w:tabs>
          <w:tab w:val="right" w:leader="hyphen" w:pos="8640"/>
        </w:tabs>
        <w:ind w:left="1411" w:right="0"/>
        <w:rPr>
          <w:rFonts w:ascii="Times New Roman Bold" w:hAnsi="Times New Roman Bold"/>
          <w:b/>
        </w:rPr>
      </w:pPr>
    </w:p>
    <w:p w14:paraId="0F87F08E" w14:textId="77777777" w:rsidR="00206014" w:rsidRDefault="00206014">
      <w:pPr>
        <w:pStyle w:val="explanatoryclause"/>
        <w:tabs>
          <w:tab w:val="right" w:leader="hyphen" w:pos="8640"/>
        </w:tabs>
        <w:ind w:left="1411" w:right="0"/>
        <w:rPr>
          <w:rFonts w:ascii="Times New Roman Bold" w:hAnsi="Times New Roman Bold"/>
          <w:b/>
        </w:rPr>
      </w:pPr>
    </w:p>
    <w:p w14:paraId="16253CB5" w14:textId="77777777" w:rsidR="00206014" w:rsidRDefault="00206014">
      <w:pPr>
        <w:pStyle w:val="explanatoryclause"/>
        <w:tabs>
          <w:tab w:val="right" w:leader="hyphen" w:pos="8640"/>
        </w:tabs>
        <w:ind w:left="1411" w:right="0"/>
      </w:pPr>
    </w:p>
    <w:p w14:paraId="61AF9C45" w14:textId="77777777" w:rsidR="00157AAA" w:rsidRDefault="006C1BE5">
      <w:pPr>
        <w:pStyle w:val="Head5a1"/>
      </w:pPr>
      <w:bookmarkStart w:id="712" w:name="_Toc521498248"/>
      <w:bookmarkStart w:id="713" w:name="_Toc145658518"/>
      <w:r>
        <w:lastRenderedPageBreak/>
        <w:t>A.  Acronyms Used in The Technical Requirements</w:t>
      </w:r>
      <w:bookmarkEnd w:id="712"/>
      <w:bookmarkEnd w:id="713"/>
    </w:p>
    <w:p w14:paraId="290AFD5A" w14:textId="77777777" w:rsidR="00157AAA" w:rsidRDefault="006C1BE5">
      <w:pPr>
        <w:pStyle w:val="Head5a2"/>
      </w:pPr>
      <w:bookmarkStart w:id="714" w:name="_Toc145658519"/>
      <w:bookmarkStart w:id="715" w:name="_Toc521498249"/>
      <w:r>
        <w:t>0.1</w:t>
      </w:r>
      <w:r>
        <w:tab/>
        <w:t>Acronym Table</w:t>
      </w:r>
      <w:bookmarkEnd w:id="714"/>
      <w:bookmarkEnd w:id="715"/>
    </w:p>
    <w:p w14:paraId="25A629F5" w14:textId="77777777" w:rsidR="00157AAA" w:rsidRDefault="006C1BE5">
      <w:pPr>
        <w:pStyle w:val="explanatoryclause"/>
        <w:ind w:left="1411" w:right="-360"/>
        <w:rPr>
          <w:rStyle w:val="Preparersnotenobold"/>
          <w:rFonts w:ascii="Times New Roman" w:hAnsi="Times New Roman"/>
        </w:rPr>
      </w:pPr>
      <w:r>
        <w:rPr>
          <w:rFonts w:ascii="Times New Roman" w:hAnsi="Times New Roman"/>
          <w:b/>
        </w:rPr>
        <w:t>Note</w:t>
      </w:r>
      <w:r>
        <w:rPr>
          <w:rFonts w:ascii="Times New Roman" w:hAnsi="Times New Roman"/>
        </w:rPr>
        <w:t>:</w:t>
      </w:r>
      <w:r>
        <w:rPr>
          <w:rFonts w:ascii="Times New Roman" w:hAnsi="Times New Roman"/>
        </w:rPr>
        <w:tab/>
      </w:r>
      <w:r>
        <w:rPr>
          <w:rStyle w:val="Preparersnotenobold"/>
          <w:rFonts w:ascii="Times New Roman" w:hAnsi="Times New Roman"/>
        </w:rPr>
        <w:t>Compile a table of organizational and technical acronyms used in the Requirements. This can be done, for example, by extending the following table.</w:t>
      </w: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29" w:type="dxa"/>
          <w:right w:w="29" w:type="dxa"/>
        </w:tblCellMar>
        <w:tblLook w:val="0000" w:firstRow="0" w:lastRow="0" w:firstColumn="0" w:lastColumn="0" w:noHBand="0" w:noVBand="0"/>
      </w:tblPr>
      <w:tblGrid>
        <w:gridCol w:w="720"/>
        <w:gridCol w:w="1800"/>
        <w:gridCol w:w="5760"/>
      </w:tblGrid>
      <w:tr w:rsidR="00157AAA" w:rsidRPr="004E2D1C" w14:paraId="594EE225" w14:textId="77777777">
        <w:trPr>
          <w:cantSplit/>
          <w:tblHeader/>
        </w:trPr>
        <w:tc>
          <w:tcPr>
            <w:tcW w:w="720" w:type="dxa"/>
          </w:tcPr>
          <w:p w14:paraId="72A461AF" w14:textId="77777777" w:rsidR="00157AAA" w:rsidRPr="001136D3" w:rsidRDefault="00157AAA" w:rsidP="001136D3">
            <w:pPr>
              <w:spacing w:after="0"/>
              <w:ind w:right="-360"/>
              <w:rPr>
                <w:sz w:val="22"/>
                <w:szCs w:val="22"/>
              </w:rPr>
            </w:pPr>
          </w:p>
        </w:tc>
        <w:tc>
          <w:tcPr>
            <w:tcW w:w="1800" w:type="dxa"/>
          </w:tcPr>
          <w:p w14:paraId="274473EE" w14:textId="77777777" w:rsidR="00157AAA" w:rsidRPr="001136D3" w:rsidRDefault="006C1BE5" w:rsidP="001136D3">
            <w:pPr>
              <w:spacing w:after="0"/>
              <w:ind w:right="-360"/>
              <w:rPr>
                <w:sz w:val="22"/>
                <w:szCs w:val="22"/>
              </w:rPr>
            </w:pPr>
            <w:r w:rsidRPr="001136D3">
              <w:rPr>
                <w:sz w:val="22"/>
                <w:szCs w:val="22"/>
              </w:rPr>
              <w:t>Term</w:t>
            </w:r>
          </w:p>
        </w:tc>
        <w:tc>
          <w:tcPr>
            <w:tcW w:w="5760" w:type="dxa"/>
          </w:tcPr>
          <w:p w14:paraId="082046F5" w14:textId="77777777" w:rsidR="00157AAA" w:rsidRPr="001136D3" w:rsidRDefault="006C1BE5" w:rsidP="001136D3">
            <w:pPr>
              <w:spacing w:after="0"/>
              <w:ind w:right="-360"/>
              <w:rPr>
                <w:sz w:val="22"/>
                <w:szCs w:val="22"/>
              </w:rPr>
            </w:pPr>
            <w:r w:rsidRPr="001136D3">
              <w:rPr>
                <w:sz w:val="22"/>
                <w:szCs w:val="22"/>
              </w:rPr>
              <w:t>Explanation</w:t>
            </w:r>
          </w:p>
        </w:tc>
      </w:tr>
      <w:tr w:rsidR="00157AAA" w:rsidRPr="004E2D1C" w14:paraId="6EB90EB7" w14:textId="77777777">
        <w:trPr>
          <w:cantSplit/>
          <w:trHeight w:hRule="exact" w:val="120"/>
          <w:tblHeader/>
        </w:trPr>
        <w:tc>
          <w:tcPr>
            <w:tcW w:w="720" w:type="dxa"/>
          </w:tcPr>
          <w:p w14:paraId="424687AC" w14:textId="77777777" w:rsidR="00157AAA" w:rsidRPr="001136D3" w:rsidRDefault="00157AAA" w:rsidP="001136D3">
            <w:pPr>
              <w:spacing w:after="0"/>
              <w:ind w:right="-360"/>
              <w:rPr>
                <w:sz w:val="22"/>
                <w:szCs w:val="22"/>
              </w:rPr>
            </w:pPr>
          </w:p>
        </w:tc>
        <w:tc>
          <w:tcPr>
            <w:tcW w:w="1800" w:type="dxa"/>
          </w:tcPr>
          <w:p w14:paraId="26CFB058" w14:textId="77777777" w:rsidR="00157AAA" w:rsidRPr="001136D3" w:rsidRDefault="00157AAA" w:rsidP="001136D3">
            <w:pPr>
              <w:spacing w:after="0"/>
              <w:ind w:right="-360"/>
              <w:rPr>
                <w:sz w:val="22"/>
                <w:szCs w:val="22"/>
              </w:rPr>
            </w:pPr>
          </w:p>
        </w:tc>
        <w:tc>
          <w:tcPr>
            <w:tcW w:w="5760" w:type="dxa"/>
          </w:tcPr>
          <w:p w14:paraId="08ACF82A" w14:textId="77777777" w:rsidR="00157AAA" w:rsidRPr="001136D3" w:rsidRDefault="00157AAA" w:rsidP="001136D3">
            <w:pPr>
              <w:spacing w:after="0"/>
              <w:ind w:right="-360"/>
              <w:rPr>
                <w:sz w:val="22"/>
                <w:szCs w:val="22"/>
              </w:rPr>
            </w:pPr>
          </w:p>
        </w:tc>
      </w:tr>
      <w:tr w:rsidR="00157AAA" w:rsidRPr="004E2D1C" w14:paraId="7C21E7BD" w14:textId="77777777">
        <w:trPr>
          <w:cantSplit/>
        </w:trPr>
        <w:tc>
          <w:tcPr>
            <w:tcW w:w="720" w:type="dxa"/>
          </w:tcPr>
          <w:p w14:paraId="4C7669CE" w14:textId="77777777" w:rsidR="00157AAA" w:rsidRPr="001136D3" w:rsidRDefault="00157AAA" w:rsidP="001136D3">
            <w:pPr>
              <w:spacing w:after="0"/>
              <w:ind w:right="-360"/>
              <w:rPr>
                <w:sz w:val="22"/>
                <w:szCs w:val="22"/>
              </w:rPr>
            </w:pPr>
          </w:p>
        </w:tc>
        <w:tc>
          <w:tcPr>
            <w:tcW w:w="1800" w:type="dxa"/>
          </w:tcPr>
          <w:p w14:paraId="75C5F041" w14:textId="77777777" w:rsidR="00157AAA" w:rsidRPr="001136D3" w:rsidRDefault="006C1BE5" w:rsidP="001136D3">
            <w:pPr>
              <w:spacing w:after="0"/>
              <w:ind w:right="-360"/>
              <w:rPr>
                <w:sz w:val="22"/>
                <w:szCs w:val="22"/>
              </w:rPr>
            </w:pPr>
            <w:r w:rsidRPr="001136D3">
              <w:rPr>
                <w:sz w:val="22"/>
                <w:szCs w:val="22"/>
              </w:rPr>
              <w:t>API</w:t>
            </w:r>
          </w:p>
        </w:tc>
        <w:tc>
          <w:tcPr>
            <w:tcW w:w="5760" w:type="dxa"/>
          </w:tcPr>
          <w:p w14:paraId="459EE772" w14:textId="77777777" w:rsidR="00157AAA" w:rsidRPr="001136D3" w:rsidRDefault="006C1BE5" w:rsidP="001136D3">
            <w:pPr>
              <w:spacing w:after="0"/>
              <w:ind w:right="-360"/>
              <w:rPr>
                <w:sz w:val="22"/>
                <w:szCs w:val="22"/>
              </w:rPr>
            </w:pPr>
            <w:r w:rsidRPr="001136D3">
              <w:rPr>
                <w:sz w:val="22"/>
                <w:szCs w:val="22"/>
              </w:rPr>
              <w:t>Application Programming Interface</w:t>
            </w:r>
          </w:p>
        </w:tc>
      </w:tr>
      <w:tr w:rsidR="00157AAA" w:rsidRPr="004E2D1C" w14:paraId="1D0BE71E" w14:textId="77777777">
        <w:trPr>
          <w:cantSplit/>
        </w:trPr>
        <w:tc>
          <w:tcPr>
            <w:tcW w:w="720" w:type="dxa"/>
          </w:tcPr>
          <w:p w14:paraId="3BC42A02" w14:textId="77777777" w:rsidR="00157AAA" w:rsidRPr="001136D3" w:rsidRDefault="00157AAA" w:rsidP="001136D3">
            <w:pPr>
              <w:spacing w:after="0"/>
              <w:ind w:right="-360"/>
              <w:rPr>
                <w:sz w:val="22"/>
                <w:szCs w:val="22"/>
              </w:rPr>
            </w:pPr>
          </w:p>
        </w:tc>
        <w:tc>
          <w:tcPr>
            <w:tcW w:w="1800" w:type="dxa"/>
          </w:tcPr>
          <w:p w14:paraId="6F8C5B60" w14:textId="77777777" w:rsidR="00157AAA" w:rsidRPr="001136D3" w:rsidRDefault="006C1BE5" w:rsidP="001136D3">
            <w:pPr>
              <w:spacing w:after="0"/>
              <w:ind w:right="-360"/>
              <w:rPr>
                <w:sz w:val="22"/>
                <w:szCs w:val="22"/>
              </w:rPr>
            </w:pPr>
            <w:r w:rsidRPr="001136D3">
              <w:rPr>
                <w:sz w:val="22"/>
                <w:szCs w:val="22"/>
              </w:rPr>
              <w:t>ABB</w:t>
            </w:r>
          </w:p>
        </w:tc>
        <w:tc>
          <w:tcPr>
            <w:tcW w:w="5760" w:type="dxa"/>
          </w:tcPr>
          <w:p w14:paraId="769A6B1B" w14:textId="77777777" w:rsidR="00157AAA" w:rsidRPr="001136D3" w:rsidRDefault="006C1BE5" w:rsidP="001136D3">
            <w:pPr>
              <w:spacing w:after="0"/>
              <w:ind w:right="-360"/>
              <w:rPr>
                <w:sz w:val="22"/>
                <w:szCs w:val="22"/>
              </w:rPr>
            </w:pPr>
            <w:r w:rsidRPr="001136D3">
              <w:rPr>
                <w:sz w:val="22"/>
                <w:szCs w:val="22"/>
              </w:rPr>
              <w:t>Application Building Blocks</w:t>
            </w:r>
          </w:p>
        </w:tc>
      </w:tr>
      <w:tr w:rsidR="00157AAA" w:rsidRPr="004E2D1C" w14:paraId="7723B1FA" w14:textId="77777777">
        <w:trPr>
          <w:cantSplit/>
        </w:trPr>
        <w:tc>
          <w:tcPr>
            <w:tcW w:w="720" w:type="dxa"/>
          </w:tcPr>
          <w:p w14:paraId="6CAE2A8F" w14:textId="77777777" w:rsidR="00157AAA" w:rsidRPr="001136D3" w:rsidRDefault="00157AAA" w:rsidP="001136D3">
            <w:pPr>
              <w:spacing w:after="0"/>
              <w:ind w:right="-360"/>
              <w:rPr>
                <w:sz w:val="22"/>
                <w:szCs w:val="22"/>
              </w:rPr>
            </w:pPr>
          </w:p>
        </w:tc>
        <w:tc>
          <w:tcPr>
            <w:tcW w:w="1800" w:type="dxa"/>
          </w:tcPr>
          <w:p w14:paraId="70A3A6C8" w14:textId="77777777" w:rsidR="00157AAA" w:rsidRPr="001136D3" w:rsidRDefault="006C1BE5" w:rsidP="001136D3">
            <w:pPr>
              <w:spacing w:after="0"/>
              <w:ind w:right="-360"/>
              <w:rPr>
                <w:sz w:val="22"/>
                <w:szCs w:val="22"/>
              </w:rPr>
            </w:pPr>
            <w:r w:rsidRPr="001136D3">
              <w:rPr>
                <w:sz w:val="22"/>
                <w:szCs w:val="22"/>
              </w:rPr>
              <w:t>ATP</w:t>
            </w:r>
          </w:p>
        </w:tc>
        <w:tc>
          <w:tcPr>
            <w:tcW w:w="5760" w:type="dxa"/>
          </w:tcPr>
          <w:p w14:paraId="51424A28" w14:textId="77777777" w:rsidR="00157AAA" w:rsidRPr="001136D3" w:rsidRDefault="006C1BE5" w:rsidP="001136D3">
            <w:pPr>
              <w:spacing w:after="0"/>
              <w:ind w:right="-360"/>
              <w:rPr>
                <w:sz w:val="22"/>
                <w:szCs w:val="22"/>
              </w:rPr>
            </w:pPr>
            <w:r w:rsidRPr="001136D3">
              <w:rPr>
                <w:sz w:val="22"/>
                <w:szCs w:val="22"/>
              </w:rPr>
              <w:t>Acceptance Test Plan</w:t>
            </w:r>
          </w:p>
        </w:tc>
      </w:tr>
      <w:tr w:rsidR="00157AAA" w:rsidRPr="004E2D1C" w14:paraId="1E0A49B6" w14:textId="77777777">
        <w:trPr>
          <w:cantSplit/>
        </w:trPr>
        <w:tc>
          <w:tcPr>
            <w:tcW w:w="720" w:type="dxa"/>
          </w:tcPr>
          <w:p w14:paraId="2F6FAEAB" w14:textId="77777777" w:rsidR="00157AAA" w:rsidRPr="001136D3" w:rsidRDefault="00157AAA" w:rsidP="001136D3">
            <w:pPr>
              <w:spacing w:after="0"/>
              <w:ind w:right="-360"/>
              <w:rPr>
                <w:sz w:val="22"/>
                <w:szCs w:val="22"/>
              </w:rPr>
            </w:pPr>
          </w:p>
        </w:tc>
        <w:tc>
          <w:tcPr>
            <w:tcW w:w="1800" w:type="dxa"/>
          </w:tcPr>
          <w:p w14:paraId="6A8CB0DB" w14:textId="77777777" w:rsidR="00157AAA" w:rsidRPr="001136D3" w:rsidRDefault="006C1BE5" w:rsidP="001136D3">
            <w:pPr>
              <w:spacing w:after="0"/>
              <w:ind w:right="-360"/>
              <w:rPr>
                <w:sz w:val="22"/>
                <w:szCs w:val="22"/>
              </w:rPr>
            </w:pPr>
            <w:r w:rsidRPr="001136D3">
              <w:rPr>
                <w:sz w:val="22"/>
                <w:szCs w:val="22"/>
              </w:rPr>
              <w:t>BI</w:t>
            </w:r>
          </w:p>
        </w:tc>
        <w:tc>
          <w:tcPr>
            <w:tcW w:w="5760" w:type="dxa"/>
          </w:tcPr>
          <w:p w14:paraId="3269C07D" w14:textId="77777777" w:rsidR="00157AAA" w:rsidRPr="001136D3" w:rsidRDefault="006C1BE5" w:rsidP="001136D3">
            <w:pPr>
              <w:spacing w:after="0"/>
              <w:ind w:right="-360"/>
              <w:rPr>
                <w:sz w:val="22"/>
                <w:szCs w:val="22"/>
              </w:rPr>
            </w:pPr>
            <w:r w:rsidRPr="001136D3">
              <w:rPr>
                <w:sz w:val="22"/>
                <w:szCs w:val="22"/>
              </w:rPr>
              <w:t>Business Intelligence</w:t>
            </w:r>
          </w:p>
        </w:tc>
      </w:tr>
      <w:tr w:rsidR="00157AAA" w:rsidRPr="004E2D1C" w14:paraId="1A4F1920" w14:textId="77777777">
        <w:trPr>
          <w:cantSplit/>
        </w:trPr>
        <w:tc>
          <w:tcPr>
            <w:tcW w:w="720" w:type="dxa"/>
          </w:tcPr>
          <w:p w14:paraId="0BBA9DD7" w14:textId="77777777" w:rsidR="00157AAA" w:rsidRPr="001136D3" w:rsidRDefault="00157AAA" w:rsidP="001136D3">
            <w:pPr>
              <w:spacing w:after="0"/>
              <w:ind w:right="-360"/>
              <w:rPr>
                <w:sz w:val="22"/>
                <w:szCs w:val="22"/>
              </w:rPr>
            </w:pPr>
          </w:p>
        </w:tc>
        <w:tc>
          <w:tcPr>
            <w:tcW w:w="1800" w:type="dxa"/>
          </w:tcPr>
          <w:p w14:paraId="114608F7" w14:textId="77777777" w:rsidR="00157AAA" w:rsidRPr="001136D3" w:rsidRDefault="006C1BE5" w:rsidP="001136D3">
            <w:pPr>
              <w:spacing w:after="0"/>
              <w:ind w:right="-360"/>
              <w:rPr>
                <w:sz w:val="22"/>
                <w:szCs w:val="22"/>
              </w:rPr>
            </w:pPr>
            <w:r w:rsidRPr="001136D3">
              <w:rPr>
                <w:sz w:val="22"/>
                <w:szCs w:val="22"/>
              </w:rPr>
              <w:t>BTI</w:t>
            </w:r>
          </w:p>
        </w:tc>
        <w:tc>
          <w:tcPr>
            <w:tcW w:w="5760" w:type="dxa"/>
          </w:tcPr>
          <w:p w14:paraId="46D2A6A0" w14:textId="77777777" w:rsidR="00157AAA" w:rsidRPr="001136D3" w:rsidRDefault="006C1BE5" w:rsidP="001136D3">
            <w:pPr>
              <w:spacing w:after="0"/>
              <w:ind w:right="-360"/>
              <w:rPr>
                <w:sz w:val="22"/>
                <w:szCs w:val="22"/>
              </w:rPr>
            </w:pPr>
            <w:r w:rsidRPr="001136D3">
              <w:rPr>
                <w:sz w:val="22"/>
                <w:szCs w:val="22"/>
              </w:rPr>
              <w:t>Binding Tariff Information</w:t>
            </w:r>
          </w:p>
        </w:tc>
      </w:tr>
      <w:tr w:rsidR="00157AAA" w:rsidRPr="004E2D1C" w14:paraId="45D624CF" w14:textId="77777777">
        <w:trPr>
          <w:cantSplit/>
        </w:trPr>
        <w:tc>
          <w:tcPr>
            <w:tcW w:w="720" w:type="dxa"/>
          </w:tcPr>
          <w:p w14:paraId="6783A1A9" w14:textId="77777777" w:rsidR="00157AAA" w:rsidRPr="001136D3" w:rsidRDefault="00157AAA" w:rsidP="001136D3">
            <w:pPr>
              <w:spacing w:after="0"/>
              <w:ind w:right="-360"/>
              <w:rPr>
                <w:sz w:val="22"/>
                <w:szCs w:val="22"/>
              </w:rPr>
            </w:pPr>
          </w:p>
        </w:tc>
        <w:tc>
          <w:tcPr>
            <w:tcW w:w="1800" w:type="dxa"/>
          </w:tcPr>
          <w:p w14:paraId="3FDDC3B6" w14:textId="77777777" w:rsidR="00157AAA" w:rsidRPr="001136D3" w:rsidRDefault="006C1BE5" w:rsidP="001136D3">
            <w:pPr>
              <w:spacing w:after="0"/>
              <w:ind w:right="-360"/>
              <w:rPr>
                <w:sz w:val="22"/>
                <w:szCs w:val="22"/>
              </w:rPr>
            </w:pPr>
            <w:r w:rsidRPr="001136D3">
              <w:rPr>
                <w:sz w:val="22"/>
                <w:szCs w:val="22"/>
              </w:rPr>
              <w:t>BPM</w:t>
            </w:r>
          </w:p>
        </w:tc>
        <w:tc>
          <w:tcPr>
            <w:tcW w:w="5760" w:type="dxa"/>
          </w:tcPr>
          <w:p w14:paraId="39A9E580" w14:textId="77777777" w:rsidR="00157AAA" w:rsidRPr="001136D3" w:rsidRDefault="006C1BE5" w:rsidP="001136D3">
            <w:pPr>
              <w:spacing w:after="0"/>
              <w:ind w:right="-360"/>
              <w:rPr>
                <w:sz w:val="22"/>
                <w:szCs w:val="22"/>
              </w:rPr>
            </w:pPr>
            <w:r w:rsidRPr="001136D3">
              <w:rPr>
                <w:sz w:val="22"/>
                <w:szCs w:val="22"/>
              </w:rPr>
              <w:t>Business Process Modelling</w:t>
            </w:r>
          </w:p>
        </w:tc>
      </w:tr>
      <w:tr w:rsidR="00157AAA" w:rsidRPr="004E2D1C" w14:paraId="3B849C9F" w14:textId="77777777">
        <w:trPr>
          <w:cantSplit/>
        </w:trPr>
        <w:tc>
          <w:tcPr>
            <w:tcW w:w="720" w:type="dxa"/>
          </w:tcPr>
          <w:p w14:paraId="434EF3B6" w14:textId="77777777" w:rsidR="00157AAA" w:rsidRPr="001136D3" w:rsidRDefault="00157AAA" w:rsidP="001136D3">
            <w:pPr>
              <w:spacing w:after="0"/>
              <w:ind w:right="-360"/>
              <w:rPr>
                <w:sz w:val="22"/>
                <w:szCs w:val="22"/>
              </w:rPr>
            </w:pPr>
          </w:p>
        </w:tc>
        <w:tc>
          <w:tcPr>
            <w:tcW w:w="1800" w:type="dxa"/>
          </w:tcPr>
          <w:p w14:paraId="46E87724" w14:textId="77777777" w:rsidR="00157AAA" w:rsidRPr="001136D3" w:rsidRDefault="006C1BE5" w:rsidP="001136D3">
            <w:pPr>
              <w:spacing w:after="0"/>
              <w:ind w:right="-360"/>
              <w:rPr>
                <w:sz w:val="22"/>
                <w:szCs w:val="22"/>
              </w:rPr>
            </w:pPr>
            <w:r w:rsidRPr="001136D3">
              <w:rPr>
                <w:sz w:val="22"/>
                <w:szCs w:val="22"/>
              </w:rPr>
              <w:t>B2G</w:t>
            </w:r>
          </w:p>
        </w:tc>
        <w:tc>
          <w:tcPr>
            <w:tcW w:w="5760" w:type="dxa"/>
          </w:tcPr>
          <w:p w14:paraId="5F2F7ABD" w14:textId="77777777" w:rsidR="00157AAA" w:rsidRPr="001136D3" w:rsidRDefault="006C1BE5" w:rsidP="001136D3">
            <w:pPr>
              <w:spacing w:after="0"/>
              <w:ind w:right="-360"/>
              <w:rPr>
                <w:sz w:val="22"/>
                <w:szCs w:val="22"/>
              </w:rPr>
            </w:pPr>
            <w:r w:rsidRPr="001136D3">
              <w:rPr>
                <w:sz w:val="22"/>
                <w:szCs w:val="22"/>
              </w:rPr>
              <w:t>Business-to-Government</w:t>
            </w:r>
          </w:p>
        </w:tc>
      </w:tr>
      <w:tr w:rsidR="00157AAA" w:rsidRPr="004E2D1C" w14:paraId="7EF747AE" w14:textId="77777777">
        <w:trPr>
          <w:cantSplit/>
        </w:trPr>
        <w:tc>
          <w:tcPr>
            <w:tcW w:w="720" w:type="dxa"/>
          </w:tcPr>
          <w:p w14:paraId="6979522E" w14:textId="77777777" w:rsidR="00157AAA" w:rsidRPr="001136D3" w:rsidRDefault="00157AAA" w:rsidP="001136D3">
            <w:pPr>
              <w:spacing w:after="0"/>
              <w:ind w:right="-360"/>
              <w:rPr>
                <w:sz w:val="22"/>
                <w:szCs w:val="22"/>
              </w:rPr>
            </w:pPr>
          </w:p>
        </w:tc>
        <w:tc>
          <w:tcPr>
            <w:tcW w:w="1800" w:type="dxa"/>
          </w:tcPr>
          <w:p w14:paraId="6E52A76B" w14:textId="77777777" w:rsidR="00157AAA" w:rsidRPr="001136D3" w:rsidRDefault="006C1BE5" w:rsidP="001136D3">
            <w:pPr>
              <w:spacing w:after="0"/>
              <w:ind w:right="-360"/>
              <w:rPr>
                <w:sz w:val="22"/>
                <w:szCs w:val="22"/>
              </w:rPr>
            </w:pPr>
            <w:r w:rsidRPr="001136D3">
              <w:rPr>
                <w:sz w:val="22"/>
                <w:szCs w:val="22"/>
              </w:rPr>
              <w:t>G2G</w:t>
            </w:r>
          </w:p>
        </w:tc>
        <w:tc>
          <w:tcPr>
            <w:tcW w:w="5760" w:type="dxa"/>
          </w:tcPr>
          <w:p w14:paraId="73EDA59C" w14:textId="77777777" w:rsidR="00157AAA" w:rsidRPr="001136D3" w:rsidRDefault="006C1BE5" w:rsidP="001136D3">
            <w:pPr>
              <w:spacing w:after="0"/>
              <w:ind w:right="-360"/>
              <w:rPr>
                <w:sz w:val="22"/>
                <w:szCs w:val="22"/>
              </w:rPr>
            </w:pPr>
            <w:r w:rsidRPr="001136D3">
              <w:rPr>
                <w:sz w:val="22"/>
                <w:szCs w:val="22"/>
              </w:rPr>
              <w:t>Government agency-to-Government agency</w:t>
            </w:r>
          </w:p>
        </w:tc>
      </w:tr>
      <w:tr w:rsidR="00157AAA" w:rsidRPr="004E2D1C" w14:paraId="6252766D" w14:textId="77777777">
        <w:trPr>
          <w:cantSplit/>
        </w:trPr>
        <w:tc>
          <w:tcPr>
            <w:tcW w:w="720" w:type="dxa"/>
          </w:tcPr>
          <w:p w14:paraId="6F85E1B5" w14:textId="77777777" w:rsidR="00157AAA" w:rsidRPr="001136D3" w:rsidRDefault="00157AAA" w:rsidP="001136D3">
            <w:pPr>
              <w:spacing w:after="0"/>
              <w:ind w:right="-360"/>
              <w:rPr>
                <w:sz w:val="22"/>
                <w:szCs w:val="22"/>
              </w:rPr>
            </w:pPr>
          </w:p>
        </w:tc>
        <w:tc>
          <w:tcPr>
            <w:tcW w:w="1800" w:type="dxa"/>
          </w:tcPr>
          <w:p w14:paraId="7E30D490" w14:textId="77777777" w:rsidR="00157AAA" w:rsidRPr="001136D3" w:rsidRDefault="006C1BE5" w:rsidP="001136D3">
            <w:pPr>
              <w:spacing w:after="0"/>
              <w:ind w:right="-360"/>
              <w:rPr>
                <w:sz w:val="22"/>
                <w:szCs w:val="22"/>
              </w:rPr>
            </w:pPr>
            <w:r w:rsidRPr="001136D3">
              <w:rPr>
                <w:sz w:val="22"/>
                <w:szCs w:val="22"/>
              </w:rPr>
              <w:t>CA</w:t>
            </w:r>
          </w:p>
        </w:tc>
        <w:tc>
          <w:tcPr>
            <w:tcW w:w="5760" w:type="dxa"/>
          </w:tcPr>
          <w:p w14:paraId="3257833D" w14:textId="77777777" w:rsidR="00157AAA" w:rsidRPr="001136D3" w:rsidRDefault="006C1BE5" w:rsidP="001136D3">
            <w:pPr>
              <w:spacing w:after="0"/>
              <w:ind w:right="-360"/>
              <w:rPr>
                <w:sz w:val="22"/>
                <w:szCs w:val="22"/>
              </w:rPr>
            </w:pPr>
            <w:r w:rsidRPr="001136D3">
              <w:rPr>
                <w:sz w:val="22"/>
                <w:szCs w:val="22"/>
              </w:rPr>
              <w:t>Competent Authority</w:t>
            </w:r>
          </w:p>
        </w:tc>
      </w:tr>
      <w:tr w:rsidR="00157AAA" w:rsidRPr="004E2D1C" w14:paraId="2F5BB526" w14:textId="77777777">
        <w:trPr>
          <w:cantSplit/>
        </w:trPr>
        <w:tc>
          <w:tcPr>
            <w:tcW w:w="720" w:type="dxa"/>
          </w:tcPr>
          <w:p w14:paraId="10962771" w14:textId="77777777" w:rsidR="00157AAA" w:rsidRPr="001136D3" w:rsidRDefault="00157AAA" w:rsidP="001136D3">
            <w:pPr>
              <w:spacing w:after="0"/>
              <w:ind w:right="-360"/>
              <w:rPr>
                <w:sz w:val="22"/>
                <w:szCs w:val="22"/>
              </w:rPr>
            </w:pPr>
          </w:p>
        </w:tc>
        <w:tc>
          <w:tcPr>
            <w:tcW w:w="1800" w:type="dxa"/>
          </w:tcPr>
          <w:p w14:paraId="6B73C67B" w14:textId="77777777" w:rsidR="00157AAA" w:rsidRPr="001136D3" w:rsidRDefault="006C1BE5" w:rsidP="001136D3">
            <w:pPr>
              <w:spacing w:after="0"/>
              <w:ind w:right="-360"/>
              <w:rPr>
                <w:sz w:val="22"/>
                <w:szCs w:val="22"/>
              </w:rPr>
            </w:pPr>
            <w:r w:rsidRPr="001136D3">
              <w:rPr>
                <w:sz w:val="22"/>
                <w:szCs w:val="22"/>
              </w:rPr>
              <w:t>CASE</w:t>
            </w:r>
          </w:p>
        </w:tc>
        <w:tc>
          <w:tcPr>
            <w:tcW w:w="5760" w:type="dxa"/>
          </w:tcPr>
          <w:p w14:paraId="539251DF" w14:textId="77777777" w:rsidR="00157AAA" w:rsidRPr="001136D3" w:rsidRDefault="006C1BE5" w:rsidP="001136D3">
            <w:pPr>
              <w:spacing w:after="0"/>
              <w:ind w:right="-360"/>
              <w:rPr>
                <w:sz w:val="22"/>
                <w:szCs w:val="22"/>
              </w:rPr>
            </w:pPr>
            <w:r w:rsidRPr="001136D3">
              <w:rPr>
                <w:iCs/>
                <w:sz w:val="22"/>
                <w:szCs w:val="22"/>
              </w:rPr>
              <w:t>Computer-Aided Software Engineering</w:t>
            </w:r>
          </w:p>
        </w:tc>
      </w:tr>
      <w:tr w:rsidR="00157AAA" w:rsidRPr="004E2D1C" w14:paraId="6AA71BC7" w14:textId="77777777">
        <w:trPr>
          <w:cantSplit/>
        </w:trPr>
        <w:tc>
          <w:tcPr>
            <w:tcW w:w="720" w:type="dxa"/>
          </w:tcPr>
          <w:p w14:paraId="6C41442D" w14:textId="77777777" w:rsidR="00157AAA" w:rsidRPr="001136D3" w:rsidRDefault="00157AAA" w:rsidP="001136D3">
            <w:pPr>
              <w:spacing w:after="0"/>
              <w:ind w:right="-360"/>
              <w:rPr>
                <w:sz w:val="22"/>
                <w:szCs w:val="22"/>
              </w:rPr>
            </w:pPr>
          </w:p>
        </w:tc>
        <w:tc>
          <w:tcPr>
            <w:tcW w:w="1800" w:type="dxa"/>
          </w:tcPr>
          <w:p w14:paraId="1EE1563B" w14:textId="77777777" w:rsidR="00157AAA" w:rsidRPr="001136D3" w:rsidRDefault="006C1BE5" w:rsidP="001136D3">
            <w:pPr>
              <w:spacing w:after="0"/>
              <w:ind w:right="-360"/>
              <w:rPr>
                <w:sz w:val="22"/>
                <w:szCs w:val="22"/>
              </w:rPr>
            </w:pPr>
            <w:r w:rsidRPr="001136D3">
              <w:rPr>
                <w:sz w:val="22"/>
                <w:szCs w:val="22"/>
              </w:rPr>
              <w:t>COTS</w:t>
            </w:r>
          </w:p>
        </w:tc>
        <w:tc>
          <w:tcPr>
            <w:tcW w:w="5760" w:type="dxa"/>
          </w:tcPr>
          <w:p w14:paraId="45B5CDDB" w14:textId="77777777" w:rsidR="00157AAA" w:rsidRPr="001136D3" w:rsidRDefault="006C1BE5" w:rsidP="001136D3">
            <w:pPr>
              <w:spacing w:after="0"/>
              <w:ind w:right="-360"/>
              <w:rPr>
                <w:sz w:val="22"/>
                <w:szCs w:val="22"/>
              </w:rPr>
            </w:pPr>
            <w:r w:rsidRPr="001136D3">
              <w:rPr>
                <w:sz w:val="22"/>
                <w:szCs w:val="22"/>
              </w:rPr>
              <w:t>Commercial-of-the-Shelf</w:t>
            </w:r>
          </w:p>
        </w:tc>
      </w:tr>
      <w:tr w:rsidR="00157AAA" w:rsidRPr="004E2D1C" w14:paraId="47ED5089" w14:textId="77777777">
        <w:trPr>
          <w:cantSplit/>
        </w:trPr>
        <w:tc>
          <w:tcPr>
            <w:tcW w:w="720" w:type="dxa"/>
          </w:tcPr>
          <w:p w14:paraId="27E19D9A" w14:textId="77777777" w:rsidR="00157AAA" w:rsidRPr="001136D3" w:rsidRDefault="00157AAA" w:rsidP="001136D3">
            <w:pPr>
              <w:spacing w:after="0"/>
              <w:ind w:right="-360"/>
              <w:rPr>
                <w:sz w:val="22"/>
                <w:szCs w:val="22"/>
              </w:rPr>
            </w:pPr>
          </w:p>
        </w:tc>
        <w:tc>
          <w:tcPr>
            <w:tcW w:w="1800" w:type="dxa"/>
          </w:tcPr>
          <w:p w14:paraId="1567DD89" w14:textId="77777777" w:rsidR="00157AAA" w:rsidRPr="001136D3" w:rsidRDefault="006C1BE5" w:rsidP="001136D3">
            <w:pPr>
              <w:spacing w:after="0"/>
              <w:ind w:right="-360"/>
              <w:rPr>
                <w:sz w:val="22"/>
                <w:szCs w:val="22"/>
              </w:rPr>
            </w:pPr>
            <w:r w:rsidRPr="001136D3">
              <w:rPr>
                <w:sz w:val="22"/>
                <w:szCs w:val="22"/>
              </w:rPr>
              <w:t>CBRA</w:t>
            </w:r>
          </w:p>
        </w:tc>
        <w:tc>
          <w:tcPr>
            <w:tcW w:w="5760" w:type="dxa"/>
          </w:tcPr>
          <w:p w14:paraId="4CAA9A46" w14:textId="77777777" w:rsidR="00157AAA" w:rsidRPr="001136D3" w:rsidRDefault="006C1BE5" w:rsidP="001136D3">
            <w:pPr>
              <w:spacing w:after="0"/>
              <w:ind w:right="-360"/>
              <w:rPr>
                <w:sz w:val="22"/>
                <w:szCs w:val="22"/>
              </w:rPr>
            </w:pPr>
            <w:r w:rsidRPr="001136D3">
              <w:rPr>
                <w:sz w:val="22"/>
                <w:szCs w:val="22"/>
              </w:rPr>
              <w:t>Cross Border Regulatory Agency</w:t>
            </w:r>
          </w:p>
        </w:tc>
      </w:tr>
      <w:tr w:rsidR="00157AAA" w:rsidRPr="004E2D1C" w14:paraId="179F3D91" w14:textId="77777777">
        <w:trPr>
          <w:cantSplit/>
        </w:trPr>
        <w:tc>
          <w:tcPr>
            <w:tcW w:w="720" w:type="dxa"/>
          </w:tcPr>
          <w:p w14:paraId="76378131" w14:textId="77777777" w:rsidR="00157AAA" w:rsidRPr="001136D3" w:rsidRDefault="00157AAA" w:rsidP="001136D3">
            <w:pPr>
              <w:spacing w:after="0"/>
              <w:ind w:right="-360"/>
              <w:rPr>
                <w:sz w:val="22"/>
                <w:szCs w:val="22"/>
              </w:rPr>
            </w:pPr>
          </w:p>
        </w:tc>
        <w:tc>
          <w:tcPr>
            <w:tcW w:w="1800" w:type="dxa"/>
          </w:tcPr>
          <w:p w14:paraId="4A642472" w14:textId="77777777" w:rsidR="00157AAA" w:rsidRPr="001136D3" w:rsidRDefault="006C1BE5" w:rsidP="001136D3">
            <w:pPr>
              <w:spacing w:after="0"/>
              <w:ind w:right="-360"/>
              <w:rPr>
                <w:sz w:val="22"/>
                <w:szCs w:val="22"/>
              </w:rPr>
            </w:pPr>
            <w:r w:rsidRPr="001136D3">
              <w:rPr>
                <w:sz w:val="22"/>
                <w:szCs w:val="22"/>
              </w:rPr>
              <w:t>CDWMS</w:t>
            </w:r>
          </w:p>
        </w:tc>
        <w:tc>
          <w:tcPr>
            <w:tcW w:w="5760" w:type="dxa"/>
          </w:tcPr>
          <w:p w14:paraId="7ED6F5C3" w14:textId="77777777" w:rsidR="00157AAA" w:rsidRPr="001136D3" w:rsidRDefault="006C1BE5" w:rsidP="001136D3">
            <w:pPr>
              <w:spacing w:after="0"/>
              <w:ind w:right="-360"/>
              <w:rPr>
                <w:sz w:val="22"/>
                <w:szCs w:val="22"/>
              </w:rPr>
            </w:pPr>
            <w:r w:rsidRPr="001136D3">
              <w:rPr>
                <w:sz w:val="22"/>
                <w:szCs w:val="22"/>
              </w:rPr>
              <w:t xml:space="preserve">Content and Document and Workflow Management System  </w:t>
            </w:r>
          </w:p>
        </w:tc>
      </w:tr>
      <w:tr w:rsidR="00157AAA" w:rsidRPr="004E2D1C" w14:paraId="06AD496E" w14:textId="77777777">
        <w:trPr>
          <w:cantSplit/>
        </w:trPr>
        <w:tc>
          <w:tcPr>
            <w:tcW w:w="720" w:type="dxa"/>
          </w:tcPr>
          <w:p w14:paraId="5309A3BD" w14:textId="77777777" w:rsidR="00157AAA" w:rsidRPr="001136D3" w:rsidRDefault="00157AAA" w:rsidP="001136D3">
            <w:pPr>
              <w:spacing w:after="0"/>
              <w:ind w:right="-360"/>
              <w:rPr>
                <w:sz w:val="22"/>
                <w:szCs w:val="22"/>
              </w:rPr>
            </w:pPr>
          </w:p>
        </w:tc>
        <w:tc>
          <w:tcPr>
            <w:tcW w:w="1800" w:type="dxa"/>
          </w:tcPr>
          <w:p w14:paraId="33DB6F1D" w14:textId="77777777" w:rsidR="00157AAA" w:rsidRPr="001136D3" w:rsidRDefault="006C1BE5" w:rsidP="001136D3">
            <w:pPr>
              <w:spacing w:after="0"/>
              <w:ind w:right="-360"/>
              <w:rPr>
                <w:sz w:val="22"/>
                <w:szCs w:val="22"/>
              </w:rPr>
            </w:pPr>
            <w:r w:rsidRPr="001136D3">
              <w:rPr>
                <w:sz w:val="22"/>
                <w:szCs w:val="22"/>
              </w:rPr>
              <w:t>CDEPS</w:t>
            </w:r>
          </w:p>
        </w:tc>
        <w:tc>
          <w:tcPr>
            <w:tcW w:w="5760" w:type="dxa"/>
          </w:tcPr>
          <w:p w14:paraId="04428321" w14:textId="77777777" w:rsidR="00157AAA" w:rsidRPr="001136D3" w:rsidRDefault="006C1BE5" w:rsidP="001136D3">
            <w:pPr>
              <w:spacing w:after="0"/>
              <w:ind w:right="-360"/>
              <w:rPr>
                <w:sz w:val="22"/>
                <w:szCs w:val="22"/>
              </w:rPr>
            </w:pPr>
            <w:r w:rsidRPr="001136D3">
              <w:rPr>
                <w:sz w:val="22"/>
                <w:szCs w:val="22"/>
              </w:rPr>
              <w:t>Customs Declarations and Excise Documents Processing System</w:t>
            </w:r>
          </w:p>
        </w:tc>
      </w:tr>
      <w:tr w:rsidR="00157AAA" w:rsidRPr="004E2D1C" w14:paraId="342817C3" w14:textId="77777777">
        <w:trPr>
          <w:cantSplit/>
        </w:trPr>
        <w:tc>
          <w:tcPr>
            <w:tcW w:w="720" w:type="dxa"/>
          </w:tcPr>
          <w:p w14:paraId="40E6BC87" w14:textId="77777777" w:rsidR="00157AAA" w:rsidRPr="001136D3" w:rsidRDefault="00157AAA" w:rsidP="001136D3">
            <w:pPr>
              <w:spacing w:after="0"/>
              <w:ind w:right="-360"/>
              <w:rPr>
                <w:sz w:val="22"/>
                <w:szCs w:val="22"/>
              </w:rPr>
            </w:pPr>
          </w:p>
        </w:tc>
        <w:tc>
          <w:tcPr>
            <w:tcW w:w="1800" w:type="dxa"/>
          </w:tcPr>
          <w:p w14:paraId="6EDB7064" w14:textId="77777777" w:rsidR="00157AAA" w:rsidRPr="001136D3" w:rsidRDefault="006C1BE5" w:rsidP="001136D3">
            <w:pPr>
              <w:spacing w:after="0"/>
              <w:ind w:right="-360"/>
              <w:rPr>
                <w:sz w:val="22"/>
                <w:szCs w:val="22"/>
              </w:rPr>
            </w:pPr>
            <w:r w:rsidRPr="001136D3">
              <w:rPr>
                <w:sz w:val="22"/>
                <w:szCs w:val="22"/>
              </w:rPr>
              <w:t>CEFTA</w:t>
            </w:r>
          </w:p>
        </w:tc>
        <w:tc>
          <w:tcPr>
            <w:tcW w:w="5760" w:type="dxa"/>
          </w:tcPr>
          <w:p w14:paraId="73739500" w14:textId="77777777" w:rsidR="00157AAA" w:rsidRPr="001136D3" w:rsidRDefault="006C1BE5" w:rsidP="001136D3">
            <w:pPr>
              <w:spacing w:after="0"/>
              <w:ind w:right="-360"/>
              <w:rPr>
                <w:sz w:val="22"/>
                <w:szCs w:val="22"/>
              </w:rPr>
            </w:pPr>
            <w:r w:rsidRPr="001136D3">
              <w:rPr>
                <w:sz w:val="22"/>
                <w:szCs w:val="22"/>
              </w:rPr>
              <w:t>Central European Free Trade Agreement</w:t>
            </w:r>
          </w:p>
        </w:tc>
      </w:tr>
      <w:tr w:rsidR="00157AAA" w:rsidRPr="004E2D1C" w14:paraId="3B15B17A" w14:textId="77777777">
        <w:trPr>
          <w:cantSplit/>
        </w:trPr>
        <w:tc>
          <w:tcPr>
            <w:tcW w:w="720" w:type="dxa"/>
          </w:tcPr>
          <w:p w14:paraId="012469F0" w14:textId="77777777" w:rsidR="00157AAA" w:rsidRPr="001136D3" w:rsidRDefault="00157AAA" w:rsidP="001136D3">
            <w:pPr>
              <w:spacing w:after="0"/>
              <w:ind w:right="-360"/>
              <w:rPr>
                <w:sz w:val="22"/>
                <w:szCs w:val="22"/>
              </w:rPr>
            </w:pPr>
          </w:p>
        </w:tc>
        <w:tc>
          <w:tcPr>
            <w:tcW w:w="1800" w:type="dxa"/>
          </w:tcPr>
          <w:p w14:paraId="6D00C459" w14:textId="77777777" w:rsidR="00157AAA" w:rsidRPr="001136D3" w:rsidRDefault="006C1BE5" w:rsidP="001136D3">
            <w:pPr>
              <w:spacing w:after="0"/>
              <w:ind w:right="-360"/>
              <w:rPr>
                <w:sz w:val="22"/>
                <w:szCs w:val="22"/>
              </w:rPr>
            </w:pPr>
            <w:r w:rsidRPr="001136D3">
              <w:rPr>
                <w:sz w:val="22"/>
                <w:szCs w:val="22"/>
              </w:rPr>
              <w:t>CSV</w:t>
            </w:r>
          </w:p>
        </w:tc>
        <w:tc>
          <w:tcPr>
            <w:tcW w:w="5760" w:type="dxa"/>
          </w:tcPr>
          <w:p w14:paraId="517971F5" w14:textId="77777777" w:rsidR="00157AAA" w:rsidRPr="001136D3" w:rsidRDefault="006C1BE5" w:rsidP="001136D3">
            <w:pPr>
              <w:spacing w:after="0"/>
              <w:ind w:right="-360"/>
              <w:rPr>
                <w:sz w:val="22"/>
                <w:szCs w:val="22"/>
              </w:rPr>
            </w:pPr>
            <w:r w:rsidRPr="001136D3">
              <w:rPr>
                <w:sz w:val="22"/>
                <w:szCs w:val="22"/>
              </w:rPr>
              <w:t>Comma-</w:t>
            </w:r>
            <w:r w:rsidRPr="001136D3">
              <w:rPr>
                <w:rStyle w:val="jpfdse"/>
                <w:sz w:val="22"/>
                <w:szCs w:val="22"/>
              </w:rPr>
              <w:t>Separated Values</w:t>
            </w:r>
          </w:p>
        </w:tc>
      </w:tr>
      <w:tr w:rsidR="00157AAA" w:rsidRPr="004E2D1C" w14:paraId="3F187EB8" w14:textId="77777777">
        <w:trPr>
          <w:cantSplit/>
        </w:trPr>
        <w:tc>
          <w:tcPr>
            <w:tcW w:w="720" w:type="dxa"/>
          </w:tcPr>
          <w:p w14:paraId="4A465742" w14:textId="77777777" w:rsidR="00157AAA" w:rsidRPr="001136D3" w:rsidRDefault="00157AAA" w:rsidP="001136D3">
            <w:pPr>
              <w:spacing w:after="0"/>
              <w:ind w:right="-360"/>
              <w:rPr>
                <w:sz w:val="22"/>
                <w:szCs w:val="22"/>
              </w:rPr>
            </w:pPr>
          </w:p>
        </w:tc>
        <w:tc>
          <w:tcPr>
            <w:tcW w:w="1800" w:type="dxa"/>
          </w:tcPr>
          <w:p w14:paraId="078E52D3" w14:textId="77777777" w:rsidR="00157AAA" w:rsidRPr="001136D3" w:rsidRDefault="006C1BE5" w:rsidP="001136D3">
            <w:pPr>
              <w:spacing w:after="0"/>
              <w:ind w:right="-360"/>
              <w:rPr>
                <w:sz w:val="22"/>
                <w:szCs w:val="22"/>
              </w:rPr>
            </w:pPr>
            <w:r w:rsidRPr="001136D3">
              <w:rPr>
                <w:sz w:val="22"/>
                <w:szCs w:val="22"/>
              </w:rPr>
              <w:t>CPU</w:t>
            </w:r>
          </w:p>
        </w:tc>
        <w:tc>
          <w:tcPr>
            <w:tcW w:w="5760" w:type="dxa"/>
          </w:tcPr>
          <w:p w14:paraId="7A0C25F1" w14:textId="77777777" w:rsidR="00157AAA" w:rsidRPr="001136D3" w:rsidRDefault="006C1BE5" w:rsidP="001136D3">
            <w:pPr>
              <w:spacing w:after="0"/>
              <w:ind w:right="-360"/>
              <w:rPr>
                <w:sz w:val="22"/>
                <w:szCs w:val="22"/>
              </w:rPr>
            </w:pPr>
            <w:r w:rsidRPr="001136D3">
              <w:rPr>
                <w:sz w:val="22"/>
                <w:szCs w:val="22"/>
              </w:rPr>
              <w:t>Central Processing Unit</w:t>
            </w:r>
          </w:p>
        </w:tc>
      </w:tr>
      <w:tr w:rsidR="00157AAA" w:rsidRPr="004E2D1C" w14:paraId="4E48C880" w14:textId="77777777">
        <w:trPr>
          <w:cantSplit/>
        </w:trPr>
        <w:tc>
          <w:tcPr>
            <w:tcW w:w="720" w:type="dxa"/>
          </w:tcPr>
          <w:p w14:paraId="29C22F8A" w14:textId="77777777" w:rsidR="00157AAA" w:rsidRPr="001136D3" w:rsidRDefault="00157AAA" w:rsidP="001136D3">
            <w:pPr>
              <w:spacing w:after="0"/>
              <w:ind w:right="-360"/>
              <w:rPr>
                <w:sz w:val="22"/>
                <w:szCs w:val="22"/>
              </w:rPr>
            </w:pPr>
          </w:p>
        </w:tc>
        <w:tc>
          <w:tcPr>
            <w:tcW w:w="1800" w:type="dxa"/>
          </w:tcPr>
          <w:p w14:paraId="19A67AAE" w14:textId="77777777" w:rsidR="00157AAA" w:rsidRPr="001136D3" w:rsidRDefault="006C1BE5" w:rsidP="001136D3">
            <w:pPr>
              <w:spacing w:after="0"/>
              <w:ind w:right="-360"/>
              <w:rPr>
                <w:sz w:val="22"/>
                <w:szCs w:val="22"/>
              </w:rPr>
            </w:pPr>
            <w:r w:rsidRPr="001136D3">
              <w:rPr>
                <w:sz w:val="22"/>
                <w:szCs w:val="22"/>
              </w:rPr>
              <w:t>DMS</w:t>
            </w:r>
          </w:p>
        </w:tc>
        <w:tc>
          <w:tcPr>
            <w:tcW w:w="5760" w:type="dxa"/>
          </w:tcPr>
          <w:p w14:paraId="22BD2BDF" w14:textId="77777777" w:rsidR="00157AAA" w:rsidRPr="001136D3" w:rsidRDefault="006C1BE5" w:rsidP="001136D3">
            <w:pPr>
              <w:spacing w:after="0"/>
              <w:ind w:right="-360"/>
              <w:rPr>
                <w:sz w:val="22"/>
                <w:szCs w:val="22"/>
              </w:rPr>
            </w:pPr>
            <w:r w:rsidRPr="001136D3">
              <w:rPr>
                <w:sz w:val="22"/>
                <w:szCs w:val="22"/>
              </w:rPr>
              <w:t>Document Management System</w:t>
            </w:r>
          </w:p>
        </w:tc>
      </w:tr>
      <w:tr w:rsidR="00157AAA" w:rsidRPr="004E2D1C" w14:paraId="426FF7FE" w14:textId="77777777">
        <w:trPr>
          <w:cantSplit/>
        </w:trPr>
        <w:tc>
          <w:tcPr>
            <w:tcW w:w="720" w:type="dxa"/>
          </w:tcPr>
          <w:p w14:paraId="5940C312" w14:textId="77777777" w:rsidR="00157AAA" w:rsidRPr="001136D3" w:rsidRDefault="00157AAA" w:rsidP="001136D3">
            <w:pPr>
              <w:spacing w:after="0"/>
              <w:ind w:right="-360"/>
              <w:rPr>
                <w:sz w:val="22"/>
                <w:szCs w:val="22"/>
              </w:rPr>
            </w:pPr>
          </w:p>
        </w:tc>
        <w:tc>
          <w:tcPr>
            <w:tcW w:w="1800" w:type="dxa"/>
          </w:tcPr>
          <w:p w14:paraId="24886AF3" w14:textId="77777777" w:rsidR="00157AAA" w:rsidRPr="001136D3" w:rsidRDefault="006C1BE5" w:rsidP="001136D3">
            <w:pPr>
              <w:spacing w:after="0"/>
              <w:ind w:right="-360"/>
              <w:rPr>
                <w:sz w:val="22"/>
                <w:szCs w:val="22"/>
              </w:rPr>
            </w:pPr>
            <w:r w:rsidRPr="001136D3">
              <w:rPr>
                <w:sz w:val="22"/>
                <w:szCs w:val="22"/>
              </w:rPr>
              <w:t>DMZ</w:t>
            </w:r>
          </w:p>
        </w:tc>
        <w:tc>
          <w:tcPr>
            <w:tcW w:w="5760" w:type="dxa"/>
          </w:tcPr>
          <w:p w14:paraId="207BA4DA" w14:textId="77777777" w:rsidR="00157AAA" w:rsidRPr="001136D3" w:rsidRDefault="006C1BE5" w:rsidP="001136D3">
            <w:pPr>
              <w:spacing w:after="0"/>
              <w:ind w:right="-360"/>
              <w:rPr>
                <w:sz w:val="22"/>
                <w:szCs w:val="22"/>
              </w:rPr>
            </w:pPr>
            <w:r w:rsidRPr="001136D3">
              <w:rPr>
                <w:sz w:val="22"/>
                <w:szCs w:val="22"/>
              </w:rPr>
              <w:t>Demilitarized Zone</w:t>
            </w:r>
          </w:p>
        </w:tc>
      </w:tr>
      <w:tr w:rsidR="00157AAA" w:rsidRPr="004E2D1C" w14:paraId="0A785C52" w14:textId="77777777">
        <w:trPr>
          <w:cantSplit/>
        </w:trPr>
        <w:tc>
          <w:tcPr>
            <w:tcW w:w="720" w:type="dxa"/>
          </w:tcPr>
          <w:p w14:paraId="5C8998F9" w14:textId="77777777" w:rsidR="00157AAA" w:rsidRPr="001136D3" w:rsidRDefault="00157AAA" w:rsidP="001136D3">
            <w:pPr>
              <w:spacing w:after="0"/>
              <w:ind w:right="-360"/>
              <w:rPr>
                <w:sz w:val="22"/>
                <w:szCs w:val="22"/>
              </w:rPr>
            </w:pPr>
          </w:p>
        </w:tc>
        <w:tc>
          <w:tcPr>
            <w:tcW w:w="1800" w:type="dxa"/>
          </w:tcPr>
          <w:p w14:paraId="25BE7029" w14:textId="77777777" w:rsidR="00157AAA" w:rsidRPr="001136D3" w:rsidRDefault="006C1BE5" w:rsidP="001136D3">
            <w:pPr>
              <w:spacing w:after="0"/>
              <w:ind w:right="-360"/>
              <w:rPr>
                <w:sz w:val="22"/>
                <w:szCs w:val="22"/>
              </w:rPr>
            </w:pPr>
            <w:r w:rsidRPr="001136D3">
              <w:rPr>
                <w:sz w:val="22"/>
                <w:szCs w:val="22"/>
              </w:rPr>
              <w:t>DRC</w:t>
            </w:r>
          </w:p>
        </w:tc>
        <w:tc>
          <w:tcPr>
            <w:tcW w:w="5760" w:type="dxa"/>
          </w:tcPr>
          <w:p w14:paraId="15E1975C" w14:textId="77777777" w:rsidR="00157AAA" w:rsidRPr="001136D3" w:rsidRDefault="006C1BE5" w:rsidP="001136D3">
            <w:pPr>
              <w:spacing w:after="0"/>
              <w:ind w:right="-360"/>
              <w:rPr>
                <w:sz w:val="22"/>
                <w:szCs w:val="22"/>
              </w:rPr>
            </w:pPr>
            <w:r w:rsidRPr="001136D3">
              <w:rPr>
                <w:sz w:val="22"/>
                <w:szCs w:val="22"/>
              </w:rPr>
              <w:t>Disaster Recovery Center</w:t>
            </w:r>
          </w:p>
        </w:tc>
      </w:tr>
      <w:tr w:rsidR="00157AAA" w:rsidRPr="004E2D1C" w14:paraId="1EC33E3F" w14:textId="77777777">
        <w:trPr>
          <w:cantSplit/>
        </w:trPr>
        <w:tc>
          <w:tcPr>
            <w:tcW w:w="720" w:type="dxa"/>
          </w:tcPr>
          <w:p w14:paraId="467A7C99" w14:textId="77777777" w:rsidR="00157AAA" w:rsidRPr="001136D3" w:rsidRDefault="00157AAA" w:rsidP="001136D3">
            <w:pPr>
              <w:spacing w:after="0"/>
              <w:ind w:right="-360"/>
              <w:rPr>
                <w:sz w:val="22"/>
                <w:szCs w:val="22"/>
              </w:rPr>
            </w:pPr>
          </w:p>
        </w:tc>
        <w:tc>
          <w:tcPr>
            <w:tcW w:w="1800" w:type="dxa"/>
          </w:tcPr>
          <w:p w14:paraId="640AC602" w14:textId="77777777" w:rsidR="00157AAA" w:rsidRPr="001136D3" w:rsidRDefault="006C1BE5" w:rsidP="001136D3">
            <w:pPr>
              <w:spacing w:after="0"/>
              <w:ind w:right="-360"/>
              <w:rPr>
                <w:sz w:val="22"/>
                <w:szCs w:val="22"/>
              </w:rPr>
            </w:pPr>
            <w:r w:rsidRPr="001136D3">
              <w:rPr>
                <w:sz w:val="22"/>
                <w:szCs w:val="22"/>
              </w:rPr>
              <w:t>DG TAXUD</w:t>
            </w:r>
          </w:p>
        </w:tc>
        <w:tc>
          <w:tcPr>
            <w:tcW w:w="5760" w:type="dxa"/>
          </w:tcPr>
          <w:p w14:paraId="0C5B1F0F" w14:textId="77777777" w:rsidR="00157AAA" w:rsidRPr="001136D3" w:rsidRDefault="006C1BE5" w:rsidP="001136D3">
            <w:pPr>
              <w:spacing w:after="0"/>
              <w:ind w:right="-360"/>
              <w:rPr>
                <w:sz w:val="22"/>
                <w:szCs w:val="22"/>
              </w:rPr>
            </w:pPr>
            <w:r w:rsidRPr="001136D3">
              <w:rPr>
                <w:sz w:val="22"/>
                <w:szCs w:val="22"/>
                <w:shd w:val="clear" w:color="auto" w:fill="FFFFFF"/>
              </w:rPr>
              <w:t>Directorate-General Taxation and Customs Union </w:t>
            </w:r>
          </w:p>
        </w:tc>
      </w:tr>
      <w:tr w:rsidR="00157AAA" w:rsidRPr="004E2D1C" w14:paraId="14431226" w14:textId="77777777">
        <w:trPr>
          <w:cantSplit/>
        </w:trPr>
        <w:tc>
          <w:tcPr>
            <w:tcW w:w="720" w:type="dxa"/>
          </w:tcPr>
          <w:p w14:paraId="4337A86A" w14:textId="77777777" w:rsidR="00157AAA" w:rsidRPr="001136D3" w:rsidRDefault="00157AAA" w:rsidP="001136D3">
            <w:pPr>
              <w:spacing w:after="0"/>
              <w:ind w:right="-360"/>
              <w:rPr>
                <w:sz w:val="22"/>
                <w:szCs w:val="22"/>
              </w:rPr>
            </w:pPr>
          </w:p>
        </w:tc>
        <w:tc>
          <w:tcPr>
            <w:tcW w:w="1800" w:type="dxa"/>
          </w:tcPr>
          <w:p w14:paraId="4944C6D2" w14:textId="77777777" w:rsidR="00157AAA" w:rsidRPr="001136D3" w:rsidRDefault="006C1BE5" w:rsidP="001136D3">
            <w:pPr>
              <w:spacing w:after="0"/>
              <w:ind w:right="-360"/>
              <w:rPr>
                <w:sz w:val="22"/>
                <w:szCs w:val="22"/>
              </w:rPr>
            </w:pPr>
            <w:r w:rsidRPr="001136D3">
              <w:rPr>
                <w:sz w:val="22"/>
                <w:szCs w:val="22"/>
              </w:rPr>
              <w:t>DLP</w:t>
            </w:r>
          </w:p>
        </w:tc>
        <w:tc>
          <w:tcPr>
            <w:tcW w:w="5760" w:type="dxa"/>
          </w:tcPr>
          <w:p w14:paraId="6E8C37BC" w14:textId="77777777" w:rsidR="00157AAA" w:rsidRPr="001136D3" w:rsidRDefault="006C1BE5" w:rsidP="001136D3">
            <w:pPr>
              <w:spacing w:after="0"/>
              <w:ind w:right="-360"/>
              <w:rPr>
                <w:sz w:val="22"/>
                <w:szCs w:val="22"/>
              </w:rPr>
            </w:pPr>
            <w:r w:rsidRPr="001136D3">
              <w:rPr>
                <w:sz w:val="22"/>
                <w:szCs w:val="22"/>
              </w:rPr>
              <w:t>data loss protection</w:t>
            </w:r>
          </w:p>
        </w:tc>
      </w:tr>
      <w:tr w:rsidR="00157AAA" w:rsidRPr="004E2D1C" w14:paraId="059AAA2F" w14:textId="77777777">
        <w:trPr>
          <w:cantSplit/>
        </w:trPr>
        <w:tc>
          <w:tcPr>
            <w:tcW w:w="720" w:type="dxa"/>
          </w:tcPr>
          <w:p w14:paraId="6C1BF02D" w14:textId="77777777" w:rsidR="00157AAA" w:rsidRPr="001136D3" w:rsidRDefault="00157AAA" w:rsidP="001136D3">
            <w:pPr>
              <w:spacing w:after="0"/>
              <w:ind w:right="-360"/>
              <w:rPr>
                <w:sz w:val="22"/>
                <w:szCs w:val="22"/>
              </w:rPr>
            </w:pPr>
          </w:p>
        </w:tc>
        <w:tc>
          <w:tcPr>
            <w:tcW w:w="1800" w:type="dxa"/>
          </w:tcPr>
          <w:p w14:paraId="06D9ED48" w14:textId="77777777" w:rsidR="00157AAA" w:rsidRPr="001136D3" w:rsidRDefault="006C1BE5" w:rsidP="001136D3">
            <w:pPr>
              <w:spacing w:after="0"/>
              <w:ind w:right="-360"/>
              <w:rPr>
                <w:sz w:val="22"/>
                <w:szCs w:val="22"/>
              </w:rPr>
            </w:pPr>
            <w:r w:rsidRPr="001136D3">
              <w:rPr>
                <w:sz w:val="22"/>
                <w:szCs w:val="22"/>
              </w:rPr>
              <w:t>DW</w:t>
            </w:r>
          </w:p>
        </w:tc>
        <w:tc>
          <w:tcPr>
            <w:tcW w:w="5760" w:type="dxa"/>
          </w:tcPr>
          <w:p w14:paraId="71708B3D" w14:textId="77777777" w:rsidR="00157AAA" w:rsidRPr="001136D3" w:rsidRDefault="006C1BE5" w:rsidP="001136D3">
            <w:pPr>
              <w:spacing w:after="0"/>
              <w:ind w:right="-360"/>
              <w:rPr>
                <w:sz w:val="22"/>
                <w:szCs w:val="22"/>
              </w:rPr>
            </w:pPr>
            <w:r w:rsidRPr="001136D3">
              <w:rPr>
                <w:sz w:val="22"/>
                <w:szCs w:val="22"/>
              </w:rPr>
              <w:t>Data Warehouse</w:t>
            </w:r>
          </w:p>
        </w:tc>
      </w:tr>
      <w:tr w:rsidR="00E52D86" w:rsidRPr="004E2D1C" w14:paraId="2FA3C541" w14:textId="77777777">
        <w:trPr>
          <w:cantSplit/>
        </w:trPr>
        <w:tc>
          <w:tcPr>
            <w:tcW w:w="720" w:type="dxa"/>
          </w:tcPr>
          <w:p w14:paraId="1D35247C" w14:textId="77777777" w:rsidR="00E52D86" w:rsidRPr="001136D3" w:rsidRDefault="00E52D86" w:rsidP="001136D3">
            <w:pPr>
              <w:spacing w:after="0"/>
              <w:ind w:right="-360"/>
              <w:rPr>
                <w:sz w:val="22"/>
                <w:szCs w:val="22"/>
              </w:rPr>
            </w:pPr>
          </w:p>
        </w:tc>
        <w:tc>
          <w:tcPr>
            <w:tcW w:w="1800" w:type="dxa"/>
          </w:tcPr>
          <w:p w14:paraId="1AC571A8" w14:textId="56A10DA8" w:rsidR="00E52D86" w:rsidRPr="0026442C" w:rsidRDefault="00E52D86" w:rsidP="001136D3">
            <w:pPr>
              <w:spacing w:after="0"/>
              <w:ind w:right="-360"/>
              <w:rPr>
                <w:sz w:val="22"/>
                <w:szCs w:val="22"/>
              </w:rPr>
            </w:pPr>
            <w:r w:rsidRPr="0026442C">
              <w:rPr>
                <w:sz w:val="22"/>
                <w:szCs w:val="22"/>
              </w:rPr>
              <w:t>EA</w:t>
            </w:r>
          </w:p>
        </w:tc>
        <w:tc>
          <w:tcPr>
            <w:tcW w:w="5760" w:type="dxa"/>
          </w:tcPr>
          <w:p w14:paraId="23A5EDE2" w14:textId="5FBCFDE8" w:rsidR="00E52D86" w:rsidRPr="0026442C" w:rsidRDefault="00E52D86" w:rsidP="001136D3">
            <w:pPr>
              <w:spacing w:after="0"/>
              <w:ind w:right="-360"/>
              <w:rPr>
                <w:sz w:val="22"/>
                <w:szCs w:val="22"/>
              </w:rPr>
            </w:pPr>
            <w:r w:rsidRPr="0026442C">
              <w:rPr>
                <w:sz w:val="22"/>
                <w:szCs w:val="22"/>
              </w:rPr>
              <w:t>Enterprise Architecture</w:t>
            </w:r>
          </w:p>
        </w:tc>
      </w:tr>
      <w:tr w:rsidR="00157AAA" w:rsidRPr="004E2D1C" w14:paraId="1F33479C" w14:textId="77777777">
        <w:trPr>
          <w:cantSplit/>
        </w:trPr>
        <w:tc>
          <w:tcPr>
            <w:tcW w:w="720" w:type="dxa"/>
          </w:tcPr>
          <w:p w14:paraId="197F8CD7" w14:textId="77777777" w:rsidR="00157AAA" w:rsidRPr="001136D3" w:rsidRDefault="00157AAA" w:rsidP="001136D3">
            <w:pPr>
              <w:spacing w:after="0"/>
              <w:ind w:right="-360"/>
              <w:rPr>
                <w:sz w:val="22"/>
                <w:szCs w:val="22"/>
              </w:rPr>
            </w:pPr>
          </w:p>
        </w:tc>
        <w:tc>
          <w:tcPr>
            <w:tcW w:w="1800" w:type="dxa"/>
          </w:tcPr>
          <w:p w14:paraId="4D4ADDAF" w14:textId="77777777" w:rsidR="00157AAA" w:rsidRPr="001136D3" w:rsidRDefault="006C1BE5" w:rsidP="001136D3">
            <w:pPr>
              <w:spacing w:after="0"/>
              <w:ind w:right="-360"/>
              <w:rPr>
                <w:sz w:val="22"/>
                <w:szCs w:val="22"/>
              </w:rPr>
            </w:pPr>
            <w:r w:rsidRPr="001136D3">
              <w:rPr>
                <w:sz w:val="22"/>
                <w:szCs w:val="22"/>
              </w:rPr>
              <w:t>EDI</w:t>
            </w:r>
          </w:p>
        </w:tc>
        <w:tc>
          <w:tcPr>
            <w:tcW w:w="5760" w:type="dxa"/>
          </w:tcPr>
          <w:p w14:paraId="4C276AA6" w14:textId="77777777" w:rsidR="00157AAA" w:rsidRPr="001136D3" w:rsidRDefault="006C1BE5" w:rsidP="001136D3">
            <w:pPr>
              <w:spacing w:after="0"/>
              <w:ind w:right="-360"/>
              <w:rPr>
                <w:sz w:val="22"/>
                <w:szCs w:val="22"/>
              </w:rPr>
            </w:pPr>
            <w:r w:rsidRPr="001136D3">
              <w:rPr>
                <w:sz w:val="22"/>
                <w:szCs w:val="22"/>
              </w:rPr>
              <w:t>Electronic Data Interchange</w:t>
            </w:r>
          </w:p>
        </w:tc>
      </w:tr>
      <w:tr w:rsidR="00157AAA" w:rsidRPr="004E2D1C" w14:paraId="3B9C035D" w14:textId="77777777">
        <w:trPr>
          <w:cantSplit/>
        </w:trPr>
        <w:tc>
          <w:tcPr>
            <w:tcW w:w="720" w:type="dxa"/>
          </w:tcPr>
          <w:p w14:paraId="0D4EF554" w14:textId="77777777" w:rsidR="00157AAA" w:rsidRPr="001136D3" w:rsidRDefault="00157AAA" w:rsidP="001136D3">
            <w:pPr>
              <w:spacing w:after="0"/>
              <w:ind w:right="-360"/>
              <w:rPr>
                <w:sz w:val="22"/>
                <w:szCs w:val="22"/>
              </w:rPr>
            </w:pPr>
          </w:p>
        </w:tc>
        <w:tc>
          <w:tcPr>
            <w:tcW w:w="1800" w:type="dxa"/>
          </w:tcPr>
          <w:p w14:paraId="29266033" w14:textId="77777777" w:rsidR="00157AAA" w:rsidRPr="001136D3" w:rsidRDefault="006C1BE5" w:rsidP="001136D3">
            <w:pPr>
              <w:spacing w:after="0"/>
              <w:ind w:right="-360"/>
              <w:rPr>
                <w:sz w:val="22"/>
                <w:szCs w:val="22"/>
              </w:rPr>
            </w:pPr>
            <w:r w:rsidRPr="001136D3">
              <w:rPr>
                <w:sz w:val="22"/>
                <w:szCs w:val="22"/>
              </w:rPr>
              <w:t>ETL</w:t>
            </w:r>
          </w:p>
        </w:tc>
        <w:tc>
          <w:tcPr>
            <w:tcW w:w="5760" w:type="dxa"/>
          </w:tcPr>
          <w:p w14:paraId="40453F59" w14:textId="77777777" w:rsidR="00157AAA" w:rsidRPr="001136D3" w:rsidRDefault="006C1BE5" w:rsidP="001136D3">
            <w:pPr>
              <w:spacing w:after="0"/>
              <w:ind w:right="-360"/>
              <w:rPr>
                <w:sz w:val="22"/>
                <w:szCs w:val="22"/>
              </w:rPr>
            </w:pPr>
            <w:r w:rsidRPr="001136D3">
              <w:rPr>
                <w:sz w:val="22"/>
                <w:szCs w:val="22"/>
              </w:rPr>
              <w:t>Extract, Transform and Load</w:t>
            </w:r>
          </w:p>
        </w:tc>
      </w:tr>
      <w:tr w:rsidR="00157AAA" w:rsidRPr="004E2D1C" w14:paraId="15E71192" w14:textId="77777777">
        <w:trPr>
          <w:cantSplit/>
        </w:trPr>
        <w:tc>
          <w:tcPr>
            <w:tcW w:w="720" w:type="dxa"/>
          </w:tcPr>
          <w:p w14:paraId="0F19B344" w14:textId="77777777" w:rsidR="00157AAA" w:rsidRPr="001136D3" w:rsidRDefault="00157AAA" w:rsidP="001136D3">
            <w:pPr>
              <w:spacing w:after="0"/>
              <w:ind w:right="-360"/>
              <w:rPr>
                <w:sz w:val="22"/>
                <w:szCs w:val="22"/>
              </w:rPr>
            </w:pPr>
          </w:p>
        </w:tc>
        <w:tc>
          <w:tcPr>
            <w:tcW w:w="1800" w:type="dxa"/>
          </w:tcPr>
          <w:p w14:paraId="67FEE75B" w14:textId="77777777" w:rsidR="00157AAA" w:rsidRPr="001136D3" w:rsidRDefault="006C1BE5" w:rsidP="001136D3">
            <w:pPr>
              <w:spacing w:after="0"/>
              <w:ind w:right="-360"/>
              <w:rPr>
                <w:sz w:val="22"/>
                <w:szCs w:val="22"/>
              </w:rPr>
            </w:pPr>
            <w:proofErr w:type="spellStart"/>
            <w:r w:rsidRPr="001136D3">
              <w:rPr>
                <w:sz w:val="22"/>
                <w:szCs w:val="22"/>
              </w:rPr>
              <w:t>ebXML</w:t>
            </w:r>
            <w:proofErr w:type="spellEnd"/>
          </w:p>
        </w:tc>
        <w:tc>
          <w:tcPr>
            <w:tcW w:w="5760" w:type="dxa"/>
          </w:tcPr>
          <w:p w14:paraId="38FE7BFB" w14:textId="77777777" w:rsidR="00157AAA" w:rsidRPr="001136D3" w:rsidRDefault="006C1BE5" w:rsidP="001136D3">
            <w:pPr>
              <w:spacing w:after="0"/>
              <w:ind w:right="-360"/>
              <w:rPr>
                <w:sz w:val="22"/>
                <w:szCs w:val="22"/>
              </w:rPr>
            </w:pPr>
            <w:r w:rsidRPr="001136D3">
              <w:rPr>
                <w:sz w:val="22"/>
                <w:szCs w:val="22"/>
              </w:rPr>
              <w:t xml:space="preserve">Electronic Business </w:t>
            </w:r>
            <w:r w:rsidRPr="001136D3">
              <w:rPr>
                <w:sz w:val="22"/>
                <w:szCs w:val="22"/>
                <w:shd w:val="clear" w:color="auto" w:fill="FFFFFF"/>
              </w:rPr>
              <w:t>Extensible Markup Language</w:t>
            </w:r>
          </w:p>
        </w:tc>
      </w:tr>
      <w:tr w:rsidR="00157AAA" w:rsidRPr="004E2D1C" w14:paraId="449117DC" w14:textId="77777777">
        <w:trPr>
          <w:cantSplit/>
        </w:trPr>
        <w:tc>
          <w:tcPr>
            <w:tcW w:w="720" w:type="dxa"/>
          </w:tcPr>
          <w:p w14:paraId="5C99C928" w14:textId="77777777" w:rsidR="00157AAA" w:rsidRPr="001136D3" w:rsidRDefault="00157AAA" w:rsidP="001136D3">
            <w:pPr>
              <w:spacing w:after="0"/>
              <w:ind w:right="-360"/>
              <w:rPr>
                <w:sz w:val="22"/>
                <w:szCs w:val="22"/>
              </w:rPr>
            </w:pPr>
          </w:p>
        </w:tc>
        <w:tc>
          <w:tcPr>
            <w:tcW w:w="1800" w:type="dxa"/>
          </w:tcPr>
          <w:p w14:paraId="12C6E970" w14:textId="77777777" w:rsidR="00157AAA" w:rsidRPr="001136D3" w:rsidRDefault="006C1BE5" w:rsidP="001136D3">
            <w:pPr>
              <w:spacing w:after="0"/>
              <w:ind w:right="-360"/>
              <w:rPr>
                <w:sz w:val="22"/>
                <w:szCs w:val="22"/>
              </w:rPr>
            </w:pPr>
            <w:r w:rsidRPr="001136D3">
              <w:rPr>
                <w:sz w:val="22"/>
                <w:szCs w:val="22"/>
              </w:rPr>
              <w:t>EXIM</w:t>
            </w:r>
          </w:p>
        </w:tc>
        <w:tc>
          <w:tcPr>
            <w:tcW w:w="5760" w:type="dxa"/>
          </w:tcPr>
          <w:p w14:paraId="73F6225C" w14:textId="09B52ED7" w:rsidR="00157AAA" w:rsidRPr="001136D3" w:rsidRDefault="00AB65D5" w:rsidP="001136D3">
            <w:pPr>
              <w:spacing w:after="0"/>
              <w:ind w:right="-360"/>
              <w:rPr>
                <w:sz w:val="22"/>
                <w:szCs w:val="22"/>
              </w:rPr>
            </w:pPr>
            <w:r w:rsidRPr="001136D3">
              <w:rPr>
                <w:sz w:val="22"/>
                <w:szCs w:val="22"/>
              </w:rPr>
              <w:t xml:space="preserve">Customs one-stop system for permits for import, </w:t>
            </w:r>
            <w:proofErr w:type="gramStart"/>
            <w:r w:rsidRPr="001136D3">
              <w:rPr>
                <w:sz w:val="22"/>
                <w:szCs w:val="22"/>
              </w:rPr>
              <w:t>export</w:t>
            </w:r>
            <w:proofErr w:type="gramEnd"/>
            <w:r w:rsidRPr="001136D3">
              <w:rPr>
                <w:sz w:val="22"/>
                <w:szCs w:val="22"/>
              </w:rPr>
              <w:t xml:space="preserve"> and transit of goods</w:t>
            </w:r>
          </w:p>
        </w:tc>
      </w:tr>
      <w:tr w:rsidR="00157AAA" w:rsidRPr="004E2D1C" w14:paraId="3A1C4FCC" w14:textId="77777777">
        <w:trPr>
          <w:cantSplit/>
        </w:trPr>
        <w:tc>
          <w:tcPr>
            <w:tcW w:w="720" w:type="dxa"/>
          </w:tcPr>
          <w:p w14:paraId="0D4D3741" w14:textId="77777777" w:rsidR="00157AAA" w:rsidRPr="001136D3" w:rsidRDefault="00157AAA" w:rsidP="001136D3">
            <w:pPr>
              <w:spacing w:after="0"/>
              <w:ind w:right="-360"/>
              <w:rPr>
                <w:sz w:val="22"/>
                <w:szCs w:val="22"/>
              </w:rPr>
            </w:pPr>
          </w:p>
        </w:tc>
        <w:tc>
          <w:tcPr>
            <w:tcW w:w="1800" w:type="dxa"/>
          </w:tcPr>
          <w:p w14:paraId="664D7467" w14:textId="77777777" w:rsidR="00157AAA" w:rsidRPr="001136D3" w:rsidRDefault="006C1BE5" w:rsidP="001136D3">
            <w:pPr>
              <w:spacing w:after="0"/>
              <w:ind w:right="-360"/>
              <w:rPr>
                <w:sz w:val="22"/>
                <w:szCs w:val="22"/>
              </w:rPr>
            </w:pPr>
            <w:r w:rsidRPr="001136D3">
              <w:rPr>
                <w:sz w:val="22"/>
                <w:szCs w:val="22"/>
              </w:rPr>
              <w:t>EORI</w:t>
            </w:r>
          </w:p>
        </w:tc>
        <w:tc>
          <w:tcPr>
            <w:tcW w:w="5760" w:type="dxa"/>
          </w:tcPr>
          <w:p w14:paraId="447791AC" w14:textId="77777777" w:rsidR="00157AAA" w:rsidRPr="001136D3" w:rsidRDefault="006C1BE5" w:rsidP="001136D3">
            <w:pPr>
              <w:spacing w:after="0"/>
              <w:ind w:right="-360"/>
              <w:rPr>
                <w:sz w:val="22"/>
                <w:szCs w:val="22"/>
              </w:rPr>
            </w:pPr>
            <w:r w:rsidRPr="001136D3">
              <w:rPr>
                <w:rFonts w:eastAsia="Calibri"/>
                <w:sz w:val="22"/>
                <w:szCs w:val="22"/>
              </w:rPr>
              <w:t>Economic Operator Registration and Identification</w:t>
            </w:r>
          </w:p>
        </w:tc>
      </w:tr>
      <w:tr w:rsidR="00157AAA" w:rsidRPr="004E2D1C" w14:paraId="6B2D5760" w14:textId="77777777">
        <w:trPr>
          <w:cantSplit/>
        </w:trPr>
        <w:tc>
          <w:tcPr>
            <w:tcW w:w="720" w:type="dxa"/>
          </w:tcPr>
          <w:p w14:paraId="6B2E168E" w14:textId="77777777" w:rsidR="00157AAA" w:rsidRPr="001136D3" w:rsidRDefault="00157AAA" w:rsidP="001136D3">
            <w:pPr>
              <w:spacing w:after="0"/>
              <w:ind w:right="-360"/>
              <w:rPr>
                <w:sz w:val="22"/>
                <w:szCs w:val="22"/>
              </w:rPr>
            </w:pPr>
          </w:p>
        </w:tc>
        <w:tc>
          <w:tcPr>
            <w:tcW w:w="1800" w:type="dxa"/>
          </w:tcPr>
          <w:p w14:paraId="6224306F" w14:textId="77777777" w:rsidR="00157AAA" w:rsidRPr="001136D3" w:rsidRDefault="006C1BE5" w:rsidP="001136D3">
            <w:pPr>
              <w:spacing w:after="0"/>
              <w:ind w:right="-360"/>
              <w:rPr>
                <w:sz w:val="22"/>
                <w:szCs w:val="22"/>
              </w:rPr>
            </w:pPr>
            <w:r w:rsidRPr="001136D3">
              <w:rPr>
                <w:sz w:val="22"/>
                <w:szCs w:val="22"/>
              </w:rPr>
              <w:t>EO</w:t>
            </w:r>
          </w:p>
        </w:tc>
        <w:tc>
          <w:tcPr>
            <w:tcW w:w="5760" w:type="dxa"/>
          </w:tcPr>
          <w:p w14:paraId="2162ED11" w14:textId="77777777" w:rsidR="00157AAA" w:rsidRPr="001136D3" w:rsidRDefault="006C1BE5" w:rsidP="001136D3">
            <w:pPr>
              <w:spacing w:after="0"/>
              <w:ind w:right="-360"/>
              <w:rPr>
                <w:sz w:val="22"/>
                <w:szCs w:val="22"/>
              </w:rPr>
            </w:pPr>
            <w:r w:rsidRPr="001136D3">
              <w:rPr>
                <w:sz w:val="22"/>
                <w:szCs w:val="22"/>
              </w:rPr>
              <w:t>Economic Operator</w:t>
            </w:r>
          </w:p>
        </w:tc>
      </w:tr>
      <w:tr w:rsidR="00157AAA" w:rsidRPr="004E2D1C" w14:paraId="6CFCFCA7" w14:textId="77777777">
        <w:trPr>
          <w:cantSplit/>
        </w:trPr>
        <w:tc>
          <w:tcPr>
            <w:tcW w:w="720" w:type="dxa"/>
          </w:tcPr>
          <w:p w14:paraId="457DF28A" w14:textId="77777777" w:rsidR="00157AAA" w:rsidRPr="001136D3" w:rsidRDefault="00157AAA" w:rsidP="001136D3">
            <w:pPr>
              <w:spacing w:after="0"/>
              <w:ind w:right="-360"/>
              <w:rPr>
                <w:sz w:val="22"/>
                <w:szCs w:val="22"/>
              </w:rPr>
            </w:pPr>
          </w:p>
        </w:tc>
        <w:tc>
          <w:tcPr>
            <w:tcW w:w="1800" w:type="dxa"/>
          </w:tcPr>
          <w:p w14:paraId="0BCE6AEF" w14:textId="77777777" w:rsidR="00157AAA" w:rsidRPr="001136D3" w:rsidRDefault="006C1BE5" w:rsidP="001136D3">
            <w:pPr>
              <w:spacing w:after="0"/>
              <w:ind w:right="-360"/>
              <w:rPr>
                <w:sz w:val="22"/>
                <w:szCs w:val="22"/>
              </w:rPr>
            </w:pPr>
            <w:r w:rsidRPr="001136D3">
              <w:rPr>
                <w:sz w:val="22"/>
                <w:szCs w:val="22"/>
              </w:rPr>
              <w:t>EU CERTEX</w:t>
            </w:r>
          </w:p>
        </w:tc>
        <w:tc>
          <w:tcPr>
            <w:tcW w:w="5760" w:type="dxa"/>
          </w:tcPr>
          <w:p w14:paraId="08E8FB4A" w14:textId="47179E4F" w:rsidR="00157AAA" w:rsidRPr="001136D3" w:rsidRDefault="00AB65D5" w:rsidP="001136D3">
            <w:pPr>
              <w:spacing w:after="0"/>
              <w:ind w:right="-360"/>
              <w:rPr>
                <w:sz w:val="22"/>
                <w:szCs w:val="22"/>
              </w:rPr>
            </w:pPr>
            <w:r w:rsidRPr="001136D3">
              <w:rPr>
                <w:sz w:val="22"/>
                <w:szCs w:val="22"/>
                <w:shd w:val="clear" w:color="auto" w:fill="FFFFFF"/>
              </w:rPr>
              <w:t>Customs Single Window Certificates Exchange System</w:t>
            </w:r>
          </w:p>
        </w:tc>
      </w:tr>
      <w:tr w:rsidR="00157AAA" w:rsidRPr="004E2D1C" w14:paraId="5CE1BEF9" w14:textId="77777777">
        <w:trPr>
          <w:cantSplit/>
        </w:trPr>
        <w:tc>
          <w:tcPr>
            <w:tcW w:w="720" w:type="dxa"/>
          </w:tcPr>
          <w:p w14:paraId="40758A67" w14:textId="77777777" w:rsidR="00157AAA" w:rsidRPr="001136D3" w:rsidRDefault="00157AAA" w:rsidP="001136D3">
            <w:pPr>
              <w:spacing w:after="0"/>
              <w:ind w:right="-360"/>
              <w:rPr>
                <w:sz w:val="22"/>
                <w:szCs w:val="22"/>
              </w:rPr>
            </w:pPr>
          </w:p>
        </w:tc>
        <w:tc>
          <w:tcPr>
            <w:tcW w:w="1800" w:type="dxa"/>
          </w:tcPr>
          <w:p w14:paraId="784B7572" w14:textId="77777777" w:rsidR="00157AAA" w:rsidRPr="001136D3" w:rsidRDefault="006C1BE5" w:rsidP="001136D3">
            <w:pPr>
              <w:spacing w:after="0"/>
              <w:ind w:right="-360"/>
              <w:rPr>
                <w:sz w:val="22"/>
                <w:szCs w:val="22"/>
              </w:rPr>
            </w:pPr>
            <w:r w:rsidRPr="001136D3">
              <w:rPr>
                <w:sz w:val="22"/>
                <w:szCs w:val="22"/>
              </w:rPr>
              <w:t>FAT</w:t>
            </w:r>
          </w:p>
        </w:tc>
        <w:tc>
          <w:tcPr>
            <w:tcW w:w="5760" w:type="dxa"/>
          </w:tcPr>
          <w:p w14:paraId="01E58310" w14:textId="77777777" w:rsidR="00157AAA" w:rsidRPr="001136D3" w:rsidRDefault="006C1BE5" w:rsidP="001136D3">
            <w:pPr>
              <w:spacing w:after="0"/>
              <w:ind w:right="-360"/>
              <w:rPr>
                <w:sz w:val="22"/>
                <w:szCs w:val="22"/>
              </w:rPr>
            </w:pPr>
            <w:r w:rsidRPr="001136D3">
              <w:rPr>
                <w:sz w:val="22"/>
                <w:szCs w:val="22"/>
              </w:rPr>
              <w:t>Factory Acceptance Test</w:t>
            </w:r>
          </w:p>
        </w:tc>
      </w:tr>
      <w:tr w:rsidR="00157AAA" w:rsidRPr="004E2D1C" w14:paraId="3258E1DF" w14:textId="77777777">
        <w:trPr>
          <w:cantSplit/>
        </w:trPr>
        <w:tc>
          <w:tcPr>
            <w:tcW w:w="720" w:type="dxa"/>
          </w:tcPr>
          <w:p w14:paraId="5B683F35" w14:textId="77777777" w:rsidR="00157AAA" w:rsidRPr="001136D3" w:rsidRDefault="00157AAA" w:rsidP="001136D3">
            <w:pPr>
              <w:spacing w:after="0"/>
              <w:ind w:right="-360"/>
              <w:rPr>
                <w:sz w:val="22"/>
                <w:szCs w:val="22"/>
              </w:rPr>
            </w:pPr>
          </w:p>
        </w:tc>
        <w:tc>
          <w:tcPr>
            <w:tcW w:w="1800" w:type="dxa"/>
          </w:tcPr>
          <w:p w14:paraId="494DC28C" w14:textId="77777777" w:rsidR="00157AAA" w:rsidRPr="001136D3" w:rsidRDefault="006C1BE5" w:rsidP="001136D3">
            <w:pPr>
              <w:spacing w:after="0"/>
              <w:ind w:right="-360"/>
              <w:rPr>
                <w:sz w:val="22"/>
                <w:szCs w:val="22"/>
              </w:rPr>
            </w:pPr>
            <w:r w:rsidRPr="001136D3">
              <w:rPr>
                <w:sz w:val="22"/>
                <w:szCs w:val="22"/>
              </w:rPr>
              <w:t>FAQ</w:t>
            </w:r>
          </w:p>
        </w:tc>
        <w:tc>
          <w:tcPr>
            <w:tcW w:w="5760" w:type="dxa"/>
          </w:tcPr>
          <w:p w14:paraId="472D5D16" w14:textId="77777777" w:rsidR="00157AAA" w:rsidRPr="001136D3" w:rsidRDefault="006C1BE5" w:rsidP="001136D3">
            <w:pPr>
              <w:spacing w:after="0"/>
              <w:ind w:right="-360"/>
              <w:rPr>
                <w:sz w:val="22"/>
                <w:szCs w:val="22"/>
              </w:rPr>
            </w:pPr>
            <w:r w:rsidRPr="001136D3">
              <w:rPr>
                <w:sz w:val="22"/>
                <w:szCs w:val="22"/>
              </w:rPr>
              <w:t>Frequently Asked Questions</w:t>
            </w:r>
          </w:p>
        </w:tc>
      </w:tr>
      <w:tr w:rsidR="00157AAA" w:rsidRPr="004E2D1C" w14:paraId="457572C2" w14:textId="77777777">
        <w:trPr>
          <w:cantSplit/>
        </w:trPr>
        <w:tc>
          <w:tcPr>
            <w:tcW w:w="720" w:type="dxa"/>
          </w:tcPr>
          <w:p w14:paraId="16DDE96D" w14:textId="77777777" w:rsidR="00157AAA" w:rsidRPr="001136D3" w:rsidRDefault="00157AAA" w:rsidP="001136D3">
            <w:pPr>
              <w:spacing w:after="0"/>
              <w:ind w:right="-360"/>
              <w:rPr>
                <w:sz w:val="22"/>
                <w:szCs w:val="22"/>
              </w:rPr>
            </w:pPr>
          </w:p>
        </w:tc>
        <w:tc>
          <w:tcPr>
            <w:tcW w:w="1800" w:type="dxa"/>
          </w:tcPr>
          <w:p w14:paraId="5A50C407" w14:textId="77777777" w:rsidR="00157AAA" w:rsidRPr="001136D3" w:rsidRDefault="006C1BE5" w:rsidP="001136D3">
            <w:pPr>
              <w:spacing w:after="0"/>
              <w:ind w:right="-360"/>
              <w:rPr>
                <w:sz w:val="22"/>
                <w:szCs w:val="22"/>
              </w:rPr>
            </w:pPr>
            <w:r w:rsidRPr="001136D3">
              <w:rPr>
                <w:sz w:val="22"/>
                <w:szCs w:val="22"/>
              </w:rPr>
              <w:t>FR</w:t>
            </w:r>
          </w:p>
        </w:tc>
        <w:tc>
          <w:tcPr>
            <w:tcW w:w="5760" w:type="dxa"/>
          </w:tcPr>
          <w:p w14:paraId="677D1AAE" w14:textId="77777777" w:rsidR="00157AAA" w:rsidRPr="001136D3" w:rsidRDefault="006C1BE5" w:rsidP="001136D3">
            <w:pPr>
              <w:spacing w:after="0"/>
              <w:ind w:right="-360"/>
              <w:rPr>
                <w:sz w:val="22"/>
                <w:szCs w:val="22"/>
              </w:rPr>
            </w:pPr>
            <w:r w:rsidRPr="001136D3">
              <w:rPr>
                <w:sz w:val="22"/>
                <w:szCs w:val="22"/>
              </w:rPr>
              <w:t>Functional Requirements</w:t>
            </w:r>
          </w:p>
        </w:tc>
      </w:tr>
      <w:tr w:rsidR="00157AAA" w:rsidRPr="004E2D1C" w14:paraId="7DC2656E" w14:textId="77777777">
        <w:trPr>
          <w:cantSplit/>
        </w:trPr>
        <w:tc>
          <w:tcPr>
            <w:tcW w:w="720" w:type="dxa"/>
          </w:tcPr>
          <w:p w14:paraId="45C04562" w14:textId="77777777" w:rsidR="00157AAA" w:rsidRPr="001136D3" w:rsidRDefault="00157AAA" w:rsidP="001136D3">
            <w:pPr>
              <w:spacing w:after="0"/>
              <w:ind w:right="-360"/>
              <w:rPr>
                <w:sz w:val="22"/>
                <w:szCs w:val="22"/>
              </w:rPr>
            </w:pPr>
          </w:p>
        </w:tc>
        <w:tc>
          <w:tcPr>
            <w:tcW w:w="1800" w:type="dxa"/>
          </w:tcPr>
          <w:p w14:paraId="7C329052" w14:textId="77777777" w:rsidR="00157AAA" w:rsidRPr="001136D3" w:rsidRDefault="006C1BE5" w:rsidP="001136D3">
            <w:pPr>
              <w:spacing w:after="0"/>
              <w:ind w:right="-360"/>
              <w:rPr>
                <w:sz w:val="22"/>
                <w:szCs w:val="22"/>
              </w:rPr>
            </w:pPr>
            <w:r w:rsidRPr="001136D3">
              <w:rPr>
                <w:sz w:val="22"/>
                <w:szCs w:val="22"/>
              </w:rPr>
              <w:t>FTP</w:t>
            </w:r>
          </w:p>
        </w:tc>
        <w:tc>
          <w:tcPr>
            <w:tcW w:w="5760" w:type="dxa"/>
          </w:tcPr>
          <w:p w14:paraId="3AD7A42F" w14:textId="77777777" w:rsidR="00157AAA" w:rsidRPr="001136D3" w:rsidRDefault="006C1BE5" w:rsidP="001136D3">
            <w:pPr>
              <w:spacing w:after="0"/>
              <w:ind w:right="-360"/>
              <w:rPr>
                <w:sz w:val="22"/>
                <w:szCs w:val="22"/>
              </w:rPr>
            </w:pPr>
            <w:r w:rsidRPr="001136D3">
              <w:rPr>
                <w:sz w:val="22"/>
                <w:szCs w:val="22"/>
                <w:shd w:val="clear" w:color="auto" w:fill="FFFFFF"/>
              </w:rPr>
              <w:t>File Transfer Protocol</w:t>
            </w:r>
          </w:p>
        </w:tc>
      </w:tr>
      <w:tr w:rsidR="00157AAA" w:rsidRPr="004E2D1C" w14:paraId="2E3143BB" w14:textId="77777777">
        <w:trPr>
          <w:cantSplit/>
        </w:trPr>
        <w:tc>
          <w:tcPr>
            <w:tcW w:w="720" w:type="dxa"/>
          </w:tcPr>
          <w:p w14:paraId="25BA1C4E" w14:textId="77777777" w:rsidR="00157AAA" w:rsidRPr="001136D3" w:rsidRDefault="00157AAA" w:rsidP="001136D3">
            <w:pPr>
              <w:spacing w:after="0"/>
              <w:ind w:right="-360"/>
              <w:rPr>
                <w:sz w:val="22"/>
                <w:szCs w:val="22"/>
              </w:rPr>
            </w:pPr>
          </w:p>
        </w:tc>
        <w:tc>
          <w:tcPr>
            <w:tcW w:w="1800" w:type="dxa"/>
          </w:tcPr>
          <w:p w14:paraId="6FDCB32D" w14:textId="77777777" w:rsidR="00157AAA" w:rsidRPr="001136D3" w:rsidRDefault="006C1BE5" w:rsidP="001136D3">
            <w:pPr>
              <w:spacing w:after="0"/>
              <w:ind w:right="-360"/>
              <w:rPr>
                <w:sz w:val="22"/>
                <w:szCs w:val="22"/>
              </w:rPr>
            </w:pPr>
            <w:r w:rsidRPr="001136D3">
              <w:rPr>
                <w:sz w:val="22"/>
                <w:szCs w:val="22"/>
              </w:rPr>
              <w:t>HIPS</w:t>
            </w:r>
          </w:p>
        </w:tc>
        <w:tc>
          <w:tcPr>
            <w:tcW w:w="5760" w:type="dxa"/>
          </w:tcPr>
          <w:p w14:paraId="00D2B332" w14:textId="77777777" w:rsidR="00157AAA" w:rsidRPr="001136D3" w:rsidRDefault="006C1BE5" w:rsidP="001136D3">
            <w:pPr>
              <w:spacing w:after="0"/>
              <w:ind w:right="-360"/>
              <w:rPr>
                <w:sz w:val="22"/>
                <w:szCs w:val="22"/>
              </w:rPr>
            </w:pPr>
            <w:r w:rsidRPr="001136D3">
              <w:rPr>
                <w:sz w:val="22"/>
                <w:szCs w:val="22"/>
              </w:rPr>
              <w:t>Host Intrusion Prevention System</w:t>
            </w:r>
          </w:p>
        </w:tc>
      </w:tr>
      <w:tr w:rsidR="00157AAA" w:rsidRPr="004E2D1C" w14:paraId="5F02896A" w14:textId="77777777">
        <w:trPr>
          <w:cantSplit/>
        </w:trPr>
        <w:tc>
          <w:tcPr>
            <w:tcW w:w="720" w:type="dxa"/>
          </w:tcPr>
          <w:p w14:paraId="33002A1D" w14:textId="77777777" w:rsidR="00157AAA" w:rsidRPr="001136D3" w:rsidRDefault="00157AAA" w:rsidP="001136D3">
            <w:pPr>
              <w:spacing w:after="0"/>
              <w:ind w:right="-360"/>
              <w:rPr>
                <w:sz w:val="22"/>
                <w:szCs w:val="22"/>
              </w:rPr>
            </w:pPr>
          </w:p>
        </w:tc>
        <w:tc>
          <w:tcPr>
            <w:tcW w:w="1800" w:type="dxa"/>
          </w:tcPr>
          <w:p w14:paraId="285C5CF6" w14:textId="77777777" w:rsidR="00157AAA" w:rsidRPr="001136D3" w:rsidRDefault="006C1BE5" w:rsidP="001136D3">
            <w:pPr>
              <w:spacing w:after="0"/>
              <w:ind w:right="-360"/>
              <w:rPr>
                <w:sz w:val="22"/>
                <w:szCs w:val="22"/>
              </w:rPr>
            </w:pPr>
            <w:r w:rsidRPr="001136D3">
              <w:rPr>
                <w:sz w:val="22"/>
                <w:szCs w:val="22"/>
              </w:rPr>
              <w:t>HTTPS</w:t>
            </w:r>
          </w:p>
        </w:tc>
        <w:tc>
          <w:tcPr>
            <w:tcW w:w="5760" w:type="dxa"/>
          </w:tcPr>
          <w:p w14:paraId="7A6710F5" w14:textId="77777777" w:rsidR="00157AAA" w:rsidRPr="001136D3" w:rsidRDefault="006C1BE5" w:rsidP="001136D3">
            <w:pPr>
              <w:spacing w:after="0"/>
              <w:ind w:right="-360"/>
              <w:rPr>
                <w:sz w:val="22"/>
                <w:szCs w:val="22"/>
              </w:rPr>
            </w:pPr>
            <w:r w:rsidRPr="001136D3">
              <w:rPr>
                <w:sz w:val="22"/>
                <w:szCs w:val="22"/>
              </w:rPr>
              <w:t>Hypertext Transfer Protocol Secure</w:t>
            </w:r>
          </w:p>
        </w:tc>
      </w:tr>
      <w:tr w:rsidR="00157AAA" w:rsidRPr="004E2D1C" w14:paraId="376C0D79" w14:textId="77777777">
        <w:trPr>
          <w:cantSplit/>
        </w:trPr>
        <w:tc>
          <w:tcPr>
            <w:tcW w:w="720" w:type="dxa"/>
          </w:tcPr>
          <w:p w14:paraId="7F5E9A38" w14:textId="77777777" w:rsidR="00157AAA" w:rsidRPr="001136D3" w:rsidRDefault="00157AAA" w:rsidP="001136D3">
            <w:pPr>
              <w:spacing w:after="0"/>
              <w:ind w:right="-360"/>
              <w:rPr>
                <w:sz w:val="22"/>
                <w:szCs w:val="22"/>
              </w:rPr>
            </w:pPr>
          </w:p>
        </w:tc>
        <w:tc>
          <w:tcPr>
            <w:tcW w:w="1800" w:type="dxa"/>
          </w:tcPr>
          <w:p w14:paraId="6B4F5A11" w14:textId="77777777" w:rsidR="00157AAA" w:rsidRPr="001136D3" w:rsidRDefault="006C1BE5" w:rsidP="001136D3">
            <w:pPr>
              <w:spacing w:after="0"/>
              <w:ind w:right="-360"/>
              <w:rPr>
                <w:sz w:val="22"/>
                <w:szCs w:val="22"/>
              </w:rPr>
            </w:pPr>
            <w:r w:rsidRPr="001136D3">
              <w:rPr>
                <w:sz w:val="22"/>
                <w:szCs w:val="22"/>
              </w:rPr>
              <w:t>HS</w:t>
            </w:r>
          </w:p>
        </w:tc>
        <w:tc>
          <w:tcPr>
            <w:tcW w:w="5760" w:type="dxa"/>
          </w:tcPr>
          <w:p w14:paraId="5E3F249A" w14:textId="77777777" w:rsidR="00157AAA" w:rsidRPr="001136D3" w:rsidRDefault="006C1BE5" w:rsidP="001136D3">
            <w:pPr>
              <w:spacing w:after="0"/>
              <w:ind w:right="-360"/>
              <w:rPr>
                <w:sz w:val="22"/>
                <w:szCs w:val="22"/>
              </w:rPr>
            </w:pPr>
            <w:r w:rsidRPr="001136D3">
              <w:rPr>
                <w:sz w:val="22"/>
                <w:szCs w:val="22"/>
              </w:rPr>
              <w:t>Harmonized System</w:t>
            </w:r>
          </w:p>
        </w:tc>
      </w:tr>
      <w:tr w:rsidR="00157AAA" w:rsidRPr="004E2D1C" w14:paraId="53DCE05C" w14:textId="77777777">
        <w:trPr>
          <w:cantSplit/>
        </w:trPr>
        <w:tc>
          <w:tcPr>
            <w:tcW w:w="720" w:type="dxa"/>
          </w:tcPr>
          <w:p w14:paraId="474DB984" w14:textId="77777777" w:rsidR="00157AAA" w:rsidRPr="001136D3" w:rsidRDefault="00157AAA" w:rsidP="001136D3">
            <w:pPr>
              <w:spacing w:after="0"/>
              <w:ind w:right="-360"/>
              <w:rPr>
                <w:sz w:val="22"/>
                <w:szCs w:val="22"/>
              </w:rPr>
            </w:pPr>
          </w:p>
        </w:tc>
        <w:tc>
          <w:tcPr>
            <w:tcW w:w="1800" w:type="dxa"/>
          </w:tcPr>
          <w:p w14:paraId="0BD2DFA3" w14:textId="77777777" w:rsidR="00157AAA" w:rsidRPr="001136D3" w:rsidRDefault="006C1BE5" w:rsidP="001136D3">
            <w:pPr>
              <w:spacing w:after="0"/>
              <w:ind w:right="-360"/>
              <w:rPr>
                <w:sz w:val="22"/>
                <w:szCs w:val="22"/>
              </w:rPr>
            </w:pPr>
            <w:r w:rsidRPr="001136D3">
              <w:rPr>
                <w:sz w:val="22"/>
                <w:szCs w:val="22"/>
              </w:rPr>
              <w:t>IT</w:t>
            </w:r>
          </w:p>
        </w:tc>
        <w:tc>
          <w:tcPr>
            <w:tcW w:w="5760" w:type="dxa"/>
          </w:tcPr>
          <w:p w14:paraId="33DA2C29" w14:textId="77777777" w:rsidR="00157AAA" w:rsidRPr="001136D3" w:rsidRDefault="006C1BE5" w:rsidP="001136D3">
            <w:pPr>
              <w:spacing w:after="0"/>
              <w:ind w:right="-360"/>
              <w:rPr>
                <w:sz w:val="22"/>
                <w:szCs w:val="22"/>
              </w:rPr>
            </w:pPr>
            <w:r w:rsidRPr="001136D3">
              <w:rPr>
                <w:sz w:val="22"/>
                <w:szCs w:val="22"/>
              </w:rPr>
              <w:t>Integration Testing</w:t>
            </w:r>
          </w:p>
        </w:tc>
      </w:tr>
      <w:tr w:rsidR="00157AAA" w:rsidRPr="004E2D1C" w14:paraId="38F6844C" w14:textId="77777777">
        <w:trPr>
          <w:cantSplit/>
        </w:trPr>
        <w:tc>
          <w:tcPr>
            <w:tcW w:w="720" w:type="dxa"/>
          </w:tcPr>
          <w:p w14:paraId="5B97FD7D" w14:textId="77777777" w:rsidR="00157AAA" w:rsidRPr="001136D3" w:rsidRDefault="00157AAA" w:rsidP="001136D3">
            <w:pPr>
              <w:spacing w:after="0"/>
              <w:ind w:right="-360"/>
              <w:rPr>
                <w:sz w:val="22"/>
                <w:szCs w:val="22"/>
              </w:rPr>
            </w:pPr>
          </w:p>
        </w:tc>
        <w:tc>
          <w:tcPr>
            <w:tcW w:w="1800" w:type="dxa"/>
          </w:tcPr>
          <w:p w14:paraId="70E49CF8" w14:textId="77777777" w:rsidR="00157AAA" w:rsidRPr="001136D3" w:rsidRDefault="006C1BE5" w:rsidP="001136D3">
            <w:pPr>
              <w:spacing w:after="0"/>
              <w:ind w:right="-360"/>
              <w:rPr>
                <w:sz w:val="22"/>
                <w:szCs w:val="22"/>
              </w:rPr>
            </w:pPr>
            <w:r w:rsidRPr="001136D3">
              <w:rPr>
                <w:sz w:val="22"/>
                <w:szCs w:val="22"/>
              </w:rPr>
              <w:t>ICT</w:t>
            </w:r>
          </w:p>
        </w:tc>
        <w:tc>
          <w:tcPr>
            <w:tcW w:w="5760" w:type="dxa"/>
          </w:tcPr>
          <w:p w14:paraId="0D66B9E7" w14:textId="77777777" w:rsidR="00157AAA" w:rsidRPr="001136D3" w:rsidRDefault="006C1BE5" w:rsidP="001136D3">
            <w:pPr>
              <w:spacing w:after="0"/>
              <w:ind w:right="-360"/>
              <w:rPr>
                <w:sz w:val="22"/>
                <w:szCs w:val="22"/>
              </w:rPr>
            </w:pPr>
            <w:r w:rsidRPr="001136D3">
              <w:rPr>
                <w:sz w:val="22"/>
                <w:szCs w:val="22"/>
                <w:shd w:val="clear" w:color="auto" w:fill="FFFFFF"/>
              </w:rPr>
              <w:t>Information and communication technologies</w:t>
            </w:r>
          </w:p>
        </w:tc>
      </w:tr>
      <w:tr w:rsidR="00157AAA" w:rsidRPr="004E2D1C" w14:paraId="0F331BD4" w14:textId="77777777">
        <w:trPr>
          <w:cantSplit/>
        </w:trPr>
        <w:tc>
          <w:tcPr>
            <w:tcW w:w="720" w:type="dxa"/>
          </w:tcPr>
          <w:p w14:paraId="643E25FC" w14:textId="77777777" w:rsidR="00157AAA" w:rsidRPr="001136D3" w:rsidRDefault="00157AAA" w:rsidP="001136D3">
            <w:pPr>
              <w:spacing w:after="0"/>
              <w:ind w:right="-360"/>
              <w:rPr>
                <w:sz w:val="22"/>
                <w:szCs w:val="22"/>
              </w:rPr>
            </w:pPr>
          </w:p>
        </w:tc>
        <w:tc>
          <w:tcPr>
            <w:tcW w:w="1800" w:type="dxa"/>
          </w:tcPr>
          <w:p w14:paraId="3F440E3D" w14:textId="77777777" w:rsidR="00157AAA" w:rsidRPr="001136D3" w:rsidRDefault="006C1BE5" w:rsidP="001136D3">
            <w:pPr>
              <w:spacing w:after="0"/>
              <w:ind w:right="-360"/>
              <w:rPr>
                <w:sz w:val="22"/>
                <w:szCs w:val="22"/>
              </w:rPr>
            </w:pPr>
            <w:r w:rsidRPr="001136D3">
              <w:rPr>
                <w:sz w:val="22"/>
                <w:szCs w:val="22"/>
              </w:rPr>
              <w:t>ISPs</w:t>
            </w:r>
          </w:p>
        </w:tc>
        <w:tc>
          <w:tcPr>
            <w:tcW w:w="5760" w:type="dxa"/>
          </w:tcPr>
          <w:p w14:paraId="30E2FDE6" w14:textId="77777777" w:rsidR="00157AAA" w:rsidRPr="001136D3" w:rsidRDefault="006C1BE5" w:rsidP="001136D3">
            <w:pPr>
              <w:spacing w:after="0"/>
              <w:ind w:right="-360"/>
              <w:rPr>
                <w:sz w:val="22"/>
                <w:szCs w:val="22"/>
              </w:rPr>
            </w:pPr>
            <w:r w:rsidRPr="001136D3">
              <w:rPr>
                <w:sz w:val="22"/>
                <w:szCs w:val="22"/>
              </w:rPr>
              <w:t>Internet Service Providers</w:t>
            </w:r>
          </w:p>
        </w:tc>
      </w:tr>
      <w:tr w:rsidR="00157AAA" w:rsidRPr="004E2D1C" w14:paraId="0C6E5F9C" w14:textId="77777777">
        <w:trPr>
          <w:cantSplit/>
        </w:trPr>
        <w:tc>
          <w:tcPr>
            <w:tcW w:w="720" w:type="dxa"/>
          </w:tcPr>
          <w:p w14:paraId="36BF3B21" w14:textId="77777777" w:rsidR="00157AAA" w:rsidRPr="001136D3" w:rsidRDefault="00157AAA" w:rsidP="001136D3">
            <w:pPr>
              <w:spacing w:after="0"/>
              <w:ind w:right="-360"/>
              <w:rPr>
                <w:sz w:val="22"/>
                <w:szCs w:val="22"/>
              </w:rPr>
            </w:pPr>
          </w:p>
        </w:tc>
        <w:tc>
          <w:tcPr>
            <w:tcW w:w="1800" w:type="dxa"/>
          </w:tcPr>
          <w:p w14:paraId="614C33C8" w14:textId="77777777" w:rsidR="00157AAA" w:rsidRPr="001136D3" w:rsidRDefault="006C1BE5" w:rsidP="001136D3">
            <w:pPr>
              <w:spacing w:after="0"/>
              <w:ind w:right="-360"/>
              <w:rPr>
                <w:sz w:val="22"/>
                <w:szCs w:val="22"/>
              </w:rPr>
            </w:pPr>
            <w:r w:rsidRPr="001136D3">
              <w:rPr>
                <w:sz w:val="22"/>
                <w:szCs w:val="22"/>
              </w:rPr>
              <w:t>IoT</w:t>
            </w:r>
          </w:p>
        </w:tc>
        <w:tc>
          <w:tcPr>
            <w:tcW w:w="5760" w:type="dxa"/>
          </w:tcPr>
          <w:p w14:paraId="436B74D8" w14:textId="77777777" w:rsidR="00157AAA" w:rsidRPr="001136D3" w:rsidRDefault="006C1BE5" w:rsidP="001136D3">
            <w:pPr>
              <w:spacing w:after="0"/>
              <w:ind w:right="-360"/>
              <w:rPr>
                <w:sz w:val="22"/>
                <w:szCs w:val="22"/>
              </w:rPr>
            </w:pPr>
            <w:r w:rsidRPr="001136D3">
              <w:rPr>
                <w:sz w:val="22"/>
                <w:szCs w:val="22"/>
              </w:rPr>
              <w:t>Internet of Things</w:t>
            </w:r>
          </w:p>
        </w:tc>
      </w:tr>
      <w:tr w:rsidR="00157AAA" w:rsidRPr="004E2D1C" w14:paraId="6A9683F7" w14:textId="77777777">
        <w:trPr>
          <w:cantSplit/>
        </w:trPr>
        <w:tc>
          <w:tcPr>
            <w:tcW w:w="720" w:type="dxa"/>
          </w:tcPr>
          <w:p w14:paraId="01568EAF" w14:textId="77777777" w:rsidR="00157AAA" w:rsidRPr="001136D3" w:rsidRDefault="00157AAA" w:rsidP="001136D3">
            <w:pPr>
              <w:spacing w:after="0"/>
              <w:ind w:right="-360"/>
              <w:rPr>
                <w:sz w:val="22"/>
                <w:szCs w:val="22"/>
              </w:rPr>
            </w:pPr>
          </w:p>
        </w:tc>
        <w:tc>
          <w:tcPr>
            <w:tcW w:w="1800" w:type="dxa"/>
          </w:tcPr>
          <w:p w14:paraId="70AC8D16" w14:textId="77777777" w:rsidR="00157AAA" w:rsidRPr="001136D3" w:rsidRDefault="006C1BE5" w:rsidP="001136D3">
            <w:pPr>
              <w:spacing w:after="0"/>
              <w:ind w:right="-360"/>
              <w:rPr>
                <w:sz w:val="22"/>
                <w:szCs w:val="22"/>
              </w:rPr>
            </w:pPr>
            <w:r w:rsidRPr="001136D3">
              <w:rPr>
                <w:sz w:val="22"/>
                <w:szCs w:val="22"/>
              </w:rPr>
              <w:t>IE</w:t>
            </w:r>
          </w:p>
        </w:tc>
        <w:tc>
          <w:tcPr>
            <w:tcW w:w="5760" w:type="dxa"/>
          </w:tcPr>
          <w:p w14:paraId="26AD8A11" w14:textId="77777777" w:rsidR="00157AAA" w:rsidRPr="001136D3" w:rsidRDefault="006C1BE5" w:rsidP="001136D3">
            <w:pPr>
              <w:spacing w:after="0"/>
              <w:ind w:right="-360"/>
              <w:rPr>
                <w:sz w:val="22"/>
                <w:szCs w:val="22"/>
              </w:rPr>
            </w:pPr>
            <w:r w:rsidRPr="001136D3">
              <w:rPr>
                <w:sz w:val="22"/>
                <w:szCs w:val="22"/>
              </w:rPr>
              <w:t>Information Exchange</w:t>
            </w:r>
          </w:p>
        </w:tc>
      </w:tr>
      <w:tr w:rsidR="00157AAA" w:rsidRPr="004E2D1C" w14:paraId="32858830" w14:textId="77777777">
        <w:trPr>
          <w:cantSplit/>
        </w:trPr>
        <w:tc>
          <w:tcPr>
            <w:tcW w:w="720" w:type="dxa"/>
          </w:tcPr>
          <w:p w14:paraId="2B519A1C" w14:textId="77777777" w:rsidR="00157AAA" w:rsidRPr="001136D3" w:rsidRDefault="00157AAA" w:rsidP="001136D3">
            <w:pPr>
              <w:spacing w:after="0"/>
              <w:ind w:right="-360"/>
              <w:rPr>
                <w:sz w:val="22"/>
                <w:szCs w:val="22"/>
              </w:rPr>
            </w:pPr>
          </w:p>
        </w:tc>
        <w:tc>
          <w:tcPr>
            <w:tcW w:w="1800" w:type="dxa"/>
          </w:tcPr>
          <w:p w14:paraId="7491F5EA" w14:textId="77777777" w:rsidR="00157AAA" w:rsidRPr="001136D3" w:rsidRDefault="006C1BE5" w:rsidP="001136D3">
            <w:pPr>
              <w:spacing w:after="0"/>
              <w:ind w:right="-360"/>
              <w:rPr>
                <w:sz w:val="22"/>
                <w:szCs w:val="22"/>
              </w:rPr>
            </w:pPr>
            <w:r w:rsidRPr="001136D3">
              <w:rPr>
                <w:sz w:val="22"/>
                <w:szCs w:val="22"/>
              </w:rPr>
              <w:t>IDE</w:t>
            </w:r>
          </w:p>
        </w:tc>
        <w:tc>
          <w:tcPr>
            <w:tcW w:w="5760" w:type="dxa"/>
          </w:tcPr>
          <w:p w14:paraId="1E9418BB" w14:textId="77777777" w:rsidR="00157AAA" w:rsidRPr="001136D3" w:rsidRDefault="006C1BE5" w:rsidP="001136D3">
            <w:pPr>
              <w:spacing w:after="0"/>
              <w:ind w:right="-360"/>
              <w:rPr>
                <w:sz w:val="22"/>
                <w:szCs w:val="22"/>
              </w:rPr>
            </w:pPr>
            <w:r w:rsidRPr="001136D3">
              <w:rPr>
                <w:iCs/>
                <w:sz w:val="22"/>
                <w:szCs w:val="22"/>
              </w:rPr>
              <w:t>Integrated Development Environments</w:t>
            </w:r>
          </w:p>
        </w:tc>
      </w:tr>
      <w:tr w:rsidR="00157AAA" w:rsidRPr="004E2D1C" w14:paraId="2886E499" w14:textId="77777777">
        <w:trPr>
          <w:cantSplit/>
        </w:trPr>
        <w:tc>
          <w:tcPr>
            <w:tcW w:w="720" w:type="dxa"/>
          </w:tcPr>
          <w:p w14:paraId="47C67380" w14:textId="77777777" w:rsidR="00157AAA" w:rsidRPr="001136D3" w:rsidRDefault="00157AAA" w:rsidP="001136D3">
            <w:pPr>
              <w:spacing w:after="0"/>
              <w:ind w:right="-360"/>
              <w:rPr>
                <w:sz w:val="22"/>
                <w:szCs w:val="22"/>
              </w:rPr>
            </w:pPr>
          </w:p>
        </w:tc>
        <w:tc>
          <w:tcPr>
            <w:tcW w:w="1800" w:type="dxa"/>
          </w:tcPr>
          <w:p w14:paraId="2349DC14" w14:textId="77777777" w:rsidR="00157AAA" w:rsidRPr="001136D3" w:rsidRDefault="006C1BE5" w:rsidP="001136D3">
            <w:pPr>
              <w:spacing w:after="0"/>
              <w:ind w:right="-360"/>
              <w:rPr>
                <w:sz w:val="22"/>
                <w:szCs w:val="22"/>
              </w:rPr>
            </w:pPr>
            <w:r w:rsidRPr="001136D3">
              <w:rPr>
                <w:sz w:val="22"/>
                <w:szCs w:val="22"/>
              </w:rPr>
              <w:t>ITE</w:t>
            </w:r>
          </w:p>
        </w:tc>
        <w:tc>
          <w:tcPr>
            <w:tcW w:w="5760" w:type="dxa"/>
          </w:tcPr>
          <w:p w14:paraId="638CB84A" w14:textId="77777777" w:rsidR="00157AAA" w:rsidRPr="001136D3" w:rsidRDefault="006C1BE5" w:rsidP="001136D3">
            <w:pPr>
              <w:spacing w:after="0"/>
              <w:ind w:right="-360"/>
              <w:rPr>
                <w:sz w:val="22"/>
                <w:szCs w:val="22"/>
              </w:rPr>
            </w:pPr>
            <w:r w:rsidRPr="001136D3">
              <w:rPr>
                <w:sz w:val="22"/>
                <w:szCs w:val="22"/>
              </w:rPr>
              <w:t>Integrated Tariff Environment</w:t>
            </w:r>
          </w:p>
        </w:tc>
      </w:tr>
      <w:tr w:rsidR="00157AAA" w:rsidRPr="004E2D1C" w14:paraId="5E7991FF" w14:textId="77777777">
        <w:trPr>
          <w:cantSplit/>
        </w:trPr>
        <w:tc>
          <w:tcPr>
            <w:tcW w:w="720" w:type="dxa"/>
          </w:tcPr>
          <w:p w14:paraId="59FC82C5" w14:textId="77777777" w:rsidR="00157AAA" w:rsidRPr="001136D3" w:rsidRDefault="00157AAA" w:rsidP="001136D3">
            <w:pPr>
              <w:spacing w:after="0"/>
              <w:ind w:right="-360"/>
              <w:rPr>
                <w:sz w:val="22"/>
                <w:szCs w:val="22"/>
              </w:rPr>
            </w:pPr>
          </w:p>
        </w:tc>
        <w:tc>
          <w:tcPr>
            <w:tcW w:w="1800" w:type="dxa"/>
          </w:tcPr>
          <w:p w14:paraId="47319A74" w14:textId="77777777" w:rsidR="00157AAA" w:rsidRPr="001136D3" w:rsidRDefault="006C1BE5" w:rsidP="001136D3">
            <w:pPr>
              <w:spacing w:after="0"/>
              <w:ind w:right="-360"/>
              <w:rPr>
                <w:sz w:val="22"/>
                <w:szCs w:val="22"/>
              </w:rPr>
            </w:pPr>
            <w:r w:rsidRPr="001136D3">
              <w:rPr>
                <w:sz w:val="22"/>
                <w:szCs w:val="22"/>
              </w:rPr>
              <w:t>JSON</w:t>
            </w:r>
          </w:p>
        </w:tc>
        <w:tc>
          <w:tcPr>
            <w:tcW w:w="5760" w:type="dxa"/>
          </w:tcPr>
          <w:p w14:paraId="54FF3AA4" w14:textId="77777777" w:rsidR="00157AAA" w:rsidRPr="001136D3" w:rsidRDefault="006C1BE5" w:rsidP="001136D3">
            <w:pPr>
              <w:spacing w:after="0"/>
              <w:ind w:right="-360"/>
              <w:rPr>
                <w:sz w:val="22"/>
                <w:szCs w:val="22"/>
              </w:rPr>
            </w:pPr>
            <w:r w:rsidRPr="001136D3">
              <w:rPr>
                <w:iCs/>
                <w:sz w:val="22"/>
                <w:szCs w:val="22"/>
              </w:rPr>
              <w:t>JavaScript Object Notation</w:t>
            </w:r>
          </w:p>
        </w:tc>
      </w:tr>
      <w:tr w:rsidR="00157AAA" w:rsidRPr="004E2D1C" w14:paraId="3A7CE570" w14:textId="77777777">
        <w:trPr>
          <w:cantSplit/>
        </w:trPr>
        <w:tc>
          <w:tcPr>
            <w:tcW w:w="720" w:type="dxa"/>
          </w:tcPr>
          <w:p w14:paraId="78E2DD78" w14:textId="77777777" w:rsidR="00157AAA" w:rsidRPr="001136D3" w:rsidRDefault="00157AAA" w:rsidP="001136D3">
            <w:pPr>
              <w:spacing w:after="0"/>
              <w:ind w:right="-360"/>
              <w:rPr>
                <w:sz w:val="22"/>
                <w:szCs w:val="22"/>
              </w:rPr>
            </w:pPr>
          </w:p>
        </w:tc>
        <w:tc>
          <w:tcPr>
            <w:tcW w:w="1800" w:type="dxa"/>
          </w:tcPr>
          <w:p w14:paraId="32572BC5" w14:textId="77777777" w:rsidR="00157AAA" w:rsidRPr="001136D3" w:rsidRDefault="006C1BE5" w:rsidP="001136D3">
            <w:pPr>
              <w:spacing w:after="0"/>
              <w:ind w:right="-360"/>
              <w:rPr>
                <w:sz w:val="22"/>
                <w:szCs w:val="22"/>
              </w:rPr>
            </w:pPr>
            <w:r w:rsidRPr="001136D3">
              <w:rPr>
                <w:sz w:val="22"/>
                <w:szCs w:val="22"/>
              </w:rPr>
              <w:t>KPI</w:t>
            </w:r>
          </w:p>
        </w:tc>
        <w:tc>
          <w:tcPr>
            <w:tcW w:w="5760" w:type="dxa"/>
          </w:tcPr>
          <w:p w14:paraId="5537030D" w14:textId="77777777" w:rsidR="00157AAA" w:rsidRPr="001136D3" w:rsidRDefault="006C1BE5" w:rsidP="001136D3">
            <w:pPr>
              <w:spacing w:after="0"/>
              <w:ind w:right="-360"/>
              <w:rPr>
                <w:sz w:val="22"/>
                <w:szCs w:val="22"/>
              </w:rPr>
            </w:pPr>
            <w:r w:rsidRPr="001136D3">
              <w:rPr>
                <w:sz w:val="22"/>
                <w:szCs w:val="22"/>
              </w:rPr>
              <w:t>Key Performance Indicator</w:t>
            </w:r>
          </w:p>
        </w:tc>
      </w:tr>
      <w:tr w:rsidR="00157AAA" w:rsidRPr="004E2D1C" w14:paraId="7F8E0F7B" w14:textId="77777777">
        <w:trPr>
          <w:cantSplit/>
        </w:trPr>
        <w:tc>
          <w:tcPr>
            <w:tcW w:w="720" w:type="dxa"/>
          </w:tcPr>
          <w:p w14:paraId="647AB9C0" w14:textId="77777777" w:rsidR="00157AAA" w:rsidRPr="001136D3" w:rsidRDefault="00157AAA" w:rsidP="001136D3">
            <w:pPr>
              <w:spacing w:after="0"/>
              <w:ind w:right="-360"/>
              <w:rPr>
                <w:sz w:val="22"/>
                <w:szCs w:val="22"/>
              </w:rPr>
            </w:pPr>
          </w:p>
        </w:tc>
        <w:tc>
          <w:tcPr>
            <w:tcW w:w="1800" w:type="dxa"/>
          </w:tcPr>
          <w:p w14:paraId="5334E034" w14:textId="77777777" w:rsidR="00157AAA" w:rsidRPr="001136D3" w:rsidRDefault="006C1BE5" w:rsidP="001136D3">
            <w:pPr>
              <w:spacing w:after="0"/>
              <w:ind w:right="-360"/>
              <w:jc w:val="left"/>
              <w:rPr>
                <w:sz w:val="22"/>
                <w:szCs w:val="22"/>
              </w:rPr>
            </w:pPr>
            <w:r w:rsidRPr="001136D3">
              <w:rPr>
                <w:sz w:val="22"/>
                <w:szCs w:val="22"/>
              </w:rPr>
              <w:t>LAN</w:t>
            </w:r>
          </w:p>
        </w:tc>
        <w:tc>
          <w:tcPr>
            <w:tcW w:w="5760" w:type="dxa"/>
          </w:tcPr>
          <w:p w14:paraId="2E8A027C" w14:textId="77777777" w:rsidR="00157AAA" w:rsidRPr="001136D3" w:rsidRDefault="006C1BE5" w:rsidP="001136D3">
            <w:pPr>
              <w:spacing w:after="0"/>
              <w:ind w:right="-360"/>
              <w:rPr>
                <w:sz w:val="22"/>
                <w:szCs w:val="22"/>
              </w:rPr>
            </w:pPr>
            <w:r w:rsidRPr="001136D3">
              <w:rPr>
                <w:sz w:val="22"/>
                <w:szCs w:val="22"/>
              </w:rPr>
              <w:t>Local Area Network</w:t>
            </w:r>
          </w:p>
        </w:tc>
      </w:tr>
      <w:tr w:rsidR="00157AAA" w:rsidRPr="004E2D1C" w14:paraId="73003CD2" w14:textId="77777777">
        <w:trPr>
          <w:cantSplit/>
        </w:trPr>
        <w:tc>
          <w:tcPr>
            <w:tcW w:w="720" w:type="dxa"/>
          </w:tcPr>
          <w:p w14:paraId="07F4E9FB" w14:textId="77777777" w:rsidR="00157AAA" w:rsidRPr="001136D3" w:rsidRDefault="00157AAA" w:rsidP="001136D3">
            <w:pPr>
              <w:spacing w:after="0"/>
              <w:ind w:right="-360"/>
              <w:rPr>
                <w:sz w:val="22"/>
                <w:szCs w:val="22"/>
              </w:rPr>
            </w:pPr>
          </w:p>
        </w:tc>
        <w:tc>
          <w:tcPr>
            <w:tcW w:w="1800" w:type="dxa"/>
          </w:tcPr>
          <w:p w14:paraId="59C1053E" w14:textId="77777777" w:rsidR="00157AAA" w:rsidRPr="001136D3" w:rsidRDefault="006C1BE5" w:rsidP="001136D3">
            <w:pPr>
              <w:spacing w:after="0"/>
              <w:ind w:right="-360"/>
              <w:jc w:val="left"/>
              <w:rPr>
                <w:sz w:val="22"/>
                <w:szCs w:val="22"/>
              </w:rPr>
            </w:pPr>
            <w:r w:rsidRPr="001136D3">
              <w:rPr>
                <w:sz w:val="22"/>
                <w:szCs w:val="22"/>
              </w:rPr>
              <w:t>LPCO</w:t>
            </w:r>
          </w:p>
        </w:tc>
        <w:tc>
          <w:tcPr>
            <w:tcW w:w="5760" w:type="dxa"/>
          </w:tcPr>
          <w:p w14:paraId="5CF30B2A" w14:textId="77777777" w:rsidR="00157AAA" w:rsidRPr="001136D3" w:rsidRDefault="006C1BE5" w:rsidP="001136D3">
            <w:pPr>
              <w:spacing w:after="0"/>
              <w:ind w:right="-360"/>
              <w:rPr>
                <w:sz w:val="22"/>
                <w:szCs w:val="22"/>
              </w:rPr>
            </w:pPr>
            <w:r w:rsidRPr="001136D3">
              <w:rPr>
                <w:sz w:val="22"/>
                <w:szCs w:val="22"/>
              </w:rPr>
              <w:t>License, Permit, Certificate, and Other</w:t>
            </w:r>
          </w:p>
        </w:tc>
      </w:tr>
      <w:tr w:rsidR="00157AAA" w:rsidRPr="004E2D1C" w14:paraId="04F055C0" w14:textId="77777777">
        <w:trPr>
          <w:cantSplit/>
        </w:trPr>
        <w:tc>
          <w:tcPr>
            <w:tcW w:w="720" w:type="dxa"/>
          </w:tcPr>
          <w:p w14:paraId="6B2A3A13" w14:textId="77777777" w:rsidR="00157AAA" w:rsidRPr="001136D3" w:rsidRDefault="00157AAA" w:rsidP="001136D3">
            <w:pPr>
              <w:spacing w:after="0"/>
              <w:ind w:right="-360"/>
              <w:rPr>
                <w:sz w:val="22"/>
                <w:szCs w:val="22"/>
              </w:rPr>
            </w:pPr>
          </w:p>
        </w:tc>
        <w:tc>
          <w:tcPr>
            <w:tcW w:w="1800" w:type="dxa"/>
          </w:tcPr>
          <w:p w14:paraId="4E02D96C" w14:textId="77777777" w:rsidR="00157AAA" w:rsidRPr="001136D3" w:rsidRDefault="006C1BE5" w:rsidP="001136D3">
            <w:pPr>
              <w:spacing w:after="0"/>
              <w:ind w:right="-360"/>
              <w:jc w:val="left"/>
              <w:rPr>
                <w:sz w:val="22"/>
                <w:szCs w:val="22"/>
              </w:rPr>
            </w:pPr>
            <w:r w:rsidRPr="001136D3">
              <w:rPr>
                <w:sz w:val="22"/>
                <w:szCs w:val="22"/>
              </w:rPr>
              <w:t>LDAP</w:t>
            </w:r>
          </w:p>
        </w:tc>
        <w:tc>
          <w:tcPr>
            <w:tcW w:w="5760" w:type="dxa"/>
          </w:tcPr>
          <w:p w14:paraId="5E5BDB13" w14:textId="77777777" w:rsidR="00157AAA" w:rsidRPr="001136D3" w:rsidRDefault="006C1BE5" w:rsidP="001136D3">
            <w:pPr>
              <w:spacing w:after="0"/>
              <w:ind w:right="-360"/>
              <w:rPr>
                <w:sz w:val="22"/>
                <w:szCs w:val="22"/>
              </w:rPr>
            </w:pPr>
            <w:r w:rsidRPr="001136D3">
              <w:rPr>
                <w:sz w:val="22"/>
                <w:szCs w:val="22"/>
                <w:shd w:val="clear" w:color="auto" w:fill="FFFFFF"/>
              </w:rPr>
              <w:t>Lightweight Directory Access Protocol</w:t>
            </w:r>
          </w:p>
        </w:tc>
      </w:tr>
      <w:tr w:rsidR="00157AAA" w:rsidRPr="004E2D1C" w14:paraId="236E0C57" w14:textId="77777777">
        <w:trPr>
          <w:cantSplit/>
        </w:trPr>
        <w:tc>
          <w:tcPr>
            <w:tcW w:w="720" w:type="dxa"/>
          </w:tcPr>
          <w:p w14:paraId="1316652B" w14:textId="77777777" w:rsidR="00157AAA" w:rsidRPr="001136D3" w:rsidRDefault="00157AAA" w:rsidP="001136D3">
            <w:pPr>
              <w:spacing w:after="0"/>
              <w:ind w:right="-360"/>
              <w:rPr>
                <w:sz w:val="22"/>
                <w:szCs w:val="22"/>
              </w:rPr>
            </w:pPr>
          </w:p>
        </w:tc>
        <w:tc>
          <w:tcPr>
            <w:tcW w:w="1800" w:type="dxa"/>
          </w:tcPr>
          <w:p w14:paraId="5D33E1DC" w14:textId="77777777" w:rsidR="00157AAA" w:rsidRPr="001136D3" w:rsidRDefault="006C1BE5" w:rsidP="001136D3">
            <w:pPr>
              <w:spacing w:after="0"/>
              <w:ind w:right="-360"/>
              <w:jc w:val="left"/>
              <w:rPr>
                <w:sz w:val="22"/>
                <w:szCs w:val="22"/>
              </w:rPr>
            </w:pPr>
            <w:r w:rsidRPr="001136D3">
              <w:rPr>
                <w:sz w:val="22"/>
                <w:szCs w:val="22"/>
              </w:rPr>
              <w:t>MALMED</w:t>
            </w:r>
          </w:p>
        </w:tc>
        <w:tc>
          <w:tcPr>
            <w:tcW w:w="5760" w:type="dxa"/>
          </w:tcPr>
          <w:p w14:paraId="2A6C9A74" w14:textId="77777777" w:rsidR="00157AAA" w:rsidRPr="001136D3" w:rsidRDefault="006C1BE5" w:rsidP="001136D3">
            <w:pPr>
              <w:spacing w:after="0"/>
              <w:ind w:right="-360"/>
              <w:rPr>
                <w:sz w:val="22"/>
                <w:szCs w:val="22"/>
              </w:rPr>
            </w:pPr>
            <w:r w:rsidRPr="001136D3">
              <w:rPr>
                <w:sz w:val="22"/>
                <w:szCs w:val="22"/>
              </w:rPr>
              <w:t>The Agency for Medicines and Medical Devices</w:t>
            </w:r>
          </w:p>
        </w:tc>
      </w:tr>
      <w:tr w:rsidR="00157AAA" w:rsidRPr="004E2D1C" w14:paraId="068E18F1" w14:textId="77777777">
        <w:trPr>
          <w:cantSplit/>
        </w:trPr>
        <w:tc>
          <w:tcPr>
            <w:tcW w:w="720" w:type="dxa"/>
          </w:tcPr>
          <w:p w14:paraId="4FDC21EC" w14:textId="77777777" w:rsidR="00157AAA" w:rsidRPr="001136D3" w:rsidRDefault="00157AAA" w:rsidP="001136D3">
            <w:pPr>
              <w:spacing w:after="0"/>
              <w:ind w:right="-360"/>
              <w:rPr>
                <w:sz w:val="22"/>
                <w:szCs w:val="22"/>
              </w:rPr>
            </w:pPr>
          </w:p>
        </w:tc>
        <w:tc>
          <w:tcPr>
            <w:tcW w:w="1800" w:type="dxa"/>
          </w:tcPr>
          <w:p w14:paraId="4B0E3D0A" w14:textId="77777777" w:rsidR="00157AAA" w:rsidRPr="001136D3" w:rsidRDefault="006C1BE5" w:rsidP="001136D3">
            <w:pPr>
              <w:spacing w:after="0"/>
              <w:ind w:right="-360"/>
              <w:jc w:val="left"/>
              <w:rPr>
                <w:sz w:val="22"/>
                <w:szCs w:val="22"/>
              </w:rPr>
            </w:pPr>
            <w:r w:rsidRPr="001136D3">
              <w:rPr>
                <w:sz w:val="22"/>
                <w:szCs w:val="22"/>
              </w:rPr>
              <w:t>MoU</w:t>
            </w:r>
          </w:p>
        </w:tc>
        <w:tc>
          <w:tcPr>
            <w:tcW w:w="5760" w:type="dxa"/>
          </w:tcPr>
          <w:p w14:paraId="7C488E75" w14:textId="77777777" w:rsidR="00157AAA" w:rsidRPr="001136D3" w:rsidRDefault="006C1BE5" w:rsidP="001136D3">
            <w:pPr>
              <w:spacing w:after="0"/>
              <w:ind w:right="-360"/>
              <w:rPr>
                <w:sz w:val="22"/>
                <w:szCs w:val="22"/>
              </w:rPr>
            </w:pPr>
            <w:r w:rsidRPr="001136D3">
              <w:rPr>
                <w:sz w:val="22"/>
                <w:szCs w:val="22"/>
              </w:rPr>
              <w:t>Memorandum of Understanding</w:t>
            </w:r>
          </w:p>
        </w:tc>
      </w:tr>
      <w:tr w:rsidR="00157AAA" w:rsidRPr="004E2D1C" w14:paraId="5A0E0C75" w14:textId="77777777">
        <w:trPr>
          <w:cantSplit/>
        </w:trPr>
        <w:tc>
          <w:tcPr>
            <w:tcW w:w="720" w:type="dxa"/>
          </w:tcPr>
          <w:p w14:paraId="145F8189" w14:textId="77777777" w:rsidR="00157AAA" w:rsidRPr="001136D3" w:rsidRDefault="00157AAA" w:rsidP="001136D3">
            <w:pPr>
              <w:spacing w:after="0"/>
              <w:ind w:right="-360"/>
              <w:rPr>
                <w:sz w:val="22"/>
                <w:szCs w:val="22"/>
              </w:rPr>
            </w:pPr>
          </w:p>
        </w:tc>
        <w:tc>
          <w:tcPr>
            <w:tcW w:w="1800" w:type="dxa"/>
          </w:tcPr>
          <w:p w14:paraId="2EF93026" w14:textId="77777777" w:rsidR="00157AAA" w:rsidRPr="001136D3" w:rsidRDefault="006C1BE5" w:rsidP="001136D3">
            <w:pPr>
              <w:spacing w:after="0"/>
              <w:ind w:right="-360"/>
              <w:jc w:val="left"/>
              <w:rPr>
                <w:sz w:val="22"/>
                <w:szCs w:val="22"/>
              </w:rPr>
            </w:pPr>
            <w:r w:rsidRPr="001136D3">
              <w:rPr>
                <w:sz w:val="22"/>
                <w:szCs w:val="22"/>
              </w:rPr>
              <w:t>MTP</w:t>
            </w:r>
          </w:p>
        </w:tc>
        <w:tc>
          <w:tcPr>
            <w:tcW w:w="5760" w:type="dxa"/>
          </w:tcPr>
          <w:p w14:paraId="28B8F14E" w14:textId="77777777" w:rsidR="00157AAA" w:rsidRPr="001136D3" w:rsidRDefault="006C1BE5" w:rsidP="001136D3">
            <w:pPr>
              <w:spacing w:after="0"/>
              <w:ind w:right="-360"/>
              <w:rPr>
                <w:sz w:val="22"/>
                <w:szCs w:val="22"/>
              </w:rPr>
            </w:pPr>
            <w:r w:rsidRPr="001136D3">
              <w:rPr>
                <w:iCs/>
                <w:sz w:val="22"/>
                <w:szCs w:val="22"/>
              </w:rPr>
              <w:t>Master Test Plan</w:t>
            </w:r>
          </w:p>
        </w:tc>
      </w:tr>
      <w:tr w:rsidR="00157AAA" w:rsidRPr="004E2D1C" w14:paraId="517007AB" w14:textId="77777777">
        <w:trPr>
          <w:cantSplit/>
        </w:trPr>
        <w:tc>
          <w:tcPr>
            <w:tcW w:w="720" w:type="dxa"/>
          </w:tcPr>
          <w:p w14:paraId="6800DD83" w14:textId="77777777" w:rsidR="00157AAA" w:rsidRPr="001136D3" w:rsidRDefault="00157AAA" w:rsidP="001136D3">
            <w:pPr>
              <w:spacing w:after="0"/>
              <w:ind w:right="-360"/>
              <w:rPr>
                <w:sz w:val="22"/>
                <w:szCs w:val="22"/>
              </w:rPr>
            </w:pPr>
          </w:p>
        </w:tc>
        <w:tc>
          <w:tcPr>
            <w:tcW w:w="1800" w:type="dxa"/>
          </w:tcPr>
          <w:p w14:paraId="043ED1D8" w14:textId="77777777" w:rsidR="00157AAA" w:rsidRPr="001136D3" w:rsidRDefault="006C1BE5" w:rsidP="001136D3">
            <w:pPr>
              <w:spacing w:after="0"/>
              <w:ind w:right="-360"/>
              <w:jc w:val="left"/>
              <w:rPr>
                <w:sz w:val="22"/>
                <w:szCs w:val="22"/>
              </w:rPr>
            </w:pPr>
            <w:r w:rsidRPr="001136D3">
              <w:rPr>
                <w:sz w:val="22"/>
                <w:szCs w:val="22"/>
              </w:rPr>
              <w:t>NCTS</w:t>
            </w:r>
          </w:p>
        </w:tc>
        <w:tc>
          <w:tcPr>
            <w:tcW w:w="5760" w:type="dxa"/>
          </w:tcPr>
          <w:p w14:paraId="79050A7B" w14:textId="77777777" w:rsidR="00157AAA" w:rsidRPr="001136D3" w:rsidRDefault="006C1BE5" w:rsidP="001136D3">
            <w:pPr>
              <w:spacing w:after="0"/>
              <w:ind w:right="-360"/>
              <w:rPr>
                <w:sz w:val="22"/>
                <w:szCs w:val="22"/>
              </w:rPr>
            </w:pPr>
            <w:r w:rsidRPr="001136D3">
              <w:rPr>
                <w:sz w:val="22"/>
                <w:szCs w:val="22"/>
                <w:shd w:val="clear" w:color="auto" w:fill="FFFFFF"/>
              </w:rPr>
              <w:t>New Computerized Transit System</w:t>
            </w:r>
          </w:p>
        </w:tc>
      </w:tr>
      <w:tr w:rsidR="00157AAA" w:rsidRPr="004E2D1C" w14:paraId="5A35F2A2" w14:textId="77777777">
        <w:trPr>
          <w:cantSplit/>
        </w:trPr>
        <w:tc>
          <w:tcPr>
            <w:tcW w:w="720" w:type="dxa"/>
          </w:tcPr>
          <w:p w14:paraId="51E3160B" w14:textId="77777777" w:rsidR="00157AAA" w:rsidRPr="001136D3" w:rsidRDefault="00157AAA" w:rsidP="001136D3">
            <w:pPr>
              <w:spacing w:after="0"/>
              <w:ind w:right="-360"/>
              <w:rPr>
                <w:sz w:val="22"/>
                <w:szCs w:val="22"/>
              </w:rPr>
            </w:pPr>
          </w:p>
        </w:tc>
        <w:tc>
          <w:tcPr>
            <w:tcW w:w="1800" w:type="dxa"/>
          </w:tcPr>
          <w:p w14:paraId="0FD1858E" w14:textId="77777777" w:rsidR="00157AAA" w:rsidRPr="001136D3" w:rsidRDefault="006C1BE5" w:rsidP="001136D3">
            <w:pPr>
              <w:spacing w:after="0"/>
              <w:ind w:right="-360"/>
              <w:jc w:val="left"/>
              <w:rPr>
                <w:sz w:val="22"/>
                <w:szCs w:val="22"/>
              </w:rPr>
            </w:pPr>
            <w:r w:rsidRPr="001136D3">
              <w:rPr>
                <w:sz w:val="22"/>
                <w:szCs w:val="22"/>
              </w:rPr>
              <w:t>OLAP</w:t>
            </w:r>
          </w:p>
        </w:tc>
        <w:tc>
          <w:tcPr>
            <w:tcW w:w="5760" w:type="dxa"/>
          </w:tcPr>
          <w:p w14:paraId="73FD5F17" w14:textId="77777777" w:rsidR="00157AAA" w:rsidRPr="001136D3" w:rsidRDefault="006C1BE5" w:rsidP="001136D3">
            <w:pPr>
              <w:spacing w:after="0"/>
              <w:ind w:right="-360"/>
              <w:rPr>
                <w:sz w:val="22"/>
                <w:szCs w:val="22"/>
              </w:rPr>
            </w:pPr>
            <w:r w:rsidRPr="001136D3">
              <w:rPr>
                <w:sz w:val="22"/>
                <w:szCs w:val="22"/>
              </w:rPr>
              <w:t>On-Line Analytical Process</w:t>
            </w:r>
          </w:p>
        </w:tc>
      </w:tr>
      <w:tr w:rsidR="00157AAA" w:rsidRPr="004E2D1C" w14:paraId="5B0D820D" w14:textId="77777777">
        <w:trPr>
          <w:cantSplit/>
        </w:trPr>
        <w:tc>
          <w:tcPr>
            <w:tcW w:w="720" w:type="dxa"/>
          </w:tcPr>
          <w:p w14:paraId="62AA25AA" w14:textId="77777777" w:rsidR="00157AAA" w:rsidRPr="001136D3" w:rsidRDefault="00157AAA" w:rsidP="001136D3">
            <w:pPr>
              <w:spacing w:after="0"/>
              <w:ind w:right="-360"/>
              <w:rPr>
                <w:sz w:val="22"/>
                <w:szCs w:val="22"/>
              </w:rPr>
            </w:pPr>
          </w:p>
        </w:tc>
        <w:tc>
          <w:tcPr>
            <w:tcW w:w="1800" w:type="dxa"/>
          </w:tcPr>
          <w:p w14:paraId="3473CB6B" w14:textId="77777777" w:rsidR="00157AAA" w:rsidRPr="001136D3" w:rsidRDefault="006C1BE5" w:rsidP="001136D3">
            <w:pPr>
              <w:spacing w:after="0"/>
              <w:ind w:right="-360"/>
              <w:jc w:val="left"/>
              <w:rPr>
                <w:sz w:val="22"/>
                <w:szCs w:val="22"/>
              </w:rPr>
            </w:pPr>
            <w:r w:rsidRPr="001136D3">
              <w:rPr>
                <w:sz w:val="22"/>
                <w:szCs w:val="22"/>
              </w:rPr>
              <w:t>PCA</w:t>
            </w:r>
          </w:p>
        </w:tc>
        <w:tc>
          <w:tcPr>
            <w:tcW w:w="5760" w:type="dxa"/>
          </w:tcPr>
          <w:p w14:paraId="594F877C" w14:textId="77777777" w:rsidR="00157AAA" w:rsidRPr="001136D3" w:rsidRDefault="006C1BE5" w:rsidP="001136D3">
            <w:pPr>
              <w:spacing w:after="0"/>
              <w:ind w:right="-360"/>
              <w:rPr>
                <w:sz w:val="22"/>
                <w:szCs w:val="22"/>
              </w:rPr>
            </w:pPr>
            <w:r w:rsidRPr="001136D3">
              <w:rPr>
                <w:sz w:val="22"/>
                <w:szCs w:val="22"/>
              </w:rPr>
              <w:t>Post-Clearance Audit</w:t>
            </w:r>
          </w:p>
        </w:tc>
      </w:tr>
      <w:tr w:rsidR="00157AAA" w:rsidRPr="004E2D1C" w14:paraId="2ABAD93F" w14:textId="77777777">
        <w:trPr>
          <w:cantSplit/>
        </w:trPr>
        <w:tc>
          <w:tcPr>
            <w:tcW w:w="720" w:type="dxa"/>
          </w:tcPr>
          <w:p w14:paraId="30431D0B" w14:textId="77777777" w:rsidR="00157AAA" w:rsidRPr="001136D3" w:rsidRDefault="00157AAA" w:rsidP="001136D3">
            <w:pPr>
              <w:spacing w:after="0"/>
              <w:ind w:right="-360"/>
              <w:rPr>
                <w:sz w:val="22"/>
                <w:szCs w:val="22"/>
              </w:rPr>
            </w:pPr>
          </w:p>
        </w:tc>
        <w:tc>
          <w:tcPr>
            <w:tcW w:w="1800" w:type="dxa"/>
          </w:tcPr>
          <w:p w14:paraId="19BDED30" w14:textId="77777777" w:rsidR="00157AAA" w:rsidRPr="001136D3" w:rsidRDefault="006C1BE5" w:rsidP="001136D3">
            <w:pPr>
              <w:spacing w:after="0"/>
              <w:ind w:right="-360"/>
              <w:jc w:val="left"/>
              <w:rPr>
                <w:sz w:val="22"/>
                <w:szCs w:val="22"/>
              </w:rPr>
            </w:pPr>
            <w:r w:rsidRPr="001136D3">
              <w:rPr>
                <w:sz w:val="22"/>
                <w:szCs w:val="22"/>
              </w:rPr>
              <w:t>PCI DSS</w:t>
            </w:r>
          </w:p>
        </w:tc>
        <w:tc>
          <w:tcPr>
            <w:tcW w:w="5760" w:type="dxa"/>
          </w:tcPr>
          <w:p w14:paraId="26411B23" w14:textId="77777777" w:rsidR="00157AAA" w:rsidRPr="001136D3" w:rsidRDefault="006C1BE5" w:rsidP="001136D3">
            <w:pPr>
              <w:spacing w:after="0"/>
              <w:ind w:right="-360"/>
              <w:rPr>
                <w:sz w:val="22"/>
                <w:szCs w:val="22"/>
              </w:rPr>
            </w:pPr>
            <w:r w:rsidRPr="001136D3">
              <w:rPr>
                <w:sz w:val="22"/>
                <w:szCs w:val="22"/>
                <w:lang w:val="mk-MK"/>
              </w:rPr>
              <w:t>Payment Card Industry Data Security Standard</w:t>
            </w:r>
          </w:p>
        </w:tc>
      </w:tr>
      <w:tr w:rsidR="00157AAA" w:rsidRPr="004E2D1C" w14:paraId="4CD4CC26" w14:textId="77777777">
        <w:trPr>
          <w:cantSplit/>
        </w:trPr>
        <w:tc>
          <w:tcPr>
            <w:tcW w:w="720" w:type="dxa"/>
          </w:tcPr>
          <w:p w14:paraId="5D2CFCF5" w14:textId="77777777" w:rsidR="00157AAA" w:rsidRPr="001136D3" w:rsidRDefault="00157AAA" w:rsidP="001136D3">
            <w:pPr>
              <w:spacing w:after="0"/>
              <w:ind w:right="-360"/>
              <w:rPr>
                <w:sz w:val="22"/>
                <w:szCs w:val="22"/>
              </w:rPr>
            </w:pPr>
          </w:p>
        </w:tc>
        <w:tc>
          <w:tcPr>
            <w:tcW w:w="1800" w:type="dxa"/>
          </w:tcPr>
          <w:p w14:paraId="21F13040" w14:textId="77777777" w:rsidR="00157AAA" w:rsidRPr="001136D3" w:rsidRDefault="006C1BE5" w:rsidP="001136D3">
            <w:pPr>
              <w:spacing w:after="0"/>
              <w:ind w:right="-360"/>
              <w:jc w:val="left"/>
              <w:rPr>
                <w:sz w:val="22"/>
                <w:szCs w:val="22"/>
              </w:rPr>
            </w:pPr>
            <w:r w:rsidRPr="001136D3">
              <w:rPr>
                <w:sz w:val="22"/>
                <w:szCs w:val="22"/>
              </w:rPr>
              <w:t>PDF</w:t>
            </w:r>
          </w:p>
        </w:tc>
        <w:tc>
          <w:tcPr>
            <w:tcW w:w="5760" w:type="dxa"/>
          </w:tcPr>
          <w:p w14:paraId="3CD4DAA5" w14:textId="77777777" w:rsidR="00157AAA" w:rsidRPr="001136D3" w:rsidRDefault="006C1BE5" w:rsidP="001136D3">
            <w:pPr>
              <w:spacing w:after="0"/>
              <w:ind w:right="-360"/>
              <w:rPr>
                <w:sz w:val="22"/>
                <w:szCs w:val="22"/>
              </w:rPr>
            </w:pPr>
            <w:r w:rsidRPr="001136D3">
              <w:rPr>
                <w:sz w:val="22"/>
                <w:szCs w:val="22"/>
              </w:rPr>
              <w:t>Portable Document Format</w:t>
            </w:r>
          </w:p>
        </w:tc>
      </w:tr>
      <w:tr w:rsidR="00157AAA" w:rsidRPr="004E2D1C" w14:paraId="0604C159" w14:textId="77777777">
        <w:trPr>
          <w:cantSplit/>
        </w:trPr>
        <w:tc>
          <w:tcPr>
            <w:tcW w:w="720" w:type="dxa"/>
          </w:tcPr>
          <w:p w14:paraId="1AA8B057" w14:textId="77777777" w:rsidR="00157AAA" w:rsidRPr="001136D3" w:rsidRDefault="00157AAA" w:rsidP="001136D3">
            <w:pPr>
              <w:spacing w:after="0"/>
              <w:ind w:right="-360"/>
              <w:rPr>
                <w:sz w:val="22"/>
                <w:szCs w:val="22"/>
              </w:rPr>
            </w:pPr>
          </w:p>
        </w:tc>
        <w:tc>
          <w:tcPr>
            <w:tcW w:w="1800" w:type="dxa"/>
          </w:tcPr>
          <w:p w14:paraId="5481A79C" w14:textId="77777777" w:rsidR="00157AAA" w:rsidRPr="001136D3" w:rsidRDefault="006C1BE5" w:rsidP="001136D3">
            <w:pPr>
              <w:spacing w:after="0"/>
              <w:ind w:right="-360"/>
              <w:jc w:val="left"/>
              <w:rPr>
                <w:sz w:val="22"/>
                <w:szCs w:val="22"/>
              </w:rPr>
            </w:pPr>
            <w:r w:rsidRPr="001136D3">
              <w:rPr>
                <w:sz w:val="22"/>
                <w:szCs w:val="22"/>
              </w:rPr>
              <w:t>PKI</w:t>
            </w:r>
          </w:p>
        </w:tc>
        <w:tc>
          <w:tcPr>
            <w:tcW w:w="5760" w:type="dxa"/>
          </w:tcPr>
          <w:p w14:paraId="0D07F9BF" w14:textId="77777777" w:rsidR="00157AAA" w:rsidRPr="001136D3" w:rsidRDefault="006C1BE5" w:rsidP="001136D3">
            <w:pPr>
              <w:spacing w:after="0"/>
              <w:ind w:right="-360"/>
              <w:rPr>
                <w:sz w:val="22"/>
                <w:szCs w:val="22"/>
              </w:rPr>
            </w:pPr>
            <w:r w:rsidRPr="001136D3">
              <w:rPr>
                <w:sz w:val="22"/>
                <w:szCs w:val="22"/>
              </w:rPr>
              <w:t>Public Key Infrastructure</w:t>
            </w:r>
          </w:p>
        </w:tc>
      </w:tr>
      <w:tr w:rsidR="00157AAA" w:rsidRPr="004E2D1C" w14:paraId="5821F3C3" w14:textId="77777777">
        <w:trPr>
          <w:cantSplit/>
        </w:trPr>
        <w:tc>
          <w:tcPr>
            <w:tcW w:w="720" w:type="dxa"/>
          </w:tcPr>
          <w:p w14:paraId="7F7A2634" w14:textId="77777777" w:rsidR="00157AAA" w:rsidRPr="001136D3" w:rsidRDefault="00157AAA" w:rsidP="001136D3">
            <w:pPr>
              <w:spacing w:after="0"/>
              <w:ind w:right="-360"/>
              <w:rPr>
                <w:sz w:val="22"/>
                <w:szCs w:val="22"/>
              </w:rPr>
            </w:pPr>
          </w:p>
        </w:tc>
        <w:tc>
          <w:tcPr>
            <w:tcW w:w="1800" w:type="dxa"/>
          </w:tcPr>
          <w:p w14:paraId="0C18A5E9" w14:textId="77777777" w:rsidR="00157AAA" w:rsidRPr="001136D3" w:rsidRDefault="006C1BE5" w:rsidP="001136D3">
            <w:pPr>
              <w:spacing w:after="0"/>
              <w:ind w:right="-360"/>
              <w:jc w:val="left"/>
              <w:rPr>
                <w:sz w:val="22"/>
                <w:szCs w:val="22"/>
              </w:rPr>
            </w:pPr>
            <w:r w:rsidRPr="001136D3">
              <w:rPr>
                <w:sz w:val="22"/>
                <w:szCs w:val="22"/>
              </w:rPr>
              <w:t>QR</w:t>
            </w:r>
          </w:p>
        </w:tc>
        <w:tc>
          <w:tcPr>
            <w:tcW w:w="5760" w:type="dxa"/>
          </w:tcPr>
          <w:p w14:paraId="28A1896D" w14:textId="77777777" w:rsidR="00157AAA" w:rsidRPr="001136D3" w:rsidRDefault="006C1BE5" w:rsidP="001136D3">
            <w:pPr>
              <w:spacing w:after="0"/>
              <w:ind w:right="-360"/>
              <w:rPr>
                <w:sz w:val="22"/>
                <w:szCs w:val="22"/>
              </w:rPr>
            </w:pPr>
            <w:r w:rsidRPr="001136D3">
              <w:rPr>
                <w:sz w:val="22"/>
                <w:szCs w:val="22"/>
                <w:shd w:val="clear" w:color="auto" w:fill="FFFFFF"/>
              </w:rPr>
              <w:t>quick response</w:t>
            </w:r>
          </w:p>
        </w:tc>
      </w:tr>
      <w:tr w:rsidR="00157AAA" w:rsidRPr="004E2D1C" w14:paraId="47BE5BD0" w14:textId="77777777">
        <w:trPr>
          <w:cantSplit/>
        </w:trPr>
        <w:tc>
          <w:tcPr>
            <w:tcW w:w="720" w:type="dxa"/>
          </w:tcPr>
          <w:p w14:paraId="29915F86" w14:textId="77777777" w:rsidR="00157AAA" w:rsidRPr="001136D3" w:rsidRDefault="00157AAA" w:rsidP="001136D3">
            <w:pPr>
              <w:spacing w:after="0"/>
              <w:ind w:right="-360"/>
              <w:rPr>
                <w:sz w:val="22"/>
                <w:szCs w:val="22"/>
              </w:rPr>
            </w:pPr>
          </w:p>
        </w:tc>
        <w:tc>
          <w:tcPr>
            <w:tcW w:w="1800" w:type="dxa"/>
          </w:tcPr>
          <w:p w14:paraId="490A6FCC" w14:textId="77777777" w:rsidR="00157AAA" w:rsidRPr="001136D3" w:rsidRDefault="006C1BE5" w:rsidP="001136D3">
            <w:pPr>
              <w:spacing w:after="0"/>
              <w:ind w:right="-360"/>
              <w:jc w:val="left"/>
              <w:rPr>
                <w:sz w:val="22"/>
                <w:szCs w:val="22"/>
              </w:rPr>
            </w:pPr>
            <w:r w:rsidRPr="001136D3">
              <w:rPr>
                <w:sz w:val="22"/>
                <w:szCs w:val="22"/>
              </w:rPr>
              <w:t>QT</w:t>
            </w:r>
          </w:p>
        </w:tc>
        <w:tc>
          <w:tcPr>
            <w:tcW w:w="5760" w:type="dxa"/>
          </w:tcPr>
          <w:p w14:paraId="306FAFF7" w14:textId="77777777" w:rsidR="00157AAA" w:rsidRPr="001136D3" w:rsidRDefault="006C1BE5" w:rsidP="001136D3">
            <w:pPr>
              <w:spacing w:after="0"/>
              <w:ind w:right="-360"/>
              <w:rPr>
                <w:sz w:val="22"/>
                <w:szCs w:val="22"/>
              </w:rPr>
            </w:pPr>
            <w:r w:rsidRPr="001136D3">
              <w:rPr>
                <w:sz w:val="22"/>
                <w:szCs w:val="22"/>
              </w:rPr>
              <w:t>Qualification Testing</w:t>
            </w:r>
          </w:p>
        </w:tc>
      </w:tr>
      <w:tr w:rsidR="00157AAA" w:rsidRPr="004E2D1C" w14:paraId="314FEAAF" w14:textId="77777777">
        <w:trPr>
          <w:cantSplit/>
        </w:trPr>
        <w:tc>
          <w:tcPr>
            <w:tcW w:w="720" w:type="dxa"/>
          </w:tcPr>
          <w:p w14:paraId="6CD52688" w14:textId="77777777" w:rsidR="00157AAA" w:rsidRPr="001136D3" w:rsidRDefault="00157AAA" w:rsidP="001136D3">
            <w:pPr>
              <w:spacing w:after="0"/>
              <w:ind w:right="-360"/>
              <w:rPr>
                <w:sz w:val="22"/>
                <w:szCs w:val="22"/>
              </w:rPr>
            </w:pPr>
          </w:p>
        </w:tc>
        <w:tc>
          <w:tcPr>
            <w:tcW w:w="1800" w:type="dxa"/>
          </w:tcPr>
          <w:p w14:paraId="483425CB" w14:textId="77777777" w:rsidR="00157AAA" w:rsidRPr="001136D3" w:rsidRDefault="006C1BE5" w:rsidP="001136D3">
            <w:pPr>
              <w:spacing w:after="0"/>
              <w:ind w:right="-360"/>
              <w:rPr>
                <w:sz w:val="22"/>
                <w:szCs w:val="22"/>
              </w:rPr>
            </w:pPr>
            <w:r w:rsidRPr="001136D3">
              <w:rPr>
                <w:sz w:val="22"/>
                <w:szCs w:val="22"/>
              </w:rPr>
              <w:t>RBAC</w:t>
            </w:r>
          </w:p>
        </w:tc>
        <w:tc>
          <w:tcPr>
            <w:tcW w:w="5760" w:type="dxa"/>
          </w:tcPr>
          <w:p w14:paraId="139AB64A" w14:textId="77777777" w:rsidR="00157AAA" w:rsidRPr="001136D3" w:rsidRDefault="006C1BE5" w:rsidP="001136D3">
            <w:pPr>
              <w:spacing w:after="0"/>
              <w:ind w:right="-360"/>
              <w:rPr>
                <w:sz w:val="22"/>
                <w:szCs w:val="22"/>
              </w:rPr>
            </w:pPr>
            <w:r w:rsidRPr="001136D3">
              <w:rPr>
                <w:sz w:val="22"/>
                <w:szCs w:val="22"/>
              </w:rPr>
              <w:t>Role Based Access Control</w:t>
            </w:r>
          </w:p>
        </w:tc>
      </w:tr>
      <w:tr w:rsidR="00157AAA" w:rsidRPr="004E2D1C" w14:paraId="30081A3F" w14:textId="77777777">
        <w:trPr>
          <w:cantSplit/>
        </w:trPr>
        <w:tc>
          <w:tcPr>
            <w:tcW w:w="720" w:type="dxa"/>
          </w:tcPr>
          <w:p w14:paraId="61EAFF15" w14:textId="77777777" w:rsidR="00157AAA" w:rsidRPr="001136D3" w:rsidRDefault="00157AAA" w:rsidP="001136D3">
            <w:pPr>
              <w:spacing w:after="0"/>
              <w:ind w:right="-360"/>
              <w:rPr>
                <w:sz w:val="22"/>
                <w:szCs w:val="22"/>
              </w:rPr>
            </w:pPr>
          </w:p>
        </w:tc>
        <w:tc>
          <w:tcPr>
            <w:tcW w:w="1800" w:type="dxa"/>
          </w:tcPr>
          <w:p w14:paraId="0F48BBB9" w14:textId="77777777" w:rsidR="00157AAA" w:rsidRPr="001136D3" w:rsidRDefault="006C1BE5" w:rsidP="001136D3">
            <w:pPr>
              <w:spacing w:after="0"/>
              <w:ind w:right="-360"/>
              <w:rPr>
                <w:sz w:val="22"/>
                <w:szCs w:val="22"/>
              </w:rPr>
            </w:pPr>
            <w:r w:rsidRPr="001136D3">
              <w:rPr>
                <w:sz w:val="22"/>
                <w:szCs w:val="22"/>
              </w:rPr>
              <w:t>RTBH</w:t>
            </w:r>
          </w:p>
        </w:tc>
        <w:tc>
          <w:tcPr>
            <w:tcW w:w="5760" w:type="dxa"/>
          </w:tcPr>
          <w:p w14:paraId="74565BAE" w14:textId="77777777" w:rsidR="00157AAA" w:rsidRPr="001136D3" w:rsidRDefault="006C1BE5" w:rsidP="001136D3">
            <w:pPr>
              <w:spacing w:after="0"/>
              <w:ind w:right="-360"/>
              <w:rPr>
                <w:sz w:val="22"/>
                <w:szCs w:val="22"/>
              </w:rPr>
            </w:pPr>
            <w:r w:rsidRPr="001136D3">
              <w:rPr>
                <w:sz w:val="22"/>
                <w:szCs w:val="22"/>
              </w:rPr>
              <w:t>Right to be Heard</w:t>
            </w:r>
          </w:p>
        </w:tc>
      </w:tr>
      <w:tr w:rsidR="00157AAA" w:rsidRPr="004E2D1C" w14:paraId="432DFA6C" w14:textId="77777777">
        <w:trPr>
          <w:cantSplit/>
        </w:trPr>
        <w:tc>
          <w:tcPr>
            <w:tcW w:w="720" w:type="dxa"/>
          </w:tcPr>
          <w:p w14:paraId="41E3BC6D" w14:textId="77777777" w:rsidR="00157AAA" w:rsidRPr="001136D3" w:rsidRDefault="00157AAA" w:rsidP="001136D3">
            <w:pPr>
              <w:spacing w:after="0"/>
              <w:ind w:right="-360"/>
              <w:rPr>
                <w:sz w:val="22"/>
                <w:szCs w:val="22"/>
              </w:rPr>
            </w:pPr>
          </w:p>
        </w:tc>
        <w:tc>
          <w:tcPr>
            <w:tcW w:w="1800" w:type="dxa"/>
          </w:tcPr>
          <w:p w14:paraId="58C07DC2" w14:textId="77777777" w:rsidR="00157AAA" w:rsidRPr="001136D3" w:rsidRDefault="006C1BE5" w:rsidP="001136D3">
            <w:pPr>
              <w:spacing w:after="0"/>
              <w:ind w:right="-360"/>
              <w:rPr>
                <w:sz w:val="22"/>
                <w:szCs w:val="22"/>
              </w:rPr>
            </w:pPr>
            <w:r w:rsidRPr="001136D3">
              <w:rPr>
                <w:sz w:val="22"/>
                <w:szCs w:val="22"/>
              </w:rPr>
              <w:t>RMS</w:t>
            </w:r>
          </w:p>
        </w:tc>
        <w:tc>
          <w:tcPr>
            <w:tcW w:w="5760" w:type="dxa"/>
          </w:tcPr>
          <w:p w14:paraId="6BA56559" w14:textId="77777777" w:rsidR="00157AAA" w:rsidRPr="001136D3" w:rsidRDefault="006C1BE5" w:rsidP="001136D3">
            <w:pPr>
              <w:spacing w:after="0"/>
              <w:ind w:right="-360"/>
              <w:rPr>
                <w:sz w:val="22"/>
                <w:szCs w:val="22"/>
              </w:rPr>
            </w:pPr>
            <w:r w:rsidRPr="001136D3">
              <w:rPr>
                <w:sz w:val="22"/>
                <w:szCs w:val="22"/>
              </w:rPr>
              <w:t>Risk Management System</w:t>
            </w:r>
          </w:p>
        </w:tc>
      </w:tr>
      <w:tr w:rsidR="00586D59" w:rsidRPr="004E2D1C" w14:paraId="531F059B" w14:textId="77777777">
        <w:trPr>
          <w:cantSplit/>
        </w:trPr>
        <w:tc>
          <w:tcPr>
            <w:tcW w:w="720" w:type="dxa"/>
          </w:tcPr>
          <w:p w14:paraId="6F537009" w14:textId="5DD9EBD2" w:rsidR="00586D59" w:rsidRPr="001136D3" w:rsidRDefault="00586D59" w:rsidP="001136D3">
            <w:pPr>
              <w:spacing w:after="0"/>
              <w:ind w:right="-360"/>
              <w:rPr>
                <w:sz w:val="22"/>
                <w:szCs w:val="22"/>
              </w:rPr>
            </w:pPr>
          </w:p>
        </w:tc>
        <w:tc>
          <w:tcPr>
            <w:tcW w:w="1800" w:type="dxa"/>
          </w:tcPr>
          <w:p w14:paraId="6EFE099F" w14:textId="77849D34" w:rsidR="00586D59" w:rsidRPr="001136D3" w:rsidRDefault="00586D59" w:rsidP="001136D3">
            <w:pPr>
              <w:spacing w:after="0"/>
              <w:ind w:right="-360"/>
              <w:rPr>
                <w:sz w:val="22"/>
                <w:szCs w:val="22"/>
              </w:rPr>
            </w:pPr>
            <w:r w:rsidRPr="001136D3">
              <w:rPr>
                <w:sz w:val="22"/>
                <w:szCs w:val="22"/>
              </w:rPr>
              <w:t>SAD</w:t>
            </w:r>
          </w:p>
        </w:tc>
        <w:tc>
          <w:tcPr>
            <w:tcW w:w="5760" w:type="dxa"/>
          </w:tcPr>
          <w:p w14:paraId="22C3F872" w14:textId="5D3F3B7C" w:rsidR="00586D59" w:rsidRPr="001136D3" w:rsidRDefault="00586D59" w:rsidP="001136D3">
            <w:pPr>
              <w:spacing w:after="0"/>
              <w:ind w:right="-360"/>
              <w:rPr>
                <w:sz w:val="22"/>
                <w:szCs w:val="22"/>
              </w:rPr>
            </w:pPr>
            <w:r w:rsidRPr="001136D3">
              <w:rPr>
                <w:sz w:val="22"/>
                <w:szCs w:val="22"/>
              </w:rPr>
              <w:t>Single Administrative Document</w:t>
            </w:r>
          </w:p>
        </w:tc>
      </w:tr>
      <w:tr w:rsidR="00586D59" w:rsidRPr="004E2D1C" w14:paraId="1C662A8B" w14:textId="77777777">
        <w:trPr>
          <w:cantSplit/>
        </w:trPr>
        <w:tc>
          <w:tcPr>
            <w:tcW w:w="720" w:type="dxa"/>
          </w:tcPr>
          <w:p w14:paraId="46BAAE28" w14:textId="77777777" w:rsidR="00586D59" w:rsidRPr="001136D3" w:rsidRDefault="00586D59" w:rsidP="001136D3">
            <w:pPr>
              <w:spacing w:after="0"/>
              <w:ind w:right="-360"/>
              <w:rPr>
                <w:sz w:val="22"/>
                <w:szCs w:val="22"/>
              </w:rPr>
            </w:pPr>
          </w:p>
        </w:tc>
        <w:tc>
          <w:tcPr>
            <w:tcW w:w="1800" w:type="dxa"/>
          </w:tcPr>
          <w:p w14:paraId="02B8035C" w14:textId="77777777" w:rsidR="00586D59" w:rsidRPr="001136D3" w:rsidRDefault="00586D59" w:rsidP="001136D3">
            <w:pPr>
              <w:spacing w:after="0"/>
              <w:ind w:right="-360"/>
              <w:jc w:val="left"/>
              <w:rPr>
                <w:sz w:val="22"/>
                <w:szCs w:val="22"/>
              </w:rPr>
            </w:pPr>
            <w:r w:rsidRPr="001136D3">
              <w:rPr>
                <w:sz w:val="22"/>
                <w:szCs w:val="22"/>
              </w:rPr>
              <w:t>SAT</w:t>
            </w:r>
          </w:p>
        </w:tc>
        <w:tc>
          <w:tcPr>
            <w:tcW w:w="5760" w:type="dxa"/>
          </w:tcPr>
          <w:p w14:paraId="68659731" w14:textId="77777777" w:rsidR="00586D59" w:rsidRPr="001136D3" w:rsidRDefault="00586D59" w:rsidP="001136D3">
            <w:pPr>
              <w:spacing w:after="0"/>
              <w:ind w:right="-360"/>
              <w:rPr>
                <w:sz w:val="22"/>
                <w:szCs w:val="22"/>
              </w:rPr>
            </w:pPr>
            <w:r w:rsidRPr="001136D3">
              <w:rPr>
                <w:sz w:val="22"/>
                <w:szCs w:val="22"/>
              </w:rPr>
              <w:t>Site Acceptance Test</w:t>
            </w:r>
          </w:p>
        </w:tc>
      </w:tr>
      <w:tr w:rsidR="00586D59" w:rsidRPr="004E2D1C" w14:paraId="6E6E7737" w14:textId="77777777">
        <w:trPr>
          <w:cantSplit/>
        </w:trPr>
        <w:tc>
          <w:tcPr>
            <w:tcW w:w="720" w:type="dxa"/>
          </w:tcPr>
          <w:p w14:paraId="167AC4A8" w14:textId="77777777" w:rsidR="00586D59" w:rsidRPr="001136D3" w:rsidRDefault="00586D59" w:rsidP="001136D3">
            <w:pPr>
              <w:spacing w:after="0"/>
              <w:ind w:right="-360"/>
              <w:rPr>
                <w:sz w:val="22"/>
                <w:szCs w:val="22"/>
              </w:rPr>
            </w:pPr>
          </w:p>
        </w:tc>
        <w:tc>
          <w:tcPr>
            <w:tcW w:w="1800" w:type="dxa"/>
          </w:tcPr>
          <w:p w14:paraId="7ED7104F" w14:textId="77777777" w:rsidR="00586D59" w:rsidRPr="001136D3" w:rsidRDefault="00586D59" w:rsidP="001136D3">
            <w:pPr>
              <w:spacing w:after="0"/>
              <w:ind w:right="-360"/>
              <w:jc w:val="left"/>
              <w:rPr>
                <w:sz w:val="22"/>
                <w:szCs w:val="22"/>
              </w:rPr>
            </w:pPr>
            <w:r w:rsidRPr="001136D3">
              <w:rPr>
                <w:sz w:val="22"/>
                <w:szCs w:val="22"/>
              </w:rPr>
              <w:t>SBB</w:t>
            </w:r>
          </w:p>
        </w:tc>
        <w:tc>
          <w:tcPr>
            <w:tcW w:w="5760" w:type="dxa"/>
          </w:tcPr>
          <w:p w14:paraId="1B999825" w14:textId="77777777" w:rsidR="00586D59" w:rsidRPr="001136D3" w:rsidRDefault="00586D59" w:rsidP="001136D3">
            <w:pPr>
              <w:spacing w:after="0"/>
              <w:ind w:right="-360"/>
              <w:rPr>
                <w:sz w:val="22"/>
                <w:szCs w:val="22"/>
              </w:rPr>
            </w:pPr>
            <w:r w:rsidRPr="001136D3">
              <w:rPr>
                <w:sz w:val="22"/>
                <w:szCs w:val="22"/>
              </w:rPr>
              <w:t>Services Building Blocks</w:t>
            </w:r>
          </w:p>
        </w:tc>
      </w:tr>
      <w:tr w:rsidR="00586D59" w:rsidRPr="004E2D1C" w14:paraId="0C4C22D0" w14:textId="77777777">
        <w:trPr>
          <w:cantSplit/>
        </w:trPr>
        <w:tc>
          <w:tcPr>
            <w:tcW w:w="720" w:type="dxa"/>
          </w:tcPr>
          <w:p w14:paraId="1EE06687" w14:textId="77777777" w:rsidR="00586D59" w:rsidRPr="001136D3" w:rsidRDefault="00586D59" w:rsidP="001136D3">
            <w:pPr>
              <w:spacing w:after="0"/>
              <w:ind w:right="-360"/>
              <w:rPr>
                <w:sz w:val="22"/>
                <w:szCs w:val="22"/>
              </w:rPr>
            </w:pPr>
          </w:p>
        </w:tc>
        <w:tc>
          <w:tcPr>
            <w:tcW w:w="1800" w:type="dxa"/>
          </w:tcPr>
          <w:p w14:paraId="21CA121A" w14:textId="77777777" w:rsidR="00586D59" w:rsidRPr="001136D3" w:rsidRDefault="00586D59" w:rsidP="001136D3">
            <w:pPr>
              <w:spacing w:after="0"/>
              <w:ind w:right="-360"/>
              <w:jc w:val="left"/>
              <w:rPr>
                <w:sz w:val="22"/>
                <w:szCs w:val="22"/>
              </w:rPr>
            </w:pPr>
            <w:r w:rsidRPr="001136D3">
              <w:rPr>
                <w:sz w:val="22"/>
                <w:szCs w:val="22"/>
              </w:rPr>
              <w:t>SOA</w:t>
            </w:r>
          </w:p>
        </w:tc>
        <w:tc>
          <w:tcPr>
            <w:tcW w:w="5760" w:type="dxa"/>
          </w:tcPr>
          <w:p w14:paraId="602526BE" w14:textId="77777777" w:rsidR="00586D59" w:rsidRPr="001136D3" w:rsidRDefault="00586D59" w:rsidP="001136D3">
            <w:pPr>
              <w:spacing w:after="0"/>
              <w:ind w:right="-360"/>
              <w:rPr>
                <w:sz w:val="22"/>
                <w:szCs w:val="22"/>
              </w:rPr>
            </w:pPr>
            <w:r w:rsidRPr="001136D3">
              <w:rPr>
                <w:sz w:val="22"/>
                <w:szCs w:val="22"/>
              </w:rPr>
              <w:t>Service Oriented Architecture</w:t>
            </w:r>
          </w:p>
        </w:tc>
      </w:tr>
      <w:tr w:rsidR="00586D59" w:rsidRPr="004E2D1C" w14:paraId="3A29EDB8" w14:textId="77777777">
        <w:trPr>
          <w:cantSplit/>
        </w:trPr>
        <w:tc>
          <w:tcPr>
            <w:tcW w:w="720" w:type="dxa"/>
          </w:tcPr>
          <w:p w14:paraId="5FE04C98" w14:textId="77777777" w:rsidR="00586D59" w:rsidRPr="001136D3" w:rsidRDefault="00586D59" w:rsidP="001136D3">
            <w:pPr>
              <w:spacing w:after="0"/>
              <w:ind w:right="-360"/>
              <w:rPr>
                <w:sz w:val="22"/>
                <w:szCs w:val="22"/>
              </w:rPr>
            </w:pPr>
          </w:p>
        </w:tc>
        <w:tc>
          <w:tcPr>
            <w:tcW w:w="1800" w:type="dxa"/>
          </w:tcPr>
          <w:p w14:paraId="3AE7448D" w14:textId="77777777" w:rsidR="00586D59" w:rsidRPr="001136D3" w:rsidRDefault="00586D59" w:rsidP="001136D3">
            <w:pPr>
              <w:spacing w:after="0"/>
              <w:ind w:right="-360"/>
              <w:jc w:val="left"/>
              <w:rPr>
                <w:sz w:val="22"/>
                <w:szCs w:val="22"/>
              </w:rPr>
            </w:pPr>
            <w:r w:rsidRPr="001136D3">
              <w:rPr>
                <w:sz w:val="22"/>
                <w:szCs w:val="22"/>
              </w:rPr>
              <w:t>SSO</w:t>
            </w:r>
          </w:p>
        </w:tc>
        <w:tc>
          <w:tcPr>
            <w:tcW w:w="5760" w:type="dxa"/>
          </w:tcPr>
          <w:p w14:paraId="553DAD30" w14:textId="77777777" w:rsidR="00586D59" w:rsidRPr="001136D3" w:rsidRDefault="00586D59" w:rsidP="001136D3">
            <w:pPr>
              <w:spacing w:after="0"/>
              <w:ind w:right="-360"/>
              <w:rPr>
                <w:sz w:val="22"/>
                <w:szCs w:val="22"/>
              </w:rPr>
            </w:pPr>
            <w:r w:rsidRPr="001136D3">
              <w:rPr>
                <w:sz w:val="22"/>
                <w:szCs w:val="22"/>
              </w:rPr>
              <w:t>Single Sign-On</w:t>
            </w:r>
          </w:p>
        </w:tc>
      </w:tr>
      <w:tr w:rsidR="00586D59" w:rsidRPr="004E2D1C" w14:paraId="0EED1E08" w14:textId="77777777">
        <w:trPr>
          <w:cantSplit/>
        </w:trPr>
        <w:tc>
          <w:tcPr>
            <w:tcW w:w="720" w:type="dxa"/>
          </w:tcPr>
          <w:p w14:paraId="7591792B" w14:textId="77777777" w:rsidR="00586D59" w:rsidRPr="001136D3" w:rsidRDefault="00586D59" w:rsidP="001136D3">
            <w:pPr>
              <w:spacing w:after="0"/>
              <w:ind w:right="-360"/>
              <w:rPr>
                <w:sz w:val="22"/>
                <w:szCs w:val="22"/>
              </w:rPr>
            </w:pPr>
          </w:p>
        </w:tc>
        <w:tc>
          <w:tcPr>
            <w:tcW w:w="1800" w:type="dxa"/>
          </w:tcPr>
          <w:p w14:paraId="68E251D7" w14:textId="77777777" w:rsidR="00586D59" w:rsidRPr="001136D3" w:rsidRDefault="00586D59" w:rsidP="001136D3">
            <w:pPr>
              <w:spacing w:after="0"/>
              <w:ind w:right="-360"/>
              <w:jc w:val="left"/>
              <w:rPr>
                <w:sz w:val="22"/>
                <w:szCs w:val="22"/>
              </w:rPr>
            </w:pPr>
            <w:r w:rsidRPr="001136D3">
              <w:rPr>
                <w:sz w:val="22"/>
                <w:szCs w:val="22"/>
              </w:rPr>
              <w:t>SSH</w:t>
            </w:r>
          </w:p>
        </w:tc>
        <w:tc>
          <w:tcPr>
            <w:tcW w:w="5760" w:type="dxa"/>
          </w:tcPr>
          <w:p w14:paraId="4D6AA29C" w14:textId="77777777" w:rsidR="00586D59" w:rsidRPr="001136D3" w:rsidRDefault="00586D59" w:rsidP="001136D3">
            <w:pPr>
              <w:spacing w:after="0"/>
              <w:ind w:right="-360"/>
              <w:rPr>
                <w:sz w:val="22"/>
                <w:szCs w:val="22"/>
              </w:rPr>
            </w:pPr>
            <w:r w:rsidRPr="001136D3">
              <w:rPr>
                <w:sz w:val="22"/>
                <w:szCs w:val="22"/>
              </w:rPr>
              <w:t>Secure Shell</w:t>
            </w:r>
          </w:p>
        </w:tc>
      </w:tr>
      <w:tr w:rsidR="00586D59" w:rsidRPr="004E2D1C" w14:paraId="16CD9A83" w14:textId="77777777">
        <w:trPr>
          <w:cantSplit/>
        </w:trPr>
        <w:tc>
          <w:tcPr>
            <w:tcW w:w="720" w:type="dxa"/>
          </w:tcPr>
          <w:p w14:paraId="39A5C6D7" w14:textId="77777777" w:rsidR="00586D59" w:rsidRPr="001136D3" w:rsidRDefault="00586D59" w:rsidP="001136D3">
            <w:pPr>
              <w:spacing w:after="0"/>
              <w:ind w:right="-360"/>
              <w:rPr>
                <w:sz w:val="22"/>
                <w:szCs w:val="22"/>
              </w:rPr>
            </w:pPr>
          </w:p>
        </w:tc>
        <w:tc>
          <w:tcPr>
            <w:tcW w:w="1800" w:type="dxa"/>
          </w:tcPr>
          <w:p w14:paraId="27C9E6D8" w14:textId="77777777" w:rsidR="00586D59" w:rsidRPr="001136D3" w:rsidRDefault="00586D59" w:rsidP="001136D3">
            <w:pPr>
              <w:spacing w:after="0"/>
              <w:ind w:right="-360"/>
              <w:jc w:val="left"/>
              <w:rPr>
                <w:sz w:val="22"/>
                <w:szCs w:val="22"/>
              </w:rPr>
            </w:pPr>
            <w:r w:rsidRPr="001136D3">
              <w:rPr>
                <w:rFonts w:eastAsia="Calibri"/>
                <w:sz w:val="22"/>
                <w:szCs w:val="22"/>
              </w:rPr>
              <w:t>SEED</w:t>
            </w:r>
          </w:p>
        </w:tc>
        <w:tc>
          <w:tcPr>
            <w:tcW w:w="5760" w:type="dxa"/>
          </w:tcPr>
          <w:p w14:paraId="07A9C3EA" w14:textId="77777777" w:rsidR="00586D59" w:rsidRPr="001136D3" w:rsidRDefault="00586D59" w:rsidP="001136D3">
            <w:pPr>
              <w:spacing w:after="0"/>
              <w:ind w:right="-360"/>
              <w:rPr>
                <w:sz w:val="22"/>
                <w:szCs w:val="22"/>
              </w:rPr>
            </w:pPr>
            <w:r w:rsidRPr="001136D3">
              <w:rPr>
                <w:sz w:val="22"/>
                <w:szCs w:val="22"/>
              </w:rPr>
              <w:t>Systematic Electronic Exchange of Data</w:t>
            </w:r>
          </w:p>
        </w:tc>
      </w:tr>
      <w:tr w:rsidR="00586D59" w:rsidRPr="004E2D1C" w14:paraId="6F143322" w14:textId="77777777">
        <w:trPr>
          <w:cantSplit/>
        </w:trPr>
        <w:tc>
          <w:tcPr>
            <w:tcW w:w="720" w:type="dxa"/>
          </w:tcPr>
          <w:p w14:paraId="68AD5766" w14:textId="77777777" w:rsidR="00586D59" w:rsidRPr="001136D3" w:rsidRDefault="00586D59" w:rsidP="001136D3">
            <w:pPr>
              <w:spacing w:after="0"/>
              <w:ind w:right="-360"/>
              <w:rPr>
                <w:sz w:val="22"/>
                <w:szCs w:val="22"/>
              </w:rPr>
            </w:pPr>
          </w:p>
        </w:tc>
        <w:tc>
          <w:tcPr>
            <w:tcW w:w="1800" w:type="dxa"/>
          </w:tcPr>
          <w:p w14:paraId="5CFECCA7" w14:textId="77777777" w:rsidR="00586D59" w:rsidRPr="001136D3" w:rsidRDefault="00586D59" w:rsidP="001136D3">
            <w:pPr>
              <w:spacing w:after="0"/>
              <w:ind w:right="-360"/>
              <w:jc w:val="left"/>
              <w:rPr>
                <w:sz w:val="22"/>
                <w:szCs w:val="22"/>
              </w:rPr>
            </w:pPr>
            <w:r w:rsidRPr="001136D3">
              <w:rPr>
                <w:sz w:val="22"/>
                <w:szCs w:val="22"/>
              </w:rPr>
              <w:t>SMTP</w:t>
            </w:r>
          </w:p>
        </w:tc>
        <w:tc>
          <w:tcPr>
            <w:tcW w:w="5760" w:type="dxa"/>
          </w:tcPr>
          <w:p w14:paraId="35FE1263" w14:textId="77777777" w:rsidR="00586D59" w:rsidRPr="001136D3" w:rsidRDefault="00586D59" w:rsidP="001136D3">
            <w:pPr>
              <w:spacing w:after="0"/>
              <w:ind w:right="-360"/>
              <w:rPr>
                <w:sz w:val="22"/>
                <w:szCs w:val="22"/>
              </w:rPr>
            </w:pPr>
            <w:r w:rsidRPr="001136D3">
              <w:rPr>
                <w:sz w:val="22"/>
                <w:szCs w:val="22"/>
                <w:shd w:val="clear" w:color="auto" w:fill="FFFFFF"/>
              </w:rPr>
              <w:t>Simple Mail Transfer Protocol</w:t>
            </w:r>
          </w:p>
        </w:tc>
      </w:tr>
      <w:tr w:rsidR="00586D59" w:rsidRPr="004E2D1C" w14:paraId="0437CBCD" w14:textId="77777777">
        <w:trPr>
          <w:cantSplit/>
        </w:trPr>
        <w:tc>
          <w:tcPr>
            <w:tcW w:w="720" w:type="dxa"/>
          </w:tcPr>
          <w:p w14:paraId="74FA9104" w14:textId="77777777" w:rsidR="00586D59" w:rsidRPr="001136D3" w:rsidRDefault="00586D59" w:rsidP="001136D3">
            <w:pPr>
              <w:spacing w:after="0"/>
              <w:ind w:right="-360"/>
              <w:rPr>
                <w:sz w:val="22"/>
                <w:szCs w:val="22"/>
              </w:rPr>
            </w:pPr>
          </w:p>
        </w:tc>
        <w:tc>
          <w:tcPr>
            <w:tcW w:w="1800" w:type="dxa"/>
          </w:tcPr>
          <w:p w14:paraId="4B9A356C" w14:textId="77777777" w:rsidR="00586D59" w:rsidRPr="001136D3" w:rsidRDefault="00586D59" w:rsidP="001136D3">
            <w:pPr>
              <w:spacing w:after="0"/>
              <w:ind w:right="-360"/>
              <w:jc w:val="left"/>
              <w:rPr>
                <w:sz w:val="22"/>
                <w:szCs w:val="22"/>
              </w:rPr>
            </w:pPr>
            <w:r w:rsidRPr="001136D3">
              <w:rPr>
                <w:sz w:val="22"/>
                <w:szCs w:val="22"/>
              </w:rPr>
              <w:t>SSL</w:t>
            </w:r>
          </w:p>
        </w:tc>
        <w:tc>
          <w:tcPr>
            <w:tcW w:w="5760" w:type="dxa"/>
          </w:tcPr>
          <w:p w14:paraId="76004A85" w14:textId="77777777" w:rsidR="00586D59" w:rsidRPr="001136D3" w:rsidRDefault="00586D59" w:rsidP="001136D3">
            <w:pPr>
              <w:spacing w:after="0"/>
              <w:ind w:right="-360"/>
              <w:rPr>
                <w:sz w:val="22"/>
                <w:szCs w:val="22"/>
              </w:rPr>
            </w:pPr>
            <w:r w:rsidRPr="001136D3">
              <w:rPr>
                <w:sz w:val="22"/>
                <w:szCs w:val="22"/>
              </w:rPr>
              <w:t>Secure Sockets Layer</w:t>
            </w:r>
          </w:p>
        </w:tc>
      </w:tr>
      <w:tr w:rsidR="00586D59" w:rsidRPr="004E2D1C" w14:paraId="305BCDC7" w14:textId="77777777">
        <w:trPr>
          <w:cantSplit/>
        </w:trPr>
        <w:tc>
          <w:tcPr>
            <w:tcW w:w="720" w:type="dxa"/>
          </w:tcPr>
          <w:p w14:paraId="6B923822" w14:textId="77777777" w:rsidR="00586D59" w:rsidRPr="001136D3" w:rsidRDefault="00586D59" w:rsidP="001136D3">
            <w:pPr>
              <w:spacing w:after="0"/>
              <w:ind w:right="-360"/>
              <w:rPr>
                <w:sz w:val="22"/>
                <w:szCs w:val="22"/>
              </w:rPr>
            </w:pPr>
          </w:p>
        </w:tc>
        <w:tc>
          <w:tcPr>
            <w:tcW w:w="1800" w:type="dxa"/>
          </w:tcPr>
          <w:p w14:paraId="63806730" w14:textId="77777777" w:rsidR="00586D59" w:rsidRPr="001136D3" w:rsidRDefault="00586D59" w:rsidP="001136D3">
            <w:pPr>
              <w:spacing w:after="0"/>
              <w:ind w:right="-360"/>
              <w:jc w:val="left"/>
              <w:rPr>
                <w:sz w:val="22"/>
                <w:szCs w:val="22"/>
              </w:rPr>
            </w:pPr>
            <w:r w:rsidRPr="001136D3">
              <w:rPr>
                <w:sz w:val="22"/>
                <w:szCs w:val="22"/>
              </w:rPr>
              <w:t>SLA</w:t>
            </w:r>
          </w:p>
        </w:tc>
        <w:tc>
          <w:tcPr>
            <w:tcW w:w="5760" w:type="dxa"/>
          </w:tcPr>
          <w:p w14:paraId="50037993" w14:textId="77777777" w:rsidR="00586D59" w:rsidRPr="001136D3" w:rsidRDefault="00586D59" w:rsidP="001136D3">
            <w:pPr>
              <w:spacing w:after="0"/>
              <w:ind w:right="-360"/>
              <w:rPr>
                <w:sz w:val="22"/>
                <w:szCs w:val="22"/>
              </w:rPr>
            </w:pPr>
            <w:r w:rsidRPr="001136D3">
              <w:rPr>
                <w:sz w:val="22"/>
                <w:szCs w:val="22"/>
              </w:rPr>
              <w:t>Service Level Agreement</w:t>
            </w:r>
          </w:p>
        </w:tc>
      </w:tr>
      <w:tr w:rsidR="00586D59" w:rsidRPr="004E2D1C" w14:paraId="584218B1" w14:textId="77777777">
        <w:trPr>
          <w:cantSplit/>
        </w:trPr>
        <w:tc>
          <w:tcPr>
            <w:tcW w:w="720" w:type="dxa"/>
          </w:tcPr>
          <w:p w14:paraId="4CF208CF" w14:textId="77777777" w:rsidR="00586D59" w:rsidRPr="001136D3" w:rsidRDefault="00586D59" w:rsidP="001136D3">
            <w:pPr>
              <w:spacing w:after="0"/>
              <w:ind w:right="-360"/>
              <w:rPr>
                <w:sz w:val="22"/>
                <w:szCs w:val="22"/>
              </w:rPr>
            </w:pPr>
          </w:p>
        </w:tc>
        <w:tc>
          <w:tcPr>
            <w:tcW w:w="1800" w:type="dxa"/>
          </w:tcPr>
          <w:p w14:paraId="7C48CBE8" w14:textId="77777777" w:rsidR="00586D59" w:rsidRPr="001136D3" w:rsidRDefault="00586D59" w:rsidP="001136D3">
            <w:pPr>
              <w:spacing w:after="0"/>
              <w:ind w:right="-360"/>
              <w:rPr>
                <w:sz w:val="22"/>
                <w:szCs w:val="22"/>
              </w:rPr>
            </w:pPr>
            <w:r w:rsidRPr="001136D3">
              <w:rPr>
                <w:sz w:val="22"/>
                <w:szCs w:val="22"/>
              </w:rPr>
              <w:t>TDS</w:t>
            </w:r>
          </w:p>
        </w:tc>
        <w:tc>
          <w:tcPr>
            <w:tcW w:w="5760" w:type="dxa"/>
          </w:tcPr>
          <w:p w14:paraId="0FC373E7" w14:textId="77777777" w:rsidR="00586D59" w:rsidRPr="001136D3" w:rsidRDefault="00586D59" w:rsidP="001136D3">
            <w:pPr>
              <w:spacing w:after="0"/>
              <w:ind w:right="-360"/>
              <w:rPr>
                <w:sz w:val="22"/>
                <w:szCs w:val="22"/>
              </w:rPr>
            </w:pPr>
            <w:r w:rsidRPr="001136D3">
              <w:rPr>
                <w:sz w:val="22"/>
                <w:szCs w:val="22"/>
              </w:rPr>
              <w:t>Test Design Specification</w:t>
            </w:r>
          </w:p>
        </w:tc>
      </w:tr>
      <w:tr w:rsidR="00586D59" w:rsidRPr="004E2D1C" w14:paraId="17C11981" w14:textId="77777777">
        <w:trPr>
          <w:cantSplit/>
        </w:trPr>
        <w:tc>
          <w:tcPr>
            <w:tcW w:w="720" w:type="dxa"/>
          </w:tcPr>
          <w:p w14:paraId="7ABA2BD8" w14:textId="77777777" w:rsidR="00586D59" w:rsidRPr="001136D3" w:rsidRDefault="00586D59" w:rsidP="001136D3">
            <w:pPr>
              <w:spacing w:after="0"/>
              <w:ind w:right="-360"/>
              <w:rPr>
                <w:sz w:val="22"/>
                <w:szCs w:val="22"/>
              </w:rPr>
            </w:pPr>
          </w:p>
        </w:tc>
        <w:tc>
          <w:tcPr>
            <w:tcW w:w="1800" w:type="dxa"/>
          </w:tcPr>
          <w:p w14:paraId="5330ECBD" w14:textId="77777777" w:rsidR="00586D59" w:rsidRPr="001136D3" w:rsidRDefault="00586D59" w:rsidP="001136D3">
            <w:pPr>
              <w:spacing w:after="0"/>
              <w:ind w:right="-360"/>
              <w:rPr>
                <w:sz w:val="22"/>
                <w:szCs w:val="22"/>
              </w:rPr>
            </w:pPr>
            <w:proofErr w:type="spellStart"/>
            <w:r w:rsidRPr="001136D3">
              <w:rPr>
                <w:sz w:val="22"/>
                <w:szCs w:val="22"/>
              </w:rPr>
              <w:t>ToR</w:t>
            </w:r>
            <w:proofErr w:type="spellEnd"/>
          </w:p>
        </w:tc>
        <w:tc>
          <w:tcPr>
            <w:tcW w:w="5760" w:type="dxa"/>
          </w:tcPr>
          <w:p w14:paraId="16F6DE76" w14:textId="77777777" w:rsidR="00586D59" w:rsidRPr="001136D3" w:rsidRDefault="00586D59" w:rsidP="001136D3">
            <w:pPr>
              <w:spacing w:after="0"/>
              <w:ind w:right="-360"/>
              <w:rPr>
                <w:sz w:val="22"/>
                <w:szCs w:val="22"/>
              </w:rPr>
            </w:pPr>
            <w:r w:rsidRPr="001136D3">
              <w:rPr>
                <w:sz w:val="22"/>
                <w:szCs w:val="22"/>
              </w:rPr>
              <w:t>Top-of-rack</w:t>
            </w:r>
          </w:p>
        </w:tc>
      </w:tr>
      <w:tr w:rsidR="00586D59" w:rsidRPr="004E2D1C" w14:paraId="14282E0B" w14:textId="77777777">
        <w:trPr>
          <w:cantSplit/>
        </w:trPr>
        <w:tc>
          <w:tcPr>
            <w:tcW w:w="720" w:type="dxa"/>
          </w:tcPr>
          <w:p w14:paraId="65FC2C06" w14:textId="77777777" w:rsidR="00586D59" w:rsidRPr="001136D3" w:rsidRDefault="00586D59" w:rsidP="001136D3">
            <w:pPr>
              <w:spacing w:after="0"/>
              <w:ind w:right="-360"/>
              <w:rPr>
                <w:sz w:val="22"/>
                <w:szCs w:val="22"/>
              </w:rPr>
            </w:pPr>
          </w:p>
        </w:tc>
        <w:tc>
          <w:tcPr>
            <w:tcW w:w="1800" w:type="dxa"/>
          </w:tcPr>
          <w:p w14:paraId="1631CAEF" w14:textId="77777777" w:rsidR="00586D59" w:rsidRPr="001136D3" w:rsidRDefault="00586D59" w:rsidP="001136D3">
            <w:pPr>
              <w:spacing w:after="0"/>
              <w:ind w:right="-360"/>
              <w:rPr>
                <w:sz w:val="22"/>
                <w:szCs w:val="22"/>
              </w:rPr>
            </w:pPr>
            <w:r w:rsidRPr="001136D3">
              <w:rPr>
                <w:sz w:val="22"/>
                <w:szCs w:val="22"/>
              </w:rPr>
              <w:t>TLS</w:t>
            </w:r>
          </w:p>
        </w:tc>
        <w:tc>
          <w:tcPr>
            <w:tcW w:w="5760" w:type="dxa"/>
          </w:tcPr>
          <w:p w14:paraId="0F42E3C1" w14:textId="77777777" w:rsidR="00586D59" w:rsidRPr="001136D3" w:rsidRDefault="00586D59" w:rsidP="001136D3">
            <w:pPr>
              <w:spacing w:after="0"/>
              <w:ind w:right="-360"/>
              <w:rPr>
                <w:sz w:val="22"/>
                <w:szCs w:val="22"/>
              </w:rPr>
            </w:pPr>
            <w:r w:rsidRPr="001136D3">
              <w:rPr>
                <w:sz w:val="22"/>
                <w:szCs w:val="22"/>
              </w:rPr>
              <w:t>Transport Layer Security</w:t>
            </w:r>
          </w:p>
        </w:tc>
      </w:tr>
      <w:tr w:rsidR="00586D59" w:rsidRPr="004E2D1C" w14:paraId="172CD379" w14:textId="77777777">
        <w:trPr>
          <w:cantSplit/>
        </w:trPr>
        <w:tc>
          <w:tcPr>
            <w:tcW w:w="720" w:type="dxa"/>
          </w:tcPr>
          <w:p w14:paraId="647B280C" w14:textId="77777777" w:rsidR="00586D59" w:rsidRPr="001136D3" w:rsidRDefault="00586D59" w:rsidP="001136D3">
            <w:pPr>
              <w:spacing w:after="0"/>
              <w:ind w:right="-360"/>
              <w:rPr>
                <w:sz w:val="22"/>
                <w:szCs w:val="22"/>
              </w:rPr>
            </w:pPr>
          </w:p>
        </w:tc>
        <w:tc>
          <w:tcPr>
            <w:tcW w:w="1800" w:type="dxa"/>
          </w:tcPr>
          <w:p w14:paraId="63BC3C35" w14:textId="77777777" w:rsidR="00586D59" w:rsidRPr="001136D3" w:rsidRDefault="00586D59" w:rsidP="001136D3">
            <w:pPr>
              <w:spacing w:after="0"/>
              <w:ind w:right="-360"/>
              <w:rPr>
                <w:sz w:val="22"/>
                <w:szCs w:val="22"/>
              </w:rPr>
            </w:pPr>
            <w:r w:rsidRPr="001136D3">
              <w:rPr>
                <w:sz w:val="22"/>
                <w:szCs w:val="22"/>
              </w:rPr>
              <w:t>UT</w:t>
            </w:r>
          </w:p>
        </w:tc>
        <w:tc>
          <w:tcPr>
            <w:tcW w:w="5760" w:type="dxa"/>
          </w:tcPr>
          <w:p w14:paraId="475EB404" w14:textId="77777777" w:rsidR="00586D59" w:rsidRPr="001136D3" w:rsidRDefault="00586D59" w:rsidP="001136D3">
            <w:pPr>
              <w:spacing w:after="0"/>
              <w:ind w:right="-360"/>
              <w:rPr>
                <w:sz w:val="22"/>
                <w:szCs w:val="22"/>
              </w:rPr>
            </w:pPr>
            <w:r w:rsidRPr="001136D3">
              <w:rPr>
                <w:sz w:val="22"/>
                <w:szCs w:val="22"/>
              </w:rPr>
              <w:t>Unit Testing</w:t>
            </w:r>
          </w:p>
        </w:tc>
      </w:tr>
      <w:tr w:rsidR="00586D59" w:rsidRPr="004E2D1C" w14:paraId="5B64581C" w14:textId="77777777">
        <w:trPr>
          <w:cantSplit/>
        </w:trPr>
        <w:tc>
          <w:tcPr>
            <w:tcW w:w="720" w:type="dxa"/>
          </w:tcPr>
          <w:p w14:paraId="2DB99084" w14:textId="77777777" w:rsidR="00586D59" w:rsidRPr="001136D3" w:rsidRDefault="00586D59" w:rsidP="001136D3">
            <w:pPr>
              <w:spacing w:after="0"/>
              <w:ind w:right="-360"/>
              <w:rPr>
                <w:sz w:val="22"/>
                <w:szCs w:val="22"/>
              </w:rPr>
            </w:pPr>
          </w:p>
        </w:tc>
        <w:tc>
          <w:tcPr>
            <w:tcW w:w="1800" w:type="dxa"/>
          </w:tcPr>
          <w:p w14:paraId="42E9DD56" w14:textId="77777777" w:rsidR="00586D59" w:rsidRPr="001136D3" w:rsidRDefault="00586D59" w:rsidP="001136D3">
            <w:pPr>
              <w:spacing w:after="0"/>
              <w:ind w:right="-360"/>
              <w:rPr>
                <w:sz w:val="22"/>
                <w:szCs w:val="22"/>
              </w:rPr>
            </w:pPr>
            <w:r w:rsidRPr="001136D3">
              <w:rPr>
                <w:sz w:val="22"/>
                <w:szCs w:val="22"/>
              </w:rPr>
              <w:t>UMS</w:t>
            </w:r>
          </w:p>
        </w:tc>
        <w:tc>
          <w:tcPr>
            <w:tcW w:w="5760" w:type="dxa"/>
          </w:tcPr>
          <w:p w14:paraId="20DD0DBA" w14:textId="77777777" w:rsidR="00586D59" w:rsidRPr="001136D3" w:rsidRDefault="00586D59" w:rsidP="001136D3">
            <w:pPr>
              <w:spacing w:after="0"/>
              <w:ind w:right="-360"/>
              <w:rPr>
                <w:sz w:val="22"/>
                <w:szCs w:val="22"/>
              </w:rPr>
            </w:pPr>
            <w:r w:rsidRPr="001136D3">
              <w:rPr>
                <w:sz w:val="22"/>
                <w:szCs w:val="22"/>
              </w:rPr>
              <w:t>User Management System</w:t>
            </w:r>
          </w:p>
        </w:tc>
      </w:tr>
      <w:tr w:rsidR="00586D59" w:rsidRPr="004E2D1C" w14:paraId="6A76AAFA" w14:textId="77777777">
        <w:trPr>
          <w:cantSplit/>
        </w:trPr>
        <w:tc>
          <w:tcPr>
            <w:tcW w:w="720" w:type="dxa"/>
          </w:tcPr>
          <w:p w14:paraId="33950536" w14:textId="77777777" w:rsidR="00586D59" w:rsidRPr="001136D3" w:rsidRDefault="00586D59" w:rsidP="001136D3">
            <w:pPr>
              <w:spacing w:after="0"/>
              <w:ind w:right="-360"/>
              <w:rPr>
                <w:sz w:val="22"/>
                <w:szCs w:val="22"/>
              </w:rPr>
            </w:pPr>
          </w:p>
        </w:tc>
        <w:tc>
          <w:tcPr>
            <w:tcW w:w="1800" w:type="dxa"/>
          </w:tcPr>
          <w:p w14:paraId="76F5B6B0" w14:textId="77777777" w:rsidR="00586D59" w:rsidRPr="001136D3" w:rsidRDefault="00586D59" w:rsidP="001136D3">
            <w:pPr>
              <w:spacing w:after="0"/>
              <w:ind w:right="-360"/>
              <w:rPr>
                <w:sz w:val="22"/>
                <w:szCs w:val="22"/>
              </w:rPr>
            </w:pPr>
            <w:r w:rsidRPr="001136D3">
              <w:rPr>
                <w:sz w:val="22"/>
                <w:szCs w:val="22"/>
              </w:rPr>
              <w:t>UML</w:t>
            </w:r>
          </w:p>
        </w:tc>
        <w:tc>
          <w:tcPr>
            <w:tcW w:w="5760" w:type="dxa"/>
          </w:tcPr>
          <w:p w14:paraId="4B6E887B" w14:textId="77777777" w:rsidR="00586D59" w:rsidRPr="001136D3" w:rsidRDefault="00586D59" w:rsidP="001136D3">
            <w:pPr>
              <w:spacing w:after="0"/>
              <w:ind w:right="-360"/>
              <w:rPr>
                <w:sz w:val="22"/>
                <w:szCs w:val="22"/>
              </w:rPr>
            </w:pPr>
            <w:r w:rsidRPr="001136D3">
              <w:rPr>
                <w:iCs/>
                <w:sz w:val="22"/>
                <w:szCs w:val="22"/>
              </w:rPr>
              <w:t>Unified Modeling Language</w:t>
            </w:r>
          </w:p>
        </w:tc>
      </w:tr>
      <w:tr w:rsidR="00586D59" w:rsidRPr="004E2D1C" w14:paraId="458214F1" w14:textId="77777777">
        <w:trPr>
          <w:cantSplit/>
        </w:trPr>
        <w:tc>
          <w:tcPr>
            <w:tcW w:w="720" w:type="dxa"/>
          </w:tcPr>
          <w:p w14:paraId="658A1FEB" w14:textId="77777777" w:rsidR="00586D59" w:rsidRPr="001136D3" w:rsidRDefault="00586D59" w:rsidP="001136D3">
            <w:pPr>
              <w:spacing w:after="0"/>
              <w:ind w:right="-360"/>
              <w:rPr>
                <w:sz w:val="22"/>
                <w:szCs w:val="22"/>
              </w:rPr>
            </w:pPr>
          </w:p>
        </w:tc>
        <w:tc>
          <w:tcPr>
            <w:tcW w:w="1800" w:type="dxa"/>
          </w:tcPr>
          <w:p w14:paraId="7EF7782C" w14:textId="77777777" w:rsidR="00586D59" w:rsidRPr="001136D3" w:rsidRDefault="00586D59" w:rsidP="001136D3">
            <w:pPr>
              <w:spacing w:after="0"/>
              <w:ind w:right="-360"/>
              <w:rPr>
                <w:sz w:val="22"/>
                <w:szCs w:val="22"/>
              </w:rPr>
            </w:pPr>
            <w:r w:rsidRPr="001136D3">
              <w:rPr>
                <w:sz w:val="22"/>
                <w:szCs w:val="22"/>
              </w:rPr>
              <w:t>UI</w:t>
            </w:r>
          </w:p>
        </w:tc>
        <w:tc>
          <w:tcPr>
            <w:tcW w:w="5760" w:type="dxa"/>
          </w:tcPr>
          <w:p w14:paraId="76CA2F36" w14:textId="77777777" w:rsidR="00586D59" w:rsidRPr="001136D3" w:rsidRDefault="00586D59" w:rsidP="001136D3">
            <w:pPr>
              <w:spacing w:after="0"/>
              <w:ind w:right="-360"/>
              <w:rPr>
                <w:sz w:val="22"/>
                <w:szCs w:val="22"/>
              </w:rPr>
            </w:pPr>
            <w:r w:rsidRPr="001136D3">
              <w:rPr>
                <w:sz w:val="22"/>
                <w:szCs w:val="22"/>
              </w:rPr>
              <w:t>User Interface</w:t>
            </w:r>
          </w:p>
        </w:tc>
      </w:tr>
      <w:tr w:rsidR="00586D59" w:rsidRPr="004E2D1C" w14:paraId="25EA6A9A" w14:textId="77777777">
        <w:trPr>
          <w:cantSplit/>
        </w:trPr>
        <w:tc>
          <w:tcPr>
            <w:tcW w:w="720" w:type="dxa"/>
          </w:tcPr>
          <w:p w14:paraId="2A6A31CD" w14:textId="77777777" w:rsidR="00586D59" w:rsidRPr="001136D3" w:rsidRDefault="00586D59" w:rsidP="001136D3">
            <w:pPr>
              <w:spacing w:after="0"/>
              <w:ind w:right="-360"/>
              <w:rPr>
                <w:sz w:val="22"/>
                <w:szCs w:val="22"/>
              </w:rPr>
            </w:pPr>
          </w:p>
        </w:tc>
        <w:tc>
          <w:tcPr>
            <w:tcW w:w="1800" w:type="dxa"/>
          </w:tcPr>
          <w:p w14:paraId="47054D8E" w14:textId="77777777" w:rsidR="00586D59" w:rsidRPr="001136D3" w:rsidRDefault="00586D59" w:rsidP="001136D3">
            <w:pPr>
              <w:spacing w:after="0"/>
              <w:ind w:right="-360"/>
              <w:rPr>
                <w:sz w:val="22"/>
                <w:szCs w:val="22"/>
              </w:rPr>
            </w:pPr>
            <w:r w:rsidRPr="001136D3">
              <w:rPr>
                <w:sz w:val="22"/>
                <w:szCs w:val="22"/>
              </w:rPr>
              <w:t>UCR</w:t>
            </w:r>
          </w:p>
        </w:tc>
        <w:tc>
          <w:tcPr>
            <w:tcW w:w="5760" w:type="dxa"/>
          </w:tcPr>
          <w:p w14:paraId="317D1063" w14:textId="77777777" w:rsidR="00586D59" w:rsidRPr="001136D3" w:rsidRDefault="00586D59" w:rsidP="001136D3">
            <w:pPr>
              <w:spacing w:after="0"/>
              <w:ind w:right="-360"/>
              <w:rPr>
                <w:sz w:val="22"/>
                <w:szCs w:val="22"/>
              </w:rPr>
            </w:pPr>
            <w:r w:rsidRPr="001136D3">
              <w:rPr>
                <w:sz w:val="22"/>
                <w:szCs w:val="22"/>
              </w:rPr>
              <w:t>Unique Consignment Reference</w:t>
            </w:r>
          </w:p>
        </w:tc>
      </w:tr>
      <w:tr w:rsidR="00586D59" w:rsidRPr="004E2D1C" w14:paraId="4B247274" w14:textId="77777777">
        <w:trPr>
          <w:cantSplit/>
        </w:trPr>
        <w:tc>
          <w:tcPr>
            <w:tcW w:w="720" w:type="dxa"/>
          </w:tcPr>
          <w:p w14:paraId="2D08581C" w14:textId="77777777" w:rsidR="00586D59" w:rsidRPr="001136D3" w:rsidRDefault="00586D59" w:rsidP="001136D3">
            <w:pPr>
              <w:spacing w:after="0"/>
              <w:ind w:right="-360"/>
              <w:rPr>
                <w:sz w:val="22"/>
                <w:szCs w:val="22"/>
              </w:rPr>
            </w:pPr>
          </w:p>
        </w:tc>
        <w:tc>
          <w:tcPr>
            <w:tcW w:w="1800" w:type="dxa"/>
          </w:tcPr>
          <w:p w14:paraId="3428EC8F" w14:textId="77777777" w:rsidR="00586D59" w:rsidRPr="001136D3" w:rsidRDefault="00586D59" w:rsidP="001136D3">
            <w:pPr>
              <w:spacing w:after="0"/>
              <w:ind w:right="-360"/>
              <w:rPr>
                <w:sz w:val="22"/>
                <w:szCs w:val="22"/>
                <w:lang w:val="es-ES"/>
              </w:rPr>
            </w:pPr>
            <w:r w:rsidRPr="001136D3">
              <w:rPr>
                <w:sz w:val="22"/>
                <w:szCs w:val="22"/>
                <w:lang w:val="es-ES"/>
              </w:rPr>
              <w:t>VPN</w:t>
            </w:r>
          </w:p>
        </w:tc>
        <w:tc>
          <w:tcPr>
            <w:tcW w:w="5760" w:type="dxa"/>
          </w:tcPr>
          <w:p w14:paraId="2108013E" w14:textId="77777777" w:rsidR="00586D59" w:rsidRPr="001136D3" w:rsidRDefault="00586D59" w:rsidP="001136D3">
            <w:pPr>
              <w:spacing w:after="0"/>
              <w:ind w:right="-360"/>
              <w:rPr>
                <w:sz w:val="22"/>
                <w:szCs w:val="22"/>
                <w:lang w:val="es-ES"/>
              </w:rPr>
            </w:pPr>
            <w:r w:rsidRPr="001136D3">
              <w:rPr>
                <w:sz w:val="22"/>
                <w:szCs w:val="22"/>
                <w:shd w:val="clear" w:color="auto" w:fill="FFFFFF"/>
              </w:rPr>
              <w:t>Virtual Private Network</w:t>
            </w:r>
          </w:p>
        </w:tc>
      </w:tr>
      <w:tr w:rsidR="00586D59" w:rsidRPr="004E2D1C" w14:paraId="1446EC32" w14:textId="77777777">
        <w:trPr>
          <w:cantSplit/>
        </w:trPr>
        <w:tc>
          <w:tcPr>
            <w:tcW w:w="720" w:type="dxa"/>
          </w:tcPr>
          <w:p w14:paraId="50479831" w14:textId="77777777" w:rsidR="00586D59" w:rsidRPr="001136D3" w:rsidRDefault="00586D59" w:rsidP="001136D3">
            <w:pPr>
              <w:spacing w:after="0"/>
              <w:ind w:right="-360"/>
              <w:rPr>
                <w:sz w:val="22"/>
                <w:szCs w:val="22"/>
              </w:rPr>
            </w:pPr>
          </w:p>
        </w:tc>
        <w:tc>
          <w:tcPr>
            <w:tcW w:w="1800" w:type="dxa"/>
          </w:tcPr>
          <w:p w14:paraId="65A677A6" w14:textId="77777777" w:rsidR="00586D59" w:rsidRPr="001136D3" w:rsidRDefault="00586D59" w:rsidP="001136D3">
            <w:pPr>
              <w:spacing w:after="0"/>
              <w:ind w:right="-360"/>
              <w:rPr>
                <w:sz w:val="22"/>
                <w:szCs w:val="22"/>
              </w:rPr>
            </w:pPr>
            <w:r w:rsidRPr="001136D3">
              <w:rPr>
                <w:sz w:val="22"/>
                <w:szCs w:val="22"/>
              </w:rPr>
              <w:t>WAN</w:t>
            </w:r>
          </w:p>
        </w:tc>
        <w:tc>
          <w:tcPr>
            <w:tcW w:w="5760" w:type="dxa"/>
          </w:tcPr>
          <w:p w14:paraId="3E491211" w14:textId="77777777" w:rsidR="00586D59" w:rsidRPr="001136D3" w:rsidRDefault="00586D59" w:rsidP="001136D3">
            <w:pPr>
              <w:spacing w:after="0"/>
              <w:ind w:right="-360"/>
              <w:rPr>
                <w:sz w:val="22"/>
                <w:szCs w:val="22"/>
              </w:rPr>
            </w:pPr>
            <w:r w:rsidRPr="001136D3">
              <w:rPr>
                <w:sz w:val="22"/>
                <w:szCs w:val="22"/>
              </w:rPr>
              <w:t>Wide Area Network</w:t>
            </w:r>
          </w:p>
        </w:tc>
      </w:tr>
      <w:tr w:rsidR="00586D59" w:rsidRPr="004E2D1C" w14:paraId="494AB5E3" w14:textId="77777777">
        <w:trPr>
          <w:cantSplit/>
        </w:trPr>
        <w:tc>
          <w:tcPr>
            <w:tcW w:w="720" w:type="dxa"/>
          </w:tcPr>
          <w:p w14:paraId="7FE001B8" w14:textId="77777777" w:rsidR="00586D59" w:rsidRPr="001136D3" w:rsidRDefault="00586D59" w:rsidP="001136D3">
            <w:pPr>
              <w:spacing w:after="0"/>
              <w:ind w:right="-360"/>
              <w:rPr>
                <w:sz w:val="22"/>
                <w:szCs w:val="22"/>
              </w:rPr>
            </w:pPr>
          </w:p>
        </w:tc>
        <w:tc>
          <w:tcPr>
            <w:tcW w:w="1800" w:type="dxa"/>
          </w:tcPr>
          <w:p w14:paraId="4FAEDB97" w14:textId="77777777" w:rsidR="00586D59" w:rsidRPr="001136D3" w:rsidRDefault="00586D59" w:rsidP="001136D3">
            <w:pPr>
              <w:spacing w:after="0"/>
              <w:ind w:right="-360"/>
              <w:rPr>
                <w:sz w:val="22"/>
                <w:szCs w:val="22"/>
              </w:rPr>
            </w:pPr>
            <w:r w:rsidRPr="001136D3">
              <w:rPr>
                <w:sz w:val="22"/>
                <w:szCs w:val="22"/>
              </w:rPr>
              <w:t>XML</w:t>
            </w:r>
          </w:p>
        </w:tc>
        <w:tc>
          <w:tcPr>
            <w:tcW w:w="5760" w:type="dxa"/>
          </w:tcPr>
          <w:p w14:paraId="022B117E" w14:textId="77777777" w:rsidR="00586D59" w:rsidRPr="001136D3" w:rsidRDefault="00586D59" w:rsidP="001136D3">
            <w:pPr>
              <w:spacing w:after="0"/>
              <w:ind w:right="-360"/>
              <w:rPr>
                <w:sz w:val="22"/>
                <w:szCs w:val="22"/>
              </w:rPr>
            </w:pPr>
            <w:r w:rsidRPr="001136D3">
              <w:rPr>
                <w:iCs/>
                <w:sz w:val="22"/>
                <w:szCs w:val="22"/>
              </w:rPr>
              <w:t>extensible Markup Language</w:t>
            </w:r>
          </w:p>
        </w:tc>
      </w:tr>
    </w:tbl>
    <w:p w14:paraId="52309843" w14:textId="77777777" w:rsidR="00157AAA" w:rsidRDefault="00157AAA">
      <w:pPr>
        <w:ind w:left="1440" w:right="-360" w:hanging="720"/>
        <w:rPr>
          <w:szCs w:val="24"/>
        </w:rPr>
      </w:pPr>
    </w:p>
    <w:p w14:paraId="2D4E282B" w14:textId="77777777" w:rsidR="00157AAA" w:rsidRDefault="00157AAA">
      <w:pPr>
        <w:ind w:left="1440" w:right="-360" w:hanging="720"/>
      </w:pPr>
    </w:p>
    <w:p w14:paraId="2A67CDB1" w14:textId="77777777" w:rsidR="00157AAA" w:rsidRDefault="00157AAA">
      <w:pPr>
        <w:ind w:right="-360"/>
      </w:pPr>
      <w:bookmarkStart w:id="716" w:name="_Toc521498252"/>
    </w:p>
    <w:p w14:paraId="6B4AD17F" w14:textId="77777777" w:rsidR="00157AAA" w:rsidRDefault="006C1BE5">
      <w:pPr>
        <w:pStyle w:val="Head5a1"/>
      </w:pPr>
      <w:r>
        <w:br w:type="page" w:clear="all"/>
      </w:r>
      <w:bookmarkStart w:id="717" w:name="_Toc145658520"/>
      <w:r>
        <w:lastRenderedPageBreak/>
        <w:t>B.  Functional, Architectural and Performance Requirements</w:t>
      </w:r>
      <w:bookmarkEnd w:id="716"/>
      <w:bookmarkEnd w:id="717"/>
    </w:p>
    <w:p w14:paraId="3053D8F1" w14:textId="77777777" w:rsidR="00157AAA" w:rsidRDefault="006C1BE5">
      <w:pPr>
        <w:pStyle w:val="Head5a2"/>
      </w:pPr>
      <w:bookmarkStart w:id="718" w:name="_Toc145658521"/>
      <w:bookmarkStart w:id="719" w:name="_Toc521498253"/>
      <w:r>
        <w:t>1.1</w:t>
      </w:r>
      <w:r>
        <w:tab/>
        <w:t>Legal and Regulatory Requirements to be met by the Information System</w:t>
      </w:r>
      <w:bookmarkEnd w:id="718"/>
    </w:p>
    <w:p w14:paraId="1BB66D4B" w14:textId="77777777" w:rsidR="00157AAA" w:rsidRDefault="00157AAA">
      <w:pPr>
        <w:ind w:left="1440" w:hanging="720"/>
      </w:pPr>
    </w:p>
    <w:p w14:paraId="408BA49F" w14:textId="77777777" w:rsidR="00157AAA" w:rsidRDefault="006C1BE5">
      <w:pPr>
        <w:ind w:left="1440" w:hanging="720"/>
      </w:pPr>
      <w:r>
        <w:t xml:space="preserve">The Information System MUST comply with the following laws and regulations:  </w:t>
      </w:r>
    </w:p>
    <w:p w14:paraId="48374173" w14:textId="77777777" w:rsidR="00157AAA" w:rsidRDefault="006C1BE5">
      <w:pPr>
        <w:tabs>
          <w:tab w:val="left" w:pos="2520"/>
        </w:tabs>
        <w:ind w:left="2520" w:hanging="990"/>
      </w:pPr>
      <w:r>
        <w:t>1.1.1.1</w:t>
      </w:r>
      <w:r>
        <w:tab/>
        <w:t>The Law on Customs (Official Gazette of the Republic of North Macedonia No. 39/05, 4/08, 48/10, 158/10, 44/11…. 144/18, 105/119, 158/19 and 279/19, 39/2005; 4/2008; 48/2010; 158/2010; 44/2011; 53/2011, 11/2012, 171/12, 187/2013, 15/2015, 129/2015, 154/2015, 192/2015, 23/2016, 144/2018, 110/2021</w:t>
      </w:r>
      <w:proofErr w:type="gramStart"/>
      <w:r>
        <w:t>);</w:t>
      </w:r>
      <w:proofErr w:type="gramEnd"/>
    </w:p>
    <w:p w14:paraId="0AD6C2E1" w14:textId="77777777" w:rsidR="00157AAA" w:rsidRDefault="006C1BE5">
      <w:pPr>
        <w:tabs>
          <w:tab w:val="left" w:pos="2520"/>
        </w:tabs>
        <w:ind w:left="2520" w:hanging="990"/>
      </w:pPr>
      <w:r>
        <w:t>1.1.1.2      The Law on Customs Tariff (Official Gazette of the Republic of North Macedonia No. 23/03, 69/04, 10/08, 17/08, 160/08, 35/10, 11/12, 93/13, 44/15, 81/15, 192/15, 124/19, 39/22</w:t>
      </w:r>
      <w:proofErr w:type="gramStart"/>
      <w:r>
        <w:t>);</w:t>
      </w:r>
      <w:proofErr w:type="gramEnd"/>
    </w:p>
    <w:p w14:paraId="6BFEED01" w14:textId="77777777" w:rsidR="00157AAA" w:rsidRDefault="006C1BE5">
      <w:pPr>
        <w:tabs>
          <w:tab w:val="left" w:pos="2520"/>
        </w:tabs>
        <w:ind w:left="2520" w:hanging="990"/>
      </w:pPr>
      <w:r>
        <w:t>1.1.1.3    The Law on Customs Administration (Official Gazette of the Republic of North Macedonia No. 46/04, 81/05, 107/07, 103/08, 64/09, 105/09, 48/10, 158/10….129/15, 23/16 and 120/18, 122/21</w:t>
      </w:r>
      <w:proofErr w:type="gramStart"/>
      <w:r>
        <w:t>);</w:t>
      </w:r>
      <w:proofErr w:type="gramEnd"/>
    </w:p>
    <w:p w14:paraId="2DD73334" w14:textId="77777777" w:rsidR="00157AAA" w:rsidRDefault="006C1BE5">
      <w:pPr>
        <w:tabs>
          <w:tab w:val="left" w:pos="2520"/>
        </w:tabs>
        <w:ind w:left="2520" w:hanging="990"/>
      </w:pPr>
      <w:r>
        <w:t>1.1.1.4    The Law on Excise Duty (Official Gazette of the Republic of North Macedonia No. 108/19, 143/19, 225/19 and 275/19)</w:t>
      </w:r>
    </w:p>
    <w:p w14:paraId="33D424D6" w14:textId="77777777" w:rsidR="00157AAA" w:rsidRDefault="006C1BE5">
      <w:pPr>
        <w:tabs>
          <w:tab w:val="left" w:pos="2520"/>
        </w:tabs>
        <w:ind w:left="2520" w:hanging="990"/>
      </w:pPr>
      <w:r>
        <w:t>1.1.1.5   The Law on Customs Measures for Protection of Intellectual Property Rights (Official Gazette of the Republic of North Macedonia No. 88/15, 154/15, 192/15 and 23/16)</w:t>
      </w:r>
    </w:p>
    <w:p w14:paraId="6C960280" w14:textId="77777777" w:rsidR="00157AAA" w:rsidRDefault="006C1BE5">
      <w:pPr>
        <w:tabs>
          <w:tab w:val="left" w:pos="2520"/>
        </w:tabs>
        <w:ind w:left="2520" w:hanging="990"/>
      </w:pPr>
      <w:r>
        <w:t>1.1.1.6   The Law on Representation Activities Performed in Customs Procedures (Official Gazette of the Republic of North Macedonia No. 180/14, 154/15, 192/15,23/16, 110/21 and 89/22</w:t>
      </w:r>
      <w:proofErr w:type="gramStart"/>
      <w:r>
        <w:t>);</w:t>
      </w:r>
      <w:proofErr w:type="gramEnd"/>
    </w:p>
    <w:p w14:paraId="51EAE3C2" w14:textId="77777777" w:rsidR="00157AAA" w:rsidRDefault="006C1BE5">
      <w:pPr>
        <w:tabs>
          <w:tab w:val="left" w:pos="2520"/>
        </w:tabs>
        <w:ind w:left="2520" w:hanging="990"/>
      </w:pPr>
      <w:r>
        <w:t>1.1.1.7   The Law on Administrative Fees (Official Gazette of the Republic of North Macedonia No. 17/93, 20/96, 7/98, 13/01, 24/03, 19/04, 61/04, 97/05, 7/06, 70/06, 92/07, 88/08, 130/</w:t>
      </w:r>
      <w:proofErr w:type="gramStart"/>
      <w:r>
        <w:t>08,  6</w:t>
      </w:r>
      <w:proofErr w:type="gramEnd"/>
      <w:r>
        <w:t>/10, 145/10, 75/11, 84/12, 192/15, 23/16);1.1.1.8   The Law on the General Administrative Procedure (Official Gazette of the Republic of North Macedonia No. 124/2015 and No. 65/2018);</w:t>
      </w:r>
    </w:p>
    <w:p w14:paraId="3B305BAC" w14:textId="4F0C8CF0" w:rsidR="00157AAA" w:rsidRDefault="006C1BE5">
      <w:pPr>
        <w:tabs>
          <w:tab w:val="left" w:pos="2520"/>
        </w:tabs>
        <w:ind w:left="2520" w:hanging="990"/>
      </w:pPr>
      <w:r>
        <w:t>1.1.1.</w:t>
      </w:r>
      <w:r w:rsidR="00484118">
        <w:t>8</w:t>
      </w:r>
      <w:r>
        <w:t xml:space="preserve">     The Law on Electronic Documents, Electronic Identification, and Confidential Services (Official Gazette of the Republic of North Macedonia No. 101/19 and 275/19</w:t>
      </w:r>
      <w:proofErr w:type="gramStart"/>
      <w:r>
        <w:t>);</w:t>
      </w:r>
      <w:proofErr w:type="gramEnd"/>
      <w:r>
        <w:t xml:space="preserve"> </w:t>
      </w:r>
    </w:p>
    <w:p w14:paraId="4939B94A" w14:textId="2F87B86B" w:rsidR="00157AAA" w:rsidRDefault="006C1BE5">
      <w:pPr>
        <w:tabs>
          <w:tab w:val="left" w:pos="2520"/>
        </w:tabs>
        <w:ind w:left="2520" w:hanging="990"/>
      </w:pPr>
      <w:r>
        <w:lastRenderedPageBreak/>
        <w:t>1.1.1.</w:t>
      </w:r>
      <w:r w:rsidR="00484118">
        <w:t>9</w:t>
      </w:r>
      <w:r>
        <w:t xml:space="preserve">   The Law on Electronic Administration and Electronic Services (Official Gazette of the Republic of North Macedonia No. 98/19 and 244/19)</w:t>
      </w:r>
    </w:p>
    <w:p w14:paraId="468623A0" w14:textId="04BAA390" w:rsidR="00157AAA" w:rsidRDefault="006C1BE5">
      <w:pPr>
        <w:tabs>
          <w:tab w:val="left" w:pos="2520"/>
        </w:tabs>
        <w:ind w:left="2520" w:hanging="990"/>
      </w:pPr>
      <w:r>
        <w:t>1.1.1.1</w:t>
      </w:r>
      <w:r w:rsidR="00484118">
        <w:t>0</w:t>
      </w:r>
      <w:r>
        <w:t xml:space="preserve">   The Law on Electronic Trade and Commerce (Official Gazette of the Republic of North Macedonia No. 98/19 and 244/19)</w:t>
      </w:r>
    </w:p>
    <w:p w14:paraId="23117F81" w14:textId="072171C1" w:rsidR="00157AAA" w:rsidRDefault="006C1BE5">
      <w:pPr>
        <w:tabs>
          <w:tab w:val="left" w:pos="2520"/>
        </w:tabs>
        <w:ind w:left="2520" w:hanging="990"/>
      </w:pPr>
      <w:r>
        <w:t>1.1.1.1</w:t>
      </w:r>
      <w:r w:rsidR="00484118">
        <w:t>1</w:t>
      </w:r>
      <w:r>
        <w:t xml:space="preserve">   The Law on Data Protection (Official Gazette of the Republic of North Macedonia No. 42/20)</w:t>
      </w:r>
    </w:p>
    <w:p w14:paraId="71552B30" w14:textId="2915B38F" w:rsidR="00157AAA" w:rsidRDefault="006C1BE5">
      <w:pPr>
        <w:tabs>
          <w:tab w:val="left" w:pos="2520"/>
        </w:tabs>
        <w:ind w:left="2520" w:hanging="990"/>
      </w:pPr>
      <w:r>
        <w:t>1.1.1.1</w:t>
      </w:r>
      <w:r w:rsidR="00484118">
        <w:t>2</w:t>
      </w:r>
      <w:r>
        <w:t xml:space="preserve">   Decree for setting up and usage of the information system for data processing in e-format and e-signature while import, export and transit (Official Gazette of the Republic of North Macedonia No. 134/08, 13/11, 138/13, 208/15 and 232/19)</w:t>
      </w:r>
    </w:p>
    <w:p w14:paraId="6B66BA89" w14:textId="40964280" w:rsidR="00157AAA" w:rsidRDefault="006C1BE5">
      <w:pPr>
        <w:tabs>
          <w:tab w:val="left" w:pos="2520"/>
        </w:tabs>
        <w:ind w:left="2520" w:hanging="990"/>
      </w:pPr>
      <w:r>
        <w:t>1.1.1.1</w:t>
      </w:r>
      <w:r w:rsidR="00484118">
        <w:t>3</w:t>
      </w:r>
      <w:r>
        <w:t xml:space="preserve">   Rulebook for the costs for issuing of permits and licenses (Official Gazette of the Republic of North Macedonia No. 180/16)</w:t>
      </w:r>
    </w:p>
    <w:p w14:paraId="5F0EFB66" w14:textId="5F820243" w:rsidR="00157AAA" w:rsidRDefault="006C1BE5">
      <w:pPr>
        <w:tabs>
          <w:tab w:val="left" w:pos="2520"/>
        </w:tabs>
        <w:ind w:left="2520" w:hanging="990"/>
      </w:pPr>
      <w:r>
        <w:t>1.1.1.1</w:t>
      </w:r>
      <w:r w:rsidR="00484118">
        <w:t>4</w:t>
      </w:r>
      <w:r>
        <w:t xml:space="preserve">   Decision on classification of goods for export and import (Official Gazette of the Republic of North Macedonia No. 42/13 and 92/13)</w:t>
      </w:r>
    </w:p>
    <w:p w14:paraId="5CCF6BF8" w14:textId="199DB569" w:rsidR="00157AAA" w:rsidRDefault="006C1BE5">
      <w:pPr>
        <w:tabs>
          <w:tab w:val="left" w:pos="2520"/>
        </w:tabs>
        <w:ind w:left="2520" w:hanging="990"/>
      </w:pPr>
      <w:r>
        <w:t>1.1.1.1</w:t>
      </w:r>
      <w:r w:rsidR="00484118">
        <w:t>5</w:t>
      </w:r>
      <w:r>
        <w:t xml:space="preserve">   Manual for paying of the administrative fees for import, export and transit permits using the EXIM IT system. </w:t>
      </w:r>
    </w:p>
    <w:p w14:paraId="1C6DE2DC" w14:textId="77777777" w:rsidR="00157AAA" w:rsidRDefault="006C1BE5">
      <w:pPr>
        <w:pStyle w:val="Head5a2"/>
      </w:pPr>
      <w:bookmarkStart w:id="720" w:name="_Toc145658522"/>
      <w:r>
        <w:t>1.2</w:t>
      </w:r>
      <w:r>
        <w:tab/>
        <w:t>Business Function Requirements to be met by the Information System</w:t>
      </w:r>
      <w:bookmarkEnd w:id="719"/>
      <w:bookmarkEnd w:id="720"/>
    </w:p>
    <w:p w14:paraId="3EA4DCA0" w14:textId="77777777" w:rsidR="00157AAA" w:rsidRDefault="006C1BE5">
      <w:pPr>
        <w:ind w:left="1440" w:hanging="738"/>
        <w:jc w:val="left"/>
        <w:rPr>
          <w:b/>
          <w:szCs w:val="24"/>
        </w:rPr>
      </w:pPr>
      <w:r>
        <w:rPr>
          <w:b/>
          <w:szCs w:val="24"/>
        </w:rPr>
        <w:t xml:space="preserve">1.2.1 The New Single Window Information System MUST support the following functional </w:t>
      </w:r>
      <w:proofErr w:type="gramStart"/>
      <w:r>
        <w:rPr>
          <w:b/>
          <w:szCs w:val="24"/>
        </w:rPr>
        <w:t>requirements</w:t>
      </w:r>
      <w:proofErr w:type="gramEnd"/>
    </w:p>
    <w:p w14:paraId="55B0C3A2" w14:textId="77777777" w:rsidR="00157AAA" w:rsidRDefault="006C1BE5">
      <w:pPr>
        <w:ind w:left="1440" w:hanging="738"/>
        <w:jc w:val="left"/>
        <w:rPr>
          <w:b/>
          <w:szCs w:val="24"/>
        </w:rPr>
      </w:pPr>
      <w:r>
        <w:rPr>
          <w:b/>
          <w:szCs w:val="24"/>
        </w:rPr>
        <w:t xml:space="preserve">1.2.1.1. New Single Window Architecture </w:t>
      </w:r>
    </w:p>
    <w:p w14:paraId="794E1210" w14:textId="77777777" w:rsidR="00157AAA" w:rsidRDefault="006C1BE5">
      <w:pPr>
        <w:jc w:val="left"/>
        <w:rPr>
          <w:bCs/>
          <w:szCs w:val="24"/>
        </w:rPr>
      </w:pPr>
      <w:r>
        <w:rPr>
          <w:bCs/>
          <w:szCs w:val="24"/>
        </w:rPr>
        <w:t xml:space="preserve">In the scope of the New Single Window are the following modules: </w:t>
      </w:r>
    </w:p>
    <w:p w14:paraId="4317E573" w14:textId="659C1A12" w:rsidR="00157AAA" w:rsidRDefault="00AF42DD">
      <w:pPr>
        <w:jc w:val="left"/>
        <w:rPr>
          <w:bCs/>
          <w:szCs w:val="24"/>
        </w:rPr>
      </w:pPr>
      <w:r w:rsidRPr="00AF42DD">
        <w:rPr>
          <w:bCs/>
          <w:noProof/>
          <w:szCs w:val="24"/>
        </w:rPr>
        <w:drawing>
          <wp:inline distT="0" distB="0" distL="0" distR="0" wp14:anchorId="1ECA8571" wp14:editId="6F9FA2A7">
            <wp:extent cx="5486400" cy="26650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86400" cy="2665095"/>
                    </a:xfrm>
                    <a:prstGeom prst="rect">
                      <a:avLst/>
                    </a:prstGeom>
                  </pic:spPr>
                </pic:pic>
              </a:graphicData>
            </a:graphic>
          </wp:inline>
        </w:drawing>
      </w:r>
    </w:p>
    <w:p w14:paraId="06CA4D83" w14:textId="77777777" w:rsidR="00157AAA" w:rsidRDefault="006C1BE5">
      <w:pPr>
        <w:jc w:val="center"/>
        <w:rPr>
          <w:bCs/>
          <w:szCs w:val="24"/>
        </w:rPr>
      </w:pPr>
      <w:r>
        <w:rPr>
          <w:bCs/>
          <w:szCs w:val="24"/>
        </w:rPr>
        <w:lastRenderedPageBreak/>
        <w:t>Figure 1: NSW Components</w:t>
      </w:r>
    </w:p>
    <w:tbl>
      <w:tblPr>
        <w:tblStyle w:val="TableGrid"/>
        <w:tblW w:w="0" w:type="auto"/>
        <w:tblLook w:val="04A0" w:firstRow="1" w:lastRow="0" w:firstColumn="1" w:lastColumn="0" w:noHBand="0" w:noVBand="1"/>
      </w:tblPr>
      <w:tblGrid>
        <w:gridCol w:w="2515"/>
        <w:gridCol w:w="6115"/>
      </w:tblGrid>
      <w:tr w:rsidR="00157AAA" w14:paraId="4AF2DF57" w14:textId="77777777" w:rsidTr="001136D3">
        <w:tc>
          <w:tcPr>
            <w:tcW w:w="2515" w:type="dxa"/>
          </w:tcPr>
          <w:p w14:paraId="1A0C612D" w14:textId="77777777" w:rsidR="00157AAA" w:rsidRDefault="006C1BE5" w:rsidP="001136D3">
            <w:pPr>
              <w:spacing w:after="0"/>
              <w:jc w:val="left"/>
              <w:rPr>
                <w:bCs/>
                <w:szCs w:val="24"/>
              </w:rPr>
            </w:pPr>
            <w:r>
              <w:rPr>
                <w:bCs/>
                <w:szCs w:val="24"/>
              </w:rPr>
              <w:t xml:space="preserve">Component </w:t>
            </w:r>
          </w:p>
        </w:tc>
        <w:tc>
          <w:tcPr>
            <w:tcW w:w="6115" w:type="dxa"/>
          </w:tcPr>
          <w:p w14:paraId="67F8B2DE" w14:textId="77777777" w:rsidR="00157AAA" w:rsidRDefault="006C1BE5" w:rsidP="001136D3">
            <w:pPr>
              <w:spacing w:after="0"/>
              <w:jc w:val="left"/>
              <w:rPr>
                <w:bCs/>
                <w:szCs w:val="24"/>
              </w:rPr>
            </w:pPr>
            <w:r>
              <w:rPr>
                <w:bCs/>
                <w:szCs w:val="24"/>
              </w:rPr>
              <w:t xml:space="preserve">Description </w:t>
            </w:r>
          </w:p>
        </w:tc>
      </w:tr>
      <w:tr w:rsidR="00157AAA" w14:paraId="027F5BE4" w14:textId="77777777" w:rsidTr="001136D3">
        <w:tc>
          <w:tcPr>
            <w:tcW w:w="2515" w:type="dxa"/>
          </w:tcPr>
          <w:p w14:paraId="626EEDA3" w14:textId="30A113F5" w:rsidR="00157AAA" w:rsidRDefault="006C1BE5" w:rsidP="001136D3">
            <w:pPr>
              <w:spacing w:after="0"/>
              <w:jc w:val="left"/>
              <w:rPr>
                <w:bCs/>
                <w:szCs w:val="24"/>
              </w:rPr>
            </w:pPr>
            <w:r>
              <w:rPr>
                <w:bCs/>
                <w:szCs w:val="24"/>
              </w:rPr>
              <w:t>NSW Trader Port</w:t>
            </w:r>
            <w:r w:rsidR="00E449BC">
              <w:rPr>
                <w:bCs/>
                <w:szCs w:val="24"/>
              </w:rPr>
              <w:t>a</w:t>
            </w:r>
            <w:r>
              <w:rPr>
                <w:bCs/>
                <w:szCs w:val="24"/>
              </w:rPr>
              <w:t>l</w:t>
            </w:r>
          </w:p>
        </w:tc>
        <w:tc>
          <w:tcPr>
            <w:tcW w:w="6115" w:type="dxa"/>
          </w:tcPr>
          <w:p w14:paraId="549F68AB" w14:textId="7D9DB256" w:rsidR="00157AAA" w:rsidRDefault="006C1BE5" w:rsidP="001136D3">
            <w:pPr>
              <w:spacing w:after="0"/>
              <w:jc w:val="left"/>
              <w:rPr>
                <w:bCs/>
                <w:szCs w:val="24"/>
              </w:rPr>
            </w:pPr>
            <w:r>
              <w:rPr>
                <w:bCs/>
                <w:szCs w:val="24"/>
              </w:rPr>
              <w:t>The Trader Portal serves as a redirect platform, guiding traders to their desired services. Traders can use the portal to access the NSW for submitting LPCOs and other border-related documents, as well as interact with the customs processing system (CDEPS</w:t>
            </w:r>
            <w:r w:rsidR="00484118">
              <w:rPr>
                <w:bCs/>
                <w:szCs w:val="24"/>
              </w:rPr>
              <w:t xml:space="preserve"> and NCTS</w:t>
            </w:r>
            <w:r>
              <w:rPr>
                <w:bCs/>
                <w:szCs w:val="24"/>
              </w:rPr>
              <w:t>) seamlessly. </w:t>
            </w:r>
          </w:p>
        </w:tc>
      </w:tr>
      <w:tr w:rsidR="00157AAA" w14:paraId="29CED8EA" w14:textId="77777777" w:rsidTr="001136D3">
        <w:tc>
          <w:tcPr>
            <w:tcW w:w="2515" w:type="dxa"/>
          </w:tcPr>
          <w:p w14:paraId="6AF4DF4A" w14:textId="77777777" w:rsidR="00157AAA" w:rsidRDefault="006C1BE5" w:rsidP="001136D3">
            <w:pPr>
              <w:spacing w:after="0"/>
              <w:jc w:val="left"/>
              <w:rPr>
                <w:bCs/>
                <w:szCs w:val="24"/>
              </w:rPr>
            </w:pPr>
            <w:r>
              <w:rPr>
                <w:bCs/>
                <w:szCs w:val="24"/>
              </w:rPr>
              <w:t>NSW Help Desk</w:t>
            </w:r>
          </w:p>
        </w:tc>
        <w:tc>
          <w:tcPr>
            <w:tcW w:w="6115" w:type="dxa"/>
          </w:tcPr>
          <w:p w14:paraId="4F271332" w14:textId="77777777" w:rsidR="00157AAA" w:rsidRDefault="006C1BE5" w:rsidP="001136D3">
            <w:pPr>
              <w:spacing w:after="0"/>
              <w:jc w:val="left"/>
              <w:rPr>
                <w:bCs/>
                <w:szCs w:val="24"/>
              </w:rPr>
            </w:pPr>
            <w:r>
              <w:rPr>
                <w:bCs/>
                <w:szCs w:val="24"/>
              </w:rPr>
              <w:t xml:space="preserve">The Helpdesk service is where the NSW Helpdesk </w:t>
            </w:r>
            <w:proofErr w:type="gramStart"/>
            <w:r>
              <w:rPr>
                <w:bCs/>
                <w:szCs w:val="24"/>
              </w:rPr>
              <w:t>support</w:t>
            </w:r>
            <w:proofErr w:type="gramEnd"/>
            <w:r>
              <w:rPr>
                <w:bCs/>
                <w:szCs w:val="24"/>
              </w:rPr>
              <w:t xml:space="preserve"> the traders and CBRA users on issues related to the usage of the NSW. It uses the issue tracking </w:t>
            </w:r>
            <w:proofErr w:type="gramStart"/>
            <w:r>
              <w:rPr>
                <w:bCs/>
                <w:szCs w:val="24"/>
              </w:rPr>
              <w:t>component</w:t>
            </w:r>
            <w:proofErr w:type="gramEnd"/>
            <w:r>
              <w:rPr>
                <w:bCs/>
                <w:szCs w:val="24"/>
              </w:rPr>
              <w:t xml:space="preserve"> and it is recommended that it is provided by a COTS solution.</w:t>
            </w:r>
          </w:p>
          <w:p w14:paraId="29183291" w14:textId="77777777" w:rsidR="00157AAA" w:rsidRDefault="006C1BE5" w:rsidP="001136D3">
            <w:pPr>
              <w:spacing w:after="0"/>
              <w:jc w:val="left"/>
              <w:rPr>
                <w:bCs/>
                <w:szCs w:val="24"/>
              </w:rPr>
            </w:pPr>
            <w:r>
              <w:rPr>
                <w:bCs/>
                <w:szCs w:val="24"/>
              </w:rPr>
              <w:t xml:space="preserve">The NSW Helpdesk will have an issue tracking system as the main contact point </w:t>
            </w:r>
            <w:proofErr w:type="gramStart"/>
            <w:r>
              <w:rPr>
                <w:bCs/>
                <w:szCs w:val="24"/>
              </w:rPr>
              <w:t>towards</w:t>
            </w:r>
            <w:proofErr w:type="gramEnd"/>
            <w:r>
              <w:rPr>
                <w:bCs/>
                <w:szCs w:val="24"/>
              </w:rPr>
              <w:t xml:space="preserve"> all users of the NSW system. The issue tracking will be a traditional way of handling issues, questions, and bugs that may arise while using the NSW.</w:t>
            </w:r>
          </w:p>
          <w:p w14:paraId="2058B081" w14:textId="77777777" w:rsidR="00157AAA" w:rsidRDefault="006C1BE5" w:rsidP="00FB7C09">
            <w:pPr>
              <w:spacing w:after="0"/>
              <w:jc w:val="left"/>
              <w:rPr>
                <w:bCs/>
                <w:szCs w:val="24"/>
              </w:rPr>
            </w:pPr>
            <w:r>
              <w:rPr>
                <w:bCs/>
                <w:szCs w:val="24"/>
              </w:rPr>
              <w:t>For the NSW user role:</w:t>
            </w:r>
          </w:p>
          <w:p w14:paraId="057817D0" w14:textId="77777777" w:rsidR="00157AAA" w:rsidRDefault="006C1BE5" w:rsidP="00D530D5">
            <w:pPr>
              <w:pStyle w:val="ListParagraph"/>
              <w:numPr>
                <w:ilvl w:val="0"/>
                <w:numId w:val="140"/>
              </w:numPr>
              <w:spacing w:after="0"/>
              <w:jc w:val="left"/>
              <w:rPr>
                <w:bCs/>
                <w:szCs w:val="24"/>
              </w:rPr>
            </w:pPr>
            <w:r>
              <w:rPr>
                <w:bCs/>
                <w:szCs w:val="24"/>
              </w:rPr>
              <w:t xml:space="preserve">Register </w:t>
            </w:r>
            <w:proofErr w:type="gramStart"/>
            <w:r>
              <w:rPr>
                <w:bCs/>
                <w:szCs w:val="24"/>
              </w:rPr>
              <w:t>issue;</w:t>
            </w:r>
            <w:proofErr w:type="gramEnd"/>
          </w:p>
          <w:p w14:paraId="6B363CF5" w14:textId="77777777" w:rsidR="00157AAA" w:rsidRDefault="006C1BE5" w:rsidP="00D530D5">
            <w:pPr>
              <w:pStyle w:val="ListParagraph"/>
              <w:numPr>
                <w:ilvl w:val="0"/>
                <w:numId w:val="140"/>
              </w:numPr>
              <w:spacing w:after="0"/>
              <w:jc w:val="left"/>
              <w:rPr>
                <w:bCs/>
                <w:szCs w:val="24"/>
              </w:rPr>
            </w:pPr>
            <w:r>
              <w:rPr>
                <w:bCs/>
                <w:szCs w:val="24"/>
              </w:rPr>
              <w:t xml:space="preserve">Update </w:t>
            </w:r>
            <w:proofErr w:type="gramStart"/>
            <w:r>
              <w:rPr>
                <w:bCs/>
                <w:szCs w:val="24"/>
              </w:rPr>
              <w:t>issue;</w:t>
            </w:r>
            <w:proofErr w:type="gramEnd"/>
          </w:p>
          <w:p w14:paraId="1ACD7E43" w14:textId="77777777" w:rsidR="00157AAA" w:rsidRDefault="006C1BE5" w:rsidP="00D530D5">
            <w:pPr>
              <w:pStyle w:val="ListParagraph"/>
              <w:numPr>
                <w:ilvl w:val="0"/>
                <w:numId w:val="140"/>
              </w:numPr>
              <w:spacing w:after="0"/>
              <w:jc w:val="left"/>
              <w:rPr>
                <w:bCs/>
                <w:szCs w:val="24"/>
              </w:rPr>
            </w:pPr>
            <w:r>
              <w:rPr>
                <w:bCs/>
                <w:szCs w:val="24"/>
              </w:rPr>
              <w:t>Search and view status of submitted issues; and</w:t>
            </w:r>
          </w:p>
          <w:p w14:paraId="5871A289" w14:textId="77777777" w:rsidR="00157AAA" w:rsidRDefault="006C1BE5" w:rsidP="00D530D5">
            <w:pPr>
              <w:pStyle w:val="ListParagraph"/>
              <w:numPr>
                <w:ilvl w:val="0"/>
                <w:numId w:val="140"/>
              </w:numPr>
              <w:spacing w:after="0"/>
              <w:jc w:val="left"/>
              <w:rPr>
                <w:bCs/>
                <w:szCs w:val="24"/>
              </w:rPr>
            </w:pPr>
            <w:r>
              <w:rPr>
                <w:bCs/>
                <w:szCs w:val="24"/>
              </w:rPr>
              <w:t>Close issue.</w:t>
            </w:r>
          </w:p>
          <w:p w14:paraId="1A754594" w14:textId="77777777" w:rsidR="00157AAA" w:rsidRDefault="006C1BE5">
            <w:pPr>
              <w:spacing w:after="0"/>
              <w:jc w:val="left"/>
              <w:rPr>
                <w:bCs/>
                <w:szCs w:val="24"/>
              </w:rPr>
            </w:pPr>
            <w:r>
              <w:rPr>
                <w:bCs/>
                <w:szCs w:val="24"/>
              </w:rPr>
              <w:t>For the NSW Helpdesk role:</w:t>
            </w:r>
          </w:p>
          <w:p w14:paraId="1FFAF025" w14:textId="77777777" w:rsidR="00157AAA" w:rsidRDefault="006C1BE5" w:rsidP="00D530D5">
            <w:pPr>
              <w:pStyle w:val="ListParagraph"/>
              <w:numPr>
                <w:ilvl w:val="0"/>
                <w:numId w:val="140"/>
              </w:numPr>
              <w:spacing w:after="0"/>
              <w:jc w:val="left"/>
              <w:rPr>
                <w:bCs/>
                <w:szCs w:val="24"/>
              </w:rPr>
            </w:pPr>
            <w:r>
              <w:rPr>
                <w:bCs/>
                <w:szCs w:val="24"/>
              </w:rPr>
              <w:t xml:space="preserve">Register </w:t>
            </w:r>
            <w:proofErr w:type="gramStart"/>
            <w:r>
              <w:rPr>
                <w:bCs/>
                <w:szCs w:val="24"/>
              </w:rPr>
              <w:t>issue;</w:t>
            </w:r>
            <w:proofErr w:type="gramEnd"/>
          </w:p>
          <w:p w14:paraId="78DB89D0" w14:textId="77777777" w:rsidR="00157AAA" w:rsidRDefault="006C1BE5" w:rsidP="00D530D5">
            <w:pPr>
              <w:pStyle w:val="ListParagraph"/>
              <w:numPr>
                <w:ilvl w:val="0"/>
                <w:numId w:val="140"/>
              </w:numPr>
              <w:spacing w:after="0"/>
              <w:jc w:val="left"/>
              <w:rPr>
                <w:bCs/>
                <w:szCs w:val="24"/>
              </w:rPr>
            </w:pPr>
            <w:r>
              <w:rPr>
                <w:bCs/>
                <w:szCs w:val="24"/>
              </w:rPr>
              <w:t xml:space="preserve">Update </w:t>
            </w:r>
            <w:proofErr w:type="gramStart"/>
            <w:r>
              <w:rPr>
                <w:bCs/>
                <w:szCs w:val="24"/>
              </w:rPr>
              <w:t>issue;</w:t>
            </w:r>
            <w:proofErr w:type="gramEnd"/>
          </w:p>
          <w:p w14:paraId="1942F09E" w14:textId="77777777" w:rsidR="00157AAA" w:rsidRDefault="006C1BE5" w:rsidP="00D530D5">
            <w:pPr>
              <w:pStyle w:val="ListParagraph"/>
              <w:numPr>
                <w:ilvl w:val="0"/>
                <w:numId w:val="140"/>
              </w:numPr>
              <w:spacing w:after="0"/>
              <w:jc w:val="left"/>
              <w:rPr>
                <w:bCs/>
                <w:szCs w:val="24"/>
              </w:rPr>
            </w:pPr>
            <w:r>
              <w:rPr>
                <w:bCs/>
                <w:szCs w:val="24"/>
              </w:rPr>
              <w:t xml:space="preserve">Search and view issues based on users, status, category and date of </w:t>
            </w:r>
            <w:proofErr w:type="gramStart"/>
            <w:r>
              <w:rPr>
                <w:bCs/>
                <w:szCs w:val="24"/>
              </w:rPr>
              <w:t>submission;</w:t>
            </w:r>
            <w:proofErr w:type="gramEnd"/>
          </w:p>
          <w:p w14:paraId="3815A136" w14:textId="77777777" w:rsidR="00157AAA" w:rsidRDefault="006C1BE5" w:rsidP="00D530D5">
            <w:pPr>
              <w:pStyle w:val="ListParagraph"/>
              <w:numPr>
                <w:ilvl w:val="0"/>
                <w:numId w:val="140"/>
              </w:numPr>
              <w:spacing w:after="0"/>
              <w:jc w:val="left"/>
              <w:rPr>
                <w:bCs/>
                <w:szCs w:val="24"/>
              </w:rPr>
            </w:pPr>
            <w:r>
              <w:rPr>
                <w:bCs/>
                <w:szCs w:val="24"/>
              </w:rPr>
              <w:t>Solve issue; and</w:t>
            </w:r>
          </w:p>
          <w:p w14:paraId="30D656DB" w14:textId="43F3EF19" w:rsidR="00157AAA" w:rsidRDefault="006C1BE5" w:rsidP="00D530D5">
            <w:pPr>
              <w:pStyle w:val="ListParagraph"/>
              <w:numPr>
                <w:ilvl w:val="0"/>
                <w:numId w:val="149"/>
              </w:numPr>
              <w:spacing w:after="0"/>
              <w:jc w:val="left"/>
              <w:rPr>
                <w:bCs/>
                <w:szCs w:val="24"/>
              </w:rPr>
            </w:pPr>
            <w:r>
              <w:rPr>
                <w:bCs/>
                <w:szCs w:val="24"/>
              </w:rPr>
              <w:t>Close issue</w:t>
            </w:r>
          </w:p>
        </w:tc>
      </w:tr>
      <w:tr w:rsidR="00157AAA" w14:paraId="261FE16E" w14:textId="77777777" w:rsidTr="001136D3">
        <w:tc>
          <w:tcPr>
            <w:tcW w:w="2515" w:type="dxa"/>
          </w:tcPr>
          <w:p w14:paraId="7F645C2D" w14:textId="259F6076" w:rsidR="00157AAA" w:rsidRDefault="006C1BE5" w:rsidP="001136D3">
            <w:pPr>
              <w:spacing w:after="0"/>
              <w:jc w:val="left"/>
              <w:rPr>
                <w:bCs/>
                <w:szCs w:val="24"/>
              </w:rPr>
            </w:pPr>
            <w:r>
              <w:rPr>
                <w:bCs/>
                <w:szCs w:val="24"/>
              </w:rPr>
              <w:t>Registration of Traders and Competent Authority</w:t>
            </w:r>
          </w:p>
        </w:tc>
        <w:tc>
          <w:tcPr>
            <w:tcW w:w="6115" w:type="dxa"/>
          </w:tcPr>
          <w:p w14:paraId="48311C04" w14:textId="77777777" w:rsidR="00157AAA" w:rsidRDefault="006C1BE5" w:rsidP="001136D3">
            <w:pPr>
              <w:spacing w:after="0"/>
              <w:jc w:val="left"/>
              <w:rPr>
                <w:bCs/>
                <w:szCs w:val="24"/>
              </w:rPr>
            </w:pPr>
            <w:proofErr w:type="gramStart"/>
            <w:r>
              <w:rPr>
                <w:bCs/>
                <w:szCs w:val="24"/>
              </w:rPr>
              <w:t>The Registration</w:t>
            </w:r>
            <w:proofErr w:type="gramEnd"/>
            <w:r>
              <w:rPr>
                <w:bCs/>
                <w:szCs w:val="24"/>
              </w:rPr>
              <w:t xml:space="preserve"> Management provide the means of a central registration, management, and control on all stakeholders and traders as users in the NSW.</w:t>
            </w:r>
          </w:p>
          <w:p w14:paraId="1F0C8E10" w14:textId="77777777" w:rsidR="00157AAA" w:rsidRDefault="006C1BE5" w:rsidP="001136D3">
            <w:pPr>
              <w:spacing w:after="0"/>
              <w:jc w:val="left"/>
              <w:rPr>
                <w:bCs/>
                <w:szCs w:val="24"/>
              </w:rPr>
            </w:pPr>
            <w:r>
              <w:rPr>
                <w:bCs/>
                <w:szCs w:val="24"/>
              </w:rPr>
              <w:t xml:space="preserve">• Trade users who make applications or submissions requiring regulatory approvals for trade transaction, and those submitting statutory declarations/ applications/ reports </w:t>
            </w:r>
            <w:proofErr w:type="gramStart"/>
            <w:r>
              <w:rPr>
                <w:bCs/>
                <w:szCs w:val="24"/>
              </w:rPr>
              <w:t>etc.;</w:t>
            </w:r>
            <w:proofErr w:type="gramEnd"/>
          </w:p>
          <w:p w14:paraId="3FB2AFAA" w14:textId="77777777" w:rsidR="00157AAA" w:rsidRDefault="006C1BE5" w:rsidP="001136D3">
            <w:pPr>
              <w:spacing w:after="0"/>
              <w:jc w:val="left"/>
              <w:rPr>
                <w:bCs/>
                <w:szCs w:val="24"/>
              </w:rPr>
            </w:pPr>
            <w:r>
              <w:rPr>
                <w:bCs/>
                <w:szCs w:val="24"/>
              </w:rPr>
              <w:t>• CBRA users comprising regulators of the trade transactions in the country, who review, process, and issue the regulatory approvals of the trade transaction in response to the applications or submissions from the trade users. This category includes staff members (but not limited) and authorized users from CBRAs; and</w:t>
            </w:r>
          </w:p>
          <w:p w14:paraId="4509DAE8" w14:textId="77777777" w:rsidR="00157AAA" w:rsidRDefault="006C1BE5" w:rsidP="001136D3">
            <w:pPr>
              <w:spacing w:after="0"/>
              <w:jc w:val="left"/>
              <w:rPr>
                <w:bCs/>
                <w:szCs w:val="24"/>
              </w:rPr>
            </w:pPr>
            <w:r>
              <w:rPr>
                <w:bCs/>
                <w:szCs w:val="24"/>
              </w:rPr>
              <w:t>• Information users comprising individuals and organizations that need to access the trade data for authorized and official purposes. The NSW may provide this category of users a set of tools to view and extract relevant and authorized information on trade transactions available in the NSW.</w:t>
            </w:r>
          </w:p>
        </w:tc>
      </w:tr>
      <w:tr w:rsidR="00157AAA" w14:paraId="66CDE30B" w14:textId="77777777" w:rsidTr="001136D3">
        <w:tc>
          <w:tcPr>
            <w:tcW w:w="2515" w:type="dxa"/>
          </w:tcPr>
          <w:p w14:paraId="30180910" w14:textId="77777777" w:rsidR="00157AAA" w:rsidRDefault="006C1BE5" w:rsidP="001136D3">
            <w:pPr>
              <w:spacing w:after="0"/>
              <w:jc w:val="left"/>
              <w:rPr>
                <w:bCs/>
                <w:szCs w:val="24"/>
              </w:rPr>
            </w:pPr>
            <w:r>
              <w:rPr>
                <w:bCs/>
                <w:szCs w:val="24"/>
              </w:rPr>
              <w:lastRenderedPageBreak/>
              <w:t>LPCO Application</w:t>
            </w:r>
          </w:p>
        </w:tc>
        <w:tc>
          <w:tcPr>
            <w:tcW w:w="6115" w:type="dxa"/>
          </w:tcPr>
          <w:p w14:paraId="252064F5" w14:textId="77777777" w:rsidR="00157AAA" w:rsidRDefault="006C1BE5" w:rsidP="001136D3">
            <w:pPr>
              <w:spacing w:after="0"/>
              <w:jc w:val="left"/>
              <w:rPr>
                <w:bCs/>
                <w:szCs w:val="24"/>
              </w:rPr>
            </w:pPr>
            <w:r>
              <w:rPr>
                <w:bCs/>
                <w:szCs w:val="24"/>
              </w:rPr>
              <w:t xml:space="preserve">The LPCO application component enables the trader to browse for the commodity to be traded, country of origin/destination, and to determine the regulatory requirements for the specified scenario. The trader can see all previous LPCO in his account/folder. In case a new LPCO is required, the trader can apply for this using a form with the required data elements. Any previous and reusable data elements available in the NSW will be pre-populated in the form. </w:t>
            </w:r>
          </w:p>
        </w:tc>
      </w:tr>
      <w:tr w:rsidR="00157AAA" w14:paraId="21DBEEF4" w14:textId="77777777" w:rsidTr="001136D3">
        <w:tc>
          <w:tcPr>
            <w:tcW w:w="2515" w:type="dxa"/>
          </w:tcPr>
          <w:p w14:paraId="038C0740" w14:textId="77777777" w:rsidR="00157AAA" w:rsidRDefault="006C1BE5" w:rsidP="001136D3">
            <w:pPr>
              <w:spacing w:after="0"/>
              <w:jc w:val="left"/>
              <w:rPr>
                <w:bCs/>
                <w:szCs w:val="24"/>
              </w:rPr>
            </w:pPr>
            <w:r>
              <w:rPr>
                <w:bCs/>
                <w:szCs w:val="24"/>
              </w:rPr>
              <w:t>LPCO Management</w:t>
            </w:r>
          </w:p>
        </w:tc>
        <w:tc>
          <w:tcPr>
            <w:tcW w:w="6115" w:type="dxa"/>
          </w:tcPr>
          <w:p w14:paraId="2DFEC518" w14:textId="77777777" w:rsidR="00157AAA" w:rsidRDefault="006C1BE5" w:rsidP="001136D3">
            <w:pPr>
              <w:spacing w:after="0"/>
              <w:jc w:val="left"/>
              <w:rPr>
                <w:bCs/>
                <w:szCs w:val="24"/>
              </w:rPr>
            </w:pPr>
            <w:r>
              <w:rPr>
                <w:bCs/>
                <w:szCs w:val="24"/>
              </w:rPr>
              <w:t>CBRA can access the LPCO applications and data through the LPCO Management service. CBRA users can review, update, create, approve/reject LPCO, check and release quantity.</w:t>
            </w:r>
          </w:p>
        </w:tc>
      </w:tr>
      <w:tr w:rsidR="00157AAA" w14:paraId="34F589EF" w14:textId="77777777" w:rsidTr="001136D3">
        <w:tc>
          <w:tcPr>
            <w:tcW w:w="2515" w:type="dxa"/>
          </w:tcPr>
          <w:p w14:paraId="29BCE9EC" w14:textId="77777777" w:rsidR="00157AAA" w:rsidRDefault="006C1BE5" w:rsidP="001136D3">
            <w:pPr>
              <w:spacing w:after="0"/>
              <w:jc w:val="left"/>
              <w:rPr>
                <w:bCs/>
                <w:szCs w:val="24"/>
              </w:rPr>
            </w:pPr>
            <w:r>
              <w:rPr>
                <w:bCs/>
                <w:szCs w:val="24"/>
              </w:rPr>
              <w:t>Payment Management</w:t>
            </w:r>
          </w:p>
        </w:tc>
        <w:tc>
          <w:tcPr>
            <w:tcW w:w="6115" w:type="dxa"/>
          </w:tcPr>
          <w:p w14:paraId="4F66C738" w14:textId="77777777" w:rsidR="00157AAA" w:rsidRDefault="006C1BE5" w:rsidP="001136D3">
            <w:pPr>
              <w:spacing w:after="0"/>
              <w:jc w:val="left"/>
              <w:rPr>
                <w:bCs/>
                <w:szCs w:val="24"/>
              </w:rPr>
            </w:pPr>
            <w:r>
              <w:rPr>
                <w:bCs/>
                <w:szCs w:val="24"/>
              </w:rPr>
              <w:t>In the frontend Payment service, authorized CBRA users can view payment details on performed and outstanding payments for the various transactions, per entity.</w:t>
            </w:r>
          </w:p>
        </w:tc>
      </w:tr>
      <w:tr w:rsidR="00157AAA" w14:paraId="18DDC38C" w14:textId="77777777" w:rsidTr="001136D3">
        <w:tc>
          <w:tcPr>
            <w:tcW w:w="2515" w:type="dxa"/>
          </w:tcPr>
          <w:p w14:paraId="4AB96074" w14:textId="6E446555" w:rsidR="00157AAA" w:rsidRDefault="006C1BE5" w:rsidP="001136D3">
            <w:pPr>
              <w:spacing w:after="0"/>
              <w:jc w:val="left"/>
              <w:rPr>
                <w:bCs/>
                <w:szCs w:val="24"/>
              </w:rPr>
            </w:pPr>
            <w:r>
              <w:rPr>
                <w:bCs/>
                <w:szCs w:val="24"/>
              </w:rPr>
              <w:t xml:space="preserve">Payment </w:t>
            </w:r>
            <w:r w:rsidR="006F0D36">
              <w:rPr>
                <w:bCs/>
                <w:szCs w:val="24"/>
              </w:rPr>
              <w:t>Processing</w:t>
            </w:r>
          </w:p>
        </w:tc>
        <w:tc>
          <w:tcPr>
            <w:tcW w:w="6115" w:type="dxa"/>
          </w:tcPr>
          <w:p w14:paraId="44B618AF" w14:textId="0028615C" w:rsidR="00157AAA" w:rsidRDefault="006C1BE5" w:rsidP="001136D3">
            <w:pPr>
              <w:spacing w:after="0"/>
              <w:jc w:val="left"/>
              <w:rPr>
                <w:bCs/>
                <w:szCs w:val="24"/>
              </w:rPr>
            </w:pPr>
            <w:r>
              <w:rPr>
                <w:bCs/>
                <w:szCs w:val="24"/>
              </w:rPr>
              <w:t xml:space="preserve">The trader must be able to pay </w:t>
            </w:r>
            <w:r w:rsidR="00484118">
              <w:rPr>
                <w:bCs/>
                <w:szCs w:val="24"/>
              </w:rPr>
              <w:t xml:space="preserve">LPCO </w:t>
            </w:r>
            <w:r>
              <w:rPr>
                <w:bCs/>
                <w:szCs w:val="24"/>
              </w:rPr>
              <w:t>fees</w:t>
            </w:r>
            <w:r w:rsidR="00484118">
              <w:rPr>
                <w:bCs/>
                <w:szCs w:val="24"/>
              </w:rPr>
              <w:t xml:space="preserve"> and fees for the use of NSW</w:t>
            </w:r>
            <w:r>
              <w:rPr>
                <w:bCs/>
                <w:szCs w:val="24"/>
              </w:rPr>
              <w:t xml:space="preserve">, through the NSW </w:t>
            </w:r>
            <w:proofErr w:type="gramStart"/>
            <w:r>
              <w:rPr>
                <w:bCs/>
                <w:szCs w:val="24"/>
              </w:rPr>
              <w:t>in order to</w:t>
            </w:r>
            <w:proofErr w:type="gramEnd"/>
            <w:r>
              <w:rPr>
                <w:bCs/>
                <w:szCs w:val="24"/>
              </w:rPr>
              <w:t xml:space="preserve"> facilitate a smooth process. The payment services are used in all business processes and shall be processed electronically</w:t>
            </w:r>
            <w:r w:rsidR="00484118">
              <w:rPr>
                <w:bCs/>
                <w:szCs w:val="24"/>
              </w:rPr>
              <w:t>.</w:t>
            </w:r>
          </w:p>
        </w:tc>
      </w:tr>
      <w:tr w:rsidR="00157AAA" w14:paraId="4CDFB445" w14:textId="77777777" w:rsidTr="001136D3">
        <w:tc>
          <w:tcPr>
            <w:tcW w:w="2515" w:type="dxa"/>
          </w:tcPr>
          <w:p w14:paraId="0486B07F" w14:textId="77777777" w:rsidR="00157AAA" w:rsidRDefault="006C1BE5" w:rsidP="001136D3">
            <w:pPr>
              <w:spacing w:after="0"/>
              <w:jc w:val="left"/>
              <w:rPr>
                <w:bCs/>
                <w:szCs w:val="24"/>
              </w:rPr>
            </w:pPr>
            <w:r>
              <w:rPr>
                <w:bCs/>
                <w:szCs w:val="24"/>
              </w:rPr>
              <w:t>Notification Management</w:t>
            </w:r>
          </w:p>
        </w:tc>
        <w:tc>
          <w:tcPr>
            <w:tcW w:w="6115" w:type="dxa"/>
          </w:tcPr>
          <w:p w14:paraId="3E2DACF6" w14:textId="282BC0A5" w:rsidR="00157AAA" w:rsidRDefault="006C1BE5" w:rsidP="001136D3">
            <w:pPr>
              <w:spacing w:after="0"/>
              <w:jc w:val="left"/>
              <w:rPr>
                <w:bCs/>
                <w:szCs w:val="24"/>
              </w:rPr>
            </w:pPr>
            <w:proofErr w:type="gramStart"/>
            <w:r>
              <w:rPr>
                <w:bCs/>
                <w:szCs w:val="24"/>
              </w:rPr>
              <w:t>The NSW</w:t>
            </w:r>
            <w:proofErr w:type="gramEnd"/>
            <w:r>
              <w:rPr>
                <w:bCs/>
                <w:szCs w:val="24"/>
              </w:rPr>
              <w:t xml:space="preserve"> shall have technical Notification Gateway capabilities, responsible for handling notification to NSW users. The purpose of this component is to accomplish an effective NSW solution where a user is notified of the relevant changes and does not have to manually check if something has changed.</w:t>
            </w:r>
          </w:p>
          <w:p w14:paraId="79513560" w14:textId="77777777" w:rsidR="00157AAA" w:rsidRDefault="006C1BE5" w:rsidP="001136D3">
            <w:pPr>
              <w:spacing w:after="0"/>
              <w:jc w:val="left"/>
              <w:rPr>
                <w:bCs/>
                <w:szCs w:val="24"/>
              </w:rPr>
            </w:pPr>
            <w:r>
              <w:rPr>
                <w:bCs/>
                <w:szCs w:val="24"/>
              </w:rPr>
              <w:t>Given that various users will have varying preferences for how they want to be notified, the Notification Gateway component must be flexible enough to enable many notification methods and allow the user to customize the settings so he or she is notified in the preferred manner.</w:t>
            </w:r>
          </w:p>
          <w:p w14:paraId="3B79A62D" w14:textId="77777777" w:rsidR="00157AAA" w:rsidRDefault="006C1BE5" w:rsidP="00FB7C09">
            <w:pPr>
              <w:spacing w:after="0"/>
              <w:jc w:val="left"/>
              <w:rPr>
                <w:bCs/>
                <w:szCs w:val="24"/>
              </w:rPr>
            </w:pPr>
            <w:r>
              <w:rPr>
                <w:bCs/>
                <w:szCs w:val="24"/>
              </w:rPr>
              <w:t>The application is a web-based system with the following main functionality.</w:t>
            </w:r>
          </w:p>
          <w:p w14:paraId="44E8E164" w14:textId="77777777" w:rsidR="00157AAA" w:rsidRDefault="006C1BE5">
            <w:pPr>
              <w:spacing w:after="0"/>
              <w:jc w:val="left"/>
              <w:rPr>
                <w:bCs/>
                <w:szCs w:val="24"/>
              </w:rPr>
            </w:pPr>
            <w:r>
              <w:rPr>
                <w:bCs/>
                <w:szCs w:val="24"/>
              </w:rPr>
              <w:t>For the NSW user role:</w:t>
            </w:r>
          </w:p>
          <w:p w14:paraId="351B9963" w14:textId="77777777" w:rsidR="00157AAA" w:rsidRDefault="006C1BE5">
            <w:pPr>
              <w:spacing w:after="0"/>
              <w:jc w:val="left"/>
              <w:rPr>
                <w:bCs/>
                <w:szCs w:val="24"/>
              </w:rPr>
            </w:pPr>
            <w:r>
              <w:rPr>
                <w:bCs/>
                <w:szCs w:val="24"/>
              </w:rPr>
              <w:t>• Administrate notification settings.</w:t>
            </w:r>
          </w:p>
          <w:p w14:paraId="7ED83F8E" w14:textId="77777777" w:rsidR="00157AAA" w:rsidRDefault="006C1BE5">
            <w:pPr>
              <w:spacing w:after="0"/>
              <w:jc w:val="left"/>
              <w:rPr>
                <w:bCs/>
                <w:szCs w:val="24"/>
              </w:rPr>
            </w:pPr>
            <w:r>
              <w:rPr>
                <w:bCs/>
                <w:szCs w:val="24"/>
              </w:rPr>
              <w:t>For the components generating notifications</w:t>
            </w:r>
          </w:p>
          <w:p w14:paraId="490B2D8F" w14:textId="77777777" w:rsidR="00157AAA" w:rsidRDefault="006C1BE5">
            <w:pPr>
              <w:spacing w:after="0"/>
              <w:jc w:val="left"/>
              <w:rPr>
                <w:bCs/>
                <w:szCs w:val="24"/>
              </w:rPr>
            </w:pPr>
            <w:r>
              <w:rPr>
                <w:bCs/>
                <w:szCs w:val="24"/>
              </w:rPr>
              <w:t>• Send notification.</w:t>
            </w:r>
          </w:p>
        </w:tc>
      </w:tr>
      <w:tr w:rsidR="00157AAA" w14:paraId="62530421" w14:textId="77777777" w:rsidTr="001136D3">
        <w:tc>
          <w:tcPr>
            <w:tcW w:w="2515" w:type="dxa"/>
          </w:tcPr>
          <w:p w14:paraId="0632958E" w14:textId="77777777" w:rsidR="00157AAA" w:rsidRDefault="006C1BE5" w:rsidP="001136D3">
            <w:pPr>
              <w:spacing w:after="0"/>
              <w:jc w:val="left"/>
              <w:rPr>
                <w:bCs/>
                <w:szCs w:val="24"/>
              </w:rPr>
            </w:pPr>
            <w:r>
              <w:rPr>
                <w:bCs/>
                <w:szCs w:val="24"/>
              </w:rPr>
              <w:t>LPCO Designer</w:t>
            </w:r>
          </w:p>
        </w:tc>
        <w:tc>
          <w:tcPr>
            <w:tcW w:w="6115" w:type="dxa"/>
          </w:tcPr>
          <w:p w14:paraId="5DA01BB0" w14:textId="77777777" w:rsidR="00157AAA" w:rsidRDefault="006C1BE5" w:rsidP="001136D3">
            <w:pPr>
              <w:spacing w:after="0"/>
              <w:jc w:val="left"/>
              <w:rPr>
                <w:bCs/>
                <w:szCs w:val="24"/>
              </w:rPr>
            </w:pPr>
            <w:r>
              <w:rPr>
                <w:bCs/>
                <w:szCs w:val="24"/>
              </w:rPr>
              <w:t>Allows for the creation and editing of forms/templates used in the system. The forms perform validations of the entered data.</w:t>
            </w:r>
          </w:p>
        </w:tc>
      </w:tr>
      <w:tr w:rsidR="00157AAA" w14:paraId="58126149" w14:textId="77777777" w:rsidTr="001136D3">
        <w:tc>
          <w:tcPr>
            <w:tcW w:w="2515" w:type="dxa"/>
          </w:tcPr>
          <w:p w14:paraId="25D253FC" w14:textId="77777777" w:rsidR="00157AAA" w:rsidRDefault="006C1BE5" w:rsidP="001136D3">
            <w:pPr>
              <w:spacing w:after="0"/>
              <w:jc w:val="left"/>
              <w:rPr>
                <w:bCs/>
                <w:szCs w:val="24"/>
              </w:rPr>
            </w:pPr>
            <w:r>
              <w:rPr>
                <w:bCs/>
                <w:szCs w:val="24"/>
              </w:rPr>
              <w:t>Inspection Control Results </w:t>
            </w:r>
          </w:p>
        </w:tc>
        <w:tc>
          <w:tcPr>
            <w:tcW w:w="6115" w:type="dxa"/>
          </w:tcPr>
          <w:p w14:paraId="643172EA" w14:textId="77777777" w:rsidR="00157AAA" w:rsidRDefault="006C1BE5" w:rsidP="001136D3">
            <w:pPr>
              <w:spacing w:after="0"/>
              <w:jc w:val="left"/>
              <w:rPr>
                <w:bCs/>
                <w:szCs w:val="24"/>
              </w:rPr>
            </w:pPr>
            <w:r>
              <w:rPr>
                <w:bCs/>
                <w:szCs w:val="24"/>
              </w:rPr>
              <w:t xml:space="preserve">Information on any inspections of LPCOs or declarations </w:t>
            </w:r>
            <w:proofErr w:type="gramStart"/>
            <w:r>
              <w:rPr>
                <w:bCs/>
                <w:szCs w:val="24"/>
              </w:rPr>
              <w:t>are</w:t>
            </w:r>
            <w:proofErr w:type="gramEnd"/>
            <w:r>
              <w:rPr>
                <w:bCs/>
                <w:szCs w:val="24"/>
              </w:rPr>
              <w:t xml:space="preserve"> stored and managed in the Inspection object. Schedule, inspection order, assignments, time and place, and report of inspection are data that is stored in this object.</w:t>
            </w:r>
          </w:p>
        </w:tc>
      </w:tr>
      <w:tr w:rsidR="00157AAA" w14:paraId="135A8A1D" w14:textId="77777777" w:rsidTr="001136D3">
        <w:tc>
          <w:tcPr>
            <w:tcW w:w="2515" w:type="dxa"/>
          </w:tcPr>
          <w:p w14:paraId="542B0509" w14:textId="77777777" w:rsidR="00157AAA" w:rsidRDefault="006C1BE5" w:rsidP="001136D3">
            <w:pPr>
              <w:spacing w:after="0"/>
              <w:jc w:val="left"/>
              <w:rPr>
                <w:bCs/>
                <w:szCs w:val="24"/>
              </w:rPr>
            </w:pPr>
            <w:r>
              <w:rPr>
                <w:bCs/>
                <w:szCs w:val="24"/>
              </w:rPr>
              <w:t>Document Management </w:t>
            </w:r>
          </w:p>
        </w:tc>
        <w:tc>
          <w:tcPr>
            <w:tcW w:w="6115" w:type="dxa"/>
          </w:tcPr>
          <w:p w14:paraId="1F296D80" w14:textId="70017C9E" w:rsidR="00157AAA" w:rsidRDefault="006C1BE5" w:rsidP="001136D3">
            <w:pPr>
              <w:spacing w:after="0"/>
              <w:jc w:val="left"/>
              <w:rPr>
                <w:bCs/>
                <w:szCs w:val="24"/>
              </w:rPr>
            </w:pPr>
            <w:r>
              <w:rPr>
                <w:bCs/>
                <w:szCs w:val="24"/>
              </w:rPr>
              <w:t xml:space="preserve">The NSW is providing e-services for trade and regulatory purposes. The NSW is closely dependent on and linked to </w:t>
            </w:r>
            <w:r>
              <w:rPr>
                <w:bCs/>
                <w:szCs w:val="24"/>
              </w:rPr>
              <w:lastRenderedPageBreak/>
              <w:t>the DMS and Content Management System, which provides the information, forms, and document management.</w:t>
            </w:r>
          </w:p>
        </w:tc>
      </w:tr>
      <w:tr w:rsidR="00157AAA" w14:paraId="154A3B72" w14:textId="77777777" w:rsidTr="001136D3">
        <w:tc>
          <w:tcPr>
            <w:tcW w:w="2515" w:type="dxa"/>
          </w:tcPr>
          <w:p w14:paraId="1371405F" w14:textId="5589D33F" w:rsidR="00157AAA" w:rsidRDefault="0037533A" w:rsidP="001136D3">
            <w:pPr>
              <w:spacing w:after="0"/>
              <w:jc w:val="left"/>
              <w:rPr>
                <w:bCs/>
                <w:szCs w:val="24"/>
              </w:rPr>
            </w:pPr>
            <w:r>
              <w:rPr>
                <w:bCs/>
                <w:szCs w:val="24"/>
              </w:rPr>
              <w:lastRenderedPageBreak/>
              <w:t xml:space="preserve">LPCO </w:t>
            </w:r>
            <w:r w:rsidR="006C1BE5">
              <w:rPr>
                <w:bCs/>
                <w:szCs w:val="24"/>
              </w:rPr>
              <w:t>Workflow Management</w:t>
            </w:r>
          </w:p>
        </w:tc>
        <w:tc>
          <w:tcPr>
            <w:tcW w:w="6115" w:type="dxa"/>
          </w:tcPr>
          <w:p w14:paraId="7ABF3B13" w14:textId="32155AB9" w:rsidR="00157AAA" w:rsidRDefault="006C1BE5" w:rsidP="001136D3">
            <w:pPr>
              <w:spacing w:after="0"/>
              <w:jc w:val="left"/>
              <w:rPr>
                <w:bCs/>
                <w:szCs w:val="24"/>
              </w:rPr>
            </w:pPr>
            <w:r>
              <w:rPr>
                <w:bCs/>
                <w:szCs w:val="24"/>
              </w:rPr>
              <w:t>The workflow management is integrated through the integration management with other components such as the document management for storage of documents</w:t>
            </w:r>
            <w:r w:rsidR="004E2D1C">
              <w:rPr>
                <w:bCs/>
                <w:szCs w:val="24"/>
              </w:rPr>
              <w:t>.</w:t>
            </w:r>
          </w:p>
        </w:tc>
      </w:tr>
      <w:tr w:rsidR="00157AAA" w14:paraId="5C6862C9" w14:textId="77777777" w:rsidTr="001136D3">
        <w:tc>
          <w:tcPr>
            <w:tcW w:w="2515" w:type="dxa"/>
          </w:tcPr>
          <w:p w14:paraId="5BD73B7C" w14:textId="0416B183" w:rsidR="00157AAA" w:rsidRDefault="006C1BE5" w:rsidP="001136D3">
            <w:pPr>
              <w:spacing w:after="0"/>
              <w:jc w:val="left"/>
              <w:rPr>
                <w:bCs/>
                <w:szCs w:val="24"/>
              </w:rPr>
            </w:pPr>
            <w:r>
              <w:rPr>
                <w:bCs/>
                <w:szCs w:val="24"/>
              </w:rPr>
              <w:t>NSW Risk Management Module</w:t>
            </w:r>
          </w:p>
        </w:tc>
        <w:tc>
          <w:tcPr>
            <w:tcW w:w="6115" w:type="dxa"/>
          </w:tcPr>
          <w:p w14:paraId="6B11F14A" w14:textId="75A4A8A8" w:rsidR="00157AAA" w:rsidRDefault="006C1BE5" w:rsidP="001136D3">
            <w:pPr>
              <w:spacing w:after="0"/>
              <w:jc w:val="left"/>
              <w:rPr>
                <w:bCs/>
                <w:szCs w:val="24"/>
              </w:rPr>
            </w:pPr>
            <w:r>
              <w:rPr>
                <w:bCs/>
                <w:szCs w:val="24"/>
              </w:rPr>
              <w:t xml:space="preserve"> The Risk Management module enables the authorized CBRA user to access the risk management profiles and perform updates. The user shall also be able to access and view:</w:t>
            </w:r>
          </w:p>
          <w:p w14:paraId="2A629DA5" w14:textId="77777777" w:rsidR="00157AAA" w:rsidRDefault="006C1BE5" w:rsidP="00FB7C09">
            <w:pPr>
              <w:spacing w:after="0"/>
              <w:jc w:val="left"/>
              <w:rPr>
                <w:bCs/>
                <w:szCs w:val="24"/>
              </w:rPr>
            </w:pPr>
            <w:r>
              <w:rPr>
                <w:bCs/>
                <w:szCs w:val="24"/>
              </w:rPr>
              <w:t xml:space="preserve">• Relevant risk data and </w:t>
            </w:r>
            <w:proofErr w:type="gramStart"/>
            <w:r>
              <w:rPr>
                <w:bCs/>
                <w:szCs w:val="24"/>
              </w:rPr>
              <w:t>intelligence;</w:t>
            </w:r>
            <w:proofErr w:type="gramEnd"/>
          </w:p>
          <w:p w14:paraId="24467CDD" w14:textId="77777777" w:rsidR="00157AAA" w:rsidRDefault="006C1BE5">
            <w:pPr>
              <w:spacing w:after="0"/>
              <w:jc w:val="left"/>
              <w:rPr>
                <w:bCs/>
                <w:szCs w:val="24"/>
              </w:rPr>
            </w:pPr>
            <w:r>
              <w:rPr>
                <w:bCs/>
                <w:szCs w:val="24"/>
              </w:rPr>
              <w:t xml:space="preserve">• Inspections performed and </w:t>
            </w:r>
            <w:proofErr w:type="gramStart"/>
            <w:r>
              <w:rPr>
                <w:bCs/>
                <w:szCs w:val="24"/>
              </w:rPr>
              <w:t>outcomes;</w:t>
            </w:r>
            <w:proofErr w:type="gramEnd"/>
          </w:p>
          <w:p w14:paraId="5311187B" w14:textId="57DFA385" w:rsidR="00157AAA" w:rsidRDefault="006C1BE5">
            <w:pPr>
              <w:spacing w:after="0"/>
              <w:jc w:val="left"/>
              <w:rPr>
                <w:bCs/>
                <w:szCs w:val="24"/>
              </w:rPr>
            </w:pPr>
            <w:r>
              <w:rPr>
                <w:bCs/>
                <w:szCs w:val="24"/>
              </w:rPr>
              <w:t>• Entity based statistics to determine and identify</w:t>
            </w:r>
            <w:r w:rsidR="00CD68BF">
              <w:rPr>
                <w:bCs/>
                <w:szCs w:val="24"/>
              </w:rPr>
              <w:t xml:space="preserve"> </w:t>
            </w:r>
            <w:r w:rsidR="00484118">
              <w:rPr>
                <w:bCs/>
                <w:szCs w:val="24"/>
              </w:rPr>
              <w:t>a</w:t>
            </w:r>
            <w:r>
              <w:rPr>
                <w:bCs/>
                <w:szCs w:val="24"/>
              </w:rPr>
              <w:t>dvanced queries on all aspects of the data model in the NSW; and</w:t>
            </w:r>
          </w:p>
          <w:p w14:paraId="51E51521" w14:textId="77777777" w:rsidR="00157AAA" w:rsidRDefault="006C1BE5">
            <w:pPr>
              <w:spacing w:after="0"/>
              <w:jc w:val="left"/>
              <w:rPr>
                <w:bCs/>
                <w:szCs w:val="24"/>
              </w:rPr>
            </w:pPr>
            <w:r>
              <w:rPr>
                <w:bCs/>
                <w:szCs w:val="24"/>
              </w:rPr>
              <w:t>• Post-Clearance Audit (PCA) analysis using analytical processing.</w:t>
            </w:r>
          </w:p>
        </w:tc>
      </w:tr>
      <w:tr w:rsidR="00157AAA" w14:paraId="22070092" w14:textId="77777777" w:rsidTr="001136D3">
        <w:tc>
          <w:tcPr>
            <w:tcW w:w="2515" w:type="dxa"/>
          </w:tcPr>
          <w:p w14:paraId="2BA2A405" w14:textId="77777777" w:rsidR="00157AAA" w:rsidRDefault="006C1BE5" w:rsidP="001136D3">
            <w:pPr>
              <w:spacing w:after="0"/>
              <w:jc w:val="left"/>
              <w:rPr>
                <w:bCs/>
                <w:szCs w:val="24"/>
              </w:rPr>
            </w:pPr>
            <w:r>
              <w:rPr>
                <w:bCs/>
                <w:szCs w:val="24"/>
              </w:rPr>
              <w:t>Referents Tables</w:t>
            </w:r>
          </w:p>
        </w:tc>
        <w:tc>
          <w:tcPr>
            <w:tcW w:w="6115" w:type="dxa"/>
          </w:tcPr>
          <w:p w14:paraId="197B15FB" w14:textId="77777777" w:rsidR="00157AAA" w:rsidRDefault="006C1BE5" w:rsidP="001136D3">
            <w:pPr>
              <w:spacing w:after="0"/>
              <w:jc w:val="left"/>
              <w:rPr>
                <w:bCs/>
                <w:szCs w:val="24"/>
              </w:rPr>
            </w:pPr>
            <w:r>
              <w:rPr>
                <w:bCs/>
                <w:szCs w:val="24"/>
              </w:rPr>
              <w:t>Data management from the referent tables is conducted via the system by the administrators, who can enter, edit, and erase some data. These changes are reflected all over the system.</w:t>
            </w:r>
          </w:p>
        </w:tc>
      </w:tr>
      <w:tr w:rsidR="00157AAA" w14:paraId="17B95442" w14:textId="77777777" w:rsidTr="001136D3">
        <w:tc>
          <w:tcPr>
            <w:tcW w:w="2515" w:type="dxa"/>
          </w:tcPr>
          <w:p w14:paraId="01ADB856" w14:textId="77777777" w:rsidR="00157AAA" w:rsidRDefault="006C1BE5" w:rsidP="001136D3">
            <w:pPr>
              <w:spacing w:after="0"/>
              <w:jc w:val="left"/>
              <w:rPr>
                <w:bCs/>
                <w:szCs w:val="24"/>
              </w:rPr>
            </w:pPr>
            <w:r>
              <w:rPr>
                <w:bCs/>
                <w:szCs w:val="24"/>
              </w:rPr>
              <w:t>Reporting Service</w:t>
            </w:r>
          </w:p>
        </w:tc>
        <w:tc>
          <w:tcPr>
            <w:tcW w:w="6115" w:type="dxa"/>
          </w:tcPr>
          <w:p w14:paraId="00855FD0" w14:textId="77777777" w:rsidR="00157AAA" w:rsidRDefault="006C1BE5" w:rsidP="001136D3">
            <w:pPr>
              <w:spacing w:after="0"/>
              <w:jc w:val="left"/>
              <w:rPr>
                <w:bCs/>
                <w:szCs w:val="24"/>
              </w:rPr>
            </w:pPr>
            <w:r>
              <w:rPr>
                <w:bCs/>
                <w:szCs w:val="24"/>
              </w:rPr>
              <w:t>The reporting engine for providing statics and dynamic reporting and dashboards for New Single Window. </w:t>
            </w:r>
          </w:p>
        </w:tc>
      </w:tr>
    </w:tbl>
    <w:p w14:paraId="3BE21A19" w14:textId="77777777" w:rsidR="00157AAA" w:rsidRDefault="00157AAA">
      <w:pPr>
        <w:jc w:val="left"/>
        <w:rPr>
          <w:bCs/>
          <w:szCs w:val="24"/>
        </w:rPr>
      </w:pPr>
    </w:p>
    <w:p w14:paraId="6C100BA6" w14:textId="0964382C" w:rsidR="00157AAA" w:rsidRDefault="006C1BE5" w:rsidP="005E6A97">
      <w:pPr>
        <w:jc w:val="left"/>
        <w:rPr>
          <w:b/>
          <w:szCs w:val="24"/>
        </w:rPr>
      </w:pPr>
      <w:r>
        <w:rPr>
          <w:b/>
          <w:szCs w:val="24"/>
        </w:rPr>
        <w:t>1.2.2. General Functional Requirements</w:t>
      </w:r>
    </w:p>
    <w:p w14:paraId="3E9BD82A" w14:textId="77777777" w:rsidR="00157AAA" w:rsidRDefault="00157AAA">
      <w:pPr>
        <w:spacing w:after="0"/>
        <w:ind w:left="1440" w:hanging="734"/>
        <w:jc w:val="left"/>
        <w:rPr>
          <w:b/>
          <w:szCs w:val="24"/>
        </w:rPr>
      </w:pPr>
    </w:p>
    <w:p w14:paraId="7BC09CA5" w14:textId="77777777" w:rsidR="00157AAA" w:rsidRDefault="006C1BE5">
      <w:pPr>
        <w:spacing w:after="0"/>
        <w:rPr>
          <w:szCs w:val="24"/>
          <w:shd w:val="clear" w:color="auto" w:fill="FFFFFF"/>
        </w:rPr>
      </w:pPr>
      <w:r>
        <w:rPr>
          <w:szCs w:val="24"/>
          <w:shd w:val="clear" w:color="auto" w:fill="FFFFFF"/>
        </w:rPr>
        <w:t>The general functional specifications defined in this section apply to all NSW components and features.</w:t>
      </w:r>
    </w:p>
    <w:p w14:paraId="6304BE2D" w14:textId="77777777" w:rsidR="009757A7" w:rsidRDefault="009757A7">
      <w:pPr>
        <w:spacing w:after="0"/>
        <w:rPr>
          <w:szCs w:val="24"/>
          <w:shd w:val="clear" w:color="auto" w:fill="FFFFFF"/>
        </w:rPr>
      </w:pPr>
    </w:p>
    <w:p w14:paraId="5EE33984" w14:textId="7B86725E" w:rsidR="009757A7" w:rsidRDefault="009757A7">
      <w:pPr>
        <w:spacing w:after="0"/>
        <w:rPr>
          <w:b/>
          <w:szCs w:val="24"/>
        </w:rPr>
      </w:pPr>
      <w:r w:rsidRPr="0026442C">
        <w:rPr>
          <w:b/>
          <w:szCs w:val="24"/>
        </w:rPr>
        <w:t xml:space="preserve">The </w:t>
      </w:r>
      <w:r w:rsidR="005F5E1E" w:rsidRPr="0026442C">
        <w:rPr>
          <w:b/>
          <w:szCs w:val="24"/>
        </w:rPr>
        <w:t>B</w:t>
      </w:r>
      <w:r w:rsidRPr="0026442C">
        <w:rPr>
          <w:b/>
          <w:szCs w:val="24"/>
        </w:rPr>
        <w:t xml:space="preserve">idder must consider </w:t>
      </w:r>
      <w:r w:rsidR="00114D7C" w:rsidRPr="0026442C">
        <w:rPr>
          <w:b/>
          <w:szCs w:val="24"/>
        </w:rPr>
        <w:t xml:space="preserve">up to </w:t>
      </w:r>
      <w:r w:rsidRPr="0026442C">
        <w:rPr>
          <w:b/>
          <w:szCs w:val="24"/>
        </w:rPr>
        <w:t>30 complimentary change</w:t>
      </w:r>
      <w:r w:rsidR="00114D7C" w:rsidRPr="0026442C">
        <w:rPr>
          <w:b/>
          <w:szCs w:val="24"/>
        </w:rPr>
        <w:t xml:space="preserve">s </w:t>
      </w:r>
      <w:r w:rsidR="005F5E1E" w:rsidRPr="0026442C">
        <w:rPr>
          <w:b/>
          <w:szCs w:val="24"/>
        </w:rPr>
        <w:t>during the</w:t>
      </w:r>
      <w:r w:rsidR="00114D7C" w:rsidRPr="0026442C">
        <w:rPr>
          <w:b/>
          <w:szCs w:val="24"/>
        </w:rPr>
        <w:t xml:space="preserve"> Specification Phase 1</w:t>
      </w:r>
      <w:r w:rsidRPr="0026442C">
        <w:rPr>
          <w:b/>
          <w:szCs w:val="24"/>
        </w:rPr>
        <w:t xml:space="preserve"> </w:t>
      </w:r>
      <w:r w:rsidR="00114D7C" w:rsidRPr="0026442C">
        <w:rPr>
          <w:b/>
          <w:szCs w:val="24"/>
        </w:rPr>
        <w:t>(Item Line no. 2 in the Implementation Schedule Table) on requests of the Purchaser</w:t>
      </w:r>
      <w:r w:rsidRPr="0026442C">
        <w:rPr>
          <w:b/>
          <w:szCs w:val="24"/>
        </w:rPr>
        <w:t xml:space="preserve">. This requirement is based on possible evolutive changes of requirements between the period of RFB publication and the </w:t>
      </w:r>
      <w:r w:rsidR="00114D7C" w:rsidRPr="0026442C">
        <w:rPr>
          <w:b/>
          <w:szCs w:val="24"/>
        </w:rPr>
        <w:t xml:space="preserve">beginning of </w:t>
      </w:r>
      <w:r w:rsidRPr="0026442C">
        <w:rPr>
          <w:b/>
          <w:szCs w:val="24"/>
        </w:rPr>
        <w:t>development activities</w:t>
      </w:r>
      <w:r w:rsidR="005F5E1E" w:rsidRPr="0026442C">
        <w:rPr>
          <w:b/>
          <w:szCs w:val="24"/>
        </w:rPr>
        <w:t xml:space="preserve"> (Item Line no. 3 in the Implementation Schedule Table)</w:t>
      </w:r>
      <w:r w:rsidRPr="0026442C">
        <w:rPr>
          <w:b/>
          <w:szCs w:val="24"/>
        </w:rPr>
        <w:t>. These requests may encompass legislative, technical, business, and other alterations that could affect the technical specifications outlined in the RFB</w:t>
      </w:r>
      <w:r w:rsidR="005F5E1E" w:rsidRPr="0026442C">
        <w:rPr>
          <w:b/>
          <w:szCs w:val="24"/>
        </w:rPr>
        <w:t>.</w:t>
      </w:r>
    </w:p>
    <w:p w14:paraId="27465A88" w14:textId="77777777" w:rsidR="00157AAA" w:rsidRDefault="00157AAA">
      <w:pPr>
        <w:spacing w:after="0"/>
        <w:ind w:left="1440" w:hanging="734"/>
        <w:jc w:val="left"/>
        <w:rPr>
          <w:b/>
          <w:szCs w:val="24"/>
        </w:rPr>
      </w:pPr>
    </w:p>
    <w:tbl>
      <w:tblPr>
        <w:tblStyle w:val="TableGrid12"/>
        <w:tblW w:w="8815" w:type="dxa"/>
        <w:tblLook w:val="04A0" w:firstRow="1" w:lastRow="0" w:firstColumn="1" w:lastColumn="0" w:noHBand="0" w:noVBand="1"/>
      </w:tblPr>
      <w:tblGrid>
        <w:gridCol w:w="1435"/>
        <w:gridCol w:w="7380"/>
      </w:tblGrid>
      <w:tr w:rsidR="00157AAA" w14:paraId="07A492E6" w14:textId="77777777" w:rsidTr="001136D3">
        <w:trPr>
          <w:trHeight w:val="431"/>
          <w:tblHeader/>
        </w:trPr>
        <w:tc>
          <w:tcPr>
            <w:tcW w:w="1435" w:type="dxa"/>
            <w:shd w:val="clear" w:color="auto" w:fill="D9D9D9"/>
            <w:noWrap/>
          </w:tcPr>
          <w:p w14:paraId="510BDF28" w14:textId="77777777" w:rsidR="00157AAA" w:rsidRDefault="006C1BE5">
            <w:pPr>
              <w:spacing w:after="0"/>
              <w:jc w:val="left"/>
              <w:rPr>
                <w:b/>
                <w:szCs w:val="24"/>
              </w:rPr>
            </w:pPr>
            <w:r>
              <w:rPr>
                <w:b/>
              </w:rPr>
              <w:t>ID Number</w:t>
            </w:r>
          </w:p>
        </w:tc>
        <w:tc>
          <w:tcPr>
            <w:tcW w:w="7380" w:type="dxa"/>
            <w:shd w:val="clear" w:color="auto" w:fill="D9D9D9"/>
          </w:tcPr>
          <w:p w14:paraId="4F7CF3DF" w14:textId="77777777" w:rsidR="00157AAA" w:rsidRDefault="006C1BE5">
            <w:pPr>
              <w:spacing w:after="0"/>
              <w:jc w:val="left"/>
              <w:rPr>
                <w:b/>
                <w:szCs w:val="24"/>
              </w:rPr>
            </w:pPr>
            <w:r>
              <w:rPr>
                <w:b/>
              </w:rPr>
              <w:t>Description</w:t>
            </w:r>
          </w:p>
        </w:tc>
      </w:tr>
      <w:tr w:rsidR="00157AAA" w14:paraId="3C59B9EB" w14:textId="77777777" w:rsidTr="001136D3">
        <w:trPr>
          <w:trHeight w:val="1020"/>
        </w:trPr>
        <w:tc>
          <w:tcPr>
            <w:tcW w:w="1435" w:type="dxa"/>
            <w:noWrap/>
          </w:tcPr>
          <w:p w14:paraId="4FA42FB6" w14:textId="77777777" w:rsidR="00157AAA" w:rsidRDefault="006C1BE5">
            <w:pPr>
              <w:spacing w:after="0"/>
              <w:jc w:val="left"/>
              <w:rPr>
                <w:szCs w:val="24"/>
              </w:rPr>
            </w:pPr>
            <w:r>
              <w:rPr>
                <w:szCs w:val="24"/>
              </w:rPr>
              <w:t>FR1</w:t>
            </w:r>
          </w:p>
        </w:tc>
        <w:tc>
          <w:tcPr>
            <w:tcW w:w="7380" w:type="dxa"/>
          </w:tcPr>
          <w:p w14:paraId="68C72EC2" w14:textId="77777777" w:rsidR="00157AAA" w:rsidRDefault="006C1BE5">
            <w:pPr>
              <w:spacing w:after="0"/>
              <w:rPr>
                <w:szCs w:val="24"/>
              </w:rPr>
            </w:pPr>
            <w:r>
              <w:rPr>
                <w:szCs w:val="24"/>
              </w:rPr>
              <w:t xml:space="preserve">The NSW is designed to facilitate Business-to-Government (B2G) and Government agency-to-Government agency (G2G) for international trade-related transactions. The NSW should facilitate this and coordinate communication with all the relevant agencies. </w:t>
            </w:r>
          </w:p>
        </w:tc>
      </w:tr>
      <w:tr w:rsidR="00157AAA" w14:paraId="2E665F0E" w14:textId="77777777" w:rsidTr="001136D3">
        <w:trPr>
          <w:trHeight w:val="510"/>
        </w:trPr>
        <w:tc>
          <w:tcPr>
            <w:tcW w:w="1435" w:type="dxa"/>
            <w:noWrap/>
          </w:tcPr>
          <w:p w14:paraId="593E465C" w14:textId="77777777" w:rsidR="00157AAA" w:rsidRDefault="006C1BE5">
            <w:pPr>
              <w:spacing w:after="0"/>
              <w:jc w:val="left"/>
              <w:rPr>
                <w:szCs w:val="24"/>
              </w:rPr>
            </w:pPr>
            <w:r>
              <w:rPr>
                <w:szCs w:val="24"/>
              </w:rPr>
              <w:t>FR2</w:t>
            </w:r>
          </w:p>
        </w:tc>
        <w:tc>
          <w:tcPr>
            <w:tcW w:w="7380" w:type="dxa"/>
          </w:tcPr>
          <w:p w14:paraId="451E1708" w14:textId="77777777" w:rsidR="00157AAA" w:rsidRDefault="006C1BE5">
            <w:pPr>
              <w:spacing w:after="0"/>
              <w:rPr>
                <w:szCs w:val="24"/>
              </w:rPr>
            </w:pPr>
            <w:r>
              <w:rPr>
                <w:szCs w:val="24"/>
              </w:rPr>
              <w:t>All parties should be able to use a common Trader Registration identification for all transactions.</w:t>
            </w:r>
          </w:p>
        </w:tc>
      </w:tr>
      <w:tr w:rsidR="00157AAA" w14:paraId="371322D0" w14:textId="77777777" w:rsidTr="001136D3">
        <w:trPr>
          <w:trHeight w:val="510"/>
        </w:trPr>
        <w:tc>
          <w:tcPr>
            <w:tcW w:w="1435" w:type="dxa"/>
            <w:noWrap/>
          </w:tcPr>
          <w:p w14:paraId="28596B10" w14:textId="77777777" w:rsidR="00157AAA" w:rsidRDefault="006C1BE5">
            <w:pPr>
              <w:spacing w:after="0"/>
              <w:jc w:val="left"/>
              <w:rPr>
                <w:szCs w:val="24"/>
              </w:rPr>
            </w:pPr>
            <w:r>
              <w:rPr>
                <w:szCs w:val="24"/>
              </w:rPr>
              <w:t>FR7</w:t>
            </w:r>
          </w:p>
        </w:tc>
        <w:tc>
          <w:tcPr>
            <w:tcW w:w="7380" w:type="dxa"/>
          </w:tcPr>
          <w:p w14:paraId="096D0987" w14:textId="77777777" w:rsidR="00157AAA" w:rsidRDefault="006C1BE5">
            <w:pPr>
              <w:spacing w:after="0"/>
              <w:rPr>
                <w:szCs w:val="24"/>
              </w:rPr>
            </w:pPr>
            <w:r>
              <w:rPr>
                <w:szCs w:val="24"/>
              </w:rPr>
              <w:t xml:space="preserve">The NSW shall have a generic capability to provide links in the NSW UI to other CBRA services offered elsewhere, to preserve the perception of a single window for trade transactions submission/lodgments. </w:t>
            </w:r>
          </w:p>
        </w:tc>
      </w:tr>
      <w:tr w:rsidR="00157AAA" w14:paraId="3CF24822" w14:textId="77777777" w:rsidTr="001136D3">
        <w:trPr>
          <w:trHeight w:val="510"/>
        </w:trPr>
        <w:tc>
          <w:tcPr>
            <w:tcW w:w="1435" w:type="dxa"/>
            <w:noWrap/>
          </w:tcPr>
          <w:p w14:paraId="742B43D3" w14:textId="77777777" w:rsidR="00157AAA" w:rsidRDefault="006C1BE5">
            <w:pPr>
              <w:spacing w:after="0"/>
              <w:jc w:val="left"/>
              <w:rPr>
                <w:szCs w:val="24"/>
              </w:rPr>
            </w:pPr>
            <w:r>
              <w:rPr>
                <w:szCs w:val="24"/>
              </w:rPr>
              <w:lastRenderedPageBreak/>
              <w:t>FR8</w:t>
            </w:r>
          </w:p>
        </w:tc>
        <w:tc>
          <w:tcPr>
            <w:tcW w:w="7380" w:type="dxa"/>
          </w:tcPr>
          <w:p w14:paraId="3AD5F3AF" w14:textId="77777777" w:rsidR="00157AAA" w:rsidRDefault="006C1BE5">
            <w:pPr>
              <w:spacing w:after="0"/>
              <w:rPr>
                <w:szCs w:val="24"/>
              </w:rPr>
            </w:pPr>
            <w:r>
              <w:rPr>
                <w:szCs w:val="24"/>
              </w:rPr>
              <w:t>The NSW shall serve as the primary message repository for LPCO/ reference for data content.</w:t>
            </w:r>
          </w:p>
        </w:tc>
      </w:tr>
      <w:tr w:rsidR="00157AAA" w14:paraId="362D5E32" w14:textId="77777777" w:rsidTr="001136D3">
        <w:trPr>
          <w:trHeight w:val="510"/>
        </w:trPr>
        <w:tc>
          <w:tcPr>
            <w:tcW w:w="1435" w:type="dxa"/>
            <w:noWrap/>
          </w:tcPr>
          <w:p w14:paraId="35C605BC" w14:textId="77777777" w:rsidR="00157AAA" w:rsidRDefault="006C1BE5">
            <w:pPr>
              <w:spacing w:after="0"/>
              <w:jc w:val="left"/>
              <w:rPr>
                <w:szCs w:val="24"/>
              </w:rPr>
            </w:pPr>
            <w:r>
              <w:rPr>
                <w:szCs w:val="24"/>
              </w:rPr>
              <w:t>FR9</w:t>
            </w:r>
          </w:p>
        </w:tc>
        <w:tc>
          <w:tcPr>
            <w:tcW w:w="7380" w:type="dxa"/>
          </w:tcPr>
          <w:p w14:paraId="08D6DEC8" w14:textId="77777777" w:rsidR="00157AAA" w:rsidRDefault="006C1BE5">
            <w:pPr>
              <w:spacing w:after="0"/>
              <w:rPr>
                <w:szCs w:val="24"/>
              </w:rPr>
            </w:pPr>
            <w:r>
              <w:rPr>
                <w:szCs w:val="24"/>
              </w:rPr>
              <w:t>NSW shall be the authoritative record for all international trade messages it receives.</w:t>
            </w:r>
          </w:p>
        </w:tc>
      </w:tr>
      <w:tr w:rsidR="00157AAA" w14:paraId="2A3ED6E9" w14:textId="77777777" w:rsidTr="001136D3">
        <w:trPr>
          <w:trHeight w:val="1020"/>
        </w:trPr>
        <w:tc>
          <w:tcPr>
            <w:tcW w:w="1435" w:type="dxa"/>
            <w:noWrap/>
          </w:tcPr>
          <w:p w14:paraId="05837F35" w14:textId="77777777" w:rsidR="00157AAA" w:rsidRDefault="006C1BE5">
            <w:pPr>
              <w:spacing w:after="0"/>
              <w:jc w:val="left"/>
              <w:rPr>
                <w:szCs w:val="24"/>
              </w:rPr>
            </w:pPr>
            <w:r>
              <w:rPr>
                <w:szCs w:val="24"/>
              </w:rPr>
              <w:t>FR10</w:t>
            </w:r>
          </w:p>
        </w:tc>
        <w:tc>
          <w:tcPr>
            <w:tcW w:w="7380" w:type="dxa"/>
          </w:tcPr>
          <w:p w14:paraId="20B3BBF8" w14:textId="77777777" w:rsidR="00157AAA" w:rsidRDefault="006C1BE5">
            <w:pPr>
              <w:spacing w:after="0"/>
              <w:rPr>
                <w:szCs w:val="24"/>
              </w:rPr>
            </w:pPr>
            <w:r>
              <w:rPr>
                <w:szCs w:val="24"/>
              </w:rPr>
              <w:t>The NSW shall provide for a flexible set-up for the NSW system administrator to configure data-driven validation rules and decisions (e.g., where certain information must be entered into the appropriate field.). It shall facilitate the regulatory agencies to enforce data validations and generate requests for more information using notification messages distributed via NSW. The NSW will make data-driven routing decisions after the data has been validated.</w:t>
            </w:r>
          </w:p>
        </w:tc>
      </w:tr>
      <w:tr w:rsidR="00157AAA" w14:paraId="74B2866E" w14:textId="77777777" w:rsidTr="001136D3">
        <w:trPr>
          <w:trHeight w:val="1020"/>
        </w:trPr>
        <w:tc>
          <w:tcPr>
            <w:tcW w:w="1435" w:type="dxa"/>
            <w:noWrap/>
          </w:tcPr>
          <w:p w14:paraId="47C77CDD" w14:textId="77777777" w:rsidR="00157AAA" w:rsidRDefault="006C1BE5">
            <w:pPr>
              <w:spacing w:after="0"/>
              <w:jc w:val="left"/>
              <w:rPr>
                <w:szCs w:val="24"/>
              </w:rPr>
            </w:pPr>
            <w:r>
              <w:rPr>
                <w:szCs w:val="24"/>
              </w:rPr>
              <w:t>FR11</w:t>
            </w:r>
          </w:p>
        </w:tc>
        <w:tc>
          <w:tcPr>
            <w:tcW w:w="7380" w:type="dxa"/>
          </w:tcPr>
          <w:p w14:paraId="4B0E0A6B" w14:textId="77777777" w:rsidR="00157AAA" w:rsidRDefault="006C1BE5">
            <w:pPr>
              <w:spacing w:after="0"/>
              <w:rPr>
                <w:szCs w:val="24"/>
              </w:rPr>
            </w:pPr>
            <w:r>
              <w:rPr>
                <w:szCs w:val="24"/>
              </w:rPr>
              <w:t xml:space="preserve">The NSW shall provide for an authenticated and authorized user with the ability to query the status of a lodgment and receive a response from NSW. This may be the submitter of the lodgment, or another interested party. This user may be a person using </w:t>
            </w:r>
            <w:proofErr w:type="gramStart"/>
            <w:r>
              <w:rPr>
                <w:szCs w:val="24"/>
              </w:rPr>
              <w:t>a</w:t>
            </w:r>
            <w:proofErr w:type="gramEnd"/>
            <w:r>
              <w:rPr>
                <w:szCs w:val="24"/>
              </w:rPr>
              <w:t xml:space="preserve"> NSW Web UI or via messaging. NSW will enforce data access rules controlling which users have access to which lodgments.</w:t>
            </w:r>
          </w:p>
        </w:tc>
      </w:tr>
      <w:tr w:rsidR="00157AAA" w14:paraId="4B3817C4" w14:textId="77777777" w:rsidTr="001136D3">
        <w:trPr>
          <w:trHeight w:val="510"/>
        </w:trPr>
        <w:tc>
          <w:tcPr>
            <w:tcW w:w="1435" w:type="dxa"/>
            <w:noWrap/>
          </w:tcPr>
          <w:p w14:paraId="7FDC28D0" w14:textId="77777777" w:rsidR="00157AAA" w:rsidRDefault="006C1BE5">
            <w:pPr>
              <w:spacing w:after="0"/>
              <w:jc w:val="left"/>
              <w:rPr>
                <w:szCs w:val="24"/>
              </w:rPr>
            </w:pPr>
            <w:r>
              <w:rPr>
                <w:szCs w:val="24"/>
              </w:rPr>
              <w:t>FR13</w:t>
            </w:r>
          </w:p>
        </w:tc>
        <w:tc>
          <w:tcPr>
            <w:tcW w:w="7380" w:type="dxa"/>
          </w:tcPr>
          <w:p w14:paraId="3C16A155" w14:textId="77777777" w:rsidR="00157AAA" w:rsidRDefault="006C1BE5">
            <w:pPr>
              <w:spacing w:after="0"/>
              <w:rPr>
                <w:szCs w:val="24"/>
              </w:rPr>
            </w:pPr>
            <w:r>
              <w:rPr>
                <w:szCs w:val="24"/>
              </w:rPr>
              <w:t>The design of the NSW shall ensure that NSW data recipients will only receive information they are entitled and authorized to.</w:t>
            </w:r>
          </w:p>
        </w:tc>
      </w:tr>
      <w:tr w:rsidR="00157AAA" w14:paraId="306E4925" w14:textId="77777777" w:rsidTr="001136D3">
        <w:trPr>
          <w:trHeight w:val="510"/>
        </w:trPr>
        <w:tc>
          <w:tcPr>
            <w:tcW w:w="1435" w:type="dxa"/>
            <w:noWrap/>
          </w:tcPr>
          <w:p w14:paraId="41F48488" w14:textId="77777777" w:rsidR="00157AAA" w:rsidRDefault="006C1BE5">
            <w:pPr>
              <w:spacing w:after="0"/>
              <w:jc w:val="left"/>
              <w:rPr>
                <w:szCs w:val="24"/>
              </w:rPr>
            </w:pPr>
            <w:r>
              <w:rPr>
                <w:szCs w:val="24"/>
              </w:rPr>
              <w:t>FR14</w:t>
            </w:r>
          </w:p>
        </w:tc>
        <w:tc>
          <w:tcPr>
            <w:tcW w:w="7380" w:type="dxa"/>
          </w:tcPr>
          <w:p w14:paraId="5C8D3670" w14:textId="77777777" w:rsidR="00157AAA" w:rsidRDefault="006C1BE5">
            <w:pPr>
              <w:spacing w:after="0"/>
              <w:rPr>
                <w:szCs w:val="24"/>
              </w:rPr>
            </w:pPr>
            <w:r>
              <w:rPr>
                <w:szCs w:val="24"/>
              </w:rPr>
              <w:t>The NSW will cater for the NSW Operator to apply adequate security and role-based access control to allow users (where a user could be a system or a person) to perform necessary actions in NSW.</w:t>
            </w:r>
          </w:p>
        </w:tc>
      </w:tr>
      <w:tr w:rsidR="00157AAA" w14:paraId="694AFD8E" w14:textId="77777777" w:rsidTr="001136D3">
        <w:trPr>
          <w:trHeight w:val="510"/>
        </w:trPr>
        <w:tc>
          <w:tcPr>
            <w:tcW w:w="1435" w:type="dxa"/>
            <w:noWrap/>
          </w:tcPr>
          <w:p w14:paraId="11F8DDD8" w14:textId="77777777" w:rsidR="00157AAA" w:rsidRDefault="006C1BE5">
            <w:pPr>
              <w:spacing w:after="0"/>
              <w:jc w:val="left"/>
              <w:rPr>
                <w:szCs w:val="24"/>
              </w:rPr>
            </w:pPr>
            <w:r>
              <w:rPr>
                <w:szCs w:val="24"/>
              </w:rPr>
              <w:t>FR16</w:t>
            </w:r>
          </w:p>
        </w:tc>
        <w:tc>
          <w:tcPr>
            <w:tcW w:w="7380" w:type="dxa"/>
          </w:tcPr>
          <w:p w14:paraId="1363734D" w14:textId="77777777" w:rsidR="00157AAA" w:rsidRDefault="006C1BE5">
            <w:pPr>
              <w:spacing w:after="0"/>
              <w:rPr>
                <w:szCs w:val="24"/>
              </w:rPr>
            </w:pPr>
            <w:r>
              <w:rPr>
                <w:szCs w:val="24"/>
              </w:rPr>
              <w:t>The NSW shall also cater for the transaction history access and lifecycle control. The NSW will keep records of re-submissions for all transaction types (lodgments and registrations).</w:t>
            </w:r>
          </w:p>
        </w:tc>
      </w:tr>
      <w:tr w:rsidR="00157AAA" w14:paraId="11C3E5F9" w14:textId="77777777" w:rsidTr="001136D3">
        <w:trPr>
          <w:trHeight w:val="1530"/>
        </w:trPr>
        <w:tc>
          <w:tcPr>
            <w:tcW w:w="1435" w:type="dxa"/>
            <w:noWrap/>
          </w:tcPr>
          <w:p w14:paraId="7CEE0D58" w14:textId="77777777" w:rsidR="00157AAA" w:rsidRDefault="006C1BE5">
            <w:pPr>
              <w:spacing w:after="0"/>
              <w:jc w:val="left"/>
              <w:rPr>
                <w:szCs w:val="24"/>
              </w:rPr>
            </w:pPr>
            <w:r>
              <w:rPr>
                <w:szCs w:val="24"/>
              </w:rPr>
              <w:t>FR18</w:t>
            </w:r>
          </w:p>
        </w:tc>
        <w:tc>
          <w:tcPr>
            <w:tcW w:w="7380" w:type="dxa"/>
          </w:tcPr>
          <w:p w14:paraId="5382E43A" w14:textId="77777777" w:rsidR="00157AAA" w:rsidRDefault="006C1BE5">
            <w:pPr>
              <w:spacing w:after="0"/>
              <w:rPr>
                <w:szCs w:val="24"/>
              </w:rPr>
            </w:pPr>
            <w:r>
              <w:rPr>
                <w:szCs w:val="24"/>
              </w:rPr>
              <w:t>A user (subject to having the appropriate permission to perform the action) can search for all his/her transactions (e.g., LPCO application and payment transaction) and, after finding the required transaction, perform one of the following actions):</w:t>
            </w:r>
          </w:p>
          <w:p w14:paraId="5F7A5744" w14:textId="77777777" w:rsidR="00157AAA" w:rsidRDefault="006C1BE5" w:rsidP="00D530D5">
            <w:pPr>
              <w:numPr>
                <w:ilvl w:val="0"/>
                <w:numId w:val="141"/>
              </w:numPr>
              <w:spacing w:after="0"/>
              <w:contextualSpacing/>
              <w:rPr>
                <w:szCs w:val="24"/>
              </w:rPr>
            </w:pPr>
            <w:r>
              <w:rPr>
                <w:szCs w:val="24"/>
              </w:rPr>
              <w:t>View the transaction history including being able to see previous versions of the transaction; and</w:t>
            </w:r>
          </w:p>
          <w:p w14:paraId="7372AF81" w14:textId="77777777" w:rsidR="00157AAA" w:rsidRDefault="006C1BE5" w:rsidP="00D530D5">
            <w:pPr>
              <w:numPr>
                <w:ilvl w:val="0"/>
                <w:numId w:val="141"/>
              </w:numPr>
              <w:spacing w:after="0"/>
              <w:contextualSpacing/>
              <w:rPr>
                <w:szCs w:val="24"/>
              </w:rPr>
            </w:pPr>
            <w:r>
              <w:rPr>
                <w:szCs w:val="24"/>
              </w:rPr>
              <w:t xml:space="preserve">Obtain the </w:t>
            </w:r>
            <w:proofErr w:type="gramStart"/>
            <w:r>
              <w:rPr>
                <w:szCs w:val="24"/>
              </w:rPr>
              <w:t>current status</w:t>
            </w:r>
            <w:proofErr w:type="gramEnd"/>
            <w:r>
              <w:rPr>
                <w:szCs w:val="24"/>
              </w:rPr>
              <w:t xml:space="preserve"> for each regulatory agency against that transaction.</w:t>
            </w:r>
          </w:p>
        </w:tc>
      </w:tr>
      <w:tr w:rsidR="00157AAA" w14:paraId="603EB025" w14:textId="77777777" w:rsidTr="001136D3">
        <w:trPr>
          <w:trHeight w:val="510"/>
        </w:trPr>
        <w:tc>
          <w:tcPr>
            <w:tcW w:w="1435" w:type="dxa"/>
            <w:noWrap/>
          </w:tcPr>
          <w:p w14:paraId="235A298C" w14:textId="77777777" w:rsidR="00157AAA" w:rsidRDefault="006C1BE5">
            <w:pPr>
              <w:spacing w:after="0"/>
              <w:jc w:val="left"/>
              <w:rPr>
                <w:szCs w:val="24"/>
              </w:rPr>
            </w:pPr>
            <w:r>
              <w:rPr>
                <w:szCs w:val="24"/>
              </w:rPr>
              <w:t>FR19</w:t>
            </w:r>
          </w:p>
        </w:tc>
        <w:tc>
          <w:tcPr>
            <w:tcW w:w="7380" w:type="dxa"/>
          </w:tcPr>
          <w:p w14:paraId="54F89A27" w14:textId="77777777" w:rsidR="00157AAA" w:rsidRDefault="006C1BE5">
            <w:pPr>
              <w:spacing w:after="0"/>
              <w:rPr>
                <w:szCs w:val="24"/>
              </w:rPr>
            </w:pPr>
            <w:r>
              <w:rPr>
                <w:szCs w:val="24"/>
              </w:rPr>
              <w:t>New Data Sources: As new and modern trade and logistics platforms get developed, the NSW should be able to integrate with the platforms.</w:t>
            </w:r>
          </w:p>
        </w:tc>
      </w:tr>
      <w:tr w:rsidR="00157AAA" w14:paraId="0378C07E" w14:textId="77777777" w:rsidTr="001136D3">
        <w:trPr>
          <w:trHeight w:val="1275"/>
        </w:trPr>
        <w:tc>
          <w:tcPr>
            <w:tcW w:w="1435" w:type="dxa"/>
            <w:noWrap/>
          </w:tcPr>
          <w:p w14:paraId="5FF85D72" w14:textId="77777777" w:rsidR="00157AAA" w:rsidRDefault="006C1BE5">
            <w:pPr>
              <w:spacing w:after="0"/>
              <w:jc w:val="left"/>
              <w:rPr>
                <w:szCs w:val="24"/>
              </w:rPr>
            </w:pPr>
            <w:r>
              <w:rPr>
                <w:szCs w:val="24"/>
              </w:rPr>
              <w:t>FR20</w:t>
            </w:r>
          </w:p>
        </w:tc>
        <w:tc>
          <w:tcPr>
            <w:tcW w:w="7380" w:type="dxa"/>
          </w:tcPr>
          <w:p w14:paraId="5625CEBB" w14:textId="77777777" w:rsidR="00157AAA" w:rsidRDefault="006C1BE5">
            <w:pPr>
              <w:spacing w:after="0"/>
              <w:rPr>
                <w:szCs w:val="24"/>
              </w:rPr>
            </w:pPr>
            <w:r>
              <w:rPr>
                <w:szCs w:val="24"/>
              </w:rPr>
              <w:t xml:space="preserve">The NSW will </w:t>
            </w:r>
            <w:proofErr w:type="gramStart"/>
            <w:r>
              <w:rPr>
                <w:szCs w:val="24"/>
              </w:rPr>
              <w:t>provide for</w:t>
            </w:r>
            <w:proofErr w:type="gramEnd"/>
            <w:r>
              <w:rPr>
                <w:szCs w:val="24"/>
              </w:rPr>
              <w:t xml:space="preserve"> comprehensive status management requirements, receive status updates, </w:t>
            </w:r>
            <w:proofErr w:type="gramStart"/>
            <w:r>
              <w:rPr>
                <w:szCs w:val="24"/>
              </w:rPr>
              <w:t>record</w:t>
            </w:r>
            <w:proofErr w:type="gramEnd"/>
            <w:r>
              <w:rPr>
                <w:szCs w:val="24"/>
              </w:rPr>
              <w:t xml:space="preserve"> and track lodgment status. It will receive lodgment status updates from time to time, from the customs declaration processing system and CBRAs as well as other regulatory authorities. The NSW will record the combined view of lodgment status across all agencies. This view will be available on request (via message or the user interfaces to all authorized parties. It will also be pushed out to known notification parties.</w:t>
            </w:r>
          </w:p>
        </w:tc>
      </w:tr>
      <w:tr w:rsidR="00157AAA" w14:paraId="275E4577" w14:textId="77777777" w:rsidTr="001136D3">
        <w:trPr>
          <w:trHeight w:val="510"/>
        </w:trPr>
        <w:tc>
          <w:tcPr>
            <w:tcW w:w="1435" w:type="dxa"/>
            <w:noWrap/>
          </w:tcPr>
          <w:p w14:paraId="4A7D4C1C" w14:textId="77777777" w:rsidR="00157AAA" w:rsidRDefault="006C1BE5">
            <w:pPr>
              <w:spacing w:after="0"/>
              <w:jc w:val="left"/>
              <w:rPr>
                <w:szCs w:val="24"/>
              </w:rPr>
            </w:pPr>
            <w:r>
              <w:rPr>
                <w:szCs w:val="24"/>
              </w:rPr>
              <w:lastRenderedPageBreak/>
              <w:t>FR21</w:t>
            </w:r>
          </w:p>
        </w:tc>
        <w:tc>
          <w:tcPr>
            <w:tcW w:w="7380" w:type="dxa"/>
          </w:tcPr>
          <w:p w14:paraId="43DD99B3" w14:textId="77777777" w:rsidR="00157AAA" w:rsidRDefault="006C1BE5">
            <w:pPr>
              <w:spacing w:after="0"/>
              <w:rPr>
                <w:szCs w:val="24"/>
              </w:rPr>
            </w:pPr>
            <w:r>
              <w:rPr>
                <w:szCs w:val="24"/>
              </w:rPr>
              <w:t>NSW shall fully support audit of messaging e.g., originator, date/time and original message received through to destination(s), date/</w:t>
            </w:r>
            <w:proofErr w:type="gramStart"/>
            <w:r>
              <w:rPr>
                <w:szCs w:val="24"/>
              </w:rPr>
              <w:t>time</w:t>
            </w:r>
            <w:proofErr w:type="gramEnd"/>
            <w:r>
              <w:rPr>
                <w:szCs w:val="24"/>
              </w:rPr>
              <w:t xml:space="preserve"> and content of all outgoing messages.</w:t>
            </w:r>
          </w:p>
        </w:tc>
      </w:tr>
      <w:tr w:rsidR="00157AAA" w14:paraId="0EC2FEAC" w14:textId="77777777" w:rsidTr="001136D3">
        <w:trPr>
          <w:trHeight w:val="1020"/>
        </w:trPr>
        <w:tc>
          <w:tcPr>
            <w:tcW w:w="1435" w:type="dxa"/>
            <w:noWrap/>
          </w:tcPr>
          <w:p w14:paraId="669BAD1C" w14:textId="77777777" w:rsidR="00157AAA" w:rsidRDefault="006C1BE5">
            <w:pPr>
              <w:spacing w:after="0"/>
              <w:jc w:val="left"/>
              <w:rPr>
                <w:szCs w:val="24"/>
              </w:rPr>
            </w:pPr>
            <w:r>
              <w:rPr>
                <w:szCs w:val="24"/>
              </w:rPr>
              <w:t>FR22</w:t>
            </w:r>
          </w:p>
        </w:tc>
        <w:tc>
          <w:tcPr>
            <w:tcW w:w="7380" w:type="dxa"/>
          </w:tcPr>
          <w:p w14:paraId="7D4D04ED" w14:textId="77777777" w:rsidR="00157AAA" w:rsidRDefault="006C1BE5">
            <w:pPr>
              <w:spacing w:after="0"/>
              <w:rPr>
                <w:szCs w:val="24"/>
              </w:rPr>
            </w:pPr>
            <w:r>
              <w:rPr>
                <w:szCs w:val="24"/>
              </w:rPr>
              <w:t xml:space="preserve">The NSW shall provide for data loss protection (DLP), and implement comprehensive solution with centralized workflow capabilities, integrated policies, and customized reporting, </w:t>
            </w:r>
            <w:proofErr w:type="gramStart"/>
            <w:r>
              <w:rPr>
                <w:szCs w:val="24"/>
              </w:rPr>
              <w:t>in order to</w:t>
            </w:r>
            <w:proofErr w:type="gramEnd"/>
            <w:r>
              <w:rPr>
                <w:szCs w:val="24"/>
              </w:rPr>
              <w:t xml:space="preserve"> manage data loss and protect the sensitive data through a modular DLP program that offer capabilities across three main vectors: data at rest, data in motion, and data at endpoints.</w:t>
            </w:r>
          </w:p>
        </w:tc>
      </w:tr>
      <w:tr w:rsidR="00475A4C" w14:paraId="46C6A856" w14:textId="77777777" w:rsidTr="001136D3">
        <w:trPr>
          <w:trHeight w:val="629"/>
        </w:trPr>
        <w:tc>
          <w:tcPr>
            <w:tcW w:w="1435" w:type="dxa"/>
            <w:noWrap/>
          </w:tcPr>
          <w:p w14:paraId="05BBA767" w14:textId="16D3B556" w:rsidR="00475A4C" w:rsidRDefault="00475A4C" w:rsidP="00475A4C">
            <w:pPr>
              <w:spacing w:after="0"/>
              <w:jc w:val="left"/>
              <w:rPr>
                <w:szCs w:val="24"/>
              </w:rPr>
            </w:pPr>
            <w:r>
              <w:rPr>
                <w:szCs w:val="24"/>
              </w:rPr>
              <w:t>FR137</w:t>
            </w:r>
          </w:p>
        </w:tc>
        <w:tc>
          <w:tcPr>
            <w:tcW w:w="7380" w:type="dxa"/>
          </w:tcPr>
          <w:p w14:paraId="0B11D936" w14:textId="7657869A" w:rsidR="00475A4C" w:rsidRDefault="00475A4C" w:rsidP="00475A4C">
            <w:pPr>
              <w:spacing w:after="0"/>
              <w:rPr>
                <w:szCs w:val="24"/>
              </w:rPr>
            </w:pPr>
            <w:r>
              <w:rPr>
                <w:szCs w:val="24"/>
              </w:rPr>
              <w:t xml:space="preserve">The NSW System must support the CBRA with configurable workflow management for processing of each LPCO type. </w:t>
            </w:r>
          </w:p>
        </w:tc>
      </w:tr>
      <w:tr w:rsidR="00475A4C" w14:paraId="5E2C00FF" w14:textId="77777777" w:rsidTr="001136D3">
        <w:trPr>
          <w:trHeight w:val="899"/>
        </w:trPr>
        <w:tc>
          <w:tcPr>
            <w:tcW w:w="1435" w:type="dxa"/>
            <w:noWrap/>
          </w:tcPr>
          <w:p w14:paraId="3ABB1D5F" w14:textId="35B831B4" w:rsidR="00475A4C" w:rsidRDefault="00475A4C" w:rsidP="00475A4C">
            <w:pPr>
              <w:spacing w:after="0"/>
              <w:jc w:val="left"/>
              <w:rPr>
                <w:szCs w:val="24"/>
              </w:rPr>
            </w:pPr>
            <w:r>
              <w:rPr>
                <w:szCs w:val="24"/>
              </w:rPr>
              <w:t>FR160</w:t>
            </w:r>
          </w:p>
        </w:tc>
        <w:tc>
          <w:tcPr>
            <w:tcW w:w="7380" w:type="dxa"/>
          </w:tcPr>
          <w:p w14:paraId="3762A3A0" w14:textId="4FE595FF" w:rsidR="00475A4C" w:rsidRDefault="00475A4C" w:rsidP="00475A4C">
            <w:pPr>
              <w:spacing w:after="0"/>
              <w:rPr>
                <w:szCs w:val="24"/>
              </w:rPr>
            </w:pPr>
            <w:r>
              <w:rPr>
                <w:szCs w:val="24"/>
              </w:rPr>
              <w:t xml:space="preserve">Audit </w:t>
            </w:r>
            <w:proofErr w:type="gramStart"/>
            <w:r>
              <w:rPr>
                <w:szCs w:val="24"/>
              </w:rPr>
              <w:t>trail</w:t>
            </w:r>
            <w:proofErr w:type="gramEnd"/>
            <w:r>
              <w:rPr>
                <w:szCs w:val="24"/>
              </w:rPr>
              <w:t xml:space="preserve"> for all transactions including access to information, changes to data/information must be maintained in the system such that information can be viewed by applicant and CBRA staff.</w:t>
            </w:r>
          </w:p>
        </w:tc>
      </w:tr>
      <w:tr w:rsidR="00475A4C" w14:paraId="6693A48D" w14:textId="77777777" w:rsidTr="001136D3">
        <w:trPr>
          <w:trHeight w:val="611"/>
        </w:trPr>
        <w:tc>
          <w:tcPr>
            <w:tcW w:w="1435" w:type="dxa"/>
            <w:noWrap/>
          </w:tcPr>
          <w:p w14:paraId="4D7E3ED4" w14:textId="675C02D5" w:rsidR="00475A4C" w:rsidRDefault="00475A4C" w:rsidP="00475A4C">
            <w:pPr>
              <w:spacing w:after="0"/>
              <w:jc w:val="left"/>
              <w:rPr>
                <w:szCs w:val="24"/>
              </w:rPr>
            </w:pPr>
            <w:r>
              <w:rPr>
                <w:szCs w:val="24"/>
              </w:rPr>
              <w:t>FR161</w:t>
            </w:r>
          </w:p>
        </w:tc>
        <w:tc>
          <w:tcPr>
            <w:tcW w:w="7380" w:type="dxa"/>
          </w:tcPr>
          <w:p w14:paraId="7F3D1D22" w14:textId="7A0D329F" w:rsidR="00475A4C" w:rsidRDefault="00475A4C" w:rsidP="00475A4C">
            <w:pPr>
              <w:spacing w:after="0"/>
              <w:rPr>
                <w:szCs w:val="24"/>
              </w:rPr>
            </w:pPr>
            <w:r>
              <w:rPr>
                <w:szCs w:val="24"/>
              </w:rPr>
              <w:t>Access to the Audit trail should be restricted to authorized CBRA personnel.</w:t>
            </w:r>
          </w:p>
        </w:tc>
      </w:tr>
      <w:tr w:rsidR="00475A4C" w14:paraId="533758A1" w14:textId="77777777" w:rsidTr="001136D3">
        <w:trPr>
          <w:trHeight w:val="620"/>
        </w:trPr>
        <w:tc>
          <w:tcPr>
            <w:tcW w:w="1435" w:type="dxa"/>
            <w:noWrap/>
          </w:tcPr>
          <w:p w14:paraId="3212B50E" w14:textId="52253FCB" w:rsidR="00475A4C" w:rsidRDefault="00475A4C" w:rsidP="00475A4C">
            <w:pPr>
              <w:spacing w:after="0"/>
              <w:jc w:val="left"/>
              <w:rPr>
                <w:szCs w:val="24"/>
              </w:rPr>
            </w:pPr>
            <w:r>
              <w:rPr>
                <w:szCs w:val="24"/>
              </w:rPr>
              <w:t>FR181</w:t>
            </w:r>
          </w:p>
        </w:tc>
        <w:tc>
          <w:tcPr>
            <w:tcW w:w="7380" w:type="dxa"/>
          </w:tcPr>
          <w:p w14:paraId="12B8B653" w14:textId="62A0E95B" w:rsidR="00475A4C" w:rsidRDefault="00475A4C" w:rsidP="00475A4C">
            <w:pPr>
              <w:spacing w:after="0"/>
              <w:rPr>
                <w:szCs w:val="24"/>
              </w:rPr>
            </w:pPr>
            <w:r>
              <w:rPr>
                <w:szCs w:val="24"/>
              </w:rPr>
              <w:t>The NSW shall serve as the “single electronic entry point and a platform for person involved in import, export, transit.</w:t>
            </w:r>
          </w:p>
        </w:tc>
      </w:tr>
      <w:tr w:rsidR="00475A4C" w14:paraId="4DC5DE57" w14:textId="77777777" w:rsidTr="001136D3">
        <w:trPr>
          <w:trHeight w:val="593"/>
        </w:trPr>
        <w:tc>
          <w:tcPr>
            <w:tcW w:w="1435" w:type="dxa"/>
            <w:noWrap/>
            <w:vAlign w:val="bottom"/>
          </w:tcPr>
          <w:p w14:paraId="69B0C8A6" w14:textId="77777777" w:rsidR="00475A4C" w:rsidRDefault="00475A4C" w:rsidP="00475A4C">
            <w:pPr>
              <w:spacing w:after="0"/>
              <w:jc w:val="left"/>
              <w:rPr>
                <w:szCs w:val="24"/>
              </w:rPr>
            </w:pPr>
            <w:r>
              <w:rPr>
                <w:szCs w:val="24"/>
              </w:rPr>
              <w:t>FR249</w:t>
            </w:r>
          </w:p>
        </w:tc>
        <w:tc>
          <w:tcPr>
            <w:tcW w:w="7380" w:type="dxa"/>
          </w:tcPr>
          <w:p w14:paraId="3E0E830A" w14:textId="77777777" w:rsidR="00475A4C" w:rsidRDefault="00475A4C" w:rsidP="00475A4C">
            <w:pPr>
              <w:spacing w:after="0"/>
              <w:rPr>
                <w:szCs w:val="24"/>
              </w:rPr>
            </w:pPr>
            <w:r>
              <w:rPr>
                <w:szCs w:val="24"/>
              </w:rPr>
              <w:t>The system also must be able to offer a user interface where it is possible to search and view notifications after logging in to the NSW portal.</w:t>
            </w:r>
          </w:p>
        </w:tc>
      </w:tr>
      <w:tr w:rsidR="00475A4C" w14:paraId="4080A4E5" w14:textId="77777777" w:rsidTr="001136D3">
        <w:trPr>
          <w:trHeight w:val="1020"/>
        </w:trPr>
        <w:tc>
          <w:tcPr>
            <w:tcW w:w="1435" w:type="dxa"/>
            <w:noWrap/>
            <w:vAlign w:val="bottom"/>
          </w:tcPr>
          <w:p w14:paraId="3AEF82ED" w14:textId="77777777" w:rsidR="00475A4C" w:rsidRDefault="00475A4C" w:rsidP="00475A4C">
            <w:pPr>
              <w:spacing w:after="0"/>
              <w:jc w:val="left"/>
              <w:rPr>
                <w:szCs w:val="24"/>
              </w:rPr>
            </w:pPr>
            <w:r>
              <w:rPr>
                <w:szCs w:val="24"/>
              </w:rPr>
              <w:t>FR250</w:t>
            </w:r>
          </w:p>
        </w:tc>
        <w:tc>
          <w:tcPr>
            <w:tcW w:w="7380" w:type="dxa"/>
          </w:tcPr>
          <w:p w14:paraId="117E9757" w14:textId="4A1AFAAA" w:rsidR="00475A4C" w:rsidRPr="0026442C" w:rsidRDefault="00475A4C" w:rsidP="00475A4C">
            <w:pPr>
              <w:spacing w:after="0"/>
              <w:rPr>
                <w:szCs w:val="24"/>
              </w:rPr>
            </w:pPr>
            <w:r w:rsidRPr="0026442C">
              <w:rPr>
                <w:szCs w:val="24"/>
              </w:rPr>
              <w:t>The NSW shall cater for distribution of notifications and status updates (</w:t>
            </w:r>
            <w:r w:rsidR="00BD3FCB" w:rsidRPr="0026442C">
              <w:rPr>
                <w:szCs w:val="24"/>
              </w:rPr>
              <w:t xml:space="preserve">e.g. </w:t>
            </w:r>
            <w:r w:rsidRPr="0026442C">
              <w:rPr>
                <w:szCs w:val="24"/>
              </w:rPr>
              <w:t>via messaging</w:t>
            </w:r>
            <w:r w:rsidR="00BD3FCB" w:rsidRPr="0026442C">
              <w:rPr>
                <w:szCs w:val="24"/>
              </w:rPr>
              <w:t>,</w:t>
            </w:r>
            <w:r w:rsidRPr="0026442C">
              <w:rPr>
                <w:szCs w:val="24"/>
              </w:rPr>
              <w:t xml:space="preserve"> </w:t>
            </w:r>
            <w:r w:rsidR="00BD3FCB" w:rsidRPr="0026442C">
              <w:rPr>
                <w:szCs w:val="24"/>
              </w:rPr>
              <w:t xml:space="preserve">API, email, SMS, </w:t>
            </w:r>
            <w:r w:rsidRPr="0026442C">
              <w:rPr>
                <w:szCs w:val="24"/>
              </w:rPr>
              <w:t>web service updates to the user interfaces</w:t>
            </w:r>
            <w:r w:rsidR="00BD3FCB" w:rsidRPr="0026442C">
              <w:rPr>
                <w:szCs w:val="24"/>
              </w:rPr>
              <w:t xml:space="preserve"> and other applicable interfaces</w:t>
            </w:r>
            <w:r w:rsidRPr="0026442C">
              <w:rPr>
                <w:szCs w:val="24"/>
              </w:rPr>
              <w:t>). The NSW will forward status updates and notifications received from regulatory authorities’ systems to the submitter and any other notifiable party via messaging interface.</w:t>
            </w:r>
          </w:p>
        </w:tc>
      </w:tr>
      <w:tr w:rsidR="00475A4C" w14:paraId="18C92EB0" w14:textId="77777777" w:rsidTr="001136D3">
        <w:trPr>
          <w:trHeight w:val="863"/>
        </w:trPr>
        <w:tc>
          <w:tcPr>
            <w:tcW w:w="1435" w:type="dxa"/>
            <w:noWrap/>
            <w:vAlign w:val="bottom"/>
          </w:tcPr>
          <w:p w14:paraId="2242B930" w14:textId="77777777" w:rsidR="00475A4C" w:rsidRDefault="00475A4C" w:rsidP="00475A4C">
            <w:pPr>
              <w:spacing w:after="0"/>
              <w:jc w:val="left"/>
              <w:rPr>
                <w:szCs w:val="24"/>
              </w:rPr>
            </w:pPr>
            <w:r>
              <w:rPr>
                <w:szCs w:val="24"/>
              </w:rPr>
              <w:t>FR251</w:t>
            </w:r>
          </w:p>
        </w:tc>
        <w:tc>
          <w:tcPr>
            <w:tcW w:w="7380" w:type="dxa"/>
          </w:tcPr>
          <w:p w14:paraId="74C731AA" w14:textId="77777777" w:rsidR="00475A4C" w:rsidRPr="0026442C" w:rsidRDefault="00475A4C" w:rsidP="00475A4C">
            <w:pPr>
              <w:spacing w:after="0"/>
              <w:rPr>
                <w:szCs w:val="24"/>
              </w:rPr>
            </w:pPr>
            <w:r w:rsidRPr="0026442C">
              <w:rPr>
                <w:szCs w:val="24"/>
              </w:rPr>
              <w:t>The NSW will provide status updates, error messages or requests for information from regulatory authorities to notifiable parties via or web service updates to the respective user interfaces and/or via email.</w:t>
            </w:r>
          </w:p>
        </w:tc>
      </w:tr>
      <w:tr w:rsidR="00475A4C" w14:paraId="57FEB6BF" w14:textId="77777777" w:rsidTr="001136D3">
        <w:trPr>
          <w:trHeight w:val="683"/>
        </w:trPr>
        <w:tc>
          <w:tcPr>
            <w:tcW w:w="1435" w:type="dxa"/>
            <w:noWrap/>
            <w:vAlign w:val="bottom"/>
          </w:tcPr>
          <w:p w14:paraId="7910C703" w14:textId="77777777" w:rsidR="00475A4C" w:rsidRDefault="00475A4C" w:rsidP="00475A4C">
            <w:pPr>
              <w:spacing w:after="0"/>
              <w:jc w:val="left"/>
              <w:rPr>
                <w:szCs w:val="24"/>
              </w:rPr>
            </w:pPr>
            <w:r>
              <w:rPr>
                <w:szCs w:val="24"/>
              </w:rPr>
              <w:t>FR252</w:t>
            </w:r>
          </w:p>
        </w:tc>
        <w:tc>
          <w:tcPr>
            <w:tcW w:w="7380" w:type="dxa"/>
          </w:tcPr>
          <w:p w14:paraId="13AFBD52" w14:textId="36554E55" w:rsidR="00475A4C" w:rsidRPr="0026442C" w:rsidRDefault="00475A4C" w:rsidP="00475A4C">
            <w:pPr>
              <w:spacing w:after="0"/>
              <w:rPr>
                <w:szCs w:val="24"/>
              </w:rPr>
            </w:pPr>
            <w:r w:rsidRPr="0026442C">
              <w:rPr>
                <w:szCs w:val="24"/>
              </w:rPr>
              <w:t>The gateway shall ensure reliability, the messaging solution must suppor</w:t>
            </w:r>
            <w:r w:rsidR="002D2765" w:rsidRPr="0026442C">
              <w:rPr>
                <w:szCs w:val="24"/>
              </w:rPr>
              <w:t>t “store and forward” messaging and implement when required by recipients.</w:t>
            </w:r>
          </w:p>
        </w:tc>
      </w:tr>
      <w:tr w:rsidR="00475A4C" w14:paraId="0FAC878A" w14:textId="77777777" w:rsidTr="001136D3">
        <w:trPr>
          <w:trHeight w:val="593"/>
        </w:trPr>
        <w:tc>
          <w:tcPr>
            <w:tcW w:w="1435" w:type="dxa"/>
            <w:noWrap/>
            <w:vAlign w:val="bottom"/>
          </w:tcPr>
          <w:p w14:paraId="61B5B3EC" w14:textId="77777777" w:rsidR="00475A4C" w:rsidRDefault="00475A4C" w:rsidP="00475A4C">
            <w:pPr>
              <w:spacing w:after="0"/>
              <w:jc w:val="left"/>
              <w:rPr>
                <w:szCs w:val="24"/>
              </w:rPr>
            </w:pPr>
            <w:r>
              <w:rPr>
                <w:szCs w:val="24"/>
              </w:rPr>
              <w:t>FR253</w:t>
            </w:r>
          </w:p>
        </w:tc>
        <w:tc>
          <w:tcPr>
            <w:tcW w:w="7380" w:type="dxa"/>
          </w:tcPr>
          <w:p w14:paraId="12C44C37" w14:textId="3962F6BF" w:rsidR="00475A4C" w:rsidRPr="0026442C" w:rsidRDefault="00475A4C" w:rsidP="002D2765">
            <w:pPr>
              <w:spacing w:after="0"/>
              <w:rPr>
                <w:szCs w:val="24"/>
              </w:rPr>
            </w:pPr>
            <w:r w:rsidRPr="0026442C">
              <w:rPr>
                <w:szCs w:val="24"/>
              </w:rPr>
              <w:t xml:space="preserve">Communication protocols supported shall include </w:t>
            </w:r>
            <w:proofErr w:type="spellStart"/>
            <w:r w:rsidRPr="0026442C">
              <w:rPr>
                <w:szCs w:val="24"/>
              </w:rPr>
              <w:t>ebMS</w:t>
            </w:r>
            <w:proofErr w:type="spellEnd"/>
            <w:r w:rsidRPr="0026442C">
              <w:rPr>
                <w:szCs w:val="24"/>
              </w:rPr>
              <w:t xml:space="preserve"> (</w:t>
            </w:r>
            <w:proofErr w:type="spellStart"/>
            <w:r w:rsidRPr="0026442C">
              <w:rPr>
                <w:szCs w:val="24"/>
              </w:rPr>
              <w:t>ebXML</w:t>
            </w:r>
            <w:proofErr w:type="spellEnd"/>
            <w:r w:rsidRPr="0026442C">
              <w:rPr>
                <w:szCs w:val="24"/>
              </w:rPr>
              <w:t>, Messaging Service), FTP, SMTP</w:t>
            </w:r>
            <w:r w:rsidR="002D2765" w:rsidRPr="0026442C">
              <w:rPr>
                <w:szCs w:val="24"/>
              </w:rPr>
              <w:t xml:space="preserve">, API (RESTful) </w:t>
            </w:r>
            <w:r w:rsidRPr="0026442C">
              <w:rPr>
                <w:szCs w:val="24"/>
              </w:rPr>
              <w:t>and other suitable protocols and act as a web service client and server.</w:t>
            </w:r>
          </w:p>
        </w:tc>
      </w:tr>
      <w:tr w:rsidR="00475A4C" w14:paraId="01F1A6DF" w14:textId="77777777" w:rsidTr="001136D3">
        <w:trPr>
          <w:trHeight w:val="629"/>
        </w:trPr>
        <w:tc>
          <w:tcPr>
            <w:tcW w:w="1435" w:type="dxa"/>
            <w:noWrap/>
            <w:vAlign w:val="bottom"/>
          </w:tcPr>
          <w:p w14:paraId="68D87D64" w14:textId="77777777" w:rsidR="00475A4C" w:rsidRDefault="00475A4C" w:rsidP="00475A4C">
            <w:pPr>
              <w:spacing w:after="0"/>
              <w:jc w:val="left"/>
              <w:rPr>
                <w:szCs w:val="24"/>
              </w:rPr>
            </w:pPr>
            <w:r>
              <w:rPr>
                <w:szCs w:val="24"/>
              </w:rPr>
              <w:t>FR254</w:t>
            </w:r>
          </w:p>
        </w:tc>
        <w:tc>
          <w:tcPr>
            <w:tcW w:w="7380" w:type="dxa"/>
          </w:tcPr>
          <w:p w14:paraId="544F5160" w14:textId="7788027D" w:rsidR="00475A4C" w:rsidRPr="0026442C" w:rsidRDefault="00475A4C" w:rsidP="0026442C">
            <w:pPr>
              <w:spacing w:after="0"/>
              <w:rPr>
                <w:szCs w:val="24"/>
              </w:rPr>
            </w:pPr>
            <w:r w:rsidRPr="0026442C">
              <w:rPr>
                <w:szCs w:val="24"/>
              </w:rPr>
              <w:t>The solution must support various messaging formats, including</w:t>
            </w:r>
            <w:r w:rsidR="002D2765" w:rsidRPr="0026442C">
              <w:rPr>
                <w:szCs w:val="24"/>
              </w:rPr>
              <w:t xml:space="preserve"> JSON, </w:t>
            </w:r>
            <w:r w:rsidRPr="0026442C">
              <w:rPr>
                <w:szCs w:val="24"/>
              </w:rPr>
              <w:t xml:space="preserve">XML and </w:t>
            </w:r>
            <w:proofErr w:type="spellStart"/>
            <w:r w:rsidRPr="0026442C">
              <w:rPr>
                <w:szCs w:val="24"/>
              </w:rPr>
              <w:t>ebXML</w:t>
            </w:r>
            <w:proofErr w:type="spellEnd"/>
            <w:r w:rsidRPr="0026442C">
              <w:rPr>
                <w:szCs w:val="24"/>
              </w:rPr>
              <w:t>.</w:t>
            </w:r>
          </w:p>
        </w:tc>
      </w:tr>
      <w:tr w:rsidR="00475A4C" w14:paraId="24FDB379" w14:textId="77777777" w:rsidTr="001136D3">
        <w:trPr>
          <w:trHeight w:val="1020"/>
        </w:trPr>
        <w:tc>
          <w:tcPr>
            <w:tcW w:w="1435" w:type="dxa"/>
            <w:noWrap/>
            <w:vAlign w:val="bottom"/>
          </w:tcPr>
          <w:p w14:paraId="2E9B6811" w14:textId="77777777" w:rsidR="00475A4C" w:rsidRDefault="00475A4C" w:rsidP="00475A4C">
            <w:pPr>
              <w:spacing w:after="0"/>
              <w:jc w:val="left"/>
              <w:rPr>
                <w:szCs w:val="24"/>
              </w:rPr>
            </w:pPr>
            <w:r>
              <w:rPr>
                <w:szCs w:val="24"/>
              </w:rPr>
              <w:t>FR255</w:t>
            </w:r>
          </w:p>
        </w:tc>
        <w:tc>
          <w:tcPr>
            <w:tcW w:w="7380" w:type="dxa"/>
          </w:tcPr>
          <w:p w14:paraId="1AF430B8" w14:textId="77777777" w:rsidR="00475A4C" w:rsidRDefault="00475A4C" w:rsidP="00475A4C">
            <w:pPr>
              <w:spacing w:after="0"/>
              <w:rPr>
                <w:szCs w:val="24"/>
              </w:rPr>
            </w:pPr>
            <w:r>
              <w:rPr>
                <w:szCs w:val="24"/>
              </w:rPr>
              <w:t>Logging shall be supported on both transmission and message levels. Any information within the transmission shall be logged and the log must be searchable. It shall also be possible to search and find related messages. Logging entries shall be stored for a configurable amount of time.</w:t>
            </w:r>
          </w:p>
        </w:tc>
      </w:tr>
      <w:tr w:rsidR="00475A4C" w14:paraId="65D3F37F" w14:textId="77777777" w:rsidTr="001136D3">
        <w:trPr>
          <w:trHeight w:val="575"/>
        </w:trPr>
        <w:tc>
          <w:tcPr>
            <w:tcW w:w="1435" w:type="dxa"/>
            <w:noWrap/>
            <w:vAlign w:val="bottom"/>
          </w:tcPr>
          <w:p w14:paraId="33DAFE60" w14:textId="77777777" w:rsidR="00475A4C" w:rsidRDefault="00475A4C" w:rsidP="00475A4C">
            <w:pPr>
              <w:spacing w:after="0"/>
              <w:jc w:val="left"/>
              <w:rPr>
                <w:szCs w:val="24"/>
              </w:rPr>
            </w:pPr>
            <w:r>
              <w:rPr>
                <w:szCs w:val="24"/>
              </w:rPr>
              <w:t>FR256</w:t>
            </w:r>
          </w:p>
        </w:tc>
        <w:tc>
          <w:tcPr>
            <w:tcW w:w="7380" w:type="dxa"/>
          </w:tcPr>
          <w:p w14:paraId="735D8569" w14:textId="77777777" w:rsidR="00475A4C" w:rsidRDefault="00475A4C" w:rsidP="00475A4C">
            <w:pPr>
              <w:spacing w:after="0"/>
              <w:rPr>
                <w:szCs w:val="24"/>
              </w:rPr>
            </w:pPr>
            <w:r>
              <w:rPr>
                <w:szCs w:val="24"/>
              </w:rPr>
              <w:t xml:space="preserve">The gateway forwards a received message to the appropriate backend system for storage and processing. </w:t>
            </w:r>
          </w:p>
        </w:tc>
      </w:tr>
      <w:tr w:rsidR="00475A4C" w14:paraId="14CEC42B" w14:textId="77777777" w:rsidTr="001136D3">
        <w:trPr>
          <w:trHeight w:val="530"/>
        </w:trPr>
        <w:tc>
          <w:tcPr>
            <w:tcW w:w="1435" w:type="dxa"/>
            <w:noWrap/>
            <w:vAlign w:val="bottom"/>
          </w:tcPr>
          <w:p w14:paraId="0F312DC6" w14:textId="77777777" w:rsidR="00475A4C" w:rsidRDefault="00475A4C" w:rsidP="00475A4C">
            <w:pPr>
              <w:spacing w:after="0"/>
              <w:jc w:val="left"/>
              <w:rPr>
                <w:szCs w:val="24"/>
              </w:rPr>
            </w:pPr>
            <w:r>
              <w:rPr>
                <w:szCs w:val="24"/>
              </w:rPr>
              <w:t>FR257</w:t>
            </w:r>
          </w:p>
        </w:tc>
        <w:tc>
          <w:tcPr>
            <w:tcW w:w="7380" w:type="dxa"/>
          </w:tcPr>
          <w:p w14:paraId="6CB5C837" w14:textId="77777777" w:rsidR="00475A4C" w:rsidRDefault="00475A4C" w:rsidP="00475A4C">
            <w:pPr>
              <w:spacing w:after="0"/>
              <w:rPr>
                <w:szCs w:val="24"/>
              </w:rPr>
            </w:pPr>
            <w:r>
              <w:rPr>
                <w:szCs w:val="24"/>
              </w:rPr>
              <w:t>Transforming messages from different formats is required by the gateway. The solution shall support any-to-any format transformation.</w:t>
            </w:r>
          </w:p>
        </w:tc>
      </w:tr>
      <w:tr w:rsidR="00475A4C" w14:paraId="63B9A05A" w14:textId="77777777" w:rsidTr="001136D3">
        <w:trPr>
          <w:trHeight w:val="800"/>
        </w:trPr>
        <w:tc>
          <w:tcPr>
            <w:tcW w:w="1435" w:type="dxa"/>
            <w:noWrap/>
            <w:vAlign w:val="bottom"/>
          </w:tcPr>
          <w:p w14:paraId="5B486589" w14:textId="77777777" w:rsidR="00475A4C" w:rsidRDefault="00475A4C" w:rsidP="00475A4C">
            <w:pPr>
              <w:spacing w:after="0"/>
              <w:jc w:val="left"/>
              <w:rPr>
                <w:szCs w:val="24"/>
              </w:rPr>
            </w:pPr>
            <w:r>
              <w:rPr>
                <w:szCs w:val="24"/>
              </w:rPr>
              <w:lastRenderedPageBreak/>
              <w:t>FR258</w:t>
            </w:r>
          </w:p>
        </w:tc>
        <w:tc>
          <w:tcPr>
            <w:tcW w:w="7380" w:type="dxa"/>
          </w:tcPr>
          <w:p w14:paraId="036C104A" w14:textId="77777777" w:rsidR="00475A4C" w:rsidRDefault="00475A4C" w:rsidP="00475A4C">
            <w:pPr>
              <w:spacing w:after="0"/>
              <w:rPr>
                <w:szCs w:val="24"/>
              </w:rPr>
            </w:pPr>
            <w:r>
              <w:rPr>
                <w:szCs w:val="24"/>
              </w:rPr>
              <w:t>Transmission and messages shall be archived and possible to be recreated and read at a later stage. The storage should store messages for at least three years.</w:t>
            </w:r>
          </w:p>
        </w:tc>
      </w:tr>
      <w:tr w:rsidR="00475A4C" w14:paraId="2EA5E796" w14:textId="77777777" w:rsidTr="001136D3">
        <w:trPr>
          <w:trHeight w:val="611"/>
        </w:trPr>
        <w:tc>
          <w:tcPr>
            <w:tcW w:w="1435" w:type="dxa"/>
            <w:noWrap/>
            <w:vAlign w:val="bottom"/>
          </w:tcPr>
          <w:p w14:paraId="63B9A553" w14:textId="77777777" w:rsidR="00475A4C" w:rsidRDefault="00475A4C" w:rsidP="00475A4C">
            <w:pPr>
              <w:spacing w:after="0"/>
              <w:jc w:val="left"/>
              <w:rPr>
                <w:szCs w:val="24"/>
              </w:rPr>
            </w:pPr>
            <w:r>
              <w:rPr>
                <w:szCs w:val="24"/>
              </w:rPr>
              <w:t>FR400</w:t>
            </w:r>
          </w:p>
        </w:tc>
        <w:tc>
          <w:tcPr>
            <w:tcW w:w="7380" w:type="dxa"/>
          </w:tcPr>
          <w:p w14:paraId="640854B1" w14:textId="77777777" w:rsidR="00475A4C" w:rsidRDefault="00475A4C" w:rsidP="00475A4C">
            <w:pPr>
              <w:spacing w:after="0"/>
              <w:rPr>
                <w:szCs w:val="24"/>
              </w:rPr>
            </w:pPr>
            <w:r>
              <w:rPr>
                <w:szCs w:val="24"/>
              </w:rPr>
              <w:t>Any communication between customs systems (including EU CERTEX) and the NSW, the data should be transformed, using the transformation rules.</w:t>
            </w:r>
          </w:p>
        </w:tc>
      </w:tr>
      <w:tr w:rsidR="00475A4C" w14:paraId="2B0939A2" w14:textId="77777777" w:rsidTr="001136D3">
        <w:trPr>
          <w:trHeight w:val="611"/>
        </w:trPr>
        <w:tc>
          <w:tcPr>
            <w:tcW w:w="1435" w:type="dxa"/>
            <w:noWrap/>
            <w:vAlign w:val="bottom"/>
          </w:tcPr>
          <w:p w14:paraId="2DB244CD" w14:textId="77777777" w:rsidR="00475A4C" w:rsidRDefault="00475A4C" w:rsidP="00475A4C">
            <w:pPr>
              <w:spacing w:after="0"/>
              <w:jc w:val="left"/>
              <w:rPr>
                <w:szCs w:val="24"/>
              </w:rPr>
            </w:pPr>
            <w:r>
              <w:rPr>
                <w:szCs w:val="24"/>
              </w:rPr>
              <w:t>FR401</w:t>
            </w:r>
          </w:p>
        </w:tc>
        <w:tc>
          <w:tcPr>
            <w:tcW w:w="7380" w:type="dxa"/>
          </w:tcPr>
          <w:p w14:paraId="2B06481D" w14:textId="77777777" w:rsidR="00475A4C" w:rsidRDefault="00475A4C" w:rsidP="00475A4C">
            <w:pPr>
              <w:spacing w:after="0"/>
              <w:rPr>
                <w:szCs w:val="24"/>
              </w:rPr>
            </w:pPr>
            <w:r>
              <w:rPr>
                <w:szCs w:val="24"/>
              </w:rPr>
              <w:t>Messages received from all systems should be technically validated. If technically valid, it should be further processed. If not, generic error should be responded to that system. The error codes should be used from the MS-CERTEX Integration Guide (these are to be used for CERTEX too).</w:t>
            </w:r>
          </w:p>
        </w:tc>
      </w:tr>
    </w:tbl>
    <w:p w14:paraId="1BF4BF11" w14:textId="77777777" w:rsidR="00157AAA" w:rsidRDefault="00157AAA">
      <w:pPr>
        <w:jc w:val="left"/>
        <w:rPr>
          <w:bCs/>
          <w:szCs w:val="24"/>
        </w:rPr>
      </w:pPr>
    </w:p>
    <w:p w14:paraId="3D2DD140" w14:textId="00FA6C2C" w:rsidR="001A63DC" w:rsidRPr="008E2AAD" w:rsidRDefault="006C1BE5">
      <w:pPr>
        <w:jc w:val="left"/>
        <w:rPr>
          <w:b/>
          <w:bCs/>
          <w:szCs w:val="24"/>
        </w:rPr>
      </w:pPr>
      <w:r w:rsidRPr="008E2AAD">
        <w:rPr>
          <w:b/>
          <w:bCs/>
          <w:szCs w:val="24"/>
        </w:rPr>
        <w:t xml:space="preserve">1.2.3. </w:t>
      </w:r>
      <w:r w:rsidR="008A584C">
        <w:rPr>
          <w:b/>
          <w:bCs/>
          <w:szCs w:val="24"/>
        </w:rPr>
        <w:t xml:space="preserve">NSW </w:t>
      </w:r>
      <w:r w:rsidR="001A63DC" w:rsidRPr="008E2AAD">
        <w:rPr>
          <w:b/>
          <w:bCs/>
          <w:szCs w:val="24"/>
        </w:rPr>
        <w:t>Functional Requirements</w:t>
      </w:r>
      <w:r w:rsidR="008A584C">
        <w:rPr>
          <w:b/>
          <w:bCs/>
          <w:szCs w:val="24"/>
        </w:rPr>
        <w:t xml:space="preserve"> and services</w:t>
      </w:r>
    </w:p>
    <w:p w14:paraId="5A166264" w14:textId="680EB936" w:rsidR="00157AAA" w:rsidRDefault="001A63DC">
      <w:pPr>
        <w:jc w:val="left"/>
        <w:rPr>
          <w:bCs/>
          <w:szCs w:val="24"/>
        </w:rPr>
      </w:pPr>
      <w:r>
        <w:rPr>
          <w:bCs/>
          <w:szCs w:val="24"/>
        </w:rPr>
        <w:t>Below is</w:t>
      </w:r>
      <w:r w:rsidR="00A82C70">
        <w:rPr>
          <w:bCs/>
          <w:szCs w:val="24"/>
        </w:rPr>
        <w:t xml:space="preserve"> a</w:t>
      </w:r>
      <w:r>
        <w:rPr>
          <w:bCs/>
          <w:szCs w:val="24"/>
        </w:rPr>
        <w:t xml:space="preserve"> detailed presentation of</w:t>
      </w:r>
      <w:r w:rsidR="006C1BE5">
        <w:rPr>
          <w:bCs/>
          <w:szCs w:val="24"/>
        </w:rPr>
        <w:t xml:space="preserve"> the Functional Requirements and services of the components of the NSW</w:t>
      </w:r>
      <w:r>
        <w:rPr>
          <w:bCs/>
          <w:szCs w:val="24"/>
        </w:rPr>
        <w:t>.</w:t>
      </w:r>
    </w:p>
    <w:p w14:paraId="77DDBC66" w14:textId="612571F0" w:rsidR="00157AAA" w:rsidRDefault="006C1BE5" w:rsidP="005E6A97">
      <w:pPr>
        <w:ind w:firstLine="720"/>
        <w:jc w:val="left"/>
        <w:rPr>
          <w:b/>
          <w:szCs w:val="24"/>
        </w:rPr>
      </w:pPr>
      <w:r w:rsidRPr="008E2AAD">
        <w:rPr>
          <w:b/>
          <w:szCs w:val="24"/>
        </w:rPr>
        <w:t>1.2.</w:t>
      </w:r>
      <w:r>
        <w:rPr>
          <w:b/>
          <w:szCs w:val="24"/>
        </w:rPr>
        <w:t>3.1</w:t>
      </w:r>
      <w:r w:rsidRPr="008E2AAD">
        <w:rPr>
          <w:b/>
          <w:szCs w:val="24"/>
        </w:rPr>
        <w:t xml:space="preserve"> </w:t>
      </w:r>
      <w:r>
        <w:rPr>
          <w:b/>
          <w:szCs w:val="24"/>
        </w:rPr>
        <w:t xml:space="preserve">NSW </w:t>
      </w:r>
      <w:r w:rsidRPr="008E2AAD">
        <w:rPr>
          <w:b/>
          <w:szCs w:val="24"/>
        </w:rPr>
        <w:t xml:space="preserve">Trader Portal </w:t>
      </w:r>
    </w:p>
    <w:p w14:paraId="10919449" w14:textId="5602E99A" w:rsidR="00157AAA" w:rsidRPr="008E2AAD" w:rsidRDefault="006C1BE5" w:rsidP="005E6A97">
      <w:pPr>
        <w:ind w:left="720" w:firstLine="720"/>
        <w:jc w:val="left"/>
        <w:rPr>
          <w:b/>
          <w:bCs/>
          <w:szCs w:val="24"/>
        </w:rPr>
      </w:pPr>
      <w:r w:rsidRPr="008E2AAD">
        <w:rPr>
          <w:b/>
          <w:bCs/>
          <w:szCs w:val="24"/>
        </w:rPr>
        <w:t>1.2.3.1.1.   NSW Frontend Services</w:t>
      </w:r>
    </w:p>
    <w:p w14:paraId="3BF2787B" w14:textId="77777777" w:rsidR="00157AAA" w:rsidRDefault="006C1BE5">
      <w:pPr>
        <w:rPr>
          <w:bCs/>
          <w:szCs w:val="24"/>
        </w:rPr>
      </w:pPr>
      <w:r>
        <w:rPr>
          <w:bCs/>
          <w:szCs w:val="24"/>
        </w:rPr>
        <w:t xml:space="preserve">The </w:t>
      </w:r>
      <w:proofErr w:type="gramStart"/>
      <w:r>
        <w:rPr>
          <w:bCs/>
          <w:szCs w:val="24"/>
        </w:rPr>
        <w:t>frontend</w:t>
      </w:r>
      <w:proofErr w:type="gramEnd"/>
      <w:r>
        <w:rPr>
          <w:bCs/>
          <w:szCs w:val="24"/>
        </w:rPr>
        <w:t xml:space="preserve"> services illustrate the functions and UI that the NSW users can use to perform their specific tasks in the NSW. On the left side are the forms that the trading community can use to submit LPCO applications, different types of declarations, and request for inspections </w:t>
      </w:r>
      <w:proofErr w:type="gramStart"/>
      <w:r>
        <w:rPr>
          <w:bCs/>
          <w:szCs w:val="24"/>
        </w:rPr>
        <w:t>and also</w:t>
      </w:r>
      <w:proofErr w:type="gramEnd"/>
      <w:r>
        <w:rPr>
          <w:bCs/>
          <w:szCs w:val="24"/>
        </w:rPr>
        <w:t xml:space="preserve"> track the current status of applications and documents submitted to the NSW. On the right side are the </w:t>
      </w:r>
      <w:proofErr w:type="gramStart"/>
      <w:r>
        <w:rPr>
          <w:bCs/>
          <w:szCs w:val="24"/>
        </w:rPr>
        <w:t>frontend</w:t>
      </w:r>
      <w:proofErr w:type="gramEnd"/>
      <w:r>
        <w:rPr>
          <w:bCs/>
          <w:szCs w:val="24"/>
        </w:rPr>
        <w:t xml:space="preserve"> services for government departments. These include user management services for registering users, approval forms for approving and managing the LPCO applications, forms for scheduling, reporting the outcomes of inspections, and the release of goods. Access to the services will be over the Internet and mobile access shall be provided for applicable services, for example, inspecting departments shall be able to access inspection information and report outcomes of inspections through a mobile device. Frontend services will be deployed on web servers and shall support mobile access.</w:t>
      </w:r>
    </w:p>
    <w:p w14:paraId="6004D6DB" w14:textId="50890824" w:rsidR="00157AAA" w:rsidRPr="008E2AAD" w:rsidRDefault="006C1BE5" w:rsidP="005E6A97">
      <w:pPr>
        <w:ind w:left="720" w:firstLine="720"/>
        <w:jc w:val="left"/>
        <w:rPr>
          <w:b/>
          <w:bCs/>
          <w:szCs w:val="24"/>
        </w:rPr>
      </w:pPr>
      <w:r w:rsidRPr="008E2AAD">
        <w:rPr>
          <w:b/>
          <w:bCs/>
          <w:szCs w:val="24"/>
        </w:rPr>
        <w:t xml:space="preserve">1.2.3.1.2. Portal </w:t>
      </w:r>
    </w:p>
    <w:p w14:paraId="34B37709" w14:textId="77777777" w:rsidR="00157AAA" w:rsidRDefault="006C1BE5">
      <w:pPr>
        <w:rPr>
          <w:bCs/>
          <w:szCs w:val="24"/>
        </w:rPr>
      </w:pPr>
      <w:r>
        <w:rPr>
          <w:bCs/>
          <w:szCs w:val="24"/>
        </w:rPr>
        <w:t>NSW will provide a public portal (e.g., available to persons interested in registering for NSW) and separate web portals for the four distinct user-groups:</w:t>
      </w:r>
    </w:p>
    <w:p w14:paraId="63EA6830" w14:textId="77777777" w:rsidR="00157AAA" w:rsidRDefault="006C1BE5" w:rsidP="00D530D5">
      <w:pPr>
        <w:pStyle w:val="ListParagraph"/>
        <w:numPr>
          <w:ilvl w:val="0"/>
          <w:numId w:val="140"/>
        </w:numPr>
        <w:jc w:val="left"/>
        <w:rPr>
          <w:bCs/>
          <w:szCs w:val="24"/>
        </w:rPr>
      </w:pPr>
      <w:r>
        <w:rPr>
          <w:bCs/>
          <w:szCs w:val="24"/>
        </w:rPr>
        <w:t xml:space="preserve">Traders </w:t>
      </w:r>
    </w:p>
    <w:p w14:paraId="32ABE410" w14:textId="77777777" w:rsidR="00157AAA" w:rsidRDefault="006C1BE5" w:rsidP="00D530D5">
      <w:pPr>
        <w:pStyle w:val="ListParagraph"/>
        <w:numPr>
          <w:ilvl w:val="0"/>
          <w:numId w:val="140"/>
        </w:numPr>
        <w:jc w:val="left"/>
        <w:rPr>
          <w:bCs/>
          <w:szCs w:val="24"/>
        </w:rPr>
      </w:pPr>
      <w:r>
        <w:rPr>
          <w:bCs/>
          <w:szCs w:val="24"/>
        </w:rPr>
        <w:t>Government Agency Officers CBRA’s</w:t>
      </w:r>
    </w:p>
    <w:p w14:paraId="0758FF80" w14:textId="77777777" w:rsidR="00157AAA" w:rsidRDefault="006C1BE5" w:rsidP="00D530D5">
      <w:pPr>
        <w:pStyle w:val="ListParagraph"/>
        <w:numPr>
          <w:ilvl w:val="0"/>
          <w:numId w:val="140"/>
        </w:numPr>
        <w:jc w:val="left"/>
        <w:rPr>
          <w:bCs/>
          <w:szCs w:val="24"/>
        </w:rPr>
      </w:pPr>
      <w:r>
        <w:rPr>
          <w:bCs/>
          <w:szCs w:val="24"/>
        </w:rPr>
        <w:t>Information Consumers</w:t>
      </w:r>
    </w:p>
    <w:p w14:paraId="7C4E8220" w14:textId="77777777" w:rsidR="00157AAA" w:rsidRDefault="006C1BE5" w:rsidP="00D530D5">
      <w:pPr>
        <w:pStyle w:val="ListParagraph"/>
        <w:numPr>
          <w:ilvl w:val="0"/>
          <w:numId w:val="140"/>
        </w:numPr>
        <w:jc w:val="left"/>
        <w:rPr>
          <w:bCs/>
          <w:szCs w:val="24"/>
        </w:rPr>
      </w:pPr>
      <w:r>
        <w:rPr>
          <w:bCs/>
          <w:szCs w:val="24"/>
        </w:rPr>
        <w:t>System Administrators</w:t>
      </w:r>
    </w:p>
    <w:p w14:paraId="6AE30167" w14:textId="77777777" w:rsidR="00157AAA" w:rsidRDefault="006C1BE5">
      <w:pPr>
        <w:rPr>
          <w:bCs/>
          <w:szCs w:val="24"/>
        </w:rPr>
      </w:pPr>
      <w:r>
        <w:rPr>
          <w:bCs/>
          <w:szCs w:val="24"/>
        </w:rPr>
        <w:t>Each portal will provide a separate login/welcome page with explanatory notes on the NSW services, specific online help facility for all system functions, terms and conditions of use, FAQ, helpdesk contact information together with standard login, lost username retrieval / password reset functions (including protocol for establishing the identity of the person losing those details) etc.</w:t>
      </w:r>
    </w:p>
    <w:p w14:paraId="21B9CF52" w14:textId="77777777" w:rsidR="00157AAA" w:rsidRDefault="006C1BE5">
      <w:pPr>
        <w:jc w:val="left"/>
        <w:rPr>
          <w:bCs/>
          <w:szCs w:val="24"/>
        </w:rPr>
      </w:pPr>
      <w:r>
        <w:rPr>
          <w:bCs/>
          <w:szCs w:val="24"/>
        </w:rPr>
        <w:lastRenderedPageBreak/>
        <w:t>The NSW supports the following services:</w:t>
      </w:r>
    </w:p>
    <w:p w14:paraId="70533CDA" w14:textId="236B856C" w:rsidR="00157AAA" w:rsidRDefault="006C1BE5" w:rsidP="008E2AAD">
      <w:pPr>
        <w:ind w:firstLine="720"/>
        <w:jc w:val="left"/>
        <w:rPr>
          <w:b/>
          <w:szCs w:val="24"/>
        </w:rPr>
      </w:pPr>
      <w:r w:rsidRPr="008E2AAD">
        <w:rPr>
          <w:b/>
          <w:szCs w:val="24"/>
        </w:rPr>
        <w:t>1.2.</w:t>
      </w:r>
      <w:r>
        <w:rPr>
          <w:b/>
          <w:szCs w:val="24"/>
        </w:rPr>
        <w:t>3</w:t>
      </w:r>
      <w:r w:rsidRPr="008E2AAD">
        <w:rPr>
          <w:b/>
          <w:szCs w:val="24"/>
        </w:rPr>
        <w:t>.</w:t>
      </w:r>
      <w:r>
        <w:rPr>
          <w:b/>
          <w:szCs w:val="24"/>
        </w:rPr>
        <w:t>1.3</w:t>
      </w:r>
      <w:r w:rsidRPr="008E2AAD">
        <w:rPr>
          <w:b/>
          <w:szCs w:val="24"/>
        </w:rPr>
        <w:t xml:space="preserve"> Trader Frontend Services</w:t>
      </w:r>
    </w:p>
    <w:p w14:paraId="44525CA6" w14:textId="6EEA46D0" w:rsidR="00157AAA" w:rsidRDefault="006C1BE5" w:rsidP="008E2AAD">
      <w:pPr>
        <w:ind w:left="720" w:firstLine="720"/>
        <w:jc w:val="left"/>
        <w:rPr>
          <w:b/>
          <w:szCs w:val="24"/>
        </w:rPr>
      </w:pPr>
      <w:r>
        <w:rPr>
          <w:b/>
          <w:szCs w:val="24"/>
        </w:rPr>
        <w:t>1.2.3.1.</w:t>
      </w:r>
      <w:r w:rsidR="00582313">
        <w:rPr>
          <w:b/>
          <w:szCs w:val="24"/>
        </w:rPr>
        <w:t>3</w:t>
      </w:r>
      <w:r>
        <w:rPr>
          <w:b/>
          <w:szCs w:val="24"/>
        </w:rPr>
        <w:t>.</w:t>
      </w:r>
      <w:r w:rsidR="00582313">
        <w:rPr>
          <w:b/>
          <w:szCs w:val="24"/>
        </w:rPr>
        <w:t>1.</w:t>
      </w:r>
      <w:r>
        <w:rPr>
          <w:b/>
          <w:szCs w:val="24"/>
        </w:rPr>
        <w:t xml:space="preserve"> Public</w:t>
      </w:r>
      <w:r w:rsidRPr="008E2AAD">
        <w:rPr>
          <w:b/>
          <w:szCs w:val="24"/>
        </w:rPr>
        <w:t xml:space="preserve"> Website</w:t>
      </w:r>
    </w:p>
    <w:p w14:paraId="26B9240C" w14:textId="77777777" w:rsidR="00157AAA" w:rsidRDefault="006C1BE5">
      <w:pPr>
        <w:jc w:val="left"/>
        <w:rPr>
          <w:bCs/>
          <w:szCs w:val="24"/>
        </w:rPr>
      </w:pPr>
      <w:r>
        <w:rPr>
          <w:bCs/>
          <w:szCs w:val="24"/>
        </w:rPr>
        <w:t>The public website of the NSW provides basic information and services such as:</w:t>
      </w:r>
    </w:p>
    <w:p w14:paraId="27A8AEBC" w14:textId="77777777" w:rsidR="00157AAA" w:rsidRDefault="006C1BE5" w:rsidP="00D530D5">
      <w:pPr>
        <w:pStyle w:val="ListParagraph"/>
        <w:numPr>
          <w:ilvl w:val="0"/>
          <w:numId w:val="147"/>
        </w:numPr>
        <w:jc w:val="left"/>
        <w:rPr>
          <w:bCs/>
          <w:szCs w:val="24"/>
        </w:rPr>
      </w:pPr>
      <w:r>
        <w:rPr>
          <w:bCs/>
          <w:szCs w:val="24"/>
        </w:rPr>
        <w:t xml:space="preserve">General information about the </w:t>
      </w:r>
      <w:proofErr w:type="gramStart"/>
      <w:r>
        <w:rPr>
          <w:bCs/>
          <w:szCs w:val="24"/>
        </w:rPr>
        <w:t>NSW;</w:t>
      </w:r>
      <w:proofErr w:type="gramEnd"/>
    </w:p>
    <w:p w14:paraId="0D443BFD" w14:textId="77777777" w:rsidR="00157AAA" w:rsidRDefault="006C1BE5" w:rsidP="00D530D5">
      <w:pPr>
        <w:pStyle w:val="ListParagraph"/>
        <w:numPr>
          <w:ilvl w:val="0"/>
          <w:numId w:val="37"/>
        </w:numPr>
        <w:jc w:val="left"/>
        <w:rPr>
          <w:bCs/>
          <w:szCs w:val="24"/>
        </w:rPr>
      </w:pPr>
      <w:r>
        <w:rPr>
          <w:bCs/>
          <w:szCs w:val="24"/>
        </w:rPr>
        <w:t xml:space="preserve">News </w:t>
      </w:r>
      <w:proofErr w:type="gramStart"/>
      <w:r>
        <w:rPr>
          <w:bCs/>
          <w:szCs w:val="24"/>
        </w:rPr>
        <w:t>section;</w:t>
      </w:r>
      <w:proofErr w:type="gramEnd"/>
    </w:p>
    <w:p w14:paraId="0DBE1CA6" w14:textId="77777777" w:rsidR="00157AAA" w:rsidRDefault="006C1BE5" w:rsidP="00D530D5">
      <w:pPr>
        <w:pStyle w:val="ListParagraph"/>
        <w:numPr>
          <w:ilvl w:val="0"/>
          <w:numId w:val="37"/>
        </w:numPr>
        <w:jc w:val="left"/>
        <w:rPr>
          <w:bCs/>
          <w:szCs w:val="24"/>
        </w:rPr>
      </w:pPr>
      <w:r>
        <w:rPr>
          <w:bCs/>
          <w:szCs w:val="24"/>
        </w:rPr>
        <w:t xml:space="preserve">Information about trade </w:t>
      </w:r>
      <w:proofErr w:type="gramStart"/>
      <w:r>
        <w:rPr>
          <w:bCs/>
          <w:szCs w:val="24"/>
        </w:rPr>
        <w:t>procedures;</w:t>
      </w:r>
      <w:proofErr w:type="gramEnd"/>
    </w:p>
    <w:p w14:paraId="515DC792" w14:textId="77777777" w:rsidR="00157AAA" w:rsidRDefault="006C1BE5" w:rsidP="00D530D5">
      <w:pPr>
        <w:pStyle w:val="ListParagraph"/>
        <w:numPr>
          <w:ilvl w:val="0"/>
          <w:numId w:val="37"/>
        </w:numPr>
        <w:jc w:val="left"/>
        <w:rPr>
          <w:bCs/>
          <w:szCs w:val="24"/>
        </w:rPr>
      </w:pPr>
      <w:r>
        <w:rPr>
          <w:bCs/>
          <w:szCs w:val="24"/>
        </w:rPr>
        <w:t xml:space="preserve">General statistics from the NSW BI </w:t>
      </w:r>
      <w:proofErr w:type="gramStart"/>
      <w:r>
        <w:rPr>
          <w:bCs/>
          <w:szCs w:val="24"/>
        </w:rPr>
        <w:t>component;</w:t>
      </w:r>
      <w:proofErr w:type="gramEnd"/>
    </w:p>
    <w:p w14:paraId="15BE1FE2" w14:textId="77777777" w:rsidR="00157AAA" w:rsidRDefault="006C1BE5" w:rsidP="00D530D5">
      <w:pPr>
        <w:pStyle w:val="ListParagraph"/>
        <w:numPr>
          <w:ilvl w:val="0"/>
          <w:numId w:val="37"/>
        </w:numPr>
        <w:jc w:val="left"/>
        <w:rPr>
          <w:bCs/>
          <w:szCs w:val="24"/>
        </w:rPr>
      </w:pPr>
      <w:r>
        <w:rPr>
          <w:bCs/>
          <w:szCs w:val="24"/>
        </w:rPr>
        <w:t xml:space="preserve">Login for registered </w:t>
      </w:r>
      <w:proofErr w:type="gramStart"/>
      <w:r>
        <w:rPr>
          <w:bCs/>
          <w:szCs w:val="24"/>
        </w:rPr>
        <w:t>users;</w:t>
      </w:r>
      <w:proofErr w:type="gramEnd"/>
    </w:p>
    <w:p w14:paraId="39D9CD89" w14:textId="77777777" w:rsidR="00157AAA" w:rsidRDefault="006C1BE5" w:rsidP="00D530D5">
      <w:pPr>
        <w:pStyle w:val="ListParagraph"/>
        <w:numPr>
          <w:ilvl w:val="0"/>
          <w:numId w:val="37"/>
        </w:numPr>
        <w:jc w:val="left"/>
        <w:rPr>
          <w:bCs/>
          <w:szCs w:val="24"/>
        </w:rPr>
      </w:pPr>
      <w:r>
        <w:rPr>
          <w:bCs/>
          <w:szCs w:val="24"/>
        </w:rPr>
        <w:t xml:space="preserve">Access to registration </w:t>
      </w:r>
      <w:proofErr w:type="gramStart"/>
      <w:r>
        <w:rPr>
          <w:bCs/>
          <w:szCs w:val="24"/>
        </w:rPr>
        <w:t>service;</w:t>
      </w:r>
      <w:proofErr w:type="gramEnd"/>
    </w:p>
    <w:p w14:paraId="73AECF97" w14:textId="77777777" w:rsidR="00157AAA" w:rsidRDefault="006C1BE5" w:rsidP="00D530D5">
      <w:pPr>
        <w:pStyle w:val="ListParagraph"/>
        <w:numPr>
          <w:ilvl w:val="0"/>
          <w:numId w:val="37"/>
        </w:numPr>
        <w:jc w:val="left"/>
        <w:rPr>
          <w:bCs/>
          <w:szCs w:val="24"/>
        </w:rPr>
      </w:pPr>
      <w:r>
        <w:rPr>
          <w:bCs/>
          <w:szCs w:val="24"/>
        </w:rPr>
        <w:t xml:space="preserve">Forgotten username/password </w:t>
      </w:r>
      <w:proofErr w:type="gramStart"/>
      <w:r>
        <w:rPr>
          <w:bCs/>
          <w:szCs w:val="24"/>
        </w:rPr>
        <w:t>service;</w:t>
      </w:r>
      <w:proofErr w:type="gramEnd"/>
    </w:p>
    <w:p w14:paraId="145ED75C" w14:textId="77777777" w:rsidR="00157AAA" w:rsidRDefault="006C1BE5" w:rsidP="00D530D5">
      <w:pPr>
        <w:pStyle w:val="ListParagraph"/>
        <w:numPr>
          <w:ilvl w:val="0"/>
          <w:numId w:val="37"/>
        </w:numPr>
        <w:jc w:val="left"/>
        <w:rPr>
          <w:bCs/>
          <w:szCs w:val="24"/>
        </w:rPr>
      </w:pPr>
      <w:r>
        <w:rPr>
          <w:bCs/>
          <w:szCs w:val="24"/>
        </w:rPr>
        <w:t>Submitting enquiries to the NSW Helpdesk</w:t>
      </w:r>
    </w:p>
    <w:p w14:paraId="11AB6187" w14:textId="34B9846E" w:rsidR="00DC1D8D" w:rsidRDefault="006C1BE5" w:rsidP="00D530D5">
      <w:pPr>
        <w:pStyle w:val="ListParagraph"/>
        <w:numPr>
          <w:ilvl w:val="0"/>
          <w:numId w:val="37"/>
        </w:numPr>
        <w:jc w:val="left"/>
        <w:rPr>
          <w:bCs/>
          <w:szCs w:val="24"/>
        </w:rPr>
      </w:pPr>
      <w:r>
        <w:rPr>
          <w:bCs/>
          <w:szCs w:val="24"/>
        </w:rPr>
        <w:t>Access End User Agreements.</w:t>
      </w:r>
    </w:p>
    <w:p w14:paraId="3E745319" w14:textId="1F2065F2" w:rsidR="00DC1D8D" w:rsidRPr="005E6A97" w:rsidRDefault="00DC1D8D" w:rsidP="00DC1D8D">
      <w:pPr>
        <w:rPr>
          <w:b/>
          <w:bCs/>
        </w:rPr>
      </w:pPr>
      <w:r w:rsidRPr="005E6A97">
        <w:rPr>
          <w:b/>
          <w:bCs/>
        </w:rPr>
        <w:t>Web LPCO Application for Traders Service</w:t>
      </w:r>
    </w:p>
    <w:p w14:paraId="644B5B7A" w14:textId="27A9F6F8" w:rsidR="00DC1D8D" w:rsidRDefault="00DC1D8D" w:rsidP="00DC1D8D">
      <w:r>
        <w:t>The LPCO application component enables the trader to browse for the commodity to be traded, country of origin/destination, and to determine the regulatory requirements for the specified scenario. The trader can see all previous LPCO in his account/folder. In case a new LPCO is required, the trader can apply for this using a form with the required data elements. Any previous and reusable data elements available in the NSW will be pre-populated in the form.</w:t>
      </w:r>
    </w:p>
    <w:p w14:paraId="3A015294" w14:textId="77777777" w:rsidR="00DC1D8D" w:rsidRDefault="00DC1D8D" w:rsidP="00DC1D8D">
      <w:pPr>
        <w:pStyle w:val="ListParagraph"/>
        <w:spacing w:after="0"/>
        <w:ind w:left="2232"/>
      </w:pPr>
    </w:p>
    <w:p w14:paraId="5FC9C9E3" w14:textId="77777777" w:rsidR="00DC1D8D" w:rsidRDefault="00DC1D8D" w:rsidP="00DC1D8D">
      <w:pPr>
        <w:spacing w:after="0"/>
        <w:ind w:firstLine="720"/>
        <w:rPr>
          <w:lang w:val="en-GB"/>
        </w:rPr>
      </w:pPr>
      <w:r>
        <w:rPr>
          <w:lang w:val="en-GB"/>
        </w:rPr>
        <w:t xml:space="preserve">Selection of the LPCO type shall be possible by: </w:t>
      </w:r>
    </w:p>
    <w:p w14:paraId="5B52E64D" w14:textId="52154200" w:rsidR="00DC1D8D" w:rsidRDefault="00DC1D8D" w:rsidP="00DC1D8D">
      <w:pPr>
        <w:ind w:left="720" w:firstLine="720"/>
        <w:rPr>
          <w:lang w:val="en-GB"/>
        </w:rPr>
      </w:pPr>
      <w:r>
        <w:rPr>
          <w:lang w:val="en-GB"/>
        </w:rPr>
        <w:t xml:space="preserve">(1) </w:t>
      </w:r>
      <w:r w:rsidR="00A85C0C">
        <w:rPr>
          <w:lang w:val="en-GB"/>
        </w:rPr>
        <w:t>Selecting</w:t>
      </w:r>
      <w:r>
        <w:rPr>
          <w:lang w:val="en-GB"/>
        </w:rPr>
        <w:t xml:space="preserve"> the LPCO type by name and/or code, </w:t>
      </w:r>
    </w:p>
    <w:p w14:paraId="1659F3D6" w14:textId="1491CAED" w:rsidR="00DC1D8D" w:rsidRDefault="00DC1D8D" w:rsidP="00DC1D8D">
      <w:pPr>
        <w:ind w:left="720" w:firstLine="720"/>
        <w:rPr>
          <w:lang w:val="en-GB"/>
        </w:rPr>
      </w:pPr>
      <w:r>
        <w:rPr>
          <w:lang w:val="en-GB"/>
        </w:rPr>
        <w:t xml:space="preserve">(2) </w:t>
      </w:r>
      <w:r w:rsidR="00A85C0C">
        <w:rPr>
          <w:lang w:val="en-GB"/>
        </w:rPr>
        <w:t>Starting</w:t>
      </w:r>
      <w:r>
        <w:rPr>
          <w:lang w:val="en-GB"/>
        </w:rPr>
        <w:t xml:space="preserve"> with a commodity code and finding applicable LPCOs, </w:t>
      </w:r>
    </w:p>
    <w:p w14:paraId="13EC26BF" w14:textId="3822A02B" w:rsidR="00DC1D8D" w:rsidRDefault="00DC1D8D" w:rsidP="00DC1D8D">
      <w:pPr>
        <w:ind w:left="720" w:firstLine="720"/>
        <w:rPr>
          <w:lang w:val="en-GB"/>
        </w:rPr>
      </w:pPr>
      <w:r>
        <w:rPr>
          <w:lang w:val="en-GB"/>
        </w:rPr>
        <w:t xml:space="preserve">(3) </w:t>
      </w:r>
      <w:r w:rsidR="00A85C0C">
        <w:rPr>
          <w:lang w:val="en-GB"/>
        </w:rPr>
        <w:t>Starting</w:t>
      </w:r>
      <w:r>
        <w:rPr>
          <w:lang w:val="en-GB"/>
        </w:rPr>
        <w:t xml:space="preserve"> with a CBRA name and finding applicable LPCOs.</w:t>
      </w:r>
    </w:p>
    <w:p w14:paraId="6597243B" w14:textId="485C463D" w:rsidR="00DC1D8D" w:rsidRDefault="00DC1D8D" w:rsidP="00DC1D8D">
      <w:pPr>
        <w:ind w:left="720"/>
        <w:rPr>
          <w:lang w:val="en-GB"/>
        </w:rPr>
      </w:pPr>
      <w:r>
        <w:rPr>
          <w:lang w:val="en-GB"/>
        </w:rPr>
        <w:t>The NSW will use to the maximum extent possible data elements already held by the system from the Trader’s or Transaction Folder for form completion, pre-populating data fields where such data already exists</w:t>
      </w:r>
      <w:r w:rsidR="00484118">
        <w:rPr>
          <w:lang w:val="en-GB"/>
        </w:rPr>
        <w:t>.</w:t>
      </w:r>
    </w:p>
    <w:p w14:paraId="7255EA22" w14:textId="77777777" w:rsidR="00DC1D8D" w:rsidRDefault="00DC1D8D" w:rsidP="00DC1D8D">
      <w:pPr>
        <w:ind w:left="720"/>
        <w:rPr>
          <w:lang w:val="en-GB"/>
        </w:rPr>
      </w:pPr>
      <w:r>
        <w:rPr>
          <w:lang w:val="en-GB"/>
        </w:rPr>
        <w:t>The system will use Commodity Code as the primary product identifier for LPCO processing and must be captured for all LPCO applications for all CBRAs.</w:t>
      </w:r>
    </w:p>
    <w:p w14:paraId="65042079" w14:textId="236762B2" w:rsidR="00DC1D8D" w:rsidRDefault="00DC1D8D" w:rsidP="00DC1D8D">
      <w:pPr>
        <w:ind w:left="720" w:firstLine="720"/>
        <w:rPr>
          <w:i/>
        </w:rPr>
      </w:pPr>
      <w:r>
        <w:rPr>
          <w:b/>
          <w:bCs/>
          <w:i/>
        </w:rPr>
        <w:t>Steps for Web LPCOs Application for Traders</w:t>
      </w:r>
    </w:p>
    <w:p w14:paraId="6A5EA130" w14:textId="77777777" w:rsidR="00DC1D8D" w:rsidRDefault="00DC1D8D" w:rsidP="00D530D5">
      <w:pPr>
        <w:pStyle w:val="ListParagraph"/>
        <w:numPr>
          <w:ilvl w:val="0"/>
          <w:numId w:val="68"/>
        </w:numPr>
      </w:pPr>
      <w:r>
        <w:t xml:space="preserve">User logs on with </w:t>
      </w:r>
      <w:proofErr w:type="gramStart"/>
      <w:r>
        <w:t>ID;</w:t>
      </w:r>
      <w:proofErr w:type="gramEnd"/>
    </w:p>
    <w:p w14:paraId="4B5AA978" w14:textId="77777777" w:rsidR="00DC1D8D" w:rsidRDefault="00DC1D8D" w:rsidP="00D530D5">
      <w:pPr>
        <w:pStyle w:val="ListParagraph"/>
        <w:numPr>
          <w:ilvl w:val="0"/>
          <w:numId w:val="68"/>
        </w:numPr>
      </w:pPr>
      <w:r>
        <w:t xml:space="preserve">NSW checks ID </w:t>
      </w:r>
      <w:proofErr w:type="gramStart"/>
      <w:r>
        <w:t>permissions;</w:t>
      </w:r>
      <w:proofErr w:type="gramEnd"/>
    </w:p>
    <w:p w14:paraId="7024442C" w14:textId="77777777" w:rsidR="00DC1D8D" w:rsidRDefault="00DC1D8D" w:rsidP="00D530D5">
      <w:pPr>
        <w:pStyle w:val="ListParagraph"/>
        <w:numPr>
          <w:ilvl w:val="0"/>
          <w:numId w:val="68"/>
        </w:numPr>
      </w:pPr>
      <w:r>
        <w:t xml:space="preserve">If approved, user can lodge an LPCO application; system automatically pulls relevant data already know and requests user to submit data still needed; alternatively, user may copy an application made before and update details where </w:t>
      </w:r>
      <w:proofErr w:type="gramStart"/>
      <w:r>
        <w:t>needed;</w:t>
      </w:r>
      <w:proofErr w:type="gramEnd"/>
    </w:p>
    <w:p w14:paraId="3A58352F" w14:textId="77777777" w:rsidR="00DC1D8D" w:rsidRDefault="00DC1D8D" w:rsidP="00D530D5">
      <w:pPr>
        <w:pStyle w:val="ListParagraph"/>
        <w:numPr>
          <w:ilvl w:val="0"/>
          <w:numId w:val="68"/>
        </w:numPr>
      </w:pPr>
      <w:r>
        <w:t xml:space="preserve">LPCO application is assessed by </w:t>
      </w:r>
      <w:proofErr w:type="gramStart"/>
      <w:r>
        <w:t>CBRA;</w:t>
      </w:r>
      <w:proofErr w:type="gramEnd"/>
    </w:p>
    <w:p w14:paraId="64FD26CF" w14:textId="77777777" w:rsidR="00DC1D8D" w:rsidRDefault="00DC1D8D" w:rsidP="00D530D5">
      <w:pPr>
        <w:pStyle w:val="ListParagraph"/>
        <w:numPr>
          <w:ilvl w:val="0"/>
          <w:numId w:val="68"/>
        </w:numPr>
      </w:pPr>
      <w:r>
        <w:t xml:space="preserve">If conditions are met (e.g., payment of fees) and the application has been approved, LPCO is issued to the user in the requested format; an electronic copy is retained in the NSW; where cooperation agreements </w:t>
      </w:r>
      <w:r>
        <w:lastRenderedPageBreak/>
        <w:t>are in place, LPCO data may be shared automatically with trade partners.</w:t>
      </w:r>
    </w:p>
    <w:p w14:paraId="5EC6D220" w14:textId="77777777" w:rsidR="00DC1D8D" w:rsidRDefault="00DC1D8D" w:rsidP="00DC1D8D">
      <w:pPr>
        <w:ind w:left="1800"/>
      </w:pPr>
      <w:r>
        <w:t>Alternatives for LPCOs issued by foreign CBRAs (e.g., origin documents, health certificates, certificate of airworthiness, CITES permit)</w:t>
      </w:r>
    </w:p>
    <w:p w14:paraId="0C780A4B" w14:textId="77777777" w:rsidR="00DC1D8D" w:rsidRDefault="00DC1D8D" w:rsidP="00D530D5">
      <w:pPr>
        <w:pStyle w:val="ListParagraph"/>
        <w:numPr>
          <w:ilvl w:val="0"/>
          <w:numId w:val="69"/>
        </w:numPr>
      </w:pPr>
      <w:r>
        <w:t>User uploads a scanned copy of the LPCO into the NSW; or</w:t>
      </w:r>
    </w:p>
    <w:p w14:paraId="742F8B9A" w14:textId="77777777" w:rsidR="00DC1D8D" w:rsidRDefault="00DC1D8D" w:rsidP="00D530D5">
      <w:pPr>
        <w:pStyle w:val="ListParagraph"/>
        <w:numPr>
          <w:ilvl w:val="0"/>
          <w:numId w:val="69"/>
        </w:numPr>
      </w:pPr>
      <w:r>
        <w:t>Foreign CBRA uploads/links the LPCO into the NSW (e.g., within the framework of a cooperation agreement or shared electronic systems through the SEED+ solution.</w:t>
      </w:r>
    </w:p>
    <w:p w14:paraId="5F0B812A" w14:textId="77777777" w:rsidR="00DC1D8D" w:rsidRDefault="00DC1D8D" w:rsidP="00DC1D8D">
      <w:pPr>
        <w:ind w:left="1800"/>
        <w:rPr>
          <w:lang w:val="en-GB"/>
        </w:rPr>
      </w:pPr>
      <w:r>
        <w:rPr>
          <w:lang w:val="en-GB"/>
        </w:rPr>
        <w:t xml:space="preserve">After issue of the </w:t>
      </w:r>
      <w:r>
        <w:t>LPCO</w:t>
      </w:r>
      <w:r>
        <w:rPr>
          <w:lang w:val="en-GB"/>
        </w:rPr>
        <w:t xml:space="preserve">, a ‘printer friendly’ copy of the issued </w:t>
      </w:r>
      <w:r>
        <w:t xml:space="preserve">LPCO </w:t>
      </w:r>
      <w:r>
        <w:rPr>
          <w:lang w:val="en-GB"/>
        </w:rPr>
        <w:t>may be generated in pdf format.</w:t>
      </w:r>
    </w:p>
    <w:p w14:paraId="5DB2FF89" w14:textId="77777777" w:rsidR="00DC1D8D" w:rsidRPr="005E6A97" w:rsidRDefault="00DC1D8D" w:rsidP="005E6A97">
      <w:pPr>
        <w:jc w:val="left"/>
        <w:rPr>
          <w:bCs/>
          <w:szCs w:val="24"/>
          <w:lang w:val="en-GB"/>
        </w:rPr>
      </w:pPr>
    </w:p>
    <w:p w14:paraId="4D2632B6" w14:textId="0AD33759" w:rsidR="00157AAA" w:rsidRDefault="006C1BE5">
      <w:pPr>
        <w:ind w:firstLine="720"/>
        <w:jc w:val="left"/>
        <w:rPr>
          <w:b/>
          <w:szCs w:val="24"/>
        </w:rPr>
      </w:pPr>
      <w:r>
        <w:rPr>
          <w:b/>
          <w:szCs w:val="24"/>
        </w:rPr>
        <w:t>1.2.3.</w:t>
      </w:r>
      <w:r w:rsidR="00582313">
        <w:rPr>
          <w:b/>
          <w:szCs w:val="24"/>
        </w:rPr>
        <w:t>1.4</w:t>
      </w:r>
      <w:r>
        <w:rPr>
          <w:b/>
          <w:szCs w:val="24"/>
        </w:rPr>
        <w:t xml:space="preserve">. </w:t>
      </w:r>
      <w:r w:rsidRPr="008E2AAD">
        <w:rPr>
          <w:b/>
          <w:szCs w:val="24"/>
        </w:rPr>
        <w:t>Declaration Submission Gateway</w:t>
      </w:r>
    </w:p>
    <w:p w14:paraId="4D744AB4" w14:textId="50420EAB" w:rsidR="00157AAA" w:rsidRDefault="006C1BE5">
      <w:pPr>
        <w:rPr>
          <w:bCs/>
          <w:szCs w:val="24"/>
        </w:rPr>
      </w:pPr>
      <w:r>
        <w:rPr>
          <w:bCs/>
          <w:szCs w:val="24"/>
        </w:rPr>
        <w:t>Declaration Submission Gateway fills the capabilities of connectivity service between the consumers (Traders or Economic Operators) and providers (CD</w:t>
      </w:r>
      <w:r w:rsidR="00A85C0C">
        <w:rPr>
          <w:bCs/>
          <w:szCs w:val="24"/>
        </w:rPr>
        <w:t>E</w:t>
      </w:r>
      <w:r>
        <w:rPr>
          <w:bCs/>
          <w:szCs w:val="24"/>
        </w:rPr>
        <w:t xml:space="preserve">PS, NCTS and NSW). This provides a level of indirection between the consumer of a service and its provider. The provider interface is only exposed to the Gateway and the gateway is exposed to the consumer, meaning it </w:t>
      </w:r>
      <w:proofErr w:type="gramStart"/>
      <w:r>
        <w:rPr>
          <w:bCs/>
          <w:szCs w:val="24"/>
        </w:rPr>
        <w:t>implement</w:t>
      </w:r>
      <w:proofErr w:type="gramEnd"/>
      <w:r>
        <w:rPr>
          <w:bCs/>
          <w:szCs w:val="24"/>
        </w:rPr>
        <w:t xml:space="preserve"> the responsibility to resolve service provider location and to achieve an optimal routing request across the network.  </w:t>
      </w:r>
    </w:p>
    <w:p w14:paraId="0162CC63" w14:textId="5243799E" w:rsidR="00157AAA" w:rsidRDefault="006C1BE5">
      <w:pPr>
        <w:rPr>
          <w:bCs/>
          <w:szCs w:val="24"/>
        </w:rPr>
      </w:pPr>
      <w:r>
        <w:rPr>
          <w:bCs/>
          <w:szCs w:val="24"/>
        </w:rPr>
        <w:t xml:space="preserve">The service holds the bridge between the Economic Operators and New Single Window and Customs Declaration Processing Systems (CDEPS and NCTS). For the Economic Operators, the Gateway is needed to communicate for lodging a declaration (Import, Export, Transit, etc.) and for submitting a LPCO Application for issuing a certificate. From there, the Gateway, knows to which system it needs to forward the messages. </w:t>
      </w:r>
      <w:r w:rsidR="00C2029C">
        <w:rPr>
          <w:bCs/>
          <w:szCs w:val="24"/>
        </w:rPr>
        <w:t xml:space="preserve">In </w:t>
      </w:r>
      <w:proofErr w:type="gramStart"/>
      <w:r w:rsidR="00C2029C">
        <w:rPr>
          <w:bCs/>
          <w:szCs w:val="24"/>
        </w:rPr>
        <w:t>case,</w:t>
      </w:r>
      <w:proofErr w:type="gramEnd"/>
      <w:r w:rsidR="00C2029C">
        <w:rPr>
          <w:bCs/>
          <w:szCs w:val="24"/>
        </w:rPr>
        <w:t xml:space="preserve"> all declarations are submitted via NSW, </w:t>
      </w:r>
      <w:r w:rsidR="00505869">
        <w:rPr>
          <w:bCs/>
          <w:szCs w:val="24"/>
        </w:rPr>
        <w:t xml:space="preserve">after the declaration is in status accepted, </w:t>
      </w:r>
      <w:r w:rsidR="00E90C6F">
        <w:rPr>
          <w:bCs/>
          <w:szCs w:val="24"/>
        </w:rPr>
        <w:t>then</w:t>
      </w:r>
      <w:r w:rsidR="00505869">
        <w:rPr>
          <w:bCs/>
          <w:szCs w:val="24"/>
        </w:rPr>
        <w:t xml:space="preserve"> the system must </w:t>
      </w:r>
      <w:r w:rsidR="009105E7">
        <w:rPr>
          <w:bCs/>
          <w:szCs w:val="24"/>
        </w:rPr>
        <w:t xml:space="preserve">transfer the declaration data to the Data Base of NSW. </w:t>
      </w:r>
      <w:r w:rsidR="00352B5B" w:rsidRPr="00116FBD">
        <w:rPr>
          <w:bCs/>
          <w:szCs w:val="24"/>
        </w:rPr>
        <w:t>The final decision, whether</w:t>
      </w:r>
      <w:r w:rsidR="00B92865" w:rsidRPr="00116FBD">
        <w:rPr>
          <w:bCs/>
          <w:szCs w:val="24"/>
        </w:rPr>
        <w:t xml:space="preserve"> all declarations will be submitted via NSW, will be made during the implementation phase. If that is the case, the modality of their submission will also be defined in the implementation phase. Also, </w:t>
      </w:r>
      <w:r w:rsidR="00B92865" w:rsidRPr="00116FBD">
        <w:rPr>
          <w:szCs w:val="24"/>
        </w:rPr>
        <w:t xml:space="preserve">the systems of the other EO should be </w:t>
      </w:r>
      <w:proofErr w:type="gramStart"/>
      <w:r w:rsidR="00B92865" w:rsidRPr="00116FBD">
        <w:rPr>
          <w:szCs w:val="24"/>
        </w:rPr>
        <w:t>taken into account</w:t>
      </w:r>
      <w:proofErr w:type="gramEnd"/>
      <w:r w:rsidR="00B92865" w:rsidRPr="00116FBD">
        <w:rPr>
          <w:szCs w:val="24"/>
        </w:rPr>
        <w:t xml:space="preserve"> in terms of safety and security</w:t>
      </w:r>
      <w:r w:rsidR="00B92865" w:rsidRPr="00116FBD">
        <w:rPr>
          <w:bCs/>
          <w:szCs w:val="24"/>
        </w:rPr>
        <w:t>.</w:t>
      </w:r>
      <w:r w:rsidR="00B92865" w:rsidRPr="00B92865">
        <w:rPr>
          <w:rFonts w:ascii="Cambria" w:hAnsi="Cambria"/>
          <w:bCs/>
          <w:szCs w:val="24"/>
        </w:rPr>
        <w:t xml:space="preserve"> </w:t>
      </w:r>
      <w:r w:rsidR="001578B8">
        <w:rPr>
          <w:bCs/>
          <w:szCs w:val="24"/>
        </w:rPr>
        <w:t>The final decision will be conditioned that the supplier will provide a detailed design</w:t>
      </w:r>
      <w:r w:rsidR="00A53663">
        <w:rPr>
          <w:bCs/>
          <w:szCs w:val="24"/>
        </w:rPr>
        <w:t xml:space="preserve"> and </w:t>
      </w:r>
      <w:r w:rsidR="00B04031">
        <w:rPr>
          <w:bCs/>
          <w:szCs w:val="24"/>
        </w:rPr>
        <w:t xml:space="preserve">how this </w:t>
      </w:r>
      <w:r w:rsidR="00E90C6F">
        <w:rPr>
          <w:bCs/>
          <w:szCs w:val="24"/>
        </w:rPr>
        <w:t>functionality</w:t>
      </w:r>
      <w:r w:rsidR="00B04031">
        <w:rPr>
          <w:bCs/>
          <w:szCs w:val="24"/>
        </w:rPr>
        <w:t xml:space="preserve"> will </w:t>
      </w:r>
      <w:r w:rsidR="00E90C6F">
        <w:rPr>
          <w:bCs/>
          <w:szCs w:val="24"/>
        </w:rPr>
        <w:t>be handled during the</w:t>
      </w:r>
      <w:r w:rsidR="00B04031">
        <w:rPr>
          <w:bCs/>
          <w:szCs w:val="24"/>
        </w:rPr>
        <w:t xml:space="preserve"> user</w:t>
      </w:r>
      <w:r w:rsidR="00E90C6F">
        <w:rPr>
          <w:bCs/>
          <w:szCs w:val="24"/>
        </w:rPr>
        <w:t xml:space="preserve"> acceptance testing (UAT).</w:t>
      </w:r>
      <w:r w:rsidR="00B04031">
        <w:rPr>
          <w:bCs/>
          <w:szCs w:val="24"/>
        </w:rPr>
        <w:t xml:space="preserve"> </w:t>
      </w:r>
    </w:p>
    <w:p w14:paraId="4647A225" w14:textId="77777777" w:rsidR="00157AAA" w:rsidRDefault="006C1BE5">
      <w:pPr>
        <w:rPr>
          <w:bCs/>
          <w:szCs w:val="24"/>
        </w:rPr>
      </w:pPr>
      <w:r>
        <w:rPr>
          <w:bCs/>
          <w:szCs w:val="24"/>
        </w:rPr>
        <w:t xml:space="preserve">The Gateway Connectivity Services provide the capability to simplify the task of the invoking services through location transparency of the requested services. This will make the use of services possible wherever they are needed. </w:t>
      </w:r>
    </w:p>
    <w:p w14:paraId="4524376A" w14:textId="77777777" w:rsidR="00157AAA" w:rsidRDefault="006C1BE5">
      <w:pPr>
        <w:rPr>
          <w:bCs/>
          <w:szCs w:val="24"/>
        </w:rPr>
      </w:pPr>
      <w:r>
        <w:rPr>
          <w:bCs/>
          <w:szCs w:val="24"/>
        </w:rPr>
        <w:t>Gateway Connectivity Services support interconnectivity and host mediation logic that can perform message validation, transformation, intelligent routing, augmented functionality (such as logging or auditing) to enable the managed interconnectivity of the business services. Services are exposed through so-called “endpoints” that define the way service consumers can interact with them. These endpoints include the definition of the physical location of the service interface, the communication protocol to be used and the applicable policies (e.g. security).</w:t>
      </w:r>
    </w:p>
    <w:p w14:paraId="196EB7E0" w14:textId="77777777" w:rsidR="00157AAA" w:rsidRDefault="006C1BE5">
      <w:pPr>
        <w:rPr>
          <w:bCs/>
          <w:szCs w:val="24"/>
        </w:rPr>
      </w:pPr>
      <w:r>
        <w:rPr>
          <w:bCs/>
          <w:szCs w:val="24"/>
        </w:rPr>
        <w:lastRenderedPageBreak/>
        <w:t>Moreover, the Gateway Service Connectivity Services are business-domain neutral and therefore there is a clear distinction between:</w:t>
      </w:r>
    </w:p>
    <w:p w14:paraId="4790C219" w14:textId="39910454" w:rsidR="00157AAA" w:rsidRDefault="006C1BE5" w:rsidP="00D530D5">
      <w:pPr>
        <w:pStyle w:val="ListParagraph"/>
        <w:numPr>
          <w:ilvl w:val="0"/>
          <w:numId w:val="140"/>
        </w:numPr>
        <w:rPr>
          <w:bCs/>
          <w:szCs w:val="24"/>
        </w:rPr>
      </w:pPr>
      <w:proofErr w:type="gramStart"/>
      <w:r>
        <w:rPr>
          <w:bCs/>
          <w:szCs w:val="24"/>
        </w:rPr>
        <w:t>The Business</w:t>
      </w:r>
      <w:proofErr w:type="gramEnd"/>
      <w:r>
        <w:rPr>
          <w:bCs/>
          <w:szCs w:val="24"/>
        </w:rPr>
        <w:t xml:space="preserve"> Logic (NCTS, CDEPS, NSW), the back-end part of a service interaction relating to the service message contents. This is business and depends on the functionality exposed by the New Single Window, CDEPS, and NCTS (as providers). </w:t>
      </w:r>
    </w:p>
    <w:p w14:paraId="17731BFD" w14:textId="77777777" w:rsidR="00157AAA" w:rsidRDefault="006C1BE5" w:rsidP="00D530D5">
      <w:pPr>
        <w:pStyle w:val="ListParagraph"/>
        <w:numPr>
          <w:ilvl w:val="0"/>
          <w:numId w:val="140"/>
        </w:numPr>
        <w:rPr>
          <w:bCs/>
          <w:szCs w:val="24"/>
        </w:rPr>
      </w:pPr>
      <w:r>
        <w:rPr>
          <w:bCs/>
          <w:szCs w:val="24"/>
        </w:rPr>
        <w:t xml:space="preserve">The Service Message Processing Logic, the part of a service interaction and its surrounding environment that executes a variety of service message processing tasks, such as transformation, validation, </w:t>
      </w:r>
      <w:proofErr w:type="gramStart"/>
      <w:r>
        <w:rPr>
          <w:bCs/>
          <w:szCs w:val="24"/>
        </w:rPr>
        <w:t>auditing</w:t>
      </w:r>
      <w:proofErr w:type="gramEnd"/>
      <w:r>
        <w:rPr>
          <w:bCs/>
          <w:szCs w:val="24"/>
        </w:rPr>
        <w:t xml:space="preserve"> and logging, which are agnostic to specific business logic and relating to the effective application of technical exchange protocols.</w:t>
      </w:r>
    </w:p>
    <w:p w14:paraId="360589C2" w14:textId="77777777" w:rsidR="00157AAA" w:rsidRDefault="006C1BE5">
      <w:pPr>
        <w:rPr>
          <w:bCs/>
          <w:szCs w:val="24"/>
        </w:rPr>
      </w:pPr>
      <w:r>
        <w:rPr>
          <w:bCs/>
          <w:szCs w:val="24"/>
        </w:rPr>
        <w:t xml:space="preserve">The Gateway should have no message lost, meaning the message is kept until acknowledgement of reception is received from the partner service (consumer/provider). </w:t>
      </w:r>
    </w:p>
    <w:p w14:paraId="5612042A" w14:textId="32F9AE95" w:rsidR="00157AAA" w:rsidRDefault="006C1BE5" w:rsidP="008E2AAD">
      <w:pPr>
        <w:jc w:val="left"/>
        <w:rPr>
          <w:bCs/>
          <w:szCs w:val="24"/>
        </w:rPr>
      </w:pPr>
      <w:r>
        <w:rPr>
          <w:bCs/>
          <w:szCs w:val="24"/>
        </w:rPr>
        <w:t>The NSW automate the following process</w:t>
      </w:r>
      <w:r w:rsidR="0044028F">
        <w:rPr>
          <w:bCs/>
          <w:szCs w:val="24"/>
        </w:rPr>
        <w:t>es</w:t>
      </w:r>
      <w:r>
        <w:rPr>
          <w:bCs/>
          <w:szCs w:val="24"/>
        </w:rPr>
        <w:t>:</w:t>
      </w:r>
    </w:p>
    <w:p w14:paraId="1A9CBC34" w14:textId="47FB8BF5" w:rsidR="00A85C0C" w:rsidRPr="00FD21DF" w:rsidRDefault="00A85C0C" w:rsidP="00D530D5">
      <w:pPr>
        <w:pStyle w:val="ListParagraph"/>
        <w:numPr>
          <w:ilvl w:val="0"/>
          <w:numId w:val="167"/>
        </w:numPr>
        <w:jc w:val="left"/>
        <w:rPr>
          <w:bCs/>
          <w:szCs w:val="24"/>
        </w:rPr>
      </w:pPr>
      <w:r w:rsidRPr="003E27B9">
        <w:rPr>
          <w:bCs/>
          <w:szCs w:val="24"/>
        </w:rPr>
        <w:t>P</w:t>
      </w:r>
      <w:r w:rsidRPr="00FD21DF">
        <w:rPr>
          <w:bCs/>
          <w:szCs w:val="24"/>
        </w:rPr>
        <w:t xml:space="preserve">ublish the Applicable Procedures, Documents, </w:t>
      </w:r>
      <w:proofErr w:type="gramStart"/>
      <w:r w:rsidRPr="00FD21DF">
        <w:rPr>
          <w:bCs/>
          <w:szCs w:val="24"/>
        </w:rPr>
        <w:t>Fees</w:t>
      </w:r>
      <w:proofErr w:type="gramEnd"/>
      <w:r w:rsidRPr="00FD21DF">
        <w:rPr>
          <w:bCs/>
          <w:szCs w:val="24"/>
        </w:rPr>
        <w:t xml:space="preserve"> and Charges.</w:t>
      </w:r>
    </w:p>
    <w:p w14:paraId="1835176A" w14:textId="753E09ED" w:rsidR="00A85C0C" w:rsidRPr="003E27B9" w:rsidRDefault="00A85C0C" w:rsidP="00D530D5">
      <w:pPr>
        <w:pStyle w:val="ListParagraph"/>
        <w:numPr>
          <w:ilvl w:val="0"/>
          <w:numId w:val="167"/>
        </w:numPr>
        <w:jc w:val="left"/>
        <w:rPr>
          <w:bCs/>
          <w:szCs w:val="24"/>
        </w:rPr>
      </w:pPr>
      <w:r w:rsidRPr="005E6A97">
        <w:rPr>
          <w:bCs/>
          <w:szCs w:val="24"/>
        </w:rPr>
        <w:t xml:space="preserve">Manage EO access to NSW </w:t>
      </w:r>
      <w:proofErr w:type="gramStart"/>
      <w:r w:rsidRPr="005E6A97">
        <w:rPr>
          <w:bCs/>
          <w:szCs w:val="24"/>
        </w:rPr>
        <w:t>services</w:t>
      </w:r>
      <w:proofErr w:type="gramEnd"/>
    </w:p>
    <w:p w14:paraId="7726B1BE" w14:textId="7ECAC66F" w:rsidR="00A85C0C" w:rsidRDefault="00A85C0C" w:rsidP="008E2AAD">
      <w:pPr>
        <w:jc w:val="left"/>
        <w:rPr>
          <w:bCs/>
          <w:szCs w:val="24"/>
        </w:rPr>
      </w:pPr>
    </w:p>
    <w:p w14:paraId="0C369A00" w14:textId="455F1DC4" w:rsidR="00157AAA" w:rsidRDefault="00582313">
      <w:pPr>
        <w:rPr>
          <w:b/>
          <w:i/>
        </w:rPr>
      </w:pPr>
      <w:r>
        <w:rPr>
          <w:b/>
          <w:szCs w:val="24"/>
        </w:rPr>
        <w:t xml:space="preserve">1.2.3.1.5. </w:t>
      </w:r>
      <w:r w:rsidR="006C1BE5">
        <w:rPr>
          <w:b/>
          <w:i/>
        </w:rPr>
        <w:t xml:space="preserve">Publish the Applicable Procedures, Documents, </w:t>
      </w:r>
      <w:proofErr w:type="gramStart"/>
      <w:r w:rsidR="006C1BE5">
        <w:rPr>
          <w:b/>
          <w:i/>
        </w:rPr>
        <w:t>Fees</w:t>
      </w:r>
      <w:proofErr w:type="gramEnd"/>
      <w:r w:rsidR="006C1BE5">
        <w:rPr>
          <w:b/>
          <w:i/>
        </w:rPr>
        <w:t xml:space="preserve"> and Charges</w:t>
      </w:r>
    </w:p>
    <w:p w14:paraId="25BEA434" w14:textId="77777777" w:rsidR="00157AAA" w:rsidRDefault="006C1BE5">
      <w:pPr>
        <w:rPr>
          <w:b/>
          <w:i/>
        </w:rPr>
      </w:pPr>
      <w:r>
        <w:rPr>
          <w:b/>
          <w:i/>
          <w:noProof/>
        </w:rPr>
        <w:drawing>
          <wp:inline distT="0" distB="0" distL="0" distR="0" wp14:anchorId="56F4D7AD" wp14:editId="0A02DDDE">
            <wp:extent cx="5486400" cy="20948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76466" name=""/>
                    <pic:cNvPicPr>
                      <a:picLocks noChangeAspect="1"/>
                    </pic:cNvPicPr>
                  </pic:nvPicPr>
                  <pic:blipFill>
                    <a:blip r:embed="rId71"/>
                    <a:stretch/>
                  </pic:blipFill>
                  <pic:spPr bwMode="auto">
                    <a:xfrm>
                      <a:off x="0" y="0"/>
                      <a:ext cx="5486400" cy="2094865"/>
                    </a:xfrm>
                    <a:prstGeom prst="rect">
                      <a:avLst/>
                    </a:prstGeom>
                  </pic:spPr>
                </pic:pic>
              </a:graphicData>
            </a:graphic>
          </wp:inline>
        </w:drawing>
      </w:r>
    </w:p>
    <w:p w14:paraId="1DAE2D31" w14:textId="6F1B4EF9" w:rsidR="00157AAA" w:rsidRDefault="00E3729B">
      <w:r>
        <w:rPr>
          <w:noProof/>
        </w:rPr>
        <mc:AlternateContent>
          <mc:Choice Requires="wps">
            <w:drawing>
              <wp:anchor distT="0" distB="0" distL="114300" distR="114300" simplePos="0" relativeHeight="251658245" behindDoc="0" locked="0" layoutInCell="1" allowOverlap="1" wp14:anchorId="3E088386" wp14:editId="2D569EEA">
                <wp:simplePos x="0" y="0"/>
                <wp:positionH relativeFrom="column">
                  <wp:posOffset>0</wp:posOffset>
                </wp:positionH>
                <wp:positionV relativeFrom="paragraph">
                  <wp:posOffset>0</wp:posOffset>
                </wp:positionV>
                <wp:extent cx="635000" cy="635000"/>
                <wp:effectExtent l="19050" t="19050" r="12700" b="12700"/>
                <wp:wrapNone/>
                <wp:docPr id="41" name="AutoShape 6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3460F" id="AutoShape 67" o:spid="_x0000_s1026" style="position:absolute;margin-left:0;margin-top:0;width:50pt;height:50pt;z-index:251658245;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kc0IwIAAEgEAAAOAAAAZHJzL2Uyb0RvYy54bWysVFGPEjEQfjfxPzR9lwUEzt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X55HNCMCAABIBAAADgAAAAAAAAAAAAAAAAAuAgAAZHJzL2Uyb0RvYy54bWxQSwEC&#10;LQAUAAYACAAAACEA640e+9gAAAAFAQAADwAAAAAAAAAAAAAAAAB9BAAAZHJzL2Rvd25yZXYueG1s&#10;UEsFBgAAAAAEAAQA8wAAAIIFAAAAAA==&#10;">
                <v:stroke joinstyle="round"/>
                <o:lock v:ext="edit" selection="t"/>
              </v:rect>
            </w:pict>
          </mc:Fallback>
        </mc:AlternateContent>
      </w:r>
      <w:r w:rsidR="00582313">
        <w:object w:dxaOrig="935" w:dyaOrig="602" w14:anchorId="4E9AFD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9pt;height:49.45pt" o:ole="">
            <v:imagedata r:id="rId72" o:title=""/>
          </v:shape>
          <o:OLEObject Type="Embed" ProgID="Package" ShapeID="_x0000_i1025" DrawAspect="Icon" ObjectID="_1777888258" r:id="rId73"/>
        </w:object>
      </w:r>
    </w:p>
    <w:p w14:paraId="6B0FCC84" w14:textId="48421BC2" w:rsidR="00157AAA" w:rsidRDefault="006C1BE5">
      <w:pPr>
        <w:jc w:val="center"/>
        <w:rPr>
          <w:i/>
        </w:rPr>
      </w:pPr>
      <w:r>
        <w:rPr>
          <w:i/>
        </w:rPr>
        <w:t xml:space="preserve">Figure </w:t>
      </w:r>
      <w:r w:rsidR="00582313">
        <w:rPr>
          <w:i/>
        </w:rPr>
        <w:t>2</w:t>
      </w:r>
      <w:r>
        <w:rPr>
          <w:i/>
        </w:rPr>
        <w:t xml:space="preserve">: BPMN Process Diagram: Publish Applicable Procedures, Documents, </w:t>
      </w:r>
      <w:proofErr w:type="gramStart"/>
      <w:r>
        <w:rPr>
          <w:i/>
        </w:rPr>
        <w:t>Fees</w:t>
      </w:r>
      <w:proofErr w:type="gramEnd"/>
      <w:r>
        <w:rPr>
          <w:i/>
        </w:rPr>
        <w:t xml:space="preserve"> and Charges</w:t>
      </w:r>
    </w:p>
    <w:p w14:paraId="5825DBEA" w14:textId="77777777" w:rsidR="00157AAA" w:rsidRDefault="00157AAA">
      <w:pPr>
        <w:spacing w:after="0"/>
      </w:pPr>
    </w:p>
    <w:p w14:paraId="3F727281" w14:textId="36F55303" w:rsidR="00157AAA" w:rsidRDefault="006C1BE5">
      <w:r w:rsidRPr="008E2AAD">
        <w:rPr>
          <w:b/>
        </w:rPr>
        <w:t>Process Description</w:t>
      </w:r>
      <w:r>
        <w:rPr>
          <w:i/>
        </w:rPr>
        <w:t xml:space="preserve">: </w:t>
      </w:r>
      <w:r>
        <w:t>The process collects all necessary information regarding the fees and charges and publish</w:t>
      </w:r>
      <w:r w:rsidR="0046691C">
        <w:t>es it</w:t>
      </w:r>
      <w:r>
        <w:t xml:space="preserve"> to the trader portal. The information can be updated thought the New Single Window and Competent Authorities Systems. For the New Single Window, the NSW Officer will update the data; and for the CA systems, message is received and publish</w:t>
      </w:r>
      <w:r w:rsidR="00484118">
        <w:t>ed</w:t>
      </w:r>
      <w:r>
        <w:t xml:space="preserve"> to the trader portal.</w:t>
      </w:r>
    </w:p>
    <w:p w14:paraId="249F982E" w14:textId="77777777" w:rsidR="00157AAA" w:rsidRDefault="00157AAA">
      <w:pPr>
        <w:spacing w:after="0"/>
      </w:pPr>
    </w:p>
    <w:p w14:paraId="199DE3F8" w14:textId="77777777" w:rsidR="00157AAA" w:rsidRPr="008E2AAD" w:rsidRDefault="006C1BE5">
      <w:pPr>
        <w:rPr>
          <w:b/>
        </w:rPr>
      </w:pPr>
      <w:r w:rsidRPr="008E2AAD">
        <w:rPr>
          <w:b/>
        </w:rPr>
        <w:t>Process Steps:</w:t>
      </w:r>
    </w:p>
    <w:tbl>
      <w:tblPr>
        <w:tblStyle w:val="TableGrid"/>
        <w:tblW w:w="0" w:type="auto"/>
        <w:tblLook w:val="04A0" w:firstRow="1" w:lastRow="0" w:firstColumn="1" w:lastColumn="0" w:noHBand="0" w:noVBand="1"/>
      </w:tblPr>
      <w:tblGrid>
        <w:gridCol w:w="1345"/>
        <w:gridCol w:w="2340"/>
        <w:gridCol w:w="4945"/>
      </w:tblGrid>
      <w:tr w:rsidR="00157AAA" w14:paraId="7CCCAF4C" w14:textId="77777777" w:rsidTr="001136D3">
        <w:trPr>
          <w:tblHeader/>
        </w:trPr>
        <w:tc>
          <w:tcPr>
            <w:tcW w:w="1345" w:type="dxa"/>
            <w:shd w:val="clear" w:color="auto" w:fill="D9D9D9" w:themeFill="background1" w:themeFillShade="D9"/>
          </w:tcPr>
          <w:p w14:paraId="593F70F7" w14:textId="77777777" w:rsidR="00157AAA" w:rsidRDefault="006C1BE5" w:rsidP="001136D3">
            <w:pPr>
              <w:spacing w:after="0"/>
              <w:rPr>
                <w:b/>
                <w:szCs w:val="24"/>
              </w:rPr>
            </w:pPr>
            <w:r>
              <w:rPr>
                <w:b/>
                <w:szCs w:val="24"/>
              </w:rPr>
              <w:t>Step</w:t>
            </w:r>
          </w:p>
        </w:tc>
        <w:tc>
          <w:tcPr>
            <w:tcW w:w="2340" w:type="dxa"/>
            <w:shd w:val="clear" w:color="auto" w:fill="D9D9D9" w:themeFill="background1" w:themeFillShade="D9"/>
          </w:tcPr>
          <w:p w14:paraId="71DDA5B2" w14:textId="77777777" w:rsidR="00157AAA" w:rsidRDefault="006C1BE5" w:rsidP="001136D3">
            <w:pPr>
              <w:spacing w:after="0"/>
              <w:jc w:val="left"/>
              <w:rPr>
                <w:b/>
                <w:szCs w:val="24"/>
              </w:rPr>
            </w:pPr>
            <w:r>
              <w:rPr>
                <w:b/>
                <w:szCs w:val="24"/>
              </w:rPr>
              <w:t>Name</w:t>
            </w:r>
          </w:p>
        </w:tc>
        <w:tc>
          <w:tcPr>
            <w:tcW w:w="4945" w:type="dxa"/>
            <w:shd w:val="clear" w:color="auto" w:fill="D9D9D9" w:themeFill="background1" w:themeFillShade="D9"/>
          </w:tcPr>
          <w:p w14:paraId="5F2A8211" w14:textId="77777777" w:rsidR="00157AAA" w:rsidRDefault="006C1BE5" w:rsidP="001136D3">
            <w:pPr>
              <w:spacing w:after="0"/>
              <w:jc w:val="left"/>
              <w:rPr>
                <w:b/>
                <w:szCs w:val="24"/>
              </w:rPr>
            </w:pPr>
            <w:r>
              <w:rPr>
                <w:b/>
                <w:szCs w:val="24"/>
              </w:rPr>
              <w:t>Description</w:t>
            </w:r>
          </w:p>
        </w:tc>
      </w:tr>
      <w:tr w:rsidR="00157AAA" w14:paraId="5EFD0105" w14:textId="77777777" w:rsidTr="001136D3">
        <w:tc>
          <w:tcPr>
            <w:tcW w:w="1345" w:type="dxa"/>
          </w:tcPr>
          <w:p w14:paraId="536DF0BE" w14:textId="77777777" w:rsidR="00157AAA" w:rsidRDefault="006C1BE5" w:rsidP="001136D3">
            <w:pPr>
              <w:spacing w:after="0"/>
            </w:pPr>
            <w:r>
              <w:t>Start Event</w:t>
            </w:r>
          </w:p>
        </w:tc>
        <w:tc>
          <w:tcPr>
            <w:tcW w:w="2340" w:type="dxa"/>
          </w:tcPr>
          <w:p w14:paraId="3BB985DC" w14:textId="77777777" w:rsidR="00157AAA" w:rsidRDefault="006C1BE5" w:rsidP="001136D3">
            <w:pPr>
              <w:spacing w:after="0"/>
              <w:jc w:val="left"/>
            </w:pPr>
            <w:r>
              <w:t>Received Information</w:t>
            </w:r>
          </w:p>
        </w:tc>
        <w:tc>
          <w:tcPr>
            <w:tcW w:w="4945" w:type="dxa"/>
          </w:tcPr>
          <w:p w14:paraId="575124C8" w14:textId="77777777" w:rsidR="00157AAA" w:rsidRDefault="006C1BE5" w:rsidP="001136D3">
            <w:pPr>
              <w:spacing w:after="0"/>
            </w:pPr>
            <w:r>
              <w:t xml:space="preserve">The LPCO Management application has received information about the procedures, the required documents and the applicable fees and charges for applications for permits and licenses and for the inspections. This information is received from the Competent Authorities in </w:t>
            </w:r>
            <w:proofErr w:type="gramStart"/>
            <w:r>
              <w:t>a number of</w:t>
            </w:r>
            <w:proofErr w:type="gramEnd"/>
            <w:r>
              <w:t xml:space="preserve"> ways - through e-mail, in written, etc.</w:t>
            </w:r>
          </w:p>
        </w:tc>
      </w:tr>
      <w:tr w:rsidR="00157AAA" w14:paraId="0F536602" w14:textId="77777777" w:rsidTr="001136D3">
        <w:tc>
          <w:tcPr>
            <w:tcW w:w="1345" w:type="dxa"/>
          </w:tcPr>
          <w:p w14:paraId="2B1CFA07" w14:textId="77777777" w:rsidR="00157AAA" w:rsidRDefault="006C1BE5" w:rsidP="001136D3">
            <w:pPr>
              <w:spacing w:after="0"/>
            </w:pPr>
            <w:r>
              <w:t>Service Task</w:t>
            </w:r>
          </w:p>
        </w:tc>
        <w:tc>
          <w:tcPr>
            <w:tcW w:w="2340" w:type="dxa"/>
          </w:tcPr>
          <w:p w14:paraId="11B0B6E3" w14:textId="77777777" w:rsidR="00157AAA" w:rsidRDefault="006C1BE5" w:rsidP="001136D3">
            <w:pPr>
              <w:spacing w:after="0"/>
              <w:jc w:val="left"/>
            </w:pPr>
            <w:r>
              <w:t>Register and Process Information</w:t>
            </w:r>
          </w:p>
        </w:tc>
        <w:tc>
          <w:tcPr>
            <w:tcW w:w="4945" w:type="dxa"/>
          </w:tcPr>
          <w:p w14:paraId="4364DBDC" w14:textId="77777777" w:rsidR="00157AAA" w:rsidRDefault="006C1BE5" w:rsidP="001136D3">
            <w:pPr>
              <w:spacing w:after="0"/>
            </w:pPr>
            <w:r>
              <w:t>The available information about procedures, fees and required documents is processed and recorded at the LPCO Management.</w:t>
            </w:r>
          </w:p>
        </w:tc>
      </w:tr>
      <w:tr w:rsidR="00157AAA" w14:paraId="412FA6BA" w14:textId="77777777" w:rsidTr="001136D3">
        <w:tc>
          <w:tcPr>
            <w:tcW w:w="1345" w:type="dxa"/>
          </w:tcPr>
          <w:p w14:paraId="0D7D2176" w14:textId="77777777" w:rsidR="00157AAA" w:rsidRDefault="006C1BE5" w:rsidP="001136D3">
            <w:pPr>
              <w:spacing w:after="0"/>
            </w:pPr>
            <w:r>
              <w:t>Service Task</w:t>
            </w:r>
          </w:p>
        </w:tc>
        <w:tc>
          <w:tcPr>
            <w:tcW w:w="2340" w:type="dxa"/>
          </w:tcPr>
          <w:p w14:paraId="14797154" w14:textId="77777777" w:rsidR="00157AAA" w:rsidRDefault="006C1BE5" w:rsidP="001136D3">
            <w:pPr>
              <w:spacing w:after="0"/>
              <w:jc w:val="left"/>
            </w:pPr>
            <w:r>
              <w:t>Update Information</w:t>
            </w:r>
          </w:p>
        </w:tc>
        <w:tc>
          <w:tcPr>
            <w:tcW w:w="4945" w:type="dxa"/>
          </w:tcPr>
          <w:p w14:paraId="11FD659B" w14:textId="563D15DC" w:rsidR="00157AAA" w:rsidRDefault="006C1BE5" w:rsidP="00FB7C09">
            <w:pPr>
              <w:pStyle w:val="NormalWeb"/>
              <w:spacing w:before="0" w:beforeAutospacing="0" w:after="0" w:afterAutospacing="0"/>
            </w:pPr>
            <w:r>
              <w:rPr>
                <w:rFonts w:ascii="Times New Roman" w:hAnsi="Times New Roman" w:cs="Times New Roman"/>
              </w:rPr>
              <w:t xml:space="preserve">The </w:t>
            </w:r>
            <w:r w:rsidR="0046691C">
              <w:rPr>
                <w:rFonts w:ascii="Times New Roman" w:hAnsi="Times New Roman" w:cs="Times New Roman"/>
              </w:rPr>
              <w:t xml:space="preserve">LPCO Management application </w:t>
            </w:r>
            <w:r>
              <w:rPr>
                <w:rFonts w:ascii="Times New Roman" w:hAnsi="Times New Roman" w:cs="Times New Roman"/>
              </w:rPr>
              <w:t>receive</w:t>
            </w:r>
            <w:r w:rsidR="0046691C">
              <w:rPr>
                <w:rFonts w:ascii="Times New Roman" w:hAnsi="Times New Roman" w:cs="Times New Roman"/>
              </w:rPr>
              <w:t>s</w:t>
            </w:r>
            <w:r>
              <w:rPr>
                <w:rFonts w:ascii="Times New Roman" w:hAnsi="Times New Roman" w:cs="Times New Roman"/>
              </w:rPr>
              <w:t xml:space="preserve"> and stores the information about procedures, required documents, fees, charges (due and paid) and payments which it has received. </w:t>
            </w:r>
          </w:p>
        </w:tc>
      </w:tr>
      <w:tr w:rsidR="00157AAA" w14:paraId="5550FCE8" w14:textId="77777777" w:rsidTr="001136D3">
        <w:tc>
          <w:tcPr>
            <w:tcW w:w="1345" w:type="dxa"/>
          </w:tcPr>
          <w:p w14:paraId="5C1C08FB" w14:textId="77777777" w:rsidR="00157AAA" w:rsidRDefault="006C1BE5" w:rsidP="001136D3">
            <w:pPr>
              <w:spacing w:after="0"/>
            </w:pPr>
            <w:r>
              <w:t>Service Task</w:t>
            </w:r>
          </w:p>
        </w:tc>
        <w:tc>
          <w:tcPr>
            <w:tcW w:w="2340" w:type="dxa"/>
          </w:tcPr>
          <w:p w14:paraId="3A91761A" w14:textId="77777777" w:rsidR="00157AAA" w:rsidRDefault="006C1BE5" w:rsidP="001136D3">
            <w:pPr>
              <w:spacing w:after="0"/>
              <w:jc w:val="left"/>
            </w:pPr>
            <w:r>
              <w:t>Set time frame for which information is visible</w:t>
            </w:r>
          </w:p>
        </w:tc>
        <w:tc>
          <w:tcPr>
            <w:tcW w:w="4945" w:type="dxa"/>
          </w:tcPr>
          <w:p w14:paraId="796C9304" w14:textId="77777777" w:rsidR="00157AAA" w:rsidRDefault="006C1BE5" w:rsidP="001136D3">
            <w:pPr>
              <w:spacing w:after="0"/>
            </w:pPr>
            <w:r>
              <w:t xml:space="preserve">The operation gives the possibility to set the time frame in which the information will be visible. The published information can either be information provided in the publish operation, information stored in the system (documents) or </w:t>
            </w:r>
            <w:proofErr w:type="spellStart"/>
            <w:r>
              <w:t>eForms</w:t>
            </w:r>
            <w:proofErr w:type="spellEnd"/>
            <w:r>
              <w:t>.</w:t>
            </w:r>
          </w:p>
        </w:tc>
      </w:tr>
      <w:tr w:rsidR="00157AAA" w14:paraId="3F9BAF9B" w14:textId="77777777" w:rsidTr="001136D3">
        <w:tc>
          <w:tcPr>
            <w:tcW w:w="1345" w:type="dxa"/>
          </w:tcPr>
          <w:p w14:paraId="1F03453F" w14:textId="77777777" w:rsidR="00157AAA" w:rsidRDefault="006C1BE5" w:rsidP="001136D3">
            <w:pPr>
              <w:spacing w:after="0"/>
            </w:pPr>
            <w:r>
              <w:t>Service Task</w:t>
            </w:r>
          </w:p>
        </w:tc>
        <w:tc>
          <w:tcPr>
            <w:tcW w:w="2340" w:type="dxa"/>
          </w:tcPr>
          <w:p w14:paraId="5B844A1E" w14:textId="77777777" w:rsidR="00157AAA" w:rsidRDefault="006C1BE5" w:rsidP="001136D3">
            <w:pPr>
              <w:spacing w:after="0"/>
              <w:jc w:val="left"/>
            </w:pPr>
            <w:r>
              <w:t>Publish information to the Trader Portal</w:t>
            </w:r>
          </w:p>
        </w:tc>
        <w:tc>
          <w:tcPr>
            <w:tcW w:w="4945" w:type="dxa"/>
          </w:tcPr>
          <w:p w14:paraId="7D1C3EA1" w14:textId="77777777" w:rsidR="00157AAA" w:rsidRDefault="006C1BE5" w:rsidP="001136D3">
            <w:pPr>
              <w:spacing w:after="0"/>
            </w:pPr>
            <w:r>
              <w:t xml:space="preserve">The information is published in the NSW. The published information can either be information provided in the publish operation, information stored in the system (documents) or </w:t>
            </w:r>
            <w:proofErr w:type="spellStart"/>
            <w:r>
              <w:t>eForms</w:t>
            </w:r>
            <w:proofErr w:type="spellEnd"/>
            <w:r>
              <w:t>.</w:t>
            </w:r>
          </w:p>
        </w:tc>
      </w:tr>
      <w:tr w:rsidR="00157AAA" w14:paraId="10755985" w14:textId="77777777" w:rsidTr="001136D3">
        <w:tc>
          <w:tcPr>
            <w:tcW w:w="1345" w:type="dxa"/>
          </w:tcPr>
          <w:p w14:paraId="52ACB6BB" w14:textId="77777777" w:rsidR="00157AAA" w:rsidRDefault="006C1BE5" w:rsidP="001136D3">
            <w:pPr>
              <w:spacing w:after="0"/>
            </w:pPr>
            <w:r>
              <w:t>End Event</w:t>
            </w:r>
          </w:p>
        </w:tc>
        <w:tc>
          <w:tcPr>
            <w:tcW w:w="2340" w:type="dxa"/>
          </w:tcPr>
          <w:p w14:paraId="46EB1394" w14:textId="007C8559" w:rsidR="00157AAA" w:rsidRDefault="0046691C" w:rsidP="001136D3">
            <w:pPr>
              <w:spacing w:after="0"/>
              <w:jc w:val="left"/>
            </w:pPr>
            <w:r>
              <w:t>Information is</w:t>
            </w:r>
            <w:r w:rsidR="006C1BE5">
              <w:t xml:space="preserve"> Published</w:t>
            </w:r>
          </w:p>
        </w:tc>
        <w:tc>
          <w:tcPr>
            <w:tcW w:w="4945" w:type="dxa"/>
          </w:tcPr>
          <w:p w14:paraId="435AE0F8" w14:textId="77777777" w:rsidR="00157AAA" w:rsidRDefault="006C1BE5" w:rsidP="001136D3">
            <w:pPr>
              <w:spacing w:after="0"/>
            </w:pPr>
            <w:r>
              <w:t xml:space="preserve">The NSW application has made the information about the procedures, documents, </w:t>
            </w:r>
            <w:proofErr w:type="gramStart"/>
            <w:r>
              <w:t>fees</w:t>
            </w:r>
            <w:proofErr w:type="gramEnd"/>
            <w:r>
              <w:t xml:space="preserve"> and charges for applications for permits and licenses and for the inspections available to traders.</w:t>
            </w:r>
          </w:p>
        </w:tc>
      </w:tr>
    </w:tbl>
    <w:p w14:paraId="00F80B7A" w14:textId="77777777" w:rsidR="00157AAA" w:rsidRDefault="00157AAA">
      <w:pPr>
        <w:spacing w:after="0"/>
      </w:pPr>
    </w:p>
    <w:p w14:paraId="46DCF7B9" w14:textId="77777777" w:rsidR="00157AAA" w:rsidRPr="008E2AAD" w:rsidRDefault="006C1BE5">
      <w:pPr>
        <w:rPr>
          <w:b/>
        </w:rPr>
      </w:pPr>
      <w:r w:rsidRPr="008E2AAD">
        <w:rPr>
          <w:b/>
        </w:rPr>
        <w:t>Functional Requirements:</w:t>
      </w:r>
    </w:p>
    <w:tbl>
      <w:tblPr>
        <w:tblStyle w:val="TableGrid"/>
        <w:tblW w:w="8635" w:type="dxa"/>
        <w:tblLook w:val="04A0" w:firstRow="1" w:lastRow="0" w:firstColumn="1" w:lastColumn="0" w:noHBand="0" w:noVBand="1"/>
      </w:tblPr>
      <w:tblGrid>
        <w:gridCol w:w="1165"/>
        <w:gridCol w:w="7470"/>
      </w:tblGrid>
      <w:tr w:rsidR="00157AAA" w14:paraId="1D10757D" w14:textId="77777777" w:rsidTr="001136D3">
        <w:tc>
          <w:tcPr>
            <w:tcW w:w="1165" w:type="dxa"/>
            <w:shd w:val="clear" w:color="auto" w:fill="D9D9D9" w:themeFill="background1" w:themeFillShade="D9"/>
          </w:tcPr>
          <w:p w14:paraId="26185B16" w14:textId="77777777" w:rsidR="00157AAA" w:rsidRDefault="006C1BE5" w:rsidP="001136D3">
            <w:pPr>
              <w:spacing w:after="0"/>
              <w:jc w:val="left"/>
              <w:rPr>
                <w:b/>
              </w:rPr>
            </w:pPr>
            <w:r>
              <w:rPr>
                <w:b/>
              </w:rPr>
              <w:t>ID</w:t>
            </w:r>
          </w:p>
        </w:tc>
        <w:tc>
          <w:tcPr>
            <w:tcW w:w="7470" w:type="dxa"/>
            <w:shd w:val="clear" w:color="auto" w:fill="D9D9D9" w:themeFill="background1" w:themeFillShade="D9"/>
          </w:tcPr>
          <w:p w14:paraId="0F6B28FF" w14:textId="77777777" w:rsidR="00157AAA" w:rsidRDefault="006C1BE5" w:rsidP="001136D3">
            <w:pPr>
              <w:spacing w:after="0"/>
              <w:jc w:val="left"/>
              <w:rPr>
                <w:b/>
              </w:rPr>
            </w:pPr>
            <w:r>
              <w:rPr>
                <w:b/>
              </w:rPr>
              <w:t>Description</w:t>
            </w:r>
          </w:p>
        </w:tc>
      </w:tr>
      <w:tr w:rsidR="00157AAA" w14:paraId="3EF7374B" w14:textId="77777777" w:rsidTr="001136D3">
        <w:tc>
          <w:tcPr>
            <w:tcW w:w="1165" w:type="dxa"/>
          </w:tcPr>
          <w:p w14:paraId="1B77EE64" w14:textId="5A6160FC" w:rsidR="00157AAA" w:rsidRDefault="00660624" w:rsidP="001136D3">
            <w:pPr>
              <w:spacing w:after="0"/>
              <w:jc w:val="left"/>
            </w:pPr>
            <w:r>
              <w:t>FR</w:t>
            </w:r>
            <w:r>
              <w:rPr>
                <w:lang w:val="mk-MK"/>
              </w:rPr>
              <w:t>589</w:t>
            </w:r>
          </w:p>
        </w:tc>
        <w:tc>
          <w:tcPr>
            <w:tcW w:w="7470" w:type="dxa"/>
          </w:tcPr>
          <w:p w14:paraId="63012BB9" w14:textId="77777777" w:rsidR="00157AAA" w:rsidRDefault="006C1BE5" w:rsidP="00FB7C09">
            <w:pPr>
              <w:pStyle w:val="NormalWeb"/>
              <w:spacing w:before="0" w:beforeAutospacing="0" w:after="0" w:afterAutospacing="0"/>
            </w:pPr>
            <w:r>
              <w:rPr>
                <w:rFonts w:ascii="Times New Roman" w:hAnsi="Times New Roman" w:cs="Times New Roman"/>
              </w:rPr>
              <w:t xml:space="preserve">The system must be able to register and process and store information it has received. </w:t>
            </w:r>
          </w:p>
        </w:tc>
      </w:tr>
      <w:tr w:rsidR="00157AAA" w14:paraId="66DC8407" w14:textId="77777777" w:rsidTr="001136D3">
        <w:tc>
          <w:tcPr>
            <w:tcW w:w="1165" w:type="dxa"/>
          </w:tcPr>
          <w:p w14:paraId="2D10FEFB" w14:textId="4DCF34BA" w:rsidR="00157AAA" w:rsidRDefault="00660624" w:rsidP="001136D3">
            <w:pPr>
              <w:spacing w:after="0"/>
              <w:jc w:val="left"/>
            </w:pPr>
            <w:r>
              <w:t>FR5</w:t>
            </w:r>
            <w:r>
              <w:rPr>
                <w:lang w:val="mk-MK"/>
              </w:rPr>
              <w:t>90</w:t>
            </w:r>
          </w:p>
        </w:tc>
        <w:tc>
          <w:tcPr>
            <w:tcW w:w="7470" w:type="dxa"/>
          </w:tcPr>
          <w:p w14:paraId="0012A8A5" w14:textId="44145470" w:rsidR="00157AAA" w:rsidRDefault="006C1BE5" w:rsidP="00FB7C09">
            <w:pPr>
              <w:pStyle w:val="NormalWeb"/>
              <w:spacing w:before="0" w:beforeAutospacing="0" w:after="0" w:afterAutospacing="0"/>
            </w:pPr>
            <w:r>
              <w:rPr>
                <w:rFonts w:ascii="Times New Roman" w:hAnsi="Times New Roman" w:cs="Times New Roman"/>
              </w:rPr>
              <w:t xml:space="preserve">The system must be able to process the details of the </w:t>
            </w:r>
            <w:r w:rsidR="0046691C">
              <w:rPr>
                <w:rFonts w:ascii="Times New Roman" w:hAnsi="Times New Roman" w:cs="Times New Roman"/>
              </w:rPr>
              <w:t>information</w:t>
            </w:r>
            <w:r>
              <w:rPr>
                <w:rFonts w:ascii="Times New Roman" w:hAnsi="Times New Roman" w:cs="Times New Roman"/>
              </w:rPr>
              <w:t xml:space="preserve">, store the data, compare with existing </w:t>
            </w:r>
            <w:proofErr w:type="gramStart"/>
            <w:r>
              <w:rPr>
                <w:rFonts w:ascii="Times New Roman" w:hAnsi="Times New Roman" w:cs="Times New Roman"/>
              </w:rPr>
              <w:t>fields</w:t>
            </w:r>
            <w:proofErr w:type="gramEnd"/>
            <w:r>
              <w:rPr>
                <w:rFonts w:ascii="Times New Roman" w:hAnsi="Times New Roman" w:cs="Times New Roman"/>
              </w:rPr>
              <w:t xml:space="preserve"> and update the separate data elements. </w:t>
            </w:r>
          </w:p>
        </w:tc>
      </w:tr>
      <w:tr w:rsidR="00157AAA" w14:paraId="64945EB1" w14:textId="77777777" w:rsidTr="001136D3">
        <w:tc>
          <w:tcPr>
            <w:tcW w:w="1165" w:type="dxa"/>
          </w:tcPr>
          <w:p w14:paraId="34C1E254" w14:textId="77777777" w:rsidR="00157AAA" w:rsidRDefault="006C1BE5" w:rsidP="001136D3">
            <w:pPr>
              <w:spacing w:after="0"/>
              <w:jc w:val="left"/>
            </w:pPr>
            <w:r>
              <w:t>FR514</w:t>
            </w:r>
          </w:p>
        </w:tc>
        <w:tc>
          <w:tcPr>
            <w:tcW w:w="7470" w:type="dxa"/>
          </w:tcPr>
          <w:p w14:paraId="0D147335" w14:textId="77777777" w:rsidR="00157AAA" w:rsidRDefault="006C1BE5" w:rsidP="001136D3">
            <w:pPr>
              <w:spacing w:after="0"/>
            </w:pPr>
            <w:r>
              <w:t xml:space="preserve">The system </w:t>
            </w:r>
            <w:r>
              <w:rPr>
                <w:szCs w:val="24"/>
              </w:rPr>
              <w:t xml:space="preserve">must </w:t>
            </w:r>
            <w:r>
              <w:t>be able to limit the time frame during which information is visible.</w:t>
            </w:r>
          </w:p>
        </w:tc>
      </w:tr>
      <w:tr w:rsidR="00157AAA" w14:paraId="127FEAF9" w14:textId="77777777" w:rsidTr="001136D3">
        <w:tc>
          <w:tcPr>
            <w:tcW w:w="1165" w:type="dxa"/>
          </w:tcPr>
          <w:p w14:paraId="2B018D1C" w14:textId="77777777" w:rsidR="00157AAA" w:rsidRDefault="006C1BE5" w:rsidP="001136D3">
            <w:pPr>
              <w:spacing w:after="0"/>
              <w:jc w:val="left"/>
              <w:rPr>
                <w:highlight w:val="yellow"/>
              </w:rPr>
            </w:pPr>
            <w:r>
              <w:t>FR515</w:t>
            </w:r>
          </w:p>
        </w:tc>
        <w:tc>
          <w:tcPr>
            <w:tcW w:w="7470" w:type="dxa"/>
          </w:tcPr>
          <w:p w14:paraId="758F38B8" w14:textId="5AF833DD" w:rsidR="00157AAA" w:rsidRDefault="006C1BE5" w:rsidP="001136D3">
            <w:pPr>
              <w:spacing w:after="0"/>
            </w:pPr>
            <w:r>
              <w:t xml:space="preserve">The NSW </w:t>
            </w:r>
            <w:r>
              <w:rPr>
                <w:szCs w:val="24"/>
              </w:rPr>
              <w:t xml:space="preserve">must </w:t>
            </w:r>
            <w:r>
              <w:t>be able to publish information about</w:t>
            </w:r>
            <w:r w:rsidR="0046691C">
              <w:t xml:space="preserve"> the procedures, documents, </w:t>
            </w:r>
            <w:proofErr w:type="gramStart"/>
            <w:r w:rsidR="0046691C">
              <w:t>fees</w:t>
            </w:r>
            <w:proofErr w:type="gramEnd"/>
            <w:r w:rsidR="0046691C">
              <w:t xml:space="preserve"> and charges for applications for permits and licenses and for the inspections</w:t>
            </w:r>
            <w:r>
              <w:t xml:space="preserve"> and any updates to it.</w:t>
            </w:r>
          </w:p>
        </w:tc>
      </w:tr>
    </w:tbl>
    <w:p w14:paraId="50661D4F" w14:textId="04431E3D" w:rsidR="00157AAA" w:rsidRDefault="00157AAA">
      <w:pPr>
        <w:jc w:val="left"/>
        <w:rPr>
          <w:bCs/>
          <w:szCs w:val="24"/>
        </w:rPr>
      </w:pPr>
    </w:p>
    <w:p w14:paraId="6231D77F" w14:textId="05347FAE" w:rsidR="008E2AAD" w:rsidRPr="008E2AAD" w:rsidRDefault="008E2AAD" w:rsidP="008E2AAD">
      <w:pPr>
        <w:jc w:val="left"/>
        <w:rPr>
          <w:b/>
          <w:bCs/>
          <w:szCs w:val="24"/>
        </w:rPr>
      </w:pPr>
      <w:r w:rsidRPr="00272064">
        <w:rPr>
          <w:b/>
          <w:szCs w:val="24"/>
        </w:rPr>
        <w:t>1.2.3.1.</w:t>
      </w:r>
      <w:r>
        <w:rPr>
          <w:b/>
          <w:szCs w:val="24"/>
        </w:rPr>
        <w:t>6</w:t>
      </w:r>
      <w:r w:rsidRPr="00272064">
        <w:rPr>
          <w:b/>
          <w:szCs w:val="24"/>
        </w:rPr>
        <w:t xml:space="preserve">. </w:t>
      </w:r>
      <w:r w:rsidRPr="008E2AAD">
        <w:rPr>
          <w:b/>
          <w:bCs/>
          <w:szCs w:val="24"/>
        </w:rPr>
        <w:t>Manage EO a</w:t>
      </w:r>
      <w:r w:rsidR="00DC1D8D">
        <w:rPr>
          <w:b/>
          <w:bCs/>
          <w:szCs w:val="24"/>
        </w:rPr>
        <w:t>c</w:t>
      </w:r>
      <w:r w:rsidRPr="008E2AAD">
        <w:rPr>
          <w:b/>
          <w:bCs/>
          <w:szCs w:val="24"/>
        </w:rPr>
        <w:t>ces</w:t>
      </w:r>
      <w:r w:rsidR="006B01F1">
        <w:rPr>
          <w:b/>
          <w:bCs/>
          <w:szCs w:val="24"/>
        </w:rPr>
        <w:t>s</w:t>
      </w:r>
      <w:r w:rsidRPr="008E2AAD">
        <w:rPr>
          <w:b/>
          <w:bCs/>
          <w:szCs w:val="24"/>
        </w:rPr>
        <w:t xml:space="preserve"> to NSW </w:t>
      </w:r>
      <w:proofErr w:type="gramStart"/>
      <w:r w:rsidRPr="008E2AAD">
        <w:rPr>
          <w:b/>
          <w:bCs/>
          <w:szCs w:val="24"/>
        </w:rPr>
        <w:t>services</w:t>
      </w:r>
      <w:proofErr w:type="gramEnd"/>
      <w:r w:rsidRPr="008E2AAD">
        <w:rPr>
          <w:b/>
          <w:bCs/>
          <w:szCs w:val="24"/>
        </w:rPr>
        <w:t xml:space="preserve"> </w:t>
      </w:r>
    </w:p>
    <w:p w14:paraId="2D251F98" w14:textId="7EEA8F28" w:rsidR="008E2AAD" w:rsidRDefault="008E2AAD" w:rsidP="005E6A97">
      <w:pPr>
        <w:rPr>
          <w:bCs/>
          <w:szCs w:val="24"/>
        </w:rPr>
      </w:pPr>
      <w:r>
        <w:rPr>
          <w:bCs/>
          <w:szCs w:val="24"/>
        </w:rPr>
        <w:lastRenderedPageBreak/>
        <w:t xml:space="preserve">Economic Operators (Traders) must be able to access the respective resources to </w:t>
      </w:r>
      <w:r w:rsidR="00A85C0C">
        <w:rPr>
          <w:bCs/>
          <w:szCs w:val="24"/>
        </w:rPr>
        <w:t xml:space="preserve">which </w:t>
      </w:r>
      <w:r>
        <w:rPr>
          <w:bCs/>
          <w:szCs w:val="24"/>
        </w:rPr>
        <w:t>they should have permission to</w:t>
      </w:r>
      <w:r w:rsidR="007A2569">
        <w:rPr>
          <w:bCs/>
          <w:szCs w:val="24"/>
        </w:rPr>
        <w:t xml:space="preserve"> access</w:t>
      </w:r>
      <w:r w:rsidR="00A85C0C">
        <w:rPr>
          <w:bCs/>
          <w:szCs w:val="24"/>
        </w:rPr>
        <w:t>,</w:t>
      </w:r>
      <w:r>
        <w:rPr>
          <w:bCs/>
          <w:szCs w:val="24"/>
        </w:rPr>
        <w:t xml:space="preserve"> </w:t>
      </w:r>
      <w:r w:rsidR="007A2569">
        <w:rPr>
          <w:bCs/>
          <w:szCs w:val="24"/>
        </w:rPr>
        <w:t xml:space="preserve">using </w:t>
      </w:r>
      <w:r>
        <w:rPr>
          <w:bCs/>
          <w:szCs w:val="24"/>
        </w:rPr>
        <w:t xml:space="preserve">User to System and System to System Interactions. </w:t>
      </w:r>
      <w:r w:rsidRPr="003921AD">
        <w:rPr>
          <w:bCs/>
          <w:szCs w:val="24"/>
        </w:rPr>
        <w:t xml:space="preserve">The system must offer the capabilities required for </w:t>
      </w:r>
      <w:proofErr w:type="gramStart"/>
      <w:r w:rsidRPr="003921AD">
        <w:rPr>
          <w:bCs/>
          <w:szCs w:val="24"/>
        </w:rPr>
        <w:t>a secure</w:t>
      </w:r>
      <w:proofErr w:type="gramEnd"/>
      <w:r w:rsidRPr="003921AD">
        <w:rPr>
          <w:bCs/>
          <w:szCs w:val="24"/>
        </w:rPr>
        <w:t xml:space="preserve"> and controlled access to System to System and User to System. </w:t>
      </w:r>
    </w:p>
    <w:p w14:paraId="0439D8BF" w14:textId="77777777" w:rsidR="008E2AAD" w:rsidRDefault="008E2AAD" w:rsidP="005E6A97">
      <w:pPr>
        <w:rPr>
          <w:bCs/>
          <w:szCs w:val="24"/>
        </w:rPr>
      </w:pPr>
      <w:r w:rsidRPr="003921AD">
        <w:rPr>
          <w:bCs/>
          <w:szCs w:val="24"/>
        </w:rPr>
        <w:t xml:space="preserve">The User to System refers to Web Applications, where a front-end as reverse proxy receives the request, </w:t>
      </w:r>
      <w:proofErr w:type="gramStart"/>
      <w:r w:rsidRPr="003921AD">
        <w:rPr>
          <w:bCs/>
          <w:szCs w:val="24"/>
        </w:rPr>
        <w:t>authenticate</w:t>
      </w:r>
      <w:proofErr w:type="gramEnd"/>
      <w:r w:rsidRPr="003921AD">
        <w:rPr>
          <w:bCs/>
          <w:szCs w:val="24"/>
        </w:rPr>
        <w:t xml:space="preserve"> and authorize it, in order to propagate it to the requested resource from where response is received and forwarded to the requestor.</w:t>
      </w:r>
    </w:p>
    <w:p w14:paraId="3A3CD8A6" w14:textId="77777777" w:rsidR="008E2AAD" w:rsidRDefault="008E2AAD" w:rsidP="008E2AAD">
      <w:pPr>
        <w:jc w:val="left"/>
        <w:rPr>
          <w:bCs/>
          <w:szCs w:val="24"/>
        </w:rPr>
      </w:pPr>
      <w:r>
        <w:rPr>
          <w:bCs/>
          <w:noProof/>
          <w:szCs w:val="24"/>
        </w:rPr>
        <w:drawing>
          <wp:inline distT="0" distB="0" distL="0" distR="0" wp14:anchorId="65DC7401" wp14:editId="555B325D">
            <wp:extent cx="3924300" cy="4155943"/>
            <wp:effectExtent l="0" t="0" r="0" b="0"/>
            <wp:docPr id="1101966201" name="Picture 110196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35479" cy="4167781"/>
                    </a:xfrm>
                    <a:prstGeom prst="rect">
                      <a:avLst/>
                    </a:prstGeom>
                    <a:noFill/>
                    <a:ln>
                      <a:noFill/>
                    </a:ln>
                  </pic:spPr>
                </pic:pic>
              </a:graphicData>
            </a:graphic>
          </wp:inline>
        </w:drawing>
      </w:r>
      <w:r>
        <w:rPr>
          <w:bCs/>
          <w:szCs w:val="24"/>
        </w:rPr>
        <w:t xml:space="preserve"> </w:t>
      </w:r>
    </w:p>
    <w:p w14:paraId="28BD0B56" w14:textId="722630BA" w:rsidR="0044028F" w:rsidRDefault="0044028F" w:rsidP="008E2AAD">
      <w:pPr>
        <w:jc w:val="left"/>
        <w:rPr>
          <w:bCs/>
          <w:szCs w:val="24"/>
        </w:rPr>
      </w:pPr>
      <w:r>
        <w:rPr>
          <w:bCs/>
          <w:szCs w:val="24"/>
        </w:rPr>
        <w:tab/>
        <w:t>Figure 3: Manage EO Access to NSW services (User to System)</w:t>
      </w:r>
    </w:p>
    <w:p w14:paraId="4B503A29" w14:textId="30B4F238" w:rsidR="008E2AAD" w:rsidRDefault="008E2AAD" w:rsidP="008E2AAD">
      <w:pPr>
        <w:jc w:val="left"/>
        <w:rPr>
          <w:bCs/>
          <w:szCs w:val="24"/>
        </w:rPr>
      </w:pPr>
      <w:r>
        <w:rPr>
          <w:bCs/>
          <w:szCs w:val="24"/>
        </w:rPr>
        <w:t xml:space="preserve">The steps are: </w:t>
      </w:r>
    </w:p>
    <w:p w14:paraId="5FD41946" w14:textId="77777777" w:rsidR="008E2AAD" w:rsidRPr="003921AD" w:rsidRDefault="008E2AAD" w:rsidP="00D530D5">
      <w:pPr>
        <w:pStyle w:val="ListParagraph"/>
        <w:numPr>
          <w:ilvl w:val="6"/>
          <w:numId w:val="147"/>
        </w:numPr>
        <w:jc w:val="left"/>
        <w:rPr>
          <w:bCs/>
          <w:szCs w:val="24"/>
        </w:rPr>
      </w:pPr>
      <w:r w:rsidRPr="003921AD">
        <w:rPr>
          <w:bCs/>
          <w:szCs w:val="24"/>
        </w:rPr>
        <w:t xml:space="preserve">Economic Operator initiates a request towards a web-based URL available on the Trader </w:t>
      </w:r>
      <w:proofErr w:type="gramStart"/>
      <w:r w:rsidRPr="003921AD">
        <w:rPr>
          <w:bCs/>
          <w:szCs w:val="24"/>
        </w:rPr>
        <w:t>Portal;</w:t>
      </w:r>
      <w:proofErr w:type="gramEnd"/>
      <w:r w:rsidRPr="003921AD">
        <w:rPr>
          <w:bCs/>
          <w:szCs w:val="24"/>
        </w:rPr>
        <w:t xml:space="preserve"> </w:t>
      </w:r>
    </w:p>
    <w:p w14:paraId="66DA7F39" w14:textId="40B35444" w:rsidR="008E2AAD" w:rsidRPr="003921AD" w:rsidRDefault="008E2AAD" w:rsidP="00D530D5">
      <w:pPr>
        <w:pStyle w:val="ListParagraph"/>
        <w:numPr>
          <w:ilvl w:val="0"/>
          <w:numId w:val="147"/>
        </w:numPr>
        <w:jc w:val="left"/>
        <w:rPr>
          <w:bCs/>
          <w:szCs w:val="24"/>
        </w:rPr>
      </w:pPr>
      <w:r w:rsidRPr="003921AD">
        <w:rPr>
          <w:bCs/>
          <w:szCs w:val="24"/>
        </w:rPr>
        <w:t xml:space="preserve">The reverse proxy of the trader portal performs authentication and authorization of the </w:t>
      </w:r>
      <w:proofErr w:type="gramStart"/>
      <w:r w:rsidRPr="003921AD">
        <w:rPr>
          <w:bCs/>
          <w:szCs w:val="24"/>
        </w:rPr>
        <w:t>request</w:t>
      </w:r>
      <w:r w:rsidR="00A85C0C">
        <w:rPr>
          <w:bCs/>
          <w:szCs w:val="24"/>
        </w:rPr>
        <w:t>;</w:t>
      </w:r>
      <w:proofErr w:type="gramEnd"/>
    </w:p>
    <w:p w14:paraId="674FA404" w14:textId="6535714E" w:rsidR="008E2AAD" w:rsidRPr="003921AD" w:rsidRDefault="008E2AAD" w:rsidP="00D530D5">
      <w:pPr>
        <w:pStyle w:val="ListParagraph"/>
        <w:numPr>
          <w:ilvl w:val="0"/>
          <w:numId w:val="147"/>
        </w:numPr>
        <w:jc w:val="left"/>
        <w:rPr>
          <w:bCs/>
          <w:szCs w:val="24"/>
        </w:rPr>
      </w:pPr>
      <w:r w:rsidRPr="003921AD">
        <w:rPr>
          <w:bCs/>
          <w:szCs w:val="24"/>
        </w:rPr>
        <w:t xml:space="preserve">The Reverse Proxy propagate to the right resource on the Trader </w:t>
      </w:r>
      <w:proofErr w:type="gramStart"/>
      <w:r w:rsidRPr="003921AD">
        <w:rPr>
          <w:bCs/>
          <w:szCs w:val="24"/>
        </w:rPr>
        <w:t>Portal</w:t>
      </w:r>
      <w:r w:rsidR="00A85C0C">
        <w:rPr>
          <w:bCs/>
          <w:szCs w:val="24"/>
        </w:rPr>
        <w:t>;</w:t>
      </w:r>
      <w:proofErr w:type="gramEnd"/>
    </w:p>
    <w:p w14:paraId="75542662" w14:textId="01B53A60" w:rsidR="008E2AAD" w:rsidRPr="003921AD" w:rsidRDefault="008E2AAD" w:rsidP="00D530D5">
      <w:pPr>
        <w:pStyle w:val="ListParagraph"/>
        <w:numPr>
          <w:ilvl w:val="0"/>
          <w:numId w:val="147"/>
        </w:numPr>
        <w:jc w:val="left"/>
        <w:rPr>
          <w:bCs/>
          <w:szCs w:val="24"/>
        </w:rPr>
      </w:pPr>
      <w:r w:rsidRPr="003921AD">
        <w:rPr>
          <w:bCs/>
          <w:szCs w:val="24"/>
        </w:rPr>
        <w:t xml:space="preserve">The Trader Portal sends the </w:t>
      </w:r>
      <w:proofErr w:type="gramStart"/>
      <w:r w:rsidRPr="003921AD">
        <w:rPr>
          <w:bCs/>
          <w:szCs w:val="24"/>
        </w:rPr>
        <w:t>response</w:t>
      </w:r>
      <w:r w:rsidR="00A85C0C">
        <w:rPr>
          <w:bCs/>
          <w:szCs w:val="24"/>
        </w:rPr>
        <w:t>;</w:t>
      </w:r>
      <w:proofErr w:type="gramEnd"/>
    </w:p>
    <w:p w14:paraId="38518440" w14:textId="69C1B5C4" w:rsidR="008E2AAD" w:rsidRPr="003921AD" w:rsidRDefault="008E2AAD" w:rsidP="00D530D5">
      <w:pPr>
        <w:pStyle w:val="ListParagraph"/>
        <w:numPr>
          <w:ilvl w:val="0"/>
          <w:numId w:val="147"/>
        </w:numPr>
        <w:jc w:val="left"/>
        <w:rPr>
          <w:bCs/>
          <w:szCs w:val="24"/>
        </w:rPr>
      </w:pPr>
      <w:r w:rsidRPr="003921AD">
        <w:rPr>
          <w:bCs/>
          <w:szCs w:val="24"/>
        </w:rPr>
        <w:t>The Reverse Proxy forwards the response to the Economic Operator</w:t>
      </w:r>
      <w:r w:rsidR="00A85C0C">
        <w:rPr>
          <w:bCs/>
          <w:szCs w:val="24"/>
        </w:rPr>
        <w:t>.</w:t>
      </w:r>
    </w:p>
    <w:p w14:paraId="2A4B4E76" w14:textId="77777777" w:rsidR="008E2AAD" w:rsidRDefault="008E2AAD" w:rsidP="008E2AAD">
      <w:pPr>
        <w:jc w:val="left"/>
        <w:rPr>
          <w:bCs/>
          <w:szCs w:val="24"/>
        </w:rPr>
      </w:pPr>
      <w:r>
        <w:rPr>
          <w:bCs/>
          <w:szCs w:val="24"/>
        </w:rPr>
        <w:t xml:space="preserve">System to System interaction is where a message is received from Economic Operator system and expecting an answer from the provider (NSW resource). </w:t>
      </w:r>
    </w:p>
    <w:p w14:paraId="260DDC16" w14:textId="77777777" w:rsidR="008E2AAD" w:rsidRDefault="008E2AAD" w:rsidP="008E2AAD">
      <w:pPr>
        <w:jc w:val="left"/>
        <w:rPr>
          <w:bCs/>
          <w:szCs w:val="24"/>
        </w:rPr>
      </w:pPr>
      <w:r>
        <w:rPr>
          <w:bCs/>
          <w:noProof/>
          <w:szCs w:val="24"/>
        </w:rPr>
        <w:lastRenderedPageBreak/>
        <w:drawing>
          <wp:inline distT="0" distB="0" distL="0" distR="0" wp14:anchorId="26A7F81F" wp14:editId="3C7A638F">
            <wp:extent cx="3727191" cy="3895725"/>
            <wp:effectExtent l="0" t="0" r="6985" b="0"/>
            <wp:docPr id="1798201622" name="Picture 179820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2786" cy="3901573"/>
                    </a:xfrm>
                    <a:prstGeom prst="rect">
                      <a:avLst/>
                    </a:prstGeom>
                    <a:noFill/>
                    <a:ln>
                      <a:noFill/>
                    </a:ln>
                  </pic:spPr>
                </pic:pic>
              </a:graphicData>
            </a:graphic>
          </wp:inline>
        </w:drawing>
      </w:r>
    </w:p>
    <w:p w14:paraId="4A7D102C" w14:textId="20CC1995" w:rsidR="0044028F" w:rsidRDefault="0044028F" w:rsidP="008E2AAD">
      <w:pPr>
        <w:pStyle w:val="ListParagraph"/>
        <w:jc w:val="left"/>
        <w:rPr>
          <w:bCs/>
          <w:szCs w:val="24"/>
        </w:rPr>
      </w:pPr>
      <w:r>
        <w:rPr>
          <w:bCs/>
          <w:szCs w:val="24"/>
        </w:rPr>
        <w:t>Figure 4: Manage EO Access to NSW services (System to System)</w:t>
      </w:r>
    </w:p>
    <w:p w14:paraId="4267ABB9" w14:textId="77777777" w:rsidR="0044028F" w:rsidRDefault="0044028F" w:rsidP="008E2AAD">
      <w:pPr>
        <w:pStyle w:val="ListParagraph"/>
        <w:jc w:val="left"/>
        <w:rPr>
          <w:bCs/>
          <w:szCs w:val="24"/>
        </w:rPr>
      </w:pPr>
    </w:p>
    <w:p w14:paraId="74375F58" w14:textId="2485F729" w:rsidR="00EE09D8" w:rsidRDefault="008E2AAD" w:rsidP="008E2AAD">
      <w:pPr>
        <w:pStyle w:val="ListParagraph"/>
        <w:jc w:val="left"/>
        <w:rPr>
          <w:bCs/>
          <w:szCs w:val="24"/>
        </w:rPr>
      </w:pPr>
      <w:r>
        <w:rPr>
          <w:bCs/>
          <w:szCs w:val="24"/>
        </w:rPr>
        <w:t xml:space="preserve">The steps are: </w:t>
      </w:r>
    </w:p>
    <w:p w14:paraId="7CC0FBF3" w14:textId="66A9ED08" w:rsidR="008E2AAD" w:rsidRPr="00FD21DF" w:rsidRDefault="008E2AAD" w:rsidP="00D530D5">
      <w:pPr>
        <w:pStyle w:val="ListParagraph"/>
        <w:numPr>
          <w:ilvl w:val="0"/>
          <w:numId w:val="152"/>
        </w:numPr>
        <w:jc w:val="left"/>
        <w:rPr>
          <w:bCs/>
          <w:szCs w:val="24"/>
        </w:rPr>
      </w:pPr>
      <w:r w:rsidRPr="003E27B9">
        <w:rPr>
          <w:bCs/>
          <w:szCs w:val="24"/>
        </w:rPr>
        <w:t xml:space="preserve">Economic Operator application sends a request towards a Trader Portal (Reverse </w:t>
      </w:r>
      <w:proofErr w:type="gramStart"/>
      <w:r w:rsidRPr="003E27B9">
        <w:rPr>
          <w:bCs/>
          <w:szCs w:val="24"/>
        </w:rPr>
        <w:t>Proxy;</w:t>
      </w:r>
      <w:proofErr w:type="gramEnd"/>
      <w:r w:rsidRPr="003E27B9">
        <w:rPr>
          <w:bCs/>
          <w:szCs w:val="24"/>
        </w:rPr>
        <w:t xml:space="preserve"> </w:t>
      </w:r>
    </w:p>
    <w:p w14:paraId="128E8FD1" w14:textId="0782E4A0" w:rsidR="008E2AAD" w:rsidRPr="003921AD" w:rsidRDefault="008E2AAD" w:rsidP="00D530D5">
      <w:pPr>
        <w:pStyle w:val="ListParagraph"/>
        <w:numPr>
          <w:ilvl w:val="0"/>
          <w:numId w:val="152"/>
        </w:numPr>
        <w:jc w:val="left"/>
        <w:rPr>
          <w:bCs/>
          <w:szCs w:val="24"/>
        </w:rPr>
      </w:pPr>
      <w:r w:rsidRPr="003921AD">
        <w:rPr>
          <w:bCs/>
          <w:szCs w:val="24"/>
        </w:rPr>
        <w:t xml:space="preserve">The reverse proxy of the trader portal performs authentication and authorization of the </w:t>
      </w:r>
      <w:proofErr w:type="gramStart"/>
      <w:r w:rsidRPr="003921AD">
        <w:rPr>
          <w:bCs/>
          <w:szCs w:val="24"/>
        </w:rPr>
        <w:t>request</w:t>
      </w:r>
      <w:r w:rsidR="00EE09D8">
        <w:rPr>
          <w:bCs/>
          <w:szCs w:val="24"/>
        </w:rPr>
        <w:t>;</w:t>
      </w:r>
      <w:proofErr w:type="gramEnd"/>
    </w:p>
    <w:p w14:paraId="02300631" w14:textId="4389819A" w:rsidR="008E2AAD" w:rsidRPr="003921AD" w:rsidRDefault="008E2AAD" w:rsidP="00D530D5">
      <w:pPr>
        <w:pStyle w:val="ListParagraph"/>
        <w:numPr>
          <w:ilvl w:val="0"/>
          <w:numId w:val="152"/>
        </w:numPr>
        <w:jc w:val="left"/>
        <w:rPr>
          <w:bCs/>
          <w:szCs w:val="24"/>
        </w:rPr>
      </w:pPr>
      <w:r w:rsidRPr="003921AD">
        <w:rPr>
          <w:bCs/>
          <w:szCs w:val="24"/>
        </w:rPr>
        <w:t xml:space="preserve">The request is routed within the NSW Trader </w:t>
      </w:r>
      <w:proofErr w:type="gramStart"/>
      <w:r w:rsidRPr="003921AD">
        <w:rPr>
          <w:bCs/>
          <w:szCs w:val="24"/>
        </w:rPr>
        <w:t>Portal</w:t>
      </w:r>
      <w:r w:rsidR="00EE09D8">
        <w:rPr>
          <w:bCs/>
          <w:szCs w:val="24"/>
        </w:rPr>
        <w:t>;</w:t>
      </w:r>
      <w:proofErr w:type="gramEnd"/>
    </w:p>
    <w:p w14:paraId="076A414C" w14:textId="0D3DC29F" w:rsidR="008E2AAD" w:rsidRPr="003921AD" w:rsidRDefault="008E2AAD" w:rsidP="00D530D5">
      <w:pPr>
        <w:pStyle w:val="ListParagraph"/>
        <w:numPr>
          <w:ilvl w:val="0"/>
          <w:numId w:val="152"/>
        </w:numPr>
        <w:jc w:val="left"/>
        <w:rPr>
          <w:bCs/>
          <w:szCs w:val="24"/>
        </w:rPr>
      </w:pPr>
      <w:r w:rsidRPr="003921AD">
        <w:rPr>
          <w:bCs/>
          <w:szCs w:val="24"/>
        </w:rPr>
        <w:t xml:space="preserve">The NSW Trader Portal Reverse Proxy sends the request to the service provider, using the endpoint retrieved in step </w:t>
      </w:r>
      <w:proofErr w:type="gramStart"/>
      <w:r w:rsidRPr="003921AD">
        <w:rPr>
          <w:bCs/>
          <w:szCs w:val="24"/>
        </w:rPr>
        <w:t>3</w:t>
      </w:r>
      <w:r w:rsidR="00EE09D8">
        <w:rPr>
          <w:bCs/>
          <w:szCs w:val="24"/>
        </w:rPr>
        <w:t>;</w:t>
      </w:r>
      <w:proofErr w:type="gramEnd"/>
    </w:p>
    <w:p w14:paraId="1257BCA2" w14:textId="156000CA" w:rsidR="008E2AAD" w:rsidRPr="003921AD" w:rsidRDefault="008E2AAD" w:rsidP="00D530D5">
      <w:pPr>
        <w:pStyle w:val="ListParagraph"/>
        <w:numPr>
          <w:ilvl w:val="0"/>
          <w:numId w:val="152"/>
        </w:numPr>
        <w:jc w:val="left"/>
        <w:rPr>
          <w:bCs/>
          <w:szCs w:val="24"/>
        </w:rPr>
      </w:pPr>
      <w:r w:rsidRPr="003921AD">
        <w:rPr>
          <w:bCs/>
          <w:szCs w:val="24"/>
        </w:rPr>
        <w:t xml:space="preserve">The Service Provider send </w:t>
      </w:r>
      <w:proofErr w:type="gramStart"/>
      <w:r w:rsidRPr="003921AD">
        <w:rPr>
          <w:bCs/>
          <w:szCs w:val="24"/>
        </w:rPr>
        <w:t>response</w:t>
      </w:r>
      <w:r w:rsidR="00EE09D8">
        <w:rPr>
          <w:bCs/>
          <w:szCs w:val="24"/>
        </w:rPr>
        <w:t>;</w:t>
      </w:r>
      <w:proofErr w:type="gramEnd"/>
    </w:p>
    <w:p w14:paraId="4AEC49EA" w14:textId="77777777" w:rsidR="008E2AAD" w:rsidRPr="003921AD" w:rsidRDefault="008E2AAD" w:rsidP="00D530D5">
      <w:pPr>
        <w:pStyle w:val="ListParagraph"/>
        <w:numPr>
          <w:ilvl w:val="0"/>
          <w:numId w:val="152"/>
        </w:numPr>
        <w:jc w:val="left"/>
        <w:rPr>
          <w:bCs/>
          <w:szCs w:val="24"/>
        </w:rPr>
      </w:pPr>
      <w:r w:rsidRPr="003921AD">
        <w:rPr>
          <w:bCs/>
          <w:szCs w:val="24"/>
        </w:rPr>
        <w:t>The Trader Portal sends the response</w:t>
      </w:r>
      <w:r>
        <w:rPr>
          <w:bCs/>
          <w:szCs w:val="24"/>
        </w:rPr>
        <w:t>.</w:t>
      </w:r>
    </w:p>
    <w:p w14:paraId="1DEBC042" w14:textId="77777777" w:rsidR="008E2AAD" w:rsidRDefault="008E2AAD">
      <w:pPr>
        <w:jc w:val="left"/>
        <w:rPr>
          <w:bCs/>
          <w:szCs w:val="24"/>
        </w:rPr>
      </w:pPr>
    </w:p>
    <w:p w14:paraId="787F4B25" w14:textId="461B43D4" w:rsidR="00157AAA" w:rsidRDefault="00582313" w:rsidP="008E2AAD">
      <w:pPr>
        <w:jc w:val="left"/>
        <w:rPr>
          <w:b/>
          <w:szCs w:val="24"/>
        </w:rPr>
      </w:pPr>
      <w:r>
        <w:rPr>
          <w:b/>
          <w:szCs w:val="24"/>
        </w:rPr>
        <w:t>1.2.3.1.</w:t>
      </w:r>
      <w:r w:rsidR="008E2AAD">
        <w:rPr>
          <w:b/>
          <w:szCs w:val="24"/>
        </w:rPr>
        <w:t>7</w:t>
      </w:r>
      <w:r>
        <w:rPr>
          <w:b/>
          <w:szCs w:val="24"/>
        </w:rPr>
        <w:t xml:space="preserve">. </w:t>
      </w:r>
      <w:r w:rsidR="006C1BE5">
        <w:rPr>
          <w:b/>
          <w:szCs w:val="24"/>
        </w:rPr>
        <w:t>NSW Portal Functional Requirements</w:t>
      </w:r>
    </w:p>
    <w:p w14:paraId="4672B66A" w14:textId="77777777" w:rsidR="00157AAA" w:rsidRDefault="00157AAA">
      <w:pPr>
        <w:spacing w:after="0"/>
        <w:jc w:val="left"/>
        <w:rPr>
          <w:b/>
          <w:szCs w:val="24"/>
        </w:rPr>
      </w:pPr>
    </w:p>
    <w:tbl>
      <w:tblPr>
        <w:tblStyle w:val="TableGrid1"/>
        <w:tblW w:w="8815" w:type="dxa"/>
        <w:tblLook w:val="04A0" w:firstRow="1" w:lastRow="0" w:firstColumn="1" w:lastColumn="0" w:noHBand="0" w:noVBand="1"/>
      </w:tblPr>
      <w:tblGrid>
        <w:gridCol w:w="1435"/>
        <w:gridCol w:w="7380"/>
      </w:tblGrid>
      <w:tr w:rsidR="00157AAA" w14:paraId="785D4CFA" w14:textId="77777777" w:rsidTr="001136D3">
        <w:trPr>
          <w:trHeight w:val="449"/>
          <w:tblHeader/>
        </w:trPr>
        <w:tc>
          <w:tcPr>
            <w:tcW w:w="1435" w:type="dxa"/>
            <w:shd w:val="clear" w:color="auto" w:fill="D9D9D9" w:themeFill="background1" w:themeFillShade="D9"/>
            <w:noWrap/>
          </w:tcPr>
          <w:p w14:paraId="016BAAD2" w14:textId="77777777" w:rsidR="00157AAA" w:rsidRDefault="006C1BE5">
            <w:pPr>
              <w:spacing w:after="0"/>
              <w:jc w:val="left"/>
              <w:rPr>
                <w:b/>
                <w:szCs w:val="24"/>
              </w:rPr>
            </w:pPr>
            <w:r>
              <w:rPr>
                <w:b/>
              </w:rPr>
              <w:t>ID Number</w:t>
            </w:r>
          </w:p>
        </w:tc>
        <w:tc>
          <w:tcPr>
            <w:tcW w:w="7380" w:type="dxa"/>
            <w:shd w:val="clear" w:color="auto" w:fill="D9D9D9" w:themeFill="background1" w:themeFillShade="D9"/>
          </w:tcPr>
          <w:p w14:paraId="1A84EBF8" w14:textId="77777777" w:rsidR="00157AAA" w:rsidRDefault="006C1BE5">
            <w:pPr>
              <w:spacing w:after="0"/>
              <w:jc w:val="left"/>
              <w:rPr>
                <w:b/>
                <w:szCs w:val="24"/>
              </w:rPr>
            </w:pPr>
            <w:r>
              <w:rPr>
                <w:b/>
              </w:rPr>
              <w:t>Description</w:t>
            </w:r>
          </w:p>
        </w:tc>
      </w:tr>
      <w:tr w:rsidR="00157AAA" w14:paraId="3D2CE4E1" w14:textId="77777777" w:rsidTr="001136D3">
        <w:trPr>
          <w:trHeight w:val="510"/>
        </w:trPr>
        <w:tc>
          <w:tcPr>
            <w:tcW w:w="1435" w:type="dxa"/>
            <w:noWrap/>
          </w:tcPr>
          <w:p w14:paraId="2E5F0DE4" w14:textId="77777777" w:rsidR="00157AAA" w:rsidRDefault="006C1BE5">
            <w:pPr>
              <w:spacing w:after="0"/>
              <w:jc w:val="left"/>
              <w:rPr>
                <w:szCs w:val="24"/>
              </w:rPr>
            </w:pPr>
            <w:r>
              <w:rPr>
                <w:szCs w:val="24"/>
              </w:rPr>
              <w:t>FR23</w:t>
            </w:r>
          </w:p>
        </w:tc>
        <w:tc>
          <w:tcPr>
            <w:tcW w:w="7380" w:type="dxa"/>
          </w:tcPr>
          <w:p w14:paraId="0FA4B7D3" w14:textId="77777777" w:rsidR="00157AAA" w:rsidRDefault="006C1BE5">
            <w:pPr>
              <w:spacing w:after="0"/>
              <w:rPr>
                <w:szCs w:val="24"/>
              </w:rPr>
            </w:pPr>
            <w:r>
              <w:rPr>
                <w:szCs w:val="24"/>
              </w:rPr>
              <w:t>NSW shall provide for an internet-based Web Portal for access to the NSW services for all categories of users that are to be registered on NSW.</w:t>
            </w:r>
          </w:p>
        </w:tc>
      </w:tr>
      <w:tr w:rsidR="00157AAA" w14:paraId="0B14FF7A" w14:textId="77777777" w:rsidTr="001136D3">
        <w:trPr>
          <w:trHeight w:val="2295"/>
        </w:trPr>
        <w:tc>
          <w:tcPr>
            <w:tcW w:w="1435" w:type="dxa"/>
            <w:noWrap/>
          </w:tcPr>
          <w:p w14:paraId="7E5573A9" w14:textId="77777777" w:rsidR="00157AAA" w:rsidRDefault="006C1BE5">
            <w:pPr>
              <w:spacing w:after="0"/>
              <w:jc w:val="left"/>
              <w:rPr>
                <w:szCs w:val="24"/>
              </w:rPr>
            </w:pPr>
            <w:r>
              <w:rPr>
                <w:szCs w:val="24"/>
              </w:rPr>
              <w:lastRenderedPageBreak/>
              <w:t>FR24</w:t>
            </w:r>
          </w:p>
        </w:tc>
        <w:tc>
          <w:tcPr>
            <w:tcW w:w="7380" w:type="dxa"/>
          </w:tcPr>
          <w:p w14:paraId="2F431820" w14:textId="77777777" w:rsidR="00157AAA" w:rsidRDefault="006C1BE5">
            <w:pPr>
              <w:spacing w:after="0"/>
              <w:rPr>
                <w:szCs w:val="24"/>
              </w:rPr>
            </w:pPr>
            <w:r>
              <w:rPr>
                <w:szCs w:val="24"/>
              </w:rPr>
              <w:t>Specific system functions and tools will be accessed utilizing three respective User inter-faces as follows:</w:t>
            </w:r>
          </w:p>
          <w:p w14:paraId="3C0155AC" w14:textId="77777777" w:rsidR="00157AAA" w:rsidRDefault="00157AAA">
            <w:pPr>
              <w:spacing w:after="0"/>
              <w:rPr>
                <w:szCs w:val="24"/>
              </w:rPr>
            </w:pPr>
          </w:p>
          <w:p w14:paraId="1A407D5B" w14:textId="4EE3155F" w:rsidR="00157AAA" w:rsidRPr="001136D3" w:rsidRDefault="006C1BE5" w:rsidP="00D530D5">
            <w:pPr>
              <w:pStyle w:val="ListParagraph"/>
              <w:numPr>
                <w:ilvl w:val="0"/>
                <w:numId w:val="179"/>
              </w:numPr>
              <w:tabs>
                <w:tab w:val="left" w:pos="435"/>
              </w:tabs>
              <w:spacing w:after="0"/>
              <w:rPr>
                <w:szCs w:val="24"/>
              </w:rPr>
            </w:pPr>
            <w:r w:rsidRPr="00FB7C09">
              <w:rPr>
                <w:szCs w:val="24"/>
              </w:rPr>
              <w:t>Registered trade users shall be able to use the trader’s user interface to prepare and submit all necessary applications for LPCOs and also prepare and submit supporting documents</w:t>
            </w:r>
            <w:r w:rsidRPr="001136D3">
              <w:rPr>
                <w:szCs w:val="24"/>
              </w:rPr>
              <w:t xml:space="preserve">, view their processing status and receive notifications of issue as well as to access payment and other information </w:t>
            </w:r>
            <w:proofErr w:type="gramStart"/>
            <w:r w:rsidRPr="001136D3">
              <w:rPr>
                <w:szCs w:val="24"/>
              </w:rPr>
              <w:t>services</w:t>
            </w:r>
            <w:r w:rsidR="00EE09D8" w:rsidRPr="001136D3">
              <w:rPr>
                <w:szCs w:val="24"/>
              </w:rPr>
              <w:t>;</w:t>
            </w:r>
            <w:proofErr w:type="gramEnd"/>
          </w:p>
          <w:p w14:paraId="3715C5AE" w14:textId="1D233154" w:rsidR="00157AAA" w:rsidRPr="001136D3" w:rsidRDefault="006C1BE5" w:rsidP="00D530D5">
            <w:pPr>
              <w:pStyle w:val="ListParagraph"/>
              <w:numPr>
                <w:ilvl w:val="0"/>
                <w:numId w:val="179"/>
              </w:numPr>
              <w:tabs>
                <w:tab w:val="left" w:pos="435"/>
              </w:tabs>
              <w:spacing w:after="0"/>
              <w:rPr>
                <w:szCs w:val="24"/>
              </w:rPr>
            </w:pPr>
            <w:r w:rsidRPr="001136D3">
              <w:rPr>
                <w:szCs w:val="24"/>
              </w:rPr>
              <w:t xml:space="preserve">CBRA user interface will support CBRA users for processing </w:t>
            </w:r>
            <w:proofErr w:type="gramStart"/>
            <w:r w:rsidRPr="001136D3">
              <w:rPr>
                <w:szCs w:val="24"/>
              </w:rPr>
              <w:t>LPCOs</w:t>
            </w:r>
            <w:r w:rsidR="00EE09D8" w:rsidRPr="001136D3">
              <w:rPr>
                <w:szCs w:val="24"/>
              </w:rPr>
              <w:t>;</w:t>
            </w:r>
            <w:proofErr w:type="gramEnd"/>
          </w:p>
          <w:p w14:paraId="594D71D6" w14:textId="0A8FD04A" w:rsidR="00157AAA" w:rsidRPr="001136D3" w:rsidRDefault="006C1BE5" w:rsidP="00D530D5">
            <w:pPr>
              <w:pStyle w:val="ListParagraph"/>
              <w:numPr>
                <w:ilvl w:val="0"/>
                <w:numId w:val="179"/>
              </w:numPr>
              <w:tabs>
                <w:tab w:val="left" w:pos="435"/>
              </w:tabs>
              <w:spacing w:after="0"/>
              <w:rPr>
                <w:szCs w:val="24"/>
              </w:rPr>
            </w:pPr>
            <w:r w:rsidRPr="001136D3">
              <w:rPr>
                <w:szCs w:val="24"/>
              </w:rPr>
              <w:t xml:space="preserve">Information Services users </w:t>
            </w:r>
            <w:r w:rsidR="009927DF" w:rsidRPr="001136D3">
              <w:rPr>
                <w:szCs w:val="24"/>
              </w:rPr>
              <w:t xml:space="preserve">of the </w:t>
            </w:r>
            <w:r w:rsidR="007A2569" w:rsidRPr="001136D3">
              <w:rPr>
                <w:szCs w:val="24"/>
              </w:rPr>
              <w:t>UI</w:t>
            </w:r>
            <w:r w:rsidRPr="001136D3">
              <w:rPr>
                <w:szCs w:val="24"/>
              </w:rPr>
              <w:t xml:space="preserve"> of the NSW system will be provided </w:t>
            </w:r>
            <w:r w:rsidR="009927DF" w:rsidRPr="001136D3">
              <w:rPr>
                <w:szCs w:val="24"/>
              </w:rPr>
              <w:t xml:space="preserve">with </w:t>
            </w:r>
            <w:r w:rsidRPr="001136D3">
              <w:rPr>
                <w:szCs w:val="24"/>
              </w:rPr>
              <w:t>a set of tools to view and extract relevant and authorized information on trade transactions.</w:t>
            </w:r>
          </w:p>
        </w:tc>
      </w:tr>
      <w:tr w:rsidR="00157AAA" w14:paraId="7E065129" w14:textId="77777777" w:rsidTr="001136D3">
        <w:trPr>
          <w:trHeight w:val="1367"/>
        </w:trPr>
        <w:tc>
          <w:tcPr>
            <w:tcW w:w="1435" w:type="dxa"/>
            <w:noWrap/>
          </w:tcPr>
          <w:p w14:paraId="3F99B1E7" w14:textId="77777777" w:rsidR="00157AAA" w:rsidRDefault="006C1BE5">
            <w:pPr>
              <w:spacing w:after="0"/>
              <w:jc w:val="left"/>
              <w:rPr>
                <w:szCs w:val="24"/>
              </w:rPr>
            </w:pPr>
            <w:r>
              <w:rPr>
                <w:szCs w:val="24"/>
              </w:rPr>
              <w:t>FR25</w:t>
            </w:r>
          </w:p>
        </w:tc>
        <w:tc>
          <w:tcPr>
            <w:tcW w:w="7380" w:type="dxa"/>
          </w:tcPr>
          <w:p w14:paraId="064AC8CF" w14:textId="1ECFBC3A" w:rsidR="00157AAA" w:rsidRPr="0026442C" w:rsidRDefault="006C1BE5">
            <w:pPr>
              <w:spacing w:after="240"/>
              <w:rPr>
                <w:szCs w:val="24"/>
              </w:rPr>
            </w:pPr>
            <w:r w:rsidRPr="0026442C">
              <w:rPr>
                <w:szCs w:val="24"/>
              </w:rPr>
              <w:t xml:space="preserve">The NSW Portal will be a single access </w:t>
            </w:r>
            <w:proofErr w:type="gramStart"/>
            <w:r w:rsidRPr="0026442C">
              <w:rPr>
                <w:szCs w:val="24"/>
              </w:rPr>
              <w:t>points</w:t>
            </w:r>
            <w:proofErr w:type="gramEnd"/>
            <w:r w:rsidRPr="0026442C">
              <w:rPr>
                <w:szCs w:val="24"/>
              </w:rPr>
              <w:t xml:space="preserve"> for all users of the NSW. Only registered stakeholders and their authorized staff shall be provided </w:t>
            </w:r>
            <w:proofErr w:type="gramStart"/>
            <w:r w:rsidRPr="0026442C">
              <w:rPr>
                <w:szCs w:val="24"/>
              </w:rPr>
              <w:t>the authenticated</w:t>
            </w:r>
            <w:proofErr w:type="gramEnd"/>
            <w:r w:rsidRPr="0026442C">
              <w:rPr>
                <w:szCs w:val="24"/>
              </w:rPr>
              <w:t xml:space="preserve"> and authorized access to the respective UI. Based on their registered role and functions, the users will be provided different access to the NSW features/functionalities.</w:t>
            </w:r>
            <w:r w:rsidR="002D2765" w:rsidRPr="0026442C">
              <w:rPr>
                <w:szCs w:val="24"/>
              </w:rPr>
              <w:t xml:space="preserve"> The system should provide functionality of multifactor authentication and</w:t>
            </w:r>
            <w:r w:rsidR="002D2765" w:rsidRPr="0026442C">
              <w:t xml:space="preserve"> possibility to integrate with the government's authentication framework (if any available)</w:t>
            </w:r>
            <w:r w:rsidR="002D2765" w:rsidRPr="0026442C">
              <w:rPr>
                <w:szCs w:val="24"/>
              </w:rPr>
              <w:t>.</w:t>
            </w:r>
          </w:p>
        </w:tc>
      </w:tr>
      <w:tr w:rsidR="00157AAA" w14:paraId="67B94CE0" w14:textId="77777777" w:rsidTr="001136D3">
        <w:trPr>
          <w:trHeight w:val="908"/>
        </w:trPr>
        <w:tc>
          <w:tcPr>
            <w:tcW w:w="1435" w:type="dxa"/>
            <w:noWrap/>
          </w:tcPr>
          <w:p w14:paraId="5364994A" w14:textId="77777777" w:rsidR="00157AAA" w:rsidRDefault="006C1BE5">
            <w:pPr>
              <w:spacing w:after="0"/>
              <w:jc w:val="left"/>
              <w:rPr>
                <w:szCs w:val="24"/>
              </w:rPr>
            </w:pPr>
            <w:r>
              <w:rPr>
                <w:szCs w:val="24"/>
              </w:rPr>
              <w:t>FR26</w:t>
            </w:r>
          </w:p>
        </w:tc>
        <w:tc>
          <w:tcPr>
            <w:tcW w:w="7380" w:type="dxa"/>
          </w:tcPr>
          <w:p w14:paraId="55598E6A" w14:textId="77777777" w:rsidR="00157AAA" w:rsidRDefault="006C1BE5">
            <w:pPr>
              <w:spacing w:after="240"/>
              <w:rPr>
                <w:szCs w:val="24"/>
              </w:rPr>
            </w:pPr>
            <w:r>
              <w:rPr>
                <w:szCs w:val="24"/>
              </w:rPr>
              <w:t>The NSW Portal shall be segregated into three separate zones – Traders’ Zone, CBRA Zone and Information Zone. Each of the zones must be supported by above-mentioned user interfaces (UI), accessed by authorized users, perform specific functions related to their roles.</w:t>
            </w:r>
          </w:p>
        </w:tc>
      </w:tr>
      <w:tr w:rsidR="00157AAA" w14:paraId="3FB98089" w14:textId="77777777" w:rsidTr="001136D3">
        <w:trPr>
          <w:trHeight w:val="548"/>
        </w:trPr>
        <w:tc>
          <w:tcPr>
            <w:tcW w:w="1435" w:type="dxa"/>
            <w:noWrap/>
          </w:tcPr>
          <w:p w14:paraId="4AC71B72" w14:textId="77777777" w:rsidR="00157AAA" w:rsidRDefault="006C1BE5">
            <w:pPr>
              <w:spacing w:after="0"/>
              <w:jc w:val="left"/>
              <w:rPr>
                <w:szCs w:val="24"/>
              </w:rPr>
            </w:pPr>
            <w:r>
              <w:rPr>
                <w:szCs w:val="24"/>
              </w:rPr>
              <w:t>FR28</w:t>
            </w:r>
          </w:p>
        </w:tc>
        <w:tc>
          <w:tcPr>
            <w:tcW w:w="7380" w:type="dxa"/>
          </w:tcPr>
          <w:p w14:paraId="5374B7BC" w14:textId="77777777" w:rsidR="00157AAA" w:rsidRDefault="006C1BE5">
            <w:pPr>
              <w:spacing w:after="240"/>
              <w:rPr>
                <w:szCs w:val="24"/>
              </w:rPr>
            </w:pPr>
            <w:r>
              <w:rPr>
                <w:szCs w:val="24"/>
              </w:rPr>
              <w:t>All these features shall allow NSW to be available and accessible anywhere, anytime to all concerned stakeholders as required.</w:t>
            </w:r>
          </w:p>
        </w:tc>
      </w:tr>
      <w:tr w:rsidR="00157AAA" w14:paraId="7B2697A9" w14:textId="77777777" w:rsidTr="001136D3">
        <w:trPr>
          <w:trHeight w:val="1808"/>
        </w:trPr>
        <w:tc>
          <w:tcPr>
            <w:tcW w:w="1435" w:type="dxa"/>
            <w:noWrap/>
          </w:tcPr>
          <w:p w14:paraId="4A84EE6C" w14:textId="77777777" w:rsidR="00157AAA" w:rsidRDefault="006C1BE5">
            <w:pPr>
              <w:spacing w:after="0"/>
              <w:jc w:val="left"/>
              <w:rPr>
                <w:szCs w:val="24"/>
              </w:rPr>
            </w:pPr>
            <w:r>
              <w:rPr>
                <w:szCs w:val="24"/>
              </w:rPr>
              <w:t>FR29</w:t>
            </w:r>
          </w:p>
        </w:tc>
        <w:tc>
          <w:tcPr>
            <w:tcW w:w="7380" w:type="dxa"/>
          </w:tcPr>
          <w:p w14:paraId="68BB793A" w14:textId="77777777" w:rsidR="00157AAA" w:rsidRDefault="006C1BE5">
            <w:pPr>
              <w:spacing w:after="240"/>
              <w:rPr>
                <w:szCs w:val="24"/>
              </w:rPr>
            </w:pPr>
            <w:r>
              <w:rPr>
                <w:szCs w:val="24"/>
              </w:rPr>
              <w:t>The Portal and Trader Zone / UI shall have counter to track the number of visits by external stakeholders / Traders. While the Regulatory Authority Zone / UI shall be supported by a comprehensive audit trail to capture every activity performed by the concerned User, like login sessions, values changed, documents uploaded etc. User wise activity report shall be generated through the system as required.</w:t>
            </w:r>
          </w:p>
        </w:tc>
      </w:tr>
      <w:tr w:rsidR="00157AAA" w14:paraId="4068F34D" w14:textId="77777777" w:rsidTr="001136D3">
        <w:trPr>
          <w:trHeight w:val="629"/>
        </w:trPr>
        <w:tc>
          <w:tcPr>
            <w:tcW w:w="8815" w:type="dxa"/>
            <w:gridSpan w:val="2"/>
            <w:noWrap/>
          </w:tcPr>
          <w:p w14:paraId="12951653" w14:textId="77777777" w:rsidR="00157AAA" w:rsidRDefault="00157AAA">
            <w:pPr>
              <w:spacing w:after="0"/>
              <w:jc w:val="left"/>
              <w:rPr>
                <w:szCs w:val="24"/>
              </w:rPr>
            </w:pPr>
          </w:p>
          <w:p w14:paraId="7C861F3A" w14:textId="77777777" w:rsidR="00157AAA" w:rsidRDefault="006C1BE5">
            <w:pPr>
              <w:spacing w:after="240"/>
              <w:jc w:val="left"/>
              <w:rPr>
                <w:b/>
                <w:szCs w:val="24"/>
              </w:rPr>
            </w:pPr>
            <w:r>
              <w:rPr>
                <w:b/>
                <w:szCs w:val="24"/>
              </w:rPr>
              <w:t>General Portal/UI Requirements</w:t>
            </w:r>
          </w:p>
        </w:tc>
      </w:tr>
      <w:tr w:rsidR="00157AAA" w14:paraId="666F721C" w14:textId="77777777" w:rsidTr="001136D3">
        <w:trPr>
          <w:trHeight w:val="555"/>
        </w:trPr>
        <w:tc>
          <w:tcPr>
            <w:tcW w:w="1435" w:type="dxa"/>
            <w:noWrap/>
          </w:tcPr>
          <w:p w14:paraId="154A94F0" w14:textId="77777777" w:rsidR="00157AAA" w:rsidRDefault="006C1BE5">
            <w:pPr>
              <w:spacing w:after="0"/>
              <w:jc w:val="left"/>
              <w:rPr>
                <w:szCs w:val="24"/>
              </w:rPr>
            </w:pPr>
            <w:r>
              <w:rPr>
                <w:szCs w:val="24"/>
              </w:rPr>
              <w:t>FR30</w:t>
            </w:r>
          </w:p>
        </w:tc>
        <w:tc>
          <w:tcPr>
            <w:tcW w:w="7380" w:type="dxa"/>
          </w:tcPr>
          <w:p w14:paraId="694064FF" w14:textId="009007BE" w:rsidR="00157AAA" w:rsidRPr="0026442C" w:rsidRDefault="006C1BE5">
            <w:pPr>
              <w:spacing w:after="0"/>
              <w:rPr>
                <w:szCs w:val="24"/>
              </w:rPr>
            </w:pPr>
            <w:r w:rsidRPr="0026442C">
              <w:rPr>
                <w:szCs w:val="24"/>
              </w:rPr>
              <w:t>The NSW Portal must display both static and dynamic content via the web and mobile browser</w:t>
            </w:r>
            <w:r w:rsidR="002D2765" w:rsidRPr="0026442C">
              <w:rPr>
                <w:szCs w:val="24"/>
              </w:rPr>
              <w:t xml:space="preserve"> in different form factors</w:t>
            </w:r>
            <w:r w:rsidRPr="0026442C">
              <w:rPr>
                <w:szCs w:val="24"/>
              </w:rPr>
              <w:t>. The content and information to be displayed on the Portal should be managed and administered via the “NSW Portal Administration” functionality.</w:t>
            </w:r>
          </w:p>
        </w:tc>
      </w:tr>
      <w:tr w:rsidR="00157AAA" w14:paraId="3DA886E3" w14:textId="77777777" w:rsidTr="001136D3">
        <w:trPr>
          <w:trHeight w:val="510"/>
        </w:trPr>
        <w:tc>
          <w:tcPr>
            <w:tcW w:w="1435" w:type="dxa"/>
            <w:noWrap/>
          </w:tcPr>
          <w:p w14:paraId="5C799674" w14:textId="77777777" w:rsidR="00157AAA" w:rsidRDefault="006C1BE5">
            <w:pPr>
              <w:spacing w:after="0"/>
              <w:jc w:val="left"/>
              <w:rPr>
                <w:szCs w:val="24"/>
              </w:rPr>
            </w:pPr>
            <w:r>
              <w:rPr>
                <w:szCs w:val="24"/>
              </w:rPr>
              <w:lastRenderedPageBreak/>
              <w:t>FR31</w:t>
            </w:r>
          </w:p>
        </w:tc>
        <w:tc>
          <w:tcPr>
            <w:tcW w:w="7380" w:type="dxa"/>
          </w:tcPr>
          <w:p w14:paraId="3F8DCAC4" w14:textId="77777777" w:rsidR="00157AAA" w:rsidRDefault="006C1BE5">
            <w:pPr>
              <w:spacing w:after="0"/>
              <w:rPr>
                <w:szCs w:val="24"/>
              </w:rPr>
            </w:pPr>
            <w:r>
              <w:rPr>
                <w:szCs w:val="24"/>
              </w:rPr>
              <w:t xml:space="preserve">The portal must contain </w:t>
            </w:r>
            <w:proofErr w:type="gramStart"/>
            <w:r>
              <w:rPr>
                <w:szCs w:val="24"/>
              </w:rPr>
              <w:t>a centralized</w:t>
            </w:r>
            <w:proofErr w:type="gramEnd"/>
            <w:r>
              <w:rPr>
                <w:szCs w:val="24"/>
              </w:rPr>
              <w:t xml:space="preserve"> content management. Further, the NSW Portal should provide a secure access to authorized access for users into the NSW system.</w:t>
            </w:r>
          </w:p>
        </w:tc>
      </w:tr>
      <w:tr w:rsidR="00157AAA" w14:paraId="1A799446" w14:textId="77777777" w:rsidTr="001136D3">
        <w:trPr>
          <w:trHeight w:val="255"/>
        </w:trPr>
        <w:tc>
          <w:tcPr>
            <w:tcW w:w="1435" w:type="dxa"/>
            <w:noWrap/>
          </w:tcPr>
          <w:p w14:paraId="054B8976" w14:textId="77777777" w:rsidR="00157AAA" w:rsidRDefault="006C1BE5">
            <w:pPr>
              <w:spacing w:after="0"/>
              <w:jc w:val="left"/>
              <w:rPr>
                <w:szCs w:val="24"/>
              </w:rPr>
            </w:pPr>
            <w:r>
              <w:rPr>
                <w:szCs w:val="24"/>
              </w:rPr>
              <w:t>FR32</w:t>
            </w:r>
          </w:p>
        </w:tc>
        <w:tc>
          <w:tcPr>
            <w:tcW w:w="7380" w:type="dxa"/>
          </w:tcPr>
          <w:p w14:paraId="3DE522EC" w14:textId="16FF486E" w:rsidR="00157AAA" w:rsidRPr="0026442C" w:rsidRDefault="00CF21F7" w:rsidP="0026442C">
            <w:pPr>
              <w:spacing w:after="0"/>
              <w:rPr>
                <w:szCs w:val="24"/>
              </w:rPr>
            </w:pPr>
            <w:r w:rsidRPr="0026442C">
              <w:rPr>
                <w:szCs w:val="24"/>
              </w:rPr>
              <w:t xml:space="preserve">The Portal should be able to display content in two languages – English and Macedonian (flexibility needed </w:t>
            </w:r>
            <w:proofErr w:type="gramStart"/>
            <w:r w:rsidRPr="0026442C">
              <w:rPr>
                <w:szCs w:val="24"/>
              </w:rPr>
              <w:t>with regard to</w:t>
            </w:r>
            <w:proofErr w:type="gramEnd"/>
            <w:r w:rsidRPr="0026442C">
              <w:rPr>
                <w:szCs w:val="24"/>
              </w:rPr>
              <w:t xml:space="preserve"> character-set – roman and Cyrillic Support for UTF-8</w:t>
            </w:r>
            <w:r w:rsidR="0026442C">
              <w:rPr>
                <w:szCs w:val="24"/>
              </w:rPr>
              <w:t xml:space="preserve"> </w:t>
            </w:r>
            <w:r w:rsidRPr="0026442C">
              <w:rPr>
                <w:szCs w:val="24"/>
              </w:rPr>
              <w:t>encoding). (</w:t>
            </w:r>
            <w:r w:rsidRPr="0026442C">
              <w:rPr>
                <w:rStyle w:val="ui-provider"/>
                <w:rFonts w:eastAsia="Arial"/>
              </w:rPr>
              <w:t>Support for the Macedonian and English Language and regional settings (date, time, currency and number format, and other regional and cultural conventions at national level)</w:t>
            </w:r>
          </w:p>
        </w:tc>
      </w:tr>
      <w:tr w:rsidR="00157AAA" w14:paraId="2B2C32C6" w14:textId="77777777" w:rsidTr="001136D3">
        <w:trPr>
          <w:trHeight w:val="510"/>
        </w:trPr>
        <w:tc>
          <w:tcPr>
            <w:tcW w:w="1435" w:type="dxa"/>
            <w:noWrap/>
          </w:tcPr>
          <w:p w14:paraId="453A016B" w14:textId="77777777" w:rsidR="00157AAA" w:rsidRDefault="006C1BE5">
            <w:pPr>
              <w:spacing w:after="0"/>
              <w:jc w:val="left"/>
              <w:rPr>
                <w:szCs w:val="24"/>
              </w:rPr>
            </w:pPr>
            <w:r>
              <w:rPr>
                <w:szCs w:val="24"/>
              </w:rPr>
              <w:t>FR33</w:t>
            </w:r>
          </w:p>
        </w:tc>
        <w:tc>
          <w:tcPr>
            <w:tcW w:w="7380" w:type="dxa"/>
          </w:tcPr>
          <w:p w14:paraId="5D55445B" w14:textId="77777777" w:rsidR="00157AAA" w:rsidRDefault="006C1BE5">
            <w:pPr>
              <w:spacing w:after="0"/>
              <w:rPr>
                <w:szCs w:val="24"/>
              </w:rPr>
            </w:pPr>
            <w:r>
              <w:rPr>
                <w:szCs w:val="24"/>
              </w:rPr>
              <w:t>The Portal must allow the User to update his/her profile; and if he/she is the entity administrator, shall be able to manage the entity’s registered employee accounts.</w:t>
            </w:r>
          </w:p>
        </w:tc>
      </w:tr>
      <w:tr w:rsidR="00157AAA" w14:paraId="1C43B52A" w14:textId="77777777" w:rsidTr="001136D3">
        <w:trPr>
          <w:trHeight w:val="510"/>
        </w:trPr>
        <w:tc>
          <w:tcPr>
            <w:tcW w:w="1435" w:type="dxa"/>
            <w:noWrap/>
          </w:tcPr>
          <w:p w14:paraId="59A495FE" w14:textId="77777777" w:rsidR="00157AAA" w:rsidRDefault="006C1BE5">
            <w:pPr>
              <w:spacing w:after="0"/>
              <w:jc w:val="left"/>
              <w:rPr>
                <w:szCs w:val="24"/>
              </w:rPr>
            </w:pPr>
            <w:r>
              <w:rPr>
                <w:szCs w:val="24"/>
              </w:rPr>
              <w:t>FR34</w:t>
            </w:r>
          </w:p>
        </w:tc>
        <w:tc>
          <w:tcPr>
            <w:tcW w:w="7380" w:type="dxa"/>
          </w:tcPr>
          <w:p w14:paraId="1A1B16BB" w14:textId="77777777" w:rsidR="00157AAA" w:rsidRDefault="006C1BE5">
            <w:pPr>
              <w:spacing w:after="0"/>
              <w:rPr>
                <w:szCs w:val="24"/>
              </w:rPr>
            </w:pPr>
            <w:r>
              <w:rPr>
                <w:szCs w:val="24"/>
              </w:rPr>
              <w:t>The content and information to be displayed on the Portal should be managed and administered via the “NSW Portal Administration” functionality, which must contain a centralized content management.</w:t>
            </w:r>
          </w:p>
        </w:tc>
      </w:tr>
      <w:tr w:rsidR="00157AAA" w14:paraId="7F6372A4" w14:textId="77777777" w:rsidTr="001136D3">
        <w:trPr>
          <w:trHeight w:val="765"/>
        </w:trPr>
        <w:tc>
          <w:tcPr>
            <w:tcW w:w="1435" w:type="dxa"/>
            <w:noWrap/>
          </w:tcPr>
          <w:p w14:paraId="6C89CCB2" w14:textId="77777777" w:rsidR="00157AAA" w:rsidRDefault="006C1BE5">
            <w:pPr>
              <w:spacing w:after="0"/>
              <w:jc w:val="left"/>
              <w:rPr>
                <w:szCs w:val="24"/>
              </w:rPr>
            </w:pPr>
            <w:r>
              <w:rPr>
                <w:szCs w:val="24"/>
              </w:rPr>
              <w:t>FR35</w:t>
            </w:r>
          </w:p>
        </w:tc>
        <w:tc>
          <w:tcPr>
            <w:tcW w:w="7380" w:type="dxa"/>
          </w:tcPr>
          <w:p w14:paraId="7D7EAA98" w14:textId="77777777" w:rsidR="00157AAA" w:rsidRDefault="006C1BE5">
            <w:pPr>
              <w:spacing w:after="0"/>
              <w:rPr>
                <w:szCs w:val="24"/>
              </w:rPr>
            </w:pPr>
            <w:r>
              <w:rPr>
                <w:szCs w:val="24"/>
              </w:rPr>
              <w:t>The NSW Portal must provide a secure access to authorized users into the NSW system, with strictly controlled access and privileges based on Role Based Access Control (RBAC) mechanism defined through the “NSW Portal Administration”.</w:t>
            </w:r>
          </w:p>
        </w:tc>
      </w:tr>
      <w:tr w:rsidR="00157AAA" w14:paraId="67E09CD9" w14:textId="77777777" w:rsidTr="001136D3">
        <w:trPr>
          <w:trHeight w:val="863"/>
        </w:trPr>
        <w:tc>
          <w:tcPr>
            <w:tcW w:w="1435" w:type="dxa"/>
            <w:noWrap/>
          </w:tcPr>
          <w:p w14:paraId="2531ED4C" w14:textId="77777777" w:rsidR="00157AAA" w:rsidRDefault="006C1BE5">
            <w:pPr>
              <w:spacing w:after="0"/>
              <w:jc w:val="left"/>
              <w:rPr>
                <w:szCs w:val="24"/>
              </w:rPr>
            </w:pPr>
            <w:r>
              <w:rPr>
                <w:szCs w:val="24"/>
              </w:rPr>
              <w:t>FR36</w:t>
            </w:r>
          </w:p>
        </w:tc>
        <w:tc>
          <w:tcPr>
            <w:tcW w:w="7380" w:type="dxa"/>
          </w:tcPr>
          <w:p w14:paraId="07694FDC" w14:textId="77777777" w:rsidR="00157AAA" w:rsidRDefault="006C1BE5">
            <w:pPr>
              <w:spacing w:after="0"/>
              <w:rPr>
                <w:szCs w:val="24"/>
              </w:rPr>
            </w:pPr>
            <w:r>
              <w:rPr>
                <w:szCs w:val="24"/>
              </w:rPr>
              <w:t>The type of content that NSW Portal shall display shall include (but not limited) to:</w:t>
            </w:r>
          </w:p>
          <w:p w14:paraId="6E2956D4" w14:textId="77777777" w:rsidR="00157AAA" w:rsidRDefault="006C1BE5" w:rsidP="00D530D5">
            <w:pPr>
              <w:pStyle w:val="ListParagraph"/>
              <w:numPr>
                <w:ilvl w:val="0"/>
                <w:numId w:val="106"/>
              </w:numPr>
              <w:spacing w:after="0"/>
              <w:ind w:left="345" w:hanging="345"/>
              <w:rPr>
                <w:szCs w:val="24"/>
              </w:rPr>
            </w:pPr>
            <w:r>
              <w:rPr>
                <w:szCs w:val="24"/>
              </w:rPr>
              <w:t xml:space="preserve">Static Content and Dynamic Content – The various types of static and dynamic content / information, static web pages, animation, videos etc.; Information about the stakeholders, their roles, functions, policies and </w:t>
            </w:r>
            <w:proofErr w:type="gramStart"/>
            <w:r>
              <w:rPr>
                <w:szCs w:val="24"/>
              </w:rPr>
              <w:t>guide-lines</w:t>
            </w:r>
            <w:proofErr w:type="gramEnd"/>
            <w:r>
              <w:rPr>
                <w:szCs w:val="24"/>
              </w:rPr>
              <w:t>, contacts information, etc.;</w:t>
            </w:r>
          </w:p>
          <w:p w14:paraId="42F4EDCA" w14:textId="77777777" w:rsidR="00157AAA" w:rsidRDefault="006C1BE5" w:rsidP="00D530D5">
            <w:pPr>
              <w:pStyle w:val="ListParagraph"/>
              <w:numPr>
                <w:ilvl w:val="0"/>
                <w:numId w:val="106"/>
              </w:numPr>
              <w:spacing w:after="0"/>
              <w:ind w:left="345" w:hanging="345"/>
              <w:rPr>
                <w:szCs w:val="24"/>
              </w:rPr>
            </w:pPr>
            <w:r>
              <w:rPr>
                <w:szCs w:val="24"/>
              </w:rPr>
              <w:t xml:space="preserve">Information about Services available, criteria, applicable fees, process and compliance requirements </w:t>
            </w:r>
            <w:proofErr w:type="gramStart"/>
            <w:r>
              <w:rPr>
                <w:szCs w:val="24"/>
              </w:rPr>
              <w:t>etc.;</w:t>
            </w:r>
            <w:proofErr w:type="gramEnd"/>
          </w:p>
          <w:p w14:paraId="49533214" w14:textId="77777777" w:rsidR="00157AAA" w:rsidRDefault="006C1BE5" w:rsidP="00D530D5">
            <w:pPr>
              <w:pStyle w:val="ListParagraph"/>
              <w:numPr>
                <w:ilvl w:val="0"/>
                <w:numId w:val="106"/>
              </w:numPr>
              <w:spacing w:after="0"/>
              <w:ind w:left="345" w:hanging="345"/>
              <w:rPr>
                <w:szCs w:val="24"/>
              </w:rPr>
            </w:pPr>
            <w:r>
              <w:rPr>
                <w:szCs w:val="24"/>
              </w:rPr>
              <w:t xml:space="preserve">News and </w:t>
            </w:r>
            <w:proofErr w:type="gramStart"/>
            <w:r>
              <w:rPr>
                <w:szCs w:val="24"/>
              </w:rPr>
              <w:t>Events;</w:t>
            </w:r>
            <w:proofErr w:type="gramEnd"/>
          </w:p>
          <w:p w14:paraId="17B4FEFD" w14:textId="77777777" w:rsidR="00157AAA" w:rsidRDefault="006C1BE5" w:rsidP="00D530D5">
            <w:pPr>
              <w:pStyle w:val="ListParagraph"/>
              <w:numPr>
                <w:ilvl w:val="0"/>
                <w:numId w:val="106"/>
              </w:numPr>
              <w:spacing w:after="0"/>
              <w:ind w:left="345" w:hanging="345"/>
              <w:rPr>
                <w:szCs w:val="24"/>
              </w:rPr>
            </w:pPr>
            <w:r>
              <w:rPr>
                <w:szCs w:val="24"/>
              </w:rPr>
              <w:t xml:space="preserve">Frequently Asked Questions (FAQ) / integration with Chabot / Knowledge </w:t>
            </w:r>
            <w:proofErr w:type="gramStart"/>
            <w:r>
              <w:rPr>
                <w:szCs w:val="24"/>
              </w:rPr>
              <w:t>repository;</w:t>
            </w:r>
            <w:proofErr w:type="gramEnd"/>
          </w:p>
          <w:p w14:paraId="15A6DB99" w14:textId="77777777" w:rsidR="00157AAA" w:rsidRDefault="006C1BE5" w:rsidP="00D530D5">
            <w:pPr>
              <w:pStyle w:val="ListParagraph"/>
              <w:numPr>
                <w:ilvl w:val="0"/>
                <w:numId w:val="106"/>
              </w:numPr>
              <w:spacing w:after="0"/>
              <w:ind w:left="345" w:hanging="345"/>
              <w:rPr>
                <w:szCs w:val="24"/>
              </w:rPr>
            </w:pPr>
            <w:r>
              <w:rPr>
                <w:szCs w:val="24"/>
              </w:rPr>
              <w:t xml:space="preserve">Key initiatives on Trade </w:t>
            </w:r>
            <w:proofErr w:type="gramStart"/>
            <w:r>
              <w:rPr>
                <w:szCs w:val="24"/>
              </w:rPr>
              <w:t>facilitation;</w:t>
            </w:r>
            <w:proofErr w:type="gramEnd"/>
          </w:p>
          <w:p w14:paraId="3D432C16" w14:textId="77777777" w:rsidR="00157AAA" w:rsidRDefault="006C1BE5" w:rsidP="00D530D5">
            <w:pPr>
              <w:pStyle w:val="ListParagraph"/>
              <w:numPr>
                <w:ilvl w:val="0"/>
                <w:numId w:val="106"/>
              </w:numPr>
              <w:spacing w:after="0"/>
              <w:ind w:left="345" w:hanging="345"/>
              <w:rPr>
                <w:szCs w:val="24"/>
              </w:rPr>
            </w:pPr>
            <w:r>
              <w:rPr>
                <w:szCs w:val="24"/>
              </w:rPr>
              <w:t xml:space="preserve">Photo Gallery / Video </w:t>
            </w:r>
            <w:proofErr w:type="gramStart"/>
            <w:r>
              <w:rPr>
                <w:szCs w:val="24"/>
              </w:rPr>
              <w:t>gallery;</w:t>
            </w:r>
            <w:proofErr w:type="gramEnd"/>
          </w:p>
          <w:p w14:paraId="54FF27F9" w14:textId="77777777" w:rsidR="00157AAA" w:rsidRDefault="006C1BE5" w:rsidP="00D530D5">
            <w:pPr>
              <w:pStyle w:val="ListParagraph"/>
              <w:numPr>
                <w:ilvl w:val="0"/>
                <w:numId w:val="106"/>
              </w:numPr>
              <w:spacing w:after="0"/>
              <w:ind w:left="345" w:hanging="345"/>
              <w:rPr>
                <w:szCs w:val="24"/>
              </w:rPr>
            </w:pPr>
            <w:r>
              <w:rPr>
                <w:szCs w:val="24"/>
              </w:rPr>
              <w:t xml:space="preserve">News / Communications from </w:t>
            </w:r>
            <w:proofErr w:type="gramStart"/>
            <w:r>
              <w:rPr>
                <w:szCs w:val="24"/>
              </w:rPr>
              <w:t>CBRAs;</w:t>
            </w:r>
            <w:proofErr w:type="gramEnd"/>
          </w:p>
          <w:p w14:paraId="5BAD6F72" w14:textId="77777777" w:rsidR="00157AAA" w:rsidRDefault="006C1BE5" w:rsidP="00D530D5">
            <w:pPr>
              <w:pStyle w:val="ListParagraph"/>
              <w:numPr>
                <w:ilvl w:val="0"/>
                <w:numId w:val="106"/>
              </w:numPr>
              <w:spacing w:after="0"/>
              <w:ind w:left="345" w:hanging="345"/>
              <w:rPr>
                <w:szCs w:val="24"/>
              </w:rPr>
            </w:pPr>
            <w:r>
              <w:rPr>
                <w:szCs w:val="24"/>
              </w:rPr>
              <w:t xml:space="preserve">Site Map and navigation </w:t>
            </w:r>
            <w:proofErr w:type="gramStart"/>
            <w:r>
              <w:rPr>
                <w:szCs w:val="24"/>
              </w:rPr>
              <w:t>directions;</w:t>
            </w:r>
            <w:proofErr w:type="gramEnd"/>
          </w:p>
          <w:p w14:paraId="27994926" w14:textId="77777777" w:rsidR="00157AAA" w:rsidRDefault="006C1BE5" w:rsidP="00D530D5">
            <w:pPr>
              <w:pStyle w:val="ListParagraph"/>
              <w:numPr>
                <w:ilvl w:val="0"/>
                <w:numId w:val="106"/>
              </w:numPr>
              <w:spacing w:after="0"/>
              <w:ind w:left="345" w:hanging="345"/>
              <w:rPr>
                <w:szCs w:val="24"/>
              </w:rPr>
            </w:pPr>
            <w:r>
              <w:rPr>
                <w:szCs w:val="24"/>
              </w:rPr>
              <w:t>Information Desk / Helpdesk and other contact details; and</w:t>
            </w:r>
          </w:p>
          <w:p w14:paraId="3E97FD63" w14:textId="77777777" w:rsidR="00157AAA" w:rsidRDefault="006C1BE5" w:rsidP="00D530D5">
            <w:pPr>
              <w:pStyle w:val="ListParagraph"/>
              <w:numPr>
                <w:ilvl w:val="0"/>
                <w:numId w:val="106"/>
              </w:numPr>
              <w:spacing w:after="0"/>
              <w:ind w:left="345" w:hanging="345"/>
              <w:rPr>
                <w:szCs w:val="24"/>
              </w:rPr>
            </w:pPr>
            <w:r>
              <w:rPr>
                <w:szCs w:val="24"/>
              </w:rPr>
              <w:t>Quick links to external applications / sites, as applicable.</w:t>
            </w:r>
          </w:p>
        </w:tc>
      </w:tr>
      <w:tr w:rsidR="00157AAA" w14:paraId="20D41293" w14:textId="77777777" w:rsidTr="001136D3">
        <w:trPr>
          <w:trHeight w:val="765"/>
        </w:trPr>
        <w:tc>
          <w:tcPr>
            <w:tcW w:w="1435" w:type="dxa"/>
            <w:noWrap/>
          </w:tcPr>
          <w:p w14:paraId="2EEE2187" w14:textId="77777777" w:rsidR="00157AAA" w:rsidRDefault="006C1BE5">
            <w:pPr>
              <w:spacing w:after="0"/>
              <w:jc w:val="left"/>
              <w:rPr>
                <w:szCs w:val="24"/>
              </w:rPr>
            </w:pPr>
            <w:r>
              <w:rPr>
                <w:szCs w:val="24"/>
              </w:rPr>
              <w:t>FR37</w:t>
            </w:r>
          </w:p>
        </w:tc>
        <w:tc>
          <w:tcPr>
            <w:tcW w:w="7380" w:type="dxa"/>
          </w:tcPr>
          <w:p w14:paraId="0088F2B7" w14:textId="77777777" w:rsidR="00157AAA" w:rsidRDefault="006C1BE5" w:rsidP="001136D3">
            <w:pPr>
              <w:spacing w:after="0"/>
              <w:jc w:val="left"/>
              <w:rPr>
                <w:szCs w:val="24"/>
              </w:rPr>
            </w:pPr>
            <w:r>
              <w:rPr>
                <w:szCs w:val="24"/>
              </w:rPr>
              <w:t>The NSW Portal must allow for regular publication reports/information/statistics for viewing, and selected download of reports and statistics. These contents can be configured to be automatically updated on the portal as defined by the authorized content publisher in the Portal “Content Management” functionality.</w:t>
            </w:r>
          </w:p>
        </w:tc>
      </w:tr>
      <w:tr w:rsidR="00157AAA" w14:paraId="500918DB" w14:textId="77777777" w:rsidTr="001136D3">
        <w:trPr>
          <w:trHeight w:val="510"/>
        </w:trPr>
        <w:tc>
          <w:tcPr>
            <w:tcW w:w="1435" w:type="dxa"/>
            <w:noWrap/>
          </w:tcPr>
          <w:p w14:paraId="02D95ECF" w14:textId="77777777" w:rsidR="00157AAA" w:rsidRDefault="006C1BE5">
            <w:pPr>
              <w:spacing w:after="0"/>
              <w:jc w:val="left"/>
              <w:rPr>
                <w:szCs w:val="24"/>
              </w:rPr>
            </w:pPr>
            <w:r>
              <w:rPr>
                <w:szCs w:val="24"/>
              </w:rPr>
              <w:t>FR38</w:t>
            </w:r>
          </w:p>
        </w:tc>
        <w:tc>
          <w:tcPr>
            <w:tcW w:w="7380" w:type="dxa"/>
            <w:tcBorders>
              <w:bottom w:val="single" w:sz="4" w:space="0" w:color="auto"/>
            </w:tcBorders>
          </w:tcPr>
          <w:p w14:paraId="6816DC2A" w14:textId="77777777" w:rsidR="00157AAA" w:rsidRDefault="006C1BE5">
            <w:pPr>
              <w:spacing w:after="0"/>
              <w:rPr>
                <w:szCs w:val="24"/>
              </w:rPr>
            </w:pPr>
            <w:r>
              <w:rPr>
                <w:szCs w:val="24"/>
              </w:rPr>
              <w:t>On the UI, the NSW Portal shall cater for configurable and customizable dashboard. The UI should allow the User personalization features to configure the dashboard display for his purposes.</w:t>
            </w:r>
          </w:p>
        </w:tc>
      </w:tr>
      <w:tr w:rsidR="00157AAA" w14:paraId="2F1BD220" w14:textId="77777777" w:rsidTr="001136D3">
        <w:trPr>
          <w:trHeight w:val="647"/>
        </w:trPr>
        <w:tc>
          <w:tcPr>
            <w:tcW w:w="1435" w:type="dxa"/>
            <w:tcBorders>
              <w:right w:val="single" w:sz="4" w:space="0" w:color="auto"/>
            </w:tcBorders>
            <w:noWrap/>
          </w:tcPr>
          <w:p w14:paraId="080B5757" w14:textId="77777777" w:rsidR="00157AAA" w:rsidRDefault="006C1BE5">
            <w:pPr>
              <w:spacing w:after="0"/>
              <w:jc w:val="left"/>
              <w:rPr>
                <w:szCs w:val="24"/>
              </w:rPr>
            </w:pPr>
            <w:r>
              <w:rPr>
                <w:szCs w:val="24"/>
              </w:rPr>
              <w:lastRenderedPageBreak/>
              <w:t>FR39</w:t>
            </w:r>
          </w:p>
        </w:tc>
        <w:tc>
          <w:tcPr>
            <w:tcW w:w="7380" w:type="dxa"/>
            <w:tcBorders>
              <w:top w:val="single" w:sz="4" w:space="0" w:color="auto"/>
              <w:left w:val="single" w:sz="4" w:space="0" w:color="auto"/>
              <w:bottom w:val="single" w:sz="4" w:space="0" w:color="auto"/>
              <w:right w:val="single" w:sz="4" w:space="0" w:color="auto"/>
            </w:tcBorders>
          </w:tcPr>
          <w:p w14:paraId="3622468D" w14:textId="77777777" w:rsidR="00157AAA" w:rsidRDefault="006C1BE5">
            <w:pPr>
              <w:spacing w:after="0"/>
              <w:rPr>
                <w:szCs w:val="24"/>
              </w:rPr>
            </w:pPr>
            <w:r>
              <w:rPr>
                <w:szCs w:val="24"/>
              </w:rPr>
              <w:t>The following key features are required to be implemented for the personal dashboard facility:</w:t>
            </w:r>
          </w:p>
          <w:p w14:paraId="5BF94D90" w14:textId="77777777" w:rsidR="00157AAA" w:rsidRDefault="006C1BE5" w:rsidP="00D530D5">
            <w:pPr>
              <w:pStyle w:val="ListParagraph"/>
              <w:numPr>
                <w:ilvl w:val="0"/>
                <w:numId w:val="107"/>
              </w:numPr>
              <w:spacing w:after="0"/>
              <w:rPr>
                <w:szCs w:val="24"/>
              </w:rPr>
            </w:pPr>
            <w:r>
              <w:rPr>
                <w:szCs w:val="24"/>
              </w:rPr>
              <w:t xml:space="preserve">Summary of all activities, service requests, status etc. as first landing </w:t>
            </w:r>
            <w:proofErr w:type="gramStart"/>
            <w:r>
              <w:rPr>
                <w:szCs w:val="24"/>
              </w:rPr>
              <w:t>page;</w:t>
            </w:r>
            <w:proofErr w:type="gramEnd"/>
          </w:p>
          <w:p w14:paraId="06216BF3" w14:textId="77777777" w:rsidR="00157AAA" w:rsidRDefault="006C1BE5" w:rsidP="00D530D5">
            <w:pPr>
              <w:pStyle w:val="ListParagraph"/>
              <w:numPr>
                <w:ilvl w:val="0"/>
                <w:numId w:val="107"/>
              </w:numPr>
              <w:spacing w:after="0"/>
              <w:rPr>
                <w:szCs w:val="24"/>
              </w:rPr>
            </w:pPr>
            <w:r>
              <w:rPr>
                <w:szCs w:val="24"/>
              </w:rPr>
              <w:t xml:space="preserve">Quick Links – Links within the application as well as external links to access any application functionality or website other than </w:t>
            </w:r>
            <w:proofErr w:type="gramStart"/>
            <w:r>
              <w:rPr>
                <w:szCs w:val="24"/>
              </w:rPr>
              <w:t>NSW;</w:t>
            </w:r>
            <w:proofErr w:type="gramEnd"/>
          </w:p>
          <w:p w14:paraId="4B370C90" w14:textId="77777777" w:rsidR="00157AAA" w:rsidRDefault="006C1BE5" w:rsidP="00D530D5">
            <w:pPr>
              <w:pStyle w:val="ListParagraph"/>
              <w:numPr>
                <w:ilvl w:val="0"/>
                <w:numId w:val="107"/>
              </w:numPr>
              <w:spacing w:after="0"/>
              <w:rPr>
                <w:szCs w:val="24"/>
              </w:rPr>
            </w:pPr>
            <w:r>
              <w:rPr>
                <w:szCs w:val="24"/>
              </w:rPr>
              <w:t xml:space="preserve">Pending or Outstanding Activities/Tasks List – arranged sequentially, based on type of tasks. The standard sequence of completing the tasks should be on First-in-First-out (FIFO) basis, with override </w:t>
            </w:r>
            <w:proofErr w:type="gramStart"/>
            <w:r>
              <w:rPr>
                <w:szCs w:val="24"/>
              </w:rPr>
              <w:t>feature;</w:t>
            </w:r>
            <w:proofErr w:type="gramEnd"/>
          </w:p>
          <w:p w14:paraId="19E9CE80" w14:textId="77777777" w:rsidR="00157AAA" w:rsidRDefault="006C1BE5" w:rsidP="00D530D5">
            <w:pPr>
              <w:pStyle w:val="ListParagraph"/>
              <w:numPr>
                <w:ilvl w:val="0"/>
                <w:numId w:val="107"/>
              </w:numPr>
              <w:spacing w:after="0"/>
              <w:rPr>
                <w:szCs w:val="24"/>
              </w:rPr>
            </w:pPr>
            <w:r>
              <w:rPr>
                <w:szCs w:val="24"/>
              </w:rPr>
              <w:t xml:space="preserve">Completed Activities / Tasks – All the completed activities / tasks should be dis-played to the concerned </w:t>
            </w:r>
            <w:proofErr w:type="gramStart"/>
            <w:r>
              <w:rPr>
                <w:szCs w:val="24"/>
              </w:rPr>
              <w:t>user,</w:t>
            </w:r>
            <w:proofErr w:type="gramEnd"/>
            <w:r>
              <w:rPr>
                <w:szCs w:val="24"/>
              </w:rPr>
              <w:t xml:space="preserve"> in case the user wants to refer to it in future;</w:t>
            </w:r>
          </w:p>
          <w:p w14:paraId="39A3C457" w14:textId="77777777" w:rsidR="00157AAA" w:rsidRDefault="006C1BE5" w:rsidP="00D530D5">
            <w:pPr>
              <w:pStyle w:val="ListParagraph"/>
              <w:numPr>
                <w:ilvl w:val="0"/>
                <w:numId w:val="107"/>
              </w:numPr>
              <w:spacing w:after="0"/>
              <w:rPr>
                <w:szCs w:val="24"/>
              </w:rPr>
            </w:pPr>
            <w:r>
              <w:rPr>
                <w:szCs w:val="24"/>
              </w:rPr>
              <w:t>To display MIS reports retrieved from the NSW MIS functionality; and</w:t>
            </w:r>
          </w:p>
          <w:p w14:paraId="5AB00E27" w14:textId="77777777" w:rsidR="00157AAA" w:rsidRDefault="006C1BE5" w:rsidP="00D530D5">
            <w:pPr>
              <w:pStyle w:val="ListParagraph"/>
              <w:numPr>
                <w:ilvl w:val="0"/>
                <w:numId w:val="107"/>
              </w:numPr>
              <w:spacing w:after="0"/>
              <w:rPr>
                <w:szCs w:val="24"/>
              </w:rPr>
            </w:pPr>
            <w:r>
              <w:rPr>
                <w:szCs w:val="24"/>
              </w:rPr>
              <w:t>Escalations/ Red Flags – Related to any notifications, alerts etc. as per pre-defined logic or escalation matrix.</w:t>
            </w:r>
          </w:p>
        </w:tc>
      </w:tr>
      <w:tr w:rsidR="00157AAA" w14:paraId="24DDFF04" w14:textId="77777777" w:rsidTr="001136D3">
        <w:trPr>
          <w:trHeight w:val="255"/>
        </w:trPr>
        <w:tc>
          <w:tcPr>
            <w:tcW w:w="1435" w:type="dxa"/>
            <w:noWrap/>
          </w:tcPr>
          <w:p w14:paraId="5958D4F0" w14:textId="77777777" w:rsidR="00157AAA" w:rsidRDefault="006C1BE5">
            <w:pPr>
              <w:spacing w:after="0"/>
              <w:jc w:val="left"/>
              <w:rPr>
                <w:szCs w:val="24"/>
              </w:rPr>
            </w:pPr>
            <w:r>
              <w:rPr>
                <w:szCs w:val="24"/>
              </w:rPr>
              <w:t>FR40</w:t>
            </w:r>
          </w:p>
        </w:tc>
        <w:tc>
          <w:tcPr>
            <w:tcW w:w="7380" w:type="dxa"/>
            <w:tcBorders>
              <w:top w:val="single" w:sz="4" w:space="0" w:color="auto"/>
            </w:tcBorders>
          </w:tcPr>
          <w:p w14:paraId="3FEDE7AF" w14:textId="77777777" w:rsidR="00157AAA" w:rsidRDefault="006C1BE5">
            <w:pPr>
              <w:spacing w:after="0"/>
              <w:rPr>
                <w:szCs w:val="24"/>
              </w:rPr>
            </w:pPr>
            <w:r>
              <w:rPr>
                <w:szCs w:val="24"/>
              </w:rPr>
              <w:t>The NSW Portal must provide an audit trail function should capture any such input in the system.</w:t>
            </w:r>
          </w:p>
        </w:tc>
      </w:tr>
      <w:tr w:rsidR="00157AAA" w14:paraId="4106855E" w14:textId="77777777" w:rsidTr="001136D3">
        <w:trPr>
          <w:trHeight w:val="510"/>
        </w:trPr>
        <w:tc>
          <w:tcPr>
            <w:tcW w:w="1435" w:type="dxa"/>
            <w:noWrap/>
          </w:tcPr>
          <w:p w14:paraId="738CF924" w14:textId="77777777" w:rsidR="00157AAA" w:rsidRDefault="006C1BE5">
            <w:pPr>
              <w:spacing w:after="0"/>
              <w:jc w:val="left"/>
              <w:rPr>
                <w:szCs w:val="24"/>
              </w:rPr>
            </w:pPr>
            <w:r>
              <w:rPr>
                <w:szCs w:val="24"/>
              </w:rPr>
              <w:t>FR41</w:t>
            </w:r>
          </w:p>
        </w:tc>
        <w:tc>
          <w:tcPr>
            <w:tcW w:w="7380" w:type="dxa"/>
          </w:tcPr>
          <w:p w14:paraId="023EDF3B" w14:textId="77777777" w:rsidR="00157AAA" w:rsidRDefault="006C1BE5">
            <w:pPr>
              <w:spacing w:after="0"/>
              <w:rPr>
                <w:szCs w:val="24"/>
              </w:rPr>
            </w:pPr>
            <w:r>
              <w:rPr>
                <w:szCs w:val="24"/>
              </w:rPr>
              <w:t xml:space="preserve">The NSW Portal must provide three separate UI functional sets - Trader UI, Government Agency </w:t>
            </w:r>
            <w:proofErr w:type="gramStart"/>
            <w:r>
              <w:rPr>
                <w:szCs w:val="24"/>
              </w:rPr>
              <w:t>UI</w:t>
            </w:r>
            <w:proofErr w:type="gramEnd"/>
            <w:r>
              <w:rPr>
                <w:szCs w:val="24"/>
              </w:rPr>
              <w:t xml:space="preserve"> and Information Services UI.</w:t>
            </w:r>
          </w:p>
        </w:tc>
      </w:tr>
      <w:tr w:rsidR="00157AAA" w14:paraId="0D3AED49" w14:textId="77777777">
        <w:trPr>
          <w:trHeight w:val="510"/>
        </w:trPr>
        <w:tc>
          <w:tcPr>
            <w:tcW w:w="8815" w:type="dxa"/>
            <w:gridSpan w:val="2"/>
            <w:shd w:val="clear" w:color="auto" w:fill="auto"/>
            <w:noWrap/>
          </w:tcPr>
          <w:p w14:paraId="32374410" w14:textId="77777777" w:rsidR="00157AAA" w:rsidRDefault="006C1BE5">
            <w:pPr>
              <w:spacing w:after="0"/>
              <w:jc w:val="left"/>
              <w:rPr>
                <w:b/>
                <w:szCs w:val="24"/>
              </w:rPr>
            </w:pPr>
            <w:r>
              <w:rPr>
                <w:b/>
                <w:szCs w:val="24"/>
              </w:rPr>
              <w:t>Trader UI Requirements</w:t>
            </w:r>
          </w:p>
        </w:tc>
      </w:tr>
      <w:tr w:rsidR="00157AAA" w14:paraId="34FCD4A1" w14:textId="77777777" w:rsidTr="001136D3">
        <w:trPr>
          <w:trHeight w:val="510"/>
        </w:trPr>
        <w:tc>
          <w:tcPr>
            <w:tcW w:w="1435" w:type="dxa"/>
            <w:noWrap/>
          </w:tcPr>
          <w:p w14:paraId="28ADCA56" w14:textId="77777777" w:rsidR="00157AAA" w:rsidRDefault="006C1BE5">
            <w:pPr>
              <w:spacing w:after="0"/>
              <w:jc w:val="left"/>
              <w:rPr>
                <w:szCs w:val="24"/>
              </w:rPr>
            </w:pPr>
            <w:r>
              <w:rPr>
                <w:szCs w:val="24"/>
              </w:rPr>
              <w:t>FR42</w:t>
            </w:r>
          </w:p>
        </w:tc>
        <w:tc>
          <w:tcPr>
            <w:tcW w:w="7380" w:type="dxa"/>
          </w:tcPr>
          <w:p w14:paraId="2E37FD4A" w14:textId="77777777" w:rsidR="00157AAA" w:rsidRDefault="006C1BE5">
            <w:pPr>
              <w:spacing w:after="0"/>
              <w:rPr>
                <w:szCs w:val="24"/>
              </w:rPr>
            </w:pPr>
            <w:r>
              <w:rPr>
                <w:szCs w:val="24"/>
              </w:rPr>
              <w:t>The Trade user must be able to log in and access the homepage of the Trader UI, which shall display a menu of functions applicable to the user, alert of any new notification messages and status of applications.</w:t>
            </w:r>
          </w:p>
        </w:tc>
      </w:tr>
      <w:tr w:rsidR="00157AAA" w14:paraId="286BB66D" w14:textId="77777777" w:rsidTr="001136D3">
        <w:trPr>
          <w:trHeight w:val="510"/>
        </w:trPr>
        <w:tc>
          <w:tcPr>
            <w:tcW w:w="1435" w:type="dxa"/>
            <w:noWrap/>
          </w:tcPr>
          <w:p w14:paraId="6275E8AC" w14:textId="77777777" w:rsidR="00157AAA" w:rsidRDefault="006C1BE5">
            <w:pPr>
              <w:spacing w:after="0"/>
              <w:jc w:val="left"/>
              <w:rPr>
                <w:szCs w:val="24"/>
              </w:rPr>
            </w:pPr>
            <w:r>
              <w:rPr>
                <w:szCs w:val="24"/>
              </w:rPr>
              <w:t>FR43</w:t>
            </w:r>
          </w:p>
        </w:tc>
        <w:tc>
          <w:tcPr>
            <w:tcW w:w="7380" w:type="dxa"/>
          </w:tcPr>
          <w:p w14:paraId="606BF390" w14:textId="77777777" w:rsidR="00157AAA" w:rsidRDefault="006C1BE5">
            <w:pPr>
              <w:spacing w:after="0"/>
              <w:rPr>
                <w:szCs w:val="24"/>
              </w:rPr>
            </w:pPr>
            <w:r>
              <w:rPr>
                <w:szCs w:val="24"/>
              </w:rPr>
              <w:t>The UI shall display the lodgment screens of the other NSW functionality – LPCO.</w:t>
            </w:r>
          </w:p>
        </w:tc>
      </w:tr>
      <w:tr w:rsidR="00157AAA" w14:paraId="210490D0" w14:textId="77777777" w:rsidTr="001136D3">
        <w:trPr>
          <w:trHeight w:val="765"/>
        </w:trPr>
        <w:tc>
          <w:tcPr>
            <w:tcW w:w="1435" w:type="dxa"/>
            <w:noWrap/>
          </w:tcPr>
          <w:p w14:paraId="474248A4" w14:textId="77777777" w:rsidR="00157AAA" w:rsidRDefault="006C1BE5">
            <w:pPr>
              <w:spacing w:after="0"/>
              <w:jc w:val="left"/>
              <w:rPr>
                <w:szCs w:val="24"/>
              </w:rPr>
            </w:pPr>
            <w:r>
              <w:rPr>
                <w:szCs w:val="24"/>
              </w:rPr>
              <w:t>FR44</w:t>
            </w:r>
          </w:p>
        </w:tc>
        <w:tc>
          <w:tcPr>
            <w:tcW w:w="7380" w:type="dxa"/>
          </w:tcPr>
          <w:p w14:paraId="54E99BA3" w14:textId="77777777" w:rsidR="00157AAA" w:rsidRDefault="006C1BE5">
            <w:pPr>
              <w:spacing w:after="0"/>
              <w:rPr>
                <w:szCs w:val="24"/>
              </w:rPr>
            </w:pPr>
            <w:r>
              <w:rPr>
                <w:szCs w:val="24"/>
              </w:rPr>
              <w:t>The User must use the UI to access into the NSW services – for application of LPCOs and to upload required particulars and scanned/ digital copies/ images of supporting documents (as attachments) to facilitate paperless processing.</w:t>
            </w:r>
          </w:p>
        </w:tc>
      </w:tr>
      <w:tr w:rsidR="00157AAA" w14:paraId="7F2B2BAD" w14:textId="77777777" w:rsidTr="001136D3">
        <w:trPr>
          <w:trHeight w:val="510"/>
        </w:trPr>
        <w:tc>
          <w:tcPr>
            <w:tcW w:w="1435" w:type="dxa"/>
            <w:noWrap/>
          </w:tcPr>
          <w:p w14:paraId="473431CF" w14:textId="77777777" w:rsidR="00157AAA" w:rsidRDefault="006C1BE5">
            <w:pPr>
              <w:spacing w:after="0"/>
              <w:jc w:val="left"/>
              <w:rPr>
                <w:szCs w:val="24"/>
              </w:rPr>
            </w:pPr>
            <w:r>
              <w:rPr>
                <w:szCs w:val="24"/>
              </w:rPr>
              <w:t>FR45</w:t>
            </w:r>
          </w:p>
        </w:tc>
        <w:tc>
          <w:tcPr>
            <w:tcW w:w="7380" w:type="dxa"/>
          </w:tcPr>
          <w:p w14:paraId="3867BF85" w14:textId="77777777" w:rsidR="00157AAA" w:rsidRDefault="006C1BE5">
            <w:pPr>
              <w:spacing w:after="0"/>
              <w:rPr>
                <w:szCs w:val="24"/>
              </w:rPr>
            </w:pPr>
            <w:r>
              <w:rPr>
                <w:szCs w:val="24"/>
              </w:rPr>
              <w:t>The UI must provide lodgment status updates, approvals, rejections, and tracking information on transactions conducted in the NSW.  This includes a feature to view historical transactions.</w:t>
            </w:r>
          </w:p>
        </w:tc>
      </w:tr>
      <w:tr w:rsidR="00157AAA" w14:paraId="14CD64AD" w14:textId="77777777" w:rsidTr="001136D3">
        <w:trPr>
          <w:trHeight w:val="510"/>
        </w:trPr>
        <w:tc>
          <w:tcPr>
            <w:tcW w:w="1435" w:type="dxa"/>
            <w:noWrap/>
          </w:tcPr>
          <w:p w14:paraId="36378E4C" w14:textId="77777777" w:rsidR="00157AAA" w:rsidRDefault="006C1BE5">
            <w:pPr>
              <w:spacing w:after="0"/>
              <w:jc w:val="left"/>
              <w:rPr>
                <w:szCs w:val="24"/>
              </w:rPr>
            </w:pPr>
            <w:r>
              <w:rPr>
                <w:szCs w:val="24"/>
              </w:rPr>
              <w:t>FR46</w:t>
            </w:r>
          </w:p>
        </w:tc>
        <w:tc>
          <w:tcPr>
            <w:tcW w:w="7380" w:type="dxa"/>
          </w:tcPr>
          <w:p w14:paraId="0C5ADC98" w14:textId="77777777" w:rsidR="00157AAA" w:rsidRDefault="006C1BE5">
            <w:pPr>
              <w:spacing w:after="0"/>
              <w:rPr>
                <w:szCs w:val="24"/>
              </w:rPr>
            </w:pPr>
            <w:r>
              <w:rPr>
                <w:szCs w:val="24"/>
              </w:rPr>
              <w:t>The UI must provide alerts and messaging notification service to the User for all messages / communication issued by the Customs, CBRAs and other regulatory authorities.</w:t>
            </w:r>
          </w:p>
        </w:tc>
      </w:tr>
      <w:tr w:rsidR="00157AAA" w14:paraId="5A14D79A" w14:textId="77777777" w:rsidTr="001136D3">
        <w:trPr>
          <w:trHeight w:val="510"/>
        </w:trPr>
        <w:tc>
          <w:tcPr>
            <w:tcW w:w="1435" w:type="dxa"/>
            <w:noWrap/>
          </w:tcPr>
          <w:p w14:paraId="269BEFD4" w14:textId="77777777" w:rsidR="00157AAA" w:rsidRDefault="006C1BE5">
            <w:pPr>
              <w:spacing w:after="0"/>
              <w:jc w:val="left"/>
              <w:rPr>
                <w:szCs w:val="24"/>
              </w:rPr>
            </w:pPr>
            <w:r>
              <w:rPr>
                <w:szCs w:val="24"/>
              </w:rPr>
              <w:t>FR47</w:t>
            </w:r>
          </w:p>
        </w:tc>
        <w:tc>
          <w:tcPr>
            <w:tcW w:w="7380" w:type="dxa"/>
          </w:tcPr>
          <w:p w14:paraId="474C6D95" w14:textId="77777777" w:rsidR="00157AAA" w:rsidRDefault="006C1BE5">
            <w:pPr>
              <w:spacing w:after="0"/>
              <w:rPr>
                <w:szCs w:val="24"/>
              </w:rPr>
            </w:pPr>
            <w:r>
              <w:rPr>
                <w:szCs w:val="24"/>
              </w:rPr>
              <w:t>The UI must provide the User to access the payment facility of the NSW Payment Functionality, to conduct payment according to the payment notification/advice.</w:t>
            </w:r>
          </w:p>
        </w:tc>
      </w:tr>
      <w:tr w:rsidR="00157AAA" w14:paraId="4E9C6B88" w14:textId="77777777" w:rsidTr="001136D3">
        <w:trPr>
          <w:trHeight w:val="510"/>
        </w:trPr>
        <w:tc>
          <w:tcPr>
            <w:tcW w:w="1435" w:type="dxa"/>
            <w:noWrap/>
          </w:tcPr>
          <w:p w14:paraId="6CA00D0E" w14:textId="77777777" w:rsidR="00157AAA" w:rsidRDefault="006C1BE5">
            <w:pPr>
              <w:spacing w:after="0"/>
              <w:jc w:val="left"/>
              <w:rPr>
                <w:szCs w:val="24"/>
              </w:rPr>
            </w:pPr>
            <w:r>
              <w:rPr>
                <w:szCs w:val="24"/>
              </w:rPr>
              <w:t>FR48</w:t>
            </w:r>
          </w:p>
        </w:tc>
        <w:tc>
          <w:tcPr>
            <w:tcW w:w="7380" w:type="dxa"/>
          </w:tcPr>
          <w:p w14:paraId="5321B152" w14:textId="77777777" w:rsidR="00157AAA" w:rsidRDefault="006C1BE5">
            <w:pPr>
              <w:spacing w:after="0"/>
              <w:rPr>
                <w:szCs w:val="24"/>
              </w:rPr>
            </w:pPr>
            <w:r>
              <w:rPr>
                <w:szCs w:val="24"/>
              </w:rPr>
              <w:t>The UI must provide a calendar feature for the User to keep track of expiry date of LPCOs or any other documents or trade transactions and allow the User to set reminders in advance for renewals.</w:t>
            </w:r>
          </w:p>
        </w:tc>
      </w:tr>
      <w:tr w:rsidR="006473C3" w14:paraId="3A68DBBE" w14:textId="77777777" w:rsidTr="001136D3">
        <w:trPr>
          <w:trHeight w:val="510"/>
        </w:trPr>
        <w:tc>
          <w:tcPr>
            <w:tcW w:w="1435" w:type="dxa"/>
            <w:noWrap/>
          </w:tcPr>
          <w:p w14:paraId="60E47247" w14:textId="45A49323" w:rsidR="006473C3" w:rsidRDefault="006473C3" w:rsidP="006473C3">
            <w:pPr>
              <w:ind w:left="738" w:right="-14" w:hanging="738"/>
              <w:jc w:val="left"/>
              <w:rPr>
                <w:szCs w:val="24"/>
              </w:rPr>
            </w:pPr>
            <w:r>
              <w:rPr>
                <w:szCs w:val="24"/>
              </w:rPr>
              <w:lastRenderedPageBreak/>
              <w:t>FR106</w:t>
            </w:r>
          </w:p>
          <w:p w14:paraId="0F841C24" w14:textId="3AF40000" w:rsidR="006473C3" w:rsidRDefault="006473C3" w:rsidP="006473C3">
            <w:pPr>
              <w:spacing w:after="0"/>
              <w:jc w:val="left"/>
              <w:rPr>
                <w:szCs w:val="24"/>
              </w:rPr>
            </w:pPr>
          </w:p>
        </w:tc>
        <w:tc>
          <w:tcPr>
            <w:tcW w:w="7380" w:type="dxa"/>
          </w:tcPr>
          <w:p w14:paraId="5A383C29" w14:textId="3DB0E095" w:rsidR="006473C3" w:rsidRDefault="006473C3" w:rsidP="006473C3">
            <w:pPr>
              <w:spacing w:after="0"/>
              <w:rPr>
                <w:szCs w:val="24"/>
              </w:rPr>
            </w:pPr>
            <w:r>
              <w:t>The System must establish a database of LPCO applications. For each LPCO application form, the list of Tariff codes</w:t>
            </w:r>
            <w:r>
              <w:rPr>
                <w:color w:val="FF0000"/>
              </w:rPr>
              <w:t xml:space="preserve"> </w:t>
            </w:r>
            <w:r>
              <w:t>that can be selected by Applicant will be linked to the form.</w:t>
            </w:r>
          </w:p>
        </w:tc>
      </w:tr>
      <w:tr w:rsidR="009068DA" w14:paraId="43F4CB32" w14:textId="77777777" w:rsidTr="001136D3">
        <w:trPr>
          <w:trHeight w:val="510"/>
        </w:trPr>
        <w:tc>
          <w:tcPr>
            <w:tcW w:w="1435" w:type="dxa"/>
            <w:noWrap/>
          </w:tcPr>
          <w:p w14:paraId="5CAB3715" w14:textId="656C8945" w:rsidR="009068DA" w:rsidRDefault="009068DA" w:rsidP="009068DA">
            <w:pPr>
              <w:ind w:left="738" w:right="-14" w:hanging="738"/>
              <w:jc w:val="left"/>
              <w:rPr>
                <w:szCs w:val="24"/>
              </w:rPr>
            </w:pPr>
            <w:r>
              <w:rPr>
                <w:szCs w:val="24"/>
              </w:rPr>
              <w:t>FR117</w:t>
            </w:r>
          </w:p>
          <w:p w14:paraId="36047635" w14:textId="3599C8FF" w:rsidR="009068DA" w:rsidRDefault="009068DA" w:rsidP="009068DA">
            <w:pPr>
              <w:ind w:left="738" w:right="-14" w:hanging="738"/>
              <w:jc w:val="left"/>
            </w:pPr>
          </w:p>
        </w:tc>
        <w:tc>
          <w:tcPr>
            <w:tcW w:w="7380" w:type="dxa"/>
          </w:tcPr>
          <w:p w14:paraId="643798FB" w14:textId="67C0AAFD" w:rsidR="009068DA" w:rsidRDefault="009068DA" w:rsidP="009068DA">
            <w:pPr>
              <w:spacing w:after="0"/>
            </w:pPr>
            <w:r>
              <w:t>The Applicant must be able to change or update the information submitted for an application earlier as well as the associated supporting documentation. There should be no limitations regarding adding new, updating existing or deletion of associated documentation prior to submission. The NSW System must ensure that only the originating applicant (or his authorized representative) can change/update the application.</w:t>
            </w:r>
          </w:p>
        </w:tc>
      </w:tr>
      <w:tr w:rsidR="009068DA" w14:paraId="703AB7B7" w14:textId="77777777">
        <w:trPr>
          <w:trHeight w:val="510"/>
        </w:trPr>
        <w:tc>
          <w:tcPr>
            <w:tcW w:w="8815" w:type="dxa"/>
            <w:gridSpan w:val="2"/>
            <w:shd w:val="clear" w:color="auto" w:fill="auto"/>
            <w:noWrap/>
          </w:tcPr>
          <w:p w14:paraId="61D62AF4" w14:textId="77777777" w:rsidR="009068DA" w:rsidRDefault="009068DA" w:rsidP="009068DA">
            <w:pPr>
              <w:spacing w:after="0"/>
              <w:jc w:val="left"/>
              <w:rPr>
                <w:b/>
                <w:szCs w:val="24"/>
              </w:rPr>
            </w:pPr>
            <w:r>
              <w:rPr>
                <w:b/>
                <w:szCs w:val="24"/>
              </w:rPr>
              <w:t>CBRA UI Requirements</w:t>
            </w:r>
          </w:p>
        </w:tc>
      </w:tr>
      <w:tr w:rsidR="009068DA" w14:paraId="12BECD9E" w14:textId="77777777" w:rsidTr="001136D3">
        <w:trPr>
          <w:trHeight w:val="1106"/>
        </w:trPr>
        <w:tc>
          <w:tcPr>
            <w:tcW w:w="1435" w:type="dxa"/>
            <w:noWrap/>
          </w:tcPr>
          <w:p w14:paraId="17A6E8F6" w14:textId="77777777" w:rsidR="009068DA" w:rsidRDefault="009068DA" w:rsidP="009068DA">
            <w:pPr>
              <w:spacing w:after="0"/>
              <w:jc w:val="left"/>
              <w:rPr>
                <w:szCs w:val="24"/>
              </w:rPr>
            </w:pPr>
            <w:r>
              <w:rPr>
                <w:szCs w:val="24"/>
              </w:rPr>
              <w:t>FR49</w:t>
            </w:r>
          </w:p>
        </w:tc>
        <w:tc>
          <w:tcPr>
            <w:tcW w:w="7380" w:type="dxa"/>
          </w:tcPr>
          <w:p w14:paraId="7943D40B" w14:textId="77777777" w:rsidR="009068DA" w:rsidRDefault="009068DA" w:rsidP="009068DA">
            <w:pPr>
              <w:spacing w:after="0"/>
              <w:rPr>
                <w:szCs w:val="24"/>
              </w:rPr>
            </w:pPr>
            <w:r>
              <w:rPr>
                <w:szCs w:val="24"/>
              </w:rPr>
              <w:t>The Customs UI must provide the functions for the Customs officers to conduct the necessary oversight pertaining to the trade transaction at the following stage:</w:t>
            </w:r>
          </w:p>
          <w:p w14:paraId="3A2AB06B" w14:textId="77777777" w:rsidR="009068DA" w:rsidRDefault="009068DA" w:rsidP="00D530D5">
            <w:pPr>
              <w:pStyle w:val="ListParagraph"/>
              <w:numPr>
                <w:ilvl w:val="0"/>
                <w:numId w:val="108"/>
              </w:numPr>
              <w:spacing w:after="0"/>
              <w:rPr>
                <w:szCs w:val="24"/>
              </w:rPr>
            </w:pPr>
            <w:r>
              <w:rPr>
                <w:szCs w:val="24"/>
              </w:rPr>
              <w:t>LPCO application, processing, and approvals.</w:t>
            </w:r>
          </w:p>
        </w:tc>
      </w:tr>
      <w:tr w:rsidR="009068DA" w14:paraId="1C423B5F" w14:textId="77777777" w:rsidTr="001136D3">
        <w:trPr>
          <w:trHeight w:val="510"/>
        </w:trPr>
        <w:tc>
          <w:tcPr>
            <w:tcW w:w="1435" w:type="dxa"/>
            <w:noWrap/>
          </w:tcPr>
          <w:p w14:paraId="3CE2EA95" w14:textId="77777777" w:rsidR="009068DA" w:rsidRDefault="009068DA" w:rsidP="009068DA">
            <w:pPr>
              <w:spacing w:after="0"/>
              <w:jc w:val="left"/>
              <w:rPr>
                <w:szCs w:val="24"/>
              </w:rPr>
            </w:pPr>
            <w:r>
              <w:rPr>
                <w:szCs w:val="24"/>
              </w:rPr>
              <w:t>FR51</w:t>
            </w:r>
          </w:p>
        </w:tc>
        <w:tc>
          <w:tcPr>
            <w:tcW w:w="7380" w:type="dxa"/>
          </w:tcPr>
          <w:p w14:paraId="684E3B34" w14:textId="77777777" w:rsidR="009068DA" w:rsidRDefault="009068DA" w:rsidP="009068DA">
            <w:pPr>
              <w:spacing w:after="0"/>
              <w:rPr>
                <w:szCs w:val="24"/>
              </w:rPr>
            </w:pPr>
            <w:r>
              <w:rPr>
                <w:szCs w:val="24"/>
              </w:rPr>
              <w:t>The Customs UI must ensure that authorized Customs officers have access to data pertinent to them as assigned based on roles and workflow management configuration.</w:t>
            </w:r>
          </w:p>
        </w:tc>
      </w:tr>
      <w:tr w:rsidR="009068DA" w14:paraId="5AB47184" w14:textId="77777777" w:rsidTr="001136D3">
        <w:trPr>
          <w:trHeight w:val="510"/>
        </w:trPr>
        <w:tc>
          <w:tcPr>
            <w:tcW w:w="1435" w:type="dxa"/>
            <w:noWrap/>
          </w:tcPr>
          <w:p w14:paraId="33EC5A31" w14:textId="77777777" w:rsidR="009068DA" w:rsidRDefault="009068DA" w:rsidP="009068DA">
            <w:pPr>
              <w:spacing w:after="0"/>
              <w:jc w:val="left"/>
              <w:rPr>
                <w:szCs w:val="24"/>
              </w:rPr>
            </w:pPr>
            <w:r>
              <w:rPr>
                <w:szCs w:val="24"/>
              </w:rPr>
              <w:t>FR52</w:t>
            </w:r>
          </w:p>
        </w:tc>
        <w:tc>
          <w:tcPr>
            <w:tcW w:w="7380" w:type="dxa"/>
          </w:tcPr>
          <w:p w14:paraId="0D4CE9DD" w14:textId="77777777" w:rsidR="009068DA" w:rsidRDefault="009068DA" w:rsidP="009068DA">
            <w:pPr>
              <w:spacing w:after="0"/>
              <w:rPr>
                <w:szCs w:val="24"/>
              </w:rPr>
            </w:pPr>
            <w:r>
              <w:rPr>
                <w:szCs w:val="24"/>
              </w:rPr>
              <w:t>The Customs UI must provide the Customs officer, the online ‘in-tray’ to examine the submissions / lodgments in process, including all the supporting documentation attached to the lodgment by the Trader.</w:t>
            </w:r>
          </w:p>
        </w:tc>
      </w:tr>
      <w:tr w:rsidR="009068DA" w14:paraId="3856F737" w14:textId="77777777" w:rsidTr="001136D3">
        <w:trPr>
          <w:trHeight w:val="510"/>
        </w:trPr>
        <w:tc>
          <w:tcPr>
            <w:tcW w:w="1435" w:type="dxa"/>
            <w:noWrap/>
          </w:tcPr>
          <w:p w14:paraId="5773B190" w14:textId="77777777" w:rsidR="009068DA" w:rsidRDefault="009068DA" w:rsidP="009068DA">
            <w:pPr>
              <w:spacing w:after="0"/>
              <w:jc w:val="left"/>
              <w:rPr>
                <w:szCs w:val="24"/>
              </w:rPr>
            </w:pPr>
            <w:r>
              <w:rPr>
                <w:szCs w:val="24"/>
              </w:rPr>
              <w:t>FR53</w:t>
            </w:r>
          </w:p>
        </w:tc>
        <w:tc>
          <w:tcPr>
            <w:tcW w:w="7380" w:type="dxa"/>
          </w:tcPr>
          <w:p w14:paraId="0C6FCEA3" w14:textId="77777777" w:rsidR="009068DA" w:rsidRDefault="009068DA" w:rsidP="009068DA">
            <w:pPr>
              <w:spacing w:after="0"/>
              <w:rPr>
                <w:szCs w:val="24"/>
              </w:rPr>
            </w:pPr>
            <w:r>
              <w:rPr>
                <w:szCs w:val="24"/>
              </w:rPr>
              <w:t>The Customs UI must allow communicating/enquiry facilities from the Customs and display in the Trader UI, concerning the lodgments or submissions.</w:t>
            </w:r>
          </w:p>
        </w:tc>
      </w:tr>
      <w:tr w:rsidR="009068DA" w14:paraId="1793867B" w14:textId="77777777" w:rsidTr="001136D3">
        <w:trPr>
          <w:trHeight w:val="510"/>
        </w:trPr>
        <w:tc>
          <w:tcPr>
            <w:tcW w:w="1435" w:type="dxa"/>
            <w:noWrap/>
          </w:tcPr>
          <w:p w14:paraId="7B56D510" w14:textId="77777777" w:rsidR="009068DA" w:rsidRDefault="009068DA" w:rsidP="009068DA">
            <w:pPr>
              <w:spacing w:after="0"/>
              <w:jc w:val="left"/>
              <w:rPr>
                <w:szCs w:val="24"/>
              </w:rPr>
            </w:pPr>
            <w:r>
              <w:rPr>
                <w:szCs w:val="24"/>
              </w:rPr>
              <w:t>FR54</w:t>
            </w:r>
          </w:p>
        </w:tc>
        <w:tc>
          <w:tcPr>
            <w:tcW w:w="7380" w:type="dxa"/>
          </w:tcPr>
          <w:p w14:paraId="4D38D015" w14:textId="77777777" w:rsidR="009068DA" w:rsidRDefault="009068DA" w:rsidP="009068DA">
            <w:pPr>
              <w:spacing w:after="0"/>
              <w:rPr>
                <w:szCs w:val="24"/>
              </w:rPr>
            </w:pPr>
            <w:r>
              <w:rPr>
                <w:szCs w:val="24"/>
              </w:rPr>
              <w:t>The Customs UI must allow verification of the LPCO via the NSW System. e.g., to verify authenticity and validity of all required Certificates, Licenses, Permits, etc.</w:t>
            </w:r>
          </w:p>
        </w:tc>
      </w:tr>
      <w:tr w:rsidR="009068DA" w14:paraId="6847309C" w14:textId="77777777" w:rsidTr="001136D3">
        <w:trPr>
          <w:trHeight w:val="765"/>
        </w:trPr>
        <w:tc>
          <w:tcPr>
            <w:tcW w:w="1435" w:type="dxa"/>
            <w:noWrap/>
          </w:tcPr>
          <w:p w14:paraId="119ACFCA" w14:textId="77777777" w:rsidR="009068DA" w:rsidRDefault="009068DA" w:rsidP="009068DA">
            <w:pPr>
              <w:spacing w:after="0"/>
              <w:jc w:val="left"/>
              <w:rPr>
                <w:szCs w:val="24"/>
              </w:rPr>
            </w:pPr>
            <w:r>
              <w:rPr>
                <w:szCs w:val="24"/>
              </w:rPr>
              <w:t>FR55</w:t>
            </w:r>
          </w:p>
        </w:tc>
        <w:tc>
          <w:tcPr>
            <w:tcW w:w="7380" w:type="dxa"/>
          </w:tcPr>
          <w:p w14:paraId="7B222736" w14:textId="77777777" w:rsidR="009068DA" w:rsidRDefault="009068DA" w:rsidP="009068DA">
            <w:pPr>
              <w:spacing w:after="0"/>
              <w:rPr>
                <w:szCs w:val="24"/>
              </w:rPr>
            </w:pPr>
            <w:r>
              <w:rPr>
                <w:szCs w:val="24"/>
              </w:rPr>
              <w:t>The CBRA UI provides for the staff of CBRAs to view all lodgment of the LPCOs, and to access the NSW System to process LPCO process applications. The UI shall be configurable for the respective CBRA, based on configuration of workflow and rules appropriate for the CBRA.</w:t>
            </w:r>
          </w:p>
        </w:tc>
      </w:tr>
      <w:tr w:rsidR="009068DA" w14:paraId="556B786E" w14:textId="77777777" w:rsidTr="001136D3">
        <w:trPr>
          <w:trHeight w:val="510"/>
        </w:trPr>
        <w:tc>
          <w:tcPr>
            <w:tcW w:w="1435" w:type="dxa"/>
            <w:noWrap/>
          </w:tcPr>
          <w:p w14:paraId="0E20C364" w14:textId="77777777" w:rsidR="009068DA" w:rsidRDefault="009068DA" w:rsidP="009068DA">
            <w:pPr>
              <w:spacing w:after="0"/>
              <w:jc w:val="left"/>
              <w:rPr>
                <w:szCs w:val="24"/>
              </w:rPr>
            </w:pPr>
            <w:r>
              <w:rPr>
                <w:szCs w:val="24"/>
              </w:rPr>
              <w:t>FR58</w:t>
            </w:r>
          </w:p>
        </w:tc>
        <w:tc>
          <w:tcPr>
            <w:tcW w:w="7380" w:type="dxa"/>
          </w:tcPr>
          <w:p w14:paraId="19F48A54" w14:textId="77777777" w:rsidR="009068DA" w:rsidRDefault="009068DA" w:rsidP="009068DA">
            <w:pPr>
              <w:spacing w:after="0"/>
              <w:rPr>
                <w:szCs w:val="24"/>
              </w:rPr>
            </w:pPr>
            <w:r>
              <w:rPr>
                <w:szCs w:val="24"/>
              </w:rPr>
              <w:t>The CBRA UI shall have provision for personalized dashboard showing all pending, in progress and completed tasks for each User logging into the system.</w:t>
            </w:r>
          </w:p>
        </w:tc>
      </w:tr>
      <w:tr w:rsidR="009068DA" w14:paraId="7B7AC938" w14:textId="77777777" w:rsidTr="001136D3">
        <w:trPr>
          <w:trHeight w:val="765"/>
        </w:trPr>
        <w:tc>
          <w:tcPr>
            <w:tcW w:w="1435" w:type="dxa"/>
            <w:noWrap/>
          </w:tcPr>
          <w:p w14:paraId="16F7EB7B" w14:textId="77777777" w:rsidR="009068DA" w:rsidRDefault="009068DA" w:rsidP="009068DA">
            <w:pPr>
              <w:spacing w:after="0"/>
              <w:jc w:val="left"/>
              <w:rPr>
                <w:szCs w:val="24"/>
              </w:rPr>
            </w:pPr>
            <w:r>
              <w:rPr>
                <w:szCs w:val="24"/>
              </w:rPr>
              <w:t>FR59</w:t>
            </w:r>
          </w:p>
        </w:tc>
        <w:tc>
          <w:tcPr>
            <w:tcW w:w="7380" w:type="dxa"/>
          </w:tcPr>
          <w:p w14:paraId="40118727" w14:textId="77777777" w:rsidR="009068DA" w:rsidRDefault="009068DA" w:rsidP="009068DA">
            <w:pPr>
              <w:spacing w:after="0"/>
              <w:rPr>
                <w:szCs w:val="24"/>
              </w:rPr>
            </w:pPr>
            <w:r>
              <w:rPr>
                <w:szCs w:val="24"/>
              </w:rPr>
              <w:t xml:space="preserve">The NSW must allow the CBRA staff and officers to log into portal and perform validation, </w:t>
            </w:r>
            <w:proofErr w:type="gramStart"/>
            <w:r>
              <w:rPr>
                <w:szCs w:val="24"/>
              </w:rPr>
              <w:t>processing</w:t>
            </w:r>
            <w:proofErr w:type="gramEnd"/>
            <w:r>
              <w:rPr>
                <w:szCs w:val="24"/>
              </w:rPr>
              <w:t xml:space="preserve"> and approval / rejection of the LPCO applications. The system shall automatically provide updates on the status to the concerned stakeholders including the Trader.</w:t>
            </w:r>
          </w:p>
        </w:tc>
      </w:tr>
      <w:tr w:rsidR="009068DA" w14:paraId="1D7C6D90" w14:textId="77777777" w:rsidTr="001136D3">
        <w:trPr>
          <w:trHeight w:val="510"/>
        </w:trPr>
        <w:tc>
          <w:tcPr>
            <w:tcW w:w="1435" w:type="dxa"/>
            <w:noWrap/>
          </w:tcPr>
          <w:p w14:paraId="30865252" w14:textId="77777777" w:rsidR="009068DA" w:rsidRDefault="009068DA" w:rsidP="009068DA">
            <w:pPr>
              <w:spacing w:after="0"/>
              <w:jc w:val="left"/>
              <w:rPr>
                <w:szCs w:val="24"/>
              </w:rPr>
            </w:pPr>
            <w:r>
              <w:rPr>
                <w:szCs w:val="24"/>
              </w:rPr>
              <w:t>FR60</w:t>
            </w:r>
          </w:p>
        </w:tc>
        <w:tc>
          <w:tcPr>
            <w:tcW w:w="7380" w:type="dxa"/>
          </w:tcPr>
          <w:p w14:paraId="2C10D9B3" w14:textId="77777777" w:rsidR="009068DA" w:rsidRDefault="009068DA" w:rsidP="009068DA">
            <w:pPr>
              <w:spacing w:after="0"/>
              <w:rPr>
                <w:szCs w:val="24"/>
              </w:rPr>
            </w:pPr>
            <w:r>
              <w:rPr>
                <w:szCs w:val="24"/>
              </w:rPr>
              <w:t>The CBRA UI must provide event triggers when a Trader submits a LPCO request in the form of a message in a workflow ‘In-tray’ of an officer (or group of officers having the same role).</w:t>
            </w:r>
          </w:p>
        </w:tc>
      </w:tr>
      <w:tr w:rsidR="009068DA" w14:paraId="23424DFD" w14:textId="77777777" w:rsidTr="001136D3">
        <w:trPr>
          <w:trHeight w:val="510"/>
        </w:trPr>
        <w:tc>
          <w:tcPr>
            <w:tcW w:w="1435" w:type="dxa"/>
            <w:noWrap/>
          </w:tcPr>
          <w:p w14:paraId="4983F65E" w14:textId="77777777" w:rsidR="009068DA" w:rsidRDefault="009068DA" w:rsidP="009068DA">
            <w:pPr>
              <w:spacing w:after="0"/>
              <w:jc w:val="left"/>
              <w:rPr>
                <w:szCs w:val="24"/>
              </w:rPr>
            </w:pPr>
            <w:r>
              <w:rPr>
                <w:szCs w:val="24"/>
              </w:rPr>
              <w:lastRenderedPageBreak/>
              <w:t>FR62</w:t>
            </w:r>
          </w:p>
        </w:tc>
        <w:tc>
          <w:tcPr>
            <w:tcW w:w="7380" w:type="dxa"/>
          </w:tcPr>
          <w:p w14:paraId="668F51CF" w14:textId="77777777" w:rsidR="009068DA" w:rsidRDefault="009068DA" w:rsidP="009068DA">
            <w:pPr>
              <w:spacing w:after="0"/>
              <w:rPr>
                <w:szCs w:val="24"/>
              </w:rPr>
            </w:pPr>
            <w:r>
              <w:rPr>
                <w:szCs w:val="24"/>
              </w:rPr>
              <w:t>The CBRA UI must display all the LPCO lodgments for the CBRAs to pursue and verify. The system should send automatic alerts to concerned officials of the CBRA as required.</w:t>
            </w:r>
          </w:p>
        </w:tc>
      </w:tr>
      <w:tr w:rsidR="009068DA" w14:paraId="4BDEAD11" w14:textId="77777777" w:rsidTr="001136D3">
        <w:trPr>
          <w:trHeight w:val="510"/>
        </w:trPr>
        <w:tc>
          <w:tcPr>
            <w:tcW w:w="1435" w:type="dxa"/>
            <w:noWrap/>
          </w:tcPr>
          <w:p w14:paraId="41B6A9F1" w14:textId="77777777" w:rsidR="009068DA" w:rsidRDefault="009068DA" w:rsidP="009068DA">
            <w:pPr>
              <w:spacing w:after="0"/>
              <w:jc w:val="left"/>
              <w:rPr>
                <w:szCs w:val="24"/>
              </w:rPr>
            </w:pPr>
            <w:r>
              <w:rPr>
                <w:szCs w:val="24"/>
              </w:rPr>
              <w:t>FR63</w:t>
            </w:r>
          </w:p>
        </w:tc>
        <w:tc>
          <w:tcPr>
            <w:tcW w:w="7380" w:type="dxa"/>
          </w:tcPr>
          <w:p w14:paraId="17A263E3" w14:textId="77777777" w:rsidR="009068DA" w:rsidRDefault="009068DA" w:rsidP="009068DA">
            <w:pPr>
              <w:spacing w:after="0"/>
              <w:rPr>
                <w:szCs w:val="24"/>
              </w:rPr>
            </w:pPr>
            <w:r>
              <w:rPr>
                <w:szCs w:val="24"/>
              </w:rPr>
              <w:t>The UI should track the activities performed by each User in the entire process chain for escalation and reporting purposes.</w:t>
            </w:r>
          </w:p>
        </w:tc>
      </w:tr>
      <w:tr w:rsidR="009068DA" w14:paraId="44C27DD4" w14:textId="77777777">
        <w:trPr>
          <w:trHeight w:val="510"/>
        </w:trPr>
        <w:tc>
          <w:tcPr>
            <w:tcW w:w="8815" w:type="dxa"/>
            <w:gridSpan w:val="2"/>
            <w:shd w:val="clear" w:color="auto" w:fill="auto"/>
            <w:noWrap/>
          </w:tcPr>
          <w:p w14:paraId="38A24875" w14:textId="77777777" w:rsidR="009068DA" w:rsidRDefault="009068DA" w:rsidP="009068DA">
            <w:pPr>
              <w:spacing w:after="0"/>
              <w:jc w:val="left"/>
              <w:rPr>
                <w:b/>
                <w:szCs w:val="24"/>
              </w:rPr>
            </w:pPr>
            <w:r>
              <w:rPr>
                <w:b/>
                <w:szCs w:val="24"/>
              </w:rPr>
              <w:t>Information User UI Requirements</w:t>
            </w:r>
          </w:p>
        </w:tc>
      </w:tr>
      <w:tr w:rsidR="009068DA" w14:paraId="29CE5D9C" w14:textId="77777777" w:rsidTr="001136D3">
        <w:trPr>
          <w:trHeight w:val="510"/>
        </w:trPr>
        <w:tc>
          <w:tcPr>
            <w:tcW w:w="1435" w:type="dxa"/>
            <w:noWrap/>
          </w:tcPr>
          <w:p w14:paraId="7462193C" w14:textId="77777777" w:rsidR="009068DA" w:rsidRDefault="009068DA" w:rsidP="009068DA">
            <w:pPr>
              <w:spacing w:after="0"/>
              <w:jc w:val="left"/>
              <w:rPr>
                <w:szCs w:val="24"/>
              </w:rPr>
            </w:pPr>
            <w:r>
              <w:rPr>
                <w:szCs w:val="24"/>
              </w:rPr>
              <w:t>FR64</w:t>
            </w:r>
          </w:p>
        </w:tc>
        <w:tc>
          <w:tcPr>
            <w:tcW w:w="7380" w:type="dxa"/>
          </w:tcPr>
          <w:p w14:paraId="726F1039" w14:textId="77777777" w:rsidR="009068DA" w:rsidRDefault="009068DA" w:rsidP="009068DA">
            <w:pPr>
              <w:spacing w:after="0"/>
              <w:rPr>
                <w:szCs w:val="24"/>
              </w:rPr>
            </w:pPr>
            <w:r>
              <w:rPr>
                <w:szCs w:val="24"/>
              </w:rPr>
              <w:t>The Information UI must provide detailed information about the services and processes related to NSW and Customs regarding Trade i.e., both imports and exports.</w:t>
            </w:r>
          </w:p>
        </w:tc>
      </w:tr>
      <w:tr w:rsidR="009068DA" w14:paraId="1D47BB7E" w14:textId="77777777" w:rsidTr="001136D3">
        <w:trPr>
          <w:trHeight w:val="510"/>
        </w:trPr>
        <w:tc>
          <w:tcPr>
            <w:tcW w:w="1435" w:type="dxa"/>
            <w:noWrap/>
          </w:tcPr>
          <w:p w14:paraId="6CE9E9BC" w14:textId="77777777" w:rsidR="009068DA" w:rsidRDefault="009068DA" w:rsidP="009068DA">
            <w:pPr>
              <w:spacing w:after="0"/>
              <w:jc w:val="left"/>
              <w:rPr>
                <w:szCs w:val="24"/>
              </w:rPr>
            </w:pPr>
            <w:r>
              <w:rPr>
                <w:szCs w:val="24"/>
              </w:rPr>
              <w:t>FR65</w:t>
            </w:r>
          </w:p>
        </w:tc>
        <w:tc>
          <w:tcPr>
            <w:tcW w:w="7380" w:type="dxa"/>
          </w:tcPr>
          <w:p w14:paraId="64B8B6BF" w14:textId="77777777" w:rsidR="009068DA" w:rsidRDefault="009068DA" w:rsidP="009068DA">
            <w:pPr>
              <w:spacing w:after="0"/>
              <w:rPr>
                <w:szCs w:val="24"/>
              </w:rPr>
            </w:pPr>
            <w:r>
              <w:rPr>
                <w:szCs w:val="24"/>
              </w:rPr>
              <w:t>The UI must provide a “Personalized Dashboard” for each User category, with information and workflow customized specifically with respect to Trade rules and regulations in the country.</w:t>
            </w:r>
          </w:p>
        </w:tc>
      </w:tr>
      <w:tr w:rsidR="009068DA" w14:paraId="6FCE21DF" w14:textId="77777777" w:rsidTr="001136D3">
        <w:trPr>
          <w:trHeight w:val="510"/>
        </w:trPr>
        <w:tc>
          <w:tcPr>
            <w:tcW w:w="1435" w:type="dxa"/>
            <w:noWrap/>
          </w:tcPr>
          <w:p w14:paraId="63F09F26" w14:textId="77777777" w:rsidR="009068DA" w:rsidRDefault="009068DA" w:rsidP="009068DA">
            <w:pPr>
              <w:spacing w:after="0"/>
              <w:jc w:val="left"/>
              <w:rPr>
                <w:szCs w:val="24"/>
              </w:rPr>
            </w:pPr>
            <w:r>
              <w:rPr>
                <w:szCs w:val="24"/>
              </w:rPr>
              <w:t>FR66</w:t>
            </w:r>
          </w:p>
        </w:tc>
        <w:tc>
          <w:tcPr>
            <w:tcW w:w="7380" w:type="dxa"/>
          </w:tcPr>
          <w:p w14:paraId="21164E7F" w14:textId="77777777" w:rsidR="009068DA" w:rsidRDefault="009068DA" w:rsidP="009068DA">
            <w:pPr>
              <w:spacing w:after="0"/>
              <w:rPr>
                <w:szCs w:val="24"/>
              </w:rPr>
            </w:pPr>
            <w:r>
              <w:rPr>
                <w:szCs w:val="24"/>
              </w:rPr>
              <w:t>The UI must provide a wizard-like functionality to assist the traders through a sequence of dialogue boxes / responses that would lead the trader to a series to well defined steps on how to avail any trade related service.</w:t>
            </w:r>
          </w:p>
        </w:tc>
      </w:tr>
      <w:tr w:rsidR="009068DA" w14:paraId="1763D3FD" w14:textId="77777777" w:rsidTr="001136D3">
        <w:trPr>
          <w:trHeight w:val="510"/>
        </w:trPr>
        <w:tc>
          <w:tcPr>
            <w:tcW w:w="1435" w:type="dxa"/>
            <w:noWrap/>
          </w:tcPr>
          <w:p w14:paraId="51F649A4" w14:textId="77777777" w:rsidR="009068DA" w:rsidRDefault="009068DA" w:rsidP="009068DA">
            <w:pPr>
              <w:spacing w:after="0"/>
              <w:jc w:val="left"/>
              <w:rPr>
                <w:szCs w:val="24"/>
              </w:rPr>
            </w:pPr>
            <w:r>
              <w:rPr>
                <w:szCs w:val="24"/>
              </w:rPr>
              <w:t>FR67</w:t>
            </w:r>
          </w:p>
        </w:tc>
        <w:tc>
          <w:tcPr>
            <w:tcW w:w="7380" w:type="dxa"/>
          </w:tcPr>
          <w:p w14:paraId="2F10178A" w14:textId="77777777" w:rsidR="009068DA" w:rsidRDefault="009068DA" w:rsidP="009068DA">
            <w:pPr>
              <w:spacing w:after="0"/>
              <w:rPr>
                <w:szCs w:val="24"/>
              </w:rPr>
            </w:pPr>
            <w:r>
              <w:rPr>
                <w:szCs w:val="24"/>
              </w:rPr>
              <w:t>The UI must provide access to all required forms and detailed checklist of all documentary evidence or information that may be required to avail any service as required.</w:t>
            </w:r>
          </w:p>
        </w:tc>
      </w:tr>
      <w:tr w:rsidR="009068DA" w14:paraId="6F2D6920" w14:textId="77777777" w:rsidTr="001136D3">
        <w:trPr>
          <w:trHeight w:val="510"/>
        </w:trPr>
        <w:tc>
          <w:tcPr>
            <w:tcW w:w="1435" w:type="dxa"/>
            <w:noWrap/>
          </w:tcPr>
          <w:p w14:paraId="6BC855FE" w14:textId="77777777" w:rsidR="009068DA" w:rsidRDefault="009068DA" w:rsidP="009068DA">
            <w:pPr>
              <w:spacing w:after="0"/>
              <w:jc w:val="left"/>
              <w:rPr>
                <w:szCs w:val="24"/>
              </w:rPr>
            </w:pPr>
            <w:r>
              <w:rPr>
                <w:szCs w:val="24"/>
              </w:rPr>
              <w:t>FR68</w:t>
            </w:r>
          </w:p>
        </w:tc>
        <w:tc>
          <w:tcPr>
            <w:tcW w:w="7380" w:type="dxa"/>
          </w:tcPr>
          <w:p w14:paraId="000F89FD" w14:textId="77777777" w:rsidR="009068DA" w:rsidRDefault="009068DA" w:rsidP="009068DA">
            <w:pPr>
              <w:spacing w:after="0"/>
              <w:rPr>
                <w:szCs w:val="24"/>
              </w:rPr>
            </w:pPr>
            <w:r>
              <w:rPr>
                <w:szCs w:val="24"/>
              </w:rPr>
              <w:t>The UI must provide updated information about the CBRAs and LPCOs along with policies and procedures highlighting changes if any, that may require changes in the required process or data requirements.</w:t>
            </w:r>
          </w:p>
        </w:tc>
      </w:tr>
      <w:tr w:rsidR="009068DA" w14:paraId="5D6B99FC" w14:textId="77777777" w:rsidTr="001136D3">
        <w:trPr>
          <w:trHeight w:val="510"/>
        </w:trPr>
        <w:tc>
          <w:tcPr>
            <w:tcW w:w="1435" w:type="dxa"/>
            <w:noWrap/>
          </w:tcPr>
          <w:p w14:paraId="3C26F600" w14:textId="77777777" w:rsidR="009068DA" w:rsidRDefault="009068DA" w:rsidP="009068DA">
            <w:pPr>
              <w:spacing w:after="0"/>
              <w:jc w:val="left"/>
              <w:rPr>
                <w:szCs w:val="24"/>
              </w:rPr>
            </w:pPr>
            <w:r>
              <w:rPr>
                <w:szCs w:val="24"/>
              </w:rPr>
              <w:t>FR69</w:t>
            </w:r>
          </w:p>
        </w:tc>
        <w:tc>
          <w:tcPr>
            <w:tcW w:w="7380" w:type="dxa"/>
          </w:tcPr>
          <w:p w14:paraId="3DB82B8D" w14:textId="77777777" w:rsidR="009068DA" w:rsidRDefault="009068DA" w:rsidP="009068DA">
            <w:pPr>
              <w:spacing w:after="0"/>
              <w:rPr>
                <w:szCs w:val="24"/>
              </w:rPr>
            </w:pPr>
            <w:r>
              <w:rPr>
                <w:szCs w:val="24"/>
              </w:rPr>
              <w:t>The UI should also provide a knowledge base and help manual with key word search capability to allow users to refer to any specific information about services or processes as required.</w:t>
            </w:r>
          </w:p>
        </w:tc>
      </w:tr>
      <w:tr w:rsidR="009068DA" w14:paraId="71876DB5" w14:textId="77777777" w:rsidTr="001136D3">
        <w:trPr>
          <w:trHeight w:val="510"/>
        </w:trPr>
        <w:tc>
          <w:tcPr>
            <w:tcW w:w="1435" w:type="dxa"/>
            <w:noWrap/>
          </w:tcPr>
          <w:p w14:paraId="03FF499E" w14:textId="77777777" w:rsidR="009068DA" w:rsidRDefault="009068DA" w:rsidP="009068DA">
            <w:pPr>
              <w:spacing w:after="0"/>
              <w:jc w:val="left"/>
              <w:rPr>
                <w:szCs w:val="24"/>
              </w:rPr>
            </w:pPr>
            <w:r>
              <w:rPr>
                <w:szCs w:val="24"/>
              </w:rPr>
              <w:t>FR70</w:t>
            </w:r>
          </w:p>
        </w:tc>
        <w:tc>
          <w:tcPr>
            <w:tcW w:w="7380" w:type="dxa"/>
          </w:tcPr>
          <w:p w14:paraId="73B7E98B" w14:textId="77777777" w:rsidR="009068DA" w:rsidRDefault="009068DA" w:rsidP="009068DA">
            <w:pPr>
              <w:spacing w:after="0"/>
              <w:rPr>
                <w:szCs w:val="24"/>
              </w:rPr>
            </w:pPr>
            <w:r>
              <w:rPr>
                <w:szCs w:val="24"/>
              </w:rPr>
              <w:t>All the related information, and step wise key steps should be dynamically updated as and when the services or processes or related requirements are amended by respective stakeholders.</w:t>
            </w:r>
          </w:p>
        </w:tc>
      </w:tr>
      <w:tr w:rsidR="009068DA" w14:paraId="76069D7D" w14:textId="77777777" w:rsidTr="001136D3">
        <w:trPr>
          <w:trHeight w:val="510"/>
        </w:trPr>
        <w:tc>
          <w:tcPr>
            <w:tcW w:w="1435" w:type="dxa"/>
            <w:noWrap/>
          </w:tcPr>
          <w:p w14:paraId="7388AE77" w14:textId="77777777" w:rsidR="009068DA" w:rsidRDefault="009068DA" w:rsidP="009068DA">
            <w:pPr>
              <w:spacing w:after="0"/>
              <w:jc w:val="left"/>
              <w:rPr>
                <w:szCs w:val="24"/>
              </w:rPr>
            </w:pPr>
            <w:r>
              <w:rPr>
                <w:szCs w:val="24"/>
              </w:rPr>
              <w:t>FR71</w:t>
            </w:r>
          </w:p>
        </w:tc>
        <w:tc>
          <w:tcPr>
            <w:tcW w:w="7380" w:type="dxa"/>
          </w:tcPr>
          <w:p w14:paraId="5D99F2DB" w14:textId="77777777" w:rsidR="009068DA" w:rsidRDefault="009068DA" w:rsidP="009068DA">
            <w:pPr>
              <w:spacing w:after="0"/>
              <w:rPr>
                <w:szCs w:val="24"/>
              </w:rPr>
            </w:pPr>
            <w:r>
              <w:rPr>
                <w:szCs w:val="24"/>
              </w:rPr>
              <w:t>The UI should provide an audit trail/history of all changes in any specific service/process related to trade facilitation in the country.</w:t>
            </w:r>
          </w:p>
        </w:tc>
      </w:tr>
    </w:tbl>
    <w:p w14:paraId="2E499922" w14:textId="49C24842" w:rsidR="00157AAA" w:rsidRDefault="00157AAA" w:rsidP="005E6A97"/>
    <w:p w14:paraId="5884829E" w14:textId="77777777" w:rsidR="00157AAA" w:rsidRPr="008E2AAD" w:rsidRDefault="006C1BE5">
      <w:pPr>
        <w:jc w:val="left"/>
        <w:rPr>
          <w:b/>
          <w:bCs/>
          <w:szCs w:val="24"/>
        </w:rPr>
      </w:pPr>
      <w:r w:rsidRPr="008E2AAD">
        <w:rPr>
          <w:b/>
          <w:bCs/>
          <w:szCs w:val="24"/>
        </w:rPr>
        <w:t>1.2.4 Registration of Traders and Competent Authority</w:t>
      </w:r>
    </w:p>
    <w:p w14:paraId="6E93DC5C" w14:textId="6AFE736A" w:rsidR="00157AAA" w:rsidRPr="008E2AAD" w:rsidRDefault="006C1BE5" w:rsidP="003E27B9">
      <w:pPr>
        <w:ind w:left="720" w:firstLine="720"/>
        <w:rPr>
          <w:b/>
        </w:rPr>
      </w:pPr>
      <w:r w:rsidRPr="008E2AAD">
        <w:rPr>
          <w:b/>
          <w:bCs/>
          <w:szCs w:val="24"/>
        </w:rPr>
        <w:t>1.2.4.1.</w:t>
      </w:r>
      <w:r w:rsidRPr="008E2AAD">
        <w:rPr>
          <w:b/>
        </w:rPr>
        <w:t xml:space="preserve"> Registration Service</w:t>
      </w:r>
    </w:p>
    <w:p w14:paraId="3979A404" w14:textId="77777777" w:rsidR="00157AAA" w:rsidRDefault="006C1BE5">
      <w:pPr>
        <w:ind w:left="720"/>
      </w:pPr>
      <w:r>
        <w:t>The registration service enables traders to register only once with the NSW. The registration service will provide for coordination and communication of registration for all involved stakeholders.</w:t>
      </w:r>
    </w:p>
    <w:p w14:paraId="0510A32B" w14:textId="62A76907" w:rsidR="001B7EA1" w:rsidRDefault="006C1BE5" w:rsidP="001B7EA1">
      <w:pPr>
        <w:ind w:left="720"/>
      </w:pPr>
      <w:r>
        <w:t>At the beginning, in the NSW a tempora</w:t>
      </w:r>
      <w:r w:rsidR="001B7EA1">
        <w:t>ry</w:t>
      </w:r>
      <w:r>
        <w:t xml:space="preserve"> module for registration of the new NSW users should be created. The existing </w:t>
      </w:r>
      <w:proofErr w:type="gramStart"/>
      <w:r>
        <w:t>user name</w:t>
      </w:r>
      <w:proofErr w:type="gramEnd"/>
      <w:r>
        <w:t xml:space="preserve"> and password for UMS/CD</w:t>
      </w:r>
      <w:r w:rsidR="00D3315A">
        <w:t>E</w:t>
      </w:r>
      <w:r>
        <w:t>PS, which are used for access to other systems, will be migrated to NSW.</w:t>
      </w:r>
      <w:r w:rsidR="001B7EA1">
        <w:t xml:space="preserve"> </w:t>
      </w:r>
      <w:r w:rsidR="001B7EA1" w:rsidRPr="008E2AAD">
        <w:t xml:space="preserve">Besides these two systems, where there </w:t>
      </w:r>
      <w:proofErr w:type="gramStart"/>
      <w:r w:rsidR="001B7EA1" w:rsidRPr="008E2AAD">
        <w:t>are</w:t>
      </w:r>
      <w:proofErr w:type="gramEnd"/>
      <w:r w:rsidR="001B7EA1" w:rsidRPr="008E2AAD">
        <w:t xml:space="preserve"> registration data found in other existing systems, the Registration module shall also cater for migration from these systems.</w:t>
      </w:r>
    </w:p>
    <w:p w14:paraId="56216F8D" w14:textId="77777777" w:rsidR="00A872BC" w:rsidRDefault="00A872BC" w:rsidP="00A872BC">
      <w:pPr>
        <w:ind w:left="720"/>
      </w:pPr>
      <w:r>
        <w:lastRenderedPageBreak/>
        <w:t xml:space="preserve">In the future, registration should be done in UMS/EORI system and the NSW as a portal for access to all systems in CA, will be only used as a “Single Sign On” point, i.e., it will use the roles and privileges that will be assigned to the users that are registered in UMS/EORI system, to allow access to the appropriate systems. </w:t>
      </w:r>
    </w:p>
    <w:p w14:paraId="0BF77B1F" w14:textId="77777777" w:rsidR="00A872BC" w:rsidRDefault="00A872BC" w:rsidP="001B7EA1">
      <w:pPr>
        <w:ind w:left="720"/>
      </w:pPr>
    </w:p>
    <w:p w14:paraId="6E5715DB" w14:textId="77777777" w:rsidR="00665883" w:rsidRPr="00665883" w:rsidRDefault="006C1BE5" w:rsidP="00665883">
      <w:pPr>
        <w:ind w:left="720"/>
        <w:rPr>
          <w:szCs w:val="24"/>
        </w:rPr>
      </w:pPr>
      <w:r>
        <w:t>The NSW should support both procedures for sign-on and access to the system</w:t>
      </w:r>
      <w:r w:rsidRPr="00665883">
        <w:rPr>
          <w:sz w:val="28"/>
          <w:szCs w:val="22"/>
        </w:rPr>
        <w:t xml:space="preserve">. </w:t>
      </w:r>
      <w:r w:rsidR="00665883" w:rsidRPr="0026442C">
        <w:rPr>
          <w:szCs w:val="24"/>
        </w:rPr>
        <w:t>The temporary module for registration will remain active even after the implementation of the new UMS/EORI system which will be developed based on EU requirements and specifications. It will be used for registration of new users for non-customs formalities.</w:t>
      </w:r>
    </w:p>
    <w:p w14:paraId="731F429B" w14:textId="77777777" w:rsidR="00157AAA" w:rsidRDefault="006C1BE5">
      <w:pPr>
        <w:ind w:left="720"/>
      </w:pPr>
      <w:r>
        <w:t>The NSW supports the following services:</w:t>
      </w:r>
    </w:p>
    <w:p w14:paraId="114B2F1F" w14:textId="5C540CDF" w:rsidR="00157AAA" w:rsidRPr="008E2AAD" w:rsidRDefault="00EE09D8">
      <w:pPr>
        <w:ind w:firstLine="720"/>
        <w:rPr>
          <w:b/>
        </w:rPr>
      </w:pPr>
      <w:r>
        <w:tab/>
      </w:r>
      <w:r w:rsidR="006C1BE5" w:rsidRPr="008E2AAD">
        <w:rPr>
          <w:b/>
        </w:rPr>
        <w:t>1.2.4.2. Registration</w:t>
      </w:r>
    </w:p>
    <w:p w14:paraId="0C5B60A7" w14:textId="77777777" w:rsidR="00157AAA" w:rsidRDefault="006C1BE5" w:rsidP="001136D3">
      <w:pPr>
        <w:spacing w:after="0"/>
        <w:ind w:left="720"/>
      </w:pPr>
      <w:r>
        <w:t xml:space="preserve">The registration service enables the trader to become a registered user. The registration </w:t>
      </w:r>
      <w:proofErr w:type="gramStart"/>
      <w:r>
        <w:t>frontend</w:t>
      </w:r>
      <w:proofErr w:type="gramEnd"/>
      <w:r>
        <w:t xml:space="preserve"> will be integrated to the EORI database. The trader’s UI to the EORI will be on </w:t>
      </w:r>
      <w:proofErr w:type="gramStart"/>
      <w:r>
        <w:t>the NSW</w:t>
      </w:r>
      <w:proofErr w:type="gramEnd"/>
      <w:r>
        <w:t xml:space="preserve">. Each trader (entity) shall have a designated administrator that can approve and assign users to the trader. The NSW will employ a registration unit for vetting and administration. </w:t>
      </w:r>
    </w:p>
    <w:p w14:paraId="28979679" w14:textId="77777777" w:rsidR="00157AAA" w:rsidRDefault="006C1BE5" w:rsidP="001136D3">
      <w:pPr>
        <w:spacing w:after="0"/>
        <w:ind w:left="720"/>
      </w:pPr>
      <w:r>
        <w:rPr>
          <w:lang w:val="en-GB"/>
        </w:rPr>
        <w:t>NSW shall support a configurable user-defined time-period for which NSW registration is valid, and after which renewal of registration is required.</w:t>
      </w:r>
    </w:p>
    <w:p w14:paraId="6C27F59F" w14:textId="77777777" w:rsidR="004E2D1C" w:rsidRDefault="004E2D1C" w:rsidP="001136D3">
      <w:pPr>
        <w:spacing w:after="0"/>
        <w:ind w:firstLine="720"/>
      </w:pPr>
    </w:p>
    <w:p w14:paraId="5A747573" w14:textId="57E44B42" w:rsidR="00157AAA" w:rsidRDefault="006C1BE5" w:rsidP="001136D3">
      <w:pPr>
        <w:spacing w:after="0"/>
        <w:ind w:firstLine="720"/>
      </w:pPr>
      <w:r>
        <w:t>The registration service is enabling the user to perform the following tasks:</w:t>
      </w:r>
    </w:p>
    <w:p w14:paraId="40CAA048" w14:textId="77777777" w:rsidR="00157AAA" w:rsidRDefault="006C1BE5" w:rsidP="001136D3">
      <w:pPr>
        <w:spacing w:after="0"/>
        <w:ind w:left="720" w:firstLine="720"/>
      </w:pPr>
      <w:r>
        <w:t xml:space="preserve">1. Creating and editing the trader and user profile and documents </w:t>
      </w:r>
      <w:proofErr w:type="gramStart"/>
      <w:r>
        <w:t>folder;</w:t>
      </w:r>
      <w:proofErr w:type="gramEnd"/>
    </w:p>
    <w:p w14:paraId="3873CC63" w14:textId="77777777" w:rsidR="00157AAA" w:rsidRDefault="006C1BE5" w:rsidP="001136D3">
      <w:pPr>
        <w:spacing w:after="0"/>
        <w:ind w:left="720" w:firstLine="720"/>
      </w:pPr>
      <w:r>
        <w:t xml:space="preserve">2. Attach supporting </w:t>
      </w:r>
      <w:proofErr w:type="gramStart"/>
      <w:r>
        <w:t>documents;</w:t>
      </w:r>
      <w:proofErr w:type="gramEnd"/>
    </w:p>
    <w:p w14:paraId="4D74D0D3" w14:textId="77777777" w:rsidR="00157AAA" w:rsidRDefault="006C1BE5" w:rsidP="001136D3">
      <w:pPr>
        <w:spacing w:after="0"/>
        <w:ind w:left="1440"/>
      </w:pPr>
      <w:r>
        <w:t xml:space="preserve">3. The information provided shall be verified and confirmed with the national business </w:t>
      </w:r>
      <w:proofErr w:type="gramStart"/>
      <w:r>
        <w:t>register;</w:t>
      </w:r>
      <w:proofErr w:type="gramEnd"/>
    </w:p>
    <w:p w14:paraId="157C06D9" w14:textId="77777777" w:rsidR="00157AAA" w:rsidRDefault="006C1BE5" w:rsidP="001136D3">
      <w:pPr>
        <w:spacing w:after="0"/>
        <w:ind w:left="720" w:firstLine="720"/>
      </w:pPr>
      <w:r>
        <w:t xml:space="preserve">4. Define additional users within the trader </w:t>
      </w:r>
      <w:proofErr w:type="gramStart"/>
      <w:r>
        <w:t>entity;</w:t>
      </w:r>
      <w:proofErr w:type="gramEnd"/>
    </w:p>
    <w:p w14:paraId="18712436" w14:textId="7015FF22" w:rsidR="00157AAA" w:rsidRDefault="006C1BE5" w:rsidP="001136D3">
      <w:pPr>
        <w:spacing w:after="0"/>
        <w:ind w:left="720" w:firstLine="720"/>
      </w:pPr>
      <w:r>
        <w:t xml:space="preserve">5. Nominating other users to act on behalf of the </w:t>
      </w:r>
      <w:proofErr w:type="gramStart"/>
      <w:r>
        <w:t>trader;</w:t>
      </w:r>
      <w:proofErr w:type="gramEnd"/>
    </w:p>
    <w:p w14:paraId="4786F19A" w14:textId="77777777" w:rsidR="00157AAA" w:rsidRDefault="00157AAA"/>
    <w:p w14:paraId="0889CCD3" w14:textId="24F2A7B4" w:rsidR="00157AAA" w:rsidRDefault="006C1BE5" w:rsidP="008E2AAD">
      <w:pPr>
        <w:ind w:left="720"/>
      </w:pPr>
      <w:r>
        <w:rPr>
          <w:b/>
        </w:rPr>
        <w:t>NOTE</w:t>
      </w:r>
      <w:r>
        <w:t xml:space="preserve">: </w:t>
      </w:r>
      <w:r w:rsidR="00484118">
        <w:t>UMS/</w:t>
      </w:r>
      <w:r>
        <w:t xml:space="preserve">EORI Systems </w:t>
      </w:r>
      <w:r w:rsidR="00484118">
        <w:t xml:space="preserve">are </w:t>
      </w:r>
      <w:r>
        <w:t xml:space="preserve">planned for 2024 and </w:t>
      </w:r>
      <w:r w:rsidR="00484118">
        <w:t xml:space="preserve">are </w:t>
      </w:r>
      <w:r>
        <w:t xml:space="preserve">not developed yet, until </w:t>
      </w:r>
      <w:proofErr w:type="gramStart"/>
      <w:r w:rsidR="00484118">
        <w:t>than</w:t>
      </w:r>
      <w:proofErr w:type="gramEnd"/>
      <w:r w:rsidR="00484118">
        <w:t xml:space="preserve"> </w:t>
      </w:r>
      <w:r>
        <w:t>UMS build in NSW should be used for registration.</w:t>
      </w:r>
    </w:p>
    <w:p w14:paraId="2A3AE2EE" w14:textId="644987DE" w:rsidR="00157AAA" w:rsidRDefault="006C1BE5">
      <w:pPr>
        <w:spacing w:after="0"/>
        <w:ind w:left="720"/>
      </w:pPr>
      <w:r>
        <w:t>The Registration module shall provide an email or text message, through the Notification Gateway, to the stakeholders notifying regarding their data migration into the NSW along with a temporary login access for verifying and updating their details in the NSW. For stakeholders without existing registration, the Registration module shall treat them as new registrants who need to apply via the online registration.</w:t>
      </w:r>
    </w:p>
    <w:p w14:paraId="30208AAC" w14:textId="77777777" w:rsidR="00157AAA" w:rsidRDefault="006C1BE5">
      <w:pPr>
        <w:spacing w:after="0"/>
        <w:ind w:left="720"/>
      </w:pPr>
      <w:r>
        <w:t xml:space="preserve">Furthermore, the Registration module shall allow for amendments, updates, renewal, and cancellation of the registration. The Registration module shall provide for the trade community stakeholder to register as </w:t>
      </w:r>
      <w:proofErr w:type="gramStart"/>
      <w:r>
        <w:t>entity</w:t>
      </w:r>
      <w:proofErr w:type="gramEnd"/>
      <w:r>
        <w:t xml:space="preserve"> or individual. The stakeholder shall register as an entity (“registered stakeholder”) or for an individual user (“registered person”), or as administrators of a registered user (“stakeholder administrator”), or employee of a registered stakeholder (“registered employee”).</w:t>
      </w:r>
    </w:p>
    <w:p w14:paraId="6B74A387" w14:textId="77777777" w:rsidR="00157AAA" w:rsidRDefault="006C1BE5">
      <w:pPr>
        <w:spacing w:after="0"/>
        <w:ind w:left="720"/>
      </w:pPr>
      <w:r>
        <w:lastRenderedPageBreak/>
        <w:br/>
        <w:t>It shall provide the NSW System Administrator to define and create categories of trade community stakeholders.</w:t>
      </w:r>
    </w:p>
    <w:p w14:paraId="74B250F9" w14:textId="77777777" w:rsidR="00157AAA" w:rsidRDefault="006C1BE5">
      <w:pPr>
        <w:spacing w:after="0"/>
        <w:ind w:left="720"/>
      </w:pPr>
      <w:r>
        <w:br/>
        <w:t>The Registration module shall cater for configurable data validation via validation rules form. In the data validation rules forms, the NSW Administrator can add and update validation rules to the grid, column, row, or cell. When rules are processed, they can change the color of cells, provide validation messages to users during data entry, and can change the promotional path for approval. The system should allow validation rules saved with versioning control.</w:t>
      </w:r>
    </w:p>
    <w:p w14:paraId="77D9660D" w14:textId="076E3DF1" w:rsidR="00157AAA" w:rsidRDefault="006C1BE5">
      <w:pPr>
        <w:spacing w:after="0"/>
        <w:ind w:left="720"/>
      </w:pPr>
      <w:r>
        <w:br/>
        <w:t>The Registration module shall have interfaces with other ICT systems of government agencies for online data validations and verifications with business registry and citizen registry.</w:t>
      </w:r>
    </w:p>
    <w:p w14:paraId="2B4B044B" w14:textId="6800765C" w:rsidR="00C34E89" w:rsidRDefault="00C34E89">
      <w:pPr>
        <w:spacing w:after="0"/>
        <w:ind w:left="720"/>
      </w:pPr>
    </w:p>
    <w:p w14:paraId="09DAE7C8" w14:textId="4156A502" w:rsidR="00C34E89" w:rsidRPr="008E2AAD" w:rsidRDefault="00272064" w:rsidP="008E2AAD">
      <w:pPr>
        <w:ind w:left="1422" w:firstLine="18"/>
        <w:rPr>
          <w:b/>
        </w:rPr>
      </w:pPr>
      <w:r w:rsidRPr="008E2AAD">
        <w:rPr>
          <w:b/>
        </w:rPr>
        <w:t>1.2.4.3.</w:t>
      </w:r>
      <w:r w:rsidR="00C34E89" w:rsidRPr="008E2AAD">
        <w:rPr>
          <w:b/>
        </w:rPr>
        <w:t xml:space="preserve"> Administration</w:t>
      </w:r>
    </w:p>
    <w:p w14:paraId="014E277C" w14:textId="01F4F619" w:rsidR="00C34E89" w:rsidRDefault="00C34E89" w:rsidP="00C34E89">
      <w:pPr>
        <w:ind w:left="702"/>
        <w:rPr>
          <w:bCs/>
          <w:szCs w:val="24"/>
        </w:rPr>
      </w:pPr>
      <w:r>
        <w:rPr>
          <w:bCs/>
          <w:szCs w:val="24"/>
        </w:rPr>
        <w:t xml:space="preserve">The Administration component supports the concept of distributed administration. With distributed administration means, an administrator has the authority to only manage users that </w:t>
      </w:r>
      <w:proofErr w:type="gramStart"/>
      <w:r>
        <w:rPr>
          <w:bCs/>
          <w:szCs w:val="24"/>
        </w:rPr>
        <w:t>belongs</w:t>
      </w:r>
      <w:proofErr w:type="gramEnd"/>
      <w:r>
        <w:rPr>
          <w:bCs/>
          <w:szCs w:val="24"/>
        </w:rPr>
        <w:t xml:space="preserve"> to a specific organization, CBRAs </w:t>
      </w:r>
      <w:r w:rsidR="000C766F">
        <w:rPr>
          <w:bCs/>
          <w:szCs w:val="24"/>
        </w:rPr>
        <w:t>etc.</w:t>
      </w:r>
      <w:r>
        <w:rPr>
          <w:bCs/>
          <w:szCs w:val="24"/>
        </w:rPr>
        <w:t>, and where one NSW Administrator will manage the CBRA administrators.</w:t>
      </w:r>
    </w:p>
    <w:tbl>
      <w:tblPr>
        <w:tblStyle w:val="TableGrid"/>
        <w:tblW w:w="7915" w:type="dxa"/>
        <w:tblInd w:w="720" w:type="dxa"/>
        <w:tblLook w:val="04A0" w:firstRow="1" w:lastRow="0" w:firstColumn="1" w:lastColumn="0" w:noHBand="0" w:noVBand="1"/>
      </w:tblPr>
      <w:tblGrid>
        <w:gridCol w:w="1705"/>
        <w:gridCol w:w="6210"/>
      </w:tblGrid>
      <w:tr w:rsidR="00EA3B24" w14:paraId="3A813564" w14:textId="77777777" w:rsidTr="001136D3">
        <w:tc>
          <w:tcPr>
            <w:tcW w:w="1705" w:type="dxa"/>
            <w:tcBorders>
              <w:top w:val="single" w:sz="4" w:space="0" w:color="auto"/>
              <w:left w:val="single" w:sz="4" w:space="0" w:color="auto"/>
              <w:bottom w:val="single" w:sz="4" w:space="0" w:color="auto"/>
              <w:right w:val="single" w:sz="4" w:space="0" w:color="auto"/>
            </w:tcBorders>
            <w:shd w:val="clear" w:color="auto" w:fill="D9D9D9"/>
          </w:tcPr>
          <w:p w14:paraId="486C0093" w14:textId="77777777" w:rsidR="00EA3B24" w:rsidRDefault="00EA3B24" w:rsidP="00EA3B24">
            <w:pPr>
              <w:spacing w:after="0"/>
              <w:rPr>
                <w:szCs w:val="24"/>
              </w:rPr>
            </w:pPr>
            <w:r>
              <w:rPr>
                <w:szCs w:val="24"/>
              </w:rPr>
              <w:t>ID</w:t>
            </w:r>
          </w:p>
        </w:tc>
        <w:tc>
          <w:tcPr>
            <w:tcW w:w="6210" w:type="dxa"/>
            <w:tcBorders>
              <w:top w:val="single" w:sz="4" w:space="0" w:color="auto"/>
              <w:left w:val="single" w:sz="4" w:space="0" w:color="auto"/>
              <w:bottom w:val="single" w:sz="4" w:space="0" w:color="auto"/>
              <w:right w:val="single" w:sz="4" w:space="0" w:color="auto"/>
            </w:tcBorders>
            <w:shd w:val="clear" w:color="auto" w:fill="D9D9D9"/>
          </w:tcPr>
          <w:p w14:paraId="725ED0E7" w14:textId="77777777" w:rsidR="00EA3B24" w:rsidRDefault="00EA3B24" w:rsidP="00EA3B24">
            <w:pPr>
              <w:spacing w:after="0"/>
              <w:jc w:val="left"/>
              <w:rPr>
                <w:szCs w:val="24"/>
              </w:rPr>
            </w:pPr>
            <w:r>
              <w:rPr>
                <w:szCs w:val="24"/>
              </w:rPr>
              <w:t>Description</w:t>
            </w:r>
          </w:p>
        </w:tc>
      </w:tr>
      <w:tr w:rsidR="00EA3B24" w14:paraId="750A80D9" w14:textId="77777777" w:rsidTr="001136D3">
        <w:tc>
          <w:tcPr>
            <w:tcW w:w="1705" w:type="dxa"/>
          </w:tcPr>
          <w:p w14:paraId="30A9E10E" w14:textId="77777777" w:rsidR="00EA3B24" w:rsidRDefault="00EA3B24" w:rsidP="004E2D1C">
            <w:pPr>
              <w:spacing w:after="0"/>
              <w:rPr>
                <w:szCs w:val="24"/>
              </w:rPr>
            </w:pPr>
            <w:r>
              <w:rPr>
                <w:szCs w:val="24"/>
              </w:rPr>
              <w:t>FR460</w:t>
            </w:r>
          </w:p>
          <w:p w14:paraId="24086EF3" w14:textId="1AC2725C" w:rsidR="00EA3B24" w:rsidRDefault="00EA3B24" w:rsidP="001136D3">
            <w:pPr>
              <w:spacing w:after="0"/>
              <w:rPr>
                <w:szCs w:val="24"/>
              </w:rPr>
            </w:pPr>
            <w:r>
              <w:rPr>
                <w:szCs w:val="24"/>
              </w:rPr>
              <w:t xml:space="preserve">Administration </w:t>
            </w:r>
          </w:p>
        </w:tc>
        <w:tc>
          <w:tcPr>
            <w:tcW w:w="6210" w:type="dxa"/>
          </w:tcPr>
          <w:p w14:paraId="5D7115C8" w14:textId="117175C3" w:rsidR="00EA3B24" w:rsidRDefault="00EA3B24" w:rsidP="001136D3">
            <w:pPr>
              <w:spacing w:after="0"/>
              <w:rPr>
                <w:szCs w:val="24"/>
              </w:rPr>
            </w:pPr>
            <w:r>
              <w:rPr>
                <w:szCs w:val="24"/>
              </w:rPr>
              <w:t xml:space="preserve">The system must support the concept of distributed administration. With distributed administration means, an administrator has the authority to only manage users that </w:t>
            </w:r>
            <w:proofErr w:type="gramStart"/>
            <w:r>
              <w:rPr>
                <w:szCs w:val="24"/>
              </w:rPr>
              <w:t>belongs</w:t>
            </w:r>
            <w:proofErr w:type="gramEnd"/>
            <w:r>
              <w:rPr>
                <w:szCs w:val="24"/>
              </w:rPr>
              <w:t xml:space="preserve"> to a specific organization, CBRAs etc.  </w:t>
            </w:r>
            <w:r>
              <w:rPr>
                <w:szCs w:val="24"/>
              </w:rPr>
              <w:br/>
              <w:t>The system shall support the following principles:</w:t>
            </w:r>
          </w:p>
          <w:p w14:paraId="565D87E0" w14:textId="77777777" w:rsidR="00EA3B24" w:rsidRDefault="00EA3B24" w:rsidP="00D530D5">
            <w:pPr>
              <w:pStyle w:val="ListParagraph"/>
              <w:numPr>
                <w:ilvl w:val="0"/>
                <w:numId w:val="113"/>
              </w:numPr>
              <w:spacing w:after="0"/>
              <w:ind w:left="451" w:hanging="270"/>
              <w:rPr>
                <w:szCs w:val="24"/>
              </w:rPr>
            </w:pPr>
            <w:r>
              <w:rPr>
                <w:szCs w:val="24"/>
              </w:rPr>
              <w:t xml:space="preserve">The main administrator can authorize administrator privileges to sub-administrator of users belonging to a specific organization. </w:t>
            </w:r>
          </w:p>
          <w:p w14:paraId="5D327DA1" w14:textId="201BC423" w:rsidR="00EA3B24" w:rsidRDefault="00EA3B24" w:rsidP="00D530D5">
            <w:pPr>
              <w:pStyle w:val="ListParagraph"/>
              <w:numPr>
                <w:ilvl w:val="0"/>
                <w:numId w:val="113"/>
              </w:numPr>
              <w:spacing w:after="0"/>
              <w:ind w:left="451" w:hanging="270"/>
              <w:rPr>
                <w:szCs w:val="24"/>
              </w:rPr>
            </w:pPr>
            <w:r>
              <w:rPr>
                <w:szCs w:val="24"/>
              </w:rPr>
              <w:t>A sub-administrator can be authorized to manage users in one organization.</w:t>
            </w:r>
          </w:p>
        </w:tc>
      </w:tr>
    </w:tbl>
    <w:p w14:paraId="74C992DE" w14:textId="77777777" w:rsidR="00C34E89" w:rsidRDefault="00C34E89">
      <w:pPr>
        <w:spacing w:after="0"/>
        <w:ind w:left="720"/>
      </w:pPr>
    </w:p>
    <w:p w14:paraId="73FAFF42" w14:textId="2AFBB66B" w:rsidR="00157AAA" w:rsidRDefault="006C1BE5" w:rsidP="008E2AAD">
      <w:r>
        <w:t>The NSW automate the following processes:</w:t>
      </w:r>
    </w:p>
    <w:p w14:paraId="289CBBD9" w14:textId="1C8B9CE2" w:rsidR="00DC1D8D" w:rsidRDefault="00DC1D8D" w:rsidP="00D530D5">
      <w:pPr>
        <w:pStyle w:val="ListParagraph"/>
        <w:numPr>
          <w:ilvl w:val="0"/>
          <w:numId w:val="162"/>
        </w:numPr>
      </w:pPr>
      <w:r>
        <w:t>Register Economic Operator</w:t>
      </w:r>
    </w:p>
    <w:p w14:paraId="4374F1EE" w14:textId="3A606567" w:rsidR="00DC1D8D" w:rsidRDefault="00DC1D8D" w:rsidP="00D530D5">
      <w:pPr>
        <w:pStyle w:val="ListParagraph"/>
        <w:numPr>
          <w:ilvl w:val="0"/>
          <w:numId w:val="162"/>
        </w:numPr>
      </w:pPr>
      <w:r w:rsidRPr="00DC1D8D">
        <w:t>Check Economic Operator Registration</w:t>
      </w:r>
    </w:p>
    <w:p w14:paraId="7F1F8454" w14:textId="7DF17979" w:rsidR="00157AAA" w:rsidRPr="008E2AAD" w:rsidRDefault="000C766F">
      <w:pPr>
        <w:rPr>
          <w:b/>
          <w:bCs/>
          <w:iCs/>
        </w:rPr>
      </w:pPr>
      <w:r>
        <w:rPr>
          <w:b/>
          <w:bCs/>
          <w:iCs/>
        </w:rPr>
        <w:t>1.2.4.4</w:t>
      </w:r>
      <w:r w:rsidR="006C1BE5" w:rsidRPr="008E2AAD">
        <w:rPr>
          <w:b/>
          <w:bCs/>
          <w:iCs/>
        </w:rPr>
        <w:t>. Register Economic Operator</w:t>
      </w:r>
    </w:p>
    <w:p w14:paraId="7724865E" w14:textId="77777777" w:rsidR="00157AAA" w:rsidRDefault="006C1BE5">
      <w:pPr>
        <w:rPr>
          <w:b/>
          <w:i/>
        </w:rPr>
      </w:pPr>
      <w:r>
        <w:rPr>
          <w:b/>
          <w:i/>
          <w:noProof/>
        </w:rPr>
        <w:lastRenderedPageBreak/>
        <w:drawing>
          <wp:inline distT="0" distB="0" distL="0" distR="0" wp14:anchorId="2B065535" wp14:editId="2CFF97A4">
            <wp:extent cx="5486400" cy="2227580"/>
            <wp:effectExtent l="0" t="0" r="0" b="1270"/>
            <wp:docPr id="13" name="Picture 13"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31956" name="Picture 558231956" descr="A diagram of a circuit&#10;&#10;Description automatically generated"/>
                    <pic:cNvPicPr>
                      <a:picLocks noChangeAspect="1"/>
                    </pic:cNvPicPr>
                  </pic:nvPicPr>
                  <pic:blipFill>
                    <a:blip r:embed="rId76"/>
                    <a:stretch/>
                  </pic:blipFill>
                  <pic:spPr bwMode="auto">
                    <a:xfrm>
                      <a:off x="0" y="0"/>
                      <a:ext cx="5486400" cy="2227580"/>
                    </a:xfrm>
                    <a:prstGeom prst="rect">
                      <a:avLst/>
                    </a:prstGeom>
                  </pic:spPr>
                </pic:pic>
              </a:graphicData>
            </a:graphic>
          </wp:inline>
        </w:drawing>
      </w:r>
    </w:p>
    <w:p w14:paraId="4F43CE17" w14:textId="30C8CAE6" w:rsidR="00157AAA" w:rsidRDefault="00E3729B">
      <w:pPr>
        <w:rPr>
          <w:b/>
          <w:i/>
        </w:rPr>
      </w:pPr>
      <w:r>
        <w:rPr>
          <w:b/>
          <w:i/>
          <w:noProof/>
        </w:rPr>
        <mc:AlternateContent>
          <mc:Choice Requires="wps">
            <w:drawing>
              <wp:anchor distT="0" distB="0" distL="114300" distR="114300" simplePos="0" relativeHeight="251658246" behindDoc="0" locked="0" layoutInCell="1" allowOverlap="1" wp14:anchorId="774631A0" wp14:editId="415D3BB8">
                <wp:simplePos x="0" y="0"/>
                <wp:positionH relativeFrom="column">
                  <wp:posOffset>0</wp:posOffset>
                </wp:positionH>
                <wp:positionV relativeFrom="paragraph">
                  <wp:posOffset>0</wp:posOffset>
                </wp:positionV>
                <wp:extent cx="635000" cy="635000"/>
                <wp:effectExtent l="19050" t="19050" r="12700" b="12700"/>
                <wp:wrapNone/>
                <wp:docPr id="40" name="AutoShape 6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2AB26" id="AutoShape 65" o:spid="_x0000_s1026" style="position:absolute;margin-left:0;margin-top:0;width:50pt;height:50pt;z-index:25165824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AKohwpIgIAAEgEAAAOAAAAAAAAAAAAAAAAAC4CAABkcnMvZTJvRG9jLnhtbFBLAQIt&#10;ABQABgAIAAAAIQDrjR772AAAAAUBAAAPAAAAAAAAAAAAAAAAAHwEAABkcnMvZG93bnJldi54bWxQ&#10;SwUGAAAAAAQABADzAAAAgQUAAAAA&#10;">
                <v:stroke joinstyle="round"/>
                <o:lock v:ext="edit" selection="t"/>
              </v:rect>
            </w:pict>
          </mc:Fallback>
        </mc:AlternateContent>
      </w:r>
      <w:r w:rsidR="000C766F">
        <w:rPr>
          <w:b/>
          <w:i/>
        </w:rPr>
        <w:object w:dxaOrig="935" w:dyaOrig="602" w14:anchorId="50AE72BA">
          <v:shape id="_x0000_i1026" type="#_x0000_t75" style="width:47.8pt;height:30.1pt" o:ole="">
            <v:imagedata r:id="rId77" o:title=""/>
          </v:shape>
          <o:OLEObject Type="Embed" ProgID="Package" ShapeID="_x0000_i1026" DrawAspect="Icon" ObjectID="_1777888259" r:id="rId78"/>
        </w:object>
      </w:r>
    </w:p>
    <w:p w14:paraId="3767EED5" w14:textId="37186C25" w:rsidR="00157AAA" w:rsidRDefault="00157AAA">
      <w:pPr>
        <w:jc w:val="center"/>
        <w:rPr>
          <w:i/>
          <w:highlight w:val="yellow"/>
        </w:rPr>
      </w:pPr>
    </w:p>
    <w:p w14:paraId="294230BB" w14:textId="64402D62" w:rsidR="00157AAA" w:rsidRDefault="006C1BE5">
      <w:pPr>
        <w:jc w:val="center"/>
        <w:rPr>
          <w:i/>
        </w:rPr>
      </w:pPr>
      <w:r>
        <w:rPr>
          <w:i/>
        </w:rPr>
        <w:t>Figure</w:t>
      </w:r>
      <w:r>
        <w:t xml:space="preserve"> </w:t>
      </w:r>
      <w:r w:rsidR="00631878">
        <w:rPr>
          <w:i/>
        </w:rPr>
        <w:t>5</w:t>
      </w:r>
      <w:r>
        <w:rPr>
          <w:i/>
        </w:rPr>
        <w:t>: BPMN Process Diagram: Register Economic Operator</w:t>
      </w:r>
    </w:p>
    <w:p w14:paraId="6B54371E" w14:textId="77777777" w:rsidR="00157AAA" w:rsidRDefault="00157AAA">
      <w:pPr>
        <w:pStyle w:val="NoSpacing"/>
        <w:rPr>
          <w:sz w:val="10"/>
          <w:szCs w:val="10"/>
        </w:rPr>
      </w:pPr>
    </w:p>
    <w:p w14:paraId="18D37B27" w14:textId="77777777" w:rsidR="00157AAA" w:rsidRDefault="006C1BE5">
      <w:pPr>
        <w:rPr>
          <w:rFonts w:eastAsia="Calibri"/>
          <w:szCs w:val="24"/>
        </w:rPr>
      </w:pPr>
      <w:r w:rsidRPr="008611E7">
        <w:rPr>
          <w:b/>
          <w:szCs w:val="24"/>
        </w:rPr>
        <w:t>Process Description</w:t>
      </w:r>
      <w:r>
        <w:rPr>
          <w:i/>
          <w:szCs w:val="24"/>
        </w:rPr>
        <w:t xml:space="preserve">: </w:t>
      </w:r>
      <w:r>
        <w:rPr>
          <w:rFonts w:eastAsia="Calibri"/>
          <w:szCs w:val="24"/>
        </w:rPr>
        <w:t xml:space="preserve">The purpose of this process is to check the EO registration via the NSW and register CA in the system. The process starts with receiving a request for usage of NSW system from Trader Portal, or a user admin can initiate the creation of new user. In the second case, the User Administrator fills in information regarding the Competent Authority. Then, the NSW performs technical validation of the request to use NSW. If the message is technically valid, the system sends request to Commercial Register and UMS to validate the EO and CA and receives information on validation. Then the NSW validates the information on Economic Operator and/or CA and takes decision on granting user permission. If the validation is positive, the system grants permission and notifies the EO. If the Response validation and criteria are not met, the NSW sends error notification for the request to use NSW. For CA, notification to UMS - User Management System for the new permissions and credentials are sent. </w:t>
      </w:r>
    </w:p>
    <w:p w14:paraId="04284763" w14:textId="77777777" w:rsidR="00157AAA" w:rsidRDefault="00157AAA">
      <w:pPr>
        <w:pStyle w:val="NoSpacing"/>
        <w:rPr>
          <w:rFonts w:eastAsia="Calibri"/>
          <w:sz w:val="10"/>
          <w:szCs w:val="10"/>
        </w:rPr>
      </w:pPr>
    </w:p>
    <w:p w14:paraId="184747A1" w14:textId="77777777" w:rsidR="00157AAA" w:rsidRDefault="006C1BE5">
      <w:pPr>
        <w:pStyle w:val="NoSpacing"/>
        <w:rPr>
          <w:b/>
          <w:i/>
          <w:szCs w:val="24"/>
        </w:rPr>
      </w:pPr>
      <w:r w:rsidRPr="008E2AAD">
        <w:rPr>
          <w:b/>
          <w:szCs w:val="24"/>
        </w:rPr>
        <w:t>Process Steps</w:t>
      </w:r>
      <w:r>
        <w:rPr>
          <w:b/>
          <w:i/>
          <w:szCs w:val="24"/>
        </w:rPr>
        <w:t>:</w:t>
      </w:r>
    </w:p>
    <w:p w14:paraId="0193BAD7" w14:textId="77777777" w:rsidR="00157AAA" w:rsidRDefault="00157AAA">
      <w:pPr>
        <w:pStyle w:val="NoSpacing"/>
        <w:rPr>
          <w:b/>
          <w:i/>
          <w:sz w:val="22"/>
          <w:szCs w:val="24"/>
        </w:rPr>
      </w:pPr>
    </w:p>
    <w:tbl>
      <w:tblPr>
        <w:tblStyle w:val="TableGrid"/>
        <w:tblW w:w="0" w:type="auto"/>
        <w:tblLook w:val="04A0" w:firstRow="1" w:lastRow="0" w:firstColumn="1" w:lastColumn="0" w:noHBand="0" w:noVBand="1"/>
      </w:tblPr>
      <w:tblGrid>
        <w:gridCol w:w="1525"/>
        <w:gridCol w:w="2430"/>
        <w:gridCol w:w="4675"/>
      </w:tblGrid>
      <w:tr w:rsidR="00157AAA" w:rsidRPr="004E2D1C" w14:paraId="74A0A8BA" w14:textId="77777777" w:rsidTr="001136D3">
        <w:trPr>
          <w:tblHeader/>
        </w:trPr>
        <w:tc>
          <w:tcPr>
            <w:tcW w:w="15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738B4C" w14:textId="77777777" w:rsidR="00157AAA" w:rsidRPr="004E2D1C" w:rsidRDefault="006C1BE5">
            <w:pPr>
              <w:spacing w:after="0"/>
              <w:rPr>
                <w:b/>
                <w:szCs w:val="24"/>
              </w:rPr>
            </w:pPr>
            <w:r w:rsidRPr="004E2D1C">
              <w:rPr>
                <w:b/>
                <w:szCs w:val="24"/>
              </w:rPr>
              <w:t>Step</w:t>
            </w:r>
          </w:p>
        </w:tc>
        <w:tc>
          <w:tcPr>
            <w:tcW w:w="24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B39723" w14:textId="77777777" w:rsidR="00157AAA" w:rsidRPr="004E2D1C" w:rsidRDefault="006C1BE5">
            <w:pPr>
              <w:spacing w:after="0"/>
              <w:jc w:val="left"/>
              <w:rPr>
                <w:b/>
                <w:szCs w:val="24"/>
              </w:rPr>
            </w:pPr>
            <w:r w:rsidRPr="004E2D1C">
              <w:rPr>
                <w:b/>
                <w:szCs w:val="24"/>
              </w:rPr>
              <w:t>Name</w:t>
            </w:r>
          </w:p>
        </w:tc>
        <w:tc>
          <w:tcPr>
            <w:tcW w:w="4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B9E55C" w14:textId="77777777" w:rsidR="00157AAA" w:rsidRPr="004E2D1C" w:rsidRDefault="006C1BE5">
            <w:pPr>
              <w:spacing w:after="0"/>
              <w:jc w:val="left"/>
              <w:rPr>
                <w:b/>
                <w:szCs w:val="24"/>
              </w:rPr>
            </w:pPr>
            <w:r w:rsidRPr="004E2D1C">
              <w:rPr>
                <w:b/>
                <w:szCs w:val="24"/>
              </w:rPr>
              <w:t>Description</w:t>
            </w:r>
          </w:p>
        </w:tc>
      </w:tr>
      <w:tr w:rsidR="00157AAA" w:rsidRPr="004E2D1C" w14:paraId="62262EE6" w14:textId="77777777" w:rsidTr="001136D3">
        <w:tc>
          <w:tcPr>
            <w:tcW w:w="1525" w:type="dxa"/>
            <w:tcBorders>
              <w:top w:val="single" w:sz="4" w:space="0" w:color="auto"/>
              <w:left w:val="single" w:sz="4" w:space="0" w:color="auto"/>
              <w:bottom w:val="single" w:sz="4" w:space="0" w:color="auto"/>
              <w:right w:val="single" w:sz="4" w:space="0" w:color="auto"/>
            </w:tcBorders>
          </w:tcPr>
          <w:p w14:paraId="5275CB26" w14:textId="77777777" w:rsidR="00157AAA" w:rsidRPr="004E2D1C" w:rsidRDefault="006C1BE5">
            <w:pPr>
              <w:spacing w:after="0"/>
              <w:rPr>
                <w:szCs w:val="24"/>
              </w:rPr>
            </w:pPr>
            <w:r w:rsidRPr="004E2D1C">
              <w:rPr>
                <w:szCs w:val="24"/>
              </w:rPr>
              <w:t>Start Message Event</w:t>
            </w:r>
          </w:p>
        </w:tc>
        <w:tc>
          <w:tcPr>
            <w:tcW w:w="2430" w:type="dxa"/>
            <w:tcBorders>
              <w:top w:val="single" w:sz="4" w:space="0" w:color="auto"/>
              <w:left w:val="single" w:sz="4" w:space="0" w:color="auto"/>
              <w:bottom w:val="single" w:sz="4" w:space="0" w:color="auto"/>
              <w:right w:val="single" w:sz="4" w:space="0" w:color="auto"/>
            </w:tcBorders>
          </w:tcPr>
          <w:p w14:paraId="0BFF5A15" w14:textId="77777777" w:rsidR="00157AAA" w:rsidRPr="004E2D1C" w:rsidRDefault="006C1BE5">
            <w:pPr>
              <w:spacing w:after="0"/>
              <w:jc w:val="left"/>
              <w:rPr>
                <w:szCs w:val="24"/>
              </w:rPr>
            </w:pPr>
            <w:r w:rsidRPr="004E2D1C">
              <w:rPr>
                <w:szCs w:val="24"/>
              </w:rPr>
              <w:t>Request to Use NSW Received</w:t>
            </w:r>
          </w:p>
        </w:tc>
        <w:tc>
          <w:tcPr>
            <w:tcW w:w="4675" w:type="dxa"/>
            <w:tcBorders>
              <w:top w:val="single" w:sz="4" w:space="0" w:color="auto"/>
              <w:left w:val="single" w:sz="4" w:space="0" w:color="auto"/>
              <w:bottom w:val="single" w:sz="4" w:space="0" w:color="auto"/>
              <w:right w:val="single" w:sz="4" w:space="0" w:color="auto"/>
            </w:tcBorders>
          </w:tcPr>
          <w:p w14:paraId="5E2F92F8" w14:textId="77777777" w:rsidR="00157AAA" w:rsidRPr="004E2D1C" w:rsidRDefault="006C1BE5">
            <w:pPr>
              <w:spacing w:after="0"/>
              <w:rPr>
                <w:szCs w:val="24"/>
              </w:rPr>
            </w:pPr>
            <w:r w:rsidRPr="004E2D1C">
              <w:rPr>
                <w:szCs w:val="24"/>
              </w:rPr>
              <w:t>The NSW system receives request to use NSW system from EO.</w:t>
            </w:r>
          </w:p>
        </w:tc>
      </w:tr>
      <w:tr w:rsidR="00157AAA" w:rsidRPr="004E2D1C" w14:paraId="12D5E20D" w14:textId="77777777" w:rsidTr="001136D3">
        <w:tc>
          <w:tcPr>
            <w:tcW w:w="1525" w:type="dxa"/>
            <w:tcBorders>
              <w:top w:val="single" w:sz="4" w:space="0" w:color="auto"/>
              <w:left w:val="single" w:sz="4" w:space="0" w:color="auto"/>
              <w:bottom w:val="single" w:sz="4" w:space="0" w:color="auto"/>
              <w:right w:val="single" w:sz="4" w:space="0" w:color="auto"/>
            </w:tcBorders>
          </w:tcPr>
          <w:p w14:paraId="6DE22297" w14:textId="77777777" w:rsidR="00157AAA" w:rsidRPr="004E2D1C" w:rsidRDefault="006C1BE5">
            <w:pPr>
              <w:spacing w:after="0"/>
              <w:rPr>
                <w:szCs w:val="24"/>
              </w:rPr>
            </w:pPr>
            <w:r w:rsidRPr="004E2D1C">
              <w:rPr>
                <w:szCs w:val="24"/>
              </w:rPr>
              <w:t>Start Event</w:t>
            </w:r>
          </w:p>
        </w:tc>
        <w:tc>
          <w:tcPr>
            <w:tcW w:w="2430" w:type="dxa"/>
            <w:tcBorders>
              <w:top w:val="single" w:sz="4" w:space="0" w:color="auto"/>
              <w:left w:val="single" w:sz="4" w:space="0" w:color="auto"/>
              <w:bottom w:val="single" w:sz="4" w:space="0" w:color="auto"/>
              <w:right w:val="single" w:sz="4" w:space="0" w:color="auto"/>
            </w:tcBorders>
          </w:tcPr>
          <w:p w14:paraId="1755F06C" w14:textId="77777777" w:rsidR="00157AAA" w:rsidRPr="004E2D1C" w:rsidRDefault="006C1BE5">
            <w:pPr>
              <w:spacing w:after="0"/>
              <w:jc w:val="left"/>
              <w:rPr>
                <w:szCs w:val="24"/>
              </w:rPr>
            </w:pPr>
            <w:r w:rsidRPr="004E2D1C">
              <w:rPr>
                <w:szCs w:val="24"/>
              </w:rPr>
              <w:t>Initiate Competent Authority Registration</w:t>
            </w:r>
          </w:p>
        </w:tc>
        <w:tc>
          <w:tcPr>
            <w:tcW w:w="4675" w:type="dxa"/>
            <w:tcBorders>
              <w:top w:val="single" w:sz="4" w:space="0" w:color="auto"/>
              <w:left w:val="single" w:sz="4" w:space="0" w:color="auto"/>
              <w:bottom w:val="single" w:sz="4" w:space="0" w:color="auto"/>
              <w:right w:val="single" w:sz="4" w:space="0" w:color="auto"/>
            </w:tcBorders>
          </w:tcPr>
          <w:p w14:paraId="56F5128F" w14:textId="77777777" w:rsidR="00157AAA" w:rsidRPr="004E2D1C" w:rsidRDefault="006C1BE5">
            <w:pPr>
              <w:spacing w:after="0"/>
              <w:rPr>
                <w:szCs w:val="24"/>
              </w:rPr>
            </w:pPr>
            <w:r w:rsidRPr="004E2D1C">
              <w:rPr>
                <w:szCs w:val="24"/>
              </w:rPr>
              <w:t>Competent Authority Registration is initiated</w:t>
            </w:r>
          </w:p>
        </w:tc>
      </w:tr>
      <w:tr w:rsidR="00157AAA" w:rsidRPr="004E2D1C" w14:paraId="34E369C3" w14:textId="77777777" w:rsidTr="001136D3">
        <w:tc>
          <w:tcPr>
            <w:tcW w:w="1525" w:type="dxa"/>
            <w:tcBorders>
              <w:top w:val="single" w:sz="4" w:space="0" w:color="auto"/>
              <w:left w:val="single" w:sz="4" w:space="0" w:color="auto"/>
              <w:bottom w:val="single" w:sz="4" w:space="0" w:color="auto"/>
              <w:right w:val="single" w:sz="4" w:space="0" w:color="auto"/>
            </w:tcBorders>
          </w:tcPr>
          <w:p w14:paraId="324DC7FE" w14:textId="77777777" w:rsidR="00157AAA" w:rsidRPr="004E2D1C" w:rsidRDefault="006C1BE5">
            <w:pPr>
              <w:spacing w:after="0"/>
              <w:rPr>
                <w:szCs w:val="24"/>
              </w:rPr>
            </w:pPr>
            <w:r w:rsidRPr="004E2D1C">
              <w:rPr>
                <w:szCs w:val="24"/>
              </w:rPr>
              <w:t>User Task</w:t>
            </w:r>
          </w:p>
        </w:tc>
        <w:tc>
          <w:tcPr>
            <w:tcW w:w="2430" w:type="dxa"/>
            <w:tcBorders>
              <w:top w:val="single" w:sz="4" w:space="0" w:color="auto"/>
              <w:left w:val="single" w:sz="4" w:space="0" w:color="auto"/>
              <w:bottom w:val="single" w:sz="4" w:space="0" w:color="auto"/>
              <w:right w:val="single" w:sz="4" w:space="0" w:color="auto"/>
            </w:tcBorders>
          </w:tcPr>
          <w:p w14:paraId="6CFE28BF" w14:textId="77777777" w:rsidR="00157AAA" w:rsidRPr="004E2D1C" w:rsidRDefault="006C1BE5">
            <w:pPr>
              <w:spacing w:after="0"/>
              <w:jc w:val="left"/>
              <w:rPr>
                <w:szCs w:val="24"/>
              </w:rPr>
            </w:pPr>
            <w:r w:rsidRPr="004E2D1C">
              <w:rPr>
                <w:szCs w:val="24"/>
              </w:rPr>
              <w:t>Fill in Information regarding Competent Authority</w:t>
            </w:r>
          </w:p>
        </w:tc>
        <w:tc>
          <w:tcPr>
            <w:tcW w:w="4675" w:type="dxa"/>
            <w:tcBorders>
              <w:top w:val="single" w:sz="4" w:space="0" w:color="auto"/>
              <w:left w:val="single" w:sz="4" w:space="0" w:color="auto"/>
              <w:bottom w:val="single" w:sz="4" w:space="0" w:color="auto"/>
              <w:right w:val="single" w:sz="4" w:space="0" w:color="auto"/>
            </w:tcBorders>
          </w:tcPr>
          <w:p w14:paraId="6D6E208B" w14:textId="77777777" w:rsidR="00157AAA" w:rsidRPr="004E2D1C" w:rsidRDefault="006C1BE5">
            <w:pPr>
              <w:spacing w:after="0"/>
              <w:rPr>
                <w:szCs w:val="24"/>
              </w:rPr>
            </w:pPr>
            <w:r w:rsidRPr="004E2D1C">
              <w:rPr>
                <w:szCs w:val="24"/>
              </w:rPr>
              <w:t>The User Administrator fills in information regarding the Competent Authority</w:t>
            </w:r>
          </w:p>
        </w:tc>
      </w:tr>
      <w:tr w:rsidR="00157AAA" w:rsidRPr="004E2D1C" w14:paraId="456C163D" w14:textId="77777777" w:rsidTr="001136D3">
        <w:tc>
          <w:tcPr>
            <w:tcW w:w="1525" w:type="dxa"/>
            <w:tcBorders>
              <w:top w:val="single" w:sz="4" w:space="0" w:color="auto"/>
              <w:left w:val="single" w:sz="4" w:space="0" w:color="auto"/>
              <w:bottom w:val="single" w:sz="4" w:space="0" w:color="auto"/>
              <w:right w:val="single" w:sz="4" w:space="0" w:color="auto"/>
            </w:tcBorders>
          </w:tcPr>
          <w:p w14:paraId="135D1BA9" w14:textId="77777777" w:rsidR="00157AAA" w:rsidRPr="004E2D1C" w:rsidRDefault="006C1BE5">
            <w:pPr>
              <w:spacing w:after="0"/>
              <w:rPr>
                <w:szCs w:val="24"/>
              </w:rPr>
            </w:pPr>
            <w:r w:rsidRPr="004E2D1C">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75FAD03F" w14:textId="77777777" w:rsidR="00157AAA" w:rsidRPr="004E2D1C" w:rsidRDefault="006C1BE5">
            <w:pPr>
              <w:spacing w:after="0"/>
              <w:jc w:val="left"/>
              <w:rPr>
                <w:szCs w:val="24"/>
              </w:rPr>
            </w:pPr>
            <w:r w:rsidRPr="004E2D1C">
              <w:rPr>
                <w:szCs w:val="24"/>
              </w:rPr>
              <w:t>Perform Technical Validation of the Request to Use NSW</w:t>
            </w:r>
          </w:p>
        </w:tc>
        <w:tc>
          <w:tcPr>
            <w:tcW w:w="4675" w:type="dxa"/>
            <w:tcBorders>
              <w:top w:val="single" w:sz="4" w:space="0" w:color="auto"/>
              <w:left w:val="single" w:sz="4" w:space="0" w:color="auto"/>
              <w:bottom w:val="single" w:sz="4" w:space="0" w:color="auto"/>
              <w:right w:val="single" w:sz="4" w:space="0" w:color="auto"/>
            </w:tcBorders>
          </w:tcPr>
          <w:p w14:paraId="32140762" w14:textId="77777777" w:rsidR="00157AAA" w:rsidRPr="004E2D1C" w:rsidRDefault="006C1BE5">
            <w:pPr>
              <w:spacing w:after="0"/>
              <w:rPr>
                <w:szCs w:val="24"/>
              </w:rPr>
            </w:pPr>
            <w:r w:rsidRPr="004E2D1C">
              <w:rPr>
                <w:szCs w:val="24"/>
              </w:rPr>
              <w:t>The NSW performs technical validation of the request to use NSW.</w:t>
            </w:r>
          </w:p>
        </w:tc>
      </w:tr>
      <w:tr w:rsidR="00157AAA" w:rsidRPr="004E2D1C" w14:paraId="477EA6CF" w14:textId="77777777" w:rsidTr="001136D3">
        <w:tc>
          <w:tcPr>
            <w:tcW w:w="1525" w:type="dxa"/>
            <w:tcBorders>
              <w:top w:val="single" w:sz="4" w:space="0" w:color="auto"/>
              <w:left w:val="single" w:sz="4" w:space="0" w:color="auto"/>
              <w:bottom w:val="single" w:sz="4" w:space="0" w:color="auto"/>
              <w:right w:val="single" w:sz="4" w:space="0" w:color="auto"/>
            </w:tcBorders>
          </w:tcPr>
          <w:p w14:paraId="5E9E019E" w14:textId="77777777" w:rsidR="00157AAA" w:rsidRPr="004E2D1C" w:rsidRDefault="006C1BE5">
            <w:pPr>
              <w:spacing w:after="0"/>
              <w:rPr>
                <w:szCs w:val="24"/>
              </w:rPr>
            </w:pPr>
            <w:r w:rsidRPr="004E2D1C">
              <w:rPr>
                <w:szCs w:val="24"/>
              </w:rPr>
              <w:lastRenderedPageBreak/>
              <w:t>Send Task</w:t>
            </w:r>
          </w:p>
        </w:tc>
        <w:tc>
          <w:tcPr>
            <w:tcW w:w="2430" w:type="dxa"/>
            <w:tcBorders>
              <w:top w:val="single" w:sz="4" w:space="0" w:color="auto"/>
              <w:left w:val="single" w:sz="4" w:space="0" w:color="auto"/>
              <w:bottom w:val="single" w:sz="4" w:space="0" w:color="auto"/>
              <w:right w:val="single" w:sz="4" w:space="0" w:color="auto"/>
            </w:tcBorders>
          </w:tcPr>
          <w:p w14:paraId="6EB0F3F8" w14:textId="77777777" w:rsidR="00157AAA" w:rsidRPr="004E2D1C" w:rsidRDefault="006C1BE5">
            <w:pPr>
              <w:spacing w:after="0"/>
              <w:jc w:val="left"/>
              <w:rPr>
                <w:szCs w:val="24"/>
              </w:rPr>
            </w:pPr>
            <w:r w:rsidRPr="004E2D1C">
              <w:rPr>
                <w:szCs w:val="24"/>
              </w:rPr>
              <w:t>Send Request to Validate EO</w:t>
            </w:r>
          </w:p>
        </w:tc>
        <w:tc>
          <w:tcPr>
            <w:tcW w:w="4675" w:type="dxa"/>
            <w:tcBorders>
              <w:top w:val="single" w:sz="4" w:space="0" w:color="auto"/>
              <w:left w:val="single" w:sz="4" w:space="0" w:color="auto"/>
              <w:bottom w:val="single" w:sz="4" w:space="0" w:color="auto"/>
              <w:right w:val="single" w:sz="4" w:space="0" w:color="auto"/>
            </w:tcBorders>
          </w:tcPr>
          <w:p w14:paraId="158C6EAD" w14:textId="77777777" w:rsidR="00157AAA" w:rsidRPr="004E2D1C" w:rsidRDefault="006C1BE5">
            <w:pPr>
              <w:spacing w:after="0"/>
              <w:rPr>
                <w:szCs w:val="24"/>
              </w:rPr>
            </w:pPr>
            <w:r w:rsidRPr="004E2D1C">
              <w:rPr>
                <w:szCs w:val="24"/>
              </w:rPr>
              <w:t xml:space="preserve">If the technical validation of the request to use NSW is positive, the NSW checks with Commercial Register and UMS - User Management System to validate the Economic Operator and/or CA </w:t>
            </w:r>
            <w:proofErr w:type="gramStart"/>
            <w:r w:rsidRPr="004E2D1C">
              <w:rPr>
                <w:szCs w:val="24"/>
              </w:rPr>
              <w:t>in order to</w:t>
            </w:r>
            <w:proofErr w:type="gramEnd"/>
            <w:r w:rsidRPr="004E2D1C">
              <w:rPr>
                <w:szCs w:val="24"/>
              </w:rPr>
              <w:t xml:space="preserve"> grant permissions to the user. Replies are expected from both systems.</w:t>
            </w:r>
          </w:p>
        </w:tc>
      </w:tr>
      <w:tr w:rsidR="00157AAA" w:rsidRPr="004E2D1C" w14:paraId="5B4182A3" w14:textId="77777777" w:rsidTr="001136D3">
        <w:tc>
          <w:tcPr>
            <w:tcW w:w="1525" w:type="dxa"/>
            <w:tcBorders>
              <w:top w:val="single" w:sz="4" w:space="0" w:color="auto"/>
              <w:left w:val="single" w:sz="4" w:space="0" w:color="auto"/>
              <w:bottom w:val="single" w:sz="4" w:space="0" w:color="auto"/>
              <w:right w:val="single" w:sz="4" w:space="0" w:color="auto"/>
            </w:tcBorders>
          </w:tcPr>
          <w:p w14:paraId="60D2235F" w14:textId="77777777" w:rsidR="00157AAA" w:rsidRPr="004E2D1C" w:rsidRDefault="006C1BE5">
            <w:pPr>
              <w:spacing w:after="0"/>
              <w:rPr>
                <w:szCs w:val="24"/>
              </w:rPr>
            </w:pPr>
            <w:r w:rsidRPr="004E2D1C">
              <w:rPr>
                <w:szCs w:val="24"/>
              </w:rPr>
              <w:t>Message Event</w:t>
            </w:r>
          </w:p>
        </w:tc>
        <w:tc>
          <w:tcPr>
            <w:tcW w:w="2430" w:type="dxa"/>
            <w:tcBorders>
              <w:top w:val="single" w:sz="4" w:space="0" w:color="auto"/>
              <w:left w:val="single" w:sz="4" w:space="0" w:color="auto"/>
              <w:bottom w:val="single" w:sz="4" w:space="0" w:color="auto"/>
              <w:right w:val="single" w:sz="4" w:space="0" w:color="auto"/>
            </w:tcBorders>
          </w:tcPr>
          <w:p w14:paraId="78A3DAFC" w14:textId="77777777" w:rsidR="00157AAA" w:rsidRPr="004E2D1C" w:rsidRDefault="006C1BE5">
            <w:pPr>
              <w:spacing w:after="0"/>
              <w:jc w:val="left"/>
              <w:rPr>
                <w:szCs w:val="24"/>
              </w:rPr>
            </w:pPr>
            <w:r w:rsidRPr="004E2D1C">
              <w:rPr>
                <w:szCs w:val="24"/>
              </w:rPr>
              <w:t>Receive Information of Validation of EO</w:t>
            </w:r>
          </w:p>
        </w:tc>
        <w:tc>
          <w:tcPr>
            <w:tcW w:w="4675" w:type="dxa"/>
            <w:tcBorders>
              <w:top w:val="single" w:sz="4" w:space="0" w:color="auto"/>
              <w:left w:val="single" w:sz="4" w:space="0" w:color="auto"/>
              <w:bottom w:val="single" w:sz="4" w:space="0" w:color="auto"/>
              <w:right w:val="single" w:sz="4" w:space="0" w:color="auto"/>
            </w:tcBorders>
          </w:tcPr>
          <w:p w14:paraId="4114EFD5" w14:textId="77777777" w:rsidR="00157AAA" w:rsidRPr="004E2D1C" w:rsidRDefault="006C1BE5">
            <w:pPr>
              <w:spacing w:after="0"/>
              <w:rPr>
                <w:szCs w:val="24"/>
              </w:rPr>
            </w:pPr>
            <w:r w:rsidRPr="004E2D1C">
              <w:rPr>
                <w:szCs w:val="24"/>
              </w:rPr>
              <w:t xml:space="preserve">The NSW Receives information on performed validation from UMS and Commercial Register. The NSW </w:t>
            </w:r>
            <w:proofErr w:type="gramStart"/>
            <w:r w:rsidRPr="004E2D1C">
              <w:rPr>
                <w:szCs w:val="24"/>
              </w:rPr>
              <w:t>receives also</w:t>
            </w:r>
            <w:proofErr w:type="gramEnd"/>
            <w:r w:rsidRPr="004E2D1C">
              <w:rPr>
                <w:szCs w:val="24"/>
              </w:rPr>
              <w:t xml:space="preserve"> all data about the EO.</w:t>
            </w:r>
          </w:p>
        </w:tc>
      </w:tr>
      <w:tr w:rsidR="00157AAA" w:rsidRPr="004E2D1C" w14:paraId="7330B204" w14:textId="77777777" w:rsidTr="001136D3">
        <w:tc>
          <w:tcPr>
            <w:tcW w:w="1525" w:type="dxa"/>
            <w:tcBorders>
              <w:top w:val="single" w:sz="4" w:space="0" w:color="auto"/>
              <w:left w:val="single" w:sz="4" w:space="0" w:color="auto"/>
              <w:bottom w:val="single" w:sz="4" w:space="0" w:color="auto"/>
              <w:right w:val="single" w:sz="4" w:space="0" w:color="auto"/>
            </w:tcBorders>
          </w:tcPr>
          <w:p w14:paraId="7B3D9342" w14:textId="77777777" w:rsidR="00157AAA" w:rsidRPr="004E2D1C" w:rsidRDefault="006C1BE5">
            <w:pPr>
              <w:spacing w:after="0"/>
              <w:rPr>
                <w:szCs w:val="24"/>
              </w:rPr>
            </w:pPr>
            <w:r w:rsidRPr="004E2D1C">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04474856" w14:textId="77777777" w:rsidR="00157AAA" w:rsidRPr="004E2D1C" w:rsidRDefault="006C1BE5">
            <w:pPr>
              <w:spacing w:after="0"/>
              <w:jc w:val="left"/>
              <w:rPr>
                <w:szCs w:val="24"/>
              </w:rPr>
            </w:pPr>
            <w:r w:rsidRPr="004E2D1C">
              <w:rPr>
                <w:szCs w:val="24"/>
              </w:rPr>
              <w:t>Validate Information on EO and CA and take decision</w:t>
            </w:r>
          </w:p>
        </w:tc>
        <w:tc>
          <w:tcPr>
            <w:tcW w:w="4675" w:type="dxa"/>
            <w:tcBorders>
              <w:top w:val="single" w:sz="4" w:space="0" w:color="auto"/>
              <w:left w:val="single" w:sz="4" w:space="0" w:color="auto"/>
              <w:bottom w:val="single" w:sz="4" w:space="0" w:color="auto"/>
              <w:right w:val="single" w:sz="4" w:space="0" w:color="auto"/>
            </w:tcBorders>
          </w:tcPr>
          <w:p w14:paraId="3DAEBA5F" w14:textId="77777777" w:rsidR="00157AAA" w:rsidRPr="004E2D1C" w:rsidRDefault="006C1BE5">
            <w:pPr>
              <w:spacing w:after="0"/>
              <w:rPr>
                <w:szCs w:val="24"/>
              </w:rPr>
            </w:pPr>
            <w:r w:rsidRPr="004E2D1C">
              <w:rPr>
                <w:szCs w:val="24"/>
              </w:rPr>
              <w:t>The outcome of this validation can be positive and negative. The data of the EO are overwritten with the existing data.</w:t>
            </w:r>
          </w:p>
        </w:tc>
      </w:tr>
      <w:tr w:rsidR="00157AAA" w:rsidRPr="004E2D1C" w14:paraId="2C5CE6AB" w14:textId="77777777" w:rsidTr="001136D3">
        <w:tc>
          <w:tcPr>
            <w:tcW w:w="1525" w:type="dxa"/>
            <w:tcBorders>
              <w:top w:val="single" w:sz="4" w:space="0" w:color="auto"/>
              <w:left w:val="single" w:sz="4" w:space="0" w:color="auto"/>
              <w:bottom w:val="single" w:sz="4" w:space="0" w:color="auto"/>
              <w:right w:val="single" w:sz="4" w:space="0" w:color="auto"/>
            </w:tcBorders>
          </w:tcPr>
          <w:p w14:paraId="2E2A25AF" w14:textId="77777777" w:rsidR="00157AAA" w:rsidRPr="004E2D1C" w:rsidRDefault="006C1BE5">
            <w:pPr>
              <w:spacing w:after="0"/>
              <w:rPr>
                <w:szCs w:val="24"/>
              </w:rPr>
            </w:pPr>
            <w:r w:rsidRPr="004E2D1C">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21F48983" w14:textId="77777777" w:rsidR="00157AAA" w:rsidRPr="004E2D1C" w:rsidRDefault="006C1BE5">
            <w:pPr>
              <w:spacing w:after="0"/>
              <w:jc w:val="left"/>
              <w:rPr>
                <w:szCs w:val="24"/>
              </w:rPr>
            </w:pPr>
            <w:r w:rsidRPr="004E2D1C">
              <w:rPr>
                <w:szCs w:val="24"/>
              </w:rPr>
              <w:t>Notify EO of Request to Use NSW Error</w:t>
            </w:r>
          </w:p>
        </w:tc>
        <w:tc>
          <w:tcPr>
            <w:tcW w:w="4675" w:type="dxa"/>
            <w:tcBorders>
              <w:top w:val="single" w:sz="4" w:space="0" w:color="auto"/>
              <w:left w:val="single" w:sz="4" w:space="0" w:color="auto"/>
              <w:bottom w:val="single" w:sz="4" w:space="0" w:color="auto"/>
              <w:right w:val="single" w:sz="4" w:space="0" w:color="auto"/>
            </w:tcBorders>
          </w:tcPr>
          <w:p w14:paraId="3D4C1F63" w14:textId="77777777" w:rsidR="00157AAA" w:rsidRPr="004E2D1C" w:rsidRDefault="006C1BE5">
            <w:pPr>
              <w:spacing w:after="0"/>
              <w:rPr>
                <w:szCs w:val="24"/>
              </w:rPr>
            </w:pPr>
            <w:r w:rsidRPr="004E2D1C">
              <w:rPr>
                <w:szCs w:val="24"/>
              </w:rPr>
              <w:t>If the validation of the information on EO received is not valid, the NSW system sends notification error on request to use NSW.</w:t>
            </w:r>
          </w:p>
        </w:tc>
      </w:tr>
      <w:tr w:rsidR="00157AAA" w:rsidRPr="004E2D1C" w14:paraId="1CDF381B" w14:textId="77777777" w:rsidTr="001136D3">
        <w:tc>
          <w:tcPr>
            <w:tcW w:w="1525" w:type="dxa"/>
            <w:tcBorders>
              <w:top w:val="single" w:sz="4" w:space="0" w:color="auto"/>
              <w:left w:val="single" w:sz="4" w:space="0" w:color="auto"/>
              <w:bottom w:val="single" w:sz="4" w:space="0" w:color="auto"/>
              <w:right w:val="single" w:sz="4" w:space="0" w:color="auto"/>
            </w:tcBorders>
          </w:tcPr>
          <w:p w14:paraId="0309EF76" w14:textId="77777777" w:rsidR="00157AAA" w:rsidRPr="004E2D1C" w:rsidRDefault="006C1BE5">
            <w:pPr>
              <w:spacing w:after="0"/>
              <w:rPr>
                <w:szCs w:val="24"/>
                <w:lang w:val="mk-MK"/>
              </w:rPr>
            </w:pPr>
            <w:r w:rsidRPr="004E2D1C">
              <w:rPr>
                <w:szCs w:val="24"/>
              </w:rPr>
              <w:t>End Event</w:t>
            </w:r>
          </w:p>
        </w:tc>
        <w:tc>
          <w:tcPr>
            <w:tcW w:w="2430" w:type="dxa"/>
            <w:tcBorders>
              <w:top w:val="single" w:sz="4" w:space="0" w:color="auto"/>
              <w:left w:val="single" w:sz="4" w:space="0" w:color="auto"/>
              <w:bottom w:val="single" w:sz="4" w:space="0" w:color="auto"/>
              <w:right w:val="single" w:sz="4" w:space="0" w:color="auto"/>
            </w:tcBorders>
          </w:tcPr>
          <w:p w14:paraId="2F344454" w14:textId="77777777" w:rsidR="00157AAA" w:rsidRPr="004E2D1C" w:rsidRDefault="006C1BE5">
            <w:pPr>
              <w:spacing w:after="0"/>
              <w:jc w:val="left"/>
              <w:rPr>
                <w:szCs w:val="24"/>
              </w:rPr>
            </w:pPr>
            <w:r w:rsidRPr="004E2D1C">
              <w:rPr>
                <w:szCs w:val="24"/>
              </w:rPr>
              <w:t>Request to Use NSW Error</w:t>
            </w:r>
          </w:p>
        </w:tc>
        <w:tc>
          <w:tcPr>
            <w:tcW w:w="4675" w:type="dxa"/>
            <w:tcBorders>
              <w:top w:val="single" w:sz="4" w:space="0" w:color="auto"/>
              <w:left w:val="single" w:sz="4" w:space="0" w:color="auto"/>
              <w:bottom w:val="single" w:sz="4" w:space="0" w:color="auto"/>
              <w:right w:val="single" w:sz="4" w:space="0" w:color="auto"/>
            </w:tcBorders>
          </w:tcPr>
          <w:p w14:paraId="032E28C8" w14:textId="77777777" w:rsidR="00157AAA" w:rsidRPr="004E2D1C" w:rsidRDefault="006C1BE5">
            <w:pPr>
              <w:spacing w:after="0"/>
              <w:rPr>
                <w:szCs w:val="24"/>
              </w:rPr>
            </w:pPr>
            <w:r w:rsidRPr="004E2D1C">
              <w:rPr>
                <w:szCs w:val="24"/>
              </w:rPr>
              <w:t>Request to Use NSW Error</w:t>
            </w:r>
          </w:p>
        </w:tc>
      </w:tr>
      <w:tr w:rsidR="00157AAA" w:rsidRPr="004E2D1C" w14:paraId="63851F72" w14:textId="77777777" w:rsidTr="001136D3">
        <w:tc>
          <w:tcPr>
            <w:tcW w:w="1525" w:type="dxa"/>
            <w:tcBorders>
              <w:top w:val="single" w:sz="4" w:space="0" w:color="auto"/>
              <w:left w:val="single" w:sz="4" w:space="0" w:color="auto"/>
              <w:bottom w:val="single" w:sz="4" w:space="0" w:color="auto"/>
              <w:right w:val="single" w:sz="4" w:space="0" w:color="auto"/>
            </w:tcBorders>
          </w:tcPr>
          <w:p w14:paraId="3A78272C" w14:textId="77777777" w:rsidR="00157AAA" w:rsidRPr="004E2D1C" w:rsidRDefault="006C1BE5">
            <w:pPr>
              <w:spacing w:after="0"/>
              <w:rPr>
                <w:szCs w:val="24"/>
              </w:rPr>
            </w:pPr>
            <w:r w:rsidRPr="004E2D1C">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2E8398C7" w14:textId="77777777" w:rsidR="00157AAA" w:rsidRPr="004E2D1C" w:rsidRDefault="006C1BE5">
            <w:pPr>
              <w:spacing w:after="0"/>
              <w:jc w:val="left"/>
              <w:rPr>
                <w:szCs w:val="24"/>
              </w:rPr>
            </w:pPr>
            <w:r w:rsidRPr="004E2D1C">
              <w:rPr>
                <w:szCs w:val="24"/>
              </w:rPr>
              <w:t>Grant User Permission</w:t>
            </w:r>
          </w:p>
        </w:tc>
        <w:tc>
          <w:tcPr>
            <w:tcW w:w="4675" w:type="dxa"/>
            <w:tcBorders>
              <w:top w:val="single" w:sz="4" w:space="0" w:color="auto"/>
              <w:left w:val="single" w:sz="4" w:space="0" w:color="auto"/>
              <w:bottom w:val="single" w:sz="4" w:space="0" w:color="auto"/>
              <w:right w:val="single" w:sz="4" w:space="0" w:color="auto"/>
            </w:tcBorders>
          </w:tcPr>
          <w:p w14:paraId="0988E350" w14:textId="77777777" w:rsidR="00157AAA" w:rsidRPr="004E2D1C" w:rsidRDefault="006C1BE5">
            <w:pPr>
              <w:spacing w:after="0"/>
              <w:rPr>
                <w:szCs w:val="24"/>
              </w:rPr>
            </w:pPr>
            <w:r w:rsidRPr="004E2D1C">
              <w:rPr>
                <w:szCs w:val="24"/>
              </w:rPr>
              <w:t>If the validation is positive, the NSW grants user permission and rights for the local administrator.</w:t>
            </w:r>
          </w:p>
        </w:tc>
      </w:tr>
      <w:tr w:rsidR="00157AAA" w:rsidRPr="004E2D1C" w14:paraId="4D574083" w14:textId="77777777" w:rsidTr="001136D3">
        <w:tc>
          <w:tcPr>
            <w:tcW w:w="1525" w:type="dxa"/>
            <w:tcBorders>
              <w:top w:val="single" w:sz="4" w:space="0" w:color="auto"/>
              <w:left w:val="single" w:sz="4" w:space="0" w:color="auto"/>
              <w:bottom w:val="single" w:sz="4" w:space="0" w:color="auto"/>
              <w:right w:val="single" w:sz="4" w:space="0" w:color="auto"/>
            </w:tcBorders>
          </w:tcPr>
          <w:p w14:paraId="051438C7" w14:textId="77777777" w:rsidR="00157AAA" w:rsidRPr="004E2D1C" w:rsidRDefault="006C1BE5">
            <w:pPr>
              <w:spacing w:after="0"/>
              <w:rPr>
                <w:szCs w:val="24"/>
              </w:rPr>
            </w:pPr>
            <w:r w:rsidRPr="004E2D1C">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73D2CE08" w14:textId="77777777" w:rsidR="00157AAA" w:rsidRPr="004E2D1C" w:rsidRDefault="006C1BE5">
            <w:pPr>
              <w:spacing w:after="0"/>
              <w:jc w:val="left"/>
              <w:rPr>
                <w:szCs w:val="24"/>
              </w:rPr>
            </w:pPr>
            <w:r w:rsidRPr="004E2D1C">
              <w:rPr>
                <w:szCs w:val="24"/>
              </w:rPr>
              <w:t>Notify for Permission and Credentials</w:t>
            </w:r>
          </w:p>
        </w:tc>
        <w:tc>
          <w:tcPr>
            <w:tcW w:w="4675" w:type="dxa"/>
            <w:tcBorders>
              <w:top w:val="single" w:sz="4" w:space="0" w:color="auto"/>
              <w:left w:val="single" w:sz="4" w:space="0" w:color="auto"/>
              <w:bottom w:val="single" w:sz="4" w:space="0" w:color="auto"/>
              <w:right w:val="single" w:sz="4" w:space="0" w:color="auto"/>
            </w:tcBorders>
          </w:tcPr>
          <w:p w14:paraId="7936FB65" w14:textId="77777777" w:rsidR="00157AAA" w:rsidRPr="004E2D1C" w:rsidRDefault="006C1BE5">
            <w:pPr>
              <w:spacing w:after="0"/>
              <w:rPr>
                <w:szCs w:val="24"/>
              </w:rPr>
            </w:pPr>
            <w:r w:rsidRPr="004E2D1C">
              <w:rPr>
                <w:szCs w:val="24"/>
              </w:rPr>
              <w:t xml:space="preserve">Information to EO is sent for the permissions added for usage of NSW. Information is also sent to UMS </w:t>
            </w:r>
            <w:proofErr w:type="gramStart"/>
            <w:r w:rsidRPr="004E2D1C">
              <w:rPr>
                <w:szCs w:val="24"/>
              </w:rPr>
              <w:t>in order to</w:t>
            </w:r>
            <w:proofErr w:type="gramEnd"/>
            <w:r w:rsidRPr="004E2D1C">
              <w:rPr>
                <w:szCs w:val="24"/>
              </w:rPr>
              <w:t xml:space="preserve"> create the user.</w:t>
            </w:r>
          </w:p>
        </w:tc>
      </w:tr>
      <w:tr w:rsidR="00157AAA" w:rsidRPr="004E2D1C" w14:paraId="0F3A7041" w14:textId="77777777" w:rsidTr="001136D3">
        <w:tc>
          <w:tcPr>
            <w:tcW w:w="1525" w:type="dxa"/>
            <w:tcBorders>
              <w:top w:val="single" w:sz="4" w:space="0" w:color="auto"/>
              <w:left w:val="single" w:sz="4" w:space="0" w:color="auto"/>
              <w:bottom w:val="single" w:sz="4" w:space="0" w:color="auto"/>
              <w:right w:val="single" w:sz="4" w:space="0" w:color="auto"/>
            </w:tcBorders>
          </w:tcPr>
          <w:p w14:paraId="2752ADF2" w14:textId="77777777" w:rsidR="00157AAA" w:rsidRPr="004E2D1C" w:rsidRDefault="006C1BE5">
            <w:pPr>
              <w:spacing w:after="0"/>
              <w:rPr>
                <w:szCs w:val="24"/>
              </w:rPr>
            </w:pPr>
            <w:r w:rsidRPr="004E2D1C">
              <w:rPr>
                <w:szCs w:val="24"/>
              </w:rPr>
              <w:t>End Event</w:t>
            </w:r>
          </w:p>
        </w:tc>
        <w:tc>
          <w:tcPr>
            <w:tcW w:w="2430" w:type="dxa"/>
            <w:tcBorders>
              <w:top w:val="single" w:sz="4" w:space="0" w:color="auto"/>
              <w:left w:val="single" w:sz="4" w:space="0" w:color="auto"/>
              <w:bottom w:val="single" w:sz="4" w:space="0" w:color="auto"/>
              <w:right w:val="single" w:sz="4" w:space="0" w:color="auto"/>
            </w:tcBorders>
          </w:tcPr>
          <w:p w14:paraId="29E7D3EA" w14:textId="77777777" w:rsidR="00157AAA" w:rsidRPr="004E2D1C" w:rsidRDefault="006C1BE5">
            <w:pPr>
              <w:spacing w:after="0"/>
              <w:jc w:val="left"/>
              <w:rPr>
                <w:szCs w:val="24"/>
              </w:rPr>
            </w:pPr>
            <w:r w:rsidRPr="004E2D1C">
              <w:rPr>
                <w:szCs w:val="24"/>
              </w:rPr>
              <w:t>Request to Use NSW Processed</w:t>
            </w:r>
          </w:p>
        </w:tc>
        <w:tc>
          <w:tcPr>
            <w:tcW w:w="4675" w:type="dxa"/>
            <w:tcBorders>
              <w:top w:val="single" w:sz="4" w:space="0" w:color="auto"/>
              <w:left w:val="single" w:sz="4" w:space="0" w:color="auto"/>
              <w:bottom w:val="single" w:sz="4" w:space="0" w:color="auto"/>
              <w:right w:val="single" w:sz="4" w:space="0" w:color="auto"/>
            </w:tcBorders>
          </w:tcPr>
          <w:p w14:paraId="3DB977EC" w14:textId="77777777" w:rsidR="00157AAA" w:rsidRPr="004E2D1C" w:rsidRDefault="006C1BE5">
            <w:pPr>
              <w:spacing w:after="0"/>
              <w:rPr>
                <w:szCs w:val="24"/>
              </w:rPr>
            </w:pPr>
            <w:r w:rsidRPr="004E2D1C">
              <w:rPr>
                <w:szCs w:val="24"/>
              </w:rPr>
              <w:t>Process to Request to Use NSW completed.</w:t>
            </w:r>
          </w:p>
        </w:tc>
      </w:tr>
    </w:tbl>
    <w:p w14:paraId="4FF12715" w14:textId="77777777" w:rsidR="00157AAA" w:rsidRDefault="00157AAA">
      <w:pPr>
        <w:spacing w:after="0"/>
        <w:rPr>
          <w:b/>
          <w:i/>
        </w:rPr>
      </w:pPr>
    </w:p>
    <w:p w14:paraId="717536AE" w14:textId="77777777" w:rsidR="00157AAA" w:rsidRPr="008E2AAD" w:rsidRDefault="006C1BE5">
      <w:pPr>
        <w:spacing w:after="0"/>
        <w:rPr>
          <w:b/>
        </w:rPr>
      </w:pPr>
      <w:r w:rsidRPr="008E2AAD">
        <w:rPr>
          <w:b/>
        </w:rPr>
        <w:t>Functional Requirements:</w:t>
      </w:r>
    </w:p>
    <w:tbl>
      <w:tblPr>
        <w:tblStyle w:val="TableGrid"/>
        <w:tblW w:w="8635" w:type="dxa"/>
        <w:tblLook w:val="04A0" w:firstRow="1" w:lastRow="0" w:firstColumn="1" w:lastColumn="0" w:noHBand="0" w:noVBand="1"/>
      </w:tblPr>
      <w:tblGrid>
        <w:gridCol w:w="1075"/>
        <w:gridCol w:w="7560"/>
      </w:tblGrid>
      <w:tr w:rsidR="00157AAA" w14:paraId="5126C0DD" w14:textId="77777777" w:rsidTr="001136D3">
        <w:tc>
          <w:tcPr>
            <w:tcW w:w="1075" w:type="dxa"/>
            <w:tcBorders>
              <w:top w:val="single" w:sz="4" w:space="0" w:color="auto"/>
              <w:left w:val="single" w:sz="4" w:space="0" w:color="auto"/>
              <w:bottom w:val="single" w:sz="4" w:space="0" w:color="auto"/>
              <w:right w:val="single" w:sz="4" w:space="0" w:color="auto"/>
            </w:tcBorders>
            <w:shd w:val="clear" w:color="auto" w:fill="D9D9D9"/>
          </w:tcPr>
          <w:p w14:paraId="38BF9A30" w14:textId="77777777" w:rsidR="00157AAA" w:rsidRDefault="006C1BE5">
            <w:pPr>
              <w:spacing w:after="0"/>
              <w:rPr>
                <w:szCs w:val="24"/>
              </w:rPr>
            </w:pPr>
            <w:r>
              <w:rPr>
                <w:szCs w:val="24"/>
              </w:rPr>
              <w:t>ID</w:t>
            </w:r>
          </w:p>
        </w:tc>
        <w:tc>
          <w:tcPr>
            <w:tcW w:w="7560" w:type="dxa"/>
            <w:tcBorders>
              <w:top w:val="single" w:sz="4" w:space="0" w:color="auto"/>
              <w:left w:val="single" w:sz="4" w:space="0" w:color="auto"/>
              <w:bottom w:val="single" w:sz="4" w:space="0" w:color="auto"/>
              <w:right w:val="single" w:sz="4" w:space="0" w:color="auto"/>
            </w:tcBorders>
            <w:shd w:val="clear" w:color="auto" w:fill="D9D9D9"/>
          </w:tcPr>
          <w:p w14:paraId="298AE959" w14:textId="77777777" w:rsidR="00157AAA" w:rsidRDefault="006C1BE5">
            <w:pPr>
              <w:spacing w:after="0"/>
              <w:jc w:val="left"/>
              <w:rPr>
                <w:szCs w:val="24"/>
              </w:rPr>
            </w:pPr>
            <w:r>
              <w:rPr>
                <w:szCs w:val="24"/>
              </w:rPr>
              <w:t>Description</w:t>
            </w:r>
          </w:p>
        </w:tc>
      </w:tr>
      <w:tr w:rsidR="00157AAA" w14:paraId="07F4DE83" w14:textId="77777777" w:rsidTr="001136D3">
        <w:tc>
          <w:tcPr>
            <w:tcW w:w="1075" w:type="dxa"/>
            <w:tcBorders>
              <w:top w:val="single" w:sz="4" w:space="0" w:color="auto"/>
              <w:left w:val="single" w:sz="4" w:space="0" w:color="auto"/>
              <w:bottom w:val="single" w:sz="4" w:space="0" w:color="auto"/>
              <w:right w:val="single" w:sz="4" w:space="0" w:color="auto"/>
            </w:tcBorders>
            <w:shd w:val="clear" w:color="auto" w:fill="FFFFFF"/>
          </w:tcPr>
          <w:p w14:paraId="56C1CDB4" w14:textId="77777777" w:rsidR="00157AAA" w:rsidRDefault="006C1BE5">
            <w:pPr>
              <w:spacing w:after="0"/>
              <w:rPr>
                <w:szCs w:val="24"/>
              </w:rPr>
            </w:pPr>
            <w:r>
              <w:rPr>
                <w:szCs w:val="24"/>
              </w:rPr>
              <w:t>FR5</w:t>
            </w:r>
          </w:p>
        </w:tc>
        <w:tc>
          <w:tcPr>
            <w:tcW w:w="7560" w:type="dxa"/>
            <w:tcBorders>
              <w:top w:val="single" w:sz="4" w:space="0" w:color="auto"/>
              <w:left w:val="single" w:sz="4" w:space="0" w:color="auto"/>
              <w:bottom w:val="single" w:sz="4" w:space="0" w:color="auto"/>
              <w:right w:val="single" w:sz="4" w:space="0" w:color="auto"/>
            </w:tcBorders>
            <w:shd w:val="clear" w:color="auto" w:fill="FFFFFF"/>
          </w:tcPr>
          <w:p w14:paraId="63FD500D" w14:textId="0C185F96" w:rsidR="00157AAA" w:rsidRDefault="006C1BE5" w:rsidP="00484118">
            <w:pPr>
              <w:spacing w:after="0"/>
              <w:rPr>
                <w:szCs w:val="24"/>
              </w:rPr>
            </w:pPr>
            <w:r>
              <w:rPr>
                <w:szCs w:val="24"/>
              </w:rPr>
              <w:t xml:space="preserve">The NSW Operator/ administrator should be able to add a new </w:t>
            </w:r>
            <w:r w:rsidR="00484118">
              <w:rPr>
                <w:szCs w:val="24"/>
              </w:rPr>
              <w:t>CBRA</w:t>
            </w:r>
            <w:r>
              <w:rPr>
                <w:szCs w:val="24"/>
              </w:rPr>
              <w:t xml:space="preserve"> to use NSW services and extend services </w:t>
            </w:r>
            <w:proofErr w:type="gramStart"/>
            <w:r>
              <w:rPr>
                <w:szCs w:val="24"/>
              </w:rPr>
              <w:t>similar to</w:t>
            </w:r>
            <w:proofErr w:type="gramEnd"/>
            <w:r>
              <w:rPr>
                <w:szCs w:val="24"/>
              </w:rPr>
              <w:t xml:space="preserve"> those of other agencies. </w:t>
            </w:r>
          </w:p>
        </w:tc>
      </w:tr>
      <w:tr w:rsidR="00157AAA" w14:paraId="2AB62FB0" w14:textId="77777777" w:rsidTr="001136D3">
        <w:tc>
          <w:tcPr>
            <w:tcW w:w="1075" w:type="dxa"/>
            <w:tcBorders>
              <w:top w:val="single" w:sz="4" w:space="0" w:color="auto"/>
              <w:left w:val="single" w:sz="4" w:space="0" w:color="auto"/>
              <w:bottom w:val="single" w:sz="4" w:space="0" w:color="auto"/>
              <w:right w:val="single" w:sz="4" w:space="0" w:color="auto"/>
            </w:tcBorders>
            <w:shd w:val="clear" w:color="auto" w:fill="FFFFFF"/>
          </w:tcPr>
          <w:p w14:paraId="58090E9F" w14:textId="77777777" w:rsidR="00157AAA" w:rsidRDefault="006C1BE5">
            <w:pPr>
              <w:spacing w:after="0"/>
              <w:rPr>
                <w:szCs w:val="24"/>
              </w:rPr>
            </w:pPr>
            <w:r>
              <w:rPr>
                <w:szCs w:val="24"/>
              </w:rPr>
              <w:t>FR6</w:t>
            </w:r>
          </w:p>
        </w:tc>
        <w:tc>
          <w:tcPr>
            <w:tcW w:w="7560" w:type="dxa"/>
            <w:tcBorders>
              <w:top w:val="single" w:sz="4" w:space="0" w:color="auto"/>
              <w:left w:val="single" w:sz="4" w:space="0" w:color="auto"/>
              <w:bottom w:val="single" w:sz="4" w:space="0" w:color="auto"/>
              <w:right w:val="single" w:sz="4" w:space="0" w:color="auto"/>
            </w:tcBorders>
            <w:shd w:val="clear" w:color="auto" w:fill="FFFFFF"/>
          </w:tcPr>
          <w:p w14:paraId="6E82CB17" w14:textId="3EFAA7D2" w:rsidR="00157AAA" w:rsidRDefault="006C1BE5" w:rsidP="004B1526">
            <w:pPr>
              <w:spacing w:after="0"/>
              <w:rPr>
                <w:szCs w:val="24"/>
              </w:rPr>
            </w:pPr>
            <w:r>
              <w:rPr>
                <w:szCs w:val="24"/>
              </w:rPr>
              <w:t xml:space="preserve">Adding a new </w:t>
            </w:r>
            <w:r w:rsidR="004B1526">
              <w:rPr>
                <w:szCs w:val="24"/>
              </w:rPr>
              <w:t xml:space="preserve">regulatory authority </w:t>
            </w:r>
            <w:r>
              <w:rPr>
                <w:szCs w:val="24"/>
              </w:rPr>
              <w:t xml:space="preserve">(and associated system interfaces), should be straightforward at the NSW </w:t>
            </w:r>
            <w:r w:rsidR="007A2569">
              <w:rPr>
                <w:szCs w:val="24"/>
              </w:rPr>
              <w:t>side</w:t>
            </w:r>
            <w:r>
              <w:rPr>
                <w:szCs w:val="24"/>
              </w:rPr>
              <w:t xml:space="preserve"> involving mainly configuration and data, not programming.</w:t>
            </w:r>
          </w:p>
        </w:tc>
      </w:tr>
      <w:tr w:rsidR="0029346A" w14:paraId="4DE95D5F" w14:textId="77777777" w:rsidTr="001136D3">
        <w:tc>
          <w:tcPr>
            <w:tcW w:w="1075" w:type="dxa"/>
            <w:tcBorders>
              <w:top w:val="single" w:sz="4" w:space="0" w:color="auto"/>
              <w:left w:val="single" w:sz="4" w:space="0" w:color="auto"/>
              <w:bottom w:val="single" w:sz="4" w:space="0" w:color="auto"/>
              <w:right w:val="single" w:sz="4" w:space="0" w:color="auto"/>
            </w:tcBorders>
          </w:tcPr>
          <w:p w14:paraId="2E94E15B" w14:textId="3A64A718" w:rsidR="0029346A" w:rsidRDefault="0029346A" w:rsidP="0029346A">
            <w:pPr>
              <w:spacing w:after="0"/>
              <w:rPr>
                <w:szCs w:val="24"/>
              </w:rPr>
            </w:pPr>
            <w:r>
              <w:rPr>
                <w:szCs w:val="24"/>
              </w:rPr>
              <w:t>FR72</w:t>
            </w:r>
          </w:p>
          <w:p w14:paraId="3B29E0DE" w14:textId="6C4DC2BB"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50A465FC" w14:textId="7E346070" w:rsidR="0029346A" w:rsidRDefault="0029346A" w:rsidP="0029346A">
            <w:pPr>
              <w:spacing w:after="0"/>
              <w:rPr>
                <w:szCs w:val="24"/>
              </w:rPr>
            </w:pPr>
            <w:r>
              <w:rPr>
                <w:szCs w:val="24"/>
              </w:rPr>
              <w:t xml:space="preserve">The system must provide for migration of existing registration from CDEPS and EXIM. </w:t>
            </w:r>
          </w:p>
        </w:tc>
      </w:tr>
      <w:tr w:rsidR="0029346A" w14:paraId="79AF6B4E" w14:textId="77777777" w:rsidTr="001136D3">
        <w:tc>
          <w:tcPr>
            <w:tcW w:w="1075" w:type="dxa"/>
            <w:tcBorders>
              <w:top w:val="single" w:sz="4" w:space="0" w:color="auto"/>
              <w:left w:val="single" w:sz="4" w:space="0" w:color="auto"/>
              <w:bottom w:val="single" w:sz="4" w:space="0" w:color="auto"/>
              <w:right w:val="single" w:sz="4" w:space="0" w:color="auto"/>
            </w:tcBorders>
          </w:tcPr>
          <w:p w14:paraId="59B48F16" w14:textId="77777777" w:rsidR="0029346A" w:rsidRDefault="0029346A" w:rsidP="0029346A">
            <w:pPr>
              <w:spacing w:after="0"/>
              <w:rPr>
                <w:szCs w:val="24"/>
              </w:rPr>
            </w:pPr>
            <w:r>
              <w:rPr>
                <w:szCs w:val="24"/>
              </w:rPr>
              <w:t>FR73</w:t>
            </w:r>
          </w:p>
          <w:p w14:paraId="49B8CC48"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5181BFFF" w14:textId="7EE233A7" w:rsidR="0029346A" w:rsidRDefault="0029346A" w:rsidP="0029346A">
            <w:pPr>
              <w:spacing w:after="0"/>
              <w:rPr>
                <w:szCs w:val="24"/>
              </w:rPr>
            </w:pPr>
            <w:r>
              <w:rPr>
                <w:szCs w:val="24"/>
              </w:rPr>
              <w:t xml:space="preserve">The system must allow for amendments, updates, </w:t>
            </w:r>
            <w:proofErr w:type="gramStart"/>
            <w:r>
              <w:rPr>
                <w:szCs w:val="24"/>
              </w:rPr>
              <w:t>renewal</w:t>
            </w:r>
            <w:proofErr w:type="gramEnd"/>
            <w:r>
              <w:rPr>
                <w:szCs w:val="24"/>
              </w:rPr>
              <w:t xml:space="preserve"> and cancellation of the registration.</w:t>
            </w:r>
          </w:p>
        </w:tc>
      </w:tr>
      <w:tr w:rsidR="0029346A" w14:paraId="13B0EEB4" w14:textId="77777777" w:rsidTr="001136D3">
        <w:tc>
          <w:tcPr>
            <w:tcW w:w="1075" w:type="dxa"/>
            <w:tcBorders>
              <w:top w:val="single" w:sz="4" w:space="0" w:color="auto"/>
              <w:left w:val="single" w:sz="4" w:space="0" w:color="auto"/>
              <w:bottom w:val="single" w:sz="4" w:space="0" w:color="auto"/>
              <w:right w:val="single" w:sz="4" w:space="0" w:color="auto"/>
            </w:tcBorders>
          </w:tcPr>
          <w:p w14:paraId="05C23C59" w14:textId="77777777" w:rsidR="0029346A" w:rsidRDefault="0029346A" w:rsidP="0029346A">
            <w:pPr>
              <w:spacing w:after="0"/>
              <w:rPr>
                <w:szCs w:val="24"/>
              </w:rPr>
            </w:pPr>
            <w:r>
              <w:rPr>
                <w:szCs w:val="24"/>
              </w:rPr>
              <w:t>FR74</w:t>
            </w:r>
          </w:p>
          <w:p w14:paraId="0445485B"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70F575B1" w14:textId="0791C45A" w:rsidR="0029346A" w:rsidRDefault="0029346A" w:rsidP="0029346A">
            <w:pPr>
              <w:spacing w:after="0"/>
              <w:rPr>
                <w:szCs w:val="24"/>
              </w:rPr>
            </w:pPr>
            <w:r>
              <w:rPr>
                <w:szCs w:val="24"/>
              </w:rPr>
              <w:t>The system must provide a step-by-step guide for the potential users to complete the registration.</w:t>
            </w:r>
          </w:p>
        </w:tc>
      </w:tr>
      <w:tr w:rsidR="0029346A" w14:paraId="75020470" w14:textId="77777777" w:rsidTr="001136D3">
        <w:tc>
          <w:tcPr>
            <w:tcW w:w="1075" w:type="dxa"/>
            <w:tcBorders>
              <w:top w:val="single" w:sz="4" w:space="0" w:color="auto"/>
              <w:left w:val="single" w:sz="4" w:space="0" w:color="auto"/>
              <w:bottom w:val="single" w:sz="4" w:space="0" w:color="auto"/>
              <w:right w:val="single" w:sz="4" w:space="0" w:color="auto"/>
            </w:tcBorders>
          </w:tcPr>
          <w:p w14:paraId="6971358B" w14:textId="77777777" w:rsidR="0029346A" w:rsidRDefault="0029346A" w:rsidP="0029346A">
            <w:pPr>
              <w:spacing w:after="0"/>
              <w:rPr>
                <w:szCs w:val="24"/>
              </w:rPr>
            </w:pPr>
            <w:r>
              <w:rPr>
                <w:szCs w:val="24"/>
              </w:rPr>
              <w:t>FR75</w:t>
            </w:r>
          </w:p>
          <w:p w14:paraId="58382166"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7C6620B7" w14:textId="37201540" w:rsidR="0029346A" w:rsidRDefault="0029346A" w:rsidP="0029346A">
            <w:pPr>
              <w:spacing w:after="0"/>
              <w:rPr>
                <w:szCs w:val="24"/>
              </w:rPr>
            </w:pPr>
            <w:r>
              <w:rPr>
                <w:szCs w:val="24"/>
              </w:rPr>
              <w:t>The system must allow a user (trader, CBRA, information user) to complete the registration formalities without having to visit a government office.</w:t>
            </w:r>
          </w:p>
        </w:tc>
      </w:tr>
      <w:tr w:rsidR="0029346A" w14:paraId="7643EE47" w14:textId="77777777" w:rsidTr="001136D3">
        <w:tc>
          <w:tcPr>
            <w:tcW w:w="1075" w:type="dxa"/>
            <w:tcBorders>
              <w:top w:val="single" w:sz="4" w:space="0" w:color="auto"/>
              <w:left w:val="single" w:sz="4" w:space="0" w:color="auto"/>
              <w:bottom w:val="single" w:sz="4" w:space="0" w:color="auto"/>
              <w:right w:val="single" w:sz="4" w:space="0" w:color="auto"/>
            </w:tcBorders>
          </w:tcPr>
          <w:p w14:paraId="271915CD" w14:textId="77777777" w:rsidR="0029346A" w:rsidRDefault="0029346A" w:rsidP="0029346A">
            <w:pPr>
              <w:spacing w:after="0"/>
              <w:rPr>
                <w:szCs w:val="24"/>
              </w:rPr>
            </w:pPr>
            <w:r>
              <w:rPr>
                <w:szCs w:val="24"/>
              </w:rPr>
              <w:lastRenderedPageBreak/>
              <w:t>FR76</w:t>
            </w:r>
          </w:p>
          <w:p w14:paraId="2D809EE2"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3A5BFE9F" w14:textId="086624A1" w:rsidR="0029346A" w:rsidRDefault="0029346A" w:rsidP="0029346A">
            <w:pPr>
              <w:spacing w:after="0"/>
              <w:rPr>
                <w:szCs w:val="24"/>
              </w:rPr>
            </w:pPr>
            <w:r>
              <w:rPr>
                <w:szCs w:val="24"/>
              </w:rPr>
              <w:t>The system must provide the registrant to attach supporting documents in various formats (doc, pdf, jpeg, etc.) as required for registration under the respective category.</w:t>
            </w:r>
          </w:p>
        </w:tc>
      </w:tr>
      <w:tr w:rsidR="0029346A" w14:paraId="73BCFC67" w14:textId="77777777" w:rsidTr="001136D3">
        <w:tc>
          <w:tcPr>
            <w:tcW w:w="1075" w:type="dxa"/>
            <w:tcBorders>
              <w:top w:val="single" w:sz="4" w:space="0" w:color="auto"/>
              <w:left w:val="single" w:sz="4" w:space="0" w:color="auto"/>
              <w:bottom w:val="single" w:sz="4" w:space="0" w:color="auto"/>
              <w:right w:val="single" w:sz="4" w:space="0" w:color="auto"/>
            </w:tcBorders>
          </w:tcPr>
          <w:p w14:paraId="5CC5546B" w14:textId="342BECC9" w:rsidR="0029346A" w:rsidRDefault="0029346A" w:rsidP="0029346A">
            <w:pPr>
              <w:spacing w:after="0"/>
              <w:rPr>
                <w:szCs w:val="24"/>
              </w:rPr>
            </w:pPr>
            <w:r>
              <w:rPr>
                <w:szCs w:val="24"/>
              </w:rPr>
              <w:t>FR77</w:t>
            </w:r>
          </w:p>
        </w:tc>
        <w:tc>
          <w:tcPr>
            <w:tcW w:w="7560" w:type="dxa"/>
            <w:tcBorders>
              <w:top w:val="single" w:sz="4" w:space="0" w:color="auto"/>
              <w:left w:val="single" w:sz="4" w:space="0" w:color="auto"/>
              <w:bottom w:val="single" w:sz="4" w:space="0" w:color="auto"/>
              <w:right w:val="single" w:sz="4" w:space="0" w:color="auto"/>
            </w:tcBorders>
          </w:tcPr>
          <w:p w14:paraId="19447EB1" w14:textId="1427AE1E" w:rsidR="0029346A" w:rsidRDefault="0029346A" w:rsidP="0029346A">
            <w:pPr>
              <w:spacing w:after="0"/>
              <w:rPr>
                <w:szCs w:val="24"/>
              </w:rPr>
            </w:pPr>
            <w:r>
              <w:rPr>
                <w:szCs w:val="24"/>
              </w:rPr>
              <w:t>The system must carry out simple validation, e.g., missing attachment for mandatory supporting document.</w:t>
            </w:r>
          </w:p>
        </w:tc>
      </w:tr>
      <w:tr w:rsidR="0029346A" w14:paraId="048A2EEB" w14:textId="77777777" w:rsidTr="001136D3">
        <w:tc>
          <w:tcPr>
            <w:tcW w:w="1075" w:type="dxa"/>
            <w:tcBorders>
              <w:top w:val="single" w:sz="4" w:space="0" w:color="auto"/>
              <w:left w:val="single" w:sz="4" w:space="0" w:color="auto"/>
              <w:bottom w:val="single" w:sz="4" w:space="0" w:color="auto"/>
              <w:right w:val="single" w:sz="4" w:space="0" w:color="auto"/>
            </w:tcBorders>
          </w:tcPr>
          <w:p w14:paraId="78BF71A5" w14:textId="4436977B" w:rsidR="0029346A" w:rsidRDefault="0029346A" w:rsidP="0029346A">
            <w:pPr>
              <w:spacing w:after="0"/>
              <w:rPr>
                <w:szCs w:val="24"/>
              </w:rPr>
            </w:pPr>
            <w:r>
              <w:rPr>
                <w:szCs w:val="24"/>
              </w:rPr>
              <w:t>FR78</w:t>
            </w:r>
          </w:p>
        </w:tc>
        <w:tc>
          <w:tcPr>
            <w:tcW w:w="7560" w:type="dxa"/>
            <w:tcBorders>
              <w:top w:val="single" w:sz="4" w:space="0" w:color="auto"/>
              <w:left w:val="single" w:sz="4" w:space="0" w:color="auto"/>
              <w:bottom w:val="single" w:sz="4" w:space="0" w:color="auto"/>
              <w:right w:val="single" w:sz="4" w:space="0" w:color="auto"/>
            </w:tcBorders>
          </w:tcPr>
          <w:p w14:paraId="6377C33F" w14:textId="7D5E26AB" w:rsidR="0029346A" w:rsidRDefault="0029346A" w:rsidP="0029346A">
            <w:pPr>
              <w:spacing w:after="0"/>
              <w:rPr>
                <w:szCs w:val="24"/>
              </w:rPr>
            </w:pPr>
            <w:r>
              <w:rPr>
                <w:szCs w:val="24"/>
              </w:rPr>
              <w:t>The system must validate the necessary data for different data fields as defined.</w:t>
            </w:r>
          </w:p>
        </w:tc>
      </w:tr>
      <w:tr w:rsidR="0029346A" w14:paraId="1B79F9F3" w14:textId="77777777" w:rsidTr="001136D3">
        <w:tc>
          <w:tcPr>
            <w:tcW w:w="1075" w:type="dxa"/>
            <w:tcBorders>
              <w:top w:val="single" w:sz="4" w:space="0" w:color="auto"/>
              <w:left w:val="single" w:sz="4" w:space="0" w:color="auto"/>
              <w:bottom w:val="single" w:sz="4" w:space="0" w:color="auto"/>
              <w:right w:val="single" w:sz="4" w:space="0" w:color="auto"/>
            </w:tcBorders>
          </w:tcPr>
          <w:p w14:paraId="31769A79" w14:textId="77777777" w:rsidR="0029346A" w:rsidRDefault="0029346A" w:rsidP="0029346A">
            <w:pPr>
              <w:spacing w:after="0"/>
              <w:rPr>
                <w:szCs w:val="24"/>
              </w:rPr>
            </w:pPr>
            <w:r>
              <w:rPr>
                <w:szCs w:val="24"/>
              </w:rPr>
              <w:t>FR79</w:t>
            </w:r>
          </w:p>
          <w:p w14:paraId="6EBBC5BB"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349D8EBF" w14:textId="2E10DA77" w:rsidR="0029346A" w:rsidRDefault="0029346A" w:rsidP="0029346A">
            <w:pPr>
              <w:spacing w:after="0"/>
              <w:rPr>
                <w:szCs w:val="24"/>
              </w:rPr>
            </w:pPr>
            <w:r>
              <w:rPr>
                <w:szCs w:val="24"/>
              </w:rPr>
              <w:t>The system must not allow the registrant to proceed to the next step if the validation rules fail, with a display of appropriate error messages.</w:t>
            </w:r>
          </w:p>
        </w:tc>
      </w:tr>
      <w:tr w:rsidR="0029346A" w14:paraId="67427D00"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2846C46" w14:textId="7CC25950" w:rsidR="0029346A" w:rsidRDefault="0029346A" w:rsidP="0029346A">
            <w:pPr>
              <w:spacing w:after="0"/>
              <w:rPr>
                <w:szCs w:val="24"/>
              </w:rPr>
            </w:pPr>
            <w:r>
              <w:rPr>
                <w:szCs w:val="24"/>
              </w:rPr>
              <w:t>FR81</w:t>
            </w:r>
          </w:p>
        </w:tc>
        <w:tc>
          <w:tcPr>
            <w:tcW w:w="7560" w:type="dxa"/>
            <w:tcBorders>
              <w:top w:val="single" w:sz="4" w:space="0" w:color="auto"/>
              <w:left w:val="single" w:sz="4" w:space="0" w:color="auto"/>
              <w:bottom w:val="single" w:sz="4" w:space="0" w:color="auto"/>
              <w:right w:val="single" w:sz="4" w:space="0" w:color="auto"/>
            </w:tcBorders>
          </w:tcPr>
          <w:p w14:paraId="1D3A790C" w14:textId="46E95CFB" w:rsidR="0029346A" w:rsidRDefault="0029346A" w:rsidP="0029346A">
            <w:pPr>
              <w:spacing w:after="0"/>
              <w:rPr>
                <w:szCs w:val="24"/>
              </w:rPr>
            </w:pPr>
            <w:r>
              <w:rPr>
                <w:szCs w:val="24"/>
              </w:rPr>
              <w:t xml:space="preserve">The NSW system must cater for configurable data validation via validation rules form. </w:t>
            </w:r>
          </w:p>
        </w:tc>
      </w:tr>
      <w:tr w:rsidR="0029346A" w14:paraId="0A195878"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33A97B5" w14:textId="0963AB0B" w:rsidR="0029346A" w:rsidRDefault="0029346A" w:rsidP="0029346A">
            <w:pPr>
              <w:spacing w:after="0"/>
              <w:rPr>
                <w:szCs w:val="24"/>
              </w:rPr>
            </w:pPr>
            <w:r>
              <w:rPr>
                <w:szCs w:val="24"/>
              </w:rPr>
              <w:t>FR82</w:t>
            </w:r>
          </w:p>
        </w:tc>
        <w:tc>
          <w:tcPr>
            <w:tcW w:w="7560" w:type="dxa"/>
            <w:tcBorders>
              <w:top w:val="single" w:sz="4" w:space="0" w:color="auto"/>
              <w:left w:val="single" w:sz="4" w:space="0" w:color="auto"/>
              <w:bottom w:val="single" w:sz="4" w:space="0" w:color="auto"/>
              <w:right w:val="single" w:sz="4" w:space="0" w:color="auto"/>
            </w:tcBorders>
          </w:tcPr>
          <w:p w14:paraId="69DACDE2" w14:textId="4FA5885B" w:rsidR="0029346A" w:rsidRDefault="0029346A" w:rsidP="0029346A">
            <w:pPr>
              <w:spacing w:after="0"/>
              <w:rPr>
                <w:szCs w:val="24"/>
              </w:rPr>
            </w:pPr>
            <w:r>
              <w:rPr>
                <w:szCs w:val="24"/>
              </w:rPr>
              <w:t xml:space="preserve">The NSW System Administrator can add and update validation rules to the grid, column, row, or cell. </w:t>
            </w:r>
          </w:p>
        </w:tc>
      </w:tr>
      <w:tr w:rsidR="0029346A" w14:paraId="2DF2C131"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5D7488F3" w14:textId="54EA3CCE" w:rsidR="0029346A" w:rsidRDefault="0029346A" w:rsidP="0029346A">
            <w:pPr>
              <w:spacing w:after="0"/>
              <w:rPr>
                <w:szCs w:val="24"/>
              </w:rPr>
            </w:pPr>
            <w:r>
              <w:rPr>
                <w:szCs w:val="24"/>
              </w:rPr>
              <w:t>FR83</w:t>
            </w:r>
          </w:p>
        </w:tc>
        <w:tc>
          <w:tcPr>
            <w:tcW w:w="7560" w:type="dxa"/>
            <w:tcBorders>
              <w:top w:val="single" w:sz="4" w:space="0" w:color="auto"/>
              <w:left w:val="single" w:sz="4" w:space="0" w:color="auto"/>
              <w:bottom w:val="single" w:sz="4" w:space="0" w:color="auto"/>
              <w:right w:val="single" w:sz="4" w:space="0" w:color="auto"/>
            </w:tcBorders>
          </w:tcPr>
          <w:p w14:paraId="5AB6B2B5" w14:textId="392B9A08" w:rsidR="0029346A" w:rsidRDefault="0029346A" w:rsidP="0029346A">
            <w:pPr>
              <w:spacing w:after="0"/>
              <w:rPr>
                <w:szCs w:val="24"/>
              </w:rPr>
            </w:pPr>
            <w:r>
              <w:rPr>
                <w:szCs w:val="24"/>
              </w:rPr>
              <w:t>When rules are processed, the affected fields can change the color of cells, and provide validation messages to users during data entry, and can change the promotional path for approval.</w:t>
            </w:r>
          </w:p>
        </w:tc>
      </w:tr>
      <w:tr w:rsidR="0029346A" w14:paraId="7486315E"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63A44C5" w14:textId="5B20E30D" w:rsidR="0029346A" w:rsidRDefault="0029346A" w:rsidP="0029346A">
            <w:pPr>
              <w:spacing w:after="0"/>
              <w:rPr>
                <w:szCs w:val="24"/>
              </w:rPr>
            </w:pPr>
            <w:r>
              <w:rPr>
                <w:szCs w:val="24"/>
              </w:rPr>
              <w:t>FR84</w:t>
            </w:r>
          </w:p>
        </w:tc>
        <w:tc>
          <w:tcPr>
            <w:tcW w:w="7560" w:type="dxa"/>
            <w:tcBorders>
              <w:top w:val="single" w:sz="4" w:space="0" w:color="auto"/>
              <w:left w:val="single" w:sz="4" w:space="0" w:color="auto"/>
              <w:bottom w:val="single" w:sz="4" w:space="0" w:color="auto"/>
              <w:right w:val="single" w:sz="4" w:space="0" w:color="auto"/>
            </w:tcBorders>
          </w:tcPr>
          <w:p w14:paraId="546CFF2D" w14:textId="17B345F6" w:rsidR="0029346A" w:rsidRDefault="0029346A" w:rsidP="0029346A">
            <w:pPr>
              <w:spacing w:after="0"/>
              <w:rPr>
                <w:szCs w:val="24"/>
              </w:rPr>
            </w:pPr>
            <w:r>
              <w:rPr>
                <w:szCs w:val="24"/>
              </w:rPr>
              <w:t>NSW must save validation rules with the versioning controls.</w:t>
            </w:r>
          </w:p>
        </w:tc>
      </w:tr>
      <w:tr w:rsidR="0029346A" w14:paraId="7C979E52"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2B013E7" w14:textId="5FA1A640" w:rsidR="0029346A" w:rsidRDefault="0029346A" w:rsidP="0029346A">
            <w:pPr>
              <w:spacing w:after="0"/>
              <w:rPr>
                <w:szCs w:val="24"/>
              </w:rPr>
            </w:pPr>
            <w:r>
              <w:rPr>
                <w:szCs w:val="24"/>
              </w:rPr>
              <w:t>FR85</w:t>
            </w:r>
          </w:p>
        </w:tc>
        <w:tc>
          <w:tcPr>
            <w:tcW w:w="7560" w:type="dxa"/>
            <w:tcBorders>
              <w:top w:val="single" w:sz="4" w:space="0" w:color="auto"/>
              <w:left w:val="single" w:sz="4" w:space="0" w:color="auto"/>
              <w:bottom w:val="single" w:sz="4" w:space="0" w:color="auto"/>
              <w:right w:val="single" w:sz="4" w:space="0" w:color="auto"/>
            </w:tcBorders>
          </w:tcPr>
          <w:p w14:paraId="27F85312" w14:textId="5773C5D5" w:rsidR="0029346A" w:rsidRDefault="0029346A" w:rsidP="0029346A">
            <w:pPr>
              <w:spacing w:after="0"/>
              <w:rPr>
                <w:szCs w:val="24"/>
              </w:rPr>
            </w:pPr>
            <w:r>
              <w:rPr>
                <w:szCs w:val="24"/>
              </w:rPr>
              <w:t xml:space="preserve">The NSW must have interfaces with other ICT systems of Government Agencies for data validation (e.g., other customs systems, Business Identification </w:t>
            </w:r>
            <w:proofErr w:type="gramStart"/>
            <w:r>
              <w:rPr>
                <w:szCs w:val="24"/>
              </w:rPr>
              <w:t>Number</w:t>
            </w:r>
            <w:proofErr w:type="gramEnd"/>
            <w:r>
              <w:rPr>
                <w:szCs w:val="24"/>
              </w:rPr>
              <w:t xml:space="preserve"> and civil identity registers).</w:t>
            </w:r>
          </w:p>
        </w:tc>
      </w:tr>
      <w:tr w:rsidR="0029346A" w14:paraId="006E46E2"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583214D" w14:textId="21A1EF66" w:rsidR="0029346A" w:rsidRDefault="0029346A" w:rsidP="0029346A">
            <w:pPr>
              <w:spacing w:after="0"/>
              <w:rPr>
                <w:szCs w:val="24"/>
              </w:rPr>
            </w:pPr>
            <w:r>
              <w:rPr>
                <w:szCs w:val="24"/>
              </w:rPr>
              <w:t>FR86</w:t>
            </w:r>
          </w:p>
        </w:tc>
        <w:tc>
          <w:tcPr>
            <w:tcW w:w="7560" w:type="dxa"/>
            <w:tcBorders>
              <w:top w:val="single" w:sz="4" w:space="0" w:color="auto"/>
              <w:left w:val="single" w:sz="4" w:space="0" w:color="auto"/>
              <w:bottom w:val="single" w:sz="4" w:space="0" w:color="auto"/>
              <w:right w:val="single" w:sz="4" w:space="0" w:color="auto"/>
            </w:tcBorders>
          </w:tcPr>
          <w:p w14:paraId="02A148B0" w14:textId="5C69D55E" w:rsidR="0029346A" w:rsidRDefault="0029346A" w:rsidP="0029346A">
            <w:pPr>
              <w:spacing w:after="0"/>
              <w:rPr>
                <w:szCs w:val="24"/>
              </w:rPr>
            </w:pPr>
            <w:r>
              <w:rPr>
                <w:szCs w:val="24"/>
              </w:rPr>
              <w:t>NSW System must provide the NSW System Administrator to define and create access for all CBRA agencies.</w:t>
            </w:r>
          </w:p>
        </w:tc>
      </w:tr>
      <w:tr w:rsidR="0029346A" w14:paraId="27C1D103" w14:textId="77777777" w:rsidTr="001136D3">
        <w:tc>
          <w:tcPr>
            <w:tcW w:w="1075" w:type="dxa"/>
            <w:tcBorders>
              <w:top w:val="single" w:sz="4" w:space="0" w:color="auto"/>
              <w:left w:val="single" w:sz="4" w:space="0" w:color="auto"/>
              <w:bottom w:val="single" w:sz="4" w:space="0" w:color="auto"/>
              <w:right w:val="single" w:sz="4" w:space="0" w:color="auto"/>
            </w:tcBorders>
          </w:tcPr>
          <w:p w14:paraId="517C2D91" w14:textId="77777777" w:rsidR="0029346A" w:rsidRDefault="0029346A" w:rsidP="0029346A">
            <w:pPr>
              <w:spacing w:after="0"/>
              <w:rPr>
                <w:szCs w:val="24"/>
              </w:rPr>
            </w:pPr>
            <w:r>
              <w:rPr>
                <w:szCs w:val="24"/>
              </w:rPr>
              <w:t>FR87</w:t>
            </w:r>
          </w:p>
          <w:p w14:paraId="209FF1ED"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3310D4D5" w14:textId="23ECE679" w:rsidR="0029346A" w:rsidRDefault="0029346A" w:rsidP="0029346A">
            <w:pPr>
              <w:spacing w:after="0"/>
              <w:rPr>
                <w:szCs w:val="24"/>
              </w:rPr>
            </w:pPr>
            <w:r>
              <w:rPr>
                <w:szCs w:val="24"/>
              </w:rPr>
              <w:t>The initial set up for the Regulatory Authorities Stakeholders shall provide for migration of existing Customs/CBRA user registration from existing systems.</w:t>
            </w:r>
          </w:p>
        </w:tc>
      </w:tr>
      <w:tr w:rsidR="0029346A" w14:paraId="7C4C3700" w14:textId="77777777" w:rsidTr="001136D3">
        <w:tc>
          <w:tcPr>
            <w:tcW w:w="1075" w:type="dxa"/>
            <w:tcBorders>
              <w:top w:val="single" w:sz="4" w:space="0" w:color="auto"/>
              <w:left w:val="single" w:sz="4" w:space="0" w:color="auto"/>
              <w:bottom w:val="single" w:sz="4" w:space="0" w:color="auto"/>
              <w:right w:val="single" w:sz="4" w:space="0" w:color="auto"/>
            </w:tcBorders>
          </w:tcPr>
          <w:p w14:paraId="12E6EB9F" w14:textId="77777777" w:rsidR="0029346A" w:rsidRDefault="0029346A" w:rsidP="0029346A">
            <w:pPr>
              <w:spacing w:after="0"/>
              <w:rPr>
                <w:szCs w:val="24"/>
              </w:rPr>
            </w:pPr>
            <w:r>
              <w:rPr>
                <w:szCs w:val="24"/>
              </w:rPr>
              <w:t>FR88</w:t>
            </w:r>
          </w:p>
          <w:p w14:paraId="61238C1E"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2BC33EC8" w14:textId="3FE9E68A" w:rsidR="0029346A" w:rsidRDefault="0029346A" w:rsidP="0029346A">
            <w:pPr>
              <w:spacing w:after="0"/>
              <w:rPr>
                <w:szCs w:val="24"/>
              </w:rPr>
            </w:pPr>
            <w:r>
              <w:rPr>
                <w:szCs w:val="24"/>
              </w:rPr>
              <w:t xml:space="preserve">In </w:t>
            </w:r>
            <w:proofErr w:type="gramStart"/>
            <w:r>
              <w:rPr>
                <w:szCs w:val="24"/>
              </w:rPr>
              <w:t>case</w:t>
            </w:r>
            <w:proofErr w:type="gramEnd"/>
            <w:r>
              <w:rPr>
                <w:szCs w:val="24"/>
              </w:rPr>
              <w:t xml:space="preserve"> of CBRA user registration data found in other existing systems, the Stakeholders Registration functionality shall also cater for migration from these systems. </w:t>
            </w:r>
          </w:p>
        </w:tc>
      </w:tr>
      <w:tr w:rsidR="0029346A" w14:paraId="6A09F32D"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7F16A399" w14:textId="1AC2F4B2" w:rsidR="0029346A" w:rsidRDefault="0029346A" w:rsidP="0029346A">
            <w:pPr>
              <w:spacing w:after="0"/>
              <w:rPr>
                <w:szCs w:val="24"/>
              </w:rPr>
            </w:pPr>
            <w:r>
              <w:rPr>
                <w:szCs w:val="24"/>
              </w:rPr>
              <w:t>FR89</w:t>
            </w:r>
          </w:p>
        </w:tc>
        <w:tc>
          <w:tcPr>
            <w:tcW w:w="7560" w:type="dxa"/>
            <w:tcBorders>
              <w:top w:val="single" w:sz="4" w:space="0" w:color="auto"/>
              <w:left w:val="single" w:sz="4" w:space="0" w:color="auto"/>
              <w:bottom w:val="single" w:sz="4" w:space="0" w:color="auto"/>
              <w:right w:val="single" w:sz="4" w:space="0" w:color="auto"/>
            </w:tcBorders>
          </w:tcPr>
          <w:p w14:paraId="228F2EFA" w14:textId="443200FE" w:rsidR="0029346A" w:rsidRDefault="0029346A" w:rsidP="0029346A">
            <w:pPr>
              <w:spacing w:after="0"/>
              <w:rPr>
                <w:szCs w:val="24"/>
              </w:rPr>
            </w:pPr>
            <w:r>
              <w:rPr>
                <w:szCs w:val="24"/>
              </w:rPr>
              <w:t>For each CBRA registrant, the NSW system must provide for the user’s role to be defined so that appropriate user access authentication and authorization shall be accorded.</w:t>
            </w:r>
          </w:p>
        </w:tc>
      </w:tr>
      <w:tr w:rsidR="0029346A" w14:paraId="4E654BBA" w14:textId="77777777" w:rsidTr="001136D3">
        <w:tc>
          <w:tcPr>
            <w:tcW w:w="1075" w:type="dxa"/>
            <w:tcBorders>
              <w:top w:val="single" w:sz="4" w:space="0" w:color="auto"/>
              <w:left w:val="single" w:sz="4" w:space="0" w:color="auto"/>
              <w:bottom w:val="single" w:sz="4" w:space="0" w:color="auto"/>
              <w:right w:val="single" w:sz="4" w:space="0" w:color="auto"/>
            </w:tcBorders>
          </w:tcPr>
          <w:p w14:paraId="1F16F57D" w14:textId="77777777" w:rsidR="0029346A" w:rsidRDefault="0029346A" w:rsidP="0029346A">
            <w:pPr>
              <w:spacing w:after="0"/>
              <w:rPr>
                <w:szCs w:val="24"/>
              </w:rPr>
            </w:pPr>
            <w:r>
              <w:rPr>
                <w:szCs w:val="24"/>
              </w:rPr>
              <w:t>FR92</w:t>
            </w:r>
          </w:p>
          <w:p w14:paraId="4D8A47C9"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4CF0D697" w14:textId="4ED48ADC" w:rsidR="0029346A" w:rsidRDefault="0029346A" w:rsidP="0029346A">
            <w:pPr>
              <w:spacing w:after="0"/>
              <w:rPr>
                <w:szCs w:val="24"/>
              </w:rPr>
            </w:pPr>
            <w:r>
              <w:rPr>
                <w:szCs w:val="24"/>
              </w:rPr>
              <w:t xml:space="preserve">The NSW System functionality must provide the NSW System Administrator to define and create categories of Information Services Consumers/users. </w:t>
            </w:r>
          </w:p>
        </w:tc>
      </w:tr>
      <w:tr w:rsidR="0029346A" w14:paraId="594A5479" w14:textId="77777777" w:rsidTr="001136D3">
        <w:tc>
          <w:tcPr>
            <w:tcW w:w="1075" w:type="dxa"/>
            <w:tcBorders>
              <w:top w:val="single" w:sz="4" w:space="0" w:color="auto"/>
              <w:left w:val="single" w:sz="4" w:space="0" w:color="auto"/>
              <w:bottom w:val="single" w:sz="4" w:space="0" w:color="auto"/>
              <w:right w:val="single" w:sz="4" w:space="0" w:color="auto"/>
            </w:tcBorders>
          </w:tcPr>
          <w:p w14:paraId="13979D2C" w14:textId="77777777" w:rsidR="0029346A" w:rsidRDefault="0029346A" w:rsidP="0029346A">
            <w:pPr>
              <w:spacing w:after="0"/>
              <w:rPr>
                <w:szCs w:val="24"/>
              </w:rPr>
            </w:pPr>
            <w:r>
              <w:rPr>
                <w:szCs w:val="24"/>
              </w:rPr>
              <w:t>FR93</w:t>
            </w:r>
          </w:p>
          <w:p w14:paraId="57268C07" w14:textId="77777777" w:rsidR="0029346A" w:rsidRDefault="0029346A" w:rsidP="0029346A">
            <w:pPr>
              <w:spacing w:after="0"/>
              <w:rPr>
                <w:szCs w:val="24"/>
              </w:rPr>
            </w:pPr>
          </w:p>
        </w:tc>
        <w:tc>
          <w:tcPr>
            <w:tcW w:w="7560" w:type="dxa"/>
            <w:tcBorders>
              <w:top w:val="single" w:sz="4" w:space="0" w:color="auto"/>
              <w:left w:val="single" w:sz="4" w:space="0" w:color="auto"/>
              <w:bottom w:val="single" w:sz="4" w:space="0" w:color="auto"/>
              <w:right w:val="single" w:sz="4" w:space="0" w:color="auto"/>
            </w:tcBorders>
          </w:tcPr>
          <w:p w14:paraId="7CD6D8DB" w14:textId="3A755416" w:rsidR="0029346A" w:rsidRDefault="0029346A" w:rsidP="0029346A">
            <w:pPr>
              <w:spacing w:after="0"/>
              <w:rPr>
                <w:szCs w:val="24"/>
              </w:rPr>
            </w:pPr>
            <w:r>
              <w:rPr>
                <w:szCs w:val="24"/>
              </w:rPr>
              <w:t xml:space="preserve">The NSW System must provide these as new Information Services Consumers registrants to apply via an online registration. The system shall allow for amendments, updates, </w:t>
            </w:r>
            <w:proofErr w:type="gramStart"/>
            <w:r>
              <w:rPr>
                <w:szCs w:val="24"/>
              </w:rPr>
              <w:t>renewal</w:t>
            </w:r>
            <w:proofErr w:type="gramEnd"/>
            <w:r>
              <w:rPr>
                <w:szCs w:val="24"/>
              </w:rPr>
              <w:t xml:space="preserve"> and cancellation of the registration.</w:t>
            </w:r>
          </w:p>
        </w:tc>
      </w:tr>
      <w:tr w:rsidR="0029346A" w14:paraId="1A367FB8" w14:textId="77777777" w:rsidTr="001136D3">
        <w:tc>
          <w:tcPr>
            <w:tcW w:w="1075" w:type="dxa"/>
            <w:tcBorders>
              <w:top w:val="single" w:sz="4" w:space="0" w:color="auto"/>
              <w:left w:val="single" w:sz="4" w:space="0" w:color="auto"/>
              <w:bottom w:val="single" w:sz="4" w:space="0" w:color="auto"/>
              <w:right w:val="single" w:sz="4" w:space="0" w:color="auto"/>
            </w:tcBorders>
          </w:tcPr>
          <w:p w14:paraId="393880E4" w14:textId="37CE66FF" w:rsidR="0029346A" w:rsidRDefault="0029346A" w:rsidP="0029346A">
            <w:pPr>
              <w:spacing w:after="0"/>
              <w:rPr>
                <w:szCs w:val="24"/>
              </w:rPr>
            </w:pPr>
            <w:r>
              <w:rPr>
                <w:szCs w:val="24"/>
              </w:rPr>
              <w:t>FR94</w:t>
            </w:r>
          </w:p>
        </w:tc>
        <w:tc>
          <w:tcPr>
            <w:tcW w:w="7560" w:type="dxa"/>
            <w:tcBorders>
              <w:top w:val="single" w:sz="4" w:space="0" w:color="auto"/>
              <w:left w:val="single" w:sz="4" w:space="0" w:color="auto"/>
              <w:bottom w:val="single" w:sz="4" w:space="0" w:color="auto"/>
              <w:right w:val="single" w:sz="4" w:space="0" w:color="auto"/>
            </w:tcBorders>
          </w:tcPr>
          <w:p w14:paraId="47B58830" w14:textId="04522479" w:rsidR="0029346A" w:rsidRDefault="0029346A" w:rsidP="0029346A">
            <w:pPr>
              <w:spacing w:after="0"/>
              <w:rPr>
                <w:szCs w:val="24"/>
              </w:rPr>
            </w:pPr>
            <w:r>
              <w:rPr>
                <w:szCs w:val="24"/>
              </w:rPr>
              <w:t>The NSW System must provide an email/ text messages to the Information Services Consumers registrant notifying regarding their data migration in NSW along with a temporary login access for verifying and updating their details.</w:t>
            </w:r>
          </w:p>
        </w:tc>
      </w:tr>
      <w:tr w:rsidR="0029346A" w14:paraId="7CA4AC89"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71FE3434" w14:textId="547C0E63" w:rsidR="0029346A" w:rsidRDefault="0029346A" w:rsidP="0029346A">
            <w:pPr>
              <w:spacing w:after="0"/>
              <w:rPr>
                <w:szCs w:val="24"/>
              </w:rPr>
            </w:pPr>
            <w:r>
              <w:rPr>
                <w:szCs w:val="24"/>
              </w:rPr>
              <w:t>FR95</w:t>
            </w:r>
          </w:p>
        </w:tc>
        <w:tc>
          <w:tcPr>
            <w:tcW w:w="7560" w:type="dxa"/>
            <w:tcBorders>
              <w:top w:val="single" w:sz="4" w:space="0" w:color="auto"/>
              <w:left w:val="single" w:sz="4" w:space="0" w:color="auto"/>
              <w:bottom w:val="single" w:sz="4" w:space="0" w:color="auto"/>
              <w:right w:val="single" w:sz="4" w:space="0" w:color="auto"/>
            </w:tcBorders>
          </w:tcPr>
          <w:p w14:paraId="402593D2" w14:textId="3640C74E" w:rsidR="0029346A" w:rsidRDefault="0029346A" w:rsidP="0029346A">
            <w:pPr>
              <w:spacing w:after="0"/>
              <w:rPr>
                <w:szCs w:val="24"/>
              </w:rPr>
            </w:pPr>
            <w:r>
              <w:rPr>
                <w:szCs w:val="24"/>
              </w:rPr>
              <w:t>For each Information Services Consumers registrant, the NSW System shall provide for the user’s role to be defined so that appropriate user access authentication and authorization shall be accorded.</w:t>
            </w:r>
          </w:p>
        </w:tc>
      </w:tr>
      <w:tr w:rsidR="0029346A" w14:paraId="7EE0E0AD"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72BA4CC0" w14:textId="1418567E" w:rsidR="0029346A" w:rsidRDefault="0029346A" w:rsidP="0029346A">
            <w:pPr>
              <w:spacing w:after="0"/>
              <w:rPr>
                <w:szCs w:val="24"/>
              </w:rPr>
            </w:pPr>
            <w:r>
              <w:rPr>
                <w:szCs w:val="24"/>
              </w:rPr>
              <w:t>FR96</w:t>
            </w:r>
          </w:p>
        </w:tc>
        <w:tc>
          <w:tcPr>
            <w:tcW w:w="7560" w:type="dxa"/>
            <w:tcBorders>
              <w:top w:val="single" w:sz="4" w:space="0" w:color="auto"/>
              <w:left w:val="single" w:sz="4" w:space="0" w:color="auto"/>
              <w:bottom w:val="single" w:sz="4" w:space="0" w:color="auto"/>
              <w:right w:val="single" w:sz="4" w:space="0" w:color="auto"/>
            </w:tcBorders>
          </w:tcPr>
          <w:p w14:paraId="701F6133" w14:textId="04BAED2E" w:rsidR="0029346A" w:rsidRDefault="0029346A" w:rsidP="0029346A">
            <w:pPr>
              <w:spacing w:after="0"/>
              <w:rPr>
                <w:szCs w:val="24"/>
              </w:rPr>
            </w:pPr>
            <w:r>
              <w:rPr>
                <w:szCs w:val="24"/>
              </w:rPr>
              <w:t>The NSW system functionality must cater for above-mentioned functions required of registration of regulatory authorities’ users as similarly required for registration of Information Services consumers/users, as appropriate.</w:t>
            </w:r>
          </w:p>
        </w:tc>
      </w:tr>
      <w:tr w:rsidR="0029346A" w14:paraId="212AF4F6"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75C1C201" w14:textId="08043ED0" w:rsidR="0029346A" w:rsidRDefault="0029346A" w:rsidP="0029346A">
            <w:pPr>
              <w:spacing w:after="0"/>
              <w:rPr>
                <w:szCs w:val="24"/>
              </w:rPr>
            </w:pPr>
            <w:r>
              <w:rPr>
                <w:szCs w:val="24"/>
              </w:rPr>
              <w:lastRenderedPageBreak/>
              <w:t>FR97</w:t>
            </w:r>
          </w:p>
        </w:tc>
        <w:tc>
          <w:tcPr>
            <w:tcW w:w="7560" w:type="dxa"/>
            <w:tcBorders>
              <w:top w:val="single" w:sz="4" w:space="0" w:color="auto"/>
              <w:left w:val="single" w:sz="4" w:space="0" w:color="auto"/>
              <w:bottom w:val="single" w:sz="4" w:space="0" w:color="auto"/>
              <w:right w:val="single" w:sz="4" w:space="0" w:color="auto"/>
            </w:tcBorders>
          </w:tcPr>
          <w:p w14:paraId="253C9B9F" w14:textId="25EA62F1" w:rsidR="0029346A" w:rsidRDefault="0029346A" w:rsidP="0029346A">
            <w:pPr>
              <w:spacing w:after="0"/>
              <w:rPr>
                <w:szCs w:val="24"/>
              </w:rPr>
            </w:pPr>
            <w:r>
              <w:rPr>
                <w:szCs w:val="24"/>
              </w:rPr>
              <w:t>The NSW system must cater for the NSW Operator to manage and administrate all registrants, including providing configurable rules to set, for e.g., time validity, cancellation or blocking of any registered user, person, employee, stakeholder administrator and CBRA user.</w:t>
            </w:r>
          </w:p>
        </w:tc>
      </w:tr>
      <w:tr w:rsidR="0029346A" w14:paraId="652B85E1"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5963F1F" w14:textId="51BC01E6" w:rsidR="0029346A" w:rsidRDefault="0029346A" w:rsidP="0029346A">
            <w:pPr>
              <w:spacing w:after="0"/>
              <w:rPr>
                <w:szCs w:val="24"/>
              </w:rPr>
            </w:pPr>
            <w:r>
              <w:rPr>
                <w:szCs w:val="24"/>
              </w:rPr>
              <w:t>FR98</w:t>
            </w:r>
          </w:p>
        </w:tc>
        <w:tc>
          <w:tcPr>
            <w:tcW w:w="7560" w:type="dxa"/>
            <w:tcBorders>
              <w:top w:val="single" w:sz="4" w:space="0" w:color="auto"/>
              <w:left w:val="single" w:sz="4" w:space="0" w:color="auto"/>
              <w:bottom w:val="single" w:sz="4" w:space="0" w:color="auto"/>
              <w:right w:val="single" w:sz="4" w:space="0" w:color="auto"/>
            </w:tcBorders>
          </w:tcPr>
          <w:p w14:paraId="40004388" w14:textId="34A1A361" w:rsidR="0029346A" w:rsidRDefault="0029346A" w:rsidP="0029346A">
            <w:pPr>
              <w:spacing w:after="0"/>
              <w:rPr>
                <w:szCs w:val="24"/>
              </w:rPr>
            </w:pPr>
            <w:r>
              <w:rPr>
                <w:szCs w:val="24"/>
              </w:rPr>
              <w:t>The NSW system must support the grouping of users into named groups. A user’s group can contain either a list of users or groups or a combination of these two.</w:t>
            </w:r>
          </w:p>
        </w:tc>
      </w:tr>
      <w:tr w:rsidR="0029346A" w14:paraId="6E0A2942"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42017DC4" w14:textId="16DDC968" w:rsidR="0029346A" w:rsidRDefault="0029346A" w:rsidP="0029346A">
            <w:pPr>
              <w:spacing w:after="0"/>
              <w:rPr>
                <w:szCs w:val="24"/>
              </w:rPr>
            </w:pPr>
            <w:r>
              <w:rPr>
                <w:szCs w:val="24"/>
              </w:rPr>
              <w:t>FR99</w:t>
            </w:r>
          </w:p>
        </w:tc>
        <w:tc>
          <w:tcPr>
            <w:tcW w:w="7560" w:type="dxa"/>
            <w:tcBorders>
              <w:top w:val="single" w:sz="4" w:space="0" w:color="auto"/>
              <w:left w:val="single" w:sz="4" w:space="0" w:color="auto"/>
              <w:bottom w:val="single" w:sz="4" w:space="0" w:color="auto"/>
              <w:right w:val="single" w:sz="4" w:space="0" w:color="auto"/>
            </w:tcBorders>
          </w:tcPr>
          <w:p w14:paraId="4E42A6E9" w14:textId="55845B25" w:rsidR="0029346A" w:rsidRDefault="0029346A" w:rsidP="0029346A">
            <w:pPr>
              <w:spacing w:after="0"/>
              <w:rPr>
                <w:szCs w:val="24"/>
              </w:rPr>
            </w:pPr>
            <w:r>
              <w:rPr>
                <w:szCs w:val="24"/>
              </w:rPr>
              <w:t xml:space="preserve">The NSW system must support distributed administration meaning that </w:t>
            </w:r>
            <w:proofErr w:type="gramStart"/>
            <w:r>
              <w:rPr>
                <w:szCs w:val="24"/>
              </w:rPr>
              <w:t>a</w:t>
            </w:r>
            <w:proofErr w:type="gramEnd"/>
            <w:r>
              <w:rPr>
                <w:szCs w:val="24"/>
              </w:rPr>
              <w:t xml:space="preserve"> NSW system administrator has the authority to manage only users that belongs to a specific grouping or organization, etc.</w:t>
            </w:r>
          </w:p>
        </w:tc>
      </w:tr>
      <w:tr w:rsidR="0029346A" w14:paraId="49E1D404"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2E9235C4" w14:textId="778F6741" w:rsidR="0029346A" w:rsidRDefault="0029346A" w:rsidP="0029346A">
            <w:pPr>
              <w:spacing w:after="0"/>
              <w:rPr>
                <w:szCs w:val="24"/>
              </w:rPr>
            </w:pPr>
            <w:r>
              <w:rPr>
                <w:szCs w:val="24"/>
              </w:rPr>
              <w:t>FR100</w:t>
            </w:r>
          </w:p>
        </w:tc>
        <w:tc>
          <w:tcPr>
            <w:tcW w:w="7560" w:type="dxa"/>
            <w:tcBorders>
              <w:top w:val="single" w:sz="4" w:space="0" w:color="auto"/>
              <w:left w:val="single" w:sz="4" w:space="0" w:color="auto"/>
              <w:bottom w:val="single" w:sz="4" w:space="0" w:color="auto"/>
              <w:right w:val="single" w:sz="4" w:space="0" w:color="auto"/>
            </w:tcBorders>
          </w:tcPr>
          <w:p w14:paraId="3A25740C" w14:textId="53792598" w:rsidR="0029346A" w:rsidRDefault="0029346A" w:rsidP="0029346A">
            <w:pPr>
              <w:spacing w:after="0"/>
              <w:rPr>
                <w:szCs w:val="24"/>
              </w:rPr>
            </w:pPr>
            <w:r>
              <w:rPr>
                <w:szCs w:val="24"/>
              </w:rPr>
              <w:t>The principal NSW system administrator can authorize administrator privileges to sub administrators of users belonging to a specific grouping or organization. An NSW sub administrator can be authorized to manage users in more than one group or organization.</w:t>
            </w:r>
          </w:p>
        </w:tc>
      </w:tr>
      <w:tr w:rsidR="0029346A" w14:paraId="4460FD85"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1DFD6F8" w14:textId="57EAA503" w:rsidR="0029346A" w:rsidRDefault="0029346A" w:rsidP="0029346A">
            <w:pPr>
              <w:spacing w:after="0"/>
              <w:rPr>
                <w:szCs w:val="24"/>
              </w:rPr>
            </w:pPr>
            <w:r>
              <w:rPr>
                <w:szCs w:val="24"/>
              </w:rPr>
              <w:t>FR101</w:t>
            </w:r>
          </w:p>
        </w:tc>
        <w:tc>
          <w:tcPr>
            <w:tcW w:w="7560" w:type="dxa"/>
            <w:tcBorders>
              <w:top w:val="single" w:sz="4" w:space="0" w:color="auto"/>
              <w:left w:val="single" w:sz="4" w:space="0" w:color="auto"/>
              <w:bottom w:val="single" w:sz="4" w:space="0" w:color="auto"/>
              <w:right w:val="single" w:sz="4" w:space="0" w:color="auto"/>
            </w:tcBorders>
          </w:tcPr>
          <w:p w14:paraId="03468B77" w14:textId="5FC94425" w:rsidR="0029346A" w:rsidRDefault="0029346A" w:rsidP="0029346A">
            <w:pPr>
              <w:spacing w:after="0"/>
              <w:rPr>
                <w:szCs w:val="24"/>
              </w:rPr>
            </w:pPr>
            <w:r>
              <w:rPr>
                <w:szCs w:val="24"/>
              </w:rPr>
              <w:t xml:space="preserve">The NSW System must provide a configurable notification service to be set up by the NSW system administrator, to provide notification </w:t>
            </w:r>
            <w:proofErr w:type="gramStart"/>
            <w:r>
              <w:rPr>
                <w:szCs w:val="24"/>
              </w:rPr>
              <w:t>message</w:t>
            </w:r>
            <w:proofErr w:type="gramEnd"/>
            <w:r>
              <w:rPr>
                <w:szCs w:val="24"/>
              </w:rPr>
              <w:t xml:space="preserve"> to the registrant. Upon approval, the successful stakeholder shall be provided a registration number as well as the associated QR code for each registered stakeholder, person, employee, and stakeholder administrator, for subsequent login purposes.</w:t>
            </w:r>
          </w:p>
        </w:tc>
      </w:tr>
      <w:tr w:rsidR="0029346A" w14:paraId="5310C393"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2656214" w14:textId="452BC162" w:rsidR="0029346A" w:rsidRDefault="0029346A" w:rsidP="0029346A">
            <w:pPr>
              <w:spacing w:after="0"/>
              <w:rPr>
                <w:szCs w:val="24"/>
              </w:rPr>
            </w:pPr>
            <w:r>
              <w:rPr>
                <w:szCs w:val="24"/>
              </w:rPr>
              <w:t>FR102</w:t>
            </w:r>
          </w:p>
        </w:tc>
        <w:tc>
          <w:tcPr>
            <w:tcW w:w="7560" w:type="dxa"/>
            <w:tcBorders>
              <w:top w:val="single" w:sz="4" w:space="0" w:color="auto"/>
              <w:left w:val="single" w:sz="4" w:space="0" w:color="auto"/>
              <w:bottom w:val="single" w:sz="4" w:space="0" w:color="auto"/>
              <w:right w:val="single" w:sz="4" w:space="0" w:color="auto"/>
            </w:tcBorders>
          </w:tcPr>
          <w:p w14:paraId="767073A0" w14:textId="3AA6A46B" w:rsidR="0029346A" w:rsidRDefault="0029346A" w:rsidP="0029346A">
            <w:pPr>
              <w:spacing w:after="0"/>
              <w:rPr>
                <w:szCs w:val="24"/>
              </w:rPr>
            </w:pPr>
            <w:r>
              <w:rPr>
                <w:szCs w:val="24"/>
              </w:rPr>
              <w:t>For each registered user the NSW system shall provide the system administrator to define the maximum number of employees authorized as NSW users under the entity. The defined number shall be configurable by the NSW System Administrator.</w:t>
            </w:r>
          </w:p>
        </w:tc>
      </w:tr>
      <w:tr w:rsidR="0029346A" w14:paraId="3AE3F925"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4F8D4E55" w14:textId="56D9D52F" w:rsidR="0029346A" w:rsidRDefault="0029346A" w:rsidP="0029346A">
            <w:pPr>
              <w:spacing w:after="0"/>
              <w:rPr>
                <w:szCs w:val="24"/>
              </w:rPr>
            </w:pPr>
            <w:r>
              <w:rPr>
                <w:szCs w:val="24"/>
              </w:rPr>
              <w:t>FR103</w:t>
            </w:r>
          </w:p>
        </w:tc>
        <w:tc>
          <w:tcPr>
            <w:tcW w:w="7560" w:type="dxa"/>
            <w:tcBorders>
              <w:top w:val="single" w:sz="4" w:space="0" w:color="auto"/>
              <w:left w:val="single" w:sz="4" w:space="0" w:color="auto"/>
              <w:bottom w:val="single" w:sz="4" w:space="0" w:color="auto"/>
              <w:right w:val="single" w:sz="4" w:space="0" w:color="auto"/>
            </w:tcBorders>
          </w:tcPr>
          <w:p w14:paraId="7B02F0FC" w14:textId="7DD4569E" w:rsidR="0029346A" w:rsidRDefault="0029346A" w:rsidP="0029346A">
            <w:pPr>
              <w:spacing w:after="0"/>
              <w:rPr>
                <w:szCs w:val="24"/>
              </w:rPr>
            </w:pPr>
            <w:r>
              <w:rPr>
                <w:szCs w:val="24"/>
              </w:rPr>
              <w:t xml:space="preserve">The NSW System must </w:t>
            </w:r>
            <w:proofErr w:type="gramStart"/>
            <w:r>
              <w:rPr>
                <w:szCs w:val="24"/>
              </w:rPr>
              <w:t>provide for</w:t>
            </w:r>
            <w:proofErr w:type="gramEnd"/>
            <w:r>
              <w:rPr>
                <w:szCs w:val="24"/>
              </w:rPr>
              <w:t xml:space="preserve"> a configurable workflow to facilitate processing of the registration by the NSW Operator, with the final approval to be provided by an appropriate competent authority. </w:t>
            </w:r>
          </w:p>
        </w:tc>
      </w:tr>
      <w:tr w:rsidR="0029346A" w14:paraId="41A51EFA"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94C2643" w14:textId="76A235E8" w:rsidR="0029346A" w:rsidRDefault="0029346A" w:rsidP="0029346A">
            <w:pPr>
              <w:spacing w:after="0"/>
              <w:rPr>
                <w:szCs w:val="24"/>
              </w:rPr>
            </w:pPr>
            <w:r>
              <w:rPr>
                <w:szCs w:val="24"/>
              </w:rPr>
              <w:t>FR104</w:t>
            </w:r>
          </w:p>
        </w:tc>
        <w:tc>
          <w:tcPr>
            <w:tcW w:w="7560" w:type="dxa"/>
            <w:tcBorders>
              <w:top w:val="single" w:sz="4" w:space="0" w:color="auto"/>
              <w:left w:val="single" w:sz="4" w:space="0" w:color="auto"/>
              <w:bottom w:val="single" w:sz="4" w:space="0" w:color="auto"/>
              <w:right w:val="single" w:sz="4" w:space="0" w:color="auto"/>
            </w:tcBorders>
          </w:tcPr>
          <w:p w14:paraId="19648DEB" w14:textId="47FB045C" w:rsidR="0029346A" w:rsidRDefault="0029346A" w:rsidP="0029346A">
            <w:pPr>
              <w:spacing w:after="0"/>
              <w:rPr>
                <w:szCs w:val="24"/>
              </w:rPr>
            </w:pPr>
            <w:r>
              <w:rPr>
                <w:szCs w:val="24"/>
              </w:rPr>
              <w:t>The NSW system must support grouping privileges into named privilege groups. A privilege group can contain either a list of privileges or privilege groups. The system must enable a user’s privileges to be expressed either as a list of individual privileges and/or as a list of privileges groups.</w:t>
            </w:r>
          </w:p>
        </w:tc>
      </w:tr>
      <w:tr w:rsidR="008E779D" w14:paraId="2F5BC950" w14:textId="77777777" w:rsidTr="001136D3">
        <w:tc>
          <w:tcPr>
            <w:tcW w:w="1075" w:type="dxa"/>
            <w:tcBorders>
              <w:top w:val="single" w:sz="4" w:space="0" w:color="auto"/>
              <w:left w:val="single" w:sz="4" w:space="0" w:color="auto"/>
              <w:bottom w:val="single" w:sz="4" w:space="0" w:color="auto"/>
              <w:right w:val="single" w:sz="4" w:space="0" w:color="auto"/>
            </w:tcBorders>
          </w:tcPr>
          <w:p w14:paraId="346702A3" w14:textId="0AFA1E45" w:rsidR="008E779D" w:rsidRDefault="008E779D" w:rsidP="008E779D">
            <w:pPr>
              <w:spacing w:after="0"/>
              <w:rPr>
                <w:szCs w:val="24"/>
              </w:rPr>
            </w:pPr>
            <w:r>
              <w:rPr>
                <w:szCs w:val="24"/>
              </w:rPr>
              <w:t>FR175</w:t>
            </w:r>
          </w:p>
        </w:tc>
        <w:tc>
          <w:tcPr>
            <w:tcW w:w="7560" w:type="dxa"/>
            <w:tcBorders>
              <w:top w:val="single" w:sz="4" w:space="0" w:color="auto"/>
              <w:left w:val="single" w:sz="4" w:space="0" w:color="auto"/>
              <w:bottom w:val="single" w:sz="4" w:space="0" w:color="auto"/>
              <w:right w:val="single" w:sz="4" w:space="0" w:color="auto"/>
            </w:tcBorders>
          </w:tcPr>
          <w:p w14:paraId="6EDD0027" w14:textId="0488B0FA" w:rsidR="008E779D" w:rsidRDefault="008E779D" w:rsidP="008E779D">
            <w:pPr>
              <w:spacing w:after="0"/>
              <w:rPr>
                <w:szCs w:val="24"/>
              </w:rPr>
            </w:pPr>
            <w:r>
              <w:rPr>
                <w:szCs w:val="24"/>
              </w:rPr>
              <w:t xml:space="preserve">The online registration is web based and will include validations of references.  </w:t>
            </w:r>
          </w:p>
        </w:tc>
      </w:tr>
      <w:tr w:rsidR="008E779D" w14:paraId="44AC3857" w14:textId="77777777" w:rsidTr="001136D3">
        <w:tc>
          <w:tcPr>
            <w:tcW w:w="1075" w:type="dxa"/>
            <w:tcBorders>
              <w:top w:val="single" w:sz="4" w:space="0" w:color="auto"/>
              <w:left w:val="single" w:sz="4" w:space="0" w:color="auto"/>
              <w:bottom w:val="single" w:sz="4" w:space="0" w:color="auto"/>
              <w:right w:val="single" w:sz="4" w:space="0" w:color="auto"/>
            </w:tcBorders>
          </w:tcPr>
          <w:p w14:paraId="28259C22" w14:textId="02971433" w:rsidR="008E779D" w:rsidRPr="008130B6" w:rsidRDefault="008E779D" w:rsidP="008E779D">
            <w:pPr>
              <w:spacing w:after="0"/>
              <w:rPr>
                <w:szCs w:val="24"/>
              </w:rPr>
            </w:pPr>
            <w:r w:rsidRPr="008130B6">
              <w:rPr>
                <w:szCs w:val="24"/>
              </w:rPr>
              <w:t>FR491</w:t>
            </w:r>
          </w:p>
        </w:tc>
        <w:tc>
          <w:tcPr>
            <w:tcW w:w="7560" w:type="dxa"/>
            <w:tcBorders>
              <w:top w:val="single" w:sz="4" w:space="0" w:color="auto"/>
              <w:left w:val="single" w:sz="4" w:space="0" w:color="auto"/>
              <w:bottom w:val="single" w:sz="4" w:space="0" w:color="auto"/>
              <w:right w:val="single" w:sz="4" w:space="0" w:color="auto"/>
            </w:tcBorders>
          </w:tcPr>
          <w:p w14:paraId="45E38683" w14:textId="4FF4EF8F" w:rsidR="008E779D" w:rsidRDefault="008E779D" w:rsidP="008E779D">
            <w:pPr>
              <w:spacing w:after="0"/>
              <w:rPr>
                <w:szCs w:val="24"/>
              </w:rPr>
            </w:pPr>
            <w:r>
              <w:rPr>
                <w:szCs w:val="24"/>
              </w:rPr>
              <w:t>The User Administrator must be able to fill in information regarding Competent Authority.</w:t>
            </w:r>
          </w:p>
        </w:tc>
      </w:tr>
      <w:tr w:rsidR="008E779D" w14:paraId="1C4D410A" w14:textId="77777777" w:rsidTr="001136D3">
        <w:tc>
          <w:tcPr>
            <w:tcW w:w="1075" w:type="dxa"/>
            <w:tcBorders>
              <w:top w:val="single" w:sz="4" w:space="0" w:color="auto"/>
              <w:left w:val="single" w:sz="4" w:space="0" w:color="auto"/>
              <w:bottom w:val="single" w:sz="4" w:space="0" w:color="auto"/>
              <w:right w:val="single" w:sz="4" w:space="0" w:color="auto"/>
            </w:tcBorders>
          </w:tcPr>
          <w:p w14:paraId="0CCBB1C0" w14:textId="1E0564B3" w:rsidR="008E779D" w:rsidRDefault="008E779D" w:rsidP="008E779D">
            <w:pPr>
              <w:spacing w:after="0"/>
              <w:rPr>
                <w:szCs w:val="24"/>
              </w:rPr>
            </w:pPr>
            <w:r w:rsidRPr="008130B6">
              <w:rPr>
                <w:szCs w:val="24"/>
              </w:rPr>
              <w:t>FR492</w:t>
            </w:r>
          </w:p>
        </w:tc>
        <w:tc>
          <w:tcPr>
            <w:tcW w:w="7560" w:type="dxa"/>
            <w:tcBorders>
              <w:top w:val="single" w:sz="4" w:space="0" w:color="auto"/>
              <w:left w:val="single" w:sz="4" w:space="0" w:color="auto"/>
              <w:bottom w:val="single" w:sz="4" w:space="0" w:color="auto"/>
              <w:right w:val="single" w:sz="4" w:space="0" w:color="auto"/>
            </w:tcBorders>
          </w:tcPr>
          <w:p w14:paraId="7D6EBCC8" w14:textId="051BFEAA" w:rsidR="008E779D" w:rsidRDefault="008E779D" w:rsidP="008E779D">
            <w:pPr>
              <w:spacing w:after="0"/>
              <w:rPr>
                <w:szCs w:val="24"/>
              </w:rPr>
            </w:pPr>
            <w:r>
              <w:rPr>
                <w:szCs w:val="24"/>
              </w:rPr>
              <w:t>The system must be able to Perform Technical Validation of the Request to Check EO and/or CA Registration.</w:t>
            </w:r>
          </w:p>
        </w:tc>
      </w:tr>
      <w:tr w:rsidR="008E779D" w14:paraId="24D85E3F" w14:textId="77777777" w:rsidTr="001136D3">
        <w:tc>
          <w:tcPr>
            <w:tcW w:w="1075" w:type="dxa"/>
            <w:tcBorders>
              <w:top w:val="single" w:sz="4" w:space="0" w:color="auto"/>
              <w:left w:val="single" w:sz="4" w:space="0" w:color="auto"/>
              <w:bottom w:val="single" w:sz="4" w:space="0" w:color="auto"/>
              <w:right w:val="single" w:sz="4" w:space="0" w:color="auto"/>
            </w:tcBorders>
          </w:tcPr>
          <w:p w14:paraId="31777C37" w14:textId="58EC87A1" w:rsidR="008E779D" w:rsidRDefault="008E779D" w:rsidP="008E779D">
            <w:pPr>
              <w:spacing w:after="0"/>
              <w:rPr>
                <w:szCs w:val="24"/>
              </w:rPr>
            </w:pPr>
            <w:r>
              <w:rPr>
                <w:szCs w:val="24"/>
              </w:rPr>
              <w:t>FR493</w:t>
            </w:r>
          </w:p>
        </w:tc>
        <w:tc>
          <w:tcPr>
            <w:tcW w:w="7560" w:type="dxa"/>
            <w:tcBorders>
              <w:top w:val="single" w:sz="4" w:space="0" w:color="auto"/>
              <w:left w:val="single" w:sz="4" w:space="0" w:color="auto"/>
              <w:bottom w:val="single" w:sz="4" w:space="0" w:color="auto"/>
              <w:right w:val="single" w:sz="4" w:space="0" w:color="auto"/>
            </w:tcBorders>
          </w:tcPr>
          <w:p w14:paraId="4FE52564" w14:textId="4BE986FD" w:rsidR="008E779D" w:rsidRDefault="008E779D" w:rsidP="008E779D">
            <w:pPr>
              <w:spacing w:after="0"/>
              <w:rPr>
                <w:szCs w:val="24"/>
              </w:rPr>
            </w:pPr>
            <w:r>
              <w:rPr>
                <w:szCs w:val="24"/>
              </w:rPr>
              <w:t>The system must be able to send request to UMS and Commercial Register to validate EO and/or CA.</w:t>
            </w:r>
          </w:p>
        </w:tc>
      </w:tr>
      <w:tr w:rsidR="008E779D" w14:paraId="783B9855" w14:textId="77777777" w:rsidTr="001136D3">
        <w:tc>
          <w:tcPr>
            <w:tcW w:w="1075" w:type="dxa"/>
            <w:tcBorders>
              <w:top w:val="single" w:sz="4" w:space="0" w:color="auto"/>
              <w:left w:val="single" w:sz="4" w:space="0" w:color="auto"/>
              <w:bottom w:val="single" w:sz="4" w:space="0" w:color="auto"/>
              <w:right w:val="single" w:sz="4" w:space="0" w:color="auto"/>
            </w:tcBorders>
          </w:tcPr>
          <w:p w14:paraId="17A5491A" w14:textId="59C3E9B4" w:rsidR="008E779D" w:rsidRDefault="008E779D" w:rsidP="008E779D">
            <w:pPr>
              <w:spacing w:after="0"/>
              <w:rPr>
                <w:szCs w:val="24"/>
              </w:rPr>
            </w:pPr>
            <w:r>
              <w:rPr>
                <w:szCs w:val="24"/>
              </w:rPr>
              <w:t>FR494</w:t>
            </w:r>
          </w:p>
        </w:tc>
        <w:tc>
          <w:tcPr>
            <w:tcW w:w="7560" w:type="dxa"/>
            <w:tcBorders>
              <w:top w:val="single" w:sz="4" w:space="0" w:color="auto"/>
              <w:left w:val="single" w:sz="4" w:space="0" w:color="auto"/>
              <w:bottom w:val="single" w:sz="4" w:space="0" w:color="auto"/>
              <w:right w:val="single" w:sz="4" w:space="0" w:color="auto"/>
            </w:tcBorders>
          </w:tcPr>
          <w:p w14:paraId="3AF23081" w14:textId="2E42F529" w:rsidR="008E779D" w:rsidRDefault="008E779D" w:rsidP="008E779D">
            <w:pPr>
              <w:spacing w:after="0"/>
              <w:rPr>
                <w:szCs w:val="24"/>
              </w:rPr>
            </w:pPr>
            <w:r>
              <w:rPr>
                <w:szCs w:val="24"/>
              </w:rPr>
              <w:t>The NSW must be able to Validate Information on EO and/or CA.</w:t>
            </w:r>
          </w:p>
        </w:tc>
      </w:tr>
      <w:tr w:rsidR="008E779D" w14:paraId="27BF56D6" w14:textId="77777777" w:rsidTr="001136D3">
        <w:tc>
          <w:tcPr>
            <w:tcW w:w="1075" w:type="dxa"/>
            <w:tcBorders>
              <w:top w:val="single" w:sz="4" w:space="0" w:color="auto"/>
              <w:left w:val="single" w:sz="4" w:space="0" w:color="auto"/>
              <w:bottom w:val="single" w:sz="4" w:space="0" w:color="auto"/>
              <w:right w:val="single" w:sz="4" w:space="0" w:color="auto"/>
            </w:tcBorders>
          </w:tcPr>
          <w:p w14:paraId="0F5E0B06" w14:textId="4820D2C7" w:rsidR="008E779D" w:rsidRDefault="008E779D" w:rsidP="008E779D">
            <w:pPr>
              <w:spacing w:after="0"/>
              <w:rPr>
                <w:szCs w:val="24"/>
              </w:rPr>
            </w:pPr>
            <w:r>
              <w:rPr>
                <w:szCs w:val="24"/>
              </w:rPr>
              <w:t>FR495</w:t>
            </w:r>
          </w:p>
        </w:tc>
        <w:tc>
          <w:tcPr>
            <w:tcW w:w="7560" w:type="dxa"/>
            <w:tcBorders>
              <w:top w:val="single" w:sz="4" w:space="0" w:color="auto"/>
              <w:left w:val="single" w:sz="4" w:space="0" w:color="auto"/>
              <w:bottom w:val="single" w:sz="4" w:space="0" w:color="auto"/>
              <w:right w:val="single" w:sz="4" w:space="0" w:color="auto"/>
            </w:tcBorders>
          </w:tcPr>
          <w:p w14:paraId="25D99895" w14:textId="2CAEC74E" w:rsidR="008E779D" w:rsidRDefault="008E779D" w:rsidP="008E779D">
            <w:pPr>
              <w:spacing w:after="0"/>
              <w:rPr>
                <w:szCs w:val="24"/>
              </w:rPr>
            </w:pPr>
            <w:r>
              <w:rPr>
                <w:szCs w:val="24"/>
              </w:rPr>
              <w:t>The NSW system must be able to take decision to grant user permission.</w:t>
            </w:r>
          </w:p>
        </w:tc>
      </w:tr>
      <w:tr w:rsidR="008E779D" w14:paraId="3916514E" w14:textId="77777777" w:rsidTr="001136D3">
        <w:tc>
          <w:tcPr>
            <w:tcW w:w="1075" w:type="dxa"/>
            <w:tcBorders>
              <w:top w:val="single" w:sz="4" w:space="0" w:color="auto"/>
              <w:left w:val="single" w:sz="4" w:space="0" w:color="auto"/>
              <w:bottom w:val="single" w:sz="4" w:space="0" w:color="auto"/>
              <w:right w:val="single" w:sz="4" w:space="0" w:color="auto"/>
            </w:tcBorders>
          </w:tcPr>
          <w:p w14:paraId="183AFD5C" w14:textId="082C75C5" w:rsidR="008E779D" w:rsidRDefault="008E779D" w:rsidP="008E779D">
            <w:pPr>
              <w:spacing w:after="0"/>
              <w:rPr>
                <w:szCs w:val="24"/>
              </w:rPr>
            </w:pPr>
            <w:r>
              <w:rPr>
                <w:szCs w:val="24"/>
              </w:rPr>
              <w:t>FR496</w:t>
            </w:r>
          </w:p>
        </w:tc>
        <w:tc>
          <w:tcPr>
            <w:tcW w:w="7560" w:type="dxa"/>
            <w:tcBorders>
              <w:top w:val="single" w:sz="4" w:space="0" w:color="auto"/>
              <w:left w:val="single" w:sz="4" w:space="0" w:color="auto"/>
              <w:bottom w:val="single" w:sz="4" w:space="0" w:color="auto"/>
              <w:right w:val="single" w:sz="4" w:space="0" w:color="auto"/>
            </w:tcBorders>
          </w:tcPr>
          <w:p w14:paraId="2A166B12" w14:textId="6403FDCC" w:rsidR="008E779D" w:rsidRDefault="008E779D" w:rsidP="008E779D">
            <w:pPr>
              <w:spacing w:after="0"/>
              <w:rPr>
                <w:szCs w:val="24"/>
              </w:rPr>
            </w:pPr>
            <w:r>
              <w:rPr>
                <w:szCs w:val="24"/>
              </w:rPr>
              <w:t>The system must be able to Notify EO of Check Registration Error.</w:t>
            </w:r>
          </w:p>
        </w:tc>
      </w:tr>
      <w:tr w:rsidR="008E779D" w14:paraId="3EFB5FF1" w14:textId="77777777" w:rsidTr="001136D3">
        <w:tc>
          <w:tcPr>
            <w:tcW w:w="1075" w:type="dxa"/>
            <w:tcBorders>
              <w:top w:val="single" w:sz="4" w:space="0" w:color="auto"/>
              <w:left w:val="single" w:sz="4" w:space="0" w:color="auto"/>
              <w:bottom w:val="single" w:sz="4" w:space="0" w:color="auto"/>
              <w:right w:val="single" w:sz="4" w:space="0" w:color="auto"/>
            </w:tcBorders>
          </w:tcPr>
          <w:p w14:paraId="760B6F83" w14:textId="5A82B91A" w:rsidR="008E779D" w:rsidRDefault="008E779D" w:rsidP="008E779D">
            <w:pPr>
              <w:spacing w:after="0"/>
              <w:rPr>
                <w:szCs w:val="24"/>
              </w:rPr>
            </w:pPr>
            <w:r>
              <w:rPr>
                <w:szCs w:val="24"/>
              </w:rPr>
              <w:t>FR497</w:t>
            </w:r>
          </w:p>
        </w:tc>
        <w:tc>
          <w:tcPr>
            <w:tcW w:w="7560" w:type="dxa"/>
            <w:tcBorders>
              <w:top w:val="single" w:sz="4" w:space="0" w:color="auto"/>
              <w:left w:val="single" w:sz="4" w:space="0" w:color="auto"/>
              <w:bottom w:val="single" w:sz="4" w:space="0" w:color="auto"/>
              <w:right w:val="single" w:sz="4" w:space="0" w:color="auto"/>
            </w:tcBorders>
          </w:tcPr>
          <w:p w14:paraId="2FC1F5B1" w14:textId="5B189E6E" w:rsidR="008E779D" w:rsidRDefault="008E779D" w:rsidP="008E779D">
            <w:pPr>
              <w:spacing w:after="0"/>
              <w:rPr>
                <w:szCs w:val="24"/>
              </w:rPr>
            </w:pPr>
            <w:r>
              <w:rPr>
                <w:szCs w:val="24"/>
              </w:rPr>
              <w:t>The system must be able to Grant User Permission for use of NSW.</w:t>
            </w:r>
          </w:p>
        </w:tc>
      </w:tr>
      <w:tr w:rsidR="008E779D" w14:paraId="3466C7F5" w14:textId="77777777" w:rsidTr="001136D3">
        <w:tc>
          <w:tcPr>
            <w:tcW w:w="1075" w:type="dxa"/>
            <w:tcBorders>
              <w:top w:val="single" w:sz="4" w:space="0" w:color="auto"/>
              <w:left w:val="single" w:sz="4" w:space="0" w:color="auto"/>
              <w:bottom w:val="single" w:sz="4" w:space="0" w:color="auto"/>
              <w:right w:val="single" w:sz="4" w:space="0" w:color="auto"/>
            </w:tcBorders>
          </w:tcPr>
          <w:p w14:paraId="3470D915" w14:textId="725251CA" w:rsidR="008E779D" w:rsidRDefault="008E779D" w:rsidP="008E779D">
            <w:pPr>
              <w:spacing w:after="0"/>
              <w:rPr>
                <w:szCs w:val="24"/>
              </w:rPr>
            </w:pPr>
            <w:r>
              <w:rPr>
                <w:szCs w:val="24"/>
              </w:rPr>
              <w:t>FR498</w:t>
            </w:r>
          </w:p>
        </w:tc>
        <w:tc>
          <w:tcPr>
            <w:tcW w:w="7560" w:type="dxa"/>
            <w:tcBorders>
              <w:top w:val="single" w:sz="4" w:space="0" w:color="auto"/>
              <w:left w:val="single" w:sz="4" w:space="0" w:color="auto"/>
              <w:bottom w:val="single" w:sz="4" w:space="0" w:color="auto"/>
              <w:right w:val="single" w:sz="4" w:space="0" w:color="auto"/>
            </w:tcBorders>
          </w:tcPr>
          <w:p w14:paraId="6844D9DC" w14:textId="0D46DB28" w:rsidR="008E779D" w:rsidRDefault="008E779D" w:rsidP="008E779D">
            <w:pPr>
              <w:spacing w:after="0"/>
              <w:rPr>
                <w:szCs w:val="24"/>
              </w:rPr>
            </w:pPr>
            <w:r>
              <w:rPr>
                <w:szCs w:val="24"/>
              </w:rPr>
              <w:t>The system must be able to Notify EO and/or UMS for granted Permission and Credentials.</w:t>
            </w:r>
          </w:p>
        </w:tc>
      </w:tr>
      <w:tr w:rsidR="008E779D" w14:paraId="4384B257" w14:textId="77777777" w:rsidTr="001136D3">
        <w:tc>
          <w:tcPr>
            <w:tcW w:w="1075" w:type="dxa"/>
            <w:tcBorders>
              <w:top w:val="single" w:sz="4" w:space="0" w:color="auto"/>
              <w:left w:val="single" w:sz="4" w:space="0" w:color="auto"/>
              <w:bottom w:val="single" w:sz="4" w:space="0" w:color="auto"/>
              <w:right w:val="single" w:sz="4" w:space="0" w:color="auto"/>
            </w:tcBorders>
          </w:tcPr>
          <w:p w14:paraId="29FD3E64" w14:textId="3983B86C" w:rsidR="008E779D" w:rsidRDefault="008E779D" w:rsidP="008E779D">
            <w:pPr>
              <w:spacing w:after="0"/>
              <w:rPr>
                <w:szCs w:val="24"/>
              </w:rPr>
            </w:pPr>
            <w:r>
              <w:rPr>
                <w:szCs w:val="24"/>
              </w:rPr>
              <w:lastRenderedPageBreak/>
              <w:t>FR526</w:t>
            </w:r>
          </w:p>
        </w:tc>
        <w:tc>
          <w:tcPr>
            <w:tcW w:w="7560" w:type="dxa"/>
            <w:tcBorders>
              <w:top w:val="single" w:sz="4" w:space="0" w:color="auto"/>
              <w:left w:val="single" w:sz="4" w:space="0" w:color="auto"/>
              <w:bottom w:val="single" w:sz="4" w:space="0" w:color="auto"/>
              <w:right w:val="single" w:sz="4" w:space="0" w:color="auto"/>
            </w:tcBorders>
          </w:tcPr>
          <w:p w14:paraId="734F47DC" w14:textId="54C8E19A" w:rsidR="008E779D" w:rsidRDefault="008E779D" w:rsidP="008E779D">
            <w:pPr>
              <w:spacing w:after="0"/>
              <w:rPr>
                <w:szCs w:val="24"/>
              </w:rPr>
            </w:pPr>
            <w:r>
              <w:rPr>
                <w:szCs w:val="24"/>
              </w:rPr>
              <w:t xml:space="preserve">The system must be able to export all EO and CA </w:t>
            </w:r>
            <w:proofErr w:type="gramStart"/>
            <w:r>
              <w:rPr>
                <w:szCs w:val="24"/>
              </w:rPr>
              <w:t>in order to</w:t>
            </w:r>
            <w:proofErr w:type="gramEnd"/>
            <w:r>
              <w:rPr>
                <w:szCs w:val="24"/>
              </w:rPr>
              <w:t xml:space="preserve"> be migrated to UMS/EORI (when the system is developed). </w:t>
            </w:r>
          </w:p>
        </w:tc>
      </w:tr>
    </w:tbl>
    <w:p w14:paraId="6FFD6448" w14:textId="77777777" w:rsidR="00157AAA" w:rsidRDefault="00157AAA">
      <w:pPr>
        <w:spacing w:after="0"/>
        <w:rPr>
          <w:b/>
          <w:i/>
        </w:rPr>
      </w:pPr>
    </w:p>
    <w:p w14:paraId="502D3B6C" w14:textId="4F325066" w:rsidR="00157AAA" w:rsidRPr="008E2AAD" w:rsidRDefault="006C1BE5">
      <w:pPr>
        <w:rPr>
          <w:b/>
        </w:rPr>
      </w:pPr>
      <w:r w:rsidRPr="008E2AAD">
        <w:rPr>
          <w:b/>
        </w:rPr>
        <w:t>1.2.4.</w:t>
      </w:r>
      <w:r w:rsidR="000C766F" w:rsidRPr="008E2AAD">
        <w:rPr>
          <w:b/>
        </w:rPr>
        <w:t>5</w:t>
      </w:r>
      <w:r w:rsidRPr="008E2AAD">
        <w:rPr>
          <w:b/>
        </w:rPr>
        <w:t>. Check Economic Operator Registration</w:t>
      </w:r>
    </w:p>
    <w:p w14:paraId="724D74EC" w14:textId="77777777" w:rsidR="00157AAA" w:rsidRDefault="006C1BE5">
      <w:pPr>
        <w:rPr>
          <w:b/>
          <w:i/>
        </w:rPr>
      </w:pPr>
      <w:r>
        <w:rPr>
          <w:b/>
          <w:i/>
          <w:noProof/>
        </w:rPr>
        <w:drawing>
          <wp:inline distT="0" distB="0" distL="0" distR="0" wp14:anchorId="646929B2" wp14:editId="31717791">
            <wp:extent cx="5486400" cy="1785620"/>
            <wp:effectExtent l="0" t="0" r="0" b="5080"/>
            <wp:docPr id="15" name="Picture 1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36802" name="Picture 1132736802" descr="A diagram of a computer&#10;&#10;Description automatically generated"/>
                    <pic:cNvPicPr>
                      <a:picLocks noChangeAspect="1"/>
                    </pic:cNvPicPr>
                  </pic:nvPicPr>
                  <pic:blipFill>
                    <a:blip r:embed="rId79"/>
                    <a:stretch/>
                  </pic:blipFill>
                  <pic:spPr bwMode="auto">
                    <a:xfrm>
                      <a:off x="0" y="0"/>
                      <a:ext cx="5486400" cy="1785620"/>
                    </a:xfrm>
                    <a:prstGeom prst="rect">
                      <a:avLst/>
                    </a:prstGeom>
                  </pic:spPr>
                </pic:pic>
              </a:graphicData>
            </a:graphic>
          </wp:inline>
        </w:drawing>
      </w:r>
    </w:p>
    <w:p w14:paraId="208B8802" w14:textId="112E2EF5" w:rsidR="00157AAA" w:rsidRDefault="006C1BE5">
      <w:pPr>
        <w:rPr>
          <w:i/>
          <w:highlight w:val="yellow"/>
        </w:rPr>
      </w:pPr>
      <w:r>
        <w:t xml:space="preserve"> </w:t>
      </w:r>
      <w:r w:rsidR="00E3729B">
        <w:rPr>
          <w:noProof/>
        </w:rPr>
        <mc:AlternateContent>
          <mc:Choice Requires="wps">
            <w:drawing>
              <wp:anchor distT="0" distB="0" distL="114300" distR="114300" simplePos="0" relativeHeight="251658247" behindDoc="0" locked="0" layoutInCell="1" allowOverlap="1" wp14:anchorId="23ED7B63" wp14:editId="6C083034">
                <wp:simplePos x="0" y="0"/>
                <wp:positionH relativeFrom="column">
                  <wp:posOffset>0</wp:posOffset>
                </wp:positionH>
                <wp:positionV relativeFrom="paragraph">
                  <wp:posOffset>0</wp:posOffset>
                </wp:positionV>
                <wp:extent cx="635000" cy="635000"/>
                <wp:effectExtent l="19050" t="19050" r="12700" b="12700"/>
                <wp:wrapNone/>
                <wp:docPr id="39" name="AutoShape 6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760CB" id="AutoShape 63" o:spid="_x0000_s1026" style="position:absolute;margin-left:0;margin-top:0;width:50pt;height:50pt;z-index:251658247;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SInk7SMCAABIBAAADgAAAAAAAAAAAAAAAAAuAgAAZHJzL2Uyb0RvYy54bWxQSwEC&#10;LQAUAAYACAAAACEA640e+9gAAAAFAQAADwAAAAAAAAAAAAAAAAB9BAAAZHJzL2Rvd25yZXYueG1s&#10;UEsFBgAAAAAEAAQA8wAAAIIFAAAAAA==&#10;">
                <v:stroke joinstyle="round"/>
                <o:lock v:ext="edit" selection="t"/>
              </v:rect>
            </w:pict>
          </mc:Fallback>
        </mc:AlternateContent>
      </w:r>
      <w:r>
        <w:object w:dxaOrig="935" w:dyaOrig="602" w14:anchorId="3A709CDE">
          <v:shape id="_x0000_i1027" type="#_x0000_t75" style="width:79pt;height:50.5pt;mso-wrap-distance-left:0;mso-wrap-distance-right:0" o:ole="">
            <v:imagedata r:id="rId80" o:title=""/>
            <v:path textboxrect="0,0,0,0"/>
          </v:shape>
          <o:OLEObject Type="Embed" ProgID="Package" ShapeID="_x0000_i1027" DrawAspect="Icon" ObjectID="_1777888260" r:id="rId81"/>
        </w:object>
      </w:r>
    </w:p>
    <w:p w14:paraId="393EF95F" w14:textId="6C455605" w:rsidR="00157AAA" w:rsidRDefault="006C1BE5">
      <w:pPr>
        <w:jc w:val="center"/>
        <w:rPr>
          <w:i/>
          <w:szCs w:val="24"/>
        </w:rPr>
      </w:pPr>
      <w:r>
        <w:rPr>
          <w:i/>
          <w:szCs w:val="24"/>
        </w:rPr>
        <w:t xml:space="preserve">Figure </w:t>
      </w:r>
      <w:r w:rsidR="00631878">
        <w:rPr>
          <w:i/>
          <w:szCs w:val="24"/>
        </w:rPr>
        <w:t>6</w:t>
      </w:r>
      <w:r>
        <w:rPr>
          <w:i/>
          <w:szCs w:val="24"/>
        </w:rPr>
        <w:t>: BPMN Process Diagram: Check Economic Operator Registration</w:t>
      </w:r>
    </w:p>
    <w:p w14:paraId="3FF18FC6" w14:textId="77777777" w:rsidR="00157AAA" w:rsidRDefault="006C1BE5">
      <w:pPr>
        <w:rPr>
          <w:rFonts w:eastAsia="Calibri"/>
          <w:szCs w:val="24"/>
        </w:rPr>
      </w:pPr>
      <w:r w:rsidRPr="008611E7">
        <w:rPr>
          <w:b/>
          <w:szCs w:val="24"/>
        </w:rPr>
        <w:t>Process Description</w:t>
      </w:r>
      <w:r>
        <w:rPr>
          <w:i/>
          <w:szCs w:val="24"/>
        </w:rPr>
        <w:t xml:space="preserve">: </w:t>
      </w:r>
      <w:r>
        <w:rPr>
          <w:rFonts w:eastAsia="Calibri"/>
          <w:szCs w:val="24"/>
        </w:rPr>
        <w:t xml:space="preserve">The purpose of this process is to check the EO registration via the NSW and register CA in the system. The process starts with receiving a request for usage of NSW system from Trader Portal, or a user admin can initiate the creation of new user. In the second case, the User Administrator fills in information regarding the Competent Authority. Then, the NSW performs technical validation of the request to use NSW. If the message is technically valid, the system sends request to EORI and UMS to validate the EO and CA and receives information on validation. Then the NSW validates the information on Economic Operator and/or CA and takes decision on granting user permission. If the validation is positive, the system grants permission and notifies the EO. If the Response validation and criteria are not met, the NSW sends error notification for the request to use NSW. For CA, notification to UMS - User Management System for the new permissions and credentials are sent. </w:t>
      </w:r>
    </w:p>
    <w:p w14:paraId="312565BD" w14:textId="77777777" w:rsidR="00157AAA" w:rsidRDefault="00157AAA">
      <w:pPr>
        <w:spacing w:after="0"/>
      </w:pPr>
    </w:p>
    <w:p w14:paraId="02BCD017" w14:textId="77777777" w:rsidR="00157AAA" w:rsidRPr="008E2AAD" w:rsidRDefault="006C1BE5">
      <w:pPr>
        <w:spacing w:after="0"/>
        <w:rPr>
          <w:rFonts w:eastAsia="Calibri"/>
          <w:b/>
          <w:szCs w:val="24"/>
        </w:rPr>
      </w:pPr>
      <w:r w:rsidRPr="008E2AAD">
        <w:rPr>
          <w:rFonts w:eastAsia="Calibri"/>
          <w:b/>
          <w:szCs w:val="24"/>
        </w:rPr>
        <w:t>Process Steps:</w:t>
      </w:r>
    </w:p>
    <w:p w14:paraId="2087C053" w14:textId="77777777" w:rsidR="00157AAA" w:rsidRDefault="00157AAA">
      <w:pPr>
        <w:spacing w:after="0"/>
        <w:rPr>
          <w:rFonts w:eastAsia="Calibri"/>
          <w:b/>
          <w:i/>
          <w:szCs w:val="24"/>
        </w:rPr>
      </w:pPr>
    </w:p>
    <w:tbl>
      <w:tblPr>
        <w:tblStyle w:val="TableGrid3"/>
        <w:tblW w:w="9355" w:type="dxa"/>
        <w:tblLook w:val="04A0" w:firstRow="1" w:lastRow="0" w:firstColumn="1" w:lastColumn="0" w:noHBand="0" w:noVBand="1"/>
      </w:tblPr>
      <w:tblGrid>
        <w:gridCol w:w="1525"/>
        <w:gridCol w:w="2340"/>
        <w:gridCol w:w="5490"/>
      </w:tblGrid>
      <w:tr w:rsidR="00157AAA" w14:paraId="44CF38AF" w14:textId="77777777" w:rsidTr="001136D3">
        <w:trPr>
          <w:tblHeader/>
        </w:trPr>
        <w:tc>
          <w:tcPr>
            <w:tcW w:w="1525" w:type="dxa"/>
            <w:shd w:val="clear" w:color="auto" w:fill="D9D9D9" w:themeFill="background1" w:themeFillShade="D9"/>
          </w:tcPr>
          <w:p w14:paraId="12E9EBF3" w14:textId="77777777" w:rsidR="00157AAA" w:rsidRPr="004E2D1C" w:rsidRDefault="006C1BE5">
            <w:pPr>
              <w:spacing w:after="0"/>
              <w:rPr>
                <w:rFonts w:ascii="Times New Roman" w:hAnsi="Times New Roman"/>
                <w:b/>
                <w:szCs w:val="24"/>
              </w:rPr>
            </w:pPr>
            <w:r w:rsidRPr="004E2D1C">
              <w:rPr>
                <w:b/>
              </w:rPr>
              <w:t>Step</w:t>
            </w:r>
          </w:p>
        </w:tc>
        <w:tc>
          <w:tcPr>
            <w:tcW w:w="2340" w:type="dxa"/>
            <w:shd w:val="clear" w:color="auto" w:fill="D9D9D9" w:themeFill="background1" w:themeFillShade="D9"/>
          </w:tcPr>
          <w:p w14:paraId="330D91CF" w14:textId="77777777" w:rsidR="00157AAA" w:rsidRPr="004E2D1C" w:rsidRDefault="006C1BE5">
            <w:pPr>
              <w:spacing w:after="0"/>
              <w:jc w:val="left"/>
              <w:rPr>
                <w:rFonts w:ascii="Times New Roman" w:hAnsi="Times New Roman"/>
                <w:b/>
                <w:szCs w:val="24"/>
              </w:rPr>
            </w:pPr>
            <w:r w:rsidRPr="004E2D1C">
              <w:rPr>
                <w:b/>
              </w:rPr>
              <w:t>Name</w:t>
            </w:r>
          </w:p>
        </w:tc>
        <w:tc>
          <w:tcPr>
            <w:tcW w:w="5490" w:type="dxa"/>
            <w:shd w:val="clear" w:color="auto" w:fill="D9D9D9" w:themeFill="background1" w:themeFillShade="D9"/>
          </w:tcPr>
          <w:p w14:paraId="2A9F8572" w14:textId="77777777" w:rsidR="00157AAA" w:rsidRPr="004E2D1C" w:rsidRDefault="006C1BE5">
            <w:pPr>
              <w:spacing w:after="0"/>
              <w:jc w:val="left"/>
              <w:rPr>
                <w:rFonts w:ascii="Times New Roman" w:hAnsi="Times New Roman"/>
                <w:b/>
                <w:szCs w:val="24"/>
              </w:rPr>
            </w:pPr>
            <w:r w:rsidRPr="004E2D1C">
              <w:rPr>
                <w:b/>
              </w:rPr>
              <w:t>Description</w:t>
            </w:r>
          </w:p>
        </w:tc>
      </w:tr>
      <w:tr w:rsidR="00157AAA" w14:paraId="538CF27F" w14:textId="77777777" w:rsidTr="001136D3">
        <w:tc>
          <w:tcPr>
            <w:tcW w:w="1525" w:type="dxa"/>
          </w:tcPr>
          <w:p w14:paraId="5CBE7C58" w14:textId="77777777" w:rsidR="00157AAA" w:rsidRDefault="006C1BE5">
            <w:pPr>
              <w:spacing w:after="0"/>
              <w:rPr>
                <w:rFonts w:ascii="Times New Roman" w:hAnsi="Times New Roman"/>
                <w:szCs w:val="24"/>
              </w:rPr>
            </w:pPr>
            <w:r>
              <w:rPr>
                <w:rFonts w:ascii="Times New Roman" w:hAnsi="Times New Roman"/>
                <w:szCs w:val="24"/>
              </w:rPr>
              <w:t>Start event</w:t>
            </w:r>
          </w:p>
        </w:tc>
        <w:tc>
          <w:tcPr>
            <w:tcW w:w="2340" w:type="dxa"/>
          </w:tcPr>
          <w:p w14:paraId="12B535F5" w14:textId="77777777" w:rsidR="00157AAA" w:rsidRDefault="006C1BE5">
            <w:pPr>
              <w:spacing w:after="0"/>
              <w:jc w:val="left"/>
              <w:rPr>
                <w:rFonts w:ascii="Times New Roman" w:hAnsi="Times New Roman"/>
                <w:szCs w:val="24"/>
              </w:rPr>
            </w:pPr>
            <w:r>
              <w:rPr>
                <w:rFonts w:ascii="Times New Roman" w:hAnsi="Times New Roman"/>
                <w:szCs w:val="24"/>
              </w:rPr>
              <w:t>Request to Use NSW Received</w:t>
            </w:r>
          </w:p>
        </w:tc>
        <w:tc>
          <w:tcPr>
            <w:tcW w:w="5490" w:type="dxa"/>
          </w:tcPr>
          <w:p w14:paraId="4CE3A064" w14:textId="77777777" w:rsidR="00157AAA" w:rsidRDefault="006C1BE5">
            <w:pPr>
              <w:spacing w:after="0"/>
              <w:rPr>
                <w:rFonts w:ascii="Times New Roman" w:hAnsi="Times New Roman"/>
                <w:szCs w:val="24"/>
              </w:rPr>
            </w:pPr>
            <w:r>
              <w:rPr>
                <w:rFonts w:ascii="Times New Roman" w:hAnsi="Times New Roman"/>
                <w:szCs w:val="24"/>
              </w:rPr>
              <w:t>The NSW system receives request to use NSW system from EO.</w:t>
            </w:r>
          </w:p>
        </w:tc>
      </w:tr>
      <w:tr w:rsidR="00157AAA" w14:paraId="2B8B5BB9" w14:textId="77777777" w:rsidTr="001136D3">
        <w:tc>
          <w:tcPr>
            <w:tcW w:w="1525" w:type="dxa"/>
          </w:tcPr>
          <w:p w14:paraId="613FC7A1" w14:textId="77777777" w:rsidR="00157AAA" w:rsidRDefault="006C1BE5">
            <w:pPr>
              <w:spacing w:after="0"/>
              <w:rPr>
                <w:rFonts w:ascii="Times New Roman" w:hAnsi="Times New Roman"/>
                <w:szCs w:val="24"/>
              </w:rPr>
            </w:pPr>
            <w:r>
              <w:rPr>
                <w:rFonts w:ascii="Times New Roman" w:hAnsi="Times New Roman"/>
                <w:szCs w:val="24"/>
              </w:rPr>
              <w:t>Start event</w:t>
            </w:r>
          </w:p>
        </w:tc>
        <w:tc>
          <w:tcPr>
            <w:tcW w:w="2340" w:type="dxa"/>
          </w:tcPr>
          <w:p w14:paraId="66DA4EFE" w14:textId="77777777" w:rsidR="00157AAA" w:rsidRDefault="006C1BE5">
            <w:pPr>
              <w:spacing w:after="0"/>
              <w:jc w:val="left"/>
              <w:rPr>
                <w:rFonts w:ascii="Times New Roman" w:hAnsi="Times New Roman"/>
                <w:szCs w:val="24"/>
              </w:rPr>
            </w:pPr>
            <w:r>
              <w:rPr>
                <w:rFonts w:ascii="Times New Roman" w:hAnsi="Times New Roman"/>
                <w:szCs w:val="24"/>
              </w:rPr>
              <w:t>Initiate Competent Authority Registration</w:t>
            </w:r>
          </w:p>
        </w:tc>
        <w:tc>
          <w:tcPr>
            <w:tcW w:w="5490" w:type="dxa"/>
          </w:tcPr>
          <w:p w14:paraId="60154881" w14:textId="1DFBAE76" w:rsidR="00157AAA" w:rsidRDefault="004B1526">
            <w:pPr>
              <w:spacing w:after="0"/>
              <w:rPr>
                <w:rFonts w:ascii="Times New Roman" w:hAnsi="Times New Roman"/>
                <w:szCs w:val="24"/>
              </w:rPr>
            </w:pPr>
            <w:r>
              <w:rPr>
                <w:rFonts w:ascii="Times New Roman" w:hAnsi="Times New Roman"/>
                <w:szCs w:val="24"/>
              </w:rPr>
              <w:t xml:space="preserve">Competent </w:t>
            </w:r>
            <w:r w:rsidR="006C1BE5">
              <w:rPr>
                <w:rFonts w:ascii="Times New Roman" w:hAnsi="Times New Roman"/>
                <w:szCs w:val="24"/>
              </w:rPr>
              <w:t>Authority Registration is initiated</w:t>
            </w:r>
            <w:r w:rsidR="00EE09D8">
              <w:rPr>
                <w:rFonts w:ascii="Times New Roman" w:hAnsi="Times New Roman"/>
                <w:szCs w:val="24"/>
              </w:rPr>
              <w:t>.</w:t>
            </w:r>
          </w:p>
        </w:tc>
      </w:tr>
      <w:tr w:rsidR="00157AAA" w14:paraId="0990E174" w14:textId="77777777" w:rsidTr="001136D3">
        <w:tc>
          <w:tcPr>
            <w:tcW w:w="1525" w:type="dxa"/>
          </w:tcPr>
          <w:p w14:paraId="1C4AA066" w14:textId="77777777" w:rsidR="00157AAA" w:rsidRDefault="006C1BE5">
            <w:pPr>
              <w:spacing w:after="0"/>
              <w:rPr>
                <w:rFonts w:ascii="Times New Roman" w:hAnsi="Times New Roman"/>
                <w:szCs w:val="24"/>
              </w:rPr>
            </w:pPr>
            <w:r>
              <w:rPr>
                <w:rFonts w:ascii="Times New Roman" w:hAnsi="Times New Roman"/>
                <w:szCs w:val="24"/>
              </w:rPr>
              <w:t>User Task</w:t>
            </w:r>
          </w:p>
        </w:tc>
        <w:tc>
          <w:tcPr>
            <w:tcW w:w="2340" w:type="dxa"/>
          </w:tcPr>
          <w:p w14:paraId="75F83AE0" w14:textId="77777777" w:rsidR="00157AAA" w:rsidRDefault="006C1BE5">
            <w:pPr>
              <w:spacing w:after="0"/>
              <w:jc w:val="left"/>
              <w:rPr>
                <w:rFonts w:ascii="Times New Roman" w:hAnsi="Times New Roman"/>
                <w:szCs w:val="24"/>
              </w:rPr>
            </w:pPr>
            <w:r>
              <w:rPr>
                <w:rFonts w:ascii="Times New Roman" w:hAnsi="Times New Roman"/>
                <w:szCs w:val="24"/>
              </w:rPr>
              <w:t>Fill in Information regarding Competent Authority</w:t>
            </w:r>
          </w:p>
        </w:tc>
        <w:tc>
          <w:tcPr>
            <w:tcW w:w="5490" w:type="dxa"/>
          </w:tcPr>
          <w:p w14:paraId="4EF78AB3" w14:textId="49910555" w:rsidR="00157AAA" w:rsidRDefault="006C1BE5">
            <w:pPr>
              <w:spacing w:after="0"/>
              <w:rPr>
                <w:rFonts w:ascii="Times New Roman" w:hAnsi="Times New Roman"/>
                <w:szCs w:val="24"/>
              </w:rPr>
            </w:pPr>
            <w:r>
              <w:rPr>
                <w:rFonts w:ascii="Times New Roman" w:hAnsi="Times New Roman"/>
                <w:szCs w:val="24"/>
              </w:rPr>
              <w:t>The User Administrator fills in information regarding the Customs Authority</w:t>
            </w:r>
            <w:r w:rsidR="00EE09D8">
              <w:rPr>
                <w:rFonts w:ascii="Times New Roman" w:hAnsi="Times New Roman"/>
                <w:szCs w:val="24"/>
              </w:rPr>
              <w:t>.</w:t>
            </w:r>
          </w:p>
        </w:tc>
      </w:tr>
      <w:tr w:rsidR="00157AAA" w14:paraId="39592774" w14:textId="77777777" w:rsidTr="001136D3">
        <w:tc>
          <w:tcPr>
            <w:tcW w:w="1525" w:type="dxa"/>
          </w:tcPr>
          <w:p w14:paraId="1625CC40" w14:textId="77777777" w:rsidR="00157AAA" w:rsidRDefault="006C1BE5">
            <w:pPr>
              <w:spacing w:after="0"/>
              <w:rPr>
                <w:rFonts w:ascii="Times New Roman" w:hAnsi="Times New Roman"/>
                <w:szCs w:val="24"/>
              </w:rPr>
            </w:pPr>
            <w:r>
              <w:rPr>
                <w:rFonts w:ascii="Times New Roman" w:hAnsi="Times New Roman"/>
                <w:szCs w:val="24"/>
              </w:rPr>
              <w:lastRenderedPageBreak/>
              <w:t>Service Task</w:t>
            </w:r>
          </w:p>
        </w:tc>
        <w:tc>
          <w:tcPr>
            <w:tcW w:w="2340" w:type="dxa"/>
          </w:tcPr>
          <w:p w14:paraId="43197410" w14:textId="77777777" w:rsidR="00157AAA" w:rsidRDefault="006C1BE5">
            <w:pPr>
              <w:spacing w:after="0"/>
              <w:jc w:val="left"/>
              <w:rPr>
                <w:rFonts w:ascii="Times New Roman" w:hAnsi="Times New Roman"/>
                <w:szCs w:val="24"/>
              </w:rPr>
            </w:pPr>
            <w:r>
              <w:rPr>
                <w:rFonts w:ascii="Times New Roman" w:hAnsi="Times New Roman"/>
                <w:szCs w:val="24"/>
              </w:rPr>
              <w:t>Perform Technical Validation of the Request to Use NSW</w:t>
            </w:r>
          </w:p>
        </w:tc>
        <w:tc>
          <w:tcPr>
            <w:tcW w:w="5490" w:type="dxa"/>
          </w:tcPr>
          <w:p w14:paraId="42866839" w14:textId="77777777" w:rsidR="00157AAA" w:rsidRDefault="006C1BE5">
            <w:pPr>
              <w:spacing w:after="0"/>
              <w:rPr>
                <w:rFonts w:ascii="Times New Roman" w:hAnsi="Times New Roman"/>
                <w:szCs w:val="24"/>
              </w:rPr>
            </w:pPr>
            <w:r>
              <w:rPr>
                <w:rFonts w:ascii="Times New Roman" w:hAnsi="Times New Roman"/>
                <w:szCs w:val="24"/>
              </w:rPr>
              <w:t>The NSW performs technical validation of the request to use NSW.</w:t>
            </w:r>
          </w:p>
        </w:tc>
      </w:tr>
      <w:tr w:rsidR="00157AAA" w14:paraId="07D4CBE8" w14:textId="77777777" w:rsidTr="001136D3">
        <w:tc>
          <w:tcPr>
            <w:tcW w:w="1525" w:type="dxa"/>
          </w:tcPr>
          <w:p w14:paraId="2C4B5154"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Pr>
          <w:p w14:paraId="607BC23B" w14:textId="77777777" w:rsidR="00157AAA" w:rsidRDefault="006C1BE5">
            <w:pPr>
              <w:spacing w:after="0"/>
              <w:jc w:val="left"/>
              <w:rPr>
                <w:rFonts w:ascii="Times New Roman" w:hAnsi="Times New Roman"/>
                <w:szCs w:val="24"/>
              </w:rPr>
            </w:pPr>
            <w:r>
              <w:rPr>
                <w:rFonts w:ascii="Times New Roman" w:hAnsi="Times New Roman"/>
                <w:szCs w:val="24"/>
              </w:rPr>
              <w:t>Send Request to Validate EO and CA</w:t>
            </w:r>
          </w:p>
        </w:tc>
        <w:tc>
          <w:tcPr>
            <w:tcW w:w="5490" w:type="dxa"/>
          </w:tcPr>
          <w:p w14:paraId="06D72C8D" w14:textId="77777777" w:rsidR="00157AAA" w:rsidRDefault="006C1BE5">
            <w:pPr>
              <w:spacing w:after="0"/>
              <w:rPr>
                <w:rFonts w:ascii="Times New Roman" w:hAnsi="Times New Roman"/>
                <w:szCs w:val="24"/>
              </w:rPr>
            </w:pPr>
            <w:r>
              <w:rPr>
                <w:rFonts w:ascii="Times New Roman" w:hAnsi="Times New Roman"/>
                <w:szCs w:val="24"/>
              </w:rPr>
              <w:t xml:space="preserve">If the technical validation of the request to use NSW is positive, the NSW checks with EORI and UMS - User Management System to validate the Economic Operator and/or CA </w:t>
            </w:r>
            <w:proofErr w:type="gramStart"/>
            <w:r>
              <w:rPr>
                <w:rFonts w:ascii="Times New Roman" w:hAnsi="Times New Roman"/>
                <w:szCs w:val="24"/>
              </w:rPr>
              <w:t>in order to</w:t>
            </w:r>
            <w:proofErr w:type="gramEnd"/>
            <w:r>
              <w:rPr>
                <w:rFonts w:ascii="Times New Roman" w:hAnsi="Times New Roman"/>
                <w:szCs w:val="24"/>
              </w:rPr>
              <w:t xml:space="preserve"> grant permissions to the user. Replies are expected from both systems.</w:t>
            </w:r>
          </w:p>
        </w:tc>
      </w:tr>
      <w:tr w:rsidR="00157AAA" w14:paraId="34B4DE38" w14:textId="77777777" w:rsidTr="001136D3">
        <w:tc>
          <w:tcPr>
            <w:tcW w:w="1525" w:type="dxa"/>
          </w:tcPr>
          <w:p w14:paraId="099F3CFB" w14:textId="77777777" w:rsidR="00157AAA" w:rsidRDefault="006C1BE5">
            <w:pPr>
              <w:spacing w:after="0"/>
              <w:rPr>
                <w:rFonts w:ascii="Times New Roman" w:hAnsi="Times New Roman"/>
                <w:szCs w:val="24"/>
              </w:rPr>
            </w:pPr>
            <w:r>
              <w:rPr>
                <w:rFonts w:ascii="Times New Roman" w:hAnsi="Times New Roman"/>
                <w:szCs w:val="24"/>
              </w:rPr>
              <w:t>Message Event</w:t>
            </w:r>
          </w:p>
        </w:tc>
        <w:tc>
          <w:tcPr>
            <w:tcW w:w="2340" w:type="dxa"/>
          </w:tcPr>
          <w:p w14:paraId="3CF3176A" w14:textId="77777777" w:rsidR="00157AAA" w:rsidRDefault="006C1BE5">
            <w:pPr>
              <w:spacing w:after="0"/>
              <w:jc w:val="left"/>
              <w:rPr>
                <w:rFonts w:ascii="Times New Roman" w:hAnsi="Times New Roman"/>
                <w:szCs w:val="24"/>
              </w:rPr>
            </w:pPr>
            <w:r>
              <w:rPr>
                <w:rFonts w:ascii="Times New Roman" w:hAnsi="Times New Roman"/>
                <w:szCs w:val="24"/>
              </w:rPr>
              <w:t>Receive Information of Validation of EO and CA</w:t>
            </w:r>
          </w:p>
        </w:tc>
        <w:tc>
          <w:tcPr>
            <w:tcW w:w="5490" w:type="dxa"/>
          </w:tcPr>
          <w:p w14:paraId="54D61A1E" w14:textId="77777777" w:rsidR="00157AAA" w:rsidRDefault="006C1BE5">
            <w:pPr>
              <w:spacing w:after="0"/>
              <w:rPr>
                <w:rFonts w:ascii="Times New Roman" w:hAnsi="Times New Roman"/>
                <w:szCs w:val="24"/>
              </w:rPr>
            </w:pPr>
            <w:r>
              <w:rPr>
                <w:rFonts w:ascii="Times New Roman" w:hAnsi="Times New Roman"/>
                <w:szCs w:val="24"/>
              </w:rPr>
              <w:t xml:space="preserve">The NSW Receives information on performed validation from UMS, EORI. The NSW </w:t>
            </w:r>
            <w:proofErr w:type="gramStart"/>
            <w:r>
              <w:rPr>
                <w:rFonts w:ascii="Times New Roman" w:hAnsi="Times New Roman"/>
                <w:szCs w:val="24"/>
              </w:rPr>
              <w:t>receives also</w:t>
            </w:r>
            <w:proofErr w:type="gramEnd"/>
            <w:r>
              <w:rPr>
                <w:rFonts w:ascii="Times New Roman" w:hAnsi="Times New Roman"/>
                <w:szCs w:val="24"/>
              </w:rPr>
              <w:t xml:space="preserve"> all data about the EO.</w:t>
            </w:r>
          </w:p>
        </w:tc>
      </w:tr>
      <w:tr w:rsidR="00157AAA" w14:paraId="0EFA99F1" w14:textId="77777777" w:rsidTr="001136D3">
        <w:tc>
          <w:tcPr>
            <w:tcW w:w="1525" w:type="dxa"/>
          </w:tcPr>
          <w:p w14:paraId="19BDE4B6" w14:textId="77777777" w:rsidR="00157AAA" w:rsidRDefault="006C1BE5">
            <w:pPr>
              <w:spacing w:after="0"/>
              <w:rPr>
                <w:rFonts w:ascii="Times New Roman" w:hAnsi="Times New Roman"/>
                <w:szCs w:val="24"/>
              </w:rPr>
            </w:pPr>
            <w:r>
              <w:rPr>
                <w:rFonts w:ascii="Times New Roman" w:hAnsi="Times New Roman"/>
                <w:szCs w:val="24"/>
              </w:rPr>
              <w:t>Intermediate message event</w:t>
            </w:r>
          </w:p>
        </w:tc>
        <w:tc>
          <w:tcPr>
            <w:tcW w:w="2340" w:type="dxa"/>
          </w:tcPr>
          <w:p w14:paraId="24FBCFD8" w14:textId="77777777" w:rsidR="00157AAA" w:rsidRDefault="006C1BE5">
            <w:pPr>
              <w:spacing w:after="0"/>
              <w:jc w:val="left"/>
              <w:rPr>
                <w:rFonts w:ascii="Times New Roman" w:hAnsi="Times New Roman"/>
                <w:szCs w:val="24"/>
              </w:rPr>
            </w:pPr>
            <w:r>
              <w:rPr>
                <w:rFonts w:ascii="Times New Roman" w:hAnsi="Times New Roman"/>
                <w:szCs w:val="24"/>
              </w:rPr>
              <w:t>Receive Information of Validation of EO and CA</w:t>
            </w:r>
          </w:p>
        </w:tc>
        <w:tc>
          <w:tcPr>
            <w:tcW w:w="5490" w:type="dxa"/>
          </w:tcPr>
          <w:p w14:paraId="6B614E02" w14:textId="6A728E28" w:rsidR="00157AAA" w:rsidRDefault="006C1BE5">
            <w:pPr>
              <w:spacing w:after="0"/>
              <w:rPr>
                <w:rFonts w:ascii="Times New Roman" w:hAnsi="Times New Roman"/>
                <w:szCs w:val="24"/>
              </w:rPr>
            </w:pPr>
            <w:r>
              <w:rPr>
                <w:rFonts w:ascii="Times New Roman" w:hAnsi="Times New Roman"/>
                <w:szCs w:val="24"/>
              </w:rPr>
              <w:t>The NSW Receives information on performed validation from UMS, EORI.</w:t>
            </w:r>
          </w:p>
        </w:tc>
      </w:tr>
      <w:tr w:rsidR="00157AAA" w14:paraId="3F2870ED" w14:textId="77777777" w:rsidTr="001136D3">
        <w:tc>
          <w:tcPr>
            <w:tcW w:w="1525" w:type="dxa"/>
          </w:tcPr>
          <w:p w14:paraId="3EF065BA"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2340" w:type="dxa"/>
          </w:tcPr>
          <w:p w14:paraId="277B6CBC" w14:textId="77777777" w:rsidR="00157AAA" w:rsidRDefault="006C1BE5">
            <w:pPr>
              <w:spacing w:after="0"/>
              <w:jc w:val="left"/>
              <w:rPr>
                <w:rFonts w:ascii="Times New Roman" w:hAnsi="Times New Roman"/>
                <w:szCs w:val="24"/>
              </w:rPr>
            </w:pPr>
            <w:r>
              <w:rPr>
                <w:rFonts w:ascii="Times New Roman" w:hAnsi="Times New Roman"/>
                <w:szCs w:val="24"/>
              </w:rPr>
              <w:t>Validate Information on EO and CA and take decision</w:t>
            </w:r>
          </w:p>
        </w:tc>
        <w:tc>
          <w:tcPr>
            <w:tcW w:w="5490" w:type="dxa"/>
          </w:tcPr>
          <w:p w14:paraId="45072BCF" w14:textId="77777777" w:rsidR="00157AAA" w:rsidRDefault="006C1BE5">
            <w:pPr>
              <w:spacing w:after="0"/>
              <w:rPr>
                <w:rFonts w:ascii="Times New Roman" w:hAnsi="Times New Roman"/>
                <w:szCs w:val="24"/>
              </w:rPr>
            </w:pPr>
            <w:r>
              <w:rPr>
                <w:rFonts w:ascii="Times New Roman" w:hAnsi="Times New Roman"/>
                <w:szCs w:val="24"/>
              </w:rPr>
              <w:t>The received response is validated. The outcome of this validation can be positive and negative.</w:t>
            </w:r>
          </w:p>
        </w:tc>
      </w:tr>
      <w:tr w:rsidR="00157AAA" w14:paraId="2966014A" w14:textId="77777777" w:rsidTr="001136D3">
        <w:tc>
          <w:tcPr>
            <w:tcW w:w="1525" w:type="dxa"/>
          </w:tcPr>
          <w:p w14:paraId="0D810DF1"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2340" w:type="dxa"/>
          </w:tcPr>
          <w:p w14:paraId="2B0081DC" w14:textId="77777777" w:rsidR="00157AAA" w:rsidRDefault="006C1BE5">
            <w:pPr>
              <w:spacing w:after="0"/>
              <w:jc w:val="left"/>
              <w:rPr>
                <w:rFonts w:ascii="Times New Roman" w:hAnsi="Times New Roman"/>
                <w:szCs w:val="24"/>
              </w:rPr>
            </w:pPr>
            <w:r>
              <w:rPr>
                <w:rFonts w:ascii="Times New Roman" w:hAnsi="Times New Roman"/>
                <w:szCs w:val="24"/>
              </w:rPr>
              <w:t>Notify EO of Request to Use NSW Error</w:t>
            </w:r>
          </w:p>
        </w:tc>
        <w:tc>
          <w:tcPr>
            <w:tcW w:w="5490" w:type="dxa"/>
          </w:tcPr>
          <w:p w14:paraId="4D82AE50" w14:textId="52485AE3" w:rsidR="00157AAA" w:rsidRDefault="006C1BE5">
            <w:pPr>
              <w:spacing w:after="0"/>
              <w:rPr>
                <w:rFonts w:ascii="Times New Roman" w:hAnsi="Times New Roman"/>
                <w:szCs w:val="24"/>
              </w:rPr>
            </w:pPr>
            <w:r>
              <w:rPr>
                <w:rFonts w:ascii="Times New Roman" w:hAnsi="Times New Roman"/>
                <w:szCs w:val="24"/>
              </w:rPr>
              <w:t>If the validation of the information on EO received is not valid, the NSW system sends notification error on request to use NSW</w:t>
            </w:r>
            <w:r w:rsidR="00EE09D8">
              <w:rPr>
                <w:rFonts w:ascii="Times New Roman" w:hAnsi="Times New Roman"/>
                <w:szCs w:val="24"/>
              </w:rPr>
              <w:t>.</w:t>
            </w:r>
          </w:p>
        </w:tc>
      </w:tr>
      <w:tr w:rsidR="00157AAA" w14:paraId="30D36218" w14:textId="77777777" w:rsidTr="001136D3">
        <w:tc>
          <w:tcPr>
            <w:tcW w:w="1525" w:type="dxa"/>
          </w:tcPr>
          <w:p w14:paraId="494C3FA3"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2340" w:type="dxa"/>
          </w:tcPr>
          <w:p w14:paraId="0D321C32" w14:textId="77777777" w:rsidR="00157AAA" w:rsidRDefault="006C1BE5">
            <w:pPr>
              <w:spacing w:after="0"/>
              <w:jc w:val="left"/>
              <w:rPr>
                <w:rFonts w:ascii="Times New Roman" w:hAnsi="Times New Roman"/>
                <w:szCs w:val="24"/>
              </w:rPr>
            </w:pPr>
            <w:r>
              <w:rPr>
                <w:rFonts w:ascii="Times New Roman" w:hAnsi="Times New Roman"/>
                <w:szCs w:val="24"/>
              </w:rPr>
              <w:t>Grant User Permission</w:t>
            </w:r>
          </w:p>
        </w:tc>
        <w:tc>
          <w:tcPr>
            <w:tcW w:w="5490" w:type="dxa"/>
          </w:tcPr>
          <w:p w14:paraId="567064AF" w14:textId="77777777" w:rsidR="00157AAA" w:rsidRDefault="006C1BE5">
            <w:pPr>
              <w:spacing w:after="0"/>
              <w:rPr>
                <w:rFonts w:ascii="Times New Roman" w:hAnsi="Times New Roman"/>
                <w:szCs w:val="24"/>
              </w:rPr>
            </w:pPr>
            <w:r>
              <w:rPr>
                <w:rFonts w:ascii="Times New Roman" w:hAnsi="Times New Roman"/>
                <w:szCs w:val="24"/>
              </w:rPr>
              <w:t>If the validation is positive, the NSW grants user permission and rights for the local administrator.</w:t>
            </w:r>
          </w:p>
        </w:tc>
      </w:tr>
      <w:tr w:rsidR="00157AAA" w14:paraId="472BA70A" w14:textId="77777777" w:rsidTr="001136D3">
        <w:tc>
          <w:tcPr>
            <w:tcW w:w="1525" w:type="dxa"/>
          </w:tcPr>
          <w:p w14:paraId="3867085D"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2340" w:type="dxa"/>
          </w:tcPr>
          <w:p w14:paraId="63B8A2DD" w14:textId="77777777" w:rsidR="00157AAA" w:rsidRDefault="006C1BE5">
            <w:pPr>
              <w:spacing w:after="0"/>
              <w:jc w:val="left"/>
              <w:rPr>
                <w:rFonts w:ascii="Times New Roman" w:hAnsi="Times New Roman"/>
                <w:szCs w:val="24"/>
              </w:rPr>
            </w:pPr>
            <w:r>
              <w:rPr>
                <w:rFonts w:ascii="Times New Roman" w:hAnsi="Times New Roman"/>
                <w:szCs w:val="24"/>
              </w:rPr>
              <w:t>Notify for Permission and Credentials</w:t>
            </w:r>
          </w:p>
        </w:tc>
        <w:tc>
          <w:tcPr>
            <w:tcW w:w="5490" w:type="dxa"/>
          </w:tcPr>
          <w:p w14:paraId="3D4CD246" w14:textId="77777777" w:rsidR="00157AAA" w:rsidRDefault="006C1BE5">
            <w:pPr>
              <w:spacing w:after="0"/>
              <w:rPr>
                <w:rFonts w:ascii="Times New Roman" w:hAnsi="Times New Roman"/>
                <w:szCs w:val="24"/>
              </w:rPr>
            </w:pPr>
            <w:r>
              <w:rPr>
                <w:rFonts w:ascii="Times New Roman" w:hAnsi="Times New Roman"/>
                <w:szCs w:val="24"/>
              </w:rPr>
              <w:t xml:space="preserve">Information to EO is sent for the permissions added for usage of NSW. Information is also sent to UMS </w:t>
            </w:r>
            <w:proofErr w:type="gramStart"/>
            <w:r>
              <w:rPr>
                <w:rFonts w:ascii="Times New Roman" w:hAnsi="Times New Roman"/>
                <w:szCs w:val="24"/>
              </w:rPr>
              <w:t>in order to</w:t>
            </w:r>
            <w:proofErr w:type="gramEnd"/>
            <w:r>
              <w:rPr>
                <w:rFonts w:ascii="Times New Roman" w:hAnsi="Times New Roman"/>
                <w:szCs w:val="24"/>
              </w:rPr>
              <w:t xml:space="preserve"> create the user.</w:t>
            </w:r>
          </w:p>
        </w:tc>
      </w:tr>
      <w:tr w:rsidR="00157AAA" w14:paraId="0A5C4230" w14:textId="77777777" w:rsidTr="001136D3">
        <w:tc>
          <w:tcPr>
            <w:tcW w:w="1525" w:type="dxa"/>
          </w:tcPr>
          <w:p w14:paraId="70B3FBC7" w14:textId="77777777" w:rsidR="00157AAA" w:rsidRDefault="006C1BE5">
            <w:pPr>
              <w:spacing w:after="0"/>
              <w:jc w:val="left"/>
              <w:rPr>
                <w:rFonts w:ascii="Times New Roman" w:hAnsi="Times New Roman"/>
                <w:szCs w:val="24"/>
              </w:rPr>
            </w:pPr>
            <w:r>
              <w:rPr>
                <w:rFonts w:ascii="Times New Roman" w:hAnsi="Times New Roman"/>
                <w:szCs w:val="24"/>
              </w:rPr>
              <w:t>End Event</w:t>
            </w:r>
          </w:p>
        </w:tc>
        <w:tc>
          <w:tcPr>
            <w:tcW w:w="2340" w:type="dxa"/>
          </w:tcPr>
          <w:p w14:paraId="43CEF6A1" w14:textId="77777777" w:rsidR="00157AAA" w:rsidRDefault="006C1BE5">
            <w:pPr>
              <w:spacing w:after="0"/>
              <w:jc w:val="left"/>
              <w:rPr>
                <w:rFonts w:ascii="Times New Roman" w:hAnsi="Times New Roman"/>
                <w:szCs w:val="24"/>
              </w:rPr>
            </w:pPr>
            <w:r>
              <w:rPr>
                <w:rFonts w:ascii="Times New Roman" w:hAnsi="Times New Roman"/>
                <w:szCs w:val="24"/>
              </w:rPr>
              <w:t>Request to Use NSW Processed</w:t>
            </w:r>
          </w:p>
        </w:tc>
        <w:tc>
          <w:tcPr>
            <w:tcW w:w="5490" w:type="dxa"/>
          </w:tcPr>
          <w:p w14:paraId="75D869B5" w14:textId="77777777" w:rsidR="00157AAA" w:rsidRDefault="006C1BE5">
            <w:pPr>
              <w:spacing w:after="0"/>
              <w:rPr>
                <w:rFonts w:ascii="Times New Roman" w:hAnsi="Times New Roman"/>
                <w:szCs w:val="24"/>
              </w:rPr>
            </w:pPr>
            <w:r>
              <w:rPr>
                <w:rFonts w:ascii="Times New Roman" w:hAnsi="Times New Roman"/>
                <w:szCs w:val="24"/>
              </w:rPr>
              <w:t>Process Request to Use NSW Completed.</w:t>
            </w:r>
          </w:p>
        </w:tc>
      </w:tr>
    </w:tbl>
    <w:p w14:paraId="1063E19D" w14:textId="77777777" w:rsidR="00157AAA" w:rsidRDefault="00157AAA"/>
    <w:p w14:paraId="62D30406" w14:textId="77777777" w:rsidR="00157AAA" w:rsidRDefault="006C1BE5">
      <w:pPr>
        <w:rPr>
          <w:rFonts w:eastAsia="Calibri"/>
          <w:b/>
          <w:i/>
          <w:szCs w:val="24"/>
        </w:rPr>
      </w:pPr>
      <w:r w:rsidRPr="008E2AAD">
        <w:rPr>
          <w:rFonts w:eastAsia="Calibri"/>
          <w:b/>
          <w:szCs w:val="24"/>
        </w:rPr>
        <w:t>Functional Requirements</w:t>
      </w:r>
      <w:r>
        <w:rPr>
          <w:rFonts w:eastAsia="Calibri"/>
          <w:b/>
          <w:i/>
          <w:szCs w:val="24"/>
        </w:rPr>
        <w:t>:</w:t>
      </w:r>
    </w:p>
    <w:tbl>
      <w:tblPr>
        <w:tblStyle w:val="TableGrid"/>
        <w:tblW w:w="9355" w:type="dxa"/>
        <w:tblLook w:val="04A0" w:firstRow="1" w:lastRow="0" w:firstColumn="1" w:lastColumn="0" w:noHBand="0" w:noVBand="1"/>
      </w:tblPr>
      <w:tblGrid>
        <w:gridCol w:w="1075"/>
        <w:gridCol w:w="8280"/>
      </w:tblGrid>
      <w:tr w:rsidR="00157AAA" w14:paraId="616BBB05" w14:textId="77777777" w:rsidTr="001136D3">
        <w:trPr>
          <w:tblHeader/>
        </w:trPr>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4E38AA" w14:textId="77777777" w:rsidR="00157AAA" w:rsidRDefault="006C1BE5">
            <w:pPr>
              <w:spacing w:after="0"/>
              <w:rPr>
                <w:b/>
                <w:szCs w:val="24"/>
              </w:rPr>
            </w:pPr>
            <w:r>
              <w:rPr>
                <w:b/>
                <w:szCs w:val="24"/>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E0AD78" w14:textId="77777777" w:rsidR="00157AAA" w:rsidRDefault="006C1BE5">
            <w:pPr>
              <w:spacing w:after="0"/>
              <w:jc w:val="left"/>
              <w:rPr>
                <w:b/>
                <w:szCs w:val="24"/>
              </w:rPr>
            </w:pPr>
            <w:r>
              <w:rPr>
                <w:b/>
                <w:szCs w:val="24"/>
              </w:rPr>
              <w:t>Description</w:t>
            </w:r>
          </w:p>
        </w:tc>
      </w:tr>
      <w:tr w:rsidR="0029346A" w14:paraId="05DA79A0" w14:textId="77777777" w:rsidTr="001136D3">
        <w:tc>
          <w:tcPr>
            <w:tcW w:w="1075" w:type="dxa"/>
            <w:tcBorders>
              <w:top w:val="single" w:sz="4" w:space="0" w:color="auto"/>
              <w:left w:val="single" w:sz="4" w:space="0" w:color="auto"/>
              <w:bottom w:val="single" w:sz="4" w:space="0" w:color="auto"/>
              <w:right w:val="single" w:sz="4" w:space="0" w:color="auto"/>
            </w:tcBorders>
          </w:tcPr>
          <w:p w14:paraId="352B41F5" w14:textId="47C48599" w:rsidR="0029346A" w:rsidRDefault="0029346A" w:rsidP="0029346A">
            <w:pPr>
              <w:spacing w:after="0"/>
              <w:rPr>
                <w:szCs w:val="24"/>
              </w:rPr>
            </w:pPr>
            <w:r>
              <w:rPr>
                <w:szCs w:val="24"/>
              </w:rPr>
              <w:t>FR78</w:t>
            </w:r>
          </w:p>
        </w:tc>
        <w:tc>
          <w:tcPr>
            <w:tcW w:w="8280" w:type="dxa"/>
            <w:tcBorders>
              <w:top w:val="single" w:sz="4" w:space="0" w:color="auto"/>
              <w:left w:val="single" w:sz="4" w:space="0" w:color="auto"/>
              <w:bottom w:val="single" w:sz="4" w:space="0" w:color="auto"/>
              <w:right w:val="single" w:sz="4" w:space="0" w:color="auto"/>
            </w:tcBorders>
          </w:tcPr>
          <w:p w14:paraId="578E36D5" w14:textId="59461C17" w:rsidR="0029346A" w:rsidRDefault="0029346A" w:rsidP="0029346A">
            <w:pPr>
              <w:spacing w:after="0"/>
              <w:rPr>
                <w:szCs w:val="24"/>
              </w:rPr>
            </w:pPr>
            <w:r>
              <w:rPr>
                <w:szCs w:val="24"/>
              </w:rPr>
              <w:t>The system must validate the necessary data for different data fields as defined.</w:t>
            </w:r>
          </w:p>
        </w:tc>
      </w:tr>
      <w:tr w:rsidR="0029346A" w14:paraId="466662BF" w14:textId="77777777" w:rsidTr="001136D3">
        <w:tc>
          <w:tcPr>
            <w:tcW w:w="1075" w:type="dxa"/>
            <w:tcBorders>
              <w:top w:val="single" w:sz="4" w:space="0" w:color="auto"/>
              <w:left w:val="single" w:sz="4" w:space="0" w:color="auto"/>
              <w:bottom w:val="single" w:sz="4" w:space="0" w:color="auto"/>
              <w:right w:val="single" w:sz="4" w:space="0" w:color="auto"/>
            </w:tcBorders>
          </w:tcPr>
          <w:p w14:paraId="6BE7BA4B" w14:textId="77777777" w:rsidR="0029346A" w:rsidRDefault="0029346A" w:rsidP="0029346A">
            <w:pPr>
              <w:spacing w:after="0"/>
              <w:rPr>
                <w:szCs w:val="24"/>
              </w:rPr>
            </w:pPr>
            <w:r>
              <w:rPr>
                <w:szCs w:val="24"/>
              </w:rPr>
              <w:t>FR79</w:t>
            </w:r>
          </w:p>
          <w:p w14:paraId="14927927" w14:textId="77777777" w:rsidR="0029346A" w:rsidRDefault="0029346A" w:rsidP="0029346A">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523E9852" w14:textId="3AB78330" w:rsidR="0029346A" w:rsidRDefault="0029346A" w:rsidP="0029346A">
            <w:pPr>
              <w:spacing w:after="0"/>
              <w:rPr>
                <w:szCs w:val="24"/>
              </w:rPr>
            </w:pPr>
            <w:r>
              <w:rPr>
                <w:szCs w:val="24"/>
              </w:rPr>
              <w:t>The system must not allow the registrant to proceed to the next step if the validation rules fail, with a display of appropriate error messages.</w:t>
            </w:r>
          </w:p>
        </w:tc>
      </w:tr>
      <w:tr w:rsidR="0029346A" w14:paraId="78C79101"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60E714DF" w14:textId="2D3092C5" w:rsidR="0029346A" w:rsidRDefault="0029346A" w:rsidP="0029346A">
            <w:pPr>
              <w:spacing w:after="0"/>
              <w:rPr>
                <w:szCs w:val="24"/>
              </w:rPr>
            </w:pPr>
            <w:r>
              <w:rPr>
                <w:szCs w:val="24"/>
              </w:rPr>
              <w:t>FR81</w:t>
            </w:r>
          </w:p>
        </w:tc>
        <w:tc>
          <w:tcPr>
            <w:tcW w:w="8280" w:type="dxa"/>
            <w:tcBorders>
              <w:top w:val="single" w:sz="4" w:space="0" w:color="auto"/>
              <w:left w:val="single" w:sz="4" w:space="0" w:color="auto"/>
              <w:bottom w:val="single" w:sz="4" w:space="0" w:color="auto"/>
              <w:right w:val="single" w:sz="4" w:space="0" w:color="auto"/>
            </w:tcBorders>
          </w:tcPr>
          <w:p w14:paraId="1C18A6E6" w14:textId="3B7B4A3C" w:rsidR="0029346A" w:rsidRDefault="0029346A" w:rsidP="0029346A">
            <w:pPr>
              <w:spacing w:after="0"/>
              <w:rPr>
                <w:szCs w:val="24"/>
              </w:rPr>
            </w:pPr>
            <w:r>
              <w:rPr>
                <w:szCs w:val="24"/>
              </w:rPr>
              <w:t xml:space="preserve">The NSW system must cater for configurable data validation via validation rules form. </w:t>
            </w:r>
          </w:p>
        </w:tc>
      </w:tr>
      <w:tr w:rsidR="0029346A" w14:paraId="49A2D962"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B12D032" w14:textId="03DBC242" w:rsidR="0029346A" w:rsidRDefault="0029346A" w:rsidP="0029346A">
            <w:pPr>
              <w:spacing w:after="0"/>
              <w:rPr>
                <w:szCs w:val="24"/>
              </w:rPr>
            </w:pPr>
            <w:r>
              <w:rPr>
                <w:szCs w:val="24"/>
              </w:rPr>
              <w:t>FR82</w:t>
            </w:r>
          </w:p>
        </w:tc>
        <w:tc>
          <w:tcPr>
            <w:tcW w:w="8280" w:type="dxa"/>
            <w:tcBorders>
              <w:top w:val="single" w:sz="4" w:space="0" w:color="auto"/>
              <w:left w:val="single" w:sz="4" w:space="0" w:color="auto"/>
              <w:bottom w:val="single" w:sz="4" w:space="0" w:color="auto"/>
              <w:right w:val="single" w:sz="4" w:space="0" w:color="auto"/>
            </w:tcBorders>
          </w:tcPr>
          <w:p w14:paraId="3BC9D951" w14:textId="4EA53648" w:rsidR="0029346A" w:rsidRDefault="0029346A" w:rsidP="0029346A">
            <w:pPr>
              <w:spacing w:after="0"/>
              <w:rPr>
                <w:szCs w:val="24"/>
              </w:rPr>
            </w:pPr>
            <w:r>
              <w:rPr>
                <w:szCs w:val="24"/>
              </w:rPr>
              <w:t xml:space="preserve">The NSW System Administrator can add and update validation rules to the grid, column, row, or cell. </w:t>
            </w:r>
          </w:p>
        </w:tc>
      </w:tr>
      <w:tr w:rsidR="0029346A" w14:paraId="31FE3A31"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77A6018" w14:textId="33203B1A" w:rsidR="0029346A" w:rsidRDefault="0029346A" w:rsidP="0029346A">
            <w:pPr>
              <w:spacing w:after="0"/>
              <w:rPr>
                <w:szCs w:val="24"/>
              </w:rPr>
            </w:pPr>
            <w:r>
              <w:rPr>
                <w:szCs w:val="24"/>
              </w:rPr>
              <w:t>FR83</w:t>
            </w:r>
          </w:p>
        </w:tc>
        <w:tc>
          <w:tcPr>
            <w:tcW w:w="8280" w:type="dxa"/>
            <w:tcBorders>
              <w:top w:val="single" w:sz="4" w:space="0" w:color="auto"/>
              <w:left w:val="single" w:sz="4" w:space="0" w:color="auto"/>
              <w:bottom w:val="single" w:sz="4" w:space="0" w:color="auto"/>
              <w:right w:val="single" w:sz="4" w:space="0" w:color="auto"/>
            </w:tcBorders>
          </w:tcPr>
          <w:p w14:paraId="7CC523E0" w14:textId="76883134" w:rsidR="0029346A" w:rsidRDefault="0029346A" w:rsidP="0029346A">
            <w:pPr>
              <w:spacing w:after="0"/>
              <w:rPr>
                <w:szCs w:val="24"/>
              </w:rPr>
            </w:pPr>
            <w:r>
              <w:rPr>
                <w:szCs w:val="24"/>
              </w:rPr>
              <w:t>When rules are processed, the affected fields can change the color of cells, and provide validation messages to users during data entry, and can change the promotional path for approval.</w:t>
            </w:r>
          </w:p>
        </w:tc>
      </w:tr>
      <w:tr w:rsidR="0029346A" w14:paraId="2FDE8974"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10B4059" w14:textId="61D49325" w:rsidR="0029346A" w:rsidRDefault="0029346A" w:rsidP="0029346A">
            <w:pPr>
              <w:spacing w:after="0"/>
              <w:rPr>
                <w:szCs w:val="24"/>
              </w:rPr>
            </w:pPr>
            <w:r>
              <w:rPr>
                <w:szCs w:val="24"/>
              </w:rPr>
              <w:t>FR84</w:t>
            </w:r>
          </w:p>
        </w:tc>
        <w:tc>
          <w:tcPr>
            <w:tcW w:w="8280" w:type="dxa"/>
            <w:tcBorders>
              <w:top w:val="single" w:sz="4" w:space="0" w:color="auto"/>
              <w:left w:val="single" w:sz="4" w:space="0" w:color="auto"/>
              <w:bottom w:val="single" w:sz="4" w:space="0" w:color="auto"/>
              <w:right w:val="single" w:sz="4" w:space="0" w:color="auto"/>
            </w:tcBorders>
          </w:tcPr>
          <w:p w14:paraId="27B041F1" w14:textId="1DCD42CF" w:rsidR="0029346A" w:rsidRDefault="0029346A" w:rsidP="0029346A">
            <w:pPr>
              <w:spacing w:after="0"/>
              <w:rPr>
                <w:szCs w:val="24"/>
              </w:rPr>
            </w:pPr>
            <w:r>
              <w:rPr>
                <w:szCs w:val="24"/>
              </w:rPr>
              <w:t>NSW must save validation rules with the versioning controls.</w:t>
            </w:r>
          </w:p>
        </w:tc>
      </w:tr>
      <w:tr w:rsidR="0029346A" w14:paraId="6593022A"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74BF063" w14:textId="6688B093" w:rsidR="0029346A" w:rsidRDefault="0029346A" w:rsidP="0029346A">
            <w:pPr>
              <w:spacing w:after="0"/>
              <w:rPr>
                <w:szCs w:val="24"/>
              </w:rPr>
            </w:pPr>
            <w:r>
              <w:rPr>
                <w:szCs w:val="24"/>
              </w:rPr>
              <w:t>FR85</w:t>
            </w:r>
          </w:p>
        </w:tc>
        <w:tc>
          <w:tcPr>
            <w:tcW w:w="8280" w:type="dxa"/>
            <w:tcBorders>
              <w:top w:val="single" w:sz="4" w:space="0" w:color="auto"/>
              <w:left w:val="single" w:sz="4" w:space="0" w:color="auto"/>
              <w:bottom w:val="single" w:sz="4" w:space="0" w:color="auto"/>
              <w:right w:val="single" w:sz="4" w:space="0" w:color="auto"/>
            </w:tcBorders>
          </w:tcPr>
          <w:p w14:paraId="0751BB81" w14:textId="24EAEC25" w:rsidR="0029346A" w:rsidRDefault="0029346A" w:rsidP="0029346A">
            <w:pPr>
              <w:spacing w:after="0"/>
              <w:rPr>
                <w:szCs w:val="24"/>
              </w:rPr>
            </w:pPr>
            <w:r>
              <w:rPr>
                <w:szCs w:val="24"/>
              </w:rPr>
              <w:t xml:space="preserve">The NSW must have interfaces with other ICT systems of Government Agencies for data validation (e.g., other customs systems, Business Identification </w:t>
            </w:r>
            <w:proofErr w:type="gramStart"/>
            <w:r>
              <w:rPr>
                <w:szCs w:val="24"/>
              </w:rPr>
              <w:t>Number</w:t>
            </w:r>
            <w:proofErr w:type="gramEnd"/>
            <w:r>
              <w:rPr>
                <w:szCs w:val="24"/>
              </w:rPr>
              <w:t xml:space="preserve"> and civil identity registers).</w:t>
            </w:r>
          </w:p>
        </w:tc>
      </w:tr>
      <w:tr w:rsidR="0029346A" w14:paraId="3091BD89"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53C6F397" w14:textId="6371FAC4" w:rsidR="0029346A" w:rsidRDefault="0029346A" w:rsidP="0029346A">
            <w:pPr>
              <w:spacing w:after="0"/>
              <w:rPr>
                <w:szCs w:val="24"/>
              </w:rPr>
            </w:pPr>
            <w:r>
              <w:rPr>
                <w:szCs w:val="24"/>
              </w:rPr>
              <w:lastRenderedPageBreak/>
              <w:t>FR86</w:t>
            </w:r>
          </w:p>
        </w:tc>
        <w:tc>
          <w:tcPr>
            <w:tcW w:w="8280" w:type="dxa"/>
            <w:tcBorders>
              <w:top w:val="single" w:sz="4" w:space="0" w:color="auto"/>
              <w:left w:val="single" w:sz="4" w:space="0" w:color="auto"/>
              <w:bottom w:val="single" w:sz="4" w:space="0" w:color="auto"/>
              <w:right w:val="single" w:sz="4" w:space="0" w:color="auto"/>
            </w:tcBorders>
          </w:tcPr>
          <w:p w14:paraId="127BC06C" w14:textId="005A3A9C" w:rsidR="0029346A" w:rsidRDefault="0029346A" w:rsidP="0029346A">
            <w:pPr>
              <w:spacing w:after="0"/>
              <w:rPr>
                <w:szCs w:val="24"/>
              </w:rPr>
            </w:pPr>
            <w:r>
              <w:rPr>
                <w:szCs w:val="24"/>
              </w:rPr>
              <w:t>NSW System must provide the NSW System Administrator to define and create access for all CBRA agencies.</w:t>
            </w:r>
          </w:p>
        </w:tc>
      </w:tr>
      <w:tr w:rsidR="0029346A" w14:paraId="446D51A5"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F8E897C" w14:textId="33FB6C06" w:rsidR="0029346A" w:rsidRDefault="0029346A" w:rsidP="0029346A">
            <w:pPr>
              <w:spacing w:after="0"/>
              <w:rPr>
                <w:szCs w:val="24"/>
              </w:rPr>
            </w:pPr>
            <w:r>
              <w:rPr>
                <w:szCs w:val="24"/>
              </w:rPr>
              <w:t>FR89</w:t>
            </w:r>
          </w:p>
        </w:tc>
        <w:tc>
          <w:tcPr>
            <w:tcW w:w="8280" w:type="dxa"/>
            <w:tcBorders>
              <w:top w:val="single" w:sz="4" w:space="0" w:color="auto"/>
              <w:left w:val="single" w:sz="4" w:space="0" w:color="auto"/>
              <w:bottom w:val="single" w:sz="4" w:space="0" w:color="auto"/>
              <w:right w:val="single" w:sz="4" w:space="0" w:color="auto"/>
            </w:tcBorders>
          </w:tcPr>
          <w:p w14:paraId="6A3D1576" w14:textId="7CEC7AC5" w:rsidR="0029346A" w:rsidRDefault="0029346A" w:rsidP="0029346A">
            <w:pPr>
              <w:spacing w:after="0"/>
              <w:rPr>
                <w:szCs w:val="24"/>
              </w:rPr>
            </w:pPr>
            <w:r>
              <w:rPr>
                <w:szCs w:val="24"/>
              </w:rPr>
              <w:t>For each CBRA registrant, the NSW system must provide for the user’s role to be defined so that appropriate user access authentication and authorization shall be accorded.</w:t>
            </w:r>
          </w:p>
        </w:tc>
      </w:tr>
      <w:tr w:rsidR="0029346A" w14:paraId="3F3B9624" w14:textId="77777777" w:rsidTr="001136D3">
        <w:tc>
          <w:tcPr>
            <w:tcW w:w="1075" w:type="dxa"/>
            <w:tcBorders>
              <w:top w:val="single" w:sz="4" w:space="0" w:color="auto"/>
              <w:left w:val="single" w:sz="4" w:space="0" w:color="auto"/>
              <w:bottom w:val="single" w:sz="4" w:space="0" w:color="auto"/>
              <w:right w:val="single" w:sz="4" w:space="0" w:color="auto"/>
            </w:tcBorders>
          </w:tcPr>
          <w:p w14:paraId="78D39B9E" w14:textId="77777777" w:rsidR="0029346A" w:rsidRDefault="0029346A" w:rsidP="0029346A">
            <w:pPr>
              <w:spacing w:after="0"/>
              <w:rPr>
                <w:szCs w:val="24"/>
              </w:rPr>
            </w:pPr>
            <w:r>
              <w:rPr>
                <w:szCs w:val="24"/>
              </w:rPr>
              <w:t>FR92</w:t>
            </w:r>
          </w:p>
          <w:p w14:paraId="66FA64B5" w14:textId="77777777" w:rsidR="0029346A" w:rsidRDefault="0029346A" w:rsidP="0029346A">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2EF67036" w14:textId="0EBE429A" w:rsidR="0029346A" w:rsidRDefault="0029346A" w:rsidP="0029346A">
            <w:pPr>
              <w:spacing w:after="0"/>
              <w:rPr>
                <w:szCs w:val="24"/>
              </w:rPr>
            </w:pPr>
            <w:r>
              <w:rPr>
                <w:szCs w:val="24"/>
              </w:rPr>
              <w:t xml:space="preserve">The NSW System functionality must provide the NSW System Administrator to define and create categories of Information Services Consumers/users. </w:t>
            </w:r>
          </w:p>
        </w:tc>
      </w:tr>
      <w:tr w:rsidR="0029346A" w14:paraId="363FE93E" w14:textId="77777777" w:rsidTr="001136D3">
        <w:tc>
          <w:tcPr>
            <w:tcW w:w="1075" w:type="dxa"/>
            <w:tcBorders>
              <w:top w:val="single" w:sz="4" w:space="0" w:color="auto"/>
              <w:left w:val="single" w:sz="4" w:space="0" w:color="auto"/>
              <w:bottom w:val="single" w:sz="4" w:space="0" w:color="auto"/>
              <w:right w:val="single" w:sz="4" w:space="0" w:color="auto"/>
            </w:tcBorders>
          </w:tcPr>
          <w:p w14:paraId="092581DF" w14:textId="77777777" w:rsidR="0029346A" w:rsidRDefault="0029346A" w:rsidP="0029346A">
            <w:pPr>
              <w:spacing w:after="0"/>
              <w:rPr>
                <w:szCs w:val="24"/>
              </w:rPr>
            </w:pPr>
            <w:r>
              <w:rPr>
                <w:szCs w:val="24"/>
              </w:rPr>
              <w:t>FR93</w:t>
            </w:r>
          </w:p>
          <w:p w14:paraId="359C3D3F" w14:textId="77777777" w:rsidR="0029346A" w:rsidRDefault="0029346A" w:rsidP="0029346A">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45E67C6B" w14:textId="0AE16C0C" w:rsidR="0029346A" w:rsidRDefault="0029346A" w:rsidP="0029346A">
            <w:pPr>
              <w:spacing w:after="0"/>
              <w:rPr>
                <w:szCs w:val="24"/>
              </w:rPr>
            </w:pPr>
            <w:r>
              <w:rPr>
                <w:szCs w:val="24"/>
              </w:rPr>
              <w:t xml:space="preserve">The NSW System must provide these as new Information Services Consumers registrants to apply via an online registration. The system shall allow for amendments, updates, </w:t>
            </w:r>
            <w:proofErr w:type="gramStart"/>
            <w:r>
              <w:rPr>
                <w:szCs w:val="24"/>
              </w:rPr>
              <w:t>renewal</w:t>
            </w:r>
            <w:proofErr w:type="gramEnd"/>
            <w:r>
              <w:rPr>
                <w:szCs w:val="24"/>
              </w:rPr>
              <w:t xml:space="preserve"> and cancellation of the registration.</w:t>
            </w:r>
          </w:p>
        </w:tc>
      </w:tr>
      <w:tr w:rsidR="0029346A" w14:paraId="2F2A365B" w14:textId="77777777" w:rsidTr="001136D3">
        <w:tc>
          <w:tcPr>
            <w:tcW w:w="1075" w:type="dxa"/>
            <w:tcBorders>
              <w:top w:val="single" w:sz="4" w:space="0" w:color="auto"/>
              <w:left w:val="single" w:sz="4" w:space="0" w:color="auto"/>
              <w:bottom w:val="single" w:sz="4" w:space="0" w:color="auto"/>
              <w:right w:val="single" w:sz="4" w:space="0" w:color="auto"/>
            </w:tcBorders>
          </w:tcPr>
          <w:p w14:paraId="4CE3B73B" w14:textId="04FAC98D" w:rsidR="0029346A" w:rsidRDefault="0029346A" w:rsidP="0029346A">
            <w:pPr>
              <w:spacing w:after="0"/>
              <w:rPr>
                <w:szCs w:val="24"/>
              </w:rPr>
            </w:pPr>
            <w:r>
              <w:rPr>
                <w:szCs w:val="24"/>
              </w:rPr>
              <w:t>FR94</w:t>
            </w:r>
          </w:p>
        </w:tc>
        <w:tc>
          <w:tcPr>
            <w:tcW w:w="8280" w:type="dxa"/>
            <w:tcBorders>
              <w:top w:val="single" w:sz="4" w:space="0" w:color="auto"/>
              <w:left w:val="single" w:sz="4" w:space="0" w:color="auto"/>
              <w:bottom w:val="single" w:sz="4" w:space="0" w:color="auto"/>
              <w:right w:val="single" w:sz="4" w:space="0" w:color="auto"/>
            </w:tcBorders>
          </w:tcPr>
          <w:p w14:paraId="56F925C1" w14:textId="04864314" w:rsidR="0029346A" w:rsidRDefault="0029346A" w:rsidP="0029346A">
            <w:pPr>
              <w:spacing w:after="0"/>
              <w:rPr>
                <w:szCs w:val="24"/>
              </w:rPr>
            </w:pPr>
            <w:r>
              <w:rPr>
                <w:szCs w:val="24"/>
              </w:rPr>
              <w:t>The NSW System must provide an email/ text messages to the Information Services Consumers registrant notifying regarding their data migration in NSW along with a temporary login access for verifying and updating their details.</w:t>
            </w:r>
          </w:p>
        </w:tc>
      </w:tr>
      <w:tr w:rsidR="0029346A" w14:paraId="5DA86CBE"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0174015A" w14:textId="2DC809AB" w:rsidR="0029346A" w:rsidRDefault="0029346A" w:rsidP="0029346A">
            <w:pPr>
              <w:spacing w:after="0"/>
              <w:rPr>
                <w:szCs w:val="24"/>
              </w:rPr>
            </w:pPr>
            <w:r>
              <w:rPr>
                <w:szCs w:val="24"/>
              </w:rPr>
              <w:t>FR95</w:t>
            </w:r>
          </w:p>
        </w:tc>
        <w:tc>
          <w:tcPr>
            <w:tcW w:w="8280" w:type="dxa"/>
            <w:tcBorders>
              <w:top w:val="single" w:sz="4" w:space="0" w:color="auto"/>
              <w:left w:val="single" w:sz="4" w:space="0" w:color="auto"/>
              <w:bottom w:val="single" w:sz="4" w:space="0" w:color="auto"/>
              <w:right w:val="single" w:sz="4" w:space="0" w:color="auto"/>
            </w:tcBorders>
          </w:tcPr>
          <w:p w14:paraId="5A648753" w14:textId="03910F2B" w:rsidR="0029346A" w:rsidRDefault="0029346A" w:rsidP="0029346A">
            <w:pPr>
              <w:spacing w:after="0"/>
              <w:rPr>
                <w:szCs w:val="24"/>
              </w:rPr>
            </w:pPr>
            <w:r>
              <w:rPr>
                <w:szCs w:val="24"/>
              </w:rPr>
              <w:t>For each Information Services Consumers registrant, the NSW System shall provide for the user’s role to be defined so that appropriate user access authentication and authorization shall be accorded.</w:t>
            </w:r>
          </w:p>
        </w:tc>
      </w:tr>
      <w:tr w:rsidR="0029346A" w14:paraId="5417A2B3"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6D7A830F" w14:textId="28ED5B64" w:rsidR="0029346A" w:rsidRDefault="0029346A" w:rsidP="0029346A">
            <w:pPr>
              <w:spacing w:after="0"/>
              <w:rPr>
                <w:szCs w:val="24"/>
              </w:rPr>
            </w:pPr>
            <w:r>
              <w:rPr>
                <w:szCs w:val="24"/>
              </w:rPr>
              <w:t>FR97</w:t>
            </w:r>
          </w:p>
        </w:tc>
        <w:tc>
          <w:tcPr>
            <w:tcW w:w="8280" w:type="dxa"/>
            <w:tcBorders>
              <w:top w:val="single" w:sz="4" w:space="0" w:color="auto"/>
              <w:left w:val="single" w:sz="4" w:space="0" w:color="auto"/>
              <w:bottom w:val="single" w:sz="4" w:space="0" w:color="auto"/>
              <w:right w:val="single" w:sz="4" w:space="0" w:color="auto"/>
            </w:tcBorders>
          </w:tcPr>
          <w:p w14:paraId="1002BCF4" w14:textId="545AEF86" w:rsidR="0029346A" w:rsidRDefault="0029346A" w:rsidP="0029346A">
            <w:pPr>
              <w:spacing w:after="0"/>
              <w:rPr>
                <w:szCs w:val="24"/>
              </w:rPr>
            </w:pPr>
            <w:r>
              <w:rPr>
                <w:szCs w:val="24"/>
              </w:rPr>
              <w:t>The NSW system must cater for the NSW Operator to manage and administrate all registrants, including providing configurable rules to set, for e.g., time validity, cancellation or blocking of any registered user, person, employee, stakeholder administrator and CBRA user.</w:t>
            </w:r>
          </w:p>
        </w:tc>
      </w:tr>
      <w:tr w:rsidR="0029346A" w14:paraId="45E22E79"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29C98080" w14:textId="3FA3C8B6" w:rsidR="0029346A" w:rsidRDefault="0029346A" w:rsidP="0029346A">
            <w:pPr>
              <w:spacing w:after="0"/>
              <w:rPr>
                <w:szCs w:val="24"/>
              </w:rPr>
            </w:pPr>
            <w:r>
              <w:rPr>
                <w:szCs w:val="24"/>
              </w:rPr>
              <w:t>FR98</w:t>
            </w:r>
          </w:p>
        </w:tc>
        <w:tc>
          <w:tcPr>
            <w:tcW w:w="8280" w:type="dxa"/>
            <w:tcBorders>
              <w:top w:val="single" w:sz="4" w:space="0" w:color="auto"/>
              <w:left w:val="single" w:sz="4" w:space="0" w:color="auto"/>
              <w:bottom w:val="single" w:sz="4" w:space="0" w:color="auto"/>
              <w:right w:val="single" w:sz="4" w:space="0" w:color="auto"/>
            </w:tcBorders>
          </w:tcPr>
          <w:p w14:paraId="32536F50" w14:textId="08E964CF" w:rsidR="0029346A" w:rsidRDefault="0029346A" w:rsidP="0029346A">
            <w:pPr>
              <w:spacing w:after="0"/>
              <w:rPr>
                <w:szCs w:val="24"/>
              </w:rPr>
            </w:pPr>
            <w:r>
              <w:rPr>
                <w:szCs w:val="24"/>
              </w:rPr>
              <w:t>The NSW system must support the grouping of users into named groups. A user’s group can contain either a list of users or groups or a combination of these two.</w:t>
            </w:r>
          </w:p>
        </w:tc>
      </w:tr>
      <w:tr w:rsidR="0029346A" w14:paraId="0AE8A17C"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11DACB4" w14:textId="7CCCFEA9" w:rsidR="0029346A" w:rsidRDefault="0029346A" w:rsidP="0029346A">
            <w:pPr>
              <w:spacing w:after="0"/>
              <w:rPr>
                <w:szCs w:val="24"/>
              </w:rPr>
            </w:pPr>
            <w:r>
              <w:rPr>
                <w:szCs w:val="24"/>
              </w:rPr>
              <w:t>FR99</w:t>
            </w:r>
          </w:p>
        </w:tc>
        <w:tc>
          <w:tcPr>
            <w:tcW w:w="8280" w:type="dxa"/>
            <w:tcBorders>
              <w:top w:val="single" w:sz="4" w:space="0" w:color="auto"/>
              <w:left w:val="single" w:sz="4" w:space="0" w:color="auto"/>
              <w:bottom w:val="single" w:sz="4" w:space="0" w:color="auto"/>
              <w:right w:val="single" w:sz="4" w:space="0" w:color="auto"/>
            </w:tcBorders>
          </w:tcPr>
          <w:p w14:paraId="3A773993" w14:textId="5F5292B4" w:rsidR="0029346A" w:rsidRDefault="0029346A" w:rsidP="0029346A">
            <w:pPr>
              <w:spacing w:after="0"/>
              <w:rPr>
                <w:szCs w:val="24"/>
              </w:rPr>
            </w:pPr>
            <w:r>
              <w:rPr>
                <w:szCs w:val="24"/>
              </w:rPr>
              <w:t xml:space="preserve">The NSW system must support distributed administration meaning that </w:t>
            </w:r>
            <w:proofErr w:type="gramStart"/>
            <w:r>
              <w:rPr>
                <w:szCs w:val="24"/>
              </w:rPr>
              <w:t>a</w:t>
            </w:r>
            <w:proofErr w:type="gramEnd"/>
            <w:r>
              <w:rPr>
                <w:szCs w:val="24"/>
              </w:rPr>
              <w:t xml:space="preserve"> NSW system administrator has the authority to manage only users that belongs to a specific grouping or organization, etc.</w:t>
            </w:r>
          </w:p>
        </w:tc>
      </w:tr>
      <w:tr w:rsidR="0029346A" w14:paraId="6DE99939"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1987C6CD" w14:textId="7DD2E039" w:rsidR="0029346A" w:rsidRDefault="0029346A" w:rsidP="0029346A">
            <w:pPr>
              <w:spacing w:after="0"/>
              <w:rPr>
                <w:szCs w:val="24"/>
              </w:rPr>
            </w:pPr>
            <w:r>
              <w:rPr>
                <w:szCs w:val="24"/>
              </w:rPr>
              <w:t>FR100</w:t>
            </w:r>
          </w:p>
        </w:tc>
        <w:tc>
          <w:tcPr>
            <w:tcW w:w="8280" w:type="dxa"/>
            <w:tcBorders>
              <w:top w:val="single" w:sz="4" w:space="0" w:color="auto"/>
              <w:left w:val="single" w:sz="4" w:space="0" w:color="auto"/>
              <w:bottom w:val="single" w:sz="4" w:space="0" w:color="auto"/>
              <w:right w:val="single" w:sz="4" w:space="0" w:color="auto"/>
            </w:tcBorders>
          </w:tcPr>
          <w:p w14:paraId="08E25528" w14:textId="24EC2C31" w:rsidR="0029346A" w:rsidRDefault="0029346A" w:rsidP="005D3319">
            <w:pPr>
              <w:spacing w:after="0"/>
              <w:rPr>
                <w:szCs w:val="24"/>
              </w:rPr>
            </w:pPr>
            <w:r>
              <w:rPr>
                <w:szCs w:val="24"/>
              </w:rPr>
              <w:t xml:space="preserve">The principal NSW system administrator can authorize administrator privileges to sub administrators of users belonging to a specific grouping or organization. An NSW sub administrator can be authorized to manage users </w:t>
            </w:r>
            <w:r w:rsidRPr="005D3319">
              <w:rPr>
                <w:szCs w:val="24"/>
              </w:rPr>
              <w:t>in more than</w:t>
            </w:r>
            <w:r>
              <w:rPr>
                <w:szCs w:val="24"/>
              </w:rPr>
              <w:t xml:space="preserve"> one group </w:t>
            </w:r>
            <w:r w:rsidR="005D3319">
              <w:rPr>
                <w:szCs w:val="24"/>
              </w:rPr>
              <w:t xml:space="preserve">in the same </w:t>
            </w:r>
            <w:r>
              <w:rPr>
                <w:szCs w:val="24"/>
              </w:rPr>
              <w:t>organization.</w:t>
            </w:r>
          </w:p>
        </w:tc>
      </w:tr>
      <w:tr w:rsidR="0029346A" w14:paraId="4AFD8B57"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5A81AAA" w14:textId="27B4ED9B" w:rsidR="0029346A" w:rsidRDefault="0029346A" w:rsidP="0029346A">
            <w:pPr>
              <w:spacing w:after="0"/>
              <w:rPr>
                <w:szCs w:val="24"/>
              </w:rPr>
            </w:pPr>
            <w:r>
              <w:rPr>
                <w:szCs w:val="24"/>
              </w:rPr>
              <w:t>FR101</w:t>
            </w:r>
          </w:p>
        </w:tc>
        <w:tc>
          <w:tcPr>
            <w:tcW w:w="8280" w:type="dxa"/>
            <w:tcBorders>
              <w:top w:val="single" w:sz="4" w:space="0" w:color="auto"/>
              <w:left w:val="single" w:sz="4" w:space="0" w:color="auto"/>
              <w:bottom w:val="single" w:sz="4" w:space="0" w:color="auto"/>
              <w:right w:val="single" w:sz="4" w:space="0" w:color="auto"/>
            </w:tcBorders>
          </w:tcPr>
          <w:p w14:paraId="0D13C873" w14:textId="055147ED" w:rsidR="0029346A" w:rsidRDefault="0029346A" w:rsidP="0029346A">
            <w:pPr>
              <w:spacing w:after="0"/>
              <w:rPr>
                <w:szCs w:val="24"/>
              </w:rPr>
            </w:pPr>
            <w:r>
              <w:rPr>
                <w:szCs w:val="24"/>
              </w:rPr>
              <w:t xml:space="preserve">The NSW System must provide a configurable notification service to be set up by the NSW system administrator, to provide notification </w:t>
            </w:r>
            <w:proofErr w:type="gramStart"/>
            <w:r>
              <w:rPr>
                <w:szCs w:val="24"/>
              </w:rPr>
              <w:t>message</w:t>
            </w:r>
            <w:proofErr w:type="gramEnd"/>
            <w:r>
              <w:rPr>
                <w:szCs w:val="24"/>
              </w:rPr>
              <w:t xml:space="preserve"> to the registrant. Upon approval, the successful stakeholder shall be provided a registration number as well as the associated QR code for each registered stakeholder, person, employee, and stakeholder administrator, for subsequent login purposes.</w:t>
            </w:r>
          </w:p>
        </w:tc>
      </w:tr>
      <w:tr w:rsidR="0029346A" w14:paraId="157927C8"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7BD75ED8" w14:textId="1A4112FC" w:rsidR="0029346A" w:rsidRDefault="0029346A" w:rsidP="0029346A">
            <w:pPr>
              <w:spacing w:after="0"/>
              <w:rPr>
                <w:szCs w:val="24"/>
              </w:rPr>
            </w:pPr>
            <w:r>
              <w:rPr>
                <w:szCs w:val="24"/>
              </w:rPr>
              <w:t>FR102</w:t>
            </w:r>
          </w:p>
        </w:tc>
        <w:tc>
          <w:tcPr>
            <w:tcW w:w="8280" w:type="dxa"/>
            <w:tcBorders>
              <w:top w:val="single" w:sz="4" w:space="0" w:color="auto"/>
              <w:left w:val="single" w:sz="4" w:space="0" w:color="auto"/>
              <w:bottom w:val="single" w:sz="4" w:space="0" w:color="auto"/>
              <w:right w:val="single" w:sz="4" w:space="0" w:color="auto"/>
            </w:tcBorders>
          </w:tcPr>
          <w:p w14:paraId="105E874C" w14:textId="12AFAF5A" w:rsidR="0029346A" w:rsidRDefault="0029346A" w:rsidP="0029346A">
            <w:pPr>
              <w:spacing w:after="0"/>
              <w:rPr>
                <w:szCs w:val="24"/>
              </w:rPr>
            </w:pPr>
            <w:r>
              <w:rPr>
                <w:szCs w:val="24"/>
              </w:rPr>
              <w:t>For each registered user the NSW system shall provide the system administrator to define the maximum number of employees authorized as NSW users under the entity. The defined number shall be configurable by the NSW System Administrator.</w:t>
            </w:r>
          </w:p>
        </w:tc>
      </w:tr>
      <w:tr w:rsidR="0029346A" w14:paraId="7EF5E570"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63F7EDD5" w14:textId="78E6BCE0" w:rsidR="0029346A" w:rsidRDefault="0029346A" w:rsidP="0029346A">
            <w:pPr>
              <w:spacing w:after="0"/>
              <w:rPr>
                <w:szCs w:val="24"/>
              </w:rPr>
            </w:pPr>
            <w:r>
              <w:rPr>
                <w:szCs w:val="24"/>
              </w:rPr>
              <w:t>FR103</w:t>
            </w:r>
          </w:p>
        </w:tc>
        <w:tc>
          <w:tcPr>
            <w:tcW w:w="8280" w:type="dxa"/>
            <w:tcBorders>
              <w:top w:val="single" w:sz="4" w:space="0" w:color="auto"/>
              <w:left w:val="single" w:sz="4" w:space="0" w:color="auto"/>
              <w:bottom w:val="single" w:sz="4" w:space="0" w:color="auto"/>
              <w:right w:val="single" w:sz="4" w:space="0" w:color="auto"/>
            </w:tcBorders>
          </w:tcPr>
          <w:p w14:paraId="396BFDD7" w14:textId="6BD487C1" w:rsidR="0029346A" w:rsidRDefault="0029346A" w:rsidP="0029346A">
            <w:pPr>
              <w:spacing w:after="0"/>
              <w:rPr>
                <w:szCs w:val="24"/>
              </w:rPr>
            </w:pPr>
            <w:r>
              <w:rPr>
                <w:szCs w:val="24"/>
              </w:rPr>
              <w:t xml:space="preserve">The NSW System must </w:t>
            </w:r>
            <w:proofErr w:type="gramStart"/>
            <w:r>
              <w:rPr>
                <w:szCs w:val="24"/>
              </w:rPr>
              <w:t>provide for</w:t>
            </w:r>
            <w:proofErr w:type="gramEnd"/>
            <w:r>
              <w:rPr>
                <w:szCs w:val="24"/>
              </w:rPr>
              <w:t xml:space="preserve"> a configurable workflow to facilitate processing of the registration by the NSW Operator, with the final approval to be provided by an appropriate competent authority. </w:t>
            </w:r>
          </w:p>
        </w:tc>
      </w:tr>
      <w:tr w:rsidR="0029346A" w14:paraId="77F32800" w14:textId="77777777" w:rsidTr="001136D3">
        <w:tc>
          <w:tcPr>
            <w:tcW w:w="1075" w:type="dxa"/>
            <w:tcBorders>
              <w:top w:val="single" w:sz="4" w:space="0" w:color="auto"/>
              <w:left w:val="single" w:sz="4" w:space="0" w:color="auto"/>
              <w:bottom w:val="single" w:sz="4" w:space="0" w:color="auto"/>
              <w:right w:val="single" w:sz="4" w:space="0" w:color="auto"/>
            </w:tcBorders>
            <w:vAlign w:val="bottom"/>
          </w:tcPr>
          <w:p w14:paraId="3A6FECB4" w14:textId="5368DA2B" w:rsidR="0029346A" w:rsidRDefault="0029346A" w:rsidP="0029346A">
            <w:pPr>
              <w:spacing w:after="0"/>
              <w:rPr>
                <w:szCs w:val="24"/>
              </w:rPr>
            </w:pPr>
            <w:r>
              <w:rPr>
                <w:szCs w:val="24"/>
              </w:rPr>
              <w:t>FR104</w:t>
            </w:r>
          </w:p>
        </w:tc>
        <w:tc>
          <w:tcPr>
            <w:tcW w:w="8280" w:type="dxa"/>
            <w:tcBorders>
              <w:top w:val="single" w:sz="4" w:space="0" w:color="auto"/>
              <w:left w:val="single" w:sz="4" w:space="0" w:color="auto"/>
              <w:bottom w:val="single" w:sz="4" w:space="0" w:color="auto"/>
              <w:right w:val="single" w:sz="4" w:space="0" w:color="auto"/>
            </w:tcBorders>
          </w:tcPr>
          <w:p w14:paraId="72D88855" w14:textId="5B4B60BE" w:rsidR="0029346A" w:rsidRDefault="0029346A" w:rsidP="0029346A">
            <w:pPr>
              <w:spacing w:after="0"/>
              <w:rPr>
                <w:szCs w:val="24"/>
              </w:rPr>
            </w:pPr>
            <w:r>
              <w:rPr>
                <w:szCs w:val="24"/>
              </w:rPr>
              <w:t>The NSW system must support grouping privileges into named privilege groups. A privilege group can contain either a list of privileges or privilege groups. The system must enable a user’s privileges to be expressed either as a list of individual privileges and/or as a list of privileges groups.</w:t>
            </w:r>
          </w:p>
        </w:tc>
      </w:tr>
      <w:tr w:rsidR="00475A4C" w14:paraId="5A048973" w14:textId="77777777" w:rsidTr="001136D3">
        <w:tc>
          <w:tcPr>
            <w:tcW w:w="1075" w:type="dxa"/>
            <w:tcBorders>
              <w:top w:val="single" w:sz="4" w:space="0" w:color="auto"/>
              <w:left w:val="single" w:sz="4" w:space="0" w:color="auto"/>
              <w:bottom w:val="single" w:sz="4" w:space="0" w:color="auto"/>
              <w:right w:val="single" w:sz="4" w:space="0" w:color="auto"/>
            </w:tcBorders>
          </w:tcPr>
          <w:p w14:paraId="55E50B65" w14:textId="7F9D662D" w:rsidR="00475A4C" w:rsidRDefault="00475A4C" w:rsidP="00475A4C">
            <w:pPr>
              <w:spacing w:after="0"/>
              <w:rPr>
                <w:szCs w:val="24"/>
              </w:rPr>
            </w:pPr>
            <w:r>
              <w:rPr>
                <w:szCs w:val="24"/>
              </w:rPr>
              <w:lastRenderedPageBreak/>
              <w:t>FR135</w:t>
            </w:r>
          </w:p>
        </w:tc>
        <w:tc>
          <w:tcPr>
            <w:tcW w:w="8280" w:type="dxa"/>
            <w:tcBorders>
              <w:top w:val="single" w:sz="4" w:space="0" w:color="auto"/>
              <w:left w:val="single" w:sz="4" w:space="0" w:color="auto"/>
              <w:bottom w:val="single" w:sz="4" w:space="0" w:color="auto"/>
              <w:right w:val="single" w:sz="4" w:space="0" w:color="auto"/>
            </w:tcBorders>
          </w:tcPr>
          <w:p w14:paraId="4EF2F742" w14:textId="406F0EF3" w:rsidR="00475A4C" w:rsidRDefault="00475A4C" w:rsidP="00475A4C">
            <w:pPr>
              <w:spacing w:after="0"/>
              <w:rPr>
                <w:szCs w:val="24"/>
              </w:rPr>
            </w:pPr>
            <w:r>
              <w:rPr>
                <w:szCs w:val="24"/>
              </w:rPr>
              <w:t xml:space="preserve">The CBRA staff can check the trader information by viewing the profile of a registered user via the Registration functionality. </w:t>
            </w:r>
            <w:r w:rsidRPr="005E0FA9">
              <w:rPr>
                <w:szCs w:val="24"/>
              </w:rPr>
              <w:t>CBRA staff can also view the related cargo information for selected application or the issued LPCO</w:t>
            </w:r>
            <w:r w:rsidRPr="005E0FA9">
              <w:rPr>
                <w:color w:val="FF0000"/>
                <w:szCs w:val="24"/>
              </w:rPr>
              <w:t>.</w:t>
            </w:r>
          </w:p>
        </w:tc>
      </w:tr>
      <w:tr w:rsidR="00475A4C" w14:paraId="7E40E187" w14:textId="77777777" w:rsidTr="001136D3">
        <w:tc>
          <w:tcPr>
            <w:tcW w:w="1075" w:type="dxa"/>
            <w:tcBorders>
              <w:top w:val="single" w:sz="4" w:space="0" w:color="auto"/>
              <w:left w:val="single" w:sz="4" w:space="0" w:color="auto"/>
              <w:bottom w:val="single" w:sz="4" w:space="0" w:color="auto"/>
              <w:right w:val="single" w:sz="4" w:space="0" w:color="auto"/>
            </w:tcBorders>
          </w:tcPr>
          <w:p w14:paraId="46528368" w14:textId="77777777" w:rsidR="00475A4C" w:rsidRDefault="00475A4C" w:rsidP="00475A4C">
            <w:pPr>
              <w:spacing w:after="0"/>
              <w:rPr>
                <w:szCs w:val="24"/>
              </w:rPr>
            </w:pPr>
            <w:r>
              <w:rPr>
                <w:szCs w:val="24"/>
              </w:rPr>
              <w:t>FR156</w:t>
            </w:r>
          </w:p>
          <w:p w14:paraId="66880CEA" w14:textId="77777777" w:rsidR="00475A4C" w:rsidRDefault="00475A4C" w:rsidP="00475A4C">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0C644893" w14:textId="351C051B" w:rsidR="00475A4C" w:rsidRDefault="00475A4C" w:rsidP="00475A4C">
            <w:pPr>
              <w:spacing w:after="0"/>
              <w:rPr>
                <w:szCs w:val="24"/>
              </w:rPr>
            </w:pPr>
            <w:r>
              <w:rPr>
                <w:szCs w:val="24"/>
              </w:rPr>
              <w:t>NSW</w:t>
            </w:r>
            <w:r w:rsidR="0026442C">
              <w:rPr>
                <w:szCs w:val="24"/>
              </w:rPr>
              <w:t xml:space="preserve"> </w:t>
            </w:r>
            <w:r>
              <w:rPr>
                <w:szCs w:val="24"/>
              </w:rPr>
              <w:t>Portal must provide for the NSW Operator to assign a CBRA administrator as per request from the CBRA.</w:t>
            </w:r>
          </w:p>
        </w:tc>
      </w:tr>
      <w:tr w:rsidR="00475A4C" w14:paraId="3BE6EABF" w14:textId="77777777" w:rsidTr="001136D3">
        <w:tc>
          <w:tcPr>
            <w:tcW w:w="1075" w:type="dxa"/>
            <w:tcBorders>
              <w:top w:val="single" w:sz="4" w:space="0" w:color="auto"/>
              <w:left w:val="single" w:sz="4" w:space="0" w:color="auto"/>
              <w:bottom w:val="single" w:sz="4" w:space="0" w:color="auto"/>
              <w:right w:val="single" w:sz="4" w:space="0" w:color="auto"/>
            </w:tcBorders>
          </w:tcPr>
          <w:p w14:paraId="1A18E5BE" w14:textId="77777777" w:rsidR="00475A4C" w:rsidRDefault="00475A4C" w:rsidP="00475A4C">
            <w:pPr>
              <w:spacing w:after="0"/>
              <w:rPr>
                <w:szCs w:val="24"/>
              </w:rPr>
            </w:pPr>
            <w:r>
              <w:rPr>
                <w:szCs w:val="24"/>
              </w:rPr>
              <w:t>FR157</w:t>
            </w:r>
          </w:p>
          <w:p w14:paraId="48325A80" w14:textId="77777777" w:rsidR="00475A4C" w:rsidRDefault="00475A4C" w:rsidP="00475A4C">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4EC6CE58" w14:textId="77777777" w:rsidR="00475A4C" w:rsidRDefault="00475A4C" w:rsidP="00475A4C">
            <w:pPr>
              <w:spacing w:after="0"/>
              <w:rPr>
                <w:szCs w:val="24"/>
              </w:rPr>
            </w:pPr>
            <w:r>
              <w:rPr>
                <w:szCs w:val="24"/>
              </w:rPr>
              <w:t>The CBRA administrator must be able to create CBRA user access with specific roles of verifiers, supervisors, inspectors, approvers as required by the CBRA. The CBRA administrator can assign multiple roles to a user.</w:t>
            </w:r>
          </w:p>
        </w:tc>
      </w:tr>
      <w:tr w:rsidR="00475A4C" w14:paraId="7CF82390" w14:textId="77777777" w:rsidTr="001136D3">
        <w:tc>
          <w:tcPr>
            <w:tcW w:w="1075" w:type="dxa"/>
            <w:tcBorders>
              <w:top w:val="single" w:sz="4" w:space="0" w:color="auto"/>
              <w:left w:val="single" w:sz="4" w:space="0" w:color="auto"/>
              <w:bottom w:val="single" w:sz="4" w:space="0" w:color="auto"/>
              <w:right w:val="single" w:sz="4" w:space="0" w:color="auto"/>
            </w:tcBorders>
          </w:tcPr>
          <w:p w14:paraId="24C886FE" w14:textId="77777777" w:rsidR="00475A4C" w:rsidRDefault="00475A4C" w:rsidP="00475A4C">
            <w:pPr>
              <w:spacing w:after="0"/>
              <w:rPr>
                <w:szCs w:val="24"/>
              </w:rPr>
            </w:pPr>
            <w:r>
              <w:rPr>
                <w:szCs w:val="24"/>
              </w:rPr>
              <w:t>FR175</w:t>
            </w:r>
          </w:p>
          <w:p w14:paraId="3BEF7D70" w14:textId="77777777" w:rsidR="00475A4C" w:rsidRDefault="00475A4C" w:rsidP="00475A4C">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6DAC103F" w14:textId="3FD394EB" w:rsidR="00475A4C" w:rsidRDefault="00475A4C" w:rsidP="00475A4C">
            <w:pPr>
              <w:spacing w:after="0"/>
              <w:rPr>
                <w:szCs w:val="24"/>
              </w:rPr>
            </w:pPr>
            <w:r>
              <w:rPr>
                <w:szCs w:val="24"/>
              </w:rPr>
              <w:t>The online registration is web based and will include validations of references such as LPCO document number/code, for example country codes, currency etc.</w:t>
            </w:r>
          </w:p>
        </w:tc>
      </w:tr>
      <w:tr w:rsidR="00475A4C" w14:paraId="1D98F630" w14:textId="77777777" w:rsidTr="001136D3">
        <w:tc>
          <w:tcPr>
            <w:tcW w:w="1075" w:type="dxa"/>
            <w:tcBorders>
              <w:top w:val="single" w:sz="4" w:space="0" w:color="auto"/>
              <w:left w:val="single" w:sz="4" w:space="0" w:color="auto"/>
              <w:bottom w:val="single" w:sz="4" w:space="0" w:color="auto"/>
              <w:right w:val="single" w:sz="4" w:space="0" w:color="auto"/>
            </w:tcBorders>
          </w:tcPr>
          <w:p w14:paraId="5679540E" w14:textId="77777777" w:rsidR="00475A4C" w:rsidRDefault="00475A4C" w:rsidP="00475A4C">
            <w:pPr>
              <w:spacing w:after="0"/>
              <w:rPr>
                <w:szCs w:val="24"/>
              </w:rPr>
            </w:pPr>
            <w:r w:rsidRPr="008130B6">
              <w:rPr>
                <w:szCs w:val="24"/>
              </w:rPr>
              <w:t>FR491</w:t>
            </w:r>
          </w:p>
          <w:p w14:paraId="079A89F6" w14:textId="77777777" w:rsidR="00475A4C" w:rsidRDefault="00475A4C" w:rsidP="00475A4C">
            <w:pPr>
              <w:spacing w:after="0"/>
              <w:rPr>
                <w:szCs w:val="24"/>
              </w:rPr>
            </w:pPr>
          </w:p>
        </w:tc>
        <w:tc>
          <w:tcPr>
            <w:tcW w:w="8280" w:type="dxa"/>
            <w:tcBorders>
              <w:top w:val="single" w:sz="4" w:space="0" w:color="auto"/>
              <w:left w:val="single" w:sz="4" w:space="0" w:color="auto"/>
              <w:bottom w:val="single" w:sz="4" w:space="0" w:color="auto"/>
              <w:right w:val="single" w:sz="4" w:space="0" w:color="auto"/>
            </w:tcBorders>
          </w:tcPr>
          <w:p w14:paraId="4EAB52EC" w14:textId="77777777" w:rsidR="00475A4C" w:rsidRDefault="00475A4C" w:rsidP="00475A4C">
            <w:pPr>
              <w:spacing w:after="0"/>
              <w:rPr>
                <w:szCs w:val="24"/>
              </w:rPr>
            </w:pPr>
            <w:r>
              <w:rPr>
                <w:szCs w:val="24"/>
              </w:rPr>
              <w:t>The User Administrator must be able to fill in information regarding Competent Authority.</w:t>
            </w:r>
          </w:p>
        </w:tc>
      </w:tr>
      <w:tr w:rsidR="00475A4C" w14:paraId="2E3E7CA7" w14:textId="77777777" w:rsidTr="001136D3">
        <w:tc>
          <w:tcPr>
            <w:tcW w:w="1075" w:type="dxa"/>
            <w:tcBorders>
              <w:top w:val="single" w:sz="4" w:space="0" w:color="auto"/>
              <w:left w:val="single" w:sz="4" w:space="0" w:color="auto"/>
              <w:bottom w:val="single" w:sz="4" w:space="0" w:color="auto"/>
              <w:right w:val="single" w:sz="4" w:space="0" w:color="auto"/>
            </w:tcBorders>
          </w:tcPr>
          <w:p w14:paraId="102949BC" w14:textId="77777777" w:rsidR="00475A4C" w:rsidRDefault="00475A4C" w:rsidP="00475A4C">
            <w:pPr>
              <w:spacing w:after="0"/>
              <w:rPr>
                <w:szCs w:val="24"/>
              </w:rPr>
            </w:pPr>
            <w:r w:rsidRPr="008130B6">
              <w:rPr>
                <w:szCs w:val="24"/>
              </w:rPr>
              <w:t>FR492</w:t>
            </w:r>
          </w:p>
        </w:tc>
        <w:tc>
          <w:tcPr>
            <w:tcW w:w="8280" w:type="dxa"/>
            <w:tcBorders>
              <w:top w:val="single" w:sz="4" w:space="0" w:color="auto"/>
              <w:left w:val="single" w:sz="4" w:space="0" w:color="auto"/>
              <w:bottom w:val="single" w:sz="4" w:space="0" w:color="auto"/>
              <w:right w:val="single" w:sz="4" w:space="0" w:color="auto"/>
            </w:tcBorders>
          </w:tcPr>
          <w:p w14:paraId="1AFE70EA" w14:textId="77777777" w:rsidR="00475A4C" w:rsidRDefault="00475A4C" w:rsidP="00475A4C">
            <w:pPr>
              <w:spacing w:after="0"/>
              <w:rPr>
                <w:szCs w:val="24"/>
              </w:rPr>
            </w:pPr>
            <w:r>
              <w:rPr>
                <w:szCs w:val="24"/>
              </w:rPr>
              <w:t>The system must be able to Perform Technical Validation of the Request to Check EO and/or CA Registration.</w:t>
            </w:r>
          </w:p>
        </w:tc>
      </w:tr>
      <w:tr w:rsidR="00475A4C" w14:paraId="42188820" w14:textId="77777777" w:rsidTr="001136D3">
        <w:tc>
          <w:tcPr>
            <w:tcW w:w="1075" w:type="dxa"/>
            <w:tcBorders>
              <w:top w:val="single" w:sz="4" w:space="0" w:color="auto"/>
              <w:left w:val="single" w:sz="4" w:space="0" w:color="auto"/>
              <w:bottom w:val="single" w:sz="4" w:space="0" w:color="auto"/>
              <w:right w:val="single" w:sz="4" w:space="0" w:color="auto"/>
            </w:tcBorders>
          </w:tcPr>
          <w:p w14:paraId="2E40DCA0" w14:textId="77777777" w:rsidR="00475A4C" w:rsidRDefault="00475A4C" w:rsidP="00475A4C">
            <w:pPr>
              <w:spacing w:after="0"/>
              <w:rPr>
                <w:szCs w:val="24"/>
              </w:rPr>
            </w:pPr>
            <w:r>
              <w:rPr>
                <w:szCs w:val="24"/>
              </w:rPr>
              <w:t>FR496</w:t>
            </w:r>
          </w:p>
        </w:tc>
        <w:tc>
          <w:tcPr>
            <w:tcW w:w="8280" w:type="dxa"/>
            <w:tcBorders>
              <w:top w:val="single" w:sz="4" w:space="0" w:color="auto"/>
              <w:left w:val="single" w:sz="4" w:space="0" w:color="auto"/>
              <w:bottom w:val="single" w:sz="4" w:space="0" w:color="auto"/>
              <w:right w:val="single" w:sz="4" w:space="0" w:color="auto"/>
            </w:tcBorders>
          </w:tcPr>
          <w:p w14:paraId="095CA452" w14:textId="77777777" w:rsidR="00475A4C" w:rsidRDefault="00475A4C" w:rsidP="00475A4C">
            <w:pPr>
              <w:spacing w:after="0"/>
              <w:rPr>
                <w:szCs w:val="24"/>
              </w:rPr>
            </w:pPr>
            <w:r>
              <w:rPr>
                <w:szCs w:val="24"/>
              </w:rPr>
              <w:t>The system must be able to send request to UMS and EORI to validate EO and/or CA.</w:t>
            </w:r>
          </w:p>
        </w:tc>
      </w:tr>
      <w:tr w:rsidR="00475A4C" w14:paraId="2AD2F931" w14:textId="77777777" w:rsidTr="001136D3">
        <w:tc>
          <w:tcPr>
            <w:tcW w:w="1075" w:type="dxa"/>
            <w:tcBorders>
              <w:top w:val="single" w:sz="4" w:space="0" w:color="auto"/>
              <w:left w:val="single" w:sz="4" w:space="0" w:color="auto"/>
              <w:bottom w:val="single" w:sz="4" w:space="0" w:color="auto"/>
              <w:right w:val="single" w:sz="4" w:space="0" w:color="auto"/>
            </w:tcBorders>
          </w:tcPr>
          <w:p w14:paraId="422AFF27" w14:textId="77777777" w:rsidR="00475A4C" w:rsidRDefault="00475A4C" w:rsidP="00475A4C">
            <w:pPr>
              <w:spacing w:after="0"/>
              <w:rPr>
                <w:szCs w:val="24"/>
              </w:rPr>
            </w:pPr>
            <w:r>
              <w:rPr>
                <w:szCs w:val="24"/>
              </w:rPr>
              <w:t>FR494</w:t>
            </w:r>
          </w:p>
        </w:tc>
        <w:tc>
          <w:tcPr>
            <w:tcW w:w="8280" w:type="dxa"/>
            <w:tcBorders>
              <w:top w:val="single" w:sz="4" w:space="0" w:color="auto"/>
              <w:left w:val="single" w:sz="4" w:space="0" w:color="auto"/>
              <w:bottom w:val="single" w:sz="4" w:space="0" w:color="auto"/>
              <w:right w:val="single" w:sz="4" w:space="0" w:color="auto"/>
            </w:tcBorders>
          </w:tcPr>
          <w:p w14:paraId="068B589B" w14:textId="77777777" w:rsidR="00475A4C" w:rsidRDefault="00475A4C" w:rsidP="00475A4C">
            <w:pPr>
              <w:spacing w:after="0"/>
              <w:rPr>
                <w:szCs w:val="24"/>
              </w:rPr>
            </w:pPr>
            <w:r>
              <w:rPr>
                <w:szCs w:val="24"/>
              </w:rPr>
              <w:t>The NSW must be able to Validate Information on EO and/or CA.</w:t>
            </w:r>
          </w:p>
        </w:tc>
      </w:tr>
      <w:tr w:rsidR="00475A4C" w14:paraId="16B0E50C" w14:textId="77777777" w:rsidTr="001136D3">
        <w:tc>
          <w:tcPr>
            <w:tcW w:w="1075" w:type="dxa"/>
            <w:tcBorders>
              <w:top w:val="single" w:sz="4" w:space="0" w:color="auto"/>
              <w:left w:val="single" w:sz="4" w:space="0" w:color="auto"/>
              <w:bottom w:val="single" w:sz="4" w:space="0" w:color="auto"/>
              <w:right w:val="single" w:sz="4" w:space="0" w:color="auto"/>
            </w:tcBorders>
          </w:tcPr>
          <w:p w14:paraId="7AAEA031" w14:textId="77777777" w:rsidR="00475A4C" w:rsidRDefault="00475A4C" w:rsidP="00475A4C">
            <w:pPr>
              <w:spacing w:after="0"/>
              <w:rPr>
                <w:szCs w:val="24"/>
              </w:rPr>
            </w:pPr>
            <w:r>
              <w:rPr>
                <w:szCs w:val="24"/>
              </w:rPr>
              <w:t>FR495</w:t>
            </w:r>
          </w:p>
        </w:tc>
        <w:tc>
          <w:tcPr>
            <w:tcW w:w="8280" w:type="dxa"/>
            <w:tcBorders>
              <w:top w:val="single" w:sz="4" w:space="0" w:color="auto"/>
              <w:left w:val="single" w:sz="4" w:space="0" w:color="auto"/>
              <w:bottom w:val="single" w:sz="4" w:space="0" w:color="auto"/>
              <w:right w:val="single" w:sz="4" w:space="0" w:color="auto"/>
            </w:tcBorders>
          </w:tcPr>
          <w:p w14:paraId="18447E60" w14:textId="77777777" w:rsidR="00475A4C" w:rsidRDefault="00475A4C" w:rsidP="00475A4C">
            <w:pPr>
              <w:spacing w:after="0"/>
              <w:rPr>
                <w:szCs w:val="24"/>
              </w:rPr>
            </w:pPr>
            <w:r>
              <w:rPr>
                <w:szCs w:val="24"/>
              </w:rPr>
              <w:t>The NSW system must be able to take decision to grant user permission.</w:t>
            </w:r>
          </w:p>
        </w:tc>
      </w:tr>
      <w:tr w:rsidR="00475A4C" w14:paraId="488A30E1" w14:textId="77777777" w:rsidTr="001136D3">
        <w:tc>
          <w:tcPr>
            <w:tcW w:w="1075" w:type="dxa"/>
            <w:tcBorders>
              <w:top w:val="single" w:sz="4" w:space="0" w:color="auto"/>
              <w:left w:val="single" w:sz="4" w:space="0" w:color="auto"/>
              <w:bottom w:val="single" w:sz="4" w:space="0" w:color="auto"/>
              <w:right w:val="single" w:sz="4" w:space="0" w:color="auto"/>
            </w:tcBorders>
          </w:tcPr>
          <w:p w14:paraId="1B4FAB5E" w14:textId="77777777" w:rsidR="00475A4C" w:rsidRDefault="00475A4C" w:rsidP="00475A4C">
            <w:pPr>
              <w:spacing w:after="0"/>
              <w:rPr>
                <w:szCs w:val="24"/>
              </w:rPr>
            </w:pPr>
            <w:r>
              <w:rPr>
                <w:szCs w:val="24"/>
              </w:rPr>
              <w:t>FR496</w:t>
            </w:r>
          </w:p>
        </w:tc>
        <w:tc>
          <w:tcPr>
            <w:tcW w:w="8280" w:type="dxa"/>
            <w:tcBorders>
              <w:top w:val="single" w:sz="4" w:space="0" w:color="auto"/>
              <w:left w:val="single" w:sz="4" w:space="0" w:color="auto"/>
              <w:bottom w:val="single" w:sz="4" w:space="0" w:color="auto"/>
              <w:right w:val="single" w:sz="4" w:space="0" w:color="auto"/>
            </w:tcBorders>
          </w:tcPr>
          <w:p w14:paraId="5A6DFCDB" w14:textId="77777777" w:rsidR="00475A4C" w:rsidRDefault="00475A4C" w:rsidP="00475A4C">
            <w:pPr>
              <w:spacing w:after="0"/>
              <w:rPr>
                <w:szCs w:val="24"/>
              </w:rPr>
            </w:pPr>
            <w:r>
              <w:rPr>
                <w:szCs w:val="24"/>
              </w:rPr>
              <w:t>The system must be able to Notify EO of Check Registration Error.</w:t>
            </w:r>
          </w:p>
        </w:tc>
      </w:tr>
      <w:tr w:rsidR="00475A4C" w14:paraId="0E4ABF1B" w14:textId="77777777" w:rsidTr="001136D3">
        <w:tc>
          <w:tcPr>
            <w:tcW w:w="1075" w:type="dxa"/>
            <w:tcBorders>
              <w:top w:val="single" w:sz="4" w:space="0" w:color="auto"/>
              <w:left w:val="single" w:sz="4" w:space="0" w:color="auto"/>
              <w:bottom w:val="single" w:sz="4" w:space="0" w:color="auto"/>
              <w:right w:val="single" w:sz="4" w:space="0" w:color="auto"/>
            </w:tcBorders>
          </w:tcPr>
          <w:p w14:paraId="788200FA" w14:textId="77777777" w:rsidR="00475A4C" w:rsidRDefault="00475A4C" w:rsidP="00475A4C">
            <w:pPr>
              <w:spacing w:after="0"/>
              <w:rPr>
                <w:szCs w:val="24"/>
              </w:rPr>
            </w:pPr>
            <w:r>
              <w:rPr>
                <w:szCs w:val="24"/>
              </w:rPr>
              <w:t>FR497</w:t>
            </w:r>
          </w:p>
        </w:tc>
        <w:tc>
          <w:tcPr>
            <w:tcW w:w="8280" w:type="dxa"/>
            <w:tcBorders>
              <w:top w:val="single" w:sz="4" w:space="0" w:color="auto"/>
              <w:left w:val="single" w:sz="4" w:space="0" w:color="auto"/>
              <w:bottom w:val="single" w:sz="4" w:space="0" w:color="auto"/>
              <w:right w:val="single" w:sz="4" w:space="0" w:color="auto"/>
            </w:tcBorders>
          </w:tcPr>
          <w:p w14:paraId="2E6C5D79" w14:textId="77777777" w:rsidR="00475A4C" w:rsidRDefault="00475A4C" w:rsidP="00475A4C">
            <w:pPr>
              <w:spacing w:after="0"/>
              <w:rPr>
                <w:szCs w:val="24"/>
              </w:rPr>
            </w:pPr>
            <w:r>
              <w:rPr>
                <w:szCs w:val="24"/>
              </w:rPr>
              <w:t>The system must be able to Grant User Permission for use of NSW.</w:t>
            </w:r>
          </w:p>
        </w:tc>
      </w:tr>
      <w:tr w:rsidR="00475A4C" w14:paraId="50DEA42C" w14:textId="77777777" w:rsidTr="001136D3">
        <w:tc>
          <w:tcPr>
            <w:tcW w:w="1075" w:type="dxa"/>
            <w:tcBorders>
              <w:top w:val="single" w:sz="4" w:space="0" w:color="auto"/>
              <w:left w:val="single" w:sz="4" w:space="0" w:color="auto"/>
              <w:bottom w:val="single" w:sz="4" w:space="0" w:color="auto"/>
              <w:right w:val="single" w:sz="4" w:space="0" w:color="auto"/>
            </w:tcBorders>
          </w:tcPr>
          <w:p w14:paraId="6492219C" w14:textId="77777777" w:rsidR="00475A4C" w:rsidRDefault="00475A4C" w:rsidP="00475A4C">
            <w:pPr>
              <w:spacing w:after="0"/>
              <w:rPr>
                <w:szCs w:val="24"/>
              </w:rPr>
            </w:pPr>
            <w:r>
              <w:rPr>
                <w:szCs w:val="24"/>
              </w:rPr>
              <w:t>FR498</w:t>
            </w:r>
          </w:p>
        </w:tc>
        <w:tc>
          <w:tcPr>
            <w:tcW w:w="8280" w:type="dxa"/>
            <w:tcBorders>
              <w:top w:val="single" w:sz="4" w:space="0" w:color="auto"/>
              <w:left w:val="single" w:sz="4" w:space="0" w:color="auto"/>
              <w:bottom w:val="single" w:sz="4" w:space="0" w:color="auto"/>
              <w:right w:val="single" w:sz="4" w:space="0" w:color="auto"/>
            </w:tcBorders>
          </w:tcPr>
          <w:p w14:paraId="55203D5B" w14:textId="77777777" w:rsidR="00475A4C" w:rsidRDefault="00475A4C" w:rsidP="00475A4C">
            <w:pPr>
              <w:spacing w:after="0"/>
              <w:rPr>
                <w:szCs w:val="24"/>
              </w:rPr>
            </w:pPr>
            <w:r>
              <w:rPr>
                <w:szCs w:val="24"/>
              </w:rPr>
              <w:t>The system must be able to Notify EO and/or UMS for granted Permission and Credentials.</w:t>
            </w:r>
          </w:p>
        </w:tc>
      </w:tr>
    </w:tbl>
    <w:p w14:paraId="084D1D34" w14:textId="77777777" w:rsidR="00157AAA" w:rsidRDefault="00157AAA">
      <w:pPr>
        <w:ind w:left="720"/>
      </w:pPr>
    </w:p>
    <w:p w14:paraId="116618FA" w14:textId="05027990" w:rsidR="00157AAA" w:rsidRPr="008E2AAD" w:rsidRDefault="006C1BE5" w:rsidP="008E2AAD">
      <w:pPr>
        <w:rPr>
          <w:b/>
        </w:rPr>
      </w:pPr>
      <w:r w:rsidRPr="008E2AAD">
        <w:rPr>
          <w:b/>
        </w:rPr>
        <w:t>1.2.5. NSW LPCO Application Submission Module</w:t>
      </w:r>
    </w:p>
    <w:p w14:paraId="09537E94" w14:textId="77777777" w:rsidR="00157AAA" w:rsidRDefault="006C1BE5" w:rsidP="008E2AAD">
      <w:pPr>
        <w:jc w:val="left"/>
        <w:rPr>
          <w:bCs/>
          <w:szCs w:val="24"/>
        </w:rPr>
      </w:pPr>
      <w:r w:rsidRPr="008E2AAD">
        <w:rPr>
          <w:bCs/>
          <w:szCs w:val="24"/>
        </w:rPr>
        <w:t>The NSW automate the following process:</w:t>
      </w:r>
    </w:p>
    <w:p w14:paraId="35C698D4" w14:textId="1B514BA8" w:rsidR="00DC1D8D" w:rsidRDefault="00DC1D8D" w:rsidP="00D530D5">
      <w:pPr>
        <w:pStyle w:val="ListParagraph"/>
        <w:numPr>
          <w:ilvl w:val="0"/>
          <w:numId w:val="163"/>
        </w:numPr>
        <w:jc w:val="left"/>
        <w:rPr>
          <w:bCs/>
          <w:szCs w:val="24"/>
        </w:rPr>
      </w:pPr>
      <w:r>
        <w:rPr>
          <w:bCs/>
          <w:szCs w:val="24"/>
        </w:rPr>
        <w:t>Submit Application for Issuing a Certificate</w:t>
      </w:r>
    </w:p>
    <w:p w14:paraId="0F626B3B" w14:textId="4CD8D740" w:rsidR="008611E7" w:rsidRPr="00DC1D8D" w:rsidRDefault="00DC1D8D" w:rsidP="00D530D5">
      <w:pPr>
        <w:pStyle w:val="ListParagraph"/>
        <w:numPr>
          <w:ilvl w:val="0"/>
          <w:numId w:val="163"/>
        </w:numPr>
        <w:jc w:val="left"/>
        <w:rPr>
          <w:bCs/>
          <w:szCs w:val="24"/>
        </w:rPr>
      </w:pPr>
      <w:r w:rsidRPr="005E6A97">
        <w:rPr>
          <w:bCs/>
          <w:szCs w:val="24"/>
        </w:rPr>
        <w:t xml:space="preserve">Submit declaration/application using the integrated data set for customs and non-customs </w:t>
      </w:r>
      <w:proofErr w:type="gramStart"/>
      <w:r w:rsidRPr="005E6A97">
        <w:rPr>
          <w:bCs/>
          <w:szCs w:val="24"/>
        </w:rPr>
        <w:t>formalities</w:t>
      </w:r>
      <w:proofErr w:type="gramEnd"/>
    </w:p>
    <w:p w14:paraId="632BAFB5" w14:textId="3DE82F11" w:rsidR="00157AAA" w:rsidRPr="008E2AAD" w:rsidRDefault="006C1BE5">
      <w:pPr>
        <w:jc w:val="left"/>
        <w:rPr>
          <w:b/>
          <w:szCs w:val="24"/>
        </w:rPr>
      </w:pPr>
      <w:r w:rsidRPr="008E2AAD">
        <w:rPr>
          <w:b/>
          <w:szCs w:val="24"/>
        </w:rPr>
        <w:t>1.2.5.1. Submit Application for Issuing a Certificate</w:t>
      </w:r>
    </w:p>
    <w:p w14:paraId="1E009895" w14:textId="244CE984" w:rsidR="00157AAA" w:rsidRDefault="00096B07">
      <w:pPr>
        <w:jc w:val="left"/>
        <w:rPr>
          <w:b/>
          <w:i/>
          <w:szCs w:val="24"/>
        </w:rPr>
      </w:pPr>
      <w:r w:rsidRPr="00096B07">
        <w:rPr>
          <w:b/>
          <w:i/>
          <w:noProof/>
          <w:szCs w:val="24"/>
        </w:rPr>
        <w:drawing>
          <wp:inline distT="0" distB="0" distL="0" distR="0" wp14:anchorId="31D65F77" wp14:editId="4EE23F63">
            <wp:extent cx="5486400" cy="22155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86400" cy="2215515"/>
                    </a:xfrm>
                    <a:prstGeom prst="rect">
                      <a:avLst/>
                    </a:prstGeom>
                  </pic:spPr>
                </pic:pic>
              </a:graphicData>
            </a:graphic>
          </wp:inline>
        </w:drawing>
      </w:r>
    </w:p>
    <w:p w14:paraId="17EA6034" w14:textId="4DD9F207" w:rsidR="00157AAA" w:rsidRDefault="00E3729B">
      <w:pPr>
        <w:jc w:val="left"/>
        <w:rPr>
          <w:b/>
          <w:i/>
          <w:szCs w:val="24"/>
        </w:rPr>
      </w:pPr>
      <w:r>
        <w:rPr>
          <w:b/>
          <w:i/>
          <w:noProof/>
          <w:szCs w:val="24"/>
        </w:rPr>
        <w:lastRenderedPageBreak/>
        <mc:AlternateContent>
          <mc:Choice Requires="wps">
            <w:drawing>
              <wp:anchor distT="0" distB="0" distL="114300" distR="114300" simplePos="0" relativeHeight="251658248" behindDoc="0" locked="0" layoutInCell="1" allowOverlap="1" wp14:anchorId="157956BA" wp14:editId="4E2A7511">
                <wp:simplePos x="0" y="0"/>
                <wp:positionH relativeFrom="column">
                  <wp:posOffset>0</wp:posOffset>
                </wp:positionH>
                <wp:positionV relativeFrom="paragraph">
                  <wp:posOffset>0</wp:posOffset>
                </wp:positionV>
                <wp:extent cx="635000" cy="635000"/>
                <wp:effectExtent l="19050" t="19050" r="12700" b="12700"/>
                <wp:wrapNone/>
                <wp:docPr id="38" name="AutoShape 6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85116" id="AutoShape 61" o:spid="_x0000_s1026" style="position:absolute;margin-left:0;margin-top:0;width:50pt;height:50pt;z-index:251658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wIwIAAEg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HbW/8CMCAABIBAAADgAAAAAAAAAAAAAAAAAuAgAAZHJzL2Uyb0RvYy54bWxQSwEC&#10;LQAUAAYACAAAACEA640e+9gAAAAFAQAADwAAAAAAAAAAAAAAAAB9BAAAZHJzL2Rvd25yZXYueG1s&#10;UEsFBgAAAAAEAAQA8wAAAIIFAAAAAA==&#10;">
                <v:stroke joinstyle="round"/>
                <o:lock v:ext="edit" selection="t"/>
              </v:rect>
            </w:pict>
          </mc:Fallback>
        </mc:AlternateContent>
      </w:r>
      <w:r w:rsidR="003E27B9">
        <w:rPr>
          <w:b/>
          <w:i/>
          <w:szCs w:val="24"/>
        </w:rPr>
        <w:object w:dxaOrig="935" w:dyaOrig="602" w14:anchorId="493D1F9D">
          <v:shape id="_x0000_i1028" type="#_x0000_t75" style="width:79pt;height:50.5pt" o:ole="">
            <v:imagedata r:id="rId83" o:title=""/>
          </v:shape>
          <o:OLEObject Type="Embed" ProgID="Package" ShapeID="_x0000_i1028" DrawAspect="Icon" ObjectID="_1777888261" r:id="rId84"/>
        </w:object>
      </w:r>
    </w:p>
    <w:p w14:paraId="184302C2" w14:textId="3BA13F0F" w:rsidR="00157AAA" w:rsidRDefault="006C1BE5">
      <w:pPr>
        <w:jc w:val="center"/>
        <w:rPr>
          <w:i/>
          <w:szCs w:val="24"/>
        </w:rPr>
      </w:pPr>
      <w:r>
        <w:rPr>
          <w:i/>
          <w:szCs w:val="24"/>
        </w:rPr>
        <w:t xml:space="preserve">Figure </w:t>
      </w:r>
      <w:r w:rsidR="00631878">
        <w:rPr>
          <w:i/>
          <w:szCs w:val="24"/>
        </w:rPr>
        <w:t>7</w:t>
      </w:r>
      <w:r>
        <w:rPr>
          <w:i/>
          <w:szCs w:val="24"/>
        </w:rPr>
        <w:t>: BPMN Process Diagram: Submit Application for Issuing a Certificate</w:t>
      </w:r>
    </w:p>
    <w:p w14:paraId="5DCD95E8" w14:textId="77777777" w:rsidR="00157AAA" w:rsidRDefault="00157AAA">
      <w:pPr>
        <w:spacing w:after="0"/>
      </w:pPr>
    </w:p>
    <w:p w14:paraId="32FCBF6C" w14:textId="34DD0B0E" w:rsidR="00157AAA" w:rsidRDefault="006C1BE5">
      <w:pPr>
        <w:rPr>
          <w:rFonts w:eastAsia="Calibri"/>
          <w:szCs w:val="24"/>
        </w:rPr>
      </w:pPr>
      <w:r w:rsidRPr="008E2AAD">
        <w:rPr>
          <w:b/>
          <w:szCs w:val="24"/>
        </w:rPr>
        <w:t>Process Description</w:t>
      </w:r>
      <w:r>
        <w:rPr>
          <w:b/>
          <w:i/>
          <w:szCs w:val="24"/>
        </w:rPr>
        <w:t>:</w:t>
      </w:r>
      <w:r>
        <w:rPr>
          <w:szCs w:val="24"/>
        </w:rPr>
        <w:t xml:space="preserve"> </w:t>
      </w:r>
      <w:r>
        <w:rPr>
          <w:rFonts w:eastAsia="Calibri"/>
          <w:szCs w:val="24"/>
        </w:rPr>
        <w:t xml:space="preserve">This process is the first step in the application and issuing of LPCO. In this process application for the LPCO is received from Economic Operators (EO), or a request with integrated data set can be received. The application for the LPCO is received for all LPCOs, even the processing of the application is processed in other systems where a governmental agency is managing the issuing of the LPCOs. After the receiving the application, technical validation is performed on the application for LPCO. If the application for LPCO is not technically valid, the NSW System will reject the application and inform the EO. If the technical validation is valid, the NSW System checks if the application should be processed in NSW or in other system. If the issuing of the LPCO is to be performed in NSW, it registers the application and </w:t>
      </w:r>
      <w:proofErr w:type="gramStart"/>
      <w:r>
        <w:rPr>
          <w:rFonts w:eastAsia="Calibri"/>
          <w:szCs w:val="24"/>
        </w:rPr>
        <w:t>notifies of</w:t>
      </w:r>
      <w:proofErr w:type="gramEnd"/>
      <w:r>
        <w:rPr>
          <w:rFonts w:eastAsia="Calibri"/>
          <w:szCs w:val="24"/>
        </w:rPr>
        <w:t xml:space="preserve"> the registration and payment fees. If other governmental </w:t>
      </w:r>
      <w:proofErr w:type="gramStart"/>
      <w:r>
        <w:rPr>
          <w:rFonts w:eastAsia="Calibri"/>
          <w:szCs w:val="24"/>
        </w:rPr>
        <w:t>agency is</w:t>
      </w:r>
      <w:proofErr w:type="gramEnd"/>
      <w:r>
        <w:rPr>
          <w:rFonts w:eastAsia="Calibri"/>
          <w:szCs w:val="24"/>
        </w:rPr>
        <w:t xml:space="preserve"> to perform the issuing of the LPCO</w:t>
      </w:r>
      <w:r w:rsidR="004B1526">
        <w:rPr>
          <w:rFonts w:eastAsia="Calibri"/>
          <w:szCs w:val="24"/>
        </w:rPr>
        <w:t xml:space="preserve"> in their own system</w:t>
      </w:r>
      <w:r>
        <w:rPr>
          <w:rFonts w:eastAsia="Calibri"/>
          <w:szCs w:val="24"/>
        </w:rPr>
        <w:t xml:space="preserve">, then the application is sent to the appropriate system. Before sending the application, the NSW System transforms the data using the transformation tables and sends the application to the other governmental system. </w:t>
      </w:r>
    </w:p>
    <w:p w14:paraId="2548596B" w14:textId="77777777" w:rsidR="00157AAA" w:rsidRDefault="00157AAA">
      <w:pPr>
        <w:spacing w:after="0"/>
      </w:pPr>
    </w:p>
    <w:p w14:paraId="639B26C6" w14:textId="77777777" w:rsidR="00157AAA" w:rsidRDefault="006C1BE5">
      <w:pPr>
        <w:spacing w:after="0"/>
        <w:rPr>
          <w:rFonts w:eastAsia="Calibri"/>
          <w:b/>
          <w:i/>
          <w:szCs w:val="24"/>
        </w:rPr>
      </w:pPr>
      <w:r>
        <w:rPr>
          <w:rFonts w:eastAsia="Calibri"/>
          <w:b/>
          <w:i/>
          <w:szCs w:val="24"/>
        </w:rPr>
        <w:t>Process Steps:</w:t>
      </w:r>
    </w:p>
    <w:tbl>
      <w:tblPr>
        <w:tblStyle w:val="TableGrid21"/>
        <w:tblW w:w="8905" w:type="dxa"/>
        <w:tblLook w:val="04A0" w:firstRow="1" w:lastRow="0" w:firstColumn="1" w:lastColumn="0" w:noHBand="0" w:noVBand="1"/>
      </w:tblPr>
      <w:tblGrid>
        <w:gridCol w:w="1255"/>
        <w:gridCol w:w="1890"/>
        <w:gridCol w:w="5760"/>
      </w:tblGrid>
      <w:tr w:rsidR="00157AAA" w14:paraId="6D38E2E3" w14:textId="77777777" w:rsidTr="001136D3">
        <w:trPr>
          <w:tblHeader/>
        </w:trPr>
        <w:tc>
          <w:tcPr>
            <w:tcW w:w="1255" w:type="dxa"/>
            <w:shd w:val="clear" w:color="auto" w:fill="D9D9D9"/>
          </w:tcPr>
          <w:p w14:paraId="522B7004" w14:textId="77777777" w:rsidR="00157AAA" w:rsidRDefault="006C1BE5">
            <w:pPr>
              <w:spacing w:after="0"/>
              <w:jc w:val="left"/>
              <w:rPr>
                <w:rFonts w:ascii="Times New Roman" w:hAnsi="Times New Roman"/>
                <w:b/>
                <w:szCs w:val="24"/>
              </w:rPr>
            </w:pPr>
            <w:r>
              <w:rPr>
                <w:rFonts w:ascii="Times New Roman" w:hAnsi="Times New Roman"/>
                <w:b/>
                <w:szCs w:val="24"/>
              </w:rPr>
              <w:t>Step</w:t>
            </w:r>
          </w:p>
        </w:tc>
        <w:tc>
          <w:tcPr>
            <w:tcW w:w="1890" w:type="dxa"/>
            <w:shd w:val="clear" w:color="auto" w:fill="D9D9D9"/>
          </w:tcPr>
          <w:p w14:paraId="67752D7B" w14:textId="77777777" w:rsidR="00157AAA" w:rsidRDefault="006C1BE5">
            <w:pPr>
              <w:spacing w:after="0"/>
              <w:jc w:val="left"/>
              <w:rPr>
                <w:rFonts w:ascii="Times New Roman" w:hAnsi="Times New Roman"/>
                <w:b/>
                <w:szCs w:val="24"/>
              </w:rPr>
            </w:pPr>
            <w:r>
              <w:rPr>
                <w:rFonts w:ascii="Times New Roman" w:hAnsi="Times New Roman"/>
                <w:b/>
                <w:szCs w:val="24"/>
              </w:rPr>
              <w:t>Name</w:t>
            </w:r>
          </w:p>
        </w:tc>
        <w:tc>
          <w:tcPr>
            <w:tcW w:w="5760" w:type="dxa"/>
            <w:shd w:val="clear" w:color="auto" w:fill="D9D9D9"/>
          </w:tcPr>
          <w:p w14:paraId="155EB455" w14:textId="77777777" w:rsidR="00157AAA" w:rsidRDefault="006C1BE5">
            <w:pPr>
              <w:spacing w:after="0"/>
              <w:jc w:val="left"/>
              <w:rPr>
                <w:rFonts w:ascii="Times New Roman" w:hAnsi="Times New Roman"/>
                <w:b/>
                <w:szCs w:val="24"/>
              </w:rPr>
            </w:pPr>
            <w:r>
              <w:rPr>
                <w:rFonts w:ascii="Times New Roman" w:hAnsi="Times New Roman"/>
                <w:b/>
                <w:szCs w:val="24"/>
              </w:rPr>
              <w:t>Description</w:t>
            </w:r>
          </w:p>
        </w:tc>
      </w:tr>
      <w:tr w:rsidR="00157AAA" w14:paraId="6FED7F93" w14:textId="77777777" w:rsidTr="001136D3">
        <w:tc>
          <w:tcPr>
            <w:tcW w:w="1255" w:type="dxa"/>
          </w:tcPr>
          <w:p w14:paraId="3A651FA4" w14:textId="77777777" w:rsidR="00157AAA" w:rsidRDefault="006C1BE5">
            <w:pPr>
              <w:spacing w:after="0"/>
              <w:jc w:val="left"/>
              <w:rPr>
                <w:rFonts w:ascii="Times New Roman" w:hAnsi="Times New Roman"/>
                <w:szCs w:val="24"/>
              </w:rPr>
            </w:pPr>
            <w:r>
              <w:rPr>
                <w:rFonts w:ascii="Times New Roman" w:hAnsi="Times New Roman"/>
                <w:szCs w:val="24"/>
              </w:rPr>
              <w:t>Start event</w:t>
            </w:r>
          </w:p>
        </w:tc>
        <w:tc>
          <w:tcPr>
            <w:tcW w:w="1890" w:type="dxa"/>
          </w:tcPr>
          <w:p w14:paraId="547BB61C" w14:textId="77777777" w:rsidR="00157AAA" w:rsidRDefault="006C1BE5" w:rsidP="001136D3">
            <w:pPr>
              <w:spacing w:after="0"/>
              <w:jc w:val="left"/>
              <w:rPr>
                <w:rFonts w:ascii="Times New Roman" w:hAnsi="Times New Roman"/>
                <w:szCs w:val="24"/>
              </w:rPr>
            </w:pPr>
            <w:r>
              <w:rPr>
                <w:rFonts w:ascii="Times New Roman" w:hAnsi="Times New Roman"/>
                <w:szCs w:val="24"/>
              </w:rPr>
              <w:t xml:space="preserve">Receive LPCO Application  </w:t>
            </w:r>
          </w:p>
        </w:tc>
        <w:tc>
          <w:tcPr>
            <w:tcW w:w="5760" w:type="dxa"/>
          </w:tcPr>
          <w:p w14:paraId="290640B7" w14:textId="77777777" w:rsidR="00157AAA" w:rsidRDefault="006C1BE5">
            <w:pPr>
              <w:spacing w:after="0"/>
              <w:rPr>
                <w:rFonts w:ascii="Times New Roman" w:hAnsi="Times New Roman"/>
                <w:szCs w:val="24"/>
              </w:rPr>
            </w:pPr>
            <w:r>
              <w:rPr>
                <w:rFonts w:ascii="Times New Roman" w:hAnsi="Times New Roman"/>
                <w:szCs w:val="24"/>
              </w:rPr>
              <w:t xml:space="preserve">The NSW system receives request from EO for application for the LPCO. The application for the LPCO is received for all LPCOs, even the processing of the application is processed in other systems where a governmental agency is managing the issuing of the LPCOs. The message also might contain </w:t>
            </w:r>
            <w:proofErr w:type="gramStart"/>
            <w:r>
              <w:rPr>
                <w:rFonts w:ascii="Times New Roman" w:hAnsi="Times New Roman"/>
                <w:szCs w:val="24"/>
              </w:rPr>
              <w:t>the proof</w:t>
            </w:r>
            <w:proofErr w:type="gramEnd"/>
            <w:r>
              <w:rPr>
                <w:rFonts w:ascii="Times New Roman" w:hAnsi="Times New Roman"/>
                <w:szCs w:val="24"/>
              </w:rPr>
              <w:t xml:space="preserve"> for paid fees and charges.</w:t>
            </w:r>
            <w:r>
              <w:rPr>
                <w:rFonts w:ascii="Times New Roman" w:hAnsi="Times New Roman"/>
                <w:color w:val="FF0000"/>
                <w:szCs w:val="24"/>
              </w:rPr>
              <w:t xml:space="preserve"> </w:t>
            </w:r>
            <w:r>
              <w:rPr>
                <w:rFonts w:ascii="Times New Roman" w:hAnsi="Times New Roman"/>
                <w:szCs w:val="24"/>
              </w:rPr>
              <w:t>Also, a flag (yes/no) for printing the pdf of the LPCO is received.</w:t>
            </w:r>
          </w:p>
        </w:tc>
      </w:tr>
      <w:tr w:rsidR="00157AAA" w14:paraId="4EE6F478" w14:textId="77777777" w:rsidTr="001136D3">
        <w:tc>
          <w:tcPr>
            <w:tcW w:w="1255" w:type="dxa"/>
          </w:tcPr>
          <w:p w14:paraId="14AE016B"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1890" w:type="dxa"/>
          </w:tcPr>
          <w:p w14:paraId="72791838" w14:textId="77777777" w:rsidR="00157AAA" w:rsidRDefault="006C1BE5" w:rsidP="001136D3">
            <w:pPr>
              <w:spacing w:after="0"/>
              <w:jc w:val="left"/>
              <w:rPr>
                <w:rFonts w:ascii="Times New Roman" w:hAnsi="Times New Roman"/>
                <w:szCs w:val="24"/>
              </w:rPr>
            </w:pPr>
            <w:r>
              <w:rPr>
                <w:rFonts w:ascii="Times New Roman" w:hAnsi="Times New Roman"/>
                <w:szCs w:val="24"/>
              </w:rPr>
              <w:t xml:space="preserve">Perform Technical Validation of Application for LPCO </w:t>
            </w:r>
          </w:p>
        </w:tc>
        <w:tc>
          <w:tcPr>
            <w:tcW w:w="5760" w:type="dxa"/>
          </w:tcPr>
          <w:p w14:paraId="2AA31EF2" w14:textId="77777777" w:rsidR="00157AAA" w:rsidRDefault="006C1BE5">
            <w:pPr>
              <w:spacing w:after="0"/>
              <w:rPr>
                <w:rFonts w:ascii="Times New Roman" w:hAnsi="Times New Roman"/>
                <w:szCs w:val="24"/>
              </w:rPr>
            </w:pPr>
            <w:r>
              <w:rPr>
                <w:rFonts w:ascii="Times New Roman" w:hAnsi="Times New Roman"/>
                <w:szCs w:val="24"/>
              </w:rPr>
              <w:t>After the receiving of the application, the NSW is performing technical validation of the application for LPCO.</w:t>
            </w:r>
          </w:p>
        </w:tc>
      </w:tr>
      <w:tr w:rsidR="00157AAA" w14:paraId="25E566FE" w14:textId="77777777" w:rsidTr="001136D3">
        <w:tc>
          <w:tcPr>
            <w:tcW w:w="1255" w:type="dxa"/>
          </w:tcPr>
          <w:p w14:paraId="0D3D6F2C"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1890" w:type="dxa"/>
          </w:tcPr>
          <w:p w14:paraId="08DE9AB8" w14:textId="77777777" w:rsidR="00157AAA" w:rsidRDefault="006C1BE5" w:rsidP="001136D3">
            <w:pPr>
              <w:spacing w:after="0"/>
              <w:jc w:val="left"/>
              <w:rPr>
                <w:rFonts w:ascii="Times New Roman" w:hAnsi="Times New Roman"/>
                <w:szCs w:val="24"/>
              </w:rPr>
            </w:pPr>
            <w:r>
              <w:rPr>
                <w:rFonts w:ascii="Times New Roman" w:hAnsi="Times New Roman"/>
                <w:szCs w:val="24"/>
              </w:rPr>
              <w:t>Notify EO of Rejection of Request for Application for LPCO</w:t>
            </w:r>
          </w:p>
        </w:tc>
        <w:tc>
          <w:tcPr>
            <w:tcW w:w="5760" w:type="dxa"/>
          </w:tcPr>
          <w:p w14:paraId="5EE22D01"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 xml:space="preserve">If the check of Application for LPCO is not technically valid, the NSW system informs the Economic Operator that the request for application for LPCO is rejected.  </w:t>
            </w:r>
          </w:p>
        </w:tc>
      </w:tr>
      <w:tr w:rsidR="00157AAA" w14:paraId="3B93B9EB" w14:textId="77777777" w:rsidTr="001136D3">
        <w:tc>
          <w:tcPr>
            <w:tcW w:w="1255" w:type="dxa"/>
          </w:tcPr>
          <w:p w14:paraId="6CACD9C4" w14:textId="77777777" w:rsidR="00157AAA" w:rsidRDefault="006C1BE5">
            <w:pPr>
              <w:spacing w:after="0"/>
              <w:jc w:val="left"/>
              <w:rPr>
                <w:rFonts w:ascii="Times New Roman" w:hAnsi="Times New Roman"/>
                <w:szCs w:val="24"/>
              </w:rPr>
            </w:pPr>
            <w:r>
              <w:rPr>
                <w:rFonts w:ascii="Times New Roman" w:hAnsi="Times New Roman"/>
                <w:szCs w:val="24"/>
              </w:rPr>
              <w:t>End event</w:t>
            </w:r>
          </w:p>
        </w:tc>
        <w:tc>
          <w:tcPr>
            <w:tcW w:w="1890" w:type="dxa"/>
          </w:tcPr>
          <w:p w14:paraId="3E2B1696" w14:textId="77777777" w:rsidR="00157AAA" w:rsidRDefault="006C1BE5" w:rsidP="001136D3">
            <w:pPr>
              <w:spacing w:after="0"/>
              <w:jc w:val="left"/>
              <w:rPr>
                <w:rFonts w:ascii="Times New Roman" w:hAnsi="Times New Roman"/>
                <w:szCs w:val="24"/>
              </w:rPr>
            </w:pPr>
            <w:r>
              <w:rPr>
                <w:rFonts w:ascii="Times New Roman" w:hAnsi="Times New Roman"/>
                <w:szCs w:val="24"/>
              </w:rPr>
              <w:t>Application for LPCO Rejected</w:t>
            </w:r>
          </w:p>
        </w:tc>
        <w:tc>
          <w:tcPr>
            <w:tcW w:w="5760" w:type="dxa"/>
          </w:tcPr>
          <w:p w14:paraId="160E3F01"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The application is rejected.</w:t>
            </w:r>
          </w:p>
        </w:tc>
      </w:tr>
      <w:tr w:rsidR="00157AAA" w14:paraId="60CB2BE8" w14:textId="77777777" w:rsidTr="001136D3">
        <w:tc>
          <w:tcPr>
            <w:tcW w:w="1255" w:type="dxa"/>
          </w:tcPr>
          <w:p w14:paraId="2D503AD3" w14:textId="77777777" w:rsidR="00157AAA" w:rsidRDefault="006C1BE5">
            <w:pPr>
              <w:spacing w:after="0"/>
              <w:jc w:val="left"/>
              <w:rPr>
                <w:rFonts w:ascii="Times New Roman" w:hAnsi="Times New Roman"/>
                <w:szCs w:val="24"/>
              </w:rPr>
            </w:pPr>
            <w:r>
              <w:rPr>
                <w:rFonts w:ascii="Times New Roman" w:hAnsi="Times New Roman"/>
                <w:szCs w:val="24"/>
              </w:rPr>
              <w:lastRenderedPageBreak/>
              <w:t>Send Task</w:t>
            </w:r>
          </w:p>
        </w:tc>
        <w:tc>
          <w:tcPr>
            <w:tcW w:w="1890" w:type="dxa"/>
          </w:tcPr>
          <w:p w14:paraId="79ED6AF1" w14:textId="77777777" w:rsidR="00157AAA" w:rsidRDefault="006C1BE5" w:rsidP="001136D3">
            <w:pPr>
              <w:spacing w:after="0"/>
              <w:jc w:val="left"/>
              <w:rPr>
                <w:rFonts w:ascii="Times New Roman" w:hAnsi="Times New Roman"/>
                <w:szCs w:val="24"/>
              </w:rPr>
            </w:pPr>
            <w:r>
              <w:rPr>
                <w:rFonts w:ascii="Times New Roman" w:hAnsi="Times New Roman"/>
                <w:szCs w:val="24"/>
              </w:rPr>
              <w:t>Send Application for LPCO to ITE for Measures</w:t>
            </w:r>
          </w:p>
        </w:tc>
        <w:tc>
          <w:tcPr>
            <w:tcW w:w="5760" w:type="dxa"/>
          </w:tcPr>
          <w:p w14:paraId="242CABE5" w14:textId="2F19B038" w:rsidR="00157AAA" w:rsidRDefault="006C1BE5">
            <w:pPr>
              <w:spacing w:before="100" w:beforeAutospacing="1" w:after="100" w:afterAutospacing="1"/>
              <w:rPr>
                <w:rFonts w:ascii="Times New Roman" w:hAnsi="Times New Roman"/>
                <w:szCs w:val="24"/>
              </w:rPr>
            </w:pPr>
            <w:r>
              <w:rPr>
                <w:rFonts w:ascii="Times New Roman" w:hAnsi="Times New Roman"/>
                <w:szCs w:val="24"/>
              </w:rPr>
              <w:t>The system sends the Application for LPCO for measures for the goods to ITE (TARIC)</w:t>
            </w:r>
            <w:r w:rsidR="003E27B9">
              <w:rPr>
                <w:rFonts w:ascii="Times New Roman" w:hAnsi="Times New Roman"/>
                <w:szCs w:val="24"/>
              </w:rPr>
              <w:t>.</w:t>
            </w:r>
          </w:p>
        </w:tc>
      </w:tr>
      <w:tr w:rsidR="00157AAA" w14:paraId="0D85A4C4" w14:textId="77777777" w:rsidTr="001136D3">
        <w:tc>
          <w:tcPr>
            <w:tcW w:w="1255" w:type="dxa"/>
          </w:tcPr>
          <w:p w14:paraId="6D605A91" w14:textId="77777777" w:rsidR="00157AAA" w:rsidRDefault="006C1BE5">
            <w:pPr>
              <w:spacing w:after="0"/>
              <w:jc w:val="left"/>
              <w:rPr>
                <w:rFonts w:ascii="Times New Roman" w:hAnsi="Times New Roman"/>
                <w:szCs w:val="24"/>
              </w:rPr>
            </w:pPr>
            <w:r>
              <w:rPr>
                <w:rFonts w:ascii="Times New Roman" w:hAnsi="Times New Roman"/>
                <w:szCs w:val="24"/>
              </w:rPr>
              <w:t>Message Event</w:t>
            </w:r>
          </w:p>
        </w:tc>
        <w:tc>
          <w:tcPr>
            <w:tcW w:w="1890" w:type="dxa"/>
          </w:tcPr>
          <w:p w14:paraId="247F4D1C" w14:textId="77777777" w:rsidR="00157AAA" w:rsidRDefault="006C1BE5" w:rsidP="001136D3">
            <w:pPr>
              <w:spacing w:after="0"/>
              <w:jc w:val="left"/>
              <w:rPr>
                <w:rFonts w:ascii="Times New Roman" w:hAnsi="Times New Roman"/>
                <w:szCs w:val="24"/>
              </w:rPr>
            </w:pPr>
            <w:r>
              <w:rPr>
                <w:rFonts w:ascii="Times New Roman" w:hAnsi="Times New Roman"/>
                <w:szCs w:val="24"/>
              </w:rPr>
              <w:t>Measures for Application for LPCO received</w:t>
            </w:r>
          </w:p>
        </w:tc>
        <w:tc>
          <w:tcPr>
            <w:tcW w:w="5760" w:type="dxa"/>
          </w:tcPr>
          <w:p w14:paraId="42BDFC52"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The NSW system receives measures from ITE (TARIC) for the application for the LPCO</w:t>
            </w:r>
          </w:p>
        </w:tc>
      </w:tr>
      <w:tr w:rsidR="00157AAA" w14:paraId="0FA87BA3" w14:textId="77777777" w:rsidTr="001136D3">
        <w:tc>
          <w:tcPr>
            <w:tcW w:w="1255" w:type="dxa"/>
          </w:tcPr>
          <w:p w14:paraId="5B0EB7E9"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1890" w:type="dxa"/>
          </w:tcPr>
          <w:p w14:paraId="5EB25523" w14:textId="77777777" w:rsidR="00157AAA" w:rsidRDefault="006C1BE5" w:rsidP="001136D3">
            <w:pPr>
              <w:spacing w:after="0"/>
              <w:jc w:val="left"/>
              <w:rPr>
                <w:rFonts w:ascii="Times New Roman" w:hAnsi="Times New Roman"/>
                <w:szCs w:val="24"/>
              </w:rPr>
            </w:pPr>
            <w:r>
              <w:rPr>
                <w:rFonts w:ascii="Times New Roman" w:hAnsi="Times New Roman"/>
                <w:szCs w:val="24"/>
              </w:rPr>
              <w:t>Check EO in EORI</w:t>
            </w:r>
          </w:p>
        </w:tc>
        <w:tc>
          <w:tcPr>
            <w:tcW w:w="5760" w:type="dxa"/>
          </w:tcPr>
          <w:p w14:paraId="7A790457"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The Economic Operator from the application for the LPCO is checked with EORI system.</w:t>
            </w:r>
          </w:p>
        </w:tc>
      </w:tr>
      <w:tr w:rsidR="00157AAA" w14:paraId="0341887A" w14:textId="77777777" w:rsidTr="001136D3">
        <w:tc>
          <w:tcPr>
            <w:tcW w:w="1255" w:type="dxa"/>
          </w:tcPr>
          <w:p w14:paraId="4D9BE3C5" w14:textId="77777777" w:rsidR="00157AAA" w:rsidRDefault="006C1BE5">
            <w:pPr>
              <w:spacing w:after="0"/>
              <w:jc w:val="left"/>
              <w:rPr>
                <w:rFonts w:ascii="Times New Roman" w:hAnsi="Times New Roman"/>
                <w:szCs w:val="24"/>
              </w:rPr>
            </w:pPr>
            <w:r>
              <w:rPr>
                <w:rFonts w:ascii="Times New Roman" w:hAnsi="Times New Roman"/>
                <w:szCs w:val="24"/>
              </w:rPr>
              <w:t>Message Event</w:t>
            </w:r>
          </w:p>
        </w:tc>
        <w:tc>
          <w:tcPr>
            <w:tcW w:w="1890" w:type="dxa"/>
          </w:tcPr>
          <w:p w14:paraId="707DE850" w14:textId="77777777" w:rsidR="00157AAA" w:rsidRDefault="006C1BE5" w:rsidP="001136D3">
            <w:pPr>
              <w:spacing w:after="0"/>
              <w:jc w:val="left"/>
              <w:rPr>
                <w:rFonts w:ascii="Times New Roman" w:hAnsi="Times New Roman"/>
                <w:szCs w:val="24"/>
              </w:rPr>
            </w:pPr>
            <w:r>
              <w:rPr>
                <w:rFonts w:ascii="Times New Roman" w:hAnsi="Times New Roman"/>
                <w:szCs w:val="24"/>
              </w:rPr>
              <w:t>Receive EORI Information for EO</w:t>
            </w:r>
          </w:p>
        </w:tc>
        <w:tc>
          <w:tcPr>
            <w:tcW w:w="5760" w:type="dxa"/>
          </w:tcPr>
          <w:p w14:paraId="2946268C"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Information for the EO from EORI is received.</w:t>
            </w:r>
          </w:p>
        </w:tc>
      </w:tr>
      <w:tr w:rsidR="00157AAA" w14:paraId="1CCBD10C" w14:textId="77777777" w:rsidTr="001136D3">
        <w:tc>
          <w:tcPr>
            <w:tcW w:w="1255" w:type="dxa"/>
          </w:tcPr>
          <w:p w14:paraId="041D6BF8"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1890" w:type="dxa"/>
          </w:tcPr>
          <w:p w14:paraId="77C3ACAF" w14:textId="77777777" w:rsidR="00157AAA" w:rsidRDefault="006C1BE5" w:rsidP="001136D3">
            <w:pPr>
              <w:spacing w:after="0"/>
              <w:jc w:val="left"/>
              <w:rPr>
                <w:rFonts w:ascii="Times New Roman" w:hAnsi="Times New Roman"/>
                <w:szCs w:val="24"/>
              </w:rPr>
            </w:pPr>
            <w:r>
              <w:rPr>
                <w:rFonts w:ascii="Times New Roman" w:hAnsi="Times New Roman"/>
                <w:szCs w:val="24"/>
              </w:rPr>
              <w:t>Check the list of Authorized EO</w:t>
            </w:r>
          </w:p>
        </w:tc>
        <w:tc>
          <w:tcPr>
            <w:tcW w:w="5760" w:type="dxa"/>
          </w:tcPr>
          <w:p w14:paraId="28C4B120"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The NSW system checks the list of authorized EO provided by the CBRA's.</w:t>
            </w:r>
          </w:p>
        </w:tc>
      </w:tr>
      <w:tr w:rsidR="00157AAA" w14:paraId="578BEC47" w14:textId="77777777" w:rsidTr="001136D3">
        <w:tc>
          <w:tcPr>
            <w:tcW w:w="1255" w:type="dxa"/>
          </w:tcPr>
          <w:p w14:paraId="521F8A95"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1890" w:type="dxa"/>
          </w:tcPr>
          <w:p w14:paraId="1F144C13" w14:textId="77777777" w:rsidR="00157AAA" w:rsidRDefault="006C1BE5" w:rsidP="001136D3">
            <w:pPr>
              <w:spacing w:after="0"/>
              <w:jc w:val="left"/>
              <w:rPr>
                <w:rFonts w:ascii="Times New Roman" w:hAnsi="Times New Roman"/>
                <w:szCs w:val="24"/>
              </w:rPr>
            </w:pPr>
            <w:r>
              <w:rPr>
                <w:rFonts w:ascii="Times New Roman" w:hAnsi="Times New Roman"/>
                <w:szCs w:val="24"/>
              </w:rPr>
              <w:t xml:space="preserve">Check in Which System the LPCO Needs to be Registered </w:t>
            </w:r>
          </w:p>
        </w:tc>
        <w:tc>
          <w:tcPr>
            <w:tcW w:w="5760" w:type="dxa"/>
          </w:tcPr>
          <w:p w14:paraId="68B7357D" w14:textId="77777777" w:rsidR="00157AAA" w:rsidRDefault="006C1BE5">
            <w:pPr>
              <w:spacing w:before="100" w:beforeAutospacing="1" w:after="100" w:afterAutospacing="1"/>
              <w:rPr>
                <w:rFonts w:ascii="Times New Roman" w:hAnsi="Times New Roman"/>
                <w:szCs w:val="24"/>
              </w:rPr>
            </w:pPr>
            <w:r>
              <w:rPr>
                <w:rFonts w:ascii="Times New Roman" w:hAnsi="Times New Roman"/>
                <w:szCs w:val="24"/>
              </w:rPr>
              <w:t>If the technical validation is ok, the NSW System checks if the application should be processed in NSW or in other system.</w:t>
            </w:r>
          </w:p>
        </w:tc>
      </w:tr>
      <w:tr w:rsidR="00157AAA" w14:paraId="61694F6E" w14:textId="77777777" w:rsidTr="001136D3">
        <w:tc>
          <w:tcPr>
            <w:tcW w:w="1255" w:type="dxa"/>
          </w:tcPr>
          <w:p w14:paraId="2DF440E7"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1890" w:type="dxa"/>
          </w:tcPr>
          <w:p w14:paraId="0E6AA0FB" w14:textId="77777777" w:rsidR="00157AAA" w:rsidRDefault="006C1BE5" w:rsidP="001136D3">
            <w:pPr>
              <w:spacing w:after="0"/>
              <w:jc w:val="left"/>
              <w:rPr>
                <w:rFonts w:ascii="Times New Roman" w:hAnsi="Times New Roman"/>
                <w:szCs w:val="24"/>
              </w:rPr>
            </w:pPr>
            <w:r>
              <w:rPr>
                <w:rFonts w:ascii="Times New Roman" w:hAnsi="Times New Roman"/>
                <w:szCs w:val="24"/>
              </w:rPr>
              <w:t xml:space="preserve">Register the Application for LPCO </w:t>
            </w:r>
          </w:p>
        </w:tc>
        <w:tc>
          <w:tcPr>
            <w:tcW w:w="5760" w:type="dxa"/>
          </w:tcPr>
          <w:p w14:paraId="2BAE8677" w14:textId="77777777" w:rsidR="00157AAA" w:rsidRDefault="006C1BE5">
            <w:pPr>
              <w:spacing w:after="0"/>
              <w:rPr>
                <w:rFonts w:ascii="Times New Roman" w:hAnsi="Times New Roman"/>
                <w:szCs w:val="24"/>
              </w:rPr>
            </w:pPr>
            <w:r>
              <w:rPr>
                <w:rFonts w:ascii="Times New Roman" w:hAnsi="Times New Roman"/>
                <w:szCs w:val="24"/>
              </w:rPr>
              <w:t>If the LPCO issuing is to be performed in NSW, the status of the application is registered.</w:t>
            </w:r>
          </w:p>
        </w:tc>
      </w:tr>
      <w:tr w:rsidR="00157AAA" w14:paraId="30B26B63" w14:textId="77777777" w:rsidTr="001136D3">
        <w:tc>
          <w:tcPr>
            <w:tcW w:w="1255" w:type="dxa"/>
          </w:tcPr>
          <w:p w14:paraId="201924C0"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1890" w:type="dxa"/>
          </w:tcPr>
          <w:p w14:paraId="7FA3A1E7" w14:textId="77777777" w:rsidR="00157AAA" w:rsidRDefault="006C1BE5" w:rsidP="001136D3">
            <w:pPr>
              <w:spacing w:after="0"/>
              <w:jc w:val="left"/>
              <w:rPr>
                <w:rFonts w:ascii="Times New Roman" w:hAnsi="Times New Roman"/>
                <w:szCs w:val="24"/>
              </w:rPr>
            </w:pPr>
            <w:r>
              <w:rPr>
                <w:rFonts w:ascii="Times New Roman" w:hAnsi="Times New Roman"/>
                <w:szCs w:val="24"/>
              </w:rPr>
              <w:t>Calculate LPCO Fees</w:t>
            </w:r>
          </w:p>
        </w:tc>
        <w:tc>
          <w:tcPr>
            <w:tcW w:w="5760" w:type="dxa"/>
          </w:tcPr>
          <w:p w14:paraId="4387180C" w14:textId="77777777" w:rsidR="00157AAA" w:rsidRDefault="006C1BE5">
            <w:pPr>
              <w:spacing w:after="0"/>
              <w:rPr>
                <w:rFonts w:ascii="Times New Roman" w:hAnsi="Times New Roman"/>
                <w:szCs w:val="24"/>
              </w:rPr>
            </w:pPr>
            <w:r>
              <w:rPr>
                <w:rFonts w:ascii="Times New Roman" w:hAnsi="Times New Roman"/>
                <w:szCs w:val="24"/>
              </w:rPr>
              <w:t xml:space="preserve">The NSW system calculates the LPCO fees. </w:t>
            </w:r>
          </w:p>
        </w:tc>
      </w:tr>
      <w:tr w:rsidR="00157AAA" w14:paraId="5C4DCC47" w14:textId="77777777" w:rsidTr="001136D3">
        <w:tc>
          <w:tcPr>
            <w:tcW w:w="1255" w:type="dxa"/>
          </w:tcPr>
          <w:p w14:paraId="47CE8570" w14:textId="77777777" w:rsidR="00157AAA" w:rsidRDefault="006C1BE5">
            <w:pPr>
              <w:spacing w:after="0"/>
              <w:jc w:val="left"/>
              <w:rPr>
                <w:rFonts w:ascii="Times New Roman" w:hAnsi="Times New Roman"/>
                <w:szCs w:val="24"/>
              </w:rPr>
            </w:pPr>
            <w:r>
              <w:rPr>
                <w:rFonts w:ascii="Times New Roman" w:hAnsi="Times New Roman"/>
                <w:szCs w:val="24"/>
              </w:rPr>
              <w:t>Service Task</w:t>
            </w:r>
          </w:p>
        </w:tc>
        <w:tc>
          <w:tcPr>
            <w:tcW w:w="1890" w:type="dxa"/>
          </w:tcPr>
          <w:p w14:paraId="58E1F6AC" w14:textId="77777777" w:rsidR="00157AAA" w:rsidRDefault="006C1BE5" w:rsidP="001136D3">
            <w:pPr>
              <w:spacing w:after="0"/>
              <w:jc w:val="left"/>
              <w:rPr>
                <w:rFonts w:ascii="Times New Roman" w:hAnsi="Times New Roman"/>
                <w:szCs w:val="24"/>
              </w:rPr>
            </w:pPr>
            <w:r>
              <w:rPr>
                <w:rFonts w:ascii="Times New Roman" w:hAnsi="Times New Roman"/>
                <w:szCs w:val="24"/>
              </w:rPr>
              <w:t>Notify of Registration of Application for LPCO and Payment Fees</w:t>
            </w:r>
          </w:p>
        </w:tc>
        <w:tc>
          <w:tcPr>
            <w:tcW w:w="5760" w:type="dxa"/>
          </w:tcPr>
          <w:p w14:paraId="6FC10E48" w14:textId="3304CCBF" w:rsidR="00157AAA" w:rsidRDefault="006C1BE5">
            <w:pPr>
              <w:spacing w:after="0"/>
              <w:rPr>
                <w:rFonts w:ascii="Times New Roman" w:hAnsi="Times New Roman"/>
                <w:szCs w:val="24"/>
              </w:rPr>
            </w:pPr>
            <w:r>
              <w:rPr>
                <w:rFonts w:ascii="Times New Roman" w:hAnsi="Times New Roman"/>
                <w:szCs w:val="24"/>
              </w:rPr>
              <w:t xml:space="preserve">The NSW System notifies the Economic Operator that the application for LPCO is registered and the Payment Service for the expected payment of fees/charges. </w:t>
            </w:r>
          </w:p>
        </w:tc>
      </w:tr>
      <w:tr w:rsidR="00157AAA" w14:paraId="3D98571F" w14:textId="77777777" w:rsidTr="001136D3">
        <w:tc>
          <w:tcPr>
            <w:tcW w:w="1255" w:type="dxa"/>
          </w:tcPr>
          <w:p w14:paraId="2FA29DD4" w14:textId="77777777" w:rsidR="00157AAA" w:rsidRDefault="006C1BE5">
            <w:pPr>
              <w:spacing w:after="0"/>
              <w:jc w:val="left"/>
              <w:rPr>
                <w:rFonts w:ascii="Times New Roman" w:hAnsi="Times New Roman"/>
                <w:szCs w:val="24"/>
              </w:rPr>
            </w:pPr>
            <w:r>
              <w:rPr>
                <w:rFonts w:ascii="Times New Roman" w:hAnsi="Times New Roman"/>
                <w:szCs w:val="24"/>
              </w:rPr>
              <w:t>End event</w:t>
            </w:r>
          </w:p>
        </w:tc>
        <w:tc>
          <w:tcPr>
            <w:tcW w:w="1890" w:type="dxa"/>
          </w:tcPr>
          <w:p w14:paraId="0C8DA649" w14:textId="77777777" w:rsidR="00157AAA" w:rsidRDefault="006C1BE5" w:rsidP="001136D3">
            <w:pPr>
              <w:spacing w:after="0"/>
              <w:jc w:val="left"/>
              <w:rPr>
                <w:rFonts w:ascii="Times New Roman" w:hAnsi="Times New Roman"/>
                <w:szCs w:val="24"/>
              </w:rPr>
            </w:pPr>
            <w:r>
              <w:rPr>
                <w:rFonts w:ascii="Times New Roman" w:hAnsi="Times New Roman"/>
                <w:szCs w:val="24"/>
              </w:rPr>
              <w:t>Application for LPCO Registered</w:t>
            </w:r>
          </w:p>
        </w:tc>
        <w:tc>
          <w:tcPr>
            <w:tcW w:w="5760" w:type="dxa"/>
          </w:tcPr>
          <w:p w14:paraId="3130F0F3" w14:textId="33089D34" w:rsidR="00157AAA" w:rsidRDefault="006C1BE5">
            <w:pPr>
              <w:spacing w:after="0"/>
              <w:rPr>
                <w:rFonts w:ascii="Times New Roman" w:hAnsi="Times New Roman"/>
                <w:szCs w:val="24"/>
              </w:rPr>
            </w:pPr>
            <w:r>
              <w:rPr>
                <w:rFonts w:ascii="Times New Roman" w:hAnsi="Times New Roman"/>
                <w:szCs w:val="24"/>
              </w:rPr>
              <w:t>The application for LPCO is registered</w:t>
            </w:r>
            <w:r w:rsidR="003E27B9">
              <w:rPr>
                <w:rFonts w:ascii="Times New Roman" w:hAnsi="Times New Roman"/>
                <w:szCs w:val="24"/>
              </w:rPr>
              <w:t>.</w:t>
            </w:r>
          </w:p>
        </w:tc>
      </w:tr>
      <w:tr w:rsidR="00157AAA" w14:paraId="1E1D9964" w14:textId="77777777" w:rsidTr="001136D3">
        <w:tc>
          <w:tcPr>
            <w:tcW w:w="1255" w:type="dxa"/>
          </w:tcPr>
          <w:p w14:paraId="1853069F" w14:textId="77777777" w:rsidR="00157AAA" w:rsidRDefault="006C1BE5">
            <w:pPr>
              <w:spacing w:after="0"/>
              <w:jc w:val="left"/>
              <w:rPr>
                <w:rFonts w:ascii="Times New Roman" w:hAnsi="Times New Roman"/>
                <w:szCs w:val="24"/>
              </w:rPr>
            </w:pPr>
            <w:r>
              <w:rPr>
                <w:rFonts w:ascii="Times New Roman" w:hAnsi="Times New Roman"/>
                <w:szCs w:val="24"/>
              </w:rPr>
              <w:t>Send Task</w:t>
            </w:r>
          </w:p>
        </w:tc>
        <w:tc>
          <w:tcPr>
            <w:tcW w:w="1890" w:type="dxa"/>
          </w:tcPr>
          <w:p w14:paraId="4431CABE" w14:textId="77777777" w:rsidR="00157AAA" w:rsidRDefault="006C1BE5" w:rsidP="001136D3">
            <w:pPr>
              <w:spacing w:after="0"/>
              <w:jc w:val="left"/>
              <w:rPr>
                <w:rFonts w:ascii="Times New Roman" w:hAnsi="Times New Roman"/>
                <w:szCs w:val="24"/>
              </w:rPr>
            </w:pPr>
            <w:r>
              <w:rPr>
                <w:rFonts w:ascii="Times New Roman" w:hAnsi="Times New Roman"/>
                <w:szCs w:val="24"/>
              </w:rPr>
              <w:t>Send Application for LPCO to Competent Authority</w:t>
            </w:r>
          </w:p>
        </w:tc>
        <w:tc>
          <w:tcPr>
            <w:tcW w:w="5760" w:type="dxa"/>
          </w:tcPr>
          <w:p w14:paraId="453BB1B7" w14:textId="663EF713" w:rsidR="00157AAA" w:rsidRDefault="006C1BE5" w:rsidP="005E6A97">
            <w:pPr>
              <w:spacing w:after="0"/>
              <w:rPr>
                <w:rFonts w:ascii="Times New Roman" w:hAnsi="Times New Roman"/>
                <w:szCs w:val="24"/>
              </w:rPr>
            </w:pPr>
            <w:r>
              <w:rPr>
                <w:rFonts w:ascii="Times New Roman" w:hAnsi="Times New Roman"/>
                <w:szCs w:val="24"/>
              </w:rPr>
              <w:t xml:space="preserve">If other governmental agency is to perform the issuing of the LPCO, then the application is sent to that system. Before sending the NSW System transforms the data using the transformation tables and sends the application to the other governmental system.  </w:t>
            </w:r>
          </w:p>
        </w:tc>
      </w:tr>
      <w:tr w:rsidR="00157AAA" w14:paraId="78E97745" w14:textId="77777777" w:rsidTr="001136D3">
        <w:tc>
          <w:tcPr>
            <w:tcW w:w="1255" w:type="dxa"/>
          </w:tcPr>
          <w:p w14:paraId="709257FC" w14:textId="77777777" w:rsidR="00157AAA" w:rsidRDefault="006C1BE5">
            <w:pPr>
              <w:spacing w:after="0"/>
              <w:jc w:val="left"/>
              <w:rPr>
                <w:rFonts w:ascii="Times New Roman" w:hAnsi="Times New Roman"/>
                <w:szCs w:val="24"/>
              </w:rPr>
            </w:pPr>
            <w:r>
              <w:rPr>
                <w:rFonts w:ascii="Times New Roman" w:hAnsi="Times New Roman"/>
                <w:szCs w:val="24"/>
              </w:rPr>
              <w:t>End Event</w:t>
            </w:r>
          </w:p>
        </w:tc>
        <w:tc>
          <w:tcPr>
            <w:tcW w:w="1890" w:type="dxa"/>
          </w:tcPr>
          <w:p w14:paraId="39464367" w14:textId="77777777" w:rsidR="00157AAA" w:rsidRDefault="006C1BE5" w:rsidP="001136D3">
            <w:pPr>
              <w:spacing w:after="0"/>
              <w:jc w:val="left"/>
              <w:rPr>
                <w:rFonts w:ascii="Times New Roman" w:hAnsi="Times New Roman"/>
                <w:szCs w:val="24"/>
              </w:rPr>
            </w:pPr>
            <w:r>
              <w:rPr>
                <w:rFonts w:ascii="Times New Roman" w:hAnsi="Times New Roman"/>
                <w:szCs w:val="24"/>
              </w:rPr>
              <w:t>Application for LPCO sent to Competent Authority</w:t>
            </w:r>
          </w:p>
        </w:tc>
        <w:tc>
          <w:tcPr>
            <w:tcW w:w="5760" w:type="dxa"/>
          </w:tcPr>
          <w:p w14:paraId="57948CC6" w14:textId="77777777" w:rsidR="00157AAA" w:rsidRDefault="006C1BE5">
            <w:pPr>
              <w:spacing w:after="0"/>
              <w:rPr>
                <w:rFonts w:ascii="Times New Roman" w:hAnsi="Times New Roman"/>
                <w:szCs w:val="24"/>
              </w:rPr>
            </w:pPr>
            <w:r>
              <w:rPr>
                <w:rFonts w:ascii="Times New Roman" w:hAnsi="Times New Roman"/>
                <w:szCs w:val="24"/>
              </w:rPr>
              <w:t>The application is sent to the Competent Authority.</w:t>
            </w:r>
          </w:p>
        </w:tc>
      </w:tr>
    </w:tbl>
    <w:p w14:paraId="2F918F20" w14:textId="77777777" w:rsidR="00157AAA" w:rsidRDefault="00157AAA">
      <w:pPr>
        <w:pStyle w:val="NoSpacing"/>
        <w:rPr>
          <w:rFonts w:eastAsia="Calibri"/>
        </w:rPr>
      </w:pPr>
    </w:p>
    <w:p w14:paraId="7E2C783E" w14:textId="77777777" w:rsidR="00157AAA" w:rsidRDefault="00157AAA">
      <w:pPr>
        <w:pStyle w:val="NoSpacing"/>
        <w:rPr>
          <w:rFonts w:eastAsia="Calibri"/>
        </w:rPr>
      </w:pPr>
    </w:p>
    <w:p w14:paraId="0B0DD684" w14:textId="77777777" w:rsidR="00157AAA" w:rsidRDefault="00157AAA">
      <w:pPr>
        <w:rPr>
          <w:rFonts w:eastAsia="Calibri"/>
          <w:szCs w:val="24"/>
        </w:rPr>
      </w:pPr>
    </w:p>
    <w:p w14:paraId="2CEB4053" w14:textId="77777777" w:rsidR="00157AAA" w:rsidRPr="008611E7" w:rsidRDefault="006C1BE5">
      <w:pPr>
        <w:ind w:right="-14"/>
        <w:jc w:val="left"/>
        <w:rPr>
          <w:b/>
          <w:szCs w:val="24"/>
        </w:rPr>
      </w:pPr>
      <w:r w:rsidRPr="008611E7">
        <w:rPr>
          <w:b/>
          <w:szCs w:val="24"/>
        </w:rPr>
        <w:t>Functional Requirements:</w:t>
      </w:r>
    </w:p>
    <w:tbl>
      <w:tblPr>
        <w:tblStyle w:val="TableGrid1"/>
        <w:tblW w:w="8815" w:type="dxa"/>
        <w:tblLook w:val="04A0" w:firstRow="1" w:lastRow="0" w:firstColumn="1" w:lastColumn="0" w:noHBand="0" w:noVBand="1"/>
      </w:tblPr>
      <w:tblGrid>
        <w:gridCol w:w="1165"/>
        <w:gridCol w:w="7650"/>
      </w:tblGrid>
      <w:tr w:rsidR="00157AAA" w14:paraId="28BA1D68" w14:textId="77777777" w:rsidTr="001136D3">
        <w:trPr>
          <w:tblHeader/>
        </w:trPr>
        <w:tc>
          <w:tcPr>
            <w:tcW w:w="1165" w:type="dxa"/>
            <w:tcBorders>
              <w:right w:val="single" w:sz="4" w:space="0" w:color="auto"/>
            </w:tcBorders>
            <w:shd w:val="clear" w:color="auto" w:fill="D9D9D9"/>
          </w:tcPr>
          <w:p w14:paraId="580F76BC" w14:textId="14DC7543" w:rsidR="00157AAA" w:rsidRDefault="006C1BE5">
            <w:pPr>
              <w:ind w:left="738" w:right="-14" w:hanging="738"/>
              <w:jc w:val="left"/>
              <w:rPr>
                <w:szCs w:val="24"/>
              </w:rPr>
            </w:pPr>
            <w:r>
              <w:rPr>
                <w:b/>
              </w:rPr>
              <w:lastRenderedPageBreak/>
              <w:t xml:space="preserve">ID </w:t>
            </w:r>
          </w:p>
        </w:tc>
        <w:tc>
          <w:tcPr>
            <w:tcW w:w="7650" w:type="dxa"/>
            <w:tcBorders>
              <w:top w:val="single" w:sz="4" w:space="0" w:color="auto"/>
              <w:left w:val="single" w:sz="4" w:space="0" w:color="auto"/>
              <w:bottom w:val="single" w:sz="4" w:space="0" w:color="auto"/>
              <w:right w:val="single" w:sz="4" w:space="0" w:color="auto"/>
            </w:tcBorders>
            <w:shd w:val="clear" w:color="auto" w:fill="D9D9D9"/>
          </w:tcPr>
          <w:p w14:paraId="644AE82E" w14:textId="77777777" w:rsidR="00157AAA" w:rsidRDefault="006C1BE5">
            <w:pPr>
              <w:jc w:val="left"/>
            </w:pPr>
            <w:r>
              <w:rPr>
                <w:b/>
              </w:rPr>
              <w:t>Description</w:t>
            </w:r>
          </w:p>
        </w:tc>
      </w:tr>
      <w:tr w:rsidR="00157AAA" w14:paraId="67101232" w14:textId="77777777" w:rsidTr="001136D3">
        <w:tc>
          <w:tcPr>
            <w:tcW w:w="1165" w:type="dxa"/>
            <w:tcBorders>
              <w:right w:val="single" w:sz="4" w:space="0" w:color="auto"/>
            </w:tcBorders>
          </w:tcPr>
          <w:p w14:paraId="0706D974" w14:textId="77777777" w:rsidR="00157AAA" w:rsidRDefault="006C1BE5">
            <w:pPr>
              <w:ind w:left="738" w:right="-14" w:hanging="738"/>
              <w:jc w:val="left"/>
              <w:rPr>
                <w:szCs w:val="24"/>
              </w:rPr>
            </w:pPr>
            <w:r>
              <w:rPr>
                <w:szCs w:val="24"/>
              </w:rPr>
              <w:t>FR15</w:t>
            </w:r>
          </w:p>
        </w:tc>
        <w:tc>
          <w:tcPr>
            <w:tcW w:w="7650" w:type="dxa"/>
            <w:tcBorders>
              <w:top w:val="single" w:sz="4" w:space="0" w:color="auto"/>
              <w:left w:val="single" w:sz="4" w:space="0" w:color="auto"/>
              <w:bottom w:val="single" w:sz="4" w:space="0" w:color="auto"/>
              <w:right w:val="single" w:sz="4" w:space="0" w:color="auto"/>
            </w:tcBorders>
          </w:tcPr>
          <w:p w14:paraId="2CD0F33C" w14:textId="77777777" w:rsidR="00157AAA" w:rsidRDefault="006C1BE5">
            <w:r>
              <w:rPr>
                <w:szCs w:val="24"/>
              </w:rPr>
              <w:t>The NSW shall provide for the NSW Operator, the configurable means to enforce control over which users can list/browse/view/edit/resubmit application and submission or lodgments - where a user could be a system or a person.</w:t>
            </w:r>
          </w:p>
        </w:tc>
      </w:tr>
      <w:tr w:rsidR="00157AAA" w14:paraId="38DBD167" w14:textId="77777777" w:rsidTr="001136D3">
        <w:tc>
          <w:tcPr>
            <w:tcW w:w="1165" w:type="dxa"/>
          </w:tcPr>
          <w:p w14:paraId="4F890D54" w14:textId="77777777" w:rsidR="00157AAA" w:rsidRDefault="006C1BE5">
            <w:pPr>
              <w:ind w:left="738" w:right="-14" w:hanging="738"/>
              <w:jc w:val="left"/>
              <w:rPr>
                <w:szCs w:val="24"/>
              </w:rPr>
            </w:pPr>
            <w:r>
              <w:rPr>
                <w:szCs w:val="24"/>
              </w:rPr>
              <w:t>FR108</w:t>
            </w:r>
          </w:p>
          <w:p w14:paraId="57D12CBA" w14:textId="77777777" w:rsidR="00157AAA" w:rsidRDefault="00157AAA">
            <w:pPr>
              <w:ind w:left="738" w:right="-14" w:hanging="738"/>
              <w:jc w:val="left"/>
              <w:rPr>
                <w:szCs w:val="24"/>
              </w:rPr>
            </w:pPr>
          </w:p>
        </w:tc>
        <w:tc>
          <w:tcPr>
            <w:tcW w:w="7650" w:type="dxa"/>
          </w:tcPr>
          <w:p w14:paraId="0EADB3EA" w14:textId="77777777" w:rsidR="00157AAA" w:rsidRDefault="006C1BE5">
            <w:r>
              <w:t>The system must support the capture and configuration of supporting documentation (scanning, crop, resize, etc.) at the time of application creation.</w:t>
            </w:r>
          </w:p>
        </w:tc>
      </w:tr>
      <w:tr w:rsidR="00157AAA" w14:paraId="53C6C915" w14:textId="77777777" w:rsidTr="001136D3">
        <w:tc>
          <w:tcPr>
            <w:tcW w:w="1165" w:type="dxa"/>
          </w:tcPr>
          <w:p w14:paraId="63FD3B80" w14:textId="77777777" w:rsidR="00157AAA" w:rsidRDefault="006C1BE5">
            <w:pPr>
              <w:ind w:left="738" w:right="-14" w:hanging="738"/>
              <w:jc w:val="left"/>
              <w:rPr>
                <w:szCs w:val="24"/>
              </w:rPr>
            </w:pPr>
            <w:r>
              <w:rPr>
                <w:szCs w:val="24"/>
              </w:rPr>
              <w:t>FR110</w:t>
            </w:r>
          </w:p>
          <w:p w14:paraId="04E08A99" w14:textId="77777777" w:rsidR="00157AAA" w:rsidRDefault="00157AAA">
            <w:pPr>
              <w:ind w:left="738" w:right="-14" w:hanging="738"/>
              <w:jc w:val="left"/>
              <w:rPr>
                <w:szCs w:val="24"/>
              </w:rPr>
            </w:pPr>
          </w:p>
        </w:tc>
        <w:tc>
          <w:tcPr>
            <w:tcW w:w="7650" w:type="dxa"/>
          </w:tcPr>
          <w:p w14:paraId="3531D50B" w14:textId="77777777" w:rsidR="00157AAA" w:rsidRDefault="006C1BE5">
            <w:r>
              <w:t>The System must support varied application forms and data sets for different CBRAs.</w:t>
            </w:r>
          </w:p>
        </w:tc>
      </w:tr>
      <w:tr w:rsidR="00157AAA" w14:paraId="57398856" w14:textId="77777777" w:rsidTr="001136D3">
        <w:tc>
          <w:tcPr>
            <w:tcW w:w="1165" w:type="dxa"/>
          </w:tcPr>
          <w:p w14:paraId="0C1D0C6A" w14:textId="77777777" w:rsidR="00157AAA" w:rsidRDefault="006C1BE5">
            <w:pPr>
              <w:ind w:left="738" w:right="-14" w:hanging="738"/>
              <w:jc w:val="left"/>
              <w:rPr>
                <w:szCs w:val="24"/>
              </w:rPr>
            </w:pPr>
            <w:r>
              <w:rPr>
                <w:szCs w:val="24"/>
              </w:rPr>
              <w:t>FR111</w:t>
            </w:r>
          </w:p>
          <w:p w14:paraId="5171F38E" w14:textId="77777777" w:rsidR="00157AAA" w:rsidRDefault="00157AAA">
            <w:pPr>
              <w:ind w:left="738" w:right="-14" w:hanging="738"/>
              <w:jc w:val="left"/>
              <w:rPr>
                <w:szCs w:val="24"/>
              </w:rPr>
            </w:pPr>
          </w:p>
        </w:tc>
        <w:tc>
          <w:tcPr>
            <w:tcW w:w="7650" w:type="dxa"/>
          </w:tcPr>
          <w:p w14:paraId="1B997F81" w14:textId="77777777" w:rsidR="00157AAA" w:rsidRDefault="006C1BE5">
            <w:pPr>
              <w:ind w:right="-14"/>
              <w:rPr>
                <w:szCs w:val="24"/>
              </w:rPr>
            </w:pPr>
            <w:r>
              <w:rPr>
                <w:szCs w:val="24"/>
              </w:rPr>
              <w:t xml:space="preserve">The applicant </w:t>
            </w:r>
            <w:r>
              <w:t xml:space="preserve">must </w:t>
            </w:r>
            <w:r>
              <w:rPr>
                <w:szCs w:val="24"/>
              </w:rPr>
              <w:t>be able to:</w:t>
            </w:r>
          </w:p>
          <w:p w14:paraId="6ABD476F" w14:textId="77777777" w:rsidR="00157AAA" w:rsidRDefault="006C1BE5" w:rsidP="00D530D5">
            <w:pPr>
              <w:numPr>
                <w:ilvl w:val="0"/>
                <w:numId w:val="65"/>
              </w:numPr>
              <w:ind w:right="-14"/>
              <w:contextualSpacing/>
              <w:rPr>
                <w:szCs w:val="24"/>
              </w:rPr>
            </w:pPr>
            <w:r>
              <w:rPr>
                <w:szCs w:val="24"/>
              </w:rPr>
              <w:t xml:space="preserve">Create new online LPCO applications by copying from previous </w:t>
            </w:r>
            <w:proofErr w:type="gramStart"/>
            <w:r>
              <w:rPr>
                <w:szCs w:val="24"/>
              </w:rPr>
              <w:t>applications;</w:t>
            </w:r>
            <w:proofErr w:type="gramEnd"/>
          </w:p>
          <w:p w14:paraId="7A6A69C7" w14:textId="77777777" w:rsidR="00157AAA" w:rsidRDefault="006C1BE5" w:rsidP="00D530D5">
            <w:pPr>
              <w:numPr>
                <w:ilvl w:val="0"/>
                <w:numId w:val="65"/>
              </w:numPr>
              <w:ind w:right="-14"/>
              <w:contextualSpacing/>
              <w:rPr>
                <w:szCs w:val="24"/>
              </w:rPr>
            </w:pPr>
            <w:r>
              <w:rPr>
                <w:szCs w:val="24"/>
              </w:rPr>
              <w:t>Check status of LPCO applications; and</w:t>
            </w:r>
          </w:p>
          <w:p w14:paraId="5F68EC2E" w14:textId="77777777" w:rsidR="00157AAA" w:rsidRDefault="006C1BE5" w:rsidP="00D530D5">
            <w:pPr>
              <w:numPr>
                <w:ilvl w:val="0"/>
                <w:numId w:val="65"/>
              </w:numPr>
              <w:ind w:right="-14"/>
              <w:contextualSpacing/>
              <w:rPr>
                <w:szCs w:val="24"/>
              </w:rPr>
            </w:pPr>
            <w:r>
              <w:rPr>
                <w:szCs w:val="24"/>
              </w:rPr>
              <w:t xml:space="preserve">Receive and </w:t>
            </w:r>
            <w:proofErr w:type="gramStart"/>
            <w:r>
              <w:rPr>
                <w:szCs w:val="24"/>
              </w:rPr>
              <w:t>reply</w:t>
            </w:r>
            <w:proofErr w:type="gramEnd"/>
            <w:r>
              <w:rPr>
                <w:szCs w:val="24"/>
              </w:rPr>
              <w:t xml:space="preserve"> queries from and to the relevant CBRA in relation to applications.</w:t>
            </w:r>
          </w:p>
        </w:tc>
      </w:tr>
      <w:tr w:rsidR="00157AAA" w14:paraId="6F1B6DA9" w14:textId="77777777" w:rsidTr="001136D3">
        <w:tc>
          <w:tcPr>
            <w:tcW w:w="1165" w:type="dxa"/>
          </w:tcPr>
          <w:p w14:paraId="55302D19" w14:textId="77777777" w:rsidR="00157AAA" w:rsidRDefault="006C1BE5">
            <w:pPr>
              <w:ind w:left="738" w:right="-14" w:hanging="738"/>
              <w:jc w:val="left"/>
              <w:rPr>
                <w:szCs w:val="24"/>
              </w:rPr>
            </w:pPr>
            <w:r>
              <w:rPr>
                <w:szCs w:val="24"/>
              </w:rPr>
              <w:t>FR112</w:t>
            </w:r>
          </w:p>
        </w:tc>
        <w:tc>
          <w:tcPr>
            <w:tcW w:w="7650" w:type="dxa"/>
          </w:tcPr>
          <w:p w14:paraId="343EFA77" w14:textId="77777777" w:rsidR="00157AAA" w:rsidRDefault="006C1BE5">
            <w:r>
              <w:t>The trader must be able to select type of LPCO, based on HS code, and apply using a form.</w:t>
            </w:r>
          </w:p>
        </w:tc>
      </w:tr>
      <w:tr w:rsidR="00157AAA" w14:paraId="62308C4E" w14:textId="77777777" w:rsidTr="001136D3">
        <w:tc>
          <w:tcPr>
            <w:tcW w:w="1165" w:type="dxa"/>
          </w:tcPr>
          <w:p w14:paraId="0A4AE2B6" w14:textId="77777777" w:rsidR="00157AAA" w:rsidRDefault="006C1BE5">
            <w:pPr>
              <w:ind w:left="738" w:right="-14" w:hanging="738"/>
              <w:jc w:val="left"/>
              <w:rPr>
                <w:szCs w:val="24"/>
              </w:rPr>
            </w:pPr>
            <w:r>
              <w:rPr>
                <w:szCs w:val="24"/>
              </w:rPr>
              <w:t>FR113</w:t>
            </w:r>
          </w:p>
        </w:tc>
        <w:tc>
          <w:tcPr>
            <w:tcW w:w="7650" w:type="dxa"/>
          </w:tcPr>
          <w:p w14:paraId="75E80C66" w14:textId="77777777" w:rsidR="00157AAA" w:rsidRDefault="006C1BE5">
            <w:r>
              <w:t>The system must be capable to handle different application forms for different LPCO and for different issuing agencies.</w:t>
            </w:r>
          </w:p>
        </w:tc>
      </w:tr>
      <w:tr w:rsidR="00157AAA" w14:paraId="21EA864D" w14:textId="77777777" w:rsidTr="001136D3">
        <w:tc>
          <w:tcPr>
            <w:tcW w:w="1165" w:type="dxa"/>
          </w:tcPr>
          <w:p w14:paraId="7B8371DC" w14:textId="77777777" w:rsidR="00157AAA" w:rsidRDefault="006C1BE5">
            <w:pPr>
              <w:ind w:left="738" w:right="-14" w:hanging="738"/>
              <w:jc w:val="left"/>
              <w:rPr>
                <w:szCs w:val="24"/>
              </w:rPr>
            </w:pPr>
            <w:r>
              <w:rPr>
                <w:szCs w:val="24"/>
              </w:rPr>
              <w:t>FR114</w:t>
            </w:r>
          </w:p>
        </w:tc>
        <w:tc>
          <w:tcPr>
            <w:tcW w:w="7650" w:type="dxa"/>
          </w:tcPr>
          <w:p w14:paraId="7CB409D7" w14:textId="77777777" w:rsidR="00157AAA" w:rsidRDefault="006C1BE5">
            <w:r>
              <w:t>The Applicant (being a registered user) may submit his application via his registered employee or an agent subject to the online submission of a letter of authorization signed by the registered user.</w:t>
            </w:r>
          </w:p>
        </w:tc>
      </w:tr>
      <w:tr w:rsidR="00157AAA" w14:paraId="0140A9AE" w14:textId="77777777" w:rsidTr="001136D3">
        <w:tc>
          <w:tcPr>
            <w:tcW w:w="1165" w:type="dxa"/>
          </w:tcPr>
          <w:p w14:paraId="3D2F01ED" w14:textId="77777777" w:rsidR="00157AAA" w:rsidRDefault="006C1BE5">
            <w:pPr>
              <w:ind w:left="738" w:right="-14" w:hanging="738"/>
              <w:jc w:val="left"/>
              <w:rPr>
                <w:szCs w:val="24"/>
              </w:rPr>
            </w:pPr>
            <w:r>
              <w:rPr>
                <w:szCs w:val="24"/>
              </w:rPr>
              <w:t>FR115</w:t>
            </w:r>
          </w:p>
          <w:p w14:paraId="4F69C5A7" w14:textId="77777777" w:rsidR="00157AAA" w:rsidRDefault="00157AAA">
            <w:pPr>
              <w:ind w:left="738" w:right="-14" w:hanging="738"/>
              <w:jc w:val="left"/>
              <w:rPr>
                <w:szCs w:val="24"/>
              </w:rPr>
            </w:pPr>
          </w:p>
        </w:tc>
        <w:tc>
          <w:tcPr>
            <w:tcW w:w="7650" w:type="dxa"/>
          </w:tcPr>
          <w:p w14:paraId="27D0685E" w14:textId="77777777" w:rsidR="00157AAA" w:rsidRDefault="006C1BE5">
            <w:r>
              <w:t xml:space="preserve">The Applicant must be able to pay any requisite LPCO fee online including the first-time application </w:t>
            </w:r>
            <w:proofErr w:type="gramStart"/>
            <w:r>
              <w:t>fee</w:t>
            </w:r>
            <w:proofErr w:type="gramEnd"/>
            <w:r>
              <w:t xml:space="preserve"> or any other fee specified to be payable, via the NSW System facilitated by the Payment functionality.</w:t>
            </w:r>
          </w:p>
        </w:tc>
      </w:tr>
      <w:tr w:rsidR="00157AAA" w14:paraId="7609DBEA" w14:textId="77777777" w:rsidTr="001136D3">
        <w:tc>
          <w:tcPr>
            <w:tcW w:w="1165" w:type="dxa"/>
          </w:tcPr>
          <w:p w14:paraId="28BA2F49" w14:textId="77777777" w:rsidR="00157AAA" w:rsidRDefault="006C1BE5">
            <w:pPr>
              <w:ind w:left="738" w:right="-14" w:hanging="738"/>
              <w:jc w:val="left"/>
              <w:rPr>
                <w:szCs w:val="24"/>
              </w:rPr>
            </w:pPr>
            <w:r>
              <w:rPr>
                <w:szCs w:val="24"/>
              </w:rPr>
              <w:t>FR116</w:t>
            </w:r>
          </w:p>
          <w:p w14:paraId="09B4CA68" w14:textId="77777777" w:rsidR="00157AAA" w:rsidRDefault="00157AAA">
            <w:pPr>
              <w:ind w:right="-14"/>
              <w:jc w:val="left"/>
              <w:rPr>
                <w:szCs w:val="24"/>
              </w:rPr>
            </w:pPr>
          </w:p>
        </w:tc>
        <w:tc>
          <w:tcPr>
            <w:tcW w:w="7650" w:type="dxa"/>
          </w:tcPr>
          <w:p w14:paraId="77C5B050" w14:textId="77777777" w:rsidR="00157AAA" w:rsidRDefault="006C1BE5">
            <w:r>
              <w:t xml:space="preserve">The Applicant must be able to submit his retrospective application of LPCO. Under normal </w:t>
            </w:r>
            <w:proofErr w:type="gramStart"/>
            <w:r>
              <w:t>condition</w:t>
            </w:r>
            <w:proofErr w:type="gramEnd"/>
            <w:r>
              <w:t>, the LPCO should be applied before the goods have arrived in the country. However, for some types of LPCO, the trader can apply for the LPCO after the goods have arrived in the country but before cargo clearance according to the practices of the concerned CBRAs.</w:t>
            </w:r>
          </w:p>
        </w:tc>
      </w:tr>
      <w:tr w:rsidR="007F01C2" w14:paraId="225D72F2" w14:textId="77777777" w:rsidTr="001136D3">
        <w:tc>
          <w:tcPr>
            <w:tcW w:w="1165" w:type="dxa"/>
          </w:tcPr>
          <w:p w14:paraId="5F77525C" w14:textId="782B5255" w:rsidR="007F01C2" w:rsidRDefault="007F01C2" w:rsidP="007F01C2">
            <w:pPr>
              <w:ind w:left="738" w:right="-14" w:hanging="738"/>
              <w:jc w:val="left"/>
              <w:rPr>
                <w:szCs w:val="24"/>
              </w:rPr>
            </w:pPr>
            <w:r>
              <w:rPr>
                <w:szCs w:val="24"/>
              </w:rPr>
              <w:t>FR117</w:t>
            </w:r>
          </w:p>
        </w:tc>
        <w:tc>
          <w:tcPr>
            <w:tcW w:w="7650" w:type="dxa"/>
          </w:tcPr>
          <w:p w14:paraId="7F9F6E75" w14:textId="1B612092" w:rsidR="007F01C2" w:rsidRDefault="007F01C2" w:rsidP="007F01C2">
            <w:r>
              <w:rPr>
                <w:szCs w:val="24"/>
              </w:rPr>
              <w:t>The Applicant shall be able to change or update the information submitted for an application earlier as well as the associated supporting documentation. There should be no limitations regarding adding new, updating existing or deletion of associated documentation prior to submission. The NSW System must ensure that only the originating applicant (or his authorized representative) can change/update the application.</w:t>
            </w:r>
          </w:p>
        </w:tc>
      </w:tr>
      <w:tr w:rsidR="007F01C2" w14:paraId="2D9193C7" w14:textId="77777777" w:rsidTr="001136D3">
        <w:tc>
          <w:tcPr>
            <w:tcW w:w="1165" w:type="dxa"/>
          </w:tcPr>
          <w:p w14:paraId="4CBA1145" w14:textId="04581DC1" w:rsidR="007F01C2" w:rsidRDefault="007F01C2" w:rsidP="007F01C2">
            <w:pPr>
              <w:ind w:left="738" w:right="-14" w:hanging="738"/>
              <w:jc w:val="left"/>
              <w:rPr>
                <w:szCs w:val="24"/>
              </w:rPr>
            </w:pPr>
            <w:r>
              <w:rPr>
                <w:szCs w:val="24"/>
              </w:rPr>
              <w:t>FR118</w:t>
            </w:r>
          </w:p>
        </w:tc>
        <w:tc>
          <w:tcPr>
            <w:tcW w:w="7650" w:type="dxa"/>
          </w:tcPr>
          <w:p w14:paraId="193551D8" w14:textId="658D99F4" w:rsidR="007F01C2" w:rsidRDefault="007F01C2" w:rsidP="007F01C2">
            <w:pPr>
              <w:rPr>
                <w:szCs w:val="24"/>
              </w:rPr>
            </w:pPr>
            <w:r>
              <w:rPr>
                <w:szCs w:val="24"/>
              </w:rPr>
              <w:t xml:space="preserve">The NSW system shall provide functionality to submit LPCO applications with associated documentation. There should be no restriction regarding the format of the supporting documentation; it shall be possible to associate text documents, films, sound recordings, pictures, etc. </w:t>
            </w:r>
          </w:p>
        </w:tc>
      </w:tr>
      <w:tr w:rsidR="007F01C2" w14:paraId="46CFE10E" w14:textId="77777777" w:rsidTr="001136D3">
        <w:tc>
          <w:tcPr>
            <w:tcW w:w="1165" w:type="dxa"/>
          </w:tcPr>
          <w:p w14:paraId="7CE67382" w14:textId="2A99B3A5" w:rsidR="007F01C2" w:rsidRDefault="007F01C2" w:rsidP="007F01C2">
            <w:pPr>
              <w:ind w:left="738" w:right="-14" w:hanging="738"/>
              <w:jc w:val="left"/>
              <w:rPr>
                <w:szCs w:val="24"/>
              </w:rPr>
            </w:pPr>
            <w:r>
              <w:rPr>
                <w:szCs w:val="24"/>
              </w:rPr>
              <w:lastRenderedPageBreak/>
              <w:t>FR119</w:t>
            </w:r>
          </w:p>
        </w:tc>
        <w:tc>
          <w:tcPr>
            <w:tcW w:w="7650" w:type="dxa"/>
          </w:tcPr>
          <w:p w14:paraId="2FEA33BF" w14:textId="27EF83A2" w:rsidR="007F01C2" w:rsidRDefault="007F01C2" w:rsidP="007F01C2">
            <w:pPr>
              <w:rPr>
                <w:szCs w:val="24"/>
              </w:rPr>
            </w:pPr>
            <w:r>
              <w:rPr>
                <w:szCs w:val="24"/>
              </w:rPr>
              <w:t>The NSW System shall allow CBRAs to configure a list of pre-qualified prerequisite supporting document reference number (e.g., Import / Export Registration Number, etc.) to be checked by the NSW System automatically to facilitate the Applicant’s application.</w:t>
            </w:r>
          </w:p>
        </w:tc>
      </w:tr>
      <w:tr w:rsidR="007F01C2" w14:paraId="5D578C68" w14:textId="77777777" w:rsidTr="001136D3">
        <w:tc>
          <w:tcPr>
            <w:tcW w:w="1165" w:type="dxa"/>
          </w:tcPr>
          <w:p w14:paraId="251FE44D" w14:textId="77777777" w:rsidR="007F01C2" w:rsidRDefault="007F01C2" w:rsidP="007F01C2">
            <w:pPr>
              <w:ind w:left="738" w:right="-14" w:hanging="738"/>
              <w:jc w:val="left"/>
              <w:rPr>
                <w:szCs w:val="24"/>
              </w:rPr>
            </w:pPr>
            <w:r>
              <w:rPr>
                <w:szCs w:val="24"/>
              </w:rPr>
              <w:t>FR120</w:t>
            </w:r>
          </w:p>
        </w:tc>
        <w:tc>
          <w:tcPr>
            <w:tcW w:w="7650" w:type="dxa"/>
          </w:tcPr>
          <w:p w14:paraId="53862C1F" w14:textId="77777777" w:rsidR="007F01C2" w:rsidRDefault="007F01C2" w:rsidP="007F01C2">
            <w:r>
              <w:t>The System must provide functionality to view an application form with all associated documentation.</w:t>
            </w:r>
          </w:p>
        </w:tc>
      </w:tr>
      <w:tr w:rsidR="007F01C2" w14:paraId="67C38406" w14:textId="77777777" w:rsidTr="001136D3">
        <w:tc>
          <w:tcPr>
            <w:tcW w:w="1165" w:type="dxa"/>
          </w:tcPr>
          <w:p w14:paraId="2324DBC3" w14:textId="77777777" w:rsidR="007F01C2" w:rsidRDefault="007F01C2" w:rsidP="007F01C2">
            <w:pPr>
              <w:ind w:left="738" w:right="-14" w:hanging="738"/>
              <w:jc w:val="left"/>
              <w:rPr>
                <w:szCs w:val="24"/>
              </w:rPr>
            </w:pPr>
            <w:r>
              <w:rPr>
                <w:szCs w:val="24"/>
              </w:rPr>
              <w:t>FR122</w:t>
            </w:r>
          </w:p>
        </w:tc>
        <w:tc>
          <w:tcPr>
            <w:tcW w:w="7650" w:type="dxa"/>
          </w:tcPr>
          <w:p w14:paraId="580F8DE6" w14:textId="77777777" w:rsidR="007F01C2" w:rsidRDefault="007F01C2" w:rsidP="007F01C2">
            <w:r>
              <w:t>The Applicant may submit the same set of application details for application of multiple number of the same type of LPCO.</w:t>
            </w:r>
          </w:p>
        </w:tc>
      </w:tr>
      <w:tr w:rsidR="007F01C2" w14:paraId="56063656" w14:textId="77777777" w:rsidTr="001136D3">
        <w:tc>
          <w:tcPr>
            <w:tcW w:w="1165" w:type="dxa"/>
          </w:tcPr>
          <w:p w14:paraId="52ACC15B" w14:textId="77777777" w:rsidR="007F01C2" w:rsidRDefault="007F01C2" w:rsidP="007F01C2">
            <w:pPr>
              <w:ind w:left="738" w:right="-14" w:hanging="738"/>
              <w:jc w:val="left"/>
              <w:rPr>
                <w:szCs w:val="24"/>
              </w:rPr>
            </w:pPr>
            <w:r>
              <w:rPr>
                <w:szCs w:val="24"/>
              </w:rPr>
              <w:t>FR123</w:t>
            </w:r>
          </w:p>
        </w:tc>
        <w:tc>
          <w:tcPr>
            <w:tcW w:w="7650" w:type="dxa"/>
          </w:tcPr>
          <w:p w14:paraId="48829E78" w14:textId="77777777" w:rsidR="007F01C2" w:rsidRDefault="007F01C2" w:rsidP="007F01C2">
            <w:r>
              <w:t>The Applicant may submit the same application for different types of LPCOs.</w:t>
            </w:r>
          </w:p>
        </w:tc>
      </w:tr>
      <w:tr w:rsidR="007F01C2" w14:paraId="27FB483B" w14:textId="77777777" w:rsidTr="001136D3">
        <w:tc>
          <w:tcPr>
            <w:tcW w:w="1165" w:type="dxa"/>
          </w:tcPr>
          <w:p w14:paraId="475F6BCA" w14:textId="77777777" w:rsidR="007F01C2" w:rsidRDefault="007F01C2" w:rsidP="007F01C2">
            <w:pPr>
              <w:ind w:left="738" w:right="-14" w:hanging="738"/>
              <w:jc w:val="left"/>
              <w:rPr>
                <w:szCs w:val="24"/>
              </w:rPr>
            </w:pPr>
            <w:r>
              <w:rPr>
                <w:szCs w:val="24"/>
              </w:rPr>
              <w:t>FR124</w:t>
            </w:r>
          </w:p>
          <w:p w14:paraId="32B70976" w14:textId="77777777" w:rsidR="007F01C2" w:rsidRDefault="007F01C2" w:rsidP="007F01C2">
            <w:pPr>
              <w:ind w:left="738" w:right="-14" w:hanging="738"/>
              <w:jc w:val="left"/>
              <w:rPr>
                <w:szCs w:val="24"/>
              </w:rPr>
            </w:pPr>
          </w:p>
        </w:tc>
        <w:tc>
          <w:tcPr>
            <w:tcW w:w="7650" w:type="dxa"/>
          </w:tcPr>
          <w:p w14:paraId="32F2CEFB" w14:textId="77777777" w:rsidR="007F01C2" w:rsidRDefault="007F01C2" w:rsidP="007F01C2">
            <w:r>
              <w:t>The Applicant may submit application details for another LPCO in support of his application of the current LPCO.</w:t>
            </w:r>
          </w:p>
        </w:tc>
      </w:tr>
      <w:tr w:rsidR="007F01C2" w14:paraId="6C08A2D9" w14:textId="77777777" w:rsidTr="001136D3">
        <w:tc>
          <w:tcPr>
            <w:tcW w:w="1165" w:type="dxa"/>
          </w:tcPr>
          <w:p w14:paraId="6E0EB920" w14:textId="77777777" w:rsidR="007F01C2" w:rsidRDefault="007F01C2" w:rsidP="007F01C2">
            <w:pPr>
              <w:ind w:left="738" w:right="-14" w:hanging="738"/>
              <w:jc w:val="left"/>
              <w:rPr>
                <w:szCs w:val="24"/>
              </w:rPr>
            </w:pPr>
            <w:r>
              <w:rPr>
                <w:szCs w:val="24"/>
              </w:rPr>
              <w:t>FR125</w:t>
            </w:r>
          </w:p>
          <w:p w14:paraId="45E0FB95" w14:textId="77777777" w:rsidR="007F01C2" w:rsidRDefault="007F01C2" w:rsidP="007F01C2">
            <w:pPr>
              <w:ind w:left="738" w:right="-14" w:hanging="738"/>
              <w:jc w:val="left"/>
              <w:rPr>
                <w:szCs w:val="24"/>
              </w:rPr>
            </w:pPr>
          </w:p>
        </w:tc>
        <w:tc>
          <w:tcPr>
            <w:tcW w:w="7650" w:type="dxa"/>
          </w:tcPr>
          <w:p w14:paraId="63205FD0" w14:textId="77777777" w:rsidR="007F01C2" w:rsidRDefault="007F01C2" w:rsidP="007F01C2">
            <w:r>
              <w:t xml:space="preserve">The System must conduct data validation and ensure valid and completeness of application, and then route the LPCO application with supporting documents uploaded by the applicant to the CBRA’s system, which shall respond with acknowledgment of receipt message. </w:t>
            </w:r>
          </w:p>
        </w:tc>
      </w:tr>
      <w:tr w:rsidR="007F01C2" w14:paraId="6A0AD50F" w14:textId="77777777" w:rsidTr="001136D3">
        <w:tc>
          <w:tcPr>
            <w:tcW w:w="1165" w:type="dxa"/>
          </w:tcPr>
          <w:p w14:paraId="225C5B71" w14:textId="77777777" w:rsidR="007F01C2" w:rsidRDefault="007F01C2" w:rsidP="007F01C2">
            <w:pPr>
              <w:ind w:left="738" w:right="-14" w:hanging="738"/>
              <w:jc w:val="left"/>
              <w:rPr>
                <w:szCs w:val="24"/>
              </w:rPr>
            </w:pPr>
            <w:r>
              <w:rPr>
                <w:szCs w:val="24"/>
              </w:rPr>
              <w:t>FR127</w:t>
            </w:r>
          </w:p>
        </w:tc>
        <w:tc>
          <w:tcPr>
            <w:tcW w:w="7650" w:type="dxa"/>
          </w:tcPr>
          <w:p w14:paraId="4C2CB439" w14:textId="77777777" w:rsidR="007F01C2" w:rsidRDefault="007F01C2" w:rsidP="007F01C2">
            <w:r>
              <w:t>Upon approval, the system must compute the LPCO fees and charges (if any) and send a payment advice to the applicant, with a copy to update in the CBRA system.</w:t>
            </w:r>
          </w:p>
        </w:tc>
      </w:tr>
      <w:tr w:rsidR="002C0A7C" w14:paraId="701058BD" w14:textId="77777777" w:rsidTr="001136D3">
        <w:tc>
          <w:tcPr>
            <w:tcW w:w="1165" w:type="dxa"/>
          </w:tcPr>
          <w:p w14:paraId="35DBE6C2" w14:textId="4B8D0912" w:rsidR="002C0A7C" w:rsidRDefault="002C0A7C" w:rsidP="002C0A7C">
            <w:pPr>
              <w:ind w:left="738" w:right="-14" w:hanging="738"/>
              <w:jc w:val="left"/>
              <w:rPr>
                <w:szCs w:val="24"/>
              </w:rPr>
            </w:pPr>
            <w:r>
              <w:rPr>
                <w:szCs w:val="24"/>
              </w:rPr>
              <w:t>FR138</w:t>
            </w:r>
          </w:p>
        </w:tc>
        <w:tc>
          <w:tcPr>
            <w:tcW w:w="7650" w:type="dxa"/>
          </w:tcPr>
          <w:p w14:paraId="503082A2" w14:textId="2D8B140D" w:rsidR="002C0A7C" w:rsidRDefault="002C0A7C" w:rsidP="002C0A7C">
            <w:r>
              <w:rPr>
                <w:szCs w:val="24"/>
              </w:rPr>
              <w:t xml:space="preserve">Based on pre-defined conditions for application approval, the NSW System must enable the CBRA workflow to assign different ranks of CBRAs to verify, process and approve the application accordingly. </w:t>
            </w:r>
          </w:p>
        </w:tc>
      </w:tr>
      <w:tr w:rsidR="002C0A7C" w14:paraId="1C15FED1" w14:textId="77777777" w:rsidTr="001136D3">
        <w:tc>
          <w:tcPr>
            <w:tcW w:w="1165" w:type="dxa"/>
          </w:tcPr>
          <w:p w14:paraId="37B7AAF9" w14:textId="1D188CCC" w:rsidR="002C0A7C" w:rsidRDefault="002C0A7C" w:rsidP="002C0A7C">
            <w:pPr>
              <w:ind w:left="738" w:right="-14" w:hanging="738"/>
              <w:jc w:val="left"/>
              <w:rPr>
                <w:szCs w:val="24"/>
              </w:rPr>
            </w:pPr>
            <w:r>
              <w:rPr>
                <w:szCs w:val="24"/>
              </w:rPr>
              <w:t>FR167</w:t>
            </w:r>
          </w:p>
        </w:tc>
        <w:tc>
          <w:tcPr>
            <w:tcW w:w="7650" w:type="dxa"/>
          </w:tcPr>
          <w:p w14:paraId="66F65F1F" w14:textId="77777777" w:rsidR="002C0A7C" w:rsidRDefault="002C0A7C" w:rsidP="002C0A7C">
            <w:pPr>
              <w:rPr>
                <w:szCs w:val="24"/>
              </w:rPr>
            </w:pPr>
            <w:r>
              <w:rPr>
                <w:szCs w:val="24"/>
              </w:rPr>
              <w:t xml:space="preserve">The NSW must give the user the possibility to find correct and valid certificate information for given HS codes. The output shall be </w:t>
            </w:r>
            <w:proofErr w:type="gramStart"/>
            <w:r>
              <w:rPr>
                <w:szCs w:val="24"/>
              </w:rPr>
              <w:t>result</w:t>
            </w:r>
            <w:proofErr w:type="gramEnd"/>
            <w:r>
              <w:rPr>
                <w:szCs w:val="24"/>
              </w:rPr>
              <w:t xml:space="preserve"> page containing one or more records of certificate types. A record shall consist of following attributes:</w:t>
            </w:r>
          </w:p>
          <w:p w14:paraId="14AC1E47" w14:textId="77777777" w:rsidR="002C0A7C" w:rsidRDefault="002C0A7C" w:rsidP="00D530D5">
            <w:pPr>
              <w:pStyle w:val="ListParagraph"/>
              <w:numPr>
                <w:ilvl w:val="0"/>
                <w:numId w:val="110"/>
              </w:numPr>
              <w:rPr>
                <w:szCs w:val="24"/>
              </w:rPr>
            </w:pPr>
            <w:proofErr w:type="gramStart"/>
            <w:r>
              <w:rPr>
                <w:szCs w:val="24"/>
              </w:rPr>
              <w:t>Name;</w:t>
            </w:r>
            <w:proofErr w:type="gramEnd"/>
          </w:p>
          <w:p w14:paraId="3170186D" w14:textId="77777777" w:rsidR="002C0A7C" w:rsidRDefault="002C0A7C" w:rsidP="00D530D5">
            <w:pPr>
              <w:pStyle w:val="ListParagraph"/>
              <w:numPr>
                <w:ilvl w:val="0"/>
                <w:numId w:val="110"/>
              </w:numPr>
              <w:rPr>
                <w:szCs w:val="24"/>
              </w:rPr>
            </w:pPr>
            <w:r>
              <w:rPr>
                <w:szCs w:val="24"/>
              </w:rPr>
              <w:t>Validity period; and</w:t>
            </w:r>
          </w:p>
          <w:p w14:paraId="1C26EB1A" w14:textId="6826BEBC" w:rsidR="002C0A7C" w:rsidRPr="002C0A7C" w:rsidRDefault="002C0A7C" w:rsidP="00D530D5">
            <w:pPr>
              <w:pStyle w:val="ListParagraph"/>
              <w:numPr>
                <w:ilvl w:val="0"/>
                <w:numId w:val="110"/>
              </w:numPr>
              <w:rPr>
                <w:szCs w:val="24"/>
              </w:rPr>
            </w:pPr>
            <w:r w:rsidRPr="002C0A7C">
              <w:rPr>
                <w:szCs w:val="24"/>
              </w:rPr>
              <w:t>Description.</w:t>
            </w:r>
          </w:p>
        </w:tc>
      </w:tr>
      <w:tr w:rsidR="002C0A7C" w14:paraId="6343B3EC" w14:textId="77777777" w:rsidTr="001136D3">
        <w:tc>
          <w:tcPr>
            <w:tcW w:w="1165" w:type="dxa"/>
          </w:tcPr>
          <w:p w14:paraId="1BB068F5" w14:textId="6C068839" w:rsidR="002C0A7C" w:rsidRDefault="002C0A7C" w:rsidP="002C0A7C">
            <w:pPr>
              <w:ind w:left="738" w:right="-14" w:hanging="738"/>
              <w:jc w:val="left"/>
              <w:rPr>
                <w:szCs w:val="24"/>
              </w:rPr>
            </w:pPr>
            <w:r>
              <w:rPr>
                <w:szCs w:val="24"/>
              </w:rPr>
              <w:t>FR227</w:t>
            </w:r>
          </w:p>
        </w:tc>
        <w:tc>
          <w:tcPr>
            <w:tcW w:w="7650" w:type="dxa"/>
          </w:tcPr>
          <w:p w14:paraId="59B72CEF" w14:textId="5D4CF2AC" w:rsidR="002C0A7C" w:rsidRDefault="002C0A7C" w:rsidP="002C0A7C">
            <w:r>
              <w:t>The system must be able to compute all taxes, fees, fines, penalties, and charges based on computable parameters. It should also compute late payment fees, payable interest etc.</w:t>
            </w:r>
          </w:p>
        </w:tc>
      </w:tr>
      <w:tr w:rsidR="002C0A7C" w14:paraId="510B8049" w14:textId="77777777" w:rsidTr="001136D3">
        <w:tc>
          <w:tcPr>
            <w:tcW w:w="1165" w:type="dxa"/>
          </w:tcPr>
          <w:p w14:paraId="494EECB5" w14:textId="77777777" w:rsidR="002C0A7C" w:rsidRDefault="002C0A7C" w:rsidP="002C0A7C">
            <w:pPr>
              <w:ind w:left="738" w:right="-14" w:hanging="738"/>
              <w:jc w:val="left"/>
              <w:rPr>
                <w:szCs w:val="24"/>
              </w:rPr>
            </w:pPr>
            <w:r>
              <w:rPr>
                <w:szCs w:val="24"/>
              </w:rPr>
              <w:t>FR239</w:t>
            </w:r>
          </w:p>
        </w:tc>
        <w:tc>
          <w:tcPr>
            <w:tcW w:w="7650" w:type="dxa"/>
          </w:tcPr>
          <w:p w14:paraId="73DBC46D" w14:textId="77777777" w:rsidR="002C0A7C" w:rsidRDefault="002C0A7C" w:rsidP="002C0A7C">
            <w:r>
              <w:rPr>
                <w:szCs w:val="24"/>
              </w:rPr>
              <w:t xml:space="preserve">The system </w:t>
            </w:r>
            <w:r>
              <w:t xml:space="preserve">must </w:t>
            </w:r>
            <w:r>
              <w:rPr>
                <w:szCs w:val="24"/>
              </w:rPr>
              <w:t>provide functionality to create a payment advice that contains all necessary information to conduct a payment and produce a receipt of the actual payment.</w:t>
            </w:r>
          </w:p>
        </w:tc>
      </w:tr>
      <w:tr w:rsidR="002C0A7C" w14:paraId="7C2A4AD9" w14:textId="77777777" w:rsidTr="001136D3">
        <w:tc>
          <w:tcPr>
            <w:tcW w:w="1165" w:type="dxa"/>
          </w:tcPr>
          <w:p w14:paraId="41453F92" w14:textId="77777777" w:rsidR="002C0A7C" w:rsidRDefault="002C0A7C" w:rsidP="002C0A7C">
            <w:pPr>
              <w:ind w:left="738" w:right="-14" w:hanging="738"/>
              <w:jc w:val="left"/>
              <w:rPr>
                <w:szCs w:val="24"/>
              </w:rPr>
            </w:pPr>
            <w:r>
              <w:rPr>
                <w:szCs w:val="24"/>
              </w:rPr>
              <w:t>FR402</w:t>
            </w:r>
          </w:p>
        </w:tc>
        <w:tc>
          <w:tcPr>
            <w:tcW w:w="7650" w:type="dxa"/>
          </w:tcPr>
          <w:p w14:paraId="18A48FB8" w14:textId="77777777" w:rsidR="002C0A7C" w:rsidRDefault="002C0A7C" w:rsidP="002C0A7C">
            <w:r>
              <w:t>The system must be able to perform technical validation of the application for LPCO.</w:t>
            </w:r>
          </w:p>
        </w:tc>
      </w:tr>
      <w:tr w:rsidR="002C0A7C" w14:paraId="5A1FB9B9" w14:textId="77777777" w:rsidTr="001136D3">
        <w:tc>
          <w:tcPr>
            <w:tcW w:w="1165" w:type="dxa"/>
          </w:tcPr>
          <w:p w14:paraId="7D867232" w14:textId="77777777" w:rsidR="002C0A7C" w:rsidRDefault="002C0A7C" w:rsidP="002C0A7C">
            <w:pPr>
              <w:ind w:left="738" w:right="-14" w:hanging="738"/>
              <w:jc w:val="left"/>
              <w:rPr>
                <w:szCs w:val="24"/>
              </w:rPr>
            </w:pPr>
            <w:r>
              <w:rPr>
                <w:szCs w:val="24"/>
              </w:rPr>
              <w:t>FR403</w:t>
            </w:r>
          </w:p>
        </w:tc>
        <w:tc>
          <w:tcPr>
            <w:tcW w:w="7650" w:type="dxa"/>
          </w:tcPr>
          <w:p w14:paraId="29D7E2AC" w14:textId="77777777" w:rsidR="002C0A7C" w:rsidRDefault="002C0A7C" w:rsidP="002C0A7C">
            <w:r>
              <w:t>The system must be able to check where the LPCO need to be registered.</w:t>
            </w:r>
          </w:p>
        </w:tc>
      </w:tr>
      <w:tr w:rsidR="002C0A7C" w14:paraId="3E633599" w14:textId="77777777" w:rsidTr="001136D3">
        <w:tc>
          <w:tcPr>
            <w:tcW w:w="1165" w:type="dxa"/>
          </w:tcPr>
          <w:p w14:paraId="0E24D4DD" w14:textId="77777777" w:rsidR="002C0A7C" w:rsidRDefault="002C0A7C" w:rsidP="002C0A7C">
            <w:pPr>
              <w:ind w:left="738" w:right="-14" w:hanging="738"/>
              <w:jc w:val="left"/>
              <w:rPr>
                <w:szCs w:val="24"/>
              </w:rPr>
            </w:pPr>
            <w:r>
              <w:rPr>
                <w:szCs w:val="24"/>
              </w:rPr>
              <w:lastRenderedPageBreak/>
              <w:t>FR404</w:t>
            </w:r>
          </w:p>
        </w:tc>
        <w:tc>
          <w:tcPr>
            <w:tcW w:w="7650" w:type="dxa"/>
          </w:tcPr>
          <w:p w14:paraId="3606CFEB" w14:textId="77777777" w:rsidR="002C0A7C" w:rsidRDefault="002C0A7C" w:rsidP="002C0A7C">
            <w:r>
              <w:t>The system must be able to Reject Application for LPCO.</w:t>
            </w:r>
          </w:p>
        </w:tc>
      </w:tr>
      <w:tr w:rsidR="002C0A7C" w14:paraId="58C8A944" w14:textId="77777777" w:rsidTr="001136D3">
        <w:tc>
          <w:tcPr>
            <w:tcW w:w="1165" w:type="dxa"/>
          </w:tcPr>
          <w:p w14:paraId="7F0C1681" w14:textId="77777777" w:rsidR="002C0A7C" w:rsidRDefault="002C0A7C" w:rsidP="002C0A7C">
            <w:pPr>
              <w:ind w:left="738" w:right="-14" w:hanging="738"/>
              <w:jc w:val="left"/>
              <w:rPr>
                <w:szCs w:val="24"/>
              </w:rPr>
            </w:pPr>
            <w:r>
              <w:rPr>
                <w:szCs w:val="24"/>
              </w:rPr>
              <w:t>FR405</w:t>
            </w:r>
          </w:p>
        </w:tc>
        <w:tc>
          <w:tcPr>
            <w:tcW w:w="7650" w:type="dxa"/>
          </w:tcPr>
          <w:p w14:paraId="0DC85099" w14:textId="77777777" w:rsidR="002C0A7C" w:rsidRDefault="002C0A7C" w:rsidP="002C0A7C">
            <w:r>
              <w:t>The system must be able to notify the Economic Operator that the request for application for LPCO is rejected.</w:t>
            </w:r>
          </w:p>
        </w:tc>
      </w:tr>
      <w:tr w:rsidR="002C0A7C" w14:paraId="28C8D3CF" w14:textId="77777777" w:rsidTr="001136D3">
        <w:tc>
          <w:tcPr>
            <w:tcW w:w="1165" w:type="dxa"/>
          </w:tcPr>
          <w:p w14:paraId="25126B93" w14:textId="77777777" w:rsidR="002C0A7C" w:rsidRDefault="002C0A7C" w:rsidP="002C0A7C">
            <w:pPr>
              <w:ind w:left="738" w:right="-14" w:hanging="738"/>
              <w:jc w:val="left"/>
              <w:rPr>
                <w:szCs w:val="24"/>
              </w:rPr>
            </w:pPr>
            <w:r>
              <w:rPr>
                <w:szCs w:val="24"/>
              </w:rPr>
              <w:t>FR406</w:t>
            </w:r>
          </w:p>
        </w:tc>
        <w:tc>
          <w:tcPr>
            <w:tcW w:w="7650" w:type="dxa"/>
          </w:tcPr>
          <w:p w14:paraId="4EB5A006" w14:textId="40CF41B4" w:rsidR="002C0A7C" w:rsidRDefault="002C0A7C" w:rsidP="002C0A7C">
            <w:r>
              <w:t>The system must be able to register, notify and share the application for LPCO and allocate unique number for application for LPCO.</w:t>
            </w:r>
          </w:p>
        </w:tc>
      </w:tr>
      <w:tr w:rsidR="002C0A7C" w14:paraId="57A572A5" w14:textId="77777777" w:rsidTr="001136D3">
        <w:tc>
          <w:tcPr>
            <w:tcW w:w="1165" w:type="dxa"/>
          </w:tcPr>
          <w:p w14:paraId="3B726692" w14:textId="77777777" w:rsidR="002C0A7C" w:rsidRDefault="002C0A7C" w:rsidP="002C0A7C">
            <w:pPr>
              <w:ind w:left="738" w:right="-14" w:hanging="738"/>
              <w:jc w:val="left"/>
              <w:rPr>
                <w:szCs w:val="24"/>
              </w:rPr>
            </w:pPr>
            <w:r>
              <w:rPr>
                <w:szCs w:val="24"/>
              </w:rPr>
              <w:t>FR407</w:t>
            </w:r>
          </w:p>
        </w:tc>
        <w:tc>
          <w:tcPr>
            <w:tcW w:w="7650" w:type="dxa"/>
          </w:tcPr>
          <w:p w14:paraId="2ED5B59F" w14:textId="77777777" w:rsidR="002C0A7C" w:rsidRDefault="002C0A7C" w:rsidP="002C0A7C">
            <w:r>
              <w:t>The system must be able to send application for LPCO to Competent Authority.</w:t>
            </w:r>
          </w:p>
        </w:tc>
      </w:tr>
      <w:tr w:rsidR="002C0A7C" w14:paraId="5DD79F8F" w14:textId="77777777" w:rsidTr="001136D3">
        <w:tc>
          <w:tcPr>
            <w:tcW w:w="1165" w:type="dxa"/>
          </w:tcPr>
          <w:p w14:paraId="012C14A3" w14:textId="77777777" w:rsidR="002C0A7C" w:rsidRDefault="002C0A7C" w:rsidP="002C0A7C">
            <w:pPr>
              <w:ind w:left="738" w:right="-14" w:hanging="738"/>
              <w:jc w:val="left"/>
              <w:rPr>
                <w:szCs w:val="24"/>
              </w:rPr>
            </w:pPr>
            <w:r>
              <w:rPr>
                <w:szCs w:val="24"/>
              </w:rPr>
              <w:t>FR408</w:t>
            </w:r>
          </w:p>
        </w:tc>
        <w:tc>
          <w:tcPr>
            <w:tcW w:w="7650" w:type="dxa"/>
          </w:tcPr>
          <w:p w14:paraId="13206BE3" w14:textId="77777777" w:rsidR="002C0A7C" w:rsidRDefault="002C0A7C" w:rsidP="002C0A7C">
            <w:r>
              <w:t>The system must be able to Transform Data Using Transformation Tables.</w:t>
            </w:r>
          </w:p>
        </w:tc>
      </w:tr>
      <w:tr w:rsidR="002C0A7C" w14:paraId="68746BC6" w14:textId="77777777" w:rsidTr="001136D3">
        <w:tc>
          <w:tcPr>
            <w:tcW w:w="1165" w:type="dxa"/>
          </w:tcPr>
          <w:p w14:paraId="341109DA" w14:textId="77777777" w:rsidR="002C0A7C" w:rsidRDefault="002C0A7C" w:rsidP="002C0A7C">
            <w:pPr>
              <w:ind w:left="738" w:right="-14" w:hanging="738"/>
              <w:jc w:val="left"/>
              <w:rPr>
                <w:szCs w:val="24"/>
              </w:rPr>
            </w:pPr>
            <w:r>
              <w:rPr>
                <w:szCs w:val="24"/>
              </w:rPr>
              <w:t>FR409</w:t>
            </w:r>
          </w:p>
        </w:tc>
        <w:tc>
          <w:tcPr>
            <w:tcW w:w="7650" w:type="dxa"/>
          </w:tcPr>
          <w:p w14:paraId="0CB3CAB6" w14:textId="77777777" w:rsidR="002C0A7C" w:rsidRDefault="002C0A7C" w:rsidP="002C0A7C">
            <w:r>
              <w:t>The system must be able to notify EO of the registration of the application for LPCO.</w:t>
            </w:r>
          </w:p>
        </w:tc>
      </w:tr>
      <w:tr w:rsidR="002C0A7C" w14:paraId="71F68DE6" w14:textId="77777777" w:rsidTr="001136D3">
        <w:tc>
          <w:tcPr>
            <w:tcW w:w="1165" w:type="dxa"/>
          </w:tcPr>
          <w:p w14:paraId="3673F79A" w14:textId="77777777" w:rsidR="002C0A7C" w:rsidRDefault="002C0A7C" w:rsidP="002C0A7C">
            <w:pPr>
              <w:ind w:left="738" w:right="-14" w:hanging="738"/>
              <w:jc w:val="left"/>
              <w:rPr>
                <w:szCs w:val="24"/>
              </w:rPr>
            </w:pPr>
            <w:r>
              <w:rPr>
                <w:szCs w:val="24"/>
              </w:rPr>
              <w:t>FR537</w:t>
            </w:r>
          </w:p>
        </w:tc>
        <w:tc>
          <w:tcPr>
            <w:tcW w:w="7650" w:type="dxa"/>
          </w:tcPr>
          <w:p w14:paraId="19EE9C80" w14:textId="77777777" w:rsidR="002C0A7C" w:rsidRDefault="002C0A7C" w:rsidP="002C0A7C">
            <w:r>
              <w:rPr>
                <w:szCs w:val="24"/>
              </w:rPr>
              <w:t xml:space="preserve">The NSW system must be able to send the Application for the LPCO to ITE (TARIC) for receiving the measures for the goods for which the LPCO should be issued.  </w:t>
            </w:r>
          </w:p>
        </w:tc>
      </w:tr>
      <w:tr w:rsidR="002C0A7C" w14:paraId="68ADE126" w14:textId="77777777" w:rsidTr="001136D3">
        <w:tc>
          <w:tcPr>
            <w:tcW w:w="1165" w:type="dxa"/>
          </w:tcPr>
          <w:p w14:paraId="1AAEA1A0" w14:textId="77777777" w:rsidR="002C0A7C" w:rsidRDefault="002C0A7C" w:rsidP="002C0A7C">
            <w:pPr>
              <w:ind w:left="738" w:right="-14" w:hanging="738"/>
              <w:jc w:val="left"/>
              <w:rPr>
                <w:szCs w:val="24"/>
              </w:rPr>
            </w:pPr>
            <w:r>
              <w:rPr>
                <w:szCs w:val="24"/>
              </w:rPr>
              <w:t>FR538</w:t>
            </w:r>
          </w:p>
        </w:tc>
        <w:tc>
          <w:tcPr>
            <w:tcW w:w="7650" w:type="dxa"/>
          </w:tcPr>
          <w:p w14:paraId="387B2E59" w14:textId="77777777" w:rsidR="002C0A7C" w:rsidRDefault="002C0A7C" w:rsidP="002C0A7C">
            <w:r>
              <w:rPr>
                <w:szCs w:val="24"/>
              </w:rPr>
              <w:t>The system must be able to send Economic Operator data to EORI for checks.</w:t>
            </w:r>
          </w:p>
        </w:tc>
      </w:tr>
      <w:tr w:rsidR="002C0A7C" w14:paraId="26B01D07" w14:textId="77777777" w:rsidTr="001136D3">
        <w:tc>
          <w:tcPr>
            <w:tcW w:w="1165" w:type="dxa"/>
          </w:tcPr>
          <w:p w14:paraId="71A36051" w14:textId="77777777" w:rsidR="002C0A7C" w:rsidRDefault="002C0A7C" w:rsidP="002C0A7C">
            <w:pPr>
              <w:ind w:left="738" w:right="-14" w:hanging="738"/>
              <w:jc w:val="left"/>
              <w:rPr>
                <w:szCs w:val="24"/>
              </w:rPr>
            </w:pPr>
            <w:r>
              <w:rPr>
                <w:szCs w:val="24"/>
              </w:rPr>
              <w:t>FR539</w:t>
            </w:r>
          </w:p>
        </w:tc>
        <w:tc>
          <w:tcPr>
            <w:tcW w:w="7650" w:type="dxa"/>
          </w:tcPr>
          <w:p w14:paraId="23B30AC0" w14:textId="77777777" w:rsidR="002C0A7C" w:rsidRDefault="002C0A7C" w:rsidP="002C0A7C">
            <w:r>
              <w:rPr>
                <w:szCs w:val="24"/>
              </w:rPr>
              <w:t>The system must be able to check the list of authorized EO.</w:t>
            </w:r>
          </w:p>
        </w:tc>
      </w:tr>
      <w:tr w:rsidR="002C0A7C" w14:paraId="0FCE1D56" w14:textId="77777777" w:rsidTr="001136D3">
        <w:tc>
          <w:tcPr>
            <w:tcW w:w="1165" w:type="dxa"/>
          </w:tcPr>
          <w:p w14:paraId="50578B66" w14:textId="61B97C94" w:rsidR="002C0A7C" w:rsidRDefault="002C0A7C" w:rsidP="002C0A7C">
            <w:pPr>
              <w:ind w:left="738" w:right="-14" w:hanging="738"/>
              <w:jc w:val="left"/>
              <w:rPr>
                <w:szCs w:val="24"/>
              </w:rPr>
            </w:pPr>
            <w:r>
              <w:rPr>
                <w:szCs w:val="24"/>
              </w:rPr>
              <w:t>FR560</w:t>
            </w:r>
          </w:p>
        </w:tc>
        <w:tc>
          <w:tcPr>
            <w:tcW w:w="7650" w:type="dxa"/>
          </w:tcPr>
          <w:p w14:paraId="498BB5E6" w14:textId="38AC26F6" w:rsidR="002C0A7C" w:rsidRPr="0026442C" w:rsidRDefault="002C0A7C" w:rsidP="002C0A7C">
            <w:pPr>
              <w:rPr>
                <w:szCs w:val="24"/>
              </w:rPr>
            </w:pPr>
            <w:r w:rsidRPr="0026442C">
              <w:t xml:space="preserve">The system must be able to </w:t>
            </w:r>
            <w:r w:rsidR="00531E54" w:rsidRPr="0026442C">
              <w:t xml:space="preserve">notify </w:t>
            </w:r>
            <w:r w:rsidRPr="0026442C">
              <w:t>Payment Service about expected payment of fees/charges</w:t>
            </w:r>
            <w:r w:rsidR="00807E88" w:rsidRPr="0026442C">
              <w:t xml:space="preserve"> </w:t>
            </w:r>
            <w:r w:rsidR="008231AC" w:rsidRPr="0026442C">
              <w:t xml:space="preserve">and </w:t>
            </w:r>
            <w:r w:rsidR="008231AC" w:rsidRPr="0026442C">
              <w:rPr>
                <w:szCs w:val="24"/>
              </w:rPr>
              <w:t>validate the availability of funds for certain method of payment (e.g. pay as you go).</w:t>
            </w:r>
          </w:p>
        </w:tc>
      </w:tr>
    </w:tbl>
    <w:p w14:paraId="24630FE9" w14:textId="77777777" w:rsidR="00157AAA" w:rsidRDefault="00157AAA">
      <w:pPr>
        <w:ind w:firstLine="702"/>
        <w:jc w:val="left"/>
        <w:rPr>
          <w:b/>
          <w:bCs/>
          <w:i/>
          <w:szCs w:val="24"/>
        </w:rPr>
      </w:pPr>
    </w:p>
    <w:p w14:paraId="07661E76" w14:textId="77777777" w:rsidR="00157AAA" w:rsidRDefault="006C1BE5">
      <w:pPr>
        <w:rPr>
          <w:b/>
        </w:rPr>
      </w:pPr>
      <w:r w:rsidRPr="00BA311D">
        <w:rPr>
          <w:b/>
          <w:szCs w:val="24"/>
        </w:rPr>
        <w:t xml:space="preserve">1.2.5.2. </w:t>
      </w:r>
      <w:r w:rsidRPr="008E2AAD">
        <w:rPr>
          <w:b/>
        </w:rPr>
        <w:t xml:space="preserve">Submit declaration/application using the integrated data set for customs and non-customs </w:t>
      </w:r>
      <w:proofErr w:type="gramStart"/>
      <w:r w:rsidRPr="008E2AAD">
        <w:rPr>
          <w:b/>
        </w:rPr>
        <w:t>formalities</w:t>
      </w:r>
      <w:proofErr w:type="gramEnd"/>
    </w:p>
    <w:p w14:paraId="54AA5AB7" w14:textId="56A79B17" w:rsidR="006A0345" w:rsidRPr="006A0345" w:rsidRDefault="002441AE" w:rsidP="006A0345">
      <w:pPr>
        <w:rPr>
          <w:b/>
          <w:szCs w:val="24"/>
        </w:rPr>
      </w:pPr>
      <w:r>
        <w:rPr>
          <w:b/>
        </w:rPr>
        <w:t xml:space="preserve">Process Objective: </w:t>
      </w:r>
      <w:r w:rsidRPr="008E2AAD">
        <w:rPr>
          <w:bCs/>
        </w:rPr>
        <w:t>A trader (or his representative) shall be able to submit an integrated data set as referred to in Article 13 (3) of Regulation 2022/2399 for establishing the EU Single Window Environment for Customs. An integrated data set is a set containing a common data set (set required for the customs declaration or re-export declaration and for the supporting documents required for non-customs formalities) and other CBRA's data set with data elements solely to national legislation other than customs legislation. Based on the information in the integrated data set, NSW should be able to create and send a request for issuing the LPCO to the appropriate CBRA. After receiving information about the issued LPCO from the CBRA, NSW should be able to update the information about the LPCO and send the declaration to the customs system</w:t>
      </w:r>
      <w:r w:rsidRPr="0026442C">
        <w:rPr>
          <w:bCs/>
        </w:rPr>
        <w:t>.</w:t>
      </w:r>
      <w:r w:rsidR="006A0345" w:rsidRPr="0026442C">
        <w:rPr>
          <w:rFonts w:ascii="Cambria" w:hAnsi="Cambria" w:cstheme="minorBidi"/>
          <w:sz w:val="22"/>
          <w:szCs w:val="22"/>
        </w:rPr>
        <w:t xml:space="preserve"> </w:t>
      </w:r>
      <w:r w:rsidR="006A0345" w:rsidRPr="0026442C">
        <w:rPr>
          <w:szCs w:val="24"/>
        </w:rPr>
        <w:t>The modality of submission and processing of the integrated data set will be defined in the implementation phase</w:t>
      </w:r>
      <w:r w:rsidR="006A0345" w:rsidRPr="0026442C">
        <w:rPr>
          <w:b/>
          <w:bCs/>
          <w:szCs w:val="24"/>
        </w:rPr>
        <w:t>.</w:t>
      </w:r>
    </w:p>
    <w:p w14:paraId="1716D208" w14:textId="2666F3E7" w:rsidR="002441AE" w:rsidRPr="002441AE" w:rsidRDefault="002441AE" w:rsidP="002441AE">
      <w:pPr>
        <w:rPr>
          <w:b/>
        </w:rPr>
      </w:pPr>
    </w:p>
    <w:p w14:paraId="79455FF0" w14:textId="61844416" w:rsidR="002441AE" w:rsidRPr="008E2AAD" w:rsidRDefault="002441AE" w:rsidP="002441AE">
      <w:pPr>
        <w:rPr>
          <w:bCs/>
        </w:rPr>
      </w:pPr>
      <w:r w:rsidRPr="008E2AAD">
        <w:rPr>
          <w:bCs/>
        </w:rPr>
        <w:t>This service manages the whole process and all interactions required and defined in the business processes.</w:t>
      </w:r>
    </w:p>
    <w:p w14:paraId="73AB4CE9" w14:textId="77777777" w:rsidR="00157AAA" w:rsidRDefault="006C1BE5">
      <w:pPr>
        <w:rPr>
          <w:b/>
          <w:i/>
        </w:rPr>
      </w:pPr>
      <w:r>
        <w:rPr>
          <w:b/>
          <w:i/>
          <w:noProof/>
        </w:rPr>
        <w:lastRenderedPageBreak/>
        <w:drawing>
          <wp:inline distT="0" distB="0" distL="0" distR="0" wp14:anchorId="23B28DC4" wp14:editId="13F56C80">
            <wp:extent cx="5486400" cy="2317115"/>
            <wp:effectExtent l="0" t="0" r="0" b="6985"/>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63960" name="Picture 282363960" descr="A screenshot of a computer&#10;&#10;Description automatically generated"/>
                    <pic:cNvPicPr>
                      <a:picLocks noChangeAspect="1"/>
                    </pic:cNvPicPr>
                  </pic:nvPicPr>
                  <pic:blipFill>
                    <a:blip r:embed="rId85"/>
                    <a:stretch/>
                  </pic:blipFill>
                  <pic:spPr bwMode="auto">
                    <a:xfrm>
                      <a:off x="0" y="0"/>
                      <a:ext cx="5486400" cy="2317115"/>
                    </a:xfrm>
                    <a:prstGeom prst="rect">
                      <a:avLst/>
                    </a:prstGeom>
                  </pic:spPr>
                </pic:pic>
              </a:graphicData>
            </a:graphic>
          </wp:inline>
        </w:drawing>
      </w:r>
    </w:p>
    <w:p w14:paraId="0DB281C1" w14:textId="0FE33CA4" w:rsidR="00157AAA" w:rsidRDefault="00E3729B">
      <w:pPr>
        <w:rPr>
          <w:sz w:val="32"/>
        </w:rPr>
      </w:pPr>
      <w:r>
        <w:rPr>
          <w:noProof/>
          <w:sz w:val="32"/>
        </w:rPr>
        <mc:AlternateContent>
          <mc:Choice Requires="wps">
            <w:drawing>
              <wp:anchor distT="0" distB="0" distL="114300" distR="114300" simplePos="0" relativeHeight="251658249" behindDoc="0" locked="0" layoutInCell="1" allowOverlap="1" wp14:anchorId="14288D60" wp14:editId="42A35AE8">
                <wp:simplePos x="0" y="0"/>
                <wp:positionH relativeFrom="column">
                  <wp:posOffset>0</wp:posOffset>
                </wp:positionH>
                <wp:positionV relativeFrom="paragraph">
                  <wp:posOffset>0</wp:posOffset>
                </wp:positionV>
                <wp:extent cx="635000" cy="635000"/>
                <wp:effectExtent l="19050" t="19050" r="12700" b="12700"/>
                <wp:wrapNone/>
                <wp:docPr id="37" name="AutoShape 5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4EEED" id="AutoShape 59" o:spid="_x0000_s1026" style="position:absolute;margin-left:0;margin-top:0;width:50pt;height:50pt;z-index:251658249;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zIsNMSMCAABIBAAADgAAAAAAAAAAAAAAAAAuAgAAZHJzL2Uyb0RvYy54bWxQSwEC&#10;LQAUAAYACAAAACEA640e+9gAAAAFAQAADwAAAAAAAAAAAAAAAAB9BAAAZHJzL2Rvd25yZXYueG1s&#10;UEsFBgAAAAAEAAQA8wAAAIIFAAAAAA==&#10;">
                <v:stroke joinstyle="round"/>
                <o:lock v:ext="edit" selection="t"/>
              </v:rect>
            </w:pict>
          </mc:Fallback>
        </mc:AlternateContent>
      </w:r>
      <w:r w:rsidR="006C1BE5">
        <w:rPr>
          <w:sz w:val="32"/>
        </w:rPr>
        <w:object w:dxaOrig="935" w:dyaOrig="602" w14:anchorId="3B2FBFAF">
          <v:shape id="_x0000_i1029" type="#_x0000_t75" style="width:79pt;height:50.5pt;mso-wrap-distance-left:0;mso-wrap-distance-right:0" o:ole="">
            <v:imagedata r:id="rId86" o:title=""/>
            <v:path textboxrect="0,0,0,0"/>
          </v:shape>
          <o:OLEObject Type="Embed" ProgID="Package" ShapeID="_x0000_i1029" DrawAspect="Icon" ObjectID="_1777888262" r:id="rId87"/>
        </w:object>
      </w:r>
    </w:p>
    <w:p w14:paraId="7E6FB460" w14:textId="189974F0" w:rsidR="00157AAA" w:rsidRDefault="006C1BE5">
      <w:pPr>
        <w:rPr>
          <w:i/>
        </w:rPr>
      </w:pPr>
      <w:r>
        <w:rPr>
          <w:i/>
        </w:rPr>
        <w:t xml:space="preserve">Figure </w:t>
      </w:r>
      <w:r w:rsidR="00631878">
        <w:rPr>
          <w:i/>
        </w:rPr>
        <w:t>8</w:t>
      </w:r>
      <w:r>
        <w:rPr>
          <w:i/>
        </w:rPr>
        <w:t xml:space="preserve">: BPMN diagram of process: Submit declaration/application using the integrated data set for customs and non-customs </w:t>
      </w:r>
      <w:proofErr w:type="gramStart"/>
      <w:r>
        <w:rPr>
          <w:i/>
        </w:rPr>
        <w:t>formalities</w:t>
      </w:r>
      <w:proofErr w:type="gramEnd"/>
    </w:p>
    <w:p w14:paraId="1E67BFF6" w14:textId="77777777" w:rsidR="00157AAA" w:rsidRDefault="00157AAA">
      <w:pPr>
        <w:spacing w:after="0"/>
      </w:pPr>
    </w:p>
    <w:p w14:paraId="0D3C083A" w14:textId="5227D747" w:rsidR="00157AAA" w:rsidRDefault="006C1BE5">
      <w:pPr>
        <w:spacing w:after="0"/>
      </w:pPr>
      <w:r w:rsidRPr="008611E7">
        <w:rPr>
          <w:b/>
        </w:rPr>
        <w:t>Description</w:t>
      </w:r>
      <w:r>
        <w:t xml:space="preserve">: The process covers the submission of the declaration and application for LPCO in one Information Exchange Message, where in the data set of the message it contains the data for both customs’ declaration and application for LPCO. The Information Exchange message is sent to Customs for the customs formalities (import, export, transit), after the processing of the application for LPCO is </w:t>
      </w:r>
      <w:r w:rsidR="007A2569">
        <w:t xml:space="preserve">finished successfully </w:t>
      </w:r>
      <w:r>
        <w:t>in the NSW. The process uses the same flow as processes ‘Submit application for the issuing certificate’ and process the application by the CBRA and issue of a certificate’.</w:t>
      </w:r>
    </w:p>
    <w:p w14:paraId="531453F7" w14:textId="77777777" w:rsidR="00157AAA" w:rsidRDefault="00157AAA">
      <w:pPr>
        <w:spacing w:after="0"/>
      </w:pPr>
    </w:p>
    <w:p w14:paraId="4DE5FBBA" w14:textId="77777777" w:rsidR="00157AAA" w:rsidRDefault="006C1BE5">
      <w:pPr>
        <w:spacing w:after="0"/>
        <w:rPr>
          <w:b/>
        </w:rPr>
      </w:pPr>
      <w:r>
        <w:rPr>
          <w:b/>
        </w:rPr>
        <w:t>Process steps:</w:t>
      </w:r>
    </w:p>
    <w:p w14:paraId="0AF6F5FA" w14:textId="77777777" w:rsidR="00157AAA" w:rsidRDefault="00157AAA">
      <w:pPr>
        <w:spacing w:after="0"/>
        <w:rPr>
          <w:b/>
        </w:rPr>
      </w:pPr>
    </w:p>
    <w:tbl>
      <w:tblPr>
        <w:tblStyle w:val="TableGrid"/>
        <w:tblW w:w="9355" w:type="dxa"/>
        <w:tblLook w:val="04A0" w:firstRow="1" w:lastRow="0" w:firstColumn="1" w:lastColumn="0" w:noHBand="0" w:noVBand="1"/>
      </w:tblPr>
      <w:tblGrid>
        <w:gridCol w:w="1615"/>
        <w:gridCol w:w="2520"/>
        <w:gridCol w:w="5220"/>
      </w:tblGrid>
      <w:tr w:rsidR="00157AAA" w14:paraId="34C29136" w14:textId="77777777" w:rsidTr="001136D3">
        <w:trPr>
          <w:tblHead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471E69" w14:textId="77777777" w:rsidR="00157AAA" w:rsidRDefault="006C1BE5">
            <w:pPr>
              <w:spacing w:after="0"/>
              <w:rPr>
                <w:b/>
                <w:szCs w:val="24"/>
              </w:rPr>
            </w:pPr>
            <w:r>
              <w:rPr>
                <w:b/>
                <w:szCs w:val="24"/>
              </w:rPr>
              <w:t>Step</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666A87" w14:textId="77777777" w:rsidR="00157AAA" w:rsidRDefault="006C1BE5">
            <w:pPr>
              <w:spacing w:after="0"/>
              <w:jc w:val="left"/>
              <w:rPr>
                <w:b/>
                <w:szCs w:val="24"/>
              </w:rPr>
            </w:pPr>
            <w:r>
              <w:rPr>
                <w:b/>
                <w:szCs w:val="24"/>
              </w:rPr>
              <w:t>Name</w:t>
            </w:r>
          </w:p>
        </w:tc>
        <w:tc>
          <w:tcPr>
            <w:tcW w:w="52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11825A" w14:textId="77777777" w:rsidR="00157AAA" w:rsidRDefault="006C1BE5">
            <w:pPr>
              <w:spacing w:after="0"/>
              <w:jc w:val="left"/>
              <w:rPr>
                <w:b/>
                <w:szCs w:val="24"/>
              </w:rPr>
            </w:pPr>
            <w:r>
              <w:rPr>
                <w:b/>
                <w:szCs w:val="24"/>
              </w:rPr>
              <w:t>Description</w:t>
            </w:r>
          </w:p>
        </w:tc>
      </w:tr>
      <w:tr w:rsidR="00157AAA" w14:paraId="649AFFDD" w14:textId="77777777" w:rsidTr="001136D3">
        <w:tc>
          <w:tcPr>
            <w:tcW w:w="1615" w:type="dxa"/>
            <w:tcBorders>
              <w:top w:val="single" w:sz="4" w:space="0" w:color="auto"/>
              <w:left w:val="single" w:sz="4" w:space="0" w:color="auto"/>
              <w:bottom w:val="single" w:sz="4" w:space="0" w:color="auto"/>
              <w:right w:val="single" w:sz="4" w:space="0" w:color="auto"/>
            </w:tcBorders>
          </w:tcPr>
          <w:p w14:paraId="27498847" w14:textId="77777777" w:rsidR="00157AAA" w:rsidRDefault="006C1BE5">
            <w:pPr>
              <w:spacing w:after="0"/>
              <w:rPr>
                <w:szCs w:val="24"/>
              </w:rPr>
            </w:pPr>
            <w:r>
              <w:rPr>
                <w:szCs w:val="24"/>
              </w:rPr>
              <w:t>Start Event</w:t>
            </w:r>
          </w:p>
        </w:tc>
        <w:tc>
          <w:tcPr>
            <w:tcW w:w="2520" w:type="dxa"/>
            <w:tcBorders>
              <w:top w:val="single" w:sz="4" w:space="0" w:color="auto"/>
              <w:left w:val="single" w:sz="4" w:space="0" w:color="auto"/>
              <w:bottom w:val="single" w:sz="4" w:space="0" w:color="auto"/>
              <w:right w:val="single" w:sz="4" w:space="0" w:color="auto"/>
            </w:tcBorders>
          </w:tcPr>
          <w:p w14:paraId="4AFDE675" w14:textId="77777777" w:rsidR="00157AAA" w:rsidRDefault="006C1BE5" w:rsidP="001136D3">
            <w:pPr>
              <w:spacing w:after="0"/>
              <w:jc w:val="left"/>
              <w:rPr>
                <w:szCs w:val="24"/>
              </w:rPr>
            </w:pPr>
            <w:r>
              <w:rPr>
                <w:szCs w:val="24"/>
              </w:rPr>
              <w:t>Receive Integrated data set for Customs and Non-Customs Formalities</w:t>
            </w:r>
          </w:p>
        </w:tc>
        <w:tc>
          <w:tcPr>
            <w:tcW w:w="5220" w:type="dxa"/>
            <w:tcBorders>
              <w:top w:val="single" w:sz="4" w:space="0" w:color="auto"/>
              <w:left w:val="single" w:sz="4" w:space="0" w:color="auto"/>
              <w:bottom w:val="single" w:sz="4" w:space="0" w:color="auto"/>
              <w:right w:val="single" w:sz="4" w:space="0" w:color="auto"/>
            </w:tcBorders>
          </w:tcPr>
          <w:p w14:paraId="097EE81B" w14:textId="59094CB5"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NSW system receives request for declaration for both customs and non-customs formalities</w:t>
            </w:r>
            <w:r w:rsidR="003E27B9">
              <w:rPr>
                <w:rFonts w:ascii="Times New Roman" w:hAnsi="Times New Roman" w:cs="Times New Roman"/>
              </w:rPr>
              <w:t>.</w:t>
            </w:r>
          </w:p>
        </w:tc>
      </w:tr>
      <w:tr w:rsidR="00157AAA" w14:paraId="784056D6" w14:textId="77777777" w:rsidTr="001136D3">
        <w:tc>
          <w:tcPr>
            <w:tcW w:w="1615" w:type="dxa"/>
            <w:tcBorders>
              <w:top w:val="single" w:sz="4" w:space="0" w:color="auto"/>
              <w:left w:val="single" w:sz="4" w:space="0" w:color="auto"/>
              <w:bottom w:val="single" w:sz="4" w:space="0" w:color="auto"/>
              <w:right w:val="single" w:sz="4" w:space="0" w:color="auto"/>
            </w:tcBorders>
          </w:tcPr>
          <w:p w14:paraId="2956B9FF" w14:textId="77777777" w:rsidR="00157AAA" w:rsidRDefault="006C1BE5">
            <w:pPr>
              <w:spacing w:after="0"/>
              <w:rPr>
                <w:szCs w:val="24"/>
              </w:rPr>
            </w:pPr>
            <w:r>
              <w:rPr>
                <w:szCs w:val="24"/>
              </w:rPr>
              <w:t>Call Activity</w:t>
            </w:r>
          </w:p>
        </w:tc>
        <w:tc>
          <w:tcPr>
            <w:tcW w:w="2520" w:type="dxa"/>
            <w:tcBorders>
              <w:top w:val="single" w:sz="4" w:space="0" w:color="auto"/>
              <w:left w:val="single" w:sz="4" w:space="0" w:color="auto"/>
              <w:bottom w:val="single" w:sz="4" w:space="0" w:color="auto"/>
              <w:right w:val="single" w:sz="4" w:space="0" w:color="auto"/>
            </w:tcBorders>
          </w:tcPr>
          <w:p w14:paraId="7F2A3703" w14:textId="77777777" w:rsidR="00157AAA" w:rsidRDefault="006C1BE5" w:rsidP="001136D3">
            <w:pPr>
              <w:spacing w:after="0"/>
              <w:jc w:val="left"/>
              <w:rPr>
                <w:szCs w:val="24"/>
              </w:rPr>
            </w:pPr>
            <w:r>
              <w:rPr>
                <w:szCs w:val="24"/>
              </w:rPr>
              <w:t>Submit Application for the Issuing of Certificate</w:t>
            </w:r>
          </w:p>
        </w:tc>
        <w:tc>
          <w:tcPr>
            <w:tcW w:w="5220" w:type="dxa"/>
            <w:tcBorders>
              <w:top w:val="single" w:sz="4" w:space="0" w:color="auto"/>
              <w:left w:val="single" w:sz="4" w:space="0" w:color="auto"/>
              <w:bottom w:val="single" w:sz="4" w:space="0" w:color="auto"/>
              <w:right w:val="single" w:sz="4" w:space="0" w:color="auto"/>
            </w:tcBorders>
          </w:tcPr>
          <w:p w14:paraId="118D63F5" w14:textId="64041E1A" w:rsidR="00157AAA" w:rsidRDefault="003E27B9" w:rsidP="00FD21DF">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task follows the steps included in the process Submit application for the issuing of the Certificate. </w:t>
            </w:r>
          </w:p>
        </w:tc>
      </w:tr>
      <w:tr w:rsidR="00157AAA" w14:paraId="7BC4EAB7" w14:textId="77777777" w:rsidTr="001136D3">
        <w:tc>
          <w:tcPr>
            <w:tcW w:w="1615" w:type="dxa"/>
            <w:tcBorders>
              <w:top w:val="single" w:sz="4" w:space="0" w:color="auto"/>
              <w:left w:val="single" w:sz="4" w:space="0" w:color="auto"/>
              <w:bottom w:val="single" w:sz="4" w:space="0" w:color="auto"/>
              <w:right w:val="single" w:sz="4" w:space="0" w:color="auto"/>
            </w:tcBorders>
          </w:tcPr>
          <w:p w14:paraId="57504FB8" w14:textId="77777777" w:rsidR="00157AAA" w:rsidRDefault="006C1BE5">
            <w:pPr>
              <w:spacing w:after="0"/>
              <w:rPr>
                <w:szCs w:val="24"/>
              </w:rPr>
            </w:pPr>
            <w:r>
              <w:rPr>
                <w:szCs w:val="24"/>
              </w:rPr>
              <w:t>Call Activity</w:t>
            </w:r>
          </w:p>
        </w:tc>
        <w:tc>
          <w:tcPr>
            <w:tcW w:w="2520" w:type="dxa"/>
            <w:tcBorders>
              <w:top w:val="single" w:sz="4" w:space="0" w:color="auto"/>
              <w:left w:val="single" w:sz="4" w:space="0" w:color="auto"/>
              <w:bottom w:val="single" w:sz="4" w:space="0" w:color="auto"/>
              <w:right w:val="single" w:sz="4" w:space="0" w:color="auto"/>
            </w:tcBorders>
          </w:tcPr>
          <w:p w14:paraId="3F0F28F9" w14:textId="77777777" w:rsidR="00157AAA" w:rsidRDefault="006C1BE5" w:rsidP="001136D3">
            <w:pPr>
              <w:spacing w:after="0"/>
              <w:jc w:val="left"/>
              <w:rPr>
                <w:szCs w:val="24"/>
              </w:rPr>
            </w:pPr>
            <w:r>
              <w:rPr>
                <w:szCs w:val="24"/>
              </w:rPr>
              <w:t>Process the application by the CBRA and issue of a certificate</w:t>
            </w:r>
          </w:p>
        </w:tc>
        <w:tc>
          <w:tcPr>
            <w:tcW w:w="5220" w:type="dxa"/>
            <w:tcBorders>
              <w:top w:val="single" w:sz="4" w:space="0" w:color="auto"/>
              <w:left w:val="single" w:sz="4" w:space="0" w:color="auto"/>
              <w:bottom w:val="single" w:sz="4" w:space="0" w:color="auto"/>
              <w:right w:val="single" w:sz="4" w:space="0" w:color="auto"/>
            </w:tcBorders>
          </w:tcPr>
          <w:p w14:paraId="43A3BE36" w14:textId="2131534C" w:rsidR="00157AAA" w:rsidRDefault="003E27B9">
            <w:pPr>
              <w:pStyle w:val="NormalWeb"/>
              <w:spacing w:before="0" w:beforeAutospacing="0" w:after="0" w:afterAutospacing="0"/>
              <w:rPr>
                <w:rFonts w:ascii="Times New Roman" w:hAnsi="Times New Roman" w:cs="Times New Roman"/>
              </w:rPr>
            </w:pPr>
            <w:r>
              <w:rPr>
                <w:rFonts w:ascii="Times New Roman" w:hAnsi="Times New Roman" w:cs="Times New Roman"/>
              </w:rPr>
              <w:t>The task follows the steps included in the process: Process the application by the CBRA and issue of a certificate.</w:t>
            </w:r>
          </w:p>
        </w:tc>
      </w:tr>
      <w:tr w:rsidR="00157AAA" w14:paraId="2603637D" w14:textId="77777777" w:rsidTr="001136D3">
        <w:tc>
          <w:tcPr>
            <w:tcW w:w="1615" w:type="dxa"/>
            <w:tcBorders>
              <w:top w:val="single" w:sz="4" w:space="0" w:color="auto"/>
              <w:left w:val="single" w:sz="4" w:space="0" w:color="auto"/>
              <w:bottom w:val="single" w:sz="4" w:space="0" w:color="auto"/>
              <w:right w:val="single" w:sz="4" w:space="0" w:color="auto"/>
            </w:tcBorders>
          </w:tcPr>
          <w:p w14:paraId="4C6D6B29" w14:textId="77777777" w:rsidR="00157AAA" w:rsidRDefault="006C1BE5">
            <w:pPr>
              <w:spacing w:after="0"/>
              <w:rPr>
                <w:szCs w:val="24"/>
              </w:rPr>
            </w:pPr>
            <w:r>
              <w:rPr>
                <w:szCs w:val="24"/>
              </w:rPr>
              <w:t>Send Task</w:t>
            </w:r>
          </w:p>
        </w:tc>
        <w:tc>
          <w:tcPr>
            <w:tcW w:w="2520" w:type="dxa"/>
            <w:tcBorders>
              <w:top w:val="single" w:sz="4" w:space="0" w:color="auto"/>
              <w:left w:val="single" w:sz="4" w:space="0" w:color="auto"/>
              <w:bottom w:val="single" w:sz="4" w:space="0" w:color="auto"/>
              <w:right w:val="single" w:sz="4" w:space="0" w:color="auto"/>
            </w:tcBorders>
          </w:tcPr>
          <w:p w14:paraId="1CB4E754" w14:textId="77777777" w:rsidR="00157AAA" w:rsidRDefault="006C1BE5" w:rsidP="001136D3">
            <w:pPr>
              <w:spacing w:after="0"/>
              <w:jc w:val="left"/>
              <w:rPr>
                <w:szCs w:val="24"/>
              </w:rPr>
            </w:pPr>
            <w:r>
              <w:rPr>
                <w:szCs w:val="24"/>
              </w:rPr>
              <w:t>Send IEX15 to Customs Systems</w:t>
            </w:r>
          </w:p>
        </w:tc>
        <w:tc>
          <w:tcPr>
            <w:tcW w:w="5220" w:type="dxa"/>
            <w:tcBorders>
              <w:top w:val="single" w:sz="4" w:space="0" w:color="auto"/>
              <w:left w:val="single" w:sz="4" w:space="0" w:color="auto"/>
              <w:bottom w:val="single" w:sz="4" w:space="0" w:color="auto"/>
              <w:right w:val="single" w:sz="4" w:space="0" w:color="auto"/>
            </w:tcBorders>
          </w:tcPr>
          <w:p w14:paraId="631B366A"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Information Exchange is sent to Customs for the customs formalities (import, export, transit).</w:t>
            </w:r>
          </w:p>
        </w:tc>
      </w:tr>
      <w:tr w:rsidR="00157AAA" w14:paraId="7AB4633E" w14:textId="77777777" w:rsidTr="001136D3">
        <w:tc>
          <w:tcPr>
            <w:tcW w:w="1615" w:type="dxa"/>
            <w:tcBorders>
              <w:top w:val="single" w:sz="4" w:space="0" w:color="auto"/>
              <w:left w:val="single" w:sz="4" w:space="0" w:color="auto"/>
              <w:bottom w:val="single" w:sz="4" w:space="0" w:color="auto"/>
              <w:right w:val="single" w:sz="4" w:space="0" w:color="auto"/>
            </w:tcBorders>
          </w:tcPr>
          <w:p w14:paraId="6B0C8A39" w14:textId="77777777" w:rsidR="00157AAA" w:rsidRDefault="006C1BE5">
            <w:pPr>
              <w:spacing w:after="0"/>
              <w:rPr>
                <w:szCs w:val="24"/>
              </w:rPr>
            </w:pPr>
            <w:r>
              <w:rPr>
                <w:szCs w:val="24"/>
              </w:rPr>
              <w:lastRenderedPageBreak/>
              <w:t>End Event</w:t>
            </w:r>
          </w:p>
        </w:tc>
        <w:tc>
          <w:tcPr>
            <w:tcW w:w="2520" w:type="dxa"/>
            <w:tcBorders>
              <w:top w:val="single" w:sz="4" w:space="0" w:color="auto"/>
              <w:left w:val="single" w:sz="4" w:space="0" w:color="auto"/>
              <w:bottom w:val="single" w:sz="4" w:space="0" w:color="auto"/>
              <w:right w:val="single" w:sz="4" w:space="0" w:color="auto"/>
            </w:tcBorders>
          </w:tcPr>
          <w:p w14:paraId="5B1FA86A" w14:textId="688B48B4" w:rsidR="00157AAA" w:rsidRDefault="006C1BE5" w:rsidP="001136D3">
            <w:pPr>
              <w:spacing w:after="0"/>
              <w:jc w:val="left"/>
              <w:rPr>
                <w:szCs w:val="24"/>
              </w:rPr>
            </w:pPr>
            <w:r>
              <w:rPr>
                <w:szCs w:val="24"/>
              </w:rPr>
              <w:t xml:space="preserve">Declaration with </w:t>
            </w:r>
            <w:r w:rsidR="007A2569">
              <w:t>integrated data set processed</w:t>
            </w:r>
            <w:r w:rsidR="007A2569" w:rsidDel="007A2569">
              <w:rPr>
                <w:szCs w:val="24"/>
              </w:rPr>
              <w:t xml:space="preserve"> </w:t>
            </w:r>
          </w:p>
        </w:tc>
        <w:tc>
          <w:tcPr>
            <w:tcW w:w="5220" w:type="dxa"/>
            <w:tcBorders>
              <w:top w:val="single" w:sz="4" w:space="0" w:color="auto"/>
              <w:left w:val="single" w:sz="4" w:space="0" w:color="auto"/>
              <w:bottom w:val="single" w:sz="4" w:space="0" w:color="auto"/>
              <w:right w:val="single" w:sz="4" w:space="0" w:color="auto"/>
            </w:tcBorders>
          </w:tcPr>
          <w:p w14:paraId="688CC026" w14:textId="42711887" w:rsidR="00157AAA" w:rsidRPr="005E6A97" w:rsidRDefault="006C1BE5">
            <w:pPr>
              <w:pStyle w:val="NormalWeb"/>
              <w:spacing w:before="0" w:beforeAutospacing="0" w:after="0" w:afterAutospacing="0"/>
              <w:rPr>
                <w:rFonts w:ascii="Times New Roman" w:hAnsi="Times New Roman" w:cs="Times New Roman"/>
              </w:rPr>
            </w:pPr>
            <w:r w:rsidRPr="005E6A97">
              <w:rPr>
                <w:rFonts w:ascii="Times New Roman" w:hAnsi="Times New Roman" w:cs="Times New Roman"/>
              </w:rPr>
              <w:t xml:space="preserve">Declaration with </w:t>
            </w:r>
            <w:r w:rsidR="007A2569" w:rsidRPr="005E6A97">
              <w:rPr>
                <w:rFonts w:ascii="Times New Roman" w:hAnsi="Times New Roman" w:cs="Times New Roman"/>
              </w:rPr>
              <w:t>integrated data set processed</w:t>
            </w:r>
            <w:r w:rsidR="003E27B9" w:rsidRPr="005E6A97">
              <w:rPr>
                <w:rFonts w:ascii="Times New Roman" w:hAnsi="Times New Roman" w:cs="Times New Roman"/>
              </w:rPr>
              <w:t>.</w:t>
            </w:r>
          </w:p>
        </w:tc>
      </w:tr>
    </w:tbl>
    <w:p w14:paraId="755041DF" w14:textId="77777777" w:rsidR="00157AAA" w:rsidRDefault="00157AAA">
      <w:pPr>
        <w:rPr>
          <w:sz w:val="16"/>
          <w:szCs w:val="16"/>
        </w:rPr>
      </w:pPr>
    </w:p>
    <w:p w14:paraId="22FC0E0F" w14:textId="77777777" w:rsidR="00157AAA" w:rsidRPr="008611E7" w:rsidRDefault="006C1BE5">
      <w:pPr>
        <w:rPr>
          <w:b/>
        </w:rPr>
      </w:pPr>
      <w:r w:rsidRPr="008611E7">
        <w:rPr>
          <w:b/>
        </w:rPr>
        <w:t>Functional Requirements:</w:t>
      </w:r>
    </w:p>
    <w:p w14:paraId="3AB42DA4" w14:textId="77777777" w:rsidR="00157AAA" w:rsidRDefault="00157AAA">
      <w:pPr>
        <w:spacing w:after="0"/>
        <w:rPr>
          <w:b/>
          <w:i/>
          <w:sz w:val="16"/>
          <w:szCs w:val="16"/>
        </w:rPr>
      </w:pPr>
    </w:p>
    <w:tbl>
      <w:tblPr>
        <w:tblStyle w:val="TableGrid"/>
        <w:tblW w:w="9265" w:type="dxa"/>
        <w:tblLook w:val="04A0" w:firstRow="1" w:lastRow="0" w:firstColumn="1" w:lastColumn="0" w:noHBand="0" w:noVBand="1"/>
      </w:tblPr>
      <w:tblGrid>
        <w:gridCol w:w="1255"/>
        <w:gridCol w:w="8010"/>
      </w:tblGrid>
      <w:tr w:rsidR="00157AAA" w14:paraId="6A131395" w14:textId="77777777" w:rsidTr="001136D3">
        <w:tc>
          <w:tcPr>
            <w:tcW w:w="12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47BE67" w14:textId="77777777" w:rsidR="00157AAA" w:rsidRDefault="006C1BE5">
            <w:pPr>
              <w:spacing w:after="0"/>
              <w:rPr>
                <w:b/>
                <w:sz w:val="22"/>
              </w:rPr>
            </w:pPr>
            <w:r>
              <w:rPr>
                <w:b/>
              </w:rPr>
              <w:t>ID</w:t>
            </w:r>
          </w:p>
        </w:tc>
        <w:tc>
          <w:tcPr>
            <w:tcW w:w="8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603662" w14:textId="77777777" w:rsidR="00157AAA" w:rsidRDefault="006C1BE5">
            <w:pPr>
              <w:spacing w:after="0"/>
              <w:rPr>
                <w:b/>
              </w:rPr>
            </w:pPr>
            <w:r>
              <w:rPr>
                <w:b/>
              </w:rPr>
              <w:t>Description</w:t>
            </w:r>
          </w:p>
        </w:tc>
      </w:tr>
      <w:tr w:rsidR="008E779D" w14:paraId="6A4CFC1E" w14:textId="77777777" w:rsidTr="001136D3">
        <w:tc>
          <w:tcPr>
            <w:tcW w:w="1255" w:type="dxa"/>
            <w:tcBorders>
              <w:top w:val="single" w:sz="4" w:space="0" w:color="auto"/>
              <w:left w:val="single" w:sz="4" w:space="0" w:color="auto"/>
              <w:bottom w:val="single" w:sz="4" w:space="0" w:color="auto"/>
              <w:right w:val="single" w:sz="4" w:space="0" w:color="auto"/>
            </w:tcBorders>
          </w:tcPr>
          <w:p w14:paraId="2F36304C" w14:textId="437B5DB3" w:rsidR="008E779D" w:rsidRPr="008E779D" w:rsidRDefault="008E779D" w:rsidP="008E779D">
            <w:pPr>
              <w:spacing w:after="0"/>
              <w:rPr>
                <w:szCs w:val="24"/>
              </w:rPr>
            </w:pPr>
            <w:r w:rsidRPr="008E779D">
              <w:rPr>
                <w:szCs w:val="24"/>
              </w:rPr>
              <w:t>FR183</w:t>
            </w:r>
          </w:p>
        </w:tc>
        <w:tc>
          <w:tcPr>
            <w:tcW w:w="8010" w:type="dxa"/>
            <w:tcBorders>
              <w:top w:val="single" w:sz="4" w:space="0" w:color="auto"/>
              <w:left w:val="single" w:sz="4" w:space="0" w:color="auto"/>
              <w:bottom w:val="single" w:sz="4" w:space="0" w:color="auto"/>
              <w:right w:val="single" w:sz="4" w:space="0" w:color="auto"/>
            </w:tcBorders>
          </w:tcPr>
          <w:p w14:paraId="4CE78E5A" w14:textId="495E58A4" w:rsidR="008E779D" w:rsidRPr="008E779D" w:rsidRDefault="008E779D" w:rsidP="008E779D">
            <w:pPr>
              <w:pStyle w:val="NormalWeb"/>
              <w:spacing w:before="0" w:beforeAutospacing="0" w:after="0" w:afterAutospacing="0"/>
              <w:rPr>
                <w:rFonts w:ascii="Times New Roman" w:hAnsi="Times New Roman" w:cs="Times New Roman"/>
              </w:rPr>
            </w:pPr>
            <w:r w:rsidRPr="005E0FA9">
              <w:rPr>
                <w:rFonts w:ascii="Times New Roman" w:hAnsi="Times New Roman" w:cs="Times New Roman"/>
              </w:rPr>
              <w:t xml:space="preserve">The declaration submission functionality must serve to provide for declaration with integrated set of data and transmit the completed declaration to the Customs declaration processing system that shall continue with declaration processing function. </w:t>
            </w:r>
          </w:p>
        </w:tc>
      </w:tr>
      <w:tr w:rsidR="008E779D" w14:paraId="6DA11615" w14:textId="77777777" w:rsidTr="001136D3">
        <w:tc>
          <w:tcPr>
            <w:tcW w:w="1255" w:type="dxa"/>
            <w:tcBorders>
              <w:top w:val="single" w:sz="4" w:space="0" w:color="auto"/>
              <w:left w:val="single" w:sz="4" w:space="0" w:color="auto"/>
              <w:bottom w:val="single" w:sz="4" w:space="0" w:color="auto"/>
              <w:right w:val="single" w:sz="4" w:space="0" w:color="auto"/>
            </w:tcBorders>
          </w:tcPr>
          <w:p w14:paraId="6035A5AB" w14:textId="6A913AF4" w:rsidR="008E779D" w:rsidRDefault="008E779D" w:rsidP="008E779D">
            <w:pPr>
              <w:spacing w:after="0"/>
            </w:pPr>
            <w:r>
              <w:t>FR474</w:t>
            </w:r>
          </w:p>
        </w:tc>
        <w:tc>
          <w:tcPr>
            <w:tcW w:w="8010" w:type="dxa"/>
            <w:tcBorders>
              <w:top w:val="single" w:sz="4" w:space="0" w:color="auto"/>
              <w:left w:val="single" w:sz="4" w:space="0" w:color="auto"/>
              <w:bottom w:val="single" w:sz="4" w:space="0" w:color="auto"/>
              <w:right w:val="single" w:sz="4" w:space="0" w:color="auto"/>
            </w:tcBorders>
          </w:tcPr>
          <w:p w14:paraId="0521680B" w14:textId="61BEAA1E" w:rsidR="008E779D" w:rsidRDefault="008E779D" w:rsidP="008E779D">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receive and process integrated data set.</w:t>
            </w:r>
          </w:p>
        </w:tc>
      </w:tr>
      <w:tr w:rsidR="008E779D" w14:paraId="38F7C95A" w14:textId="77777777" w:rsidTr="001136D3">
        <w:tc>
          <w:tcPr>
            <w:tcW w:w="1255" w:type="dxa"/>
            <w:tcBorders>
              <w:top w:val="single" w:sz="4" w:space="0" w:color="auto"/>
              <w:left w:val="single" w:sz="4" w:space="0" w:color="auto"/>
              <w:bottom w:val="single" w:sz="4" w:space="0" w:color="auto"/>
              <w:right w:val="single" w:sz="4" w:space="0" w:color="auto"/>
            </w:tcBorders>
          </w:tcPr>
          <w:p w14:paraId="50F7082B" w14:textId="77777777" w:rsidR="008E779D" w:rsidRDefault="008E779D" w:rsidP="008E779D">
            <w:pPr>
              <w:spacing w:after="0"/>
            </w:pPr>
            <w:r>
              <w:t>FR475</w:t>
            </w:r>
          </w:p>
        </w:tc>
        <w:tc>
          <w:tcPr>
            <w:tcW w:w="8010" w:type="dxa"/>
            <w:tcBorders>
              <w:top w:val="single" w:sz="4" w:space="0" w:color="auto"/>
              <w:left w:val="single" w:sz="4" w:space="0" w:color="auto"/>
              <w:bottom w:val="single" w:sz="4" w:space="0" w:color="auto"/>
              <w:right w:val="single" w:sz="4" w:space="0" w:color="auto"/>
            </w:tcBorders>
          </w:tcPr>
          <w:p w14:paraId="3001326A" w14:textId="77777777" w:rsidR="008E779D" w:rsidRDefault="008E779D" w:rsidP="008E779D">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extract information which are relevant to the request for LPCO and to send it to the appropriate CBRA.</w:t>
            </w:r>
          </w:p>
        </w:tc>
      </w:tr>
      <w:tr w:rsidR="008E779D" w14:paraId="29F804DF" w14:textId="77777777" w:rsidTr="001136D3">
        <w:tc>
          <w:tcPr>
            <w:tcW w:w="1255" w:type="dxa"/>
            <w:tcBorders>
              <w:top w:val="single" w:sz="4" w:space="0" w:color="auto"/>
              <w:left w:val="single" w:sz="4" w:space="0" w:color="auto"/>
              <w:bottom w:val="single" w:sz="4" w:space="0" w:color="auto"/>
              <w:right w:val="single" w:sz="4" w:space="0" w:color="auto"/>
            </w:tcBorders>
          </w:tcPr>
          <w:p w14:paraId="14F4480E" w14:textId="77777777" w:rsidR="008E779D" w:rsidRDefault="008E779D" w:rsidP="008E779D">
            <w:pPr>
              <w:spacing w:after="0"/>
            </w:pPr>
            <w:r>
              <w:t>FR476</w:t>
            </w:r>
          </w:p>
        </w:tc>
        <w:tc>
          <w:tcPr>
            <w:tcW w:w="8010" w:type="dxa"/>
            <w:tcBorders>
              <w:top w:val="single" w:sz="4" w:space="0" w:color="auto"/>
              <w:left w:val="single" w:sz="4" w:space="0" w:color="auto"/>
              <w:bottom w:val="single" w:sz="4" w:space="0" w:color="auto"/>
              <w:right w:val="single" w:sz="4" w:space="0" w:color="auto"/>
            </w:tcBorders>
          </w:tcPr>
          <w:p w14:paraId="7A7D0A10" w14:textId="447805F1" w:rsidR="008E779D" w:rsidRDefault="008E779D" w:rsidP="008E779D">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update the customs data set with the information about the LPCO, and to send it to the Customs system.</w:t>
            </w:r>
          </w:p>
        </w:tc>
      </w:tr>
    </w:tbl>
    <w:p w14:paraId="2ADF98A2" w14:textId="77777777" w:rsidR="00157AAA" w:rsidRDefault="00157AAA">
      <w:pPr>
        <w:ind w:firstLine="702"/>
        <w:jc w:val="left"/>
        <w:rPr>
          <w:b/>
          <w:bCs/>
          <w:i/>
          <w:szCs w:val="24"/>
        </w:rPr>
      </w:pPr>
    </w:p>
    <w:p w14:paraId="5EEF4C7A" w14:textId="77777777" w:rsidR="00157AAA" w:rsidRPr="008E2AAD" w:rsidRDefault="006C1BE5" w:rsidP="008E2AAD">
      <w:pPr>
        <w:jc w:val="left"/>
        <w:rPr>
          <w:b/>
          <w:bCs/>
          <w:szCs w:val="24"/>
        </w:rPr>
      </w:pPr>
      <w:r w:rsidRPr="008E2AAD">
        <w:rPr>
          <w:b/>
          <w:bCs/>
          <w:szCs w:val="24"/>
        </w:rPr>
        <w:t>1.2.6. LPCO Management</w:t>
      </w:r>
    </w:p>
    <w:p w14:paraId="7E7570AA" w14:textId="77777777" w:rsidR="00157AAA" w:rsidRDefault="006C1BE5" w:rsidP="008E2AAD">
      <w:r>
        <w:t xml:space="preserve">All the document preparation is managed by the LPCO Management. The LPCO Management is responsible to provide a single repository of LPCO forms. The system is also responsible </w:t>
      </w:r>
      <w:proofErr w:type="gramStart"/>
      <w:r>
        <w:t>to handle</w:t>
      </w:r>
      <w:proofErr w:type="gramEnd"/>
      <w:r>
        <w:t xml:space="preserve"> the application and approval process of these documents. CBRA can access the LPCO applications and data through the LPCO Management service. CBRA users can review, update, and approve/reject LPCO.</w:t>
      </w:r>
    </w:p>
    <w:p w14:paraId="7A702E01" w14:textId="5E51D57A" w:rsidR="00157AAA" w:rsidRDefault="006C1BE5" w:rsidP="008E2AAD">
      <w:pPr>
        <w:spacing w:after="0"/>
      </w:pPr>
      <w:r>
        <w:t>The NSW supports the following services:</w:t>
      </w:r>
    </w:p>
    <w:p w14:paraId="3CA1CD22" w14:textId="77777777" w:rsidR="00157AAA" w:rsidRDefault="00157AAA">
      <w:pPr>
        <w:spacing w:after="0"/>
        <w:ind w:left="720"/>
      </w:pPr>
    </w:p>
    <w:p w14:paraId="034CFC6A" w14:textId="1154E37C" w:rsidR="00157AAA" w:rsidRPr="008E2AAD" w:rsidRDefault="006C1BE5" w:rsidP="005E6A97">
      <w:pPr>
        <w:ind w:left="738"/>
        <w:jc w:val="left"/>
        <w:rPr>
          <w:b/>
          <w:bCs/>
          <w:szCs w:val="24"/>
        </w:rPr>
      </w:pPr>
      <w:r w:rsidRPr="008E2AAD">
        <w:rPr>
          <w:b/>
          <w:bCs/>
          <w:szCs w:val="24"/>
        </w:rPr>
        <w:t>1.2.6.1. Use of LPCO and Quantity Management</w:t>
      </w:r>
    </w:p>
    <w:p w14:paraId="3B7C2129" w14:textId="00A7BB7B" w:rsidR="00157AAA" w:rsidRPr="008E2AAD" w:rsidRDefault="006C1BE5">
      <w:pPr>
        <w:ind w:left="1440" w:firstLine="720"/>
        <w:rPr>
          <w:b/>
        </w:rPr>
      </w:pPr>
      <w:r w:rsidRPr="008E2AAD">
        <w:rPr>
          <w:b/>
          <w:bCs/>
          <w:szCs w:val="24"/>
        </w:rPr>
        <w:t xml:space="preserve">1.2.6.1.2. </w:t>
      </w:r>
      <w:r w:rsidRPr="008E2AAD">
        <w:rPr>
          <w:b/>
        </w:rPr>
        <w:t>LPCO usage Service</w:t>
      </w:r>
    </w:p>
    <w:p w14:paraId="2410F3A5" w14:textId="77777777" w:rsidR="00157AAA" w:rsidRDefault="006C1BE5">
      <w:pPr>
        <w:ind w:left="720"/>
      </w:pPr>
      <w:r>
        <w:t>The LPCO usage service provides coordination among the government agencies. The concerned CBRA involved in the process will be notified in case there are actions required (e.g., a request to check LPCO availability, a request for LPCO usage, intervention information, goods clearance information, etc.), and the CBRA will provide their information results and/or quantity management outcomes.</w:t>
      </w:r>
    </w:p>
    <w:p w14:paraId="395FD1F1" w14:textId="77777777" w:rsidR="00157AAA" w:rsidRDefault="006C1BE5">
      <w:pPr>
        <w:ind w:left="720"/>
      </w:pPr>
      <w:r>
        <w:t xml:space="preserve">Any inspections, whether related to an LPCO application or to a customs declaration, where several government departments are involved, will also need to be coordinated. </w:t>
      </w:r>
    </w:p>
    <w:p w14:paraId="2C05CB97" w14:textId="720F84FD" w:rsidR="00157AAA" w:rsidRPr="008E2AAD" w:rsidRDefault="006C1BE5">
      <w:pPr>
        <w:spacing w:after="0"/>
        <w:jc w:val="left"/>
        <w:rPr>
          <w:b/>
        </w:rPr>
      </w:pPr>
      <w:r>
        <w:rPr>
          <w:b/>
          <w:bCs/>
          <w:i/>
          <w:szCs w:val="24"/>
        </w:rPr>
        <w:tab/>
      </w:r>
      <w:r>
        <w:rPr>
          <w:b/>
          <w:bCs/>
          <w:i/>
          <w:szCs w:val="24"/>
        </w:rPr>
        <w:tab/>
      </w:r>
      <w:r>
        <w:rPr>
          <w:b/>
          <w:bCs/>
          <w:i/>
          <w:szCs w:val="24"/>
        </w:rPr>
        <w:tab/>
      </w:r>
      <w:r w:rsidRPr="008E2AAD">
        <w:rPr>
          <w:b/>
          <w:bCs/>
          <w:szCs w:val="24"/>
        </w:rPr>
        <w:t>1.2.6.1.</w:t>
      </w:r>
      <w:r w:rsidR="00EF6AC3">
        <w:rPr>
          <w:b/>
          <w:bCs/>
          <w:szCs w:val="24"/>
        </w:rPr>
        <w:t>3</w:t>
      </w:r>
      <w:r w:rsidRPr="008E2AAD">
        <w:rPr>
          <w:b/>
          <w:bCs/>
          <w:szCs w:val="24"/>
        </w:rPr>
        <w:t xml:space="preserve">. </w:t>
      </w:r>
      <w:r w:rsidRPr="008E2AAD">
        <w:rPr>
          <w:b/>
        </w:rPr>
        <w:t>LPCO usage Management</w:t>
      </w:r>
    </w:p>
    <w:p w14:paraId="75602CCE" w14:textId="77777777" w:rsidR="00157AAA" w:rsidRDefault="006C1BE5">
      <w:pPr>
        <w:ind w:left="720"/>
      </w:pPr>
      <w:r>
        <w:t>Through the LPCO usage Management, the Customs Administration can exchange information with the authorized CBRA via NSW about the non-customs formalities (e.g., a request to check LPCO availability, a request for LPCO usage, intervention information, goods clearance information,) and NSW will inform the Customs Administration about the information results and/or quantity management outcomes.</w:t>
      </w:r>
    </w:p>
    <w:p w14:paraId="05A3C995" w14:textId="586DC9BB" w:rsidR="00157AAA" w:rsidRPr="008E2AAD" w:rsidRDefault="006C1BE5">
      <w:pPr>
        <w:ind w:left="720" w:firstLine="720"/>
        <w:rPr>
          <w:b/>
        </w:rPr>
      </w:pPr>
      <w:r w:rsidRPr="008E2AAD">
        <w:rPr>
          <w:b/>
          <w:bCs/>
          <w:szCs w:val="24"/>
        </w:rPr>
        <w:lastRenderedPageBreak/>
        <w:t>1.2.6.1.</w:t>
      </w:r>
      <w:r w:rsidR="00EF6AC3">
        <w:rPr>
          <w:b/>
          <w:bCs/>
          <w:szCs w:val="24"/>
        </w:rPr>
        <w:t>4</w:t>
      </w:r>
      <w:r w:rsidRPr="008E2AAD">
        <w:rPr>
          <w:b/>
          <w:bCs/>
          <w:szCs w:val="24"/>
        </w:rPr>
        <w:t>.</w:t>
      </w:r>
      <w:r w:rsidRPr="008E2AAD">
        <w:rPr>
          <w:b/>
        </w:rPr>
        <w:t xml:space="preserve"> Use of LPCO quantity and release goods Management</w:t>
      </w:r>
    </w:p>
    <w:p w14:paraId="77791E96" w14:textId="77777777" w:rsidR="00157AAA" w:rsidRDefault="006C1BE5">
      <w:pPr>
        <w:ind w:left="720"/>
      </w:pPr>
      <w:r>
        <w:t xml:space="preserve">The Use of LPCO quantity and release goods management module keeps track of the activities required by CBRAs regarding the request to check LPCO availability and/or the request for LPCO usage, intervention information and goods clearance information, ensuring that each CBRA provides their consent to the release of goods. It makes use of defined workflows within </w:t>
      </w:r>
      <w:proofErr w:type="gramStart"/>
      <w:r>
        <w:t>the workflow</w:t>
      </w:r>
      <w:proofErr w:type="gramEnd"/>
      <w:r>
        <w:t xml:space="preserve"> management.</w:t>
      </w:r>
    </w:p>
    <w:p w14:paraId="7C9748F0" w14:textId="33A47C82" w:rsidR="00157AAA" w:rsidRDefault="006C1BE5">
      <w:pPr>
        <w:jc w:val="left"/>
        <w:rPr>
          <w:bCs/>
          <w:szCs w:val="24"/>
        </w:rPr>
      </w:pPr>
      <w:r w:rsidRPr="008E2AAD">
        <w:rPr>
          <w:bCs/>
          <w:szCs w:val="24"/>
        </w:rPr>
        <w:t xml:space="preserve">The NSW </w:t>
      </w:r>
      <w:r w:rsidR="00631878">
        <w:rPr>
          <w:bCs/>
          <w:szCs w:val="24"/>
        </w:rPr>
        <w:t xml:space="preserve">will </w:t>
      </w:r>
      <w:r w:rsidRPr="008E2AAD">
        <w:rPr>
          <w:bCs/>
          <w:szCs w:val="24"/>
        </w:rPr>
        <w:t>automate the following processes:</w:t>
      </w:r>
    </w:p>
    <w:p w14:paraId="2259E839" w14:textId="3F16BC1C" w:rsidR="00DC1D8D" w:rsidRDefault="00DC1D8D" w:rsidP="00D530D5">
      <w:pPr>
        <w:pStyle w:val="ListParagraph"/>
        <w:numPr>
          <w:ilvl w:val="0"/>
          <w:numId w:val="164"/>
        </w:numPr>
        <w:jc w:val="left"/>
        <w:rPr>
          <w:bCs/>
          <w:szCs w:val="24"/>
        </w:rPr>
      </w:pPr>
      <w:r w:rsidRPr="00DC1D8D">
        <w:rPr>
          <w:bCs/>
          <w:szCs w:val="24"/>
        </w:rPr>
        <w:t>Provide Information about the Availability and Quantity Reservation to Customs</w:t>
      </w:r>
    </w:p>
    <w:p w14:paraId="663B511E" w14:textId="39DF3E53" w:rsidR="00F81A8C" w:rsidRPr="004B38A1" w:rsidRDefault="00F81A8C" w:rsidP="00D530D5">
      <w:pPr>
        <w:pStyle w:val="ListParagraph"/>
        <w:numPr>
          <w:ilvl w:val="0"/>
          <w:numId w:val="164"/>
        </w:numPr>
        <w:jc w:val="left"/>
        <w:rPr>
          <w:bCs/>
          <w:szCs w:val="24"/>
        </w:rPr>
      </w:pPr>
      <w:r>
        <w:rPr>
          <w:bCs/>
          <w:szCs w:val="24"/>
        </w:rPr>
        <w:t>Register the Use of LPCO</w:t>
      </w:r>
    </w:p>
    <w:p w14:paraId="0E286B9E" w14:textId="45F5E5E3" w:rsidR="00F81A8C" w:rsidRDefault="00F81A8C" w:rsidP="005E0FA9">
      <w:pPr>
        <w:jc w:val="left"/>
      </w:pPr>
    </w:p>
    <w:p w14:paraId="3CE10236" w14:textId="40B48826" w:rsidR="00F81A8C" w:rsidRDefault="00F81A8C" w:rsidP="00F81A8C">
      <w:pPr>
        <w:rPr>
          <w:b/>
        </w:rPr>
      </w:pPr>
      <w:r>
        <w:rPr>
          <w:b/>
        </w:rPr>
        <w:t>1.2</w:t>
      </w:r>
      <w:r w:rsidRPr="008E2AAD">
        <w:rPr>
          <w:b/>
        </w:rPr>
        <w:t>.6.1.</w:t>
      </w:r>
      <w:r>
        <w:rPr>
          <w:b/>
        </w:rPr>
        <w:t>5</w:t>
      </w:r>
      <w:r w:rsidRPr="008E2AAD">
        <w:rPr>
          <w:b/>
        </w:rPr>
        <w:t>. Provide Information about the Availability and Quantity Reservation to Customs</w:t>
      </w:r>
    </w:p>
    <w:p w14:paraId="1F1E9F3F" w14:textId="77777777" w:rsidR="00F81A8C" w:rsidRPr="008E2AAD" w:rsidRDefault="00F81A8C" w:rsidP="00F81A8C">
      <w:pPr>
        <w:rPr>
          <w:b/>
        </w:rPr>
      </w:pPr>
      <w:r w:rsidRPr="004354FE">
        <w:rPr>
          <w:b/>
          <w:noProof/>
        </w:rPr>
        <w:drawing>
          <wp:inline distT="0" distB="0" distL="0" distR="0" wp14:anchorId="175DDCB7" wp14:editId="06E908AA">
            <wp:extent cx="5486400" cy="29540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86400" cy="2954020"/>
                    </a:xfrm>
                    <a:prstGeom prst="rect">
                      <a:avLst/>
                    </a:prstGeom>
                  </pic:spPr>
                </pic:pic>
              </a:graphicData>
            </a:graphic>
          </wp:inline>
        </w:drawing>
      </w:r>
    </w:p>
    <w:p w14:paraId="74CFEE41" w14:textId="23F71EC1" w:rsidR="00F81A8C" w:rsidRDefault="00E3729B" w:rsidP="00F81A8C">
      <w:pPr>
        <w:rPr>
          <w:b/>
          <w:i/>
        </w:rPr>
      </w:pPr>
      <w:r>
        <w:rPr>
          <w:noProof/>
        </w:rPr>
        <mc:AlternateContent>
          <mc:Choice Requires="wps">
            <w:drawing>
              <wp:anchor distT="0" distB="0" distL="114300" distR="114300" simplePos="0" relativeHeight="251658244" behindDoc="0" locked="0" layoutInCell="1" allowOverlap="1" wp14:anchorId="0659C363" wp14:editId="0B826205">
                <wp:simplePos x="0" y="0"/>
                <wp:positionH relativeFrom="column">
                  <wp:posOffset>0</wp:posOffset>
                </wp:positionH>
                <wp:positionV relativeFrom="paragraph">
                  <wp:posOffset>0</wp:posOffset>
                </wp:positionV>
                <wp:extent cx="635000" cy="635000"/>
                <wp:effectExtent l="0" t="0" r="0" b="0"/>
                <wp:wrapNone/>
                <wp:docPr id="35" name="Rectangle 35"/>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EA560" id="Rectangle 35" o:spid="_x0000_s1026" style="position:absolute;margin-left:0;margin-top:0;width:50pt;height:50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">
                <v:stroke joinstyle="round"/>
                <o:lock v:ext="edit" selection="t"/>
              </v:rect>
            </w:pict>
          </mc:Fallback>
        </mc:AlternateContent>
      </w:r>
      <w:r w:rsidR="00F81A8C">
        <w:rPr>
          <w:b/>
          <w:i/>
        </w:rPr>
        <w:object w:dxaOrig="935" w:dyaOrig="602" w14:anchorId="648AD382">
          <v:shape id="_x0000_i1030" type="#_x0000_t75" style="width:79pt;height:50.5pt" o:ole="">
            <v:imagedata r:id="rId89" o:title=""/>
          </v:shape>
          <o:OLEObject Type="Embed" ProgID="Package" ShapeID="_x0000_i1030" DrawAspect="Icon" ObjectID="_1777888263" r:id="rId90"/>
        </w:object>
      </w:r>
    </w:p>
    <w:p w14:paraId="67F4208F" w14:textId="77777777" w:rsidR="00F81A8C" w:rsidRDefault="00F81A8C" w:rsidP="00F81A8C">
      <w:pPr>
        <w:rPr>
          <w:i/>
          <w:highlight w:val="yellow"/>
        </w:rPr>
      </w:pPr>
    </w:p>
    <w:p w14:paraId="1B91EBFD" w14:textId="77777777" w:rsidR="00F81A8C" w:rsidRDefault="00F81A8C" w:rsidP="00F81A8C">
      <w:pPr>
        <w:jc w:val="center"/>
        <w:rPr>
          <w:i/>
        </w:rPr>
      </w:pPr>
      <w:r>
        <w:rPr>
          <w:i/>
        </w:rPr>
        <w:t>Figure 10: BPMN Diagram of Process: Provide Information about the Availability and Quantity to Customs</w:t>
      </w:r>
    </w:p>
    <w:p w14:paraId="4816FAD0" w14:textId="77777777" w:rsidR="00F81A8C" w:rsidRDefault="00F81A8C" w:rsidP="00F81A8C">
      <w:pPr>
        <w:spacing w:after="0"/>
      </w:pPr>
      <w:r w:rsidRPr="008E2AAD">
        <w:rPr>
          <w:b/>
        </w:rPr>
        <w:t>Process Description</w:t>
      </w:r>
      <w:r>
        <w:t xml:space="preserve">:  The process starts with the Customs systems (CDPES and NCTS) are verifying:  </w:t>
      </w:r>
    </w:p>
    <w:p w14:paraId="34A0D65B" w14:textId="77777777" w:rsidR="00F81A8C" w:rsidRDefault="00F81A8C" w:rsidP="00F81A8C">
      <w:pPr>
        <w:spacing w:after="0"/>
        <w:rPr>
          <w:sz w:val="10"/>
          <w:szCs w:val="10"/>
        </w:rPr>
      </w:pPr>
    </w:p>
    <w:p w14:paraId="194C1DE7" w14:textId="77777777" w:rsidR="00F81A8C" w:rsidRDefault="00F81A8C" w:rsidP="00D530D5">
      <w:pPr>
        <w:pStyle w:val="ListParagraph"/>
        <w:numPr>
          <w:ilvl w:val="0"/>
          <w:numId w:val="67"/>
        </w:numPr>
        <w:spacing w:after="0"/>
      </w:pPr>
      <w:r>
        <w:t xml:space="preserve">Pre-validation  </w:t>
      </w:r>
    </w:p>
    <w:p w14:paraId="1823ED47" w14:textId="77777777" w:rsidR="00F81A8C" w:rsidRDefault="00F81A8C" w:rsidP="00D530D5">
      <w:pPr>
        <w:pStyle w:val="ListParagraph"/>
        <w:numPr>
          <w:ilvl w:val="0"/>
          <w:numId w:val="67"/>
        </w:numPr>
        <w:spacing w:after="0"/>
      </w:pPr>
      <w:r>
        <w:t xml:space="preserve">Availability  </w:t>
      </w:r>
    </w:p>
    <w:p w14:paraId="355285C6" w14:textId="77777777" w:rsidR="00F81A8C" w:rsidRDefault="00F81A8C" w:rsidP="00D530D5">
      <w:pPr>
        <w:pStyle w:val="ListParagraph"/>
        <w:numPr>
          <w:ilvl w:val="0"/>
          <w:numId w:val="67"/>
        </w:numPr>
        <w:spacing w:after="0"/>
      </w:pPr>
      <w:r>
        <w:t xml:space="preserve">Availability and Quantity of the LPCO. </w:t>
      </w:r>
    </w:p>
    <w:p w14:paraId="39E2D39F" w14:textId="77777777" w:rsidR="00F81A8C" w:rsidRDefault="00F81A8C" w:rsidP="00F81A8C">
      <w:pPr>
        <w:spacing w:after="0"/>
        <w:rPr>
          <w:sz w:val="22"/>
          <w:szCs w:val="22"/>
        </w:rPr>
      </w:pPr>
    </w:p>
    <w:p w14:paraId="4DDD5AAB" w14:textId="68D7EE2C" w:rsidR="00F81A8C" w:rsidRDefault="00F81A8C" w:rsidP="00F81A8C">
      <w:pPr>
        <w:spacing w:after="0"/>
        <w:rPr>
          <w:szCs w:val="24"/>
        </w:rPr>
      </w:pPr>
      <w:r>
        <w:rPr>
          <w:szCs w:val="24"/>
        </w:rPr>
        <w:lastRenderedPageBreak/>
        <w:t xml:space="preserve">The Customs Officer processing the custom declaration can check the LPCO availability. If there is need to also reserve the quantity, the flag for quantity is checked. When the message is received, the system first validates it technically, and then it checks if the LPCO is issued by the NSW or from other Competent Authority System. If is from </w:t>
      </w:r>
      <w:proofErr w:type="gramStart"/>
      <w:r>
        <w:rPr>
          <w:szCs w:val="24"/>
        </w:rPr>
        <w:t>other</w:t>
      </w:r>
      <w:proofErr w:type="gramEnd"/>
      <w:r>
        <w:rPr>
          <w:szCs w:val="24"/>
        </w:rPr>
        <w:t xml:space="preserve"> system, it sends IE to that system (competent authority licensing system, SEED+ and CERTEX) to check the availability and waits for the reply which is then sent to the Customs system (CDEPS or NCTS). If the LPCO was issued through NSW it retrieves the information, </w:t>
      </w:r>
      <w:proofErr w:type="gramStart"/>
      <w:r>
        <w:rPr>
          <w:szCs w:val="24"/>
        </w:rPr>
        <w:t>status</w:t>
      </w:r>
      <w:proofErr w:type="gramEnd"/>
      <w:r>
        <w:rPr>
          <w:szCs w:val="24"/>
        </w:rPr>
        <w:t xml:space="preserve"> and availability, and if the LPCO is not valid, sends back to Customs Systems that the LPCO is Not Valid with the reason. If everything is ok, it sends the availability info. If the request to check LPCO is also to reserve the quantity, the system identifies if the declaration is amended. If the declaration is for amendment, it releases the previous quantity and </w:t>
      </w:r>
      <w:proofErr w:type="gramStart"/>
      <w:r>
        <w:rPr>
          <w:szCs w:val="24"/>
        </w:rPr>
        <w:t>insert</w:t>
      </w:r>
      <w:proofErr w:type="gramEnd"/>
      <w:r>
        <w:rPr>
          <w:szCs w:val="24"/>
        </w:rPr>
        <w:t xml:space="preserve"> new data (if available). Then the system needs to identify the quantity, and if the quantity is valid, it reserves the quantity and notifies the information of LPCO to customs systems. </w:t>
      </w:r>
    </w:p>
    <w:p w14:paraId="3FEC3F24" w14:textId="77777777" w:rsidR="00F81A8C" w:rsidRDefault="00F81A8C" w:rsidP="00F81A8C">
      <w:pPr>
        <w:spacing w:after="0"/>
        <w:rPr>
          <w:szCs w:val="24"/>
        </w:rPr>
      </w:pPr>
    </w:p>
    <w:p w14:paraId="653F2CEE" w14:textId="77777777" w:rsidR="00F81A8C" w:rsidRDefault="00F81A8C" w:rsidP="00F81A8C">
      <w:pPr>
        <w:spacing w:after="0"/>
        <w:rPr>
          <w:b/>
          <w:i/>
          <w:szCs w:val="24"/>
        </w:rPr>
      </w:pPr>
      <w:r>
        <w:rPr>
          <w:b/>
          <w:i/>
          <w:szCs w:val="24"/>
        </w:rPr>
        <w:t>Process Steps:</w:t>
      </w:r>
    </w:p>
    <w:p w14:paraId="43AB9308" w14:textId="77777777" w:rsidR="00F81A8C" w:rsidRDefault="00F81A8C" w:rsidP="00F81A8C">
      <w:pPr>
        <w:spacing w:after="0"/>
        <w:rPr>
          <w:szCs w:val="24"/>
        </w:rPr>
      </w:pPr>
    </w:p>
    <w:tbl>
      <w:tblPr>
        <w:tblStyle w:val="TableGrid"/>
        <w:tblW w:w="9355" w:type="dxa"/>
        <w:tblLook w:val="04A0" w:firstRow="1" w:lastRow="0" w:firstColumn="1" w:lastColumn="0" w:noHBand="0" w:noVBand="1"/>
      </w:tblPr>
      <w:tblGrid>
        <w:gridCol w:w="1525"/>
        <w:gridCol w:w="2160"/>
        <w:gridCol w:w="5670"/>
      </w:tblGrid>
      <w:tr w:rsidR="00F81A8C" w14:paraId="41295AD0" w14:textId="77777777" w:rsidTr="001136D3">
        <w:trPr>
          <w:tblHeader/>
        </w:trPr>
        <w:tc>
          <w:tcPr>
            <w:tcW w:w="1525" w:type="dxa"/>
            <w:shd w:val="clear" w:color="auto" w:fill="D9D9D9" w:themeFill="background1" w:themeFillShade="D9"/>
          </w:tcPr>
          <w:p w14:paraId="28347B51" w14:textId="77777777" w:rsidR="00F81A8C" w:rsidRDefault="00F81A8C" w:rsidP="00E17F10">
            <w:pPr>
              <w:spacing w:after="0"/>
              <w:rPr>
                <w:b/>
                <w:szCs w:val="24"/>
              </w:rPr>
            </w:pPr>
            <w:r>
              <w:rPr>
                <w:b/>
                <w:szCs w:val="24"/>
              </w:rPr>
              <w:t>Step</w:t>
            </w:r>
          </w:p>
        </w:tc>
        <w:tc>
          <w:tcPr>
            <w:tcW w:w="2160" w:type="dxa"/>
            <w:shd w:val="clear" w:color="auto" w:fill="D9D9D9" w:themeFill="background1" w:themeFillShade="D9"/>
          </w:tcPr>
          <w:p w14:paraId="006B8B00" w14:textId="77777777" w:rsidR="00F81A8C" w:rsidRDefault="00F81A8C">
            <w:pPr>
              <w:spacing w:after="0"/>
              <w:jc w:val="left"/>
              <w:rPr>
                <w:b/>
                <w:szCs w:val="24"/>
              </w:rPr>
            </w:pPr>
            <w:r>
              <w:rPr>
                <w:b/>
                <w:szCs w:val="24"/>
              </w:rPr>
              <w:t>Name</w:t>
            </w:r>
          </w:p>
        </w:tc>
        <w:tc>
          <w:tcPr>
            <w:tcW w:w="5670" w:type="dxa"/>
            <w:shd w:val="clear" w:color="auto" w:fill="D9D9D9" w:themeFill="background1" w:themeFillShade="D9"/>
          </w:tcPr>
          <w:p w14:paraId="38C037CC" w14:textId="77777777" w:rsidR="00F81A8C" w:rsidRDefault="00F81A8C" w:rsidP="00E17F10">
            <w:pPr>
              <w:spacing w:after="0"/>
              <w:jc w:val="left"/>
              <w:rPr>
                <w:b/>
                <w:szCs w:val="24"/>
              </w:rPr>
            </w:pPr>
            <w:r>
              <w:rPr>
                <w:b/>
                <w:szCs w:val="24"/>
              </w:rPr>
              <w:t>Description</w:t>
            </w:r>
          </w:p>
        </w:tc>
      </w:tr>
      <w:tr w:rsidR="00F81A8C" w14:paraId="6240C554" w14:textId="77777777" w:rsidTr="001136D3">
        <w:tc>
          <w:tcPr>
            <w:tcW w:w="1525" w:type="dxa"/>
          </w:tcPr>
          <w:p w14:paraId="6A8DAA5D" w14:textId="77777777" w:rsidR="00F81A8C" w:rsidRDefault="00F81A8C" w:rsidP="00E17F10">
            <w:pPr>
              <w:spacing w:after="0"/>
              <w:rPr>
                <w:szCs w:val="24"/>
              </w:rPr>
            </w:pPr>
            <w:r>
              <w:rPr>
                <w:szCs w:val="24"/>
              </w:rPr>
              <w:t>Start Event</w:t>
            </w:r>
          </w:p>
        </w:tc>
        <w:tc>
          <w:tcPr>
            <w:tcW w:w="2160" w:type="dxa"/>
          </w:tcPr>
          <w:p w14:paraId="57CD9297" w14:textId="77777777" w:rsidR="00F81A8C" w:rsidRDefault="00F81A8C" w:rsidP="001136D3">
            <w:pPr>
              <w:spacing w:after="0"/>
              <w:jc w:val="left"/>
              <w:rPr>
                <w:szCs w:val="24"/>
              </w:rPr>
            </w:pPr>
            <w:r>
              <w:rPr>
                <w:szCs w:val="24"/>
              </w:rPr>
              <w:t>Receive Request Pre-Validation of Information for LPCO</w:t>
            </w:r>
          </w:p>
        </w:tc>
        <w:tc>
          <w:tcPr>
            <w:tcW w:w="5670" w:type="dxa"/>
          </w:tcPr>
          <w:p w14:paraId="047D9EC6" w14:textId="77777777" w:rsidR="00F81A8C" w:rsidRPr="005E6A97" w:rsidRDefault="00F81A8C" w:rsidP="00E17F10">
            <w:pPr>
              <w:spacing w:after="0"/>
              <w:rPr>
                <w:szCs w:val="24"/>
                <w:lang w:val="mk-MK"/>
              </w:rPr>
            </w:pPr>
            <w:r>
              <w:rPr>
                <w:szCs w:val="24"/>
              </w:rPr>
              <w:t>The request for Pre-Validation is received from Customs Systems</w:t>
            </w:r>
            <w:r>
              <w:rPr>
                <w:szCs w:val="24"/>
                <w:lang w:val="mk-MK"/>
              </w:rPr>
              <w:t>.</w:t>
            </w:r>
          </w:p>
        </w:tc>
      </w:tr>
      <w:tr w:rsidR="00F81A8C" w14:paraId="0101793D" w14:textId="77777777" w:rsidTr="001136D3">
        <w:tc>
          <w:tcPr>
            <w:tcW w:w="1525" w:type="dxa"/>
          </w:tcPr>
          <w:p w14:paraId="69DF1895" w14:textId="77777777" w:rsidR="00F81A8C" w:rsidRDefault="00F81A8C" w:rsidP="00E17F10">
            <w:pPr>
              <w:spacing w:after="0"/>
              <w:rPr>
                <w:szCs w:val="24"/>
              </w:rPr>
            </w:pPr>
            <w:r>
              <w:rPr>
                <w:szCs w:val="24"/>
              </w:rPr>
              <w:t>Start Event</w:t>
            </w:r>
          </w:p>
        </w:tc>
        <w:tc>
          <w:tcPr>
            <w:tcW w:w="2160" w:type="dxa"/>
          </w:tcPr>
          <w:p w14:paraId="2EBEE9A4" w14:textId="77777777" w:rsidR="00F81A8C" w:rsidRDefault="00F81A8C" w:rsidP="001136D3">
            <w:pPr>
              <w:spacing w:after="0"/>
              <w:jc w:val="left"/>
              <w:rPr>
                <w:szCs w:val="24"/>
              </w:rPr>
            </w:pPr>
            <w:r>
              <w:rPr>
                <w:szCs w:val="24"/>
              </w:rPr>
              <w:t>Request to Verify Availability for LPCO Received</w:t>
            </w:r>
          </w:p>
        </w:tc>
        <w:tc>
          <w:tcPr>
            <w:tcW w:w="5670" w:type="dxa"/>
          </w:tcPr>
          <w:p w14:paraId="6D16066D" w14:textId="77777777" w:rsidR="00F81A8C" w:rsidRPr="005E6A97" w:rsidRDefault="00F81A8C" w:rsidP="00E17F10">
            <w:pPr>
              <w:spacing w:after="0"/>
              <w:rPr>
                <w:szCs w:val="24"/>
                <w:lang w:val="mk-MK"/>
              </w:rPr>
            </w:pPr>
            <w:r>
              <w:rPr>
                <w:szCs w:val="24"/>
              </w:rPr>
              <w:t>A request for verifying Availability is received from Customs Systems</w:t>
            </w:r>
            <w:r>
              <w:rPr>
                <w:szCs w:val="24"/>
                <w:lang w:val="mk-MK"/>
              </w:rPr>
              <w:t>.</w:t>
            </w:r>
          </w:p>
        </w:tc>
      </w:tr>
      <w:tr w:rsidR="00F81A8C" w14:paraId="0873A1A1" w14:textId="77777777" w:rsidTr="001136D3">
        <w:tc>
          <w:tcPr>
            <w:tcW w:w="1525" w:type="dxa"/>
          </w:tcPr>
          <w:p w14:paraId="3094D388" w14:textId="77777777" w:rsidR="00F81A8C" w:rsidRDefault="00F81A8C" w:rsidP="00E17F10">
            <w:pPr>
              <w:spacing w:after="0"/>
              <w:rPr>
                <w:szCs w:val="24"/>
              </w:rPr>
            </w:pPr>
            <w:r>
              <w:rPr>
                <w:szCs w:val="24"/>
              </w:rPr>
              <w:t>Start Event</w:t>
            </w:r>
          </w:p>
        </w:tc>
        <w:tc>
          <w:tcPr>
            <w:tcW w:w="2160" w:type="dxa"/>
          </w:tcPr>
          <w:p w14:paraId="5883CEFD" w14:textId="77777777" w:rsidR="00F81A8C" w:rsidRDefault="00F81A8C" w:rsidP="001136D3">
            <w:pPr>
              <w:spacing w:after="0"/>
              <w:jc w:val="left"/>
              <w:rPr>
                <w:szCs w:val="24"/>
              </w:rPr>
            </w:pPr>
            <w:r>
              <w:rPr>
                <w:szCs w:val="24"/>
              </w:rPr>
              <w:t>Request to Verify Availability and Quantity Reservation for LPCO Received</w:t>
            </w:r>
          </w:p>
        </w:tc>
        <w:tc>
          <w:tcPr>
            <w:tcW w:w="5670" w:type="dxa"/>
          </w:tcPr>
          <w:p w14:paraId="53A8A94C" w14:textId="77777777" w:rsidR="00F81A8C" w:rsidRPr="005E6A97" w:rsidRDefault="00F81A8C" w:rsidP="00E17F10">
            <w:pPr>
              <w:spacing w:after="0"/>
              <w:rPr>
                <w:szCs w:val="24"/>
                <w:lang w:val="mk-MK"/>
              </w:rPr>
            </w:pPr>
            <w:r>
              <w:rPr>
                <w:szCs w:val="24"/>
              </w:rPr>
              <w:t>A request for verifying Availability and Quantity is received from Customs Systems</w:t>
            </w:r>
            <w:r>
              <w:rPr>
                <w:szCs w:val="24"/>
                <w:lang w:val="mk-MK"/>
              </w:rPr>
              <w:t>.</w:t>
            </w:r>
          </w:p>
        </w:tc>
      </w:tr>
      <w:tr w:rsidR="00F81A8C" w14:paraId="140EF287" w14:textId="77777777" w:rsidTr="001136D3">
        <w:tc>
          <w:tcPr>
            <w:tcW w:w="1525" w:type="dxa"/>
          </w:tcPr>
          <w:p w14:paraId="570C48DF" w14:textId="77777777" w:rsidR="00F81A8C" w:rsidRDefault="00F81A8C" w:rsidP="00E17F10">
            <w:pPr>
              <w:spacing w:after="0"/>
              <w:rPr>
                <w:szCs w:val="24"/>
              </w:rPr>
            </w:pPr>
            <w:r>
              <w:rPr>
                <w:szCs w:val="24"/>
              </w:rPr>
              <w:t>Service Task</w:t>
            </w:r>
          </w:p>
        </w:tc>
        <w:tc>
          <w:tcPr>
            <w:tcW w:w="2160" w:type="dxa"/>
          </w:tcPr>
          <w:p w14:paraId="0D54735F" w14:textId="77777777" w:rsidR="00F81A8C" w:rsidRDefault="00F81A8C" w:rsidP="001136D3">
            <w:pPr>
              <w:spacing w:after="0"/>
              <w:jc w:val="left"/>
              <w:rPr>
                <w:szCs w:val="24"/>
              </w:rPr>
            </w:pPr>
            <w:r>
              <w:rPr>
                <w:szCs w:val="24"/>
              </w:rPr>
              <w:t>Perform Validation of the Request for LPCO Availability and Quantity</w:t>
            </w:r>
          </w:p>
        </w:tc>
        <w:tc>
          <w:tcPr>
            <w:tcW w:w="5670" w:type="dxa"/>
          </w:tcPr>
          <w:p w14:paraId="7BDACD9D" w14:textId="77777777" w:rsidR="00F81A8C" w:rsidRPr="005E6A97" w:rsidRDefault="00F81A8C" w:rsidP="00E17F10">
            <w:pPr>
              <w:spacing w:after="0"/>
              <w:rPr>
                <w:szCs w:val="24"/>
                <w:lang w:val="mk-MK"/>
              </w:rPr>
            </w:pPr>
            <w:r>
              <w:rPr>
                <w:szCs w:val="24"/>
              </w:rPr>
              <w:t>The task validates the technical and business validation for the request for pre-validation of Information for LPCO, availability and availability and quantity reservation</w:t>
            </w:r>
            <w:r>
              <w:rPr>
                <w:szCs w:val="24"/>
                <w:lang w:val="mk-MK"/>
              </w:rPr>
              <w:t>.</w:t>
            </w:r>
          </w:p>
        </w:tc>
      </w:tr>
      <w:tr w:rsidR="00F81A8C" w14:paraId="5B89687B" w14:textId="77777777" w:rsidTr="001136D3">
        <w:tc>
          <w:tcPr>
            <w:tcW w:w="1525" w:type="dxa"/>
          </w:tcPr>
          <w:p w14:paraId="1C7AED80" w14:textId="77777777" w:rsidR="00F81A8C" w:rsidRDefault="00F81A8C" w:rsidP="00E17F10">
            <w:pPr>
              <w:spacing w:after="0"/>
              <w:rPr>
                <w:szCs w:val="24"/>
              </w:rPr>
            </w:pPr>
            <w:r>
              <w:rPr>
                <w:szCs w:val="24"/>
              </w:rPr>
              <w:t>Service Task</w:t>
            </w:r>
          </w:p>
        </w:tc>
        <w:tc>
          <w:tcPr>
            <w:tcW w:w="2160" w:type="dxa"/>
          </w:tcPr>
          <w:p w14:paraId="32F613C7" w14:textId="77777777" w:rsidR="00F81A8C" w:rsidRDefault="00F81A8C" w:rsidP="001136D3">
            <w:pPr>
              <w:spacing w:after="0"/>
              <w:jc w:val="left"/>
              <w:rPr>
                <w:szCs w:val="24"/>
              </w:rPr>
            </w:pPr>
            <w:r>
              <w:rPr>
                <w:szCs w:val="24"/>
              </w:rPr>
              <w:t>Retrieve LPCO Information</w:t>
            </w:r>
          </w:p>
        </w:tc>
        <w:tc>
          <w:tcPr>
            <w:tcW w:w="5670" w:type="dxa"/>
          </w:tcPr>
          <w:p w14:paraId="25618FB0" w14:textId="77777777" w:rsidR="00F81A8C" w:rsidRDefault="00F81A8C" w:rsidP="00E17F10">
            <w:pPr>
              <w:spacing w:after="0"/>
              <w:rPr>
                <w:szCs w:val="24"/>
              </w:rPr>
            </w:pPr>
            <w:r>
              <w:rPr>
                <w:szCs w:val="24"/>
              </w:rPr>
              <w:t xml:space="preserve">The NSW System retrieves the information for LPCO requested and identifies: </w:t>
            </w:r>
          </w:p>
          <w:p w14:paraId="2AD216F9" w14:textId="77777777" w:rsidR="00F81A8C" w:rsidRDefault="00F81A8C" w:rsidP="00D530D5">
            <w:pPr>
              <w:pStyle w:val="ListParagraph"/>
              <w:numPr>
                <w:ilvl w:val="0"/>
                <w:numId w:val="138"/>
              </w:numPr>
              <w:spacing w:after="0"/>
              <w:rPr>
                <w:szCs w:val="24"/>
              </w:rPr>
            </w:pPr>
            <w:r>
              <w:rPr>
                <w:szCs w:val="24"/>
              </w:rPr>
              <w:t xml:space="preserve">LPCO availability  </w:t>
            </w:r>
          </w:p>
          <w:p w14:paraId="58C82599" w14:textId="77777777" w:rsidR="00F81A8C" w:rsidRDefault="00F81A8C" w:rsidP="00D530D5">
            <w:pPr>
              <w:pStyle w:val="ListParagraph"/>
              <w:numPr>
                <w:ilvl w:val="0"/>
                <w:numId w:val="138"/>
              </w:numPr>
              <w:spacing w:after="0"/>
              <w:rPr>
                <w:szCs w:val="24"/>
              </w:rPr>
            </w:pPr>
            <w:r>
              <w:rPr>
                <w:szCs w:val="24"/>
              </w:rPr>
              <w:t xml:space="preserve">operational code of the certificate </w:t>
            </w:r>
          </w:p>
          <w:p w14:paraId="115741F1" w14:textId="77777777" w:rsidR="00F81A8C" w:rsidRDefault="00F81A8C" w:rsidP="00D530D5">
            <w:pPr>
              <w:pStyle w:val="ListParagraph"/>
              <w:numPr>
                <w:ilvl w:val="0"/>
                <w:numId w:val="138"/>
              </w:numPr>
              <w:spacing w:after="0"/>
              <w:rPr>
                <w:szCs w:val="24"/>
              </w:rPr>
            </w:pPr>
            <w:r>
              <w:rPr>
                <w:szCs w:val="24"/>
              </w:rPr>
              <w:t>appropriate status</w:t>
            </w:r>
          </w:p>
        </w:tc>
      </w:tr>
      <w:tr w:rsidR="00F81A8C" w14:paraId="28ADB21C" w14:textId="77777777" w:rsidTr="001136D3">
        <w:tc>
          <w:tcPr>
            <w:tcW w:w="1525" w:type="dxa"/>
          </w:tcPr>
          <w:p w14:paraId="417A1DC9" w14:textId="77777777" w:rsidR="00F81A8C" w:rsidRDefault="00F81A8C" w:rsidP="00E17F10">
            <w:pPr>
              <w:spacing w:after="0"/>
              <w:rPr>
                <w:szCs w:val="24"/>
              </w:rPr>
            </w:pPr>
            <w:r>
              <w:rPr>
                <w:szCs w:val="24"/>
              </w:rPr>
              <w:t>Send Task</w:t>
            </w:r>
          </w:p>
        </w:tc>
        <w:tc>
          <w:tcPr>
            <w:tcW w:w="2160" w:type="dxa"/>
          </w:tcPr>
          <w:p w14:paraId="04D57F77" w14:textId="77777777" w:rsidR="00F81A8C" w:rsidRDefault="00F81A8C" w:rsidP="001136D3">
            <w:pPr>
              <w:spacing w:after="0"/>
              <w:jc w:val="left"/>
              <w:rPr>
                <w:szCs w:val="24"/>
              </w:rPr>
            </w:pPr>
            <w:r>
              <w:rPr>
                <w:szCs w:val="24"/>
              </w:rPr>
              <w:t>Notify Request for Information for LPCO Error</w:t>
            </w:r>
          </w:p>
        </w:tc>
        <w:tc>
          <w:tcPr>
            <w:tcW w:w="5670" w:type="dxa"/>
          </w:tcPr>
          <w:p w14:paraId="0D87AABC" w14:textId="77777777" w:rsidR="00F81A8C" w:rsidRDefault="00F81A8C" w:rsidP="00E17F10">
            <w:pPr>
              <w:spacing w:after="0"/>
              <w:rPr>
                <w:szCs w:val="24"/>
              </w:rPr>
            </w:pPr>
            <w:r>
              <w:rPr>
                <w:szCs w:val="24"/>
              </w:rPr>
              <w:t>The task sends IE to Customs Procedure Systems.</w:t>
            </w:r>
          </w:p>
        </w:tc>
      </w:tr>
      <w:tr w:rsidR="00F81A8C" w14:paraId="02E371F1" w14:textId="77777777" w:rsidTr="001136D3">
        <w:tc>
          <w:tcPr>
            <w:tcW w:w="1525" w:type="dxa"/>
          </w:tcPr>
          <w:p w14:paraId="2A969E69" w14:textId="77777777" w:rsidR="00F81A8C" w:rsidRDefault="00F81A8C" w:rsidP="00E17F10">
            <w:pPr>
              <w:spacing w:after="0"/>
              <w:rPr>
                <w:szCs w:val="24"/>
              </w:rPr>
            </w:pPr>
            <w:r>
              <w:rPr>
                <w:szCs w:val="24"/>
              </w:rPr>
              <w:t>End event</w:t>
            </w:r>
          </w:p>
        </w:tc>
        <w:tc>
          <w:tcPr>
            <w:tcW w:w="2160" w:type="dxa"/>
          </w:tcPr>
          <w:p w14:paraId="6F47EB7F" w14:textId="77777777" w:rsidR="00F81A8C" w:rsidRDefault="00F81A8C" w:rsidP="001136D3">
            <w:pPr>
              <w:spacing w:after="0"/>
              <w:jc w:val="left"/>
              <w:rPr>
                <w:szCs w:val="24"/>
              </w:rPr>
            </w:pPr>
            <w:r>
              <w:rPr>
                <w:szCs w:val="24"/>
              </w:rPr>
              <w:t>Request for Information for LPCO Error</w:t>
            </w:r>
          </w:p>
        </w:tc>
        <w:tc>
          <w:tcPr>
            <w:tcW w:w="5670" w:type="dxa"/>
          </w:tcPr>
          <w:p w14:paraId="352260AC" w14:textId="77777777" w:rsidR="00F81A8C" w:rsidRDefault="00F81A8C" w:rsidP="00E17F10">
            <w:pPr>
              <w:spacing w:after="0"/>
              <w:rPr>
                <w:szCs w:val="24"/>
              </w:rPr>
            </w:pPr>
            <w:r>
              <w:rPr>
                <w:szCs w:val="24"/>
              </w:rPr>
              <w:t>Request for Information for LPCO Error processed.</w:t>
            </w:r>
          </w:p>
        </w:tc>
      </w:tr>
      <w:tr w:rsidR="00F81A8C" w14:paraId="0B6268EA" w14:textId="77777777" w:rsidTr="001136D3">
        <w:tc>
          <w:tcPr>
            <w:tcW w:w="1525" w:type="dxa"/>
          </w:tcPr>
          <w:p w14:paraId="6A96DAA7" w14:textId="77777777" w:rsidR="00F81A8C" w:rsidRDefault="00F81A8C" w:rsidP="00E17F10">
            <w:pPr>
              <w:spacing w:after="0"/>
              <w:rPr>
                <w:szCs w:val="24"/>
              </w:rPr>
            </w:pPr>
            <w:r>
              <w:rPr>
                <w:szCs w:val="24"/>
              </w:rPr>
              <w:lastRenderedPageBreak/>
              <w:t>Send Task</w:t>
            </w:r>
          </w:p>
        </w:tc>
        <w:tc>
          <w:tcPr>
            <w:tcW w:w="2160" w:type="dxa"/>
          </w:tcPr>
          <w:p w14:paraId="384F2A0A" w14:textId="77777777" w:rsidR="00F81A8C" w:rsidRDefault="00F81A8C" w:rsidP="001136D3">
            <w:pPr>
              <w:spacing w:after="0"/>
              <w:jc w:val="left"/>
              <w:rPr>
                <w:szCs w:val="24"/>
              </w:rPr>
            </w:pPr>
            <w:r>
              <w:rPr>
                <w:szCs w:val="24"/>
              </w:rPr>
              <w:t>Send Request for LPCO Availability and Quantity Reservation</w:t>
            </w:r>
          </w:p>
        </w:tc>
        <w:tc>
          <w:tcPr>
            <w:tcW w:w="5670" w:type="dxa"/>
          </w:tcPr>
          <w:p w14:paraId="500C854B" w14:textId="77777777" w:rsidR="00F81A8C" w:rsidRDefault="00F81A8C" w:rsidP="00E17F10">
            <w:pPr>
              <w:spacing w:after="0"/>
              <w:rPr>
                <w:szCs w:val="24"/>
              </w:rPr>
            </w:pPr>
            <w:r>
              <w:rPr>
                <w:szCs w:val="24"/>
              </w:rPr>
              <w:t>If the LPCO is to be issued in other system, NSW sends IE to that system to check the availability and quantity and waits for the reply which is then sent to the Customs system (CDEPS or NCTS).</w:t>
            </w:r>
          </w:p>
        </w:tc>
      </w:tr>
      <w:tr w:rsidR="00F81A8C" w14:paraId="71CDEF5D" w14:textId="77777777" w:rsidTr="001136D3">
        <w:tc>
          <w:tcPr>
            <w:tcW w:w="1525" w:type="dxa"/>
          </w:tcPr>
          <w:p w14:paraId="595F843D" w14:textId="77777777" w:rsidR="00F81A8C" w:rsidRDefault="00F81A8C" w:rsidP="00E17F10">
            <w:pPr>
              <w:spacing w:after="0"/>
              <w:rPr>
                <w:szCs w:val="24"/>
              </w:rPr>
            </w:pPr>
            <w:r>
              <w:rPr>
                <w:szCs w:val="24"/>
              </w:rPr>
              <w:t>Message Event</w:t>
            </w:r>
          </w:p>
        </w:tc>
        <w:tc>
          <w:tcPr>
            <w:tcW w:w="2160" w:type="dxa"/>
          </w:tcPr>
          <w:p w14:paraId="406110F2" w14:textId="77777777" w:rsidR="00F81A8C" w:rsidRDefault="00F81A8C" w:rsidP="001136D3">
            <w:pPr>
              <w:spacing w:after="0"/>
              <w:jc w:val="left"/>
              <w:rPr>
                <w:szCs w:val="24"/>
              </w:rPr>
            </w:pPr>
            <w:r>
              <w:rPr>
                <w:szCs w:val="24"/>
              </w:rPr>
              <w:t>Response on LPCO Availability and Quantity Reservation is received</w:t>
            </w:r>
          </w:p>
        </w:tc>
        <w:tc>
          <w:tcPr>
            <w:tcW w:w="5670" w:type="dxa"/>
          </w:tcPr>
          <w:p w14:paraId="66D3E642" w14:textId="77777777" w:rsidR="00F81A8C" w:rsidRDefault="00F81A8C" w:rsidP="00E17F10">
            <w:pPr>
              <w:spacing w:after="0"/>
              <w:rPr>
                <w:szCs w:val="24"/>
              </w:rPr>
            </w:pPr>
            <w:r>
              <w:rPr>
                <w:szCs w:val="24"/>
              </w:rPr>
              <w:t xml:space="preserve">Response on the Request for the LPCO Availability and Quantity Reservation is received, from:  </w:t>
            </w:r>
          </w:p>
          <w:p w14:paraId="6A3563B7" w14:textId="77777777" w:rsidR="00F81A8C" w:rsidRDefault="00F81A8C" w:rsidP="00D530D5">
            <w:pPr>
              <w:pStyle w:val="ListParagraph"/>
              <w:numPr>
                <w:ilvl w:val="0"/>
                <w:numId w:val="139"/>
              </w:numPr>
              <w:spacing w:after="0"/>
              <w:ind w:left="522" w:hanging="270"/>
              <w:rPr>
                <w:szCs w:val="24"/>
              </w:rPr>
            </w:pPr>
            <w:r>
              <w:rPr>
                <w:szCs w:val="24"/>
              </w:rPr>
              <w:t xml:space="preserve">Other Competent Authority Licensing Systems </w:t>
            </w:r>
          </w:p>
          <w:p w14:paraId="1D3F5958" w14:textId="77777777" w:rsidR="00F81A8C" w:rsidRDefault="00F81A8C" w:rsidP="00D530D5">
            <w:pPr>
              <w:pStyle w:val="ListParagraph"/>
              <w:numPr>
                <w:ilvl w:val="0"/>
                <w:numId w:val="139"/>
              </w:numPr>
              <w:spacing w:after="0"/>
              <w:ind w:left="522" w:hanging="270"/>
              <w:rPr>
                <w:szCs w:val="24"/>
              </w:rPr>
            </w:pPr>
            <w:r>
              <w:rPr>
                <w:szCs w:val="24"/>
              </w:rPr>
              <w:t xml:space="preserve">SEED+ </w:t>
            </w:r>
          </w:p>
          <w:p w14:paraId="22535418" w14:textId="77777777" w:rsidR="00F81A8C" w:rsidRDefault="00F81A8C" w:rsidP="00D530D5">
            <w:pPr>
              <w:pStyle w:val="ListParagraph"/>
              <w:numPr>
                <w:ilvl w:val="0"/>
                <w:numId w:val="139"/>
              </w:numPr>
              <w:spacing w:after="0"/>
              <w:ind w:left="522" w:hanging="270"/>
              <w:rPr>
                <w:szCs w:val="24"/>
              </w:rPr>
            </w:pPr>
            <w:r>
              <w:rPr>
                <w:szCs w:val="24"/>
              </w:rPr>
              <w:t>EU CERTEX</w:t>
            </w:r>
          </w:p>
        </w:tc>
      </w:tr>
      <w:tr w:rsidR="00F81A8C" w14:paraId="494A32CD" w14:textId="77777777" w:rsidTr="001136D3">
        <w:tc>
          <w:tcPr>
            <w:tcW w:w="1525" w:type="dxa"/>
          </w:tcPr>
          <w:p w14:paraId="0464AA0A" w14:textId="77777777" w:rsidR="00F81A8C" w:rsidRDefault="00F81A8C" w:rsidP="00E17F10">
            <w:pPr>
              <w:spacing w:after="0"/>
              <w:rPr>
                <w:szCs w:val="24"/>
              </w:rPr>
            </w:pPr>
            <w:r>
              <w:rPr>
                <w:szCs w:val="24"/>
              </w:rPr>
              <w:t>Service Task</w:t>
            </w:r>
          </w:p>
        </w:tc>
        <w:tc>
          <w:tcPr>
            <w:tcW w:w="2160" w:type="dxa"/>
          </w:tcPr>
          <w:p w14:paraId="24DC00CD" w14:textId="77777777" w:rsidR="00F81A8C" w:rsidRDefault="00F81A8C" w:rsidP="001136D3">
            <w:pPr>
              <w:spacing w:after="0"/>
              <w:jc w:val="left"/>
              <w:rPr>
                <w:szCs w:val="24"/>
              </w:rPr>
            </w:pPr>
            <w:r>
              <w:rPr>
                <w:szCs w:val="24"/>
              </w:rPr>
              <w:t>Identify if Declaration is Amended</w:t>
            </w:r>
          </w:p>
        </w:tc>
        <w:tc>
          <w:tcPr>
            <w:tcW w:w="5670" w:type="dxa"/>
          </w:tcPr>
          <w:p w14:paraId="271770AC" w14:textId="77777777" w:rsidR="00F81A8C" w:rsidRPr="005E6A97" w:rsidRDefault="00F81A8C" w:rsidP="00E17F10">
            <w:pPr>
              <w:spacing w:after="0"/>
              <w:rPr>
                <w:szCs w:val="24"/>
                <w:lang w:val="mk-MK"/>
              </w:rPr>
            </w:pPr>
            <w:r>
              <w:rPr>
                <w:szCs w:val="24"/>
              </w:rPr>
              <w:t>If the request to check LPCO is to reserve the quantity, the system identifies if the declaration is amended</w:t>
            </w:r>
            <w:r>
              <w:rPr>
                <w:szCs w:val="24"/>
                <w:lang w:val="mk-MK"/>
              </w:rPr>
              <w:t>.</w:t>
            </w:r>
          </w:p>
        </w:tc>
      </w:tr>
      <w:tr w:rsidR="00F81A8C" w14:paraId="24A5D014" w14:textId="77777777" w:rsidTr="001136D3">
        <w:tc>
          <w:tcPr>
            <w:tcW w:w="1525" w:type="dxa"/>
          </w:tcPr>
          <w:p w14:paraId="3E8BC4C7" w14:textId="77777777" w:rsidR="00F81A8C" w:rsidRDefault="00F81A8C" w:rsidP="00E17F10">
            <w:pPr>
              <w:spacing w:after="0"/>
              <w:rPr>
                <w:szCs w:val="24"/>
              </w:rPr>
            </w:pPr>
            <w:r>
              <w:rPr>
                <w:szCs w:val="24"/>
              </w:rPr>
              <w:t>Service Task</w:t>
            </w:r>
          </w:p>
        </w:tc>
        <w:tc>
          <w:tcPr>
            <w:tcW w:w="2160" w:type="dxa"/>
          </w:tcPr>
          <w:p w14:paraId="1308EC20" w14:textId="77777777" w:rsidR="00F81A8C" w:rsidRDefault="00F81A8C" w:rsidP="001136D3">
            <w:pPr>
              <w:spacing w:after="0"/>
              <w:jc w:val="left"/>
              <w:rPr>
                <w:szCs w:val="24"/>
              </w:rPr>
            </w:pPr>
            <w:r>
              <w:rPr>
                <w:szCs w:val="24"/>
              </w:rPr>
              <w:t>Release Previous quantity and insert new data</w:t>
            </w:r>
          </w:p>
        </w:tc>
        <w:tc>
          <w:tcPr>
            <w:tcW w:w="5670" w:type="dxa"/>
          </w:tcPr>
          <w:p w14:paraId="58573555" w14:textId="77777777" w:rsidR="00F81A8C" w:rsidRDefault="00F81A8C" w:rsidP="00E17F10">
            <w:pPr>
              <w:spacing w:after="0"/>
              <w:rPr>
                <w:szCs w:val="24"/>
              </w:rPr>
            </w:pPr>
            <w:r>
              <w:rPr>
                <w:szCs w:val="24"/>
              </w:rPr>
              <w:t>If the declaration is for amendment, the NSW releases the existing quantity reservation.</w:t>
            </w:r>
          </w:p>
        </w:tc>
      </w:tr>
      <w:tr w:rsidR="00F81A8C" w14:paraId="346EA448" w14:textId="77777777" w:rsidTr="001136D3">
        <w:tc>
          <w:tcPr>
            <w:tcW w:w="1525" w:type="dxa"/>
          </w:tcPr>
          <w:p w14:paraId="082C4CB6" w14:textId="77777777" w:rsidR="00F81A8C" w:rsidRDefault="00F81A8C" w:rsidP="00E17F10">
            <w:pPr>
              <w:spacing w:after="0"/>
              <w:rPr>
                <w:szCs w:val="24"/>
              </w:rPr>
            </w:pPr>
            <w:r>
              <w:rPr>
                <w:szCs w:val="24"/>
              </w:rPr>
              <w:t>Service Task</w:t>
            </w:r>
          </w:p>
        </w:tc>
        <w:tc>
          <w:tcPr>
            <w:tcW w:w="2160" w:type="dxa"/>
          </w:tcPr>
          <w:p w14:paraId="2687937F" w14:textId="77777777" w:rsidR="00F81A8C" w:rsidRDefault="00F81A8C" w:rsidP="001136D3">
            <w:pPr>
              <w:spacing w:after="0"/>
              <w:jc w:val="left"/>
              <w:rPr>
                <w:szCs w:val="24"/>
              </w:rPr>
            </w:pPr>
            <w:r>
              <w:rPr>
                <w:szCs w:val="24"/>
              </w:rPr>
              <w:t>Identify Quantity</w:t>
            </w:r>
          </w:p>
        </w:tc>
        <w:tc>
          <w:tcPr>
            <w:tcW w:w="5670" w:type="dxa"/>
          </w:tcPr>
          <w:p w14:paraId="3A323D83" w14:textId="77777777" w:rsidR="00F81A8C" w:rsidRDefault="00F81A8C" w:rsidP="00E17F10">
            <w:pPr>
              <w:spacing w:after="0"/>
              <w:rPr>
                <w:szCs w:val="24"/>
              </w:rPr>
            </w:pPr>
            <w:r>
              <w:rPr>
                <w:szCs w:val="24"/>
              </w:rPr>
              <w:t>The task identifies the quantity for LPCO, if the Quantities are Sufficient and a Reservation can be Made.</w:t>
            </w:r>
          </w:p>
        </w:tc>
      </w:tr>
      <w:tr w:rsidR="00F81A8C" w14:paraId="7A4F1FC3" w14:textId="77777777" w:rsidTr="001136D3">
        <w:tc>
          <w:tcPr>
            <w:tcW w:w="1525" w:type="dxa"/>
          </w:tcPr>
          <w:p w14:paraId="13A121E5" w14:textId="77777777" w:rsidR="00F81A8C" w:rsidRDefault="00F81A8C" w:rsidP="00E17F10">
            <w:pPr>
              <w:spacing w:after="0"/>
              <w:rPr>
                <w:szCs w:val="24"/>
              </w:rPr>
            </w:pPr>
            <w:r>
              <w:rPr>
                <w:szCs w:val="24"/>
              </w:rPr>
              <w:t>Service Task</w:t>
            </w:r>
          </w:p>
        </w:tc>
        <w:tc>
          <w:tcPr>
            <w:tcW w:w="2160" w:type="dxa"/>
          </w:tcPr>
          <w:p w14:paraId="279E0976" w14:textId="77777777" w:rsidR="00F81A8C" w:rsidRDefault="00F81A8C" w:rsidP="001136D3">
            <w:pPr>
              <w:spacing w:after="0"/>
              <w:jc w:val="left"/>
              <w:rPr>
                <w:szCs w:val="24"/>
              </w:rPr>
            </w:pPr>
            <w:r>
              <w:rPr>
                <w:szCs w:val="24"/>
              </w:rPr>
              <w:t>Reserve Quantity</w:t>
            </w:r>
          </w:p>
        </w:tc>
        <w:tc>
          <w:tcPr>
            <w:tcW w:w="5670" w:type="dxa"/>
          </w:tcPr>
          <w:p w14:paraId="74DDC157" w14:textId="77777777" w:rsidR="00F81A8C" w:rsidRDefault="00F81A8C" w:rsidP="00E17F10">
            <w:pPr>
              <w:spacing w:after="0"/>
              <w:rPr>
                <w:szCs w:val="24"/>
              </w:rPr>
            </w:pPr>
            <w:r>
              <w:rPr>
                <w:szCs w:val="24"/>
              </w:rPr>
              <w:t>If the quantity is sufficient, the NSW reserves the quantity.</w:t>
            </w:r>
          </w:p>
        </w:tc>
      </w:tr>
      <w:tr w:rsidR="00F81A8C" w14:paraId="7F73EC19" w14:textId="77777777" w:rsidTr="001136D3">
        <w:tc>
          <w:tcPr>
            <w:tcW w:w="1525" w:type="dxa"/>
          </w:tcPr>
          <w:p w14:paraId="4882711A" w14:textId="77777777" w:rsidR="00F81A8C" w:rsidRDefault="00F81A8C" w:rsidP="00E17F10">
            <w:pPr>
              <w:spacing w:after="0"/>
              <w:rPr>
                <w:szCs w:val="24"/>
              </w:rPr>
            </w:pPr>
            <w:r>
              <w:rPr>
                <w:szCs w:val="24"/>
              </w:rPr>
              <w:t>Send Task</w:t>
            </w:r>
          </w:p>
        </w:tc>
        <w:tc>
          <w:tcPr>
            <w:tcW w:w="2160" w:type="dxa"/>
          </w:tcPr>
          <w:p w14:paraId="4F39D6A0" w14:textId="77777777" w:rsidR="00F81A8C" w:rsidRDefault="00F81A8C" w:rsidP="001136D3">
            <w:pPr>
              <w:spacing w:after="0"/>
              <w:jc w:val="left"/>
              <w:rPr>
                <w:szCs w:val="24"/>
              </w:rPr>
            </w:pPr>
            <w:r>
              <w:rPr>
                <w:szCs w:val="24"/>
              </w:rPr>
              <w:t>Notify Information for LPCO</w:t>
            </w:r>
          </w:p>
        </w:tc>
        <w:tc>
          <w:tcPr>
            <w:tcW w:w="5670" w:type="dxa"/>
          </w:tcPr>
          <w:p w14:paraId="78EB8C57" w14:textId="77777777" w:rsidR="00F81A8C" w:rsidRDefault="00F81A8C" w:rsidP="00E17F10">
            <w:pPr>
              <w:spacing w:after="0"/>
              <w:rPr>
                <w:szCs w:val="24"/>
              </w:rPr>
            </w:pPr>
            <w:r>
              <w:rPr>
                <w:szCs w:val="24"/>
              </w:rPr>
              <w:t>Notification for LPCO to the customs systems is sent for: pre-validation of information for LPCO, LPCO availability and quantity (CERTEX Information Results codes should be used).</w:t>
            </w:r>
          </w:p>
        </w:tc>
      </w:tr>
      <w:tr w:rsidR="00F81A8C" w14:paraId="77229AC8" w14:textId="77777777" w:rsidTr="001136D3">
        <w:tc>
          <w:tcPr>
            <w:tcW w:w="1525" w:type="dxa"/>
          </w:tcPr>
          <w:p w14:paraId="1D357D16" w14:textId="77777777" w:rsidR="00F81A8C" w:rsidRDefault="00F81A8C" w:rsidP="00E17F10">
            <w:pPr>
              <w:spacing w:after="0"/>
              <w:rPr>
                <w:szCs w:val="24"/>
              </w:rPr>
            </w:pPr>
            <w:r>
              <w:rPr>
                <w:szCs w:val="24"/>
              </w:rPr>
              <w:t>End Event</w:t>
            </w:r>
          </w:p>
        </w:tc>
        <w:tc>
          <w:tcPr>
            <w:tcW w:w="2160" w:type="dxa"/>
          </w:tcPr>
          <w:p w14:paraId="280C6E2A" w14:textId="77777777" w:rsidR="00F81A8C" w:rsidRDefault="00F81A8C" w:rsidP="001136D3">
            <w:pPr>
              <w:spacing w:after="0"/>
              <w:jc w:val="left"/>
              <w:rPr>
                <w:szCs w:val="24"/>
              </w:rPr>
            </w:pPr>
            <w:r>
              <w:rPr>
                <w:szCs w:val="24"/>
              </w:rPr>
              <w:t>Request for Information for LPCO Processed</w:t>
            </w:r>
          </w:p>
        </w:tc>
        <w:tc>
          <w:tcPr>
            <w:tcW w:w="5670" w:type="dxa"/>
          </w:tcPr>
          <w:p w14:paraId="7FEB0B6F" w14:textId="77777777" w:rsidR="00F81A8C" w:rsidRDefault="00F81A8C" w:rsidP="00E17F10">
            <w:pPr>
              <w:spacing w:after="0"/>
              <w:rPr>
                <w:szCs w:val="24"/>
              </w:rPr>
            </w:pPr>
            <w:r>
              <w:rPr>
                <w:szCs w:val="24"/>
              </w:rPr>
              <w:t>Request for information of LPCO completed.</w:t>
            </w:r>
          </w:p>
        </w:tc>
      </w:tr>
    </w:tbl>
    <w:p w14:paraId="0598D56F" w14:textId="77777777" w:rsidR="00F81A8C" w:rsidRDefault="00F81A8C" w:rsidP="00F81A8C">
      <w:pPr>
        <w:spacing w:after="0"/>
        <w:rPr>
          <w:szCs w:val="24"/>
        </w:rPr>
      </w:pPr>
    </w:p>
    <w:p w14:paraId="5340B0A8" w14:textId="77777777" w:rsidR="00F81A8C" w:rsidRPr="008E2AAD" w:rsidRDefault="00F81A8C" w:rsidP="00F81A8C">
      <w:pPr>
        <w:spacing w:after="0"/>
        <w:rPr>
          <w:b/>
          <w:szCs w:val="24"/>
        </w:rPr>
      </w:pPr>
      <w:r w:rsidRPr="008E2AAD">
        <w:rPr>
          <w:b/>
          <w:szCs w:val="24"/>
        </w:rPr>
        <w:t>Functional Requirements:</w:t>
      </w:r>
    </w:p>
    <w:p w14:paraId="73C5F2BF" w14:textId="77777777" w:rsidR="00F81A8C" w:rsidRDefault="00F81A8C" w:rsidP="00F81A8C">
      <w:pPr>
        <w:spacing w:after="0"/>
        <w:rPr>
          <w:szCs w:val="24"/>
        </w:rPr>
      </w:pPr>
    </w:p>
    <w:tbl>
      <w:tblPr>
        <w:tblStyle w:val="TableGrid"/>
        <w:tblW w:w="9355" w:type="dxa"/>
        <w:tblLook w:val="04A0" w:firstRow="1" w:lastRow="0" w:firstColumn="1" w:lastColumn="0" w:noHBand="0" w:noVBand="1"/>
      </w:tblPr>
      <w:tblGrid>
        <w:gridCol w:w="1075"/>
        <w:gridCol w:w="8280"/>
      </w:tblGrid>
      <w:tr w:rsidR="00F81A8C" w14:paraId="7A53EAAC" w14:textId="77777777" w:rsidTr="001136D3">
        <w:trPr>
          <w:tblHeader/>
        </w:trPr>
        <w:tc>
          <w:tcPr>
            <w:tcW w:w="1075" w:type="dxa"/>
            <w:shd w:val="clear" w:color="auto" w:fill="D9D9D9" w:themeFill="background1" w:themeFillShade="D9"/>
          </w:tcPr>
          <w:p w14:paraId="0BFE81CD" w14:textId="77777777" w:rsidR="00F81A8C" w:rsidRDefault="00F81A8C" w:rsidP="00E17F10">
            <w:pPr>
              <w:spacing w:after="0"/>
              <w:rPr>
                <w:b/>
                <w:szCs w:val="24"/>
              </w:rPr>
            </w:pPr>
            <w:r>
              <w:rPr>
                <w:b/>
                <w:szCs w:val="24"/>
              </w:rPr>
              <w:t>ID</w:t>
            </w:r>
          </w:p>
        </w:tc>
        <w:tc>
          <w:tcPr>
            <w:tcW w:w="8280" w:type="dxa"/>
            <w:shd w:val="clear" w:color="auto" w:fill="D9D9D9" w:themeFill="background1" w:themeFillShade="D9"/>
          </w:tcPr>
          <w:p w14:paraId="3DC6450D" w14:textId="77777777" w:rsidR="00F81A8C" w:rsidRDefault="00F81A8C" w:rsidP="00E17F10">
            <w:pPr>
              <w:spacing w:after="0"/>
              <w:jc w:val="left"/>
              <w:rPr>
                <w:b/>
                <w:szCs w:val="24"/>
              </w:rPr>
            </w:pPr>
            <w:r>
              <w:rPr>
                <w:b/>
                <w:szCs w:val="24"/>
              </w:rPr>
              <w:t>Description</w:t>
            </w:r>
          </w:p>
        </w:tc>
      </w:tr>
      <w:tr w:rsidR="00F81A8C" w14:paraId="5DC6C2C4" w14:textId="77777777" w:rsidTr="001136D3">
        <w:tc>
          <w:tcPr>
            <w:tcW w:w="1075" w:type="dxa"/>
          </w:tcPr>
          <w:p w14:paraId="005EB85B" w14:textId="77777777" w:rsidR="00F81A8C" w:rsidRDefault="00F81A8C" w:rsidP="00E17F10">
            <w:pPr>
              <w:spacing w:after="0"/>
              <w:rPr>
                <w:szCs w:val="24"/>
              </w:rPr>
            </w:pPr>
            <w:r>
              <w:rPr>
                <w:szCs w:val="24"/>
              </w:rPr>
              <w:t>FR459</w:t>
            </w:r>
          </w:p>
        </w:tc>
        <w:tc>
          <w:tcPr>
            <w:tcW w:w="8280" w:type="dxa"/>
          </w:tcPr>
          <w:p w14:paraId="4CD335E0" w14:textId="60C139AD" w:rsidR="00F81A8C" w:rsidRDefault="00F81A8C" w:rsidP="00E17F10">
            <w:pPr>
              <w:spacing w:after="0"/>
              <w:jc w:val="left"/>
              <w:rPr>
                <w:szCs w:val="24"/>
              </w:rPr>
            </w:pPr>
            <w:r>
              <w:rPr>
                <w:szCs w:val="24"/>
              </w:rPr>
              <w:t>The system must be able to perform validation of the request for LPCO for availability and/or quantity</w:t>
            </w:r>
            <w:r w:rsidR="006251F1">
              <w:rPr>
                <w:szCs w:val="24"/>
              </w:rPr>
              <w:t xml:space="preserve"> reservation</w:t>
            </w:r>
            <w:r>
              <w:rPr>
                <w:szCs w:val="24"/>
              </w:rPr>
              <w:t>.</w:t>
            </w:r>
          </w:p>
        </w:tc>
      </w:tr>
      <w:tr w:rsidR="00F81A8C" w14:paraId="7C7848B6" w14:textId="77777777" w:rsidTr="001136D3">
        <w:tc>
          <w:tcPr>
            <w:tcW w:w="1075" w:type="dxa"/>
          </w:tcPr>
          <w:p w14:paraId="2D2AD31D" w14:textId="09AAF8B4" w:rsidR="00F81A8C" w:rsidRPr="0026442C" w:rsidRDefault="00F81A8C" w:rsidP="00E17F10">
            <w:pPr>
              <w:spacing w:after="0"/>
              <w:rPr>
                <w:szCs w:val="24"/>
              </w:rPr>
            </w:pPr>
            <w:r w:rsidRPr="0026442C">
              <w:rPr>
                <w:szCs w:val="24"/>
              </w:rPr>
              <w:t>FR</w:t>
            </w:r>
            <w:r w:rsidR="00AF3431" w:rsidRPr="0026442C">
              <w:rPr>
                <w:szCs w:val="24"/>
              </w:rPr>
              <w:t>433</w:t>
            </w:r>
          </w:p>
        </w:tc>
        <w:tc>
          <w:tcPr>
            <w:tcW w:w="8280" w:type="dxa"/>
          </w:tcPr>
          <w:p w14:paraId="5EF1C751" w14:textId="77777777" w:rsidR="00F81A8C" w:rsidRDefault="00F81A8C" w:rsidP="00E17F10">
            <w:pPr>
              <w:spacing w:after="0"/>
              <w:jc w:val="left"/>
              <w:rPr>
                <w:szCs w:val="24"/>
              </w:rPr>
            </w:pPr>
            <w:r>
              <w:rPr>
                <w:szCs w:val="24"/>
              </w:rPr>
              <w:t>The system must be able to retrieve information of LPCO.</w:t>
            </w:r>
          </w:p>
        </w:tc>
      </w:tr>
      <w:tr w:rsidR="00F81A8C" w14:paraId="10D1A626" w14:textId="77777777" w:rsidTr="001136D3">
        <w:tc>
          <w:tcPr>
            <w:tcW w:w="1075" w:type="dxa"/>
          </w:tcPr>
          <w:p w14:paraId="2D8A699A" w14:textId="360B15C6" w:rsidR="00F81A8C" w:rsidRPr="0026442C" w:rsidRDefault="00F81A8C" w:rsidP="0026442C">
            <w:pPr>
              <w:spacing w:after="0"/>
              <w:rPr>
                <w:szCs w:val="24"/>
              </w:rPr>
            </w:pPr>
            <w:r w:rsidRPr="0026442C">
              <w:rPr>
                <w:szCs w:val="24"/>
              </w:rPr>
              <w:t>FR</w:t>
            </w:r>
            <w:r w:rsidR="009201E0" w:rsidRPr="0026442C">
              <w:rPr>
                <w:szCs w:val="24"/>
              </w:rPr>
              <w:t>434</w:t>
            </w:r>
          </w:p>
        </w:tc>
        <w:tc>
          <w:tcPr>
            <w:tcW w:w="8280" w:type="dxa"/>
          </w:tcPr>
          <w:p w14:paraId="3201F99C" w14:textId="77777777" w:rsidR="00F81A8C" w:rsidRDefault="00F81A8C" w:rsidP="00E17F10">
            <w:pPr>
              <w:spacing w:after="0"/>
              <w:rPr>
                <w:szCs w:val="24"/>
              </w:rPr>
            </w:pPr>
            <w:r>
              <w:rPr>
                <w:szCs w:val="24"/>
              </w:rPr>
              <w:t>The system must be able to identify the availability of the LPCO.</w:t>
            </w:r>
          </w:p>
        </w:tc>
      </w:tr>
      <w:tr w:rsidR="00F81A8C" w14:paraId="2C19D7D1" w14:textId="77777777" w:rsidTr="001136D3">
        <w:tc>
          <w:tcPr>
            <w:tcW w:w="1075" w:type="dxa"/>
          </w:tcPr>
          <w:p w14:paraId="55DFB66D" w14:textId="27486FAB" w:rsidR="00F81A8C" w:rsidRPr="0026442C" w:rsidRDefault="00F81A8C" w:rsidP="0026442C">
            <w:pPr>
              <w:spacing w:after="0"/>
              <w:rPr>
                <w:szCs w:val="24"/>
              </w:rPr>
            </w:pPr>
            <w:r w:rsidRPr="0026442C">
              <w:rPr>
                <w:szCs w:val="24"/>
              </w:rPr>
              <w:t>FR</w:t>
            </w:r>
            <w:r w:rsidR="00947B25" w:rsidRPr="0026442C">
              <w:rPr>
                <w:szCs w:val="24"/>
              </w:rPr>
              <w:t>435</w:t>
            </w:r>
          </w:p>
        </w:tc>
        <w:tc>
          <w:tcPr>
            <w:tcW w:w="8280" w:type="dxa"/>
          </w:tcPr>
          <w:p w14:paraId="02665D67" w14:textId="77777777" w:rsidR="00F81A8C" w:rsidRDefault="00F81A8C" w:rsidP="00E17F10">
            <w:pPr>
              <w:spacing w:after="0"/>
              <w:rPr>
                <w:szCs w:val="24"/>
              </w:rPr>
            </w:pPr>
            <w:r>
              <w:rPr>
                <w:szCs w:val="24"/>
              </w:rPr>
              <w:t>The system must be able to identify the status for a given LPCO.</w:t>
            </w:r>
          </w:p>
        </w:tc>
      </w:tr>
      <w:tr w:rsidR="00F81A8C" w14:paraId="2C474108" w14:textId="77777777" w:rsidTr="001136D3">
        <w:tc>
          <w:tcPr>
            <w:tcW w:w="1075" w:type="dxa"/>
          </w:tcPr>
          <w:p w14:paraId="76792486" w14:textId="77777777" w:rsidR="00F81A8C" w:rsidRDefault="00F81A8C" w:rsidP="00E17F10">
            <w:pPr>
              <w:spacing w:after="0"/>
              <w:rPr>
                <w:szCs w:val="24"/>
              </w:rPr>
            </w:pPr>
            <w:r>
              <w:rPr>
                <w:szCs w:val="24"/>
              </w:rPr>
              <w:t>FR464</w:t>
            </w:r>
          </w:p>
        </w:tc>
        <w:tc>
          <w:tcPr>
            <w:tcW w:w="8280" w:type="dxa"/>
          </w:tcPr>
          <w:p w14:paraId="207B10FB" w14:textId="3CBD3F5D" w:rsidR="00F81A8C" w:rsidRDefault="00F81A8C" w:rsidP="00E17F10">
            <w:pPr>
              <w:spacing w:after="0"/>
              <w:rPr>
                <w:szCs w:val="24"/>
              </w:rPr>
            </w:pPr>
            <w:r>
              <w:rPr>
                <w:szCs w:val="24"/>
              </w:rPr>
              <w:t xml:space="preserve">The system must be able to request (send message) to other Competent Authority License Systems, where the LPCO was </w:t>
            </w:r>
            <w:proofErr w:type="gramStart"/>
            <w:r>
              <w:rPr>
                <w:szCs w:val="24"/>
              </w:rPr>
              <w:t>issued</w:t>
            </w:r>
            <w:proofErr w:type="gramEnd"/>
            <w:r>
              <w:rPr>
                <w:szCs w:val="24"/>
              </w:rPr>
              <w:t xml:space="preserve"> and availability and quantity</w:t>
            </w:r>
            <w:r w:rsidR="006251F1">
              <w:rPr>
                <w:szCs w:val="24"/>
              </w:rPr>
              <w:t xml:space="preserve"> reservation</w:t>
            </w:r>
            <w:r>
              <w:rPr>
                <w:szCs w:val="24"/>
              </w:rPr>
              <w:t xml:space="preserve"> will be managed in those systems.</w:t>
            </w:r>
          </w:p>
        </w:tc>
      </w:tr>
      <w:tr w:rsidR="00F81A8C" w14:paraId="2D273E7F" w14:textId="77777777" w:rsidTr="001136D3">
        <w:tc>
          <w:tcPr>
            <w:tcW w:w="1075" w:type="dxa"/>
          </w:tcPr>
          <w:p w14:paraId="44968D33" w14:textId="77777777" w:rsidR="00F81A8C" w:rsidRDefault="00F81A8C" w:rsidP="00E17F10">
            <w:pPr>
              <w:spacing w:after="0"/>
              <w:rPr>
                <w:szCs w:val="24"/>
              </w:rPr>
            </w:pPr>
            <w:r>
              <w:rPr>
                <w:szCs w:val="24"/>
              </w:rPr>
              <w:t>FR465</w:t>
            </w:r>
          </w:p>
        </w:tc>
        <w:tc>
          <w:tcPr>
            <w:tcW w:w="8280" w:type="dxa"/>
          </w:tcPr>
          <w:p w14:paraId="5EB3A755" w14:textId="5DF5AABE" w:rsidR="00F81A8C" w:rsidRDefault="00F81A8C" w:rsidP="00E17F10">
            <w:pPr>
              <w:spacing w:after="0"/>
              <w:rPr>
                <w:szCs w:val="24"/>
              </w:rPr>
            </w:pPr>
            <w:r>
              <w:rPr>
                <w:szCs w:val="24"/>
              </w:rPr>
              <w:t>The system must be able to send Message to SEED+ to check the LPCO Availability and Quantity</w:t>
            </w:r>
            <w:r w:rsidR="006251F1">
              <w:rPr>
                <w:szCs w:val="24"/>
              </w:rPr>
              <w:t xml:space="preserve"> reservation</w:t>
            </w:r>
            <w:r>
              <w:rPr>
                <w:szCs w:val="24"/>
              </w:rPr>
              <w:t>.</w:t>
            </w:r>
          </w:p>
        </w:tc>
      </w:tr>
      <w:tr w:rsidR="00F81A8C" w14:paraId="201FCB7A" w14:textId="77777777" w:rsidTr="001136D3">
        <w:tc>
          <w:tcPr>
            <w:tcW w:w="1075" w:type="dxa"/>
          </w:tcPr>
          <w:p w14:paraId="55956713" w14:textId="77777777" w:rsidR="00F81A8C" w:rsidRDefault="00F81A8C" w:rsidP="00E17F10">
            <w:pPr>
              <w:spacing w:after="0"/>
              <w:rPr>
                <w:szCs w:val="24"/>
              </w:rPr>
            </w:pPr>
            <w:r>
              <w:rPr>
                <w:szCs w:val="24"/>
              </w:rPr>
              <w:t>FR466</w:t>
            </w:r>
          </w:p>
        </w:tc>
        <w:tc>
          <w:tcPr>
            <w:tcW w:w="8280" w:type="dxa"/>
          </w:tcPr>
          <w:p w14:paraId="5FA0350B" w14:textId="73D9D5F5" w:rsidR="00F81A8C" w:rsidRDefault="00F81A8C" w:rsidP="00E17F10">
            <w:pPr>
              <w:spacing w:after="0"/>
              <w:rPr>
                <w:szCs w:val="24"/>
              </w:rPr>
            </w:pPr>
            <w:r>
              <w:rPr>
                <w:szCs w:val="24"/>
              </w:rPr>
              <w:t>The system must be able to send Message to EU CERTEX to check the LPCO Availability and Quantity</w:t>
            </w:r>
            <w:r w:rsidR="006251F1">
              <w:rPr>
                <w:szCs w:val="24"/>
              </w:rPr>
              <w:t xml:space="preserve"> reservation</w:t>
            </w:r>
            <w:r>
              <w:rPr>
                <w:szCs w:val="24"/>
              </w:rPr>
              <w:t>.</w:t>
            </w:r>
          </w:p>
        </w:tc>
      </w:tr>
      <w:tr w:rsidR="00F81A8C" w14:paraId="1229ACA7" w14:textId="77777777" w:rsidTr="001136D3">
        <w:tc>
          <w:tcPr>
            <w:tcW w:w="1075" w:type="dxa"/>
          </w:tcPr>
          <w:p w14:paraId="7ECDD10C" w14:textId="77777777" w:rsidR="00F81A8C" w:rsidRDefault="00F81A8C" w:rsidP="00E17F10">
            <w:pPr>
              <w:spacing w:after="0"/>
              <w:rPr>
                <w:szCs w:val="24"/>
              </w:rPr>
            </w:pPr>
            <w:r>
              <w:rPr>
                <w:szCs w:val="24"/>
              </w:rPr>
              <w:t>FR467</w:t>
            </w:r>
          </w:p>
        </w:tc>
        <w:tc>
          <w:tcPr>
            <w:tcW w:w="8280" w:type="dxa"/>
          </w:tcPr>
          <w:p w14:paraId="38D9AF5F" w14:textId="77777777" w:rsidR="00F81A8C" w:rsidRDefault="00F81A8C" w:rsidP="00E17F10">
            <w:pPr>
              <w:spacing w:after="0"/>
              <w:rPr>
                <w:szCs w:val="24"/>
              </w:rPr>
            </w:pPr>
            <w:r>
              <w:rPr>
                <w:szCs w:val="24"/>
              </w:rPr>
              <w:t>The system must be able to identify if the request for LPCO availability and quantity reservation is for amended declaration.</w:t>
            </w:r>
          </w:p>
        </w:tc>
      </w:tr>
      <w:tr w:rsidR="00F81A8C" w14:paraId="1B97A348" w14:textId="77777777" w:rsidTr="001136D3">
        <w:tc>
          <w:tcPr>
            <w:tcW w:w="1075" w:type="dxa"/>
          </w:tcPr>
          <w:p w14:paraId="63D12DAD" w14:textId="77777777" w:rsidR="00F81A8C" w:rsidRDefault="00F81A8C" w:rsidP="00E17F10">
            <w:pPr>
              <w:spacing w:after="0"/>
              <w:rPr>
                <w:szCs w:val="24"/>
              </w:rPr>
            </w:pPr>
            <w:r>
              <w:rPr>
                <w:szCs w:val="24"/>
              </w:rPr>
              <w:lastRenderedPageBreak/>
              <w:t>FR468</w:t>
            </w:r>
          </w:p>
        </w:tc>
        <w:tc>
          <w:tcPr>
            <w:tcW w:w="8280" w:type="dxa"/>
          </w:tcPr>
          <w:p w14:paraId="6AD229BA" w14:textId="77777777" w:rsidR="00F81A8C" w:rsidRDefault="00F81A8C" w:rsidP="00E17F10">
            <w:pPr>
              <w:spacing w:after="0"/>
              <w:rPr>
                <w:szCs w:val="24"/>
              </w:rPr>
            </w:pPr>
            <w:r>
              <w:rPr>
                <w:szCs w:val="24"/>
              </w:rPr>
              <w:t>The system when declaration is amended, must release the existing quantity reservation.</w:t>
            </w:r>
          </w:p>
        </w:tc>
      </w:tr>
      <w:tr w:rsidR="00F81A8C" w14:paraId="26D0B8D5" w14:textId="77777777" w:rsidTr="001136D3">
        <w:tc>
          <w:tcPr>
            <w:tcW w:w="1075" w:type="dxa"/>
          </w:tcPr>
          <w:p w14:paraId="235FCB6A" w14:textId="77777777" w:rsidR="00F81A8C" w:rsidRDefault="00F81A8C" w:rsidP="00E17F10">
            <w:pPr>
              <w:spacing w:after="0"/>
              <w:rPr>
                <w:szCs w:val="24"/>
              </w:rPr>
            </w:pPr>
            <w:r>
              <w:rPr>
                <w:szCs w:val="24"/>
              </w:rPr>
              <w:t>FR469</w:t>
            </w:r>
          </w:p>
        </w:tc>
        <w:tc>
          <w:tcPr>
            <w:tcW w:w="8280" w:type="dxa"/>
          </w:tcPr>
          <w:p w14:paraId="2D0B5536" w14:textId="77777777" w:rsidR="00F81A8C" w:rsidRDefault="00F81A8C" w:rsidP="00E17F10">
            <w:pPr>
              <w:spacing w:after="0"/>
              <w:rPr>
                <w:szCs w:val="24"/>
              </w:rPr>
            </w:pPr>
            <w:r>
              <w:rPr>
                <w:szCs w:val="24"/>
              </w:rPr>
              <w:t>The NSW must be able to record the quantity for Use of LPCO.  For amended declaration, new quantity is entered.</w:t>
            </w:r>
          </w:p>
        </w:tc>
      </w:tr>
      <w:tr w:rsidR="00F81A8C" w14:paraId="47289A8A" w14:textId="77777777" w:rsidTr="001136D3">
        <w:tc>
          <w:tcPr>
            <w:tcW w:w="1075" w:type="dxa"/>
          </w:tcPr>
          <w:p w14:paraId="304F9068" w14:textId="77777777" w:rsidR="00F81A8C" w:rsidRDefault="00F81A8C" w:rsidP="00E17F10">
            <w:pPr>
              <w:spacing w:after="0"/>
              <w:rPr>
                <w:szCs w:val="24"/>
              </w:rPr>
            </w:pPr>
            <w:r>
              <w:rPr>
                <w:szCs w:val="24"/>
              </w:rPr>
              <w:t>FR470</w:t>
            </w:r>
          </w:p>
        </w:tc>
        <w:tc>
          <w:tcPr>
            <w:tcW w:w="8280" w:type="dxa"/>
          </w:tcPr>
          <w:p w14:paraId="7763B521" w14:textId="31149C77" w:rsidR="00F81A8C" w:rsidRDefault="00F81A8C" w:rsidP="00E17F10">
            <w:pPr>
              <w:spacing w:after="0"/>
              <w:rPr>
                <w:szCs w:val="24"/>
              </w:rPr>
            </w:pPr>
            <w:r>
              <w:rPr>
                <w:szCs w:val="24"/>
              </w:rPr>
              <w:t>The system must be able to identify quantity from request for LPCO availability and quantity</w:t>
            </w:r>
            <w:r w:rsidR="006251F1">
              <w:rPr>
                <w:szCs w:val="24"/>
              </w:rPr>
              <w:t xml:space="preserve"> reservation</w:t>
            </w:r>
            <w:r>
              <w:rPr>
                <w:szCs w:val="24"/>
              </w:rPr>
              <w:t>, if the quantities are sufficient and a reservation can be made.</w:t>
            </w:r>
          </w:p>
        </w:tc>
      </w:tr>
      <w:tr w:rsidR="00F81A8C" w14:paraId="22D3C4C8" w14:textId="77777777" w:rsidTr="001136D3">
        <w:tc>
          <w:tcPr>
            <w:tcW w:w="1075" w:type="dxa"/>
          </w:tcPr>
          <w:p w14:paraId="7BBD7B2B" w14:textId="77777777" w:rsidR="00F81A8C" w:rsidRDefault="00F81A8C" w:rsidP="00E17F10">
            <w:pPr>
              <w:spacing w:after="0"/>
              <w:rPr>
                <w:szCs w:val="24"/>
              </w:rPr>
            </w:pPr>
            <w:r>
              <w:rPr>
                <w:szCs w:val="24"/>
              </w:rPr>
              <w:t>FR471</w:t>
            </w:r>
          </w:p>
        </w:tc>
        <w:tc>
          <w:tcPr>
            <w:tcW w:w="8280" w:type="dxa"/>
          </w:tcPr>
          <w:p w14:paraId="2F2B1510" w14:textId="3ED8FC0E" w:rsidR="00F81A8C" w:rsidRDefault="00F81A8C">
            <w:pPr>
              <w:spacing w:after="0"/>
              <w:rPr>
                <w:szCs w:val="24"/>
              </w:rPr>
            </w:pPr>
            <w:r>
              <w:rPr>
                <w:szCs w:val="24"/>
              </w:rPr>
              <w:t>The system must be able to reserve quantity for request for LPCO quantity</w:t>
            </w:r>
            <w:r w:rsidR="006251F1">
              <w:rPr>
                <w:szCs w:val="24"/>
              </w:rPr>
              <w:t xml:space="preserve"> reservation</w:t>
            </w:r>
            <w:r>
              <w:rPr>
                <w:szCs w:val="24"/>
              </w:rPr>
              <w:t>.</w:t>
            </w:r>
          </w:p>
        </w:tc>
      </w:tr>
      <w:tr w:rsidR="00F81A8C" w14:paraId="3E938B6F" w14:textId="77777777" w:rsidTr="001136D3">
        <w:tc>
          <w:tcPr>
            <w:tcW w:w="1075" w:type="dxa"/>
          </w:tcPr>
          <w:p w14:paraId="3130E873" w14:textId="77777777" w:rsidR="00F81A8C" w:rsidRDefault="00F81A8C" w:rsidP="00E17F10">
            <w:pPr>
              <w:spacing w:after="0"/>
              <w:rPr>
                <w:szCs w:val="24"/>
              </w:rPr>
            </w:pPr>
            <w:r>
              <w:rPr>
                <w:szCs w:val="24"/>
              </w:rPr>
              <w:t>FR472</w:t>
            </w:r>
          </w:p>
        </w:tc>
        <w:tc>
          <w:tcPr>
            <w:tcW w:w="8280" w:type="dxa"/>
          </w:tcPr>
          <w:p w14:paraId="3C525BAB" w14:textId="77777777" w:rsidR="00F81A8C" w:rsidRDefault="00F81A8C" w:rsidP="00E17F10">
            <w:pPr>
              <w:spacing w:after="0"/>
              <w:rPr>
                <w:szCs w:val="24"/>
              </w:rPr>
            </w:pPr>
            <w:r>
              <w:rPr>
                <w:szCs w:val="24"/>
              </w:rPr>
              <w:t>The system must be able to notify Customs Declaration Processing Systems (CDEPS and NCTS) for information for LPCO</w:t>
            </w:r>
          </w:p>
        </w:tc>
      </w:tr>
      <w:tr w:rsidR="00F81A8C" w14:paraId="29A76F19" w14:textId="77777777" w:rsidTr="001136D3">
        <w:tc>
          <w:tcPr>
            <w:tcW w:w="1075" w:type="dxa"/>
          </w:tcPr>
          <w:p w14:paraId="3D58F2C6" w14:textId="77777777" w:rsidR="00F81A8C" w:rsidRDefault="00F81A8C" w:rsidP="00E17F10">
            <w:pPr>
              <w:spacing w:after="0"/>
              <w:rPr>
                <w:szCs w:val="24"/>
              </w:rPr>
            </w:pPr>
            <w:r>
              <w:rPr>
                <w:szCs w:val="24"/>
              </w:rPr>
              <w:t>FR473</w:t>
            </w:r>
          </w:p>
        </w:tc>
        <w:tc>
          <w:tcPr>
            <w:tcW w:w="8280" w:type="dxa"/>
          </w:tcPr>
          <w:p w14:paraId="18665A6B" w14:textId="77777777" w:rsidR="00F81A8C" w:rsidRDefault="00F81A8C" w:rsidP="00E17F10">
            <w:pPr>
              <w:spacing w:after="0"/>
              <w:rPr>
                <w:szCs w:val="24"/>
              </w:rPr>
            </w:pPr>
            <w:r>
              <w:rPr>
                <w:szCs w:val="24"/>
              </w:rPr>
              <w:t>The system must be able to notify Customs Declaration Processing Systems (CDEPS and NCTS) for errors.</w:t>
            </w:r>
          </w:p>
        </w:tc>
      </w:tr>
    </w:tbl>
    <w:p w14:paraId="058116BA" w14:textId="2B2E0FB9" w:rsidR="00F81A8C" w:rsidRDefault="00F81A8C" w:rsidP="005E0FA9">
      <w:pPr>
        <w:jc w:val="left"/>
      </w:pPr>
    </w:p>
    <w:p w14:paraId="211DF9AF" w14:textId="77777777" w:rsidR="00F81A8C" w:rsidRPr="004B38A1" w:rsidRDefault="00F81A8C" w:rsidP="005E0FA9">
      <w:pPr>
        <w:jc w:val="left"/>
        <w:rPr>
          <w:bCs/>
          <w:szCs w:val="24"/>
        </w:rPr>
      </w:pPr>
    </w:p>
    <w:p w14:paraId="52D6277B" w14:textId="254A7868" w:rsidR="00157AAA" w:rsidRDefault="00096B07">
      <w:pPr>
        <w:rPr>
          <w:b/>
        </w:rPr>
      </w:pPr>
      <w:r>
        <w:rPr>
          <w:b/>
        </w:rPr>
        <w:t>1.2</w:t>
      </w:r>
      <w:r w:rsidR="006C1BE5" w:rsidRPr="008E2AAD">
        <w:rPr>
          <w:b/>
        </w:rPr>
        <w:t>.6.1.</w:t>
      </w:r>
      <w:r w:rsidR="00F81A8C">
        <w:rPr>
          <w:b/>
        </w:rPr>
        <w:t>5</w:t>
      </w:r>
      <w:r w:rsidR="006C1BE5" w:rsidRPr="008E2AAD">
        <w:rPr>
          <w:b/>
        </w:rPr>
        <w:t>. Register the Use of LPCO</w:t>
      </w:r>
    </w:p>
    <w:p w14:paraId="77C2939C" w14:textId="7AE316DE" w:rsidR="00096B07" w:rsidRPr="008E2AAD" w:rsidRDefault="00096B07">
      <w:pPr>
        <w:rPr>
          <w:b/>
        </w:rPr>
      </w:pPr>
      <w:r w:rsidRPr="00096B07">
        <w:rPr>
          <w:b/>
          <w:noProof/>
        </w:rPr>
        <w:drawing>
          <wp:inline distT="0" distB="0" distL="0" distR="0" wp14:anchorId="74F12A6C" wp14:editId="64321079">
            <wp:extent cx="5486400" cy="31172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86400" cy="3117215"/>
                    </a:xfrm>
                    <a:prstGeom prst="rect">
                      <a:avLst/>
                    </a:prstGeom>
                  </pic:spPr>
                </pic:pic>
              </a:graphicData>
            </a:graphic>
          </wp:inline>
        </w:drawing>
      </w:r>
    </w:p>
    <w:p w14:paraId="7CB5831B" w14:textId="4CB508CA" w:rsidR="00157AAA" w:rsidRDefault="00E3729B">
      <w:pPr>
        <w:pStyle w:val="NoSpacing"/>
        <w:rPr>
          <w:i/>
        </w:rPr>
      </w:pPr>
      <w:r>
        <w:rPr>
          <w:i/>
          <w:noProof/>
        </w:rPr>
        <mc:AlternateContent>
          <mc:Choice Requires="wps">
            <w:drawing>
              <wp:anchor distT="0" distB="0" distL="114300" distR="114300" simplePos="0" relativeHeight="251658250" behindDoc="0" locked="0" layoutInCell="1" allowOverlap="1" wp14:anchorId="5A739273" wp14:editId="0963976E">
                <wp:simplePos x="0" y="0"/>
                <wp:positionH relativeFrom="column">
                  <wp:posOffset>0</wp:posOffset>
                </wp:positionH>
                <wp:positionV relativeFrom="paragraph">
                  <wp:posOffset>0</wp:posOffset>
                </wp:positionV>
                <wp:extent cx="635000" cy="635000"/>
                <wp:effectExtent l="19050" t="19050" r="12700" b="12700"/>
                <wp:wrapNone/>
                <wp:docPr id="34" name="AutoShape 5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54048" id="AutoShape 57" o:spid="_x0000_s1026" style="position:absolute;margin-left:0;margin-top:0;width:50pt;height:50pt;z-index:25165825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tYbnISMCAABIBAAADgAAAAAAAAAAAAAAAAAuAgAAZHJzL2Uyb0RvYy54bWxQSwEC&#10;LQAUAAYACAAAACEA640e+9gAAAAFAQAADwAAAAAAAAAAAAAAAAB9BAAAZHJzL2Rvd25yZXYueG1s&#10;UEsFBgAAAAAEAAQA8wAAAIIFAAAAAA==&#10;">
                <v:stroke joinstyle="round"/>
                <o:lock v:ext="edit" selection="t"/>
              </v:rect>
            </w:pict>
          </mc:Fallback>
        </mc:AlternateContent>
      </w:r>
      <w:r w:rsidR="00716E94">
        <w:rPr>
          <w:i/>
        </w:rPr>
        <w:object w:dxaOrig="935" w:dyaOrig="602" w14:anchorId="5A02074A">
          <v:shape id="_x0000_i1031" type="#_x0000_t75" style="width:79pt;height:50.5pt" o:ole="">
            <v:imagedata r:id="rId92" o:title=""/>
          </v:shape>
          <o:OLEObject Type="Embed" ProgID="Package" ShapeID="_x0000_i1031" DrawAspect="Icon" ObjectID="_1777888264" r:id="rId93"/>
        </w:object>
      </w:r>
    </w:p>
    <w:p w14:paraId="678D33BA" w14:textId="77777777" w:rsidR="00157AAA" w:rsidRDefault="00157AAA">
      <w:pPr>
        <w:rPr>
          <w:i/>
          <w:highlight w:val="yellow"/>
        </w:rPr>
      </w:pPr>
    </w:p>
    <w:p w14:paraId="2F064BE0" w14:textId="7EE8B840" w:rsidR="00157AAA" w:rsidRDefault="006C1BE5">
      <w:pPr>
        <w:jc w:val="center"/>
        <w:rPr>
          <w:i/>
        </w:rPr>
      </w:pPr>
      <w:r>
        <w:rPr>
          <w:i/>
        </w:rPr>
        <w:t xml:space="preserve">Figure </w:t>
      </w:r>
      <w:r w:rsidR="00631878">
        <w:rPr>
          <w:i/>
        </w:rPr>
        <w:t>9</w:t>
      </w:r>
      <w:r>
        <w:rPr>
          <w:i/>
        </w:rPr>
        <w:t>: BPMN Process Diagram: Register the Use of LPCO</w:t>
      </w:r>
    </w:p>
    <w:p w14:paraId="1F999A08" w14:textId="77777777" w:rsidR="00157AAA" w:rsidRDefault="00157AAA">
      <w:pPr>
        <w:pStyle w:val="NoSpacing"/>
        <w:rPr>
          <w:i/>
          <w:highlight w:val="yellow"/>
        </w:rPr>
      </w:pPr>
    </w:p>
    <w:p w14:paraId="62B6ED96" w14:textId="56AE1828" w:rsidR="00157AAA" w:rsidRDefault="006C1BE5">
      <w:pPr>
        <w:rPr>
          <w:rFonts w:eastAsia="Calibri"/>
          <w:szCs w:val="24"/>
        </w:rPr>
      </w:pPr>
      <w:r w:rsidRPr="008611E7">
        <w:rPr>
          <w:b/>
        </w:rPr>
        <w:t>Process Description</w:t>
      </w:r>
      <w:r>
        <w:rPr>
          <w:i/>
        </w:rPr>
        <w:t xml:space="preserve">: </w:t>
      </w:r>
      <w:r>
        <w:rPr>
          <w:rFonts w:eastAsia="Calibri"/>
          <w:szCs w:val="24"/>
          <w:lang w:val="mk-MK"/>
        </w:rPr>
        <w:t xml:space="preserve">The process covers the Registration of the usage of the LPCO. The Goods Clearance Information is received from Customs Systems (NCTS and CDEPS), as well as information for intervention can be received. The system performs technical </w:t>
      </w:r>
      <w:r>
        <w:rPr>
          <w:rFonts w:eastAsia="Calibri"/>
          <w:szCs w:val="24"/>
          <w:lang w:val="mk-MK"/>
        </w:rPr>
        <w:lastRenderedPageBreak/>
        <w:t xml:space="preserve">validation of the message. If the message is not techically valid, it send error message to the Customs Systems. If the message is technically valid, the system checks if the LPCO was issed by the NSW or by other systems. If it is issued by other systems, it sends the information and expects </w:t>
      </w:r>
      <w:r w:rsidR="004B1526">
        <w:rPr>
          <w:rFonts w:eastAsia="Calibri"/>
          <w:szCs w:val="24"/>
        </w:rPr>
        <w:t xml:space="preserve">the </w:t>
      </w:r>
      <w:r>
        <w:rPr>
          <w:rFonts w:eastAsia="Calibri"/>
          <w:szCs w:val="24"/>
          <w:lang w:val="mk-MK"/>
        </w:rPr>
        <w:t>outcome. If it is issued by NSW, then it retri</w:t>
      </w:r>
      <w:r w:rsidR="004B1526">
        <w:rPr>
          <w:rFonts w:eastAsia="Calibri"/>
          <w:szCs w:val="24"/>
        </w:rPr>
        <w:t>e</w:t>
      </w:r>
      <w:r>
        <w:rPr>
          <w:rFonts w:eastAsia="Calibri"/>
          <w:szCs w:val="24"/>
          <w:lang w:val="mk-MK"/>
        </w:rPr>
        <w:t>v</w:t>
      </w:r>
      <w:r w:rsidR="004B1526">
        <w:rPr>
          <w:rFonts w:eastAsia="Calibri"/>
          <w:szCs w:val="24"/>
        </w:rPr>
        <w:t>es</w:t>
      </w:r>
      <w:r>
        <w:rPr>
          <w:rFonts w:eastAsia="Calibri"/>
          <w:szCs w:val="24"/>
          <w:lang w:val="mk-MK"/>
        </w:rPr>
        <w:t xml:space="preserve"> the information from Data Warehouse</w:t>
      </w:r>
      <w:r w:rsidR="004B1526">
        <w:rPr>
          <w:rFonts w:eastAsia="Calibri"/>
          <w:szCs w:val="24"/>
        </w:rPr>
        <w:t xml:space="preserve"> and </w:t>
      </w:r>
      <w:r>
        <w:rPr>
          <w:rFonts w:eastAsia="Calibri"/>
          <w:szCs w:val="24"/>
          <w:lang w:val="mk-MK"/>
        </w:rPr>
        <w:t>checks if it is to write-off, to cancel qua</w:t>
      </w:r>
      <w:r w:rsidR="004B1526">
        <w:rPr>
          <w:rFonts w:eastAsia="Calibri"/>
          <w:szCs w:val="24"/>
        </w:rPr>
        <w:t>n</w:t>
      </w:r>
      <w:r>
        <w:rPr>
          <w:rFonts w:eastAsia="Calibri"/>
          <w:szCs w:val="24"/>
          <w:lang w:val="mk-MK"/>
        </w:rPr>
        <w:t>tity reservation or to process information. The Quantity Management</w:t>
      </w:r>
      <w:r>
        <w:rPr>
          <w:rFonts w:eastAsia="Calibri"/>
          <w:szCs w:val="24"/>
        </w:rPr>
        <w:t xml:space="preserve"> Outcome</w:t>
      </w:r>
      <w:r>
        <w:rPr>
          <w:rFonts w:eastAsia="Calibri"/>
          <w:szCs w:val="24"/>
          <w:lang w:val="mk-MK"/>
        </w:rPr>
        <w:t xml:space="preserve"> is sent to Customs Systems, Data Warehouse.</w:t>
      </w:r>
      <w:r>
        <w:rPr>
          <w:rFonts w:eastAsia="Calibri"/>
          <w:szCs w:val="24"/>
        </w:rPr>
        <w:t xml:space="preserve"> </w:t>
      </w:r>
    </w:p>
    <w:p w14:paraId="1EC574AD" w14:textId="77777777" w:rsidR="00157AAA" w:rsidRDefault="00157AAA">
      <w:pPr>
        <w:spacing w:after="0"/>
      </w:pPr>
    </w:p>
    <w:p w14:paraId="1819DAE1" w14:textId="77777777" w:rsidR="00157AAA" w:rsidRPr="008E2AAD" w:rsidRDefault="006C1BE5">
      <w:pPr>
        <w:rPr>
          <w:rFonts w:eastAsia="Calibri"/>
          <w:b/>
          <w:szCs w:val="24"/>
        </w:rPr>
      </w:pPr>
      <w:r w:rsidRPr="008E2AAD">
        <w:rPr>
          <w:rFonts w:eastAsia="Calibri"/>
          <w:b/>
          <w:szCs w:val="24"/>
        </w:rPr>
        <w:t>Process Steps:</w:t>
      </w:r>
    </w:p>
    <w:tbl>
      <w:tblPr>
        <w:tblStyle w:val="TableGrid"/>
        <w:tblW w:w="0" w:type="auto"/>
        <w:tblLook w:val="04A0" w:firstRow="1" w:lastRow="0" w:firstColumn="1" w:lastColumn="0" w:noHBand="0" w:noVBand="1"/>
      </w:tblPr>
      <w:tblGrid>
        <w:gridCol w:w="1345"/>
        <w:gridCol w:w="2160"/>
        <w:gridCol w:w="5125"/>
      </w:tblGrid>
      <w:tr w:rsidR="00157AAA" w14:paraId="72583586" w14:textId="77777777" w:rsidTr="001136D3">
        <w:trPr>
          <w:tblHeader/>
        </w:trPr>
        <w:tc>
          <w:tcPr>
            <w:tcW w:w="1345" w:type="dxa"/>
            <w:shd w:val="clear" w:color="auto" w:fill="D9D9D9" w:themeFill="background1" w:themeFillShade="D9"/>
          </w:tcPr>
          <w:p w14:paraId="32EEAEE6" w14:textId="77777777" w:rsidR="00157AAA" w:rsidRDefault="006C1BE5" w:rsidP="001136D3">
            <w:pPr>
              <w:spacing w:after="0"/>
              <w:rPr>
                <w:b/>
                <w:szCs w:val="24"/>
              </w:rPr>
            </w:pPr>
            <w:r>
              <w:rPr>
                <w:b/>
                <w:szCs w:val="24"/>
              </w:rPr>
              <w:t>Step</w:t>
            </w:r>
          </w:p>
        </w:tc>
        <w:tc>
          <w:tcPr>
            <w:tcW w:w="2160" w:type="dxa"/>
            <w:shd w:val="clear" w:color="auto" w:fill="D9D9D9" w:themeFill="background1" w:themeFillShade="D9"/>
          </w:tcPr>
          <w:p w14:paraId="09B87A23" w14:textId="77777777" w:rsidR="00157AAA" w:rsidRDefault="006C1BE5" w:rsidP="001136D3">
            <w:pPr>
              <w:spacing w:after="0"/>
              <w:jc w:val="left"/>
              <w:rPr>
                <w:b/>
                <w:szCs w:val="24"/>
              </w:rPr>
            </w:pPr>
            <w:r>
              <w:rPr>
                <w:b/>
                <w:szCs w:val="24"/>
              </w:rPr>
              <w:t>Name</w:t>
            </w:r>
          </w:p>
        </w:tc>
        <w:tc>
          <w:tcPr>
            <w:tcW w:w="5125" w:type="dxa"/>
            <w:shd w:val="clear" w:color="auto" w:fill="D9D9D9" w:themeFill="background1" w:themeFillShade="D9"/>
          </w:tcPr>
          <w:p w14:paraId="05323642" w14:textId="77777777" w:rsidR="00157AAA" w:rsidRDefault="006C1BE5" w:rsidP="001136D3">
            <w:pPr>
              <w:spacing w:after="0"/>
              <w:jc w:val="left"/>
              <w:rPr>
                <w:b/>
                <w:szCs w:val="24"/>
              </w:rPr>
            </w:pPr>
            <w:r>
              <w:rPr>
                <w:b/>
                <w:szCs w:val="24"/>
              </w:rPr>
              <w:t>Description</w:t>
            </w:r>
          </w:p>
        </w:tc>
      </w:tr>
      <w:tr w:rsidR="00157AAA" w14:paraId="14D13495" w14:textId="77777777" w:rsidTr="001136D3">
        <w:tc>
          <w:tcPr>
            <w:tcW w:w="1345" w:type="dxa"/>
          </w:tcPr>
          <w:p w14:paraId="3D0A54AF" w14:textId="77777777" w:rsidR="00157AAA" w:rsidRDefault="00157AAA">
            <w:pPr>
              <w:spacing w:after="0"/>
              <w:rPr>
                <w:szCs w:val="24"/>
              </w:rPr>
            </w:pPr>
          </w:p>
          <w:p w14:paraId="505F92EB" w14:textId="77777777" w:rsidR="00157AAA" w:rsidRDefault="006C1BE5" w:rsidP="001136D3">
            <w:pPr>
              <w:spacing w:after="0"/>
            </w:pPr>
            <w:r>
              <w:rPr>
                <w:szCs w:val="24"/>
              </w:rPr>
              <w:t>Start Event</w:t>
            </w:r>
          </w:p>
        </w:tc>
        <w:tc>
          <w:tcPr>
            <w:tcW w:w="2160" w:type="dxa"/>
          </w:tcPr>
          <w:p w14:paraId="7D9416F0" w14:textId="40F16CE8" w:rsidR="00157AAA" w:rsidRDefault="006C1BE5" w:rsidP="001136D3">
            <w:pPr>
              <w:spacing w:after="0"/>
              <w:jc w:val="left"/>
            </w:pPr>
            <w:r>
              <w:t>Goods Clearance Information Received from NCTS</w:t>
            </w:r>
          </w:p>
        </w:tc>
        <w:tc>
          <w:tcPr>
            <w:tcW w:w="5125" w:type="dxa"/>
          </w:tcPr>
          <w:p w14:paraId="3540DFA9" w14:textId="020BFA49" w:rsidR="00157AAA" w:rsidRDefault="006C1BE5" w:rsidP="001136D3">
            <w:pPr>
              <w:spacing w:after="0"/>
            </w:pPr>
            <w:r>
              <w:t>Message for Goods Clearance Information is received from NCTS</w:t>
            </w:r>
            <w:r w:rsidR="00EF6AC3">
              <w:t>.</w:t>
            </w:r>
          </w:p>
        </w:tc>
      </w:tr>
      <w:tr w:rsidR="00157AAA" w14:paraId="0F759F16" w14:textId="77777777" w:rsidTr="001136D3">
        <w:tc>
          <w:tcPr>
            <w:tcW w:w="1345" w:type="dxa"/>
          </w:tcPr>
          <w:p w14:paraId="38DAF7F8" w14:textId="77777777" w:rsidR="00157AAA" w:rsidRDefault="006C1BE5" w:rsidP="001136D3">
            <w:pPr>
              <w:spacing w:after="0"/>
            </w:pPr>
            <w:r>
              <w:rPr>
                <w:szCs w:val="24"/>
              </w:rPr>
              <w:t>Start Event</w:t>
            </w:r>
          </w:p>
        </w:tc>
        <w:tc>
          <w:tcPr>
            <w:tcW w:w="2160" w:type="dxa"/>
          </w:tcPr>
          <w:p w14:paraId="4367B5A4" w14:textId="77777777" w:rsidR="00157AAA" w:rsidRDefault="006C1BE5" w:rsidP="001136D3">
            <w:pPr>
              <w:spacing w:after="0"/>
              <w:jc w:val="left"/>
            </w:pPr>
            <w:r>
              <w:t xml:space="preserve">Intervention Message </w:t>
            </w:r>
            <w:proofErr w:type="gramStart"/>
            <w:r>
              <w:t>From</w:t>
            </w:r>
            <w:proofErr w:type="gramEnd"/>
            <w:r>
              <w:t xml:space="preserve"> NCTS Received</w:t>
            </w:r>
          </w:p>
        </w:tc>
        <w:tc>
          <w:tcPr>
            <w:tcW w:w="5125" w:type="dxa"/>
          </w:tcPr>
          <w:p w14:paraId="7CB03887" w14:textId="7374BD20" w:rsidR="00157AAA" w:rsidRDefault="006C1BE5" w:rsidP="001136D3">
            <w:pPr>
              <w:spacing w:after="0"/>
            </w:pPr>
            <w:r>
              <w:t>Intervention Message is received from NCTS</w:t>
            </w:r>
            <w:r w:rsidR="00EF6AC3">
              <w:t>.</w:t>
            </w:r>
          </w:p>
        </w:tc>
      </w:tr>
      <w:tr w:rsidR="00157AAA" w14:paraId="17811AB7" w14:textId="77777777" w:rsidTr="001136D3">
        <w:tc>
          <w:tcPr>
            <w:tcW w:w="1345" w:type="dxa"/>
          </w:tcPr>
          <w:p w14:paraId="2E64D534" w14:textId="77777777" w:rsidR="00157AAA" w:rsidRDefault="006C1BE5" w:rsidP="001136D3">
            <w:pPr>
              <w:spacing w:after="0"/>
            </w:pPr>
            <w:r>
              <w:rPr>
                <w:szCs w:val="24"/>
              </w:rPr>
              <w:t>Start Event</w:t>
            </w:r>
          </w:p>
        </w:tc>
        <w:tc>
          <w:tcPr>
            <w:tcW w:w="2160" w:type="dxa"/>
          </w:tcPr>
          <w:p w14:paraId="6D53E6EF" w14:textId="6FE1A56C" w:rsidR="00157AAA" w:rsidRDefault="006C1BE5" w:rsidP="001136D3">
            <w:pPr>
              <w:spacing w:after="0"/>
              <w:jc w:val="left"/>
            </w:pPr>
            <w:r>
              <w:t>Goods Clearance Information Received from CDEPS</w:t>
            </w:r>
          </w:p>
        </w:tc>
        <w:tc>
          <w:tcPr>
            <w:tcW w:w="5125" w:type="dxa"/>
          </w:tcPr>
          <w:p w14:paraId="46CF3DC2" w14:textId="5FC44EC6" w:rsidR="00157AAA" w:rsidRDefault="006C1BE5" w:rsidP="001136D3">
            <w:pPr>
              <w:spacing w:after="0"/>
            </w:pPr>
            <w:r>
              <w:t>Message for Goods Clearance Information is received from CDEPS</w:t>
            </w:r>
            <w:r w:rsidR="00EF6AC3">
              <w:t>.</w:t>
            </w:r>
          </w:p>
        </w:tc>
      </w:tr>
      <w:tr w:rsidR="00157AAA" w14:paraId="0826DF66" w14:textId="77777777" w:rsidTr="001136D3">
        <w:tc>
          <w:tcPr>
            <w:tcW w:w="1345" w:type="dxa"/>
          </w:tcPr>
          <w:p w14:paraId="4EEA8CC9" w14:textId="77777777" w:rsidR="00157AAA" w:rsidRDefault="006C1BE5" w:rsidP="001136D3">
            <w:pPr>
              <w:spacing w:after="0"/>
            </w:pPr>
            <w:r>
              <w:rPr>
                <w:szCs w:val="24"/>
              </w:rPr>
              <w:t>Start Event</w:t>
            </w:r>
          </w:p>
        </w:tc>
        <w:tc>
          <w:tcPr>
            <w:tcW w:w="2160" w:type="dxa"/>
          </w:tcPr>
          <w:p w14:paraId="1727DE9A" w14:textId="77777777" w:rsidR="00157AAA" w:rsidRDefault="006C1BE5" w:rsidP="001136D3">
            <w:pPr>
              <w:spacing w:after="0"/>
              <w:jc w:val="left"/>
            </w:pPr>
            <w:r>
              <w:t>Intervention Message from CDEPS Received</w:t>
            </w:r>
          </w:p>
        </w:tc>
        <w:tc>
          <w:tcPr>
            <w:tcW w:w="5125" w:type="dxa"/>
          </w:tcPr>
          <w:p w14:paraId="6F937CC7" w14:textId="086B48C9" w:rsidR="00157AAA" w:rsidRDefault="006C1BE5" w:rsidP="001136D3">
            <w:pPr>
              <w:spacing w:after="0"/>
            </w:pPr>
            <w:r>
              <w:t>Intervention Message is received from CDEPS</w:t>
            </w:r>
            <w:r w:rsidR="00EF6AC3">
              <w:t>.</w:t>
            </w:r>
          </w:p>
        </w:tc>
      </w:tr>
      <w:tr w:rsidR="00157AAA" w14:paraId="35CB7603" w14:textId="77777777" w:rsidTr="001136D3">
        <w:tc>
          <w:tcPr>
            <w:tcW w:w="1345" w:type="dxa"/>
          </w:tcPr>
          <w:p w14:paraId="5654FE55" w14:textId="77777777" w:rsidR="00157AAA" w:rsidRDefault="006C1BE5" w:rsidP="001136D3">
            <w:pPr>
              <w:spacing w:after="0"/>
            </w:pPr>
            <w:r>
              <w:rPr>
                <w:szCs w:val="24"/>
              </w:rPr>
              <w:t>Service Task</w:t>
            </w:r>
          </w:p>
        </w:tc>
        <w:tc>
          <w:tcPr>
            <w:tcW w:w="2160" w:type="dxa"/>
          </w:tcPr>
          <w:p w14:paraId="15ADD826" w14:textId="77777777" w:rsidR="00157AAA" w:rsidRDefault="006C1BE5" w:rsidP="001136D3">
            <w:pPr>
              <w:spacing w:after="0"/>
              <w:jc w:val="left"/>
            </w:pPr>
            <w:r>
              <w:t>Perform Technical Validation on Goods Clearance Information or Intervention Message</w:t>
            </w:r>
          </w:p>
        </w:tc>
        <w:tc>
          <w:tcPr>
            <w:tcW w:w="5125" w:type="dxa"/>
          </w:tcPr>
          <w:p w14:paraId="4949F867" w14:textId="77777777" w:rsidR="00157AAA" w:rsidRDefault="006C1BE5" w:rsidP="001136D3">
            <w:pPr>
              <w:spacing w:after="0"/>
            </w:pPr>
            <w:r>
              <w:t>The system performs technical validation of the message received from NCTS and CDEPS for Goods Clearance and Intervention.</w:t>
            </w:r>
          </w:p>
        </w:tc>
      </w:tr>
      <w:tr w:rsidR="00157AAA" w14:paraId="04C94CCC" w14:textId="77777777" w:rsidTr="001136D3">
        <w:tc>
          <w:tcPr>
            <w:tcW w:w="1345" w:type="dxa"/>
          </w:tcPr>
          <w:p w14:paraId="597B2ED3" w14:textId="77777777" w:rsidR="00157AAA" w:rsidRDefault="006C1BE5" w:rsidP="001136D3">
            <w:pPr>
              <w:spacing w:after="0"/>
            </w:pPr>
            <w:r>
              <w:rPr>
                <w:szCs w:val="24"/>
              </w:rPr>
              <w:t>Send Task</w:t>
            </w:r>
          </w:p>
        </w:tc>
        <w:tc>
          <w:tcPr>
            <w:tcW w:w="2160" w:type="dxa"/>
          </w:tcPr>
          <w:p w14:paraId="65C03768" w14:textId="77777777" w:rsidR="00157AAA" w:rsidRDefault="006C1BE5" w:rsidP="001136D3">
            <w:pPr>
              <w:spacing w:after="0"/>
              <w:jc w:val="left"/>
            </w:pPr>
            <w:r>
              <w:t>Notify Technically Not Valid Message</w:t>
            </w:r>
          </w:p>
        </w:tc>
        <w:tc>
          <w:tcPr>
            <w:tcW w:w="5125" w:type="dxa"/>
          </w:tcPr>
          <w:p w14:paraId="1A1A7A0F" w14:textId="77777777" w:rsidR="00157AAA" w:rsidRDefault="006C1BE5" w:rsidP="001136D3">
            <w:pPr>
              <w:spacing w:after="0"/>
            </w:pPr>
            <w:r>
              <w:t>The system notifies the customs system for the technically not valid message.</w:t>
            </w:r>
          </w:p>
        </w:tc>
      </w:tr>
      <w:tr w:rsidR="00157AAA" w14:paraId="07794502" w14:textId="77777777" w:rsidTr="001136D3">
        <w:tc>
          <w:tcPr>
            <w:tcW w:w="1345" w:type="dxa"/>
          </w:tcPr>
          <w:p w14:paraId="3993DC31" w14:textId="77777777" w:rsidR="00157AAA" w:rsidRDefault="006C1BE5" w:rsidP="001136D3">
            <w:pPr>
              <w:spacing w:after="0"/>
              <w:rPr>
                <w:szCs w:val="24"/>
              </w:rPr>
            </w:pPr>
            <w:r>
              <w:rPr>
                <w:szCs w:val="24"/>
              </w:rPr>
              <w:t>End Event</w:t>
            </w:r>
          </w:p>
        </w:tc>
        <w:tc>
          <w:tcPr>
            <w:tcW w:w="2160" w:type="dxa"/>
          </w:tcPr>
          <w:p w14:paraId="78731279" w14:textId="77777777" w:rsidR="00157AAA" w:rsidRDefault="006C1BE5" w:rsidP="001136D3">
            <w:pPr>
              <w:spacing w:after="0"/>
              <w:jc w:val="left"/>
            </w:pPr>
            <w:r>
              <w:rPr>
                <w:szCs w:val="24"/>
              </w:rPr>
              <w:t>Technical Message Error</w:t>
            </w:r>
          </w:p>
        </w:tc>
        <w:tc>
          <w:tcPr>
            <w:tcW w:w="5125" w:type="dxa"/>
          </w:tcPr>
          <w:p w14:paraId="7198A184" w14:textId="165BB2A8" w:rsidR="00157AAA" w:rsidRDefault="006C1BE5" w:rsidP="001136D3">
            <w:pPr>
              <w:spacing w:after="0"/>
            </w:pPr>
            <w:r>
              <w:rPr>
                <w:szCs w:val="24"/>
              </w:rPr>
              <w:t>Technical Message Error</w:t>
            </w:r>
            <w:r w:rsidR="00EF6AC3">
              <w:rPr>
                <w:szCs w:val="24"/>
              </w:rPr>
              <w:t>.</w:t>
            </w:r>
          </w:p>
        </w:tc>
      </w:tr>
      <w:tr w:rsidR="00157AAA" w14:paraId="74337DD1" w14:textId="77777777" w:rsidTr="001136D3">
        <w:tc>
          <w:tcPr>
            <w:tcW w:w="1345" w:type="dxa"/>
          </w:tcPr>
          <w:p w14:paraId="52592189" w14:textId="77777777" w:rsidR="00157AAA" w:rsidRDefault="006C1BE5" w:rsidP="001136D3">
            <w:pPr>
              <w:spacing w:after="0"/>
            </w:pPr>
            <w:r>
              <w:rPr>
                <w:szCs w:val="24"/>
              </w:rPr>
              <w:t>Service Task</w:t>
            </w:r>
          </w:p>
        </w:tc>
        <w:tc>
          <w:tcPr>
            <w:tcW w:w="2160" w:type="dxa"/>
          </w:tcPr>
          <w:p w14:paraId="40686D5F" w14:textId="77777777" w:rsidR="00157AAA" w:rsidRDefault="006C1BE5" w:rsidP="001136D3">
            <w:pPr>
              <w:spacing w:after="0"/>
              <w:jc w:val="left"/>
            </w:pPr>
            <w:r>
              <w:t>Retrieve LPCO Information</w:t>
            </w:r>
          </w:p>
        </w:tc>
        <w:tc>
          <w:tcPr>
            <w:tcW w:w="5125" w:type="dxa"/>
          </w:tcPr>
          <w:p w14:paraId="01389EDF" w14:textId="1C227E76" w:rsidR="00157AAA" w:rsidRDefault="006C1BE5" w:rsidP="001136D3">
            <w:pPr>
              <w:spacing w:after="0"/>
            </w:pPr>
            <w:r>
              <w:t>The NSW System retrieves the information for LPCO requested and identifies: - LPCO availability- appropriate status</w:t>
            </w:r>
            <w:r w:rsidR="00EF6AC3">
              <w:t>.</w:t>
            </w:r>
          </w:p>
        </w:tc>
      </w:tr>
      <w:tr w:rsidR="00157AAA" w14:paraId="4FA4DA5F" w14:textId="77777777" w:rsidTr="001136D3">
        <w:tc>
          <w:tcPr>
            <w:tcW w:w="1345" w:type="dxa"/>
          </w:tcPr>
          <w:p w14:paraId="766EAC97" w14:textId="77777777" w:rsidR="00157AAA" w:rsidRDefault="006C1BE5" w:rsidP="001136D3">
            <w:pPr>
              <w:spacing w:after="0"/>
            </w:pPr>
            <w:r>
              <w:rPr>
                <w:szCs w:val="24"/>
              </w:rPr>
              <w:t>Service Task</w:t>
            </w:r>
          </w:p>
        </w:tc>
        <w:tc>
          <w:tcPr>
            <w:tcW w:w="2160" w:type="dxa"/>
          </w:tcPr>
          <w:p w14:paraId="0EE0175E" w14:textId="77777777" w:rsidR="00157AAA" w:rsidRDefault="006C1BE5" w:rsidP="001136D3">
            <w:pPr>
              <w:spacing w:after="0"/>
              <w:jc w:val="left"/>
            </w:pPr>
            <w:r>
              <w:t>Process Intervention</w:t>
            </w:r>
          </w:p>
        </w:tc>
        <w:tc>
          <w:tcPr>
            <w:tcW w:w="5125" w:type="dxa"/>
          </w:tcPr>
          <w:p w14:paraId="45ED2406" w14:textId="77777777" w:rsidR="00157AAA" w:rsidRDefault="006C1BE5" w:rsidP="001136D3">
            <w:pPr>
              <w:spacing w:after="0"/>
            </w:pPr>
            <w:r>
              <w:t xml:space="preserve">The system process intervention when information is received from Customs system, </w:t>
            </w:r>
            <w:proofErr w:type="gramStart"/>
            <w:r>
              <w:t>There</w:t>
            </w:r>
            <w:proofErr w:type="gramEnd"/>
            <w:r>
              <w:t xml:space="preserve"> are three possibilities:</w:t>
            </w:r>
          </w:p>
          <w:p w14:paraId="358BE0D5" w14:textId="77777777" w:rsidR="00157AAA" w:rsidRDefault="006C1BE5" w:rsidP="001136D3">
            <w:pPr>
              <w:spacing w:after="0"/>
              <w:rPr>
                <w:rFonts w:eastAsiaTheme="majorEastAsia"/>
              </w:rPr>
            </w:pPr>
            <w:r>
              <w:rPr>
                <w:rFonts w:eastAsiaTheme="majorEastAsia"/>
              </w:rPr>
              <w:t xml:space="preserve">01-Force write-off (if the goods have been released without previous reservation (positive outcome), </w:t>
            </w:r>
          </w:p>
          <w:p w14:paraId="523D1F5F" w14:textId="77777777" w:rsidR="00157AAA" w:rsidRDefault="006C1BE5" w:rsidP="001136D3">
            <w:pPr>
              <w:spacing w:after="0"/>
              <w:rPr>
                <w:rFonts w:eastAsiaTheme="majorEastAsia"/>
              </w:rPr>
            </w:pPr>
            <w:r>
              <w:rPr>
                <w:rFonts w:eastAsiaTheme="majorEastAsia"/>
              </w:rPr>
              <w:t xml:space="preserve">02 – Amend write-off (if the data in the declaration have been amended after the release of the goods) </w:t>
            </w:r>
          </w:p>
          <w:p w14:paraId="0DE9711B" w14:textId="77777777" w:rsidR="00157AAA" w:rsidRDefault="006C1BE5" w:rsidP="001136D3">
            <w:pPr>
              <w:spacing w:after="0"/>
            </w:pPr>
            <w:r>
              <w:rPr>
                <w:rFonts w:eastAsiaTheme="majorEastAsia"/>
              </w:rPr>
              <w:lastRenderedPageBreak/>
              <w:t>03 – Delete write-off (if the declaration was invalidated after the release of the goods).</w:t>
            </w:r>
          </w:p>
        </w:tc>
      </w:tr>
      <w:tr w:rsidR="00157AAA" w14:paraId="57CEB5AB" w14:textId="77777777" w:rsidTr="001136D3">
        <w:tc>
          <w:tcPr>
            <w:tcW w:w="1345" w:type="dxa"/>
          </w:tcPr>
          <w:p w14:paraId="025A45E2" w14:textId="77777777" w:rsidR="00157AAA" w:rsidRDefault="006C1BE5" w:rsidP="001136D3">
            <w:pPr>
              <w:spacing w:after="0"/>
            </w:pPr>
            <w:r>
              <w:rPr>
                <w:szCs w:val="24"/>
              </w:rPr>
              <w:lastRenderedPageBreak/>
              <w:t>Service Task</w:t>
            </w:r>
          </w:p>
        </w:tc>
        <w:tc>
          <w:tcPr>
            <w:tcW w:w="2160" w:type="dxa"/>
          </w:tcPr>
          <w:p w14:paraId="5C379AA2" w14:textId="77777777" w:rsidR="00157AAA" w:rsidRDefault="006C1BE5" w:rsidP="001136D3">
            <w:pPr>
              <w:spacing w:after="0"/>
              <w:jc w:val="left"/>
            </w:pPr>
            <w:r>
              <w:t>Cancel Quantity Reservation for LPCO</w:t>
            </w:r>
          </w:p>
        </w:tc>
        <w:tc>
          <w:tcPr>
            <w:tcW w:w="5125" w:type="dxa"/>
          </w:tcPr>
          <w:p w14:paraId="5C342726" w14:textId="77777777" w:rsidR="00157AAA" w:rsidRDefault="006C1BE5" w:rsidP="001136D3">
            <w:pPr>
              <w:spacing w:after="0"/>
            </w:pPr>
            <w:r>
              <w:t>The system cancels the reservation as information received from the customs systems states that the goods were not released.</w:t>
            </w:r>
          </w:p>
        </w:tc>
      </w:tr>
      <w:tr w:rsidR="00157AAA" w14:paraId="4488DE9C" w14:textId="77777777" w:rsidTr="001136D3">
        <w:tc>
          <w:tcPr>
            <w:tcW w:w="1345" w:type="dxa"/>
          </w:tcPr>
          <w:p w14:paraId="301C4B4C" w14:textId="77777777" w:rsidR="00157AAA" w:rsidRDefault="006C1BE5" w:rsidP="001136D3">
            <w:pPr>
              <w:spacing w:after="0"/>
            </w:pPr>
            <w:r>
              <w:rPr>
                <w:szCs w:val="24"/>
              </w:rPr>
              <w:t>Service Task</w:t>
            </w:r>
          </w:p>
        </w:tc>
        <w:tc>
          <w:tcPr>
            <w:tcW w:w="2160" w:type="dxa"/>
          </w:tcPr>
          <w:p w14:paraId="488164D9" w14:textId="77777777" w:rsidR="00157AAA" w:rsidRDefault="006C1BE5" w:rsidP="001136D3">
            <w:pPr>
              <w:spacing w:after="0"/>
              <w:jc w:val="left"/>
            </w:pPr>
            <w:r>
              <w:t>Write-Off Quantities for LPCO</w:t>
            </w:r>
          </w:p>
        </w:tc>
        <w:tc>
          <w:tcPr>
            <w:tcW w:w="5125" w:type="dxa"/>
          </w:tcPr>
          <w:p w14:paraId="2706A230" w14:textId="5D8CD7D4" w:rsidR="00157AAA" w:rsidRDefault="006C1BE5" w:rsidP="001136D3">
            <w:pPr>
              <w:spacing w:after="0"/>
            </w:pPr>
            <w:r>
              <w:t>The system write-off the quantity reservation for LPCO</w:t>
            </w:r>
            <w:r w:rsidR="00EF6AC3">
              <w:t>.</w:t>
            </w:r>
          </w:p>
        </w:tc>
      </w:tr>
      <w:tr w:rsidR="00157AAA" w14:paraId="4ECC2ED2" w14:textId="77777777" w:rsidTr="001136D3">
        <w:tc>
          <w:tcPr>
            <w:tcW w:w="1345" w:type="dxa"/>
          </w:tcPr>
          <w:p w14:paraId="51D0D1F9" w14:textId="77777777" w:rsidR="00157AAA" w:rsidRDefault="006C1BE5" w:rsidP="001136D3">
            <w:pPr>
              <w:spacing w:after="0"/>
            </w:pPr>
            <w:r>
              <w:rPr>
                <w:szCs w:val="24"/>
              </w:rPr>
              <w:t>Send Task</w:t>
            </w:r>
          </w:p>
        </w:tc>
        <w:tc>
          <w:tcPr>
            <w:tcW w:w="2160" w:type="dxa"/>
          </w:tcPr>
          <w:p w14:paraId="53142C5A" w14:textId="08EBCB4A" w:rsidR="00157AAA" w:rsidRDefault="006C1BE5" w:rsidP="001136D3">
            <w:pPr>
              <w:spacing w:after="0"/>
              <w:jc w:val="left"/>
            </w:pPr>
            <w:r>
              <w:t>Notify Goods Clearance or Intervention Information to EU CERTEX</w:t>
            </w:r>
          </w:p>
        </w:tc>
        <w:tc>
          <w:tcPr>
            <w:tcW w:w="5125" w:type="dxa"/>
          </w:tcPr>
          <w:p w14:paraId="47F64BF1" w14:textId="58E2828A" w:rsidR="00157AAA" w:rsidRDefault="006C1BE5" w:rsidP="001136D3">
            <w:pPr>
              <w:spacing w:after="0"/>
            </w:pPr>
            <w:r>
              <w:t>The system sends message to EU CERTEX message for the goods clearance or intervention.</w:t>
            </w:r>
          </w:p>
        </w:tc>
      </w:tr>
      <w:tr w:rsidR="00157AAA" w14:paraId="5FF9FA25" w14:textId="77777777" w:rsidTr="001136D3">
        <w:tc>
          <w:tcPr>
            <w:tcW w:w="1345" w:type="dxa"/>
          </w:tcPr>
          <w:p w14:paraId="0A2D1911" w14:textId="77777777" w:rsidR="00157AAA" w:rsidRDefault="006C1BE5" w:rsidP="001136D3">
            <w:pPr>
              <w:spacing w:after="0"/>
            </w:pPr>
            <w:r>
              <w:rPr>
                <w:szCs w:val="24"/>
              </w:rPr>
              <w:t>Message event</w:t>
            </w:r>
          </w:p>
        </w:tc>
        <w:tc>
          <w:tcPr>
            <w:tcW w:w="2160" w:type="dxa"/>
          </w:tcPr>
          <w:p w14:paraId="2928AC62" w14:textId="3E9419D8" w:rsidR="00E347A1" w:rsidRPr="005E6A97" w:rsidRDefault="00E347A1" w:rsidP="001136D3">
            <w:pPr>
              <w:pStyle w:val="CommentText"/>
              <w:spacing w:after="0"/>
              <w:rPr>
                <w:sz w:val="24"/>
                <w:szCs w:val="24"/>
              </w:rPr>
            </w:pPr>
            <w:r w:rsidRPr="005E6A97">
              <w:rPr>
                <w:sz w:val="24"/>
                <w:szCs w:val="24"/>
              </w:rPr>
              <w:t>Quantity management</w:t>
            </w:r>
            <w:r w:rsidR="004B1526">
              <w:rPr>
                <w:sz w:val="24"/>
                <w:szCs w:val="24"/>
              </w:rPr>
              <w:t xml:space="preserve"> </w:t>
            </w:r>
            <w:r w:rsidRPr="005E6A97">
              <w:rPr>
                <w:sz w:val="24"/>
                <w:szCs w:val="24"/>
              </w:rPr>
              <w:t>outcome received by EU CERTEX</w:t>
            </w:r>
            <w:r>
              <w:rPr>
                <w:sz w:val="24"/>
                <w:szCs w:val="24"/>
              </w:rPr>
              <w:t>.</w:t>
            </w:r>
          </w:p>
          <w:p w14:paraId="7F274E6E" w14:textId="04B6CBDE" w:rsidR="00157AAA" w:rsidRPr="005E6A97" w:rsidRDefault="00157AAA" w:rsidP="001136D3">
            <w:pPr>
              <w:spacing w:after="0"/>
              <w:rPr>
                <w:szCs w:val="24"/>
              </w:rPr>
            </w:pPr>
          </w:p>
        </w:tc>
        <w:tc>
          <w:tcPr>
            <w:tcW w:w="5125" w:type="dxa"/>
          </w:tcPr>
          <w:p w14:paraId="33B9A03D" w14:textId="73B7AE0E" w:rsidR="00E347A1" w:rsidRPr="005E6A97" w:rsidRDefault="006C1BE5" w:rsidP="001136D3">
            <w:pPr>
              <w:pStyle w:val="CommentText"/>
              <w:spacing w:after="0"/>
              <w:jc w:val="left"/>
              <w:rPr>
                <w:sz w:val="24"/>
                <w:szCs w:val="24"/>
              </w:rPr>
            </w:pPr>
            <w:r w:rsidRPr="005E6A97">
              <w:rPr>
                <w:sz w:val="24"/>
                <w:szCs w:val="24"/>
              </w:rPr>
              <w:t>The system receives</w:t>
            </w:r>
            <w:r w:rsidR="00E347A1">
              <w:rPr>
                <w:sz w:val="24"/>
                <w:szCs w:val="24"/>
              </w:rPr>
              <w:t xml:space="preserve"> </w:t>
            </w:r>
            <w:r w:rsidR="00E347A1" w:rsidRPr="005E6A97">
              <w:rPr>
                <w:sz w:val="24"/>
                <w:szCs w:val="24"/>
              </w:rPr>
              <w:t>Quantity management outcome received by EU CERTEX</w:t>
            </w:r>
          </w:p>
          <w:p w14:paraId="21F8C713" w14:textId="689D47F1" w:rsidR="00157AAA" w:rsidRPr="005E6A97" w:rsidRDefault="00157AAA" w:rsidP="001136D3">
            <w:pPr>
              <w:spacing w:after="0"/>
              <w:jc w:val="left"/>
              <w:rPr>
                <w:szCs w:val="24"/>
              </w:rPr>
            </w:pPr>
          </w:p>
        </w:tc>
      </w:tr>
      <w:tr w:rsidR="00157AAA" w14:paraId="391B871B" w14:textId="77777777" w:rsidTr="001136D3">
        <w:tc>
          <w:tcPr>
            <w:tcW w:w="1345" w:type="dxa"/>
          </w:tcPr>
          <w:p w14:paraId="13FE39E8" w14:textId="77777777" w:rsidR="00157AAA" w:rsidRDefault="006C1BE5" w:rsidP="001136D3">
            <w:pPr>
              <w:spacing w:after="0"/>
            </w:pPr>
            <w:r>
              <w:rPr>
                <w:szCs w:val="24"/>
              </w:rPr>
              <w:t>Send Task</w:t>
            </w:r>
          </w:p>
        </w:tc>
        <w:tc>
          <w:tcPr>
            <w:tcW w:w="2160" w:type="dxa"/>
          </w:tcPr>
          <w:p w14:paraId="1B00324E" w14:textId="74DDE84D" w:rsidR="00157AAA" w:rsidRDefault="006C1BE5" w:rsidP="001136D3">
            <w:pPr>
              <w:spacing w:after="0"/>
              <w:jc w:val="left"/>
            </w:pPr>
            <w:r>
              <w:t>Notify Goods Clearance or Intervention Information to Competent Authority Licensing System</w:t>
            </w:r>
          </w:p>
        </w:tc>
        <w:tc>
          <w:tcPr>
            <w:tcW w:w="5125" w:type="dxa"/>
          </w:tcPr>
          <w:p w14:paraId="71969693" w14:textId="77777777" w:rsidR="00157AAA" w:rsidRDefault="006C1BE5" w:rsidP="001136D3">
            <w:pPr>
              <w:spacing w:after="0"/>
            </w:pPr>
            <w:r>
              <w:t>The system sends message to other Competent Authorities Licensing systems message to record the goods clearance or Intervention.</w:t>
            </w:r>
          </w:p>
        </w:tc>
      </w:tr>
      <w:tr w:rsidR="00157AAA" w14:paraId="6350A290" w14:textId="77777777" w:rsidTr="001136D3">
        <w:tc>
          <w:tcPr>
            <w:tcW w:w="1345" w:type="dxa"/>
          </w:tcPr>
          <w:p w14:paraId="701ADA77" w14:textId="77777777" w:rsidR="00157AAA" w:rsidRDefault="006C1BE5" w:rsidP="001136D3">
            <w:pPr>
              <w:spacing w:after="0"/>
            </w:pPr>
            <w:r>
              <w:rPr>
                <w:szCs w:val="24"/>
              </w:rPr>
              <w:t>Message event</w:t>
            </w:r>
          </w:p>
        </w:tc>
        <w:tc>
          <w:tcPr>
            <w:tcW w:w="2160" w:type="dxa"/>
            <w:shd w:val="clear" w:color="auto" w:fill="auto"/>
          </w:tcPr>
          <w:p w14:paraId="513C0842" w14:textId="0025C691" w:rsidR="00157AAA" w:rsidRDefault="00D57958" w:rsidP="001136D3">
            <w:pPr>
              <w:spacing w:after="0"/>
              <w:jc w:val="left"/>
            </w:pPr>
            <w:r w:rsidRPr="00D57958">
              <w:t>Quantity management outcome received by</w:t>
            </w:r>
            <w:r>
              <w:t xml:space="preserve"> Competent Authority Licensing System</w:t>
            </w:r>
          </w:p>
        </w:tc>
        <w:tc>
          <w:tcPr>
            <w:tcW w:w="5125" w:type="dxa"/>
          </w:tcPr>
          <w:p w14:paraId="07159DBA" w14:textId="4BA2AE27" w:rsidR="00157AAA" w:rsidRDefault="006C1BE5" w:rsidP="001136D3">
            <w:pPr>
              <w:spacing w:after="0"/>
            </w:pPr>
            <w:r>
              <w:t>The system receives</w:t>
            </w:r>
            <w:r w:rsidR="00D57958" w:rsidRPr="00D57958">
              <w:t xml:space="preserve"> Quantity management outcome received by</w:t>
            </w:r>
            <w:r w:rsidR="00D57958">
              <w:t xml:space="preserve"> Competent Authority Licensing System</w:t>
            </w:r>
            <w:r w:rsidR="00EF6AC3">
              <w:t>.</w:t>
            </w:r>
          </w:p>
        </w:tc>
      </w:tr>
      <w:tr w:rsidR="00157AAA" w14:paraId="0C15B9AD" w14:textId="77777777" w:rsidTr="001136D3">
        <w:tc>
          <w:tcPr>
            <w:tcW w:w="1345" w:type="dxa"/>
          </w:tcPr>
          <w:p w14:paraId="27795EC8" w14:textId="77777777" w:rsidR="00157AAA" w:rsidRDefault="006C1BE5" w:rsidP="001136D3">
            <w:pPr>
              <w:spacing w:after="0"/>
            </w:pPr>
            <w:r>
              <w:rPr>
                <w:szCs w:val="24"/>
              </w:rPr>
              <w:t>Send Task</w:t>
            </w:r>
          </w:p>
        </w:tc>
        <w:tc>
          <w:tcPr>
            <w:tcW w:w="2160" w:type="dxa"/>
          </w:tcPr>
          <w:p w14:paraId="7635EAC8" w14:textId="52B045D0" w:rsidR="00157AAA" w:rsidRDefault="006C1BE5" w:rsidP="001136D3">
            <w:pPr>
              <w:spacing w:after="0"/>
              <w:jc w:val="left"/>
            </w:pPr>
            <w:r>
              <w:t>Notify Goods Clearance or Intervention Information To SEED+</w:t>
            </w:r>
          </w:p>
        </w:tc>
        <w:tc>
          <w:tcPr>
            <w:tcW w:w="5125" w:type="dxa"/>
          </w:tcPr>
          <w:p w14:paraId="0D7CE97B" w14:textId="77777777" w:rsidR="00157AAA" w:rsidRDefault="006C1BE5" w:rsidP="001136D3">
            <w:pPr>
              <w:spacing w:after="0"/>
            </w:pPr>
            <w:r>
              <w:t>The system sends message to SEED+ message to record the goods clearance or intervention.</w:t>
            </w:r>
          </w:p>
        </w:tc>
      </w:tr>
      <w:tr w:rsidR="00157AAA" w14:paraId="69C5F7C0" w14:textId="77777777" w:rsidTr="001136D3">
        <w:tc>
          <w:tcPr>
            <w:tcW w:w="1345" w:type="dxa"/>
          </w:tcPr>
          <w:p w14:paraId="3880D8D9" w14:textId="77777777" w:rsidR="00157AAA" w:rsidRDefault="006C1BE5" w:rsidP="001136D3">
            <w:pPr>
              <w:spacing w:after="0"/>
            </w:pPr>
            <w:r>
              <w:rPr>
                <w:szCs w:val="24"/>
              </w:rPr>
              <w:t>Message event</w:t>
            </w:r>
          </w:p>
        </w:tc>
        <w:tc>
          <w:tcPr>
            <w:tcW w:w="2160" w:type="dxa"/>
          </w:tcPr>
          <w:p w14:paraId="420BBCBF" w14:textId="3AFFFD70" w:rsidR="00157AAA" w:rsidRDefault="00D57958" w:rsidP="001136D3">
            <w:pPr>
              <w:spacing w:after="0"/>
              <w:jc w:val="left"/>
            </w:pPr>
            <w:r w:rsidRPr="00D57958">
              <w:t>Quantity management outcome receive</w:t>
            </w:r>
            <w:r>
              <w:t xml:space="preserve">d </w:t>
            </w:r>
            <w:proofErr w:type="gramStart"/>
            <w:r>
              <w:t xml:space="preserve">by </w:t>
            </w:r>
            <w:r w:rsidR="006C1BE5">
              <w:t xml:space="preserve"> SEED</w:t>
            </w:r>
            <w:proofErr w:type="gramEnd"/>
            <w:r w:rsidR="006C1BE5">
              <w:t>+</w:t>
            </w:r>
          </w:p>
        </w:tc>
        <w:tc>
          <w:tcPr>
            <w:tcW w:w="5125" w:type="dxa"/>
          </w:tcPr>
          <w:p w14:paraId="5754C2E7" w14:textId="09AA816A" w:rsidR="00157AAA" w:rsidRDefault="006C1BE5" w:rsidP="001136D3">
            <w:pPr>
              <w:spacing w:after="0"/>
            </w:pPr>
            <w:r>
              <w:t xml:space="preserve">The system receives information </w:t>
            </w:r>
            <w:r w:rsidR="00D57958" w:rsidRPr="00D57958">
              <w:t>Quantity management outcome received</w:t>
            </w:r>
            <w:r w:rsidR="00D57958" w:rsidRPr="00D57958" w:rsidDel="00D57958">
              <w:t xml:space="preserve"> </w:t>
            </w:r>
            <w:r>
              <w:t>from SEED+</w:t>
            </w:r>
            <w:r w:rsidR="00EF6AC3">
              <w:t>.</w:t>
            </w:r>
          </w:p>
        </w:tc>
      </w:tr>
      <w:tr w:rsidR="00157AAA" w14:paraId="7AB70999" w14:textId="77777777" w:rsidTr="001136D3">
        <w:tc>
          <w:tcPr>
            <w:tcW w:w="1345" w:type="dxa"/>
          </w:tcPr>
          <w:p w14:paraId="6ABE66CD" w14:textId="77777777" w:rsidR="00157AAA" w:rsidRDefault="006C1BE5" w:rsidP="001136D3">
            <w:pPr>
              <w:spacing w:after="0"/>
            </w:pPr>
            <w:r>
              <w:rPr>
                <w:szCs w:val="24"/>
              </w:rPr>
              <w:t>Send Task</w:t>
            </w:r>
          </w:p>
        </w:tc>
        <w:tc>
          <w:tcPr>
            <w:tcW w:w="2160" w:type="dxa"/>
          </w:tcPr>
          <w:p w14:paraId="257AAF73" w14:textId="77777777" w:rsidR="00157AAA" w:rsidRDefault="006C1BE5" w:rsidP="001136D3">
            <w:pPr>
              <w:spacing w:after="0"/>
              <w:jc w:val="left"/>
            </w:pPr>
            <w:r>
              <w:t>Notify Quantity Management Outcome</w:t>
            </w:r>
          </w:p>
        </w:tc>
        <w:tc>
          <w:tcPr>
            <w:tcW w:w="5125" w:type="dxa"/>
          </w:tcPr>
          <w:p w14:paraId="6EA9949C" w14:textId="77777777" w:rsidR="00157AAA" w:rsidRDefault="006C1BE5" w:rsidP="001136D3">
            <w:pPr>
              <w:spacing w:after="0"/>
            </w:pPr>
            <w:r>
              <w:t>The system notifies the outcome of the quantity management after receiving the information for the goods clearance or intervention.</w:t>
            </w:r>
          </w:p>
        </w:tc>
      </w:tr>
      <w:tr w:rsidR="00157AAA" w14:paraId="10900981" w14:textId="77777777" w:rsidTr="001136D3">
        <w:tc>
          <w:tcPr>
            <w:tcW w:w="1345" w:type="dxa"/>
          </w:tcPr>
          <w:p w14:paraId="5AF82632" w14:textId="77777777" w:rsidR="00157AAA" w:rsidRDefault="006C1BE5" w:rsidP="001136D3">
            <w:pPr>
              <w:spacing w:after="0"/>
            </w:pPr>
            <w:r>
              <w:rPr>
                <w:szCs w:val="24"/>
              </w:rPr>
              <w:lastRenderedPageBreak/>
              <w:t>End Event</w:t>
            </w:r>
          </w:p>
        </w:tc>
        <w:tc>
          <w:tcPr>
            <w:tcW w:w="2160" w:type="dxa"/>
          </w:tcPr>
          <w:p w14:paraId="7CDE307D" w14:textId="77777777" w:rsidR="00157AAA" w:rsidRDefault="006C1BE5" w:rsidP="001136D3">
            <w:pPr>
              <w:spacing w:after="0"/>
              <w:jc w:val="left"/>
            </w:pPr>
            <w:r>
              <w:t>Goods Clearance or Intervention Processed</w:t>
            </w:r>
          </w:p>
        </w:tc>
        <w:tc>
          <w:tcPr>
            <w:tcW w:w="5125" w:type="dxa"/>
          </w:tcPr>
          <w:p w14:paraId="72F733ED" w14:textId="77777777" w:rsidR="00157AAA" w:rsidRDefault="006C1BE5" w:rsidP="001136D3">
            <w:pPr>
              <w:spacing w:after="0"/>
            </w:pPr>
            <w:r>
              <w:t xml:space="preserve">The end event for the processing </w:t>
            </w:r>
            <w:proofErr w:type="gramStart"/>
            <w:r>
              <w:t>either</w:t>
            </w:r>
            <w:proofErr w:type="gramEnd"/>
            <w:r>
              <w:t xml:space="preserve"> the Goods Clearance or the Intervention. </w:t>
            </w:r>
          </w:p>
        </w:tc>
      </w:tr>
    </w:tbl>
    <w:p w14:paraId="00C95DD4" w14:textId="77777777" w:rsidR="00157AAA" w:rsidRDefault="00157AAA"/>
    <w:p w14:paraId="482137D3" w14:textId="77777777" w:rsidR="00157AAA" w:rsidRPr="008E2AAD" w:rsidRDefault="006C1BE5">
      <w:pPr>
        <w:rPr>
          <w:b/>
        </w:rPr>
      </w:pPr>
      <w:r w:rsidRPr="008E2AAD">
        <w:rPr>
          <w:b/>
        </w:rPr>
        <w:t>Functional Requirements:</w:t>
      </w:r>
    </w:p>
    <w:tbl>
      <w:tblPr>
        <w:tblStyle w:val="TableGrid"/>
        <w:tblW w:w="8635" w:type="dxa"/>
        <w:tblLook w:val="04A0" w:firstRow="1" w:lastRow="0" w:firstColumn="1" w:lastColumn="0" w:noHBand="0" w:noVBand="1"/>
      </w:tblPr>
      <w:tblGrid>
        <w:gridCol w:w="1255"/>
        <w:gridCol w:w="7380"/>
      </w:tblGrid>
      <w:tr w:rsidR="00157AAA" w14:paraId="751B551D" w14:textId="77777777" w:rsidTr="001136D3">
        <w:trPr>
          <w:tblHeader/>
        </w:trPr>
        <w:tc>
          <w:tcPr>
            <w:tcW w:w="1255" w:type="dxa"/>
            <w:shd w:val="clear" w:color="auto" w:fill="D9D9D9" w:themeFill="background1" w:themeFillShade="D9"/>
          </w:tcPr>
          <w:p w14:paraId="3D678121" w14:textId="77777777" w:rsidR="00157AAA" w:rsidRDefault="006C1BE5" w:rsidP="001136D3">
            <w:pPr>
              <w:spacing w:after="0"/>
              <w:rPr>
                <w:b/>
                <w:szCs w:val="24"/>
              </w:rPr>
            </w:pPr>
            <w:r>
              <w:rPr>
                <w:b/>
                <w:szCs w:val="24"/>
              </w:rPr>
              <w:t>ID</w:t>
            </w:r>
          </w:p>
        </w:tc>
        <w:tc>
          <w:tcPr>
            <w:tcW w:w="7380" w:type="dxa"/>
            <w:shd w:val="clear" w:color="auto" w:fill="D9D9D9" w:themeFill="background1" w:themeFillShade="D9"/>
          </w:tcPr>
          <w:p w14:paraId="46D1AE5F" w14:textId="77777777" w:rsidR="00157AAA" w:rsidRDefault="006C1BE5" w:rsidP="001136D3">
            <w:pPr>
              <w:spacing w:after="0"/>
              <w:jc w:val="left"/>
              <w:rPr>
                <w:b/>
                <w:szCs w:val="24"/>
              </w:rPr>
            </w:pPr>
            <w:r>
              <w:rPr>
                <w:b/>
                <w:szCs w:val="24"/>
              </w:rPr>
              <w:t>Description</w:t>
            </w:r>
          </w:p>
        </w:tc>
      </w:tr>
      <w:tr w:rsidR="00157AAA" w14:paraId="1B6D90F4" w14:textId="77777777" w:rsidTr="001136D3">
        <w:tc>
          <w:tcPr>
            <w:tcW w:w="1255" w:type="dxa"/>
          </w:tcPr>
          <w:p w14:paraId="349D3B3D" w14:textId="77777777" w:rsidR="00157AAA" w:rsidRDefault="006C1BE5" w:rsidP="001136D3">
            <w:pPr>
              <w:spacing w:after="0"/>
              <w:rPr>
                <w:b/>
                <w:szCs w:val="24"/>
              </w:rPr>
            </w:pPr>
            <w:r>
              <w:rPr>
                <w:szCs w:val="24"/>
              </w:rPr>
              <w:t>FR106</w:t>
            </w:r>
          </w:p>
        </w:tc>
        <w:tc>
          <w:tcPr>
            <w:tcW w:w="7380" w:type="dxa"/>
          </w:tcPr>
          <w:p w14:paraId="0EF656D3" w14:textId="77777777" w:rsidR="00157AAA" w:rsidRDefault="006C1BE5" w:rsidP="001136D3">
            <w:pPr>
              <w:spacing w:after="0"/>
              <w:rPr>
                <w:b/>
                <w:szCs w:val="24"/>
              </w:rPr>
            </w:pPr>
            <w:r>
              <w:rPr>
                <w:szCs w:val="24"/>
              </w:rPr>
              <w:t>The NSW System shall establish a database of LPCO applications. For each LPCO application form, the list of Tariff codes that can be selected by Applicant will be linked to the form.</w:t>
            </w:r>
          </w:p>
        </w:tc>
      </w:tr>
      <w:tr w:rsidR="00157AAA" w14:paraId="525A9E14" w14:textId="77777777" w:rsidTr="001136D3">
        <w:trPr>
          <w:tblHeader/>
        </w:trPr>
        <w:tc>
          <w:tcPr>
            <w:tcW w:w="1255" w:type="dxa"/>
            <w:shd w:val="clear" w:color="auto" w:fill="auto"/>
          </w:tcPr>
          <w:p w14:paraId="71E55272" w14:textId="77777777" w:rsidR="00157AAA" w:rsidRDefault="006C1BE5" w:rsidP="001136D3">
            <w:pPr>
              <w:spacing w:after="0"/>
              <w:rPr>
                <w:szCs w:val="24"/>
              </w:rPr>
            </w:pPr>
            <w:r>
              <w:rPr>
                <w:szCs w:val="24"/>
              </w:rPr>
              <w:t>FR120</w:t>
            </w:r>
          </w:p>
        </w:tc>
        <w:tc>
          <w:tcPr>
            <w:tcW w:w="7380" w:type="dxa"/>
            <w:shd w:val="clear" w:color="auto" w:fill="auto"/>
          </w:tcPr>
          <w:p w14:paraId="0598CF70" w14:textId="77777777" w:rsidR="00157AAA" w:rsidRDefault="006C1BE5" w:rsidP="001136D3">
            <w:pPr>
              <w:spacing w:after="0"/>
              <w:rPr>
                <w:szCs w:val="24"/>
              </w:rPr>
            </w:pPr>
            <w:r>
              <w:rPr>
                <w:szCs w:val="24"/>
              </w:rPr>
              <w:t>The NSW System shall provide functionality to view an application form with all associated documentation.</w:t>
            </w:r>
          </w:p>
        </w:tc>
      </w:tr>
      <w:tr w:rsidR="00157AAA" w14:paraId="7A381ABC" w14:textId="77777777" w:rsidTr="001136D3">
        <w:trPr>
          <w:tblHeader/>
        </w:trPr>
        <w:tc>
          <w:tcPr>
            <w:tcW w:w="1255" w:type="dxa"/>
            <w:shd w:val="clear" w:color="auto" w:fill="auto"/>
          </w:tcPr>
          <w:p w14:paraId="2E9C9F0D" w14:textId="77777777" w:rsidR="00157AAA" w:rsidRDefault="006C1BE5" w:rsidP="001136D3">
            <w:pPr>
              <w:spacing w:after="0"/>
              <w:rPr>
                <w:szCs w:val="24"/>
              </w:rPr>
            </w:pPr>
            <w:r>
              <w:rPr>
                <w:szCs w:val="24"/>
              </w:rPr>
              <w:t>FR155</w:t>
            </w:r>
          </w:p>
        </w:tc>
        <w:tc>
          <w:tcPr>
            <w:tcW w:w="7380" w:type="dxa"/>
            <w:shd w:val="clear" w:color="auto" w:fill="auto"/>
          </w:tcPr>
          <w:p w14:paraId="498E7C01" w14:textId="07C6C58B" w:rsidR="00157AAA" w:rsidRDefault="006C1BE5" w:rsidP="001136D3">
            <w:pPr>
              <w:spacing w:after="0"/>
              <w:rPr>
                <w:szCs w:val="24"/>
              </w:rPr>
            </w:pPr>
            <w:r>
              <w:rPr>
                <w:szCs w:val="24"/>
              </w:rPr>
              <w:t xml:space="preserve">The trader shall be able to upload LPCOs issued abroad into the NSW. </w:t>
            </w:r>
          </w:p>
        </w:tc>
      </w:tr>
      <w:tr w:rsidR="00157AAA" w14:paraId="27CD1CAE" w14:textId="77777777" w:rsidTr="001136D3">
        <w:trPr>
          <w:tblHeader/>
        </w:trPr>
        <w:tc>
          <w:tcPr>
            <w:tcW w:w="1255" w:type="dxa"/>
            <w:shd w:val="clear" w:color="auto" w:fill="auto"/>
          </w:tcPr>
          <w:p w14:paraId="7DE8F0D5" w14:textId="77777777" w:rsidR="00157AAA" w:rsidRDefault="006C1BE5" w:rsidP="001136D3">
            <w:pPr>
              <w:spacing w:after="0"/>
              <w:rPr>
                <w:szCs w:val="24"/>
              </w:rPr>
            </w:pPr>
            <w:r>
              <w:rPr>
                <w:szCs w:val="24"/>
              </w:rPr>
              <w:t>FR158</w:t>
            </w:r>
          </w:p>
        </w:tc>
        <w:tc>
          <w:tcPr>
            <w:tcW w:w="7380" w:type="dxa"/>
            <w:shd w:val="clear" w:color="auto" w:fill="auto"/>
          </w:tcPr>
          <w:p w14:paraId="6C6C2911" w14:textId="77777777" w:rsidR="00157AAA" w:rsidRDefault="006C1BE5" w:rsidP="001136D3">
            <w:pPr>
              <w:spacing w:after="0"/>
            </w:pPr>
            <w:r>
              <w:t>The CBRA administrator shall be able to record the following SLAs:</w:t>
            </w:r>
          </w:p>
          <w:p w14:paraId="0C705D9A" w14:textId="77777777" w:rsidR="00157AAA" w:rsidRDefault="006C1BE5" w:rsidP="00D530D5">
            <w:pPr>
              <w:pStyle w:val="ListParagraph"/>
              <w:numPr>
                <w:ilvl w:val="0"/>
                <w:numId w:val="109"/>
              </w:numPr>
              <w:spacing w:after="0"/>
            </w:pPr>
            <w:r>
              <w:t xml:space="preserve">Duration to process will be measured as from time when complete application has been submitted until CBRA has issued rejection or approval for </w:t>
            </w:r>
            <w:proofErr w:type="gramStart"/>
            <w:r>
              <w:t>application;</w:t>
            </w:r>
            <w:proofErr w:type="gramEnd"/>
          </w:p>
          <w:p w14:paraId="4DC38A20" w14:textId="77777777" w:rsidR="00157AAA" w:rsidRDefault="006C1BE5" w:rsidP="00D530D5">
            <w:pPr>
              <w:pStyle w:val="ListParagraph"/>
              <w:numPr>
                <w:ilvl w:val="0"/>
                <w:numId w:val="109"/>
              </w:numPr>
              <w:spacing w:after="0"/>
            </w:pPr>
            <w:r>
              <w:t xml:space="preserve">No. of hours or days to complete processing of </w:t>
            </w:r>
            <w:proofErr w:type="gramStart"/>
            <w:r>
              <w:t>inspection;</w:t>
            </w:r>
            <w:proofErr w:type="gramEnd"/>
          </w:p>
          <w:p w14:paraId="6196DBC5" w14:textId="77777777" w:rsidR="00157AAA" w:rsidRDefault="006C1BE5" w:rsidP="00D530D5">
            <w:pPr>
              <w:pStyle w:val="ListParagraph"/>
              <w:numPr>
                <w:ilvl w:val="0"/>
                <w:numId w:val="109"/>
              </w:numPr>
              <w:spacing w:after="0"/>
            </w:pPr>
            <w:r>
              <w:t>Time to complete will be measured as from time when Customs submits request to CBRA for cargo inspection and time when inspection results are entered on NSW; and</w:t>
            </w:r>
          </w:p>
          <w:p w14:paraId="7379EEDA" w14:textId="77777777" w:rsidR="00157AAA" w:rsidRDefault="006C1BE5" w:rsidP="00D530D5">
            <w:pPr>
              <w:pStyle w:val="ListParagraph"/>
              <w:numPr>
                <w:ilvl w:val="0"/>
                <w:numId w:val="109"/>
              </w:numPr>
              <w:spacing w:after="0"/>
            </w:pPr>
            <w:r>
              <w:t>SLAs shall be entered for each LPCO for which CBRA is responsible.</w:t>
            </w:r>
          </w:p>
        </w:tc>
      </w:tr>
      <w:tr w:rsidR="00157AAA" w14:paraId="480B88B8" w14:textId="77777777" w:rsidTr="001136D3">
        <w:trPr>
          <w:tblHeader/>
        </w:trPr>
        <w:tc>
          <w:tcPr>
            <w:tcW w:w="1255" w:type="dxa"/>
            <w:shd w:val="clear" w:color="auto" w:fill="auto"/>
          </w:tcPr>
          <w:p w14:paraId="7ADF22BF" w14:textId="77777777" w:rsidR="00157AAA" w:rsidRDefault="006C1BE5" w:rsidP="001136D3">
            <w:pPr>
              <w:spacing w:after="0"/>
              <w:rPr>
                <w:szCs w:val="24"/>
              </w:rPr>
            </w:pPr>
            <w:r>
              <w:rPr>
                <w:szCs w:val="24"/>
              </w:rPr>
              <w:t>FR169</w:t>
            </w:r>
          </w:p>
        </w:tc>
        <w:tc>
          <w:tcPr>
            <w:tcW w:w="7380" w:type="dxa"/>
            <w:shd w:val="clear" w:color="auto" w:fill="auto"/>
          </w:tcPr>
          <w:p w14:paraId="5D44E428" w14:textId="6F951872" w:rsidR="00157AAA" w:rsidRDefault="006C1BE5" w:rsidP="001136D3">
            <w:pPr>
              <w:spacing w:after="0"/>
              <w:jc w:val="left"/>
              <w:rPr>
                <w:szCs w:val="24"/>
              </w:rPr>
            </w:pPr>
            <w:r>
              <w:rPr>
                <w:szCs w:val="24"/>
              </w:rPr>
              <w:t>Provide the user with information from the goods nomenclature so classification of the goods to import/export can be done correctly. This functionality shall be accessible through a web-based interface where the user can browse the goods nomenclature tree.</w:t>
            </w:r>
            <w:r>
              <w:rPr>
                <w:szCs w:val="24"/>
              </w:rPr>
              <w:br/>
              <w:t>The output of this operation shall be a result page containing a tree structure of nomenclature data that reflects the relationship between codes in the goods nomenclature.</w:t>
            </w:r>
          </w:p>
          <w:p w14:paraId="36F1CC97" w14:textId="45D7BB09" w:rsidR="00157AAA" w:rsidRDefault="006C1BE5" w:rsidP="001136D3">
            <w:pPr>
              <w:spacing w:after="0"/>
              <w:jc w:val="left"/>
              <w:rPr>
                <w:szCs w:val="24"/>
              </w:rPr>
            </w:pPr>
            <w:r>
              <w:rPr>
                <w:szCs w:val="24"/>
              </w:rPr>
              <w:t>Following data shall be presented on all levels in the tree structure:</w:t>
            </w:r>
          </w:p>
          <w:p w14:paraId="75429292" w14:textId="77777777" w:rsidR="00157AAA" w:rsidRDefault="006C1BE5" w:rsidP="00D530D5">
            <w:pPr>
              <w:pStyle w:val="ListParagraph"/>
              <w:numPr>
                <w:ilvl w:val="0"/>
                <w:numId w:val="111"/>
              </w:numPr>
              <w:spacing w:after="0"/>
              <w:jc w:val="left"/>
              <w:rPr>
                <w:szCs w:val="24"/>
              </w:rPr>
            </w:pPr>
            <w:r>
              <w:rPr>
                <w:szCs w:val="24"/>
              </w:rPr>
              <w:t>Goods nomenclature code; and</w:t>
            </w:r>
          </w:p>
          <w:p w14:paraId="15FDE374" w14:textId="77777777" w:rsidR="00157AAA" w:rsidRDefault="006C1BE5" w:rsidP="00D530D5">
            <w:pPr>
              <w:pStyle w:val="ListParagraph"/>
              <w:numPr>
                <w:ilvl w:val="0"/>
                <w:numId w:val="111"/>
              </w:numPr>
              <w:spacing w:after="0"/>
              <w:jc w:val="left"/>
              <w:rPr>
                <w:szCs w:val="24"/>
              </w:rPr>
            </w:pPr>
            <w:r>
              <w:rPr>
                <w:szCs w:val="24"/>
              </w:rPr>
              <w:t>Goods nomenclature code description.</w:t>
            </w:r>
          </w:p>
        </w:tc>
      </w:tr>
      <w:tr w:rsidR="00157AAA" w14:paraId="716CCE5F" w14:textId="77777777" w:rsidTr="001136D3">
        <w:trPr>
          <w:tblHeader/>
        </w:trPr>
        <w:tc>
          <w:tcPr>
            <w:tcW w:w="1255" w:type="dxa"/>
            <w:shd w:val="clear" w:color="auto" w:fill="auto"/>
          </w:tcPr>
          <w:p w14:paraId="7D88E1CB" w14:textId="77777777" w:rsidR="00157AAA" w:rsidRDefault="006C1BE5" w:rsidP="001136D3">
            <w:pPr>
              <w:spacing w:after="0"/>
              <w:rPr>
                <w:szCs w:val="24"/>
              </w:rPr>
            </w:pPr>
            <w:r>
              <w:rPr>
                <w:szCs w:val="24"/>
              </w:rPr>
              <w:t>FR170</w:t>
            </w:r>
          </w:p>
        </w:tc>
        <w:tc>
          <w:tcPr>
            <w:tcW w:w="7380" w:type="dxa"/>
            <w:shd w:val="clear" w:color="auto" w:fill="auto"/>
          </w:tcPr>
          <w:p w14:paraId="074B189E" w14:textId="77777777" w:rsidR="00157AAA" w:rsidRDefault="006C1BE5" w:rsidP="001136D3">
            <w:pPr>
              <w:spacing w:after="0"/>
              <w:rPr>
                <w:szCs w:val="24"/>
              </w:rPr>
            </w:pPr>
            <w:r>
              <w:rPr>
                <w:szCs w:val="24"/>
              </w:rPr>
              <w:t>The NSW must provide the user with classification notes so the classification of goods to import / export will be correct. This functionality shall be accessible through a web-based interface where the user can execute queries in the system. This means that not only the nomenclature but also the section, head notes and the Commentary Notes should be available in NSW.</w:t>
            </w:r>
          </w:p>
          <w:p w14:paraId="66FC2037" w14:textId="77777777" w:rsidR="00157AAA" w:rsidRDefault="006C1BE5" w:rsidP="001136D3">
            <w:pPr>
              <w:spacing w:after="0"/>
              <w:rPr>
                <w:szCs w:val="24"/>
              </w:rPr>
            </w:pPr>
            <w:r>
              <w:rPr>
                <w:szCs w:val="24"/>
              </w:rPr>
              <w:t>The output shall be text with instruction how to classify the goods on different level of granularity.</w:t>
            </w:r>
          </w:p>
        </w:tc>
      </w:tr>
      <w:tr w:rsidR="00157AAA" w14:paraId="2E38B1D1" w14:textId="77777777" w:rsidTr="001136D3">
        <w:trPr>
          <w:tblHeader/>
        </w:trPr>
        <w:tc>
          <w:tcPr>
            <w:tcW w:w="1255" w:type="dxa"/>
            <w:shd w:val="clear" w:color="auto" w:fill="auto"/>
          </w:tcPr>
          <w:p w14:paraId="7635FE08" w14:textId="77777777" w:rsidR="00157AAA" w:rsidRDefault="006C1BE5" w:rsidP="001136D3">
            <w:pPr>
              <w:spacing w:after="0"/>
              <w:rPr>
                <w:szCs w:val="24"/>
              </w:rPr>
            </w:pPr>
            <w:r>
              <w:rPr>
                <w:szCs w:val="24"/>
              </w:rPr>
              <w:t>FR173</w:t>
            </w:r>
          </w:p>
        </w:tc>
        <w:tc>
          <w:tcPr>
            <w:tcW w:w="7380" w:type="dxa"/>
            <w:shd w:val="clear" w:color="auto" w:fill="auto"/>
          </w:tcPr>
          <w:p w14:paraId="105F6BED" w14:textId="002F1839" w:rsidR="00157AAA" w:rsidRDefault="006C1BE5" w:rsidP="001136D3">
            <w:pPr>
              <w:spacing w:after="0"/>
              <w:jc w:val="left"/>
            </w:pPr>
            <w:r>
              <w:t>Provide the user with the possibility to validate a customs declaration sub item so that all required documents, measurement units etc. are known before submitting a declaration.</w:t>
            </w:r>
            <w:r>
              <w:br/>
              <w:t>The output shall be a result page containing following information:</w:t>
            </w:r>
          </w:p>
          <w:p w14:paraId="37BC0FAE" w14:textId="77777777" w:rsidR="00157AAA" w:rsidRDefault="006C1BE5" w:rsidP="00D530D5">
            <w:pPr>
              <w:pStyle w:val="ListParagraph"/>
              <w:numPr>
                <w:ilvl w:val="0"/>
                <w:numId w:val="112"/>
              </w:numPr>
              <w:spacing w:after="0"/>
              <w:jc w:val="left"/>
            </w:pPr>
            <w:r>
              <w:lastRenderedPageBreak/>
              <w:t xml:space="preserve">Fault codes indication usage of non-valid </w:t>
            </w:r>
            <w:proofErr w:type="gramStart"/>
            <w:r>
              <w:t>data;</w:t>
            </w:r>
            <w:proofErr w:type="gramEnd"/>
          </w:p>
          <w:p w14:paraId="44B262F9" w14:textId="77777777" w:rsidR="00157AAA" w:rsidRDefault="006C1BE5" w:rsidP="00D530D5">
            <w:pPr>
              <w:pStyle w:val="ListParagraph"/>
              <w:numPr>
                <w:ilvl w:val="0"/>
                <w:numId w:val="112"/>
              </w:numPr>
              <w:spacing w:after="0"/>
              <w:jc w:val="left"/>
            </w:pPr>
            <w:r>
              <w:t>List of missing document codes; and</w:t>
            </w:r>
          </w:p>
          <w:p w14:paraId="0A8BBF5B" w14:textId="77777777" w:rsidR="00157AAA" w:rsidRDefault="006C1BE5" w:rsidP="00D530D5">
            <w:pPr>
              <w:pStyle w:val="ListParagraph"/>
              <w:numPr>
                <w:ilvl w:val="0"/>
                <w:numId w:val="112"/>
              </w:numPr>
              <w:spacing w:after="0"/>
              <w:jc w:val="left"/>
            </w:pPr>
            <w:r>
              <w:t>List of missing measurement units.</w:t>
            </w:r>
          </w:p>
        </w:tc>
      </w:tr>
      <w:tr w:rsidR="00157AAA" w14:paraId="212DFF9B" w14:textId="77777777" w:rsidTr="001136D3">
        <w:trPr>
          <w:tblHeader/>
        </w:trPr>
        <w:tc>
          <w:tcPr>
            <w:tcW w:w="1255" w:type="dxa"/>
            <w:shd w:val="clear" w:color="auto" w:fill="auto"/>
          </w:tcPr>
          <w:p w14:paraId="280A1991" w14:textId="77777777" w:rsidR="00157AAA" w:rsidRDefault="006C1BE5" w:rsidP="001136D3">
            <w:pPr>
              <w:spacing w:after="0"/>
              <w:rPr>
                <w:szCs w:val="24"/>
              </w:rPr>
            </w:pPr>
            <w:r>
              <w:rPr>
                <w:szCs w:val="24"/>
              </w:rPr>
              <w:lastRenderedPageBreak/>
              <w:t>FR177</w:t>
            </w:r>
          </w:p>
        </w:tc>
        <w:tc>
          <w:tcPr>
            <w:tcW w:w="7380" w:type="dxa"/>
            <w:shd w:val="clear" w:color="auto" w:fill="auto"/>
          </w:tcPr>
          <w:p w14:paraId="26839669" w14:textId="77777777" w:rsidR="00157AAA" w:rsidRPr="00C13577" w:rsidRDefault="006C1BE5" w:rsidP="001136D3">
            <w:pPr>
              <w:spacing w:after="0"/>
              <w:rPr>
                <w:szCs w:val="24"/>
              </w:rPr>
            </w:pPr>
            <w:r w:rsidRPr="00C13577">
              <w:rPr>
                <w:szCs w:val="24"/>
              </w:rPr>
              <w:t xml:space="preserve">For every consignment of import/export, a unique consignment reference (UCR) number shall be generated by the NSW system compliant with ISO 15459 specifications or accept compliant UCRs supplied by the trader. Once submitted, an </w:t>
            </w:r>
            <w:proofErr w:type="gramStart"/>
            <w:r w:rsidRPr="00C13577">
              <w:rPr>
                <w:szCs w:val="24"/>
              </w:rPr>
              <w:t>auto-generated</w:t>
            </w:r>
            <w:proofErr w:type="gramEnd"/>
            <w:r w:rsidRPr="00C13577">
              <w:rPr>
                <w:szCs w:val="24"/>
              </w:rPr>
              <w:t xml:space="preserve"> UCR shall be created which shall then be used for tracking the status of the consignment till its release. The system will have provision to create the UCR at a very early stage of the international trade.</w:t>
            </w:r>
          </w:p>
        </w:tc>
      </w:tr>
      <w:tr w:rsidR="00157AAA" w14:paraId="43FCBEF4" w14:textId="77777777" w:rsidTr="001136D3">
        <w:trPr>
          <w:tblHeader/>
        </w:trPr>
        <w:tc>
          <w:tcPr>
            <w:tcW w:w="1255" w:type="dxa"/>
            <w:shd w:val="clear" w:color="auto" w:fill="auto"/>
          </w:tcPr>
          <w:p w14:paraId="53DCA19F" w14:textId="77777777" w:rsidR="00157AAA" w:rsidRDefault="006C1BE5" w:rsidP="001136D3">
            <w:pPr>
              <w:spacing w:after="0"/>
              <w:rPr>
                <w:szCs w:val="24"/>
              </w:rPr>
            </w:pPr>
            <w:r>
              <w:rPr>
                <w:szCs w:val="24"/>
              </w:rPr>
              <w:t>FR153</w:t>
            </w:r>
          </w:p>
        </w:tc>
        <w:tc>
          <w:tcPr>
            <w:tcW w:w="7380" w:type="dxa"/>
            <w:shd w:val="clear" w:color="auto" w:fill="auto"/>
          </w:tcPr>
          <w:p w14:paraId="52312F9F" w14:textId="77777777" w:rsidR="00157AAA" w:rsidRDefault="006C1BE5" w:rsidP="001136D3">
            <w:pPr>
              <w:spacing w:after="0"/>
              <w:rPr>
                <w:szCs w:val="24"/>
              </w:rPr>
            </w:pPr>
            <w:r>
              <w:rPr>
                <w:szCs w:val="24"/>
              </w:rPr>
              <w:t xml:space="preserve">For those LPCO </w:t>
            </w:r>
            <w:r w:rsidRPr="00C13577">
              <w:rPr>
                <w:szCs w:val="24"/>
              </w:rPr>
              <w:t>that will only be issued by paper,</w:t>
            </w:r>
            <w:r>
              <w:rPr>
                <w:szCs w:val="24"/>
              </w:rPr>
              <w:t xml:space="preserve"> a notification shall be issued to the Applicant upon successful application and payment. The LPCO shall be obtained at the counter of the CBRA. A QR code shall also be included in LPCO issued on paper. The requirement of the QR code is the same as that included in LPCO issued electronically.</w:t>
            </w:r>
          </w:p>
        </w:tc>
      </w:tr>
      <w:tr w:rsidR="00157AAA" w14:paraId="5D278346" w14:textId="77777777" w:rsidTr="001136D3">
        <w:tc>
          <w:tcPr>
            <w:tcW w:w="1255" w:type="dxa"/>
            <w:shd w:val="clear" w:color="auto" w:fill="auto"/>
          </w:tcPr>
          <w:p w14:paraId="3D29B1D0" w14:textId="77777777" w:rsidR="00157AAA" w:rsidRDefault="006C1BE5" w:rsidP="001136D3">
            <w:pPr>
              <w:spacing w:after="0"/>
              <w:rPr>
                <w:szCs w:val="24"/>
              </w:rPr>
            </w:pPr>
            <w:r>
              <w:rPr>
                <w:szCs w:val="24"/>
              </w:rPr>
              <w:t>FR442</w:t>
            </w:r>
          </w:p>
        </w:tc>
        <w:tc>
          <w:tcPr>
            <w:tcW w:w="7380" w:type="dxa"/>
            <w:shd w:val="clear" w:color="auto" w:fill="auto"/>
          </w:tcPr>
          <w:p w14:paraId="03974465" w14:textId="77777777" w:rsidR="00157AAA" w:rsidRDefault="006C1BE5" w:rsidP="001136D3">
            <w:pPr>
              <w:spacing w:after="0"/>
              <w:rPr>
                <w:szCs w:val="24"/>
              </w:rPr>
            </w:pPr>
            <w:r>
              <w:rPr>
                <w:szCs w:val="24"/>
              </w:rPr>
              <w:t>The system must be able to perform technical validation on the message received for goods clearance from customs systems.</w:t>
            </w:r>
          </w:p>
        </w:tc>
      </w:tr>
      <w:tr w:rsidR="00157AAA" w14:paraId="41E8B3C9" w14:textId="77777777" w:rsidTr="001136D3">
        <w:tc>
          <w:tcPr>
            <w:tcW w:w="1255" w:type="dxa"/>
            <w:shd w:val="clear" w:color="auto" w:fill="auto"/>
          </w:tcPr>
          <w:p w14:paraId="4FE3F131" w14:textId="77777777" w:rsidR="00157AAA" w:rsidRDefault="006C1BE5" w:rsidP="001136D3">
            <w:pPr>
              <w:spacing w:after="0"/>
              <w:rPr>
                <w:szCs w:val="24"/>
              </w:rPr>
            </w:pPr>
            <w:r>
              <w:rPr>
                <w:szCs w:val="24"/>
              </w:rPr>
              <w:t>FR443</w:t>
            </w:r>
          </w:p>
        </w:tc>
        <w:tc>
          <w:tcPr>
            <w:tcW w:w="7380" w:type="dxa"/>
            <w:shd w:val="clear" w:color="auto" w:fill="auto"/>
          </w:tcPr>
          <w:p w14:paraId="76A8B9B1" w14:textId="77777777" w:rsidR="00157AAA" w:rsidRDefault="006C1BE5" w:rsidP="001136D3">
            <w:pPr>
              <w:spacing w:after="0"/>
              <w:rPr>
                <w:szCs w:val="24"/>
              </w:rPr>
            </w:pPr>
            <w:r>
              <w:rPr>
                <w:szCs w:val="24"/>
              </w:rPr>
              <w:t>The system must be able to perform technical validation on the message received for intervention from customs systems.</w:t>
            </w:r>
          </w:p>
        </w:tc>
      </w:tr>
      <w:tr w:rsidR="00157AAA" w14:paraId="35D4683C" w14:textId="77777777" w:rsidTr="001136D3">
        <w:tc>
          <w:tcPr>
            <w:tcW w:w="1255" w:type="dxa"/>
            <w:shd w:val="clear" w:color="auto" w:fill="auto"/>
          </w:tcPr>
          <w:p w14:paraId="174602DC" w14:textId="77777777" w:rsidR="00157AAA" w:rsidRDefault="006C1BE5" w:rsidP="001136D3">
            <w:pPr>
              <w:spacing w:after="0"/>
              <w:rPr>
                <w:szCs w:val="24"/>
              </w:rPr>
            </w:pPr>
            <w:r>
              <w:rPr>
                <w:szCs w:val="24"/>
              </w:rPr>
              <w:t>FR444</w:t>
            </w:r>
          </w:p>
        </w:tc>
        <w:tc>
          <w:tcPr>
            <w:tcW w:w="7380" w:type="dxa"/>
            <w:shd w:val="clear" w:color="auto" w:fill="auto"/>
          </w:tcPr>
          <w:p w14:paraId="73E8676B" w14:textId="77777777" w:rsidR="00157AAA" w:rsidRDefault="006C1BE5" w:rsidP="001136D3">
            <w:pPr>
              <w:spacing w:after="0"/>
              <w:rPr>
                <w:szCs w:val="24"/>
              </w:rPr>
            </w:pPr>
            <w:r>
              <w:rPr>
                <w:szCs w:val="24"/>
              </w:rPr>
              <w:t>The system must be able to notify customs system for technically not valid message.</w:t>
            </w:r>
          </w:p>
        </w:tc>
      </w:tr>
      <w:tr w:rsidR="00157AAA" w14:paraId="52D841D3" w14:textId="77777777" w:rsidTr="001136D3">
        <w:tc>
          <w:tcPr>
            <w:tcW w:w="1255" w:type="dxa"/>
            <w:shd w:val="clear" w:color="auto" w:fill="auto"/>
          </w:tcPr>
          <w:p w14:paraId="30AFA315" w14:textId="667A22A7" w:rsidR="00157AAA" w:rsidRPr="0026442C" w:rsidRDefault="006C1BE5" w:rsidP="0026442C">
            <w:pPr>
              <w:spacing w:after="0"/>
              <w:rPr>
                <w:szCs w:val="24"/>
              </w:rPr>
            </w:pPr>
            <w:r w:rsidRPr="0026442C">
              <w:rPr>
                <w:szCs w:val="24"/>
              </w:rPr>
              <w:t>FR</w:t>
            </w:r>
            <w:r w:rsidR="00AF3431" w:rsidRPr="0026442C">
              <w:rPr>
                <w:szCs w:val="24"/>
              </w:rPr>
              <w:t>433</w:t>
            </w:r>
          </w:p>
        </w:tc>
        <w:tc>
          <w:tcPr>
            <w:tcW w:w="7380" w:type="dxa"/>
            <w:shd w:val="clear" w:color="auto" w:fill="auto"/>
          </w:tcPr>
          <w:p w14:paraId="5D103BF0" w14:textId="77777777" w:rsidR="00157AAA" w:rsidRDefault="006C1BE5" w:rsidP="001136D3">
            <w:pPr>
              <w:spacing w:after="0"/>
              <w:rPr>
                <w:szCs w:val="24"/>
              </w:rPr>
            </w:pPr>
            <w:r>
              <w:rPr>
                <w:szCs w:val="24"/>
              </w:rPr>
              <w:t>The system must be able to retrieve information of LPCO.</w:t>
            </w:r>
          </w:p>
        </w:tc>
      </w:tr>
      <w:tr w:rsidR="00157AAA" w14:paraId="4F58789A" w14:textId="77777777" w:rsidTr="001136D3">
        <w:tc>
          <w:tcPr>
            <w:tcW w:w="1255" w:type="dxa"/>
            <w:shd w:val="clear" w:color="auto" w:fill="auto"/>
          </w:tcPr>
          <w:p w14:paraId="4D621B1C" w14:textId="5D8C34E4" w:rsidR="00157AAA" w:rsidRPr="0026442C" w:rsidRDefault="006C1BE5" w:rsidP="0026442C">
            <w:pPr>
              <w:spacing w:after="0"/>
              <w:rPr>
                <w:szCs w:val="24"/>
              </w:rPr>
            </w:pPr>
            <w:r w:rsidRPr="0026442C">
              <w:rPr>
                <w:szCs w:val="24"/>
              </w:rPr>
              <w:t>FR</w:t>
            </w:r>
            <w:r w:rsidR="009201E0" w:rsidRPr="0026442C">
              <w:rPr>
                <w:szCs w:val="24"/>
              </w:rPr>
              <w:t>434</w:t>
            </w:r>
          </w:p>
        </w:tc>
        <w:tc>
          <w:tcPr>
            <w:tcW w:w="7380" w:type="dxa"/>
            <w:shd w:val="clear" w:color="auto" w:fill="auto"/>
          </w:tcPr>
          <w:p w14:paraId="47B6EABF" w14:textId="77777777" w:rsidR="00157AAA" w:rsidRDefault="006C1BE5" w:rsidP="001136D3">
            <w:pPr>
              <w:spacing w:after="0"/>
              <w:rPr>
                <w:szCs w:val="24"/>
              </w:rPr>
            </w:pPr>
            <w:r>
              <w:rPr>
                <w:szCs w:val="24"/>
              </w:rPr>
              <w:t>The system must be able to identify the availability of the LPCO.</w:t>
            </w:r>
          </w:p>
        </w:tc>
      </w:tr>
      <w:tr w:rsidR="00157AAA" w14:paraId="588BFCA3" w14:textId="77777777" w:rsidTr="001136D3">
        <w:tc>
          <w:tcPr>
            <w:tcW w:w="1255" w:type="dxa"/>
            <w:shd w:val="clear" w:color="auto" w:fill="auto"/>
          </w:tcPr>
          <w:p w14:paraId="10179646" w14:textId="6190E928" w:rsidR="00157AAA" w:rsidRPr="0026442C" w:rsidRDefault="006C1BE5" w:rsidP="0026442C">
            <w:pPr>
              <w:spacing w:after="0"/>
              <w:rPr>
                <w:szCs w:val="24"/>
              </w:rPr>
            </w:pPr>
            <w:r w:rsidRPr="0026442C">
              <w:rPr>
                <w:szCs w:val="24"/>
              </w:rPr>
              <w:t>FR</w:t>
            </w:r>
            <w:r w:rsidR="00947B25" w:rsidRPr="0026442C">
              <w:rPr>
                <w:szCs w:val="24"/>
              </w:rPr>
              <w:t>435</w:t>
            </w:r>
          </w:p>
        </w:tc>
        <w:tc>
          <w:tcPr>
            <w:tcW w:w="7380" w:type="dxa"/>
            <w:shd w:val="clear" w:color="auto" w:fill="auto"/>
          </w:tcPr>
          <w:p w14:paraId="73ECA53D" w14:textId="77777777" w:rsidR="00157AAA" w:rsidRDefault="006C1BE5" w:rsidP="001136D3">
            <w:pPr>
              <w:spacing w:after="0"/>
              <w:rPr>
                <w:szCs w:val="24"/>
              </w:rPr>
            </w:pPr>
            <w:r>
              <w:rPr>
                <w:szCs w:val="24"/>
              </w:rPr>
              <w:t>The system must be able to identify the status for a given LPCO.</w:t>
            </w:r>
          </w:p>
        </w:tc>
      </w:tr>
      <w:tr w:rsidR="00157AAA" w14:paraId="77D43E43" w14:textId="77777777" w:rsidTr="001136D3">
        <w:tc>
          <w:tcPr>
            <w:tcW w:w="1255" w:type="dxa"/>
            <w:shd w:val="clear" w:color="auto" w:fill="auto"/>
          </w:tcPr>
          <w:p w14:paraId="0D67CD36" w14:textId="77777777" w:rsidR="00157AAA" w:rsidRDefault="006C1BE5" w:rsidP="001136D3">
            <w:pPr>
              <w:spacing w:after="0"/>
              <w:rPr>
                <w:szCs w:val="24"/>
              </w:rPr>
            </w:pPr>
            <w:r>
              <w:rPr>
                <w:szCs w:val="24"/>
              </w:rPr>
              <w:t>FR449</w:t>
            </w:r>
          </w:p>
        </w:tc>
        <w:tc>
          <w:tcPr>
            <w:tcW w:w="7380" w:type="dxa"/>
            <w:shd w:val="clear" w:color="auto" w:fill="auto"/>
          </w:tcPr>
          <w:p w14:paraId="62385BD8" w14:textId="77777777" w:rsidR="00157AAA" w:rsidRDefault="006C1BE5" w:rsidP="001136D3">
            <w:pPr>
              <w:spacing w:after="0"/>
              <w:rPr>
                <w:szCs w:val="24"/>
              </w:rPr>
            </w:pPr>
            <w:r>
              <w:rPr>
                <w:szCs w:val="24"/>
              </w:rPr>
              <w:t xml:space="preserve">The system must be able to process intervention: </w:t>
            </w:r>
          </w:p>
          <w:p w14:paraId="27285565" w14:textId="77777777" w:rsidR="00157AAA" w:rsidRDefault="006C1BE5" w:rsidP="001136D3">
            <w:pPr>
              <w:spacing w:after="0"/>
              <w:ind w:left="340"/>
              <w:rPr>
                <w:rFonts w:eastAsiaTheme="majorEastAsia"/>
                <w:szCs w:val="24"/>
              </w:rPr>
            </w:pPr>
            <w:r>
              <w:rPr>
                <w:rFonts w:eastAsiaTheme="majorEastAsia"/>
                <w:szCs w:val="24"/>
              </w:rPr>
              <w:t xml:space="preserve">01-Force write-off (if the goods have been released without previous reservation (positive outcome)), </w:t>
            </w:r>
          </w:p>
          <w:p w14:paraId="5160DB0F" w14:textId="77777777" w:rsidR="00157AAA" w:rsidRDefault="006C1BE5" w:rsidP="001136D3">
            <w:pPr>
              <w:spacing w:after="0"/>
              <w:ind w:left="340"/>
              <w:rPr>
                <w:rFonts w:eastAsiaTheme="majorEastAsia"/>
                <w:szCs w:val="24"/>
              </w:rPr>
            </w:pPr>
            <w:r>
              <w:rPr>
                <w:rFonts w:eastAsiaTheme="majorEastAsia"/>
                <w:szCs w:val="24"/>
              </w:rPr>
              <w:t xml:space="preserve">02 – Amend write-off (if the data in the declaration have been amended after the release of the goods) </w:t>
            </w:r>
          </w:p>
          <w:p w14:paraId="0BC0A059" w14:textId="77777777" w:rsidR="00157AAA" w:rsidRDefault="006C1BE5" w:rsidP="001136D3">
            <w:pPr>
              <w:spacing w:after="0"/>
              <w:ind w:left="340"/>
              <w:rPr>
                <w:rFonts w:eastAsiaTheme="majorEastAsia"/>
                <w:szCs w:val="24"/>
              </w:rPr>
            </w:pPr>
            <w:r>
              <w:rPr>
                <w:rFonts w:eastAsiaTheme="majorEastAsia"/>
                <w:szCs w:val="24"/>
              </w:rPr>
              <w:t>03 – Delete write-off (if the declaration was invalidated after the release of the goods).</w:t>
            </w:r>
          </w:p>
        </w:tc>
      </w:tr>
      <w:tr w:rsidR="00157AAA" w14:paraId="1BFD2BDF" w14:textId="77777777" w:rsidTr="001136D3">
        <w:tc>
          <w:tcPr>
            <w:tcW w:w="1255" w:type="dxa"/>
            <w:shd w:val="clear" w:color="auto" w:fill="auto"/>
          </w:tcPr>
          <w:p w14:paraId="24657891" w14:textId="77777777" w:rsidR="00157AAA" w:rsidRDefault="006C1BE5" w:rsidP="001136D3">
            <w:pPr>
              <w:spacing w:after="0"/>
              <w:rPr>
                <w:szCs w:val="24"/>
              </w:rPr>
            </w:pPr>
            <w:r>
              <w:rPr>
                <w:szCs w:val="24"/>
              </w:rPr>
              <w:t>FR450</w:t>
            </w:r>
          </w:p>
        </w:tc>
        <w:tc>
          <w:tcPr>
            <w:tcW w:w="7380" w:type="dxa"/>
            <w:shd w:val="clear" w:color="auto" w:fill="auto"/>
          </w:tcPr>
          <w:p w14:paraId="63CF1FA0" w14:textId="77777777" w:rsidR="00157AAA" w:rsidRDefault="006C1BE5" w:rsidP="001136D3">
            <w:pPr>
              <w:spacing w:after="0"/>
              <w:rPr>
                <w:szCs w:val="24"/>
              </w:rPr>
            </w:pPr>
            <w:r>
              <w:rPr>
                <w:szCs w:val="24"/>
              </w:rPr>
              <w:t>The system must be able to cancel quantity reservation for LPCO.</w:t>
            </w:r>
          </w:p>
        </w:tc>
      </w:tr>
      <w:tr w:rsidR="00157AAA" w14:paraId="35D00EFF" w14:textId="77777777" w:rsidTr="001136D3">
        <w:tc>
          <w:tcPr>
            <w:tcW w:w="1255" w:type="dxa"/>
            <w:shd w:val="clear" w:color="auto" w:fill="auto"/>
          </w:tcPr>
          <w:p w14:paraId="5A88CF52" w14:textId="77777777" w:rsidR="00157AAA" w:rsidRDefault="006C1BE5" w:rsidP="001136D3">
            <w:pPr>
              <w:spacing w:after="0"/>
              <w:rPr>
                <w:szCs w:val="24"/>
              </w:rPr>
            </w:pPr>
            <w:r>
              <w:rPr>
                <w:szCs w:val="24"/>
              </w:rPr>
              <w:t>FR451</w:t>
            </w:r>
          </w:p>
        </w:tc>
        <w:tc>
          <w:tcPr>
            <w:tcW w:w="7380" w:type="dxa"/>
            <w:shd w:val="clear" w:color="auto" w:fill="auto"/>
          </w:tcPr>
          <w:p w14:paraId="4D86574D" w14:textId="77777777" w:rsidR="00157AAA" w:rsidRDefault="006C1BE5" w:rsidP="001136D3">
            <w:pPr>
              <w:spacing w:after="0"/>
              <w:rPr>
                <w:szCs w:val="24"/>
              </w:rPr>
            </w:pPr>
            <w:r>
              <w:rPr>
                <w:szCs w:val="24"/>
              </w:rPr>
              <w:t>The system must be able to write-off quantity reservation for LPCO.</w:t>
            </w:r>
          </w:p>
        </w:tc>
      </w:tr>
      <w:tr w:rsidR="00157AAA" w14:paraId="70236175" w14:textId="77777777" w:rsidTr="001136D3">
        <w:tc>
          <w:tcPr>
            <w:tcW w:w="1255" w:type="dxa"/>
            <w:shd w:val="clear" w:color="auto" w:fill="auto"/>
          </w:tcPr>
          <w:p w14:paraId="09DC274E" w14:textId="77777777" w:rsidR="00157AAA" w:rsidRDefault="006C1BE5" w:rsidP="001136D3">
            <w:pPr>
              <w:spacing w:after="0"/>
              <w:rPr>
                <w:szCs w:val="24"/>
              </w:rPr>
            </w:pPr>
            <w:r>
              <w:rPr>
                <w:szCs w:val="24"/>
              </w:rPr>
              <w:t>FR452</w:t>
            </w:r>
          </w:p>
        </w:tc>
        <w:tc>
          <w:tcPr>
            <w:tcW w:w="7380" w:type="dxa"/>
            <w:shd w:val="clear" w:color="auto" w:fill="auto"/>
          </w:tcPr>
          <w:p w14:paraId="5DDC8691" w14:textId="525221DE" w:rsidR="00157AAA" w:rsidRDefault="006C1BE5" w:rsidP="001136D3">
            <w:pPr>
              <w:spacing w:after="0"/>
              <w:rPr>
                <w:szCs w:val="24"/>
              </w:rPr>
            </w:pPr>
            <w:r>
              <w:rPr>
                <w:szCs w:val="24"/>
              </w:rPr>
              <w:t xml:space="preserve">The system must be able to send message to EU CERTEX message </w:t>
            </w:r>
            <w:r w:rsidR="00BD38A6">
              <w:rPr>
                <w:szCs w:val="24"/>
              </w:rPr>
              <w:t xml:space="preserve">for </w:t>
            </w:r>
            <w:r>
              <w:rPr>
                <w:szCs w:val="24"/>
              </w:rPr>
              <w:t>the goods clearance.</w:t>
            </w:r>
          </w:p>
        </w:tc>
      </w:tr>
      <w:tr w:rsidR="00157AAA" w14:paraId="67C0EBCA" w14:textId="77777777" w:rsidTr="001136D3">
        <w:tc>
          <w:tcPr>
            <w:tcW w:w="1255" w:type="dxa"/>
            <w:shd w:val="clear" w:color="auto" w:fill="auto"/>
          </w:tcPr>
          <w:p w14:paraId="185EBE37" w14:textId="77777777" w:rsidR="00157AAA" w:rsidRDefault="006C1BE5" w:rsidP="001136D3">
            <w:pPr>
              <w:spacing w:after="0"/>
              <w:rPr>
                <w:szCs w:val="24"/>
              </w:rPr>
            </w:pPr>
            <w:r>
              <w:rPr>
                <w:szCs w:val="24"/>
              </w:rPr>
              <w:t>FR453</w:t>
            </w:r>
          </w:p>
        </w:tc>
        <w:tc>
          <w:tcPr>
            <w:tcW w:w="7380" w:type="dxa"/>
            <w:shd w:val="clear" w:color="auto" w:fill="auto"/>
          </w:tcPr>
          <w:p w14:paraId="05B40F70" w14:textId="33EA144C" w:rsidR="00157AAA" w:rsidRDefault="006C1BE5" w:rsidP="001136D3">
            <w:pPr>
              <w:spacing w:after="0"/>
              <w:rPr>
                <w:szCs w:val="24"/>
              </w:rPr>
            </w:pPr>
            <w:r>
              <w:rPr>
                <w:szCs w:val="24"/>
              </w:rPr>
              <w:t xml:space="preserve">The system must be able to send message to EU CERTEX message </w:t>
            </w:r>
            <w:r w:rsidR="00BD38A6">
              <w:rPr>
                <w:szCs w:val="24"/>
              </w:rPr>
              <w:t>for</w:t>
            </w:r>
            <w:r>
              <w:rPr>
                <w:szCs w:val="24"/>
              </w:rPr>
              <w:t xml:space="preserve"> the intervention.</w:t>
            </w:r>
          </w:p>
        </w:tc>
      </w:tr>
      <w:tr w:rsidR="00157AAA" w14:paraId="1AFE9E4C" w14:textId="77777777" w:rsidTr="001136D3">
        <w:tc>
          <w:tcPr>
            <w:tcW w:w="1255" w:type="dxa"/>
            <w:shd w:val="clear" w:color="auto" w:fill="auto"/>
          </w:tcPr>
          <w:p w14:paraId="6F2295BF" w14:textId="77777777" w:rsidR="00157AAA" w:rsidRDefault="006C1BE5" w:rsidP="001136D3">
            <w:pPr>
              <w:spacing w:after="0"/>
              <w:rPr>
                <w:szCs w:val="24"/>
              </w:rPr>
            </w:pPr>
            <w:r>
              <w:rPr>
                <w:szCs w:val="24"/>
              </w:rPr>
              <w:t>FR454</w:t>
            </w:r>
          </w:p>
        </w:tc>
        <w:tc>
          <w:tcPr>
            <w:tcW w:w="7380" w:type="dxa"/>
            <w:shd w:val="clear" w:color="auto" w:fill="auto"/>
          </w:tcPr>
          <w:p w14:paraId="1CD7B9C6" w14:textId="36196880" w:rsidR="00157AAA" w:rsidRDefault="006C1BE5" w:rsidP="001136D3">
            <w:pPr>
              <w:spacing w:after="0"/>
              <w:rPr>
                <w:szCs w:val="24"/>
              </w:rPr>
            </w:pPr>
            <w:r>
              <w:rPr>
                <w:szCs w:val="24"/>
              </w:rPr>
              <w:t xml:space="preserve">The system must be able to send message to other Competent Authorities Licensing systems message </w:t>
            </w:r>
            <w:r w:rsidR="00BD38A6">
              <w:rPr>
                <w:szCs w:val="24"/>
              </w:rPr>
              <w:t xml:space="preserve">for </w:t>
            </w:r>
            <w:r>
              <w:rPr>
                <w:szCs w:val="24"/>
              </w:rPr>
              <w:t>the goods clearance.</w:t>
            </w:r>
          </w:p>
        </w:tc>
      </w:tr>
      <w:tr w:rsidR="00157AAA" w14:paraId="2628BC66" w14:textId="77777777" w:rsidTr="001136D3">
        <w:tc>
          <w:tcPr>
            <w:tcW w:w="1255" w:type="dxa"/>
            <w:shd w:val="clear" w:color="auto" w:fill="auto"/>
          </w:tcPr>
          <w:p w14:paraId="350B9A62" w14:textId="77777777" w:rsidR="00157AAA" w:rsidRDefault="006C1BE5" w:rsidP="001136D3">
            <w:pPr>
              <w:spacing w:after="0"/>
              <w:rPr>
                <w:szCs w:val="24"/>
              </w:rPr>
            </w:pPr>
            <w:r>
              <w:rPr>
                <w:szCs w:val="24"/>
              </w:rPr>
              <w:t>FR455</w:t>
            </w:r>
          </w:p>
        </w:tc>
        <w:tc>
          <w:tcPr>
            <w:tcW w:w="7380" w:type="dxa"/>
            <w:shd w:val="clear" w:color="auto" w:fill="auto"/>
          </w:tcPr>
          <w:p w14:paraId="192E741A" w14:textId="07CAB585" w:rsidR="00157AAA" w:rsidRDefault="006C1BE5" w:rsidP="001136D3">
            <w:pPr>
              <w:spacing w:after="0"/>
              <w:rPr>
                <w:szCs w:val="24"/>
              </w:rPr>
            </w:pPr>
            <w:r>
              <w:rPr>
                <w:szCs w:val="24"/>
              </w:rPr>
              <w:t xml:space="preserve">The system must be able to send message to other Competent Authorities Licensing systems message </w:t>
            </w:r>
            <w:r w:rsidR="00BD38A6">
              <w:rPr>
                <w:szCs w:val="24"/>
              </w:rPr>
              <w:t>for</w:t>
            </w:r>
            <w:r>
              <w:rPr>
                <w:szCs w:val="24"/>
              </w:rPr>
              <w:t xml:space="preserve"> the intervention.</w:t>
            </w:r>
          </w:p>
        </w:tc>
      </w:tr>
      <w:tr w:rsidR="00157AAA" w14:paraId="17FF1ACB" w14:textId="77777777" w:rsidTr="001136D3">
        <w:tc>
          <w:tcPr>
            <w:tcW w:w="1255" w:type="dxa"/>
            <w:shd w:val="clear" w:color="auto" w:fill="auto"/>
          </w:tcPr>
          <w:p w14:paraId="03D05C51" w14:textId="77777777" w:rsidR="00157AAA" w:rsidRDefault="006C1BE5" w:rsidP="001136D3">
            <w:pPr>
              <w:spacing w:after="0"/>
              <w:rPr>
                <w:szCs w:val="24"/>
              </w:rPr>
            </w:pPr>
            <w:r>
              <w:rPr>
                <w:szCs w:val="24"/>
              </w:rPr>
              <w:t>FR456</w:t>
            </w:r>
          </w:p>
        </w:tc>
        <w:tc>
          <w:tcPr>
            <w:tcW w:w="7380" w:type="dxa"/>
            <w:shd w:val="clear" w:color="auto" w:fill="auto"/>
          </w:tcPr>
          <w:p w14:paraId="6B7238EF" w14:textId="06A25994" w:rsidR="00157AAA" w:rsidRDefault="006C1BE5" w:rsidP="001136D3">
            <w:pPr>
              <w:spacing w:after="0"/>
              <w:rPr>
                <w:szCs w:val="24"/>
              </w:rPr>
            </w:pPr>
            <w:r>
              <w:rPr>
                <w:szCs w:val="24"/>
              </w:rPr>
              <w:t xml:space="preserve">The system must be able to send message to SEED+ message </w:t>
            </w:r>
            <w:r w:rsidR="00BD38A6">
              <w:rPr>
                <w:szCs w:val="24"/>
              </w:rPr>
              <w:t>for</w:t>
            </w:r>
            <w:r>
              <w:rPr>
                <w:szCs w:val="24"/>
              </w:rPr>
              <w:t xml:space="preserve"> the goods clearance.</w:t>
            </w:r>
          </w:p>
        </w:tc>
      </w:tr>
      <w:tr w:rsidR="00157AAA" w14:paraId="469E641A" w14:textId="77777777" w:rsidTr="001136D3">
        <w:tc>
          <w:tcPr>
            <w:tcW w:w="1255" w:type="dxa"/>
            <w:shd w:val="clear" w:color="auto" w:fill="auto"/>
          </w:tcPr>
          <w:p w14:paraId="30B39BDD" w14:textId="77777777" w:rsidR="00157AAA" w:rsidRDefault="006C1BE5" w:rsidP="001136D3">
            <w:pPr>
              <w:spacing w:after="0"/>
              <w:rPr>
                <w:szCs w:val="24"/>
              </w:rPr>
            </w:pPr>
            <w:r>
              <w:rPr>
                <w:szCs w:val="24"/>
              </w:rPr>
              <w:t>FR457</w:t>
            </w:r>
          </w:p>
        </w:tc>
        <w:tc>
          <w:tcPr>
            <w:tcW w:w="7380" w:type="dxa"/>
            <w:shd w:val="clear" w:color="auto" w:fill="auto"/>
          </w:tcPr>
          <w:p w14:paraId="756F3703" w14:textId="1D534754" w:rsidR="00157AAA" w:rsidRDefault="006C1BE5" w:rsidP="001136D3">
            <w:pPr>
              <w:spacing w:after="0"/>
              <w:rPr>
                <w:szCs w:val="24"/>
              </w:rPr>
            </w:pPr>
            <w:r>
              <w:rPr>
                <w:szCs w:val="24"/>
              </w:rPr>
              <w:t xml:space="preserve">The system must be able to send message to SEED+ message </w:t>
            </w:r>
            <w:r w:rsidR="00BD38A6">
              <w:rPr>
                <w:szCs w:val="24"/>
              </w:rPr>
              <w:t>for</w:t>
            </w:r>
            <w:r>
              <w:rPr>
                <w:szCs w:val="24"/>
              </w:rPr>
              <w:t xml:space="preserve"> the intervention.</w:t>
            </w:r>
          </w:p>
        </w:tc>
      </w:tr>
      <w:tr w:rsidR="00157AAA" w14:paraId="16FCC962" w14:textId="77777777" w:rsidTr="001136D3">
        <w:tc>
          <w:tcPr>
            <w:tcW w:w="1255" w:type="dxa"/>
            <w:shd w:val="clear" w:color="auto" w:fill="auto"/>
          </w:tcPr>
          <w:p w14:paraId="45731695" w14:textId="77777777" w:rsidR="00157AAA" w:rsidRDefault="006C1BE5" w:rsidP="001136D3">
            <w:pPr>
              <w:spacing w:after="0"/>
              <w:rPr>
                <w:szCs w:val="24"/>
              </w:rPr>
            </w:pPr>
            <w:r>
              <w:rPr>
                <w:szCs w:val="24"/>
              </w:rPr>
              <w:lastRenderedPageBreak/>
              <w:t>FR458</w:t>
            </w:r>
          </w:p>
        </w:tc>
        <w:tc>
          <w:tcPr>
            <w:tcW w:w="7380" w:type="dxa"/>
            <w:shd w:val="clear" w:color="auto" w:fill="auto"/>
          </w:tcPr>
          <w:p w14:paraId="6B362380" w14:textId="77777777" w:rsidR="00157AAA" w:rsidRDefault="006C1BE5" w:rsidP="001136D3">
            <w:pPr>
              <w:spacing w:after="0"/>
              <w:rPr>
                <w:szCs w:val="24"/>
              </w:rPr>
            </w:pPr>
            <w:r>
              <w:rPr>
                <w:szCs w:val="24"/>
              </w:rPr>
              <w:t>The system must be able to notify the customs systems data warehouse for the outcome of the quantity management outcome for the clearance of the goods or intervention.</w:t>
            </w:r>
          </w:p>
        </w:tc>
      </w:tr>
    </w:tbl>
    <w:p w14:paraId="7AC66D05" w14:textId="77777777" w:rsidR="00157AAA" w:rsidRDefault="00157AAA">
      <w:pPr>
        <w:jc w:val="left"/>
        <w:rPr>
          <w:b/>
          <w:bCs/>
          <w:i/>
          <w:szCs w:val="24"/>
        </w:rPr>
      </w:pPr>
    </w:p>
    <w:p w14:paraId="3947E6A3" w14:textId="6E059B16" w:rsidR="00157AAA" w:rsidRPr="00C34E89" w:rsidRDefault="006C1BE5" w:rsidP="008E2AAD">
      <w:r w:rsidRPr="008E2AAD">
        <w:rPr>
          <w:b/>
          <w:bCs/>
          <w:szCs w:val="24"/>
        </w:rPr>
        <w:t>1.2.</w:t>
      </w:r>
      <w:r w:rsidRPr="008E2AAD">
        <w:rPr>
          <w:b/>
          <w:bCs/>
          <w:szCs w:val="24"/>
          <w:lang w:val="mk-MK"/>
        </w:rPr>
        <w:t>7</w:t>
      </w:r>
      <w:r w:rsidRPr="008E2AAD">
        <w:rPr>
          <w:b/>
          <w:bCs/>
          <w:szCs w:val="24"/>
        </w:rPr>
        <w:t xml:space="preserve">. NSW Payment Management Component </w:t>
      </w:r>
    </w:p>
    <w:p w14:paraId="1667C8EB" w14:textId="77777777" w:rsidR="00157AAA" w:rsidRDefault="006C1BE5" w:rsidP="008E2AAD">
      <w:r>
        <w:t>The Payment component responsibility is divided into two major parts; manage payments in the NSW and integrate to the Payment Gateway to conduct the actual payments.</w:t>
      </w:r>
    </w:p>
    <w:p w14:paraId="2693A0B6" w14:textId="77777777" w:rsidR="00157AAA" w:rsidRDefault="006C1BE5" w:rsidP="008E2AAD">
      <w:r>
        <w:t>The system is a web-based system, where the users of NSW can conduct payments between each other. The following are the main functionalities of the system:</w:t>
      </w:r>
    </w:p>
    <w:p w14:paraId="08892895" w14:textId="77777777" w:rsidR="00157AAA" w:rsidRDefault="006C1BE5" w:rsidP="00D530D5">
      <w:pPr>
        <w:pStyle w:val="ListParagraph"/>
        <w:numPr>
          <w:ilvl w:val="0"/>
          <w:numId w:val="72"/>
        </w:numPr>
      </w:pPr>
      <w:r>
        <w:t xml:space="preserve">Handle payment </w:t>
      </w:r>
      <w:proofErr w:type="gramStart"/>
      <w:r>
        <w:t>advices;</w:t>
      </w:r>
      <w:proofErr w:type="gramEnd"/>
    </w:p>
    <w:p w14:paraId="10E69407" w14:textId="77777777" w:rsidR="00157AAA" w:rsidRDefault="006C1BE5" w:rsidP="00D530D5">
      <w:pPr>
        <w:pStyle w:val="ListParagraph"/>
        <w:numPr>
          <w:ilvl w:val="0"/>
          <w:numId w:val="72"/>
        </w:numPr>
      </w:pPr>
      <w:r>
        <w:t xml:space="preserve">Handle receipts for finalized </w:t>
      </w:r>
      <w:proofErr w:type="gramStart"/>
      <w:r>
        <w:t>payments;</w:t>
      </w:r>
      <w:proofErr w:type="gramEnd"/>
    </w:p>
    <w:p w14:paraId="78C99759" w14:textId="77777777" w:rsidR="00157AAA" w:rsidRDefault="006C1BE5" w:rsidP="00D530D5">
      <w:pPr>
        <w:pStyle w:val="ListParagraph"/>
        <w:numPr>
          <w:ilvl w:val="0"/>
          <w:numId w:val="72"/>
        </w:numPr>
      </w:pPr>
      <w:r>
        <w:t>Conduct payments; and</w:t>
      </w:r>
    </w:p>
    <w:p w14:paraId="68C0241F" w14:textId="77777777" w:rsidR="00157AAA" w:rsidRDefault="006C1BE5" w:rsidP="00D530D5">
      <w:pPr>
        <w:pStyle w:val="ListParagraph"/>
        <w:numPr>
          <w:ilvl w:val="0"/>
          <w:numId w:val="72"/>
        </w:numPr>
      </w:pPr>
      <w:r>
        <w:t>View/print unpaid and paid transactions.</w:t>
      </w:r>
    </w:p>
    <w:p w14:paraId="2E369D98" w14:textId="18F839BB" w:rsidR="00157AAA" w:rsidRPr="00116FBD" w:rsidRDefault="006C1BE5" w:rsidP="008E2AAD">
      <w:pPr>
        <w:spacing w:after="0"/>
        <w:rPr>
          <w:szCs w:val="24"/>
        </w:rPr>
      </w:pPr>
      <w:r w:rsidRPr="00116FBD">
        <w:rPr>
          <w:szCs w:val="24"/>
        </w:rPr>
        <w:t xml:space="preserve">The payment solution is designed to manage both the scenario where the actual payments are performed outside the NSW, and where payments are being performed through the NSW. In either scenario, the Payment component will keep track of what is paid and not paid through its internal ledger. In the frontend Payment service, authorized CBRA users can view payment details on performed and outstanding payments for the various transactions, per entity. </w:t>
      </w:r>
      <w:r w:rsidR="00116D40" w:rsidRPr="0026442C">
        <w:rPr>
          <w:szCs w:val="24"/>
        </w:rPr>
        <w:t xml:space="preserve">The payment component </w:t>
      </w:r>
      <w:r w:rsidR="00FA3F0C" w:rsidRPr="0026442C">
        <w:rPr>
          <w:szCs w:val="24"/>
        </w:rPr>
        <w:t xml:space="preserve">should be a configurable module and must have the </w:t>
      </w:r>
      <w:r w:rsidRPr="0026442C">
        <w:rPr>
          <w:szCs w:val="24"/>
        </w:rPr>
        <w:t>ability to manage</w:t>
      </w:r>
      <w:r w:rsidR="00FA3F0C" w:rsidRPr="0026442C">
        <w:rPr>
          <w:szCs w:val="24"/>
        </w:rPr>
        <w:t>, as minimum requirement,</w:t>
      </w:r>
      <w:r w:rsidRPr="0026442C">
        <w:rPr>
          <w:szCs w:val="24"/>
        </w:rPr>
        <w:t xml:space="preserve"> two types of payments: Fees</w:t>
      </w:r>
      <w:r w:rsidR="00470084" w:rsidRPr="0026442C">
        <w:rPr>
          <w:szCs w:val="24"/>
        </w:rPr>
        <w:t xml:space="preserve"> </w:t>
      </w:r>
      <w:r w:rsidR="00FA3F0C" w:rsidRPr="0026442C">
        <w:rPr>
          <w:szCs w:val="24"/>
        </w:rPr>
        <w:t>(including administrative tax)</w:t>
      </w:r>
      <w:r w:rsidRPr="0026442C">
        <w:rPr>
          <w:szCs w:val="24"/>
        </w:rPr>
        <w:t xml:space="preserve"> related to issuing LPCO to CBRA and fees for use and maintenance of the NSW application</w:t>
      </w:r>
      <w:r w:rsidRPr="00116FBD">
        <w:rPr>
          <w:szCs w:val="24"/>
        </w:rPr>
        <w:t>.</w:t>
      </w:r>
    </w:p>
    <w:p w14:paraId="00488C04" w14:textId="7F44C708" w:rsidR="00157AAA" w:rsidRPr="00116FBD" w:rsidRDefault="006C1BE5" w:rsidP="008E2AAD">
      <w:pPr>
        <w:spacing w:after="0"/>
        <w:rPr>
          <w:bCs/>
          <w:iCs/>
          <w:szCs w:val="24"/>
        </w:rPr>
      </w:pPr>
      <w:r w:rsidRPr="00116FBD">
        <w:rPr>
          <w:szCs w:val="24"/>
        </w:rPr>
        <w:t xml:space="preserve">Payment fees must be defined by CBRA’s. The NSW must have </w:t>
      </w:r>
      <w:proofErr w:type="gramStart"/>
      <w:r w:rsidRPr="00116FBD">
        <w:rPr>
          <w:szCs w:val="24"/>
        </w:rPr>
        <w:t>option</w:t>
      </w:r>
      <w:proofErr w:type="gramEnd"/>
      <w:r w:rsidRPr="00116FBD">
        <w:rPr>
          <w:szCs w:val="24"/>
        </w:rPr>
        <w:t xml:space="preserve"> to define payment fees for each CBRA and the supplier during the design phase must define with the agencies on the payments, terms, </w:t>
      </w:r>
      <w:proofErr w:type="gramStart"/>
      <w:r w:rsidRPr="00116FBD">
        <w:rPr>
          <w:szCs w:val="24"/>
        </w:rPr>
        <w:t>conditions</w:t>
      </w:r>
      <w:proofErr w:type="gramEnd"/>
      <w:r w:rsidRPr="00116FBD">
        <w:rPr>
          <w:szCs w:val="24"/>
        </w:rPr>
        <w:t xml:space="preserve"> and reconciliation related to the LPCO fees</w:t>
      </w:r>
      <w:r w:rsidR="000764B3" w:rsidRPr="00116FBD">
        <w:rPr>
          <w:szCs w:val="24"/>
        </w:rPr>
        <w:t>.</w:t>
      </w:r>
      <w:r w:rsidRPr="00116FBD">
        <w:rPr>
          <w:szCs w:val="24"/>
        </w:rPr>
        <w:t xml:space="preserve"> The allocation of these fees must be designed into an administration module with parametric flexibility </w:t>
      </w:r>
      <w:proofErr w:type="gramStart"/>
      <w:r w:rsidRPr="00116FBD">
        <w:rPr>
          <w:szCs w:val="24"/>
        </w:rPr>
        <w:t>in order to</w:t>
      </w:r>
      <w:proofErr w:type="gramEnd"/>
      <w:r w:rsidRPr="00116FBD">
        <w:rPr>
          <w:szCs w:val="24"/>
        </w:rPr>
        <w:t xml:space="preserve"> control the amount of the fees. The fees for use and maintenance of the NSW will be administrated </w:t>
      </w:r>
      <w:proofErr w:type="gramStart"/>
      <w:r w:rsidRPr="00116FBD">
        <w:rPr>
          <w:szCs w:val="24"/>
        </w:rPr>
        <w:t>into</w:t>
      </w:r>
      <w:proofErr w:type="gramEnd"/>
      <w:r w:rsidRPr="00116FBD">
        <w:rPr>
          <w:szCs w:val="24"/>
        </w:rPr>
        <w:t xml:space="preserve"> a parametric manner and will interface with </w:t>
      </w:r>
      <w:r w:rsidR="00DE3A93" w:rsidRPr="00116FBD">
        <w:rPr>
          <w:szCs w:val="24"/>
        </w:rPr>
        <w:t>the accounting</w:t>
      </w:r>
      <w:r w:rsidRPr="00116FBD">
        <w:rPr>
          <w:szCs w:val="24"/>
        </w:rPr>
        <w:t xml:space="preserve"> system</w:t>
      </w:r>
      <w:r w:rsidR="00323C85" w:rsidRPr="00116FBD">
        <w:rPr>
          <w:szCs w:val="24"/>
        </w:rPr>
        <w:t>s</w:t>
      </w:r>
      <w:r w:rsidRPr="00116FBD">
        <w:rPr>
          <w:szCs w:val="24"/>
        </w:rPr>
        <w:t xml:space="preserve"> </w:t>
      </w:r>
      <w:r w:rsidR="00323C85" w:rsidRPr="00116FBD">
        <w:rPr>
          <w:szCs w:val="24"/>
        </w:rPr>
        <w:t xml:space="preserve">of the </w:t>
      </w:r>
      <w:proofErr w:type="spellStart"/>
      <w:r w:rsidR="00323C85" w:rsidRPr="00116FBD">
        <w:rPr>
          <w:szCs w:val="24"/>
        </w:rPr>
        <w:t>CBRA’a</w:t>
      </w:r>
      <w:proofErr w:type="spellEnd"/>
      <w:r w:rsidRPr="00116FBD">
        <w:rPr>
          <w:szCs w:val="24"/>
        </w:rPr>
        <w:t xml:space="preserve"> that will manage the issuing of invoices, </w:t>
      </w:r>
      <w:proofErr w:type="gramStart"/>
      <w:r w:rsidRPr="00116FBD">
        <w:rPr>
          <w:szCs w:val="24"/>
        </w:rPr>
        <w:t>control</w:t>
      </w:r>
      <w:proofErr w:type="gramEnd"/>
      <w:r w:rsidRPr="00116FBD">
        <w:rPr>
          <w:szCs w:val="24"/>
        </w:rPr>
        <w:t xml:space="preserve"> and reporting.</w:t>
      </w:r>
      <w:r w:rsidR="00E76FFC" w:rsidRPr="00116FBD">
        <w:rPr>
          <w:szCs w:val="24"/>
        </w:rPr>
        <w:t xml:space="preserve"> </w:t>
      </w:r>
      <w:r w:rsidR="008D6FA8" w:rsidRPr="00116FBD">
        <w:rPr>
          <w:szCs w:val="24"/>
        </w:rPr>
        <w:t xml:space="preserve">The list of current CBRA’s is listed under point </w:t>
      </w:r>
      <w:r w:rsidR="00252684" w:rsidRPr="00116FBD">
        <w:rPr>
          <w:bCs/>
          <w:iCs/>
          <w:szCs w:val="24"/>
        </w:rPr>
        <w:t>1.3.2.1.3. CBRA</w:t>
      </w:r>
      <w:r w:rsidR="00CF4489" w:rsidRPr="00116FBD">
        <w:rPr>
          <w:bCs/>
          <w:iCs/>
          <w:szCs w:val="24"/>
        </w:rPr>
        <w:t xml:space="preserve">. Each of the CBRA have three (3) levels of automatization that need to be taken in consideration </w:t>
      </w:r>
      <w:proofErr w:type="gramStart"/>
      <w:r w:rsidR="00CF4489" w:rsidRPr="00116FBD">
        <w:rPr>
          <w:bCs/>
          <w:iCs/>
          <w:szCs w:val="24"/>
        </w:rPr>
        <w:t>at the moment</w:t>
      </w:r>
      <w:proofErr w:type="gramEnd"/>
      <w:r w:rsidR="00CF4489" w:rsidRPr="00116FBD">
        <w:rPr>
          <w:bCs/>
          <w:iCs/>
          <w:szCs w:val="24"/>
        </w:rPr>
        <w:t xml:space="preserve"> the administration function is developed:</w:t>
      </w:r>
    </w:p>
    <w:p w14:paraId="1718665D" w14:textId="1926D370" w:rsidR="00CF4489" w:rsidRPr="00116FBD" w:rsidRDefault="003F33BB" w:rsidP="00D530D5">
      <w:pPr>
        <w:pStyle w:val="ListParagraph"/>
        <w:numPr>
          <w:ilvl w:val="6"/>
          <w:numId w:val="152"/>
        </w:numPr>
        <w:spacing w:after="0"/>
        <w:rPr>
          <w:szCs w:val="24"/>
        </w:rPr>
      </w:pPr>
      <w:r w:rsidRPr="00116FBD">
        <w:rPr>
          <w:szCs w:val="24"/>
        </w:rPr>
        <w:t>Full automatized</w:t>
      </w:r>
      <w:r w:rsidR="00BB29EE" w:rsidRPr="00116FBD">
        <w:rPr>
          <w:szCs w:val="24"/>
        </w:rPr>
        <w:t xml:space="preserve"> </w:t>
      </w:r>
      <w:proofErr w:type="gramStart"/>
      <w:r w:rsidR="00BB29EE" w:rsidRPr="00116FBD">
        <w:rPr>
          <w:szCs w:val="24"/>
        </w:rPr>
        <w:t>platform</w:t>
      </w:r>
      <w:r w:rsidR="00C00343" w:rsidRPr="00116FBD">
        <w:rPr>
          <w:szCs w:val="24"/>
        </w:rPr>
        <w:t>;</w:t>
      </w:r>
      <w:proofErr w:type="gramEnd"/>
    </w:p>
    <w:p w14:paraId="0B8ACC96" w14:textId="645996AC" w:rsidR="00BB29EE" w:rsidRPr="00116FBD" w:rsidRDefault="00BB29EE" w:rsidP="00D530D5">
      <w:pPr>
        <w:pStyle w:val="ListParagraph"/>
        <w:numPr>
          <w:ilvl w:val="6"/>
          <w:numId w:val="152"/>
        </w:numPr>
        <w:spacing w:after="0"/>
        <w:rPr>
          <w:szCs w:val="24"/>
        </w:rPr>
      </w:pPr>
      <w:r w:rsidRPr="00116FBD">
        <w:rPr>
          <w:szCs w:val="24"/>
        </w:rPr>
        <w:t xml:space="preserve">Semi-Automatized </w:t>
      </w:r>
      <w:proofErr w:type="gramStart"/>
      <w:r w:rsidRPr="00116FBD">
        <w:rPr>
          <w:szCs w:val="24"/>
        </w:rPr>
        <w:t>platform</w:t>
      </w:r>
      <w:r w:rsidR="00C00343" w:rsidRPr="00116FBD">
        <w:rPr>
          <w:szCs w:val="24"/>
        </w:rPr>
        <w:t>;</w:t>
      </w:r>
      <w:proofErr w:type="gramEnd"/>
    </w:p>
    <w:p w14:paraId="7080DAA5" w14:textId="425ED013" w:rsidR="00BB29EE" w:rsidRPr="00116FBD" w:rsidRDefault="00C00343" w:rsidP="00D530D5">
      <w:pPr>
        <w:pStyle w:val="ListParagraph"/>
        <w:numPr>
          <w:ilvl w:val="6"/>
          <w:numId w:val="152"/>
        </w:numPr>
        <w:spacing w:after="0"/>
        <w:rPr>
          <w:szCs w:val="24"/>
        </w:rPr>
      </w:pPr>
      <w:r w:rsidRPr="00116FBD">
        <w:rPr>
          <w:szCs w:val="24"/>
        </w:rPr>
        <w:t>Manual Processing.</w:t>
      </w:r>
    </w:p>
    <w:p w14:paraId="47E45918" w14:textId="77777777" w:rsidR="00DE3A93" w:rsidRPr="00116FBD" w:rsidRDefault="00DE3A93" w:rsidP="00DE3A93">
      <w:pPr>
        <w:spacing w:after="0"/>
        <w:rPr>
          <w:szCs w:val="24"/>
        </w:rPr>
      </w:pPr>
    </w:p>
    <w:p w14:paraId="02AA98C6" w14:textId="77777777" w:rsidR="00DE3A93" w:rsidRPr="00116FBD" w:rsidRDefault="00DE3A93" w:rsidP="00DE3A93">
      <w:pPr>
        <w:spacing w:after="0"/>
        <w:rPr>
          <w:szCs w:val="24"/>
        </w:rPr>
      </w:pPr>
      <w:r w:rsidRPr="0026442C">
        <w:rPr>
          <w:szCs w:val="24"/>
        </w:rPr>
        <w:t xml:space="preserve">The payment component is integral to the system, as it should not only facilitate financial transactions but also offer reporting functionality. This reporting feature is vital for the CBRA’s or the EO to conduct thorough checks on payment </w:t>
      </w:r>
      <w:proofErr w:type="gramStart"/>
      <w:r w:rsidRPr="0026442C">
        <w:rPr>
          <w:szCs w:val="24"/>
        </w:rPr>
        <w:t>advices</w:t>
      </w:r>
      <w:proofErr w:type="gramEnd"/>
      <w:r w:rsidRPr="0026442C">
        <w:rPr>
          <w:szCs w:val="24"/>
        </w:rPr>
        <w:t xml:space="preserve">. It enables the stakeholders to ascertain the status of each </w:t>
      </w:r>
      <w:proofErr w:type="gramStart"/>
      <w:r w:rsidRPr="0026442C">
        <w:rPr>
          <w:szCs w:val="24"/>
        </w:rPr>
        <w:t>advice</w:t>
      </w:r>
      <w:proofErr w:type="gramEnd"/>
      <w:r w:rsidRPr="0026442C">
        <w:rPr>
          <w:szCs w:val="24"/>
        </w:rPr>
        <w:t>, whether it is marked as paid, unpaid, pending, exceeded, canceled, or other relevant classification.</w:t>
      </w:r>
    </w:p>
    <w:p w14:paraId="3E350EB4" w14:textId="77777777" w:rsidR="00DE3A93" w:rsidRPr="00116FBD" w:rsidRDefault="00DE3A93" w:rsidP="00DE3A93">
      <w:pPr>
        <w:spacing w:after="0"/>
        <w:rPr>
          <w:szCs w:val="24"/>
        </w:rPr>
      </w:pPr>
    </w:p>
    <w:p w14:paraId="7A3026FA" w14:textId="77777777" w:rsidR="00157AAA" w:rsidRPr="00116FBD" w:rsidRDefault="00157AAA">
      <w:pPr>
        <w:spacing w:after="0"/>
        <w:ind w:left="720"/>
        <w:rPr>
          <w:szCs w:val="24"/>
        </w:rPr>
      </w:pPr>
    </w:p>
    <w:p w14:paraId="24544780" w14:textId="77777777" w:rsidR="00157AAA" w:rsidRDefault="006C1BE5">
      <w:pPr>
        <w:spacing w:after="0"/>
        <w:ind w:left="720"/>
        <w:rPr>
          <w:b/>
          <w:i/>
        </w:rPr>
      </w:pPr>
      <w:r>
        <w:rPr>
          <w:b/>
          <w:i/>
        </w:rPr>
        <w:lastRenderedPageBreak/>
        <w:t>Steps for Payment:</w:t>
      </w:r>
    </w:p>
    <w:p w14:paraId="5047B2F8" w14:textId="77777777" w:rsidR="00157AAA" w:rsidRDefault="00157AAA">
      <w:pPr>
        <w:spacing w:after="0"/>
        <w:ind w:left="720"/>
      </w:pPr>
    </w:p>
    <w:p w14:paraId="69A9BA25" w14:textId="77777777" w:rsidR="00157AAA" w:rsidRDefault="006C1BE5" w:rsidP="00D530D5">
      <w:pPr>
        <w:pStyle w:val="ListParagraph"/>
        <w:numPr>
          <w:ilvl w:val="0"/>
          <w:numId w:val="70"/>
        </w:numPr>
      </w:pPr>
      <w:r>
        <w:t xml:space="preserve">User needs to provide payment details in accordance </w:t>
      </w:r>
      <w:proofErr w:type="gramStart"/>
      <w:r>
        <w:t>to</w:t>
      </w:r>
      <w:proofErr w:type="gramEnd"/>
      <w:r>
        <w:t xml:space="preserve"> CBRA registration requirements:</w:t>
      </w:r>
    </w:p>
    <w:p w14:paraId="2F57066B" w14:textId="77777777" w:rsidR="00157AAA" w:rsidRDefault="006C1BE5" w:rsidP="00D530D5">
      <w:pPr>
        <w:pStyle w:val="ListParagraph"/>
        <w:numPr>
          <w:ilvl w:val="0"/>
          <w:numId w:val="71"/>
        </w:numPr>
      </w:pPr>
      <w:r>
        <w:t xml:space="preserve">On credit, subject to a financial guarantee if users have possibility to create guaranty in their systems, currently CDEPS have this </w:t>
      </w:r>
      <w:proofErr w:type="gramStart"/>
      <w:r>
        <w:t>possibility;</w:t>
      </w:r>
      <w:proofErr w:type="gramEnd"/>
    </w:p>
    <w:p w14:paraId="389DFCB4" w14:textId="77777777" w:rsidR="00157AAA" w:rsidRDefault="006C1BE5" w:rsidP="00D530D5">
      <w:pPr>
        <w:pStyle w:val="ListParagraph"/>
        <w:numPr>
          <w:ilvl w:val="0"/>
          <w:numId w:val="71"/>
        </w:numPr>
      </w:pPr>
      <w:r>
        <w:t xml:space="preserve">In advance on </w:t>
      </w:r>
      <w:proofErr w:type="gramStart"/>
      <w:r>
        <w:t>account;</w:t>
      </w:r>
      <w:proofErr w:type="gramEnd"/>
    </w:p>
    <w:p w14:paraId="1FF46A52" w14:textId="77777777" w:rsidR="00157AAA" w:rsidRDefault="006C1BE5" w:rsidP="00D530D5">
      <w:pPr>
        <w:pStyle w:val="ListParagraph"/>
        <w:numPr>
          <w:ilvl w:val="0"/>
          <w:numId w:val="71"/>
        </w:numPr>
      </w:pPr>
      <w:r>
        <w:t>Upon presentation of proof (e.g., payment reference number or scanned receipt).</w:t>
      </w:r>
    </w:p>
    <w:p w14:paraId="7E9F98F6" w14:textId="77777777" w:rsidR="00157AAA" w:rsidRDefault="006C1BE5" w:rsidP="00D530D5">
      <w:pPr>
        <w:pStyle w:val="ListParagraph"/>
        <w:numPr>
          <w:ilvl w:val="0"/>
          <w:numId w:val="70"/>
        </w:numPr>
        <w:spacing w:after="0"/>
      </w:pPr>
      <w:r>
        <w:t>CBRA or NSW takes payment (where payment has been automatically enabled</w:t>
      </w:r>
      <w:proofErr w:type="gramStart"/>
      <w:r>
        <w:t>);</w:t>
      </w:r>
      <w:proofErr w:type="gramEnd"/>
    </w:p>
    <w:p w14:paraId="4BBC1904" w14:textId="77777777" w:rsidR="00157AAA" w:rsidRDefault="006C1BE5" w:rsidP="00D530D5">
      <w:pPr>
        <w:pStyle w:val="ListParagraph"/>
        <w:numPr>
          <w:ilvl w:val="0"/>
          <w:numId w:val="70"/>
        </w:numPr>
        <w:spacing w:after="0"/>
      </w:pPr>
      <w:r>
        <w:t>CBRA or NSW confirm receipt of payment; and</w:t>
      </w:r>
    </w:p>
    <w:p w14:paraId="0A188DD7" w14:textId="77777777" w:rsidR="00157AAA" w:rsidRDefault="006C1BE5" w:rsidP="00D530D5">
      <w:pPr>
        <w:pStyle w:val="ListParagraph"/>
        <w:numPr>
          <w:ilvl w:val="0"/>
          <w:numId w:val="70"/>
        </w:numPr>
        <w:spacing w:after="0"/>
      </w:pPr>
      <w:r>
        <w:t>NSW records payment and notifies user accordingly.</w:t>
      </w:r>
    </w:p>
    <w:p w14:paraId="67068AAB" w14:textId="77777777" w:rsidR="00157AAA" w:rsidRDefault="006C1BE5" w:rsidP="001136D3">
      <w:pPr>
        <w:spacing w:after="0"/>
        <w:ind w:left="360"/>
      </w:pPr>
      <w:proofErr w:type="gramStart"/>
      <w:r>
        <w:t>The NSW</w:t>
      </w:r>
      <w:proofErr w:type="gramEnd"/>
      <w:r>
        <w:t xml:space="preserve"> will keep track of all the payment information regarding payment advises, ledger, </w:t>
      </w:r>
      <w:proofErr w:type="gramStart"/>
      <w:r>
        <w:t>payments</w:t>
      </w:r>
      <w:proofErr w:type="gramEnd"/>
      <w:r>
        <w:t xml:space="preserve"> and payment orders. It is </w:t>
      </w:r>
      <w:proofErr w:type="gramStart"/>
      <w:r>
        <w:t>absolutely vital</w:t>
      </w:r>
      <w:proofErr w:type="gramEnd"/>
      <w:r>
        <w:t xml:space="preserve"> that the NSW keeps records of what should be paid and what has been paid, regarding what, by who and when.</w:t>
      </w:r>
    </w:p>
    <w:p w14:paraId="0102AC26" w14:textId="77777777" w:rsidR="00157AAA" w:rsidRDefault="00157AAA">
      <w:pPr>
        <w:ind w:left="720"/>
      </w:pPr>
    </w:p>
    <w:p w14:paraId="5E92E21A" w14:textId="77777777" w:rsidR="00157AAA" w:rsidRDefault="006C1BE5">
      <w:pPr>
        <w:ind w:firstLine="360"/>
        <w:jc w:val="left"/>
        <w:rPr>
          <w:bCs/>
          <w:szCs w:val="24"/>
        </w:rPr>
      </w:pPr>
      <w:r w:rsidRPr="008E2AAD">
        <w:rPr>
          <w:bCs/>
          <w:szCs w:val="24"/>
        </w:rPr>
        <w:t>The NSW support the following services:</w:t>
      </w:r>
    </w:p>
    <w:p w14:paraId="43F8F768" w14:textId="0695BBEA" w:rsidR="00157AAA" w:rsidRPr="008E2AAD" w:rsidRDefault="006C1BE5">
      <w:pPr>
        <w:ind w:left="720" w:firstLine="720"/>
        <w:rPr>
          <w:b/>
        </w:rPr>
      </w:pPr>
      <w:r w:rsidRPr="008E2AAD">
        <w:rPr>
          <w:b/>
          <w:bCs/>
          <w:szCs w:val="24"/>
        </w:rPr>
        <w:t xml:space="preserve">1.2.7.1. Payment Processing </w:t>
      </w:r>
    </w:p>
    <w:p w14:paraId="41382EAB" w14:textId="77777777" w:rsidR="00157AAA" w:rsidRDefault="006C1BE5" w:rsidP="005E6A97">
      <w:pPr>
        <w:spacing w:after="0"/>
        <w:ind w:left="720"/>
      </w:pPr>
      <w:r>
        <w:t xml:space="preserve">The trader must be able to pay </w:t>
      </w:r>
      <w:proofErr w:type="gramStart"/>
      <w:r>
        <w:t>fees,</w:t>
      </w:r>
      <w:proofErr w:type="gramEnd"/>
      <w:r>
        <w:t xml:space="preserve"> through the NSW </w:t>
      </w:r>
      <w:proofErr w:type="gramStart"/>
      <w:r>
        <w:t>in order to</w:t>
      </w:r>
      <w:proofErr w:type="gramEnd"/>
      <w:r>
        <w:t xml:space="preserve"> facilitate a smooth process. The payment services are used for </w:t>
      </w:r>
      <w:proofErr w:type="gramStart"/>
      <w:r>
        <w:t>issuing of</w:t>
      </w:r>
      <w:proofErr w:type="gramEnd"/>
      <w:r>
        <w:t xml:space="preserve"> LPCO and shall be processed electronically.</w:t>
      </w:r>
    </w:p>
    <w:p w14:paraId="1A4C4B27" w14:textId="28CB843D" w:rsidR="00157AAA" w:rsidRDefault="006C1BE5" w:rsidP="005E6A97">
      <w:pPr>
        <w:spacing w:after="0"/>
        <w:ind w:left="720"/>
      </w:pPr>
      <w:r>
        <w:t>Payment fees must be defined by CBRA’s, the NSW must have option to define payment fees for each CBRA.</w:t>
      </w:r>
    </w:p>
    <w:p w14:paraId="2481374C" w14:textId="6BBA5964" w:rsidR="00157AAA" w:rsidRDefault="00157AAA">
      <w:pPr>
        <w:spacing w:after="0"/>
        <w:ind w:left="720"/>
      </w:pPr>
    </w:p>
    <w:p w14:paraId="68AC5A9C" w14:textId="77777777" w:rsidR="00157AAA" w:rsidRDefault="006C1BE5" w:rsidP="008E2AAD">
      <w:r>
        <w:t>The NSW automate the following processes:</w:t>
      </w:r>
    </w:p>
    <w:p w14:paraId="69700647" w14:textId="73D5A9D7" w:rsidR="00DC1D8D" w:rsidRDefault="00DC1D8D" w:rsidP="00D530D5">
      <w:pPr>
        <w:pStyle w:val="ListParagraph"/>
        <w:numPr>
          <w:ilvl w:val="0"/>
          <w:numId w:val="165"/>
        </w:numPr>
      </w:pPr>
      <w:r>
        <w:t>Process Payment Request</w:t>
      </w:r>
    </w:p>
    <w:p w14:paraId="18E8CFE6" w14:textId="49B4BE42" w:rsidR="00DC1D8D" w:rsidRDefault="00F834EF" w:rsidP="00D530D5">
      <w:pPr>
        <w:pStyle w:val="ListParagraph"/>
        <w:numPr>
          <w:ilvl w:val="0"/>
          <w:numId w:val="165"/>
        </w:numPr>
      </w:pPr>
      <w:r w:rsidRPr="00F834EF">
        <w:t>Check Payment Availability</w:t>
      </w:r>
    </w:p>
    <w:p w14:paraId="371D00BE" w14:textId="5A1AB044" w:rsidR="00157AAA" w:rsidRPr="008E2AAD" w:rsidRDefault="006C1BE5">
      <w:pPr>
        <w:rPr>
          <w:b/>
        </w:rPr>
      </w:pPr>
      <w:r w:rsidRPr="008E2AAD">
        <w:rPr>
          <w:b/>
        </w:rPr>
        <w:t>1.2.7.2. Process Payment Request</w:t>
      </w:r>
    </w:p>
    <w:p w14:paraId="6EB24C57" w14:textId="1BF053F4" w:rsidR="00157AAA" w:rsidRDefault="00677BF9">
      <w:r w:rsidRPr="00BB14AF">
        <w:rPr>
          <w:b/>
          <w:noProof/>
        </w:rPr>
        <w:lastRenderedPageBreak/>
        <w:drawing>
          <wp:inline distT="0" distB="0" distL="0" distR="0" wp14:anchorId="5FEC6E64" wp14:editId="4F251996">
            <wp:extent cx="5486400" cy="29800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6400" cy="2980055"/>
                    </a:xfrm>
                    <a:prstGeom prst="rect">
                      <a:avLst/>
                    </a:prstGeom>
                  </pic:spPr>
                </pic:pic>
              </a:graphicData>
            </a:graphic>
          </wp:inline>
        </w:drawing>
      </w:r>
      <w:r w:rsidR="00E3729B">
        <w:rPr>
          <w:noProof/>
        </w:rPr>
        <mc:AlternateContent>
          <mc:Choice Requires="wps">
            <w:drawing>
              <wp:anchor distT="0" distB="0" distL="114300" distR="114300" simplePos="0" relativeHeight="251658251" behindDoc="0" locked="0" layoutInCell="1" allowOverlap="1" wp14:anchorId="4927A535" wp14:editId="7EEB1778">
                <wp:simplePos x="0" y="0"/>
                <wp:positionH relativeFrom="column">
                  <wp:posOffset>0</wp:posOffset>
                </wp:positionH>
                <wp:positionV relativeFrom="paragraph">
                  <wp:posOffset>0</wp:posOffset>
                </wp:positionV>
                <wp:extent cx="635000" cy="635000"/>
                <wp:effectExtent l="19050" t="19050" r="12700" b="12700"/>
                <wp:wrapNone/>
                <wp:docPr id="33" name="AutoShape 5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63A5E" id="AutoShape 53" o:spid="_x0000_s1026" style="position:absolute;margin-left:0;margin-top:0;width:50pt;height:50pt;z-index:251658251;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xikIgIAAEg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DZKxikIgIAAEgEAAAOAAAAAAAAAAAAAAAAAC4CAABkcnMvZTJvRG9jLnhtbFBLAQIt&#10;ABQABgAIAAAAIQDrjR772AAAAAUBAAAPAAAAAAAAAAAAAAAAAHwEAABkcnMvZG93bnJldi54bWxQ&#10;SwUGAAAAAAQABADzAAAAgQUAAAAA&#10;">
                <v:stroke joinstyle="round"/>
                <o:lock v:ext="edit" selection="t"/>
              </v:rect>
            </w:pict>
          </mc:Fallback>
        </mc:AlternateContent>
      </w:r>
    </w:p>
    <w:p w14:paraId="22003227" w14:textId="6DE65B6B" w:rsidR="00157AAA" w:rsidRDefault="008B7013">
      <w:pPr>
        <w:rPr>
          <w:i/>
          <w:highlight w:val="yellow"/>
        </w:rPr>
      </w:pPr>
      <w:r w:rsidRPr="0026442C">
        <w:rPr>
          <w:i/>
        </w:rPr>
        <w:object w:dxaOrig="1538" w:dyaOrig="994" w14:anchorId="394E0D6F">
          <v:shape id="_x0000_i1032" type="#_x0000_t75" style="width:79pt;height:50.5pt" o:ole="">
            <v:imagedata r:id="rId95" o:title=""/>
          </v:shape>
          <o:OLEObject Type="Embed" ProgID="Package" ShapeID="_x0000_i1032" DrawAspect="Icon" ObjectID="_1777888265" r:id="rId96"/>
        </w:object>
      </w:r>
    </w:p>
    <w:p w14:paraId="7C90B4BE" w14:textId="4CE90DE0" w:rsidR="00157AAA" w:rsidRDefault="006C1BE5">
      <w:pPr>
        <w:jc w:val="center"/>
        <w:rPr>
          <w:i/>
          <w:szCs w:val="24"/>
        </w:rPr>
      </w:pPr>
      <w:r>
        <w:rPr>
          <w:i/>
          <w:szCs w:val="24"/>
        </w:rPr>
        <w:t xml:space="preserve">Figure </w:t>
      </w:r>
      <w:r w:rsidR="00631878">
        <w:rPr>
          <w:i/>
          <w:szCs w:val="24"/>
        </w:rPr>
        <w:t>11</w:t>
      </w:r>
      <w:r>
        <w:rPr>
          <w:i/>
          <w:szCs w:val="24"/>
        </w:rPr>
        <w:t>: BPMN Process Diagram: Process Payment Request</w:t>
      </w:r>
    </w:p>
    <w:p w14:paraId="5672CE2A" w14:textId="77777777" w:rsidR="00157AAA" w:rsidRDefault="00157AAA">
      <w:pPr>
        <w:spacing w:after="0"/>
        <w:rPr>
          <w:b/>
          <w:i/>
          <w:szCs w:val="24"/>
        </w:rPr>
      </w:pPr>
    </w:p>
    <w:p w14:paraId="0D5C05E4" w14:textId="4E967CAE" w:rsidR="00157AAA" w:rsidRDefault="006C1BE5">
      <w:pPr>
        <w:spacing w:after="0"/>
        <w:rPr>
          <w:szCs w:val="24"/>
        </w:rPr>
      </w:pPr>
      <w:r w:rsidRPr="008E2AAD">
        <w:rPr>
          <w:b/>
          <w:szCs w:val="24"/>
        </w:rPr>
        <w:t>Process Description</w:t>
      </w:r>
      <w:r w:rsidRPr="008E2AAD">
        <w:rPr>
          <w:szCs w:val="24"/>
        </w:rPr>
        <w:t>:</w:t>
      </w:r>
      <w:r>
        <w:rPr>
          <w:szCs w:val="24"/>
        </w:rPr>
        <w:t xml:space="preserve"> The process describes the payment mechanism at NSW for the purpose of managing administrative fees and taxes </w:t>
      </w:r>
      <w:r w:rsidRPr="00E643BB">
        <w:rPr>
          <w:szCs w:val="24"/>
        </w:rPr>
        <w:t>for the registration</w:t>
      </w:r>
      <w:r>
        <w:rPr>
          <w:szCs w:val="24"/>
        </w:rPr>
        <w:t xml:space="preserve"> of users and required for the issuing of LPCOs and for inspections. Actual payments can be carried out through the payment gateway of the NSW or via other means at the disposal of the EO.</w:t>
      </w:r>
      <w:r w:rsidR="00673928">
        <w:rPr>
          <w:szCs w:val="24"/>
        </w:rPr>
        <w:t xml:space="preserve"> </w:t>
      </w:r>
      <w:r w:rsidR="00673928" w:rsidRPr="0026442C">
        <w:rPr>
          <w:szCs w:val="24"/>
        </w:rPr>
        <w:t xml:space="preserve">Following the prior created payment advice, the payment service receives notification for expected payment from the LPCO Workflow Management and/or the LPCO Application module, or from the licensing systems from other CBRA’s if the LPCO is issued in the systems of the CBRA. The payment service should be able to receive request for cancelation of payment advice from the LPCO Workflow Management and/or the LPCO Application module, or from the licensing systems from other CBRA (e.g. in cases when the EO decides to withdraw his request for issuing a LPCO). The NSW will register the expected payment and will expect confirmation for payment from the bank/treasury. After the completed payment from the EO, the NSW system receives the information for the payment and must be able to confirm if the received information about the payment is to be accepted or rejected, based on predefined rules. If the information received matches the information in the previously received notification for expected payment, the system registers the payment and notifies the LPCO Workflow Management and/or the LPCO Application module or CBRA’s licensing systems. In cases, when the payment is accepted by the payment service, but it </w:t>
      </w:r>
      <w:r w:rsidR="0026442C" w:rsidRPr="0026442C">
        <w:rPr>
          <w:szCs w:val="24"/>
        </w:rPr>
        <w:t>cannot</w:t>
      </w:r>
      <w:r w:rsidR="00673928" w:rsidRPr="0026442C">
        <w:rPr>
          <w:szCs w:val="24"/>
        </w:rPr>
        <w:t xml:space="preserve"> be matched because of some mistake in the payment information, it should be possible appropriate changes to be made in the payment information in order the payment to be matched with the appropriate payment </w:t>
      </w:r>
      <w:r w:rsidR="0026442C" w:rsidRPr="0026442C">
        <w:rPr>
          <w:szCs w:val="24"/>
        </w:rPr>
        <w:t>advice</w:t>
      </w:r>
      <w:r w:rsidR="00673928" w:rsidRPr="0026442C">
        <w:rPr>
          <w:szCs w:val="24"/>
        </w:rPr>
        <w:t xml:space="preserve">.  In case of overpayment, the payment service should be able to receive a refund request and to re-send it to the treasury MF, with </w:t>
      </w:r>
      <w:r w:rsidR="00673928" w:rsidRPr="0026442C">
        <w:rPr>
          <w:szCs w:val="24"/>
        </w:rPr>
        <w:lastRenderedPageBreak/>
        <w:t>the amount to be refunded and the account to which the funds are to be refunded.</w:t>
      </w:r>
      <w:r w:rsidR="00DC76A1" w:rsidRPr="0026442C">
        <w:rPr>
          <w:szCs w:val="24"/>
        </w:rPr>
        <w:t xml:space="preserve"> A possibility for exchange of files/information for payments and returns with treasury MF must be taken in consideration. The refund request will be based on </w:t>
      </w:r>
      <w:proofErr w:type="gramStart"/>
      <w:r w:rsidR="00DC76A1" w:rsidRPr="0026442C">
        <w:rPr>
          <w:szCs w:val="24"/>
        </w:rPr>
        <w:t>previously</w:t>
      </w:r>
      <w:proofErr w:type="gramEnd"/>
      <w:r w:rsidR="00DC76A1" w:rsidRPr="0026442C">
        <w:rPr>
          <w:szCs w:val="24"/>
        </w:rPr>
        <w:t xml:space="preserve"> completed administrative procedure for approval of refund, which will take place outside the NSW.</w:t>
      </w:r>
    </w:p>
    <w:p w14:paraId="1E5AAD22" w14:textId="77777777" w:rsidR="00157AAA" w:rsidRDefault="00157AAA">
      <w:pPr>
        <w:spacing w:after="0"/>
        <w:rPr>
          <w:szCs w:val="24"/>
        </w:rPr>
      </w:pPr>
    </w:p>
    <w:p w14:paraId="17B0B8C3" w14:textId="77777777" w:rsidR="00157AAA" w:rsidRDefault="006C1BE5">
      <w:pPr>
        <w:rPr>
          <w:b/>
          <w:i/>
          <w:szCs w:val="24"/>
        </w:rPr>
      </w:pPr>
      <w:r>
        <w:rPr>
          <w:b/>
          <w:i/>
          <w:szCs w:val="24"/>
        </w:rPr>
        <w:t>Process Steps:</w:t>
      </w:r>
    </w:p>
    <w:tbl>
      <w:tblPr>
        <w:tblStyle w:val="TableGrid"/>
        <w:tblW w:w="0" w:type="auto"/>
        <w:tblLook w:val="04A0" w:firstRow="1" w:lastRow="0" w:firstColumn="1" w:lastColumn="0" w:noHBand="0" w:noVBand="1"/>
      </w:tblPr>
      <w:tblGrid>
        <w:gridCol w:w="1435"/>
        <w:gridCol w:w="2430"/>
        <w:gridCol w:w="4765"/>
      </w:tblGrid>
      <w:tr w:rsidR="00157AAA" w14:paraId="517ED3CC" w14:textId="77777777" w:rsidTr="001136D3">
        <w:trPr>
          <w:tblHeader/>
        </w:trPr>
        <w:tc>
          <w:tcPr>
            <w:tcW w:w="1435" w:type="dxa"/>
            <w:shd w:val="clear" w:color="auto" w:fill="D9D9D9" w:themeFill="background1" w:themeFillShade="D9"/>
          </w:tcPr>
          <w:p w14:paraId="71ACC849" w14:textId="77777777" w:rsidR="00157AAA" w:rsidRDefault="006C1BE5" w:rsidP="001136D3">
            <w:pPr>
              <w:spacing w:after="0"/>
              <w:rPr>
                <w:b/>
              </w:rPr>
            </w:pPr>
            <w:r>
              <w:rPr>
                <w:b/>
              </w:rPr>
              <w:t>Step</w:t>
            </w:r>
          </w:p>
        </w:tc>
        <w:tc>
          <w:tcPr>
            <w:tcW w:w="2430" w:type="dxa"/>
            <w:shd w:val="clear" w:color="auto" w:fill="D9D9D9" w:themeFill="background1" w:themeFillShade="D9"/>
          </w:tcPr>
          <w:p w14:paraId="0C8C823F" w14:textId="77777777" w:rsidR="00157AAA" w:rsidRDefault="006C1BE5" w:rsidP="001136D3">
            <w:pPr>
              <w:spacing w:after="0"/>
              <w:jc w:val="left"/>
              <w:rPr>
                <w:b/>
              </w:rPr>
            </w:pPr>
            <w:r>
              <w:rPr>
                <w:b/>
              </w:rPr>
              <w:t>Name</w:t>
            </w:r>
          </w:p>
        </w:tc>
        <w:tc>
          <w:tcPr>
            <w:tcW w:w="4765" w:type="dxa"/>
            <w:shd w:val="clear" w:color="auto" w:fill="D9D9D9" w:themeFill="background1" w:themeFillShade="D9"/>
          </w:tcPr>
          <w:p w14:paraId="056D69C1" w14:textId="77777777" w:rsidR="00157AAA" w:rsidRDefault="006C1BE5" w:rsidP="001136D3">
            <w:pPr>
              <w:spacing w:after="0"/>
              <w:jc w:val="left"/>
              <w:rPr>
                <w:b/>
              </w:rPr>
            </w:pPr>
            <w:r>
              <w:rPr>
                <w:b/>
              </w:rPr>
              <w:t>Description</w:t>
            </w:r>
          </w:p>
        </w:tc>
      </w:tr>
      <w:tr w:rsidR="00157AAA" w14:paraId="71D656F4" w14:textId="77777777" w:rsidTr="001136D3">
        <w:tc>
          <w:tcPr>
            <w:tcW w:w="1435" w:type="dxa"/>
          </w:tcPr>
          <w:p w14:paraId="09902C47" w14:textId="77777777" w:rsidR="00157AAA" w:rsidRDefault="006C1BE5" w:rsidP="001136D3">
            <w:pPr>
              <w:spacing w:after="0"/>
              <w:rPr>
                <w:lang w:val="mk-MK"/>
              </w:rPr>
            </w:pPr>
            <w:r>
              <w:t>Start Event</w:t>
            </w:r>
          </w:p>
        </w:tc>
        <w:tc>
          <w:tcPr>
            <w:tcW w:w="2430" w:type="dxa"/>
          </w:tcPr>
          <w:p w14:paraId="7AFF5A3C" w14:textId="77777777" w:rsidR="00157AAA" w:rsidRDefault="006C1BE5" w:rsidP="001136D3">
            <w:pPr>
              <w:spacing w:after="0"/>
              <w:jc w:val="left"/>
            </w:pPr>
            <w:r>
              <w:t>Notification About Expected Payment from Competent Authority Received</w:t>
            </w:r>
          </w:p>
        </w:tc>
        <w:tc>
          <w:tcPr>
            <w:tcW w:w="4765" w:type="dxa"/>
          </w:tcPr>
          <w:p w14:paraId="3135A3B6" w14:textId="77777777" w:rsidR="00157AAA" w:rsidRDefault="006C1BE5" w:rsidP="001136D3">
            <w:pPr>
              <w:spacing w:after="0"/>
            </w:pPr>
            <w:r>
              <w:t>The payment service expects to receive information from the competent authorities about the payments that are due to it for the respective application for license, request, etc. or for the respective inspection.</w:t>
            </w:r>
          </w:p>
        </w:tc>
      </w:tr>
      <w:tr w:rsidR="00157AAA" w14:paraId="7AFAB37F" w14:textId="77777777" w:rsidTr="001136D3">
        <w:tc>
          <w:tcPr>
            <w:tcW w:w="1435" w:type="dxa"/>
          </w:tcPr>
          <w:p w14:paraId="46D2C6AD" w14:textId="77777777" w:rsidR="00157AAA" w:rsidRDefault="006C1BE5" w:rsidP="001136D3">
            <w:pPr>
              <w:spacing w:after="0"/>
            </w:pPr>
            <w:r>
              <w:t>Start Event</w:t>
            </w:r>
          </w:p>
        </w:tc>
        <w:tc>
          <w:tcPr>
            <w:tcW w:w="2430" w:type="dxa"/>
          </w:tcPr>
          <w:p w14:paraId="1F1CB464" w14:textId="77777777" w:rsidR="00157AAA" w:rsidRDefault="006C1BE5" w:rsidP="001136D3">
            <w:pPr>
              <w:spacing w:after="0"/>
              <w:jc w:val="left"/>
            </w:pPr>
            <w:r>
              <w:t>Notification for Expected Payment Received</w:t>
            </w:r>
          </w:p>
        </w:tc>
        <w:tc>
          <w:tcPr>
            <w:tcW w:w="4765" w:type="dxa"/>
          </w:tcPr>
          <w:p w14:paraId="2B411621" w14:textId="77777777" w:rsidR="00157AAA" w:rsidRDefault="006C1BE5" w:rsidP="001136D3">
            <w:pPr>
              <w:spacing w:after="0"/>
            </w:pPr>
            <w:r>
              <w:t>The payment system will expect to receive information from the NSW about due payments for applications and inspections which are processed by the competent authorities at the NSW.</w:t>
            </w:r>
          </w:p>
        </w:tc>
      </w:tr>
      <w:tr w:rsidR="00157AAA" w14:paraId="3B8F8CB0" w14:textId="77777777" w:rsidTr="001136D3">
        <w:tc>
          <w:tcPr>
            <w:tcW w:w="1435" w:type="dxa"/>
          </w:tcPr>
          <w:p w14:paraId="7EC50239" w14:textId="77777777" w:rsidR="00157AAA" w:rsidRDefault="006C1BE5" w:rsidP="001136D3">
            <w:pPr>
              <w:spacing w:after="0"/>
            </w:pPr>
            <w:r>
              <w:t>Service Task</w:t>
            </w:r>
          </w:p>
        </w:tc>
        <w:tc>
          <w:tcPr>
            <w:tcW w:w="2430" w:type="dxa"/>
          </w:tcPr>
          <w:p w14:paraId="66F344E8" w14:textId="77777777" w:rsidR="00157AAA" w:rsidRDefault="006C1BE5" w:rsidP="001136D3">
            <w:pPr>
              <w:spacing w:after="0"/>
              <w:jc w:val="left"/>
            </w:pPr>
            <w:r>
              <w:t>Register expected payment</w:t>
            </w:r>
          </w:p>
        </w:tc>
        <w:tc>
          <w:tcPr>
            <w:tcW w:w="4765" w:type="dxa"/>
          </w:tcPr>
          <w:p w14:paraId="1DA77065" w14:textId="5D8F3B65" w:rsidR="00157AAA" w:rsidRDefault="006C1BE5" w:rsidP="001136D3">
            <w:pPr>
              <w:spacing w:after="0"/>
            </w:pPr>
            <w:r>
              <w:t>The payment service receives information from the LPCO Application</w:t>
            </w:r>
            <w:r w:rsidR="004F732F" w:rsidRPr="004F732F">
              <w:rPr>
                <w:szCs w:val="24"/>
              </w:rPr>
              <w:t>/LPCO Workflow Management</w:t>
            </w:r>
            <w:r>
              <w:t xml:space="preserve"> and competent authorities about payments which should be made so that the registration is completed, the LPCO is issued and/or the inspection is carried out.</w:t>
            </w:r>
          </w:p>
        </w:tc>
      </w:tr>
      <w:tr w:rsidR="00157AAA" w14:paraId="230555FC" w14:textId="77777777" w:rsidTr="001136D3">
        <w:tc>
          <w:tcPr>
            <w:tcW w:w="1435" w:type="dxa"/>
          </w:tcPr>
          <w:p w14:paraId="0D15060C" w14:textId="77777777" w:rsidR="00157AAA" w:rsidRDefault="006C1BE5" w:rsidP="001136D3">
            <w:pPr>
              <w:spacing w:after="0"/>
            </w:pPr>
            <w:r>
              <w:t>Message Event</w:t>
            </w:r>
          </w:p>
        </w:tc>
        <w:tc>
          <w:tcPr>
            <w:tcW w:w="2430" w:type="dxa"/>
          </w:tcPr>
          <w:p w14:paraId="7A95A01F" w14:textId="3B74EB55" w:rsidR="00157AAA" w:rsidRDefault="006C1BE5" w:rsidP="001136D3">
            <w:pPr>
              <w:spacing w:after="0"/>
              <w:jc w:val="left"/>
            </w:pPr>
            <w:r>
              <w:t>Payment document received from bank</w:t>
            </w:r>
            <w:r w:rsidR="00D173B1">
              <w:t>/</w:t>
            </w:r>
            <w:r w:rsidR="00D173B1" w:rsidRPr="0026442C">
              <w:t>treasury MF</w:t>
            </w:r>
          </w:p>
        </w:tc>
        <w:tc>
          <w:tcPr>
            <w:tcW w:w="4765" w:type="dxa"/>
          </w:tcPr>
          <w:p w14:paraId="592CB414" w14:textId="64023C41" w:rsidR="00157AAA" w:rsidRPr="005E6A97" w:rsidRDefault="006C1BE5" w:rsidP="001136D3">
            <w:pPr>
              <w:spacing w:after="0"/>
              <w:rPr>
                <w:lang w:val="mk-MK"/>
              </w:rPr>
            </w:pPr>
            <w:r>
              <w:t>The payment system will receive information about the payments made by the economic operator for the application or inspection</w:t>
            </w:r>
            <w:r w:rsidR="00845BF9">
              <w:rPr>
                <w:lang w:val="mk-MK"/>
              </w:rPr>
              <w:t>.</w:t>
            </w:r>
          </w:p>
        </w:tc>
      </w:tr>
      <w:tr w:rsidR="00157AAA" w14:paraId="24A85D40" w14:textId="77777777" w:rsidTr="001136D3">
        <w:tc>
          <w:tcPr>
            <w:tcW w:w="1435" w:type="dxa"/>
          </w:tcPr>
          <w:p w14:paraId="1EC05B8C" w14:textId="77777777" w:rsidR="00157AAA" w:rsidRDefault="006C1BE5" w:rsidP="001136D3">
            <w:pPr>
              <w:spacing w:after="0"/>
            </w:pPr>
            <w:r>
              <w:t>Service Task</w:t>
            </w:r>
          </w:p>
        </w:tc>
        <w:tc>
          <w:tcPr>
            <w:tcW w:w="2430" w:type="dxa"/>
          </w:tcPr>
          <w:p w14:paraId="5484C9C6" w14:textId="77777777" w:rsidR="00157AAA" w:rsidRDefault="006C1BE5" w:rsidP="001136D3">
            <w:pPr>
              <w:spacing w:after="0"/>
              <w:jc w:val="left"/>
            </w:pPr>
            <w:r>
              <w:t>Register Actual Payment</w:t>
            </w:r>
          </w:p>
        </w:tc>
        <w:tc>
          <w:tcPr>
            <w:tcW w:w="4765" w:type="dxa"/>
          </w:tcPr>
          <w:p w14:paraId="053D8873" w14:textId="77777777" w:rsidR="00157AAA" w:rsidRDefault="006C1BE5" w:rsidP="001136D3">
            <w:pPr>
              <w:spacing w:after="0"/>
            </w:pPr>
            <w:r>
              <w:t>The system receives information (incl. all payment details) about the payments and records it.</w:t>
            </w:r>
          </w:p>
        </w:tc>
      </w:tr>
      <w:tr w:rsidR="00157AAA" w14:paraId="7BC1FF48" w14:textId="77777777" w:rsidTr="001136D3">
        <w:tc>
          <w:tcPr>
            <w:tcW w:w="1435" w:type="dxa"/>
          </w:tcPr>
          <w:p w14:paraId="6A0E1FF0" w14:textId="77777777" w:rsidR="00157AAA" w:rsidRDefault="006C1BE5" w:rsidP="001136D3">
            <w:pPr>
              <w:spacing w:after="0"/>
            </w:pPr>
            <w:r>
              <w:t>Service Task</w:t>
            </w:r>
          </w:p>
        </w:tc>
        <w:tc>
          <w:tcPr>
            <w:tcW w:w="2430" w:type="dxa"/>
          </w:tcPr>
          <w:p w14:paraId="3AEC232A" w14:textId="77777777" w:rsidR="00157AAA" w:rsidRDefault="006C1BE5" w:rsidP="001136D3">
            <w:pPr>
              <w:spacing w:after="0"/>
              <w:jc w:val="left"/>
            </w:pPr>
            <w:r>
              <w:t>Match payment information</w:t>
            </w:r>
          </w:p>
        </w:tc>
        <w:tc>
          <w:tcPr>
            <w:tcW w:w="4765" w:type="dxa"/>
          </w:tcPr>
          <w:p w14:paraId="100DC818" w14:textId="77777777" w:rsidR="00157AAA" w:rsidRDefault="006C1BE5" w:rsidP="001136D3">
            <w:pPr>
              <w:spacing w:after="0"/>
            </w:pPr>
            <w:r>
              <w:t>The Payment Service will match the received payment with the expected one.</w:t>
            </w:r>
          </w:p>
        </w:tc>
      </w:tr>
      <w:tr w:rsidR="00157AAA" w14:paraId="33B61FE9" w14:textId="77777777" w:rsidTr="001136D3">
        <w:tc>
          <w:tcPr>
            <w:tcW w:w="1435" w:type="dxa"/>
          </w:tcPr>
          <w:p w14:paraId="5C6B60B2" w14:textId="77777777" w:rsidR="00157AAA" w:rsidRDefault="006C1BE5" w:rsidP="001136D3">
            <w:pPr>
              <w:spacing w:after="0"/>
            </w:pPr>
            <w:r>
              <w:t>Send Task</w:t>
            </w:r>
          </w:p>
        </w:tc>
        <w:tc>
          <w:tcPr>
            <w:tcW w:w="2430" w:type="dxa"/>
          </w:tcPr>
          <w:p w14:paraId="1E696A1A" w14:textId="77777777" w:rsidR="00157AAA" w:rsidRDefault="006C1BE5" w:rsidP="001136D3">
            <w:pPr>
              <w:spacing w:after="0"/>
              <w:jc w:val="left"/>
            </w:pPr>
            <w:r>
              <w:t>Notify about received payment</w:t>
            </w:r>
          </w:p>
        </w:tc>
        <w:tc>
          <w:tcPr>
            <w:tcW w:w="4765" w:type="dxa"/>
          </w:tcPr>
          <w:p w14:paraId="4D182E54" w14:textId="08206CC6" w:rsidR="00157AAA" w:rsidRDefault="006C1BE5" w:rsidP="001136D3">
            <w:pPr>
              <w:spacing w:after="0"/>
            </w:pPr>
            <w:r>
              <w:t>The LPCO Application</w:t>
            </w:r>
            <w:r w:rsidR="002A75A4" w:rsidRPr="004F732F">
              <w:rPr>
                <w:szCs w:val="24"/>
              </w:rPr>
              <w:t>/LPCO Workflow Management</w:t>
            </w:r>
            <w:r>
              <w:t xml:space="preserve"> receives information about the payment that is done and whether this payment is sufficient.</w:t>
            </w:r>
          </w:p>
        </w:tc>
      </w:tr>
      <w:tr w:rsidR="00157AAA" w14:paraId="6852C220" w14:textId="77777777" w:rsidTr="001136D3">
        <w:tc>
          <w:tcPr>
            <w:tcW w:w="1435" w:type="dxa"/>
          </w:tcPr>
          <w:p w14:paraId="6CF30DDA" w14:textId="77777777" w:rsidR="00157AAA" w:rsidRDefault="006C1BE5" w:rsidP="001136D3">
            <w:pPr>
              <w:spacing w:after="0"/>
            </w:pPr>
            <w:r>
              <w:t>Service Task</w:t>
            </w:r>
          </w:p>
        </w:tc>
        <w:tc>
          <w:tcPr>
            <w:tcW w:w="2430" w:type="dxa"/>
          </w:tcPr>
          <w:p w14:paraId="436746BA" w14:textId="77777777" w:rsidR="00157AAA" w:rsidRDefault="006C1BE5" w:rsidP="001136D3">
            <w:pPr>
              <w:spacing w:after="0"/>
              <w:jc w:val="left"/>
            </w:pPr>
            <w:r>
              <w:t>Store payment information</w:t>
            </w:r>
          </w:p>
        </w:tc>
        <w:tc>
          <w:tcPr>
            <w:tcW w:w="4765" w:type="dxa"/>
          </w:tcPr>
          <w:p w14:paraId="6C112203" w14:textId="77777777" w:rsidR="00157AAA" w:rsidRDefault="006C1BE5" w:rsidP="001136D3">
            <w:pPr>
              <w:spacing w:after="0"/>
            </w:pPr>
            <w:r>
              <w:t>The payment service submits the information of the payment to the data warehouse.</w:t>
            </w:r>
          </w:p>
        </w:tc>
      </w:tr>
      <w:tr w:rsidR="00157AAA" w14:paraId="1E625C5B" w14:textId="77777777" w:rsidTr="001136D3">
        <w:tc>
          <w:tcPr>
            <w:tcW w:w="1435" w:type="dxa"/>
          </w:tcPr>
          <w:p w14:paraId="49EE3B56" w14:textId="77777777" w:rsidR="00157AAA" w:rsidRDefault="006C1BE5" w:rsidP="001136D3">
            <w:pPr>
              <w:spacing w:after="0"/>
            </w:pPr>
            <w:r>
              <w:t>End Event</w:t>
            </w:r>
          </w:p>
        </w:tc>
        <w:tc>
          <w:tcPr>
            <w:tcW w:w="2430" w:type="dxa"/>
          </w:tcPr>
          <w:p w14:paraId="536739CB" w14:textId="77777777" w:rsidR="00157AAA" w:rsidRDefault="006C1BE5" w:rsidP="001136D3">
            <w:pPr>
              <w:spacing w:after="0"/>
              <w:jc w:val="left"/>
            </w:pPr>
            <w:r>
              <w:t>Payment processed</w:t>
            </w:r>
          </w:p>
        </w:tc>
        <w:tc>
          <w:tcPr>
            <w:tcW w:w="4765" w:type="dxa"/>
          </w:tcPr>
          <w:p w14:paraId="3A20FBA3" w14:textId="77777777" w:rsidR="00157AAA" w:rsidRDefault="006C1BE5" w:rsidP="001136D3">
            <w:pPr>
              <w:spacing w:after="0"/>
            </w:pPr>
            <w:r>
              <w:t>The payment system has processed and matched all payments and has sent the information to the competent authorities and the NSW.</w:t>
            </w:r>
          </w:p>
        </w:tc>
      </w:tr>
    </w:tbl>
    <w:p w14:paraId="3E7DD51E" w14:textId="77777777" w:rsidR="00157AAA" w:rsidRDefault="00157AAA">
      <w:pPr>
        <w:spacing w:after="0"/>
        <w:rPr>
          <w:szCs w:val="24"/>
        </w:rPr>
      </w:pPr>
    </w:p>
    <w:p w14:paraId="7C65B35D" w14:textId="77777777" w:rsidR="00157AAA" w:rsidRPr="008E2AAD" w:rsidRDefault="006C1BE5">
      <w:pPr>
        <w:rPr>
          <w:b/>
        </w:rPr>
      </w:pPr>
      <w:r w:rsidRPr="008E2AAD">
        <w:rPr>
          <w:b/>
        </w:rPr>
        <w:t>Functional Requirements:</w:t>
      </w:r>
    </w:p>
    <w:p w14:paraId="649F0453" w14:textId="77777777" w:rsidR="00157AAA" w:rsidRDefault="00157AAA">
      <w:pPr>
        <w:spacing w:after="0"/>
        <w:rPr>
          <w:i/>
        </w:rPr>
      </w:pPr>
    </w:p>
    <w:tbl>
      <w:tblPr>
        <w:tblStyle w:val="TableGrid"/>
        <w:tblW w:w="8635" w:type="dxa"/>
        <w:tblLook w:val="04A0" w:firstRow="1" w:lastRow="0" w:firstColumn="1" w:lastColumn="0" w:noHBand="0" w:noVBand="1"/>
      </w:tblPr>
      <w:tblGrid>
        <w:gridCol w:w="895"/>
        <w:gridCol w:w="7740"/>
      </w:tblGrid>
      <w:tr w:rsidR="00157AAA" w:rsidRPr="00807E88" w14:paraId="261AE487" w14:textId="77777777" w:rsidTr="001136D3">
        <w:trPr>
          <w:tblHeader/>
        </w:trPr>
        <w:tc>
          <w:tcPr>
            <w:tcW w:w="895" w:type="dxa"/>
            <w:shd w:val="clear" w:color="auto" w:fill="D9D9D9" w:themeFill="background1" w:themeFillShade="D9"/>
          </w:tcPr>
          <w:p w14:paraId="4375C2A3" w14:textId="77777777" w:rsidR="00157AAA" w:rsidRPr="00807E88" w:rsidRDefault="006C1BE5" w:rsidP="001136D3">
            <w:pPr>
              <w:spacing w:after="0"/>
              <w:rPr>
                <w:b/>
                <w:szCs w:val="24"/>
              </w:rPr>
            </w:pPr>
            <w:r w:rsidRPr="00807E88">
              <w:rPr>
                <w:b/>
                <w:szCs w:val="24"/>
              </w:rPr>
              <w:lastRenderedPageBreak/>
              <w:t>ID</w:t>
            </w:r>
          </w:p>
        </w:tc>
        <w:tc>
          <w:tcPr>
            <w:tcW w:w="7740" w:type="dxa"/>
            <w:shd w:val="clear" w:color="auto" w:fill="D9D9D9" w:themeFill="background1" w:themeFillShade="D9"/>
          </w:tcPr>
          <w:p w14:paraId="17B8C2EE" w14:textId="77777777" w:rsidR="00157AAA" w:rsidRPr="00807E88" w:rsidRDefault="006C1BE5" w:rsidP="001136D3">
            <w:pPr>
              <w:spacing w:after="0"/>
              <w:jc w:val="left"/>
              <w:rPr>
                <w:b/>
                <w:szCs w:val="24"/>
              </w:rPr>
            </w:pPr>
            <w:r w:rsidRPr="00807E88">
              <w:rPr>
                <w:b/>
                <w:szCs w:val="24"/>
              </w:rPr>
              <w:t>Description</w:t>
            </w:r>
          </w:p>
        </w:tc>
      </w:tr>
      <w:tr w:rsidR="002C0A7C" w:rsidRPr="00807E88" w14:paraId="724B956D" w14:textId="77777777" w:rsidTr="001136D3">
        <w:tc>
          <w:tcPr>
            <w:tcW w:w="895" w:type="dxa"/>
            <w:shd w:val="clear" w:color="auto" w:fill="FFFFFF" w:themeFill="background1"/>
          </w:tcPr>
          <w:p w14:paraId="70BDCE21" w14:textId="1EE41CB6" w:rsidR="002C0A7C" w:rsidRPr="00807E88" w:rsidRDefault="002C0A7C" w:rsidP="001136D3">
            <w:pPr>
              <w:spacing w:after="0"/>
              <w:rPr>
                <w:b/>
                <w:szCs w:val="24"/>
              </w:rPr>
            </w:pPr>
            <w:r w:rsidRPr="00807E88">
              <w:rPr>
                <w:szCs w:val="24"/>
              </w:rPr>
              <w:t>FR115</w:t>
            </w:r>
          </w:p>
        </w:tc>
        <w:tc>
          <w:tcPr>
            <w:tcW w:w="7740" w:type="dxa"/>
            <w:shd w:val="clear" w:color="auto" w:fill="FFFFFF" w:themeFill="background1"/>
          </w:tcPr>
          <w:p w14:paraId="3C99C5F1" w14:textId="302E38A0" w:rsidR="002C0A7C" w:rsidRPr="00807E88" w:rsidRDefault="002C0A7C" w:rsidP="001136D3">
            <w:pPr>
              <w:spacing w:after="0"/>
              <w:rPr>
                <w:b/>
                <w:szCs w:val="24"/>
              </w:rPr>
            </w:pPr>
            <w:r w:rsidRPr="00807E88">
              <w:rPr>
                <w:szCs w:val="24"/>
              </w:rPr>
              <w:t>The Applicant shall be able to pay any requisite LPCO fee online including any other fee specified to be payable, via the NSW System facilitated by the Payment functionality.</w:t>
            </w:r>
          </w:p>
        </w:tc>
      </w:tr>
      <w:tr w:rsidR="002C0A7C" w:rsidRPr="00807E88" w14:paraId="4D6810AF" w14:textId="77777777" w:rsidTr="001136D3">
        <w:tc>
          <w:tcPr>
            <w:tcW w:w="895" w:type="dxa"/>
            <w:shd w:val="clear" w:color="auto" w:fill="FFFFFF" w:themeFill="background1"/>
          </w:tcPr>
          <w:p w14:paraId="6A245EFB" w14:textId="73B7017C" w:rsidR="002C0A7C" w:rsidRPr="00807E88" w:rsidRDefault="002C0A7C" w:rsidP="001136D3">
            <w:pPr>
              <w:spacing w:after="0"/>
              <w:rPr>
                <w:szCs w:val="24"/>
              </w:rPr>
            </w:pPr>
            <w:r w:rsidRPr="00807E88">
              <w:rPr>
                <w:szCs w:val="24"/>
              </w:rPr>
              <w:t>FR128</w:t>
            </w:r>
          </w:p>
        </w:tc>
        <w:tc>
          <w:tcPr>
            <w:tcW w:w="7740" w:type="dxa"/>
            <w:shd w:val="clear" w:color="auto" w:fill="FFFFFF" w:themeFill="background1"/>
          </w:tcPr>
          <w:p w14:paraId="105CA664" w14:textId="2B2922F4" w:rsidR="002C0A7C" w:rsidRPr="00807E88" w:rsidRDefault="002C0A7C" w:rsidP="001136D3">
            <w:pPr>
              <w:spacing w:after="0"/>
              <w:rPr>
                <w:szCs w:val="24"/>
              </w:rPr>
            </w:pPr>
            <w:r w:rsidRPr="00807E88">
              <w:rPr>
                <w:szCs w:val="24"/>
              </w:rPr>
              <w:t>Upon payment by the applicant, the NSW system must receive the payment confirmation from the bank</w:t>
            </w:r>
            <w:r w:rsidR="00DC666C" w:rsidRPr="00DC666C">
              <w:rPr>
                <w:szCs w:val="24"/>
              </w:rPr>
              <w:t>/</w:t>
            </w:r>
            <w:r w:rsidR="00DC666C" w:rsidRPr="0026442C">
              <w:rPr>
                <w:szCs w:val="24"/>
              </w:rPr>
              <w:t>treasury MF</w:t>
            </w:r>
            <w:r w:rsidRPr="00DC666C">
              <w:rPr>
                <w:sz w:val="28"/>
                <w:szCs w:val="28"/>
              </w:rPr>
              <w:t xml:space="preserve"> </w:t>
            </w:r>
            <w:r w:rsidRPr="00807E88">
              <w:rPr>
                <w:szCs w:val="24"/>
              </w:rPr>
              <w:t xml:space="preserve">via the NSW Payment </w:t>
            </w:r>
            <w:proofErr w:type="gramStart"/>
            <w:r w:rsidRPr="00807E88">
              <w:rPr>
                <w:szCs w:val="24"/>
              </w:rPr>
              <w:t>functionality, and</w:t>
            </w:r>
            <w:proofErr w:type="gramEnd"/>
            <w:r w:rsidRPr="00807E88">
              <w:rPr>
                <w:szCs w:val="24"/>
              </w:rPr>
              <w:t xml:space="preserve"> update this status to the CBRA system.</w:t>
            </w:r>
          </w:p>
        </w:tc>
      </w:tr>
      <w:tr w:rsidR="00475A4C" w:rsidRPr="00807E88" w14:paraId="3435AAE3" w14:textId="77777777" w:rsidTr="001136D3">
        <w:tc>
          <w:tcPr>
            <w:tcW w:w="895" w:type="dxa"/>
            <w:shd w:val="clear" w:color="auto" w:fill="FFFFFF" w:themeFill="background1"/>
          </w:tcPr>
          <w:p w14:paraId="6F7C86DA" w14:textId="127BACB3" w:rsidR="00475A4C" w:rsidRPr="00807E88" w:rsidRDefault="00475A4C" w:rsidP="001136D3">
            <w:pPr>
              <w:spacing w:after="0"/>
              <w:rPr>
                <w:szCs w:val="24"/>
              </w:rPr>
            </w:pPr>
            <w:r w:rsidRPr="00807E88">
              <w:rPr>
                <w:szCs w:val="24"/>
              </w:rPr>
              <w:t>FR147</w:t>
            </w:r>
          </w:p>
        </w:tc>
        <w:tc>
          <w:tcPr>
            <w:tcW w:w="7740" w:type="dxa"/>
            <w:shd w:val="clear" w:color="auto" w:fill="FFFFFF" w:themeFill="background1"/>
          </w:tcPr>
          <w:p w14:paraId="174E5C3F" w14:textId="32CD8BDF" w:rsidR="00475A4C" w:rsidRPr="00807E88" w:rsidRDefault="00475A4C" w:rsidP="001136D3">
            <w:pPr>
              <w:spacing w:after="0"/>
              <w:rPr>
                <w:szCs w:val="24"/>
              </w:rPr>
            </w:pPr>
            <w:r w:rsidRPr="00807E88">
              <w:rPr>
                <w:szCs w:val="24"/>
              </w:rPr>
              <w:t>The NSW System must provide functionality to collect, compile and send all necessary information needed to process a payment through a payment gateway.</w:t>
            </w:r>
          </w:p>
        </w:tc>
      </w:tr>
      <w:tr w:rsidR="00475A4C" w:rsidRPr="00807E88" w14:paraId="471AFFED" w14:textId="77777777" w:rsidTr="001136D3">
        <w:tc>
          <w:tcPr>
            <w:tcW w:w="895" w:type="dxa"/>
            <w:shd w:val="clear" w:color="auto" w:fill="FFFFFF" w:themeFill="background1"/>
          </w:tcPr>
          <w:p w14:paraId="1D4A5481" w14:textId="2D5F0EF5" w:rsidR="00475A4C" w:rsidRPr="00807E88" w:rsidRDefault="00475A4C" w:rsidP="001136D3">
            <w:pPr>
              <w:spacing w:after="0"/>
              <w:rPr>
                <w:szCs w:val="24"/>
              </w:rPr>
            </w:pPr>
            <w:r w:rsidRPr="00807E88">
              <w:rPr>
                <w:szCs w:val="24"/>
              </w:rPr>
              <w:t>FR149</w:t>
            </w:r>
          </w:p>
        </w:tc>
        <w:tc>
          <w:tcPr>
            <w:tcW w:w="7740" w:type="dxa"/>
            <w:shd w:val="clear" w:color="auto" w:fill="FFFFFF" w:themeFill="background1"/>
          </w:tcPr>
          <w:p w14:paraId="4798AC68" w14:textId="6FC68166" w:rsidR="00475A4C" w:rsidRPr="00807E88" w:rsidRDefault="00475A4C" w:rsidP="001136D3">
            <w:pPr>
              <w:spacing w:after="0"/>
              <w:rPr>
                <w:szCs w:val="24"/>
              </w:rPr>
            </w:pPr>
            <w:r w:rsidRPr="00807E88">
              <w:rPr>
                <w:szCs w:val="24"/>
              </w:rPr>
              <w:t>After successful LPCO processing, the NSW System shall prompt the applicant to pay the relevant fee for this LPCO prior to issuance.</w:t>
            </w:r>
          </w:p>
        </w:tc>
      </w:tr>
      <w:tr w:rsidR="00475A4C" w:rsidRPr="00807E88" w14:paraId="2C67CC43" w14:textId="77777777" w:rsidTr="001136D3">
        <w:tc>
          <w:tcPr>
            <w:tcW w:w="895" w:type="dxa"/>
            <w:shd w:val="clear" w:color="auto" w:fill="FFFFFF" w:themeFill="background1"/>
          </w:tcPr>
          <w:p w14:paraId="7908626E" w14:textId="11CC903F" w:rsidR="00475A4C" w:rsidRPr="00807E88" w:rsidRDefault="00475A4C" w:rsidP="001136D3">
            <w:pPr>
              <w:spacing w:after="0"/>
              <w:rPr>
                <w:szCs w:val="24"/>
              </w:rPr>
            </w:pPr>
            <w:r w:rsidRPr="00807E88">
              <w:rPr>
                <w:szCs w:val="24"/>
              </w:rPr>
              <w:t>FR150</w:t>
            </w:r>
          </w:p>
        </w:tc>
        <w:tc>
          <w:tcPr>
            <w:tcW w:w="7740" w:type="dxa"/>
            <w:shd w:val="clear" w:color="auto" w:fill="FFFFFF" w:themeFill="background1"/>
          </w:tcPr>
          <w:p w14:paraId="51B51EB4" w14:textId="3AD4D3C2" w:rsidR="00475A4C" w:rsidRPr="00807E88" w:rsidRDefault="00475A4C" w:rsidP="001136D3">
            <w:pPr>
              <w:spacing w:after="0"/>
              <w:rPr>
                <w:szCs w:val="24"/>
              </w:rPr>
            </w:pPr>
            <w:r w:rsidRPr="00807E88">
              <w:rPr>
                <w:szCs w:val="24"/>
              </w:rPr>
              <w:t>The applicant pays the fees and gets an acknowledgement from the NSW System.</w:t>
            </w:r>
          </w:p>
        </w:tc>
      </w:tr>
      <w:tr w:rsidR="00475A4C" w:rsidRPr="00807E88" w14:paraId="3E437A1C" w14:textId="77777777" w:rsidTr="001136D3">
        <w:tc>
          <w:tcPr>
            <w:tcW w:w="895" w:type="dxa"/>
            <w:shd w:val="clear" w:color="auto" w:fill="FFFFFF" w:themeFill="background1"/>
          </w:tcPr>
          <w:p w14:paraId="2BF1C6BA" w14:textId="3CD10C62" w:rsidR="00475A4C" w:rsidRPr="00807E88" w:rsidRDefault="00475A4C" w:rsidP="001136D3">
            <w:pPr>
              <w:spacing w:after="0"/>
              <w:rPr>
                <w:szCs w:val="24"/>
              </w:rPr>
            </w:pPr>
            <w:r w:rsidRPr="00807E88">
              <w:rPr>
                <w:szCs w:val="24"/>
              </w:rPr>
              <w:t>FR159</w:t>
            </w:r>
          </w:p>
        </w:tc>
        <w:tc>
          <w:tcPr>
            <w:tcW w:w="7740" w:type="dxa"/>
            <w:shd w:val="clear" w:color="auto" w:fill="FFFFFF" w:themeFill="background1"/>
          </w:tcPr>
          <w:p w14:paraId="7561A6A8" w14:textId="3BC2D779" w:rsidR="00475A4C" w:rsidRPr="00807E88" w:rsidRDefault="00475A4C" w:rsidP="001136D3">
            <w:pPr>
              <w:spacing w:after="0"/>
              <w:rPr>
                <w:szCs w:val="24"/>
              </w:rPr>
            </w:pPr>
            <w:r w:rsidRPr="00807E88">
              <w:rPr>
                <w:szCs w:val="24"/>
              </w:rPr>
              <w:t>The CBRA must be able to indicate the following for each LPCO: amount of processing fee if applicable, amount of permit fee if applicable. In case any of these fees is to be determined on a case-by-case basis, CBRA administrator will mark this requirement and CBRA will compute fee based on specific content of LPCO application.</w:t>
            </w:r>
          </w:p>
        </w:tc>
      </w:tr>
      <w:tr w:rsidR="00475A4C" w:rsidRPr="00807E88" w14:paraId="6C7F88D5" w14:textId="77777777" w:rsidTr="001136D3">
        <w:tc>
          <w:tcPr>
            <w:tcW w:w="895" w:type="dxa"/>
            <w:shd w:val="clear" w:color="auto" w:fill="FFFFFF" w:themeFill="background1"/>
            <w:vAlign w:val="bottom"/>
          </w:tcPr>
          <w:p w14:paraId="58B05F7F" w14:textId="77777777" w:rsidR="00475A4C" w:rsidRPr="00807E88" w:rsidRDefault="00475A4C" w:rsidP="001136D3">
            <w:pPr>
              <w:spacing w:after="0"/>
              <w:rPr>
                <w:b/>
                <w:szCs w:val="24"/>
              </w:rPr>
            </w:pPr>
            <w:r w:rsidRPr="00807E88">
              <w:rPr>
                <w:szCs w:val="24"/>
              </w:rPr>
              <w:t>FR226</w:t>
            </w:r>
          </w:p>
        </w:tc>
        <w:tc>
          <w:tcPr>
            <w:tcW w:w="7740" w:type="dxa"/>
            <w:shd w:val="clear" w:color="auto" w:fill="FFFFFF" w:themeFill="background1"/>
          </w:tcPr>
          <w:p w14:paraId="014C705E" w14:textId="77777777" w:rsidR="00475A4C" w:rsidRPr="00807E88" w:rsidRDefault="00475A4C" w:rsidP="001136D3">
            <w:pPr>
              <w:spacing w:after="0"/>
              <w:rPr>
                <w:b/>
                <w:szCs w:val="24"/>
              </w:rPr>
            </w:pPr>
            <w:r w:rsidRPr="00807E88">
              <w:rPr>
                <w:szCs w:val="24"/>
              </w:rPr>
              <w:t>The Payment functionality of NSW must be the single interface for all types of payments relating to the clearance of the consignment.</w:t>
            </w:r>
          </w:p>
        </w:tc>
      </w:tr>
      <w:tr w:rsidR="00475A4C" w:rsidRPr="00807E88" w14:paraId="69D0C0EA" w14:textId="77777777" w:rsidTr="001136D3">
        <w:tc>
          <w:tcPr>
            <w:tcW w:w="895" w:type="dxa"/>
            <w:shd w:val="clear" w:color="auto" w:fill="FFFFFF" w:themeFill="background1"/>
            <w:vAlign w:val="bottom"/>
          </w:tcPr>
          <w:p w14:paraId="73B1468B" w14:textId="77777777" w:rsidR="00475A4C" w:rsidRPr="00807E88" w:rsidRDefault="00475A4C" w:rsidP="001136D3">
            <w:pPr>
              <w:spacing w:after="0"/>
              <w:rPr>
                <w:b/>
                <w:szCs w:val="24"/>
              </w:rPr>
            </w:pPr>
            <w:r w:rsidRPr="00807E88">
              <w:rPr>
                <w:szCs w:val="24"/>
              </w:rPr>
              <w:t>FR227</w:t>
            </w:r>
          </w:p>
        </w:tc>
        <w:tc>
          <w:tcPr>
            <w:tcW w:w="7740" w:type="dxa"/>
            <w:shd w:val="clear" w:color="auto" w:fill="FFFFFF" w:themeFill="background1"/>
          </w:tcPr>
          <w:p w14:paraId="72EC2EEA" w14:textId="77777777" w:rsidR="00475A4C" w:rsidRPr="00807E88" w:rsidRDefault="00475A4C" w:rsidP="001136D3">
            <w:pPr>
              <w:spacing w:after="0"/>
              <w:rPr>
                <w:b/>
                <w:szCs w:val="24"/>
              </w:rPr>
            </w:pPr>
            <w:r w:rsidRPr="00807E88">
              <w:rPr>
                <w:szCs w:val="24"/>
              </w:rPr>
              <w:t xml:space="preserve">The NSW system must be able to compute all taxes, fees, fines, penalties, and charges based on computable parameters. It should also compute late payment fees, payable interest </w:t>
            </w:r>
            <w:proofErr w:type="spellStart"/>
            <w:r w:rsidRPr="00807E88">
              <w:rPr>
                <w:szCs w:val="24"/>
              </w:rPr>
              <w:t>etc</w:t>
            </w:r>
            <w:proofErr w:type="spellEnd"/>
            <w:r w:rsidRPr="00807E88">
              <w:rPr>
                <w:szCs w:val="24"/>
              </w:rPr>
              <w:t>, related to LPCO.</w:t>
            </w:r>
          </w:p>
        </w:tc>
      </w:tr>
      <w:tr w:rsidR="00475A4C" w:rsidRPr="00807E88" w14:paraId="15A16884" w14:textId="77777777" w:rsidTr="0026442C">
        <w:tc>
          <w:tcPr>
            <w:tcW w:w="895" w:type="dxa"/>
            <w:shd w:val="clear" w:color="auto" w:fill="auto"/>
            <w:vAlign w:val="bottom"/>
          </w:tcPr>
          <w:p w14:paraId="0885BF3B" w14:textId="77777777" w:rsidR="00475A4C" w:rsidRPr="0026442C" w:rsidRDefault="00475A4C" w:rsidP="001136D3">
            <w:pPr>
              <w:spacing w:after="0"/>
              <w:rPr>
                <w:b/>
                <w:szCs w:val="24"/>
              </w:rPr>
            </w:pPr>
            <w:r w:rsidRPr="0026442C">
              <w:rPr>
                <w:szCs w:val="24"/>
              </w:rPr>
              <w:t>FR228</w:t>
            </w:r>
          </w:p>
        </w:tc>
        <w:tc>
          <w:tcPr>
            <w:tcW w:w="7740" w:type="dxa"/>
            <w:shd w:val="clear" w:color="auto" w:fill="auto"/>
          </w:tcPr>
          <w:p w14:paraId="0E05F555" w14:textId="2C1CFED2" w:rsidR="00475A4C" w:rsidRPr="0026442C" w:rsidRDefault="00475A4C" w:rsidP="001136D3">
            <w:pPr>
              <w:spacing w:after="0"/>
              <w:rPr>
                <w:b/>
                <w:szCs w:val="24"/>
              </w:rPr>
            </w:pPr>
            <w:r w:rsidRPr="0026442C">
              <w:rPr>
                <w:szCs w:val="24"/>
              </w:rPr>
              <w:t>On the Traders interface, the system must display all pending payment invoices/notices and allow the payments for each presented invoice/notice or as a lump sum amount.</w:t>
            </w:r>
            <w:r w:rsidR="00D656A5" w:rsidRPr="0026442C">
              <w:rPr>
                <w:szCs w:val="24"/>
              </w:rPr>
              <w:t xml:space="preserve"> Upon executed online payment, this payment is confirmed at the CBRA’s / Customs Administration with exchange of files/information’s with Treasury MF.</w:t>
            </w:r>
          </w:p>
        </w:tc>
      </w:tr>
      <w:tr w:rsidR="00475A4C" w:rsidRPr="00807E88" w14:paraId="0FB79287" w14:textId="77777777" w:rsidTr="001136D3">
        <w:tc>
          <w:tcPr>
            <w:tcW w:w="895" w:type="dxa"/>
            <w:shd w:val="clear" w:color="auto" w:fill="FFFFFF" w:themeFill="background1"/>
            <w:vAlign w:val="bottom"/>
          </w:tcPr>
          <w:p w14:paraId="6C3350FD" w14:textId="77777777" w:rsidR="00475A4C" w:rsidRPr="00807E88" w:rsidRDefault="00475A4C" w:rsidP="001136D3">
            <w:pPr>
              <w:spacing w:after="0"/>
              <w:rPr>
                <w:b/>
                <w:szCs w:val="24"/>
              </w:rPr>
            </w:pPr>
            <w:r w:rsidRPr="00807E88">
              <w:rPr>
                <w:szCs w:val="24"/>
              </w:rPr>
              <w:t>FR229</w:t>
            </w:r>
          </w:p>
        </w:tc>
        <w:tc>
          <w:tcPr>
            <w:tcW w:w="7740" w:type="dxa"/>
            <w:shd w:val="clear" w:color="auto" w:fill="FFFFFF" w:themeFill="background1"/>
          </w:tcPr>
          <w:p w14:paraId="07B6ED3B" w14:textId="77777777" w:rsidR="00475A4C" w:rsidRPr="00807E88" w:rsidRDefault="00475A4C" w:rsidP="001136D3">
            <w:pPr>
              <w:spacing w:after="0"/>
              <w:rPr>
                <w:b/>
                <w:szCs w:val="24"/>
              </w:rPr>
            </w:pPr>
            <w:r w:rsidRPr="00807E88">
              <w:rPr>
                <w:szCs w:val="24"/>
              </w:rPr>
              <w:t>The NSW system must provide for the payer make the online payment using online banking modes.</w:t>
            </w:r>
          </w:p>
        </w:tc>
      </w:tr>
      <w:tr w:rsidR="00475A4C" w:rsidRPr="00807E88" w14:paraId="24B3C81C" w14:textId="77777777" w:rsidTr="001136D3">
        <w:tc>
          <w:tcPr>
            <w:tcW w:w="895" w:type="dxa"/>
            <w:shd w:val="clear" w:color="auto" w:fill="FFFFFF" w:themeFill="background1"/>
            <w:vAlign w:val="bottom"/>
          </w:tcPr>
          <w:p w14:paraId="107D1153" w14:textId="77777777" w:rsidR="00475A4C" w:rsidRPr="00807E88" w:rsidRDefault="00475A4C" w:rsidP="001136D3">
            <w:pPr>
              <w:spacing w:after="0"/>
              <w:rPr>
                <w:b/>
                <w:szCs w:val="24"/>
              </w:rPr>
            </w:pPr>
            <w:r w:rsidRPr="00807E88">
              <w:rPr>
                <w:szCs w:val="24"/>
              </w:rPr>
              <w:t>FR230</w:t>
            </w:r>
          </w:p>
        </w:tc>
        <w:tc>
          <w:tcPr>
            <w:tcW w:w="7740" w:type="dxa"/>
            <w:shd w:val="clear" w:color="auto" w:fill="FFFFFF" w:themeFill="background1"/>
          </w:tcPr>
          <w:p w14:paraId="290E4D2F" w14:textId="77777777" w:rsidR="00475A4C" w:rsidRPr="00807E88" w:rsidRDefault="00475A4C" w:rsidP="001136D3">
            <w:pPr>
              <w:spacing w:after="0"/>
              <w:rPr>
                <w:b/>
                <w:szCs w:val="24"/>
              </w:rPr>
            </w:pPr>
            <w:r w:rsidRPr="00807E88">
              <w:rPr>
                <w:szCs w:val="24"/>
              </w:rPr>
              <w:t>The NSW system must be able to connect to various interfaces, including payment gateway.</w:t>
            </w:r>
          </w:p>
        </w:tc>
      </w:tr>
      <w:tr w:rsidR="00475A4C" w:rsidRPr="00807E88" w14:paraId="3FAD6727" w14:textId="77777777" w:rsidTr="001136D3">
        <w:tc>
          <w:tcPr>
            <w:tcW w:w="895" w:type="dxa"/>
            <w:shd w:val="clear" w:color="auto" w:fill="FFFFFF" w:themeFill="background1"/>
            <w:vAlign w:val="bottom"/>
          </w:tcPr>
          <w:p w14:paraId="0EE0D05D" w14:textId="77777777" w:rsidR="00475A4C" w:rsidRPr="00807E88" w:rsidRDefault="00475A4C" w:rsidP="001136D3">
            <w:pPr>
              <w:spacing w:after="0"/>
              <w:rPr>
                <w:b/>
                <w:szCs w:val="24"/>
              </w:rPr>
            </w:pPr>
            <w:r w:rsidRPr="00807E88">
              <w:rPr>
                <w:szCs w:val="24"/>
              </w:rPr>
              <w:t>FR232</w:t>
            </w:r>
          </w:p>
        </w:tc>
        <w:tc>
          <w:tcPr>
            <w:tcW w:w="7740" w:type="dxa"/>
            <w:shd w:val="clear" w:color="auto" w:fill="FFFFFF" w:themeFill="background1"/>
          </w:tcPr>
          <w:p w14:paraId="61A630DD" w14:textId="77777777" w:rsidR="00475A4C" w:rsidRPr="00807E88" w:rsidRDefault="00475A4C" w:rsidP="001136D3">
            <w:pPr>
              <w:spacing w:after="0"/>
              <w:rPr>
                <w:b/>
                <w:szCs w:val="24"/>
              </w:rPr>
            </w:pPr>
            <w:r w:rsidRPr="00807E88">
              <w:rPr>
                <w:szCs w:val="24"/>
              </w:rPr>
              <w:t>The NSW system must allow the trader to deposit lump sum amounts against which payment payable amounts can be debited.</w:t>
            </w:r>
          </w:p>
        </w:tc>
      </w:tr>
      <w:tr w:rsidR="00475A4C" w:rsidRPr="00807E88" w14:paraId="35693197" w14:textId="77777777" w:rsidTr="001136D3">
        <w:tc>
          <w:tcPr>
            <w:tcW w:w="895" w:type="dxa"/>
            <w:shd w:val="clear" w:color="auto" w:fill="FFFFFF" w:themeFill="background1"/>
            <w:vAlign w:val="bottom"/>
          </w:tcPr>
          <w:p w14:paraId="7A5B06FA" w14:textId="77777777" w:rsidR="00475A4C" w:rsidRPr="00807E88" w:rsidRDefault="00475A4C" w:rsidP="001136D3">
            <w:pPr>
              <w:spacing w:after="0"/>
              <w:rPr>
                <w:b/>
                <w:szCs w:val="24"/>
              </w:rPr>
            </w:pPr>
            <w:r w:rsidRPr="00807E88">
              <w:rPr>
                <w:szCs w:val="24"/>
              </w:rPr>
              <w:t>FR234</w:t>
            </w:r>
          </w:p>
        </w:tc>
        <w:tc>
          <w:tcPr>
            <w:tcW w:w="7740" w:type="dxa"/>
            <w:shd w:val="clear" w:color="auto" w:fill="FFFFFF" w:themeFill="background1"/>
          </w:tcPr>
          <w:p w14:paraId="11278D6C" w14:textId="77777777" w:rsidR="00475A4C" w:rsidRPr="00807E88" w:rsidRDefault="00475A4C" w:rsidP="001136D3">
            <w:pPr>
              <w:spacing w:after="0"/>
              <w:rPr>
                <w:b/>
                <w:szCs w:val="24"/>
              </w:rPr>
            </w:pPr>
            <w:r w:rsidRPr="00807E88">
              <w:rPr>
                <w:szCs w:val="24"/>
              </w:rPr>
              <w:t>The NSW system must allow the trader view both paid and unpaid amounts.</w:t>
            </w:r>
          </w:p>
        </w:tc>
      </w:tr>
      <w:tr w:rsidR="00475A4C" w:rsidRPr="00807E88" w14:paraId="20EE715D" w14:textId="77777777" w:rsidTr="001136D3">
        <w:tc>
          <w:tcPr>
            <w:tcW w:w="895" w:type="dxa"/>
            <w:shd w:val="clear" w:color="auto" w:fill="FFFFFF" w:themeFill="background1"/>
            <w:vAlign w:val="bottom"/>
          </w:tcPr>
          <w:p w14:paraId="1FA04107" w14:textId="77777777" w:rsidR="00475A4C" w:rsidRPr="00807E88" w:rsidRDefault="00475A4C" w:rsidP="001136D3">
            <w:pPr>
              <w:spacing w:after="0"/>
              <w:rPr>
                <w:b/>
                <w:szCs w:val="24"/>
              </w:rPr>
            </w:pPr>
            <w:r w:rsidRPr="00807E88">
              <w:rPr>
                <w:szCs w:val="24"/>
              </w:rPr>
              <w:t>FR236</w:t>
            </w:r>
          </w:p>
        </w:tc>
        <w:tc>
          <w:tcPr>
            <w:tcW w:w="7740" w:type="dxa"/>
            <w:shd w:val="clear" w:color="auto" w:fill="FFFFFF" w:themeFill="background1"/>
          </w:tcPr>
          <w:p w14:paraId="61EB74D8" w14:textId="77777777" w:rsidR="00475A4C" w:rsidRPr="00807E88" w:rsidRDefault="00475A4C" w:rsidP="001136D3">
            <w:pPr>
              <w:spacing w:after="0"/>
              <w:rPr>
                <w:b/>
                <w:szCs w:val="24"/>
              </w:rPr>
            </w:pPr>
            <w:r w:rsidRPr="00807E88">
              <w:rPr>
                <w:szCs w:val="24"/>
              </w:rPr>
              <w:t xml:space="preserve">The NSW System must capture granular details </w:t>
            </w:r>
            <w:proofErr w:type="gramStart"/>
            <w:r w:rsidRPr="00807E88">
              <w:rPr>
                <w:szCs w:val="24"/>
              </w:rPr>
              <w:t>with regard to</w:t>
            </w:r>
            <w:proofErr w:type="gramEnd"/>
            <w:r w:rsidRPr="00807E88">
              <w:rPr>
                <w:szCs w:val="24"/>
              </w:rPr>
              <w:t xml:space="preserve"> each payable amount. Details may include which transaction the payment pertains to.  The amounts collected of duties taxes, fees and charges may be maintained according to the accounting heads defined by the government.</w:t>
            </w:r>
          </w:p>
        </w:tc>
      </w:tr>
      <w:tr w:rsidR="00475A4C" w:rsidRPr="00807E88" w14:paraId="1AD3CA46" w14:textId="77777777" w:rsidTr="001136D3">
        <w:tc>
          <w:tcPr>
            <w:tcW w:w="895" w:type="dxa"/>
            <w:shd w:val="clear" w:color="auto" w:fill="FFFFFF" w:themeFill="background1"/>
            <w:vAlign w:val="bottom"/>
          </w:tcPr>
          <w:p w14:paraId="767FD007" w14:textId="77777777" w:rsidR="00475A4C" w:rsidRPr="00807E88" w:rsidRDefault="00475A4C" w:rsidP="001136D3">
            <w:pPr>
              <w:spacing w:after="0"/>
              <w:rPr>
                <w:b/>
                <w:szCs w:val="24"/>
              </w:rPr>
            </w:pPr>
            <w:r w:rsidRPr="00807E88">
              <w:rPr>
                <w:szCs w:val="24"/>
              </w:rPr>
              <w:t>FR238</w:t>
            </w:r>
          </w:p>
        </w:tc>
        <w:tc>
          <w:tcPr>
            <w:tcW w:w="7740" w:type="dxa"/>
            <w:shd w:val="clear" w:color="auto" w:fill="FFFFFF" w:themeFill="background1"/>
          </w:tcPr>
          <w:p w14:paraId="205C952E" w14:textId="77777777" w:rsidR="00475A4C" w:rsidRPr="00807E88" w:rsidRDefault="00475A4C" w:rsidP="001136D3">
            <w:pPr>
              <w:spacing w:after="0"/>
              <w:rPr>
                <w:b/>
                <w:szCs w:val="24"/>
              </w:rPr>
            </w:pPr>
            <w:r w:rsidRPr="00807E88">
              <w:rPr>
                <w:szCs w:val="24"/>
              </w:rPr>
              <w:t>The NSW system must be able to carry out payment reconciliation with banks.</w:t>
            </w:r>
          </w:p>
        </w:tc>
      </w:tr>
      <w:tr w:rsidR="00475A4C" w:rsidRPr="00807E88" w14:paraId="1784C7C5" w14:textId="77777777" w:rsidTr="001136D3">
        <w:tc>
          <w:tcPr>
            <w:tcW w:w="895" w:type="dxa"/>
            <w:shd w:val="clear" w:color="auto" w:fill="FFFFFF" w:themeFill="background1"/>
            <w:vAlign w:val="bottom"/>
          </w:tcPr>
          <w:p w14:paraId="4A039A9F" w14:textId="77777777" w:rsidR="00475A4C" w:rsidRPr="00807E88" w:rsidRDefault="00475A4C" w:rsidP="001136D3">
            <w:pPr>
              <w:spacing w:after="0"/>
              <w:rPr>
                <w:b/>
                <w:szCs w:val="24"/>
              </w:rPr>
            </w:pPr>
            <w:r w:rsidRPr="00807E88">
              <w:rPr>
                <w:szCs w:val="24"/>
              </w:rPr>
              <w:t>FR239</w:t>
            </w:r>
          </w:p>
        </w:tc>
        <w:tc>
          <w:tcPr>
            <w:tcW w:w="7740" w:type="dxa"/>
            <w:shd w:val="clear" w:color="auto" w:fill="FFFFFF" w:themeFill="background1"/>
          </w:tcPr>
          <w:p w14:paraId="074FB2A3" w14:textId="77777777" w:rsidR="00475A4C" w:rsidRPr="00807E88" w:rsidRDefault="00475A4C" w:rsidP="001136D3">
            <w:pPr>
              <w:spacing w:after="0"/>
              <w:rPr>
                <w:b/>
                <w:szCs w:val="24"/>
              </w:rPr>
            </w:pPr>
            <w:r w:rsidRPr="00807E88">
              <w:rPr>
                <w:szCs w:val="24"/>
              </w:rPr>
              <w:t>The system must provide functionality to create a payment advice that contains all necessary information to conduct a payment and produce a receipt of the actual payment</w:t>
            </w:r>
          </w:p>
        </w:tc>
      </w:tr>
      <w:tr w:rsidR="00475A4C" w:rsidRPr="00807E88" w14:paraId="65624126" w14:textId="77777777" w:rsidTr="001136D3">
        <w:tc>
          <w:tcPr>
            <w:tcW w:w="895" w:type="dxa"/>
            <w:shd w:val="clear" w:color="auto" w:fill="FFFFFF" w:themeFill="background1"/>
            <w:vAlign w:val="bottom"/>
          </w:tcPr>
          <w:p w14:paraId="5BF09F04" w14:textId="77777777" w:rsidR="00475A4C" w:rsidRPr="00807E88" w:rsidRDefault="00475A4C" w:rsidP="001136D3">
            <w:pPr>
              <w:spacing w:after="0"/>
              <w:rPr>
                <w:b/>
                <w:szCs w:val="24"/>
              </w:rPr>
            </w:pPr>
            <w:r w:rsidRPr="00807E88">
              <w:rPr>
                <w:szCs w:val="24"/>
              </w:rPr>
              <w:t>FR240</w:t>
            </w:r>
          </w:p>
        </w:tc>
        <w:tc>
          <w:tcPr>
            <w:tcW w:w="7740" w:type="dxa"/>
            <w:shd w:val="clear" w:color="auto" w:fill="FFFFFF" w:themeFill="background1"/>
          </w:tcPr>
          <w:p w14:paraId="39113D1D" w14:textId="77777777" w:rsidR="00475A4C" w:rsidRPr="00807E88" w:rsidRDefault="00475A4C" w:rsidP="001136D3">
            <w:pPr>
              <w:spacing w:after="0"/>
              <w:rPr>
                <w:b/>
                <w:szCs w:val="24"/>
              </w:rPr>
            </w:pPr>
            <w:r w:rsidRPr="00807E88">
              <w:rPr>
                <w:szCs w:val="24"/>
              </w:rPr>
              <w:t>The system must ensure that only the trader and the payee is associated to the created advice.</w:t>
            </w:r>
          </w:p>
        </w:tc>
      </w:tr>
      <w:tr w:rsidR="00475A4C" w:rsidRPr="00807E88" w14:paraId="76465D81" w14:textId="77777777" w:rsidTr="001136D3">
        <w:tc>
          <w:tcPr>
            <w:tcW w:w="895" w:type="dxa"/>
            <w:shd w:val="clear" w:color="auto" w:fill="FFFFFF" w:themeFill="background1"/>
          </w:tcPr>
          <w:p w14:paraId="056A30D1" w14:textId="56D6A58C" w:rsidR="00475A4C" w:rsidRPr="00807E88" w:rsidRDefault="00475A4C" w:rsidP="001136D3">
            <w:pPr>
              <w:spacing w:after="0"/>
              <w:rPr>
                <w:szCs w:val="24"/>
                <w:lang w:val="mk-MK"/>
              </w:rPr>
            </w:pPr>
            <w:r w:rsidRPr="00807E88">
              <w:rPr>
                <w:szCs w:val="24"/>
              </w:rPr>
              <w:lastRenderedPageBreak/>
              <w:t>FR</w:t>
            </w:r>
            <w:r w:rsidR="007769C8">
              <w:rPr>
                <w:szCs w:val="24"/>
                <w:lang w:val="mk-MK"/>
              </w:rPr>
              <w:t>5</w:t>
            </w:r>
            <w:r w:rsidR="007769C8">
              <w:rPr>
                <w:szCs w:val="24"/>
              </w:rPr>
              <w:t>84</w:t>
            </w:r>
          </w:p>
        </w:tc>
        <w:tc>
          <w:tcPr>
            <w:tcW w:w="7740" w:type="dxa"/>
            <w:shd w:val="clear" w:color="auto" w:fill="FFFFFF" w:themeFill="background1"/>
          </w:tcPr>
          <w:p w14:paraId="55DF6584" w14:textId="77777777" w:rsidR="00475A4C" w:rsidRPr="00807E88" w:rsidRDefault="00475A4C" w:rsidP="001136D3">
            <w:pPr>
              <w:spacing w:after="0"/>
              <w:rPr>
                <w:szCs w:val="24"/>
              </w:rPr>
            </w:pPr>
            <w:r w:rsidRPr="00807E88">
              <w:rPr>
                <w:szCs w:val="24"/>
              </w:rPr>
              <w:t>The payment system must be able to register payments.</w:t>
            </w:r>
          </w:p>
        </w:tc>
      </w:tr>
      <w:tr w:rsidR="00475A4C" w:rsidRPr="00807E88" w14:paraId="2F301E6F" w14:textId="77777777" w:rsidTr="001136D3">
        <w:tc>
          <w:tcPr>
            <w:tcW w:w="895" w:type="dxa"/>
            <w:shd w:val="clear" w:color="auto" w:fill="FFFFFF" w:themeFill="background1"/>
          </w:tcPr>
          <w:p w14:paraId="047E14EE" w14:textId="5350B0D2" w:rsidR="00475A4C" w:rsidRPr="00807E88" w:rsidRDefault="00475A4C" w:rsidP="001136D3">
            <w:pPr>
              <w:spacing w:after="0"/>
              <w:rPr>
                <w:szCs w:val="24"/>
                <w:lang w:val="mk-MK"/>
              </w:rPr>
            </w:pPr>
            <w:r w:rsidRPr="00807E88">
              <w:rPr>
                <w:szCs w:val="24"/>
              </w:rPr>
              <w:t>FR</w:t>
            </w:r>
            <w:r w:rsidR="007769C8">
              <w:rPr>
                <w:szCs w:val="24"/>
                <w:lang w:val="mk-MK"/>
              </w:rPr>
              <w:t>5</w:t>
            </w:r>
            <w:r w:rsidR="007769C8">
              <w:rPr>
                <w:szCs w:val="24"/>
              </w:rPr>
              <w:t>85</w:t>
            </w:r>
          </w:p>
        </w:tc>
        <w:tc>
          <w:tcPr>
            <w:tcW w:w="7740" w:type="dxa"/>
            <w:shd w:val="clear" w:color="auto" w:fill="FFFFFF" w:themeFill="background1"/>
          </w:tcPr>
          <w:p w14:paraId="73F593B3" w14:textId="77777777" w:rsidR="00475A4C" w:rsidRPr="00807E88" w:rsidRDefault="00475A4C" w:rsidP="001136D3">
            <w:pPr>
              <w:spacing w:after="0"/>
              <w:rPr>
                <w:szCs w:val="24"/>
              </w:rPr>
            </w:pPr>
            <w:r w:rsidRPr="00807E88">
              <w:rPr>
                <w:szCs w:val="24"/>
              </w:rPr>
              <w:t>The system must be able to store information about received payments.</w:t>
            </w:r>
          </w:p>
        </w:tc>
      </w:tr>
      <w:tr w:rsidR="00475A4C" w:rsidRPr="00807E88" w14:paraId="6AA53B86" w14:textId="77777777" w:rsidTr="001136D3">
        <w:tc>
          <w:tcPr>
            <w:tcW w:w="895" w:type="dxa"/>
          </w:tcPr>
          <w:p w14:paraId="640C4B15" w14:textId="0911BE32" w:rsidR="00475A4C" w:rsidRPr="00807E88" w:rsidRDefault="00475A4C" w:rsidP="001136D3">
            <w:pPr>
              <w:spacing w:after="0"/>
              <w:rPr>
                <w:szCs w:val="24"/>
                <w:lang w:val="mk-MK"/>
              </w:rPr>
            </w:pPr>
            <w:r w:rsidRPr="00807E88">
              <w:rPr>
                <w:szCs w:val="24"/>
              </w:rPr>
              <w:t>FR</w:t>
            </w:r>
            <w:r w:rsidRPr="00807E88">
              <w:rPr>
                <w:szCs w:val="24"/>
                <w:lang w:val="mk-MK"/>
              </w:rPr>
              <w:t>5</w:t>
            </w:r>
            <w:r w:rsidR="007769C8">
              <w:rPr>
                <w:szCs w:val="24"/>
              </w:rPr>
              <w:t>86</w:t>
            </w:r>
          </w:p>
        </w:tc>
        <w:tc>
          <w:tcPr>
            <w:tcW w:w="7740" w:type="dxa"/>
          </w:tcPr>
          <w:p w14:paraId="46A95EC3" w14:textId="77777777" w:rsidR="00475A4C" w:rsidRPr="00807E88" w:rsidRDefault="00475A4C" w:rsidP="001136D3">
            <w:pPr>
              <w:spacing w:after="0"/>
              <w:rPr>
                <w:szCs w:val="24"/>
              </w:rPr>
            </w:pPr>
            <w:r w:rsidRPr="00807E88">
              <w:rPr>
                <w:szCs w:val="24"/>
              </w:rPr>
              <w:t>The payment system must be able to send payment details to the data store.</w:t>
            </w:r>
          </w:p>
        </w:tc>
      </w:tr>
      <w:tr w:rsidR="00475A4C" w:rsidRPr="00807E88" w14:paraId="5C6D2EB4" w14:textId="77777777" w:rsidTr="001136D3">
        <w:tc>
          <w:tcPr>
            <w:tcW w:w="895" w:type="dxa"/>
          </w:tcPr>
          <w:p w14:paraId="64F7F172" w14:textId="1D74960B" w:rsidR="009B775B" w:rsidRDefault="00475A4C" w:rsidP="001136D3">
            <w:pPr>
              <w:spacing w:after="0"/>
              <w:rPr>
                <w:szCs w:val="24"/>
              </w:rPr>
            </w:pPr>
            <w:r w:rsidRPr="00807E88">
              <w:rPr>
                <w:szCs w:val="24"/>
              </w:rPr>
              <w:t>FR</w:t>
            </w:r>
            <w:r w:rsidR="009B775B">
              <w:rPr>
                <w:szCs w:val="24"/>
                <w:lang w:val="mk-MK"/>
              </w:rPr>
              <w:t>5</w:t>
            </w:r>
            <w:r w:rsidR="007769C8">
              <w:rPr>
                <w:szCs w:val="24"/>
              </w:rPr>
              <w:t>87</w:t>
            </w:r>
          </w:p>
          <w:p w14:paraId="5FE977F7" w14:textId="2BCFFBB4" w:rsidR="00475A4C" w:rsidRPr="00807E88" w:rsidRDefault="00475A4C" w:rsidP="001136D3">
            <w:pPr>
              <w:spacing w:after="0"/>
              <w:rPr>
                <w:szCs w:val="24"/>
                <w:lang w:val="mk-MK"/>
              </w:rPr>
            </w:pPr>
          </w:p>
        </w:tc>
        <w:tc>
          <w:tcPr>
            <w:tcW w:w="7740" w:type="dxa"/>
          </w:tcPr>
          <w:p w14:paraId="1AAC3B57" w14:textId="77777777" w:rsidR="00475A4C" w:rsidRPr="00807E88" w:rsidRDefault="00475A4C" w:rsidP="001136D3">
            <w:pPr>
              <w:spacing w:after="0"/>
              <w:rPr>
                <w:szCs w:val="24"/>
              </w:rPr>
            </w:pPr>
            <w:r w:rsidRPr="00807E88">
              <w:rPr>
                <w:szCs w:val="24"/>
              </w:rPr>
              <w:t>The payment system must be able to receive payment details - amount and type of payment from the data store.</w:t>
            </w:r>
          </w:p>
        </w:tc>
      </w:tr>
      <w:tr w:rsidR="009B775B" w:rsidRPr="00807E88" w14:paraId="1FF59008" w14:textId="77777777" w:rsidTr="001136D3">
        <w:tc>
          <w:tcPr>
            <w:tcW w:w="895" w:type="dxa"/>
          </w:tcPr>
          <w:p w14:paraId="132FDE22" w14:textId="149CB554" w:rsidR="009B775B" w:rsidRPr="00353A19" w:rsidRDefault="007769C8" w:rsidP="001136D3">
            <w:pPr>
              <w:spacing w:after="0"/>
              <w:rPr>
                <w:szCs w:val="24"/>
              </w:rPr>
            </w:pPr>
            <w:r w:rsidRPr="00353A19">
              <w:rPr>
                <w:szCs w:val="24"/>
              </w:rPr>
              <w:t>FR588</w:t>
            </w:r>
          </w:p>
        </w:tc>
        <w:tc>
          <w:tcPr>
            <w:tcW w:w="7740" w:type="dxa"/>
          </w:tcPr>
          <w:p w14:paraId="2E697D38" w14:textId="3A39B5FA" w:rsidR="009B775B" w:rsidRPr="00353A19" w:rsidRDefault="009B775B" w:rsidP="00353A19">
            <w:pPr>
              <w:spacing w:after="0"/>
              <w:rPr>
                <w:szCs w:val="24"/>
              </w:rPr>
            </w:pPr>
            <w:r w:rsidRPr="00353A19">
              <w:rPr>
                <w:szCs w:val="24"/>
              </w:rPr>
              <w:t xml:space="preserve">The system must have the possibility to administrate the payments, match, un-match </w:t>
            </w:r>
            <w:r w:rsidR="00923A24" w:rsidRPr="00353A19">
              <w:rPr>
                <w:szCs w:val="24"/>
              </w:rPr>
              <w:t xml:space="preserve">completed payments. </w:t>
            </w:r>
          </w:p>
        </w:tc>
      </w:tr>
      <w:tr w:rsidR="00896AA3" w:rsidRPr="00807E88" w14:paraId="7BE175EC" w14:textId="77777777" w:rsidTr="001136D3">
        <w:tc>
          <w:tcPr>
            <w:tcW w:w="895" w:type="dxa"/>
          </w:tcPr>
          <w:p w14:paraId="2A43C357" w14:textId="6B680468" w:rsidR="00896AA3" w:rsidRPr="00353A19" w:rsidRDefault="00896AA3" w:rsidP="00896AA3">
            <w:pPr>
              <w:spacing w:after="0"/>
              <w:rPr>
                <w:szCs w:val="24"/>
              </w:rPr>
            </w:pPr>
            <w:r w:rsidRPr="00353A19">
              <w:rPr>
                <w:szCs w:val="24"/>
              </w:rPr>
              <w:t>FR591</w:t>
            </w:r>
          </w:p>
        </w:tc>
        <w:tc>
          <w:tcPr>
            <w:tcW w:w="7740" w:type="dxa"/>
          </w:tcPr>
          <w:p w14:paraId="04A9A9BD" w14:textId="107DF455" w:rsidR="00896AA3" w:rsidRPr="00353A19" w:rsidRDefault="00896AA3" w:rsidP="00896AA3">
            <w:pPr>
              <w:spacing w:after="0"/>
              <w:rPr>
                <w:szCs w:val="24"/>
              </w:rPr>
            </w:pPr>
            <w:r w:rsidRPr="00353A19">
              <w:rPr>
                <w:szCs w:val="24"/>
              </w:rPr>
              <w:t>The system must be able to allow payment advice to be cancelled.</w:t>
            </w:r>
          </w:p>
        </w:tc>
      </w:tr>
      <w:tr w:rsidR="00896AA3" w:rsidRPr="00807E88" w14:paraId="300F7D16" w14:textId="77777777" w:rsidTr="001136D3">
        <w:tc>
          <w:tcPr>
            <w:tcW w:w="895" w:type="dxa"/>
          </w:tcPr>
          <w:p w14:paraId="05D76528" w14:textId="4B131FBE" w:rsidR="00896AA3" w:rsidRPr="00353A19" w:rsidRDefault="00896AA3" w:rsidP="00896AA3">
            <w:pPr>
              <w:spacing w:after="0"/>
              <w:rPr>
                <w:szCs w:val="24"/>
              </w:rPr>
            </w:pPr>
            <w:r w:rsidRPr="00353A19">
              <w:rPr>
                <w:szCs w:val="24"/>
              </w:rPr>
              <w:t>FR592</w:t>
            </w:r>
          </w:p>
        </w:tc>
        <w:tc>
          <w:tcPr>
            <w:tcW w:w="7740" w:type="dxa"/>
          </w:tcPr>
          <w:p w14:paraId="33507118" w14:textId="37B5A513" w:rsidR="00896AA3" w:rsidRPr="00353A19" w:rsidRDefault="00896AA3" w:rsidP="00896AA3">
            <w:pPr>
              <w:spacing w:after="0"/>
              <w:rPr>
                <w:szCs w:val="24"/>
              </w:rPr>
            </w:pPr>
            <w:r w:rsidRPr="00353A19">
              <w:rPr>
                <w:szCs w:val="24"/>
              </w:rPr>
              <w:t>The system must be able to generate a request for refund by the CBRA’s and send the request information to the treasury.</w:t>
            </w:r>
          </w:p>
        </w:tc>
      </w:tr>
      <w:tr w:rsidR="00896AA3" w:rsidRPr="00807E88" w14:paraId="77C94B6E" w14:textId="77777777" w:rsidTr="001136D3">
        <w:tc>
          <w:tcPr>
            <w:tcW w:w="895" w:type="dxa"/>
          </w:tcPr>
          <w:p w14:paraId="5AEDF938" w14:textId="4E8A96B4" w:rsidR="00896AA3" w:rsidRPr="00353A19" w:rsidRDefault="00896AA3" w:rsidP="00896AA3">
            <w:pPr>
              <w:spacing w:after="0"/>
              <w:rPr>
                <w:szCs w:val="24"/>
              </w:rPr>
            </w:pPr>
            <w:r w:rsidRPr="00353A19">
              <w:rPr>
                <w:szCs w:val="24"/>
              </w:rPr>
              <w:t>FR593</w:t>
            </w:r>
          </w:p>
        </w:tc>
        <w:tc>
          <w:tcPr>
            <w:tcW w:w="7740" w:type="dxa"/>
          </w:tcPr>
          <w:p w14:paraId="767EC144" w14:textId="35C45833" w:rsidR="00896AA3" w:rsidRPr="00353A19" w:rsidRDefault="00896AA3" w:rsidP="00896AA3">
            <w:pPr>
              <w:spacing w:after="0"/>
              <w:rPr>
                <w:szCs w:val="24"/>
              </w:rPr>
            </w:pPr>
            <w:r w:rsidRPr="00353A19">
              <w:rPr>
                <w:szCs w:val="24"/>
              </w:rPr>
              <w:t>The system should allow generation of predefined rules, based on which the payment will be automatically accepted or rejected.</w:t>
            </w:r>
          </w:p>
        </w:tc>
      </w:tr>
      <w:tr w:rsidR="00896AA3" w:rsidRPr="00807E88" w14:paraId="5D9ABFFB" w14:textId="77777777" w:rsidTr="001136D3">
        <w:tc>
          <w:tcPr>
            <w:tcW w:w="895" w:type="dxa"/>
          </w:tcPr>
          <w:p w14:paraId="06C167FA" w14:textId="48786A14" w:rsidR="00896AA3" w:rsidRPr="00353A19" w:rsidRDefault="00896AA3" w:rsidP="00896AA3">
            <w:pPr>
              <w:spacing w:after="0"/>
              <w:rPr>
                <w:szCs w:val="24"/>
              </w:rPr>
            </w:pPr>
            <w:r w:rsidRPr="00353A19">
              <w:rPr>
                <w:szCs w:val="24"/>
              </w:rPr>
              <w:t>FR594</w:t>
            </w:r>
          </w:p>
        </w:tc>
        <w:tc>
          <w:tcPr>
            <w:tcW w:w="7740" w:type="dxa"/>
          </w:tcPr>
          <w:p w14:paraId="4E8A5B07" w14:textId="77777777" w:rsidR="00896AA3" w:rsidRPr="00353A19" w:rsidRDefault="00896AA3" w:rsidP="00896AA3">
            <w:pPr>
              <w:pStyle w:val="CommentText"/>
              <w:rPr>
                <w:sz w:val="24"/>
                <w:szCs w:val="24"/>
              </w:rPr>
            </w:pPr>
            <w:r w:rsidRPr="00353A19">
              <w:rPr>
                <w:sz w:val="24"/>
                <w:szCs w:val="24"/>
              </w:rPr>
              <w:t>The NSW payment component should be a configurable module which would have the possibility to compute the operational costs of the NSW (taking</w:t>
            </w:r>
            <w:r w:rsidRPr="00353A19">
              <w:rPr>
                <w:sz w:val="24"/>
                <w:szCs w:val="24"/>
                <w:lang w:val="mk-MK"/>
              </w:rPr>
              <w:t xml:space="preserve"> </w:t>
            </w:r>
            <w:r w:rsidRPr="00353A19">
              <w:rPr>
                <w:sz w:val="24"/>
                <w:szCs w:val="24"/>
              </w:rPr>
              <w:t>in</w:t>
            </w:r>
            <w:r w:rsidRPr="00353A19">
              <w:rPr>
                <w:sz w:val="24"/>
                <w:szCs w:val="24"/>
                <w:lang w:val="mk-MK"/>
              </w:rPr>
              <w:t xml:space="preserve"> </w:t>
            </w:r>
            <w:r w:rsidRPr="00353A19">
              <w:rPr>
                <w:sz w:val="24"/>
                <w:szCs w:val="24"/>
              </w:rPr>
              <w:t>account all customs declarations for all customs procedures) and the fees (including administrative tax) for issuing of LPCOs.</w:t>
            </w:r>
          </w:p>
          <w:p w14:paraId="44BE8FAD" w14:textId="77777777" w:rsidR="00896AA3" w:rsidRPr="00353A19" w:rsidRDefault="00896AA3" w:rsidP="00896AA3">
            <w:pPr>
              <w:spacing w:after="0"/>
              <w:rPr>
                <w:szCs w:val="24"/>
              </w:rPr>
            </w:pPr>
          </w:p>
        </w:tc>
      </w:tr>
      <w:tr w:rsidR="00896AA3" w:rsidRPr="00807E88" w14:paraId="2C9D3B65" w14:textId="77777777" w:rsidTr="001136D3">
        <w:tc>
          <w:tcPr>
            <w:tcW w:w="895" w:type="dxa"/>
          </w:tcPr>
          <w:p w14:paraId="73F84EBD" w14:textId="2CD30C9C" w:rsidR="00896AA3" w:rsidRPr="00353A19" w:rsidRDefault="00896AA3" w:rsidP="00896AA3">
            <w:pPr>
              <w:spacing w:after="0"/>
              <w:rPr>
                <w:szCs w:val="24"/>
              </w:rPr>
            </w:pPr>
            <w:r w:rsidRPr="00353A19">
              <w:rPr>
                <w:szCs w:val="24"/>
              </w:rPr>
              <w:t>FR595</w:t>
            </w:r>
          </w:p>
        </w:tc>
        <w:tc>
          <w:tcPr>
            <w:tcW w:w="7740" w:type="dxa"/>
          </w:tcPr>
          <w:p w14:paraId="17F1A6EB" w14:textId="37979A2F" w:rsidR="00896AA3" w:rsidRPr="00353A19" w:rsidRDefault="00896AA3" w:rsidP="00896AA3">
            <w:pPr>
              <w:spacing w:after="0"/>
              <w:rPr>
                <w:szCs w:val="24"/>
              </w:rPr>
            </w:pPr>
            <w:r w:rsidRPr="00353A19">
              <w:rPr>
                <w:szCs w:val="24"/>
              </w:rPr>
              <w:t xml:space="preserve">The system must be able to allow the stakeholders to have access to all of its own payment </w:t>
            </w:r>
            <w:proofErr w:type="gramStart"/>
            <w:r w:rsidRPr="00353A19">
              <w:rPr>
                <w:szCs w:val="24"/>
              </w:rPr>
              <w:t>advices</w:t>
            </w:r>
            <w:proofErr w:type="gramEnd"/>
            <w:r w:rsidRPr="00353A19">
              <w:rPr>
                <w:szCs w:val="24"/>
              </w:rPr>
              <w:t>, and to check the status of each advice, i.e. whether it is marked as paid, unpaid, pending, exceeded, canceled or other relevant information.</w:t>
            </w:r>
          </w:p>
        </w:tc>
      </w:tr>
      <w:tr w:rsidR="00896AA3" w:rsidRPr="00807E88" w14:paraId="4F2422D8" w14:textId="77777777" w:rsidTr="001136D3">
        <w:tc>
          <w:tcPr>
            <w:tcW w:w="895" w:type="dxa"/>
          </w:tcPr>
          <w:p w14:paraId="28B81208" w14:textId="4E02CAED" w:rsidR="00896AA3" w:rsidRPr="00353A19" w:rsidRDefault="00896AA3" w:rsidP="00896AA3">
            <w:pPr>
              <w:spacing w:after="0"/>
              <w:rPr>
                <w:szCs w:val="24"/>
              </w:rPr>
            </w:pPr>
            <w:r w:rsidRPr="00353A19">
              <w:rPr>
                <w:szCs w:val="24"/>
              </w:rPr>
              <w:t>FR596</w:t>
            </w:r>
          </w:p>
        </w:tc>
        <w:tc>
          <w:tcPr>
            <w:tcW w:w="7740" w:type="dxa"/>
          </w:tcPr>
          <w:p w14:paraId="38988B48" w14:textId="5C2FB55F" w:rsidR="00896AA3" w:rsidRPr="00353A19" w:rsidRDefault="00896AA3" w:rsidP="00896AA3">
            <w:pPr>
              <w:spacing w:after="0"/>
              <w:rPr>
                <w:szCs w:val="24"/>
              </w:rPr>
            </w:pPr>
            <w:r w:rsidRPr="00353A19">
              <w:rPr>
                <w:szCs w:val="24"/>
              </w:rPr>
              <w:t>The system must be able to allow possibility for exchange of files/information for payments and returns with treasury MF.</w:t>
            </w:r>
          </w:p>
        </w:tc>
      </w:tr>
    </w:tbl>
    <w:p w14:paraId="61632489" w14:textId="77777777" w:rsidR="00157AAA" w:rsidRDefault="00157AAA">
      <w:pPr>
        <w:jc w:val="left"/>
        <w:rPr>
          <w:b/>
          <w:bCs/>
          <w:i/>
          <w:szCs w:val="24"/>
        </w:rPr>
      </w:pPr>
    </w:p>
    <w:p w14:paraId="27B96BD0" w14:textId="23C62531" w:rsidR="002441AE" w:rsidRPr="008E2AAD" w:rsidRDefault="00F80455">
      <w:pPr>
        <w:jc w:val="left"/>
        <w:rPr>
          <w:b/>
          <w:bCs/>
          <w:i/>
          <w:szCs w:val="24"/>
        </w:rPr>
      </w:pPr>
      <w:r w:rsidRPr="0069167F">
        <w:rPr>
          <w:b/>
        </w:rPr>
        <w:t>1.2.7.</w:t>
      </w:r>
      <w:r>
        <w:rPr>
          <w:b/>
        </w:rPr>
        <w:t>3</w:t>
      </w:r>
      <w:r w:rsidRPr="0069167F">
        <w:rPr>
          <w:b/>
        </w:rPr>
        <w:t xml:space="preserve">. </w:t>
      </w:r>
      <w:r w:rsidR="002441AE" w:rsidRPr="008E2AAD">
        <w:rPr>
          <w:b/>
          <w:bCs/>
          <w:szCs w:val="24"/>
        </w:rPr>
        <w:t>Check Payment Availability</w:t>
      </w:r>
    </w:p>
    <w:p w14:paraId="01B034AF" w14:textId="46BC6913" w:rsidR="002441AE" w:rsidRDefault="002441AE">
      <w:pPr>
        <w:jc w:val="left"/>
        <w:rPr>
          <w:iCs/>
          <w:szCs w:val="24"/>
        </w:rPr>
      </w:pPr>
      <w:r w:rsidRPr="002441AE">
        <w:rPr>
          <w:iCs/>
          <w:noProof/>
          <w:szCs w:val="24"/>
        </w:rPr>
        <w:drawing>
          <wp:inline distT="0" distB="0" distL="0" distR="0" wp14:anchorId="4517C994" wp14:editId="6299E226">
            <wp:extent cx="5486400" cy="3287395"/>
            <wp:effectExtent l="0" t="0" r="0" b="8255"/>
            <wp:docPr id="1920229020" name="Picture 1920229020"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29020" name="Picture 1" descr="A diagram of a flowchart&#10;&#10;Description automatically generated"/>
                    <pic:cNvPicPr/>
                  </pic:nvPicPr>
                  <pic:blipFill>
                    <a:blip r:embed="rId97"/>
                    <a:stretch>
                      <a:fillRect/>
                    </a:stretch>
                  </pic:blipFill>
                  <pic:spPr>
                    <a:xfrm>
                      <a:off x="0" y="0"/>
                      <a:ext cx="5486400" cy="3287395"/>
                    </a:xfrm>
                    <a:prstGeom prst="rect">
                      <a:avLst/>
                    </a:prstGeom>
                  </pic:spPr>
                </pic:pic>
              </a:graphicData>
            </a:graphic>
          </wp:inline>
        </w:drawing>
      </w:r>
    </w:p>
    <w:p w14:paraId="36AD26FD" w14:textId="2B394ACB" w:rsidR="00F80455" w:rsidRDefault="00F80455" w:rsidP="008E2AAD">
      <w:pPr>
        <w:rPr>
          <w:i/>
          <w:szCs w:val="24"/>
        </w:rPr>
      </w:pPr>
      <w:r>
        <w:rPr>
          <w:i/>
          <w:szCs w:val="24"/>
        </w:rPr>
        <w:object w:dxaOrig="1543" w:dyaOrig="995" w14:anchorId="4B44E68B">
          <v:shape id="_x0000_i1033" type="#_x0000_t75" style="width:79pt;height:50.5pt" o:ole="">
            <v:imagedata r:id="rId98" o:title=""/>
          </v:shape>
          <o:OLEObject Type="Embed" ProgID="Package" ShapeID="_x0000_i1033" DrawAspect="Icon" ObjectID="_1777888266" r:id="rId99"/>
        </w:object>
      </w:r>
    </w:p>
    <w:p w14:paraId="67F1E2F6" w14:textId="038D81FA" w:rsidR="002441AE" w:rsidRPr="008E2AAD" w:rsidRDefault="002441AE" w:rsidP="002441AE">
      <w:pPr>
        <w:jc w:val="center"/>
        <w:rPr>
          <w:b/>
          <w:bCs/>
          <w:i/>
          <w:szCs w:val="24"/>
        </w:rPr>
      </w:pPr>
      <w:r w:rsidRPr="004A7F46">
        <w:rPr>
          <w:i/>
          <w:szCs w:val="24"/>
        </w:rPr>
        <w:t xml:space="preserve">Figure </w:t>
      </w:r>
      <w:r w:rsidR="00F80455">
        <w:rPr>
          <w:i/>
          <w:szCs w:val="24"/>
        </w:rPr>
        <w:t>1</w:t>
      </w:r>
      <w:r w:rsidR="00631878">
        <w:rPr>
          <w:i/>
          <w:szCs w:val="24"/>
        </w:rPr>
        <w:t>2</w:t>
      </w:r>
      <w:r>
        <w:rPr>
          <w:i/>
          <w:szCs w:val="24"/>
        </w:rPr>
        <w:t>:</w:t>
      </w:r>
      <w:r w:rsidRPr="001963EA">
        <w:rPr>
          <w:i/>
          <w:szCs w:val="24"/>
        </w:rPr>
        <w:t xml:space="preserve"> </w:t>
      </w:r>
      <w:r w:rsidRPr="004A7F46">
        <w:rPr>
          <w:i/>
          <w:szCs w:val="24"/>
        </w:rPr>
        <w:t xml:space="preserve">BPMN Process Diagram: Check </w:t>
      </w:r>
      <w:r>
        <w:rPr>
          <w:i/>
          <w:szCs w:val="24"/>
        </w:rPr>
        <w:t>Payment Availability</w:t>
      </w:r>
    </w:p>
    <w:p w14:paraId="7D109265" w14:textId="4BCC7297" w:rsidR="002441AE" w:rsidRDefault="002441AE" w:rsidP="005E6A97">
      <w:pPr>
        <w:rPr>
          <w:iCs/>
          <w:szCs w:val="24"/>
        </w:rPr>
      </w:pPr>
      <w:r w:rsidRPr="008E2AAD">
        <w:rPr>
          <w:b/>
          <w:bCs/>
          <w:iCs/>
          <w:szCs w:val="24"/>
        </w:rPr>
        <w:t>Process Description</w:t>
      </w:r>
      <w:r>
        <w:rPr>
          <w:iCs/>
          <w:szCs w:val="24"/>
        </w:rPr>
        <w:t xml:space="preserve">: </w:t>
      </w:r>
      <w:r w:rsidRPr="002441AE">
        <w:rPr>
          <w:iCs/>
          <w:szCs w:val="24"/>
        </w:rPr>
        <w:t xml:space="preserve">The process Check Payment Availability is when systems </w:t>
      </w:r>
      <w:r w:rsidR="00B203E6" w:rsidRPr="002441AE">
        <w:rPr>
          <w:iCs/>
          <w:szCs w:val="24"/>
        </w:rPr>
        <w:t>want</w:t>
      </w:r>
      <w:r w:rsidRPr="002441AE">
        <w:rPr>
          <w:iCs/>
          <w:szCs w:val="24"/>
        </w:rPr>
        <w:t xml:space="preserve"> to check if the payment is </w:t>
      </w:r>
      <w:r w:rsidRPr="00353A19">
        <w:rPr>
          <w:iCs/>
          <w:szCs w:val="24"/>
        </w:rPr>
        <w:t>made</w:t>
      </w:r>
      <w:r w:rsidR="00B203E6" w:rsidRPr="00353A19">
        <w:rPr>
          <w:iCs/>
          <w:szCs w:val="24"/>
        </w:rPr>
        <w:t xml:space="preserve"> (</w:t>
      </w:r>
      <w:r w:rsidR="00B203E6" w:rsidRPr="00353A19">
        <w:rPr>
          <w:szCs w:val="24"/>
        </w:rPr>
        <w:t>for single or more LPCO requests)</w:t>
      </w:r>
      <w:r w:rsidRPr="00353A19">
        <w:rPr>
          <w:iCs/>
          <w:szCs w:val="24"/>
        </w:rPr>
        <w:t>,</w:t>
      </w:r>
      <w:r w:rsidRPr="002441AE">
        <w:rPr>
          <w:iCs/>
          <w:szCs w:val="24"/>
        </w:rPr>
        <w:t xml:space="preserve"> and the request is received. The Payment Service is retrieving this information and </w:t>
      </w:r>
      <w:proofErr w:type="gramStart"/>
      <w:r w:rsidRPr="002441AE">
        <w:rPr>
          <w:iCs/>
          <w:szCs w:val="24"/>
        </w:rPr>
        <w:t>sending</w:t>
      </w:r>
      <w:proofErr w:type="gramEnd"/>
      <w:r w:rsidRPr="002441AE">
        <w:rPr>
          <w:iCs/>
          <w:szCs w:val="24"/>
        </w:rPr>
        <w:t xml:space="preserve"> back to the requestor. </w:t>
      </w:r>
    </w:p>
    <w:p w14:paraId="1FCBCF42" w14:textId="77777777" w:rsidR="002441AE" w:rsidRPr="006517A3" w:rsidRDefault="002441AE" w:rsidP="002441AE">
      <w:pPr>
        <w:spacing w:after="0"/>
        <w:rPr>
          <w:rFonts w:eastAsia="Calibri"/>
          <w:b/>
          <w:szCs w:val="24"/>
        </w:rPr>
      </w:pPr>
      <w:r w:rsidRPr="006517A3">
        <w:rPr>
          <w:rFonts w:eastAsia="Calibri"/>
          <w:b/>
          <w:szCs w:val="24"/>
        </w:rPr>
        <w:t>Process Steps:</w:t>
      </w:r>
    </w:p>
    <w:p w14:paraId="68DACEA5" w14:textId="77777777" w:rsidR="002441AE" w:rsidRPr="0074193C" w:rsidRDefault="002441AE" w:rsidP="002441AE">
      <w:pPr>
        <w:spacing w:after="0"/>
        <w:rPr>
          <w:rFonts w:eastAsia="Calibri"/>
          <w:b/>
          <w:i/>
          <w:szCs w:val="24"/>
        </w:rPr>
      </w:pPr>
    </w:p>
    <w:tbl>
      <w:tblPr>
        <w:tblStyle w:val="TableGrid3"/>
        <w:tblW w:w="9355" w:type="dxa"/>
        <w:tblLook w:val="04A0" w:firstRow="1" w:lastRow="0" w:firstColumn="1" w:lastColumn="0" w:noHBand="0" w:noVBand="1"/>
      </w:tblPr>
      <w:tblGrid>
        <w:gridCol w:w="1525"/>
        <w:gridCol w:w="2430"/>
        <w:gridCol w:w="5400"/>
      </w:tblGrid>
      <w:tr w:rsidR="002441AE" w:rsidRPr="005E6A97" w14:paraId="1E176011" w14:textId="77777777" w:rsidTr="001136D3">
        <w:trPr>
          <w:tblHeader/>
        </w:trPr>
        <w:tc>
          <w:tcPr>
            <w:tcW w:w="1525" w:type="dxa"/>
            <w:shd w:val="clear" w:color="auto" w:fill="D9D9D9" w:themeFill="background1" w:themeFillShade="D9"/>
          </w:tcPr>
          <w:p w14:paraId="2D368E92" w14:textId="77777777" w:rsidR="002441AE" w:rsidRPr="00FD21DF" w:rsidRDefault="002441AE" w:rsidP="001B7EA1">
            <w:pPr>
              <w:spacing w:after="0"/>
              <w:rPr>
                <w:rFonts w:ascii="Times New Roman" w:hAnsi="Times New Roman"/>
                <w:b/>
                <w:szCs w:val="24"/>
              </w:rPr>
            </w:pPr>
            <w:r w:rsidRPr="005E6A97">
              <w:rPr>
                <w:rFonts w:ascii="Times New Roman" w:hAnsi="Times New Roman"/>
                <w:b/>
              </w:rPr>
              <w:t>Step</w:t>
            </w:r>
          </w:p>
        </w:tc>
        <w:tc>
          <w:tcPr>
            <w:tcW w:w="2430" w:type="dxa"/>
            <w:shd w:val="clear" w:color="auto" w:fill="D9D9D9" w:themeFill="background1" w:themeFillShade="D9"/>
          </w:tcPr>
          <w:p w14:paraId="21084FD5" w14:textId="77777777" w:rsidR="002441AE" w:rsidRPr="00FD21DF" w:rsidRDefault="002441AE" w:rsidP="001B7EA1">
            <w:pPr>
              <w:spacing w:after="0"/>
              <w:jc w:val="left"/>
              <w:rPr>
                <w:rFonts w:ascii="Times New Roman" w:hAnsi="Times New Roman"/>
                <w:b/>
                <w:szCs w:val="24"/>
              </w:rPr>
            </w:pPr>
            <w:r w:rsidRPr="005E6A97">
              <w:rPr>
                <w:rFonts w:ascii="Times New Roman" w:hAnsi="Times New Roman"/>
                <w:b/>
              </w:rPr>
              <w:t>Name</w:t>
            </w:r>
          </w:p>
        </w:tc>
        <w:tc>
          <w:tcPr>
            <w:tcW w:w="5400" w:type="dxa"/>
            <w:shd w:val="clear" w:color="auto" w:fill="D9D9D9" w:themeFill="background1" w:themeFillShade="D9"/>
          </w:tcPr>
          <w:p w14:paraId="56EB5B38" w14:textId="77777777" w:rsidR="002441AE" w:rsidRPr="00FD21DF" w:rsidRDefault="002441AE" w:rsidP="001B7EA1">
            <w:pPr>
              <w:spacing w:after="0"/>
              <w:jc w:val="left"/>
              <w:rPr>
                <w:rFonts w:ascii="Times New Roman" w:hAnsi="Times New Roman"/>
                <w:b/>
                <w:szCs w:val="24"/>
              </w:rPr>
            </w:pPr>
            <w:r w:rsidRPr="005E6A97">
              <w:rPr>
                <w:rFonts w:ascii="Times New Roman" w:hAnsi="Times New Roman"/>
                <w:b/>
              </w:rPr>
              <w:t>Description</w:t>
            </w:r>
          </w:p>
        </w:tc>
      </w:tr>
      <w:tr w:rsidR="002441AE" w:rsidRPr="005E6A97" w14:paraId="3D1C530F" w14:textId="77777777" w:rsidTr="001136D3">
        <w:tc>
          <w:tcPr>
            <w:tcW w:w="1525" w:type="dxa"/>
          </w:tcPr>
          <w:p w14:paraId="01CD3529" w14:textId="77777777" w:rsidR="002441AE" w:rsidRPr="005E6A97" w:rsidRDefault="002441AE" w:rsidP="001B7EA1">
            <w:pPr>
              <w:spacing w:after="0"/>
              <w:rPr>
                <w:rFonts w:ascii="Times New Roman" w:hAnsi="Times New Roman"/>
                <w:szCs w:val="24"/>
              </w:rPr>
            </w:pPr>
            <w:r w:rsidRPr="005E6A97">
              <w:rPr>
                <w:rFonts w:ascii="Times New Roman" w:hAnsi="Times New Roman"/>
                <w:szCs w:val="24"/>
              </w:rPr>
              <w:t>Start event</w:t>
            </w:r>
          </w:p>
        </w:tc>
        <w:tc>
          <w:tcPr>
            <w:tcW w:w="2430" w:type="dxa"/>
          </w:tcPr>
          <w:p w14:paraId="387D1639" w14:textId="1419499A" w:rsidR="002441AE" w:rsidRPr="005E6A97" w:rsidRDefault="002441AE" w:rsidP="001B7EA1">
            <w:pPr>
              <w:spacing w:after="0"/>
              <w:jc w:val="left"/>
              <w:rPr>
                <w:rFonts w:ascii="Times New Roman" w:hAnsi="Times New Roman"/>
                <w:szCs w:val="24"/>
              </w:rPr>
            </w:pPr>
            <w:r w:rsidRPr="005E6A97">
              <w:rPr>
                <w:rFonts w:ascii="Times New Roman" w:hAnsi="Times New Roman"/>
                <w:szCs w:val="24"/>
              </w:rPr>
              <w:t>Check Payment Availability Received</w:t>
            </w:r>
          </w:p>
        </w:tc>
        <w:tc>
          <w:tcPr>
            <w:tcW w:w="5400" w:type="dxa"/>
          </w:tcPr>
          <w:p w14:paraId="31CA689E" w14:textId="7104F38B" w:rsidR="002441AE" w:rsidRPr="005E6A97" w:rsidRDefault="002441AE" w:rsidP="00353A19">
            <w:pPr>
              <w:spacing w:after="0"/>
              <w:rPr>
                <w:rFonts w:ascii="Times New Roman" w:hAnsi="Times New Roman"/>
                <w:szCs w:val="24"/>
              </w:rPr>
            </w:pPr>
            <w:r w:rsidRPr="005E6A97">
              <w:rPr>
                <w:rFonts w:ascii="Times New Roman" w:hAnsi="Times New Roman"/>
                <w:szCs w:val="24"/>
              </w:rPr>
              <w:t>Message with the request to check if payment is made</w:t>
            </w:r>
            <w:r w:rsidR="0033667A">
              <w:rPr>
                <w:rFonts w:ascii="Times New Roman" w:hAnsi="Times New Roman"/>
                <w:szCs w:val="24"/>
              </w:rPr>
              <w:t xml:space="preserve"> </w:t>
            </w:r>
            <w:r w:rsidR="0033667A" w:rsidRPr="00493CFE">
              <w:rPr>
                <w:iCs/>
                <w:szCs w:val="24"/>
              </w:rPr>
              <w:t>(</w:t>
            </w:r>
            <w:r w:rsidR="0033667A" w:rsidRPr="00353A19">
              <w:rPr>
                <w:rFonts w:ascii="Times New Roman" w:hAnsi="Times New Roman"/>
                <w:szCs w:val="24"/>
              </w:rPr>
              <w:t>for single or more LPCO requests</w:t>
            </w:r>
            <w:r w:rsidR="0033667A" w:rsidRPr="00493CFE">
              <w:rPr>
                <w:szCs w:val="24"/>
              </w:rPr>
              <w:t>)</w:t>
            </w:r>
            <w:r w:rsidR="0033667A" w:rsidRPr="00A10453">
              <w:rPr>
                <w:rFonts w:ascii="Cambria" w:hAnsi="Cambria"/>
                <w:iCs/>
              </w:rPr>
              <w:t>,</w:t>
            </w:r>
            <w:r w:rsidRPr="005E6A97">
              <w:rPr>
                <w:rFonts w:ascii="Times New Roman" w:hAnsi="Times New Roman"/>
                <w:szCs w:val="24"/>
              </w:rPr>
              <w:t xml:space="preserve"> is received. </w:t>
            </w:r>
          </w:p>
        </w:tc>
      </w:tr>
      <w:tr w:rsidR="002441AE" w:rsidRPr="005E6A97" w14:paraId="09CE39BA" w14:textId="77777777" w:rsidTr="001136D3">
        <w:tc>
          <w:tcPr>
            <w:tcW w:w="1525" w:type="dxa"/>
          </w:tcPr>
          <w:p w14:paraId="5E9A7CFD" w14:textId="7B6FDF19" w:rsidR="002441AE" w:rsidRPr="005E6A97" w:rsidRDefault="002441AE" w:rsidP="001B7EA1">
            <w:pPr>
              <w:spacing w:after="0"/>
              <w:rPr>
                <w:rFonts w:ascii="Times New Roman" w:hAnsi="Times New Roman"/>
                <w:szCs w:val="24"/>
              </w:rPr>
            </w:pPr>
            <w:r w:rsidRPr="005E6A97">
              <w:rPr>
                <w:rFonts w:ascii="Times New Roman" w:hAnsi="Times New Roman"/>
                <w:szCs w:val="24"/>
              </w:rPr>
              <w:t>Service Task</w:t>
            </w:r>
          </w:p>
        </w:tc>
        <w:tc>
          <w:tcPr>
            <w:tcW w:w="2430" w:type="dxa"/>
          </w:tcPr>
          <w:p w14:paraId="67B9D897" w14:textId="14837815" w:rsidR="002441AE" w:rsidRPr="005E6A97" w:rsidRDefault="002441AE" w:rsidP="001B7EA1">
            <w:pPr>
              <w:spacing w:after="0"/>
              <w:jc w:val="left"/>
              <w:rPr>
                <w:rFonts w:ascii="Times New Roman" w:hAnsi="Times New Roman"/>
                <w:szCs w:val="24"/>
              </w:rPr>
            </w:pPr>
            <w:r w:rsidRPr="005E6A97">
              <w:rPr>
                <w:rFonts w:ascii="Times New Roman" w:hAnsi="Times New Roman"/>
                <w:szCs w:val="24"/>
              </w:rPr>
              <w:t>Register Check Payment Availability Request</w:t>
            </w:r>
          </w:p>
        </w:tc>
        <w:tc>
          <w:tcPr>
            <w:tcW w:w="5400" w:type="dxa"/>
          </w:tcPr>
          <w:p w14:paraId="5FB6FB29" w14:textId="12F0C531" w:rsidR="002441AE" w:rsidRPr="005E6A97" w:rsidRDefault="002441AE" w:rsidP="001B7EA1">
            <w:pPr>
              <w:spacing w:after="0"/>
              <w:rPr>
                <w:rFonts w:ascii="Times New Roman" w:hAnsi="Times New Roman"/>
                <w:szCs w:val="24"/>
              </w:rPr>
            </w:pPr>
            <w:r w:rsidRPr="005E6A97">
              <w:rPr>
                <w:rFonts w:ascii="Times New Roman" w:hAnsi="Times New Roman"/>
                <w:szCs w:val="24"/>
              </w:rPr>
              <w:t xml:space="preserve">The payment service </w:t>
            </w:r>
            <w:r w:rsidR="0033667A" w:rsidRPr="005E6A97">
              <w:rPr>
                <w:rFonts w:ascii="Times New Roman" w:hAnsi="Times New Roman"/>
                <w:szCs w:val="24"/>
              </w:rPr>
              <w:t>register</w:t>
            </w:r>
            <w:r w:rsidR="0033667A" w:rsidRPr="005E6A97">
              <w:rPr>
                <w:szCs w:val="24"/>
              </w:rPr>
              <w:t>s</w:t>
            </w:r>
            <w:r w:rsidRPr="005E6A97">
              <w:rPr>
                <w:rFonts w:ascii="Times New Roman" w:hAnsi="Times New Roman"/>
                <w:szCs w:val="24"/>
              </w:rPr>
              <w:t xml:space="preserve"> the request for the payment availability. </w:t>
            </w:r>
          </w:p>
        </w:tc>
      </w:tr>
      <w:tr w:rsidR="002441AE" w:rsidRPr="005E6A97" w14:paraId="6C68B0BE" w14:textId="77777777" w:rsidTr="001136D3">
        <w:tc>
          <w:tcPr>
            <w:tcW w:w="1525" w:type="dxa"/>
          </w:tcPr>
          <w:p w14:paraId="3774570B" w14:textId="0DB1E422" w:rsidR="002441AE" w:rsidRPr="005E6A97" w:rsidRDefault="002441AE" w:rsidP="001B7EA1">
            <w:pPr>
              <w:spacing w:after="0"/>
              <w:rPr>
                <w:rFonts w:ascii="Times New Roman" w:hAnsi="Times New Roman"/>
                <w:szCs w:val="24"/>
              </w:rPr>
            </w:pPr>
            <w:r w:rsidRPr="005E6A97">
              <w:rPr>
                <w:rFonts w:ascii="Times New Roman" w:hAnsi="Times New Roman"/>
                <w:szCs w:val="24"/>
              </w:rPr>
              <w:t>Service Task</w:t>
            </w:r>
          </w:p>
        </w:tc>
        <w:tc>
          <w:tcPr>
            <w:tcW w:w="2430" w:type="dxa"/>
          </w:tcPr>
          <w:p w14:paraId="053C0662" w14:textId="67F43233" w:rsidR="002441AE" w:rsidRPr="005E6A97" w:rsidRDefault="002441AE" w:rsidP="001B7EA1">
            <w:pPr>
              <w:spacing w:after="0"/>
              <w:jc w:val="left"/>
              <w:rPr>
                <w:rFonts w:ascii="Times New Roman" w:hAnsi="Times New Roman"/>
                <w:szCs w:val="24"/>
              </w:rPr>
            </w:pPr>
            <w:r w:rsidRPr="005E6A97">
              <w:rPr>
                <w:rFonts w:ascii="Times New Roman" w:hAnsi="Times New Roman"/>
                <w:szCs w:val="24"/>
              </w:rPr>
              <w:t>Retrieve Payment Information </w:t>
            </w:r>
          </w:p>
        </w:tc>
        <w:tc>
          <w:tcPr>
            <w:tcW w:w="5400" w:type="dxa"/>
          </w:tcPr>
          <w:p w14:paraId="6ACD98B8" w14:textId="6B70833F" w:rsidR="002441AE" w:rsidRPr="005E6A97" w:rsidRDefault="002441AE" w:rsidP="001B7EA1">
            <w:pPr>
              <w:spacing w:after="0"/>
              <w:rPr>
                <w:rFonts w:ascii="Times New Roman" w:hAnsi="Times New Roman"/>
                <w:szCs w:val="24"/>
              </w:rPr>
            </w:pPr>
            <w:r w:rsidRPr="005E6A97">
              <w:rPr>
                <w:rFonts w:ascii="Times New Roman" w:hAnsi="Times New Roman"/>
                <w:szCs w:val="24"/>
              </w:rPr>
              <w:t xml:space="preserve">The payment service is retrieving the payment information for the request payment. There are two possible outcomes, payment </w:t>
            </w:r>
            <w:proofErr w:type="gramStart"/>
            <w:r w:rsidRPr="005E6A97">
              <w:rPr>
                <w:rFonts w:ascii="Times New Roman" w:hAnsi="Times New Roman"/>
                <w:szCs w:val="24"/>
              </w:rPr>
              <w:t>made</w:t>
            </w:r>
            <w:proofErr w:type="gramEnd"/>
            <w:r w:rsidRPr="005E6A97">
              <w:rPr>
                <w:rFonts w:ascii="Times New Roman" w:hAnsi="Times New Roman"/>
                <w:szCs w:val="24"/>
              </w:rPr>
              <w:t xml:space="preserve"> and payment not found. </w:t>
            </w:r>
          </w:p>
        </w:tc>
      </w:tr>
      <w:tr w:rsidR="002441AE" w:rsidRPr="005E6A97" w14:paraId="21F58D4D" w14:textId="77777777" w:rsidTr="001136D3">
        <w:tc>
          <w:tcPr>
            <w:tcW w:w="1525" w:type="dxa"/>
          </w:tcPr>
          <w:p w14:paraId="4119B8EB" w14:textId="2C0C4D7A" w:rsidR="002441AE" w:rsidRPr="005E6A97" w:rsidRDefault="002441AE" w:rsidP="001B7EA1">
            <w:pPr>
              <w:spacing w:after="0"/>
              <w:rPr>
                <w:rFonts w:ascii="Times New Roman" w:hAnsi="Times New Roman"/>
                <w:szCs w:val="24"/>
              </w:rPr>
            </w:pPr>
            <w:r w:rsidRPr="005E6A97">
              <w:rPr>
                <w:rFonts w:ascii="Times New Roman" w:hAnsi="Times New Roman"/>
                <w:szCs w:val="24"/>
              </w:rPr>
              <w:t>Service Task</w:t>
            </w:r>
          </w:p>
        </w:tc>
        <w:tc>
          <w:tcPr>
            <w:tcW w:w="2430" w:type="dxa"/>
          </w:tcPr>
          <w:p w14:paraId="12D7DC2D" w14:textId="5BDC0623" w:rsidR="002441AE" w:rsidRPr="005E6A97" w:rsidRDefault="002441AE" w:rsidP="001B7EA1">
            <w:pPr>
              <w:spacing w:after="0"/>
              <w:jc w:val="left"/>
              <w:rPr>
                <w:rFonts w:ascii="Times New Roman" w:hAnsi="Times New Roman"/>
                <w:szCs w:val="24"/>
              </w:rPr>
            </w:pPr>
            <w:r w:rsidRPr="005E6A97">
              <w:rPr>
                <w:rFonts w:ascii="Times New Roman" w:hAnsi="Times New Roman"/>
                <w:szCs w:val="24"/>
              </w:rPr>
              <w:t>Notify Payment Information</w:t>
            </w:r>
          </w:p>
        </w:tc>
        <w:tc>
          <w:tcPr>
            <w:tcW w:w="5400" w:type="dxa"/>
          </w:tcPr>
          <w:p w14:paraId="7E2664CA" w14:textId="263B9259" w:rsidR="002441AE" w:rsidRPr="005E6A97" w:rsidRDefault="002441AE" w:rsidP="001B7EA1">
            <w:pPr>
              <w:spacing w:after="0"/>
              <w:rPr>
                <w:rFonts w:ascii="Times New Roman" w:hAnsi="Times New Roman"/>
                <w:szCs w:val="24"/>
              </w:rPr>
            </w:pPr>
            <w:r w:rsidRPr="005E6A97">
              <w:rPr>
                <w:rFonts w:ascii="Times New Roman" w:hAnsi="Times New Roman"/>
                <w:szCs w:val="24"/>
              </w:rPr>
              <w:t>The payment service notifies the requestor for the payment availability. </w:t>
            </w:r>
          </w:p>
        </w:tc>
      </w:tr>
      <w:tr w:rsidR="002441AE" w:rsidRPr="005E6A97" w14:paraId="59DB5E75" w14:textId="77777777" w:rsidTr="001136D3">
        <w:tc>
          <w:tcPr>
            <w:tcW w:w="1525" w:type="dxa"/>
          </w:tcPr>
          <w:p w14:paraId="39ABBEEB" w14:textId="3EEB8854" w:rsidR="002441AE" w:rsidRPr="005E6A97" w:rsidRDefault="002441AE" w:rsidP="001B7EA1">
            <w:pPr>
              <w:spacing w:after="0"/>
              <w:rPr>
                <w:rFonts w:ascii="Times New Roman" w:hAnsi="Times New Roman"/>
                <w:szCs w:val="24"/>
              </w:rPr>
            </w:pPr>
            <w:r w:rsidRPr="005E6A97">
              <w:rPr>
                <w:rFonts w:ascii="Times New Roman" w:hAnsi="Times New Roman"/>
                <w:szCs w:val="24"/>
              </w:rPr>
              <w:t>End Event</w:t>
            </w:r>
          </w:p>
        </w:tc>
        <w:tc>
          <w:tcPr>
            <w:tcW w:w="2430" w:type="dxa"/>
          </w:tcPr>
          <w:p w14:paraId="0CC815B7" w14:textId="34C8A558" w:rsidR="002441AE" w:rsidRPr="005E6A97" w:rsidRDefault="002441AE" w:rsidP="001B7EA1">
            <w:pPr>
              <w:spacing w:after="0"/>
              <w:jc w:val="left"/>
              <w:rPr>
                <w:rFonts w:ascii="Times New Roman" w:hAnsi="Times New Roman"/>
                <w:szCs w:val="24"/>
              </w:rPr>
            </w:pPr>
            <w:r w:rsidRPr="005E6A97">
              <w:rPr>
                <w:rFonts w:ascii="Times New Roman" w:hAnsi="Times New Roman"/>
                <w:szCs w:val="24"/>
              </w:rPr>
              <w:t>Payment Availability Processed</w:t>
            </w:r>
          </w:p>
        </w:tc>
        <w:tc>
          <w:tcPr>
            <w:tcW w:w="5400" w:type="dxa"/>
          </w:tcPr>
          <w:p w14:paraId="72F5C6DF" w14:textId="5B165860" w:rsidR="002441AE" w:rsidRPr="005E6A97" w:rsidRDefault="002441AE" w:rsidP="001B7EA1">
            <w:pPr>
              <w:spacing w:after="0"/>
              <w:rPr>
                <w:rFonts w:ascii="Times New Roman" w:hAnsi="Times New Roman"/>
                <w:szCs w:val="24"/>
              </w:rPr>
            </w:pPr>
            <w:r w:rsidRPr="005E6A97">
              <w:rPr>
                <w:rFonts w:ascii="Times New Roman" w:hAnsi="Times New Roman"/>
                <w:szCs w:val="24"/>
              </w:rPr>
              <w:t>The process to check payment availability finishes.</w:t>
            </w:r>
          </w:p>
        </w:tc>
      </w:tr>
    </w:tbl>
    <w:p w14:paraId="5CDD574E" w14:textId="77777777" w:rsidR="008010C7" w:rsidRDefault="008010C7" w:rsidP="002441AE">
      <w:pPr>
        <w:rPr>
          <w:rFonts w:eastAsia="Calibri"/>
          <w:b/>
          <w:szCs w:val="24"/>
        </w:rPr>
      </w:pPr>
    </w:p>
    <w:p w14:paraId="4B82A188" w14:textId="656B3501" w:rsidR="002441AE" w:rsidRPr="006517A3" w:rsidRDefault="002441AE" w:rsidP="002441AE">
      <w:pPr>
        <w:rPr>
          <w:rFonts w:eastAsia="Calibri"/>
          <w:b/>
          <w:szCs w:val="24"/>
        </w:rPr>
      </w:pPr>
      <w:r w:rsidRPr="006517A3">
        <w:rPr>
          <w:rFonts w:eastAsia="Calibri"/>
          <w:b/>
          <w:szCs w:val="24"/>
        </w:rPr>
        <w:t>Functional Requirements:</w:t>
      </w:r>
    </w:p>
    <w:tbl>
      <w:tblPr>
        <w:tblStyle w:val="TableGrid"/>
        <w:tblW w:w="9355" w:type="dxa"/>
        <w:tblLook w:val="04A0" w:firstRow="1" w:lastRow="0" w:firstColumn="1" w:lastColumn="0" w:noHBand="0" w:noVBand="1"/>
      </w:tblPr>
      <w:tblGrid>
        <w:gridCol w:w="1075"/>
        <w:gridCol w:w="8280"/>
      </w:tblGrid>
      <w:tr w:rsidR="002441AE" w:rsidRPr="003E0A38" w14:paraId="4AE1B38F" w14:textId="77777777" w:rsidTr="001136D3">
        <w:trPr>
          <w:tblHeader/>
        </w:trPr>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D7BC31C" w14:textId="77777777" w:rsidR="002441AE" w:rsidRPr="003E0A38" w:rsidRDefault="002441AE" w:rsidP="001B7EA1">
            <w:pPr>
              <w:spacing w:after="0"/>
              <w:rPr>
                <w:b/>
                <w:szCs w:val="24"/>
              </w:rPr>
            </w:pPr>
            <w:r w:rsidRPr="003E0A38">
              <w:rPr>
                <w:b/>
                <w:szCs w:val="24"/>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F8E7CF" w14:textId="77777777" w:rsidR="002441AE" w:rsidRPr="003E0A38" w:rsidRDefault="002441AE" w:rsidP="001B7EA1">
            <w:pPr>
              <w:spacing w:after="0"/>
              <w:jc w:val="left"/>
              <w:rPr>
                <w:b/>
                <w:szCs w:val="24"/>
              </w:rPr>
            </w:pPr>
            <w:r w:rsidRPr="003E0A38">
              <w:rPr>
                <w:b/>
                <w:szCs w:val="24"/>
              </w:rPr>
              <w:t>Description</w:t>
            </w:r>
          </w:p>
        </w:tc>
      </w:tr>
      <w:tr w:rsidR="002441AE" w:rsidRPr="003E0A38" w14:paraId="0CB7E42B" w14:textId="77777777" w:rsidTr="001136D3">
        <w:tc>
          <w:tcPr>
            <w:tcW w:w="1075" w:type="dxa"/>
            <w:tcBorders>
              <w:top w:val="single" w:sz="4" w:space="0" w:color="auto"/>
              <w:left w:val="single" w:sz="4" w:space="0" w:color="auto"/>
              <w:bottom w:val="single" w:sz="4" w:space="0" w:color="auto"/>
              <w:right w:val="single" w:sz="4" w:space="0" w:color="auto"/>
            </w:tcBorders>
          </w:tcPr>
          <w:p w14:paraId="08377988" w14:textId="2E34F066" w:rsidR="002441AE" w:rsidRPr="003E0A38" w:rsidRDefault="008010C7" w:rsidP="00FD21DF">
            <w:pPr>
              <w:spacing w:after="0"/>
              <w:rPr>
                <w:szCs w:val="24"/>
              </w:rPr>
            </w:pPr>
            <w:r w:rsidRPr="003E0A38">
              <w:rPr>
                <w:szCs w:val="24"/>
              </w:rPr>
              <w:t>FR</w:t>
            </w:r>
            <w:r>
              <w:rPr>
                <w:szCs w:val="24"/>
              </w:rPr>
              <w:t>522</w:t>
            </w:r>
          </w:p>
        </w:tc>
        <w:tc>
          <w:tcPr>
            <w:tcW w:w="8280" w:type="dxa"/>
            <w:tcBorders>
              <w:top w:val="single" w:sz="4" w:space="0" w:color="auto"/>
              <w:left w:val="single" w:sz="4" w:space="0" w:color="auto"/>
              <w:bottom w:val="single" w:sz="4" w:space="0" w:color="auto"/>
              <w:right w:val="single" w:sz="4" w:space="0" w:color="auto"/>
            </w:tcBorders>
            <w:hideMark/>
          </w:tcPr>
          <w:p w14:paraId="533E00F7" w14:textId="34DE9018" w:rsidR="002441AE" w:rsidRPr="002441AE" w:rsidRDefault="002441AE" w:rsidP="008E2AAD">
            <w:pPr>
              <w:spacing w:after="0"/>
              <w:jc w:val="left"/>
              <w:rPr>
                <w:szCs w:val="24"/>
              </w:rPr>
            </w:pPr>
            <w:r w:rsidRPr="002441AE">
              <w:rPr>
                <w:szCs w:val="24"/>
              </w:rPr>
              <w:t>The system must be able to register the request</w:t>
            </w:r>
            <w:r w:rsidR="00BB19A4">
              <w:rPr>
                <w:szCs w:val="24"/>
              </w:rPr>
              <w:t xml:space="preserve"> </w:t>
            </w:r>
            <w:r w:rsidR="00BB19A4" w:rsidRPr="00353A19">
              <w:rPr>
                <w:iCs/>
                <w:szCs w:val="24"/>
              </w:rPr>
              <w:t>(</w:t>
            </w:r>
            <w:r w:rsidR="00BB19A4" w:rsidRPr="00353A19">
              <w:rPr>
                <w:szCs w:val="24"/>
              </w:rPr>
              <w:t>for single or more LPCO requests)</w:t>
            </w:r>
            <w:r w:rsidR="00BB19A4" w:rsidRPr="00353A19">
              <w:rPr>
                <w:rFonts w:ascii="Cambria" w:hAnsi="Cambria"/>
                <w:iCs/>
                <w:sz w:val="22"/>
                <w:szCs w:val="22"/>
              </w:rPr>
              <w:t>,</w:t>
            </w:r>
            <w:r w:rsidR="00BB19A4" w:rsidRPr="00A10453">
              <w:rPr>
                <w:rFonts w:ascii="Cambria" w:hAnsi="Cambria"/>
                <w:iCs/>
                <w:sz w:val="22"/>
                <w:szCs w:val="22"/>
              </w:rPr>
              <w:t xml:space="preserve"> </w:t>
            </w:r>
            <w:r w:rsidR="00BB19A4" w:rsidRPr="002441AE">
              <w:rPr>
                <w:szCs w:val="24"/>
              </w:rPr>
              <w:t>to</w:t>
            </w:r>
            <w:r w:rsidRPr="002441AE">
              <w:rPr>
                <w:szCs w:val="24"/>
              </w:rPr>
              <w:t xml:space="preserve"> check the payment availability  </w:t>
            </w:r>
          </w:p>
        </w:tc>
      </w:tr>
      <w:tr w:rsidR="002441AE" w:rsidRPr="003E0A38" w14:paraId="6F1FF95D" w14:textId="77777777" w:rsidTr="001136D3">
        <w:tc>
          <w:tcPr>
            <w:tcW w:w="1075" w:type="dxa"/>
            <w:tcBorders>
              <w:top w:val="single" w:sz="4" w:space="0" w:color="auto"/>
              <w:left w:val="single" w:sz="4" w:space="0" w:color="auto"/>
              <w:bottom w:val="single" w:sz="4" w:space="0" w:color="auto"/>
              <w:right w:val="single" w:sz="4" w:space="0" w:color="auto"/>
            </w:tcBorders>
          </w:tcPr>
          <w:p w14:paraId="05B8F056" w14:textId="3FF745B5" w:rsidR="002441AE" w:rsidRPr="003E0A38" w:rsidRDefault="002441AE" w:rsidP="001B7EA1">
            <w:pPr>
              <w:spacing w:after="0"/>
              <w:rPr>
                <w:szCs w:val="24"/>
              </w:rPr>
            </w:pPr>
            <w:r w:rsidRPr="003E0A38">
              <w:rPr>
                <w:szCs w:val="24"/>
              </w:rPr>
              <w:t>FR</w:t>
            </w:r>
            <w:r w:rsidR="008010C7">
              <w:rPr>
                <w:szCs w:val="24"/>
              </w:rPr>
              <w:t>523</w:t>
            </w:r>
          </w:p>
          <w:p w14:paraId="22E8B4E3" w14:textId="77777777" w:rsidR="002441AE" w:rsidRPr="003E0A38" w:rsidRDefault="002441AE" w:rsidP="001B7EA1">
            <w:pPr>
              <w:spacing w:after="0"/>
              <w:rPr>
                <w:szCs w:val="24"/>
              </w:rPr>
            </w:pPr>
          </w:p>
        </w:tc>
        <w:tc>
          <w:tcPr>
            <w:tcW w:w="8280" w:type="dxa"/>
            <w:tcBorders>
              <w:top w:val="single" w:sz="4" w:space="0" w:color="auto"/>
              <w:left w:val="single" w:sz="4" w:space="0" w:color="auto"/>
              <w:bottom w:val="single" w:sz="4" w:space="0" w:color="auto"/>
              <w:right w:val="single" w:sz="4" w:space="0" w:color="auto"/>
            </w:tcBorders>
            <w:hideMark/>
          </w:tcPr>
          <w:p w14:paraId="5470314B" w14:textId="5BD14B3F" w:rsidR="002441AE" w:rsidRPr="003E0A38" w:rsidRDefault="002441AE" w:rsidP="001136D3">
            <w:pPr>
              <w:spacing w:after="0"/>
              <w:jc w:val="left"/>
              <w:rPr>
                <w:szCs w:val="24"/>
              </w:rPr>
            </w:pPr>
            <w:r w:rsidRPr="002441AE">
              <w:rPr>
                <w:szCs w:val="24"/>
              </w:rPr>
              <w:t xml:space="preserve">The system must be able to retrieve payment information. If the payment is found, the information is retrieved, if not, means the payment is not made.  </w:t>
            </w:r>
          </w:p>
        </w:tc>
      </w:tr>
      <w:tr w:rsidR="002441AE" w:rsidRPr="003E0A38" w14:paraId="224D2E22" w14:textId="77777777" w:rsidTr="001136D3">
        <w:tc>
          <w:tcPr>
            <w:tcW w:w="1075" w:type="dxa"/>
            <w:tcBorders>
              <w:top w:val="single" w:sz="4" w:space="0" w:color="auto"/>
              <w:left w:val="single" w:sz="4" w:space="0" w:color="auto"/>
              <w:bottom w:val="single" w:sz="4" w:space="0" w:color="auto"/>
              <w:right w:val="single" w:sz="4" w:space="0" w:color="auto"/>
            </w:tcBorders>
          </w:tcPr>
          <w:p w14:paraId="7F45F807" w14:textId="0C3A03A1" w:rsidR="002441AE" w:rsidRPr="003E0A38" w:rsidRDefault="002441AE" w:rsidP="001B7EA1">
            <w:pPr>
              <w:spacing w:after="0"/>
              <w:rPr>
                <w:szCs w:val="24"/>
              </w:rPr>
            </w:pPr>
            <w:r>
              <w:rPr>
                <w:szCs w:val="24"/>
              </w:rPr>
              <w:t>FR</w:t>
            </w:r>
            <w:r w:rsidR="008010C7">
              <w:rPr>
                <w:szCs w:val="24"/>
              </w:rPr>
              <w:t>524</w:t>
            </w:r>
          </w:p>
        </w:tc>
        <w:tc>
          <w:tcPr>
            <w:tcW w:w="8280" w:type="dxa"/>
            <w:tcBorders>
              <w:top w:val="single" w:sz="4" w:space="0" w:color="auto"/>
              <w:left w:val="single" w:sz="4" w:space="0" w:color="auto"/>
              <w:bottom w:val="single" w:sz="4" w:space="0" w:color="auto"/>
              <w:right w:val="single" w:sz="4" w:space="0" w:color="auto"/>
            </w:tcBorders>
          </w:tcPr>
          <w:p w14:paraId="3A491F93" w14:textId="3F60B92E" w:rsidR="002441AE" w:rsidRPr="002441AE" w:rsidRDefault="002441AE" w:rsidP="002441AE">
            <w:pPr>
              <w:spacing w:after="0"/>
              <w:jc w:val="left"/>
              <w:rPr>
                <w:szCs w:val="24"/>
              </w:rPr>
            </w:pPr>
            <w:r w:rsidRPr="002441AE">
              <w:rPr>
                <w:szCs w:val="24"/>
              </w:rPr>
              <w:t xml:space="preserve">The system must be able to send notification with the payment information to the requestor. </w:t>
            </w:r>
          </w:p>
        </w:tc>
      </w:tr>
    </w:tbl>
    <w:p w14:paraId="3CF6A17D" w14:textId="77777777" w:rsidR="002441AE" w:rsidRDefault="002441AE">
      <w:pPr>
        <w:jc w:val="left"/>
        <w:rPr>
          <w:iCs/>
          <w:szCs w:val="24"/>
        </w:rPr>
      </w:pPr>
    </w:p>
    <w:p w14:paraId="5D0CABC7" w14:textId="01132400" w:rsidR="00157AAA" w:rsidRPr="008E2AAD" w:rsidRDefault="006C1BE5">
      <w:pPr>
        <w:jc w:val="left"/>
        <w:rPr>
          <w:b/>
          <w:bCs/>
          <w:szCs w:val="24"/>
        </w:rPr>
      </w:pPr>
      <w:r w:rsidRPr="008E2AAD">
        <w:rPr>
          <w:b/>
          <w:bCs/>
          <w:szCs w:val="24"/>
        </w:rPr>
        <w:t>1.2.8. Notification Management</w:t>
      </w:r>
    </w:p>
    <w:p w14:paraId="4A26CA4F" w14:textId="77777777" w:rsidR="00157AAA" w:rsidRPr="008E2AAD" w:rsidRDefault="006C1BE5">
      <w:pPr>
        <w:ind w:firstLine="720"/>
        <w:rPr>
          <w:b/>
        </w:rPr>
      </w:pPr>
      <w:r w:rsidRPr="008E2AAD">
        <w:rPr>
          <w:b/>
          <w:bCs/>
          <w:szCs w:val="24"/>
        </w:rPr>
        <w:t>1.2.8.1.</w:t>
      </w:r>
      <w:r w:rsidRPr="008E2AAD">
        <w:rPr>
          <w:b/>
        </w:rPr>
        <w:t xml:space="preserve"> Notification Gateway</w:t>
      </w:r>
    </w:p>
    <w:p w14:paraId="4D2C0A72" w14:textId="77777777" w:rsidR="00157AAA" w:rsidRDefault="006C1BE5" w:rsidP="001136D3">
      <w:pPr>
        <w:spacing w:after="0"/>
        <w:ind w:left="720"/>
      </w:pPr>
      <w:r>
        <w:t xml:space="preserve">The NSW will have a technical Notification Gateway component which is responsible </w:t>
      </w:r>
      <w:proofErr w:type="gramStart"/>
      <w:r>
        <w:t>to handle</w:t>
      </w:r>
      <w:proofErr w:type="gramEnd"/>
      <w:r>
        <w:t xml:space="preserve"> the notifications to NSW users. The purpose of this component is to accomplish an effective single window solution where a user is notified of the relevant changes and does not have to manually check if something has changed every day.</w:t>
      </w:r>
    </w:p>
    <w:p w14:paraId="2D9997C6" w14:textId="77777777" w:rsidR="00157AAA" w:rsidRDefault="006C1BE5" w:rsidP="001136D3">
      <w:pPr>
        <w:spacing w:after="0"/>
        <w:ind w:left="720"/>
      </w:pPr>
      <w:r>
        <w:t>The system shall enable the user to update individual notification settings.</w:t>
      </w:r>
    </w:p>
    <w:p w14:paraId="78605108" w14:textId="77777777" w:rsidR="00157AAA" w:rsidRDefault="006C1BE5" w:rsidP="001136D3">
      <w:pPr>
        <w:spacing w:after="0"/>
        <w:ind w:left="720"/>
      </w:pPr>
      <w:r>
        <w:lastRenderedPageBreak/>
        <w:t xml:space="preserve">The system must be able to send notifications via mail based on the user settings, but the system should be flexible so it can be extended to handle new </w:t>
      </w:r>
      <w:proofErr w:type="gramStart"/>
      <w:r>
        <w:t>type</w:t>
      </w:r>
      <w:proofErr w:type="gramEnd"/>
      <w:r>
        <w:t xml:space="preserve"> of communication channels for notifications in the future.</w:t>
      </w:r>
    </w:p>
    <w:p w14:paraId="22119266" w14:textId="77777777" w:rsidR="00157AAA" w:rsidRDefault="006C1BE5" w:rsidP="001136D3">
      <w:pPr>
        <w:spacing w:after="0"/>
        <w:ind w:left="720"/>
      </w:pPr>
      <w:r>
        <w:t xml:space="preserve">Since different users are going to have different preferences on how they want to be notified, the Notification Gateway component must be flexible </w:t>
      </w:r>
      <w:proofErr w:type="gramStart"/>
      <w:r>
        <w:t>in order to</w:t>
      </w:r>
      <w:proofErr w:type="gramEnd"/>
      <w:r>
        <w:t xml:space="preserve"> support the several different ways to be notified where the user can personalize the settings so he/she is notified the preferred way.</w:t>
      </w:r>
    </w:p>
    <w:p w14:paraId="172A1B83" w14:textId="77777777" w:rsidR="00157AAA" w:rsidRDefault="006C1BE5">
      <w:pPr>
        <w:spacing w:after="0"/>
        <w:ind w:left="720" w:firstLine="720"/>
      </w:pPr>
      <w:r>
        <w:t>For the NSW user role:</w:t>
      </w:r>
    </w:p>
    <w:p w14:paraId="456E3CDE" w14:textId="77777777" w:rsidR="00157AAA" w:rsidRDefault="006C1BE5" w:rsidP="00D530D5">
      <w:pPr>
        <w:pStyle w:val="ListParagraph"/>
        <w:numPr>
          <w:ilvl w:val="0"/>
          <w:numId w:val="73"/>
        </w:numPr>
        <w:spacing w:after="0"/>
      </w:pPr>
      <w:r>
        <w:t>Administrate notification settings.</w:t>
      </w:r>
    </w:p>
    <w:p w14:paraId="3121E70B" w14:textId="77777777" w:rsidR="00157AAA" w:rsidRDefault="006C1BE5">
      <w:pPr>
        <w:spacing w:after="0"/>
        <w:ind w:left="720" w:firstLine="720"/>
      </w:pPr>
      <w:r>
        <w:t>For the components generating notifications:</w:t>
      </w:r>
    </w:p>
    <w:p w14:paraId="7CA95507" w14:textId="77777777" w:rsidR="00157AAA" w:rsidRDefault="006C1BE5" w:rsidP="00D530D5">
      <w:pPr>
        <w:pStyle w:val="ListParagraph"/>
        <w:numPr>
          <w:ilvl w:val="0"/>
          <w:numId w:val="148"/>
        </w:numPr>
        <w:spacing w:after="0"/>
      </w:pPr>
      <w:r>
        <w:t>Send notification.</w:t>
      </w:r>
    </w:p>
    <w:p w14:paraId="072FEB0D" w14:textId="2398A55A" w:rsidR="00157AAA" w:rsidRDefault="00157AAA">
      <w:pPr>
        <w:ind w:left="702"/>
      </w:pPr>
    </w:p>
    <w:tbl>
      <w:tblPr>
        <w:tblStyle w:val="TableGrid"/>
        <w:tblW w:w="9355" w:type="dxa"/>
        <w:tblLook w:val="04A0" w:firstRow="1" w:lastRow="0" w:firstColumn="1" w:lastColumn="0" w:noHBand="0" w:noVBand="1"/>
      </w:tblPr>
      <w:tblGrid>
        <w:gridCol w:w="1075"/>
        <w:gridCol w:w="8280"/>
      </w:tblGrid>
      <w:tr w:rsidR="00FB7C09" w:rsidRPr="003E0A38" w14:paraId="24AE3AD5" w14:textId="77777777" w:rsidTr="00EA3B24">
        <w:trPr>
          <w:tblHeader/>
        </w:trPr>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A409D6" w14:textId="77777777" w:rsidR="00FB7C09" w:rsidRPr="003E0A38" w:rsidRDefault="00FB7C09" w:rsidP="00EA3B24">
            <w:pPr>
              <w:spacing w:after="0"/>
              <w:rPr>
                <w:b/>
                <w:szCs w:val="24"/>
              </w:rPr>
            </w:pPr>
            <w:r w:rsidRPr="003E0A38">
              <w:rPr>
                <w:b/>
                <w:szCs w:val="24"/>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1A6555" w14:textId="77777777" w:rsidR="00FB7C09" w:rsidRPr="003E0A38" w:rsidRDefault="00FB7C09" w:rsidP="00EA3B24">
            <w:pPr>
              <w:spacing w:after="0"/>
              <w:jc w:val="left"/>
              <w:rPr>
                <w:b/>
                <w:szCs w:val="24"/>
              </w:rPr>
            </w:pPr>
            <w:r w:rsidRPr="003E0A38">
              <w:rPr>
                <w:b/>
                <w:szCs w:val="24"/>
              </w:rPr>
              <w:t>Description</w:t>
            </w:r>
          </w:p>
        </w:tc>
      </w:tr>
      <w:tr w:rsidR="00FB7C09" w:rsidRPr="003E0A38" w14:paraId="3AFE7F52" w14:textId="77777777" w:rsidTr="001136D3">
        <w:tc>
          <w:tcPr>
            <w:tcW w:w="1075" w:type="dxa"/>
            <w:tcBorders>
              <w:top w:val="single" w:sz="4" w:space="0" w:color="auto"/>
              <w:left w:val="single" w:sz="4" w:space="0" w:color="auto"/>
              <w:bottom w:val="single" w:sz="4" w:space="0" w:color="auto"/>
              <w:right w:val="single" w:sz="4" w:space="0" w:color="auto"/>
            </w:tcBorders>
          </w:tcPr>
          <w:p w14:paraId="4B13C5C2" w14:textId="6EEA4217" w:rsidR="00FB7C09" w:rsidRPr="003E0A38" w:rsidRDefault="00B27292" w:rsidP="00EA3B24">
            <w:pPr>
              <w:spacing w:after="0"/>
              <w:rPr>
                <w:szCs w:val="24"/>
              </w:rPr>
            </w:pPr>
            <w:r>
              <w:rPr>
                <w:szCs w:val="24"/>
              </w:rPr>
              <w:t>FR561</w:t>
            </w:r>
          </w:p>
        </w:tc>
        <w:tc>
          <w:tcPr>
            <w:tcW w:w="8280" w:type="dxa"/>
            <w:tcBorders>
              <w:top w:val="single" w:sz="4" w:space="0" w:color="auto"/>
              <w:left w:val="single" w:sz="4" w:space="0" w:color="auto"/>
              <w:bottom w:val="single" w:sz="4" w:space="0" w:color="auto"/>
              <w:right w:val="single" w:sz="4" w:space="0" w:color="auto"/>
            </w:tcBorders>
          </w:tcPr>
          <w:p w14:paraId="50968F26" w14:textId="0B1C1BCF" w:rsidR="00FB7C09" w:rsidRPr="002441AE" w:rsidRDefault="00771711" w:rsidP="00EA3B24">
            <w:pPr>
              <w:spacing w:after="0"/>
              <w:jc w:val="left"/>
              <w:rPr>
                <w:szCs w:val="24"/>
              </w:rPr>
            </w:pPr>
            <w:r w:rsidRPr="00771711">
              <w:rPr>
                <w:szCs w:val="24"/>
              </w:rPr>
              <w:t>The system must be able to handle notifications to NSW users for relevant changes</w:t>
            </w:r>
          </w:p>
        </w:tc>
      </w:tr>
      <w:tr w:rsidR="00FB7C09" w:rsidRPr="003E0A38" w14:paraId="09D5A8BB" w14:textId="77777777" w:rsidTr="001136D3">
        <w:tc>
          <w:tcPr>
            <w:tcW w:w="1075" w:type="dxa"/>
            <w:tcBorders>
              <w:top w:val="single" w:sz="4" w:space="0" w:color="auto"/>
              <w:left w:val="single" w:sz="4" w:space="0" w:color="auto"/>
              <w:bottom w:val="single" w:sz="4" w:space="0" w:color="auto"/>
              <w:right w:val="single" w:sz="4" w:space="0" w:color="auto"/>
            </w:tcBorders>
          </w:tcPr>
          <w:p w14:paraId="21BA8671" w14:textId="554864DC" w:rsidR="00FB7C09" w:rsidRPr="003E0A38" w:rsidRDefault="00B27292" w:rsidP="00EA3B24">
            <w:pPr>
              <w:spacing w:after="0"/>
              <w:rPr>
                <w:szCs w:val="24"/>
              </w:rPr>
            </w:pPr>
            <w:r>
              <w:rPr>
                <w:szCs w:val="24"/>
              </w:rPr>
              <w:t>FR562</w:t>
            </w:r>
          </w:p>
        </w:tc>
        <w:tc>
          <w:tcPr>
            <w:tcW w:w="8280" w:type="dxa"/>
            <w:tcBorders>
              <w:top w:val="single" w:sz="4" w:space="0" w:color="auto"/>
              <w:left w:val="single" w:sz="4" w:space="0" w:color="auto"/>
              <w:bottom w:val="single" w:sz="4" w:space="0" w:color="auto"/>
              <w:right w:val="single" w:sz="4" w:space="0" w:color="auto"/>
            </w:tcBorders>
          </w:tcPr>
          <w:p w14:paraId="0BC46EA7" w14:textId="5156C171" w:rsidR="00FB7C09" w:rsidRPr="003E0A38" w:rsidRDefault="00771711" w:rsidP="00EA3B24">
            <w:pPr>
              <w:spacing w:after="0"/>
              <w:jc w:val="left"/>
              <w:rPr>
                <w:szCs w:val="24"/>
              </w:rPr>
            </w:pPr>
            <w:r w:rsidRPr="00771711">
              <w:rPr>
                <w:szCs w:val="24"/>
              </w:rPr>
              <w:t>The system must be able to configure the notifications for users and roles</w:t>
            </w:r>
          </w:p>
        </w:tc>
      </w:tr>
      <w:tr w:rsidR="00FB7C09" w:rsidRPr="003E0A38" w14:paraId="1CF29040" w14:textId="77777777" w:rsidTr="00EA3B24">
        <w:tc>
          <w:tcPr>
            <w:tcW w:w="1075" w:type="dxa"/>
            <w:tcBorders>
              <w:top w:val="single" w:sz="4" w:space="0" w:color="auto"/>
              <w:left w:val="single" w:sz="4" w:space="0" w:color="auto"/>
              <w:bottom w:val="single" w:sz="4" w:space="0" w:color="auto"/>
              <w:right w:val="single" w:sz="4" w:space="0" w:color="auto"/>
            </w:tcBorders>
          </w:tcPr>
          <w:p w14:paraId="64B6B9EA" w14:textId="00B85F91" w:rsidR="00FB7C09" w:rsidRPr="003E0A38" w:rsidRDefault="00B27292" w:rsidP="00EA3B24">
            <w:pPr>
              <w:spacing w:after="0"/>
              <w:rPr>
                <w:szCs w:val="24"/>
              </w:rPr>
            </w:pPr>
            <w:r>
              <w:rPr>
                <w:szCs w:val="24"/>
              </w:rPr>
              <w:t>FR563</w:t>
            </w:r>
          </w:p>
        </w:tc>
        <w:tc>
          <w:tcPr>
            <w:tcW w:w="8280" w:type="dxa"/>
            <w:tcBorders>
              <w:top w:val="single" w:sz="4" w:space="0" w:color="auto"/>
              <w:left w:val="single" w:sz="4" w:space="0" w:color="auto"/>
              <w:bottom w:val="single" w:sz="4" w:space="0" w:color="auto"/>
              <w:right w:val="single" w:sz="4" w:space="0" w:color="auto"/>
            </w:tcBorders>
          </w:tcPr>
          <w:p w14:paraId="510737C0" w14:textId="54CF7639" w:rsidR="00FB7C09" w:rsidRPr="002441AE" w:rsidRDefault="00771711" w:rsidP="00EA3B24">
            <w:pPr>
              <w:spacing w:after="0"/>
              <w:jc w:val="left"/>
              <w:rPr>
                <w:szCs w:val="24"/>
              </w:rPr>
            </w:pPr>
            <w:r w:rsidRPr="00771711">
              <w:rPr>
                <w:szCs w:val="24"/>
              </w:rPr>
              <w:t>The system must be able to send notification via mail based on the user settings</w:t>
            </w:r>
          </w:p>
        </w:tc>
      </w:tr>
      <w:tr w:rsidR="00771711" w:rsidRPr="003E0A38" w14:paraId="1F781ECB" w14:textId="77777777" w:rsidTr="00EA3B24">
        <w:tc>
          <w:tcPr>
            <w:tcW w:w="1075" w:type="dxa"/>
            <w:tcBorders>
              <w:top w:val="single" w:sz="4" w:space="0" w:color="auto"/>
              <w:left w:val="single" w:sz="4" w:space="0" w:color="auto"/>
              <w:bottom w:val="single" w:sz="4" w:space="0" w:color="auto"/>
              <w:right w:val="single" w:sz="4" w:space="0" w:color="auto"/>
            </w:tcBorders>
          </w:tcPr>
          <w:p w14:paraId="28B31741" w14:textId="27396237" w:rsidR="00771711" w:rsidRDefault="00771711" w:rsidP="00EA3B24">
            <w:pPr>
              <w:spacing w:after="0"/>
              <w:rPr>
                <w:szCs w:val="24"/>
              </w:rPr>
            </w:pPr>
            <w:r>
              <w:rPr>
                <w:szCs w:val="24"/>
              </w:rPr>
              <w:t>FR564</w:t>
            </w:r>
          </w:p>
        </w:tc>
        <w:tc>
          <w:tcPr>
            <w:tcW w:w="8280" w:type="dxa"/>
            <w:tcBorders>
              <w:top w:val="single" w:sz="4" w:space="0" w:color="auto"/>
              <w:left w:val="single" w:sz="4" w:space="0" w:color="auto"/>
              <w:bottom w:val="single" w:sz="4" w:space="0" w:color="auto"/>
              <w:right w:val="single" w:sz="4" w:space="0" w:color="auto"/>
            </w:tcBorders>
          </w:tcPr>
          <w:p w14:paraId="798FDF58" w14:textId="61F5EA03" w:rsidR="00771711" w:rsidRDefault="00771711" w:rsidP="00EA3B24">
            <w:pPr>
              <w:spacing w:after="0"/>
              <w:jc w:val="left"/>
              <w:rPr>
                <w:szCs w:val="24"/>
              </w:rPr>
            </w:pPr>
            <w:r w:rsidRPr="00771711">
              <w:rPr>
                <w:szCs w:val="24"/>
              </w:rPr>
              <w:t>The system shall be able to send notifications via other channels in future</w:t>
            </w:r>
          </w:p>
        </w:tc>
      </w:tr>
    </w:tbl>
    <w:p w14:paraId="320C38D9" w14:textId="77777777" w:rsidR="00FB7C09" w:rsidRDefault="00FB7C09">
      <w:pPr>
        <w:ind w:left="702"/>
      </w:pPr>
    </w:p>
    <w:p w14:paraId="2691D3A6" w14:textId="3DAC19CB" w:rsidR="00157AAA" w:rsidRPr="008E2AAD" w:rsidRDefault="006C1BE5">
      <w:pPr>
        <w:ind w:firstLine="702"/>
        <w:rPr>
          <w:b/>
          <w:bCs/>
          <w:iCs/>
        </w:rPr>
      </w:pPr>
      <w:r w:rsidRPr="008E2AAD">
        <w:rPr>
          <w:b/>
        </w:rPr>
        <w:t xml:space="preserve">1.2.9. NSW LPCO Designer </w:t>
      </w:r>
    </w:p>
    <w:p w14:paraId="43715E5F" w14:textId="77777777" w:rsidR="00157AAA" w:rsidRDefault="006C1BE5" w:rsidP="001136D3">
      <w:pPr>
        <w:spacing w:after="0"/>
        <w:ind w:left="720"/>
      </w:pPr>
      <w:r>
        <w:t xml:space="preserve">The system must have integrated functionality to efficiently create, customize, and manage digital certificates forms. LPCO designer must have separate environment and data storage for every CBRA. </w:t>
      </w:r>
    </w:p>
    <w:p w14:paraId="6F3E3EE5" w14:textId="77777777" w:rsidR="00157AAA" w:rsidRDefault="006C1BE5" w:rsidP="001136D3">
      <w:pPr>
        <w:spacing w:after="0"/>
        <w:ind w:left="720"/>
      </w:pPr>
      <w:r>
        <w:t xml:space="preserve">LPCO </w:t>
      </w:r>
      <w:proofErr w:type="gramStart"/>
      <w:r>
        <w:t>designer</w:t>
      </w:r>
      <w:proofErr w:type="gramEnd"/>
      <w:r>
        <w:t xml:space="preserve"> must configure proactive notification alerts to promptly address any anomalies or potential delays encountered during the LPCO design process.</w:t>
      </w:r>
    </w:p>
    <w:p w14:paraId="41FFD5F8" w14:textId="77777777" w:rsidR="00157AAA" w:rsidRDefault="006C1BE5" w:rsidP="001136D3">
      <w:pPr>
        <w:spacing w:after="0"/>
        <w:ind w:left="720"/>
      </w:pPr>
      <w:r>
        <w:t>The LPCO designer must incorporate custom field definitions across an array of data types, including Integer, String, Data etc.</w:t>
      </w:r>
    </w:p>
    <w:p w14:paraId="0EC071D3" w14:textId="77777777" w:rsidR="00157AAA" w:rsidRDefault="006C1BE5" w:rsidP="001136D3">
      <w:pPr>
        <w:spacing w:after="0"/>
        <w:ind w:left="720"/>
      </w:pPr>
      <w:r>
        <w:t xml:space="preserve">The LPCO designer interface must include the ability to establish data exchange mechanisms with reference data interfaces from other Cross Border Regulatory Agencies (CBRAs). This integration will facilitate the synchronization of critical data such as registered </w:t>
      </w:r>
      <w:proofErr w:type="gramStart"/>
      <w:r>
        <w:t>company</w:t>
      </w:r>
      <w:proofErr w:type="gramEnd"/>
      <w:r>
        <w:t xml:space="preserve"> and all other various registers. For example, some Traders are not allowed to request some LPCO if they are not registered in CBRA.</w:t>
      </w:r>
    </w:p>
    <w:p w14:paraId="07DB6041" w14:textId="4DE49282" w:rsidR="00157AAA" w:rsidRPr="005E6A97" w:rsidRDefault="006C1BE5" w:rsidP="001136D3">
      <w:pPr>
        <w:spacing w:after="0"/>
        <w:ind w:left="720"/>
        <w:rPr>
          <w:lang w:val="mk-MK"/>
        </w:rPr>
      </w:pPr>
      <w:r>
        <w:t xml:space="preserve">The LPCO designer must have </w:t>
      </w:r>
      <w:proofErr w:type="gramStart"/>
      <w:r>
        <w:t>option</w:t>
      </w:r>
      <w:proofErr w:type="gramEnd"/>
      <w:r>
        <w:t xml:space="preserve"> to define and exchange data from various registers in CBRAs</w:t>
      </w:r>
      <w:r w:rsidR="00170DBA">
        <w:rPr>
          <w:lang w:val="mk-MK"/>
        </w:rPr>
        <w:t>.</w:t>
      </w:r>
    </w:p>
    <w:p w14:paraId="060864B9" w14:textId="77777777" w:rsidR="00157AAA" w:rsidRDefault="006C1BE5">
      <w:pPr>
        <w:ind w:left="720"/>
      </w:pPr>
      <w:r>
        <w:t xml:space="preserve">The LPCO designer must provide a feature that enables the designation of mandatory documents for upload, tailored specifically to each country. </w:t>
      </w:r>
    </w:p>
    <w:p w14:paraId="0B0CCF26" w14:textId="77777777" w:rsidR="00157AAA" w:rsidRDefault="006C1BE5">
      <w:pPr>
        <w:ind w:left="720"/>
      </w:pPr>
      <w:r>
        <w:t>The LPCO designer should allow future changes e.g., updating or adding a new application of LPCO, this must involve configuration, not programming.</w:t>
      </w:r>
    </w:p>
    <w:tbl>
      <w:tblPr>
        <w:tblStyle w:val="TableGrid"/>
        <w:tblW w:w="9355" w:type="dxa"/>
        <w:tblLook w:val="04A0" w:firstRow="1" w:lastRow="0" w:firstColumn="1" w:lastColumn="0" w:noHBand="0" w:noVBand="1"/>
      </w:tblPr>
      <w:tblGrid>
        <w:gridCol w:w="1075"/>
        <w:gridCol w:w="8280"/>
      </w:tblGrid>
      <w:tr w:rsidR="00FB7C09" w:rsidRPr="003E0A38" w14:paraId="6926B54E" w14:textId="77777777" w:rsidTr="00EA3B24">
        <w:trPr>
          <w:tblHeader/>
        </w:trPr>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B6F7FA" w14:textId="77777777" w:rsidR="00FB7C09" w:rsidRPr="003E0A38" w:rsidRDefault="00FB7C09" w:rsidP="00EA3B24">
            <w:pPr>
              <w:spacing w:after="0"/>
              <w:rPr>
                <w:b/>
                <w:szCs w:val="24"/>
              </w:rPr>
            </w:pPr>
            <w:r w:rsidRPr="003E0A38">
              <w:rPr>
                <w:b/>
                <w:szCs w:val="24"/>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54394A" w14:textId="77777777" w:rsidR="00FB7C09" w:rsidRPr="003E0A38" w:rsidRDefault="00FB7C09" w:rsidP="00EA3B24">
            <w:pPr>
              <w:spacing w:after="0"/>
              <w:jc w:val="left"/>
              <w:rPr>
                <w:b/>
                <w:szCs w:val="24"/>
              </w:rPr>
            </w:pPr>
            <w:r w:rsidRPr="003E0A38">
              <w:rPr>
                <w:b/>
                <w:szCs w:val="24"/>
              </w:rPr>
              <w:t>Description</w:t>
            </w:r>
          </w:p>
        </w:tc>
      </w:tr>
      <w:tr w:rsidR="00FB7C09" w:rsidRPr="003E0A38" w14:paraId="75299447" w14:textId="77777777" w:rsidTr="001136D3">
        <w:tc>
          <w:tcPr>
            <w:tcW w:w="1075" w:type="dxa"/>
            <w:tcBorders>
              <w:top w:val="single" w:sz="4" w:space="0" w:color="auto"/>
              <w:left w:val="single" w:sz="4" w:space="0" w:color="auto"/>
              <w:bottom w:val="single" w:sz="4" w:space="0" w:color="auto"/>
              <w:right w:val="single" w:sz="4" w:space="0" w:color="auto"/>
            </w:tcBorders>
          </w:tcPr>
          <w:p w14:paraId="0D06610F" w14:textId="372EF02A" w:rsidR="00FB7C09" w:rsidRPr="003E0A38" w:rsidRDefault="00771711" w:rsidP="00EA3B24">
            <w:pPr>
              <w:spacing w:after="0"/>
              <w:rPr>
                <w:szCs w:val="24"/>
              </w:rPr>
            </w:pPr>
            <w:r>
              <w:rPr>
                <w:szCs w:val="24"/>
              </w:rPr>
              <w:t>FR565</w:t>
            </w:r>
          </w:p>
        </w:tc>
        <w:tc>
          <w:tcPr>
            <w:tcW w:w="8280" w:type="dxa"/>
            <w:tcBorders>
              <w:top w:val="single" w:sz="4" w:space="0" w:color="auto"/>
              <w:left w:val="single" w:sz="4" w:space="0" w:color="auto"/>
              <w:bottom w:val="single" w:sz="4" w:space="0" w:color="auto"/>
              <w:right w:val="single" w:sz="4" w:space="0" w:color="auto"/>
            </w:tcBorders>
          </w:tcPr>
          <w:p w14:paraId="48C62942" w14:textId="08E37115" w:rsidR="00FB7C09" w:rsidRPr="002441AE" w:rsidRDefault="00771711" w:rsidP="00EA3B24">
            <w:pPr>
              <w:spacing w:after="0"/>
              <w:jc w:val="left"/>
              <w:rPr>
                <w:szCs w:val="24"/>
              </w:rPr>
            </w:pPr>
            <w:r w:rsidRPr="00771711">
              <w:rPr>
                <w:szCs w:val="24"/>
              </w:rPr>
              <w:t>The system must be able to efficiently create, customize, and manage digital certificates forms</w:t>
            </w:r>
            <w:r>
              <w:rPr>
                <w:szCs w:val="24"/>
              </w:rPr>
              <w:t>.</w:t>
            </w:r>
          </w:p>
        </w:tc>
      </w:tr>
      <w:tr w:rsidR="00FB7C09" w:rsidRPr="003E0A38" w14:paraId="5C911CBD" w14:textId="77777777" w:rsidTr="001136D3">
        <w:tc>
          <w:tcPr>
            <w:tcW w:w="1075" w:type="dxa"/>
            <w:tcBorders>
              <w:top w:val="single" w:sz="4" w:space="0" w:color="auto"/>
              <w:left w:val="single" w:sz="4" w:space="0" w:color="auto"/>
              <w:bottom w:val="single" w:sz="4" w:space="0" w:color="auto"/>
              <w:right w:val="single" w:sz="4" w:space="0" w:color="auto"/>
            </w:tcBorders>
          </w:tcPr>
          <w:p w14:paraId="0E4C7130" w14:textId="4968D6E2" w:rsidR="00FB7C09" w:rsidRPr="003E0A38" w:rsidRDefault="00771711" w:rsidP="00EA3B24">
            <w:pPr>
              <w:spacing w:after="0"/>
              <w:rPr>
                <w:szCs w:val="24"/>
              </w:rPr>
            </w:pPr>
            <w:r>
              <w:rPr>
                <w:szCs w:val="24"/>
              </w:rPr>
              <w:t>FR566</w:t>
            </w:r>
          </w:p>
        </w:tc>
        <w:tc>
          <w:tcPr>
            <w:tcW w:w="8280" w:type="dxa"/>
            <w:tcBorders>
              <w:top w:val="single" w:sz="4" w:space="0" w:color="auto"/>
              <w:left w:val="single" w:sz="4" w:space="0" w:color="auto"/>
              <w:bottom w:val="single" w:sz="4" w:space="0" w:color="auto"/>
              <w:right w:val="single" w:sz="4" w:space="0" w:color="auto"/>
            </w:tcBorders>
          </w:tcPr>
          <w:p w14:paraId="259EEA59" w14:textId="22C91FE0" w:rsidR="00FB7C09" w:rsidRPr="003E0A38" w:rsidRDefault="00771711" w:rsidP="00EA3B24">
            <w:pPr>
              <w:spacing w:after="0"/>
              <w:jc w:val="left"/>
              <w:rPr>
                <w:szCs w:val="24"/>
              </w:rPr>
            </w:pPr>
            <w:r w:rsidRPr="00771711">
              <w:rPr>
                <w:szCs w:val="24"/>
              </w:rPr>
              <w:t>The system must be able to configure notification alerts to address any anomalies or potential delays encountered during the LPCO design process</w:t>
            </w:r>
            <w:r>
              <w:rPr>
                <w:szCs w:val="24"/>
              </w:rPr>
              <w:t>.</w:t>
            </w:r>
          </w:p>
        </w:tc>
      </w:tr>
      <w:tr w:rsidR="00FB7C09" w:rsidRPr="003E0A38" w14:paraId="4F37FC78" w14:textId="77777777" w:rsidTr="00EA3B24">
        <w:tc>
          <w:tcPr>
            <w:tcW w:w="1075" w:type="dxa"/>
            <w:tcBorders>
              <w:top w:val="single" w:sz="4" w:space="0" w:color="auto"/>
              <w:left w:val="single" w:sz="4" w:space="0" w:color="auto"/>
              <w:bottom w:val="single" w:sz="4" w:space="0" w:color="auto"/>
              <w:right w:val="single" w:sz="4" w:space="0" w:color="auto"/>
            </w:tcBorders>
          </w:tcPr>
          <w:p w14:paraId="460878A5" w14:textId="53B55CEC" w:rsidR="00FB7C09" w:rsidRPr="003E0A38" w:rsidRDefault="00771711" w:rsidP="00EA3B24">
            <w:pPr>
              <w:spacing w:after="0"/>
              <w:rPr>
                <w:szCs w:val="24"/>
              </w:rPr>
            </w:pPr>
            <w:r>
              <w:rPr>
                <w:szCs w:val="24"/>
              </w:rPr>
              <w:t>FR567</w:t>
            </w:r>
          </w:p>
        </w:tc>
        <w:tc>
          <w:tcPr>
            <w:tcW w:w="8280" w:type="dxa"/>
            <w:tcBorders>
              <w:top w:val="single" w:sz="4" w:space="0" w:color="auto"/>
              <w:left w:val="single" w:sz="4" w:space="0" w:color="auto"/>
              <w:bottom w:val="single" w:sz="4" w:space="0" w:color="auto"/>
              <w:right w:val="single" w:sz="4" w:space="0" w:color="auto"/>
            </w:tcBorders>
          </w:tcPr>
          <w:p w14:paraId="4E0920B1" w14:textId="15ED29EB" w:rsidR="00FB7C09" w:rsidRPr="002441AE" w:rsidRDefault="00771711" w:rsidP="00EA3B24">
            <w:pPr>
              <w:spacing w:after="0"/>
              <w:jc w:val="left"/>
              <w:rPr>
                <w:szCs w:val="24"/>
              </w:rPr>
            </w:pPr>
            <w:r w:rsidRPr="00771711">
              <w:rPr>
                <w:szCs w:val="24"/>
              </w:rPr>
              <w:t>The system must be able to incorporate custom field definitions across an array of data types, including Integer, String, Data etc.</w:t>
            </w:r>
          </w:p>
        </w:tc>
      </w:tr>
      <w:tr w:rsidR="00771711" w:rsidRPr="003E0A38" w14:paraId="4C7D8697" w14:textId="77777777" w:rsidTr="00EA3B24">
        <w:tc>
          <w:tcPr>
            <w:tcW w:w="1075" w:type="dxa"/>
            <w:tcBorders>
              <w:top w:val="single" w:sz="4" w:space="0" w:color="auto"/>
              <w:left w:val="single" w:sz="4" w:space="0" w:color="auto"/>
              <w:bottom w:val="single" w:sz="4" w:space="0" w:color="auto"/>
              <w:right w:val="single" w:sz="4" w:space="0" w:color="auto"/>
            </w:tcBorders>
          </w:tcPr>
          <w:p w14:paraId="1236E3A9" w14:textId="6E6DFAC8" w:rsidR="00771711" w:rsidRDefault="00771711" w:rsidP="00EA3B24">
            <w:pPr>
              <w:spacing w:after="0"/>
              <w:rPr>
                <w:szCs w:val="24"/>
              </w:rPr>
            </w:pPr>
            <w:r>
              <w:rPr>
                <w:szCs w:val="24"/>
              </w:rPr>
              <w:lastRenderedPageBreak/>
              <w:t>FR568</w:t>
            </w:r>
          </w:p>
        </w:tc>
        <w:tc>
          <w:tcPr>
            <w:tcW w:w="8280" w:type="dxa"/>
            <w:tcBorders>
              <w:top w:val="single" w:sz="4" w:space="0" w:color="auto"/>
              <w:left w:val="single" w:sz="4" w:space="0" w:color="auto"/>
              <w:bottom w:val="single" w:sz="4" w:space="0" w:color="auto"/>
              <w:right w:val="single" w:sz="4" w:space="0" w:color="auto"/>
            </w:tcBorders>
          </w:tcPr>
          <w:p w14:paraId="5EC87D58" w14:textId="32305ADB" w:rsidR="00771711" w:rsidRPr="00771711" w:rsidRDefault="00771711" w:rsidP="00EA3B24">
            <w:pPr>
              <w:spacing w:after="0"/>
              <w:jc w:val="left"/>
              <w:rPr>
                <w:szCs w:val="24"/>
              </w:rPr>
            </w:pPr>
            <w:r w:rsidRPr="00771711">
              <w:rPr>
                <w:szCs w:val="24"/>
              </w:rPr>
              <w:t>The system must be able to have the ability to establish data exchange mechanisms with reference data interfaces from other CBRAs</w:t>
            </w:r>
            <w:r>
              <w:rPr>
                <w:szCs w:val="24"/>
              </w:rPr>
              <w:t>.</w:t>
            </w:r>
          </w:p>
        </w:tc>
      </w:tr>
      <w:tr w:rsidR="00771711" w:rsidRPr="003E0A38" w14:paraId="376E2E7C" w14:textId="77777777" w:rsidTr="00EA3B24">
        <w:tc>
          <w:tcPr>
            <w:tcW w:w="1075" w:type="dxa"/>
            <w:tcBorders>
              <w:top w:val="single" w:sz="4" w:space="0" w:color="auto"/>
              <w:left w:val="single" w:sz="4" w:space="0" w:color="auto"/>
              <w:bottom w:val="single" w:sz="4" w:space="0" w:color="auto"/>
              <w:right w:val="single" w:sz="4" w:space="0" w:color="auto"/>
            </w:tcBorders>
          </w:tcPr>
          <w:p w14:paraId="0E632CCB" w14:textId="6639236A" w:rsidR="00771711" w:rsidRDefault="00771711" w:rsidP="00EA3B24">
            <w:pPr>
              <w:spacing w:after="0"/>
              <w:rPr>
                <w:szCs w:val="24"/>
              </w:rPr>
            </w:pPr>
            <w:r>
              <w:rPr>
                <w:szCs w:val="24"/>
              </w:rPr>
              <w:t>FR569</w:t>
            </w:r>
          </w:p>
        </w:tc>
        <w:tc>
          <w:tcPr>
            <w:tcW w:w="8280" w:type="dxa"/>
            <w:tcBorders>
              <w:top w:val="single" w:sz="4" w:space="0" w:color="auto"/>
              <w:left w:val="single" w:sz="4" w:space="0" w:color="auto"/>
              <w:bottom w:val="single" w:sz="4" w:space="0" w:color="auto"/>
              <w:right w:val="single" w:sz="4" w:space="0" w:color="auto"/>
            </w:tcBorders>
          </w:tcPr>
          <w:p w14:paraId="0DBA196D" w14:textId="67F0DE4D" w:rsidR="00771711" w:rsidRPr="00771711" w:rsidRDefault="00771711" w:rsidP="00EA3B24">
            <w:pPr>
              <w:spacing w:after="0"/>
              <w:jc w:val="left"/>
              <w:rPr>
                <w:szCs w:val="24"/>
              </w:rPr>
            </w:pPr>
            <w:r w:rsidRPr="00771711">
              <w:rPr>
                <w:szCs w:val="24"/>
              </w:rPr>
              <w:t>The system must be able to define and exchange data from various registers in CBRAs.</w:t>
            </w:r>
          </w:p>
        </w:tc>
      </w:tr>
      <w:tr w:rsidR="00771711" w:rsidRPr="003E0A38" w14:paraId="3F886357" w14:textId="77777777" w:rsidTr="00EA3B24">
        <w:tc>
          <w:tcPr>
            <w:tcW w:w="1075" w:type="dxa"/>
            <w:tcBorders>
              <w:top w:val="single" w:sz="4" w:space="0" w:color="auto"/>
              <w:left w:val="single" w:sz="4" w:space="0" w:color="auto"/>
              <w:bottom w:val="single" w:sz="4" w:space="0" w:color="auto"/>
              <w:right w:val="single" w:sz="4" w:space="0" w:color="auto"/>
            </w:tcBorders>
          </w:tcPr>
          <w:p w14:paraId="7F851F10" w14:textId="4CAF1F00" w:rsidR="00771711" w:rsidRDefault="00771711" w:rsidP="00EA3B24">
            <w:pPr>
              <w:spacing w:after="0"/>
              <w:rPr>
                <w:szCs w:val="24"/>
              </w:rPr>
            </w:pPr>
            <w:r>
              <w:rPr>
                <w:szCs w:val="24"/>
              </w:rPr>
              <w:t>FR570</w:t>
            </w:r>
          </w:p>
        </w:tc>
        <w:tc>
          <w:tcPr>
            <w:tcW w:w="8280" w:type="dxa"/>
            <w:tcBorders>
              <w:top w:val="single" w:sz="4" w:space="0" w:color="auto"/>
              <w:left w:val="single" w:sz="4" w:space="0" w:color="auto"/>
              <w:bottom w:val="single" w:sz="4" w:space="0" w:color="auto"/>
              <w:right w:val="single" w:sz="4" w:space="0" w:color="auto"/>
            </w:tcBorders>
          </w:tcPr>
          <w:p w14:paraId="31059DED" w14:textId="72243A10" w:rsidR="00771711" w:rsidRPr="00771711" w:rsidRDefault="00771711" w:rsidP="00EA3B24">
            <w:pPr>
              <w:spacing w:after="0"/>
              <w:jc w:val="left"/>
              <w:rPr>
                <w:szCs w:val="24"/>
              </w:rPr>
            </w:pPr>
            <w:r w:rsidRPr="00771711">
              <w:rPr>
                <w:szCs w:val="24"/>
              </w:rPr>
              <w:t>The system must be able to enable the designation of mandatory documents for upload, tailored specifically to each LPCO.</w:t>
            </w:r>
          </w:p>
        </w:tc>
      </w:tr>
      <w:tr w:rsidR="00771711" w:rsidRPr="003E0A38" w14:paraId="0AFA4EEE" w14:textId="77777777" w:rsidTr="00EA3B24">
        <w:tc>
          <w:tcPr>
            <w:tcW w:w="1075" w:type="dxa"/>
            <w:tcBorders>
              <w:top w:val="single" w:sz="4" w:space="0" w:color="auto"/>
              <w:left w:val="single" w:sz="4" w:space="0" w:color="auto"/>
              <w:bottom w:val="single" w:sz="4" w:space="0" w:color="auto"/>
              <w:right w:val="single" w:sz="4" w:space="0" w:color="auto"/>
            </w:tcBorders>
          </w:tcPr>
          <w:p w14:paraId="5D801E7D" w14:textId="3FA1902A" w:rsidR="00771711" w:rsidRDefault="00771711" w:rsidP="00EA3B24">
            <w:pPr>
              <w:spacing w:after="0"/>
              <w:rPr>
                <w:szCs w:val="24"/>
              </w:rPr>
            </w:pPr>
            <w:r>
              <w:rPr>
                <w:szCs w:val="24"/>
              </w:rPr>
              <w:t>FR571</w:t>
            </w:r>
          </w:p>
        </w:tc>
        <w:tc>
          <w:tcPr>
            <w:tcW w:w="8280" w:type="dxa"/>
            <w:tcBorders>
              <w:top w:val="single" w:sz="4" w:space="0" w:color="auto"/>
              <w:left w:val="single" w:sz="4" w:space="0" w:color="auto"/>
              <w:bottom w:val="single" w:sz="4" w:space="0" w:color="auto"/>
              <w:right w:val="single" w:sz="4" w:space="0" w:color="auto"/>
            </w:tcBorders>
          </w:tcPr>
          <w:p w14:paraId="171E9301" w14:textId="319C1485" w:rsidR="00771711" w:rsidRPr="00771711" w:rsidRDefault="00771711" w:rsidP="00EA3B24">
            <w:pPr>
              <w:spacing w:after="0"/>
              <w:jc w:val="left"/>
              <w:rPr>
                <w:szCs w:val="24"/>
              </w:rPr>
            </w:pPr>
            <w:r w:rsidRPr="00771711">
              <w:rPr>
                <w:szCs w:val="24"/>
              </w:rPr>
              <w:t>The system shall be able to allow future changes for updates (adding or modifying) applications for LPCO (in configuration, not programing).</w:t>
            </w:r>
          </w:p>
        </w:tc>
      </w:tr>
    </w:tbl>
    <w:p w14:paraId="0573924A" w14:textId="77777777" w:rsidR="00157AAA" w:rsidRDefault="00157AAA">
      <w:pPr>
        <w:ind w:left="720"/>
      </w:pPr>
    </w:p>
    <w:p w14:paraId="3DBFDE2D" w14:textId="77777777" w:rsidR="00157AAA" w:rsidRPr="008E2AAD" w:rsidRDefault="006C1BE5">
      <w:pPr>
        <w:ind w:firstLine="702"/>
        <w:rPr>
          <w:b/>
          <w:bCs/>
          <w:szCs w:val="24"/>
        </w:rPr>
      </w:pPr>
      <w:r w:rsidRPr="008E2AAD">
        <w:rPr>
          <w:b/>
        </w:rPr>
        <w:t xml:space="preserve">1.2.10. </w:t>
      </w:r>
      <w:r w:rsidRPr="008E2AAD">
        <w:rPr>
          <w:b/>
          <w:bCs/>
          <w:szCs w:val="24"/>
        </w:rPr>
        <w:t>Inspection Control Results</w:t>
      </w:r>
    </w:p>
    <w:p w14:paraId="2F76A94B" w14:textId="5312CDC1" w:rsidR="00A538A2" w:rsidRDefault="00A538A2" w:rsidP="00A538A2">
      <w:pPr>
        <w:spacing w:after="0"/>
      </w:pPr>
      <w:r>
        <w:t>The results (i</w:t>
      </w:r>
      <w:r w:rsidRPr="00C8502B">
        <w:t>nformation</w:t>
      </w:r>
      <w:r>
        <w:t>)</w:t>
      </w:r>
      <w:r w:rsidRPr="00C8502B">
        <w:t xml:space="preserve"> </w:t>
      </w:r>
      <w:r>
        <w:t>from the</w:t>
      </w:r>
      <w:r w:rsidRPr="00C8502B">
        <w:t xml:space="preserve"> inspectio</w:t>
      </w:r>
      <w:r>
        <w:t>ns must be</w:t>
      </w:r>
      <w:r w:rsidRPr="00C8502B">
        <w:t xml:space="preserve"> stored and managed in the Inspection </w:t>
      </w:r>
      <w:r>
        <w:t>Control Results (ICR) component</w:t>
      </w:r>
      <w:r w:rsidRPr="00C8502B">
        <w:t>.</w:t>
      </w:r>
      <w:r>
        <w:t xml:space="preserve"> The component must manage s</w:t>
      </w:r>
      <w:r w:rsidRPr="00C8502B">
        <w:t>chedule</w:t>
      </w:r>
      <w:r>
        <w:t>s</w:t>
      </w:r>
      <w:r w:rsidRPr="00C8502B">
        <w:t>, inspection order</w:t>
      </w:r>
      <w:r>
        <w:t>s</w:t>
      </w:r>
      <w:r w:rsidRPr="00C8502B">
        <w:t xml:space="preserve">, assignments, </w:t>
      </w:r>
      <w:r>
        <w:t xml:space="preserve">notification of the </w:t>
      </w:r>
      <w:r w:rsidRPr="00C8502B">
        <w:t xml:space="preserve">time and place, and report of inspection </w:t>
      </w:r>
      <w:r>
        <w:t xml:space="preserve">results. </w:t>
      </w:r>
    </w:p>
    <w:p w14:paraId="7649738A" w14:textId="77777777" w:rsidR="00A538A2" w:rsidRDefault="00A538A2" w:rsidP="00A538A2">
      <w:pPr>
        <w:spacing w:after="0"/>
      </w:pPr>
    </w:p>
    <w:p w14:paraId="1BE664CA" w14:textId="0CEDC1B1" w:rsidR="00157AAA" w:rsidRDefault="006C1BE5">
      <w:pPr>
        <w:ind w:firstLine="702"/>
        <w:rPr>
          <w:bCs/>
          <w:szCs w:val="24"/>
        </w:rPr>
      </w:pPr>
      <w:r w:rsidRPr="008E2AAD">
        <w:rPr>
          <w:bCs/>
          <w:szCs w:val="24"/>
        </w:rPr>
        <w:t xml:space="preserve">The NSW </w:t>
      </w:r>
      <w:r w:rsidR="00170DBA">
        <w:rPr>
          <w:bCs/>
          <w:szCs w:val="24"/>
        </w:rPr>
        <w:t xml:space="preserve">will </w:t>
      </w:r>
      <w:r w:rsidRPr="008E2AAD">
        <w:rPr>
          <w:bCs/>
          <w:szCs w:val="24"/>
        </w:rPr>
        <w:t>automate the following process:</w:t>
      </w:r>
    </w:p>
    <w:p w14:paraId="182C6C49" w14:textId="5CA5388A" w:rsidR="00170DBA" w:rsidRPr="00FD21DF" w:rsidRDefault="00170DBA" w:rsidP="00D530D5">
      <w:pPr>
        <w:pStyle w:val="ListParagraph"/>
        <w:numPr>
          <w:ilvl w:val="0"/>
          <w:numId w:val="168"/>
        </w:numPr>
        <w:rPr>
          <w:bCs/>
          <w:szCs w:val="24"/>
        </w:rPr>
      </w:pPr>
      <w:r>
        <w:t xml:space="preserve">Register inspection control </w:t>
      </w:r>
      <w:proofErr w:type="gramStart"/>
      <w:r>
        <w:t>results</w:t>
      </w:r>
      <w:proofErr w:type="gramEnd"/>
    </w:p>
    <w:p w14:paraId="70B54BF5" w14:textId="5C2C80AA" w:rsidR="00157AAA" w:rsidRDefault="006C1BE5">
      <w:pPr>
        <w:spacing w:after="0"/>
        <w:jc w:val="left"/>
        <w:rPr>
          <w:b/>
        </w:rPr>
      </w:pPr>
      <w:r w:rsidRPr="008E2AAD">
        <w:rPr>
          <w:b/>
        </w:rPr>
        <w:t>1.2.10.1. Register Inspection Protocol Results</w:t>
      </w:r>
    </w:p>
    <w:p w14:paraId="3250DE03" w14:textId="6AE22FC1" w:rsidR="00A538A2" w:rsidRDefault="00A538A2">
      <w:pPr>
        <w:spacing w:after="0"/>
        <w:jc w:val="left"/>
        <w:rPr>
          <w:b/>
        </w:rPr>
      </w:pPr>
      <w:r w:rsidRPr="00A538A2">
        <w:rPr>
          <w:b/>
          <w:noProof/>
        </w:rPr>
        <w:drawing>
          <wp:inline distT="0" distB="0" distL="0" distR="0" wp14:anchorId="024EF9DA" wp14:editId="1C5A0598">
            <wp:extent cx="5486400" cy="12014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86400" cy="1201420"/>
                    </a:xfrm>
                    <a:prstGeom prst="rect">
                      <a:avLst/>
                    </a:prstGeom>
                  </pic:spPr>
                </pic:pic>
              </a:graphicData>
            </a:graphic>
          </wp:inline>
        </w:drawing>
      </w:r>
    </w:p>
    <w:p w14:paraId="7C3C1558" w14:textId="77777777" w:rsidR="00A538A2" w:rsidRPr="008E2AAD" w:rsidRDefault="00A538A2">
      <w:pPr>
        <w:spacing w:after="0"/>
        <w:jc w:val="left"/>
        <w:rPr>
          <w:b/>
        </w:rPr>
      </w:pPr>
    </w:p>
    <w:p w14:paraId="762FE725" w14:textId="3E7F87B5" w:rsidR="00157AAA" w:rsidRDefault="00E3729B">
      <w:pPr>
        <w:spacing w:after="0"/>
        <w:jc w:val="left"/>
        <w:rPr>
          <w:b/>
          <w:i/>
        </w:rPr>
      </w:pPr>
      <w:r>
        <w:rPr>
          <w:b/>
          <w:i/>
          <w:noProof/>
        </w:rPr>
        <mc:AlternateContent>
          <mc:Choice Requires="wps">
            <w:drawing>
              <wp:anchor distT="0" distB="0" distL="114300" distR="114300" simplePos="0" relativeHeight="251658252" behindDoc="0" locked="0" layoutInCell="1" allowOverlap="1" wp14:anchorId="26C35B12" wp14:editId="2FA3EB1D">
                <wp:simplePos x="0" y="0"/>
                <wp:positionH relativeFrom="column">
                  <wp:posOffset>0</wp:posOffset>
                </wp:positionH>
                <wp:positionV relativeFrom="paragraph">
                  <wp:posOffset>0</wp:posOffset>
                </wp:positionV>
                <wp:extent cx="635000" cy="635000"/>
                <wp:effectExtent l="19050" t="19050" r="12700" b="12700"/>
                <wp:wrapNone/>
                <wp:docPr id="32" name="AutoShape 5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BD46A" id="AutoShape 51" o:spid="_x0000_s1026" style="position:absolute;margin-left:0;margin-top:0;width:50pt;height:50pt;z-index:2516582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0O5IwIAAEg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jBdDuSMCAABIBAAADgAAAAAAAAAAAAAAAAAuAgAAZHJzL2Uyb0RvYy54bWxQSwEC&#10;LQAUAAYACAAAACEA640e+9gAAAAFAQAADwAAAAAAAAAAAAAAAAB9BAAAZHJzL2Rvd25yZXYueG1s&#10;UEsFBgAAAAAEAAQA8wAAAIIFAAAAAA==&#10;">
                <v:stroke joinstyle="round"/>
                <o:lock v:ext="edit" selection="t"/>
              </v:rect>
            </w:pict>
          </mc:Fallback>
        </mc:AlternateContent>
      </w:r>
      <w:r w:rsidR="001A058E">
        <w:rPr>
          <w:b/>
          <w:i/>
        </w:rPr>
        <w:object w:dxaOrig="1538" w:dyaOrig="994" w14:anchorId="3F9ACF6B">
          <v:shape id="_x0000_i1034" type="#_x0000_t75" style="width:129.5pt;height:86.5pt" o:ole="">
            <v:imagedata r:id="rId101" o:title=""/>
          </v:shape>
          <o:OLEObject Type="Embed" ProgID="Package" ShapeID="_x0000_i1034" DrawAspect="Icon" ObjectID="_1777888267" r:id="rId102"/>
        </w:object>
      </w:r>
    </w:p>
    <w:p w14:paraId="6B9D0CC2" w14:textId="77777777" w:rsidR="00157AAA" w:rsidRDefault="00157AAA">
      <w:pPr>
        <w:rPr>
          <w:i/>
          <w:highlight w:val="yellow"/>
        </w:rPr>
      </w:pPr>
    </w:p>
    <w:p w14:paraId="02FF6E9C" w14:textId="4D09156D" w:rsidR="00157AAA" w:rsidRDefault="006C1BE5">
      <w:pPr>
        <w:jc w:val="center"/>
        <w:rPr>
          <w:i/>
        </w:rPr>
      </w:pPr>
      <w:r>
        <w:rPr>
          <w:i/>
        </w:rPr>
        <w:t xml:space="preserve">Figure </w:t>
      </w:r>
      <w:r w:rsidR="00B62749">
        <w:rPr>
          <w:i/>
        </w:rPr>
        <w:t>13</w:t>
      </w:r>
      <w:r>
        <w:rPr>
          <w:i/>
        </w:rPr>
        <w:t>: BPMN Process Diagram: Register Inspections Protocol Results</w:t>
      </w:r>
    </w:p>
    <w:p w14:paraId="1C42FB2A" w14:textId="77777777" w:rsidR="00157AAA" w:rsidRDefault="00157AAA">
      <w:pPr>
        <w:rPr>
          <w:i/>
        </w:rPr>
      </w:pPr>
    </w:p>
    <w:p w14:paraId="7CD0A862" w14:textId="77777777" w:rsidR="004C3CE9" w:rsidRDefault="004C3CE9" w:rsidP="004C3CE9">
      <w:r w:rsidRPr="00D370BA">
        <w:rPr>
          <w:bCs/>
          <w:iCs/>
        </w:rPr>
        <w:t>Within the process</w:t>
      </w:r>
      <w:r w:rsidRPr="00193BF0">
        <w:t xml:space="preserve"> </w:t>
      </w:r>
      <w:r>
        <w:t xml:space="preserve">execution, the ICR must document the results of </w:t>
      </w:r>
      <w:r w:rsidRPr="00193BF0">
        <w:t xml:space="preserve">the controls </w:t>
      </w:r>
      <w:r>
        <w:t>provided by the Inspectors of the government agencies – documentary and/or physical and / or sampling control</w:t>
      </w:r>
      <w:r w:rsidRPr="00193BF0">
        <w:t>.</w:t>
      </w:r>
    </w:p>
    <w:p w14:paraId="6BD8A538" w14:textId="77777777" w:rsidR="004C3CE9" w:rsidRDefault="004C3CE9" w:rsidP="00D530D5">
      <w:pPr>
        <w:pStyle w:val="ListParagraph"/>
        <w:numPr>
          <w:ilvl w:val="0"/>
          <w:numId w:val="156"/>
        </w:numPr>
        <w:suppressAutoHyphens/>
      </w:pPr>
      <w:r w:rsidRPr="00193BF0">
        <w:t xml:space="preserve">Documentary Controls - The </w:t>
      </w:r>
      <w:r>
        <w:t>Inspector may perform</w:t>
      </w:r>
      <w:r w:rsidRPr="00193BF0">
        <w:t xml:space="preserve"> documentary control</w:t>
      </w:r>
      <w:r>
        <w:t xml:space="preserve"> based on the application received, including additional documents, which will be uploaded in the system. The Inspector</w:t>
      </w:r>
      <w:r w:rsidRPr="00193BF0">
        <w:t xml:space="preserve"> can </w:t>
      </w:r>
      <w:proofErr w:type="gramStart"/>
      <w:r w:rsidRPr="00193BF0">
        <w:t>ask</w:t>
      </w:r>
      <w:proofErr w:type="gramEnd"/>
      <w:r w:rsidRPr="00193BF0">
        <w:t xml:space="preserve"> additional documents and explanation from the E</w:t>
      </w:r>
      <w:r>
        <w:t xml:space="preserve">conomic </w:t>
      </w:r>
      <w:r w:rsidRPr="00193BF0">
        <w:t>O</w:t>
      </w:r>
      <w:r>
        <w:t>perator (EO)</w:t>
      </w:r>
      <w:r w:rsidRPr="00193BF0">
        <w:t xml:space="preserve">. </w:t>
      </w:r>
      <w:r>
        <w:t xml:space="preserve">The Trader must provide the additional documents </w:t>
      </w:r>
      <w:r>
        <w:lastRenderedPageBreak/>
        <w:t xml:space="preserve">within the legally set time or the timer in the application will expire. The Inspector registers </w:t>
      </w:r>
      <w:r w:rsidRPr="00193BF0">
        <w:t>the control results.</w:t>
      </w:r>
    </w:p>
    <w:p w14:paraId="71474BA7" w14:textId="77777777" w:rsidR="004C3CE9" w:rsidRDefault="004C3CE9" w:rsidP="00D530D5">
      <w:pPr>
        <w:pStyle w:val="ListParagraph"/>
        <w:numPr>
          <w:ilvl w:val="0"/>
          <w:numId w:val="156"/>
        </w:numPr>
        <w:suppressAutoHyphens/>
      </w:pPr>
      <w:r w:rsidRPr="00193BF0">
        <w:t xml:space="preserve">Physical Controls - The </w:t>
      </w:r>
      <w:r>
        <w:t>Inspector may</w:t>
      </w:r>
      <w:r w:rsidRPr="00193BF0">
        <w:t xml:space="preserve"> perform physical control or ask for additional documents from the EO. After the timer has expired, or EO sends the additional documents, the Control Officer performs the physical control and register control results.  </w:t>
      </w:r>
    </w:p>
    <w:p w14:paraId="572E3EAD" w14:textId="77777777" w:rsidR="004C3CE9" w:rsidRDefault="004C3CE9" w:rsidP="00D530D5">
      <w:pPr>
        <w:pStyle w:val="ListParagraph"/>
        <w:numPr>
          <w:ilvl w:val="0"/>
          <w:numId w:val="156"/>
        </w:numPr>
        <w:suppressAutoHyphens/>
      </w:pPr>
      <w:r w:rsidRPr="00193BF0">
        <w:t xml:space="preserve">Sampling - The sampling is taken and sent to </w:t>
      </w:r>
      <w:proofErr w:type="gramStart"/>
      <w:r w:rsidRPr="00193BF0">
        <w:t>laboratory</w:t>
      </w:r>
      <w:proofErr w:type="gramEnd"/>
      <w:r w:rsidRPr="00193BF0">
        <w:t xml:space="preserve"> for analysis. After the analysis from laboratory </w:t>
      </w:r>
      <w:proofErr w:type="gramStart"/>
      <w:r w:rsidRPr="00193BF0">
        <w:t>are</w:t>
      </w:r>
      <w:proofErr w:type="gramEnd"/>
      <w:r w:rsidRPr="00193BF0">
        <w:t xml:space="preserve"> received the </w:t>
      </w:r>
      <w:r>
        <w:t>Inspector</w:t>
      </w:r>
      <w:r w:rsidRPr="00193BF0">
        <w:t xml:space="preserve"> register</w:t>
      </w:r>
      <w:r>
        <w:t>s the</w:t>
      </w:r>
      <w:r w:rsidRPr="00193BF0">
        <w:t xml:space="preserve"> </w:t>
      </w:r>
      <w:r>
        <w:t>c</w:t>
      </w:r>
      <w:r w:rsidRPr="00193BF0">
        <w:t xml:space="preserve">ontrol </w:t>
      </w:r>
      <w:r>
        <w:t>r</w:t>
      </w:r>
      <w:r w:rsidRPr="00193BF0">
        <w:t xml:space="preserve">esults in the system.  After performing the controls, the </w:t>
      </w:r>
      <w:r>
        <w:t>Inspector</w:t>
      </w:r>
      <w:r w:rsidRPr="00193BF0">
        <w:t xml:space="preserve"> register</w:t>
      </w:r>
      <w:r>
        <w:t>s the</w:t>
      </w:r>
      <w:r w:rsidRPr="00193BF0">
        <w:t xml:space="preserve"> </w:t>
      </w:r>
      <w:r>
        <w:t>c</w:t>
      </w:r>
      <w:r w:rsidRPr="00193BF0">
        <w:t xml:space="preserve">ontrol </w:t>
      </w:r>
      <w:r>
        <w:t>r</w:t>
      </w:r>
      <w:r w:rsidRPr="00193BF0">
        <w:t xml:space="preserve">esults, and the results are sent to LPCO </w:t>
      </w:r>
      <w:r>
        <w:t>Workflow</w:t>
      </w:r>
      <w:r w:rsidRPr="00193BF0">
        <w:t xml:space="preserve"> and Data Warehouse. Mutual Controls are possible, as the request can be for different controls, and each type of control will cover the process. </w:t>
      </w:r>
    </w:p>
    <w:p w14:paraId="2E4CEF95" w14:textId="77777777" w:rsidR="00157AAA" w:rsidRDefault="00157AAA">
      <w:pPr>
        <w:spacing w:after="0"/>
      </w:pPr>
    </w:p>
    <w:p w14:paraId="588FEE16" w14:textId="77777777" w:rsidR="00157AAA" w:rsidRPr="006517A3" w:rsidRDefault="006C1BE5">
      <w:pPr>
        <w:spacing w:after="0"/>
      </w:pPr>
      <w:r w:rsidRPr="006517A3">
        <w:rPr>
          <w:b/>
        </w:rPr>
        <w:t>Process Steps</w:t>
      </w:r>
      <w:r w:rsidRPr="006517A3">
        <w:t>:</w:t>
      </w:r>
    </w:p>
    <w:p w14:paraId="365BEF60" w14:textId="368FFA87" w:rsidR="004C3CE9" w:rsidRPr="008F5C84" w:rsidRDefault="004C3CE9" w:rsidP="004C3CE9">
      <w:pPr>
        <w:spacing w:after="0"/>
        <w:rPr>
          <w:i/>
        </w:rPr>
      </w:pPr>
    </w:p>
    <w:tbl>
      <w:tblPr>
        <w:tblStyle w:val="TableGrid"/>
        <w:tblW w:w="9355" w:type="dxa"/>
        <w:tblLook w:val="04A0" w:firstRow="1" w:lastRow="0" w:firstColumn="1" w:lastColumn="0" w:noHBand="0" w:noVBand="1"/>
      </w:tblPr>
      <w:tblGrid>
        <w:gridCol w:w="1525"/>
        <w:gridCol w:w="2070"/>
        <w:gridCol w:w="5760"/>
      </w:tblGrid>
      <w:tr w:rsidR="004C3CE9" w:rsidRPr="00EB3578" w14:paraId="7C663235" w14:textId="77777777" w:rsidTr="001136D3">
        <w:trPr>
          <w:tblHeader/>
        </w:trPr>
        <w:tc>
          <w:tcPr>
            <w:tcW w:w="1525" w:type="dxa"/>
            <w:shd w:val="clear" w:color="auto" w:fill="D9D9D9" w:themeFill="background1" w:themeFillShade="D9"/>
          </w:tcPr>
          <w:p w14:paraId="7FFB03F2" w14:textId="77777777" w:rsidR="004C3CE9" w:rsidRPr="0079181B" w:rsidRDefault="004C3CE9" w:rsidP="001136D3">
            <w:pPr>
              <w:spacing w:after="0"/>
              <w:rPr>
                <w:b/>
              </w:rPr>
            </w:pPr>
            <w:r w:rsidRPr="0079181B">
              <w:rPr>
                <w:b/>
              </w:rPr>
              <w:t>Step</w:t>
            </w:r>
          </w:p>
        </w:tc>
        <w:tc>
          <w:tcPr>
            <w:tcW w:w="2070" w:type="dxa"/>
            <w:shd w:val="clear" w:color="auto" w:fill="D9D9D9" w:themeFill="background1" w:themeFillShade="D9"/>
          </w:tcPr>
          <w:p w14:paraId="5BD36575" w14:textId="77777777" w:rsidR="004C3CE9" w:rsidRPr="0079181B" w:rsidRDefault="004C3CE9" w:rsidP="001136D3">
            <w:pPr>
              <w:spacing w:after="0"/>
              <w:jc w:val="left"/>
              <w:rPr>
                <w:b/>
              </w:rPr>
            </w:pPr>
            <w:r w:rsidRPr="0079181B">
              <w:rPr>
                <w:b/>
              </w:rPr>
              <w:t xml:space="preserve">Name </w:t>
            </w:r>
          </w:p>
        </w:tc>
        <w:tc>
          <w:tcPr>
            <w:tcW w:w="5760" w:type="dxa"/>
            <w:shd w:val="clear" w:color="auto" w:fill="D9D9D9" w:themeFill="background1" w:themeFillShade="D9"/>
          </w:tcPr>
          <w:p w14:paraId="57E80DCC" w14:textId="77777777" w:rsidR="004C3CE9" w:rsidRPr="0079181B" w:rsidRDefault="004C3CE9" w:rsidP="001136D3">
            <w:pPr>
              <w:spacing w:after="0"/>
              <w:jc w:val="left"/>
              <w:rPr>
                <w:b/>
              </w:rPr>
            </w:pPr>
            <w:r w:rsidRPr="0079181B">
              <w:rPr>
                <w:b/>
              </w:rPr>
              <w:t>Description</w:t>
            </w:r>
          </w:p>
        </w:tc>
      </w:tr>
      <w:tr w:rsidR="004C3CE9" w:rsidRPr="00EB3578" w14:paraId="2BF4703C" w14:textId="77777777" w:rsidTr="001136D3">
        <w:tc>
          <w:tcPr>
            <w:tcW w:w="1525" w:type="dxa"/>
          </w:tcPr>
          <w:p w14:paraId="77A1190E" w14:textId="66381E9B" w:rsidR="004C3CE9" w:rsidRPr="00EB3578" w:rsidRDefault="00B62749" w:rsidP="001136D3">
            <w:pPr>
              <w:spacing w:after="0"/>
            </w:pPr>
            <w:r>
              <w:t>Service Task</w:t>
            </w:r>
          </w:p>
        </w:tc>
        <w:tc>
          <w:tcPr>
            <w:tcW w:w="2070" w:type="dxa"/>
          </w:tcPr>
          <w:p w14:paraId="7A4B2D63" w14:textId="77777777" w:rsidR="004C3CE9" w:rsidRPr="00EB3578" w:rsidRDefault="004C3CE9" w:rsidP="001136D3">
            <w:pPr>
              <w:spacing w:after="0"/>
              <w:jc w:val="left"/>
            </w:pPr>
            <w:r w:rsidRPr="00EB3578">
              <w:t>Identify Types of Controls</w:t>
            </w:r>
          </w:p>
        </w:tc>
        <w:tc>
          <w:tcPr>
            <w:tcW w:w="5760" w:type="dxa"/>
          </w:tcPr>
          <w:p w14:paraId="3119202F" w14:textId="77777777" w:rsidR="004C3CE9" w:rsidRPr="00EB3578" w:rsidRDefault="004C3CE9" w:rsidP="001136D3">
            <w:pPr>
              <w:spacing w:after="0"/>
            </w:pPr>
            <w:r w:rsidRPr="00EB3578">
              <w:t>The NSW system receives the results of the risk analysis for the received application for LPCO or EO</w:t>
            </w:r>
          </w:p>
        </w:tc>
      </w:tr>
      <w:tr w:rsidR="004C3CE9" w:rsidRPr="00EB3578" w14:paraId="4146C5E5" w14:textId="77777777" w:rsidTr="001136D3">
        <w:tc>
          <w:tcPr>
            <w:tcW w:w="1525" w:type="dxa"/>
          </w:tcPr>
          <w:p w14:paraId="5B827A5F" w14:textId="4D1F0F0A" w:rsidR="004C3CE9" w:rsidRPr="00EB3578" w:rsidRDefault="00B62749" w:rsidP="001136D3">
            <w:pPr>
              <w:spacing w:after="0"/>
            </w:pPr>
            <w:r>
              <w:t>User Task</w:t>
            </w:r>
          </w:p>
        </w:tc>
        <w:tc>
          <w:tcPr>
            <w:tcW w:w="2070" w:type="dxa"/>
          </w:tcPr>
          <w:p w14:paraId="379D80C7" w14:textId="77777777" w:rsidR="004C3CE9" w:rsidRPr="00EB3578" w:rsidRDefault="004C3CE9" w:rsidP="001136D3">
            <w:pPr>
              <w:spacing w:after="0"/>
              <w:jc w:val="left"/>
            </w:pPr>
            <w:r w:rsidRPr="00EB3578">
              <w:t>Register Document Control Results</w:t>
            </w:r>
          </w:p>
        </w:tc>
        <w:tc>
          <w:tcPr>
            <w:tcW w:w="5760" w:type="dxa"/>
          </w:tcPr>
          <w:p w14:paraId="30622C35" w14:textId="77777777" w:rsidR="004C3CE9" w:rsidRPr="00EB3578" w:rsidRDefault="004C3CE9" w:rsidP="001136D3">
            <w:pPr>
              <w:spacing w:after="0"/>
            </w:pPr>
            <w:r w:rsidRPr="00EB3578">
              <w:t xml:space="preserve">The </w:t>
            </w:r>
            <w:r>
              <w:t>Inspector</w:t>
            </w:r>
            <w:r w:rsidRPr="00EB3578">
              <w:t xml:space="preserve"> will receive </w:t>
            </w:r>
            <w:r>
              <w:t xml:space="preserve">notification </w:t>
            </w:r>
            <w:r w:rsidRPr="00EB3578">
              <w:t xml:space="preserve">with information if additional   controls are recommended from the results of the Risk Analysis and the </w:t>
            </w:r>
            <w:r>
              <w:t>Inspector must be able to register justification if he/she</w:t>
            </w:r>
            <w:r w:rsidRPr="00EB3578">
              <w:t xml:space="preserve"> decides </w:t>
            </w:r>
            <w:r>
              <w:t>not</w:t>
            </w:r>
            <w:r w:rsidRPr="00EB3578">
              <w:t xml:space="preserve"> to proceed. </w:t>
            </w:r>
            <w:r>
              <w:t>The Inspector must be able to</w:t>
            </w:r>
            <w:r w:rsidRPr="00EB3578">
              <w:t xml:space="preserve"> register the Documentary Control Results.</w:t>
            </w:r>
          </w:p>
        </w:tc>
      </w:tr>
      <w:tr w:rsidR="00B62749" w:rsidRPr="00EB3578" w14:paraId="27A1B234" w14:textId="77777777" w:rsidTr="001136D3">
        <w:tc>
          <w:tcPr>
            <w:tcW w:w="1525" w:type="dxa"/>
          </w:tcPr>
          <w:p w14:paraId="4AB1AC01" w14:textId="25AD578B" w:rsidR="00B62749" w:rsidRDefault="00B62749" w:rsidP="001136D3">
            <w:pPr>
              <w:spacing w:after="0"/>
            </w:pPr>
            <w:r>
              <w:t>Service Task</w:t>
            </w:r>
          </w:p>
        </w:tc>
        <w:tc>
          <w:tcPr>
            <w:tcW w:w="2070" w:type="dxa"/>
          </w:tcPr>
          <w:p w14:paraId="1D207E9A" w14:textId="1F68BA6A" w:rsidR="00B62749" w:rsidRPr="00EB3578" w:rsidRDefault="00B62749" w:rsidP="001136D3">
            <w:pPr>
              <w:spacing w:after="0"/>
              <w:jc w:val="left"/>
            </w:pPr>
            <w:r>
              <w:t xml:space="preserve">Identify if additional document </w:t>
            </w:r>
            <w:proofErr w:type="gramStart"/>
            <w:r>
              <w:t>are</w:t>
            </w:r>
            <w:proofErr w:type="gramEnd"/>
            <w:r>
              <w:t xml:space="preserve"> required</w:t>
            </w:r>
          </w:p>
        </w:tc>
        <w:tc>
          <w:tcPr>
            <w:tcW w:w="5760" w:type="dxa"/>
          </w:tcPr>
          <w:p w14:paraId="02A5A46E" w14:textId="37B1C850" w:rsidR="00B62749" w:rsidRPr="00EB3578" w:rsidRDefault="00B62749" w:rsidP="001136D3">
            <w:pPr>
              <w:spacing w:after="0"/>
            </w:pPr>
            <w:r w:rsidRPr="00B62749">
              <w:t>The system identifies if the Control Officer requested additional documents from the EO.</w:t>
            </w:r>
          </w:p>
        </w:tc>
      </w:tr>
      <w:tr w:rsidR="004C3CE9" w:rsidRPr="00EB3578" w14:paraId="2A2A0B64" w14:textId="77777777" w:rsidTr="001136D3">
        <w:tc>
          <w:tcPr>
            <w:tcW w:w="1525" w:type="dxa"/>
          </w:tcPr>
          <w:p w14:paraId="5322B775" w14:textId="1FEEDAA3" w:rsidR="004C3CE9" w:rsidRPr="00EB3578" w:rsidRDefault="00B62749" w:rsidP="001136D3">
            <w:pPr>
              <w:spacing w:after="0"/>
            </w:pPr>
            <w:r>
              <w:t>Send Task</w:t>
            </w:r>
          </w:p>
        </w:tc>
        <w:tc>
          <w:tcPr>
            <w:tcW w:w="2070" w:type="dxa"/>
          </w:tcPr>
          <w:p w14:paraId="75E4F877" w14:textId="77777777" w:rsidR="004C3CE9" w:rsidRPr="00EB3578" w:rsidRDefault="004C3CE9" w:rsidP="001136D3">
            <w:pPr>
              <w:spacing w:after="0"/>
              <w:jc w:val="left"/>
            </w:pPr>
            <w:r w:rsidRPr="00EB3578">
              <w:t>Request Additional Documents</w:t>
            </w:r>
          </w:p>
        </w:tc>
        <w:tc>
          <w:tcPr>
            <w:tcW w:w="5760" w:type="dxa"/>
          </w:tcPr>
          <w:p w14:paraId="6C1CDBD2" w14:textId="77777777" w:rsidR="004C3CE9" w:rsidRPr="00EB3578" w:rsidRDefault="004C3CE9" w:rsidP="001136D3">
            <w:pPr>
              <w:spacing w:after="0"/>
            </w:pPr>
            <w:r w:rsidRPr="00EB3578">
              <w:t xml:space="preserve">The system </w:t>
            </w:r>
            <w:r>
              <w:t>must be able</w:t>
            </w:r>
            <w:r w:rsidRPr="00EB3578">
              <w:t xml:space="preserve"> send request to Economic Operator for Additional Documents.</w:t>
            </w:r>
          </w:p>
        </w:tc>
      </w:tr>
      <w:tr w:rsidR="004C3CE9" w:rsidRPr="00EB3578" w14:paraId="50602E08" w14:textId="77777777" w:rsidTr="001136D3">
        <w:tc>
          <w:tcPr>
            <w:tcW w:w="1525" w:type="dxa"/>
          </w:tcPr>
          <w:p w14:paraId="2A03B7CC" w14:textId="309E4D46" w:rsidR="004C3CE9" w:rsidRPr="00EB3578" w:rsidRDefault="00B62749" w:rsidP="001136D3">
            <w:pPr>
              <w:spacing w:after="0"/>
            </w:pPr>
            <w:r>
              <w:t>Service Task</w:t>
            </w:r>
            <w:r w:rsidR="004C3CE9" w:rsidRPr="00B51C13">
              <w:t xml:space="preserve"> </w:t>
            </w:r>
          </w:p>
        </w:tc>
        <w:tc>
          <w:tcPr>
            <w:tcW w:w="2070" w:type="dxa"/>
          </w:tcPr>
          <w:p w14:paraId="6BAED6FD" w14:textId="77777777" w:rsidR="004C3CE9" w:rsidRPr="00EB3578" w:rsidRDefault="004C3CE9" w:rsidP="001136D3">
            <w:pPr>
              <w:spacing w:after="0"/>
              <w:jc w:val="left"/>
            </w:pPr>
            <w:r>
              <w:t>Register document control results</w:t>
            </w:r>
          </w:p>
        </w:tc>
        <w:tc>
          <w:tcPr>
            <w:tcW w:w="5760" w:type="dxa"/>
          </w:tcPr>
          <w:p w14:paraId="2D7A857F" w14:textId="77777777" w:rsidR="004C3CE9" w:rsidRPr="00EB3578" w:rsidRDefault="004C3CE9" w:rsidP="001136D3">
            <w:pPr>
              <w:spacing w:after="0"/>
            </w:pPr>
            <w:r w:rsidRPr="00EB3578">
              <w:t xml:space="preserve">The system </w:t>
            </w:r>
            <w:r>
              <w:t>must register the documentary control results</w:t>
            </w:r>
            <w:r w:rsidRPr="00EB3578">
              <w:t>.</w:t>
            </w:r>
          </w:p>
        </w:tc>
      </w:tr>
      <w:tr w:rsidR="004C3CE9" w:rsidRPr="00EB3578" w14:paraId="0A28FC99" w14:textId="77777777" w:rsidTr="001136D3">
        <w:tc>
          <w:tcPr>
            <w:tcW w:w="1525" w:type="dxa"/>
          </w:tcPr>
          <w:p w14:paraId="14D2BB08" w14:textId="3FF21787" w:rsidR="004C3CE9" w:rsidRPr="00EB3578" w:rsidRDefault="00B62749" w:rsidP="001136D3">
            <w:pPr>
              <w:spacing w:after="0"/>
            </w:pPr>
            <w:r>
              <w:t>User Task</w:t>
            </w:r>
            <w:r w:rsidR="004C3CE9" w:rsidRPr="00B51C13">
              <w:t xml:space="preserve"> </w:t>
            </w:r>
          </w:p>
        </w:tc>
        <w:tc>
          <w:tcPr>
            <w:tcW w:w="2070" w:type="dxa"/>
          </w:tcPr>
          <w:p w14:paraId="735DD860" w14:textId="77777777" w:rsidR="004C3CE9" w:rsidRPr="00EB3578" w:rsidRDefault="004C3CE9" w:rsidP="001136D3">
            <w:pPr>
              <w:spacing w:after="0"/>
              <w:jc w:val="left"/>
            </w:pPr>
            <w:r w:rsidRPr="00EB3578">
              <w:t>Register Physical Control Results</w:t>
            </w:r>
          </w:p>
        </w:tc>
        <w:tc>
          <w:tcPr>
            <w:tcW w:w="5760" w:type="dxa"/>
          </w:tcPr>
          <w:p w14:paraId="7242DD19" w14:textId="77777777" w:rsidR="004C3CE9" w:rsidRPr="00EB3578" w:rsidRDefault="004C3CE9" w:rsidP="001136D3">
            <w:pPr>
              <w:spacing w:after="0"/>
            </w:pPr>
            <w:r w:rsidRPr="00EB3578">
              <w:t xml:space="preserve">The </w:t>
            </w:r>
            <w:r>
              <w:t>Inspector</w:t>
            </w:r>
            <w:r w:rsidRPr="00EB3578">
              <w:t xml:space="preserve"> </w:t>
            </w:r>
            <w:r>
              <w:t>must be able to</w:t>
            </w:r>
            <w:r w:rsidRPr="00EB3578">
              <w:t xml:space="preserve"> register the control results</w:t>
            </w:r>
            <w:r>
              <w:t xml:space="preserve"> in structured or unstructured form.</w:t>
            </w:r>
          </w:p>
        </w:tc>
      </w:tr>
      <w:tr w:rsidR="004C3CE9" w:rsidRPr="00EB3578" w14:paraId="6D1283EF" w14:textId="77777777" w:rsidTr="001136D3">
        <w:tc>
          <w:tcPr>
            <w:tcW w:w="1525" w:type="dxa"/>
          </w:tcPr>
          <w:p w14:paraId="616F3E70" w14:textId="5B78C006" w:rsidR="004C3CE9" w:rsidRPr="00EB3578" w:rsidRDefault="00B62749" w:rsidP="001136D3">
            <w:pPr>
              <w:spacing w:after="0"/>
            </w:pPr>
            <w:r>
              <w:t>User Task</w:t>
            </w:r>
          </w:p>
        </w:tc>
        <w:tc>
          <w:tcPr>
            <w:tcW w:w="2070" w:type="dxa"/>
          </w:tcPr>
          <w:p w14:paraId="03BB4C1F" w14:textId="77777777" w:rsidR="004C3CE9" w:rsidRPr="00EB3578" w:rsidRDefault="004C3CE9" w:rsidP="001136D3">
            <w:pPr>
              <w:spacing w:after="0"/>
              <w:jc w:val="left"/>
            </w:pPr>
            <w:r w:rsidRPr="00EB3578">
              <w:t>Identify If Sampling Control are Required</w:t>
            </w:r>
          </w:p>
        </w:tc>
        <w:tc>
          <w:tcPr>
            <w:tcW w:w="5760" w:type="dxa"/>
          </w:tcPr>
          <w:p w14:paraId="4363F749" w14:textId="77777777" w:rsidR="004C3CE9" w:rsidRPr="00EB3578" w:rsidRDefault="004C3CE9" w:rsidP="001136D3">
            <w:pPr>
              <w:spacing w:after="0"/>
            </w:pPr>
            <w:r w:rsidRPr="00EB3578">
              <w:t xml:space="preserve">The </w:t>
            </w:r>
            <w:r>
              <w:t>Inspector must be able to register</w:t>
            </w:r>
            <w:r w:rsidRPr="00EB3578">
              <w:t xml:space="preserve"> if there is a need for sampling.</w:t>
            </w:r>
          </w:p>
        </w:tc>
      </w:tr>
      <w:tr w:rsidR="004C3CE9" w:rsidRPr="00EB3578" w14:paraId="09F48090" w14:textId="77777777" w:rsidTr="001136D3">
        <w:tc>
          <w:tcPr>
            <w:tcW w:w="1525" w:type="dxa"/>
          </w:tcPr>
          <w:p w14:paraId="7A5C4E8C" w14:textId="5D48B102" w:rsidR="004C3CE9" w:rsidRPr="00EB3578" w:rsidRDefault="00B62749" w:rsidP="001136D3">
            <w:pPr>
              <w:spacing w:after="0"/>
            </w:pPr>
            <w:r>
              <w:t>User Task</w:t>
            </w:r>
          </w:p>
        </w:tc>
        <w:tc>
          <w:tcPr>
            <w:tcW w:w="2070" w:type="dxa"/>
          </w:tcPr>
          <w:p w14:paraId="423E5243" w14:textId="77777777" w:rsidR="004C3CE9" w:rsidRPr="00EB3578" w:rsidRDefault="004C3CE9" w:rsidP="001136D3">
            <w:pPr>
              <w:spacing w:after="0"/>
              <w:jc w:val="left"/>
            </w:pPr>
            <w:r w:rsidRPr="00EB3578">
              <w:t>Send Sampling for Examinations</w:t>
            </w:r>
          </w:p>
        </w:tc>
        <w:tc>
          <w:tcPr>
            <w:tcW w:w="5760" w:type="dxa"/>
          </w:tcPr>
          <w:p w14:paraId="6BE6A27D" w14:textId="2E5BC705" w:rsidR="004C3CE9" w:rsidRPr="00EB3578" w:rsidRDefault="004C3CE9" w:rsidP="00353A19">
            <w:pPr>
              <w:spacing w:after="0"/>
            </w:pPr>
            <w:r>
              <w:t>The Inspector must be able to s</w:t>
            </w:r>
            <w:r w:rsidRPr="00EB3578">
              <w:t>end</w:t>
            </w:r>
            <w:r>
              <w:t xml:space="preserve"> electronically the Sampling support documents to the </w:t>
            </w:r>
            <w:r w:rsidRPr="00EB3578">
              <w:t>Laboratory Information System</w:t>
            </w:r>
            <w:r w:rsidR="007455DD">
              <w:t xml:space="preserve">, </w:t>
            </w:r>
            <w:r w:rsidR="007455DD" w:rsidRPr="00353A19">
              <w:t>if applicable</w:t>
            </w:r>
            <w:r>
              <w:t>.</w:t>
            </w:r>
          </w:p>
        </w:tc>
      </w:tr>
      <w:tr w:rsidR="004C3CE9" w:rsidRPr="00EB3578" w14:paraId="2360D898" w14:textId="77777777" w:rsidTr="001136D3">
        <w:tc>
          <w:tcPr>
            <w:tcW w:w="1525" w:type="dxa"/>
          </w:tcPr>
          <w:p w14:paraId="03F4BE34" w14:textId="4D78820B" w:rsidR="004C3CE9" w:rsidRPr="00EB3578" w:rsidRDefault="00B62749" w:rsidP="001136D3">
            <w:pPr>
              <w:spacing w:after="0"/>
            </w:pPr>
            <w:r>
              <w:t>User Task</w:t>
            </w:r>
          </w:p>
        </w:tc>
        <w:tc>
          <w:tcPr>
            <w:tcW w:w="2070" w:type="dxa"/>
          </w:tcPr>
          <w:p w14:paraId="5F31729B" w14:textId="77777777" w:rsidR="004C3CE9" w:rsidRPr="00EB3578" w:rsidRDefault="004C3CE9" w:rsidP="001136D3">
            <w:pPr>
              <w:spacing w:after="0"/>
              <w:jc w:val="left"/>
            </w:pPr>
            <w:r w:rsidRPr="00EB3578">
              <w:t>Register Sampling Control Results</w:t>
            </w:r>
          </w:p>
        </w:tc>
        <w:tc>
          <w:tcPr>
            <w:tcW w:w="5760" w:type="dxa"/>
          </w:tcPr>
          <w:p w14:paraId="07069A79" w14:textId="77777777" w:rsidR="004C3CE9" w:rsidRPr="00EB3578" w:rsidRDefault="004C3CE9" w:rsidP="001136D3">
            <w:pPr>
              <w:spacing w:after="0"/>
            </w:pPr>
            <w:r w:rsidRPr="00EB3578">
              <w:t xml:space="preserve">The </w:t>
            </w:r>
            <w:r>
              <w:t>Inspector must be able to</w:t>
            </w:r>
            <w:r w:rsidRPr="00EB3578">
              <w:t xml:space="preserve"> register samples and the </w:t>
            </w:r>
            <w:r>
              <w:t>laboratory</w:t>
            </w:r>
            <w:r w:rsidRPr="00EB3578">
              <w:t xml:space="preserve"> results.</w:t>
            </w:r>
          </w:p>
        </w:tc>
      </w:tr>
      <w:tr w:rsidR="004C3CE9" w:rsidRPr="00EB3578" w14:paraId="6DD570D1" w14:textId="77777777" w:rsidTr="001136D3">
        <w:tc>
          <w:tcPr>
            <w:tcW w:w="1525" w:type="dxa"/>
          </w:tcPr>
          <w:p w14:paraId="55620161" w14:textId="01E0F97A" w:rsidR="004C3CE9" w:rsidRPr="00EB3578" w:rsidRDefault="00B62749" w:rsidP="001136D3">
            <w:pPr>
              <w:spacing w:after="0"/>
            </w:pPr>
            <w:r>
              <w:t>Send Task</w:t>
            </w:r>
            <w:r w:rsidR="004C3CE9" w:rsidRPr="00B51C13">
              <w:t xml:space="preserve"> </w:t>
            </w:r>
          </w:p>
        </w:tc>
        <w:tc>
          <w:tcPr>
            <w:tcW w:w="2070" w:type="dxa"/>
          </w:tcPr>
          <w:p w14:paraId="2BDBCEFD" w14:textId="77777777" w:rsidR="004C3CE9" w:rsidRPr="00EB3578" w:rsidRDefault="004C3CE9" w:rsidP="001136D3">
            <w:pPr>
              <w:spacing w:after="0"/>
              <w:jc w:val="left"/>
            </w:pPr>
            <w:r w:rsidRPr="00EB3578">
              <w:t>Notify Control Results</w:t>
            </w:r>
          </w:p>
        </w:tc>
        <w:tc>
          <w:tcPr>
            <w:tcW w:w="5760" w:type="dxa"/>
          </w:tcPr>
          <w:p w14:paraId="2AA09734" w14:textId="1E367C12" w:rsidR="004C3CE9" w:rsidRPr="00EB3578" w:rsidRDefault="004C3CE9" w:rsidP="001136D3">
            <w:pPr>
              <w:spacing w:after="0"/>
            </w:pPr>
            <w:r w:rsidRPr="00EB3578">
              <w:t xml:space="preserve">Sends information for the control results to the LPCO </w:t>
            </w:r>
            <w:r>
              <w:t xml:space="preserve">Workflow </w:t>
            </w:r>
            <w:r w:rsidRPr="00EB3578">
              <w:t>and Data Warehouse.</w:t>
            </w:r>
          </w:p>
        </w:tc>
      </w:tr>
    </w:tbl>
    <w:p w14:paraId="3055F458" w14:textId="77777777" w:rsidR="004C3CE9" w:rsidRPr="00632090" w:rsidRDefault="004C3CE9" w:rsidP="004C3CE9">
      <w:pPr>
        <w:spacing w:after="0"/>
      </w:pPr>
    </w:p>
    <w:p w14:paraId="6C8B9587" w14:textId="77777777" w:rsidR="004C3CE9" w:rsidRDefault="004C3CE9" w:rsidP="004C3CE9">
      <w:pPr>
        <w:spacing w:after="0"/>
        <w:jc w:val="left"/>
        <w:rPr>
          <w:b/>
          <w:i/>
        </w:rPr>
      </w:pPr>
    </w:p>
    <w:p w14:paraId="41F459C6" w14:textId="77777777" w:rsidR="004C3CE9" w:rsidRDefault="004C3CE9" w:rsidP="004C3CE9">
      <w:pPr>
        <w:spacing w:after="0"/>
        <w:rPr>
          <w:b/>
          <w:i/>
        </w:rPr>
      </w:pPr>
      <w:r w:rsidRPr="00C14051">
        <w:rPr>
          <w:b/>
          <w:i/>
        </w:rPr>
        <w:t>Functional Requirements:</w:t>
      </w:r>
    </w:p>
    <w:p w14:paraId="5624D2FA" w14:textId="77777777" w:rsidR="004C3CE9" w:rsidRPr="00C14051" w:rsidRDefault="004C3CE9" w:rsidP="004C3CE9">
      <w:pPr>
        <w:spacing w:after="0"/>
      </w:pPr>
    </w:p>
    <w:tbl>
      <w:tblPr>
        <w:tblStyle w:val="TableGrid"/>
        <w:tblW w:w="9355" w:type="dxa"/>
        <w:tblLook w:val="04A0" w:firstRow="1" w:lastRow="0" w:firstColumn="1" w:lastColumn="0" w:noHBand="0" w:noVBand="1"/>
      </w:tblPr>
      <w:tblGrid>
        <w:gridCol w:w="1255"/>
        <w:gridCol w:w="8100"/>
      </w:tblGrid>
      <w:tr w:rsidR="00170DBA" w:rsidRPr="00AE16ED" w14:paraId="4A38AE27" w14:textId="77777777" w:rsidTr="005E6A97">
        <w:trPr>
          <w:tblHeader/>
        </w:trPr>
        <w:tc>
          <w:tcPr>
            <w:tcW w:w="1255" w:type="dxa"/>
            <w:shd w:val="clear" w:color="auto" w:fill="D9D9D9" w:themeFill="background1" w:themeFillShade="D9"/>
          </w:tcPr>
          <w:p w14:paraId="5DBE96B0" w14:textId="77777777" w:rsidR="00170DBA" w:rsidRPr="00AE16ED" w:rsidRDefault="00170DBA" w:rsidP="001136D3">
            <w:pPr>
              <w:spacing w:after="0"/>
              <w:rPr>
                <w:b/>
                <w:szCs w:val="24"/>
              </w:rPr>
            </w:pPr>
            <w:r>
              <w:rPr>
                <w:b/>
                <w:szCs w:val="24"/>
              </w:rPr>
              <w:t xml:space="preserve">FR </w:t>
            </w:r>
            <w:r w:rsidRPr="00AE16ED">
              <w:rPr>
                <w:b/>
                <w:szCs w:val="24"/>
              </w:rPr>
              <w:t>ID</w:t>
            </w:r>
          </w:p>
        </w:tc>
        <w:tc>
          <w:tcPr>
            <w:tcW w:w="8100" w:type="dxa"/>
            <w:shd w:val="clear" w:color="auto" w:fill="D9D9D9" w:themeFill="background1" w:themeFillShade="D9"/>
          </w:tcPr>
          <w:p w14:paraId="052DD45D" w14:textId="77777777" w:rsidR="00170DBA" w:rsidRPr="00AE16ED" w:rsidRDefault="00170DBA" w:rsidP="001136D3">
            <w:pPr>
              <w:spacing w:after="0"/>
              <w:jc w:val="left"/>
              <w:rPr>
                <w:b/>
                <w:szCs w:val="24"/>
              </w:rPr>
            </w:pPr>
            <w:r w:rsidRPr="00AE16ED">
              <w:rPr>
                <w:b/>
                <w:szCs w:val="24"/>
              </w:rPr>
              <w:t>Description</w:t>
            </w:r>
          </w:p>
        </w:tc>
      </w:tr>
      <w:tr w:rsidR="00170DBA" w:rsidRPr="00AE16ED" w14:paraId="37911737" w14:textId="77777777" w:rsidTr="005E6A97">
        <w:tc>
          <w:tcPr>
            <w:tcW w:w="1255" w:type="dxa"/>
            <w:vAlign w:val="bottom"/>
          </w:tcPr>
          <w:p w14:paraId="7B7DFB1C" w14:textId="455CA3CB" w:rsidR="00170DBA" w:rsidRPr="00353A19" w:rsidRDefault="00A150A1" w:rsidP="00353A19">
            <w:pPr>
              <w:spacing w:after="0"/>
              <w:rPr>
                <w:szCs w:val="24"/>
              </w:rPr>
            </w:pPr>
            <w:r w:rsidRPr="00353A19">
              <w:rPr>
                <w:szCs w:val="24"/>
              </w:rPr>
              <w:t>FR597</w:t>
            </w:r>
          </w:p>
        </w:tc>
        <w:tc>
          <w:tcPr>
            <w:tcW w:w="8100" w:type="dxa"/>
          </w:tcPr>
          <w:p w14:paraId="3B9AAAA4" w14:textId="0A8044F6" w:rsidR="00170DBA" w:rsidRPr="00353A19" w:rsidRDefault="00170DBA" w:rsidP="001136D3">
            <w:pPr>
              <w:spacing w:after="0"/>
              <w:rPr>
                <w:szCs w:val="24"/>
              </w:rPr>
            </w:pPr>
            <w:r w:rsidRPr="00353A19">
              <w:rPr>
                <w:szCs w:val="24"/>
              </w:rPr>
              <w:t>The ICR must be able to receive notification</w:t>
            </w:r>
            <w:r w:rsidR="00831574" w:rsidRPr="00353A19">
              <w:rPr>
                <w:szCs w:val="24"/>
              </w:rPr>
              <w:t xml:space="preserve"> generated</w:t>
            </w:r>
            <w:r w:rsidRPr="00353A19">
              <w:rPr>
                <w:szCs w:val="24"/>
              </w:rPr>
              <w:t xml:space="preserve"> by the Risk management component about the recommended inspection control.</w:t>
            </w:r>
          </w:p>
        </w:tc>
      </w:tr>
      <w:tr w:rsidR="00170DBA" w:rsidRPr="00AE16ED" w14:paraId="35E055F2" w14:textId="77777777" w:rsidTr="005E6A97">
        <w:tc>
          <w:tcPr>
            <w:tcW w:w="1255" w:type="dxa"/>
            <w:vAlign w:val="bottom"/>
          </w:tcPr>
          <w:p w14:paraId="54347750" w14:textId="77777777" w:rsidR="00170DBA" w:rsidRPr="00353A19" w:rsidRDefault="00170DBA" w:rsidP="001136D3">
            <w:pPr>
              <w:spacing w:after="0"/>
              <w:rPr>
                <w:szCs w:val="24"/>
              </w:rPr>
            </w:pPr>
            <w:r w:rsidRPr="00353A19">
              <w:rPr>
                <w:szCs w:val="24"/>
              </w:rPr>
              <w:t>FR189</w:t>
            </w:r>
          </w:p>
        </w:tc>
        <w:tc>
          <w:tcPr>
            <w:tcW w:w="8100" w:type="dxa"/>
          </w:tcPr>
          <w:p w14:paraId="48F68F32" w14:textId="77777777" w:rsidR="00170DBA" w:rsidRPr="00353A19" w:rsidRDefault="00170DBA" w:rsidP="001136D3">
            <w:pPr>
              <w:spacing w:after="0"/>
              <w:rPr>
                <w:szCs w:val="24"/>
              </w:rPr>
            </w:pPr>
            <w:r w:rsidRPr="00353A19">
              <w:rPr>
                <w:szCs w:val="24"/>
              </w:rPr>
              <w:t>The ICR must allow the Inspector manager to draft inspection schedules and notify the inspectors.</w:t>
            </w:r>
          </w:p>
        </w:tc>
      </w:tr>
      <w:tr w:rsidR="00170DBA" w:rsidRPr="00AE16ED" w14:paraId="1AFCA543" w14:textId="77777777" w:rsidTr="005E6A97">
        <w:tc>
          <w:tcPr>
            <w:tcW w:w="1255" w:type="dxa"/>
            <w:vAlign w:val="bottom"/>
          </w:tcPr>
          <w:p w14:paraId="7A4DE426" w14:textId="79EC5C11" w:rsidR="00170DBA" w:rsidRPr="00353A19" w:rsidRDefault="00170DBA" w:rsidP="00353A19">
            <w:pPr>
              <w:spacing w:after="0"/>
              <w:rPr>
                <w:szCs w:val="24"/>
              </w:rPr>
            </w:pPr>
            <w:r w:rsidRPr="00353A19">
              <w:rPr>
                <w:szCs w:val="24"/>
              </w:rPr>
              <w:t>FR</w:t>
            </w:r>
            <w:r w:rsidR="008F4659" w:rsidRPr="00353A19">
              <w:rPr>
                <w:szCs w:val="24"/>
              </w:rPr>
              <w:t>598</w:t>
            </w:r>
          </w:p>
        </w:tc>
        <w:tc>
          <w:tcPr>
            <w:tcW w:w="8100" w:type="dxa"/>
          </w:tcPr>
          <w:p w14:paraId="5D80384C" w14:textId="77777777" w:rsidR="00170DBA" w:rsidRPr="00353A19" w:rsidRDefault="00170DBA" w:rsidP="001136D3">
            <w:pPr>
              <w:spacing w:after="0"/>
              <w:rPr>
                <w:szCs w:val="24"/>
              </w:rPr>
            </w:pPr>
            <w:r w:rsidRPr="00353A19">
              <w:rPr>
                <w:szCs w:val="24"/>
              </w:rPr>
              <w:t>The ICR must send the notification via the mobile app and/or email. The schedule must be captured in the calendar as well.</w:t>
            </w:r>
          </w:p>
        </w:tc>
      </w:tr>
      <w:tr w:rsidR="00170DBA" w:rsidRPr="00AE16ED" w14:paraId="6F1D1971" w14:textId="77777777" w:rsidTr="005E6A97">
        <w:tc>
          <w:tcPr>
            <w:tcW w:w="1255" w:type="dxa"/>
            <w:vAlign w:val="bottom"/>
          </w:tcPr>
          <w:p w14:paraId="695CB329" w14:textId="77777777" w:rsidR="00170DBA" w:rsidRPr="00AE16ED" w:rsidRDefault="00170DBA" w:rsidP="001136D3">
            <w:pPr>
              <w:spacing w:after="0"/>
              <w:rPr>
                <w:szCs w:val="24"/>
              </w:rPr>
            </w:pPr>
            <w:r w:rsidRPr="00E833A6">
              <w:rPr>
                <w:szCs w:val="24"/>
              </w:rPr>
              <w:t>FR191</w:t>
            </w:r>
          </w:p>
        </w:tc>
        <w:tc>
          <w:tcPr>
            <w:tcW w:w="8100" w:type="dxa"/>
          </w:tcPr>
          <w:p w14:paraId="7B8D19A0" w14:textId="77777777" w:rsidR="00170DBA" w:rsidRPr="00AE16ED" w:rsidRDefault="00170DBA" w:rsidP="001136D3">
            <w:pPr>
              <w:spacing w:after="0"/>
            </w:pPr>
            <w:r w:rsidRPr="00E833A6">
              <w:t xml:space="preserve">The </w:t>
            </w:r>
            <w:r>
              <w:t>ICR must allow</w:t>
            </w:r>
            <w:r w:rsidRPr="00E833A6">
              <w:t xml:space="preserve"> the inspectors </w:t>
            </w:r>
            <w:r>
              <w:t>to provide</w:t>
            </w:r>
            <w:r w:rsidRPr="00E833A6">
              <w:t xml:space="preserve"> data inputs in </w:t>
            </w:r>
            <w:r>
              <w:t xml:space="preserve">structured form, but in </w:t>
            </w:r>
            <w:r w:rsidRPr="00E833A6">
              <w:t>detailed textual form</w:t>
            </w:r>
            <w:r>
              <w:t xml:space="preserve"> as well</w:t>
            </w:r>
            <w:r w:rsidRPr="00E833A6">
              <w:t xml:space="preserve">, and to upload any relevant information to support their findings, including X-Ray scans, </w:t>
            </w:r>
            <w:proofErr w:type="gramStart"/>
            <w:r w:rsidRPr="00E833A6">
              <w:t>photos</w:t>
            </w:r>
            <w:proofErr w:type="gramEnd"/>
            <w:r w:rsidRPr="00E833A6">
              <w:t xml:space="preserve"> and documents directly through their smart phone, tablet or laptop/computer from the shed/examination yard. </w:t>
            </w:r>
          </w:p>
        </w:tc>
      </w:tr>
      <w:tr w:rsidR="00170DBA" w:rsidRPr="00AE16ED" w14:paraId="70693B62" w14:textId="77777777" w:rsidTr="005E6A97">
        <w:tc>
          <w:tcPr>
            <w:tcW w:w="1255" w:type="dxa"/>
            <w:vAlign w:val="bottom"/>
          </w:tcPr>
          <w:p w14:paraId="4A65E9E1" w14:textId="77777777" w:rsidR="00170DBA" w:rsidRPr="00AE16ED" w:rsidRDefault="00170DBA" w:rsidP="001136D3">
            <w:pPr>
              <w:spacing w:after="0"/>
              <w:rPr>
                <w:szCs w:val="24"/>
              </w:rPr>
            </w:pPr>
            <w:r w:rsidRPr="00E833A6">
              <w:rPr>
                <w:szCs w:val="24"/>
              </w:rPr>
              <w:t>FR192</w:t>
            </w:r>
          </w:p>
        </w:tc>
        <w:tc>
          <w:tcPr>
            <w:tcW w:w="8100" w:type="dxa"/>
          </w:tcPr>
          <w:p w14:paraId="61C22744" w14:textId="77777777" w:rsidR="00170DBA" w:rsidRPr="00AE16ED" w:rsidRDefault="00170DBA" w:rsidP="001136D3">
            <w:pPr>
              <w:spacing w:after="0"/>
              <w:rPr>
                <w:szCs w:val="24"/>
              </w:rPr>
            </w:pPr>
            <w:r w:rsidRPr="00E833A6">
              <w:rPr>
                <w:szCs w:val="24"/>
              </w:rPr>
              <w:t xml:space="preserve">There should be no restrictions regarding the format of the associated documentation provided with an inspection order or inspection report; it shall be possible to associate text documents, </w:t>
            </w:r>
            <w:r>
              <w:rPr>
                <w:szCs w:val="24"/>
              </w:rPr>
              <w:t>videos</w:t>
            </w:r>
            <w:r w:rsidRPr="00E833A6">
              <w:rPr>
                <w:szCs w:val="24"/>
              </w:rPr>
              <w:t>, sound recordings, picture, etc.</w:t>
            </w:r>
          </w:p>
        </w:tc>
      </w:tr>
      <w:tr w:rsidR="00170DBA" w:rsidRPr="00AE16ED" w14:paraId="3EA590F6" w14:textId="77777777" w:rsidTr="005E6A97">
        <w:tc>
          <w:tcPr>
            <w:tcW w:w="1255" w:type="dxa"/>
          </w:tcPr>
          <w:p w14:paraId="10181D15" w14:textId="77777777" w:rsidR="00170DBA" w:rsidRPr="00091104" w:rsidRDefault="00170DBA" w:rsidP="001136D3">
            <w:pPr>
              <w:spacing w:after="0"/>
              <w:rPr>
                <w:szCs w:val="24"/>
              </w:rPr>
            </w:pPr>
            <w:r w:rsidRPr="00091104">
              <w:rPr>
                <w:szCs w:val="24"/>
              </w:rPr>
              <w:t>FR521</w:t>
            </w:r>
          </w:p>
        </w:tc>
        <w:tc>
          <w:tcPr>
            <w:tcW w:w="8100" w:type="dxa"/>
          </w:tcPr>
          <w:p w14:paraId="60E14F21" w14:textId="77777777" w:rsidR="00170DBA" w:rsidRPr="00AE16ED" w:rsidRDefault="00170DBA" w:rsidP="001136D3">
            <w:pPr>
              <w:spacing w:after="0"/>
              <w:rPr>
                <w:szCs w:val="24"/>
              </w:rPr>
            </w:pPr>
            <w:r w:rsidRPr="00AE16ED">
              <w:rPr>
                <w:szCs w:val="24"/>
              </w:rPr>
              <w:t xml:space="preserve">The system </w:t>
            </w:r>
            <w:r>
              <w:rPr>
                <w:szCs w:val="24"/>
              </w:rPr>
              <w:t>must</w:t>
            </w:r>
            <w:r w:rsidRPr="00AE16ED">
              <w:rPr>
                <w:szCs w:val="24"/>
              </w:rPr>
              <w:t xml:space="preserve"> be able to </w:t>
            </w:r>
            <w:r>
              <w:rPr>
                <w:szCs w:val="24"/>
              </w:rPr>
              <w:t>r</w:t>
            </w:r>
            <w:r w:rsidRPr="00AE16ED">
              <w:rPr>
                <w:szCs w:val="24"/>
              </w:rPr>
              <w:t xml:space="preserve">egister </w:t>
            </w:r>
            <w:r>
              <w:rPr>
                <w:szCs w:val="24"/>
              </w:rPr>
              <w:t>the</w:t>
            </w:r>
            <w:r w:rsidRPr="00AE16ED">
              <w:rPr>
                <w:szCs w:val="24"/>
              </w:rPr>
              <w:t xml:space="preserve"> </w:t>
            </w:r>
            <w:r>
              <w:rPr>
                <w:szCs w:val="24"/>
              </w:rPr>
              <w:t>c</w:t>
            </w:r>
            <w:r w:rsidRPr="00AE16ED">
              <w:rPr>
                <w:szCs w:val="24"/>
              </w:rPr>
              <w:t xml:space="preserve">ontrol </w:t>
            </w:r>
            <w:r>
              <w:rPr>
                <w:szCs w:val="24"/>
              </w:rPr>
              <w:t>r</w:t>
            </w:r>
            <w:r w:rsidRPr="00AE16ED">
              <w:rPr>
                <w:szCs w:val="24"/>
              </w:rPr>
              <w:t>esults</w:t>
            </w:r>
          </w:p>
        </w:tc>
      </w:tr>
      <w:tr w:rsidR="00170DBA" w:rsidRPr="00AE16ED" w14:paraId="44069CF2" w14:textId="77777777" w:rsidTr="005E6A97">
        <w:tc>
          <w:tcPr>
            <w:tcW w:w="1255" w:type="dxa"/>
          </w:tcPr>
          <w:p w14:paraId="70B6FD63" w14:textId="77777777" w:rsidR="00170DBA" w:rsidRPr="00091104" w:rsidRDefault="00170DBA" w:rsidP="001136D3">
            <w:pPr>
              <w:spacing w:after="0"/>
              <w:rPr>
                <w:szCs w:val="24"/>
              </w:rPr>
            </w:pPr>
            <w:r w:rsidRPr="00091104">
              <w:rPr>
                <w:szCs w:val="24"/>
              </w:rPr>
              <w:t>FR525</w:t>
            </w:r>
          </w:p>
        </w:tc>
        <w:tc>
          <w:tcPr>
            <w:tcW w:w="8100" w:type="dxa"/>
          </w:tcPr>
          <w:p w14:paraId="715E26E2" w14:textId="783F290A" w:rsidR="00170DBA" w:rsidRPr="002077C9" w:rsidRDefault="00170DBA" w:rsidP="001136D3">
            <w:pPr>
              <w:spacing w:after="0"/>
              <w:jc w:val="left"/>
              <w:rPr>
                <w:szCs w:val="24"/>
              </w:rPr>
            </w:pPr>
            <w:r w:rsidRPr="002077C9">
              <w:rPr>
                <w:szCs w:val="24"/>
              </w:rPr>
              <w:t xml:space="preserve">The system </w:t>
            </w:r>
            <w:r>
              <w:rPr>
                <w:szCs w:val="24"/>
              </w:rPr>
              <w:t>must</w:t>
            </w:r>
            <w:r w:rsidRPr="00AE16ED">
              <w:rPr>
                <w:szCs w:val="24"/>
              </w:rPr>
              <w:t xml:space="preserve"> </w:t>
            </w:r>
            <w:r w:rsidRPr="002077C9">
              <w:rPr>
                <w:szCs w:val="24"/>
              </w:rPr>
              <w:t xml:space="preserve">be able to </w:t>
            </w:r>
            <w:r>
              <w:rPr>
                <w:szCs w:val="24"/>
              </w:rPr>
              <w:t>transmit</w:t>
            </w:r>
            <w:r w:rsidRPr="002077C9">
              <w:rPr>
                <w:szCs w:val="24"/>
              </w:rPr>
              <w:t xml:space="preserve"> </w:t>
            </w:r>
            <w:r>
              <w:rPr>
                <w:szCs w:val="24"/>
              </w:rPr>
              <w:t>c</w:t>
            </w:r>
            <w:r w:rsidRPr="002077C9">
              <w:rPr>
                <w:szCs w:val="24"/>
              </w:rPr>
              <w:t xml:space="preserve">ontrol </w:t>
            </w:r>
            <w:r>
              <w:rPr>
                <w:szCs w:val="24"/>
              </w:rPr>
              <w:t>r</w:t>
            </w:r>
            <w:r w:rsidRPr="002077C9">
              <w:rPr>
                <w:szCs w:val="24"/>
              </w:rPr>
              <w:t>esults</w:t>
            </w:r>
            <w:r>
              <w:rPr>
                <w:szCs w:val="24"/>
              </w:rPr>
              <w:t xml:space="preserve"> to the DWH and/or other IT systems</w:t>
            </w:r>
            <w:r w:rsidR="00BF1BCE">
              <w:rPr>
                <w:szCs w:val="24"/>
              </w:rPr>
              <w:t>.</w:t>
            </w:r>
          </w:p>
        </w:tc>
      </w:tr>
    </w:tbl>
    <w:p w14:paraId="18105E84" w14:textId="77777777" w:rsidR="00280B60" w:rsidRDefault="00280B60"/>
    <w:p w14:paraId="31E472EC" w14:textId="5BC80F22" w:rsidR="00157AAA" w:rsidRPr="00EF70F1" w:rsidRDefault="006C1BE5" w:rsidP="001136D3">
      <w:pPr>
        <w:spacing w:after="0"/>
        <w:jc w:val="left"/>
      </w:pPr>
      <w:r w:rsidRPr="008E2AAD">
        <w:rPr>
          <w:b/>
        </w:rPr>
        <w:t>1.2.11.</w:t>
      </w:r>
      <w:r w:rsidRPr="00EF70F1">
        <w:rPr>
          <w:bCs/>
          <w:szCs w:val="24"/>
        </w:rPr>
        <w:t xml:space="preserve"> </w:t>
      </w:r>
      <w:r w:rsidRPr="008E2AAD">
        <w:rPr>
          <w:b/>
          <w:bCs/>
          <w:szCs w:val="24"/>
        </w:rPr>
        <w:t>NSW</w:t>
      </w:r>
      <w:r w:rsidRPr="00EF70F1">
        <w:rPr>
          <w:bCs/>
          <w:szCs w:val="24"/>
        </w:rPr>
        <w:t xml:space="preserve"> </w:t>
      </w:r>
      <w:r w:rsidRPr="008E2AAD">
        <w:rPr>
          <w:b/>
          <w:bCs/>
          <w:szCs w:val="24"/>
        </w:rPr>
        <w:t>Document and Content Management Component</w:t>
      </w:r>
      <w:r w:rsidRPr="008E2AAD">
        <w:rPr>
          <w:b/>
          <w:szCs w:val="24"/>
        </w:rPr>
        <w:t> </w:t>
      </w:r>
    </w:p>
    <w:p w14:paraId="24198374" w14:textId="77777777" w:rsidR="00157AAA" w:rsidRDefault="006C1BE5" w:rsidP="005E6A97">
      <w:pPr>
        <w:spacing w:after="0"/>
        <w:ind w:left="720"/>
      </w:pPr>
      <w:r>
        <w:t>The NSW is providing e-services for trade and regulatory purposes. The NSW is closely dependent on and linked to the DMS and Content Management System, which provides the information’s, forms, and document management.</w:t>
      </w:r>
    </w:p>
    <w:p w14:paraId="01D4CA11" w14:textId="77777777" w:rsidR="00157AAA" w:rsidRDefault="006C1BE5" w:rsidP="005E6A97">
      <w:pPr>
        <w:spacing w:after="0"/>
        <w:ind w:left="720"/>
      </w:pPr>
      <w:r>
        <w:t xml:space="preserve">The system must enable the publishing of different types of content that includes webpages, electronic forms, documents, </w:t>
      </w:r>
      <w:proofErr w:type="gramStart"/>
      <w:r>
        <w:t>media</w:t>
      </w:r>
      <w:proofErr w:type="gramEnd"/>
      <w:r>
        <w:t xml:space="preserve"> and other rich web content.</w:t>
      </w:r>
    </w:p>
    <w:p w14:paraId="5B58A83E" w14:textId="77777777" w:rsidR="00157AAA" w:rsidRDefault="006C1BE5" w:rsidP="005E6A97">
      <w:pPr>
        <w:spacing w:after="0"/>
        <w:ind w:left="720"/>
      </w:pPr>
      <w:r>
        <w:t>The system must be capable of storing both structured and unstructured documents and associated metadata.</w:t>
      </w:r>
    </w:p>
    <w:p w14:paraId="733B49F5" w14:textId="77777777" w:rsidR="00157AAA" w:rsidRDefault="006C1BE5" w:rsidP="005E6A97">
      <w:pPr>
        <w:spacing w:after="0"/>
        <w:ind w:left="720"/>
        <w:jc w:val="left"/>
      </w:pPr>
      <w:r>
        <w:t>There should be no restriction regarding the format of the document to be stored; it shall be possible to store text documents, images, video, etc.</w:t>
      </w:r>
    </w:p>
    <w:p w14:paraId="44914160" w14:textId="77777777" w:rsidR="00157AAA" w:rsidRDefault="006C1BE5">
      <w:pPr>
        <w:ind w:left="720"/>
        <w:jc w:val="left"/>
      </w:pPr>
      <w:r>
        <w:t xml:space="preserve">To support the </w:t>
      </w:r>
      <w:proofErr w:type="gramStart"/>
      <w:r>
        <w:t>delivering</w:t>
      </w:r>
      <w:proofErr w:type="gramEnd"/>
      <w:r>
        <w:t xml:space="preserve"> of trade information and NSW services, portal services are required. Portal services include services such as:</w:t>
      </w:r>
    </w:p>
    <w:p w14:paraId="1385E601" w14:textId="77777777" w:rsidR="00157AAA" w:rsidRDefault="006C1BE5" w:rsidP="00D530D5">
      <w:pPr>
        <w:pStyle w:val="ListParagraph"/>
        <w:numPr>
          <w:ilvl w:val="0"/>
          <w:numId w:val="76"/>
        </w:numPr>
        <w:ind w:left="1710" w:hanging="450"/>
      </w:pPr>
      <w:r>
        <w:t xml:space="preserve">Single Sign-On — the NSW supports SSO capabilities for the users. This requires a user to authenticate only once when using different services within the NSW and </w:t>
      </w:r>
      <w:proofErr w:type="gramStart"/>
      <w:r>
        <w:t>Customs;</w:t>
      </w:r>
      <w:proofErr w:type="gramEnd"/>
    </w:p>
    <w:p w14:paraId="12D57DF2" w14:textId="77777777" w:rsidR="00157AAA" w:rsidRDefault="006C1BE5" w:rsidP="00D530D5">
      <w:pPr>
        <w:pStyle w:val="ListParagraph"/>
        <w:numPr>
          <w:ilvl w:val="0"/>
          <w:numId w:val="76"/>
        </w:numPr>
        <w:ind w:left="1710" w:hanging="450"/>
      </w:pPr>
      <w:r>
        <w:t xml:space="preserve">Integration — integration delivers the connection of functions and data from multiple systems in a single view. In the condensed view, the user can access data from multiple data sources and </w:t>
      </w:r>
      <w:proofErr w:type="gramStart"/>
      <w:r>
        <w:t>systems;</w:t>
      </w:r>
      <w:proofErr w:type="gramEnd"/>
    </w:p>
    <w:p w14:paraId="234D6EA1" w14:textId="77777777" w:rsidR="00157AAA" w:rsidRDefault="006C1BE5" w:rsidP="00D530D5">
      <w:pPr>
        <w:pStyle w:val="ListParagraph"/>
        <w:numPr>
          <w:ilvl w:val="0"/>
          <w:numId w:val="76"/>
        </w:numPr>
        <w:ind w:left="1710" w:hanging="450"/>
      </w:pPr>
      <w:r>
        <w:t xml:space="preserve">Customizations — the users can perform some level of customization of their environment, without violating the principles and standards of the NSW. This includes adding, removing, and moving certain components on the user’s personal </w:t>
      </w:r>
      <w:proofErr w:type="gramStart"/>
      <w:r>
        <w:t>dashboard;</w:t>
      </w:r>
      <w:proofErr w:type="gramEnd"/>
    </w:p>
    <w:p w14:paraId="6C99D56D" w14:textId="77777777" w:rsidR="00157AAA" w:rsidRDefault="006C1BE5" w:rsidP="00D530D5">
      <w:pPr>
        <w:pStyle w:val="ListParagraph"/>
        <w:numPr>
          <w:ilvl w:val="0"/>
          <w:numId w:val="76"/>
        </w:numPr>
        <w:ind w:left="1710" w:hanging="450"/>
      </w:pPr>
      <w:r>
        <w:lastRenderedPageBreak/>
        <w:t xml:space="preserve">Personalization — personalization is about matching content with the user profile. Based on the role, responsibilities and job function, personalization matches the services and content to the specific user. While customization is voluntary and based on the user preferences, personalization is based on policies and </w:t>
      </w:r>
      <w:proofErr w:type="gramStart"/>
      <w:r>
        <w:t>rules;</w:t>
      </w:r>
      <w:proofErr w:type="gramEnd"/>
    </w:p>
    <w:p w14:paraId="649DA69D" w14:textId="77777777" w:rsidR="00157AAA" w:rsidRDefault="006C1BE5" w:rsidP="00D530D5">
      <w:pPr>
        <w:pStyle w:val="ListParagraph"/>
        <w:numPr>
          <w:ilvl w:val="0"/>
          <w:numId w:val="76"/>
        </w:numPr>
        <w:ind w:left="1710" w:hanging="450"/>
      </w:pPr>
      <w:r>
        <w:t xml:space="preserve">Search — search creates the possibility to find structured and unstructured information in </w:t>
      </w:r>
      <w:proofErr w:type="gramStart"/>
      <w:r>
        <w:t>data-bases</w:t>
      </w:r>
      <w:proofErr w:type="gramEnd"/>
      <w:r>
        <w:t xml:space="preserve"> and documents using enterprise search provided by the DMS;</w:t>
      </w:r>
    </w:p>
    <w:p w14:paraId="0F0DC428" w14:textId="77777777" w:rsidR="00157AAA" w:rsidRDefault="006C1BE5" w:rsidP="00D530D5">
      <w:pPr>
        <w:pStyle w:val="ListParagraph"/>
        <w:numPr>
          <w:ilvl w:val="0"/>
          <w:numId w:val="76"/>
        </w:numPr>
        <w:ind w:left="1710" w:hanging="450"/>
      </w:pPr>
      <w:r>
        <w:t>Access Control — the ability for the portal to limit specific types of content and services users have access to. These access rights may be provided by a portal administrator or by a provisioning process. Access control lists manage the mapping between portal content and services over the portal user base; and</w:t>
      </w:r>
    </w:p>
    <w:p w14:paraId="1E2AF452" w14:textId="77777777" w:rsidR="00157AAA" w:rsidRDefault="006C1BE5" w:rsidP="00D530D5">
      <w:pPr>
        <w:pStyle w:val="ListParagraph"/>
        <w:numPr>
          <w:ilvl w:val="0"/>
          <w:numId w:val="76"/>
        </w:numPr>
        <w:spacing w:after="0"/>
        <w:ind w:left="1710" w:hanging="450"/>
      </w:pPr>
      <w:r>
        <w:t>Content publishing - Trade information is frequently published and updated on the NSW; the content publishing service is providing the publishing framework.</w:t>
      </w:r>
    </w:p>
    <w:p w14:paraId="70EBB3B2" w14:textId="77777777" w:rsidR="00157AAA" w:rsidRDefault="00157AAA">
      <w:pPr>
        <w:ind w:left="720" w:firstLine="720"/>
      </w:pPr>
    </w:p>
    <w:p w14:paraId="1D599F90" w14:textId="77777777" w:rsidR="00157AAA" w:rsidRPr="00EF70F1" w:rsidRDefault="006C1BE5" w:rsidP="00FD21DF">
      <w:pPr>
        <w:ind w:left="720"/>
      </w:pPr>
      <w:r w:rsidRPr="008E2AAD">
        <w:rPr>
          <w:b/>
        </w:rPr>
        <w:t>1.2.11.1.</w:t>
      </w:r>
      <w:r w:rsidRPr="00EF70F1">
        <w:rPr>
          <w:bCs/>
          <w:szCs w:val="24"/>
        </w:rPr>
        <w:t xml:space="preserve"> </w:t>
      </w:r>
      <w:r w:rsidRPr="008E2AAD">
        <w:rPr>
          <w:b/>
          <w:bCs/>
          <w:szCs w:val="24"/>
        </w:rPr>
        <w:t>NSW</w:t>
      </w:r>
      <w:r w:rsidRPr="00EF70F1">
        <w:rPr>
          <w:bCs/>
          <w:szCs w:val="24"/>
        </w:rPr>
        <w:t xml:space="preserve"> </w:t>
      </w:r>
      <w:r w:rsidRPr="008E2AAD">
        <w:rPr>
          <w:b/>
          <w:bCs/>
          <w:szCs w:val="24"/>
        </w:rPr>
        <w:t>Document and Content Management Functional Requirements</w:t>
      </w:r>
      <w:r w:rsidRPr="00EF70F1">
        <w:rPr>
          <w:b/>
          <w:szCs w:val="24"/>
        </w:rPr>
        <w:t> </w:t>
      </w:r>
    </w:p>
    <w:p w14:paraId="124B205F" w14:textId="77777777" w:rsidR="00157AAA" w:rsidRDefault="006C1BE5">
      <w:pPr>
        <w:ind w:left="720" w:firstLine="720"/>
      </w:pPr>
      <w:r>
        <w:t xml:space="preserve"> </w:t>
      </w:r>
    </w:p>
    <w:tbl>
      <w:tblPr>
        <w:tblStyle w:val="TableGrid1"/>
        <w:tblW w:w="8815" w:type="dxa"/>
        <w:tblLook w:val="04A0" w:firstRow="1" w:lastRow="0" w:firstColumn="1" w:lastColumn="0" w:noHBand="0" w:noVBand="1"/>
      </w:tblPr>
      <w:tblGrid>
        <w:gridCol w:w="1808"/>
        <w:gridCol w:w="7007"/>
      </w:tblGrid>
      <w:tr w:rsidR="00157AAA" w14:paraId="646A7BF1" w14:textId="77777777" w:rsidTr="001136D3">
        <w:trPr>
          <w:tblHeader/>
        </w:trPr>
        <w:tc>
          <w:tcPr>
            <w:tcW w:w="1435" w:type="dxa"/>
            <w:tcBorders>
              <w:right w:val="single" w:sz="4" w:space="0" w:color="auto"/>
            </w:tcBorders>
            <w:shd w:val="clear" w:color="auto" w:fill="D9D9D9" w:themeFill="background1" w:themeFillShade="D9"/>
          </w:tcPr>
          <w:p w14:paraId="672593CF" w14:textId="77777777" w:rsidR="00157AAA" w:rsidRDefault="006C1BE5" w:rsidP="001136D3">
            <w:pPr>
              <w:spacing w:after="0"/>
              <w:ind w:left="738" w:right="-14" w:hanging="738"/>
              <w:jc w:val="left"/>
              <w:rPr>
                <w:b/>
                <w:szCs w:val="24"/>
              </w:rPr>
            </w:pPr>
            <w:r>
              <w:rPr>
                <w:b/>
              </w:rPr>
              <w:t>ID Number</w:t>
            </w:r>
          </w:p>
        </w:tc>
        <w:tc>
          <w:tcPr>
            <w:tcW w:w="73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A447FD" w14:textId="77777777" w:rsidR="00157AAA" w:rsidRDefault="006C1BE5" w:rsidP="001136D3">
            <w:pPr>
              <w:spacing w:after="0"/>
              <w:jc w:val="left"/>
              <w:rPr>
                <w:b/>
                <w:szCs w:val="24"/>
              </w:rPr>
            </w:pPr>
            <w:r>
              <w:rPr>
                <w:b/>
              </w:rPr>
              <w:t>Description</w:t>
            </w:r>
          </w:p>
        </w:tc>
      </w:tr>
      <w:tr w:rsidR="00157AAA" w14:paraId="76441FDD" w14:textId="77777777" w:rsidTr="001136D3">
        <w:tc>
          <w:tcPr>
            <w:tcW w:w="1435" w:type="dxa"/>
            <w:tcBorders>
              <w:right w:val="single" w:sz="4" w:space="0" w:color="auto"/>
            </w:tcBorders>
            <w:vAlign w:val="bottom"/>
          </w:tcPr>
          <w:p w14:paraId="05186392" w14:textId="77777777" w:rsidR="00157AAA" w:rsidRDefault="006C1BE5" w:rsidP="001136D3">
            <w:pPr>
              <w:spacing w:after="0"/>
              <w:ind w:left="738" w:right="-14" w:hanging="738"/>
              <w:jc w:val="left"/>
              <w:rPr>
                <w:szCs w:val="24"/>
              </w:rPr>
            </w:pPr>
            <w:r>
              <w:rPr>
                <w:szCs w:val="24"/>
              </w:rPr>
              <w:t>FR193</w:t>
            </w:r>
          </w:p>
        </w:tc>
        <w:tc>
          <w:tcPr>
            <w:tcW w:w="7380" w:type="dxa"/>
            <w:tcBorders>
              <w:top w:val="single" w:sz="4" w:space="0" w:color="auto"/>
              <w:left w:val="single" w:sz="4" w:space="0" w:color="auto"/>
              <w:bottom w:val="single" w:sz="4" w:space="0" w:color="auto"/>
              <w:right w:val="single" w:sz="4" w:space="0" w:color="auto"/>
            </w:tcBorders>
          </w:tcPr>
          <w:p w14:paraId="13B08752" w14:textId="77777777" w:rsidR="00157AAA" w:rsidRDefault="006C1BE5" w:rsidP="001136D3">
            <w:pPr>
              <w:spacing w:after="0"/>
              <w:rPr>
                <w:szCs w:val="24"/>
              </w:rPr>
            </w:pPr>
            <w:r>
              <w:rPr>
                <w:szCs w:val="24"/>
              </w:rPr>
              <w:t xml:space="preserve">The CDWMS shall provide functionality to publish different types of content that includes </w:t>
            </w:r>
            <w:proofErr w:type="spellStart"/>
            <w:r>
              <w:rPr>
                <w:szCs w:val="24"/>
              </w:rPr>
              <w:t>eForms</w:t>
            </w:r>
            <w:proofErr w:type="spellEnd"/>
            <w:r>
              <w:rPr>
                <w:szCs w:val="24"/>
              </w:rPr>
              <w:t xml:space="preserve">, documents, </w:t>
            </w:r>
            <w:proofErr w:type="gramStart"/>
            <w:r>
              <w:rPr>
                <w:szCs w:val="24"/>
              </w:rPr>
              <w:t>media</w:t>
            </w:r>
            <w:proofErr w:type="gramEnd"/>
            <w:r>
              <w:rPr>
                <w:szCs w:val="24"/>
              </w:rPr>
              <w:t xml:space="preserve"> and other rich web content.</w:t>
            </w:r>
          </w:p>
        </w:tc>
      </w:tr>
      <w:tr w:rsidR="00157AAA" w14:paraId="5AEC14AB" w14:textId="77777777" w:rsidTr="001136D3">
        <w:tc>
          <w:tcPr>
            <w:tcW w:w="1435" w:type="dxa"/>
            <w:tcBorders>
              <w:right w:val="single" w:sz="4" w:space="0" w:color="auto"/>
            </w:tcBorders>
            <w:vAlign w:val="bottom"/>
          </w:tcPr>
          <w:p w14:paraId="2E8761A4" w14:textId="77777777" w:rsidR="00157AAA" w:rsidRDefault="006C1BE5" w:rsidP="001136D3">
            <w:pPr>
              <w:spacing w:after="0"/>
              <w:ind w:left="738" w:right="-14" w:hanging="738"/>
              <w:jc w:val="left"/>
              <w:rPr>
                <w:szCs w:val="24"/>
              </w:rPr>
            </w:pPr>
            <w:r>
              <w:rPr>
                <w:szCs w:val="24"/>
              </w:rPr>
              <w:t>FR194</w:t>
            </w:r>
          </w:p>
        </w:tc>
        <w:tc>
          <w:tcPr>
            <w:tcW w:w="7380" w:type="dxa"/>
            <w:tcBorders>
              <w:top w:val="single" w:sz="4" w:space="0" w:color="auto"/>
              <w:left w:val="single" w:sz="4" w:space="0" w:color="auto"/>
              <w:bottom w:val="single" w:sz="4" w:space="0" w:color="auto"/>
              <w:right w:val="single" w:sz="4" w:space="0" w:color="auto"/>
            </w:tcBorders>
          </w:tcPr>
          <w:p w14:paraId="1AB989E7" w14:textId="77777777" w:rsidR="00157AAA" w:rsidRDefault="006C1BE5" w:rsidP="001136D3">
            <w:pPr>
              <w:spacing w:after="0"/>
              <w:rPr>
                <w:szCs w:val="24"/>
              </w:rPr>
            </w:pPr>
            <w:r>
              <w:rPr>
                <w:szCs w:val="24"/>
              </w:rPr>
              <w:t>The CDWMS must be capable to store both structured and unstructured documents and associate metadata to the stored document.</w:t>
            </w:r>
          </w:p>
        </w:tc>
      </w:tr>
      <w:tr w:rsidR="00157AAA" w14:paraId="73AC5EE8" w14:textId="77777777" w:rsidTr="001136D3">
        <w:tc>
          <w:tcPr>
            <w:tcW w:w="1435" w:type="dxa"/>
            <w:tcBorders>
              <w:right w:val="single" w:sz="4" w:space="0" w:color="auto"/>
            </w:tcBorders>
            <w:vAlign w:val="bottom"/>
          </w:tcPr>
          <w:p w14:paraId="2DE1D557" w14:textId="77777777" w:rsidR="00157AAA" w:rsidRDefault="006C1BE5" w:rsidP="001136D3">
            <w:pPr>
              <w:spacing w:after="0"/>
              <w:ind w:left="738" w:right="-14" w:hanging="738"/>
              <w:jc w:val="left"/>
              <w:rPr>
                <w:szCs w:val="24"/>
              </w:rPr>
            </w:pPr>
            <w:r>
              <w:rPr>
                <w:szCs w:val="24"/>
              </w:rPr>
              <w:t>FR195</w:t>
            </w:r>
          </w:p>
        </w:tc>
        <w:tc>
          <w:tcPr>
            <w:tcW w:w="7380" w:type="dxa"/>
            <w:tcBorders>
              <w:top w:val="single" w:sz="4" w:space="0" w:color="auto"/>
              <w:left w:val="single" w:sz="4" w:space="0" w:color="auto"/>
              <w:bottom w:val="single" w:sz="4" w:space="0" w:color="auto"/>
              <w:right w:val="single" w:sz="4" w:space="0" w:color="auto"/>
            </w:tcBorders>
          </w:tcPr>
          <w:p w14:paraId="4BC22FB0" w14:textId="77777777" w:rsidR="00157AAA" w:rsidRDefault="006C1BE5" w:rsidP="001136D3">
            <w:pPr>
              <w:spacing w:after="0"/>
              <w:rPr>
                <w:szCs w:val="24"/>
              </w:rPr>
            </w:pPr>
            <w:r>
              <w:rPr>
                <w:szCs w:val="24"/>
              </w:rPr>
              <w:t>There should no restriction regarding the format of the document to be stored; it must be possible to store text documents, films, sound recordings, pictures, etc.</w:t>
            </w:r>
          </w:p>
        </w:tc>
      </w:tr>
      <w:tr w:rsidR="00157AAA" w14:paraId="6EAF048E" w14:textId="77777777" w:rsidTr="001136D3">
        <w:tc>
          <w:tcPr>
            <w:tcW w:w="1435" w:type="dxa"/>
            <w:tcBorders>
              <w:right w:val="single" w:sz="4" w:space="0" w:color="auto"/>
            </w:tcBorders>
            <w:vAlign w:val="bottom"/>
          </w:tcPr>
          <w:p w14:paraId="36C1E0AB" w14:textId="77777777" w:rsidR="00157AAA" w:rsidRDefault="006C1BE5" w:rsidP="001136D3">
            <w:pPr>
              <w:spacing w:after="0"/>
              <w:ind w:left="738" w:right="-14" w:hanging="738"/>
              <w:jc w:val="left"/>
              <w:rPr>
                <w:szCs w:val="24"/>
              </w:rPr>
            </w:pPr>
            <w:r>
              <w:rPr>
                <w:szCs w:val="24"/>
              </w:rPr>
              <w:t>FR196</w:t>
            </w:r>
          </w:p>
        </w:tc>
        <w:tc>
          <w:tcPr>
            <w:tcW w:w="7380" w:type="dxa"/>
            <w:tcBorders>
              <w:top w:val="single" w:sz="4" w:space="0" w:color="auto"/>
              <w:left w:val="single" w:sz="4" w:space="0" w:color="auto"/>
              <w:bottom w:val="single" w:sz="4" w:space="0" w:color="auto"/>
              <w:right w:val="single" w:sz="4" w:space="0" w:color="auto"/>
            </w:tcBorders>
          </w:tcPr>
          <w:p w14:paraId="46D4D9A9" w14:textId="77777777" w:rsidR="00157AAA" w:rsidRDefault="006C1BE5" w:rsidP="001136D3">
            <w:pPr>
              <w:spacing w:after="0"/>
              <w:rPr>
                <w:szCs w:val="24"/>
              </w:rPr>
            </w:pPr>
            <w:r>
              <w:rPr>
                <w:szCs w:val="24"/>
              </w:rPr>
              <w:t>The CDWMS must be able to store and manage several versions of the same document and provide traceability of versions.</w:t>
            </w:r>
          </w:p>
        </w:tc>
      </w:tr>
      <w:tr w:rsidR="00157AAA" w14:paraId="470BBCEE" w14:textId="77777777" w:rsidTr="001136D3">
        <w:tc>
          <w:tcPr>
            <w:tcW w:w="1435" w:type="dxa"/>
            <w:tcBorders>
              <w:right w:val="single" w:sz="4" w:space="0" w:color="auto"/>
            </w:tcBorders>
            <w:vAlign w:val="bottom"/>
          </w:tcPr>
          <w:p w14:paraId="4B4EA576" w14:textId="77777777" w:rsidR="00157AAA" w:rsidRDefault="006C1BE5" w:rsidP="001136D3">
            <w:pPr>
              <w:spacing w:after="0"/>
              <w:ind w:left="738" w:right="-14" w:hanging="738"/>
              <w:jc w:val="left"/>
              <w:rPr>
                <w:szCs w:val="24"/>
              </w:rPr>
            </w:pPr>
            <w:r>
              <w:rPr>
                <w:szCs w:val="24"/>
              </w:rPr>
              <w:t>FR197</w:t>
            </w:r>
          </w:p>
        </w:tc>
        <w:tc>
          <w:tcPr>
            <w:tcW w:w="7380" w:type="dxa"/>
            <w:tcBorders>
              <w:top w:val="single" w:sz="4" w:space="0" w:color="auto"/>
              <w:left w:val="single" w:sz="4" w:space="0" w:color="auto"/>
              <w:bottom w:val="single" w:sz="4" w:space="0" w:color="auto"/>
              <w:right w:val="single" w:sz="4" w:space="0" w:color="auto"/>
            </w:tcBorders>
          </w:tcPr>
          <w:p w14:paraId="232E6CAC" w14:textId="77777777" w:rsidR="00157AAA" w:rsidRDefault="006C1BE5" w:rsidP="001136D3">
            <w:pPr>
              <w:spacing w:after="0"/>
              <w:rPr>
                <w:szCs w:val="24"/>
              </w:rPr>
            </w:pPr>
            <w:r>
              <w:rPr>
                <w:szCs w:val="24"/>
              </w:rPr>
              <w:t>The CDWMS must be capable to handle multiple user requests of the same document and optimistic locking must be supported to ensure efficiency.</w:t>
            </w:r>
          </w:p>
        </w:tc>
      </w:tr>
      <w:tr w:rsidR="00157AAA" w14:paraId="140B1C44" w14:textId="77777777" w:rsidTr="001136D3">
        <w:tc>
          <w:tcPr>
            <w:tcW w:w="1435" w:type="dxa"/>
            <w:tcBorders>
              <w:right w:val="single" w:sz="4" w:space="0" w:color="auto"/>
            </w:tcBorders>
            <w:vAlign w:val="bottom"/>
          </w:tcPr>
          <w:p w14:paraId="285BC403" w14:textId="77777777" w:rsidR="00157AAA" w:rsidRDefault="006C1BE5" w:rsidP="001136D3">
            <w:pPr>
              <w:spacing w:after="0"/>
              <w:ind w:left="738" w:right="-14" w:hanging="738"/>
              <w:jc w:val="left"/>
              <w:rPr>
                <w:szCs w:val="24"/>
              </w:rPr>
            </w:pPr>
            <w:r>
              <w:rPr>
                <w:szCs w:val="24"/>
              </w:rPr>
              <w:t>FR198</w:t>
            </w:r>
          </w:p>
        </w:tc>
        <w:tc>
          <w:tcPr>
            <w:tcW w:w="7380" w:type="dxa"/>
            <w:tcBorders>
              <w:top w:val="single" w:sz="4" w:space="0" w:color="auto"/>
              <w:left w:val="single" w:sz="4" w:space="0" w:color="auto"/>
              <w:bottom w:val="single" w:sz="4" w:space="0" w:color="auto"/>
              <w:right w:val="single" w:sz="4" w:space="0" w:color="auto"/>
            </w:tcBorders>
          </w:tcPr>
          <w:p w14:paraId="637B80DA" w14:textId="77777777" w:rsidR="00157AAA" w:rsidRDefault="006C1BE5" w:rsidP="001136D3">
            <w:pPr>
              <w:spacing w:after="0"/>
              <w:rPr>
                <w:szCs w:val="24"/>
              </w:rPr>
            </w:pPr>
            <w:r>
              <w:rPr>
                <w:szCs w:val="24"/>
              </w:rPr>
              <w:t>The CDWMS must support designing and processing of e-forms. The e-forms shall be possible to link to a workflow for processing.</w:t>
            </w:r>
          </w:p>
        </w:tc>
      </w:tr>
      <w:tr w:rsidR="00157AAA" w14:paraId="67277BA2" w14:textId="77777777" w:rsidTr="001136D3">
        <w:tc>
          <w:tcPr>
            <w:tcW w:w="1435" w:type="dxa"/>
            <w:tcBorders>
              <w:right w:val="single" w:sz="4" w:space="0" w:color="auto"/>
            </w:tcBorders>
            <w:vAlign w:val="bottom"/>
          </w:tcPr>
          <w:p w14:paraId="094813DB" w14:textId="77777777" w:rsidR="00157AAA" w:rsidRDefault="006C1BE5" w:rsidP="001136D3">
            <w:pPr>
              <w:spacing w:after="0"/>
              <w:ind w:left="738" w:right="-14" w:hanging="738"/>
              <w:jc w:val="left"/>
              <w:rPr>
                <w:szCs w:val="24"/>
              </w:rPr>
            </w:pPr>
            <w:r>
              <w:rPr>
                <w:szCs w:val="24"/>
              </w:rPr>
              <w:t>FR199</w:t>
            </w:r>
          </w:p>
        </w:tc>
        <w:tc>
          <w:tcPr>
            <w:tcW w:w="7380" w:type="dxa"/>
            <w:tcBorders>
              <w:top w:val="single" w:sz="4" w:space="0" w:color="auto"/>
              <w:left w:val="single" w:sz="4" w:space="0" w:color="auto"/>
              <w:bottom w:val="single" w:sz="4" w:space="0" w:color="auto"/>
              <w:right w:val="single" w:sz="4" w:space="0" w:color="auto"/>
            </w:tcBorders>
          </w:tcPr>
          <w:p w14:paraId="2D2E600C" w14:textId="77777777" w:rsidR="00157AAA" w:rsidRDefault="006C1BE5" w:rsidP="001136D3">
            <w:pPr>
              <w:spacing w:after="0"/>
              <w:rPr>
                <w:szCs w:val="24"/>
              </w:rPr>
            </w:pPr>
            <w:r>
              <w:rPr>
                <w:szCs w:val="24"/>
              </w:rPr>
              <w:t xml:space="preserve">It shall be possible to define a workflow for different document types enabling a pre-defined process to be executed when certain types of documents are stored, </w:t>
            </w:r>
            <w:proofErr w:type="gramStart"/>
            <w:r>
              <w:rPr>
                <w:szCs w:val="24"/>
              </w:rPr>
              <w:t>updated</w:t>
            </w:r>
            <w:proofErr w:type="gramEnd"/>
            <w:r>
              <w:rPr>
                <w:szCs w:val="24"/>
              </w:rPr>
              <w:t xml:space="preserve"> or deleted. A graphical user interface used when managing workflows should be provided.</w:t>
            </w:r>
          </w:p>
        </w:tc>
      </w:tr>
      <w:tr w:rsidR="00157AAA" w14:paraId="69CB8601" w14:textId="77777777" w:rsidTr="001136D3">
        <w:tc>
          <w:tcPr>
            <w:tcW w:w="1435" w:type="dxa"/>
            <w:tcBorders>
              <w:right w:val="single" w:sz="4" w:space="0" w:color="auto"/>
            </w:tcBorders>
            <w:vAlign w:val="bottom"/>
          </w:tcPr>
          <w:p w14:paraId="70BED66E" w14:textId="77777777" w:rsidR="00157AAA" w:rsidRDefault="006C1BE5" w:rsidP="001136D3">
            <w:pPr>
              <w:spacing w:after="0"/>
              <w:ind w:left="738" w:right="-14" w:hanging="738"/>
              <w:jc w:val="left"/>
              <w:rPr>
                <w:szCs w:val="24"/>
              </w:rPr>
            </w:pPr>
            <w:r>
              <w:rPr>
                <w:szCs w:val="24"/>
              </w:rPr>
              <w:t>FR200</w:t>
            </w:r>
          </w:p>
        </w:tc>
        <w:tc>
          <w:tcPr>
            <w:tcW w:w="7380" w:type="dxa"/>
            <w:tcBorders>
              <w:top w:val="single" w:sz="4" w:space="0" w:color="auto"/>
              <w:left w:val="single" w:sz="4" w:space="0" w:color="auto"/>
              <w:bottom w:val="single" w:sz="4" w:space="0" w:color="auto"/>
              <w:right w:val="single" w:sz="4" w:space="0" w:color="auto"/>
            </w:tcBorders>
          </w:tcPr>
          <w:p w14:paraId="64353F55" w14:textId="77777777" w:rsidR="00157AAA" w:rsidRDefault="006C1BE5" w:rsidP="001136D3">
            <w:pPr>
              <w:spacing w:after="0"/>
              <w:rPr>
                <w:szCs w:val="24"/>
              </w:rPr>
            </w:pPr>
            <w:r>
              <w:rPr>
                <w:szCs w:val="24"/>
              </w:rPr>
              <w:t>It shall be possible to define rules for the execution of the workflows.</w:t>
            </w:r>
          </w:p>
        </w:tc>
      </w:tr>
      <w:tr w:rsidR="00157AAA" w14:paraId="6DC9BD72" w14:textId="77777777" w:rsidTr="001136D3">
        <w:tc>
          <w:tcPr>
            <w:tcW w:w="1435" w:type="dxa"/>
            <w:tcBorders>
              <w:right w:val="single" w:sz="4" w:space="0" w:color="auto"/>
            </w:tcBorders>
            <w:vAlign w:val="bottom"/>
          </w:tcPr>
          <w:p w14:paraId="3FE0C44E" w14:textId="77777777" w:rsidR="00157AAA" w:rsidRDefault="006C1BE5" w:rsidP="001136D3">
            <w:pPr>
              <w:spacing w:after="0"/>
              <w:ind w:left="738" w:right="-14" w:hanging="738"/>
              <w:jc w:val="left"/>
              <w:rPr>
                <w:szCs w:val="24"/>
              </w:rPr>
            </w:pPr>
            <w:r>
              <w:rPr>
                <w:szCs w:val="24"/>
              </w:rPr>
              <w:t>FR201</w:t>
            </w:r>
          </w:p>
        </w:tc>
        <w:tc>
          <w:tcPr>
            <w:tcW w:w="7380" w:type="dxa"/>
            <w:tcBorders>
              <w:top w:val="single" w:sz="4" w:space="0" w:color="auto"/>
              <w:left w:val="single" w:sz="4" w:space="0" w:color="auto"/>
              <w:bottom w:val="single" w:sz="4" w:space="0" w:color="auto"/>
              <w:right w:val="single" w:sz="4" w:space="0" w:color="auto"/>
            </w:tcBorders>
          </w:tcPr>
          <w:p w14:paraId="2CD7CC6A" w14:textId="77777777" w:rsidR="00157AAA" w:rsidRDefault="006C1BE5" w:rsidP="001136D3">
            <w:pPr>
              <w:spacing w:after="0"/>
              <w:rPr>
                <w:szCs w:val="24"/>
              </w:rPr>
            </w:pPr>
            <w:r>
              <w:rPr>
                <w:szCs w:val="24"/>
              </w:rPr>
              <w:t>It shall be possible to perform free-text searches and searches based on metadata tags attached to the information stored in the repository. The search shall be supported using API or a user interface</w:t>
            </w:r>
          </w:p>
        </w:tc>
      </w:tr>
      <w:tr w:rsidR="00157AAA" w14:paraId="097D647F" w14:textId="77777777" w:rsidTr="001136D3">
        <w:tc>
          <w:tcPr>
            <w:tcW w:w="1435" w:type="dxa"/>
            <w:tcBorders>
              <w:right w:val="single" w:sz="4" w:space="0" w:color="auto"/>
            </w:tcBorders>
            <w:vAlign w:val="bottom"/>
          </w:tcPr>
          <w:p w14:paraId="6F75AE6E" w14:textId="77777777" w:rsidR="00157AAA" w:rsidRDefault="006C1BE5" w:rsidP="001136D3">
            <w:pPr>
              <w:spacing w:after="0"/>
              <w:ind w:left="738" w:right="-14" w:hanging="738"/>
              <w:jc w:val="left"/>
              <w:rPr>
                <w:szCs w:val="24"/>
              </w:rPr>
            </w:pPr>
            <w:r>
              <w:rPr>
                <w:szCs w:val="24"/>
              </w:rPr>
              <w:lastRenderedPageBreak/>
              <w:t>FR202</w:t>
            </w:r>
          </w:p>
        </w:tc>
        <w:tc>
          <w:tcPr>
            <w:tcW w:w="7380" w:type="dxa"/>
            <w:tcBorders>
              <w:top w:val="single" w:sz="4" w:space="0" w:color="auto"/>
              <w:left w:val="single" w:sz="4" w:space="0" w:color="auto"/>
              <w:bottom w:val="single" w:sz="4" w:space="0" w:color="auto"/>
              <w:right w:val="single" w:sz="4" w:space="0" w:color="auto"/>
            </w:tcBorders>
          </w:tcPr>
          <w:p w14:paraId="10B1A115" w14:textId="77777777" w:rsidR="00157AAA" w:rsidRDefault="006C1BE5" w:rsidP="001136D3">
            <w:pPr>
              <w:spacing w:after="0"/>
              <w:rPr>
                <w:szCs w:val="24"/>
              </w:rPr>
            </w:pPr>
            <w:r>
              <w:rPr>
                <w:szCs w:val="24"/>
              </w:rPr>
              <w:t>The CDWMS must support metadata (document attributes) to enable structured searches of documents.</w:t>
            </w:r>
          </w:p>
        </w:tc>
      </w:tr>
      <w:tr w:rsidR="00157AAA" w14:paraId="2662290F" w14:textId="77777777" w:rsidTr="001136D3">
        <w:tc>
          <w:tcPr>
            <w:tcW w:w="1435" w:type="dxa"/>
            <w:tcBorders>
              <w:right w:val="single" w:sz="4" w:space="0" w:color="auto"/>
            </w:tcBorders>
            <w:vAlign w:val="bottom"/>
          </w:tcPr>
          <w:p w14:paraId="2A8502A7" w14:textId="77777777" w:rsidR="00157AAA" w:rsidRDefault="006C1BE5" w:rsidP="001136D3">
            <w:pPr>
              <w:spacing w:after="0"/>
              <w:ind w:left="738" w:right="-14" w:hanging="738"/>
              <w:jc w:val="left"/>
              <w:rPr>
                <w:szCs w:val="24"/>
              </w:rPr>
            </w:pPr>
            <w:r>
              <w:rPr>
                <w:szCs w:val="24"/>
              </w:rPr>
              <w:t>FR203</w:t>
            </w:r>
          </w:p>
        </w:tc>
        <w:tc>
          <w:tcPr>
            <w:tcW w:w="7380" w:type="dxa"/>
            <w:tcBorders>
              <w:top w:val="single" w:sz="4" w:space="0" w:color="auto"/>
              <w:left w:val="single" w:sz="4" w:space="0" w:color="auto"/>
              <w:bottom w:val="single" w:sz="4" w:space="0" w:color="auto"/>
              <w:right w:val="single" w:sz="4" w:space="0" w:color="auto"/>
            </w:tcBorders>
          </w:tcPr>
          <w:p w14:paraId="4BC38214" w14:textId="77777777" w:rsidR="00157AAA" w:rsidRDefault="006C1BE5" w:rsidP="001136D3">
            <w:pPr>
              <w:spacing w:after="0"/>
              <w:rPr>
                <w:szCs w:val="24"/>
              </w:rPr>
            </w:pPr>
            <w:r>
              <w:rPr>
                <w:szCs w:val="24"/>
              </w:rPr>
              <w:t>There should be no restriction in number of, size of and types of metadata to be associated to the stored documents.</w:t>
            </w:r>
          </w:p>
        </w:tc>
      </w:tr>
    </w:tbl>
    <w:p w14:paraId="1ECDFE97" w14:textId="77777777" w:rsidR="00157AAA" w:rsidRDefault="00157AAA">
      <w:pPr>
        <w:ind w:left="720" w:firstLine="720"/>
      </w:pPr>
    </w:p>
    <w:p w14:paraId="5FACAE09" w14:textId="5C9A8DAD" w:rsidR="00157AAA" w:rsidRPr="00EF70F1" w:rsidRDefault="006C1BE5" w:rsidP="005E6A97">
      <w:r w:rsidRPr="008E2AAD">
        <w:rPr>
          <w:b/>
        </w:rPr>
        <w:t xml:space="preserve">1.2.12. </w:t>
      </w:r>
      <w:r w:rsidR="009F3156" w:rsidRPr="008E2AAD">
        <w:rPr>
          <w:b/>
        </w:rPr>
        <w:t>LPCO</w:t>
      </w:r>
      <w:r w:rsidRPr="008E2AAD">
        <w:rPr>
          <w:b/>
        </w:rPr>
        <w:t xml:space="preserve"> Workflow Management</w:t>
      </w:r>
    </w:p>
    <w:p w14:paraId="7E9D7E89" w14:textId="1450D9D5" w:rsidR="00157AAA" w:rsidRDefault="006C1BE5" w:rsidP="005E6A97">
      <w:pPr>
        <w:spacing w:after="0"/>
      </w:pPr>
      <w:r>
        <w:t xml:space="preserve">The </w:t>
      </w:r>
      <w:r w:rsidR="009F3156">
        <w:t>LPCO</w:t>
      </w:r>
      <w:r>
        <w:t xml:space="preserve"> Workflow Management is a key component within the NSW. Workflow management is creating and optimizing the paths for data </w:t>
      </w:r>
      <w:proofErr w:type="gramStart"/>
      <w:r>
        <w:t>in order to</w:t>
      </w:r>
      <w:proofErr w:type="gramEnd"/>
      <w:r>
        <w:t xml:space="preserve"> complete tasks in a defined process. It will provide automation of the processes and be able to measure the performance of the process.</w:t>
      </w:r>
    </w:p>
    <w:p w14:paraId="7B0C43DA" w14:textId="77777777" w:rsidR="00157AAA" w:rsidRDefault="006C1BE5" w:rsidP="005E6A97">
      <w:pPr>
        <w:spacing w:after="0"/>
        <w:rPr>
          <w:lang w:val="mk-MK"/>
        </w:rPr>
      </w:pPr>
      <w:r>
        <w:rPr>
          <w:lang w:val="en-GB"/>
        </w:rPr>
        <w:t xml:space="preserve">The system shall provide easy and intuitive facilities to define and adjust workflows for processing within and across concerned CBRAs for a particular trade transaction. </w:t>
      </w:r>
    </w:p>
    <w:p w14:paraId="20940C97" w14:textId="77777777" w:rsidR="00157AAA" w:rsidRDefault="006C1BE5" w:rsidP="005E6A97">
      <w:pPr>
        <w:spacing w:after="0"/>
        <w:rPr>
          <w:lang w:val="en-GB"/>
        </w:rPr>
      </w:pPr>
      <w:r>
        <w:rPr>
          <w:lang w:val="en-GB"/>
        </w:rPr>
        <w:t>For example, some goods require LPCOs from more than one CBRA; in this case the NSW must control sequencing of delivery of LPCO applications to the concerned agencies in addition to the workflow for processing LPCOs within each CBRA.</w:t>
      </w:r>
    </w:p>
    <w:p w14:paraId="6AB3C336" w14:textId="77777777" w:rsidR="00157AAA" w:rsidRDefault="006C1BE5" w:rsidP="005E6A97">
      <w:pPr>
        <w:spacing w:after="0"/>
        <w:rPr>
          <w:lang w:val="en-GB"/>
        </w:rPr>
      </w:pPr>
      <w:r>
        <w:rPr>
          <w:lang w:val="en-GB"/>
        </w:rPr>
        <w:t>It is preferred that the workflow definition process uses a graphical tool to identify the process steps, decision points, any parallelism, and sequencing.</w:t>
      </w:r>
    </w:p>
    <w:p w14:paraId="0D54DDF7" w14:textId="77777777" w:rsidR="00157AAA" w:rsidRDefault="006C1BE5" w:rsidP="005E6A97">
      <w:pPr>
        <w:spacing w:after="0"/>
        <w:rPr>
          <w:lang w:val="en-GB"/>
        </w:rPr>
      </w:pPr>
      <w:r>
        <w:rPr>
          <w:lang w:val="en-GB"/>
        </w:rPr>
        <w:t>It is required that the workflow so defined is used at run-time to steer the process.</w:t>
      </w:r>
    </w:p>
    <w:p w14:paraId="0BD3FD10" w14:textId="77777777" w:rsidR="00157AAA" w:rsidRDefault="006C1BE5" w:rsidP="005E6A97">
      <w:pPr>
        <w:spacing w:after="0"/>
        <w:rPr>
          <w:lang w:val="en-GB"/>
        </w:rPr>
      </w:pPr>
      <w:r>
        <w:rPr>
          <w:lang w:val="en-GB"/>
        </w:rPr>
        <w:t>It is required that workflow definitions are put under a version control scheme with a status.  Old versions are retained and shown as decommissioned, and new versions proceed through the usual testing and deployment statuses.</w:t>
      </w:r>
    </w:p>
    <w:p w14:paraId="5EA0085B" w14:textId="77777777" w:rsidR="00157AAA" w:rsidRDefault="006C1BE5" w:rsidP="005E6A97">
      <w:pPr>
        <w:spacing w:after="0"/>
        <w:rPr>
          <w:lang w:val="en-GB"/>
        </w:rPr>
      </w:pPr>
      <w:r>
        <w:rPr>
          <w:lang w:val="en-GB"/>
        </w:rPr>
        <w:t>The NSW must support configurable workflow, such that the CBRA System Administrator can reconfigure and redeploy the workflow definition for handling an application or submission. The configurable workflow must include but not limited to:</w:t>
      </w:r>
    </w:p>
    <w:p w14:paraId="3C6D7814" w14:textId="77777777" w:rsidR="00157AAA" w:rsidRDefault="006C1BE5" w:rsidP="00D530D5">
      <w:pPr>
        <w:pStyle w:val="ListParagraph"/>
        <w:numPr>
          <w:ilvl w:val="0"/>
          <w:numId w:val="150"/>
        </w:numPr>
        <w:spacing w:after="0"/>
        <w:rPr>
          <w:lang w:val="en-GB"/>
        </w:rPr>
      </w:pPr>
      <w:r>
        <w:rPr>
          <w:lang w:val="en-GB"/>
        </w:rPr>
        <w:t xml:space="preserve">Transformation and routing of a submission to multiple </w:t>
      </w:r>
      <w:proofErr w:type="gramStart"/>
      <w:r>
        <w:rPr>
          <w:lang w:val="en-GB"/>
        </w:rPr>
        <w:t>agencies;</w:t>
      </w:r>
      <w:proofErr w:type="gramEnd"/>
    </w:p>
    <w:p w14:paraId="4EA47C1E" w14:textId="77777777" w:rsidR="00157AAA" w:rsidRDefault="006C1BE5" w:rsidP="00D530D5">
      <w:pPr>
        <w:pStyle w:val="ListParagraph"/>
        <w:numPr>
          <w:ilvl w:val="0"/>
          <w:numId w:val="150"/>
        </w:numPr>
        <w:spacing w:after="0"/>
        <w:rPr>
          <w:lang w:val="en-GB"/>
        </w:rPr>
      </w:pPr>
      <w:r>
        <w:rPr>
          <w:lang w:val="en-GB"/>
        </w:rPr>
        <w:t xml:space="preserve">Manage the application process of </w:t>
      </w:r>
      <w:proofErr w:type="gramStart"/>
      <w:r>
        <w:rPr>
          <w:lang w:val="en-GB"/>
        </w:rPr>
        <w:t>LPCO</w:t>
      </w:r>
      <w:proofErr w:type="gramEnd"/>
    </w:p>
    <w:p w14:paraId="173A7779" w14:textId="77777777" w:rsidR="00157AAA" w:rsidRDefault="006C1BE5" w:rsidP="00D530D5">
      <w:pPr>
        <w:pStyle w:val="ListParagraph"/>
        <w:numPr>
          <w:ilvl w:val="0"/>
          <w:numId w:val="150"/>
        </w:numPr>
        <w:spacing w:after="0"/>
        <w:rPr>
          <w:lang w:val="en-GB"/>
        </w:rPr>
      </w:pPr>
      <w:r>
        <w:rPr>
          <w:lang w:val="en-GB"/>
        </w:rPr>
        <w:t xml:space="preserve">Approve an application for </w:t>
      </w:r>
      <w:proofErr w:type="gramStart"/>
      <w:r>
        <w:rPr>
          <w:lang w:val="en-GB"/>
        </w:rPr>
        <w:t>LPCO</w:t>
      </w:r>
      <w:proofErr w:type="gramEnd"/>
    </w:p>
    <w:p w14:paraId="39061800" w14:textId="77777777" w:rsidR="00157AAA" w:rsidRDefault="006C1BE5" w:rsidP="00D530D5">
      <w:pPr>
        <w:pStyle w:val="ListParagraph"/>
        <w:numPr>
          <w:ilvl w:val="0"/>
          <w:numId w:val="150"/>
        </w:numPr>
        <w:spacing w:after="0"/>
        <w:rPr>
          <w:lang w:val="en-GB"/>
        </w:rPr>
      </w:pPr>
      <w:r>
        <w:rPr>
          <w:lang w:val="en-GB"/>
        </w:rPr>
        <w:t xml:space="preserve">Filtering (limiting) or transforming the data to only that which an agency is permitted to </w:t>
      </w:r>
      <w:proofErr w:type="gramStart"/>
      <w:r>
        <w:rPr>
          <w:lang w:val="en-GB"/>
        </w:rPr>
        <w:t>see;</w:t>
      </w:r>
      <w:proofErr w:type="gramEnd"/>
    </w:p>
    <w:p w14:paraId="39D396EF" w14:textId="77777777" w:rsidR="00157AAA" w:rsidRDefault="006C1BE5" w:rsidP="00D530D5">
      <w:pPr>
        <w:pStyle w:val="ListParagraph"/>
        <w:numPr>
          <w:ilvl w:val="0"/>
          <w:numId w:val="150"/>
        </w:numPr>
        <w:spacing w:after="0"/>
        <w:rPr>
          <w:lang w:val="en-GB"/>
        </w:rPr>
      </w:pPr>
      <w:r>
        <w:rPr>
          <w:lang w:val="en-GB"/>
        </w:rPr>
        <w:t>Routing of a response or update to multiple recipients as follows:</w:t>
      </w:r>
    </w:p>
    <w:p w14:paraId="05522DFD" w14:textId="77777777" w:rsidR="00157AAA" w:rsidRDefault="006C1BE5" w:rsidP="005E6A97">
      <w:pPr>
        <w:spacing w:after="0"/>
        <w:ind w:left="720"/>
        <w:rPr>
          <w:lang w:val="en-GB"/>
        </w:rPr>
      </w:pPr>
      <w:r>
        <w:rPr>
          <w:lang w:val="en-GB"/>
        </w:rPr>
        <w:t>a)</w:t>
      </w:r>
      <w:r>
        <w:rPr>
          <w:lang w:val="en-GB"/>
        </w:rPr>
        <w:tab/>
        <w:t xml:space="preserve">Routing that depends on submission or LPCO </w:t>
      </w:r>
      <w:proofErr w:type="gramStart"/>
      <w:r>
        <w:rPr>
          <w:lang w:val="en-GB"/>
        </w:rPr>
        <w:t>type;</w:t>
      </w:r>
      <w:proofErr w:type="gramEnd"/>
    </w:p>
    <w:p w14:paraId="3CBAEA3F" w14:textId="77777777" w:rsidR="00157AAA" w:rsidRDefault="006C1BE5" w:rsidP="005E6A97">
      <w:pPr>
        <w:spacing w:after="0"/>
        <w:ind w:left="720"/>
        <w:rPr>
          <w:lang w:val="en-GB"/>
        </w:rPr>
      </w:pPr>
      <w:r>
        <w:rPr>
          <w:lang w:val="en-GB"/>
        </w:rPr>
        <w:t>b)</w:t>
      </w:r>
      <w:r>
        <w:rPr>
          <w:lang w:val="en-GB"/>
        </w:rPr>
        <w:tab/>
        <w:t xml:space="preserve">Routing that depends on the contents of one or more elements in the message as defined by content-driven routing rules (e.g. procedure codes)/ service request </w:t>
      </w:r>
      <w:proofErr w:type="gramStart"/>
      <w:r>
        <w:rPr>
          <w:lang w:val="en-GB"/>
        </w:rPr>
        <w:t>codes;</w:t>
      </w:r>
      <w:proofErr w:type="gramEnd"/>
    </w:p>
    <w:p w14:paraId="69B95A96" w14:textId="77777777" w:rsidR="00157AAA" w:rsidRDefault="006C1BE5" w:rsidP="005E6A97">
      <w:pPr>
        <w:spacing w:after="0"/>
        <w:ind w:left="720"/>
        <w:rPr>
          <w:lang w:val="en-GB"/>
        </w:rPr>
      </w:pPr>
      <w:r>
        <w:rPr>
          <w:lang w:val="en-GB"/>
        </w:rPr>
        <w:t>c)</w:t>
      </w:r>
      <w:r>
        <w:rPr>
          <w:lang w:val="en-GB"/>
        </w:rPr>
        <w:tab/>
        <w:t>Routing that depends on risk assessment where profiles or alerts indicate a message needs to be routed to a specified recipient; and</w:t>
      </w:r>
    </w:p>
    <w:p w14:paraId="06D51552" w14:textId="77777777" w:rsidR="00157AAA" w:rsidRDefault="006C1BE5" w:rsidP="005E6A97">
      <w:pPr>
        <w:spacing w:after="0"/>
        <w:ind w:left="720"/>
        <w:rPr>
          <w:lang w:val="en-GB"/>
        </w:rPr>
      </w:pPr>
      <w:r>
        <w:rPr>
          <w:lang w:val="en-GB"/>
        </w:rPr>
        <w:t>d)</w:t>
      </w:r>
      <w:r>
        <w:rPr>
          <w:lang w:val="en-GB"/>
        </w:rPr>
        <w:tab/>
        <w:t>Routing that depends on the status updates or results of a previous stage in the processing.</w:t>
      </w:r>
    </w:p>
    <w:p w14:paraId="68E5E98B" w14:textId="77777777" w:rsidR="00157AAA" w:rsidRDefault="006C1BE5" w:rsidP="005E6A97">
      <w:pPr>
        <w:spacing w:after="0"/>
        <w:ind w:firstLine="720"/>
        <w:jc w:val="left"/>
      </w:pPr>
      <w:r>
        <w:t>Key functionalities include:</w:t>
      </w:r>
    </w:p>
    <w:p w14:paraId="573D5847" w14:textId="77777777" w:rsidR="00157AAA" w:rsidRDefault="006C1BE5" w:rsidP="00D530D5">
      <w:pPr>
        <w:pStyle w:val="ListParagraph"/>
        <w:numPr>
          <w:ilvl w:val="6"/>
          <w:numId w:val="77"/>
        </w:numPr>
        <w:spacing w:after="0"/>
        <w:ind w:left="1890" w:hanging="450"/>
      </w:pPr>
      <w:r>
        <w:t xml:space="preserve">Agile process management – enabling flexible changes to the </w:t>
      </w:r>
      <w:proofErr w:type="gramStart"/>
      <w:r>
        <w:t>process;</w:t>
      </w:r>
      <w:proofErr w:type="gramEnd"/>
    </w:p>
    <w:p w14:paraId="67709360" w14:textId="77777777" w:rsidR="00157AAA" w:rsidRDefault="006C1BE5" w:rsidP="00D530D5">
      <w:pPr>
        <w:pStyle w:val="ListParagraph"/>
        <w:numPr>
          <w:ilvl w:val="0"/>
          <w:numId w:val="77"/>
        </w:numPr>
        <w:spacing w:after="0"/>
        <w:ind w:left="1890" w:hanging="450"/>
      </w:pPr>
      <w:r>
        <w:t xml:space="preserve">Approval workflows – approval is an integral part of the NSW </w:t>
      </w:r>
      <w:proofErr w:type="gramStart"/>
      <w:r>
        <w:t>processes;</w:t>
      </w:r>
      <w:proofErr w:type="gramEnd"/>
    </w:p>
    <w:p w14:paraId="64D2C62E" w14:textId="77777777" w:rsidR="00157AAA" w:rsidRDefault="006C1BE5" w:rsidP="00D530D5">
      <w:pPr>
        <w:pStyle w:val="ListParagraph"/>
        <w:numPr>
          <w:ilvl w:val="0"/>
          <w:numId w:val="77"/>
        </w:numPr>
        <w:spacing w:after="0"/>
        <w:ind w:left="1890" w:hanging="450"/>
      </w:pPr>
      <w:r>
        <w:t xml:space="preserve">Automatic tasks assignments – automatic assignment to users, groups, and departments based on </w:t>
      </w:r>
      <w:proofErr w:type="gramStart"/>
      <w:r>
        <w:t>rules;</w:t>
      </w:r>
      <w:proofErr w:type="gramEnd"/>
    </w:p>
    <w:p w14:paraId="0509B9AB" w14:textId="77777777" w:rsidR="00157AAA" w:rsidRDefault="006C1BE5" w:rsidP="00D530D5">
      <w:pPr>
        <w:pStyle w:val="ListParagraph"/>
        <w:numPr>
          <w:ilvl w:val="0"/>
          <w:numId w:val="77"/>
        </w:numPr>
        <w:spacing w:after="0"/>
        <w:ind w:left="1890" w:hanging="450"/>
      </w:pPr>
      <w:r>
        <w:lastRenderedPageBreak/>
        <w:t xml:space="preserve">Automatic SLAs (due dates) – monitoring of agreed NSW </w:t>
      </w:r>
      <w:proofErr w:type="gramStart"/>
      <w:r>
        <w:t>SLAs;</w:t>
      </w:r>
      <w:proofErr w:type="gramEnd"/>
    </w:p>
    <w:p w14:paraId="61247843" w14:textId="77777777" w:rsidR="00157AAA" w:rsidRDefault="006C1BE5" w:rsidP="00D530D5">
      <w:pPr>
        <w:pStyle w:val="ListParagraph"/>
        <w:numPr>
          <w:ilvl w:val="0"/>
          <w:numId w:val="77"/>
        </w:numPr>
        <w:spacing w:after="0"/>
        <w:ind w:left="1890" w:hanging="450"/>
      </w:pPr>
      <w:r>
        <w:t xml:space="preserve">Forms and tables – enabling data to be part of the </w:t>
      </w:r>
      <w:proofErr w:type="gramStart"/>
      <w:r>
        <w:t>process;</w:t>
      </w:r>
      <w:proofErr w:type="gramEnd"/>
    </w:p>
    <w:p w14:paraId="4F268372" w14:textId="77777777" w:rsidR="00157AAA" w:rsidRDefault="006C1BE5" w:rsidP="00D530D5">
      <w:pPr>
        <w:pStyle w:val="ListParagraph"/>
        <w:numPr>
          <w:ilvl w:val="0"/>
          <w:numId w:val="77"/>
        </w:numPr>
        <w:spacing w:after="0"/>
        <w:ind w:left="1890" w:hanging="450"/>
      </w:pPr>
      <w:r>
        <w:t xml:space="preserve">Team communications – the users shall be able to comment and attach files to the </w:t>
      </w:r>
      <w:proofErr w:type="gramStart"/>
      <w:r>
        <w:t>process;</w:t>
      </w:r>
      <w:proofErr w:type="gramEnd"/>
    </w:p>
    <w:p w14:paraId="138D95D7" w14:textId="77777777" w:rsidR="00157AAA" w:rsidRDefault="006C1BE5" w:rsidP="00D530D5">
      <w:pPr>
        <w:pStyle w:val="ListParagraph"/>
        <w:numPr>
          <w:ilvl w:val="0"/>
          <w:numId w:val="77"/>
        </w:numPr>
        <w:spacing w:after="0"/>
        <w:ind w:left="1890" w:hanging="450"/>
      </w:pPr>
      <w:r>
        <w:t xml:space="preserve">Security and access control – it shall be possible to implement various levels of access </w:t>
      </w:r>
      <w:proofErr w:type="gramStart"/>
      <w:r>
        <w:t>controls;</w:t>
      </w:r>
      <w:proofErr w:type="gramEnd"/>
    </w:p>
    <w:p w14:paraId="39BA2263" w14:textId="77777777" w:rsidR="00157AAA" w:rsidRDefault="006C1BE5" w:rsidP="00D530D5">
      <w:pPr>
        <w:pStyle w:val="ListParagraph"/>
        <w:numPr>
          <w:ilvl w:val="0"/>
          <w:numId w:val="77"/>
        </w:numPr>
        <w:spacing w:after="0"/>
        <w:ind w:left="1890" w:hanging="450"/>
      </w:pPr>
      <w:r>
        <w:t>Reports – Key Performance Indicator (KPI) reports and reports for auditing and traceability is presented using dashboards; and</w:t>
      </w:r>
    </w:p>
    <w:p w14:paraId="34C5FC2B" w14:textId="77777777" w:rsidR="00157AAA" w:rsidRDefault="006C1BE5" w:rsidP="00D530D5">
      <w:pPr>
        <w:pStyle w:val="ListParagraph"/>
        <w:numPr>
          <w:ilvl w:val="0"/>
          <w:numId w:val="77"/>
        </w:numPr>
        <w:spacing w:after="0"/>
        <w:ind w:left="1890" w:hanging="450"/>
      </w:pPr>
      <w:r>
        <w:t>Integrations – the workflow management is integrated through the integration management with other components such as the document management for storage of documents.</w:t>
      </w:r>
    </w:p>
    <w:p w14:paraId="2A67CD0C" w14:textId="358ED942" w:rsidR="00157AAA" w:rsidRPr="008E2AAD" w:rsidRDefault="006C1BE5" w:rsidP="00D530D5">
      <w:pPr>
        <w:pStyle w:val="ListParagraph"/>
        <w:numPr>
          <w:ilvl w:val="0"/>
          <w:numId w:val="77"/>
        </w:numPr>
        <w:spacing w:after="0"/>
        <w:ind w:left="1890" w:hanging="450"/>
        <w:rPr>
          <w:lang w:val="mk-MK"/>
        </w:rPr>
      </w:pPr>
      <w:r>
        <w:t xml:space="preserve">Workflow templates - By leveraging predefined templates, organizations should achieve greater efficiency and consistency in their operations. These templates serve as standardized workflows that can be utilized repeatedly, saving time and effort for teams involved in similar tasks. </w:t>
      </w:r>
    </w:p>
    <w:p w14:paraId="41DCB34F" w14:textId="77777777" w:rsidR="004034D7" w:rsidRDefault="004034D7" w:rsidP="008E2AAD">
      <w:pPr>
        <w:jc w:val="left"/>
        <w:rPr>
          <w:b/>
          <w:bCs/>
          <w:i/>
          <w:szCs w:val="24"/>
          <w:highlight w:val="yellow"/>
        </w:rPr>
      </w:pPr>
    </w:p>
    <w:p w14:paraId="521B2AEC" w14:textId="300F67F4" w:rsidR="004034D7" w:rsidRPr="008E2AAD" w:rsidRDefault="004034D7" w:rsidP="005E6A97">
      <w:pPr>
        <w:ind w:left="720" w:firstLine="720"/>
        <w:jc w:val="left"/>
        <w:rPr>
          <w:b/>
          <w:bCs/>
          <w:szCs w:val="24"/>
        </w:rPr>
      </w:pPr>
      <w:r w:rsidRPr="008E2AAD">
        <w:rPr>
          <w:b/>
          <w:bCs/>
          <w:szCs w:val="24"/>
        </w:rPr>
        <w:t>1.2.1</w:t>
      </w:r>
      <w:r w:rsidR="004E28DF" w:rsidRPr="008E2AAD">
        <w:rPr>
          <w:b/>
          <w:bCs/>
          <w:szCs w:val="24"/>
        </w:rPr>
        <w:t>2</w:t>
      </w:r>
      <w:r w:rsidRPr="008E2AAD">
        <w:rPr>
          <w:b/>
          <w:bCs/>
          <w:szCs w:val="24"/>
        </w:rPr>
        <w:t>.</w:t>
      </w:r>
      <w:r w:rsidR="004E28DF" w:rsidRPr="008E2AAD">
        <w:rPr>
          <w:b/>
          <w:bCs/>
          <w:szCs w:val="24"/>
        </w:rPr>
        <w:t>1</w:t>
      </w:r>
      <w:r w:rsidRPr="008E2AAD">
        <w:rPr>
          <w:b/>
          <w:bCs/>
          <w:szCs w:val="24"/>
        </w:rPr>
        <w:t>. Digital Signing and validation of signature</w:t>
      </w:r>
    </w:p>
    <w:p w14:paraId="60AFE9CF" w14:textId="35A3ADA9" w:rsidR="004034D7" w:rsidRPr="004034D7" w:rsidRDefault="004034D7" w:rsidP="008E2AAD">
      <w:pPr>
        <w:ind w:left="1440"/>
        <w:rPr>
          <w:lang w:val="mk-MK"/>
        </w:rPr>
      </w:pPr>
      <w:r>
        <w:rPr>
          <w:bCs/>
          <w:szCs w:val="24"/>
        </w:rPr>
        <w:t xml:space="preserve">The Digitals Signing and validation of signature </w:t>
      </w:r>
      <w:r w:rsidRPr="00277094">
        <w:rPr>
          <w:bCs/>
          <w:szCs w:val="24"/>
        </w:rPr>
        <w:t>should provide inbuilt support for digital signature and Public Key Infrastructure (PKI) based on industry standards, such as X509 v3</w:t>
      </w:r>
      <w:r w:rsidR="004E28DF">
        <w:rPr>
          <w:bCs/>
          <w:szCs w:val="24"/>
        </w:rPr>
        <w:t>.</w:t>
      </w:r>
    </w:p>
    <w:p w14:paraId="6B320D83" w14:textId="77777777" w:rsidR="00157AAA" w:rsidRDefault="00157AAA">
      <w:pPr>
        <w:pStyle w:val="ListParagraph"/>
        <w:ind w:left="3555"/>
      </w:pPr>
    </w:p>
    <w:p w14:paraId="7A3D57B8" w14:textId="555BEFB8" w:rsidR="00157AAA" w:rsidRDefault="006C1BE5" w:rsidP="008E2AAD">
      <w:r>
        <w:t xml:space="preserve">The </w:t>
      </w:r>
      <w:r w:rsidR="008B0783">
        <w:t xml:space="preserve">LPCO workflow Management </w:t>
      </w:r>
      <w:r w:rsidR="00BF3FDF">
        <w:t xml:space="preserve">will </w:t>
      </w:r>
      <w:r>
        <w:t>automate the following processes:</w:t>
      </w:r>
    </w:p>
    <w:p w14:paraId="466713E4" w14:textId="7C295E93" w:rsidR="00F834EF" w:rsidRDefault="00F834EF" w:rsidP="00D530D5">
      <w:pPr>
        <w:pStyle w:val="ListParagraph"/>
        <w:numPr>
          <w:ilvl w:val="0"/>
          <w:numId w:val="166"/>
        </w:numPr>
      </w:pPr>
      <w:r w:rsidRPr="00F834EF">
        <w:t>Process the Application by the CBRA and Issuance of a Certificate</w:t>
      </w:r>
    </w:p>
    <w:p w14:paraId="027A1659" w14:textId="77777777" w:rsidR="00F834EF" w:rsidRDefault="00F834EF" w:rsidP="00D530D5">
      <w:pPr>
        <w:pStyle w:val="ListParagraph"/>
        <w:numPr>
          <w:ilvl w:val="0"/>
          <w:numId w:val="166"/>
        </w:numPr>
      </w:pPr>
      <w:r>
        <w:t>Annulment of License, Permit, Certificate, and Other (LPCO)</w:t>
      </w:r>
    </w:p>
    <w:p w14:paraId="20B816CC" w14:textId="77777777" w:rsidR="00F834EF" w:rsidRDefault="00F834EF" w:rsidP="00D530D5">
      <w:pPr>
        <w:pStyle w:val="ListParagraph"/>
        <w:numPr>
          <w:ilvl w:val="0"/>
          <w:numId w:val="166"/>
        </w:numPr>
      </w:pPr>
      <w:r>
        <w:t>Withdrawal of Application</w:t>
      </w:r>
    </w:p>
    <w:p w14:paraId="514F4802" w14:textId="77777777" w:rsidR="00F834EF" w:rsidRDefault="00F834EF" w:rsidP="00D530D5">
      <w:pPr>
        <w:pStyle w:val="ListParagraph"/>
        <w:numPr>
          <w:ilvl w:val="0"/>
          <w:numId w:val="166"/>
        </w:numPr>
      </w:pPr>
      <w:r>
        <w:t>Right to be Heard</w:t>
      </w:r>
    </w:p>
    <w:p w14:paraId="4B33FD31" w14:textId="698A5289" w:rsidR="00F834EF" w:rsidRDefault="00F834EF" w:rsidP="00D530D5">
      <w:pPr>
        <w:pStyle w:val="ListParagraph"/>
        <w:numPr>
          <w:ilvl w:val="0"/>
          <w:numId w:val="166"/>
        </w:numPr>
      </w:pPr>
      <w:r>
        <w:t>Register information for the issued LPCO by other countries through SEED + or Traces NT</w:t>
      </w:r>
    </w:p>
    <w:p w14:paraId="273C7F90" w14:textId="78F05D15" w:rsidR="00157AAA" w:rsidRPr="008E2AAD" w:rsidRDefault="006C1BE5">
      <w:pPr>
        <w:ind w:right="-14"/>
        <w:jc w:val="left"/>
        <w:rPr>
          <w:rFonts w:eastAsia="Calibri"/>
          <w:b/>
          <w:szCs w:val="24"/>
        </w:rPr>
      </w:pPr>
      <w:r w:rsidRPr="008E2AAD">
        <w:rPr>
          <w:b/>
        </w:rPr>
        <w:t>1.2.12.</w:t>
      </w:r>
      <w:r w:rsidR="004E28DF">
        <w:rPr>
          <w:b/>
        </w:rPr>
        <w:t>2</w:t>
      </w:r>
      <w:r w:rsidRPr="008E2AAD">
        <w:rPr>
          <w:b/>
        </w:rPr>
        <w:t xml:space="preserve">. </w:t>
      </w:r>
      <w:r w:rsidRPr="008E2AAD">
        <w:rPr>
          <w:rFonts w:eastAsia="Calibri"/>
          <w:b/>
          <w:szCs w:val="24"/>
        </w:rPr>
        <w:t>Process the Application by the CBRA and Issuance of a Certificate</w:t>
      </w:r>
    </w:p>
    <w:p w14:paraId="56F674E7" w14:textId="6C6651DE" w:rsidR="00157AAA" w:rsidRDefault="00157AAA">
      <w:pPr>
        <w:ind w:right="-14"/>
        <w:jc w:val="left"/>
        <w:rPr>
          <w:rFonts w:eastAsia="Calibri"/>
          <w:b/>
          <w:i/>
          <w:szCs w:val="24"/>
        </w:rPr>
      </w:pPr>
    </w:p>
    <w:p w14:paraId="47EFA798" w14:textId="76EAE63B" w:rsidR="00157AAA" w:rsidRDefault="004E28DF">
      <w:r w:rsidRPr="004E28DF">
        <w:rPr>
          <w:noProof/>
        </w:rPr>
        <w:drawing>
          <wp:inline distT="0" distB="0" distL="0" distR="0" wp14:anchorId="7B1FFC4D" wp14:editId="761C2DCE">
            <wp:extent cx="5486400" cy="178943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86400" cy="1789430"/>
                    </a:xfrm>
                    <a:prstGeom prst="rect">
                      <a:avLst/>
                    </a:prstGeom>
                  </pic:spPr>
                </pic:pic>
              </a:graphicData>
            </a:graphic>
          </wp:inline>
        </w:drawing>
      </w:r>
      <w:r w:rsidR="00E3729B">
        <w:rPr>
          <w:noProof/>
        </w:rPr>
        <mc:AlternateContent>
          <mc:Choice Requires="wps">
            <w:drawing>
              <wp:anchor distT="0" distB="0" distL="114300" distR="114300" simplePos="0" relativeHeight="251658253" behindDoc="0" locked="0" layoutInCell="1" allowOverlap="1" wp14:anchorId="4FFD5EB7" wp14:editId="08EC93B3">
                <wp:simplePos x="0" y="0"/>
                <wp:positionH relativeFrom="column">
                  <wp:posOffset>0</wp:posOffset>
                </wp:positionH>
                <wp:positionV relativeFrom="paragraph">
                  <wp:posOffset>0</wp:posOffset>
                </wp:positionV>
                <wp:extent cx="635000" cy="635000"/>
                <wp:effectExtent l="19050" t="19050" r="12700" b="12700"/>
                <wp:wrapNone/>
                <wp:docPr id="28" name="AutoShape 4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8633F" id="AutoShape 49" o:spid="_x0000_s1026" style="position:absolute;margin-left:0;margin-top:0;width:50pt;height:50pt;z-index:251658253;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DcAqTcIgIAAEgEAAAOAAAAAAAAAAAAAAAAAC4CAABkcnMvZTJvRG9jLnhtbFBLAQIt&#10;ABQABgAIAAAAIQDrjR772AAAAAUBAAAPAAAAAAAAAAAAAAAAAHwEAABkcnMvZG93bnJldi54bWxQ&#10;SwUGAAAAAAQABADzAAAAgQUAAAAA&#10;">
                <v:stroke joinstyle="round"/>
                <o:lock v:ext="edit" selection="t"/>
              </v:rect>
            </w:pict>
          </mc:Fallback>
        </mc:AlternateContent>
      </w:r>
    </w:p>
    <w:p w14:paraId="6FB79CE2" w14:textId="3743D135" w:rsidR="00157AAA" w:rsidRDefault="004E28DF" w:rsidP="008E2AAD">
      <w:pPr>
        <w:ind w:right="-14"/>
      </w:pPr>
      <w:r>
        <w:object w:dxaOrig="1543" w:dyaOrig="995" w14:anchorId="6C148E55">
          <v:shape id="_x0000_i1035" type="#_x0000_t75" style="width:79pt;height:50.5pt" o:ole="">
            <v:imagedata r:id="rId104" o:title=""/>
          </v:shape>
          <o:OLEObject Type="Embed" ProgID="Package" ShapeID="_x0000_i1035" DrawAspect="Icon" ObjectID="_1777888268" r:id="rId105"/>
        </w:object>
      </w:r>
    </w:p>
    <w:p w14:paraId="720A8548" w14:textId="2136D437" w:rsidR="00157AAA" w:rsidRDefault="006C1BE5">
      <w:pPr>
        <w:jc w:val="center"/>
        <w:rPr>
          <w:rFonts w:eastAsia="Calibri"/>
          <w:i/>
          <w:szCs w:val="24"/>
        </w:rPr>
      </w:pPr>
      <w:r>
        <w:rPr>
          <w:i/>
          <w:szCs w:val="24"/>
        </w:rPr>
        <w:t xml:space="preserve">Figure </w:t>
      </w:r>
      <w:r w:rsidR="00394B0B">
        <w:rPr>
          <w:i/>
          <w:szCs w:val="24"/>
        </w:rPr>
        <w:t>14</w:t>
      </w:r>
      <w:r>
        <w:rPr>
          <w:i/>
          <w:szCs w:val="24"/>
        </w:rPr>
        <w:t xml:space="preserve">: Process Diagram: </w:t>
      </w:r>
      <w:r>
        <w:rPr>
          <w:rFonts w:eastAsia="Calibri"/>
          <w:i/>
          <w:szCs w:val="24"/>
        </w:rPr>
        <w:t>Process the Application by the CBRA and Issuance of a Certificate</w:t>
      </w:r>
    </w:p>
    <w:p w14:paraId="18A80CAD" w14:textId="44BD2EDA" w:rsidR="00157AAA" w:rsidRDefault="006C1BE5">
      <w:pPr>
        <w:pStyle w:val="Default"/>
        <w:jc w:val="both"/>
      </w:pPr>
      <w:r>
        <w:rPr>
          <w:rFonts w:eastAsia="Calibri"/>
          <w:b/>
          <w:i/>
        </w:rPr>
        <w:t>Process Description:</w:t>
      </w:r>
      <w:r>
        <w:rPr>
          <w:rFonts w:eastAsia="Calibri"/>
        </w:rPr>
        <w:t xml:space="preserve"> The process covers the issuing of a LPCO by New Single Window System (also covers the </w:t>
      </w:r>
      <w:r w:rsidR="00343891">
        <w:t xml:space="preserve">submission of the request using the integrated set of </w:t>
      </w:r>
      <w:proofErr w:type="gramStart"/>
      <w:r w:rsidR="00343891">
        <w:t>data</w:t>
      </w:r>
      <w:r w:rsidR="00343891" w:rsidDel="00343891">
        <w:rPr>
          <w:rFonts w:eastAsia="Calibri"/>
        </w:rPr>
        <w:t xml:space="preserve"> </w:t>
      </w:r>
      <w:r>
        <w:rPr>
          <w:rFonts w:eastAsia="Calibri"/>
        </w:rPr>
        <w:t>)</w:t>
      </w:r>
      <w:proofErr w:type="gramEnd"/>
      <w:r>
        <w:rPr>
          <w:rFonts w:eastAsia="Calibri"/>
        </w:rPr>
        <w:t xml:space="preserve">, including the receiving the issuing LPCO by other Competent Authority Licensing Systems and receiving issued LPCO by SEED+.   The process starts with </w:t>
      </w:r>
      <w:r w:rsidR="00633A13">
        <w:t>consultation of the module in TARIM for receiving the appropriate measure by tariff code ITE (TARIC)</w:t>
      </w:r>
      <w:r>
        <w:rPr>
          <w:rFonts w:eastAsia="Calibri"/>
        </w:rPr>
        <w:t xml:space="preserve"> and Economic Operator Registration and Identification (EORI) for the EO data. It continues with performing Business Validation on the Application for the LPCO, verifying the rules, conditions of the data set and documents attached to the application for </w:t>
      </w:r>
      <w:proofErr w:type="gramStart"/>
      <w:r>
        <w:rPr>
          <w:rFonts w:eastAsia="Calibri"/>
        </w:rPr>
        <w:t>LPCO</w:t>
      </w:r>
      <w:proofErr w:type="gramEnd"/>
      <w:r>
        <w:rPr>
          <w:rFonts w:eastAsia="Calibri"/>
        </w:rPr>
        <w:t xml:space="preserve"> and information received from ITE and EORI. If the business validation is not positive, a rejection message is sent to the Economic Operator, including rejection message from other Competent Authority Licensing System and resend to the Economic Operator. If the Business Validation is positive, Unique Number LPCO is allocated, and the status of the application is changed to Accepted (LPCO not issued). The Application for LPCO is sent for Risk Analysis and Risk Analysis Results </w:t>
      </w:r>
      <w:r w:rsidR="00A472C7">
        <w:rPr>
          <w:rFonts w:eastAsia="Calibri"/>
        </w:rPr>
        <w:t xml:space="preserve">are </w:t>
      </w:r>
      <w:r>
        <w:rPr>
          <w:rFonts w:eastAsia="Calibri"/>
        </w:rPr>
        <w:t xml:space="preserve">expected. The process continues with checking if controls are to be performed. If the Controls are to be performed, the system informs the Economic Operator and </w:t>
      </w:r>
      <w:proofErr w:type="gramStart"/>
      <w:r>
        <w:rPr>
          <w:rFonts w:eastAsia="Calibri"/>
        </w:rPr>
        <w:t>message</w:t>
      </w:r>
      <w:proofErr w:type="gramEnd"/>
      <w:r>
        <w:rPr>
          <w:rFonts w:eastAsia="Calibri"/>
        </w:rPr>
        <w:t xml:space="preserve"> is sent to the Inspection Control Result system to perform the controls. The controls cover, documentary, physical and sampling controls, after which results are verified. If the results are not satisfactory, a rejection message is sent to the Economic Operator and </w:t>
      </w:r>
      <w:proofErr w:type="gramStart"/>
      <w:r>
        <w:rPr>
          <w:rFonts w:eastAsia="Calibri"/>
        </w:rPr>
        <w:t>process</w:t>
      </w:r>
      <w:proofErr w:type="gramEnd"/>
      <w:r>
        <w:rPr>
          <w:rFonts w:eastAsia="Calibri"/>
        </w:rPr>
        <w:t xml:space="preserve"> ends with rejection of the application for the LPCO. If the control results are satisfactory, or no controls are needed, the process continues with calculating additional fees and charges, if </w:t>
      </w:r>
      <w:proofErr w:type="gramStart"/>
      <w:r>
        <w:rPr>
          <w:rFonts w:eastAsia="Calibri"/>
        </w:rPr>
        <w:t>are needed</w:t>
      </w:r>
      <w:proofErr w:type="gramEnd"/>
      <w:r>
        <w:rPr>
          <w:rFonts w:eastAsia="Calibri"/>
        </w:rPr>
        <w:t xml:space="preserve"> to be paid. Then the New Single Window Officer </w:t>
      </w:r>
      <w:proofErr w:type="gramStart"/>
      <w:r>
        <w:rPr>
          <w:rFonts w:eastAsia="Calibri"/>
        </w:rPr>
        <w:t>taking</w:t>
      </w:r>
      <w:proofErr w:type="gramEnd"/>
      <w:r>
        <w:rPr>
          <w:rFonts w:eastAsia="Calibri"/>
        </w:rPr>
        <w:t xml:space="preserve"> a decision for issuing a LPCO. If the decision of the NSW Officer is negative, the Rejection notification is sent to the Economic Operator. If the decision is positive, the status of the Application for LPCO is changed to issued, and LPCO is issued. If the decision is positive or if a</w:t>
      </w:r>
      <w:r w:rsidR="00A472C7">
        <w:rPr>
          <w:rFonts w:eastAsia="Calibri"/>
        </w:rPr>
        <w:t xml:space="preserve"> message that the</w:t>
      </w:r>
      <w:r>
        <w:rPr>
          <w:rFonts w:eastAsia="Calibri"/>
        </w:rPr>
        <w:t xml:space="preserve"> LPCO is issued by </w:t>
      </w:r>
      <w:proofErr w:type="gramStart"/>
      <w:r>
        <w:rPr>
          <w:rFonts w:eastAsia="Calibri"/>
        </w:rPr>
        <w:t>other</w:t>
      </w:r>
      <w:proofErr w:type="gramEnd"/>
      <w:r>
        <w:rPr>
          <w:rFonts w:eastAsia="Calibri"/>
        </w:rPr>
        <w:t xml:space="preserve"> Competent Authority Licensing System is received, the process continues with generation of the LPCO and sending the LPCO issued to the Economic Operator. The LPCO is sent to the LPCO repository and if needed to Systematic Electronic Exchange of Data (SEED+).  If LPCO issued by SEED+ is received, the information is stored in the LPCO repository.</w:t>
      </w:r>
    </w:p>
    <w:p w14:paraId="01FB0385" w14:textId="77777777" w:rsidR="00157AAA" w:rsidRDefault="00157AAA">
      <w:pPr>
        <w:spacing w:after="0"/>
      </w:pPr>
    </w:p>
    <w:p w14:paraId="15C2C169" w14:textId="77777777" w:rsidR="00157AAA" w:rsidRPr="008E2AAD" w:rsidRDefault="006C1BE5">
      <w:pPr>
        <w:jc w:val="left"/>
        <w:rPr>
          <w:b/>
        </w:rPr>
      </w:pPr>
      <w:r w:rsidRPr="008E2AAD">
        <w:rPr>
          <w:b/>
        </w:rPr>
        <w:t>Process Steps:</w:t>
      </w:r>
    </w:p>
    <w:tbl>
      <w:tblPr>
        <w:tblStyle w:val="TableGrid21"/>
        <w:tblpPr w:leftFromText="180" w:rightFromText="180" w:vertAnchor="text" w:tblpY="1"/>
        <w:tblW w:w="0" w:type="auto"/>
        <w:tblLook w:val="04A0" w:firstRow="1" w:lastRow="0" w:firstColumn="1" w:lastColumn="0" w:noHBand="0" w:noVBand="1"/>
      </w:tblPr>
      <w:tblGrid>
        <w:gridCol w:w="1525"/>
        <w:gridCol w:w="2340"/>
        <w:gridCol w:w="4765"/>
      </w:tblGrid>
      <w:tr w:rsidR="00157AAA" w14:paraId="7C3B752A" w14:textId="77777777" w:rsidTr="001136D3">
        <w:tc>
          <w:tcPr>
            <w:tcW w:w="1525" w:type="dxa"/>
            <w:tcBorders>
              <w:top w:val="single" w:sz="4" w:space="0" w:color="auto"/>
              <w:left w:val="single" w:sz="4" w:space="0" w:color="auto"/>
              <w:bottom w:val="single" w:sz="4" w:space="0" w:color="auto"/>
              <w:right w:val="single" w:sz="4" w:space="0" w:color="auto"/>
            </w:tcBorders>
            <w:shd w:val="clear" w:color="auto" w:fill="D9D9D9"/>
          </w:tcPr>
          <w:p w14:paraId="6B82A68C" w14:textId="77777777" w:rsidR="00157AAA" w:rsidRDefault="006C1BE5">
            <w:pPr>
              <w:spacing w:after="0"/>
              <w:rPr>
                <w:rFonts w:ascii="Times New Roman" w:hAnsi="Times New Roman"/>
                <w:b/>
                <w:szCs w:val="24"/>
              </w:rPr>
            </w:pPr>
            <w:r>
              <w:rPr>
                <w:rFonts w:ascii="Times New Roman" w:hAnsi="Times New Roman"/>
                <w:b/>
                <w:szCs w:val="24"/>
              </w:rPr>
              <w:t>Step</w:t>
            </w:r>
          </w:p>
        </w:tc>
        <w:tc>
          <w:tcPr>
            <w:tcW w:w="2340" w:type="dxa"/>
            <w:tcBorders>
              <w:top w:val="single" w:sz="4" w:space="0" w:color="auto"/>
              <w:left w:val="single" w:sz="4" w:space="0" w:color="auto"/>
              <w:bottom w:val="single" w:sz="4" w:space="0" w:color="auto"/>
              <w:right w:val="single" w:sz="4" w:space="0" w:color="auto"/>
            </w:tcBorders>
            <w:shd w:val="clear" w:color="auto" w:fill="D9D9D9"/>
          </w:tcPr>
          <w:p w14:paraId="0E3C2BB1" w14:textId="77777777" w:rsidR="00157AAA" w:rsidRDefault="006C1BE5" w:rsidP="001136D3">
            <w:pPr>
              <w:spacing w:after="0"/>
              <w:rPr>
                <w:rFonts w:ascii="Times New Roman" w:hAnsi="Times New Roman"/>
                <w:b/>
                <w:szCs w:val="24"/>
              </w:rPr>
            </w:pPr>
            <w:r>
              <w:rPr>
                <w:rFonts w:ascii="Times New Roman" w:hAnsi="Times New Roman"/>
                <w:b/>
                <w:szCs w:val="24"/>
              </w:rPr>
              <w:t xml:space="preserve">Name </w:t>
            </w:r>
          </w:p>
        </w:tc>
        <w:tc>
          <w:tcPr>
            <w:tcW w:w="4765" w:type="dxa"/>
            <w:tcBorders>
              <w:top w:val="single" w:sz="4" w:space="0" w:color="auto"/>
              <w:left w:val="single" w:sz="4" w:space="0" w:color="auto"/>
              <w:bottom w:val="single" w:sz="4" w:space="0" w:color="auto"/>
              <w:right w:val="single" w:sz="4" w:space="0" w:color="auto"/>
            </w:tcBorders>
            <w:shd w:val="clear" w:color="auto" w:fill="D9D9D9"/>
          </w:tcPr>
          <w:p w14:paraId="3564EF42" w14:textId="77777777" w:rsidR="00157AAA" w:rsidRDefault="006C1BE5">
            <w:pPr>
              <w:spacing w:after="0"/>
              <w:jc w:val="left"/>
              <w:rPr>
                <w:rFonts w:ascii="Times New Roman" w:hAnsi="Times New Roman"/>
                <w:b/>
                <w:szCs w:val="24"/>
              </w:rPr>
            </w:pPr>
            <w:r>
              <w:rPr>
                <w:rFonts w:ascii="Times New Roman" w:hAnsi="Times New Roman"/>
                <w:b/>
                <w:szCs w:val="24"/>
              </w:rPr>
              <w:t>Description</w:t>
            </w:r>
          </w:p>
        </w:tc>
      </w:tr>
      <w:tr w:rsidR="00157AAA" w14:paraId="7F499B0E" w14:textId="77777777" w:rsidTr="001136D3">
        <w:tc>
          <w:tcPr>
            <w:tcW w:w="1525" w:type="dxa"/>
            <w:tcBorders>
              <w:top w:val="single" w:sz="4" w:space="0" w:color="auto"/>
              <w:left w:val="single" w:sz="4" w:space="0" w:color="auto"/>
              <w:bottom w:val="single" w:sz="4" w:space="0" w:color="auto"/>
              <w:right w:val="single" w:sz="4" w:space="0" w:color="auto"/>
            </w:tcBorders>
          </w:tcPr>
          <w:p w14:paraId="100AC352" w14:textId="77777777" w:rsidR="00157AAA" w:rsidRDefault="006C1BE5">
            <w:pPr>
              <w:spacing w:after="0"/>
              <w:rPr>
                <w:rFonts w:ascii="Times New Roman" w:hAnsi="Times New Roman"/>
                <w:b/>
                <w:i/>
                <w:szCs w:val="24"/>
              </w:rPr>
            </w:pPr>
            <w:r>
              <w:rPr>
                <w:rFonts w:ascii="Times New Roman" w:hAnsi="Times New Roman"/>
                <w:szCs w:val="24"/>
              </w:rPr>
              <w:t>Start event</w:t>
            </w:r>
          </w:p>
        </w:tc>
        <w:tc>
          <w:tcPr>
            <w:tcW w:w="2340" w:type="dxa"/>
            <w:tcBorders>
              <w:top w:val="single" w:sz="4" w:space="0" w:color="auto"/>
              <w:left w:val="single" w:sz="4" w:space="0" w:color="auto"/>
              <w:bottom w:val="single" w:sz="4" w:space="0" w:color="auto"/>
              <w:right w:val="single" w:sz="4" w:space="0" w:color="auto"/>
            </w:tcBorders>
          </w:tcPr>
          <w:p w14:paraId="07F3EC65" w14:textId="77777777" w:rsidR="00157AAA" w:rsidRDefault="006C1BE5" w:rsidP="001136D3">
            <w:pPr>
              <w:spacing w:after="0"/>
              <w:rPr>
                <w:rFonts w:ascii="Times New Roman" w:hAnsi="Times New Roman"/>
                <w:szCs w:val="24"/>
              </w:rPr>
            </w:pPr>
            <w:r>
              <w:rPr>
                <w:rFonts w:ascii="Times New Roman" w:hAnsi="Times New Roman"/>
                <w:szCs w:val="24"/>
              </w:rPr>
              <w:t>Need to Process Application for LPCO and Issue a Certificate</w:t>
            </w:r>
          </w:p>
        </w:tc>
        <w:tc>
          <w:tcPr>
            <w:tcW w:w="4765" w:type="dxa"/>
            <w:tcBorders>
              <w:top w:val="single" w:sz="4" w:space="0" w:color="auto"/>
              <w:left w:val="single" w:sz="4" w:space="0" w:color="auto"/>
              <w:bottom w:val="single" w:sz="4" w:space="0" w:color="auto"/>
              <w:right w:val="single" w:sz="4" w:space="0" w:color="auto"/>
            </w:tcBorders>
          </w:tcPr>
          <w:p w14:paraId="33C09CBC" w14:textId="13659DA6" w:rsidR="00157AAA" w:rsidRDefault="006C1BE5">
            <w:pPr>
              <w:spacing w:after="0"/>
              <w:rPr>
                <w:rFonts w:ascii="Times New Roman" w:hAnsi="Times New Roman"/>
                <w:szCs w:val="24"/>
              </w:rPr>
            </w:pPr>
            <w:r>
              <w:rPr>
                <w:rFonts w:ascii="Times New Roman" w:hAnsi="Times New Roman"/>
                <w:szCs w:val="24"/>
              </w:rPr>
              <w:t>The start of the process is with the need to process the registered application for LPCO</w:t>
            </w:r>
            <w:r w:rsidR="00BF3FDF">
              <w:rPr>
                <w:rFonts w:ascii="Times New Roman" w:hAnsi="Times New Roman"/>
                <w:szCs w:val="24"/>
              </w:rPr>
              <w:t>.</w:t>
            </w:r>
          </w:p>
        </w:tc>
      </w:tr>
      <w:tr w:rsidR="00157AAA" w14:paraId="33148867" w14:textId="77777777" w:rsidTr="001136D3">
        <w:tc>
          <w:tcPr>
            <w:tcW w:w="1525" w:type="dxa"/>
            <w:tcBorders>
              <w:top w:val="single" w:sz="4" w:space="0" w:color="auto"/>
              <w:left w:val="single" w:sz="4" w:space="0" w:color="auto"/>
              <w:bottom w:val="single" w:sz="4" w:space="0" w:color="auto"/>
              <w:right w:val="single" w:sz="4" w:space="0" w:color="auto"/>
            </w:tcBorders>
          </w:tcPr>
          <w:p w14:paraId="45CE6238"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199ADB2F" w14:textId="77777777" w:rsidR="00157AAA" w:rsidRDefault="006C1BE5" w:rsidP="001136D3">
            <w:pPr>
              <w:spacing w:after="0"/>
              <w:rPr>
                <w:rFonts w:ascii="Times New Roman" w:hAnsi="Times New Roman"/>
                <w:szCs w:val="24"/>
              </w:rPr>
            </w:pPr>
            <w:r>
              <w:rPr>
                <w:rFonts w:ascii="Times New Roman" w:hAnsi="Times New Roman"/>
                <w:szCs w:val="24"/>
              </w:rPr>
              <w:t>Perform Business Validation of the Application for LPCO</w:t>
            </w:r>
          </w:p>
        </w:tc>
        <w:tc>
          <w:tcPr>
            <w:tcW w:w="4765" w:type="dxa"/>
            <w:tcBorders>
              <w:top w:val="single" w:sz="4" w:space="0" w:color="auto"/>
              <w:left w:val="single" w:sz="4" w:space="0" w:color="auto"/>
              <w:bottom w:val="single" w:sz="4" w:space="0" w:color="auto"/>
              <w:right w:val="single" w:sz="4" w:space="0" w:color="auto"/>
            </w:tcBorders>
          </w:tcPr>
          <w:p w14:paraId="64D74F92" w14:textId="77777777" w:rsidR="00157AAA" w:rsidRDefault="006C1BE5">
            <w:pPr>
              <w:spacing w:after="0"/>
              <w:rPr>
                <w:rFonts w:ascii="Times New Roman" w:hAnsi="Times New Roman"/>
                <w:szCs w:val="24"/>
              </w:rPr>
            </w:pPr>
            <w:r>
              <w:rPr>
                <w:rFonts w:ascii="Times New Roman" w:hAnsi="Times New Roman"/>
                <w:szCs w:val="24"/>
              </w:rPr>
              <w:t xml:space="preserve">The NSW performs Business validation of the application for LPCO </w:t>
            </w:r>
            <w:proofErr w:type="gramStart"/>
            <w:r>
              <w:rPr>
                <w:rFonts w:ascii="Times New Roman" w:hAnsi="Times New Roman"/>
                <w:szCs w:val="24"/>
              </w:rPr>
              <w:t>with</w:t>
            </w:r>
            <w:proofErr w:type="gramEnd"/>
            <w:r>
              <w:rPr>
                <w:rFonts w:ascii="Times New Roman" w:hAnsi="Times New Roman"/>
                <w:szCs w:val="24"/>
              </w:rPr>
              <w:t xml:space="preserve"> verifying the data of the fields if they comply with the rules and conditions, and that all documents are available </w:t>
            </w:r>
            <w:r>
              <w:rPr>
                <w:rFonts w:ascii="Times New Roman" w:hAnsi="Times New Roman"/>
                <w:szCs w:val="24"/>
              </w:rPr>
              <w:lastRenderedPageBreak/>
              <w:t>for the LPCO. Furthermore, it checks the responses from ITE and EORI.</w:t>
            </w:r>
          </w:p>
        </w:tc>
      </w:tr>
      <w:tr w:rsidR="00157AAA" w14:paraId="7B415B03" w14:textId="77777777" w:rsidTr="001136D3">
        <w:tc>
          <w:tcPr>
            <w:tcW w:w="1525" w:type="dxa"/>
            <w:tcBorders>
              <w:top w:val="single" w:sz="4" w:space="0" w:color="auto"/>
              <w:left w:val="single" w:sz="4" w:space="0" w:color="auto"/>
              <w:bottom w:val="single" w:sz="4" w:space="0" w:color="auto"/>
              <w:right w:val="single" w:sz="4" w:space="0" w:color="auto"/>
            </w:tcBorders>
          </w:tcPr>
          <w:p w14:paraId="35C1B4A1" w14:textId="77777777" w:rsidR="00157AAA" w:rsidRDefault="006C1BE5">
            <w:pPr>
              <w:spacing w:after="0"/>
              <w:rPr>
                <w:rFonts w:ascii="Times New Roman" w:hAnsi="Times New Roman"/>
                <w:szCs w:val="24"/>
              </w:rPr>
            </w:pPr>
            <w:r>
              <w:rPr>
                <w:rFonts w:ascii="Times New Roman" w:hAnsi="Times New Roman"/>
                <w:szCs w:val="24"/>
              </w:rPr>
              <w:lastRenderedPageBreak/>
              <w:t>Message event</w:t>
            </w:r>
          </w:p>
        </w:tc>
        <w:tc>
          <w:tcPr>
            <w:tcW w:w="2340" w:type="dxa"/>
            <w:tcBorders>
              <w:top w:val="single" w:sz="4" w:space="0" w:color="auto"/>
              <w:left w:val="single" w:sz="4" w:space="0" w:color="auto"/>
              <w:bottom w:val="single" w:sz="4" w:space="0" w:color="auto"/>
              <w:right w:val="single" w:sz="4" w:space="0" w:color="auto"/>
            </w:tcBorders>
          </w:tcPr>
          <w:p w14:paraId="633B5CD4" w14:textId="77777777" w:rsidR="00157AAA" w:rsidRDefault="006C1BE5" w:rsidP="001136D3">
            <w:pPr>
              <w:spacing w:after="0"/>
              <w:rPr>
                <w:rFonts w:ascii="Times New Roman" w:hAnsi="Times New Roman"/>
                <w:szCs w:val="24"/>
              </w:rPr>
            </w:pPr>
            <w:r>
              <w:rPr>
                <w:rFonts w:ascii="Times New Roman" w:hAnsi="Times New Roman"/>
                <w:szCs w:val="24"/>
              </w:rPr>
              <w:t>Notification for Application for LPCO Rejection Received</w:t>
            </w:r>
          </w:p>
        </w:tc>
        <w:tc>
          <w:tcPr>
            <w:tcW w:w="4765" w:type="dxa"/>
            <w:tcBorders>
              <w:top w:val="single" w:sz="4" w:space="0" w:color="auto"/>
              <w:left w:val="single" w:sz="4" w:space="0" w:color="auto"/>
              <w:bottom w:val="single" w:sz="4" w:space="0" w:color="auto"/>
              <w:right w:val="single" w:sz="4" w:space="0" w:color="auto"/>
            </w:tcBorders>
          </w:tcPr>
          <w:p w14:paraId="776510C5" w14:textId="77777777" w:rsidR="00157AAA" w:rsidRDefault="006C1BE5">
            <w:pPr>
              <w:spacing w:after="0"/>
              <w:rPr>
                <w:rFonts w:ascii="Times New Roman" w:hAnsi="Times New Roman"/>
                <w:szCs w:val="24"/>
              </w:rPr>
            </w:pPr>
            <w:r>
              <w:rPr>
                <w:rFonts w:ascii="Times New Roman" w:hAnsi="Times New Roman"/>
                <w:szCs w:val="24"/>
              </w:rPr>
              <w:t>From Other Competent Authority Licensing System message can be received that an application for LPCO is rejected.</w:t>
            </w:r>
          </w:p>
        </w:tc>
      </w:tr>
      <w:tr w:rsidR="00157AAA" w14:paraId="5EDB3574" w14:textId="77777777" w:rsidTr="001136D3">
        <w:tc>
          <w:tcPr>
            <w:tcW w:w="1525" w:type="dxa"/>
            <w:tcBorders>
              <w:top w:val="single" w:sz="4" w:space="0" w:color="auto"/>
              <w:left w:val="single" w:sz="4" w:space="0" w:color="auto"/>
              <w:bottom w:val="single" w:sz="4" w:space="0" w:color="auto"/>
              <w:right w:val="single" w:sz="4" w:space="0" w:color="auto"/>
            </w:tcBorders>
          </w:tcPr>
          <w:p w14:paraId="154D6F43"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56B229D7" w14:textId="77777777" w:rsidR="00157AAA" w:rsidRDefault="006C1BE5" w:rsidP="001136D3">
            <w:pPr>
              <w:spacing w:after="0"/>
              <w:rPr>
                <w:rFonts w:ascii="Times New Roman" w:hAnsi="Times New Roman"/>
                <w:szCs w:val="24"/>
              </w:rPr>
            </w:pPr>
            <w:r>
              <w:rPr>
                <w:rFonts w:ascii="Times New Roman" w:hAnsi="Times New Roman"/>
                <w:szCs w:val="24"/>
              </w:rPr>
              <w:t>Notify EO of Rejection of Application for LPCO</w:t>
            </w:r>
          </w:p>
        </w:tc>
        <w:tc>
          <w:tcPr>
            <w:tcW w:w="4765" w:type="dxa"/>
            <w:tcBorders>
              <w:top w:val="single" w:sz="4" w:space="0" w:color="auto"/>
              <w:left w:val="single" w:sz="4" w:space="0" w:color="auto"/>
              <w:bottom w:val="single" w:sz="4" w:space="0" w:color="auto"/>
              <w:right w:val="single" w:sz="4" w:space="0" w:color="auto"/>
            </w:tcBorders>
          </w:tcPr>
          <w:p w14:paraId="0BFC0868" w14:textId="77777777" w:rsidR="00157AAA" w:rsidRDefault="006C1BE5">
            <w:pPr>
              <w:spacing w:after="0"/>
              <w:rPr>
                <w:rFonts w:ascii="Times New Roman" w:hAnsi="Times New Roman"/>
                <w:szCs w:val="24"/>
              </w:rPr>
            </w:pPr>
            <w:r>
              <w:rPr>
                <w:rFonts w:ascii="Times New Roman" w:hAnsi="Times New Roman"/>
                <w:szCs w:val="24"/>
              </w:rPr>
              <w:t xml:space="preserve">If the business validation has failed, the NSW system notifies the </w:t>
            </w:r>
            <w:proofErr w:type="gramStart"/>
            <w:r>
              <w:rPr>
                <w:rFonts w:ascii="Times New Roman" w:hAnsi="Times New Roman"/>
                <w:szCs w:val="24"/>
              </w:rPr>
              <w:t>EO</w:t>
            </w:r>
            <w:proofErr w:type="gramEnd"/>
            <w:r>
              <w:rPr>
                <w:rFonts w:ascii="Times New Roman" w:hAnsi="Times New Roman"/>
                <w:szCs w:val="24"/>
              </w:rPr>
              <w:t xml:space="preserve"> and the process ends. The status of the application for LPCO is rejected. If message for rejection of an application by other Competent Authority Licensing System is received, is also resent to the EO.</w:t>
            </w:r>
          </w:p>
        </w:tc>
      </w:tr>
      <w:tr w:rsidR="00157AAA" w14:paraId="2E88303F" w14:textId="77777777" w:rsidTr="001136D3">
        <w:tc>
          <w:tcPr>
            <w:tcW w:w="1525" w:type="dxa"/>
            <w:tcBorders>
              <w:top w:val="single" w:sz="4" w:space="0" w:color="auto"/>
              <w:left w:val="single" w:sz="4" w:space="0" w:color="auto"/>
              <w:bottom w:val="single" w:sz="4" w:space="0" w:color="auto"/>
              <w:right w:val="single" w:sz="4" w:space="0" w:color="auto"/>
            </w:tcBorders>
          </w:tcPr>
          <w:p w14:paraId="1A9E7B69" w14:textId="77777777" w:rsidR="00157AAA" w:rsidRDefault="006C1BE5">
            <w:pPr>
              <w:spacing w:after="0"/>
              <w:rPr>
                <w:rFonts w:ascii="Times New Roman" w:hAnsi="Times New Roman"/>
                <w:szCs w:val="24"/>
              </w:rPr>
            </w:pPr>
            <w:r>
              <w:rPr>
                <w:rFonts w:ascii="Times New Roman" w:hAnsi="Times New Roman"/>
                <w:szCs w:val="24"/>
              </w:rPr>
              <w:t>End event</w:t>
            </w:r>
          </w:p>
        </w:tc>
        <w:tc>
          <w:tcPr>
            <w:tcW w:w="2340" w:type="dxa"/>
            <w:tcBorders>
              <w:top w:val="single" w:sz="4" w:space="0" w:color="auto"/>
              <w:left w:val="single" w:sz="4" w:space="0" w:color="auto"/>
              <w:bottom w:val="single" w:sz="4" w:space="0" w:color="auto"/>
              <w:right w:val="single" w:sz="4" w:space="0" w:color="auto"/>
            </w:tcBorders>
          </w:tcPr>
          <w:p w14:paraId="4CF11D92" w14:textId="77777777" w:rsidR="00157AAA" w:rsidRDefault="006C1BE5" w:rsidP="001136D3">
            <w:pPr>
              <w:spacing w:after="0"/>
              <w:rPr>
                <w:rFonts w:ascii="Times New Roman" w:hAnsi="Times New Roman"/>
                <w:szCs w:val="24"/>
              </w:rPr>
            </w:pPr>
            <w:r>
              <w:rPr>
                <w:rFonts w:ascii="Times New Roman" w:hAnsi="Times New Roman"/>
                <w:szCs w:val="24"/>
              </w:rPr>
              <w:t>Application for LPCO Rejected</w:t>
            </w:r>
          </w:p>
        </w:tc>
        <w:tc>
          <w:tcPr>
            <w:tcW w:w="4765" w:type="dxa"/>
            <w:tcBorders>
              <w:top w:val="single" w:sz="4" w:space="0" w:color="auto"/>
              <w:left w:val="single" w:sz="4" w:space="0" w:color="auto"/>
              <w:bottom w:val="single" w:sz="4" w:space="0" w:color="auto"/>
              <w:right w:val="single" w:sz="4" w:space="0" w:color="auto"/>
            </w:tcBorders>
          </w:tcPr>
          <w:p w14:paraId="59084D3E" w14:textId="77777777" w:rsidR="00157AAA" w:rsidRDefault="006C1BE5">
            <w:pPr>
              <w:spacing w:after="0"/>
              <w:rPr>
                <w:rFonts w:ascii="Times New Roman" w:hAnsi="Times New Roman"/>
                <w:szCs w:val="24"/>
              </w:rPr>
            </w:pPr>
            <w:r>
              <w:rPr>
                <w:rFonts w:ascii="Times New Roman" w:hAnsi="Times New Roman"/>
                <w:szCs w:val="24"/>
              </w:rPr>
              <w:t>Application rejected.</w:t>
            </w:r>
          </w:p>
        </w:tc>
      </w:tr>
      <w:tr w:rsidR="00157AAA" w14:paraId="79B8B39B" w14:textId="77777777" w:rsidTr="001136D3">
        <w:tc>
          <w:tcPr>
            <w:tcW w:w="1525" w:type="dxa"/>
            <w:tcBorders>
              <w:top w:val="single" w:sz="4" w:space="0" w:color="auto"/>
              <w:left w:val="single" w:sz="4" w:space="0" w:color="auto"/>
              <w:bottom w:val="single" w:sz="4" w:space="0" w:color="auto"/>
              <w:right w:val="single" w:sz="4" w:space="0" w:color="auto"/>
            </w:tcBorders>
          </w:tcPr>
          <w:p w14:paraId="39AFA9DE"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23148058" w14:textId="77777777" w:rsidR="00157AAA" w:rsidRDefault="006C1BE5" w:rsidP="001136D3">
            <w:pPr>
              <w:spacing w:after="0"/>
              <w:rPr>
                <w:rFonts w:ascii="Times New Roman" w:hAnsi="Times New Roman"/>
                <w:szCs w:val="24"/>
              </w:rPr>
            </w:pPr>
            <w:r>
              <w:rPr>
                <w:rFonts w:ascii="Times New Roman" w:hAnsi="Times New Roman"/>
                <w:szCs w:val="24"/>
              </w:rPr>
              <w:t>Allocate Unique Number to the LPCO</w:t>
            </w:r>
          </w:p>
        </w:tc>
        <w:tc>
          <w:tcPr>
            <w:tcW w:w="4765" w:type="dxa"/>
            <w:tcBorders>
              <w:top w:val="single" w:sz="4" w:space="0" w:color="auto"/>
              <w:left w:val="single" w:sz="4" w:space="0" w:color="auto"/>
              <w:bottom w:val="single" w:sz="4" w:space="0" w:color="auto"/>
              <w:right w:val="single" w:sz="4" w:space="0" w:color="auto"/>
            </w:tcBorders>
          </w:tcPr>
          <w:p w14:paraId="648C6983" w14:textId="77777777" w:rsidR="00157AAA" w:rsidRDefault="006C1BE5">
            <w:pPr>
              <w:spacing w:after="0"/>
              <w:rPr>
                <w:rFonts w:ascii="Times New Roman" w:hAnsi="Times New Roman"/>
                <w:szCs w:val="24"/>
              </w:rPr>
            </w:pPr>
            <w:r>
              <w:rPr>
                <w:rFonts w:ascii="Times New Roman" w:hAnsi="Times New Roman"/>
                <w:szCs w:val="24"/>
              </w:rPr>
              <w:t>If business validation is positive, the NSW allocates the unique number to the LPCO.</w:t>
            </w:r>
          </w:p>
        </w:tc>
      </w:tr>
      <w:tr w:rsidR="00157AAA" w14:paraId="08B8CB4C" w14:textId="77777777" w:rsidTr="001136D3">
        <w:tc>
          <w:tcPr>
            <w:tcW w:w="1525" w:type="dxa"/>
            <w:tcBorders>
              <w:top w:val="single" w:sz="4" w:space="0" w:color="auto"/>
              <w:left w:val="single" w:sz="4" w:space="0" w:color="auto"/>
              <w:bottom w:val="single" w:sz="4" w:space="0" w:color="auto"/>
              <w:right w:val="single" w:sz="4" w:space="0" w:color="auto"/>
            </w:tcBorders>
          </w:tcPr>
          <w:p w14:paraId="3DCF4C87" w14:textId="77777777" w:rsidR="00157AAA" w:rsidRDefault="006C1BE5">
            <w:pPr>
              <w:spacing w:after="0"/>
              <w:rPr>
                <w:rFonts w:ascii="Times New Roman" w:hAnsi="Times New Roman"/>
                <w:szCs w:val="24"/>
              </w:rPr>
            </w:pPr>
            <w:r>
              <w:rPr>
                <w:rFonts w:ascii="Times New Roman" w:hAnsi="Times New Roman"/>
                <w:szCs w:val="24"/>
              </w:rPr>
              <w:t>Service Task</w:t>
            </w:r>
          </w:p>
          <w:p w14:paraId="54B79D66" w14:textId="77777777" w:rsidR="00157AAA" w:rsidRDefault="00157AAA">
            <w:pPr>
              <w:spacing w:after="0"/>
              <w:rPr>
                <w:rFonts w:ascii="Times New Roman" w:hAnsi="Times New Roman"/>
                <w:szCs w:val="24"/>
              </w:rPr>
            </w:pPr>
          </w:p>
        </w:tc>
        <w:tc>
          <w:tcPr>
            <w:tcW w:w="2340" w:type="dxa"/>
            <w:tcBorders>
              <w:top w:val="single" w:sz="4" w:space="0" w:color="auto"/>
              <w:left w:val="single" w:sz="4" w:space="0" w:color="auto"/>
              <w:bottom w:val="single" w:sz="4" w:space="0" w:color="auto"/>
              <w:right w:val="single" w:sz="4" w:space="0" w:color="auto"/>
            </w:tcBorders>
          </w:tcPr>
          <w:p w14:paraId="231E4166" w14:textId="77777777" w:rsidR="00157AAA" w:rsidRDefault="006C1BE5" w:rsidP="001136D3">
            <w:pPr>
              <w:spacing w:after="0"/>
              <w:rPr>
                <w:rFonts w:ascii="Times New Roman" w:hAnsi="Times New Roman"/>
                <w:szCs w:val="24"/>
              </w:rPr>
            </w:pPr>
            <w:r>
              <w:rPr>
                <w:rFonts w:ascii="Times New Roman" w:hAnsi="Times New Roman"/>
                <w:szCs w:val="24"/>
              </w:rPr>
              <w:t>Change Status of the Application for LPCO to Accepted</w:t>
            </w:r>
          </w:p>
        </w:tc>
        <w:tc>
          <w:tcPr>
            <w:tcW w:w="4765" w:type="dxa"/>
            <w:tcBorders>
              <w:top w:val="single" w:sz="4" w:space="0" w:color="auto"/>
              <w:left w:val="single" w:sz="4" w:space="0" w:color="auto"/>
              <w:bottom w:val="single" w:sz="4" w:space="0" w:color="auto"/>
              <w:right w:val="single" w:sz="4" w:space="0" w:color="auto"/>
            </w:tcBorders>
          </w:tcPr>
          <w:p w14:paraId="5ABFBCBF" w14:textId="304EAE30" w:rsidR="00157AAA" w:rsidRDefault="006C1BE5">
            <w:pPr>
              <w:spacing w:after="0"/>
              <w:rPr>
                <w:rFonts w:ascii="Times New Roman" w:hAnsi="Times New Roman"/>
                <w:szCs w:val="24"/>
              </w:rPr>
            </w:pPr>
            <w:r>
              <w:rPr>
                <w:rFonts w:ascii="Times New Roman" w:hAnsi="Times New Roman"/>
                <w:szCs w:val="24"/>
              </w:rPr>
              <w:t>The NSW changes the status of the application to accepted</w:t>
            </w:r>
            <w:r w:rsidR="00BF3FDF">
              <w:rPr>
                <w:rFonts w:ascii="Times New Roman" w:hAnsi="Times New Roman"/>
                <w:szCs w:val="24"/>
              </w:rPr>
              <w:t>.</w:t>
            </w:r>
          </w:p>
        </w:tc>
      </w:tr>
      <w:tr w:rsidR="00157AAA" w14:paraId="63ABCDF0" w14:textId="77777777" w:rsidTr="001136D3">
        <w:tc>
          <w:tcPr>
            <w:tcW w:w="1525" w:type="dxa"/>
            <w:tcBorders>
              <w:top w:val="single" w:sz="4" w:space="0" w:color="auto"/>
              <w:left w:val="single" w:sz="4" w:space="0" w:color="auto"/>
              <w:bottom w:val="single" w:sz="4" w:space="0" w:color="auto"/>
              <w:right w:val="single" w:sz="4" w:space="0" w:color="auto"/>
            </w:tcBorders>
          </w:tcPr>
          <w:p w14:paraId="345BE945"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4510BA8E" w14:textId="77777777" w:rsidR="00157AAA" w:rsidRDefault="006C1BE5" w:rsidP="001136D3">
            <w:pPr>
              <w:spacing w:after="0"/>
              <w:rPr>
                <w:rFonts w:ascii="Times New Roman" w:hAnsi="Times New Roman"/>
                <w:szCs w:val="24"/>
              </w:rPr>
            </w:pPr>
            <w:r>
              <w:rPr>
                <w:rFonts w:ascii="Times New Roman" w:hAnsi="Times New Roman"/>
                <w:szCs w:val="24"/>
              </w:rPr>
              <w:t>Send Application for LPCO to Risk Analysis</w:t>
            </w:r>
          </w:p>
        </w:tc>
        <w:tc>
          <w:tcPr>
            <w:tcW w:w="4765" w:type="dxa"/>
            <w:tcBorders>
              <w:top w:val="single" w:sz="4" w:space="0" w:color="auto"/>
              <w:left w:val="single" w:sz="4" w:space="0" w:color="auto"/>
              <w:bottom w:val="single" w:sz="4" w:space="0" w:color="auto"/>
              <w:right w:val="single" w:sz="4" w:space="0" w:color="auto"/>
            </w:tcBorders>
          </w:tcPr>
          <w:p w14:paraId="2DD1C629" w14:textId="7A8799AF" w:rsidR="00157AAA" w:rsidRDefault="006C1BE5">
            <w:pPr>
              <w:spacing w:after="0"/>
              <w:rPr>
                <w:rFonts w:ascii="Times New Roman" w:hAnsi="Times New Roman"/>
                <w:szCs w:val="24"/>
              </w:rPr>
            </w:pPr>
            <w:r>
              <w:rPr>
                <w:rFonts w:ascii="Times New Roman" w:hAnsi="Times New Roman"/>
                <w:szCs w:val="24"/>
              </w:rPr>
              <w:t>The system sends the Application for LPCO to Risk Analysis</w:t>
            </w:r>
            <w:r w:rsidR="00BF3FDF">
              <w:rPr>
                <w:rFonts w:ascii="Times New Roman" w:hAnsi="Times New Roman"/>
                <w:szCs w:val="24"/>
              </w:rPr>
              <w:t>.</w:t>
            </w:r>
          </w:p>
        </w:tc>
      </w:tr>
      <w:tr w:rsidR="00157AAA" w14:paraId="4B51671F" w14:textId="77777777" w:rsidTr="001136D3">
        <w:tc>
          <w:tcPr>
            <w:tcW w:w="1525" w:type="dxa"/>
            <w:tcBorders>
              <w:top w:val="single" w:sz="4" w:space="0" w:color="auto"/>
              <w:left w:val="single" w:sz="4" w:space="0" w:color="auto"/>
              <w:bottom w:val="single" w:sz="4" w:space="0" w:color="auto"/>
              <w:right w:val="single" w:sz="4" w:space="0" w:color="auto"/>
            </w:tcBorders>
          </w:tcPr>
          <w:p w14:paraId="51084F1F" w14:textId="77777777" w:rsidR="00157AAA" w:rsidRDefault="006C1BE5">
            <w:pPr>
              <w:spacing w:after="0"/>
              <w:rPr>
                <w:rFonts w:ascii="Times New Roman" w:hAnsi="Times New Roman"/>
                <w:szCs w:val="24"/>
              </w:rPr>
            </w:pPr>
            <w:r>
              <w:rPr>
                <w:rFonts w:ascii="Times New Roman" w:hAnsi="Times New Roman"/>
                <w:szCs w:val="24"/>
              </w:rPr>
              <w:t>Message event</w:t>
            </w:r>
          </w:p>
        </w:tc>
        <w:tc>
          <w:tcPr>
            <w:tcW w:w="2340" w:type="dxa"/>
            <w:tcBorders>
              <w:top w:val="single" w:sz="4" w:space="0" w:color="auto"/>
              <w:left w:val="single" w:sz="4" w:space="0" w:color="auto"/>
              <w:bottom w:val="single" w:sz="4" w:space="0" w:color="auto"/>
              <w:right w:val="single" w:sz="4" w:space="0" w:color="auto"/>
            </w:tcBorders>
          </w:tcPr>
          <w:p w14:paraId="46D0376C" w14:textId="77777777" w:rsidR="00157AAA" w:rsidRDefault="006C1BE5" w:rsidP="001136D3">
            <w:pPr>
              <w:spacing w:after="0"/>
              <w:rPr>
                <w:rFonts w:ascii="Times New Roman" w:hAnsi="Times New Roman"/>
                <w:szCs w:val="24"/>
              </w:rPr>
            </w:pPr>
            <w:r>
              <w:rPr>
                <w:rFonts w:ascii="Times New Roman" w:hAnsi="Times New Roman"/>
                <w:szCs w:val="24"/>
              </w:rPr>
              <w:t xml:space="preserve">Risk Analysis Results of Application </w:t>
            </w:r>
          </w:p>
          <w:p w14:paraId="3CEAF7EF" w14:textId="77777777" w:rsidR="00157AAA" w:rsidRDefault="006C1BE5" w:rsidP="001136D3">
            <w:pPr>
              <w:spacing w:after="0"/>
              <w:rPr>
                <w:rFonts w:ascii="Times New Roman" w:hAnsi="Times New Roman"/>
                <w:szCs w:val="24"/>
              </w:rPr>
            </w:pPr>
            <w:r>
              <w:rPr>
                <w:rFonts w:ascii="Times New Roman" w:hAnsi="Times New Roman"/>
                <w:szCs w:val="24"/>
              </w:rPr>
              <w:t xml:space="preserve"> for LPCO Received  </w:t>
            </w:r>
          </w:p>
          <w:p w14:paraId="1D367387" w14:textId="77777777" w:rsidR="00157AAA" w:rsidRDefault="00157AAA" w:rsidP="001136D3">
            <w:pPr>
              <w:spacing w:after="0"/>
              <w:rPr>
                <w:rFonts w:ascii="Times New Roman" w:hAnsi="Times New Roman"/>
                <w:szCs w:val="24"/>
              </w:rPr>
            </w:pPr>
          </w:p>
        </w:tc>
        <w:tc>
          <w:tcPr>
            <w:tcW w:w="4765" w:type="dxa"/>
            <w:tcBorders>
              <w:top w:val="single" w:sz="4" w:space="0" w:color="auto"/>
              <w:left w:val="single" w:sz="4" w:space="0" w:color="auto"/>
              <w:bottom w:val="single" w:sz="4" w:space="0" w:color="auto"/>
              <w:right w:val="single" w:sz="4" w:space="0" w:color="auto"/>
            </w:tcBorders>
          </w:tcPr>
          <w:p w14:paraId="4CFAC481" w14:textId="75B39F5C" w:rsidR="00157AAA" w:rsidRDefault="006C1BE5">
            <w:pPr>
              <w:spacing w:after="0"/>
              <w:rPr>
                <w:rFonts w:ascii="Times New Roman" w:hAnsi="Times New Roman"/>
                <w:szCs w:val="24"/>
              </w:rPr>
            </w:pPr>
            <w:r>
              <w:rPr>
                <w:rFonts w:ascii="Times New Roman" w:hAnsi="Times New Roman"/>
                <w:szCs w:val="24"/>
              </w:rPr>
              <w:t>The NSW system receives the results of the risk analysis for the received application for LPCO</w:t>
            </w:r>
            <w:r w:rsidR="00BF3FDF">
              <w:rPr>
                <w:rFonts w:ascii="Times New Roman" w:hAnsi="Times New Roman"/>
                <w:szCs w:val="24"/>
              </w:rPr>
              <w:t>.</w:t>
            </w:r>
            <w:r>
              <w:rPr>
                <w:rFonts w:ascii="Times New Roman" w:hAnsi="Times New Roman"/>
                <w:szCs w:val="24"/>
              </w:rPr>
              <w:t xml:space="preserve">  </w:t>
            </w:r>
          </w:p>
        </w:tc>
      </w:tr>
      <w:tr w:rsidR="00157AAA" w14:paraId="740DF26B" w14:textId="77777777" w:rsidTr="001136D3">
        <w:tc>
          <w:tcPr>
            <w:tcW w:w="1525" w:type="dxa"/>
            <w:tcBorders>
              <w:top w:val="single" w:sz="4" w:space="0" w:color="auto"/>
              <w:left w:val="single" w:sz="4" w:space="0" w:color="auto"/>
              <w:bottom w:val="single" w:sz="4" w:space="0" w:color="auto"/>
              <w:right w:val="single" w:sz="4" w:space="0" w:color="auto"/>
            </w:tcBorders>
          </w:tcPr>
          <w:p w14:paraId="0CEDFD70"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212057C1" w14:textId="77777777" w:rsidR="00157AAA" w:rsidRDefault="006C1BE5" w:rsidP="001136D3">
            <w:pPr>
              <w:spacing w:after="0"/>
              <w:rPr>
                <w:rFonts w:ascii="Times New Roman" w:hAnsi="Times New Roman"/>
                <w:szCs w:val="24"/>
              </w:rPr>
            </w:pPr>
            <w:r>
              <w:rPr>
                <w:rFonts w:ascii="Times New Roman" w:hAnsi="Times New Roman"/>
                <w:szCs w:val="24"/>
              </w:rPr>
              <w:t>Check if Controls are Needed</w:t>
            </w:r>
          </w:p>
        </w:tc>
        <w:tc>
          <w:tcPr>
            <w:tcW w:w="4765" w:type="dxa"/>
            <w:tcBorders>
              <w:top w:val="single" w:sz="4" w:space="0" w:color="auto"/>
              <w:left w:val="single" w:sz="4" w:space="0" w:color="auto"/>
              <w:bottom w:val="single" w:sz="4" w:space="0" w:color="auto"/>
              <w:right w:val="single" w:sz="4" w:space="0" w:color="auto"/>
            </w:tcBorders>
          </w:tcPr>
          <w:p w14:paraId="70D34514" w14:textId="77777777" w:rsidR="00157AAA" w:rsidRDefault="006C1BE5">
            <w:pPr>
              <w:spacing w:after="0"/>
              <w:rPr>
                <w:rFonts w:ascii="Times New Roman" w:hAnsi="Times New Roman"/>
                <w:szCs w:val="24"/>
              </w:rPr>
            </w:pPr>
            <w:r>
              <w:rPr>
                <w:rFonts w:ascii="Times New Roman" w:hAnsi="Times New Roman"/>
                <w:szCs w:val="24"/>
              </w:rPr>
              <w:t>The NSW System checks if additional controls are recommended from the results of the Risk Analysis.</w:t>
            </w:r>
          </w:p>
        </w:tc>
      </w:tr>
      <w:tr w:rsidR="00157AAA" w14:paraId="757CD52A" w14:textId="77777777" w:rsidTr="001136D3">
        <w:tc>
          <w:tcPr>
            <w:tcW w:w="1525" w:type="dxa"/>
            <w:tcBorders>
              <w:top w:val="single" w:sz="4" w:space="0" w:color="auto"/>
              <w:left w:val="single" w:sz="4" w:space="0" w:color="auto"/>
              <w:bottom w:val="single" w:sz="4" w:space="0" w:color="auto"/>
              <w:right w:val="single" w:sz="4" w:space="0" w:color="auto"/>
            </w:tcBorders>
            <w:shd w:val="clear" w:color="auto" w:fill="auto"/>
          </w:tcPr>
          <w:p w14:paraId="5619F146"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3C49F4C1" w14:textId="77777777" w:rsidR="00157AAA" w:rsidRDefault="006C1BE5" w:rsidP="001136D3">
            <w:pPr>
              <w:spacing w:after="0"/>
              <w:rPr>
                <w:rFonts w:ascii="Times New Roman" w:hAnsi="Times New Roman"/>
                <w:szCs w:val="24"/>
              </w:rPr>
            </w:pPr>
            <w:r>
              <w:rPr>
                <w:rFonts w:ascii="Times New Roman" w:hAnsi="Times New Roman"/>
                <w:szCs w:val="24"/>
              </w:rPr>
              <w:t>Notify EO for Time and Place of Control</w:t>
            </w:r>
          </w:p>
        </w:tc>
        <w:tc>
          <w:tcPr>
            <w:tcW w:w="4765" w:type="dxa"/>
            <w:tcBorders>
              <w:top w:val="single" w:sz="4" w:space="0" w:color="auto"/>
              <w:left w:val="single" w:sz="4" w:space="0" w:color="auto"/>
              <w:bottom w:val="single" w:sz="4" w:space="0" w:color="auto"/>
              <w:right w:val="single" w:sz="4" w:space="0" w:color="auto"/>
            </w:tcBorders>
            <w:shd w:val="clear" w:color="auto" w:fill="auto"/>
          </w:tcPr>
          <w:p w14:paraId="7C3F6049" w14:textId="77777777" w:rsidR="00157AAA" w:rsidRDefault="006C1BE5">
            <w:pPr>
              <w:spacing w:after="0"/>
              <w:rPr>
                <w:rFonts w:ascii="Times New Roman" w:hAnsi="Times New Roman"/>
                <w:szCs w:val="24"/>
              </w:rPr>
            </w:pPr>
            <w:r>
              <w:rPr>
                <w:rFonts w:ascii="Times New Roman" w:hAnsi="Times New Roman"/>
                <w:szCs w:val="24"/>
              </w:rPr>
              <w:t xml:space="preserve">The NSW notifies the Economic Operator when and where the controls will take place. </w:t>
            </w:r>
          </w:p>
          <w:p w14:paraId="265DB7FF" w14:textId="77777777" w:rsidR="00157AAA" w:rsidRDefault="006C1BE5">
            <w:pPr>
              <w:spacing w:after="0"/>
              <w:rPr>
                <w:rFonts w:ascii="Times New Roman" w:hAnsi="Times New Roman"/>
                <w:szCs w:val="24"/>
              </w:rPr>
            </w:pPr>
            <w:r>
              <w:rPr>
                <w:rFonts w:ascii="Times New Roman" w:hAnsi="Times New Roman"/>
                <w:szCs w:val="24"/>
              </w:rPr>
              <w:t>There might be three types of controls:</w:t>
            </w:r>
          </w:p>
          <w:p w14:paraId="746885A1" w14:textId="77777777" w:rsidR="00157AAA" w:rsidRDefault="006C1BE5" w:rsidP="00D530D5">
            <w:pPr>
              <w:numPr>
                <w:ilvl w:val="0"/>
                <w:numId w:val="133"/>
              </w:numPr>
              <w:spacing w:after="0"/>
              <w:ind w:left="376"/>
              <w:contextualSpacing/>
              <w:rPr>
                <w:rFonts w:ascii="Times New Roman" w:hAnsi="Times New Roman"/>
                <w:szCs w:val="24"/>
              </w:rPr>
            </w:pPr>
            <w:r>
              <w:rPr>
                <w:rFonts w:ascii="Times New Roman" w:hAnsi="Times New Roman"/>
                <w:szCs w:val="24"/>
              </w:rPr>
              <w:t xml:space="preserve">Documentary Control – all relevant documents are </w:t>
            </w:r>
            <w:proofErr w:type="gramStart"/>
            <w:r>
              <w:rPr>
                <w:rFonts w:ascii="Times New Roman" w:hAnsi="Times New Roman"/>
                <w:szCs w:val="24"/>
              </w:rPr>
              <w:t>verified</w:t>
            </w:r>
            <w:proofErr w:type="gramEnd"/>
            <w:r>
              <w:rPr>
                <w:rFonts w:ascii="Times New Roman" w:hAnsi="Times New Roman"/>
                <w:szCs w:val="24"/>
              </w:rPr>
              <w:t xml:space="preserve"> </w:t>
            </w:r>
          </w:p>
          <w:p w14:paraId="68DB6314" w14:textId="77777777" w:rsidR="00157AAA" w:rsidRDefault="006C1BE5" w:rsidP="00D530D5">
            <w:pPr>
              <w:numPr>
                <w:ilvl w:val="0"/>
                <w:numId w:val="133"/>
              </w:numPr>
              <w:spacing w:after="0"/>
              <w:ind w:left="376"/>
              <w:contextualSpacing/>
              <w:rPr>
                <w:rFonts w:ascii="Times New Roman" w:hAnsi="Times New Roman"/>
                <w:szCs w:val="24"/>
              </w:rPr>
            </w:pPr>
            <w:r>
              <w:rPr>
                <w:rFonts w:ascii="Times New Roman" w:hAnsi="Times New Roman"/>
                <w:szCs w:val="24"/>
              </w:rPr>
              <w:t xml:space="preserve">Physical controls – where applicable, the goods are checked manually - sampling – where samples are taken, and laboratory analysis </w:t>
            </w:r>
            <w:proofErr w:type="gramStart"/>
            <w:r>
              <w:rPr>
                <w:rFonts w:ascii="Times New Roman" w:hAnsi="Times New Roman"/>
                <w:szCs w:val="24"/>
              </w:rPr>
              <w:t>are</w:t>
            </w:r>
            <w:proofErr w:type="gramEnd"/>
            <w:r>
              <w:rPr>
                <w:rFonts w:ascii="Times New Roman" w:hAnsi="Times New Roman"/>
                <w:szCs w:val="24"/>
              </w:rPr>
              <w:t xml:space="preserve"> conducted.</w:t>
            </w:r>
          </w:p>
          <w:p w14:paraId="4374DE31" w14:textId="5C172362" w:rsidR="00157AAA" w:rsidRDefault="006C1BE5" w:rsidP="00D530D5">
            <w:pPr>
              <w:numPr>
                <w:ilvl w:val="0"/>
                <w:numId w:val="133"/>
              </w:numPr>
              <w:spacing w:after="0"/>
              <w:ind w:left="376"/>
              <w:contextualSpacing/>
              <w:rPr>
                <w:rFonts w:ascii="Times New Roman" w:hAnsi="Times New Roman"/>
                <w:szCs w:val="24"/>
              </w:rPr>
            </w:pPr>
            <w:r>
              <w:rPr>
                <w:rFonts w:ascii="Times New Roman" w:hAnsi="Times New Roman"/>
                <w:szCs w:val="24"/>
              </w:rPr>
              <w:t xml:space="preserve">Also, coordinated controls should be </w:t>
            </w:r>
            <w:r w:rsidRPr="005E6A97">
              <w:rPr>
                <w:rFonts w:ascii="Times New Roman" w:hAnsi="Times New Roman"/>
                <w:szCs w:val="24"/>
              </w:rPr>
              <w:t>organized</w:t>
            </w:r>
            <w:r w:rsidR="005B471D" w:rsidRPr="005E6A97">
              <w:rPr>
                <w:rFonts w:ascii="Times New Roman" w:hAnsi="Times New Roman"/>
                <w:szCs w:val="24"/>
              </w:rPr>
              <w:t xml:space="preserve"> if more than one CBRA is involved</w:t>
            </w:r>
            <w:r w:rsidRPr="005E6A97">
              <w:rPr>
                <w:rFonts w:ascii="Times New Roman" w:hAnsi="Times New Roman"/>
                <w:szCs w:val="24"/>
              </w:rPr>
              <w:t>.</w:t>
            </w:r>
          </w:p>
        </w:tc>
      </w:tr>
      <w:tr w:rsidR="00157AAA" w14:paraId="000DFE4E" w14:textId="77777777" w:rsidTr="001136D3">
        <w:tc>
          <w:tcPr>
            <w:tcW w:w="1525" w:type="dxa"/>
            <w:tcBorders>
              <w:top w:val="single" w:sz="4" w:space="0" w:color="auto"/>
              <w:left w:val="single" w:sz="4" w:space="0" w:color="auto"/>
              <w:bottom w:val="single" w:sz="4" w:space="0" w:color="auto"/>
              <w:right w:val="single" w:sz="4" w:space="0" w:color="auto"/>
            </w:tcBorders>
          </w:tcPr>
          <w:p w14:paraId="510AA484"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20564A53" w14:textId="77777777" w:rsidR="00157AAA" w:rsidRDefault="006C1BE5" w:rsidP="001136D3">
            <w:pPr>
              <w:spacing w:after="0"/>
              <w:rPr>
                <w:rFonts w:ascii="Times New Roman" w:hAnsi="Times New Roman"/>
                <w:szCs w:val="24"/>
              </w:rPr>
            </w:pPr>
            <w:r>
              <w:rPr>
                <w:rFonts w:ascii="Times New Roman" w:hAnsi="Times New Roman"/>
                <w:szCs w:val="24"/>
              </w:rPr>
              <w:t>Request Controls for Application for LPCO</w:t>
            </w:r>
          </w:p>
        </w:tc>
        <w:tc>
          <w:tcPr>
            <w:tcW w:w="4765" w:type="dxa"/>
            <w:tcBorders>
              <w:top w:val="single" w:sz="4" w:space="0" w:color="auto"/>
              <w:left w:val="single" w:sz="4" w:space="0" w:color="auto"/>
              <w:bottom w:val="single" w:sz="4" w:space="0" w:color="auto"/>
              <w:right w:val="single" w:sz="4" w:space="0" w:color="auto"/>
            </w:tcBorders>
          </w:tcPr>
          <w:p w14:paraId="296E1AFC" w14:textId="77777777" w:rsidR="00157AAA" w:rsidRDefault="006C1BE5">
            <w:pPr>
              <w:spacing w:after="0"/>
              <w:rPr>
                <w:rFonts w:ascii="Times New Roman" w:hAnsi="Times New Roman"/>
                <w:szCs w:val="24"/>
              </w:rPr>
            </w:pPr>
            <w:r>
              <w:rPr>
                <w:rFonts w:ascii="Times New Roman" w:hAnsi="Times New Roman"/>
                <w:szCs w:val="24"/>
              </w:rPr>
              <w:t>The NSW system informs for Controls to be Performed for an application for LPCO.</w:t>
            </w:r>
          </w:p>
        </w:tc>
      </w:tr>
      <w:tr w:rsidR="00157AAA" w14:paraId="54AB0C01" w14:textId="77777777" w:rsidTr="001136D3">
        <w:tc>
          <w:tcPr>
            <w:tcW w:w="1525" w:type="dxa"/>
            <w:tcBorders>
              <w:top w:val="single" w:sz="4" w:space="0" w:color="auto"/>
              <w:left w:val="single" w:sz="4" w:space="0" w:color="auto"/>
              <w:bottom w:val="single" w:sz="4" w:space="0" w:color="auto"/>
              <w:right w:val="single" w:sz="4" w:space="0" w:color="auto"/>
            </w:tcBorders>
          </w:tcPr>
          <w:p w14:paraId="33E1B820" w14:textId="77777777" w:rsidR="00157AAA" w:rsidRDefault="006C1BE5">
            <w:pPr>
              <w:spacing w:after="0"/>
              <w:rPr>
                <w:rFonts w:ascii="Times New Roman" w:hAnsi="Times New Roman"/>
                <w:szCs w:val="24"/>
              </w:rPr>
            </w:pPr>
            <w:r>
              <w:rPr>
                <w:rFonts w:ascii="Times New Roman" w:hAnsi="Times New Roman"/>
                <w:szCs w:val="24"/>
              </w:rPr>
              <w:t>Intermediate message event</w:t>
            </w:r>
          </w:p>
        </w:tc>
        <w:tc>
          <w:tcPr>
            <w:tcW w:w="2340" w:type="dxa"/>
            <w:tcBorders>
              <w:top w:val="single" w:sz="4" w:space="0" w:color="auto"/>
              <w:left w:val="single" w:sz="4" w:space="0" w:color="auto"/>
              <w:bottom w:val="single" w:sz="4" w:space="0" w:color="auto"/>
              <w:right w:val="single" w:sz="4" w:space="0" w:color="auto"/>
            </w:tcBorders>
          </w:tcPr>
          <w:p w14:paraId="75616988" w14:textId="77777777" w:rsidR="00157AAA" w:rsidRDefault="006C1BE5" w:rsidP="001136D3">
            <w:pPr>
              <w:spacing w:after="0"/>
              <w:rPr>
                <w:rFonts w:ascii="Times New Roman" w:hAnsi="Times New Roman"/>
                <w:szCs w:val="24"/>
              </w:rPr>
            </w:pPr>
            <w:r>
              <w:rPr>
                <w:rFonts w:ascii="Times New Roman" w:hAnsi="Times New Roman"/>
                <w:szCs w:val="24"/>
              </w:rPr>
              <w:t>Control Results Received</w:t>
            </w:r>
          </w:p>
        </w:tc>
        <w:tc>
          <w:tcPr>
            <w:tcW w:w="4765" w:type="dxa"/>
            <w:tcBorders>
              <w:top w:val="single" w:sz="4" w:space="0" w:color="auto"/>
              <w:left w:val="single" w:sz="4" w:space="0" w:color="auto"/>
              <w:bottom w:val="single" w:sz="4" w:space="0" w:color="auto"/>
              <w:right w:val="single" w:sz="4" w:space="0" w:color="auto"/>
            </w:tcBorders>
          </w:tcPr>
          <w:p w14:paraId="351A7FF1" w14:textId="77777777" w:rsidR="00157AAA" w:rsidRDefault="006C1BE5">
            <w:pPr>
              <w:spacing w:after="0"/>
              <w:rPr>
                <w:rFonts w:ascii="Times New Roman" w:hAnsi="Times New Roman"/>
                <w:szCs w:val="24"/>
              </w:rPr>
            </w:pPr>
            <w:r>
              <w:rPr>
                <w:rFonts w:ascii="Times New Roman" w:hAnsi="Times New Roman"/>
                <w:szCs w:val="24"/>
              </w:rPr>
              <w:t xml:space="preserve">The NSW system receives the control results for the application for LPCO. The results can be in structured message with specified codes </w:t>
            </w:r>
            <w:r>
              <w:rPr>
                <w:rFonts w:ascii="Times New Roman" w:hAnsi="Times New Roman"/>
                <w:szCs w:val="24"/>
              </w:rPr>
              <w:lastRenderedPageBreak/>
              <w:t>(such as A1, A2, B1, B2) indicating if discrepancies were found and in unstructured message where analysis are presented.</w:t>
            </w:r>
          </w:p>
        </w:tc>
      </w:tr>
      <w:tr w:rsidR="00157AAA" w14:paraId="7D818F7D" w14:textId="77777777" w:rsidTr="001136D3">
        <w:tc>
          <w:tcPr>
            <w:tcW w:w="1525" w:type="dxa"/>
            <w:tcBorders>
              <w:top w:val="single" w:sz="4" w:space="0" w:color="auto"/>
              <w:left w:val="single" w:sz="4" w:space="0" w:color="auto"/>
              <w:bottom w:val="single" w:sz="4" w:space="0" w:color="auto"/>
              <w:right w:val="single" w:sz="4" w:space="0" w:color="auto"/>
            </w:tcBorders>
          </w:tcPr>
          <w:p w14:paraId="40F858D5" w14:textId="77777777" w:rsidR="00157AAA" w:rsidRDefault="006C1BE5">
            <w:pPr>
              <w:spacing w:after="0"/>
              <w:rPr>
                <w:rFonts w:ascii="Times New Roman" w:hAnsi="Times New Roman"/>
                <w:szCs w:val="24"/>
              </w:rPr>
            </w:pPr>
            <w:r>
              <w:rPr>
                <w:rFonts w:ascii="Times New Roman" w:hAnsi="Times New Roman"/>
                <w:szCs w:val="24"/>
              </w:rPr>
              <w:lastRenderedPageBreak/>
              <w:t>Send Task</w:t>
            </w:r>
          </w:p>
        </w:tc>
        <w:tc>
          <w:tcPr>
            <w:tcW w:w="2340" w:type="dxa"/>
            <w:tcBorders>
              <w:top w:val="single" w:sz="4" w:space="0" w:color="auto"/>
              <w:left w:val="single" w:sz="4" w:space="0" w:color="auto"/>
              <w:bottom w:val="single" w:sz="4" w:space="0" w:color="auto"/>
              <w:right w:val="single" w:sz="4" w:space="0" w:color="auto"/>
            </w:tcBorders>
          </w:tcPr>
          <w:p w14:paraId="1274AE63" w14:textId="77777777" w:rsidR="00157AAA" w:rsidRDefault="006C1BE5" w:rsidP="001136D3">
            <w:pPr>
              <w:spacing w:after="0"/>
              <w:rPr>
                <w:rFonts w:ascii="Times New Roman" w:hAnsi="Times New Roman"/>
                <w:szCs w:val="24"/>
              </w:rPr>
            </w:pPr>
            <w:r>
              <w:rPr>
                <w:rFonts w:ascii="Times New Roman" w:hAnsi="Times New Roman"/>
                <w:szCs w:val="24"/>
              </w:rPr>
              <w:t>Notify Additional Fees to be paid</w:t>
            </w:r>
          </w:p>
        </w:tc>
        <w:tc>
          <w:tcPr>
            <w:tcW w:w="4765" w:type="dxa"/>
            <w:tcBorders>
              <w:top w:val="single" w:sz="4" w:space="0" w:color="auto"/>
              <w:left w:val="single" w:sz="4" w:space="0" w:color="auto"/>
              <w:bottom w:val="single" w:sz="4" w:space="0" w:color="auto"/>
              <w:right w:val="single" w:sz="4" w:space="0" w:color="auto"/>
            </w:tcBorders>
          </w:tcPr>
          <w:p w14:paraId="2152B8A0" w14:textId="77777777" w:rsidR="00157AAA" w:rsidRDefault="006C1BE5">
            <w:pPr>
              <w:spacing w:after="0"/>
              <w:rPr>
                <w:rFonts w:ascii="Times New Roman" w:hAnsi="Times New Roman"/>
                <w:szCs w:val="24"/>
              </w:rPr>
            </w:pPr>
            <w:r>
              <w:rPr>
                <w:rFonts w:ascii="Times New Roman" w:hAnsi="Times New Roman"/>
                <w:szCs w:val="24"/>
              </w:rPr>
              <w:t>The Tasks informs the EO and the Payment Service, for the additional fees, concerning controls that needs to be paid by the EO.</w:t>
            </w:r>
          </w:p>
        </w:tc>
      </w:tr>
      <w:tr w:rsidR="00157AAA" w14:paraId="6B9217C8" w14:textId="77777777" w:rsidTr="001136D3">
        <w:tc>
          <w:tcPr>
            <w:tcW w:w="1525" w:type="dxa"/>
            <w:tcBorders>
              <w:top w:val="single" w:sz="4" w:space="0" w:color="auto"/>
              <w:left w:val="single" w:sz="4" w:space="0" w:color="auto"/>
              <w:bottom w:val="single" w:sz="4" w:space="0" w:color="auto"/>
              <w:right w:val="single" w:sz="4" w:space="0" w:color="auto"/>
            </w:tcBorders>
          </w:tcPr>
          <w:p w14:paraId="6E6AA58B" w14:textId="77777777" w:rsidR="00157AAA" w:rsidRDefault="006C1BE5">
            <w:pPr>
              <w:spacing w:after="0"/>
              <w:rPr>
                <w:rFonts w:ascii="Times New Roman" w:hAnsi="Times New Roman"/>
                <w:szCs w:val="24"/>
              </w:rPr>
            </w:pPr>
            <w:r>
              <w:rPr>
                <w:rFonts w:ascii="Times New Roman" w:hAnsi="Times New Roman"/>
                <w:szCs w:val="24"/>
              </w:rPr>
              <w:t>Intermediate Message Event</w:t>
            </w:r>
          </w:p>
        </w:tc>
        <w:tc>
          <w:tcPr>
            <w:tcW w:w="2340" w:type="dxa"/>
            <w:tcBorders>
              <w:top w:val="single" w:sz="4" w:space="0" w:color="auto"/>
              <w:left w:val="single" w:sz="4" w:space="0" w:color="auto"/>
              <w:bottom w:val="single" w:sz="4" w:space="0" w:color="auto"/>
              <w:right w:val="single" w:sz="4" w:space="0" w:color="auto"/>
            </w:tcBorders>
          </w:tcPr>
          <w:p w14:paraId="0C5DBE82" w14:textId="77777777" w:rsidR="00157AAA" w:rsidRDefault="006C1BE5" w:rsidP="001136D3">
            <w:pPr>
              <w:spacing w:after="0"/>
              <w:rPr>
                <w:rFonts w:ascii="Times New Roman" w:hAnsi="Times New Roman"/>
                <w:szCs w:val="24"/>
              </w:rPr>
            </w:pPr>
            <w:r>
              <w:rPr>
                <w:rFonts w:ascii="Times New Roman" w:hAnsi="Times New Roman"/>
                <w:szCs w:val="24"/>
              </w:rPr>
              <w:t>Payment Information Received. </w:t>
            </w:r>
          </w:p>
        </w:tc>
        <w:tc>
          <w:tcPr>
            <w:tcW w:w="4765" w:type="dxa"/>
            <w:tcBorders>
              <w:top w:val="single" w:sz="4" w:space="0" w:color="auto"/>
              <w:left w:val="single" w:sz="4" w:space="0" w:color="auto"/>
              <w:bottom w:val="single" w:sz="4" w:space="0" w:color="auto"/>
              <w:right w:val="single" w:sz="4" w:space="0" w:color="auto"/>
            </w:tcBorders>
          </w:tcPr>
          <w:p w14:paraId="03624232" w14:textId="77777777" w:rsidR="00157AAA" w:rsidRDefault="006C1BE5">
            <w:pPr>
              <w:spacing w:after="0"/>
              <w:rPr>
                <w:rFonts w:ascii="Times New Roman" w:hAnsi="Times New Roman"/>
                <w:szCs w:val="24"/>
              </w:rPr>
            </w:pPr>
            <w:r>
              <w:rPr>
                <w:rFonts w:ascii="Times New Roman" w:hAnsi="Times New Roman"/>
                <w:szCs w:val="24"/>
              </w:rPr>
              <w:t xml:space="preserve">Payment information is received from </w:t>
            </w:r>
            <w:proofErr w:type="gramStart"/>
            <w:r>
              <w:rPr>
                <w:rFonts w:ascii="Times New Roman" w:hAnsi="Times New Roman"/>
                <w:szCs w:val="24"/>
              </w:rPr>
              <w:t>payment</w:t>
            </w:r>
            <w:proofErr w:type="gramEnd"/>
            <w:r>
              <w:rPr>
                <w:rFonts w:ascii="Times New Roman" w:hAnsi="Times New Roman"/>
                <w:szCs w:val="24"/>
              </w:rPr>
              <w:t xml:space="preserve"> service.  </w:t>
            </w:r>
          </w:p>
        </w:tc>
      </w:tr>
      <w:tr w:rsidR="00157AAA" w14:paraId="509A66EA" w14:textId="77777777" w:rsidTr="001136D3">
        <w:tc>
          <w:tcPr>
            <w:tcW w:w="1525" w:type="dxa"/>
            <w:tcBorders>
              <w:top w:val="single" w:sz="4" w:space="0" w:color="auto"/>
              <w:left w:val="single" w:sz="4" w:space="0" w:color="auto"/>
              <w:bottom w:val="single" w:sz="4" w:space="0" w:color="auto"/>
              <w:right w:val="single" w:sz="4" w:space="0" w:color="auto"/>
            </w:tcBorders>
          </w:tcPr>
          <w:p w14:paraId="5EA74685"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524947B0" w14:textId="77777777" w:rsidR="00157AAA" w:rsidRDefault="006C1BE5" w:rsidP="001136D3">
            <w:pPr>
              <w:spacing w:after="0"/>
              <w:rPr>
                <w:rFonts w:ascii="Times New Roman" w:hAnsi="Times New Roman"/>
                <w:szCs w:val="24"/>
              </w:rPr>
            </w:pPr>
            <w:r>
              <w:rPr>
                <w:rFonts w:ascii="Times New Roman" w:hAnsi="Times New Roman"/>
                <w:szCs w:val="24"/>
              </w:rPr>
              <w:t>Take Decision for Issuing LPCO</w:t>
            </w:r>
          </w:p>
        </w:tc>
        <w:tc>
          <w:tcPr>
            <w:tcW w:w="4765" w:type="dxa"/>
            <w:tcBorders>
              <w:top w:val="single" w:sz="4" w:space="0" w:color="auto"/>
              <w:left w:val="single" w:sz="4" w:space="0" w:color="auto"/>
              <w:bottom w:val="single" w:sz="4" w:space="0" w:color="auto"/>
              <w:right w:val="single" w:sz="4" w:space="0" w:color="auto"/>
            </w:tcBorders>
          </w:tcPr>
          <w:p w14:paraId="60500FF0" w14:textId="77777777" w:rsidR="00157AAA" w:rsidRDefault="006C1BE5">
            <w:pPr>
              <w:spacing w:after="0"/>
              <w:jc w:val="left"/>
              <w:rPr>
                <w:rFonts w:ascii="Times New Roman" w:hAnsi="Times New Roman"/>
                <w:szCs w:val="24"/>
              </w:rPr>
            </w:pPr>
            <w:r>
              <w:rPr>
                <w:rFonts w:ascii="Times New Roman" w:hAnsi="Times New Roman"/>
                <w:szCs w:val="24"/>
              </w:rPr>
              <w:t xml:space="preserve">The NSW Officer will take a decision to issue a LPCO based on the:  </w:t>
            </w:r>
          </w:p>
          <w:p w14:paraId="7A8064B1" w14:textId="77777777" w:rsidR="00157AAA" w:rsidRDefault="006C1BE5" w:rsidP="00D530D5">
            <w:pPr>
              <w:numPr>
                <w:ilvl w:val="0"/>
                <w:numId w:val="134"/>
              </w:numPr>
              <w:spacing w:after="0"/>
              <w:ind w:left="286" w:hanging="286"/>
              <w:contextualSpacing/>
              <w:rPr>
                <w:rFonts w:ascii="Times New Roman" w:hAnsi="Times New Roman"/>
                <w:szCs w:val="24"/>
              </w:rPr>
            </w:pPr>
            <w:r>
              <w:rPr>
                <w:rFonts w:ascii="Times New Roman" w:hAnsi="Times New Roman"/>
                <w:szCs w:val="24"/>
              </w:rPr>
              <w:t xml:space="preserve">Risk Analysis </w:t>
            </w:r>
            <w:proofErr w:type="gramStart"/>
            <w:r>
              <w:rPr>
                <w:rFonts w:ascii="Times New Roman" w:hAnsi="Times New Roman"/>
                <w:szCs w:val="24"/>
              </w:rPr>
              <w:t>results</w:t>
            </w:r>
            <w:proofErr w:type="gramEnd"/>
            <w:r>
              <w:rPr>
                <w:rFonts w:ascii="Times New Roman" w:hAnsi="Times New Roman"/>
                <w:szCs w:val="24"/>
              </w:rPr>
              <w:t xml:space="preserve"> </w:t>
            </w:r>
          </w:p>
          <w:p w14:paraId="2AA3D9D5" w14:textId="77777777" w:rsidR="00157AAA" w:rsidRDefault="006C1BE5" w:rsidP="00D530D5">
            <w:pPr>
              <w:numPr>
                <w:ilvl w:val="0"/>
                <w:numId w:val="134"/>
              </w:numPr>
              <w:spacing w:after="0"/>
              <w:ind w:left="286" w:hanging="286"/>
              <w:contextualSpacing/>
              <w:rPr>
                <w:rFonts w:ascii="Times New Roman" w:hAnsi="Times New Roman"/>
                <w:szCs w:val="24"/>
              </w:rPr>
            </w:pPr>
            <w:r>
              <w:rPr>
                <w:rFonts w:ascii="Times New Roman" w:hAnsi="Times New Roman"/>
                <w:szCs w:val="24"/>
              </w:rPr>
              <w:t>all available documents for the LPCO</w:t>
            </w:r>
          </w:p>
          <w:p w14:paraId="6AE879D9" w14:textId="77777777" w:rsidR="00157AAA" w:rsidRDefault="006C1BE5" w:rsidP="00D530D5">
            <w:pPr>
              <w:numPr>
                <w:ilvl w:val="0"/>
                <w:numId w:val="134"/>
              </w:numPr>
              <w:spacing w:after="0"/>
              <w:ind w:left="286" w:hanging="286"/>
              <w:contextualSpacing/>
              <w:rPr>
                <w:rFonts w:ascii="Times New Roman" w:hAnsi="Times New Roman"/>
                <w:szCs w:val="24"/>
              </w:rPr>
            </w:pPr>
            <w:r>
              <w:rPr>
                <w:rFonts w:ascii="Times New Roman" w:hAnsi="Times New Roman"/>
                <w:szCs w:val="24"/>
              </w:rPr>
              <w:t xml:space="preserve">Information in the Application for the LPCO </w:t>
            </w:r>
          </w:p>
          <w:p w14:paraId="73975FE2" w14:textId="77777777" w:rsidR="00157AAA" w:rsidRDefault="006C1BE5" w:rsidP="00D530D5">
            <w:pPr>
              <w:numPr>
                <w:ilvl w:val="0"/>
                <w:numId w:val="134"/>
              </w:numPr>
              <w:spacing w:after="0"/>
              <w:ind w:left="286" w:hanging="286"/>
              <w:contextualSpacing/>
              <w:rPr>
                <w:rFonts w:ascii="Times New Roman" w:hAnsi="Times New Roman"/>
                <w:szCs w:val="24"/>
              </w:rPr>
            </w:pPr>
            <w:r>
              <w:rPr>
                <w:rFonts w:ascii="Times New Roman" w:hAnsi="Times New Roman"/>
                <w:szCs w:val="24"/>
              </w:rPr>
              <w:t>Control Results (if any)</w:t>
            </w:r>
          </w:p>
          <w:p w14:paraId="11464A3B" w14:textId="77777777" w:rsidR="00157AAA" w:rsidRDefault="006C1BE5" w:rsidP="00D530D5">
            <w:pPr>
              <w:numPr>
                <w:ilvl w:val="0"/>
                <w:numId w:val="134"/>
              </w:numPr>
              <w:spacing w:after="0"/>
              <w:ind w:left="286" w:hanging="286"/>
              <w:contextualSpacing/>
              <w:rPr>
                <w:rFonts w:ascii="Times New Roman" w:hAnsi="Times New Roman"/>
                <w:szCs w:val="24"/>
              </w:rPr>
            </w:pPr>
            <w:r>
              <w:rPr>
                <w:rFonts w:ascii="Times New Roman" w:hAnsi="Times New Roman"/>
                <w:szCs w:val="24"/>
              </w:rPr>
              <w:t>Fees are paid.</w:t>
            </w:r>
          </w:p>
        </w:tc>
      </w:tr>
      <w:tr w:rsidR="00157AAA" w14:paraId="6795AA66" w14:textId="77777777" w:rsidTr="001136D3">
        <w:tc>
          <w:tcPr>
            <w:tcW w:w="1525" w:type="dxa"/>
            <w:tcBorders>
              <w:top w:val="single" w:sz="4" w:space="0" w:color="auto"/>
              <w:left w:val="single" w:sz="4" w:space="0" w:color="auto"/>
              <w:bottom w:val="single" w:sz="4" w:space="0" w:color="auto"/>
              <w:right w:val="single" w:sz="4" w:space="0" w:color="auto"/>
            </w:tcBorders>
          </w:tcPr>
          <w:p w14:paraId="4E6B02A9"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7A51FD8F" w14:textId="77777777" w:rsidR="00157AAA" w:rsidRDefault="006C1BE5" w:rsidP="001136D3">
            <w:pPr>
              <w:spacing w:after="0"/>
              <w:rPr>
                <w:rFonts w:ascii="Times New Roman" w:hAnsi="Times New Roman"/>
                <w:szCs w:val="24"/>
              </w:rPr>
            </w:pPr>
            <w:r>
              <w:rPr>
                <w:rFonts w:ascii="Times New Roman" w:hAnsi="Times New Roman"/>
                <w:szCs w:val="24"/>
              </w:rPr>
              <w:t>Notify EO of Rejection of Application for LPCO</w:t>
            </w:r>
          </w:p>
        </w:tc>
        <w:tc>
          <w:tcPr>
            <w:tcW w:w="4765" w:type="dxa"/>
            <w:tcBorders>
              <w:top w:val="single" w:sz="4" w:space="0" w:color="auto"/>
              <w:left w:val="single" w:sz="4" w:space="0" w:color="auto"/>
              <w:bottom w:val="single" w:sz="4" w:space="0" w:color="auto"/>
              <w:right w:val="single" w:sz="4" w:space="0" w:color="auto"/>
            </w:tcBorders>
          </w:tcPr>
          <w:p w14:paraId="367953EE" w14:textId="77777777" w:rsidR="00157AAA" w:rsidRDefault="006C1BE5">
            <w:pPr>
              <w:spacing w:after="0"/>
              <w:rPr>
                <w:rFonts w:ascii="Times New Roman" w:hAnsi="Times New Roman"/>
                <w:szCs w:val="24"/>
              </w:rPr>
            </w:pPr>
            <w:r>
              <w:rPr>
                <w:rFonts w:ascii="Times New Roman" w:hAnsi="Times New Roman"/>
                <w:szCs w:val="24"/>
              </w:rPr>
              <w:t>The system notifies the EO of Rejection of Application for LPCO including the reasons for the rejection.</w:t>
            </w:r>
          </w:p>
        </w:tc>
      </w:tr>
      <w:tr w:rsidR="00157AAA" w14:paraId="6209EB01" w14:textId="77777777" w:rsidTr="001136D3">
        <w:tc>
          <w:tcPr>
            <w:tcW w:w="1525" w:type="dxa"/>
            <w:tcBorders>
              <w:top w:val="single" w:sz="4" w:space="0" w:color="auto"/>
              <w:left w:val="single" w:sz="4" w:space="0" w:color="auto"/>
              <w:bottom w:val="single" w:sz="4" w:space="0" w:color="auto"/>
              <w:right w:val="single" w:sz="4" w:space="0" w:color="auto"/>
            </w:tcBorders>
          </w:tcPr>
          <w:p w14:paraId="73B6FC32" w14:textId="77777777" w:rsidR="00157AAA" w:rsidRDefault="006C1BE5">
            <w:pPr>
              <w:spacing w:after="0"/>
              <w:rPr>
                <w:rFonts w:ascii="Times New Roman" w:hAnsi="Times New Roman"/>
                <w:szCs w:val="24"/>
              </w:rPr>
            </w:pPr>
            <w:r>
              <w:rPr>
                <w:rFonts w:ascii="Times New Roman" w:hAnsi="Times New Roman"/>
                <w:szCs w:val="24"/>
              </w:rPr>
              <w:t>End Event</w:t>
            </w:r>
          </w:p>
        </w:tc>
        <w:tc>
          <w:tcPr>
            <w:tcW w:w="2340" w:type="dxa"/>
            <w:tcBorders>
              <w:top w:val="single" w:sz="4" w:space="0" w:color="auto"/>
              <w:left w:val="single" w:sz="4" w:space="0" w:color="auto"/>
              <w:bottom w:val="single" w:sz="4" w:space="0" w:color="auto"/>
              <w:right w:val="single" w:sz="4" w:space="0" w:color="auto"/>
            </w:tcBorders>
          </w:tcPr>
          <w:p w14:paraId="4DF5EEA4" w14:textId="77777777" w:rsidR="00157AAA" w:rsidRDefault="006C1BE5" w:rsidP="001136D3">
            <w:pPr>
              <w:spacing w:after="0"/>
              <w:rPr>
                <w:rFonts w:ascii="Times New Roman" w:hAnsi="Times New Roman"/>
                <w:szCs w:val="24"/>
              </w:rPr>
            </w:pPr>
            <w:r>
              <w:rPr>
                <w:rFonts w:ascii="Times New Roman" w:hAnsi="Times New Roman"/>
                <w:szCs w:val="24"/>
              </w:rPr>
              <w:t>Application for LPCO Rejected</w:t>
            </w:r>
          </w:p>
        </w:tc>
        <w:tc>
          <w:tcPr>
            <w:tcW w:w="4765" w:type="dxa"/>
            <w:tcBorders>
              <w:top w:val="single" w:sz="4" w:space="0" w:color="auto"/>
              <w:left w:val="single" w:sz="4" w:space="0" w:color="auto"/>
              <w:bottom w:val="single" w:sz="4" w:space="0" w:color="auto"/>
              <w:right w:val="single" w:sz="4" w:space="0" w:color="auto"/>
            </w:tcBorders>
          </w:tcPr>
          <w:p w14:paraId="6ED0F9BE" w14:textId="77777777" w:rsidR="00157AAA" w:rsidRDefault="006C1BE5">
            <w:pPr>
              <w:spacing w:after="0"/>
              <w:rPr>
                <w:rFonts w:ascii="Times New Roman" w:hAnsi="Times New Roman"/>
                <w:szCs w:val="24"/>
              </w:rPr>
            </w:pPr>
            <w:r>
              <w:rPr>
                <w:rFonts w:ascii="Times New Roman" w:hAnsi="Times New Roman"/>
                <w:szCs w:val="24"/>
              </w:rPr>
              <w:t>Application rejected.</w:t>
            </w:r>
          </w:p>
        </w:tc>
      </w:tr>
      <w:tr w:rsidR="00157AAA" w14:paraId="6084F541" w14:textId="77777777" w:rsidTr="001136D3">
        <w:tc>
          <w:tcPr>
            <w:tcW w:w="1525" w:type="dxa"/>
            <w:tcBorders>
              <w:top w:val="single" w:sz="4" w:space="0" w:color="auto"/>
              <w:left w:val="single" w:sz="4" w:space="0" w:color="auto"/>
              <w:bottom w:val="single" w:sz="4" w:space="0" w:color="auto"/>
              <w:right w:val="single" w:sz="4" w:space="0" w:color="auto"/>
            </w:tcBorders>
          </w:tcPr>
          <w:p w14:paraId="31895E4E" w14:textId="77777777" w:rsidR="00157AAA" w:rsidRDefault="006C1BE5">
            <w:pPr>
              <w:spacing w:after="0"/>
              <w:rPr>
                <w:rFonts w:ascii="Times New Roman" w:hAnsi="Times New Roman"/>
                <w:szCs w:val="24"/>
              </w:rPr>
            </w:pPr>
            <w:r>
              <w:rPr>
                <w:rFonts w:ascii="Times New Roman" w:hAnsi="Times New Roman"/>
                <w:szCs w:val="24"/>
              </w:rPr>
              <w:t>Service Task</w:t>
            </w:r>
          </w:p>
        </w:tc>
        <w:tc>
          <w:tcPr>
            <w:tcW w:w="2340" w:type="dxa"/>
            <w:tcBorders>
              <w:top w:val="single" w:sz="4" w:space="0" w:color="auto"/>
              <w:left w:val="single" w:sz="4" w:space="0" w:color="auto"/>
              <w:bottom w:val="single" w:sz="4" w:space="0" w:color="auto"/>
              <w:right w:val="single" w:sz="4" w:space="0" w:color="auto"/>
            </w:tcBorders>
          </w:tcPr>
          <w:p w14:paraId="7DF3A11C" w14:textId="77777777" w:rsidR="00157AAA" w:rsidRDefault="006C1BE5" w:rsidP="001136D3">
            <w:pPr>
              <w:spacing w:after="0"/>
              <w:rPr>
                <w:rFonts w:ascii="Times New Roman" w:hAnsi="Times New Roman"/>
                <w:szCs w:val="24"/>
              </w:rPr>
            </w:pPr>
            <w:r>
              <w:rPr>
                <w:rFonts w:ascii="Times New Roman" w:hAnsi="Times New Roman"/>
                <w:szCs w:val="24"/>
              </w:rPr>
              <w:t xml:space="preserve">Change Status to </w:t>
            </w:r>
            <w:proofErr w:type="spellStart"/>
            <w:r>
              <w:rPr>
                <w:rFonts w:ascii="Times New Roman" w:hAnsi="Times New Roman"/>
                <w:szCs w:val="24"/>
              </w:rPr>
              <w:t>Issued</w:t>
            </w:r>
            <w:proofErr w:type="spellEnd"/>
            <w:r>
              <w:rPr>
                <w:rFonts w:ascii="Times New Roman" w:hAnsi="Times New Roman"/>
                <w:szCs w:val="24"/>
              </w:rPr>
              <w:t xml:space="preserve"> for LPCO and Issue Certificate</w:t>
            </w:r>
          </w:p>
        </w:tc>
        <w:tc>
          <w:tcPr>
            <w:tcW w:w="4765" w:type="dxa"/>
            <w:tcBorders>
              <w:top w:val="single" w:sz="4" w:space="0" w:color="auto"/>
              <w:left w:val="single" w:sz="4" w:space="0" w:color="auto"/>
              <w:bottom w:val="single" w:sz="4" w:space="0" w:color="auto"/>
              <w:right w:val="single" w:sz="4" w:space="0" w:color="auto"/>
            </w:tcBorders>
          </w:tcPr>
          <w:p w14:paraId="0678BA05" w14:textId="77777777" w:rsidR="00157AAA" w:rsidRDefault="006C1BE5">
            <w:pPr>
              <w:spacing w:after="0"/>
              <w:rPr>
                <w:rFonts w:ascii="Times New Roman" w:hAnsi="Times New Roman"/>
                <w:szCs w:val="24"/>
              </w:rPr>
            </w:pPr>
            <w:r>
              <w:rPr>
                <w:rFonts w:ascii="Times New Roman" w:hAnsi="Times New Roman"/>
                <w:szCs w:val="24"/>
              </w:rPr>
              <w:t>If the control results are satisfactory, the decision for approval of the application for LPCO is recorded and status of the LPCO is issued.  The certificate is issued with unique LPCO number, validity period and official signature of the Competent Authority.</w:t>
            </w:r>
          </w:p>
        </w:tc>
      </w:tr>
      <w:tr w:rsidR="00157AAA" w14:paraId="3E7AC4F7" w14:textId="77777777" w:rsidTr="001136D3">
        <w:tc>
          <w:tcPr>
            <w:tcW w:w="1525" w:type="dxa"/>
            <w:tcBorders>
              <w:top w:val="single" w:sz="4" w:space="0" w:color="auto"/>
              <w:left w:val="single" w:sz="4" w:space="0" w:color="auto"/>
              <w:bottom w:val="single" w:sz="4" w:space="0" w:color="auto"/>
              <w:right w:val="single" w:sz="4" w:space="0" w:color="auto"/>
            </w:tcBorders>
          </w:tcPr>
          <w:p w14:paraId="67C1BB97" w14:textId="77777777" w:rsidR="00157AAA" w:rsidRDefault="006C1BE5">
            <w:pPr>
              <w:spacing w:after="0"/>
              <w:rPr>
                <w:rFonts w:ascii="Times New Roman" w:hAnsi="Times New Roman"/>
                <w:szCs w:val="24"/>
              </w:rPr>
            </w:pPr>
            <w:r>
              <w:rPr>
                <w:rFonts w:ascii="Times New Roman" w:hAnsi="Times New Roman"/>
                <w:szCs w:val="24"/>
              </w:rPr>
              <w:t>Start event</w:t>
            </w:r>
          </w:p>
        </w:tc>
        <w:tc>
          <w:tcPr>
            <w:tcW w:w="2340" w:type="dxa"/>
            <w:tcBorders>
              <w:top w:val="single" w:sz="4" w:space="0" w:color="auto"/>
              <w:left w:val="single" w:sz="4" w:space="0" w:color="auto"/>
              <w:bottom w:val="single" w:sz="4" w:space="0" w:color="auto"/>
              <w:right w:val="single" w:sz="4" w:space="0" w:color="auto"/>
            </w:tcBorders>
          </w:tcPr>
          <w:p w14:paraId="0E468F29" w14:textId="77777777" w:rsidR="00157AAA" w:rsidRDefault="006C1BE5" w:rsidP="001136D3">
            <w:pPr>
              <w:spacing w:after="0"/>
              <w:rPr>
                <w:rFonts w:ascii="Times New Roman" w:hAnsi="Times New Roman"/>
                <w:szCs w:val="24"/>
              </w:rPr>
            </w:pPr>
            <w:r>
              <w:rPr>
                <w:rFonts w:ascii="Times New Roman" w:hAnsi="Times New Roman"/>
                <w:szCs w:val="24"/>
              </w:rPr>
              <w:t>Notification about decision of LPCO Received</w:t>
            </w:r>
          </w:p>
        </w:tc>
        <w:tc>
          <w:tcPr>
            <w:tcW w:w="4765" w:type="dxa"/>
            <w:tcBorders>
              <w:top w:val="single" w:sz="4" w:space="0" w:color="auto"/>
              <w:left w:val="single" w:sz="4" w:space="0" w:color="auto"/>
              <w:bottom w:val="single" w:sz="4" w:space="0" w:color="auto"/>
              <w:right w:val="single" w:sz="4" w:space="0" w:color="auto"/>
            </w:tcBorders>
          </w:tcPr>
          <w:p w14:paraId="43EEE2AC" w14:textId="3471EAC1" w:rsidR="00157AAA" w:rsidRDefault="006C1BE5">
            <w:pPr>
              <w:spacing w:after="0"/>
              <w:rPr>
                <w:rFonts w:ascii="Times New Roman" w:hAnsi="Times New Roman"/>
                <w:szCs w:val="24"/>
              </w:rPr>
            </w:pPr>
            <w:r>
              <w:rPr>
                <w:rFonts w:ascii="Times New Roman" w:hAnsi="Times New Roman"/>
                <w:szCs w:val="24"/>
              </w:rPr>
              <w:t>The NSW system receives a message with accepted application for LPCO and issued LPCO from other Competent Authority Licensing System</w:t>
            </w:r>
            <w:r w:rsidR="00BF3FDF">
              <w:rPr>
                <w:rFonts w:ascii="Times New Roman" w:hAnsi="Times New Roman"/>
                <w:szCs w:val="24"/>
              </w:rPr>
              <w:t>.</w:t>
            </w:r>
          </w:p>
        </w:tc>
      </w:tr>
      <w:tr w:rsidR="00157AAA" w14:paraId="6C9547DB" w14:textId="77777777" w:rsidTr="001136D3">
        <w:tc>
          <w:tcPr>
            <w:tcW w:w="1525" w:type="dxa"/>
            <w:tcBorders>
              <w:top w:val="single" w:sz="4" w:space="0" w:color="auto"/>
              <w:left w:val="single" w:sz="4" w:space="0" w:color="auto"/>
              <w:bottom w:val="single" w:sz="4" w:space="0" w:color="auto"/>
              <w:right w:val="single" w:sz="4" w:space="0" w:color="auto"/>
            </w:tcBorders>
          </w:tcPr>
          <w:p w14:paraId="06E30177"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4DBBDB84" w14:textId="77777777" w:rsidR="00157AAA" w:rsidRDefault="006C1BE5" w:rsidP="001136D3">
            <w:pPr>
              <w:spacing w:after="0"/>
              <w:rPr>
                <w:rFonts w:ascii="Times New Roman" w:hAnsi="Times New Roman"/>
                <w:szCs w:val="24"/>
              </w:rPr>
            </w:pPr>
            <w:r>
              <w:rPr>
                <w:rFonts w:ascii="Times New Roman" w:hAnsi="Times New Roman"/>
                <w:szCs w:val="24"/>
              </w:rPr>
              <w:t>Notify EO of Acceptance of Application for LPCO and Issuing Certificate</w:t>
            </w:r>
          </w:p>
        </w:tc>
        <w:tc>
          <w:tcPr>
            <w:tcW w:w="4765" w:type="dxa"/>
            <w:tcBorders>
              <w:top w:val="single" w:sz="4" w:space="0" w:color="auto"/>
              <w:left w:val="single" w:sz="4" w:space="0" w:color="auto"/>
              <w:bottom w:val="single" w:sz="4" w:space="0" w:color="auto"/>
              <w:right w:val="single" w:sz="4" w:space="0" w:color="auto"/>
            </w:tcBorders>
          </w:tcPr>
          <w:p w14:paraId="3AE13404" w14:textId="77777777" w:rsidR="00157AAA" w:rsidRDefault="006C1BE5">
            <w:pPr>
              <w:spacing w:after="0"/>
              <w:rPr>
                <w:rFonts w:ascii="Times New Roman" w:hAnsi="Times New Roman"/>
                <w:szCs w:val="24"/>
              </w:rPr>
            </w:pPr>
            <w:r>
              <w:rPr>
                <w:rFonts w:ascii="Times New Roman" w:hAnsi="Times New Roman"/>
                <w:szCs w:val="24"/>
              </w:rPr>
              <w:t>The NSW system informs the EO that the status of the Application of LPCO is changed to accepted and the LPCO is issued and sent to EO.</w:t>
            </w:r>
          </w:p>
        </w:tc>
      </w:tr>
      <w:tr w:rsidR="00157AAA" w14:paraId="1DD271EB" w14:textId="77777777" w:rsidTr="001136D3">
        <w:tc>
          <w:tcPr>
            <w:tcW w:w="1525" w:type="dxa"/>
            <w:tcBorders>
              <w:top w:val="single" w:sz="4" w:space="0" w:color="auto"/>
              <w:left w:val="single" w:sz="4" w:space="0" w:color="auto"/>
              <w:bottom w:val="single" w:sz="4" w:space="0" w:color="auto"/>
              <w:right w:val="single" w:sz="4" w:space="0" w:color="auto"/>
            </w:tcBorders>
          </w:tcPr>
          <w:p w14:paraId="35F2848F"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33D44049" w14:textId="77777777" w:rsidR="00157AAA" w:rsidRDefault="006C1BE5" w:rsidP="001136D3">
            <w:pPr>
              <w:spacing w:after="0"/>
              <w:rPr>
                <w:rFonts w:ascii="Times New Roman" w:hAnsi="Times New Roman"/>
                <w:szCs w:val="24"/>
              </w:rPr>
            </w:pPr>
            <w:r>
              <w:rPr>
                <w:rFonts w:ascii="Times New Roman" w:hAnsi="Times New Roman"/>
                <w:szCs w:val="24"/>
              </w:rPr>
              <w:t>Send LPCO Data to Repository</w:t>
            </w:r>
          </w:p>
        </w:tc>
        <w:tc>
          <w:tcPr>
            <w:tcW w:w="4765" w:type="dxa"/>
            <w:tcBorders>
              <w:top w:val="single" w:sz="4" w:space="0" w:color="auto"/>
              <w:left w:val="single" w:sz="4" w:space="0" w:color="auto"/>
              <w:bottom w:val="single" w:sz="4" w:space="0" w:color="auto"/>
              <w:right w:val="single" w:sz="4" w:space="0" w:color="auto"/>
            </w:tcBorders>
          </w:tcPr>
          <w:p w14:paraId="70B2FE4B" w14:textId="77777777" w:rsidR="00157AAA" w:rsidRDefault="006C1BE5">
            <w:pPr>
              <w:spacing w:after="0"/>
              <w:rPr>
                <w:rFonts w:ascii="Times New Roman" w:hAnsi="Times New Roman"/>
                <w:szCs w:val="24"/>
              </w:rPr>
            </w:pPr>
            <w:r>
              <w:rPr>
                <w:rFonts w:ascii="Times New Roman" w:hAnsi="Times New Roman"/>
                <w:szCs w:val="24"/>
              </w:rPr>
              <w:t>The NSW system send LPCO data to the repository, including all relevant information of all certificates with all necessary information.</w:t>
            </w:r>
          </w:p>
        </w:tc>
      </w:tr>
      <w:tr w:rsidR="00157AAA" w14:paraId="103C5872" w14:textId="77777777" w:rsidTr="001136D3">
        <w:tc>
          <w:tcPr>
            <w:tcW w:w="1525" w:type="dxa"/>
            <w:tcBorders>
              <w:top w:val="single" w:sz="4" w:space="0" w:color="auto"/>
              <w:left w:val="single" w:sz="4" w:space="0" w:color="auto"/>
              <w:bottom w:val="single" w:sz="4" w:space="0" w:color="auto"/>
              <w:right w:val="single" w:sz="4" w:space="0" w:color="auto"/>
            </w:tcBorders>
          </w:tcPr>
          <w:p w14:paraId="2D6902CA" w14:textId="77777777" w:rsidR="00157AAA" w:rsidRDefault="006C1BE5">
            <w:pPr>
              <w:spacing w:after="0"/>
              <w:rPr>
                <w:rFonts w:ascii="Times New Roman" w:hAnsi="Times New Roman"/>
                <w:szCs w:val="24"/>
              </w:rPr>
            </w:pPr>
            <w:r>
              <w:rPr>
                <w:rFonts w:ascii="Times New Roman" w:hAnsi="Times New Roman"/>
                <w:szCs w:val="24"/>
              </w:rPr>
              <w:t>Send Task</w:t>
            </w:r>
          </w:p>
        </w:tc>
        <w:tc>
          <w:tcPr>
            <w:tcW w:w="2340" w:type="dxa"/>
            <w:tcBorders>
              <w:top w:val="single" w:sz="4" w:space="0" w:color="auto"/>
              <w:left w:val="single" w:sz="4" w:space="0" w:color="auto"/>
              <w:bottom w:val="single" w:sz="4" w:space="0" w:color="auto"/>
              <w:right w:val="single" w:sz="4" w:space="0" w:color="auto"/>
            </w:tcBorders>
          </w:tcPr>
          <w:p w14:paraId="309CBEA0" w14:textId="77777777" w:rsidR="00157AAA" w:rsidRDefault="006C1BE5" w:rsidP="001136D3">
            <w:pPr>
              <w:spacing w:after="0"/>
              <w:rPr>
                <w:rFonts w:ascii="Times New Roman" w:hAnsi="Times New Roman"/>
                <w:szCs w:val="24"/>
              </w:rPr>
            </w:pPr>
            <w:r>
              <w:rPr>
                <w:rFonts w:ascii="Times New Roman" w:hAnsi="Times New Roman"/>
                <w:szCs w:val="24"/>
              </w:rPr>
              <w:t>Send LPCO Data to SEED+</w:t>
            </w:r>
          </w:p>
        </w:tc>
        <w:tc>
          <w:tcPr>
            <w:tcW w:w="4765" w:type="dxa"/>
            <w:tcBorders>
              <w:top w:val="single" w:sz="4" w:space="0" w:color="auto"/>
              <w:left w:val="single" w:sz="4" w:space="0" w:color="auto"/>
              <w:bottom w:val="single" w:sz="4" w:space="0" w:color="auto"/>
              <w:right w:val="single" w:sz="4" w:space="0" w:color="auto"/>
            </w:tcBorders>
          </w:tcPr>
          <w:p w14:paraId="0849BF4B" w14:textId="501ECB70" w:rsidR="00157AAA" w:rsidRDefault="00A325D2">
            <w:pPr>
              <w:spacing w:after="0"/>
              <w:rPr>
                <w:rFonts w:ascii="Times New Roman" w:hAnsi="Times New Roman"/>
                <w:szCs w:val="24"/>
              </w:rPr>
            </w:pPr>
            <w:r w:rsidRPr="00A325D2">
              <w:rPr>
                <w:rFonts w:ascii="Times New Roman" w:hAnsi="Times New Roman"/>
                <w:szCs w:val="24"/>
              </w:rPr>
              <w:t xml:space="preserve">The NSW system send LPCO data to the SEED+, if the LPCO data </w:t>
            </w:r>
            <w:proofErr w:type="gramStart"/>
            <w:r w:rsidRPr="00A325D2">
              <w:rPr>
                <w:rFonts w:ascii="Times New Roman" w:hAnsi="Times New Roman"/>
                <w:szCs w:val="24"/>
              </w:rPr>
              <w:t>should  be</w:t>
            </w:r>
            <w:proofErr w:type="gramEnd"/>
            <w:r w:rsidRPr="00A325D2">
              <w:rPr>
                <w:rFonts w:ascii="Times New Roman" w:hAnsi="Times New Roman"/>
                <w:szCs w:val="24"/>
              </w:rPr>
              <w:t xml:space="preserve"> send to SEED+.</w:t>
            </w:r>
          </w:p>
        </w:tc>
      </w:tr>
      <w:tr w:rsidR="00157AAA" w14:paraId="747917FA" w14:textId="77777777" w:rsidTr="001136D3">
        <w:tc>
          <w:tcPr>
            <w:tcW w:w="1525" w:type="dxa"/>
            <w:tcBorders>
              <w:top w:val="single" w:sz="4" w:space="0" w:color="auto"/>
              <w:left w:val="single" w:sz="4" w:space="0" w:color="auto"/>
              <w:bottom w:val="single" w:sz="4" w:space="0" w:color="auto"/>
              <w:right w:val="single" w:sz="4" w:space="0" w:color="auto"/>
            </w:tcBorders>
          </w:tcPr>
          <w:p w14:paraId="7619C9BA" w14:textId="77777777" w:rsidR="00157AAA" w:rsidRDefault="006C1BE5">
            <w:pPr>
              <w:spacing w:after="0"/>
              <w:rPr>
                <w:rFonts w:ascii="Times New Roman" w:hAnsi="Times New Roman"/>
                <w:szCs w:val="24"/>
              </w:rPr>
            </w:pPr>
            <w:r>
              <w:rPr>
                <w:rFonts w:ascii="Times New Roman" w:hAnsi="Times New Roman"/>
                <w:szCs w:val="24"/>
              </w:rPr>
              <w:t>End event</w:t>
            </w:r>
          </w:p>
        </w:tc>
        <w:tc>
          <w:tcPr>
            <w:tcW w:w="2340" w:type="dxa"/>
            <w:tcBorders>
              <w:top w:val="single" w:sz="4" w:space="0" w:color="auto"/>
              <w:left w:val="single" w:sz="4" w:space="0" w:color="auto"/>
              <w:bottom w:val="single" w:sz="4" w:space="0" w:color="auto"/>
              <w:right w:val="single" w:sz="4" w:space="0" w:color="auto"/>
            </w:tcBorders>
          </w:tcPr>
          <w:p w14:paraId="565CED3D" w14:textId="77777777" w:rsidR="00157AAA" w:rsidRDefault="006C1BE5" w:rsidP="001136D3">
            <w:pPr>
              <w:spacing w:after="0"/>
              <w:rPr>
                <w:rFonts w:ascii="Times New Roman" w:hAnsi="Times New Roman"/>
                <w:szCs w:val="24"/>
              </w:rPr>
            </w:pPr>
            <w:r>
              <w:rPr>
                <w:rFonts w:ascii="Times New Roman" w:hAnsi="Times New Roman"/>
                <w:szCs w:val="24"/>
              </w:rPr>
              <w:t>Application for LPCO Processed</w:t>
            </w:r>
          </w:p>
        </w:tc>
        <w:tc>
          <w:tcPr>
            <w:tcW w:w="4765" w:type="dxa"/>
            <w:tcBorders>
              <w:top w:val="single" w:sz="4" w:space="0" w:color="auto"/>
              <w:left w:val="single" w:sz="4" w:space="0" w:color="auto"/>
              <w:bottom w:val="single" w:sz="4" w:space="0" w:color="auto"/>
              <w:right w:val="single" w:sz="4" w:space="0" w:color="auto"/>
            </w:tcBorders>
          </w:tcPr>
          <w:p w14:paraId="460622FD" w14:textId="77777777" w:rsidR="00157AAA" w:rsidRDefault="006C1BE5">
            <w:pPr>
              <w:spacing w:after="0"/>
              <w:rPr>
                <w:rFonts w:ascii="Times New Roman" w:hAnsi="Times New Roman"/>
                <w:szCs w:val="24"/>
              </w:rPr>
            </w:pPr>
            <w:r>
              <w:rPr>
                <w:rFonts w:ascii="Times New Roman" w:hAnsi="Times New Roman"/>
                <w:szCs w:val="24"/>
              </w:rPr>
              <w:t>Application processed.</w:t>
            </w:r>
          </w:p>
        </w:tc>
      </w:tr>
    </w:tbl>
    <w:p w14:paraId="7AF5CF1D" w14:textId="77777777" w:rsidR="00157AAA" w:rsidRDefault="00157AAA">
      <w:pPr>
        <w:rPr>
          <w:szCs w:val="24"/>
          <w:highlight w:val="yellow"/>
        </w:rPr>
      </w:pPr>
    </w:p>
    <w:p w14:paraId="4317909C" w14:textId="77777777" w:rsidR="00157AAA" w:rsidRPr="008E2AAD" w:rsidRDefault="006C1BE5">
      <w:pPr>
        <w:jc w:val="left"/>
        <w:rPr>
          <w:b/>
        </w:rPr>
      </w:pPr>
      <w:r w:rsidRPr="008E2AAD">
        <w:rPr>
          <w:b/>
        </w:rPr>
        <w:t>Functional Requirements:</w:t>
      </w:r>
    </w:p>
    <w:p w14:paraId="7A137AEC" w14:textId="77777777" w:rsidR="00157AAA" w:rsidRDefault="00157AAA">
      <w:pPr>
        <w:spacing w:after="0"/>
        <w:jc w:val="left"/>
        <w:rPr>
          <w:highlight w:val="yellow"/>
        </w:rPr>
      </w:pPr>
    </w:p>
    <w:tbl>
      <w:tblPr>
        <w:tblStyle w:val="TableGrid2"/>
        <w:tblW w:w="8635" w:type="dxa"/>
        <w:tblLook w:val="04A0" w:firstRow="1" w:lastRow="0" w:firstColumn="1" w:lastColumn="0" w:noHBand="0" w:noVBand="1"/>
      </w:tblPr>
      <w:tblGrid>
        <w:gridCol w:w="895"/>
        <w:gridCol w:w="7740"/>
      </w:tblGrid>
      <w:tr w:rsidR="00157AAA" w14:paraId="1CC2DDBA" w14:textId="77777777" w:rsidTr="001136D3">
        <w:trPr>
          <w:tblHeader/>
        </w:trPr>
        <w:tc>
          <w:tcPr>
            <w:tcW w:w="895" w:type="dxa"/>
            <w:shd w:val="clear" w:color="auto" w:fill="D9D9D9" w:themeFill="background1" w:themeFillShade="D9"/>
          </w:tcPr>
          <w:p w14:paraId="585FB029" w14:textId="77777777" w:rsidR="00157AAA" w:rsidRDefault="006C1BE5" w:rsidP="001136D3">
            <w:pPr>
              <w:spacing w:after="0"/>
              <w:rPr>
                <w:b/>
                <w:szCs w:val="24"/>
              </w:rPr>
            </w:pPr>
            <w:r>
              <w:rPr>
                <w:b/>
                <w:szCs w:val="24"/>
              </w:rPr>
              <w:t>ID</w:t>
            </w:r>
          </w:p>
        </w:tc>
        <w:tc>
          <w:tcPr>
            <w:tcW w:w="7740" w:type="dxa"/>
            <w:shd w:val="clear" w:color="auto" w:fill="D9D9D9" w:themeFill="background1" w:themeFillShade="D9"/>
          </w:tcPr>
          <w:p w14:paraId="69F5FB9E" w14:textId="77777777" w:rsidR="00157AAA" w:rsidRDefault="006C1BE5" w:rsidP="001136D3">
            <w:pPr>
              <w:spacing w:after="0"/>
              <w:jc w:val="left"/>
              <w:rPr>
                <w:b/>
                <w:szCs w:val="24"/>
              </w:rPr>
            </w:pPr>
            <w:r>
              <w:rPr>
                <w:b/>
                <w:szCs w:val="24"/>
              </w:rPr>
              <w:t>Description</w:t>
            </w:r>
          </w:p>
        </w:tc>
      </w:tr>
      <w:tr w:rsidR="00E057E7" w14:paraId="5EBA8DA6" w14:textId="77777777" w:rsidTr="001136D3">
        <w:tc>
          <w:tcPr>
            <w:tcW w:w="895" w:type="dxa"/>
            <w:vAlign w:val="bottom"/>
          </w:tcPr>
          <w:p w14:paraId="7AC0EFAD" w14:textId="4A39A848" w:rsidR="00E057E7" w:rsidRDefault="00E057E7" w:rsidP="001136D3">
            <w:pPr>
              <w:spacing w:after="0"/>
              <w:rPr>
                <w:szCs w:val="24"/>
              </w:rPr>
            </w:pPr>
            <w:r>
              <w:rPr>
                <w:szCs w:val="24"/>
              </w:rPr>
              <w:t>FR3</w:t>
            </w:r>
          </w:p>
        </w:tc>
        <w:tc>
          <w:tcPr>
            <w:tcW w:w="7740" w:type="dxa"/>
          </w:tcPr>
          <w:p w14:paraId="67B54E83" w14:textId="77777777" w:rsidR="00E057E7" w:rsidRDefault="00E057E7">
            <w:pPr>
              <w:spacing w:after="0"/>
            </w:pPr>
            <w:r>
              <w:rPr>
                <w:szCs w:val="24"/>
              </w:rPr>
              <w:t xml:space="preserve">NSW must allow the flexibility to add or change the </w:t>
            </w:r>
          </w:p>
          <w:p w14:paraId="56B7A826" w14:textId="38293A71" w:rsidR="00E057E7" w:rsidRDefault="00E057E7" w:rsidP="001136D3">
            <w:pPr>
              <w:spacing w:after="0"/>
              <w:rPr>
                <w:szCs w:val="24"/>
              </w:rPr>
            </w:pPr>
            <w:r>
              <w:rPr>
                <w:szCs w:val="24"/>
              </w:rPr>
              <w:t>workflow and routing behavior for a transaction.</w:t>
            </w:r>
          </w:p>
        </w:tc>
      </w:tr>
      <w:tr w:rsidR="00E057E7" w14:paraId="7229F793" w14:textId="77777777" w:rsidTr="001136D3">
        <w:tc>
          <w:tcPr>
            <w:tcW w:w="895" w:type="dxa"/>
            <w:vAlign w:val="bottom"/>
          </w:tcPr>
          <w:p w14:paraId="33BE740F" w14:textId="7C9A7B74" w:rsidR="00E057E7" w:rsidRDefault="00E057E7" w:rsidP="001136D3">
            <w:pPr>
              <w:spacing w:after="0"/>
              <w:rPr>
                <w:szCs w:val="24"/>
              </w:rPr>
            </w:pPr>
            <w:r>
              <w:rPr>
                <w:szCs w:val="24"/>
              </w:rPr>
              <w:t>FR4</w:t>
            </w:r>
          </w:p>
        </w:tc>
        <w:tc>
          <w:tcPr>
            <w:tcW w:w="7740" w:type="dxa"/>
          </w:tcPr>
          <w:p w14:paraId="2C772743" w14:textId="20BD5837" w:rsidR="00E057E7" w:rsidRDefault="00E057E7" w:rsidP="001136D3">
            <w:pPr>
              <w:spacing w:after="0"/>
              <w:rPr>
                <w:szCs w:val="24"/>
              </w:rPr>
            </w:pPr>
            <w:r>
              <w:rPr>
                <w:szCs w:val="24"/>
              </w:rPr>
              <w:t xml:space="preserve">The NSW Operator / administrator must be able to change the routing behavior and workflow/events associated for </w:t>
            </w:r>
            <w:proofErr w:type="gramStart"/>
            <w:r>
              <w:rPr>
                <w:szCs w:val="24"/>
              </w:rPr>
              <w:t>particular submission/lodgment</w:t>
            </w:r>
            <w:proofErr w:type="gramEnd"/>
            <w:r>
              <w:rPr>
                <w:szCs w:val="24"/>
              </w:rPr>
              <w:t xml:space="preserve"> types based on business rules.</w:t>
            </w:r>
          </w:p>
        </w:tc>
      </w:tr>
      <w:tr w:rsidR="009068DA" w14:paraId="7CD446E1" w14:textId="77777777" w:rsidTr="001136D3">
        <w:tc>
          <w:tcPr>
            <w:tcW w:w="895" w:type="dxa"/>
          </w:tcPr>
          <w:p w14:paraId="5861BAC1" w14:textId="2344922C" w:rsidR="009068DA" w:rsidRDefault="009068DA" w:rsidP="001136D3">
            <w:pPr>
              <w:spacing w:after="0"/>
              <w:rPr>
                <w:szCs w:val="24"/>
              </w:rPr>
            </w:pPr>
            <w:r>
              <w:rPr>
                <w:szCs w:val="24"/>
              </w:rPr>
              <w:t>FR119</w:t>
            </w:r>
          </w:p>
        </w:tc>
        <w:tc>
          <w:tcPr>
            <w:tcW w:w="7740" w:type="dxa"/>
          </w:tcPr>
          <w:p w14:paraId="38465269" w14:textId="445F9E31" w:rsidR="009068DA" w:rsidRDefault="009068DA" w:rsidP="001136D3">
            <w:pPr>
              <w:spacing w:after="0"/>
              <w:rPr>
                <w:szCs w:val="24"/>
              </w:rPr>
            </w:pPr>
            <w:r w:rsidRPr="000B39A5">
              <w:t>The System must allow CBRAs to configure</w:t>
            </w:r>
            <w:r>
              <w:t xml:space="preserve"> a list of pre-qualified prerequisite supporting document reference number (e.g., Import / Export Registration Number, etc.) </w:t>
            </w:r>
            <w:r w:rsidRPr="000B39A5">
              <w:t>to be checked by the NSW System automatically</w:t>
            </w:r>
            <w:r>
              <w:t xml:space="preserve"> to facilitate the Applicant’s application.</w:t>
            </w:r>
          </w:p>
        </w:tc>
      </w:tr>
      <w:tr w:rsidR="009068DA" w14:paraId="5850F59A" w14:textId="77777777" w:rsidTr="001136D3">
        <w:tc>
          <w:tcPr>
            <w:tcW w:w="895" w:type="dxa"/>
          </w:tcPr>
          <w:p w14:paraId="35D8FCF6" w14:textId="77777777" w:rsidR="009068DA" w:rsidRDefault="009068DA" w:rsidP="001136D3">
            <w:pPr>
              <w:spacing w:after="0"/>
              <w:rPr>
                <w:szCs w:val="24"/>
              </w:rPr>
            </w:pPr>
            <w:r>
              <w:rPr>
                <w:szCs w:val="24"/>
              </w:rPr>
              <w:t>FR126</w:t>
            </w:r>
          </w:p>
        </w:tc>
        <w:tc>
          <w:tcPr>
            <w:tcW w:w="7740" w:type="dxa"/>
          </w:tcPr>
          <w:p w14:paraId="606D332B" w14:textId="77777777" w:rsidR="009068DA" w:rsidRDefault="009068DA" w:rsidP="001136D3">
            <w:pPr>
              <w:spacing w:after="0"/>
              <w:rPr>
                <w:szCs w:val="24"/>
              </w:rPr>
            </w:pPr>
            <w:r>
              <w:rPr>
                <w:szCs w:val="24"/>
              </w:rPr>
              <w:t>The CBRA shall perform the processing of the LPCO application. The NSW shall receive status updates from the CBRA system and display to the trader UI.</w:t>
            </w:r>
          </w:p>
        </w:tc>
      </w:tr>
      <w:tr w:rsidR="009068DA" w14:paraId="3E3E7701" w14:textId="77777777" w:rsidTr="001136D3">
        <w:tc>
          <w:tcPr>
            <w:tcW w:w="895" w:type="dxa"/>
          </w:tcPr>
          <w:p w14:paraId="34EAEDE3" w14:textId="77777777" w:rsidR="009068DA" w:rsidRDefault="009068DA" w:rsidP="001136D3">
            <w:pPr>
              <w:spacing w:after="0"/>
              <w:rPr>
                <w:szCs w:val="24"/>
              </w:rPr>
            </w:pPr>
            <w:r>
              <w:rPr>
                <w:szCs w:val="24"/>
              </w:rPr>
              <w:t>FR127</w:t>
            </w:r>
          </w:p>
        </w:tc>
        <w:tc>
          <w:tcPr>
            <w:tcW w:w="7740" w:type="dxa"/>
          </w:tcPr>
          <w:p w14:paraId="33B4E83F" w14:textId="77777777" w:rsidR="009068DA" w:rsidRDefault="009068DA" w:rsidP="001136D3">
            <w:pPr>
              <w:spacing w:after="0"/>
              <w:rPr>
                <w:szCs w:val="24"/>
              </w:rPr>
            </w:pPr>
            <w:r>
              <w:rPr>
                <w:szCs w:val="24"/>
              </w:rPr>
              <w:t xml:space="preserve">Upon approval, the system </w:t>
            </w:r>
            <w:r>
              <w:t xml:space="preserve">must </w:t>
            </w:r>
            <w:r>
              <w:rPr>
                <w:szCs w:val="24"/>
              </w:rPr>
              <w:t>compute the LPCO fees and charges (if any) and send a payment advice to the applicant, with a copy to update in the CBRA system.</w:t>
            </w:r>
          </w:p>
        </w:tc>
      </w:tr>
      <w:tr w:rsidR="009068DA" w14:paraId="53097E49" w14:textId="77777777" w:rsidTr="001136D3">
        <w:tc>
          <w:tcPr>
            <w:tcW w:w="895" w:type="dxa"/>
          </w:tcPr>
          <w:p w14:paraId="7D682B17" w14:textId="77777777" w:rsidR="009068DA" w:rsidRDefault="009068DA" w:rsidP="001136D3">
            <w:pPr>
              <w:spacing w:after="0"/>
              <w:rPr>
                <w:szCs w:val="24"/>
              </w:rPr>
            </w:pPr>
            <w:r>
              <w:rPr>
                <w:szCs w:val="24"/>
              </w:rPr>
              <w:t>FR128</w:t>
            </w:r>
          </w:p>
        </w:tc>
        <w:tc>
          <w:tcPr>
            <w:tcW w:w="7740" w:type="dxa"/>
          </w:tcPr>
          <w:p w14:paraId="204A075F" w14:textId="77777777" w:rsidR="009068DA" w:rsidRDefault="009068DA" w:rsidP="001136D3">
            <w:pPr>
              <w:spacing w:after="0"/>
              <w:rPr>
                <w:szCs w:val="24"/>
              </w:rPr>
            </w:pPr>
            <w:r>
              <w:rPr>
                <w:szCs w:val="24"/>
              </w:rPr>
              <w:t xml:space="preserve">Upon payment by the applicant, the system </w:t>
            </w:r>
            <w:r>
              <w:t xml:space="preserve">must </w:t>
            </w:r>
            <w:r>
              <w:rPr>
                <w:szCs w:val="24"/>
              </w:rPr>
              <w:t>receive the payment confirmation from the bank via the NSW Payment functionality and update this status to the CBRA system.</w:t>
            </w:r>
          </w:p>
        </w:tc>
      </w:tr>
      <w:tr w:rsidR="009068DA" w14:paraId="29171377" w14:textId="77777777" w:rsidTr="001136D3">
        <w:tc>
          <w:tcPr>
            <w:tcW w:w="895" w:type="dxa"/>
          </w:tcPr>
          <w:p w14:paraId="2E3E87E5" w14:textId="77777777" w:rsidR="009068DA" w:rsidRDefault="009068DA" w:rsidP="001136D3">
            <w:pPr>
              <w:spacing w:after="0"/>
              <w:rPr>
                <w:szCs w:val="24"/>
              </w:rPr>
            </w:pPr>
            <w:r>
              <w:rPr>
                <w:szCs w:val="24"/>
              </w:rPr>
              <w:t>FR129</w:t>
            </w:r>
          </w:p>
        </w:tc>
        <w:tc>
          <w:tcPr>
            <w:tcW w:w="7740" w:type="dxa"/>
          </w:tcPr>
          <w:p w14:paraId="2FF019B5" w14:textId="77777777" w:rsidR="009068DA" w:rsidRDefault="009068DA" w:rsidP="001136D3">
            <w:pPr>
              <w:spacing w:after="0"/>
              <w:rPr>
                <w:szCs w:val="24"/>
              </w:rPr>
            </w:pPr>
            <w:r>
              <w:rPr>
                <w:szCs w:val="24"/>
              </w:rPr>
              <w:t>When the CBRA issues the electronic LPCO with the associated UCR, and send to the NSW System, which shall notify and relay to the applicant via the Trader UI.</w:t>
            </w:r>
          </w:p>
        </w:tc>
      </w:tr>
      <w:tr w:rsidR="009068DA" w14:paraId="24AFA1E7" w14:textId="77777777" w:rsidTr="001136D3">
        <w:tc>
          <w:tcPr>
            <w:tcW w:w="895" w:type="dxa"/>
          </w:tcPr>
          <w:p w14:paraId="7552867B" w14:textId="77777777" w:rsidR="009068DA" w:rsidRDefault="009068DA" w:rsidP="001136D3">
            <w:pPr>
              <w:spacing w:after="0"/>
              <w:rPr>
                <w:szCs w:val="24"/>
              </w:rPr>
            </w:pPr>
            <w:r>
              <w:rPr>
                <w:szCs w:val="24"/>
              </w:rPr>
              <w:t>FR131</w:t>
            </w:r>
          </w:p>
        </w:tc>
        <w:tc>
          <w:tcPr>
            <w:tcW w:w="7740" w:type="dxa"/>
          </w:tcPr>
          <w:p w14:paraId="79FE1D1C" w14:textId="77777777" w:rsidR="009068DA" w:rsidRDefault="009068DA" w:rsidP="001136D3">
            <w:pPr>
              <w:spacing w:after="0"/>
              <w:rPr>
                <w:szCs w:val="24"/>
              </w:rPr>
            </w:pPr>
            <w:r>
              <w:rPr>
                <w:szCs w:val="24"/>
              </w:rPr>
              <w:t xml:space="preserve">The CBRA staff shall receive an alert on </w:t>
            </w:r>
            <w:proofErr w:type="gramStart"/>
            <w:r>
              <w:rPr>
                <w:szCs w:val="24"/>
              </w:rPr>
              <w:t>pending</w:t>
            </w:r>
            <w:proofErr w:type="gramEnd"/>
            <w:r>
              <w:rPr>
                <w:szCs w:val="24"/>
              </w:rPr>
              <w:t xml:space="preserve"> LPCO application to be processed. </w:t>
            </w:r>
          </w:p>
        </w:tc>
      </w:tr>
      <w:tr w:rsidR="009068DA" w14:paraId="550AC96D" w14:textId="77777777" w:rsidTr="001136D3">
        <w:tc>
          <w:tcPr>
            <w:tcW w:w="895" w:type="dxa"/>
          </w:tcPr>
          <w:p w14:paraId="00E2CF99" w14:textId="77777777" w:rsidR="009068DA" w:rsidRDefault="009068DA" w:rsidP="001136D3">
            <w:pPr>
              <w:spacing w:after="0"/>
              <w:rPr>
                <w:szCs w:val="24"/>
              </w:rPr>
            </w:pPr>
            <w:r>
              <w:rPr>
                <w:szCs w:val="24"/>
              </w:rPr>
              <w:t>FR132</w:t>
            </w:r>
          </w:p>
        </w:tc>
        <w:tc>
          <w:tcPr>
            <w:tcW w:w="7740" w:type="dxa"/>
          </w:tcPr>
          <w:p w14:paraId="1842C84C" w14:textId="77777777" w:rsidR="009068DA" w:rsidRDefault="009068DA" w:rsidP="001136D3">
            <w:pPr>
              <w:spacing w:after="0"/>
              <w:rPr>
                <w:szCs w:val="24"/>
              </w:rPr>
            </w:pPr>
            <w:r>
              <w:rPr>
                <w:szCs w:val="24"/>
              </w:rPr>
              <w:t xml:space="preserve">The system </w:t>
            </w:r>
            <w:r>
              <w:t>must</w:t>
            </w:r>
            <w:r>
              <w:rPr>
                <w:szCs w:val="24"/>
              </w:rPr>
              <w:t xml:space="preserve"> provide functionality for the appropriate staff of the CBRA to access the LPCO processing functionality to process, reject or approve an application.</w:t>
            </w:r>
          </w:p>
        </w:tc>
      </w:tr>
      <w:tr w:rsidR="009068DA" w14:paraId="5228714B" w14:textId="77777777" w:rsidTr="001136D3">
        <w:tc>
          <w:tcPr>
            <w:tcW w:w="895" w:type="dxa"/>
          </w:tcPr>
          <w:p w14:paraId="19DE3A52" w14:textId="77777777" w:rsidR="009068DA" w:rsidRDefault="009068DA" w:rsidP="001136D3">
            <w:pPr>
              <w:spacing w:after="0"/>
              <w:rPr>
                <w:szCs w:val="24"/>
              </w:rPr>
            </w:pPr>
            <w:r>
              <w:rPr>
                <w:szCs w:val="24"/>
              </w:rPr>
              <w:t>FR133</w:t>
            </w:r>
          </w:p>
        </w:tc>
        <w:tc>
          <w:tcPr>
            <w:tcW w:w="7740" w:type="dxa"/>
          </w:tcPr>
          <w:p w14:paraId="7D70242B" w14:textId="77777777" w:rsidR="009068DA" w:rsidRDefault="009068DA" w:rsidP="001136D3">
            <w:pPr>
              <w:spacing w:after="0"/>
              <w:rPr>
                <w:szCs w:val="24"/>
              </w:rPr>
            </w:pPr>
            <w:r>
              <w:rPr>
                <w:szCs w:val="24"/>
              </w:rPr>
              <w:t xml:space="preserve">CBRA staff shall be able to provide comments/rationale for rejection of LPCO application. This information shall be made available to the applicant. </w:t>
            </w:r>
          </w:p>
        </w:tc>
      </w:tr>
      <w:tr w:rsidR="009068DA" w14:paraId="3106430E" w14:textId="77777777" w:rsidTr="001136D3">
        <w:tc>
          <w:tcPr>
            <w:tcW w:w="895" w:type="dxa"/>
          </w:tcPr>
          <w:p w14:paraId="748F24D5" w14:textId="77777777" w:rsidR="009068DA" w:rsidRDefault="009068DA" w:rsidP="001136D3">
            <w:pPr>
              <w:spacing w:after="0"/>
              <w:rPr>
                <w:szCs w:val="24"/>
              </w:rPr>
            </w:pPr>
            <w:r>
              <w:rPr>
                <w:szCs w:val="24"/>
              </w:rPr>
              <w:t>FR134</w:t>
            </w:r>
          </w:p>
        </w:tc>
        <w:tc>
          <w:tcPr>
            <w:tcW w:w="7740" w:type="dxa"/>
          </w:tcPr>
          <w:p w14:paraId="3284F05F" w14:textId="77777777" w:rsidR="009068DA" w:rsidRDefault="009068DA" w:rsidP="001136D3">
            <w:pPr>
              <w:spacing w:after="0"/>
              <w:rPr>
                <w:szCs w:val="24"/>
              </w:rPr>
            </w:pPr>
            <w:r>
              <w:rPr>
                <w:szCs w:val="24"/>
              </w:rPr>
              <w:t xml:space="preserve">When an application is approved, the system </w:t>
            </w:r>
            <w:r>
              <w:t xml:space="preserve">must </w:t>
            </w:r>
            <w:r>
              <w:rPr>
                <w:szCs w:val="24"/>
              </w:rPr>
              <w:t>provide the ability to archive the application so that it can be retrieved as required.</w:t>
            </w:r>
          </w:p>
        </w:tc>
      </w:tr>
      <w:tr w:rsidR="009068DA" w14:paraId="5553226F" w14:textId="77777777" w:rsidTr="001136D3">
        <w:tc>
          <w:tcPr>
            <w:tcW w:w="895" w:type="dxa"/>
          </w:tcPr>
          <w:p w14:paraId="5847420E" w14:textId="77777777" w:rsidR="009068DA" w:rsidRDefault="009068DA" w:rsidP="001136D3">
            <w:pPr>
              <w:spacing w:after="0"/>
              <w:rPr>
                <w:szCs w:val="24"/>
              </w:rPr>
            </w:pPr>
            <w:r>
              <w:rPr>
                <w:szCs w:val="24"/>
              </w:rPr>
              <w:t>FR135</w:t>
            </w:r>
          </w:p>
        </w:tc>
        <w:tc>
          <w:tcPr>
            <w:tcW w:w="7740" w:type="dxa"/>
          </w:tcPr>
          <w:p w14:paraId="40BE0859" w14:textId="4A595B1A" w:rsidR="009068DA" w:rsidRDefault="009068DA" w:rsidP="001136D3">
            <w:pPr>
              <w:spacing w:after="0"/>
              <w:rPr>
                <w:szCs w:val="24"/>
              </w:rPr>
            </w:pPr>
            <w:r>
              <w:rPr>
                <w:szCs w:val="24"/>
              </w:rPr>
              <w:t>The CBRA staff can check the trader information by viewing the profile of a registered user via the Registration functionality.</w:t>
            </w:r>
          </w:p>
        </w:tc>
      </w:tr>
      <w:tr w:rsidR="009068DA" w14:paraId="2BCA0064" w14:textId="77777777" w:rsidTr="001136D3">
        <w:tc>
          <w:tcPr>
            <w:tcW w:w="895" w:type="dxa"/>
          </w:tcPr>
          <w:p w14:paraId="715CEFF0" w14:textId="77777777" w:rsidR="009068DA" w:rsidRDefault="009068DA" w:rsidP="001136D3">
            <w:pPr>
              <w:spacing w:after="0"/>
              <w:rPr>
                <w:szCs w:val="24"/>
              </w:rPr>
            </w:pPr>
            <w:r>
              <w:rPr>
                <w:szCs w:val="24"/>
              </w:rPr>
              <w:t>FR136</w:t>
            </w:r>
          </w:p>
        </w:tc>
        <w:tc>
          <w:tcPr>
            <w:tcW w:w="7740" w:type="dxa"/>
          </w:tcPr>
          <w:p w14:paraId="156DAE72" w14:textId="77777777" w:rsidR="009068DA" w:rsidRDefault="009068DA" w:rsidP="001136D3">
            <w:pPr>
              <w:spacing w:after="0"/>
              <w:rPr>
                <w:szCs w:val="24"/>
              </w:rPr>
            </w:pPr>
            <w:r>
              <w:rPr>
                <w:szCs w:val="24"/>
              </w:rPr>
              <w:t xml:space="preserve">The system </w:t>
            </w:r>
            <w:r>
              <w:t xml:space="preserve">must </w:t>
            </w:r>
            <w:r>
              <w:rPr>
                <w:szCs w:val="24"/>
              </w:rPr>
              <w:t>include all necessary workflow to support the acceptance, review, and authorization of LPCO applications.</w:t>
            </w:r>
          </w:p>
        </w:tc>
      </w:tr>
      <w:tr w:rsidR="009068DA" w14:paraId="2104CC18" w14:textId="77777777" w:rsidTr="001136D3">
        <w:tc>
          <w:tcPr>
            <w:tcW w:w="895" w:type="dxa"/>
          </w:tcPr>
          <w:p w14:paraId="58DED616" w14:textId="77777777" w:rsidR="009068DA" w:rsidRDefault="009068DA" w:rsidP="001136D3">
            <w:pPr>
              <w:spacing w:after="0"/>
              <w:rPr>
                <w:szCs w:val="24"/>
              </w:rPr>
            </w:pPr>
            <w:r>
              <w:rPr>
                <w:szCs w:val="24"/>
              </w:rPr>
              <w:t>FR138</w:t>
            </w:r>
          </w:p>
          <w:p w14:paraId="77C80219" w14:textId="77777777" w:rsidR="009068DA" w:rsidRDefault="009068DA" w:rsidP="001136D3">
            <w:pPr>
              <w:spacing w:after="0"/>
              <w:rPr>
                <w:szCs w:val="24"/>
              </w:rPr>
            </w:pPr>
          </w:p>
        </w:tc>
        <w:tc>
          <w:tcPr>
            <w:tcW w:w="7740" w:type="dxa"/>
          </w:tcPr>
          <w:p w14:paraId="4F057FCD" w14:textId="77777777" w:rsidR="009068DA" w:rsidRDefault="009068DA" w:rsidP="001136D3">
            <w:pPr>
              <w:spacing w:after="0"/>
              <w:rPr>
                <w:szCs w:val="24"/>
              </w:rPr>
            </w:pPr>
            <w:r>
              <w:rPr>
                <w:szCs w:val="24"/>
              </w:rPr>
              <w:t xml:space="preserve">Based on pre-defined conditions for application approval, the system shall enable the CBRA workflow to assign different ranks of CBRAs to verify, process and approve the application accordingly. </w:t>
            </w:r>
          </w:p>
        </w:tc>
      </w:tr>
      <w:tr w:rsidR="009068DA" w14:paraId="447A83CE" w14:textId="77777777" w:rsidTr="001136D3">
        <w:tc>
          <w:tcPr>
            <w:tcW w:w="895" w:type="dxa"/>
          </w:tcPr>
          <w:p w14:paraId="5016686B" w14:textId="77777777" w:rsidR="009068DA" w:rsidRDefault="009068DA" w:rsidP="001136D3">
            <w:pPr>
              <w:spacing w:after="0"/>
              <w:rPr>
                <w:szCs w:val="24"/>
              </w:rPr>
            </w:pPr>
            <w:r>
              <w:rPr>
                <w:szCs w:val="24"/>
              </w:rPr>
              <w:t>FR139</w:t>
            </w:r>
          </w:p>
        </w:tc>
        <w:tc>
          <w:tcPr>
            <w:tcW w:w="7740" w:type="dxa"/>
          </w:tcPr>
          <w:p w14:paraId="06B0B774" w14:textId="77777777" w:rsidR="009068DA" w:rsidRDefault="009068DA" w:rsidP="001136D3">
            <w:pPr>
              <w:spacing w:after="0"/>
              <w:rPr>
                <w:szCs w:val="24"/>
              </w:rPr>
            </w:pPr>
            <w:r>
              <w:rPr>
                <w:szCs w:val="24"/>
              </w:rPr>
              <w:t xml:space="preserve">The system must enable </w:t>
            </w:r>
            <w:proofErr w:type="gramStart"/>
            <w:r>
              <w:rPr>
                <w:szCs w:val="24"/>
              </w:rPr>
              <w:t>to</w:t>
            </w:r>
            <w:proofErr w:type="gramEnd"/>
            <w:r>
              <w:rPr>
                <w:szCs w:val="24"/>
              </w:rPr>
              <w:t xml:space="preserve"> transfer of applications between CBRAs, dependent upon the associated business rules. The NSW System must provide the applicant with current information regarding the process status. </w:t>
            </w:r>
          </w:p>
        </w:tc>
      </w:tr>
      <w:tr w:rsidR="008E779D" w14:paraId="08F53767" w14:textId="77777777" w:rsidTr="001136D3">
        <w:tc>
          <w:tcPr>
            <w:tcW w:w="895" w:type="dxa"/>
          </w:tcPr>
          <w:p w14:paraId="21BEFB14" w14:textId="670B4043" w:rsidR="008E779D" w:rsidRDefault="008E779D" w:rsidP="001136D3">
            <w:pPr>
              <w:spacing w:after="0"/>
              <w:rPr>
                <w:szCs w:val="24"/>
              </w:rPr>
            </w:pPr>
            <w:r>
              <w:rPr>
                <w:szCs w:val="24"/>
              </w:rPr>
              <w:t>FR140</w:t>
            </w:r>
          </w:p>
        </w:tc>
        <w:tc>
          <w:tcPr>
            <w:tcW w:w="7740" w:type="dxa"/>
          </w:tcPr>
          <w:p w14:paraId="36B2EB2F" w14:textId="3FE8F4FC" w:rsidR="008E779D" w:rsidRDefault="008E779D" w:rsidP="001136D3">
            <w:pPr>
              <w:spacing w:after="0"/>
              <w:rPr>
                <w:szCs w:val="24"/>
              </w:rPr>
            </w:pPr>
            <w:r>
              <w:rPr>
                <w:szCs w:val="24"/>
              </w:rPr>
              <w:t xml:space="preserve">The NSW system must provide functionality for one CBRA to participate in the approval process. </w:t>
            </w:r>
          </w:p>
        </w:tc>
      </w:tr>
      <w:tr w:rsidR="008E779D" w14:paraId="53CDEC03" w14:textId="77777777" w:rsidTr="001136D3">
        <w:tc>
          <w:tcPr>
            <w:tcW w:w="895" w:type="dxa"/>
          </w:tcPr>
          <w:p w14:paraId="2B1F4530" w14:textId="77777777" w:rsidR="008E779D" w:rsidRDefault="008E779D" w:rsidP="001136D3">
            <w:pPr>
              <w:spacing w:after="0"/>
              <w:rPr>
                <w:szCs w:val="24"/>
              </w:rPr>
            </w:pPr>
            <w:r>
              <w:rPr>
                <w:szCs w:val="24"/>
              </w:rPr>
              <w:lastRenderedPageBreak/>
              <w:t>FR141</w:t>
            </w:r>
          </w:p>
        </w:tc>
        <w:tc>
          <w:tcPr>
            <w:tcW w:w="7740" w:type="dxa"/>
          </w:tcPr>
          <w:p w14:paraId="69AE039F" w14:textId="77777777" w:rsidR="008E779D" w:rsidRDefault="008E779D" w:rsidP="001136D3">
            <w:pPr>
              <w:spacing w:after="0"/>
              <w:rPr>
                <w:szCs w:val="24"/>
              </w:rPr>
            </w:pPr>
            <w:r>
              <w:rPr>
                <w:szCs w:val="24"/>
              </w:rPr>
              <w:t xml:space="preserve">The system </w:t>
            </w:r>
            <w:r>
              <w:t xml:space="preserve">must </w:t>
            </w:r>
            <w:r>
              <w:rPr>
                <w:szCs w:val="24"/>
              </w:rPr>
              <w:t xml:space="preserve">provide functionality for viewing an approved application, an LPCO, with all associated documentation. The NSW System must ensure that only authorized users can access the documentation. </w:t>
            </w:r>
          </w:p>
        </w:tc>
      </w:tr>
      <w:tr w:rsidR="008E779D" w14:paraId="44852D43" w14:textId="77777777" w:rsidTr="001136D3">
        <w:tc>
          <w:tcPr>
            <w:tcW w:w="895" w:type="dxa"/>
          </w:tcPr>
          <w:p w14:paraId="1DE41598" w14:textId="77777777" w:rsidR="008E779D" w:rsidRDefault="008E779D" w:rsidP="001136D3">
            <w:pPr>
              <w:spacing w:after="0"/>
              <w:rPr>
                <w:szCs w:val="24"/>
              </w:rPr>
            </w:pPr>
            <w:r>
              <w:rPr>
                <w:szCs w:val="24"/>
              </w:rPr>
              <w:t>FR142</w:t>
            </w:r>
          </w:p>
        </w:tc>
        <w:tc>
          <w:tcPr>
            <w:tcW w:w="7740" w:type="dxa"/>
          </w:tcPr>
          <w:p w14:paraId="521D2E47" w14:textId="77777777" w:rsidR="008E779D" w:rsidRDefault="008E779D" w:rsidP="001136D3">
            <w:pPr>
              <w:spacing w:after="0"/>
              <w:rPr>
                <w:szCs w:val="24"/>
              </w:rPr>
            </w:pPr>
            <w:r>
              <w:rPr>
                <w:szCs w:val="24"/>
              </w:rPr>
              <w:t xml:space="preserve">The CBRA staff </w:t>
            </w:r>
            <w:r>
              <w:t xml:space="preserve">must </w:t>
            </w:r>
            <w:r>
              <w:rPr>
                <w:szCs w:val="24"/>
              </w:rPr>
              <w:t>be able to approve or reject applications by validating the supporting documents and checking the content of the application.</w:t>
            </w:r>
          </w:p>
        </w:tc>
      </w:tr>
      <w:tr w:rsidR="008E779D" w14:paraId="4B4D2C87" w14:textId="77777777" w:rsidTr="001136D3">
        <w:tc>
          <w:tcPr>
            <w:tcW w:w="895" w:type="dxa"/>
          </w:tcPr>
          <w:p w14:paraId="44264A84" w14:textId="77777777" w:rsidR="008E779D" w:rsidRDefault="008E779D" w:rsidP="001136D3">
            <w:pPr>
              <w:spacing w:after="0"/>
              <w:rPr>
                <w:szCs w:val="24"/>
              </w:rPr>
            </w:pPr>
            <w:r>
              <w:rPr>
                <w:szCs w:val="24"/>
              </w:rPr>
              <w:t>FR143</w:t>
            </w:r>
          </w:p>
        </w:tc>
        <w:tc>
          <w:tcPr>
            <w:tcW w:w="7740" w:type="dxa"/>
          </w:tcPr>
          <w:p w14:paraId="0C05885E" w14:textId="77777777" w:rsidR="008E779D" w:rsidRDefault="008E779D" w:rsidP="001136D3">
            <w:pPr>
              <w:spacing w:after="0"/>
              <w:rPr>
                <w:szCs w:val="24"/>
              </w:rPr>
            </w:pPr>
            <w:r>
              <w:rPr>
                <w:szCs w:val="24"/>
              </w:rPr>
              <w:t xml:space="preserve">The system </w:t>
            </w:r>
            <w:r>
              <w:t xml:space="preserve">must </w:t>
            </w:r>
            <w:r>
              <w:rPr>
                <w:szCs w:val="24"/>
              </w:rPr>
              <w:t>provide for the CBRA staff to view and download the processing history of specified LPCO application. The sequence of actions taken by the applicant and the CBRA can be viewed and downloaded.</w:t>
            </w:r>
          </w:p>
        </w:tc>
      </w:tr>
      <w:tr w:rsidR="008E779D" w14:paraId="554BD65E" w14:textId="77777777" w:rsidTr="001136D3">
        <w:tc>
          <w:tcPr>
            <w:tcW w:w="895" w:type="dxa"/>
          </w:tcPr>
          <w:p w14:paraId="6A97FD3B" w14:textId="77777777" w:rsidR="008E779D" w:rsidRDefault="008E779D" w:rsidP="001136D3">
            <w:pPr>
              <w:spacing w:after="0"/>
              <w:rPr>
                <w:szCs w:val="24"/>
              </w:rPr>
            </w:pPr>
            <w:r>
              <w:rPr>
                <w:szCs w:val="24"/>
              </w:rPr>
              <w:t>FR145</w:t>
            </w:r>
          </w:p>
        </w:tc>
        <w:tc>
          <w:tcPr>
            <w:tcW w:w="7740" w:type="dxa"/>
          </w:tcPr>
          <w:p w14:paraId="63DAA07D" w14:textId="77777777" w:rsidR="008E779D" w:rsidRDefault="008E779D" w:rsidP="001136D3">
            <w:pPr>
              <w:spacing w:after="0"/>
              <w:rPr>
                <w:szCs w:val="24"/>
              </w:rPr>
            </w:pPr>
            <w:r>
              <w:rPr>
                <w:szCs w:val="24"/>
              </w:rPr>
              <w:t xml:space="preserve">The system </w:t>
            </w:r>
            <w:r>
              <w:t xml:space="preserve">must </w:t>
            </w:r>
            <w:r>
              <w:rPr>
                <w:szCs w:val="24"/>
              </w:rPr>
              <w:t>provide the function for the CBRA to notify the Applicant of the status and result of the application. The CBRA can input the applicable terms and conditions as part of the approval.</w:t>
            </w:r>
          </w:p>
        </w:tc>
      </w:tr>
      <w:tr w:rsidR="008E779D" w14:paraId="3BC43F79" w14:textId="77777777" w:rsidTr="001136D3">
        <w:tc>
          <w:tcPr>
            <w:tcW w:w="895" w:type="dxa"/>
          </w:tcPr>
          <w:p w14:paraId="596BB0C2" w14:textId="77777777" w:rsidR="008E779D" w:rsidRDefault="008E779D" w:rsidP="001136D3">
            <w:pPr>
              <w:spacing w:after="0"/>
              <w:rPr>
                <w:szCs w:val="24"/>
              </w:rPr>
            </w:pPr>
            <w:r>
              <w:rPr>
                <w:szCs w:val="24"/>
              </w:rPr>
              <w:t>FR146</w:t>
            </w:r>
          </w:p>
        </w:tc>
        <w:tc>
          <w:tcPr>
            <w:tcW w:w="7740" w:type="dxa"/>
          </w:tcPr>
          <w:p w14:paraId="1368EFCD" w14:textId="77777777" w:rsidR="008E779D" w:rsidRDefault="008E779D" w:rsidP="001136D3">
            <w:pPr>
              <w:spacing w:after="0"/>
              <w:rPr>
                <w:szCs w:val="24"/>
              </w:rPr>
            </w:pPr>
            <w:r>
              <w:rPr>
                <w:szCs w:val="24"/>
              </w:rPr>
              <w:t>The CBRA may view and download all outgoing correspondence related to LPCO application from the NSW System to the applicant.</w:t>
            </w:r>
          </w:p>
        </w:tc>
      </w:tr>
      <w:tr w:rsidR="008E779D" w14:paraId="2F8F7FC4" w14:textId="77777777" w:rsidTr="001136D3">
        <w:tc>
          <w:tcPr>
            <w:tcW w:w="895" w:type="dxa"/>
          </w:tcPr>
          <w:p w14:paraId="72C3E10B" w14:textId="77777777" w:rsidR="008E779D" w:rsidRDefault="008E779D" w:rsidP="001136D3">
            <w:pPr>
              <w:spacing w:after="0"/>
              <w:rPr>
                <w:szCs w:val="24"/>
              </w:rPr>
            </w:pPr>
            <w:r>
              <w:rPr>
                <w:szCs w:val="24"/>
              </w:rPr>
              <w:t>FR147</w:t>
            </w:r>
          </w:p>
        </w:tc>
        <w:tc>
          <w:tcPr>
            <w:tcW w:w="7740" w:type="dxa"/>
          </w:tcPr>
          <w:p w14:paraId="5F9D45E6" w14:textId="77777777" w:rsidR="008E779D" w:rsidRDefault="008E779D" w:rsidP="001136D3">
            <w:pPr>
              <w:spacing w:after="0"/>
              <w:rPr>
                <w:szCs w:val="24"/>
              </w:rPr>
            </w:pPr>
            <w:r>
              <w:rPr>
                <w:szCs w:val="24"/>
              </w:rPr>
              <w:t xml:space="preserve">The system </w:t>
            </w:r>
            <w:r>
              <w:t xml:space="preserve">must </w:t>
            </w:r>
            <w:r>
              <w:rPr>
                <w:szCs w:val="24"/>
              </w:rPr>
              <w:t>provide functionality to collect, compile and send all necessary information needed to process a payment through a payment gateway.</w:t>
            </w:r>
          </w:p>
        </w:tc>
      </w:tr>
      <w:tr w:rsidR="008E779D" w14:paraId="2AF2DF0F" w14:textId="77777777" w:rsidTr="001136D3">
        <w:tc>
          <w:tcPr>
            <w:tcW w:w="895" w:type="dxa"/>
          </w:tcPr>
          <w:p w14:paraId="2F255BAB" w14:textId="77777777" w:rsidR="008E779D" w:rsidRDefault="008E779D" w:rsidP="001136D3">
            <w:pPr>
              <w:spacing w:after="0"/>
              <w:rPr>
                <w:szCs w:val="24"/>
              </w:rPr>
            </w:pPr>
            <w:r>
              <w:rPr>
                <w:szCs w:val="24"/>
              </w:rPr>
              <w:t>FR148</w:t>
            </w:r>
          </w:p>
        </w:tc>
        <w:tc>
          <w:tcPr>
            <w:tcW w:w="7740" w:type="dxa"/>
          </w:tcPr>
          <w:p w14:paraId="473A8450" w14:textId="77777777" w:rsidR="008E779D" w:rsidRDefault="008E779D" w:rsidP="001136D3">
            <w:pPr>
              <w:spacing w:after="0"/>
              <w:rPr>
                <w:szCs w:val="24"/>
              </w:rPr>
            </w:pPr>
            <w:r>
              <w:rPr>
                <w:szCs w:val="24"/>
              </w:rPr>
              <w:t xml:space="preserve">The system </w:t>
            </w:r>
            <w:r>
              <w:t xml:space="preserve">must </w:t>
            </w:r>
            <w:r>
              <w:rPr>
                <w:szCs w:val="24"/>
              </w:rPr>
              <w:t xml:space="preserve">provide functionality for an issuing CBRA to review an application and make comments and provide messages to the applicant. </w:t>
            </w:r>
          </w:p>
        </w:tc>
      </w:tr>
      <w:tr w:rsidR="008E779D" w14:paraId="6304F0A7" w14:textId="77777777" w:rsidTr="001136D3">
        <w:tc>
          <w:tcPr>
            <w:tcW w:w="895" w:type="dxa"/>
          </w:tcPr>
          <w:p w14:paraId="42640ECD" w14:textId="77777777" w:rsidR="008E779D" w:rsidRDefault="008E779D" w:rsidP="001136D3">
            <w:pPr>
              <w:spacing w:after="0"/>
              <w:rPr>
                <w:szCs w:val="24"/>
              </w:rPr>
            </w:pPr>
            <w:r>
              <w:rPr>
                <w:szCs w:val="24"/>
              </w:rPr>
              <w:t>FR149</w:t>
            </w:r>
          </w:p>
        </w:tc>
        <w:tc>
          <w:tcPr>
            <w:tcW w:w="7740" w:type="dxa"/>
          </w:tcPr>
          <w:p w14:paraId="1398ABD6" w14:textId="77777777" w:rsidR="008E779D" w:rsidRDefault="008E779D" w:rsidP="001136D3">
            <w:pPr>
              <w:spacing w:after="0"/>
              <w:rPr>
                <w:szCs w:val="24"/>
              </w:rPr>
            </w:pPr>
            <w:r>
              <w:rPr>
                <w:szCs w:val="24"/>
              </w:rPr>
              <w:t xml:space="preserve">After successful LPCO processing, the system </w:t>
            </w:r>
            <w:r>
              <w:t xml:space="preserve">must </w:t>
            </w:r>
            <w:r>
              <w:rPr>
                <w:szCs w:val="24"/>
              </w:rPr>
              <w:t>prompt the applicant to pay the relevant fee for this LPCO prior to issuance.</w:t>
            </w:r>
          </w:p>
        </w:tc>
      </w:tr>
      <w:tr w:rsidR="008E779D" w14:paraId="7535725A" w14:textId="77777777" w:rsidTr="001136D3">
        <w:tc>
          <w:tcPr>
            <w:tcW w:w="895" w:type="dxa"/>
          </w:tcPr>
          <w:p w14:paraId="4F91348C" w14:textId="77777777" w:rsidR="008E779D" w:rsidRDefault="008E779D" w:rsidP="001136D3">
            <w:pPr>
              <w:spacing w:after="0"/>
              <w:rPr>
                <w:szCs w:val="24"/>
              </w:rPr>
            </w:pPr>
            <w:r>
              <w:rPr>
                <w:szCs w:val="24"/>
              </w:rPr>
              <w:t>FR152</w:t>
            </w:r>
          </w:p>
        </w:tc>
        <w:tc>
          <w:tcPr>
            <w:tcW w:w="7740" w:type="dxa"/>
          </w:tcPr>
          <w:p w14:paraId="1099BEB2" w14:textId="77777777" w:rsidR="008E779D" w:rsidRDefault="008E779D" w:rsidP="001136D3">
            <w:pPr>
              <w:spacing w:after="0"/>
              <w:rPr>
                <w:szCs w:val="24"/>
              </w:rPr>
            </w:pPr>
            <w:r>
              <w:rPr>
                <w:szCs w:val="24"/>
              </w:rPr>
              <w:t xml:space="preserve">An electronic and digitally signed copy of the LPCO will be issued upon successful payment. </w:t>
            </w:r>
            <w:proofErr w:type="gramStart"/>
            <w:r>
              <w:rPr>
                <w:szCs w:val="24"/>
              </w:rPr>
              <w:t>The</w:t>
            </w:r>
            <w:proofErr w:type="gramEnd"/>
            <w:r>
              <w:rPr>
                <w:szCs w:val="24"/>
              </w:rPr>
              <w:t xml:space="preserve"> electronic copy of the LPCO in PDF format may be downloaded and printed by the Applicant if required. A QR code shall be included in the LPCO to allow both Applicant and Customs and border agency officers to use mobile phones, </w:t>
            </w:r>
            <w:proofErr w:type="gramStart"/>
            <w:r>
              <w:rPr>
                <w:szCs w:val="24"/>
              </w:rPr>
              <w:t>tablets</w:t>
            </w:r>
            <w:proofErr w:type="gramEnd"/>
            <w:r>
              <w:rPr>
                <w:szCs w:val="24"/>
              </w:rPr>
              <w:t xml:space="preserve"> and barcode scanner to scan the QR code and access the LPCO (in PDF format) stored in the LPCO functionality.</w:t>
            </w:r>
          </w:p>
        </w:tc>
      </w:tr>
      <w:tr w:rsidR="008E779D" w14:paraId="5B3807BB" w14:textId="77777777" w:rsidTr="001136D3">
        <w:tc>
          <w:tcPr>
            <w:tcW w:w="895" w:type="dxa"/>
          </w:tcPr>
          <w:p w14:paraId="1E70CFAC" w14:textId="77777777" w:rsidR="008E779D" w:rsidRDefault="008E779D" w:rsidP="001136D3">
            <w:pPr>
              <w:spacing w:after="0"/>
              <w:rPr>
                <w:szCs w:val="24"/>
              </w:rPr>
            </w:pPr>
            <w:r>
              <w:rPr>
                <w:szCs w:val="24"/>
              </w:rPr>
              <w:t>FR158</w:t>
            </w:r>
          </w:p>
        </w:tc>
        <w:tc>
          <w:tcPr>
            <w:tcW w:w="7740" w:type="dxa"/>
          </w:tcPr>
          <w:p w14:paraId="68DBBF64" w14:textId="77777777" w:rsidR="008E779D" w:rsidRDefault="008E779D" w:rsidP="001136D3">
            <w:pPr>
              <w:spacing w:after="0"/>
            </w:pPr>
            <w:r>
              <w:t>The CBRA administrator shall be able to record the following SLAs:</w:t>
            </w:r>
          </w:p>
          <w:p w14:paraId="514A4B39" w14:textId="77777777" w:rsidR="008E779D" w:rsidRDefault="008E779D" w:rsidP="00D530D5">
            <w:pPr>
              <w:pStyle w:val="ListParagraph"/>
              <w:numPr>
                <w:ilvl w:val="0"/>
                <w:numId w:val="66"/>
              </w:numPr>
              <w:spacing w:after="0"/>
            </w:pPr>
            <w:r>
              <w:t xml:space="preserve">Duration to process will be measured as from time when complete application has been submitted until CBRA has issued rejection or approval for </w:t>
            </w:r>
            <w:proofErr w:type="gramStart"/>
            <w:r>
              <w:t>application;</w:t>
            </w:r>
            <w:proofErr w:type="gramEnd"/>
          </w:p>
          <w:p w14:paraId="2A34B921" w14:textId="77777777" w:rsidR="008E779D" w:rsidRDefault="008E779D" w:rsidP="00D530D5">
            <w:pPr>
              <w:pStyle w:val="ListParagraph"/>
              <w:numPr>
                <w:ilvl w:val="0"/>
                <w:numId w:val="66"/>
              </w:numPr>
              <w:spacing w:after="0"/>
            </w:pPr>
            <w:r>
              <w:t xml:space="preserve"> No. of hours or days to complete processing of </w:t>
            </w:r>
            <w:proofErr w:type="gramStart"/>
            <w:r>
              <w:t>inspection;</w:t>
            </w:r>
            <w:proofErr w:type="gramEnd"/>
          </w:p>
          <w:p w14:paraId="43AEDE49" w14:textId="77777777" w:rsidR="008E779D" w:rsidRDefault="008E779D" w:rsidP="00D530D5">
            <w:pPr>
              <w:pStyle w:val="ListParagraph"/>
              <w:numPr>
                <w:ilvl w:val="0"/>
                <w:numId w:val="66"/>
              </w:numPr>
              <w:spacing w:after="0"/>
            </w:pPr>
            <w:r>
              <w:t>Time to complete will be measured as from time when Customs submits request to CBRA for cargo inspection and time when inspection results are entered on NSW; and</w:t>
            </w:r>
          </w:p>
          <w:p w14:paraId="2692724F" w14:textId="77777777" w:rsidR="008E779D" w:rsidRDefault="008E779D" w:rsidP="00D530D5">
            <w:pPr>
              <w:pStyle w:val="ListParagraph"/>
              <w:numPr>
                <w:ilvl w:val="0"/>
                <w:numId w:val="66"/>
              </w:numPr>
              <w:spacing w:after="0"/>
            </w:pPr>
            <w:r>
              <w:t>Service Level Agreements (SLAs) shall be entered for each LPCO for which CBRA is responsible.</w:t>
            </w:r>
          </w:p>
        </w:tc>
      </w:tr>
      <w:tr w:rsidR="00475A4C" w14:paraId="425E8F8A" w14:textId="77777777" w:rsidTr="001136D3">
        <w:tc>
          <w:tcPr>
            <w:tcW w:w="895" w:type="dxa"/>
          </w:tcPr>
          <w:p w14:paraId="2F825942" w14:textId="384889DB" w:rsidR="00475A4C" w:rsidRDefault="00475A4C" w:rsidP="001136D3">
            <w:pPr>
              <w:spacing w:after="0"/>
              <w:rPr>
                <w:szCs w:val="24"/>
              </w:rPr>
            </w:pPr>
            <w:r>
              <w:rPr>
                <w:szCs w:val="24"/>
              </w:rPr>
              <w:t>FR162</w:t>
            </w:r>
          </w:p>
        </w:tc>
        <w:tc>
          <w:tcPr>
            <w:tcW w:w="7740" w:type="dxa"/>
          </w:tcPr>
          <w:p w14:paraId="36A711B1" w14:textId="4706671C" w:rsidR="00475A4C" w:rsidRDefault="00475A4C" w:rsidP="001136D3">
            <w:pPr>
              <w:spacing w:after="0"/>
            </w:pPr>
            <w:r>
              <w:rPr>
                <w:szCs w:val="24"/>
              </w:rPr>
              <w:t xml:space="preserve">The NSW must provide a feature where alerts can be sent to CBRA designated staff when (a) SLA for processing an application is exceeded or (b) SLA for inspection is exceeded. The NSW LPCO Portal shall enable CBRA supervisors to query performance of CBRAs in </w:t>
            </w:r>
            <w:proofErr w:type="gramStart"/>
            <w:r>
              <w:rPr>
                <w:szCs w:val="24"/>
              </w:rPr>
              <w:t>processing of</w:t>
            </w:r>
            <w:proofErr w:type="gramEnd"/>
            <w:r>
              <w:rPr>
                <w:szCs w:val="24"/>
              </w:rPr>
              <w:t xml:space="preserve"> LPCOs. Reports on CBRA performance of SLAs shall also be available.</w:t>
            </w:r>
          </w:p>
        </w:tc>
      </w:tr>
      <w:tr w:rsidR="00475A4C" w14:paraId="0EECED68" w14:textId="77777777" w:rsidTr="001136D3">
        <w:tc>
          <w:tcPr>
            <w:tcW w:w="895" w:type="dxa"/>
          </w:tcPr>
          <w:p w14:paraId="0F8D7245" w14:textId="77777777" w:rsidR="00475A4C" w:rsidRDefault="00475A4C" w:rsidP="001136D3">
            <w:pPr>
              <w:spacing w:after="0"/>
              <w:rPr>
                <w:szCs w:val="24"/>
              </w:rPr>
            </w:pPr>
            <w:r>
              <w:rPr>
                <w:szCs w:val="24"/>
              </w:rPr>
              <w:t>FR188</w:t>
            </w:r>
          </w:p>
        </w:tc>
        <w:tc>
          <w:tcPr>
            <w:tcW w:w="7740" w:type="dxa"/>
          </w:tcPr>
          <w:p w14:paraId="406572AB" w14:textId="77777777" w:rsidR="00475A4C" w:rsidRDefault="00475A4C" w:rsidP="001136D3">
            <w:pPr>
              <w:spacing w:after="0"/>
              <w:rPr>
                <w:szCs w:val="24"/>
              </w:rPr>
            </w:pPr>
            <w:r>
              <w:rPr>
                <w:szCs w:val="24"/>
              </w:rPr>
              <w:t>The Inspection/Examination functionality shall provide CBRA user interfaces for scheduling joint examination and drawing of samples, if warranted by the RMS for goods targeted by both Customs and the CBRA.</w:t>
            </w:r>
          </w:p>
        </w:tc>
      </w:tr>
      <w:tr w:rsidR="00475A4C" w14:paraId="3E3758F4" w14:textId="77777777" w:rsidTr="001136D3">
        <w:tc>
          <w:tcPr>
            <w:tcW w:w="895" w:type="dxa"/>
          </w:tcPr>
          <w:p w14:paraId="325C55BF" w14:textId="77777777" w:rsidR="00475A4C" w:rsidRDefault="00475A4C" w:rsidP="001136D3">
            <w:pPr>
              <w:spacing w:after="0"/>
              <w:rPr>
                <w:szCs w:val="24"/>
              </w:rPr>
            </w:pPr>
            <w:r>
              <w:rPr>
                <w:szCs w:val="24"/>
              </w:rPr>
              <w:lastRenderedPageBreak/>
              <w:t>FR190</w:t>
            </w:r>
          </w:p>
        </w:tc>
        <w:tc>
          <w:tcPr>
            <w:tcW w:w="7740" w:type="dxa"/>
          </w:tcPr>
          <w:p w14:paraId="1B524540" w14:textId="77777777" w:rsidR="00475A4C" w:rsidRDefault="00475A4C" w:rsidP="001136D3">
            <w:pPr>
              <w:spacing w:after="0"/>
              <w:rPr>
                <w:szCs w:val="24"/>
              </w:rPr>
            </w:pPr>
            <w:r>
              <w:rPr>
                <w:szCs w:val="24"/>
              </w:rPr>
              <w:t>It will also help Customs to schedule joint inspection with the concerned CBRA agreeing on a mutually agreed date/time and location, and notify relevant parties (via Traders UI, CBRA user interfaces) so that the consignment can be presented as scheduled.</w:t>
            </w:r>
          </w:p>
        </w:tc>
      </w:tr>
      <w:tr w:rsidR="00475A4C" w14:paraId="2531BEBC" w14:textId="77777777" w:rsidTr="001136D3">
        <w:tc>
          <w:tcPr>
            <w:tcW w:w="895" w:type="dxa"/>
          </w:tcPr>
          <w:p w14:paraId="6C5C6506" w14:textId="77777777" w:rsidR="00475A4C" w:rsidRDefault="00475A4C" w:rsidP="001136D3">
            <w:pPr>
              <w:spacing w:after="0"/>
              <w:rPr>
                <w:szCs w:val="24"/>
              </w:rPr>
            </w:pPr>
            <w:r>
              <w:rPr>
                <w:szCs w:val="24"/>
              </w:rPr>
              <w:t>FR227</w:t>
            </w:r>
          </w:p>
        </w:tc>
        <w:tc>
          <w:tcPr>
            <w:tcW w:w="7740" w:type="dxa"/>
          </w:tcPr>
          <w:p w14:paraId="2F9C95F6" w14:textId="77777777" w:rsidR="00475A4C" w:rsidRDefault="00475A4C" w:rsidP="001136D3">
            <w:pPr>
              <w:spacing w:after="0"/>
              <w:rPr>
                <w:szCs w:val="24"/>
              </w:rPr>
            </w:pPr>
            <w:r>
              <w:rPr>
                <w:szCs w:val="24"/>
              </w:rPr>
              <w:t xml:space="preserve">The system </w:t>
            </w:r>
            <w:r>
              <w:t xml:space="preserve">must </w:t>
            </w:r>
            <w:r>
              <w:rPr>
                <w:szCs w:val="24"/>
              </w:rPr>
              <w:t>be able to compute all taxes, fees, fines, penalties, and charges based on computable parameters. It should also compute late payment fees, payable interest etc.</w:t>
            </w:r>
          </w:p>
        </w:tc>
      </w:tr>
      <w:tr w:rsidR="00475A4C" w14:paraId="4F6457B2" w14:textId="77777777" w:rsidTr="001136D3">
        <w:tc>
          <w:tcPr>
            <w:tcW w:w="895" w:type="dxa"/>
          </w:tcPr>
          <w:p w14:paraId="006EE6E7" w14:textId="77777777" w:rsidR="00475A4C" w:rsidRDefault="00475A4C" w:rsidP="001136D3">
            <w:pPr>
              <w:spacing w:after="0"/>
              <w:rPr>
                <w:szCs w:val="24"/>
              </w:rPr>
            </w:pPr>
            <w:r>
              <w:rPr>
                <w:szCs w:val="24"/>
              </w:rPr>
              <w:t>FR239</w:t>
            </w:r>
          </w:p>
        </w:tc>
        <w:tc>
          <w:tcPr>
            <w:tcW w:w="7740" w:type="dxa"/>
          </w:tcPr>
          <w:p w14:paraId="399CCCAA" w14:textId="77777777" w:rsidR="00475A4C" w:rsidRDefault="00475A4C" w:rsidP="001136D3">
            <w:pPr>
              <w:spacing w:after="0"/>
              <w:rPr>
                <w:szCs w:val="24"/>
              </w:rPr>
            </w:pPr>
            <w:r>
              <w:rPr>
                <w:szCs w:val="24"/>
              </w:rPr>
              <w:t xml:space="preserve">The system </w:t>
            </w:r>
            <w:r>
              <w:t xml:space="preserve">must </w:t>
            </w:r>
            <w:r>
              <w:rPr>
                <w:szCs w:val="24"/>
              </w:rPr>
              <w:t>provide functionality to create a payment advice that contains all necessary information to conduct a payment and produce a receipt of the actual payment.</w:t>
            </w:r>
          </w:p>
        </w:tc>
      </w:tr>
      <w:tr w:rsidR="00475A4C" w14:paraId="4D6B4A2D" w14:textId="77777777" w:rsidTr="001136D3">
        <w:tc>
          <w:tcPr>
            <w:tcW w:w="895" w:type="dxa"/>
          </w:tcPr>
          <w:p w14:paraId="578526F9" w14:textId="77777777" w:rsidR="00475A4C" w:rsidRDefault="00475A4C" w:rsidP="001136D3">
            <w:pPr>
              <w:spacing w:after="0"/>
              <w:rPr>
                <w:szCs w:val="24"/>
              </w:rPr>
            </w:pPr>
            <w:r>
              <w:rPr>
                <w:szCs w:val="24"/>
              </w:rPr>
              <w:t>FR240</w:t>
            </w:r>
          </w:p>
        </w:tc>
        <w:tc>
          <w:tcPr>
            <w:tcW w:w="7740" w:type="dxa"/>
          </w:tcPr>
          <w:p w14:paraId="2A34FA19" w14:textId="77777777" w:rsidR="00475A4C" w:rsidRDefault="00475A4C" w:rsidP="001136D3">
            <w:pPr>
              <w:spacing w:after="0"/>
              <w:rPr>
                <w:szCs w:val="24"/>
              </w:rPr>
            </w:pPr>
            <w:r>
              <w:rPr>
                <w:szCs w:val="24"/>
              </w:rPr>
              <w:t xml:space="preserve">The system </w:t>
            </w:r>
            <w:r>
              <w:t xml:space="preserve">must </w:t>
            </w:r>
            <w:r>
              <w:rPr>
                <w:szCs w:val="24"/>
              </w:rPr>
              <w:t>ensure that only the trader and the payee is associated to the created advice.</w:t>
            </w:r>
          </w:p>
        </w:tc>
      </w:tr>
      <w:tr w:rsidR="00475A4C" w14:paraId="540DC99A" w14:textId="77777777" w:rsidTr="001136D3">
        <w:tc>
          <w:tcPr>
            <w:tcW w:w="895" w:type="dxa"/>
          </w:tcPr>
          <w:p w14:paraId="280989EC" w14:textId="77777777" w:rsidR="00475A4C" w:rsidRDefault="00475A4C" w:rsidP="001136D3">
            <w:pPr>
              <w:spacing w:after="0"/>
              <w:rPr>
                <w:szCs w:val="24"/>
              </w:rPr>
            </w:pPr>
            <w:r>
              <w:rPr>
                <w:szCs w:val="24"/>
              </w:rPr>
              <w:t>FR410</w:t>
            </w:r>
          </w:p>
        </w:tc>
        <w:tc>
          <w:tcPr>
            <w:tcW w:w="7740" w:type="dxa"/>
          </w:tcPr>
          <w:p w14:paraId="10FCF9F4" w14:textId="77777777" w:rsidR="00475A4C" w:rsidRDefault="00475A4C" w:rsidP="001136D3">
            <w:pPr>
              <w:spacing w:after="0"/>
              <w:rPr>
                <w:szCs w:val="24"/>
              </w:rPr>
            </w:pPr>
            <w:r>
              <w:rPr>
                <w:szCs w:val="24"/>
              </w:rPr>
              <w:t xml:space="preserve">The system </w:t>
            </w:r>
            <w:r>
              <w:t xml:space="preserve">must </w:t>
            </w:r>
            <w:r>
              <w:rPr>
                <w:szCs w:val="24"/>
              </w:rPr>
              <w:t>be able to send the Application for the LPCO to consultation module in TARIM for receiving the appropriate measure by tariff code ITE (TARIC).</w:t>
            </w:r>
          </w:p>
        </w:tc>
      </w:tr>
      <w:tr w:rsidR="00475A4C" w14:paraId="046035CC" w14:textId="77777777" w:rsidTr="001136D3">
        <w:tc>
          <w:tcPr>
            <w:tcW w:w="895" w:type="dxa"/>
          </w:tcPr>
          <w:p w14:paraId="2FFBE91F" w14:textId="77777777" w:rsidR="00475A4C" w:rsidRDefault="00475A4C" w:rsidP="001136D3">
            <w:pPr>
              <w:spacing w:after="0"/>
              <w:rPr>
                <w:szCs w:val="24"/>
              </w:rPr>
            </w:pPr>
            <w:r>
              <w:rPr>
                <w:szCs w:val="24"/>
              </w:rPr>
              <w:t>FR411</w:t>
            </w:r>
          </w:p>
        </w:tc>
        <w:tc>
          <w:tcPr>
            <w:tcW w:w="7740" w:type="dxa"/>
          </w:tcPr>
          <w:p w14:paraId="6E2B0B5F" w14:textId="77777777" w:rsidR="00475A4C" w:rsidRDefault="00475A4C" w:rsidP="001136D3">
            <w:pPr>
              <w:spacing w:after="0"/>
              <w:rPr>
                <w:szCs w:val="24"/>
              </w:rPr>
            </w:pPr>
            <w:r>
              <w:rPr>
                <w:szCs w:val="24"/>
              </w:rPr>
              <w:t xml:space="preserve">The system </w:t>
            </w:r>
            <w:r>
              <w:t xml:space="preserve">must </w:t>
            </w:r>
            <w:r>
              <w:rPr>
                <w:szCs w:val="24"/>
              </w:rPr>
              <w:t xml:space="preserve">be able to send Economic Operator data to EORI for checks. </w:t>
            </w:r>
          </w:p>
        </w:tc>
      </w:tr>
      <w:tr w:rsidR="00475A4C" w14:paraId="61FD9E4E" w14:textId="77777777" w:rsidTr="001136D3">
        <w:tc>
          <w:tcPr>
            <w:tcW w:w="895" w:type="dxa"/>
          </w:tcPr>
          <w:p w14:paraId="79FC975E" w14:textId="77777777" w:rsidR="00475A4C" w:rsidRDefault="00475A4C" w:rsidP="001136D3">
            <w:pPr>
              <w:spacing w:after="0"/>
              <w:rPr>
                <w:szCs w:val="24"/>
              </w:rPr>
            </w:pPr>
            <w:r>
              <w:rPr>
                <w:szCs w:val="24"/>
              </w:rPr>
              <w:t>FR412</w:t>
            </w:r>
          </w:p>
        </w:tc>
        <w:tc>
          <w:tcPr>
            <w:tcW w:w="7740" w:type="dxa"/>
          </w:tcPr>
          <w:p w14:paraId="6A47DD31" w14:textId="77777777" w:rsidR="00475A4C" w:rsidRDefault="00475A4C" w:rsidP="001136D3">
            <w:pPr>
              <w:spacing w:after="0"/>
              <w:rPr>
                <w:szCs w:val="24"/>
              </w:rPr>
            </w:pPr>
            <w:r>
              <w:rPr>
                <w:szCs w:val="24"/>
              </w:rPr>
              <w:t xml:space="preserve">The system </w:t>
            </w:r>
            <w:r>
              <w:t xml:space="preserve">must </w:t>
            </w:r>
            <w:r>
              <w:rPr>
                <w:szCs w:val="24"/>
              </w:rPr>
              <w:t>be able to perform business validation of the application for LPCO with verifying the data of the fields if they comply with the rules and conditions, and that all documents are available for the LPCO.</w:t>
            </w:r>
          </w:p>
        </w:tc>
      </w:tr>
      <w:tr w:rsidR="00475A4C" w14:paraId="2F01E152" w14:textId="77777777" w:rsidTr="001136D3">
        <w:tc>
          <w:tcPr>
            <w:tcW w:w="895" w:type="dxa"/>
          </w:tcPr>
          <w:p w14:paraId="59AEF9B1" w14:textId="77777777" w:rsidR="00475A4C" w:rsidRDefault="00475A4C" w:rsidP="001136D3">
            <w:pPr>
              <w:spacing w:after="0"/>
              <w:rPr>
                <w:szCs w:val="24"/>
              </w:rPr>
            </w:pPr>
            <w:r>
              <w:rPr>
                <w:szCs w:val="24"/>
              </w:rPr>
              <w:t>FR413</w:t>
            </w:r>
          </w:p>
        </w:tc>
        <w:tc>
          <w:tcPr>
            <w:tcW w:w="7740" w:type="dxa"/>
          </w:tcPr>
          <w:p w14:paraId="28ADCF99" w14:textId="77777777" w:rsidR="00475A4C" w:rsidRDefault="00475A4C" w:rsidP="001136D3">
            <w:pPr>
              <w:spacing w:after="0"/>
              <w:rPr>
                <w:szCs w:val="24"/>
              </w:rPr>
            </w:pPr>
            <w:r>
              <w:rPr>
                <w:szCs w:val="24"/>
              </w:rPr>
              <w:t xml:space="preserve">The system </w:t>
            </w:r>
            <w:r>
              <w:t xml:space="preserve">must </w:t>
            </w:r>
            <w:r>
              <w:rPr>
                <w:szCs w:val="24"/>
              </w:rPr>
              <w:t>be able to verify ITE measures for the application for LPCO.</w:t>
            </w:r>
          </w:p>
        </w:tc>
      </w:tr>
      <w:tr w:rsidR="00475A4C" w14:paraId="73028BEE" w14:textId="77777777" w:rsidTr="001136D3">
        <w:tc>
          <w:tcPr>
            <w:tcW w:w="895" w:type="dxa"/>
          </w:tcPr>
          <w:p w14:paraId="762DDE3A" w14:textId="77777777" w:rsidR="00475A4C" w:rsidRDefault="00475A4C" w:rsidP="001136D3">
            <w:pPr>
              <w:spacing w:after="0"/>
              <w:rPr>
                <w:szCs w:val="24"/>
              </w:rPr>
            </w:pPr>
            <w:r>
              <w:rPr>
                <w:szCs w:val="24"/>
              </w:rPr>
              <w:t>FR414</w:t>
            </w:r>
          </w:p>
        </w:tc>
        <w:tc>
          <w:tcPr>
            <w:tcW w:w="7740" w:type="dxa"/>
          </w:tcPr>
          <w:p w14:paraId="58B3564C" w14:textId="77777777" w:rsidR="00475A4C" w:rsidRDefault="00475A4C" w:rsidP="001136D3">
            <w:pPr>
              <w:spacing w:after="0"/>
              <w:rPr>
                <w:szCs w:val="24"/>
              </w:rPr>
            </w:pPr>
            <w:r>
              <w:rPr>
                <w:szCs w:val="24"/>
              </w:rPr>
              <w:t xml:space="preserve">The system </w:t>
            </w:r>
            <w:r>
              <w:t xml:space="preserve">must </w:t>
            </w:r>
            <w:r>
              <w:rPr>
                <w:szCs w:val="24"/>
              </w:rPr>
              <w:t>be able to validate the EORI data response for Economic Operator for application for LPCO.</w:t>
            </w:r>
          </w:p>
        </w:tc>
      </w:tr>
      <w:tr w:rsidR="00475A4C" w14:paraId="7F0F2931" w14:textId="77777777" w:rsidTr="001136D3">
        <w:tc>
          <w:tcPr>
            <w:tcW w:w="895" w:type="dxa"/>
          </w:tcPr>
          <w:p w14:paraId="43BF1FFF" w14:textId="77777777" w:rsidR="00475A4C" w:rsidRDefault="00475A4C" w:rsidP="001136D3">
            <w:pPr>
              <w:spacing w:after="0"/>
              <w:rPr>
                <w:szCs w:val="24"/>
              </w:rPr>
            </w:pPr>
            <w:r>
              <w:rPr>
                <w:szCs w:val="24"/>
              </w:rPr>
              <w:t>FR415</w:t>
            </w:r>
          </w:p>
        </w:tc>
        <w:tc>
          <w:tcPr>
            <w:tcW w:w="7740" w:type="dxa"/>
          </w:tcPr>
          <w:p w14:paraId="163B6144" w14:textId="77777777" w:rsidR="00475A4C" w:rsidRDefault="00475A4C" w:rsidP="001136D3">
            <w:pPr>
              <w:spacing w:after="0"/>
              <w:rPr>
                <w:szCs w:val="24"/>
              </w:rPr>
            </w:pPr>
            <w:r>
              <w:rPr>
                <w:szCs w:val="24"/>
              </w:rPr>
              <w:t xml:space="preserve">The system </w:t>
            </w:r>
            <w:r>
              <w:t xml:space="preserve">must </w:t>
            </w:r>
            <w:r>
              <w:rPr>
                <w:szCs w:val="24"/>
              </w:rPr>
              <w:t>be able to notify EO of rejection of application for LPCO.</w:t>
            </w:r>
          </w:p>
        </w:tc>
      </w:tr>
      <w:tr w:rsidR="00475A4C" w14:paraId="05373712" w14:textId="77777777" w:rsidTr="001136D3">
        <w:tc>
          <w:tcPr>
            <w:tcW w:w="895" w:type="dxa"/>
          </w:tcPr>
          <w:p w14:paraId="03AC458D" w14:textId="77777777" w:rsidR="00475A4C" w:rsidRDefault="00475A4C" w:rsidP="001136D3">
            <w:pPr>
              <w:spacing w:after="0"/>
              <w:rPr>
                <w:szCs w:val="24"/>
              </w:rPr>
            </w:pPr>
            <w:r>
              <w:rPr>
                <w:szCs w:val="24"/>
              </w:rPr>
              <w:t>FR416</w:t>
            </w:r>
          </w:p>
        </w:tc>
        <w:tc>
          <w:tcPr>
            <w:tcW w:w="7740" w:type="dxa"/>
          </w:tcPr>
          <w:p w14:paraId="02F4D25F" w14:textId="77777777" w:rsidR="00475A4C" w:rsidRDefault="00475A4C" w:rsidP="001136D3">
            <w:pPr>
              <w:spacing w:after="0"/>
              <w:rPr>
                <w:szCs w:val="24"/>
              </w:rPr>
            </w:pPr>
            <w:r>
              <w:rPr>
                <w:szCs w:val="24"/>
              </w:rPr>
              <w:t xml:space="preserve">The system </w:t>
            </w:r>
            <w:r>
              <w:t xml:space="preserve">must </w:t>
            </w:r>
            <w:r>
              <w:rPr>
                <w:szCs w:val="24"/>
              </w:rPr>
              <w:t>be able to allocate Unique Number to the LPCO.</w:t>
            </w:r>
          </w:p>
        </w:tc>
      </w:tr>
      <w:tr w:rsidR="00475A4C" w14:paraId="3FE7E9F5" w14:textId="77777777" w:rsidTr="001136D3">
        <w:tc>
          <w:tcPr>
            <w:tcW w:w="895" w:type="dxa"/>
          </w:tcPr>
          <w:p w14:paraId="324855A1" w14:textId="77777777" w:rsidR="00475A4C" w:rsidRDefault="00475A4C" w:rsidP="001136D3">
            <w:pPr>
              <w:spacing w:after="0"/>
              <w:rPr>
                <w:szCs w:val="24"/>
              </w:rPr>
            </w:pPr>
            <w:r>
              <w:rPr>
                <w:szCs w:val="24"/>
              </w:rPr>
              <w:t>FR417</w:t>
            </w:r>
          </w:p>
        </w:tc>
        <w:tc>
          <w:tcPr>
            <w:tcW w:w="7740" w:type="dxa"/>
          </w:tcPr>
          <w:p w14:paraId="1C09D2C7" w14:textId="77777777" w:rsidR="00475A4C" w:rsidRDefault="00475A4C" w:rsidP="001136D3">
            <w:pPr>
              <w:spacing w:after="0"/>
              <w:rPr>
                <w:szCs w:val="24"/>
              </w:rPr>
            </w:pPr>
            <w:r>
              <w:rPr>
                <w:szCs w:val="24"/>
              </w:rPr>
              <w:t xml:space="preserve">The system </w:t>
            </w:r>
            <w:r>
              <w:t xml:space="preserve">must </w:t>
            </w:r>
            <w:r>
              <w:rPr>
                <w:szCs w:val="24"/>
              </w:rPr>
              <w:t>be able to change status of the application for LPCO to accepted.</w:t>
            </w:r>
          </w:p>
        </w:tc>
      </w:tr>
      <w:tr w:rsidR="00475A4C" w14:paraId="6C134161" w14:textId="77777777" w:rsidTr="001136D3">
        <w:tc>
          <w:tcPr>
            <w:tcW w:w="895" w:type="dxa"/>
          </w:tcPr>
          <w:p w14:paraId="3F072D0A" w14:textId="77777777" w:rsidR="00475A4C" w:rsidRDefault="00475A4C" w:rsidP="001136D3">
            <w:pPr>
              <w:spacing w:after="0"/>
              <w:rPr>
                <w:szCs w:val="24"/>
              </w:rPr>
            </w:pPr>
            <w:r>
              <w:rPr>
                <w:szCs w:val="24"/>
              </w:rPr>
              <w:t>FR418</w:t>
            </w:r>
          </w:p>
        </w:tc>
        <w:tc>
          <w:tcPr>
            <w:tcW w:w="7740" w:type="dxa"/>
          </w:tcPr>
          <w:p w14:paraId="1157B04D" w14:textId="77777777" w:rsidR="00475A4C" w:rsidRDefault="00475A4C" w:rsidP="001136D3">
            <w:pPr>
              <w:spacing w:after="0"/>
              <w:rPr>
                <w:szCs w:val="24"/>
              </w:rPr>
            </w:pPr>
            <w:r>
              <w:rPr>
                <w:szCs w:val="24"/>
              </w:rPr>
              <w:t xml:space="preserve">The system </w:t>
            </w:r>
            <w:r>
              <w:t xml:space="preserve">must </w:t>
            </w:r>
            <w:r>
              <w:rPr>
                <w:szCs w:val="24"/>
              </w:rPr>
              <w:t>be able to send application for LPCO to risk analysis.</w:t>
            </w:r>
          </w:p>
        </w:tc>
      </w:tr>
      <w:tr w:rsidR="00475A4C" w14:paraId="35234CC8" w14:textId="77777777" w:rsidTr="001136D3">
        <w:tc>
          <w:tcPr>
            <w:tcW w:w="895" w:type="dxa"/>
          </w:tcPr>
          <w:p w14:paraId="39C0040D" w14:textId="77777777" w:rsidR="00475A4C" w:rsidRDefault="00475A4C" w:rsidP="001136D3">
            <w:pPr>
              <w:spacing w:after="0"/>
              <w:rPr>
                <w:szCs w:val="24"/>
              </w:rPr>
            </w:pPr>
            <w:r>
              <w:rPr>
                <w:szCs w:val="24"/>
              </w:rPr>
              <w:t>FR419</w:t>
            </w:r>
          </w:p>
        </w:tc>
        <w:tc>
          <w:tcPr>
            <w:tcW w:w="7740" w:type="dxa"/>
          </w:tcPr>
          <w:p w14:paraId="16682A16" w14:textId="77777777" w:rsidR="00475A4C" w:rsidRDefault="00475A4C" w:rsidP="001136D3">
            <w:pPr>
              <w:spacing w:after="0"/>
              <w:rPr>
                <w:szCs w:val="24"/>
              </w:rPr>
            </w:pPr>
            <w:r>
              <w:rPr>
                <w:szCs w:val="24"/>
              </w:rPr>
              <w:t xml:space="preserve">The system </w:t>
            </w:r>
            <w:r>
              <w:t xml:space="preserve">must </w:t>
            </w:r>
            <w:r>
              <w:rPr>
                <w:szCs w:val="24"/>
              </w:rPr>
              <w:t>be able to check if additional controls are recommended from the results of the risk analysis.</w:t>
            </w:r>
          </w:p>
        </w:tc>
      </w:tr>
      <w:tr w:rsidR="00475A4C" w14:paraId="72EE918F" w14:textId="77777777" w:rsidTr="001136D3">
        <w:tc>
          <w:tcPr>
            <w:tcW w:w="895" w:type="dxa"/>
          </w:tcPr>
          <w:p w14:paraId="264576BD" w14:textId="77777777" w:rsidR="00475A4C" w:rsidRDefault="00475A4C" w:rsidP="001136D3">
            <w:pPr>
              <w:spacing w:after="0"/>
              <w:rPr>
                <w:szCs w:val="24"/>
              </w:rPr>
            </w:pPr>
            <w:r>
              <w:rPr>
                <w:szCs w:val="24"/>
              </w:rPr>
              <w:t>FR420</w:t>
            </w:r>
          </w:p>
        </w:tc>
        <w:tc>
          <w:tcPr>
            <w:tcW w:w="7740" w:type="dxa"/>
          </w:tcPr>
          <w:p w14:paraId="51E90195" w14:textId="77777777" w:rsidR="00475A4C" w:rsidRDefault="00475A4C" w:rsidP="001136D3">
            <w:pPr>
              <w:spacing w:after="0"/>
              <w:rPr>
                <w:szCs w:val="24"/>
              </w:rPr>
            </w:pPr>
            <w:r>
              <w:rPr>
                <w:szCs w:val="24"/>
              </w:rPr>
              <w:t xml:space="preserve">The system </w:t>
            </w:r>
            <w:r>
              <w:t xml:space="preserve">must </w:t>
            </w:r>
            <w:r>
              <w:rPr>
                <w:szCs w:val="24"/>
              </w:rPr>
              <w:t>be able to notify EO for time and place of control.</w:t>
            </w:r>
          </w:p>
        </w:tc>
      </w:tr>
      <w:tr w:rsidR="00475A4C" w14:paraId="3E110407" w14:textId="77777777" w:rsidTr="001136D3">
        <w:tc>
          <w:tcPr>
            <w:tcW w:w="895" w:type="dxa"/>
          </w:tcPr>
          <w:p w14:paraId="45531263" w14:textId="77777777" w:rsidR="00475A4C" w:rsidRDefault="00475A4C" w:rsidP="001136D3">
            <w:pPr>
              <w:spacing w:after="0"/>
              <w:rPr>
                <w:szCs w:val="24"/>
              </w:rPr>
            </w:pPr>
            <w:r>
              <w:rPr>
                <w:szCs w:val="24"/>
              </w:rPr>
              <w:t>FR421</w:t>
            </w:r>
          </w:p>
        </w:tc>
        <w:tc>
          <w:tcPr>
            <w:tcW w:w="7740" w:type="dxa"/>
          </w:tcPr>
          <w:p w14:paraId="1EF52820" w14:textId="77777777" w:rsidR="00475A4C" w:rsidRDefault="00475A4C" w:rsidP="001136D3">
            <w:pPr>
              <w:spacing w:after="0"/>
              <w:rPr>
                <w:szCs w:val="24"/>
              </w:rPr>
            </w:pPr>
            <w:r>
              <w:rPr>
                <w:szCs w:val="24"/>
              </w:rPr>
              <w:t xml:space="preserve">The system </w:t>
            </w:r>
            <w:r>
              <w:t xml:space="preserve">must </w:t>
            </w:r>
            <w:r>
              <w:rPr>
                <w:szCs w:val="24"/>
              </w:rPr>
              <w:t>be able to send application for LPCO for controls to inspection control results.</w:t>
            </w:r>
          </w:p>
        </w:tc>
      </w:tr>
      <w:tr w:rsidR="00475A4C" w14:paraId="7A2DC7F4" w14:textId="77777777" w:rsidTr="001136D3">
        <w:tc>
          <w:tcPr>
            <w:tcW w:w="895" w:type="dxa"/>
          </w:tcPr>
          <w:p w14:paraId="2DD4676C" w14:textId="77777777" w:rsidR="00475A4C" w:rsidRDefault="00475A4C" w:rsidP="001136D3">
            <w:pPr>
              <w:spacing w:after="0"/>
              <w:rPr>
                <w:szCs w:val="24"/>
              </w:rPr>
            </w:pPr>
            <w:r>
              <w:rPr>
                <w:szCs w:val="24"/>
              </w:rPr>
              <w:t>FR422</w:t>
            </w:r>
          </w:p>
        </w:tc>
        <w:tc>
          <w:tcPr>
            <w:tcW w:w="7740" w:type="dxa"/>
          </w:tcPr>
          <w:p w14:paraId="48905CC5" w14:textId="77777777" w:rsidR="00475A4C" w:rsidRDefault="00475A4C" w:rsidP="001136D3">
            <w:pPr>
              <w:spacing w:after="0"/>
              <w:rPr>
                <w:szCs w:val="24"/>
              </w:rPr>
            </w:pPr>
            <w:r>
              <w:rPr>
                <w:szCs w:val="24"/>
              </w:rPr>
              <w:t xml:space="preserve">The system </w:t>
            </w:r>
            <w:r>
              <w:t xml:space="preserve">must </w:t>
            </w:r>
            <w:proofErr w:type="gramStart"/>
            <w:r>
              <w:rPr>
                <w:szCs w:val="24"/>
              </w:rPr>
              <w:t>allow to</w:t>
            </w:r>
            <w:proofErr w:type="gramEnd"/>
            <w:r>
              <w:rPr>
                <w:szCs w:val="24"/>
              </w:rPr>
              <w:t xml:space="preserve"> the NSW Officer to accept or reject the application for LPCO (issuing LPCO). The NSW Officer, should be presented with:  </w:t>
            </w:r>
          </w:p>
          <w:p w14:paraId="6543D6CB" w14:textId="77777777" w:rsidR="00475A4C" w:rsidRDefault="00475A4C" w:rsidP="00D530D5">
            <w:pPr>
              <w:pStyle w:val="ListParagraph"/>
              <w:numPr>
                <w:ilvl w:val="0"/>
                <w:numId w:val="135"/>
              </w:numPr>
              <w:spacing w:after="0"/>
              <w:ind w:left="577" w:hanging="270"/>
              <w:rPr>
                <w:szCs w:val="24"/>
              </w:rPr>
            </w:pPr>
            <w:r>
              <w:rPr>
                <w:szCs w:val="24"/>
              </w:rPr>
              <w:t xml:space="preserve">Application for LPCO </w:t>
            </w:r>
          </w:p>
          <w:p w14:paraId="769412CB" w14:textId="77777777" w:rsidR="00475A4C" w:rsidRDefault="00475A4C" w:rsidP="00D530D5">
            <w:pPr>
              <w:pStyle w:val="ListParagraph"/>
              <w:numPr>
                <w:ilvl w:val="0"/>
                <w:numId w:val="135"/>
              </w:numPr>
              <w:spacing w:after="0"/>
              <w:ind w:left="577" w:hanging="270"/>
              <w:rPr>
                <w:szCs w:val="24"/>
              </w:rPr>
            </w:pPr>
            <w:r>
              <w:rPr>
                <w:szCs w:val="24"/>
              </w:rPr>
              <w:t>Risk Analysis Results</w:t>
            </w:r>
          </w:p>
          <w:p w14:paraId="29A1E8EA" w14:textId="77777777" w:rsidR="00475A4C" w:rsidRDefault="00475A4C" w:rsidP="00D530D5">
            <w:pPr>
              <w:pStyle w:val="ListParagraph"/>
              <w:numPr>
                <w:ilvl w:val="0"/>
                <w:numId w:val="135"/>
              </w:numPr>
              <w:spacing w:after="0"/>
              <w:ind w:left="577" w:hanging="270"/>
              <w:rPr>
                <w:szCs w:val="24"/>
              </w:rPr>
            </w:pPr>
            <w:r>
              <w:rPr>
                <w:szCs w:val="24"/>
              </w:rPr>
              <w:t xml:space="preserve">Measures from ITE </w:t>
            </w:r>
          </w:p>
          <w:p w14:paraId="43711387" w14:textId="77777777" w:rsidR="00475A4C" w:rsidRDefault="00475A4C" w:rsidP="00D530D5">
            <w:pPr>
              <w:pStyle w:val="ListParagraph"/>
              <w:numPr>
                <w:ilvl w:val="0"/>
                <w:numId w:val="135"/>
              </w:numPr>
              <w:spacing w:after="0"/>
              <w:ind w:left="577" w:hanging="270"/>
              <w:rPr>
                <w:szCs w:val="24"/>
              </w:rPr>
            </w:pPr>
            <w:r>
              <w:rPr>
                <w:szCs w:val="24"/>
              </w:rPr>
              <w:t>Control Results (if any)</w:t>
            </w:r>
          </w:p>
          <w:p w14:paraId="6406F68F" w14:textId="77777777" w:rsidR="00475A4C" w:rsidRDefault="00475A4C" w:rsidP="00D530D5">
            <w:pPr>
              <w:pStyle w:val="ListParagraph"/>
              <w:numPr>
                <w:ilvl w:val="0"/>
                <w:numId w:val="135"/>
              </w:numPr>
              <w:spacing w:after="0"/>
              <w:ind w:left="577" w:hanging="270"/>
              <w:rPr>
                <w:szCs w:val="24"/>
              </w:rPr>
            </w:pPr>
            <w:r>
              <w:rPr>
                <w:szCs w:val="24"/>
              </w:rPr>
              <w:t>Fees are paid.</w:t>
            </w:r>
          </w:p>
        </w:tc>
      </w:tr>
      <w:tr w:rsidR="00475A4C" w14:paraId="6009E4BF" w14:textId="77777777" w:rsidTr="001136D3">
        <w:tc>
          <w:tcPr>
            <w:tcW w:w="895" w:type="dxa"/>
          </w:tcPr>
          <w:p w14:paraId="495CCD15" w14:textId="77777777" w:rsidR="00475A4C" w:rsidRDefault="00475A4C" w:rsidP="001136D3">
            <w:pPr>
              <w:spacing w:after="0"/>
              <w:rPr>
                <w:szCs w:val="24"/>
              </w:rPr>
            </w:pPr>
            <w:r>
              <w:rPr>
                <w:szCs w:val="24"/>
              </w:rPr>
              <w:t>FR423</w:t>
            </w:r>
          </w:p>
        </w:tc>
        <w:tc>
          <w:tcPr>
            <w:tcW w:w="7740" w:type="dxa"/>
          </w:tcPr>
          <w:p w14:paraId="083478C5" w14:textId="77777777" w:rsidR="00475A4C" w:rsidRDefault="00475A4C" w:rsidP="001136D3">
            <w:pPr>
              <w:spacing w:after="0"/>
              <w:jc w:val="left"/>
              <w:rPr>
                <w:szCs w:val="24"/>
              </w:rPr>
            </w:pPr>
            <w:r>
              <w:rPr>
                <w:szCs w:val="24"/>
              </w:rPr>
              <w:t xml:space="preserve">The system </w:t>
            </w:r>
            <w:r>
              <w:t xml:space="preserve">must </w:t>
            </w:r>
            <w:r>
              <w:rPr>
                <w:szCs w:val="24"/>
              </w:rPr>
              <w:t>be able to Notify EO of Rejection of Application for LPCO.</w:t>
            </w:r>
          </w:p>
        </w:tc>
      </w:tr>
      <w:tr w:rsidR="00475A4C" w14:paraId="15264E25" w14:textId="77777777" w:rsidTr="001136D3">
        <w:tc>
          <w:tcPr>
            <w:tcW w:w="895" w:type="dxa"/>
          </w:tcPr>
          <w:p w14:paraId="769962A7" w14:textId="77777777" w:rsidR="00475A4C" w:rsidRDefault="00475A4C" w:rsidP="001136D3">
            <w:pPr>
              <w:spacing w:after="0"/>
              <w:rPr>
                <w:szCs w:val="24"/>
              </w:rPr>
            </w:pPr>
            <w:r>
              <w:rPr>
                <w:szCs w:val="24"/>
              </w:rPr>
              <w:t>FR424</w:t>
            </w:r>
          </w:p>
        </w:tc>
        <w:tc>
          <w:tcPr>
            <w:tcW w:w="7740" w:type="dxa"/>
          </w:tcPr>
          <w:p w14:paraId="756A96C1" w14:textId="77777777" w:rsidR="00475A4C" w:rsidRDefault="00475A4C" w:rsidP="001136D3">
            <w:pPr>
              <w:spacing w:after="0"/>
              <w:jc w:val="left"/>
              <w:rPr>
                <w:szCs w:val="24"/>
              </w:rPr>
            </w:pPr>
            <w:r>
              <w:rPr>
                <w:szCs w:val="24"/>
              </w:rPr>
              <w:t xml:space="preserve">The system </w:t>
            </w:r>
            <w:r>
              <w:t xml:space="preserve">must </w:t>
            </w:r>
            <w:r>
              <w:rPr>
                <w:szCs w:val="24"/>
              </w:rPr>
              <w:t>be able to change the Status of the LPCO to “accepted”.</w:t>
            </w:r>
          </w:p>
        </w:tc>
      </w:tr>
      <w:tr w:rsidR="00475A4C" w14:paraId="438EE364" w14:textId="77777777" w:rsidTr="001136D3">
        <w:tc>
          <w:tcPr>
            <w:tcW w:w="895" w:type="dxa"/>
          </w:tcPr>
          <w:p w14:paraId="7990A7CC" w14:textId="77777777" w:rsidR="00475A4C" w:rsidRDefault="00475A4C" w:rsidP="001136D3">
            <w:pPr>
              <w:spacing w:after="0"/>
              <w:rPr>
                <w:szCs w:val="24"/>
              </w:rPr>
            </w:pPr>
            <w:r>
              <w:rPr>
                <w:szCs w:val="24"/>
              </w:rPr>
              <w:t>FR425</w:t>
            </w:r>
          </w:p>
        </w:tc>
        <w:tc>
          <w:tcPr>
            <w:tcW w:w="7740" w:type="dxa"/>
          </w:tcPr>
          <w:p w14:paraId="3D822C74" w14:textId="77777777" w:rsidR="00475A4C" w:rsidRDefault="00475A4C" w:rsidP="001136D3">
            <w:pPr>
              <w:spacing w:after="0"/>
              <w:jc w:val="left"/>
              <w:rPr>
                <w:szCs w:val="24"/>
              </w:rPr>
            </w:pPr>
            <w:r>
              <w:rPr>
                <w:szCs w:val="24"/>
              </w:rPr>
              <w:t xml:space="preserve">The system </w:t>
            </w:r>
            <w:r>
              <w:t xml:space="preserve">must </w:t>
            </w:r>
            <w:r>
              <w:rPr>
                <w:szCs w:val="24"/>
              </w:rPr>
              <w:t xml:space="preserve">be able to Issue Certificate with: </w:t>
            </w:r>
          </w:p>
          <w:p w14:paraId="45F034FC" w14:textId="77777777" w:rsidR="00475A4C" w:rsidRDefault="00475A4C" w:rsidP="00D530D5">
            <w:pPr>
              <w:pStyle w:val="ListParagraph"/>
              <w:numPr>
                <w:ilvl w:val="0"/>
                <w:numId w:val="136"/>
              </w:numPr>
              <w:spacing w:after="0"/>
              <w:jc w:val="left"/>
              <w:rPr>
                <w:szCs w:val="24"/>
              </w:rPr>
            </w:pPr>
            <w:r>
              <w:rPr>
                <w:szCs w:val="24"/>
              </w:rPr>
              <w:t xml:space="preserve">unique LPCO number, </w:t>
            </w:r>
          </w:p>
          <w:p w14:paraId="2B2D6F08" w14:textId="77777777" w:rsidR="00475A4C" w:rsidRDefault="00475A4C" w:rsidP="00D530D5">
            <w:pPr>
              <w:pStyle w:val="ListParagraph"/>
              <w:numPr>
                <w:ilvl w:val="0"/>
                <w:numId w:val="136"/>
              </w:numPr>
              <w:spacing w:after="0"/>
              <w:jc w:val="left"/>
              <w:rPr>
                <w:szCs w:val="24"/>
              </w:rPr>
            </w:pPr>
            <w:r>
              <w:rPr>
                <w:szCs w:val="24"/>
              </w:rPr>
              <w:t xml:space="preserve">validity period </w:t>
            </w:r>
          </w:p>
          <w:p w14:paraId="09094453" w14:textId="77777777" w:rsidR="00475A4C" w:rsidRDefault="00475A4C" w:rsidP="00D530D5">
            <w:pPr>
              <w:pStyle w:val="ListParagraph"/>
              <w:numPr>
                <w:ilvl w:val="0"/>
                <w:numId w:val="136"/>
              </w:numPr>
              <w:spacing w:after="0"/>
              <w:jc w:val="left"/>
              <w:rPr>
                <w:szCs w:val="24"/>
              </w:rPr>
            </w:pPr>
            <w:r>
              <w:rPr>
                <w:szCs w:val="24"/>
              </w:rPr>
              <w:t>an official signature of the Competent Authority.</w:t>
            </w:r>
          </w:p>
        </w:tc>
      </w:tr>
      <w:tr w:rsidR="00475A4C" w14:paraId="0BED6995" w14:textId="77777777" w:rsidTr="001136D3">
        <w:tc>
          <w:tcPr>
            <w:tcW w:w="895" w:type="dxa"/>
          </w:tcPr>
          <w:p w14:paraId="5BB658DB" w14:textId="77777777" w:rsidR="00475A4C" w:rsidRDefault="00475A4C" w:rsidP="001136D3">
            <w:pPr>
              <w:spacing w:after="0"/>
              <w:rPr>
                <w:szCs w:val="24"/>
              </w:rPr>
            </w:pPr>
            <w:r>
              <w:rPr>
                <w:szCs w:val="24"/>
              </w:rPr>
              <w:lastRenderedPageBreak/>
              <w:t>FR426</w:t>
            </w:r>
          </w:p>
        </w:tc>
        <w:tc>
          <w:tcPr>
            <w:tcW w:w="7740" w:type="dxa"/>
          </w:tcPr>
          <w:p w14:paraId="7D7BA81D" w14:textId="77777777" w:rsidR="00475A4C" w:rsidRDefault="00475A4C" w:rsidP="001136D3">
            <w:pPr>
              <w:spacing w:after="0"/>
              <w:rPr>
                <w:szCs w:val="24"/>
              </w:rPr>
            </w:pPr>
            <w:r>
              <w:rPr>
                <w:szCs w:val="24"/>
              </w:rPr>
              <w:t xml:space="preserve">The system </w:t>
            </w:r>
            <w:r>
              <w:t xml:space="preserve">must </w:t>
            </w:r>
            <w:r>
              <w:rPr>
                <w:szCs w:val="24"/>
              </w:rPr>
              <w:t>be able to Notify EO of Acceptance of Application for LPCO.</w:t>
            </w:r>
          </w:p>
        </w:tc>
      </w:tr>
      <w:tr w:rsidR="00475A4C" w14:paraId="109E291D" w14:textId="77777777" w:rsidTr="001136D3">
        <w:tc>
          <w:tcPr>
            <w:tcW w:w="895" w:type="dxa"/>
          </w:tcPr>
          <w:p w14:paraId="2DF83526" w14:textId="77777777" w:rsidR="00475A4C" w:rsidRDefault="00475A4C" w:rsidP="001136D3">
            <w:pPr>
              <w:spacing w:after="0"/>
              <w:rPr>
                <w:szCs w:val="24"/>
              </w:rPr>
            </w:pPr>
            <w:r>
              <w:rPr>
                <w:szCs w:val="24"/>
              </w:rPr>
              <w:t>FR427</w:t>
            </w:r>
          </w:p>
        </w:tc>
        <w:tc>
          <w:tcPr>
            <w:tcW w:w="7740" w:type="dxa"/>
          </w:tcPr>
          <w:p w14:paraId="261BB93D" w14:textId="77777777" w:rsidR="00475A4C" w:rsidRDefault="00475A4C" w:rsidP="001136D3">
            <w:pPr>
              <w:spacing w:after="0"/>
              <w:rPr>
                <w:szCs w:val="24"/>
              </w:rPr>
            </w:pPr>
            <w:r>
              <w:rPr>
                <w:szCs w:val="24"/>
              </w:rPr>
              <w:t xml:space="preserve">The system </w:t>
            </w:r>
            <w:r>
              <w:t xml:space="preserve">must </w:t>
            </w:r>
            <w:r>
              <w:rPr>
                <w:szCs w:val="24"/>
              </w:rPr>
              <w:t>be able to send LPCO data to repository.</w:t>
            </w:r>
          </w:p>
        </w:tc>
      </w:tr>
      <w:tr w:rsidR="00475A4C" w14:paraId="16C2DFD6" w14:textId="77777777" w:rsidTr="001136D3">
        <w:tc>
          <w:tcPr>
            <w:tcW w:w="895" w:type="dxa"/>
          </w:tcPr>
          <w:p w14:paraId="1E9BE9BF" w14:textId="77777777" w:rsidR="00475A4C" w:rsidRDefault="00475A4C" w:rsidP="001136D3">
            <w:pPr>
              <w:spacing w:after="0"/>
              <w:rPr>
                <w:szCs w:val="24"/>
              </w:rPr>
            </w:pPr>
            <w:r>
              <w:rPr>
                <w:szCs w:val="24"/>
              </w:rPr>
              <w:t>FR428</w:t>
            </w:r>
          </w:p>
        </w:tc>
        <w:tc>
          <w:tcPr>
            <w:tcW w:w="7740" w:type="dxa"/>
          </w:tcPr>
          <w:p w14:paraId="5E62FE4E" w14:textId="77777777" w:rsidR="00475A4C" w:rsidRDefault="00475A4C" w:rsidP="001136D3">
            <w:pPr>
              <w:spacing w:after="0"/>
              <w:rPr>
                <w:szCs w:val="24"/>
              </w:rPr>
            </w:pPr>
            <w:r>
              <w:rPr>
                <w:szCs w:val="24"/>
              </w:rPr>
              <w:t xml:space="preserve">The system </w:t>
            </w:r>
            <w:r>
              <w:t xml:space="preserve">must </w:t>
            </w:r>
            <w:r>
              <w:rPr>
                <w:szCs w:val="24"/>
              </w:rPr>
              <w:t>be able to send the new issued LPCO to SEED+.</w:t>
            </w:r>
          </w:p>
        </w:tc>
      </w:tr>
    </w:tbl>
    <w:p w14:paraId="5492328E" w14:textId="77777777" w:rsidR="00157AAA" w:rsidRDefault="00157AAA">
      <w:pPr>
        <w:spacing w:after="0"/>
        <w:jc w:val="left"/>
      </w:pPr>
    </w:p>
    <w:p w14:paraId="07AA5A1D" w14:textId="61242C79" w:rsidR="00157AAA" w:rsidRPr="008E2AAD" w:rsidRDefault="00AB1DBB">
      <w:pPr>
        <w:rPr>
          <w:b/>
        </w:rPr>
      </w:pPr>
      <w:r w:rsidRPr="0069167F">
        <w:rPr>
          <w:b/>
        </w:rPr>
        <w:t>1.2.12.</w:t>
      </w:r>
      <w:r>
        <w:rPr>
          <w:b/>
        </w:rPr>
        <w:t>3</w:t>
      </w:r>
      <w:r w:rsidR="006C1BE5" w:rsidRPr="008E2AAD">
        <w:rPr>
          <w:b/>
        </w:rPr>
        <w:t>. Annulment of License, Permit, Certificate, and Other (LPCO)</w:t>
      </w:r>
    </w:p>
    <w:p w14:paraId="2D4FCCEC" w14:textId="0D3BB22D" w:rsidR="00157AAA" w:rsidRDefault="00BF3FDF">
      <w:pPr>
        <w:rPr>
          <w:b/>
          <w:i/>
        </w:rPr>
      </w:pPr>
      <w:r w:rsidRPr="00BF3FDF">
        <w:rPr>
          <w:b/>
          <w:i/>
          <w:noProof/>
        </w:rPr>
        <w:drawing>
          <wp:inline distT="0" distB="0" distL="0" distR="0" wp14:anchorId="5A68DA4B" wp14:editId="5BBA0E86">
            <wp:extent cx="5486400" cy="1847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86400" cy="1847850"/>
                    </a:xfrm>
                    <a:prstGeom prst="rect">
                      <a:avLst/>
                    </a:prstGeom>
                  </pic:spPr>
                </pic:pic>
              </a:graphicData>
            </a:graphic>
          </wp:inline>
        </w:drawing>
      </w:r>
    </w:p>
    <w:p w14:paraId="69755106" w14:textId="514733FE" w:rsidR="00157AAA" w:rsidRDefault="00BF3FDF">
      <w:pPr>
        <w:pStyle w:val="NoSpacing"/>
        <w:rPr>
          <w:b/>
          <w:i/>
        </w:rPr>
      </w:pPr>
      <w:r>
        <w:rPr>
          <w:b/>
          <w:i/>
        </w:rPr>
        <w:object w:dxaOrig="1543" w:dyaOrig="995" w14:anchorId="5762A34B">
          <v:shape id="_x0000_i1036" type="#_x0000_t75" style="width:79pt;height:50.5pt" o:ole="">
            <v:imagedata r:id="rId107" o:title=""/>
          </v:shape>
          <o:OLEObject Type="Embed" ProgID="Package" ShapeID="_x0000_i1036" DrawAspect="Icon" ObjectID="_1777888269" r:id="rId108"/>
        </w:object>
      </w:r>
      <w:r w:rsidR="00E3729B">
        <w:rPr>
          <w:b/>
          <w:i/>
          <w:noProof/>
        </w:rPr>
        <mc:AlternateContent>
          <mc:Choice Requires="wps">
            <w:drawing>
              <wp:anchor distT="0" distB="0" distL="114300" distR="114300" simplePos="0" relativeHeight="251658254" behindDoc="0" locked="0" layoutInCell="1" allowOverlap="1" wp14:anchorId="54B24478" wp14:editId="550C3B2E">
                <wp:simplePos x="0" y="0"/>
                <wp:positionH relativeFrom="column">
                  <wp:posOffset>0</wp:posOffset>
                </wp:positionH>
                <wp:positionV relativeFrom="paragraph">
                  <wp:posOffset>0</wp:posOffset>
                </wp:positionV>
                <wp:extent cx="635000" cy="635000"/>
                <wp:effectExtent l="19050" t="19050" r="12700" b="12700"/>
                <wp:wrapNone/>
                <wp:docPr id="27" name="AutoShape 4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6CB90" id="AutoShape 47" o:spid="_x0000_s1026" style="position:absolute;margin-left:0;margin-top:0;width:50pt;height:50pt;z-index:25165825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08byCiMCAABIBAAADgAAAAAAAAAAAAAAAAAuAgAAZHJzL2Uyb0RvYy54bWxQSwEC&#10;LQAUAAYACAAAACEA640e+9gAAAAFAQAADwAAAAAAAAAAAAAAAAB9BAAAZHJzL2Rvd25yZXYueG1s&#10;UEsFBgAAAAAEAAQA8wAAAIIFAAAAAA==&#10;">
                <v:stroke joinstyle="round"/>
                <o:lock v:ext="edit" selection="t"/>
              </v:rect>
            </w:pict>
          </mc:Fallback>
        </mc:AlternateContent>
      </w:r>
    </w:p>
    <w:p w14:paraId="7EFFC137" w14:textId="6587AA26" w:rsidR="00157AAA" w:rsidRDefault="006C1BE5">
      <w:pPr>
        <w:jc w:val="center"/>
        <w:rPr>
          <w:i/>
          <w:szCs w:val="24"/>
        </w:rPr>
      </w:pPr>
      <w:r>
        <w:rPr>
          <w:i/>
          <w:szCs w:val="24"/>
        </w:rPr>
        <w:t xml:space="preserve">Figure </w:t>
      </w:r>
      <w:r w:rsidR="00394B0B">
        <w:rPr>
          <w:i/>
          <w:szCs w:val="24"/>
        </w:rPr>
        <w:t>15</w:t>
      </w:r>
      <w:r>
        <w:rPr>
          <w:i/>
          <w:szCs w:val="24"/>
        </w:rPr>
        <w:t>: BPMN Process Diagram: Annulment of LPCO</w:t>
      </w:r>
    </w:p>
    <w:p w14:paraId="5CD56A38" w14:textId="77777777" w:rsidR="003A0C31" w:rsidRDefault="003A0C31">
      <w:pPr>
        <w:rPr>
          <w:b/>
          <w:i/>
          <w:szCs w:val="24"/>
        </w:rPr>
      </w:pPr>
    </w:p>
    <w:p w14:paraId="1EA73EB4" w14:textId="2F8194B7" w:rsidR="00157AAA" w:rsidRDefault="006C1BE5">
      <w:pPr>
        <w:rPr>
          <w:szCs w:val="24"/>
          <w:lang w:val="mk-MK"/>
        </w:rPr>
      </w:pPr>
      <w:r w:rsidRPr="008E2AAD">
        <w:rPr>
          <w:b/>
          <w:szCs w:val="24"/>
        </w:rPr>
        <w:t>Process Description</w:t>
      </w:r>
      <w:r w:rsidRPr="008E2AAD">
        <w:rPr>
          <w:szCs w:val="24"/>
        </w:rPr>
        <w:t>:</w:t>
      </w:r>
      <w:r>
        <w:rPr>
          <w:szCs w:val="24"/>
          <w:lang w:val="mk-MK"/>
        </w:rPr>
        <w:t xml:space="preserve"> The </w:t>
      </w:r>
      <w:r>
        <w:rPr>
          <w:szCs w:val="24"/>
        </w:rPr>
        <w:t xml:space="preserve">purpose of this </w:t>
      </w:r>
      <w:r>
        <w:rPr>
          <w:szCs w:val="24"/>
          <w:lang w:val="mk-MK"/>
        </w:rPr>
        <w:t xml:space="preserve">process </w:t>
      </w:r>
      <w:r>
        <w:rPr>
          <w:szCs w:val="24"/>
        </w:rPr>
        <w:t xml:space="preserve">is to handle a request to annulment </w:t>
      </w:r>
      <w:proofErr w:type="gramStart"/>
      <w:r>
        <w:rPr>
          <w:szCs w:val="24"/>
        </w:rPr>
        <w:t>a LPCO</w:t>
      </w:r>
      <w:proofErr w:type="gramEnd"/>
      <w:r>
        <w:rPr>
          <w:szCs w:val="24"/>
        </w:rPr>
        <w:t xml:space="preserve">. The process </w:t>
      </w:r>
      <w:r w:rsidR="00A3711F">
        <w:rPr>
          <w:szCs w:val="24"/>
        </w:rPr>
        <w:t>starts</w:t>
      </w:r>
      <w:r w:rsidR="00A3711F">
        <w:rPr>
          <w:szCs w:val="24"/>
          <w:lang w:val="mk-MK"/>
        </w:rPr>
        <w:t xml:space="preserve"> </w:t>
      </w:r>
      <w:r>
        <w:rPr>
          <w:szCs w:val="24"/>
        </w:rPr>
        <w:t>when the r</w:t>
      </w:r>
      <w:r>
        <w:rPr>
          <w:szCs w:val="24"/>
          <w:lang w:val="mk-MK"/>
        </w:rPr>
        <w:t>equest</w:t>
      </w:r>
      <w:r>
        <w:rPr>
          <w:szCs w:val="24"/>
        </w:rPr>
        <w:t xml:space="preserve"> for Annulment of LPCO</w:t>
      </w:r>
      <w:r>
        <w:rPr>
          <w:szCs w:val="24"/>
          <w:lang w:val="mk-MK"/>
        </w:rPr>
        <w:t xml:space="preserve"> </w:t>
      </w:r>
      <w:r>
        <w:rPr>
          <w:szCs w:val="24"/>
        </w:rPr>
        <w:t xml:space="preserve">is received </w:t>
      </w:r>
      <w:r>
        <w:rPr>
          <w:szCs w:val="24"/>
          <w:lang w:val="mk-MK"/>
        </w:rPr>
        <w:t>from the Economic Operator</w:t>
      </w:r>
      <w:r>
        <w:rPr>
          <w:szCs w:val="24"/>
        </w:rPr>
        <w:t>.</w:t>
      </w:r>
      <w:r>
        <w:rPr>
          <w:szCs w:val="24"/>
          <w:lang w:val="mk-MK"/>
        </w:rPr>
        <w:t xml:space="preserve"> </w:t>
      </w:r>
      <w:r>
        <w:rPr>
          <w:szCs w:val="24"/>
        </w:rPr>
        <w:t>T</w:t>
      </w:r>
      <w:r>
        <w:rPr>
          <w:szCs w:val="24"/>
          <w:lang w:val="mk-MK"/>
        </w:rPr>
        <w:t xml:space="preserve">he request </w:t>
      </w:r>
      <w:r>
        <w:rPr>
          <w:szCs w:val="24"/>
        </w:rPr>
        <w:t>needs to</w:t>
      </w:r>
      <w:r>
        <w:rPr>
          <w:szCs w:val="24"/>
          <w:lang w:val="mk-MK"/>
        </w:rPr>
        <w:t xml:space="preserve"> be first technical</w:t>
      </w:r>
      <w:r>
        <w:rPr>
          <w:szCs w:val="24"/>
        </w:rPr>
        <w:t>y</w:t>
      </w:r>
      <w:r>
        <w:rPr>
          <w:szCs w:val="24"/>
          <w:lang w:val="mk-MK"/>
        </w:rPr>
        <w:t xml:space="preserve"> </w:t>
      </w:r>
      <w:r>
        <w:rPr>
          <w:szCs w:val="24"/>
        </w:rPr>
        <w:t>validated</w:t>
      </w:r>
      <w:r>
        <w:rPr>
          <w:szCs w:val="24"/>
          <w:lang w:val="mk-MK"/>
        </w:rPr>
        <w:t>. If the request for annulment is technica</w:t>
      </w:r>
      <w:r w:rsidR="00C50F2B">
        <w:rPr>
          <w:szCs w:val="24"/>
        </w:rPr>
        <w:t>l</w:t>
      </w:r>
      <w:r>
        <w:rPr>
          <w:szCs w:val="24"/>
          <w:lang w:val="mk-MK"/>
        </w:rPr>
        <w:t>l</w:t>
      </w:r>
      <w:r w:rsidR="00C50F2B">
        <w:rPr>
          <w:szCs w:val="24"/>
        </w:rPr>
        <w:t>y</w:t>
      </w:r>
      <w:r>
        <w:rPr>
          <w:szCs w:val="24"/>
          <w:lang w:val="mk-MK"/>
        </w:rPr>
        <w:t xml:space="preserve"> valid, </w:t>
      </w:r>
      <w:r>
        <w:rPr>
          <w:szCs w:val="24"/>
        </w:rPr>
        <w:t xml:space="preserve">the </w:t>
      </w:r>
      <w:r>
        <w:rPr>
          <w:szCs w:val="24"/>
          <w:lang w:val="mk-MK"/>
        </w:rPr>
        <w:t>request for the annulment is recorded</w:t>
      </w:r>
      <w:r>
        <w:rPr>
          <w:szCs w:val="24"/>
        </w:rPr>
        <w:t xml:space="preserve">. </w:t>
      </w:r>
      <w:r w:rsidR="00C50F2B">
        <w:rPr>
          <w:szCs w:val="24"/>
        </w:rPr>
        <w:t xml:space="preserve">Then, the </w:t>
      </w:r>
      <w:r>
        <w:rPr>
          <w:szCs w:val="24"/>
        </w:rPr>
        <w:t xml:space="preserve">NSW retrieves LPCO information </w:t>
      </w:r>
      <w:r>
        <w:rPr>
          <w:szCs w:val="24"/>
          <w:lang w:val="mk-MK"/>
        </w:rPr>
        <w:t xml:space="preserve">and </w:t>
      </w:r>
      <w:r>
        <w:rPr>
          <w:szCs w:val="24"/>
        </w:rPr>
        <w:t xml:space="preserve">checks the </w:t>
      </w:r>
      <w:r>
        <w:rPr>
          <w:szCs w:val="24"/>
          <w:lang w:val="mk-MK"/>
        </w:rPr>
        <w:t xml:space="preserve">status of the LPCO. If the status of the LPCO don’t allows to be annulled, rejection message is sent to the EO. If the status of the LPCO is </w:t>
      </w:r>
      <w:r>
        <w:rPr>
          <w:szCs w:val="24"/>
        </w:rPr>
        <w:t>ok</w:t>
      </w:r>
      <w:r>
        <w:rPr>
          <w:szCs w:val="24"/>
          <w:lang w:val="mk-MK"/>
        </w:rPr>
        <w:t xml:space="preserve"> to be annulled, a decision for annulment is taken from NSW officer. If the decision is to annul, the LPCO is annulled, and notif</w:t>
      </w:r>
      <w:proofErr w:type="spellStart"/>
      <w:r>
        <w:rPr>
          <w:szCs w:val="24"/>
        </w:rPr>
        <w:t>i</w:t>
      </w:r>
      <w:proofErr w:type="spellEnd"/>
      <w:r>
        <w:rPr>
          <w:szCs w:val="24"/>
          <w:lang w:val="mk-MK"/>
        </w:rPr>
        <w:t>ca</w:t>
      </w:r>
      <w:proofErr w:type="spellStart"/>
      <w:r>
        <w:rPr>
          <w:szCs w:val="24"/>
        </w:rPr>
        <w:t>ti</w:t>
      </w:r>
      <w:proofErr w:type="spellEnd"/>
      <w:r>
        <w:rPr>
          <w:szCs w:val="24"/>
          <w:lang w:val="mk-MK"/>
        </w:rPr>
        <w:t xml:space="preserve">on is sent to EO. If the decision is not to annul the LPCO, the rejection of the request is sent to EO. </w:t>
      </w:r>
    </w:p>
    <w:p w14:paraId="111D539D" w14:textId="77777777" w:rsidR="00157AAA" w:rsidRDefault="00157AAA">
      <w:pPr>
        <w:spacing w:after="0"/>
        <w:rPr>
          <w:szCs w:val="24"/>
          <w:lang w:val="mk-MK"/>
        </w:rPr>
      </w:pPr>
    </w:p>
    <w:p w14:paraId="2D1D67CE" w14:textId="77777777" w:rsidR="00157AAA" w:rsidRPr="008E2AAD" w:rsidRDefault="006C1BE5">
      <w:pPr>
        <w:spacing w:after="0"/>
        <w:rPr>
          <w:b/>
        </w:rPr>
      </w:pPr>
      <w:r w:rsidRPr="008E2AAD">
        <w:rPr>
          <w:b/>
        </w:rPr>
        <w:t>Process Steps:</w:t>
      </w:r>
    </w:p>
    <w:p w14:paraId="5C242566" w14:textId="77777777" w:rsidR="00157AAA" w:rsidRDefault="00157AAA">
      <w:pPr>
        <w:spacing w:after="0"/>
        <w:rPr>
          <w:i/>
          <w:highlight w:val="yellow"/>
        </w:rPr>
      </w:pPr>
    </w:p>
    <w:tbl>
      <w:tblPr>
        <w:tblStyle w:val="TableGrid"/>
        <w:tblW w:w="0" w:type="auto"/>
        <w:tblLook w:val="04A0" w:firstRow="1" w:lastRow="0" w:firstColumn="1" w:lastColumn="0" w:noHBand="0" w:noVBand="1"/>
      </w:tblPr>
      <w:tblGrid>
        <w:gridCol w:w="1345"/>
        <w:gridCol w:w="2340"/>
        <w:gridCol w:w="4945"/>
      </w:tblGrid>
      <w:tr w:rsidR="00157AAA" w14:paraId="00C3636D" w14:textId="77777777" w:rsidTr="001136D3">
        <w:trPr>
          <w:tblHeader/>
        </w:trPr>
        <w:tc>
          <w:tcPr>
            <w:tcW w:w="1345" w:type="dxa"/>
            <w:shd w:val="clear" w:color="auto" w:fill="D9D9D9" w:themeFill="background1" w:themeFillShade="D9"/>
          </w:tcPr>
          <w:p w14:paraId="71BB928B" w14:textId="77777777" w:rsidR="00157AAA" w:rsidRDefault="006C1BE5">
            <w:pPr>
              <w:spacing w:after="0"/>
              <w:rPr>
                <w:b/>
                <w:szCs w:val="24"/>
              </w:rPr>
            </w:pPr>
            <w:r>
              <w:rPr>
                <w:b/>
                <w:szCs w:val="24"/>
              </w:rPr>
              <w:t>Step</w:t>
            </w:r>
          </w:p>
        </w:tc>
        <w:tc>
          <w:tcPr>
            <w:tcW w:w="2340" w:type="dxa"/>
            <w:shd w:val="clear" w:color="auto" w:fill="D9D9D9" w:themeFill="background1" w:themeFillShade="D9"/>
          </w:tcPr>
          <w:p w14:paraId="43F1CC31" w14:textId="77777777" w:rsidR="00157AAA" w:rsidRDefault="006C1BE5">
            <w:pPr>
              <w:spacing w:after="0"/>
              <w:jc w:val="left"/>
              <w:rPr>
                <w:b/>
                <w:szCs w:val="24"/>
              </w:rPr>
            </w:pPr>
            <w:r>
              <w:rPr>
                <w:b/>
                <w:szCs w:val="24"/>
              </w:rPr>
              <w:t>Name</w:t>
            </w:r>
          </w:p>
        </w:tc>
        <w:tc>
          <w:tcPr>
            <w:tcW w:w="4945" w:type="dxa"/>
            <w:shd w:val="clear" w:color="auto" w:fill="D9D9D9" w:themeFill="background1" w:themeFillShade="D9"/>
          </w:tcPr>
          <w:p w14:paraId="2E334AA5" w14:textId="77777777" w:rsidR="00157AAA" w:rsidRDefault="006C1BE5">
            <w:pPr>
              <w:spacing w:after="0"/>
              <w:jc w:val="left"/>
              <w:rPr>
                <w:b/>
                <w:szCs w:val="24"/>
              </w:rPr>
            </w:pPr>
            <w:r>
              <w:rPr>
                <w:b/>
                <w:szCs w:val="24"/>
              </w:rPr>
              <w:t>Description</w:t>
            </w:r>
          </w:p>
        </w:tc>
      </w:tr>
      <w:tr w:rsidR="00157AAA" w14:paraId="6B149DC9" w14:textId="77777777" w:rsidTr="001136D3">
        <w:tc>
          <w:tcPr>
            <w:tcW w:w="1345" w:type="dxa"/>
          </w:tcPr>
          <w:p w14:paraId="62CA0B03" w14:textId="77777777" w:rsidR="00157AAA" w:rsidRDefault="006C1BE5">
            <w:pPr>
              <w:spacing w:after="0"/>
              <w:rPr>
                <w:szCs w:val="24"/>
              </w:rPr>
            </w:pPr>
            <w:r>
              <w:rPr>
                <w:szCs w:val="24"/>
              </w:rPr>
              <w:t>Start event</w:t>
            </w:r>
          </w:p>
        </w:tc>
        <w:tc>
          <w:tcPr>
            <w:tcW w:w="2340" w:type="dxa"/>
          </w:tcPr>
          <w:p w14:paraId="7C1557B1" w14:textId="77777777" w:rsidR="00157AAA" w:rsidRDefault="006C1BE5">
            <w:pPr>
              <w:spacing w:after="0"/>
              <w:rPr>
                <w:szCs w:val="24"/>
              </w:rPr>
            </w:pPr>
            <w:r>
              <w:rPr>
                <w:szCs w:val="24"/>
              </w:rPr>
              <w:t>Receive Request to Annul LPCO</w:t>
            </w:r>
          </w:p>
        </w:tc>
        <w:tc>
          <w:tcPr>
            <w:tcW w:w="4945" w:type="dxa"/>
          </w:tcPr>
          <w:p w14:paraId="59D2124B" w14:textId="77777777" w:rsidR="00157AAA" w:rsidRDefault="006C1BE5">
            <w:pPr>
              <w:spacing w:after="0"/>
              <w:rPr>
                <w:szCs w:val="24"/>
              </w:rPr>
            </w:pPr>
            <w:r>
              <w:rPr>
                <w:szCs w:val="24"/>
              </w:rPr>
              <w:t>The NSW system can receive request from EO for annulment of LPCO.</w:t>
            </w:r>
          </w:p>
        </w:tc>
      </w:tr>
      <w:tr w:rsidR="00157AAA" w14:paraId="4DBA5EE5" w14:textId="77777777" w:rsidTr="001136D3">
        <w:tc>
          <w:tcPr>
            <w:tcW w:w="1345" w:type="dxa"/>
          </w:tcPr>
          <w:p w14:paraId="10F6205C" w14:textId="77777777" w:rsidR="00157AAA" w:rsidRDefault="006C1BE5">
            <w:pPr>
              <w:spacing w:after="0"/>
              <w:rPr>
                <w:szCs w:val="24"/>
              </w:rPr>
            </w:pPr>
            <w:r>
              <w:rPr>
                <w:szCs w:val="24"/>
              </w:rPr>
              <w:t>Service Task</w:t>
            </w:r>
          </w:p>
        </w:tc>
        <w:tc>
          <w:tcPr>
            <w:tcW w:w="2340" w:type="dxa"/>
          </w:tcPr>
          <w:p w14:paraId="477787D9" w14:textId="7DFD6A0D" w:rsidR="00157AAA" w:rsidRDefault="006C1BE5">
            <w:pPr>
              <w:spacing w:after="0"/>
              <w:rPr>
                <w:szCs w:val="24"/>
              </w:rPr>
            </w:pPr>
            <w:r>
              <w:rPr>
                <w:szCs w:val="24"/>
              </w:rPr>
              <w:t xml:space="preserve">Perform Technical Validation of Request for Annulment of LPCO </w:t>
            </w:r>
          </w:p>
        </w:tc>
        <w:tc>
          <w:tcPr>
            <w:tcW w:w="4945" w:type="dxa"/>
          </w:tcPr>
          <w:p w14:paraId="4FA37B34" w14:textId="77777777" w:rsidR="00157AAA" w:rsidRDefault="006C1BE5">
            <w:pPr>
              <w:spacing w:after="0"/>
              <w:rPr>
                <w:szCs w:val="24"/>
              </w:rPr>
            </w:pPr>
            <w:r>
              <w:rPr>
                <w:szCs w:val="24"/>
              </w:rPr>
              <w:t>When the requests for annulment of LPCO are received the system needs to perform technical validation of the request to annul LPCO.</w:t>
            </w:r>
          </w:p>
        </w:tc>
      </w:tr>
      <w:tr w:rsidR="00157AAA" w14:paraId="45A05859" w14:textId="77777777" w:rsidTr="001136D3">
        <w:tc>
          <w:tcPr>
            <w:tcW w:w="1345" w:type="dxa"/>
          </w:tcPr>
          <w:p w14:paraId="01D74B57" w14:textId="77777777" w:rsidR="00157AAA" w:rsidRDefault="006C1BE5">
            <w:pPr>
              <w:spacing w:after="0"/>
              <w:rPr>
                <w:szCs w:val="24"/>
              </w:rPr>
            </w:pPr>
            <w:r>
              <w:rPr>
                <w:szCs w:val="24"/>
              </w:rPr>
              <w:t>Service Task</w:t>
            </w:r>
          </w:p>
        </w:tc>
        <w:tc>
          <w:tcPr>
            <w:tcW w:w="2340" w:type="dxa"/>
          </w:tcPr>
          <w:p w14:paraId="3B71FB68" w14:textId="77777777" w:rsidR="00157AAA" w:rsidRDefault="006C1BE5">
            <w:pPr>
              <w:spacing w:after="0"/>
              <w:rPr>
                <w:szCs w:val="24"/>
              </w:rPr>
            </w:pPr>
            <w:r>
              <w:rPr>
                <w:szCs w:val="24"/>
              </w:rPr>
              <w:t>Record Request for Annulment of LPCO</w:t>
            </w:r>
          </w:p>
        </w:tc>
        <w:tc>
          <w:tcPr>
            <w:tcW w:w="4945" w:type="dxa"/>
          </w:tcPr>
          <w:p w14:paraId="1EC6A478" w14:textId="77777777" w:rsidR="00157AAA" w:rsidRDefault="006C1BE5">
            <w:pPr>
              <w:spacing w:after="0"/>
              <w:rPr>
                <w:szCs w:val="24"/>
              </w:rPr>
            </w:pPr>
            <w:r>
              <w:rPr>
                <w:szCs w:val="24"/>
              </w:rPr>
              <w:t>If the request for annulment is technical valid, request for the annulment of LPCO is recorded.</w:t>
            </w:r>
          </w:p>
        </w:tc>
      </w:tr>
      <w:tr w:rsidR="00157AAA" w14:paraId="6A5760DE" w14:textId="77777777" w:rsidTr="001136D3">
        <w:tc>
          <w:tcPr>
            <w:tcW w:w="1345" w:type="dxa"/>
          </w:tcPr>
          <w:p w14:paraId="336A367C" w14:textId="77777777" w:rsidR="00157AAA" w:rsidRDefault="006C1BE5">
            <w:pPr>
              <w:spacing w:after="0"/>
              <w:rPr>
                <w:szCs w:val="24"/>
              </w:rPr>
            </w:pPr>
            <w:r>
              <w:rPr>
                <w:szCs w:val="24"/>
              </w:rPr>
              <w:lastRenderedPageBreak/>
              <w:t>Service Task</w:t>
            </w:r>
          </w:p>
        </w:tc>
        <w:tc>
          <w:tcPr>
            <w:tcW w:w="2340" w:type="dxa"/>
          </w:tcPr>
          <w:p w14:paraId="0CB8F8F5" w14:textId="77777777" w:rsidR="00157AAA" w:rsidRDefault="006C1BE5">
            <w:pPr>
              <w:spacing w:after="0"/>
              <w:jc w:val="left"/>
              <w:rPr>
                <w:szCs w:val="24"/>
              </w:rPr>
            </w:pPr>
            <w:r>
              <w:rPr>
                <w:szCs w:val="24"/>
              </w:rPr>
              <w:t>Retrieve LPCO Information</w:t>
            </w:r>
          </w:p>
        </w:tc>
        <w:tc>
          <w:tcPr>
            <w:tcW w:w="4945" w:type="dxa"/>
          </w:tcPr>
          <w:p w14:paraId="2F33948A" w14:textId="77777777" w:rsidR="00157AAA" w:rsidRDefault="006C1BE5">
            <w:pPr>
              <w:spacing w:after="0"/>
              <w:rPr>
                <w:szCs w:val="24"/>
              </w:rPr>
            </w:pPr>
            <w:r>
              <w:rPr>
                <w:szCs w:val="24"/>
              </w:rPr>
              <w:t xml:space="preserve">The NSW System retrieves the information for LPCO requested and identifies: </w:t>
            </w:r>
          </w:p>
          <w:p w14:paraId="68D63B30" w14:textId="77777777" w:rsidR="00157AAA" w:rsidRDefault="006C1BE5" w:rsidP="00D530D5">
            <w:pPr>
              <w:pStyle w:val="ListParagraph"/>
              <w:numPr>
                <w:ilvl w:val="0"/>
                <w:numId w:val="137"/>
              </w:numPr>
              <w:spacing w:after="0"/>
              <w:rPr>
                <w:szCs w:val="24"/>
              </w:rPr>
            </w:pPr>
            <w:r>
              <w:rPr>
                <w:szCs w:val="24"/>
              </w:rPr>
              <w:t xml:space="preserve">LPCO availability </w:t>
            </w:r>
          </w:p>
          <w:p w14:paraId="7DA97E18" w14:textId="77777777" w:rsidR="00157AAA" w:rsidRDefault="006C1BE5" w:rsidP="00D530D5">
            <w:pPr>
              <w:pStyle w:val="ListParagraph"/>
              <w:numPr>
                <w:ilvl w:val="0"/>
                <w:numId w:val="137"/>
              </w:numPr>
              <w:spacing w:after="0"/>
              <w:rPr>
                <w:szCs w:val="24"/>
              </w:rPr>
            </w:pPr>
            <w:r>
              <w:rPr>
                <w:szCs w:val="24"/>
              </w:rPr>
              <w:t>appropriate status</w:t>
            </w:r>
          </w:p>
        </w:tc>
      </w:tr>
      <w:tr w:rsidR="00157AAA" w14:paraId="3BFBF13E" w14:textId="77777777" w:rsidTr="001136D3">
        <w:tc>
          <w:tcPr>
            <w:tcW w:w="1345" w:type="dxa"/>
          </w:tcPr>
          <w:p w14:paraId="352C121F" w14:textId="77777777" w:rsidR="00157AAA" w:rsidRDefault="006C1BE5">
            <w:pPr>
              <w:spacing w:after="0"/>
              <w:rPr>
                <w:szCs w:val="24"/>
              </w:rPr>
            </w:pPr>
            <w:r>
              <w:rPr>
                <w:szCs w:val="24"/>
              </w:rPr>
              <w:t>Service Task</w:t>
            </w:r>
          </w:p>
        </w:tc>
        <w:tc>
          <w:tcPr>
            <w:tcW w:w="2340" w:type="dxa"/>
          </w:tcPr>
          <w:p w14:paraId="76BFF132" w14:textId="77777777" w:rsidR="00157AAA" w:rsidRDefault="006C1BE5">
            <w:pPr>
              <w:spacing w:after="0"/>
              <w:rPr>
                <w:szCs w:val="24"/>
              </w:rPr>
            </w:pPr>
            <w:r>
              <w:rPr>
                <w:szCs w:val="24"/>
              </w:rPr>
              <w:t>Check Status of LPCO for Annulment</w:t>
            </w:r>
          </w:p>
        </w:tc>
        <w:tc>
          <w:tcPr>
            <w:tcW w:w="4945" w:type="dxa"/>
          </w:tcPr>
          <w:p w14:paraId="3C95055F" w14:textId="3F34282C" w:rsidR="00157AAA" w:rsidRDefault="006C1BE5">
            <w:pPr>
              <w:spacing w:after="0"/>
              <w:rPr>
                <w:szCs w:val="24"/>
              </w:rPr>
            </w:pPr>
            <w:r>
              <w:rPr>
                <w:szCs w:val="24"/>
              </w:rPr>
              <w:t>The status of the LPCO is checked</w:t>
            </w:r>
            <w:r w:rsidR="003A0C31">
              <w:rPr>
                <w:szCs w:val="24"/>
              </w:rPr>
              <w:t>.</w:t>
            </w:r>
          </w:p>
        </w:tc>
      </w:tr>
      <w:tr w:rsidR="00157AAA" w14:paraId="664071E1" w14:textId="77777777" w:rsidTr="001136D3">
        <w:tc>
          <w:tcPr>
            <w:tcW w:w="1345" w:type="dxa"/>
          </w:tcPr>
          <w:p w14:paraId="4B62A84C" w14:textId="77777777" w:rsidR="00157AAA" w:rsidRDefault="006C1BE5">
            <w:pPr>
              <w:spacing w:after="0"/>
              <w:rPr>
                <w:szCs w:val="24"/>
              </w:rPr>
            </w:pPr>
            <w:r>
              <w:rPr>
                <w:szCs w:val="24"/>
              </w:rPr>
              <w:t>Send Task</w:t>
            </w:r>
          </w:p>
        </w:tc>
        <w:tc>
          <w:tcPr>
            <w:tcW w:w="2340" w:type="dxa"/>
          </w:tcPr>
          <w:p w14:paraId="22DF3E1C" w14:textId="77777777" w:rsidR="00157AAA" w:rsidRDefault="006C1BE5">
            <w:pPr>
              <w:spacing w:after="0"/>
              <w:rPr>
                <w:szCs w:val="24"/>
              </w:rPr>
            </w:pPr>
            <w:r>
              <w:rPr>
                <w:szCs w:val="24"/>
              </w:rPr>
              <w:t>Notify for Rejection of Request for Annulment of LPCO</w:t>
            </w:r>
          </w:p>
        </w:tc>
        <w:tc>
          <w:tcPr>
            <w:tcW w:w="4945" w:type="dxa"/>
          </w:tcPr>
          <w:p w14:paraId="695E6B1F" w14:textId="77777777" w:rsidR="00157AAA" w:rsidRDefault="006C1BE5">
            <w:pPr>
              <w:spacing w:after="0"/>
              <w:rPr>
                <w:szCs w:val="24"/>
              </w:rPr>
            </w:pPr>
            <w:r>
              <w:rPr>
                <w:szCs w:val="24"/>
              </w:rPr>
              <w:t xml:space="preserve">If the request to annul LPCO is not valid, or the status of the LPCO is not ok for annulment, the system notifies EO.  </w:t>
            </w:r>
          </w:p>
        </w:tc>
      </w:tr>
      <w:tr w:rsidR="00157AAA" w14:paraId="16DBB158" w14:textId="77777777" w:rsidTr="001136D3">
        <w:tc>
          <w:tcPr>
            <w:tcW w:w="1345" w:type="dxa"/>
          </w:tcPr>
          <w:p w14:paraId="515DBAF9" w14:textId="77777777" w:rsidR="00157AAA" w:rsidRDefault="006C1BE5">
            <w:pPr>
              <w:spacing w:after="0"/>
              <w:rPr>
                <w:szCs w:val="24"/>
              </w:rPr>
            </w:pPr>
            <w:r>
              <w:rPr>
                <w:szCs w:val="24"/>
              </w:rPr>
              <w:t>End event</w:t>
            </w:r>
          </w:p>
        </w:tc>
        <w:tc>
          <w:tcPr>
            <w:tcW w:w="2340" w:type="dxa"/>
          </w:tcPr>
          <w:p w14:paraId="13DAD46D" w14:textId="77777777" w:rsidR="00157AAA" w:rsidRDefault="006C1BE5">
            <w:pPr>
              <w:spacing w:after="0"/>
              <w:rPr>
                <w:szCs w:val="24"/>
              </w:rPr>
            </w:pPr>
            <w:r>
              <w:rPr>
                <w:szCs w:val="24"/>
              </w:rPr>
              <w:t>Request for Annulment of LPCO Rejected</w:t>
            </w:r>
          </w:p>
        </w:tc>
        <w:tc>
          <w:tcPr>
            <w:tcW w:w="4945" w:type="dxa"/>
          </w:tcPr>
          <w:p w14:paraId="4D1417A3" w14:textId="77777777" w:rsidR="00157AAA" w:rsidRDefault="006C1BE5">
            <w:pPr>
              <w:spacing w:after="0"/>
              <w:rPr>
                <w:szCs w:val="24"/>
              </w:rPr>
            </w:pPr>
            <w:r>
              <w:rPr>
                <w:szCs w:val="24"/>
              </w:rPr>
              <w:t>The process ends when the request for Annulment of LPCO is rejected.</w:t>
            </w:r>
          </w:p>
        </w:tc>
      </w:tr>
      <w:tr w:rsidR="00157AAA" w14:paraId="08C2DD68" w14:textId="77777777" w:rsidTr="001136D3">
        <w:tc>
          <w:tcPr>
            <w:tcW w:w="1345" w:type="dxa"/>
          </w:tcPr>
          <w:p w14:paraId="052F2A61" w14:textId="77777777" w:rsidR="00157AAA" w:rsidRDefault="006C1BE5">
            <w:pPr>
              <w:spacing w:after="0"/>
              <w:rPr>
                <w:szCs w:val="24"/>
              </w:rPr>
            </w:pPr>
            <w:r>
              <w:rPr>
                <w:szCs w:val="24"/>
              </w:rPr>
              <w:t>User Task</w:t>
            </w:r>
          </w:p>
        </w:tc>
        <w:tc>
          <w:tcPr>
            <w:tcW w:w="2340" w:type="dxa"/>
          </w:tcPr>
          <w:p w14:paraId="7D79818F" w14:textId="77777777" w:rsidR="00157AAA" w:rsidRDefault="006C1BE5">
            <w:pPr>
              <w:spacing w:after="0"/>
              <w:rPr>
                <w:szCs w:val="24"/>
              </w:rPr>
            </w:pPr>
            <w:r>
              <w:rPr>
                <w:szCs w:val="24"/>
              </w:rPr>
              <w:t>Take Decision for Annulment of LPCO</w:t>
            </w:r>
          </w:p>
        </w:tc>
        <w:tc>
          <w:tcPr>
            <w:tcW w:w="4945" w:type="dxa"/>
          </w:tcPr>
          <w:p w14:paraId="396C3F3D" w14:textId="77777777" w:rsidR="00157AAA" w:rsidRDefault="006C1BE5">
            <w:pPr>
              <w:spacing w:after="0"/>
              <w:rPr>
                <w:szCs w:val="24"/>
              </w:rPr>
            </w:pPr>
            <w:r>
              <w:rPr>
                <w:szCs w:val="24"/>
              </w:rPr>
              <w:t>If the status of the LPCO is fine to be annulled, a decision for annulment is taken from NSW officer.</w:t>
            </w:r>
          </w:p>
        </w:tc>
      </w:tr>
      <w:tr w:rsidR="00157AAA" w14:paraId="11CC9DFD" w14:textId="77777777" w:rsidTr="001136D3">
        <w:tc>
          <w:tcPr>
            <w:tcW w:w="1345" w:type="dxa"/>
          </w:tcPr>
          <w:p w14:paraId="36B494E1" w14:textId="77777777" w:rsidR="00157AAA" w:rsidRDefault="006C1BE5">
            <w:pPr>
              <w:spacing w:after="0"/>
              <w:rPr>
                <w:szCs w:val="24"/>
              </w:rPr>
            </w:pPr>
            <w:r>
              <w:rPr>
                <w:szCs w:val="24"/>
              </w:rPr>
              <w:t>Send Task</w:t>
            </w:r>
          </w:p>
        </w:tc>
        <w:tc>
          <w:tcPr>
            <w:tcW w:w="2340" w:type="dxa"/>
          </w:tcPr>
          <w:p w14:paraId="48C05B1F" w14:textId="77777777" w:rsidR="00157AAA" w:rsidRDefault="006C1BE5">
            <w:pPr>
              <w:spacing w:after="0"/>
              <w:rPr>
                <w:szCs w:val="24"/>
              </w:rPr>
            </w:pPr>
            <w:r>
              <w:rPr>
                <w:szCs w:val="24"/>
              </w:rPr>
              <w:t>Notify of Decision for Rejection of Annulment of LPCO</w:t>
            </w:r>
          </w:p>
        </w:tc>
        <w:tc>
          <w:tcPr>
            <w:tcW w:w="4945" w:type="dxa"/>
          </w:tcPr>
          <w:p w14:paraId="167496DF" w14:textId="77777777" w:rsidR="00157AAA" w:rsidRDefault="006C1BE5">
            <w:pPr>
              <w:spacing w:after="0"/>
              <w:rPr>
                <w:szCs w:val="24"/>
              </w:rPr>
            </w:pPr>
            <w:r>
              <w:rPr>
                <w:szCs w:val="24"/>
              </w:rPr>
              <w:t>If the decision is not to annul the LPCO, the rejection of the request is sent to EO.</w:t>
            </w:r>
          </w:p>
        </w:tc>
      </w:tr>
      <w:tr w:rsidR="00157AAA" w14:paraId="060A0F01" w14:textId="77777777" w:rsidTr="001136D3">
        <w:tc>
          <w:tcPr>
            <w:tcW w:w="1345" w:type="dxa"/>
          </w:tcPr>
          <w:p w14:paraId="71D5B67E" w14:textId="77777777" w:rsidR="00157AAA" w:rsidRDefault="006C1BE5">
            <w:pPr>
              <w:spacing w:after="0"/>
              <w:rPr>
                <w:szCs w:val="24"/>
              </w:rPr>
            </w:pPr>
            <w:r>
              <w:rPr>
                <w:szCs w:val="24"/>
              </w:rPr>
              <w:t>End Event</w:t>
            </w:r>
          </w:p>
        </w:tc>
        <w:tc>
          <w:tcPr>
            <w:tcW w:w="2340" w:type="dxa"/>
          </w:tcPr>
          <w:p w14:paraId="2EC6F9D5" w14:textId="77777777" w:rsidR="00157AAA" w:rsidRDefault="006C1BE5">
            <w:pPr>
              <w:spacing w:after="0"/>
              <w:rPr>
                <w:szCs w:val="24"/>
              </w:rPr>
            </w:pPr>
            <w:r>
              <w:rPr>
                <w:szCs w:val="24"/>
              </w:rPr>
              <w:t>Request for Annulment of LPCO Rejected</w:t>
            </w:r>
          </w:p>
        </w:tc>
        <w:tc>
          <w:tcPr>
            <w:tcW w:w="4945" w:type="dxa"/>
          </w:tcPr>
          <w:p w14:paraId="226B362D" w14:textId="77777777" w:rsidR="00157AAA" w:rsidRDefault="006C1BE5">
            <w:pPr>
              <w:spacing w:after="0"/>
              <w:rPr>
                <w:szCs w:val="24"/>
              </w:rPr>
            </w:pPr>
            <w:r>
              <w:rPr>
                <w:szCs w:val="24"/>
              </w:rPr>
              <w:t>Request rejected.</w:t>
            </w:r>
          </w:p>
        </w:tc>
      </w:tr>
      <w:tr w:rsidR="00157AAA" w14:paraId="7DDFDDE6" w14:textId="77777777" w:rsidTr="001136D3">
        <w:tc>
          <w:tcPr>
            <w:tcW w:w="1345" w:type="dxa"/>
          </w:tcPr>
          <w:p w14:paraId="4AEE44BF" w14:textId="77777777" w:rsidR="00157AAA" w:rsidRDefault="006C1BE5">
            <w:pPr>
              <w:spacing w:after="0"/>
              <w:rPr>
                <w:szCs w:val="24"/>
              </w:rPr>
            </w:pPr>
            <w:r>
              <w:rPr>
                <w:szCs w:val="24"/>
              </w:rPr>
              <w:t>Service Task</w:t>
            </w:r>
          </w:p>
        </w:tc>
        <w:tc>
          <w:tcPr>
            <w:tcW w:w="2340" w:type="dxa"/>
          </w:tcPr>
          <w:p w14:paraId="31D033BF" w14:textId="77777777" w:rsidR="00157AAA" w:rsidRDefault="006C1BE5">
            <w:pPr>
              <w:spacing w:after="0"/>
              <w:rPr>
                <w:szCs w:val="24"/>
              </w:rPr>
            </w:pPr>
            <w:r>
              <w:rPr>
                <w:szCs w:val="24"/>
              </w:rPr>
              <w:t>Annul LPCO</w:t>
            </w:r>
          </w:p>
        </w:tc>
        <w:tc>
          <w:tcPr>
            <w:tcW w:w="4945" w:type="dxa"/>
          </w:tcPr>
          <w:p w14:paraId="1B5DF07E" w14:textId="77777777" w:rsidR="00157AAA" w:rsidRDefault="006C1BE5">
            <w:pPr>
              <w:spacing w:after="0"/>
              <w:rPr>
                <w:szCs w:val="24"/>
              </w:rPr>
            </w:pPr>
            <w:r>
              <w:rPr>
                <w:szCs w:val="24"/>
              </w:rPr>
              <w:t>If the decision for annulment of LPCO is positive, the LPCO is annulled.</w:t>
            </w:r>
          </w:p>
        </w:tc>
      </w:tr>
      <w:tr w:rsidR="00157AAA" w14:paraId="275C4A3E" w14:textId="77777777" w:rsidTr="001136D3">
        <w:tc>
          <w:tcPr>
            <w:tcW w:w="1345" w:type="dxa"/>
          </w:tcPr>
          <w:p w14:paraId="1050AF60" w14:textId="77777777" w:rsidR="00157AAA" w:rsidRDefault="006C1BE5">
            <w:pPr>
              <w:spacing w:after="0"/>
              <w:rPr>
                <w:szCs w:val="24"/>
              </w:rPr>
            </w:pPr>
            <w:r>
              <w:rPr>
                <w:szCs w:val="24"/>
              </w:rPr>
              <w:t>Send Task</w:t>
            </w:r>
          </w:p>
        </w:tc>
        <w:tc>
          <w:tcPr>
            <w:tcW w:w="2340" w:type="dxa"/>
          </w:tcPr>
          <w:p w14:paraId="0264C23B" w14:textId="77777777" w:rsidR="00157AAA" w:rsidRDefault="006C1BE5">
            <w:pPr>
              <w:spacing w:after="0"/>
              <w:rPr>
                <w:szCs w:val="24"/>
              </w:rPr>
            </w:pPr>
            <w:r>
              <w:rPr>
                <w:szCs w:val="24"/>
              </w:rPr>
              <w:t>Notify for Annulment of LPCO</w:t>
            </w:r>
          </w:p>
        </w:tc>
        <w:tc>
          <w:tcPr>
            <w:tcW w:w="4945" w:type="dxa"/>
          </w:tcPr>
          <w:p w14:paraId="6E7C086E" w14:textId="77777777" w:rsidR="00157AAA" w:rsidRDefault="006C1BE5">
            <w:pPr>
              <w:spacing w:after="0"/>
              <w:rPr>
                <w:szCs w:val="24"/>
              </w:rPr>
            </w:pPr>
            <w:r>
              <w:rPr>
                <w:szCs w:val="24"/>
              </w:rPr>
              <w:t>After the LPCO is annulled, Notification for annulment is sent to EO.</w:t>
            </w:r>
          </w:p>
        </w:tc>
      </w:tr>
      <w:tr w:rsidR="00157AAA" w14:paraId="787013A3" w14:textId="77777777" w:rsidTr="001136D3">
        <w:tc>
          <w:tcPr>
            <w:tcW w:w="1345" w:type="dxa"/>
          </w:tcPr>
          <w:p w14:paraId="1A98F4AF" w14:textId="77777777" w:rsidR="00157AAA" w:rsidRDefault="006C1BE5">
            <w:pPr>
              <w:spacing w:after="0"/>
              <w:rPr>
                <w:szCs w:val="24"/>
              </w:rPr>
            </w:pPr>
            <w:r>
              <w:rPr>
                <w:szCs w:val="24"/>
              </w:rPr>
              <w:t>End Event</w:t>
            </w:r>
          </w:p>
        </w:tc>
        <w:tc>
          <w:tcPr>
            <w:tcW w:w="2340" w:type="dxa"/>
          </w:tcPr>
          <w:p w14:paraId="78EF8DFA" w14:textId="77777777" w:rsidR="00157AAA" w:rsidRDefault="006C1BE5">
            <w:pPr>
              <w:spacing w:after="0"/>
              <w:rPr>
                <w:szCs w:val="24"/>
              </w:rPr>
            </w:pPr>
            <w:r>
              <w:rPr>
                <w:szCs w:val="24"/>
              </w:rPr>
              <w:t>Annulment of LPCO Processed</w:t>
            </w:r>
          </w:p>
        </w:tc>
        <w:tc>
          <w:tcPr>
            <w:tcW w:w="4945" w:type="dxa"/>
          </w:tcPr>
          <w:p w14:paraId="192696B3" w14:textId="77777777" w:rsidR="00157AAA" w:rsidRDefault="006C1BE5">
            <w:pPr>
              <w:spacing w:after="0"/>
              <w:rPr>
                <w:szCs w:val="24"/>
              </w:rPr>
            </w:pPr>
            <w:r>
              <w:rPr>
                <w:szCs w:val="24"/>
              </w:rPr>
              <w:t>The process for annulment of LPCO is completed.</w:t>
            </w:r>
          </w:p>
        </w:tc>
      </w:tr>
    </w:tbl>
    <w:p w14:paraId="7EAE4068" w14:textId="77777777" w:rsidR="00157AAA" w:rsidRDefault="00157AAA">
      <w:pPr>
        <w:spacing w:after="0"/>
        <w:rPr>
          <w:i/>
          <w:highlight w:val="yellow"/>
        </w:rPr>
      </w:pPr>
    </w:p>
    <w:p w14:paraId="7DE9E112" w14:textId="77777777" w:rsidR="00157AAA" w:rsidRPr="008E2AAD" w:rsidRDefault="006C1BE5">
      <w:pPr>
        <w:spacing w:after="0"/>
        <w:rPr>
          <w:b/>
        </w:rPr>
      </w:pPr>
      <w:r w:rsidRPr="008E2AAD">
        <w:rPr>
          <w:b/>
        </w:rPr>
        <w:t>Functional Requirements:</w:t>
      </w:r>
    </w:p>
    <w:p w14:paraId="106C6328" w14:textId="77777777" w:rsidR="00157AAA" w:rsidRDefault="00157AAA">
      <w:pPr>
        <w:spacing w:after="0"/>
        <w:rPr>
          <w:i/>
        </w:rPr>
      </w:pPr>
    </w:p>
    <w:tbl>
      <w:tblPr>
        <w:tblStyle w:val="TableGrid"/>
        <w:tblW w:w="8635" w:type="dxa"/>
        <w:tblLook w:val="04A0" w:firstRow="1" w:lastRow="0" w:firstColumn="1" w:lastColumn="0" w:noHBand="0" w:noVBand="1"/>
      </w:tblPr>
      <w:tblGrid>
        <w:gridCol w:w="1165"/>
        <w:gridCol w:w="7470"/>
      </w:tblGrid>
      <w:tr w:rsidR="00157AAA" w14:paraId="2563A224" w14:textId="77777777" w:rsidTr="001136D3">
        <w:trPr>
          <w:tblHeader/>
        </w:trPr>
        <w:tc>
          <w:tcPr>
            <w:tcW w:w="1165" w:type="dxa"/>
            <w:shd w:val="clear" w:color="auto" w:fill="D9D9D9" w:themeFill="background1" w:themeFillShade="D9"/>
          </w:tcPr>
          <w:p w14:paraId="2924B380" w14:textId="77777777" w:rsidR="00157AAA" w:rsidRDefault="006C1BE5" w:rsidP="001136D3">
            <w:pPr>
              <w:spacing w:after="0"/>
              <w:rPr>
                <w:b/>
                <w:szCs w:val="24"/>
              </w:rPr>
            </w:pPr>
            <w:r>
              <w:rPr>
                <w:b/>
                <w:szCs w:val="24"/>
              </w:rPr>
              <w:t>ID</w:t>
            </w:r>
          </w:p>
        </w:tc>
        <w:tc>
          <w:tcPr>
            <w:tcW w:w="7470" w:type="dxa"/>
            <w:shd w:val="clear" w:color="auto" w:fill="D9D9D9" w:themeFill="background1" w:themeFillShade="D9"/>
          </w:tcPr>
          <w:p w14:paraId="0006F14C" w14:textId="77777777" w:rsidR="00157AAA" w:rsidRDefault="006C1BE5" w:rsidP="001136D3">
            <w:pPr>
              <w:spacing w:after="0"/>
              <w:jc w:val="left"/>
              <w:rPr>
                <w:b/>
                <w:szCs w:val="24"/>
              </w:rPr>
            </w:pPr>
            <w:r>
              <w:rPr>
                <w:b/>
                <w:szCs w:val="24"/>
              </w:rPr>
              <w:t>Description</w:t>
            </w:r>
          </w:p>
        </w:tc>
      </w:tr>
      <w:tr w:rsidR="00157AAA" w14:paraId="5BBDA34B" w14:textId="77777777" w:rsidTr="001136D3">
        <w:tc>
          <w:tcPr>
            <w:tcW w:w="1165" w:type="dxa"/>
          </w:tcPr>
          <w:p w14:paraId="7A4FF506" w14:textId="77777777" w:rsidR="00157AAA" w:rsidRDefault="006C1BE5" w:rsidP="001136D3">
            <w:pPr>
              <w:spacing w:after="0"/>
              <w:rPr>
                <w:szCs w:val="24"/>
              </w:rPr>
            </w:pPr>
            <w:r>
              <w:rPr>
                <w:szCs w:val="24"/>
              </w:rPr>
              <w:t>FR154</w:t>
            </w:r>
          </w:p>
        </w:tc>
        <w:tc>
          <w:tcPr>
            <w:tcW w:w="7470" w:type="dxa"/>
          </w:tcPr>
          <w:p w14:paraId="6877ECA0" w14:textId="51AA90CD" w:rsidR="00157AAA" w:rsidRDefault="006C1BE5" w:rsidP="001136D3">
            <w:pPr>
              <w:spacing w:after="0"/>
              <w:rPr>
                <w:color w:val="FF0000"/>
                <w:szCs w:val="24"/>
              </w:rPr>
            </w:pPr>
            <w:r>
              <w:rPr>
                <w:szCs w:val="24"/>
              </w:rPr>
              <w:t>The CBRA may also initiate the action to amend</w:t>
            </w:r>
            <w:r w:rsidR="00C50F2B">
              <w:rPr>
                <w:szCs w:val="24"/>
              </w:rPr>
              <w:t xml:space="preserve"> or </w:t>
            </w:r>
            <w:r>
              <w:rPr>
                <w:szCs w:val="24"/>
              </w:rPr>
              <w:t>cancel an issued LPCO.</w:t>
            </w:r>
          </w:p>
        </w:tc>
      </w:tr>
      <w:tr w:rsidR="00157AAA" w14:paraId="48D7D7BD" w14:textId="77777777" w:rsidTr="001136D3">
        <w:tc>
          <w:tcPr>
            <w:tcW w:w="1165" w:type="dxa"/>
          </w:tcPr>
          <w:p w14:paraId="152E670A" w14:textId="77777777" w:rsidR="00157AAA" w:rsidRDefault="006C1BE5" w:rsidP="001136D3">
            <w:pPr>
              <w:spacing w:after="0"/>
              <w:rPr>
                <w:szCs w:val="24"/>
              </w:rPr>
            </w:pPr>
            <w:r>
              <w:rPr>
                <w:szCs w:val="24"/>
              </w:rPr>
              <w:t>FR430</w:t>
            </w:r>
          </w:p>
        </w:tc>
        <w:tc>
          <w:tcPr>
            <w:tcW w:w="7470" w:type="dxa"/>
          </w:tcPr>
          <w:p w14:paraId="3033A89A" w14:textId="77777777" w:rsidR="00157AAA" w:rsidRDefault="006C1BE5" w:rsidP="001136D3">
            <w:pPr>
              <w:spacing w:after="0"/>
              <w:rPr>
                <w:szCs w:val="24"/>
              </w:rPr>
            </w:pPr>
            <w:r>
              <w:rPr>
                <w:szCs w:val="24"/>
              </w:rPr>
              <w:t>The system must be able to perform technical validation of the application for LPCO annulment.</w:t>
            </w:r>
          </w:p>
        </w:tc>
      </w:tr>
      <w:tr w:rsidR="00157AAA" w14:paraId="508B6F37" w14:textId="77777777" w:rsidTr="001136D3">
        <w:tc>
          <w:tcPr>
            <w:tcW w:w="1165" w:type="dxa"/>
          </w:tcPr>
          <w:p w14:paraId="1B7C458E" w14:textId="77777777" w:rsidR="00157AAA" w:rsidRDefault="006C1BE5" w:rsidP="001136D3">
            <w:pPr>
              <w:spacing w:after="0"/>
              <w:rPr>
                <w:szCs w:val="24"/>
              </w:rPr>
            </w:pPr>
            <w:r>
              <w:rPr>
                <w:szCs w:val="24"/>
              </w:rPr>
              <w:t>FR431</w:t>
            </w:r>
          </w:p>
        </w:tc>
        <w:tc>
          <w:tcPr>
            <w:tcW w:w="7470" w:type="dxa"/>
          </w:tcPr>
          <w:p w14:paraId="09850E8A" w14:textId="77777777" w:rsidR="00157AAA" w:rsidRDefault="006C1BE5" w:rsidP="001136D3">
            <w:pPr>
              <w:spacing w:after="0"/>
              <w:rPr>
                <w:szCs w:val="24"/>
              </w:rPr>
            </w:pPr>
            <w:r>
              <w:rPr>
                <w:szCs w:val="24"/>
              </w:rPr>
              <w:t>The system must be able to record the request for annulment of LPCO.</w:t>
            </w:r>
          </w:p>
        </w:tc>
      </w:tr>
      <w:tr w:rsidR="00157AAA" w14:paraId="52895AF0" w14:textId="77777777" w:rsidTr="001136D3">
        <w:tc>
          <w:tcPr>
            <w:tcW w:w="1165" w:type="dxa"/>
          </w:tcPr>
          <w:p w14:paraId="10367BD5" w14:textId="77777777" w:rsidR="00157AAA" w:rsidRDefault="006C1BE5" w:rsidP="001136D3">
            <w:pPr>
              <w:spacing w:after="0"/>
              <w:rPr>
                <w:szCs w:val="24"/>
              </w:rPr>
            </w:pPr>
            <w:r>
              <w:rPr>
                <w:szCs w:val="24"/>
              </w:rPr>
              <w:t>FR433</w:t>
            </w:r>
          </w:p>
        </w:tc>
        <w:tc>
          <w:tcPr>
            <w:tcW w:w="7470" w:type="dxa"/>
          </w:tcPr>
          <w:p w14:paraId="15394E9B" w14:textId="77777777" w:rsidR="00157AAA" w:rsidRDefault="006C1BE5" w:rsidP="001136D3">
            <w:pPr>
              <w:spacing w:after="0"/>
              <w:rPr>
                <w:szCs w:val="24"/>
              </w:rPr>
            </w:pPr>
            <w:r>
              <w:rPr>
                <w:szCs w:val="24"/>
              </w:rPr>
              <w:t>The system must be able to retrieve information of LPCO.</w:t>
            </w:r>
          </w:p>
        </w:tc>
      </w:tr>
      <w:tr w:rsidR="00157AAA" w14:paraId="75986554" w14:textId="77777777" w:rsidTr="001136D3">
        <w:tc>
          <w:tcPr>
            <w:tcW w:w="1165" w:type="dxa"/>
          </w:tcPr>
          <w:p w14:paraId="7A727FBA" w14:textId="77777777" w:rsidR="00157AAA" w:rsidRDefault="006C1BE5" w:rsidP="001136D3">
            <w:pPr>
              <w:spacing w:after="0"/>
              <w:rPr>
                <w:szCs w:val="24"/>
              </w:rPr>
            </w:pPr>
            <w:r>
              <w:rPr>
                <w:szCs w:val="24"/>
              </w:rPr>
              <w:t>FR434</w:t>
            </w:r>
          </w:p>
        </w:tc>
        <w:tc>
          <w:tcPr>
            <w:tcW w:w="7470" w:type="dxa"/>
          </w:tcPr>
          <w:p w14:paraId="159AFAE8" w14:textId="77777777" w:rsidR="00157AAA" w:rsidRDefault="006C1BE5" w:rsidP="001136D3">
            <w:pPr>
              <w:spacing w:after="0"/>
              <w:rPr>
                <w:szCs w:val="24"/>
              </w:rPr>
            </w:pPr>
            <w:r>
              <w:rPr>
                <w:szCs w:val="24"/>
              </w:rPr>
              <w:t>The system must be able to identify the availability of the LPCO.</w:t>
            </w:r>
          </w:p>
        </w:tc>
      </w:tr>
      <w:tr w:rsidR="00157AAA" w14:paraId="3C6546D3" w14:textId="77777777" w:rsidTr="001136D3">
        <w:tc>
          <w:tcPr>
            <w:tcW w:w="1165" w:type="dxa"/>
          </w:tcPr>
          <w:p w14:paraId="7274398E" w14:textId="77777777" w:rsidR="00157AAA" w:rsidRDefault="006C1BE5" w:rsidP="001136D3">
            <w:pPr>
              <w:spacing w:after="0"/>
              <w:rPr>
                <w:szCs w:val="24"/>
              </w:rPr>
            </w:pPr>
            <w:r>
              <w:rPr>
                <w:szCs w:val="24"/>
              </w:rPr>
              <w:t>FR435</w:t>
            </w:r>
          </w:p>
        </w:tc>
        <w:tc>
          <w:tcPr>
            <w:tcW w:w="7470" w:type="dxa"/>
          </w:tcPr>
          <w:p w14:paraId="6FD0E81B" w14:textId="77777777" w:rsidR="00157AAA" w:rsidRDefault="006C1BE5" w:rsidP="001136D3">
            <w:pPr>
              <w:spacing w:after="0"/>
              <w:rPr>
                <w:szCs w:val="24"/>
              </w:rPr>
            </w:pPr>
            <w:r>
              <w:rPr>
                <w:szCs w:val="24"/>
              </w:rPr>
              <w:t>The system must be able to identify the status for a given LPCO.</w:t>
            </w:r>
          </w:p>
        </w:tc>
      </w:tr>
      <w:tr w:rsidR="00157AAA" w14:paraId="3A127DDD" w14:textId="77777777" w:rsidTr="001136D3">
        <w:tc>
          <w:tcPr>
            <w:tcW w:w="1165" w:type="dxa"/>
          </w:tcPr>
          <w:p w14:paraId="145ADF9A" w14:textId="77777777" w:rsidR="00157AAA" w:rsidRDefault="006C1BE5" w:rsidP="001136D3">
            <w:pPr>
              <w:spacing w:after="0"/>
              <w:rPr>
                <w:szCs w:val="24"/>
              </w:rPr>
            </w:pPr>
            <w:r>
              <w:rPr>
                <w:szCs w:val="24"/>
              </w:rPr>
              <w:t>FR436</w:t>
            </w:r>
          </w:p>
        </w:tc>
        <w:tc>
          <w:tcPr>
            <w:tcW w:w="7470" w:type="dxa"/>
          </w:tcPr>
          <w:p w14:paraId="7D40CD57" w14:textId="77777777" w:rsidR="00157AAA" w:rsidRDefault="006C1BE5" w:rsidP="001136D3">
            <w:pPr>
              <w:spacing w:after="0"/>
              <w:rPr>
                <w:szCs w:val="24"/>
              </w:rPr>
            </w:pPr>
            <w:r>
              <w:rPr>
                <w:szCs w:val="24"/>
              </w:rPr>
              <w:t>The system must be able to check status of LPCO for annulment.</w:t>
            </w:r>
          </w:p>
        </w:tc>
      </w:tr>
      <w:tr w:rsidR="00157AAA" w14:paraId="07F23E28" w14:textId="77777777" w:rsidTr="001136D3">
        <w:tc>
          <w:tcPr>
            <w:tcW w:w="1165" w:type="dxa"/>
          </w:tcPr>
          <w:p w14:paraId="7273597B" w14:textId="77777777" w:rsidR="00157AAA" w:rsidRDefault="006C1BE5" w:rsidP="001136D3">
            <w:pPr>
              <w:spacing w:after="0"/>
              <w:rPr>
                <w:szCs w:val="24"/>
              </w:rPr>
            </w:pPr>
            <w:r>
              <w:rPr>
                <w:szCs w:val="24"/>
              </w:rPr>
              <w:t>FR437</w:t>
            </w:r>
          </w:p>
        </w:tc>
        <w:tc>
          <w:tcPr>
            <w:tcW w:w="7470" w:type="dxa"/>
          </w:tcPr>
          <w:p w14:paraId="4E3CA77D" w14:textId="77777777" w:rsidR="00157AAA" w:rsidRDefault="006C1BE5" w:rsidP="001136D3">
            <w:pPr>
              <w:spacing w:after="0"/>
              <w:rPr>
                <w:szCs w:val="24"/>
              </w:rPr>
            </w:pPr>
            <w:r>
              <w:rPr>
                <w:szCs w:val="24"/>
              </w:rPr>
              <w:t>The system must be able to notify for rejection of request for annulment of LPCO.</w:t>
            </w:r>
          </w:p>
        </w:tc>
      </w:tr>
      <w:tr w:rsidR="00157AAA" w14:paraId="5881B73F" w14:textId="77777777" w:rsidTr="001136D3">
        <w:tc>
          <w:tcPr>
            <w:tcW w:w="1165" w:type="dxa"/>
          </w:tcPr>
          <w:p w14:paraId="73472C8A" w14:textId="77777777" w:rsidR="00157AAA" w:rsidRDefault="006C1BE5" w:rsidP="001136D3">
            <w:pPr>
              <w:spacing w:after="0"/>
              <w:rPr>
                <w:szCs w:val="24"/>
              </w:rPr>
            </w:pPr>
            <w:r>
              <w:rPr>
                <w:szCs w:val="24"/>
              </w:rPr>
              <w:t>FR438</w:t>
            </w:r>
          </w:p>
        </w:tc>
        <w:tc>
          <w:tcPr>
            <w:tcW w:w="7470" w:type="dxa"/>
          </w:tcPr>
          <w:p w14:paraId="0C84AA30" w14:textId="77777777" w:rsidR="00157AAA" w:rsidRDefault="006C1BE5" w:rsidP="001136D3">
            <w:pPr>
              <w:spacing w:after="0"/>
              <w:rPr>
                <w:color w:val="FF0000"/>
                <w:szCs w:val="24"/>
              </w:rPr>
            </w:pPr>
            <w:r>
              <w:rPr>
                <w:szCs w:val="24"/>
              </w:rPr>
              <w:t>The Inspection Officer must be able to take decision for annulment of LPCO.</w:t>
            </w:r>
          </w:p>
        </w:tc>
      </w:tr>
      <w:tr w:rsidR="00157AAA" w14:paraId="34F69A60" w14:textId="77777777" w:rsidTr="001136D3">
        <w:tc>
          <w:tcPr>
            <w:tcW w:w="1165" w:type="dxa"/>
          </w:tcPr>
          <w:p w14:paraId="035FD47E" w14:textId="77777777" w:rsidR="00157AAA" w:rsidRDefault="006C1BE5" w:rsidP="001136D3">
            <w:pPr>
              <w:spacing w:after="0"/>
              <w:rPr>
                <w:szCs w:val="24"/>
              </w:rPr>
            </w:pPr>
            <w:r>
              <w:rPr>
                <w:szCs w:val="24"/>
              </w:rPr>
              <w:t>FR439</w:t>
            </w:r>
          </w:p>
        </w:tc>
        <w:tc>
          <w:tcPr>
            <w:tcW w:w="7470" w:type="dxa"/>
          </w:tcPr>
          <w:p w14:paraId="0E6788C5" w14:textId="77777777" w:rsidR="00157AAA" w:rsidRDefault="006C1BE5" w:rsidP="001136D3">
            <w:pPr>
              <w:spacing w:after="0"/>
              <w:rPr>
                <w:szCs w:val="24"/>
              </w:rPr>
            </w:pPr>
            <w:r>
              <w:rPr>
                <w:szCs w:val="24"/>
              </w:rPr>
              <w:t>The system must be able to notify of decision for rejection of annulment of LPCO.</w:t>
            </w:r>
          </w:p>
        </w:tc>
      </w:tr>
      <w:tr w:rsidR="00157AAA" w14:paraId="275816C5" w14:textId="77777777" w:rsidTr="001136D3">
        <w:tc>
          <w:tcPr>
            <w:tcW w:w="1165" w:type="dxa"/>
          </w:tcPr>
          <w:p w14:paraId="738D202D" w14:textId="77777777" w:rsidR="00157AAA" w:rsidRDefault="006C1BE5" w:rsidP="001136D3">
            <w:pPr>
              <w:spacing w:after="0"/>
              <w:rPr>
                <w:szCs w:val="24"/>
              </w:rPr>
            </w:pPr>
            <w:r>
              <w:rPr>
                <w:szCs w:val="24"/>
              </w:rPr>
              <w:t>FR440</w:t>
            </w:r>
          </w:p>
        </w:tc>
        <w:tc>
          <w:tcPr>
            <w:tcW w:w="7470" w:type="dxa"/>
          </w:tcPr>
          <w:p w14:paraId="08184D3F" w14:textId="77777777" w:rsidR="00157AAA" w:rsidRDefault="006C1BE5" w:rsidP="001136D3">
            <w:pPr>
              <w:spacing w:after="0"/>
              <w:rPr>
                <w:szCs w:val="24"/>
              </w:rPr>
            </w:pPr>
            <w:r>
              <w:rPr>
                <w:szCs w:val="24"/>
              </w:rPr>
              <w:t>The system must be able to annul LPCO.</w:t>
            </w:r>
          </w:p>
        </w:tc>
      </w:tr>
      <w:tr w:rsidR="00157AAA" w14:paraId="5F41E4A5" w14:textId="77777777" w:rsidTr="001136D3">
        <w:tc>
          <w:tcPr>
            <w:tcW w:w="1165" w:type="dxa"/>
          </w:tcPr>
          <w:p w14:paraId="796E55D6" w14:textId="77777777" w:rsidR="00157AAA" w:rsidRDefault="006C1BE5" w:rsidP="001136D3">
            <w:pPr>
              <w:spacing w:after="0"/>
              <w:rPr>
                <w:szCs w:val="24"/>
              </w:rPr>
            </w:pPr>
            <w:r>
              <w:rPr>
                <w:szCs w:val="24"/>
              </w:rPr>
              <w:lastRenderedPageBreak/>
              <w:t>FR441</w:t>
            </w:r>
          </w:p>
        </w:tc>
        <w:tc>
          <w:tcPr>
            <w:tcW w:w="7470" w:type="dxa"/>
          </w:tcPr>
          <w:p w14:paraId="18DFDD85" w14:textId="77777777" w:rsidR="00157AAA" w:rsidRDefault="006C1BE5" w:rsidP="001136D3">
            <w:pPr>
              <w:spacing w:after="0"/>
              <w:rPr>
                <w:szCs w:val="24"/>
              </w:rPr>
            </w:pPr>
            <w:r>
              <w:rPr>
                <w:szCs w:val="24"/>
              </w:rPr>
              <w:t>The system must be able to notify both EO and Customs for annulment of LPCO.</w:t>
            </w:r>
          </w:p>
        </w:tc>
      </w:tr>
    </w:tbl>
    <w:p w14:paraId="0DD8291E" w14:textId="77777777" w:rsidR="003A0C31" w:rsidRDefault="003A0C31">
      <w:pPr>
        <w:rPr>
          <w:b/>
        </w:rPr>
      </w:pPr>
    </w:p>
    <w:p w14:paraId="57436E29" w14:textId="498EFEF7" w:rsidR="00157AAA" w:rsidRDefault="006C1BE5">
      <w:pPr>
        <w:rPr>
          <w:b/>
          <w:i/>
        </w:rPr>
      </w:pPr>
      <w:r w:rsidRPr="008E2AAD">
        <w:rPr>
          <w:b/>
        </w:rPr>
        <w:t>1.2.12.</w:t>
      </w:r>
      <w:r w:rsidR="005568FD">
        <w:rPr>
          <w:b/>
        </w:rPr>
        <w:t>4</w:t>
      </w:r>
      <w:r w:rsidRPr="008E2AAD">
        <w:rPr>
          <w:b/>
        </w:rPr>
        <w:t>. Withdrawal of Application</w:t>
      </w:r>
    </w:p>
    <w:p w14:paraId="50E5F256" w14:textId="5DADFEED" w:rsidR="00157AAA" w:rsidRDefault="005568FD">
      <w:pPr>
        <w:rPr>
          <w:b/>
          <w:i/>
        </w:rPr>
      </w:pPr>
      <w:r w:rsidRPr="005568FD">
        <w:rPr>
          <w:b/>
          <w:i/>
          <w:noProof/>
        </w:rPr>
        <w:drawing>
          <wp:inline distT="0" distB="0" distL="0" distR="0" wp14:anchorId="7993F072" wp14:editId="5697F19D">
            <wp:extent cx="5486400" cy="18961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86400" cy="1896110"/>
                    </a:xfrm>
                    <a:prstGeom prst="rect">
                      <a:avLst/>
                    </a:prstGeom>
                  </pic:spPr>
                </pic:pic>
              </a:graphicData>
            </a:graphic>
          </wp:inline>
        </w:drawing>
      </w:r>
    </w:p>
    <w:p w14:paraId="208EA61C" w14:textId="4765F2D5" w:rsidR="00157AAA" w:rsidRDefault="005568FD">
      <w:pPr>
        <w:spacing w:after="0"/>
        <w:rPr>
          <w:sz w:val="16"/>
          <w:szCs w:val="16"/>
        </w:rPr>
      </w:pPr>
      <w:r>
        <w:rPr>
          <w:sz w:val="16"/>
          <w:szCs w:val="16"/>
        </w:rPr>
        <w:object w:dxaOrig="1543" w:dyaOrig="995" w14:anchorId="70B6CA29">
          <v:shape id="_x0000_i1037" type="#_x0000_t75" style="width:79pt;height:50.5pt" o:ole="">
            <v:imagedata r:id="rId110" o:title=""/>
          </v:shape>
          <o:OLEObject Type="Embed" ProgID="Package" ShapeID="_x0000_i1037" DrawAspect="Icon" ObjectID="_1777888270" r:id="rId111"/>
        </w:object>
      </w:r>
      <w:r w:rsidR="00E3729B">
        <w:rPr>
          <w:noProof/>
          <w:sz w:val="16"/>
          <w:szCs w:val="16"/>
        </w:rPr>
        <mc:AlternateContent>
          <mc:Choice Requires="wps">
            <w:drawing>
              <wp:anchor distT="0" distB="0" distL="114300" distR="114300" simplePos="0" relativeHeight="251658255" behindDoc="0" locked="0" layoutInCell="1" allowOverlap="1" wp14:anchorId="1B8743FC" wp14:editId="413272AB">
                <wp:simplePos x="0" y="0"/>
                <wp:positionH relativeFrom="column">
                  <wp:posOffset>0</wp:posOffset>
                </wp:positionH>
                <wp:positionV relativeFrom="paragraph">
                  <wp:posOffset>0</wp:posOffset>
                </wp:positionV>
                <wp:extent cx="635000" cy="635000"/>
                <wp:effectExtent l="19050" t="19050" r="12700" b="12700"/>
                <wp:wrapNone/>
                <wp:docPr id="26" name="AutoShape 4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480D9" id="AutoShape 43" o:spid="_x0000_s1026" style="position:absolute;margin-left:0;margin-top:0;width:50pt;height:50pt;z-index:251658255;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1PsIwIAAEg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BA9T7CMCAABIBAAADgAAAAAAAAAAAAAAAAAuAgAAZHJzL2Uyb0RvYy54bWxQSwEC&#10;LQAUAAYACAAAACEA640e+9gAAAAFAQAADwAAAAAAAAAAAAAAAAB9BAAAZHJzL2Rvd25yZXYueG1s&#10;UEsFBgAAAAAEAAQA8wAAAIIFAAAAAA==&#10;">
                <v:stroke joinstyle="round"/>
                <o:lock v:ext="edit" selection="t"/>
              </v:rect>
            </w:pict>
          </mc:Fallback>
        </mc:AlternateContent>
      </w:r>
    </w:p>
    <w:p w14:paraId="0946826C" w14:textId="77777777" w:rsidR="00157AAA" w:rsidRDefault="00157AAA">
      <w:pPr>
        <w:rPr>
          <w:b/>
          <w:i/>
        </w:rPr>
      </w:pPr>
    </w:p>
    <w:p w14:paraId="71062254" w14:textId="44F978BF" w:rsidR="00157AAA" w:rsidRDefault="006C1BE5">
      <w:pPr>
        <w:jc w:val="center"/>
        <w:rPr>
          <w:i/>
        </w:rPr>
      </w:pPr>
      <w:r>
        <w:rPr>
          <w:i/>
        </w:rPr>
        <w:t xml:space="preserve">Figure </w:t>
      </w:r>
      <w:r w:rsidR="00394B0B">
        <w:rPr>
          <w:i/>
        </w:rPr>
        <w:t>16</w:t>
      </w:r>
      <w:r>
        <w:rPr>
          <w:i/>
        </w:rPr>
        <w:t>: BPMN Process Diagram: Withdrawal of Application</w:t>
      </w:r>
    </w:p>
    <w:p w14:paraId="135FDA18" w14:textId="77777777" w:rsidR="00157AAA" w:rsidRDefault="00157AAA">
      <w:pPr>
        <w:spacing w:after="0"/>
        <w:rPr>
          <w:sz w:val="16"/>
          <w:szCs w:val="16"/>
        </w:rPr>
      </w:pPr>
    </w:p>
    <w:p w14:paraId="5F3E7BA5" w14:textId="707A1EB3" w:rsidR="00157AAA" w:rsidRDefault="006C1BE5">
      <w:pPr>
        <w:spacing w:after="0"/>
      </w:pPr>
      <w:r>
        <w:t xml:space="preserve">Description: This process describes the possibility to withdraw the application at any time before a decision is taken, which implies that this process is an interruptive process. After receiving the request for withdrawal, it is recorded in the NSW system. Then the system performs check if the LPCO is registered in the NSW or Other system. If it is in </w:t>
      </w:r>
      <w:proofErr w:type="gramStart"/>
      <w:r>
        <w:t>other</w:t>
      </w:r>
      <w:proofErr w:type="gramEnd"/>
      <w:r>
        <w:t xml:space="preserve"> system, than the NSW sends request for withdrawal to other licensing system and receives response. If the LPCO is issued via NSW, it identifies the state of application before withdrawal. First a validation is performed on the Request for Withdrawal. If this validation is negative, this process ends and the process that was interrupted is resumed. If this validation is positive, the withdrawal is </w:t>
      </w:r>
      <w:proofErr w:type="gramStart"/>
      <w:r>
        <w:t>recorded</w:t>
      </w:r>
      <w:proofErr w:type="gramEnd"/>
      <w:r>
        <w:t xml:space="preserve"> and the applicant will receive a notification of the withdrawal. </w:t>
      </w:r>
      <w:proofErr w:type="gramStart"/>
      <w:r>
        <w:t>The final result</w:t>
      </w:r>
      <w:proofErr w:type="gramEnd"/>
      <w:r>
        <w:t xml:space="preserve"> of this process is: Validation errors notification is sent</w:t>
      </w:r>
      <w:r w:rsidR="00C50F2B">
        <w:t xml:space="preserve"> or the notification t</w:t>
      </w:r>
      <w:r>
        <w:t>he application is withdrawn</w:t>
      </w:r>
      <w:r w:rsidR="00C50F2B">
        <w:t xml:space="preserve"> is sent</w:t>
      </w:r>
      <w:r>
        <w:t>.</w:t>
      </w:r>
    </w:p>
    <w:p w14:paraId="7B1A5A3B" w14:textId="77777777" w:rsidR="00157AAA" w:rsidRDefault="00157AAA">
      <w:pPr>
        <w:spacing w:after="0"/>
      </w:pPr>
    </w:p>
    <w:p w14:paraId="3D047BD9" w14:textId="77777777" w:rsidR="00157AAA" w:rsidRDefault="006C1BE5">
      <w:pPr>
        <w:spacing w:after="0"/>
        <w:rPr>
          <w:b/>
        </w:rPr>
      </w:pPr>
      <w:r>
        <w:rPr>
          <w:b/>
        </w:rPr>
        <w:t>Process steps:</w:t>
      </w:r>
    </w:p>
    <w:p w14:paraId="70101BC1" w14:textId="77777777" w:rsidR="00157AAA" w:rsidRDefault="00157AAA">
      <w:pPr>
        <w:spacing w:after="0"/>
        <w:rPr>
          <w:b/>
        </w:rPr>
      </w:pPr>
    </w:p>
    <w:tbl>
      <w:tblPr>
        <w:tblStyle w:val="TableGrid"/>
        <w:tblW w:w="9355" w:type="dxa"/>
        <w:tblLook w:val="04A0" w:firstRow="1" w:lastRow="0" w:firstColumn="1" w:lastColumn="0" w:noHBand="0" w:noVBand="1"/>
      </w:tblPr>
      <w:tblGrid>
        <w:gridCol w:w="1525"/>
        <w:gridCol w:w="2430"/>
        <w:gridCol w:w="5400"/>
      </w:tblGrid>
      <w:tr w:rsidR="00157AAA" w14:paraId="791AA945" w14:textId="77777777" w:rsidTr="001136D3">
        <w:trPr>
          <w:tblHeader/>
        </w:trPr>
        <w:tc>
          <w:tcPr>
            <w:tcW w:w="15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05B8D8" w14:textId="77777777" w:rsidR="00157AAA" w:rsidRDefault="006C1BE5">
            <w:pPr>
              <w:spacing w:after="0"/>
              <w:rPr>
                <w:b/>
                <w:szCs w:val="24"/>
              </w:rPr>
            </w:pPr>
            <w:r>
              <w:rPr>
                <w:b/>
                <w:szCs w:val="24"/>
              </w:rPr>
              <w:t>Step</w:t>
            </w:r>
          </w:p>
        </w:tc>
        <w:tc>
          <w:tcPr>
            <w:tcW w:w="24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910884" w14:textId="77777777" w:rsidR="00157AAA" w:rsidRDefault="006C1BE5">
            <w:pPr>
              <w:spacing w:after="0"/>
              <w:jc w:val="left"/>
              <w:rPr>
                <w:b/>
                <w:szCs w:val="24"/>
              </w:rPr>
            </w:pPr>
            <w:r>
              <w:rPr>
                <w:b/>
                <w:szCs w:val="24"/>
              </w:rPr>
              <w:t>Name</w:t>
            </w:r>
          </w:p>
        </w:tc>
        <w:tc>
          <w:tcPr>
            <w:tcW w:w="54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0085D2" w14:textId="77777777" w:rsidR="00157AAA" w:rsidRDefault="006C1BE5">
            <w:pPr>
              <w:spacing w:after="0"/>
              <w:jc w:val="left"/>
              <w:rPr>
                <w:b/>
                <w:szCs w:val="24"/>
              </w:rPr>
            </w:pPr>
            <w:r>
              <w:rPr>
                <w:b/>
                <w:szCs w:val="24"/>
              </w:rPr>
              <w:t>Description</w:t>
            </w:r>
          </w:p>
        </w:tc>
      </w:tr>
      <w:tr w:rsidR="00157AAA" w14:paraId="62DABFE5" w14:textId="77777777" w:rsidTr="001136D3">
        <w:tc>
          <w:tcPr>
            <w:tcW w:w="1525" w:type="dxa"/>
            <w:tcBorders>
              <w:top w:val="single" w:sz="4" w:space="0" w:color="auto"/>
              <w:left w:val="single" w:sz="4" w:space="0" w:color="auto"/>
              <w:bottom w:val="single" w:sz="4" w:space="0" w:color="auto"/>
              <w:right w:val="single" w:sz="4" w:space="0" w:color="auto"/>
            </w:tcBorders>
          </w:tcPr>
          <w:p w14:paraId="0EDCB00F" w14:textId="77777777" w:rsidR="00157AAA" w:rsidRDefault="006C1BE5">
            <w:pPr>
              <w:spacing w:after="0"/>
              <w:rPr>
                <w:szCs w:val="24"/>
              </w:rPr>
            </w:pPr>
            <w:r>
              <w:rPr>
                <w:szCs w:val="24"/>
              </w:rPr>
              <w:t>Start Event</w:t>
            </w:r>
          </w:p>
        </w:tc>
        <w:tc>
          <w:tcPr>
            <w:tcW w:w="2430" w:type="dxa"/>
            <w:tcBorders>
              <w:top w:val="single" w:sz="4" w:space="0" w:color="auto"/>
              <w:left w:val="single" w:sz="4" w:space="0" w:color="auto"/>
              <w:bottom w:val="single" w:sz="4" w:space="0" w:color="auto"/>
              <w:right w:val="single" w:sz="4" w:space="0" w:color="auto"/>
            </w:tcBorders>
          </w:tcPr>
          <w:p w14:paraId="435AE9D2" w14:textId="77777777" w:rsidR="00157AAA" w:rsidRDefault="006C1BE5">
            <w:pPr>
              <w:spacing w:after="0"/>
              <w:rPr>
                <w:szCs w:val="24"/>
              </w:rPr>
            </w:pPr>
            <w:r>
              <w:rPr>
                <w:szCs w:val="24"/>
              </w:rPr>
              <w:t>Receive Request to Withdraw Application</w:t>
            </w:r>
          </w:p>
        </w:tc>
        <w:tc>
          <w:tcPr>
            <w:tcW w:w="5400" w:type="dxa"/>
            <w:tcBorders>
              <w:top w:val="single" w:sz="4" w:space="0" w:color="auto"/>
              <w:left w:val="single" w:sz="4" w:space="0" w:color="auto"/>
              <w:bottom w:val="single" w:sz="4" w:space="0" w:color="auto"/>
              <w:right w:val="single" w:sz="4" w:space="0" w:color="auto"/>
            </w:tcBorders>
          </w:tcPr>
          <w:p w14:paraId="11C8E3E0"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NSW system receives request from EO to withdraw the application.</w:t>
            </w:r>
          </w:p>
        </w:tc>
      </w:tr>
      <w:tr w:rsidR="00157AAA" w14:paraId="14ACAF79" w14:textId="77777777" w:rsidTr="001136D3">
        <w:tc>
          <w:tcPr>
            <w:tcW w:w="1525" w:type="dxa"/>
            <w:tcBorders>
              <w:top w:val="single" w:sz="4" w:space="0" w:color="auto"/>
              <w:left w:val="single" w:sz="4" w:space="0" w:color="auto"/>
              <w:bottom w:val="single" w:sz="4" w:space="0" w:color="auto"/>
              <w:right w:val="single" w:sz="4" w:space="0" w:color="auto"/>
            </w:tcBorders>
          </w:tcPr>
          <w:p w14:paraId="7D00A4E1" w14:textId="77777777" w:rsidR="00157AAA" w:rsidRDefault="006C1BE5">
            <w:pPr>
              <w:spacing w:after="0"/>
              <w:rPr>
                <w:szCs w:val="24"/>
              </w:rPr>
            </w:pPr>
            <w:r>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1CC25323" w14:textId="77777777" w:rsidR="00157AAA" w:rsidRDefault="006C1BE5">
            <w:pPr>
              <w:spacing w:after="0"/>
              <w:rPr>
                <w:szCs w:val="24"/>
              </w:rPr>
            </w:pPr>
            <w:r>
              <w:rPr>
                <w:szCs w:val="24"/>
              </w:rPr>
              <w:t>Record Withdrawal</w:t>
            </w:r>
          </w:p>
        </w:tc>
        <w:tc>
          <w:tcPr>
            <w:tcW w:w="5400" w:type="dxa"/>
            <w:tcBorders>
              <w:top w:val="single" w:sz="4" w:space="0" w:color="auto"/>
              <w:left w:val="single" w:sz="4" w:space="0" w:color="auto"/>
              <w:bottom w:val="single" w:sz="4" w:space="0" w:color="auto"/>
              <w:right w:val="single" w:sz="4" w:space="0" w:color="auto"/>
            </w:tcBorders>
          </w:tcPr>
          <w:p w14:paraId="65FC21E1"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NSW system records the request to withdraw the application.</w:t>
            </w:r>
          </w:p>
        </w:tc>
      </w:tr>
      <w:tr w:rsidR="00157AAA" w14:paraId="48E39484" w14:textId="77777777" w:rsidTr="001136D3">
        <w:tc>
          <w:tcPr>
            <w:tcW w:w="1525" w:type="dxa"/>
            <w:tcBorders>
              <w:top w:val="single" w:sz="4" w:space="0" w:color="auto"/>
              <w:left w:val="single" w:sz="4" w:space="0" w:color="auto"/>
              <w:bottom w:val="single" w:sz="4" w:space="0" w:color="auto"/>
              <w:right w:val="single" w:sz="4" w:space="0" w:color="auto"/>
            </w:tcBorders>
          </w:tcPr>
          <w:p w14:paraId="3FD47CAA" w14:textId="77777777" w:rsidR="00157AAA" w:rsidRDefault="006C1BE5">
            <w:pPr>
              <w:spacing w:after="0"/>
              <w:rPr>
                <w:szCs w:val="24"/>
              </w:rPr>
            </w:pPr>
            <w:r>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55BF5914" w14:textId="77777777" w:rsidR="00157AAA" w:rsidRDefault="006C1BE5">
            <w:pPr>
              <w:spacing w:after="0"/>
              <w:rPr>
                <w:szCs w:val="24"/>
              </w:rPr>
            </w:pPr>
            <w:r>
              <w:rPr>
                <w:szCs w:val="24"/>
              </w:rPr>
              <w:t>Send Request for LPCO Withdrawal</w:t>
            </w:r>
          </w:p>
        </w:tc>
        <w:tc>
          <w:tcPr>
            <w:tcW w:w="5400" w:type="dxa"/>
            <w:tcBorders>
              <w:top w:val="single" w:sz="4" w:space="0" w:color="auto"/>
              <w:left w:val="single" w:sz="4" w:space="0" w:color="auto"/>
              <w:bottom w:val="single" w:sz="4" w:space="0" w:color="auto"/>
              <w:right w:val="single" w:sz="4" w:space="0" w:color="auto"/>
            </w:tcBorders>
          </w:tcPr>
          <w:p w14:paraId="28C92D82"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If the LPCO is issued in other system, than the NSW sends request for withdrawal to other licensing system and receives response.</w:t>
            </w:r>
          </w:p>
        </w:tc>
      </w:tr>
      <w:tr w:rsidR="00157AAA" w14:paraId="4B9F60D3" w14:textId="77777777" w:rsidTr="001136D3">
        <w:tc>
          <w:tcPr>
            <w:tcW w:w="1525" w:type="dxa"/>
            <w:tcBorders>
              <w:top w:val="single" w:sz="4" w:space="0" w:color="auto"/>
              <w:left w:val="single" w:sz="4" w:space="0" w:color="auto"/>
              <w:bottom w:val="single" w:sz="4" w:space="0" w:color="auto"/>
              <w:right w:val="single" w:sz="4" w:space="0" w:color="auto"/>
            </w:tcBorders>
          </w:tcPr>
          <w:p w14:paraId="5DC55FF2" w14:textId="77777777" w:rsidR="00157AAA" w:rsidRDefault="006C1BE5">
            <w:pPr>
              <w:spacing w:after="0"/>
              <w:rPr>
                <w:szCs w:val="24"/>
              </w:rPr>
            </w:pPr>
            <w:r>
              <w:rPr>
                <w:szCs w:val="24"/>
              </w:rPr>
              <w:lastRenderedPageBreak/>
              <w:t>Message Event</w:t>
            </w:r>
          </w:p>
        </w:tc>
        <w:tc>
          <w:tcPr>
            <w:tcW w:w="2430" w:type="dxa"/>
            <w:tcBorders>
              <w:top w:val="single" w:sz="4" w:space="0" w:color="auto"/>
              <w:left w:val="single" w:sz="4" w:space="0" w:color="auto"/>
              <w:bottom w:val="single" w:sz="4" w:space="0" w:color="auto"/>
              <w:right w:val="single" w:sz="4" w:space="0" w:color="auto"/>
            </w:tcBorders>
          </w:tcPr>
          <w:p w14:paraId="77FEB881" w14:textId="77777777" w:rsidR="00157AAA" w:rsidRDefault="006C1BE5">
            <w:pPr>
              <w:spacing w:after="0"/>
              <w:rPr>
                <w:szCs w:val="24"/>
              </w:rPr>
            </w:pPr>
            <w:r>
              <w:rPr>
                <w:szCs w:val="24"/>
              </w:rPr>
              <w:t>Response on LPCO Withdrawal Received</w:t>
            </w:r>
          </w:p>
        </w:tc>
        <w:tc>
          <w:tcPr>
            <w:tcW w:w="5400" w:type="dxa"/>
            <w:tcBorders>
              <w:top w:val="single" w:sz="4" w:space="0" w:color="auto"/>
              <w:left w:val="single" w:sz="4" w:space="0" w:color="auto"/>
              <w:bottom w:val="single" w:sz="4" w:space="0" w:color="auto"/>
              <w:right w:val="single" w:sz="4" w:space="0" w:color="auto"/>
            </w:tcBorders>
          </w:tcPr>
          <w:p w14:paraId="01F914CB" w14:textId="4B31FACF"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Response on withdrawal of application is received from other licensing system</w:t>
            </w:r>
            <w:r w:rsidR="00EB42A4">
              <w:rPr>
                <w:rFonts w:ascii="Times New Roman" w:hAnsi="Times New Roman" w:cs="Times New Roman"/>
              </w:rPr>
              <w:t>.</w:t>
            </w:r>
          </w:p>
        </w:tc>
      </w:tr>
      <w:tr w:rsidR="00157AAA" w14:paraId="44564FDC" w14:textId="77777777" w:rsidTr="001136D3">
        <w:tc>
          <w:tcPr>
            <w:tcW w:w="1525" w:type="dxa"/>
            <w:tcBorders>
              <w:top w:val="single" w:sz="4" w:space="0" w:color="auto"/>
              <w:left w:val="single" w:sz="4" w:space="0" w:color="auto"/>
              <w:bottom w:val="single" w:sz="4" w:space="0" w:color="auto"/>
              <w:right w:val="single" w:sz="4" w:space="0" w:color="auto"/>
            </w:tcBorders>
          </w:tcPr>
          <w:p w14:paraId="3C525785" w14:textId="77777777" w:rsidR="00157AAA" w:rsidRDefault="006C1BE5">
            <w:pPr>
              <w:spacing w:after="0"/>
              <w:rPr>
                <w:szCs w:val="24"/>
              </w:rPr>
            </w:pPr>
            <w:r>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3DF46421" w14:textId="77777777" w:rsidR="00157AAA" w:rsidRDefault="006C1BE5">
            <w:pPr>
              <w:spacing w:after="0"/>
              <w:rPr>
                <w:szCs w:val="24"/>
              </w:rPr>
            </w:pPr>
            <w:r>
              <w:rPr>
                <w:szCs w:val="24"/>
              </w:rPr>
              <w:t>Identify State of Application before Withdrawal</w:t>
            </w:r>
          </w:p>
        </w:tc>
        <w:tc>
          <w:tcPr>
            <w:tcW w:w="5400" w:type="dxa"/>
            <w:tcBorders>
              <w:top w:val="single" w:sz="4" w:space="0" w:color="auto"/>
              <w:left w:val="single" w:sz="4" w:space="0" w:color="auto"/>
              <w:bottom w:val="single" w:sz="4" w:space="0" w:color="auto"/>
              <w:right w:val="single" w:sz="4" w:space="0" w:color="auto"/>
            </w:tcBorders>
          </w:tcPr>
          <w:p w14:paraId="63B22585" w14:textId="3BCA108B"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This task identifies the state of application before withdrawal</w:t>
            </w:r>
            <w:r w:rsidR="00EB42A4">
              <w:rPr>
                <w:rFonts w:ascii="Times New Roman" w:hAnsi="Times New Roman" w:cs="Times New Roman"/>
              </w:rPr>
              <w:t>.</w:t>
            </w:r>
          </w:p>
        </w:tc>
      </w:tr>
      <w:tr w:rsidR="00157AAA" w14:paraId="6D16F928" w14:textId="77777777" w:rsidTr="001136D3">
        <w:tc>
          <w:tcPr>
            <w:tcW w:w="1525" w:type="dxa"/>
            <w:tcBorders>
              <w:top w:val="single" w:sz="4" w:space="0" w:color="auto"/>
              <w:left w:val="single" w:sz="4" w:space="0" w:color="auto"/>
              <w:bottom w:val="single" w:sz="4" w:space="0" w:color="auto"/>
              <w:right w:val="single" w:sz="4" w:space="0" w:color="auto"/>
            </w:tcBorders>
          </w:tcPr>
          <w:p w14:paraId="3E427E05" w14:textId="77777777" w:rsidR="00157AAA" w:rsidRDefault="006C1BE5">
            <w:pPr>
              <w:spacing w:after="0"/>
              <w:rPr>
                <w:szCs w:val="24"/>
              </w:rPr>
            </w:pPr>
            <w:r>
              <w:rPr>
                <w:szCs w:val="24"/>
              </w:rPr>
              <w:t>Service Task</w:t>
            </w:r>
          </w:p>
        </w:tc>
        <w:tc>
          <w:tcPr>
            <w:tcW w:w="2430" w:type="dxa"/>
            <w:tcBorders>
              <w:top w:val="single" w:sz="4" w:space="0" w:color="auto"/>
              <w:left w:val="single" w:sz="4" w:space="0" w:color="auto"/>
              <w:bottom w:val="single" w:sz="4" w:space="0" w:color="auto"/>
              <w:right w:val="single" w:sz="4" w:space="0" w:color="auto"/>
            </w:tcBorders>
          </w:tcPr>
          <w:p w14:paraId="17E94A27" w14:textId="77777777" w:rsidR="00157AAA" w:rsidRDefault="006C1BE5">
            <w:pPr>
              <w:spacing w:after="0"/>
              <w:rPr>
                <w:szCs w:val="24"/>
              </w:rPr>
            </w:pPr>
            <w:r>
              <w:rPr>
                <w:szCs w:val="24"/>
              </w:rPr>
              <w:t>Perform Validation of Withdrawal Acceptance</w:t>
            </w:r>
          </w:p>
        </w:tc>
        <w:tc>
          <w:tcPr>
            <w:tcW w:w="5400" w:type="dxa"/>
            <w:tcBorders>
              <w:top w:val="single" w:sz="4" w:space="0" w:color="auto"/>
              <w:left w:val="single" w:sz="4" w:space="0" w:color="auto"/>
              <w:bottom w:val="single" w:sz="4" w:space="0" w:color="auto"/>
              <w:right w:val="single" w:sz="4" w:space="0" w:color="auto"/>
            </w:tcBorders>
          </w:tcPr>
          <w:p w14:paraId="6BCE86D1"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When a Withdrawal Acceptance Notification is received, the system will automatically validate the IE. Syntactic checks should include, at minimum: - Data compliance to its associated Rules &amp; Conditions. Final situation: The result of the validation is </w:t>
            </w:r>
            <w:proofErr w:type="gramStart"/>
            <w:r>
              <w:rPr>
                <w:rFonts w:ascii="Times New Roman" w:hAnsi="Times New Roman" w:cs="Times New Roman"/>
              </w:rPr>
              <w:t>positive</w:t>
            </w:r>
            <w:proofErr w:type="gramEnd"/>
            <w:r>
              <w:rPr>
                <w:rFonts w:ascii="Times New Roman" w:hAnsi="Times New Roman" w:cs="Times New Roman"/>
              </w:rPr>
              <w:t xml:space="preserve"> and the process will continue. The result of the validation is negative: a notification is sent to EO containing the validation errors and the process ends.</w:t>
            </w:r>
          </w:p>
        </w:tc>
      </w:tr>
      <w:tr w:rsidR="00157AAA" w14:paraId="2A397D9F" w14:textId="77777777" w:rsidTr="001136D3">
        <w:tc>
          <w:tcPr>
            <w:tcW w:w="1525" w:type="dxa"/>
            <w:tcBorders>
              <w:top w:val="single" w:sz="4" w:space="0" w:color="auto"/>
              <w:left w:val="single" w:sz="4" w:space="0" w:color="auto"/>
              <w:bottom w:val="single" w:sz="4" w:space="0" w:color="auto"/>
              <w:right w:val="single" w:sz="4" w:space="0" w:color="auto"/>
            </w:tcBorders>
          </w:tcPr>
          <w:p w14:paraId="25616FD7" w14:textId="77777777" w:rsidR="00157AAA" w:rsidRDefault="006C1BE5">
            <w:pPr>
              <w:spacing w:after="0"/>
              <w:rPr>
                <w:szCs w:val="24"/>
              </w:rPr>
            </w:pPr>
            <w:r>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260C4BC5" w14:textId="77777777" w:rsidR="00157AAA" w:rsidRDefault="006C1BE5">
            <w:pPr>
              <w:spacing w:after="0"/>
              <w:rPr>
                <w:szCs w:val="24"/>
              </w:rPr>
            </w:pPr>
            <w:r>
              <w:rPr>
                <w:szCs w:val="24"/>
              </w:rPr>
              <w:t>Notify EO of Withdrawal of Application Rejection</w:t>
            </w:r>
          </w:p>
        </w:tc>
        <w:tc>
          <w:tcPr>
            <w:tcW w:w="5400" w:type="dxa"/>
            <w:tcBorders>
              <w:top w:val="single" w:sz="4" w:space="0" w:color="auto"/>
              <w:left w:val="single" w:sz="4" w:space="0" w:color="auto"/>
              <w:bottom w:val="single" w:sz="4" w:space="0" w:color="auto"/>
              <w:right w:val="single" w:sz="4" w:space="0" w:color="auto"/>
            </w:tcBorders>
          </w:tcPr>
          <w:p w14:paraId="40C3950A"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notifies the EO of rejection of withdrawal of application.</w:t>
            </w:r>
          </w:p>
        </w:tc>
      </w:tr>
      <w:tr w:rsidR="00157AAA" w14:paraId="338E2FDA" w14:textId="77777777" w:rsidTr="001136D3">
        <w:tc>
          <w:tcPr>
            <w:tcW w:w="1525" w:type="dxa"/>
            <w:tcBorders>
              <w:top w:val="single" w:sz="4" w:space="0" w:color="auto"/>
              <w:left w:val="single" w:sz="4" w:space="0" w:color="auto"/>
              <w:bottom w:val="single" w:sz="4" w:space="0" w:color="auto"/>
              <w:right w:val="single" w:sz="4" w:space="0" w:color="auto"/>
            </w:tcBorders>
          </w:tcPr>
          <w:p w14:paraId="7A950032" w14:textId="77777777" w:rsidR="00157AAA" w:rsidRDefault="006C1BE5">
            <w:pPr>
              <w:spacing w:after="0"/>
              <w:rPr>
                <w:szCs w:val="24"/>
              </w:rPr>
            </w:pPr>
            <w:r>
              <w:rPr>
                <w:szCs w:val="24"/>
              </w:rPr>
              <w:t>End Event</w:t>
            </w:r>
          </w:p>
        </w:tc>
        <w:tc>
          <w:tcPr>
            <w:tcW w:w="2430" w:type="dxa"/>
            <w:tcBorders>
              <w:top w:val="single" w:sz="4" w:space="0" w:color="auto"/>
              <w:left w:val="single" w:sz="4" w:space="0" w:color="auto"/>
              <w:bottom w:val="single" w:sz="4" w:space="0" w:color="auto"/>
              <w:right w:val="single" w:sz="4" w:space="0" w:color="auto"/>
            </w:tcBorders>
          </w:tcPr>
          <w:p w14:paraId="41356A49" w14:textId="77777777" w:rsidR="00157AAA" w:rsidRDefault="006C1BE5">
            <w:pPr>
              <w:spacing w:after="0"/>
              <w:rPr>
                <w:szCs w:val="24"/>
              </w:rPr>
            </w:pPr>
            <w:r>
              <w:rPr>
                <w:szCs w:val="24"/>
              </w:rPr>
              <w:t>Withdrawal of Application Rejected</w:t>
            </w:r>
          </w:p>
        </w:tc>
        <w:tc>
          <w:tcPr>
            <w:tcW w:w="5400" w:type="dxa"/>
            <w:tcBorders>
              <w:top w:val="single" w:sz="4" w:space="0" w:color="auto"/>
              <w:left w:val="single" w:sz="4" w:space="0" w:color="auto"/>
              <w:bottom w:val="single" w:sz="4" w:space="0" w:color="auto"/>
              <w:right w:val="single" w:sz="4" w:space="0" w:color="auto"/>
            </w:tcBorders>
          </w:tcPr>
          <w:p w14:paraId="393B508E" w14:textId="4E9C8B8C"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Withdrawal of Application Rejected</w:t>
            </w:r>
            <w:r w:rsidR="00EB42A4">
              <w:rPr>
                <w:rFonts w:ascii="Times New Roman" w:hAnsi="Times New Roman" w:cs="Times New Roman"/>
              </w:rPr>
              <w:t>.</w:t>
            </w:r>
          </w:p>
        </w:tc>
      </w:tr>
      <w:tr w:rsidR="00157AAA" w14:paraId="7E3BD8EF" w14:textId="77777777" w:rsidTr="001136D3">
        <w:tc>
          <w:tcPr>
            <w:tcW w:w="1525" w:type="dxa"/>
            <w:tcBorders>
              <w:top w:val="single" w:sz="4" w:space="0" w:color="auto"/>
              <w:left w:val="single" w:sz="4" w:space="0" w:color="auto"/>
              <w:bottom w:val="single" w:sz="4" w:space="0" w:color="auto"/>
              <w:right w:val="single" w:sz="4" w:space="0" w:color="auto"/>
            </w:tcBorders>
          </w:tcPr>
          <w:p w14:paraId="70CE96FC" w14:textId="77777777" w:rsidR="00157AAA" w:rsidRDefault="006C1BE5">
            <w:pPr>
              <w:spacing w:after="0"/>
              <w:rPr>
                <w:szCs w:val="24"/>
              </w:rPr>
            </w:pPr>
            <w:r>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408324C1" w14:textId="77777777" w:rsidR="00157AAA" w:rsidRDefault="006C1BE5">
            <w:pPr>
              <w:spacing w:after="0"/>
              <w:rPr>
                <w:szCs w:val="24"/>
              </w:rPr>
            </w:pPr>
            <w:r>
              <w:rPr>
                <w:szCs w:val="24"/>
              </w:rPr>
              <w:t>Record Withdrawal Acceptance Notification</w:t>
            </w:r>
          </w:p>
        </w:tc>
        <w:tc>
          <w:tcPr>
            <w:tcW w:w="5400" w:type="dxa"/>
            <w:tcBorders>
              <w:top w:val="single" w:sz="4" w:space="0" w:color="auto"/>
              <w:left w:val="single" w:sz="4" w:space="0" w:color="auto"/>
              <w:bottom w:val="single" w:sz="4" w:space="0" w:color="auto"/>
              <w:right w:val="single" w:sz="4" w:space="0" w:color="auto"/>
            </w:tcBorders>
          </w:tcPr>
          <w:p w14:paraId="0225C67A"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NSW records the withdrawal acceptance.</w:t>
            </w:r>
          </w:p>
        </w:tc>
      </w:tr>
      <w:tr w:rsidR="00157AAA" w14:paraId="74E2F4A7" w14:textId="77777777" w:rsidTr="001136D3">
        <w:tc>
          <w:tcPr>
            <w:tcW w:w="1525" w:type="dxa"/>
            <w:tcBorders>
              <w:top w:val="single" w:sz="4" w:space="0" w:color="auto"/>
              <w:left w:val="single" w:sz="4" w:space="0" w:color="auto"/>
              <w:bottom w:val="single" w:sz="4" w:space="0" w:color="auto"/>
              <w:right w:val="single" w:sz="4" w:space="0" w:color="auto"/>
            </w:tcBorders>
          </w:tcPr>
          <w:p w14:paraId="58FE45E1" w14:textId="77777777" w:rsidR="00157AAA" w:rsidRDefault="006C1BE5">
            <w:pPr>
              <w:spacing w:after="0"/>
              <w:rPr>
                <w:szCs w:val="24"/>
              </w:rPr>
            </w:pPr>
            <w:r>
              <w:rPr>
                <w:szCs w:val="24"/>
              </w:rPr>
              <w:t>Send Task</w:t>
            </w:r>
          </w:p>
        </w:tc>
        <w:tc>
          <w:tcPr>
            <w:tcW w:w="2430" w:type="dxa"/>
            <w:tcBorders>
              <w:top w:val="single" w:sz="4" w:space="0" w:color="auto"/>
              <w:left w:val="single" w:sz="4" w:space="0" w:color="auto"/>
              <w:bottom w:val="single" w:sz="4" w:space="0" w:color="auto"/>
              <w:right w:val="single" w:sz="4" w:space="0" w:color="auto"/>
            </w:tcBorders>
          </w:tcPr>
          <w:p w14:paraId="2DCBBFA7" w14:textId="77777777" w:rsidR="00157AAA" w:rsidRDefault="006C1BE5">
            <w:pPr>
              <w:spacing w:after="0"/>
              <w:rPr>
                <w:szCs w:val="24"/>
              </w:rPr>
            </w:pPr>
            <w:r>
              <w:rPr>
                <w:szCs w:val="24"/>
              </w:rPr>
              <w:t>Notify EO of Acceptance of Withdrawal</w:t>
            </w:r>
          </w:p>
        </w:tc>
        <w:tc>
          <w:tcPr>
            <w:tcW w:w="5400" w:type="dxa"/>
            <w:tcBorders>
              <w:top w:val="single" w:sz="4" w:space="0" w:color="auto"/>
              <w:left w:val="single" w:sz="4" w:space="0" w:color="auto"/>
              <w:bottom w:val="single" w:sz="4" w:space="0" w:color="auto"/>
              <w:right w:val="single" w:sz="4" w:space="0" w:color="auto"/>
            </w:tcBorders>
          </w:tcPr>
          <w:p w14:paraId="7C842741"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NSW notifies the EO of acceptance of withdrawal of application.</w:t>
            </w:r>
          </w:p>
        </w:tc>
      </w:tr>
      <w:tr w:rsidR="00157AAA" w14:paraId="7CB81EB8" w14:textId="77777777" w:rsidTr="001136D3">
        <w:tc>
          <w:tcPr>
            <w:tcW w:w="1525" w:type="dxa"/>
            <w:tcBorders>
              <w:top w:val="single" w:sz="4" w:space="0" w:color="auto"/>
              <w:left w:val="single" w:sz="4" w:space="0" w:color="auto"/>
              <w:bottom w:val="single" w:sz="4" w:space="0" w:color="auto"/>
              <w:right w:val="single" w:sz="4" w:space="0" w:color="auto"/>
            </w:tcBorders>
          </w:tcPr>
          <w:p w14:paraId="41D0973D" w14:textId="77777777" w:rsidR="00157AAA" w:rsidRDefault="006C1BE5">
            <w:pPr>
              <w:spacing w:after="0"/>
              <w:rPr>
                <w:szCs w:val="24"/>
              </w:rPr>
            </w:pPr>
            <w:r>
              <w:rPr>
                <w:szCs w:val="24"/>
              </w:rPr>
              <w:t>End Event</w:t>
            </w:r>
          </w:p>
        </w:tc>
        <w:tc>
          <w:tcPr>
            <w:tcW w:w="2430" w:type="dxa"/>
            <w:tcBorders>
              <w:top w:val="single" w:sz="4" w:space="0" w:color="auto"/>
              <w:left w:val="single" w:sz="4" w:space="0" w:color="auto"/>
              <w:bottom w:val="single" w:sz="4" w:space="0" w:color="auto"/>
              <w:right w:val="single" w:sz="4" w:space="0" w:color="auto"/>
            </w:tcBorders>
          </w:tcPr>
          <w:p w14:paraId="7A46E0A3" w14:textId="77777777" w:rsidR="00157AAA" w:rsidRDefault="006C1BE5">
            <w:pPr>
              <w:spacing w:after="0"/>
              <w:rPr>
                <w:szCs w:val="24"/>
              </w:rPr>
            </w:pPr>
            <w:r>
              <w:rPr>
                <w:szCs w:val="24"/>
              </w:rPr>
              <w:t>Accept Application Process Ended</w:t>
            </w:r>
          </w:p>
        </w:tc>
        <w:tc>
          <w:tcPr>
            <w:tcW w:w="5400" w:type="dxa"/>
            <w:tcBorders>
              <w:top w:val="single" w:sz="4" w:space="0" w:color="auto"/>
              <w:left w:val="single" w:sz="4" w:space="0" w:color="auto"/>
              <w:bottom w:val="single" w:sz="4" w:space="0" w:color="auto"/>
              <w:right w:val="single" w:sz="4" w:space="0" w:color="auto"/>
            </w:tcBorders>
          </w:tcPr>
          <w:p w14:paraId="0C24D97C"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process of withdrawal of application finished. </w:t>
            </w:r>
          </w:p>
        </w:tc>
      </w:tr>
    </w:tbl>
    <w:p w14:paraId="3E7F6D48" w14:textId="77777777" w:rsidR="00157AAA" w:rsidRDefault="00157AAA">
      <w:pPr>
        <w:spacing w:after="0"/>
      </w:pPr>
    </w:p>
    <w:p w14:paraId="3990477C" w14:textId="77777777" w:rsidR="00157AAA" w:rsidRPr="008E2AAD" w:rsidRDefault="006C1BE5">
      <w:pPr>
        <w:spacing w:after="0"/>
        <w:rPr>
          <w:b/>
        </w:rPr>
      </w:pPr>
      <w:r w:rsidRPr="008E2AAD">
        <w:rPr>
          <w:b/>
        </w:rPr>
        <w:t>Functional Requirements:</w:t>
      </w:r>
    </w:p>
    <w:p w14:paraId="6F134233" w14:textId="77777777" w:rsidR="00157AAA" w:rsidRPr="005568FD" w:rsidRDefault="00157AAA"/>
    <w:tbl>
      <w:tblPr>
        <w:tblStyle w:val="TableGrid"/>
        <w:tblW w:w="9265" w:type="dxa"/>
        <w:tblLook w:val="04A0" w:firstRow="1" w:lastRow="0" w:firstColumn="1" w:lastColumn="0" w:noHBand="0" w:noVBand="1"/>
      </w:tblPr>
      <w:tblGrid>
        <w:gridCol w:w="985"/>
        <w:gridCol w:w="8280"/>
      </w:tblGrid>
      <w:tr w:rsidR="00157AAA" w14:paraId="4EF95B69" w14:textId="77777777" w:rsidTr="001136D3">
        <w:tc>
          <w:tcPr>
            <w:tcW w:w="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DF9CC8" w14:textId="77777777" w:rsidR="00157AAA" w:rsidRDefault="006C1BE5">
            <w:pPr>
              <w:spacing w:after="0"/>
              <w:rPr>
                <w:b/>
                <w:sz w:val="22"/>
              </w:rPr>
            </w:pPr>
            <w:r>
              <w:rPr>
                <w:b/>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8E810B" w14:textId="77777777" w:rsidR="00157AAA" w:rsidRDefault="006C1BE5">
            <w:pPr>
              <w:spacing w:after="0"/>
              <w:jc w:val="left"/>
              <w:rPr>
                <w:b/>
              </w:rPr>
            </w:pPr>
            <w:r>
              <w:rPr>
                <w:b/>
              </w:rPr>
              <w:t>Description</w:t>
            </w:r>
          </w:p>
        </w:tc>
      </w:tr>
      <w:tr w:rsidR="009068DA" w14:paraId="34CD4873" w14:textId="77777777" w:rsidTr="001136D3">
        <w:tc>
          <w:tcPr>
            <w:tcW w:w="985" w:type="dxa"/>
            <w:tcBorders>
              <w:top w:val="single" w:sz="4" w:space="0" w:color="auto"/>
              <w:left w:val="single" w:sz="4" w:space="0" w:color="auto"/>
              <w:bottom w:val="single" w:sz="4" w:space="0" w:color="auto"/>
              <w:right w:val="single" w:sz="4" w:space="0" w:color="auto"/>
            </w:tcBorders>
            <w:shd w:val="clear" w:color="auto" w:fill="auto"/>
          </w:tcPr>
          <w:p w14:paraId="69818469" w14:textId="591F877D" w:rsidR="009068DA" w:rsidRDefault="009068DA" w:rsidP="009068DA">
            <w:pPr>
              <w:ind w:left="738" w:right="-14" w:hanging="738"/>
              <w:jc w:val="left"/>
              <w:rPr>
                <w:szCs w:val="24"/>
              </w:rPr>
            </w:pPr>
            <w:r>
              <w:rPr>
                <w:szCs w:val="24"/>
              </w:rPr>
              <w:t>FR121</w:t>
            </w:r>
          </w:p>
          <w:p w14:paraId="4B3F9F77" w14:textId="6614CDB4" w:rsidR="009068DA" w:rsidRDefault="009068DA" w:rsidP="009068DA">
            <w:pPr>
              <w:spacing w:after="0"/>
              <w:rPr>
                <w:b/>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14:paraId="62D587F2" w14:textId="47245D63" w:rsidR="009068DA" w:rsidRDefault="009068DA" w:rsidP="009068DA">
            <w:pPr>
              <w:spacing w:after="0"/>
              <w:jc w:val="left"/>
              <w:rPr>
                <w:b/>
              </w:rPr>
            </w:pPr>
            <w:r>
              <w:t>The Applicant must be able to withdraw his application submitted earlier. The NSW System shall provide functionality to withdraw / cancel an application with all associated documentation prior to submission. The NSW System must ensure that only the originating applicant (or his representative) can withdraw/cancel the application.</w:t>
            </w:r>
          </w:p>
        </w:tc>
      </w:tr>
      <w:tr w:rsidR="00D500CC" w14:paraId="6C94FA48" w14:textId="77777777" w:rsidTr="001136D3">
        <w:tc>
          <w:tcPr>
            <w:tcW w:w="985" w:type="dxa"/>
            <w:tcBorders>
              <w:top w:val="single" w:sz="4" w:space="0" w:color="auto"/>
              <w:left w:val="single" w:sz="4" w:space="0" w:color="auto"/>
              <w:bottom w:val="single" w:sz="4" w:space="0" w:color="auto"/>
              <w:right w:val="single" w:sz="4" w:space="0" w:color="auto"/>
            </w:tcBorders>
            <w:shd w:val="clear" w:color="auto" w:fill="auto"/>
          </w:tcPr>
          <w:p w14:paraId="4996C543" w14:textId="69442917" w:rsidR="00D500CC" w:rsidRDefault="00D500CC" w:rsidP="00D500CC">
            <w:pPr>
              <w:ind w:left="738" w:right="-14" w:hanging="738"/>
              <w:jc w:val="left"/>
              <w:rPr>
                <w:szCs w:val="24"/>
              </w:rPr>
            </w:pPr>
            <w:r>
              <w:rPr>
                <w:szCs w:val="24"/>
              </w:rPr>
              <w:t>FR144</w:t>
            </w:r>
          </w:p>
        </w:tc>
        <w:tc>
          <w:tcPr>
            <w:tcW w:w="8280" w:type="dxa"/>
            <w:tcBorders>
              <w:top w:val="single" w:sz="4" w:space="0" w:color="auto"/>
              <w:left w:val="single" w:sz="4" w:space="0" w:color="auto"/>
              <w:bottom w:val="single" w:sz="4" w:space="0" w:color="auto"/>
              <w:right w:val="single" w:sz="4" w:space="0" w:color="auto"/>
            </w:tcBorders>
            <w:shd w:val="clear" w:color="auto" w:fill="auto"/>
          </w:tcPr>
          <w:p w14:paraId="381A860A" w14:textId="29E8F678" w:rsidR="00D500CC" w:rsidRDefault="00D500CC" w:rsidP="00D500CC">
            <w:pPr>
              <w:spacing w:after="0"/>
              <w:jc w:val="left"/>
            </w:pPr>
            <w:r>
              <w:rPr>
                <w:szCs w:val="24"/>
              </w:rPr>
              <w:t xml:space="preserve">The system </w:t>
            </w:r>
            <w:r>
              <w:t xml:space="preserve">must </w:t>
            </w:r>
            <w:r>
              <w:rPr>
                <w:szCs w:val="24"/>
              </w:rPr>
              <w:t>provide functionality for CBRA to process any change or withdrawal requests from applicant before an application is approved.</w:t>
            </w:r>
          </w:p>
        </w:tc>
      </w:tr>
      <w:tr w:rsidR="00D500CC" w14:paraId="7F4B47EC" w14:textId="77777777" w:rsidTr="001136D3">
        <w:tc>
          <w:tcPr>
            <w:tcW w:w="985" w:type="dxa"/>
            <w:tcBorders>
              <w:top w:val="single" w:sz="4" w:space="0" w:color="auto"/>
              <w:left w:val="single" w:sz="4" w:space="0" w:color="auto"/>
              <w:bottom w:val="single" w:sz="4" w:space="0" w:color="auto"/>
              <w:right w:val="single" w:sz="4" w:space="0" w:color="auto"/>
            </w:tcBorders>
          </w:tcPr>
          <w:p w14:paraId="4F34B1DF" w14:textId="77777777" w:rsidR="00D500CC" w:rsidRDefault="00D500CC" w:rsidP="00D500CC">
            <w:pPr>
              <w:spacing w:after="0"/>
            </w:pPr>
            <w:r>
              <w:t>FR477</w:t>
            </w:r>
          </w:p>
        </w:tc>
        <w:tc>
          <w:tcPr>
            <w:tcW w:w="8280" w:type="dxa"/>
            <w:tcBorders>
              <w:top w:val="single" w:sz="4" w:space="0" w:color="auto"/>
              <w:left w:val="single" w:sz="4" w:space="0" w:color="auto"/>
              <w:bottom w:val="single" w:sz="4" w:space="0" w:color="auto"/>
              <w:right w:val="single" w:sz="4" w:space="0" w:color="auto"/>
            </w:tcBorders>
          </w:tcPr>
          <w:p w14:paraId="339892FA"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system must record the request of withdrawal of application. </w:t>
            </w:r>
          </w:p>
        </w:tc>
      </w:tr>
      <w:tr w:rsidR="00D500CC" w14:paraId="1E3EB636" w14:textId="77777777" w:rsidTr="001136D3">
        <w:tc>
          <w:tcPr>
            <w:tcW w:w="985" w:type="dxa"/>
            <w:tcBorders>
              <w:top w:val="single" w:sz="4" w:space="0" w:color="auto"/>
              <w:left w:val="single" w:sz="4" w:space="0" w:color="auto"/>
              <w:bottom w:val="single" w:sz="4" w:space="0" w:color="auto"/>
              <w:right w:val="single" w:sz="4" w:space="0" w:color="auto"/>
            </w:tcBorders>
          </w:tcPr>
          <w:p w14:paraId="06133767" w14:textId="77777777" w:rsidR="00D500CC" w:rsidRDefault="00D500CC" w:rsidP="00D500CC">
            <w:pPr>
              <w:spacing w:after="0"/>
            </w:pPr>
            <w:r>
              <w:t>FR478</w:t>
            </w:r>
          </w:p>
        </w:tc>
        <w:tc>
          <w:tcPr>
            <w:tcW w:w="8280" w:type="dxa"/>
            <w:tcBorders>
              <w:top w:val="single" w:sz="4" w:space="0" w:color="auto"/>
              <w:left w:val="single" w:sz="4" w:space="0" w:color="auto"/>
              <w:bottom w:val="single" w:sz="4" w:space="0" w:color="auto"/>
              <w:right w:val="single" w:sz="4" w:space="0" w:color="auto"/>
            </w:tcBorders>
          </w:tcPr>
          <w:p w14:paraId="2A4117E7"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system must identify the state before the state "Withdrawn". </w:t>
            </w:r>
          </w:p>
        </w:tc>
      </w:tr>
      <w:tr w:rsidR="00D500CC" w14:paraId="67618C22" w14:textId="77777777" w:rsidTr="001136D3">
        <w:tc>
          <w:tcPr>
            <w:tcW w:w="985" w:type="dxa"/>
            <w:tcBorders>
              <w:top w:val="single" w:sz="4" w:space="0" w:color="auto"/>
              <w:left w:val="single" w:sz="4" w:space="0" w:color="auto"/>
              <w:bottom w:val="single" w:sz="4" w:space="0" w:color="auto"/>
              <w:right w:val="single" w:sz="4" w:space="0" w:color="auto"/>
            </w:tcBorders>
          </w:tcPr>
          <w:p w14:paraId="66E0FF6B" w14:textId="77777777" w:rsidR="00D500CC" w:rsidRDefault="00D500CC" w:rsidP="00D500CC">
            <w:pPr>
              <w:spacing w:after="0"/>
            </w:pPr>
            <w:r>
              <w:t>FR479</w:t>
            </w:r>
          </w:p>
        </w:tc>
        <w:tc>
          <w:tcPr>
            <w:tcW w:w="8280" w:type="dxa"/>
            <w:tcBorders>
              <w:top w:val="single" w:sz="4" w:space="0" w:color="auto"/>
              <w:left w:val="single" w:sz="4" w:space="0" w:color="auto"/>
              <w:bottom w:val="single" w:sz="4" w:space="0" w:color="auto"/>
              <w:right w:val="single" w:sz="4" w:space="0" w:color="auto"/>
            </w:tcBorders>
          </w:tcPr>
          <w:p w14:paraId="60B3A8DA"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identify if the state of the application has ever been "Accepted".</w:t>
            </w:r>
          </w:p>
        </w:tc>
      </w:tr>
      <w:tr w:rsidR="00D500CC" w14:paraId="141B4259" w14:textId="77777777" w:rsidTr="001136D3">
        <w:tc>
          <w:tcPr>
            <w:tcW w:w="985" w:type="dxa"/>
            <w:tcBorders>
              <w:top w:val="single" w:sz="4" w:space="0" w:color="auto"/>
              <w:left w:val="single" w:sz="4" w:space="0" w:color="auto"/>
              <w:bottom w:val="single" w:sz="4" w:space="0" w:color="auto"/>
              <w:right w:val="single" w:sz="4" w:space="0" w:color="auto"/>
            </w:tcBorders>
          </w:tcPr>
          <w:p w14:paraId="2449E57F" w14:textId="77777777" w:rsidR="00D500CC" w:rsidRDefault="00D500CC" w:rsidP="00D500CC">
            <w:pPr>
              <w:spacing w:after="0"/>
            </w:pPr>
            <w:r>
              <w:t>FR480</w:t>
            </w:r>
          </w:p>
        </w:tc>
        <w:tc>
          <w:tcPr>
            <w:tcW w:w="8280" w:type="dxa"/>
            <w:tcBorders>
              <w:top w:val="single" w:sz="4" w:space="0" w:color="auto"/>
              <w:left w:val="single" w:sz="4" w:space="0" w:color="auto"/>
              <w:bottom w:val="single" w:sz="4" w:space="0" w:color="auto"/>
              <w:right w:val="single" w:sz="4" w:space="0" w:color="auto"/>
            </w:tcBorders>
          </w:tcPr>
          <w:p w14:paraId="41F5F741"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send a request for LPCO withdrawal to the other licensing system.</w:t>
            </w:r>
          </w:p>
        </w:tc>
      </w:tr>
      <w:tr w:rsidR="00D500CC" w14:paraId="33A51C6C" w14:textId="77777777" w:rsidTr="001136D3">
        <w:tc>
          <w:tcPr>
            <w:tcW w:w="985" w:type="dxa"/>
            <w:tcBorders>
              <w:top w:val="single" w:sz="4" w:space="0" w:color="auto"/>
              <w:left w:val="single" w:sz="4" w:space="0" w:color="auto"/>
              <w:bottom w:val="single" w:sz="4" w:space="0" w:color="auto"/>
              <w:right w:val="single" w:sz="4" w:space="0" w:color="auto"/>
            </w:tcBorders>
          </w:tcPr>
          <w:p w14:paraId="74CCF99D" w14:textId="77777777" w:rsidR="00D500CC" w:rsidRDefault="00D500CC" w:rsidP="00D500CC">
            <w:pPr>
              <w:spacing w:after="0"/>
            </w:pPr>
            <w:r>
              <w:t>FR481</w:t>
            </w:r>
          </w:p>
        </w:tc>
        <w:tc>
          <w:tcPr>
            <w:tcW w:w="8280" w:type="dxa"/>
            <w:tcBorders>
              <w:top w:val="single" w:sz="4" w:space="0" w:color="auto"/>
              <w:left w:val="single" w:sz="4" w:space="0" w:color="auto"/>
              <w:bottom w:val="single" w:sz="4" w:space="0" w:color="auto"/>
              <w:right w:val="single" w:sz="4" w:space="0" w:color="auto"/>
            </w:tcBorders>
          </w:tcPr>
          <w:p w14:paraId="7690FF75"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perform validation of withdrawal acceptance.</w:t>
            </w:r>
          </w:p>
        </w:tc>
      </w:tr>
      <w:tr w:rsidR="00D500CC" w14:paraId="3231FEAA" w14:textId="77777777" w:rsidTr="001136D3">
        <w:tc>
          <w:tcPr>
            <w:tcW w:w="985" w:type="dxa"/>
            <w:tcBorders>
              <w:top w:val="single" w:sz="4" w:space="0" w:color="auto"/>
              <w:left w:val="single" w:sz="4" w:space="0" w:color="auto"/>
              <w:bottom w:val="single" w:sz="4" w:space="0" w:color="auto"/>
              <w:right w:val="single" w:sz="4" w:space="0" w:color="auto"/>
            </w:tcBorders>
          </w:tcPr>
          <w:p w14:paraId="60402AE2" w14:textId="77777777" w:rsidR="00D500CC" w:rsidRDefault="00D500CC" w:rsidP="00D500CC">
            <w:pPr>
              <w:spacing w:after="0"/>
            </w:pPr>
            <w:r>
              <w:t>FR482</w:t>
            </w:r>
          </w:p>
        </w:tc>
        <w:tc>
          <w:tcPr>
            <w:tcW w:w="8280" w:type="dxa"/>
            <w:tcBorders>
              <w:top w:val="single" w:sz="4" w:space="0" w:color="auto"/>
              <w:left w:val="single" w:sz="4" w:space="0" w:color="auto"/>
              <w:bottom w:val="single" w:sz="4" w:space="0" w:color="auto"/>
              <w:right w:val="single" w:sz="4" w:space="0" w:color="auto"/>
            </w:tcBorders>
          </w:tcPr>
          <w:p w14:paraId="18B9FD2A"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notify the EI of rejection of withdrawal of application.</w:t>
            </w:r>
          </w:p>
        </w:tc>
      </w:tr>
      <w:tr w:rsidR="00D500CC" w14:paraId="0F5D8052" w14:textId="77777777" w:rsidTr="001136D3">
        <w:tc>
          <w:tcPr>
            <w:tcW w:w="985" w:type="dxa"/>
            <w:tcBorders>
              <w:top w:val="single" w:sz="4" w:space="0" w:color="auto"/>
              <w:left w:val="single" w:sz="4" w:space="0" w:color="auto"/>
              <w:bottom w:val="single" w:sz="4" w:space="0" w:color="auto"/>
              <w:right w:val="single" w:sz="4" w:space="0" w:color="auto"/>
            </w:tcBorders>
          </w:tcPr>
          <w:p w14:paraId="43038165" w14:textId="77777777" w:rsidR="00D500CC" w:rsidRDefault="00D500CC" w:rsidP="00D500CC">
            <w:pPr>
              <w:spacing w:after="0"/>
            </w:pPr>
            <w:r>
              <w:t>FR483</w:t>
            </w:r>
          </w:p>
        </w:tc>
        <w:tc>
          <w:tcPr>
            <w:tcW w:w="8280" w:type="dxa"/>
            <w:tcBorders>
              <w:top w:val="single" w:sz="4" w:space="0" w:color="auto"/>
              <w:left w:val="single" w:sz="4" w:space="0" w:color="auto"/>
              <w:bottom w:val="single" w:sz="4" w:space="0" w:color="auto"/>
              <w:right w:val="single" w:sz="4" w:space="0" w:color="auto"/>
            </w:tcBorders>
          </w:tcPr>
          <w:p w14:paraId="7887DE06"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record data as it is registered or processed automatically.</w:t>
            </w:r>
          </w:p>
        </w:tc>
      </w:tr>
      <w:tr w:rsidR="00D500CC" w14:paraId="4F01ECA6" w14:textId="77777777" w:rsidTr="001136D3">
        <w:tc>
          <w:tcPr>
            <w:tcW w:w="985" w:type="dxa"/>
            <w:tcBorders>
              <w:top w:val="single" w:sz="4" w:space="0" w:color="auto"/>
              <w:left w:val="single" w:sz="4" w:space="0" w:color="auto"/>
              <w:bottom w:val="single" w:sz="4" w:space="0" w:color="auto"/>
              <w:right w:val="single" w:sz="4" w:space="0" w:color="auto"/>
            </w:tcBorders>
          </w:tcPr>
          <w:p w14:paraId="1110923F" w14:textId="77777777" w:rsidR="00D500CC" w:rsidRDefault="00D500CC" w:rsidP="00D500CC">
            <w:pPr>
              <w:spacing w:after="0"/>
            </w:pPr>
            <w:r>
              <w:lastRenderedPageBreak/>
              <w:t>FR484</w:t>
            </w:r>
          </w:p>
        </w:tc>
        <w:tc>
          <w:tcPr>
            <w:tcW w:w="8280" w:type="dxa"/>
            <w:tcBorders>
              <w:top w:val="single" w:sz="4" w:space="0" w:color="auto"/>
              <w:left w:val="single" w:sz="4" w:space="0" w:color="auto"/>
              <w:bottom w:val="single" w:sz="4" w:space="0" w:color="auto"/>
              <w:right w:val="single" w:sz="4" w:space="0" w:color="auto"/>
            </w:tcBorders>
          </w:tcPr>
          <w:p w14:paraId="43C7472A" w14:textId="77777777" w:rsidR="00D500CC" w:rsidRDefault="00D500CC" w:rsidP="00D500CC">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notify the applicant with an IE of acceptance of withdrawal.</w:t>
            </w:r>
          </w:p>
        </w:tc>
      </w:tr>
    </w:tbl>
    <w:p w14:paraId="17E086B5" w14:textId="77777777" w:rsidR="00157AAA" w:rsidRDefault="00157AAA">
      <w:pPr>
        <w:spacing w:after="0"/>
        <w:rPr>
          <w:b/>
          <w:i/>
        </w:rPr>
      </w:pPr>
    </w:p>
    <w:p w14:paraId="1B9C7E89" w14:textId="2B31FFAE" w:rsidR="00157AAA" w:rsidRDefault="006C1BE5">
      <w:pPr>
        <w:spacing w:after="0"/>
        <w:rPr>
          <w:b/>
        </w:rPr>
      </w:pPr>
      <w:r w:rsidRPr="008E2AAD">
        <w:rPr>
          <w:b/>
        </w:rPr>
        <w:t>1.2.12.</w:t>
      </w:r>
      <w:r w:rsidR="005568FD">
        <w:rPr>
          <w:b/>
        </w:rPr>
        <w:t>5</w:t>
      </w:r>
      <w:r w:rsidRPr="008E2AAD">
        <w:rPr>
          <w:b/>
        </w:rPr>
        <w:t>. Right to be Heard</w:t>
      </w:r>
    </w:p>
    <w:p w14:paraId="382A8915" w14:textId="77777777" w:rsidR="006517A3" w:rsidRPr="008E2AAD" w:rsidRDefault="006517A3">
      <w:pPr>
        <w:spacing w:after="0"/>
        <w:rPr>
          <w:b/>
        </w:rPr>
      </w:pPr>
    </w:p>
    <w:p w14:paraId="5DAF0AC2" w14:textId="1D8944A8" w:rsidR="00157AAA" w:rsidRDefault="005568FD">
      <w:pPr>
        <w:spacing w:after="0"/>
        <w:rPr>
          <w:b/>
          <w:i/>
        </w:rPr>
      </w:pPr>
      <w:r w:rsidRPr="005568FD">
        <w:rPr>
          <w:b/>
          <w:i/>
          <w:noProof/>
        </w:rPr>
        <w:drawing>
          <wp:inline distT="0" distB="0" distL="0" distR="0" wp14:anchorId="319F7C84" wp14:editId="4E78A421">
            <wp:extent cx="5486400" cy="1069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86400" cy="1069340"/>
                    </a:xfrm>
                    <a:prstGeom prst="rect">
                      <a:avLst/>
                    </a:prstGeom>
                  </pic:spPr>
                </pic:pic>
              </a:graphicData>
            </a:graphic>
          </wp:inline>
        </w:drawing>
      </w:r>
      <w:r w:rsidRPr="005568FD" w:rsidDel="005568FD">
        <w:rPr>
          <w:b/>
          <w:i/>
        </w:rPr>
        <w:t xml:space="preserve"> </w:t>
      </w:r>
    </w:p>
    <w:p w14:paraId="1F3CAF23" w14:textId="7342D7F0" w:rsidR="00157AAA" w:rsidRDefault="005568FD">
      <w:pPr>
        <w:spacing w:after="0"/>
        <w:rPr>
          <w:b/>
          <w:i/>
        </w:rPr>
      </w:pPr>
      <w:r>
        <w:rPr>
          <w:b/>
          <w:i/>
        </w:rPr>
        <w:object w:dxaOrig="1543" w:dyaOrig="995" w14:anchorId="212A11A2">
          <v:shape id="_x0000_i1038" type="#_x0000_t75" style="width:79pt;height:50.5pt" o:ole="">
            <v:imagedata r:id="rId113" o:title=""/>
          </v:shape>
          <o:OLEObject Type="Embed" ProgID="Package" ShapeID="_x0000_i1038" DrawAspect="Icon" ObjectID="_1777888271" r:id="rId114"/>
        </w:object>
      </w:r>
      <w:r w:rsidR="00E3729B">
        <w:rPr>
          <w:b/>
          <w:i/>
          <w:noProof/>
        </w:rPr>
        <mc:AlternateContent>
          <mc:Choice Requires="wps">
            <w:drawing>
              <wp:anchor distT="0" distB="0" distL="114300" distR="114300" simplePos="0" relativeHeight="251658256" behindDoc="0" locked="0" layoutInCell="1" allowOverlap="1" wp14:anchorId="76179273" wp14:editId="1DDE467C">
                <wp:simplePos x="0" y="0"/>
                <wp:positionH relativeFrom="column">
                  <wp:posOffset>0</wp:posOffset>
                </wp:positionH>
                <wp:positionV relativeFrom="paragraph">
                  <wp:posOffset>0</wp:posOffset>
                </wp:positionV>
                <wp:extent cx="635000" cy="635000"/>
                <wp:effectExtent l="19050" t="19050" r="12700" b="12700"/>
                <wp:wrapNone/>
                <wp:docPr id="20" name="AutoShape 4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66349" id="AutoShape 41" o:spid="_x0000_s1026" style="position:absolute;margin-left:0;margin-top:0;width:50pt;height:50pt;z-index:251658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D+OnRvIgIAAEgEAAAOAAAAAAAAAAAAAAAAAC4CAABkcnMvZTJvRG9jLnhtbFBLAQIt&#10;ABQABgAIAAAAIQDrjR772AAAAAUBAAAPAAAAAAAAAAAAAAAAAHwEAABkcnMvZG93bnJldi54bWxQ&#10;SwUGAAAAAAQABADzAAAAgQUAAAAA&#10;">
                <v:stroke joinstyle="round"/>
                <o:lock v:ext="edit" selection="t"/>
              </v:rect>
            </w:pict>
          </mc:Fallback>
        </mc:AlternateContent>
      </w:r>
    </w:p>
    <w:p w14:paraId="1851286F" w14:textId="77777777" w:rsidR="00157AAA" w:rsidRDefault="00157AAA">
      <w:pPr>
        <w:spacing w:after="0"/>
        <w:rPr>
          <w:b/>
          <w:i/>
        </w:rPr>
      </w:pPr>
    </w:p>
    <w:p w14:paraId="7C88DE8C" w14:textId="7CE1AEBB" w:rsidR="00157AAA" w:rsidRDefault="006C1BE5">
      <w:pPr>
        <w:spacing w:after="0"/>
        <w:jc w:val="center"/>
        <w:rPr>
          <w:i/>
        </w:rPr>
      </w:pPr>
      <w:r>
        <w:rPr>
          <w:i/>
        </w:rPr>
        <w:t xml:space="preserve">Figure </w:t>
      </w:r>
      <w:r w:rsidR="00394B0B">
        <w:rPr>
          <w:i/>
        </w:rPr>
        <w:t>17</w:t>
      </w:r>
      <w:r>
        <w:rPr>
          <w:i/>
        </w:rPr>
        <w:t xml:space="preserve">: BPMN process: Right to be </w:t>
      </w:r>
      <w:proofErr w:type="gramStart"/>
      <w:r>
        <w:rPr>
          <w:i/>
        </w:rPr>
        <w:t>Heard</w:t>
      </w:r>
      <w:proofErr w:type="gramEnd"/>
    </w:p>
    <w:p w14:paraId="29CE91DA" w14:textId="77777777" w:rsidR="00157AAA" w:rsidRDefault="00157AAA">
      <w:pPr>
        <w:spacing w:after="0"/>
      </w:pPr>
    </w:p>
    <w:p w14:paraId="74BE2EBC" w14:textId="77777777" w:rsidR="00157AAA" w:rsidRDefault="006C1BE5">
      <w:pPr>
        <w:spacing w:after="0"/>
        <w:rPr>
          <w:szCs w:val="24"/>
        </w:rPr>
      </w:pPr>
      <w:r w:rsidRPr="008E2AAD">
        <w:rPr>
          <w:b/>
        </w:rPr>
        <w:t>Description</w:t>
      </w:r>
      <w:r>
        <w:t xml:space="preserve">: The purpose of this </w:t>
      </w:r>
      <w:r>
        <w:rPr>
          <w:color w:val="202124"/>
          <w:szCs w:val="24"/>
          <w:shd w:val="clear" w:color="auto" w:fill="FFFFFF"/>
        </w:rPr>
        <w:t xml:space="preserve">process is to </w:t>
      </w:r>
      <w:proofErr w:type="gramStart"/>
      <w:r>
        <w:rPr>
          <w:color w:val="040C28"/>
          <w:szCs w:val="24"/>
        </w:rPr>
        <w:t>giving</w:t>
      </w:r>
      <w:proofErr w:type="gramEnd"/>
      <w:r>
        <w:rPr>
          <w:color w:val="040C28"/>
          <w:szCs w:val="24"/>
        </w:rPr>
        <w:t xml:space="preserve"> the trader the “Right to be Heard” (RTBH)</w:t>
      </w:r>
      <w:r>
        <w:rPr>
          <w:color w:val="202124"/>
          <w:szCs w:val="24"/>
          <w:shd w:val="clear" w:color="auto" w:fill="FFFFFF"/>
        </w:rPr>
        <w:t xml:space="preserve">. Prior to issuing a decision, the applicants will be provided with </w:t>
      </w:r>
      <w:proofErr w:type="gramStart"/>
      <w:r>
        <w:rPr>
          <w:color w:val="202124"/>
          <w:szCs w:val="24"/>
          <w:shd w:val="clear" w:color="auto" w:fill="FFFFFF"/>
        </w:rPr>
        <w:t>a RTBH</w:t>
      </w:r>
      <w:proofErr w:type="gramEnd"/>
      <w:r>
        <w:rPr>
          <w:color w:val="202124"/>
          <w:szCs w:val="24"/>
          <w:shd w:val="clear" w:color="auto" w:fill="FFFFFF"/>
        </w:rPr>
        <w:t xml:space="preserve"> which gives an opportunity to provide any further information which may affect the decision being issued.</w:t>
      </w:r>
    </w:p>
    <w:p w14:paraId="3F13DAA2" w14:textId="77777777" w:rsidR="00157AAA" w:rsidRDefault="00157AAA">
      <w:pPr>
        <w:spacing w:after="0"/>
      </w:pPr>
    </w:p>
    <w:p w14:paraId="77B747E6" w14:textId="77777777" w:rsidR="00157AAA" w:rsidRDefault="006C1BE5">
      <w:pPr>
        <w:rPr>
          <w:b/>
        </w:rPr>
      </w:pPr>
      <w:r>
        <w:rPr>
          <w:b/>
        </w:rPr>
        <w:t>Process steps:</w:t>
      </w:r>
    </w:p>
    <w:tbl>
      <w:tblPr>
        <w:tblStyle w:val="TableGrid"/>
        <w:tblW w:w="9355" w:type="dxa"/>
        <w:tblLook w:val="04A0" w:firstRow="1" w:lastRow="0" w:firstColumn="1" w:lastColumn="0" w:noHBand="0" w:noVBand="1"/>
      </w:tblPr>
      <w:tblGrid>
        <w:gridCol w:w="1345"/>
        <w:gridCol w:w="2160"/>
        <w:gridCol w:w="5850"/>
      </w:tblGrid>
      <w:tr w:rsidR="00157AAA" w14:paraId="07F7B6DA" w14:textId="77777777" w:rsidTr="001136D3">
        <w:trPr>
          <w:tblHeader/>
        </w:trPr>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4E3498" w14:textId="77777777" w:rsidR="00157AAA" w:rsidRDefault="006C1BE5">
            <w:pPr>
              <w:spacing w:after="0"/>
              <w:rPr>
                <w:b/>
                <w:szCs w:val="24"/>
              </w:rPr>
            </w:pPr>
            <w:r>
              <w:rPr>
                <w:b/>
                <w:szCs w:val="24"/>
              </w:rPr>
              <w:t>Step</w:t>
            </w:r>
          </w:p>
        </w:tc>
        <w:tc>
          <w:tcPr>
            <w:tcW w:w="2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4496BE" w14:textId="77777777" w:rsidR="00157AAA" w:rsidRDefault="006C1BE5">
            <w:pPr>
              <w:spacing w:after="0"/>
              <w:jc w:val="left"/>
              <w:rPr>
                <w:b/>
                <w:szCs w:val="24"/>
              </w:rPr>
            </w:pPr>
            <w:r>
              <w:rPr>
                <w:b/>
                <w:szCs w:val="24"/>
              </w:rPr>
              <w:t>Name</w:t>
            </w:r>
          </w:p>
        </w:tc>
        <w:tc>
          <w:tcPr>
            <w:tcW w:w="5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57C399" w14:textId="77777777" w:rsidR="00157AAA" w:rsidRDefault="006C1BE5">
            <w:pPr>
              <w:spacing w:after="0"/>
              <w:jc w:val="left"/>
              <w:rPr>
                <w:b/>
                <w:szCs w:val="24"/>
              </w:rPr>
            </w:pPr>
            <w:r>
              <w:rPr>
                <w:b/>
                <w:szCs w:val="24"/>
              </w:rPr>
              <w:t>Description</w:t>
            </w:r>
          </w:p>
        </w:tc>
      </w:tr>
      <w:tr w:rsidR="00157AAA" w14:paraId="59D8AB5D" w14:textId="77777777" w:rsidTr="001136D3">
        <w:tc>
          <w:tcPr>
            <w:tcW w:w="1345" w:type="dxa"/>
            <w:tcBorders>
              <w:top w:val="single" w:sz="4" w:space="0" w:color="auto"/>
              <w:left w:val="single" w:sz="4" w:space="0" w:color="auto"/>
              <w:bottom w:val="single" w:sz="4" w:space="0" w:color="auto"/>
              <w:right w:val="single" w:sz="4" w:space="0" w:color="auto"/>
            </w:tcBorders>
          </w:tcPr>
          <w:p w14:paraId="452E7CD2" w14:textId="77777777" w:rsidR="00157AAA" w:rsidRDefault="006C1BE5">
            <w:pPr>
              <w:spacing w:after="0"/>
              <w:rPr>
                <w:szCs w:val="24"/>
              </w:rPr>
            </w:pPr>
            <w:r>
              <w:rPr>
                <w:szCs w:val="24"/>
              </w:rPr>
              <w:t>Start Event</w:t>
            </w:r>
          </w:p>
        </w:tc>
        <w:tc>
          <w:tcPr>
            <w:tcW w:w="2160" w:type="dxa"/>
            <w:tcBorders>
              <w:top w:val="single" w:sz="4" w:space="0" w:color="auto"/>
              <w:left w:val="single" w:sz="4" w:space="0" w:color="auto"/>
              <w:bottom w:val="single" w:sz="4" w:space="0" w:color="auto"/>
              <w:right w:val="single" w:sz="4" w:space="0" w:color="auto"/>
            </w:tcBorders>
          </w:tcPr>
          <w:p w14:paraId="237763E6" w14:textId="77777777" w:rsidR="00157AAA" w:rsidRDefault="006C1BE5">
            <w:pPr>
              <w:spacing w:after="0"/>
              <w:rPr>
                <w:szCs w:val="24"/>
              </w:rPr>
            </w:pPr>
            <w:r>
              <w:rPr>
                <w:szCs w:val="24"/>
              </w:rPr>
              <w:t>Right to Be Heard to be Processed</w:t>
            </w:r>
          </w:p>
        </w:tc>
        <w:tc>
          <w:tcPr>
            <w:tcW w:w="5850" w:type="dxa"/>
            <w:tcBorders>
              <w:top w:val="single" w:sz="4" w:space="0" w:color="auto"/>
              <w:left w:val="single" w:sz="4" w:space="0" w:color="auto"/>
              <w:bottom w:val="single" w:sz="4" w:space="0" w:color="auto"/>
              <w:right w:val="single" w:sz="4" w:space="0" w:color="auto"/>
            </w:tcBorders>
          </w:tcPr>
          <w:p w14:paraId="36403FB4"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process will be initiated whenever the Applicant has a right to be heard.</w:t>
            </w:r>
          </w:p>
        </w:tc>
      </w:tr>
      <w:tr w:rsidR="00157AAA" w14:paraId="5758D55C" w14:textId="77777777" w:rsidTr="001136D3">
        <w:tc>
          <w:tcPr>
            <w:tcW w:w="1345" w:type="dxa"/>
            <w:tcBorders>
              <w:top w:val="single" w:sz="4" w:space="0" w:color="auto"/>
              <w:left w:val="single" w:sz="4" w:space="0" w:color="auto"/>
              <w:bottom w:val="single" w:sz="4" w:space="0" w:color="auto"/>
              <w:right w:val="single" w:sz="4" w:space="0" w:color="auto"/>
            </w:tcBorders>
          </w:tcPr>
          <w:p w14:paraId="6832F9DB" w14:textId="77777777" w:rsidR="00157AAA" w:rsidRDefault="006C1BE5">
            <w:pPr>
              <w:spacing w:after="0"/>
              <w:rPr>
                <w:szCs w:val="24"/>
              </w:rPr>
            </w:pPr>
            <w:r>
              <w:rPr>
                <w:szCs w:val="24"/>
              </w:rPr>
              <w:t>Send Task</w:t>
            </w:r>
          </w:p>
        </w:tc>
        <w:tc>
          <w:tcPr>
            <w:tcW w:w="2160" w:type="dxa"/>
            <w:tcBorders>
              <w:top w:val="single" w:sz="4" w:space="0" w:color="auto"/>
              <w:left w:val="single" w:sz="4" w:space="0" w:color="auto"/>
              <w:bottom w:val="single" w:sz="4" w:space="0" w:color="auto"/>
              <w:right w:val="single" w:sz="4" w:space="0" w:color="auto"/>
            </w:tcBorders>
          </w:tcPr>
          <w:p w14:paraId="06A8360E" w14:textId="77777777" w:rsidR="00157AAA" w:rsidRDefault="006C1BE5">
            <w:pPr>
              <w:spacing w:after="0"/>
              <w:rPr>
                <w:szCs w:val="24"/>
              </w:rPr>
            </w:pPr>
            <w:r>
              <w:rPr>
                <w:szCs w:val="24"/>
              </w:rPr>
              <w:t>Notify EO about Grounds of Intended Decision</w:t>
            </w:r>
          </w:p>
        </w:tc>
        <w:tc>
          <w:tcPr>
            <w:tcW w:w="5850" w:type="dxa"/>
            <w:tcBorders>
              <w:top w:val="single" w:sz="4" w:space="0" w:color="auto"/>
              <w:left w:val="single" w:sz="4" w:space="0" w:color="auto"/>
              <w:bottom w:val="single" w:sz="4" w:space="0" w:color="auto"/>
              <w:right w:val="single" w:sz="4" w:space="0" w:color="auto"/>
            </w:tcBorders>
          </w:tcPr>
          <w:p w14:paraId="7E2E7559"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When the process is initiated, a notification is automatically sent to the EO notifying of the ground of the intended decision.</w:t>
            </w:r>
          </w:p>
        </w:tc>
      </w:tr>
      <w:tr w:rsidR="00157AAA" w14:paraId="02949F54" w14:textId="77777777" w:rsidTr="001136D3">
        <w:tc>
          <w:tcPr>
            <w:tcW w:w="1345" w:type="dxa"/>
            <w:tcBorders>
              <w:top w:val="single" w:sz="4" w:space="0" w:color="auto"/>
              <w:left w:val="single" w:sz="4" w:space="0" w:color="auto"/>
              <w:bottom w:val="single" w:sz="4" w:space="0" w:color="auto"/>
              <w:right w:val="single" w:sz="4" w:space="0" w:color="auto"/>
            </w:tcBorders>
          </w:tcPr>
          <w:p w14:paraId="05FE1858" w14:textId="77777777" w:rsidR="00157AAA" w:rsidRDefault="006C1BE5">
            <w:pPr>
              <w:spacing w:after="0"/>
              <w:rPr>
                <w:szCs w:val="24"/>
              </w:rPr>
            </w:pPr>
            <w:r>
              <w:rPr>
                <w:szCs w:val="24"/>
              </w:rPr>
              <w:t>Timer</w:t>
            </w:r>
          </w:p>
        </w:tc>
        <w:tc>
          <w:tcPr>
            <w:tcW w:w="2160" w:type="dxa"/>
            <w:tcBorders>
              <w:top w:val="single" w:sz="4" w:space="0" w:color="auto"/>
              <w:left w:val="single" w:sz="4" w:space="0" w:color="auto"/>
              <w:bottom w:val="single" w:sz="4" w:space="0" w:color="auto"/>
              <w:right w:val="single" w:sz="4" w:space="0" w:color="auto"/>
            </w:tcBorders>
          </w:tcPr>
          <w:p w14:paraId="7FF8AD59" w14:textId="77777777" w:rsidR="00157AAA" w:rsidRDefault="006C1BE5">
            <w:pPr>
              <w:spacing w:after="0"/>
              <w:rPr>
                <w:szCs w:val="24"/>
              </w:rPr>
            </w:pPr>
            <w:r>
              <w:rPr>
                <w:szCs w:val="24"/>
              </w:rPr>
              <w:t>Time Limit to Express Point of View Expires</w:t>
            </w:r>
          </w:p>
        </w:tc>
        <w:tc>
          <w:tcPr>
            <w:tcW w:w="5850" w:type="dxa"/>
            <w:tcBorders>
              <w:top w:val="single" w:sz="4" w:space="0" w:color="auto"/>
              <w:left w:val="single" w:sz="4" w:space="0" w:color="auto"/>
              <w:bottom w:val="single" w:sz="4" w:space="0" w:color="auto"/>
              <w:right w:val="single" w:sz="4" w:space="0" w:color="auto"/>
            </w:tcBorders>
          </w:tcPr>
          <w:p w14:paraId="021F372E"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This event indicates the expiry of the time limit to express point of view.</w:t>
            </w:r>
          </w:p>
        </w:tc>
      </w:tr>
      <w:tr w:rsidR="00157AAA" w14:paraId="6A2E8E6F" w14:textId="77777777" w:rsidTr="001136D3">
        <w:tc>
          <w:tcPr>
            <w:tcW w:w="1345" w:type="dxa"/>
            <w:tcBorders>
              <w:top w:val="single" w:sz="4" w:space="0" w:color="auto"/>
              <w:left w:val="single" w:sz="4" w:space="0" w:color="auto"/>
              <w:bottom w:val="single" w:sz="4" w:space="0" w:color="auto"/>
              <w:right w:val="single" w:sz="4" w:space="0" w:color="auto"/>
            </w:tcBorders>
          </w:tcPr>
          <w:p w14:paraId="1AB1152A" w14:textId="77777777" w:rsidR="00157AAA" w:rsidRDefault="006C1BE5">
            <w:pPr>
              <w:spacing w:after="0"/>
              <w:rPr>
                <w:szCs w:val="24"/>
              </w:rPr>
            </w:pPr>
            <w:r>
              <w:rPr>
                <w:szCs w:val="24"/>
              </w:rPr>
              <w:t>Service Task</w:t>
            </w:r>
          </w:p>
        </w:tc>
        <w:tc>
          <w:tcPr>
            <w:tcW w:w="2160" w:type="dxa"/>
            <w:tcBorders>
              <w:top w:val="single" w:sz="4" w:space="0" w:color="auto"/>
              <w:left w:val="single" w:sz="4" w:space="0" w:color="auto"/>
              <w:bottom w:val="single" w:sz="4" w:space="0" w:color="auto"/>
              <w:right w:val="single" w:sz="4" w:space="0" w:color="auto"/>
            </w:tcBorders>
          </w:tcPr>
          <w:p w14:paraId="1685A6DA" w14:textId="77777777" w:rsidR="00157AAA" w:rsidRDefault="006C1BE5">
            <w:pPr>
              <w:spacing w:after="0"/>
              <w:rPr>
                <w:szCs w:val="24"/>
              </w:rPr>
            </w:pPr>
            <w:r>
              <w:rPr>
                <w:szCs w:val="24"/>
              </w:rPr>
              <w:t>Extend Time Limit to Take Decision</w:t>
            </w:r>
          </w:p>
        </w:tc>
        <w:tc>
          <w:tcPr>
            <w:tcW w:w="5850" w:type="dxa"/>
            <w:tcBorders>
              <w:top w:val="single" w:sz="4" w:space="0" w:color="auto"/>
              <w:left w:val="single" w:sz="4" w:space="0" w:color="auto"/>
              <w:bottom w:val="single" w:sz="4" w:space="0" w:color="auto"/>
              <w:right w:val="single" w:sz="4" w:space="0" w:color="auto"/>
            </w:tcBorders>
          </w:tcPr>
          <w:p w14:paraId="205EA6B7"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When the notification has been sent to the applicant, a time limit to express the point of view </w:t>
            </w:r>
            <w:proofErr w:type="gramStart"/>
            <w:r>
              <w:rPr>
                <w:rFonts w:ascii="Times New Roman" w:hAnsi="Times New Roman" w:cs="Times New Roman"/>
              </w:rPr>
              <w:t>by</w:t>
            </w:r>
            <w:proofErr w:type="gramEnd"/>
            <w:r>
              <w:rPr>
                <w:rFonts w:ascii="Times New Roman" w:hAnsi="Times New Roman" w:cs="Times New Roman"/>
              </w:rPr>
              <w:t xml:space="preserve"> the applicant is automatically started. </w:t>
            </w:r>
            <w:proofErr w:type="gramStart"/>
            <w:r>
              <w:rPr>
                <w:rFonts w:ascii="Times New Roman" w:hAnsi="Times New Roman" w:cs="Times New Roman"/>
              </w:rPr>
              <w:t>This</w:t>
            </w:r>
            <w:proofErr w:type="gramEnd"/>
            <w:r>
              <w:rPr>
                <w:rFonts w:ascii="Times New Roman" w:hAnsi="Times New Roman" w:cs="Times New Roman"/>
              </w:rPr>
              <w:t xml:space="preserve"> time limit expiry date is the date upon which the </w:t>
            </w:r>
            <w:proofErr w:type="gramStart"/>
            <w:r>
              <w:rPr>
                <w:rFonts w:ascii="Times New Roman" w:hAnsi="Times New Roman" w:cs="Times New Roman"/>
              </w:rPr>
              <w:t>grounds</w:t>
            </w:r>
            <w:proofErr w:type="gramEnd"/>
            <w:r>
              <w:rPr>
                <w:rFonts w:ascii="Times New Roman" w:hAnsi="Times New Roman" w:cs="Times New Roman"/>
              </w:rPr>
              <w:t xml:space="preserve"> of intended decision is communicated. Within this time limit the Point of View of the applicant must be received, otherwise it </w:t>
            </w:r>
            <w:proofErr w:type="gramStart"/>
            <w:r>
              <w:rPr>
                <w:rFonts w:ascii="Times New Roman" w:hAnsi="Times New Roman" w:cs="Times New Roman"/>
              </w:rPr>
              <w:t>expires</w:t>
            </w:r>
            <w:proofErr w:type="gramEnd"/>
            <w:r>
              <w:rPr>
                <w:rFonts w:ascii="Times New Roman" w:hAnsi="Times New Roman" w:cs="Times New Roman"/>
              </w:rPr>
              <w:t xml:space="preserve"> and no point of view will be recorded.</w:t>
            </w:r>
          </w:p>
        </w:tc>
      </w:tr>
      <w:tr w:rsidR="00157AAA" w14:paraId="31D3243C" w14:textId="77777777" w:rsidTr="001136D3">
        <w:tc>
          <w:tcPr>
            <w:tcW w:w="1345" w:type="dxa"/>
            <w:tcBorders>
              <w:top w:val="single" w:sz="4" w:space="0" w:color="auto"/>
              <w:left w:val="single" w:sz="4" w:space="0" w:color="auto"/>
              <w:bottom w:val="single" w:sz="4" w:space="0" w:color="auto"/>
              <w:right w:val="single" w:sz="4" w:space="0" w:color="auto"/>
            </w:tcBorders>
          </w:tcPr>
          <w:p w14:paraId="171B399E" w14:textId="77777777" w:rsidR="00157AAA" w:rsidRDefault="006C1BE5">
            <w:pPr>
              <w:spacing w:after="0"/>
              <w:rPr>
                <w:szCs w:val="24"/>
              </w:rPr>
            </w:pPr>
            <w:r>
              <w:rPr>
                <w:szCs w:val="24"/>
              </w:rPr>
              <w:t>Send Task</w:t>
            </w:r>
          </w:p>
        </w:tc>
        <w:tc>
          <w:tcPr>
            <w:tcW w:w="2160" w:type="dxa"/>
            <w:tcBorders>
              <w:top w:val="single" w:sz="4" w:space="0" w:color="auto"/>
              <w:left w:val="single" w:sz="4" w:space="0" w:color="auto"/>
              <w:bottom w:val="single" w:sz="4" w:space="0" w:color="auto"/>
              <w:right w:val="single" w:sz="4" w:space="0" w:color="auto"/>
            </w:tcBorders>
          </w:tcPr>
          <w:p w14:paraId="0A7E12CE" w14:textId="77777777" w:rsidR="00157AAA" w:rsidRDefault="006C1BE5">
            <w:pPr>
              <w:spacing w:after="0"/>
              <w:rPr>
                <w:szCs w:val="24"/>
              </w:rPr>
            </w:pPr>
            <w:r>
              <w:rPr>
                <w:szCs w:val="24"/>
              </w:rPr>
              <w:t>Notify EO about the Extension of Time Limit to Take Decision</w:t>
            </w:r>
          </w:p>
        </w:tc>
        <w:tc>
          <w:tcPr>
            <w:tcW w:w="5850" w:type="dxa"/>
            <w:tcBorders>
              <w:top w:val="single" w:sz="4" w:space="0" w:color="auto"/>
              <w:left w:val="single" w:sz="4" w:space="0" w:color="auto"/>
              <w:bottom w:val="single" w:sz="4" w:space="0" w:color="auto"/>
              <w:right w:val="single" w:sz="4" w:space="0" w:color="auto"/>
            </w:tcBorders>
          </w:tcPr>
          <w:p w14:paraId="21A4295A"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When the requested extension has been accepted, a notification IE is automatically sent to the applicant with the parameters of the extension of the time limit (the reasons and the further </w:t>
            </w:r>
            <w:proofErr w:type="gramStart"/>
            <w:r>
              <w:rPr>
                <w:rFonts w:ascii="Times New Roman" w:hAnsi="Times New Roman" w:cs="Times New Roman"/>
              </w:rPr>
              <w:t>period of time</w:t>
            </w:r>
            <w:proofErr w:type="gramEnd"/>
            <w:r>
              <w:rPr>
                <w:rFonts w:ascii="Times New Roman" w:hAnsi="Times New Roman" w:cs="Times New Roman"/>
              </w:rPr>
              <w:t xml:space="preserve">). </w:t>
            </w:r>
          </w:p>
        </w:tc>
      </w:tr>
      <w:tr w:rsidR="00157AAA" w14:paraId="4AF664CA" w14:textId="77777777" w:rsidTr="001136D3">
        <w:tc>
          <w:tcPr>
            <w:tcW w:w="1345" w:type="dxa"/>
            <w:tcBorders>
              <w:top w:val="single" w:sz="4" w:space="0" w:color="auto"/>
              <w:left w:val="single" w:sz="4" w:space="0" w:color="auto"/>
              <w:bottom w:val="single" w:sz="4" w:space="0" w:color="auto"/>
              <w:right w:val="single" w:sz="4" w:space="0" w:color="auto"/>
            </w:tcBorders>
          </w:tcPr>
          <w:p w14:paraId="0C21D0AA" w14:textId="77777777" w:rsidR="00157AAA" w:rsidRDefault="006C1BE5">
            <w:pPr>
              <w:spacing w:after="0"/>
              <w:rPr>
                <w:szCs w:val="24"/>
              </w:rPr>
            </w:pPr>
            <w:r>
              <w:rPr>
                <w:szCs w:val="24"/>
              </w:rPr>
              <w:t>Message Event</w:t>
            </w:r>
          </w:p>
        </w:tc>
        <w:tc>
          <w:tcPr>
            <w:tcW w:w="2160" w:type="dxa"/>
            <w:tcBorders>
              <w:top w:val="single" w:sz="4" w:space="0" w:color="auto"/>
              <w:left w:val="single" w:sz="4" w:space="0" w:color="auto"/>
              <w:bottom w:val="single" w:sz="4" w:space="0" w:color="auto"/>
              <w:right w:val="single" w:sz="4" w:space="0" w:color="auto"/>
            </w:tcBorders>
          </w:tcPr>
          <w:p w14:paraId="084ECC73" w14:textId="77777777" w:rsidR="00157AAA" w:rsidRDefault="006C1BE5">
            <w:pPr>
              <w:spacing w:after="0"/>
              <w:rPr>
                <w:szCs w:val="24"/>
              </w:rPr>
            </w:pPr>
            <w:r>
              <w:rPr>
                <w:szCs w:val="24"/>
              </w:rPr>
              <w:t>Receive Point of View</w:t>
            </w:r>
          </w:p>
        </w:tc>
        <w:tc>
          <w:tcPr>
            <w:tcW w:w="5850" w:type="dxa"/>
            <w:tcBorders>
              <w:top w:val="single" w:sz="4" w:space="0" w:color="auto"/>
              <w:left w:val="single" w:sz="4" w:space="0" w:color="auto"/>
              <w:bottom w:val="single" w:sz="4" w:space="0" w:color="auto"/>
              <w:right w:val="single" w:sz="4" w:space="0" w:color="auto"/>
            </w:tcBorders>
          </w:tcPr>
          <w:p w14:paraId="5205FE37"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system receives </w:t>
            </w:r>
            <w:proofErr w:type="gramStart"/>
            <w:r>
              <w:rPr>
                <w:rFonts w:ascii="Times New Roman" w:hAnsi="Times New Roman" w:cs="Times New Roman"/>
              </w:rPr>
              <w:t>the</w:t>
            </w:r>
            <w:proofErr w:type="gramEnd"/>
            <w:r>
              <w:rPr>
                <w:rFonts w:ascii="Times New Roman" w:hAnsi="Times New Roman" w:cs="Times New Roman"/>
              </w:rPr>
              <w:t xml:space="preserve"> message from the applicant where he expresses his point of view. This point of view must be received before the end of the legal time limit.</w:t>
            </w:r>
          </w:p>
        </w:tc>
      </w:tr>
      <w:tr w:rsidR="00157AAA" w14:paraId="2EE4A276" w14:textId="77777777" w:rsidTr="001136D3">
        <w:tc>
          <w:tcPr>
            <w:tcW w:w="1345" w:type="dxa"/>
            <w:tcBorders>
              <w:top w:val="single" w:sz="4" w:space="0" w:color="auto"/>
              <w:left w:val="single" w:sz="4" w:space="0" w:color="auto"/>
              <w:bottom w:val="single" w:sz="4" w:space="0" w:color="auto"/>
              <w:right w:val="single" w:sz="4" w:space="0" w:color="auto"/>
            </w:tcBorders>
          </w:tcPr>
          <w:p w14:paraId="698566EE" w14:textId="77777777" w:rsidR="00157AAA" w:rsidRDefault="006C1BE5">
            <w:pPr>
              <w:spacing w:after="0"/>
              <w:rPr>
                <w:szCs w:val="24"/>
              </w:rPr>
            </w:pPr>
            <w:r>
              <w:rPr>
                <w:szCs w:val="24"/>
              </w:rPr>
              <w:lastRenderedPageBreak/>
              <w:t>Send Task</w:t>
            </w:r>
          </w:p>
        </w:tc>
        <w:tc>
          <w:tcPr>
            <w:tcW w:w="2160" w:type="dxa"/>
            <w:tcBorders>
              <w:top w:val="single" w:sz="4" w:space="0" w:color="auto"/>
              <w:left w:val="single" w:sz="4" w:space="0" w:color="auto"/>
              <w:bottom w:val="single" w:sz="4" w:space="0" w:color="auto"/>
              <w:right w:val="single" w:sz="4" w:space="0" w:color="auto"/>
            </w:tcBorders>
          </w:tcPr>
          <w:p w14:paraId="3DCAB897" w14:textId="77777777" w:rsidR="00157AAA" w:rsidRDefault="006C1BE5">
            <w:pPr>
              <w:spacing w:after="0"/>
              <w:rPr>
                <w:szCs w:val="24"/>
              </w:rPr>
            </w:pPr>
            <w:r>
              <w:rPr>
                <w:szCs w:val="24"/>
              </w:rPr>
              <w:t>Notify EO about Message Reception</w:t>
            </w:r>
          </w:p>
        </w:tc>
        <w:tc>
          <w:tcPr>
            <w:tcW w:w="5850" w:type="dxa"/>
            <w:tcBorders>
              <w:top w:val="single" w:sz="4" w:space="0" w:color="auto"/>
              <w:left w:val="single" w:sz="4" w:space="0" w:color="auto"/>
              <w:bottom w:val="single" w:sz="4" w:space="0" w:color="auto"/>
              <w:right w:val="single" w:sz="4" w:space="0" w:color="auto"/>
            </w:tcBorders>
          </w:tcPr>
          <w:p w14:paraId="25184390"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A notification will automatically be sent to the EO to notify the reception of the information.  </w:t>
            </w:r>
          </w:p>
        </w:tc>
      </w:tr>
      <w:tr w:rsidR="00157AAA" w14:paraId="57E670C4" w14:textId="77777777" w:rsidTr="001136D3">
        <w:tc>
          <w:tcPr>
            <w:tcW w:w="1345" w:type="dxa"/>
            <w:tcBorders>
              <w:top w:val="single" w:sz="4" w:space="0" w:color="auto"/>
              <w:left w:val="single" w:sz="4" w:space="0" w:color="auto"/>
              <w:bottom w:val="single" w:sz="4" w:space="0" w:color="auto"/>
              <w:right w:val="single" w:sz="4" w:space="0" w:color="auto"/>
            </w:tcBorders>
          </w:tcPr>
          <w:p w14:paraId="143956B8" w14:textId="77777777" w:rsidR="00157AAA" w:rsidRDefault="006C1BE5">
            <w:pPr>
              <w:spacing w:after="0"/>
              <w:rPr>
                <w:szCs w:val="24"/>
              </w:rPr>
            </w:pPr>
            <w:r>
              <w:rPr>
                <w:szCs w:val="24"/>
              </w:rPr>
              <w:t>Service Task</w:t>
            </w:r>
          </w:p>
        </w:tc>
        <w:tc>
          <w:tcPr>
            <w:tcW w:w="2160" w:type="dxa"/>
            <w:tcBorders>
              <w:top w:val="single" w:sz="4" w:space="0" w:color="auto"/>
              <w:left w:val="single" w:sz="4" w:space="0" w:color="auto"/>
              <w:bottom w:val="single" w:sz="4" w:space="0" w:color="auto"/>
              <w:right w:val="single" w:sz="4" w:space="0" w:color="auto"/>
            </w:tcBorders>
          </w:tcPr>
          <w:p w14:paraId="76C0A01D" w14:textId="77777777" w:rsidR="00157AAA" w:rsidRDefault="006C1BE5">
            <w:pPr>
              <w:spacing w:after="0"/>
              <w:rPr>
                <w:szCs w:val="24"/>
              </w:rPr>
            </w:pPr>
            <w:r>
              <w:rPr>
                <w:szCs w:val="24"/>
              </w:rPr>
              <w:t>Identify whether Applicant Intends to Further Express Point of View</w:t>
            </w:r>
          </w:p>
        </w:tc>
        <w:tc>
          <w:tcPr>
            <w:tcW w:w="5850" w:type="dxa"/>
            <w:tcBorders>
              <w:top w:val="single" w:sz="4" w:space="0" w:color="auto"/>
              <w:left w:val="single" w:sz="4" w:space="0" w:color="auto"/>
              <w:bottom w:val="single" w:sz="4" w:space="0" w:color="auto"/>
              <w:right w:val="single" w:sz="4" w:space="0" w:color="auto"/>
            </w:tcBorders>
          </w:tcPr>
          <w:p w14:paraId="56CB7F7B"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will automatically identify if, based on the received IE message, the applicant has expressed a desire to further express his point of view. In that case, the system will wait for a second IE message (additional point of view). If not, the process continues and stops the timer to express the point of view.</w:t>
            </w:r>
          </w:p>
        </w:tc>
      </w:tr>
      <w:tr w:rsidR="00157AAA" w14:paraId="5BB3F340" w14:textId="77777777" w:rsidTr="001136D3">
        <w:tc>
          <w:tcPr>
            <w:tcW w:w="1345" w:type="dxa"/>
            <w:tcBorders>
              <w:top w:val="single" w:sz="4" w:space="0" w:color="auto"/>
              <w:left w:val="single" w:sz="4" w:space="0" w:color="auto"/>
              <w:bottom w:val="single" w:sz="4" w:space="0" w:color="auto"/>
              <w:right w:val="single" w:sz="4" w:space="0" w:color="auto"/>
            </w:tcBorders>
          </w:tcPr>
          <w:p w14:paraId="3E80FC4D" w14:textId="77777777" w:rsidR="00157AAA" w:rsidRDefault="006C1BE5">
            <w:pPr>
              <w:spacing w:after="0"/>
              <w:rPr>
                <w:szCs w:val="24"/>
              </w:rPr>
            </w:pPr>
            <w:r>
              <w:rPr>
                <w:szCs w:val="24"/>
              </w:rPr>
              <w:t>Message Event</w:t>
            </w:r>
          </w:p>
        </w:tc>
        <w:tc>
          <w:tcPr>
            <w:tcW w:w="2160" w:type="dxa"/>
            <w:tcBorders>
              <w:top w:val="single" w:sz="4" w:space="0" w:color="auto"/>
              <w:left w:val="single" w:sz="4" w:space="0" w:color="auto"/>
              <w:bottom w:val="single" w:sz="4" w:space="0" w:color="auto"/>
              <w:right w:val="single" w:sz="4" w:space="0" w:color="auto"/>
            </w:tcBorders>
          </w:tcPr>
          <w:p w14:paraId="755BDB6E" w14:textId="77777777" w:rsidR="00157AAA" w:rsidRDefault="006C1BE5">
            <w:pPr>
              <w:spacing w:after="0"/>
              <w:rPr>
                <w:szCs w:val="24"/>
              </w:rPr>
            </w:pPr>
            <w:r>
              <w:rPr>
                <w:szCs w:val="24"/>
              </w:rPr>
              <w:t>Receive Additional   Point of View</w:t>
            </w:r>
          </w:p>
        </w:tc>
        <w:tc>
          <w:tcPr>
            <w:tcW w:w="5850" w:type="dxa"/>
            <w:tcBorders>
              <w:top w:val="single" w:sz="4" w:space="0" w:color="auto"/>
              <w:left w:val="single" w:sz="4" w:space="0" w:color="auto"/>
              <w:bottom w:val="single" w:sz="4" w:space="0" w:color="auto"/>
              <w:right w:val="single" w:sz="4" w:space="0" w:color="auto"/>
            </w:tcBorders>
          </w:tcPr>
          <w:p w14:paraId="5FFDF369" w14:textId="77777777" w:rsidR="00157AAA" w:rsidRDefault="006C1BE5">
            <w:pPr>
              <w:spacing w:after="0"/>
              <w:rPr>
                <w:szCs w:val="24"/>
              </w:rPr>
            </w:pPr>
            <w:r>
              <w:rPr>
                <w:szCs w:val="24"/>
              </w:rPr>
              <w:t xml:space="preserve">The system receives the additional message from the applicant where he expresses his point of view. </w:t>
            </w:r>
          </w:p>
          <w:p w14:paraId="2C6FE514" w14:textId="77777777" w:rsidR="00157AAA" w:rsidRDefault="00157AAA">
            <w:pPr>
              <w:pStyle w:val="NormalWeb"/>
              <w:spacing w:before="0" w:beforeAutospacing="0" w:after="0" w:afterAutospacing="0"/>
              <w:rPr>
                <w:rFonts w:ascii="Times New Roman" w:hAnsi="Times New Roman" w:cs="Times New Roman"/>
              </w:rPr>
            </w:pPr>
          </w:p>
        </w:tc>
      </w:tr>
      <w:tr w:rsidR="00157AAA" w14:paraId="61A0D445" w14:textId="77777777" w:rsidTr="001136D3">
        <w:tc>
          <w:tcPr>
            <w:tcW w:w="1345" w:type="dxa"/>
            <w:tcBorders>
              <w:top w:val="single" w:sz="4" w:space="0" w:color="auto"/>
              <w:left w:val="single" w:sz="4" w:space="0" w:color="auto"/>
              <w:bottom w:val="single" w:sz="4" w:space="0" w:color="auto"/>
              <w:right w:val="single" w:sz="4" w:space="0" w:color="auto"/>
            </w:tcBorders>
          </w:tcPr>
          <w:p w14:paraId="2187C6ED" w14:textId="77777777" w:rsidR="00157AAA" w:rsidRDefault="006C1BE5">
            <w:pPr>
              <w:spacing w:after="0"/>
              <w:rPr>
                <w:szCs w:val="24"/>
              </w:rPr>
            </w:pPr>
            <w:r>
              <w:rPr>
                <w:szCs w:val="24"/>
              </w:rPr>
              <w:t>Service Task</w:t>
            </w:r>
          </w:p>
        </w:tc>
        <w:tc>
          <w:tcPr>
            <w:tcW w:w="2160" w:type="dxa"/>
            <w:tcBorders>
              <w:top w:val="single" w:sz="4" w:space="0" w:color="auto"/>
              <w:left w:val="single" w:sz="4" w:space="0" w:color="auto"/>
              <w:bottom w:val="single" w:sz="4" w:space="0" w:color="auto"/>
              <w:right w:val="single" w:sz="4" w:space="0" w:color="auto"/>
            </w:tcBorders>
          </w:tcPr>
          <w:p w14:paraId="70E7426B" w14:textId="77777777" w:rsidR="00157AAA" w:rsidRDefault="006C1BE5">
            <w:pPr>
              <w:spacing w:after="0"/>
              <w:rPr>
                <w:szCs w:val="24"/>
              </w:rPr>
            </w:pPr>
            <w:r>
              <w:rPr>
                <w:szCs w:val="24"/>
              </w:rPr>
              <w:t>Stop Timer to Express Point of View</w:t>
            </w:r>
          </w:p>
        </w:tc>
        <w:tc>
          <w:tcPr>
            <w:tcW w:w="5850" w:type="dxa"/>
            <w:tcBorders>
              <w:top w:val="single" w:sz="4" w:space="0" w:color="auto"/>
              <w:left w:val="single" w:sz="4" w:space="0" w:color="auto"/>
              <w:bottom w:val="single" w:sz="4" w:space="0" w:color="auto"/>
              <w:right w:val="single" w:sz="4" w:space="0" w:color="auto"/>
            </w:tcBorders>
          </w:tcPr>
          <w:p w14:paraId="72EBF848" w14:textId="77777777" w:rsidR="00157AAA" w:rsidRDefault="006C1BE5">
            <w:pPr>
              <w:spacing w:after="0"/>
              <w:rPr>
                <w:szCs w:val="24"/>
              </w:rPr>
            </w:pPr>
            <w:r>
              <w:rPr>
                <w:szCs w:val="24"/>
              </w:rPr>
              <w:t>Following the receipt of point of view information and additional point of view information (where supplied) from an applicant, the time limit within which a point of view can be expressed is stopped.</w:t>
            </w:r>
          </w:p>
        </w:tc>
      </w:tr>
      <w:tr w:rsidR="00157AAA" w14:paraId="4E740674" w14:textId="77777777" w:rsidTr="001136D3">
        <w:tc>
          <w:tcPr>
            <w:tcW w:w="1345" w:type="dxa"/>
            <w:tcBorders>
              <w:top w:val="single" w:sz="4" w:space="0" w:color="auto"/>
              <w:left w:val="single" w:sz="4" w:space="0" w:color="auto"/>
              <w:bottom w:val="single" w:sz="4" w:space="0" w:color="auto"/>
              <w:right w:val="single" w:sz="4" w:space="0" w:color="auto"/>
            </w:tcBorders>
          </w:tcPr>
          <w:p w14:paraId="71FC4D7B" w14:textId="77777777" w:rsidR="00157AAA" w:rsidRDefault="006C1BE5">
            <w:pPr>
              <w:spacing w:after="0"/>
              <w:rPr>
                <w:szCs w:val="24"/>
              </w:rPr>
            </w:pPr>
            <w:r>
              <w:rPr>
                <w:szCs w:val="24"/>
              </w:rPr>
              <w:t>Service Task</w:t>
            </w:r>
          </w:p>
        </w:tc>
        <w:tc>
          <w:tcPr>
            <w:tcW w:w="2160" w:type="dxa"/>
            <w:tcBorders>
              <w:top w:val="single" w:sz="4" w:space="0" w:color="auto"/>
              <w:left w:val="single" w:sz="4" w:space="0" w:color="auto"/>
              <w:bottom w:val="single" w:sz="4" w:space="0" w:color="auto"/>
              <w:right w:val="single" w:sz="4" w:space="0" w:color="auto"/>
            </w:tcBorders>
          </w:tcPr>
          <w:p w14:paraId="77354F88" w14:textId="77777777" w:rsidR="00157AAA" w:rsidRDefault="006C1BE5">
            <w:pPr>
              <w:spacing w:after="0"/>
              <w:rPr>
                <w:szCs w:val="24"/>
              </w:rPr>
            </w:pPr>
            <w:r>
              <w:rPr>
                <w:szCs w:val="24"/>
              </w:rPr>
              <w:t>Record Expiry of Time Limit to Express Point of View</w:t>
            </w:r>
          </w:p>
        </w:tc>
        <w:tc>
          <w:tcPr>
            <w:tcW w:w="5850" w:type="dxa"/>
            <w:tcBorders>
              <w:top w:val="single" w:sz="4" w:space="0" w:color="auto"/>
              <w:left w:val="single" w:sz="4" w:space="0" w:color="auto"/>
              <w:bottom w:val="single" w:sz="4" w:space="0" w:color="auto"/>
              <w:right w:val="single" w:sz="4" w:space="0" w:color="auto"/>
            </w:tcBorders>
          </w:tcPr>
          <w:p w14:paraId="53390B51" w14:textId="77777777" w:rsidR="00157AAA" w:rsidRDefault="006C1BE5">
            <w:pPr>
              <w:spacing w:after="0"/>
              <w:rPr>
                <w:szCs w:val="24"/>
              </w:rPr>
            </w:pPr>
            <w:r>
              <w:rPr>
                <w:szCs w:val="24"/>
              </w:rPr>
              <w:t>When the time limit to express point of view expired, this is recorded in the system.</w:t>
            </w:r>
          </w:p>
        </w:tc>
      </w:tr>
      <w:tr w:rsidR="00157AAA" w14:paraId="67770865" w14:textId="77777777" w:rsidTr="001136D3">
        <w:tc>
          <w:tcPr>
            <w:tcW w:w="1345" w:type="dxa"/>
            <w:tcBorders>
              <w:top w:val="single" w:sz="4" w:space="0" w:color="auto"/>
              <w:left w:val="single" w:sz="4" w:space="0" w:color="auto"/>
              <w:bottom w:val="single" w:sz="4" w:space="0" w:color="auto"/>
              <w:right w:val="single" w:sz="4" w:space="0" w:color="auto"/>
            </w:tcBorders>
          </w:tcPr>
          <w:p w14:paraId="54287CC9" w14:textId="77777777" w:rsidR="00157AAA" w:rsidRDefault="006C1BE5">
            <w:pPr>
              <w:spacing w:after="0"/>
              <w:rPr>
                <w:szCs w:val="24"/>
              </w:rPr>
            </w:pPr>
            <w:r>
              <w:rPr>
                <w:szCs w:val="24"/>
              </w:rPr>
              <w:t>Service Task</w:t>
            </w:r>
          </w:p>
        </w:tc>
        <w:tc>
          <w:tcPr>
            <w:tcW w:w="2160" w:type="dxa"/>
            <w:tcBorders>
              <w:top w:val="single" w:sz="4" w:space="0" w:color="auto"/>
              <w:left w:val="single" w:sz="4" w:space="0" w:color="auto"/>
              <w:bottom w:val="single" w:sz="4" w:space="0" w:color="auto"/>
              <w:right w:val="single" w:sz="4" w:space="0" w:color="auto"/>
            </w:tcBorders>
          </w:tcPr>
          <w:p w14:paraId="30481365" w14:textId="77777777" w:rsidR="00157AAA" w:rsidRDefault="006C1BE5">
            <w:pPr>
              <w:spacing w:after="0"/>
              <w:rPr>
                <w:szCs w:val="24"/>
              </w:rPr>
            </w:pPr>
            <w:r>
              <w:rPr>
                <w:szCs w:val="24"/>
              </w:rPr>
              <w:t>Record the results of RTBH</w:t>
            </w:r>
          </w:p>
        </w:tc>
        <w:tc>
          <w:tcPr>
            <w:tcW w:w="5850" w:type="dxa"/>
            <w:tcBorders>
              <w:top w:val="single" w:sz="4" w:space="0" w:color="auto"/>
              <w:left w:val="single" w:sz="4" w:space="0" w:color="auto"/>
              <w:bottom w:val="single" w:sz="4" w:space="0" w:color="auto"/>
              <w:right w:val="single" w:sz="4" w:space="0" w:color="auto"/>
            </w:tcBorders>
          </w:tcPr>
          <w:p w14:paraId="581CE481" w14:textId="77777777" w:rsidR="00157AAA" w:rsidRDefault="006C1BE5">
            <w:pPr>
              <w:spacing w:after="0"/>
              <w:rPr>
                <w:szCs w:val="24"/>
              </w:rPr>
            </w:pPr>
            <w:r>
              <w:rPr>
                <w:szCs w:val="24"/>
              </w:rPr>
              <w:t>When the point of view is received, the data elements will automatically be recorded in the System.</w:t>
            </w:r>
          </w:p>
        </w:tc>
      </w:tr>
      <w:tr w:rsidR="00157AAA" w14:paraId="02D3DFB3" w14:textId="77777777" w:rsidTr="001136D3">
        <w:tc>
          <w:tcPr>
            <w:tcW w:w="1345" w:type="dxa"/>
            <w:tcBorders>
              <w:top w:val="single" w:sz="4" w:space="0" w:color="auto"/>
              <w:left w:val="single" w:sz="4" w:space="0" w:color="auto"/>
              <w:bottom w:val="single" w:sz="4" w:space="0" w:color="auto"/>
              <w:right w:val="single" w:sz="4" w:space="0" w:color="auto"/>
            </w:tcBorders>
          </w:tcPr>
          <w:p w14:paraId="5C89FB3B" w14:textId="77777777" w:rsidR="00157AAA" w:rsidRDefault="006C1BE5">
            <w:pPr>
              <w:spacing w:after="0"/>
              <w:rPr>
                <w:szCs w:val="24"/>
              </w:rPr>
            </w:pPr>
            <w:r>
              <w:rPr>
                <w:szCs w:val="24"/>
              </w:rPr>
              <w:t>End Event</w:t>
            </w:r>
          </w:p>
        </w:tc>
        <w:tc>
          <w:tcPr>
            <w:tcW w:w="2160" w:type="dxa"/>
            <w:tcBorders>
              <w:top w:val="single" w:sz="4" w:space="0" w:color="auto"/>
              <w:left w:val="single" w:sz="4" w:space="0" w:color="auto"/>
              <w:bottom w:val="single" w:sz="4" w:space="0" w:color="auto"/>
              <w:right w:val="single" w:sz="4" w:space="0" w:color="auto"/>
            </w:tcBorders>
          </w:tcPr>
          <w:p w14:paraId="3477FFE5" w14:textId="77777777" w:rsidR="00157AAA" w:rsidRDefault="006C1BE5">
            <w:pPr>
              <w:spacing w:after="0"/>
              <w:rPr>
                <w:szCs w:val="24"/>
              </w:rPr>
            </w:pPr>
            <w:r>
              <w:rPr>
                <w:szCs w:val="24"/>
              </w:rPr>
              <w:t>Right to be heard processed</w:t>
            </w:r>
          </w:p>
        </w:tc>
        <w:tc>
          <w:tcPr>
            <w:tcW w:w="5850" w:type="dxa"/>
            <w:tcBorders>
              <w:top w:val="single" w:sz="4" w:space="0" w:color="auto"/>
              <w:left w:val="single" w:sz="4" w:space="0" w:color="auto"/>
              <w:bottom w:val="single" w:sz="4" w:space="0" w:color="auto"/>
              <w:right w:val="single" w:sz="4" w:space="0" w:color="auto"/>
            </w:tcBorders>
          </w:tcPr>
          <w:p w14:paraId="7AA0B886" w14:textId="77777777" w:rsidR="00157AAA" w:rsidRDefault="006C1BE5">
            <w:pPr>
              <w:spacing w:after="0"/>
              <w:rPr>
                <w:szCs w:val="24"/>
              </w:rPr>
            </w:pPr>
            <w:r>
              <w:rPr>
                <w:szCs w:val="24"/>
              </w:rPr>
              <w:t xml:space="preserve">The process ends here when the timer to express point of view </w:t>
            </w:r>
            <w:proofErr w:type="gramStart"/>
            <w:r>
              <w:rPr>
                <w:szCs w:val="24"/>
              </w:rPr>
              <w:t>expired</w:t>
            </w:r>
            <w:proofErr w:type="gramEnd"/>
            <w:r>
              <w:rPr>
                <w:szCs w:val="24"/>
              </w:rPr>
              <w:t xml:space="preserve"> or a point of view is received.</w:t>
            </w:r>
          </w:p>
        </w:tc>
      </w:tr>
    </w:tbl>
    <w:p w14:paraId="1539829D" w14:textId="77777777" w:rsidR="00157AAA" w:rsidRDefault="00157AAA">
      <w:pPr>
        <w:rPr>
          <w:sz w:val="16"/>
          <w:szCs w:val="16"/>
        </w:rPr>
      </w:pPr>
    </w:p>
    <w:p w14:paraId="5A54776F" w14:textId="77777777" w:rsidR="00157AAA" w:rsidRDefault="006C1BE5">
      <w:pPr>
        <w:rPr>
          <w:b/>
          <w:i/>
        </w:rPr>
      </w:pPr>
      <w:r>
        <w:rPr>
          <w:b/>
        </w:rPr>
        <w:t>Functional Requirements:</w:t>
      </w:r>
    </w:p>
    <w:p w14:paraId="7576C938" w14:textId="77777777" w:rsidR="00157AAA" w:rsidRDefault="00157AAA">
      <w:pPr>
        <w:spacing w:after="0"/>
        <w:rPr>
          <w:sz w:val="16"/>
          <w:szCs w:val="16"/>
        </w:rPr>
      </w:pPr>
    </w:p>
    <w:tbl>
      <w:tblPr>
        <w:tblStyle w:val="TableGrid"/>
        <w:tblW w:w="9265" w:type="dxa"/>
        <w:tblLook w:val="04A0" w:firstRow="1" w:lastRow="0" w:firstColumn="1" w:lastColumn="0" w:noHBand="0" w:noVBand="1"/>
      </w:tblPr>
      <w:tblGrid>
        <w:gridCol w:w="985"/>
        <w:gridCol w:w="8280"/>
      </w:tblGrid>
      <w:tr w:rsidR="00157AAA" w14:paraId="6B100028" w14:textId="77777777" w:rsidTr="001136D3">
        <w:tc>
          <w:tcPr>
            <w:tcW w:w="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1258C3" w14:textId="77777777" w:rsidR="00157AAA" w:rsidRDefault="006C1BE5">
            <w:pPr>
              <w:spacing w:after="0"/>
              <w:rPr>
                <w:b/>
                <w:sz w:val="22"/>
              </w:rPr>
            </w:pPr>
            <w:r>
              <w:rPr>
                <w:b/>
              </w:rPr>
              <w:t>ID</w:t>
            </w:r>
          </w:p>
        </w:tc>
        <w:tc>
          <w:tcPr>
            <w:tcW w:w="82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E40E92" w14:textId="77777777" w:rsidR="00157AAA" w:rsidRDefault="006C1BE5">
            <w:pPr>
              <w:spacing w:after="0"/>
              <w:rPr>
                <w:b/>
              </w:rPr>
            </w:pPr>
            <w:r>
              <w:rPr>
                <w:b/>
              </w:rPr>
              <w:t>Description</w:t>
            </w:r>
          </w:p>
        </w:tc>
      </w:tr>
      <w:tr w:rsidR="00157AAA" w14:paraId="7BC87B97" w14:textId="77777777" w:rsidTr="001136D3">
        <w:tc>
          <w:tcPr>
            <w:tcW w:w="985" w:type="dxa"/>
            <w:tcBorders>
              <w:top w:val="single" w:sz="4" w:space="0" w:color="auto"/>
              <w:left w:val="single" w:sz="4" w:space="0" w:color="auto"/>
              <w:bottom w:val="single" w:sz="4" w:space="0" w:color="auto"/>
              <w:right w:val="single" w:sz="4" w:space="0" w:color="auto"/>
            </w:tcBorders>
          </w:tcPr>
          <w:p w14:paraId="5FE2E7F4" w14:textId="77777777" w:rsidR="00157AAA" w:rsidRDefault="006C1BE5">
            <w:pPr>
              <w:spacing w:after="0"/>
            </w:pPr>
            <w:r>
              <w:t>FR485</w:t>
            </w:r>
          </w:p>
        </w:tc>
        <w:tc>
          <w:tcPr>
            <w:tcW w:w="8280" w:type="dxa"/>
            <w:tcBorders>
              <w:top w:val="single" w:sz="4" w:space="0" w:color="auto"/>
              <w:left w:val="single" w:sz="4" w:space="0" w:color="auto"/>
              <w:bottom w:val="single" w:sz="4" w:space="0" w:color="auto"/>
              <w:right w:val="single" w:sz="4" w:space="0" w:color="auto"/>
            </w:tcBorders>
          </w:tcPr>
          <w:p w14:paraId="1EE96B5C"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notify the EO with an IE about grounds of intended decision.</w:t>
            </w:r>
          </w:p>
        </w:tc>
      </w:tr>
      <w:tr w:rsidR="00157AAA" w14:paraId="42901CBC" w14:textId="77777777" w:rsidTr="001136D3">
        <w:tc>
          <w:tcPr>
            <w:tcW w:w="985" w:type="dxa"/>
            <w:tcBorders>
              <w:top w:val="single" w:sz="4" w:space="0" w:color="auto"/>
              <w:left w:val="single" w:sz="4" w:space="0" w:color="auto"/>
              <w:bottom w:val="single" w:sz="4" w:space="0" w:color="auto"/>
              <w:right w:val="single" w:sz="4" w:space="0" w:color="auto"/>
            </w:tcBorders>
          </w:tcPr>
          <w:p w14:paraId="553A4185" w14:textId="77777777" w:rsidR="00157AAA" w:rsidRDefault="006C1BE5">
            <w:pPr>
              <w:spacing w:after="0"/>
            </w:pPr>
            <w:r>
              <w:t>FR486</w:t>
            </w:r>
          </w:p>
        </w:tc>
        <w:tc>
          <w:tcPr>
            <w:tcW w:w="8280" w:type="dxa"/>
            <w:tcBorders>
              <w:top w:val="single" w:sz="4" w:space="0" w:color="auto"/>
              <w:left w:val="single" w:sz="4" w:space="0" w:color="auto"/>
              <w:bottom w:val="single" w:sz="4" w:space="0" w:color="auto"/>
              <w:right w:val="single" w:sz="4" w:space="0" w:color="auto"/>
            </w:tcBorders>
          </w:tcPr>
          <w:p w14:paraId="36F07A49"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calculate the date upon which the time limit to express point of view expires.</w:t>
            </w:r>
          </w:p>
        </w:tc>
      </w:tr>
      <w:tr w:rsidR="00157AAA" w14:paraId="79773A68" w14:textId="77777777" w:rsidTr="001136D3">
        <w:tc>
          <w:tcPr>
            <w:tcW w:w="985" w:type="dxa"/>
            <w:tcBorders>
              <w:top w:val="single" w:sz="4" w:space="0" w:color="auto"/>
              <w:left w:val="single" w:sz="4" w:space="0" w:color="auto"/>
              <w:bottom w:val="single" w:sz="4" w:space="0" w:color="auto"/>
              <w:right w:val="single" w:sz="4" w:space="0" w:color="auto"/>
            </w:tcBorders>
          </w:tcPr>
          <w:p w14:paraId="2DAB2673" w14:textId="77777777" w:rsidR="00157AAA" w:rsidRDefault="006C1BE5">
            <w:pPr>
              <w:spacing w:after="0"/>
            </w:pPr>
            <w:r>
              <w:t>FR487</w:t>
            </w:r>
          </w:p>
        </w:tc>
        <w:tc>
          <w:tcPr>
            <w:tcW w:w="8280" w:type="dxa"/>
            <w:tcBorders>
              <w:top w:val="single" w:sz="4" w:space="0" w:color="auto"/>
              <w:left w:val="single" w:sz="4" w:space="0" w:color="auto"/>
              <w:bottom w:val="single" w:sz="4" w:space="0" w:color="auto"/>
              <w:right w:val="single" w:sz="4" w:space="0" w:color="auto"/>
            </w:tcBorders>
          </w:tcPr>
          <w:p w14:paraId="19EECE90" w14:textId="656D7DBC"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notify EO about the extension of time limit to take decision</w:t>
            </w:r>
            <w:r w:rsidR="00EB42A4">
              <w:rPr>
                <w:rFonts w:ascii="Times New Roman" w:hAnsi="Times New Roman" w:cs="Times New Roman"/>
              </w:rPr>
              <w:t>.</w:t>
            </w:r>
          </w:p>
        </w:tc>
      </w:tr>
      <w:tr w:rsidR="00157AAA" w14:paraId="36244E14" w14:textId="77777777" w:rsidTr="001136D3">
        <w:tc>
          <w:tcPr>
            <w:tcW w:w="985" w:type="dxa"/>
            <w:tcBorders>
              <w:top w:val="single" w:sz="4" w:space="0" w:color="auto"/>
              <w:left w:val="single" w:sz="4" w:space="0" w:color="auto"/>
              <w:bottom w:val="single" w:sz="4" w:space="0" w:color="auto"/>
              <w:right w:val="single" w:sz="4" w:space="0" w:color="auto"/>
            </w:tcBorders>
          </w:tcPr>
          <w:p w14:paraId="6E08AEA6" w14:textId="77777777" w:rsidR="00157AAA" w:rsidRDefault="006C1BE5">
            <w:pPr>
              <w:spacing w:after="0"/>
            </w:pPr>
            <w:r>
              <w:t>FR488</w:t>
            </w:r>
          </w:p>
        </w:tc>
        <w:tc>
          <w:tcPr>
            <w:tcW w:w="8280" w:type="dxa"/>
            <w:tcBorders>
              <w:top w:val="single" w:sz="4" w:space="0" w:color="auto"/>
              <w:left w:val="single" w:sz="4" w:space="0" w:color="auto"/>
              <w:bottom w:val="single" w:sz="4" w:space="0" w:color="auto"/>
              <w:right w:val="single" w:sz="4" w:space="0" w:color="auto"/>
            </w:tcBorders>
          </w:tcPr>
          <w:p w14:paraId="5E2114B5"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identify if the applicant intends to further express his point of view.</w:t>
            </w:r>
          </w:p>
        </w:tc>
      </w:tr>
      <w:tr w:rsidR="00157AAA" w14:paraId="6EDE1C2D" w14:textId="77777777" w:rsidTr="001136D3">
        <w:tc>
          <w:tcPr>
            <w:tcW w:w="985" w:type="dxa"/>
            <w:tcBorders>
              <w:top w:val="single" w:sz="4" w:space="0" w:color="auto"/>
              <w:left w:val="single" w:sz="4" w:space="0" w:color="auto"/>
              <w:bottom w:val="single" w:sz="4" w:space="0" w:color="auto"/>
              <w:right w:val="single" w:sz="4" w:space="0" w:color="auto"/>
            </w:tcBorders>
          </w:tcPr>
          <w:p w14:paraId="29D42571" w14:textId="77777777" w:rsidR="00157AAA" w:rsidRDefault="006C1BE5">
            <w:pPr>
              <w:spacing w:after="0"/>
            </w:pPr>
            <w:r>
              <w:t>FR489</w:t>
            </w:r>
          </w:p>
        </w:tc>
        <w:tc>
          <w:tcPr>
            <w:tcW w:w="8280" w:type="dxa"/>
            <w:tcBorders>
              <w:top w:val="single" w:sz="4" w:space="0" w:color="auto"/>
              <w:left w:val="single" w:sz="4" w:space="0" w:color="auto"/>
              <w:bottom w:val="single" w:sz="4" w:space="0" w:color="auto"/>
              <w:right w:val="single" w:sz="4" w:space="0" w:color="auto"/>
            </w:tcBorders>
          </w:tcPr>
          <w:p w14:paraId="4AAD212A" w14:textId="0D290A0C"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identify the attach</w:t>
            </w:r>
            <w:r w:rsidR="00A3711F">
              <w:rPr>
                <w:rFonts w:ascii="Times New Roman" w:hAnsi="Times New Roman" w:cs="Times New Roman"/>
              </w:rPr>
              <w:t>ed documents in expressed point of view</w:t>
            </w:r>
            <w:r>
              <w:rPr>
                <w:rFonts w:ascii="Times New Roman" w:hAnsi="Times New Roman" w:cs="Times New Roman"/>
              </w:rPr>
              <w:t>.</w:t>
            </w:r>
          </w:p>
        </w:tc>
      </w:tr>
      <w:tr w:rsidR="00157AAA" w14:paraId="4D388DF1" w14:textId="77777777" w:rsidTr="001136D3">
        <w:tc>
          <w:tcPr>
            <w:tcW w:w="985" w:type="dxa"/>
            <w:tcBorders>
              <w:top w:val="single" w:sz="4" w:space="0" w:color="auto"/>
              <w:left w:val="single" w:sz="4" w:space="0" w:color="auto"/>
              <w:bottom w:val="single" w:sz="4" w:space="0" w:color="auto"/>
              <w:right w:val="single" w:sz="4" w:space="0" w:color="auto"/>
            </w:tcBorders>
          </w:tcPr>
          <w:p w14:paraId="59EBD4F8" w14:textId="77777777" w:rsidR="00157AAA" w:rsidRDefault="006C1BE5">
            <w:pPr>
              <w:spacing w:after="0"/>
            </w:pPr>
            <w:r>
              <w:t>FR490</w:t>
            </w:r>
          </w:p>
        </w:tc>
        <w:tc>
          <w:tcPr>
            <w:tcW w:w="8280" w:type="dxa"/>
            <w:tcBorders>
              <w:top w:val="single" w:sz="4" w:space="0" w:color="auto"/>
              <w:left w:val="single" w:sz="4" w:space="0" w:color="auto"/>
              <w:bottom w:val="single" w:sz="4" w:space="0" w:color="auto"/>
              <w:right w:val="single" w:sz="4" w:space="0" w:color="auto"/>
            </w:tcBorders>
          </w:tcPr>
          <w:p w14:paraId="47561A37" w14:textId="32888835"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record the results of the RTBH</w:t>
            </w:r>
            <w:r w:rsidR="00EB42A4">
              <w:rPr>
                <w:rFonts w:ascii="Times New Roman" w:hAnsi="Times New Roman" w:cs="Times New Roman"/>
              </w:rPr>
              <w:t>.</w:t>
            </w:r>
          </w:p>
        </w:tc>
      </w:tr>
      <w:tr w:rsidR="00157AAA" w14:paraId="296F37DB" w14:textId="77777777" w:rsidTr="001136D3">
        <w:tc>
          <w:tcPr>
            <w:tcW w:w="985" w:type="dxa"/>
            <w:tcBorders>
              <w:top w:val="single" w:sz="4" w:space="0" w:color="auto"/>
              <w:left w:val="single" w:sz="4" w:space="0" w:color="auto"/>
              <w:bottom w:val="single" w:sz="4" w:space="0" w:color="auto"/>
              <w:right w:val="single" w:sz="4" w:space="0" w:color="auto"/>
            </w:tcBorders>
          </w:tcPr>
          <w:p w14:paraId="0DAA27DA" w14:textId="77777777" w:rsidR="00157AAA" w:rsidRDefault="006C1BE5">
            <w:pPr>
              <w:spacing w:after="0"/>
            </w:pPr>
            <w:r>
              <w:t>FR541</w:t>
            </w:r>
          </w:p>
        </w:tc>
        <w:tc>
          <w:tcPr>
            <w:tcW w:w="8280" w:type="dxa"/>
            <w:tcBorders>
              <w:top w:val="single" w:sz="4" w:space="0" w:color="auto"/>
              <w:left w:val="single" w:sz="4" w:space="0" w:color="auto"/>
              <w:bottom w:val="single" w:sz="4" w:space="0" w:color="auto"/>
              <w:right w:val="single" w:sz="4" w:space="0" w:color="auto"/>
            </w:tcBorders>
          </w:tcPr>
          <w:p w14:paraId="53C78CBE"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extend the time limit to take decision.</w:t>
            </w:r>
          </w:p>
        </w:tc>
      </w:tr>
      <w:tr w:rsidR="00157AAA" w14:paraId="09E26641" w14:textId="77777777" w:rsidTr="001136D3">
        <w:tc>
          <w:tcPr>
            <w:tcW w:w="985" w:type="dxa"/>
            <w:tcBorders>
              <w:top w:val="single" w:sz="4" w:space="0" w:color="auto"/>
              <w:left w:val="single" w:sz="4" w:space="0" w:color="auto"/>
              <w:bottom w:val="single" w:sz="4" w:space="0" w:color="auto"/>
              <w:right w:val="single" w:sz="4" w:space="0" w:color="auto"/>
            </w:tcBorders>
          </w:tcPr>
          <w:p w14:paraId="2ABE9671" w14:textId="77777777" w:rsidR="00157AAA" w:rsidRDefault="006C1BE5">
            <w:pPr>
              <w:spacing w:after="0"/>
            </w:pPr>
            <w:r>
              <w:t>FR542</w:t>
            </w:r>
          </w:p>
        </w:tc>
        <w:tc>
          <w:tcPr>
            <w:tcW w:w="8280" w:type="dxa"/>
            <w:tcBorders>
              <w:top w:val="single" w:sz="4" w:space="0" w:color="auto"/>
              <w:left w:val="single" w:sz="4" w:space="0" w:color="auto"/>
              <w:bottom w:val="single" w:sz="4" w:space="0" w:color="auto"/>
              <w:right w:val="single" w:sz="4" w:space="0" w:color="auto"/>
            </w:tcBorders>
          </w:tcPr>
          <w:p w14:paraId="6C9E2445" w14:textId="72F9910A"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The system must be able to record the expiry time limit to express point of view</w:t>
            </w:r>
            <w:r w:rsidR="00EB42A4">
              <w:rPr>
                <w:rFonts w:ascii="Times New Roman" w:hAnsi="Times New Roman" w:cs="Times New Roman"/>
              </w:rPr>
              <w:t>.</w:t>
            </w:r>
          </w:p>
        </w:tc>
      </w:tr>
    </w:tbl>
    <w:p w14:paraId="4D797067" w14:textId="77777777" w:rsidR="00157AAA" w:rsidRDefault="00157AAA"/>
    <w:p w14:paraId="46DA0060" w14:textId="2056E2E4" w:rsidR="00157AAA" w:rsidRDefault="005568FD">
      <w:pPr>
        <w:spacing w:after="0"/>
        <w:rPr>
          <w:b/>
        </w:rPr>
      </w:pPr>
      <w:r>
        <w:rPr>
          <w:b/>
        </w:rPr>
        <w:t>1.2.12.6</w:t>
      </w:r>
      <w:r w:rsidR="006C1BE5" w:rsidRPr="008E2AAD">
        <w:rPr>
          <w:b/>
        </w:rPr>
        <w:t>. Register information for the issued LPCO by other countries through SEED + or Traces NT</w:t>
      </w:r>
    </w:p>
    <w:p w14:paraId="698887CE" w14:textId="5AECEF43" w:rsidR="005568FD" w:rsidRPr="008E2AAD" w:rsidRDefault="005568FD">
      <w:pPr>
        <w:spacing w:after="0"/>
        <w:rPr>
          <w:b/>
        </w:rPr>
      </w:pPr>
      <w:r w:rsidRPr="005568FD">
        <w:rPr>
          <w:b/>
          <w:noProof/>
        </w:rPr>
        <w:lastRenderedPageBreak/>
        <w:drawing>
          <wp:inline distT="0" distB="0" distL="0" distR="0" wp14:anchorId="4EA3B561" wp14:editId="605F0C44">
            <wp:extent cx="5486400" cy="210629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86400" cy="2106295"/>
                    </a:xfrm>
                    <a:prstGeom prst="rect">
                      <a:avLst/>
                    </a:prstGeom>
                  </pic:spPr>
                </pic:pic>
              </a:graphicData>
            </a:graphic>
          </wp:inline>
        </w:drawing>
      </w:r>
    </w:p>
    <w:p w14:paraId="344D3E5D" w14:textId="4EE64BD8" w:rsidR="00157AAA" w:rsidRDefault="002F095B">
      <w:pPr>
        <w:spacing w:after="0"/>
        <w:rPr>
          <w:b/>
          <w:i/>
        </w:rPr>
      </w:pPr>
      <w:r>
        <w:rPr>
          <w:b/>
          <w:i/>
        </w:rPr>
        <w:object w:dxaOrig="1543" w:dyaOrig="995" w14:anchorId="57319537">
          <v:shape id="_x0000_i1039" type="#_x0000_t75" style="width:79pt;height:50.5pt" o:ole="">
            <v:imagedata r:id="rId116" o:title=""/>
          </v:shape>
          <o:OLEObject Type="Embed" ProgID="Package" ShapeID="_x0000_i1039" DrawAspect="Icon" ObjectID="_1777888272" r:id="rId117"/>
        </w:object>
      </w:r>
      <w:r w:rsidR="00E3729B">
        <w:rPr>
          <w:b/>
          <w:i/>
          <w:noProof/>
        </w:rPr>
        <mc:AlternateContent>
          <mc:Choice Requires="wps">
            <w:drawing>
              <wp:anchor distT="0" distB="0" distL="114300" distR="114300" simplePos="0" relativeHeight="251658257" behindDoc="0" locked="0" layoutInCell="1" allowOverlap="1" wp14:anchorId="125E474F" wp14:editId="080F52C0">
                <wp:simplePos x="0" y="0"/>
                <wp:positionH relativeFrom="column">
                  <wp:posOffset>0</wp:posOffset>
                </wp:positionH>
                <wp:positionV relativeFrom="paragraph">
                  <wp:posOffset>0</wp:posOffset>
                </wp:positionV>
                <wp:extent cx="635000" cy="635000"/>
                <wp:effectExtent l="19050" t="19050" r="12700" b="12700"/>
                <wp:wrapNone/>
                <wp:docPr id="18" name="AutoShape 3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555BE" id="AutoShape 39" o:spid="_x0000_s1026" style="position:absolute;margin-left:0;margin-top:0;width:50pt;height:50pt;z-index:251658257;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AeB6QcIgIAAEgEAAAOAAAAAAAAAAAAAAAAAC4CAABkcnMvZTJvRG9jLnhtbFBLAQIt&#10;ABQABgAIAAAAIQDrjR772AAAAAUBAAAPAAAAAAAAAAAAAAAAAHwEAABkcnMvZG93bnJldi54bWxQ&#10;SwUGAAAAAAQABADzAAAAgQUAAAAA&#10;">
                <v:stroke joinstyle="round"/>
                <o:lock v:ext="edit" selection="t"/>
              </v:rect>
            </w:pict>
          </mc:Fallback>
        </mc:AlternateContent>
      </w:r>
    </w:p>
    <w:p w14:paraId="7B2B7E40" w14:textId="77777777" w:rsidR="00157AAA" w:rsidRDefault="00157AAA">
      <w:pPr>
        <w:rPr>
          <w:b/>
          <w:i/>
        </w:rPr>
      </w:pPr>
    </w:p>
    <w:p w14:paraId="4E974720" w14:textId="3AF1D933" w:rsidR="00157AAA" w:rsidRDefault="006C1BE5">
      <w:pPr>
        <w:spacing w:after="0"/>
        <w:jc w:val="center"/>
      </w:pPr>
      <w:r>
        <w:rPr>
          <w:i/>
        </w:rPr>
        <w:t xml:space="preserve">Figure </w:t>
      </w:r>
      <w:r w:rsidR="00394B0B">
        <w:rPr>
          <w:i/>
        </w:rPr>
        <w:t>18</w:t>
      </w:r>
      <w:r>
        <w:rPr>
          <w:i/>
        </w:rPr>
        <w:t>: BPMN Process Diagram: Register information for the issued LPCO by other countries through SEED + or Traces NT</w:t>
      </w:r>
    </w:p>
    <w:p w14:paraId="1C90636E" w14:textId="77777777" w:rsidR="00157AAA" w:rsidRDefault="00157AAA">
      <w:pPr>
        <w:rPr>
          <w:b/>
          <w:i/>
        </w:rPr>
      </w:pPr>
    </w:p>
    <w:p w14:paraId="6A432D67" w14:textId="17F8BC28" w:rsidR="00157AAA" w:rsidRDefault="006C1BE5">
      <w:r w:rsidRPr="008E2AAD">
        <w:rPr>
          <w:b/>
        </w:rPr>
        <w:t>Description</w:t>
      </w:r>
      <w:r>
        <w:rPr>
          <w:b/>
          <w:i/>
        </w:rPr>
        <w:t>:</w:t>
      </w:r>
      <w:r>
        <w:t xml:space="preserve"> The process starts when </w:t>
      </w:r>
      <w:proofErr w:type="gramStart"/>
      <w:r>
        <w:t>an information</w:t>
      </w:r>
      <w:proofErr w:type="gramEnd"/>
      <w:r>
        <w:t xml:space="preserve"> on the issued LPCO from other CEFTA countries is received from SEED+. The NSW performs technical validation. If during the validation errors occur, the NSW notifies SEED+ of validation errors. If the technical validation is positive, the system checks who </w:t>
      </w:r>
      <w:r w:rsidR="002F095B">
        <w:t xml:space="preserve">is the </w:t>
      </w:r>
      <w:r>
        <w:t xml:space="preserve">responsible authority that issued this type of LPCO </w:t>
      </w:r>
      <w:r w:rsidR="002F095B">
        <w:t>on national level</w:t>
      </w:r>
      <w:r>
        <w:t xml:space="preserve">. If it is issued in NSW, the system performs business validation, after which if the LPCO cannot be accepted, it notifies SEED+. If the LPCO can be accepted the NSW sends the LPCO data to repository.  If LPCO is </w:t>
      </w:r>
      <w:r w:rsidR="002F095B">
        <w:t xml:space="preserve">to be </w:t>
      </w:r>
      <w:r>
        <w:t xml:space="preserve">issued in </w:t>
      </w:r>
      <w:proofErr w:type="gramStart"/>
      <w:r>
        <w:t>other</w:t>
      </w:r>
      <w:proofErr w:type="gramEnd"/>
      <w:r>
        <w:t xml:space="preserve"> CBRA system, first it notifies that system, after which expects to receive message from that system. After the NSW receives the message from the other CBRA system, it reviews the received information.  If the LPCO cannot be accepted, it notifies SEED+. If the LPCO can be accepted the NSW sends the LPCO data to repository.  </w:t>
      </w:r>
    </w:p>
    <w:p w14:paraId="2E31BC55" w14:textId="77777777" w:rsidR="00157AAA" w:rsidRDefault="00157AAA">
      <w:pPr>
        <w:rPr>
          <w:b/>
          <w:i/>
        </w:rPr>
      </w:pPr>
    </w:p>
    <w:p w14:paraId="4512E2A5" w14:textId="77777777" w:rsidR="00157AAA" w:rsidRDefault="006C1BE5">
      <w:pPr>
        <w:rPr>
          <w:b/>
          <w:i/>
        </w:rPr>
      </w:pPr>
      <w:r w:rsidRPr="008E2AAD">
        <w:rPr>
          <w:b/>
        </w:rPr>
        <w:t>Process Steps</w:t>
      </w:r>
      <w:r>
        <w:rPr>
          <w:b/>
          <w:i/>
        </w:rPr>
        <w:t>:</w:t>
      </w:r>
    </w:p>
    <w:tbl>
      <w:tblPr>
        <w:tblStyle w:val="TableGrid"/>
        <w:tblW w:w="0" w:type="auto"/>
        <w:tblLook w:val="04A0" w:firstRow="1" w:lastRow="0" w:firstColumn="1" w:lastColumn="0" w:noHBand="0" w:noVBand="1"/>
      </w:tblPr>
      <w:tblGrid>
        <w:gridCol w:w="1525"/>
        <w:gridCol w:w="2430"/>
        <w:gridCol w:w="4675"/>
      </w:tblGrid>
      <w:tr w:rsidR="00157AAA" w14:paraId="0A56A304" w14:textId="77777777" w:rsidTr="001136D3">
        <w:tc>
          <w:tcPr>
            <w:tcW w:w="1525" w:type="dxa"/>
            <w:shd w:val="clear" w:color="auto" w:fill="D9D9D9" w:themeFill="background1" w:themeFillShade="D9"/>
          </w:tcPr>
          <w:p w14:paraId="008D9EA6" w14:textId="77777777" w:rsidR="00157AAA" w:rsidRDefault="006C1BE5" w:rsidP="001136D3">
            <w:pPr>
              <w:spacing w:after="0"/>
              <w:rPr>
                <w:b/>
              </w:rPr>
            </w:pPr>
            <w:r>
              <w:rPr>
                <w:b/>
              </w:rPr>
              <w:t>Step</w:t>
            </w:r>
          </w:p>
        </w:tc>
        <w:tc>
          <w:tcPr>
            <w:tcW w:w="2430" w:type="dxa"/>
            <w:shd w:val="clear" w:color="auto" w:fill="D9D9D9" w:themeFill="background1" w:themeFillShade="D9"/>
          </w:tcPr>
          <w:p w14:paraId="540BFD73" w14:textId="77777777" w:rsidR="00157AAA" w:rsidRDefault="006C1BE5" w:rsidP="001136D3">
            <w:pPr>
              <w:spacing w:after="0"/>
              <w:jc w:val="left"/>
              <w:rPr>
                <w:b/>
              </w:rPr>
            </w:pPr>
            <w:r>
              <w:rPr>
                <w:b/>
              </w:rPr>
              <w:t>Name</w:t>
            </w:r>
          </w:p>
        </w:tc>
        <w:tc>
          <w:tcPr>
            <w:tcW w:w="4675" w:type="dxa"/>
            <w:shd w:val="clear" w:color="auto" w:fill="D9D9D9" w:themeFill="background1" w:themeFillShade="D9"/>
          </w:tcPr>
          <w:p w14:paraId="6B0718FD" w14:textId="77777777" w:rsidR="00157AAA" w:rsidRDefault="006C1BE5" w:rsidP="001136D3">
            <w:pPr>
              <w:spacing w:after="0"/>
              <w:jc w:val="left"/>
              <w:rPr>
                <w:b/>
              </w:rPr>
            </w:pPr>
            <w:r>
              <w:rPr>
                <w:b/>
              </w:rPr>
              <w:t>Description</w:t>
            </w:r>
          </w:p>
        </w:tc>
      </w:tr>
      <w:tr w:rsidR="00157AAA" w14:paraId="493EBC01" w14:textId="77777777" w:rsidTr="001136D3">
        <w:tc>
          <w:tcPr>
            <w:tcW w:w="1525" w:type="dxa"/>
            <w:shd w:val="clear" w:color="auto" w:fill="auto"/>
          </w:tcPr>
          <w:p w14:paraId="38B882BB" w14:textId="77777777" w:rsidR="00157AAA" w:rsidRDefault="006C1BE5" w:rsidP="001136D3">
            <w:pPr>
              <w:spacing w:after="0"/>
            </w:pPr>
            <w:r>
              <w:t>Start Event</w:t>
            </w:r>
          </w:p>
        </w:tc>
        <w:tc>
          <w:tcPr>
            <w:tcW w:w="2430" w:type="dxa"/>
            <w:shd w:val="clear" w:color="auto" w:fill="auto"/>
          </w:tcPr>
          <w:p w14:paraId="197C1534" w14:textId="3C56F936" w:rsidR="00157AAA" w:rsidRDefault="006C1BE5" w:rsidP="001136D3">
            <w:pPr>
              <w:spacing w:after="0"/>
            </w:pPr>
            <w:r>
              <w:t xml:space="preserve">Information </w:t>
            </w:r>
            <w:r w:rsidR="002F095B">
              <w:t xml:space="preserve">for </w:t>
            </w:r>
            <w:r>
              <w:t>Issued</w:t>
            </w:r>
            <w:r w:rsidR="002F095B">
              <w:t xml:space="preserve"> LPCO</w:t>
            </w:r>
            <w:r>
              <w:t xml:space="preserve"> from Other CEFTA Countries Received</w:t>
            </w:r>
          </w:p>
        </w:tc>
        <w:tc>
          <w:tcPr>
            <w:tcW w:w="4675" w:type="dxa"/>
            <w:shd w:val="clear" w:color="auto" w:fill="auto"/>
          </w:tcPr>
          <w:p w14:paraId="48463A7D" w14:textId="6FA36CAC" w:rsidR="00157AAA" w:rsidRDefault="006C1BE5" w:rsidP="001136D3">
            <w:pPr>
              <w:spacing w:after="0"/>
            </w:pPr>
            <w:r>
              <w:t xml:space="preserve">The NSW receives information </w:t>
            </w:r>
            <w:r w:rsidR="002F095B">
              <w:t xml:space="preserve">for </w:t>
            </w:r>
            <w:r>
              <w:t>issued LPCO from other CEFTA Countries</w:t>
            </w:r>
            <w:r w:rsidR="000328C1">
              <w:t>.</w:t>
            </w:r>
          </w:p>
        </w:tc>
      </w:tr>
      <w:tr w:rsidR="00157AAA" w14:paraId="73591035" w14:textId="77777777" w:rsidTr="001136D3">
        <w:tc>
          <w:tcPr>
            <w:tcW w:w="1525" w:type="dxa"/>
            <w:shd w:val="clear" w:color="auto" w:fill="auto"/>
          </w:tcPr>
          <w:p w14:paraId="06BF501A" w14:textId="77777777" w:rsidR="00157AAA" w:rsidRDefault="006C1BE5" w:rsidP="001136D3">
            <w:pPr>
              <w:spacing w:after="0"/>
            </w:pPr>
            <w:r>
              <w:t>Service Task</w:t>
            </w:r>
          </w:p>
        </w:tc>
        <w:tc>
          <w:tcPr>
            <w:tcW w:w="2430" w:type="dxa"/>
            <w:shd w:val="clear" w:color="auto" w:fill="auto"/>
          </w:tcPr>
          <w:p w14:paraId="7470B1D6" w14:textId="77777777" w:rsidR="00157AAA" w:rsidRDefault="006C1BE5">
            <w:pPr>
              <w:spacing w:after="0"/>
              <w:rPr>
                <w:szCs w:val="24"/>
              </w:rPr>
            </w:pPr>
            <w:r>
              <w:rPr>
                <w:szCs w:val="24"/>
              </w:rPr>
              <w:t xml:space="preserve">Perform Technical Validation on Information of Issued LPCO in other CEFTA Countries </w:t>
            </w:r>
          </w:p>
          <w:p w14:paraId="22634805" w14:textId="77777777" w:rsidR="00157AAA" w:rsidRDefault="00157AAA" w:rsidP="001136D3">
            <w:pPr>
              <w:spacing w:after="0"/>
            </w:pPr>
          </w:p>
        </w:tc>
        <w:tc>
          <w:tcPr>
            <w:tcW w:w="4675" w:type="dxa"/>
            <w:shd w:val="clear" w:color="auto" w:fill="auto"/>
          </w:tcPr>
          <w:p w14:paraId="55CEA33C" w14:textId="467FF3BD" w:rsidR="00157AAA" w:rsidRDefault="006C1BE5" w:rsidP="001136D3">
            <w:pPr>
              <w:spacing w:after="0"/>
            </w:pPr>
            <w:r>
              <w:t>The NSW perform technical validation on the information of issued LPCO in other CEFTA countries</w:t>
            </w:r>
            <w:r w:rsidR="000328C1">
              <w:t>.</w:t>
            </w:r>
          </w:p>
        </w:tc>
      </w:tr>
      <w:tr w:rsidR="00157AAA" w14:paraId="0844EB6A" w14:textId="77777777" w:rsidTr="001136D3">
        <w:tc>
          <w:tcPr>
            <w:tcW w:w="1525" w:type="dxa"/>
            <w:shd w:val="clear" w:color="auto" w:fill="auto"/>
          </w:tcPr>
          <w:p w14:paraId="3ACFB22C" w14:textId="77777777" w:rsidR="00157AAA" w:rsidRDefault="006C1BE5" w:rsidP="001136D3">
            <w:pPr>
              <w:spacing w:after="0"/>
            </w:pPr>
            <w:r>
              <w:lastRenderedPageBreak/>
              <w:t>Send Task</w:t>
            </w:r>
          </w:p>
        </w:tc>
        <w:tc>
          <w:tcPr>
            <w:tcW w:w="2430" w:type="dxa"/>
            <w:shd w:val="clear" w:color="auto" w:fill="auto"/>
          </w:tcPr>
          <w:p w14:paraId="4CF311A2" w14:textId="77777777" w:rsidR="00157AAA" w:rsidRDefault="006C1BE5" w:rsidP="001136D3">
            <w:pPr>
              <w:spacing w:after="0"/>
            </w:pPr>
            <w:r>
              <w:t>Notify SEED + of Validation Errors in LPCO Information</w:t>
            </w:r>
          </w:p>
        </w:tc>
        <w:tc>
          <w:tcPr>
            <w:tcW w:w="4675" w:type="dxa"/>
            <w:shd w:val="clear" w:color="auto" w:fill="auto"/>
          </w:tcPr>
          <w:p w14:paraId="23F850EA" w14:textId="5D1900AF" w:rsidR="00157AAA" w:rsidRDefault="006C1BE5" w:rsidP="001136D3">
            <w:pPr>
              <w:spacing w:after="0"/>
            </w:pPr>
            <w:r>
              <w:t>The NSW notifies SEED+ of validation errors</w:t>
            </w:r>
            <w:r w:rsidR="000328C1">
              <w:t>.</w:t>
            </w:r>
          </w:p>
        </w:tc>
      </w:tr>
      <w:tr w:rsidR="00157AAA" w14:paraId="6BC51AD8" w14:textId="77777777" w:rsidTr="001136D3">
        <w:tc>
          <w:tcPr>
            <w:tcW w:w="1525" w:type="dxa"/>
            <w:shd w:val="clear" w:color="auto" w:fill="auto"/>
          </w:tcPr>
          <w:p w14:paraId="57080325" w14:textId="77777777" w:rsidR="00157AAA" w:rsidRDefault="006C1BE5" w:rsidP="001136D3">
            <w:pPr>
              <w:spacing w:after="0"/>
            </w:pPr>
            <w:r>
              <w:t>End Event</w:t>
            </w:r>
          </w:p>
        </w:tc>
        <w:tc>
          <w:tcPr>
            <w:tcW w:w="2430" w:type="dxa"/>
            <w:shd w:val="clear" w:color="auto" w:fill="auto"/>
          </w:tcPr>
          <w:p w14:paraId="696D80C6" w14:textId="77777777" w:rsidR="00157AAA" w:rsidRDefault="006C1BE5" w:rsidP="001136D3">
            <w:pPr>
              <w:spacing w:after="0"/>
            </w:pPr>
            <w:r>
              <w:t>Validation Errors in LPCO Information sent to SEED+</w:t>
            </w:r>
          </w:p>
        </w:tc>
        <w:tc>
          <w:tcPr>
            <w:tcW w:w="4675" w:type="dxa"/>
            <w:shd w:val="clear" w:color="auto" w:fill="auto"/>
          </w:tcPr>
          <w:p w14:paraId="28F22012" w14:textId="0B7CA9FA" w:rsidR="00157AAA" w:rsidRDefault="006C1BE5" w:rsidP="001136D3">
            <w:pPr>
              <w:spacing w:after="0"/>
            </w:pPr>
            <w:r>
              <w:t>Validation errors in LPCO information sent to SEED+</w:t>
            </w:r>
            <w:r w:rsidR="000328C1">
              <w:t>.</w:t>
            </w:r>
          </w:p>
        </w:tc>
      </w:tr>
      <w:tr w:rsidR="00157AAA" w14:paraId="36C3B48C" w14:textId="77777777" w:rsidTr="001136D3">
        <w:tc>
          <w:tcPr>
            <w:tcW w:w="1525" w:type="dxa"/>
            <w:shd w:val="clear" w:color="auto" w:fill="auto"/>
          </w:tcPr>
          <w:p w14:paraId="03A3B52D" w14:textId="77777777" w:rsidR="00157AAA" w:rsidRDefault="006C1BE5" w:rsidP="001136D3">
            <w:pPr>
              <w:spacing w:after="0"/>
            </w:pPr>
            <w:r>
              <w:t>Service Task</w:t>
            </w:r>
          </w:p>
        </w:tc>
        <w:tc>
          <w:tcPr>
            <w:tcW w:w="2430" w:type="dxa"/>
            <w:shd w:val="clear" w:color="auto" w:fill="auto"/>
          </w:tcPr>
          <w:p w14:paraId="3A6A379F" w14:textId="77777777" w:rsidR="00157AAA" w:rsidRDefault="006C1BE5" w:rsidP="001136D3">
            <w:pPr>
              <w:spacing w:after="0"/>
            </w:pPr>
            <w:r>
              <w:t>Check Responsible authority for Issuing this type of LPCO</w:t>
            </w:r>
          </w:p>
        </w:tc>
        <w:tc>
          <w:tcPr>
            <w:tcW w:w="4675" w:type="dxa"/>
            <w:shd w:val="clear" w:color="auto" w:fill="auto"/>
          </w:tcPr>
          <w:p w14:paraId="17E4920D" w14:textId="77777777" w:rsidR="00157AAA" w:rsidRDefault="006C1BE5" w:rsidP="001136D3">
            <w:pPr>
              <w:spacing w:after="0"/>
            </w:pPr>
            <w:r>
              <w:t>The NSW system checks the responsible authority who issued the LPCO.</w:t>
            </w:r>
          </w:p>
        </w:tc>
      </w:tr>
      <w:tr w:rsidR="00157AAA" w14:paraId="154B3630" w14:textId="77777777" w:rsidTr="001136D3">
        <w:tc>
          <w:tcPr>
            <w:tcW w:w="1525" w:type="dxa"/>
            <w:shd w:val="clear" w:color="auto" w:fill="auto"/>
          </w:tcPr>
          <w:p w14:paraId="0CF21EB4" w14:textId="77777777" w:rsidR="00157AAA" w:rsidRDefault="006C1BE5" w:rsidP="001136D3">
            <w:pPr>
              <w:spacing w:after="0"/>
            </w:pPr>
            <w:r>
              <w:t>Service Task</w:t>
            </w:r>
          </w:p>
        </w:tc>
        <w:tc>
          <w:tcPr>
            <w:tcW w:w="2430" w:type="dxa"/>
            <w:shd w:val="clear" w:color="auto" w:fill="auto"/>
          </w:tcPr>
          <w:p w14:paraId="3F908993" w14:textId="77777777" w:rsidR="00157AAA" w:rsidRDefault="006C1BE5">
            <w:pPr>
              <w:spacing w:after="0"/>
              <w:rPr>
                <w:szCs w:val="24"/>
              </w:rPr>
            </w:pPr>
            <w:r>
              <w:rPr>
                <w:szCs w:val="24"/>
              </w:rPr>
              <w:t xml:space="preserve">Perform Business Validation  </w:t>
            </w:r>
          </w:p>
          <w:p w14:paraId="26FAB05C" w14:textId="77777777" w:rsidR="00157AAA" w:rsidRDefault="006C1BE5">
            <w:pPr>
              <w:spacing w:after="0"/>
              <w:rPr>
                <w:szCs w:val="24"/>
              </w:rPr>
            </w:pPr>
            <w:r>
              <w:rPr>
                <w:szCs w:val="24"/>
              </w:rPr>
              <w:t xml:space="preserve">on Information of Issued LPCO in other CEFTA Countries </w:t>
            </w:r>
          </w:p>
          <w:p w14:paraId="7A4C78BC" w14:textId="77777777" w:rsidR="00157AAA" w:rsidRDefault="00157AAA" w:rsidP="001136D3">
            <w:pPr>
              <w:spacing w:after="0"/>
            </w:pPr>
          </w:p>
        </w:tc>
        <w:tc>
          <w:tcPr>
            <w:tcW w:w="4675" w:type="dxa"/>
            <w:shd w:val="clear" w:color="auto" w:fill="auto"/>
          </w:tcPr>
          <w:p w14:paraId="62C0B0CB" w14:textId="6B8CFD70" w:rsidR="00157AAA" w:rsidRDefault="006C1BE5" w:rsidP="001136D3">
            <w:pPr>
              <w:spacing w:after="0"/>
            </w:pPr>
            <w:r>
              <w:t xml:space="preserve">The NSW perform business validation </w:t>
            </w:r>
            <w:r w:rsidR="002F095B">
              <w:t xml:space="preserve">for </w:t>
            </w:r>
            <w:r>
              <w:t>the information of issued LPCO in other CEFTA countries</w:t>
            </w:r>
            <w:r w:rsidR="000328C1">
              <w:t>.</w:t>
            </w:r>
          </w:p>
        </w:tc>
      </w:tr>
      <w:tr w:rsidR="00157AAA" w14:paraId="16377C36" w14:textId="77777777" w:rsidTr="001136D3">
        <w:tc>
          <w:tcPr>
            <w:tcW w:w="1525" w:type="dxa"/>
            <w:shd w:val="clear" w:color="auto" w:fill="auto"/>
          </w:tcPr>
          <w:p w14:paraId="016A8C22" w14:textId="77777777" w:rsidR="00157AAA" w:rsidRDefault="006C1BE5" w:rsidP="001136D3">
            <w:pPr>
              <w:spacing w:after="0"/>
            </w:pPr>
            <w:r>
              <w:t>Send Task</w:t>
            </w:r>
          </w:p>
        </w:tc>
        <w:tc>
          <w:tcPr>
            <w:tcW w:w="2430" w:type="dxa"/>
            <w:shd w:val="clear" w:color="auto" w:fill="auto"/>
          </w:tcPr>
          <w:p w14:paraId="6F8EACC5" w14:textId="77777777" w:rsidR="00157AAA" w:rsidRDefault="006C1BE5">
            <w:pPr>
              <w:spacing w:after="0"/>
              <w:rPr>
                <w:szCs w:val="24"/>
              </w:rPr>
            </w:pPr>
            <w:r>
              <w:rPr>
                <w:szCs w:val="24"/>
              </w:rPr>
              <w:t xml:space="preserve">Notify SEED+ LPCO cannot be </w:t>
            </w:r>
            <w:proofErr w:type="gramStart"/>
            <w:r>
              <w:rPr>
                <w:szCs w:val="24"/>
              </w:rPr>
              <w:t>accepted</w:t>
            </w:r>
            <w:proofErr w:type="gramEnd"/>
            <w:r>
              <w:rPr>
                <w:szCs w:val="24"/>
              </w:rPr>
              <w:t xml:space="preserve"> </w:t>
            </w:r>
          </w:p>
          <w:p w14:paraId="4F86F927" w14:textId="77777777" w:rsidR="00157AAA" w:rsidRDefault="00157AAA">
            <w:pPr>
              <w:spacing w:after="0"/>
              <w:rPr>
                <w:szCs w:val="24"/>
              </w:rPr>
            </w:pPr>
          </w:p>
        </w:tc>
        <w:tc>
          <w:tcPr>
            <w:tcW w:w="4675" w:type="dxa"/>
            <w:shd w:val="clear" w:color="auto" w:fill="auto"/>
          </w:tcPr>
          <w:p w14:paraId="08112EA7" w14:textId="77777777" w:rsidR="00157AAA" w:rsidRDefault="006C1BE5" w:rsidP="001136D3">
            <w:pPr>
              <w:spacing w:after="0"/>
            </w:pPr>
            <w:r>
              <w:t>NSW notifies SEED+ that LPCO cannot be accepted.</w:t>
            </w:r>
          </w:p>
        </w:tc>
      </w:tr>
      <w:tr w:rsidR="00157AAA" w14:paraId="4BFD3263" w14:textId="77777777" w:rsidTr="001136D3">
        <w:tc>
          <w:tcPr>
            <w:tcW w:w="1525" w:type="dxa"/>
            <w:shd w:val="clear" w:color="auto" w:fill="auto"/>
          </w:tcPr>
          <w:p w14:paraId="69A4D84A" w14:textId="77777777" w:rsidR="00157AAA" w:rsidRDefault="006C1BE5" w:rsidP="001136D3">
            <w:pPr>
              <w:spacing w:after="0"/>
            </w:pPr>
            <w:r>
              <w:t>End Event</w:t>
            </w:r>
          </w:p>
        </w:tc>
        <w:tc>
          <w:tcPr>
            <w:tcW w:w="2430" w:type="dxa"/>
            <w:shd w:val="clear" w:color="auto" w:fill="auto"/>
          </w:tcPr>
          <w:p w14:paraId="740A8352" w14:textId="77777777" w:rsidR="00157AAA" w:rsidRDefault="006C1BE5">
            <w:pPr>
              <w:spacing w:after="0"/>
              <w:rPr>
                <w:szCs w:val="24"/>
              </w:rPr>
            </w:pPr>
            <w:r>
              <w:rPr>
                <w:szCs w:val="24"/>
              </w:rPr>
              <w:t xml:space="preserve">SEED+ Notified LPCO is not Accepted </w:t>
            </w:r>
          </w:p>
        </w:tc>
        <w:tc>
          <w:tcPr>
            <w:tcW w:w="4675" w:type="dxa"/>
            <w:shd w:val="clear" w:color="auto" w:fill="auto"/>
          </w:tcPr>
          <w:p w14:paraId="525CC4F8" w14:textId="6B265FE1" w:rsidR="00157AAA" w:rsidRDefault="006C1BE5">
            <w:pPr>
              <w:spacing w:after="0"/>
              <w:rPr>
                <w:szCs w:val="24"/>
              </w:rPr>
            </w:pPr>
            <w:r>
              <w:rPr>
                <w:szCs w:val="24"/>
              </w:rPr>
              <w:t>SEED+ Notified LPCO is not Accepted</w:t>
            </w:r>
            <w:r w:rsidR="000328C1">
              <w:rPr>
                <w:szCs w:val="24"/>
              </w:rPr>
              <w:t>.</w:t>
            </w:r>
          </w:p>
        </w:tc>
      </w:tr>
      <w:tr w:rsidR="00157AAA" w14:paraId="7E71E0A9" w14:textId="77777777" w:rsidTr="001136D3">
        <w:tc>
          <w:tcPr>
            <w:tcW w:w="1525" w:type="dxa"/>
            <w:shd w:val="clear" w:color="auto" w:fill="auto"/>
          </w:tcPr>
          <w:p w14:paraId="4B82E711" w14:textId="77777777" w:rsidR="00157AAA" w:rsidRDefault="006C1BE5" w:rsidP="001136D3">
            <w:pPr>
              <w:spacing w:after="0"/>
            </w:pPr>
            <w:r>
              <w:t>Send Task</w:t>
            </w:r>
          </w:p>
        </w:tc>
        <w:tc>
          <w:tcPr>
            <w:tcW w:w="2430" w:type="dxa"/>
            <w:shd w:val="clear" w:color="auto" w:fill="auto"/>
          </w:tcPr>
          <w:p w14:paraId="77E74E9D" w14:textId="77777777" w:rsidR="00157AAA" w:rsidRDefault="006C1BE5">
            <w:pPr>
              <w:spacing w:after="0"/>
              <w:rPr>
                <w:szCs w:val="24"/>
              </w:rPr>
            </w:pPr>
            <w:r>
              <w:rPr>
                <w:szCs w:val="24"/>
              </w:rPr>
              <w:t>Send LPCO Data to Repository</w:t>
            </w:r>
          </w:p>
        </w:tc>
        <w:tc>
          <w:tcPr>
            <w:tcW w:w="4675" w:type="dxa"/>
            <w:shd w:val="clear" w:color="auto" w:fill="auto"/>
          </w:tcPr>
          <w:p w14:paraId="7FBFDC43" w14:textId="77777777" w:rsidR="00157AAA" w:rsidRDefault="006C1BE5">
            <w:pPr>
              <w:spacing w:after="0"/>
              <w:rPr>
                <w:szCs w:val="24"/>
              </w:rPr>
            </w:pPr>
            <w:r>
              <w:rPr>
                <w:szCs w:val="24"/>
              </w:rPr>
              <w:t>The NSW system send LPCO data to the repository, including all relevant information of all certificates with all necessary information.</w:t>
            </w:r>
          </w:p>
        </w:tc>
      </w:tr>
      <w:tr w:rsidR="00157AAA" w14:paraId="36907566" w14:textId="77777777" w:rsidTr="001136D3">
        <w:tc>
          <w:tcPr>
            <w:tcW w:w="1525" w:type="dxa"/>
            <w:shd w:val="clear" w:color="auto" w:fill="auto"/>
          </w:tcPr>
          <w:p w14:paraId="71C4AA01" w14:textId="77777777" w:rsidR="00157AAA" w:rsidRDefault="006C1BE5" w:rsidP="001136D3">
            <w:pPr>
              <w:spacing w:after="0"/>
            </w:pPr>
            <w:r>
              <w:t>End Event</w:t>
            </w:r>
          </w:p>
        </w:tc>
        <w:tc>
          <w:tcPr>
            <w:tcW w:w="2430" w:type="dxa"/>
            <w:shd w:val="clear" w:color="auto" w:fill="auto"/>
          </w:tcPr>
          <w:p w14:paraId="20BAD6E2" w14:textId="77777777" w:rsidR="00157AAA" w:rsidRDefault="006C1BE5">
            <w:pPr>
              <w:spacing w:after="0"/>
              <w:rPr>
                <w:szCs w:val="24"/>
              </w:rPr>
            </w:pPr>
            <w:r>
              <w:rPr>
                <w:szCs w:val="24"/>
              </w:rPr>
              <w:t xml:space="preserve">LPCO Registered and Ready to be Used </w:t>
            </w:r>
          </w:p>
        </w:tc>
        <w:tc>
          <w:tcPr>
            <w:tcW w:w="4675" w:type="dxa"/>
            <w:shd w:val="clear" w:color="auto" w:fill="auto"/>
          </w:tcPr>
          <w:p w14:paraId="3AD272F2" w14:textId="3A391939" w:rsidR="00157AAA" w:rsidRDefault="006C1BE5">
            <w:pPr>
              <w:spacing w:after="0"/>
              <w:rPr>
                <w:szCs w:val="24"/>
              </w:rPr>
            </w:pPr>
            <w:r>
              <w:rPr>
                <w:szCs w:val="24"/>
              </w:rPr>
              <w:t>LPCO Registered and Ready to be Used</w:t>
            </w:r>
            <w:r w:rsidR="000328C1">
              <w:rPr>
                <w:szCs w:val="24"/>
              </w:rPr>
              <w:t>.</w:t>
            </w:r>
          </w:p>
        </w:tc>
      </w:tr>
      <w:tr w:rsidR="00157AAA" w14:paraId="6BA3ACDC" w14:textId="77777777" w:rsidTr="001136D3">
        <w:tc>
          <w:tcPr>
            <w:tcW w:w="1525" w:type="dxa"/>
            <w:shd w:val="clear" w:color="auto" w:fill="auto"/>
          </w:tcPr>
          <w:p w14:paraId="5EF48878" w14:textId="77777777" w:rsidR="00157AAA" w:rsidRDefault="006C1BE5" w:rsidP="001136D3">
            <w:pPr>
              <w:spacing w:after="0"/>
            </w:pPr>
            <w:r>
              <w:t>Send Task</w:t>
            </w:r>
          </w:p>
        </w:tc>
        <w:tc>
          <w:tcPr>
            <w:tcW w:w="2430" w:type="dxa"/>
            <w:shd w:val="clear" w:color="auto" w:fill="auto"/>
          </w:tcPr>
          <w:p w14:paraId="66244932" w14:textId="77777777" w:rsidR="00157AAA" w:rsidRDefault="006C1BE5">
            <w:pPr>
              <w:spacing w:after="0"/>
              <w:rPr>
                <w:szCs w:val="24"/>
              </w:rPr>
            </w:pPr>
            <w:r>
              <w:rPr>
                <w:szCs w:val="24"/>
              </w:rPr>
              <w:t>Notify Other CBRA about LPCO issued in CEFTA Countries</w:t>
            </w:r>
          </w:p>
        </w:tc>
        <w:tc>
          <w:tcPr>
            <w:tcW w:w="4675" w:type="dxa"/>
            <w:shd w:val="clear" w:color="auto" w:fill="auto"/>
          </w:tcPr>
          <w:p w14:paraId="1918E8B2" w14:textId="77777777" w:rsidR="00157AAA" w:rsidRDefault="006C1BE5">
            <w:pPr>
              <w:spacing w:after="0"/>
              <w:rPr>
                <w:szCs w:val="24"/>
              </w:rPr>
            </w:pPr>
            <w:r>
              <w:rPr>
                <w:szCs w:val="24"/>
              </w:rPr>
              <w:t>The NSW informs other CBRA about LPCO issued in other CEFTA countries.</w:t>
            </w:r>
          </w:p>
        </w:tc>
      </w:tr>
      <w:tr w:rsidR="00157AAA" w14:paraId="5FF285C3" w14:textId="77777777" w:rsidTr="001136D3">
        <w:tc>
          <w:tcPr>
            <w:tcW w:w="1525" w:type="dxa"/>
            <w:shd w:val="clear" w:color="auto" w:fill="auto"/>
          </w:tcPr>
          <w:p w14:paraId="012B569B" w14:textId="77777777" w:rsidR="00157AAA" w:rsidRDefault="006C1BE5" w:rsidP="001136D3">
            <w:pPr>
              <w:spacing w:after="0"/>
            </w:pPr>
            <w:r>
              <w:t>Message Event</w:t>
            </w:r>
          </w:p>
        </w:tc>
        <w:tc>
          <w:tcPr>
            <w:tcW w:w="2430" w:type="dxa"/>
            <w:shd w:val="clear" w:color="auto" w:fill="auto"/>
          </w:tcPr>
          <w:p w14:paraId="76A63453" w14:textId="77777777" w:rsidR="00157AAA" w:rsidRDefault="006C1BE5">
            <w:pPr>
              <w:spacing w:after="0"/>
              <w:rPr>
                <w:szCs w:val="24"/>
              </w:rPr>
            </w:pPr>
            <w:r>
              <w:rPr>
                <w:szCs w:val="24"/>
              </w:rPr>
              <w:t>Notification from other CBRA System Received.</w:t>
            </w:r>
          </w:p>
        </w:tc>
        <w:tc>
          <w:tcPr>
            <w:tcW w:w="4675" w:type="dxa"/>
            <w:shd w:val="clear" w:color="auto" w:fill="auto"/>
          </w:tcPr>
          <w:p w14:paraId="613240F3" w14:textId="77777777" w:rsidR="00157AAA" w:rsidRDefault="006C1BE5">
            <w:pPr>
              <w:spacing w:after="0"/>
              <w:rPr>
                <w:szCs w:val="24"/>
              </w:rPr>
            </w:pPr>
            <w:r>
              <w:rPr>
                <w:szCs w:val="24"/>
              </w:rPr>
              <w:t>The NSW receives notification from other CBRA system.</w:t>
            </w:r>
          </w:p>
        </w:tc>
      </w:tr>
      <w:tr w:rsidR="00157AAA" w14:paraId="5B5A769C" w14:textId="77777777" w:rsidTr="001136D3">
        <w:tc>
          <w:tcPr>
            <w:tcW w:w="1525" w:type="dxa"/>
            <w:shd w:val="clear" w:color="auto" w:fill="auto"/>
          </w:tcPr>
          <w:p w14:paraId="760281B9" w14:textId="77777777" w:rsidR="00157AAA" w:rsidRDefault="006C1BE5" w:rsidP="001136D3">
            <w:pPr>
              <w:spacing w:after="0"/>
            </w:pPr>
            <w:r>
              <w:t>Send Task</w:t>
            </w:r>
          </w:p>
        </w:tc>
        <w:tc>
          <w:tcPr>
            <w:tcW w:w="2430" w:type="dxa"/>
            <w:shd w:val="clear" w:color="auto" w:fill="auto"/>
          </w:tcPr>
          <w:p w14:paraId="59378806" w14:textId="77777777" w:rsidR="00157AAA" w:rsidRDefault="006C1BE5">
            <w:pPr>
              <w:spacing w:after="0"/>
              <w:rPr>
                <w:szCs w:val="24"/>
              </w:rPr>
            </w:pPr>
            <w:r>
              <w:rPr>
                <w:szCs w:val="24"/>
              </w:rPr>
              <w:t xml:space="preserve">Review Notification Message received from other </w:t>
            </w:r>
            <w:proofErr w:type="gramStart"/>
            <w:r>
              <w:rPr>
                <w:szCs w:val="24"/>
              </w:rPr>
              <w:t>CBRA</w:t>
            </w:r>
            <w:proofErr w:type="gramEnd"/>
            <w:r>
              <w:rPr>
                <w:szCs w:val="24"/>
              </w:rPr>
              <w:t xml:space="preserve"> </w:t>
            </w:r>
          </w:p>
          <w:p w14:paraId="426A24B9" w14:textId="77777777" w:rsidR="00157AAA" w:rsidRDefault="00157AAA">
            <w:pPr>
              <w:spacing w:after="0"/>
              <w:rPr>
                <w:szCs w:val="24"/>
              </w:rPr>
            </w:pPr>
          </w:p>
        </w:tc>
        <w:tc>
          <w:tcPr>
            <w:tcW w:w="4675" w:type="dxa"/>
            <w:shd w:val="clear" w:color="auto" w:fill="auto"/>
          </w:tcPr>
          <w:p w14:paraId="7D0F9F2D" w14:textId="77777777" w:rsidR="00157AAA" w:rsidRDefault="006C1BE5">
            <w:pPr>
              <w:spacing w:after="0"/>
              <w:rPr>
                <w:szCs w:val="24"/>
              </w:rPr>
            </w:pPr>
            <w:r>
              <w:rPr>
                <w:szCs w:val="24"/>
              </w:rPr>
              <w:t>The NSW reviews the notification message received from other CBRA.</w:t>
            </w:r>
          </w:p>
        </w:tc>
      </w:tr>
      <w:tr w:rsidR="00157AAA" w14:paraId="0B094A25" w14:textId="77777777" w:rsidTr="001136D3">
        <w:tc>
          <w:tcPr>
            <w:tcW w:w="1525" w:type="dxa"/>
            <w:shd w:val="clear" w:color="auto" w:fill="auto"/>
          </w:tcPr>
          <w:p w14:paraId="388522DA" w14:textId="77777777" w:rsidR="00157AAA" w:rsidRDefault="006C1BE5" w:rsidP="001136D3">
            <w:pPr>
              <w:spacing w:after="0"/>
              <w:jc w:val="left"/>
            </w:pPr>
            <w:r>
              <w:t>End Task</w:t>
            </w:r>
          </w:p>
        </w:tc>
        <w:tc>
          <w:tcPr>
            <w:tcW w:w="2430" w:type="dxa"/>
            <w:shd w:val="clear" w:color="auto" w:fill="auto"/>
          </w:tcPr>
          <w:p w14:paraId="6696D96A" w14:textId="77777777" w:rsidR="00157AAA" w:rsidRDefault="006C1BE5">
            <w:pPr>
              <w:spacing w:after="0"/>
              <w:rPr>
                <w:szCs w:val="24"/>
              </w:rPr>
            </w:pPr>
            <w:r>
              <w:rPr>
                <w:szCs w:val="24"/>
              </w:rPr>
              <w:t xml:space="preserve">Information from other CBRA Received </w:t>
            </w:r>
          </w:p>
        </w:tc>
        <w:tc>
          <w:tcPr>
            <w:tcW w:w="4675" w:type="dxa"/>
            <w:shd w:val="clear" w:color="auto" w:fill="auto"/>
          </w:tcPr>
          <w:p w14:paraId="441F97A4" w14:textId="0E250216" w:rsidR="00157AAA" w:rsidRDefault="006C1BE5">
            <w:pPr>
              <w:spacing w:after="0"/>
              <w:rPr>
                <w:szCs w:val="24"/>
              </w:rPr>
            </w:pPr>
            <w:r>
              <w:rPr>
                <w:szCs w:val="24"/>
              </w:rPr>
              <w:t>Information from other CBRA Received</w:t>
            </w:r>
            <w:r w:rsidR="000328C1">
              <w:rPr>
                <w:szCs w:val="24"/>
              </w:rPr>
              <w:t>.</w:t>
            </w:r>
            <w:r>
              <w:rPr>
                <w:szCs w:val="24"/>
              </w:rPr>
              <w:t xml:space="preserve"> </w:t>
            </w:r>
          </w:p>
        </w:tc>
      </w:tr>
    </w:tbl>
    <w:p w14:paraId="7E6E1F91" w14:textId="77777777" w:rsidR="00157AAA" w:rsidRDefault="00157AAA">
      <w:pPr>
        <w:jc w:val="left"/>
        <w:rPr>
          <w:b/>
          <w:i/>
        </w:rPr>
      </w:pPr>
    </w:p>
    <w:p w14:paraId="61BDEB5E" w14:textId="77777777" w:rsidR="00157AAA" w:rsidRPr="008E2AAD" w:rsidRDefault="006C1BE5">
      <w:pPr>
        <w:rPr>
          <w:b/>
        </w:rPr>
      </w:pPr>
      <w:r w:rsidRPr="008E2AAD">
        <w:rPr>
          <w:b/>
        </w:rPr>
        <w:t>Functional Requirements:</w:t>
      </w:r>
    </w:p>
    <w:tbl>
      <w:tblPr>
        <w:tblStyle w:val="TableGrid"/>
        <w:tblW w:w="8635" w:type="dxa"/>
        <w:tblLook w:val="04A0" w:firstRow="1" w:lastRow="0" w:firstColumn="1" w:lastColumn="0" w:noHBand="0" w:noVBand="1"/>
      </w:tblPr>
      <w:tblGrid>
        <w:gridCol w:w="1075"/>
        <w:gridCol w:w="7560"/>
      </w:tblGrid>
      <w:tr w:rsidR="00157AAA" w14:paraId="4B0C96E9" w14:textId="77777777" w:rsidTr="001136D3">
        <w:tc>
          <w:tcPr>
            <w:tcW w:w="1075" w:type="dxa"/>
            <w:shd w:val="clear" w:color="auto" w:fill="D9D9D9" w:themeFill="background1" w:themeFillShade="D9"/>
          </w:tcPr>
          <w:p w14:paraId="4DFB725A" w14:textId="77777777" w:rsidR="00157AAA" w:rsidRDefault="006C1BE5" w:rsidP="001136D3">
            <w:pPr>
              <w:spacing w:after="0"/>
              <w:rPr>
                <w:b/>
              </w:rPr>
            </w:pPr>
            <w:r>
              <w:rPr>
                <w:b/>
              </w:rPr>
              <w:t>ID</w:t>
            </w:r>
          </w:p>
        </w:tc>
        <w:tc>
          <w:tcPr>
            <w:tcW w:w="7560" w:type="dxa"/>
            <w:shd w:val="clear" w:color="auto" w:fill="D9D9D9" w:themeFill="background1" w:themeFillShade="D9"/>
          </w:tcPr>
          <w:p w14:paraId="425ED48A" w14:textId="77777777" w:rsidR="00157AAA" w:rsidRDefault="006C1BE5" w:rsidP="001136D3">
            <w:pPr>
              <w:spacing w:after="0"/>
              <w:jc w:val="left"/>
              <w:rPr>
                <w:b/>
              </w:rPr>
            </w:pPr>
            <w:r>
              <w:rPr>
                <w:b/>
              </w:rPr>
              <w:t>Description</w:t>
            </w:r>
          </w:p>
        </w:tc>
      </w:tr>
      <w:tr w:rsidR="002C0A7C" w14:paraId="5DCBA3D8" w14:textId="77777777" w:rsidTr="001136D3">
        <w:tc>
          <w:tcPr>
            <w:tcW w:w="1075" w:type="dxa"/>
            <w:shd w:val="clear" w:color="auto" w:fill="auto"/>
          </w:tcPr>
          <w:p w14:paraId="5F6BE704" w14:textId="4F6F96AC" w:rsidR="002C0A7C" w:rsidRDefault="002C0A7C" w:rsidP="001136D3">
            <w:pPr>
              <w:spacing w:after="0"/>
              <w:rPr>
                <w:szCs w:val="24"/>
              </w:rPr>
            </w:pPr>
            <w:r>
              <w:rPr>
                <w:szCs w:val="24"/>
              </w:rPr>
              <w:t>FR109</w:t>
            </w:r>
          </w:p>
        </w:tc>
        <w:tc>
          <w:tcPr>
            <w:tcW w:w="7560" w:type="dxa"/>
            <w:shd w:val="clear" w:color="auto" w:fill="auto"/>
          </w:tcPr>
          <w:p w14:paraId="498A682F" w14:textId="73744B09" w:rsidR="002C0A7C" w:rsidRPr="00363AA5" w:rsidRDefault="002C0A7C" w:rsidP="001136D3">
            <w:pPr>
              <w:spacing w:after="0"/>
              <w:jc w:val="left"/>
              <w:rPr>
                <w:rFonts w:eastAsia="Arial Unicode MS"/>
                <w:szCs w:val="24"/>
              </w:rPr>
            </w:pPr>
            <w:r>
              <w:rPr>
                <w:szCs w:val="24"/>
              </w:rPr>
              <w:t>The module shall be able to integrate electronically issued certificates from abroad through the SEED+ connectivity.</w:t>
            </w:r>
          </w:p>
        </w:tc>
      </w:tr>
      <w:tr w:rsidR="002C0A7C" w14:paraId="5BAE4D7C" w14:textId="77777777" w:rsidTr="001136D3">
        <w:tc>
          <w:tcPr>
            <w:tcW w:w="1075" w:type="dxa"/>
            <w:shd w:val="clear" w:color="auto" w:fill="auto"/>
          </w:tcPr>
          <w:p w14:paraId="3B606075" w14:textId="222AFD5F" w:rsidR="002C0A7C" w:rsidRDefault="002C0A7C" w:rsidP="001136D3">
            <w:pPr>
              <w:spacing w:after="0"/>
              <w:rPr>
                <w:szCs w:val="24"/>
              </w:rPr>
            </w:pPr>
            <w:r>
              <w:rPr>
                <w:szCs w:val="24"/>
              </w:rPr>
              <w:t>FR429</w:t>
            </w:r>
          </w:p>
        </w:tc>
        <w:tc>
          <w:tcPr>
            <w:tcW w:w="7560" w:type="dxa"/>
            <w:shd w:val="clear" w:color="auto" w:fill="auto"/>
          </w:tcPr>
          <w:p w14:paraId="7B613800" w14:textId="6270F319" w:rsidR="002C0A7C" w:rsidRPr="00363AA5" w:rsidRDefault="002C0A7C" w:rsidP="001136D3">
            <w:pPr>
              <w:spacing w:after="0"/>
              <w:jc w:val="left"/>
              <w:rPr>
                <w:rFonts w:eastAsia="Arial Unicode MS"/>
                <w:szCs w:val="24"/>
              </w:rPr>
            </w:pPr>
            <w:r w:rsidRPr="00363AA5">
              <w:rPr>
                <w:rFonts w:eastAsia="Arial Unicode MS"/>
                <w:szCs w:val="24"/>
              </w:rPr>
              <w:t xml:space="preserve">The system </w:t>
            </w:r>
            <w:r w:rsidRPr="00363AA5">
              <w:t xml:space="preserve">must </w:t>
            </w:r>
            <w:r w:rsidRPr="00363AA5">
              <w:rPr>
                <w:rFonts w:eastAsia="Arial Unicode MS"/>
                <w:szCs w:val="24"/>
              </w:rPr>
              <w:t>be able to send LPCO received from SEED+ and to manage the quantity in NSW).</w:t>
            </w:r>
            <w:r>
              <w:rPr>
                <w:rFonts w:eastAsia="Arial Unicode MS"/>
                <w:szCs w:val="24"/>
              </w:rPr>
              <w:t xml:space="preserve"> </w:t>
            </w:r>
          </w:p>
        </w:tc>
      </w:tr>
      <w:tr w:rsidR="002C0A7C" w14:paraId="06873D12" w14:textId="77777777" w:rsidTr="001136D3">
        <w:tc>
          <w:tcPr>
            <w:tcW w:w="1075" w:type="dxa"/>
            <w:shd w:val="clear" w:color="auto" w:fill="auto"/>
          </w:tcPr>
          <w:p w14:paraId="3D064E3F" w14:textId="77777777" w:rsidR="002C0A7C" w:rsidRDefault="002C0A7C" w:rsidP="001136D3">
            <w:pPr>
              <w:spacing w:after="0"/>
            </w:pPr>
            <w:r>
              <w:lastRenderedPageBreak/>
              <w:t>FR529</w:t>
            </w:r>
          </w:p>
        </w:tc>
        <w:tc>
          <w:tcPr>
            <w:tcW w:w="7560" w:type="dxa"/>
            <w:shd w:val="clear" w:color="auto" w:fill="auto"/>
          </w:tcPr>
          <w:p w14:paraId="35F4AC6A" w14:textId="77777777" w:rsidR="002C0A7C" w:rsidRDefault="002C0A7C" w:rsidP="001136D3">
            <w:pPr>
              <w:spacing w:after="0"/>
            </w:pPr>
            <w:r>
              <w:t>The system must be able to perform technical validation on information on issued LPCO from other CEFTA countries.</w:t>
            </w:r>
          </w:p>
        </w:tc>
      </w:tr>
      <w:tr w:rsidR="002C0A7C" w14:paraId="07F99A1E" w14:textId="77777777" w:rsidTr="001136D3">
        <w:tc>
          <w:tcPr>
            <w:tcW w:w="1075" w:type="dxa"/>
            <w:shd w:val="clear" w:color="auto" w:fill="auto"/>
          </w:tcPr>
          <w:p w14:paraId="0D3E97DC" w14:textId="77777777" w:rsidR="002C0A7C" w:rsidRDefault="002C0A7C" w:rsidP="001136D3">
            <w:pPr>
              <w:spacing w:after="0"/>
            </w:pPr>
            <w:r>
              <w:t>FR530</w:t>
            </w:r>
          </w:p>
        </w:tc>
        <w:tc>
          <w:tcPr>
            <w:tcW w:w="7560" w:type="dxa"/>
            <w:shd w:val="clear" w:color="auto" w:fill="auto"/>
          </w:tcPr>
          <w:p w14:paraId="35548EDE" w14:textId="77777777" w:rsidR="002C0A7C" w:rsidRDefault="002C0A7C" w:rsidP="001136D3">
            <w:pPr>
              <w:spacing w:after="0"/>
            </w:pPr>
            <w:r>
              <w:t>The system must be able to Notify SEED + of validation errors in LPCO information.</w:t>
            </w:r>
          </w:p>
        </w:tc>
      </w:tr>
      <w:tr w:rsidR="002C0A7C" w14:paraId="292822AB" w14:textId="77777777" w:rsidTr="001136D3">
        <w:tc>
          <w:tcPr>
            <w:tcW w:w="1075" w:type="dxa"/>
            <w:shd w:val="clear" w:color="auto" w:fill="auto"/>
          </w:tcPr>
          <w:p w14:paraId="0D9A1E9C" w14:textId="77777777" w:rsidR="002C0A7C" w:rsidRDefault="002C0A7C" w:rsidP="001136D3">
            <w:pPr>
              <w:spacing w:after="0"/>
            </w:pPr>
            <w:r>
              <w:t>FR531</w:t>
            </w:r>
          </w:p>
        </w:tc>
        <w:tc>
          <w:tcPr>
            <w:tcW w:w="7560" w:type="dxa"/>
            <w:shd w:val="clear" w:color="auto" w:fill="auto"/>
          </w:tcPr>
          <w:p w14:paraId="6C94F281" w14:textId="77777777" w:rsidR="002C0A7C" w:rsidRDefault="002C0A7C" w:rsidP="001136D3">
            <w:pPr>
              <w:spacing w:after="0"/>
            </w:pPr>
            <w:r>
              <w:t>The system must be able to check the responsible authority that issued the LPCO.</w:t>
            </w:r>
          </w:p>
        </w:tc>
      </w:tr>
      <w:tr w:rsidR="002C0A7C" w14:paraId="7A440215" w14:textId="77777777" w:rsidTr="001136D3">
        <w:tc>
          <w:tcPr>
            <w:tcW w:w="1075" w:type="dxa"/>
            <w:shd w:val="clear" w:color="auto" w:fill="auto"/>
          </w:tcPr>
          <w:p w14:paraId="03C6D1DE" w14:textId="77777777" w:rsidR="002C0A7C" w:rsidRDefault="002C0A7C" w:rsidP="001136D3">
            <w:pPr>
              <w:spacing w:after="0"/>
            </w:pPr>
            <w:r>
              <w:t>FR532</w:t>
            </w:r>
          </w:p>
        </w:tc>
        <w:tc>
          <w:tcPr>
            <w:tcW w:w="7560" w:type="dxa"/>
            <w:shd w:val="clear" w:color="auto" w:fill="auto"/>
          </w:tcPr>
          <w:p w14:paraId="7D6DD9A8" w14:textId="77777777" w:rsidR="002C0A7C" w:rsidRDefault="002C0A7C" w:rsidP="001136D3">
            <w:pPr>
              <w:spacing w:after="0"/>
            </w:pPr>
            <w:r>
              <w:t>The system must be able to perform business validation on information of issued LPCO in other CEFTA Countries.</w:t>
            </w:r>
          </w:p>
        </w:tc>
      </w:tr>
      <w:tr w:rsidR="002C0A7C" w14:paraId="6A64D020" w14:textId="77777777" w:rsidTr="001136D3">
        <w:tc>
          <w:tcPr>
            <w:tcW w:w="1075" w:type="dxa"/>
            <w:shd w:val="clear" w:color="auto" w:fill="auto"/>
          </w:tcPr>
          <w:p w14:paraId="1E10C9CE" w14:textId="77777777" w:rsidR="002C0A7C" w:rsidRDefault="002C0A7C" w:rsidP="001136D3">
            <w:pPr>
              <w:spacing w:after="0"/>
            </w:pPr>
            <w:r>
              <w:t>FR533</w:t>
            </w:r>
          </w:p>
        </w:tc>
        <w:tc>
          <w:tcPr>
            <w:tcW w:w="7560" w:type="dxa"/>
            <w:shd w:val="clear" w:color="auto" w:fill="auto"/>
          </w:tcPr>
          <w:p w14:paraId="051AA627" w14:textId="4478601F" w:rsidR="002C0A7C" w:rsidRDefault="002C0A7C" w:rsidP="001136D3">
            <w:pPr>
              <w:spacing w:after="0"/>
            </w:pPr>
            <w:r>
              <w:t>The system must be able to notify SEED+ about the acceptance or non-acceptance of the LPCO.</w:t>
            </w:r>
          </w:p>
        </w:tc>
      </w:tr>
      <w:tr w:rsidR="002C0A7C" w14:paraId="30519A13" w14:textId="77777777" w:rsidTr="001136D3">
        <w:tc>
          <w:tcPr>
            <w:tcW w:w="1075" w:type="dxa"/>
            <w:shd w:val="clear" w:color="auto" w:fill="auto"/>
          </w:tcPr>
          <w:p w14:paraId="3891510A" w14:textId="77777777" w:rsidR="002C0A7C" w:rsidRDefault="002C0A7C" w:rsidP="001136D3">
            <w:pPr>
              <w:spacing w:after="0"/>
            </w:pPr>
            <w:r>
              <w:t>FR534</w:t>
            </w:r>
          </w:p>
        </w:tc>
        <w:tc>
          <w:tcPr>
            <w:tcW w:w="7560" w:type="dxa"/>
            <w:shd w:val="clear" w:color="auto" w:fill="auto"/>
          </w:tcPr>
          <w:p w14:paraId="39DEB850" w14:textId="77777777" w:rsidR="002C0A7C" w:rsidRDefault="002C0A7C" w:rsidP="001136D3">
            <w:pPr>
              <w:spacing w:after="0"/>
            </w:pPr>
            <w:r>
              <w:t>The system must be able to send LPCO data to repository.</w:t>
            </w:r>
          </w:p>
        </w:tc>
      </w:tr>
      <w:tr w:rsidR="002C0A7C" w14:paraId="7FF005BD" w14:textId="77777777" w:rsidTr="001136D3">
        <w:tc>
          <w:tcPr>
            <w:tcW w:w="1075" w:type="dxa"/>
            <w:shd w:val="clear" w:color="auto" w:fill="auto"/>
          </w:tcPr>
          <w:p w14:paraId="4590898B" w14:textId="77777777" w:rsidR="002C0A7C" w:rsidRDefault="002C0A7C" w:rsidP="001136D3">
            <w:pPr>
              <w:spacing w:after="0"/>
            </w:pPr>
            <w:r>
              <w:t>FR535</w:t>
            </w:r>
          </w:p>
        </w:tc>
        <w:tc>
          <w:tcPr>
            <w:tcW w:w="7560" w:type="dxa"/>
            <w:shd w:val="clear" w:color="auto" w:fill="auto"/>
          </w:tcPr>
          <w:p w14:paraId="54F96DA4" w14:textId="77777777" w:rsidR="002C0A7C" w:rsidRDefault="002C0A7C" w:rsidP="001136D3">
            <w:pPr>
              <w:spacing w:after="0"/>
            </w:pPr>
            <w:r>
              <w:t>The system must be able to notify other CBRA about LPCO issued in CEFTA countries.</w:t>
            </w:r>
          </w:p>
        </w:tc>
      </w:tr>
      <w:tr w:rsidR="002C0A7C" w14:paraId="0B6601BD" w14:textId="77777777" w:rsidTr="001136D3">
        <w:tc>
          <w:tcPr>
            <w:tcW w:w="1075" w:type="dxa"/>
            <w:shd w:val="clear" w:color="auto" w:fill="auto"/>
          </w:tcPr>
          <w:p w14:paraId="361929B5" w14:textId="77777777" w:rsidR="002C0A7C" w:rsidRDefault="002C0A7C" w:rsidP="001136D3">
            <w:pPr>
              <w:spacing w:after="0"/>
            </w:pPr>
            <w:r>
              <w:t>FR536</w:t>
            </w:r>
          </w:p>
        </w:tc>
        <w:tc>
          <w:tcPr>
            <w:tcW w:w="7560" w:type="dxa"/>
            <w:shd w:val="clear" w:color="auto" w:fill="auto"/>
          </w:tcPr>
          <w:p w14:paraId="7E61DCF1" w14:textId="77777777" w:rsidR="002C0A7C" w:rsidRDefault="002C0A7C" w:rsidP="001136D3">
            <w:pPr>
              <w:spacing w:after="0"/>
            </w:pPr>
            <w:r>
              <w:t>The system must be able to review the notification message received from other CBRA.</w:t>
            </w:r>
          </w:p>
        </w:tc>
      </w:tr>
    </w:tbl>
    <w:p w14:paraId="635D709F" w14:textId="77777777" w:rsidR="00157AAA" w:rsidRDefault="00157AAA"/>
    <w:p w14:paraId="12B6701C" w14:textId="77777777" w:rsidR="00157AAA" w:rsidRDefault="00157AAA">
      <w:pPr>
        <w:pStyle w:val="ListParagraph"/>
        <w:spacing w:after="0"/>
        <w:ind w:left="1710"/>
      </w:pPr>
    </w:p>
    <w:p w14:paraId="7BF7AEAC" w14:textId="3B897B7F" w:rsidR="00157AAA" w:rsidRDefault="006C1BE5" w:rsidP="005E6A97">
      <w:pPr>
        <w:rPr>
          <w:b/>
          <w:bCs/>
          <w:szCs w:val="24"/>
        </w:rPr>
      </w:pPr>
      <w:r w:rsidRPr="005E6A97">
        <w:rPr>
          <w:b/>
          <w:szCs w:val="24"/>
        </w:rPr>
        <w:t xml:space="preserve">1.2.13. </w:t>
      </w:r>
      <w:r w:rsidR="00B5272F">
        <w:rPr>
          <w:b/>
          <w:bCs/>
          <w:szCs w:val="24"/>
        </w:rPr>
        <w:t>NSW</w:t>
      </w:r>
      <w:r w:rsidR="00B5272F" w:rsidRPr="005E6A97">
        <w:rPr>
          <w:b/>
          <w:bCs/>
          <w:szCs w:val="24"/>
        </w:rPr>
        <w:t xml:space="preserve"> </w:t>
      </w:r>
      <w:r w:rsidRPr="005E6A97">
        <w:rPr>
          <w:b/>
          <w:bCs/>
          <w:szCs w:val="24"/>
        </w:rPr>
        <w:t>Risk Management</w:t>
      </w:r>
    </w:p>
    <w:p w14:paraId="39CA8A34" w14:textId="77777777" w:rsidR="004C3CE9" w:rsidRDefault="004C3CE9" w:rsidP="004C3CE9">
      <w:pPr>
        <w:rPr>
          <w:bCs/>
          <w:iCs/>
        </w:rPr>
      </w:pPr>
      <w:r>
        <w:rPr>
          <w:b/>
          <w:i/>
        </w:rPr>
        <w:t xml:space="preserve">Objective: </w:t>
      </w:r>
      <w:r w:rsidRPr="00C12757">
        <w:rPr>
          <w:bCs/>
          <w:iCs/>
        </w:rPr>
        <w:t xml:space="preserve">The objective of the </w:t>
      </w:r>
      <w:r>
        <w:rPr>
          <w:bCs/>
          <w:iCs/>
        </w:rPr>
        <w:t>Risk Management Component (</w:t>
      </w:r>
      <w:r w:rsidRPr="00C12757">
        <w:rPr>
          <w:bCs/>
          <w:iCs/>
        </w:rPr>
        <w:t>RM</w:t>
      </w:r>
      <w:r>
        <w:rPr>
          <w:bCs/>
          <w:iCs/>
        </w:rPr>
        <w:t>C) of NSW</w:t>
      </w:r>
      <w:r w:rsidRPr="00C12757">
        <w:rPr>
          <w:bCs/>
          <w:iCs/>
        </w:rPr>
        <w:t xml:space="preserve"> is to increase the safety and security measures to protect the business and citizens of the Republic of North Macedonia by using modern and efficient technology for fraud detection.</w:t>
      </w:r>
    </w:p>
    <w:p w14:paraId="2A24C442" w14:textId="4CF95F7A" w:rsidR="004C3CE9" w:rsidRDefault="004C3CE9" w:rsidP="004C3CE9">
      <w:pPr>
        <w:rPr>
          <w:b/>
          <w:i/>
        </w:rPr>
      </w:pPr>
      <w:r>
        <w:rPr>
          <w:bCs/>
          <w:iCs/>
        </w:rPr>
        <w:t xml:space="preserve">The section below describes the services, </w:t>
      </w:r>
      <w:proofErr w:type="gramStart"/>
      <w:r>
        <w:rPr>
          <w:bCs/>
          <w:iCs/>
        </w:rPr>
        <w:t>processes</w:t>
      </w:r>
      <w:proofErr w:type="gramEnd"/>
      <w:r>
        <w:rPr>
          <w:bCs/>
          <w:iCs/>
        </w:rPr>
        <w:t xml:space="preserve"> and functionalities which the RMC must support. </w:t>
      </w:r>
    </w:p>
    <w:p w14:paraId="5F89E9DF" w14:textId="77777777" w:rsidR="004C3CE9" w:rsidRPr="005E6A97" w:rsidRDefault="004C3CE9" w:rsidP="004C3CE9">
      <w:r w:rsidRPr="005E6A97">
        <w:t>The RMC must support as minimum the following processes:</w:t>
      </w:r>
    </w:p>
    <w:p w14:paraId="48DDFE4E" w14:textId="77777777" w:rsidR="004C3CE9" w:rsidRPr="005E6A97" w:rsidRDefault="004C3CE9" w:rsidP="00D530D5">
      <w:pPr>
        <w:pStyle w:val="ListParagraph"/>
        <w:numPr>
          <w:ilvl w:val="0"/>
          <w:numId w:val="160"/>
        </w:numPr>
        <w:suppressAutoHyphens/>
        <w:rPr>
          <w:bCs/>
        </w:rPr>
      </w:pPr>
      <w:r w:rsidRPr="005E6A97">
        <w:rPr>
          <w:bCs/>
        </w:rPr>
        <w:t>Perform Risk Assessment</w:t>
      </w:r>
    </w:p>
    <w:p w14:paraId="0771DE91" w14:textId="77777777" w:rsidR="004C3CE9" w:rsidRPr="005E6A97" w:rsidRDefault="004C3CE9" w:rsidP="00D530D5">
      <w:pPr>
        <w:pStyle w:val="ListParagraph"/>
        <w:numPr>
          <w:ilvl w:val="0"/>
          <w:numId w:val="160"/>
        </w:numPr>
        <w:suppressAutoHyphens/>
        <w:rPr>
          <w:bCs/>
        </w:rPr>
      </w:pPr>
      <w:r w:rsidRPr="005E6A97">
        <w:rPr>
          <w:bCs/>
        </w:rPr>
        <w:t>Perform Risk Analysis</w:t>
      </w:r>
    </w:p>
    <w:p w14:paraId="36740731" w14:textId="77777777" w:rsidR="004C3CE9" w:rsidRPr="005E6A97" w:rsidRDefault="004C3CE9" w:rsidP="00D530D5">
      <w:pPr>
        <w:pStyle w:val="ListParagraph"/>
        <w:numPr>
          <w:ilvl w:val="0"/>
          <w:numId w:val="160"/>
        </w:numPr>
        <w:suppressAutoHyphens/>
        <w:rPr>
          <w:bCs/>
        </w:rPr>
      </w:pPr>
      <w:r w:rsidRPr="005E6A97">
        <w:rPr>
          <w:bCs/>
        </w:rPr>
        <w:t>Define Risk Profile</w:t>
      </w:r>
    </w:p>
    <w:p w14:paraId="1C44A437" w14:textId="77777777" w:rsidR="004C3CE9" w:rsidRPr="005E6A97" w:rsidRDefault="004C3CE9" w:rsidP="00D530D5">
      <w:pPr>
        <w:pStyle w:val="ListParagraph"/>
        <w:numPr>
          <w:ilvl w:val="0"/>
          <w:numId w:val="160"/>
        </w:numPr>
        <w:suppressAutoHyphens/>
        <w:rPr>
          <w:bCs/>
        </w:rPr>
      </w:pPr>
      <w:r w:rsidRPr="005E6A97">
        <w:rPr>
          <w:bCs/>
        </w:rPr>
        <w:t xml:space="preserve">Maintain Risk Scoring </w:t>
      </w:r>
      <w:proofErr w:type="gramStart"/>
      <w:r w:rsidRPr="005E6A97">
        <w:rPr>
          <w:bCs/>
        </w:rPr>
        <w:t>model</w:t>
      </w:r>
      <w:proofErr w:type="gramEnd"/>
    </w:p>
    <w:p w14:paraId="105C9B6A" w14:textId="77777777" w:rsidR="004C3CE9" w:rsidRDefault="004C3CE9" w:rsidP="004C3CE9">
      <w:pPr>
        <w:rPr>
          <w:b/>
          <w:i/>
        </w:rPr>
      </w:pPr>
    </w:p>
    <w:p w14:paraId="4BC2E548" w14:textId="23307018" w:rsidR="004C3CE9" w:rsidRDefault="00572CFF" w:rsidP="004C3CE9">
      <w:pPr>
        <w:rPr>
          <w:b/>
          <w:i/>
        </w:rPr>
      </w:pPr>
      <w:r>
        <w:rPr>
          <w:b/>
          <w:i/>
        </w:rPr>
        <w:t xml:space="preserve">1.2.13.1. </w:t>
      </w:r>
      <w:r w:rsidR="004C3CE9">
        <w:rPr>
          <w:b/>
          <w:i/>
        </w:rPr>
        <w:t xml:space="preserve">Process: </w:t>
      </w:r>
      <w:r w:rsidR="004C3CE9" w:rsidRPr="007A2923">
        <w:rPr>
          <w:b/>
          <w:i/>
        </w:rPr>
        <w:t>Perform Risk Assessment</w:t>
      </w:r>
    </w:p>
    <w:p w14:paraId="3D6BA082" w14:textId="3BF1E896" w:rsidR="004C3CE9" w:rsidRPr="00987031" w:rsidRDefault="004C3CE9" w:rsidP="004C3CE9">
      <w:pPr>
        <w:rPr>
          <w:b/>
          <w:i/>
        </w:rPr>
      </w:pPr>
      <w:r w:rsidRPr="004C3CE9">
        <w:rPr>
          <w:b/>
          <w:i/>
          <w:noProof/>
        </w:rPr>
        <w:lastRenderedPageBreak/>
        <w:drawing>
          <wp:inline distT="0" distB="0" distL="0" distR="0" wp14:anchorId="4A74A4B9" wp14:editId="67EF3C5D">
            <wp:extent cx="5486400" cy="24403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86400" cy="2440305"/>
                    </a:xfrm>
                    <a:prstGeom prst="rect">
                      <a:avLst/>
                    </a:prstGeom>
                  </pic:spPr>
                </pic:pic>
              </a:graphicData>
            </a:graphic>
          </wp:inline>
        </w:drawing>
      </w:r>
    </w:p>
    <w:p w14:paraId="0EE2E8B4" w14:textId="2E4C199A" w:rsidR="004C3CE9" w:rsidRDefault="00DE4083" w:rsidP="004C3CE9">
      <w:pPr>
        <w:rPr>
          <w:i/>
          <w:highlight w:val="yellow"/>
        </w:rPr>
      </w:pPr>
      <w:r>
        <w:rPr>
          <w:noProof/>
        </w:rPr>
        <w:object w:dxaOrig="935" w:dyaOrig="602" w14:anchorId="2AC7970D">
          <v:shape id="_x0000_i1040" type="#_x0000_t75" style="width:50.5pt;height:29pt" o:ole="">
            <v:imagedata r:id="rId119" o:title=""/>
          </v:shape>
          <o:OLEObject Type="Embed" ProgID="Package" ShapeID="_x0000_i1040" DrawAspect="Icon" ObjectID="_1777888273" r:id="rId120"/>
        </w:object>
      </w:r>
      <w:r w:rsidR="004C3CE9" w:rsidRPr="00664DCD">
        <w:rPr>
          <w:noProof/>
        </w:rPr>
        <w:t xml:space="preserve"> </w:t>
      </w:r>
    </w:p>
    <w:p w14:paraId="32060A4C" w14:textId="128195C6" w:rsidR="004C3CE9" w:rsidRDefault="004C3CE9" w:rsidP="004C3CE9">
      <w:pPr>
        <w:jc w:val="center"/>
        <w:rPr>
          <w:i/>
          <w:szCs w:val="24"/>
        </w:rPr>
      </w:pPr>
      <w:r w:rsidRPr="00193BF0">
        <w:rPr>
          <w:i/>
          <w:szCs w:val="24"/>
        </w:rPr>
        <w:t xml:space="preserve">Figure </w:t>
      </w:r>
      <w:r w:rsidR="00394B0B">
        <w:rPr>
          <w:i/>
          <w:szCs w:val="24"/>
        </w:rPr>
        <w:t>19</w:t>
      </w:r>
      <w:r>
        <w:rPr>
          <w:i/>
          <w:szCs w:val="24"/>
        </w:rPr>
        <w:t xml:space="preserve">: </w:t>
      </w:r>
      <w:r w:rsidRPr="00193BF0">
        <w:rPr>
          <w:i/>
          <w:szCs w:val="24"/>
        </w:rPr>
        <w:t>BPMN</w:t>
      </w:r>
      <w:r w:rsidRPr="001D1B15">
        <w:rPr>
          <w:i/>
          <w:szCs w:val="24"/>
        </w:rPr>
        <w:t xml:space="preserve"> </w:t>
      </w:r>
      <w:r w:rsidRPr="00193BF0">
        <w:rPr>
          <w:i/>
          <w:szCs w:val="24"/>
        </w:rPr>
        <w:t>Process Di</w:t>
      </w:r>
      <w:r>
        <w:rPr>
          <w:i/>
          <w:szCs w:val="24"/>
        </w:rPr>
        <w:t>agram</w:t>
      </w:r>
      <w:r w:rsidRPr="00193BF0">
        <w:rPr>
          <w:i/>
          <w:szCs w:val="24"/>
        </w:rPr>
        <w:t>: Perform Risk Assessment</w:t>
      </w:r>
    </w:p>
    <w:p w14:paraId="1F27257A" w14:textId="77777777" w:rsidR="004C3CE9" w:rsidRPr="00064B67" w:rsidRDefault="004C3CE9" w:rsidP="004C3CE9">
      <w:pPr>
        <w:rPr>
          <w:rFonts w:eastAsia="Calibri"/>
          <w:szCs w:val="24"/>
        </w:rPr>
      </w:pPr>
      <w:r w:rsidRPr="00CA6956">
        <w:rPr>
          <w:b/>
          <w:i/>
          <w:szCs w:val="24"/>
        </w:rPr>
        <w:t>Process Description</w:t>
      </w:r>
      <w:r>
        <w:rPr>
          <w:b/>
          <w:i/>
          <w:szCs w:val="24"/>
        </w:rPr>
        <w:t xml:space="preserve"> from RMM point of view</w:t>
      </w:r>
      <w:r w:rsidRPr="00193BF0">
        <w:rPr>
          <w:i/>
          <w:szCs w:val="24"/>
        </w:rPr>
        <w:t>:</w:t>
      </w:r>
      <w:r w:rsidRPr="00193BF0">
        <w:rPr>
          <w:rFonts w:eastAsia="Calibri"/>
          <w:szCs w:val="24"/>
        </w:rPr>
        <w:t xml:space="preserve"> </w:t>
      </w:r>
    </w:p>
    <w:p w14:paraId="3BD56DC5" w14:textId="15D09FC4" w:rsidR="004C3CE9" w:rsidRPr="00064B67" w:rsidRDefault="004C3CE9" w:rsidP="004C3CE9">
      <w:pPr>
        <w:rPr>
          <w:rFonts w:eastAsia="Calibri"/>
          <w:szCs w:val="24"/>
        </w:rPr>
      </w:pPr>
      <w:r>
        <w:rPr>
          <w:rFonts w:eastAsia="Calibri"/>
          <w:szCs w:val="24"/>
        </w:rPr>
        <w:t>Within t</w:t>
      </w:r>
      <w:r w:rsidRPr="00064B67">
        <w:rPr>
          <w:rFonts w:eastAsia="Calibri"/>
          <w:szCs w:val="24"/>
        </w:rPr>
        <w:t xml:space="preserve">he "Perform Risk Assessment" process </w:t>
      </w:r>
      <w:r>
        <w:rPr>
          <w:rFonts w:eastAsia="Calibri"/>
          <w:szCs w:val="24"/>
        </w:rPr>
        <w:t xml:space="preserve">the RMC must assess </w:t>
      </w:r>
      <w:r w:rsidRPr="00064B67">
        <w:rPr>
          <w:rFonts w:eastAsia="Calibri"/>
          <w:szCs w:val="24"/>
        </w:rPr>
        <w:t xml:space="preserve">the risks associated with </w:t>
      </w:r>
      <w:r>
        <w:rPr>
          <w:rFonts w:eastAsia="Calibri"/>
          <w:szCs w:val="24"/>
        </w:rPr>
        <w:t xml:space="preserve">the issue of the </w:t>
      </w:r>
      <w:r w:rsidRPr="00064B67">
        <w:rPr>
          <w:rFonts w:eastAsia="Calibri"/>
          <w:szCs w:val="24"/>
        </w:rPr>
        <w:t xml:space="preserve">LPCO </w:t>
      </w:r>
      <w:r>
        <w:rPr>
          <w:rFonts w:eastAsia="Calibri"/>
          <w:szCs w:val="24"/>
        </w:rPr>
        <w:t xml:space="preserve">- LPCO </w:t>
      </w:r>
      <w:r w:rsidRPr="00064B67">
        <w:rPr>
          <w:rFonts w:eastAsia="Calibri"/>
          <w:szCs w:val="24"/>
        </w:rPr>
        <w:t xml:space="preserve">Application. </w:t>
      </w:r>
      <w:r>
        <w:rPr>
          <w:rFonts w:eastAsia="Calibri"/>
          <w:szCs w:val="24"/>
        </w:rPr>
        <w:t>The must encompass the validation of the received dataset, based on the LPCO application, the processing of the dataset by comparing the data with the risk profiles and scoring the detected data matches as per the scoring model</w:t>
      </w:r>
      <w:r w:rsidRPr="00064B67">
        <w:rPr>
          <w:rFonts w:eastAsia="Calibri"/>
          <w:szCs w:val="24"/>
        </w:rPr>
        <w:t xml:space="preserve">. </w:t>
      </w:r>
    </w:p>
    <w:p w14:paraId="05E0FE1B" w14:textId="77777777" w:rsidR="004C3CE9" w:rsidRPr="00064B67" w:rsidRDefault="004C3CE9" w:rsidP="004C3CE9">
      <w:pPr>
        <w:rPr>
          <w:rFonts w:eastAsia="Calibri"/>
          <w:szCs w:val="24"/>
        </w:rPr>
      </w:pPr>
      <w:r>
        <w:rPr>
          <w:rFonts w:eastAsia="Calibri"/>
          <w:szCs w:val="24"/>
        </w:rPr>
        <w:t>Within the</w:t>
      </w:r>
      <w:r w:rsidRPr="00064B67">
        <w:rPr>
          <w:rFonts w:eastAsia="Calibri"/>
          <w:szCs w:val="24"/>
        </w:rPr>
        <w:t xml:space="preserve"> process</w:t>
      </w:r>
      <w:r>
        <w:rPr>
          <w:rFonts w:eastAsia="Calibri"/>
          <w:szCs w:val="24"/>
        </w:rPr>
        <w:t xml:space="preserve">, the system must </w:t>
      </w:r>
      <w:r w:rsidRPr="00064B67">
        <w:rPr>
          <w:rFonts w:eastAsia="Calibri"/>
          <w:szCs w:val="24"/>
        </w:rPr>
        <w:t>determine whether external information</w:t>
      </w:r>
      <w:r>
        <w:rPr>
          <w:rFonts w:eastAsia="Calibri"/>
          <w:szCs w:val="24"/>
        </w:rPr>
        <w:t xml:space="preserve"> (analysis)</w:t>
      </w:r>
      <w:r w:rsidRPr="00064B67">
        <w:rPr>
          <w:rFonts w:eastAsia="Calibri"/>
          <w:szCs w:val="24"/>
        </w:rPr>
        <w:t xml:space="preserve"> is necessary for a comprehensive risk evaluation and, if required, requests this information from an external system.</w:t>
      </w:r>
    </w:p>
    <w:p w14:paraId="2380F5A0" w14:textId="3D9A887B" w:rsidR="004C3CE9" w:rsidRDefault="004C3CE9" w:rsidP="004C3CE9">
      <w:pPr>
        <w:spacing w:after="0"/>
        <w:rPr>
          <w:rFonts w:eastAsia="Calibri"/>
          <w:szCs w:val="24"/>
        </w:rPr>
      </w:pPr>
      <w:r w:rsidRPr="00064B67">
        <w:rPr>
          <w:rFonts w:eastAsia="Calibri"/>
          <w:szCs w:val="24"/>
        </w:rPr>
        <w:t>After risk assessment for agency</w:t>
      </w:r>
      <w:r>
        <w:rPr>
          <w:rFonts w:eastAsia="Calibri"/>
          <w:szCs w:val="24"/>
        </w:rPr>
        <w:t xml:space="preserve"> and</w:t>
      </w:r>
      <w:r w:rsidRPr="00064B67">
        <w:rPr>
          <w:rFonts w:eastAsia="Calibri"/>
          <w:szCs w:val="24"/>
        </w:rPr>
        <w:t xml:space="preserve"> shared profiles and </w:t>
      </w:r>
      <w:r>
        <w:rPr>
          <w:rFonts w:eastAsia="Calibri"/>
          <w:szCs w:val="24"/>
        </w:rPr>
        <w:t xml:space="preserve">after the </w:t>
      </w:r>
      <w:r w:rsidRPr="00064B67">
        <w:rPr>
          <w:rFonts w:eastAsia="Calibri"/>
          <w:szCs w:val="24"/>
        </w:rPr>
        <w:t>external risk assessment</w:t>
      </w:r>
      <w:r>
        <w:rPr>
          <w:rFonts w:eastAsia="Calibri"/>
          <w:szCs w:val="24"/>
        </w:rPr>
        <w:t>,</w:t>
      </w:r>
      <w:r w:rsidRPr="00064B67">
        <w:rPr>
          <w:rFonts w:eastAsia="Calibri"/>
          <w:szCs w:val="24"/>
        </w:rPr>
        <w:t xml:space="preserve"> the </w:t>
      </w:r>
      <w:r>
        <w:rPr>
          <w:rFonts w:eastAsia="Calibri"/>
          <w:szCs w:val="24"/>
        </w:rPr>
        <w:t>RMC must</w:t>
      </w:r>
      <w:r w:rsidRPr="00064B67">
        <w:rPr>
          <w:rFonts w:eastAsia="Calibri"/>
          <w:szCs w:val="24"/>
        </w:rPr>
        <w:t xml:space="preserve"> check and if needed perform random selection. </w:t>
      </w:r>
      <w:r>
        <w:rPr>
          <w:rFonts w:eastAsia="Calibri"/>
          <w:szCs w:val="24"/>
        </w:rPr>
        <w:t>The system must provide the results of the risk assessment back</w:t>
      </w:r>
      <w:r w:rsidRPr="00064B67">
        <w:rPr>
          <w:rFonts w:eastAsia="Calibri"/>
          <w:szCs w:val="24"/>
        </w:rPr>
        <w:t xml:space="preserve"> to the LPCO </w:t>
      </w:r>
      <w:r>
        <w:rPr>
          <w:rFonts w:eastAsia="Calibri"/>
          <w:szCs w:val="24"/>
        </w:rPr>
        <w:t xml:space="preserve">Workflow </w:t>
      </w:r>
      <w:r w:rsidRPr="00064B67">
        <w:rPr>
          <w:rFonts w:eastAsia="Calibri"/>
          <w:szCs w:val="24"/>
        </w:rPr>
        <w:t>module, or to the other Licensing Systems</w:t>
      </w:r>
      <w:r w:rsidR="00440F5C">
        <w:rPr>
          <w:rFonts w:eastAsia="Calibri"/>
          <w:szCs w:val="24"/>
        </w:rPr>
        <w:t xml:space="preserve">, </w:t>
      </w:r>
      <w:r w:rsidR="00440F5C" w:rsidRPr="00440F5C">
        <w:rPr>
          <w:rFonts w:eastAsia="Calibri"/>
          <w:szCs w:val="24"/>
        </w:rPr>
        <w:t xml:space="preserve">including Customs Risk Management System </w:t>
      </w:r>
      <w:r w:rsidRPr="00064B67">
        <w:rPr>
          <w:rFonts w:eastAsia="Calibri"/>
          <w:szCs w:val="24"/>
        </w:rPr>
        <w:t xml:space="preserve">for further processing of the LPCO Application. </w:t>
      </w:r>
      <w:r>
        <w:rPr>
          <w:rFonts w:eastAsia="Calibri"/>
          <w:szCs w:val="24"/>
        </w:rPr>
        <w:t>The RMC must provide the assessed dataset and the results of the assessment to the</w:t>
      </w:r>
      <w:r w:rsidRPr="00064B67">
        <w:rPr>
          <w:rFonts w:eastAsia="Calibri"/>
          <w:szCs w:val="24"/>
        </w:rPr>
        <w:t xml:space="preserve"> Data</w:t>
      </w:r>
      <w:r>
        <w:rPr>
          <w:rFonts w:eastAsia="Calibri"/>
          <w:szCs w:val="24"/>
        </w:rPr>
        <w:t xml:space="preserve"> </w:t>
      </w:r>
      <w:r w:rsidRPr="00064B67">
        <w:rPr>
          <w:rFonts w:eastAsia="Calibri"/>
          <w:szCs w:val="24"/>
        </w:rPr>
        <w:t>Warehouse for further analysis.</w:t>
      </w:r>
    </w:p>
    <w:p w14:paraId="255BCE39" w14:textId="77777777" w:rsidR="004C3CE9" w:rsidRDefault="004C3CE9" w:rsidP="004C3CE9">
      <w:pPr>
        <w:spacing w:after="0"/>
      </w:pPr>
    </w:p>
    <w:p w14:paraId="4E03250B" w14:textId="77777777" w:rsidR="004C3CE9" w:rsidRDefault="004C3CE9" w:rsidP="004C3CE9">
      <w:pPr>
        <w:rPr>
          <w:b/>
          <w:i/>
          <w:szCs w:val="24"/>
        </w:rPr>
      </w:pPr>
      <w:r w:rsidRPr="001169E8">
        <w:rPr>
          <w:b/>
          <w:i/>
          <w:szCs w:val="24"/>
        </w:rPr>
        <w:t>Process Steps:</w:t>
      </w:r>
    </w:p>
    <w:tbl>
      <w:tblPr>
        <w:tblStyle w:val="TableGrid"/>
        <w:tblW w:w="9355" w:type="dxa"/>
        <w:tblLook w:val="04A0" w:firstRow="1" w:lastRow="0" w:firstColumn="1" w:lastColumn="0" w:noHBand="0" w:noVBand="1"/>
      </w:tblPr>
      <w:tblGrid>
        <w:gridCol w:w="1165"/>
        <w:gridCol w:w="2250"/>
        <w:gridCol w:w="5940"/>
      </w:tblGrid>
      <w:tr w:rsidR="004C3CE9" w:rsidRPr="001C68DE" w14:paraId="66B3FC17" w14:textId="77777777" w:rsidTr="001136D3">
        <w:trPr>
          <w:tblHeader/>
        </w:trPr>
        <w:tc>
          <w:tcPr>
            <w:tcW w:w="1165" w:type="dxa"/>
            <w:shd w:val="clear" w:color="auto" w:fill="D9D9D9" w:themeFill="background1" w:themeFillShade="D9"/>
          </w:tcPr>
          <w:p w14:paraId="69B0E3A5" w14:textId="77777777" w:rsidR="004C3CE9" w:rsidRPr="001C68DE" w:rsidRDefault="004C3CE9" w:rsidP="001136D3">
            <w:pPr>
              <w:spacing w:after="0"/>
              <w:rPr>
                <w:rFonts w:eastAsia="Calibri"/>
                <w:b/>
                <w:szCs w:val="24"/>
                <w:lang w:val="en-GB"/>
              </w:rPr>
            </w:pPr>
            <w:r w:rsidRPr="001C68DE">
              <w:rPr>
                <w:rFonts w:eastAsia="Calibri"/>
                <w:b/>
                <w:szCs w:val="24"/>
                <w:lang w:val="en-GB"/>
              </w:rPr>
              <w:t>Step</w:t>
            </w:r>
            <w:r>
              <w:rPr>
                <w:rFonts w:eastAsia="Calibri"/>
                <w:b/>
                <w:szCs w:val="24"/>
                <w:lang w:val="en-GB"/>
              </w:rPr>
              <w:t xml:space="preserve"> ID</w:t>
            </w:r>
          </w:p>
        </w:tc>
        <w:tc>
          <w:tcPr>
            <w:tcW w:w="2250" w:type="dxa"/>
            <w:shd w:val="clear" w:color="auto" w:fill="D9D9D9" w:themeFill="background1" w:themeFillShade="D9"/>
          </w:tcPr>
          <w:p w14:paraId="421A2A2D" w14:textId="77777777" w:rsidR="004C3CE9" w:rsidRPr="001C68DE" w:rsidRDefault="004C3CE9" w:rsidP="001136D3">
            <w:pPr>
              <w:spacing w:after="0"/>
              <w:rPr>
                <w:rFonts w:eastAsia="Calibri"/>
                <w:b/>
                <w:szCs w:val="24"/>
                <w:lang w:val="en-GB"/>
              </w:rPr>
            </w:pPr>
            <w:r w:rsidRPr="001C68DE">
              <w:rPr>
                <w:rFonts w:eastAsia="Calibri"/>
                <w:b/>
                <w:szCs w:val="24"/>
                <w:lang w:val="en-GB"/>
              </w:rPr>
              <w:t>Name</w:t>
            </w:r>
          </w:p>
        </w:tc>
        <w:tc>
          <w:tcPr>
            <w:tcW w:w="5940" w:type="dxa"/>
            <w:shd w:val="clear" w:color="auto" w:fill="D9D9D9" w:themeFill="background1" w:themeFillShade="D9"/>
          </w:tcPr>
          <w:p w14:paraId="00D0D625" w14:textId="77777777" w:rsidR="004C3CE9" w:rsidRPr="001C68DE" w:rsidRDefault="004C3CE9" w:rsidP="001136D3">
            <w:pPr>
              <w:spacing w:after="0"/>
              <w:rPr>
                <w:rFonts w:eastAsia="Calibri"/>
                <w:b/>
                <w:szCs w:val="24"/>
                <w:lang w:val="en-GB"/>
              </w:rPr>
            </w:pPr>
            <w:r w:rsidRPr="001C68DE">
              <w:rPr>
                <w:rFonts w:eastAsia="Calibri"/>
                <w:b/>
                <w:szCs w:val="24"/>
                <w:lang w:val="en-GB"/>
              </w:rPr>
              <w:t>Description</w:t>
            </w:r>
          </w:p>
        </w:tc>
      </w:tr>
      <w:tr w:rsidR="004C3CE9" w:rsidRPr="001C68DE" w14:paraId="1E145FC5" w14:textId="77777777" w:rsidTr="001136D3">
        <w:tc>
          <w:tcPr>
            <w:tcW w:w="1165" w:type="dxa"/>
          </w:tcPr>
          <w:p w14:paraId="21DAF678" w14:textId="0BA2E434" w:rsidR="004C3CE9" w:rsidRPr="001C68DE" w:rsidRDefault="00394B0B" w:rsidP="001136D3">
            <w:pPr>
              <w:spacing w:after="0"/>
              <w:rPr>
                <w:rFonts w:eastAsia="Calibri"/>
                <w:szCs w:val="24"/>
                <w:lang w:val="en-GB"/>
              </w:rPr>
            </w:pPr>
            <w:r>
              <w:rPr>
                <w:rFonts w:eastAsia="Calibri"/>
                <w:szCs w:val="24"/>
                <w:lang w:val="en-GB"/>
              </w:rPr>
              <w:t>Service Task</w:t>
            </w:r>
          </w:p>
        </w:tc>
        <w:tc>
          <w:tcPr>
            <w:tcW w:w="2250" w:type="dxa"/>
          </w:tcPr>
          <w:p w14:paraId="682E1F0D" w14:textId="77777777" w:rsidR="004C3CE9" w:rsidRPr="001C68DE" w:rsidRDefault="004C3CE9" w:rsidP="001136D3">
            <w:pPr>
              <w:spacing w:after="0"/>
              <w:rPr>
                <w:rFonts w:eastAsia="Calibri"/>
                <w:szCs w:val="24"/>
                <w:lang w:val="en-GB"/>
              </w:rPr>
            </w:pPr>
            <w:r w:rsidRPr="001C68DE">
              <w:rPr>
                <w:rFonts w:eastAsia="Calibri"/>
                <w:szCs w:val="24"/>
                <w:lang w:val="en-GB"/>
              </w:rPr>
              <w:t>Validate data set</w:t>
            </w:r>
          </w:p>
        </w:tc>
        <w:tc>
          <w:tcPr>
            <w:tcW w:w="5940" w:type="dxa"/>
          </w:tcPr>
          <w:p w14:paraId="4C6A1E2C" w14:textId="77777777" w:rsidR="004C3CE9" w:rsidRPr="001C68DE" w:rsidRDefault="004C3CE9" w:rsidP="001136D3">
            <w:pPr>
              <w:spacing w:after="0"/>
              <w:rPr>
                <w:rFonts w:eastAsia="Calibri"/>
                <w:szCs w:val="24"/>
                <w:lang w:val="en-GB"/>
              </w:rPr>
            </w:pPr>
            <w:r w:rsidRPr="001C68DE">
              <w:rPr>
                <w:rFonts w:eastAsia="Calibri"/>
                <w:szCs w:val="24"/>
              </w:rPr>
              <w:t xml:space="preserve">The task validates the LPCO application data set received. </w:t>
            </w:r>
          </w:p>
        </w:tc>
      </w:tr>
      <w:tr w:rsidR="00394B0B" w:rsidRPr="001C68DE" w14:paraId="48BF1413" w14:textId="77777777" w:rsidTr="001136D3">
        <w:tc>
          <w:tcPr>
            <w:tcW w:w="1165" w:type="dxa"/>
          </w:tcPr>
          <w:p w14:paraId="0EAABD9E" w14:textId="03DCAFD2" w:rsidR="00394B0B" w:rsidRPr="001C68DE" w:rsidRDefault="00394B0B" w:rsidP="001136D3">
            <w:pPr>
              <w:spacing w:after="0"/>
              <w:rPr>
                <w:rFonts w:eastAsia="Calibri"/>
                <w:szCs w:val="24"/>
                <w:lang w:val="en-GB"/>
              </w:rPr>
            </w:pPr>
            <w:r>
              <w:rPr>
                <w:rFonts w:eastAsia="Calibri"/>
                <w:szCs w:val="24"/>
                <w:lang w:val="en-GB"/>
              </w:rPr>
              <w:t>Service Task</w:t>
            </w:r>
          </w:p>
        </w:tc>
        <w:tc>
          <w:tcPr>
            <w:tcW w:w="2250" w:type="dxa"/>
          </w:tcPr>
          <w:p w14:paraId="473920F4" w14:textId="77777777" w:rsidR="00394B0B" w:rsidRPr="001C68DE" w:rsidRDefault="00394B0B" w:rsidP="001136D3">
            <w:pPr>
              <w:spacing w:after="0"/>
              <w:rPr>
                <w:rFonts w:eastAsia="Calibri"/>
                <w:szCs w:val="24"/>
                <w:lang w:val="en-GB"/>
              </w:rPr>
            </w:pPr>
            <w:r w:rsidRPr="001C68DE">
              <w:rPr>
                <w:rFonts w:eastAsia="Calibri"/>
                <w:szCs w:val="24"/>
                <w:lang w:val="en-GB"/>
              </w:rPr>
              <w:t>Perform risk assessment based on the agency profiles</w:t>
            </w:r>
          </w:p>
        </w:tc>
        <w:tc>
          <w:tcPr>
            <w:tcW w:w="5940" w:type="dxa"/>
          </w:tcPr>
          <w:p w14:paraId="75B20036" w14:textId="77777777" w:rsidR="00394B0B" w:rsidRPr="00F860E2" w:rsidRDefault="00394B0B" w:rsidP="001136D3">
            <w:pPr>
              <w:spacing w:after="0"/>
              <w:rPr>
                <w:rFonts w:eastAsia="Calibri"/>
                <w:szCs w:val="24"/>
              </w:rPr>
            </w:pPr>
            <w:r w:rsidRPr="001C68DE">
              <w:rPr>
                <w:rFonts w:eastAsia="Calibri"/>
                <w:szCs w:val="24"/>
                <w:lang w:val="en-GB"/>
              </w:rPr>
              <w:t xml:space="preserve">The task performs risk analysis on the LPCO Application using the defined CBRA profiles for LPCO Application. </w:t>
            </w:r>
          </w:p>
        </w:tc>
      </w:tr>
      <w:tr w:rsidR="00394B0B" w:rsidRPr="001C68DE" w14:paraId="320E7EE6" w14:textId="77777777" w:rsidTr="001136D3">
        <w:tc>
          <w:tcPr>
            <w:tcW w:w="1165" w:type="dxa"/>
          </w:tcPr>
          <w:p w14:paraId="6571EB80" w14:textId="117E2B54" w:rsidR="00394B0B" w:rsidRPr="001C68DE" w:rsidRDefault="00394B0B" w:rsidP="001136D3">
            <w:pPr>
              <w:spacing w:after="0"/>
              <w:rPr>
                <w:rFonts w:eastAsia="Calibri"/>
                <w:szCs w:val="24"/>
                <w:lang w:val="en-GB"/>
              </w:rPr>
            </w:pPr>
            <w:r>
              <w:rPr>
                <w:rFonts w:eastAsia="Calibri"/>
                <w:szCs w:val="24"/>
                <w:lang w:val="en-GB"/>
              </w:rPr>
              <w:t>Service Task</w:t>
            </w:r>
          </w:p>
        </w:tc>
        <w:tc>
          <w:tcPr>
            <w:tcW w:w="2250" w:type="dxa"/>
          </w:tcPr>
          <w:p w14:paraId="5E647C18" w14:textId="77777777" w:rsidR="00394B0B" w:rsidRPr="001C68DE" w:rsidRDefault="00394B0B" w:rsidP="001136D3">
            <w:pPr>
              <w:spacing w:after="0"/>
              <w:rPr>
                <w:rFonts w:eastAsia="Calibri"/>
                <w:szCs w:val="24"/>
                <w:lang w:val="en-GB"/>
              </w:rPr>
            </w:pPr>
            <w:r w:rsidRPr="001C68DE">
              <w:rPr>
                <w:rFonts w:eastAsia="Calibri"/>
                <w:szCs w:val="24"/>
                <w:lang w:val="en-GB"/>
              </w:rPr>
              <w:t>Perform risk assessment based on the shared profiles</w:t>
            </w:r>
          </w:p>
        </w:tc>
        <w:tc>
          <w:tcPr>
            <w:tcW w:w="5940" w:type="dxa"/>
          </w:tcPr>
          <w:p w14:paraId="4FF98274" w14:textId="77777777" w:rsidR="00394B0B" w:rsidRPr="001C68DE" w:rsidRDefault="00394B0B" w:rsidP="001136D3">
            <w:pPr>
              <w:spacing w:after="0"/>
              <w:rPr>
                <w:rFonts w:eastAsia="Calibri"/>
                <w:szCs w:val="24"/>
                <w:lang w:val="en-GB"/>
              </w:rPr>
            </w:pPr>
            <w:r w:rsidRPr="001C68DE">
              <w:rPr>
                <w:rFonts w:eastAsia="Calibri"/>
                <w:szCs w:val="24"/>
              </w:rPr>
              <w:t xml:space="preserve">The task performs risk assessment on the LPCO Application with the </w:t>
            </w:r>
            <w:r w:rsidRPr="001C68DE">
              <w:rPr>
                <w:rFonts w:eastAsia="Calibri"/>
                <w:szCs w:val="24"/>
                <w:lang w:val="en-GB"/>
              </w:rPr>
              <w:t xml:space="preserve">shared profiles or indicators from EU TAXUD, </w:t>
            </w:r>
            <w:r>
              <w:rPr>
                <w:rFonts w:eastAsia="Calibri"/>
                <w:szCs w:val="24"/>
                <w:lang w:val="en-GB"/>
              </w:rPr>
              <w:t>CEFTA</w:t>
            </w:r>
            <w:r w:rsidRPr="001C68DE">
              <w:rPr>
                <w:rFonts w:eastAsia="Calibri"/>
                <w:szCs w:val="24"/>
                <w:lang w:val="en-GB"/>
              </w:rPr>
              <w:t>, other countries government agencies.</w:t>
            </w:r>
          </w:p>
        </w:tc>
      </w:tr>
      <w:tr w:rsidR="00394B0B" w:rsidRPr="001C68DE" w14:paraId="293EBA88" w14:textId="77777777" w:rsidTr="001136D3">
        <w:tc>
          <w:tcPr>
            <w:tcW w:w="1165" w:type="dxa"/>
          </w:tcPr>
          <w:p w14:paraId="71270077" w14:textId="15E6DDEB" w:rsidR="00394B0B" w:rsidRPr="001C68DE" w:rsidRDefault="00394B0B" w:rsidP="001136D3">
            <w:pPr>
              <w:spacing w:after="0"/>
              <w:rPr>
                <w:rFonts w:eastAsia="Calibri"/>
                <w:szCs w:val="24"/>
                <w:lang w:val="en-GB"/>
              </w:rPr>
            </w:pPr>
            <w:r>
              <w:rPr>
                <w:rFonts w:eastAsia="Calibri"/>
                <w:szCs w:val="24"/>
                <w:lang w:val="en-GB"/>
              </w:rPr>
              <w:lastRenderedPageBreak/>
              <w:t>Service Task</w:t>
            </w:r>
          </w:p>
        </w:tc>
        <w:tc>
          <w:tcPr>
            <w:tcW w:w="2250" w:type="dxa"/>
          </w:tcPr>
          <w:p w14:paraId="0049B6F1" w14:textId="77777777" w:rsidR="00394B0B" w:rsidRPr="001C68DE" w:rsidRDefault="00394B0B" w:rsidP="001136D3">
            <w:pPr>
              <w:spacing w:after="0"/>
              <w:rPr>
                <w:rFonts w:eastAsia="Calibri"/>
                <w:szCs w:val="24"/>
                <w:lang w:val="en-GB"/>
              </w:rPr>
            </w:pPr>
            <w:r w:rsidRPr="001C68DE">
              <w:rPr>
                <w:rFonts w:eastAsia="Calibri"/>
                <w:szCs w:val="24"/>
                <w:lang w:val="en-GB"/>
              </w:rPr>
              <w:t>Check if external information is needed</w:t>
            </w:r>
          </w:p>
        </w:tc>
        <w:tc>
          <w:tcPr>
            <w:tcW w:w="5940" w:type="dxa"/>
          </w:tcPr>
          <w:p w14:paraId="26FBE9A2" w14:textId="77777777" w:rsidR="00394B0B" w:rsidRPr="001C68DE" w:rsidRDefault="00394B0B" w:rsidP="001136D3">
            <w:pPr>
              <w:spacing w:after="0"/>
              <w:rPr>
                <w:rFonts w:eastAsia="Calibri"/>
                <w:szCs w:val="24"/>
                <w:lang w:val="en-GB"/>
              </w:rPr>
            </w:pPr>
            <w:r w:rsidRPr="001C68DE">
              <w:rPr>
                <w:rFonts w:eastAsia="Calibri"/>
                <w:szCs w:val="24"/>
                <w:lang w:val="en-GB"/>
              </w:rPr>
              <w:t xml:space="preserve">The system checks if additional risk assessment from external system is need/required. </w:t>
            </w:r>
          </w:p>
        </w:tc>
      </w:tr>
      <w:tr w:rsidR="004C3CE9" w:rsidRPr="001C68DE" w14:paraId="525CB827" w14:textId="77777777" w:rsidTr="001136D3">
        <w:tc>
          <w:tcPr>
            <w:tcW w:w="1165" w:type="dxa"/>
          </w:tcPr>
          <w:p w14:paraId="6686AAA0" w14:textId="3B8357C7" w:rsidR="004C3CE9" w:rsidRPr="001C68DE" w:rsidRDefault="00394B0B" w:rsidP="001136D3">
            <w:pPr>
              <w:spacing w:after="0"/>
              <w:rPr>
                <w:rFonts w:eastAsia="Calibri"/>
                <w:szCs w:val="24"/>
                <w:lang w:val="en-GB"/>
              </w:rPr>
            </w:pPr>
            <w:r>
              <w:rPr>
                <w:rFonts w:eastAsia="Calibri"/>
                <w:szCs w:val="24"/>
                <w:lang w:val="en-GB"/>
              </w:rPr>
              <w:t>Send Task</w:t>
            </w:r>
          </w:p>
        </w:tc>
        <w:tc>
          <w:tcPr>
            <w:tcW w:w="2250" w:type="dxa"/>
          </w:tcPr>
          <w:p w14:paraId="574CB74E" w14:textId="77777777" w:rsidR="004C3CE9" w:rsidRPr="001C68DE" w:rsidRDefault="004C3CE9" w:rsidP="001136D3">
            <w:pPr>
              <w:spacing w:after="0"/>
              <w:rPr>
                <w:rFonts w:eastAsia="Calibri"/>
                <w:szCs w:val="24"/>
                <w:lang w:val="en-GB"/>
              </w:rPr>
            </w:pPr>
            <w:r w:rsidRPr="001C68DE">
              <w:rPr>
                <w:rFonts w:eastAsia="Calibri"/>
                <w:szCs w:val="24"/>
                <w:lang w:val="en-GB"/>
              </w:rPr>
              <w:t>Send a request to external system.</w:t>
            </w:r>
          </w:p>
        </w:tc>
        <w:tc>
          <w:tcPr>
            <w:tcW w:w="5940" w:type="dxa"/>
          </w:tcPr>
          <w:p w14:paraId="35211CDA" w14:textId="77777777" w:rsidR="004C3CE9" w:rsidRPr="001C68DE" w:rsidRDefault="004C3CE9" w:rsidP="001136D3">
            <w:pPr>
              <w:spacing w:after="0"/>
              <w:rPr>
                <w:rFonts w:eastAsia="Calibri"/>
                <w:szCs w:val="24"/>
                <w:lang w:val="en-GB"/>
              </w:rPr>
            </w:pPr>
            <w:r w:rsidRPr="001C68DE">
              <w:rPr>
                <w:rFonts w:eastAsia="Calibri"/>
                <w:szCs w:val="24"/>
                <w:lang w:val="en-GB"/>
              </w:rPr>
              <w:t xml:space="preserve">The system sends the LPCO Application data for external risk assessment. </w:t>
            </w:r>
          </w:p>
        </w:tc>
      </w:tr>
      <w:tr w:rsidR="00394B0B" w:rsidRPr="001C68DE" w14:paraId="1C8B621A" w14:textId="77777777" w:rsidTr="001136D3">
        <w:tc>
          <w:tcPr>
            <w:tcW w:w="1165" w:type="dxa"/>
          </w:tcPr>
          <w:p w14:paraId="4A118BA8" w14:textId="33977408" w:rsidR="00394B0B" w:rsidRPr="001C68DE" w:rsidRDefault="00394B0B" w:rsidP="001136D3">
            <w:pPr>
              <w:spacing w:after="0"/>
              <w:rPr>
                <w:rFonts w:eastAsia="Calibri"/>
                <w:szCs w:val="24"/>
                <w:lang w:val="en-GB"/>
              </w:rPr>
            </w:pPr>
            <w:r>
              <w:rPr>
                <w:rFonts w:eastAsia="Calibri"/>
                <w:szCs w:val="24"/>
                <w:lang w:val="en-GB"/>
              </w:rPr>
              <w:t>Service Task</w:t>
            </w:r>
          </w:p>
        </w:tc>
        <w:tc>
          <w:tcPr>
            <w:tcW w:w="2250" w:type="dxa"/>
          </w:tcPr>
          <w:p w14:paraId="1E277D8E" w14:textId="77777777" w:rsidR="00394B0B" w:rsidRPr="001C68DE" w:rsidRDefault="00394B0B" w:rsidP="001136D3">
            <w:pPr>
              <w:spacing w:after="0"/>
              <w:rPr>
                <w:rFonts w:eastAsia="Calibri"/>
                <w:szCs w:val="24"/>
                <w:lang w:val="en-GB"/>
              </w:rPr>
            </w:pPr>
            <w:r w:rsidRPr="001C68DE">
              <w:rPr>
                <w:rFonts w:eastAsia="Calibri"/>
                <w:szCs w:val="24"/>
                <w:lang w:val="en-GB"/>
              </w:rPr>
              <w:t>Perform Random Selection</w:t>
            </w:r>
          </w:p>
        </w:tc>
        <w:tc>
          <w:tcPr>
            <w:tcW w:w="5940" w:type="dxa"/>
          </w:tcPr>
          <w:p w14:paraId="6C087C09" w14:textId="77777777" w:rsidR="00394B0B" w:rsidRPr="001C68DE" w:rsidRDefault="00394B0B" w:rsidP="001136D3">
            <w:pPr>
              <w:spacing w:after="0"/>
              <w:rPr>
                <w:rFonts w:eastAsia="Calibri"/>
                <w:szCs w:val="24"/>
                <w:lang w:val="en-GB"/>
              </w:rPr>
            </w:pPr>
            <w:r>
              <w:rPr>
                <w:rFonts w:eastAsia="Calibri"/>
                <w:szCs w:val="24"/>
                <w:lang w:val="en-GB"/>
              </w:rPr>
              <w:t>S</w:t>
            </w:r>
            <w:r w:rsidRPr="001C68DE">
              <w:rPr>
                <w:rFonts w:eastAsia="Calibri"/>
                <w:szCs w:val="24"/>
                <w:lang w:val="en-GB"/>
              </w:rPr>
              <w:t>elect</w:t>
            </w:r>
            <w:r>
              <w:rPr>
                <w:rFonts w:eastAsia="Calibri"/>
                <w:szCs w:val="24"/>
                <w:lang w:val="en-GB"/>
              </w:rPr>
              <w:t xml:space="preserve"> randomly</w:t>
            </w:r>
            <w:r w:rsidRPr="001C68DE">
              <w:rPr>
                <w:rFonts w:eastAsia="Calibri"/>
                <w:szCs w:val="24"/>
                <w:lang w:val="en-GB"/>
              </w:rPr>
              <w:t xml:space="preserve"> LPCO </w:t>
            </w:r>
            <w:r>
              <w:rPr>
                <w:rFonts w:eastAsia="Calibri"/>
                <w:szCs w:val="24"/>
                <w:lang w:val="en-GB"/>
              </w:rPr>
              <w:t>Application for documentary, physical or sampling control</w:t>
            </w:r>
            <w:r w:rsidRPr="001C68DE">
              <w:rPr>
                <w:rFonts w:eastAsia="Calibri"/>
                <w:szCs w:val="24"/>
                <w:lang w:val="en-GB"/>
              </w:rPr>
              <w:t>.</w:t>
            </w:r>
          </w:p>
        </w:tc>
      </w:tr>
      <w:tr w:rsidR="00394B0B" w:rsidRPr="001C68DE" w14:paraId="23E89A49" w14:textId="77777777" w:rsidTr="001136D3">
        <w:tc>
          <w:tcPr>
            <w:tcW w:w="1165" w:type="dxa"/>
          </w:tcPr>
          <w:p w14:paraId="2A3F4A9A" w14:textId="072A1D44" w:rsidR="00394B0B" w:rsidRPr="001C68DE" w:rsidRDefault="00394B0B" w:rsidP="001136D3">
            <w:pPr>
              <w:spacing w:after="0"/>
              <w:rPr>
                <w:rFonts w:eastAsia="Calibri"/>
                <w:szCs w:val="24"/>
                <w:lang w:val="en-GB"/>
              </w:rPr>
            </w:pPr>
            <w:r>
              <w:rPr>
                <w:rFonts w:eastAsia="Calibri"/>
                <w:szCs w:val="24"/>
                <w:lang w:val="en-GB"/>
              </w:rPr>
              <w:t>Service Task</w:t>
            </w:r>
          </w:p>
        </w:tc>
        <w:tc>
          <w:tcPr>
            <w:tcW w:w="2250" w:type="dxa"/>
          </w:tcPr>
          <w:p w14:paraId="591DB08A" w14:textId="77777777" w:rsidR="00394B0B" w:rsidRPr="001C68DE" w:rsidRDefault="00394B0B" w:rsidP="001136D3">
            <w:pPr>
              <w:spacing w:after="0"/>
              <w:rPr>
                <w:rFonts w:eastAsia="Calibri"/>
                <w:szCs w:val="24"/>
                <w:lang w:val="en-GB"/>
              </w:rPr>
            </w:pPr>
            <w:r w:rsidRPr="001C68DE">
              <w:rPr>
                <w:rFonts w:eastAsia="Calibri"/>
                <w:szCs w:val="24"/>
                <w:lang w:val="en-GB"/>
              </w:rPr>
              <w:t xml:space="preserve">Provide Risk Assessment Results to LPCO </w:t>
            </w:r>
            <w:r>
              <w:rPr>
                <w:rFonts w:eastAsia="Calibri"/>
                <w:szCs w:val="24"/>
                <w:lang w:val="en-GB"/>
              </w:rPr>
              <w:t>Workflow</w:t>
            </w:r>
          </w:p>
        </w:tc>
        <w:tc>
          <w:tcPr>
            <w:tcW w:w="5940" w:type="dxa"/>
          </w:tcPr>
          <w:p w14:paraId="630A799E" w14:textId="77777777" w:rsidR="00394B0B" w:rsidRPr="001C68DE" w:rsidRDefault="00394B0B"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store results of assessment and notify LPCO </w:t>
            </w:r>
            <w:r>
              <w:rPr>
                <w:rFonts w:eastAsia="Calibri"/>
                <w:szCs w:val="24"/>
                <w:lang w:val="en-GB"/>
              </w:rPr>
              <w:t>Workflow module</w:t>
            </w:r>
            <w:r w:rsidRPr="001C68DE">
              <w:rPr>
                <w:rFonts w:eastAsia="Calibri"/>
                <w:szCs w:val="24"/>
                <w:lang w:val="en-GB"/>
              </w:rPr>
              <w:t xml:space="preserve"> about results of the assessment. </w:t>
            </w:r>
          </w:p>
        </w:tc>
      </w:tr>
      <w:tr w:rsidR="00394B0B" w:rsidRPr="001C68DE" w14:paraId="3B2FA277" w14:textId="77777777" w:rsidTr="001136D3">
        <w:tc>
          <w:tcPr>
            <w:tcW w:w="1165" w:type="dxa"/>
          </w:tcPr>
          <w:p w14:paraId="2D73ADF9" w14:textId="1AFF57B6" w:rsidR="00394B0B" w:rsidRPr="001C68DE" w:rsidRDefault="00394B0B" w:rsidP="001136D3">
            <w:pPr>
              <w:spacing w:after="0"/>
              <w:rPr>
                <w:rFonts w:eastAsia="Calibri"/>
                <w:szCs w:val="24"/>
                <w:lang w:val="mk-MK"/>
              </w:rPr>
            </w:pPr>
            <w:r>
              <w:rPr>
                <w:rFonts w:eastAsia="Calibri"/>
                <w:szCs w:val="24"/>
                <w:lang w:val="en-GB"/>
              </w:rPr>
              <w:t>Send Task</w:t>
            </w:r>
          </w:p>
        </w:tc>
        <w:tc>
          <w:tcPr>
            <w:tcW w:w="2250" w:type="dxa"/>
          </w:tcPr>
          <w:p w14:paraId="49E5FFED" w14:textId="77777777" w:rsidR="00394B0B" w:rsidRPr="001C68DE" w:rsidRDefault="00394B0B" w:rsidP="001136D3">
            <w:pPr>
              <w:spacing w:after="0"/>
              <w:rPr>
                <w:rFonts w:eastAsia="Calibri"/>
                <w:szCs w:val="24"/>
                <w:lang w:val="en-GB"/>
              </w:rPr>
            </w:pPr>
            <w:r w:rsidRPr="001C68DE">
              <w:rPr>
                <w:rFonts w:eastAsia="Calibri"/>
                <w:szCs w:val="24"/>
                <w:lang w:val="en-GB"/>
              </w:rPr>
              <w:t>Send Risk Assessment Results to the Data Warehouse</w:t>
            </w:r>
          </w:p>
        </w:tc>
        <w:tc>
          <w:tcPr>
            <w:tcW w:w="5940" w:type="dxa"/>
          </w:tcPr>
          <w:p w14:paraId="1797F21B" w14:textId="77777777" w:rsidR="00394B0B" w:rsidRPr="001C68DE" w:rsidRDefault="00394B0B" w:rsidP="001136D3">
            <w:pPr>
              <w:spacing w:after="0"/>
              <w:rPr>
                <w:rFonts w:eastAsia="Calibri"/>
                <w:szCs w:val="24"/>
                <w:lang w:val="en-GB"/>
              </w:rPr>
            </w:pPr>
            <w:r>
              <w:rPr>
                <w:rFonts w:eastAsia="Calibri"/>
                <w:szCs w:val="24"/>
                <w:lang w:val="en-GB"/>
              </w:rPr>
              <w:t>The RMC must</w:t>
            </w:r>
            <w:r w:rsidRPr="001C68DE">
              <w:rPr>
                <w:rFonts w:eastAsia="Calibri"/>
                <w:szCs w:val="24"/>
                <w:lang w:val="en-GB"/>
              </w:rPr>
              <w:t xml:space="preserve"> send the result of the assessment for storage in Data Warehouse.</w:t>
            </w:r>
          </w:p>
        </w:tc>
      </w:tr>
    </w:tbl>
    <w:p w14:paraId="2D7892F6" w14:textId="77777777" w:rsidR="004C3CE9" w:rsidRDefault="004C3CE9" w:rsidP="004C3CE9">
      <w:pPr>
        <w:spacing w:after="0"/>
        <w:jc w:val="left"/>
        <w:rPr>
          <w:b/>
          <w:i/>
        </w:rPr>
      </w:pPr>
    </w:p>
    <w:p w14:paraId="05AAB825" w14:textId="77777777" w:rsidR="004C3CE9" w:rsidRDefault="004C3CE9" w:rsidP="004C3CE9">
      <w:pPr>
        <w:spacing w:after="0"/>
        <w:jc w:val="left"/>
        <w:rPr>
          <w:b/>
          <w:i/>
        </w:rPr>
      </w:pPr>
    </w:p>
    <w:p w14:paraId="4E4A6D01" w14:textId="77777777" w:rsidR="004C3CE9" w:rsidRDefault="004C3CE9" w:rsidP="004C3CE9">
      <w:pPr>
        <w:rPr>
          <w:b/>
          <w:i/>
        </w:rPr>
      </w:pPr>
      <w:r w:rsidRPr="00160B66">
        <w:rPr>
          <w:b/>
          <w:i/>
        </w:rPr>
        <w:t>Functional Requirements:</w:t>
      </w:r>
    </w:p>
    <w:tbl>
      <w:tblPr>
        <w:tblStyle w:val="TableGrid"/>
        <w:tblW w:w="9355" w:type="dxa"/>
        <w:tblLook w:val="04A0" w:firstRow="1" w:lastRow="0" w:firstColumn="1" w:lastColumn="0" w:noHBand="0" w:noVBand="1"/>
      </w:tblPr>
      <w:tblGrid>
        <w:gridCol w:w="1165"/>
        <w:gridCol w:w="8190"/>
      </w:tblGrid>
      <w:tr w:rsidR="000328C1" w:rsidRPr="001C68DE" w14:paraId="67AB9E76" w14:textId="77777777" w:rsidTr="005E6A97">
        <w:trPr>
          <w:trHeight w:val="396"/>
        </w:trPr>
        <w:tc>
          <w:tcPr>
            <w:tcW w:w="1165" w:type="dxa"/>
            <w:shd w:val="clear" w:color="auto" w:fill="D9D9D9" w:themeFill="background1" w:themeFillShade="D9"/>
          </w:tcPr>
          <w:p w14:paraId="18449516" w14:textId="77777777" w:rsidR="000328C1" w:rsidRPr="001C68DE" w:rsidRDefault="000328C1"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8190" w:type="dxa"/>
            <w:shd w:val="clear" w:color="auto" w:fill="D9D9D9" w:themeFill="background1" w:themeFillShade="D9"/>
          </w:tcPr>
          <w:p w14:paraId="29777AB8" w14:textId="77777777" w:rsidR="000328C1" w:rsidRPr="001C68DE" w:rsidRDefault="000328C1" w:rsidP="001136D3">
            <w:pPr>
              <w:spacing w:after="0"/>
              <w:rPr>
                <w:rFonts w:eastAsia="Calibri"/>
                <w:b/>
                <w:szCs w:val="24"/>
                <w:lang w:val="en-GB"/>
              </w:rPr>
            </w:pPr>
            <w:r w:rsidRPr="001C68DE">
              <w:rPr>
                <w:rFonts w:eastAsia="Calibri"/>
                <w:b/>
                <w:szCs w:val="24"/>
                <w:lang w:val="en-GB"/>
              </w:rPr>
              <w:t>Description</w:t>
            </w:r>
          </w:p>
        </w:tc>
      </w:tr>
      <w:tr w:rsidR="000328C1" w:rsidRPr="001C68DE" w14:paraId="5079A40D" w14:textId="77777777" w:rsidTr="005E6A97">
        <w:trPr>
          <w:trHeight w:val="396"/>
          <w:tblHeader/>
        </w:trPr>
        <w:tc>
          <w:tcPr>
            <w:tcW w:w="1165" w:type="dxa"/>
            <w:shd w:val="clear" w:color="auto" w:fill="auto"/>
            <w:vAlign w:val="center"/>
          </w:tcPr>
          <w:p w14:paraId="3DEB08DB" w14:textId="77777777" w:rsidR="000328C1" w:rsidRPr="001C68DE" w:rsidRDefault="000328C1" w:rsidP="001136D3">
            <w:pPr>
              <w:spacing w:after="0"/>
              <w:rPr>
                <w:rFonts w:eastAsia="Calibri"/>
                <w:b/>
                <w:szCs w:val="24"/>
                <w:lang w:val="en-GB"/>
              </w:rPr>
            </w:pPr>
            <w:r w:rsidRPr="001C68DE">
              <w:rPr>
                <w:rFonts w:eastAsia="Calibri"/>
                <w:szCs w:val="24"/>
                <w:lang w:val="en-GB"/>
              </w:rPr>
              <w:t>FR260</w:t>
            </w:r>
          </w:p>
        </w:tc>
        <w:tc>
          <w:tcPr>
            <w:tcW w:w="8190" w:type="dxa"/>
            <w:shd w:val="clear" w:color="auto" w:fill="auto"/>
          </w:tcPr>
          <w:p w14:paraId="5D8EF5D4" w14:textId="77777777" w:rsidR="000328C1" w:rsidRPr="001C68DE" w:rsidRDefault="000328C1" w:rsidP="001136D3">
            <w:pPr>
              <w:spacing w:after="0"/>
              <w:rPr>
                <w:rFonts w:eastAsia="Calibri"/>
                <w:b/>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 xml:space="preserve">must accept and validated different datasets, based on the economic operator LPCO application, through </w:t>
            </w:r>
            <w:r w:rsidRPr="00FA6222">
              <w:rPr>
                <w:lang w:val="en-GB"/>
              </w:rPr>
              <w:t>mappings for XML LPCO elements</w:t>
            </w:r>
            <w:r>
              <w:rPr>
                <w:lang w:val="en-GB"/>
              </w:rPr>
              <w:t>.</w:t>
            </w:r>
          </w:p>
        </w:tc>
      </w:tr>
      <w:tr w:rsidR="000328C1" w:rsidRPr="001C68DE" w14:paraId="27000A28" w14:textId="77777777" w:rsidTr="005E6A97">
        <w:trPr>
          <w:trHeight w:val="144"/>
          <w:tblHeader/>
        </w:trPr>
        <w:tc>
          <w:tcPr>
            <w:tcW w:w="1165" w:type="dxa"/>
            <w:shd w:val="clear" w:color="auto" w:fill="auto"/>
            <w:vAlign w:val="center"/>
          </w:tcPr>
          <w:p w14:paraId="65975EFC" w14:textId="77777777" w:rsidR="000328C1" w:rsidRPr="001C68DE" w:rsidRDefault="000328C1" w:rsidP="001136D3">
            <w:pPr>
              <w:spacing w:after="0"/>
              <w:rPr>
                <w:rFonts w:eastAsia="Calibri"/>
                <w:b/>
                <w:szCs w:val="24"/>
                <w:lang w:val="en-GB"/>
              </w:rPr>
            </w:pPr>
            <w:r w:rsidRPr="001C68DE">
              <w:rPr>
                <w:rFonts w:eastAsia="Calibri"/>
                <w:szCs w:val="24"/>
                <w:lang w:val="en-GB"/>
              </w:rPr>
              <w:t>FR261</w:t>
            </w:r>
          </w:p>
        </w:tc>
        <w:tc>
          <w:tcPr>
            <w:tcW w:w="8190" w:type="dxa"/>
            <w:shd w:val="clear" w:color="auto" w:fill="auto"/>
          </w:tcPr>
          <w:p w14:paraId="2BA2FE3C" w14:textId="77777777" w:rsidR="000328C1" w:rsidRPr="001C68DE" w:rsidRDefault="000328C1" w:rsidP="001136D3">
            <w:pPr>
              <w:spacing w:after="0"/>
              <w:rPr>
                <w:rFonts w:eastAsia="Calibri"/>
                <w:b/>
                <w:szCs w:val="24"/>
                <w:lang w:val="en-GB"/>
              </w:rPr>
            </w:pPr>
            <w:r w:rsidRPr="001C68DE">
              <w:rPr>
                <w:rFonts w:eastAsia="Calibri"/>
                <w:szCs w:val="24"/>
                <w:lang w:val="en-GB"/>
              </w:rPr>
              <w:t xml:space="preserve">The risk management </w:t>
            </w:r>
            <w:r>
              <w:rPr>
                <w:rFonts w:eastAsia="Calibri"/>
                <w:szCs w:val="24"/>
                <w:lang w:val="en-GB"/>
              </w:rPr>
              <w:t>component</w:t>
            </w:r>
            <w:r w:rsidRPr="001C68DE">
              <w:rPr>
                <w:rFonts w:eastAsia="Calibri"/>
                <w:szCs w:val="24"/>
                <w:lang w:val="en-GB"/>
              </w:rPr>
              <w:t xml:space="preserve"> must be fully configurable </w:t>
            </w:r>
            <w:proofErr w:type="gramStart"/>
            <w:r w:rsidRPr="001C68DE">
              <w:rPr>
                <w:rFonts w:eastAsia="Calibri"/>
                <w:szCs w:val="24"/>
                <w:lang w:val="en-GB"/>
              </w:rPr>
              <w:t>in order to</w:t>
            </w:r>
            <w:proofErr w:type="gramEnd"/>
            <w:r w:rsidRPr="001C68DE">
              <w:rPr>
                <w:rFonts w:eastAsia="Calibri"/>
                <w:szCs w:val="24"/>
                <w:lang w:val="en-GB"/>
              </w:rPr>
              <w:t xml:space="preserve"> define different types of parameters, e.g., risk indicators, criteria, profile, percentage random selection, profile owner, timeout, etc.</w:t>
            </w:r>
          </w:p>
        </w:tc>
      </w:tr>
      <w:tr w:rsidR="000328C1" w:rsidRPr="001C68DE" w14:paraId="15DE59D6" w14:textId="77777777" w:rsidTr="005E6A97">
        <w:trPr>
          <w:trHeight w:val="144"/>
          <w:tblHeader/>
        </w:trPr>
        <w:tc>
          <w:tcPr>
            <w:tcW w:w="1165" w:type="dxa"/>
            <w:shd w:val="clear" w:color="auto" w:fill="auto"/>
            <w:vAlign w:val="center"/>
          </w:tcPr>
          <w:p w14:paraId="47926983" w14:textId="77777777" w:rsidR="000328C1" w:rsidRPr="001C68DE" w:rsidRDefault="000328C1" w:rsidP="001136D3">
            <w:pPr>
              <w:spacing w:after="0"/>
              <w:rPr>
                <w:rFonts w:eastAsia="Calibri"/>
                <w:b/>
                <w:szCs w:val="24"/>
                <w:lang w:val="en-GB"/>
              </w:rPr>
            </w:pPr>
            <w:r w:rsidRPr="001C68DE">
              <w:rPr>
                <w:rFonts w:eastAsia="Calibri"/>
                <w:szCs w:val="24"/>
                <w:lang w:val="en-GB"/>
              </w:rPr>
              <w:t>FR262</w:t>
            </w:r>
          </w:p>
        </w:tc>
        <w:tc>
          <w:tcPr>
            <w:tcW w:w="8190" w:type="dxa"/>
            <w:shd w:val="clear" w:color="auto" w:fill="auto"/>
          </w:tcPr>
          <w:p w14:paraId="682CB310" w14:textId="77777777" w:rsidR="000328C1" w:rsidRPr="000D2D18" w:rsidRDefault="000328C1" w:rsidP="001136D3">
            <w:pPr>
              <w:spacing w:after="0"/>
              <w:rPr>
                <w:rFonts w:eastAsia="Calibri"/>
                <w:szCs w:val="24"/>
                <w:lang w:val="en-GB"/>
              </w:rPr>
            </w:pPr>
            <w:r>
              <w:rPr>
                <w:rFonts w:eastAsia="Calibri"/>
                <w:szCs w:val="24"/>
                <w:lang w:val="en-GB"/>
              </w:rPr>
              <w:t xml:space="preserve">The </w:t>
            </w:r>
            <w:r w:rsidRPr="001C68DE">
              <w:rPr>
                <w:rFonts w:eastAsia="Calibri"/>
                <w:szCs w:val="24"/>
                <w:lang w:val="en-GB"/>
              </w:rPr>
              <w:t xml:space="preserve">Risk Management </w:t>
            </w:r>
            <w:r>
              <w:rPr>
                <w:rFonts w:eastAsia="Calibri"/>
                <w:szCs w:val="24"/>
                <w:lang w:val="en-GB"/>
              </w:rPr>
              <w:t>Component</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assess</w:t>
            </w:r>
            <w:r>
              <w:rPr>
                <w:rFonts w:eastAsia="Calibri"/>
                <w:szCs w:val="24"/>
                <w:lang w:val="en-GB"/>
              </w:rPr>
              <w:t xml:space="preserve"> ONLY LPCO </w:t>
            </w:r>
            <w:r w:rsidRPr="001C68DE">
              <w:rPr>
                <w:rFonts w:eastAsia="Calibri"/>
                <w:szCs w:val="24"/>
                <w:lang w:val="en-GB"/>
              </w:rPr>
              <w:t>Application</w:t>
            </w:r>
            <w:r>
              <w:rPr>
                <w:rFonts w:eastAsia="Calibri"/>
                <w:szCs w:val="24"/>
                <w:lang w:val="en-GB"/>
              </w:rPr>
              <w:t>s</w:t>
            </w:r>
            <w:r w:rsidRPr="001C68DE">
              <w:rPr>
                <w:rFonts w:eastAsia="Calibri"/>
                <w:szCs w:val="24"/>
                <w:lang w:val="en-GB"/>
              </w:rPr>
              <w:t xml:space="preserve"> </w:t>
            </w:r>
            <w:r>
              <w:rPr>
                <w:rFonts w:eastAsia="Calibri"/>
                <w:szCs w:val="24"/>
                <w:lang w:val="en-GB"/>
              </w:rPr>
              <w:t>of the requesting agency, based on the Risk profiles, which are maintained by the same agency.</w:t>
            </w:r>
          </w:p>
        </w:tc>
      </w:tr>
      <w:tr w:rsidR="000328C1" w:rsidRPr="001C68DE" w14:paraId="5A708C80" w14:textId="77777777" w:rsidTr="005E6A97">
        <w:trPr>
          <w:trHeight w:val="144"/>
          <w:tblHeader/>
        </w:trPr>
        <w:tc>
          <w:tcPr>
            <w:tcW w:w="1165" w:type="dxa"/>
            <w:shd w:val="clear" w:color="auto" w:fill="auto"/>
            <w:vAlign w:val="center"/>
          </w:tcPr>
          <w:p w14:paraId="0E29253C" w14:textId="77777777" w:rsidR="000328C1" w:rsidRPr="001C68DE" w:rsidRDefault="000328C1" w:rsidP="001136D3">
            <w:pPr>
              <w:spacing w:after="0"/>
              <w:rPr>
                <w:rFonts w:eastAsia="Calibri"/>
                <w:szCs w:val="24"/>
                <w:lang w:val="en-GB"/>
              </w:rPr>
            </w:pPr>
            <w:r>
              <w:rPr>
                <w:rFonts w:eastAsia="Calibri"/>
                <w:szCs w:val="24"/>
                <w:lang w:val="en-GB"/>
              </w:rPr>
              <w:t>FR263</w:t>
            </w:r>
          </w:p>
        </w:tc>
        <w:tc>
          <w:tcPr>
            <w:tcW w:w="8190" w:type="dxa"/>
            <w:shd w:val="clear" w:color="auto" w:fill="auto"/>
          </w:tcPr>
          <w:p w14:paraId="46AC48C5" w14:textId="77777777" w:rsidR="000328C1" w:rsidRPr="001C68DE" w:rsidRDefault="000328C1" w:rsidP="001136D3">
            <w:pPr>
              <w:spacing w:after="0"/>
              <w:rPr>
                <w:rFonts w:eastAsia="Calibri"/>
                <w:szCs w:val="24"/>
                <w:lang w:val="en-GB"/>
              </w:rPr>
            </w:pPr>
            <w:r>
              <w:rPr>
                <w:rFonts w:eastAsia="Calibri"/>
                <w:szCs w:val="24"/>
                <w:lang w:val="en-GB"/>
              </w:rPr>
              <w:t>The RMC must assess LPCO applications of the requesting agency, based on the Risk profiles, which are provided by other institutions like the DG TAXUD, CEFTA, etc. and provide feedback to those institutions.</w:t>
            </w:r>
          </w:p>
        </w:tc>
      </w:tr>
      <w:tr w:rsidR="000328C1" w:rsidRPr="001C68DE" w14:paraId="6066E7B2" w14:textId="77777777" w:rsidTr="005E6A97">
        <w:trPr>
          <w:trHeight w:val="144"/>
          <w:tblHeader/>
        </w:trPr>
        <w:tc>
          <w:tcPr>
            <w:tcW w:w="1165" w:type="dxa"/>
            <w:shd w:val="clear" w:color="auto" w:fill="auto"/>
            <w:vAlign w:val="center"/>
          </w:tcPr>
          <w:p w14:paraId="2ACAE9A9" w14:textId="77777777" w:rsidR="000328C1" w:rsidRPr="001C68DE" w:rsidRDefault="000328C1" w:rsidP="001136D3">
            <w:pPr>
              <w:spacing w:after="0"/>
              <w:rPr>
                <w:rFonts w:eastAsia="Calibri"/>
                <w:b/>
                <w:szCs w:val="24"/>
                <w:lang w:val="en-GB"/>
              </w:rPr>
            </w:pPr>
            <w:r w:rsidRPr="001C68DE">
              <w:rPr>
                <w:rFonts w:eastAsia="Calibri"/>
                <w:szCs w:val="24"/>
                <w:lang w:val="en-GB"/>
              </w:rPr>
              <w:t>FR264</w:t>
            </w:r>
          </w:p>
        </w:tc>
        <w:tc>
          <w:tcPr>
            <w:tcW w:w="8190" w:type="dxa"/>
            <w:shd w:val="clear" w:color="auto" w:fill="auto"/>
          </w:tcPr>
          <w:p w14:paraId="5F266E6B" w14:textId="77777777" w:rsidR="000328C1" w:rsidRPr="00125135"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 xml:space="preserve">must assess other than the LPCO Application documents. </w:t>
            </w:r>
          </w:p>
        </w:tc>
      </w:tr>
      <w:tr w:rsidR="000328C1" w:rsidRPr="001C68DE" w14:paraId="64E4B715" w14:textId="77777777" w:rsidTr="005E6A97">
        <w:trPr>
          <w:trHeight w:val="144"/>
          <w:tblHeader/>
        </w:trPr>
        <w:tc>
          <w:tcPr>
            <w:tcW w:w="1165" w:type="dxa"/>
            <w:shd w:val="clear" w:color="auto" w:fill="auto"/>
            <w:vAlign w:val="center"/>
          </w:tcPr>
          <w:p w14:paraId="66D375EC" w14:textId="77777777" w:rsidR="000328C1" w:rsidRPr="001C68DE" w:rsidRDefault="000328C1" w:rsidP="001136D3">
            <w:pPr>
              <w:spacing w:after="0"/>
              <w:rPr>
                <w:rFonts w:eastAsia="Calibri"/>
                <w:b/>
                <w:szCs w:val="24"/>
                <w:lang w:val="en-GB"/>
              </w:rPr>
            </w:pPr>
            <w:r w:rsidRPr="001C68DE">
              <w:rPr>
                <w:rFonts w:eastAsia="Calibri"/>
                <w:szCs w:val="24"/>
                <w:lang w:val="en-GB"/>
              </w:rPr>
              <w:t>FR265</w:t>
            </w:r>
          </w:p>
        </w:tc>
        <w:tc>
          <w:tcPr>
            <w:tcW w:w="8190" w:type="dxa"/>
            <w:shd w:val="clear" w:color="auto" w:fill="auto"/>
          </w:tcPr>
          <w:p w14:paraId="4B1E4FB5" w14:textId="77777777" w:rsidR="000328C1" w:rsidRPr="001C68DE" w:rsidRDefault="000328C1" w:rsidP="001136D3">
            <w:pPr>
              <w:spacing w:after="0"/>
              <w:rPr>
                <w:rFonts w:eastAsia="Calibri"/>
                <w:b/>
                <w:szCs w:val="24"/>
                <w:lang w:val="en-GB"/>
              </w:rPr>
            </w:pPr>
            <w:bookmarkStart w:id="721" w:name="_Hlk144218396"/>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 xml:space="preserve">must be able to accept assessment results, provided by external systems and specify the needed actions automatically based on the scoring model. </w:t>
            </w:r>
            <w:bookmarkEnd w:id="721"/>
          </w:p>
        </w:tc>
      </w:tr>
      <w:tr w:rsidR="000328C1" w:rsidRPr="001C68DE" w14:paraId="3F6C2674" w14:textId="77777777" w:rsidTr="005E6A97">
        <w:trPr>
          <w:trHeight w:val="144"/>
          <w:tblHeader/>
        </w:trPr>
        <w:tc>
          <w:tcPr>
            <w:tcW w:w="1165" w:type="dxa"/>
            <w:shd w:val="clear" w:color="auto" w:fill="auto"/>
            <w:vAlign w:val="center"/>
          </w:tcPr>
          <w:p w14:paraId="355082C9" w14:textId="0005C6C9" w:rsidR="000328C1" w:rsidRPr="001C68DE" w:rsidRDefault="00265943" w:rsidP="001136D3">
            <w:pPr>
              <w:spacing w:after="0"/>
              <w:rPr>
                <w:rFonts w:eastAsia="Calibri"/>
                <w:szCs w:val="24"/>
                <w:lang w:val="en-GB"/>
              </w:rPr>
            </w:pPr>
            <w:r>
              <w:rPr>
                <w:rFonts w:eastAsia="Calibri"/>
                <w:szCs w:val="24"/>
                <w:lang w:val="en-GB"/>
              </w:rPr>
              <w:t>FR527</w:t>
            </w:r>
          </w:p>
        </w:tc>
        <w:tc>
          <w:tcPr>
            <w:tcW w:w="8190" w:type="dxa"/>
            <w:shd w:val="clear" w:color="auto" w:fill="auto"/>
          </w:tcPr>
          <w:p w14:paraId="247F36F5" w14:textId="77777777" w:rsidR="000328C1" w:rsidRPr="00BA337A" w:rsidRDefault="000328C1">
            <w:pPr>
              <w:spacing w:after="0"/>
              <w:jc w:val="left"/>
              <w:rPr>
                <w:color w:val="000000"/>
                <w:shd w:val="clear" w:color="auto" w:fill="FFFFFF"/>
              </w:rPr>
            </w:pPr>
            <w:r w:rsidRPr="00825E9C">
              <w:rPr>
                <w:rStyle w:val="normaltextrun"/>
                <w:color w:val="000000"/>
                <w:shd w:val="clear" w:color="auto" w:fill="FFFFFF"/>
                <w:lang w:val="en-GB"/>
              </w:rPr>
              <w:t xml:space="preserve">The Solution </w:t>
            </w:r>
            <w:r>
              <w:rPr>
                <w:rStyle w:val="normaltextrun"/>
                <w:color w:val="000000"/>
                <w:shd w:val="clear" w:color="auto" w:fill="FFFFFF"/>
                <w:lang w:val="en-GB"/>
              </w:rPr>
              <w:t>must</w:t>
            </w:r>
            <w:r w:rsidRPr="00825E9C">
              <w:rPr>
                <w:rStyle w:val="normaltextrun"/>
                <w:color w:val="000000"/>
                <w:shd w:val="clear" w:color="auto" w:fill="FFFFFF"/>
                <w:lang w:val="en-GB"/>
              </w:rPr>
              <w:t xml:space="preserve"> support storage of internal data in a database in the Solution to be used in connection with the Risk </w:t>
            </w:r>
            <w:r>
              <w:rPr>
                <w:rStyle w:val="normaltextrun"/>
                <w:color w:val="000000"/>
                <w:shd w:val="clear" w:color="auto" w:fill="FFFFFF"/>
                <w:lang w:val="en-GB"/>
              </w:rPr>
              <w:t>assessment</w:t>
            </w:r>
            <w:r w:rsidRPr="00825E9C">
              <w:rPr>
                <w:rStyle w:val="normaltextrun"/>
                <w:color w:val="000000"/>
                <w:shd w:val="clear" w:color="auto" w:fill="FFFFFF"/>
                <w:lang w:val="en-GB"/>
              </w:rPr>
              <w:t xml:space="preserve"> process</w:t>
            </w:r>
            <w:r>
              <w:rPr>
                <w:rStyle w:val="normaltextrun"/>
                <w:color w:val="000000"/>
                <w:shd w:val="clear" w:color="auto" w:fill="FFFFFF"/>
                <w:lang w:val="en-GB"/>
              </w:rPr>
              <w:t>.</w:t>
            </w:r>
          </w:p>
        </w:tc>
      </w:tr>
      <w:tr w:rsidR="000328C1" w:rsidRPr="001C68DE" w14:paraId="0F213BB8" w14:textId="77777777" w:rsidTr="005E6A97">
        <w:trPr>
          <w:trHeight w:val="144"/>
          <w:tblHeader/>
        </w:trPr>
        <w:tc>
          <w:tcPr>
            <w:tcW w:w="1165" w:type="dxa"/>
            <w:shd w:val="clear" w:color="auto" w:fill="auto"/>
            <w:vAlign w:val="center"/>
          </w:tcPr>
          <w:p w14:paraId="330BF4A0" w14:textId="77777777" w:rsidR="000328C1" w:rsidRPr="001C68DE" w:rsidRDefault="000328C1" w:rsidP="001136D3">
            <w:pPr>
              <w:spacing w:after="0"/>
              <w:rPr>
                <w:rFonts w:eastAsia="Calibri"/>
                <w:b/>
                <w:szCs w:val="24"/>
                <w:lang w:val="en-GB"/>
              </w:rPr>
            </w:pPr>
            <w:r w:rsidRPr="001C68DE">
              <w:rPr>
                <w:rFonts w:eastAsia="Calibri"/>
                <w:szCs w:val="24"/>
                <w:lang w:val="en-GB"/>
              </w:rPr>
              <w:t>FR274</w:t>
            </w:r>
          </w:p>
        </w:tc>
        <w:tc>
          <w:tcPr>
            <w:tcW w:w="8190" w:type="dxa"/>
            <w:shd w:val="clear" w:color="auto" w:fill="auto"/>
          </w:tcPr>
          <w:p w14:paraId="6287CF1B" w14:textId="77777777" w:rsidR="000328C1" w:rsidRPr="001C68DE" w:rsidRDefault="000328C1" w:rsidP="001136D3">
            <w:pPr>
              <w:spacing w:after="0"/>
              <w:rPr>
                <w:rFonts w:eastAsia="Calibri"/>
                <w:b/>
                <w:szCs w:val="24"/>
                <w:lang w:val="en-GB"/>
              </w:rPr>
            </w:pPr>
            <w:bookmarkStart w:id="722" w:name="_Hlk144218713"/>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an alert / notification system including sending e-mail alerts and SMS to inform all intervention instructions (i.e. the reason for selection) to the risk analyst reviewing the transaction; in the case where more than one risk criteria </w:t>
            </w:r>
            <w:proofErr w:type="gramStart"/>
            <w:r w:rsidRPr="001C68DE">
              <w:rPr>
                <w:rFonts w:eastAsia="Calibri"/>
                <w:szCs w:val="24"/>
                <w:lang w:val="en-GB"/>
              </w:rPr>
              <w:t>applies</w:t>
            </w:r>
            <w:proofErr w:type="gramEnd"/>
            <w:r w:rsidRPr="001C68DE">
              <w:rPr>
                <w:rFonts w:eastAsia="Calibri"/>
                <w:szCs w:val="24"/>
                <w:lang w:val="en-GB"/>
              </w:rPr>
              <w:t>, all intervention instructions will be displayed.</w:t>
            </w:r>
            <w:bookmarkEnd w:id="722"/>
          </w:p>
        </w:tc>
      </w:tr>
      <w:tr w:rsidR="000328C1" w:rsidRPr="001C68DE" w14:paraId="610DF0E9" w14:textId="77777777" w:rsidTr="005E6A97">
        <w:trPr>
          <w:trHeight w:val="670"/>
          <w:tblHeader/>
        </w:trPr>
        <w:tc>
          <w:tcPr>
            <w:tcW w:w="1165" w:type="dxa"/>
            <w:shd w:val="clear" w:color="auto" w:fill="auto"/>
            <w:vAlign w:val="center"/>
          </w:tcPr>
          <w:p w14:paraId="08FCAD75" w14:textId="41D47D60" w:rsidR="000328C1" w:rsidRPr="001C68DE" w:rsidRDefault="00265943" w:rsidP="001136D3">
            <w:pPr>
              <w:spacing w:after="0"/>
              <w:rPr>
                <w:rFonts w:eastAsia="Calibri"/>
                <w:szCs w:val="24"/>
                <w:lang w:val="en-GB"/>
              </w:rPr>
            </w:pPr>
            <w:r>
              <w:rPr>
                <w:rFonts w:eastAsia="Calibri"/>
                <w:szCs w:val="24"/>
                <w:lang w:val="en-GB"/>
              </w:rPr>
              <w:t>FR528</w:t>
            </w:r>
          </w:p>
        </w:tc>
        <w:tc>
          <w:tcPr>
            <w:tcW w:w="8190" w:type="dxa"/>
            <w:shd w:val="clear" w:color="auto" w:fill="auto"/>
          </w:tcPr>
          <w:p w14:paraId="1D6905BD" w14:textId="77777777" w:rsidR="000328C1" w:rsidRPr="00040F18" w:rsidRDefault="000328C1" w:rsidP="001136D3">
            <w:pPr>
              <w:spacing w:after="0"/>
              <w:rPr>
                <w:lang w:val="en-GB"/>
              </w:rPr>
            </w:pPr>
            <w:r w:rsidRPr="00FA6222">
              <w:rPr>
                <w:lang w:val="en-GB"/>
              </w:rPr>
              <w:t>The system should operate as hybrid, both as integrated service and</w:t>
            </w:r>
            <w:r>
              <w:rPr>
                <w:lang w:val="en-GB"/>
              </w:rPr>
              <w:t xml:space="preserve"> </w:t>
            </w:r>
            <w:r w:rsidRPr="00FA6222">
              <w:rPr>
                <w:lang w:val="en-GB"/>
              </w:rPr>
              <w:t>an independent entity. Other Cross Border Regulatory Agencies (CBRAs) should utilize the interfaces to submit LPCO forms for Risk Assessment and retrieve corresponding results.</w:t>
            </w:r>
          </w:p>
        </w:tc>
      </w:tr>
      <w:tr w:rsidR="000328C1" w:rsidRPr="001C68DE" w14:paraId="14344E15" w14:textId="77777777" w:rsidTr="005E6A97">
        <w:trPr>
          <w:trHeight w:val="670"/>
          <w:tblHeader/>
        </w:trPr>
        <w:tc>
          <w:tcPr>
            <w:tcW w:w="1165" w:type="dxa"/>
            <w:shd w:val="clear" w:color="auto" w:fill="auto"/>
            <w:vAlign w:val="center"/>
          </w:tcPr>
          <w:p w14:paraId="6EDFFEE5" w14:textId="77777777" w:rsidR="000328C1" w:rsidRPr="001C68DE" w:rsidRDefault="000328C1" w:rsidP="001136D3">
            <w:pPr>
              <w:spacing w:after="0"/>
              <w:rPr>
                <w:rFonts w:eastAsia="Calibri"/>
                <w:b/>
                <w:szCs w:val="24"/>
                <w:lang w:val="en-GB"/>
              </w:rPr>
            </w:pPr>
            <w:r w:rsidRPr="001C68DE">
              <w:rPr>
                <w:rFonts w:eastAsia="Calibri"/>
                <w:szCs w:val="24"/>
                <w:lang w:val="en-GB"/>
              </w:rPr>
              <w:lastRenderedPageBreak/>
              <w:t>FR276</w:t>
            </w:r>
          </w:p>
        </w:tc>
        <w:tc>
          <w:tcPr>
            <w:tcW w:w="8190" w:type="dxa"/>
            <w:shd w:val="clear" w:color="auto" w:fill="auto"/>
          </w:tcPr>
          <w:p w14:paraId="6FEA8D1C" w14:textId="77777777" w:rsidR="000328C1" w:rsidRPr="001C68DE" w:rsidRDefault="000328C1" w:rsidP="001136D3">
            <w:pPr>
              <w:spacing w:after="0"/>
              <w:rPr>
                <w:rFonts w:eastAsia="Calibri"/>
                <w:b/>
                <w:szCs w:val="24"/>
                <w:lang w:val="en-GB"/>
              </w:rPr>
            </w:pPr>
            <w:bookmarkStart w:id="723" w:name="_Hlk144218945"/>
            <w:r w:rsidRPr="001C68DE">
              <w:rPr>
                <w:rFonts w:eastAsia="Calibri"/>
                <w:szCs w:val="24"/>
                <w:lang w:val="en-GB"/>
              </w:rPr>
              <w:t>To support configurability, 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an administration tool designed to facilitate the continuous updating, keeping </w:t>
            </w:r>
            <w:proofErr w:type="gramStart"/>
            <w:r w:rsidRPr="001C68DE">
              <w:rPr>
                <w:rFonts w:eastAsia="Calibri"/>
                <w:szCs w:val="24"/>
                <w:lang w:val="en-GB"/>
              </w:rPr>
              <w:t>records</w:t>
            </w:r>
            <w:proofErr w:type="gramEnd"/>
            <w:r w:rsidRPr="001C68DE">
              <w:rPr>
                <w:rFonts w:eastAsia="Calibri"/>
                <w:szCs w:val="24"/>
                <w:lang w:val="en-GB"/>
              </w:rPr>
              <w:t xml:space="preserve"> and defining of risk criteria, weightings, trader/import profiles and random sampling.</w:t>
            </w:r>
            <w:bookmarkEnd w:id="723"/>
          </w:p>
        </w:tc>
      </w:tr>
      <w:tr w:rsidR="000328C1" w:rsidRPr="001C68DE" w14:paraId="32AAA6DF" w14:textId="77777777" w:rsidTr="005E6A97">
        <w:trPr>
          <w:trHeight w:val="670"/>
          <w:tblHeader/>
        </w:trPr>
        <w:tc>
          <w:tcPr>
            <w:tcW w:w="1165" w:type="dxa"/>
            <w:shd w:val="clear" w:color="auto" w:fill="auto"/>
            <w:vAlign w:val="center"/>
          </w:tcPr>
          <w:p w14:paraId="35A4261D" w14:textId="77777777" w:rsidR="000328C1" w:rsidRPr="001C68DE" w:rsidRDefault="000328C1" w:rsidP="001136D3">
            <w:pPr>
              <w:spacing w:after="0"/>
              <w:rPr>
                <w:rFonts w:eastAsia="Calibri"/>
                <w:szCs w:val="24"/>
                <w:lang w:val="en-GB"/>
              </w:rPr>
            </w:pPr>
            <w:r w:rsidRPr="001C68DE">
              <w:rPr>
                <w:rFonts w:eastAsia="Calibri"/>
                <w:szCs w:val="24"/>
                <w:lang w:val="en-GB"/>
              </w:rPr>
              <w:t>FR281</w:t>
            </w:r>
          </w:p>
        </w:tc>
        <w:tc>
          <w:tcPr>
            <w:tcW w:w="8190" w:type="dxa"/>
            <w:shd w:val="clear" w:color="auto" w:fill="auto"/>
          </w:tcPr>
          <w:p w14:paraId="25A7D532"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for prohibitions and restrictions </w:t>
            </w:r>
            <w:r>
              <w:rPr>
                <w:rFonts w:eastAsia="Calibri"/>
                <w:szCs w:val="24"/>
                <w:lang w:val="en-GB"/>
              </w:rPr>
              <w:t xml:space="preserve">(blacklists) </w:t>
            </w:r>
            <w:r w:rsidRPr="001C68DE">
              <w:rPr>
                <w:rFonts w:eastAsia="Calibri"/>
                <w:szCs w:val="24"/>
                <w:lang w:val="en-GB"/>
              </w:rPr>
              <w:t>to be defined criteria to ensure any shipment meeting the specific parameters will be selected for inspection.</w:t>
            </w:r>
          </w:p>
        </w:tc>
      </w:tr>
      <w:tr w:rsidR="000328C1" w:rsidRPr="001C68DE" w14:paraId="22B9285F" w14:textId="77777777" w:rsidTr="005E6A97">
        <w:trPr>
          <w:trHeight w:val="670"/>
          <w:tblHeader/>
        </w:trPr>
        <w:tc>
          <w:tcPr>
            <w:tcW w:w="1165" w:type="dxa"/>
            <w:shd w:val="clear" w:color="auto" w:fill="auto"/>
            <w:vAlign w:val="center"/>
          </w:tcPr>
          <w:p w14:paraId="57D08C55" w14:textId="77777777" w:rsidR="000328C1" w:rsidRPr="001C68DE" w:rsidRDefault="000328C1" w:rsidP="001136D3">
            <w:pPr>
              <w:spacing w:after="0"/>
              <w:rPr>
                <w:rFonts w:eastAsia="Calibri"/>
                <w:szCs w:val="24"/>
                <w:lang w:val="en-GB"/>
              </w:rPr>
            </w:pPr>
            <w:r w:rsidRPr="001C68DE">
              <w:rPr>
                <w:rFonts w:eastAsia="Calibri"/>
                <w:szCs w:val="24"/>
                <w:lang w:val="en-GB"/>
              </w:rPr>
              <w:t>FR282</w:t>
            </w:r>
          </w:p>
        </w:tc>
        <w:tc>
          <w:tcPr>
            <w:tcW w:w="8190" w:type="dxa"/>
            <w:shd w:val="clear" w:color="auto" w:fill="auto"/>
          </w:tcPr>
          <w:p w14:paraId="1DBACF8D"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automatically adjust the relevance of the profiles and their respective weighting based upon the performance and the parameters of that criteria application.</w:t>
            </w:r>
          </w:p>
        </w:tc>
      </w:tr>
      <w:tr w:rsidR="000328C1" w:rsidRPr="001C68DE" w14:paraId="4D4B69B7" w14:textId="77777777" w:rsidTr="005E6A97">
        <w:trPr>
          <w:trHeight w:val="950"/>
          <w:tblHeader/>
        </w:trPr>
        <w:tc>
          <w:tcPr>
            <w:tcW w:w="1165" w:type="dxa"/>
            <w:shd w:val="clear" w:color="auto" w:fill="auto"/>
            <w:vAlign w:val="center"/>
          </w:tcPr>
          <w:p w14:paraId="344E7750" w14:textId="77777777" w:rsidR="000328C1" w:rsidRPr="001C68DE" w:rsidRDefault="000328C1" w:rsidP="001136D3">
            <w:pPr>
              <w:spacing w:after="0"/>
              <w:rPr>
                <w:rFonts w:eastAsia="Calibri"/>
                <w:szCs w:val="24"/>
                <w:lang w:val="en-GB"/>
              </w:rPr>
            </w:pPr>
            <w:r w:rsidRPr="001C68DE">
              <w:rPr>
                <w:rFonts w:eastAsia="Calibri"/>
                <w:szCs w:val="24"/>
                <w:lang w:val="en-GB"/>
              </w:rPr>
              <w:t>FR284</w:t>
            </w:r>
          </w:p>
        </w:tc>
        <w:tc>
          <w:tcPr>
            <w:tcW w:w="8190" w:type="dxa"/>
            <w:shd w:val="clear" w:color="auto" w:fill="auto"/>
          </w:tcPr>
          <w:p w14:paraId="6C4FD280" w14:textId="77777777" w:rsidR="000328C1" w:rsidRPr="001C68DE" w:rsidRDefault="000328C1" w:rsidP="001136D3">
            <w:pPr>
              <w:spacing w:after="0"/>
              <w:rPr>
                <w:rFonts w:eastAsia="Calibri"/>
                <w:szCs w:val="24"/>
                <w:lang w:val="en-GB"/>
              </w:rPr>
            </w:pPr>
            <w:r w:rsidRPr="001C68DE">
              <w:rPr>
                <w:rFonts w:eastAsia="Calibri"/>
                <w:szCs w:val="24"/>
                <w:lang w:val="en-GB"/>
              </w:rPr>
              <w:t>The user will have the option to enter the frequency including counting mechanism under which specific CBRA should be executed (example, 3% inspection rate for shipments coming from country X and containing goods under classification Y, or first 10-20 shipments with same conditions).</w:t>
            </w:r>
          </w:p>
        </w:tc>
      </w:tr>
      <w:tr w:rsidR="000328C1" w:rsidRPr="001C68DE" w14:paraId="3EA6540E" w14:textId="77777777" w:rsidTr="005E6A97">
        <w:trPr>
          <w:trHeight w:val="670"/>
          <w:tblHeader/>
        </w:trPr>
        <w:tc>
          <w:tcPr>
            <w:tcW w:w="1165" w:type="dxa"/>
            <w:shd w:val="clear" w:color="auto" w:fill="auto"/>
            <w:vAlign w:val="center"/>
          </w:tcPr>
          <w:p w14:paraId="61237D00" w14:textId="77777777" w:rsidR="000328C1" w:rsidRPr="001C68DE" w:rsidRDefault="000328C1" w:rsidP="001136D3">
            <w:pPr>
              <w:spacing w:after="0"/>
              <w:rPr>
                <w:rFonts w:eastAsia="Calibri"/>
                <w:szCs w:val="24"/>
                <w:lang w:val="en-GB"/>
              </w:rPr>
            </w:pPr>
            <w:r w:rsidRPr="001C68DE">
              <w:rPr>
                <w:rFonts w:eastAsia="Calibri"/>
                <w:szCs w:val="24"/>
                <w:lang w:val="en-GB"/>
              </w:rPr>
              <w:t>FR285</w:t>
            </w:r>
          </w:p>
        </w:tc>
        <w:tc>
          <w:tcPr>
            <w:tcW w:w="8190" w:type="dxa"/>
            <w:shd w:val="clear" w:color="auto" w:fill="auto"/>
          </w:tcPr>
          <w:p w14:paraId="15F6F875"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recommend the control actions that must be taken based on the risk level. In addition to recommending specific control actions, the RMS will also provide instructions to be carried out during control procedures.</w:t>
            </w:r>
          </w:p>
        </w:tc>
      </w:tr>
      <w:tr w:rsidR="000328C1" w:rsidRPr="001C68DE" w14:paraId="3D69B2FC" w14:textId="77777777" w:rsidTr="005E6A97">
        <w:trPr>
          <w:trHeight w:val="940"/>
          <w:tblHeader/>
        </w:trPr>
        <w:tc>
          <w:tcPr>
            <w:tcW w:w="1165" w:type="dxa"/>
            <w:shd w:val="clear" w:color="auto" w:fill="auto"/>
            <w:vAlign w:val="center"/>
          </w:tcPr>
          <w:p w14:paraId="0DF375BB" w14:textId="77777777" w:rsidR="000328C1" w:rsidRPr="001C68DE" w:rsidRDefault="000328C1" w:rsidP="001136D3">
            <w:pPr>
              <w:spacing w:after="0"/>
              <w:rPr>
                <w:rFonts w:eastAsia="Calibri"/>
                <w:szCs w:val="24"/>
                <w:lang w:val="en-GB"/>
              </w:rPr>
            </w:pPr>
            <w:r>
              <w:rPr>
                <w:rFonts w:eastAsia="Calibri"/>
                <w:szCs w:val="24"/>
                <w:lang w:val="en-GB"/>
              </w:rPr>
              <w:t>FR286</w:t>
            </w:r>
          </w:p>
        </w:tc>
        <w:tc>
          <w:tcPr>
            <w:tcW w:w="8190" w:type="dxa"/>
            <w:shd w:val="clear" w:color="auto" w:fill="auto"/>
          </w:tcPr>
          <w:p w14:paraId="003647B6" w14:textId="77777777" w:rsidR="000328C1" w:rsidRPr="001C68DE" w:rsidRDefault="000328C1" w:rsidP="001136D3">
            <w:pPr>
              <w:spacing w:after="0"/>
              <w:rPr>
                <w:rFonts w:eastAsia="Calibri"/>
                <w:szCs w:val="24"/>
                <w:lang w:val="en-GB"/>
              </w:rPr>
            </w:pPr>
            <w:r w:rsidRPr="00825E9C">
              <w:rPr>
                <w:lang w:val="en-GB"/>
              </w:rPr>
              <w:t xml:space="preserve">The Solution </w:t>
            </w:r>
            <w:r>
              <w:rPr>
                <w:lang w:val="en-GB"/>
              </w:rPr>
              <w:t>must</w:t>
            </w:r>
            <w:r w:rsidRPr="00825E9C">
              <w:rPr>
                <w:lang w:val="en-GB"/>
              </w:rPr>
              <w:t xml:space="preserve"> ensure that Control Recommendations are derived from a combined assessment of the </w:t>
            </w:r>
            <w:r>
              <w:rPr>
                <w:lang w:val="en-GB"/>
              </w:rPr>
              <w:t>Agency</w:t>
            </w:r>
            <w:r w:rsidRPr="00825E9C">
              <w:rPr>
                <w:lang w:val="en-GB"/>
              </w:rPr>
              <w:t xml:space="preserve"> Risk Criteria(‘s), Risk Profiles, Random Selection and Risk Models.</w:t>
            </w:r>
          </w:p>
        </w:tc>
      </w:tr>
      <w:tr w:rsidR="000328C1" w:rsidRPr="001C68DE" w14:paraId="0FF0AE17" w14:textId="77777777" w:rsidTr="005E6A97">
        <w:trPr>
          <w:trHeight w:val="940"/>
          <w:tblHeader/>
        </w:trPr>
        <w:tc>
          <w:tcPr>
            <w:tcW w:w="1165" w:type="dxa"/>
            <w:shd w:val="clear" w:color="auto" w:fill="auto"/>
            <w:vAlign w:val="center"/>
          </w:tcPr>
          <w:p w14:paraId="1B044B49" w14:textId="77777777" w:rsidR="000328C1" w:rsidRPr="001C68DE" w:rsidRDefault="000328C1" w:rsidP="001136D3">
            <w:pPr>
              <w:spacing w:after="0"/>
              <w:rPr>
                <w:rFonts w:eastAsia="Calibri"/>
                <w:szCs w:val="24"/>
                <w:lang w:val="en-GB"/>
              </w:rPr>
            </w:pPr>
            <w:r w:rsidRPr="001C68DE">
              <w:rPr>
                <w:rFonts w:eastAsia="Calibri"/>
                <w:szCs w:val="24"/>
                <w:lang w:val="en-GB"/>
              </w:rPr>
              <w:t>FR287</w:t>
            </w:r>
          </w:p>
        </w:tc>
        <w:tc>
          <w:tcPr>
            <w:tcW w:w="8190" w:type="dxa"/>
            <w:shd w:val="clear" w:color="auto" w:fill="auto"/>
          </w:tcPr>
          <w:p w14:paraId="4F371A16" w14:textId="77777777" w:rsidR="000328C1" w:rsidRPr="001C68DE" w:rsidRDefault="000328C1" w:rsidP="001136D3">
            <w:pPr>
              <w:spacing w:after="0"/>
              <w:rPr>
                <w:rFonts w:eastAsia="Calibri"/>
                <w:szCs w:val="24"/>
                <w:lang w:val="bg-BG"/>
              </w:rPr>
            </w:pPr>
            <w:r w:rsidRPr="001C68DE">
              <w:rPr>
                <w:rFonts w:eastAsia="Calibri"/>
                <w:szCs w:val="24"/>
                <w:lang w:val="en-GB"/>
              </w:rPr>
              <w:t xml:space="preserve">The RMS </w:t>
            </w:r>
            <w:r>
              <w:rPr>
                <w:rFonts w:eastAsia="Calibri"/>
                <w:szCs w:val="24"/>
                <w:lang w:val="en-GB"/>
              </w:rPr>
              <w:t>must</w:t>
            </w:r>
            <w:r w:rsidRPr="001C68DE">
              <w:rPr>
                <w:rFonts w:eastAsia="Calibri"/>
                <w:szCs w:val="24"/>
                <w:lang w:val="en-GB"/>
              </w:rPr>
              <w:t xml:space="preserve"> provide for a configurable control treatments and options for </w:t>
            </w:r>
            <w:r>
              <w:rPr>
                <w:rFonts w:eastAsia="Calibri"/>
                <w:szCs w:val="24"/>
                <w:lang w:val="en-GB"/>
              </w:rPr>
              <w:t>specifying</w:t>
            </w:r>
            <w:r w:rsidRPr="001C68DE">
              <w:rPr>
                <w:rFonts w:eastAsia="Calibri"/>
                <w:szCs w:val="24"/>
                <w:lang w:val="en-GB"/>
              </w:rPr>
              <w:t xml:space="preserve"> the consignments based on the risk results</w:t>
            </w:r>
            <w:r>
              <w:rPr>
                <w:rFonts w:eastAsia="Calibri"/>
                <w:szCs w:val="24"/>
                <w:lang w:val="en-GB"/>
              </w:rPr>
              <w:t>:</w:t>
            </w:r>
            <w:r w:rsidRPr="001C68DE">
              <w:rPr>
                <w:rFonts w:eastAsia="Calibri"/>
                <w:szCs w:val="24"/>
                <w:lang w:val="en-GB"/>
              </w:rPr>
              <w:t xml:space="preserve"> green</w:t>
            </w:r>
            <w:r>
              <w:rPr>
                <w:rFonts w:eastAsia="Calibri"/>
                <w:szCs w:val="24"/>
                <w:lang w:val="en-GB"/>
              </w:rPr>
              <w:t>,</w:t>
            </w:r>
            <w:r w:rsidRPr="001C68DE">
              <w:rPr>
                <w:rFonts w:eastAsia="Calibri"/>
                <w:szCs w:val="24"/>
                <w:lang w:val="en-GB"/>
              </w:rPr>
              <w:t xml:space="preserve"> red, yellow, blue lane etc. Colours must be defined for each level</w:t>
            </w:r>
            <w:r>
              <w:rPr>
                <w:rFonts w:eastAsia="Calibri"/>
                <w:szCs w:val="24"/>
                <w:lang w:val="en-GB"/>
              </w:rPr>
              <w:t xml:space="preserve"> in the scoring model</w:t>
            </w:r>
            <w:r w:rsidRPr="001C68DE">
              <w:rPr>
                <w:rFonts w:eastAsia="Calibri"/>
                <w:szCs w:val="24"/>
                <w:lang w:val="en-GB"/>
              </w:rPr>
              <w:t>. Each CBRA should have options to define colour for each level based on agency policy and rules.</w:t>
            </w:r>
          </w:p>
        </w:tc>
      </w:tr>
      <w:tr w:rsidR="000328C1" w:rsidRPr="001C68DE" w14:paraId="7E90D32E" w14:textId="77777777" w:rsidTr="005E6A97">
        <w:trPr>
          <w:trHeight w:val="400"/>
          <w:tblHeader/>
        </w:trPr>
        <w:tc>
          <w:tcPr>
            <w:tcW w:w="1165" w:type="dxa"/>
            <w:shd w:val="clear" w:color="auto" w:fill="auto"/>
            <w:vAlign w:val="center"/>
          </w:tcPr>
          <w:p w14:paraId="1F5351A5" w14:textId="77777777" w:rsidR="000328C1" w:rsidRPr="001C68DE" w:rsidRDefault="000328C1" w:rsidP="001136D3">
            <w:pPr>
              <w:spacing w:after="0"/>
              <w:rPr>
                <w:rFonts w:eastAsia="Calibri"/>
                <w:szCs w:val="24"/>
                <w:lang w:val="en-GB"/>
              </w:rPr>
            </w:pPr>
            <w:r w:rsidRPr="001C68DE">
              <w:rPr>
                <w:rFonts w:eastAsia="Calibri"/>
                <w:szCs w:val="24"/>
                <w:lang w:val="en-GB"/>
              </w:rPr>
              <w:t>FR289</w:t>
            </w:r>
          </w:p>
        </w:tc>
        <w:tc>
          <w:tcPr>
            <w:tcW w:w="8190" w:type="dxa"/>
            <w:shd w:val="clear" w:color="auto" w:fill="auto"/>
          </w:tcPr>
          <w:p w14:paraId="1096A6FC"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allow entering the frequency and time periods under which specific control treatments and options should be executed</w:t>
            </w:r>
          </w:p>
        </w:tc>
      </w:tr>
      <w:tr w:rsidR="000328C1" w:rsidRPr="001C68DE" w14:paraId="3A8FFD3A" w14:textId="77777777" w:rsidTr="005E6A97">
        <w:trPr>
          <w:trHeight w:val="670"/>
          <w:tblHeader/>
        </w:trPr>
        <w:tc>
          <w:tcPr>
            <w:tcW w:w="1165" w:type="dxa"/>
            <w:shd w:val="clear" w:color="auto" w:fill="auto"/>
            <w:vAlign w:val="center"/>
          </w:tcPr>
          <w:p w14:paraId="15029069" w14:textId="77777777" w:rsidR="000328C1" w:rsidRPr="001C68DE" w:rsidRDefault="000328C1" w:rsidP="001136D3">
            <w:pPr>
              <w:spacing w:after="0"/>
              <w:rPr>
                <w:rFonts w:eastAsia="Calibri"/>
                <w:szCs w:val="24"/>
                <w:lang w:val="en-GB"/>
              </w:rPr>
            </w:pPr>
            <w:r w:rsidRPr="001C68DE">
              <w:rPr>
                <w:rFonts w:eastAsia="Calibri"/>
                <w:szCs w:val="24"/>
                <w:lang w:val="en-GB"/>
              </w:rPr>
              <w:t>FR290</w:t>
            </w:r>
          </w:p>
        </w:tc>
        <w:tc>
          <w:tcPr>
            <w:tcW w:w="8190" w:type="dxa"/>
            <w:shd w:val="clear" w:color="auto" w:fill="auto"/>
          </w:tcPr>
          <w:p w14:paraId="0439DAEA" w14:textId="75509607" w:rsidR="000328C1" w:rsidRPr="001C68DE" w:rsidRDefault="000328C1" w:rsidP="001136D3">
            <w:pPr>
              <w:spacing w:after="0"/>
              <w:rPr>
                <w:rFonts w:eastAsia="Calibri"/>
                <w:szCs w:val="24"/>
                <w:lang w:val="en-GB"/>
              </w:rPr>
            </w:pPr>
            <w:r>
              <w:rPr>
                <w:rFonts w:eastAsia="Calibri"/>
                <w:szCs w:val="24"/>
                <w:lang w:val="en-GB"/>
              </w:rPr>
              <w:t xml:space="preserve">The RMC must allow the </w:t>
            </w:r>
            <w:r w:rsidRPr="001C68DE">
              <w:rPr>
                <w:rFonts w:eastAsia="Calibri"/>
                <w:szCs w:val="24"/>
                <w:lang w:val="en-GB"/>
              </w:rPr>
              <w:t xml:space="preserve">Risk Rules </w:t>
            </w:r>
            <w:r>
              <w:rPr>
                <w:rFonts w:eastAsia="Calibri"/>
                <w:szCs w:val="24"/>
                <w:lang w:val="en-GB"/>
              </w:rPr>
              <w:t>to</w:t>
            </w:r>
            <w:r w:rsidRPr="001C68DE">
              <w:rPr>
                <w:rFonts w:eastAsia="Calibri"/>
                <w:szCs w:val="24"/>
                <w:lang w:val="en-GB"/>
              </w:rPr>
              <w:t xml:space="preserve"> be </w:t>
            </w:r>
            <w:r>
              <w:rPr>
                <w:rFonts w:eastAsia="Calibri"/>
                <w:szCs w:val="24"/>
                <w:lang w:val="en-GB"/>
              </w:rPr>
              <w:t xml:space="preserve">designed based on </w:t>
            </w:r>
            <w:r w:rsidRPr="001C68DE">
              <w:rPr>
                <w:rFonts w:eastAsia="Calibri"/>
                <w:szCs w:val="24"/>
                <w:lang w:val="en-GB"/>
              </w:rPr>
              <w:t xml:space="preserve">variously </w:t>
            </w:r>
            <w:r>
              <w:rPr>
                <w:rFonts w:eastAsia="Calibri"/>
                <w:szCs w:val="24"/>
                <w:lang w:val="en-GB"/>
              </w:rPr>
              <w:t>approaches:</w:t>
            </w:r>
            <w:r w:rsidRPr="001C68DE">
              <w:rPr>
                <w:rFonts w:eastAsia="Calibri"/>
                <w:szCs w:val="24"/>
                <w:lang w:val="en-GB"/>
              </w:rPr>
              <w:t xml:space="preserve"> ‘Rules based Approach’, ‘Statistical Approach’, ‘</w:t>
            </w:r>
            <w:proofErr w:type="spellStart"/>
            <w:r w:rsidRPr="00594FFF">
              <w:rPr>
                <w:rFonts w:eastAsia="Calibri"/>
                <w:szCs w:val="24"/>
                <w:lang w:val="en-GB"/>
              </w:rPr>
              <w:t>N</w:t>
            </w:r>
            <w:r w:rsidR="00644DF4" w:rsidRPr="00594FFF">
              <w:rPr>
                <w:rFonts w:eastAsia="Calibri"/>
                <w:szCs w:val="24"/>
                <w:lang w:val="en-GB"/>
              </w:rPr>
              <w:t>u</w:t>
            </w:r>
            <w:r w:rsidRPr="00594FFF">
              <w:rPr>
                <w:rFonts w:eastAsia="Calibri"/>
                <w:szCs w:val="24"/>
                <w:lang w:val="en-GB"/>
              </w:rPr>
              <w:t>l</w:t>
            </w:r>
            <w:proofErr w:type="spellEnd"/>
            <w:r w:rsidRPr="001C68DE">
              <w:rPr>
                <w:rFonts w:eastAsia="Calibri"/>
                <w:szCs w:val="24"/>
                <w:lang w:val="en-GB"/>
              </w:rPr>
              <w:t xml:space="preserve"> Factors’ and ‘Random Approach’.</w:t>
            </w:r>
          </w:p>
        </w:tc>
      </w:tr>
      <w:tr w:rsidR="000328C1" w:rsidRPr="001C68DE" w14:paraId="5E142524" w14:textId="77777777" w:rsidTr="005E6A97">
        <w:trPr>
          <w:trHeight w:val="400"/>
          <w:tblHeader/>
        </w:trPr>
        <w:tc>
          <w:tcPr>
            <w:tcW w:w="1165" w:type="dxa"/>
            <w:shd w:val="clear" w:color="auto" w:fill="auto"/>
            <w:vAlign w:val="center"/>
          </w:tcPr>
          <w:p w14:paraId="40F27914" w14:textId="77777777" w:rsidR="000328C1" w:rsidRPr="001C68DE" w:rsidRDefault="000328C1" w:rsidP="001136D3">
            <w:pPr>
              <w:spacing w:after="0"/>
              <w:rPr>
                <w:rFonts w:eastAsia="Calibri"/>
                <w:szCs w:val="24"/>
                <w:lang w:val="en-GB"/>
              </w:rPr>
            </w:pPr>
            <w:r w:rsidRPr="001C68DE">
              <w:rPr>
                <w:rFonts w:eastAsia="Calibri"/>
                <w:szCs w:val="24"/>
                <w:lang w:val="en-GB"/>
              </w:rPr>
              <w:t>FR291</w:t>
            </w:r>
          </w:p>
        </w:tc>
        <w:tc>
          <w:tcPr>
            <w:tcW w:w="8190" w:type="dxa"/>
            <w:shd w:val="clear" w:color="auto" w:fill="auto"/>
          </w:tcPr>
          <w:p w14:paraId="14961E46" w14:textId="77777777" w:rsidR="000328C1" w:rsidRPr="001C68DE" w:rsidRDefault="000328C1" w:rsidP="001136D3">
            <w:pPr>
              <w:spacing w:after="0"/>
              <w:rPr>
                <w:rFonts w:eastAsia="Calibri"/>
                <w:szCs w:val="24"/>
                <w:lang w:val="en-GB"/>
              </w:rPr>
            </w:pPr>
            <w:r w:rsidRPr="001C68DE">
              <w:rPr>
                <w:rFonts w:eastAsia="Calibri"/>
                <w:szCs w:val="24"/>
                <w:lang w:val="en-GB"/>
              </w:rPr>
              <w:t xml:space="preserve">The risk rules engine will set control action </w:t>
            </w:r>
            <w:proofErr w:type="gramStart"/>
            <w:r w:rsidRPr="001C68DE">
              <w:rPr>
                <w:rFonts w:eastAsia="Calibri"/>
                <w:szCs w:val="24"/>
                <w:lang w:val="en-GB"/>
              </w:rPr>
              <w:t>required, when</w:t>
            </w:r>
            <w:proofErr w:type="gramEnd"/>
            <w:r w:rsidRPr="001C68DE">
              <w:rPr>
                <w:rFonts w:eastAsia="Calibri"/>
                <w:szCs w:val="24"/>
                <w:lang w:val="en-GB"/>
              </w:rPr>
              <w:t xml:space="preserve"> specific defined criteria are met.</w:t>
            </w:r>
          </w:p>
        </w:tc>
      </w:tr>
      <w:tr w:rsidR="000328C1" w:rsidRPr="001C68DE" w14:paraId="0052325E" w14:textId="77777777" w:rsidTr="005E6A97">
        <w:trPr>
          <w:trHeight w:val="390"/>
          <w:tblHeader/>
        </w:trPr>
        <w:tc>
          <w:tcPr>
            <w:tcW w:w="1165" w:type="dxa"/>
            <w:shd w:val="clear" w:color="auto" w:fill="auto"/>
            <w:vAlign w:val="center"/>
          </w:tcPr>
          <w:p w14:paraId="45E1BB62" w14:textId="77777777" w:rsidR="000328C1" w:rsidRPr="001C68DE" w:rsidRDefault="000328C1" w:rsidP="001136D3">
            <w:pPr>
              <w:spacing w:after="0"/>
              <w:rPr>
                <w:rFonts w:eastAsia="Calibri"/>
                <w:szCs w:val="24"/>
                <w:lang w:val="en-GB"/>
              </w:rPr>
            </w:pPr>
            <w:r w:rsidRPr="001C68DE">
              <w:rPr>
                <w:rFonts w:eastAsia="Calibri"/>
                <w:szCs w:val="24"/>
                <w:lang w:val="en-GB"/>
              </w:rPr>
              <w:t>FR293</w:t>
            </w:r>
          </w:p>
        </w:tc>
        <w:tc>
          <w:tcPr>
            <w:tcW w:w="8190" w:type="dxa"/>
            <w:shd w:val="clear" w:color="auto" w:fill="auto"/>
          </w:tcPr>
          <w:p w14:paraId="125274A9" w14:textId="77777777" w:rsidR="000328C1" w:rsidRPr="001C68DE" w:rsidRDefault="000328C1" w:rsidP="001136D3">
            <w:pPr>
              <w:spacing w:after="0"/>
              <w:rPr>
                <w:rFonts w:eastAsia="Calibri"/>
                <w:szCs w:val="24"/>
                <w:lang w:val="en-GB"/>
              </w:rPr>
            </w:pPr>
            <w:r w:rsidRPr="001C68DE">
              <w:rPr>
                <w:rFonts w:eastAsia="Calibri"/>
                <w:szCs w:val="24"/>
                <w:lang w:val="en-GB"/>
              </w:rPr>
              <w:t xml:space="preserve">Random selections </w:t>
            </w:r>
            <w:r>
              <w:rPr>
                <w:rFonts w:eastAsia="Calibri"/>
                <w:szCs w:val="24"/>
                <w:lang w:val="en-GB"/>
              </w:rPr>
              <w:t>must</w:t>
            </w:r>
            <w:r w:rsidRPr="001C68DE">
              <w:rPr>
                <w:rFonts w:eastAsia="Calibri"/>
                <w:szCs w:val="24"/>
                <w:lang w:val="en-GB"/>
              </w:rPr>
              <w:t xml:space="preserve"> be automatically adjusted to match resource levels.</w:t>
            </w:r>
          </w:p>
        </w:tc>
      </w:tr>
      <w:tr w:rsidR="000328C1" w:rsidRPr="001C68DE" w14:paraId="3F07EFB2" w14:textId="77777777" w:rsidTr="005E6A97">
        <w:trPr>
          <w:trHeight w:val="400"/>
          <w:tblHeader/>
        </w:trPr>
        <w:tc>
          <w:tcPr>
            <w:tcW w:w="1165" w:type="dxa"/>
            <w:shd w:val="clear" w:color="auto" w:fill="auto"/>
            <w:vAlign w:val="center"/>
          </w:tcPr>
          <w:p w14:paraId="6C62F1C0" w14:textId="77777777" w:rsidR="000328C1" w:rsidRPr="001C68DE" w:rsidRDefault="000328C1" w:rsidP="001136D3">
            <w:pPr>
              <w:spacing w:after="0"/>
              <w:rPr>
                <w:rFonts w:eastAsia="Calibri"/>
                <w:szCs w:val="24"/>
                <w:lang w:val="en-GB"/>
              </w:rPr>
            </w:pPr>
            <w:r w:rsidRPr="001C68DE">
              <w:rPr>
                <w:rFonts w:eastAsia="Calibri"/>
                <w:szCs w:val="24"/>
                <w:lang w:val="en-GB"/>
              </w:rPr>
              <w:t>FR294</w:t>
            </w:r>
          </w:p>
        </w:tc>
        <w:tc>
          <w:tcPr>
            <w:tcW w:w="8190" w:type="dxa"/>
            <w:shd w:val="clear" w:color="auto" w:fill="auto"/>
          </w:tcPr>
          <w:p w14:paraId="1CE2ACB2"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allow entering the frequency and time periods under which specific control treatments and options should be executed.</w:t>
            </w:r>
          </w:p>
        </w:tc>
      </w:tr>
      <w:tr w:rsidR="000328C1" w:rsidRPr="001C68DE" w14:paraId="77CD1765" w14:textId="77777777" w:rsidTr="005E6A97">
        <w:trPr>
          <w:trHeight w:val="670"/>
          <w:tblHeader/>
        </w:trPr>
        <w:tc>
          <w:tcPr>
            <w:tcW w:w="1165" w:type="dxa"/>
            <w:shd w:val="clear" w:color="auto" w:fill="auto"/>
            <w:vAlign w:val="center"/>
          </w:tcPr>
          <w:p w14:paraId="2E8360FF" w14:textId="77777777" w:rsidR="000328C1" w:rsidRPr="001C68DE" w:rsidRDefault="000328C1" w:rsidP="001136D3">
            <w:pPr>
              <w:spacing w:after="0"/>
              <w:rPr>
                <w:rFonts w:eastAsia="Calibri"/>
                <w:szCs w:val="24"/>
                <w:lang w:val="en-GB"/>
              </w:rPr>
            </w:pPr>
            <w:r w:rsidRPr="001C68DE">
              <w:rPr>
                <w:rFonts w:eastAsia="Calibri"/>
                <w:szCs w:val="24"/>
                <w:lang w:val="en-GB"/>
              </w:rPr>
              <w:t>FR296</w:t>
            </w:r>
          </w:p>
        </w:tc>
        <w:tc>
          <w:tcPr>
            <w:tcW w:w="8190" w:type="dxa"/>
            <w:shd w:val="clear" w:color="auto" w:fill="auto"/>
          </w:tcPr>
          <w:p w14:paraId="33CA6D3A"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a random LPCO selection facility that will direct those LPCO's that would normally pass for no intervention to both documentary and physical examination channels.</w:t>
            </w:r>
          </w:p>
        </w:tc>
      </w:tr>
      <w:tr w:rsidR="000328C1" w:rsidRPr="001C68DE" w14:paraId="4EA09642" w14:textId="77777777" w:rsidTr="005E6A97">
        <w:trPr>
          <w:trHeight w:val="400"/>
          <w:tblHeader/>
        </w:trPr>
        <w:tc>
          <w:tcPr>
            <w:tcW w:w="1165" w:type="dxa"/>
            <w:shd w:val="clear" w:color="auto" w:fill="auto"/>
            <w:vAlign w:val="center"/>
          </w:tcPr>
          <w:p w14:paraId="1207746B" w14:textId="77777777" w:rsidR="000328C1" w:rsidRPr="001C68DE" w:rsidRDefault="000328C1" w:rsidP="001136D3">
            <w:pPr>
              <w:spacing w:after="0"/>
              <w:rPr>
                <w:rFonts w:eastAsia="Calibri"/>
                <w:szCs w:val="24"/>
                <w:lang w:val="en-GB"/>
              </w:rPr>
            </w:pPr>
            <w:r w:rsidRPr="001C68DE">
              <w:rPr>
                <w:rFonts w:eastAsia="Calibri"/>
                <w:szCs w:val="24"/>
                <w:lang w:val="en-GB"/>
              </w:rPr>
              <w:t>FR298</w:t>
            </w:r>
          </w:p>
        </w:tc>
        <w:tc>
          <w:tcPr>
            <w:tcW w:w="8190" w:type="dxa"/>
            <w:shd w:val="clear" w:color="auto" w:fill="auto"/>
          </w:tcPr>
          <w:p w14:paraId="6EBC734F" w14:textId="77777777" w:rsidR="000328C1" w:rsidRPr="001C68DE" w:rsidRDefault="000328C1" w:rsidP="001136D3">
            <w:pPr>
              <w:spacing w:after="0"/>
              <w:rPr>
                <w:rFonts w:eastAsia="Calibri"/>
                <w:szCs w:val="24"/>
                <w:lang w:val="en-GB"/>
              </w:rPr>
            </w:pPr>
            <w:r w:rsidRPr="001C68DE">
              <w:rPr>
                <w:rFonts w:eastAsia="Calibri"/>
                <w:szCs w:val="24"/>
                <w:lang w:val="en-GB"/>
              </w:rPr>
              <w:t>RM</w:t>
            </w:r>
            <w:r>
              <w:rPr>
                <w:rFonts w:eastAsia="Calibri"/>
                <w:szCs w:val="24"/>
                <w:lang w:val="en-GB"/>
              </w:rPr>
              <w:t>C must</w:t>
            </w:r>
            <w:r w:rsidRPr="001C68DE">
              <w:rPr>
                <w:rFonts w:eastAsia="Calibri"/>
                <w:szCs w:val="24"/>
                <w:lang w:val="en-GB"/>
              </w:rPr>
              <w:t xml:space="preserve"> provide reports for each CBRAs in according with certain criteria and requirements.</w:t>
            </w:r>
          </w:p>
        </w:tc>
      </w:tr>
      <w:tr w:rsidR="000328C1" w:rsidRPr="001C68DE" w14:paraId="2893C0D9" w14:textId="77777777" w:rsidTr="005E6A97">
        <w:trPr>
          <w:trHeight w:val="670"/>
          <w:tblHeader/>
        </w:trPr>
        <w:tc>
          <w:tcPr>
            <w:tcW w:w="1165" w:type="dxa"/>
            <w:shd w:val="clear" w:color="auto" w:fill="auto"/>
            <w:vAlign w:val="center"/>
          </w:tcPr>
          <w:p w14:paraId="01B145DC" w14:textId="77777777" w:rsidR="000328C1" w:rsidRPr="001C68DE" w:rsidRDefault="000328C1" w:rsidP="001136D3">
            <w:pPr>
              <w:spacing w:after="0"/>
              <w:rPr>
                <w:rFonts w:eastAsia="Calibri"/>
                <w:szCs w:val="24"/>
                <w:lang w:val="en-GB"/>
              </w:rPr>
            </w:pPr>
            <w:r w:rsidRPr="001C68DE">
              <w:rPr>
                <w:rFonts w:eastAsia="Calibri"/>
                <w:szCs w:val="24"/>
                <w:lang w:val="en-GB"/>
              </w:rPr>
              <w:t>FR300</w:t>
            </w:r>
          </w:p>
        </w:tc>
        <w:tc>
          <w:tcPr>
            <w:tcW w:w="8190" w:type="dxa"/>
            <w:shd w:val="clear" w:color="auto" w:fill="auto"/>
          </w:tcPr>
          <w:p w14:paraId="71F03E52"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make available the intervention data e.g., findings such as misclassification, etc., to the Risk analysis and Profiling, Intelligence and Post Audit offices and any other interested parties</w:t>
            </w:r>
            <w:r>
              <w:rPr>
                <w:rFonts w:eastAsia="Calibri"/>
                <w:szCs w:val="24"/>
                <w:lang w:val="en-GB"/>
              </w:rPr>
              <w:t xml:space="preserve"> through the Data Warehouse</w:t>
            </w:r>
            <w:r w:rsidRPr="001C68DE">
              <w:rPr>
                <w:rFonts w:eastAsia="Calibri"/>
                <w:szCs w:val="24"/>
                <w:lang w:val="en-GB"/>
              </w:rPr>
              <w:t>.</w:t>
            </w:r>
          </w:p>
        </w:tc>
      </w:tr>
      <w:tr w:rsidR="000328C1" w:rsidRPr="001C68DE" w14:paraId="7EC1F5BB" w14:textId="77777777" w:rsidTr="005E6A97">
        <w:trPr>
          <w:trHeight w:val="670"/>
          <w:tblHeader/>
        </w:trPr>
        <w:tc>
          <w:tcPr>
            <w:tcW w:w="1165" w:type="dxa"/>
            <w:shd w:val="clear" w:color="auto" w:fill="auto"/>
            <w:vAlign w:val="center"/>
          </w:tcPr>
          <w:p w14:paraId="475A1322" w14:textId="77777777" w:rsidR="000328C1" w:rsidRPr="001C68DE" w:rsidRDefault="000328C1" w:rsidP="001136D3">
            <w:pPr>
              <w:spacing w:after="0"/>
              <w:rPr>
                <w:rFonts w:eastAsia="Calibri"/>
                <w:szCs w:val="24"/>
                <w:lang w:val="en-GB"/>
              </w:rPr>
            </w:pPr>
            <w:r w:rsidRPr="001C68DE">
              <w:rPr>
                <w:rFonts w:eastAsia="Calibri"/>
                <w:szCs w:val="24"/>
                <w:lang w:val="en-GB"/>
              </w:rPr>
              <w:t>FR301</w:t>
            </w:r>
          </w:p>
        </w:tc>
        <w:tc>
          <w:tcPr>
            <w:tcW w:w="8190" w:type="dxa"/>
            <w:shd w:val="clear" w:color="auto" w:fill="auto"/>
          </w:tcPr>
          <w:p w14:paraId="4C33EAC2"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a secure communication platform to support information sharing and data exchange between risk analysts, profilers, </w:t>
            </w:r>
            <w:proofErr w:type="gramStart"/>
            <w:r w:rsidRPr="001C68DE">
              <w:rPr>
                <w:rFonts w:eastAsia="Calibri"/>
                <w:szCs w:val="24"/>
                <w:lang w:val="en-GB"/>
              </w:rPr>
              <w:t>inspectors</w:t>
            </w:r>
            <w:proofErr w:type="gramEnd"/>
            <w:r w:rsidRPr="001C68DE">
              <w:rPr>
                <w:rFonts w:eastAsia="Calibri"/>
                <w:szCs w:val="24"/>
                <w:lang w:val="en-GB"/>
              </w:rPr>
              <w:t xml:space="preserve"> and managers within the CBRAs.</w:t>
            </w:r>
          </w:p>
        </w:tc>
      </w:tr>
      <w:tr w:rsidR="000328C1" w:rsidRPr="001C68DE" w14:paraId="2CA7091F" w14:textId="77777777" w:rsidTr="005E6A97">
        <w:trPr>
          <w:trHeight w:val="400"/>
          <w:tblHeader/>
        </w:trPr>
        <w:tc>
          <w:tcPr>
            <w:tcW w:w="1165" w:type="dxa"/>
            <w:shd w:val="clear" w:color="auto" w:fill="auto"/>
            <w:vAlign w:val="center"/>
          </w:tcPr>
          <w:p w14:paraId="71FCFE4B" w14:textId="77777777" w:rsidR="000328C1" w:rsidRPr="001C68DE" w:rsidRDefault="000328C1" w:rsidP="001136D3">
            <w:pPr>
              <w:spacing w:after="0"/>
              <w:rPr>
                <w:rFonts w:eastAsia="Calibri"/>
                <w:szCs w:val="24"/>
                <w:lang w:val="en-GB"/>
              </w:rPr>
            </w:pPr>
            <w:r w:rsidRPr="001C68DE">
              <w:rPr>
                <w:rFonts w:eastAsia="Calibri"/>
                <w:szCs w:val="24"/>
                <w:lang w:val="en-GB"/>
              </w:rPr>
              <w:lastRenderedPageBreak/>
              <w:t>FR302</w:t>
            </w:r>
          </w:p>
        </w:tc>
        <w:tc>
          <w:tcPr>
            <w:tcW w:w="8190" w:type="dxa"/>
            <w:shd w:val="clear" w:color="auto" w:fill="auto"/>
          </w:tcPr>
          <w:p w14:paraId="516F0F33" w14:textId="77777777" w:rsidR="000328C1" w:rsidRPr="001C68DE" w:rsidRDefault="000328C1" w:rsidP="001136D3">
            <w:pPr>
              <w:spacing w:after="0"/>
              <w:rPr>
                <w:rFonts w:eastAsia="Calibri"/>
                <w:szCs w:val="24"/>
                <w:lang w:val="en-GB"/>
              </w:rPr>
            </w:pPr>
            <w:bookmarkStart w:id="724" w:name="_Hlk144219817"/>
            <w:r w:rsidRPr="001C68DE">
              <w:rPr>
                <w:rFonts w:eastAsia="Calibri"/>
                <w:szCs w:val="24"/>
                <w:lang w:val="en-GB"/>
              </w:rPr>
              <w:t>The RM</w:t>
            </w:r>
            <w:r>
              <w:rPr>
                <w:rFonts w:eastAsia="Calibri"/>
                <w:szCs w:val="24"/>
                <w:lang w:val="en-GB"/>
              </w:rPr>
              <w:t>C</w:t>
            </w:r>
            <w:r w:rsidRPr="001C68DE">
              <w:rPr>
                <w:rFonts w:eastAsia="Calibri"/>
                <w:szCs w:val="24"/>
                <w:lang w:val="en-GB"/>
              </w:rPr>
              <w:t xml:space="preserve"> must provide reports on effectiveness of all risk objectives and treatment methods to support and maintain compliance.</w:t>
            </w:r>
            <w:bookmarkEnd w:id="724"/>
          </w:p>
        </w:tc>
      </w:tr>
      <w:tr w:rsidR="000328C1" w:rsidRPr="001C68DE" w14:paraId="1FA6DE6A" w14:textId="77777777" w:rsidTr="005E6A97">
        <w:trPr>
          <w:trHeight w:val="400"/>
          <w:tblHeader/>
        </w:trPr>
        <w:tc>
          <w:tcPr>
            <w:tcW w:w="1165" w:type="dxa"/>
            <w:shd w:val="clear" w:color="auto" w:fill="auto"/>
            <w:vAlign w:val="center"/>
          </w:tcPr>
          <w:p w14:paraId="1F15ABD4" w14:textId="77777777" w:rsidR="000328C1" w:rsidRPr="001C68DE" w:rsidRDefault="000328C1" w:rsidP="001136D3">
            <w:pPr>
              <w:spacing w:after="0"/>
              <w:rPr>
                <w:rFonts w:eastAsia="Calibri"/>
                <w:szCs w:val="24"/>
                <w:lang w:val="en-GB"/>
              </w:rPr>
            </w:pPr>
            <w:r w:rsidRPr="001C68DE">
              <w:rPr>
                <w:rFonts w:eastAsia="Calibri"/>
                <w:szCs w:val="24"/>
                <w:lang w:val="en-GB"/>
              </w:rPr>
              <w:t>FR305</w:t>
            </w:r>
          </w:p>
        </w:tc>
        <w:tc>
          <w:tcPr>
            <w:tcW w:w="8190" w:type="dxa"/>
            <w:shd w:val="clear" w:color="auto" w:fill="auto"/>
          </w:tcPr>
          <w:p w14:paraId="0FFAB2B7" w14:textId="77777777" w:rsidR="000328C1" w:rsidRPr="001C68DE" w:rsidRDefault="000328C1" w:rsidP="001136D3">
            <w:pPr>
              <w:spacing w:after="0"/>
              <w:rPr>
                <w:rFonts w:eastAsia="Calibri"/>
                <w:szCs w:val="24"/>
                <w:lang w:val="en-GB"/>
              </w:rPr>
            </w:pPr>
            <w:r w:rsidRPr="001C68DE">
              <w:rPr>
                <w:rFonts w:eastAsia="Calibri"/>
                <w:szCs w:val="24"/>
                <w:lang w:val="en-GB"/>
              </w:rPr>
              <w:t>A full history of risk assessment results must be maintained in the RM</w:t>
            </w:r>
            <w:r>
              <w:rPr>
                <w:rFonts w:eastAsia="Calibri"/>
                <w:szCs w:val="24"/>
                <w:lang w:val="en-GB"/>
              </w:rPr>
              <w:t>C</w:t>
            </w:r>
            <w:r w:rsidRPr="001C68DE">
              <w:rPr>
                <w:rFonts w:eastAsia="Calibri"/>
                <w:szCs w:val="24"/>
                <w:lang w:val="en-GB"/>
              </w:rPr>
              <w:t>.</w:t>
            </w:r>
          </w:p>
        </w:tc>
      </w:tr>
      <w:tr w:rsidR="000328C1" w:rsidRPr="001C68DE" w14:paraId="309DBB57" w14:textId="77777777" w:rsidTr="005E6A97">
        <w:trPr>
          <w:trHeight w:val="1471"/>
          <w:tblHeader/>
        </w:trPr>
        <w:tc>
          <w:tcPr>
            <w:tcW w:w="1165" w:type="dxa"/>
            <w:shd w:val="clear" w:color="auto" w:fill="auto"/>
            <w:vAlign w:val="center"/>
          </w:tcPr>
          <w:p w14:paraId="5FAF4A5E" w14:textId="77777777" w:rsidR="000328C1" w:rsidRPr="001C68DE" w:rsidRDefault="000328C1" w:rsidP="001136D3">
            <w:pPr>
              <w:spacing w:after="0"/>
              <w:rPr>
                <w:rFonts w:eastAsia="Calibri"/>
                <w:szCs w:val="24"/>
                <w:lang w:val="en-GB"/>
              </w:rPr>
            </w:pPr>
            <w:r w:rsidRPr="001C68DE">
              <w:rPr>
                <w:rFonts w:eastAsia="Calibri"/>
                <w:szCs w:val="24"/>
                <w:lang w:val="en-GB"/>
              </w:rPr>
              <w:t>FR306</w:t>
            </w:r>
          </w:p>
        </w:tc>
        <w:tc>
          <w:tcPr>
            <w:tcW w:w="8190" w:type="dxa"/>
            <w:shd w:val="clear" w:color="auto" w:fill="auto"/>
          </w:tcPr>
          <w:p w14:paraId="37871CBE"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must be able to generate different types of reports about the performance of the risk management process, including:</w:t>
            </w:r>
          </w:p>
          <w:p w14:paraId="55666E74" w14:textId="77777777" w:rsidR="000328C1" w:rsidRPr="001C68DE" w:rsidRDefault="000328C1" w:rsidP="00D530D5">
            <w:pPr>
              <w:numPr>
                <w:ilvl w:val="0"/>
                <w:numId w:val="157"/>
              </w:numPr>
              <w:suppressAutoHyphens/>
              <w:spacing w:after="0"/>
              <w:rPr>
                <w:rFonts w:eastAsia="Calibri"/>
                <w:szCs w:val="24"/>
                <w:lang w:val="en-GB"/>
              </w:rPr>
            </w:pPr>
            <w:r w:rsidRPr="001C68DE">
              <w:rPr>
                <w:rFonts w:eastAsia="Calibri"/>
                <w:szCs w:val="24"/>
                <w:lang w:val="en-GB"/>
              </w:rPr>
              <w:t>The measurement of the effectiveness of risk management and mitigation activities/controls taken based on the levels of the risk of transactions; and</w:t>
            </w:r>
          </w:p>
          <w:p w14:paraId="55A83247" w14:textId="77777777" w:rsidR="000328C1" w:rsidRPr="001C68DE" w:rsidRDefault="000328C1" w:rsidP="00D530D5">
            <w:pPr>
              <w:numPr>
                <w:ilvl w:val="0"/>
                <w:numId w:val="157"/>
              </w:numPr>
              <w:suppressAutoHyphens/>
              <w:spacing w:after="0"/>
              <w:rPr>
                <w:rFonts w:eastAsia="Calibri"/>
                <w:szCs w:val="24"/>
                <w:lang w:val="en-GB"/>
              </w:rPr>
            </w:pPr>
            <w:r w:rsidRPr="001C68DE">
              <w:rPr>
                <w:rFonts w:eastAsia="Calibri"/>
                <w:szCs w:val="24"/>
                <w:lang w:val="en-GB"/>
              </w:rPr>
              <w:t>Measurement of the compliance of traders, declarant, origins, etc.</w:t>
            </w:r>
          </w:p>
        </w:tc>
      </w:tr>
      <w:tr w:rsidR="000328C1" w:rsidRPr="001C68DE" w14:paraId="7A04CD80" w14:textId="77777777" w:rsidTr="005E6A97">
        <w:trPr>
          <w:trHeight w:val="1070"/>
          <w:tblHeader/>
        </w:trPr>
        <w:tc>
          <w:tcPr>
            <w:tcW w:w="1165" w:type="dxa"/>
            <w:shd w:val="clear" w:color="auto" w:fill="auto"/>
            <w:vAlign w:val="center"/>
          </w:tcPr>
          <w:p w14:paraId="2E28C183" w14:textId="77777777" w:rsidR="000328C1" w:rsidRPr="001C68DE" w:rsidRDefault="000328C1" w:rsidP="001136D3">
            <w:pPr>
              <w:spacing w:after="0"/>
              <w:rPr>
                <w:rFonts w:eastAsia="Calibri"/>
                <w:szCs w:val="24"/>
                <w:lang w:val="en-GB"/>
              </w:rPr>
            </w:pPr>
            <w:r w:rsidRPr="001C68DE">
              <w:rPr>
                <w:rFonts w:eastAsia="Calibri"/>
                <w:szCs w:val="24"/>
                <w:lang w:val="en-GB"/>
              </w:rPr>
              <w:t>FR307</w:t>
            </w:r>
          </w:p>
        </w:tc>
        <w:tc>
          <w:tcPr>
            <w:tcW w:w="8190" w:type="dxa"/>
            <w:shd w:val="clear" w:color="auto" w:fill="auto"/>
          </w:tcPr>
          <w:p w14:paraId="1A247718" w14:textId="77777777" w:rsidR="000328C1" w:rsidRPr="001C68DE" w:rsidRDefault="000328C1"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proofErr w:type="gramStart"/>
            <w:r w:rsidRPr="001C68DE">
              <w:rPr>
                <w:rFonts w:eastAsia="Calibri"/>
                <w:szCs w:val="24"/>
                <w:lang w:val="en-GB"/>
              </w:rPr>
              <w:t>should</w:t>
            </w:r>
            <w:proofErr w:type="gramEnd"/>
            <w:r w:rsidRPr="001C68DE">
              <w:rPr>
                <w:rFonts w:eastAsia="Calibri"/>
                <w:szCs w:val="24"/>
                <w:lang w:val="en-GB"/>
              </w:rPr>
              <w:t xml:space="preserve"> able to calculate and enable analysis of:</w:t>
            </w:r>
          </w:p>
          <w:p w14:paraId="03F99A15" w14:textId="77777777" w:rsidR="000328C1" w:rsidRPr="001C68DE" w:rsidRDefault="000328C1" w:rsidP="00D530D5">
            <w:pPr>
              <w:numPr>
                <w:ilvl w:val="0"/>
                <w:numId w:val="158"/>
              </w:numPr>
              <w:suppressAutoHyphens/>
              <w:spacing w:after="0"/>
              <w:rPr>
                <w:rFonts w:eastAsia="Calibri"/>
                <w:szCs w:val="24"/>
                <w:lang w:val="en-GB"/>
              </w:rPr>
            </w:pPr>
            <w:r w:rsidRPr="001C68DE">
              <w:rPr>
                <w:rFonts w:eastAsia="Calibri"/>
                <w:szCs w:val="24"/>
                <w:lang w:val="en-GB"/>
              </w:rPr>
              <w:t xml:space="preserve">Risk management effectiveness by risk </w:t>
            </w:r>
            <w:proofErr w:type="gramStart"/>
            <w:r w:rsidRPr="001C68DE">
              <w:rPr>
                <w:rFonts w:eastAsia="Calibri"/>
                <w:szCs w:val="24"/>
                <w:lang w:val="en-GB"/>
              </w:rPr>
              <w:t>rule;</w:t>
            </w:r>
            <w:proofErr w:type="gramEnd"/>
          </w:p>
          <w:p w14:paraId="1998BA40" w14:textId="77777777" w:rsidR="000328C1" w:rsidRPr="001C68DE" w:rsidRDefault="000328C1" w:rsidP="00D530D5">
            <w:pPr>
              <w:numPr>
                <w:ilvl w:val="0"/>
                <w:numId w:val="158"/>
              </w:numPr>
              <w:suppressAutoHyphens/>
              <w:spacing w:after="0"/>
              <w:rPr>
                <w:rFonts w:eastAsia="Calibri"/>
                <w:szCs w:val="24"/>
                <w:lang w:val="en-GB"/>
              </w:rPr>
            </w:pPr>
            <w:r w:rsidRPr="001C68DE">
              <w:rPr>
                <w:rFonts w:eastAsia="Calibri"/>
                <w:szCs w:val="24"/>
                <w:lang w:val="en-GB"/>
              </w:rPr>
              <w:t xml:space="preserve">Risk profile </w:t>
            </w:r>
            <w:proofErr w:type="gramStart"/>
            <w:r w:rsidRPr="001C68DE">
              <w:rPr>
                <w:rFonts w:eastAsia="Calibri"/>
                <w:szCs w:val="24"/>
                <w:lang w:val="en-GB"/>
              </w:rPr>
              <w:t>effectiveness;</w:t>
            </w:r>
            <w:proofErr w:type="gramEnd"/>
          </w:p>
          <w:p w14:paraId="132DD995" w14:textId="77777777" w:rsidR="000328C1" w:rsidRPr="001C68DE" w:rsidRDefault="000328C1" w:rsidP="00D530D5">
            <w:pPr>
              <w:numPr>
                <w:ilvl w:val="0"/>
                <w:numId w:val="158"/>
              </w:numPr>
              <w:suppressAutoHyphens/>
              <w:spacing w:after="0"/>
              <w:rPr>
                <w:rFonts w:eastAsia="Calibri"/>
                <w:szCs w:val="24"/>
                <w:lang w:val="en-GB"/>
              </w:rPr>
            </w:pPr>
            <w:r w:rsidRPr="001C68DE">
              <w:rPr>
                <w:rFonts w:eastAsia="Calibri"/>
                <w:szCs w:val="24"/>
                <w:lang w:val="en-GB"/>
              </w:rPr>
              <w:t>Risk profile detection simultaneously with other risk profiles; and</w:t>
            </w:r>
          </w:p>
          <w:p w14:paraId="6100E2AC" w14:textId="07A2D47A" w:rsidR="000328C1" w:rsidRPr="001C68DE" w:rsidRDefault="000328C1" w:rsidP="00D530D5">
            <w:pPr>
              <w:numPr>
                <w:ilvl w:val="0"/>
                <w:numId w:val="158"/>
              </w:numPr>
              <w:suppressAutoHyphens/>
              <w:spacing w:after="0"/>
              <w:rPr>
                <w:rFonts w:eastAsia="Calibri"/>
                <w:szCs w:val="24"/>
                <w:lang w:val="en-GB"/>
              </w:rPr>
            </w:pPr>
            <w:r w:rsidRPr="001C68DE">
              <w:rPr>
                <w:rFonts w:eastAsia="Calibri"/>
                <w:szCs w:val="24"/>
                <w:lang w:val="en-GB"/>
              </w:rPr>
              <w:t xml:space="preserve">Measure compliance history by individual trader and by different parameters such as commodities, origin, declarant, and any other parameters. </w:t>
            </w:r>
          </w:p>
        </w:tc>
      </w:tr>
    </w:tbl>
    <w:p w14:paraId="254CB2B8" w14:textId="77777777" w:rsidR="004C3CE9" w:rsidRDefault="004C3CE9" w:rsidP="004C3CE9"/>
    <w:p w14:paraId="2C94AADF" w14:textId="73B10ECC" w:rsidR="004C3CE9" w:rsidRDefault="00572CFF" w:rsidP="004C3CE9">
      <w:pPr>
        <w:spacing w:after="0"/>
        <w:jc w:val="left"/>
        <w:rPr>
          <w:b/>
          <w:i/>
          <w:szCs w:val="24"/>
        </w:rPr>
      </w:pPr>
      <w:r>
        <w:rPr>
          <w:b/>
          <w:i/>
        </w:rPr>
        <w:t xml:space="preserve">1.2.13.2. </w:t>
      </w:r>
      <w:r w:rsidR="004C3CE9">
        <w:rPr>
          <w:b/>
          <w:i/>
          <w:szCs w:val="24"/>
        </w:rPr>
        <w:t>Process: Perform</w:t>
      </w:r>
      <w:r w:rsidR="004C3CE9" w:rsidRPr="000313DF">
        <w:rPr>
          <w:b/>
          <w:i/>
          <w:szCs w:val="24"/>
        </w:rPr>
        <w:t xml:space="preserve"> Risk </w:t>
      </w:r>
      <w:r w:rsidR="004C3CE9">
        <w:rPr>
          <w:b/>
          <w:i/>
          <w:szCs w:val="24"/>
        </w:rPr>
        <w:t>Analysis</w:t>
      </w:r>
    </w:p>
    <w:p w14:paraId="5E6C03B4" w14:textId="77777777" w:rsidR="004C3CE9" w:rsidRDefault="004C3CE9" w:rsidP="004C3CE9">
      <w:pPr>
        <w:rPr>
          <w:b/>
          <w:i/>
        </w:rPr>
      </w:pPr>
    </w:p>
    <w:p w14:paraId="70D6F04C" w14:textId="77777777" w:rsidR="004C3CE9" w:rsidRDefault="004C3CE9" w:rsidP="004C3CE9">
      <w:r>
        <w:t xml:space="preserve">Process description: The Risk Management Component (RMC) must provide a facility for advanced risk analysis based on the historical data, inspection protocol results and data coming from external sources. </w:t>
      </w:r>
    </w:p>
    <w:p w14:paraId="66CC856A" w14:textId="77025114" w:rsidR="004C3CE9" w:rsidRDefault="004C3CE9" w:rsidP="004C3CE9">
      <w:r w:rsidRPr="00255ED5">
        <w:rPr>
          <w:noProof/>
        </w:rPr>
        <w:drawing>
          <wp:inline distT="0" distB="0" distL="0" distR="0" wp14:anchorId="2C690243" wp14:editId="53888B99">
            <wp:extent cx="5943600" cy="3342640"/>
            <wp:effectExtent l="0" t="0" r="0" b="0"/>
            <wp:docPr id="931797949" name="Picture 93179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519959AE" w14:textId="6A0C3BDE" w:rsidR="004C3CE9" w:rsidRDefault="004C3CE9" w:rsidP="004C3CE9">
      <w:pPr>
        <w:jc w:val="center"/>
        <w:rPr>
          <w:i/>
          <w:szCs w:val="24"/>
        </w:rPr>
      </w:pPr>
      <w:r w:rsidRPr="00193BF0">
        <w:rPr>
          <w:i/>
          <w:szCs w:val="24"/>
        </w:rPr>
        <w:t xml:space="preserve">Figure </w:t>
      </w:r>
      <w:r w:rsidR="00E12671">
        <w:rPr>
          <w:i/>
          <w:szCs w:val="24"/>
        </w:rPr>
        <w:t>20</w:t>
      </w:r>
      <w:r>
        <w:rPr>
          <w:i/>
          <w:szCs w:val="24"/>
        </w:rPr>
        <w:t xml:space="preserve">: </w:t>
      </w:r>
      <w:r w:rsidRPr="00193BF0">
        <w:rPr>
          <w:i/>
          <w:szCs w:val="24"/>
        </w:rPr>
        <w:t>BPMN</w:t>
      </w:r>
      <w:r w:rsidRPr="001D1B15">
        <w:rPr>
          <w:i/>
          <w:szCs w:val="24"/>
        </w:rPr>
        <w:t xml:space="preserve"> </w:t>
      </w:r>
      <w:r w:rsidRPr="00193BF0">
        <w:rPr>
          <w:i/>
          <w:szCs w:val="24"/>
        </w:rPr>
        <w:t>Process Di</w:t>
      </w:r>
      <w:r>
        <w:rPr>
          <w:i/>
          <w:szCs w:val="24"/>
        </w:rPr>
        <w:t>agram</w:t>
      </w:r>
      <w:r w:rsidRPr="00193BF0">
        <w:rPr>
          <w:i/>
          <w:szCs w:val="24"/>
        </w:rPr>
        <w:t xml:space="preserve">: Perform Risk </w:t>
      </w:r>
      <w:r>
        <w:rPr>
          <w:i/>
          <w:szCs w:val="24"/>
        </w:rPr>
        <w:t>Analysis</w:t>
      </w:r>
    </w:p>
    <w:p w14:paraId="2EED5BFC" w14:textId="77777777" w:rsidR="004C3CE9" w:rsidRDefault="004C3CE9" w:rsidP="004C3CE9"/>
    <w:p w14:paraId="4F27270C" w14:textId="77777777" w:rsidR="004C3CE9" w:rsidRDefault="004C3CE9" w:rsidP="004C3CE9">
      <w:r>
        <w:lastRenderedPageBreak/>
        <w:t xml:space="preserve">It is expected the Bidders </w:t>
      </w:r>
      <w:proofErr w:type="gramStart"/>
      <w:r>
        <w:t>to propose</w:t>
      </w:r>
      <w:proofErr w:type="gramEnd"/>
      <w:r>
        <w:t xml:space="preserve"> services, which will be necessary for effective risk analysis. The following services are expected to be provided by the RMC as minimum, but the Bidders may propose other services as well, which will increase their evaluation results.</w:t>
      </w:r>
    </w:p>
    <w:tbl>
      <w:tblPr>
        <w:tblStyle w:val="TableGrid"/>
        <w:tblW w:w="9355" w:type="dxa"/>
        <w:tblLook w:val="04A0" w:firstRow="1" w:lastRow="0" w:firstColumn="1" w:lastColumn="0" w:noHBand="0" w:noVBand="1"/>
      </w:tblPr>
      <w:tblGrid>
        <w:gridCol w:w="1165"/>
        <w:gridCol w:w="1890"/>
        <w:gridCol w:w="6300"/>
      </w:tblGrid>
      <w:tr w:rsidR="002C6582" w:rsidRPr="001C68DE" w14:paraId="6679DA11" w14:textId="77777777" w:rsidTr="001136D3">
        <w:trPr>
          <w:tblHeader/>
        </w:trPr>
        <w:tc>
          <w:tcPr>
            <w:tcW w:w="1165" w:type="dxa"/>
            <w:shd w:val="clear" w:color="auto" w:fill="D9D9D9" w:themeFill="background1" w:themeFillShade="D9"/>
          </w:tcPr>
          <w:p w14:paraId="75C4C13B" w14:textId="77777777" w:rsidR="002C6582" w:rsidRPr="001C68DE" w:rsidRDefault="002C6582" w:rsidP="001136D3">
            <w:pPr>
              <w:spacing w:after="0"/>
              <w:rPr>
                <w:rFonts w:eastAsia="Calibri"/>
                <w:b/>
                <w:szCs w:val="24"/>
                <w:lang w:val="en-GB"/>
              </w:rPr>
            </w:pPr>
            <w:r w:rsidRPr="001C68DE">
              <w:rPr>
                <w:rFonts w:eastAsia="Calibri"/>
                <w:b/>
                <w:szCs w:val="24"/>
                <w:lang w:val="en-GB"/>
              </w:rPr>
              <w:t>Step</w:t>
            </w:r>
            <w:r>
              <w:rPr>
                <w:rFonts w:eastAsia="Calibri"/>
                <w:b/>
                <w:szCs w:val="24"/>
                <w:lang w:val="en-GB"/>
              </w:rPr>
              <w:t xml:space="preserve"> ID</w:t>
            </w:r>
          </w:p>
        </w:tc>
        <w:tc>
          <w:tcPr>
            <w:tcW w:w="1890" w:type="dxa"/>
            <w:shd w:val="clear" w:color="auto" w:fill="D9D9D9" w:themeFill="background1" w:themeFillShade="D9"/>
          </w:tcPr>
          <w:p w14:paraId="1835F04B" w14:textId="77777777" w:rsidR="002C6582" w:rsidRPr="001C68DE" w:rsidRDefault="002C6582" w:rsidP="001136D3">
            <w:pPr>
              <w:spacing w:after="0"/>
              <w:rPr>
                <w:rFonts w:eastAsia="Calibri"/>
                <w:b/>
                <w:szCs w:val="24"/>
                <w:lang w:val="en-GB"/>
              </w:rPr>
            </w:pPr>
            <w:r w:rsidRPr="001C68DE">
              <w:rPr>
                <w:rFonts w:eastAsia="Calibri"/>
                <w:b/>
                <w:szCs w:val="24"/>
                <w:lang w:val="en-GB"/>
              </w:rPr>
              <w:t>Name</w:t>
            </w:r>
          </w:p>
        </w:tc>
        <w:tc>
          <w:tcPr>
            <w:tcW w:w="6300" w:type="dxa"/>
            <w:shd w:val="clear" w:color="auto" w:fill="D9D9D9" w:themeFill="background1" w:themeFillShade="D9"/>
          </w:tcPr>
          <w:p w14:paraId="68502A76" w14:textId="77777777" w:rsidR="002C6582" w:rsidRPr="001C68DE" w:rsidRDefault="002C6582" w:rsidP="001136D3">
            <w:pPr>
              <w:spacing w:after="0"/>
              <w:rPr>
                <w:rFonts w:eastAsia="Calibri"/>
                <w:b/>
                <w:szCs w:val="24"/>
                <w:lang w:val="en-GB"/>
              </w:rPr>
            </w:pPr>
            <w:r w:rsidRPr="001C68DE">
              <w:rPr>
                <w:rFonts w:eastAsia="Calibri"/>
                <w:b/>
                <w:szCs w:val="24"/>
                <w:lang w:val="en-GB"/>
              </w:rPr>
              <w:t>Description</w:t>
            </w:r>
          </w:p>
        </w:tc>
      </w:tr>
      <w:tr w:rsidR="002C6582" w:rsidRPr="001C68DE" w14:paraId="4243D5DA" w14:textId="77777777" w:rsidTr="001136D3">
        <w:tc>
          <w:tcPr>
            <w:tcW w:w="1165" w:type="dxa"/>
          </w:tcPr>
          <w:p w14:paraId="6BAF98E9" w14:textId="77777777" w:rsidR="002C6582" w:rsidRPr="001C68DE" w:rsidRDefault="002C6582" w:rsidP="001136D3">
            <w:pPr>
              <w:spacing w:after="0"/>
              <w:rPr>
                <w:rFonts w:eastAsia="Calibri"/>
                <w:szCs w:val="24"/>
                <w:lang w:val="en-GB"/>
              </w:rPr>
            </w:pPr>
            <w:r>
              <w:rPr>
                <w:rFonts w:eastAsia="Calibri"/>
                <w:szCs w:val="24"/>
                <w:lang w:val="en-GB"/>
              </w:rPr>
              <w:t>Service Task</w:t>
            </w:r>
          </w:p>
        </w:tc>
        <w:tc>
          <w:tcPr>
            <w:tcW w:w="1890" w:type="dxa"/>
          </w:tcPr>
          <w:p w14:paraId="4A8A2193" w14:textId="77777777" w:rsidR="002C6582" w:rsidRPr="001C68DE" w:rsidRDefault="002C6582" w:rsidP="001136D3">
            <w:pPr>
              <w:spacing w:after="0"/>
              <w:rPr>
                <w:rFonts w:eastAsia="Calibri"/>
                <w:szCs w:val="24"/>
                <w:lang w:val="en-GB"/>
              </w:rPr>
            </w:pPr>
            <w:r w:rsidRPr="008F2501">
              <w:rPr>
                <w:rFonts w:eastAsia="Calibri"/>
                <w:szCs w:val="24"/>
                <w:lang w:val="en-GB"/>
              </w:rPr>
              <w:t>Apply different algorithms</w:t>
            </w:r>
          </w:p>
        </w:tc>
        <w:tc>
          <w:tcPr>
            <w:tcW w:w="6300" w:type="dxa"/>
          </w:tcPr>
          <w:p w14:paraId="3036D2DB" w14:textId="77777777" w:rsidR="002C6582" w:rsidRPr="001C68DE" w:rsidRDefault="002C6582" w:rsidP="001136D3">
            <w:pPr>
              <w:spacing w:after="0"/>
              <w:rPr>
                <w:rFonts w:eastAsia="Calibri"/>
                <w:szCs w:val="24"/>
                <w:lang w:val="en-GB"/>
              </w:rPr>
            </w:pPr>
            <w:r w:rsidRPr="008F2501">
              <w:rPr>
                <w:rFonts w:eastAsia="Calibri"/>
                <w:szCs w:val="24"/>
                <w:lang w:val="en-GB"/>
              </w:rPr>
              <w:t>The task validates the LPCO application data set received.</w:t>
            </w:r>
          </w:p>
        </w:tc>
      </w:tr>
      <w:tr w:rsidR="002C6582" w:rsidRPr="001C68DE" w14:paraId="1AC982A0" w14:textId="77777777" w:rsidTr="001136D3">
        <w:tc>
          <w:tcPr>
            <w:tcW w:w="1165" w:type="dxa"/>
          </w:tcPr>
          <w:p w14:paraId="3F6FF22C" w14:textId="77777777" w:rsidR="002C6582" w:rsidRPr="001C68DE" w:rsidRDefault="002C6582" w:rsidP="001136D3">
            <w:pPr>
              <w:spacing w:after="0"/>
              <w:rPr>
                <w:rFonts w:eastAsia="Calibri"/>
                <w:szCs w:val="24"/>
                <w:lang w:val="en-GB"/>
              </w:rPr>
            </w:pPr>
            <w:r w:rsidRPr="008F2501">
              <w:rPr>
                <w:rFonts w:eastAsia="Calibri"/>
                <w:szCs w:val="24"/>
                <w:lang w:val="en-GB"/>
              </w:rPr>
              <w:t>Service Task</w:t>
            </w:r>
          </w:p>
        </w:tc>
        <w:tc>
          <w:tcPr>
            <w:tcW w:w="1890" w:type="dxa"/>
          </w:tcPr>
          <w:p w14:paraId="44AA63FE" w14:textId="77777777" w:rsidR="002C6582" w:rsidRPr="001C68DE" w:rsidRDefault="002C6582" w:rsidP="001136D3">
            <w:pPr>
              <w:spacing w:after="0"/>
              <w:rPr>
                <w:rFonts w:eastAsia="Calibri"/>
                <w:szCs w:val="24"/>
                <w:lang w:val="en-GB"/>
              </w:rPr>
            </w:pPr>
            <w:r w:rsidRPr="008F2501">
              <w:rPr>
                <w:rFonts w:eastAsia="Calibri"/>
                <w:szCs w:val="24"/>
                <w:lang w:val="en-GB"/>
              </w:rPr>
              <w:t>Perform recommendation service </w:t>
            </w:r>
          </w:p>
        </w:tc>
        <w:tc>
          <w:tcPr>
            <w:tcW w:w="6300" w:type="dxa"/>
          </w:tcPr>
          <w:p w14:paraId="57CAD13A" w14:textId="77777777" w:rsidR="002C6582" w:rsidRPr="00F860E2" w:rsidRDefault="002C6582" w:rsidP="001136D3">
            <w:pPr>
              <w:spacing w:after="0"/>
              <w:rPr>
                <w:rFonts w:eastAsia="Calibri"/>
                <w:szCs w:val="24"/>
              </w:rPr>
            </w:pPr>
            <w:r w:rsidRPr="008F2501">
              <w:rPr>
                <w:rFonts w:eastAsia="Calibri"/>
                <w:szCs w:val="24"/>
              </w:rPr>
              <w:t>The task performs risk analysis on the LPCO Application using the defined CBRA profiles for LPCO Application. </w:t>
            </w:r>
          </w:p>
        </w:tc>
      </w:tr>
      <w:tr w:rsidR="002C6582" w:rsidRPr="001C68DE" w14:paraId="0B8640B1" w14:textId="77777777" w:rsidTr="001136D3">
        <w:tc>
          <w:tcPr>
            <w:tcW w:w="1165" w:type="dxa"/>
          </w:tcPr>
          <w:p w14:paraId="3FA504D3" w14:textId="77777777" w:rsidR="002C6582" w:rsidRPr="008F2501" w:rsidRDefault="002C6582" w:rsidP="001136D3">
            <w:pPr>
              <w:spacing w:after="0"/>
              <w:rPr>
                <w:rFonts w:eastAsia="Calibri"/>
                <w:szCs w:val="24"/>
                <w:lang w:val="en-GB"/>
              </w:rPr>
            </w:pPr>
            <w:r w:rsidRPr="008F2501">
              <w:rPr>
                <w:rFonts w:eastAsia="Calibri"/>
                <w:szCs w:val="24"/>
                <w:lang w:val="en-GB"/>
              </w:rPr>
              <w:t>Service Task</w:t>
            </w:r>
          </w:p>
        </w:tc>
        <w:tc>
          <w:tcPr>
            <w:tcW w:w="1890" w:type="dxa"/>
          </w:tcPr>
          <w:p w14:paraId="38B6DE2E" w14:textId="77777777" w:rsidR="002C6582" w:rsidRPr="008F2501" w:rsidRDefault="002C6582" w:rsidP="001136D3">
            <w:pPr>
              <w:spacing w:after="0"/>
              <w:rPr>
                <w:rFonts w:eastAsia="Calibri"/>
                <w:szCs w:val="24"/>
                <w:lang w:val="en-GB"/>
              </w:rPr>
            </w:pPr>
            <w:r w:rsidRPr="008F2501">
              <w:rPr>
                <w:rFonts w:eastAsia="Calibri"/>
                <w:szCs w:val="24"/>
                <w:lang w:val="en-GB"/>
              </w:rPr>
              <w:t>Propose new risk profiles / risk indicators</w:t>
            </w:r>
          </w:p>
        </w:tc>
        <w:tc>
          <w:tcPr>
            <w:tcW w:w="6300" w:type="dxa"/>
          </w:tcPr>
          <w:p w14:paraId="5A766825" w14:textId="77777777" w:rsidR="002C6582" w:rsidRPr="008F2501" w:rsidRDefault="002C6582" w:rsidP="001136D3">
            <w:pPr>
              <w:spacing w:after="0"/>
              <w:rPr>
                <w:rFonts w:eastAsia="Calibri"/>
                <w:szCs w:val="24"/>
                <w:lang w:val="en-GB"/>
              </w:rPr>
            </w:pPr>
            <w:r w:rsidRPr="008F2501">
              <w:rPr>
                <w:rFonts w:eastAsia="Calibri"/>
                <w:szCs w:val="24"/>
                <w:lang w:val="en-GB"/>
              </w:rPr>
              <w:t>The system must propose new risk profiles/risk indicators</w:t>
            </w:r>
          </w:p>
        </w:tc>
      </w:tr>
      <w:tr w:rsidR="002C6582" w:rsidRPr="001C68DE" w14:paraId="46D1230D" w14:textId="77777777" w:rsidTr="001136D3">
        <w:tc>
          <w:tcPr>
            <w:tcW w:w="1165" w:type="dxa"/>
          </w:tcPr>
          <w:p w14:paraId="386C7355" w14:textId="77777777" w:rsidR="002C6582" w:rsidRPr="001C68DE" w:rsidRDefault="002C6582" w:rsidP="001136D3">
            <w:pPr>
              <w:spacing w:after="0"/>
              <w:rPr>
                <w:rFonts w:eastAsia="Calibri"/>
                <w:szCs w:val="24"/>
                <w:lang w:val="en-GB"/>
              </w:rPr>
            </w:pPr>
            <w:r w:rsidRPr="008F2501">
              <w:rPr>
                <w:rFonts w:eastAsia="Calibri"/>
                <w:szCs w:val="24"/>
                <w:lang w:val="en-GB"/>
              </w:rPr>
              <w:t>Service Task</w:t>
            </w:r>
          </w:p>
        </w:tc>
        <w:tc>
          <w:tcPr>
            <w:tcW w:w="1890" w:type="dxa"/>
          </w:tcPr>
          <w:p w14:paraId="33916417" w14:textId="77777777" w:rsidR="002C6582" w:rsidRPr="001C68DE" w:rsidRDefault="002C6582" w:rsidP="001136D3">
            <w:pPr>
              <w:spacing w:after="0"/>
              <w:rPr>
                <w:rFonts w:eastAsia="Calibri"/>
                <w:szCs w:val="24"/>
                <w:lang w:val="en-GB"/>
              </w:rPr>
            </w:pPr>
            <w:r w:rsidRPr="008F2501">
              <w:rPr>
                <w:rFonts w:eastAsia="Calibri"/>
                <w:szCs w:val="24"/>
                <w:lang w:val="en-GB"/>
              </w:rPr>
              <w:t>Perform intelligent insight service</w:t>
            </w:r>
          </w:p>
        </w:tc>
        <w:tc>
          <w:tcPr>
            <w:tcW w:w="6300" w:type="dxa"/>
          </w:tcPr>
          <w:p w14:paraId="6BB98285" w14:textId="77777777" w:rsidR="002C6582" w:rsidRPr="001C68DE" w:rsidRDefault="002C6582" w:rsidP="001136D3">
            <w:pPr>
              <w:spacing w:after="0"/>
              <w:rPr>
                <w:rFonts w:eastAsia="Calibri"/>
                <w:szCs w:val="24"/>
                <w:lang w:val="en-GB"/>
              </w:rPr>
            </w:pPr>
            <w:r w:rsidRPr="008F2501">
              <w:rPr>
                <w:rFonts w:eastAsia="Calibri"/>
                <w:szCs w:val="24"/>
                <w:lang w:val="en-GB"/>
              </w:rPr>
              <w:t>The task performs risk assessment on the LPCO Application with the shared profiles or indicators from EU TAXUD, SEED+, other countries government agencies. </w:t>
            </w:r>
          </w:p>
        </w:tc>
      </w:tr>
      <w:tr w:rsidR="002C6582" w:rsidRPr="001C68DE" w14:paraId="063F1CC1" w14:textId="77777777" w:rsidTr="001136D3">
        <w:tc>
          <w:tcPr>
            <w:tcW w:w="1165" w:type="dxa"/>
          </w:tcPr>
          <w:p w14:paraId="603A7194" w14:textId="77777777" w:rsidR="002C6582" w:rsidRPr="001C68DE" w:rsidRDefault="002C6582" w:rsidP="001136D3">
            <w:pPr>
              <w:spacing w:after="0"/>
              <w:rPr>
                <w:rFonts w:eastAsia="Calibri"/>
                <w:szCs w:val="24"/>
                <w:lang w:val="en-GB"/>
              </w:rPr>
            </w:pPr>
            <w:r w:rsidRPr="008F2501">
              <w:rPr>
                <w:rFonts w:eastAsia="Calibri"/>
                <w:szCs w:val="24"/>
                <w:lang w:val="en-GB"/>
              </w:rPr>
              <w:t>Service Task</w:t>
            </w:r>
          </w:p>
        </w:tc>
        <w:tc>
          <w:tcPr>
            <w:tcW w:w="1890" w:type="dxa"/>
          </w:tcPr>
          <w:p w14:paraId="3D241C06" w14:textId="77777777" w:rsidR="002C6582" w:rsidRPr="001C68DE" w:rsidRDefault="002C6582" w:rsidP="001136D3">
            <w:pPr>
              <w:spacing w:after="0"/>
              <w:rPr>
                <w:rFonts w:eastAsia="Calibri"/>
                <w:szCs w:val="24"/>
                <w:lang w:val="en-GB"/>
              </w:rPr>
            </w:pPr>
            <w:r w:rsidRPr="008F2501">
              <w:rPr>
                <w:rFonts w:eastAsia="Calibri"/>
                <w:szCs w:val="24"/>
                <w:lang w:val="en-GB"/>
              </w:rPr>
              <w:t>Perform market surveillance service</w:t>
            </w:r>
          </w:p>
        </w:tc>
        <w:tc>
          <w:tcPr>
            <w:tcW w:w="6300" w:type="dxa"/>
          </w:tcPr>
          <w:p w14:paraId="2D53E32E" w14:textId="77777777" w:rsidR="002C6582" w:rsidRPr="001C68DE" w:rsidRDefault="002C6582" w:rsidP="001136D3">
            <w:pPr>
              <w:spacing w:after="0"/>
              <w:rPr>
                <w:rFonts w:eastAsia="Calibri"/>
                <w:szCs w:val="24"/>
                <w:lang w:val="en-GB"/>
              </w:rPr>
            </w:pPr>
            <w:r w:rsidRPr="008F2501">
              <w:rPr>
                <w:rFonts w:eastAsia="Calibri"/>
                <w:szCs w:val="24"/>
                <w:lang w:val="en-GB"/>
              </w:rPr>
              <w:t>The system checks if additional risk assessment from external system is need/required. </w:t>
            </w:r>
          </w:p>
        </w:tc>
      </w:tr>
      <w:tr w:rsidR="002C6582" w:rsidRPr="001C68DE" w14:paraId="46A44AAC" w14:textId="77777777" w:rsidTr="001136D3">
        <w:tc>
          <w:tcPr>
            <w:tcW w:w="1165" w:type="dxa"/>
          </w:tcPr>
          <w:p w14:paraId="3E3EBEB4" w14:textId="77777777" w:rsidR="002C6582" w:rsidRPr="008F2501" w:rsidRDefault="002C6582" w:rsidP="001136D3">
            <w:pPr>
              <w:spacing w:after="0"/>
              <w:rPr>
                <w:rFonts w:eastAsia="Calibri"/>
                <w:szCs w:val="24"/>
                <w:lang w:val="bg-BG"/>
              </w:rPr>
            </w:pPr>
            <w:r w:rsidRPr="00843DA3">
              <w:rPr>
                <w:rFonts w:eastAsia="Calibri"/>
                <w:szCs w:val="24"/>
                <w:lang w:val="bg-BG"/>
              </w:rPr>
              <w:t>Service Task</w:t>
            </w:r>
          </w:p>
        </w:tc>
        <w:tc>
          <w:tcPr>
            <w:tcW w:w="1890" w:type="dxa"/>
          </w:tcPr>
          <w:p w14:paraId="0826C7C6" w14:textId="77777777" w:rsidR="002C6582" w:rsidRPr="001C68DE" w:rsidRDefault="002C6582" w:rsidP="001136D3">
            <w:pPr>
              <w:spacing w:after="0"/>
              <w:rPr>
                <w:rFonts w:eastAsia="Calibri"/>
                <w:szCs w:val="24"/>
                <w:lang w:val="en-GB"/>
              </w:rPr>
            </w:pPr>
            <w:r w:rsidRPr="00843DA3">
              <w:rPr>
                <w:rFonts w:eastAsia="Calibri"/>
                <w:szCs w:val="24"/>
                <w:lang w:val="en-GB"/>
              </w:rPr>
              <w:t>Generate reports to agency officers</w:t>
            </w:r>
          </w:p>
        </w:tc>
        <w:tc>
          <w:tcPr>
            <w:tcW w:w="6300" w:type="dxa"/>
          </w:tcPr>
          <w:p w14:paraId="52CABC3D" w14:textId="77777777" w:rsidR="002C6582" w:rsidRPr="001C68DE" w:rsidRDefault="002C6582" w:rsidP="001136D3">
            <w:pPr>
              <w:spacing w:after="0"/>
              <w:rPr>
                <w:rFonts w:eastAsia="Calibri"/>
                <w:szCs w:val="24"/>
                <w:lang w:val="en-GB"/>
              </w:rPr>
            </w:pPr>
            <w:r w:rsidRPr="00843DA3">
              <w:rPr>
                <w:rFonts w:eastAsia="Calibri"/>
                <w:szCs w:val="24"/>
                <w:lang w:val="en-GB"/>
              </w:rPr>
              <w:t>The task generates reports from intelligent insight service and market surveillance service</w:t>
            </w:r>
          </w:p>
        </w:tc>
      </w:tr>
    </w:tbl>
    <w:p w14:paraId="2C11E01C" w14:textId="77777777" w:rsidR="004C3CE9" w:rsidRPr="005E6A97" w:rsidRDefault="004C3CE9" w:rsidP="004C3CE9">
      <w:pPr>
        <w:spacing w:after="0"/>
        <w:rPr>
          <w:lang w:val="mk-MK"/>
        </w:rPr>
      </w:pPr>
    </w:p>
    <w:p w14:paraId="640DC528" w14:textId="62A72922" w:rsidR="004C3CE9" w:rsidRPr="0024446B" w:rsidRDefault="00572CFF" w:rsidP="004C3CE9">
      <w:pPr>
        <w:spacing w:after="0"/>
        <w:rPr>
          <w:b/>
          <w:iCs/>
        </w:rPr>
      </w:pPr>
      <w:r>
        <w:rPr>
          <w:b/>
          <w:i/>
        </w:rPr>
        <w:t xml:space="preserve">1.2.13.3. </w:t>
      </w:r>
      <w:r w:rsidR="004C3CE9" w:rsidRPr="0024446B">
        <w:rPr>
          <w:b/>
          <w:iCs/>
        </w:rPr>
        <w:t xml:space="preserve">Risk profile recommendation </w:t>
      </w:r>
      <w:proofErr w:type="gramStart"/>
      <w:r w:rsidR="004C3CE9" w:rsidRPr="0024446B">
        <w:rPr>
          <w:b/>
          <w:iCs/>
        </w:rPr>
        <w:t>service</w:t>
      </w:r>
      <w:proofErr w:type="gramEnd"/>
      <w:r w:rsidR="004C3CE9" w:rsidRPr="0024446B">
        <w:rPr>
          <w:b/>
          <w:iCs/>
        </w:rPr>
        <w:t xml:space="preserve"> </w:t>
      </w:r>
    </w:p>
    <w:p w14:paraId="7F5181F1" w14:textId="77777777" w:rsidR="004C3CE9" w:rsidRDefault="004C3CE9" w:rsidP="004C3CE9">
      <w:pPr>
        <w:spacing w:after="0"/>
        <w:rPr>
          <w:bCs/>
          <w:iCs/>
        </w:rPr>
      </w:pPr>
    </w:p>
    <w:p w14:paraId="74F308C3" w14:textId="0D07A78A" w:rsidR="004C3CE9" w:rsidRDefault="004C3CE9" w:rsidP="004C3CE9">
      <w:pPr>
        <w:spacing w:after="0"/>
        <w:rPr>
          <w:bCs/>
          <w:iCs/>
        </w:rPr>
      </w:pPr>
      <w:r w:rsidRPr="004939EE">
        <w:rPr>
          <w:bCs/>
          <w:iCs/>
        </w:rPr>
        <w:t xml:space="preserve">The Risk Profile Recommendation service </w:t>
      </w:r>
      <w:r>
        <w:rPr>
          <w:bCs/>
          <w:iCs/>
        </w:rPr>
        <w:t xml:space="preserve">must provide </w:t>
      </w:r>
      <w:r w:rsidRPr="004939EE">
        <w:rPr>
          <w:bCs/>
          <w:iCs/>
        </w:rPr>
        <w:t xml:space="preserve">recommendations for </w:t>
      </w:r>
      <w:r>
        <w:rPr>
          <w:bCs/>
          <w:iCs/>
        </w:rPr>
        <w:t xml:space="preserve">automatics </w:t>
      </w:r>
      <w:r w:rsidRPr="004939EE">
        <w:rPr>
          <w:bCs/>
          <w:iCs/>
        </w:rPr>
        <w:t>creati</w:t>
      </w:r>
      <w:r>
        <w:rPr>
          <w:bCs/>
          <w:iCs/>
        </w:rPr>
        <w:t>on of</w:t>
      </w:r>
      <w:r w:rsidRPr="004939EE">
        <w:rPr>
          <w:bCs/>
          <w:iCs/>
        </w:rPr>
        <w:t xml:space="preserve"> risk profiles. T</w:t>
      </w:r>
      <w:r>
        <w:rPr>
          <w:bCs/>
          <w:iCs/>
        </w:rPr>
        <w:t xml:space="preserve">he service must deploy </w:t>
      </w:r>
      <w:r w:rsidRPr="004939EE">
        <w:rPr>
          <w:bCs/>
          <w:iCs/>
        </w:rPr>
        <w:t xml:space="preserve">advanced algorithms and analytical techniques </w:t>
      </w:r>
      <w:r>
        <w:rPr>
          <w:bCs/>
          <w:iCs/>
        </w:rPr>
        <w:t xml:space="preserve">to collect and </w:t>
      </w:r>
      <w:r w:rsidR="000328C1">
        <w:rPr>
          <w:bCs/>
          <w:iCs/>
        </w:rPr>
        <w:t>analyze</w:t>
      </w:r>
      <w:r>
        <w:rPr>
          <w:bCs/>
          <w:iCs/>
        </w:rPr>
        <w:t xml:space="preserve"> information from different sources (internal and external) and propose risk indicators.</w:t>
      </w:r>
    </w:p>
    <w:p w14:paraId="2AA417C1" w14:textId="77777777" w:rsidR="004C3CE9" w:rsidRDefault="004C3CE9" w:rsidP="004C3CE9">
      <w:pPr>
        <w:spacing w:after="0"/>
        <w:rPr>
          <w:rFonts w:eastAsia="Calibri"/>
          <w:szCs w:val="24"/>
        </w:rPr>
      </w:pPr>
    </w:p>
    <w:p w14:paraId="743004C7" w14:textId="77777777" w:rsidR="004C3CE9" w:rsidRPr="00983A0E" w:rsidRDefault="004C3CE9" w:rsidP="004C3CE9">
      <w:pPr>
        <w:spacing w:after="0"/>
        <w:rPr>
          <w:b/>
          <w:i/>
        </w:rPr>
      </w:pPr>
      <w:r w:rsidRPr="00983A0E">
        <w:rPr>
          <w:b/>
          <w:i/>
        </w:rPr>
        <w:t>Functional Requirements:</w:t>
      </w:r>
    </w:p>
    <w:tbl>
      <w:tblPr>
        <w:tblStyle w:val="TableGrid"/>
        <w:tblW w:w="8635" w:type="dxa"/>
        <w:tblLook w:val="04A0" w:firstRow="1" w:lastRow="0" w:firstColumn="1" w:lastColumn="0" w:noHBand="0" w:noVBand="1"/>
      </w:tblPr>
      <w:tblGrid>
        <w:gridCol w:w="1075"/>
        <w:gridCol w:w="7560"/>
      </w:tblGrid>
      <w:tr w:rsidR="004F6271" w:rsidRPr="007A60A6" w14:paraId="71B4C2E2" w14:textId="77777777" w:rsidTr="001136D3">
        <w:trPr>
          <w:tblHeader/>
        </w:trPr>
        <w:tc>
          <w:tcPr>
            <w:tcW w:w="1075" w:type="dxa"/>
            <w:shd w:val="clear" w:color="auto" w:fill="D9D9D9" w:themeFill="background1" w:themeFillShade="D9"/>
          </w:tcPr>
          <w:p w14:paraId="713432F0" w14:textId="77777777" w:rsidR="004F6271" w:rsidRPr="001C68DE" w:rsidRDefault="004F6271"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7560" w:type="dxa"/>
            <w:shd w:val="clear" w:color="auto" w:fill="D9D9D9" w:themeFill="background1" w:themeFillShade="D9"/>
          </w:tcPr>
          <w:p w14:paraId="75E873F0" w14:textId="77777777" w:rsidR="004F6271" w:rsidRPr="001C68DE" w:rsidRDefault="004F6271" w:rsidP="001136D3">
            <w:pPr>
              <w:spacing w:after="0"/>
              <w:rPr>
                <w:rFonts w:eastAsia="Calibri"/>
                <w:b/>
                <w:szCs w:val="24"/>
                <w:lang w:val="en-GB"/>
              </w:rPr>
            </w:pPr>
            <w:r w:rsidRPr="001C68DE">
              <w:rPr>
                <w:rFonts w:eastAsia="Calibri"/>
                <w:b/>
                <w:szCs w:val="24"/>
                <w:lang w:val="en-GB"/>
              </w:rPr>
              <w:t>Description</w:t>
            </w:r>
          </w:p>
        </w:tc>
      </w:tr>
      <w:tr w:rsidR="004F6271" w:rsidRPr="007A60A6" w14:paraId="0B432E93" w14:textId="77777777" w:rsidTr="001136D3">
        <w:tc>
          <w:tcPr>
            <w:tcW w:w="1075" w:type="dxa"/>
          </w:tcPr>
          <w:p w14:paraId="3EA54C51" w14:textId="6FC376DF" w:rsidR="004F6271" w:rsidRPr="001C68DE" w:rsidRDefault="008130B6" w:rsidP="001136D3">
            <w:pPr>
              <w:spacing w:after="0"/>
              <w:rPr>
                <w:rFonts w:eastAsia="Calibri"/>
                <w:i/>
                <w:szCs w:val="24"/>
                <w:lang w:val="en-GB"/>
              </w:rPr>
            </w:pPr>
            <w:r>
              <w:rPr>
                <w:rFonts w:eastAsia="Calibri"/>
                <w:szCs w:val="24"/>
                <w:lang w:val="en-GB"/>
              </w:rPr>
              <w:t>FR516</w:t>
            </w:r>
          </w:p>
        </w:tc>
        <w:tc>
          <w:tcPr>
            <w:tcW w:w="7560" w:type="dxa"/>
          </w:tcPr>
          <w:p w14:paraId="140B297C" w14:textId="77777777" w:rsidR="004F6271" w:rsidRPr="001C68DE" w:rsidRDefault="004F6271" w:rsidP="001136D3">
            <w:pPr>
              <w:spacing w:after="0"/>
              <w:rPr>
                <w:rFonts w:eastAsia="Calibri"/>
                <w:i/>
                <w:szCs w:val="24"/>
                <w:lang w:val="en-GB"/>
              </w:rPr>
            </w:pPr>
            <w:r>
              <w:rPr>
                <w:rFonts w:eastAsia="Calibri"/>
                <w:szCs w:val="24"/>
                <w:lang w:val="en-GB"/>
              </w:rPr>
              <w:t>The RMC must be able to apply Machine Learning algorithms for the discovery of the risk patterns from unstructured text.</w:t>
            </w:r>
          </w:p>
        </w:tc>
      </w:tr>
      <w:tr w:rsidR="004F6271" w:rsidRPr="007A60A6" w14:paraId="145E06DF" w14:textId="77777777" w:rsidTr="001136D3">
        <w:tc>
          <w:tcPr>
            <w:tcW w:w="1075" w:type="dxa"/>
          </w:tcPr>
          <w:p w14:paraId="0CA72AC1" w14:textId="187330D3" w:rsidR="004F6271" w:rsidRPr="001C68DE" w:rsidRDefault="008130B6" w:rsidP="001136D3">
            <w:pPr>
              <w:spacing w:after="0"/>
              <w:rPr>
                <w:rFonts w:eastAsia="Calibri"/>
                <w:i/>
                <w:szCs w:val="24"/>
                <w:lang w:val="en-GB"/>
              </w:rPr>
            </w:pPr>
            <w:r>
              <w:rPr>
                <w:rFonts w:eastAsia="Calibri"/>
                <w:szCs w:val="24"/>
                <w:lang w:val="en-GB"/>
              </w:rPr>
              <w:t>FR517</w:t>
            </w:r>
          </w:p>
        </w:tc>
        <w:tc>
          <w:tcPr>
            <w:tcW w:w="7560" w:type="dxa"/>
          </w:tcPr>
          <w:p w14:paraId="555AB852" w14:textId="77777777" w:rsidR="004F6271" w:rsidRPr="00B10B7C" w:rsidRDefault="004F6271" w:rsidP="001136D3">
            <w:pPr>
              <w:spacing w:after="0"/>
              <w:rPr>
                <w:rFonts w:eastAsia="Calibri"/>
                <w:iCs/>
                <w:szCs w:val="24"/>
                <w:lang w:val="en-GB"/>
              </w:rPr>
            </w:pPr>
            <w:r w:rsidRPr="00B10B7C">
              <w:rPr>
                <w:rFonts w:eastAsia="Calibri"/>
                <w:iCs/>
                <w:szCs w:val="24"/>
                <w:lang w:val="en-GB"/>
              </w:rPr>
              <w:t>The RMC must be able to match the discovered information with the risk indicators managed in the Risk assessment functional block.</w:t>
            </w:r>
          </w:p>
        </w:tc>
      </w:tr>
      <w:tr w:rsidR="004F6271" w:rsidRPr="007A60A6" w14:paraId="502D955C" w14:textId="77777777" w:rsidTr="001136D3">
        <w:tc>
          <w:tcPr>
            <w:tcW w:w="1075" w:type="dxa"/>
          </w:tcPr>
          <w:p w14:paraId="763A4DC2" w14:textId="2DFD5194" w:rsidR="004F6271" w:rsidRPr="001C68DE" w:rsidRDefault="008130B6" w:rsidP="001136D3">
            <w:pPr>
              <w:spacing w:after="0"/>
              <w:rPr>
                <w:rFonts w:eastAsia="Calibri"/>
                <w:szCs w:val="24"/>
                <w:lang w:val="en-GB"/>
              </w:rPr>
            </w:pPr>
            <w:r>
              <w:rPr>
                <w:rFonts w:eastAsia="Calibri"/>
                <w:szCs w:val="24"/>
                <w:lang w:val="en-GB"/>
              </w:rPr>
              <w:t>FR518</w:t>
            </w:r>
          </w:p>
        </w:tc>
        <w:tc>
          <w:tcPr>
            <w:tcW w:w="7560" w:type="dxa"/>
          </w:tcPr>
          <w:p w14:paraId="0902EC3D" w14:textId="42CFA696" w:rsidR="004F6271" w:rsidRPr="001C68DE" w:rsidRDefault="004F6271" w:rsidP="001136D3">
            <w:pPr>
              <w:spacing w:after="0"/>
              <w:rPr>
                <w:rFonts w:eastAsia="Calibri"/>
                <w:szCs w:val="24"/>
                <w:lang w:val="en-GB"/>
              </w:rPr>
            </w:pPr>
            <w:r>
              <w:rPr>
                <w:rFonts w:eastAsia="Calibri"/>
                <w:szCs w:val="24"/>
                <w:lang w:val="en-GB"/>
              </w:rPr>
              <w:t>The RMC must provide functionality for the user manually to adapt the proposed risk profiles before registering them into the system.</w:t>
            </w:r>
          </w:p>
        </w:tc>
      </w:tr>
      <w:tr w:rsidR="004F6271" w:rsidRPr="007A60A6" w14:paraId="54B6F680" w14:textId="77777777" w:rsidTr="001136D3">
        <w:tc>
          <w:tcPr>
            <w:tcW w:w="1075" w:type="dxa"/>
          </w:tcPr>
          <w:p w14:paraId="1E7EE3DC" w14:textId="4EDA35BC" w:rsidR="004F6271" w:rsidRPr="001C68DE" w:rsidRDefault="004F6271" w:rsidP="001136D3">
            <w:pPr>
              <w:spacing w:after="0"/>
              <w:rPr>
                <w:rFonts w:eastAsia="Calibri"/>
                <w:szCs w:val="24"/>
                <w:lang w:val="en-GB"/>
              </w:rPr>
            </w:pPr>
            <w:r>
              <w:rPr>
                <w:rFonts w:eastAsia="Calibri"/>
                <w:szCs w:val="24"/>
              </w:rPr>
              <w:t>FR543</w:t>
            </w:r>
          </w:p>
        </w:tc>
        <w:tc>
          <w:tcPr>
            <w:tcW w:w="7560" w:type="dxa"/>
          </w:tcPr>
          <w:p w14:paraId="4104156E" w14:textId="5B93B3DC" w:rsidR="004F6271" w:rsidRDefault="004F6271" w:rsidP="001136D3">
            <w:pPr>
              <w:spacing w:after="0"/>
              <w:rPr>
                <w:rFonts w:eastAsia="Calibri"/>
                <w:szCs w:val="24"/>
                <w:lang w:val="en-GB"/>
              </w:rPr>
            </w:pPr>
            <w:r w:rsidRPr="00B10B7C">
              <w:rPr>
                <w:rFonts w:eastAsia="Calibri"/>
                <w:iCs/>
                <w:szCs w:val="24"/>
                <w:lang w:val="en-GB"/>
              </w:rPr>
              <w:t>The RMC must be able to discover risk indicators from the historical data (internal and external sources)</w:t>
            </w:r>
            <w:r>
              <w:rPr>
                <w:rFonts w:eastAsia="Calibri"/>
                <w:iCs/>
                <w:szCs w:val="24"/>
                <w:lang w:val="en-GB"/>
              </w:rPr>
              <w:t>.</w:t>
            </w:r>
          </w:p>
        </w:tc>
      </w:tr>
    </w:tbl>
    <w:p w14:paraId="7FC7C2E9" w14:textId="77777777" w:rsidR="004C3CE9" w:rsidRDefault="004C3CE9" w:rsidP="004C3CE9"/>
    <w:p w14:paraId="219CAA73" w14:textId="77777777" w:rsidR="004C3CE9" w:rsidRPr="004939EE" w:rsidRDefault="004C3CE9" w:rsidP="004C3CE9">
      <w:pPr>
        <w:spacing w:after="0"/>
        <w:ind w:left="720"/>
        <w:rPr>
          <w:bCs/>
          <w:iCs/>
        </w:rPr>
      </w:pPr>
    </w:p>
    <w:p w14:paraId="1243C543" w14:textId="586AD91A" w:rsidR="004C3CE9" w:rsidRPr="00B3460F" w:rsidRDefault="00572CFF" w:rsidP="00FD21DF">
      <w:pPr>
        <w:spacing w:after="0"/>
        <w:rPr>
          <w:b/>
          <w:iCs/>
        </w:rPr>
      </w:pPr>
      <w:r>
        <w:rPr>
          <w:b/>
          <w:i/>
        </w:rPr>
        <w:t xml:space="preserve">1.2.13.4. </w:t>
      </w:r>
      <w:r w:rsidR="004C3CE9" w:rsidRPr="00B3460F">
        <w:rPr>
          <w:b/>
          <w:iCs/>
        </w:rPr>
        <w:t>Intelligent Insight service</w:t>
      </w:r>
    </w:p>
    <w:p w14:paraId="4CF359C1" w14:textId="77777777" w:rsidR="004C3CE9" w:rsidRDefault="004C3CE9" w:rsidP="004C3CE9">
      <w:pPr>
        <w:spacing w:after="0"/>
        <w:rPr>
          <w:bCs/>
          <w:iCs/>
        </w:rPr>
      </w:pPr>
    </w:p>
    <w:p w14:paraId="2EC726B8" w14:textId="77777777" w:rsidR="004C3CE9" w:rsidRPr="004939EE" w:rsidRDefault="004C3CE9" w:rsidP="004C3CE9">
      <w:pPr>
        <w:spacing w:after="0"/>
        <w:rPr>
          <w:bCs/>
          <w:iCs/>
        </w:rPr>
      </w:pPr>
      <w:r>
        <w:rPr>
          <w:bCs/>
          <w:iCs/>
        </w:rPr>
        <w:lastRenderedPageBreak/>
        <w:t xml:space="preserve">The </w:t>
      </w:r>
      <w:r w:rsidRPr="004939EE">
        <w:rPr>
          <w:bCs/>
          <w:iCs/>
        </w:rPr>
        <w:t xml:space="preserve">Intelligent Insight </w:t>
      </w:r>
      <w:r>
        <w:rPr>
          <w:bCs/>
          <w:iCs/>
        </w:rPr>
        <w:t>service must</w:t>
      </w:r>
      <w:r w:rsidRPr="004939EE">
        <w:rPr>
          <w:bCs/>
          <w:iCs/>
        </w:rPr>
        <w:t xml:space="preserve"> perform advanced </w:t>
      </w:r>
      <w:r>
        <w:rPr>
          <w:bCs/>
          <w:iCs/>
        </w:rPr>
        <w:t xml:space="preserve">statistical </w:t>
      </w:r>
      <w:r w:rsidRPr="004939EE">
        <w:rPr>
          <w:bCs/>
          <w:iCs/>
        </w:rPr>
        <w:t>analysis</w:t>
      </w:r>
      <w:r>
        <w:rPr>
          <w:bCs/>
          <w:iCs/>
        </w:rPr>
        <w:t xml:space="preserve">, based on </w:t>
      </w:r>
      <w:proofErr w:type="gramStart"/>
      <w:r>
        <w:rPr>
          <w:bCs/>
          <w:iCs/>
        </w:rPr>
        <w:t>the historical</w:t>
      </w:r>
      <w:proofErr w:type="gramEnd"/>
      <w:r>
        <w:rPr>
          <w:bCs/>
          <w:iCs/>
        </w:rPr>
        <w:t xml:space="preserve"> data. The service must be integrated with the risk assessment functional block and support the improvement of the risk profiles and decision-making processes.</w:t>
      </w:r>
    </w:p>
    <w:p w14:paraId="1049CB4A" w14:textId="77777777" w:rsidR="004C3CE9" w:rsidRPr="004939EE" w:rsidRDefault="004C3CE9" w:rsidP="004C3CE9">
      <w:pPr>
        <w:spacing w:after="0"/>
        <w:rPr>
          <w:bCs/>
          <w:iCs/>
        </w:rPr>
      </w:pPr>
      <w:r w:rsidRPr="004939EE">
        <w:rPr>
          <w:bCs/>
          <w:iCs/>
        </w:rPr>
        <w:t xml:space="preserve">By leveraging Intelligent Insight's analytics capabilities based on up-to-date information, users can gain valuable insights into </w:t>
      </w:r>
      <w:r>
        <w:rPr>
          <w:bCs/>
          <w:iCs/>
        </w:rPr>
        <w:t>the RMC operations and the measures undertaken to improve the security of the citizens and the business in the country.</w:t>
      </w:r>
    </w:p>
    <w:p w14:paraId="7A089232" w14:textId="77777777" w:rsidR="004C3CE9" w:rsidRDefault="004C3CE9" w:rsidP="004C3CE9">
      <w:pPr>
        <w:spacing w:after="0"/>
        <w:rPr>
          <w:rFonts w:eastAsia="Calibri"/>
          <w:szCs w:val="24"/>
        </w:rPr>
      </w:pPr>
    </w:p>
    <w:p w14:paraId="35DD90D6" w14:textId="77777777" w:rsidR="004C3CE9" w:rsidRPr="00983A0E" w:rsidRDefault="004C3CE9" w:rsidP="004C3CE9">
      <w:pPr>
        <w:spacing w:after="0"/>
        <w:rPr>
          <w:b/>
          <w:i/>
        </w:rPr>
      </w:pPr>
      <w:r w:rsidRPr="00983A0E">
        <w:rPr>
          <w:b/>
          <w:i/>
        </w:rPr>
        <w:t>Functional Requirements:</w:t>
      </w:r>
    </w:p>
    <w:tbl>
      <w:tblPr>
        <w:tblStyle w:val="TableGrid"/>
        <w:tblW w:w="9355" w:type="dxa"/>
        <w:tblLook w:val="04A0" w:firstRow="1" w:lastRow="0" w:firstColumn="1" w:lastColumn="0" w:noHBand="0" w:noVBand="1"/>
      </w:tblPr>
      <w:tblGrid>
        <w:gridCol w:w="985"/>
        <w:gridCol w:w="8370"/>
      </w:tblGrid>
      <w:tr w:rsidR="004F6271" w:rsidRPr="007A60A6" w14:paraId="33CD8636" w14:textId="77777777" w:rsidTr="001136D3">
        <w:trPr>
          <w:tblHeader/>
        </w:trPr>
        <w:tc>
          <w:tcPr>
            <w:tcW w:w="985" w:type="dxa"/>
            <w:shd w:val="clear" w:color="auto" w:fill="D9D9D9" w:themeFill="background1" w:themeFillShade="D9"/>
          </w:tcPr>
          <w:p w14:paraId="100A2136" w14:textId="77777777" w:rsidR="004F6271" w:rsidRPr="001C68DE" w:rsidRDefault="004F6271"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8370" w:type="dxa"/>
            <w:shd w:val="clear" w:color="auto" w:fill="D9D9D9" w:themeFill="background1" w:themeFillShade="D9"/>
          </w:tcPr>
          <w:p w14:paraId="3833BC59" w14:textId="77777777" w:rsidR="004F6271" w:rsidRPr="001C68DE" w:rsidRDefault="004F6271" w:rsidP="001136D3">
            <w:pPr>
              <w:spacing w:after="0"/>
              <w:rPr>
                <w:rFonts w:eastAsia="Calibri"/>
                <w:b/>
                <w:szCs w:val="24"/>
                <w:lang w:val="en-GB"/>
              </w:rPr>
            </w:pPr>
            <w:r w:rsidRPr="001C68DE">
              <w:rPr>
                <w:rFonts w:eastAsia="Calibri"/>
                <w:b/>
                <w:szCs w:val="24"/>
                <w:lang w:val="en-GB"/>
              </w:rPr>
              <w:t>Description</w:t>
            </w:r>
          </w:p>
        </w:tc>
      </w:tr>
      <w:tr w:rsidR="004F6271" w:rsidRPr="007A60A6" w14:paraId="4BBFFE03" w14:textId="77777777" w:rsidTr="001136D3">
        <w:tc>
          <w:tcPr>
            <w:tcW w:w="985" w:type="dxa"/>
          </w:tcPr>
          <w:p w14:paraId="6EA2A453" w14:textId="231CAD19" w:rsidR="004F6271" w:rsidRPr="001C68DE" w:rsidRDefault="004F6271" w:rsidP="001136D3">
            <w:pPr>
              <w:spacing w:after="0"/>
              <w:rPr>
                <w:rFonts w:eastAsia="Calibri"/>
                <w:i/>
                <w:szCs w:val="24"/>
                <w:lang w:val="en-GB"/>
              </w:rPr>
            </w:pPr>
            <w:r w:rsidRPr="001C68DE">
              <w:rPr>
                <w:rFonts w:eastAsia="Calibri"/>
                <w:szCs w:val="24"/>
                <w:lang w:val="en-GB"/>
              </w:rPr>
              <w:t>FR</w:t>
            </w:r>
            <w:r>
              <w:rPr>
                <w:rFonts w:eastAsia="Calibri"/>
                <w:szCs w:val="24"/>
                <w:lang w:val="en-GB"/>
              </w:rPr>
              <w:t>544</w:t>
            </w:r>
          </w:p>
        </w:tc>
        <w:tc>
          <w:tcPr>
            <w:tcW w:w="8370" w:type="dxa"/>
          </w:tcPr>
          <w:p w14:paraId="046903B6" w14:textId="77777777" w:rsidR="004F6271" w:rsidRPr="00BE0881" w:rsidRDefault="004F6271" w:rsidP="001136D3">
            <w:pPr>
              <w:spacing w:after="0"/>
              <w:rPr>
                <w:rFonts w:eastAsia="Calibri"/>
                <w:szCs w:val="24"/>
                <w:lang w:val="en-GB"/>
              </w:rPr>
            </w:pPr>
            <w:r w:rsidRPr="00BE0881">
              <w:rPr>
                <w:rFonts w:eastAsia="Calibri"/>
                <w:szCs w:val="24"/>
                <w:lang w:val="en-GB"/>
              </w:rPr>
              <w:t>The RMC must provide information about the Risk profiles hitting map (the number of hit per risk profile / risk indicator)</w:t>
            </w:r>
            <w:r>
              <w:rPr>
                <w:rFonts w:eastAsia="Calibri"/>
                <w:szCs w:val="24"/>
                <w:lang w:val="en-GB"/>
              </w:rPr>
              <w:t>.</w:t>
            </w:r>
          </w:p>
        </w:tc>
      </w:tr>
      <w:tr w:rsidR="004F6271" w:rsidRPr="007A60A6" w14:paraId="71FE5F47" w14:textId="77777777" w:rsidTr="001136D3">
        <w:tc>
          <w:tcPr>
            <w:tcW w:w="985" w:type="dxa"/>
          </w:tcPr>
          <w:p w14:paraId="1F8088F7" w14:textId="30F15A74" w:rsidR="004F6271" w:rsidRPr="001C68DE" w:rsidRDefault="004F6271" w:rsidP="001136D3">
            <w:pPr>
              <w:spacing w:after="0"/>
              <w:rPr>
                <w:rFonts w:eastAsia="Calibri"/>
                <w:i/>
                <w:szCs w:val="24"/>
                <w:lang w:val="en-GB"/>
              </w:rPr>
            </w:pPr>
            <w:r w:rsidRPr="001C68DE">
              <w:rPr>
                <w:rFonts w:eastAsia="Calibri"/>
                <w:szCs w:val="24"/>
                <w:lang w:val="en-GB"/>
              </w:rPr>
              <w:t>FR</w:t>
            </w:r>
            <w:r>
              <w:rPr>
                <w:rFonts w:eastAsia="Calibri"/>
                <w:szCs w:val="24"/>
                <w:lang w:val="en-GB"/>
              </w:rPr>
              <w:t>545</w:t>
            </w:r>
          </w:p>
        </w:tc>
        <w:tc>
          <w:tcPr>
            <w:tcW w:w="8370" w:type="dxa"/>
          </w:tcPr>
          <w:p w14:paraId="793E9C48" w14:textId="77777777" w:rsidR="004F6271" w:rsidRPr="00BE0881" w:rsidRDefault="004F6271" w:rsidP="001136D3">
            <w:pPr>
              <w:spacing w:after="0"/>
              <w:rPr>
                <w:rFonts w:eastAsia="Calibri"/>
                <w:szCs w:val="24"/>
                <w:lang w:val="en-GB"/>
              </w:rPr>
            </w:pPr>
            <w:r w:rsidRPr="00BE0881">
              <w:rPr>
                <w:rFonts w:eastAsia="Calibri"/>
                <w:szCs w:val="24"/>
                <w:lang w:val="en-GB"/>
              </w:rPr>
              <w:t xml:space="preserve">The RMC must provide information about the rate of random selected inspections towards all inspection by agency. </w:t>
            </w:r>
          </w:p>
        </w:tc>
      </w:tr>
      <w:tr w:rsidR="004F6271" w:rsidRPr="007A60A6" w14:paraId="24419041" w14:textId="77777777" w:rsidTr="001136D3">
        <w:tc>
          <w:tcPr>
            <w:tcW w:w="985" w:type="dxa"/>
          </w:tcPr>
          <w:p w14:paraId="469A2100" w14:textId="7390E6A2" w:rsidR="004F6271" w:rsidRPr="001C68DE" w:rsidRDefault="004F6271" w:rsidP="001136D3">
            <w:pPr>
              <w:spacing w:after="0"/>
              <w:rPr>
                <w:rFonts w:eastAsia="Calibri"/>
                <w:szCs w:val="24"/>
                <w:lang w:val="en-GB"/>
              </w:rPr>
            </w:pPr>
            <w:r w:rsidRPr="001C68DE">
              <w:rPr>
                <w:rFonts w:eastAsia="Calibri"/>
                <w:szCs w:val="24"/>
                <w:lang w:val="en-GB"/>
              </w:rPr>
              <w:t>FR</w:t>
            </w:r>
            <w:r>
              <w:rPr>
                <w:rFonts w:eastAsia="Calibri"/>
                <w:szCs w:val="24"/>
                <w:lang w:val="en-GB"/>
              </w:rPr>
              <w:t>546</w:t>
            </w:r>
          </w:p>
        </w:tc>
        <w:tc>
          <w:tcPr>
            <w:tcW w:w="8370" w:type="dxa"/>
          </w:tcPr>
          <w:p w14:paraId="30EA36B5" w14:textId="77777777" w:rsidR="004F6271" w:rsidRPr="001C68DE" w:rsidRDefault="004F6271" w:rsidP="001136D3">
            <w:pPr>
              <w:spacing w:after="0"/>
              <w:rPr>
                <w:rFonts w:eastAsia="Calibri"/>
                <w:szCs w:val="24"/>
                <w:lang w:val="en-GB"/>
              </w:rPr>
            </w:pPr>
            <w:r>
              <w:rPr>
                <w:rFonts w:eastAsia="Calibri"/>
                <w:szCs w:val="24"/>
                <w:lang w:val="en-GB"/>
              </w:rPr>
              <w:t>The RMC must provide information about the rate of fraud detected during the inspections and the total number of inspections, based on the risk profile hits.</w:t>
            </w:r>
          </w:p>
        </w:tc>
      </w:tr>
      <w:tr w:rsidR="004F6271" w:rsidRPr="007A60A6" w14:paraId="134CDEA3" w14:textId="77777777" w:rsidTr="001136D3">
        <w:tc>
          <w:tcPr>
            <w:tcW w:w="985" w:type="dxa"/>
          </w:tcPr>
          <w:p w14:paraId="0247C092" w14:textId="0A37A1D8" w:rsidR="004F6271" w:rsidRPr="001C68DE" w:rsidRDefault="004F6271" w:rsidP="001136D3">
            <w:pPr>
              <w:spacing w:after="0"/>
              <w:rPr>
                <w:rFonts w:eastAsia="Calibri"/>
                <w:i/>
                <w:szCs w:val="24"/>
                <w:lang w:val="en-GB"/>
              </w:rPr>
            </w:pPr>
            <w:r w:rsidRPr="001C68DE">
              <w:rPr>
                <w:rFonts w:eastAsia="Calibri"/>
                <w:szCs w:val="24"/>
                <w:lang w:val="en-GB"/>
              </w:rPr>
              <w:t>FR</w:t>
            </w:r>
            <w:r>
              <w:rPr>
                <w:rFonts w:eastAsia="Calibri"/>
                <w:szCs w:val="24"/>
                <w:lang w:val="en-GB"/>
              </w:rPr>
              <w:t>547</w:t>
            </w:r>
          </w:p>
        </w:tc>
        <w:tc>
          <w:tcPr>
            <w:tcW w:w="8370" w:type="dxa"/>
          </w:tcPr>
          <w:p w14:paraId="18F53DB4" w14:textId="77777777" w:rsidR="004F6271" w:rsidRPr="00BE0881" w:rsidRDefault="004F6271" w:rsidP="001136D3">
            <w:pPr>
              <w:spacing w:after="0"/>
              <w:rPr>
                <w:rFonts w:eastAsia="Calibri"/>
                <w:iCs/>
                <w:szCs w:val="24"/>
                <w:lang w:val="en-GB"/>
              </w:rPr>
            </w:pPr>
            <w:r w:rsidRPr="00BE0881">
              <w:rPr>
                <w:rFonts w:eastAsia="Calibri"/>
                <w:iCs/>
                <w:szCs w:val="24"/>
                <w:lang w:val="en-GB"/>
              </w:rPr>
              <w:t>The RMC must provide information about the fraud detected per country, transport means, goods, company.</w:t>
            </w:r>
          </w:p>
        </w:tc>
      </w:tr>
      <w:tr w:rsidR="004F6271" w:rsidRPr="007A60A6" w14:paraId="4E5DA91D" w14:textId="77777777" w:rsidTr="001136D3">
        <w:tc>
          <w:tcPr>
            <w:tcW w:w="985" w:type="dxa"/>
          </w:tcPr>
          <w:p w14:paraId="0705C831" w14:textId="1107B916" w:rsidR="004F6271" w:rsidRPr="001C68DE" w:rsidRDefault="004F6271" w:rsidP="001136D3">
            <w:pPr>
              <w:spacing w:after="0"/>
              <w:rPr>
                <w:rFonts w:eastAsia="Calibri"/>
                <w:i/>
                <w:szCs w:val="24"/>
                <w:lang w:val="en-GB"/>
              </w:rPr>
            </w:pPr>
            <w:r w:rsidRPr="001C68DE">
              <w:rPr>
                <w:rFonts w:eastAsia="Calibri"/>
                <w:szCs w:val="24"/>
                <w:lang w:val="en-GB"/>
              </w:rPr>
              <w:t>FR</w:t>
            </w:r>
            <w:r>
              <w:rPr>
                <w:rFonts w:eastAsia="Calibri"/>
                <w:szCs w:val="24"/>
                <w:lang w:val="en-GB"/>
              </w:rPr>
              <w:t>548</w:t>
            </w:r>
          </w:p>
        </w:tc>
        <w:tc>
          <w:tcPr>
            <w:tcW w:w="8370" w:type="dxa"/>
          </w:tcPr>
          <w:p w14:paraId="6D9D80A8" w14:textId="77777777" w:rsidR="004F6271" w:rsidRPr="001C68DE" w:rsidRDefault="004F6271" w:rsidP="001136D3">
            <w:pPr>
              <w:spacing w:after="0"/>
              <w:rPr>
                <w:rFonts w:eastAsia="Calibri"/>
                <w:szCs w:val="24"/>
                <w:lang w:val="en-GB"/>
              </w:rPr>
            </w:pPr>
            <w:r>
              <w:rPr>
                <w:rFonts w:eastAsia="Calibri"/>
                <w:szCs w:val="24"/>
                <w:lang w:val="en-GB"/>
              </w:rPr>
              <w:t>The RMC must provide mirror statistics analysis about the discrepancies of the declared import and export data.</w:t>
            </w:r>
          </w:p>
        </w:tc>
      </w:tr>
      <w:tr w:rsidR="004F6271" w:rsidRPr="007A60A6" w14:paraId="44795B21" w14:textId="77777777" w:rsidTr="001136D3">
        <w:tc>
          <w:tcPr>
            <w:tcW w:w="985" w:type="dxa"/>
          </w:tcPr>
          <w:p w14:paraId="7A2D8F94" w14:textId="1B7BF460" w:rsidR="004F6271" w:rsidRPr="001C68DE" w:rsidRDefault="004F6271" w:rsidP="001136D3">
            <w:pPr>
              <w:spacing w:after="0"/>
              <w:rPr>
                <w:rFonts w:eastAsia="Calibri"/>
                <w:szCs w:val="24"/>
                <w:lang w:val="en-GB"/>
              </w:rPr>
            </w:pPr>
            <w:r>
              <w:rPr>
                <w:rFonts w:eastAsia="Calibri"/>
                <w:szCs w:val="24"/>
                <w:lang w:val="en-GB"/>
              </w:rPr>
              <w:t>FR549</w:t>
            </w:r>
          </w:p>
        </w:tc>
        <w:tc>
          <w:tcPr>
            <w:tcW w:w="8370" w:type="dxa"/>
          </w:tcPr>
          <w:p w14:paraId="706742C4" w14:textId="578E6FE7" w:rsidR="004F6271" w:rsidRDefault="004F6271" w:rsidP="001136D3">
            <w:pPr>
              <w:spacing w:after="0"/>
              <w:rPr>
                <w:rFonts w:eastAsia="Calibri"/>
                <w:szCs w:val="24"/>
                <w:lang w:val="en-GB"/>
              </w:rPr>
            </w:pPr>
            <w:r w:rsidRPr="004939EE">
              <w:rPr>
                <w:bCs/>
                <w:iCs/>
              </w:rPr>
              <w:t>The system should provide functionality for conducting statistical analysis on the current information, offering various methods and measures for data analysis</w:t>
            </w:r>
          </w:p>
        </w:tc>
      </w:tr>
    </w:tbl>
    <w:p w14:paraId="7EA9D9A0" w14:textId="77777777" w:rsidR="004C3CE9" w:rsidRDefault="004C3CE9" w:rsidP="004C3CE9"/>
    <w:p w14:paraId="770A9FA6" w14:textId="54E15B22" w:rsidR="004C3CE9" w:rsidRPr="002478FF" w:rsidRDefault="00572CFF" w:rsidP="004C3CE9">
      <w:pPr>
        <w:spacing w:after="0"/>
        <w:rPr>
          <w:b/>
          <w:iCs/>
        </w:rPr>
      </w:pPr>
      <w:r>
        <w:rPr>
          <w:b/>
          <w:i/>
        </w:rPr>
        <w:t xml:space="preserve">1.2.13.5. </w:t>
      </w:r>
      <w:r w:rsidR="004C3CE9" w:rsidRPr="002478FF">
        <w:rPr>
          <w:b/>
          <w:iCs/>
        </w:rPr>
        <w:t>Market surveillance</w:t>
      </w:r>
      <w:r w:rsidR="004C3CE9">
        <w:rPr>
          <w:b/>
          <w:iCs/>
        </w:rPr>
        <w:t xml:space="preserve"> service</w:t>
      </w:r>
      <w:r w:rsidR="004C3CE9" w:rsidRPr="002478FF">
        <w:rPr>
          <w:b/>
          <w:iCs/>
        </w:rPr>
        <w:t>:</w:t>
      </w:r>
    </w:p>
    <w:p w14:paraId="6D9BAD2C" w14:textId="77777777" w:rsidR="004C3CE9" w:rsidRPr="002523D3" w:rsidRDefault="004C3CE9" w:rsidP="004C3CE9">
      <w:pPr>
        <w:spacing w:after="0"/>
        <w:rPr>
          <w:bCs/>
          <w:iCs/>
        </w:rPr>
      </w:pPr>
      <w:r w:rsidRPr="004939EE">
        <w:rPr>
          <w:bCs/>
          <w:iCs/>
        </w:rPr>
        <w:t xml:space="preserve">The Market Surveillance Service </w:t>
      </w:r>
      <w:r>
        <w:rPr>
          <w:bCs/>
          <w:iCs/>
        </w:rPr>
        <w:t>must provide</w:t>
      </w:r>
      <w:r w:rsidRPr="004939EE">
        <w:rPr>
          <w:bCs/>
          <w:iCs/>
        </w:rPr>
        <w:t xml:space="preserve"> </w:t>
      </w:r>
      <w:r>
        <w:rPr>
          <w:bCs/>
          <w:iCs/>
        </w:rPr>
        <w:t>market(s)</w:t>
      </w:r>
      <w:r w:rsidRPr="004939EE">
        <w:rPr>
          <w:bCs/>
          <w:iCs/>
        </w:rPr>
        <w:t xml:space="preserve"> monitoring and analysis of market conditions, with a specific focus on identifying irregularities, including price dumping practices. This service </w:t>
      </w:r>
      <w:r>
        <w:rPr>
          <w:bCs/>
          <w:iCs/>
        </w:rPr>
        <w:t xml:space="preserve">must </w:t>
      </w:r>
      <w:r w:rsidRPr="004939EE">
        <w:rPr>
          <w:bCs/>
          <w:iCs/>
        </w:rPr>
        <w:t>utilize data collected from various online sources, including websites, e-commerce platforms, and online marketplaces, to provide insights and alerts regarding potential instances of price dumping.</w:t>
      </w:r>
    </w:p>
    <w:p w14:paraId="084F5338" w14:textId="77777777" w:rsidR="004C3CE9" w:rsidRDefault="004C3CE9" w:rsidP="004C3CE9">
      <w:pPr>
        <w:spacing w:after="0"/>
        <w:rPr>
          <w:rFonts w:eastAsia="Calibri"/>
          <w:szCs w:val="24"/>
        </w:rPr>
      </w:pPr>
    </w:p>
    <w:p w14:paraId="663843EA" w14:textId="77777777" w:rsidR="004C3CE9" w:rsidRPr="00983A0E" w:rsidRDefault="004C3CE9" w:rsidP="004C3CE9">
      <w:pPr>
        <w:spacing w:after="0"/>
        <w:rPr>
          <w:b/>
          <w:i/>
        </w:rPr>
      </w:pPr>
      <w:r w:rsidRPr="00983A0E">
        <w:rPr>
          <w:b/>
          <w:i/>
        </w:rPr>
        <w:t>Functional Requirements:</w:t>
      </w:r>
    </w:p>
    <w:tbl>
      <w:tblPr>
        <w:tblStyle w:val="TableGrid"/>
        <w:tblW w:w="8635" w:type="dxa"/>
        <w:tblLook w:val="04A0" w:firstRow="1" w:lastRow="0" w:firstColumn="1" w:lastColumn="0" w:noHBand="0" w:noVBand="1"/>
      </w:tblPr>
      <w:tblGrid>
        <w:gridCol w:w="985"/>
        <w:gridCol w:w="7650"/>
      </w:tblGrid>
      <w:tr w:rsidR="0007064F" w:rsidRPr="007A60A6" w14:paraId="6B7F4B3C" w14:textId="77777777" w:rsidTr="001136D3">
        <w:trPr>
          <w:tblHeader/>
        </w:trPr>
        <w:tc>
          <w:tcPr>
            <w:tcW w:w="985" w:type="dxa"/>
            <w:shd w:val="clear" w:color="auto" w:fill="D9D9D9" w:themeFill="background1" w:themeFillShade="D9"/>
          </w:tcPr>
          <w:p w14:paraId="1792472B" w14:textId="77777777" w:rsidR="0007064F" w:rsidRPr="001C68DE" w:rsidRDefault="0007064F"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7650" w:type="dxa"/>
            <w:shd w:val="clear" w:color="auto" w:fill="D9D9D9" w:themeFill="background1" w:themeFillShade="D9"/>
          </w:tcPr>
          <w:p w14:paraId="45B5D37D" w14:textId="77777777" w:rsidR="0007064F" w:rsidRPr="001C68DE" w:rsidRDefault="0007064F" w:rsidP="001136D3">
            <w:pPr>
              <w:spacing w:after="0"/>
              <w:rPr>
                <w:rFonts w:eastAsia="Calibri"/>
                <w:b/>
                <w:szCs w:val="24"/>
                <w:lang w:val="en-GB"/>
              </w:rPr>
            </w:pPr>
            <w:r w:rsidRPr="001C68DE">
              <w:rPr>
                <w:rFonts w:eastAsia="Calibri"/>
                <w:b/>
                <w:szCs w:val="24"/>
                <w:lang w:val="en-GB"/>
              </w:rPr>
              <w:t>Description</w:t>
            </w:r>
          </w:p>
        </w:tc>
      </w:tr>
      <w:tr w:rsidR="0007064F" w:rsidRPr="007A60A6" w14:paraId="46A75487" w14:textId="77777777" w:rsidTr="001136D3">
        <w:tc>
          <w:tcPr>
            <w:tcW w:w="985" w:type="dxa"/>
          </w:tcPr>
          <w:p w14:paraId="0D761B0F" w14:textId="2D9DDA24" w:rsidR="0007064F" w:rsidRPr="001C68DE" w:rsidRDefault="0007064F" w:rsidP="001136D3">
            <w:pPr>
              <w:spacing w:after="0"/>
              <w:rPr>
                <w:rFonts w:eastAsia="Calibri"/>
                <w:i/>
                <w:szCs w:val="24"/>
                <w:lang w:val="en-GB"/>
              </w:rPr>
            </w:pPr>
            <w:r w:rsidRPr="001C68DE">
              <w:rPr>
                <w:rFonts w:eastAsia="Calibri"/>
                <w:szCs w:val="24"/>
                <w:lang w:val="en-GB"/>
              </w:rPr>
              <w:t>FR</w:t>
            </w:r>
            <w:r>
              <w:rPr>
                <w:rFonts w:eastAsia="Calibri"/>
                <w:szCs w:val="24"/>
                <w:lang w:val="en-GB"/>
              </w:rPr>
              <w:t>550</w:t>
            </w:r>
          </w:p>
        </w:tc>
        <w:tc>
          <w:tcPr>
            <w:tcW w:w="7650" w:type="dxa"/>
          </w:tcPr>
          <w:p w14:paraId="131FD126" w14:textId="77777777" w:rsidR="0007064F" w:rsidRPr="001C68DE" w:rsidRDefault="0007064F" w:rsidP="001136D3">
            <w:pPr>
              <w:spacing w:after="0"/>
              <w:rPr>
                <w:rFonts w:eastAsia="Calibri"/>
                <w:i/>
                <w:szCs w:val="24"/>
                <w:lang w:val="en-GB"/>
              </w:rPr>
            </w:pPr>
            <w:r w:rsidRPr="004939EE">
              <w:rPr>
                <w:bCs/>
                <w:iCs/>
              </w:rPr>
              <w:t>The system should be capable of gathering data from a wide range of online sources, including websites and online stores, to capture pricing information and related data relevant to market surveillance</w:t>
            </w:r>
            <w:r>
              <w:rPr>
                <w:bCs/>
                <w:iCs/>
              </w:rPr>
              <w:t>.</w:t>
            </w:r>
          </w:p>
        </w:tc>
      </w:tr>
      <w:tr w:rsidR="0007064F" w:rsidRPr="007A60A6" w14:paraId="14E2B08D" w14:textId="77777777" w:rsidTr="001136D3">
        <w:tc>
          <w:tcPr>
            <w:tcW w:w="985" w:type="dxa"/>
          </w:tcPr>
          <w:p w14:paraId="1C62A1F3" w14:textId="5203F91E" w:rsidR="0007064F" w:rsidRPr="001C68DE" w:rsidRDefault="0007064F" w:rsidP="001136D3">
            <w:pPr>
              <w:spacing w:after="0"/>
              <w:rPr>
                <w:rFonts w:eastAsia="Calibri"/>
                <w:i/>
                <w:szCs w:val="24"/>
                <w:lang w:val="en-GB"/>
              </w:rPr>
            </w:pPr>
            <w:r w:rsidRPr="001C68DE">
              <w:rPr>
                <w:rFonts w:eastAsia="Calibri"/>
                <w:szCs w:val="24"/>
                <w:lang w:val="en-GB"/>
              </w:rPr>
              <w:t>FR</w:t>
            </w:r>
            <w:r>
              <w:rPr>
                <w:rFonts w:eastAsia="Calibri"/>
                <w:szCs w:val="24"/>
                <w:lang w:val="en-GB"/>
              </w:rPr>
              <w:t>551</w:t>
            </w:r>
          </w:p>
        </w:tc>
        <w:tc>
          <w:tcPr>
            <w:tcW w:w="7650" w:type="dxa"/>
          </w:tcPr>
          <w:p w14:paraId="04037D18" w14:textId="77777777" w:rsidR="0007064F" w:rsidRPr="002523D3" w:rsidRDefault="0007064F">
            <w:pPr>
              <w:spacing w:after="0"/>
              <w:rPr>
                <w:bCs/>
                <w:iCs/>
              </w:rPr>
            </w:pPr>
            <w:r w:rsidRPr="00343B8B">
              <w:rPr>
                <w:bCs/>
                <w:iCs/>
              </w:rPr>
              <w:t>The service should perform price comparisons across different online platforms, identifying potential instances of price dumping by analyzing pricing trends, deviations, and historical data.</w:t>
            </w:r>
          </w:p>
        </w:tc>
      </w:tr>
      <w:tr w:rsidR="0007064F" w:rsidRPr="007A60A6" w14:paraId="389D31A4" w14:textId="77777777" w:rsidTr="001136D3">
        <w:tc>
          <w:tcPr>
            <w:tcW w:w="985" w:type="dxa"/>
          </w:tcPr>
          <w:p w14:paraId="579BD8DA" w14:textId="2DFB6650" w:rsidR="0007064F" w:rsidRPr="001C68DE" w:rsidRDefault="0007064F" w:rsidP="001136D3">
            <w:pPr>
              <w:spacing w:after="0"/>
              <w:rPr>
                <w:rFonts w:eastAsia="Calibri"/>
                <w:szCs w:val="24"/>
                <w:lang w:val="en-GB"/>
              </w:rPr>
            </w:pPr>
            <w:r w:rsidRPr="001C68DE">
              <w:rPr>
                <w:rFonts w:eastAsia="Calibri"/>
                <w:szCs w:val="24"/>
                <w:lang w:val="en-GB"/>
              </w:rPr>
              <w:t>FR</w:t>
            </w:r>
            <w:r>
              <w:rPr>
                <w:rFonts w:eastAsia="Calibri"/>
                <w:szCs w:val="24"/>
                <w:lang w:val="en-GB"/>
              </w:rPr>
              <w:t>552</w:t>
            </w:r>
          </w:p>
        </w:tc>
        <w:tc>
          <w:tcPr>
            <w:tcW w:w="7650" w:type="dxa"/>
          </w:tcPr>
          <w:p w14:paraId="3FE46901" w14:textId="77777777" w:rsidR="0007064F" w:rsidRPr="001C68DE" w:rsidRDefault="0007064F" w:rsidP="001136D3">
            <w:pPr>
              <w:spacing w:after="0"/>
              <w:rPr>
                <w:rFonts w:eastAsia="Calibri"/>
                <w:szCs w:val="24"/>
                <w:lang w:val="en-GB"/>
              </w:rPr>
            </w:pPr>
            <w:r w:rsidRPr="004939EE">
              <w:rPr>
                <w:bCs/>
                <w:iCs/>
              </w:rPr>
              <w:t>The system should utilize rule-based algorithms to detect price dumping practices based on predefined criteria, thresholds, and market regulations.</w:t>
            </w:r>
          </w:p>
        </w:tc>
      </w:tr>
      <w:tr w:rsidR="0007064F" w:rsidRPr="007A60A6" w14:paraId="7F634CE7" w14:textId="77777777" w:rsidTr="001136D3">
        <w:tc>
          <w:tcPr>
            <w:tcW w:w="985" w:type="dxa"/>
          </w:tcPr>
          <w:p w14:paraId="01863819" w14:textId="78F3AF92" w:rsidR="0007064F" w:rsidRPr="001C68DE" w:rsidRDefault="0007064F" w:rsidP="001136D3">
            <w:pPr>
              <w:spacing w:after="0"/>
              <w:rPr>
                <w:rFonts w:eastAsia="Calibri"/>
                <w:i/>
                <w:szCs w:val="24"/>
                <w:lang w:val="en-GB"/>
              </w:rPr>
            </w:pPr>
            <w:r w:rsidRPr="001C68DE">
              <w:rPr>
                <w:rFonts w:eastAsia="Calibri"/>
                <w:szCs w:val="24"/>
                <w:lang w:val="en-GB"/>
              </w:rPr>
              <w:t>FR</w:t>
            </w:r>
            <w:r>
              <w:rPr>
                <w:rFonts w:eastAsia="Calibri"/>
                <w:szCs w:val="24"/>
                <w:lang w:val="en-GB"/>
              </w:rPr>
              <w:t>553</w:t>
            </w:r>
          </w:p>
        </w:tc>
        <w:tc>
          <w:tcPr>
            <w:tcW w:w="7650" w:type="dxa"/>
          </w:tcPr>
          <w:p w14:paraId="73A79746" w14:textId="77777777" w:rsidR="0007064F" w:rsidRPr="002523D3" w:rsidRDefault="0007064F">
            <w:pPr>
              <w:spacing w:after="0"/>
              <w:rPr>
                <w:bCs/>
                <w:iCs/>
              </w:rPr>
            </w:pPr>
            <w:r w:rsidRPr="002523D3">
              <w:rPr>
                <w:bCs/>
                <w:iCs/>
              </w:rPr>
              <w:t>When potential instances of price dumping are detected, the service should generate real-time alerts, notifying relevant stakeholders, such as market regulators or competition authorities, about the identified irregularities.</w:t>
            </w:r>
          </w:p>
        </w:tc>
      </w:tr>
      <w:tr w:rsidR="0007064F" w:rsidRPr="007A60A6" w14:paraId="543E11E7" w14:textId="77777777" w:rsidTr="001136D3">
        <w:tc>
          <w:tcPr>
            <w:tcW w:w="985" w:type="dxa"/>
          </w:tcPr>
          <w:p w14:paraId="1F8A34E1" w14:textId="3C00BFF4" w:rsidR="0007064F" w:rsidRPr="001C68DE" w:rsidRDefault="0007064F" w:rsidP="001136D3">
            <w:pPr>
              <w:spacing w:after="0"/>
              <w:rPr>
                <w:rFonts w:eastAsia="Calibri"/>
                <w:i/>
                <w:szCs w:val="24"/>
                <w:lang w:val="en-GB"/>
              </w:rPr>
            </w:pPr>
            <w:r w:rsidRPr="001C68DE">
              <w:rPr>
                <w:rFonts w:eastAsia="Calibri"/>
                <w:szCs w:val="24"/>
                <w:lang w:val="en-GB"/>
              </w:rPr>
              <w:t>FR</w:t>
            </w:r>
            <w:r>
              <w:rPr>
                <w:rFonts w:eastAsia="Calibri"/>
                <w:szCs w:val="24"/>
                <w:lang w:val="en-GB"/>
              </w:rPr>
              <w:t>554</w:t>
            </w:r>
          </w:p>
        </w:tc>
        <w:tc>
          <w:tcPr>
            <w:tcW w:w="7650" w:type="dxa"/>
          </w:tcPr>
          <w:p w14:paraId="7727FDBC" w14:textId="623622F1" w:rsidR="0007064F" w:rsidRPr="001C68DE" w:rsidRDefault="0007064F" w:rsidP="001136D3">
            <w:pPr>
              <w:spacing w:after="0"/>
              <w:rPr>
                <w:rFonts w:eastAsia="Calibri"/>
                <w:szCs w:val="24"/>
                <w:lang w:val="en-GB"/>
              </w:rPr>
            </w:pPr>
            <w:r w:rsidRPr="004939EE">
              <w:rPr>
                <w:bCs/>
                <w:iCs/>
              </w:rPr>
              <w:t>The system should provide comprehensive reports and visualizations that present the findings and analysis of market surveillance activities, enabling stakeholders to interpret and act upon the information effectively.</w:t>
            </w:r>
          </w:p>
        </w:tc>
      </w:tr>
    </w:tbl>
    <w:p w14:paraId="6C41A774" w14:textId="77777777" w:rsidR="004C3CE9" w:rsidRDefault="004C3CE9" w:rsidP="004C3CE9"/>
    <w:p w14:paraId="2DC1F37E" w14:textId="77777777" w:rsidR="004C3CE9" w:rsidRDefault="004C3CE9" w:rsidP="004C3CE9">
      <w:pPr>
        <w:rPr>
          <w:b/>
          <w:i/>
        </w:rPr>
      </w:pPr>
    </w:p>
    <w:p w14:paraId="48165439" w14:textId="2104A4E0" w:rsidR="004C3CE9" w:rsidRDefault="00572CFF" w:rsidP="004C3CE9">
      <w:pPr>
        <w:spacing w:after="0"/>
        <w:jc w:val="left"/>
        <w:rPr>
          <w:b/>
          <w:i/>
          <w:szCs w:val="24"/>
        </w:rPr>
      </w:pPr>
      <w:r>
        <w:rPr>
          <w:b/>
          <w:i/>
        </w:rPr>
        <w:t xml:space="preserve">1.2.13.6. </w:t>
      </w:r>
      <w:r w:rsidR="004C3CE9">
        <w:rPr>
          <w:b/>
          <w:i/>
          <w:szCs w:val="24"/>
        </w:rPr>
        <w:t xml:space="preserve">Process: </w:t>
      </w:r>
      <w:r w:rsidR="00466A2F">
        <w:rPr>
          <w:b/>
          <w:i/>
          <w:szCs w:val="24"/>
        </w:rPr>
        <w:t>Maintain</w:t>
      </w:r>
      <w:r w:rsidR="004C3CE9" w:rsidRPr="000313DF">
        <w:rPr>
          <w:b/>
          <w:i/>
          <w:szCs w:val="24"/>
        </w:rPr>
        <w:t xml:space="preserve"> Risk Profile</w:t>
      </w:r>
    </w:p>
    <w:p w14:paraId="4003CEC0" w14:textId="1F8E0A4F" w:rsidR="004C3CE9" w:rsidRDefault="004C3CE9" w:rsidP="005E6A97">
      <w:pPr>
        <w:rPr>
          <w:i/>
          <w:szCs w:val="24"/>
        </w:rPr>
      </w:pPr>
      <w:r w:rsidRPr="00B850F0">
        <w:rPr>
          <w:noProof/>
        </w:rPr>
        <w:t xml:space="preserve"> </w:t>
      </w:r>
      <w:r w:rsidRPr="0021174F">
        <w:rPr>
          <w:i/>
          <w:noProof/>
          <w:szCs w:val="24"/>
        </w:rPr>
        <w:drawing>
          <wp:inline distT="0" distB="0" distL="0" distR="0" wp14:anchorId="38603C75" wp14:editId="5EFC201B">
            <wp:extent cx="5943600" cy="1461135"/>
            <wp:effectExtent l="0" t="0" r="0" b="5715"/>
            <wp:docPr id="645333487" name="Picture 64533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1461135"/>
                    </a:xfrm>
                    <a:prstGeom prst="rect">
                      <a:avLst/>
                    </a:prstGeom>
                    <a:noFill/>
                    <a:ln>
                      <a:noFill/>
                    </a:ln>
                  </pic:spPr>
                </pic:pic>
              </a:graphicData>
            </a:graphic>
          </wp:inline>
        </w:drawing>
      </w:r>
    </w:p>
    <w:p w14:paraId="21419A45" w14:textId="3507D234" w:rsidR="004C3CE9" w:rsidRDefault="00C71FFD" w:rsidP="004C3CE9">
      <w:pPr>
        <w:jc w:val="center"/>
        <w:rPr>
          <w:i/>
          <w:szCs w:val="24"/>
        </w:rPr>
      </w:pPr>
      <w:r>
        <w:rPr>
          <w:noProof/>
        </w:rPr>
        <w:object w:dxaOrig="935" w:dyaOrig="602" w14:anchorId="40CDB792">
          <v:shape id="_x0000_i1041" type="#_x0000_t75" style="width:50.5pt;height:29pt" o:ole="">
            <v:imagedata r:id="rId123" o:title=""/>
          </v:shape>
          <o:OLEObject Type="Embed" ProgID="Package" ShapeID="_x0000_i1041" DrawAspect="Icon" ObjectID="_1777888274" r:id="rId124"/>
        </w:object>
      </w:r>
      <w:r w:rsidR="004C3CE9" w:rsidRPr="00193BF0">
        <w:rPr>
          <w:i/>
          <w:szCs w:val="24"/>
        </w:rPr>
        <w:t>Figure</w:t>
      </w:r>
      <w:r w:rsidR="004C3CE9">
        <w:rPr>
          <w:i/>
          <w:szCs w:val="24"/>
        </w:rPr>
        <w:t xml:space="preserve"> </w:t>
      </w:r>
      <w:r w:rsidR="00E12671">
        <w:rPr>
          <w:i/>
          <w:szCs w:val="24"/>
        </w:rPr>
        <w:t>21</w:t>
      </w:r>
      <w:r w:rsidR="004C3CE9">
        <w:rPr>
          <w:i/>
          <w:szCs w:val="24"/>
        </w:rPr>
        <w:t xml:space="preserve">: </w:t>
      </w:r>
      <w:r w:rsidR="004C3CE9" w:rsidRPr="00193BF0">
        <w:rPr>
          <w:i/>
          <w:szCs w:val="24"/>
        </w:rPr>
        <w:t xml:space="preserve">BPMN Process </w:t>
      </w:r>
      <w:r w:rsidR="004C3CE9">
        <w:rPr>
          <w:i/>
          <w:szCs w:val="24"/>
        </w:rPr>
        <w:t>Diagram -</w:t>
      </w:r>
      <w:r w:rsidR="004C3CE9" w:rsidRPr="00193BF0">
        <w:rPr>
          <w:i/>
          <w:szCs w:val="24"/>
        </w:rPr>
        <w:t xml:space="preserve"> </w:t>
      </w:r>
      <w:r w:rsidR="00466A2F">
        <w:rPr>
          <w:i/>
          <w:szCs w:val="24"/>
        </w:rPr>
        <w:t>Maintain</w:t>
      </w:r>
      <w:r w:rsidR="004C3CE9" w:rsidRPr="00193BF0">
        <w:rPr>
          <w:i/>
          <w:szCs w:val="24"/>
        </w:rPr>
        <w:t xml:space="preserve"> Risk Profile</w:t>
      </w:r>
    </w:p>
    <w:p w14:paraId="0981A166" w14:textId="77777777" w:rsidR="004C3CE9" w:rsidRDefault="004C3CE9" w:rsidP="004C3CE9">
      <w:pPr>
        <w:rPr>
          <w:rFonts w:eastAsia="Calibri"/>
          <w:szCs w:val="24"/>
        </w:rPr>
      </w:pPr>
      <w:r w:rsidRPr="0028389F">
        <w:rPr>
          <w:b/>
          <w:i/>
          <w:szCs w:val="24"/>
        </w:rPr>
        <w:t>Process Description</w:t>
      </w:r>
      <w:r w:rsidRPr="00193BF0">
        <w:rPr>
          <w:i/>
          <w:szCs w:val="24"/>
        </w:rPr>
        <w:t>:</w:t>
      </w:r>
      <w:r w:rsidRPr="00193BF0">
        <w:rPr>
          <w:rFonts w:eastAsia="Calibri"/>
          <w:szCs w:val="24"/>
        </w:rPr>
        <w:t xml:space="preserve"> </w:t>
      </w:r>
      <w:r w:rsidRPr="00D04CF1">
        <w:rPr>
          <w:rFonts w:eastAsia="Calibri"/>
          <w:szCs w:val="24"/>
        </w:rPr>
        <w:t xml:space="preserve">The </w:t>
      </w:r>
      <w:r>
        <w:rPr>
          <w:rFonts w:eastAsia="Calibri"/>
          <w:szCs w:val="24"/>
        </w:rPr>
        <w:t>RMC must support</w:t>
      </w:r>
      <w:r w:rsidRPr="00D04CF1">
        <w:rPr>
          <w:rFonts w:eastAsia="Calibri"/>
          <w:szCs w:val="24"/>
        </w:rPr>
        <w:t xml:space="preserve"> the creation of a risk profile </w:t>
      </w:r>
      <w:r>
        <w:rPr>
          <w:rFonts w:eastAsia="Calibri"/>
          <w:szCs w:val="24"/>
        </w:rPr>
        <w:t xml:space="preserve">manually or automatically, by </w:t>
      </w:r>
      <w:r w:rsidRPr="00D04CF1">
        <w:rPr>
          <w:rFonts w:eastAsia="Calibri"/>
          <w:szCs w:val="24"/>
        </w:rPr>
        <w:t xml:space="preserve">using </w:t>
      </w:r>
      <w:r>
        <w:rPr>
          <w:rFonts w:eastAsia="Calibri"/>
          <w:szCs w:val="24"/>
        </w:rPr>
        <w:t>external services</w:t>
      </w:r>
      <w:r w:rsidRPr="00D04CF1">
        <w:rPr>
          <w:rFonts w:eastAsia="Calibri"/>
          <w:szCs w:val="24"/>
        </w:rPr>
        <w:t xml:space="preserve">. The </w:t>
      </w:r>
      <w:r>
        <w:rPr>
          <w:rFonts w:eastAsia="Calibri"/>
          <w:szCs w:val="24"/>
        </w:rPr>
        <w:t>RMC must</w:t>
      </w:r>
      <w:r w:rsidRPr="00D04CF1">
        <w:rPr>
          <w:rFonts w:eastAsia="Calibri"/>
          <w:szCs w:val="24"/>
        </w:rPr>
        <w:t xml:space="preserve"> allow</w:t>
      </w:r>
      <w:r>
        <w:rPr>
          <w:rFonts w:eastAsia="Calibri"/>
          <w:szCs w:val="24"/>
        </w:rPr>
        <w:t xml:space="preserve"> manual and automatic</w:t>
      </w:r>
      <w:r w:rsidRPr="00D04CF1">
        <w:rPr>
          <w:rFonts w:eastAsia="Calibri"/>
          <w:szCs w:val="24"/>
        </w:rPr>
        <w:t xml:space="preserve"> definition of specific risk indicators, values, </w:t>
      </w:r>
      <w:proofErr w:type="gramStart"/>
      <w:r w:rsidRPr="00D04CF1">
        <w:rPr>
          <w:rFonts w:eastAsia="Calibri"/>
          <w:szCs w:val="24"/>
        </w:rPr>
        <w:t>parameters</w:t>
      </w:r>
      <w:proofErr w:type="gramEnd"/>
      <w:r w:rsidRPr="00D04CF1">
        <w:rPr>
          <w:rFonts w:eastAsia="Calibri"/>
          <w:szCs w:val="24"/>
        </w:rPr>
        <w:t xml:space="preserve"> and criteria that determine the level of risk. </w:t>
      </w:r>
      <w:r>
        <w:rPr>
          <w:rFonts w:eastAsia="Calibri"/>
          <w:szCs w:val="24"/>
        </w:rPr>
        <w:t>T</w:t>
      </w:r>
      <w:r w:rsidRPr="00D04CF1">
        <w:rPr>
          <w:rFonts w:eastAsia="Calibri"/>
          <w:szCs w:val="24"/>
        </w:rPr>
        <w:t>he</w:t>
      </w:r>
      <w:r>
        <w:rPr>
          <w:rFonts w:eastAsia="Calibri"/>
          <w:szCs w:val="24"/>
        </w:rPr>
        <w:t xml:space="preserve"> component must be able to</w:t>
      </w:r>
      <w:r w:rsidRPr="00D04CF1">
        <w:rPr>
          <w:rFonts w:eastAsia="Calibri"/>
          <w:szCs w:val="24"/>
        </w:rPr>
        <w:t xml:space="preserve"> utilize</w:t>
      </w:r>
      <w:r>
        <w:rPr>
          <w:rFonts w:eastAsia="Calibri"/>
          <w:szCs w:val="24"/>
        </w:rPr>
        <w:t xml:space="preserve"> the</w:t>
      </w:r>
      <w:r w:rsidRPr="00D04CF1">
        <w:rPr>
          <w:rFonts w:eastAsia="Calibri"/>
          <w:szCs w:val="24"/>
        </w:rPr>
        <w:t xml:space="preserve"> risk analysis generated in the </w:t>
      </w:r>
      <w:r>
        <w:rPr>
          <w:rFonts w:eastAsia="Calibri"/>
          <w:szCs w:val="24"/>
        </w:rPr>
        <w:t>“Perform risk analysis”</w:t>
      </w:r>
      <w:r w:rsidRPr="00D04CF1">
        <w:rPr>
          <w:rFonts w:eastAsia="Calibri"/>
          <w:szCs w:val="24"/>
        </w:rPr>
        <w:t xml:space="preserve">. This automatic entry feature streamlines the process by leveraging existing risk assessments and indicators. By defining risk profiles, the system </w:t>
      </w:r>
      <w:r>
        <w:rPr>
          <w:rFonts w:eastAsia="Calibri"/>
          <w:szCs w:val="24"/>
        </w:rPr>
        <w:t xml:space="preserve">must </w:t>
      </w:r>
      <w:r w:rsidRPr="00D04CF1">
        <w:rPr>
          <w:rFonts w:eastAsia="Calibri"/>
          <w:szCs w:val="24"/>
        </w:rPr>
        <w:t>enable efficient categorization and evaluation of risks, supporting effective decision-making and allocation of resources. The availability of both automatic and manual profile entry options ensures adaptability to varying risk scenarios and enhances the overall risk management capabilities of the system.</w:t>
      </w:r>
    </w:p>
    <w:p w14:paraId="66D39701" w14:textId="77777777" w:rsidR="004C3CE9" w:rsidRDefault="004C3CE9" w:rsidP="004C3CE9">
      <w:pPr>
        <w:spacing w:after="0"/>
        <w:rPr>
          <w:rFonts w:eastAsia="Calibri"/>
          <w:b/>
          <w:i/>
          <w:szCs w:val="24"/>
        </w:rPr>
      </w:pPr>
      <w:r w:rsidRPr="00276BA6">
        <w:rPr>
          <w:rFonts w:eastAsia="Calibri"/>
          <w:b/>
          <w:i/>
          <w:szCs w:val="24"/>
        </w:rPr>
        <w:t>Process Steps:</w:t>
      </w:r>
    </w:p>
    <w:tbl>
      <w:tblPr>
        <w:tblStyle w:val="TableGrid"/>
        <w:tblW w:w="0" w:type="auto"/>
        <w:tblLook w:val="04A0" w:firstRow="1" w:lastRow="0" w:firstColumn="1" w:lastColumn="0" w:noHBand="0" w:noVBand="1"/>
      </w:tblPr>
      <w:tblGrid>
        <w:gridCol w:w="1516"/>
        <w:gridCol w:w="2259"/>
        <w:gridCol w:w="4855"/>
      </w:tblGrid>
      <w:tr w:rsidR="004C3CE9" w:rsidRPr="001C68DE" w14:paraId="6A5BD7A2" w14:textId="77777777" w:rsidTr="001136D3">
        <w:trPr>
          <w:tblHeader/>
        </w:trPr>
        <w:tc>
          <w:tcPr>
            <w:tcW w:w="1516" w:type="dxa"/>
            <w:shd w:val="clear" w:color="auto" w:fill="D9D9D9" w:themeFill="background1" w:themeFillShade="D9"/>
          </w:tcPr>
          <w:p w14:paraId="5E54FA39" w14:textId="77777777" w:rsidR="004C3CE9" w:rsidRPr="001C68DE" w:rsidRDefault="004C3CE9" w:rsidP="001136D3">
            <w:pPr>
              <w:spacing w:after="0"/>
              <w:rPr>
                <w:rFonts w:eastAsia="Calibri"/>
                <w:b/>
                <w:szCs w:val="24"/>
                <w:lang w:val="en-GB"/>
              </w:rPr>
            </w:pPr>
            <w:r w:rsidRPr="001C68DE">
              <w:rPr>
                <w:rFonts w:eastAsia="Calibri"/>
                <w:b/>
                <w:szCs w:val="24"/>
                <w:lang w:val="en-GB"/>
              </w:rPr>
              <w:t>Step</w:t>
            </w:r>
            <w:r>
              <w:rPr>
                <w:rFonts w:eastAsia="Calibri"/>
                <w:b/>
                <w:szCs w:val="24"/>
                <w:lang w:val="en-GB"/>
              </w:rPr>
              <w:t xml:space="preserve"> ID</w:t>
            </w:r>
          </w:p>
        </w:tc>
        <w:tc>
          <w:tcPr>
            <w:tcW w:w="2259" w:type="dxa"/>
            <w:shd w:val="clear" w:color="auto" w:fill="D9D9D9" w:themeFill="background1" w:themeFillShade="D9"/>
          </w:tcPr>
          <w:p w14:paraId="7D103605" w14:textId="77777777" w:rsidR="004C3CE9" w:rsidRPr="001C68DE" w:rsidRDefault="004C3CE9" w:rsidP="001136D3">
            <w:pPr>
              <w:spacing w:after="0"/>
              <w:rPr>
                <w:rFonts w:eastAsia="Calibri"/>
                <w:b/>
                <w:szCs w:val="24"/>
                <w:lang w:val="en-GB"/>
              </w:rPr>
            </w:pPr>
            <w:r w:rsidRPr="001C68DE">
              <w:rPr>
                <w:rFonts w:eastAsia="Calibri"/>
                <w:b/>
                <w:szCs w:val="24"/>
                <w:lang w:val="en-GB"/>
              </w:rPr>
              <w:t>Name</w:t>
            </w:r>
          </w:p>
        </w:tc>
        <w:tc>
          <w:tcPr>
            <w:tcW w:w="4855" w:type="dxa"/>
            <w:shd w:val="clear" w:color="auto" w:fill="D9D9D9" w:themeFill="background1" w:themeFillShade="D9"/>
          </w:tcPr>
          <w:p w14:paraId="71F54B6F" w14:textId="77777777" w:rsidR="004C3CE9" w:rsidRPr="001C68DE" w:rsidRDefault="004C3CE9" w:rsidP="001136D3">
            <w:pPr>
              <w:spacing w:after="0"/>
              <w:rPr>
                <w:rFonts w:eastAsia="Calibri"/>
                <w:b/>
                <w:szCs w:val="24"/>
                <w:lang w:val="en-GB"/>
              </w:rPr>
            </w:pPr>
            <w:r w:rsidRPr="001C68DE">
              <w:rPr>
                <w:rFonts w:eastAsia="Calibri"/>
                <w:b/>
                <w:szCs w:val="24"/>
                <w:lang w:val="en-GB"/>
              </w:rPr>
              <w:t>Description</w:t>
            </w:r>
          </w:p>
        </w:tc>
      </w:tr>
      <w:tr w:rsidR="004C3CE9" w:rsidRPr="001C68DE" w14:paraId="21D20269" w14:textId="77777777" w:rsidTr="001136D3">
        <w:tc>
          <w:tcPr>
            <w:tcW w:w="1516" w:type="dxa"/>
          </w:tcPr>
          <w:p w14:paraId="606C5ADC" w14:textId="69F80E72" w:rsidR="004C3CE9" w:rsidRPr="001C68DE" w:rsidRDefault="00C71FFD" w:rsidP="001136D3">
            <w:pPr>
              <w:spacing w:after="0"/>
              <w:rPr>
                <w:rFonts w:eastAsia="Calibri"/>
                <w:szCs w:val="24"/>
                <w:lang w:val="en-GB"/>
              </w:rPr>
            </w:pPr>
            <w:r>
              <w:rPr>
                <w:rFonts w:eastAsia="Calibri"/>
                <w:szCs w:val="24"/>
                <w:lang w:val="en-GB"/>
              </w:rPr>
              <w:t>Service Task</w:t>
            </w:r>
          </w:p>
        </w:tc>
        <w:tc>
          <w:tcPr>
            <w:tcW w:w="2259" w:type="dxa"/>
          </w:tcPr>
          <w:p w14:paraId="37E6912D" w14:textId="77777777" w:rsidR="004C3CE9" w:rsidRPr="001C68DE" w:rsidRDefault="004C3CE9" w:rsidP="001136D3">
            <w:pPr>
              <w:spacing w:after="0"/>
              <w:rPr>
                <w:rFonts w:eastAsia="Calibri"/>
                <w:szCs w:val="24"/>
                <w:lang w:val="en-GB"/>
              </w:rPr>
            </w:pPr>
            <w:r w:rsidRPr="001C68DE">
              <w:rPr>
                <w:rFonts w:eastAsia="Calibri"/>
                <w:szCs w:val="24"/>
                <w:lang w:val="en-GB"/>
              </w:rPr>
              <w:t>Received risk profiles and indicators from SEED+</w:t>
            </w:r>
          </w:p>
        </w:tc>
        <w:tc>
          <w:tcPr>
            <w:tcW w:w="4855" w:type="dxa"/>
          </w:tcPr>
          <w:p w14:paraId="235C2A5D" w14:textId="77777777" w:rsidR="004C3CE9" w:rsidRPr="001C68DE" w:rsidRDefault="004C3CE9" w:rsidP="001136D3">
            <w:pPr>
              <w:spacing w:after="0"/>
              <w:rPr>
                <w:rFonts w:eastAsia="Calibri"/>
                <w:szCs w:val="24"/>
                <w:lang w:val="en-GB"/>
              </w:rPr>
            </w:pPr>
            <w:r w:rsidRPr="001C68DE">
              <w:rPr>
                <w:rFonts w:eastAsia="Calibri"/>
                <w:szCs w:val="24"/>
                <w:lang w:val="en-GB"/>
              </w:rPr>
              <w:t>The system receives analysis of share risk profiles and indicators from SEED+.</w:t>
            </w:r>
          </w:p>
        </w:tc>
      </w:tr>
      <w:tr w:rsidR="004C3CE9" w:rsidRPr="001C68DE" w14:paraId="5435B1EF" w14:textId="77777777" w:rsidTr="001136D3">
        <w:tc>
          <w:tcPr>
            <w:tcW w:w="1516" w:type="dxa"/>
          </w:tcPr>
          <w:p w14:paraId="10B33AB5" w14:textId="236F291B" w:rsidR="004C3CE9" w:rsidRPr="001C68DE" w:rsidRDefault="00C71FFD" w:rsidP="001136D3">
            <w:pPr>
              <w:spacing w:after="0"/>
              <w:rPr>
                <w:rFonts w:eastAsia="Calibri"/>
                <w:szCs w:val="24"/>
                <w:lang w:val="en-GB"/>
              </w:rPr>
            </w:pPr>
            <w:r>
              <w:rPr>
                <w:rFonts w:eastAsia="Calibri"/>
                <w:szCs w:val="24"/>
                <w:lang w:val="en-GB"/>
              </w:rPr>
              <w:t>Service Task</w:t>
            </w:r>
          </w:p>
        </w:tc>
        <w:tc>
          <w:tcPr>
            <w:tcW w:w="2259" w:type="dxa"/>
          </w:tcPr>
          <w:p w14:paraId="46DFECF2" w14:textId="77777777" w:rsidR="004C3CE9" w:rsidRPr="001C68DE" w:rsidRDefault="004C3CE9" w:rsidP="001136D3">
            <w:pPr>
              <w:spacing w:after="0"/>
              <w:rPr>
                <w:rFonts w:eastAsia="Calibri"/>
                <w:szCs w:val="24"/>
                <w:lang w:val="en-GB"/>
              </w:rPr>
            </w:pPr>
            <w:r w:rsidRPr="001C68DE">
              <w:rPr>
                <w:rFonts w:eastAsia="Calibri"/>
                <w:szCs w:val="24"/>
                <w:lang w:val="en-GB"/>
              </w:rPr>
              <w:t>Generate automatically risk profile </w:t>
            </w:r>
            <w:r>
              <w:rPr>
                <w:rFonts w:eastAsia="Calibri"/>
                <w:szCs w:val="24"/>
                <w:lang w:val="en-GB"/>
              </w:rPr>
              <w:t>proposal</w:t>
            </w:r>
          </w:p>
        </w:tc>
        <w:tc>
          <w:tcPr>
            <w:tcW w:w="4855" w:type="dxa"/>
          </w:tcPr>
          <w:p w14:paraId="1791ECCA" w14:textId="77777777" w:rsidR="004C3CE9" w:rsidRPr="001C68DE" w:rsidRDefault="004C3CE9" w:rsidP="001136D3">
            <w:pPr>
              <w:spacing w:after="0"/>
              <w:rPr>
                <w:rFonts w:eastAsia="Calibri"/>
                <w:szCs w:val="24"/>
                <w:lang w:val="en-GB"/>
              </w:rPr>
            </w:pPr>
            <w:r w:rsidRPr="001C68DE">
              <w:rPr>
                <w:rFonts w:eastAsia="Calibri"/>
                <w:szCs w:val="24"/>
                <w:lang w:val="en-GB"/>
              </w:rPr>
              <w:t xml:space="preserve">The system automatically generates a risk profile based on the </w:t>
            </w:r>
            <w:r>
              <w:rPr>
                <w:rFonts w:eastAsia="Calibri"/>
                <w:szCs w:val="24"/>
                <w:lang w:val="en-GB"/>
              </w:rPr>
              <w:t>data, received by other systems.</w:t>
            </w:r>
          </w:p>
        </w:tc>
      </w:tr>
      <w:tr w:rsidR="00C71FFD" w:rsidRPr="001C68DE" w14:paraId="22F0AAEB" w14:textId="77777777" w:rsidTr="001136D3">
        <w:tc>
          <w:tcPr>
            <w:tcW w:w="1516" w:type="dxa"/>
          </w:tcPr>
          <w:p w14:paraId="2AF812A4" w14:textId="0A31009D" w:rsidR="00C71FFD" w:rsidRPr="001C68DE" w:rsidRDefault="00C71FFD" w:rsidP="001136D3">
            <w:pPr>
              <w:spacing w:after="0"/>
              <w:rPr>
                <w:rFonts w:eastAsia="Calibri"/>
                <w:szCs w:val="24"/>
                <w:lang w:val="en-GB"/>
              </w:rPr>
            </w:pPr>
            <w:r w:rsidRPr="006E4512">
              <w:rPr>
                <w:rFonts w:eastAsia="Calibri"/>
                <w:szCs w:val="24"/>
                <w:lang w:val="en-GB"/>
              </w:rPr>
              <w:t>User Task</w:t>
            </w:r>
          </w:p>
        </w:tc>
        <w:tc>
          <w:tcPr>
            <w:tcW w:w="2259" w:type="dxa"/>
          </w:tcPr>
          <w:p w14:paraId="09EFD7E0" w14:textId="77777777" w:rsidR="00C71FFD" w:rsidRPr="001C68DE" w:rsidRDefault="00C71FFD" w:rsidP="001136D3">
            <w:pPr>
              <w:spacing w:after="0"/>
              <w:rPr>
                <w:rFonts w:eastAsia="Calibri"/>
                <w:szCs w:val="24"/>
                <w:lang w:val="en-GB"/>
              </w:rPr>
            </w:pPr>
            <w:r>
              <w:rPr>
                <w:rFonts w:eastAsia="Calibri"/>
                <w:szCs w:val="24"/>
                <w:lang w:val="en-GB"/>
              </w:rPr>
              <w:t>Create</w:t>
            </w:r>
            <w:r w:rsidRPr="001C68DE">
              <w:rPr>
                <w:rFonts w:eastAsia="Calibri"/>
                <w:szCs w:val="24"/>
                <w:lang w:val="en-GB"/>
              </w:rPr>
              <w:t xml:space="preserve"> risk profile </w:t>
            </w:r>
            <w:r>
              <w:rPr>
                <w:rFonts w:eastAsia="Calibri"/>
                <w:szCs w:val="24"/>
                <w:lang w:val="en-GB"/>
              </w:rPr>
              <w:t>manually</w:t>
            </w:r>
          </w:p>
        </w:tc>
        <w:tc>
          <w:tcPr>
            <w:tcW w:w="4855" w:type="dxa"/>
          </w:tcPr>
          <w:p w14:paraId="51396BFD" w14:textId="77777777" w:rsidR="00C71FFD" w:rsidRPr="001C68DE" w:rsidRDefault="00C71FFD" w:rsidP="001136D3">
            <w:pPr>
              <w:spacing w:after="0"/>
              <w:rPr>
                <w:rFonts w:eastAsia="Calibri"/>
                <w:szCs w:val="24"/>
                <w:lang w:val="en-GB"/>
              </w:rPr>
            </w:pPr>
            <w:r w:rsidRPr="001C68DE">
              <w:rPr>
                <w:rFonts w:eastAsia="Calibri"/>
                <w:szCs w:val="24"/>
                <w:lang w:val="en-GB"/>
              </w:rPr>
              <w:t xml:space="preserve">This </w:t>
            </w:r>
            <w:r>
              <w:rPr>
                <w:rFonts w:eastAsia="Calibri"/>
                <w:szCs w:val="24"/>
                <w:lang w:val="en-GB"/>
              </w:rPr>
              <w:t>RMC must be able to register risk indicators, risk categories, risk profiles manually.</w:t>
            </w:r>
          </w:p>
        </w:tc>
      </w:tr>
      <w:tr w:rsidR="00C71FFD" w:rsidRPr="001C68DE" w14:paraId="02C020AC" w14:textId="77777777" w:rsidTr="001136D3">
        <w:tc>
          <w:tcPr>
            <w:tcW w:w="1516" w:type="dxa"/>
          </w:tcPr>
          <w:p w14:paraId="05D9C354" w14:textId="034ABD31" w:rsidR="00C71FFD" w:rsidRPr="001C68DE" w:rsidRDefault="00C71FFD" w:rsidP="001136D3">
            <w:pPr>
              <w:spacing w:after="0"/>
              <w:rPr>
                <w:rFonts w:eastAsia="Calibri"/>
                <w:szCs w:val="24"/>
                <w:lang w:val="en-GB"/>
              </w:rPr>
            </w:pPr>
            <w:r w:rsidRPr="006E4512">
              <w:rPr>
                <w:rFonts w:eastAsia="Calibri"/>
                <w:szCs w:val="24"/>
                <w:lang w:val="en-GB"/>
              </w:rPr>
              <w:t>User Task</w:t>
            </w:r>
          </w:p>
        </w:tc>
        <w:tc>
          <w:tcPr>
            <w:tcW w:w="2259" w:type="dxa"/>
          </w:tcPr>
          <w:p w14:paraId="0E272BB6" w14:textId="77777777" w:rsidR="00C71FFD" w:rsidRPr="001C68DE" w:rsidRDefault="00C71FFD" w:rsidP="001136D3">
            <w:pPr>
              <w:spacing w:after="0"/>
              <w:rPr>
                <w:rFonts w:eastAsia="Calibri"/>
                <w:szCs w:val="24"/>
                <w:lang w:val="en-GB"/>
              </w:rPr>
            </w:pPr>
            <w:r w:rsidRPr="001C68DE">
              <w:rPr>
                <w:rFonts w:eastAsia="Calibri"/>
                <w:szCs w:val="24"/>
                <w:lang w:val="en-GB"/>
              </w:rPr>
              <w:t>Set risk category</w:t>
            </w:r>
          </w:p>
        </w:tc>
        <w:tc>
          <w:tcPr>
            <w:tcW w:w="4855" w:type="dxa"/>
          </w:tcPr>
          <w:p w14:paraId="0FC48F74" w14:textId="77777777" w:rsidR="00C71FFD" w:rsidRPr="001C68DE" w:rsidRDefault="00C71FFD" w:rsidP="001136D3">
            <w:pPr>
              <w:spacing w:after="0"/>
              <w:rPr>
                <w:rFonts w:eastAsia="Calibri"/>
                <w:szCs w:val="24"/>
                <w:lang w:val="en-GB"/>
              </w:rPr>
            </w:pPr>
            <w:r w:rsidRPr="001C68DE">
              <w:rPr>
                <w:rFonts w:eastAsia="Calibri"/>
                <w:szCs w:val="24"/>
                <w:lang w:val="en-GB"/>
              </w:rPr>
              <w:t xml:space="preserve">The user </w:t>
            </w:r>
            <w:r>
              <w:rPr>
                <w:rFonts w:eastAsia="Calibri"/>
                <w:szCs w:val="24"/>
                <w:lang w:val="en-GB"/>
              </w:rPr>
              <w:t>must be able to register</w:t>
            </w:r>
            <w:r w:rsidRPr="001C68DE">
              <w:rPr>
                <w:rFonts w:eastAsia="Calibri"/>
                <w:szCs w:val="24"/>
                <w:lang w:val="en-GB"/>
              </w:rPr>
              <w:t xml:space="preserve"> a risk category including the risk indicators with which to categorize the risk profile.</w:t>
            </w:r>
          </w:p>
        </w:tc>
      </w:tr>
      <w:tr w:rsidR="00C71FFD" w:rsidRPr="001C68DE" w14:paraId="28736F70" w14:textId="77777777" w:rsidTr="001136D3">
        <w:tc>
          <w:tcPr>
            <w:tcW w:w="1516" w:type="dxa"/>
          </w:tcPr>
          <w:p w14:paraId="1FB21D8F" w14:textId="306CC2A7" w:rsidR="00C71FFD" w:rsidRPr="001C68DE" w:rsidRDefault="00C71FFD" w:rsidP="001136D3">
            <w:pPr>
              <w:spacing w:after="0"/>
              <w:rPr>
                <w:rFonts w:eastAsia="Calibri"/>
                <w:szCs w:val="24"/>
                <w:lang w:val="en-GB"/>
              </w:rPr>
            </w:pPr>
            <w:r w:rsidRPr="006E4512">
              <w:rPr>
                <w:rFonts w:eastAsia="Calibri"/>
                <w:szCs w:val="24"/>
                <w:lang w:val="en-GB"/>
              </w:rPr>
              <w:t>User Task</w:t>
            </w:r>
          </w:p>
        </w:tc>
        <w:tc>
          <w:tcPr>
            <w:tcW w:w="2259" w:type="dxa"/>
          </w:tcPr>
          <w:p w14:paraId="0F24BDD6" w14:textId="77777777" w:rsidR="00C71FFD" w:rsidRPr="001C68DE" w:rsidRDefault="00C71FFD" w:rsidP="001136D3">
            <w:pPr>
              <w:spacing w:after="0"/>
              <w:rPr>
                <w:rFonts w:eastAsia="Calibri"/>
                <w:szCs w:val="24"/>
                <w:lang w:val="en-GB"/>
              </w:rPr>
            </w:pPr>
            <w:r w:rsidRPr="001C68DE">
              <w:rPr>
                <w:rFonts w:eastAsia="Calibri"/>
                <w:szCs w:val="24"/>
                <w:lang w:val="en-GB"/>
              </w:rPr>
              <w:t>Set profile owner</w:t>
            </w:r>
          </w:p>
        </w:tc>
        <w:tc>
          <w:tcPr>
            <w:tcW w:w="4855" w:type="dxa"/>
          </w:tcPr>
          <w:p w14:paraId="0F937EC8" w14:textId="77777777" w:rsidR="00C71FFD" w:rsidRPr="001C68DE" w:rsidRDefault="00C71FFD" w:rsidP="001136D3">
            <w:pPr>
              <w:spacing w:after="0"/>
              <w:rPr>
                <w:rFonts w:eastAsia="Calibri"/>
                <w:szCs w:val="24"/>
                <w:lang w:val="en-GB"/>
              </w:rPr>
            </w:pPr>
            <w:r>
              <w:rPr>
                <w:rFonts w:eastAsia="Calibri"/>
                <w:szCs w:val="24"/>
                <w:lang w:val="en-GB"/>
              </w:rPr>
              <w:t xml:space="preserve">The RMC must allow the selection of the person, responsible </w:t>
            </w:r>
            <w:r w:rsidRPr="001C68DE">
              <w:rPr>
                <w:rFonts w:eastAsia="Calibri"/>
                <w:szCs w:val="24"/>
                <w:lang w:val="en-GB"/>
              </w:rPr>
              <w:t xml:space="preserve">for the risk profile and the system </w:t>
            </w:r>
            <w:r>
              <w:rPr>
                <w:rFonts w:eastAsia="Calibri"/>
                <w:szCs w:val="24"/>
                <w:lang w:val="en-GB"/>
              </w:rPr>
              <w:t xml:space="preserve">will notify the owner / </w:t>
            </w:r>
            <w:r w:rsidRPr="001C68DE">
              <w:rPr>
                <w:rFonts w:eastAsia="Calibri"/>
                <w:szCs w:val="24"/>
                <w:lang w:val="en-GB"/>
              </w:rPr>
              <w:t>sends a message when the risk profile they created is hit.</w:t>
            </w:r>
          </w:p>
        </w:tc>
      </w:tr>
      <w:tr w:rsidR="00C71FFD" w:rsidRPr="001C68DE" w14:paraId="3024C10B" w14:textId="77777777" w:rsidTr="001136D3">
        <w:tc>
          <w:tcPr>
            <w:tcW w:w="1516" w:type="dxa"/>
          </w:tcPr>
          <w:p w14:paraId="6F86D8AD" w14:textId="51801D61" w:rsidR="00C71FFD" w:rsidRPr="001C68DE" w:rsidRDefault="00C71FFD" w:rsidP="001136D3">
            <w:pPr>
              <w:spacing w:after="0"/>
              <w:rPr>
                <w:rFonts w:eastAsia="Calibri"/>
                <w:szCs w:val="24"/>
                <w:lang w:val="en-GB"/>
              </w:rPr>
            </w:pPr>
            <w:r w:rsidRPr="004A2DD7">
              <w:rPr>
                <w:rFonts w:eastAsia="Calibri"/>
                <w:szCs w:val="24"/>
                <w:lang w:val="en-GB"/>
              </w:rPr>
              <w:lastRenderedPageBreak/>
              <w:t>User Task</w:t>
            </w:r>
          </w:p>
        </w:tc>
        <w:tc>
          <w:tcPr>
            <w:tcW w:w="2259" w:type="dxa"/>
          </w:tcPr>
          <w:p w14:paraId="23335F82" w14:textId="77777777" w:rsidR="00C71FFD" w:rsidRPr="001C68DE" w:rsidRDefault="00C71FFD" w:rsidP="001136D3">
            <w:pPr>
              <w:spacing w:after="0"/>
              <w:rPr>
                <w:rFonts w:eastAsia="Calibri"/>
                <w:szCs w:val="24"/>
                <w:lang w:val="en-GB"/>
              </w:rPr>
            </w:pPr>
            <w:r w:rsidRPr="001C68DE">
              <w:rPr>
                <w:rFonts w:eastAsia="Calibri"/>
                <w:szCs w:val="24"/>
                <w:lang w:val="en-GB"/>
              </w:rPr>
              <w:t xml:space="preserve">Set </w:t>
            </w:r>
            <w:r>
              <w:rPr>
                <w:rFonts w:eastAsia="Calibri"/>
                <w:szCs w:val="24"/>
                <w:lang w:val="en-GB"/>
              </w:rPr>
              <w:t>LPCO</w:t>
            </w:r>
            <w:r w:rsidRPr="001C68DE">
              <w:rPr>
                <w:rFonts w:eastAsia="Calibri"/>
                <w:szCs w:val="24"/>
                <w:lang w:val="en-GB"/>
              </w:rPr>
              <w:t xml:space="preserve"> type</w:t>
            </w:r>
          </w:p>
        </w:tc>
        <w:tc>
          <w:tcPr>
            <w:tcW w:w="4855" w:type="dxa"/>
          </w:tcPr>
          <w:p w14:paraId="04E3BF0B" w14:textId="77777777" w:rsidR="00C71FFD" w:rsidRPr="001C68DE" w:rsidRDefault="00C71FFD" w:rsidP="001136D3">
            <w:pPr>
              <w:spacing w:after="0"/>
              <w:rPr>
                <w:rFonts w:eastAsia="Calibri"/>
                <w:szCs w:val="24"/>
                <w:lang w:val="en-GB"/>
              </w:rPr>
            </w:pPr>
            <w:r w:rsidRPr="001C68DE">
              <w:rPr>
                <w:rFonts w:eastAsia="Calibri"/>
                <w:szCs w:val="24"/>
                <w:lang w:val="en-GB"/>
              </w:rPr>
              <w:t>Th</w:t>
            </w:r>
            <w:r>
              <w:rPr>
                <w:rFonts w:eastAsia="Calibri"/>
                <w:szCs w:val="24"/>
                <w:lang w:val="en-GB"/>
              </w:rPr>
              <w:t>e system supports the u</w:t>
            </w:r>
            <w:r w:rsidRPr="001C68DE">
              <w:rPr>
                <w:rFonts w:eastAsia="Calibri"/>
                <w:szCs w:val="24"/>
                <w:lang w:val="en-GB"/>
              </w:rPr>
              <w:t xml:space="preserve">sers to select </w:t>
            </w:r>
            <w:r>
              <w:rPr>
                <w:rFonts w:eastAsia="Calibri"/>
                <w:szCs w:val="24"/>
                <w:lang w:val="en-GB"/>
              </w:rPr>
              <w:t xml:space="preserve">the </w:t>
            </w:r>
            <w:r w:rsidRPr="001C68DE">
              <w:rPr>
                <w:rFonts w:eastAsia="Calibri"/>
                <w:szCs w:val="24"/>
                <w:lang w:val="en-GB"/>
              </w:rPr>
              <w:t xml:space="preserve">LPCO </w:t>
            </w:r>
            <w:r>
              <w:rPr>
                <w:rFonts w:eastAsia="Calibri"/>
                <w:szCs w:val="24"/>
                <w:lang w:val="en-GB"/>
              </w:rPr>
              <w:t>Application</w:t>
            </w:r>
            <w:r w:rsidRPr="001C68DE">
              <w:rPr>
                <w:rFonts w:eastAsia="Calibri"/>
                <w:szCs w:val="24"/>
                <w:lang w:val="en-GB"/>
              </w:rPr>
              <w:t xml:space="preserve"> for inspection</w:t>
            </w:r>
            <w:r>
              <w:rPr>
                <w:rFonts w:eastAsia="Calibri"/>
                <w:szCs w:val="24"/>
                <w:lang w:val="en-GB"/>
              </w:rPr>
              <w:t xml:space="preserve"> and specifies </w:t>
            </w:r>
            <w:r w:rsidRPr="001C68DE">
              <w:rPr>
                <w:rFonts w:eastAsia="Calibri"/>
                <w:szCs w:val="24"/>
                <w:lang w:val="en-GB"/>
              </w:rPr>
              <w:t xml:space="preserve">the </w:t>
            </w:r>
            <w:r>
              <w:rPr>
                <w:rFonts w:eastAsia="Calibri"/>
                <w:szCs w:val="24"/>
                <w:lang w:val="en-GB"/>
              </w:rPr>
              <w:t>nature of intervention.</w:t>
            </w:r>
          </w:p>
        </w:tc>
      </w:tr>
      <w:tr w:rsidR="00C71FFD" w:rsidRPr="001C68DE" w14:paraId="6E1A2DFD" w14:textId="77777777" w:rsidTr="001136D3">
        <w:tc>
          <w:tcPr>
            <w:tcW w:w="1516" w:type="dxa"/>
          </w:tcPr>
          <w:p w14:paraId="0D0E97BE" w14:textId="39CBB76A" w:rsidR="00C71FFD" w:rsidRPr="001C68DE" w:rsidRDefault="00C71FFD" w:rsidP="001136D3">
            <w:pPr>
              <w:spacing w:after="0"/>
              <w:rPr>
                <w:rFonts w:eastAsia="Calibri"/>
                <w:szCs w:val="24"/>
                <w:lang w:val="en-GB"/>
              </w:rPr>
            </w:pPr>
            <w:r w:rsidRPr="004A2DD7">
              <w:rPr>
                <w:rFonts w:eastAsia="Calibri"/>
                <w:szCs w:val="24"/>
                <w:lang w:val="en-GB"/>
              </w:rPr>
              <w:t>User Task</w:t>
            </w:r>
          </w:p>
        </w:tc>
        <w:tc>
          <w:tcPr>
            <w:tcW w:w="2259" w:type="dxa"/>
          </w:tcPr>
          <w:p w14:paraId="03E01836" w14:textId="77777777" w:rsidR="00C71FFD" w:rsidRPr="001C68DE" w:rsidRDefault="00C71FFD" w:rsidP="001136D3">
            <w:pPr>
              <w:spacing w:after="0"/>
              <w:rPr>
                <w:rFonts w:eastAsia="Calibri"/>
                <w:szCs w:val="24"/>
                <w:lang w:val="en-GB"/>
              </w:rPr>
            </w:pPr>
            <w:r w:rsidRPr="001C68DE">
              <w:rPr>
                <w:rFonts w:eastAsia="Calibri"/>
                <w:szCs w:val="24"/>
                <w:lang w:val="en-GB"/>
              </w:rPr>
              <w:t>Set of risk profile schedule</w:t>
            </w:r>
          </w:p>
        </w:tc>
        <w:tc>
          <w:tcPr>
            <w:tcW w:w="4855" w:type="dxa"/>
          </w:tcPr>
          <w:p w14:paraId="470D8E55" w14:textId="77777777" w:rsidR="00C71FFD" w:rsidRPr="001C68DE" w:rsidRDefault="00C71FFD" w:rsidP="001136D3">
            <w:pPr>
              <w:spacing w:after="0"/>
              <w:rPr>
                <w:rFonts w:eastAsia="Calibri"/>
                <w:szCs w:val="24"/>
                <w:lang w:val="en-GB"/>
              </w:rPr>
            </w:pPr>
            <w:r>
              <w:rPr>
                <w:rFonts w:eastAsia="Calibri"/>
                <w:szCs w:val="24"/>
                <w:lang w:val="en-GB"/>
              </w:rPr>
              <w:t>The RMC must</w:t>
            </w:r>
            <w:r w:rsidRPr="001C68DE">
              <w:rPr>
                <w:rFonts w:eastAsia="Calibri"/>
                <w:szCs w:val="24"/>
                <w:lang w:val="en-GB"/>
              </w:rPr>
              <w:t xml:space="preserve"> allow the User to maintain Profile Schedule: Should the Risk Profile operate only for a certain </w:t>
            </w:r>
            <w:proofErr w:type="gramStart"/>
            <w:r w:rsidRPr="001C68DE">
              <w:rPr>
                <w:rFonts w:eastAsia="Calibri"/>
                <w:szCs w:val="24"/>
                <w:lang w:val="en-GB"/>
              </w:rPr>
              <w:t>period of time</w:t>
            </w:r>
            <w:proofErr w:type="gramEnd"/>
            <w:r w:rsidRPr="001C68DE">
              <w:rPr>
                <w:rFonts w:eastAsia="Calibri"/>
                <w:szCs w:val="24"/>
                <w:lang w:val="en-GB"/>
              </w:rPr>
              <w:t>, and then a Schedule needs to be created to define these periods in the system.</w:t>
            </w:r>
          </w:p>
        </w:tc>
      </w:tr>
      <w:tr w:rsidR="00C71FFD" w:rsidRPr="001C68DE" w14:paraId="1DA86FF4" w14:textId="77777777" w:rsidTr="001136D3">
        <w:tc>
          <w:tcPr>
            <w:tcW w:w="1516" w:type="dxa"/>
          </w:tcPr>
          <w:p w14:paraId="7D633E50" w14:textId="06B71792" w:rsidR="00C71FFD" w:rsidRPr="001C68DE" w:rsidRDefault="00C71FFD" w:rsidP="001136D3">
            <w:pPr>
              <w:spacing w:after="0"/>
              <w:rPr>
                <w:rFonts w:eastAsia="Calibri"/>
                <w:szCs w:val="24"/>
                <w:lang w:val="en-GB"/>
              </w:rPr>
            </w:pPr>
            <w:r w:rsidRPr="004A2DD7">
              <w:rPr>
                <w:rFonts w:eastAsia="Calibri"/>
                <w:szCs w:val="24"/>
                <w:lang w:val="en-GB"/>
              </w:rPr>
              <w:t>User Task</w:t>
            </w:r>
          </w:p>
        </w:tc>
        <w:tc>
          <w:tcPr>
            <w:tcW w:w="2259" w:type="dxa"/>
          </w:tcPr>
          <w:p w14:paraId="635A898F" w14:textId="77777777" w:rsidR="00C71FFD" w:rsidRPr="001C68DE" w:rsidRDefault="00C71FFD" w:rsidP="001136D3">
            <w:pPr>
              <w:spacing w:after="0"/>
              <w:rPr>
                <w:rFonts w:eastAsia="Calibri"/>
                <w:szCs w:val="24"/>
                <w:lang w:val="en-GB"/>
              </w:rPr>
            </w:pPr>
            <w:r w:rsidRPr="001C68DE">
              <w:rPr>
                <w:rFonts w:eastAsia="Calibri"/>
                <w:szCs w:val="24"/>
                <w:lang w:val="en-GB"/>
              </w:rPr>
              <w:t xml:space="preserve">Define </w:t>
            </w:r>
            <w:proofErr w:type="gramStart"/>
            <w:r w:rsidRPr="001C68DE">
              <w:rPr>
                <w:rFonts w:eastAsia="Calibri"/>
                <w:szCs w:val="24"/>
                <w:lang w:val="en-GB"/>
              </w:rPr>
              <w:t>white list</w:t>
            </w:r>
            <w:proofErr w:type="gramEnd"/>
          </w:p>
        </w:tc>
        <w:tc>
          <w:tcPr>
            <w:tcW w:w="4855" w:type="dxa"/>
          </w:tcPr>
          <w:p w14:paraId="235C0E97" w14:textId="77777777" w:rsidR="00C71FFD" w:rsidRPr="001C68DE" w:rsidRDefault="00C71FFD" w:rsidP="001136D3">
            <w:pPr>
              <w:spacing w:after="0"/>
              <w:rPr>
                <w:rFonts w:eastAsia="Calibri"/>
                <w:szCs w:val="24"/>
                <w:lang w:val="en-GB"/>
              </w:rPr>
            </w:pPr>
            <w:r w:rsidRPr="001C68DE">
              <w:rPr>
                <w:rFonts w:eastAsia="Calibri"/>
                <w:szCs w:val="24"/>
                <w:lang w:val="en-GB"/>
              </w:rPr>
              <w:t>Th</w:t>
            </w:r>
            <w:r>
              <w:rPr>
                <w:rFonts w:eastAsia="Calibri"/>
                <w:szCs w:val="24"/>
                <w:lang w:val="en-GB"/>
              </w:rPr>
              <w:t xml:space="preserve">e RMC must allow the users to specify </w:t>
            </w:r>
            <w:r w:rsidRPr="001C68DE">
              <w:rPr>
                <w:rFonts w:eastAsia="Calibri"/>
                <w:szCs w:val="24"/>
                <w:lang w:val="en-GB"/>
              </w:rPr>
              <w:t xml:space="preserve">Whitelist of Goods, </w:t>
            </w:r>
            <w:proofErr w:type="gramStart"/>
            <w:r w:rsidRPr="001C68DE">
              <w:rPr>
                <w:rFonts w:eastAsia="Calibri"/>
                <w:szCs w:val="24"/>
                <w:lang w:val="en-GB"/>
              </w:rPr>
              <w:t>companies</w:t>
            </w:r>
            <w:proofErr w:type="gramEnd"/>
            <w:r w:rsidRPr="001C68DE">
              <w:rPr>
                <w:rFonts w:eastAsia="Calibri"/>
                <w:szCs w:val="24"/>
                <w:lang w:val="en-GB"/>
              </w:rPr>
              <w:t xml:space="preserve"> and countries.</w:t>
            </w:r>
          </w:p>
        </w:tc>
      </w:tr>
      <w:tr w:rsidR="004C3CE9" w:rsidRPr="001C68DE" w14:paraId="77DA69C4" w14:textId="77777777" w:rsidTr="001136D3">
        <w:tc>
          <w:tcPr>
            <w:tcW w:w="1516" w:type="dxa"/>
          </w:tcPr>
          <w:p w14:paraId="61DBA6D9" w14:textId="5A99A6AB" w:rsidR="004C3CE9" w:rsidRPr="001C68DE" w:rsidRDefault="00C71FFD" w:rsidP="001136D3">
            <w:pPr>
              <w:spacing w:after="0"/>
              <w:rPr>
                <w:rFonts w:eastAsia="Calibri"/>
                <w:szCs w:val="24"/>
                <w:lang w:val="en-GB"/>
              </w:rPr>
            </w:pPr>
            <w:r>
              <w:rPr>
                <w:rFonts w:eastAsia="Calibri"/>
                <w:szCs w:val="24"/>
                <w:lang w:val="en-GB"/>
              </w:rPr>
              <w:t>User Task</w:t>
            </w:r>
          </w:p>
        </w:tc>
        <w:tc>
          <w:tcPr>
            <w:tcW w:w="2259" w:type="dxa"/>
          </w:tcPr>
          <w:p w14:paraId="429CD069" w14:textId="77777777" w:rsidR="004C3CE9" w:rsidRPr="001C68DE" w:rsidRDefault="004C3CE9" w:rsidP="001136D3">
            <w:pPr>
              <w:spacing w:after="0"/>
              <w:rPr>
                <w:rFonts w:eastAsia="Calibri"/>
                <w:szCs w:val="24"/>
                <w:lang w:val="en-GB"/>
              </w:rPr>
            </w:pPr>
            <w:r w:rsidRPr="001C68DE">
              <w:rPr>
                <w:rFonts w:eastAsia="Calibri"/>
                <w:szCs w:val="24"/>
                <w:lang w:val="en-GB"/>
              </w:rPr>
              <w:t>Create rule profile</w:t>
            </w:r>
          </w:p>
        </w:tc>
        <w:tc>
          <w:tcPr>
            <w:tcW w:w="4855" w:type="dxa"/>
          </w:tcPr>
          <w:p w14:paraId="14F43679" w14:textId="77777777" w:rsidR="004C3CE9" w:rsidRPr="001C68DE" w:rsidRDefault="004C3CE9" w:rsidP="001136D3">
            <w:pPr>
              <w:spacing w:after="0"/>
              <w:rPr>
                <w:rFonts w:eastAsia="Calibri"/>
                <w:szCs w:val="24"/>
                <w:lang w:val="en-GB"/>
              </w:rPr>
            </w:pPr>
            <w:r>
              <w:rPr>
                <w:rFonts w:eastAsia="Calibri"/>
                <w:szCs w:val="24"/>
                <w:lang w:val="en-GB"/>
              </w:rPr>
              <w:t>The system must</w:t>
            </w:r>
            <w:r w:rsidRPr="001C68DE">
              <w:rPr>
                <w:rFonts w:eastAsia="Calibri"/>
                <w:szCs w:val="24"/>
                <w:lang w:val="en-GB"/>
              </w:rPr>
              <w:t xml:space="preserve"> allow the User to maintain of Risk Rules. Risk Rules stand for a </w:t>
            </w:r>
            <w:proofErr w:type="gramStart"/>
            <w:r w:rsidRPr="001C68DE">
              <w:rPr>
                <w:rFonts w:eastAsia="Calibri"/>
                <w:szCs w:val="24"/>
                <w:lang w:val="en-GB"/>
              </w:rPr>
              <w:t>logical conditions</w:t>
            </w:r>
            <w:proofErr w:type="gramEnd"/>
            <w:r w:rsidRPr="001C68DE">
              <w:rPr>
                <w:rFonts w:eastAsia="Calibri"/>
                <w:szCs w:val="24"/>
                <w:lang w:val="en-GB"/>
              </w:rPr>
              <w:t xml:space="preserve"> that form Risk Profile. If satisfied, these conditions are measured in terms of score (points). As bigger is the amount of point returns Risk Profile for the Declaration / Document as higher is Risk assessment for it.</w:t>
            </w:r>
          </w:p>
        </w:tc>
      </w:tr>
      <w:tr w:rsidR="004C3CE9" w:rsidRPr="001C68DE" w14:paraId="201639E8" w14:textId="77777777" w:rsidTr="001136D3">
        <w:tc>
          <w:tcPr>
            <w:tcW w:w="1516" w:type="dxa"/>
          </w:tcPr>
          <w:p w14:paraId="11186BAF" w14:textId="13F767E9" w:rsidR="004C3CE9" w:rsidRPr="001C68DE" w:rsidRDefault="00C71FFD" w:rsidP="001136D3">
            <w:pPr>
              <w:spacing w:after="0"/>
              <w:rPr>
                <w:rFonts w:eastAsia="Calibri"/>
                <w:szCs w:val="24"/>
                <w:lang w:val="en-GB"/>
              </w:rPr>
            </w:pPr>
            <w:r>
              <w:rPr>
                <w:rFonts w:eastAsia="Calibri"/>
                <w:szCs w:val="24"/>
                <w:lang w:val="en-GB"/>
              </w:rPr>
              <w:t>Service Task</w:t>
            </w:r>
          </w:p>
        </w:tc>
        <w:tc>
          <w:tcPr>
            <w:tcW w:w="2259" w:type="dxa"/>
          </w:tcPr>
          <w:p w14:paraId="70E7C634" w14:textId="77777777" w:rsidR="004C3CE9" w:rsidRPr="001C68DE" w:rsidRDefault="004C3CE9" w:rsidP="001136D3">
            <w:pPr>
              <w:spacing w:after="0"/>
              <w:rPr>
                <w:rFonts w:eastAsia="Calibri"/>
                <w:szCs w:val="24"/>
                <w:lang w:val="en-GB"/>
              </w:rPr>
            </w:pPr>
            <w:r w:rsidRPr="001C68DE">
              <w:rPr>
                <w:rFonts w:eastAsia="Calibri"/>
                <w:szCs w:val="24"/>
                <w:lang w:val="en-GB"/>
              </w:rPr>
              <w:t>Assign risk score</w:t>
            </w:r>
          </w:p>
        </w:tc>
        <w:tc>
          <w:tcPr>
            <w:tcW w:w="4855" w:type="dxa"/>
          </w:tcPr>
          <w:p w14:paraId="06ABAA7C" w14:textId="77777777" w:rsidR="004C3CE9" w:rsidRPr="001C68DE" w:rsidRDefault="004C3CE9" w:rsidP="001136D3">
            <w:pPr>
              <w:spacing w:after="0"/>
              <w:rPr>
                <w:rFonts w:eastAsia="Calibri"/>
                <w:szCs w:val="24"/>
                <w:lang w:val="en-GB"/>
              </w:rPr>
            </w:pPr>
            <w:r>
              <w:rPr>
                <w:rFonts w:eastAsia="Calibri"/>
                <w:szCs w:val="24"/>
                <w:lang w:val="en-GB"/>
              </w:rPr>
              <w:t xml:space="preserve">The RMC must be able to specify different </w:t>
            </w:r>
            <w:r w:rsidRPr="001C68DE">
              <w:rPr>
                <w:rFonts w:eastAsia="Calibri"/>
                <w:szCs w:val="24"/>
                <w:lang w:val="en-GB"/>
              </w:rPr>
              <w:t>Risk Levels</w:t>
            </w:r>
            <w:r>
              <w:rPr>
                <w:rFonts w:eastAsia="Calibri"/>
                <w:szCs w:val="24"/>
                <w:lang w:val="en-GB"/>
              </w:rPr>
              <w:t>, based on a</w:t>
            </w:r>
            <w:r w:rsidRPr="001C68DE">
              <w:rPr>
                <w:rFonts w:eastAsia="Calibri"/>
                <w:szCs w:val="24"/>
                <w:lang w:val="en-GB"/>
              </w:rPr>
              <w:t xml:space="preserve"> scale of scores (points)</w:t>
            </w:r>
            <w:r>
              <w:rPr>
                <w:rFonts w:eastAsia="Calibri"/>
                <w:szCs w:val="24"/>
                <w:lang w:val="en-GB"/>
              </w:rPr>
              <w:t xml:space="preserve"> and to classify the risk results, based on it. </w:t>
            </w:r>
            <w:r w:rsidRPr="001C68DE">
              <w:rPr>
                <w:rFonts w:eastAsia="Calibri"/>
                <w:szCs w:val="24"/>
                <w:lang w:val="en-GB"/>
              </w:rPr>
              <w:t>The</w:t>
            </w:r>
            <w:r>
              <w:rPr>
                <w:rFonts w:eastAsia="Calibri"/>
                <w:szCs w:val="24"/>
                <w:lang w:val="en-GB"/>
              </w:rPr>
              <w:t xml:space="preserve"> system must allow definition of the</w:t>
            </w:r>
            <w:r w:rsidRPr="001C68DE">
              <w:rPr>
                <w:rFonts w:eastAsia="Calibri"/>
                <w:szCs w:val="24"/>
                <w:lang w:val="en-GB"/>
              </w:rPr>
              <w:t xml:space="preserve"> minimum and maximum score of Risk Level, defining the thresholds between different levels. Examples of Risk Levels are:</w:t>
            </w:r>
          </w:p>
          <w:p w14:paraId="02B8189D" w14:textId="77777777" w:rsidR="004C3CE9" w:rsidRPr="001C68DE" w:rsidRDefault="004C3CE9" w:rsidP="00D530D5">
            <w:pPr>
              <w:numPr>
                <w:ilvl w:val="0"/>
                <w:numId w:val="159"/>
              </w:numPr>
              <w:suppressAutoHyphens/>
              <w:spacing w:after="0"/>
              <w:rPr>
                <w:rFonts w:eastAsia="Calibri"/>
                <w:szCs w:val="24"/>
                <w:lang w:val="en-GB"/>
              </w:rPr>
            </w:pPr>
            <w:r w:rsidRPr="001C68DE">
              <w:rPr>
                <w:rFonts w:eastAsia="Calibri"/>
                <w:szCs w:val="24"/>
                <w:lang w:val="en-GB"/>
              </w:rPr>
              <w:t xml:space="preserve">No </w:t>
            </w:r>
            <w:proofErr w:type="gramStart"/>
            <w:r w:rsidRPr="001C68DE">
              <w:rPr>
                <w:rFonts w:eastAsia="Calibri"/>
                <w:szCs w:val="24"/>
                <w:lang w:val="en-GB"/>
              </w:rPr>
              <w:t>Risk;</w:t>
            </w:r>
            <w:proofErr w:type="gramEnd"/>
          </w:p>
          <w:p w14:paraId="6B94F009" w14:textId="77777777" w:rsidR="004C3CE9" w:rsidRPr="001C68DE" w:rsidRDefault="004C3CE9" w:rsidP="00D530D5">
            <w:pPr>
              <w:numPr>
                <w:ilvl w:val="0"/>
                <w:numId w:val="159"/>
              </w:numPr>
              <w:suppressAutoHyphens/>
              <w:spacing w:after="0"/>
              <w:rPr>
                <w:rFonts w:eastAsia="Calibri"/>
                <w:szCs w:val="24"/>
                <w:lang w:val="en-GB"/>
              </w:rPr>
            </w:pPr>
            <w:r w:rsidRPr="001C68DE">
              <w:rPr>
                <w:rFonts w:eastAsia="Calibri"/>
                <w:szCs w:val="24"/>
                <w:lang w:val="en-GB"/>
              </w:rPr>
              <w:t xml:space="preserve">Low </w:t>
            </w:r>
            <w:proofErr w:type="gramStart"/>
            <w:r w:rsidRPr="001C68DE">
              <w:rPr>
                <w:rFonts w:eastAsia="Calibri"/>
                <w:szCs w:val="24"/>
                <w:lang w:val="en-GB"/>
              </w:rPr>
              <w:t>Risk;</w:t>
            </w:r>
            <w:proofErr w:type="gramEnd"/>
          </w:p>
          <w:p w14:paraId="4BC98188" w14:textId="77777777" w:rsidR="004C3CE9" w:rsidRPr="001C68DE" w:rsidRDefault="004C3CE9" w:rsidP="00D530D5">
            <w:pPr>
              <w:numPr>
                <w:ilvl w:val="0"/>
                <w:numId w:val="159"/>
              </w:numPr>
              <w:suppressAutoHyphens/>
              <w:spacing w:after="0"/>
              <w:rPr>
                <w:rFonts w:eastAsia="Calibri"/>
                <w:szCs w:val="24"/>
                <w:lang w:val="en-GB"/>
              </w:rPr>
            </w:pPr>
            <w:r w:rsidRPr="001C68DE">
              <w:rPr>
                <w:rFonts w:eastAsia="Calibri"/>
                <w:szCs w:val="24"/>
                <w:lang w:val="en-GB"/>
              </w:rPr>
              <w:t xml:space="preserve">Medium </w:t>
            </w:r>
            <w:proofErr w:type="gramStart"/>
            <w:r w:rsidRPr="001C68DE">
              <w:rPr>
                <w:rFonts w:eastAsia="Calibri"/>
                <w:szCs w:val="24"/>
                <w:lang w:val="en-GB"/>
              </w:rPr>
              <w:t>Risk;</w:t>
            </w:r>
            <w:proofErr w:type="gramEnd"/>
          </w:p>
          <w:p w14:paraId="0C7B1D58" w14:textId="77777777" w:rsidR="004C3CE9" w:rsidRPr="001C68DE" w:rsidRDefault="004C3CE9" w:rsidP="00D530D5">
            <w:pPr>
              <w:numPr>
                <w:ilvl w:val="0"/>
                <w:numId w:val="159"/>
              </w:numPr>
              <w:suppressAutoHyphens/>
              <w:spacing w:after="0"/>
              <w:rPr>
                <w:rFonts w:eastAsia="Calibri"/>
                <w:szCs w:val="24"/>
                <w:lang w:val="en-GB"/>
              </w:rPr>
            </w:pPr>
            <w:r w:rsidRPr="001C68DE">
              <w:rPr>
                <w:rFonts w:eastAsia="Calibri"/>
                <w:szCs w:val="24"/>
                <w:lang w:val="en-GB"/>
              </w:rPr>
              <w:t>High Risk, etc.</w:t>
            </w:r>
          </w:p>
          <w:p w14:paraId="6A2171C3" w14:textId="77777777" w:rsidR="004C3CE9" w:rsidRPr="001C68DE" w:rsidRDefault="004C3CE9" w:rsidP="001136D3">
            <w:pPr>
              <w:spacing w:after="0"/>
              <w:rPr>
                <w:rFonts w:eastAsia="Calibri"/>
                <w:szCs w:val="24"/>
                <w:lang w:val="en-GB"/>
              </w:rPr>
            </w:pPr>
            <w:r w:rsidRPr="001C68DE">
              <w:rPr>
                <w:rFonts w:eastAsia="Calibri"/>
                <w:szCs w:val="24"/>
                <w:lang w:val="en-GB"/>
              </w:rPr>
              <w:t>The Inspection codes and instructions are assigned to Risk Level so that Risk Officers know what to control.</w:t>
            </w:r>
          </w:p>
        </w:tc>
      </w:tr>
      <w:tr w:rsidR="004C3CE9" w:rsidRPr="001C68DE" w14:paraId="65C9A0E6" w14:textId="77777777" w:rsidTr="001136D3">
        <w:tc>
          <w:tcPr>
            <w:tcW w:w="1516" w:type="dxa"/>
          </w:tcPr>
          <w:p w14:paraId="0FB83A9F" w14:textId="25C47D5A" w:rsidR="004C3CE9" w:rsidRPr="001C68DE" w:rsidRDefault="00C71FFD" w:rsidP="001136D3">
            <w:pPr>
              <w:spacing w:after="0"/>
              <w:rPr>
                <w:rFonts w:eastAsia="Calibri"/>
                <w:szCs w:val="24"/>
                <w:lang w:val="en-GB"/>
              </w:rPr>
            </w:pPr>
            <w:r>
              <w:rPr>
                <w:rFonts w:eastAsia="Calibri"/>
                <w:szCs w:val="24"/>
                <w:lang w:val="en-GB"/>
              </w:rPr>
              <w:t>Service Task</w:t>
            </w:r>
          </w:p>
        </w:tc>
        <w:tc>
          <w:tcPr>
            <w:tcW w:w="2259" w:type="dxa"/>
          </w:tcPr>
          <w:p w14:paraId="29ADA83A" w14:textId="77777777" w:rsidR="004C3CE9" w:rsidRPr="001C68DE" w:rsidRDefault="004C3CE9" w:rsidP="001136D3">
            <w:pPr>
              <w:spacing w:after="0"/>
              <w:rPr>
                <w:rFonts w:eastAsia="Calibri"/>
                <w:szCs w:val="24"/>
                <w:lang w:val="en-GB"/>
              </w:rPr>
            </w:pPr>
            <w:r w:rsidRPr="001C68DE">
              <w:rPr>
                <w:rFonts w:eastAsia="Calibri"/>
                <w:szCs w:val="24"/>
                <w:lang w:val="en-GB"/>
              </w:rPr>
              <w:t>Test risk profile</w:t>
            </w:r>
          </w:p>
        </w:tc>
        <w:tc>
          <w:tcPr>
            <w:tcW w:w="4855" w:type="dxa"/>
          </w:tcPr>
          <w:p w14:paraId="061B70F8" w14:textId="1D46A0B1" w:rsidR="004C3CE9" w:rsidRPr="001C68DE" w:rsidRDefault="004C3CE9" w:rsidP="001136D3">
            <w:pPr>
              <w:spacing w:after="0"/>
              <w:rPr>
                <w:rFonts w:eastAsia="Calibri"/>
                <w:szCs w:val="24"/>
                <w:lang w:val="en-GB"/>
              </w:rPr>
            </w:pPr>
            <w:r>
              <w:rPr>
                <w:rFonts w:eastAsia="Calibri"/>
                <w:szCs w:val="24"/>
                <w:lang w:val="en-GB"/>
              </w:rPr>
              <w:t>The RMC must allow</w:t>
            </w:r>
            <w:r w:rsidRPr="001C68DE">
              <w:rPr>
                <w:rFonts w:eastAsia="Calibri"/>
                <w:szCs w:val="24"/>
                <w:lang w:val="en-GB"/>
              </w:rPr>
              <w:t xml:space="preserve"> by </w:t>
            </w:r>
            <w:r>
              <w:rPr>
                <w:rFonts w:eastAsia="Calibri"/>
                <w:szCs w:val="24"/>
                <w:lang w:val="en-GB"/>
              </w:rPr>
              <w:t>r</w:t>
            </w:r>
            <w:r w:rsidRPr="001C68DE">
              <w:rPr>
                <w:rFonts w:eastAsia="Calibri"/>
                <w:szCs w:val="24"/>
                <w:lang w:val="en-GB"/>
              </w:rPr>
              <w:t xml:space="preserve">isk </w:t>
            </w:r>
            <w:r>
              <w:rPr>
                <w:rFonts w:eastAsia="Calibri"/>
                <w:szCs w:val="24"/>
                <w:lang w:val="en-GB"/>
              </w:rPr>
              <w:t>e</w:t>
            </w:r>
            <w:r w:rsidRPr="001C68DE">
              <w:rPr>
                <w:rFonts w:eastAsia="Calibri"/>
                <w:szCs w:val="24"/>
                <w:lang w:val="en-GB"/>
              </w:rPr>
              <w:t xml:space="preserve">xperts </w:t>
            </w:r>
            <w:r>
              <w:rPr>
                <w:rFonts w:eastAsia="Calibri"/>
                <w:szCs w:val="24"/>
                <w:lang w:val="en-GB"/>
              </w:rPr>
              <w:t>to test the risk profiles using historical data</w:t>
            </w:r>
            <w:r w:rsidR="00572CFF">
              <w:rPr>
                <w:rFonts w:eastAsia="Calibri"/>
                <w:szCs w:val="24"/>
                <w:lang w:val="en-GB"/>
              </w:rPr>
              <w:t>.</w:t>
            </w:r>
          </w:p>
        </w:tc>
      </w:tr>
    </w:tbl>
    <w:p w14:paraId="032E8A59" w14:textId="77777777" w:rsidR="004C3CE9" w:rsidRDefault="004C3CE9" w:rsidP="004C3CE9">
      <w:pPr>
        <w:spacing w:after="0"/>
        <w:rPr>
          <w:rFonts w:eastAsia="Calibri"/>
          <w:b/>
          <w:i/>
          <w:szCs w:val="24"/>
        </w:rPr>
      </w:pPr>
    </w:p>
    <w:p w14:paraId="2B2FC519" w14:textId="77777777" w:rsidR="004C3CE9" w:rsidRPr="00983A0E" w:rsidRDefault="004C3CE9" w:rsidP="004C3CE9">
      <w:pPr>
        <w:spacing w:after="0"/>
        <w:rPr>
          <w:b/>
          <w:i/>
        </w:rPr>
      </w:pPr>
      <w:r w:rsidRPr="00983A0E">
        <w:rPr>
          <w:b/>
          <w:i/>
        </w:rPr>
        <w:t>Functional Requirements:</w:t>
      </w:r>
    </w:p>
    <w:tbl>
      <w:tblPr>
        <w:tblStyle w:val="TableGrid"/>
        <w:tblW w:w="9355" w:type="dxa"/>
        <w:tblLook w:val="04A0" w:firstRow="1" w:lastRow="0" w:firstColumn="1" w:lastColumn="0" w:noHBand="0" w:noVBand="1"/>
      </w:tblPr>
      <w:tblGrid>
        <w:gridCol w:w="1075"/>
        <w:gridCol w:w="8280"/>
      </w:tblGrid>
      <w:tr w:rsidR="004C3CE9" w:rsidRPr="007A60A6" w14:paraId="2B794CCB" w14:textId="77777777" w:rsidTr="001136D3">
        <w:trPr>
          <w:tblHeader/>
        </w:trPr>
        <w:tc>
          <w:tcPr>
            <w:tcW w:w="1075" w:type="dxa"/>
            <w:shd w:val="clear" w:color="auto" w:fill="D9D9D9" w:themeFill="background1" w:themeFillShade="D9"/>
          </w:tcPr>
          <w:p w14:paraId="62A92353" w14:textId="77777777" w:rsidR="004C3CE9" w:rsidRPr="001C68DE" w:rsidRDefault="004C3CE9" w:rsidP="001136D3">
            <w:pPr>
              <w:spacing w:after="0"/>
              <w:rPr>
                <w:rFonts w:eastAsia="Calibri"/>
                <w:b/>
                <w:szCs w:val="24"/>
                <w:lang w:val="en-GB"/>
              </w:rPr>
            </w:pPr>
            <w:r w:rsidRPr="001C68DE">
              <w:rPr>
                <w:rFonts w:eastAsia="Calibri"/>
                <w:b/>
                <w:szCs w:val="24"/>
                <w:lang w:val="en-GB"/>
              </w:rPr>
              <w:t>ID</w:t>
            </w:r>
          </w:p>
        </w:tc>
        <w:tc>
          <w:tcPr>
            <w:tcW w:w="8280" w:type="dxa"/>
            <w:shd w:val="clear" w:color="auto" w:fill="D9D9D9" w:themeFill="background1" w:themeFillShade="D9"/>
          </w:tcPr>
          <w:p w14:paraId="0DBD1FCA" w14:textId="77777777" w:rsidR="004C3CE9" w:rsidRPr="001C68DE" w:rsidRDefault="004C3CE9" w:rsidP="001136D3">
            <w:pPr>
              <w:spacing w:after="0"/>
              <w:rPr>
                <w:rFonts w:eastAsia="Calibri"/>
                <w:b/>
                <w:szCs w:val="24"/>
                <w:lang w:val="en-GB"/>
              </w:rPr>
            </w:pPr>
            <w:r w:rsidRPr="001C68DE">
              <w:rPr>
                <w:rFonts w:eastAsia="Calibri"/>
                <w:b/>
                <w:szCs w:val="24"/>
                <w:lang w:val="en-GB"/>
              </w:rPr>
              <w:t>Description</w:t>
            </w:r>
          </w:p>
        </w:tc>
      </w:tr>
      <w:tr w:rsidR="004C3CE9" w:rsidRPr="007A60A6" w14:paraId="760214B8" w14:textId="77777777" w:rsidTr="001136D3">
        <w:tc>
          <w:tcPr>
            <w:tcW w:w="1075" w:type="dxa"/>
          </w:tcPr>
          <w:p w14:paraId="6783DB5D" w14:textId="77777777" w:rsidR="004C3CE9" w:rsidRPr="001C68DE" w:rsidRDefault="004C3CE9" w:rsidP="001136D3">
            <w:pPr>
              <w:spacing w:after="0"/>
              <w:rPr>
                <w:rFonts w:eastAsia="Calibri"/>
                <w:i/>
                <w:szCs w:val="24"/>
                <w:lang w:val="en-GB"/>
              </w:rPr>
            </w:pPr>
            <w:r w:rsidRPr="001C68DE">
              <w:rPr>
                <w:rFonts w:eastAsia="Calibri"/>
                <w:szCs w:val="24"/>
                <w:lang w:val="en-GB"/>
              </w:rPr>
              <w:t>FR500</w:t>
            </w:r>
          </w:p>
        </w:tc>
        <w:tc>
          <w:tcPr>
            <w:tcW w:w="8280" w:type="dxa"/>
          </w:tcPr>
          <w:p w14:paraId="488373E6" w14:textId="77777777" w:rsidR="004C3CE9" w:rsidRPr="001C68DE" w:rsidRDefault="004C3CE9" w:rsidP="001136D3">
            <w:pPr>
              <w:spacing w:after="0"/>
              <w:rPr>
                <w:rFonts w:eastAsia="Calibri"/>
                <w:i/>
                <w:szCs w:val="24"/>
                <w:lang w:val="en-GB"/>
              </w:rPr>
            </w:pPr>
            <w:r w:rsidRPr="001C68DE">
              <w:rPr>
                <w:rFonts w:eastAsia="Calibri"/>
                <w:szCs w:val="24"/>
                <w:lang w:val="en-GB"/>
              </w:rPr>
              <w:t xml:space="preserve">The system must allow manual entry of a risk profile: Risk profile settings should include added and setup: Risk category; Profile owner; Document Type; Risk profile schedule; </w:t>
            </w:r>
            <w:proofErr w:type="gramStart"/>
            <w:r w:rsidRPr="001C68DE">
              <w:rPr>
                <w:rFonts w:eastAsia="Calibri"/>
                <w:szCs w:val="24"/>
                <w:lang w:val="en-GB"/>
              </w:rPr>
              <w:t>White list</w:t>
            </w:r>
            <w:proofErr w:type="gramEnd"/>
            <w:r w:rsidRPr="001C68DE">
              <w:rPr>
                <w:rFonts w:eastAsia="Calibri"/>
                <w:szCs w:val="24"/>
                <w:lang w:val="en-GB"/>
              </w:rPr>
              <w:t>; Rule and add score; Risk indicator that can be able conditional or required and Recommendation.</w:t>
            </w:r>
          </w:p>
        </w:tc>
      </w:tr>
      <w:tr w:rsidR="004C3CE9" w:rsidRPr="007A60A6" w14:paraId="7CED2381" w14:textId="77777777" w:rsidTr="001136D3">
        <w:tc>
          <w:tcPr>
            <w:tcW w:w="1075" w:type="dxa"/>
          </w:tcPr>
          <w:p w14:paraId="48E1D2B3" w14:textId="77777777" w:rsidR="004C3CE9" w:rsidRPr="001C68DE" w:rsidRDefault="004C3CE9" w:rsidP="001136D3">
            <w:pPr>
              <w:spacing w:after="0"/>
              <w:rPr>
                <w:rFonts w:eastAsia="Calibri"/>
                <w:i/>
                <w:szCs w:val="24"/>
                <w:lang w:val="en-GB"/>
              </w:rPr>
            </w:pPr>
            <w:r w:rsidRPr="001C68DE">
              <w:rPr>
                <w:rFonts w:eastAsia="Calibri"/>
                <w:szCs w:val="24"/>
                <w:lang w:val="en-GB"/>
              </w:rPr>
              <w:t>FR501</w:t>
            </w:r>
          </w:p>
        </w:tc>
        <w:tc>
          <w:tcPr>
            <w:tcW w:w="8280" w:type="dxa"/>
          </w:tcPr>
          <w:p w14:paraId="1A5D009C" w14:textId="77777777" w:rsidR="004C3CE9" w:rsidRPr="001C68DE" w:rsidRDefault="004C3CE9" w:rsidP="001136D3">
            <w:pPr>
              <w:spacing w:after="0"/>
              <w:rPr>
                <w:rFonts w:eastAsia="Calibri"/>
                <w:i/>
                <w:szCs w:val="24"/>
                <w:lang w:val="en-GB"/>
              </w:rPr>
            </w:pPr>
            <w:r w:rsidRPr="001C68DE">
              <w:rPr>
                <w:rFonts w:eastAsia="Calibri"/>
                <w:szCs w:val="24"/>
                <w:lang w:val="en-GB"/>
              </w:rPr>
              <w:t>The system must allow a test risk profile to be created. And through the test risk profile to make a report of historical data.</w:t>
            </w:r>
          </w:p>
        </w:tc>
      </w:tr>
      <w:tr w:rsidR="004C3CE9" w:rsidRPr="007A60A6" w14:paraId="05FD69C9" w14:textId="77777777" w:rsidTr="001136D3">
        <w:tc>
          <w:tcPr>
            <w:tcW w:w="1075" w:type="dxa"/>
          </w:tcPr>
          <w:p w14:paraId="30780CF7" w14:textId="77777777" w:rsidR="004C3CE9" w:rsidRPr="001C68DE" w:rsidRDefault="004C3CE9" w:rsidP="001136D3">
            <w:pPr>
              <w:spacing w:after="0"/>
              <w:rPr>
                <w:rFonts w:eastAsia="Calibri"/>
                <w:szCs w:val="24"/>
                <w:lang w:val="en-GB"/>
              </w:rPr>
            </w:pPr>
            <w:r w:rsidRPr="001C68DE">
              <w:rPr>
                <w:rFonts w:eastAsia="Calibri"/>
                <w:szCs w:val="24"/>
                <w:lang w:val="en-GB"/>
              </w:rPr>
              <w:t>FR502</w:t>
            </w:r>
          </w:p>
        </w:tc>
        <w:tc>
          <w:tcPr>
            <w:tcW w:w="8280" w:type="dxa"/>
          </w:tcPr>
          <w:p w14:paraId="08963860" w14:textId="77777777" w:rsidR="004C3CE9" w:rsidRPr="001C68DE" w:rsidRDefault="004C3CE9" w:rsidP="001136D3">
            <w:pPr>
              <w:spacing w:after="0"/>
              <w:rPr>
                <w:rFonts w:eastAsia="Calibri"/>
                <w:szCs w:val="24"/>
                <w:lang w:val="en-GB"/>
              </w:rPr>
            </w:pPr>
            <w:r w:rsidRPr="001C68DE">
              <w:rPr>
                <w:rFonts w:eastAsia="Calibri"/>
                <w:szCs w:val="24"/>
                <w:lang w:val="en-GB"/>
              </w:rPr>
              <w:t>The system must be able to automatically input data from the additional information received</w:t>
            </w:r>
          </w:p>
        </w:tc>
      </w:tr>
      <w:tr w:rsidR="004C3CE9" w:rsidRPr="007A60A6" w14:paraId="555596FD" w14:textId="77777777" w:rsidTr="001136D3">
        <w:tc>
          <w:tcPr>
            <w:tcW w:w="1075" w:type="dxa"/>
          </w:tcPr>
          <w:p w14:paraId="65CFEC41" w14:textId="77777777" w:rsidR="004C3CE9" w:rsidRPr="001C68DE" w:rsidRDefault="004C3CE9" w:rsidP="001136D3">
            <w:pPr>
              <w:spacing w:after="0"/>
              <w:rPr>
                <w:rFonts w:eastAsia="Calibri"/>
                <w:i/>
                <w:szCs w:val="24"/>
                <w:lang w:val="en-GB"/>
              </w:rPr>
            </w:pPr>
            <w:r w:rsidRPr="001C68DE">
              <w:rPr>
                <w:rFonts w:eastAsia="Calibri"/>
                <w:szCs w:val="24"/>
                <w:lang w:val="en-GB"/>
              </w:rPr>
              <w:lastRenderedPageBreak/>
              <w:t>FR50</w:t>
            </w:r>
            <w:r>
              <w:rPr>
                <w:rFonts w:eastAsia="Calibri"/>
                <w:szCs w:val="24"/>
                <w:lang w:val="en-GB"/>
              </w:rPr>
              <w:t>3</w:t>
            </w:r>
          </w:p>
        </w:tc>
        <w:tc>
          <w:tcPr>
            <w:tcW w:w="8280" w:type="dxa"/>
          </w:tcPr>
          <w:p w14:paraId="74A76834" w14:textId="77777777" w:rsidR="004C3CE9" w:rsidRPr="001C68DE" w:rsidRDefault="004C3CE9" w:rsidP="001136D3">
            <w:pPr>
              <w:spacing w:after="0"/>
              <w:rPr>
                <w:rFonts w:eastAsia="Calibri"/>
                <w:i/>
                <w:szCs w:val="24"/>
                <w:lang w:val="en-GB"/>
              </w:rPr>
            </w:pPr>
            <w:r w:rsidRPr="001C68DE">
              <w:rPr>
                <w:rFonts w:eastAsia="Calibri"/>
                <w:szCs w:val="24"/>
                <w:lang w:val="en-GB"/>
              </w:rPr>
              <w:t xml:space="preserve">The RMS </w:t>
            </w:r>
            <w:r>
              <w:rPr>
                <w:rFonts w:eastAsia="Calibri"/>
                <w:szCs w:val="24"/>
                <w:lang w:val="en-GB"/>
              </w:rPr>
              <w:t>must</w:t>
            </w:r>
            <w:r w:rsidRPr="001C68DE">
              <w:rPr>
                <w:rFonts w:eastAsia="Calibri"/>
                <w:szCs w:val="24"/>
                <w:lang w:val="en-GB"/>
              </w:rPr>
              <w:t xml:space="preserve"> provide a user-friendly interface for defining various types of parameters, including risk indicators, criteria, profiles, and other relevant factors. Users </w:t>
            </w:r>
            <w:r>
              <w:rPr>
                <w:rFonts w:eastAsia="Calibri"/>
                <w:szCs w:val="24"/>
                <w:lang w:val="en-GB"/>
              </w:rPr>
              <w:t>must</w:t>
            </w:r>
            <w:r w:rsidRPr="001C68DE">
              <w:rPr>
                <w:rFonts w:eastAsia="Calibri"/>
                <w:szCs w:val="24"/>
                <w:lang w:val="en-GB"/>
              </w:rPr>
              <w:t xml:space="preserve"> be able to create, modify, and delete these parameters as needed.</w:t>
            </w:r>
          </w:p>
        </w:tc>
      </w:tr>
      <w:tr w:rsidR="004C3CE9" w:rsidRPr="007A60A6" w14:paraId="52528F81" w14:textId="77777777" w:rsidTr="001136D3">
        <w:tc>
          <w:tcPr>
            <w:tcW w:w="1075" w:type="dxa"/>
          </w:tcPr>
          <w:p w14:paraId="4F8E4ABD" w14:textId="77777777" w:rsidR="004C3CE9" w:rsidRPr="001C68DE" w:rsidRDefault="004C3CE9" w:rsidP="001136D3">
            <w:pPr>
              <w:spacing w:after="0"/>
              <w:rPr>
                <w:rFonts w:eastAsia="Calibri"/>
                <w:i/>
                <w:szCs w:val="24"/>
                <w:lang w:val="en-GB"/>
              </w:rPr>
            </w:pPr>
            <w:r w:rsidRPr="001C68DE">
              <w:rPr>
                <w:rFonts w:eastAsia="Calibri"/>
                <w:szCs w:val="24"/>
                <w:lang w:val="en-GB"/>
              </w:rPr>
              <w:t>FR50</w:t>
            </w:r>
            <w:r>
              <w:rPr>
                <w:rFonts w:eastAsia="Calibri"/>
                <w:szCs w:val="24"/>
                <w:lang w:val="en-GB"/>
              </w:rPr>
              <w:t>4</w:t>
            </w:r>
          </w:p>
        </w:tc>
        <w:tc>
          <w:tcPr>
            <w:tcW w:w="8280" w:type="dxa"/>
          </w:tcPr>
          <w:p w14:paraId="20D624E8" w14:textId="77777777" w:rsidR="004C3CE9" w:rsidRPr="001C68DE" w:rsidRDefault="004C3CE9" w:rsidP="001136D3">
            <w:pPr>
              <w:spacing w:after="0"/>
              <w:rPr>
                <w:rFonts w:eastAsia="Calibri"/>
                <w:szCs w:val="24"/>
                <w:lang w:val="en-GB"/>
              </w:rPr>
            </w:pPr>
            <w:r w:rsidRPr="001C68DE">
              <w:rPr>
                <w:rFonts w:eastAsia="Calibri"/>
                <w:szCs w:val="24"/>
                <w:lang w:val="en-GB"/>
              </w:rPr>
              <w:t xml:space="preserve">The system </w:t>
            </w:r>
            <w:r>
              <w:rPr>
                <w:rFonts w:eastAsia="Calibri"/>
                <w:szCs w:val="24"/>
                <w:lang w:val="en-GB"/>
              </w:rPr>
              <w:t>must</w:t>
            </w:r>
            <w:r w:rsidRPr="001C68DE">
              <w:rPr>
                <w:rFonts w:eastAsia="Calibri"/>
                <w:szCs w:val="24"/>
                <w:lang w:val="en-GB"/>
              </w:rPr>
              <w:t xml:space="preserve"> allow users to define risk indicators that are relevant to their specific domain or industry. These indicators could include factors such as transaction value, country of origin, product type, compliance history, weight of goods, mathematical calculations among available data or any other variables that contribute to risk assessment.</w:t>
            </w:r>
          </w:p>
        </w:tc>
      </w:tr>
      <w:tr w:rsidR="004C3CE9" w:rsidRPr="007A60A6" w14:paraId="5CC73087" w14:textId="77777777" w:rsidTr="001136D3">
        <w:tc>
          <w:tcPr>
            <w:tcW w:w="1075" w:type="dxa"/>
          </w:tcPr>
          <w:p w14:paraId="44581CAF" w14:textId="77777777" w:rsidR="004C3CE9" w:rsidRPr="001C68DE" w:rsidRDefault="004C3CE9" w:rsidP="001136D3">
            <w:pPr>
              <w:spacing w:after="0"/>
              <w:rPr>
                <w:rFonts w:eastAsia="Calibri"/>
                <w:i/>
                <w:szCs w:val="24"/>
                <w:lang w:val="en-GB"/>
              </w:rPr>
            </w:pPr>
            <w:r w:rsidRPr="001C68DE">
              <w:rPr>
                <w:rFonts w:eastAsia="Calibri"/>
                <w:szCs w:val="24"/>
                <w:lang w:val="en-GB"/>
              </w:rPr>
              <w:t>FR50</w:t>
            </w:r>
            <w:r>
              <w:rPr>
                <w:rFonts w:eastAsia="Calibri"/>
                <w:szCs w:val="24"/>
                <w:lang w:val="en-GB"/>
              </w:rPr>
              <w:t>5</w:t>
            </w:r>
          </w:p>
        </w:tc>
        <w:tc>
          <w:tcPr>
            <w:tcW w:w="8280" w:type="dxa"/>
          </w:tcPr>
          <w:p w14:paraId="035130BB" w14:textId="77777777" w:rsidR="004C3CE9" w:rsidRPr="001C68DE" w:rsidRDefault="004C3CE9" w:rsidP="001136D3">
            <w:pPr>
              <w:spacing w:after="0"/>
              <w:rPr>
                <w:rFonts w:eastAsia="Calibri"/>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enable users to configure criteria that determine the risk levels. Users should be able to set thresholds, weights, or scoring rules for each criterion</w:t>
            </w:r>
          </w:p>
        </w:tc>
      </w:tr>
      <w:tr w:rsidR="004C3CE9" w:rsidRPr="007A60A6" w14:paraId="08BA4E37" w14:textId="77777777" w:rsidTr="001136D3">
        <w:tc>
          <w:tcPr>
            <w:tcW w:w="1075" w:type="dxa"/>
          </w:tcPr>
          <w:p w14:paraId="609D8688" w14:textId="77777777" w:rsidR="004C3CE9" w:rsidRPr="001C68DE" w:rsidRDefault="004C3CE9" w:rsidP="001136D3">
            <w:pPr>
              <w:spacing w:after="0"/>
              <w:rPr>
                <w:rFonts w:eastAsia="Calibri"/>
                <w:i/>
                <w:szCs w:val="24"/>
                <w:lang w:val="en-GB"/>
              </w:rPr>
            </w:pPr>
            <w:r w:rsidRPr="001C68DE">
              <w:rPr>
                <w:rFonts w:eastAsia="Calibri"/>
                <w:szCs w:val="24"/>
                <w:lang w:val="en-GB"/>
              </w:rPr>
              <w:t>FR50</w:t>
            </w:r>
            <w:r>
              <w:rPr>
                <w:rFonts w:eastAsia="Calibri"/>
                <w:szCs w:val="24"/>
                <w:lang w:val="en-GB"/>
              </w:rPr>
              <w:t>6</w:t>
            </w:r>
          </w:p>
        </w:tc>
        <w:tc>
          <w:tcPr>
            <w:tcW w:w="8280" w:type="dxa"/>
          </w:tcPr>
          <w:p w14:paraId="163EF7EF" w14:textId="77777777" w:rsidR="004C3CE9" w:rsidRPr="001C68DE" w:rsidRDefault="004C3CE9" w:rsidP="001136D3">
            <w:pPr>
              <w:spacing w:after="0"/>
              <w:rPr>
                <w:rFonts w:eastAsia="Calibri"/>
                <w:szCs w:val="24"/>
                <w:lang w:val="en-GB"/>
              </w:rPr>
            </w:pPr>
            <w:r w:rsidRPr="001C68DE">
              <w:rPr>
                <w:rFonts w:eastAsia="Calibri"/>
                <w:szCs w:val="24"/>
                <w:lang w:val="en-GB"/>
              </w:rPr>
              <w:t xml:space="preserve">The system </w:t>
            </w:r>
            <w:r>
              <w:rPr>
                <w:rFonts w:eastAsia="Calibri"/>
                <w:szCs w:val="24"/>
                <w:lang w:val="en-GB"/>
              </w:rPr>
              <w:t>must</w:t>
            </w:r>
            <w:r w:rsidRPr="001C68DE">
              <w:rPr>
                <w:rFonts w:eastAsia="Calibri"/>
                <w:szCs w:val="24"/>
                <w:lang w:val="en-GB"/>
              </w:rPr>
              <w:t xml:space="preserve"> support the creation of risk profiles that represent different risk categories or levels. Users should be able to define the characteristics, risk thresholds, and associated actions or controls for each profile.</w:t>
            </w:r>
          </w:p>
        </w:tc>
      </w:tr>
      <w:tr w:rsidR="004C3CE9" w:rsidRPr="007A60A6" w14:paraId="5C0DF874" w14:textId="77777777" w:rsidTr="001136D3">
        <w:tc>
          <w:tcPr>
            <w:tcW w:w="1075" w:type="dxa"/>
          </w:tcPr>
          <w:p w14:paraId="6E5744E8" w14:textId="77777777" w:rsidR="004C3CE9" w:rsidRPr="001C68DE" w:rsidRDefault="004C3CE9" w:rsidP="001136D3">
            <w:pPr>
              <w:spacing w:after="0"/>
              <w:rPr>
                <w:rFonts w:eastAsia="Calibri"/>
                <w:szCs w:val="24"/>
                <w:lang w:val="en-GB"/>
              </w:rPr>
            </w:pPr>
            <w:r w:rsidRPr="001C68DE">
              <w:rPr>
                <w:rFonts w:eastAsia="Calibri"/>
                <w:szCs w:val="24"/>
                <w:lang w:val="en-GB"/>
              </w:rPr>
              <w:t>FR50</w:t>
            </w:r>
            <w:r>
              <w:rPr>
                <w:rFonts w:eastAsia="Calibri"/>
                <w:szCs w:val="24"/>
                <w:lang w:val="en-GB"/>
              </w:rPr>
              <w:t>7</w:t>
            </w:r>
          </w:p>
        </w:tc>
        <w:tc>
          <w:tcPr>
            <w:tcW w:w="8280" w:type="dxa"/>
          </w:tcPr>
          <w:p w14:paraId="24FB6993" w14:textId="77777777" w:rsidR="004C3CE9" w:rsidRPr="00BA337A" w:rsidRDefault="004C3CE9" w:rsidP="001136D3">
            <w:pPr>
              <w:spacing w:after="0"/>
              <w:rPr>
                <w:rFonts w:eastAsia="Calibri"/>
                <w:szCs w:val="24"/>
              </w:rPr>
            </w:pPr>
            <w:r>
              <w:rPr>
                <w:rFonts w:eastAsia="Calibri"/>
                <w:szCs w:val="24"/>
              </w:rPr>
              <w:t>The RMC must support the obsolescence of the Risk profiles without being deleted and keeping the history for those profiles.</w:t>
            </w:r>
          </w:p>
        </w:tc>
      </w:tr>
      <w:tr w:rsidR="004C3CE9" w:rsidRPr="007A60A6" w14:paraId="45942581" w14:textId="77777777" w:rsidTr="001136D3">
        <w:tc>
          <w:tcPr>
            <w:tcW w:w="1075" w:type="dxa"/>
          </w:tcPr>
          <w:p w14:paraId="1F0161FE" w14:textId="77777777" w:rsidR="004C3CE9" w:rsidRPr="001C68DE" w:rsidRDefault="004C3CE9" w:rsidP="001136D3">
            <w:pPr>
              <w:spacing w:after="0"/>
              <w:rPr>
                <w:rFonts w:eastAsia="Calibri"/>
                <w:szCs w:val="24"/>
                <w:lang w:val="en-GB"/>
              </w:rPr>
            </w:pPr>
            <w:r w:rsidRPr="001C68DE">
              <w:rPr>
                <w:rFonts w:eastAsia="Calibri"/>
                <w:szCs w:val="24"/>
                <w:lang w:val="en-GB"/>
              </w:rPr>
              <w:t>FR50</w:t>
            </w:r>
            <w:r>
              <w:rPr>
                <w:rFonts w:eastAsia="Calibri"/>
                <w:szCs w:val="24"/>
                <w:lang w:val="en-GB"/>
              </w:rPr>
              <w:t>8</w:t>
            </w:r>
          </w:p>
        </w:tc>
        <w:tc>
          <w:tcPr>
            <w:tcW w:w="8280" w:type="dxa"/>
          </w:tcPr>
          <w:p w14:paraId="13191DAD" w14:textId="77777777" w:rsidR="004C3CE9" w:rsidRDefault="004C3CE9" w:rsidP="001136D3">
            <w:pPr>
              <w:spacing w:after="0"/>
              <w:rPr>
                <w:rFonts w:eastAsia="Calibri"/>
                <w:szCs w:val="24"/>
              </w:rPr>
            </w:pPr>
            <w:r>
              <w:rPr>
                <w:rFonts w:eastAsia="Calibri"/>
                <w:szCs w:val="24"/>
              </w:rPr>
              <w:t>The RMC must allow search of the risk profiles based on different criteria, including tagging.</w:t>
            </w:r>
          </w:p>
        </w:tc>
      </w:tr>
      <w:tr w:rsidR="004C3CE9" w:rsidRPr="007A60A6" w14:paraId="4838BB23" w14:textId="77777777" w:rsidTr="001136D3">
        <w:tc>
          <w:tcPr>
            <w:tcW w:w="1075" w:type="dxa"/>
          </w:tcPr>
          <w:p w14:paraId="5F6F8D6B" w14:textId="77777777" w:rsidR="004C3CE9" w:rsidRPr="001C68DE" w:rsidRDefault="004C3CE9" w:rsidP="001136D3">
            <w:pPr>
              <w:spacing w:after="0"/>
              <w:rPr>
                <w:rFonts w:eastAsia="Calibri"/>
                <w:szCs w:val="24"/>
                <w:lang w:val="en-GB"/>
              </w:rPr>
            </w:pPr>
            <w:r w:rsidRPr="00443A67">
              <w:rPr>
                <w:rFonts w:eastAsia="Calibri"/>
                <w:szCs w:val="24"/>
                <w:lang w:val="en-GB"/>
              </w:rPr>
              <w:t>FR50</w:t>
            </w:r>
            <w:r>
              <w:rPr>
                <w:rFonts w:eastAsia="Calibri"/>
                <w:szCs w:val="24"/>
                <w:lang w:val="en-GB"/>
              </w:rPr>
              <w:t>9</w:t>
            </w:r>
          </w:p>
        </w:tc>
        <w:tc>
          <w:tcPr>
            <w:tcW w:w="8280" w:type="dxa"/>
          </w:tcPr>
          <w:p w14:paraId="55912D9E" w14:textId="77777777" w:rsidR="004C3CE9" w:rsidRPr="00825E9C" w:rsidRDefault="004C3CE9" w:rsidP="001136D3">
            <w:pPr>
              <w:spacing w:after="0"/>
              <w:rPr>
                <w:iCs/>
                <w:lang w:val="en-GB"/>
              </w:rPr>
            </w:pPr>
            <w:bookmarkStart w:id="725" w:name="_Hlk57314272"/>
            <w:r w:rsidRPr="00825E9C">
              <w:rPr>
                <w:iCs/>
                <w:lang w:val="en-GB"/>
              </w:rPr>
              <w:t xml:space="preserve">The Solution </w:t>
            </w:r>
            <w:r>
              <w:rPr>
                <w:iCs/>
                <w:lang w:val="en-GB"/>
              </w:rPr>
              <w:t>must</w:t>
            </w:r>
            <w:r w:rsidRPr="00825E9C">
              <w:rPr>
                <w:iCs/>
                <w:lang w:val="en-GB"/>
              </w:rPr>
              <w:t xml:space="preserve"> keep an audit trail of all data changes, such as, but not limited to: </w:t>
            </w:r>
          </w:p>
          <w:p w14:paraId="3D8FE7E1" w14:textId="77777777" w:rsidR="004C3CE9" w:rsidRPr="00F76EFE" w:rsidRDefault="004C3CE9" w:rsidP="00D530D5">
            <w:pPr>
              <w:numPr>
                <w:ilvl w:val="0"/>
                <w:numId w:val="161"/>
              </w:numPr>
              <w:spacing w:after="0"/>
            </w:pPr>
            <w:r w:rsidRPr="00F76EFE">
              <w:t>What data was affected?</w:t>
            </w:r>
          </w:p>
          <w:p w14:paraId="54BF88A4" w14:textId="77777777" w:rsidR="004C3CE9" w:rsidRPr="00825E9C" w:rsidRDefault="004C3CE9" w:rsidP="00D530D5">
            <w:pPr>
              <w:numPr>
                <w:ilvl w:val="0"/>
                <w:numId w:val="161"/>
              </w:numPr>
              <w:spacing w:after="0"/>
              <w:rPr>
                <w:lang w:val="en-GB"/>
              </w:rPr>
            </w:pPr>
            <w:r w:rsidRPr="00825E9C">
              <w:rPr>
                <w:lang w:val="en-GB"/>
              </w:rPr>
              <w:t xml:space="preserve">The kind of change (creation, </w:t>
            </w:r>
            <w:proofErr w:type="gramStart"/>
            <w:r w:rsidRPr="00825E9C">
              <w:rPr>
                <w:lang w:val="en-GB"/>
              </w:rPr>
              <w:t>update</w:t>
            </w:r>
            <w:proofErr w:type="gramEnd"/>
            <w:r w:rsidRPr="00825E9C">
              <w:rPr>
                <w:lang w:val="en-GB"/>
              </w:rPr>
              <w:t xml:space="preserve"> or deletion)</w:t>
            </w:r>
          </w:p>
          <w:p w14:paraId="52E9D69D" w14:textId="77777777" w:rsidR="004C3CE9" w:rsidRDefault="004C3CE9" w:rsidP="00D530D5">
            <w:pPr>
              <w:numPr>
                <w:ilvl w:val="0"/>
                <w:numId w:val="161"/>
              </w:numPr>
              <w:spacing w:after="0"/>
            </w:pPr>
            <w:r w:rsidRPr="00F76EFE">
              <w:t>Who applied the change?</w:t>
            </w:r>
          </w:p>
          <w:p w14:paraId="6FDB3979" w14:textId="77777777" w:rsidR="004C3CE9" w:rsidRPr="00536D86" w:rsidRDefault="004C3CE9" w:rsidP="00D530D5">
            <w:pPr>
              <w:numPr>
                <w:ilvl w:val="0"/>
                <w:numId w:val="161"/>
              </w:numPr>
              <w:spacing w:after="0"/>
            </w:pPr>
            <w:r w:rsidRPr="00536D86">
              <w:rPr>
                <w:lang w:val="en-GB"/>
              </w:rPr>
              <w:t>When was the change applied?</w:t>
            </w:r>
            <w:bookmarkEnd w:id="725"/>
          </w:p>
        </w:tc>
      </w:tr>
      <w:tr w:rsidR="004C3CE9" w:rsidRPr="007A60A6" w14:paraId="06F5B576" w14:textId="77777777" w:rsidTr="001136D3">
        <w:tc>
          <w:tcPr>
            <w:tcW w:w="1075" w:type="dxa"/>
          </w:tcPr>
          <w:p w14:paraId="43700202" w14:textId="77777777" w:rsidR="004C3CE9" w:rsidRPr="001C68DE" w:rsidRDefault="004C3CE9" w:rsidP="001136D3">
            <w:pPr>
              <w:spacing w:after="0"/>
              <w:rPr>
                <w:rFonts w:eastAsia="Calibri"/>
                <w:szCs w:val="24"/>
                <w:lang w:val="en-GB"/>
              </w:rPr>
            </w:pPr>
            <w:r w:rsidRPr="00443A67">
              <w:rPr>
                <w:rFonts w:eastAsia="Calibri"/>
                <w:szCs w:val="24"/>
                <w:lang w:val="en-GB"/>
              </w:rPr>
              <w:t>FR5</w:t>
            </w:r>
            <w:r>
              <w:rPr>
                <w:rFonts w:eastAsia="Calibri"/>
                <w:szCs w:val="24"/>
                <w:lang w:val="en-GB"/>
              </w:rPr>
              <w:t>10</w:t>
            </w:r>
          </w:p>
        </w:tc>
        <w:tc>
          <w:tcPr>
            <w:tcW w:w="8280" w:type="dxa"/>
          </w:tcPr>
          <w:p w14:paraId="3B09EDD4" w14:textId="77777777" w:rsidR="004C3CE9" w:rsidRDefault="004C3CE9" w:rsidP="001136D3">
            <w:pPr>
              <w:spacing w:after="0"/>
              <w:rPr>
                <w:rFonts w:eastAsia="Calibri"/>
                <w:szCs w:val="24"/>
                <w:lang w:val="en-GB"/>
              </w:rPr>
            </w:pPr>
            <w:r w:rsidRPr="00825E9C">
              <w:rPr>
                <w:lang w:val="en-GB"/>
              </w:rPr>
              <w:t>The Solution must support configuration of roles and user rights to all functionality in the Solution based on a CRUD approach, i.e. one user can read Risk Profile but not update them, whereas another user can do both.</w:t>
            </w:r>
          </w:p>
        </w:tc>
      </w:tr>
      <w:tr w:rsidR="004C3CE9" w:rsidRPr="007A60A6" w14:paraId="5493E463" w14:textId="77777777" w:rsidTr="001136D3">
        <w:tc>
          <w:tcPr>
            <w:tcW w:w="1075" w:type="dxa"/>
          </w:tcPr>
          <w:p w14:paraId="1B3F225F" w14:textId="77777777" w:rsidR="004C3CE9" w:rsidRPr="001C68DE" w:rsidRDefault="004C3CE9" w:rsidP="001136D3">
            <w:pPr>
              <w:spacing w:after="0"/>
              <w:rPr>
                <w:rFonts w:eastAsia="Calibri"/>
                <w:szCs w:val="24"/>
                <w:lang w:val="en-GB"/>
              </w:rPr>
            </w:pPr>
            <w:r w:rsidRPr="00443A67">
              <w:rPr>
                <w:rFonts w:eastAsia="Calibri"/>
                <w:szCs w:val="24"/>
                <w:lang w:val="en-GB"/>
              </w:rPr>
              <w:t>FR5</w:t>
            </w:r>
            <w:r>
              <w:rPr>
                <w:rFonts w:eastAsia="Calibri"/>
                <w:szCs w:val="24"/>
                <w:lang w:val="en-GB"/>
              </w:rPr>
              <w:t>11</w:t>
            </w:r>
          </w:p>
        </w:tc>
        <w:tc>
          <w:tcPr>
            <w:tcW w:w="8280" w:type="dxa"/>
          </w:tcPr>
          <w:p w14:paraId="60165A52" w14:textId="77777777" w:rsidR="004C3CE9" w:rsidRDefault="004C3CE9" w:rsidP="001136D3">
            <w:pPr>
              <w:spacing w:after="0"/>
              <w:rPr>
                <w:rFonts w:eastAsia="Calibri"/>
                <w:szCs w:val="24"/>
                <w:lang w:val="en-GB"/>
              </w:rPr>
            </w:pPr>
            <w:r>
              <w:rPr>
                <w:rFonts w:eastAsia="Calibri"/>
                <w:szCs w:val="24"/>
                <w:lang w:val="en-GB"/>
              </w:rPr>
              <w:t xml:space="preserve">The RMC must provide functionality to copy risk profiles and paste them, allowing changes afterwards. </w:t>
            </w:r>
          </w:p>
        </w:tc>
      </w:tr>
      <w:tr w:rsidR="004C3CE9" w:rsidRPr="007A60A6" w14:paraId="2562E7B1" w14:textId="77777777" w:rsidTr="001136D3">
        <w:tc>
          <w:tcPr>
            <w:tcW w:w="1075" w:type="dxa"/>
          </w:tcPr>
          <w:p w14:paraId="48AD99AF" w14:textId="77777777" w:rsidR="004C3CE9" w:rsidRPr="001C68DE" w:rsidRDefault="004C3CE9" w:rsidP="001136D3">
            <w:pPr>
              <w:spacing w:after="0"/>
              <w:rPr>
                <w:rFonts w:eastAsia="Calibri"/>
                <w:szCs w:val="24"/>
                <w:lang w:val="en-GB"/>
              </w:rPr>
            </w:pPr>
            <w:r w:rsidRPr="00443A67">
              <w:rPr>
                <w:rFonts w:eastAsia="Calibri"/>
                <w:szCs w:val="24"/>
                <w:lang w:val="en-GB"/>
              </w:rPr>
              <w:t>FR5</w:t>
            </w:r>
            <w:r>
              <w:rPr>
                <w:rFonts w:eastAsia="Calibri"/>
                <w:szCs w:val="24"/>
                <w:lang w:val="en-GB"/>
              </w:rPr>
              <w:t>12</w:t>
            </w:r>
          </w:p>
        </w:tc>
        <w:tc>
          <w:tcPr>
            <w:tcW w:w="8280" w:type="dxa"/>
          </w:tcPr>
          <w:p w14:paraId="46EDA1BF" w14:textId="77777777" w:rsidR="004C3CE9" w:rsidRDefault="004C3CE9" w:rsidP="001136D3">
            <w:pPr>
              <w:spacing w:after="0"/>
              <w:rPr>
                <w:rFonts w:eastAsia="Calibri"/>
                <w:szCs w:val="24"/>
                <w:lang w:val="en-GB"/>
              </w:rPr>
            </w:pPr>
            <w:r>
              <w:rPr>
                <w:rFonts w:eastAsia="Calibri"/>
                <w:szCs w:val="24"/>
                <w:lang w:val="en-GB"/>
              </w:rPr>
              <w:t>The RMC must allow generation of report about the risk profiles, whereas the similarities could be easily identified.</w:t>
            </w:r>
          </w:p>
        </w:tc>
      </w:tr>
      <w:tr w:rsidR="004C3CE9" w:rsidRPr="007A60A6" w14:paraId="0B729366" w14:textId="77777777" w:rsidTr="001136D3">
        <w:tc>
          <w:tcPr>
            <w:tcW w:w="1075" w:type="dxa"/>
          </w:tcPr>
          <w:p w14:paraId="5E5F39D4" w14:textId="77777777" w:rsidR="004C3CE9" w:rsidRPr="00443A67" w:rsidRDefault="004C3CE9" w:rsidP="001136D3">
            <w:pPr>
              <w:spacing w:after="0"/>
              <w:rPr>
                <w:rFonts w:eastAsia="Calibri"/>
                <w:szCs w:val="24"/>
                <w:lang w:val="en-GB"/>
              </w:rPr>
            </w:pPr>
            <w:r>
              <w:rPr>
                <w:rFonts w:eastAsia="Calibri"/>
                <w:szCs w:val="24"/>
                <w:lang w:val="en-GB"/>
              </w:rPr>
              <w:t>FR513</w:t>
            </w:r>
          </w:p>
        </w:tc>
        <w:tc>
          <w:tcPr>
            <w:tcW w:w="8280" w:type="dxa"/>
          </w:tcPr>
          <w:p w14:paraId="063A73A1" w14:textId="26029727" w:rsidR="004C3CE9" w:rsidRDefault="004C3CE9" w:rsidP="001136D3">
            <w:pPr>
              <w:spacing w:after="0"/>
              <w:rPr>
                <w:rFonts w:eastAsia="Calibri"/>
                <w:szCs w:val="24"/>
                <w:lang w:val="en-GB"/>
              </w:rPr>
            </w:pPr>
            <w:r w:rsidRPr="00825E9C">
              <w:rPr>
                <w:lang w:val="en-GB"/>
              </w:rPr>
              <w:t xml:space="preserve">The Solution </w:t>
            </w:r>
            <w:r>
              <w:rPr>
                <w:lang w:val="en-GB"/>
              </w:rPr>
              <w:t>must</w:t>
            </w:r>
            <w:r w:rsidR="00660624">
              <w:rPr>
                <w:lang w:val="en-GB"/>
              </w:rPr>
              <w:t xml:space="preserve"> ensure that </w:t>
            </w:r>
            <w:r>
              <w:rPr>
                <w:lang w:val="en-GB"/>
              </w:rPr>
              <w:t>the status of the Risk profile</w:t>
            </w:r>
            <w:r w:rsidRPr="00825E9C">
              <w:rPr>
                <w:lang w:val="en-GB"/>
              </w:rPr>
              <w:t xml:space="preserve"> can </w:t>
            </w:r>
            <w:r>
              <w:rPr>
                <w:lang w:val="en-GB"/>
              </w:rPr>
              <w:t xml:space="preserve">be </w:t>
            </w:r>
            <w:r w:rsidRPr="00825E9C">
              <w:rPr>
                <w:lang w:val="en-GB"/>
              </w:rPr>
              <w:t>change</w:t>
            </w:r>
            <w:r>
              <w:rPr>
                <w:lang w:val="en-GB"/>
              </w:rPr>
              <w:t>d</w:t>
            </w:r>
            <w:r w:rsidRPr="00825E9C">
              <w:rPr>
                <w:lang w:val="en-GB"/>
              </w:rPr>
              <w:t xml:space="preserve"> from closed to open</w:t>
            </w:r>
            <w:r w:rsidRPr="001B604B">
              <w:t xml:space="preserve"> and vice versa</w:t>
            </w:r>
            <w:r w:rsidRPr="00825E9C">
              <w:rPr>
                <w:lang w:val="en-GB"/>
              </w:rPr>
              <w:t>.</w:t>
            </w:r>
          </w:p>
        </w:tc>
      </w:tr>
    </w:tbl>
    <w:p w14:paraId="5EB9CCD9" w14:textId="77777777" w:rsidR="004C3CE9" w:rsidRDefault="004C3CE9" w:rsidP="004C3CE9">
      <w:pPr>
        <w:pStyle w:val="ListParagraph"/>
        <w:ind w:left="2232"/>
      </w:pPr>
    </w:p>
    <w:p w14:paraId="1ACC6A20" w14:textId="7099D2C4" w:rsidR="004C3CE9" w:rsidRPr="002523D3" w:rsidRDefault="00572CFF" w:rsidP="004C3CE9">
      <w:pPr>
        <w:rPr>
          <w:b/>
          <w:i/>
        </w:rPr>
      </w:pPr>
      <w:r>
        <w:rPr>
          <w:b/>
          <w:i/>
        </w:rPr>
        <w:t>1.2.13.7.</w:t>
      </w:r>
      <w:r w:rsidR="002F095B">
        <w:rPr>
          <w:b/>
          <w:i/>
        </w:rPr>
        <w:t xml:space="preserve"> </w:t>
      </w:r>
      <w:r w:rsidR="004C3CE9">
        <w:rPr>
          <w:b/>
          <w:i/>
        </w:rPr>
        <w:t xml:space="preserve">Process: </w:t>
      </w:r>
      <w:r w:rsidR="004C3CE9" w:rsidRPr="002523D3">
        <w:rPr>
          <w:b/>
          <w:i/>
        </w:rPr>
        <w:t>Maintain Risk Scoring model</w:t>
      </w:r>
    </w:p>
    <w:p w14:paraId="157CC34F" w14:textId="77777777" w:rsidR="004C3CE9" w:rsidRDefault="004C3CE9" w:rsidP="004C3CE9">
      <w:pPr>
        <w:rPr>
          <w:b/>
          <w:i/>
        </w:rPr>
      </w:pPr>
      <w:r w:rsidRPr="007F0495">
        <w:rPr>
          <w:b/>
          <w:i/>
          <w:noProof/>
        </w:rPr>
        <w:drawing>
          <wp:inline distT="0" distB="0" distL="0" distR="0" wp14:anchorId="09689037" wp14:editId="0B7150BF">
            <wp:extent cx="5943600" cy="1374775"/>
            <wp:effectExtent l="0" t="0" r="0" b="0"/>
            <wp:docPr id="1408723446" name="Picture 140872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1374775"/>
                    </a:xfrm>
                    <a:prstGeom prst="rect">
                      <a:avLst/>
                    </a:prstGeom>
                    <a:noFill/>
                    <a:ln>
                      <a:noFill/>
                    </a:ln>
                  </pic:spPr>
                </pic:pic>
              </a:graphicData>
            </a:graphic>
          </wp:inline>
        </w:drawing>
      </w:r>
    </w:p>
    <w:p w14:paraId="12A49D04" w14:textId="01133D68" w:rsidR="00572CFF" w:rsidRDefault="00572CFF" w:rsidP="005E6A97">
      <w:pPr>
        <w:rPr>
          <w:i/>
          <w:szCs w:val="24"/>
        </w:rPr>
      </w:pPr>
      <w:r>
        <w:rPr>
          <w:i/>
          <w:szCs w:val="24"/>
        </w:rPr>
        <w:object w:dxaOrig="1543" w:dyaOrig="995" w14:anchorId="5A2761C6">
          <v:shape id="_x0000_i1042" type="#_x0000_t75" style="width:79pt;height:50.5pt" o:ole="">
            <v:imagedata r:id="rId126" o:title=""/>
          </v:shape>
          <o:OLEObject Type="Embed" ProgID="Package" ShapeID="_x0000_i1042" DrawAspect="Icon" ObjectID="_1777888275" r:id="rId127"/>
        </w:object>
      </w:r>
    </w:p>
    <w:p w14:paraId="0BCE79DB" w14:textId="7F8DF0E0" w:rsidR="004C3CE9" w:rsidRDefault="004C3CE9" w:rsidP="004C3CE9">
      <w:pPr>
        <w:jc w:val="center"/>
        <w:rPr>
          <w:i/>
          <w:szCs w:val="24"/>
        </w:rPr>
      </w:pPr>
      <w:r w:rsidRPr="00193BF0">
        <w:rPr>
          <w:i/>
          <w:szCs w:val="24"/>
        </w:rPr>
        <w:t>Figure</w:t>
      </w:r>
      <w:r>
        <w:rPr>
          <w:i/>
          <w:szCs w:val="24"/>
        </w:rPr>
        <w:t xml:space="preserve"> 2</w:t>
      </w:r>
      <w:r w:rsidR="002F095B">
        <w:rPr>
          <w:i/>
          <w:szCs w:val="24"/>
        </w:rPr>
        <w:t>2</w:t>
      </w:r>
      <w:r>
        <w:rPr>
          <w:i/>
          <w:szCs w:val="24"/>
        </w:rPr>
        <w:t xml:space="preserve">: </w:t>
      </w:r>
      <w:r w:rsidRPr="00193BF0">
        <w:rPr>
          <w:i/>
          <w:szCs w:val="24"/>
        </w:rPr>
        <w:t xml:space="preserve">BPMN Process </w:t>
      </w:r>
      <w:r>
        <w:rPr>
          <w:i/>
          <w:szCs w:val="24"/>
        </w:rPr>
        <w:t>Diagram -</w:t>
      </w:r>
      <w:r w:rsidRPr="00193BF0">
        <w:rPr>
          <w:i/>
          <w:szCs w:val="24"/>
        </w:rPr>
        <w:t xml:space="preserve"> </w:t>
      </w:r>
      <w:r w:rsidRPr="005E6A97">
        <w:rPr>
          <w:i/>
        </w:rPr>
        <w:t xml:space="preserve">Maintain Risk Scoring </w:t>
      </w:r>
      <w:proofErr w:type="gramStart"/>
      <w:r w:rsidRPr="005E6A97">
        <w:rPr>
          <w:i/>
        </w:rPr>
        <w:t>model</w:t>
      </w:r>
      <w:proofErr w:type="gramEnd"/>
    </w:p>
    <w:p w14:paraId="6E5D6212" w14:textId="3EA98A4C" w:rsidR="004C3CE9" w:rsidRPr="005E6A97" w:rsidRDefault="002C6582" w:rsidP="004C3CE9">
      <w:pPr>
        <w:rPr>
          <w:b/>
        </w:rPr>
      </w:pPr>
      <w:r w:rsidRPr="005E6A97">
        <w:rPr>
          <w:b/>
        </w:rPr>
        <w:t>Process steps:</w:t>
      </w:r>
    </w:p>
    <w:tbl>
      <w:tblPr>
        <w:tblStyle w:val="TableGrid"/>
        <w:tblW w:w="9355" w:type="dxa"/>
        <w:tblLook w:val="04A0" w:firstRow="1" w:lastRow="0" w:firstColumn="1" w:lastColumn="0" w:noHBand="0" w:noVBand="1"/>
      </w:tblPr>
      <w:tblGrid>
        <w:gridCol w:w="1165"/>
        <w:gridCol w:w="2880"/>
        <w:gridCol w:w="5310"/>
      </w:tblGrid>
      <w:tr w:rsidR="002C6582" w:rsidRPr="001C68DE" w14:paraId="09EF17E2" w14:textId="77777777" w:rsidTr="00716E94">
        <w:trPr>
          <w:tblHeader/>
        </w:trPr>
        <w:tc>
          <w:tcPr>
            <w:tcW w:w="1165" w:type="dxa"/>
            <w:shd w:val="clear" w:color="auto" w:fill="D9D9D9" w:themeFill="background1" w:themeFillShade="D9"/>
          </w:tcPr>
          <w:p w14:paraId="3A262A95" w14:textId="77777777" w:rsidR="002C6582" w:rsidRPr="001C68DE" w:rsidRDefault="002C6582" w:rsidP="001136D3">
            <w:pPr>
              <w:spacing w:after="0"/>
              <w:rPr>
                <w:rFonts w:eastAsia="Calibri"/>
                <w:b/>
                <w:szCs w:val="24"/>
                <w:lang w:val="en-GB"/>
              </w:rPr>
            </w:pPr>
            <w:r w:rsidRPr="001C68DE">
              <w:rPr>
                <w:rFonts w:eastAsia="Calibri"/>
                <w:b/>
                <w:szCs w:val="24"/>
                <w:lang w:val="en-GB"/>
              </w:rPr>
              <w:t>Step</w:t>
            </w:r>
            <w:r>
              <w:rPr>
                <w:rFonts w:eastAsia="Calibri"/>
                <w:b/>
                <w:szCs w:val="24"/>
                <w:lang w:val="en-GB"/>
              </w:rPr>
              <w:t xml:space="preserve"> ID</w:t>
            </w:r>
          </w:p>
        </w:tc>
        <w:tc>
          <w:tcPr>
            <w:tcW w:w="2880" w:type="dxa"/>
            <w:shd w:val="clear" w:color="auto" w:fill="D9D9D9" w:themeFill="background1" w:themeFillShade="D9"/>
          </w:tcPr>
          <w:p w14:paraId="653C774F" w14:textId="77777777" w:rsidR="002C6582" w:rsidRPr="001C68DE" w:rsidRDefault="002C6582" w:rsidP="001136D3">
            <w:pPr>
              <w:spacing w:after="0"/>
              <w:rPr>
                <w:rFonts w:eastAsia="Calibri"/>
                <w:b/>
                <w:szCs w:val="24"/>
                <w:lang w:val="en-GB"/>
              </w:rPr>
            </w:pPr>
            <w:r w:rsidRPr="001C68DE">
              <w:rPr>
                <w:rFonts w:eastAsia="Calibri"/>
                <w:b/>
                <w:szCs w:val="24"/>
                <w:lang w:val="en-GB"/>
              </w:rPr>
              <w:t>Name</w:t>
            </w:r>
          </w:p>
        </w:tc>
        <w:tc>
          <w:tcPr>
            <w:tcW w:w="5310" w:type="dxa"/>
            <w:shd w:val="clear" w:color="auto" w:fill="D9D9D9" w:themeFill="background1" w:themeFillShade="D9"/>
          </w:tcPr>
          <w:p w14:paraId="5BBA0217" w14:textId="77777777" w:rsidR="002C6582" w:rsidRPr="001C68DE" w:rsidRDefault="002C6582" w:rsidP="001136D3">
            <w:pPr>
              <w:spacing w:after="0"/>
              <w:rPr>
                <w:rFonts w:eastAsia="Calibri"/>
                <w:b/>
                <w:szCs w:val="24"/>
                <w:lang w:val="en-GB"/>
              </w:rPr>
            </w:pPr>
            <w:r w:rsidRPr="001C68DE">
              <w:rPr>
                <w:rFonts w:eastAsia="Calibri"/>
                <w:b/>
                <w:szCs w:val="24"/>
                <w:lang w:val="en-GB"/>
              </w:rPr>
              <w:t>Description</w:t>
            </w:r>
          </w:p>
        </w:tc>
      </w:tr>
      <w:tr w:rsidR="002C6582" w:rsidRPr="001C68DE" w14:paraId="137D069B" w14:textId="77777777" w:rsidTr="00716E94">
        <w:tc>
          <w:tcPr>
            <w:tcW w:w="1165" w:type="dxa"/>
          </w:tcPr>
          <w:p w14:paraId="3473DF51" w14:textId="77777777" w:rsidR="002C6582" w:rsidRPr="001C68DE" w:rsidRDefault="002C6582" w:rsidP="001136D3">
            <w:pPr>
              <w:spacing w:after="0"/>
              <w:rPr>
                <w:rFonts w:eastAsia="Calibri"/>
                <w:szCs w:val="24"/>
                <w:lang w:val="en-GB"/>
              </w:rPr>
            </w:pPr>
            <w:r>
              <w:rPr>
                <w:rFonts w:eastAsia="Calibri"/>
                <w:szCs w:val="24"/>
                <w:lang w:val="en-GB"/>
              </w:rPr>
              <w:t>User Task</w:t>
            </w:r>
          </w:p>
        </w:tc>
        <w:tc>
          <w:tcPr>
            <w:tcW w:w="2880" w:type="dxa"/>
          </w:tcPr>
          <w:p w14:paraId="5C4AF254" w14:textId="77777777" w:rsidR="002C6582" w:rsidRPr="001C68DE" w:rsidRDefault="002C6582" w:rsidP="001136D3">
            <w:pPr>
              <w:spacing w:after="0"/>
              <w:rPr>
                <w:rFonts w:eastAsia="Calibri"/>
                <w:szCs w:val="24"/>
                <w:lang w:val="en-GB"/>
              </w:rPr>
            </w:pPr>
            <w:r w:rsidRPr="00C878B2">
              <w:rPr>
                <w:rFonts w:eastAsia="Calibri"/>
                <w:szCs w:val="24"/>
                <w:lang w:val="en-GB"/>
              </w:rPr>
              <w:t>Determine Risk Category</w:t>
            </w:r>
          </w:p>
        </w:tc>
        <w:tc>
          <w:tcPr>
            <w:tcW w:w="5310" w:type="dxa"/>
          </w:tcPr>
          <w:p w14:paraId="423F5A6E" w14:textId="77777777" w:rsidR="002C6582" w:rsidRPr="001C68DE" w:rsidRDefault="002C6582" w:rsidP="001136D3">
            <w:pPr>
              <w:spacing w:after="0"/>
              <w:rPr>
                <w:rFonts w:eastAsia="Calibri"/>
                <w:szCs w:val="24"/>
                <w:lang w:val="en-GB"/>
              </w:rPr>
            </w:pPr>
            <w:r w:rsidRPr="00A61EFD">
              <w:rPr>
                <w:rFonts w:eastAsia="Calibri"/>
                <w:szCs w:val="24"/>
                <w:lang w:val="en-GB"/>
              </w:rPr>
              <w:t>Risk categorization is a process of classifying risks into distinct categories based on their characteristics and attributes. It involves the identification and grouping of risks according to common characteristics such as the nature of the risk, its potential impact, or the likelihood of its occurrence. Risk categorization provides a structured approach for understanding and managing risks by organizing them into meaningful groups.</w:t>
            </w:r>
          </w:p>
        </w:tc>
      </w:tr>
      <w:tr w:rsidR="002C6582" w:rsidRPr="001C68DE" w14:paraId="059DB229" w14:textId="77777777" w:rsidTr="00716E94">
        <w:tc>
          <w:tcPr>
            <w:tcW w:w="1165" w:type="dxa"/>
          </w:tcPr>
          <w:p w14:paraId="3E731737" w14:textId="77777777" w:rsidR="002C6582" w:rsidRPr="001C68DE" w:rsidRDefault="002C6582" w:rsidP="001136D3">
            <w:pPr>
              <w:spacing w:after="0"/>
              <w:rPr>
                <w:rFonts w:eastAsia="Calibri"/>
                <w:szCs w:val="24"/>
                <w:lang w:val="en-GB"/>
              </w:rPr>
            </w:pPr>
            <w:r w:rsidRPr="00A61EFD">
              <w:rPr>
                <w:rFonts w:eastAsia="Calibri"/>
                <w:szCs w:val="24"/>
                <w:lang w:val="en-GB"/>
              </w:rPr>
              <w:t>User Task</w:t>
            </w:r>
          </w:p>
        </w:tc>
        <w:tc>
          <w:tcPr>
            <w:tcW w:w="2880" w:type="dxa"/>
          </w:tcPr>
          <w:p w14:paraId="604E6794" w14:textId="77777777" w:rsidR="002C6582" w:rsidRPr="001C68DE" w:rsidRDefault="002C6582" w:rsidP="001136D3">
            <w:pPr>
              <w:spacing w:after="0"/>
              <w:rPr>
                <w:rFonts w:eastAsia="Calibri"/>
                <w:szCs w:val="24"/>
                <w:lang w:val="en-GB"/>
              </w:rPr>
            </w:pPr>
            <w:r w:rsidRPr="00A61EFD">
              <w:rPr>
                <w:rFonts w:eastAsia="Calibri"/>
                <w:szCs w:val="24"/>
                <w:lang w:val="en-GB"/>
              </w:rPr>
              <w:t>Determine Start Value</w:t>
            </w:r>
          </w:p>
        </w:tc>
        <w:tc>
          <w:tcPr>
            <w:tcW w:w="5310" w:type="dxa"/>
          </w:tcPr>
          <w:p w14:paraId="3AE8875C" w14:textId="77777777" w:rsidR="002C6582" w:rsidRPr="00F860E2" w:rsidRDefault="002C6582" w:rsidP="001136D3">
            <w:pPr>
              <w:spacing w:after="0"/>
              <w:rPr>
                <w:rFonts w:eastAsia="Calibri"/>
                <w:szCs w:val="24"/>
              </w:rPr>
            </w:pPr>
            <w:r w:rsidRPr="00A61EFD">
              <w:rPr>
                <w:rFonts w:eastAsia="Calibri"/>
                <w:szCs w:val="24"/>
              </w:rPr>
              <w:t>Determining the start value involves establishing an initial or baseline value for a specific variable or factor within a risk assessment or scoring model. The start value serves as the starting point or reference point from which further calculations or adjustments are made during the risk assessment process.</w:t>
            </w:r>
          </w:p>
        </w:tc>
      </w:tr>
      <w:tr w:rsidR="002C6582" w:rsidRPr="001C68DE" w14:paraId="31B84796" w14:textId="77777777" w:rsidTr="00716E94">
        <w:tc>
          <w:tcPr>
            <w:tcW w:w="1165" w:type="dxa"/>
          </w:tcPr>
          <w:p w14:paraId="0DC88B4A" w14:textId="77777777" w:rsidR="002C6582" w:rsidRPr="008F2501" w:rsidRDefault="002C6582" w:rsidP="001136D3">
            <w:pPr>
              <w:spacing w:after="0"/>
              <w:rPr>
                <w:rFonts w:eastAsia="Calibri"/>
                <w:szCs w:val="24"/>
                <w:lang w:val="en-GB"/>
              </w:rPr>
            </w:pPr>
            <w:r w:rsidRPr="00A61EFD">
              <w:rPr>
                <w:rFonts w:eastAsia="Calibri"/>
                <w:szCs w:val="24"/>
                <w:lang w:val="en-GB"/>
              </w:rPr>
              <w:t>User Task</w:t>
            </w:r>
          </w:p>
        </w:tc>
        <w:tc>
          <w:tcPr>
            <w:tcW w:w="2880" w:type="dxa"/>
          </w:tcPr>
          <w:p w14:paraId="619458CB" w14:textId="77777777" w:rsidR="002C6582" w:rsidRPr="008F2501" w:rsidRDefault="002C6582" w:rsidP="001136D3">
            <w:pPr>
              <w:spacing w:after="0"/>
              <w:rPr>
                <w:rFonts w:eastAsia="Calibri"/>
                <w:szCs w:val="24"/>
                <w:lang w:val="en-GB"/>
              </w:rPr>
            </w:pPr>
            <w:r w:rsidRPr="00A61EFD">
              <w:rPr>
                <w:rFonts w:eastAsia="Calibri"/>
                <w:szCs w:val="24"/>
                <w:lang w:val="en-GB"/>
              </w:rPr>
              <w:t xml:space="preserve">Define the colour </w:t>
            </w:r>
            <w:proofErr w:type="spellStart"/>
            <w:r w:rsidRPr="00A61EFD">
              <w:rPr>
                <w:rFonts w:eastAsia="Calibri"/>
                <w:szCs w:val="24"/>
                <w:lang w:val="en-GB"/>
              </w:rPr>
              <w:t>pallete</w:t>
            </w:r>
            <w:proofErr w:type="spellEnd"/>
          </w:p>
        </w:tc>
        <w:tc>
          <w:tcPr>
            <w:tcW w:w="5310" w:type="dxa"/>
          </w:tcPr>
          <w:p w14:paraId="131F4575" w14:textId="77777777" w:rsidR="002C6582" w:rsidRPr="005144C9" w:rsidRDefault="002C6582" w:rsidP="001136D3">
            <w:pPr>
              <w:spacing w:after="0"/>
              <w:rPr>
                <w:rFonts w:eastAsia="Calibri"/>
                <w:szCs w:val="24"/>
                <w:lang w:val="en-GB"/>
              </w:rPr>
            </w:pPr>
            <w:r w:rsidRPr="002F78C7">
              <w:rPr>
                <w:rFonts w:eastAsia="Calibri"/>
                <w:szCs w:val="24"/>
                <w:lang w:val="en-GB"/>
              </w:rPr>
              <w:t xml:space="preserve">Defining a </w:t>
            </w:r>
            <w:proofErr w:type="spellStart"/>
            <w:r w:rsidRPr="002F78C7">
              <w:rPr>
                <w:rFonts w:eastAsia="Calibri"/>
                <w:szCs w:val="24"/>
                <w:lang w:val="en-GB"/>
              </w:rPr>
              <w:t>colo</w:t>
            </w:r>
            <w:proofErr w:type="spellEnd"/>
            <w:r>
              <w:rPr>
                <w:rFonts w:eastAsia="Calibri"/>
                <w:szCs w:val="24"/>
              </w:rPr>
              <w:t>u</w:t>
            </w:r>
            <w:r w:rsidRPr="002F78C7">
              <w:rPr>
                <w:rFonts w:eastAsia="Calibri"/>
                <w:szCs w:val="24"/>
                <w:lang w:val="en-GB"/>
              </w:rPr>
              <w:t>r palette is essential for visually representing and distinguishing different levels of risk. Each colo</w:t>
            </w:r>
            <w:r>
              <w:rPr>
                <w:rFonts w:eastAsia="Calibri"/>
                <w:szCs w:val="24"/>
                <w:lang w:val="en-GB"/>
              </w:rPr>
              <w:t>u</w:t>
            </w:r>
            <w:r w:rsidRPr="002F78C7">
              <w:rPr>
                <w:rFonts w:eastAsia="Calibri"/>
                <w:szCs w:val="24"/>
                <w:lang w:val="en-GB"/>
              </w:rPr>
              <w:t>r within the palette should correspond to a specific risk level, making it easy for users to identify and understand the relative severity of risks.</w:t>
            </w:r>
          </w:p>
        </w:tc>
      </w:tr>
      <w:tr w:rsidR="002C6582" w:rsidRPr="001C68DE" w14:paraId="2667920D" w14:textId="77777777" w:rsidTr="00716E94">
        <w:tc>
          <w:tcPr>
            <w:tcW w:w="1165" w:type="dxa"/>
          </w:tcPr>
          <w:p w14:paraId="059F142C" w14:textId="77777777" w:rsidR="002C6582" w:rsidRPr="001C68DE" w:rsidRDefault="002C6582" w:rsidP="001136D3">
            <w:pPr>
              <w:spacing w:after="0"/>
              <w:rPr>
                <w:rFonts w:eastAsia="Calibri"/>
                <w:szCs w:val="24"/>
                <w:lang w:val="en-GB"/>
              </w:rPr>
            </w:pPr>
            <w:r w:rsidRPr="00A61EFD">
              <w:rPr>
                <w:rFonts w:eastAsia="Calibri"/>
                <w:szCs w:val="24"/>
                <w:lang w:val="en-GB"/>
              </w:rPr>
              <w:t>User Task</w:t>
            </w:r>
          </w:p>
        </w:tc>
        <w:tc>
          <w:tcPr>
            <w:tcW w:w="2880" w:type="dxa"/>
          </w:tcPr>
          <w:p w14:paraId="42D584D2" w14:textId="77777777" w:rsidR="002C6582" w:rsidRPr="001C68DE" w:rsidRDefault="002C6582" w:rsidP="001136D3">
            <w:pPr>
              <w:spacing w:after="0"/>
              <w:rPr>
                <w:rFonts w:eastAsia="Calibri"/>
                <w:szCs w:val="24"/>
                <w:lang w:val="en-GB"/>
              </w:rPr>
            </w:pPr>
            <w:r w:rsidRPr="00A61EFD">
              <w:rPr>
                <w:rFonts w:eastAsia="Calibri"/>
                <w:szCs w:val="24"/>
                <w:lang w:val="en-GB"/>
              </w:rPr>
              <w:t>Determine Risk coefficient based on the probability and impact</w:t>
            </w:r>
          </w:p>
        </w:tc>
        <w:tc>
          <w:tcPr>
            <w:tcW w:w="5310" w:type="dxa"/>
          </w:tcPr>
          <w:p w14:paraId="145545E8" w14:textId="77777777" w:rsidR="002C6582" w:rsidRPr="001C68DE" w:rsidRDefault="002C6582" w:rsidP="001136D3">
            <w:pPr>
              <w:spacing w:after="0"/>
              <w:rPr>
                <w:rFonts w:eastAsia="Calibri"/>
                <w:szCs w:val="24"/>
                <w:lang w:val="en-GB"/>
              </w:rPr>
            </w:pPr>
            <w:r w:rsidRPr="00A61EFD">
              <w:rPr>
                <w:rFonts w:eastAsia="Calibri"/>
                <w:szCs w:val="24"/>
                <w:lang w:val="en-GB"/>
              </w:rPr>
              <w:t>Configuration of a model for risk scores conditional on risk category, which creates relevant scores based on predefined interdependencies between a starting number and coefficient values and places the matching results in the relevant risk level ranges.</w:t>
            </w:r>
          </w:p>
        </w:tc>
      </w:tr>
      <w:tr w:rsidR="002C6582" w:rsidRPr="001C68DE" w14:paraId="020C34B6" w14:textId="77777777" w:rsidTr="00716E94">
        <w:tc>
          <w:tcPr>
            <w:tcW w:w="1165" w:type="dxa"/>
          </w:tcPr>
          <w:p w14:paraId="6E5ABC1C" w14:textId="77777777" w:rsidR="002C6582" w:rsidRPr="001C68DE" w:rsidRDefault="002C6582" w:rsidP="001136D3">
            <w:pPr>
              <w:spacing w:after="0"/>
              <w:rPr>
                <w:rFonts w:eastAsia="Calibri"/>
                <w:szCs w:val="24"/>
                <w:lang w:val="en-GB"/>
              </w:rPr>
            </w:pPr>
            <w:r w:rsidRPr="00A61EFD">
              <w:rPr>
                <w:rFonts w:eastAsia="Calibri"/>
                <w:szCs w:val="24"/>
                <w:lang w:val="en-GB"/>
              </w:rPr>
              <w:t>User Task</w:t>
            </w:r>
          </w:p>
        </w:tc>
        <w:tc>
          <w:tcPr>
            <w:tcW w:w="2880" w:type="dxa"/>
          </w:tcPr>
          <w:p w14:paraId="29EF71A3" w14:textId="77777777" w:rsidR="002C6582" w:rsidRPr="001C68DE" w:rsidRDefault="002C6582" w:rsidP="001136D3">
            <w:pPr>
              <w:spacing w:after="0"/>
              <w:rPr>
                <w:rFonts w:eastAsia="Calibri"/>
                <w:szCs w:val="24"/>
                <w:lang w:val="en-GB"/>
              </w:rPr>
            </w:pPr>
            <w:r w:rsidRPr="00A61EFD">
              <w:rPr>
                <w:rFonts w:eastAsia="Calibri"/>
                <w:szCs w:val="24"/>
                <w:lang w:val="en-GB"/>
              </w:rPr>
              <w:t>Determine Risk Level</w:t>
            </w:r>
          </w:p>
        </w:tc>
        <w:tc>
          <w:tcPr>
            <w:tcW w:w="5310" w:type="dxa"/>
          </w:tcPr>
          <w:p w14:paraId="61E7509B" w14:textId="77777777" w:rsidR="002C6582" w:rsidRPr="001C68DE" w:rsidRDefault="002C6582" w:rsidP="001136D3">
            <w:pPr>
              <w:spacing w:after="0"/>
              <w:rPr>
                <w:rFonts w:eastAsia="Calibri"/>
                <w:szCs w:val="24"/>
                <w:lang w:val="en-GB"/>
              </w:rPr>
            </w:pPr>
            <w:r w:rsidRPr="00EE6F48">
              <w:rPr>
                <w:rFonts w:eastAsia="Calibri"/>
                <w:szCs w:val="24"/>
                <w:lang w:val="en-GB"/>
              </w:rPr>
              <w:t>This is a scale of scores (points), according to which the Risk result is classified. There should be minimum and maximum score of Risk level, defining the thresholds between different levels.</w:t>
            </w:r>
          </w:p>
        </w:tc>
      </w:tr>
      <w:tr w:rsidR="002C6582" w:rsidRPr="001C68DE" w14:paraId="12D58092" w14:textId="77777777" w:rsidTr="00716E94">
        <w:tc>
          <w:tcPr>
            <w:tcW w:w="1165" w:type="dxa"/>
          </w:tcPr>
          <w:p w14:paraId="294EDAE6" w14:textId="77777777" w:rsidR="002C6582" w:rsidRPr="008F2501" w:rsidRDefault="002C6582" w:rsidP="001136D3">
            <w:pPr>
              <w:spacing w:after="0"/>
              <w:rPr>
                <w:rFonts w:eastAsia="Calibri"/>
                <w:szCs w:val="24"/>
                <w:lang w:val="bg-BG"/>
              </w:rPr>
            </w:pPr>
            <w:r w:rsidRPr="00EE6F48">
              <w:rPr>
                <w:rFonts w:eastAsia="Calibri"/>
                <w:szCs w:val="24"/>
                <w:lang w:val="bg-BG"/>
              </w:rPr>
              <w:t>User Task</w:t>
            </w:r>
          </w:p>
        </w:tc>
        <w:tc>
          <w:tcPr>
            <w:tcW w:w="2880" w:type="dxa"/>
          </w:tcPr>
          <w:p w14:paraId="5130668C" w14:textId="77777777" w:rsidR="002C6582" w:rsidRPr="001C68DE" w:rsidRDefault="002C6582" w:rsidP="001136D3">
            <w:pPr>
              <w:spacing w:after="0"/>
              <w:rPr>
                <w:rFonts w:eastAsia="Calibri"/>
                <w:szCs w:val="24"/>
                <w:lang w:val="en-GB"/>
              </w:rPr>
            </w:pPr>
            <w:r w:rsidRPr="00EE6F48">
              <w:rPr>
                <w:rFonts w:eastAsia="Calibri"/>
                <w:szCs w:val="24"/>
                <w:lang w:val="en-GB"/>
              </w:rPr>
              <w:t>Test the Scoring Model </w:t>
            </w:r>
          </w:p>
        </w:tc>
        <w:tc>
          <w:tcPr>
            <w:tcW w:w="5310" w:type="dxa"/>
          </w:tcPr>
          <w:p w14:paraId="48DAF428" w14:textId="77777777" w:rsidR="002C6582" w:rsidRPr="001C68DE" w:rsidRDefault="002C6582" w:rsidP="001136D3">
            <w:pPr>
              <w:spacing w:after="0"/>
              <w:rPr>
                <w:rFonts w:eastAsia="Calibri"/>
                <w:szCs w:val="24"/>
                <w:lang w:val="en-GB"/>
              </w:rPr>
            </w:pPr>
            <w:r w:rsidRPr="00EE6F48">
              <w:rPr>
                <w:rFonts w:eastAsia="Calibri"/>
                <w:szCs w:val="24"/>
                <w:lang w:val="en-GB"/>
              </w:rPr>
              <w:t>Integrating the scoring model into risk profiles involves incorporating the scoring model's calculations and outputs into the existing risk profile framework. This integration allows for a comprehensive and standardized approach to evaluating and categorizing risks based on their scores.</w:t>
            </w:r>
          </w:p>
        </w:tc>
      </w:tr>
    </w:tbl>
    <w:p w14:paraId="092B50D7" w14:textId="77777777" w:rsidR="002C6582" w:rsidRPr="005E6A97" w:rsidRDefault="002C6582" w:rsidP="004C3CE9">
      <w:pPr>
        <w:rPr>
          <w:b/>
          <w:i/>
          <w:lang w:val="mk-MK"/>
        </w:rPr>
      </w:pPr>
    </w:p>
    <w:p w14:paraId="0F884B79" w14:textId="77777777" w:rsidR="004C3CE9" w:rsidRPr="005E6A97" w:rsidRDefault="004C3CE9" w:rsidP="004C3CE9">
      <w:pPr>
        <w:rPr>
          <w:b/>
        </w:rPr>
      </w:pPr>
      <w:r w:rsidRPr="005E6A97">
        <w:rPr>
          <w:b/>
        </w:rPr>
        <w:t>Functional Requirements:</w:t>
      </w:r>
    </w:p>
    <w:tbl>
      <w:tblPr>
        <w:tblStyle w:val="TableGrid"/>
        <w:tblW w:w="9355" w:type="dxa"/>
        <w:tblLook w:val="04A0" w:firstRow="1" w:lastRow="0" w:firstColumn="1" w:lastColumn="0" w:noHBand="0" w:noVBand="1"/>
      </w:tblPr>
      <w:tblGrid>
        <w:gridCol w:w="1165"/>
        <w:gridCol w:w="8190"/>
      </w:tblGrid>
      <w:tr w:rsidR="0007064F" w:rsidRPr="001C68DE" w14:paraId="022B7AB1" w14:textId="77777777" w:rsidTr="005E0FA9">
        <w:trPr>
          <w:trHeight w:val="396"/>
        </w:trPr>
        <w:tc>
          <w:tcPr>
            <w:tcW w:w="1165" w:type="dxa"/>
            <w:shd w:val="clear" w:color="auto" w:fill="D9D9D9" w:themeFill="background1" w:themeFillShade="D9"/>
          </w:tcPr>
          <w:p w14:paraId="7AC4090A" w14:textId="77777777" w:rsidR="0007064F" w:rsidRPr="001C68DE" w:rsidRDefault="0007064F" w:rsidP="001136D3">
            <w:pPr>
              <w:spacing w:after="0"/>
              <w:rPr>
                <w:rFonts w:eastAsia="Calibri"/>
                <w:b/>
                <w:szCs w:val="24"/>
                <w:lang w:val="en-GB"/>
              </w:rPr>
            </w:pPr>
            <w:r>
              <w:rPr>
                <w:rFonts w:eastAsia="Calibri"/>
                <w:b/>
                <w:szCs w:val="24"/>
                <w:lang w:val="en-GB"/>
              </w:rPr>
              <w:lastRenderedPageBreak/>
              <w:t xml:space="preserve">FR </w:t>
            </w:r>
            <w:r w:rsidRPr="001C68DE">
              <w:rPr>
                <w:rFonts w:eastAsia="Calibri"/>
                <w:b/>
                <w:szCs w:val="24"/>
                <w:lang w:val="en-GB"/>
              </w:rPr>
              <w:t>ID</w:t>
            </w:r>
          </w:p>
        </w:tc>
        <w:tc>
          <w:tcPr>
            <w:tcW w:w="8190" w:type="dxa"/>
            <w:shd w:val="clear" w:color="auto" w:fill="D9D9D9" w:themeFill="background1" w:themeFillShade="D9"/>
          </w:tcPr>
          <w:p w14:paraId="6CE0ABCB" w14:textId="77777777" w:rsidR="0007064F" w:rsidRPr="001C68DE" w:rsidRDefault="0007064F" w:rsidP="001136D3">
            <w:pPr>
              <w:spacing w:after="0"/>
              <w:rPr>
                <w:rFonts w:eastAsia="Calibri"/>
                <w:b/>
                <w:szCs w:val="24"/>
                <w:lang w:val="en-GB"/>
              </w:rPr>
            </w:pPr>
            <w:r w:rsidRPr="001C68DE">
              <w:rPr>
                <w:rFonts w:eastAsia="Calibri"/>
                <w:b/>
                <w:szCs w:val="24"/>
                <w:lang w:val="en-GB"/>
              </w:rPr>
              <w:t>Description</w:t>
            </w:r>
          </w:p>
        </w:tc>
      </w:tr>
      <w:tr w:rsidR="0007064F" w:rsidRPr="001C68DE" w14:paraId="765D0DB6" w14:textId="77777777" w:rsidTr="005E0FA9">
        <w:trPr>
          <w:trHeight w:val="144"/>
          <w:tblHeader/>
        </w:trPr>
        <w:tc>
          <w:tcPr>
            <w:tcW w:w="1165" w:type="dxa"/>
            <w:shd w:val="clear" w:color="auto" w:fill="auto"/>
            <w:vAlign w:val="center"/>
          </w:tcPr>
          <w:p w14:paraId="590E9A29" w14:textId="77777777" w:rsidR="0007064F" w:rsidRPr="001C68DE" w:rsidRDefault="0007064F" w:rsidP="001136D3">
            <w:pPr>
              <w:spacing w:after="0"/>
              <w:rPr>
                <w:rFonts w:eastAsia="Calibri"/>
                <w:b/>
                <w:szCs w:val="24"/>
                <w:lang w:val="en-GB"/>
              </w:rPr>
            </w:pPr>
            <w:r w:rsidRPr="001C68DE">
              <w:rPr>
                <w:rFonts w:eastAsia="Calibri"/>
                <w:szCs w:val="24"/>
                <w:lang w:val="en-GB"/>
              </w:rPr>
              <w:t>FR269</w:t>
            </w:r>
          </w:p>
        </w:tc>
        <w:tc>
          <w:tcPr>
            <w:tcW w:w="8190" w:type="dxa"/>
            <w:shd w:val="clear" w:color="auto" w:fill="auto"/>
          </w:tcPr>
          <w:p w14:paraId="60BAB921" w14:textId="77777777" w:rsidR="0007064F" w:rsidRPr="001C68DE" w:rsidRDefault="0007064F" w:rsidP="001136D3">
            <w:pPr>
              <w:spacing w:after="0"/>
              <w:rPr>
                <w:rFonts w:eastAsia="Calibri"/>
                <w:b/>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for a risk-rating tool</w:t>
            </w:r>
            <w:r>
              <w:rPr>
                <w:rFonts w:eastAsia="Calibri"/>
                <w:szCs w:val="24"/>
                <w:lang w:val="en-GB"/>
              </w:rPr>
              <w:t xml:space="preserve"> (scoring model)</w:t>
            </w:r>
            <w:r w:rsidRPr="001C68DE">
              <w:rPr>
                <w:rFonts w:eastAsia="Calibri"/>
                <w:szCs w:val="24"/>
                <w:lang w:val="en-GB"/>
              </w:rPr>
              <w:t xml:space="preserve">. For each criterion, the RMS shall provide for a user definable risk rating (e.g., high, </w:t>
            </w:r>
            <w:proofErr w:type="gramStart"/>
            <w:r w:rsidRPr="001C68DE">
              <w:rPr>
                <w:rFonts w:eastAsia="Calibri"/>
                <w:szCs w:val="24"/>
                <w:lang w:val="en-GB"/>
              </w:rPr>
              <w:t>medium</w:t>
            </w:r>
            <w:proofErr w:type="gramEnd"/>
            <w:r w:rsidRPr="001C68DE">
              <w:rPr>
                <w:rFonts w:eastAsia="Calibri"/>
                <w:szCs w:val="24"/>
                <w:lang w:val="en-GB"/>
              </w:rPr>
              <w:t xml:space="preserve"> and low) shall be determined and a weight coefficient assigned to differentiate each profile according to the priority of each profile.</w:t>
            </w:r>
          </w:p>
        </w:tc>
      </w:tr>
      <w:tr w:rsidR="0007064F" w:rsidRPr="001C68DE" w14:paraId="62B7AEE5" w14:textId="77777777" w:rsidTr="005E0FA9">
        <w:trPr>
          <w:trHeight w:val="144"/>
          <w:tblHeader/>
        </w:trPr>
        <w:tc>
          <w:tcPr>
            <w:tcW w:w="1165" w:type="dxa"/>
            <w:shd w:val="clear" w:color="auto" w:fill="auto"/>
            <w:vAlign w:val="center"/>
          </w:tcPr>
          <w:p w14:paraId="6AE40071" w14:textId="77777777" w:rsidR="0007064F" w:rsidRPr="001C68DE" w:rsidRDefault="0007064F" w:rsidP="001136D3">
            <w:pPr>
              <w:spacing w:after="0"/>
              <w:rPr>
                <w:rFonts w:eastAsia="Calibri"/>
                <w:b/>
                <w:szCs w:val="24"/>
                <w:lang w:val="en-GB"/>
              </w:rPr>
            </w:pPr>
            <w:r w:rsidRPr="001C68DE">
              <w:rPr>
                <w:rFonts w:eastAsia="Calibri"/>
                <w:szCs w:val="24"/>
                <w:lang w:val="en-GB"/>
              </w:rPr>
              <w:t>FR270</w:t>
            </w:r>
          </w:p>
        </w:tc>
        <w:tc>
          <w:tcPr>
            <w:tcW w:w="8190" w:type="dxa"/>
            <w:shd w:val="clear" w:color="auto" w:fill="auto"/>
          </w:tcPr>
          <w:p w14:paraId="24AB826F" w14:textId="77777777" w:rsidR="0007064F" w:rsidRPr="001C68DE" w:rsidRDefault="0007064F" w:rsidP="001136D3">
            <w:pPr>
              <w:spacing w:after="0"/>
              <w:rPr>
                <w:rFonts w:eastAsia="Calibri"/>
                <w:b/>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scoring model</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a risk-rating algorithm / method will be applied. This score is one element within the risk assessment toolset. It can be used to rank risk criteria, profiles to assist with direct attention to areas of greatest risk.</w:t>
            </w:r>
          </w:p>
        </w:tc>
      </w:tr>
      <w:tr w:rsidR="0007064F" w:rsidRPr="001C68DE" w14:paraId="69E95244" w14:textId="77777777" w:rsidTr="005E0FA9">
        <w:trPr>
          <w:trHeight w:val="144"/>
          <w:tblHeader/>
        </w:trPr>
        <w:tc>
          <w:tcPr>
            <w:tcW w:w="1165" w:type="dxa"/>
            <w:shd w:val="clear" w:color="auto" w:fill="auto"/>
            <w:vAlign w:val="center"/>
          </w:tcPr>
          <w:p w14:paraId="3BBD677A" w14:textId="77777777" w:rsidR="0007064F" w:rsidRPr="001C68DE" w:rsidRDefault="0007064F" w:rsidP="001136D3">
            <w:pPr>
              <w:spacing w:after="0"/>
              <w:rPr>
                <w:rFonts w:eastAsia="Calibri"/>
                <w:b/>
                <w:szCs w:val="24"/>
                <w:lang w:val="en-GB"/>
              </w:rPr>
            </w:pPr>
            <w:r w:rsidRPr="001C68DE">
              <w:rPr>
                <w:rFonts w:eastAsia="Calibri"/>
                <w:szCs w:val="24"/>
                <w:lang w:val="en-GB"/>
              </w:rPr>
              <w:t>FR271</w:t>
            </w:r>
          </w:p>
        </w:tc>
        <w:tc>
          <w:tcPr>
            <w:tcW w:w="8190" w:type="dxa"/>
            <w:shd w:val="clear" w:color="auto" w:fill="auto"/>
          </w:tcPr>
          <w:p w14:paraId="26C836C1" w14:textId="77777777" w:rsidR="0007064F" w:rsidRPr="001C68DE" w:rsidRDefault="0007064F" w:rsidP="001136D3">
            <w:pPr>
              <w:spacing w:after="0"/>
              <w:rPr>
                <w:rFonts w:eastAsia="Calibri"/>
                <w:b/>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w:t>
            </w:r>
            <w:r>
              <w:rPr>
                <w:rFonts w:eastAsia="Calibri"/>
                <w:szCs w:val="24"/>
                <w:lang w:val="en-GB"/>
              </w:rPr>
              <w:t>must</w:t>
            </w:r>
            <w:r w:rsidRPr="001C68DE">
              <w:rPr>
                <w:rFonts w:eastAsia="Calibri"/>
                <w:szCs w:val="24"/>
                <w:lang w:val="en-GB"/>
              </w:rPr>
              <w:t xml:space="preserve"> provide </w:t>
            </w:r>
            <w:r>
              <w:rPr>
                <w:rFonts w:eastAsia="Calibri"/>
                <w:szCs w:val="24"/>
                <w:lang w:val="en-GB"/>
              </w:rPr>
              <w:t>functionality to reassess the</w:t>
            </w:r>
            <w:r w:rsidRPr="001C68DE">
              <w:rPr>
                <w:rFonts w:eastAsia="Calibri"/>
                <w:szCs w:val="24"/>
                <w:lang w:val="en-GB"/>
              </w:rPr>
              <w:t xml:space="preserve"> risk </w:t>
            </w:r>
            <w:r>
              <w:rPr>
                <w:rFonts w:eastAsia="Calibri"/>
                <w:szCs w:val="24"/>
                <w:lang w:val="en-GB"/>
              </w:rPr>
              <w:t>scoring model</w:t>
            </w:r>
            <w:r w:rsidRPr="001C68DE">
              <w:rPr>
                <w:rFonts w:eastAsia="Calibri"/>
                <w:szCs w:val="24"/>
                <w:lang w:val="en-GB"/>
              </w:rPr>
              <w:t xml:space="preserve"> at </w:t>
            </w:r>
            <w:proofErr w:type="gramStart"/>
            <w:r w:rsidRPr="001C68DE">
              <w:rPr>
                <w:rFonts w:eastAsia="Calibri"/>
                <w:szCs w:val="24"/>
                <w:lang w:val="en-GB"/>
              </w:rPr>
              <w:t>particular time</w:t>
            </w:r>
            <w:proofErr w:type="gramEnd"/>
            <w:r w:rsidRPr="001C68DE">
              <w:rPr>
                <w:rFonts w:eastAsia="Calibri"/>
                <w:szCs w:val="24"/>
                <w:lang w:val="en-GB"/>
              </w:rPr>
              <w:t xml:space="preserve"> intervals and when the risk rating criteria changes.</w:t>
            </w:r>
          </w:p>
        </w:tc>
      </w:tr>
      <w:tr w:rsidR="0007064F" w:rsidRPr="001C68DE" w14:paraId="3B4F89D2" w14:textId="77777777" w:rsidTr="005E0FA9">
        <w:trPr>
          <w:trHeight w:val="144"/>
          <w:tblHeader/>
        </w:trPr>
        <w:tc>
          <w:tcPr>
            <w:tcW w:w="1165" w:type="dxa"/>
            <w:shd w:val="clear" w:color="auto" w:fill="auto"/>
            <w:vAlign w:val="center"/>
          </w:tcPr>
          <w:p w14:paraId="3705F7D6" w14:textId="77777777" w:rsidR="0007064F" w:rsidRPr="001C68DE" w:rsidRDefault="0007064F" w:rsidP="001136D3">
            <w:pPr>
              <w:spacing w:after="0"/>
              <w:rPr>
                <w:rFonts w:eastAsia="Calibri"/>
                <w:b/>
                <w:szCs w:val="24"/>
                <w:lang w:val="en-GB"/>
              </w:rPr>
            </w:pPr>
            <w:r w:rsidRPr="001C68DE">
              <w:rPr>
                <w:rFonts w:eastAsia="Calibri"/>
                <w:szCs w:val="24"/>
                <w:lang w:val="en-GB"/>
              </w:rPr>
              <w:t>FR272</w:t>
            </w:r>
          </w:p>
        </w:tc>
        <w:tc>
          <w:tcPr>
            <w:tcW w:w="8190" w:type="dxa"/>
            <w:shd w:val="clear" w:color="auto" w:fill="auto"/>
          </w:tcPr>
          <w:p w14:paraId="0594DF84" w14:textId="77777777" w:rsidR="0007064F" w:rsidRPr="001C68DE" w:rsidRDefault="0007064F" w:rsidP="001136D3">
            <w:pPr>
              <w:spacing w:after="0"/>
              <w:rPr>
                <w:rFonts w:eastAsia="Calibri"/>
                <w:b/>
                <w:szCs w:val="24"/>
                <w:lang w:val="en-GB"/>
              </w:rPr>
            </w:pPr>
            <w:r w:rsidRPr="001C68DE">
              <w:rPr>
                <w:rFonts w:eastAsia="Calibri"/>
                <w:szCs w:val="24"/>
                <w:lang w:val="en-GB"/>
              </w:rPr>
              <w:t>The RM</w:t>
            </w:r>
            <w:r>
              <w:rPr>
                <w:rFonts w:eastAsia="Calibri"/>
                <w:szCs w:val="24"/>
                <w:lang w:val="en-GB"/>
              </w:rPr>
              <w:t>C</w:t>
            </w:r>
            <w:r w:rsidRPr="001C68DE">
              <w:rPr>
                <w:rFonts w:eastAsia="Calibri"/>
                <w:szCs w:val="24"/>
                <w:lang w:val="en-GB"/>
              </w:rPr>
              <w:t xml:space="preserve"> risk rating </w:t>
            </w:r>
            <w:r>
              <w:rPr>
                <w:rFonts w:eastAsia="Calibri"/>
                <w:szCs w:val="24"/>
                <w:lang w:val="en-GB"/>
              </w:rPr>
              <w:t>must</w:t>
            </w:r>
            <w:r w:rsidRPr="001C68DE">
              <w:rPr>
                <w:rFonts w:eastAsia="Calibri"/>
                <w:szCs w:val="24"/>
                <w:lang w:val="en-GB"/>
              </w:rPr>
              <w:t xml:space="preserve"> be able to assess the risk of an entity as well as the transaction pre-, post- or at the border, because these risks may be different.</w:t>
            </w:r>
          </w:p>
        </w:tc>
      </w:tr>
      <w:tr w:rsidR="0007064F" w:rsidRPr="001C68DE" w14:paraId="4C5B8876" w14:textId="77777777" w:rsidTr="005E0FA9">
        <w:trPr>
          <w:trHeight w:val="144"/>
          <w:tblHeader/>
        </w:trPr>
        <w:tc>
          <w:tcPr>
            <w:tcW w:w="1165" w:type="dxa"/>
            <w:shd w:val="clear" w:color="auto" w:fill="auto"/>
            <w:vAlign w:val="center"/>
          </w:tcPr>
          <w:p w14:paraId="7566FFF9" w14:textId="77777777" w:rsidR="0007064F" w:rsidRPr="001C68DE" w:rsidRDefault="0007064F" w:rsidP="001136D3">
            <w:pPr>
              <w:spacing w:after="0"/>
              <w:rPr>
                <w:rFonts w:eastAsia="Calibri"/>
                <w:b/>
                <w:szCs w:val="24"/>
                <w:lang w:val="en-GB"/>
              </w:rPr>
            </w:pPr>
            <w:r w:rsidRPr="001C68DE">
              <w:rPr>
                <w:rFonts w:eastAsia="Calibri"/>
                <w:szCs w:val="24"/>
                <w:lang w:val="en-GB"/>
              </w:rPr>
              <w:t>FR273</w:t>
            </w:r>
          </w:p>
        </w:tc>
        <w:tc>
          <w:tcPr>
            <w:tcW w:w="8190" w:type="dxa"/>
            <w:shd w:val="clear" w:color="auto" w:fill="auto"/>
          </w:tcPr>
          <w:p w14:paraId="6B7A42A4" w14:textId="21A8F04C" w:rsidR="0007064F" w:rsidRPr="001C68DE" w:rsidRDefault="0007064F" w:rsidP="001136D3">
            <w:pPr>
              <w:spacing w:after="0"/>
              <w:rPr>
                <w:rFonts w:eastAsia="Calibri"/>
                <w:b/>
                <w:szCs w:val="24"/>
                <w:lang w:val="en-GB"/>
              </w:rPr>
            </w:pPr>
            <w:r w:rsidRPr="001C68DE">
              <w:rPr>
                <w:rFonts w:eastAsia="Calibri"/>
                <w:szCs w:val="24"/>
                <w:lang w:val="en-GB"/>
              </w:rPr>
              <w:t>Where the risk rating for an entity / transaction exceeds a predetermined threshold, the RM</w:t>
            </w:r>
            <w:r>
              <w:rPr>
                <w:rFonts w:eastAsia="Calibri"/>
                <w:szCs w:val="24"/>
                <w:lang w:val="en-GB"/>
              </w:rPr>
              <w:t>C</w:t>
            </w:r>
            <w:r w:rsidRPr="001C68DE">
              <w:rPr>
                <w:rFonts w:eastAsia="Calibri"/>
                <w:szCs w:val="24"/>
                <w:lang w:val="en-GB"/>
              </w:rPr>
              <w:t xml:space="preserve"> shall generate an alert will be created automatically, identifying that entity / transaction to be of concern.</w:t>
            </w:r>
          </w:p>
        </w:tc>
      </w:tr>
    </w:tbl>
    <w:p w14:paraId="6604ADEC" w14:textId="77777777" w:rsidR="006517A3" w:rsidRDefault="006517A3" w:rsidP="006517A3">
      <w:pPr>
        <w:rPr>
          <w:b/>
          <w:szCs w:val="24"/>
        </w:rPr>
      </w:pPr>
    </w:p>
    <w:p w14:paraId="67F4E7C8" w14:textId="582A3373" w:rsidR="00157AAA" w:rsidRPr="008E2AAD" w:rsidRDefault="006C1BE5" w:rsidP="006517A3">
      <w:pPr>
        <w:rPr>
          <w:b/>
          <w:szCs w:val="24"/>
        </w:rPr>
      </w:pPr>
      <w:r w:rsidRPr="00150BCF">
        <w:rPr>
          <w:b/>
          <w:szCs w:val="24"/>
        </w:rPr>
        <w:t>1.2.1</w:t>
      </w:r>
      <w:r w:rsidRPr="008E2AAD">
        <w:rPr>
          <w:b/>
          <w:szCs w:val="24"/>
        </w:rPr>
        <w:t>4</w:t>
      </w:r>
      <w:r w:rsidRPr="00150BCF">
        <w:rPr>
          <w:b/>
          <w:szCs w:val="24"/>
        </w:rPr>
        <w:t>. Referent Tables</w:t>
      </w:r>
    </w:p>
    <w:p w14:paraId="396CC1B1" w14:textId="794E0DFC" w:rsidR="00157AAA" w:rsidRDefault="006C1BE5" w:rsidP="006517A3">
      <w:pPr>
        <w:spacing w:after="0"/>
      </w:pPr>
      <w:r>
        <w:t>Referent tables, in the context of data services, act as intermediaries between systems, providing a standardized and structured interface for accessing data. Their primary functions include:</w:t>
      </w:r>
    </w:p>
    <w:p w14:paraId="1C4F7B92" w14:textId="427B7050" w:rsidR="00157AAA" w:rsidRDefault="006C1BE5" w:rsidP="006517A3">
      <w:pPr>
        <w:spacing w:after="0"/>
      </w:pPr>
      <w:r>
        <w:rPr>
          <w:bCs/>
          <w:iCs/>
          <w:szCs w:val="24"/>
        </w:rPr>
        <w:t>Referent tables enable seamless integration of data from diverse sources and systems.</w:t>
      </w:r>
    </w:p>
    <w:p w14:paraId="30444278" w14:textId="0F76C443" w:rsidR="00157AAA" w:rsidRDefault="006C1BE5" w:rsidP="006517A3">
      <w:pPr>
        <w:spacing w:after="0"/>
        <w:rPr>
          <w:bCs/>
          <w:iCs/>
          <w:szCs w:val="24"/>
        </w:rPr>
      </w:pPr>
      <w:r>
        <w:rPr>
          <w:bCs/>
          <w:iCs/>
          <w:szCs w:val="24"/>
        </w:rPr>
        <w:t>They facilitate the exchange of data between systems with varying data structures and formats.</w:t>
      </w:r>
    </w:p>
    <w:p w14:paraId="5721989D" w14:textId="77777777" w:rsidR="004E2D1C" w:rsidRDefault="004E2D1C" w:rsidP="004E2D1C">
      <w:pPr>
        <w:rPr>
          <w:b/>
          <w:bCs/>
          <w:szCs w:val="24"/>
        </w:rPr>
      </w:pPr>
      <w:r>
        <w:rPr>
          <w:b/>
          <w:bCs/>
          <w:szCs w:val="24"/>
        </w:rPr>
        <w:t>Functional Requirements</w:t>
      </w:r>
    </w:p>
    <w:tbl>
      <w:tblPr>
        <w:tblStyle w:val="TableGrid"/>
        <w:tblW w:w="9355" w:type="dxa"/>
        <w:tblLook w:val="04A0" w:firstRow="1" w:lastRow="0" w:firstColumn="1" w:lastColumn="0" w:noHBand="0" w:noVBand="1"/>
      </w:tblPr>
      <w:tblGrid>
        <w:gridCol w:w="1165"/>
        <w:gridCol w:w="8190"/>
      </w:tblGrid>
      <w:tr w:rsidR="004E2D1C" w:rsidRPr="001C68DE" w14:paraId="118F8341" w14:textId="77777777" w:rsidTr="00807E88">
        <w:trPr>
          <w:trHeight w:val="396"/>
        </w:trPr>
        <w:tc>
          <w:tcPr>
            <w:tcW w:w="1165" w:type="dxa"/>
            <w:shd w:val="clear" w:color="auto" w:fill="D9D9D9" w:themeFill="background1" w:themeFillShade="D9"/>
          </w:tcPr>
          <w:p w14:paraId="3EE89E8F" w14:textId="77777777" w:rsidR="004E2D1C" w:rsidRPr="001C68DE" w:rsidRDefault="004E2D1C"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8190" w:type="dxa"/>
            <w:shd w:val="clear" w:color="auto" w:fill="D9D9D9" w:themeFill="background1" w:themeFillShade="D9"/>
          </w:tcPr>
          <w:p w14:paraId="7D17B534" w14:textId="77777777" w:rsidR="004E2D1C" w:rsidRPr="001C68DE" w:rsidRDefault="004E2D1C" w:rsidP="001136D3">
            <w:pPr>
              <w:spacing w:after="0"/>
              <w:rPr>
                <w:rFonts w:eastAsia="Calibri"/>
                <w:b/>
                <w:szCs w:val="24"/>
                <w:lang w:val="en-GB"/>
              </w:rPr>
            </w:pPr>
            <w:r w:rsidRPr="001C68DE">
              <w:rPr>
                <w:rFonts w:eastAsia="Calibri"/>
                <w:b/>
                <w:szCs w:val="24"/>
                <w:lang w:val="en-GB"/>
              </w:rPr>
              <w:t>Description</w:t>
            </w:r>
          </w:p>
        </w:tc>
      </w:tr>
      <w:tr w:rsidR="004E2D1C" w:rsidRPr="001C68DE" w14:paraId="544F2A08" w14:textId="77777777" w:rsidTr="00807E88">
        <w:trPr>
          <w:trHeight w:val="144"/>
          <w:tblHeader/>
        </w:trPr>
        <w:tc>
          <w:tcPr>
            <w:tcW w:w="1165" w:type="dxa"/>
            <w:shd w:val="clear" w:color="auto" w:fill="auto"/>
          </w:tcPr>
          <w:p w14:paraId="49AB15BA" w14:textId="3ABEC90D" w:rsidR="004E2D1C" w:rsidRPr="001136D3" w:rsidRDefault="00B27292" w:rsidP="001136D3">
            <w:pPr>
              <w:spacing w:after="0"/>
              <w:rPr>
                <w:rFonts w:eastAsia="Calibri"/>
                <w:szCs w:val="24"/>
                <w:lang w:val="en-GB"/>
              </w:rPr>
            </w:pPr>
            <w:r w:rsidRPr="001136D3">
              <w:rPr>
                <w:rFonts w:eastAsia="Calibri"/>
                <w:szCs w:val="24"/>
                <w:lang w:val="en-GB"/>
              </w:rPr>
              <w:t>FR</w:t>
            </w:r>
            <w:r w:rsidR="00771711">
              <w:rPr>
                <w:rFonts w:eastAsia="Calibri"/>
                <w:szCs w:val="24"/>
                <w:lang w:val="en-GB"/>
              </w:rPr>
              <w:t>572</w:t>
            </w:r>
          </w:p>
        </w:tc>
        <w:tc>
          <w:tcPr>
            <w:tcW w:w="8190" w:type="dxa"/>
            <w:shd w:val="clear" w:color="auto" w:fill="auto"/>
          </w:tcPr>
          <w:p w14:paraId="436D547D" w14:textId="5F94BED3" w:rsidR="004E2D1C" w:rsidRPr="001136D3" w:rsidRDefault="00771711" w:rsidP="001136D3">
            <w:pPr>
              <w:spacing w:after="0"/>
              <w:rPr>
                <w:rFonts w:eastAsia="Calibri"/>
                <w:szCs w:val="24"/>
                <w:lang w:val="en-GB"/>
              </w:rPr>
            </w:pPr>
            <w:r w:rsidRPr="001136D3">
              <w:rPr>
                <w:rFonts w:eastAsia="Calibri"/>
                <w:szCs w:val="24"/>
                <w:lang w:val="en-GB"/>
              </w:rPr>
              <w:t>The system must be able to have module for reference tables from where the common data will be shared within other modules/services.</w:t>
            </w:r>
          </w:p>
        </w:tc>
      </w:tr>
      <w:tr w:rsidR="004E2D1C" w:rsidRPr="001C68DE" w14:paraId="79F8E757" w14:textId="77777777" w:rsidTr="00807E88">
        <w:trPr>
          <w:trHeight w:val="144"/>
          <w:tblHeader/>
        </w:trPr>
        <w:tc>
          <w:tcPr>
            <w:tcW w:w="1165" w:type="dxa"/>
            <w:shd w:val="clear" w:color="auto" w:fill="auto"/>
            <w:vAlign w:val="center"/>
          </w:tcPr>
          <w:p w14:paraId="7C0C60F3" w14:textId="3FBCEEA8" w:rsidR="004E2D1C" w:rsidRPr="001136D3" w:rsidRDefault="00771711" w:rsidP="001136D3">
            <w:pPr>
              <w:spacing w:after="0"/>
              <w:rPr>
                <w:rFonts w:eastAsia="Calibri"/>
                <w:szCs w:val="24"/>
                <w:lang w:val="en-GB"/>
              </w:rPr>
            </w:pPr>
            <w:r w:rsidRPr="001136D3">
              <w:rPr>
                <w:rFonts w:eastAsia="Calibri"/>
                <w:szCs w:val="24"/>
                <w:lang w:val="en-GB"/>
              </w:rPr>
              <w:t>FR573</w:t>
            </w:r>
          </w:p>
        </w:tc>
        <w:tc>
          <w:tcPr>
            <w:tcW w:w="8190" w:type="dxa"/>
            <w:shd w:val="clear" w:color="auto" w:fill="auto"/>
          </w:tcPr>
          <w:p w14:paraId="01F047A3" w14:textId="3173075F" w:rsidR="004E2D1C" w:rsidRPr="001136D3" w:rsidRDefault="00771711" w:rsidP="001136D3">
            <w:pPr>
              <w:spacing w:after="0"/>
              <w:rPr>
                <w:rFonts w:eastAsia="Calibri"/>
                <w:szCs w:val="24"/>
                <w:lang w:val="en-GB"/>
              </w:rPr>
            </w:pPr>
            <w:r w:rsidRPr="001136D3">
              <w:rPr>
                <w:rFonts w:eastAsia="Calibri"/>
                <w:szCs w:val="24"/>
                <w:lang w:val="en-GB"/>
              </w:rPr>
              <w:t>The system must have user interface to define and manage the reference tables</w:t>
            </w:r>
          </w:p>
        </w:tc>
      </w:tr>
      <w:tr w:rsidR="004E2D1C" w:rsidRPr="001C68DE" w14:paraId="033A4A78" w14:textId="77777777" w:rsidTr="00807E88">
        <w:trPr>
          <w:trHeight w:val="144"/>
          <w:tblHeader/>
        </w:trPr>
        <w:tc>
          <w:tcPr>
            <w:tcW w:w="1165" w:type="dxa"/>
            <w:shd w:val="clear" w:color="auto" w:fill="auto"/>
            <w:vAlign w:val="center"/>
          </w:tcPr>
          <w:p w14:paraId="5CCFFE79" w14:textId="14FD4D82" w:rsidR="004E2D1C" w:rsidRPr="001136D3" w:rsidRDefault="00771711" w:rsidP="001136D3">
            <w:pPr>
              <w:spacing w:after="0"/>
              <w:rPr>
                <w:rFonts w:eastAsia="Calibri"/>
                <w:szCs w:val="24"/>
                <w:lang w:val="en-GB"/>
              </w:rPr>
            </w:pPr>
            <w:r w:rsidRPr="001136D3">
              <w:rPr>
                <w:rFonts w:eastAsia="Calibri"/>
                <w:szCs w:val="24"/>
                <w:lang w:val="en-GB"/>
              </w:rPr>
              <w:t>FR574</w:t>
            </w:r>
          </w:p>
        </w:tc>
        <w:tc>
          <w:tcPr>
            <w:tcW w:w="8190" w:type="dxa"/>
            <w:shd w:val="clear" w:color="auto" w:fill="auto"/>
          </w:tcPr>
          <w:p w14:paraId="32626144" w14:textId="5C661E18" w:rsidR="004E2D1C" w:rsidRPr="001136D3" w:rsidRDefault="00771711" w:rsidP="001136D3">
            <w:pPr>
              <w:spacing w:after="0"/>
              <w:rPr>
                <w:rFonts w:eastAsia="Calibri"/>
                <w:szCs w:val="24"/>
                <w:lang w:val="en-GB"/>
              </w:rPr>
            </w:pPr>
            <w:r w:rsidRPr="001136D3">
              <w:rPr>
                <w:rFonts w:eastAsia="Calibri"/>
                <w:szCs w:val="24"/>
                <w:lang w:val="en-GB"/>
              </w:rPr>
              <w:t>The system must have API to provide the data from the referent tables</w:t>
            </w:r>
          </w:p>
        </w:tc>
      </w:tr>
    </w:tbl>
    <w:p w14:paraId="5A54030C" w14:textId="77777777" w:rsidR="004E2D1C" w:rsidRDefault="004E2D1C" w:rsidP="006517A3">
      <w:pPr>
        <w:spacing w:after="0"/>
      </w:pPr>
    </w:p>
    <w:p w14:paraId="43E14A57" w14:textId="2F8BE5FF" w:rsidR="00157AAA" w:rsidRPr="008E2AAD" w:rsidRDefault="006C1BE5" w:rsidP="006517A3">
      <w:pPr>
        <w:rPr>
          <w:b/>
          <w:bCs/>
          <w:iCs/>
        </w:rPr>
      </w:pPr>
      <w:r w:rsidRPr="008E2AAD">
        <w:rPr>
          <w:b/>
          <w:szCs w:val="24"/>
        </w:rPr>
        <w:t>1.2.15. Reporting Service</w:t>
      </w:r>
    </w:p>
    <w:p w14:paraId="34EDC24C" w14:textId="77777777" w:rsidR="00157AAA" w:rsidRDefault="006C1BE5" w:rsidP="001136D3">
      <w:pPr>
        <w:spacing w:after="0"/>
      </w:pPr>
      <w:r>
        <w:t>Module Integration:</w:t>
      </w:r>
    </w:p>
    <w:p w14:paraId="2043BD85" w14:textId="77777777" w:rsidR="00157AAA" w:rsidRDefault="006C1BE5" w:rsidP="001136D3">
      <w:pPr>
        <w:spacing w:after="0"/>
      </w:pPr>
      <w:r>
        <w:t xml:space="preserve">Reporting Service must act as a central hub that seamlessly connects data from multiple modules across NSW. It should be able to allow access and analyze data from various sources within a single interface and </w:t>
      </w:r>
      <w:proofErr w:type="gramStart"/>
      <w:r>
        <w:t>enhancing</w:t>
      </w:r>
      <w:proofErr w:type="gramEnd"/>
      <w:r>
        <w:t xml:space="preserve"> cross-functional collaboration.</w:t>
      </w:r>
    </w:p>
    <w:p w14:paraId="61CA5DF9" w14:textId="77777777" w:rsidR="00157AAA" w:rsidRDefault="006C1BE5" w:rsidP="001136D3">
      <w:pPr>
        <w:spacing w:after="0"/>
      </w:pPr>
      <w:r>
        <w:t>The tool should be able to integrate seamlessly with our existing data infrastructure, including our data warehouse and authentication systems.</w:t>
      </w:r>
    </w:p>
    <w:p w14:paraId="2B83FE50" w14:textId="77777777" w:rsidR="00157AAA" w:rsidRDefault="006C1BE5" w:rsidP="001136D3">
      <w:pPr>
        <w:spacing w:after="0"/>
      </w:pPr>
      <w:r>
        <w:t>Customizable Dashboards:</w:t>
      </w:r>
    </w:p>
    <w:p w14:paraId="01C00946" w14:textId="77777777" w:rsidR="00157AAA" w:rsidRDefault="006C1BE5" w:rsidP="001136D3">
      <w:pPr>
        <w:spacing w:after="0"/>
      </w:pPr>
      <w:r>
        <w:t xml:space="preserve">Reporting Service must have </w:t>
      </w:r>
      <w:proofErr w:type="gramStart"/>
      <w:r>
        <w:t>option</w:t>
      </w:r>
      <w:proofErr w:type="gramEnd"/>
      <w:r>
        <w:t xml:space="preserve"> to tailor data analysis experience by creating customizable dashboards that align with specific business objectives. Drag-and-drop functionality should be implemented to </w:t>
      </w:r>
      <w:proofErr w:type="gramStart"/>
      <w:r>
        <w:t>makes</w:t>
      </w:r>
      <w:proofErr w:type="gramEnd"/>
      <w:r>
        <w:t xml:space="preserve"> it easy to arrange widgets, graphs, and charts, allowing you to visualize the data.</w:t>
      </w:r>
    </w:p>
    <w:p w14:paraId="3F307D79" w14:textId="77777777" w:rsidR="00157AAA" w:rsidRDefault="006C1BE5" w:rsidP="001136D3">
      <w:pPr>
        <w:spacing w:after="0"/>
      </w:pPr>
      <w:r>
        <w:t>Real-time Data Sync:</w:t>
      </w:r>
    </w:p>
    <w:p w14:paraId="424A69E5" w14:textId="77777777" w:rsidR="00157AAA" w:rsidRDefault="006C1BE5" w:rsidP="001136D3">
      <w:pPr>
        <w:spacing w:after="0"/>
      </w:pPr>
      <w:r>
        <w:lastRenderedPageBreak/>
        <w:t>NSW Reporting service must use real-time data synchronization. As new data is generated within different modules, the Reporting Service must ensure that the most current information is available for analysis.</w:t>
      </w:r>
    </w:p>
    <w:p w14:paraId="3BCD45FE" w14:textId="77777777" w:rsidR="00157AAA" w:rsidRDefault="006C1BE5" w:rsidP="001136D3">
      <w:pPr>
        <w:spacing w:after="0"/>
      </w:pPr>
      <w:r>
        <w:t>Advanced Data Visualization:</w:t>
      </w:r>
    </w:p>
    <w:p w14:paraId="4D02E5E8" w14:textId="49B379B2" w:rsidR="00157AAA" w:rsidRDefault="006C1BE5" w:rsidP="001136D3">
      <w:pPr>
        <w:spacing w:after="0"/>
      </w:pPr>
      <w:r>
        <w:t xml:space="preserve">Reporting </w:t>
      </w:r>
      <w:proofErr w:type="gramStart"/>
      <w:r>
        <w:t>system</w:t>
      </w:r>
      <w:proofErr w:type="gramEnd"/>
      <w:r>
        <w:t xml:space="preserve"> must transform complex data sets into actionable insights with advanced data visualization tools. From interactive heat maps to trend analyses and pie charts, service should present data in a visually compelling manner.</w:t>
      </w:r>
    </w:p>
    <w:p w14:paraId="033ADDCF" w14:textId="77777777" w:rsidR="00157AAA" w:rsidRDefault="006C1BE5" w:rsidP="001136D3">
      <w:pPr>
        <w:spacing w:after="0"/>
      </w:pPr>
      <w:r>
        <w:t>Cross-Module Analytics:</w:t>
      </w:r>
    </w:p>
    <w:p w14:paraId="045C1097" w14:textId="77777777" w:rsidR="00157AAA" w:rsidRDefault="006C1BE5" w:rsidP="001136D3">
      <w:pPr>
        <w:spacing w:after="0"/>
      </w:pPr>
      <w:r>
        <w:t xml:space="preserve">Reporting service should have possibility for cross-module </w:t>
      </w:r>
      <w:proofErr w:type="gramStart"/>
      <w:r>
        <w:t>analytics, and</w:t>
      </w:r>
      <w:proofErr w:type="gramEnd"/>
      <w:r>
        <w:t xml:space="preserve"> should identify correlations and trends between seemingly unrelated data sets.</w:t>
      </w:r>
    </w:p>
    <w:p w14:paraId="5AF521C9" w14:textId="77777777" w:rsidR="00157AAA" w:rsidRDefault="006C1BE5" w:rsidP="001136D3">
      <w:pPr>
        <w:spacing w:after="0"/>
      </w:pPr>
      <w:r>
        <w:t>Data Security and Compliance:</w:t>
      </w:r>
    </w:p>
    <w:p w14:paraId="091DFDF2" w14:textId="77777777" w:rsidR="00157AAA" w:rsidRDefault="006C1BE5" w:rsidP="001136D3">
      <w:pPr>
        <w:spacing w:after="0"/>
      </w:pPr>
      <w:r>
        <w:t>Reporting service must employ robust encryption protocols and access controls, ensuring that sensitive information remains confidential and accessible only to authorized personnel.</w:t>
      </w:r>
    </w:p>
    <w:p w14:paraId="5EA3E09D" w14:textId="77777777" w:rsidR="00157AAA" w:rsidRDefault="006C1BE5" w:rsidP="001136D3">
      <w:pPr>
        <w:spacing w:after="0"/>
      </w:pPr>
      <w:r>
        <w:t>Access and Roles</w:t>
      </w:r>
    </w:p>
    <w:p w14:paraId="4FECCD9D" w14:textId="4DD14DD6" w:rsidR="00157AAA" w:rsidRDefault="006C1BE5" w:rsidP="001136D3">
      <w:pPr>
        <w:spacing w:after="0"/>
      </w:pPr>
      <w:r>
        <w:t>Understanding the unique requirements of different CBRA, the Reporting Service must facilitate separate definitions, reports, and data for each CBRA. This segregation ensures that data remains compartmentalized, providing distinct analytical spaces for various business functions while preventing unintended access or overlap.</w:t>
      </w:r>
    </w:p>
    <w:p w14:paraId="71A3F319" w14:textId="77777777" w:rsidR="00BD0D3F" w:rsidRDefault="00BD0D3F" w:rsidP="001136D3">
      <w:pPr>
        <w:spacing w:after="0"/>
      </w:pPr>
    </w:p>
    <w:p w14:paraId="562D977D" w14:textId="7F98F34C" w:rsidR="006517A3" w:rsidRDefault="008E779D" w:rsidP="005E0FA9">
      <w:pPr>
        <w:rPr>
          <w:b/>
          <w:bCs/>
          <w:szCs w:val="24"/>
        </w:rPr>
      </w:pPr>
      <w:r>
        <w:rPr>
          <w:b/>
          <w:bCs/>
          <w:szCs w:val="24"/>
        </w:rPr>
        <w:t>Functional Requirements</w:t>
      </w:r>
    </w:p>
    <w:tbl>
      <w:tblPr>
        <w:tblStyle w:val="TableGrid"/>
        <w:tblW w:w="9355" w:type="dxa"/>
        <w:tblLook w:val="04A0" w:firstRow="1" w:lastRow="0" w:firstColumn="1" w:lastColumn="0" w:noHBand="0" w:noVBand="1"/>
      </w:tblPr>
      <w:tblGrid>
        <w:gridCol w:w="1165"/>
        <w:gridCol w:w="8190"/>
      </w:tblGrid>
      <w:tr w:rsidR="00475A4C" w:rsidRPr="001C68DE" w14:paraId="17CC0619" w14:textId="77777777" w:rsidTr="00513AB5">
        <w:trPr>
          <w:trHeight w:val="396"/>
        </w:trPr>
        <w:tc>
          <w:tcPr>
            <w:tcW w:w="1165" w:type="dxa"/>
            <w:shd w:val="clear" w:color="auto" w:fill="D9D9D9" w:themeFill="background1" w:themeFillShade="D9"/>
          </w:tcPr>
          <w:p w14:paraId="503C6819" w14:textId="77777777" w:rsidR="00475A4C" w:rsidRPr="001C68DE" w:rsidRDefault="00475A4C" w:rsidP="001136D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8190" w:type="dxa"/>
            <w:shd w:val="clear" w:color="auto" w:fill="D9D9D9" w:themeFill="background1" w:themeFillShade="D9"/>
          </w:tcPr>
          <w:p w14:paraId="38726651" w14:textId="77777777" w:rsidR="00475A4C" w:rsidRPr="001C68DE" w:rsidRDefault="00475A4C" w:rsidP="001136D3">
            <w:pPr>
              <w:spacing w:after="0"/>
              <w:rPr>
                <w:rFonts w:eastAsia="Calibri"/>
                <w:b/>
                <w:szCs w:val="24"/>
                <w:lang w:val="en-GB"/>
              </w:rPr>
            </w:pPr>
            <w:r w:rsidRPr="001C68DE">
              <w:rPr>
                <w:rFonts w:eastAsia="Calibri"/>
                <w:b/>
                <w:szCs w:val="24"/>
                <w:lang w:val="en-GB"/>
              </w:rPr>
              <w:t>Description</w:t>
            </w:r>
          </w:p>
        </w:tc>
      </w:tr>
      <w:tr w:rsidR="00475A4C" w:rsidRPr="001C68DE" w14:paraId="4B70F5F0" w14:textId="77777777" w:rsidTr="005E0FA9">
        <w:trPr>
          <w:trHeight w:val="144"/>
          <w:tblHeader/>
        </w:trPr>
        <w:tc>
          <w:tcPr>
            <w:tcW w:w="1165" w:type="dxa"/>
            <w:shd w:val="clear" w:color="auto" w:fill="auto"/>
          </w:tcPr>
          <w:p w14:paraId="0912AA4D" w14:textId="2B9AD87A" w:rsidR="00475A4C" w:rsidRPr="001C68DE" w:rsidRDefault="00475A4C" w:rsidP="001136D3">
            <w:pPr>
              <w:spacing w:after="0"/>
              <w:rPr>
                <w:rFonts w:eastAsia="Calibri"/>
                <w:b/>
                <w:szCs w:val="24"/>
                <w:lang w:val="en-GB"/>
              </w:rPr>
            </w:pPr>
            <w:r>
              <w:rPr>
                <w:szCs w:val="24"/>
              </w:rPr>
              <w:t>FR163</w:t>
            </w:r>
          </w:p>
        </w:tc>
        <w:tc>
          <w:tcPr>
            <w:tcW w:w="8190" w:type="dxa"/>
            <w:shd w:val="clear" w:color="auto" w:fill="auto"/>
          </w:tcPr>
          <w:p w14:paraId="2C1C0ECF" w14:textId="1523A38D" w:rsidR="00475A4C" w:rsidRPr="001C68DE" w:rsidRDefault="00475A4C" w:rsidP="001136D3">
            <w:pPr>
              <w:spacing w:after="0"/>
              <w:rPr>
                <w:rFonts w:eastAsia="Calibri"/>
                <w:b/>
                <w:szCs w:val="24"/>
                <w:lang w:val="en-GB"/>
              </w:rPr>
            </w:pPr>
            <w:r>
              <w:rPr>
                <w:szCs w:val="24"/>
              </w:rPr>
              <w:t>The NSW must allow generation of reports to facilitate effective monitoring of performance and SLAs.</w:t>
            </w:r>
          </w:p>
        </w:tc>
      </w:tr>
      <w:tr w:rsidR="00475A4C" w:rsidRPr="001C68DE" w14:paraId="25A3973B" w14:textId="77777777" w:rsidTr="00513AB5">
        <w:trPr>
          <w:trHeight w:val="144"/>
          <w:tblHeader/>
        </w:trPr>
        <w:tc>
          <w:tcPr>
            <w:tcW w:w="1165" w:type="dxa"/>
            <w:shd w:val="clear" w:color="auto" w:fill="auto"/>
            <w:vAlign w:val="center"/>
          </w:tcPr>
          <w:p w14:paraId="4797D0C1" w14:textId="5B477ED5" w:rsidR="00475A4C" w:rsidRPr="001136D3" w:rsidRDefault="00771711" w:rsidP="001136D3">
            <w:pPr>
              <w:spacing w:after="0"/>
              <w:rPr>
                <w:rFonts w:eastAsia="Calibri"/>
                <w:szCs w:val="24"/>
                <w:lang w:val="en-GB"/>
              </w:rPr>
            </w:pPr>
            <w:r w:rsidRPr="001136D3">
              <w:rPr>
                <w:rFonts w:eastAsia="Calibri"/>
                <w:szCs w:val="24"/>
                <w:lang w:val="en-GB"/>
              </w:rPr>
              <w:t>FR575</w:t>
            </w:r>
          </w:p>
        </w:tc>
        <w:tc>
          <w:tcPr>
            <w:tcW w:w="8190" w:type="dxa"/>
            <w:shd w:val="clear" w:color="auto" w:fill="auto"/>
          </w:tcPr>
          <w:p w14:paraId="26304A6A" w14:textId="76CB4208" w:rsidR="00475A4C" w:rsidRPr="001136D3" w:rsidRDefault="00771711" w:rsidP="001136D3">
            <w:pPr>
              <w:spacing w:after="0"/>
              <w:rPr>
                <w:rFonts w:eastAsia="Calibri"/>
                <w:szCs w:val="24"/>
                <w:lang w:val="en-GB"/>
              </w:rPr>
            </w:pPr>
            <w:r w:rsidRPr="001136D3">
              <w:rPr>
                <w:rFonts w:eastAsia="Calibri"/>
                <w:szCs w:val="24"/>
                <w:lang w:val="en-GB"/>
              </w:rPr>
              <w:t xml:space="preserve">The system must be able to provide reporting functionality for the business, </w:t>
            </w:r>
            <w:proofErr w:type="gramStart"/>
            <w:r w:rsidRPr="001136D3">
              <w:rPr>
                <w:rFonts w:eastAsia="Calibri"/>
                <w:szCs w:val="24"/>
                <w:lang w:val="en-GB"/>
              </w:rPr>
              <w:t>services</w:t>
            </w:r>
            <w:proofErr w:type="gramEnd"/>
            <w:r w:rsidRPr="001136D3">
              <w:rPr>
                <w:rFonts w:eastAsia="Calibri"/>
                <w:szCs w:val="24"/>
                <w:lang w:val="en-GB"/>
              </w:rPr>
              <w:t xml:space="preserve"> and system.</w:t>
            </w:r>
          </w:p>
        </w:tc>
      </w:tr>
      <w:tr w:rsidR="00475A4C" w:rsidRPr="001C68DE" w14:paraId="5C1E1813" w14:textId="77777777" w:rsidTr="00513AB5">
        <w:trPr>
          <w:trHeight w:val="144"/>
          <w:tblHeader/>
        </w:trPr>
        <w:tc>
          <w:tcPr>
            <w:tcW w:w="1165" w:type="dxa"/>
            <w:shd w:val="clear" w:color="auto" w:fill="auto"/>
            <w:vAlign w:val="center"/>
          </w:tcPr>
          <w:p w14:paraId="0FED7A4B" w14:textId="2EA925D6" w:rsidR="00475A4C" w:rsidRPr="001136D3" w:rsidRDefault="00771711" w:rsidP="001136D3">
            <w:pPr>
              <w:spacing w:after="0"/>
              <w:rPr>
                <w:rFonts w:eastAsia="Calibri"/>
                <w:szCs w:val="24"/>
                <w:lang w:val="en-GB"/>
              </w:rPr>
            </w:pPr>
            <w:r w:rsidRPr="001136D3">
              <w:rPr>
                <w:rFonts w:eastAsia="Calibri"/>
                <w:szCs w:val="24"/>
                <w:lang w:val="en-GB"/>
              </w:rPr>
              <w:t>FR576</w:t>
            </w:r>
          </w:p>
        </w:tc>
        <w:tc>
          <w:tcPr>
            <w:tcW w:w="8190" w:type="dxa"/>
            <w:shd w:val="clear" w:color="auto" w:fill="auto"/>
          </w:tcPr>
          <w:p w14:paraId="24794A24" w14:textId="23E4CDBB" w:rsidR="00475A4C" w:rsidRPr="001136D3" w:rsidRDefault="00771711" w:rsidP="001136D3">
            <w:pPr>
              <w:spacing w:after="0"/>
              <w:rPr>
                <w:rFonts w:eastAsia="Calibri"/>
                <w:szCs w:val="24"/>
                <w:lang w:val="en-GB"/>
              </w:rPr>
            </w:pPr>
            <w:r w:rsidRPr="001136D3">
              <w:rPr>
                <w:rFonts w:eastAsia="Calibri"/>
                <w:szCs w:val="24"/>
                <w:lang w:val="en-GB"/>
              </w:rPr>
              <w:t>The system must be able to integrate with the current environment referring to data infrastructure (data warehouse and authentication systems).</w:t>
            </w:r>
          </w:p>
        </w:tc>
      </w:tr>
      <w:tr w:rsidR="00475A4C" w:rsidRPr="001C68DE" w14:paraId="4CFF8043" w14:textId="77777777" w:rsidTr="00513AB5">
        <w:trPr>
          <w:trHeight w:val="144"/>
          <w:tblHeader/>
        </w:trPr>
        <w:tc>
          <w:tcPr>
            <w:tcW w:w="1165" w:type="dxa"/>
            <w:shd w:val="clear" w:color="auto" w:fill="auto"/>
            <w:vAlign w:val="center"/>
          </w:tcPr>
          <w:p w14:paraId="098E784F" w14:textId="5AFF4724" w:rsidR="00475A4C" w:rsidRPr="001136D3" w:rsidRDefault="00771711" w:rsidP="001136D3">
            <w:pPr>
              <w:spacing w:after="0"/>
              <w:rPr>
                <w:rFonts w:eastAsia="Calibri"/>
                <w:szCs w:val="24"/>
                <w:lang w:val="en-GB"/>
              </w:rPr>
            </w:pPr>
            <w:r w:rsidRPr="001136D3">
              <w:rPr>
                <w:rFonts w:eastAsia="Calibri"/>
                <w:szCs w:val="24"/>
                <w:lang w:val="en-GB"/>
              </w:rPr>
              <w:t>FR577</w:t>
            </w:r>
          </w:p>
        </w:tc>
        <w:tc>
          <w:tcPr>
            <w:tcW w:w="8190" w:type="dxa"/>
            <w:shd w:val="clear" w:color="auto" w:fill="auto"/>
          </w:tcPr>
          <w:p w14:paraId="39AA154A" w14:textId="552FA69B" w:rsidR="00475A4C" w:rsidRPr="001136D3" w:rsidRDefault="00771711" w:rsidP="001136D3">
            <w:pPr>
              <w:spacing w:after="0"/>
              <w:rPr>
                <w:rFonts w:eastAsia="Calibri"/>
                <w:szCs w:val="24"/>
                <w:lang w:val="en-GB"/>
              </w:rPr>
            </w:pPr>
            <w:r w:rsidRPr="001136D3">
              <w:rPr>
                <w:rFonts w:eastAsia="Calibri"/>
                <w:szCs w:val="24"/>
                <w:lang w:val="en-GB"/>
              </w:rPr>
              <w:t>The system must have option to tailor data analysis by creating customizable dashboards to present specific business and service’s needs.</w:t>
            </w:r>
          </w:p>
        </w:tc>
      </w:tr>
      <w:tr w:rsidR="00475A4C" w:rsidRPr="001C68DE" w14:paraId="48099CF8" w14:textId="77777777" w:rsidTr="00513AB5">
        <w:trPr>
          <w:trHeight w:val="144"/>
          <w:tblHeader/>
        </w:trPr>
        <w:tc>
          <w:tcPr>
            <w:tcW w:w="1165" w:type="dxa"/>
            <w:shd w:val="clear" w:color="auto" w:fill="auto"/>
            <w:vAlign w:val="center"/>
          </w:tcPr>
          <w:p w14:paraId="00E87604" w14:textId="0FBB4CA9" w:rsidR="00475A4C" w:rsidRPr="001136D3" w:rsidRDefault="00771711" w:rsidP="001136D3">
            <w:pPr>
              <w:spacing w:after="0"/>
              <w:rPr>
                <w:rFonts w:eastAsia="Calibri"/>
                <w:szCs w:val="24"/>
                <w:lang w:val="en-GB"/>
              </w:rPr>
            </w:pPr>
            <w:r w:rsidRPr="001136D3">
              <w:rPr>
                <w:rFonts w:eastAsia="Calibri"/>
                <w:szCs w:val="24"/>
                <w:lang w:val="en-GB"/>
              </w:rPr>
              <w:t>FR578</w:t>
            </w:r>
          </w:p>
        </w:tc>
        <w:tc>
          <w:tcPr>
            <w:tcW w:w="8190" w:type="dxa"/>
            <w:shd w:val="clear" w:color="auto" w:fill="auto"/>
          </w:tcPr>
          <w:p w14:paraId="71042B9A" w14:textId="6761D7DF" w:rsidR="00475A4C" w:rsidRPr="001136D3" w:rsidRDefault="00771711" w:rsidP="001136D3">
            <w:pPr>
              <w:spacing w:after="0"/>
              <w:rPr>
                <w:rFonts w:eastAsia="Calibri"/>
                <w:szCs w:val="24"/>
                <w:lang w:val="en-GB"/>
              </w:rPr>
            </w:pPr>
            <w:r w:rsidRPr="001136D3">
              <w:rPr>
                <w:rFonts w:eastAsia="Calibri"/>
                <w:szCs w:val="24"/>
                <w:lang w:val="en-GB"/>
              </w:rPr>
              <w:t xml:space="preserve">The system shall have the drag and drop functionality for widgets, </w:t>
            </w:r>
            <w:proofErr w:type="gramStart"/>
            <w:r w:rsidRPr="001136D3">
              <w:rPr>
                <w:rFonts w:eastAsia="Calibri"/>
                <w:szCs w:val="24"/>
                <w:lang w:val="en-GB"/>
              </w:rPr>
              <w:t>graphs</w:t>
            </w:r>
            <w:proofErr w:type="gramEnd"/>
            <w:r w:rsidRPr="001136D3">
              <w:rPr>
                <w:rFonts w:eastAsia="Calibri"/>
                <w:szCs w:val="24"/>
                <w:lang w:val="en-GB"/>
              </w:rPr>
              <w:t xml:space="preserve"> and charts in order to visualize the data.</w:t>
            </w:r>
          </w:p>
        </w:tc>
      </w:tr>
      <w:tr w:rsidR="00771711" w:rsidRPr="001C68DE" w14:paraId="2B3FB6A4" w14:textId="77777777" w:rsidTr="00513AB5">
        <w:trPr>
          <w:trHeight w:val="144"/>
          <w:tblHeader/>
        </w:trPr>
        <w:tc>
          <w:tcPr>
            <w:tcW w:w="1165" w:type="dxa"/>
            <w:shd w:val="clear" w:color="auto" w:fill="auto"/>
            <w:vAlign w:val="center"/>
          </w:tcPr>
          <w:p w14:paraId="6AE52A96" w14:textId="7764CD89" w:rsidR="00771711" w:rsidRPr="001136D3" w:rsidRDefault="00771711" w:rsidP="00BD0D3F">
            <w:pPr>
              <w:spacing w:after="0"/>
              <w:rPr>
                <w:rFonts w:eastAsia="Calibri"/>
                <w:szCs w:val="24"/>
                <w:lang w:val="en-GB"/>
              </w:rPr>
            </w:pPr>
            <w:r w:rsidRPr="001136D3">
              <w:rPr>
                <w:rFonts w:eastAsia="Calibri"/>
                <w:szCs w:val="24"/>
                <w:lang w:val="en-GB"/>
              </w:rPr>
              <w:t>FR579</w:t>
            </w:r>
          </w:p>
        </w:tc>
        <w:tc>
          <w:tcPr>
            <w:tcW w:w="8190" w:type="dxa"/>
            <w:shd w:val="clear" w:color="auto" w:fill="auto"/>
          </w:tcPr>
          <w:p w14:paraId="749FA311" w14:textId="480D8295" w:rsidR="00771711" w:rsidRPr="001136D3" w:rsidRDefault="00771711" w:rsidP="00BD0D3F">
            <w:pPr>
              <w:spacing w:after="0"/>
              <w:rPr>
                <w:rFonts w:eastAsia="Calibri"/>
                <w:szCs w:val="24"/>
                <w:lang w:val="en-GB"/>
              </w:rPr>
            </w:pPr>
            <w:r w:rsidRPr="001136D3">
              <w:rPr>
                <w:rFonts w:eastAsia="Calibri"/>
                <w:szCs w:val="24"/>
                <w:lang w:val="en-GB"/>
              </w:rPr>
              <w:t>The system must be able to use real-time data synchronization.</w:t>
            </w:r>
          </w:p>
        </w:tc>
      </w:tr>
      <w:tr w:rsidR="00771711" w:rsidRPr="001C68DE" w14:paraId="60CE8D40" w14:textId="77777777" w:rsidTr="00513AB5">
        <w:trPr>
          <w:trHeight w:val="144"/>
          <w:tblHeader/>
        </w:trPr>
        <w:tc>
          <w:tcPr>
            <w:tcW w:w="1165" w:type="dxa"/>
            <w:shd w:val="clear" w:color="auto" w:fill="auto"/>
            <w:vAlign w:val="center"/>
          </w:tcPr>
          <w:p w14:paraId="6AED7558" w14:textId="53D4F7FF" w:rsidR="00771711" w:rsidRPr="001136D3" w:rsidRDefault="00771711" w:rsidP="00BD0D3F">
            <w:pPr>
              <w:spacing w:after="0"/>
              <w:rPr>
                <w:rFonts w:eastAsia="Calibri"/>
                <w:szCs w:val="24"/>
                <w:lang w:val="en-GB"/>
              </w:rPr>
            </w:pPr>
            <w:r w:rsidRPr="001136D3">
              <w:rPr>
                <w:rFonts w:eastAsia="Calibri"/>
                <w:szCs w:val="24"/>
                <w:lang w:val="en-GB"/>
              </w:rPr>
              <w:t>FR580</w:t>
            </w:r>
          </w:p>
        </w:tc>
        <w:tc>
          <w:tcPr>
            <w:tcW w:w="8190" w:type="dxa"/>
            <w:shd w:val="clear" w:color="auto" w:fill="auto"/>
          </w:tcPr>
          <w:p w14:paraId="32BB91A1" w14:textId="5FB28992" w:rsidR="00771711" w:rsidRPr="001136D3" w:rsidRDefault="00771711" w:rsidP="00BD0D3F">
            <w:pPr>
              <w:spacing w:after="0"/>
              <w:rPr>
                <w:rFonts w:eastAsia="Calibri"/>
                <w:szCs w:val="24"/>
                <w:lang w:val="en-GB"/>
              </w:rPr>
            </w:pPr>
            <w:r w:rsidRPr="001136D3">
              <w:rPr>
                <w:rFonts w:eastAsia="Calibri"/>
                <w:szCs w:val="24"/>
                <w:lang w:val="en-GB"/>
              </w:rPr>
              <w:t>The system must be able to transform complex data sets into actionable insights with advanced data visualization tools.</w:t>
            </w:r>
          </w:p>
        </w:tc>
      </w:tr>
      <w:tr w:rsidR="00771711" w:rsidRPr="001C68DE" w14:paraId="401A1D27" w14:textId="77777777" w:rsidTr="00513AB5">
        <w:trPr>
          <w:trHeight w:val="144"/>
          <w:tblHeader/>
        </w:trPr>
        <w:tc>
          <w:tcPr>
            <w:tcW w:w="1165" w:type="dxa"/>
            <w:shd w:val="clear" w:color="auto" w:fill="auto"/>
            <w:vAlign w:val="center"/>
          </w:tcPr>
          <w:p w14:paraId="52DFA51C" w14:textId="73A1A75D" w:rsidR="00771711" w:rsidRPr="001136D3" w:rsidRDefault="00771711" w:rsidP="00BD0D3F">
            <w:pPr>
              <w:spacing w:after="0"/>
              <w:rPr>
                <w:rFonts w:eastAsia="Calibri"/>
                <w:szCs w:val="24"/>
                <w:lang w:val="en-GB"/>
              </w:rPr>
            </w:pPr>
            <w:r w:rsidRPr="001136D3">
              <w:rPr>
                <w:rFonts w:eastAsia="Calibri"/>
                <w:szCs w:val="24"/>
                <w:lang w:val="en-GB"/>
              </w:rPr>
              <w:t>FR581</w:t>
            </w:r>
          </w:p>
        </w:tc>
        <w:tc>
          <w:tcPr>
            <w:tcW w:w="8190" w:type="dxa"/>
            <w:shd w:val="clear" w:color="auto" w:fill="auto"/>
          </w:tcPr>
          <w:p w14:paraId="68CDF418" w14:textId="6D20F04F" w:rsidR="00771711" w:rsidRPr="001136D3" w:rsidRDefault="00771711" w:rsidP="00BD0D3F">
            <w:pPr>
              <w:spacing w:after="0"/>
              <w:rPr>
                <w:rFonts w:eastAsia="Calibri"/>
                <w:szCs w:val="24"/>
                <w:lang w:val="en-GB"/>
              </w:rPr>
            </w:pPr>
            <w:r w:rsidRPr="001136D3">
              <w:rPr>
                <w:rFonts w:eastAsia="Calibri"/>
                <w:szCs w:val="24"/>
                <w:lang w:val="en-GB"/>
              </w:rPr>
              <w:t>The system shall have possibility for cross-module analytics and should identify correlations and trends between seemingly unrelated data sets.</w:t>
            </w:r>
          </w:p>
        </w:tc>
      </w:tr>
      <w:tr w:rsidR="00771711" w:rsidRPr="001C68DE" w14:paraId="2AC1B27A" w14:textId="77777777" w:rsidTr="00513AB5">
        <w:trPr>
          <w:trHeight w:val="144"/>
          <w:tblHeader/>
        </w:trPr>
        <w:tc>
          <w:tcPr>
            <w:tcW w:w="1165" w:type="dxa"/>
            <w:shd w:val="clear" w:color="auto" w:fill="auto"/>
            <w:vAlign w:val="center"/>
          </w:tcPr>
          <w:p w14:paraId="32013054" w14:textId="66BC132D" w:rsidR="00771711" w:rsidRPr="001136D3" w:rsidRDefault="00771711" w:rsidP="00BD0D3F">
            <w:pPr>
              <w:spacing w:after="0"/>
              <w:rPr>
                <w:rFonts w:eastAsia="Calibri"/>
                <w:szCs w:val="24"/>
                <w:lang w:val="en-GB"/>
              </w:rPr>
            </w:pPr>
            <w:r w:rsidRPr="001136D3">
              <w:rPr>
                <w:rFonts w:eastAsia="Calibri"/>
                <w:szCs w:val="24"/>
                <w:lang w:val="en-GB"/>
              </w:rPr>
              <w:t>FR582</w:t>
            </w:r>
          </w:p>
        </w:tc>
        <w:tc>
          <w:tcPr>
            <w:tcW w:w="8190" w:type="dxa"/>
            <w:shd w:val="clear" w:color="auto" w:fill="auto"/>
          </w:tcPr>
          <w:p w14:paraId="72A7CF1E" w14:textId="0BCC0F39" w:rsidR="00771711" w:rsidRPr="001136D3" w:rsidRDefault="00771711" w:rsidP="00BD0D3F">
            <w:pPr>
              <w:spacing w:after="0"/>
              <w:rPr>
                <w:rFonts w:eastAsia="Calibri"/>
                <w:szCs w:val="24"/>
                <w:lang w:val="en-GB"/>
              </w:rPr>
            </w:pPr>
            <w:r w:rsidRPr="001136D3">
              <w:rPr>
                <w:rFonts w:eastAsia="Calibri"/>
                <w:szCs w:val="24"/>
                <w:lang w:val="en-GB"/>
              </w:rPr>
              <w:t>The system must employ robust encryption protocols and access controls, ensuring accessibility to authorized personnel.</w:t>
            </w:r>
          </w:p>
        </w:tc>
      </w:tr>
      <w:tr w:rsidR="00771711" w:rsidRPr="001C68DE" w14:paraId="58CCCB41" w14:textId="77777777" w:rsidTr="00513AB5">
        <w:trPr>
          <w:trHeight w:val="144"/>
          <w:tblHeader/>
        </w:trPr>
        <w:tc>
          <w:tcPr>
            <w:tcW w:w="1165" w:type="dxa"/>
            <w:shd w:val="clear" w:color="auto" w:fill="auto"/>
            <w:vAlign w:val="center"/>
          </w:tcPr>
          <w:p w14:paraId="12AFE3CE" w14:textId="0B2D2666" w:rsidR="00771711" w:rsidRPr="001136D3" w:rsidRDefault="00771711" w:rsidP="00BD0D3F">
            <w:pPr>
              <w:spacing w:after="0"/>
              <w:rPr>
                <w:rFonts w:eastAsia="Calibri"/>
                <w:szCs w:val="24"/>
                <w:lang w:val="en-GB"/>
              </w:rPr>
            </w:pPr>
            <w:r w:rsidRPr="001136D3">
              <w:rPr>
                <w:rFonts w:eastAsia="Calibri"/>
                <w:szCs w:val="24"/>
                <w:lang w:val="en-GB"/>
              </w:rPr>
              <w:t>FR583</w:t>
            </w:r>
          </w:p>
        </w:tc>
        <w:tc>
          <w:tcPr>
            <w:tcW w:w="8190" w:type="dxa"/>
            <w:shd w:val="clear" w:color="auto" w:fill="auto"/>
          </w:tcPr>
          <w:p w14:paraId="00C320C5" w14:textId="27A75CE7" w:rsidR="00771711" w:rsidRPr="001136D3" w:rsidRDefault="00771711" w:rsidP="00BD0D3F">
            <w:pPr>
              <w:spacing w:after="0"/>
              <w:rPr>
                <w:rFonts w:eastAsia="Calibri"/>
                <w:szCs w:val="24"/>
                <w:lang w:val="en-GB"/>
              </w:rPr>
            </w:pPr>
            <w:r w:rsidRPr="001136D3">
              <w:rPr>
                <w:rFonts w:eastAsia="Calibri"/>
                <w:szCs w:val="24"/>
                <w:lang w:val="en-GB"/>
              </w:rPr>
              <w:t>The system must be able to produce different reports for each CBRA.</w:t>
            </w:r>
          </w:p>
        </w:tc>
      </w:tr>
    </w:tbl>
    <w:p w14:paraId="07A3D82B" w14:textId="77777777" w:rsidR="008E779D" w:rsidRDefault="008E779D" w:rsidP="005E0FA9">
      <w:pPr>
        <w:rPr>
          <w:b/>
          <w:bCs/>
          <w:szCs w:val="24"/>
        </w:rPr>
      </w:pPr>
    </w:p>
    <w:p w14:paraId="4A98CD10" w14:textId="7540E8BD" w:rsidR="00157AAA" w:rsidRPr="008E2AAD" w:rsidRDefault="006C1BE5" w:rsidP="006517A3">
      <w:pPr>
        <w:rPr>
          <w:b/>
          <w:bCs/>
          <w:szCs w:val="24"/>
        </w:rPr>
      </w:pPr>
      <w:r w:rsidRPr="008E2AAD">
        <w:rPr>
          <w:b/>
          <w:bCs/>
          <w:szCs w:val="24"/>
        </w:rPr>
        <w:t>1.2.16 Help Desk</w:t>
      </w:r>
    </w:p>
    <w:p w14:paraId="05C94273" w14:textId="233FFE60" w:rsidR="00157AAA" w:rsidRPr="006517A3" w:rsidRDefault="006C1BE5" w:rsidP="006517A3">
      <w:r>
        <w:t xml:space="preserve">The Help desk service is where the NSW Helpdesk </w:t>
      </w:r>
      <w:proofErr w:type="gramStart"/>
      <w:r>
        <w:t>support</w:t>
      </w:r>
      <w:proofErr w:type="gramEnd"/>
      <w:r>
        <w:t xml:space="preserve"> the traders and CBRA users on issues related to the usage of the NSW. It uses the issue tracking </w:t>
      </w:r>
      <w:proofErr w:type="gramStart"/>
      <w:r>
        <w:t>component</w:t>
      </w:r>
      <w:proofErr w:type="gramEnd"/>
      <w:r>
        <w:t xml:space="preserve"> and it is recommended that it is provided by a COTS solution. </w:t>
      </w:r>
    </w:p>
    <w:p w14:paraId="1506EA4E" w14:textId="77777777" w:rsidR="00157AAA" w:rsidRPr="008E2AAD" w:rsidRDefault="006C1BE5">
      <w:pPr>
        <w:ind w:left="720" w:firstLine="720"/>
        <w:rPr>
          <w:b/>
          <w:lang w:val="en-GB"/>
        </w:rPr>
      </w:pPr>
      <w:r w:rsidRPr="008E2AAD">
        <w:rPr>
          <w:b/>
          <w:bCs/>
          <w:szCs w:val="24"/>
        </w:rPr>
        <w:lastRenderedPageBreak/>
        <w:t>1.2.16.1.</w:t>
      </w:r>
      <w:r w:rsidRPr="008E2AAD">
        <w:rPr>
          <w:b/>
        </w:rPr>
        <w:t xml:space="preserve"> Issue Tracking</w:t>
      </w:r>
    </w:p>
    <w:p w14:paraId="45577279" w14:textId="77777777" w:rsidR="00157AAA" w:rsidRDefault="006C1BE5">
      <w:pPr>
        <w:ind w:left="720"/>
      </w:pPr>
      <w:r>
        <w:t xml:space="preserve">The NSW Helpdesk will have an issue tracking system as the main contact point </w:t>
      </w:r>
      <w:proofErr w:type="gramStart"/>
      <w:r>
        <w:t>towards</w:t>
      </w:r>
      <w:proofErr w:type="gramEnd"/>
      <w:r>
        <w:t xml:space="preserve"> all users of the NSW system. </w:t>
      </w:r>
      <w:proofErr w:type="gramStart"/>
      <w:r>
        <w:t>The issue</w:t>
      </w:r>
      <w:proofErr w:type="gramEnd"/>
      <w:r>
        <w:t xml:space="preserve"> tracking will be a traditional way of handling issues, questions, and bugs that may arise while using the NSW.</w:t>
      </w:r>
    </w:p>
    <w:p w14:paraId="46CF7861" w14:textId="77777777" w:rsidR="00157AAA" w:rsidRDefault="006C1BE5">
      <w:pPr>
        <w:ind w:left="2126"/>
        <w:jc w:val="left"/>
        <w:rPr>
          <w:i/>
        </w:rPr>
      </w:pPr>
      <w:r>
        <w:rPr>
          <w:i/>
        </w:rPr>
        <w:t>For the NSW user role:</w:t>
      </w:r>
    </w:p>
    <w:p w14:paraId="2049F4B6" w14:textId="77777777" w:rsidR="00157AAA" w:rsidRDefault="006C1BE5" w:rsidP="00D530D5">
      <w:pPr>
        <w:pStyle w:val="ListParagraph"/>
        <w:numPr>
          <w:ilvl w:val="1"/>
          <w:numId w:val="74"/>
        </w:numPr>
        <w:ind w:left="2520" w:hanging="270"/>
        <w:jc w:val="left"/>
      </w:pPr>
      <w:r>
        <w:t xml:space="preserve">Register </w:t>
      </w:r>
      <w:proofErr w:type="gramStart"/>
      <w:r>
        <w:t>issue;</w:t>
      </w:r>
      <w:proofErr w:type="gramEnd"/>
    </w:p>
    <w:p w14:paraId="503DAAEE" w14:textId="77777777" w:rsidR="00157AAA" w:rsidRDefault="006C1BE5" w:rsidP="00D530D5">
      <w:pPr>
        <w:pStyle w:val="ListParagraph"/>
        <w:numPr>
          <w:ilvl w:val="1"/>
          <w:numId w:val="74"/>
        </w:numPr>
        <w:ind w:left="2520" w:hanging="270"/>
        <w:jc w:val="left"/>
      </w:pPr>
      <w:r>
        <w:t xml:space="preserve">Update </w:t>
      </w:r>
      <w:proofErr w:type="gramStart"/>
      <w:r>
        <w:t>issue;</w:t>
      </w:r>
      <w:proofErr w:type="gramEnd"/>
    </w:p>
    <w:p w14:paraId="68D34ADE" w14:textId="77777777" w:rsidR="00157AAA" w:rsidRDefault="006C1BE5" w:rsidP="00D530D5">
      <w:pPr>
        <w:pStyle w:val="ListParagraph"/>
        <w:numPr>
          <w:ilvl w:val="1"/>
          <w:numId w:val="74"/>
        </w:numPr>
        <w:ind w:left="2520" w:hanging="270"/>
        <w:jc w:val="left"/>
      </w:pPr>
      <w:r>
        <w:t>Search and view status of submitted issues; and</w:t>
      </w:r>
    </w:p>
    <w:p w14:paraId="0CEC21C2" w14:textId="77777777" w:rsidR="00157AAA" w:rsidRDefault="006C1BE5" w:rsidP="00D530D5">
      <w:pPr>
        <w:pStyle w:val="ListParagraph"/>
        <w:numPr>
          <w:ilvl w:val="1"/>
          <w:numId w:val="74"/>
        </w:numPr>
        <w:ind w:left="2520" w:hanging="270"/>
        <w:jc w:val="left"/>
      </w:pPr>
      <w:r>
        <w:t>Close issue.</w:t>
      </w:r>
    </w:p>
    <w:p w14:paraId="59D7D3A9" w14:textId="77777777" w:rsidR="00157AAA" w:rsidRDefault="006C1BE5">
      <w:pPr>
        <w:ind w:left="2126"/>
        <w:jc w:val="left"/>
        <w:rPr>
          <w:i/>
        </w:rPr>
      </w:pPr>
      <w:r>
        <w:rPr>
          <w:i/>
        </w:rPr>
        <w:t>For the NSW Helpdesk role:</w:t>
      </w:r>
    </w:p>
    <w:p w14:paraId="47DFDF79" w14:textId="77777777" w:rsidR="00157AAA" w:rsidRDefault="006C1BE5" w:rsidP="00D530D5">
      <w:pPr>
        <w:pStyle w:val="ListParagraph"/>
        <w:numPr>
          <w:ilvl w:val="0"/>
          <w:numId w:val="75"/>
        </w:numPr>
        <w:ind w:left="2610"/>
        <w:jc w:val="left"/>
      </w:pPr>
      <w:r>
        <w:t xml:space="preserve">Register </w:t>
      </w:r>
      <w:proofErr w:type="gramStart"/>
      <w:r>
        <w:t>issue;</w:t>
      </w:r>
      <w:proofErr w:type="gramEnd"/>
    </w:p>
    <w:p w14:paraId="728D0011" w14:textId="77777777" w:rsidR="00157AAA" w:rsidRDefault="006C1BE5" w:rsidP="00D530D5">
      <w:pPr>
        <w:pStyle w:val="ListParagraph"/>
        <w:numPr>
          <w:ilvl w:val="0"/>
          <w:numId w:val="75"/>
        </w:numPr>
        <w:ind w:left="2610"/>
        <w:jc w:val="left"/>
      </w:pPr>
      <w:r>
        <w:t xml:space="preserve">Update </w:t>
      </w:r>
      <w:proofErr w:type="gramStart"/>
      <w:r>
        <w:t>issue;</w:t>
      </w:r>
      <w:proofErr w:type="gramEnd"/>
    </w:p>
    <w:p w14:paraId="26488796" w14:textId="77777777" w:rsidR="00157AAA" w:rsidRDefault="006C1BE5" w:rsidP="00D530D5">
      <w:pPr>
        <w:pStyle w:val="ListParagraph"/>
        <w:numPr>
          <w:ilvl w:val="0"/>
          <w:numId w:val="75"/>
        </w:numPr>
        <w:ind w:left="2610"/>
        <w:jc w:val="left"/>
      </w:pPr>
      <w:r>
        <w:t xml:space="preserve">Search and view issues based on users, status, category and date of </w:t>
      </w:r>
      <w:proofErr w:type="gramStart"/>
      <w:r>
        <w:t>submission;</w:t>
      </w:r>
      <w:proofErr w:type="gramEnd"/>
    </w:p>
    <w:p w14:paraId="47863F43" w14:textId="77777777" w:rsidR="00157AAA" w:rsidRDefault="006C1BE5" w:rsidP="00D530D5">
      <w:pPr>
        <w:pStyle w:val="ListParagraph"/>
        <w:numPr>
          <w:ilvl w:val="0"/>
          <w:numId w:val="75"/>
        </w:numPr>
        <w:ind w:left="2610"/>
        <w:jc w:val="left"/>
      </w:pPr>
      <w:r>
        <w:t>Solve issue; and</w:t>
      </w:r>
    </w:p>
    <w:p w14:paraId="0435C8E8" w14:textId="77777777" w:rsidR="00157AAA" w:rsidRDefault="006C1BE5" w:rsidP="00D530D5">
      <w:pPr>
        <w:pStyle w:val="ListParagraph"/>
        <w:numPr>
          <w:ilvl w:val="0"/>
          <w:numId w:val="75"/>
        </w:numPr>
        <w:ind w:left="2610"/>
        <w:jc w:val="left"/>
      </w:pPr>
      <w:r>
        <w:t>Close issue.</w:t>
      </w:r>
    </w:p>
    <w:tbl>
      <w:tblPr>
        <w:tblStyle w:val="TableGrid"/>
        <w:tblW w:w="9355" w:type="dxa"/>
        <w:tblLook w:val="04A0" w:firstRow="1" w:lastRow="0" w:firstColumn="1" w:lastColumn="0" w:noHBand="0" w:noVBand="1"/>
      </w:tblPr>
      <w:tblGrid>
        <w:gridCol w:w="1165"/>
        <w:gridCol w:w="8190"/>
      </w:tblGrid>
      <w:tr w:rsidR="00BD0D3F" w:rsidRPr="001C68DE" w14:paraId="232D839C" w14:textId="77777777" w:rsidTr="00BD0D3F">
        <w:trPr>
          <w:trHeight w:val="396"/>
        </w:trPr>
        <w:tc>
          <w:tcPr>
            <w:tcW w:w="1165" w:type="dxa"/>
            <w:shd w:val="clear" w:color="auto" w:fill="D9D9D9" w:themeFill="background1" w:themeFillShade="D9"/>
          </w:tcPr>
          <w:p w14:paraId="638BE8E9" w14:textId="77777777" w:rsidR="00BD0D3F" w:rsidRPr="001C68DE" w:rsidRDefault="00BD0D3F" w:rsidP="00A51F53">
            <w:pPr>
              <w:spacing w:after="0"/>
              <w:rPr>
                <w:rFonts w:eastAsia="Calibri"/>
                <w:b/>
                <w:szCs w:val="24"/>
                <w:lang w:val="en-GB"/>
              </w:rPr>
            </w:pPr>
            <w:r>
              <w:rPr>
                <w:rFonts w:eastAsia="Calibri"/>
                <w:b/>
                <w:szCs w:val="24"/>
                <w:lang w:val="en-GB"/>
              </w:rPr>
              <w:t xml:space="preserve">FR </w:t>
            </w:r>
            <w:r w:rsidRPr="001C68DE">
              <w:rPr>
                <w:rFonts w:eastAsia="Calibri"/>
                <w:b/>
                <w:szCs w:val="24"/>
                <w:lang w:val="en-GB"/>
              </w:rPr>
              <w:t>ID</w:t>
            </w:r>
          </w:p>
        </w:tc>
        <w:tc>
          <w:tcPr>
            <w:tcW w:w="8190" w:type="dxa"/>
            <w:shd w:val="clear" w:color="auto" w:fill="D9D9D9" w:themeFill="background1" w:themeFillShade="D9"/>
          </w:tcPr>
          <w:p w14:paraId="0973310D" w14:textId="77777777" w:rsidR="00BD0D3F" w:rsidRPr="001C68DE" w:rsidRDefault="00BD0D3F" w:rsidP="00A51F53">
            <w:pPr>
              <w:spacing w:after="0"/>
              <w:rPr>
                <w:rFonts w:eastAsia="Calibri"/>
                <w:b/>
                <w:szCs w:val="24"/>
                <w:lang w:val="en-GB"/>
              </w:rPr>
            </w:pPr>
            <w:r w:rsidRPr="001C68DE">
              <w:rPr>
                <w:rFonts w:eastAsia="Calibri"/>
                <w:b/>
                <w:szCs w:val="24"/>
                <w:lang w:val="en-GB"/>
              </w:rPr>
              <w:t>Description</w:t>
            </w:r>
          </w:p>
        </w:tc>
      </w:tr>
      <w:tr w:rsidR="00B40A37" w:rsidRPr="001C68DE" w14:paraId="487BCA75" w14:textId="77777777" w:rsidTr="001136D3">
        <w:trPr>
          <w:trHeight w:val="396"/>
        </w:trPr>
        <w:tc>
          <w:tcPr>
            <w:tcW w:w="1165" w:type="dxa"/>
            <w:shd w:val="clear" w:color="auto" w:fill="auto"/>
          </w:tcPr>
          <w:p w14:paraId="7A576A37" w14:textId="4EFFD186" w:rsidR="00B40A37" w:rsidRDefault="00B40A37" w:rsidP="00B40A37">
            <w:pPr>
              <w:spacing w:after="0"/>
              <w:rPr>
                <w:rFonts w:eastAsia="Calibri"/>
                <w:b/>
                <w:szCs w:val="24"/>
                <w:lang w:val="en-GB"/>
              </w:rPr>
            </w:pPr>
            <w:r>
              <w:rPr>
                <w:szCs w:val="24"/>
              </w:rPr>
              <w:t>FR</w:t>
            </w:r>
            <w:r>
              <w:rPr>
                <w:szCs w:val="24"/>
                <w:lang w:val="mk-MK"/>
              </w:rPr>
              <w:t>555</w:t>
            </w:r>
          </w:p>
        </w:tc>
        <w:tc>
          <w:tcPr>
            <w:tcW w:w="8190" w:type="dxa"/>
            <w:shd w:val="clear" w:color="auto" w:fill="auto"/>
          </w:tcPr>
          <w:p w14:paraId="0692CAD4" w14:textId="6A7CC0DD" w:rsidR="00B40A37" w:rsidRPr="001C68DE" w:rsidRDefault="00B40A37" w:rsidP="00B40A37">
            <w:pPr>
              <w:spacing w:after="0"/>
              <w:rPr>
                <w:rFonts w:eastAsia="Calibri"/>
                <w:b/>
                <w:szCs w:val="24"/>
                <w:lang w:val="en-GB"/>
              </w:rPr>
            </w:pPr>
            <w:r>
              <w:rPr>
                <w:szCs w:val="24"/>
              </w:rPr>
              <w:t>NSW users shall be able to submit questions or issues through the NSW Portal.</w:t>
            </w:r>
          </w:p>
        </w:tc>
      </w:tr>
      <w:tr w:rsidR="00B40A37" w:rsidRPr="001C68DE" w14:paraId="0CC36550" w14:textId="77777777" w:rsidTr="00B40A37">
        <w:trPr>
          <w:trHeight w:val="396"/>
        </w:trPr>
        <w:tc>
          <w:tcPr>
            <w:tcW w:w="1165" w:type="dxa"/>
            <w:shd w:val="clear" w:color="auto" w:fill="auto"/>
          </w:tcPr>
          <w:p w14:paraId="7A212FD3" w14:textId="2833E8F5" w:rsidR="00B40A37" w:rsidRDefault="00B40A37" w:rsidP="00B40A37">
            <w:pPr>
              <w:spacing w:after="0"/>
              <w:rPr>
                <w:rFonts w:eastAsia="Calibri"/>
                <w:b/>
                <w:szCs w:val="24"/>
                <w:lang w:val="en-GB"/>
              </w:rPr>
            </w:pPr>
            <w:r>
              <w:rPr>
                <w:szCs w:val="24"/>
              </w:rPr>
              <w:t>FR</w:t>
            </w:r>
            <w:r>
              <w:rPr>
                <w:szCs w:val="24"/>
                <w:lang w:val="mk-MK"/>
              </w:rPr>
              <w:t>556</w:t>
            </w:r>
          </w:p>
        </w:tc>
        <w:tc>
          <w:tcPr>
            <w:tcW w:w="8190" w:type="dxa"/>
            <w:shd w:val="clear" w:color="auto" w:fill="auto"/>
          </w:tcPr>
          <w:p w14:paraId="6634A5A4" w14:textId="563AC8BD" w:rsidR="00B40A37" w:rsidRDefault="00B40A37" w:rsidP="00B40A37">
            <w:pPr>
              <w:spacing w:after="0"/>
              <w:rPr>
                <w:rFonts w:eastAsia="Calibri"/>
                <w:b/>
                <w:szCs w:val="24"/>
                <w:lang w:val="en-GB"/>
              </w:rPr>
            </w:pPr>
            <w:r>
              <w:rPr>
                <w:szCs w:val="24"/>
              </w:rPr>
              <w:t xml:space="preserve">It shall be possible to send messages and notifications to users </w:t>
            </w:r>
            <w:r>
              <w:rPr>
                <w:szCs w:val="24"/>
              </w:rPr>
              <w:br/>
              <w:t xml:space="preserve">whenever there is any information (newsletter) regarding the NSW </w:t>
            </w:r>
            <w:r>
              <w:rPr>
                <w:szCs w:val="24"/>
              </w:rPr>
              <w:br/>
              <w:t xml:space="preserve">services or if there are any issues with the delivery of the services. </w:t>
            </w:r>
            <w:r>
              <w:rPr>
                <w:szCs w:val="24"/>
              </w:rPr>
              <w:br/>
              <w:t xml:space="preserve">Notifications shall also be sent out whenever the status of a trouble </w:t>
            </w:r>
            <w:r>
              <w:rPr>
                <w:szCs w:val="24"/>
              </w:rPr>
              <w:br/>
              <w:t>ticket is changed.</w:t>
            </w:r>
          </w:p>
        </w:tc>
      </w:tr>
      <w:tr w:rsidR="00B40A37" w:rsidRPr="001C68DE" w14:paraId="411B9F69" w14:textId="77777777" w:rsidTr="00B40A37">
        <w:trPr>
          <w:trHeight w:val="396"/>
        </w:trPr>
        <w:tc>
          <w:tcPr>
            <w:tcW w:w="1165" w:type="dxa"/>
            <w:shd w:val="clear" w:color="auto" w:fill="auto"/>
          </w:tcPr>
          <w:p w14:paraId="74342703" w14:textId="4CEDB4B8" w:rsidR="00B40A37" w:rsidRDefault="00B40A37" w:rsidP="00B40A37">
            <w:pPr>
              <w:spacing w:after="0"/>
              <w:rPr>
                <w:rFonts w:eastAsia="Calibri"/>
                <w:b/>
                <w:szCs w:val="24"/>
                <w:lang w:val="en-GB"/>
              </w:rPr>
            </w:pPr>
            <w:r>
              <w:rPr>
                <w:szCs w:val="24"/>
              </w:rPr>
              <w:t>FR</w:t>
            </w:r>
            <w:r>
              <w:rPr>
                <w:szCs w:val="24"/>
                <w:lang w:val="mk-MK"/>
              </w:rPr>
              <w:t>557</w:t>
            </w:r>
          </w:p>
        </w:tc>
        <w:tc>
          <w:tcPr>
            <w:tcW w:w="8190" w:type="dxa"/>
            <w:shd w:val="clear" w:color="auto" w:fill="auto"/>
          </w:tcPr>
          <w:p w14:paraId="0FC985B8" w14:textId="15648923" w:rsidR="00B40A37" w:rsidRDefault="00B40A37" w:rsidP="00B40A37">
            <w:pPr>
              <w:spacing w:after="0"/>
              <w:rPr>
                <w:rFonts w:eastAsia="Calibri"/>
                <w:b/>
                <w:szCs w:val="24"/>
                <w:lang w:val="en-GB"/>
              </w:rPr>
            </w:pPr>
            <w:r>
              <w:rPr>
                <w:szCs w:val="24"/>
              </w:rPr>
              <w:t xml:space="preserve">It shall be possible for NSW users to call the NSW Helpdesk for </w:t>
            </w:r>
            <w:r>
              <w:rPr>
                <w:szCs w:val="24"/>
              </w:rPr>
              <w:br/>
              <w:t>assistance and questions.</w:t>
            </w:r>
          </w:p>
        </w:tc>
      </w:tr>
      <w:tr w:rsidR="00B40A37" w:rsidRPr="001C68DE" w14:paraId="1EB502D1" w14:textId="77777777" w:rsidTr="00B40A37">
        <w:trPr>
          <w:trHeight w:val="396"/>
        </w:trPr>
        <w:tc>
          <w:tcPr>
            <w:tcW w:w="1165" w:type="dxa"/>
            <w:shd w:val="clear" w:color="auto" w:fill="auto"/>
          </w:tcPr>
          <w:p w14:paraId="79CD0902" w14:textId="1A9D08BA" w:rsidR="00B40A37" w:rsidRDefault="00B40A37" w:rsidP="00B40A37">
            <w:pPr>
              <w:spacing w:after="0"/>
              <w:rPr>
                <w:rFonts w:eastAsia="Calibri"/>
                <w:b/>
                <w:szCs w:val="24"/>
                <w:lang w:val="en-GB"/>
              </w:rPr>
            </w:pPr>
            <w:r>
              <w:rPr>
                <w:szCs w:val="24"/>
              </w:rPr>
              <w:t>FR</w:t>
            </w:r>
            <w:r>
              <w:rPr>
                <w:szCs w:val="24"/>
                <w:lang w:val="mk-MK"/>
              </w:rPr>
              <w:t>558</w:t>
            </w:r>
          </w:p>
        </w:tc>
        <w:tc>
          <w:tcPr>
            <w:tcW w:w="8190" w:type="dxa"/>
            <w:shd w:val="clear" w:color="auto" w:fill="auto"/>
          </w:tcPr>
          <w:p w14:paraId="49DF8318" w14:textId="53C07D8A" w:rsidR="00B40A37" w:rsidRDefault="00B40A37" w:rsidP="00B40A37">
            <w:pPr>
              <w:spacing w:after="0"/>
              <w:rPr>
                <w:rFonts w:eastAsia="Calibri"/>
                <w:b/>
                <w:szCs w:val="24"/>
                <w:lang w:val="en-GB"/>
              </w:rPr>
            </w:pPr>
            <w:r>
              <w:rPr>
                <w:szCs w:val="24"/>
              </w:rPr>
              <w:t xml:space="preserve">NSW users shall also have the possibility to use online chat with </w:t>
            </w:r>
            <w:r>
              <w:rPr>
                <w:szCs w:val="24"/>
              </w:rPr>
              <w:br/>
              <w:t xml:space="preserve">NSW Helpdesk. </w:t>
            </w:r>
          </w:p>
        </w:tc>
      </w:tr>
      <w:tr w:rsidR="00B40A37" w:rsidRPr="001C68DE" w14:paraId="2A315744" w14:textId="77777777" w:rsidTr="00B40A37">
        <w:trPr>
          <w:trHeight w:val="396"/>
        </w:trPr>
        <w:tc>
          <w:tcPr>
            <w:tcW w:w="1165" w:type="dxa"/>
            <w:shd w:val="clear" w:color="auto" w:fill="auto"/>
          </w:tcPr>
          <w:p w14:paraId="6F439797" w14:textId="455B1EFC" w:rsidR="00B40A37" w:rsidRDefault="00B40A37" w:rsidP="00B40A37">
            <w:pPr>
              <w:spacing w:after="0"/>
              <w:rPr>
                <w:rFonts w:eastAsia="Calibri"/>
                <w:b/>
                <w:szCs w:val="24"/>
                <w:lang w:val="en-GB"/>
              </w:rPr>
            </w:pPr>
            <w:r>
              <w:rPr>
                <w:szCs w:val="24"/>
              </w:rPr>
              <w:t>FR</w:t>
            </w:r>
            <w:r>
              <w:rPr>
                <w:szCs w:val="24"/>
                <w:lang w:val="mk-MK"/>
              </w:rPr>
              <w:t>559</w:t>
            </w:r>
          </w:p>
        </w:tc>
        <w:tc>
          <w:tcPr>
            <w:tcW w:w="8190" w:type="dxa"/>
            <w:shd w:val="clear" w:color="auto" w:fill="auto"/>
          </w:tcPr>
          <w:p w14:paraId="0F1B6D00" w14:textId="15324A5A" w:rsidR="00B40A37" w:rsidRDefault="00B40A37" w:rsidP="00B40A37">
            <w:pPr>
              <w:spacing w:after="0"/>
              <w:rPr>
                <w:rFonts w:eastAsia="Calibri"/>
                <w:b/>
                <w:szCs w:val="24"/>
                <w:lang w:val="en-GB"/>
              </w:rPr>
            </w:pPr>
            <w:r>
              <w:rPr>
                <w:szCs w:val="24"/>
              </w:rPr>
              <w:t>The NSW Helpdesk shall be responsible for proactive and continuous monitoring of NSW services and the underlying ICT infrastructure.</w:t>
            </w:r>
          </w:p>
        </w:tc>
      </w:tr>
    </w:tbl>
    <w:p w14:paraId="43BDF7A3" w14:textId="77777777" w:rsidR="00157AAA" w:rsidRDefault="00157AAA">
      <w:pPr>
        <w:ind w:left="702"/>
        <w:rPr>
          <w:b/>
          <w:i/>
          <w:szCs w:val="24"/>
        </w:rPr>
      </w:pPr>
    </w:p>
    <w:p w14:paraId="68954B76" w14:textId="77777777" w:rsidR="00157AAA" w:rsidRDefault="006C1BE5">
      <w:pPr>
        <w:pStyle w:val="Head5a2"/>
      </w:pPr>
      <w:bookmarkStart w:id="726" w:name="_Toc145658523"/>
      <w:bookmarkStart w:id="727" w:name="_Toc521498254"/>
      <w:r>
        <w:t>1.3</w:t>
      </w:r>
      <w:r>
        <w:tab/>
        <w:t>Architectural Requirements to be met by the Information System</w:t>
      </w:r>
      <w:bookmarkEnd w:id="726"/>
    </w:p>
    <w:p w14:paraId="427CDC03" w14:textId="77777777" w:rsidR="00157AAA" w:rsidRDefault="00157AAA">
      <w:pPr>
        <w:ind w:left="2160" w:hanging="720"/>
      </w:pPr>
    </w:p>
    <w:p w14:paraId="4B113961" w14:textId="2DAF10C8" w:rsidR="00157AAA" w:rsidRDefault="006C1BE5">
      <w:pPr>
        <w:ind w:left="1440" w:hanging="720"/>
      </w:pPr>
      <w:r w:rsidRPr="005E6A97">
        <w:rPr>
          <w:b/>
        </w:rPr>
        <w:t>1.3.1</w:t>
      </w:r>
      <w:r w:rsidRPr="005E6A97">
        <w:rPr>
          <w:b/>
        </w:rPr>
        <w:tab/>
        <w:t>The Information System MUST be supplied and configured to implement the following architecture</w:t>
      </w:r>
      <w:r>
        <w:t xml:space="preserve">. </w:t>
      </w:r>
    </w:p>
    <w:p w14:paraId="5E5988E2" w14:textId="5D389745" w:rsidR="0044221C" w:rsidRDefault="0044221C" w:rsidP="0044221C">
      <w:pPr>
        <w:ind w:left="720"/>
      </w:pPr>
      <w:r w:rsidRPr="005E6A97">
        <w:rPr>
          <w:b/>
          <w:i/>
        </w:rPr>
        <w:t>1.3.</w:t>
      </w:r>
      <w:r w:rsidR="00572CFF" w:rsidRPr="005E6A97">
        <w:rPr>
          <w:b/>
          <w:i/>
        </w:rPr>
        <w:t>1</w:t>
      </w:r>
      <w:r w:rsidRPr="005E6A97">
        <w:rPr>
          <w:b/>
          <w:i/>
        </w:rPr>
        <w:t>.</w:t>
      </w:r>
      <w:r w:rsidR="00572CFF">
        <w:rPr>
          <w:b/>
          <w:i/>
        </w:rPr>
        <w:t>1</w:t>
      </w:r>
      <w:r w:rsidR="00B40A37">
        <w:rPr>
          <w:b/>
          <w:i/>
        </w:rPr>
        <w:t>. The</w:t>
      </w:r>
      <w:r>
        <w:rPr>
          <w:b/>
          <w:i/>
        </w:rPr>
        <w:t xml:space="preserve"> Supplier must define baseline architecture implementation.</w:t>
      </w:r>
    </w:p>
    <w:p w14:paraId="2BE51D8B" w14:textId="0196518D" w:rsidR="0044221C" w:rsidRDefault="0044221C" w:rsidP="0044221C">
      <w:pPr>
        <w:widowControl w:val="0"/>
        <w:rPr>
          <w:szCs w:val="24"/>
        </w:rPr>
      </w:pPr>
      <w:r>
        <w:rPr>
          <w:szCs w:val="24"/>
        </w:rPr>
        <w:t xml:space="preserve">Within this activity the </w:t>
      </w:r>
      <w:r>
        <w:rPr>
          <w:szCs w:val="22"/>
        </w:rPr>
        <w:t>Supplier</w:t>
      </w:r>
      <w:r>
        <w:rPr>
          <w:szCs w:val="24"/>
        </w:rPr>
        <w:t xml:space="preserve"> shall deploy initially the two identical environments for development and for integrated testing. The environments should be created with all necessary technology building blocks, to name just a few components: Messaging Service, Data Base Management System, Business Process Management suite, Business Rules </w:t>
      </w:r>
      <w:r>
        <w:rPr>
          <w:szCs w:val="24"/>
        </w:rPr>
        <w:lastRenderedPageBreak/>
        <w:t xml:space="preserve">Management Engine, a portal suite, an application server, process monitoring and log analyzer tools, service desk management and ticketing system, etc. Additionally, within this activity the </w:t>
      </w:r>
      <w:r>
        <w:rPr>
          <w:szCs w:val="22"/>
        </w:rPr>
        <w:t>Supplier</w:t>
      </w:r>
      <w:r>
        <w:rPr>
          <w:szCs w:val="24"/>
        </w:rPr>
        <w:t xml:space="preserve"> for the purpose of testing should establish and implement also automated regression testing tools, and for </w:t>
      </w:r>
      <w:r w:rsidR="00E65C69" w:rsidRPr="00594FFF">
        <w:rPr>
          <w:szCs w:val="24"/>
        </w:rPr>
        <w:t xml:space="preserve">Enterprise </w:t>
      </w:r>
      <w:r w:rsidR="004F6757" w:rsidRPr="00594FFF">
        <w:rPr>
          <w:szCs w:val="24"/>
        </w:rPr>
        <w:t>Architecture</w:t>
      </w:r>
      <w:r w:rsidR="004F6757">
        <w:rPr>
          <w:szCs w:val="24"/>
        </w:rPr>
        <w:t xml:space="preserve"> (</w:t>
      </w:r>
      <w:r>
        <w:rPr>
          <w:szCs w:val="24"/>
        </w:rPr>
        <w:t>EA</w:t>
      </w:r>
      <w:r w:rsidR="00E65C69">
        <w:rPr>
          <w:szCs w:val="24"/>
        </w:rPr>
        <w:t>)</w:t>
      </w:r>
      <w:r>
        <w:rPr>
          <w:szCs w:val="24"/>
        </w:rPr>
        <w:t xml:space="preserve"> governance all necessary EA repositories. </w:t>
      </w:r>
    </w:p>
    <w:p w14:paraId="0FAB365D" w14:textId="77777777" w:rsidR="0044221C" w:rsidRDefault="0044221C" w:rsidP="0044221C">
      <w:pPr>
        <w:widowControl w:val="0"/>
        <w:rPr>
          <w:szCs w:val="24"/>
        </w:rPr>
      </w:pPr>
      <w:r>
        <w:rPr>
          <w:szCs w:val="24"/>
        </w:rPr>
        <w:t xml:space="preserve">Of those EA repositories the </w:t>
      </w:r>
      <w:r>
        <w:rPr>
          <w:szCs w:val="22"/>
        </w:rPr>
        <w:t>Supplier</w:t>
      </w:r>
      <w:r>
        <w:rPr>
          <w:szCs w:val="24"/>
        </w:rPr>
        <w:t xml:space="preserve"> will develop process maps up to Level 3 and process architecture. The </w:t>
      </w:r>
      <w:r>
        <w:rPr>
          <w:szCs w:val="22"/>
        </w:rPr>
        <w:t>Supplier</w:t>
      </w:r>
      <w:r>
        <w:rPr>
          <w:szCs w:val="24"/>
        </w:rPr>
        <w:t xml:space="preserve"> is expected to extend the initialized models with Enterprise Data Model and with Canonical Data Model for exchange of messages. The </w:t>
      </w:r>
      <w:r>
        <w:rPr>
          <w:szCs w:val="22"/>
        </w:rPr>
        <w:t>Supplier</w:t>
      </w:r>
      <w:r>
        <w:rPr>
          <w:szCs w:val="24"/>
        </w:rPr>
        <w:t xml:space="preserve"> is also expected to complete Service Catalogue with all details for business and IT services. The </w:t>
      </w:r>
      <w:r>
        <w:rPr>
          <w:szCs w:val="22"/>
        </w:rPr>
        <w:t>Supplier</w:t>
      </w:r>
      <w:r>
        <w:rPr>
          <w:szCs w:val="24"/>
        </w:rPr>
        <w:t xml:space="preserve"> will </w:t>
      </w:r>
      <w:proofErr w:type="gramStart"/>
      <w:r>
        <w:rPr>
          <w:szCs w:val="24"/>
        </w:rPr>
        <w:t>be also</w:t>
      </w:r>
      <w:proofErr w:type="gramEnd"/>
      <w:r>
        <w:rPr>
          <w:szCs w:val="24"/>
        </w:rPr>
        <w:t xml:space="preserve"> responsible for maintenance and updating of content of EA repositories during the whole project lifecycle. </w:t>
      </w:r>
    </w:p>
    <w:p w14:paraId="36515199" w14:textId="77777777" w:rsidR="0044221C" w:rsidRDefault="0044221C" w:rsidP="0044221C">
      <w:pPr>
        <w:widowControl w:val="0"/>
        <w:rPr>
          <w:szCs w:val="24"/>
        </w:rPr>
      </w:pPr>
      <w:r>
        <w:rPr>
          <w:szCs w:val="24"/>
        </w:rPr>
        <w:t>Once services and ABBs (Application Building Blocks) are ready for integration with the other components in operation within the New Single Window environment, also the production environment should be installed for sustainable operation of integrated services.</w:t>
      </w:r>
    </w:p>
    <w:p w14:paraId="0900756E" w14:textId="1D02CB1D" w:rsidR="00274BD2" w:rsidRDefault="00735EBA" w:rsidP="0044221C">
      <w:pPr>
        <w:widowControl w:val="0"/>
        <w:rPr>
          <w:szCs w:val="24"/>
        </w:rPr>
      </w:pPr>
      <w:r w:rsidRPr="00346EF3">
        <w:rPr>
          <w:szCs w:val="24"/>
        </w:rPr>
        <w:t xml:space="preserve">The supplier is responsible </w:t>
      </w:r>
      <w:proofErr w:type="gramStart"/>
      <w:r w:rsidRPr="00346EF3">
        <w:rPr>
          <w:szCs w:val="24"/>
        </w:rPr>
        <w:t>to provide</w:t>
      </w:r>
      <w:proofErr w:type="gramEnd"/>
      <w:r w:rsidRPr="00346EF3">
        <w:rPr>
          <w:szCs w:val="24"/>
        </w:rPr>
        <w:t xml:space="preserve"> three (3)</w:t>
      </w:r>
      <w:r w:rsidR="004F6757" w:rsidRPr="00346EF3">
        <w:rPr>
          <w:szCs w:val="24"/>
        </w:rPr>
        <w:t xml:space="preserve"> </w:t>
      </w:r>
      <w:r w:rsidRPr="00346EF3">
        <w:rPr>
          <w:szCs w:val="24"/>
        </w:rPr>
        <w:t xml:space="preserve">environments: </w:t>
      </w:r>
      <w:r w:rsidR="002E2466" w:rsidRPr="00346EF3">
        <w:rPr>
          <w:szCs w:val="24"/>
        </w:rPr>
        <w:t xml:space="preserve">production, </w:t>
      </w:r>
      <w:proofErr w:type="gramStart"/>
      <w:r w:rsidRPr="00346EF3">
        <w:rPr>
          <w:szCs w:val="24"/>
        </w:rPr>
        <w:t>development</w:t>
      </w:r>
      <w:proofErr w:type="gramEnd"/>
      <w:r w:rsidR="002E2466" w:rsidRPr="00346EF3">
        <w:rPr>
          <w:szCs w:val="24"/>
        </w:rPr>
        <w:t xml:space="preserve"> and</w:t>
      </w:r>
      <w:r w:rsidRPr="00346EF3">
        <w:rPr>
          <w:szCs w:val="24"/>
        </w:rPr>
        <w:t xml:space="preserve"> test</w:t>
      </w:r>
      <w:r w:rsidR="00346EF3" w:rsidRPr="00346EF3">
        <w:rPr>
          <w:szCs w:val="24"/>
        </w:rPr>
        <w:t xml:space="preserve"> environment</w:t>
      </w:r>
      <w:r w:rsidR="004F6757" w:rsidRPr="00346EF3">
        <w:rPr>
          <w:szCs w:val="24"/>
        </w:rPr>
        <w:t xml:space="preserve">. The test environment must be provided </w:t>
      </w:r>
      <w:proofErr w:type="gramStart"/>
      <w:r w:rsidR="004F6757" w:rsidRPr="00346EF3">
        <w:rPr>
          <w:szCs w:val="24"/>
        </w:rPr>
        <w:t>at the moment</w:t>
      </w:r>
      <w:proofErr w:type="gramEnd"/>
      <w:r w:rsidR="004F6757" w:rsidRPr="00346EF3">
        <w:rPr>
          <w:szCs w:val="24"/>
        </w:rPr>
        <w:t xml:space="preserve"> of signature of the contract.</w:t>
      </w:r>
    </w:p>
    <w:p w14:paraId="68B41CD1" w14:textId="77777777" w:rsidR="0044221C" w:rsidRDefault="0044221C" w:rsidP="0044221C">
      <w:pPr>
        <w:widowControl w:val="0"/>
        <w:rPr>
          <w:szCs w:val="24"/>
        </w:rPr>
      </w:pPr>
      <w:r>
        <w:rPr>
          <w:szCs w:val="24"/>
        </w:rPr>
        <w:t xml:space="preserve">All three environments should be identical and complete to enable incremental implementation and regression testing of ABBs and SBBs (Services Building Blocks) in a few subsequent iterations. The said iterations will be controlled with common effort of the </w:t>
      </w:r>
      <w:r>
        <w:rPr>
          <w:szCs w:val="22"/>
        </w:rPr>
        <w:t>Supplier</w:t>
      </w:r>
      <w:r>
        <w:rPr>
          <w:szCs w:val="24"/>
        </w:rPr>
        <w:t xml:space="preserve"> and of IT and Regression Team experts from the Beneficiary </w:t>
      </w:r>
      <w:proofErr w:type="gramStart"/>
      <w:r>
        <w:rPr>
          <w:szCs w:val="24"/>
        </w:rPr>
        <w:t>in order to</w:t>
      </w:r>
      <w:proofErr w:type="gramEnd"/>
      <w:r>
        <w:rPr>
          <w:szCs w:val="24"/>
        </w:rPr>
        <w:t xml:space="preserve"> gradually build Release Management capability of the New Single Window. Before the actual roll-out the Training Environment will use the testing environment </w:t>
      </w:r>
      <w:proofErr w:type="gramStart"/>
      <w:r>
        <w:rPr>
          <w:szCs w:val="24"/>
        </w:rPr>
        <w:t>in order to</w:t>
      </w:r>
      <w:proofErr w:type="gramEnd"/>
      <w:r>
        <w:rPr>
          <w:szCs w:val="24"/>
        </w:rPr>
        <w:t xml:space="preserve"> enable live training of all business users (Single Window officers).</w:t>
      </w:r>
    </w:p>
    <w:p w14:paraId="60C26DA4" w14:textId="77777777" w:rsidR="0044221C" w:rsidRDefault="0044221C" w:rsidP="0044221C">
      <w:pPr>
        <w:widowControl w:val="0"/>
        <w:rPr>
          <w:szCs w:val="24"/>
        </w:rPr>
      </w:pPr>
      <w:r>
        <w:rPr>
          <w:szCs w:val="24"/>
        </w:rPr>
        <w:t xml:space="preserve">The </w:t>
      </w:r>
      <w:r>
        <w:rPr>
          <w:szCs w:val="22"/>
        </w:rPr>
        <w:t>Supplier</w:t>
      </w:r>
      <w:r>
        <w:rPr>
          <w:szCs w:val="24"/>
        </w:rPr>
        <w:t xml:space="preserve"> will be responsible for the administration and maintenance of all three environments till the end of the contract. The </w:t>
      </w:r>
      <w:r>
        <w:rPr>
          <w:szCs w:val="22"/>
        </w:rPr>
        <w:t>Supplier</w:t>
      </w:r>
      <w:r>
        <w:rPr>
          <w:szCs w:val="24"/>
        </w:rPr>
        <w:t xml:space="preserve"> will enable access to the environments for the Beneficiary’s IT System administrators, EA &amp; Project Team, Management Support project and Regression Testing Team members in environments depending on their project and business roles. National Service Desk officers will be given access to relevant ticketing, monitoring and SDMS applications in the training, testing and production environments. Business officers and managers will be </w:t>
      </w:r>
      <w:proofErr w:type="gramStart"/>
      <w:r>
        <w:rPr>
          <w:szCs w:val="24"/>
        </w:rPr>
        <w:t>granted with</w:t>
      </w:r>
      <w:proofErr w:type="gramEnd"/>
      <w:r>
        <w:rPr>
          <w:szCs w:val="24"/>
        </w:rPr>
        <w:t xml:space="preserve"> access to systems in the training and production environments. By the moment of delivery to the production environment the </w:t>
      </w:r>
      <w:r>
        <w:rPr>
          <w:szCs w:val="22"/>
        </w:rPr>
        <w:t>Supplier</w:t>
      </w:r>
      <w:r>
        <w:rPr>
          <w:szCs w:val="24"/>
        </w:rPr>
        <w:t xml:space="preserve"> should provide sufficient training to the Single Window working group and Single Window system administrators to enable them to ensure and fully support operation of all environments since the roll-out. A backup policy and automatized procedure for restoring all environments should be developed by the </w:t>
      </w:r>
      <w:r>
        <w:rPr>
          <w:szCs w:val="22"/>
        </w:rPr>
        <w:t>Supplier</w:t>
      </w:r>
      <w:r>
        <w:rPr>
          <w:szCs w:val="24"/>
        </w:rPr>
        <w:t xml:space="preserve"> while established, </w:t>
      </w:r>
      <w:proofErr w:type="gramStart"/>
      <w:r>
        <w:rPr>
          <w:szCs w:val="24"/>
        </w:rPr>
        <w:t>followed</w:t>
      </w:r>
      <w:proofErr w:type="gramEnd"/>
      <w:r>
        <w:rPr>
          <w:szCs w:val="24"/>
        </w:rPr>
        <w:t xml:space="preserve"> and mastered by the Single Window system administrators.</w:t>
      </w:r>
    </w:p>
    <w:p w14:paraId="1DF5261D" w14:textId="77777777" w:rsidR="0044221C" w:rsidRDefault="0044221C" w:rsidP="0044221C">
      <w:pPr>
        <w:widowControl w:val="0"/>
        <w:rPr>
          <w:szCs w:val="24"/>
        </w:rPr>
      </w:pPr>
      <w:r>
        <w:rPr>
          <w:szCs w:val="24"/>
        </w:rPr>
        <w:t xml:space="preserve">The </w:t>
      </w:r>
      <w:r>
        <w:rPr>
          <w:szCs w:val="22"/>
        </w:rPr>
        <w:t>Supplier</w:t>
      </w:r>
      <w:r>
        <w:rPr>
          <w:szCs w:val="24"/>
        </w:rPr>
        <w:t xml:space="preserve"> should explain in detail in the bidding document (offer) part of the bid how and with what resources he is going to assign within this activity </w:t>
      </w:r>
      <w:proofErr w:type="gramStart"/>
      <w:r>
        <w:rPr>
          <w:szCs w:val="24"/>
        </w:rPr>
        <w:t>in order to</w:t>
      </w:r>
      <w:proofErr w:type="gramEnd"/>
      <w:r>
        <w:rPr>
          <w:szCs w:val="24"/>
        </w:rPr>
        <w:t xml:space="preserve"> satisfy those requirements.</w:t>
      </w:r>
    </w:p>
    <w:p w14:paraId="329A7116" w14:textId="1801EF28" w:rsidR="00157AAA" w:rsidRDefault="006C1BE5" w:rsidP="005E6A97">
      <w:pPr>
        <w:spacing w:after="0"/>
        <w:rPr>
          <w:b/>
          <w:i/>
        </w:rPr>
      </w:pPr>
      <w:r>
        <w:rPr>
          <w:b/>
          <w:i/>
        </w:rPr>
        <w:t>1.3.</w:t>
      </w:r>
      <w:r w:rsidR="00572CFF">
        <w:rPr>
          <w:b/>
          <w:i/>
        </w:rPr>
        <w:t>2.</w:t>
      </w:r>
      <w:r>
        <w:rPr>
          <w:b/>
          <w:i/>
        </w:rPr>
        <w:tab/>
      </w:r>
      <w:r w:rsidR="00AC6A9E">
        <w:rPr>
          <w:b/>
          <w:i/>
        </w:rPr>
        <w:t>Target Business</w:t>
      </w:r>
      <w:r>
        <w:rPr>
          <w:b/>
          <w:i/>
        </w:rPr>
        <w:t xml:space="preserve"> Architecture</w:t>
      </w:r>
    </w:p>
    <w:p w14:paraId="7C46D05B" w14:textId="77777777" w:rsidR="00AC6A9E" w:rsidRDefault="00AC6A9E" w:rsidP="005E6A97">
      <w:r>
        <w:lastRenderedPageBreak/>
        <w:t xml:space="preserve">Business requirements describe what must be performed and produced to provide value. These business requirements are the "what" while the functional and technical architecture (products, systems, and processes) describes "how" to deliver or satisfy the "what". A focused business requirement and its analysis are critical to the success of any project. In this section, the business requirements and essential use cases have been defined to illustrate and describe “what” the interaction between each involved stakeholder and the electronic NSW will be. In other words, this section defines the main requirements and the scope. The business requirements also give an overview of the interaction between the stakeholder and the NSW. </w:t>
      </w:r>
    </w:p>
    <w:p w14:paraId="0449FBE6" w14:textId="1D408B4E" w:rsidR="00157AAA" w:rsidRDefault="006C1BE5" w:rsidP="005E6A97">
      <w:pPr>
        <w:spacing w:after="0"/>
        <w:ind w:firstLine="720"/>
        <w:jc w:val="left"/>
      </w:pPr>
      <w:r>
        <w:rPr>
          <w:b/>
          <w:i/>
        </w:rPr>
        <w:t>1.3.2</w:t>
      </w:r>
      <w:r w:rsidR="00572CFF">
        <w:rPr>
          <w:b/>
          <w:i/>
        </w:rPr>
        <w:t>.1.</w:t>
      </w:r>
      <w:r>
        <w:rPr>
          <w:b/>
          <w:i/>
        </w:rPr>
        <w:t xml:space="preserve"> </w:t>
      </w:r>
      <w:r>
        <w:rPr>
          <w:b/>
          <w:bCs/>
          <w:i/>
        </w:rPr>
        <w:t>Stakeholders</w:t>
      </w:r>
    </w:p>
    <w:p w14:paraId="7C8293BA" w14:textId="65483442" w:rsidR="00157AAA" w:rsidRDefault="00572CFF" w:rsidP="008E2AAD">
      <w:pPr>
        <w:ind w:left="1440" w:firstLine="720"/>
      </w:pPr>
      <w:r>
        <w:rPr>
          <w:b/>
          <w:i/>
        </w:rPr>
        <w:t xml:space="preserve">1.3.2.1.1. </w:t>
      </w:r>
      <w:r w:rsidR="006C1BE5">
        <w:rPr>
          <w:b/>
          <w:i/>
        </w:rPr>
        <w:t>Traders</w:t>
      </w:r>
    </w:p>
    <w:p w14:paraId="386A3670" w14:textId="77777777" w:rsidR="00157AAA" w:rsidRDefault="006C1BE5">
      <w:pPr>
        <w:ind w:left="720"/>
      </w:pPr>
      <w:r>
        <w:t xml:space="preserve">Traders can be any of the roles in the supply chain, including but not limited to importer, exporter, broker, freight forwarder, logistics provider, and warehouse owners. </w:t>
      </w:r>
    </w:p>
    <w:p w14:paraId="5B4D000A" w14:textId="080AB292" w:rsidR="00157AAA" w:rsidRDefault="006C1BE5" w:rsidP="008E2AAD">
      <w:pPr>
        <w:ind w:left="1440" w:firstLine="720"/>
      </w:pPr>
      <w:r>
        <w:rPr>
          <w:b/>
          <w:i/>
        </w:rPr>
        <w:t>1.3.</w:t>
      </w:r>
      <w:r w:rsidR="00572CFF">
        <w:rPr>
          <w:b/>
          <w:i/>
        </w:rPr>
        <w:t>2</w:t>
      </w:r>
      <w:r>
        <w:rPr>
          <w:b/>
          <w:i/>
        </w:rPr>
        <w:t>.</w:t>
      </w:r>
      <w:r w:rsidR="00572CFF">
        <w:rPr>
          <w:b/>
          <w:i/>
        </w:rPr>
        <w:t>1</w:t>
      </w:r>
      <w:r w:rsidR="00AC6A9E">
        <w:rPr>
          <w:b/>
          <w:i/>
        </w:rPr>
        <w:t xml:space="preserve">.2. </w:t>
      </w:r>
      <w:r>
        <w:rPr>
          <w:b/>
          <w:i/>
        </w:rPr>
        <w:t>Customs Administration</w:t>
      </w:r>
    </w:p>
    <w:p w14:paraId="34076B28" w14:textId="77777777" w:rsidR="00157AAA" w:rsidRDefault="006C1BE5">
      <w:pPr>
        <w:ind w:left="720"/>
      </w:pPr>
      <w:r>
        <w:t xml:space="preserve">The Customs Administration has a central role in cross-border trade and is responsible for the customs processes in the NSW </w:t>
      </w:r>
      <w:proofErr w:type="gramStart"/>
      <w:r>
        <w:t>processing, and</w:t>
      </w:r>
      <w:proofErr w:type="gramEnd"/>
      <w:r>
        <w:t xml:space="preserve"> is also foreseen as the operator for the NSW. There shall be a clear interface between the NSW and the customs processing systems. Existing investments shall be protected.</w:t>
      </w:r>
    </w:p>
    <w:p w14:paraId="1BA6AA1C" w14:textId="1A95355B" w:rsidR="00157AAA" w:rsidRDefault="00C35AB4">
      <w:pPr>
        <w:spacing w:after="0"/>
        <w:ind w:left="720"/>
        <w:rPr>
          <w:b/>
          <w:i/>
        </w:rPr>
      </w:pPr>
      <w:r>
        <w:rPr>
          <w:b/>
          <w:i/>
        </w:rPr>
        <w:tab/>
      </w:r>
      <w:r w:rsidR="00AC6A9E">
        <w:rPr>
          <w:b/>
          <w:i/>
        </w:rPr>
        <w:tab/>
      </w:r>
      <w:r w:rsidR="00AC6A9E" w:rsidRPr="00015F3F">
        <w:rPr>
          <w:b/>
          <w:i/>
        </w:rPr>
        <w:t>1.3.</w:t>
      </w:r>
      <w:r w:rsidR="00572CFF">
        <w:rPr>
          <w:b/>
          <w:i/>
        </w:rPr>
        <w:t>2</w:t>
      </w:r>
      <w:r w:rsidR="00AC6A9E" w:rsidRPr="00015F3F">
        <w:rPr>
          <w:b/>
          <w:i/>
        </w:rPr>
        <w:t>.</w:t>
      </w:r>
      <w:r w:rsidR="00572CFF">
        <w:rPr>
          <w:b/>
          <w:i/>
        </w:rPr>
        <w:t>1</w:t>
      </w:r>
      <w:r w:rsidR="00AC6A9E" w:rsidRPr="00015F3F">
        <w:rPr>
          <w:b/>
          <w:i/>
        </w:rPr>
        <w:t xml:space="preserve">.3. </w:t>
      </w:r>
      <w:r w:rsidRPr="00015F3F">
        <w:rPr>
          <w:b/>
          <w:i/>
        </w:rPr>
        <w:t>CBRA</w:t>
      </w:r>
    </w:p>
    <w:p w14:paraId="05021A2C" w14:textId="058B4CF1" w:rsidR="00590162" w:rsidRPr="008E2AAD" w:rsidRDefault="00590162">
      <w:pPr>
        <w:spacing w:after="0"/>
        <w:ind w:left="720"/>
      </w:pPr>
      <w:r w:rsidRPr="008E2AAD">
        <w:t xml:space="preserve">Customs Border Regulatory agencies are </w:t>
      </w:r>
      <w:proofErr w:type="gramStart"/>
      <w:r w:rsidRPr="008E2AAD">
        <w:t>main</w:t>
      </w:r>
      <w:proofErr w:type="gramEnd"/>
      <w:r w:rsidRPr="008E2AAD">
        <w:t xml:space="preserve"> stakeholders and users of the NSW system. They are diverse and include various entities that play key roles in the facilitation of cross-border trade. These stakeholders collaborate to ensure the successful operation of the NSW procedures</w:t>
      </w:r>
      <w:r w:rsidR="0083155F">
        <w:t xml:space="preserve"> </w:t>
      </w:r>
      <w:r w:rsidR="0083155F" w:rsidRPr="0083155F">
        <w:t>regarding issuing and validation of LPCO</w:t>
      </w:r>
      <w:r w:rsidRPr="008E2AAD">
        <w:t>. Here is a list of the primary stakeholders in NSW in North Macedonia:</w:t>
      </w:r>
    </w:p>
    <w:p w14:paraId="23E1E741" w14:textId="77777777" w:rsidR="00590162" w:rsidRDefault="00590162">
      <w:pPr>
        <w:spacing w:after="0"/>
        <w:ind w:left="720"/>
        <w:rPr>
          <w:b/>
          <w:i/>
        </w:rPr>
      </w:pPr>
    </w:p>
    <w:p w14:paraId="54E13C2A"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Food and Veterinary Agency</w:t>
      </w:r>
    </w:p>
    <w:p w14:paraId="5FCE0746"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State Agriculture Inspectorate</w:t>
      </w:r>
    </w:p>
    <w:p w14:paraId="7DF9F778"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State Sanitary and Health Inspectorate</w:t>
      </w:r>
    </w:p>
    <w:p w14:paraId="7997BE23"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Agency for Medicines and Medical Devices – MALMED</w:t>
      </w:r>
    </w:p>
    <w:p w14:paraId="4D66352F"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Ministry of Internal Affairs- Bureau for Public Security</w:t>
      </w:r>
    </w:p>
    <w:p w14:paraId="65131846"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Theme="majorEastAsia" w:hAnsi="Times New Roman"/>
          <w:color w:val="000000" w:themeColor="text1"/>
          <w:kern w:val="24"/>
          <w:sz w:val="24"/>
          <w:szCs w:val="24"/>
        </w:rPr>
      </w:pPr>
      <w:r w:rsidRPr="008E2AAD">
        <w:rPr>
          <w:rFonts w:ascii="Times New Roman" w:eastAsiaTheme="majorEastAsia" w:hAnsi="Times New Roman"/>
          <w:color w:val="000000" w:themeColor="text1"/>
          <w:kern w:val="24"/>
          <w:sz w:val="24"/>
          <w:szCs w:val="24"/>
        </w:rPr>
        <w:t>Directorate for Protection of Cultural Heritage</w:t>
      </w:r>
    </w:p>
    <w:p w14:paraId="28972B38"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Radiation Safety Directorate</w:t>
      </w:r>
    </w:p>
    <w:p w14:paraId="4A61CB80"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Ministry of Agriculture, Forestry &amp; Water Economy</w:t>
      </w:r>
    </w:p>
    <w:p w14:paraId="24C8C445"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Ministry of Agriculture, Forestry &amp; Water Economy - Seeds and Planting Administration</w:t>
      </w:r>
    </w:p>
    <w:p w14:paraId="451E4B94"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Ministry of Agriculture, Forestry &amp; Water Economy – Phytosanitary Administration</w:t>
      </w:r>
    </w:p>
    <w:p w14:paraId="364655AB"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 xml:space="preserve">Ministry of Environment and Physical Planning </w:t>
      </w:r>
    </w:p>
    <w:p w14:paraId="43513FFC"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eastAsia="Calibri" w:hAnsi="Times New Roman"/>
          <w:sz w:val="24"/>
          <w:szCs w:val="24"/>
          <w:lang w:eastAsia="en-GB"/>
        </w:rPr>
      </w:pPr>
      <w:r w:rsidRPr="008E2AAD">
        <w:rPr>
          <w:rFonts w:ascii="Times New Roman" w:eastAsia="Calibri" w:hAnsi="Times New Roman"/>
          <w:sz w:val="24"/>
          <w:szCs w:val="24"/>
          <w:lang w:eastAsia="en-GB"/>
        </w:rPr>
        <w:t>Ministry of Health</w:t>
      </w:r>
    </w:p>
    <w:p w14:paraId="1F108F99" w14:textId="77777777" w:rsidR="00590162" w:rsidRPr="008E2AAD" w:rsidRDefault="00590162" w:rsidP="00D530D5">
      <w:pPr>
        <w:pStyle w:val="AAMTableRow"/>
        <w:numPr>
          <w:ilvl w:val="0"/>
          <w:numId w:val="151"/>
        </w:numPr>
        <w:suppressAutoHyphens/>
        <w:spacing w:before="0" w:after="0" w:line="280" w:lineRule="atLeast"/>
        <w:ind w:right="136"/>
        <w:rPr>
          <w:rFonts w:ascii="Times New Roman" w:hAnsi="Times New Roman"/>
          <w:sz w:val="24"/>
          <w:szCs w:val="24"/>
          <w:lang w:val="en-GB"/>
        </w:rPr>
      </w:pPr>
      <w:r w:rsidRPr="008E2AAD">
        <w:rPr>
          <w:rFonts w:ascii="Times New Roman" w:eastAsia="Calibri" w:hAnsi="Times New Roman"/>
          <w:sz w:val="24"/>
          <w:szCs w:val="24"/>
          <w:lang w:eastAsia="en-GB"/>
        </w:rPr>
        <w:t>Ministry of Economy</w:t>
      </w:r>
    </w:p>
    <w:p w14:paraId="5961AD62" w14:textId="376D6B56" w:rsidR="00590162" w:rsidRPr="008E2AAD" w:rsidRDefault="00590162" w:rsidP="00D530D5">
      <w:pPr>
        <w:pStyle w:val="ListParagraph"/>
        <w:numPr>
          <w:ilvl w:val="0"/>
          <w:numId w:val="151"/>
        </w:numPr>
        <w:suppressAutoHyphens/>
        <w:spacing w:after="0"/>
        <w:rPr>
          <w:rFonts w:eastAsia="Calibri"/>
          <w:szCs w:val="24"/>
          <w:lang w:eastAsia="en-GB"/>
        </w:rPr>
      </w:pPr>
      <w:r w:rsidRPr="008E2AAD">
        <w:rPr>
          <w:rFonts w:eastAsia="Calibri"/>
          <w:szCs w:val="24"/>
          <w:lang w:eastAsia="en-GB"/>
        </w:rPr>
        <w:t>Ministry of Economy- Bureau for metrology</w:t>
      </w:r>
    </w:p>
    <w:p w14:paraId="13456969" w14:textId="3399BF02" w:rsidR="00590162" w:rsidRPr="008E2AAD" w:rsidRDefault="00590162" w:rsidP="00D530D5">
      <w:pPr>
        <w:pStyle w:val="ListParagraph"/>
        <w:numPr>
          <w:ilvl w:val="0"/>
          <w:numId w:val="151"/>
        </w:numPr>
        <w:suppressAutoHyphens/>
        <w:spacing w:after="0"/>
        <w:rPr>
          <w:rFonts w:eastAsia="Calibri"/>
          <w:szCs w:val="24"/>
          <w:lang w:eastAsia="en-GB"/>
        </w:rPr>
      </w:pPr>
      <w:r w:rsidRPr="008E2AAD">
        <w:rPr>
          <w:rFonts w:eastAsia="Calibri"/>
          <w:szCs w:val="24"/>
          <w:lang w:eastAsia="en-GB"/>
        </w:rPr>
        <w:t>Ministry of Transport and Communications</w:t>
      </w:r>
    </w:p>
    <w:p w14:paraId="68E9AEB1" w14:textId="77777777" w:rsidR="00590162" w:rsidRDefault="00590162" w:rsidP="00D530D5">
      <w:pPr>
        <w:pStyle w:val="ListParagraph"/>
        <w:numPr>
          <w:ilvl w:val="0"/>
          <w:numId w:val="151"/>
        </w:numPr>
        <w:spacing w:after="0"/>
        <w:rPr>
          <w:rFonts w:eastAsia="Calibri"/>
          <w:szCs w:val="24"/>
          <w:lang w:eastAsia="en-GB"/>
        </w:rPr>
      </w:pPr>
      <w:r w:rsidRPr="008E2AAD">
        <w:rPr>
          <w:rFonts w:eastAsia="Calibri"/>
          <w:szCs w:val="24"/>
          <w:lang w:eastAsia="en-GB"/>
        </w:rPr>
        <w:lastRenderedPageBreak/>
        <w:t>Ministry of Transport and Communications – State Transport Inspectorate</w:t>
      </w:r>
    </w:p>
    <w:p w14:paraId="08CC3952" w14:textId="77777777" w:rsidR="00D4040F" w:rsidRDefault="00D4040F" w:rsidP="00D4040F">
      <w:pPr>
        <w:spacing w:after="0"/>
        <w:rPr>
          <w:rFonts w:eastAsia="Calibri"/>
          <w:szCs w:val="24"/>
          <w:lang w:eastAsia="en-GB"/>
        </w:rPr>
      </w:pPr>
    </w:p>
    <w:p w14:paraId="55A9207A" w14:textId="65214D59" w:rsidR="00D4040F" w:rsidRDefault="00FA4506" w:rsidP="001136D3">
      <w:pPr>
        <w:spacing w:after="0"/>
        <w:rPr>
          <w:rFonts w:eastAsia="Calibri"/>
          <w:szCs w:val="24"/>
          <w:lang w:eastAsia="en-GB"/>
        </w:rPr>
      </w:pPr>
      <w:r>
        <w:rPr>
          <w:rFonts w:eastAsia="Calibri"/>
          <w:szCs w:val="24"/>
          <w:lang w:eastAsia="en-GB"/>
        </w:rPr>
        <w:t xml:space="preserve">*NOTE: The list above </w:t>
      </w:r>
      <w:r w:rsidR="00AE0406">
        <w:rPr>
          <w:rFonts w:eastAsia="Calibri"/>
          <w:szCs w:val="24"/>
          <w:lang w:eastAsia="en-GB"/>
        </w:rPr>
        <w:t>contains the current primary stakeholders as users of the NSW</w:t>
      </w:r>
      <w:r w:rsidR="00C42163">
        <w:rPr>
          <w:rFonts w:eastAsia="Calibri"/>
          <w:szCs w:val="24"/>
          <w:lang w:eastAsia="en-GB"/>
        </w:rPr>
        <w:t xml:space="preserve">. We expect the proposed solution to have the flexibility to add and delete CBRA institutions. </w:t>
      </w:r>
    </w:p>
    <w:p w14:paraId="49A13396" w14:textId="111AF1CB" w:rsidR="006E0186" w:rsidRDefault="006E0186" w:rsidP="001136D3">
      <w:pPr>
        <w:spacing w:after="0"/>
        <w:rPr>
          <w:rFonts w:eastAsia="Calibri"/>
          <w:szCs w:val="24"/>
          <w:lang w:eastAsia="en-GB"/>
        </w:rPr>
      </w:pPr>
    </w:p>
    <w:p w14:paraId="12C60CFB" w14:textId="77777777" w:rsidR="006E0186" w:rsidRPr="00FB621C" w:rsidRDefault="006E0186" w:rsidP="006E0186">
      <w:pPr>
        <w:spacing w:after="0"/>
        <w:rPr>
          <w:b/>
          <w:iCs/>
        </w:rPr>
      </w:pPr>
      <w:r w:rsidRPr="00FB621C">
        <w:rPr>
          <w:b/>
          <w:iCs/>
          <w:highlight w:val="green"/>
        </w:rPr>
        <w:t>Below is presented the list of current LPCOs which will be included in the NSW:</w:t>
      </w:r>
    </w:p>
    <w:p w14:paraId="52ECBEDE" w14:textId="77777777" w:rsidR="006E0186" w:rsidRDefault="006E0186" w:rsidP="006E0186">
      <w:pPr>
        <w:spacing w:after="0"/>
        <w:rPr>
          <w:bCs/>
          <w:iCs/>
        </w:rPr>
      </w:pPr>
    </w:p>
    <w:p w14:paraId="5F6321A3" w14:textId="77777777" w:rsidR="006E0186" w:rsidRDefault="006E0186" w:rsidP="006E0186">
      <w:pPr>
        <w:spacing w:after="0"/>
        <w:rPr>
          <w:bCs/>
          <w:iCs/>
        </w:rPr>
      </w:pPr>
      <w:r w:rsidRPr="00FB621C">
        <w:rPr>
          <w:noProof/>
        </w:rPr>
        <w:drawing>
          <wp:inline distT="0" distB="0" distL="0" distR="0" wp14:anchorId="386BC42D" wp14:editId="1951B26A">
            <wp:extent cx="5238750" cy="6720638"/>
            <wp:effectExtent l="0" t="0" r="0" b="4445"/>
            <wp:docPr id="7506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44481" cy="6727990"/>
                    </a:xfrm>
                    <a:prstGeom prst="rect">
                      <a:avLst/>
                    </a:prstGeom>
                    <a:noFill/>
                    <a:ln>
                      <a:noFill/>
                    </a:ln>
                  </pic:spPr>
                </pic:pic>
              </a:graphicData>
            </a:graphic>
          </wp:inline>
        </w:drawing>
      </w:r>
    </w:p>
    <w:p w14:paraId="790E65FE" w14:textId="77777777" w:rsidR="006E0186" w:rsidRDefault="006E0186" w:rsidP="006E0186">
      <w:pPr>
        <w:spacing w:after="0"/>
        <w:rPr>
          <w:bCs/>
          <w:iCs/>
        </w:rPr>
      </w:pPr>
    </w:p>
    <w:p w14:paraId="3426046F" w14:textId="6EF1F21C" w:rsidR="00C35AB4" w:rsidRDefault="00C35AB4">
      <w:pPr>
        <w:spacing w:after="0"/>
        <w:ind w:left="720"/>
        <w:rPr>
          <w:b/>
          <w:i/>
        </w:rPr>
      </w:pPr>
      <w:r>
        <w:rPr>
          <w:b/>
          <w:i/>
        </w:rPr>
        <w:lastRenderedPageBreak/>
        <w:tab/>
      </w:r>
      <w:r w:rsidR="00AC6A9E">
        <w:rPr>
          <w:b/>
          <w:i/>
        </w:rPr>
        <w:tab/>
      </w:r>
      <w:r w:rsidR="00572CFF" w:rsidRPr="00015F3F">
        <w:rPr>
          <w:b/>
          <w:i/>
        </w:rPr>
        <w:t>1.3.</w:t>
      </w:r>
      <w:r w:rsidR="00572CFF">
        <w:rPr>
          <w:b/>
          <w:i/>
        </w:rPr>
        <w:t>2</w:t>
      </w:r>
      <w:r w:rsidR="00572CFF" w:rsidRPr="00015F3F">
        <w:rPr>
          <w:b/>
          <w:i/>
        </w:rPr>
        <w:t>.</w:t>
      </w:r>
      <w:r w:rsidR="00572CFF">
        <w:rPr>
          <w:b/>
          <w:i/>
        </w:rPr>
        <w:t>1</w:t>
      </w:r>
      <w:r w:rsidR="00572CFF" w:rsidRPr="00015F3F">
        <w:rPr>
          <w:b/>
          <w:i/>
        </w:rPr>
        <w:t>.</w:t>
      </w:r>
      <w:r w:rsidR="00572CFF">
        <w:rPr>
          <w:b/>
          <w:i/>
        </w:rPr>
        <w:t>4</w:t>
      </w:r>
      <w:r w:rsidR="00572CFF" w:rsidRPr="00015F3F">
        <w:rPr>
          <w:b/>
          <w:i/>
        </w:rPr>
        <w:t xml:space="preserve">. </w:t>
      </w:r>
      <w:r w:rsidRPr="005E6A97">
        <w:rPr>
          <w:b/>
        </w:rPr>
        <w:t>International Institutions</w:t>
      </w:r>
    </w:p>
    <w:p w14:paraId="79F548C7" w14:textId="77777777" w:rsidR="00E000B2" w:rsidRDefault="00E000B2" w:rsidP="00E000B2">
      <w:pPr>
        <w:spacing w:after="0"/>
        <w:ind w:left="720"/>
      </w:pPr>
    </w:p>
    <w:p w14:paraId="23F625D0" w14:textId="568CFDE6" w:rsidR="00E000B2" w:rsidRPr="005E6A97" w:rsidRDefault="00E000B2" w:rsidP="00E000B2">
      <w:pPr>
        <w:spacing w:after="0"/>
        <w:ind w:left="720"/>
      </w:pPr>
      <w:r w:rsidRPr="005E6A97">
        <w:t xml:space="preserve">Taxation and the Central European Free Trade Agreement (CEFTA) play critical roles as stakeholders in the process of regional economic integration. Both aspects are essential in fostering economic growth, trade facilitation, and cooperation among member states within the CEFTA framework. </w:t>
      </w:r>
    </w:p>
    <w:p w14:paraId="2F2E585B" w14:textId="351567B7" w:rsidR="00E000B2" w:rsidRPr="005E6A97" w:rsidRDefault="00E000B2" w:rsidP="00E000B2">
      <w:pPr>
        <w:spacing w:after="0"/>
        <w:ind w:left="720"/>
      </w:pPr>
      <w:r w:rsidRPr="005E6A97">
        <w:t>CEFTA is a regional trade agreement that includes countries from Southeastern Europe. Its primary objective is to facilitate trade and economic cooperation among member states. CEFTA provides a platform for participating countries to reduce or eliminate trade barriers such as tariffs, quotas, and non-tariff barriers. This trade liberalization promotes economic growth, job creation, and investment opportunities within the region.</w:t>
      </w:r>
    </w:p>
    <w:p w14:paraId="17600E46" w14:textId="77777777" w:rsidR="00AC6A9E" w:rsidRDefault="00AC6A9E">
      <w:pPr>
        <w:ind w:left="720" w:firstLine="720"/>
        <w:rPr>
          <w:b/>
          <w:i/>
        </w:rPr>
      </w:pPr>
    </w:p>
    <w:p w14:paraId="63D8C013" w14:textId="47B7DD00" w:rsidR="00157AAA" w:rsidRPr="008E2AAD" w:rsidRDefault="006C1BE5" w:rsidP="005E6A97">
      <w:pPr>
        <w:ind w:firstLine="720"/>
        <w:rPr>
          <w:b/>
        </w:rPr>
      </w:pPr>
      <w:r w:rsidRPr="008E2AAD">
        <w:rPr>
          <w:b/>
        </w:rPr>
        <w:t>1.3.</w:t>
      </w:r>
      <w:r w:rsidR="00572CFF">
        <w:rPr>
          <w:b/>
        </w:rPr>
        <w:t>2</w:t>
      </w:r>
      <w:r w:rsidRPr="008E2AAD">
        <w:rPr>
          <w:b/>
        </w:rPr>
        <w:t>.</w:t>
      </w:r>
      <w:r w:rsidR="00572CFF">
        <w:rPr>
          <w:b/>
        </w:rPr>
        <w:t>1</w:t>
      </w:r>
      <w:r w:rsidR="00AC6A9E" w:rsidRPr="008E2AAD">
        <w:rPr>
          <w:b/>
        </w:rPr>
        <w:t>.</w:t>
      </w:r>
      <w:r w:rsidR="00123173">
        <w:rPr>
          <w:b/>
        </w:rPr>
        <w:t>5.</w:t>
      </w:r>
      <w:r w:rsidRPr="008E2AAD">
        <w:rPr>
          <w:b/>
        </w:rPr>
        <w:t xml:space="preserve"> Business Requirements</w:t>
      </w:r>
      <w:r w:rsidR="00C35AB4" w:rsidRPr="008E2AAD">
        <w:rPr>
          <w:b/>
        </w:rPr>
        <w:t xml:space="preserve"> per stakeholder</w:t>
      </w:r>
    </w:p>
    <w:p w14:paraId="7A073AC5" w14:textId="77777777" w:rsidR="00C35AB4" w:rsidRDefault="00C35AB4">
      <w:pPr>
        <w:ind w:left="720" w:firstLine="720"/>
        <w:rPr>
          <w:b/>
          <w:i/>
        </w:rPr>
      </w:pPr>
    </w:p>
    <w:tbl>
      <w:tblPr>
        <w:tblStyle w:val="TableGrid"/>
        <w:tblW w:w="8640" w:type="dxa"/>
        <w:tblLayout w:type="fixed"/>
        <w:tblLook w:val="04A0" w:firstRow="1" w:lastRow="0" w:firstColumn="1" w:lastColumn="0" w:noHBand="0" w:noVBand="1"/>
      </w:tblPr>
      <w:tblGrid>
        <w:gridCol w:w="1035"/>
        <w:gridCol w:w="2409"/>
        <w:gridCol w:w="5196"/>
      </w:tblGrid>
      <w:tr w:rsidR="00157AAA" w14:paraId="332004ED" w14:textId="77777777">
        <w:tc>
          <w:tcPr>
            <w:tcW w:w="1035" w:type="dxa"/>
          </w:tcPr>
          <w:p w14:paraId="0D4D72D2" w14:textId="77777777" w:rsidR="00157AAA" w:rsidRPr="001136D3" w:rsidRDefault="006C1BE5" w:rsidP="001136D3">
            <w:pPr>
              <w:spacing w:after="0"/>
              <w:rPr>
                <w:i/>
                <w:szCs w:val="24"/>
              </w:rPr>
            </w:pPr>
            <w:r w:rsidRPr="00B40A37">
              <w:rPr>
                <w:rStyle w:val="Preparersnotenobold"/>
                <w:i w:val="0"/>
                <w:szCs w:val="24"/>
              </w:rPr>
              <w:t>BR1.1</w:t>
            </w:r>
          </w:p>
        </w:tc>
        <w:tc>
          <w:tcPr>
            <w:tcW w:w="2409" w:type="dxa"/>
          </w:tcPr>
          <w:p w14:paraId="6F3A9490" w14:textId="77777777" w:rsidR="00157AAA" w:rsidRPr="001136D3" w:rsidRDefault="006C1BE5" w:rsidP="001136D3">
            <w:pPr>
              <w:spacing w:after="0"/>
              <w:rPr>
                <w:i/>
                <w:szCs w:val="24"/>
              </w:rPr>
            </w:pPr>
            <w:r w:rsidRPr="00B40A37">
              <w:rPr>
                <w:rStyle w:val="Preparersnotenobold"/>
                <w:i w:val="0"/>
                <w:szCs w:val="24"/>
              </w:rPr>
              <w:t>Registration</w:t>
            </w:r>
          </w:p>
        </w:tc>
        <w:tc>
          <w:tcPr>
            <w:tcW w:w="5196" w:type="dxa"/>
          </w:tcPr>
          <w:p w14:paraId="356253F2" w14:textId="54BFD0E7" w:rsidR="00157AAA" w:rsidRPr="001136D3" w:rsidRDefault="006C1BE5" w:rsidP="001136D3">
            <w:pPr>
              <w:spacing w:after="0"/>
              <w:rPr>
                <w:i/>
                <w:szCs w:val="24"/>
              </w:rPr>
            </w:pPr>
            <w:r w:rsidRPr="00B40A37">
              <w:rPr>
                <w:rStyle w:val="Preparersnotenobold"/>
                <w:i w:val="0"/>
                <w:szCs w:val="24"/>
              </w:rPr>
              <w:t>Traders registering through the NSW shall be sent to the Customs Administration for verification and registration, through the</w:t>
            </w:r>
            <w:r w:rsidR="00E65C69">
              <w:rPr>
                <w:rStyle w:val="Preparersnotenobold"/>
                <w:i w:val="0"/>
                <w:szCs w:val="24"/>
              </w:rPr>
              <w:t xml:space="preserve"> </w:t>
            </w:r>
            <w:r w:rsidR="00250995" w:rsidRPr="00594FFF">
              <w:rPr>
                <w:rStyle w:val="Preparersnotenobold"/>
                <w:i w:val="0"/>
                <w:szCs w:val="24"/>
              </w:rPr>
              <w:t>UMS</w:t>
            </w:r>
            <w:r w:rsidR="00250995" w:rsidRPr="00B40A37">
              <w:rPr>
                <w:rStyle w:val="Preparersnotenobold"/>
                <w:i w:val="0"/>
                <w:szCs w:val="24"/>
              </w:rPr>
              <w:t xml:space="preserve"> </w:t>
            </w:r>
            <w:r w:rsidRPr="00B40A37">
              <w:rPr>
                <w:rStyle w:val="Preparersnotenobold"/>
                <w:i w:val="0"/>
                <w:szCs w:val="24"/>
              </w:rPr>
              <w:t>system and the EORI.</w:t>
            </w:r>
          </w:p>
          <w:p w14:paraId="183B39AB" w14:textId="77777777" w:rsidR="00157AAA" w:rsidRPr="001136D3" w:rsidRDefault="006C1BE5" w:rsidP="001136D3">
            <w:pPr>
              <w:spacing w:after="0"/>
              <w:rPr>
                <w:i/>
                <w:szCs w:val="24"/>
              </w:rPr>
            </w:pPr>
            <w:r w:rsidRPr="00B40A37">
              <w:rPr>
                <w:rStyle w:val="Preparersnotenobold"/>
                <w:i w:val="0"/>
                <w:szCs w:val="24"/>
              </w:rPr>
              <w:t xml:space="preserve">The Economic Operators Registration and Identification (EORI) system is a future plan and </w:t>
            </w:r>
            <w:proofErr w:type="gramStart"/>
            <w:r w:rsidRPr="00B40A37">
              <w:rPr>
                <w:rStyle w:val="Preparersnotenobold"/>
                <w:i w:val="0"/>
                <w:szCs w:val="24"/>
              </w:rPr>
              <w:t>is not been</w:t>
            </w:r>
            <w:proofErr w:type="gramEnd"/>
            <w:r w:rsidRPr="00B40A37">
              <w:rPr>
                <w:rStyle w:val="Preparersnotenobold"/>
                <w:i w:val="0"/>
                <w:szCs w:val="24"/>
              </w:rPr>
              <w:t xml:space="preserve"> developed yet.</w:t>
            </w:r>
            <w:r w:rsidRPr="001136D3">
              <w:rPr>
                <w:i/>
                <w:szCs w:val="24"/>
              </w:rPr>
              <w:t xml:space="preserve"> </w:t>
            </w:r>
            <w:r w:rsidRPr="00B40A37">
              <w:rPr>
                <w:rStyle w:val="Preparersnotenobold"/>
                <w:i w:val="0"/>
                <w:szCs w:val="24"/>
              </w:rPr>
              <w:t>Until the EORI system is developed, NSW should use the UMS (User Management System) build in NSW.</w:t>
            </w:r>
          </w:p>
        </w:tc>
      </w:tr>
      <w:tr w:rsidR="00157AAA" w14:paraId="33C7A99A" w14:textId="77777777">
        <w:tc>
          <w:tcPr>
            <w:tcW w:w="1035" w:type="dxa"/>
          </w:tcPr>
          <w:p w14:paraId="6E69CD97" w14:textId="77777777" w:rsidR="00157AAA" w:rsidRPr="001136D3" w:rsidRDefault="006C1BE5" w:rsidP="001136D3">
            <w:pPr>
              <w:spacing w:after="0"/>
              <w:rPr>
                <w:i/>
                <w:szCs w:val="24"/>
              </w:rPr>
            </w:pPr>
            <w:r w:rsidRPr="00B40A37">
              <w:rPr>
                <w:rStyle w:val="Preparersnotenobold"/>
                <w:i w:val="0"/>
                <w:szCs w:val="24"/>
              </w:rPr>
              <w:t>BR1.2</w:t>
            </w:r>
          </w:p>
        </w:tc>
        <w:tc>
          <w:tcPr>
            <w:tcW w:w="2409" w:type="dxa"/>
          </w:tcPr>
          <w:p w14:paraId="6C00FD5C" w14:textId="77777777" w:rsidR="00157AAA" w:rsidRPr="001136D3" w:rsidRDefault="006C1BE5" w:rsidP="001136D3">
            <w:pPr>
              <w:spacing w:after="0"/>
              <w:rPr>
                <w:i/>
                <w:szCs w:val="24"/>
              </w:rPr>
            </w:pPr>
            <w:r w:rsidRPr="00B40A37">
              <w:rPr>
                <w:rStyle w:val="Preparersnotenobold"/>
                <w:i w:val="0"/>
                <w:szCs w:val="24"/>
              </w:rPr>
              <w:t>Synchronize ITE information</w:t>
            </w:r>
          </w:p>
        </w:tc>
        <w:tc>
          <w:tcPr>
            <w:tcW w:w="5196" w:type="dxa"/>
          </w:tcPr>
          <w:p w14:paraId="7D0494A6" w14:textId="77777777" w:rsidR="00157AAA" w:rsidRPr="001136D3" w:rsidRDefault="006C1BE5" w:rsidP="001136D3">
            <w:pPr>
              <w:spacing w:after="0"/>
              <w:rPr>
                <w:i/>
                <w:szCs w:val="24"/>
              </w:rPr>
            </w:pPr>
            <w:r w:rsidRPr="00B40A37">
              <w:rPr>
                <w:rStyle w:val="Preparersnotenobold"/>
                <w:i w:val="0"/>
                <w:iCs/>
                <w:szCs w:val="24"/>
              </w:rPr>
              <w:t>Data between the NSW and ITE needs to be exchanged via interfaces in real time. Data elements must be defined in the technical specification for the NSW Integrated Tariff.</w:t>
            </w:r>
          </w:p>
        </w:tc>
      </w:tr>
      <w:tr w:rsidR="00157AAA" w14:paraId="00C77034" w14:textId="77777777">
        <w:tc>
          <w:tcPr>
            <w:tcW w:w="1035" w:type="dxa"/>
          </w:tcPr>
          <w:p w14:paraId="0DC2582F" w14:textId="77777777" w:rsidR="00157AAA" w:rsidRPr="001136D3" w:rsidRDefault="006C1BE5" w:rsidP="001136D3">
            <w:pPr>
              <w:spacing w:after="0"/>
              <w:rPr>
                <w:i/>
                <w:szCs w:val="24"/>
              </w:rPr>
            </w:pPr>
            <w:r w:rsidRPr="00B40A37">
              <w:rPr>
                <w:rStyle w:val="Preparersnotenobold"/>
                <w:i w:val="0"/>
                <w:szCs w:val="24"/>
              </w:rPr>
              <w:t>BR1.3</w:t>
            </w:r>
          </w:p>
        </w:tc>
        <w:tc>
          <w:tcPr>
            <w:tcW w:w="2409" w:type="dxa"/>
          </w:tcPr>
          <w:p w14:paraId="73BDB161" w14:textId="77777777" w:rsidR="00157AAA" w:rsidRPr="001136D3" w:rsidRDefault="006C1BE5" w:rsidP="001136D3">
            <w:pPr>
              <w:spacing w:after="0"/>
              <w:rPr>
                <w:i/>
                <w:szCs w:val="24"/>
              </w:rPr>
            </w:pPr>
            <w:r w:rsidRPr="00B40A37">
              <w:rPr>
                <w:rStyle w:val="Preparersnotenobold"/>
                <w:i w:val="0"/>
                <w:szCs w:val="24"/>
              </w:rPr>
              <w:t>Review and issue LPCO</w:t>
            </w:r>
          </w:p>
        </w:tc>
        <w:tc>
          <w:tcPr>
            <w:tcW w:w="5196" w:type="dxa"/>
          </w:tcPr>
          <w:p w14:paraId="4F4AB9D1" w14:textId="2A5934A6" w:rsidR="00157AAA" w:rsidRPr="001136D3" w:rsidRDefault="006C1BE5" w:rsidP="001136D3">
            <w:pPr>
              <w:spacing w:after="0"/>
              <w:rPr>
                <w:i/>
                <w:szCs w:val="24"/>
              </w:rPr>
            </w:pPr>
            <w:r w:rsidRPr="00B40A37">
              <w:rPr>
                <w:rStyle w:val="Preparersnotenobold"/>
                <w:i w:val="0"/>
                <w:szCs w:val="24"/>
              </w:rPr>
              <w:t>LPCOs issued by CBRA shall be managed through the NSW</w:t>
            </w:r>
            <w:r w:rsidR="000867DF" w:rsidRPr="00B40A37">
              <w:rPr>
                <w:rStyle w:val="Preparersnotenobold"/>
                <w:i w:val="0"/>
                <w:szCs w:val="24"/>
              </w:rPr>
              <w:t>.</w:t>
            </w:r>
          </w:p>
        </w:tc>
      </w:tr>
      <w:tr w:rsidR="00157AAA" w14:paraId="2CB404AF" w14:textId="77777777">
        <w:tc>
          <w:tcPr>
            <w:tcW w:w="1035" w:type="dxa"/>
          </w:tcPr>
          <w:p w14:paraId="7E28363B" w14:textId="77777777" w:rsidR="00157AAA" w:rsidRPr="001136D3" w:rsidRDefault="006C1BE5" w:rsidP="001136D3">
            <w:pPr>
              <w:spacing w:after="0"/>
              <w:rPr>
                <w:i/>
                <w:szCs w:val="24"/>
              </w:rPr>
            </w:pPr>
            <w:r w:rsidRPr="00B40A37">
              <w:rPr>
                <w:rStyle w:val="Preparersnotenobold"/>
                <w:i w:val="0"/>
                <w:szCs w:val="24"/>
              </w:rPr>
              <w:t>BR1.4</w:t>
            </w:r>
          </w:p>
        </w:tc>
        <w:tc>
          <w:tcPr>
            <w:tcW w:w="2409" w:type="dxa"/>
          </w:tcPr>
          <w:p w14:paraId="67B5703D" w14:textId="77777777" w:rsidR="00157AAA" w:rsidRPr="001136D3" w:rsidRDefault="006C1BE5" w:rsidP="001136D3">
            <w:pPr>
              <w:spacing w:after="0"/>
              <w:rPr>
                <w:i/>
                <w:szCs w:val="24"/>
              </w:rPr>
            </w:pPr>
            <w:r w:rsidRPr="00B40A37">
              <w:rPr>
                <w:rStyle w:val="Preparersnotenobold"/>
                <w:i w:val="0"/>
                <w:szCs w:val="24"/>
              </w:rPr>
              <w:t>Access LPCO details</w:t>
            </w:r>
          </w:p>
        </w:tc>
        <w:tc>
          <w:tcPr>
            <w:tcW w:w="5196" w:type="dxa"/>
          </w:tcPr>
          <w:p w14:paraId="369FD4D0" w14:textId="77777777" w:rsidR="00157AAA" w:rsidRPr="001136D3" w:rsidRDefault="006C1BE5" w:rsidP="001136D3">
            <w:pPr>
              <w:spacing w:after="0"/>
              <w:rPr>
                <w:i/>
                <w:szCs w:val="24"/>
              </w:rPr>
            </w:pPr>
            <w:r w:rsidRPr="00B40A37">
              <w:rPr>
                <w:rStyle w:val="Preparersnotenobold"/>
                <w:i w:val="0"/>
                <w:szCs w:val="24"/>
              </w:rPr>
              <w:t>Customs officers must be able to access and verify LPCO details on a specific trader. This is facilitated with integration between the NSW and the customs system.</w:t>
            </w:r>
          </w:p>
        </w:tc>
      </w:tr>
      <w:tr w:rsidR="00157AAA" w14:paraId="75E36C8A" w14:textId="77777777">
        <w:tc>
          <w:tcPr>
            <w:tcW w:w="1035" w:type="dxa"/>
          </w:tcPr>
          <w:p w14:paraId="11246E3E" w14:textId="77777777" w:rsidR="00157AAA" w:rsidRPr="001136D3" w:rsidRDefault="006C1BE5" w:rsidP="001136D3">
            <w:pPr>
              <w:spacing w:after="0"/>
              <w:rPr>
                <w:i/>
                <w:szCs w:val="24"/>
              </w:rPr>
            </w:pPr>
            <w:r w:rsidRPr="00B40A37">
              <w:rPr>
                <w:rStyle w:val="Preparersnotenobold"/>
                <w:i w:val="0"/>
                <w:szCs w:val="24"/>
              </w:rPr>
              <w:t>BR1.5</w:t>
            </w:r>
          </w:p>
        </w:tc>
        <w:tc>
          <w:tcPr>
            <w:tcW w:w="2409" w:type="dxa"/>
          </w:tcPr>
          <w:p w14:paraId="3DA5EAA2" w14:textId="77777777" w:rsidR="00157AAA" w:rsidRPr="001136D3" w:rsidRDefault="006C1BE5" w:rsidP="001136D3">
            <w:pPr>
              <w:spacing w:after="0"/>
              <w:jc w:val="left"/>
              <w:rPr>
                <w:i/>
                <w:szCs w:val="24"/>
              </w:rPr>
            </w:pPr>
            <w:r w:rsidRPr="00B40A37">
              <w:rPr>
                <w:rStyle w:val="Preparersnotenobold"/>
                <w:i w:val="0"/>
                <w:szCs w:val="24"/>
              </w:rPr>
              <w:t>Perform risk management</w:t>
            </w:r>
          </w:p>
        </w:tc>
        <w:tc>
          <w:tcPr>
            <w:tcW w:w="5196" w:type="dxa"/>
          </w:tcPr>
          <w:p w14:paraId="212725D7" w14:textId="77777777" w:rsidR="00157AAA" w:rsidRPr="001136D3" w:rsidRDefault="006C1BE5" w:rsidP="001136D3">
            <w:pPr>
              <w:spacing w:after="0"/>
              <w:rPr>
                <w:i/>
                <w:szCs w:val="24"/>
              </w:rPr>
            </w:pPr>
            <w:r w:rsidRPr="00B40A37">
              <w:rPr>
                <w:rStyle w:val="Preparersnotenobold"/>
                <w:i w:val="0"/>
                <w:szCs w:val="24"/>
              </w:rPr>
              <w:t>The CBRA’s should have access to the NSW risk management applicable to LPCO application.</w:t>
            </w:r>
          </w:p>
        </w:tc>
      </w:tr>
      <w:tr w:rsidR="00157AAA" w14:paraId="7B83D1F5" w14:textId="77777777">
        <w:tc>
          <w:tcPr>
            <w:tcW w:w="1035" w:type="dxa"/>
          </w:tcPr>
          <w:p w14:paraId="30C7D641" w14:textId="77777777" w:rsidR="00157AAA" w:rsidRPr="001136D3" w:rsidRDefault="006C1BE5" w:rsidP="001136D3">
            <w:pPr>
              <w:spacing w:after="0"/>
              <w:rPr>
                <w:i/>
                <w:szCs w:val="24"/>
              </w:rPr>
            </w:pPr>
            <w:r w:rsidRPr="00B40A37">
              <w:rPr>
                <w:rStyle w:val="Preparersnotenobold"/>
                <w:i w:val="0"/>
                <w:szCs w:val="24"/>
              </w:rPr>
              <w:t>BR1.6</w:t>
            </w:r>
          </w:p>
        </w:tc>
        <w:tc>
          <w:tcPr>
            <w:tcW w:w="2409" w:type="dxa"/>
          </w:tcPr>
          <w:p w14:paraId="7D7359A5" w14:textId="77777777" w:rsidR="00157AAA" w:rsidRPr="001136D3" w:rsidRDefault="006C1BE5" w:rsidP="001136D3">
            <w:pPr>
              <w:spacing w:after="0"/>
              <w:jc w:val="left"/>
              <w:rPr>
                <w:i/>
                <w:szCs w:val="24"/>
              </w:rPr>
            </w:pPr>
            <w:r w:rsidRPr="00B40A37">
              <w:rPr>
                <w:rStyle w:val="Preparersnotenobold"/>
                <w:i w:val="0"/>
                <w:szCs w:val="24"/>
              </w:rPr>
              <w:t xml:space="preserve">Process or transform and dispatch information on LPCO and their usages </w:t>
            </w:r>
          </w:p>
        </w:tc>
        <w:tc>
          <w:tcPr>
            <w:tcW w:w="5196" w:type="dxa"/>
          </w:tcPr>
          <w:p w14:paraId="4D430D92" w14:textId="77777777" w:rsidR="00157AAA" w:rsidRPr="001136D3" w:rsidRDefault="006C1BE5" w:rsidP="001136D3">
            <w:pPr>
              <w:spacing w:after="0"/>
              <w:rPr>
                <w:rStyle w:val="Preparersnotenobold"/>
                <w:i w:val="0"/>
                <w:szCs w:val="24"/>
              </w:rPr>
            </w:pPr>
            <w:r w:rsidRPr="001136D3">
              <w:rPr>
                <w:rStyle w:val="Preparersnotenobold"/>
                <w:i w:val="0"/>
                <w:szCs w:val="24"/>
              </w:rPr>
              <w:t>NSW must be able to process the request for usage of the LPCO if it is registered in NSW and exchange information with Custom Information Systems.</w:t>
            </w:r>
          </w:p>
          <w:p w14:paraId="206C72FB" w14:textId="77777777" w:rsidR="00157AAA" w:rsidRPr="001136D3" w:rsidRDefault="006C1BE5" w:rsidP="001136D3">
            <w:pPr>
              <w:spacing w:after="0"/>
              <w:rPr>
                <w:i/>
                <w:szCs w:val="24"/>
              </w:rPr>
            </w:pPr>
            <w:r w:rsidRPr="001136D3">
              <w:rPr>
                <w:rStyle w:val="Preparersnotenobold"/>
                <w:i w:val="0"/>
                <w:szCs w:val="24"/>
              </w:rPr>
              <w:t xml:space="preserve">NSW must be able to transform and dispatch the information exchanges between Custom Information systems and CBRAs systems regarding LPCO and its usages. </w:t>
            </w:r>
          </w:p>
        </w:tc>
      </w:tr>
      <w:tr w:rsidR="00157AAA" w14:paraId="7445BF51" w14:textId="77777777">
        <w:tc>
          <w:tcPr>
            <w:tcW w:w="1035" w:type="dxa"/>
          </w:tcPr>
          <w:p w14:paraId="0B1AAED9" w14:textId="77777777" w:rsidR="00157AAA" w:rsidRPr="001136D3" w:rsidRDefault="006C1BE5" w:rsidP="001136D3">
            <w:pPr>
              <w:spacing w:after="0"/>
              <w:rPr>
                <w:i/>
                <w:szCs w:val="24"/>
              </w:rPr>
            </w:pPr>
            <w:r w:rsidRPr="00B40A37">
              <w:rPr>
                <w:rStyle w:val="Preparersnotenobold"/>
                <w:i w:val="0"/>
                <w:szCs w:val="24"/>
              </w:rPr>
              <w:t>BR1.7</w:t>
            </w:r>
          </w:p>
        </w:tc>
        <w:tc>
          <w:tcPr>
            <w:tcW w:w="2409" w:type="dxa"/>
          </w:tcPr>
          <w:p w14:paraId="19B284A4" w14:textId="77777777" w:rsidR="00157AAA" w:rsidRPr="001136D3" w:rsidRDefault="006C1BE5" w:rsidP="001136D3">
            <w:pPr>
              <w:spacing w:after="0"/>
              <w:rPr>
                <w:i/>
                <w:szCs w:val="24"/>
              </w:rPr>
            </w:pPr>
            <w:r w:rsidRPr="00B40A37">
              <w:rPr>
                <w:rStyle w:val="Preparersnotenobold"/>
                <w:i w:val="0"/>
                <w:szCs w:val="24"/>
              </w:rPr>
              <w:t>Advise for payment</w:t>
            </w:r>
          </w:p>
        </w:tc>
        <w:tc>
          <w:tcPr>
            <w:tcW w:w="5196" w:type="dxa"/>
          </w:tcPr>
          <w:p w14:paraId="709737D4" w14:textId="77777777" w:rsidR="00157AAA" w:rsidRPr="001136D3" w:rsidRDefault="006C1BE5" w:rsidP="001136D3">
            <w:pPr>
              <w:spacing w:after="0"/>
              <w:rPr>
                <w:i/>
                <w:szCs w:val="24"/>
              </w:rPr>
            </w:pPr>
            <w:r w:rsidRPr="00B40A37">
              <w:rPr>
                <w:rStyle w:val="Preparersnotenobold"/>
                <w:i w:val="0"/>
                <w:szCs w:val="24"/>
              </w:rPr>
              <w:t>CBRA’s send payment advice to the NSW users for service charges and fees.</w:t>
            </w:r>
          </w:p>
        </w:tc>
      </w:tr>
      <w:tr w:rsidR="00157AAA" w14:paraId="22A5663C" w14:textId="77777777">
        <w:tc>
          <w:tcPr>
            <w:tcW w:w="1035" w:type="dxa"/>
          </w:tcPr>
          <w:p w14:paraId="32C977A5" w14:textId="77777777" w:rsidR="00157AAA" w:rsidRPr="001136D3" w:rsidRDefault="006C1BE5" w:rsidP="001136D3">
            <w:pPr>
              <w:spacing w:after="0"/>
              <w:rPr>
                <w:i/>
                <w:szCs w:val="24"/>
              </w:rPr>
            </w:pPr>
            <w:r w:rsidRPr="00B40A37">
              <w:rPr>
                <w:rStyle w:val="Preparersnotenobold"/>
                <w:i w:val="0"/>
                <w:szCs w:val="24"/>
              </w:rPr>
              <w:lastRenderedPageBreak/>
              <w:t>BR1.8</w:t>
            </w:r>
          </w:p>
        </w:tc>
        <w:tc>
          <w:tcPr>
            <w:tcW w:w="2409" w:type="dxa"/>
          </w:tcPr>
          <w:p w14:paraId="75FFBA19" w14:textId="77777777" w:rsidR="00157AAA" w:rsidRPr="001136D3" w:rsidRDefault="006C1BE5" w:rsidP="001136D3">
            <w:pPr>
              <w:spacing w:after="0"/>
              <w:rPr>
                <w:i/>
                <w:szCs w:val="24"/>
              </w:rPr>
            </w:pPr>
            <w:r w:rsidRPr="00B40A37">
              <w:rPr>
                <w:rStyle w:val="Preparersnotenobold"/>
                <w:i w:val="0"/>
                <w:szCs w:val="24"/>
              </w:rPr>
              <w:t>Payment notification</w:t>
            </w:r>
          </w:p>
        </w:tc>
        <w:tc>
          <w:tcPr>
            <w:tcW w:w="5196" w:type="dxa"/>
          </w:tcPr>
          <w:p w14:paraId="6E934405" w14:textId="77777777" w:rsidR="00157AAA" w:rsidRPr="001136D3" w:rsidRDefault="006C1BE5" w:rsidP="001136D3">
            <w:pPr>
              <w:spacing w:after="0"/>
              <w:rPr>
                <w:i/>
                <w:szCs w:val="24"/>
              </w:rPr>
            </w:pPr>
            <w:r w:rsidRPr="00B40A37">
              <w:rPr>
                <w:rStyle w:val="Preparersnotenobold"/>
                <w:i w:val="0"/>
                <w:szCs w:val="24"/>
              </w:rPr>
              <w:t>User pays service charges and fees to payment system and the Payment Services notify all involved parties.</w:t>
            </w:r>
          </w:p>
        </w:tc>
      </w:tr>
      <w:tr w:rsidR="00157AAA" w14:paraId="35E78E17" w14:textId="77777777">
        <w:trPr>
          <w:trHeight w:val="396"/>
        </w:trPr>
        <w:tc>
          <w:tcPr>
            <w:tcW w:w="1035" w:type="dxa"/>
          </w:tcPr>
          <w:p w14:paraId="3E4FCD5C" w14:textId="77777777" w:rsidR="00157AAA" w:rsidRPr="001136D3" w:rsidRDefault="006C1BE5" w:rsidP="001136D3">
            <w:pPr>
              <w:spacing w:after="0"/>
              <w:rPr>
                <w:i/>
                <w:szCs w:val="24"/>
              </w:rPr>
            </w:pPr>
            <w:r w:rsidRPr="00B40A37">
              <w:rPr>
                <w:rStyle w:val="Preparersnotenobold"/>
                <w:i w:val="0"/>
                <w:szCs w:val="24"/>
              </w:rPr>
              <w:t>BR1.9</w:t>
            </w:r>
          </w:p>
        </w:tc>
        <w:tc>
          <w:tcPr>
            <w:tcW w:w="2409" w:type="dxa"/>
          </w:tcPr>
          <w:p w14:paraId="168619CB" w14:textId="77777777" w:rsidR="00157AAA" w:rsidRPr="001136D3" w:rsidRDefault="006C1BE5" w:rsidP="001136D3">
            <w:pPr>
              <w:spacing w:after="0"/>
              <w:rPr>
                <w:i/>
                <w:szCs w:val="24"/>
              </w:rPr>
            </w:pPr>
            <w:r w:rsidRPr="00B40A37">
              <w:rPr>
                <w:rStyle w:val="Preparersnotenobold"/>
                <w:i w:val="0"/>
                <w:szCs w:val="24"/>
              </w:rPr>
              <w:t>Coordinate release</w:t>
            </w:r>
          </w:p>
        </w:tc>
        <w:tc>
          <w:tcPr>
            <w:tcW w:w="5196" w:type="dxa"/>
          </w:tcPr>
          <w:p w14:paraId="31982C48" w14:textId="77777777" w:rsidR="00157AAA" w:rsidRPr="001136D3" w:rsidRDefault="006C1BE5" w:rsidP="001136D3">
            <w:pPr>
              <w:spacing w:after="0"/>
              <w:rPr>
                <w:i/>
                <w:szCs w:val="24"/>
              </w:rPr>
            </w:pPr>
            <w:r w:rsidRPr="00B40A37">
              <w:rPr>
                <w:rStyle w:val="Preparersnotenobold"/>
                <w:i w:val="0"/>
                <w:szCs w:val="24"/>
              </w:rPr>
              <w:t>Any inspections must be coordinated among the CBRAs. The Customs Administration and the customs declaration system shall provide goods clearance information to the NSW. The NSW is coordinating any other CBRA clearance and notifies the trader.</w:t>
            </w:r>
          </w:p>
        </w:tc>
      </w:tr>
      <w:tr w:rsidR="00AC6A9E" w14:paraId="3E5E59C7" w14:textId="77777777">
        <w:trPr>
          <w:trHeight w:val="396"/>
        </w:trPr>
        <w:tc>
          <w:tcPr>
            <w:tcW w:w="1035" w:type="dxa"/>
          </w:tcPr>
          <w:p w14:paraId="3CACCD12" w14:textId="16BFC99F" w:rsidR="00AC6A9E" w:rsidRPr="001136D3" w:rsidRDefault="00AC6A9E" w:rsidP="001136D3">
            <w:pPr>
              <w:spacing w:after="0"/>
              <w:rPr>
                <w:szCs w:val="24"/>
              </w:rPr>
            </w:pPr>
            <w:r w:rsidRPr="00B40A37">
              <w:rPr>
                <w:rStyle w:val="Preparersnotenobold"/>
                <w:i w:val="0"/>
                <w:szCs w:val="24"/>
              </w:rPr>
              <w:t>BR2.2</w:t>
            </w:r>
          </w:p>
        </w:tc>
        <w:tc>
          <w:tcPr>
            <w:tcW w:w="2409" w:type="dxa"/>
          </w:tcPr>
          <w:p w14:paraId="4C43F5CB" w14:textId="56A69993" w:rsidR="00AC6A9E" w:rsidRPr="001136D3" w:rsidRDefault="00AC6A9E" w:rsidP="001136D3">
            <w:pPr>
              <w:spacing w:after="0"/>
              <w:rPr>
                <w:szCs w:val="24"/>
              </w:rPr>
            </w:pPr>
            <w:r w:rsidRPr="00B40A37">
              <w:rPr>
                <w:rStyle w:val="Preparersnotenobold"/>
                <w:i w:val="0"/>
                <w:szCs w:val="24"/>
              </w:rPr>
              <w:t>Review and issue LPCO</w:t>
            </w:r>
          </w:p>
        </w:tc>
        <w:tc>
          <w:tcPr>
            <w:tcW w:w="5196" w:type="dxa"/>
          </w:tcPr>
          <w:p w14:paraId="663946CF" w14:textId="505E7AD0" w:rsidR="00AC6A9E" w:rsidRPr="001136D3" w:rsidRDefault="00AC6A9E" w:rsidP="001136D3">
            <w:pPr>
              <w:spacing w:after="0"/>
              <w:rPr>
                <w:szCs w:val="24"/>
              </w:rPr>
            </w:pPr>
            <w:r w:rsidRPr="001136D3">
              <w:rPr>
                <w:szCs w:val="24"/>
              </w:rPr>
              <w:t xml:space="preserve">CBRA authorities </w:t>
            </w:r>
            <w:r w:rsidRPr="00B40A37">
              <w:rPr>
                <w:rStyle w:val="Preparersnotenobold"/>
                <w:i w:val="0"/>
                <w:szCs w:val="24"/>
              </w:rPr>
              <w:t>shall be able to view, manage, and approve/reject LPCO applications.</w:t>
            </w:r>
          </w:p>
        </w:tc>
      </w:tr>
      <w:tr w:rsidR="00AC6A9E" w14:paraId="49906296" w14:textId="77777777">
        <w:trPr>
          <w:trHeight w:val="396"/>
        </w:trPr>
        <w:tc>
          <w:tcPr>
            <w:tcW w:w="1035" w:type="dxa"/>
          </w:tcPr>
          <w:p w14:paraId="3EB565C6" w14:textId="539A524E" w:rsidR="00AC6A9E" w:rsidRPr="001136D3" w:rsidRDefault="00AC6A9E" w:rsidP="001136D3">
            <w:pPr>
              <w:spacing w:after="0"/>
              <w:rPr>
                <w:szCs w:val="24"/>
              </w:rPr>
            </w:pPr>
            <w:r w:rsidRPr="00B40A37">
              <w:rPr>
                <w:rStyle w:val="Preparersnotenobold"/>
                <w:i w:val="0"/>
                <w:szCs w:val="24"/>
              </w:rPr>
              <w:t>BR2.3</w:t>
            </w:r>
          </w:p>
        </w:tc>
        <w:tc>
          <w:tcPr>
            <w:tcW w:w="2409" w:type="dxa"/>
          </w:tcPr>
          <w:p w14:paraId="500E41B5" w14:textId="625464E2" w:rsidR="00AC6A9E" w:rsidRPr="001136D3" w:rsidRDefault="00AC6A9E" w:rsidP="001136D3">
            <w:pPr>
              <w:spacing w:after="0"/>
              <w:rPr>
                <w:szCs w:val="24"/>
              </w:rPr>
            </w:pPr>
            <w:r w:rsidRPr="00B40A37">
              <w:rPr>
                <w:rStyle w:val="Preparersnotenobold"/>
                <w:i w:val="0"/>
                <w:szCs w:val="24"/>
              </w:rPr>
              <w:t>Send inspection notification</w:t>
            </w:r>
          </w:p>
        </w:tc>
        <w:tc>
          <w:tcPr>
            <w:tcW w:w="5196" w:type="dxa"/>
          </w:tcPr>
          <w:p w14:paraId="4DFBA25B" w14:textId="5AAF172E" w:rsidR="00AC6A9E" w:rsidRPr="001136D3" w:rsidRDefault="00AC6A9E" w:rsidP="001136D3">
            <w:pPr>
              <w:spacing w:after="0"/>
              <w:rPr>
                <w:szCs w:val="24"/>
              </w:rPr>
            </w:pPr>
            <w:r w:rsidRPr="00B40A37">
              <w:rPr>
                <w:rStyle w:val="Preparersnotenobold"/>
                <w:i w:val="0"/>
                <w:szCs w:val="24"/>
              </w:rPr>
              <w:t>In case any inspection is required, a notification with inspection details shall be sent to the applicant.</w:t>
            </w:r>
          </w:p>
        </w:tc>
      </w:tr>
      <w:tr w:rsidR="00AC6A9E" w14:paraId="729652DF" w14:textId="77777777">
        <w:trPr>
          <w:trHeight w:val="396"/>
        </w:trPr>
        <w:tc>
          <w:tcPr>
            <w:tcW w:w="1035" w:type="dxa"/>
          </w:tcPr>
          <w:p w14:paraId="0E88A9C4" w14:textId="0A191AD4" w:rsidR="00AC6A9E" w:rsidRPr="001136D3" w:rsidRDefault="00AC6A9E" w:rsidP="001136D3">
            <w:pPr>
              <w:spacing w:after="0"/>
              <w:rPr>
                <w:szCs w:val="24"/>
              </w:rPr>
            </w:pPr>
            <w:r w:rsidRPr="00B40A37">
              <w:rPr>
                <w:rStyle w:val="Preparersnotenobold"/>
                <w:i w:val="0"/>
                <w:szCs w:val="24"/>
              </w:rPr>
              <w:t>BR2.4</w:t>
            </w:r>
          </w:p>
        </w:tc>
        <w:tc>
          <w:tcPr>
            <w:tcW w:w="2409" w:type="dxa"/>
          </w:tcPr>
          <w:p w14:paraId="2BE587DD" w14:textId="0026E5B3" w:rsidR="00AC6A9E" w:rsidRPr="001136D3" w:rsidRDefault="00AC6A9E" w:rsidP="001136D3">
            <w:pPr>
              <w:spacing w:after="0"/>
              <w:rPr>
                <w:szCs w:val="24"/>
              </w:rPr>
            </w:pPr>
            <w:r w:rsidRPr="00B40A37">
              <w:rPr>
                <w:rStyle w:val="Preparersnotenobold"/>
                <w:i w:val="0"/>
                <w:szCs w:val="24"/>
              </w:rPr>
              <w:t>Advise for payment</w:t>
            </w:r>
          </w:p>
        </w:tc>
        <w:tc>
          <w:tcPr>
            <w:tcW w:w="5196" w:type="dxa"/>
          </w:tcPr>
          <w:p w14:paraId="1F9A03F3" w14:textId="596A7785" w:rsidR="00AC6A9E" w:rsidRPr="001136D3" w:rsidRDefault="00AC6A9E" w:rsidP="001136D3">
            <w:pPr>
              <w:spacing w:after="0"/>
              <w:rPr>
                <w:szCs w:val="24"/>
              </w:rPr>
            </w:pPr>
            <w:r w:rsidRPr="00B40A37">
              <w:rPr>
                <w:rStyle w:val="Preparersnotenobold"/>
                <w:i w:val="0"/>
                <w:szCs w:val="24"/>
              </w:rPr>
              <w:t>CBRA shall send payment advice to the NSW users for LPCO. In case there are additional fees NSW should be able to calculate expenses</w:t>
            </w:r>
            <w:r w:rsidR="000867DF" w:rsidRPr="00B40A37">
              <w:rPr>
                <w:rStyle w:val="Preparersnotenobold"/>
                <w:i w:val="0"/>
                <w:szCs w:val="24"/>
              </w:rPr>
              <w:t>.</w:t>
            </w:r>
          </w:p>
        </w:tc>
      </w:tr>
      <w:tr w:rsidR="00AC6A9E" w14:paraId="5391A4CA" w14:textId="77777777">
        <w:trPr>
          <w:trHeight w:val="396"/>
        </w:trPr>
        <w:tc>
          <w:tcPr>
            <w:tcW w:w="1035" w:type="dxa"/>
          </w:tcPr>
          <w:p w14:paraId="0B7BD9A7" w14:textId="07E936CE" w:rsidR="00AC6A9E" w:rsidRPr="001136D3" w:rsidRDefault="00AC6A9E" w:rsidP="001136D3">
            <w:pPr>
              <w:spacing w:after="0"/>
              <w:rPr>
                <w:szCs w:val="24"/>
              </w:rPr>
            </w:pPr>
            <w:r w:rsidRPr="00B40A37">
              <w:rPr>
                <w:rStyle w:val="Preparersnotenobold"/>
                <w:i w:val="0"/>
                <w:szCs w:val="24"/>
              </w:rPr>
              <w:t>BR2.5</w:t>
            </w:r>
          </w:p>
        </w:tc>
        <w:tc>
          <w:tcPr>
            <w:tcW w:w="2409" w:type="dxa"/>
          </w:tcPr>
          <w:p w14:paraId="29599C42" w14:textId="18E8418C" w:rsidR="00AC6A9E" w:rsidRPr="001136D3" w:rsidRDefault="00AC6A9E" w:rsidP="001136D3">
            <w:pPr>
              <w:spacing w:after="0"/>
              <w:rPr>
                <w:szCs w:val="24"/>
              </w:rPr>
            </w:pPr>
            <w:r w:rsidRPr="00B40A37">
              <w:rPr>
                <w:rStyle w:val="Preparersnotenobold"/>
                <w:i w:val="0"/>
                <w:szCs w:val="24"/>
              </w:rPr>
              <w:t>Payment notification</w:t>
            </w:r>
          </w:p>
        </w:tc>
        <w:tc>
          <w:tcPr>
            <w:tcW w:w="5196" w:type="dxa"/>
          </w:tcPr>
          <w:p w14:paraId="6DCC597B" w14:textId="212760FE" w:rsidR="00AC6A9E" w:rsidRPr="001136D3" w:rsidRDefault="00AC6A9E" w:rsidP="001136D3">
            <w:pPr>
              <w:spacing w:after="0"/>
              <w:rPr>
                <w:szCs w:val="24"/>
              </w:rPr>
            </w:pPr>
            <w:r w:rsidRPr="00B40A37">
              <w:rPr>
                <w:rStyle w:val="Preparersnotenobold"/>
                <w:i w:val="0"/>
                <w:szCs w:val="24"/>
              </w:rPr>
              <w:t>CBRA shall be notified when payment is made.</w:t>
            </w:r>
          </w:p>
        </w:tc>
      </w:tr>
      <w:tr w:rsidR="00AC6A9E" w14:paraId="56EEF03B" w14:textId="77777777">
        <w:trPr>
          <w:trHeight w:val="396"/>
        </w:trPr>
        <w:tc>
          <w:tcPr>
            <w:tcW w:w="1035" w:type="dxa"/>
          </w:tcPr>
          <w:p w14:paraId="6C44BEE2" w14:textId="76F993A6" w:rsidR="00AC6A9E" w:rsidRPr="00B40A37" w:rsidRDefault="00AC6A9E" w:rsidP="001136D3">
            <w:pPr>
              <w:spacing w:after="0"/>
              <w:rPr>
                <w:rStyle w:val="Preparersnotenobold"/>
                <w:i w:val="0"/>
                <w:szCs w:val="24"/>
              </w:rPr>
            </w:pPr>
            <w:r w:rsidRPr="00B40A37">
              <w:rPr>
                <w:rStyle w:val="Preparersnotenobold"/>
                <w:i w:val="0"/>
                <w:szCs w:val="24"/>
              </w:rPr>
              <w:t>BR3.2</w:t>
            </w:r>
          </w:p>
        </w:tc>
        <w:tc>
          <w:tcPr>
            <w:tcW w:w="2409" w:type="dxa"/>
          </w:tcPr>
          <w:p w14:paraId="245BDBEA" w14:textId="5FA24D33" w:rsidR="00AC6A9E" w:rsidRPr="00B40A37" w:rsidRDefault="00AC6A9E" w:rsidP="001136D3">
            <w:pPr>
              <w:spacing w:after="0"/>
              <w:rPr>
                <w:rStyle w:val="Preparersnotenobold"/>
                <w:i w:val="0"/>
                <w:szCs w:val="24"/>
              </w:rPr>
            </w:pPr>
            <w:r w:rsidRPr="00B40A37">
              <w:rPr>
                <w:rStyle w:val="Preparersnotenobold"/>
                <w:i w:val="0"/>
                <w:szCs w:val="24"/>
              </w:rPr>
              <w:t>View LPCO</w:t>
            </w:r>
          </w:p>
        </w:tc>
        <w:tc>
          <w:tcPr>
            <w:tcW w:w="5196" w:type="dxa"/>
          </w:tcPr>
          <w:p w14:paraId="73106490" w14:textId="70788E24" w:rsidR="00AC6A9E" w:rsidRPr="00B40A37" w:rsidRDefault="00AC6A9E" w:rsidP="001136D3">
            <w:pPr>
              <w:spacing w:after="0"/>
              <w:rPr>
                <w:rStyle w:val="Preparersnotenobold"/>
                <w:i w:val="0"/>
                <w:szCs w:val="24"/>
              </w:rPr>
            </w:pPr>
            <w:r w:rsidRPr="00B40A37">
              <w:rPr>
                <w:rStyle w:val="Preparersnotenobold"/>
                <w:i w:val="0"/>
                <w:szCs w:val="24"/>
              </w:rPr>
              <w:t>CBRA shall be able to view existing LPCO for inspection purposes.</w:t>
            </w:r>
          </w:p>
        </w:tc>
      </w:tr>
      <w:tr w:rsidR="00AC6A9E" w14:paraId="1F431D1D" w14:textId="77777777">
        <w:trPr>
          <w:trHeight w:val="396"/>
        </w:trPr>
        <w:tc>
          <w:tcPr>
            <w:tcW w:w="1035" w:type="dxa"/>
          </w:tcPr>
          <w:p w14:paraId="0604394C" w14:textId="5BF1FB81" w:rsidR="00AC6A9E" w:rsidRPr="00B40A37" w:rsidRDefault="00AC6A9E" w:rsidP="001136D3">
            <w:pPr>
              <w:spacing w:after="0"/>
              <w:rPr>
                <w:rStyle w:val="Preparersnotenobold"/>
                <w:i w:val="0"/>
                <w:szCs w:val="24"/>
              </w:rPr>
            </w:pPr>
            <w:r w:rsidRPr="00B40A37">
              <w:rPr>
                <w:rStyle w:val="Preparersnotenobold"/>
                <w:i w:val="0"/>
                <w:szCs w:val="24"/>
              </w:rPr>
              <w:t>BR3.3</w:t>
            </w:r>
          </w:p>
        </w:tc>
        <w:tc>
          <w:tcPr>
            <w:tcW w:w="2409" w:type="dxa"/>
          </w:tcPr>
          <w:p w14:paraId="6B16C5F0" w14:textId="6D4A6A96" w:rsidR="00AC6A9E" w:rsidRPr="00B40A37" w:rsidRDefault="00AC6A9E" w:rsidP="001136D3">
            <w:pPr>
              <w:spacing w:after="0"/>
              <w:rPr>
                <w:rStyle w:val="Preparersnotenobold"/>
                <w:i w:val="0"/>
                <w:szCs w:val="24"/>
              </w:rPr>
            </w:pPr>
            <w:r w:rsidRPr="00B40A37">
              <w:rPr>
                <w:rStyle w:val="Preparersnotenobold"/>
                <w:i w:val="0"/>
                <w:szCs w:val="24"/>
              </w:rPr>
              <w:t>View declaration data</w:t>
            </w:r>
          </w:p>
        </w:tc>
        <w:tc>
          <w:tcPr>
            <w:tcW w:w="5196" w:type="dxa"/>
          </w:tcPr>
          <w:p w14:paraId="63B48444" w14:textId="5AE7FDD1" w:rsidR="00AC6A9E" w:rsidRPr="00B40A37" w:rsidRDefault="00AC6A9E" w:rsidP="001136D3">
            <w:pPr>
              <w:spacing w:after="0"/>
              <w:rPr>
                <w:rStyle w:val="Preparersnotenobold"/>
                <w:i w:val="0"/>
                <w:szCs w:val="24"/>
              </w:rPr>
            </w:pPr>
            <w:r w:rsidRPr="00B40A37">
              <w:rPr>
                <w:rStyle w:val="Preparersnotenobold"/>
                <w:i w:val="0"/>
                <w:szCs w:val="24"/>
              </w:rPr>
              <w:t>View information on submitted declarations data related to inspections.</w:t>
            </w:r>
          </w:p>
        </w:tc>
      </w:tr>
      <w:tr w:rsidR="00AC6A9E" w14:paraId="7FB55615" w14:textId="77777777">
        <w:trPr>
          <w:trHeight w:val="396"/>
        </w:trPr>
        <w:tc>
          <w:tcPr>
            <w:tcW w:w="1035" w:type="dxa"/>
          </w:tcPr>
          <w:p w14:paraId="33E17AA2" w14:textId="1101288D" w:rsidR="00AC6A9E" w:rsidRPr="00B40A37" w:rsidRDefault="00AC6A9E" w:rsidP="001136D3">
            <w:pPr>
              <w:spacing w:after="0"/>
              <w:rPr>
                <w:rStyle w:val="Preparersnotenobold"/>
                <w:i w:val="0"/>
                <w:szCs w:val="24"/>
              </w:rPr>
            </w:pPr>
            <w:r w:rsidRPr="00B40A37">
              <w:rPr>
                <w:rStyle w:val="Preparersnotenobold"/>
                <w:i w:val="0"/>
                <w:szCs w:val="24"/>
              </w:rPr>
              <w:t>BR3.4</w:t>
            </w:r>
          </w:p>
        </w:tc>
        <w:tc>
          <w:tcPr>
            <w:tcW w:w="2409" w:type="dxa"/>
          </w:tcPr>
          <w:p w14:paraId="6C2A66ED" w14:textId="747D52BB" w:rsidR="00AC6A9E" w:rsidRPr="00B40A37" w:rsidRDefault="00AC6A9E" w:rsidP="001136D3">
            <w:pPr>
              <w:spacing w:after="0"/>
              <w:rPr>
                <w:rStyle w:val="Preparersnotenobold"/>
                <w:i w:val="0"/>
                <w:szCs w:val="24"/>
              </w:rPr>
            </w:pPr>
            <w:r w:rsidRPr="00B40A37">
              <w:rPr>
                <w:rStyle w:val="Preparersnotenobold"/>
                <w:i w:val="0"/>
                <w:szCs w:val="24"/>
              </w:rPr>
              <w:t>Risk management</w:t>
            </w:r>
          </w:p>
        </w:tc>
        <w:tc>
          <w:tcPr>
            <w:tcW w:w="5196" w:type="dxa"/>
          </w:tcPr>
          <w:p w14:paraId="31BB7647" w14:textId="06DBC1E7" w:rsidR="00AC6A9E" w:rsidRPr="00B40A37" w:rsidRDefault="00AC6A9E" w:rsidP="001136D3">
            <w:pPr>
              <w:spacing w:after="0"/>
              <w:rPr>
                <w:rStyle w:val="Preparersnotenobold"/>
                <w:i w:val="0"/>
                <w:szCs w:val="24"/>
              </w:rPr>
            </w:pPr>
            <w:r w:rsidRPr="00B40A37">
              <w:rPr>
                <w:rStyle w:val="Preparersnotenobold"/>
                <w:i w:val="0"/>
                <w:szCs w:val="24"/>
              </w:rPr>
              <w:t>CBRA shall be able to update profiles and see out-comes of risk assessments.</w:t>
            </w:r>
          </w:p>
        </w:tc>
      </w:tr>
      <w:tr w:rsidR="00AC6A9E" w14:paraId="3DCE5633" w14:textId="77777777">
        <w:trPr>
          <w:trHeight w:val="396"/>
        </w:trPr>
        <w:tc>
          <w:tcPr>
            <w:tcW w:w="1035" w:type="dxa"/>
          </w:tcPr>
          <w:p w14:paraId="0072D650" w14:textId="37AA7909" w:rsidR="00AC6A9E" w:rsidRPr="00B40A37" w:rsidRDefault="00AC6A9E" w:rsidP="001136D3">
            <w:pPr>
              <w:spacing w:after="0"/>
              <w:rPr>
                <w:rStyle w:val="Preparersnotenobold"/>
                <w:i w:val="0"/>
                <w:szCs w:val="24"/>
              </w:rPr>
            </w:pPr>
            <w:r w:rsidRPr="00B40A37">
              <w:rPr>
                <w:rStyle w:val="Preparersnotenobold"/>
                <w:i w:val="0"/>
                <w:szCs w:val="24"/>
              </w:rPr>
              <w:t>BR3.5</w:t>
            </w:r>
          </w:p>
        </w:tc>
        <w:tc>
          <w:tcPr>
            <w:tcW w:w="2409" w:type="dxa"/>
          </w:tcPr>
          <w:p w14:paraId="50945E6E" w14:textId="21F21800" w:rsidR="00AC6A9E" w:rsidRPr="00B40A37" w:rsidRDefault="00AC6A9E" w:rsidP="001136D3">
            <w:pPr>
              <w:spacing w:after="0"/>
              <w:rPr>
                <w:rStyle w:val="Preparersnotenobold"/>
                <w:i w:val="0"/>
                <w:szCs w:val="24"/>
              </w:rPr>
            </w:pPr>
            <w:r w:rsidRPr="00B40A37">
              <w:rPr>
                <w:rStyle w:val="Preparersnotenobold"/>
                <w:i w:val="0"/>
                <w:szCs w:val="24"/>
              </w:rPr>
              <w:t>Advice for payment</w:t>
            </w:r>
          </w:p>
        </w:tc>
        <w:tc>
          <w:tcPr>
            <w:tcW w:w="5196" w:type="dxa"/>
          </w:tcPr>
          <w:p w14:paraId="66F7719C" w14:textId="5F8F87A6" w:rsidR="00AC6A9E" w:rsidRPr="00B40A37" w:rsidRDefault="00AC6A9E" w:rsidP="001136D3">
            <w:pPr>
              <w:spacing w:after="0"/>
              <w:rPr>
                <w:rStyle w:val="Preparersnotenobold"/>
                <w:i w:val="0"/>
                <w:szCs w:val="24"/>
              </w:rPr>
            </w:pPr>
            <w:r w:rsidRPr="00B40A37">
              <w:rPr>
                <w:rStyle w:val="Preparersnotenobold"/>
                <w:i w:val="0"/>
                <w:szCs w:val="24"/>
              </w:rPr>
              <w:t>If there are any fees applied to inspections, the CBRA shall send payment advice to the NSW users for LPCO and NSW shall advise the trader on payment.</w:t>
            </w:r>
          </w:p>
        </w:tc>
      </w:tr>
      <w:tr w:rsidR="00AC6A9E" w14:paraId="2BA5B4C9" w14:textId="77777777">
        <w:trPr>
          <w:trHeight w:val="396"/>
        </w:trPr>
        <w:tc>
          <w:tcPr>
            <w:tcW w:w="1035" w:type="dxa"/>
          </w:tcPr>
          <w:p w14:paraId="5F778319" w14:textId="2053C85E" w:rsidR="00AC6A9E" w:rsidRPr="00B40A37" w:rsidRDefault="00AC6A9E" w:rsidP="001136D3">
            <w:pPr>
              <w:spacing w:after="0"/>
              <w:rPr>
                <w:rStyle w:val="Preparersnotenobold"/>
                <w:i w:val="0"/>
                <w:szCs w:val="24"/>
              </w:rPr>
            </w:pPr>
            <w:r w:rsidRPr="00B40A37">
              <w:rPr>
                <w:rStyle w:val="Preparersnotenobold"/>
                <w:i w:val="0"/>
                <w:szCs w:val="24"/>
              </w:rPr>
              <w:t>BR3.6</w:t>
            </w:r>
          </w:p>
        </w:tc>
        <w:tc>
          <w:tcPr>
            <w:tcW w:w="2409" w:type="dxa"/>
          </w:tcPr>
          <w:p w14:paraId="06ED370B" w14:textId="493A888D" w:rsidR="00AC6A9E" w:rsidRPr="00B40A37" w:rsidRDefault="00AC6A9E" w:rsidP="001136D3">
            <w:pPr>
              <w:spacing w:after="0"/>
              <w:rPr>
                <w:rStyle w:val="Preparersnotenobold"/>
                <w:i w:val="0"/>
                <w:szCs w:val="24"/>
              </w:rPr>
            </w:pPr>
            <w:r w:rsidRPr="00B40A37">
              <w:rPr>
                <w:rStyle w:val="Preparersnotenobold"/>
                <w:i w:val="0"/>
                <w:szCs w:val="24"/>
              </w:rPr>
              <w:t>Payment notification</w:t>
            </w:r>
          </w:p>
        </w:tc>
        <w:tc>
          <w:tcPr>
            <w:tcW w:w="5196" w:type="dxa"/>
          </w:tcPr>
          <w:p w14:paraId="5565561F" w14:textId="65957139" w:rsidR="00AC6A9E" w:rsidRPr="00B40A37" w:rsidRDefault="00AC6A9E" w:rsidP="001136D3">
            <w:pPr>
              <w:spacing w:after="0"/>
              <w:rPr>
                <w:rStyle w:val="Preparersnotenobold"/>
                <w:i w:val="0"/>
                <w:szCs w:val="24"/>
              </w:rPr>
            </w:pPr>
            <w:r w:rsidRPr="00B40A37">
              <w:rPr>
                <w:rStyle w:val="Preparersnotenobold"/>
                <w:i w:val="0"/>
                <w:szCs w:val="24"/>
              </w:rPr>
              <w:t>When the trader has paid applicable fees, CBRA is notified.</w:t>
            </w:r>
          </w:p>
        </w:tc>
      </w:tr>
      <w:tr w:rsidR="00AC6A9E" w14:paraId="1C15F69D" w14:textId="77777777">
        <w:trPr>
          <w:trHeight w:val="396"/>
        </w:trPr>
        <w:tc>
          <w:tcPr>
            <w:tcW w:w="1035" w:type="dxa"/>
          </w:tcPr>
          <w:p w14:paraId="346D7939" w14:textId="3125760B" w:rsidR="00AC6A9E" w:rsidRPr="00B40A37" w:rsidRDefault="00AC6A9E" w:rsidP="001136D3">
            <w:pPr>
              <w:spacing w:after="0"/>
              <w:rPr>
                <w:rStyle w:val="Preparersnotenobold"/>
                <w:i w:val="0"/>
                <w:szCs w:val="24"/>
              </w:rPr>
            </w:pPr>
            <w:r w:rsidRPr="00B40A37">
              <w:rPr>
                <w:rStyle w:val="Preparersnotenobold"/>
                <w:i w:val="0"/>
                <w:szCs w:val="24"/>
              </w:rPr>
              <w:t>BR3.7</w:t>
            </w:r>
          </w:p>
        </w:tc>
        <w:tc>
          <w:tcPr>
            <w:tcW w:w="2409" w:type="dxa"/>
          </w:tcPr>
          <w:p w14:paraId="66D05FD7" w14:textId="052E51C7" w:rsidR="00AC6A9E" w:rsidRPr="00B40A37" w:rsidRDefault="00AC6A9E" w:rsidP="001136D3">
            <w:pPr>
              <w:spacing w:after="0"/>
              <w:rPr>
                <w:rStyle w:val="Preparersnotenobold"/>
                <w:i w:val="0"/>
                <w:szCs w:val="24"/>
              </w:rPr>
            </w:pPr>
            <w:r w:rsidRPr="00B40A37">
              <w:rPr>
                <w:rStyle w:val="Preparersnotenobold"/>
                <w:i w:val="0"/>
                <w:szCs w:val="24"/>
              </w:rPr>
              <w:t>Results of inspections</w:t>
            </w:r>
          </w:p>
        </w:tc>
        <w:tc>
          <w:tcPr>
            <w:tcW w:w="5196" w:type="dxa"/>
          </w:tcPr>
          <w:p w14:paraId="62F996AB" w14:textId="5D03E13C" w:rsidR="00AC6A9E" w:rsidRPr="00B40A37" w:rsidRDefault="00AC6A9E" w:rsidP="001136D3">
            <w:pPr>
              <w:spacing w:after="0"/>
              <w:rPr>
                <w:rStyle w:val="Preparersnotenobold"/>
                <w:i w:val="0"/>
                <w:szCs w:val="24"/>
              </w:rPr>
            </w:pPr>
            <w:r w:rsidRPr="00B40A37">
              <w:rPr>
                <w:rStyle w:val="Preparersnotenobold"/>
                <w:i w:val="0"/>
                <w:szCs w:val="24"/>
              </w:rPr>
              <w:t>CBRA shall be able to notify the NSW about the results of inspections.</w:t>
            </w:r>
          </w:p>
        </w:tc>
      </w:tr>
      <w:tr w:rsidR="00AC6A9E" w14:paraId="15634FD6" w14:textId="77777777">
        <w:trPr>
          <w:trHeight w:val="396"/>
        </w:trPr>
        <w:tc>
          <w:tcPr>
            <w:tcW w:w="1035" w:type="dxa"/>
          </w:tcPr>
          <w:p w14:paraId="0239F408" w14:textId="16930A01" w:rsidR="00AC6A9E" w:rsidRPr="00B40A37" w:rsidRDefault="00AC6A9E" w:rsidP="001136D3">
            <w:pPr>
              <w:spacing w:after="0"/>
              <w:rPr>
                <w:rStyle w:val="Preparersnotenobold"/>
                <w:i w:val="0"/>
                <w:szCs w:val="24"/>
              </w:rPr>
            </w:pPr>
            <w:r w:rsidRPr="00B40A37">
              <w:rPr>
                <w:rStyle w:val="Preparersnotenobold"/>
                <w:i w:val="0"/>
                <w:szCs w:val="24"/>
              </w:rPr>
              <w:t>BR3.2</w:t>
            </w:r>
          </w:p>
        </w:tc>
        <w:tc>
          <w:tcPr>
            <w:tcW w:w="2409" w:type="dxa"/>
          </w:tcPr>
          <w:p w14:paraId="045394A7" w14:textId="21F37F23" w:rsidR="00AC6A9E" w:rsidRPr="00B40A37" w:rsidRDefault="00AC6A9E" w:rsidP="001136D3">
            <w:pPr>
              <w:spacing w:after="0"/>
              <w:rPr>
                <w:rStyle w:val="Preparersnotenobold"/>
                <w:i w:val="0"/>
                <w:szCs w:val="24"/>
              </w:rPr>
            </w:pPr>
            <w:r w:rsidRPr="00B40A37">
              <w:rPr>
                <w:rStyle w:val="Preparersnotenobold"/>
                <w:i w:val="0"/>
                <w:szCs w:val="24"/>
              </w:rPr>
              <w:t>View LPCO</w:t>
            </w:r>
          </w:p>
        </w:tc>
        <w:tc>
          <w:tcPr>
            <w:tcW w:w="5196" w:type="dxa"/>
          </w:tcPr>
          <w:p w14:paraId="157A7190" w14:textId="15613317" w:rsidR="00AC6A9E" w:rsidRPr="00B40A37" w:rsidRDefault="00AC6A9E" w:rsidP="001136D3">
            <w:pPr>
              <w:spacing w:after="0"/>
              <w:rPr>
                <w:rStyle w:val="Preparersnotenobold"/>
                <w:i w:val="0"/>
                <w:szCs w:val="24"/>
              </w:rPr>
            </w:pPr>
            <w:r w:rsidRPr="00B40A37">
              <w:rPr>
                <w:rStyle w:val="Preparersnotenobold"/>
                <w:i w:val="0"/>
                <w:szCs w:val="24"/>
              </w:rPr>
              <w:t>CBRA shall be able to view existing LPCO for inspection purposes.</w:t>
            </w:r>
          </w:p>
        </w:tc>
      </w:tr>
      <w:tr w:rsidR="00AC6A9E" w14:paraId="59D2B682" w14:textId="77777777">
        <w:trPr>
          <w:trHeight w:val="396"/>
        </w:trPr>
        <w:tc>
          <w:tcPr>
            <w:tcW w:w="1035" w:type="dxa"/>
          </w:tcPr>
          <w:p w14:paraId="21139F75" w14:textId="4CF1B6DF" w:rsidR="00AC6A9E" w:rsidRPr="00B40A37" w:rsidRDefault="00AC6A9E" w:rsidP="001136D3">
            <w:pPr>
              <w:spacing w:after="0"/>
              <w:rPr>
                <w:rStyle w:val="Preparersnotenobold"/>
                <w:i w:val="0"/>
                <w:szCs w:val="24"/>
              </w:rPr>
            </w:pPr>
            <w:r w:rsidRPr="00B40A37">
              <w:rPr>
                <w:rStyle w:val="Preparersnotenobold"/>
                <w:i w:val="0"/>
                <w:szCs w:val="24"/>
              </w:rPr>
              <w:t>BR3.3</w:t>
            </w:r>
          </w:p>
        </w:tc>
        <w:tc>
          <w:tcPr>
            <w:tcW w:w="2409" w:type="dxa"/>
          </w:tcPr>
          <w:p w14:paraId="08D8FF48" w14:textId="700167B8" w:rsidR="00AC6A9E" w:rsidRPr="00B40A37" w:rsidRDefault="00AC6A9E" w:rsidP="001136D3">
            <w:pPr>
              <w:spacing w:after="0"/>
              <w:rPr>
                <w:rStyle w:val="Preparersnotenobold"/>
                <w:i w:val="0"/>
                <w:szCs w:val="24"/>
              </w:rPr>
            </w:pPr>
            <w:r w:rsidRPr="00B40A37">
              <w:rPr>
                <w:rStyle w:val="Preparersnotenobold"/>
                <w:i w:val="0"/>
                <w:szCs w:val="24"/>
              </w:rPr>
              <w:t>View declaration data</w:t>
            </w:r>
          </w:p>
        </w:tc>
        <w:tc>
          <w:tcPr>
            <w:tcW w:w="5196" w:type="dxa"/>
          </w:tcPr>
          <w:p w14:paraId="07C63458" w14:textId="00F4EE77" w:rsidR="00AC6A9E" w:rsidRPr="00B40A37" w:rsidRDefault="00AC6A9E" w:rsidP="001136D3">
            <w:pPr>
              <w:spacing w:after="0"/>
              <w:rPr>
                <w:rStyle w:val="Preparersnotenobold"/>
                <w:i w:val="0"/>
                <w:szCs w:val="24"/>
              </w:rPr>
            </w:pPr>
            <w:r w:rsidRPr="00B40A37">
              <w:rPr>
                <w:rStyle w:val="Preparersnotenobold"/>
                <w:i w:val="0"/>
                <w:szCs w:val="24"/>
              </w:rPr>
              <w:t>View information on submitted declarations data related to inspections.</w:t>
            </w:r>
          </w:p>
        </w:tc>
      </w:tr>
      <w:tr w:rsidR="00AC6A9E" w14:paraId="7690A43D" w14:textId="77777777">
        <w:trPr>
          <w:trHeight w:val="396"/>
        </w:trPr>
        <w:tc>
          <w:tcPr>
            <w:tcW w:w="1035" w:type="dxa"/>
          </w:tcPr>
          <w:p w14:paraId="1B1B1726" w14:textId="4F6CFF01" w:rsidR="00AC6A9E" w:rsidRPr="00B40A37" w:rsidRDefault="00AC6A9E" w:rsidP="001136D3">
            <w:pPr>
              <w:spacing w:after="0"/>
              <w:rPr>
                <w:rStyle w:val="Preparersnotenobold"/>
                <w:i w:val="0"/>
                <w:szCs w:val="24"/>
              </w:rPr>
            </w:pPr>
            <w:r w:rsidRPr="00B40A37">
              <w:rPr>
                <w:rStyle w:val="Preparersnotenobold"/>
                <w:i w:val="0"/>
                <w:szCs w:val="24"/>
              </w:rPr>
              <w:t>BR3.4</w:t>
            </w:r>
          </w:p>
        </w:tc>
        <w:tc>
          <w:tcPr>
            <w:tcW w:w="2409" w:type="dxa"/>
          </w:tcPr>
          <w:p w14:paraId="7953C12D" w14:textId="237FB6E9" w:rsidR="00AC6A9E" w:rsidRPr="00B40A37" w:rsidRDefault="00AC6A9E" w:rsidP="001136D3">
            <w:pPr>
              <w:spacing w:after="0"/>
              <w:rPr>
                <w:rStyle w:val="Preparersnotenobold"/>
                <w:i w:val="0"/>
                <w:szCs w:val="24"/>
              </w:rPr>
            </w:pPr>
            <w:r w:rsidRPr="00B40A37">
              <w:rPr>
                <w:rStyle w:val="Preparersnotenobold"/>
                <w:i w:val="0"/>
                <w:szCs w:val="24"/>
              </w:rPr>
              <w:t>Risk management</w:t>
            </w:r>
          </w:p>
        </w:tc>
        <w:tc>
          <w:tcPr>
            <w:tcW w:w="5196" w:type="dxa"/>
          </w:tcPr>
          <w:p w14:paraId="1D26DA47" w14:textId="7598DD03" w:rsidR="00AC6A9E" w:rsidRPr="00B40A37" w:rsidRDefault="00AC6A9E" w:rsidP="001136D3">
            <w:pPr>
              <w:spacing w:after="0"/>
              <w:rPr>
                <w:rStyle w:val="Preparersnotenobold"/>
                <w:i w:val="0"/>
                <w:szCs w:val="24"/>
              </w:rPr>
            </w:pPr>
            <w:r w:rsidRPr="00B40A37">
              <w:rPr>
                <w:rStyle w:val="Preparersnotenobold"/>
                <w:i w:val="0"/>
                <w:szCs w:val="24"/>
              </w:rPr>
              <w:t>CBRA shall be able to update profiles and see out-comes of risk assessments.</w:t>
            </w:r>
          </w:p>
        </w:tc>
      </w:tr>
      <w:tr w:rsidR="00AC6A9E" w14:paraId="3732EFF5" w14:textId="77777777">
        <w:trPr>
          <w:trHeight w:val="396"/>
        </w:trPr>
        <w:tc>
          <w:tcPr>
            <w:tcW w:w="1035" w:type="dxa"/>
          </w:tcPr>
          <w:p w14:paraId="4492C1E0" w14:textId="0463AA2A" w:rsidR="00AC6A9E" w:rsidRPr="00B40A37" w:rsidRDefault="00AC6A9E" w:rsidP="001136D3">
            <w:pPr>
              <w:spacing w:after="0"/>
              <w:rPr>
                <w:rStyle w:val="Preparersnotenobold"/>
                <w:i w:val="0"/>
                <w:szCs w:val="24"/>
              </w:rPr>
            </w:pPr>
            <w:r w:rsidRPr="00B40A37">
              <w:rPr>
                <w:rStyle w:val="Preparersnotenobold"/>
                <w:i w:val="0"/>
                <w:szCs w:val="24"/>
              </w:rPr>
              <w:t>BR3.5</w:t>
            </w:r>
          </w:p>
        </w:tc>
        <w:tc>
          <w:tcPr>
            <w:tcW w:w="2409" w:type="dxa"/>
          </w:tcPr>
          <w:p w14:paraId="4D2496AD" w14:textId="7E83BA49" w:rsidR="00AC6A9E" w:rsidRPr="00B40A37" w:rsidRDefault="00AC6A9E" w:rsidP="001136D3">
            <w:pPr>
              <w:spacing w:after="0"/>
              <w:rPr>
                <w:rStyle w:val="Preparersnotenobold"/>
                <w:i w:val="0"/>
                <w:szCs w:val="24"/>
              </w:rPr>
            </w:pPr>
            <w:r w:rsidRPr="00B40A37">
              <w:rPr>
                <w:rStyle w:val="Preparersnotenobold"/>
                <w:i w:val="0"/>
                <w:szCs w:val="24"/>
              </w:rPr>
              <w:t>Advice for payment</w:t>
            </w:r>
          </w:p>
        </w:tc>
        <w:tc>
          <w:tcPr>
            <w:tcW w:w="5196" w:type="dxa"/>
          </w:tcPr>
          <w:p w14:paraId="0FB53EB2" w14:textId="1E8E8918" w:rsidR="00AC6A9E" w:rsidRPr="00B40A37" w:rsidRDefault="00AC6A9E" w:rsidP="001136D3">
            <w:pPr>
              <w:spacing w:after="0"/>
              <w:rPr>
                <w:rStyle w:val="Preparersnotenobold"/>
                <w:i w:val="0"/>
                <w:szCs w:val="24"/>
              </w:rPr>
            </w:pPr>
            <w:r w:rsidRPr="00B40A37">
              <w:rPr>
                <w:rStyle w:val="Preparersnotenobold"/>
                <w:i w:val="0"/>
                <w:szCs w:val="24"/>
              </w:rPr>
              <w:t>If there are any fees applied to inspections, the CBRA shall send payment advice to the NSW users for LPCO and NSW shall advise the trader on payment.</w:t>
            </w:r>
          </w:p>
        </w:tc>
      </w:tr>
      <w:tr w:rsidR="00AC6A9E" w14:paraId="75CBE16A" w14:textId="77777777">
        <w:trPr>
          <w:trHeight w:val="396"/>
        </w:trPr>
        <w:tc>
          <w:tcPr>
            <w:tcW w:w="1035" w:type="dxa"/>
          </w:tcPr>
          <w:p w14:paraId="3E3DB571" w14:textId="5D2E19E2" w:rsidR="00AC6A9E" w:rsidRPr="00B40A37" w:rsidRDefault="00AC6A9E" w:rsidP="001136D3">
            <w:pPr>
              <w:spacing w:after="0"/>
              <w:rPr>
                <w:rStyle w:val="Preparersnotenobold"/>
                <w:i w:val="0"/>
                <w:szCs w:val="24"/>
              </w:rPr>
            </w:pPr>
            <w:r w:rsidRPr="00B40A37">
              <w:rPr>
                <w:rStyle w:val="Preparersnotenobold"/>
                <w:i w:val="0"/>
                <w:szCs w:val="24"/>
              </w:rPr>
              <w:t>BR3.6</w:t>
            </w:r>
          </w:p>
        </w:tc>
        <w:tc>
          <w:tcPr>
            <w:tcW w:w="2409" w:type="dxa"/>
          </w:tcPr>
          <w:p w14:paraId="6066840B" w14:textId="4CA3EDD5" w:rsidR="00AC6A9E" w:rsidRPr="00B40A37" w:rsidRDefault="00AC6A9E" w:rsidP="001136D3">
            <w:pPr>
              <w:spacing w:after="0"/>
              <w:rPr>
                <w:rStyle w:val="Preparersnotenobold"/>
                <w:i w:val="0"/>
                <w:szCs w:val="24"/>
              </w:rPr>
            </w:pPr>
            <w:r w:rsidRPr="00B40A37">
              <w:rPr>
                <w:rStyle w:val="Preparersnotenobold"/>
                <w:i w:val="0"/>
                <w:szCs w:val="24"/>
              </w:rPr>
              <w:t>Payment notification</w:t>
            </w:r>
          </w:p>
        </w:tc>
        <w:tc>
          <w:tcPr>
            <w:tcW w:w="5196" w:type="dxa"/>
          </w:tcPr>
          <w:p w14:paraId="57E48B96" w14:textId="47E7F273" w:rsidR="00AC6A9E" w:rsidRPr="00B40A37" w:rsidRDefault="00AC6A9E" w:rsidP="001136D3">
            <w:pPr>
              <w:spacing w:after="0"/>
              <w:rPr>
                <w:rStyle w:val="Preparersnotenobold"/>
                <w:i w:val="0"/>
                <w:szCs w:val="24"/>
              </w:rPr>
            </w:pPr>
            <w:r w:rsidRPr="00B40A37">
              <w:rPr>
                <w:rStyle w:val="Preparersnotenobold"/>
                <w:i w:val="0"/>
                <w:szCs w:val="24"/>
              </w:rPr>
              <w:t>When the trader has paid applicable fees, CBRA is notified.</w:t>
            </w:r>
          </w:p>
        </w:tc>
      </w:tr>
      <w:tr w:rsidR="00AC6A9E" w14:paraId="457A2965" w14:textId="77777777">
        <w:trPr>
          <w:trHeight w:val="396"/>
        </w:trPr>
        <w:tc>
          <w:tcPr>
            <w:tcW w:w="1035" w:type="dxa"/>
          </w:tcPr>
          <w:p w14:paraId="524548C2" w14:textId="284CF919" w:rsidR="00AC6A9E" w:rsidRPr="00B40A37" w:rsidRDefault="00AC6A9E" w:rsidP="001136D3">
            <w:pPr>
              <w:spacing w:after="0"/>
              <w:rPr>
                <w:rStyle w:val="Preparersnotenobold"/>
                <w:i w:val="0"/>
                <w:szCs w:val="24"/>
              </w:rPr>
            </w:pPr>
            <w:r w:rsidRPr="00B40A37">
              <w:rPr>
                <w:rStyle w:val="Preparersnotenobold"/>
                <w:i w:val="0"/>
                <w:szCs w:val="24"/>
              </w:rPr>
              <w:t>BR3.7</w:t>
            </w:r>
          </w:p>
        </w:tc>
        <w:tc>
          <w:tcPr>
            <w:tcW w:w="2409" w:type="dxa"/>
          </w:tcPr>
          <w:p w14:paraId="470515BD" w14:textId="2BFD0D53" w:rsidR="00AC6A9E" w:rsidRPr="00B40A37" w:rsidRDefault="00AC6A9E" w:rsidP="001136D3">
            <w:pPr>
              <w:spacing w:after="0"/>
              <w:rPr>
                <w:rStyle w:val="Preparersnotenobold"/>
                <w:i w:val="0"/>
                <w:szCs w:val="24"/>
              </w:rPr>
            </w:pPr>
            <w:r w:rsidRPr="00B40A37">
              <w:rPr>
                <w:rStyle w:val="Preparersnotenobold"/>
                <w:i w:val="0"/>
                <w:szCs w:val="24"/>
              </w:rPr>
              <w:t>Results of inspections</w:t>
            </w:r>
          </w:p>
        </w:tc>
        <w:tc>
          <w:tcPr>
            <w:tcW w:w="5196" w:type="dxa"/>
          </w:tcPr>
          <w:p w14:paraId="291FD6A4" w14:textId="25F4E971" w:rsidR="00AC6A9E" w:rsidRPr="00B40A37" w:rsidRDefault="00AC6A9E" w:rsidP="001136D3">
            <w:pPr>
              <w:spacing w:after="0"/>
              <w:rPr>
                <w:rStyle w:val="Preparersnotenobold"/>
                <w:i w:val="0"/>
                <w:szCs w:val="24"/>
              </w:rPr>
            </w:pPr>
            <w:r w:rsidRPr="00B40A37">
              <w:rPr>
                <w:rStyle w:val="Preparersnotenobold"/>
                <w:i w:val="0"/>
                <w:szCs w:val="24"/>
              </w:rPr>
              <w:t>CBRA shall be able to notify the NSW about the results of inspections.</w:t>
            </w:r>
          </w:p>
        </w:tc>
      </w:tr>
      <w:tr w:rsidR="00AC6A9E" w14:paraId="12FB8FB1" w14:textId="77777777">
        <w:trPr>
          <w:trHeight w:val="396"/>
        </w:trPr>
        <w:tc>
          <w:tcPr>
            <w:tcW w:w="1035" w:type="dxa"/>
          </w:tcPr>
          <w:p w14:paraId="54853F73" w14:textId="1CCC2244" w:rsidR="00AC6A9E" w:rsidRPr="00B40A37" w:rsidRDefault="00AC6A9E" w:rsidP="001136D3">
            <w:pPr>
              <w:spacing w:after="0"/>
              <w:rPr>
                <w:rStyle w:val="Preparersnotenobold"/>
                <w:i w:val="0"/>
                <w:szCs w:val="24"/>
              </w:rPr>
            </w:pPr>
            <w:r w:rsidRPr="001136D3">
              <w:rPr>
                <w:szCs w:val="24"/>
              </w:rPr>
              <w:lastRenderedPageBreak/>
              <w:t>BR4.1</w:t>
            </w:r>
          </w:p>
        </w:tc>
        <w:tc>
          <w:tcPr>
            <w:tcW w:w="2409" w:type="dxa"/>
          </w:tcPr>
          <w:p w14:paraId="16DFEE81" w14:textId="5E4B4944" w:rsidR="00AC6A9E" w:rsidRPr="00B40A37" w:rsidRDefault="00AC6A9E" w:rsidP="001136D3">
            <w:pPr>
              <w:spacing w:after="0"/>
              <w:rPr>
                <w:rStyle w:val="Preparersnotenobold"/>
                <w:i w:val="0"/>
                <w:szCs w:val="24"/>
              </w:rPr>
            </w:pPr>
            <w:r w:rsidRPr="001136D3">
              <w:rPr>
                <w:szCs w:val="24"/>
              </w:rPr>
              <w:t>Quantity management</w:t>
            </w:r>
          </w:p>
        </w:tc>
        <w:tc>
          <w:tcPr>
            <w:tcW w:w="5196" w:type="dxa"/>
          </w:tcPr>
          <w:p w14:paraId="27CD8888" w14:textId="0946A93F" w:rsidR="00AC6A9E" w:rsidRPr="00B40A37" w:rsidRDefault="00AC6A9E" w:rsidP="001136D3">
            <w:pPr>
              <w:spacing w:after="0"/>
              <w:rPr>
                <w:rStyle w:val="Preparersnotenobold"/>
                <w:i w:val="0"/>
                <w:szCs w:val="24"/>
              </w:rPr>
            </w:pPr>
            <w:r w:rsidRPr="001136D3">
              <w:rPr>
                <w:szCs w:val="24"/>
              </w:rPr>
              <w:t>Based on the information in the request for usage of the LPCO, the goods clearance information and/or intervention information (if any), if the LPCO was issued in the NSW, the NSW should be able to perform the quantity management and to inform the Customs Administration about the Quantity Management Outcome. In case when the LPCO was issued in CBRA’s system, the NSW should be able to transform and dispatch the Quantity Management Outcome received from the CBRA to the Customs Administration.</w:t>
            </w:r>
          </w:p>
        </w:tc>
      </w:tr>
      <w:tr w:rsidR="00AC6A9E" w14:paraId="1E1E31E8" w14:textId="77777777">
        <w:trPr>
          <w:trHeight w:val="396"/>
        </w:trPr>
        <w:tc>
          <w:tcPr>
            <w:tcW w:w="1035" w:type="dxa"/>
          </w:tcPr>
          <w:p w14:paraId="58DC3C82" w14:textId="76D78CCE" w:rsidR="00AC6A9E" w:rsidRPr="00B40A37" w:rsidRDefault="00AC6A9E" w:rsidP="001136D3">
            <w:pPr>
              <w:spacing w:after="0"/>
              <w:rPr>
                <w:rStyle w:val="Preparersnotenobold"/>
                <w:i w:val="0"/>
                <w:szCs w:val="24"/>
              </w:rPr>
            </w:pPr>
            <w:r w:rsidRPr="001136D3">
              <w:rPr>
                <w:szCs w:val="24"/>
              </w:rPr>
              <w:t>BR4.2</w:t>
            </w:r>
          </w:p>
        </w:tc>
        <w:tc>
          <w:tcPr>
            <w:tcW w:w="2409" w:type="dxa"/>
          </w:tcPr>
          <w:p w14:paraId="140A347A" w14:textId="4641C082" w:rsidR="00AC6A9E" w:rsidRPr="00B40A37" w:rsidRDefault="00AC6A9E" w:rsidP="001136D3">
            <w:pPr>
              <w:spacing w:after="0"/>
              <w:rPr>
                <w:rStyle w:val="Preparersnotenobold"/>
                <w:i w:val="0"/>
                <w:szCs w:val="24"/>
              </w:rPr>
            </w:pPr>
            <w:r w:rsidRPr="001136D3">
              <w:rPr>
                <w:szCs w:val="24"/>
              </w:rPr>
              <w:t>Provide LPCO</w:t>
            </w:r>
          </w:p>
        </w:tc>
        <w:tc>
          <w:tcPr>
            <w:tcW w:w="5196" w:type="dxa"/>
          </w:tcPr>
          <w:p w14:paraId="668BD95A" w14:textId="638316DD" w:rsidR="00AC6A9E" w:rsidRPr="00B40A37" w:rsidRDefault="00AC6A9E" w:rsidP="001136D3">
            <w:pPr>
              <w:spacing w:after="0"/>
              <w:rPr>
                <w:rStyle w:val="Preparersnotenobold"/>
                <w:i w:val="0"/>
                <w:szCs w:val="24"/>
              </w:rPr>
            </w:pPr>
            <w:r w:rsidRPr="001136D3">
              <w:rPr>
                <w:szCs w:val="24"/>
              </w:rPr>
              <w:t>NSW must be able to provide LPCO Information and a PDF version if available, if the LPCO was issued in NSW.</w:t>
            </w:r>
          </w:p>
        </w:tc>
      </w:tr>
      <w:tr w:rsidR="00AC6A9E" w14:paraId="24E7D4F7" w14:textId="77777777">
        <w:trPr>
          <w:trHeight w:val="396"/>
        </w:trPr>
        <w:tc>
          <w:tcPr>
            <w:tcW w:w="1035" w:type="dxa"/>
          </w:tcPr>
          <w:p w14:paraId="4D6876C4" w14:textId="3710FBBF" w:rsidR="00AC6A9E" w:rsidRPr="00B40A37" w:rsidRDefault="00AC6A9E" w:rsidP="001136D3">
            <w:pPr>
              <w:spacing w:after="0"/>
              <w:rPr>
                <w:rStyle w:val="Preparersnotenobold"/>
                <w:i w:val="0"/>
                <w:szCs w:val="24"/>
              </w:rPr>
            </w:pPr>
            <w:r w:rsidRPr="001136D3">
              <w:rPr>
                <w:szCs w:val="24"/>
              </w:rPr>
              <w:t>BR4.3</w:t>
            </w:r>
          </w:p>
        </w:tc>
        <w:tc>
          <w:tcPr>
            <w:tcW w:w="2409" w:type="dxa"/>
          </w:tcPr>
          <w:p w14:paraId="3BA1176B" w14:textId="21969199" w:rsidR="00AC6A9E" w:rsidRPr="00B40A37" w:rsidRDefault="00AC6A9E" w:rsidP="001136D3">
            <w:pPr>
              <w:spacing w:after="0"/>
              <w:rPr>
                <w:rStyle w:val="Preparersnotenobold"/>
                <w:i w:val="0"/>
                <w:szCs w:val="24"/>
              </w:rPr>
            </w:pPr>
            <w:r w:rsidRPr="001136D3">
              <w:rPr>
                <w:szCs w:val="24"/>
              </w:rPr>
              <w:t>Manage LPCO usage</w:t>
            </w:r>
          </w:p>
        </w:tc>
        <w:tc>
          <w:tcPr>
            <w:tcW w:w="5196" w:type="dxa"/>
          </w:tcPr>
          <w:p w14:paraId="2E0C3206" w14:textId="285C71CD" w:rsidR="00AC6A9E" w:rsidRPr="00B40A37" w:rsidRDefault="00AC6A9E" w:rsidP="001136D3">
            <w:pPr>
              <w:spacing w:after="0"/>
              <w:rPr>
                <w:rStyle w:val="Preparersnotenobold"/>
                <w:i w:val="0"/>
                <w:szCs w:val="24"/>
              </w:rPr>
            </w:pPr>
            <w:r w:rsidRPr="001136D3">
              <w:rPr>
                <w:szCs w:val="24"/>
              </w:rPr>
              <w:t>NSW must be able to register and maintain of the LPCO upon its presentation to customs.</w:t>
            </w:r>
          </w:p>
        </w:tc>
      </w:tr>
      <w:tr w:rsidR="00F712E1" w14:paraId="53379495" w14:textId="77777777">
        <w:trPr>
          <w:trHeight w:val="396"/>
        </w:trPr>
        <w:tc>
          <w:tcPr>
            <w:tcW w:w="1035" w:type="dxa"/>
          </w:tcPr>
          <w:p w14:paraId="50F698A3" w14:textId="25E59860" w:rsidR="00F712E1" w:rsidRPr="001136D3" w:rsidRDefault="00F712E1" w:rsidP="001136D3">
            <w:pPr>
              <w:spacing w:after="0"/>
              <w:rPr>
                <w:szCs w:val="24"/>
              </w:rPr>
            </w:pPr>
            <w:r w:rsidRPr="001136D3">
              <w:rPr>
                <w:szCs w:val="24"/>
              </w:rPr>
              <w:t xml:space="preserve">BR4.4 </w:t>
            </w:r>
          </w:p>
        </w:tc>
        <w:tc>
          <w:tcPr>
            <w:tcW w:w="2409" w:type="dxa"/>
          </w:tcPr>
          <w:p w14:paraId="1F4A7C82" w14:textId="04B9D412" w:rsidR="00F712E1" w:rsidRPr="001136D3" w:rsidRDefault="00F712E1" w:rsidP="001136D3">
            <w:pPr>
              <w:spacing w:after="0"/>
              <w:rPr>
                <w:szCs w:val="24"/>
              </w:rPr>
            </w:pPr>
            <w:r w:rsidRPr="001136D3">
              <w:rPr>
                <w:szCs w:val="24"/>
              </w:rPr>
              <w:t>Status Tracking</w:t>
            </w:r>
          </w:p>
        </w:tc>
        <w:tc>
          <w:tcPr>
            <w:tcW w:w="5196" w:type="dxa"/>
          </w:tcPr>
          <w:p w14:paraId="07975229" w14:textId="06CC499A" w:rsidR="00F712E1" w:rsidRPr="001136D3" w:rsidRDefault="00F712E1" w:rsidP="001136D3">
            <w:pPr>
              <w:spacing w:after="0"/>
              <w:rPr>
                <w:szCs w:val="24"/>
              </w:rPr>
            </w:pPr>
            <w:r w:rsidRPr="001136D3">
              <w:rPr>
                <w:szCs w:val="24"/>
              </w:rPr>
              <w:t xml:space="preserve">The trader shall be able to see the </w:t>
            </w:r>
            <w:proofErr w:type="gramStart"/>
            <w:r w:rsidRPr="001136D3">
              <w:rPr>
                <w:szCs w:val="24"/>
              </w:rPr>
              <w:t>current status</w:t>
            </w:r>
            <w:proofErr w:type="gramEnd"/>
            <w:r w:rsidRPr="001136D3">
              <w:rPr>
                <w:szCs w:val="24"/>
              </w:rPr>
              <w:t xml:space="preserve"> of all related transactions and processes.</w:t>
            </w:r>
          </w:p>
        </w:tc>
      </w:tr>
    </w:tbl>
    <w:p w14:paraId="3BC38A94" w14:textId="528AE96B" w:rsidR="00157AAA" w:rsidRDefault="00157AAA">
      <w:pPr>
        <w:spacing w:after="0"/>
        <w:jc w:val="left"/>
        <w:rPr>
          <w:b/>
          <w:i/>
        </w:rPr>
      </w:pPr>
    </w:p>
    <w:p w14:paraId="415E16FA" w14:textId="4F7F3A07" w:rsidR="00F712E1" w:rsidRPr="008E2AAD" w:rsidRDefault="000867DF" w:rsidP="008E2AAD">
      <w:pPr>
        <w:ind w:firstLine="720"/>
        <w:rPr>
          <w:b/>
        </w:rPr>
      </w:pPr>
      <w:r w:rsidRPr="008E2AAD">
        <w:rPr>
          <w:b/>
        </w:rPr>
        <w:t>1.3.</w:t>
      </w:r>
      <w:r>
        <w:rPr>
          <w:b/>
        </w:rPr>
        <w:t>2</w:t>
      </w:r>
      <w:r w:rsidRPr="008E2AAD">
        <w:rPr>
          <w:b/>
        </w:rPr>
        <w:t>.</w:t>
      </w:r>
      <w:r>
        <w:rPr>
          <w:b/>
        </w:rPr>
        <w:t>1</w:t>
      </w:r>
      <w:r w:rsidRPr="008E2AAD">
        <w:rPr>
          <w:b/>
        </w:rPr>
        <w:t>.</w:t>
      </w:r>
      <w:r>
        <w:rPr>
          <w:b/>
        </w:rPr>
        <w:t>5.</w:t>
      </w:r>
      <w:r w:rsidR="001136D3">
        <w:rPr>
          <w:b/>
        </w:rPr>
        <w:t xml:space="preserve"> </w:t>
      </w:r>
      <w:r w:rsidR="00F712E1" w:rsidRPr="008E2AAD">
        <w:rPr>
          <w:b/>
        </w:rPr>
        <w:t xml:space="preserve">NSW Core and Enabling Business </w:t>
      </w:r>
      <w:proofErr w:type="gramStart"/>
      <w:r w:rsidR="00F712E1" w:rsidRPr="008E2AAD">
        <w:rPr>
          <w:b/>
        </w:rPr>
        <w:t>processes</w:t>
      </w:r>
      <w:proofErr w:type="gramEnd"/>
    </w:p>
    <w:p w14:paraId="0596012C" w14:textId="1EC22901" w:rsidR="00F712E1" w:rsidRDefault="00F712E1" w:rsidP="00F712E1">
      <w:pPr>
        <w:spacing w:after="0"/>
        <w:jc w:val="left"/>
        <w:rPr>
          <w:szCs w:val="24"/>
        </w:rPr>
      </w:pPr>
      <w:r w:rsidRPr="00332A40">
        <w:rPr>
          <w:szCs w:val="24"/>
        </w:rPr>
        <w:t xml:space="preserve">The following </w:t>
      </w:r>
      <w:r>
        <w:rPr>
          <w:szCs w:val="24"/>
        </w:rPr>
        <w:t>diagram</w:t>
      </w:r>
      <w:r w:rsidRPr="00332A40">
        <w:rPr>
          <w:szCs w:val="24"/>
        </w:rPr>
        <w:t xml:space="preserve"> presents the Core and Enabling business processes under the National Single Window. </w:t>
      </w:r>
    </w:p>
    <w:p w14:paraId="406AE50E" w14:textId="77777777" w:rsidR="00F712E1" w:rsidRDefault="00F712E1">
      <w:pPr>
        <w:ind w:left="720"/>
      </w:pPr>
    </w:p>
    <w:p w14:paraId="73E843C1" w14:textId="5C560002" w:rsidR="00AC6A9E" w:rsidRDefault="00B5272F">
      <w:r w:rsidRPr="00B5272F">
        <w:rPr>
          <w:noProof/>
        </w:rPr>
        <w:drawing>
          <wp:inline distT="0" distB="0" distL="0" distR="0" wp14:anchorId="6A4B2B82" wp14:editId="0C4AA86F">
            <wp:extent cx="5486400" cy="38849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86400" cy="3884930"/>
                    </a:xfrm>
                    <a:prstGeom prst="rect">
                      <a:avLst/>
                    </a:prstGeom>
                  </pic:spPr>
                </pic:pic>
              </a:graphicData>
            </a:graphic>
          </wp:inline>
        </w:drawing>
      </w:r>
    </w:p>
    <w:p w14:paraId="31FA673B" w14:textId="31561B7C" w:rsidR="00AC6A9E" w:rsidRPr="009A703B" w:rsidRDefault="00AC6A9E" w:rsidP="00AC6A9E">
      <w:pPr>
        <w:jc w:val="center"/>
        <w:rPr>
          <w:i/>
          <w:szCs w:val="24"/>
        </w:rPr>
      </w:pPr>
      <w:r w:rsidRPr="009A703B">
        <w:rPr>
          <w:i/>
          <w:szCs w:val="24"/>
        </w:rPr>
        <w:lastRenderedPageBreak/>
        <w:t xml:space="preserve">Figure </w:t>
      </w:r>
      <w:r w:rsidR="0045115A">
        <w:rPr>
          <w:i/>
          <w:szCs w:val="24"/>
          <w:lang w:val="mk-MK"/>
        </w:rPr>
        <w:t>23</w:t>
      </w:r>
      <w:r w:rsidRPr="009A703B">
        <w:rPr>
          <w:i/>
          <w:szCs w:val="24"/>
        </w:rPr>
        <w:t>: Diagram of Core and Enabling Business Processes</w:t>
      </w:r>
    </w:p>
    <w:p w14:paraId="36ACB847" w14:textId="2FEF2F31" w:rsidR="00157AAA" w:rsidRDefault="00157AAA">
      <w:pPr>
        <w:ind w:left="720"/>
        <w:rPr>
          <w:b/>
          <w:i/>
        </w:rPr>
      </w:pPr>
    </w:p>
    <w:p w14:paraId="74AEAEBF" w14:textId="4F69436E" w:rsidR="00C35AB4" w:rsidRPr="006517A3" w:rsidRDefault="00F712E1" w:rsidP="006517A3">
      <w:pPr>
        <w:rPr>
          <w:b/>
        </w:rPr>
      </w:pPr>
      <w:r w:rsidRPr="006517A3">
        <w:rPr>
          <w:b/>
        </w:rPr>
        <w:t>1.3.</w:t>
      </w:r>
      <w:r w:rsidR="00055D8C">
        <w:rPr>
          <w:b/>
        </w:rPr>
        <w:t>3</w:t>
      </w:r>
      <w:r w:rsidRPr="006517A3">
        <w:rPr>
          <w:b/>
        </w:rPr>
        <w:t xml:space="preserve">. </w:t>
      </w:r>
      <w:r w:rsidR="00C35AB4" w:rsidRPr="006517A3">
        <w:rPr>
          <w:b/>
        </w:rPr>
        <w:t>Data Architecture</w:t>
      </w:r>
    </w:p>
    <w:p w14:paraId="296A1BB0" w14:textId="144CB592" w:rsidR="00157AAA" w:rsidRPr="00150BCF" w:rsidRDefault="006C1BE5">
      <w:pPr>
        <w:ind w:left="720" w:firstLine="720"/>
      </w:pPr>
      <w:r w:rsidRPr="008E2AAD">
        <w:rPr>
          <w:b/>
        </w:rPr>
        <w:t>1.3.</w:t>
      </w:r>
      <w:r w:rsidR="00055D8C">
        <w:rPr>
          <w:b/>
        </w:rPr>
        <w:t>3</w:t>
      </w:r>
      <w:r w:rsidR="00123173">
        <w:rPr>
          <w:b/>
        </w:rPr>
        <w:t>.</w:t>
      </w:r>
      <w:r w:rsidRPr="008E2AAD">
        <w:rPr>
          <w:b/>
        </w:rPr>
        <w:t>1.</w:t>
      </w:r>
      <w:r w:rsidR="00F712E1" w:rsidRPr="008E2AAD">
        <w:rPr>
          <w:b/>
        </w:rPr>
        <w:t xml:space="preserve"> </w:t>
      </w:r>
      <w:r w:rsidRPr="008E2AAD">
        <w:rPr>
          <w:b/>
        </w:rPr>
        <w:t>New Data Sources</w:t>
      </w:r>
    </w:p>
    <w:p w14:paraId="66B4FC1D" w14:textId="77777777" w:rsidR="00157AAA" w:rsidRDefault="006C1BE5">
      <w:pPr>
        <w:ind w:left="720"/>
      </w:pPr>
      <w:r>
        <w:t xml:space="preserve">The NSW shall be able to interact and integrate with additional data sources in the supply chain for additional supply chain visibility. Recent development in the Internet of Things (IoT), smart containers, data pipelines, trade data providers, and block chain technologies can provide </w:t>
      </w:r>
      <w:proofErr w:type="gramStart"/>
      <w:r>
        <w:t>the NSW</w:t>
      </w:r>
      <w:proofErr w:type="gramEnd"/>
      <w:r>
        <w:t xml:space="preserve"> with further data, in addition to the regulated and mandatory data submitted by traders. Industry platforms (</w:t>
      </w:r>
      <w:proofErr w:type="spellStart"/>
      <w:r>
        <w:t>Traxon</w:t>
      </w:r>
      <w:proofErr w:type="spellEnd"/>
      <w:r>
        <w:t xml:space="preserve"> CargoHUB17 for air freight, TradeLens18 and INTTRA E2open19 for sea freight), company information providers (Orbis20, Dun &amp; Bradstreet21), import and export data (Altana Atlas22, Datamyne23), tracking services, and various e-commerce platforms can provide additional supply chain data. In this context, the NSW can act as the gateway between various sources of supply chain data and the government. This enables the potential to deliver real time supply chain visibility and additional data for CBRAs </w:t>
      </w:r>
      <w:proofErr w:type="gramStart"/>
      <w:r>
        <w:t>in order to</w:t>
      </w:r>
      <w:proofErr w:type="gramEnd"/>
      <w:r>
        <w:t xml:space="preserve"> improve risk management as well as planning of resources. New data sources can also enable potential trade facilitation measures, where verified data can be made available to NSW stakeholders from the supply chain. Simplified procedures, ensuring authentic identities and documents, tracing goods, and determining origin of goods are potential use cases in this area.</w:t>
      </w:r>
    </w:p>
    <w:p w14:paraId="4838C1D2" w14:textId="5DDE5703" w:rsidR="00157AAA" w:rsidRPr="00150BCF" w:rsidRDefault="00F712E1">
      <w:pPr>
        <w:ind w:left="720" w:firstLine="720"/>
      </w:pPr>
      <w:r w:rsidRPr="008E2AAD">
        <w:rPr>
          <w:b/>
        </w:rPr>
        <w:t>1.3.</w:t>
      </w:r>
      <w:r w:rsidR="00055D8C">
        <w:rPr>
          <w:b/>
        </w:rPr>
        <w:t>3</w:t>
      </w:r>
      <w:r w:rsidRPr="008E2AAD">
        <w:rPr>
          <w:b/>
        </w:rPr>
        <w:t xml:space="preserve">.2. </w:t>
      </w:r>
      <w:r w:rsidR="006C1BE5" w:rsidRPr="008E2AAD">
        <w:rPr>
          <w:b/>
        </w:rPr>
        <w:t>Reporting and Business Intelligence</w:t>
      </w:r>
    </w:p>
    <w:p w14:paraId="44707499" w14:textId="77777777" w:rsidR="00157AAA" w:rsidRDefault="006C1BE5">
      <w:pPr>
        <w:ind w:left="720"/>
      </w:pPr>
      <w:r>
        <w:t xml:space="preserve">Given the above services, the NSW will have access to large amount of data that can be used for enhanced insights about cross-border trade, intelligence, compliance, CBRA performance and statistics. </w:t>
      </w:r>
    </w:p>
    <w:p w14:paraId="2935ED39" w14:textId="77777777" w:rsidR="00157AAA" w:rsidRDefault="00157AAA">
      <w:pPr>
        <w:spacing w:after="0"/>
        <w:ind w:left="720"/>
      </w:pPr>
    </w:p>
    <w:p w14:paraId="14DA5CCE" w14:textId="4002AE63" w:rsidR="00157AAA" w:rsidRPr="00150BCF" w:rsidRDefault="006C1BE5" w:rsidP="006517A3">
      <w:pPr>
        <w:spacing w:after="0"/>
      </w:pPr>
      <w:r w:rsidRPr="008E2AAD">
        <w:rPr>
          <w:b/>
        </w:rPr>
        <w:t>1.3.</w:t>
      </w:r>
      <w:r w:rsidR="004E2DD0">
        <w:rPr>
          <w:b/>
        </w:rPr>
        <w:t>4</w:t>
      </w:r>
      <w:r w:rsidR="00F712E1" w:rsidRPr="008E2AAD">
        <w:rPr>
          <w:b/>
        </w:rPr>
        <w:t xml:space="preserve">. </w:t>
      </w:r>
      <w:r w:rsidRPr="008E2AAD">
        <w:rPr>
          <w:b/>
        </w:rPr>
        <w:t>Application Architecture</w:t>
      </w:r>
    </w:p>
    <w:p w14:paraId="18270E0D" w14:textId="77777777" w:rsidR="00157AAA" w:rsidRDefault="00157AAA">
      <w:pPr>
        <w:spacing w:after="0"/>
        <w:ind w:left="720"/>
      </w:pPr>
    </w:p>
    <w:p w14:paraId="2D52B994" w14:textId="77777777" w:rsidR="00157AAA" w:rsidRDefault="006C1BE5">
      <w:pPr>
        <w:ind w:left="720"/>
      </w:pPr>
      <w:r>
        <w:t xml:space="preserve">The application services described in the previous section </w:t>
      </w:r>
      <w:proofErr w:type="gramStart"/>
      <w:r>
        <w:t>is</w:t>
      </w:r>
      <w:proofErr w:type="gramEnd"/>
      <w:r>
        <w:t xml:space="preserve"> organized into and provided by IT-components or ICT-applications in the application architecture. These ICT applications can either be COTS products or a developed system for its particular purpose. The strong recommendation </w:t>
      </w:r>
      <w:proofErr w:type="gramStart"/>
      <w:r>
        <w:t>from</w:t>
      </w:r>
      <w:proofErr w:type="gramEnd"/>
      <w:r>
        <w:t xml:space="preserve"> the project is to choose COTS-solutions as far as possible. The strategy is to use standard products as a base for the NSW solutions regarding user management, workflow, portal, content management, and document management. The purpose of the proposed structure is to further explain how different components and features can be structured and how they interact within the architecture.  </w:t>
      </w:r>
    </w:p>
    <w:p w14:paraId="59A626B9" w14:textId="77777777" w:rsidR="00157AAA" w:rsidRDefault="00157AAA">
      <w:pPr>
        <w:ind w:left="720"/>
      </w:pPr>
    </w:p>
    <w:p w14:paraId="56287DBE" w14:textId="41E8DD0A" w:rsidR="00157AAA" w:rsidRDefault="00B40A37">
      <w:pPr>
        <w:ind w:left="720"/>
      </w:pPr>
      <w:r w:rsidRPr="00B40A37">
        <w:rPr>
          <w:noProof/>
        </w:rPr>
        <w:lastRenderedPageBreak/>
        <w:drawing>
          <wp:inline distT="0" distB="0" distL="0" distR="0" wp14:anchorId="54F16844" wp14:editId="6E0CE694">
            <wp:extent cx="5486400" cy="53606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86400" cy="5360670"/>
                    </a:xfrm>
                    <a:prstGeom prst="rect">
                      <a:avLst/>
                    </a:prstGeom>
                  </pic:spPr>
                </pic:pic>
              </a:graphicData>
            </a:graphic>
          </wp:inline>
        </w:drawing>
      </w:r>
    </w:p>
    <w:p w14:paraId="6A6CC97F" w14:textId="6E225242" w:rsidR="00157AAA" w:rsidRDefault="00B40A37">
      <w:pPr>
        <w:ind w:left="720"/>
      </w:pPr>
      <w:r>
        <w:object w:dxaOrig="1543" w:dyaOrig="995" w14:anchorId="7EB5A02F">
          <v:shape id="_x0000_i1043" type="#_x0000_t75" style="width:79pt;height:50.5pt" o:ole="">
            <v:imagedata r:id="rId131" o:title=""/>
          </v:shape>
          <o:OLEObject Type="Embed" ProgID="Package" ShapeID="_x0000_i1043" DrawAspect="Icon" ObjectID="_1777888276" r:id="rId132"/>
        </w:object>
      </w:r>
    </w:p>
    <w:p w14:paraId="687993D1" w14:textId="47E162FC" w:rsidR="00157AAA" w:rsidRDefault="00E3729B" w:rsidP="001136D3">
      <w:pPr>
        <w:ind w:left="720"/>
        <w:jc w:val="center"/>
        <w:rPr>
          <w:i/>
        </w:rPr>
      </w:pPr>
      <w:r>
        <w:rPr>
          <w:i/>
          <w:noProof/>
        </w:rPr>
        <mc:AlternateContent>
          <mc:Choice Requires="wps">
            <w:drawing>
              <wp:anchor distT="0" distB="0" distL="114300" distR="114300" simplePos="0" relativeHeight="251658258" behindDoc="0" locked="0" layoutInCell="1" allowOverlap="1" wp14:anchorId="1B28B649" wp14:editId="415DD5D7">
                <wp:simplePos x="0" y="0"/>
                <wp:positionH relativeFrom="column">
                  <wp:posOffset>0</wp:posOffset>
                </wp:positionH>
                <wp:positionV relativeFrom="paragraph">
                  <wp:posOffset>0</wp:posOffset>
                </wp:positionV>
                <wp:extent cx="635000" cy="635000"/>
                <wp:effectExtent l="19050" t="19050" r="12700" b="12700"/>
                <wp:wrapNone/>
                <wp:docPr id="8" name="AutoShape 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CFCB7" id="AutoShape 5" o:spid="_x0000_s1026" style="position:absolute;margin-left:0;margin-top:0;width:50pt;height:50pt;z-index:25165825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">
                <v:stroke joinstyle="round"/>
                <o:lock v:ext="edit" selection="t"/>
              </v:rect>
            </w:pict>
          </mc:Fallback>
        </mc:AlternateContent>
      </w:r>
    </w:p>
    <w:p w14:paraId="1C89EDDD" w14:textId="2D846B54" w:rsidR="00157AAA" w:rsidRDefault="006C1BE5">
      <w:pPr>
        <w:ind w:left="720"/>
        <w:jc w:val="center"/>
        <w:rPr>
          <w:i/>
        </w:rPr>
      </w:pPr>
      <w:r>
        <w:rPr>
          <w:i/>
        </w:rPr>
        <w:t>Figure</w:t>
      </w:r>
      <w:r w:rsidR="00123173">
        <w:rPr>
          <w:i/>
        </w:rPr>
        <w:t xml:space="preserve"> </w:t>
      </w:r>
      <w:r w:rsidR="0045115A">
        <w:rPr>
          <w:i/>
          <w:lang w:val="mk-MK"/>
        </w:rPr>
        <w:t>24</w:t>
      </w:r>
      <w:r>
        <w:rPr>
          <w:i/>
        </w:rPr>
        <w:t>: Collaboration Diagram</w:t>
      </w:r>
    </w:p>
    <w:p w14:paraId="57FABE48" w14:textId="77777777" w:rsidR="006517A3" w:rsidRDefault="006517A3" w:rsidP="008E2AAD">
      <w:pPr>
        <w:ind w:left="720"/>
        <w:rPr>
          <w:b/>
        </w:rPr>
      </w:pPr>
    </w:p>
    <w:p w14:paraId="18689AFF" w14:textId="1DAD99CC" w:rsidR="00F712E1" w:rsidRPr="008E2AAD" w:rsidRDefault="00F712E1" w:rsidP="008E2AAD">
      <w:pPr>
        <w:ind w:left="720"/>
        <w:rPr>
          <w:b/>
        </w:rPr>
      </w:pPr>
      <w:r w:rsidRPr="008E2AAD">
        <w:rPr>
          <w:b/>
        </w:rPr>
        <w:t>1.3.</w:t>
      </w:r>
      <w:r w:rsidR="004E2DD0">
        <w:rPr>
          <w:b/>
        </w:rPr>
        <w:t>4</w:t>
      </w:r>
      <w:r w:rsidR="00123173">
        <w:rPr>
          <w:b/>
        </w:rPr>
        <w:t>.</w:t>
      </w:r>
      <w:r w:rsidRPr="008E2AAD">
        <w:rPr>
          <w:b/>
        </w:rPr>
        <w:t>1. Interfaces between NSW and other systems</w:t>
      </w:r>
    </w:p>
    <w:tbl>
      <w:tblPr>
        <w:tblStyle w:val="TableGrid"/>
        <w:tblW w:w="8642" w:type="dxa"/>
        <w:tblLook w:val="04A0" w:firstRow="1" w:lastRow="0" w:firstColumn="1" w:lastColumn="0" w:noHBand="0" w:noVBand="1"/>
      </w:tblPr>
      <w:tblGrid>
        <w:gridCol w:w="1885"/>
        <w:gridCol w:w="4500"/>
        <w:gridCol w:w="2257"/>
      </w:tblGrid>
      <w:tr w:rsidR="00F712E1" w:rsidRPr="00C45520" w14:paraId="494836ED" w14:textId="77777777" w:rsidTr="001136D3">
        <w:tc>
          <w:tcPr>
            <w:tcW w:w="1885" w:type="dxa"/>
          </w:tcPr>
          <w:p w14:paraId="486C5AA5" w14:textId="77777777" w:rsidR="00F712E1" w:rsidRPr="00C45520" w:rsidRDefault="00F712E1" w:rsidP="001136D3">
            <w:pPr>
              <w:spacing w:after="0"/>
              <w:jc w:val="left"/>
              <w:rPr>
                <w:bCs/>
                <w:szCs w:val="24"/>
              </w:rPr>
            </w:pPr>
            <w:r w:rsidRPr="00C45520">
              <w:rPr>
                <w:bCs/>
                <w:szCs w:val="24"/>
              </w:rPr>
              <w:t>Interface</w:t>
            </w:r>
          </w:p>
        </w:tc>
        <w:tc>
          <w:tcPr>
            <w:tcW w:w="4500" w:type="dxa"/>
          </w:tcPr>
          <w:p w14:paraId="7FDE4062" w14:textId="45EF07E3" w:rsidR="00F712E1" w:rsidRPr="00C45520" w:rsidRDefault="00F712E1" w:rsidP="001136D3">
            <w:pPr>
              <w:spacing w:after="0"/>
              <w:jc w:val="left"/>
              <w:rPr>
                <w:bCs/>
                <w:szCs w:val="24"/>
              </w:rPr>
            </w:pPr>
            <w:r w:rsidRPr="00C45520">
              <w:rPr>
                <w:bCs/>
                <w:szCs w:val="24"/>
              </w:rPr>
              <w:t xml:space="preserve">Description </w:t>
            </w:r>
          </w:p>
        </w:tc>
        <w:tc>
          <w:tcPr>
            <w:tcW w:w="2257" w:type="dxa"/>
          </w:tcPr>
          <w:p w14:paraId="0C58E4A5" w14:textId="77777777" w:rsidR="00F712E1" w:rsidRPr="00C45520" w:rsidRDefault="00F712E1" w:rsidP="001136D3">
            <w:pPr>
              <w:spacing w:after="0"/>
              <w:jc w:val="left"/>
              <w:rPr>
                <w:bCs/>
                <w:szCs w:val="24"/>
              </w:rPr>
            </w:pPr>
            <w:r w:rsidRPr="00C45520">
              <w:rPr>
                <w:bCs/>
                <w:szCs w:val="24"/>
              </w:rPr>
              <w:t xml:space="preserve">Systems </w:t>
            </w:r>
          </w:p>
        </w:tc>
      </w:tr>
      <w:tr w:rsidR="00F712E1" w:rsidRPr="00C45520" w14:paraId="5190DC44" w14:textId="77777777" w:rsidTr="001136D3">
        <w:tc>
          <w:tcPr>
            <w:tcW w:w="1885" w:type="dxa"/>
          </w:tcPr>
          <w:p w14:paraId="727009A5" w14:textId="77777777" w:rsidR="00F712E1" w:rsidRPr="00C45520" w:rsidRDefault="00F712E1" w:rsidP="001136D3">
            <w:pPr>
              <w:spacing w:after="0"/>
              <w:jc w:val="left"/>
              <w:rPr>
                <w:bCs/>
                <w:szCs w:val="24"/>
              </w:rPr>
            </w:pPr>
            <w:proofErr w:type="gramStart"/>
            <w:r w:rsidRPr="00C45520">
              <w:rPr>
                <w:bCs/>
                <w:szCs w:val="24"/>
              </w:rPr>
              <w:t>Interface  Trader</w:t>
            </w:r>
            <w:proofErr w:type="gramEnd"/>
            <w:r w:rsidRPr="00C45520">
              <w:rPr>
                <w:bCs/>
                <w:szCs w:val="24"/>
              </w:rPr>
              <w:t xml:space="preserve"> Portal - NSW</w:t>
            </w:r>
          </w:p>
        </w:tc>
        <w:tc>
          <w:tcPr>
            <w:tcW w:w="4500" w:type="dxa"/>
          </w:tcPr>
          <w:p w14:paraId="4F2F0031" w14:textId="2C0807A6" w:rsidR="00F712E1" w:rsidRPr="00C45520" w:rsidRDefault="00F712E1" w:rsidP="001136D3">
            <w:pPr>
              <w:spacing w:after="0"/>
              <w:jc w:val="left"/>
              <w:rPr>
                <w:bCs/>
                <w:szCs w:val="24"/>
              </w:rPr>
            </w:pPr>
            <w:r w:rsidRPr="00C45520">
              <w:rPr>
                <w:bCs/>
                <w:szCs w:val="24"/>
              </w:rPr>
              <w:t xml:space="preserve">Trade Portal Interface serves as a redirection platform, directing users to the appropriate platform within the NSW application for the submission of LPCO, </w:t>
            </w:r>
            <w:r w:rsidRPr="00C45520">
              <w:rPr>
                <w:bCs/>
                <w:szCs w:val="24"/>
              </w:rPr>
              <w:lastRenderedPageBreak/>
              <w:t>documentation, and other related information</w:t>
            </w:r>
          </w:p>
        </w:tc>
        <w:tc>
          <w:tcPr>
            <w:tcW w:w="2257" w:type="dxa"/>
          </w:tcPr>
          <w:p w14:paraId="59273E60" w14:textId="77777777" w:rsidR="00F712E1" w:rsidRPr="00C45520" w:rsidRDefault="00F712E1" w:rsidP="001136D3">
            <w:pPr>
              <w:spacing w:after="0"/>
              <w:jc w:val="left"/>
              <w:rPr>
                <w:bCs/>
                <w:szCs w:val="24"/>
              </w:rPr>
            </w:pPr>
            <w:r w:rsidRPr="00C45520">
              <w:rPr>
                <w:bCs/>
                <w:szCs w:val="24"/>
              </w:rPr>
              <w:lastRenderedPageBreak/>
              <w:t>NSW Trader Portal, New Single Window</w:t>
            </w:r>
          </w:p>
        </w:tc>
      </w:tr>
      <w:tr w:rsidR="00F712E1" w:rsidRPr="00C45520" w14:paraId="2479C801" w14:textId="77777777" w:rsidTr="001136D3">
        <w:tc>
          <w:tcPr>
            <w:tcW w:w="1885" w:type="dxa"/>
          </w:tcPr>
          <w:p w14:paraId="3D5EEC0D" w14:textId="77777777" w:rsidR="00F712E1" w:rsidRPr="00C45520" w:rsidRDefault="00F712E1" w:rsidP="001136D3">
            <w:pPr>
              <w:spacing w:after="0"/>
              <w:jc w:val="left"/>
              <w:rPr>
                <w:bCs/>
                <w:szCs w:val="24"/>
              </w:rPr>
            </w:pPr>
            <w:r w:rsidRPr="00C45520">
              <w:rPr>
                <w:bCs/>
                <w:szCs w:val="24"/>
              </w:rPr>
              <w:t>EORI Interface</w:t>
            </w:r>
          </w:p>
        </w:tc>
        <w:tc>
          <w:tcPr>
            <w:tcW w:w="4500" w:type="dxa"/>
          </w:tcPr>
          <w:p w14:paraId="7D929645" w14:textId="77777777" w:rsidR="00F712E1" w:rsidRPr="00C45520" w:rsidRDefault="00F712E1" w:rsidP="001136D3">
            <w:pPr>
              <w:spacing w:after="0"/>
              <w:jc w:val="left"/>
              <w:rPr>
                <w:bCs/>
                <w:szCs w:val="24"/>
              </w:rPr>
            </w:pPr>
            <w:r w:rsidRPr="00C45520">
              <w:rPr>
                <w:bCs/>
                <w:szCs w:val="24"/>
              </w:rPr>
              <w:t>Through this interface, the Trader Portal and NSW application will collaborate to verify the registration status of an economic operator in the EORI system. When a trader submits an LPCO through the NSW application, the interface will check the EORI number provided by the trader against the EORI system to determine if the trader is registered. If the trader is registered, the interface will retrieve relevant data associated with the trader from the EORI system. This information can then be automatically populated in the declaration, ensuring accurate and consistent data flow.</w:t>
            </w:r>
          </w:p>
        </w:tc>
        <w:tc>
          <w:tcPr>
            <w:tcW w:w="2257" w:type="dxa"/>
          </w:tcPr>
          <w:p w14:paraId="7B9BD650" w14:textId="77777777" w:rsidR="00F712E1" w:rsidRPr="00C45520" w:rsidRDefault="00F712E1" w:rsidP="001136D3">
            <w:pPr>
              <w:spacing w:after="0"/>
              <w:jc w:val="left"/>
              <w:rPr>
                <w:bCs/>
                <w:szCs w:val="24"/>
              </w:rPr>
            </w:pPr>
            <w:r w:rsidRPr="00C45520">
              <w:rPr>
                <w:bCs/>
                <w:szCs w:val="24"/>
              </w:rPr>
              <w:t>EORI, Registration of Traders and Competed Authority</w:t>
            </w:r>
          </w:p>
        </w:tc>
      </w:tr>
      <w:tr w:rsidR="00F712E1" w:rsidRPr="00C45520" w14:paraId="2E55886C" w14:textId="77777777" w:rsidTr="001136D3">
        <w:tc>
          <w:tcPr>
            <w:tcW w:w="1885" w:type="dxa"/>
          </w:tcPr>
          <w:p w14:paraId="6EFA9B76" w14:textId="77777777" w:rsidR="00F712E1" w:rsidRPr="00C45520" w:rsidRDefault="00F712E1" w:rsidP="001136D3">
            <w:pPr>
              <w:spacing w:after="0"/>
              <w:jc w:val="left"/>
              <w:rPr>
                <w:bCs/>
                <w:szCs w:val="24"/>
              </w:rPr>
            </w:pPr>
            <w:r w:rsidRPr="00C45520">
              <w:rPr>
                <w:bCs/>
                <w:szCs w:val="24"/>
              </w:rPr>
              <w:t>Interface UMS</w:t>
            </w:r>
          </w:p>
        </w:tc>
        <w:tc>
          <w:tcPr>
            <w:tcW w:w="4500" w:type="dxa"/>
          </w:tcPr>
          <w:p w14:paraId="1F2AFA8D" w14:textId="77777777" w:rsidR="00F712E1" w:rsidRPr="00C45520" w:rsidRDefault="00F712E1" w:rsidP="001136D3">
            <w:pPr>
              <w:spacing w:after="0"/>
              <w:jc w:val="left"/>
              <w:rPr>
                <w:bCs/>
                <w:szCs w:val="24"/>
              </w:rPr>
            </w:pPr>
            <w:r w:rsidRPr="00C45520">
              <w:rPr>
                <w:bCs/>
                <w:szCs w:val="24"/>
              </w:rPr>
              <w:t>The User Management system provides a standardized interface that enables seamless integration with other applications within the NSW ecosystem. This interface allows for efficient communication and data exchange between the User Management system and NSW applications.</w:t>
            </w:r>
          </w:p>
        </w:tc>
        <w:tc>
          <w:tcPr>
            <w:tcW w:w="2257" w:type="dxa"/>
          </w:tcPr>
          <w:p w14:paraId="4EDAB04A" w14:textId="77777777" w:rsidR="00F712E1" w:rsidRPr="00C45520" w:rsidRDefault="00F712E1" w:rsidP="001136D3">
            <w:pPr>
              <w:spacing w:after="0"/>
              <w:jc w:val="left"/>
              <w:rPr>
                <w:bCs/>
                <w:szCs w:val="24"/>
              </w:rPr>
            </w:pPr>
            <w:r w:rsidRPr="00C45520">
              <w:rPr>
                <w:bCs/>
                <w:szCs w:val="24"/>
              </w:rPr>
              <w:t xml:space="preserve">UMS - User Management System, </w:t>
            </w:r>
          </w:p>
          <w:p w14:paraId="36A9E225" w14:textId="77777777" w:rsidR="00F712E1" w:rsidRPr="00C45520" w:rsidRDefault="00F712E1" w:rsidP="001136D3">
            <w:pPr>
              <w:spacing w:after="0"/>
              <w:jc w:val="left"/>
              <w:rPr>
                <w:bCs/>
                <w:szCs w:val="24"/>
              </w:rPr>
            </w:pPr>
            <w:r w:rsidRPr="00C45520">
              <w:rPr>
                <w:bCs/>
                <w:szCs w:val="24"/>
              </w:rPr>
              <w:t>Registration of Traders and Competed Authority</w:t>
            </w:r>
          </w:p>
        </w:tc>
      </w:tr>
      <w:tr w:rsidR="00F712E1" w:rsidRPr="00C45520" w14:paraId="57A78D3F" w14:textId="77777777" w:rsidTr="001136D3">
        <w:tc>
          <w:tcPr>
            <w:tcW w:w="1885" w:type="dxa"/>
          </w:tcPr>
          <w:p w14:paraId="225F6F0D" w14:textId="77777777" w:rsidR="00F712E1" w:rsidRPr="00C45520" w:rsidRDefault="00F712E1" w:rsidP="001136D3">
            <w:pPr>
              <w:spacing w:after="0"/>
              <w:jc w:val="left"/>
              <w:rPr>
                <w:bCs/>
                <w:szCs w:val="24"/>
              </w:rPr>
            </w:pPr>
            <w:r w:rsidRPr="00C45520">
              <w:rPr>
                <w:bCs/>
                <w:szCs w:val="24"/>
              </w:rPr>
              <w:t>Interface Synchronize ITE information</w:t>
            </w:r>
          </w:p>
        </w:tc>
        <w:tc>
          <w:tcPr>
            <w:tcW w:w="4500" w:type="dxa"/>
          </w:tcPr>
          <w:p w14:paraId="42341B11" w14:textId="77777777" w:rsidR="00F712E1" w:rsidRPr="00C45520" w:rsidRDefault="00F712E1" w:rsidP="001136D3">
            <w:pPr>
              <w:spacing w:after="0"/>
              <w:jc w:val="left"/>
              <w:rPr>
                <w:bCs/>
                <w:szCs w:val="24"/>
              </w:rPr>
            </w:pPr>
            <w:r w:rsidRPr="00C45520">
              <w:rPr>
                <w:bCs/>
                <w:szCs w:val="24"/>
              </w:rPr>
              <w:t>The interface receives information from the Integrated Tariff Environment (ITE), facilitating seamless data integration and communication between the two systems. </w:t>
            </w:r>
          </w:p>
          <w:p w14:paraId="63FF30BE" w14:textId="77777777" w:rsidR="00F712E1" w:rsidRPr="00C45520" w:rsidRDefault="00F712E1" w:rsidP="001136D3">
            <w:pPr>
              <w:spacing w:after="0"/>
              <w:jc w:val="left"/>
              <w:rPr>
                <w:bCs/>
                <w:szCs w:val="24"/>
              </w:rPr>
            </w:pPr>
            <w:r w:rsidRPr="00C45520">
              <w:rPr>
                <w:bCs/>
                <w:szCs w:val="24"/>
              </w:rPr>
              <w:t>The interface connects with ITE to retrieve tariff data, such, classifications, and trade regulations. </w:t>
            </w:r>
          </w:p>
        </w:tc>
        <w:tc>
          <w:tcPr>
            <w:tcW w:w="2257" w:type="dxa"/>
          </w:tcPr>
          <w:p w14:paraId="4FFDD37F" w14:textId="77777777" w:rsidR="00F712E1" w:rsidRPr="00C45520" w:rsidRDefault="00F712E1" w:rsidP="001136D3">
            <w:pPr>
              <w:spacing w:after="0"/>
              <w:jc w:val="left"/>
              <w:rPr>
                <w:bCs/>
                <w:szCs w:val="24"/>
              </w:rPr>
            </w:pPr>
            <w:r w:rsidRPr="00C45520">
              <w:rPr>
                <w:bCs/>
                <w:szCs w:val="24"/>
              </w:rPr>
              <w:t>ITE, LPCO Application</w:t>
            </w:r>
          </w:p>
        </w:tc>
      </w:tr>
      <w:tr w:rsidR="00F712E1" w:rsidRPr="00C45520" w14:paraId="3EC121FD" w14:textId="77777777" w:rsidTr="001136D3">
        <w:tc>
          <w:tcPr>
            <w:tcW w:w="1885" w:type="dxa"/>
          </w:tcPr>
          <w:p w14:paraId="51E2891F" w14:textId="77777777" w:rsidR="00F712E1" w:rsidRPr="00C45520" w:rsidRDefault="00F712E1" w:rsidP="001136D3">
            <w:pPr>
              <w:spacing w:after="0"/>
              <w:jc w:val="left"/>
              <w:rPr>
                <w:bCs/>
                <w:szCs w:val="24"/>
              </w:rPr>
            </w:pPr>
            <w:r w:rsidRPr="00C45520">
              <w:rPr>
                <w:bCs/>
                <w:szCs w:val="24"/>
              </w:rPr>
              <w:t>Interface SEED+</w:t>
            </w:r>
          </w:p>
        </w:tc>
        <w:tc>
          <w:tcPr>
            <w:tcW w:w="4500" w:type="dxa"/>
          </w:tcPr>
          <w:p w14:paraId="7AB33EED" w14:textId="77777777" w:rsidR="00F712E1" w:rsidRPr="00C45520" w:rsidRDefault="00F712E1" w:rsidP="001136D3">
            <w:pPr>
              <w:spacing w:after="0"/>
              <w:jc w:val="left"/>
              <w:rPr>
                <w:bCs/>
                <w:szCs w:val="24"/>
              </w:rPr>
            </w:pPr>
            <w:r w:rsidRPr="00C45520">
              <w:rPr>
                <w:bCs/>
                <w:szCs w:val="24"/>
              </w:rPr>
              <w:t>The future NSW should be integrated to the SEED/SEED+ for SPS and other related LPCOs, in addition to issuing certificates and registering the usage (Availability and Quantity Management).</w:t>
            </w:r>
          </w:p>
        </w:tc>
        <w:tc>
          <w:tcPr>
            <w:tcW w:w="2257" w:type="dxa"/>
          </w:tcPr>
          <w:p w14:paraId="4982140A" w14:textId="77777777" w:rsidR="00F712E1" w:rsidRPr="00C45520" w:rsidRDefault="00F712E1" w:rsidP="001136D3">
            <w:pPr>
              <w:spacing w:after="0"/>
              <w:rPr>
                <w:bCs/>
                <w:szCs w:val="24"/>
              </w:rPr>
            </w:pPr>
            <w:r w:rsidRPr="00C45520">
              <w:rPr>
                <w:bCs/>
                <w:szCs w:val="24"/>
              </w:rPr>
              <w:t>SEED+, LPCO Management</w:t>
            </w:r>
          </w:p>
          <w:p w14:paraId="1E47ACE9" w14:textId="77777777" w:rsidR="00F712E1" w:rsidRPr="00C45520" w:rsidRDefault="00F712E1" w:rsidP="001136D3">
            <w:pPr>
              <w:spacing w:after="0"/>
              <w:jc w:val="left"/>
              <w:rPr>
                <w:bCs/>
                <w:szCs w:val="24"/>
              </w:rPr>
            </w:pPr>
          </w:p>
        </w:tc>
      </w:tr>
      <w:tr w:rsidR="00F712E1" w:rsidRPr="00C45520" w14:paraId="2FC1AE2C" w14:textId="77777777" w:rsidTr="001136D3">
        <w:tc>
          <w:tcPr>
            <w:tcW w:w="1885" w:type="dxa"/>
          </w:tcPr>
          <w:p w14:paraId="175638C1" w14:textId="77777777" w:rsidR="00F712E1" w:rsidRPr="00C45520" w:rsidRDefault="00F712E1" w:rsidP="001136D3">
            <w:pPr>
              <w:spacing w:after="0"/>
              <w:jc w:val="left"/>
              <w:rPr>
                <w:bCs/>
                <w:szCs w:val="24"/>
              </w:rPr>
            </w:pPr>
            <w:r w:rsidRPr="00C45520">
              <w:rPr>
                <w:bCs/>
                <w:szCs w:val="24"/>
              </w:rPr>
              <w:t>Interface CDEPS - NSW</w:t>
            </w:r>
          </w:p>
        </w:tc>
        <w:tc>
          <w:tcPr>
            <w:tcW w:w="4500" w:type="dxa"/>
          </w:tcPr>
          <w:p w14:paraId="61CBFF62" w14:textId="77777777" w:rsidR="00F712E1" w:rsidRPr="00C45520" w:rsidRDefault="00F712E1" w:rsidP="001136D3">
            <w:pPr>
              <w:spacing w:after="0"/>
              <w:jc w:val="left"/>
              <w:rPr>
                <w:bCs/>
                <w:szCs w:val="24"/>
              </w:rPr>
            </w:pPr>
            <w:r w:rsidRPr="00C45520">
              <w:rPr>
                <w:bCs/>
                <w:szCs w:val="24"/>
              </w:rPr>
              <w:t>The interface between CDEPS (Customs Declaration and Excise Processing System) and NSW (New Single Window) enables integration and data exchange between the two systems.</w:t>
            </w:r>
          </w:p>
        </w:tc>
        <w:tc>
          <w:tcPr>
            <w:tcW w:w="2257" w:type="dxa"/>
          </w:tcPr>
          <w:p w14:paraId="6A112B94" w14:textId="77777777" w:rsidR="00F712E1" w:rsidRPr="00C45520" w:rsidRDefault="00F712E1" w:rsidP="001136D3">
            <w:pPr>
              <w:spacing w:after="0"/>
              <w:rPr>
                <w:bCs/>
                <w:szCs w:val="24"/>
              </w:rPr>
            </w:pPr>
            <w:r w:rsidRPr="00C45520">
              <w:rPr>
                <w:bCs/>
                <w:szCs w:val="24"/>
              </w:rPr>
              <w:t>CDEPS, LPCO Management</w:t>
            </w:r>
          </w:p>
        </w:tc>
      </w:tr>
      <w:tr w:rsidR="00F712E1" w:rsidRPr="00C45520" w14:paraId="4DCAA882" w14:textId="77777777" w:rsidTr="001136D3">
        <w:tc>
          <w:tcPr>
            <w:tcW w:w="1885" w:type="dxa"/>
          </w:tcPr>
          <w:p w14:paraId="3443ACEB" w14:textId="77777777" w:rsidR="00F712E1" w:rsidRPr="00C45520" w:rsidRDefault="00F712E1" w:rsidP="001136D3">
            <w:pPr>
              <w:spacing w:after="0"/>
              <w:jc w:val="left"/>
              <w:rPr>
                <w:bCs/>
                <w:szCs w:val="24"/>
              </w:rPr>
            </w:pPr>
            <w:r w:rsidRPr="00C45520">
              <w:rPr>
                <w:bCs/>
                <w:szCs w:val="24"/>
              </w:rPr>
              <w:t>Interface Control Results</w:t>
            </w:r>
          </w:p>
        </w:tc>
        <w:tc>
          <w:tcPr>
            <w:tcW w:w="4500" w:type="dxa"/>
          </w:tcPr>
          <w:p w14:paraId="234D9288" w14:textId="77777777" w:rsidR="00F712E1" w:rsidRPr="00C45520" w:rsidRDefault="00F712E1" w:rsidP="001136D3">
            <w:pPr>
              <w:spacing w:after="0"/>
              <w:jc w:val="left"/>
              <w:rPr>
                <w:bCs/>
                <w:szCs w:val="24"/>
              </w:rPr>
            </w:pPr>
            <w:r w:rsidRPr="00C45520">
              <w:rPr>
                <w:bCs/>
                <w:szCs w:val="24"/>
              </w:rPr>
              <w:t>The interface between NSW (New Single Windows) and Data Warehouse enables integration and data exchange between the two systems sending the Control Results to DWH.</w:t>
            </w:r>
          </w:p>
        </w:tc>
        <w:tc>
          <w:tcPr>
            <w:tcW w:w="2257" w:type="dxa"/>
          </w:tcPr>
          <w:p w14:paraId="71FB391B" w14:textId="77777777" w:rsidR="00F712E1" w:rsidRPr="00C45520" w:rsidRDefault="00F712E1" w:rsidP="001136D3">
            <w:pPr>
              <w:spacing w:after="0"/>
              <w:rPr>
                <w:bCs/>
                <w:szCs w:val="24"/>
              </w:rPr>
            </w:pPr>
            <w:r w:rsidRPr="00C45520">
              <w:rPr>
                <w:bCs/>
                <w:szCs w:val="24"/>
              </w:rPr>
              <w:t xml:space="preserve">Inspection Control Results, Customs Data Warehouse </w:t>
            </w:r>
          </w:p>
        </w:tc>
      </w:tr>
      <w:tr w:rsidR="00F712E1" w:rsidRPr="00C45520" w14:paraId="28F6BD3B" w14:textId="77777777" w:rsidTr="001136D3">
        <w:tc>
          <w:tcPr>
            <w:tcW w:w="1885" w:type="dxa"/>
          </w:tcPr>
          <w:p w14:paraId="72AF6C0C" w14:textId="77777777" w:rsidR="00F712E1" w:rsidRPr="00C45520" w:rsidRDefault="00F712E1" w:rsidP="001136D3">
            <w:pPr>
              <w:spacing w:after="0"/>
              <w:jc w:val="left"/>
              <w:rPr>
                <w:bCs/>
                <w:szCs w:val="24"/>
              </w:rPr>
            </w:pPr>
            <w:r w:rsidRPr="00C45520">
              <w:rPr>
                <w:bCs/>
                <w:szCs w:val="24"/>
              </w:rPr>
              <w:lastRenderedPageBreak/>
              <w:t>Interface Data Warehouse Report Manager</w:t>
            </w:r>
          </w:p>
        </w:tc>
        <w:tc>
          <w:tcPr>
            <w:tcW w:w="4500" w:type="dxa"/>
          </w:tcPr>
          <w:p w14:paraId="4ED10CFB" w14:textId="77777777" w:rsidR="00F712E1" w:rsidRPr="00C45520" w:rsidRDefault="00F712E1" w:rsidP="001136D3">
            <w:pPr>
              <w:spacing w:after="0"/>
              <w:jc w:val="left"/>
              <w:rPr>
                <w:bCs/>
                <w:szCs w:val="24"/>
              </w:rPr>
            </w:pPr>
            <w:r w:rsidRPr="00C45520">
              <w:rPr>
                <w:bCs/>
                <w:szCs w:val="24"/>
              </w:rPr>
              <w:t>The interface between Data Warehouse and NSW (New Single Window) enables integration and data exchange between the two systems for generating reports and statistics.</w:t>
            </w:r>
          </w:p>
        </w:tc>
        <w:tc>
          <w:tcPr>
            <w:tcW w:w="2257" w:type="dxa"/>
          </w:tcPr>
          <w:p w14:paraId="44EBE681" w14:textId="77777777" w:rsidR="00F712E1" w:rsidRPr="00C45520" w:rsidRDefault="00F712E1" w:rsidP="001136D3">
            <w:pPr>
              <w:spacing w:after="0"/>
              <w:rPr>
                <w:bCs/>
                <w:szCs w:val="24"/>
              </w:rPr>
            </w:pPr>
            <w:r w:rsidRPr="00C45520">
              <w:rPr>
                <w:bCs/>
                <w:szCs w:val="24"/>
              </w:rPr>
              <w:t xml:space="preserve">New Single Window, Customs Data Warehouse. </w:t>
            </w:r>
          </w:p>
        </w:tc>
      </w:tr>
      <w:tr w:rsidR="00F712E1" w:rsidRPr="00C45520" w14:paraId="5696AD4F" w14:textId="77777777" w:rsidTr="001136D3">
        <w:tc>
          <w:tcPr>
            <w:tcW w:w="1885" w:type="dxa"/>
          </w:tcPr>
          <w:p w14:paraId="1CC63629" w14:textId="77777777" w:rsidR="00F712E1" w:rsidRPr="00C45520" w:rsidRDefault="00F712E1" w:rsidP="001136D3">
            <w:pPr>
              <w:spacing w:after="0"/>
              <w:jc w:val="left"/>
              <w:rPr>
                <w:bCs/>
                <w:szCs w:val="24"/>
              </w:rPr>
            </w:pPr>
            <w:r w:rsidRPr="00C45520">
              <w:rPr>
                <w:bCs/>
                <w:szCs w:val="24"/>
              </w:rPr>
              <w:t>Interface NCTS - NSW</w:t>
            </w:r>
          </w:p>
        </w:tc>
        <w:tc>
          <w:tcPr>
            <w:tcW w:w="4500" w:type="dxa"/>
          </w:tcPr>
          <w:p w14:paraId="7B187F6F" w14:textId="77777777" w:rsidR="00F712E1" w:rsidRPr="00C45520" w:rsidRDefault="00F712E1" w:rsidP="001136D3">
            <w:pPr>
              <w:spacing w:after="0"/>
              <w:jc w:val="left"/>
              <w:rPr>
                <w:bCs/>
                <w:szCs w:val="24"/>
              </w:rPr>
            </w:pPr>
            <w:r w:rsidRPr="00C45520">
              <w:rPr>
                <w:bCs/>
                <w:szCs w:val="24"/>
              </w:rPr>
              <w:t>The interface between NCTS and NSW (New Single Window) enables integration and data exchange between the two systems.</w:t>
            </w:r>
          </w:p>
        </w:tc>
        <w:tc>
          <w:tcPr>
            <w:tcW w:w="2257" w:type="dxa"/>
          </w:tcPr>
          <w:p w14:paraId="75DDBC88" w14:textId="77777777" w:rsidR="00F712E1" w:rsidRPr="00C45520" w:rsidRDefault="00F712E1" w:rsidP="001136D3">
            <w:pPr>
              <w:spacing w:after="0"/>
              <w:rPr>
                <w:bCs/>
                <w:szCs w:val="24"/>
              </w:rPr>
            </w:pPr>
            <w:proofErr w:type="gramStart"/>
            <w:r w:rsidRPr="00C45520">
              <w:rPr>
                <w:bCs/>
                <w:szCs w:val="24"/>
              </w:rPr>
              <w:t>NCTS,LPCO</w:t>
            </w:r>
            <w:proofErr w:type="gramEnd"/>
            <w:r w:rsidRPr="00C45520">
              <w:rPr>
                <w:bCs/>
                <w:szCs w:val="24"/>
              </w:rPr>
              <w:t xml:space="preserve"> Management</w:t>
            </w:r>
          </w:p>
        </w:tc>
      </w:tr>
      <w:tr w:rsidR="00F712E1" w:rsidRPr="00C45520" w14:paraId="7B808186" w14:textId="77777777" w:rsidTr="001136D3">
        <w:tc>
          <w:tcPr>
            <w:tcW w:w="1885" w:type="dxa"/>
          </w:tcPr>
          <w:p w14:paraId="6D838BEF" w14:textId="77777777" w:rsidR="00F712E1" w:rsidRPr="00C45520" w:rsidRDefault="00F712E1" w:rsidP="001136D3">
            <w:pPr>
              <w:spacing w:after="0"/>
              <w:jc w:val="left"/>
              <w:rPr>
                <w:bCs/>
                <w:szCs w:val="24"/>
              </w:rPr>
            </w:pPr>
            <w:r w:rsidRPr="00C45520">
              <w:rPr>
                <w:bCs/>
                <w:szCs w:val="24"/>
              </w:rPr>
              <w:t xml:space="preserve">Interface System </w:t>
            </w:r>
            <w:proofErr w:type="gramStart"/>
            <w:r w:rsidRPr="00C45520">
              <w:rPr>
                <w:bCs/>
                <w:szCs w:val="24"/>
              </w:rPr>
              <w:t>To</w:t>
            </w:r>
            <w:proofErr w:type="gramEnd"/>
            <w:r w:rsidRPr="00C45520">
              <w:rPr>
                <w:bCs/>
                <w:szCs w:val="24"/>
              </w:rPr>
              <w:t xml:space="preserve"> System Control Results</w:t>
            </w:r>
          </w:p>
        </w:tc>
        <w:tc>
          <w:tcPr>
            <w:tcW w:w="4500" w:type="dxa"/>
          </w:tcPr>
          <w:p w14:paraId="6A9C40AA" w14:textId="77777777" w:rsidR="00F712E1" w:rsidRPr="00C45520" w:rsidRDefault="00F712E1" w:rsidP="001136D3">
            <w:pPr>
              <w:spacing w:after="0"/>
              <w:jc w:val="left"/>
              <w:rPr>
                <w:bCs/>
                <w:szCs w:val="24"/>
              </w:rPr>
            </w:pPr>
            <w:r w:rsidRPr="00C45520">
              <w:rPr>
                <w:bCs/>
                <w:szCs w:val="24"/>
              </w:rPr>
              <w:t>The interface between NSW (New Single Window System) and CBRA (Cross-Border Regulatory Agency) facilitates the reception of control result messages.</w:t>
            </w:r>
          </w:p>
        </w:tc>
        <w:tc>
          <w:tcPr>
            <w:tcW w:w="2257" w:type="dxa"/>
          </w:tcPr>
          <w:p w14:paraId="0769A8E1" w14:textId="77777777" w:rsidR="00F712E1" w:rsidRPr="00C45520" w:rsidRDefault="00F712E1" w:rsidP="001136D3">
            <w:pPr>
              <w:spacing w:after="0"/>
              <w:rPr>
                <w:bCs/>
                <w:szCs w:val="24"/>
              </w:rPr>
            </w:pPr>
            <w:r w:rsidRPr="00C45520">
              <w:rPr>
                <w:bCs/>
                <w:szCs w:val="24"/>
              </w:rPr>
              <w:t xml:space="preserve">Inspection Control Results, Governmental Institutions. </w:t>
            </w:r>
          </w:p>
        </w:tc>
      </w:tr>
      <w:tr w:rsidR="00F712E1" w:rsidRPr="00C45520" w14:paraId="2D3498F8" w14:textId="77777777" w:rsidTr="001136D3">
        <w:tc>
          <w:tcPr>
            <w:tcW w:w="1885" w:type="dxa"/>
          </w:tcPr>
          <w:p w14:paraId="0BF5DDF4" w14:textId="77777777" w:rsidR="00F712E1" w:rsidRPr="00C45520" w:rsidRDefault="00F712E1" w:rsidP="001136D3">
            <w:pPr>
              <w:spacing w:after="0"/>
              <w:jc w:val="left"/>
              <w:rPr>
                <w:bCs/>
                <w:szCs w:val="24"/>
              </w:rPr>
            </w:pPr>
            <w:r w:rsidRPr="00C45520">
              <w:rPr>
                <w:bCs/>
                <w:szCs w:val="24"/>
              </w:rPr>
              <w:t>Interface CBRA and Release and quantity Management</w:t>
            </w:r>
          </w:p>
        </w:tc>
        <w:tc>
          <w:tcPr>
            <w:tcW w:w="4500" w:type="dxa"/>
          </w:tcPr>
          <w:p w14:paraId="72509F3F" w14:textId="77777777" w:rsidR="00F712E1" w:rsidRPr="00C45520" w:rsidRDefault="00F712E1" w:rsidP="001136D3">
            <w:pPr>
              <w:spacing w:after="0"/>
              <w:jc w:val="left"/>
              <w:rPr>
                <w:bCs/>
                <w:szCs w:val="24"/>
              </w:rPr>
            </w:pPr>
            <w:r w:rsidRPr="00C45520">
              <w:rPr>
                <w:bCs/>
                <w:szCs w:val="24"/>
              </w:rPr>
              <w:t xml:space="preserve">Through the Release Interfaces, authorized CBRA users can clear consignments from their perspective and the NSW will update and notify the trader about the status. A release notification will be sent to the assigned trader (for example cargo terminal, warehouse operator, </w:t>
            </w:r>
            <w:proofErr w:type="gramStart"/>
            <w:r w:rsidRPr="00C45520">
              <w:rPr>
                <w:bCs/>
                <w:szCs w:val="24"/>
              </w:rPr>
              <w:t>transporter</w:t>
            </w:r>
            <w:proofErr w:type="gramEnd"/>
            <w:r w:rsidRPr="00C45520">
              <w:rPr>
                <w:bCs/>
                <w:szCs w:val="24"/>
              </w:rPr>
              <w:t xml:space="preserve"> or freight for-warder) and to the Customs Administration.</w:t>
            </w:r>
          </w:p>
        </w:tc>
        <w:tc>
          <w:tcPr>
            <w:tcW w:w="2257" w:type="dxa"/>
          </w:tcPr>
          <w:p w14:paraId="19FA2A47" w14:textId="77777777" w:rsidR="00F712E1" w:rsidRPr="00C45520" w:rsidRDefault="00F712E1" w:rsidP="001136D3">
            <w:pPr>
              <w:spacing w:after="0"/>
              <w:rPr>
                <w:bCs/>
                <w:szCs w:val="24"/>
              </w:rPr>
            </w:pPr>
            <w:r w:rsidRPr="00C45520">
              <w:rPr>
                <w:bCs/>
                <w:szCs w:val="24"/>
              </w:rPr>
              <w:t>LPCO Management, Governmental Institutions.</w:t>
            </w:r>
          </w:p>
        </w:tc>
      </w:tr>
      <w:tr w:rsidR="00F712E1" w:rsidRPr="00C45520" w14:paraId="5A8CD58D" w14:textId="77777777" w:rsidTr="001136D3">
        <w:tc>
          <w:tcPr>
            <w:tcW w:w="1885" w:type="dxa"/>
          </w:tcPr>
          <w:p w14:paraId="55DD3E41" w14:textId="77777777" w:rsidR="00F712E1" w:rsidRPr="00C45520" w:rsidRDefault="00F712E1" w:rsidP="001136D3">
            <w:pPr>
              <w:spacing w:after="0"/>
              <w:jc w:val="left"/>
              <w:rPr>
                <w:bCs/>
                <w:szCs w:val="24"/>
              </w:rPr>
            </w:pPr>
            <w:r w:rsidRPr="00C45520">
              <w:rPr>
                <w:bCs/>
                <w:szCs w:val="24"/>
              </w:rPr>
              <w:t>Interface DMS Registration number of Medicine </w:t>
            </w:r>
          </w:p>
        </w:tc>
        <w:tc>
          <w:tcPr>
            <w:tcW w:w="4500" w:type="dxa"/>
          </w:tcPr>
          <w:p w14:paraId="23AA2D7D" w14:textId="77777777" w:rsidR="00F712E1" w:rsidRPr="00C45520" w:rsidRDefault="00F712E1" w:rsidP="001136D3">
            <w:pPr>
              <w:spacing w:after="0"/>
              <w:jc w:val="left"/>
              <w:rPr>
                <w:bCs/>
                <w:szCs w:val="24"/>
              </w:rPr>
            </w:pPr>
            <w:r w:rsidRPr="00C45520">
              <w:rPr>
                <w:bCs/>
                <w:szCs w:val="24"/>
              </w:rPr>
              <w:t>These interfaces enable seamless data exchange between the registered medicines in MALMED and the LPCO form. The MALMED system ensures that registered medicines are accurately reflected in the LPCO form, with data retrieved from the MALMED DMS software.</w:t>
            </w:r>
          </w:p>
        </w:tc>
        <w:tc>
          <w:tcPr>
            <w:tcW w:w="2257" w:type="dxa"/>
          </w:tcPr>
          <w:p w14:paraId="529FE123" w14:textId="77777777" w:rsidR="00F712E1" w:rsidRPr="00C45520" w:rsidRDefault="00F712E1" w:rsidP="001136D3">
            <w:pPr>
              <w:spacing w:after="0"/>
              <w:rPr>
                <w:bCs/>
                <w:szCs w:val="24"/>
              </w:rPr>
            </w:pPr>
            <w:r w:rsidRPr="00C45520">
              <w:rPr>
                <w:bCs/>
                <w:szCs w:val="24"/>
              </w:rPr>
              <w:t xml:space="preserve">Referent Tables, DMS - System for Registration and Management of Medicines, Governmental Institutions. </w:t>
            </w:r>
          </w:p>
        </w:tc>
      </w:tr>
      <w:tr w:rsidR="00F712E1" w:rsidRPr="00C45520" w14:paraId="7FFAC9A0" w14:textId="77777777" w:rsidTr="001136D3">
        <w:tc>
          <w:tcPr>
            <w:tcW w:w="1885" w:type="dxa"/>
          </w:tcPr>
          <w:p w14:paraId="67E97A41" w14:textId="77777777" w:rsidR="00F712E1" w:rsidRPr="00C45520" w:rsidRDefault="00F712E1" w:rsidP="001136D3">
            <w:pPr>
              <w:spacing w:after="0"/>
              <w:jc w:val="left"/>
              <w:rPr>
                <w:bCs/>
                <w:szCs w:val="24"/>
              </w:rPr>
            </w:pPr>
            <w:proofErr w:type="gramStart"/>
            <w:r w:rsidRPr="00C45520">
              <w:rPr>
                <w:bCs/>
                <w:szCs w:val="24"/>
              </w:rPr>
              <w:t>Interface  NSW</w:t>
            </w:r>
            <w:proofErr w:type="gramEnd"/>
            <w:r w:rsidRPr="00C45520">
              <w:rPr>
                <w:bCs/>
                <w:szCs w:val="24"/>
              </w:rPr>
              <w:t xml:space="preserve"> - E Government</w:t>
            </w:r>
          </w:p>
        </w:tc>
        <w:tc>
          <w:tcPr>
            <w:tcW w:w="4500" w:type="dxa"/>
          </w:tcPr>
          <w:p w14:paraId="03040F5F" w14:textId="77777777" w:rsidR="00F712E1" w:rsidRPr="00C45520" w:rsidRDefault="00F712E1" w:rsidP="001136D3">
            <w:pPr>
              <w:spacing w:after="0"/>
              <w:jc w:val="left"/>
              <w:rPr>
                <w:bCs/>
                <w:szCs w:val="24"/>
              </w:rPr>
            </w:pPr>
            <w:r w:rsidRPr="00C45520">
              <w:rPr>
                <w:bCs/>
                <w:szCs w:val="24"/>
              </w:rPr>
              <w:t>The interface between the NSW (New Single Window System) and Government Agencies enables the seamless reception of information related to traders, registration, and issuance of LPCO (License for Preparing Consignments). This interface streamlines the exchange of relevant data, ensuring efficient processes for registration and regulatory compliance.</w:t>
            </w:r>
          </w:p>
        </w:tc>
        <w:tc>
          <w:tcPr>
            <w:tcW w:w="2257" w:type="dxa"/>
          </w:tcPr>
          <w:p w14:paraId="4DCE5760" w14:textId="77777777" w:rsidR="00F712E1" w:rsidRPr="00C45520" w:rsidRDefault="00F712E1" w:rsidP="001136D3">
            <w:pPr>
              <w:spacing w:after="0"/>
              <w:rPr>
                <w:bCs/>
                <w:szCs w:val="24"/>
              </w:rPr>
            </w:pPr>
            <w:r w:rsidRPr="00C45520">
              <w:rPr>
                <w:bCs/>
                <w:szCs w:val="24"/>
              </w:rPr>
              <w:t xml:space="preserve">Registration of Traders and Competed Authority, E-Government Services. </w:t>
            </w:r>
          </w:p>
        </w:tc>
      </w:tr>
    </w:tbl>
    <w:p w14:paraId="52478EDC" w14:textId="77777777" w:rsidR="00157AAA" w:rsidRDefault="006C1BE5">
      <w:r>
        <w:tab/>
      </w:r>
    </w:p>
    <w:p w14:paraId="2969AA5A" w14:textId="27F1F483" w:rsidR="00157AAA" w:rsidRPr="00963D1E" w:rsidRDefault="00123173">
      <w:pPr>
        <w:ind w:left="720" w:firstLine="720"/>
      </w:pPr>
      <w:r w:rsidRPr="0069167F">
        <w:rPr>
          <w:b/>
        </w:rPr>
        <w:t>1.3.</w:t>
      </w:r>
      <w:r w:rsidR="004E2DD0">
        <w:rPr>
          <w:b/>
        </w:rPr>
        <w:t>4</w:t>
      </w:r>
      <w:r>
        <w:rPr>
          <w:b/>
        </w:rPr>
        <w:t>.2</w:t>
      </w:r>
      <w:r w:rsidR="00F712E1" w:rsidRPr="008E2AAD">
        <w:rPr>
          <w:b/>
        </w:rPr>
        <w:t xml:space="preserve">. </w:t>
      </w:r>
      <w:r w:rsidR="006C1BE5" w:rsidRPr="008E2AAD">
        <w:rPr>
          <w:b/>
        </w:rPr>
        <w:t>User Management</w:t>
      </w:r>
    </w:p>
    <w:p w14:paraId="55B8F5B1" w14:textId="77777777" w:rsidR="00157AAA" w:rsidRDefault="006C1BE5">
      <w:pPr>
        <w:ind w:left="720"/>
      </w:pPr>
      <w:r>
        <w:t xml:space="preserve">When the trader submits registration requests, it is presented in the User Management to authorized NSW registration unit. The information is verified with the national business </w:t>
      </w:r>
      <w:proofErr w:type="gramStart"/>
      <w:r>
        <w:t>register, and</w:t>
      </w:r>
      <w:proofErr w:type="gramEnd"/>
      <w:r>
        <w:t xml:space="preserve"> implemented in the user directory. The approval triggers applicable payment process and notification.</w:t>
      </w:r>
    </w:p>
    <w:p w14:paraId="33B66D94" w14:textId="77777777" w:rsidR="00157AAA" w:rsidRDefault="00157AAA">
      <w:pPr>
        <w:ind w:left="720"/>
      </w:pPr>
    </w:p>
    <w:tbl>
      <w:tblPr>
        <w:tblStyle w:val="TableGrid"/>
        <w:tblW w:w="0" w:type="auto"/>
        <w:tblInd w:w="720" w:type="dxa"/>
        <w:tblLook w:val="04A0" w:firstRow="1" w:lastRow="0" w:firstColumn="1" w:lastColumn="0" w:noHBand="0" w:noVBand="1"/>
      </w:tblPr>
      <w:tblGrid>
        <w:gridCol w:w="1136"/>
        <w:gridCol w:w="1670"/>
        <w:gridCol w:w="5104"/>
      </w:tblGrid>
      <w:tr w:rsidR="00157AAA" w14:paraId="68AB39F6" w14:textId="77777777" w:rsidTr="001136D3">
        <w:tc>
          <w:tcPr>
            <w:tcW w:w="1172" w:type="dxa"/>
          </w:tcPr>
          <w:p w14:paraId="78969E47" w14:textId="77777777" w:rsidR="00157AAA" w:rsidRDefault="006C1BE5" w:rsidP="001136D3">
            <w:pPr>
              <w:spacing w:after="0"/>
              <w:rPr>
                <w:szCs w:val="24"/>
              </w:rPr>
            </w:pPr>
            <w:r>
              <w:rPr>
                <w:szCs w:val="24"/>
              </w:rPr>
              <w:lastRenderedPageBreak/>
              <w:t>BR4.4</w:t>
            </w:r>
          </w:p>
        </w:tc>
        <w:tc>
          <w:tcPr>
            <w:tcW w:w="1253" w:type="dxa"/>
          </w:tcPr>
          <w:p w14:paraId="45430FFD" w14:textId="77777777" w:rsidR="00157AAA" w:rsidRDefault="006C1BE5" w:rsidP="001136D3">
            <w:pPr>
              <w:spacing w:after="0"/>
              <w:rPr>
                <w:szCs w:val="24"/>
              </w:rPr>
            </w:pPr>
            <w:r>
              <w:rPr>
                <w:szCs w:val="24"/>
              </w:rPr>
              <w:t xml:space="preserve">Administration </w:t>
            </w:r>
          </w:p>
        </w:tc>
        <w:tc>
          <w:tcPr>
            <w:tcW w:w="5485" w:type="dxa"/>
          </w:tcPr>
          <w:p w14:paraId="38C9430A" w14:textId="77777777" w:rsidR="00157AAA" w:rsidRDefault="006C1BE5">
            <w:pPr>
              <w:spacing w:after="0"/>
              <w:rPr>
                <w:szCs w:val="24"/>
              </w:rPr>
            </w:pPr>
            <w:r>
              <w:rPr>
                <w:szCs w:val="24"/>
              </w:rPr>
              <w:t xml:space="preserve">The system must support the concept of distributed administration. With distributed administration means, an administrator has the authority to only manage users that belongs to a specific organization, CBRAs etc.  </w:t>
            </w:r>
            <w:r>
              <w:rPr>
                <w:szCs w:val="24"/>
              </w:rPr>
              <w:br/>
            </w:r>
          </w:p>
          <w:p w14:paraId="1C1DA037" w14:textId="77777777" w:rsidR="00157AAA" w:rsidRDefault="006C1BE5" w:rsidP="001136D3">
            <w:pPr>
              <w:spacing w:after="0"/>
              <w:rPr>
                <w:szCs w:val="24"/>
              </w:rPr>
            </w:pPr>
            <w:r>
              <w:rPr>
                <w:szCs w:val="24"/>
              </w:rPr>
              <w:t>The system shall support the following principles:</w:t>
            </w:r>
          </w:p>
          <w:p w14:paraId="37981FB2" w14:textId="77777777" w:rsidR="00157AAA" w:rsidRDefault="006C1BE5" w:rsidP="00D530D5">
            <w:pPr>
              <w:pStyle w:val="ListParagraph"/>
              <w:numPr>
                <w:ilvl w:val="0"/>
                <w:numId w:val="113"/>
              </w:numPr>
              <w:spacing w:after="0"/>
              <w:ind w:left="451" w:hanging="270"/>
              <w:rPr>
                <w:szCs w:val="24"/>
              </w:rPr>
            </w:pPr>
            <w:r>
              <w:rPr>
                <w:szCs w:val="24"/>
              </w:rPr>
              <w:t xml:space="preserve">The main administrator can authorize administrator privileges to sub-administrator of users belonging to a specific organization. </w:t>
            </w:r>
          </w:p>
          <w:p w14:paraId="6204AE9A" w14:textId="77777777" w:rsidR="00157AAA" w:rsidRDefault="006C1BE5" w:rsidP="00D530D5">
            <w:pPr>
              <w:pStyle w:val="ListParagraph"/>
              <w:numPr>
                <w:ilvl w:val="0"/>
                <w:numId w:val="113"/>
              </w:numPr>
              <w:spacing w:after="0"/>
              <w:ind w:left="451" w:hanging="270"/>
              <w:rPr>
                <w:szCs w:val="24"/>
              </w:rPr>
            </w:pPr>
            <w:r>
              <w:rPr>
                <w:szCs w:val="24"/>
              </w:rPr>
              <w:t>A sub-administrator can be authorized to manage users in more than one organization.</w:t>
            </w:r>
          </w:p>
        </w:tc>
      </w:tr>
      <w:tr w:rsidR="00157AAA" w14:paraId="4F0B6A05" w14:textId="77777777" w:rsidTr="001136D3">
        <w:tc>
          <w:tcPr>
            <w:tcW w:w="1172" w:type="dxa"/>
          </w:tcPr>
          <w:p w14:paraId="0BDB816A" w14:textId="77777777" w:rsidR="00157AAA" w:rsidRDefault="006C1BE5" w:rsidP="001136D3">
            <w:pPr>
              <w:spacing w:after="0"/>
              <w:rPr>
                <w:szCs w:val="24"/>
              </w:rPr>
            </w:pPr>
            <w:r>
              <w:rPr>
                <w:szCs w:val="24"/>
              </w:rPr>
              <w:t>BR4.5</w:t>
            </w:r>
          </w:p>
        </w:tc>
        <w:tc>
          <w:tcPr>
            <w:tcW w:w="1253" w:type="dxa"/>
          </w:tcPr>
          <w:p w14:paraId="7F007A53" w14:textId="77777777" w:rsidR="00157AAA" w:rsidRDefault="006C1BE5" w:rsidP="001136D3">
            <w:pPr>
              <w:spacing w:after="0"/>
              <w:rPr>
                <w:szCs w:val="24"/>
              </w:rPr>
            </w:pPr>
            <w:r>
              <w:rPr>
                <w:szCs w:val="24"/>
              </w:rPr>
              <w:t>Authorization</w:t>
            </w:r>
          </w:p>
        </w:tc>
        <w:tc>
          <w:tcPr>
            <w:tcW w:w="5485" w:type="dxa"/>
          </w:tcPr>
          <w:p w14:paraId="5061B28B" w14:textId="77777777" w:rsidR="00157AAA" w:rsidRDefault="006C1BE5" w:rsidP="001136D3">
            <w:pPr>
              <w:spacing w:after="0"/>
              <w:rPr>
                <w:szCs w:val="24"/>
              </w:rPr>
            </w:pPr>
            <w:r>
              <w:rPr>
                <w:szCs w:val="24"/>
              </w:rPr>
              <w:t xml:space="preserve">The system must support storage of binary attributes, such as authorization tokens, associated to a </w:t>
            </w:r>
            <w:r>
              <w:rPr>
                <w:szCs w:val="24"/>
              </w:rPr>
              <w:br/>
              <w:t xml:space="preserve">user. The system must use a non-reversible encryption algorithm. </w:t>
            </w:r>
          </w:p>
        </w:tc>
      </w:tr>
      <w:tr w:rsidR="00157AAA" w14:paraId="1B2891FF" w14:textId="77777777" w:rsidTr="001136D3">
        <w:tc>
          <w:tcPr>
            <w:tcW w:w="1172" w:type="dxa"/>
          </w:tcPr>
          <w:p w14:paraId="03EF0E66" w14:textId="77777777" w:rsidR="00157AAA" w:rsidRDefault="006C1BE5" w:rsidP="001136D3">
            <w:pPr>
              <w:spacing w:after="0"/>
              <w:rPr>
                <w:szCs w:val="24"/>
              </w:rPr>
            </w:pPr>
            <w:r>
              <w:rPr>
                <w:szCs w:val="24"/>
              </w:rPr>
              <w:t>BR4.6</w:t>
            </w:r>
          </w:p>
        </w:tc>
        <w:tc>
          <w:tcPr>
            <w:tcW w:w="1253" w:type="dxa"/>
          </w:tcPr>
          <w:p w14:paraId="05080499" w14:textId="77777777" w:rsidR="00157AAA" w:rsidRDefault="006C1BE5" w:rsidP="001136D3">
            <w:pPr>
              <w:spacing w:after="0"/>
              <w:rPr>
                <w:szCs w:val="24"/>
              </w:rPr>
            </w:pPr>
            <w:r>
              <w:rPr>
                <w:szCs w:val="24"/>
              </w:rPr>
              <w:t>Grouping of Users</w:t>
            </w:r>
          </w:p>
        </w:tc>
        <w:tc>
          <w:tcPr>
            <w:tcW w:w="5485" w:type="dxa"/>
          </w:tcPr>
          <w:p w14:paraId="1FA51523" w14:textId="77777777" w:rsidR="00157AAA" w:rsidRDefault="006C1BE5" w:rsidP="001136D3">
            <w:pPr>
              <w:spacing w:after="0"/>
              <w:rPr>
                <w:szCs w:val="24"/>
              </w:rPr>
            </w:pPr>
            <w:r>
              <w:rPr>
                <w:szCs w:val="24"/>
              </w:rPr>
              <w:t>The system shall support the concept of grouping users into named user groups. A user group can contain either a list of users or user groups or a combination of these two.</w:t>
            </w:r>
          </w:p>
        </w:tc>
      </w:tr>
      <w:tr w:rsidR="00157AAA" w14:paraId="4C429ABE" w14:textId="77777777" w:rsidTr="001136D3">
        <w:tc>
          <w:tcPr>
            <w:tcW w:w="1172" w:type="dxa"/>
          </w:tcPr>
          <w:p w14:paraId="7E75928A" w14:textId="77777777" w:rsidR="00157AAA" w:rsidRDefault="006C1BE5" w:rsidP="001136D3">
            <w:pPr>
              <w:spacing w:after="0"/>
              <w:rPr>
                <w:szCs w:val="24"/>
              </w:rPr>
            </w:pPr>
            <w:r>
              <w:rPr>
                <w:szCs w:val="24"/>
              </w:rPr>
              <w:t>BR4.7</w:t>
            </w:r>
          </w:p>
        </w:tc>
        <w:tc>
          <w:tcPr>
            <w:tcW w:w="1253" w:type="dxa"/>
          </w:tcPr>
          <w:p w14:paraId="7F83AD18" w14:textId="77777777" w:rsidR="00157AAA" w:rsidRDefault="006C1BE5" w:rsidP="001136D3">
            <w:pPr>
              <w:spacing w:after="0"/>
              <w:rPr>
                <w:szCs w:val="24"/>
              </w:rPr>
            </w:pPr>
            <w:r>
              <w:rPr>
                <w:szCs w:val="24"/>
              </w:rPr>
              <w:t>Grouping of Users</w:t>
            </w:r>
          </w:p>
        </w:tc>
        <w:tc>
          <w:tcPr>
            <w:tcW w:w="5485" w:type="dxa"/>
          </w:tcPr>
          <w:p w14:paraId="79946062" w14:textId="77777777" w:rsidR="00157AAA" w:rsidRDefault="006C1BE5" w:rsidP="001136D3">
            <w:pPr>
              <w:spacing w:after="0"/>
              <w:rPr>
                <w:szCs w:val="24"/>
              </w:rPr>
            </w:pPr>
            <w:r>
              <w:rPr>
                <w:szCs w:val="24"/>
              </w:rPr>
              <w:t xml:space="preserve">The system shall support the concept of grouping privileges into named privilege groups. A privilege </w:t>
            </w:r>
            <w:r>
              <w:rPr>
                <w:szCs w:val="24"/>
              </w:rPr>
              <w:br/>
              <w:t>group can contain either a list of privileges or privilege groups.</w:t>
            </w:r>
          </w:p>
        </w:tc>
      </w:tr>
      <w:tr w:rsidR="00157AAA" w14:paraId="264EBBF5" w14:textId="77777777" w:rsidTr="001136D3">
        <w:tc>
          <w:tcPr>
            <w:tcW w:w="1172" w:type="dxa"/>
          </w:tcPr>
          <w:p w14:paraId="323750B4" w14:textId="77777777" w:rsidR="00157AAA" w:rsidRDefault="006C1BE5" w:rsidP="001136D3">
            <w:pPr>
              <w:spacing w:after="0"/>
              <w:rPr>
                <w:szCs w:val="24"/>
              </w:rPr>
            </w:pPr>
            <w:r>
              <w:rPr>
                <w:szCs w:val="24"/>
              </w:rPr>
              <w:t>BR4.8</w:t>
            </w:r>
          </w:p>
        </w:tc>
        <w:tc>
          <w:tcPr>
            <w:tcW w:w="1253" w:type="dxa"/>
          </w:tcPr>
          <w:p w14:paraId="0F1FCF87" w14:textId="77777777" w:rsidR="00157AAA" w:rsidRDefault="006C1BE5" w:rsidP="001136D3">
            <w:pPr>
              <w:spacing w:after="0"/>
              <w:rPr>
                <w:szCs w:val="24"/>
              </w:rPr>
            </w:pPr>
            <w:r>
              <w:rPr>
                <w:szCs w:val="24"/>
              </w:rPr>
              <w:t>Roles and Permissions</w:t>
            </w:r>
          </w:p>
        </w:tc>
        <w:tc>
          <w:tcPr>
            <w:tcW w:w="5485" w:type="dxa"/>
          </w:tcPr>
          <w:p w14:paraId="5269221E" w14:textId="77777777" w:rsidR="00157AAA" w:rsidRDefault="006C1BE5" w:rsidP="001136D3">
            <w:pPr>
              <w:spacing w:after="0"/>
              <w:rPr>
                <w:szCs w:val="24"/>
              </w:rPr>
            </w:pPr>
            <w:r>
              <w:rPr>
                <w:szCs w:val="24"/>
              </w:rPr>
              <w:t>The system must support that user privileges can be expressed with both a list of individual privileges and a list of privileges groups.</w:t>
            </w:r>
          </w:p>
        </w:tc>
      </w:tr>
      <w:tr w:rsidR="00157AAA" w14:paraId="2DE5C063" w14:textId="77777777" w:rsidTr="001136D3">
        <w:tc>
          <w:tcPr>
            <w:tcW w:w="1172" w:type="dxa"/>
          </w:tcPr>
          <w:p w14:paraId="358D5E6D" w14:textId="77777777" w:rsidR="00157AAA" w:rsidRDefault="006C1BE5" w:rsidP="001136D3">
            <w:pPr>
              <w:spacing w:after="0"/>
              <w:rPr>
                <w:szCs w:val="24"/>
              </w:rPr>
            </w:pPr>
            <w:r>
              <w:rPr>
                <w:szCs w:val="24"/>
              </w:rPr>
              <w:t>BR4.9</w:t>
            </w:r>
          </w:p>
        </w:tc>
        <w:tc>
          <w:tcPr>
            <w:tcW w:w="1253" w:type="dxa"/>
          </w:tcPr>
          <w:p w14:paraId="0B6C4CD3" w14:textId="77777777" w:rsidR="00157AAA" w:rsidRDefault="006C1BE5" w:rsidP="001136D3">
            <w:pPr>
              <w:spacing w:after="0"/>
              <w:rPr>
                <w:szCs w:val="24"/>
              </w:rPr>
            </w:pPr>
            <w:r>
              <w:rPr>
                <w:szCs w:val="24"/>
              </w:rPr>
              <w:t>Authentication Method</w:t>
            </w:r>
          </w:p>
        </w:tc>
        <w:tc>
          <w:tcPr>
            <w:tcW w:w="5485" w:type="dxa"/>
          </w:tcPr>
          <w:p w14:paraId="54CBEA3B" w14:textId="77777777" w:rsidR="00157AAA" w:rsidRDefault="006C1BE5" w:rsidP="001136D3">
            <w:pPr>
              <w:spacing w:after="0"/>
              <w:rPr>
                <w:szCs w:val="24"/>
              </w:rPr>
            </w:pPr>
            <w:r>
              <w:rPr>
                <w:szCs w:val="24"/>
              </w:rPr>
              <w:t xml:space="preserve">The system must support the following authentication methods: High-level </w:t>
            </w:r>
            <w:proofErr w:type="spellStart"/>
            <w:r>
              <w:rPr>
                <w:szCs w:val="24"/>
              </w:rPr>
              <w:t>eID</w:t>
            </w:r>
            <w:proofErr w:type="spellEnd"/>
            <w:r>
              <w:rPr>
                <w:szCs w:val="24"/>
              </w:rPr>
              <w:t>.</w:t>
            </w:r>
          </w:p>
        </w:tc>
      </w:tr>
      <w:tr w:rsidR="00157AAA" w14:paraId="45C10EDF" w14:textId="77777777" w:rsidTr="001136D3">
        <w:tc>
          <w:tcPr>
            <w:tcW w:w="1172" w:type="dxa"/>
          </w:tcPr>
          <w:p w14:paraId="62125F78" w14:textId="77777777" w:rsidR="00157AAA" w:rsidRDefault="006C1BE5" w:rsidP="001136D3">
            <w:pPr>
              <w:spacing w:after="0"/>
              <w:rPr>
                <w:szCs w:val="24"/>
              </w:rPr>
            </w:pPr>
            <w:r>
              <w:rPr>
                <w:szCs w:val="24"/>
              </w:rPr>
              <w:t>BR5.1</w:t>
            </w:r>
          </w:p>
        </w:tc>
        <w:tc>
          <w:tcPr>
            <w:tcW w:w="1253" w:type="dxa"/>
          </w:tcPr>
          <w:p w14:paraId="75E55FB3" w14:textId="77777777" w:rsidR="00157AAA" w:rsidRDefault="006C1BE5" w:rsidP="001136D3">
            <w:pPr>
              <w:spacing w:after="0"/>
              <w:rPr>
                <w:szCs w:val="24"/>
              </w:rPr>
            </w:pPr>
            <w:r>
              <w:rPr>
                <w:szCs w:val="24"/>
              </w:rPr>
              <w:t>Authorization and Privileges</w:t>
            </w:r>
          </w:p>
        </w:tc>
        <w:tc>
          <w:tcPr>
            <w:tcW w:w="5485" w:type="dxa"/>
          </w:tcPr>
          <w:p w14:paraId="7B953F73" w14:textId="77777777" w:rsidR="00157AAA" w:rsidRDefault="006C1BE5" w:rsidP="001136D3">
            <w:pPr>
              <w:spacing w:after="0"/>
              <w:rPr>
                <w:szCs w:val="24"/>
              </w:rPr>
            </w:pPr>
            <w:r>
              <w:rPr>
                <w:szCs w:val="24"/>
              </w:rPr>
              <w:t>The system shall support the following query methods:</w:t>
            </w:r>
          </w:p>
          <w:p w14:paraId="27B00E7F" w14:textId="77777777" w:rsidR="00157AAA" w:rsidRDefault="006C1BE5" w:rsidP="00D530D5">
            <w:pPr>
              <w:pStyle w:val="ListParagraph"/>
              <w:numPr>
                <w:ilvl w:val="0"/>
                <w:numId w:val="114"/>
              </w:numPr>
              <w:spacing w:after="0"/>
              <w:ind w:left="451" w:hanging="270"/>
              <w:rPr>
                <w:szCs w:val="24"/>
              </w:rPr>
            </w:pPr>
            <w:r>
              <w:rPr>
                <w:szCs w:val="24"/>
              </w:rPr>
              <w:t xml:space="preserve">Get all privileges for a user; and </w:t>
            </w:r>
          </w:p>
          <w:p w14:paraId="2828F162" w14:textId="77777777" w:rsidR="00157AAA" w:rsidRDefault="006C1BE5" w:rsidP="00D530D5">
            <w:pPr>
              <w:pStyle w:val="ListParagraph"/>
              <w:numPr>
                <w:ilvl w:val="0"/>
                <w:numId w:val="114"/>
              </w:numPr>
              <w:spacing w:after="0"/>
              <w:ind w:left="451" w:hanging="270"/>
              <w:rPr>
                <w:szCs w:val="24"/>
              </w:rPr>
            </w:pPr>
            <w:r>
              <w:rPr>
                <w:szCs w:val="24"/>
              </w:rPr>
              <w:t xml:space="preserve">Is the user authorized for a specific privilege. </w:t>
            </w:r>
          </w:p>
        </w:tc>
      </w:tr>
    </w:tbl>
    <w:p w14:paraId="66B87393" w14:textId="5314F0B0" w:rsidR="00157AAA" w:rsidRPr="008E2AAD" w:rsidRDefault="006C1BE5">
      <w:pPr>
        <w:ind w:left="720" w:firstLine="720"/>
        <w:rPr>
          <w:b/>
        </w:rPr>
      </w:pPr>
      <w:r>
        <w:rPr>
          <w:b/>
          <w:i/>
        </w:rPr>
        <w:br w:type="page" w:clear="all"/>
      </w:r>
      <w:r w:rsidR="00123173" w:rsidRPr="0069167F">
        <w:rPr>
          <w:b/>
        </w:rPr>
        <w:lastRenderedPageBreak/>
        <w:t>1.3.</w:t>
      </w:r>
      <w:r w:rsidR="004E2DD0">
        <w:rPr>
          <w:b/>
        </w:rPr>
        <w:t>4</w:t>
      </w:r>
      <w:r w:rsidR="00123173">
        <w:rPr>
          <w:b/>
        </w:rPr>
        <w:t>.3</w:t>
      </w:r>
      <w:r w:rsidR="00123173" w:rsidRPr="0069167F">
        <w:rPr>
          <w:b/>
        </w:rPr>
        <w:t xml:space="preserve">. </w:t>
      </w:r>
      <w:r w:rsidRPr="008E2AAD">
        <w:rPr>
          <w:b/>
        </w:rPr>
        <w:t>NSW Backend Services</w:t>
      </w:r>
    </w:p>
    <w:p w14:paraId="4D36C1A4" w14:textId="77777777" w:rsidR="00157AAA" w:rsidRDefault="00157AAA">
      <w:pPr>
        <w:spacing w:after="0"/>
        <w:ind w:left="720"/>
      </w:pPr>
    </w:p>
    <w:p w14:paraId="69DB1586" w14:textId="77777777" w:rsidR="006517A3" w:rsidRDefault="006C1BE5" w:rsidP="006517A3">
      <w:pPr>
        <w:ind w:left="720"/>
      </w:pPr>
      <w:r>
        <w:t xml:space="preserve">The business logic is deployed in the backend components. This is where the processing, transactions, storage, and integrations are performed. These are scalable components and applications that communicate with the </w:t>
      </w:r>
      <w:proofErr w:type="gramStart"/>
      <w:r>
        <w:t>frontend</w:t>
      </w:r>
      <w:proofErr w:type="gramEnd"/>
      <w:r>
        <w:t xml:space="preserve"> services for user interaction and store and manage the information models.</w:t>
      </w:r>
    </w:p>
    <w:p w14:paraId="3323E2E2" w14:textId="77777777" w:rsidR="006517A3" w:rsidRDefault="006517A3" w:rsidP="006517A3">
      <w:pPr>
        <w:ind w:left="720"/>
      </w:pPr>
    </w:p>
    <w:p w14:paraId="7A02A533" w14:textId="65626C2C" w:rsidR="00157AAA" w:rsidRPr="008E2AAD" w:rsidRDefault="00123173" w:rsidP="005E6A97">
      <w:pPr>
        <w:ind w:left="720" w:firstLine="720"/>
        <w:rPr>
          <w:b/>
        </w:rPr>
      </w:pPr>
      <w:r w:rsidRPr="0069167F">
        <w:rPr>
          <w:b/>
        </w:rPr>
        <w:t>1.3.</w:t>
      </w:r>
      <w:r w:rsidR="004E2DD0">
        <w:rPr>
          <w:b/>
        </w:rPr>
        <w:t>4</w:t>
      </w:r>
      <w:r>
        <w:rPr>
          <w:b/>
        </w:rPr>
        <w:t>.4</w:t>
      </w:r>
      <w:r w:rsidRPr="0069167F">
        <w:rPr>
          <w:b/>
        </w:rPr>
        <w:t xml:space="preserve">. </w:t>
      </w:r>
      <w:r w:rsidR="006C1BE5" w:rsidRPr="008E2AAD">
        <w:rPr>
          <w:b/>
        </w:rPr>
        <w:t>EUCDM 5 to EUCDM 6.2 Converter</w:t>
      </w:r>
    </w:p>
    <w:p w14:paraId="52888758" w14:textId="77777777" w:rsidR="00157AAA" w:rsidRDefault="00157AAA">
      <w:pPr>
        <w:spacing w:after="0"/>
        <w:ind w:left="720" w:firstLine="720"/>
        <w:rPr>
          <w:b/>
          <w:i/>
        </w:rPr>
      </w:pPr>
    </w:p>
    <w:p w14:paraId="5ABD1182" w14:textId="29363B88" w:rsidR="00157AAA" w:rsidRDefault="006C1BE5">
      <w:pPr>
        <w:spacing w:after="0"/>
        <w:ind w:left="720" w:firstLine="720"/>
        <w:rPr>
          <w:bCs/>
          <w:iCs/>
        </w:rPr>
      </w:pPr>
      <w:r>
        <w:rPr>
          <w:bCs/>
          <w:iCs/>
        </w:rPr>
        <w:t xml:space="preserve">The EUCDM 5 to EUCDM 6.2 Converter is a functionality designed </w:t>
      </w:r>
      <w:r w:rsidR="00F712E1">
        <w:rPr>
          <w:bCs/>
          <w:iCs/>
        </w:rPr>
        <w:t>for conversion</w:t>
      </w:r>
      <w:r>
        <w:rPr>
          <w:bCs/>
          <w:iCs/>
        </w:rPr>
        <w:t xml:space="preserve"> of data from the EU Customs Data Model version 5 (EUCDM 5) to version 6.2 (EUCDM 6.2). This conversion is necessary to ensure compatibility with the latest customs systems and regulations within the European Union.</w:t>
      </w:r>
    </w:p>
    <w:p w14:paraId="2255A090" w14:textId="77777777" w:rsidR="00157AAA" w:rsidRDefault="006C1BE5">
      <w:pPr>
        <w:spacing w:after="0"/>
        <w:ind w:left="720" w:firstLine="720"/>
        <w:rPr>
          <w:bCs/>
          <w:iCs/>
        </w:rPr>
      </w:pPr>
      <w:r>
        <w:rPr>
          <w:bCs/>
          <w:iCs/>
        </w:rPr>
        <w:t>The primary purpose of the converter is to transform data structured according to the EUCDM 5 specifications into the format specified by EUCDM 6.2. This will enable customs authorities, businesses, and other stakeholders to continue their operations in compliance with the updated EU customs requirements.</w:t>
      </w:r>
    </w:p>
    <w:p w14:paraId="49FD8336" w14:textId="77777777" w:rsidR="00157AAA" w:rsidRDefault="006C1BE5">
      <w:pPr>
        <w:spacing w:after="0"/>
        <w:ind w:left="720" w:firstLine="720"/>
        <w:rPr>
          <w:bCs/>
          <w:iCs/>
        </w:rPr>
      </w:pPr>
      <w:proofErr w:type="gramStart"/>
      <w:r>
        <w:rPr>
          <w:bCs/>
          <w:iCs/>
        </w:rPr>
        <w:t>In the event that</w:t>
      </w:r>
      <w:proofErr w:type="gramEnd"/>
      <w:r>
        <w:rPr>
          <w:bCs/>
          <w:iCs/>
        </w:rPr>
        <w:t xml:space="preserve"> a new version of EUCDM is released during the development process, such as EUCDM 7, the new version must be implemented in the </w:t>
      </w:r>
      <w:proofErr w:type="gramStart"/>
      <w:r>
        <w:rPr>
          <w:bCs/>
          <w:iCs/>
        </w:rPr>
        <w:t>convertor</w:t>
      </w:r>
      <w:proofErr w:type="gramEnd"/>
      <w:r>
        <w:rPr>
          <w:bCs/>
          <w:iCs/>
        </w:rPr>
        <w:t>.</w:t>
      </w:r>
    </w:p>
    <w:p w14:paraId="1D9F92B9" w14:textId="77777777" w:rsidR="00157AAA" w:rsidRDefault="00157AAA">
      <w:pPr>
        <w:spacing w:after="0"/>
        <w:ind w:left="720" w:firstLine="720"/>
        <w:rPr>
          <w:bCs/>
          <w:iCs/>
        </w:rPr>
      </w:pPr>
    </w:p>
    <w:p w14:paraId="0DCC9076" w14:textId="77777777" w:rsidR="00157AAA" w:rsidRDefault="006C1BE5">
      <w:pPr>
        <w:spacing w:after="0"/>
        <w:ind w:left="720" w:firstLine="720"/>
        <w:rPr>
          <w:bCs/>
          <w:iCs/>
        </w:rPr>
      </w:pPr>
      <w:r>
        <w:rPr>
          <w:bCs/>
          <w:iCs/>
        </w:rPr>
        <w:t>The scope of the EUCDM 5 to EUCDM 6.2 Converter includes the following:</w:t>
      </w:r>
    </w:p>
    <w:p w14:paraId="7BCEBCC1" w14:textId="77777777" w:rsidR="00157AAA" w:rsidRDefault="00157AAA">
      <w:pPr>
        <w:spacing w:after="0"/>
        <w:ind w:left="720" w:firstLine="720"/>
        <w:rPr>
          <w:bCs/>
          <w:iCs/>
        </w:rPr>
      </w:pPr>
    </w:p>
    <w:p w14:paraId="452C39AA" w14:textId="77777777" w:rsidR="00157AAA" w:rsidRDefault="006C1BE5">
      <w:pPr>
        <w:spacing w:after="0"/>
        <w:ind w:left="720" w:firstLine="720"/>
        <w:rPr>
          <w:bCs/>
          <w:iCs/>
        </w:rPr>
      </w:pPr>
      <w:r>
        <w:rPr>
          <w:bCs/>
          <w:iCs/>
        </w:rPr>
        <w:t>·</w:t>
      </w:r>
      <w:r>
        <w:rPr>
          <w:bCs/>
          <w:iCs/>
        </w:rPr>
        <w:tab/>
        <w:t>Mapping of data elements from EUCDM 5 to EUCDM 6.2.  (or latest version of EUCDM)</w:t>
      </w:r>
    </w:p>
    <w:p w14:paraId="4CAD0AD8" w14:textId="77777777" w:rsidR="00157AAA" w:rsidRDefault="006C1BE5">
      <w:pPr>
        <w:spacing w:after="0"/>
        <w:ind w:left="720" w:firstLine="720"/>
        <w:rPr>
          <w:bCs/>
          <w:iCs/>
        </w:rPr>
      </w:pPr>
      <w:r>
        <w:rPr>
          <w:bCs/>
          <w:iCs/>
        </w:rPr>
        <w:t>·</w:t>
      </w:r>
      <w:r>
        <w:rPr>
          <w:bCs/>
          <w:iCs/>
        </w:rPr>
        <w:tab/>
        <w:t>Data transformation and validation.</w:t>
      </w:r>
    </w:p>
    <w:p w14:paraId="2585E360" w14:textId="77777777" w:rsidR="00157AAA" w:rsidRDefault="006C1BE5">
      <w:pPr>
        <w:spacing w:after="0"/>
        <w:ind w:left="720" w:firstLine="720"/>
        <w:rPr>
          <w:bCs/>
          <w:iCs/>
        </w:rPr>
      </w:pPr>
      <w:r>
        <w:rPr>
          <w:bCs/>
          <w:iCs/>
        </w:rPr>
        <w:t>·</w:t>
      </w:r>
      <w:r>
        <w:rPr>
          <w:bCs/>
          <w:iCs/>
        </w:rPr>
        <w:tab/>
        <w:t>Handling of errors and exceptions during conversion.</w:t>
      </w:r>
    </w:p>
    <w:p w14:paraId="1C70AABA" w14:textId="77777777" w:rsidR="00157AAA" w:rsidRDefault="006C1BE5">
      <w:pPr>
        <w:spacing w:after="0"/>
        <w:ind w:left="720" w:firstLine="720"/>
        <w:rPr>
          <w:bCs/>
          <w:iCs/>
        </w:rPr>
      </w:pPr>
      <w:r>
        <w:rPr>
          <w:bCs/>
          <w:iCs/>
        </w:rPr>
        <w:t>·</w:t>
      </w:r>
      <w:r>
        <w:rPr>
          <w:bCs/>
          <w:iCs/>
        </w:rPr>
        <w:tab/>
        <w:t>Define mapping rules for each data element from EUCDM 5 to EUCDM 6.2, including data type conversion where necessary.</w:t>
      </w:r>
    </w:p>
    <w:p w14:paraId="295254AC" w14:textId="77777777" w:rsidR="00157AAA" w:rsidRDefault="006C1BE5">
      <w:pPr>
        <w:spacing w:after="0"/>
        <w:ind w:left="720" w:firstLine="720"/>
        <w:rPr>
          <w:bCs/>
          <w:iCs/>
        </w:rPr>
      </w:pPr>
      <w:r>
        <w:rPr>
          <w:bCs/>
          <w:iCs/>
        </w:rPr>
        <w:t>·</w:t>
      </w:r>
      <w:r>
        <w:rPr>
          <w:bCs/>
          <w:iCs/>
        </w:rPr>
        <w:tab/>
        <w:t>Implement transformation logic to ensure that data conforms to the structure and standards of EUCDM 6.2. (or latest version of EUCDM)</w:t>
      </w:r>
    </w:p>
    <w:p w14:paraId="56871FAD" w14:textId="77777777" w:rsidR="00157AAA" w:rsidRDefault="006C1BE5">
      <w:pPr>
        <w:spacing w:after="0"/>
        <w:ind w:left="720" w:firstLine="720"/>
        <w:rPr>
          <w:bCs/>
          <w:iCs/>
        </w:rPr>
      </w:pPr>
      <w:r>
        <w:rPr>
          <w:bCs/>
          <w:iCs/>
        </w:rPr>
        <w:t>·</w:t>
      </w:r>
      <w:r>
        <w:rPr>
          <w:bCs/>
          <w:iCs/>
        </w:rPr>
        <w:tab/>
        <w:t>Handle mapping for any deprecated or obsolete data elements according to EUCDM 6.2 (or latest version of EUCDM) specifications.</w:t>
      </w:r>
    </w:p>
    <w:p w14:paraId="18D71DD8" w14:textId="77777777" w:rsidR="00157AAA" w:rsidRDefault="006C1BE5">
      <w:pPr>
        <w:spacing w:after="0"/>
        <w:ind w:left="720" w:firstLine="720"/>
        <w:rPr>
          <w:bCs/>
          <w:iCs/>
        </w:rPr>
      </w:pPr>
      <w:r>
        <w:rPr>
          <w:bCs/>
          <w:iCs/>
        </w:rPr>
        <w:t>·</w:t>
      </w:r>
      <w:r>
        <w:rPr>
          <w:bCs/>
          <w:iCs/>
        </w:rPr>
        <w:tab/>
        <w:t>Validate incoming EUCDM 5 data for completeness and correctness.</w:t>
      </w:r>
    </w:p>
    <w:p w14:paraId="0FA0B3D3" w14:textId="77777777" w:rsidR="00157AAA" w:rsidRDefault="006C1BE5">
      <w:pPr>
        <w:spacing w:after="0"/>
        <w:ind w:left="720" w:firstLine="720"/>
        <w:rPr>
          <w:bCs/>
          <w:iCs/>
        </w:rPr>
      </w:pPr>
      <w:r>
        <w:rPr>
          <w:bCs/>
          <w:iCs/>
        </w:rPr>
        <w:t>·</w:t>
      </w:r>
      <w:r>
        <w:rPr>
          <w:bCs/>
          <w:iCs/>
        </w:rPr>
        <w:tab/>
        <w:t xml:space="preserve"> Implement validation checks to ensure that data meets EUCDM 6.2 (or latest version of EUCDM) validation rules</w:t>
      </w:r>
    </w:p>
    <w:p w14:paraId="231F5CA7" w14:textId="77777777" w:rsidR="00157AAA" w:rsidRDefault="006C1BE5">
      <w:pPr>
        <w:spacing w:after="0"/>
        <w:ind w:left="720" w:firstLine="720"/>
        <w:rPr>
          <w:bCs/>
          <w:iCs/>
        </w:rPr>
      </w:pPr>
      <w:r>
        <w:rPr>
          <w:bCs/>
          <w:iCs/>
        </w:rPr>
        <w:t>·</w:t>
      </w:r>
      <w:r>
        <w:rPr>
          <w:bCs/>
          <w:iCs/>
        </w:rPr>
        <w:tab/>
        <w:t xml:space="preserve"> Define error handling procedures for data conversion errors, including detailed error messages and logging.</w:t>
      </w:r>
    </w:p>
    <w:p w14:paraId="05323296" w14:textId="77777777" w:rsidR="00157AAA" w:rsidRDefault="006C1BE5">
      <w:pPr>
        <w:spacing w:after="0"/>
        <w:ind w:left="720" w:firstLine="720"/>
        <w:rPr>
          <w:bCs/>
          <w:iCs/>
        </w:rPr>
      </w:pPr>
      <w:r>
        <w:rPr>
          <w:bCs/>
          <w:iCs/>
        </w:rPr>
        <w:t>·</w:t>
      </w:r>
      <w:r>
        <w:rPr>
          <w:bCs/>
          <w:iCs/>
        </w:rPr>
        <w:tab/>
        <w:t xml:space="preserve"> Ensure graceful handling of exceptions and the ability to continue processing after encountering errors.</w:t>
      </w:r>
    </w:p>
    <w:p w14:paraId="71CB55A4" w14:textId="77777777" w:rsidR="00157AAA" w:rsidRDefault="00157AAA">
      <w:pPr>
        <w:spacing w:after="0"/>
        <w:ind w:left="720" w:firstLine="720"/>
        <w:rPr>
          <w:bCs/>
          <w:iCs/>
        </w:rPr>
      </w:pPr>
    </w:p>
    <w:p w14:paraId="2DA24E44" w14:textId="3178C8F1" w:rsidR="00157AAA" w:rsidRDefault="00157AAA">
      <w:pPr>
        <w:spacing w:after="0"/>
        <w:ind w:left="720" w:firstLine="720"/>
        <w:rPr>
          <w:b/>
          <w:i/>
        </w:rPr>
      </w:pPr>
    </w:p>
    <w:p w14:paraId="0FC67BDE" w14:textId="77777777" w:rsidR="00157AAA" w:rsidRDefault="00157AAA">
      <w:pPr>
        <w:spacing w:after="0"/>
      </w:pPr>
    </w:p>
    <w:p w14:paraId="4C8A9E48" w14:textId="0BDCC4D4" w:rsidR="00157AAA" w:rsidRPr="00963D1E" w:rsidRDefault="006C1BE5" w:rsidP="008E2AAD">
      <w:pPr>
        <w:ind w:firstLine="720"/>
      </w:pPr>
      <w:r w:rsidRPr="008E2AAD">
        <w:rPr>
          <w:b/>
        </w:rPr>
        <w:lastRenderedPageBreak/>
        <w:t>1.3</w:t>
      </w:r>
      <w:r w:rsidR="00F712E1" w:rsidRPr="008E2AAD">
        <w:rPr>
          <w:b/>
        </w:rPr>
        <w:t>.</w:t>
      </w:r>
      <w:r w:rsidR="004E2DD0">
        <w:rPr>
          <w:b/>
        </w:rPr>
        <w:t>5</w:t>
      </w:r>
      <w:r w:rsidR="00123173">
        <w:rPr>
          <w:b/>
        </w:rPr>
        <w:t>.</w:t>
      </w:r>
      <w:r w:rsidR="00F712E1" w:rsidRPr="008E2AAD">
        <w:rPr>
          <w:b/>
        </w:rPr>
        <w:t xml:space="preserve"> </w:t>
      </w:r>
      <w:r w:rsidRPr="008E2AAD">
        <w:rPr>
          <w:b/>
        </w:rPr>
        <w:t>Technology Architecture</w:t>
      </w:r>
    </w:p>
    <w:p w14:paraId="7CE7178E" w14:textId="77777777" w:rsidR="00157AAA" w:rsidRDefault="006C1BE5">
      <w:pPr>
        <w:ind w:left="720"/>
      </w:pPr>
      <w:r>
        <w:t>The target technology architecture ensures secure, reliable, and scalable operation of the NSW services and applications. The following are critical considerations based on the existing IT landscape, technology architecture principles, and best practices in NSW deployment:</w:t>
      </w:r>
    </w:p>
    <w:p w14:paraId="487F95E7" w14:textId="77777777" w:rsidR="00157AAA" w:rsidRDefault="006C1BE5" w:rsidP="00D530D5">
      <w:pPr>
        <w:pStyle w:val="ListParagraph"/>
        <w:numPr>
          <w:ilvl w:val="0"/>
          <w:numId w:val="78"/>
        </w:numPr>
        <w:ind w:left="1620" w:hanging="450"/>
      </w:pPr>
      <w:r>
        <w:t>Traders interacts with NSW services through the Internet, while system-to-system integrations must be implemented with web service</w:t>
      </w:r>
      <w:proofErr w:type="gramStart"/>
      <w:r>
        <w:t>.;</w:t>
      </w:r>
      <w:proofErr w:type="gramEnd"/>
    </w:p>
    <w:p w14:paraId="61A6875F" w14:textId="77777777" w:rsidR="00157AAA" w:rsidRDefault="006C1BE5" w:rsidP="00D530D5">
      <w:pPr>
        <w:pStyle w:val="ListParagraph"/>
        <w:numPr>
          <w:ilvl w:val="0"/>
          <w:numId w:val="78"/>
        </w:numPr>
        <w:ind w:left="1620" w:hanging="450"/>
      </w:pPr>
      <w:r>
        <w:t xml:space="preserve">CBRAs access the NSW using VPN over the Internet for enhanced security of </w:t>
      </w:r>
      <w:proofErr w:type="gramStart"/>
      <w:r>
        <w:t>transmissions;</w:t>
      </w:r>
      <w:proofErr w:type="gramEnd"/>
    </w:p>
    <w:p w14:paraId="4CA43A27" w14:textId="77777777" w:rsidR="00157AAA" w:rsidRDefault="006C1BE5" w:rsidP="00D530D5">
      <w:pPr>
        <w:pStyle w:val="ListParagraph"/>
        <w:numPr>
          <w:ilvl w:val="0"/>
          <w:numId w:val="78"/>
        </w:numPr>
        <w:ind w:left="1620" w:hanging="450"/>
      </w:pPr>
      <w:r>
        <w:t xml:space="preserve">Email and SMS (Short Message Service) notifications provided to traders and CBRA </w:t>
      </w:r>
      <w:proofErr w:type="gramStart"/>
      <w:r>
        <w:t>staff;</w:t>
      </w:r>
      <w:proofErr w:type="gramEnd"/>
    </w:p>
    <w:p w14:paraId="5357C08F" w14:textId="77777777" w:rsidR="00157AAA" w:rsidRDefault="006C1BE5" w:rsidP="00D530D5">
      <w:pPr>
        <w:pStyle w:val="ListParagraph"/>
        <w:numPr>
          <w:ilvl w:val="0"/>
          <w:numId w:val="78"/>
        </w:numPr>
        <w:ind w:left="1620" w:hanging="450"/>
      </w:pPr>
      <w:r>
        <w:t xml:space="preserve">For additional contingency of NSW services, the services should be deployed in a main data center and a secondary data center. The Customs Administration is currently establishing a secondary data </w:t>
      </w:r>
      <w:proofErr w:type="gramStart"/>
      <w:r>
        <w:t>center;</w:t>
      </w:r>
      <w:proofErr w:type="gramEnd"/>
    </w:p>
    <w:p w14:paraId="68831858" w14:textId="77777777" w:rsidR="00157AAA" w:rsidRDefault="006C1BE5" w:rsidP="00D530D5">
      <w:pPr>
        <w:pStyle w:val="ListParagraph"/>
        <w:numPr>
          <w:ilvl w:val="0"/>
          <w:numId w:val="78"/>
        </w:numPr>
        <w:ind w:left="1620" w:hanging="450"/>
      </w:pPr>
      <w:r>
        <w:t xml:space="preserve">Eliminating single point of failure to the maximum </w:t>
      </w:r>
      <w:proofErr w:type="gramStart"/>
      <w:r>
        <w:t>extent;</w:t>
      </w:r>
      <w:proofErr w:type="gramEnd"/>
    </w:p>
    <w:p w14:paraId="0849E57A" w14:textId="77777777" w:rsidR="00157AAA" w:rsidRDefault="006C1BE5" w:rsidP="00D530D5">
      <w:pPr>
        <w:pStyle w:val="ListParagraph"/>
        <w:numPr>
          <w:ilvl w:val="0"/>
          <w:numId w:val="78"/>
        </w:numPr>
        <w:ind w:left="1620" w:hanging="450"/>
      </w:pPr>
      <w:r>
        <w:t xml:space="preserve">Duplicated connections to and between data centers using multiple Internet Service Providers (ISPs) and Wide Area Network (WAN) </w:t>
      </w:r>
      <w:proofErr w:type="gramStart"/>
      <w:r>
        <w:t>connections;</w:t>
      </w:r>
      <w:proofErr w:type="gramEnd"/>
    </w:p>
    <w:p w14:paraId="15F53651" w14:textId="77777777" w:rsidR="00157AAA" w:rsidRDefault="006C1BE5" w:rsidP="00D530D5">
      <w:pPr>
        <w:pStyle w:val="ListParagraph"/>
        <w:numPr>
          <w:ilvl w:val="0"/>
          <w:numId w:val="78"/>
        </w:numPr>
        <w:ind w:left="1620" w:hanging="450"/>
      </w:pPr>
      <w:r>
        <w:t xml:space="preserve">The architecture is based on tiered structure with separation of roles, LAN and </w:t>
      </w:r>
      <w:proofErr w:type="gramStart"/>
      <w:r>
        <w:t>security;</w:t>
      </w:r>
      <w:proofErr w:type="gramEnd"/>
    </w:p>
    <w:p w14:paraId="7B316F5B" w14:textId="77777777" w:rsidR="00157AAA" w:rsidRDefault="006C1BE5" w:rsidP="00D530D5">
      <w:pPr>
        <w:pStyle w:val="ListParagraph"/>
        <w:numPr>
          <w:ilvl w:val="0"/>
          <w:numId w:val="78"/>
        </w:numPr>
        <w:ind w:left="1620" w:hanging="450"/>
      </w:pPr>
      <w:r>
        <w:t xml:space="preserve">Secured Network Zone concept implementation for elevated </w:t>
      </w:r>
      <w:proofErr w:type="gramStart"/>
      <w:r>
        <w:t>security;</w:t>
      </w:r>
      <w:proofErr w:type="gramEnd"/>
    </w:p>
    <w:p w14:paraId="3289DD29" w14:textId="77777777" w:rsidR="00157AAA" w:rsidRDefault="006C1BE5" w:rsidP="00D530D5">
      <w:pPr>
        <w:pStyle w:val="ListParagraph"/>
        <w:numPr>
          <w:ilvl w:val="0"/>
          <w:numId w:val="78"/>
        </w:numPr>
        <w:ind w:left="1620" w:hanging="450"/>
      </w:pPr>
      <w:r>
        <w:t xml:space="preserve">Clustered technology is used to ensure </w:t>
      </w:r>
      <w:proofErr w:type="gramStart"/>
      <w:r>
        <w:t>redundancy;</w:t>
      </w:r>
      <w:proofErr w:type="gramEnd"/>
    </w:p>
    <w:p w14:paraId="6DF64555" w14:textId="77777777" w:rsidR="00157AAA" w:rsidRDefault="006C1BE5" w:rsidP="00D530D5">
      <w:pPr>
        <w:pStyle w:val="ListParagraph"/>
        <w:numPr>
          <w:ilvl w:val="0"/>
          <w:numId w:val="78"/>
        </w:numPr>
        <w:ind w:left="1620" w:hanging="450"/>
      </w:pPr>
      <w:r>
        <w:t xml:space="preserve">Storage Area Network (SAN) solutions enable efficient storage and replication of data between the </w:t>
      </w:r>
      <w:proofErr w:type="gramStart"/>
      <w:r>
        <w:t>sites;</w:t>
      </w:r>
      <w:proofErr w:type="gramEnd"/>
      <w:r>
        <w:t xml:space="preserve"> </w:t>
      </w:r>
    </w:p>
    <w:p w14:paraId="1BCECD1C" w14:textId="77777777" w:rsidR="00157AAA" w:rsidRDefault="00157AAA" w:rsidP="008E2AAD">
      <w:pPr>
        <w:pStyle w:val="ListParagraph"/>
        <w:spacing w:after="0"/>
        <w:ind w:left="1620"/>
        <w:jc w:val="left"/>
        <w:rPr>
          <w:b/>
          <w:i/>
        </w:rPr>
      </w:pPr>
    </w:p>
    <w:p w14:paraId="679F6F21" w14:textId="2F77C19F" w:rsidR="00157AAA" w:rsidRPr="00963D1E" w:rsidRDefault="00123173">
      <w:pPr>
        <w:ind w:left="450" w:firstLine="720"/>
      </w:pPr>
      <w:r>
        <w:rPr>
          <w:b/>
        </w:rPr>
        <w:t>1.3.</w:t>
      </w:r>
      <w:r w:rsidR="004E2DD0">
        <w:rPr>
          <w:b/>
        </w:rPr>
        <w:t>5</w:t>
      </w:r>
      <w:r w:rsidR="0044221C" w:rsidRPr="008E2AAD">
        <w:rPr>
          <w:b/>
        </w:rPr>
        <w:t>.</w:t>
      </w:r>
      <w:r w:rsidR="006C1BE5" w:rsidRPr="008E2AAD">
        <w:rPr>
          <w:b/>
        </w:rPr>
        <w:t>1 Security Architecture</w:t>
      </w:r>
    </w:p>
    <w:p w14:paraId="6A773B86" w14:textId="77777777" w:rsidR="00157AAA" w:rsidRDefault="006C1BE5">
      <w:pPr>
        <w:spacing w:after="0"/>
        <w:ind w:left="720"/>
      </w:pPr>
      <w:r>
        <w:t>With the necessity of the security, trust, and confidence needed for the national trade transaction and regulatory control, the “Secured Network Zone” concept is the basis of the design.</w:t>
      </w:r>
    </w:p>
    <w:p w14:paraId="7B336B27" w14:textId="77777777" w:rsidR="00157AAA" w:rsidRDefault="006C1BE5">
      <w:pPr>
        <w:spacing w:after="0"/>
        <w:ind w:left="720"/>
      </w:pPr>
      <w:r>
        <w:br/>
        <w:t xml:space="preserve">A “Secured Network Zone” is a dedicated network segment, with a well-defined communication flow to other zones and specific security measures. Three internal zones are proposed, and these zones are nested, i.e. the inner most zone is protected by the surrounding zones as illustrated in the figure below. An internal zone may consist of various subnets and even </w:t>
      </w:r>
      <w:proofErr w:type="gramStart"/>
      <w:r>
        <w:t>spanning in</w:t>
      </w:r>
      <w:proofErr w:type="gramEnd"/>
      <w:r>
        <w:t xml:space="preserve"> several locations.</w:t>
      </w:r>
    </w:p>
    <w:p w14:paraId="7EA2B173" w14:textId="77777777" w:rsidR="00157AAA" w:rsidRDefault="006C1BE5">
      <w:pPr>
        <w:spacing w:after="0"/>
        <w:ind w:left="720"/>
      </w:pPr>
      <w:r>
        <w:rPr>
          <w:b/>
          <w:noProof/>
        </w:rPr>
        <w:lastRenderedPageBreak/>
        <w:drawing>
          <wp:anchor distT="0" distB="0" distL="114300" distR="114300" simplePos="0" relativeHeight="251658243" behindDoc="0" locked="0" layoutInCell="1" allowOverlap="1" wp14:anchorId="50BDBE9F" wp14:editId="1A46B913">
            <wp:simplePos x="0" y="0"/>
            <wp:positionH relativeFrom="margin">
              <wp:posOffset>542119</wp:posOffset>
            </wp:positionH>
            <wp:positionV relativeFrom="paragraph">
              <wp:posOffset>166370</wp:posOffset>
            </wp:positionV>
            <wp:extent cx="4578350" cy="301117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urityArchitecture.jpg"/>
                    <pic:cNvPicPr>
                      <a:picLocks noChangeAspect="1"/>
                    </pic:cNvPicPr>
                  </pic:nvPicPr>
                  <pic:blipFill>
                    <a:blip r:embed="rId133"/>
                    <a:stretch/>
                  </pic:blipFill>
                  <pic:spPr bwMode="auto">
                    <a:xfrm>
                      <a:off x="0" y="0"/>
                      <a:ext cx="4578350" cy="3011170"/>
                    </a:xfrm>
                    <a:prstGeom prst="rect">
                      <a:avLst/>
                    </a:prstGeom>
                  </pic:spPr>
                </pic:pic>
              </a:graphicData>
            </a:graphic>
            <wp14:sizeRelH relativeFrom="margin">
              <wp14:pctWidth>0</wp14:pctWidth>
            </wp14:sizeRelH>
            <wp14:sizeRelV relativeFrom="margin">
              <wp14:pctHeight>0</wp14:pctHeight>
            </wp14:sizeRelV>
          </wp:anchor>
        </w:drawing>
      </w:r>
    </w:p>
    <w:p w14:paraId="427E7367" w14:textId="77777777" w:rsidR="00157AAA" w:rsidRDefault="00157AAA">
      <w:pPr>
        <w:spacing w:after="0"/>
        <w:ind w:left="720"/>
        <w:rPr>
          <w:b/>
        </w:rPr>
      </w:pPr>
    </w:p>
    <w:p w14:paraId="081DFC2E" w14:textId="77777777" w:rsidR="00157AAA" w:rsidRDefault="00157AAA">
      <w:pPr>
        <w:spacing w:after="0"/>
        <w:ind w:left="720"/>
        <w:rPr>
          <w:b/>
        </w:rPr>
      </w:pPr>
    </w:p>
    <w:p w14:paraId="01602850" w14:textId="77777777" w:rsidR="00157AAA" w:rsidRDefault="00157AAA">
      <w:pPr>
        <w:spacing w:after="0"/>
        <w:ind w:left="720"/>
        <w:rPr>
          <w:b/>
        </w:rPr>
      </w:pPr>
    </w:p>
    <w:p w14:paraId="60F72FFF" w14:textId="77777777" w:rsidR="00157AAA" w:rsidRDefault="00157AAA">
      <w:pPr>
        <w:spacing w:after="0"/>
        <w:ind w:left="720"/>
        <w:rPr>
          <w:b/>
        </w:rPr>
      </w:pPr>
    </w:p>
    <w:p w14:paraId="05F9268E" w14:textId="77777777" w:rsidR="00157AAA" w:rsidRDefault="00157AAA">
      <w:pPr>
        <w:spacing w:after="0"/>
        <w:ind w:left="720"/>
        <w:rPr>
          <w:b/>
        </w:rPr>
      </w:pPr>
    </w:p>
    <w:p w14:paraId="4248B727" w14:textId="77777777" w:rsidR="00157AAA" w:rsidRDefault="00157AAA">
      <w:pPr>
        <w:spacing w:after="0"/>
        <w:ind w:left="720"/>
      </w:pPr>
    </w:p>
    <w:p w14:paraId="7AA73B64" w14:textId="77777777" w:rsidR="00157AAA" w:rsidRDefault="00157AAA"/>
    <w:p w14:paraId="7C9E5E91" w14:textId="77777777" w:rsidR="00157AAA" w:rsidRDefault="00157AAA"/>
    <w:p w14:paraId="629EC899" w14:textId="77777777" w:rsidR="00157AAA" w:rsidRDefault="00157AAA"/>
    <w:p w14:paraId="00829364" w14:textId="77777777" w:rsidR="00157AAA" w:rsidRDefault="00157AAA"/>
    <w:p w14:paraId="2C5D15D5" w14:textId="77777777" w:rsidR="00157AAA" w:rsidRDefault="00157AAA"/>
    <w:p w14:paraId="0A1B5032" w14:textId="77777777" w:rsidR="00157AAA" w:rsidRDefault="00157AAA"/>
    <w:p w14:paraId="54E0358A" w14:textId="77777777" w:rsidR="00157AAA" w:rsidRDefault="00157AAA"/>
    <w:p w14:paraId="3872C723" w14:textId="77777777" w:rsidR="00157AAA" w:rsidRDefault="00157AAA"/>
    <w:p w14:paraId="264E5D56" w14:textId="4C164B3C" w:rsidR="00157AAA" w:rsidRDefault="006C1BE5">
      <w:pPr>
        <w:ind w:firstLine="720"/>
        <w:jc w:val="center"/>
        <w:rPr>
          <w:i/>
        </w:rPr>
      </w:pPr>
      <w:r>
        <w:rPr>
          <w:i/>
        </w:rPr>
        <w:t xml:space="preserve">Figure </w:t>
      </w:r>
      <w:r w:rsidR="0045115A">
        <w:rPr>
          <w:i/>
          <w:lang w:val="mk-MK"/>
        </w:rPr>
        <w:t>25</w:t>
      </w:r>
      <w:r>
        <w:rPr>
          <w:i/>
        </w:rPr>
        <w:t>: Security Architecture Diagram</w:t>
      </w:r>
    </w:p>
    <w:p w14:paraId="275F7AFE" w14:textId="77777777" w:rsidR="00157AAA" w:rsidRDefault="00157AAA">
      <w:pPr>
        <w:ind w:firstLine="720"/>
        <w:jc w:val="left"/>
      </w:pPr>
    </w:p>
    <w:p w14:paraId="14FE3872" w14:textId="77777777" w:rsidR="00157AAA" w:rsidRDefault="006C1BE5">
      <w:pPr>
        <w:ind w:firstLine="720"/>
        <w:jc w:val="left"/>
      </w:pPr>
      <w:r>
        <w:t>The zones are:</w:t>
      </w:r>
    </w:p>
    <w:p w14:paraId="77C81C8A" w14:textId="77777777" w:rsidR="00157AAA" w:rsidRDefault="006C1BE5" w:rsidP="00D530D5">
      <w:pPr>
        <w:pStyle w:val="ListParagraph"/>
        <w:numPr>
          <w:ilvl w:val="0"/>
          <w:numId w:val="79"/>
        </w:numPr>
        <w:ind w:left="1620" w:hanging="450"/>
      </w:pPr>
      <w:r>
        <w:t>External (white) zone – accessible for everyone where services such as Internet access through guest wireless connection is offered.</w:t>
      </w:r>
    </w:p>
    <w:p w14:paraId="52FBE400" w14:textId="77777777" w:rsidR="00157AAA" w:rsidRDefault="006C1BE5" w:rsidP="00D530D5">
      <w:pPr>
        <w:pStyle w:val="ListParagraph"/>
        <w:numPr>
          <w:ilvl w:val="0"/>
          <w:numId w:val="79"/>
        </w:numPr>
        <w:ind w:left="1620" w:hanging="450"/>
      </w:pPr>
      <w:r>
        <w:t>Presentation (Green) zone – this zone is behind the first protection layer and hosts the web servers and other presentation services.</w:t>
      </w:r>
    </w:p>
    <w:p w14:paraId="2466B63C" w14:textId="77777777" w:rsidR="00157AAA" w:rsidRDefault="006C1BE5" w:rsidP="00D530D5">
      <w:pPr>
        <w:pStyle w:val="ListParagraph"/>
        <w:numPr>
          <w:ilvl w:val="0"/>
          <w:numId w:val="79"/>
        </w:numPr>
        <w:ind w:left="1620" w:hanging="450"/>
      </w:pPr>
      <w:r>
        <w:t>Application (Yellow) zone – in the application zone, the application servers and non-sensitive databases are located here.</w:t>
      </w:r>
    </w:p>
    <w:p w14:paraId="1369D44C" w14:textId="77777777" w:rsidR="00157AAA" w:rsidRDefault="006C1BE5" w:rsidP="00D530D5">
      <w:pPr>
        <w:pStyle w:val="ListParagraph"/>
        <w:numPr>
          <w:ilvl w:val="0"/>
          <w:numId w:val="79"/>
        </w:numPr>
        <w:ind w:left="1620" w:hanging="450"/>
      </w:pPr>
      <w:r>
        <w:t>Data (Orange) zone – this is where sensitive data such as payment related information are stored.</w:t>
      </w:r>
    </w:p>
    <w:p w14:paraId="5E02196F" w14:textId="77777777" w:rsidR="00157AAA" w:rsidRDefault="006C1BE5" w:rsidP="00D530D5">
      <w:pPr>
        <w:pStyle w:val="ListParagraph"/>
        <w:numPr>
          <w:ilvl w:val="0"/>
          <w:numId w:val="79"/>
        </w:numPr>
        <w:ind w:left="1620" w:hanging="450"/>
      </w:pPr>
      <w:r>
        <w:t>The security provisions should have full Inspection Firewall, Anti-Malware, Deep Packet Inspection with Host Intrusion Prevention System (HIPS), Integrity Monitoring, Application Control, behavior monitoring, Ransomware protection, and recommended scan in single module or an in single agent.</w:t>
      </w:r>
    </w:p>
    <w:p w14:paraId="1196AF83" w14:textId="77777777" w:rsidR="00157AAA" w:rsidRDefault="006C1BE5" w:rsidP="00D530D5">
      <w:pPr>
        <w:pStyle w:val="ListParagraph"/>
        <w:numPr>
          <w:ilvl w:val="0"/>
          <w:numId w:val="79"/>
        </w:numPr>
        <w:ind w:left="1620" w:hanging="450"/>
      </w:pPr>
      <w:r>
        <w:t>The Management server should have an option to install server agents for centralized management for data center environment. Furthermore, the following requirements should be adopted:</w:t>
      </w:r>
    </w:p>
    <w:p w14:paraId="5CD7F58D" w14:textId="77777777" w:rsidR="00157AAA" w:rsidRDefault="006C1BE5" w:rsidP="00D530D5">
      <w:pPr>
        <w:pStyle w:val="ListParagraph"/>
        <w:numPr>
          <w:ilvl w:val="0"/>
          <w:numId w:val="102"/>
        </w:numPr>
        <w:ind w:left="1985"/>
      </w:pPr>
      <w:r>
        <w:t>It should provide virtual protection which shields vulnerable systems that are awaiting a security patch i.e., automatically shields vulnerable systems within specified time.</w:t>
      </w:r>
    </w:p>
    <w:p w14:paraId="63F40E91" w14:textId="77777777" w:rsidR="00157AAA" w:rsidRDefault="006C1BE5" w:rsidP="00D530D5">
      <w:pPr>
        <w:pStyle w:val="ListParagraph"/>
        <w:numPr>
          <w:ilvl w:val="0"/>
          <w:numId w:val="102"/>
        </w:numPr>
        <w:ind w:left="1985"/>
      </w:pPr>
      <w:r>
        <w:t>It should support encryption for all messaging components during transmission and local store of data. Local Store encryption shall be customizable for various levels of encryption required. Encryption shall not mean only password protection.</w:t>
      </w:r>
    </w:p>
    <w:p w14:paraId="24DFC38B" w14:textId="77777777" w:rsidR="00157AAA" w:rsidRDefault="006C1BE5" w:rsidP="00D530D5">
      <w:pPr>
        <w:pStyle w:val="ListParagraph"/>
        <w:numPr>
          <w:ilvl w:val="0"/>
          <w:numId w:val="102"/>
        </w:numPr>
        <w:ind w:left="1985"/>
      </w:pPr>
      <w:r>
        <w:lastRenderedPageBreak/>
        <w:t>It should provide inbuilt support for digital signature and Public Key Infrastructure (PKI) based on industry standards, such as X509 v3.</w:t>
      </w:r>
    </w:p>
    <w:p w14:paraId="375D706E" w14:textId="77777777" w:rsidR="00157AAA" w:rsidRDefault="006C1BE5" w:rsidP="00D530D5">
      <w:pPr>
        <w:pStyle w:val="ListParagraph"/>
        <w:numPr>
          <w:ilvl w:val="0"/>
          <w:numId w:val="102"/>
        </w:numPr>
        <w:ind w:left="1985"/>
      </w:pPr>
      <w:r>
        <w:t>It should provide support for simple, flexible administration via a web browser and thick client.</w:t>
      </w:r>
    </w:p>
    <w:p w14:paraId="16AF0A00" w14:textId="77777777" w:rsidR="00157AAA" w:rsidRDefault="006C1BE5" w:rsidP="00D530D5">
      <w:pPr>
        <w:pStyle w:val="ListParagraph"/>
        <w:numPr>
          <w:ilvl w:val="0"/>
          <w:numId w:val="102"/>
        </w:numPr>
        <w:ind w:left="1985"/>
      </w:pPr>
      <w:r>
        <w:t>It should support TLS (Transport Layer Security)/SSL (Secure Sockets Layer) encryption with 256/512/1024 bit key.</w:t>
      </w:r>
    </w:p>
    <w:p w14:paraId="541F53E7" w14:textId="77777777" w:rsidR="00157AAA" w:rsidRDefault="006C1BE5" w:rsidP="00D530D5">
      <w:pPr>
        <w:pStyle w:val="ListParagraph"/>
        <w:numPr>
          <w:ilvl w:val="0"/>
          <w:numId w:val="102"/>
        </w:numPr>
        <w:spacing w:after="0"/>
        <w:ind w:left="1985"/>
      </w:pPr>
      <w:r>
        <w:t>It should be able to perform Anti-Relay enforcement on incoming connection, to allow only the clients’ domains.</w:t>
      </w:r>
    </w:p>
    <w:p w14:paraId="50E29DB5" w14:textId="4AC8D61B" w:rsidR="00157AAA" w:rsidRDefault="00157AAA">
      <w:pPr>
        <w:spacing w:after="0"/>
        <w:ind w:left="720" w:firstLine="720"/>
        <w:rPr>
          <w:b/>
          <w:i/>
        </w:rPr>
      </w:pPr>
    </w:p>
    <w:p w14:paraId="18D57304" w14:textId="77777777" w:rsidR="005F54B1" w:rsidRDefault="005F54B1" w:rsidP="005F54B1">
      <w:pPr>
        <w:jc w:val="left"/>
        <w:rPr>
          <w:b/>
          <w:szCs w:val="24"/>
        </w:rPr>
      </w:pPr>
      <w:r w:rsidRPr="00CD020D">
        <w:rPr>
          <w:b/>
          <w:szCs w:val="24"/>
        </w:rPr>
        <w:t>Security</w:t>
      </w:r>
    </w:p>
    <w:p w14:paraId="4FAA2C21" w14:textId="77777777" w:rsidR="005F54B1" w:rsidRDefault="005F54B1" w:rsidP="005F54B1">
      <w:pPr>
        <w:rPr>
          <w:bCs/>
          <w:szCs w:val="24"/>
        </w:rPr>
      </w:pPr>
      <w:r>
        <w:rPr>
          <w:bCs/>
          <w:szCs w:val="24"/>
        </w:rPr>
        <w:t xml:space="preserve">The System should have security capability which will provide the basic authentication and authorization of the security model relating to the access and operations to resources. It therefore prevents unauthorized access to the other systems and exposed </w:t>
      </w:r>
      <w:proofErr w:type="gramStart"/>
      <w:r>
        <w:rPr>
          <w:bCs/>
          <w:szCs w:val="24"/>
        </w:rPr>
        <w:t>resources, and</w:t>
      </w:r>
      <w:proofErr w:type="gramEnd"/>
      <w:r>
        <w:rPr>
          <w:bCs/>
          <w:szCs w:val="24"/>
        </w:rPr>
        <w:t xml:space="preserve"> shall guarantee integrity and confidentiality of the exchanged data.</w:t>
      </w:r>
    </w:p>
    <w:p w14:paraId="4E6BD95C" w14:textId="77777777" w:rsidR="005F54B1" w:rsidRDefault="005F54B1" w:rsidP="005F54B1">
      <w:pPr>
        <w:rPr>
          <w:bCs/>
          <w:szCs w:val="24"/>
        </w:rPr>
      </w:pPr>
      <w:r>
        <w:rPr>
          <w:bCs/>
          <w:szCs w:val="24"/>
        </w:rPr>
        <w:t>Not only are those capabilities independent from the level of security of the underlying transport networks, but are also enforced at the message level, between the resource requestors and the resource owners, preventing direct and uncontrolled accesses to the resource endpoints.</w:t>
      </w:r>
    </w:p>
    <w:p w14:paraId="1A7E836E" w14:textId="77777777" w:rsidR="005F54B1" w:rsidRDefault="005F54B1" w:rsidP="005F54B1">
      <w:pPr>
        <w:jc w:val="left"/>
        <w:rPr>
          <w:bCs/>
          <w:szCs w:val="24"/>
        </w:rPr>
      </w:pPr>
      <w:r>
        <w:rPr>
          <w:bCs/>
          <w:szCs w:val="24"/>
        </w:rPr>
        <w:t>Security enforcement addresses the following aspects:</w:t>
      </w:r>
    </w:p>
    <w:p w14:paraId="0284C0BF" w14:textId="77777777" w:rsidR="005F54B1" w:rsidRDefault="005F54B1" w:rsidP="00D530D5">
      <w:pPr>
        <w:pStyle w:val="ListParagraph"/>
        <w:numPr>
          <w:ilvl w:val="0"/>
          <w:numId w:val="140"/>
        </w:numPr>
        <w:rPr>
          <w:bCs/>
          <w:szCs w:val="24"/>
        </w:rPr>
      </w:pPr>
      <w:r>
        <w:rPr>
          <w:bCs/>
          <w:szCs w:val="24"/>
        </w:rPr>
        <w:t>Authentication – Ensures that resources are only accessible by identified and authenticated Users.</w:t>
      </w:r>
    </w:p>
    <w:p w14:paraId="39E31230" w14:textId="77777777" w:rsidR="005F54B1" w:rsidRDefault="005F54B1" w:rsidP="00D530D5">
      <w:pPr>
        <w:pStyle w:val="ListParagraph"/>
        <w:numPr>
          <w:ilvl w:val="0"/>
          <w:numId w:val="140"/>
        </w:numPr>
        <w:rPr>
          <w:bCs/>
          <w:szCs w:val="24"/>
        </w:rPr>
      </w:pPr>
      <w:r>
        <w:rPr>
          <w:bCs/>
          <w:szCs w:val="24"/>
        </w:rPr>
        <w:t xml:space="preserve">Authorization – Ensures that resources are only accessible to authorized Users. It is supported by a flexible authorization model. </w:t>
      </w:r>
    </w:p>
    <w:p w14:paraId="573D9B1F" w14:textId="77777777" w:rsidR="005F54B1" w:rsidRDefault="005F54B1" w:rsidP="00D530D5">
      <w:pPr>
        <w:pStyle w:val="ListParagraph"/>
        <w:numPr>
          <w:ilvl w:val="0"/>
          <w:numId w:val="140"/>
        </w:numPr>
        <w:rPr>
          <w:bCs/>
          <w:szCs w:val="24"/>
        </w:rPr>
      </w:pPr>
      <w:r>
        <w:rPr>
          <w:bCs/>
          <w:szCs w:val="24"/>
        </w:rPr>
        <w:t>Integrity – Ensures that exchanged data is not altered in an unauthorized or undetected manner. It is supported by the cryptography capabilities relating to digital signatures.</w:t>
      </w:r>
    </w:p>
    <w:p w14:paraId="7174E361" w14:textId="77777777" w:rsidR="005F54B1" w:rsidRDefault="005F54B1" w:rsidP="00D530D5">
      <w:pPr>
        <w:pStyle w:val="ListParagraph"/>
        <w:numPr>
          <w:ilvl w:val="0"/>
          <w:numId w:val="140"/>
        </w:numPr>
        <w:rPr>
          <w:bCs/>
          <w:szCs w:val="24"/>
        </w:rPr>
      </w:pPr>
      <w:r>
        <w:rPr>
          <w:bCs/>
          <w:szCs w:val="24"/>
        </w:rPr>
        <w:t xml:space="preserve">Confidentiality – Ensures that exchanged data is only readable to those authorized. It is supported by cryptography capabilities relating to </w:t>
      </w:r>
      <w:proofErr w:type="gramStart"/>
      <w:r>
        <w:rPr>
          <w:bCs/>
          <w:szCs w:val="24"/>
        </w:rPr>
        <w:t>the encryption</w:t>
      </w:r>
      <w:proofErr w:type="gramEnd"/>
      <w:r>
        <w:rPr>
          <w:bCs/>
          <w:szCs w:val="24"/>
        </w:rPr>
        <w:t xml:space="preserve"> mechanisms.</w:t>
      </w:r>
    </w:p>
    <w:p w14:paraId="2C43E864" w14:textId="77777777" w:rsidR="005F54B1" w:rsidRDefault="005F54B1" w:rsidP="00D530D5">
      <w:pPr>
        <w:pStyle w:val="ListParagraph"/>
        <w:numPr>
          <w:ilvl w:val="0"/>
          <w:numId w:val="140"/>
        </w:numPr>
        <w:rPr>
          <w:bCs/>
          <w:szCs w:val="24"/>
        </w:rPr>
      </w:pPr>
      <w:r>
        <w:rPr>
          <w:bCs/>
          <w:szCs w:val="24"/>
        </w:rPr>
        <w:t xml:space="preserve">Non-repudiation – Provides </w:t>
      </w:r>
      <w:proofErr w:type="gramStart"/>
      <w:r>
        <w:rPr>
          <w:bCs/>
          <w:szCs w:val="24"/>
        </w:rPr>
        <w:t>evidences</w:t>
      </w:r>
      <w:proofErr w:type="gramEnd"/>
      <w:r>
        <w:rPr>
          <w:bCs/>
          <w:szCs w:val="24"/>
        </w:rPr>
        <w:t xml:space="preserve"> that actions or events have taken place, so that the events or actions cannot be repudiated later. This is supported by the audit services and the use of digital signatures. </w:t>
      </w:r>
    </w:p>
    <w:p w14:paraId="44370A63" w14:textId="77777777" w:rsidR="005F54B1" w:rsidRDefault="005F54B1" w:rsidP="00D530D5">
      <w:pPr>
        <w:pStyle w:val="ListParagraph"/>
        <w:numPr>
          <w:ilvl w:val="0"/>
          <w:numId w:val="140"/>
        </w:numPr>
        <w:rPr>
          <w:bCs/>
          <w:szCs w:val="24"/>
        </w:rPr>
      </w:pPr>
      <w:r>
        <w:rPr>
          <w:bCs/>
          <w:szCs w:val="24"/>
        </w:rPr>
        <w:t>Accountability – Guarantees that all operations carried out by Partners’ Users or systems on resources can be identified and that the trace to the author and the operation is persisted.</w:t>
      </w:r>
    </w:p>
    <w:p w14:paraId="0E964B70" w14:textId="77777777" w:rsidR="005F54B1" w:rsidRDefault="005F54B1" w:rsidP="00D530D5">
      <w:pPr>
        <w:pStyle w:val="ListParagraph"/>
        <w:numPr>
          <w:ilvl w:val="0"/>
          <w:numId w:val="140"/>
        </w:numPr>
        <w:rPr>
          <w:bCs/>
          <w:szCs w:val="24"/>
        </w:rPr>
      </w:pPr>
      <w:r>
        <w:rPr>
          <w:bCs/>
          <w:szCs w:val="24"/>
        </w:rPr>
        <w:t xml:space="preserve">Authenticity – Ensures that the identity of a subject or resource is the identity claimed. It applies to individuals (Users) and systems. This is supported by </w:t>
      </w:r>
      <w:proofErr w:type="gramStart"/>
      <w:r>
        <w:rPr>
          <w:bCs/>
          <w:szCs w:val="24"/>
        </w:rPr>
        <w:t>the authentication</w:t>
      </w:r>
      <w:proofErr w:type="gramEnd"/>
      <w:r>
        <w:rPr>
          <w:bCs/>
          <w:szCs w:val="24"/>
        </w:rPr>
        <w:t xml:space="preserve"> services and the use of digital signatures.</w:t>
      </w:r>
    </w:p>
    <w:p w14:paraId="36D8C880" w14:textId="77777777" w:rsidR="005F54B1" w:rsidRDefault="005F54B1" w:rsidP="005F54B1">
      <w:pPr>
        <w:jc w:val="left"/>
        <w:rPr>
          <w:b/>
          <w:szCs w:val="24"/>
        </w:rPr>
      </w:pPr>
      <w:r w:rsidRPr="00CD020D">
        <w:rPr>
          <w:b/>
          <w:szCs w:val="24"/>
        </w:rPr>
        <w:t xml:space="preserve">Authorization Model </w:t>
      </w:r>
    </w:p>
    <w:p w14:paraId="3590B4E9" w14:textId="77777777" w:rsidR="005F54B1" w:rsidRDefault="005F54B1" w:rsidP="005F54B1">
      <w:pPr>
        <w:rPr>
          <w:bCs/>
          <w:szCs w:val="24"/>
        </w:rPr>
      </w:pPr>
      <w:r>
        <w:rPr>
          <w:bCs/>
          <w:szCs w:val="24"/>
        </w:rPr>
        <w:t xml:space="preserve">The conceptual Gateway authorization model is built on 2 dimensions and serves as a general model both for physical end-users and technical Users (i.e. systems). </w:t>
      </w:r>
    </w:p>
    <w:p w14:paraId="0B792364" w14:textId="77777777" w:rsidR="005F54B1" w:rsidRDefault="005F54B1" w:rsidP="00D530D5">
      <w:pPr>
        <w:pStyle w:val="ListParagraph"/>
        <w:numPr>
          <w:ilvl w:val="0"/>
          <w:numId w:val="140"/>
        </w:numPr>
        <w:rPr>
          <w:bCs/>
          <w:szCs w:val="24"/>
        </w:rPr>
      </w:pPr>
      <w:r>
        <w:rPr>
          <w:bCs/>
          <w:szCs w:val="24"/>
        </w:rPr>
        <w:t xml:space="preserve">Organizational: a User is assigned one or more </w:t>
      </w:r>
      <w:proofErr w:type="gramStart"/>
      <w:r>
        <w:rPr>
          <w:bCs/>
          <w:szCs w:val="24"/>
        </w:rPr>
        <w:t>Roles;</w:t>
      </w:r>
      <w:proofErr w:type="gramEnd"/>
    </w:p>
    <w:p w14:paraId="414F7783" w14:textId="77777777" w:rsidR="005F54B1" w:rsidRDefault="005F54B1" w:rsidP="00D530D5">
      <w:pPr>
        <w:pStyle w:val="ListParagraph"/>
        <w:numPr>
          <w:ilvl w:val="0"/>
          <w:numId w:val="140"/>
        </w:numPr>
        <w:rPr>
          <w:bCs/>
          <w:szCs w:val="24"/>
        </w:rPr>
      </w:pPr>
      <w:r>
        <w:rPr>
          <w:bCs/>
          <w:szCs w:val="24"/>
        </w:rPr>
        <w:t xml:space="preserve">Behavioral: a Role grants a User one or more Permissions. These permissions are executed on a specific resource. </w:t>
      </w:r>
    </w:p>
    <w:p w14:paraId="20A8C1AC" w14:textId="77777777" w:rsidR="005F54B1" w:rsidRDefault="005F54B1" w:rsidP="005F54B1">
      <w:pPr>
        <w:rPr>
          <w:bCs/>
          <w:szCs w:val="24"/>
        </w:rPr>
      </w:pPr>
      <w:r>
        <w:rPr>
          <w:bCs/>
          <w:szCs w:val="24"/>
        </w:rPr>
        <w:lastRenderedPageBreak/>
        <w:t>The flexibility of the authorization model by implementing the notion of Roles and Permissions, ensures that complexity is hidden to end-users and administrators interacting with the organizational dimension. The administrators only manage the assignment of Roles. Role definition is done via the UMS (User Management System).</w:t>
      </w:r>
    </w:p>
    <w:p w14:paraId="051A983D" w14:textId="77777777" w:rsidR="005F54B1" w:rsidRDefault="005F54B1" w:rsidP="005F54B1">
      <w:pPr>
        <w:rPr>
          <w:bCs/>
          <w:szCs w:val="24"/>
        </w:rPr>
      </w:pPr>
      <w:r>
        <w:rPr>
          <w:bCs/>
          <w:szCs w:val="24"/>
        </w:rPr>
        <w:t>The behavioral dimension on the other hand enables Service Owners (NSW, CDEPS, and NCTS) and resource administrators to create the security elements and create relationships between them, to eventually grant a specific Permission to a User. In this sense, they will configure Resources, correlate these into a Permission and map these to one or more Roles. Ultimately, these Permissions are validated when the authorization is enforced via an authorization Policy.</w:t>
      </w:r>
    </w:p>
    <w:p w14:paraId="684F0AD7" w14:textId="77777777" w:rsidR="005F54B1" w:rsidRDefault="005F54B1" w:rsidP="005F54B1">
      <w:pPr>
        <w:jc w:val="left"/>
        <w:rPr>
          <w:b/>
          <w:szCs w:val="24"/>
        </w:rPr>
      </w:pPr>
      <w:r w:rsidRPr="00CD020D">
        <w:rPr>
          <w:b/>
          <w:szCs w:val="24"/>
        </w:rPr>
        <w:t>Policies</w:t>
      </w:r>
    </w:p>
    <w:p w14:paraId="3B5FBA2A" w14:textId="77777777" w:rsidR="005F54B1" w:rsidRDefault="005F54B1" w:rsidP="005F54B1">
      <w:pPr>
        <w:rPr>
          <w:bCs/>
          <w:szCs w:val="24"/>
        </w:rPr>
      </w:pPr>
      <w:r>
        <w:rPr>
          <w:bCs/>
          <w:szCs w:val="24"/>
        </w:rPr>
        <w:t>Gateway security components enforce coarse-grained authorization policies to validate whether a User has the right Permission to execute a specific operation on a specific resource. Authorization policies are based on Permission, identity attributes and contextual information. These are expressed via RBAC and contextual policies.</w:t>
      </w:r>
    </w:p>
    <w:p w14:paraId="6275B1DA" w14:textId="77777777" w:rsidR="005F54B1" w:rsidRDefault="005F54B1" w:rsidP="005F54B1">
      <w:pPr>
        <w:jc w:val="left"/>
        <w:rPr>
          <w:b/>
          <w:szCs w:val="24"/>
        </w:rPr>
      </w:pPr>
      <w:r w:rsidRPr="00CD020D">
        <w:rPr>
          <w:b/>
          <w:szCs w:val="24"/>
        </w:rPr>
        <w:t>Role-based access control (RBAC)</w:t>
      </w:r>
    </w:p>
    <w:p w14:paraId="5834D4CE" w14:textId="77777777" w:rsidR="005F54B1" w:rsidRDefault="005F54B1" w:rsidP="005F54B1">
      <w:pPr>
        <w:rPr>
          <w:bCs/>
          <w:szCs w:val="24"/>
        </w:rPr>
      </w:pPr>
      <w:r>
        <w:rPr>
          <w:bCs/>
          <w:szCs w:val="24"/>
        </w:rPr>
        <w:t xml:space="preserve">In an RBAC model, Roles are the foundation to perform authorization. A User that is trying to reach a certain resource will need to have the correct Role </w:t>
      </w:r>
      <w:proofErr w:type="gramStart"/>
      <w:r>
        <w:rPr>
          <w:bCs/>
          <w:szCs w:val="24"/>
        </w:rPr>
        <w:t>in order to</w:t>
      </w:r>
      <w:proofErr w:type="gramEnd"/>
      <w:r>
        <w:rPr>
          <w:bCs/>
          <w:szCs w:val="24"/>
        </w:rPr>
        <w:t xml:space="preserve"> gain access. E.g. only Users that are assigned a specific Role are allowed to access a web application. An RBAC Policy validates whether the User has the Role or not. Authorization is granted only in case there is a match. Otherwise, an error is sent back to the User and the request is not authorized.</w:t>
      </w:r>
    </w:p>
    <w:p w14:paraId="7DD4D027" w14:textId="77777777" w:rsidR="005F54B1" w:rsidRDefault="005F54B1" w:rsidP="005F54B1">
      <w:pPr>
        <w:jc w:val="left"/>
        <w:rPr>
          <w:b/>
          <w:szCs w:val="24"/>
        </w:rPr>
      </w:pPr>
      <w:r w:rsidRPr="00CD020D">
        <w:rPr>
          <w:b/>
          <w:szCs w:val="24"/>
        </w:rPr>
        <w:t>Contextual policies</w:t>
      </w:r>
    </w:p>
    <w:p w14:paraId="684268E5" w14:textId="77777777" w:rsidR="005F54B1" w:rsidRDefault="005F54B1" w:rsidP="005F54B1">
      <w:pPr>
        <w:rPr>
          <w:bCs/>
          <w:szCs w:val="24"/>
        </w:rPr>
      </w:pPr>
      <w:r>
        <w:rPr>
          <w:bCs/>
          <w:szCs w:val="24"/>
        </w:rPr>
        <w:t>Policies also leverage contextual elements, e.g. limit application access between business hours only or limit access from a certain IP range.</w:t>
      </w:r>
    </w:p>
    <w:p w14:paraId="56BEF56D" w14:textId="77777777" w:rsidR="005F54B1" w:rsidRDefault="005F54B1" w:rsidP="005F54B1">
      <w:pPr>
        <w:jc w:val="left"/>
        <w:rPr>
          <w:b/>
          <w:szCs w:val="24"/>
        </w:rPr>
      </w:pPr>
      <w:r w:rsidRPr="00CD020D">
        <w:rPr>
          <w:b/>
          <w:szCs w:val="24"/>
        </w:rPr>
        <w:t>Authentication and Authorization Service</w:t>
      </w:r>
    </w:p>
    <w:p w14:paraId="76DA4770" w14:textId="77777777" w:rsidR="005F54B1" w:rsidRDefault="005F54B1" w:rsidP="005F54B1">
      <w:pPr>
        <w:jc w:val="left"/>
        <w:rPr>
          <w:bCs/>
          <w:szCs w:val="24"/>
        </w:rPr>
      </w:pPr>
      <w:r>
        <w:rPr>
          <w:bCs/>
          <w:szCs w:val="24"/>
        </w:rPr>
        <w:t xml:space="preserve">These should be reused from UMS (User Management System). </w:t>
      </w:r>
    </w:p>
    <w:p w14:paraId="2EF382A8" w14:textId="77777777" w:rsidR="005F54B1" w:rsidRDefault="005F54B1" w:rsidP="005F54B1">
      <w:pPr>
        <w:jc w:val="left"/>
        <w:rPr>
          <w:b/>
          <w:szCs w:val="24"/>
        </w:rPr>
      </w:pPr>
      <w:r w:rsidRPr="00CD020D">
        <w:rPr>
          <w:b/>
          <w:szCs w:val="24"/>
        </w:rPr>
        <w:t>Encryption and Decryption Services</w:t>
      </w:r>
    </w:p>
    <w:p w14:paraId="4EE84152" w14:textId="77777777" w:rsidR="005F54B1" w:rsidRDefault="005F54B1" w:rsidP="005F54B1">
      <w:pPr>
        <w:rPr>
          <w:bCs/>
          <w:szCs w:val="24"/>
        </w:rPr>
      </w:pPr>
      <w:r>
        <w:rPr>
          <w:bCs/>
          <w:szCs w:val="24"/>
        </w:rPr>
        <w:t>The encryption and decryption capabilities are used by the system to ensure confidentiality by encrypting information so that only authorized parties can read its content.</w:t>
      </w:r>
    </w:p>
    <w:p w14:paraId="3F1EBBE8" w14:textId="77777777" w:rsidR="005F54B1" w:rsidRDefault="005F54B1" w:rsidP="005F54B1">
      <w:pPr>
        <w:jc w:val="left"/>
        <w:rPr>
          <w:b/>
          <w:szCs w:val="24"/>
        </w:rPr>
      </w:pPr>
      <w:r w:rsidRPr="00CD020D">
        <w:rPr>
          <w:b/>
          <w:szCs w:val="24"/>
        </w:rPr>
        <w:t xml:space="preserve">Digital Signatures service </w:t>
      </w:r>
    </w:p>
    <w:p w14:paraId="191B9A4F" w14:textId="77777777" w:rsidR="005F54B1" w:rsidRDefault="005F54B1" w:rsidP="005F54B1">
      <w:pPr>
        <w:rPr>
          <w:bCs/>
          <w:szCs w:val="24"/>
        </w:rPr>
      </w:pPr>
      <w:r>
        <w:rPr>
          <w:bCs/>
          <w:szCs w:val="24"/>
        </w:rPr>
        <w:t>The digital signatures capability demonstrates the authenticity of the sender and the integrity of the message. This means that the receiving parties can trust the message itself and accept the claimed identity of the sender.</w:t>
      </w:r>
    </w:p>
    <w:p w14:paraId="52FB992C" w14:textId="77777777" w:rsidR="005F54B1" w:rsidRDefault="005F54B1" w:rsidP="005F54B1">
      <w:pPr>
        <w:jc w:val="left"/>
        <w:rPr>
          <w:b/>
          <w:szCs w:val="24"/>
        </w:rPr>
      </w:pPr>
      <w:r w:rsidRPr="00CD020D">
        <w:rPr>
          <w:b/>
          <w:szCs w:val="24"/>
        </w:rPr>
        <w:t>Data Transformation Service</w:t>
      </w:r>
    </w:p>
    <w:p w14:paraId="193009F9" w14:textId="77777777" w:rsidR="005F54B1" w:rsidRDefault="005F54B1" w:rsidP="005F54B1">
      <w:pPr>
        <w:rPr>
          <w:bCs/>
          <w:szCs w:val="24"/>
        </w:rPr>
      </w:pPr>
      <w:r>
        <w:rPr>
          <w:bCs/>
          <w:szCs w:val="24"/>
        </w:rPr>
        <w:t>Data format transformation allows transformation between two different data formats (e.g. a flat file into XML). This transformation from one format into another is executed in a standardized way by using specific transformation algorithms.</w:t>
      </w:r>
    </w:p>
    <w:p w14:paraId="62FB58E4" w14:textId="77777777" w:rsidR="005F54B1" w:rsidRDefault="005F54B1" w:rsidP="005F54B1">
      <w:pPr>
        <w:jc w:val="left"/>
        <w:rPr>
          <w:b/>
          <w:szCs w:val="24"/>
        </w:rPr>
      </w:pPr>
      <w:r w:rsidRPr="00CD020D">
        <w:rPr>
          <w:b/>
          <w:szCs w:val="24"/>
        </w:rPr>
        <w:t xml:space="preserve">Validation Service </w:t>
      </w:r>
    </w:p>
    <w:p w14:paraId="5F8E0EF3" w14:textId="77777777" w:rsidR="005F54B1" w:rsidRDefault="005F54B1" w:rsidP="005F54B1">
      <w:pPr>
        <w:rPr>
          <w:bCs/>
          <w:szCs w:val="24"/>
        </w:rPr>
      </w:pPr>
      <w:r>
        <w:rPr>
          <w:bCs/>
          <w:szCs w:val="24"/>
        </w:rPr>
        <w:lastRenderedPageBreak/>
        <w:t>Validation capability allows validation of messages on the system to their data model e.g. an XML message (either the header only or the full message) to its XSD.</w:t>
      </w:r>
    </w:p>
    <w:p w14:paraId="67E05E3C" w14:textId="77777777" w:rsidR="005F54B1" w:rsidRDefault="005F54B1" w:rsidP="005F54B1">
      <w:pPr>
        <w:jc w:val="left"/>
        <w:rPr>
          <w:b/>
          <w:szCs w:val="24"/>
        </w:rPr>
      </w:pPr>
      <w:r w:rsidRPr="00CD020D">
        <w:rPr>
          <w:b/>
          <w:szCs w:val="24"/>
        </w:rPr>
        <w:t>Routing Service</w:t>
      </w:r>
    </w:p>
    <w:p w14:paraId="258C1B76" w14:textId="77777777" w:rsidR="005F54B1" w:rsidRDefault="005F54B1" w:rsidP="005F54B1">
      <w:pPr>
        <w:spacing w:after="0"/>
        <w:rPr>
          <w:bCs/>
          <w:szCs w:val="24"/>
        </w:rPr>
      </w:pPr>
      <w:r>
        <w:rPr>
          <w:bCs/>
          <w:szCs w:val="24"/>
        </w:rPr>
        <w:t>The Routing Services enables retrieval of routing information, such as destinations and bindings, based on the header or body of a message. Content-based routing is not implemented using the Routing Services.</w:t>
      </w:r>
    </w:p>
    <w:p w14:paraId="0B06346B" w14:textId="77777777" w:rsidR="005F54B1" w:rsidRDefault="005F54B1" w:rsidP="005F54B1">
      <w:pPr>
        <w:spacing w:after="0"/>
        <w:rPr>
          <w:bCs/>
          <w:szCs w:val="24"/>
        </w:rPr>
      </w:pPr>
      <w:r>
        <w:rPr>
          <w:bCs/>
          <w:szCs w:val="24"/>
        </w:rPr>
        <w:t xml:space="preserve">The NSW Frontend shall provide an interface for submitting declarations using an online form. This will be limited volumes as </w:t>
      </w:r>
      <w:proofErr w:type="gramStart"/>
      <w:r>
        <w:rPr>
          <w:bCs/>
          <w:szCs w:val="24"/>
        </w:rPr>
        <w:t>the majority of</w:t>
      </w:r>
      <w:proofErr w:type="gramEnd"/>
      <w:r>
        <w:rPr>
          <w:bCs/>
          <w:szCs w:val="24"/>
        </w:rPr>
        <w:t xml:space="preserve"> the declarations will be submitted through Electronic Data Interchange (EDI) integration. Data will be submitted to the Declaration Gateway component in the NSW Backend.</w:t>
      </w:r>
    </w:p>
    <w:p w14:paraId="0815A958" w14:textId="727D485E" w:rsidR="005F54B1" w:rsidRDefault="005F54B1" w:rsidP="005F54B1">
      <w:pPr>
        <w:jc w:val="left"/>
        <w:rPr>
          <w:bCs/>
          <w:szCs w:val="24"/>
        </w:rPr>
      </w:pPr>
    </w:p>
    <w:p w14:paraId="420E387C" w14:textId="77777777" w:rsidR="005F54B1" w:rsidRDefault="005F54B1" w:rsidP="005F54B1">
      <w:pPr>
        <w:jc w:val="left"/>
        <w:rPr>
          <w:bCs/>
          <w:szCs w:val="24"/>
        </w:rPr>
      </w:pPr>
      <w:r>
        <w:rPr>
          <w:bCs/>
          <w:szCs w:val="24"/>
        </w:rPr>
        <w:t>Steps:</w:t>
      </w:r>
    </w:p>
    <w:p w14:paraId="3699CAA2" w14:textId="77777777" w:rsidR="005F54B1" w:rsidRDefault="005F54B1" w:rsidP="00D530D5">
      <w:pPr>
        <w:pStyle w:val="ListParagraph"/>
        <w:numPr>
          <w:ilvl w:val="6"/>
          <w:numId w:val="37"/>
        </w:numPr>
        <w:rPr>
          <w:bCs/>
          <w:szCs w:val="24"/>
        </w:rPr>
      </w:pPr>
      <w:r>
        <w:rPr>
          <w:bCs/>
          <w:szCs w:val="24"/>
        </w:rPr>
        <w:t xml:space="preserve">An integrated data set as referred to in Article 13 (3) of Regulation 2022/2399 for establishing the EU Single Window Environment for Customs is submitted by the </w:t>
      </w:r>
      <w:proofErr w:type="gramStart"/>
      <w:r>
        <w:rPr>
          <w:bCs/>
          <w:szCs w:val="24"/>
        </w:rPr>
        <w:t>trader;</w:t>
      </w:r>
      <w:proofErr w:type="gramEnd"/>
    </w:p>
    <w:p w14:paraId="44FF7DAC" w14:textId="77777777" w:rsidR="005F54B1" w:rsidRDefault="005F54B1" w:rsidP="00D530D5">
      <w:pPr>
        <w:pStyle w:val="ListParagraph"/>
        <w:numPr>
          <w:ilvl w:val="6"/>
          <w:numId w:val="37"/>
        </w:numPr>
        <w:rPr>
          <w:bCs/>
          <w:szCs w:val="24"/>
        </w:rPr>
      </w:pPr>
      <w:r>
        <w:rPr>
          <w:bCs/>
          <w:szCs w:val="24"/>
        </w:rPr>
        <w:t xml:space="preserve">Based on the information in other CBRA's data set with the elements solely to national legislation other than customs which is part of the integrated data set, NSW creates and sends a request for issuing the LPCO to the appropriate </w:t>
      </w:r>
      <w:proofErr w:type="gramStart"/>
      <w:r>
        <w:rPr>
          <w:bCs/>
          <w:szCs w:val="24"/>
        </w:rPr>
        <w:t>CBRA;</w:t>
      </w:r>
      <w:proofErr w:type="gramEnd"/>
    </w:p>
    <w:p w14:paraId="1884FAA4" w14:textId="77777777" w:rsidR="005F54B1" w:rsidRDefault="005F54B1" w:rsidP="00D530D5">
      <w:pPr>
        <w:pStyle w:val="ListParagraph"/>
        <w:numPr>
          <w:ilvl w:val="6"/>
          <w:numId w:val="37"/>
        </w:numPr>
        <w:rPr>
          <w:bCs/>
          <w:szCs w:val="24"/>
        </w:rPr>
      </w:pPr>
      <w:r>
        <w:rPr>
          <w:bCs/>
          <w:szCs w:val="24"/>
        </w:rPr>
        <w:t xml:space="preserve">After receiving information about the issued LPCO from the CBRA, NSW updates the information about the LPCO and send the declaration to the customs </w:t>
      </w:r>
      <w:proofErr w:type="gramStart"/>
      <w:r>
        <w:rPr>
          <w:bCs/>
          <w:szCs w:val="24"/>
        </w:rPr>
        <w:t>system;</w:t>
      </w:r>
      <w:proofErr w:type="gramEnd"/>
    </w:p>
    <w:p w14:paraId="4090202C" w14:textId="77777777" w:rsidR="005F54B1" w:rsidRDefault="005F54B1" w:rsidP="00D530D5">
      <w:pPr>
        <w:pStyle w:val="ListParagraph"/>
        <w:numPr>
          <w:ilvl w:val="6"/>
          <w:numId w:val="37"/>
        </w:numPr>
        <w:rPr>
          <w:bCs/>
          <w:szCs w:val="24"/>
        </w:rPr>
      </w:pPr>
      <w:r>
        <w:rPr>
          <w:bCs/>
          <w:szCs w:val="24"/>
        </w:rPr>
        <w:t xml:space="preserve">NSW processes the request for usage of the LPCO that is received from the Customs Information System if the LPCO is registered in NSW or transforms and dispatches the information exchanges between Customs Information Systems and CBRA’s systems. NSW exchange information result with Customs Information </w:t>
      </w:r>
      <w:proofErr w:type="gramStart"/>
      <w:r>
        <w:rPr>
          <w:bCs/>
          <w:szCs w:val="24"/>
        </w:rPr>
        <w:t>Systems;</w:t>
      </w:r>
      <w:proofErr w:type="gramEnd"/>
    </w:p>
    <w:p w14:paraId="742F1378" w14:textId="77777777" w:rsidR="005F54B1" w:rsidRDefault="005F54B1" w:rsidP="00D530D5">
      <w:pPr>
        <w:pStyle w:val="ListParagraph"/>
        <w:numPr>
          <w:ilvl w:val="6"/>
          <w:numId w:val="37"/>
        </w:numPr>
        <w:rPr>
          <w:bCs/>
          <w:szCs w:val="24"/>
        </w:rPr>
      </w:pPr>
      <w:r>
        <w:rPr>
          <w:bCs/>
          <w:szCs w:val="24"/>
        </w:rPr>
        <w:t xml:space="preserve">NSW processes the goods clearance information received from the Customs Information Systems if the LPCO was registered in NSW, or transforms and dispatches the goods clearance information to CBRA’s </w:t>
      </w:r>
      <w:proofErr w:type="gramStart"/>
      <w:r>
        <w:rPr>
          <w:bCs/>
          <w:szCs w:val="24"/>
        </w:rPr>
        <w:t>systems;</w:t>
      </w:r>
      <w:proofErr w:type="gramEnd"/>
    </w:p>
    <w:p w14:paraId="4D0ADA7B" w14:textId="77777777" w:rsidR="005F54B1" w:rsidRDefault="005F54B1" w:rsidP="00D530D5">
      <w:pPr>
        <w:pStyle w:val="ListParagraph"/>
        <w:numPr>
          <w:ilvl w:val="6"/>
          <w:numId w:val="37"/>
        </w:numPr>
        <w:rPr>
          <w:bCs/>
          <w:szCs w:val="24"/>
        </w:rPr>
      </w:pPr>
      <w:r>
        <w:rPr>
          <w:bCs/>
          <w:szCs w:val="24"/>
        </w:rPr>
        <w:t xml:space="preserve">If the LPCO was issued in the NSW, based on the information in the request for usage of the LPCO, the goods clearance information and/or intervention information (if any), the NSW performs the quantity management and informs the Customs Administration about the Quantity Management Outcome. In case when the LPCO was issued in CBRA’s system, the NSW transforms and dispatches the Quantity Management Outcome received from the CBRA to the Customs </w:t>
      </w:r>
      <w:proofErr w:type="gramStart"/>
      <w:r>
        <w:rPr>
          <w:bCs/>
          <w:szCs w:val="24"/>
        </w:rPr>
        <w:t>Administration;</w:t>
      </w:r>
      <w:proofErr w:type="gramEnd"/>
    </w:p>
    <w:p w14:paraId="346C6C23" w14:textId="77777777" w:rsidR="005F54B1" w:rsidRDefault="005F54B1" w:rsidP="00D530D5">
      <w:pPr>
        <w:pStyle w:val="ListParagraph"/>
        <w:numPr>
          <w:ilvl w:val="6"/>
          <w:numId w:val="37"/>
        </w:numPr>
        <w:rPr>
          <w:bCs/>
          <w:szCs w:val="24"/>
        </w:rPr>
      </w:pPr>
      <w:r>
        <w:rPr>
          <w:bCs/>
          <w:szCs w:val="24"/>
        </w:rPr>
        <w:t>Customs Administrations is notified of Quantity Management outcome.</w:t>
      </w:r>
    </w:p>
    <w:p w14:paraId="7E5BCE0B" w14:textId="77777777" w:rsidR="006517A3" w:rsidRDefault="006517A3" w:rsidP="006517A3">
      <w:pPr>
        <w:spacing w:after="0"/>
        <w:rPr>
          <w:b/>
        </w:rPr>
      </w:pPr>
    </w:p>
    <w:p w14:paraId="5AD9DABF" w14:textId="204BCAFA" w:rsidR="00157AAA" w:rsidRPr="00963D1E" w:rsidRDefault="0044221C" w:rsidP="006517A3">
      <w:pPr>
        <w:spacing w:after="0"/>
      </w:pPr>
      <w:r w:rsidRPr="008E2AAD">
        <w:rPr>
          <w:b/>
        </w:rPr>
        <w:t>1.3.</w:t>
      </w:r>
      <w:r w:rsidR="006B1214">
        <w:rPr>
          <w:b/>
        </w:rPr>
        <w:t>6</w:t>
      </w:r>
      <w:r w:rsidRPr="008E2AAD">
        <w:rPr>
          <w:b/>
        </w:rPr>
        <w:t xml:space="preserve">. </w:t>
      </w:r>
      <w:r w:rsidR="006C1BE5" w:rsidRPr="008E2AAD">
        <w:rPr>
          <w:b/>
        </w:rPr>
        <w:t>Physical Application Deployment View</w:t>
      </w:r>
    </w:p>
    <w:p w14:paraId="72A9B051" w14:textId="77777777" w:rsidR="00157AAA" w:rsidRDefault="00157AAA"/>
    <w:p w14:paraId="72DE18F2" w14:textId="77777777" w:rsidR="00157AAA" w:rsidRDefault="006C1BE5">
      <w:pPr>
        <w:ind w:left="720"/>
      </w:pPr>
      <w:r>
        <w:t>The following figure illustrates the recommended physical design and how the different applications are recommended to be deployed on the different servers.</w:t>
      </w:r>
    </w:p>
    <w:p w14:paraId="4D6FF021" w14:textId="16B6A6F9" w:rsidR="00157AAA" w:rsidRDefault="00C45520">
      <w:pPr>
        <w:ind w:left="720"/>
      </w:pPr>
      <w:r w:rsidRPr="00C45520">
        <w:rPr>
          <w:noProof/>
        </w:rPr>
        <w:lastRenderedPageBreak/>
        <w:drawing>
          <wp:inline distT="0" distB="0" distL="0" distR="0" wp14:anchorId="7C661970" wp14:editId="57CCC9F5">
            <wp:extent cx="5486400" cy="63823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86400" cy="6382385"/>
                    </a:xfrm>
                    <a:prstGeom prst="rect">
                      <a:avLst/>
                    </a:prstGeom>
                  </pic:spPr>
                </pic:pic>
              </a:graphicData>
            </a:graphic>
          </wp:inline>
        </w:drawing>
      </w:r>
    </w:p>
    <w:p w14:paraId="5BC2CF6D" w14:textId="7830633D" w:rsidR="00123173" w:rsidRDefault="00C45520" w:rsidP="008E2AAD">
      <w:pPr>
        <w:ind w:left="720"/>
        <w:rPr>
          <w:i/>
        </w:rPr>
      </w:pPr>
      <w:r>
        <w:rPr>
          <w:i/>
        </w:rPr>
        <w:object w:dxaOrig="1543" w:dyaOrig="995" w14:anchorId="49AD27B3">
          <v:shape id="_x0000_i1044" type="#_x0000_t75" style="width:79pt;height:50.5pt" o:ole="">
            <v:imagedata r:id="rId135" o:title=""/>
          </v:shape>
          <o:OLEObject Type="Embed" ProgID="Package" ShapeID="_x0000_i1044" DrawAspect="Icon" ObjectID="_1777888277" r:id="rId136"/>
        </w:object>
      </w:r>
    </w:p>
    <w:p w14:paraId="5A5BF156" w14:textId="56B34A56" w:rsidR="00157AAA" w:rsidRDefault="006C1BE5">
      <w:pPr>
        <w:ind w:left="720"/>
        <w:jc w:val="center"/>
        <w:rPr>
          <w:i/>
        </w:rPr>
      </w:pPr>
      <w:r>
        <w:rPr>
          <w:i/>
        </w:rPr>
        <w:t xml:space="preserve">Figure </w:t>
      </w:r>
      <w:r w:rsidR="0045115A">
        <w:rPr>
          <w:i/>
          <w:lang w:val="mk-MK"/>
        </w:rPr>
        <w:t>26</w:t>
      </w:r>
      <w:r>
        <w:rPr>
          <w:i/>
        </w:rPr>
        <w:t>: Physical Application Deployment</w:t>
      </w:r>
    </w:p>
    <w:p w14:paraId="144657CC" w14:textId="77777777" w:rsidR="00157AAA" w:rsidRDefault="00157AAA"/>
    <w:p w14:paraId="28B6EA5B" w14:textId="735C119E" w:rsidR="00157AAA" w:rsidRPr="00963D1E" w:rsidRDefault="006C1BE5" w:rsidP="008E2AAD">
      <w:pPr>
        <w:spacing w:after="0"/>
        <w:jc w:val="left"/>
      </w:pPr>
      <w:r>
        <w:rPr>
          <w:b/>
          <w:i/>
          <w:highlight w:val="cyan"/>
        </w:rPr>
        <w:br w:type="page" w:clear="all"/>
      </w:r>
      <w:r w:rsidR="0044221C" w:rsidRPr="008E2AAD">
        <w:rPr>
          <w:b/>
        </w:rPr>
        <w:lastRenderedPageBreak/>
        <w:t>1.3.</w:t>
      </w:r>
      <w:r w:rsidR="006B1214">
        <w:rPr>
          <w:b/>
        </w:rPr>
        <w:t>7</w:t>
      </w:r>
      <w:r w:rsidR="0044221C" w:rsidRPr="008E2AAD">
        <w:rPr>
          <w:b/>
        </w:rPr>
        <w:t xml:space="preserve">. </w:t>
      </w:r>
      <w:r w:rsidRPr="008E2AAD">
        <w:rPr>
          <w:b/>
        </w:rPr>
        <w:t xml:space="preserve"> Network and Infrastructure Architecture</w:t>
      </w:r>
    </w:p>
    <w:p w14:paraId="0C496B1F" w14:textId="77777777" w:rsidR="00157AAA" w:rsidRDefault="006C1BE5">
      <w:pPr>
        <w:ind w:left="720"/>
      </w:pPr>
      <w:r>
        <w:t xml:space="preserve">The network and infrastructure architecture defines the physical environments and assets in terms of data centers, </w:t>
      </w:r>
      <w:proofErr w:type="gramStart"/>
      <w:r>
        <w:t>networks</w:t>
      </w:r>
      <w:proofErr w:type="gramEnd"/>
      <w:r>
        <w:t xml:space="preserve"> and servers. It is based on the operational requirements, existing </w:t>
      </w:r>
      <w:proofErr w:type="gramStart"/>
      <w:r>
        <w:t>environments</w:t>
      </w:r>
      <w:proofErr w:type="gramEnd"/>
      <w:r>
        <w:t xml:space="preserve"> and the security zone principles.</w:t>
      </w:r>
    </w:p>
    <w:p w14:paraId="779F315E" w14:textId="77777777" w:rsidR="00157AAA" w:rsidRPr="00963D1E" w:rsidRDefault="00157AAA">
      <w:pPr>
        <w:spacing w:after="0"/>
        <w:ind w:left="720"/>
      </w:pPr>
    </w:p>
    <w:p w14:paraId="3135CA53" w14:textId="2E1CE159" w:rsidR="00157AAA" w:rsidRPr="008E2AAD" w:rsidRDefault="0044221C">
      <w:pPr>
        <w:spacing w:after="0"/>
        <w:ind w:left="720" w:firstLine="720"/>
        <w:rPr>
          <w:b/>
        </w:rPr>
      </w:pPr>
      <w:r w:rsidRPr="008E2AAD">
        <w:rPr>
          <w:b/>
        </w:rPr>
        <w:t>1.3.</w:t>
      </w:r>
      <w:r w:rsidR="006B1214">
        <w:rPr>
          <w:b/>
        </w:rPr>
        <w:t>7</w:t>
      </w:r>
      <w:r w:rsidR="00BE718E">
        <w:rPr>
          <w:b/>
        </w:rPr>
        <w:t>.</w:t>
      </w:r>
      <w:r w:rsidRPr="008E2AAD">
        <w:rPr>
          <w:b/>
        </w:rPr>
        <w:t xml:space="preserve">1. </w:t>
      </w:r>
      <w:r w:rsidR="006C1BE5" w:rsidRPr="008E2AAD">
        <w:rPr>
          <w:b/>
        </w:rPr>
        <w:t>External Zone (the White Zone)</w:t>
      </w:r>
    </w:p>
    <w:p w14:paraId="779FB0A2" w14:textId="77777777" w:rsidR="00157AAA" w:rsidRDefault="00157AAA">
      <w:pPr>
        <w:ind w:left="720"/>
      </w:pPr>
    </w:p>
    <w:p w14:paraId="444838ED" w14:textId="77777777" w:rsidR="00157AAA" w:rsidRDefault="006C1BE5" w:rsidP="001136D3">
      <w:pPr>
        <w:spacing w:after="0"/>
        <w:ind w:left="720"/>
      </w:pPr>
      <w:r>
        <w:t>The physical design of the external zone of the NSW is based on the network infrastructure provided through ISPs. The physical communication links are used to connect the NSW, traders and CBRAs. With the requirements of high availability of these communication channels, the following must be ensured:</w:t>
      </w:r>
    </w:p>
    <w:p w14:paraId="21BCC287" w14:textId="77777777" w:rsidR="00157AAA" w:rsidRDefault="006C1BE5" w:rsidP="00D530D5">
      <w:pPr>
        <w:pStyle w:val="ListParagraph"/>
        <w:numPr>
          <w:ilvl w:val="0"/>
          <w:numId w:val="103"/>
        </w:numPr>
        <w:spacing w:after="0"/>
      </w:pPr>
      <w:r>
        <w:t xml:space="preserve">For </w:t>
      </w:r>
      <w:proofErr w:type="gramStart"/>
      <w:r>
        <w:t>the Internet</w:t>
      </w:r>
      <w:proofErr w:type="gramEnd"/>
      <w:r>
        <w:t xml:space="preserve"> connectivity, both a primary and secondary link must exist to be able to guarantee the availability requirements.</w:t>
      </w:r>
    </w:p>
    <w:p w14:paraId="617F7422" w14:textId="77777777" w:rsidR="00157AAA" w:rsidRDefault="00157AAA">
      <w:pPr>
        <w:spacing w:after="0"/>
        <w:ind w:left="720" w:firstLine="720"/>
        <w:rPr>
          <w:b/>
          <w:i/>
        </w:rPr>
      </w:pPr>
    </w:p>
    <w:p w14:paraId="719713F1" w14:textId="24FDCC0E" w:rsidR="00157AAA" w:rsidRPr="008E2AAD" w:rsidRDefault="0044221C">
      <w:pPr>
        <w:ind w:left="720" w:firstLine="720"/>
      </w:pPr>
      <w:r w:rsidRPr="008E2AAD">
        <w:rPr>
          <w:b/>
        </w:rPr>
        <w:t>1.3.</w:t>
      </w:r>
      <w:r w:rsidR="006B1214">
        <w:rPr>
          <w:b/>
        </w:rPr>
        <w:t>7</w:t>
      </w:r>
      <w:r w:rsidR="00BE718E">
        <w:rPr>
          <w:b/>
        </w:rPr>
        <w:t>.2</w:t>
      </w:r>
      <w:r w:rsidRPr="008E2AAD">
        <w:rPr>
          <w:b/>
        </w:rPr>
        <w:t xml:space="preserve">. </w:t>
      </w:r>
      <w:r w:rsidR="006C1BE5" w:rsidRPr="008E2AAD">
        <w:rPr>
          <w:b/>
        </w:rPr>
        <w:t>Presentation Zone (the Green Zone)</w:t>
      </w:r>
    </w:p>
    <w:p w14:paraId="4BE4EB5A" w14:textId="77777777" w:rsidR="00157AAA" w:rsidRDefault="006C1BE5" w:rsidP="001136D3">
      <w:pPr>
        <w:spacing w:after="0"/>
        <w:ind w:left="720"/>
      </w:pPr>
      <w:r>
        <w:t xml:space="preserve">In the presentation layer, two sub-zones are recommended here, namely the Demilitarized Zone (DMZ) and the VPN-connected staff area. The DMZ is a network zone inserted as a "neutral zone" between </w:t>
      </w:r>
      <w:proofErr w:type="gramStart"/>
      <w:r>
        <w:t>an NSW’s</w:t>
      </w:r>
      <w:proofErr w:type="gramEnd"/>
      <w:r>
        <w:t xml:space="preserve"> private network and the outside public network. It helps to prevent outside users from getting direct access to the internal servers that have several confidential data. This DMZ provides a more secure environment to the firewalls and effectively acts as a proxy server as well.</w:t>
      </w:r>
    </w:p>
    <w:p w14:paraId="2825BDA1" w14:textId="77777777" w:rsidR="00157AAA" w:rsidRDefault="006C1BE5" w:rsidP="001136D3">
      <w:pPr>
        <w:spacing w:after="0"/>
        <w:ind w:left="720"/>
      </w:pPr>
      <w:r>
        <w:t xml:space="preserve">For the VPN services, one of the following two options are recommended: </w:t>
      </w:r>
    </w:p>
    <w:p w14:paraId="4AE88C79" w14:textId="77777777" w:rsidR="00157AAA" w:rsidRDefault="006C1BE5" w:rsidP="00D530D5">
      <w:pPr>
        <w:pStyle w:val="ListParagraph"/>
        <w:numPr>
          <w:ilvl w:val="0"/>
          <w:numId w:val="80"/>
        </w:numPr>
        <w:spacing w:after="0"/>
        <w:ind w:left="1710"/>
      </w:pPr>
      <w:r>
        <w:t>For the individual VPN, the VPN services bundled inside firewalls should be deployed.</w:t>
      </w:r>
    </w:p>
    <w:p w14:paraId="5661E6A1" w14:textId="77777777" w:rsidR="00157AAA" w:rsidRDefault="006C1BE5" w:rsidP="00D530D5">
      <w:pPr>
        <w:pStyle w:val="ListParagraph"/>
        <w:numPr>
          <w:ilvl w:val="0"/>
          <w:numId w:val="80"/>
        </w:numPr>
        <w:spacing w:after="0"/>
        <w:ind w:left="1710"/>
      </w:pPr>
      <w:r>
        <w:t>For the site-to-site VPN, separate VPN equipment to be plugged into the presentation zone switches should be established.</w:t>
      </w:r>
    </w:p>
    <w:p w14:paraId="04D9A52E" w14:textId="77777777" w:rsidR="00157AAA" w:rsidRDefault="006C1BE5" w:rsidP="001136D3">
      <w:pPr>
        <w:spacing w:after="0"/>
        <w:ind w:left="720"/>
      </w:pPr>
      <w:r>
        <w:t xml:space="preserve">The web portal servers running in the presentation zone </w:t>
      </w:r>
      <w:proofErr w:type="gramStart"/>
      <w:r>
        <w:t>needs</w:t>
      </w:r>
      <w:proofErr w:type="gramEnd"/>
      <w:r>
        <w:t xml:space="preserve"> to be based on two servers running in load-balanced configuration. </w:t>
      </w:r>
    </w:p>
    <w:p w14:paraId="79C2599E" w14:textId="77777777" w:rsidR="00157AAA" w:rsidRDefault="00157AAA">
      <w:pPr>
        <w:spacing w:after="0"/>
        <w:ind w:left="720"/>
        <w:rPr>
          <w:b/>
          <w:i/>
        </w:rPr>
      </w:pPr>
    </w:p>
    <w:p w14:paraId="2FF4FDCF" w14:textId="2D333A21" w:rsidR="00157AAA" w:rsidRPr="00963D1E" w:rsidRDefault="0044221C" w:rsidP="008E2AAD">
      <w:pPr>
        <w:spacing w:after="0"/>
        <w:ind w:left="720" w:firstLine="720"/>
      </w:pPr>
      <w:r w:rsidRPr="008E2AAD">
        <w:rPr>
          <w:b/>
        </w:rPr>
        <w:t>1.3.</w:t>
      </w:r>
      <w:r w:rsidR="006B1214">
        <w:rPr>
          <w:b/>
        </w:rPr>
        <w:t>7</w:t>
      </w:r>
      <w:r w:rsidR="00BE718E">
        <w:rPr>
          <w:b/>
        </w:rPr>
        <w:t>.3</w:t>
      </w:r>
      <w:r w:rsidRPr="008E2AAD">
        <w:rPr>
          <w:b/>
        </w:rPr>
        <w:t xml:space="preserve">. </w:t>
      </w:r>
      <w:r w:rsidR="006C1BE5" w:rsidRPr="008E2AAD">
        <w:rPr>
          <w:b/>
        </w:rPr>
        <w:t>Application Zone (the Yellow Zone)</w:t>
      </w:r>
    </w:p>
    <w:p w14:paraId="64B9A7F8" w14:textId="77777777" w:rsidR="00157AAA" w:rsidRDefault="00157AAA">
      <w:pPr>
        <w:ind w:left="720"/>
      </w:pPr>
    </w:p>
    <w:p w14:paraId="416DB0A8" w14:textId="77777777" w:rsidR="00157AAA" w:rsidRDefault="006C1BE5" w:rsidP="001136D3">
      <w:pPr>
        <w:spacing w:after="0"/>
        <w:ind w:left="720"/>
      </w:pPr>
      <w:r>
        <w:t>The application zone hosts the application servers and database management systems (DBMS) in the NSW. Servers in this zone must not be connected directly from the public or from the external zone. For optimal DBMS functions, high-speed storage devices must be used to guarantee performance requirements.</w:t>
      </w:r>
    </w:p>
    <w:p w14:paraId="281EF586" w14:textId="77777777" w:rsidR="00157AAA" w:rsidRDefault="006C1BE5" w:rsidP="001136D3">
      <w:pPr>
        <w:spacing w:after="0"/>
        <w:ind w:left="720"/>
      </w:pPr>
      <w:r>
        <w:t>The application servers running in the application zone shall be based on four servers running in load-balanced configuration.</w:t>
      </w:r>
    </w:p>
    <w:p w14:paraId="6A60BC06" w14:textId="77777777" w:rsidR="00157AAA" w:rsidRDefault="00157AAA">
      <w:pPr>
        <w:spacing w:after="0"/>
        <w:ind w:left="720"/>
      </w:pPr>
    </w:p>
    <w:p w14:paraId="1C1A2ECA" w14:textId="4466EAB3" w:rsidR="00157AAA" w:rsidRPr="00963D1E" w:rsidRDefault="00BE718E">
      <w:pPr>
        <w:spacing w:after="0"/>
        <w:ind w:left="720" w:firstLine="720"/>
        <w:rPr>
          <w:lang w:val="fr-BE"/>
        </w:rPr>
      </w:pPr>
      <w:r>
        <w:rPr>
          <w:b/>
          <w:lang w:val="fr-BE"/>
        </w:rPr>
        <w:t>1.3.</w:t>
      </w:r>
      <w:r w:rsidR="006B1214">
        <w:rPr>
          <w:b/>
          <w:lang w:val="fr-BE"/>
        </w:rPr>
        <w:t>7</w:t>
      </w:r>
      <w:r>
        <w:rPr>
          <w:b/>
          <w:lang w:val="fr-BE"/>
        </w:rPr>
        <w:t>.4</w:t>
      </w:r>
      <w:r w:rsidR="0044221C" w:rsidRPr="008E2AAD">
        <w:rPr>
          <w:b/>
          <w:lang w:val="fr-BE"/>
        </w:rPr>
        <w:t xml:space="preserve">. </w:t>
      </w:r>
      <w:r w:rsidR="006C1BE5" w:rsidRPr="008E2AAD">
        <w:rPr>
          <w:b/>
          <w:lang w:val="fr-BE"/>
        </w:rPr>
        <w:t>Sensitive Zone (the Orange Zone)</w:t>
      </w:r>
    </w:p>
    <w:p w14:paraId="3381B17B" w14:textId="77777777" w:rsidR="00157AAA" w:rsidRDefault="00157AAA">
      <w:pPr>
        <w:spacing w:after="0"/>
        <w:ind w:left="720"/>
        <w:rPr>
          <w:lang w:val="fr-BE"/>
        </w:rPr>
      </w:pPr>
    </w:p>
    <w:p w14:paraId="11829B12" w14:textId="3B46A07B" w:rsidR="00157AAA" w:rsidRDefault="006C1BE5" w:rsidP="001136D3">
      <w:pPr>
        <w:spacing w:after="0"/>
        <w:ind w:left="720"/>
      </w:pPr>
      <w:r>
        <w:t xml:space="preserve">The most obvious characteristic of this zone is that data stored inside </w:t>
      </w:r>
      <w:proofErr w:type="gramStart"/>
      <w:r>
        <w:t>are</w:t>
      </w:r>
      <w:proofErr w:type="gramEnd"/>
      <w:r>
        <w:t xml:space="preserve"> sensitive and must be well protected. All services in this zone need secure protocols (such as HTTPS (Hypertext Transfer Protocol Secure), Secure Shell (SSH), etc.). </w:t>
      </w:r>
      <w:r w:rsidR="00067A91">
        <w:t xml:space="preserve">Sensitive </w:t>
      </w:r>
      <w:r>
        <w:t xml:space="preserve">data must be stored in some encrypted forms. Encrypted file systems will ease the </w:t>
      </w:r>
      <w:r>
        <w:lastRenderedPageBreak/>
        <w:t xml:space="preserve">implementation process, and the guideline as recommended in the “acceptable encryption policy” section shall be enforced. The most important functions of this zone are syslog service and DBMS/LDAP services, handling sensitive data, such as audit/syslog and user authentication. All storages in this zone need to adopt </w:t>
      </w:r>
      <w:proofErr w:type="gramStart"/>
      <w:r>
        <w:t>the encrypted</w:t>
      </w:r>
      <w:proofErr w:type="gramEnd"/>
      <w:r>
        <w:t xml:space="preserve"> technology or other secure data encryption.</w:t>
      </w:r>
    </w:p>
    <w:p w14:paraId="5A83BDC8" w14:textId="77777777" w:rsidR="00157AAA" w:rsidRDefault="006C1BE5">
      <w:pPr>
        <w:spacing w:after="0"/>
        <w:ind w:left="720"/>
      </w:pPr>
      <w:r>
        <w:t xml:space="preserve">The syslog/database servers and user repository/LDAP servers running in the sensitive zone </w:t>
      </w:r>
      <w:proofErr w:type="gramStart"/>
      <w:r>
        <w:t>needs</w:t>
      </w:r>
      <w:proofErr w:type="gramEnd"/>
      <w:r>
        <w:t xml:space="preserve"> to be based on two servers running in a load-balanced configuration.</w:t>
      </w:r>
    </w:p>
    <w:p w14:paraId="0B147CFF" w14:textId="77777777" w:rsidR="00157AAA" w:rsidRDefault="00157AAA">
      <w:pPr>
        <w:spacing w:after="0"/>
        <w:ind w:left="720"/>
      </w:pPr>
    </w:p>
    <w:p w14:paraId="2C0C0639" w14:textId="1F876527" w:rsidR="00157AAA" w:rsidRPr="00963D1E" w:rsidRDefault="00BE718E">
      <w:pPr>
        <w:ind w:left="720" w:firstLine="720"/>
      </w:pPr>
      <w:r>
        <w:rPr>
          <w:b/>
        </w:rPr>
        <w:t>1.3.</w:t>
      </w:r>
      <w:r w:rsidR="006B1214">
        <w:rPr>
          <w:b/>
        </w:rPr>
        <w:t>7</w:t>
      </w:r>
      <w:r w:rsidR="0044221C" w:rsidRPr="008E2AAD">
        <w:rPr>
          <w:b/>
        </w:rPr>
        <w:t>.</w:t>
      </w:r>
      <w:r>
        <w:rPr>
          <w:b/>
        </w:rPr>
        <w:t>5.</w:t>
      </w:r>
      <w:r w:rsidR="0044221C" w:rsidRPr="008E2AAD">
        <w:rPr>
          <w:b/>
        </w:rPr>
        <w:t xml:space="preserve"> </w:t>
      </w:r>
      <w:r w:rsidR="006C1BE5" w:rsidRPr="008E2AAD">
        <w:rPr>
          <w:b/>
        </w:rPr>
        <w:t>Non-Production Servers</w:t>
      </w:r>
    </w:p>
    <w:p w14:paraId="64578C66" w14:textId="77777777" w:rsidR="00157AAA" w:rsidRDefault="006C1BE5" w:rsidP="001136D3">
      <w:pPr>
        <w:spacing w:after="0"/>
        <w:ind w:left="720"/>
      </w:pPr>
      <w:r>
        <w:t>The non-production servers include the development and testing environment, as well as connection to the Customs data warehouse, BI, and analytics solution.</w:t>
      </w:r>
    </w:p>
    <w:p w14:paraId="0DB22124" w14:textId="16507CE4" w:rsidR="00157AAA" w:rsidRDefault="006C1BE5" w:rsidP="001136D3">
      <w:pPr>
        <w:spacing w:after="0"/>
        <w:ind w:left="720"/>
      </w:pPr>
      <w:r>
        <w:t xml:space="preserve">The development and testing environment can be hosted on two virtual servers on </w:t>
      </w:r>
      <w:r w:rsidR="00067A91">
        <w:t>separate</w:t>
      </w:r>
      <w:r>
        <w:t xml:space="preserve"> physical </w:t>
      </w:r>
      <w:proofErr w:type="gramStart"/>
      <w:r>
        <w:t>server</w:t>
      </w:r>
      <w:proofErr w:type="gramEnd"/>
      <w:r>
        <w:t xml:space="preserve">. </w:t>
      </w:r>
    </w:p>
    <w:p w14:paraId="28D3FA0A" w14:textId="4D6F4CFE" w:rsidR="00A306DC" w:rsidRDefault="00A306DC" w:rsidP="001136D3">
      <w:pPr>
        <w:spacing w:after="0"/>
        <w:ind w:left="720"/>
      </w:pPr>
    </w:p>
    <w:p w14:paraId="5D28B37C" w14:textId="34B1FC4B" w:rsidR="00A306DC" w:rsidRPr="00594FFF" w:rsidRDefault="00A306DC" w:rsidP="00A306DC">
      <w:pPr>
        <w:rPr>
          <w:b/>
          <w:szCs w:val="24"/>
        </w:rPr>
      </w:pPr>
      <w:r>
        <w:tab/>
      </w:r>
      <w:r>
        <w:tab/>
      </w:r>
      <w:r w:rsidRPr="00594FFF">
        <w:rPr>
          <w:b/>
        </w:rPr>
        <w:t>1.3.7.6.</w:t>
      </w:r>
      <w:r w:rsidRPr="00594FFF">
        <w:t xml:space="preserve"> </w:t>
      </w:r>
      <w:r w:rsidRPr="00594FFF">
        <w:rPr>
          <w:b/>
          <w:szCs w:val="24"/>
        </w:rPr>
        <w:t>Cybersecurity Requirements</w:t>
      </w:r>
    </w:p>
    <w:p w14:paraId="41E98E34" w14:textId="52304003" w:rsidR="00A306DC" w:rsidRPr="00594FFF" w:rsidRDefault="00A306DC" w:rsidP="001136D3">
      <w:pPr>
        <w:spacing w:after="0"/>
        <w:ind w:left="720"/>
      </w:pPr>
    </w:p>
    <w:p w14:paraId="575029C9" w14:textId="77777777" w:rsidR="00A306DC" w:rsidRPr="00594FFF" w:rsidRDefault="00A306DC" w:rsidP="00A306DC">
      <w:pPr>
        <w:ind w:left="720"/>
      </w:pPr>
      <w:r w:rsidRPr="00594FFF">
        <w:t>Implementing robust cybersecurity requirements and policies for NSW is crucial to safeguard sensitive data, ensure the integrity of trade processes, and protect against cyber threats. Below are presented cybersecurity requirements and policies for the NSW System:</w:t>
      </w:r>
    </w:p>
    <w:p w14:paraId="395FD5B2" w14:textId="77777777" w:rsidR="00A306DC" w:rsidRPr="00594FFF" w:rsidRDefault="00A306DC" w:rsidP="00A306DC">
      <w:pPr>
        <w:ind w:left="720"/>
      </w:pPr>
      <w:r w:rsidRPr="00594FFF">
        <w:t> </w:t>
      </w:r>
    </w:p>
    <w:p w14:paraId="2C95D7B2" w14:textId="77777777" w:rsidR="00A306DC" w:rsidRPr="00594FFF" w:rsidRDefault="00A306DC" w:rsidP="00D530D5">
      <w:pPr>
        <w:pStyle w:val="ListParagraph"/>
        <w:numPr>
          <w:ilvl w:val="0"/>
          <w:numId w:val="78"/>
        </w:numPr>
        <w:ind w:left="1620" w:hanging="450"/>
      </w:pPr>
      <w:r w:rsidRPr="00594FFF">
        <w:rPr>
          <w:b/>
          <w:bCs/>
        </w:rPr>
        <w:t>Access Controls</w:t>
      </w:r>
      <w:r w:rsidRPr="00594FFF">
        <w:t>: Implement strict access controls to restrict system access based on roles and responsibilities, including multi-factor authentication to enhance user authentication processes.</w:t>
      </w:r>
    </w:p>
    <w:p w14:paraId="0B808CD4" w14:textId="77777777" w:rsidR="00A306DC" w:rsidRPr="00594FFF" w:rsidRDefault="00A306DC" w:rsidP="00D530D5">
      <w:pPr>
        <w:pStyle w:val="ListParagraph"/>
        <w:numPr>
          <w:ilvl w:val="0"/>
          <w:numId w:val="78"/>
        </w:numPr>
        <w:ind w:left="1620" w:hanging="450"/>
      </w:pPr>
      <w:r w:rsidRPr="00594FFF">
        <w:rPr>
          <w:b/>
          <w:bCs/>
        </w:rPr>
        <w:t>Data Encryption</w:t>
      </w:r>
      <w:r w:rsidRPr="00594FFF">
        <w:t>: Encrypt sensitive data during transmission and storage to protect against unauthorized access with the use of strong encryption algorithms and regularly updating encryption protocols.</w:t>
      </w:r>
    </w:p>
    <w:p w14:paraId="5DA7473A" w14:textId="77777777" w:rsidR="00A306DC" w:rsidRPr="00594FFF" w:rsidRDefault="00A306DC" w:rsidP="00D530D5">
      <w:pPr>
        <w:pStyle w:val="ListParagraph"/>
        <w:numPr>
          <w:ilvl w:val="0"/>
          <w:numId w:val="78"/>
        </w:numPr>
        <w:ind w:left="1620" w:hanging="450"/>
      </w:pPr>
      <w:r w:rsidRPr="00594FFF">
        <w:rPr>
          <w:b/>
          <w:bCs/>
        </w:rPr>
        <w:t>Security Awareness Training</w:t>
      </w:r>
      <w:r w:rsidRPr="00594FFF">
        <w:t>: Provide cybersecurity training to NSW personnel to enhance awareness of potential threats and best practices, including specific training on social engineering, phishing, and other common attack vectors.</w:t>
      </w:r>
    </w:p>
    <w:p w14:paraId="75646E55" w14:textId="77777777" w:rsidR="00A306DC" w:rsidRPr="00594FFF" w:rsidRDefault="00A306DC" w:rsidP="00D530D5">
      <w:pPr>
        <w:pStyle w:val="ListParagraph"/>
        <w:numPr>
          <w:ilvl w:val="0"/>
          <w:numId w:val="78"/>
        </w:numPr>
        <w:ind w:left="1620" w:hanging="450"/>
      </w:pPr>
      <w:r w:rsidRPr="00594FFF">
        <w:rPr>
          <w:b/>
          <w:bCs/>
        </w:rPr>
        <w:t>Network Security</w:t>
      </w:r>
      <w:r w:rsidRPr="00594FFF">
        <w:t>: Implement firewalls, intrusion detection and prevention systems, and other network security measures. Update and patch software and systems to address known vulnerabilities.</w:t>
      </w:r>
    </w:p>
    <w:p w14:paraId="28E9B328" w14:textId="77777777" w:rsidR="00A306DC" w:rsidRPr="00594FFF" w:rsidRDefault="00A306DC" w:rsidP="00D530D5">
      <w:pPr>
        <w:pStyle w:val="ListParagraph"/>
        <w:numPr>
          <w:ilvl w:val="0"/>
          <w:numId w:val="78"/>
        </w:numPr>
        <w:ind w:left="1620" w:hanging="450"/>
      </w:pPr>
      <w:r w:rsidRPr="00594FFF">
        <w:rPr>
          <w:b/>
          <w:bCs/>
        </w:rPr>
        <w:t>Secure Software Development</w:t>
      </w:r>
      <w:r w:rsidRPr="00594FFF">
        <w:t>: Adhere to secure coding practices in the development and maintenance of NSW software. Conduct security assessments and code reviews.</w:t>
      </w:r>
    </w:p>
    <w:p w14:paraId="288ADE2C" w14:textId="77777777" w:rsidR="00A306DC" w:rsidRPr="00594FFF" w:rsidRDefault="00A306DC" w:rsidP="00D530D5">
      <w:pPr>
        <w:pStyle w:val="ListParagraph"/>
        <w:numPr>
          <w:ilvl w:val="0"/>
          <w:numId w:val="78"/>
        </w:numPr>
        <w:ind w:left="1620" w:hanging="450"/>
      </w:pPr>
      <w:r w:rsidRPr="00594FFF">
        <w:rPr>
          <w:b/>
          <w:bCs/>
        </w:rPr>
        <w:t>Vendor Security</w:t>
      </w:r>
      <w:r w:rsidRPr="00594FFF">
        <w:t>: Assess the cybersecurity practices of third-party vendors providing services or software for the NSW. Include cybersecurity requirements in vendor contracts and agreements.</w:t>
      </w:r>
    </w:p>
    <w:p w14:paraId="727A1340" w14:textId="77777777" w:rsidR="00A306DC" w:rsidRPr="00594FFF" w:rsidRDefault="00A306DC" w:rsidP="00D530D5">
      <w:pPr>
        <w:pStyle w:val="ListParagraph"/>
        <w:numPr>
          <w:ilvl w:val="0"/>
          <w:numId w:val="78"/>
        </w:numPr>
        <w:ind w:left="1620" w:hanging="450"/>
      </w:pPr>
      <w:r w:rsidRPr="00594FFF">
        <w:rPr>
          <w:b/>
          <w:bCs/>
        </w:rPr>
        <w:t>Documented Policies and Procedures</w:t>
      </w:r>
      <w:r w:rsidRPr="00594FFF">
        <w:t xml:space="preserve">: Develop and maintain comprehensive cybersecurity policies and procedures for the NSW. </w:t>
      </w:r>
    </w:p>
    <w:p w14:paraId="50417336" w14:textId="77777777" w:rsidR="00A306DC" w:rsidRPr="00594FFF" w:rsidRDefault="00A306DC" w:rsidP="00A306DC"/>
    <w:p w14:paraId="79EDCD48" w14:textId="77777777" w:rsidR="00A306DC" w:rsidRPr="00594FFF" w:rsidRDefault="00A306DC" w:rsidP="00A306DC"/>
    <w:p w14:paraId="32E94E39" w14:textId="77777777" w:rsidR="00A306DC" w:rsidRPr="00594FFF" w:rsidRDefault="00A306DC" w:rsidP="00A306DC">
      <w:pPr>
        <w:rPr>
          <w:bCs/>
        </w:rPr>
      </w:pPr>
      <w:r w:rsidRPr="00594FFF">
        <w:rPr>
          <w:bCs/>
        </w:rPr>
        <w:t xml:space="preserve">Solution will utilize current Customs perimeter security: “Cisco Firepower 2110 NGFW” and current SIEM and security solutions “IBM Guardium”. </w:t>
      </w:r>
    </w:p>
    <w:p w14:paraId="3B6ABF58" w14:textId="7BAFA730" w:rsidR="00A306DC" w:rsidRPr="00A306DC" w:rsidRDefault="00A306DC" w:rsidP="00A306DC">
      <w:pPr>
        <w:rPr>
          <w:bCs/>
        </w:rPr>
      </w:pPr>
      <w:r w:rsidRPr="00594FFF">
        <w:rPr>
          <w:bCs/>
        </w:rPr>
        <w:t>Also, for backup and DR current backup software -VEEAM will be used (upgraded with additional licenses for single-window workloads). New DR will be built as place for PASIVE (replicated PRIMARY and powered off) workloads (virtual machines).</w:t>
      </w:r>
    </w:p>
    <w:p w14:paraId="071C6738" w14:textId="4DB7190D" w:rsidR="00157AAA" w:rsidRDefault="00157AAA">
      <w:pPr>
        <w:spacing w:after="0"/>
        <w:jc w:val="left"/>
        <w:rPr>
          <w:b/>
          <w:i/>
        </w:rPr>
      </w:pPr>
    </w:p>
    <w:p w14:paraId="35E85A51" w14:textId="77777777" w:rsidR="00157AAA" w:rsidRDefault="00157AAA"/>
    <w:p w14:paraId="2DDD9C29" w14:textId="46E9EF01" w:rsidR="00157AAA" w:rsidRDefault="006C1BE5">
      <w:pPr>
        <w:rPr>
          <w:b/>
          <w:i/>
        </w:rPr>
      </w:pPr>
      <w:r>
        <w:rPr>
          <w:b/>
          <w:i/>
        </w:rPr>
        <w:t>1.3.</w:t>
      </w:r>
      <w:r w:rsidR="006B1214">
        <w:rPr>
          <w:b/>
          <w:i/>
        </w:rPr>
        <w:t>8</w:t>
      </w:r>
      <w:r>
        <w:rPr>
          <w:b/>
          <w:i/>
        </w:rPr>
        <w:t>. Hardware Architecture</w:t>
      </w:r>
    </w:p>
    <w:p w14:paraId="29BC965B" w14:textId="1782DD18" w:rsidR="00157AAA" w:rsidRPr="008E2AAD" w:rsidRDefault="0052179F" w:rsidP="008E2AAD">
      <w:pPr>
        <w:ind w:firstLine="720"/>
        <w:rPr>
          <w:b/>
        </w:rPr>
      </w:pPr>
      <w:r w:rsidRPr="001136D3">
        <w:rPr>
          <w:b/>
        </w:rPr>
        <w:t>1</w:t>
      </w:r>
      <w:r w:rsidR="00BE718E" w:rsidRPr="001136D3">
        <w:rPr>
          <w:b/>
        </w:rPr>
        <w:t>.3.</w:t>
      </w:r>
      <w:r w:rsidR="006B1214">
        <w:rPr>
          <w:b/>
        </w:rPr>
        <w:t>8</w:t>
      </w:r>
      <w:r w:rsidR="00BE718E" w:rsidRPr="001136D3">
        <w:rPr>
          <w:b/>
        </w:rPr>
        <w:t>.1</w:t>
      </w:r>
      <w:r w:rsidRPr="001136D3">
        <w:rPr>
          <w:b/>
        </w:rPr>
        <w:t>. Current Hardware architecture in the Customs Administration</w:t>
      </w:r>
    </w:p>
    <w:p w14:paraId="198CB171" w14:textId="4C1E459D" w:rsidR="00E61A9C" w:rsidRPr="001136D3" w:rsidRDefault="00E61A9C" w:rsidP="001136D3">
      <w:pPr>
        <w:spacing w:after="0"/>
        <w:rPr>
          <w:bCs/>
          <w:szCs w:val="24"/>
        </w:rPr>
      </w:pPr>
      <w:r>
        <w:rPr>
          <w:bCs/>
          <w:szCs w:val="24"/>
        </w:rPr>
        <w:t xml:space="preserve">The </w:t>
      </w:r>
      <w:r w:rsidRPr="001136D3">
        <w:rPr>
          <w:bCs/>
          <w:szCs w:val="24"/>
        </w:rPr>
        <w:t>Customs Administration ICT infrastructure includes a Central Office with Primary datacenter, a Disaster Recovery datacenter and 43 Customs offices on separate locations communicating using IP-IP VPN tunnels and EIGRP Routing protocol configured on all 44 Cisco ISR4221/K9, ISR4431/K9 and ASR1001X Routers</w:t>
      </w:r>
    </w:p>
    <w:p w14:paraId="5B117D50" w14:textId="77777777" w:rsidR="00E61A9C" w:rsidRPr="001136D3" w:rsidRDefault="00E61A9C" w:rsidP="001136D3">
      <w:pPr>
        <w:spacing w:after="0"/>
        <w:rPr>
          <w:szCs w:val="24"/>
        </w:rPr>
      </w:pPr>
      <w:r w:rsidRPr="001136D3">
        <w:rPr>
          <w:szCs w:val="24"/>
        </w:rPr>
        <w:t>The equipment, hardware and software used in existing Datacenters are:</w:t>
      </w:r>
    </w:p>
    <w:p w14:paraId="525EB72C" w14:textId="77777777"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 xml:space="preserve">Servers </w:t>
      </w:r>
    </w:p>
    <w:p w14:paraId="16A5F511" w14:textId="574A06C0" w:rsidR="00E61A9C" w:rsidRPr="001136D3" w:rsidRDefault="00E61A9C" w:rsidP="001136D3">
      <w:pPr>
        <w:suppressAutoHyphens/>
        <w:autoSpaceDN w:val="0"/>
        <w:spacing w:after="0"/>
        <w:textAlignment w:val="baseline"/>
        <w:rPr>
          <w:szCs w:val="24"/>
        </w:rPr>
      </w:pPr>
      <w:r w:rsidRPr="001136D3">
        <w:rPr>
          <w:szCs w:val="24"/>
        </w:rPr>
        <w:t xml:space="preserve">IBM Power System S922 - for </w:t>
      </w:r>
      <w:r w:rsidRPr="00E61A9C">
        <w:rPr>
          <w:szCs w:val="24"/>
        </w:rPr>
        <w:t>virtualization</w:t>
      </w:r>
      <w:r w:rsidRPr="001136D3">
        <w:rPr>
          <w:szCs w:val="24"/>
        </w:rPr>
        <w:t xml:space="preserve"> of Database servers and a backup server</w:t>
      </w:r>
      <w:r>
        <w:rPr>
          <w:szCs w:val="24"/>
        </w:rPr>
        <w:t>.</w:t>
      </w:r>
    </w:p>
    <w:p w14:paraId="77B75E18" w14:textId="1D883A58" w:rsidR="00E61A9C" w:rsidRPr="001136D3" w:rsidRDefault="00E61A9C" w:rsidP="001136D3">
      <w:pPr>
        <w:suppressAutoHyphens/>
        <w:autoSpaceDN w:val="0"/>
        <w:spacing w:after="0"/>
        <w:textAlignment w:val="baseline"/>
        <w:rPr>
          <w:szCs w:val="24"/>
        </w:rPr>
      </w:pPr>
      <w:r w:rsidRPr="001136D3">
        <w:rPr>
          <w:szCs w:val="24"/>
        </w:rPr>
        <w:t>Fujitsu PY RX2540 M4 – for virtualization of App and Web servers</w:t>
      </w:r>
      <w:r>
        <w:rPr>
          <w:szCs w:val="24"/>
        </w:rPr>
        <w:t>.</w:t>
      </w:r>
      <w:r w:rsidRPr="001136D3">
        <w:rPr>
          <w:szCs w:val="24"/>
        </w:rPr>
        <w:t xml:space="preserve">  </w:t>
      </w:r>
    </w:p>
    <w:p w14:paraId="50A1C584" w14:textId="005BC507" w:rsidR="00E61A9C" w:rsidRPr="001136D3" w:rsidRDefault="00E61A9C" w:rsidP="001136D3">
      <w:pPr>
        <w:suppressAutoHyphens/>
        <w:autoSpaceDN w:val="0"/>
        <w:spacing w:after="0"/>
        <w:textAlignment w:val="baseline"/>
        <w:rPr>
          <w:szCs w:val="24"/>
        </w:rPr>
      </w:pPr>
      <w:r w:rsidRPr="001136D3">
        <w:rPr>
          <w:szCs w:val="24"/>
        </w:rPr>
        <w:t>Dell PowerEdge R640 – for virtualization of App and Web servers</w:t>
      </w:r>
      <w:r>
        <w:rPr>
          <w:szCs w:val="24"/>
        </w:rPr>
        <w:t>.</w:t>
      </w:r>
      <w:r w:rsidRPr="001136D3">
        <w:rPr>
          <w:szCs w:val="24"/>
        </w:rPr>
        <w:t xml:space="preserve">  </w:t>
      </w:r>
    </w:p>
    <w:p w14:paraId="0512F66C" w14:textId="77777777"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Storages</w:t>
      </w:r>
    </w:p>
    <w:p w14:paraId="438451F2"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NetApp AFF A220</w:t>
      </w:r>
    </w:p>
    <w:p w14:paraId="46487A0B"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NetApp FAS2750</w:t>
      </w:r>
    </w:p>
    <w:p w14:paraId="657EDC9F" w14:textId="77777777" w:rsidR="00E61A9C" w:rsidRPr="001136D3" w:rsidRDefault="00E61A9C" w:rsidP="001136D3">
      <w:pPr>
        <w:suppressAutoHyphens/>
        <w:autoSpaceDN w:val="0"/>
        <w:spacing w:after="0"/>
        <w:textAlignment w:val="baseline"/>
        <w:rPr>
          <w:szCs w:val="24"/>
        </w:rPr>
      </w:pPr>
      <w:r w:rsidRPr="001136D3">
        <w:rPr>
          <w:szCs w:val="24"/>
        </w:rPr>
        <w:t xml:space="preserve">IBM </w:t>
      </w:r>
      <w:proofErr w:type="spellStart"/>
      <w:r w:rsidRPr="001136D3">
        <w:rPr>
          <w:szCs w:val="24"/>
        </w:rPr>
        <w:t>FlashSystem</w:t>
      </w:r>
      <w:proofErr w:type="spellEnd"/>
      <w:r w:rsidRPr="001136D3">
        <w:rPr>
          <w:szCs w:val="24"/>
        </w:rPr>
        <w:t xml:space="preserve"> 5100</w:t>
      </w:r>
    </w:p>
    <w:p w14:paraId="4EE2BDCA" w14:textId="77777777" w:rsidR="00E61A9C" w:rsidRPr="001136D3" w:rsidRDefault="00E61A9C" w:rsidP="001136D3">
      <w:pPr>
        <w:suppressAutoHyphens/>
        <w:autoSpaceDN w:val="0"/>
        <w:spacing w:after="0"/>
        <w:textAlignment w:val="baseline"/>
        <w:rPr>
          <w:szCs w:val="24"/>
        </w:rPr>
      </w:pPr>
      <w:r w:rsidRPr="001136D3">
        <w:rPr>
          <w:szCs w:val="24"/>
        </w:rPr>
        <w:t xml:space="preserve">IBM </w:t>
      </w:r>
      <w:proofErr w:type="spellStart"/>
      <w:r w:rsidRPr="001136D3">
        <w:rPr>
          <w:szCs w:val="24"/>
        </w:rPr>
        <w:t>FlashSystem</w:t>
      </w:r>
      <w:proofErr w:type="spellEnd"/>
      <w:r w:rsidRPr="001136D3">
        <w:rPr>
          <w:szCs w:val="24"/>
        </w:rPr>
        <w:t xml:space="preserve"> 5030</w:t>
      </w:r>
    </w:p>
    <w:p w14:paraId="3BE5A1FB" w14:textId="77777777"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Networking</w:t>
      </w:r>
    </w:p>
    <w:p w14:paraId="7383DD8B" w14:textId="77777777" w:rsidR="00E61A9C" w:rsidRPr="001136D3" w:rsidRDefault="00E61A9C" w:rsidP="001136D3">
      <w:pPr>
        <w:suppressAutoHyphens/>
        <w:autoSpaceDN w:val="0"/>
        <w:spacing w:after="0"/>
        <w:textAlignment w:val="baseline"/>
        <w:rPr>
          <w:szCs w:val="24"/>
        </w:rPr>
      </w:pPr>
      <w:r w:rsidRPr="001136D3">
        <w:rPr>
          <w:szCs w:val="24"/>
        </w:rPr>
        <w:t xml:space="preserve">Cisco Firepower 2110 NGFW </w:t>
      </w:r>
    </w:p>
    <w:p w14:paraId="24D702A7" w14:textId="77777777" w:rsidR="00E61A9C" w:rsidRPr="001136D3" w:rsidRDefault="00E61A9C" w:rsidP="001136D3">
      <w:pPr>
        <w:suppressAutoHyphens/>
        <w:autoSpaceDN w:val="0"/>
        <w:spacing w:after="0"/>
        <w:textAlignment w:val="baseline"/>
        <w:rPr>
          <w:szCs w:val="24"/>
        </w:rPr>
      </w:pPr>
      <w:r w:rsidRPr="001136D3">
        <w:rPr>
          <w:szCs w:val="24"/>
        </w:rPr>
        <w:t>Cisco Catalyst 9500 48-port – core switches</w:t>
      </w:r>
    </w:p>
    <w:p w14:paraId="678D7C89" w14:textId="77777777" w:rsidR="00E61A9C" w:rsidRPr="001136D3" w:rsidRDefault="00E61A9C" w:rsidP="001136D3">
      <w:pPr>
        <w:suppressAutoHyphens/>
        <w:autoSpaceDN w:val="0"/>
        <w:spacing w:after="0"/>
        <w:textAlignment w:val="baseline"/>
        <w:rPr>
          <w:szCs w:val="24"/>
        </w:rPr>
      </w:pPr>
      <w:r w:rsidRPr="001136D3">
        <w:rPr>
          <w:szCs w:val="24"/>
        </w:rPr>
        <w:t>Cisco Catalyst 9300 24-port – top-of the rack switches</w:t>
      </w:r>
    </w:p>
    <w:p w14:paraId="39EF72A1" w14:textId="77777777" w:rsidR="00E61A9C" w:rsidRPr="001136D3" w:rsidRDefault="00E61A9C" w:rsidP="001136D3">
      <w:pPr>
        <w:suppressAutoHyphens/>
        <w:autoSpaceDN w:val="0"/>
        <w:spacing w:after="0"/>
        <w:textAlignment w:val="baseline"/>
        <w:rPr>
          <w:szCs w:val="24"/>
        </w:rPr>
      </w:pPr>
      <w:r w:rsidRPr="001136D3">
        <w:rPr>
          <w:szCs w:val="24"/>
        </w:rPr>
        <w:t>Cisco MDS 9148 – FC switch</w:t>
      </w:r>
    </w:p>
    <w:p w14:paraId="320D62AE" w14:textId="77777777" w:rsidR="00E61A9C" w:rsidRPr="001136D3" w:rsidRDefault="00E61A9C" w:rsidP="001136D3">
      <w:pPr>
        <w:suppressAutoHyphens/>
        <w:autoSpaceDN w:val="0"/>
        <w:spacing w:after="0"/>
        <w:textAlignment w:val="baseline"/>
        <w:rPr>
          <w:bCs/>
          <w:szCs w:val="24"/>
        </w:rPr>
      </w:pPr>
      <w:r w:rsidRPr="001136D3">
        <w:rPr>
          <w:bCs/>
          <w:szCs w:val="24"/>
        </w:rPr>
        <w:t>CiscoASR1001X Routers</w:t>
      </w:r>
    </w:p>
    <w:p w14:paraId="468F7F08" w14:textId="77777777" w:rsidR="00E61A9C" w:rsidRPr="001136D3" w:rsidRDefault="00E61A9C" w:rsidP="001136D3">
      <w:pPr>
        <w:suppressAutoHyphens/>
        <w:autoSpaceDN w:val="0"/>
        <w:spacing w:after="0"/>
        <w:textAlignment w:val="baseline"/>
        <w:rPr>
          <w:bCs/>
          <w:szCs w:val="24"/>
        </w:rPr>
      </w:pPr>
      <w:r w:rsidRPr="001136D3">
        <w:rPr>
          <w:bCs/>
          <w:szCs w:val="24"/>
        </w:rPr>
        <w:t xml:space="preserve">Cisco ISR4221, ISR4431 </w:t>
      </w:r>
    </w:p>
    <w:p w14:paraId="1F7EECC8" w14:textId="77777777"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 xml:space="preserve">Tape </w:t>
      </w:r>
      <w:proofErr w:type="gramStart"/>
      <w:r w:rsidRPr="001136D3">
        <w:rPr>
          <w:b/>
          <w:szCs w:val="24"/>
        </w:rPr>
        <w:t>library</w:t>
      </w:r>
      <w:proofErr w:type="gramEnd"/>
    </w:p>
    <w:p w14:paraId="634E8128"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Fujitsu LT260-I</w:t>
      </w:r>
    </w:p>
    <w:p w14:paraId="55BDC6D4" w14:textId="77777777"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Backup software</w:t>
      </w:r>
    </w:p>
    <w:p w14:paraId="6C81910C"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IBM Spectrum Protect Suite</w:t>
      </w:r>
    </w:p>
    <w:p w14:paraId="41A677FD" w14:textId="77777777" w:rsidR="00E61A9C" w:rsidRPr="001136D3" w:rsidRDefault="00E61A9C" w:rsidP="001136D3">
      <w:pPr>
        <w:suppressAutoHyphens/>
        <w:autoSpaceDN w:val="0"/>
        <w:spacing w:after="0"/>
        <w:textAlignment w:val="baseline"/>
        <w:rPr>
          <w:rFonts w:eastAsia="NSimSun"/>
          <w:kern w:val="3"/>
          <w:szCs w:val="24"/>
          <w:lang w:val="fr-FR" w:eastAsia="zh-CN" w:bidi="hi-IN"/>
        </w:rPr>
      </w:pPr>
      <w:r w:rsidRPr="001136D3">
        <w:rPr>
          <w:rFonts w:eastAsia="NSimSun"/>
          <w:kern w:val="3"/>
          <w:szCs w:val="24"/>
          <w:lang w:val="fr-FR" w:eastAsia="zh-CN" w:bidi="hi-IN"/>
        </w:rPr>
        <w:t xml:space="preserve">Veeam </w:t>
      </w:r>
      <w:proofErr w:type="spellStart"/>
      <w:r w:rsidRPr="001136D3">
        <w:rPr>
          <w:rFonts w:eastAsia="NSimSun"/>
          <w:kern w:val="3"/>
          <w:szCs w:val="24"/>
          <w:lang w:val="fr-FR" w:eastAsia="zh-CN" w:bidi="hi-IN"/>
        </w:rPr>
        <w:t>Availability</w:t>
      </w:r>
      <w:proofErr w:type="spellEnd"/>
      <w:r w:rsidRPr="001136D3">
        <w:rPr>
          <w:rFonts w:eastAsia="NSimSun"/>
          <w:kern w:val="3"/>
          <w:szCs w:val="24"/>
          <w:lang w:val="fr-FR" w:eastAsia="zh-CN" w:bidi="hi-IN"/>
        </w:rPr>
        <w:t xml:space="preserve"> Suite Enterprise Plus (Backup &amp; </w:t>
      </w:r>
      <w:proofErr w:type="spellStart"/>
      <w:r w:rsidRPr="001136D3">
        <w:rPr>
          <w:rFonts w:eastAsia="NSimSun"/>
          <w:kern w:val="3"/>
          <w:szCs w:val="24"/>
          <w:lang w:val="fr-FR" w:eastAsia="zh-CN" w:bidi="hi-IN"/>
        </w:rPr>
        <w:t>Replication</w:t>
      </w:r>
      <w:proofErr w:type="spellEnd"/>
      <w:r w:rsidRPr="001136D3">
        <w:rPr>
          <w:rFonts w:eastAsia="NSimSun"/>
          <w:kern w:val="3"/>
          <w:szCs w:val="24"/>
          <w:lang w:val="fr-FR" w:eastAsia="zh-CN" w:bidi="hi-IN"/>
        </w:rPr>
        <w:t>)</w:t>
      </w:r>
    </w:p>
    <w:p w14:paraId="3FF85EF9" w14:textId="77777777" w:rsidR="00E61A9C" w:rsidRPr="001136D3" w:rsidRDefault="00E61A9C" w:rsidP="00D530D5">
      <w:pPr>
        <w:pStyle w:val="ListParagraph"/>
        <w:numPr>
          <w:ilvl w:val="0"/>
          <w:numId w:val="178"/>
        </w:numPr>
        <w:suppressAutoHyphens/>
        <w:autoSpaceDN w:val="0"/>
        <w:spacing w:after="80"/>
        <w:textAlignment w:val="baseline"/>
        <w:rPr>
          <w:rFonts w:eastAsia="NSimSun"/>
          <w:b/>
          <w:kern w:val="3"/>
          <w:szCs w:val="24"/>
          <w:lang w:eastAsia="zh-CN" w:bidi="hi-IN"/>
        </w:rPr>
      </w:pPr>
      <w:proofErr w:type="spellStart"/>
      <w:r w:rsidRPr="001136D3">
        <w:rPr>
          <w:rFonts w:eastAsia="NSimSun"/>
          <w:b/>
          <w:kern w:val="3"/>
          <w:szCs w:val="24"/>
          <w:lang w:eastAsia="zh-CN" w:bidi="hi-IN"/>
        </w:rPr>
        <w:t>Virtualisation</w:t>
      </w:r>
      <w:proofErr w:type="spellEnd"/>
      <w:r w:rsidRPr="001136D3">
        <w:rPr>
          <w:rFonts w:eastAsia="NSimSun"/>
          <w:b/>
          <w:kern w:val="3"/>
          <w:szCs w:val="24"/>
          <w:lang w:eastAsia="zh-CN" w:bidi="hi-IN"/>
        </w:rPr>
        <w:t xml:space="preserve"> software</w:t>
      </w:r>
    </w:p>
    <w:p w14:paraId="36605AF0"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VIOS</w:t>
      </w:r>
    </w:p>
    <w:p w14:paraId="298D72EB"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Hyper V</w:t>
      </w:r>
    </w:p>
    <w:p w14:paraId="327E7105"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OVM</w:t>
      </w:r>
    </w:p>
    <w:p w14:paraId="37C2A9E1" w14:textId="77777777" w:rsidR="00E61A9C" w:rsidRPr="001136D3" w:rsidRDefault="00E61A9C" w:rsidP="001136D3">
      <w:pPr>
        <w:suppressAutoHyphens/>
        <w:autoSpaceDN w:val="0"/>
        <w:spacing w:after="0"/>
        <w:textAlignment w:val="baseline"/>
        <w:rPr>
          <w:rFonts w:eastAsia="NSimSun"/>
          <w:kern w:val="3"/>
          <w:szCs w:val="24"/>
          <w:lang w:eastAsia="zh-CN" w:bidi="hi-IN"/>
        </w:rPr>
      </w:pPr>
      <w:proofErr w:type="spellStart"/>
      <w:r w:rsidRPr="001136D3">
        <w:rPr>
          <w:rFonts w:eastAsia="NSimSun"/>
          <w:kern w:val="3"/>
          <w:szCs w:val="24"/>
          <w:lang w:eastAsia="zh-CN" w:bidi="hi-IN"/>
        </w:rPr>
        <w:t>Vsphere</w:t>
      </w:r>
      <w:proofErr w:type="spellEnd"/>
    </w:p>
    <w:p w14:paraId="77DF3813" w14:textId="77777777" w:rsidR="00E61A9C" w:rsidRPr="001136D3" w:rsidRDefault="00E61A9C" w:rsidP="00D530D5">
      <w:pPr>
        <w:pStyle w:val="ListParagraph"/>
        <w:numPr>
          <w:ilvl w:val="0"/>
          <w:numId w:val="178"/>
        </w:numPr>
        <w:suppressAutoHyphens/>
        <w:autoSpaceDN w:val="0"/>
        <w:spacing w:after="80"/>
        <w:textAlignment w:val="baseline"/>
        <w:rPr>
          <w:rFonts w:eastAsia="NSimSun"/>
          <w:b/>
          <w:kern w:val="3"/>
          <w:szCs w:val="24"/>
          <w:lang w:eastAsia="zh-CN" w:bidi="hi-IN"/>
        </w:rPr>
      </w:pPr>
      <w:r w:rsidRPr="001136D3">
        <w:rPr>
          <w:rFonts w:eastAsia="NSimSun"/>
          <w:b/>
          <w:kern w:val="3"/>
          <w:szCs w:val="24"/>
          <w:lang w:eastAsia="zh-CN" w:bidi="hi-IN"/>
        </w:rPr>
        <w:t>Operating system</w:t>
      </w:r>
    </w:p>
    <w:p w14:paraId="4977359A"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lastRenderedPageBreak/>
        <w:t xml:space="preserve">AIX Operating system </w:t>
      </w:r>
    </w:p>
    <w:p w14:paraId="7D5022CB"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MS Windows Server</w:t>
      </w:r>
    </w:p>
    <w:p w14:paraId="0653BB63"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Oracle Linux</w:t>
      </w:r>
    </w:p>
    <w:p w14:paraId="55487F55"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 xml:space="preserve">Appliances </w:t>
      </w:r>
    </w:p>
    <w:p w14:paraId="7F439889" w14:textId="77777777" w:rsidR="00E61A9C" w:rsidRPr="001136D3" w:rsidRDefault="00E61A9C" w:rsidP="00D530D5">
      <w:pPr>
        <w:pStyle w:val="ListParagraph"/>
        <w:numPr>
          <w:ilvl w:val="0"/>
          <w:numId w:val="178"/>
        </w:numPr>
        <w:suppressAutoHyphens/>
        <w:autoSpaceDN w:val="0"/>
        <w:spacing w:after="80"/>
        <w:textAlignment w:val="baseline"/>
        <w:rPr>
          <w:rFonts w:eastAsia="NSimSun"/>
          <w:b/>
          <w:kern w:val="3"/>
          <w:szCs w:val="24"/>
          <w:lang w:eastAsia="zh-CN" w:bidi="hi-IN"/>
        </w:rPr>
      </w:pPr>
      <w:r w:rsidRPr="001136D3">
        <w:rPr>
          <w:rFonts w:eastAsia="NSimSun"/>
          <w:b/>
          <w:kern w:val="3"/>
          <w:szCs w:val="24"/>
          <w:lang w:eastAsia="zh-CN" w:bidi="hi-IN"/>
        </w:rPr>
        <w:t>Database software</w:t>
      </w:r>
    </w:p>
    <w:p w14:paraId="5F3FB076" w14:textId="73D07ED5"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Oracle</w:t>
      </w:r>
      <w:r w:rsidR="00952869">
        <w:rPr>
          <w:rFonts w:eastAsia="NSimSun"/>
          <w:kern w:val="3"/>
          <w:szCs w:val="24"/>
          <w:lang w:eastAsia="zh-CN" w:bidi="hi-IN"/>
        </w:rPr>
        <w:t xml:space="preserve"> </w:t>
      </w:r>
      <w:r w:rsidR="000A7487">
        <w:rPr>
          <w:rFonts w:eastAsia="NSimSun"/>
          <w:kern w:val="3"/>
          <w:szCs w:val="24"/>
          <w:lang w:eastAsia="zh-CN" w:bidi="hi-IN"/>
        </w:rPr>
        <w:t>Database Enterprise Edition + RAC</w:t>
      </w:r>
    </w:p>
    <w:p w14:paraId="29617FE7"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IBM Lotus Domino</w:t>
      </w:r>
    </w:p>
    <w:p w14:paraId="1C747D03" w14:textId="77777777" w:rsidR="00E61A9C" w:rsidRPr="001136D3" w:rsidRDefault="00E61A9C" w:rsidP="001136D3">
      <w:pPr>
        <w:suppressAutoHyphens/>
        <w:autoSpaceDN w:val="0"/>
        <w:spacing w:after="0"/>
        <w:textAlignment w:val="baseline"/>
        <w:rPr>
          <w:rFonts w:eastAsia="NSimSun"/>
          <w:kern w:val="3"/>
          <w:szCs w:val="24"/>
          <w:lang w:eastAsia="zh-CN" w:bidi="hi-IN"/>
        </w:rPr>
      </w:pPr>
      <w:r w:rsidRPr="001136D3">
        <w:rPr>
          <w:rFonts w:eastAsia="NSimSun"/>
          <w:kern w:val="3"/>
          <w:szCs w:val="24"/>
          <w:lang w:eastAsia="zh-CN" w:bidi="hi-IN"/>
        </w:rPr>
        <w:t>MS SQL server</w:t>
      </w:r>
    </w:p>
    <w:p w14:paraId="012F129B" w14:textId="4933C224" w:rsidR="00E61A9C" w:rsidRPr="001136D3" w:rsidRDefault="00E61A9C" w:rsidP="00D530D5">
      <w:pPr>
        <w:pStyle w:val="ListParagraph"/>
        <w:numPr>
          <w:ilvl w:val="0"/>
          <w:numId w:val="178"/>
        </w:numPr>
        <w:suppressAutoHyphens/>
        <w:autoSpaceDN w:val="0"/>
        <w:spacing w:after="80"/>
        <w:textAlignment w:val="baseline"/>
        <w:rPr>
          <w:b/>
          <w:szCs w:val="24"/>
        </w:rPr>
      </w:pPr>
      <w:r w:rsidRPr="001136D3">
        <w:rPr>
          <w:b/>
          <w:szCs w:val="24"/>
        </w:rPr>
        <w:t xml:space="preserve">Security tools </w:t>
      </w:r>
    </w:p>
    <w:p w14:paraId="05E970E5" w14:textId="77777777" w:rsidR="00E61A9C" w:rsidRPr="001136D3" w:rsidRDefault="00E61A9C" w:rsidP="001136D3">
      <w:pPr>
        <w:suppressAutoHyphens/>
        <w:autoSpaceDN w:val="0"/>
        <w:spacing w:after="0"/>
        <w:textAlignment w:val="baseline"/>
        <w:rPr>
          <w:szCs w:val="24"/>
        </w:rPr>
      </w:pPr>
      <w:r w:rsidRPr="001136D3">
        <w:rPr>
          <w:szCs w:val="24"/>
        </w:rPr>
        <w:t>IBM Guardium</w:t>
      </w:r>
    </w:p>
    <w:p w14:paraId="679CB797" w14:textId="77777777" w:rsidR="00E61A9C" w:rsidRDefault="00E61A9C" w:rsidP="001136D3">
      <w:pPr>
        <w:suppressAutoHyphens/>
        <w:autoSpaceDN w:val="0"/>
        <w:spacing w:after="0"/>
        <w:textAlignment w:val="baseline"/>
        <w:rPr>
          <w:szCs w:val="24"/>
        </w:rPr>
      </w:pPr>
      <w:r w:rsidRPr="001136D3">
        <w:rPr>
          <w:szCs w:val="24"/>
        </w:rPr>
        <w:t>SIEM</w:t>
      </w:r>
    </w:p>
    <w:p w14:paraId="1E7078AE" w14:textId="77777777" w:rsidR="00384DE3" w:rsidRDefault="00384DE3" w:rsidP="001136D3">
      <w:pPr>
        <w:suppressAutoHyphens/>
        <w:autoSpaceDN w:val="0"/>
        <w:spacing w:after="0"/>
        <w:textAlignment w:val="baseline"/>
        <w:rPr>
          <w:szCs w:val="24"/>
        </w:rPr>
      </w:pPr>
    </w:p>
    <w:p w14:paraId="1221DFCA" w14:textId="77777777" w:rsidR="00BE718E" w:rsidRDefault="00BE718E">
      <w:pPr>
        <w:rPr>
          <w:b/>
        </w:rPr>
      </w:pPr>
    </w:p>
    <w:p w14:paraId="56090374" w14:textId="547F129F" w:rsidR="003A24E6" w:rsidRDefault="003A24E6" w:rsidP="003A24E6">
      <w:pPr>
        <w:ind w:firstLine="567"/>
        <w:rPr>
          <w:b/>
        </w:rPr>
      </w:pPr>
      <w:r w:rsidRPr="00594FFF">
        <w:rPr>
          <w:b/>
        </w:rPr>
        <w:t xml:space="preserve">1.3.8.2. Hardware Architecture </w:t>
      </w:r>
    </w:p>
    <w:p w14:paraId="3B0093EB" w14:textId="38D5FF26" w:rsidR="003A24E6" w:rsidRDefault="003A24E6" w:rsidP="003A24E6">
      <w:pPr>
        <w:ind w:firstLine="567"/>
        <w:rPr>
          <w:b/>
        </w:rPr>
      </w:pPr>
    </w:p>
    <w:p w14:paraId="04AA3458" w14:textId="2C4BE620" w:rsidR="003A24E6" w:rsidRDefault="003A24E6" w:rsidP="003A24E6">
      <w:pPr>
        <w:ind w:firstLine="567"/>
        <w:rPr>
          <w:b/>
        </w:rPr>
      </w:pPr>
      <w:r>
        <w:rPr>
          <w:noProof/>
        </w:rPr>
        <w:drawing>
          <wp:inline distT="0" distB="0" distL="0" distR="0" wp14:anchorId="76C8187D" wp14:editId="033C0AAB">
            <wp:extent cx="5486400" cy="4775835"/>
            <wp:effectExtent l="0" t="0" r="0" b="5715"/>
            <wp:docPr id="1710769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4775835"/>
                    </a:xfrm>
                    <a:prstGeom prst="rect">
                      <a:avLst/>
                    </a:prstGeom>
                    <a:noFill/>
                    <a:ln>
                      <a:noFill/>
                    </a:ln>
                  </pic:spPr>
                </pic:pic>
              </a:graphicData>
            </a:graphic>
          </wp:inline>
        </w:drawing>
      </w:r>
    </w:p>
    <w:p w14:paraId="09BF67D9" w14:textId="56BAAD9C" w:rsidR="003A24E6" w:rsidRPr="003A24E6" w:rsidRDefault="003A24E6" w:rsidP="003A24E6">
      <w:pPr>
        <w:jc w:val="center"/>
        <w:rPr>
          <w:i/>
        </w:rPr>
      </w:pPr>
      <w:r w:rsidRPr="003A24E6">
        <w:rPr>
          <w:i/>
          <w:szCs w:val="24"/>
        </w:rPr>
        <w:t xml:space="preserve">Figure </w:t>
      </w:r>
      <w:r w:rsidRPr="003A24E6">
        <w:rPr>
          <w:i/>
          <w:szCs w:val="24"/>
          <w:lang w:val="mk-MK"/>
        </w:rPr>
        <w:t>27</w:t>
      </w:r>
      <w:r w:rsidRPr="003A24E6">
        <w:rPr>
          <w:i/>
          <w:szCs w:val="24"/>
        </w:rPr>
        <w:t>: Hardware Architecture</w:t>
      </w:r>
    </w:p>
    <w:p w14:paraId="667ED704" w14:textId="4DDA836A" w:rsidR="00157AAA" w:rsidRDefault="006C1BE5">
      <w:pPr>
        <w:pStyle w:val="NormalWeb"/>
        <w:spacing w:before="120"/>
        <w:rPr>
          <w:rFonts w:ascii="Times New Roman" w:hAnsi="Times New Roman" w:cs="Times New Roman"/>
          <w:color w:val="000000"/>
        </w:rPr>
      </w:pPr>
      <w:r>
        <w:rPr>
          <w:rFonts w:ascii="Times New Roman" w:hAnsi="Times New Roman" w:cs="Times New Roman"/>
          <w:color w:val="000000"/>
        </w:rPr>
        <w:lastRenderedPageBreak/>
        <w:t xml:space="preserve">General Description: </w:t>
      </w:r>
    </w:p>
    <w:p w14:paraId="2B0BAD64"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w:t>
      </w:r>
      <w:proofErr w:type="spellStart"/>
      <w:r>
        <w:rPr>
          <w:rFonts w:ascii="Times New Roman" w:hAnsi="Times New Roman" w:cs="Times New Roman"/>
          <w:color w:val="000000"/>
        </w:rPr>
        <w:t>ToR</w:t>
      </w:r>
      <w:proofErr w:type="spellEnd"/>
      <w:r>
        <w:rPr>
          <w:rFonts w:ascii="Times New Roman" w:hAnsi="Times New Roman" w:cs="Times New Roman"/>
          <w:color w:val="000000"/>
        </w:rPr>
        <w:t xml:space="preserve"> Switch" refers to the "Top of Rack" network switch located at the top of each rack of servers.</w:t>
      </w:r>
    </w:p>
    <w:p w14:paraId="7A078F3F"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"External Network" represents the connection to the broader network infrastructure, including connections to other data center resources, the internet, etc.</w:t>
      </w:r>
    </w:p>
    <w:p w14:paraId="0F0F4D64"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 xml:space="preserve">"Compute Performance Node" refers to an individual server with processing power, memory, and local storage. These are the individual servers within the cluster that provide processing power for running applications and virtual machines. Each compute node typically includes multiple CPU cores, RAM, and local </w:t>
      </w:r>
      <w:proofErr w:type="gramStart"/>
      <w:r>
        <w:rPr>
          <w:rFonts w:ascii="Times New Roman" w:hAnsi="Times New Roman" w:cs="Times New Roman"/>
          <w:color w:val="000000"/>
        </w:rPr>
        <w:t>storage</w:t>
      </w:r>
      <w:proofErr w:type="gramEnd"/>
    </w:p>
    <w:p w14:paraId="59189F36" w14:textId="510C499B"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 xml:space="preserve">“Storage”: In </w:t>
      </w:r>
      <w:r w:rsidR="003A24E6" w:rsidRPr="00594FFF">
        <w:rPr>
          <w:rFonts w:ascii="Times New Roman" w:hAnsi="Times New Roman" w:cs="Times New Roman"/>
          <w:color w:val="000000"/>
        </w:rPr>
        <w:t>a dual-SAN network</w:t>
      </w:r>
      <w:r>
        <w:rPr>
          <w:rFonts w:ascii="Times New Roman" w:hAnsi="Times New Roman" w:cs="Times New Roman"/>
          <w:color w:val="000000"/>
        </w:rPr>
        <w:t xml:space="preserve"> storage is typically provided by aggregating the local storage resources of the compute nodes. This creates a distributed storage pool that can be managed collectively. Data redundancy and protection mechanisms, such as replication and erasure coding, are often implemented to ensure data integrity and availability.</w:t>
      </w:r>
    </w:p>
    <w:p w14:paraId="20A0C910"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“DRS node” Disaster Recovery Site control back up</w:t>
      </w:r>
    </w:p>
    <w:p w14:paraId="534E3A9C"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“Out-of-Band Management” The primary benefit of an out-of-band management interface is its availability when the network is down, a device is turned off, in sleep mode, hibernating, or otherwise inaccessible.</w:t>
      </w:r>
    </w:p>
    <w:p w14:paraId="7B2B5DAB" w14:textId="77777777"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 xml:space="preserve">“Networking”: The network infrastructure connects the </w:t>
      </w:r>
      <w:proofErr w:type="gramStart"/>
      <w:r>
        <w:rPr>
          <w:rFonts w:ascii="Times New Roman" w:hAnsi="Times New Roman" w:cs="Times New Roman"/>
          <w:color w:val="000000"/>
        </w:rPr>
        <w:t>compute</w:t>
      </w:r>
      <w:proofErr w:type="gramEnd"/>
      <w:r>
        <w:rPr>
          <w:rFonts w:ascii="Times New Roman" w:hAnsi="Times New Roman" w:cs="Times New Roman"/>
          <w:color w:val="000000"/>
        </w:rPr>
        <w:t xml:space="preserve"> nodes and facilitates communication between them. It's important for efficiently moving data between nodes, supporting virtual machine migration, and enabling external connectivity. The lines connecting the </w:t>
      </w:r>
      <w:proofErr w:type="gramStart"/>
      <w:r>
        <w:rPr>
          <w:rFonts w:ascii="Times New Roman" w:hAnsi="Times New Roman" w:cs="Times New Roman"/>
          <w:color w:val="000000"/>
        </w:rPr>
        <w:t>compute</w:t>
      </w:r>
      <w:proofErr w:type="gramEnd"/>
      <w:r>
        <w:rPr>
          <w:rFonts w:ascii="Times New Roman" w:hAnsi="Times New Roman" w:cs="Times New Roman"/>
          <w:color w:val="000000"/>
        </w:rPr>
        <w:t xml:space="preserve"> nodes to the </w:t>
      </w:r>
      <w:proofErr w:type="spellStart"/>
      <w:r>
        <w:rPr>
          <w:rFonts w:ascii="Times New Roman" w:hAnsi="Times New Roman" w:cs="Times New Roman"/>
          <w:color w:val="000000"/>
        </w:rPr>
        <w:t>ToR</w:t>
      </w:r>
      <w:proofErr w:type="spellEnd"/>
      <w:r>
        <w:rPr>
          <w:rFonts w:ascii="Times New Roman" w:hAnsi="Times New Roman" w:cs="Times New Roman"/>
          <w:color w:val="000000"/>
        </w:rPr>
        <w:t xml:space="preserve"> switches represent the networking connections that enable communication between nodes.</w:t>
      </w:r>
    </w:p>
    <w:p w14:paraId="4538B306" w14:textId="188D7F3C" w:rsidR="00C45520"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color w:val="000000"/>
        </w:rPr>
        <w:tab/>
        <w:t>“Virtualization</w:t>
      </w:r>
      <w:r w:rsidRPr="00594FFF">
        <w:rPr>
          <w:rFonts w:ascii="Times New Roman" w:hAnsi="Times New Roman" w:cs="Times New Roman"/>
          <w:color w:val="000000"/>
        </w:rPr>
        <w:t>”:</w:t>
      </w:r>
      <w:r w:rsidR="003A24E6" w:rsidRPr="00594FFF">
        <w:rPr>
          <w:rFonts w:ascii="Times New Roman" w:hAnsi="Times New Roman"/>
        </w:rPr>
        <w:t xml:space="preserve"> Server hypervisor solutions leverage virtualization technologies to abstract and manage the underlying hardware. This allows multiple virtual machines (VMs) to run on a single physical server, maximizing resource utilization.</w:t>
      </w:r>
    </w:p>
    <w:p w14:paraId="4C0A0FC4" w14:textId="55945E45" w:rsidR="00157AAA" w:rsidRDefault="006C1BE5" w:rsidP="001136D3">
      <w:pPr>
        <w:pStyle w:val="NormalWeb"/>
        <w:spacing w:before="0" w:beforeAutospacing="0" w:after="0" w:afterAutospacing="0"/>
        <w:rPr>
          <w:rFonts w:ascii="Times New Roman" w:hAnsi="Times New Roman" w:cs="Times New Roman"/>
        </w:rPr>
      </w:pPr>
      <w:r>
        <w:rPr>
          <w:rFonts w:ascii="Times New Roman" w:hAnsi="Times New Roman" w:cs="Times New Roman"/>
          <w:color w:val="000000"/>
        </w:rPr>
        <w:t> </w:t>
      </w:r>
    </w:p>
    <w:p w14:paraId="390BB077" w14:textId="37F15662" w:rsidR="00157AAA" w:rsidRDefault="006C1BE5">
      <w:pPr>
        <w:ind w:firstLine="720"/>
      </w:pPr>
      <w:bookmarkStart w:id="728" w:name="_Toc138088471"/>
      <w:r>
        <w:rPr>
          <w:b/>
        </w:rPr>
        <w:t>1.3.</w:t>
      </w:r>
      <w:r w:rsidR="006B1214">
        <w:rPr>
          <w:b/>
        </w:rPr>
        <w:t>8</w:t>
      </w:r>
      <w:r>
        <w:rPr>
          <w:b/>
        </w:rPr>
        <w:t>. 3. Other Architecture Information</w:t>
      </w:r>
      <w:bookmarkEnd w:id="728"/>
      <w:r>
        <w:rPr>
          <w:b/>
        </w:rPr>
        <w:t xml:space="preserve">   </w:t>
      </w:r>
    </w:p>
    <w:p w14:paraId="107D8C0A" w14:textId="28CC3456" w:rsidR="00157AAA" w:rsidRDefault="006C1BE5" w:rsidP="001136D3">
      <w:pPr>
        <w:pStyle w:val="NormalWeb"/>
        <w:spacing w:before="0" w:beforeAutospacing="0" w:after="0" w:afterAutospacing="0"/>
        <w:rPr>
          <w:rFonts w:ascii="Times New Roman" w:hAnsi="Times New Roman" w:cs="Times New Roman"/>
          <w:color w:val="000000"/>
        </w:rPr>
      </w:pPr>
      <w:proofErr w:type="gramStart"/>
      <w:r>
        <w:rPr>
          <w:rFonts w:ascii="Times New Roman" w:hAnsi="Times New Roman" w:cs="Times New Roman"/>
          <w:color w:val="000000"/>
        </w:rPr>
        <w:t>New</w:t>
      </w:r>
      <w:proofErr w:type="gramEnd"/>
      <w:r>
        <w:rPr>
          <w:rFonts w:ascii="Times New Roman" w:hAnsi="Times New Roman" w:cs="Times New Roman"/>
          <w:color w:val="000000"/>
        </w:rPr>
        <w:t xml:space="preserve"> customs core system must be based o</w:t>
      </w:r>
      <w:r w:rsidR="003A24E6">
        <w:rPr>
          <w:rFonts w:ascii="Times New Roman" w:hAnsi="Times New Roman" w:cs="Times New Roman"/>
          <w:color w:val="000000"/>
        </w:rPr>
        <w:t xml:space="preserve">n industry standard X86 servers </w:t>
      </w:r>
      <w:r w:rsidR="003A24E6" w:rsidRPr="00594FFF">
        <w:rPr>
          <w:rFonts w:ascii="Times New Roman" w:hAnsi="Times New Roman"/>
          <w:color w:val="000000"/>
        </w:rPr>
        <w:t>and/or RISC architecture</w:t>
      </w:r>
      <w:r>
        <w:rPr>
          <w:rFonts w:ascii="Times New Roman" w:hAnsi="Times New Roman" w:cs="Times New Roman"/>
          <w:color w:val="000000"/>
        </w:rPr>
        <w:t xml:space="preserve"> highly available, enterprise levels of reliability and availability and must not have a single point of failure.</w:t>
      </w:r>
    </w:p>
    <w:p w14:paraId="3B72280F" w14:textId="3555144C"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 xml:space="preserve">All workloads must be virtualized and built around </w:t>
      </w:r>
      <w:r w:rsidR="003A24E6" w:rsidRPr="00E9291D">
        <w:rPr>
          <w:rFonts w:ascii="Times New Roman" w:hAnsi="Times New Roman"/>
          <w:color w:val="000000"/>
        </w:rPr>
        <w:t>on-prem data center</w:t>
      </w:r>
      <w:r w:rsidR="003A24E6" w:rsidRPr="003A5915">
        <w:rPr>
          <w:rFonts w:ascii="Times New Roman" w:hAnsi="Times New Roman"/>
          <w:color w:val="000000"/>
        </w:rPr>
        <w:t xml:space="preserve"> </w:t>
      </w:r>
      <w:r>
        <w:rPr>
          <w:rFonts w:ascii="Times New Roman" w:hAnsi="Times New Roman" w:cs="Times New Roman"/>
          <w:color w:val="000000"/>
        </w:rPr>
        <w:t xml:space="preserve">capable virtualization software/platform, so they can be decoupled of the underlay (physical) proprietary hardware </w:t>
      </w:r>
      <w:r w:rsidR="006517A3">
        <w:rPr>
          <w:rFonts w:ascii="Times New Roman" w:hAnsi="Times New Roman" w:cs="Times New Roman"/>
          <w:color w:val="000000"/>
        </w:rPr>
        <w:t>vendor’s</w:t>
      </w:r>
      <w:r>
        <w:rPr>
          <w:rFonts w:ascii="Times New Roman" w:hAnsi="Times New Roman" w:cs="Times New Roman"/>
          <w:color w:val="000000"/>
        </w:rPr>
        <w:t xml:space="preserve"> technologies. </w:t>
      </w:r>
      <w:proofErr w:type="gramStart"/>
      <w:r>
        <w:rPr>
          <w:rFonts w:ascii="Times New Roman" w:hAnsi="Times New Roman" w:cs="Times New Roman"/>
          <w:color w:val="000000"/>
        </w:rPr>
        <w:t>Offered</w:t>
      </w:r>
      <w:proofErr w:type="gramEnd"/>
      <w:r>
        <w:rPr>
          <w:rFonts w:ascii="Times New Roman" w:hAnsi="Times New Roman" w:cs="Times New Roman"/>
          <w:color w:val="000000"/>
        </w:rPr>
        <w:t xml:space="preserve"> solution must be based on</w:t>
      </w:r>
      <w:r w:rsidR="003A24E6" w:rsidRPr="003A24E6">
        <w:rPr>
          <w:rFonts w:ascii="Times New Roman" w:hAnsi="Times New Roman"/>
          <w:color w:val="000000"/>
          <w:highlight w:val="green"/>
        </w:rPr>
        <w:t xml:space="preserve"> </w:t>
      </w:r>
      <w:r w:rsidR="003A24E6" w:rsidRPr="00E9291D">
        <w:rPr>
          <w:rFonts w:ascii="Times New Roman" w:hAnsi="Times New Roman"/>
          <w:color w:val="000000"/>
        </w:rPr>
        <w:t>standardized components</w:t>
      </w:r>
      <w:r>
        <w:rPr>
          <w:rFonts w:ascii="Times New Roman" w:hAnsi="Times New Roman" w:cs="Times New Roman"/>
          <w:color w:val="000000"/>
        </w:rPr>
        <w:t xml:space="preserve">: hypervisor, </w:t>
      </w:r>
      <w:r w:rsidR="003A24E6" w:rsidRPr="00E9291D">
        <w:rPr>
          <w:rFonts w:ascii="Times New Roman" w:hAnsi="Times New Roman"/>
          <w:color w:val="000000"/>
        </w:rPr>
        <w:t>centralized</w:t>
      </w:r>
      <w:r w:rsidR="003A24E6" w:rsidRPr="003A5915">
        <w:rPr>
          <w:rFonts w:ascii="Times New Roman" w:hAnsi="Times New Roman"/>
          <w:color w:val="000000"/>
        </w:rPr>
        <w:t xml:space="preserve"> </w:t>
      </w:r>
      <w:r>
        <w:rPr>
          <w:rFonts w:ascii="Times New Roman" w:hAnsi="Times New Roman" w:cs="Times New Roman"/>
          <w:color w:val="000000"/>
        </w:rPr>
        <w:t xml:space="preserve">storage and VMM -Virtual Machine Manager (Central administration console) covered with licenses for all offered virtualization </w:t>
      </w:r>
      <w:r w:rsidR="003A24E6" w:rsidRPr="00E9291D">
        <w:rPr>
          <w:rFonts w:ascii="Times New Roman" w:hAnsi="Times New Roman"/>
          <w:color w:val="000000"/>
        </w:rPr>
        <w:t>hypervisor</w:t>
      </w:r>
      <w:r w:rsidR="003A24E6">
        <w:rPr>
          <w:rFonts w:ascii="Times New Roman" w:hAnsi="Times New Roman"/>
          <w:color w:val="000000"/>
        </w:rPr>
        <w:t xml:space="preserve"> </w:t>
      </w:r>
      <w:r>
        <w:rPr>
          <w:rFonts w:ascii="Times New Roman" w:hAnsi="Times New Roman" w:cs="Times New Roman"/>
          <w:color w:val="000000"/>
        </w:rPr>
        <w:t xml:space="preserve">hosts (x86 servers). </w:t>
      </w:r>
      <w:proofErr w:type="gramStart"/>
      <w:r>
        <w:rPr>
          <w:rFonts w:ascii="Times New Roman" w:hAnsi="Times New Roman" w:cs="Times New Roman"/>
          <w:color w:val="000000"/>
        </w:rPr>
        <w:t>Solution</w:t>
      </w:r>
      <w:proofErr w:type="gramEnd"/>
      <w:r>
        <w:rPr>
          <w:rFonts w:ascii="Times New Roman" w:hAnsi="Times New Roman" w:cs="Times New Roman"/>
          <w:color w:val="000000"/>
        </w:rPr>
        <w:t xml:space="preserve"> must be capable to be expanded with </w:t>
      </w:r>
      <w:r w:rsidR="003A24E6" w:rsidRPr="00E9291D">
        <w:rPr>
          <w:rFonts w:ascii="Times New Roman" w:hAnsi="Times New Roman"/>
          <w:color w:val="000000"/>
        </w:rPr>
        <w:t>additional</w:t>
      </w:r>
      <w:r w:rsidR="003A24E6" w:rsidRPr="003A5915">
        <w:rPr>
          <w:rFonts w:ascii="Times New Roman" w:hAnsi="Times New Roman"/>
          <w:color w:val="000000"/>
        </w:rPr>
        <w:t xml:space="preserve"> </w:t>
      </w:r>
      <w:r>
        <w:rPr>
          <w:rFonts w:ascii="Times New Roman" w:hAnsi="Times New Roman" w:cs="Times New Roman"/>
          <w:color w:val="000000"/>
        </w:rPr>
        <w:t>network and security (micro-segmentation of the network and security) in the future.</w:t>
      </w:r>
    </w:p>
    <w:p w14:paraId="3C1E2A24" w14:textId="77777777" w:rsidR="003A24E6" w:rsidRDefault="003A24E6" w:rsidP="003A24E6">
      <w:pPr>
        <w:pStyle w:val="NormalWeb"/>
        <w:spacing w:before="0" w:beforeAutospacing="0" w:after="0" w:afterAutospacing="0"/>
        <w:rPr>
          <w:rFonts w:ascii="Times New Roman" w:hAnsi="Times New Roman"/>
          <w:color w:val="000000"/>
        </w:rPr>
      </w:pPr>
      <w:r w:rsidRPr="00E9291D">
        <w:rPr>
          <w:rFonts w:ascii="Times New Roman" w:hAnsi="Times New Roman"/>
          <w:bCs/>
          <w:color w:val="000000"/>
        </w:rPr>
        <w:t xml:space="preserve">To build </w:t>
      </w:r>
      <w:proofErr w:type="gramStart"/>
      <w:r w:rsidRPr="00E9291D">
        <w:rPr>
          <w:rFonts w:ascii="Times New Roman" w:hAnsi="Times New Roman"/>
          <w:bCs/>
          <w:color w:val="000000"/>
        </w:rPr>
        <w:t>high</w:t>
      </w:r>
      <w:proofErr w:type="gramEnd"/>
      <w:r w:rsidRPr="00E9291D">
        <w:rPr>
          <w:rFonts w:ascii="Times New Roman" w:hAnsi="Times New Roman"/>
          <w:bCs/>
          <w:color w:val="000000"/>
        </w:rPr>
        <w:t xml:space="preserve"> available system, equipment will be procured on primary site and DR site</w:t>
      </w:r>
      <w:r w:rsidRPr="00E9291D">
        <w:rPr>
          <w:rFonts w:ascii="Times New Roman" w:hAnsi="Times New Roman"/>
          <w:color w:val="000000"/>
        </w:rPr>
        <w:t>.</w:t>
      </w:r>
      <w:r>
        <w:rPr>
          <w:rFonts w:ascii="Times New Roman" w:hAnsi="Times New Roman"/>
          <w:color w:val="000000"/>
        </w:rPr>
        <w:t xml:space="preserve"> </w:t>
      </w:r>
    </w:p>
    <w:p w14:paraId="6207F469" w14:textId="77777777" w:rsidR="003A24E6" w:rsidRDefault="003A24E6" w:rsidP="001136D3">
      <w:pPr>
        <w:pStyle w:val="NormalWeb"/>
        <w:spacing w:before="0" w:beforeAutospacing="0" w:after="0" w:afterAutospacing="0"/>
        <w:rPr>
          <w:rFonts w:ascii="Times New Roman" w:hAnsi="Times New Roman" w:cs="Times New Roman"/>
          <w:color w:val="000000"/>
        </w:rPr>
      </w:pPr>
    </w:p>
    <w:p w14:paraId="2577ABC8" w14:textId="5EE5D964" w:rsidR="00157AAA" w:rsidRDefault="006C1BE5" w:rsidP="001136D3">
      <w:pPr>
        <w:pStyle w:val="NormalWeb"/>
        <w:spacing w:before="0" w:beforeAutospacing="0" w:after="0" w:afterAutospacing="0"/>
        <w:rPr>
          <w:rFonts w:ascii="Times New Roman" w:hAnsi="Times New Roman" w:cs="Times New Roman"/>
          <w:color w:val="FF0000"/>
        </w:rPr>
      </w:pPr>
      <w:r>
        <w:rPr>
          <w:rFonts w:ascii="Times New Roman" w:hAnsi="Times New Roman" w:cs="Times New Roman"/>
          <w:color w:val="000000"/>
        </w:rPr>
        <w:t>Solution must be divided in two clusters</w:t>
      </w:r>
      <w:r w:rsidR="003A24E6">
        <w:rPr>
          <w:rFonts w:ascii="Times New Roman" w:hAnsi="Times New Roman" w:cs="Times New Roman"/>
          <w:color w:val="000000"/>
        </w:rPr>
        <w:t xml:space="preserve"> </w:t>
      </w:r>
      <w:r w:rsidR="003A24E6" w:rsidRPr="00E9291D">
        <w:rPr>
          <w:rFonts w:ascii="Times New Roman" w:hAnsi="Times New Roman"/>
          <w:color w:val="000000"/>
        </w:rPr>
        <w:t>on primary location</w:t>
      </w:r>
      <w:r>
        <w:rPr>
          <w:rFonts w:ascii="Times New Roman" w:hAnsi="Times New Roman" w:cs="Times New Roman"/>
          <w:color w:val="000000"/>
        </w:rPr>
        <w:t xml:space="preserve">: performance (for SQL, BI, DWH </w:t>
      </w:r>
      <w:proofErr w:type="spellStart"/>
      <w:r>
        <w:rPr>
          <w:rFonts w:ascii="Times New Roman" w:hAnsi="Times New Roman" w:cs="Times New Roman"/>
          <w:color w:val="000000"/>
        </w:rPr>
        <w:t>etc</w:t>
      </w:r>
      <w:proofErr w:type="spellEnd"/>
      <w:r>
        <w:rPr>
          <w:rFonts w:ascii="Times New Roman" w:hAnsi="Times New Roman" w:cs="Times New Roman"/>
          <w:color w:val="000000"/>
        </w:rPr>
        <w:t xml:space="preserve"> workloads) and General Compute (for infrastructure and application workloads). </w:t>
      </w:r>
    </w:p>
    <w:p w14:paraId="7B94C5FD" w14:textId="77777777" w:rsidR="003A24E6" w:rsidRPr="003A5915" w:rsidRDefault="003A24E6" w:rsidP="003A24E6">
      <w:pPr>
        <w:pStyle w:val="NormalWeb"/>
        <w:spacing w:before="0" w:beforeAutospacing="0" w:after="0" w:afterAutospacing="0"/>
        <w:rPr>
          <w:rFonts w:ascii="Times New Roman" w:hAnsi="Times New Roman"/>
          <w:color w:val="000000"/>
        </w:rPr>
      </w:pPr>
      <w:r w:rsidRPr="00E9291D">
        <w:rPr>
          <w:rFonts w:ascii="Times New Roman" w:hAnsi="Times New Roman"/>
          <w:color w:val="000000"/>
        </w:rPr>
        <w:t>All server hypervisor nodes must be attached over FC/</w:t>
      </w:r>
      <w:proofErr w:type="spellStart"/>
      <w:r w:rsidRPr="00E9291D">
        <w:rPr>
          <w:rFonts w:ascii="Times New Roman" w:hAnsi="Times New Roman"/>
          <w:color w:val="000000"/>
        </w:rPr>
        <w:t>NVMe</w:t>
      </w:r>
      <w:proofErr w:type="spellEnd"/>
      <w:r w:rsidRPr="00E9291D">
        <w:rPr>
          <w:rFonts w:ascii="Times New Roman" w:hAnsi="Times New Roman"/>
          <w:color w:val="000000"/>
        </w:rPr>
        <w:t xml:space="preserve"> links to the central external storage, with has a minimum of 75 TB RAW capacity on disks, shared over the SAN.</w:t>
      </w:r>
      <w:r w:rsidRPr="003A5915">
        <w:rPr>
          <w:rFonts w:ascii="Times New Roman" w:hAnsi="Times New Roman"/>
          <w:color w:val="000000"/>
        </w:rPr>
        <w:t xml:space="preserve">  </w:t>
      </w:r>
    </w:p>
    <w:p w14:paraId="74E4C260" w14:textId="4F05E924" w:rsidR="003A24E6" w:rsidRDefault="003A24E6" w:rsidP="001136D3">
      <w:pPr>
        <w:pStyle w:val="NormalWeb"/>
        <w:spacing w:before="0" w:beforeAutospacing="0" w:after="0" w:afterAutospacing="0"/>
        <w:rPr>
          <w:rFonts w:ascii="Times New Roman" w:hAnsi="Times New Roman" w:cs="Times New Roman"/>
          <w:color w:val="000000"/>
        </w:rPr>
      </w:pPr>
    </w:p>
    <w:p w14:paraId="1E15CB9F" w14:textId="6D6ADCE5" w:rsidR="009D4C49" w:rsidRPr="00E9291D" w:rsidRDefault="009D4C49" w:rsidP="009D4C49">
      <w:pPr>
        <w:pStyle w:val="NormalWeb"/>
        <w:spacing w:before="0" w:beforeAutospacing="0" w:after="0" w:afterAutospacing="0"/>
        <w:rPr>
          <w:rFonts w:ascii="Times New Roman" w:hAnsi="Times New Roman"/>
          <w:bCs/>
          <w:strike/>
          <w:color w:val="FF0000"/>
        </w:rPr>
      </w:pPr>
      <w:r w:rsidRPr="00E9291D">
        <w:rPr>
          <w:rFonts w:ascii="Times New Roman" w:hAnsi="Times New Roman"/>
          <w:bCs/>
          <w:color w:val="000000"/>
        </w:rPr>
        <w:t xml:space="preserve">Cluster on DR site must </w:t>
      </w:r>
      <w:proofErr w:type="gramStart"/>
      <w:r w:rsidRPr="00E9291D">
        <w:rPr>
          <w:rFonts w:ascii="Times New Roman" w:hAnsi="Times New Roman"/>
          <w:bCs/>
          <w:color w:val="000000"/>
        </w:rPr>
        <w:t>be also</w:t>
      </w:r>
      <w:proofErr w:type="gramEnd"/>
      <w:r w:rsidRPr="00E9291D">
        <w:rPr>
          <w:rFonts w:ascii="Times New Roman" w:hAnsi="Times New Roman"/>
          <w:bCs/>
          <w:color w:val="000000"/>
        </w:rPr>
        <w:t xml:space="preserve"> </w:t>
      </w:r>
      <w:bookmarkStart w:id="729" w:name="_Hlk157976613"/>
      <w:r w:rsidRPr="00E9291D">
        <w:rPr>
          <w:rFonts w:ascii="Times New Roman" w:hAnsi="Times New Roman"/>
          <w:color w:val="000000"/>
        </w:rPr>
        <w:t>server hypervisor</w:t>
      </w:r>
      <w:bookmarkEnd w:id="729"/>
      <w:r w:rsidR="00E9291D">
        <w:rPr>
          <w:rFonts w:ascii="Times New Roman" w:hAnsi="Times New Roman"/>
          <w:color w:val="000000"/>
        </w:rPr>
        <w:t>.</w:t>
      </w:r>
    </w:p>
    <w:p w14:paraId="30CDD83B" w14:textId="77777777" w:rsidR="009D4C49" w:rsidRPr="00E9291D" w:rsidRDefault="009D4C49" w:rsidP="001136D3">
      <w:pPr>
        <w:pStyle w:val="NormalWeb"/>
        <w:spacing w:before="0" w:beforeAutospacing="0" w:after="0" w:afterAutospacing="0"/>
        <w:rPr>
          <w:rFonts w:ascii="Times New Roman" w:hAnsi="Times New Roman" w:cs="Times New Roman"/>
          <w:color w:val="000000"/>
        </w:rPr>
      </w:pPr>
    </w:p>
    <w:p w14:paraId="2C9EAFFB" w14:textId="6C9FBDC0" w:rsidR="009D4C49" w:rsidRDefault="009D4C49" w:rsidP="009D4C49">
      <w:pPr>
        <w:pStyle w:val="NormalWeb"/>
        <w:spacing w:before="0" w:beforeAutospacing="0" w:after="0" w:afterAutospacing="0"/>
        <w:rPr>
          <w:rFonts w:ascii="Times New Roman" w:hAnsi="Times New Roman"/>
          <w:color w:val="000000"/>
        </w:rPr>
      </w:pPr>
      <w:r w:rsidRPr="00E9291D">
        <w:rPr>
          <w:rFonts w:ascii="Times New Roman" w:hAnsi="Times New Roman"/>
          <w:color w:val="000000"/>
        </w:rPr>
        <w:t xml:space="preserve">All Single Window Project workloads (up to 50 virtual machines) must be safely </w:t>
      </w:r>
      <w:proofErr w:type="gramStart"/>
      <w:r w:rsidRPr="00E9291D">
        <w:rPr>
          <w:rFonts w:ascii="Times New Roman" w:hAnsi="Times New Roman"/>
          <w:color w:val="000000"/>
        </w:rPr>
        <w:t>back</w:t>
      </w:r>
      <w:proofErr w:type="gramEnd"/>
      <w:r w:rsidRPr="00E9291D">
        <w:rPr>
          <w:rFonts w:ascii="Times New Roman" w:hAnsi="Times New Roman"/>
          <w:color w:val="000000"/>
        </w:rPr>
        <w:t xml:space="preserve"> up and replicated to DR site. This requires a separate physical backup server with local backup storage for backup repository and backup software. </w:t>
      </w:r>
      <w:r w:rsidRPr="00E9291D">
        <w:rPr>
          <w:rFonts w:ascii="Times New Roman" w:hAnsi="Times New Roman"/>
          <w:bCs/>
          <w:color w:val="000000"/>
        </w:rPr>
        <w:t xml:space="preserve">Customs already use VEEAM Software for backup virtual machines and </w:t>
      </w:r>
      <w:proofErr w:type="gramStart"/>
      <w:r w:rsidRPr="00E9291D">
        <w:rPr>
          <w:rFonts w:ascii="Times New Roman" w:hAnsi="Times New Roman"/>
          <w:bCs/>
          <w:color w:val="000000"/>
        </w:rPr>
        <w:t>solution</w:t>
      </w:r>
      <w:proofErr w:type="gramEnd"/>
      <w:r w:rsidRPr="00E9291D">
        <w:rPr>
          <w:rFonts w:ascii="Times New Roman" w:hAnsi="Times New Roman"/>
          <w:bCs/>
          <w:color w:val="000000"/>
        </w:rPr>
        <w:t xml:space="preserve"> must upgrade current backup system with licenses for backup additional 50 VM’s</w:t>
      </w:r>
      <w:r w:rsidR="00E9291D">
        <w:rPr>
          <w:rFonts w:ascii="Times New Roman" w:hAnsi="Times New Roman"/>
          <w:bCs/>
          <w:color w:val="000000"/>
        </w:rPr>
        <w:t>.</w:t>
      </w:r>
      <w:r w:rsidRPr="00E9291D">
        <w:rPr>
          <w:rFonts w:ascii="Times New Roman" w:hAnsi="Times New Roman"/>
          <w:color w:val="000000"/>
        </w:rPr>
        <w:t xml:space="preserve"> Licenses supplied with this</w:t>
      </w:r>
      <w:r w:rsidR="00E9291D">
        <w:rPr>
          <w:rFonts w:ascii="Times New Roman" w:hAnsi="Times New Roman"/>
          <w:color w:val="000000"/>
        </w:rPr>
        <w:t xml:space="preserve"> </w:t>
      </w:r>
      <w:r w:rsidRPr="00E9291D">
        <w:rPr>
          <w:rFonts w:ascii="Times New Roman" w:hAnsi="Times New Roman"/>
          <w:color w:val="000000"/>
        </w:rPr>
        <w:t>server hypervisor solution</w:t>
      </w:r>
      <w:r>
        <w:rPr>
          <w:rFonts w:ascii="Times New Roman" w:hAnsi="Times New Roman"/>
          <w:color w:val="000000"/>
        </w:rPr>
        <w:t xml:space="preserve"> must be perpetual (only subscription support is extended</w:t>
      </w:r>
      <w:proofErr w:type="gramStart"/>
      <w:r>
        <w:rPr>
          <w:rFonts w:ascii="Times New Roman" w:hAnsi="Times New Roman"/>
          <w:color w:val="000000"/>
        </w:rPr>
        <w:t>), and</w:t>
      </w:r>
      <w:proofErr w:type="gramEnd"/>
      <w:r>
        <w:rPr>
          <w:rFonts w:ascii="Times New Roman" w:hAnsi="Times New Roman"/>
          <w:color w:val="000000"/>
        </w:rPr>
        <w:t xml:space="preserve"> can be used on any other hardware in the future.</w:t>
      </w:r>
    </w:p>
    <w:p w14:paraId="4CD0DC29" w14:textId="77777777" w:rsidR="005A243C" w:rsidRDefault="005A243C" w:rsidP="001136D3">
      <w:pPr>
        <w:pStyle w:val="NormalWeb"/>
        <w:spacing w:before="0" w:beforeAutospacing="0" w:after="0" w:afterAutospacing="0"/>
        <w:rPr>
          <w:rFonts w:ascii="Times New Roman" w:hAnsi="Times New Roman" w:cs="Times New Roman"/>
          <w:color w:val="000000"/>
        </w:rPr>
      </w:pPr>
    </w:p>
    <w:p w14:paraId="298DBAAC" w14:textId="425187BB" w:rsidR="00157AAA" w:rsidRDefault="006C1BE5" w:rsidP="001136D3">
      <w:pPr>
        <w:pStyle w:val="NormalWeb"/>
        <w:spacing w:before="0" w:beforeAutospacing="0" w:after="0" w:afterAutospacing="0"/>
        <w:rPr>
          <w:rFonts w:ascii="Times New Roman" w:hAnsi="Times New Roman" w:cs="Times New Roman"/>
          <w:color w:val="000000"/>
        </w:rPr>
      </w:pPr>
      <w:r>
        <w:rPr>
          <w:rFonts w:ascii="Times New Roman" w:hAnsi="Times New Roman" w:cs="Times New Roman"/>
          <w:color w:val="000000"/>
        </w:rPr>
        <w:t>All new servers will be equipped with minimum 10/25GbE ports, and TOR switches will have 40/100Gbe uplinks. Offered network equipment required below must be compliant with existing solutions and protocols. It is not expected to introduce any new protocols on devices in the network not affected by this supply.</w:t>
      </w:r>
    </w:p>
    <w:p w14:paraId="58386E55" w14:textId="77777777" w:rsidR="005A243C" w:rsidRDefault="005A243C">
      <w:pPr>
        <w:pStyle w:val="NoSpacing"/>
      </w:pPr>
      <w:bookmarkStart w:id="730" w:name="_Toc145658524"/>
    </w:p>
    <w:p w14:paraId="3D3F0E82" w14:textId="6C17AA9C" w:rsidR="00157AAA" w:rsidRPr="005E0FA9" w:rsidRDefault="006C1BE5">
      <w:pPr>
        <w:pStyle w:val="NoSpacing"/>
        <w:rPr>
          <w:lang w:val="mk-MK"/>
        </w:rPr>
      </w:pPr>
      <w:r w:rsidRPr="00E9291D">
        <w:t xml:space="preserve">Back up Infrastructure </w:t>
      </w:r>
      <w:proofErr w:type="gramStart"/>
      <w:r w:rsidR="009D4C49" w:rsidRPr="00E9291D">
        <w:t xml:space="preserve">is </w:t>
      </w:r>
      <w:r w:rsidRPr="00E9291D">
        <w:t>located in</w:t>
      </w:r>
      <w:proofErr w:type="gramEnd"/>
      <w:r w:rsidRPr="00E9291D">
        <w:t xml:space="preserve"> the Customs Administration</w:t>
      </w:r>
      <w:r w:rsidR="009D4C49" w:rsidRPr="00E9291D">
        <w:t xml:space="preserve"> primary site</w:t>
      </w:r>
      <w:r w:rsidRPr="00E9291D">
        <w:t xml:space="preserve">. This back up </w:t>
      </w:r>
      <w:r w:rsidR="009D4C49" w:rsidRPr="00E9291D">
        <w:t xml:space="preserve">and DR </w:t>
      </w:r>
      <w:r w:rsidRPr="00E9291D">
        <w:t xml:space="preserve">infrastructure will be based on the ACTIVE TO PASSIVE architecture. This structure includes a combination of both active </w:t>
      </w:r>
      <w:r w:rsidR="009D4C49" w:rsidRPr="00E9291D">
        <w:t xml:space="preserve">(on primary site) </w:t>
      </w:r>
      <w:r w:rsidRPr="00E9291D">
        <w:t>and passive components</w:t>
      </w:r>
      <w:r w:rsidR="009D4C49" w:rsidRPr="00E9291D">
        <w:t xml:space="preserve"> (on DR site).</w:t>
      </w:r>
      <w:r w:rsidRPr="00E9291D">
        <w:t xml:space="preserve"> The specific</w:t>
      </w:r>
      <w:r>
        <w:t xml:space="preserve"> mix of active and passive elements will depend on factors such as the organization &amp; </w:t>
      </w:r>
      <w:proofErr w:type="spellStart"/>
      <w:r>
        <w:t>apos’s</w:t>
      </w:r>
      <w:proofErr w:type="spellEnd"/>
      <w:r>
        <w:t xml:space="preserve"> budget, available resources, criticality of systems, and recovery time objectives (RTOs) and recovery point objectives (RPOs) defined during the planning process. By leveraging both active and passive components, organizations can enhance their ability to recover from a disaster efficiently and minimize downtime and data loss.</w:t>
      </w:r>
      <w:bookmarkEnd w:id="730"/>
      <w:r>
        <w:t> </w:t>
      </w:r>
    </w:p>
    <w:p w14:paraId="371C69A5" w14:textId="18DA594C" w:rsidR="00157AAA" w:rsidRDefault="006C1BE5">
      <w:pPr>
        <w:pStyle w:val="Head5a2"/>
        <w:rPr>
          <w:b w:val="0"/>
          <w:bCs/>
        </w:rPr>
      </w:pPr>
      <w:bookmarkStart w:id="731" w:name="_Toc145658525"/>
      <w:r>
        <w:rPr>
          <w:b w:val="0"/>
          <w:bCs/>
        </w:rPr>
        <w:t>1.4</w:t>
      </w:r>
      <w:r>
        <w:rPr>
          <w:b w:val="0"/>
          <w:bCs/>
        </w:rPr>
        <w:tab/>
        <w:t>Systems Administration and Management Functions Required to be met by the Information System</w:t>
      </w:r>
      <w:bookmarkEnd w:id="731"/>
    </w:p>
    <w:p w14:paraId="580D9F4E" w14:textId="77777777" w:rsidR="00157AAA" w:rsidRDefault="00157AAA"/>
    <w:p w14:paraId="1DA54E4D" w14:textId="77777777" w:rsidR="00157AAA" w:rsidRPr="001136D3" w:rsidRDefault="006C1BE5">
      <w:pPr>
        <w:rPr>
          <w:b/>
        </w:rPr>
      </w:pPr>
      <w:r w:rsidRPr="001136D3">
        <w:rPr>
          <w:b/>
        </w:rPr>
        <w:t>1.4.1 The Supplier must make sure that all components have (archiving procedures, configuration management, version control, data management, fallback procedures, problem tracking, and audit trail).</w:t>
      </w:r>
    </w:p>
    <w:p w14:paraId="69B9A714" w14:textId="77777777" w:rsidR="00157AAA" w:rsidRDefault="006C1BE5">
      <w:r>
        <w:t>All components need to keep a log of exchanged information, for relating an error to the information that has been exchanged and to solve any disputes regarding exchanged information. This log needs to contain:</w:t>
      </w:r>
    </w:p>
    <w:p w14:paraId="124B9292" w14:textId="77777777" w:rsidR="00157AAA" w:rsidRDefault="006C1BE5" w:rsidP="00D530D5">
      <w:pPr>
        <w:pStyle w:val="ListParagraph"/>
        <w:numPr>
          <w:ilvl w:val="0"/>
          <w:numId w:val="81"/>
        </w:numPr>
      </w:pPr>
      <w:r>
        <w:t xml:space="preserve">The content of the messages that have been exchanged (either sent or received), thus including all steering information specified by the Data Group, e.g. interchange reference, interchange addresses, message reference, ID number, and functional message </w:t>
      </w:r>
      <w:proofErr w:type="gramStart"/>
      <w:r>
        <w:t>type;</w:t>
      </w:r>
      <w:proofErr w:type="gramEnd"/>
    </w:p>
    <w:p w14:paraId="78429884" w14:textId="77777777" w:rsidR="00157AAA" w:rsidRDefault="006C1BE5" w:rsidP="00D530D5">
      <w:pPr>
        <w:pStyle w:val="ListParagraph"/>
        <w:numPr>
          <w:ilvl w:val="0"/>
          <w:numId w:val="81"/>
        </w:numPr>
      </w:pPr>
      <w:r>
        <w:t xml:space="preserve">A timestamp showing at which date and time the Information Exchange (IE) has been prepared for sending or has been </w:t>
      </w:r>
      <w:proofErr w:type="gramStart"/>
      <w:r>
        <w:t>received;</w:t>
      </w:r>
      <w:proofErr w:type="gramEnd"/>
    </w:p>
    <w:p w14:paraId="2DE209F9" w14:textId="77777777" w:rsidR="00157AAA" w:rsidRDefault="006C1BE5" w:rsidP="00D530D5">
      <w:pPr>
        <w:pStyle w:val="ListParagraph"/>
        <w:numPr>
          <w:ilvl w:val="0"/>
          <w:numId w:val="81"/>
        </w:numPr>
      </w:pPr>
      <w:r>
        <w:t xml:space="preserve">All messages before those are sent, in the format used and with the related </w:t>
      </w:r>
      <w:proofErr w:type="gramStart"/>
      <w:r>
        <w:t>timestamp;</w:t>
      </w:r>
      <w:proofErr w:type="gramEnd"/>
    </w:p>
    <w:p w14:paraId="53A55F69" w14:textId="77777777" w:rsidR="00157AAA" w:rsidRDefault="006C1BE5" w:rsidP="00D530D5">
      <w:pPr>
        <w:pStyle w:val="ListParagraph"/>
        <w:numPr>
          <w:ilvl w:val="0"/>
          <w:numId w:val="81"/>
        </w:numPr>
      </w:pPr>
      <w:r>
        <w:lastRenderedPageBreak/>
        <w:t xml:space="preserve">The result of application processing of the message, including all detected errors and any state change triggered by the message. If any error has been detected, the message will be viewed as not being processed by a National Application </w:t>
      </w:r>
      <w:proofErr w:type="gramStart"/>
      <w:r>
        <w:t>System;</w:t>
      </w:r>
      <w:proofErr w:type="gramEnd"/>
    </w:p>
    <w:p w14:paraId="0A4A23B4" w14:textId="77777777" w:rsidR="00157AAA" w:rsidRDefault="006C1BE5" w:rsidP="00D530D5">
      <w:pPr>
        <w:pStyle w:val="ListParagraph"/>
        <w:numPr>
          <w:ilvl w:val="0"/>
          <w:numId w:val="81"/>
        </w:numPr>
      </w:pPr>
      <w:r>
        <w:t>A timestamp showing the date and time at which the Information Exchange (IE) has been exchanged. At reception, the timestamp is the date and time of receiving the Information Exchange (IE). At sending, it is the date and time of delivering the message to the dispatch service (messaging service</w:t>
      </w:r>
      <w:proofErr w:type="gramStart"/>
      <w:r>
        <w:t>);</w:t>
      </w:r>
      <w:proofErr w:type="gramEnd"/>
    </w:p>
    <w:p w14:paraId="59485AB9" w14:textId="77777777" w:rsidR="00157AAA" w:rsidRDefault="006C1BE5" w:rsidP="00D530D5">
      <w:pPr>
        <w:pStyle w:val="ListParagraph"/>
        <w:numPr>
          <w:ilvl w:val="0"/>
          <w:numId w:val="81"/>
        </w:numPr>
      </w:pPr>
      <w:r>
        <w:t>The name of the queue to which the message has been submitted.</w:t>
      </w:r>
    </w:p>
    <w:p w14:paraId="48386633" w14:textId="77777777" w:rsidR="00157AAA" w:rsidRDefault="006C1BE5">
      <w:pPr>
        <w:pStyle w:val="Head5a2"/>
      </w:pPr>
      <w:bookmarkStart w:id="732" w:name="_Toc145658526"/>
      <w:r>
        <w:t>1.5</w:t>
      </w:r>
      <w:r>
        <w:tab/>
        <w:t>Performance Requirements of the Information System</w:t>
      </w:r>
      <w:bookmarkEnd w:id="727"/>
      <w:bookmarkEnd w:id="732"/>
    </w:p>
    <w:p w14:paraId="36B585EC" w14:textId="77777777" w:rsidR="00157AAA" w:rsidRDefault="006C1BE5">
      <w:pPr>
        <w:pStyle w:val="explanatoryclause"/>
        <w:ind w:left="1411" w:right="0"/>
        <w:rPr>
          <w:rStyle w:val="Preparersnotenobold"/>
          <w:rFonts w:ascii="Times New Roman" w:hAnsi="Times New Roman"/>
          <w:b/>
          <w:sz w:val="24"/>
        </w:rPr>
      </w:pPr>
      <w:r>
        <w:rPr>
          <w:rStyle w:val="Preparersnotenobold"/>
          <w:rFonts w:ascii="Times New Roman" w:hAnsi="Times New Roman"/>
          <w:b/>
          <w:sz w:val="24"/>
        </w:rPr>
        <w:t>1.5.1.1 Availability of Non-Functional Requirements</w:t>
      </w:r>
    </w:p>
    <w:p w14:paraId="6CDF8EF1" w14:textId="77777777" w:rsidR="00157AAA" w:rsidRDefault="006C1BE5">
      <w:pPr>
        <w:pStyle w:val="explanatoryclause"/>
        <w:ind w:right="0"/>
        <w:rPr>
          <w:rStyle w:val="Preparersnotenobold"/>
          <w:rFonts w:ascii="Times New Roman" w:hAnsi="Times New Roman"/>
          <w:i w:val="0"/>
          <w:sz w:val="24"/>
        </w:rPr>
      </w:pPr>
      <w:r>
        <w:rPr>
          <w:rStyle w:val="Preparersnotenobold"/>
          <w:rFonts w:ascii="Times New Roman" w:hAnsi="Times New Roman"/>
          <w:i w:val="0"/>
          <w:sz w:val="24"/>
        </w:rPr>
        <w:t xml:space="preserve">The table below provides the list of required non-functional </w:t>
      </w:r>
      <w:proofErr w:type="gramStart"/>
      <w:r>
        <w:rPr>
          <w:rStyle w:val="Preparersnotenobold"/>
          <w:rFonts w:ascii="Times New Roman" w:hAnsi="Times New Roman"/>
          <w:i w:val="0"/>
          <w:sz w:val="24"/>
        </w:rPr>
        <w:t>requirements</w:t>
      </w:r>
      <w:proofErr w:type="gramEnd"/>
    </w:p>
    <w:p w14:paraId="577B9615" w14:textId="77777777" w:rsidR="00157AAA" w:rsidRDefault="00157AAA">
      <w:pPr>
        <w:pStyle w:val="explanatoryclause"/>
        <w:spacing w:after="0"/>
        <w:ind w:left="1411" w:right="0" w:hanging="734"/>
        <w:rPr>
          <w:rStyle w:val="Preparersnotenobold"/>
          <w:rFonts w:ascii="Times New Roman" w:hAnsi="Times New Roman"/>
          <w:sz w:val="24"/>
        </w:rPr>
      </w:pPr>
    </w:p>
    <w:tbl>
      <w:tblPr>
        <w:tblW w:w="8818" w:type="dxa"/>
        <w:tblInd w:w="79" w:type="dxa"/>
        <w:tblLayout w:type="fixed"/>
        <w:tblLook w:val="04A0" w:firstRow="1" w:lastRow="0" w:firstColumn="1" w:lastColumn="0" w:noHBand="0" w:noVBand="1"/>
      </w:tblPr>
      <w:tblGrid>
        <w:gridCol w:w="1759"/>
        <w:gridCol w:w="1577"/>
        <w:gridCol w:w="5453"/>
        <w:gridCol w:w="29"/>
      </w:tblGrid>
      <w:tr w:rsidR="00157AAA" w14:paraId="04C3E059" w14:textId="77777777" w:rsidTr="001136D3">
        <w:trPr>
          <w:gridAfter w:val="1"/>
          <w:wAfter w:w="29" w:type="dxa"/>
          <w:trHeight w:val="528"/>
          <w:tblHeader/>
        </w:trPr>
        <w:tc>
          <w:tcPr>
            <w:tcW w:w="17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B397813" w14:textId="77777777" w:rsidR="00157AAA" w:rsidRDefault="006C1BE5">
            <w:pPr>
              <w:spacing w:after="0"/>
              <w:jc w:val="left"/>
              <w:rPr>
                <w:b/>
                <w:bCs/>
                <w:szCs w:val="24"/>
                <w:lang w:eastAsia="en-GB"/>
              </w:rPr>
            </w:pPr>
            <w:r>
              <w:rPr>
                <w:b/>
                <w:bCs/>
                <w:szCs w:val="24"/>
              </w:rPr>
              <w:t>Reference ID</w:t>
            </w:r>
          </w:p>
        </w:tc>
        <w:tc>
          <w:tcPr>
            <w:tcW w:w="157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26C03F94" w14:textId="77777777" w:rsidR="00157AAA" w:rsidRDefault="006C1BE5">
            <w:pPr>
              <w:spacing w:after="0"/>
              <w:jc w:val="left"/>
              <w:rPr>
                <w:b/>
                <w:bCs/>
                <w:szCs w:val="24"/>
              </w:rPr>
            </w:pPr>
            <w:r>
              <w:rPr>
                <w:b/>
                <w:bCs/>
                <w:szCs w:val="24"/>
              </w:rPr>
              <w:t>Name</w:t>
            </w:r>
          </w:p>
        </w:tc>
        <w:tc>
          <w:tcPr>
            <w:tcW w:w="5453"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3853DFF7" w14:textId="77777777" w:rsidR="00157AAA" w:rsidRDefault="006C1BE5">
            <w:pPr>
              <w:spacing w:after="0"/>
              <w:jc w:val="left"/>
              <w:rPr>
                <w:b/>
                <w:bCs/>
                <w:szCs w:val="24"/>
              </w:rPr>
            </w:pPr>
            <w:r>
              <w:rPr>
                <w:b/>
                <w:bCs/>
                <w:szCs w:val="24"/>
              </w:rPr>
              <w:t>Description/Definition</w:t>
            </w:r>
          </w:p>
        </w:tc>
      </w:tr>
      <w:tr w:rsidR="00157AAA" w14:paraId="4AF6DDC9"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69827319" w14:textId="77777777" w:rsidR="00157AAA" w:rsidRDefault="006C1BE5">
            <w:pPr>
              <w:spacing w:after="0"/>
              <w:jc w:val="left"/>
              <w:rPr>
                <w:color w:val="000000"/>
                <w:szCs w:val="24"/>
              </w:rPr>
            </w:pPr>
            <w:r>
              <w:rPr>
                <w:color w:val="000000"/>
                <w:szCs w:val="24"/>
              </w:rPr>
              <w:t>NSW_AVA_0001</w:t>
            </w:r>
          </w:p>
        </w:tc>
        <w:tc>
          <w:tcPr>
            <w:tcW w:w="1577" w:type="dxa"/>
            <w:tcBorders>
              <w:top w:val="none" w:sz="4" w:space="0" w:color="000000"/>
              <w:left w:val="none" w:sz="4" w:space="0" w:color="000000"/>
              <w:bottom w:val="single" w:sz="4" w:space="0" w:color="000000"/>
              <w:right w:val="single" w:sz="4" w:space="0" w:color="000000"/>
            </w:tcBorders>
          </w:tcPr>
          <w:p w14:paraId="4C866BD6" w14:textId="77777777" w:rsidR="00157AAA" w:rsidRDefault="006C1BE5">
            <w:pPr>
              <w:spacing w:after="0"/>
              <w:jc w:val="left"/>
              <w:rPr>
                <w:b/>
                <w:bCs/>
                <w:color w:val="000000"/>
                <w:szCs w:val="24"/>
              </w:rPr>
            </w:pPr>
            <w:r>
              <w:rPr>
                <w:b/>
                <w:bCs/>
                <w:color w:val="000000"/>
                <w:szCs w:val="24"/>
              </w:rPr>
              <w:t>Periodic Maintenance Downtime</w:t>
            </w:r>
          </w:p>
        </w:tc>
        <w:tc>
          <w:tcPr>
            <w:tcW w:w="5482" w:type="dxa"/>
            <w:gridSpan w:val="2"/>
            <w:tcBorders>
              <w:top w:val="none" w:sz="4" w:space="0" w:color="000000"/>
              <w:left w:val="none" w:sz="4" w:space="0" w:color="000000"/>
              <w:bottom w:val="single" w:sz="4" w:space="0" w:color="000000"/>
              <w:right w:val="single" w:sz="4" w:space="0" w:color="000000"/>
            </w:tcBorders>
          </w:tcPr>
          <w:p w14:paraId="5BE3BDD8" w14:textId="77777777" w:rsidR="00157AAA" w:rsidRDefault="006C1BE5">
            <w:pPr>
              <w:spacing w:after="0"/>
              <w:rPr>
                <w:color w:val="000000"/>
                <w:szCs w:val="24"/>
              </w:rPr>
            </w:pPr>
            <w:r>
              <w:rPr>
                <w:color w:val="000000"/>
                <w:szCs w:val="24"/>
              </w:rPr>
              <w:t>The system must be designed in a way so that it does not need periodic maintenance that results in significant downtime.</w:t>
            </w:r>
          </w:p>
        </w:tc>
      </w:tr>
      <w:tr w:rsidR="00157AAA" w14:paraId="2A673E98"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7BA74B72" w14:textId="77777777" w:rsidR="00157AAA" w:rsidRDefault="006C1BE5">
            <w:pPr>
              <w:spacing w:after="0"/>
              <w:jc w:val="left"/>
              <w:rPr>
                <w:color w:val="000000"/>
                <w:szCs w:val="24"/>
              </w:rPr>
            </w:pPr>
            <w:r>
              <w:rPr>
                <w:color w:val="000000"/>
                <w:szCs w:val="24"/>
              </w:rPr>
              <w:t>NSW_AVA_0002</w:t>
            </w:r>
          </w:p>
        </w:tc>
        <w:tc>
          <w:tcPr>
            <w:tcW w:w="1577" w:type="dxa"/>
            <w:tcBorders>
              <w:top w:val="none" w:sz="4" w:space="0" w:color="000000"/>
              <w:left w:val="none" w:sz="4" w:space="0" w:color="000000"/>
              <w:bottom w:val="single" w:sz="4" w:space="0" w:color="000000"/>
              <w:right w:val="single" w:sz="4" w:space="0" w:color="000000"/>
            </w:tcBorders>
          </w:tcPr>
          <w:p w14:paraId="5C06560A" w14:textId="77777777" w:rsidR="00157AAA" w:rsidRDefault="006C1BE5">
            <w:pPr>
              <w:spacing w:after="0"/>
              <w:jc w:val="left"/>
              <w:rPr>
                <w:b/>
                <w:bCs/>
                <w:color w:val="000000"/>
                <w:szCs w:val="24"/>
              </w:rPr>
            </w:pPr>
            <w:r>
              <w:rPr>
                <w:b/>
                <w:bCs/>
                <w:color w:val="000000"/>
                <w:szCs w:val="24"/>
              </w:rPr>
              <w:t>Trade Availability Requirement</w:t>
            </w:r>
          </w:p>
        </w:tc>
        <w:tc>
          <w:tcPr>
            <w:tcW w:w="5482" w:type="dxa"/>
            <w:gridSpan w:val="2"/>
            <w:tcBorders>
              <w:top w:val="none" w:sz="4" w:space="0" w:color="000000"/>
              <w:left w:val="none" w:sz="4" w:space="0" w:color="000000"/>
              <w:bottom w:val="single" w:sz="4" w:space="0" w:color="000000"/>
              <w:right w:val="single" w:sz="4" w:space="0" w:color="000000"/>
            </w:tcBorders>
          </w:tcPr>
          <w:p w14:paraId="7A1FA0C2" w14:textId="77777777" w:rsidR="00157AAA" w:rsidRDefault="006C1BE5">
            <w:pPr>
              <w:spacing w:after="0"/>
              <w:rPr>
                <w:color w:val="000000"/>
                <w:szCs w:val="24"/>
              </w:rPr>
            </w:pPr>
            <w:r>
              <w:rPr>
                <w:color w:val="000000"/>
                <w:szCs w:val="24"/>
              </w:rPr>
              <w:t xml:space="preserve">The maximum availability that application for the trader might require and hence the maximum availability that the TA </w:t>
            </w:r>
            <w:proofErr w:type="gramStart"/>
            <w:r>
              <w:rPr>
                <w:color w:val="000000"/>
                <w:szCs w:val="24"/>
              </w:rPr>
              <w:t>has to</w:t>
            </w:r>
            <w:proofErr w:type="gramEnd"/>
            <w:r>
              <w:rPr>
                <w:color w:val="000000"/>
                <w:szCs w:val="24"/>
              </w:rPr>
              <w:t xml:space="preserve"> enable is 99% for a 24/7 period. Initial accepted application availability is 99.9% during business hours and 98% outside business hours, and it should evolve to target availability 99.9% 24/7.</w:t>
            </w:r>
          </w:p>
        </w:tc>
      </w:tr>
      <w:tr w:rsidR="00157AAA" w14:paraId="653714D4"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55D91A78" w14:textId="77777777" w:rsidR="00157AAA" w:rsidRDefault="006C1BE5">
            <w:pPr>
              <w:spacing w:after="0"/>
              <w:jc w:val="left"/>
              <w:rPr>
                <w:color w:val="000000"/>
                <w:szCs w:val="24"/>
              </w:rPr>
            </w:pPr>
            <w:r>
              <w:rPr>
                <w:color w:val="000000"/>
                <w:szCs w:val="24"/>
              </w:rPr>
              <w:t>NSW_AVA_0003</w:t>
            </w:r>
          </w:p>
        </w:tc>
        <w:tc>
          <w:tcPr>
            <w:tcW w:w="1577" w:type="dxa"/>
            <w:tcBorders>
              <w:top w:val="none" w:sz="4" w:space="0" w:color="000000"/>
              <w:left w:val="none" w:sz="4" w:space="0" w:color="000000"/>
              <w:bottom w:val="single" w:sz="4" w:space="0" w:color="000000"/>
              <w:right w:val="single" w:sz="4" w:space="0" w:color="000000"/>
            </w:tcBorders>
          </w:tcPr>
          <w:p w14:paraId="04D951DA" w14:textId="77777777" w:rsidR="00157AAA" w:rsidRDefault="006C1BE5">
            <w:pPr>
              <w:spacing w:after="0"/>
              <w:jc w:val="left"/>
              <w:rPr>
                <w:b/>
                <w:bCs/>
                <w:color w:val="000000"/>
                <w:szCs w:val="24"/>
              </w:rPr>
            </w:pPr>
            <w:r>
              <w:rPr>
                <w:b/>
                <w:bCs/>
                <w:color w:val="000000"/>
                <w:szCs w:val="24"/>
              </w:rPr>
              <w:t>Hot Deployment Support</w:t>
            </w:r>
          </w:p>
        </w:tc>
        <w:tc>
          <w:tcPr>
            <w:tcW w:w="5482" w:type="dxa"/>
            <w:gridSpan w:val="2"/>
            <w:tcBorders>
              <w:top w:val="none" w:sz="4" w:space="0" w:color="000000"/>
              <w:left w:val="none" w:sz="4" w:space="0" w:color="000000"/>
              <w:bottom w:val="single" w:sz="4" w:space="0" w:color="000000"/>
              <w:right w:val="single" w:sz="4" w:space="0" w:color="000000"/>
            </w:tcBorders>
          </w:tcPr>
          <w:p w14:paraId="2025CD06" w14:textId="77777777" w:rsidR="00157AAA" w:rsidRDefault="006C1BE5">
            <w:pPr>
              <w:spacing w:after="0"/>
              <w:rPr>
                <w:color w:val="000000"/>
                <w:szCs w:val="24"/>
              </w:rPr>
            </w:pPr>
            <w:r>
              <w:rPr>
                <w:color w:val="000000"/>
                <w:szCs w:val="24"/>
              </w:rPr>
              <w:t xml:space="preserve">The TA must provide means for application hot deployment support, meaning that installation of a new application version will not result in application down time. </w:t>
            </w:r>
          </w:p>
        </w:tc>
      </w:tr>
      <w:tr w:rsidR="00157AAA" w14:paraId="1404878F"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0D26E4F5" w14:textId="77777777" w:rsidR="00157AAA" w:rsidRDefault="006C1BE5">
            <w:pPr>
              <w:spacing w:after="0"/>
              <w:jc w:val="left"/>
              <w:rPr>
                <w:color w:val="000000"/>
                <w:szCs w:val="24"/>
              </w:rPr>
            </w:pPr>
            <w:r>
              <w:rPr>
                <w:color w:val="000000"/>
                <w:szCs w:val="24"/>
              </w:rPr>
              <w:t>NSW_AVA_0004</w:t>
            </w:r>
          </w:p>
        </w:tc>
        <w:tc>
          <w:tcPr>
            <w:tcW w:w="1577" w:type="dxa"/>
            <w:tcBorders>
              <w:top w:val="none" w:sz="4" w:space="0" w:color="000000"/>
              <w:left w:val="none" w:sz="4" w:space="0" w:color="000000"/>
              <w:bottom w:val="single" w:sz="4" w:space="0" w:color="000000"/>
              <w:right w:val="single" w:sz="4" w:space="0" w:color="000000"/>
            </w:tcBorders>
          </w:tcPr>
          <w:p w14:paraId="282A399C" w14:textId="77777777" w:rsidR="00157AAA" w:rsidRDefault="006C1BE5">
            <w:pPr>
              <w:spacing w:after="0"/>
              <w:jc w:val="left"/>
              <w:rPr>
                <w:b/>
                <w:bCs/>
                <w:color w:val="000000"/>
                <w:szCs w:val="24"/>
              </w:rPr>
            </w:pPr>
            <w:r>
              <w:rPr>
                <w:b/>
                <w:bCs/>
                <w:color w:val="000000"/>
                <w:szCs w:val="24"/>
              </w:rPr>
              <w:t>Minimal Manual Intervention in Recovery</w:t>
            </w:r>
          </w:p>
        </w:tc>
        <w:tc>
          <w:tcPr>
            <w:tcW w:w="5482" w:type="dxa"/>
            <w:gridSpan w:val="2"/>
            <w:tcBorders>
              <w:top w:val="none" w:sz="4" w:space="0" w:color="000000"/>
              <w:left w:val="none" w:sz="4" w:space="0" w:color="000000"/>
              <w:bottom w:val="single" w:sz="4" w:space="0" w:color="000000"/>
              <w:right w:val="single" w:sz="4" w:space="0" w:color="000000"/>
            </w:tcBorders>
          </w:tcPr>
          <w:p w14:paraId="76F0EEC2" w14:textId="77777777" w:rsidR="00157AAA" w:rsidRDefault="006C1BE5">
            <w:pPr>
              <w:spacing w:after="0"/>
              <w:rPr>
                <w:color w:val="000000"/>
                <w:szCs w:val="24"/>
              </w:rPr>
            </w:pPr>
            <w:r>
              <w:rPr>
                <w:color w:val="000000"/>
                <w:szCs w:val="24"/>
              </w:rPr>
              <w:t>After a partial or a total failure of an internal or external component the system must be able to recover. The manual intervention must be minimal.</w:t>
            </w:r>
          </w:p>
        </w:tc>
      </w:tr>
      <w:tr w:rsidR="00157AAA" w14:paraId="24594838"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0CD12ED3" w14:textId="77777777" w:rsidR="00157AAA" w:rsidRDefault="006C1BE5">
            <w:pPr>
              <w:spacing w:after="0"/>
              <w:jc w:val="left"/>
              <w:rPr>
                <w:color w:val="000000"/>
                <w:szCs w:val="24"/>
              </w:rPr>
            </w:pPr>
            <w:r>
              <w:rPr>
                <w:color w:val="000000"/>
                <w:szCs w:val="24"/>
              </w:rPr>
              <w:t>NSW_AVA_0005</w:t>
            </w:r>
          </w:p>
        </w:tc>
        <w:tc>
          <w:tcPr>
            <w:tcW w:w="1577" w:type="dxa"/>
            <w:tcBorders>
              <w:top w:val="none" w:sz="4" w:space="0" w:color="000000"/>
              <w:left w:val="none" w:sz="4" w:space="0" w:color="000000"/>
              <w:bottom w:val="single" w:sz="4" w:space="0" w:color="000000"/>
              <w:right w:val="single" w:sz="4" w:space="0" w:color="000000"/>
            </w:tcBorders>
          </w:tcPr>
          <w:p w14:paraId="4FFE1F21" w14:textId="77777777" w:rsidR="00157AAA" w:rsidRDefault="006C1BE5">
            <w:pPr>
              <w:spacing w:after="0"/>
              <w:jc w:val="left"/>
              <w:rPr>
                <w:b/>
                <w:bCs/>
                <w:color w:val="000000"/>
                <w:szCs w:val="24"/>
              </w:rPr>
            </w:pPr>
            <w:r>
              <w:rPr>
                <w:b/>
                <w:bCs/>
                <w:color w:val="000000"/>
                <w:szCs w:val="24"/>
              </w:rPr>
              <w:t>Failure Containment</w:t>
            </w:r>
          </w:p>
        </w:tc>
        <w:tc>
          <w:tcPr>
            <w:tcW w:w="5482" w:type="dxa"/>
            <w:gridSpan w:val="2"/>
            <w:tcBorders>
              <w:top w:val="none" w:sz="4" w:space="0" w:color="000000"/>
              <w:left w:val="none" w:sz="4" w:space="0" w:color="000000"/>
              <w:bottom w:val="single" w:sz="4" w:space="0" w:color="000000"/>
              <w:right w:val="single" w:sz="4" w:space="0" w:color="000000"/>
            </w:tcBorders>
          </w:tcPr>
          <w:p w14:paraId="62FD23F5" w14:textId="77777777" w:rsidR="00157AAA" w:rsidRDefault="006C1BE5">
            <w:pPr>
              <w:spacing w:after="0"/>
              <w:rPr>
                <w:color w:val="000000"/>
                <w:szCs w:val="24"/>
              </w:rPr>
            </w:pPr>
            <w:r>
              <w:rPr>
                <w:color w:val="000000"/>
                <w:szCs w:val="24"/>
              </w:rPr>
              <w:t>In case of the failure of one component the TA must minimize the effect on other components which are not directly related to the failed component (failure containment).</w:t>
            </w:r>
          </w:p>
        </w:tc>
      </w:tr>
      <w:tr w:rsidR="00157AAA" w14:paraId="014412E4"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10345A7F" w14:textId="77777777" w:rsidR="00157AAA" w:rsidRDefault="006C1BE5">
            <w:pPr>
              <w:spacing w:after="0"/>
              <w:jc w:val="left"/>
              <w:rPr>
                <w:color w:val="000000"/>
                <w:szCs w:val="24"/>
              </w:rPr>
            </w:pPr>
            <w:r>
              <w:rPr>
                <w:color w:val="000000"/>
                <w:szCs w:val="24"/>
              </w:rPr>
              <w:t>NSW_AVA_0006</w:t>
            </w:r>
          </w:p>
        </w:tc>
        <w:tc>
          <w:tcPr>
            <w:tcW w:w="1577" w:type="dxa"/>
            <w:tcBorders>
              <w:top w:val="none" w:sz="4" w:space="0" w:color="000000"/>
              <w:left w:val="none" w:sz="4" w:space="0" w:color="000000"/>
              <w:bottom w:val="single" w:sz="4" w:space="0" w:color="000000"/>
              <w:right w:val="single" w:sz="4" w:space="0" w:color="000000"/>
            </w:tcBorders>
          </w:tcPr>
          <w:p w14:paraId="43807EEC" w14:textId="77777777" w:rsidR="00157AAA" w:rsidRDefault="006C1BE5">
            <w:pPr>
              <w:spacing w:after="0"/>
              <w:jc w:val="left"/>
              <w:rPr>
                <w:b/>
                <w:bCs/>
                <w:color w:val="000000"/>
                <w:szCs w:val="24"/>
              </w:rPr>
            </w:pPr>
            <w:r>
              <w:rPr>
                <w:b/>
                <w:bCs/>
                <w:color w:val="000000"/>
                <w:szCs w:val="24"/>
              </w:rPr>
              <w:t>Application Deployment Rollback</w:t>
            </w:r>
          </w:p>
        </w:tc>
        <w:tc>
          <w:tcPr>
            <w:tcW w:w="5482" w:type="dxa"/>
            <w:gridSpan w:val="2"/>
            <w:tcBorders>
              <w:top w:val="none" w:sz="4" w:space="0" w:color="000000"/>
              <w:left w:val="none" w:sz="4" w:space="0" w:color="000000"/>
              <w:bottom w:val="single" w:sz="4" w:space="0" w:color="000000"/>
              <w:right w:val="single" w:sz="4" w:space="0" w:color="000000"/>
            </w:tcBorders>
          </w:tcPr>
          <w:p w14:paraId="3391F3D5" w14:textId="77777777" w:rsidR="00157AAA" w:rsidRDefault="006C1BE5">
            <w:pPr>
              <w:spacing w:after="0"/>
              <w:rPr>
                <w:color w:val="000000"/>
                <w:szCs w:val="24"/>
              </w:rPr>
            </w:pPr>
            <w:r>
              <w:rPr>
                <w:color w:val="000000"/>
                <w:szCs w:val="24"/>
              </w:rPr>
              <w:t xml:space="preserve">The TA must provide means for application deployment rollback. </w:t>
            </w:r>
          </w:p>
        </w:tc>
      </w:tr>
      <w:tr w:rsidR="00157AAA" w14:paraId="3C70EC68"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2B956682" w14:textId="77777777" w:rsidR="00157AAA" w:rsidRDefault="006C1BE5">
            <w:pPr>
              <w:spacing w:after="0"/>
              <w:jc w:val="left"/>
              <w:rPr>
                <w:color w:val="000000"/>
                <w:szCs w:val="24"/>
              </w:rPr>
            </w:pPr>
            <w:r>
              <w:rPr>
                <w:color w:val="000000"/>
                <w:szCs w:val="24"/>
              </w:rPr>
              <w:t>NSW_AVA_0007</w:t>
            </w:r>
          </w:p>
        </w:tc>
        <w:tc>
          <w:tcPr>
            <w:tcW w:w="1577" w:type="dxa"/>
            <w:tcBorders>
              <w:top w:val="none" w:sz="4" w:space="0" w:color="000000"/>
              <w:left w:val="none" w:sz="4" w:space="0" w:color="000000"/>
              <w:bottom w:val="single" w:sz="4" w:space="0" w:color="000000"/>
              <w:right w:val="single" w:sz="4" w:space="0" w:color="000000"/>
            </w:tcBorders>
          </w:tcPr>
          <w:p w14:paraId="1D8A4D1D" w14:textId="77777777" w:rsidR="00157AAA" w:rsidRDefault="006C1BE5">
            <w:pPr>
              <w:spacing w:after="0"/>
              <w:jc w:val="left"/>
              <w:rPr>
                <w:b/>
                <w:bCs/>
                <w:color w:val="000000"/>
                <w:szCs w:val="24"/>
              </w:rPr>
            </w:pPr>
            <w:r>
              <w:rPr>
                <w:b/>
                <w:bCs/>
                <w:color w:val="000000"/>
                <w:szCs w:val="24"/>
              </w:rPr>
              <w:t>Downtime during Deployment</w:t>
            </w:r>
          </w:p>
        </w:tc>
        <w:tc>
          <w:tcPr>
            <w:tcW w:w="5482" w:type="dxa"/>
            <w:gridSpan w:val="2"/>
            <w:tcBorders>
              <w:top w:val="none" w:sz="4" w:space="0" w:color="000000"/>
              <w:left w:val="none" w:sz="4" w:space="0" w:color="000000"/>
              <w:bottom w:val="single" w:sz="4" w:space="0" w:color="000000"/>
              <w:right w:val="single" w:sz="4" w:space="0" w:color="000000"/>
            </w:tcBorders>
          </w:tcPr>
          <w:p w14:paraId="5DBD263D" w14:textId="77777777" w:rsidR="00157AAA" w:rsidRDefault="006C1BE5">
            <w:pPr>
              <w:spacing w:after="0"/>
              <w:rPr>
                <w:color w:val="000000"/>
                <w:szCs w:val="24"/>
              </w:rPr>
            </w:pPr>
            <w:r>
              <w:rPr>
                <w:color w:val="000000"/>
                <w:szCs w:val="24"/>
              </w:rPr>
              <w:t xml:space="preserve">Downtime during the deployment of the new application version must be minimal. </w:t>
            </w:r>
          </w:p>
        </w:tc>
      </w:tr>
      <w:tr w:rsidR="00157AAA" w14:paraId="4C857586"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532A25B3" w14:textId="77777777" w:rsidR="00157AAA" w:rsidRDefault="006C1BE5">
            <w:pPr>
              <w:spacing w:after="0"/>
              <w:jc w:val="left"/>
              <w:rPr>
                <w:color w:val="000000"/>
                <w:szCs w:val="24"/>
              </w:rPr>
            </w:pPr>
            <w:r>
              <w:rPr>
                <w:color w:val="000000"/>
                <w:szCs w:val="24"/>
              </w:rPr>
              <w:lastRenderedPageBreak/>
              <w:t>NSW_AVA_0008</w:t>
            </w:r>
          </w:p>
        </w:tc>
        <w:tc>
          <w:tcPr>
            <w:tcW w:w="1577" w:type="dxa"/>
            <w:tcBorders>
              <w:top w:val="none" w:sz="4" w:space="0" w:color="000000"/>
              <w:left w:val="none" w:sz="4" w:space="0" w:color="000000"/>
              <w:bottom w:val="single" w:sz="4" w:space="0" w:color="000000"/>
              <w:right w:val="single" w:sz="4" w:space="0" w:color="000000"/>
            </w:tcBorders>
          </w:tcPr>
          <w:p w14:paraId="12F52EA7" w14:textId="77777777" w:rsidR="00157AAA" w:rsidRDefault="006C1BE5">
            <w:pPr>
              <w:spacing w:after="0"/>
              <w:jc w:val="left"/>
              <w:rPr>
                <w:b/>
                <w:bCs/>
                <w:color w:val="000000"/>
                <w:szCs w:val="24"/>
              </w:rPr>
            </w:pPr>
            <w:r>
              <w:rPr>
                <w:b/>
                <w:bCs/>
                <w:color w:val="000000"/>
                <w:szCs w:val="24"/>
              </w:rPr>
              <w:t>Failure of Database</w:t>
            </w:r>
          </w:p>
        </w:tc>
        <w:tc>
          <w:tcPr>
            <w:tcW w:w="5482" w:type="dxa"/>
            <w:gridSpan w:val="2"/>
            <w:tcBorders>
              <w:top w:val="none" w:sz="4" w:space="0" w:color="000000"/>
              <w:left w:val="none" w:sz="4" w:space="0" w:color="000000"/>
              <w:bottom w:val="single" w:sz="4" w:space="0" w:color="000000"/>
              <w:right w:val="single" w:sz="4" w:space="0" w:color="000000"/>
            </w:tcBorders>
          </w:tcPr>
          <w:p w14:paraId="630B8259" w14:textId="77777777" w:rsidR="00157AAA" w:rsidRDefault="006C1BE5">
            <w:pPr>
              <w:spacing w:after="0"/>
              <w:rPr>
                <w:color w:val="000000"/>
                <w:szCs w:val="24"/>
              </w:rPr>
            </w:pPr>
            <w:r>
              <w:rPr>
                <w:color w:val="000000"/>
                <w:szCs w:val="24"/>
              </w:rPr>
              <w:t xml:space="preserve">The system must guarantee the following after a recovery of database:  </w:t>
            </w:r>
          </w:p>
          <w:p w14:paraId="4B948DB0" w14:textId="77777777" w:rsidR="00157AAA" w:rsidRDefault="006C1BE5" w:rsidP="00D530D5">
            <w:pPr>
              <w:pStyle w:val="ListParagraph"/>
              <w:numPr>
                <w:ilvl w:val="0"/>
                <w:numId w:val="125"/>
              </w:numPr>
              <w:spacing w:after="0"/>
              <w:rPr>
                <w:color w:val="000000"/>
                <w:szCs w:val="24"/>
              </w:rPr>
            </w:pPr>
            <w:r>
              <w:rPr>
                <w:color w:val="000000"/>
                <w:szCs w:val="24"/>
              </w:rPr>
              <w:t xml:space="preserve">no loss of transactional </w:t>
            </w:r>
            <w:proofErr w:type="gramStart"/>
            <w:r>
              <w:rPr>
                <w:color w:val="000000"/>
                <w:szCs w:val="24"/>
              </w:rPr>
              <w:t>data;</w:t>
            </w:r>
            <w:proofErr w:type="gramEnd"/>
            <w:r>
              <w:rPr>
                <w:color w:val="000000"/>
                <w:szCs w:val="24"/>
              </w:rPr>
              <w:t xml:space="preserve"> </w:t>
            </w:r>
          </w:p>
          <w:p w14:paraId="1D0C6E5C" w14:textId="77777777" w:rsidR="00157AAA" w:rsidRDefault="006C1BE5" w:rsidP="00D530D5">
            <w:pPr>
              <w:pStyle w:val="ListParagraph"/>
              <w:numPr>
                <w:ilvl w:val="0"/>
                <w:numId w:val="125"/>
              </w:numPr>
              <w:spacing w:after="0"/>
              <w:rPr>
                <w:color w:val="000000"/>
                <w:szCs w:val="24"/>
              </w:rPr>
            </w:pPr>
            <w:r>
              <w:rPr>
                <w:color w:val="000000"/>
                <w:szCs w:val="24"/>
              </w:rPr>
              <w:t xml:space="preserve">business data must remain in consistent </w:t>
            </w:r>
            <w:proofErr w:type="gramStart"/>
            <w:r>
              <w:rPr>
                <w:color w:val="000000"/>
                <w:szCs w:val="24"/>
              </w:rPr>
              <w:t>state;</w:t>
            </w:r>
            <w:proofErr w:type="gramEnd"/>
            <w:r>
              <w:rPr>
                <w:color w:val="000000"/>
                <w:szCs w:val="24"/>
              </w:rPr>
              <w:t xml:space="preserve">   </w:t>
            </w:r>
          </w:p>
          <w:p w14:paraId="00F27599" w14:textId="77777777" w:rsidR="00157AAA" w:rsidRDefault="006C1BE5" w:rsidP="00D530D5">
            <w:pPr>
              <w:pStyle w:val="ListParagraph"/>
              <w:numPr>
                <w:ilvl w:val="0"/>
                <w:numId w:val="125"/>
              </w:numPr>
              <w:spacing w:after="0"/>
              <w:rPr>
                <w:color w:val="000000"/>
                <w:szCs w:val="24"/>
              </w:rPr>
            </w:pPr>
            <w:proofErr w:type="gramStart"/>
            <w:r>
              <w:rPr>
                <w:color w:val="000000"/>
                <w:szCs w:val="24"/>
              </w:rPr>
              <w:t>immediate  availability</w:t>
            </w:r>
            <w:proofErr w:type="gramEnd"/>
            <w:r>
              <w:rPr>
                <w:color w:val="000000"/>
                <w:szCs w:val="24"/>
              </w:rPr>
              <w:t xml:space="preserve"> of database after a failure;  </w:t>
            </w:r>
          </w:p>
          <w:p w14:paraId="70962E91" w14:textId="77777777" w:rsidR="00157AAA" w:rsidRDefault="006C1BE5" w:rsidP="00D530D5">
            <w:pPr>
              <w:pStyle w:val="ListParagraph"/>
              <w:numPr>
                <w:ilvl w:val="0"/>
                <w:numId w:val="125"/>
              </w:numPr>
              <w:spacing w:after="0"/>
              <w:rPr>
                <w:color w:val="000000"/>
                <w:szCs w:val="24"/>
              </w:rPr>
            </w:pPr>
            <w:r>
              <w:rPr>
                <w:color w:val="000000"/>
                <w:szCs w:val="24"/>
              </w:rPr>
              <w:t>no impact on application server components, i.e. transparent failover is required.</w:t>
            </w:r>
          </w:p>
        </w:tc>
      </w:tr>
      <w:tr w:rsidR="00157AAA" w14:paraId="0878B5B3"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36FA7D02" w14:textId="77777777" w:rsidR="00157AAA" w:rsidRDefault="006C1BE5">
            <w:pPr>
              <w:spacing w:after="0"/>
              <w:jc w:val="left"/>
              <w:rPr>
                <w:color w:val="000000"/>
                <w:szCs w:val="24"/>
              </w:rPr>
            </w:pPr>
            <w:r>
              <w:rPr>
                <w:color w:val="000000"/>
                <w:szCs w:val="24"/>
              </w:rPr>
              <w:t>NSW_AVA_0009</w:t>
            </w:r>
          </w:p>
        </w:tc>
        <w:tc>
          <w:tcPr>
            <w:tcW w:w="1577" w:type="dxa"/>
            <w:tcBorders>
              <w:top w:val="none" w:sz="4" w:space="0" w:color="000000"/>
              <w:left w:val="none" w:sz="4" w:space="0" w:color="000000"/>
              <w:bottom w:val="single" w:sz="4" w:space="0" w:color="000000"/>
              <w:right w:val="single" w:sz="4" w:space="0" w:color="000000"/>
            </w:tcBorders>
          </w:tcPr>
          <w:p w14:paraId="429A7BB6" w14:textId="77777777" w:rsidR="00157AAA" w:rsidRDefault="006C1BE5">
            <w:pPr>
              <w:spacing w:after="0"/>
              <w:jc w:val="left"/>
              <w:rPr>
                <w:b/>
                <w:bCs/>
                <w:color w:val="000000"/>
                <w:szCs w:val="24"/>
              </w:rPr>
            </w:pPr>
            <w:r>
              <w:rPr>
                <w:b/>
                <w:bCs/>
                <w:color w:val="000000"/>
                <w:szCs w:val="24"/>
              </w:rPr>
              <w:t>Presentation Layer</w:t>
            </w:r>
          </w:p>
        </w:tc>
        <w:tc>
          <w:tcPr>
            <w:tcW w:w="5482" w:type="dxa"/>
            <w:gridSpan w:val="2"/>
            <w:tcBorders>
              <w:top w:val="none" w:sz="4" w:space="0" w:color="000000"/>
              <w:left w:val="none" w:sz="4" w:space="0" w:color="000000"/>
              <w:bottom w:val="single" w:sz="4" w:space="0" w:color="000000"/>
              <w:right w:val="single" w:sz="4" w:space="0" w:color="000000"/>
            </w:tcBorders>
          </w:tcPr>
          <w:p w14:paraId="3B88C19F" w14:textId="77777777" w:rsidR="00157AAA" w:rsidRDefault="006C1BE5">
            <w:pPr>
              <w:spacing w:after="0"/>
              <w:rPr>
                <w:color w:val="000000"/>
                <w:szCs w:val="24"/>
              </w:rPr>
            </w:pPr>
            <w:r>
              <w:rPr>
                <w:color w:val="000000"/>
                <w:szCs w:val="24"/>
              </w:rPr>
              <w:t>The system must guarantee at the presentation layer the continued processing of all user requests that may have been initiated before the failure, i.e. transparent failover is required, without a need to re-login and re-submit of the request.</w:t>
            </w:r>
          </w:p>
        </w:tc>
      </w:tr>
      <w:tr w:rsidR="00157AAA" w14:paraId="7B4BBC5C" w14:textId="77777777" w:rsidTr="001136D3">
        <w:trPr>
          <w:trHeight w:val="528"/>
        </w:trPr>
        <w:tc>
          <w:tcPr>
            <w:tcW w:w="1759" w:type="dxa"/>
            <w:tcBorders>
              <w:top w:val="none" w:sz="4" w:space="0" w:color="000000"/>
              <w:left w:val="single" w:sz="4" w:space="0" w:color="000000"/>
              <w:bottom w:val="single" w:sz="4" w:space="0" w:color="000000"/>
              <w:right w:val="single" w:sz="4" w:space="0" w:color="000000"/>
            </w:tcBorders>
          </w:tcPr>
          <w:p w14:paraId="19DF4BB4" w14:textId="77777777" w:rsidR="00157AAA" w:rsidRDefault="006C1BE5">
            <w:pPr>
              <w:spacing w:after="0"/>
              <w:jc w:val="left"/>
              <w:rPr>
                <w:color w:val="000000"/>
                <w:szCs w:val="24"/>
              </w:rPr>
            </w:pPr>
            <w:r>
              <w:rPr>
                <w:color w:val="000000"/>
                <w:szCs w:val="24"/>
              </w:rPr>
              <w:t>NSW_AVA_0010</w:t>
            </w:r>
          </w:p>
        </w:tc>
        <w:tc>
          <w:tcPr>
            <w:tcW w:w="1577" w:type="dxa"/>
            <w:tcBorders>
              <w:top w:val="none" w:sz="4" w:space="0" w:color="000000"/>
              <w:left w:val="none" w:sz="4" w:space="0" w:color="000000"/>
              <w:bottom w:val="single" w:sz="4" w:space="0" w:color="000000"/>
              <w:right w:val="single" w:sz="4" w:space="0" w:color="000000"/>
            </w:tcBorders>
          </w:tcPr>
          <w:p w14:paraId="2667EA4B" w14:textId="77777777" w:rsidR="00157AAA" w:rsidRDefault="006C1BE5">
            <w:pPr>
              <w:spacing w:after="0"/>
              <w:jc w:val="left"/>
              <w:rPr>
                <w:b/>
                <w:bCs/>
                <w:color w:val="000000"/>
                <w:szCs w:val="24"/>
              </w:rPr>
            </w:pPr>
            <w:r>
              <w:rPr>
                <w:b/>
                <w:bCs/>
                <w:color w:val="000000"/>
                <w:szCs w:val="24"/>
              </w:rPr>
              <w:t>Asynchronous Layer</w:t>
            </w:r>
          </w:p>
        </w:tc>
        <w:tc>
          <w:tcPr>
            <w:tcW w:w="5482" w:type="dxa"/>
            <w:gridSpan w:val="2"/>
            <w:tcBorders>
              <w:top w:val="none" w:sz="4" w:space="0" w:color="000000"/>
              <w:left w:val="none" w:sz="4" w:space="0" w:color="000000"/>
              <w:bottom w:val="single" w:sz="4" w:space="0" w:color="000000"/>
              <w:right w:val="single" w:sz="4" w:space="0" w:color="000000"/>
            </w:tcBorders>
          </w:tcPr>
          <w:p w14:paraId="7B941808" w14:textId="77777777" w:rsidR="00157AAA" w:rsidRDefault="006C1BE5">
            <w:pPr>
              <w:spacing w:after="0"/>
              <w:rPr>
                <w:color w:val="000000"/>
                <w:szCs w:val="24"/>
              </w:rPr>
            </w:pPr>
            <w:r>
              <w:rPr>
                <w:color w:val="000000"/>
                <w:szCs w:val="24"/>
              </w:rPr>
              <w:t xml:space="preserve">At the asynchronous layer the system must guarantee the following after a failure:  </w:t>
            </w:r>
          </w:p>
          <w:p w14:paraId="7B6AF479" w14:textId="77777777" w:rsidR="00157AAA" w:rsidRDefault="006C1BE5" w:rsidP="00D530D5">
            <w:pPr>
              <w:pStyle w:val="ListParagraph"/>
              <w:numPr>
                <w:ilvl w:val="0"/>
                <w:numId w:val="126"/>
              </w:numPr>
              <w:spacing w:after="0"/>
              <w:rPr>
                <w:color w:val="000000"/>
                <w:szCs w:val="24"/>
              </w:rPr>
            </w:pPr>
            <w:r>
              <w:rPr>
                <w:color w:val="000000"/>
                <w:szCs w:val="24"/>
              </w:rPr>
              <w:t xml:space="preserve">no message should be </w:t>
            </w:r>
            <w:proofErr w:type="gramStart"/>
            <w:r>
              <w:rPr>
                <w:color w:val="000000"/>
                <w:szCs w:val="24"/>
              </w:rPr>
              <w:t>lost;</w:t>
            </w:r>
            <w:proofErr w:type="gramEnd"/>
            <w:r>
              <w:rPr>
                <w:color w:val="000000"/>
                <w:szCs w:val="24"/>
              </w:rPr>
              <w:t xml:space="preserve"> </w:t>
            </w:r>
          </w:p>
          <w:p w14:paraId="5131B2AD" w14:textId="77777777" w:rsidR="00157AAA" w:rsidRDefault="006C1BE5" w:rsidP="00D530D5">
            <w:pPr>
              <w:pStyle w:val="ListParagraph"/>
              <w:numPr>
                <w:ilvl w:val="0"/>
                <w:numId w:val="126"/>
              </w:numPr>
              <w:spacing w:after="0"/>
              <w:rPr>
                <w:color w:val="000000"/>
                <w:szCs w:val="24"/>
              </w:rPr>
            </w:pPr>
            <w:r>
              <w:rPr>
                <w:color w:val="000000"/>
                <w:szCs w:val="24"/>
              </w:rPr>
              <w:t xml:space="preserve">ability to process queued messages right after a </w:t>
            </w:r>
            <w:proofErr w:type="gramStart"/>
            <w:r>
              <w:rPr>
                <w:color w:val="000000"/>
                <w:szCs w:val="24"/>
              </w:rPr>
              <w:t>failure;</w:t>
            </w:r>
            <w:proofErr w:type="gramEnd"/>
            <w:r>
              <w:rPr>
                <w:color w:val="000000"/>
                <w:szCs w:val="24"/>
              </w:rPr>
              <w:t xml:space="preserve">  </w:t>
            </w:r>
          </w:p>
          <w:p w14:paraId="7AA08643" w14:textId="77777777" w:rsidR="00157AAA" w:rsidRDefault="006C1BE5" w:rsidP="00D530D5">
            <w:pPr>
              <w:pStyle w:val="ListParagraph"/>
              <w:numPr>
                <w:ilvl w:val="0"/>
                <w:numId w:val="126"/>
              </w:numPr>
              <w:spacing w:after="0"/>
              <w:rPr>
                <w:color w:val="000000"/>
                <w:szCs w:val="24"/>
              </w:rPr>
            </w:pPr>
            <w:r>
              <w:rPr>
                <w:color w:val="000000"/>
                <w:szCs w:val="24"/>
              </w:rPr>
              <w:t xml:space="preserve">continued processing of messages that were in progress </w:t>
            </w:r>
            <w:proofErr w:type="gramStart"/>
            <w:r>
              <w:rPr>
                <w:color w:val="000000"/>
                <w:szCs w:val="24"/>
              </w:rPr>
              <w:t>at the moment</w:t>
            </w:r>
            <w:proofErr w:type="gramEnd"/>
            <w:r>
              <w:rPr>
                <w:color w:val="000000"/>
                <w:szCs w:val="24"/>
              </w:rPr>
              <w:t xml:space="preserve"> of a failure, i.e. failed messages need to be re-processed.</w:t>
            </w:r>
          </w:p>
        </w:tc>
      </w:tr>
      <w:tr w:rsidR="00157AAA" w14:paraId="662FD74B" w14:textId="77777777" w:rsidTr="001136D3">
        <w:trPr>
          <w:trHeight w:val="1057"/>
        </w:trPr>
        <w:tc>
          <w:tcPr>
            <w:tcW w:w="1759" w:type="dxa"/>
            <w:tcBorders>
              <w:top w:val="none" w:sz="4" w:space="0" w:color="000000"/>
              <w:left w:val="single" w:sz="4" w:space="0" w:color="000000"/>
              <w:bottom w:val="single" w:sz="4" w:space="0" w:color="000000"/>
              <w:right w:val="single" w:sz="4" w:space="0" w:color="000000"/>
            </w:tcBorders>
          </w:tcPr>
          <w:p w14:paraId="238617B9" w14:textId="77777777" w:rsidR="00157AAA" w:rsidRDefault="006C1BE5">
            <w:pPr>
              <w:spacing w:after="0"/>
              <w:jc w:val="left"/>
              <w:rPr>
                <w:color w:val="000000"/>
                <w:szCs w:val="24"/>
              </w:rPr>
            </w:pPr>
            <w:r>
              <w:rPr>
                <w:color w:val="000000"/>
                <w:szCs w:val="24"/>
              </w:rPr>
              <w:t>NSW_AVA_0011</w:t>
            </w:r>
          </w:p>
        </w:tc>
        <w:tc>
          <w:tcPr>
            <w:tcW w:w="1577" w:type="dxa"/>
            <w:tcBorders>
              <w:top w:val="none" w:sz="4" w:space="0" w:color="000000"/>
              <w:left w:val="none" w:sz="4" w:space="0" w:color="000000"/>
              <w:bottom w:val="single" w:sz="4" w:space="0" w:color="000000"/>
              <w:right w:val="single" w:sz="4" w:space="0" w:color="000000"/>
            </w:tcBorders>
          </w:tcPr>
          <w:p w14:paraId="6A48E940" w14:textId="77777777" w:rsidR="00157AAA" w:rsidRDefault="006C1BE5">
            <w:pPr>
              <w:spacing w:after="0"/>
              <w:jc w:val="left"/>
              <w:rPr>
                <w:b/>
                <w:bCs/>
                <w:color w:val="000000"/>
                <w:szCs w:val="24"/>
              </w:rPr>
            </w:pPr>
            <w:r>
              <w:rPr>
                <w:b/>
                <w:bCs/>
                <w:color w:val="000000"/>
                <w:szCs w:val="24"/>
              </w:rPr>
              <w:t>Ability to Recover by Resubmitting Failed Request</w:t>
            </w:r>
          </w:p>
        </w:tc>
        <w:tc>
          <w:tcPr>
            <w:tcW w:w="5482" w:type="dxa"/>
            <w:gridSpan w:val="2"/>
            <w:tcBorders>
              <w:top w:val="none" w:sz="4" w:space="0" w:color="000000"/>
              <w:left w:val="none" w:sz="4" w:space="0" w:color="000000"/>
              <w:bottom w:val="single" w:sz="4" w:space="0" w:color="000000"/>
              <w:right w:val="single" w:sz="4" w:space="0" w:color="000000"/>
            </w:tcBorders>
          </w:tcPr>
          <w:p w14:paraId="0A291C50" w14:textId="77777777" w:rsidR="00157AAA" w:rsidRDefault="006C1BE5">
            <w:pPr>
              <w:spacing w:after="0"/>
              <w:rPr>
                <w:color w:val="000000"/>
                <w:szCs w:val="24"/>
              </w:rPr>
            </w:pPr>
            <w:r>
              <w:rPr>
                <w:color w:val="000000"/>
                <w:szCs w:val="24"/>
              </w:rPr>
              <w:t>The system must guarantee at the presentation and web service layers the ability to recover by resubmitting the failed request by the end user, right after a failure.</w:t>
            </w:r>
          </w:p>
        </w:tc>
      </w:tr>
      <w:tr w:rsidR="00157AAA" w14:paraId="0AAAE752" w14:textId="77777777" w:rsidTr="001136D3">
        <w:trPr>
          <w:trHeight w:val="530"/>
        </w:trPr>
        <w:tc>
          <w:tcPr>
            <w:tcW w:w="1759" w:type="dxa"/>
            <w:tcBorders>
              <w:top w:val="none" w:sz="4" w:space="0" w:color="000000"/>
              <w:left w:val="single" w:sz="4" w:space="0" w:color="000000"/>
              <w:bottom w:val="single" w:sz="4" w:space="0" w:color="000000"/>
              <w:right w:val="single" w:sz="4" w:space="0" w:color="000000"/>
            </w:tcBorders>
          </w:tcPr>
          <w:p w14:paraId="546334DB" w14:textId="77777777" w:rsidR="00157AAA" w:rsidRDefault="006C1BE5">
            <w:pPr>
              <w:spacing w:after="0"/>
              <w:jc w:val="left"/>
              <w:rPr>
                <w:color w:val="000000"/>
                <w:szCs w:val="24"/>
              </w:rPr>
            </w:pPr>
            <w:r>
              <w:rPr>
                <w:color w:val="000000"/>
                <w:szCs w:val="24"/>
              </w:rPr>
              <w:t>NSW_AVA_0012</w:t>
            </w:r>
          </w:p>
        </w:tc>
        <w:tc>
          <w:tcPr>
            <w:tcW w:w="1577" w:type="dxa"/>
            <w:tcBorders>
              <w:top w:val="none" w:sz="4" w:space="0" w:color="000000"/>
              <w:left w:val="none" w:sz="4" w:space="0" w:color="000000"/>
              <w:bottom w:val="single" w:sz="4" w:space="0" w:color="000000"/>
              <w:right w:val="single" w:sz="4" w:space="0" w:color="000000"/>
            </w:tcBorders>
          </w:tcPr>
          <w:p w14:paraId="7CEFA2E0" w14:textId="77777777" w:rsidR="00157AAA" w:rsidRDefault="006C1BE5">
            <w:pPr>
              <w:spacing w:after="0"/>
              <w:jc w:val="left"/>
              <w:rPr>
                <w:b/>
                <w:bCs/>
                <w:color w:val="000000"/>
                <w:szCs w:val="24"/>
              </w:rPr>
            </w:pPr>
            <w:r>
              <w:rPr>
                <w:b/>
                <w:bCs/>
                <w:szCs w:val="24"/>
              </w:rPr>
              <w:t>Failure of Asynchronous Communication</w:t>
            </w:r>
            <w:r>
              <w:rPr>
                <w:b/>
                <w:bCs/>
                <w:color w:val="000000"/>
                <w:szCs w:val="24"/>
              </w:rPr>
              <w:br/>
            </w:r>
            <w:r>
              <w:rPr>
                <w:b/>
                <w:bCs/>
                <w:szCs w:val="24"/>
              </w:rPr>
              <w:t>Component</w:t>
            </w:r>
          </w:p>
          <w:p w14:paraId="10486C1B" w14:textId="77777777" w:rsidR="00157AAA" w:rsidRDefault="00157AAA">
            <w:pPr>
              <w:spacing w:after="0"/>
              <w:jc w:val="left"/>
              <w:rPr>
                <w:b/>
                <w:bCs/>
                <w:color w:val="000000"/>
                <w:szCs w:val="24"/>
              </w:rPr>
            </w:pPr>
          </w:p>
        </w:tc>
        <w:tc>
          <w:tcPr>
            <w:tcW w:w="5482" w:type="dxa"/>
            <w:gridSpan w:val="2"/>
            <w:tcBorders>
              <w:top w:val="none" w:sz="4" w:space="0" w:color="000000"/>
              <w:left w:val="none" w:sz="4" w:space="0" w:color="000000"/>
              <w:bottom w:val="single" w:sz="4" w:space="0" w:color="000000"/>
              <w:right w:val="single" w:sz="4" w:space="0" w:color="000000"/>
            </w:tcBorders>
          </w:tcPr>
          <w:p w14:paraId="4567FDAF" w14:textId="77777777" w:rsidR="00157AAA" w:rsidRDefault="006C1BE5">
            <w:pPr>
              <w:spacing w:after="0"/>
              <w:rPr>
                <w:szCs w:val="24"/>
              </w:rPr>
            </w:pPr>
            <w:r>
              <w:rPr>
                <w:szCs w:val="24"/>
              </w:rPr>
              <w:t>The NSW must guarantee the following after a failure of the asynchronous communication component:</w:t>
            </w:r>
          </w:p>
          <w:p w14:paraId="417BED0E" w14:textId="77777777" w:rsidR="00157AAA" w:rsidRDefault="006C1BE5" w:rsidP="00D530D5">
            <w:pPr>
              <w:pStyle w:val="ListParagraph"/>
              <w:numPr>
                <w:ilvl w:val="0"/>
                <w:numId w:val="115"/>
              </w:numPr>
              <w:spacing w:after="0"/>
              <w:rPr>
                <w:color w:val="000000"/>
                <w:szCs w:val="24"/>
              </w:rPr>
            </w:pPr>
            <w:r>
              <w:rPr>
                <w:szCs w:val="24"/>
              </w:rPr>
              <w:t xml:space="preserve">no message should be </w:t>
            </w:r>
            <w:proofErr w:type="gramStart"/>
            <w:r>
              <w:rPr>
                <w:szCs w:val="24"/>
              </w:rPr>
              <w:t>lost;</w:t>
            </w:r>
            <w:proofErr w:type="gramEnd"/>
          </w:p>
          <w:p w14:paraId="4A41FAB1" w14:textId="77777777" w:rsidR="00157AAA" w:rsidRDefault="006C1BE5" w:rsidP="00D530D5">
            <w:pPr>
              <w:pStyle w:val="ListParagraph"/>
              <w:numPr>
                <w:ilvl w:val="0"/>
                <w:numId w:val="115"/>
              </w:numPr>
              <w:spacing w:after="0"/>
              <w:rPr>
                <w:color w:val="000000"/>
                <w:szCs w:val="24"/>
              </w:rPr>
            </w:pPr>
            <w:r>
              <w:rPr>
                <w:szCs w:val="24"/>
              </w:rPr>
              <w:t xml:space="preserve">messages and JMS messages must remain in a consistent </w:t>
            </w:r>
            <w:proofErr w:type="gramStart"/>
            <w:r>
              <w:rPr>
                <w:szCs w:val="24"/>
              </w:rPr>
              <w:t>state;</w:t>
            </w:r>
            <w:proofErr w:type="gramEnd"/>
          </w:p>
          <w:p w14:paraId="603B3283" w14:textId="77777777" w:rsidR="00157AAA" w:rsidRDefault="006C1BE5" w:rsidP="00D530D5">
            <w:pPr>
              <w:pStyle w:val="ListParagraph"/>
              <w:numPr>
                <w:ilvl w:val="0"/>
                <w:numId w:val="115"/>
              </w:numPr>
              <w:spacing w:after="0"/>
              <w:rPr>
                <w:color w:val="000000"/>
                <w:szCs w:val="24"/>
              </w:rPr>
            </w:pPr>
            <w:r>
              <w:rPr>
                <w:szCs w:val="24"/>
              </w:rPr>
              <w:t xml:space="preserve">no duplicate delivery of the same message after a </w:t>
            </w:r>
            <w:proofErr w:type="gramStart"/>
            <w:r>
              <w:rPr>
                <w:szCs w:val="24"/>
              </w:rPr>
              <w:t>failure;</w:t>
            </w:r>
            <w:proofErr w:type="gramEnd"/>
          </w:p>
          <w:p w14:paraId="5A0DC01A" w14:textId="77777777" w:rsidR="00157AAA" w:rsidRDefault="006C1BE5" w:rsidP="00D530D5">
            <w:pPr>
              <w:pStyle w:val="ListParagraph"/>
              <w:numPr>
                <w:ilvl w:val="0"/>
                <w:numId w:val="115"/>
              </w:numPr>
              <w:spacing w:after="0"/>
              <w:rPr>
                <w:rStyle w:val="fontstyle01"/>
                <w:rFonts w:ascii="Times New Roman" w:hAnsi="Times New Roman"/>
                <w:sz w:val="24"/>
                <w:szCs w:val="24"/>
              </w:rPr>
            </w:pPr>
            <w:r>
              <w:rPr>
                <w:szCs w:val="24"/>
              </w:rPr>
              <w:t xml:space="preserve">ability to process queued messages right after a </w:t>
            </w:r>
            <w:proofErr w:type="gramStart"/>
            <w:r>
              <w:rPr>
                <w:rStyle w:val="fontstyle01"/>
                <w:rFonts w:ascii="Times New Roman" w:hAnsi="Times New Roman"/>
                <w:sz w:val="24"/>
                <w:szCs w:val="24"/>
              </w:rPr>
              <w:t>recovery;</w:t>
            </w:r>
            <w:proofErr w:type="gramEnd"/>
          </w:p>
          <w:p w14:paraId="5C8F9097" w14:textId="77777777" w:rsidR="00157AAA" w:rsidRDefault="006C1BE5" w:rsidP="00D530D5">
            <w:pPr>
              <w:pStyle w:val="ListParagraph"/>
              <w:numPr>
                <w:ilvl w:val="0"/>
                <w:numId w:val="115"/>
              </w:numPr>
              <w:spacing w:after="0"/>
              <w:rPr>
                <w:color w:val="000000"/>
                <w:szCs w:val="24"/>
              </w:rPr>
            </w:pPr>
            <w:r>
              <w:rPr>
                <w:rStyle w:val="fontstyle01"/>
                <w:rFonts w:ascii="Times New Roman" w:hAnsi="Times New Roman"/>
                <w:sz w:val="24"/>
                <w:szCs w:val="24"/>
              </w:rPr>
              <w:t xml:space="preserve">continued reprocessing of messages that were in progress </w:t>
            </w:r>
            <w:proofErr w:type="gramStart"/>
            <w:r>
              <w:rPr>
                <w:rStyle w:val="fontstyle01"/>
                <w:rFonts w:ascii="Times New Roman" w:hAnsi="Times New Roman"/>
                <w:sz w:val="24"/>
                <w:szCs w:val="24"/>
              </w:rPr>
              <w:t>at the moment</w:t>
            </w:r>
            <w:proofErr w:type="gramEnd"/>
            <w:r>
              <w:rPr>
                <w:rStyle w:val="fontstyle01"/>
                <w:rFonts w:ascii="Times New Roman" w:hAnsi="Times New Roman"/>
                <w:sz w:val="24"/>
                <w:szCs w:val="24"/>
              </w:rPr>
              <w:t xml:space="preserve"> of a failure, i.e. failed messages need to be re-processed.</w:t>
            </w:r>
          </w:p>
        </w:tc>
      </w:tr>
      <w:tr w:rsidR="00157AAA" w14:paraId="4AE3C4A2" w14:textId="77777777" w:rsidTr="001136D3">
        <w:trPr>
          <w:trHeight w:val="1057"/>
        </w:trPr>
        <w:tc>
          <w:tcPr>
            <w:tcW w:w="1759" w:type="dxa"/>
            <w:tcBorders>
              <w:top w:val="none" w:sz="4" w:space="0" w:color="000000"/>
              <w:left w:val="single" w:sz="4" w:space="0" w:color="000000"/>
              <w:bottom w:val="single" w:sz="4" w:space="0" w:color="000000"/>
              <w:right w:val="single" w:sz="4" w:space="0" w:color="000000"/>
            </w:tcBorders>
          </w:tcPr>
          <w:p w14:paraId="5978EEEF" w14:textId="77777777" w:rsidR="00157AAA" w:rsidRDefault="006C1BE5">
            <w:pPr>
              <w:spacing w:after="0"/>
              <w:jc w:val="left"/>
              <w:rPr>
                <w:color w:val="000000"/>
                <w:szCs w:val="24"/>
              </w:rPr>
            </w:pPr>
            <w:r>
              <w:rPr>
                <w:color w:val="000000"/>
                <w:szCs w:val="24"/>
              </w:rPr>
              <w:t>NSW_AVA_0013</w:t>
            </w:r>
          </w:p>
        </w:tc>
        <w:tc>
          <w:tcPr>
            <w:tcW w:w="1577" w:type="dxa"/>
            <w:tcBorders>
              <w:top w:val="none" w:sz="4" w:space="0" w:color="000000"/>
              <w:left w:val="none" w:sz="4" w:space="0" w:color="000000"/>
              <w:bottom w:val="single" w:sz="4" w:space="0" w:color="000000"/>
              <w:right w:val="single" w:sz="4" w:space="0" w:color="000000"/>
            </w:tcBorders>
          </w:tcPr>
          <w:p w14:paraId="0F731EDE" w14:textId="77777777" w:rsidR="00157AAA" w:rsidRDefault="006C1BE5">
            <w:pPr>
              <w:spacing w:after="0"/>
              <w:jc w:val="left"/>
              <w:rPr>
                <w:b/>
                <w:bCs/>
                <w:szCs w:val="24"/>
              </w:rPr>
            </w:pPr>
            <w:r>
              <w:rPr>
                <w:b/>
                <w:bCs/>
                <w:szCs w:val="24"/>
              </w:rPr>
              <w:t>Failure of HTTP Communication</w:t>
            </w:r>
          </w:p>
          <w:p w14:paraId="4E73EE88" w14:textId="77777777" w:rsidR="00157AAA" w:rsidRDefault="00157AAA">
            <w:pPr>
              <w:spacing w:after="0"/>
              <w:jc w:val="left"/>
              <w:rPr>
                <w:b/>
                <w:bCs/>
                <w:color w:val="000000"/>
                <w:szCs w:val="24"/>
              </w:rPr>
            </w:pPr>
          </w:p>
        </w:tc>
        <w:tc>
          <w:tcPr>
            <w:tcW w:w="5482" w:type="dxa"/>
            <w:gridSpan w:val="2"/>
            <w:tcBorders>
              <w:top w:val="none" w:sz="4" w:space="0" w:color="000000"/>
              <w:left w:val="none" w:sz="4" w:space="0" w:color="000000"/>
              <w:bottom w:val="single" w:sz="4" w:space="0" w:color="000000"/>
              <w:right w:val="single" w:sz="4" w:space="0" w:color="000000"/>
            </w:tcBorders>
          </w:tcPr>
          <w:p w14:paraId="5092C6F9" w14:textId="77777777" w:rsidR="00157AAA" w:rsidRDefault="006C1BE5">
            <w:pPr>
              <w:spacing w:after="0"/>
              <w:rPr>
                <w:szCs w:val="24"/>
              </w:rPr>
            </w:pPr>
            <w:r>
              <w:rPr>
                <w:szCs w:val="24"/>
              </w:rPr>
              <w:t>The NSW must guarantee the following after a failure of</w:t>
            </w:r>
            <w:r>
              <w:rPr>
                <w:color w:val="000000"/>
                <w:szCs w:val="24"/>
              </w:rPr>
              <w:t xml:space="preserve"> </w:t>
            </w:r>
            <w:r>
              <w:rPr>
                <w:szCs w:val="24"/>
              </w:rPr>
              <w:t>HTTP communication:</w:t>
            </w:r>
          </w:p>
          <w:p w14:paraId="29E82A0E" w14:textId="77777777" w:rsidR="00157AAA" w:rsidRDefault="006C1BE5" w:rsidP="00D530D5">
            <w:pPr>
              <w:pStyle w:val="ListParagraph"/>
              <w:numPr>
                <w:ilvl w:val="0"/>
                <w:numId w:val="116"/>
              </w:numPr>
              <w:spacing w:after="0"/>
              <w:rPr>
                <w:color w:val="000000"/>
                <w:szCs w:val="24"/>
              </w:rPr>
            </w:pPr>
            <w:r>
              <w:rPr>
                <w:szCs w:val="24"/>
              </w:rPr>
              <w:t xml:space="preserve">Ability to process a new request right after a </w:t>
            </w:r>
            <w:proofErr w:type="gramStart"/>
            <w:r>
              <w:rPr>
                <w:szCs w:val="24"/>
              </w:rPr>
              <w:t>failure;</w:t>
            </w:r>
            <w:proofErr w:type="gramEnd"/>
          </w:p>
          <w:p w14:paraId="4AA22EA1" w14:textId="77777777" w:rsidR="00157AAA" w:rsidRDefault="006C1BE5" w:rsidP="00D530D5">
            <w:pPr>
              <w:pStyle w:val="ListParagraph"/>
              <w:numPr>
                <w:ilvl w:val="0"/>
                <w:numId w:val="116"/>
              </w:numPr>
              <w:spacing w:after="0"/>
              <w:rPr>
                <w:color w:val="000000"/>
                <w:szCs w:val="24"/>
              </w:rPr>
            </w:pPr>
            <w:r>
              <w:rPr>
                <w:szCs w:val="24"/>
              </w:rPr>
              <w:t xml:space="preserve">Continued processing of all user requests that may have been initiated before a failure, i.e. </w:t>
            </w:r>
            <w:r>
              <w:rPr>
                <w:szCs w:val="24"/>
              </w:rPr>
              <w:lastRenderedPageBreak/>
              <w:t>transparent failover to</w:t>
            </w:r>
            <w:r>
              <w:rPr>
                <w:color w:val="000000"/>
                <w:szCs w:val="24"/>
              </w:rPr>
              <w:t xml:space="preserve"> </w:t>
            </w:r>
            <w:r>
              <w:rPr>
                <w:szCs w:val="24"/>
              </w:rPr>
              <w:t>another application server is required, without need to relog in and re-submit of the request.</w:t>
            </w:r>
          </w:p>
        </w:tc>
      </w:tr>
      <w:tr w:rsidR="00157AAA" w14:paraId="322F521C" w14:textId="77777777" w:rsidTr="001136D3">
        <w:trPr>
          <w:trHeight w:val="1057"/>
        </w:trPr>
        <w:tc>
          <w:tcPr>
            <w:tcW w:w="1759" w:type="dxa"/>
            <w:tcBorders>
              <w:top w:val="none" w:sz="4" w:space="0" w:color="000000"/>
              <w:left w:val="single" w:sz="4" w:space="0" w:color="000000"/>
              <w:bottom w:val="single" w:sz="4" w:space="0" w:color="000000"/>
              <w:right w:val="single" w:sz="4" w:space="0" w:color="000000"/>
            </w:tcBorders>
          </w:tcPr>
          <w:p w14:paraId="1EFB5524" w14:textId="77777777" w:rsidR="00157AAA" w:rsidRDefault="006C1BE5">
            <w:pPr>
              <w:spacing w:after="0"/>
              <w:jc w:val="left"/>
              <w:rPr>
                <w:color w:val="000000"/>
                <w:szCs w:val="24"/>
              </w:rPr>
            </w:pPr>
            <w:r>
              <w:rPr>
                <w:color w:val="000000"/>
                <w:szCs w:val="24"/>
              </w:rPr>
              <w:lastRenderedPageBreak/>
              <w:t>NSW_AVA_0014</w:t>
            </w:r>
          </w:p>
        </w:tc>
        <w:tc>
          <w:tcPr>
            <w:tcW w:w="1577" w:type="dxa"/>
            <w:tcBorders>
              <w:top w:val="none" w:sz="4" w:space="0" w:color="000000"/>
              <w:left w:val="none" w:sz="4" w:space="0" w:color="000000"/>
              <w:bottom w:val="single" w:sz="4" w:space="0" w:color="000000"/>
              <w:right w:val="single" w:sz="4" w:space="0" w:color="000000"/>
            </w:tcBorders>
          </w:tcPr>
          <w:p w14:paraId="2AFE1B33" w14:textId="77777777" w:rsidR="00157AAA" w:rsidRDefault="006C1BE5">
            <w:pPr>
              <w:spacing w:after="0"/>
              <w:jc w:val="left"/>
              <w:rPr>
                <w:b/>
                <w:bCs/>
                <w:szCs w:val="24"/>
              </w:rPr>
            </w:pPr>
            <w:r>
              <w:rPr>
                <w:b/>
                <w:bCs/>
                <w:color w:val="000000"/>
                <w:szCs w:val="24"/>
              </w:rPr>
              <w:t>Failure of a Batch Service</w:t>
            </w:r>
          </w:p>
        </w:tc>
        <w:tc>
          <w:tcPr>
            <w:tcW w:w="5482" w:type="dxa"/>
            <w:gridSpan w:val="2"/>
            <w:tcBorders>
              <w:top w:val="none" w:sz="4" w:space="0" w:color="000000"/>
              <w:left w:val="none" w:sz="4" w:space="0" w:color="000000"/>
              <w:bottom w:val="single" w:sz="4" w:space="0" w:color="000000"/>
              <w:right w:val="single" w:sz="4" w:space="0" w:color="000000"/>
            </w:tcBorders>
          </w:tcPr>
          <w:p w14:paraId="71663430" w14:textId="77777777" w:rsidR="00157AAA" w:rsidRDefault="006C1BE5">
            <w:pPr>
              <w:spacing w:after="0"/>
              <w:rPr>
                <w:color w:val="000000"/>
                <w:szCs w:val="24"/>
              </w:rPr>
            </w:pPr>
            <w:r>
              <w:rPr>
                <w:color w:val="000000"/>
                <w:szCs w:val="24"/>
              </w:rPr>
              <w:t xml:space="preserve">The system must guarantee the following after a failure of a batch service: </w:t>
            </w:r>
          </w:p>
          <w:p w14:paraId="78ED0C45" w14:textId="77777777" w:rsidR="00157AAA" w:rsidRDefault="006C1BE5" w:rsidP="00D530D5">
            <w:pPr>
              <w:pStyle w:val="ListParagraph"/>
              <w:numPr>
                <w:ilvl w:val="0"/>
                <w:numId w:val="117"/>
              </w:numPr>
              <w:spacing w:after="0"/>
              <w:rPr>
                <w:color w:val="000000"/>
                <w:szCs w:val="24"/>
              </w:rPr>
            </w:pPr>
            <w:r>
              <w:rPr>
                <w:color w:val="000000"/>
                <w:szCs w:val="24"/>
              </w:rPr>
              <w:t xml:space="preserve">no batch jobs should be </w:t>
            </w:r>
            <w:proofErr w:type="gramStart"/>
            <w:r>
              <w:rPr>
                <w:color w:val="000000"/>
                <w:szCs w:val="24"/>
              </w:rPr>
              <w:t>lost;</w:t>
            </w:r>
            <w:proofErr w:type="gramEnd"/>
            <w:r>
              <w:rPr>
                <w:color w:val="000000"/>
                <w:szCs w:val="24"/>
              </w:rPr>
              <w:t xml:space="preserve"> </w:t>
            </w:r>
          </w:p>
          <w:p w14:paraId="38FCB691" w14:textId="77777777" w:rsidR="00157AAA" w:rsidRDefault="006C1BE5" w:rsidP="00D530D5">
            <w:pPr>
              <w:pStyle w:val="ListParagraph"/>
              <w:numPr>
                <w:ilvl w:val="0"/>
                <w:numId w:val="117"/>
              </w:numPr>
              <w:spacing w:after="0"/>
              <w:rPr>
                <w:color w:val="000000"/>
                <w:szCs w:val="24"/>
              </w:rPr>
            </w:pPr>
            <w:r>
              <w:rPr>
                <w:color w:val="000000"/>
                <w:szCs w:val="24"/>
              </w:rPr>
              <w:t xml:space="preserve">recovery mechanism for batch jobs that were in progress </w:t>
            </w:r>
            <w:proofErr w:type="gramStart"/>
            <w:r>
              <w:rPr>
                <w:color w:val="000000"/>
                <w:szCs w:val="24"/>
              </w:rPr>
              <w:t>at the moment</w:t>
            </w:r>
            <w:proofErr w:type="gramEnd"/>
            <w:r>
              <w:rPr>
                <w:color w:val="000000"/>
                <w:szCs w:val="24"/>
              </w:rPr>
              <w:t xml:space="preserve"> of </w:t>
            </w:r>
            <w:proofErr w:type="gramStart"/>
            <w:r>
              <w:rPr>
                <w:color w:val="000000"/>
                <w:szCs w:val="24"/>
              </w:rPr>
              <w:t>a failure</w:t>
            </w:r>
            <w:proofErr w:type="gramEnd"/>
            <w:r>
              <w:rPr>
                <w:color w:val="000000"/>
                <w:szCs w:val="24"/>
              </w:rPr>
              <w:t xml:space="preserve">. </w:t>
            </w:r>
          </w:p>
          <w:p w14:paraId="51F4AA1F" w14:textId="77777777" w:rsidR="00157AAA" w:rsidRDefault="006C1BE5">
            <w:pPr>
              <w:spacing w:after="0"/>
              <w:rPr>
                <w:szCs w:val="24"/>
              </w:rPr>
            </w:pPr>
            <w:r>
              <w:rPr>
                <w:color w:val="000000"/>
                <w:szCs w:val="24"/>
              </w:rPr>
              <w:t>This might be either automated or manual process.</w:t>
            </w:r>
          </w:p>
        </w:tc>
      </w:tr>
      <w:tr w:rsidR="00157AAA" w14:paraId="1CF8E3C4" w14:textId="77777777" w:rsidTr="001136D3">
        <w:trPr>
          <w:trHeight w:val="790"/>
        </w:trPr>
        <w:tc>
          <w:tcPr>
            <w:tcW w:w="1759" w:type="dxa"/>
            <w:tcBorders>
              <w:top w:val="none" w:sz="4" w:space="0" w:color="000000"/>
              <w:left w:val="single" w:sz="4" w:space="0" w:color="000000"/>
              <w:bottom w:val="single" w:sz="4" w:space="0" w:color="000000"/>
              <w:right w:val="single" w:sz="4" w:space="0" w:color="000000"/>
            </w:tcBorders>
          </w:tcPr>
          <w:p w14:paraId="5C6DD6C2" w14:textId="77777777" w:rsidR="00157AAA" w:rsidRDefault="006C1BE5">
            <w:pPr>
              <w:spacing w:after="0"/>
              <w:jc w:val="left"/>
              <w:rPr>
                <w:color w:val="000000"/>
                <w:szCs w:val="24"/>
              </w:rPr>
            </w:pPr>
            <w:r>
              <w:rPr>
                <w:color w:val="000000"/>
                <w:szCs w:val="24"/>
              </w:rPr>
              <w:t>NSW_AVA_0015</w:t>
            </w:r>
          </w:p>
        </w:tc>
        <w:tc>
          <w:tcPr>
            <w:tcW w:w="1577" w:type="dxa"/>
            <w:tcBorders>
              <w:top w:val="none" w:sz="4" w:space="0" w:color="000000"/>
              <w:left w:val="none" w:sz="4" w:space="0" w:color="000000"/>
              <w:bottom w:val="single" w:sz="4" w:space="0" w:color="000000"/>
              <w:right w:val="single" w:sz="4" w:space="0" w:color="000000"/>
            </w:tcBorders>
          </w:tcPr>
          <w:p w14:paraId="7CD4C177" w14:textId="77777777" w:rsidR="00157AAA" w:rsidRDefault="006C1BE5">
            <w:pPr>
              <w:spacing w:after="0"/>
              <w:jc w:val="left"/>
              <w:rPr>
                <w:b/>
                <w:bCs/>
                <w:color w:val="000000"/>
                <w:szCs w:val="24"/>
              </w:rPr>
            </w:pPr>
            <w:r>
              <w:rPr>
                <w:b/>
                <w:bCs/>
                <w:color w:val="000000"/>
                <w:szCs w:val="24"/>
              </w:rPr>
              <w:t>Backup and Restore Procedures</w:t>
            </w:r>
          </w:p>
        </w:tc>
        <w:tc>
          <w:tcPr>
            <w:tcW w:w="5482" w:type="dxa"/>
            <w:gridSpan w:val="2"/>
            <w:tcBorders>
              <w:top w:val="none" w:sz="4" w:space="0" w:color="000000"/>
              <w:left w:val="none" w:sz="4" w:space="0" w:color="000000"/>
              <w:bottom w:val="single" w:sz="4" w:space="0" w:color="000000"/>
              <w:right w:val="single" w:sz="4" w:space="0" w:color="000000"/>
            </w:tcBorders>
          </w:tcPr>
          <w:p w14:paraId="090EEF24" w14:textId="77777777" w:rsidR="00157AAA" w:rsidRDefault="006C1BE5">
            <w:pPr>
              <w:spacing w:after="0"/>
              <w:rPr>
                <w:color w:val="000000"/>
                <w:szCs w:val="24"/>
              </w:rPr>
            </w:pPr>
            <w:r>
              <w:rPr>
                <w:color w:val="000000"/>
                <w:szCs w:val="24"/>
              </w:rPr>
              <w:t>The system components must be capable of integrating with backup and restore procedures. The preferred solution is the current infrastructure provider backup/restore.</w:t>
            </w:r>
          </w:p>
        </w:tc>
      </w:tr>
      <w:tr w:rsidR="00157AAA" w14:paraId="45BB4140" w14:textId="77777777" w:rsidTr="001136D3">
        <w:trPr>
          <w:trHeight w:val="1057"/>
        </w:trPr>
        <w:tc>
          <w:tcPr>
            <w:tcW w:w="1759" w:type="dxa"/>
            <w:tcBorders>
              <w:top w:val="none" w:sz="4" w:space="0" w:color="000000"/>
              <w:left w:val="single" w:sz="4" w:space="0" w:color="000000"/>
              <w:bottom w:val="single" w:sz="4" w:space="0" w:color="000000"/>
              <w:right w:val="single" w:sz="4" w:space="0" w:color="000000"/>
            </w:tcBorders>
          </w:tcPr>
          <w:p w14:paraId="134685B6" w14:textId="77777777" w:rsidR="00157AAA" w:rsidRDefault="006C1BE5">
            <w:pPr>
              <w:spacing w:after="0"/>
              <w:jc w:val="left"/>
              <w:rPr>
                <w:color w:val="000000"/>
                <w:szCs w:val="24"/>
              </w:rPr>
            </w:pPr>
            <w:r>
              <w:rPr>
                <w:color w:val="000000"/>
                <w:szCs w:val="24"/>
              </w:rPr>
              <w:t>NSW_AVA_0016</w:t>
            </w:r>
          </w:p>
        </w:tc>
        <w:tc>
          <w:tcPr>
            <w:tcW w:w="1577" w:type="dxa"/>
            <w:tcBorders>
              <w:top w:val="none" w:sz="4" w:space="0" w:color="000000"/>
              <w:left w:val="none" w:sz="4" w:space="0" w:color="000000"/>
              <w:bottom w:val="single" w:sz="4" w:space="0" w:color="000000"/>
              <w:right w:val="single" w:sz="4" w:space="0" w:color="000000"/>
            </w:tcBorders>
          </w:tcPr>
          <w:p w14:paraId="138450BD" w14:textId="77777777" w:rsidR="00157AAA" w:rsidRDefault="006C1BE5">
            <w:pPr>
              <w:spacing w:after="0"/>
              <w:jc w:val="left"/>
              <w:rPr>
                <w:b/>
                <w:bCs/>
                <w:color w:val="000000"/>
                <w:szCs w:val="24"/>
              </w:rPr>
            </w:pPr>
            <w:r>
              <w:rPr>
                <w:b/>
                <w:bCs/>
                <w:color w:val="000000"/>
                <w:szCs w:val="24"/>
              </w:rPr>
              <w:t>Availability Requirement for Office</w:t>
            </w:r>
          </w:p>
        </w:tc>
        <w:tc>
          <w:tcPr>
            <w:tcW w:w="5482" w:type="dxa"/>
            <w:gridSpan w:val="2"/>
            <w:tcBorders>
              <w:top w:val="none" w:sz="4" w:space="0" w:color="000000"/>
              <w:left w:val="none" w:sz="4" w:space="0" w:color="000000"/>
              <w:bottom w:val="single" w:sz="4" w:space="0" w:color="000000"/>
              <w:right w:val="single" w:sz="4" w:space="0" w:color="000000"/>
            </w:tcBorders>
          </w:tcPr>
          <w:p w14:paraId="561A3049" w14:textId="77777777" w:rsidR="00157AAA" w:rsidRDefault="006C1BE5">
            <w:pPr>
              <w:spacing w:after="0"/>
              <w:rPr>
                <w:color w:val="000000"/>
                <w:szCs w:val="24"/>
              </w:rPr>
            </w:pPr>
            <w:r>
              <w:rPr>
                <w:color w:val="000000"/>
                <w:szCs w:val="24"/>
              </w:rPr>
              <w:t>The initially accepted application availability is 99.9% during business hours and 98% outside business hours, and it should evolve to target availability 99.9% 24/7.</w:t>
            </w:r>
          </w:p>
        </w:tc>
      </w:tr>
    </w:tbl>
    <w:p w14:paraId="3BC32132" w14:textId="77777777" w:rsidR="00157AAA" w:rsidRDefault="00157AAA">
      <w:pPr>
        <w:pStyle w:val="explanatoryclause"/>
        <w:ind w:left="1411" w:right="0"/>
        <w:rPr>
          <w:rStyle w:val="Preparersnotenobold"/>
          <w:rFonts w:ascii="Times New Roman" w:hAnsi="Times New Roman"/>
          <w:sz w:val="24"/>
        </w:rPr>
      </w:pPr>
    </w:p>
    <w:p w14:paraId="47DD590D" w14:textId="77777777" w:rsidR="00157AAA" w:rsidRDefault="006C1BE5">
      <w:pPr>
        <w:pStyle w:val="explanatoryclause"/>
        <w:ind w:left="1411" w:right="0"/>
        <w:rPr>
          <w:rFonts w:ascii="Times New Roman" w:hAnsi="Times New Roman"/>
          <w:b/>
          <w:i/>
          <w:sz w:val="24"/>
          <w:szCs w:val="24"/>
        </w:rPr>
      </w:pPr>
      <w:r>
        <w:rPr>
          <w:rStyle w:val="Preparersnotenobold"/>
          <w:rFonts w:ascii="Times New Roman" w:hAnsi="Times New Roman"/>
          <w:b/>
          <w:sz w:val="24"/>
        </w:rPr>
        <w:t>1.5.1.</w:t>
      </w:r>
      <w:r>
        <w:rPr>
          <w:rStyle w:val="Preparersnotenobold"/>
          <w:rFonts w:ascii="Times New Roman" w:hAnsi="Times New Roman"/>
          <w:b/>
          <w:sz w:val="24"/>
          <w:szCs w:val="24"/>
        </w:rPr>
        <w:t xml:space="preserve">2 </w:t>
      </w:r>
      <w:r>
        <w:rPr>
          <w:rFonts w:ascii="Times New Roman" w:hAnsi="Times New Roman"/>
          <w:b/>
          <w:i/>
          <w:sz w:val="24"/>
          <w:szCs w:val="24"/>
        </w:rPr>
        <w:t>Access Control and Connectivity Non-Functional Requirements</w:t>
      </w:r>
    </w:p>
    <w:p w14:paraId="11AE120E" w14:textId="77777777" w:rsidR="00157AAA" w:rsidRDefault="00157AAA">
      <w:pPr>
        <w:pStyle w:val="explanatoryclause"/>
        <w:spacing w:after="0"/>
        <w:ind w:left="1411" w:right="0" w:hanging="734"/>
        <w:rPr>
          <w:rStyle w:val="Preparersnotenobold"/>
          <w:rFonts w:ascii="Times New Roman" w:hAnsi="Times New Roman"/>
          <w:sz w:val="24"/>
        </w:rPr>
      </w:pPr>
    </w:p>
    <w:p w14:paraId="5DF75DC1" w14:textId="77777777" w:rsidR="00157AAA" w:rsidRDefault="006C1BE5">
      <w:pPr>
        <w:rPr>
          <w:sz w:val="22"/>
        </w:rPr>
      </w:pPr>
      <w:r>
        <w:t>The table below provides the list of Access Control and Connectivity non-functional requirements.</w:t>
      </w:r>
    </w:p>
    <w:tbl>
      <w:tblPr>
        <w:tblW w:w="8930" w:type="dxa"/>
        <w:tblInd w:w="137" w:type="dxa"/>
        <w:tblLayout w:type="fixed"/>
        <w:tblLook w:val="04A0" w:firstRow="1" w:lastRow="0" w:firstColumn="1" w:lastColumn="0" w:noHBand="0" w:noVBand="1"/>
      </w:tblPr>
      <w:tblGrid>
        <w:gridCol w:w="1701"/>
        <w:gridCol w:w="1667"/>
        <w:gridCol w:w="5562"/>
      </w:tblGrid>
      <w:tr w:rsidR="00157AAA" w14:paraId="71698DA0"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5D49791" w14:textId="77777777" w:rsidR="00157AAA" w:rsidRDefault="006C1BE5">
            <w:pPr>
              <w:spacing w:after="0"/>
              <w:jc w:val="left"/>
              <w:rPr>
                <w:b/>
                <w:bCs/>
                <w:szCs w:val="24"/>
              </w:rPr>
            </w:pPr>
            <w:r>
              <w:rPr>
                <w:b/>
                <w:bCs/>
                <w:szCs w:val="24"/>
              </w:rPr>
              <w:t>Reference ID</w:t>
            </w:r>
          </w:p>
        </w:tc>
        <w:tc>
          <w:tcPr>
            <w:tcW w:w="166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77C78970" w14:textId="77777777" w:rsidR="00157AAA" w:rsidRDefault="006C1BE5">
            <w:pPr>
              <w:spacing w:after="0"/>
              <w:jc w:val="left"/>
              <w:rPr>
                <w:b/>
                <w:bCs/>
                <w:szCs w:val="24"/>
              </w:rPr>
            </w:pPr>
            <w:r>
              <w:rPr>
                <w:b/>
                <w:bCs/>
                <w:szCs w:val="24"/>
              </w:rPr>
              <w:t>Name</w:t>
            </w:r>
          </w:p>
        </w:tc>
        <w:tc>
          <w:tcPr>
            <w:tcW w:w="556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3CF07FF4" w14:textId="77777777" w:rsidR="00157AAA" w:rsidRDefault="006C1BE5">
            <w:pPr>
              <w:spacing w:after="0"/>
              <w:jc w:val="left"/>
              <w:rPr>
                <w:b/>
                <w:bCs/>
                <w:szCs w:val="24"/>
              </w:rPr>
            </w:pPr>
            <w:r>
              <w:rPr>
                <w:b/>
                <w:bCs/>
                <w:szCs w:val="24"/>
              </w:rPr>
              <w:t>Description/Definition</w:t>
            </w:r>
          </w:p>
        </w:tc>
      </w:tr>
      <w:tr w:rsidR="00157AAA" w14:paraId="3191DBBA"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796B3918" w14:textId="77777777" w:rsidR="00157AAA" w:rsidRDefault="006C1BE5">
            <w:pPr>
              <w:spacing w:after="0"/>
              <w:jc w:val="left"/>
              <w:rPr>
                <w:color w:val="000000"/>
                <w:szCs w:val="24"/>
              </w:rPr>
            </w:pPr>
            <w:r>
              <w:rPr>
                <w:color w:val="000000"/>
                <w:szCs w:val="24"/>
              </w:rPr>
              <w:t>NSW_ACC_0001</w:t>
            </w:r>
          </w:p>
        </w:tc>
        <w:tc>
          <w:tcPr>
            <w:tcW w:w="1667" w:type="dxa"/>
            <w:tcBorders>
              <w:top w:val="none" w:sz="4" w:space="0" w:color="000000"/>
              <w:left w:val="none" w:sz="4" w:space="0" w:color="000000"/>
              <w:bottom w:val="single" w:sz="4" w:space="0" w:color="000000"/>
              <w:right w:val="single" w:sz="4" w:space="0" w:color="000000"/>
            </w:tcBorders>
          </w:tcPr>
          <w:p w14:paraId="217A453B" w14:textId="77777777" w:rsidR="00157AAA" w:rsidRDefault="006C1BE5">
            <w:pPr>
              <w:spacing w:after="0"/>
              <w:jc w:val="left"/>
              <w:rPr>
                <w:b/>
                <w:bCs/>
                <w:color w:val="000000"/>
                <w:szCs w:val="24"/>
              </w:rPr>
            </w:pPr>
            <w:r>
              <w:rPr>
                <w:b/>
                <w:bCs/>
                <w:szCs w:val="24"/>
              </w:rPr>
              <w:t>Control of Access Rights</w:t>
            </w:r>
          </w:p>
        </w:tc>
        <w:tc>
          <w:tcPr>
            <w:tcW w:w="5562" w:type="dxa"/>
            <w:tcBorders>
              <w:top w:val="none" w:sz="4" w:space="0" w:color="000000"/>
              <w:left w:val="none" w:sz="4" w:space="0" w:color="000000"/>
              <w:bottom w:val="single" w:sz="4" w:space="0" w:color="000000"/>
              <w:right w:val="single" w:sz="4" w:space="0" w:color="000000"/>
            </w:tcBorders>
          </w:tcPr>
          <w:p w14:paraId="6ABEB77B" w14:textId="77777777" w:rsidR="00157AAA" w:rsidRDefault="006C1BE5">
            <w:pPr>
              <w:spacing w:after="0"/>
              <w:rPr>
                <w:color w:val="000000"/>
                <w:szCs w:val="24"/>
              </w:rPr>
            </w:pPr>
            <w:r>
              <w:rPr>
                <w:szCs w:val="24"/>
              </w:rPr>
              <w:t>Possibility to control access rights, based on the authority of the user.</w:t>
            </w:r>
          </w:p>
        </w:tc>
      </w:tr>
      <w:tr w:rsidR="00157AAA" w14:paraId="0117AB6C"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43A73394" w14:textId="77777777" w:rsidR="00157AAA" w:rsidRDefault="006C1BE5">
            <w:pPr>
              <w:spacing w:after="0"/>
              <w:jc w:val="left"/>
              <w:rPr>
                <w:color w:val="000000"/>
                <w:szCs w:val="24"/>
              </w:rPr>
            </w:pPr>
            <w:r>
              <w:rPr>
                <w:color w:val="000000"/>
                <w:szCs w:val="24"/>
              </w:rPr>
              <w:t>NSW_ACC_0002</w:t>
            </w:r>
          </w:p>
        </w:tc>
        <w:tc>
          <w:tcPr>
            <w:tcW w:w="1667" w:type="dxa"/>
            <w:tcBorders>
              <w:top w:val="none" w:sz="4" w:space="0" w:color="000000"/>
              <w:left w:val="none" w:sz="4" w:space="0" w:color="000000"/>
              <w:bottom w:val="single" w:sz="4" w:space="0" w:color="000000"/>
              <w:right w:val="single" w:sz="4" w:space="0" w:color="000000"/>
            </w:tcBorders>
          </w:tcPr>
          <w:p w14:paraId="007299C6" w14:textId="77777777" w:rsidR="00157AAA" w:rsidRDefault="006C1BE5">
            <w:pPr>
              <w:spacing w:after="0"/>
              <w:jc w:val="left"/>
              <w:rPr>
                <w:b/>
                <w:bCs/>
                <w:szCs w:val="24"/>
              </w:rPr>
            </w:pPr>
            <w:r>
              <w:rPr>
                <w:b/>
                <w:bCs/>
                <w:color w:val="000000"/>
                <w:szCs w:val="24"/>
              </w:rPr>
              <w:t>Access Authentication</w:t>
            </w:r>
          </w:p>
        </w:tc>
        <w:tc>
          <w:tcPr>
            <w:tcW w:w="5562" w:type="dxa"/>
            <w:tcBorders>
              <w:top w:val="none" w:sz="4" w:space="0" w:color="000000"/>
              <w:left w:val="none" w:sz="4" w:space="0" w:color="000000"/>
              <w:bottom w:val="single" w:sz="4" w:space="0" w:color="000000"/>
              <w:right w:val="single" w:sz="4" w:space="0" w:color="000000"/>
            </w:tcBorders>
          </w:tcPr>
          <w:p w14:paraId="4781EEB6" w14:textId="77777777" w:rsidR="00157AAA" w:rsidRDefault="006C1BE5">
            <w:pPr>
              <w:spacing w:after="0"/>
              <w:rPr>
                <w:color w:val="000000"/>
                <w:szCs w:val="24"/>
              </w:rPr>
            </w:pPr>
            <w:r>
              <w:rPr>
                <w:color w:val="000000"/>
                <w:szCs w:val="24"/>
              </w:rPr>
              <w:t xml:space="preserve">Every interaction with </w:t>
            </w:r>
            <w:proofErr w:type="gramStart"/>
            <w:r>
              <w:rPr>
                <w:color w:val="000000"/>
                <w:szCs w:val="24"/>
              </w:rPr>
              <w:t>system,</w:t>
            </w:r>
            <w:proofErr w:type="gramEnd"/>
            <w:r>
              <w:rPr>
                <w:color w:val="000000"/>
                <w:szCs w:val="24"/>
              </w:rPr>
              <w:t xml:space="preserve"> must be under identification, </w:t>
            </w:r>
            <w:proofErr w:type="gramStart"/>
            <w:r>
              <w:rPr>
                <w:color w:val="000000"/>
                <w:szCs w:val="24"/>
              </w:rPr>
              <w:t>authentication</w:t>
            </w:r>
            <w:proofErr w:type="gramEnd"/>
            <w:r>
              <w:rPr>
                <w:color w:val="000000"/>
                <w:szCs w:val="24"/>
              </w:rPr>
              <w:t xml:space="preserve"> and authorization control. </w:t>
            </w:r>
          </w:p>
          <w:p w14:paraId="5EAF9548" w14:textId="77777777" w:rsidR="00157AAA" w:rsidRDefault="006C1BE5" w:rsidP="00D530D5">
            <w:pPr>
              <w:pStyle w:val="ListParagraph"/>
              <w:numPr>
                <w:ilvl w:val="0"/>
                <w:numId w:val="118"/>
              </w:numPr>
              <w:spacing w:after="0"/>
              <w:rPr>
                <w:color w:val="000000"/>
                <w:szCs w:val="24"/>
              </w:rPr>
            </w:pPr>
            <w:r>
              <w:t xml:space="preserve">The identification establishes the user or IT system </w:t>
            </w:r>
            <w:proofErr w:type="gramStart"/>
            <w:r>
              <w:t>identity;</w:t>
            </w:r>
            <w:proofErr w:type="gramEnd"/>
            <w:r>
              <w:t xml:space="preserve"> </w:t>
            </w:r>
          </w:p>
          <w:p w14:paraId="10FED64F" w14:textId="77777777" w:rsidR="00157AAA" w:rsidRDefault="006C1BE5" w:rsidP="00D530D5">
            <w:pPr>
              <w:pStyle w:val="ListParagraph"/>
              <w:numPr>
                <w:ilvl w:val="0"/>
                <w:numId w:val="118"/>
              </w:numPr>
              <w:spacing w:after="0"/>
              <w:rPr>
                <w:color w:val="000000"/>
                <w:szCs w:val="24"/>
              </w:rPr>
            </w:pPr>
            <w:r>
              <w:rPr>
                <w:color w:val="000000"/>
                <w:szCs w:val="24"/>
              </w:rPr>
              <w:t xml:space="preserve">The authentication validates the user </w:t>
            </w:r>
            <w:proofErr w:type="gramStart"/>
            <w:r>
              <w:rPr>
                <w:color w:val="000000"/>
                <w:szCs w:val="24"/>
              </w:rPr>
              <w:t>credentials;</w:t>
            </w:r>
            <w:proofErr w:type="gramEnd"/>
            <w:r>
              <w:rPr>
                <w:color w:val="000000"/>
                <w:szCs w:val="24"/>
              </w:rPr>
              <w:t xml:space="preserve"> </w:t>
            </w:r>
          </w:p>
          <w:p w14:paraId="1B703E70" w14:textId="77777777" w:rsidR="00157AAA" w:rsidRDefault="006C1BE5" w:rsidP="00D530D5">
            <w:pPr>
              <w:pStyle w:val="ListParagraph"/>
              <w:numPr>
                <w:ilvl w:val="0"/>
                <w:numId w:val="118"/>
              </w:numPr>
              <w:spacing w:after="0"/>
              <w:rPr>
                <w:color w:val="000000"/>
                <w:szCs w:val="24"/>
              </w:rPr>
            </w:pPr>
            <w:r>
              <w:rPr>
                <w:color w:val="000000"/>
                <w:szCs w:val="24"/>
              </w:rPr>
              <w:t>The authorization determines: which users or IT systems have access to what function.</w:t>
            </w:r>
          </w:p>
          <w:p w14:paraId="3C1808D5" w14:textId="77777777" w:rsidR="00157AAA" w:rsidRDefault="006C1BE5">
            <w:pPr>
              <w:spacing w:after="0"/>
              <w:rPr>
                <w:szCs w:val="24"/>
              </w:rPr>
            </w:pPr>
            <w:r>
              <w:rPr>
                <w:color w:val="000000"/>
                <w:szCs w:val="24"/>
              </w:rPr>
              <w:t>The system shall not allow a user to login by bypassing the identification and authentication procedures.</w:t>
            </w:r>
          </w:p>
        </w:tc>
      </w:tr>
      <w:tr w:rsidR="00157AAA" w14:paraId="556ADD25"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04181220" w14:textId="77777777" w:rsidR="00157AAA" w:rsidRDefault="006C1BE5">
            <w:pPr>
              <w:spacing w:after="0"/>
              <w:jc w:val="left"/>
              <w:rPr>
                <w:color w:val="000000"/>
                <w:szCs w:val="24"/>
              </w:rPr>
            </w:pPr>
            <w:r>
              <w:rPr>
                <w:color w:val="000000"/>
                <w:szCs w:val="24"/>
              </w:rPr>
              <w:t>NSW_ACC_0003</w:t>
            </w:r>
          </w:p>
        </w:tc>
        <w:tc>
          <w:tcPr>
            <w:tcW w:w="1667" w:type="dxa"/>
            <w:tcBorders>
              <w:top w:val="none" w:sz="4" w:space="0" w:color="000000"/>
              <w:left w:val="none" w:sz="4" w:space="0" w:color="000000"/>
              <w:bottom w:val="single" w:sz="4" w:space="0" w:color="000000"/>
              <w:right w:val="single" w:sz="4" w:space="0" w:color="000000"/>
            </w:tcBorders>
          </w:tcPr>
          <w:p w14:paraId="2A7BF878" w14:textId="77777777" w:rsidR="00157AAA" w:rsidRDefault="006C1BE5">
            <w:pPr>
              <w:spacing w:after="0"/>
              <w:jc w:val="left"/>
              <w:rPr>
                <w:b/>
                <w:bCs/>
                <w:color w:val="000000"/>
                <w:szCs w:val="24"/>
              </w:rPr>
            </w:pPr>
            <w:r>
              <w:rPr>
                <w:b/>
                <w:bCs/>
                <w:color w:val="000000"/>
                <w:szCs w:val="24"/>
              </w:rPr>
              <w:t>Type of Users</w:t>
            </w:r>
          </w:p>
        </w:tc>
        <w:tc>
          <w:tcPr>
            <w:tcW w:w="5562" w:type="dxa"/>
            <w:tcBorders>
              <w:top w:val="none" w:sz="4" w:space="0" w:color="000000"/>
              <w:left w:val="none" w:sz="4" w:space="0" w:color="000000"/>
              <w:bottom w:val="single" w:sz="4" w:space="0" w:color="000000"/>
              <w:right w:val="single" w:sz="4" w:space="0" w:color="000000"/>
            </w:tcBorders>
          </w:tcPr>
          <w:p w14:paraId="70F7E452" w14:textId="77777777" w:rsidR="00157AAA" w:rsidRDefault="006C1BE5">
            <w:pPr>
              <w:spacing w:after="0"/>
              <w:jc w:val="left"/>
              <w:rPr>
                <w:color w:val="000000"/>
                <w:szCs w:val="24"/>
              </w:rPr>
            </w:pPr>
            <w:r>
              <w:rPr>
                <w:color w:val="000000"/>
                <w:szCs w:val="24"/>
              </w:rPr>
              <w:t xml:space="preserve">The following type of users of the system, must be supported: </w:t>
            </w:r>
          </w:p>
          <w:p w14:paraId="70FF1EB3" w14:textId="77777777" w:rsidR="00157AAA" w:rsidRDefault="006C1BE5" w:rsidP="00D530D5">
            <w:pPr>
              <w:pStyle w:val="ListParagraph"/>
              <w:numPr>
                <w:ilvl w:val="0"/>
                <w:numId w:val="119"/>
              </w:numPr>
              <w:spacing w:after="0"/>
              <w:jc w:val="left"/>
              <w:rPr>
                <w:color w:val="000000"/>
                <w:szCs w:val="24"/>
              </w:rPr>
            </w:pPr>
            <w:r>
              <w:rPr>
                <w:color w:val="000000"/>
                <w:szCs w:val="24"/>
              </w:rPr>
              <w:t xml:space="preserve">NSW users and NSW IT </w:t>
            </w:r>
            <w:proofErr w:type="gramStart"/>
            <w:r>
              <w:rPr>
                <w:color w:val="000000"/>
                <w:szCs w:val="24"/>
              </w:rPr>
              <w:t>systems;</w:t>
            </w:r>
            <w:proofErr w:type="gramEnd"/>
          </w:p>
          <w:p w14:paraId="0649B9D5" w14:textId="77777777" w:rsidR="00157AAA" w:rsidRDefault="006C1BE5" w:rsidP="00D530D5">
            <w:pPr>
              <w:pStyle w:val="ListParagraph"/>
              <w:numPr>
                <w:ilvl w:val="0"/>
                <w:numId w:val="119"/>
              </w:numPr>
              <w:spacing w:after="0"/>
              <w:jc w:val="left"/>
              <w:rPr>
                <w:color w:val="000000"/>
                <w:szCs w:val="24"/>
              </w:rPr>
            </w:pPr>
            <w:r>
              <w:rPr>
                <w:color w:val="000000"/>
                <w:szCs w:val="24"/>
              </w:rPr>
              <w:t>Optionally, Trade users can have access.</w:t>
            </w:r>
          </w:p>
        </w:tc>
      </w:tr>
      <w:tr w:rsidR="00157AAA" w14:paraId="7E93931D"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7FB2BA31" w14:textId="77777777" w:rsidR="00157AAA" w:rsidRDefault="006C1BE5">
            <w:pPr>
              <w:spacing w:after="0"/>
              <w:jc w:val="left"/>
              <w:rPr>
                <w:color w:val="000000"/>
                <w:szCs w:val="24"/>
              </w:rPr>
            </w:pPr>
            <w:r>
              <w:rPr>
                <w:color w:val="000000"/>
                <w:szCs w:val="24"/>
              </w:rPr>
              <w:t>NSW_ACC_0004</w:t>
            </w:r>
          </w:p>
        </w:tc>
        <w:tc>
          <w:tcPr>
            <w:tcW w:w="1667" w:type="dxa"/>
            <w:tcBorders>
              <w:top w:val="none" w:sz="4" w:space="0" w:color="000000"/>
              <w:left w:val="none" w:sz="4" w:space="0" w:color="000000"/>
              <w:bottom w:val="single" w:sz="4" w:space="0" w:color="000000"/>
              <w:right w:val="single" w:sz="4" w:space="0" w:color="000000"/>
            </w:tcBorders>
          </w:tcPr>
          <w:p w14:paraId="069DDD45" w14:textId="77777777" w:rsidR="00157AAA" w:rsidRDefault="006C1BE5">
            <w:pPr>
              <w:spacing w:after="0"/>
              <w:jc w:val="left"/>
              <w:rPr>
                <w:b/>
                <w:bCs/>
                <w:color w:val="000000"/>
                <w:szCs w:val="24"/>
              </w:rPr>
            </w:pPr>
            <w:r>
              <w:rPr>
                <w:b/>
                <w:bCs/>
                <w:color w:val="000000"/>
                <w:szCs w:val="24"/>
              </w:rPr>
              <w:t>External Access</w:t>
            </w:r>
          </w:p>
        </w:tc>
        <w:tc>
          <w:tcPr>
            <w:tcW w:w="5562" w:type="dxa"/>
            <w:tcBorders>
              <w:top w:val="none" w:sz="4" w:space="0" w:color="000000"/>
              <w:left w:val="none" w:sz="4" w:space="0" w:color="000000"/>
              <w:bottom w:val="single" w:sz="4" w:space="0" w:color="000000"/>
              <w:right w:val="single" w:sz="4" w:space="0" w:color="000000"/>
            </w:tcBorders>
          </w:tcPr>
          <w:p w14:paraId="713E5018" w14:textId="77777777" w:rsidR="00157AAA" w:rsidRDefault="006C1BE5">
            <w:pPr>
              <w:spacing w:after="0"/>
              <w:rPr>
                <w:color w:val="000000"/>
                <w:szCs w:val="24"/>
              </w:rPr>
            </w:pPr>
            <w:r>
              <w:rPr>
                <w:color w:val="000000"/>
                <w:szCs w:val="24"/>
              </w:rPr>
              <w:t xml:space="preserve">The system might be accessible to external users and external IT systems, only through an additional security </w:t>
            </w:r>
            <w:r>
              <w:rPr>
                <w:color w:val="000000"/>
                <w:szCs w:val="24"/>
              </w:rPr>
              <w:lastRenderedPageBreak/>
              <w:t>layer, for example provided by HTTP reverse proxies services.</w:t>
            </w:r>
          </w:p>
        </w:tc>
      </w:tr>
      <w:tr w:rsidR="00157AAA" w14:paraId="78CCA4C0"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7E7FBD09" w14:textId="77777777" w:rsidR="00157AAA" w:rsidRDefault="006C1BE5">
            <w:pPr>
              <w:spacing w:after="0"/>
              <w:jc w:val="left"/>
              <w:rPr>
                <w:color w:val="000000"/>
                <w:szCs w:val="24"/>
              </w:rPr>
            </w:pPr>
            <w:r>
              <w:rPr>
                <w:color w:val="000000"/>
                <w:szCs w:val="24"/>
              </w:rPr>
              <w:lastRenderedPageBreak/>
              <w:t>NSW_ACC_0005</w:t>
            </w:r>
          </w:p>
        </w:tc>
        <w:tc>
          <w:tcPr>
            <w:tcW w:w="1667" w:type="dxa"/>
            <w:tcBorders>
              <w:top w:val="none" w:sz="4" w:space="0" w:color="000000"/>
              <w:left w:val="none" w:sz="4" w:space="0" w:color="000000"/>
              <w:bottom w:val="single" w:sz="4" w:space="0" w:color="000000"/>
              <w:right w:val="single" w:sz="4" w:space="0" w:color="000000"/>
            </w:tcBorders>
          </w:tcPr>
          <w:p w14:paraId="05840C11" w14:textId="77777777" w:rsidR="00157AAA" w:rsidRDefault="006C1BE5">
            <w:pPr>
              <w:spacing w:after="0"/>
              <w:jc w:val="left"/>
              <w:rPr>
                <w:b/>
                <w:bCs/>
                <w:color w:val="000000"/>
                <w:szCs w:val="24"/>
              </w:rPr>
            </w:pPr>
            <w:r>
              <w:rPr>
                <w:b/>
                <w:bCs/>
                <w:color w:val="000000"/>
                <w:szCs w:val="24"/>
              </w:rPr>
              <w:t>Password</w:t>
            </w:r>
          </w:p>
        </w:tc>
        <w:tc>
          <w:tcPr>
            <w:tcW w:w="5562" w:type="dxa"/>
            <w:tcBorders>
              <w:top w:val="none" w:sz="4" w:space="0" w:color="000000"/>
              <w:left w:val="none" w:sz="4" w:space="0" w:color="000000"/>
              <w:bottom w:val="single" w:sz="4" w:space="0" w:color="000000"/>
              <w:right w:val="single" w:sz="4" w:space="0" w:color="000000"/>
            </w:tcBorders>
          </w:tcPr>
          <w:p w14:paraId="35CF9D27" w14:textId="77777777" w:rsidR="00157AAA" w:rsidRDefault="006C1BE5">
            <w:pPr>
              <w:spacing w:after="0"/>
              <w:rPr>
                <w:color w:val="000000"/>
                <w:szCs w:val="24"/>
              </w:rPr>
            </w:pPr>
            <w:r>
              <w:rPr>
                <w:color w:val="000000"/>
                <w:szCs w:val="24"/>
              </w:rPr>
              <w:t xml:space="preserve">Password shall not be stored as a </w:t>
            </w:r>
            <w:proofErr w:type="gramStart"/>
            <w:r>
              <w:rPr>
                <w:color w:val="000000"/>
                <w:szCs w:val="24"/>
              </w:rPr>
              <w:t>clear-text</w:t>
            </w:r>
            <w:proofErr w:type="gramEnd"/>
            <w:r>
              <w:rPr>
                <w:color w:val="000000"/>
                <w:szCs w:val="24"/>
              </w:rPr>
              <w:t>. OR Passwords shall only be stored as password hashes.</w:t>
            </w:r>
          </w:p>
        </w:tc>
      </w:tr>
      <w:tr w:rsidR="00157AAA" w14:paraId="6DA356A1"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5DD953CF" w14:textId="77777777" w:rsidR="00157AAA" w:rsidRDefault="006C1BE5">
            <w:pPr>
              <w:spacing w:after="0"/>
              <w:jc w:val="left"/>
              <w:rPr>
                <w:color w:val="000000"/>
                <w:szCs w:val="24"/>
              </w:rPr>
            </w:pPr>
            <w:r>
              <w:rPr>
                <w:color w:val="000000"/>
                <w:szCs w:val="24"/>
              </w:rPr>
              <w:t>NSW_ACC_0006</w:t>
            </w:r>
          </w:p>
        </w:tc>
        <w:tc>
          <w:tcPr>
            <w:tcW w:w="1667" w:type="dxa"/>
            <w:tcBorders>
              <w:top w:val="none" w:sz="4" w:space="0" w:color="000000"/>
              <w:left w:val="none" w:sz="4" w:space="0" w:color="000000"/>
              <w:bottom w:val="single" w:sz="4" w:space="0" w:color="000000"/>
              <w:right w:val="single" w:sz="4" w:space="0" w:color="000000"/>
            </w:tcBorders>
          </w:tcPr>
          <w:p w14:paraId="757101FD" w14:textId="77777777" w:rsidR="00157AAA" w:rsidRDefault="006C1BE5">
            <w:pPr>
              <w:spacing w:after="0"/>
              <w:jc w:val="left"/>
              <w:rPr>
                <w:b/>
                <w:bCs/>
                <w:color w:val="000000"/>
                <w:szCs w:val="24"/>
              </w:rPr>
            </w:pPr>
            <w:r>
              <w:rPr>
                <w:b/>
                <w:bCs/>
                <w:color w:val="000000"/>
                <w:szCs w:val="24"/>
              </w:rPr>
              <w:t>Security Checks</w:t>
            </w:r>
          </w:p>
        </w:tc>
        <w:tc>
          <w:tcPr>
            <w:tcW w:w="5562" w:type="dxa"/>
            <w:tcBorders>
              <w:top w:val="none" w:sz="4" w:space="0" w:color="000000"/>
              <w:left w:val="none" w:sz="4" w:space="0" w:color="000000"/>
              <w:bottom w:val="single" w:sz="4" w:space="0" w:color="000000"/>
              <w:right w:val="single" w:sz="4" w:space="0" w:color="000000"/>
            </w:tcBorders>
          </w:tcPr>
          <w:p w14:paraId="0B66464B" w14:textId="77777777" w:rsidR="00157AAA" w:rsidRDefault="006C1BE5">
            <w:pPr>
              <w:spacing w:after="0"/>
              <w:rPr>
                <w:color w:val="000000"/>
                <w:szCs w:val="24"/>
              </w:rPr>
            </w:pPr>
            <w:r>
              <w:rPr>
                <w:color w:val="000000"/>
                <w:szCs w:val="24"/>
              </w:rPr>
              <w:t xml:space="preserve">The security checks and operations shall be distinguished from the business operations and logic. The security policy should be easily modified without affecting the business operations. The security policy consists of the security measures related to identification, </w:t>
            </w:r>
            <w:proofErr w:type="gramStart"/>
            <w:r>
              <w:rPr>
                <w:color w:val="000000"/>
                <w:szCs w:val="24"/>
              </w:rPr>
              <w:t>authentication</w:t>
            </w:r>
            <w:proofErr w:type="gramEnd"/>
            <w:r>
              <w:rPr>
                <w:color w:val="000000"/>
                <w:szCs w:val="24"/>
              </w:rPr>
              <w:t xml:space="preserve"> and authorization.</w:t>
            </w:r>
          </w:p>
        </w:tc>
      </w:tr>
      <w:tr w:rsidR="00157AAA" w14:paraId="7A230AA9"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2E3F3ED9" w14:textId="77777777" w:rsidR="00157AAA" w:rsidRDefault="006C1BE5">
            <w:pPr>
              <w:spacing w:after="0"/>
              <w:jc w:val="left"/>
              <w:rPr>
                <w:color w:val="000000"/>
                <w:szCs w:val="24"/>
              </w:rPr>
            </w:pPr>
            <w:r>
              <w:rPr>
                <w:color w:val="000000"/>
                <w:szCs w:val="24"/>
              </w:rPr>
              <w:t>NSW_ACC_0007</w:t>
            </w:r>
          </w:p>
        </w:tc>
        <w:tc>
          <w:tcPr>
            <w:tcW w:w="1667" w:type="dxa"/>
            <w:tcBorders>
              <w:top w:val="none" w:sz="4" w:space="0" w:color="000000"/>
              <w:left w:val="none" w:sz="4" w:space="0" w:color="000000"/>
              <w:bottom w:val="single" w:sz="4" w:space="0" w:color="000000"/>
              <w:right w:val="single" w:sz="4" w:space="0" w:color="000000"/>
            </w:tcBorders>
          </w:tcPr>
          <w:p w14:paraId="4B5AD516" w14:textId="77777777" w:rsidR="00157AAA" w:rsidRDefault="006C1BE5">
            <w:pPr>
              <w:spacing w:after="0"/>
              <w:jc w:val="left"/>
              <w:rPr>
                <w:b/>
                <w:bCs/>
                <w:color w:val="000000"/>
                <w:szCs w:val="24"/>
              </w:rPr>
            </w:pPr>
            <w:r>
              <w:rPr>
                <w:b/>
                <w:bCs/>
                <w:color w:val="000000"/>
                <w:szCs w:val="24"/>
              </w:rPr>
              <w:t>Single Authentication</w:t>
            </w:r>
          </w:p>
        </w:tc>
        <w:tc>
          <w:tcPr>
            <w:tcW w:w="5562" w:type="dxa"/>
            <w:tcBorders>
              <w:top w:val="none" w:sz="4" w:space="0" w:color="000000"/>
              <w:left w:val="none" w:sz="4" w:space="0" w:color="000000"/>
              <w:bottom w:val="single" w:sz="4" w:space="0" w:color="000000"/>
              <w:right w:val="single" w:sz="4" w:space="0" w:color="000000"/>
            </w:tcBorders>
          </w:tcPr>
          <w:p w14:paraId="76AD870E" w14:textId="77777777" w:rsidR="00157AAA" w:rsidRDefault="006C1BE5">
            <w:pPr>
              <w:spacing w:after="0"/>
              <w:rPr>
                <w:color w:val="000000"/>
                <w:szCs w:val="24"/>
              </w:rPr>
            </w:pPr>
            <w:r>
              <w:rPr>
                <w:color w:val="000000"/>
                <w:szCs w:val="24"/>
              </w:rPr>
              <w:t>The system shall authenticate the users once and grant access for any subsequent business operations within the same session in a transparent manner (i.e. not requesting every time the user credentials).</w:t>
            </w:r>
          </w:p>
        </w:tc>
      </w:tr>
      <w:tr w:rsidR="00157AAA" w14:paraId="2F91B703"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2D5CE8DC" w14:textId="77777777" w:rsidR="00157AAA" w:rsidRDefault="006C1BE5">
            <w:pPr>
              <w:spacing w:after="0"/>
              <w:jc w:val="left"/>
              <w:rPr>
                <w:color w:val="000000"/>
                <w:szCs w:val="24"/>
              </w:rPr>
            </w:pPr>
            <w:r>
              <w:rPr>
                <w:color w:val="000000"/>
                <w:szCs w:val="24"/>
              </w:rPr>
              <w:t xml:space="preserve"> NSW_ACC_0008</w:t>
            </w:r>
          </w:p>
        </w:tc>
        <w:tc>
          <w:tcPr>
            <w:tcW w:w="1667" w:type="dxa"/>
            <w:tcBorders>
              <w:top w:val="none" w:sz="4" w:space="0" w:color="000000"/>
              <w:left w:val="none" w:sz="4" w:space="0" w:color="000000"/>
              <w:bottom w:val="single" w:sz="4" w:space="0" w:color="000000"/>
              <w:right w:val="single" w:sz="4" w:space="0" w:color="000000"/>
            </w:tcBorders>
          </w:tcPr>
          <w:p w14:paraId="605E1650" w14:textId="77777777" w:rsidR="00157AAA" w:rsidRDefault="006C1BE5">
            <w:pPr>
              <w:spacing w:after="0"/>
              <w:jc w:val="left"/>
              <w:rPr>
                <w:b/>
                <w:bCs/>
                <w:color w:val="000000"/>
                <w:szCs w:val="24"/>
              </w:rPr>
            </w:pPr>
            <w:r>
              <w:rPr>
                <w:b/>
                <w:bCs/>
                <w:color w:val="000000"/>
                <w:szCs w:val="24"/>
              </w:rPr>
              <w:t>HTTP Proxy for Outbound HTTP Requests</w:t>
            </w:r>
          </w:p>
        </w:tc>
        <w:tc>
          <w:tcPr>
            <w:tcW w:w="5562" w:type="dxa"/>
            <w:tcBorders>
              <w:top w:val="none" w:sz="4" w:space="0" w:color="000000"/>
              <w:left w:val="none" w:sz="4" w:space="0" w:color="000000"/>
              <w:bottom w:val="single" w:sz="4" w:space="0" w:color="000000"/>
              <w:right w:val="single" w:sz="4" w:space="0" w:color="000000"/>
            </w:tcBorders>
          </w:tcPr>
          <w:p w14:paraId="148AE577" w14:textId="77777777" w:rsidR="00157AAA" w:rsidRDefault="006C1BE5">
            <w:pPr>
              <w:spacing w:after="0"/>
              <w:rPr>
                <w:color w:val="000000"/>
                <w:szCs w:val="24"/>
              </w:rPr>
            </w:pPr>
            <w:r>
              <w:rPr>
                <w:color w:val="000000"/>
                <w:szCs w:val="24"/>
              </w:rPr>
              <w:t xml:space="preserve">The system must be capable of using HTTP proxy for outbound HTTP requests. </w:t>
            </w:r>
          </w:p>
        </w:tc>
      </w:tr>
      <w:tr w:rsidR="00157AAA" w14:paraId="3286752F"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0426AB16" w14:textId="77777777" w:rsidR="00157AAA" w:rsidRDefault="006C1BE5">
            <w:pPr>
              <w:spacing w:after="0"/>
              <w:jc w:val="left"/>
              <w:rPr>
                <w:color w:val="000000"/>
                <w:szCs w:val="24"/>
              </w:rPr>
            </w:pPr>
            <w:r>
              <w:rPr>
                <w:color w:val="000000"/>
                <w:szCs w:val="24"/>
              </w:rPr>
              <w:t>NSW_ACC_0009</w:t>
            </w:r>
          </w:p>
        </w:tc>
        <w:tc>
          <w:tcPr>
            <w:tcW w:w="1667" w:type="dxa"/>
            <w:tcBorders>
              <w:top w:val="none" w:sz="4" w:space="0" w:color="000000"/>
              <w:left w:val="none" w:sz="4" w:space="0" w:color="000000"/>
              <w:bottom w:val="single" w:sz="4" w:space="0" w:color="000000"/>
              <w:right w:val="single" w:sz="4" w:space="0" w:color="000000"/>
            </w:tcBorders>
          </w:tcPr>
          <w:p w14:paraId="5A7E18EC" w14:textId="77777777" w:rsidR="00157AAA" w:rsidRDefault="006C1BE5">
            <w:pPr>
              <w:spacing w:after="0"/>
              <w:jc w:val="left"/>
              <w:rPr>
                <w:b/>
                <w:bCs/>
                <w:color w:val="000000"/>
                <w:szCs w:val="24"/>
              </w:rPr>
            </w:pPr>
            <w:r>
              <w:rPr>
                <w:b/>
                <w:bCs/>
                <w:color w:val="000000"/>
                <w:szCs w:val="24"/>
              </w:rPr>
              <w:t>Identical Behavior</w:t>
            </w:r>
          </w:p>
        </w:tc>
        <w:tc>
          <w:tcPr>
            <w:tcW w:w="5562" w:type="dxa"/>
            <w:tcBorders>
              <w:top w:val="none" w:sz="4" w:space="0" w:color="000000"/>
              <w:left w:val="none" w:sz="4" w:space="0" w:color="000000"/>
              <w:bottom w:val="single" w:sz="4" w:space="0" w:color="000000"/>
              <w:right w:val="single" w:sz="4" w:space="0" w:color="000000"/>
            </w:tcBorders>
          </w:tcPr>
          <w:p w14:paraId="328EFCD6" w14:textId="77777777" w:rsidR="00157AAA" w:rsidRDefault="006C1BE5">
            <w:pPr>
              <w:spacing w:after="0"/>
              <w:rPr>
                <w:color w:val="000000"/>
                <w:szCs w:val="24"/>
              </w:rPr>
            </w:pPr>
            <w:r>
              <w:rPr>
                <w:color w:val="000000"/>
                <w:szCs w:val="24"/>
              </w:rPr>
              <w:t>The behavior of the system must be identical whether direct or proxy connection exists between the client or IT system, independently of the number of proxy or reverse proxy servers participating in the communication.</w:t>
            </w:r>
          </w:p>
        </w:tc>
      </w:tr>
      <w:tr w:rsidR="00157AAA" w14:paraId="5B40D667" w14:textId="77777777" w:rsidTr="001136D3">
        <w:trPr>
          <w:trHeight w:val="756"/>
        </w:trPr>
        <w:tc>
          <w:tcPr>
            <w:tcW w:w="1701" w:type="dxa"/>
            <w:tcBorders>
              <w:top w:val="none" w:sz="4" w:space="0" w:color="000000"/>
              <w:left w:val="single" w:sz="4" w:space="0" w:color="000000"/>
              <w:bottom w:val="single" w:sz="4" w:space="0" w:color="000000"/>
              <w:right w:val="single" w:sz="4" w:space="0" w:color="000000"/>
            </w:tcBorders>
          </w:tcPr>
          <w:p w14:paraId="6B4A64F0" w14:textId="035EB6F1" w:rsidR="00157AAA" w:rsidRDefault="006C1BE5">
            <w:pPr>
              <w:spacing w:after="0"/>
              <w:jc w:val="left"/>
              <w:rPr>
                <w:color w:val="000000"/>
                <w:szCs w:val="24"/>
              </w:rPr>
            </w:pPr>
            <w:r>
              <w:rPr>
                <w:color w:val="000000"/>
                <w:szCs w:val="24"/>
              </w:rPr>
              <w:t>NSW_ACC_001</w:t>
            </w:r>
            <w:r w:rsidR="00430A22">
              <w:rPr>
                <w:color w:val="000000"/>
                <w:szCs w:val="24"/>
              </w:rPr>
              <w:t>0</w:t>
            </w:r>
          </w:p>
        </w:tc>
        <w:tc>
          <w:tcPr>
            <w:tcW w:w="1667" w:type="dxa"/>
            <w:tcBorders>
              <w:top w:val="none" w:sz="4" w:space="0" w:color="000000"/>
              <w:left w:val="none" w:sz="4" w:space="0" w:color="000000"/>
              <w:bottom w:val="single" w:sz="4" w:space="0" w:color="000000"/>
              <w:right w:val="single" w:sz="4" w:space="0" w:color="000000"/>
            </w:tcBorders>
          </w:tcPr>
          <w:p w14:paraId="200F355D" w14:textId="77777777" w:rsidR="00157AAA" w:rsidRDefault="006C1BE5">
            <w:pPr>
              <w:spacing w:after="0"/>
              <w:jc w:val="left"/>
              <w:rPr>
                <w:b/>
                <w:bCs/>
                <w:color w:val="000000"/>
                <w:szCs w:val="24"/>
              </w:rPr>
            </w:pPr>
            <w:r>
              <w:rPr>
                <w:b/>
                <w:bCs/>
                <w:color w:val="000000"/>
                <w:szCs w:val="24"/>
              </w:rPr>
              <w:t>Reverse Proxies</w:t>
            </w:r>
          </w:p>
        </w:tc>
        <w:tc>
          <w:tcPr>
            <w:tcW w:w="5562" w:type="dxa"/>
            <w:tcBorders>
              <w:top w:val="none" w:sz="4" w:space="0" w:color="000000"/>
              <w:left w:val="none" w:sz="4" w:space="0" w:color="000000"/>
              <w:bottom w:val="single" w:sz="4" w:space="0" w:color="000000"/>
              <w:right w:val="single" w:sz="4" w:space="0" w:color="000000"/>
            </w:tcBorders>
          </w:tcPr>
          <w:p w14:paraId="027EF31A" w14:textId="77777777" w:rsidR="00157AAA" w:rsidRDefault="006C1BE5">
            <w:pPr>
              <w:spacing w:after="0"/>
              <w:rPr>
                <w:color w:val="000000"/>
                <w:szCs w:val="24"/>
              </w:rPr>
            </w:pPr>
            <w:r>
              <w:rPr>
                <w:color w:val="000000"/>
                <w:szCs w:val="24"/>
              </w:rPr>
              <w:t xml:space="preserve">The TA must provide support for deploying into environments making use of HTTP reverse proxies. This includes such things as proper handling of absolute URLs (e.g. in redirects) and page expiration for dynamic content. </w:t>
            </w:r>
          </w:p>
        </w:tc>
      </w:tr>
    </w:tbl>
    <w:p w14:paraId="616E22D5" w14:textId="77777777" w:rsidR="00157AAA" w:rsidRDefault="00157AAA">
      <w:pPr>
        <w:pStyle w:val="explanatoryclause"/>
        <w:ind w:left="1411" w:right="0"/>
        <w:rPr>
          <w:rStyle w:val="Preparersnotenobold"/>
          <w:rFonts w:ascii="Times New Roman" w:hAnsi="Times New Roman"/>
          <w:sz w:val="24"/>
        </w:rPr>
      </w:pPr>
    </w:p>
    <w:p w14:paraId="593B280F" w14:textId="77777777" w:rsidR="00157AAA" w:rsidRDefault="006C1BE5">
      <w:pPr>
        <w:pStyle w:val="explanatoryclause"/>
        <w:ind w:left="1411" w:right="0"/>
        <w:rPr>
          <w:rStyle w:val="Preparersnotenobold"/>
          <w:rFonts w:ascii="Times New Roman" w:hAnsi="Times New Roman"/>
          <w:sz w:val="24"/>
        </w:rPr>
      </w:pPr>
      <w:r>
        <w:rPr>
          <w:rStyle w:val="Preparersnotenobold"/>
          <w:rFonts w:ascii="Times New Roman" w:hAnsi="Times New Roman"/>
          <w:b/>
          <w:sz w:val="24"/>
        </w:rPr>
        <w:t>1.5.1.</w:t>
      </w:r>
      <w:r>
        <w:rPr>
          <w:rStyle w:val="Preparersnotenobold"/>
          <w:rFonts w:ascii="Times New Roman" w:hAnsi="Times New Roman"/>
          <w:b/>
          <w:sz w:val="24"/>
          <w:szCs w:val="24"/>
        </w:rPr>
        <w:t>3 Performance Requirements for Software</w:t>
      </w:r>
    </w:p>
    <w:p w14:paraId="4D7CA9C1" w14:textId="77777777" w:rsidR="00157AAA" w:rsidRDefault="00157AAA">
      <w:pPr>
        <w:pStyle w:val="explanatoryclause"/>
        <w:spacing w:after="0"/>
        <w:ind w:left="734" w:right="0" w:hanging="734"/>
        <w:rPr>
          <w:rStyle w:val="Preparersnotenobold"/>
          <w:rFonts w:ascii="Times New Roman" w:hAnsi="Times New Roman"/>
          <w:i w:val="0"/>
          <w:sz w:val="16"/>
          <w:szCs w:val="16"/>
        </w:rPr>
      </w:pPr>
    </w:p>
    <w:p w14:paraId="428936F1" w14:textId="77777777" w:rsidR="00157AAA" w:rsidRDefault="006C1BE5">
      <w:pPr>
        <w:pStyle w:val="explanatoryclause"/>
        <w:ind w:right="0"/>
        <w:rPr>
          <w:rStyle w:val="Preparersnotenobold"/>
          <w:rFonts w:ascii="Times New Roman" w:hAnsi="Times New Roman"/>
          <w:i w:val="0"/>
          <w:sz w:val="24"/>
        </w:rPr>
      </w:pPr>
      <w:r>
        <w:rPr>
          <w:rStyle w:val="Preparersnotenobold"/>
          <w:rFonts w:ascii="Times New Roman" w:hAnsi="Times New Roman"/>
          <w:i w:val="0"/>
          <w:sz w:val="24"/>
        </w:rPr>
        <w:t>The table below provides performance requirements of the Information System.</w:t>
      </w:r>
    </w:p>
    <w:tbl>
      <w:tblPr>
        <w:tblW w:w="8930" w:type="dxa"/>
        <w:tblInd w:w="137" w:type="dxa"/>
        <w:tblLayout w:type="fixed"/>
        <w:tblLook w:val="04A0" w:firstRow="1" w:lastRow="0" w:firstColumn="1" w:lastColumn="0" w:noHBand="0" w:noVBand="1"/>
      </w:tblPr>
      <w:tblGrid>
        <w:gridCol w:w="1701"/>
        <w:gridCol w:w="1397"/>
        <w:gridCol w:w="5832"/>
      </w:tblGrid>
      <w:tr w:rsidR="00157AAA" w14:paraId="7F9F26F0"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50D8F9F" w14:textId="77777777" w:rsidR="00157AAA" w:rsidRDefault="006C1BE5">
            <w:pPr>
              <w:spacing w:after="0"/>
              <w:jc w:val="left"/>
              <w:rPr>
                <w:b/>
                <w:bCs/>
                <w:szCs w:val="24"/>
              </w:rPr>
            </w:pPr>
            <w:r>
              <w:rPr>
                <w:b/>
                <w:bCs/>
                <w:szCs w:val="24"/>
              </w:rPr>
              <w:lastRenderedPageBreak/>
              <w:t>Reference ID</w:t>
            </w:r>
          </w:p>
        </w:tc>
        <w:tc>
          <w:tcPr>
            <w:tcW w:w="139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144B98F6" w14:textId="77777777" w:rsidR="00157AAA" w:rsidRDefault="006C1BE5">
            <w:pPr>
              <w:spacing w:after="0"/>
              <w:jc w:val="left"/>
              <w:rPr>
                <w:b/>
                <w:bCs/>
                <w:szCs w:val="24"/>
              </w:rPr>
            </w:pPr>
            <w:r>
              <w:rPr>
                <w:b/>
                <w:bCs/>
                <w:szCs w:val="24"/>
              </w:rPr>
              <w:t>Name</w:t>
            </w:r>
          </w:p>
        </w:tc>
        <w:tc>
          <w:tcPr>
            <w:tcW w:w="583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3337D2CF" w14:textId="77777777" w:rsidR="00157AAA" w:rsidRDefault="006C1BE5">
            <w:pPr>
              <w:spacing w:after="0"/>
              <w:jc w:val="left"/>
              <w:rPr>
                <w:b/>
                <w:bCs/>
                <w:szCs w:val="24"/>
              </w:rPr>
            </w:pPr>
            <w:r>
              <w:rPr>
                <w:b/>
                <w:bCs/>
                <w:szCs w:val="24"/>
              </w:rPr>
              <w:t>Description/Definition</w:t>
            </w:r>
          </w:p>
        </w:tc>
      </w:tr>
      <w:tr w:rsidR="00157AAA" w14:paraId="13FD1B50"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7A5B9EE" w14:textId="77777777" w:rsidR="00157AAA" w:rsidRDefault="006C1BE5">
            <w:pPr>
              <w:spacing w:after="0"/>
              <w:jc w:val="left"/>
              <w:rPr>
                <w:rStyle w:val="Preparersnotenobold"/>
                <w:i w:val="0"/>
              </w:rPr>
            </w:pPr>
            <w:r>
              <w:rPr>
                <w:rStyle w:val="Preparersnotenobold"/>
                <w:i w:val="0"/>
              </w:rPr>
              <w:t>NSW_PER_0001</w:t>
            </w:r>
          </w:p>
        </w:tc>
        <w:tc>
          <w:tcPr>
            <w:tcW w:w="1397" w:type="dxa"/>
            <w:tcBorders>
              <w:top w:val="single" w:sz="4" w:space="0" w:color="000000"/>
              <w:left w:val="none" w:sz="4" w:space="0" w:color="000000"/>
              <w:bottom w:val="single" w:sz="4" w:space="0" w:color="000000"/>
              <w:right w:val="single" w:sz="4" w:space="0" w:color="000000"/>
            </w:tcBorders>
            <w:shd w:val="clear" w:color="auto" w:fill="auto"/>
          </w:tcPr>
          <w:p w14:paraId="4BDA92F0" w14:textId="77777777" w:rsidR="00157AAA" w:rsidRDefault="006C1BE5">
            <w:pPr>
              <w:spacing w:after="0"/>
              <w:rPr>
                <w:b/>
                <w:bCs/>
                <w:szCs w:val="24"/>
              </w:rPr>
            </w:pPr>
            <w:r>
              <w:rPr>
                <w:bCs/>
                <w:szCs w:val="24"/>
              </w:rPr>
              <w:t>Average Response time</w:t>
            </w:r>
          </w:p>
        </w:tc>
        <w:tc>
          <w:tcPr>
            <w:tcW w:w="5832" w:type="dxa"/>
            <w:tcBorders>
              <w:top w:val="single" w:sz="4" w:space="0" w:color="000000"/>
              <w:left w:val="none" w:sz="4" w:space="0" w:color="000000"/>
              <w:bottom w:val="single" w:sz="4" w:space="0" w:color="000000"/>
              <w:right w:val="single" w:sz="4" w:space="0" w:color="000000"/>
            </w:tcBorders>
            <w:shd w:val="clear" w:color="auto" w:fill="auto"/>
          </w:tcPr>
          <w:p w14:paraId="1B43D2DD" w14:textId="77777777" w:rsidR="00157AAA" w:rsidRDefault="006C1BE5">
            <w:pPr>
              <w:spacing w:after="0"/>
              <w:rPr>
                <w:b/>
                <w:bCs/>
                <w:szCs w:val="24"/>
              </w:rPr>
            </w:pPr>
            <w:r>
              <w:rPr>
                <w:bCs/>
                <w:szCs w:val="24"/>
              </w:rPr>
              <w:t>The average response time for page loads should be less than 2 seconds. This requirement aims to ensure that the application is highly responsive and provides a smooth user experience. By keeping the response time below 2 seconds, users can quickly interact with the system, access information, and perform tasks without experiencing frustrating delays.</w:t>
            </w:r>
          </w:p>
        </w:tc>
      </w:tr>
      <w:tr w:rsidR="00157AAA" w14:paraId="4241418E" w14:textId="77777777" w:rsidTr="001136D3">
        <w:trPr>
          <w:trHeight w:val="53"/>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00D9A49" w14:textId="639CEEE0" w:rsidR="00157AAA" w:rsidRDefault="006C1BE5">
            <w:pPr>
              <w:spacing w:after="0"/>
              <w:jc w:val="left"/>
              <w:rPr>
                <w:rStyle w:val="Preparersnotenobold"/>
                <w:i w:val="0"/>
              </w:rPr>
            </w:pPr>
            <w:r>
              <w:rPr>
                <w:rStyle w:val="Preparersnotenobold"/>
                <w:i w:val="0"/>
              </w:rPr>
              <w:t>NSW_PER_00</w:t>
            </w:r>
            <w:r w:rsidR="00430A22">
              <w:rPr>
                <w:rStyle w:val="Preparersnotenobold"/>
                <w:i w:val="0"/>
              </w:rPr>
              <w:t>02</w:t>
            </w:r>
          </w:p>
        </w:tc>
        <w:tc>
          <w:tcPr>
            <w:tcW w:w="1397" w:type="dxa"/>
            <w:tcBorders>
              <w:top w:val="single" w:sz="4" w:space="0" w:color="000000"/>
              <w:left w:val="none" w:sz="4" w:space="0" w:color="000000"/>
              <w:bottom w:val="single" w:sz="4" w:space="0" w:color="000000"/>
              <w:right w:val="single" w:sz="4" w:space="0" w:color="000000"/>
            </w:tcBorders>
            <w:shd w:val="clear" w:color="auto" w:fill="auto"/>
          </w:tcPr>
          <w:p w14:paraId="54E4D4A2" w14:textId="77777777" w:rsidR="00157AAA" w:rsidRDefault="006C1BE5">
            <w:pPr>
              <w:spacing w:after="0"/>
              <w:rPr>
                <w:bCs/>
                <w:szCs w:val="24"/>
              </w:rPr>
            </w:pPr>
            <w:r>
              <w:rPr>
                <w:bCs/>
                <w:szCs w:val="24"/>
              </w:rPr>
              <w:t>Throughput</w:t>
            </w:r>
          </w:p>
        </w:tc>
        <w:tc>
          <w:tcPr>
            <w:tcW w:w="5832" w:type="dxa"/>
            <w:tcBorders>
              <w:top w:val="single" w:sz="4" w:space="0" w:color="000000"/>
              <w:left w:val="none" w:sz="4" w:space="0" w:color="000000"/>
              <w:bottom w:val="single" w:sz="4" w:space="0" w:color="000000"/>
              <w:right w:val="single" w:sz="4" w:space="0" w:color="000000"/>
            </w:tcBorders>
            <w:shd w:val="clear" w:color="auto" w:fill="auto"/>
          </w:tcPr>
          <w:p w14:paraId="69BE3D44" w14:textId="77777777" w:rsidR="00157AAA" w:rsidRDefault="006C1BE5">
            <w:pPr>
              <w:spacing w:after="0"/>
              <w:rPr>
                <w:bCs/>
                <w:szCs w:val="24"/>
              </w:rPr>
            </w:pPr>
            <w:r>
              <w:rPr>
                <w:bCs/>
                <w:szCs w:val="24"/>
              </w:rPr>
              <w:t>The application should be able to handle at least 1000 concurrent users. This requirement focuses on the system's ability to handle many simultaneous users without significant performance degradation. By ensuring a high throughput capacity, the application can efficiently process user requests, maintain responsiveness, and avoid bottlenecks or slowdowns during peak usage periods.</w:t>
            </w:r>
          </w:p>
        </w:tc>
      </w:tr>
    </w:tbl>
    <w:p w14:paraId="5C7CB4FC" w14:textId="77777777" w:rsidR="00157AAA" w:rsidRDefault="00157AAA">
      <w:pPr>
        <w:pStyle w:val="explanatoryclause"/>
        <w:ind w:right="0"/>
        <w:rPr>
          <w:rStyle w:val="Preparersnotenobold"/>
          <w:rFonts w:ascii="Times New Roman" w:hAnsi="Times New Roman"/>
          <w:i w:val="0"/>
          <w:sz w:val="24"/>
        </w:rPr>
      </w:pPr>
    </w:p>
    <w:p w14:paraId="3737FD91"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Audit Non-Functional Requirements</w:t>
      </w:r>
    </w:p>
    <w:p w14:paraId="7A076B3B" w14:textId="77777777" w:rsidR="00157AAA" w:rsidRDefault="006C1BE5">
      <w:r>
        <w:t>The table below provides the list of Audit non-functional requirements.</w:t>
      </w:r>
    </w:p>
    <w:tbl>
      <w:tblPr>
        <w:tblW w:w="8930" w:type="dxa"/>
        <w:tblInd w:w="137" w:type="dxa"/>
        <w:tblLayout w:type="fixed"/>
        <w:tblLook w:val="04A0" w:firstRow="1" w:lastRow="0" w:firstColumn="1" w:lastColumn="0" w:noHBand="0" w:noVBand="1"/>
      </w:tblPr>
      <w:tblGrid>
        <w:gridCol w:w="1701"/>
        <w:gridCol w:w="1397"/>
        <w:gridCol w:w="5832"/>
      </w:tblGrid>
      <w:tr w:rsidR="00157AAA" w14:paraId="21B17136"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9A9A22F" w14:textId="77777777" w:rsidR="00157AAA" w:rsidRDefault="006C1BE5">
            <w:pPr>
              <w:spacing w:after="0"/>
              <w:jc w:val="left"/>
              <w:rPr>
                <w:b/>
                <w:bCs/>
                <w:szCs w:val="24"/>
              </w:rPr>
            </w:pPr>
            <w:r>
              <w:rPr>
                <w:b/>
                <w:bCs/>
                <w:szCs w:val="24"/>
              </w:rPr>
              <w:t>Reference ID</w:t>
            </w:r>
          </w:p>
        </w:tc>
        <w:tc>
          <w:tcPr>
            <w:tcW w:w="139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4BBFA058" w14:textId="77777777" w:rsidR="00157AAA" w:rsidRDefault="006C1BE5">
            <w:pPr>
              <w:spacing w:after="0"/>
              <w:jc w:val="left"/>
              <w:rPr>
                <w:b/>
                <w:bCs/>
                <w:szCs w:val="24"/>
              </w:rPr>
            </w:pPr>
            <w:r>
              <w:rPr>
                <w:b/>
                <w:bCs/>
                <w:szCs w:val="24"/>
              </w:rPr>
              <w:t>Name</w:t>
            </w:r>
          </w:p>
        </w:tc>
        <w:tc>
          <w:tcPr>
            <w:tcW w:w="583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11771D73" w14:textId="77777777" w:rsidR="00157AAA" w:rsidRDefault="006C1BE5">
            <w:pPr>
              <w:spacing w:after="0"/>
              <w:jc w:val="left"/>
              <w:rPr>
                <w:b/>
                <w:bCs/>
                <w:szCs w:val="24"/>
              </w:rPr>
            </w:pPr>
            <w:r>
              <w:rPr>
                <w:b/>
                <w:bCs/>
                <w:szCs w:val="24"/>
              </w:rPr>
              <w:t>Description/Definition</w:t>
            </w:r>
          </w:p>
        </w:tc>
      </w:tr>
      <w:tr w:rsidR="00157AAA" w14:paraId="5B2A8E14"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F50F371" w14:textId="77777777" w:rsidR="00157AAA" w:rsidRDefault="006C1BE5">
            <w:pPr>
              <w:spacing w:after="0"/>
              <w:jc w:val="left"/>
              <w:rPr>
                <w:b/>
                <w:bCs/>
                <w:szCs w:val="24"/>
              </w:rPr>
            </w:pPr>
            <w:r>
              <w:rPr>
                <w:color w:val="000000"/>
                <w:szCs w:val="24"/>
              </w:rPr>
              <w:t xml:space="preserve">NSW_AUD_0001 </w:t>
            </w:r>
          </w:p>
        </w:tc>
        <w:tc>
          <w:tcPr>
            <w:tcW w:w="1397" w:type="dxa"/>
            <w:tcBorders>
              <w:top w:val="single" w:sz="4" w:space="0" w:color="000000"/>
              <w:left w:val="none" w:sz="4" w:space="0" w:color="000000"/>
              <w:bottom w:val="single" w:sz="4" w:space="0" w:color="000000"/>
              <w:right w:val="single" w:sz="4" w:space="0" w:color="000000"/>
            </w:tcBorders>
            <w:shd w:val="clear" w:color="auto" w:fill="auto"/>
          </w:tcPr>
          <w:p w14:paraId="4F981330" w14:textId="77777777" w:rsidR="00157AAA" w:rsidRDefault="006C1BE5">
            <w:pPr>
              <w:spacing w:after="0"/>
              <w:rPr>
                <w:bCs/>
                <w:szCs w:val="24"/>
              </w:rPr>
            </w:pPr>
            <w:r>
              <w:rPr>
                <w:bCs/>
                <w:color w:val="000000"/>
                <w:szCs w:val="24"/>
              </w:rPr>
              <w:t>Audit Trail of Data Changes</w:t>
            </w:r>
          </w:p>
        </w:tc>
        <w:tc>
          <w:tcPr>
            <w:tcW w:w="5832" w:type="dxa"/>
            <w:tcBorders>
              <w:top w:val="single" w:sz="4" w:space="0" w:color="000000"/>
              <w:left w:val="none" w:sz="4" w:space="0" w:color="000000"/>
              <w:bottom w:val="single" w:sz="4" w:space="0" w:color="000000"/>
              <w:right w:val="single" w:sz="4" w:space="0" w:color="000000"/>
            </w:tcBorders>
            <w:shd w:val="clear" w:color="auto" w:fill="auto"/>
          </w:tcPr>
          <w:p w14:paraId="1824E9D0" w14:textId="77777777" w:rsidR="00157AAA" w:rsidRDefault="006C1BE5">
            <w:pPr>
              <w:spacing w:after="0"/>
              <w:rPr>
                <w:b/>
                <w:bCs/>
                <w:szCs w:val="24"/>
              </w:rPr>
            </w:pPr>
            <w:r>
              <w:rPr>
                <w:color w:val="000000"/>
                <w:szCs w:val="24"/>
              </w:rPr>
              <w:t xml:space="preserve">The NSW must keep an audit trail of all data changes: what data was affected, the kind of changes (creation, </w:t>
            </w:r>
            <w:proofErr w:type="gramStart"/>
            <w:r>
              <w:rPr>
                <w:color w:val="000000"/>
                <w:szCs w:val="24"/>
              </w:rPr>
              <w:t>update</w:t>
            </w:r>
            <w:proofErr w:type="gramEnd"/>
            <w:r>
              <w:rPr>
                <w:color w:val="000000"/>
                <w:szCs w:val="24"/>
              </w:rPr>
              <w:t xml:space="preserve"> or deletion), who applied the changes and when. In case of an update, the initial and the new state of the changed data must also be recorded. In case of a delete, there is a difference between a regular deletion and a physical deletion. For physically deleted data, the audit trail shall only contain a limited set of data: the reference of the deleted record, who deleted it and when. For the regular deletion, the whole data record is audited. The auditing component must support both modes.</w:t>
            </w:r>
          </w:p>
        </w:tc>
      </w:tr>
      <w:tr w:rsidR="00157AAA" w14:paraId="179ADC4F"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A9973FB" w14:textId="77777777" w:rsidR="00157AAA" w:rsidRDefault="006C1BE5">
            <w:pPr>
              <w:spacing w:after="0"/>
              <w:jc w:val="left"/>
              <w:rPr>
                <w:color w:val="000000"/>
                <w:szCs w:val="24"/>
              </w:rPr>
            </w:pPr>
            <w:r>
              <w:rPr>
                <w:color w:val="000000"/>
                <w:szCs w:val="24"/>
              </w:rPr>
              <w:t xml:space="preserve">NSW_AUD_0002 </w:t>
            </w:r>
          </w:p>
        </w:tc>
        <w:tc>
          <w:tcPr>
            <w:tcW w:w="1397" w:type="dxa"/>
            <w:tcBorders>
              <w:top w:val="single" w:sz="4" w:space="0" w:color="000000"/>
              <w:left w:val="none" w:sz="4" w:space="0" w:color="000000"/>
              <w:bottom w:val="single" w:sz="4" w:space="0" w:color="000000"/>
              <w:right w:val="single" w:sz="4" w:space="0" w:color="000000"/>
            </w:tcBorders>
            <w:shd w:val="clear" w:color="auto" w:fill="auto"/>
          </w:tcPr>
          <w:p w14:paraId="3C030813" w14:textId="77777777" w:rsidR="00157AAA" w:rsidRDefault="006C1BE5">
            <w:pPr>
              <w:spacing w:after="0"/>
              <w:rPr>
                <w:bCs/>
                <w:color w:val="000000"/>
                <w:szCs w:val="24"/>
              </w:rPr>
            </w:pPr>
            <w:r>
              <w:rPr>
                <w:bCs/>
                <w:color w:val="000000"/>
                <w:szCs w:val="24"/>
              </w:rPr>
              <w:t>Audit Trail Data Exchange Storage</w:t>
            </w:r>
          </w:p>
        </w:tc>
        <w:tc>
          <w:tcPr>
            <w:tcW w:w="5832" w:type="dxa"/>
            <w:tcBorders>
              <w:top w:val="single" w:sz="4" w:space="0" w:color="000000"/>
              <w:left w:val="none" w:sz="4" w:space="0" w:color="000000"/>
              <w:bottom w:val="single" w:sz="4" w:space="0" w:color="000000"/>
              <w:right w:val="single" w:sz="4" w:space="0" w:color="000000"/>
            </w:tcBorders>
            <w:shd w:val="clear" w:color="auto" w:fill="auto"/>
          </w:tcPr>
          <w:p w14:paraId="5B599AF7" w14:textId="77777777" w:rsidR="00157AAA" w:rsidRDefault="006C1BE5">
            <w:pPr>
              <w:spacing w:after="0"/>
              <w:rPr>
                <w:color w:val="000000"/>
                <w:szCs w:val="24"/>
              </w:rPr>
            </w:pPr>
            <w:r>
              <w:rPr>
                <w:color w:val="000000"/>
                <w:szCs w:val="24"/>
              </w:rPr>
              <w:t>The audit trail of all data exchanges over the CCN between the MS IT systems must be available for at least 5 years.</w:t>
            </w:r>
          </w:p>
        </w:tc>
      </w:tr>
    </w:tbl>
    <w:p w14:paraId="2B028FBA" w14:textId="77777777" w:rsidR="00157AAA" w:rsidRDefault="00157AAA">
      <w:pPr>
        <w:pStyle w:val="explanatoryclause"/>
        <w:ind w:right="0"/>
        <w:rPr>
          <w:rStyle w:val="Preparersnotenobold"/>
          <w:rFonts w:ascii="Times New Roman" w:hAnsi="Times New Roman"/>
          <w:b/>
          <w:sz w:val="24"/>
        </w:rPr>
      </w:pPr>
    </w:p>
    <w:p w14:paraId="1C50A1EC"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Data Integrity Non-Functional Requirements</w:t>
      </w:r>
    </w:p>
    <w:p w14:paraId="5C609BEC" w14:textId="77777777" w:rsidR="00157AAA" w:rsidRDefault="00157AAA">
      <w:pPr>
        <w:spacing w:after="0"/>
      </w:pPr>
    </w:p>
    <w:p w14:paraId="014A87A0" w14:textId="77777777" w:rsidR="00157AAA" w:rsidRDefault="006C1BE5">
      <w:pPr>
        <w:spacing w:after="0"/>
      </w:pPr>
      <w:r>
        <w:t>The table below provides the list of Data Integrity non-functional requirements.</w:t>
      </w:r>
    </w:p>
    <w:p w14:paraId="2341C544" w14:textId="77777777" w:rsidR="00157AAA" w:rsidRDefault="00157AAA">
      <w:pPr>
        <w:spacing w:after="0"/>
      </w:pPr>
    </w:p>
    <w:tbl>
      <w:tblPr>
        <w:tblW w:w="8930" w:type="dxa"/>
        <w:tblInd w:w="137" w:type="dxa"/>
        <w:tblLayout w:type="fixed"/>
        <w:tblLook w:val="04A0" w:firstRow="1" w:lastRow="0" w:firstColumn="1" w:lastColumn="0" w:noHBand="0" w:noVBand="1"/>
      </w:tblPr>
      <w:tblGrid>
        <w:gridCol w:w="1701"/>
        <w:gridCol w:w="1577"/>
        <w:gridCol w:w="5652"/>
      </w:tblGrid>
      <w:tr w:rsidR="00157AAA" w14:paraId="29E8A601"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D3987C4" w14:textId="77777777" w:rsidR="00157AAA" w:rsidRDefault="006C1BE5">
            <w:pPr>
              <w:spacing w:after="0"/>
              <w:jc w:val="left"/>
              <w:rPr>
                <w:b/>
                <w:bCs/>
                <w:szCs w:val="24"/>
              </w:rPr>
            </w:pPr>
            <w:r>
              <w:rPr>
                <w:b/>
                <w:bCs/>
                <w:szCs w:val="24"/>
              </w:rPr>
              <w:lastRenderedPageBreak/>
              <w:t>Reference ID</w:t>
            </w:r>
          </w:p>
        </w:tc>
        <w:tc>
          <w:tcPr>
            <w:tcW w:w="157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131A22D1" w14:textId="77777777" w:rsidR="00157AAA" w:rsidRDefault="006C1BE5">
            <w:pPr>
              <w:spacing w:after="0"/>
              <w:jc w:val="left"/>
              <w:rPr>
                <w:b/>
                <w:bCs/>
                <w:szCs w:val="24"/>
              </w:rPr>
            </w:pPr>
            <w:r>
              <w:rPr>
                <w:b/>
                <w:bCs/>
                <w:szCs w:val="24"/>
              </w:rPr>
              <w:t>Name</w:t>
            </w:r>
          </w:p>
        </w:tc>
        <w:tc>
          <w:tcPr>
            <w:tcW w:w="565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6CB65506" w14:textId="77777777" w:rsidR="00157AAA" w:rsidRDefault="006C1BE5">
            <w:pPr>
              <w:spacing w:after="0"/>
              <w:jc w:val="left"/>
              <w:rPr>
                <w:b/>
                <w:bCs/>
                <w:szCs w:val="24"/>
              </w:rPr>
            </w:pPr>
            <w:r>
              <w:rPr>
                <w:b/>
                <w:bCs/>
                <w:szCs w:val="24"/>
              </w:rPr>
              <w:t>Description/Definition</w:t>
            </w:r>
          </w:p>
        </w:tc>
      </w:tr>
      <w:tr w:rsidR="00157AAA" w14:paraId="0596E0EC"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D3535ED" w14:textId="77777777" w:rsidR="00157AAA" w:rsidRDefault="006C1BE5">
            <w:pPr>
              <w:spacing w:after="0"/>
              <w:jc w:val="left"/>
              <w:rPr>
                <w:b/>
                <w:bCs/>
                <w:szCs w:val="24"/>
              </w:rPr>
            </w:pPr>
            <w:r>
              <w:rPr>
                <w:color w:val="000000"/>
                <w:szCs w:val="24"/>
              </w:rPr>
              <w:t>NSW_DIN_0001</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5D629C76" w14:textId="77777777" w:rsidR="00157AAA" w:rsidRDefault="006C1BE5">
            <w:pPr>
              <w:spacing w:after="0"/>
              <w:rPr>
                <w:bCs/>
                <w:szCs w:val="24"/>
              </w:rPr>
            </w:pPr>
            <w:r>
              <w:rPr>
                <w:bCs/>
                <w:color w:val="000000"/>
                <w:szCs w:val="24"/>
              </w:rPr>
              <w:t>Administrator Inspection</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2B195321" w14:textId="77777777" w:rsidR="00157AAA" w:rsidRDefault="006C1BE5">
            <w:pPr>
              <w:spacing w:after="0"/>
              <w:rPr>
                <w:b/>
                <w:bCs/>
                <w:szCs w:val="24"/>
              </w:rPr>
            </w:pPr>
            <w:r>
              <w:rPr>
                <w:color w:val="000000"/>
                <w:szCs w:val="24"/>
              </w:rPr>
              <w:t>The messages that could not be processed must be available to the administrator for inspection. After the inspection the administrator can decide to retry or discard the message.</w:t>
            </w:r>
          </w:p>
        </w:tc>
      </w:tr>
      <w:tr w:rsidR="00157AAA" w14:paraId="609AC896"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83F7F9A" w14:textId="77777777" w:rsidR="00157AAA" w:rsidRDefault="006C1BE5">
            <w:pPr>
              <w:spacing w:after="0"/>
              <w:jc w:val="left"/>
              <w:rPr>
                <w:bCs/>
                <w:szCs w:val="24"/>
              </w:rPr>
            </w:pPr>
            <w:r>
              <w:rPr>
                <w:color w:val="000000"/>
                <w:szCs w:val="24"/>
              </w:rPr>
              <w:t>NSW_DIN_0002</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070EDD76" w14:textId="77777777" w:rsidR="00157AAA" w:rsidRDefault="006C1BE5">
            <w:pPr>
              <w:spacing w:after="0"/>
              <w:rPr>
                <w:bCs/>
                <w:szCs w:val="24"/>
              </w:rPr>
            </w:pPr>
            <w:r>
              <w:rPr>
                <w:bCs/>
                <w:color w:val="000000"/>
                <w:szCs w:val="24"/>
              </w:rPr>
              <w:t>Data Consistency</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6052B947" w14:textId="77777777" w:rsidR="00157AAA" w:rsidRDefault="006C1BE5">
            <w:pPr>
              <w:spacing w:after="0"/>
              <w:rPr>
                <w:bCs/>
                <w:szCs w:val="24"/>
              </w:rPr>
            </w:pPr>
            <w:r>
              <w:rPr>
                <w:color w:val="000000"/>
                <w:szCs w:val="24"/>
              </w:rPr>
              <w:t>The NSW must preserve the consistency of all data. All data must be stored persistently using transactions.</w:t>
            </w:r>
          </w:p>
        </w:tc>
      </w:tr>
      <w:tr w:rsidR="00157AAA" w14:paraId="27D5D213"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D0DFCA2" w14:textId="77777777" w:rsidR="00157AAA" w:rsidRDefault="006C1BE5">
            <w:pPr>
              <w:spacing w:after="0"/>
              <w:jc w:val="left"/>
              <w:rPr>
                <w:b/>
                <w:bCs/>
                <w:szCs w:val="24"/>
              </w:rPr>
            </w:pPr>
            <w:r>
              <w:rPr>
                <w:color w:val="000000"/>
                <w:szCs w:val="24"/>
              </w:rPr>
              <w:t>NSW_DIN_0003</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0CA19A09" w14:textId="77777777" w:rsidR="00157AAA" w:rsidRDefault="006C1BE5">
            <w:pPr>
              <w:spacing w:after="0"/>
              <w:rPr>
                <w:bCs/>
                <w:szCs w:val="24"/>
              </w:rPr>
            </w:pPr>
            <w:r>
              <w:rPr>
                <w:bCs/>
                <w:color w:val="000000"/>
                <w:szCs w:val="24"/>
              </w:rPr>
              <w:t>Data Protection</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2E9F142D" w14:textId="77777777" w:rsidR="00157AAA" w:rsidRDefault="006C1BE5">
            <w:pPr>
              <w:spacing w:after="0"/>
              <w:rPr>
                <w:b/>
                <w:bCs/>
                <w:szCs w:val="24"/>
              </w:rPr>
            </w:pPr>
            <w:r>
              <w:rPr>
                <w:color w:val="000000"/>
                <w:szCs w:val="24"/>
              </w:rPr>
              <w:t>The NSW must protect the data against modification and loss during transfer between the client part and the server part and when exchanging data with other systems.</w:t>
            </w:r>
          </w:p>
        </w:tc>
      </w:tr>
      <w:tr w:rsidR="00157AAA" w14:paraId="50B2CF12"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0E8E091" w14:textId="77777777" w:rsidR="00157AAA" w:rsidRDefault="006C1BE5">
            <w:pPr>
              <w:spacing w:after="0"/>
              <w:jc w:val="left"/>
              <w:rPr>
                <w:color w:val="000000"/>
                <w:szCs w:val="24"/>
              </w:rPr>
            </w:pPr>
            <w:r>
              <w:rPr>
                <w:color w:val="000000"/>
                <w:szCs w:val="24"/>
              </w:rPr>
              <w:t>NSW_DIN_0004</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10FC0753" w14:textId="77777777" w:rsidR="00157AAA" w:rsidRDefault="006C1BE5">
            <w:pPr>
              <w:spacing w:after="0"/>
              <w:rPr>
                <w:bCs/>
                <w:color w:val="000000"/>
                <w:szCs w:val="24"/>
              </w:rPr>
            </w:pPr>
            <w:r>
              <w:rPr>
                <w:bCs/>
                <w:color w:val="000000"/>
                <w:szCs w:val="24"/>
              </w:rPr>
              <w:t>Duplicate Message Handling</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2FB1BD2A" w14:textId="77777777" w:rsidR="00157AAA" w:rsidRDefault="006C1BE5">
            <w:pPr>
              <w:spacing w:after="0"/>
              <w:rPr>
                <w:color w:val="000000"/>
                <w:szCs w:val="24"/>
              </w:rPr>
            </w:pPr>
            <w:r>
              <w:rPr>
                <w:color w:val="000000"/>
                <w:szCs w:val="24"/>
              </w:rPr>
              <w:t>Messages must be delivered exactly once. Due to network and the client, it is possible to receive duplicate messages which should be handled by the application.</w:t>
            </w:r>
          </w:p>
        </w:tc>
      </w:tr>
    </w:tbl>
    <w:p w14:paraId="76BEC512" w14:textId="77777777" w:rsidR="00157AAA" w:rsidRDefault="00157AAA">
      <w:pPr>
        <w:pStyle w:val="explanatoryclause"/>
        <w:ind w:right="0"/>
        <w:rPr>
          <w:rStyle w:val="Preparersnotenobold"/>
          <w:rFonts w:ascii="Times New Roman" w:hAnsi="Times New Roman"/>
          <w:b/>
          <w:sz w:val="24"/>
        </w:rPr>
      </w:pPr>
    </w:p>
    <w:p w14:paraId="0F9B3416"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Implementation Non-Functional Requirements</w:t>
      </w:r>
    </w:p>
    <w:p w14:paraId="5029DCE0" w14:textId="77777777" w:rsidR="00157AAA" w:rsidRDefault="00157AAA">
      <w:pPr>
        <w:pStyle w:val="explanatoryclause"/>
        <w:spacing w:after="0"/>
        <w:ind w:left="734" w:right="0" w:hanging="734"/>
        <w:rPr>
          <w:rStyle w:val="Preparersnotenobold"/>
          <w:rFonts w:ascii="Times New Roman" w:hAnsi="Times New Roman"/>
          <w:i w:val="0"/>
          <w:sz w:val="16"/>
          <w:szCs w:val="16"/>
        </w:rPr>
      </w:pPr>
    </w:p>
    <w:p w14:paraId="710B4FA5" w14:textId="77777777" w:rsidR="00157AAA" w:rsidRDefault="006C1BE5">
      <w:pPr>
        <w:pStyle w:val="explanatoryclause"/>
        <w:spacing w:after="0"/>
        <w:ind w:left="734" w:right="0" w:hanging="734"/>
        <w:rPr>
          <w:rStyle w:val="Preparersnotenobold"/>
          <w:rFonts w:ascii="Times New Roman" w:hAnsi="Times New Roman"/>
          <w:i w:val="0"/>
          <w:sz w:val="24"/>
        </w:rPr>
      </w:pPr>
      <w:r>
        <w:rPr>
          <w:rStyle w:val="Preparersnotenobold"/>
          <w:rFonts w:ascii="Times New Roman" w:hAnsi="Times New Roman"/>
          <w:i w:val="0"/>
          <w:sz w:val="24"/>
        </w:rPr>
        <w:t>The table below provides the list of implementation non-functional requirements.</w:t>
      </w:r>
    </w:p>
    <w:p w14:paraId="59FB57B7" w14:textId="77777777" w:rsidR="00157AAA" w:rsidRDefault="00157AAA">
      <w:pPr>
        <w:pStyle w:val="explanatoryclause"/>
        <w:spacing w:after="0"/>
        <w:ind w:left="734" w:right="0" w:hanging="734"/>
        <w:rPr>
          <w:rStyle w:val="Preparersnotenobold"/>
          <w:rFonts w:ascii="Times New Roman" w:hAnsi="Times New Roman"/>
          <w:i w:val="0"/>
          <w:sz w:val="24"/>
        </w:rPr>
      </w:pPr>
    </w:p>
    <w:tbl>
      <w:tblPr>
        <w:tblW w:w="8930" w:type="dxa"/>
        <w:tblInd w:w="137" w:type="dxa"/>
        <w:tblLayout w:type="fixed"/>
        <w:tblLook w:val="04A0" w:firstRow="1" w:lastRow="0" w:firstColumn="1" w:lastColumn="0" w:noHBand="0" w:noVBand="1"/>
      </w:tblPr>
      <w:tblGrid>
        <w:gridCol w:w="1701"/>
        <w:gridCol w:w="1577"/>
        <w:gridCol w:w="5652"/>
      </w:tblGrid>
      <w:tr w:rsidR="00157AAA" w14:paraId="0A3E0194"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A60DB2E" w14:textId="77777777" w:rsidR="00157AAA" w:rsidRDefault="006C1BE5">
            <w:pPr>
              <w:spacing w:after="0"/>
              <w:jc w:val="left"/>
              <w:rPr>
                <w:b/>
                <w:bCs/>
                <w:szCs w:val="24"/>
              </w:rPr>
            </w:pPr>
            <w:r>
              <w:rPr>
                <w:b/>
                <w:bCs/>
                <w:szCs w:val="24"/>
              </w:rPr>
              <w:t>Reference ID</w:t>
            </w:r>
          </w:p>
        </w:tc>
        <w:tc>
          <w:tcPr>
            <w:tcW w:w="157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10C52312" w14:textId="77777777" w:rsidR="00157AAA" w:rsidRDefault="006C1BE5">
            <w:pPr>
              <w:spacing w:after="0"/>
              <w:jc w:val="left"/>
              <w:rPr>
                <w:b/>
                <w:bCs/>
                <w:szCs w:val="24"/>
              </w:rPr>
            </w:pPr>
            <w:r>
              <w:rPr>
                <w:b/>
                <w:bCs/>
                <w:szCs w:val="24"/>
              </w:rPr>
              <w:t>Name</w:t>
            </w:r>
          </w:p>
        </w:tc>
        <w:tc>
          <w:tcPr>
            <w:tcW w:w="565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75DF1538" w14:textId="77777777" w:rsidR="00157AAA" w:rsidRDefault="006C1BE5">
            <w:pPr>
              <w:spacing w:after="0"/>
              <w:jc w:val="left"/>
              <w:rPr>
                <w:b/>
                <w:bCs/>
                <w:szCs w:val="24"/>
              </w:rPr>
            </w:pPr>
            <w:r>
              <w:rPr>
                <w:b/>
                <w:bCs/>
                <w:szCs w:val="24"/>
              </w:rPr>
              <w:t>Description/Definition</w:t>
            </w:r>
          </w:p>
        </w:tc>
      </w:tr>
      <w:tr w:rsidR="00157AAA" w14:paraId="204A2809"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7CF448A" w14:textId="77777777" w:rsidR="00157AAA" w:rsidRDefault="006C1BE5">
            <w:pPr>
              <w:spacing w:after="0"/>
              <w:jc w:val="left"/>
              <w:rPr>
                <w:bCs/>
                <w:szCs w:val="24"/>
              </w:rPr>
            </w:pPr>
            <w:r>
              <w:rPr>
                <w:color w:val="000000"/>
                <w:szCs w:val="24"/>
              </w:rPr>
              <w:t>NSW_IMP_0001</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35851755" w14:textId="77777777" w:rsidR="00157AAA" w:rsidRDefault="006C1BE5">
            <w:pPr>
              <w:spacing w:after="0"/>
              <w:rPr>
                <w:bCs/>
                <w:szCs w:val="24"/>
              </w:rPr>
            </w:pPr>
            <w:r>
              <w:rPr>
                <w:bCs/>
                <w:color w:val="000000"/>
                <w:szCs w:val="24"/>
              </w:rPr>
              <w:t>Automated Build of Delivery Package</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4DDCF05E" w14:textId="77777777" w:rsidR="00157AAA" w:rsidRDefault="006C1BE5">
            <w:pPr>
              <w:spacing w:after="0"/>
              <w:rPr>
                <w:color w:val="000000"/>
                <w:szCs w:val="24"/>
              </w:rPr>
            </w:pPr>
            <w:r>
              <w:rPr>
                <w:color w:val="000000"/>
                <w:szCs w:val="24"/>
              </w:rPr>
              <w:t xml:space="preserve">Build of the delivery package must be fully automated and include following steps: </w:t>
            </w:r>
          </w:p>
          <w:p w14:paraId="2FFE33D8" w14:textId="77777777" w:rsidR="00157AAA" w:rsidRDefault="006C1BE5" w:rsidP="00D530D5">
            <w:pPr>
              <w:pStyle w:val="ListParagraph"/>
              <w:numPr>
                <w:ilvl w:val="0"/>
                <w:numId w:val="130"/>
              </w:numPr>
              <w:spacing w:after="0"/>
              <w:rPr>
                <w:color w:val="000000"/>
                <w:szCs w:val="24"/>
              </w:rPr>
            </w:pPr>
            <w:r>
              <w:rPr>
                <w:color w:val="000000"/>
                <w:szCs w:val="24"/>
              </w:rPr>
              <w:t xml:space="preserve">a source code and other artefacts checkout from the source control </w:t>
            </w:r>
            <w:proofErr w:type="gramStart"/>
            <w:r>
              <w:rPr>
                <w:color w:val="000000"/>
                <w:szCs w:val="24"/>
              </w:rPr>
              <w:t>system;</w:t>
            </w:r>
            <w:proofErr w:type="gramEnd"/>
            <w:r>
              <w:rPr>
                <w:color w:val="000000"/>
                <w:szCs w:val="24"/>
              </w:rPr>
              <w:t xml:space="preserve"> </w:t>
            </w:r>
          </w:p>
          <w:p w14:paraId="4617BC50" w14:textId="77777777" w:rsidR="00157AAA" w:rsidRDefault="006C1BE5" w:rsidP="00D530D5">
            <w:pPr>
              <w:pStyle w:val="ListParagraph"/>
              <w:numPr>
                <w:ilvl w:val="0"/>
                <w:numId w:val="130"/>
              </w:numPr>
              <w:spacing w:after="0"/>
              <w:rPr>
                <w:color w:val="000000"/>
                <w:szCs w:val="24"/>
              </w:rPr>
            </w:pPr>
            <w:r>
              <w:rPr>
                <w:color w:val="000000"/>
                <w:szCs w:val="24"/>
              </w:rPr>
              <w:t xml:space="preserve">a source code </w:t>
            </w:r>
            <w:proofErr w:type="gramStart"/>
            <w:r>
              <w:rPr>
                <w:color w:val="000000"/>
                <w:szCs w:val="24"/>
              </w:rPr>
              <w:t>build;</w:t>
            </w:r>
            <w:proofErr w:type="gramEnd"/>
            <w:r>
              <w:rPr>
                <w:color w:val="000000"/>
                <w:szCs w:val="24"/>
              </w:rPr>
              <w:t xml:space="preserve"> </w:t>
            </w:r>
          </w:p>
          <w:p w14:paraId="17A0108C" w14:textId="77777777" w:rsidR="00157AAA" w:rsidRDefault="006C1BE5" w:rsidP="00D530D5">
            <w:pPr>
              <w:pStyle w:val="ListParagraph"/>
              <w:numPr>
                <w:ilvl w:val="0"/>
                <w:numId w:val="130"/>
              </w:numPr>
              <w:spacing w:after="0"/>
              <w:rPr>
                <w:color w:val="000000"/>
                <w:szCs w:val="24"/>
              </w:rPr>
            </w:pPr>
            <w:r>
              <w:rPr>
                <w:color w:val="000000"/>
                <w:szCs w:val="24"/>
              </w:rPr>
              <w:t xml:space="preserve">a delivery package creation. </w:t>
            </w:r>
          </w:p>
          <w:p w14:paraId="72A78946" w14:textId="77777777" w:rsidR="00157AAA" w:rsidRDefault="006C1BE5">
            <w:pPr>
              <w:spacing w:after="0"/>
              <w:rPr>
                <w:bCs/>
                <w:szCs w:val="24"/>
              </w:rPr>
            </w:pPr>
            <w:r>
              <w:rPr>
                <w:color w:val="000000"/>
                <w:szCs w:val="24"/>
              </w:rPr>
              <w:t>Ideally, it must be possible to automatically test the package (i.e. verify that it is possible to create installation from the delivery).</w:t>
            </w:r>
          </w:p>
        </w:tc>
      </w:tr>
      <w:tr w:rsidR="00157AAA" w14:paraId="01F93B0B"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7EEA06F" w14:textId="77777777" w:rsidR="00157AAA" w:rsidRDefault="006C1BE5">
            <w:pPr>
              <w:spacing w:after="0"/>
              <w:jc w:val="left"/>
              <w:rPr>
                <w:color w:val="000000"/>
                <w:szCs w:val="24"/>
              </w:rPr>
            </w:pPr>
            <w:r>
              <w:rPr>
                <w:color w:val="000000"/>
                <w:szCs w:val="24"/>
              </w:rPr>
              <w:t>NSW_IMP_0002</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788DA0E1" w14:textId="77777777" w:rsidR="00157AAA" w:rsidRDefault="006C1BE5">
            <w:pPr>
              <w:spacing w:after="0"/>
              <w:rPr>
                <w:bCs/>
                <w:color w:val="000000"/>
                <w:szCs w:val="24"/>
              </w:rPr>
            </w:pPr>
            <w:r>
              <w:rPr>
                <w:bCs/>
                <w:color w:val="000000"/>
                <w:szCs w:val="24"/>
              </w:rPr>
              <w:t>Automated Installation Procedure</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6C61E0C8" w14:textId="77777777" w:rsidR="00157AAA" w:rsidRDefault="006C1BE5">
            <w:pPr>
              <w:spacing w:after="0"/>
              <w:rPr>
                <w:color w:val="000000"/>
                <w:szCs w:val="24"/>
              </w:rPr>
            </w:pPr>
            <w:r>
              <w:rPr>
                <w:color w:val="000000"/>
                <w:szCs w:val="24"/>
              </w:rPr>
              <w:t>The NSW installation procedure must be fully automated.</w:t>
            </w:r>
          </w:p>
        </w:tc>
      </w:tr>
      <w:tr w:rsidR="00157AAA" w14:paraId="71D651F2"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15AB524" w14:textId="77777777" w:rsidR="00157AAA" w:rsidRDefault="006C1BE5">
            <w:pPr>
              <w:spacing w:after="0"/>
              <w:jc w:val="left"/>
              <w:rPr>
                <w:color w:val="000000"/>
                <w:szCs w:val="24"/>
              </w:rPr>
            </w:pPr>
            <w:r>
              <w:rPr>
                <w:color w:val="000000"/>
                <w:szCs w:val="24"/>
              </w:rPr>
              <w:t>NSW_IMP_0003</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1FE3FD00" w14:textId="77777777" w:rsidR="00157AAA" w:rsidRDefault="006C1BE5">
            <w:pPr>
              <w:spacing w:after="0"/>
              <w:rPr>
                <w:bCs/>
                <w:color w:val="000000"/>
                <w:szCs w:val="24"/>
              </w:rPr>
            </w:pPr>
            <w:r>
              <w:rPr>
                <w:bCs/>
                <w:color w:val="000000"/>
                <w:szCs w:val="24"/>
              </w:rPr>
              <w:t>Delivery Package of Release</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086DA818" w14:textId="77777777" w:rsidR="00157AAA" w:rsidRDefault="006C1BE5">
            <w:pPr>
              <w:spacing w:after="0"/>
              <w:rPr>
                <w:color w:val="000000"/>
                <w:szCs w:val="24"/>
              </w:rPr>
            </w:pPr>
            <w:r>
              <w:rPr>
                <w:color w:val="000000"/>
                <w:szCs w:val="24"/>
              </w:rPr>
              <w:t xml:space="preserve">As a result of </w:t>
            </w:r>
            <w:proofErr w:type="gramStart"/>
            <w:r>
              <w:rPr>
                <w:color w:val="000000"/>
                <w:szCs w:val="24"/>
              </w:rPr>
              <w:t>new</w:t>
            </w:r>
            <w:proofErr w:type="gramEnd"/>
            <w:r>
              <w:rPr>
                <w:color w:val="000000"/>
                <w:szCs w:val="24"/>
              </w:rPr>
              <w:t xml:space="preserve"> application release, a delivery package must be produced. The delivery package includes application source code, all third-party libraries and additional files required to build installation package. It also contains all application documentation. The structure of the delivery package must be common across applications.</w:t>
            </w:r>
          </w:p>
        </w:tc>
      </w:tr>
      <w:tr w:rsidR="00157AAA" w14:paraId="23AA3FD1"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61297B7" w14:textId="1684F17A" w:rsidR="00157AAA" w:rsidRDefault="006C1BE5">
            <w:pPr>
              <w:spacing w:after="0"/>
              <w:jc w:val="left"/>
              <w:rPr>
                <w:color w:val="000000"/>
                <w:szCs w:val="24"/>
              </w:rPr>
            </w:pPr>
            <w:r>
              <w:rPr>
                <w:color w:val="000000"/>
                <w:szCs w:val="24"/>
              </w:rPr>
              <w:t>NSW_IMP_000</w:t>
            </w:r>
            <w:r w:rsidR="00430A22">
              <w:rPr>
                <w:color w:val="000000"/>
                <w:szCs w:val="24"/>
              </w:rPr>
              <w:t>4</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52532969" w14:textId="77777777" w:rsidR="00157AAA" w:rsidRDefault="006C1BE5">
            <w:pPr>
              <w:spacing w:after="0"/>
              <w:rPr>
                <w:bCs/>
                <w:color w:val="000000"/>
                <w:szCs w:val="24"/>
              </w:rPr>
            </w:pPr>
            <w:r>
              <w:rPr>
                <w:bCs/>
                <w:color w:val="000000"/>
                <w:szCs w:val="24"/>
              </w:rPr>
              <w:t>Identification of Exact Version</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5B688A7E" w14:textId="77777777" w:rsidR="00157AAA" w:rsidRDefault="006C1BE5">
            <w:pPr>
              <w:spacing w:after="0"/>
              <w:rPr>
                <w:color w:val="000000"/>
                <w:szCs w:val="24"/>
              </w:rPr>
            </w:pPr>
            <w:r>
              <w:rPr>
                <w:color w:val="000000"/>
                <w:szCs w:val="24"/>
              </w:rPr>
              <w:t xml:space="preserve">It must be possible to identify the exact version (including hot fix) of the NSW during the whole deployment lifecycle: </w:t>
            </w:r>
          </w:p>
          <w:p w14:paraId="5495EC73" w14:textId="77777777" w:rsidR="00157AAA" w:rsidRDefault="006C1BE5" w:rsidP="00D530D5">
            <w:pPr>
              <w:pStyle w:val="ListParagraph"/>
              <w:numPr>
                <w:ilvl w:val="0"/>
                <w:numId w:val="131"/>
              </w:numPr>
              <w:spacing w:after="0"/>
              <w:rPr>
                <w:color w:val="000000"/>
                <w:szCs w:val="24"/>
              </w:rPr>
            </w:pPr>
            <w:r>
              <w:rPr>
                <w:color w:val="000000"/>
                <w:szCs w:val="24"/>
              </w:rPr>
              <w:t xml:space="preserve">a delivery </w:t>
            </w:r>
            <w:proofErr w:type="gramStart"/>
            <w:r>
              <w:rPr>
                <w:color w:val="000000"/>
                <w:szCs w:val="24"/>
              </w:rPr>
              <w:t>package;</w:t>
            </w:r>
            <w:proofErr w:type="gramEnd"/>
          </w:p>
          <w:p w14:paraId="169CC81A" w14:textId="77777777" w:rsidR="00157AAA" w:rsidRDefault="006C1BE5" w:rsidP="00D530D5">
            <w:pPr>
              <w:pStyle w:val="ListParagraph"/>
              <w:numPr>
                <w:ilvl w:val="0"/>
                <w:numId w:val="131"/>
              </w:numPr>
              <w:spacing w:after="0"/>
              <w:rPr>
                <w:color w:val="000000"/>
                <w:szCs w:val="24"/>
              </w:rPr>
            </w:pPr>
            <w:r>
              <w:rPr>
                <w:color w:val="000000"/>
                <w:szCs w:val="24"/>
              </w:rPr>
              <w:t xml:space="preserve">an installation </w:t>
            </w:r>
            <w:proofErr w:type="gramStart"/>
            <w:r>
              <w:rPr>
                <w:color w:val="000000"/>
                <w:szCs w:val="24"/>
              </w:rPr>
              <w:t>package;</w:t>
            </w:r>
            <w:proofErr w:type="gramEnd"/>
            <w:r>
              <w:rPr>
                <w:color w:val="000000"/>
                <w:szCs w:val="24"/>
              </w:rPr>
              <w:t xml:space="preserve"> </w:t>
            </w:r>
          </w:p>
          <w:p w14:paraId="17B55C7F" w14:textId="77777777" w:rsidR="00157AAA" w:rsidRDefault="006C1BE5" w:rsidP="00D530D5">
            <w:pPr>
              <w:pStyle w:val="ListParagraph"/>
              <w:numPr>
                <w:ilvl w:val="0"/>
                <w:numId w:val="131"/>
              </w:numPr>
              <w:spacing w:after="0"/>
              <w:rPr>
                <w:color w:val="000000"/>
                <w:szCs w:val="24"/>
              </w:rPr>
            </w:pPr>
            <w:r>
              <w:rPr>
                <w:color w:val="000000"/>
                <w:szCs w:val="24"/>
              </w:rPr>
              <w:t>a deployed application.</w:t>
            </w:r>
          </w:p>
        </w:tc>
      </w:tr>
      <w:tr w:rsidR="00157AAA" w14:paraId="0B3E8D10"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55EF9EF" w14:textId="05309098" w:rsidR="00157AAA" w:rsidRDefault="006C1BE5">
            <w:pPr>
              <w:spacing w:after="0"/>
              <w:jc w:val="left"/>
              <w:rPr>
                <w:color w:val="000000"/>
                <w:szCs w:val="24"/>
              </w:rPr>
            </w:pPr>
            <w:r>
              <w:rPr>
                <w:color w:val="000000"/>
                <w:szCs w:val="24"/>
              </w:rPr>
              <w:lastRenderedPageBreak/>
              <w:t>NSW_IMP_000</w:t>
            </w:r>
            <w:r w:rsidR="00430A22">
              <w:rPr>
                <w:color w:val="000000"/>
                <w:szCs w:val="24"/>
              </w:rPr>
              <w:t>5</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37A72AD4" w14:textId="77777777" w:rsidR="00157AAA" w:rsidRDefault="006C1BE5">
            <w:pPr>
              <w:spacing w:after="0"/>
              <w:rPr>
                <w:bCs/>
                <w:color w:val="000000"/>
                <w:szCs w:val="24"/>
              </w:rPr>
            </w:pPr>
            <w:r>
              <w:rPr>
                <w:bCs/>
                <w:color w:val="000000"/>
                <w:szCs w:val="24"/>
              </w:rPr>
              <w:t>Installation Package</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2322DB2A" w14:textId="77777777" w:rsidR="00157AAA" w:rsidRDefault="006C1BE5">
            <w:pPr>
              <w:spacing w:after="0"/>
              <w:rPr>
                <w:color w:val="000000"/>
                <w:szCs w:val="24"/>
              </w:rPr>
            </w:pPr>
            <w:r>
              <w:rPr>
                <w:color w:val="000000"/>
                <w:szCs w:val="24"/>
              </w:rPr>
              <w:t>As a result of the NSW build, installation package must be produced. The Installation package contains artefacts ready to be installed on an environment.</w:t>
            </w:r>
          </w:p>
        </w:tc>
      </w:tr>
      <w:tr w:rsidR="00157AAA" w14:paraId="734516DC"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9B65821" w14:textId="3327BE55" w:rsidR="00157AAA" w:rsidRDefault="006C1BE5">
            <w:pPr>
              <w:spacing w:after="0"/>
              <w:jc w:val="left"/>
              <w:rPr>
                <w:color w:val="000000"/>
                <w:szCs w:val="24"/>
              </w:rPr>
            </w:pPr>
            <w:r>
              <w:rPr>
                <w:color w:val="000000"/>
                <w:szCs w:val="24"/>
              </w:rPr>
              <w:t>NSW_IMP_000</w:t>
            </w:r>
            <w:r w:rsidR="00430A22">
              <w:rPr>
                <w:color w:val="000000"/>
                <w:szCs w:val="24"/>
              </w:rPr>
              <w:t>6</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635FE877" w14:textId="77777777" w:rsidR="00157AAA" w:rsidRDefault="006C1BE5">
            <w:pPr>
              <w:spacing w:after="0"/>
              <w:rPr>
                <w:bCs/>
                <w:color w:val="000000"/>
                <w:szCs w:val="24"/>
              </w:rPr>
            </w:pPr>
            <w:r>
              <w:rPr>
                <w:bCs/>
                <w:color w:val="000000"/>
                <w:szCs w:val="24"/>
              </w:rPr>
              <w:t>Smoke Test Scenarios</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71660E72" w14:textId="77777777" w:rsidR="00157AAA" w:rsidRDefault="006C1BE5">
            <w:pPr>
              <w:spacing w:after="0"/>
              <w:rPr>
                <w:color w:val="000000"/>
                <w:szCs w:val="24"/>
              </w:rPr>
            </w:pPr>
            <w:r>
              <w:rPr>
                <w:color w:val="000000"/>
                <w:szCs w:val="24"/>
              </w:rPr>
              <w:t>Smoke test scenarios must be 100% automated. Smoke tests are a subset of the test cases that cover the most important functionalities of the NSW.</w:t>
            </w:r>
          </w:p>
        </w:tc>
      </w:tr>
      <w:tr w:rsidR="00157AAA" w14:paraId="6BEF7DC6"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C8AE20B" w14:textId="16BD95AD" w:rsidR="00157AAA" w:rsidRDefault="006C1BE5">
            <w:pPr>
              <w:spacing w:after="0"/>
              <w:rPr>
                <w:color w:val="000000"/>
                <w:szCs w:val="24"/>
              </w:rPr>
            </w:pPr>
            <w:r>
              <w:rPr>
                <w:color w:val="000000"/>
                <w:szCs w:val="24"/>
              </w:rPr>
              <w:t>NSW_IMP_000</w:t>
            </w:r>
            <w:r w:rsidR="00430A22">
              <w:rPr>
                <w:color w:val="000000"/>
                <w:szCs w:val="24"/>
              </w:rPr>
              <w:t>7</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370E9E08" w14:textId="77777777" w:rsidR="00157AAA" w:rsidRDefault="006C1BE5">
            <w:pPr>
              <w:spacing w:after="0"/>
              <w:rPr>
                <w:bCs/>
                <w:color w:val="000000"/>
                <w:szCs w:val="24"/>
              </w:rPr>
            </w:pPr>
            <w:r>
              <w:rPr>
                <w:bCs/>
                <w:color w:val="000000"/>
                <w:szCs w:val="24"/>
              </w:rPr>
              <w:t>Unit Testing</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46D1712C" w14:textId="77777777" w:rsidR="00157AAA" w:rsidRDefault="006C1BE5">
            <w:pPr>
              <w:spacing w:after="0"/>
              <w:rPr>
                <w:color w:val="000000"/>
                <w:szCs w:val="24"/>
              </w:rPr>
            </w:pPr>
            <w:r>
              <w:rPr>
                <w:color w:val="000000"/>
                <w:szCs w:val="24"/>
              </w:rPr>
              <w:t>Unit tests must be run during delivery package build and unit test report must be automatically generated. Unit test coverage goal is application specific, but it should be avoided setting goals lower than 80%.</w:t>
            </w:r>
          </w:p>
        </w:tc>
      </w:tr>
      <w:tr w:rsidR="00157AAA" w14:paraId="49F5F6CB"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DB8F822" w14:textId="0223DCAD" w:rsidR="00157AAA" w:rsidRDefault="006C1BE5">
            <w:pPr>
              <w:spacing w:after="0"/>
              <w:rPr>
                <w:color w:val="000000"/>
                <w:szCs w:val="24"/>
              </w:rPr>
            </w:pPr>
            <w:r>
              <w:rPr>
                <w:color w:val="000000"/>
                <w:szCs w:val="24"/>
              </w:rPr>
              <w:t>NSW_IMP_000</w:t>
            </w:r>
            <w:r w:rsidR="00430A22">
              <w:rPr>
                <w:color w:val="000000"/>
                <w:szCs w:val="24"/>
              </w:rPr>
              <w:t>8</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1C141D13" w14:textId="77777777" w:rsidR="00157AAA" w:rsidRDefault="006C1BE5">
            <w:pPr>
              <w:spacing w:after="0"/>
              <w:rPr>
                <w:bCs/>
                <w:color w:val="000000"/>
                <w:szCs w:val="24"/>
              </w:rPr>
            </w:pPr>
            <w:r>
              <w:rPr>
                <w:bCs/>
                <w:color w:val="000000"/>
                <w:szCs w:val="24"/>
              </w:rPr>
              <w:t>Integration on Test Environment and Automated Test Execution</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4AAC2AE2" w14:textId="77777777" w:rsidR="00157AAA" w:rsidRDefault="006C1BE5">
            <w:pPr>
              <w:spacing w:after="0"/>
              <w:rPr>
                <w:color w:val="000000"/>
                <w:szCs w:val="24"/>
              </w:rPr>
            </w:pPr>
            <w:r>
              <w:rPr>
                <w:color w:val="000000"/>
                <w:szCs w:val="24"/>
              </w:rPr>
              <w:t>A continuous integration practice must be applied for the NSW installation on the test environment and automated test execution.</w:t>
            </w:r>
          </w:p>
        </w:tc>
      </w:tr>
      <w:tr w:rsidR="00157AAA" w14:paraId="31F4DDD3" w14:textId="77777777" w:rsidTr="001136D3">
        <w:trPr>
          <w:trHeight w:val="504"/>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C09A9A7" w14:textId="34D58F9F" w:rsidR="00157AAA" w:rsidRDefault="006C1BE5">
            <w:pPr>
              <w:spacing w:after="0"/>
              <w:jc w:val="center"/>
              <w:rPr>
                <w:color w:val="000000"/>
                <w:szCs w:val="24"/>
              </w:rPr>
            </w:pPr>
            <w:r>
              <w:rPr>
                <w:color w:val="000000"/>
                <w:szCs w:val="24"/>
              </w:rPr>
              <w:t>NSW_IMP_00</w:t>
            </w:r>
            <w:r w:rsidR="00430A22">
              <w:rPr>
                <w:color w:val="000000"/>
                <w:szCs w:val="24"/>
              </w:rPr>
              <w:t>09</w:t>
            </w:r>
          </w:p>
        </w:tc>
        <w:tc>
          <w:tcPr>
            <w:tcW w:w="1577" w:type="dxa"/>
            <w:tcBorders>
              <w:top w:val="single" w:sz="4" w:space="0" w:color="000000"/>
              <w:left w:val="none" w:sz="4" w:space="0" w:color="000000"/>
              <w:bottom w:val="single" w:sz="4" w:space="0" w:color="000000"/>
              <w:right w:val="single" w:sz="4" w:space="0" w:color="000000"/>
            </w:tcBorders>
            <w:shd w:val="clear" w:color="auto" w:fill="auto"/>
          </w:tcPr>
          <w:p w14:paraId="19BE58B1" w14:textId="77777777" w:rsidR="00157AAA" w:rsidRDefault="006C1BE5">
            <w:pPr>
              <w:spacing w:after="0"/>
              <w:rPr>
                <w:bCs/>
                <w:color w:val="000000"/>
                <w:szCs w:val="24"/>
              </w:rPr>
            </w:pPr>
            <w:r>
              <w:rPr>
                <w:bCs/>
                <w:color w:val="000000"/>
                <w:szCs w:val="24"/>
              </w:rPr>
              <w:t>User Interface</w:t>
            </w:r>
          </w:p>
        </w:tc>
        <w:tc>
          <w:tcPr>
            <w:tcW w:w="5652" w:type="dxa"/>
            <w:tcBorders>
              <w:top w:val="single" w:sz="4" w:space="0" w:color="000000"/>
              <w:left w:val="none" w:sz="4" w:space="0" w:color="000000"/>
              <w:bottom w:val="single" w:sz="4" w:space="0" w:color="000000"/>
              <w:right w:val="single" w:sz="4" w:space="0" w:color="000000"/>
            </w:tcBorders>
            <w:shd w:val="clear" w:color="auto" w:fill="auto"/>
          </w:tcPr>
          <w:p w14:paraId="365D3CDE" w14:textId="77777777" w:rsidR="00157AAA" w:rsidRDefault="006C1BE5">
            <w:pPr>
              <w:spacing w:after="0"/>
              <w:rPr>
                <w:color w:val="000000"/>
                <w:szCs w:val="24"/>
              </w:rPr>
            </w:pPr>
            <w:r>
              <w:rPr>
                <w:color w:val="000000"/>
                <w:szCs w:val="24"/>
              </w:rPr>
              <w:t>User Interface must comply with CA other services.</w:t>
            </w:r>
          </w:p>
        </w:tc>
      </w:tr>
    </w:tbl>
    <w:p w14:paraId="19EEC4F1" w14:textId="77777777" w:rsidR="00157AAA" w:rsidRDefault="00157AAA">
      <w:pPr>
        <w:pStyle w:val="explanatoryclause"/>
        <w:ind w:right="0"/>
        <w:rPr>
          <w:rStyle w:val="Preparersnotenobold"/>
          <w:rFonts w:ascii="Times New Roman" w:hAnsi="Times New Roman"/>
          <w:i w:val="0"/>
          <w:sz w:val="24"/>
        </w:rPr>
      </w:pPr>
    </w:p>
    <w:p w14:paraId="78060A7E"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Installation Non-Functional Requirements</w:t>
      </w:r>
    </w:p>
    <w:p w14:paraId="1ACD85C7" w14:textId="77777777" w:rsidR="00157AAA" w:rsidRDefault="006C1BE5">
      <w:r>
        <w:t>The table below provides the list of installation non-functional requirements.</w:t>
      </w:r>
    </w:p>
    <w:tbl>
      <w:tblPr>
        <w:tblW w:w="8930" w:type="dxa"/>
        <w:tblInd w:w="137" w:type="dxa"/>
        <w:tblLayout w:type="fixed"/>
        <w:tblLook w:val="04A0" w:firstRow="1" w:lastRow="0" w:firstColumn="1" w:lastColumn="0" w:noHBand="0" w:noVBand="1"/>
      </w:tblPr>
      <w:tblGrid>
        <w:gridCol w:w="1701"/>
        <w:gridCol w:w="1757"/>
        <w:gridCol w:w="5472"/>
      </w:tblGrid>
      <w:tr w:rsidR="00157AAA" w14:paraId="40D724DC"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991DC76" w14:textId="77777777" w:rsidR="00157AAA" w:rsidRDefault="006C1BE5">
            <w:pPr>
              <w:spacing w:after="0"/>
              <w:jc w:val="left"/>
              <w:rPr>
                <w:b/>
                <w:bCs/>
                <w:szCs w:val="24"/>
              </w:rPr>
            </w:pPr>
            <w:r>
              <w:rPr>
                <w:b/>
                <w:bCs/>
                <w:szCs w:val="24"/>
              </w:rPr>
              <w:t>Reference ID</w:t>
            </w:r>
          </w:p>
        </w:tc>
        <w:tc>
          <w:tcPr>
            <w:tcW w:w="175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4BC38B69" w14:textId="77777777" w:rsidR="00157AAA" w:rsidRDefault="006C1BE5">
            <w:pPr>
              <w:spacing w:after="0"/>
              <w:jc w:val="left"/>
              <w:rPr>
                <w:b/>
                <w:bCs/>
                <w:szCs w:val="24"/>
              </w:rPr>
            </w:pPr>
            <w:r>
              <w:rPr>
                <w:b/>
                <w:bCs/>
                <w:szCs w:val="24"/>
              </w:rPr>
              <w:t>Name</w:t>
            </w:r>
          </w:p>
        </w:tc>
        <w:tc>
          <w:tcPr>
            <w:tcW w:w="547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27C80E3E" w14:textId="77777777" w:rsidR="00157AAA" w:rsidRDefault="006C1BE5">
            <w:pPr>
              <w:spacing w:after="0"/>
              <w:jc w:val="left"/>
              <w:rPr>
                <w:b/>
                <w:bCs/>
                <w:szCs w:val="24"/>
              </w:rPr>
            </w:pPr>
            <w:r>
              <w:rPr>
                <w:b/>
                <w:bCs/>
                <w:szCs w:val="24"/>
              </w:rPr>
              <w:t>Description/Definition</w:t>
            </w:r>
          </w:p>
        </w:tc>
      </w:tr>
      <w:tr w:rsidR="00157AAA" w14:paraId="6C54ECB8"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8ADD894" w14:textId="77777777" w:rsidR="00157AAA" w:rsidRDefault="006C1BE5">
            <w:pPr>
              <w:spacing w:after="0"/>
              <w:jc w:val="left"/>
              <w:rPr>
                <w:bCs/>
                <w:szCs w:val="24"/>
              </w:rPr>
            </w:pPr>
            <w:r>
              <w:rPr>
                <w:color w:val="000000"/>
                <w:szCs w:val="24"/>
              </w:rPr>
              <w:t>NSW_INS_0001</w:t>
            </w:r>
          </w:p>
        </w:tc>
        <w:tc>
          <w:tcPr>
            <w:tcW w:w="1757" w:type="dxa"/>
            <w:tcBorders>
              <w:top w:val="single" w:sz="4" w:space="0" w:color="000000"/>
              <w:left w:val="none" w:sz="4" w:space="0" w:color="000000"/>
              <w:bottom w:val="single" w:sz="4" w:space="0" w:color="000000"/>
              <w:right w:val="single" w:sz="4" w:space="0" w:color="000000"/>
            </w:tcBorders>
            <w:shd w:val="clear" w:color="auto" w:fill="auto"/>
          </w:tcPr>
          <w:p w14:paraId="605A5245" w14:textId="77777777" w:rsidR="00157AAA" w:rsidRDefault="006C1BE5">
            <w:pPr>
              <w:spacing w:after="0"/>
              <w:jc w:val="left"/>
              <w:rPr>
                <w:bCs/>
                <w:szCs w:val="24"/>
              </w:rPr>
            </w:pPr>
            <w:r>
              <w:rPr>
                <w:bCs/>
                <w:color w:val="000000"/>
                <w:szCs w:val="24"/>
              </w:rPr>
              <w:t>Continuous Integration Practice</w:t>
            </w:r>
          </w:p>
        </w:tc>
        <w:tc>
          <w:tcPr>
            <w:tcW w:w="5472" w:type="dxa"/>
            <w:tcBorders>
              <w:top w:val="single" w:sz="4" w:space="0" w:color="000000"/>
              <w:left w:val="none" w:sz="4" w:space="0" w:color="000000"/>
              <w:bottom w:val="single" w:sz="4" w:space="0" w:color="000000"/>
              <w:right w:val="single" w:sz="4" w:space="0" w:color="000000"/>
            </w:tcBorders>
            <w:shd w:val="clear" w:color="auto" w:fill="auto"/>
          </w:tcPr>
          <w:p w14:paraId="04131D3A" w14:textId="77777777" w:rsidR="00157AAA" w:rsidRDefault="006C1BE5">
            <w:pPr>
              <w:spacing w:after="0"/>
              <w:rPr>
                <w:bCs/>
                <w:szCs w:val="24"/>
              </w:rPr>
            </w:pPr>
            <w:r>
              <w:rPr>
                <w:color w:val="000000"/>
                <w:szCs w:val="24"/>
              </w:rPr>
              <w:t>Continuous integration practice must be applied for NSW installation package build.</w:t>
            </w:r>
          </w:p>
        </w:tc>
      </w:tr>
    </w:tbl>
    <w:p w14:paraId="110A46F5"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Logging Non-Functional Requirements</w:t>
      </w:r>
    </w:p>
    <w:p w14:paraId="5250DF13" w14:textId="77777777" w:rsidR="00157AAA" w:rsidRDefault="006C1BE5">
      <w:r>
        <w:t>The table below provides the list of Logging non-functional requirements.</w:t>
      </w:r>
    </w:p>
    <w:p w14:paraId="038AACFB" w14:textId="77777777" w:rsidR="00157AAA" w:rsidRDefault="00157AAA">
      <w:pPr>
        <w:pStyle w:val="explanatoryclause"/>
        <w:spacing w:after="0"/>
        <w:ind w:left="734" w:right="0" w:hanging="734"/>
        <w:rPr>
          <w:rStyle w:val="Preparersnotenobold"/>
          <w:rFonts w:ascii="Times New Roman" w:hAnsi="Times New Roman"/>
          <w:b/>
          <w:sz w:val="24"/>
        </w:rPr>
      </w:pPr>
    </w:p>
    <w:tbl>
      <w:tblPr>
        <w:tblW w:w="8930" w:type="dxa"/>
        <w:tblInd w:w="137" w:type="dxa"/>
        <w:tblLayout w:type="fixed"/>
        <w:tblLook w:val="04A0" w:firstRow="1" w:lastRow="0" w:firstColumn="1" w:lastColumn="0" w:noHBand="0" w:noVBand="1"/>
      </w:tblPr>
      <w:tblGrid>
        <w:gridCol w:w="1701"/>
        <w:gridCol w:w="1667"/>
        <w:gridCol w:w="5562"/>
      </w:tblGrid>
      <w:tr w:rsidR="00157AAA" w14:paraId="32EFB2B8"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A1ABAD3" w14:textId="77777777" w:rsidR="00157AAA" w:rsidRDefault="006C1BE5">
            <w:pPr>
              <w:spacing w:after="0"/>
              <w:jc w:val="left"/>
              <w:rPr>
                <w:b/>
                <w:bCs/>
                <w:szCs w:val="24"/>
              </w:rPr>
            </w:pPr>
            <w:r>
              <w:rPr>
                <w:b/>
                <w:bCs/>
                <w:szCs w:val="24"/>
              </w:rPr>
              <w:lastRenderedPageBreak/>
              <w:t>Reference ID</w:t>
            </w:r>
          </w:p>
        </w:tc>
        <w:tc>
          <w:tcPr>
            <w:tcW w:w="1667"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6E7E1FD8" w14:textId="77777777" w:rsidR="00157AAA" w:rsidRDefault="006C1BE5">
            <w:pPr>
              <w:spacing w:after="0"/>
              <w:jc w:val="left"/>
              <w:rPr>
                <w:b/>
                <w:bCs/>
                <w:szCs w:val="24"/>
              </w:rPr>
            </w:pPr>
            <w:r>
              <w:rPr>
                <w:b/>
                <w:bCs/>
                <w:szCs w:val="24"/>
              </w:rPr>
              <w:t>Name</w:t>
            </w:r>
          </w:p>
        </w:tc>
        <w:tc>
          <w:tcPr>
            <w:tcW w:w="5562" w:type="dxa"/>
            <w:tcBorders>
              <w:top w:val="single" w:sz="4" w:space="0" w:color="000000"/>
              <w:left w:val="none" w:sz="4" w:space="0" w:color="000000"/>
              <w:bottom w:val="single" w:sz="4" w:space="0" w:color="000000"/>
              <w:right w:val="single" w:sz="4" w:space="0" w:color="000000"/>
            </w:tcBorders>
            <w:shd w:val="clear" w:color="auto" w:fill="BFBFBF" w:themeFill="background1" w:themeFillShade="BF"/>
          </w:tcPr>
          <w:p w14:paraId="77989096" w14:textId="77777777" w:rsidR="00157AAA" w:rsidRDefault="006C1BE5">
            <w:pPr>
              <w:spacing w:after="0"/>
              <w:jc w:val="left"/>
              <w:rPr>
                <w:b/>
                <w:bCs/>
                <w:szCs w:val="24"/>
              </w:rPr>
            </w:pPr>
            <w:r>
              <w:rPr>
                <w:b/>
                <w:bCs/>
                <w:szCs w:val="24"/>
              </w:rPr>
              <w:t>Description/Definition</w:t>
            </w:r>
          </w:p>
        </w:tc>
      </w:tr>
      <w:tr w:rsidR="00157AAA" w14:paraId="4A258224"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0A809CC" w14:textId="77777777" w:rsidR="00157AAA" w:rsidRDefault="006C1BE5">
            <w:pPr>
              <w:spacing w:after="0"/>
              <w:jc w:val="left"/>
              <w:rPr>
                <w:bCs/>
                <w:szCs w:val="24"/>
              </w:rPr>
            </w:pPr>
            <w:r>
              <w:rPr>
                <w:color w:val="000000"/>
                <w:szCs w:val="24"/>
              </w:rPr>
              <w:t>NSW_LOG_0001</w:t>
            </w:r>
          </w:p>
        </w:tc>
        <w:tc>
          <w:tcPr>
            <w:tcW w:w="1667" w:type="dxa"/>
            <w:tcBorders>
              <w:top w:val="single" w:sz="4" w:space="0" w:color="000000"/>
              <w:left w:val="none" w:sz="4" w:space="0" w:color="000000"/>
              <w:bottom w:val="single" w:sz="4" w:space="0" w:color="000000"/>
              <w:right w:val="single" w:sz="4" w:space="0" w:color="000000"/>
            </w:tcBorders>
            <w:shd w:val="clear" w:color="auto" w:fill="auto"/>
          </w:tcPr>
          <w:p w14:paraId="398C9F7E" w14:textId="77777777" w:rsidR="00157AAA" w:rsidRDefault="006C1BE5">
            <w:pPr>
              <w:spacing w:after="0"/>
              <w:jc w:val="left"/>
              <w:rPr>
                <w:bCs/>
                <w:szCs w:val="24"/>
              </w:rPr>
            </w:pPr>
            <w:r>
              <w:rPr>
                <w:bCs/>
                <w:color w:val="000000"/>
                <w:szCs w:val="24"/>
              </w:rPr>
              <w:t>Authentication Log</w:t>
            </w:r>
          </w:p>
        </w:tc>
        <w:tc>
          <w:tcPr>
            <w:tcW w:w="5562" w:type="dxa"/>
            <w:tcBorders>
              <w:top w:val="single" w:sz="4" w:space="0" w:color="000000"/>
              <w:left w:val="none" w:sz="4" w:space="0" w:color="000000"/>
              <w:bottom w:val="single" w:sz="4" w:space="0" w:color="000000"/>
              <w:right w:val="single" w:sz="4" w:space="0" w:color="000000"/>
            </w:tcBorders>
            <w:shd w:val="clear" w:color="auto" w:fill="auto"/>
          </w:tcPr>
          <w:p w14:paraId="62CF6A15" w14:textId="77777777" w:rsidR="00157AAA" w:rsidRDefault="006C1BE5">
            <w:pPr>
              <w:spacing w:after="0"/>
              <w:rPr>
                <w:bCs/>
                <w:szCs w:val="24"/>
              </w:rPr>
            </w:pPr>
            <w:r>
              <w:rPr>
                <w:color w:val="000000"/>
                <w:szCs w:val="24"/>
              </w:rPr>
              <w:t>The NSW must provide possibility to log all authentication or authorization attempts whether they are successful or not.</w:t>
            </w:r>
          </w:p>
        </w:tc>
      </w:tr>
      <w:tr w:rsidR="00157AAA" w14:paraId="26B1DBFD"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BFE891B" w14:textId="77777777" w:rsidR="00157AAA" w:rsidRDefault="006C1BE5">
            <w:pPr>
              <w:spacing w:after="0"/>
              <w:jc w:val="left"/>
              <w:rPr>
                <w:bCs/>
                <w:szCs w:val="24"/>
              </w:rPr>
            </w:pPr>
            <w:r>
              <w:rPr>
                <w:color w:val="000000"/>
                <w:szCs w:val="24"/>
              </w:rPr>
              <w:t>NSW_LOG_0002</w:t>
            </w:r>
          </w:p>
        </w:tc>
        <w:tc>
          <w:tcPr>
            <w:tcW w:w="1667" w:type="dxa"/>
            <w:tcBorders>
              <w:top w:val="single" w:sz="4" w:space="0" w:color="000000"/>
              <w:left w:val="none" w:sz="4" w:space="0" w:color="000000"/>
              <w:bottom w:val="single" w:sz="4" w:space="0" w:color="000000"/>
              <w:right w:val="single" w:sz="4" w:space="0" w:color="000000"/>
            </w:tcBorders>
            <w:shd w:val="clear" w:color="auto" w:fill="auto"/>
          </w:tcPr>
          <w:p w14:paraId="0EDE851D" w14:textId="77777777" w:rsidR="00157AAA" w:rsidRDefault="006C1BE5">
            <w:pPr>
              <w:spacing w:after="0"/>
              <w:jc w:val="left"/>
              <w:rPr>
                <w:bCs/>
                <w:szCs w:val="24"/>
              </w:rPr>
            </w:pPr>
            <w:r>
              <w:rPr>
                <w:bCs/>
                <w:color w:val="000000"/>
                <w:szCs w:val="24"/>
              </w:rPr>
              <w:t>Availability Period of Technical Logs</w:t>
            </w:r>
          </w:p>
        </w:tc>
        <w:tc>
          <w:tcPr>
            <w:tcW w:w="5562" w:type="dxa"/>
            <w:tcBorders>
              <w:top w:val="single" w:sz="4" w:space="0" w:color="000000"/>
              <w:left w:val="none" w:sz="4" w:space="0" w:color="000000"/>
              <w:bottom w:val="single" w:sz="4" w:space="0" w:color="000000"/>
              <w:right w:val="single" w:sz="4" w:space="0" w:color="000000"/>
            </w:tcBorders>
            <w:shd w:val="clear" w:color="auto" w:fill="auto"/>
          </w:tcPr>
          <w:p w14:paraId="09A554C6" w14:textId="77777777" w:rsidR="00157AAA" w:rsidRDefault="006C1BE5">
            <w:pPr>
              <w:spacing w:after="0"/>
              <w:rPr>
                <w:bCs/>
                <w:szCs w:val="24"/>
              </w:rPr>
            </w:pPr>
            <w:r>
              <w:rPr>
                <w:color w:val="000000"/>
                <w:szCs w:val="24"/>
              </w:rPr>
              <w:t xml:space="preserve">Technical logs must be available for configurable </w:t>
            </w:r>
            <w:proofErr w:type="gramStart"/>
            <w:r>
              <w:rPr>
                <w:color w:val="000000"/>
                <w:szCs w:val="24"/>
              </w:rPr>
              <w:t>period of time</w:t>
            </w:r>
            <w:proofErr w:type="gramEnd"/>
            <w:r>
              <w:rPr>
                <w:color w:val="000000"/>
                <w:szCs w:val="24"/>
              </w:rPr>
              <w:t xml:space="preserve">. </w:t>
            </w:r>
          </w:p>
        </w:tc>
      </w:tr>
      <w:tr w:rsidR="00157AAA" w14:paraId="1ADA8513"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0514B42" w14:textId="77777777" w:rsidR="00157AAA" w:rsidRDefault="006C1BE5">
            <w:pPr>
              <w:spacing w:after="0"/>
              <w:jc w:val="left"/>
              <w:rPr>
                <w:bCs/>
                <w:szCs w:val="24"/>
              </w:rPr>
            </w:pPr>
            <w:r>
              <w:rPr>
                <w:color w:val="000000"/>
                <w:szCs w:val="24"/>
              </w:rPr>
              <w:t>NSW_LOG_0003</w:t>
            </w:r>
          </w:p>
        </w:tc>
        <w:tc>
          <w:tcPr>
            <w:tcW w:w="1667" w:type="dxa"/>
            <w:tcBorders>
              <w:top w:val="single" w:sz="4" w:space="0" w:color="000000"/>
              <w:left w:val="none" w:sz="4" w:space="0" w:color="000000"/>
              <w:bottom w:val="single" w:sz="4" w:space="0" w:color="000000"/>
              <w:right w:val="single" w:sz="4" w:space="0" w:color="000000"/>
            </w:tcBorders>
            <w:shd w:val="clear" w:color="auto" w:fill="auto"/>
          </w:tcPr>
          <w:p w14:paraId="19C0EE5B" w14:textId="77777777" w:rsidR="00157AAA" w:rsidRDefault="006C1BE5">
            <w:pPr>
              <w:spacing w:after="0"/>
              <w:jc w:val="left"/>
              <w:rPr>
                <w:bCs/>
                <w:szCs w:val="24"/>
              </w:rPr>
            </w:pPr>
            <w:r>
              <w:rPr>
                <w:bCs/>
                <w:color w:val="000000"/>
                <w:szCs w:val="24"/>
              </w:rPr>
              <w:t>Central Storage of Logs</w:t>
            </w:r>
          </w:p>
        </w:tc>
        <w:tc>
          <w:tcPr>
            <w:tcW w:w="5562" w:type="dxa"/>
            <w:tcBorders>
              <w:top w:val="single" w:sz="4" w:space="0" w:color="000000"/>
              <w:left w:val="none" w:sz="4" w:space="0" w:color="000000"/>
              <w:bottom w:val="single" w:sz="4" w:space="0" w:color="000000"/>
              <w:right w:val="single" w:sz="4" w:space="0" w:color="000000"/>
            </w:tcBorders>
            <w:shd w:val="clear" w:color="auto" w:fill="auto"/>
          </w:tcPr>
          <w:p w14:paraId="1984E88F" w14:textId="77777777" w:rsidR="00157AAA" w:rsidRDefault="006C1BE5">
            <w:pPr>
              <w:spacing w:after="0"/>
              <w:rPr>
                <w:bCs/>
                <w:szCs w:val="24"/>
              </w:rPr>
            </w:pPr>
            <w:r>
              <w:rPr>
                <w:color w:val="000000"/>
                <w:szCs w:val="24"/>
              </w:rPr>
              <w:t>The logging component must support centralized storage for logs.</w:t>
            </w:r>
          </w:p>
        </w:tc>
      </w:tr>
      <w:tr w:rsidR="00157AAA" w14:paraId="1705AAD9" w14:textId="77777777" w:rsidTr="001136D3">
        <w:trPr>
          <w:trHeight w:val="504"/>
          <w:tblHeader/>
        </w:trPr>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C2FFC8C" w14:textId="77777777" w:rsidR="00157AAA" w:rsidRDefault="006C1BE5">
            <w:pPr>
              <w:spacing w:after="0"/>
              <w:jc w:val="left"/>
              <w:rPr>
                <w:bCs/>
                <w:szCs w:val="24"/>
              </w:rPr>
            </w:pPr>
            <w:r>
              <w:rPr>
                <w:color w:val="000000"/>
                <w:szCs w:val="24"/>
              </w:rPr>
              <w:t>NSW_LOG_0004</w:t>
            </w:r>
          </w:p>
        </w:tc>
        <w:tc>
          <w:tcPr>
            <w:tcW w:w="1667" w:type="dxa"/>
            <w:tcBorders>
              <w:top w:val="single" w:sz="4" w:space="0" w:color="000000"/>
              <w:left w:val="none" w:sz="4" w:space="0" w:color="000000"/>
              <w:bottom w:val="single" w:sz="4" w:space="0" w:color="000000"/>
              <w:right w:val="single" w:sz="4" w:space="0" w:color="000000"/>
            </w:tcBorders>
            <w:shd w:val="clear" w:color="auto" w:fill="auto"/>
          </w:tcPr>
          <w:p w14:paraId="67F86E1C" w14:textId="77777777" w:rsidR="00157AAA" w:rsidRDefault="006C1BE5">
            <w:pPr>
              <w:spacing w:after="0"/>
              <w:jc w:val="left"/>
              <w:rPr>
                <w:bCs/>
                <w:szCs w:val="24"/>
              </w:rPr>
            </w:pPr>
            <w:r>
              <w:rPr>
                <w:bCs/>
                <w:color w:val="000000"/>
                <w:szCs w:val="24"/>
              </w:rPr>
              <w:t>Dump Messages</w:t>
            </w:r>
          </w:p>
        </w:tc>
        <w:tc>
          <w:tcPr>
            <w:tcW w:w="5562" w:type="dxa"/>
            <w:tcBorders>
              <w:top w:val="single" w:sz="4" w:space="0" w:color="000000"/>
              <w:left w:val="none" w:sz="4" w:space="0" w:color="000000"/>
              <w:bottom w:val="single" w:sz="4" w:space="0" w:color="000000"/>
              <w:right w:val="single" w:sz="4" w:space="0" w:color="000000"/>
            </w:tcBorders>
            <w:shd w:val="clear" w:color="auto" w:fill="auto"/>
          </w:tcPr>
          <w:p w14:paraId="40A50D8D" w14:textId="77777777" w:rsidR="00157AAA" w:rsidRDefault="006C1BE5">
            <w:pPr>
              <w:spacing w:after="0"/>
              <w:rPr>
                <w:bCs/>
                <w:szCs w:val="24"/>
              </w:rPr>
            </w:pPr>
            <w:r>
              <w:rPr>
                <w:color w:val="000000"/>
                <w:szCs w:val="24"/>
              </w:rPr>
              <w:t>TA must provide possibility to dump the messages. There is no need to filter messages based on the origin or type, all exchanged messages are dumped.</w:t>
            </w:r>
          </w:p>
        </w:tc>
      </w:tr>
    </w:tbl>
    <w:p w14:paraId="4F780B64" w14:textId="77777777" w:rsidR="00157AAA" w:rsidRDefault="00157AAA">
      <w:pPr>
        <w:pStyle w:val="explanatoryclause"/>
        <w:ind w:right="0"/>
        <w:rPr>
          <w:rStyle w:val="Preparersnotenobold"/>
          <w:rFonts w:ascii="Times New Roman" w:hAnsi="Times New Roman"/>
          <w:b/>
          <w:sz w:val="24"/>
        </w:rPr>
      </w:pPr>
    </w:p>
    <w:p w14:paraId="4B59DCE2"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Monitoring Non-Functional Requirements</w:t>
      </w:r>
    </w:p>
    <w:p w14:paraId="517BB6F9" w14:textId="77777777" w:rsidR="00157AAA" w:rsidRDefault="006C1BE5">
      <w:r>
        <w:t>The table below provides the list of monitoring non-functional requirements.</w:t>
      </w:r>
    </w:p>
    <w:p w14:paraId="12274561" w14:textId="77777777" w:rsidR="00157AAA" w:rsidRDefault="00157AAA">
      <w:pPr>
        <w:pStyle w:val="explanatoryclause"/>
        <w:spacing w:after="0"/>
        <w:ind w:left="734" w:right="0" w:hanging="734"/>
        <w:rPr>
          <w:rStyle w:val="Preparersnotenobold"/>
          <w:rFonts w:ascii="Times New Roman" w:hAnsi="Times New Roman"/>
          <w:b/>
          <w:sz w:val="24"/>
        </w:rPr>
      </w:pPr>
    </w:p>
    <w:tbl>
      <w:tblPr>
        <w:tblStyle w:val="TableGrid"/>
        <w:tblW w:w="9493" w:type="dxa"/>
        <w:tblLayout w:type="fixed"/>
        <w:tblLook w:val="04A0" w:firstRow="1" w:lastRow="0" w:firstColumn="1" w:lastColumn="0" w:noHBand="0" w:noVBand="1"/>
      </w:tblPr>
      <w:tblGrid>
        <w:gridCol w:w="1885"/>
        <w:gridCol w:w="1620"/>
        <w:gridCol w:w="5988"/>
      </w:tblGrid>
      <w:tr w:rsidR="00157AAA" w14:paraId="0D7C195B" w14:textId="77777777" w:rsidTr="001136D3">
        <w:trPr>
          <w:trHeight w:val="504"/>
        </w:trPr>
        <w:tc>
          <w:tcPr>
            <w:tcW w:w="1885" w:type="dxa"/>
            <w:shd w:val="clear" w:color="auto" w:fill="A6A6A6" w:themeFill="background1" w:themeFillShade="A6"/>
          </w:tcPr>
          <w:p w14:paraId="079D4254" w14:textId="77777777" w:rsidR="00157AAA" w:rsidRDefault="006C1BE5">
            <w:pPr>
              <w:spacing w:after="0"/>
              <w:jc w:val="left"/>
              <w:rPr>
                <w:b/>
                <w:bCs/>
                <w:szCs w:val="24"/>
              </w:rPr>
            </w:pPr>
            <w:r>
              <w:rPr>
                <w:b/>
                <w:bCs/>
                <w:szCs w:val="24"/>
              </w:rPr>
              <w:t>Reference ID</w:t>
            </w:r>
          </w:p>
        </w:tc>
        <w:tc>
          <w:tcPr>
            <w:tcW w:w="1620" w:type="dxa"/>
            <w:shd w:val="clear" w:color="auto" w:fill="A6A6A6" w:themeFill="background1" w:themeFillShade="A6"/>
          </w:tcPr>
          <w:p w14:paraId="37064AD0" w14:textId="77777777" w:rsidR="00157AAA" w:rsidRDefault="006C1BE5">
            <w:pPr>
              <w:spacing w:after="0"/>
              <w:jc w:val="left"/>
              <w:rPr>
                <w:b/>
                <w:bCs/>
                <w:szCs w:val="24"/>
              </w:rPr>
            </w:pPr>
            <w:r>
              <w:rPr>
                <w:b/>
                <w:bCs/>
                <w:szCs w:val="24"/>
              </w:rPr>
              <w:t>Name</w:t>
            </w:r>
          </w:p>
        </w:tc>
        <w:tc>
          <w:tcPr>
            <w:tcW w:w="5988" w:type="dxa"/>
            <w:shd w:val="clear" w:color="auto" w:fill="A6A6A6" w:themeFill="background1" w:themeFillShade="A6"/>
          </w:tcPr>
          <w:p w14:paraId="0770CD2E" w14:textId="77777777" w:rsidR="00157AAA" w:rsidRDefault="006C1BE5">
            <w:pPr>
              <w:spacing w:after="0"/>
              <w:rPr>
                <w:b/>
                <w:bCs/>
                <w:szCs w:val="24"/>
              </w:rPr>
            </w:pPr>
            <w:r>
              <w:rPr>
                <w:b/>
                <w:bCs/>
                <w:szCs w:val="24"/>
              </w:rPr>
              <w:t>Description/Definition</w:t>
            </w:r>
          </w:p>
        </w:tc>
      </w:tr>
      <w:tr w:rsidR="00157AAA" w14:paraId="1E0A19D9" w14:textId="77777777" w:rsidTr="001136D3">
        <w:trPr>
          <w:trHeight w:val="504"/>
        </w:trPr>
        <w:tc>
          <w:tcPr>
            <w:tcW w:w="1885" w:type="dxa"/>
          </w:tcPr>
          <w:p w14:paraId="6CE58203" w14:textId="77777777" w:rsidR="00157AAA" w:rsidRDefault="006C1BE5">
            <w:pPr>
              <w:spacing w:after="0"/>
              <w:jc w:val="left"/>
              <w:rPr>
                <w:bCs/>
                <w:szCs w:val="24"/>
              </w:rPr>
            </w:pPr>
            <w:r>
              <w:rPr>
                <w:color w:val="000000"/>
                <w:szCs w:val="24"/>
              </w:rPr>
              <w:t>NSW_MON_0001</w:t>
            </w:r>
          </w:p>
        </w:tc>
        <w:tc>
          <w:tcPr>
            <w:tcW w:w="1620" w:type="dxa"/>
          </w:tcPr>
          <w:p w14:paraId="3BB991A5" w14:textId="77777777" w:rsidR="00157AAA" w:rsidRDefault="006C1BE5">
            <w:pPr>
              <w:spacing w:after="0"/>
              <w:jc w:val="left"/>
              <w:rPr>
                <w:bCs/>
                <w:szCs w:val="24"/>
              </w:rPr>
            </w:pPr>
            <w:r>
              <w:rPr>
                <w:bCs/>
                <w:color w:val="000000"/>
                <w:szCs w:val="24"/>
              </w:rPr>
              <w:t>Integration with External Monitoring Component</w:t>
            </w:r>
          </w:p>
        </w:tc>
        <w:tc>
          <w:tcPr>
            <w:tcW w:w="5988" w:type="dxa"/>
          </w:tcPr>
          <w:p w14:paraId="591537CA" w14:textId="77777777" w:rsidR="00157AAA" w:rsidRDefault="006C1BE5">
            <w:pPr>
              <w:spacing w:after="0"/>
              <w:rPr>
                <w:bCs/>
                <w:szCs w:val="24"/>
              </w:rPr>
            </w:pPr>
            <w:r>
              <w:rPr>
                <w:color w:val="000000"/>
                <w:szCs w:val="24"/>
              </w:rPr>
              <w:t xml:space="preserve">The NSW must enable integration with the external (infrastructure provider) monitoring component. </w:t>
            </w:r>
          </w:p>
        </w:tc>
      </w:tr>
      <w:tr w:rsidR="00157AAA" w14:paraId="350D8A78" w14:textId="77777777" w:rsidTr="001136D3">
        <w:trPr>
          <w:trHeight w:val="504"/>
        </w:trPr>
        <w:tc>
          <w:tcPr>
            <w:tcW w:w="1885" w:type="dxa"/>
          </w:tcPr>
          <w:p w14:paraId="048E6F08" w14:textId="77777777" w:rsidR="00157AAA" w:rsidRDefault="006C1BE5">
            <w:pPr>
              <w:spacing w:after="0"/>
              <w:jc w:val="left"/>
              <w:rPr>
                <w:bCs/>
                <w:szCs w:val="24"/>
              </w:rPr>
            </w:pPr>
            <w:r>
              <w:rPr>
                <w:color w:val="000000"/>
                <w:szCs w:val="24"/>
              </w:rPr>
              <w:t>NSW_MON_0002</w:t>
            </w:r>
          </w:p>
        </w:tc>
        <w:tc>
          <w:tcPr>
            <w:tcW w:w="1620" w:type="dxa"/>
          </w:tcPr>
          <w:p w14:paraId="6746272C" w14:textId="77777777" w:rsidR="00157AAA" w:rsidRDefault="006C1BE5">
            <w:pPr>
              <w:spacing w:after="0"/>
              <w:jc w:val="left"/>
              <w:rPr>
                <w:bCs/>
                <w:szCs w:val="24"/>
              </w:rPr>
            </w:pPr>
            <w:r>
              <w:rPr>
                <w:bCs/>
                <w:color w:val="000000"/>
                <w:szCs w:val="24"/>
              </w:rPr>
              <w:t>Metrics</w:t>
            </w:r>
          </w:p>
        </w:tc>
        <w:tc>
          <w:tcPr>
            <w:tcW w:w="5988" w:type="dxa"/>
          </w:tcPr>
          <w:p w14:paraId="0959B5B4" w14:textId="77777777" w:rsidR="00157AAA" w:rsidRDefault="006C1BE5">
            <w:pPr>
              <w:spacing w:after="0"/>
              <w:rPr>
                <w:color w:val="000000"/>
                <w:szCs w:val="24"/>
              </w:rPr>
            </w:pPr>
            <w:r>
              <w:rPr>
                <w:color w:val="000000"/>
                <w:szCs w:val="24"/>
              </w:rPr>
              <w:t xml:space="preserve">The following metrics must be reported: </w:t>
            </w:r>
          </w:p>
          <w:p w14:paraId="519C7163" w14:textId="77777777" w:rsidR="00157AAA" w:rsidRDefault="006C1BE5" w:rsidP="00D530D5">
            <w:pPr>
              <w:pStyle w:val="ListParagraph"/>
              <w:numPr>
                <w:ilvl w:val="0"/>
                <w:numId w:val="132"/>
              </w:numPr>
              <w:spacing w:after="0"/>
              <w:rPr>
                <w:color w:val="000000"/>
                <w:szCs w:val="24"/>
              </w:rPr>
            </w:pPr>
            <w:r>
              <w:rPr>
                <w:color w:val="000000"/>
                <w:szCs w:val="24"/>
              </w:rPr>
              <w:t xml:space="preserve">Common metrics exposed by the application server such as CPU load, heap usage, IO activity, JMS Queue (number of pending messages), JDBC data sources (number of free connections), number of </w:t>
            </w:r>
            <w:proofErr w:type="gramStart"/>
            <w:r>
              <w:rPr>
                <w:color w:val="000000"/>
                <w:szCs w:val="24"/>
              </w:rPr>
              <w:t>threads;</w:t>
            </w:r>
            <w:proofErr w:type="gramEnd"/>
            <w:r>
              <w:rPr>
                <w:color w:val="000000"/>
                <w:szCs w:val="24"/>
              </w:rPr>
              <w:t xml:space="preserve"> </w:t>
            </w:r>
          </w:p>
          <w:p w14:paraId="79B6C93D" w14:textId="77777777" w:rsidR="00157AAA" w:rsidRDefault="006C1BE5" w:rsidP="00D530D5">
            <w:pPr>
              <w:pStyle w:val="ListParagraph"/>
              <w:numPr>
                <w:ilvl w:val="0"/>
                <w:numId w:val="132"/>
              </w:numPr>
              <w:spacing w:after="0"/>
              <w:rPr>
                <w:color w:val="000000"/>
                <w:szCs w:val="24"/>
              </w:rPr>
            </w:pPr>
            <w:r>
              <w:rPr>
                <w:color w:val="000000"/>
                <w:szCs w:val="24"/>
              </w:rPr>
              <w:t xml:space="preserve">Health checks where components should check that they are able to perform the necessary functions. The TA must provide </w:t>
            </w:r>
            <w:proofErr w:type="gramStart"/>
            <w:r>
              <w:rPr>
                <w:color w:val="000000"/>
                <w:szCs w:val="24"/>
              </w:rPr>
              <w:t>framework</w:t>
            </w:r>
            <w:proofErr w:type="gramEnd"/>
            <w:r>
              <w:rPr>
                <w:color w:val="000000"/>
                <w:szCs w:val="24"/>
              </w:rPr>
              <w:t xml:space="preserve"> to simplify implementation of health checks on the component level. </w:t>
            </w:r>
          </w:p>
          <w:p w14:paraId="74532709" w14:textId="77777777" w:rsidR="00157AAA" w:rsidRDefault="006C1BE5">
            <w:pPr>
              <w:spacing w:after="0"/>
              <w:rPr>
                <w:color w:val="000000"/>
                <w:szCs w:val="24"/>
              </w:rPr>
            </w:pPr>
            <w:r>
              <w:rPr>
                <w:color w:val="000000"/>
                <w:szCs w:val="24"/>
              </w:rPr>
              <w:t xml:space="preserve">Exact checks are component specific and should be defined at </w:t>
            </w:r>
            <w:proofErr w:type="gramStart"/>
            <w:r>
              <w:rPr>
                <w:color w:val="000000"/>
                <w:szCs w:val="24"/>
              </w:rPr>
              <w:t>design</w:t>
            </w:r>
            <w:proofErr w:type="gramEnd"/>
            <w:r>
              <w:rPr>
                <w:color w:val="000000"/>
                <w:szCs w:val="24"/>
              </w:rPr>
              <w:t xml:space="preserve"> time of the component.  Furthermore, Business Activity Monitoring must be predefined and implemented in the monitoring component. </w:t>
            </w:r>
          </w:p>
        </w:tc>
      </w:tr>
    </w:tbl>
    <w:p w14:paraId="6385DD5B" w14:textId="77777777" w:rsidR="00157AAA" w:rsidRDefault="00157AAA">
      <w:pPr>
        <w:pStyle w:val="explanatoryclause"/>
        <w:ind w:right="0"/>
        <w:rPr>
          <w:rStyle w:val="Preparersnotenobold"/>
          <w:rFonts w:ascii="Times New Roman" w:hAnsi="Times New Roman"/>
          <w:i w:val="0"/>
          <w:sz w:val="24"/>
        </w:rPr>
      </w:pPr>
    </w:p>
    <w:p w14:paraId="2189DC01" w14:textId="7B6755F0" w:rsidR="00157AAA" w:rsidRDefault="00157AAA">
      <w:pPr>
        <w:spacing w:after="0"/>
        <w:jc w:val="left"/>
        <w:rPr>
          <w:rStyle w:val="Preparersnotenobold"/>
          <w:i w:val="0"/>
        </w:rPr>
      </w:pPr>
    </w:p>
    <w:p w14:paraId="40C9D413"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Ownership of Assets Non-Functional Requirements</w:t>
      </w:r>
    </w:p>
    <w:p w14:paraId="19D9C235" w14:textId="77777777" w:rsidR="00157AAA" w:rsidRDefault="006C1BE5">
      <w:r>
        <w:t>The table below provides the list of Ownership of Assets non-functional requirements.</w:t>
      </w:r>
    </w:p>
    <w:p w14:paraId="51FC34E8" w14:textId="77777777" w:rsidR="00157AAA" w:rsidRDefault="00157AAA">
      <w:pPr>
        <w:spacing w:after="0"/>
        <w:rPr>
          <w:b/>
        </w:rPr>
      </w:pPr>
    </w:p>
    <w:tbl>
      <w:tblPr>
        <w:tblStyle w:val="TableGrid"/>
        <w:tblW w:w="9493" w:type="dxa"/>
        <w:tblLayout w:type="fixed"/>
        <w:tblLook w:val="04A0" w:firstRow="1" w:lastRow="0" w:firstColumn="1" w:lastColumn="0" w:noHBand="0" w:noVBand="1"/>
      </w:tblPr>
      <w:tblGrid>
        <w:gridCol w:w="1885"/>
        <w:gridCol w:w="1620"/>
        <w:gridCol w:w="5988"/>
      </w:tblGrid>
      <w:tr w:rsidR="00157AAA" w14:paraId="665FA796" w14:textId="77777777" w:rsidTr="001136D3">
        <w:trPr>
          <w:trHeight w:val="504"/>
        </w:trPr>
        <w:tc>
          <w:tcPr>
            <w:tcW w:w="1885" w:type="dxa"/>
            <w:shd w:val="clear" w:color="auto" w:fill="A6A6A6" w:themeFill="background1" w:themeFillShade="A6"/>
          </w:tcPr>
          <w:p w14:paraId="53869753" w14:textId="77777777" w:rsidR="00157AAA" w:rsidRDefault="006C1BE5">
            <w:pPr>
              <w:spacing w:after="0"/>
              <w:jc w:val="left"/>
              <w:rPr>
                <w:b/>
                <w:bCs/>
                <w:szCs w:val="24"/>
              </w:rPr>
            </w:pPr>
            <w:r>
              <w:rPr>
                <w:b/>
                <w:bCs/>
                <w:szCs w:val="24"/>
              </w:rPr>
              <w:t>Reference ID</w:t>
            </w:r>
          </w:p>
        </w:tc>
        <w:tc>
          <w:tcPr>
            <w:tcW w:w="1620" w:type="dxa"/>
            <w:shd w:val="clear" w:color="auto" w:fill="A6A6A6" w:themeFill="background1" w:themeFillShade="A6"/>
          </w:tcPr>
          <w:p w14:paraId="6D682C55" w14:textId="77777777" w:rsidR="00157AAA" w:rsidRDefault="006C1BE5">
            <w:pPr>
              <w:spacing w:after="0"/>
              <w:jc w:val="left"/>
              <w:rPr>
                <w:b/>
                <w:bCs/>
                <w:szCs w:val="24"/>
              </w:rPr>
            </w:pPr>
            <w:r>
              <w:rPr>
                <w:b/>
                <w:bCs/>
                <w:szCs w:val="24"/>
              </w:rPr>
              <w:t>Name</w:t>
            </w:r>
          </w:p>
        </w:tc>
        <w:tc>
          <w:tcPr>
            <w:tcW w:w="5988" w:type="dxa"/>
            <w:shd w:val="clear" w:color="auto" w:fill="A6A6A6" w:themeFill="background1" w:themeFillShade="A6"/>
          </w:tcPr>
          <w:p w14:paraId="5079A945" w14:textId="77777777" w:rsidR="00157AAA" w:rsidRDefault="006C1BE5">
            <w:pPr>
              <w:spacing w:after="0"/>
              <w:jc w:val="left"/>
              <w:rPr>
                <w:b/>
                <w:bCs/>
                <w:szCs w:val="24"/>
              </w:rPr>
            </w:pPr>
            <w:r>
              <w:rPr>
                <w:b/>
                <w:bCs/>
                <w:szCs w:val="24"/>
              </w:rPr>
              <w:t>Description/Definition</w:t>
            </w:r>
          </w:p>
        </w:tc>
      </w:tr>
      <w:tr w:rsidR="00157AAA" w14:paraId="36F7740F" w14:textId="77777777" w:rsidTr="001136D3">
        <w:trPr>
          <w:trHeight w:val="504"/>
        </w:trPr>
        <w:tc>
          <w:tcPr>
            <w:tcW w:w="1885" w:type="dxa"/>
          </w:tcPr>
          <w:p w14:paraId="7EAD186E" w14:textId="77777777" w:rsidR="00157AAA" w:rsidRDefault="006C1BE5">
            <w:pPr>
              <w:spacing w:after="0"/>
              <w:jc w:val="left"/>
              <w:rPr>
                <w:bCs/>
                <w:szCs w:val="24"/>
              </w:rPr>
            </w:pPr>
            <w:r>
              <w:rPr>
                <w:color w:val="000000"/>
                <w:szCs w:val="24"/>
              </w:rPr>
              <w:t>NSW_OOA_0001</w:t>
            </w:r>
          </w:p>
        </w:tc>
        <w:tc>
          <w:tcPr>
            <w:tcW w:w="1620" w:type="dxa"/>
          </w:tcPr>
          <w:p w14:paraId="518F263A" w14:textId="77777777" w:rsidR="00157AAA" w:rsidRDefault="006C1BE5">
            <w:pPr>
              <w:spacing w:after="0"/>
              <w:jc w:val="left"/>
              <w:rPr>
                <w:bCs/>
                <w:szCs w:val="24"/>
              </w:rPr>
            </w:pPr>
            <w:r>
              <w:rPr>
                <w:bCs/>
                <w:color w:val="000000"/>
                <w:szCs w:val="24"/>
              </w:rPr>
              <w:t>Data Masking Strategies</w:t>
            </w:r>
          </w:p>
        </w:tc>
        <w:tc>
          <w:tcPr>
            <w:tcW w:w="5988" w:type="dxa"/>
          </w:tcPr>
          <w:p w14:paraId="7BBA590E" w14:textId="77777777" w:rsidR="00157AAA" w:rsidRDefault="006C1BE5">
            <w:pPr>
              <w:spacing w:after="0"/>
              <w:rPr>
                <w:bCs/>
                <w:szCs w:val="24"/>
              </w:rPr>
            </w:pPr>
            <w:r>
              <w:rPr>
                <w:color w:val="000000"/>
                <w:szCs w:val="24"/>
              </w:rPr>
              <w:t>Data masking strategies and techniques must be used for production data before they are sent for use in non-production environments. Data masking strategies and techniques will obscure or depersonalize specific data within a database table or a flat file ensuring data security is maintained and customer information is not leaked outside of authorized environments. The data masking algorithms are applied across multiple tables, applications and environments so referential and business integrity will always be maintained. This allows testing and development teams to carry out project work safely and efficiently.</w:t>
            </w:r>
          </w:p>
        </w:tc>
      </w:tr>
      <w:tr w:rsidR="00157AAA" w14:paraId="6A55E686" w14:textId="77777777" w:rsidTr="001136D3">
        <w:trPr>
          <w:trHeight w:val="504"/>
        </w:trPr>
        <w:tc>
          <w:tcPr>
            <w:tcW w:w="1885" w:type="dxa"/>
          </w:tcPr>
          <w:p w14:paraId="4E2C3499" w14:textId="77777777" w:rsidR="00157AAA" w:rsidRDefault="006C1BE5">
            <w:pPr>
              <w:spacing w:after="0"/>
              <w:jc w:val="left"/>
              <w:rPr>
                <w:color w:val="000000"/>
                <w:szCs w:val="24"/>
              </w:rPr>
            </w:pPr>
            <w:r>
              <w:rPr>
                <w:color w:val="000000"/>
                <w:szCs w:val="24"/>
              </w:rPr>
              <w:t>NSW_OOA_0002</w:t>
            </w:r>
          </w:p>
        </w:tc>
        <w:tc>
          <w:tcPr>
            <w:tcW w:w="1620" w:type="dxa"/>
          </w:tcPr>
          <w:p w14:paraId="10EAA08F" w14:textId="77777777" w:rsidR="00157AAA" w:rsidRDefault="006C1BE5">
            <w:pPr>
              <w:spacing w:after="0"/>
              <w:jc w:val="left"/>
              <w:rPr>
                <w:bCs/>
                <w:color w:val="000000"/>
                <w:szCs w:val="24"/>
              </w:rPr>
            </w:pPr>
            <w:r>
              <w:rPr>
                <w:bCs/>
                <w:color w:val="000000"/>
                <w:szCs w:val="24"/>
              </w:rPr>
              <w:t>Data Ownership</w:t>
            </w:r>
          </w:p>
        </w:tc>
        <w:tc>
          <w:tcPr>
            <w:tcW w:w="5988" w:type="dxa"/>
          </w:tcPr>
          <w:p w14:paraId="141E52A9" w14:textId="77777777" w:rsidR="00157AAA" w:rsidRDefault="006C1BE5">
            <w:pPr>
              <w:spacing w:after="0"/>
              <w:rPr>
                <w:color w:val="000000"/>
                <w:szCs w:val="24"/>
              </w:rPr>
            </w:pPr>
            <w:r>
              <w:rPr>
                <w:color w:val="000000"/>
                <w:szCs w:val="24"/>
              </w:rPr>
              <w:t>The owner of data is holding the responsibility of the data quality. The CA is normally owner of all reference data and of all business data related to customs operations.</w:t>
            </w:r>
          </w:p>
        </w:tc>
      </w:tr>
    </w:tbl>
    <w:p w14:paraId="7C79874E" w14:textId="77777777" w:rsidR="00157AAA" w:rsidRDefault="00157AAA"/>
    <w:p w14:paraId="5D48B95D"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t>Scalability Non-Functional Requirements</w:t>
      </w:r>
    </w:p>
    <w:p w14:paraId="49FC12B4" w14:textId="77777777" w:rsidR="00157AAA" w:rsidRDefault="006C1BE5">
      <w:r>
        <w:t>The table below provides the list of Scalability non-functional requirements.</w:t>
      </w:r>
    </w:p>
    <w:tbl>
      <w:tblPr>
        <w:tblStyle w:val="TableGrid"/>
        <w:tblW w:w="9493" w:type="dxa"/>
        <w:tblLayout w:type="fixed"/>
        <w:tblLook w:val="04A0" w:firstRow="1" w:lastRow="0" w:firstColumn="1" w:lastColumn="0" w:noHBand="0" w:noVBand="1"/>
      </w:tblPr>
      <w:tblGrid>
        <w:gridCol w:w="1885"/>
        <w:gridCol w:w="1530"/>
        <w:gridCol w:w="6078"/>
      </w:tblGrid>
      <w:tr w:rsidR="00157AAA" w14:paraId="7EE30636" w14:textId="77777777" w:rsidTr="001136D3">
        <w:trPr>
          <w:trHeight w:val="504"/>
        </w:trPr>
        <w:tc>
          <w:tcPr>
            <w:tcW w:w="1885" w:type="dxa"/>
            <w:shd w:val="clear" w:color="auto" w:fill="A6A6A6" w:themeFill="background1" w:themeFillShade="A6"/>
          </w:tcPr>
          <w:p w14:paraId="66666F23" w14:textId="77777777" w:rsidR="00157AAA" w:rsidRDefault="006C1BE5">
            <w:pPr>
              <w:spacing w:after="0"/>
              <w:jc w:val="left"/>
              <w:rPr>
                <w:bCs/>
                <w:szCs w:val="24"/>
              </w:rPr>
            </w:pPr>
            <w:r>
              <w:rPr>
                <w:bCs/>
                <w:szCs w:val="24"/>
              </w:rPr>
              <w:t>Reference ID</w:t>
            </w:r>
          </w:p>
        </w:tc>
        <w:tc>
          <w:tcPr>
            <w:tcW w:w="1530" w:type="dxa"/>
            <w:shd w:val="clear" w:color="auto" w:fill="A6A6A6" w:themeFill="background1" w:themeFillShade="A6"/>
          </w:tcPr>
          <w:p w14:paraId="02C27333" w14:textId="77777777" w:rsidR="00157AAA" w:rsidRDefault="006C1BE5">
            <w:pPr>
              <w:spacing w:after="0"/>
              <w:jc w:val="left"/>
              <w:rPr>
                <w:bCs/>
                <w:szCs w:val="24"/>
              </w:rPr>
            </w:pPr>
            <w:r>
              <w:rPr>
                <w:bCs/>
                <w:szCs w:val="24"/>
              </w:rPr>
              <w:t>Name</w:t>
            </w:r>
          </w:p>
        </w:tc>
        <w:tc>
          <w:tcPr>
            <w:tcW w:w="6078" w:type="dxa"/>
            <w:shd w:val="clear" w:color="auto" w:fill="A6A6A6" w:themeFill="background1" w:themeFillShade="A6"/>
          </w:tcPr>
          <w:p w14:paraId="78CA2B10" w14:textId="77777777" w:rsidR="00157AAA" w:rsidRDefault="006C1BE5">
            <w:pPr>
              <w:spacing w:after="0"/>
              <w:jc w:val="left"/>
              <w:rPr>
                <w:bCs/>
                <w:szCs w:val="24"/>
              </w:rPr>
            </w:pPr>
            <w:r>
              <w:rPr>
                <w:bCs/>
                <w:szCs w:val="24"/>
              </w:rPr>
              <w:t>Description/Definition</w:t>
            </w:r>
          </w:p>
        </w:tc>
      </w:tr>
      <w:tr w:rsidR="00157AAA" w14:paraId="5E081101" w14:textId="77777777" w:rsidTr="001136D3">
        <w:trPr>
          <w:trHeight w:val="504"/>
        </w:trPr>
        <w:tc>
          <w:tcPr>
            <w:tcW w:w="1885" w:type="dxa"/>
          </w:tcPr>
          <w:p w14:paraId="6672510F" w14:textId="77777777" w:rsidR="00157AAA" w:rsidRDefault="006C1BE5">
            <w:pPr>
              <w:spacing w:after="0"/>
              <w:jc w:val="left"/>
              <w:rPr>
                <w:bCs/>
                <w:szCs w:val="24"/>
              </w:rPr>
            </w:pPr>
            <w:r>
              <w:rPr>
                <w:color w:val="000000"/>
                <w:szCs w:val="24"/>
              </w:rPr>
              <w:t>NSW_SCA_0001</w:t>
            </w:r>
          </w:p>
        </w:tc>
        <w:tc>
          <w:tcPr>
            <w:tcW w:w="1530" w:type="dxa"/>
          </w:tcPr>
          <w:p w14:paraId="4A9C87A3" w14:textId="77777777" w:rsidR="00157AAA" w:rsidRDefault="006C1BE5">
            <w:pPr>
              <w:spacing w:after="0"/>
              <w:jc w:val="left"/>
              <w:rPr>
                <w:bCs/>
                <w:szCs w:val="24"/>
              </w:rPr>
            </w:pPr>
            <w:r>
              <w:rPr>
                <w:bCs/>
                <w:color w:val="000000"/>
                <w:szCs w:val="24"/>
              </w:rPr>
              <w:t>Maximum Size of Messages Exchanged via CCN</w:t>
            </w:r>
          </w:p>
        </w:tc>
        <w:tc>
          <w:tcPr>
            <w:tcW w:w="6078" w:type="dxa"/>
          </w:tcPr>
          <w:p w14:paraId="720C5439" w14:textId="77777777" w:rsidR="00157AAA" w:rsidRDefault="006C1BE5">
            <w:pPr>
              <w:spacing w:after="0"/>
              <w:rPr>
                <w:bCs/>
                <w:szCs w:val="24"/>
              </w:rPr>
            </w:pPr>
            <w:r>
              <w:rPr>
                <w:color w:val="000000"/>
                <w:szCs w:val="24"/>
              </w:rPr>
              <w:t xml:space="preserve">The NSW must be designed to support </w:t>
            </w:r>
            <w:proofErr w:type="gramStart"/>
            <w:r>
              <w:rPr>
                <w:color w:val="000000"/>
                <w:szCs w:val="24"/>
              </w:rPr>
              <w:t>maximal</w:t>
            </w:r>
            <w:proofErr w:type="gramEnd"/>
            <w:r>
              <w:rPr>
                <w:color w:val="000000"/>
                <w:szCs w:val="24"/>
              </w:rPr>
              <w:t xml:space="preserve"> size of messages exchanged via queues. This is a configurable value, so there should be no dependency on the current maximal size of the message.</w:t>
            </w:r>
          </w:p>
        </w:tc>
      </w:tr>
      <w:tr w:rsidR="00157AAA" w14:paraId="0971D833" w14:textId="77777777" w:rsidTr="001136D3">
        <w:trPr>
          <w:trHeight w:val="504"/>
        </w:trPr>
        <w:tc>
          <w:tcPr>
            <w:tcW w:w="1885" w:type="dxa"/>
          </w:tcPr>
          <w:p w14:paraId="76814EC4" w14:textId="77777777" w:rsidR="00157AAA" w:rsidRDefault="006C1BE5">
            <w:pPr>
              <w:spacing w:after="0"/>
              <w:jc w:val="left"/>
              <w:rPr>
                <w:color w:val="000000"/>
                <w:szCs w:val="24"/>
              </w:rPr>
            </w:pPr>
            <w:r>
              <w:rPr>
                <w:color w:val="000000"/>
                <w:szCs w:val="24"/>
              </w:rPr>
              <w:t>NSW_SCA_0002</w:t>
            </w:r>
          </w:p>
        </w:tc>
        <w:tc>
          <w:tcPr>
            <w:tcW w:w="1530" w:type="dxa"/>
          </w:tcPr>
          <w:p w14:paraId="59B7BBA0" w14:textId="77777777" w:rsidR="00157AAA" w:rsidRDefault="006C1BE5">
            <w:pPr>
              <w:spacing w:after="0"/>
              <w:jc w:val="left"/>
              <w:rPr>
                <w:bCs/>
                <w:color w:val="000000"/>
                <w:szCs w:val="24"/>
              </w:rPr>
            </w:pPr>
            <w:r>
              <w:rPr>
                <w:bCs/>
                <w:color w:val="000000"/>
                <w:szCs w:val="24"/>
              </w:rPr>
              <w:t>Multiple Users</w:t>
            </w:r>
          </w:p>
        </w:tc>
        <w:tc>
          <w:tcPr>
            <w:tcW w:w="6078" w:type="dxa"/>
          </w:tcPr>
          <w:p w14:paraId="78A5BDDE" w14:textId="77777777" w:rsidR="00157AAA" w:rsidRDefault="006C1BE5">
            <w:pPr>
              <w:spacing w:after="0"/>
              <w:rPr>
                <w:color w:val="000000"/>
                <w:szCs w:val="24"/>
              </w:rPr>
            </w:pPr>
            <w:r>
              <w:rPr>
                <w:color w:val="000000"/>
                <w:szCs w:val="24"/>
              </w:rPr>
              <w:t>The NSW must allow concurrent users to work, while guaranteeing the consistency of the data. An action by a user should not invalidate another user's data without at least notification.</w:t>
            </w:r>
          </w:p>
        </w:tc>
      </w:tr>
      <w:tr w:rsidR="00157AAA" w14:paraId="5055722E" w14:textId="77777777" w:rsidTr="001136D3">
        <w:trPr>
          <w:trHeight w:val="504"/>
        </w:trPr>
        <w:tc>
          <w:tcPr>
            <w:tcW w:w="1885" w:type="dxa"/>
          </w:tcPr>
          <w:p w14:paraId="6F7FDB64" w14:textId="77777777" w:rsidR="00157AAA" w:rsidRDefault="006C1BE5">
            <w:pPr>
              <w:spacing w:after="0"/>
              <w:jc w:val="left"/>
              <w:rPr>
                <w:color w:val="000000"/>
                <w:szCs w:val="24"/>
              </w:rPr>
            </w:pPr>
            <w:r>
              <w:rPr>
                <w:color w:val="000000"/>
                <w:szCs w:val="24"/>
              </w:rPr>
              <w:t>NSW_SCA_0003</w:t>
            </w:r>
          </w:p>
        </w:tc>
        <w:tc>
          <w:tcPr>
            <w:tcW w:w="1530" w:type="dxa"/>
          </w:tcPr>
          <w:p w14:paraId="17107461" w14:textId="77777777" w:rsidR="00157AAA" w:rsidRDefault="006C1BE5">
            <w:pPr>
              <w:spacing w:after="0"/>
              <w:jc w:val="left"/>
              <w:rPr>
                <w:bCs/>
                <w:color w:val="000000"/>
                <w:szCs w:val="24"/>
              </w:rPr>
            </w:pPr>
            <w:r>
              <w:rPr>
                <w:bCs/>
                <w:color w:val="000000"/>
                <w:szCs w:val="24"/>
              </w:rPr>
              <w:t>Scalable Architecture</w:t>
            </w:r>
          </w:p>
        </w:tc>
        <w:tc>
          <w:tcPr>
            <w:tcW w:w="6078" w:type="dxa"/>
          </w:tcPr>
          <w:p w14:paraId="6D4D7A30" w14:textId="77777777" w:rsidR="00157AAA" w:rsidRDefault="006C1BE5">
            <w:pPr>
              <w:spacing w:after="0"/>
              <w:rPr>
                <w:color w:val="000000"/>
                <w:szCs w:val="24"/>
              </w:rPr>
            </w:pPr>
            <w:r>
              <w:rPr>
                <w:color w:val="000000"/>
                <w:szCs w:val="24"/>
              </w:rPr>
              <w:t xml:space="preserve">The NSW must be architected to horizontally scale including increased number of users and increased transaction and data volume without changing technical architecture (the underlying infrastructure architecture will probably change). The </w:t>
            </w:r>
            <w:proofErr w:type="gramStart"/>
            <w:r>
              <w:rPr>
                <w:color w:val="000000"/>
                <w:szCs w:val="24"/>
              </w:rPr>
              <w:t>amount</w:t>
            </w:r>
            <w:proofErr w:type="gramEnd"/>
            <w:r>
              <w:rPr>
                <w:color w:val="000000"/>
                <w:szCs w:val="24"/>
              </w:rPr>
              <w:t xml:space="preserve"> of messages exchanged via network increases by 30% annually. This statement does not imply that the architecture must support </w:t>
            </w:r>
            <w:proofErr w:type="gramStart"/>
            <w:r>
              <w:rPr>
                <w:color w:val="000000"/>
                <w:szCs w:val="24"/>
              </w:rPr>
              <w:t>30</w:t>
            </w:r>
            <w:proofErr w:type="gramEnd"/>
            <w:r>
              <w:rPr>
                <w:color w:val="000000"/>
                <w:szCs w:val="24"/>
              </w:rPr>
              <w:t>% annual increase because messages are distributed across applications, environments, etc. But it indicates that the architecture must be scalable.</w:t>
            </w:r>
          </w:p>
        </w:tc>
      </w:tr>
      <w:tr w:rsidR="00157AAA" w14:paraId="42D61EC2" w14:textId="77777777" w:rsidTr="001136D3">
        <w:trPr>
          <w:trHeight w:val="504"/>
        </w:trPr>
        <w:tc>
          <w:tcPr>
            <w:tcW w:w="1885" w:type="dxa"/>
          </w:tcPr>
          <w:p w14:paraId="790A3A88" w14:textId="77777777" w:rsidR="00157AAA" w:rsidRDefault="006C1BE5">
            <w:pPr>
              <w:spacing w:after="0"/>
              <w:jc w:val="left"/>
              <w:rPr>
                <w:color w:val="000000"/>
                <w:szCs w:val="24"/>
              </w:rPr>
            </w:pPr>
            <w:r>
              <w:rPr>
                <w:color w:val="000000"/>
                <w:szCs w:val="24"/>
              </w:rPr>
              <w:t>NSW_SCA_0004</w:t>
            </w:r>
          </w:p>
        </w:tc>
        <w:tc>
          <w:tcPr>
            <w:tcW w:w="1530" w:type="dxa"/>
          </w:tcPr>
          <w:p w14:paraId="18745BDC" w14:textId="77777777" w:rsidR="00157AAA" w:rsidRDefault="006C1BE5">
            <w:pPr>
              <w:spacing w:after="0"/>
              <w:jc w:val="left"/>
              <w:rPr>
                <w:bCs/>
                <w:color w:val="000000"/>
                <w:szCs w:val="24"/>
              </w:rPr>
            </w:pPr>
            <w:r>
              <w:rPr>
                <w:bCs/>
                <w:color w:val="000000"/>
                <w:szCs w:val="24"/>
              </w:rPr>
              <w:t>Split Messages that Exceed Size</w:t>
            </w:r>
          </w:p>
        </w:tc>
        <w:tc>
          <w:tcPr>
            <w:tcW w:w="6078" w:type="dxa"/>
          </w:tcPr>
          <w:p w14:paraId="42F4C27D" w14:textId="77777777" w:rsidR="00157AAA" w:rsidRDefault="006C1BE5">
            <w:pPr>
              <w:spacing w:after="0"/>
              <w:rPr>
                <w:color w:val="000000"/>
                <w:szCs w:val="24"/>
              </w:rPr>
            </w:pPr>
            <w:r>
              <w:rPr>
                <w:color w:val="000000"/>
                <w:szCs w:val="24"/>
              </w:rPr>
              <w:t>The NSW must be able to split messages sent to the Network if a size limit is exceeded. The size limit is equal to the Network message size limit, depending which limit is lower.</w:t>
            </w:r>
          </w:p>
        </w:tc>
      </w:tr>
    </w:tbl>
    <w:p w14:paraId="2B66E127" w14:textId="77777777" w:rsidR="00157AAA" w:rsidRDefault="00157AAA">
      <w:pPr>
        <w:pStyle w:val="explanatoryclause"/>
        <w:ind w:right="0"/>
        <w:rPr>
          <w:rStyle w:val="Preparersnotenobold"/>
          <w:rFonts w:ascii="Times New Roman" w:hAnsi="Times New Roman"/>
          <w:b/>
          <w:sz w:val="24"/>
        </w:rPr>
      </w:pPr>
    </w:p>
    <w:p w14:paraId="24D8657E" w14:textId="77777777" w:rsidR="00157AAA" w:rsidRDefault="006C1BE5" w:rsidP="00D530D5">
      <w:pPr>
        <w:pStyle w:val="explanatoryclause"/>
        <w:numPr>
          <w:ilvl w:val="3"/>
          <w:numId w:val="129"/>
        </w:numPr>
        <w:ind w:right="0"/>
        <w:rPr>
          <w:rStyle w:val="Preparersnotenobold"/>
          <w:rFonts w:ascii="Times New Roman" w:hAnsi="Times New Roman"/>
          <w:b/>
          <w:sz w:val="24"/>
        </w:rPr>
      </w:pPr>
      <w:r>
        <w:rPr>
          <w:rStyle w:val="Preparersnotenobold"/>
          <w:rFonts w:ascii="Times New Roman" w:hAnsi="Times New Roman"/>
          <w:b/>
          <w:sz w:val="24"/>
        </w:rPr>
        <w:lastRenderedPageBreak/>
        <w:t>Usability Non-Functional Requirements</w:t>
      </w:r>
    </w:p>
    <w:p w14:paraId="1CBA61D3" w14:textId="77777777" w:rsidR="00157AAA" w:rsidRDefault="006C1BE5">
      <w:r>
        <w:t>The table below provides the list of Usability non-functional requirements.</w:t>
      </w:r>
    </w:p>
    <w:p w14:paraId="3547A755" w14:textId="77777777" w:rsidR="00157AAA" w:rsidRDefault="00157AAA"/>
    <w:tbl>
      <w:tblPr>
        <w:tblStyle w:val="TableGrid"/>
        <w:tblW w:w="9493" w:type="dxa"/>
        <w:tblLayout w:type="fixed"/>
        <w:tblLook w:val="04A0" w:firstRow="1" w:lastRow="0" w:firstColumn="1" w:lastColumn="0" w:noHBand="0" w:noVBand="1"/>
      </w:tblPr>
      <w:tblGrid>
        <w:gridCol w:w="1885"/>
        <w:gridCol w:w="1710"/>
        <w:gridCol w:w="5898"/>
      </w:tblGrid>
      <w:tr w:rsidR="00157AAA" w14:paraId="53E62BD3" w14:textId="77777777" w:rsidTr="001136D3">
        <w:trPr>
          <w:trHeight w:val="504"/>
        </w:trPr>
        <w:tc>
          <w:tcPr>
            <w:tcW w:w="1885" w:type="dxa"/>
            <w:shd w:val="clear" w:color="auto" w:fill="A6A6A6" w:themeFill="background1" w:themeFillShade="A6"/>
          </w:tcPr>
          <w:p w14:paraId="18EB2CE4" w14:textId="77777777" w:rsidR="00157AAA" w:rsidRDefault="006C1BE5">
            <w:pPr>
              <w:spacing w:after="0"/>
              <w:jc w:val="left"/>
              <w:rPr>
                <w:b/>
                <w:bCs/>
                <w:szCs w:val="24"/>
              </w:rPr>
            </w:pPr>
            <w:r>
              <w:rPr>
                <w:b/>
                <w:bCs/>
                <w:szCs w:val="24"/>
              </w:rPr>
              <w:t>Reference ID</w:t>
            </w:r>
          </w:p>
        </w:tc>
        <w:tc>
          <w:tcPr>
            <w:tcW w:w="1710" w:type="dxa"/>
            <w:shd w:val="clear" w:color="auto" w:fill="A6A6A6" w:themeFill="background1" w:themeFillShade="A6"/>
          </w:tcPr>
          <w:p w14:paraId="1125E579" w14:textId="77777777" w:rsidR="00157AAA" w:rsidRDefault="006C1BE5">
            <w:pPr>
              <w:spacing w:after="0"/>
              <w:jc w:val="left"/>
              <w:rPr>
                <w:b/>
                <w:bCs/>
                <w:szCs w:val="24"/>
              </w:rPr>
            </w:pPr>
            <w:r>
              <w:rPr>
                <w:b/>
                <w:bCs/>
                <w:szCs w:val="24"/>
              </w:rPr>
              <w:t>Name</w:t>
            </w:r>
          </w:p>
        </w:tc>
        <w:tc>
          <w:tcPr>
            <w:tcW w:w="5898" w:type="dxa"/>
            <w:shd w:val="clear" w:color="auto" w:fill="A6A6A6" w:themeFill="background1" w:themeFillShade="A6"/>
          </w:tcPr>
          <w:p w14:paraId="75E100BC" w14:textId="77777777" w:rsidR="00157AAA" w:rsidRDefault="006C1BE5">
            <w:pPr>
              <w:spacing w:after="0"/>
              <w:jc w:val="left"/>
              <w:rPr>
                <w:b/>
                <w:bCs/>
                <w:szCs w:val="24"/>
              </w:rPr>
            </w:pPr>
            <w:r>
              <w:rPr>
                <w:b/>
                <w:bCs/>
                <w:szCs w:val="24"/>
              </w:rPr>
              <w:t>Description/Definition</w:t>
            </w:r>
          </w:p>
        </w:tc>
      </w:tr>
      <w:tr w:rsidR="00157AAA" w14:paraId="5617315B" w14:textId="77777777" w:rsidTr="001136D3">
        <w:trPr>
          <w:trHeight w:val="504"/>
        </w:trPr>
        <w:tc>
          <w:tcPr>
            <w:tcW w:w="1885" w:type="dxa"/>
          </w:tcPr>
          <w:p w14:paraId="402C1D7C" w14:textId="77777777" w:rsidR="00157AAA" w:rsidRDefault="006C1BE5">
            <w:pPr>
              <w:spacing w:after="0"/>
              <w:jc w:val="left"/>
              <w:rPr>
                <w:bCs/>
                <w:szCs w:val="24"/>
              </w:rPr>
            </w:pPr>
            <w:r>
              <w:rPr>
                <w:color w:val="000000"/>
                <w:szCs w:val="24"/>
              </w:rPr>
              <w:t>NSW_USE_0001</w:t>
            </w:r>
          </w:p>
        </w:tc>
        <w:tc>
          <w:tcPr>
            <w:tcW w:w="1710" w:type="dxa"/>
          </w:tcPr>
          <w:p w14:paraId="77740419" w14:textId="77777777" w:rsidR="00157AAA" w:rsidRDefault="006C1BE5">
            <w:pPr>
              <w:spacing w:after="0"/>
              <w:jc w:val="left"/>
              <w:rPr>
                <w:bCs/>
                <w:szCs w:val="24"/>
              </w:rPr>
            </w:pPr>
            <w:r>
              <w:rPr>
                <w:bCs/>
                <w:color w:val="000000"/>
                <w:szCs w:val="24"/>
              </w:rPr>
              <w:t>Multiple Users</w:t>
            </w:r>
          </w:p>
        </w:tc>
        <w:tc>
          <w:tcPr>
            <w:tcW w:w="5898" w:type="dxa"/>
          </w:tcPr>
          <w:p w14:paraId="38CE1C0F" w14:textId="77777777" w:rsidR="00157AAA" w:rsidRDefault="006C1BE5">
            <w:pPr>
              <w:spacing w:after="0"/>
              <w:rPr>
                <w:bCs/>
                <w:szCs w:val="24"/>
              </w:rPr>
            </w:pPr>
            <w:r>
              <w:rPr>
                <w:color w:val="000000"/>
                <w:szCs w:val="24"/>
              </w:rPr>
              <w:t>The new system must allow several users to work simultaneously, while guaranteeing coherence.</w:t>
            </w:r>
          </w:p>
        </w:tc>
      </w:tr>
      <w:tr w:rsidR="00157AAA" w14:paraId="2154DDF6" w14:textId="77777777" w:rsidTr="001136D3">
        <w:trPr>
          <w:trHeight w:val="504"/>
        </w:trPr>
        <w:tc>
          <w:tcPr>
            <w:tcW w:w="1885" w:type="dxa"/>
          </w:tcPr>
          <w:p w14:paraId="52CD5BF4" w14:textId="77777777" w:rsidR="00157AAA" w:rsidRDefault="006C1BE5">
            <w:pPr>
              <w:spacing w:after="0"/>
              <w:jc w:val="left"/>
              <w:rPr>
                <w:bCs/>
                <w:szCs w:val="24"/>
              </w:rPr>
            </w:pPr>
            <w:r>
              <w:rPr>
                <w:color w:val="000000"/>
                <w:szCs w:val="24"/>
              </w:rPr>
              <w:t>NSW_USE_0002</w:t>
            </w:r>
          </w:p>
        </w:tc>
        <w:tc>
          <w:tcPr>
            <w:tcW w:w="1710" w:type="dxa"/>
          </w:tcPr>
          <w:p w14:paraId="2B4D8F10" w14:textId="77777777" w:rsidR="00157AAA" w:rsidRDefault="006C1BE5">
            <w:pPr>
              <w:spacing w:after="0"/>
              <w:jc w:val="left"/>
              <w:rPr>
                <w:bCs/>
                <w:szCs w:val="24"/>
              </w:rPr>
            </w:pPr>
            <w:r>
              <w:rPr>
                <w:bCs/>
                <w:color w:val="000000"/>
                <w:szCs w:val="24"/>
              </w:rPr>
              <w:t>Textual Data</w:t>
            </w:r>
          </w:p>
        </w:tc>
        <w:tc>
          <w:tcPr>
            <w:tcW w:w="5898" w:type="dxa"/>
          </w:tcPr>
          <w:p w14:paraId="5976101C" w14:textId="77777777" w:rsidR="00157AAA" w:rsidRDefault="006C1BE5">
            <w:pPr>
              <w:spacing w:after="0"/>
              <w:rPr>
                <w:bCs/>
                <w:szCs w:val="24"/>
              </w:rPr>
            </w:pPr>
            <w:r>
              <w:rPr>
                <w:color w:val="000000"/>
                <w:szCs w:val="24"/>
              </w:rPr>
              <w:t>It must be possible to enter textual data in the interactive client any present or future official language of the EU using [UTF-8] encoding.</w:t>
            </w:r>
          </w:p>
        </w:tc>
      </w:tr>
      <w:tr w:rsidR="00157AAA" w14:paraId="715701BD" w14:textId="77777777" w:rsidTr="001136D3">
        <w:trPr>
          <w:trHeight w:val="504"/>
        </w:trPr>
        <w:tc>
          <w:tcPr>
            <w:tcW w:w="1885" w:type="dxa"/>
          </w:tcPr>
          <w:p w14:paraId="4FD3ED66" w14:textId="77777777" w:rsidR="00157AAA" w:rsidRDefault="006C1BE5">
            <w:pPr>
              <w:spacing w:after="0"/>
              <w:jc w:val="left"/>
              <w:rPr>
                <w:bCs/>
                <w:szCs w:val="24"/>
              </w:rPr>
            </w:pPr>
            <w:r>
              <w:rPr>
                <w:color w:val="000000"/>
                <w:szCs w:val="24"/>
              </w:rPr>
              <w:t>NSW_USE_0003</w:t>
            </w:r>
          </w:p>
        </w:tc>
        <w:tc>
          <w:tcPr>
            <w:tcW w:w="1710" w:type="dxa"/>
          </w:tcPr>
          <w:p w14:paraId="10474364" w14:textId="77777777" w:rsidR="00157AAA" w:rsidRDefault="006C1BE5">
            <w:pPr>
              <w:spacing w:after="0"/>
              <w:jc w:val="left"/>
              <w:rPr>
                <w:bCs/>
                <w:szCs w:val="24"/>
              </w:rPr>
            </w:pPr>
            <w:r>
              <w:rPr>
                <w:bCs/>
                <w:color w:val="000000"/>
                <w:szCs w:val="24"/>
              </w:rPr>
              <w:t>User Interface Uniformity</w:t>
            </w:r>
          </w:p>
        </w:tc>
        <w:tc>
          <w:tcPr>
            <w:tcW w:w="5898" w:type="dxa"/>
          </w:tcPr>
          <w:p w14:paraId="18F104EF" w14:textId="77777777" w:rsidR="00157AAA" w:rsidRDefault="006C1BE5">
            <w:pPr>
              <w:spacing w:after="0"/>
              <w:rPr>
                <w:bCs/>
                <w:szCs w:val="24"/>
              </w:rPr>
            </w:pPr>
            <w:r>
              <w:rPr>
                <w:color w:val="000000"/>
                <w:szCs w:val="24"/>
              </w:rPr>
              <w:t>User Interface should be uniform for the end users (not necessary for administrators).</w:t>
            </w:r>
          </w:p>
        </w:tc>
      </w:tr>
    </w:tbl>
    <w:p w14:paraId="31EAA35A" w14:textId="77777777" w:rsidR="00157AAA" w:rsidRDefault="00157AAA"/>
    <w:p w14:paraId="61E2B6A7" w14:textId="77777777" w:rsidR="00157AAA" w:rsidRDefault="006C1BE5">
      <w:pPr>
        <w:pStyle w:val="Head5a1"/>
      </w:pPr>
      <w:bookmarkStart w:id="733" w:name="_Toc145658527"/>
      <w:bookmarkStart w:id="734" w:name="_Toc521498255"/>
      <w:r>
        <w:t>C.  Service Specifications – Supply &amp; Install Items</w:t>
      </w:r>
      <w:bookmarkEnd w:id="733"/>
    </w:p>
    <w:p w14:paraId="5186010E" w14:textId="77777777" w:rsidR="00157AAA" w:rsidRDefault="006C1BE5">
      <w:pPr>
        <w:pStyle w:val="Head5a2"/>
      </w:pPr>
      <w:bookmarkStart w:id="735" w:name="_Toc145658528"/>
      <w:r>
        <w:t>2.1</w:t>
      </w:r>
      <w:r>
        <w:tab/>
        <w:t>System Analysis, Design and Customization/Development</w:t>
      </w:r>
      <w:bookmarkEnd w:id="735"/>
    </w:p>
    <w:p w14:paraId="57476B3A" w14:textId="34186731" w:rsidR="00157AAA" w:rsidRPr="001136D3" w:rsidRDefault="006C1BE5" w:rsidP="001136D3">
      <w:pPr>
        <w:ind w:left="720" w:hanging="720"/>
        <w:rPr>
          <w:b/>
        </w:rPr>
      </w:pPr>
      <w:r>
        <w:tab/>
      </w:r>
      <w:r w:rsidRPr="001136D3">
        <w:rPr>
          <w:b/>
        </w:rPr>
        <w:t>2.1.1</w:t>
      </w:r>
      <w:r w:rsidRPr="001136D3">
        <w:rPr>
          <w:b/>
        </w:rPr>
        <w:tab/>
        <w:t>The Supplier MUST perform the following Analysis and Design activities using a formal system analysis/development methodology with the following key activities and design deliverables.</w:t>
      </w:r>
    </w:p>
    <w:p w14:paraId="69E96B08" w14:textId="6FFE4045" w:rsidR="00157AAA" w:rsidRDefault="006C1BE5">
      <w:pPr>
        <w:ind w:left="2160" w:hanging="720"/>
      </w:pPr>
      <w:r>
        <w:t>2.1.1.1</w:t>
      </w:r>
      <w:r>
        <w:tab/>
      </w:r>
      <w:r>
        <w:rPr>
          <w:u w:val="single"/>
        </w:rPr>
        <w:t xml:space="preserve">Validation and Conformance: </w:t>
      </w:r>
      <w:r>
        <w:t>Business and system specifications, already developed during the stage of Blue</w:t>
      </w:r>
      <w:r w:rsidR="00557EE5">
        <w:t>p</w:t>
      </w:r>
      <w:r>
        <w:t xml:space="preserve">rint and Clarification of requirements that must adhere to </w:t>
      </w:r>
      <w:proofErr w:type="gramStart"/>
      <w:r>
        <w:t>in order to</w:t>
      </w:r>
      <w:proofErr w:type="gramEnd"/>
      <w:r>
        <w:t xml:space="preserve"> be considered compliant with the requirements and specification. </w:t>
      </w:r>
    </w:p>
    <w:p w14:paraId="3ABBFF61" w14:textId="77777777" w:rsidR="00157AAA" w:rsidRDefault="006C1BE5">
      <w:pPr>
        <w:ind w:left="2160" w:hanging="720"/>
      </w:pPr>
      <w:r>
        <w:t>2.1.1.2</w:t>
      </w:r>
      <w:r>
        <w:tab/>
      </w:r>
      <w:r>
        <w:rPr>
          <w:u w:val="single"/>
        </w:rPr>
        <w:t>Detailed Analysis</w:t>
      </w:r>
      <w:r>
        <w:t xml:space="preserve">: Detailed analysis must include the requirements gathered during the requirements analysis phase to ensure the requirements are refined, analyzed, and documented in more detail. </w:t>
      </w:r>
    </w:p>
    <w:p w14:paraId="5940EE2D" w14:textId="77777777" w:rsidR="00157AAA" w:rsidRDefault="006C1BE5" w:rsidP="00D530D5">
      <w:pPr>
        <w:pStyle w:val="ListParagraph"/>
        <w:numPr>
          <w:ilvl w:val="0"/>
          <w:numId w:val="82"/>
        </w:numPr>
        <w:ind w:hanging="720"/>
      </w:pPr>
      <w:r>
        <w:t>Develop use cases: Use cases are detailed descriptions of how a user interacts with the system to accomplish specific tasks. Use cases help to identify the functional requirements of the system and provide a detailed understanding of how the system will be used.</w:t>
      </w:r>
    </w:p>
    <w:p w14:paraId="2AFE0832" w14:textId="77777777" w:rsidR="00157AAA" w:rsidRDefault="006C1BE5" w:rsidP="00D530D5">
      <w:pPr>
        <w:pStyle w:val="ListParagraph"/>
        <w:numPr>
          <w:ilvl w:val="0"/>
          <w:numId w:val="82"/>
        </w:numPr>
        <w:ind w:hanging="720"/>
      </w:pPr>
      <w:r>
        <w:t xml:space="preserve">Analyze the requirements: The next step is to analyze the requirements identified during the requirements analysis phase. This involves breaking down the requirements into smaller, more manageable units and documenting them in detail. </w:t>
      </w:r>
    </w:p>
    <w:p w14:paraId="6E8D2374" w14:textId="77777777" w:rsidR="00157AAA" w:rsidRDefault="006C1BE5" w:rsidP="00D530D5">
      <w:pPr>
        <w:pStyle w:val="ListParagraph"/>
        <w:numPr>
          <w:ilvl w:val="0"/>
          <w:numId w:val="82"/>
        </w:numPr>
        <w:ind w:hanging="720"/>
      </w:pPr>
      <w:r>
        <w:t xml:space="preserve">Define system processes: System processes refer to the steps involved in performing specific system functions. The detailed analysis phase involves identifying and </w:t>
      </w:r>
      <w:r>
        <w:lastRenderedPageBreak/>
        <w:t>documenting the processes involved in each system function.</w:t>
      </w:r>
    </w:p>
    <w:p w14:paraId="3796094F" w14:textId="77777777" w:rsidR="00157AAA" w:rsidRDefault="006C1BE5" w:rsidP="00D530D5">
      <w:pPr>
        <w:pStyle w:val="ListParagraph"/>
        <w:numPr>
          <w:ilvl w:val="0"/>
          <w:numId w:val="82"/>
        </w:numPr>
        <w:ind w:hanging="720"/>
      </w:pPr>
      <w:r>
        <w:t>Develop data models: Data models are representations of the data used by the system. The detailed analysis phase involves developing data models to describe the structure, relationships, and constraints of the data.</w:t>
      </w:r>
    </w:p>
    <w:p w14:paraId="11EFF265" w14:textId="77777777" w:rsidR="00157AAA" w:rsidRDefault="006C1BE5" w:rsidP="00D530D5">
      <w:pPr>
        <w:pStyle w:val="ListParagraph"/>
        <w:numPr>
          <w:ilvl w:val="0"/>
          <w:numId w:val="82"/>
        </w:numPr>
        <w:ind w:hanging="720"/>
      </w:pPr>
      <w:r>
        <w:t>Design user interfaces: User interfaces are the mechanisms through which users interact with the system. During the detailed analysis phase, user interfaces are designed based on the use cases and requirements identified.</w:t>
      </w:r>
    </w:p>
    <w:p w14:paraId="3D32C63D" w14:textId="77777777" w:rsidR="00157AAA" w:rsidRDefault="006C1BE5" w:rsidP="00D530D5">
      <w:pPr>
        <w:pStyle w:val="ListParagraph"/>
        <w:numPr>
          <w:ilvl w:val="0"/>
          <w:numId w:val="82"/>
        </w:numPr>
      </w:pPr>
      <w:r>
        <w:t>Develop system architecture: System architecture refers to the overall structure and organization of the system. During the detailed analysis phase, the system architecture is designed based on the requirements and data models.</w:t>
      </w:r>
    </w:p>
    <w:p w14:paraId="5FEBD8D1" w14:textId="77777777" w:rsidR="00157AAA" w:rsidRDefault="006C1BE5">
      <w:pPr>
        <w:ind w:left="2160" w:hanging="720"/>
      </w:pPr>
      <w:r>
        <w:t>2.1.1.3</w:t>
      </w:r>
      <w:r>
        <w:tab/>
      </w:r>
      <w:r>
        <w:rPr>
          <w:u w:val="single"/>
        </w:rPr>
        <w:t>Physical Design</w:t>
      </w:r>
      <w:r>
        <w:t xml:space="preserve">: Creating a high-level system architecture design that meets the already defined requirements. </w:t>
      </w:r>
    </w:p>
    <w:p w14:paraId="75E9AEC7" w14:textId="77777777" w:rsidR="00157AAA" w:rsidRDefault="006C1BE5" w:rsidP="00D530D5">
      <w:pPr>
        <w:pStyle w:val="ListParagraph"/>
        <w:numPr>
          <w:ilvl w:val="0"/>
          <w:numId w:val="83"/>
        </w:numPr>
      </w:pPr>
      <w:r>
        <w:t>Defining the functional components of the system and their interfaces</w:t>
      </w:r>
    </w:p>
    <w:p w14:paraId="20E2F4DE" w14:textId="77777777" w:rsidR="00157AAA" w:rsidRDefault="006C1BE5" w:rsidP="00D530D5">
      <w:pPr>
        <w:pStyle w:val="ListParagraph"/>
        <w:numPr>
          <w:ilvl w:val="0"/>
          <w:numId w:val="83"/>
        </w:numPr>
      </w:pPr>
      <w:r>
        <w:t>Creating a detailed design of each component and its interactions with other components</w:t>
      </w:r>
    </w:p>
    <w:p w14:paraId="3DD8A3C4" w14:textId="77777777" w:rsidR="00157AAA" w:rsidRDefault="006C1BE5" w:rsidP="00D530D5">
      <w:pPr>
        <w:pStyle w:val="ListParagraph"/>
        <w:numPr>
          <w:ilvl w:val="0"/>
          <w:numId w:val="83"/>
        </w:numPr>
      </w:pPr>
      <w:r>
        <w:t>Creating a set of design documents and specification</w:t>
      </w:r>
    </w:p>
    <w:p w14:paraId="3B0F7C1B" w14:textId="77777777" w:rsidR="00157AAA" w:rsidRDefault="006C1BE5" w:rsidP="00D530D5">
      <w:pPr>
        <w:pStyle w:val="ListParagraph"/>
        <w:numPr>
          <w:ilvl w:val="0"/>
          <w:numId w:val="83"/>
        </w:numPr>
      </w:pPr>
      <w:r>
        <w:t>Verifying and validating the design through simulation or other means</w:t>
      </w:r>
    </w:p>
    <w:p w14:paraId="5C18F2D8" w14:textId="77777777" w:rsidR="00157AAA" w:rsidRDefault="006C1BE5" w:rsidP="00D530D5">
      <w:pPr>
        <w:pStyle w:val="ListParagraph"/>
        <w:numPr>
          <w:ilvl w:val="0"/>
          <w:numId w:val="83"/>
        </w:numPr>
      </w:pPr>
      <w:r>
        <w:t>Create a robust and scalable system that meets the needs of its users and stakeholders. It involves balancing various design considerations such as performance, maintainability, extensibility, and usability.</w:t>
      </w:r>
    </w:p>
    <w:p w14:paraId="44293CE8" w14:textId="77777777" w:rsidR="00157AAA" w:rsidRDefault="006C1BE5" w:rsidP="00D530D5">
      <w:pPr>
        <w:pStyle w:val="ListParagraph"/>
        <w:numPr>
          <w:ilvl w:val="0"/>
          <w:numId w:val="83"/>
        </w:numPr>
      </w:pPr>
      <w:r>
        <w:t>Uses Cases and design tools.</w:t>
      </w:r>
    </w:p>
    <w:p w14:paraId="7D127475" w14:textId="77777777" w:rsidR="00157AAA" w:rsidRPr="002D2765" w:rsidRDefault="006C1BE5">
      <w:pPr>
        <w:ind w:left="2160" w:hanging="720"/>
      </w:pPr>
      <w:r w:rsidRPr="002D2765">
        <w:t>2.1.1.4</w:t>
      </w:r>
      <w:r w:rsidRPr="002D2765">
        <w:tab/>
      </w:r>
      <w:r w:rsidRPr="002D2765">
        <w:rPr>
          <w:u w:val="single"/>
        </w:rPr>
        <w:t>Prototype Development</w:t>
      </w:r>
      <w:r w:rsidRPr="002D2765">
        <w:t xml:space="preserve">:  Develop Initial Prototype (an early approximation of a final system or product) which will be tested, and then reworked as necessary to establish a foundation on which the complete system or product can then be built. </w:t>
      </w:r>
    </w:p>
    <w:p w14:paraId="480AA716" w14:textId="77777777" w:rsidR="00157AAA" w:rsidRPr="002D2765" w:rsidRDefault="00157AAA">
      <w:pPr>
        <w:rPr>
          <w:rFonts w:eastAsia="Calibri"/>
          <w:color w:val="000000"/>
        </w:rPr>
      </w:pPr>
    </w:p>
    <w:p w14:paraId="5BB8D720" w14:textId="77777777" w:rsidR="00157AAA" w:rsidRPr="002D2765" w:rsidRDefault="00157AAA" w:rsidP="00D530D5">
      <w:pPr>
        <w:pStyle w:val="ListParagraph"/>
        <w:numPr>
          <w:ilvl w:val="0"/>
          <w:numId w:val="84"/>
        </w:numPr>
        <w:rPr>
          <w:b/>
          <w:bCs/>
          <w:vanish/>
        </w:rPr>
      </w:pPr>
    </w:p>
    <w:p w14:paraId="5D21C230" w14:textId="77777777" w:rsidR="00157AAA" w:rsidRPr="002D2765" w:rsidRDefault="00157AAA" w:rsidP="00D530D5">
      <w:pPr>
        <w:pStyle w:val="ListParagraph"/>
        <w:numPr>
          <w:ilvl w:val="0"/>
          <w:numId w:val="84"/>
        </w:numPr>
        <w:rPr>
          <w:b/>
          <w:bCs/>
          <w:vanish/>
        </w:rPr>
      </w:pPr>
    </w:p>
    <w:p w14:paraId="732383ED" w14:textId="77777777" w:rsidR="00157AAA" w:rsidRPr="002D2765" w:rsidRDefault="00157AAA" w:rsidP="00D530D5">
      <w:pPr>
        <w:pStyle w:val="ListParagraph"/>
        <w:numPr>
          <w:ilvl w:val="1"/>
          <w:numId w:val="84"/>
        </w:numPr>
        <w:rPr>
          <w:b/>
          <w:bCs/>
          <w:vanish/>
        </w:rPr>
      </w:pPr>
    </w:p>
    <w:p w14:paraId="348908CB" w14:textId="77777777" w:rsidR="00157AAA" w:rsidRPr="002D2765" w:rsidRDefault="00157AAA" w:rsidP="00D530D5">
      <w:pPr>
        <w:pStyle w:val="ListParagraph"/>
        <w:numPr>
          <w:ilvl w:val="2"/>
          <w:numId w:val="84"/>
        </w:numPr>
        <w:rPr>
          <w:b/>
          <w:bCs/>
          <w:vanish/>
        </w:rPr>
      </w:pPr>
    </w:p>
    <w:p w14:paraId="08232A97" w14:textId="77777777" w:rsidR="00157AAA" w:rsidRPr="002D2765" w:rsidRDefault="006C1BE5" w:rsidP="00D530D5">
      <w:pPr>
        <w:numPr>
          <w:ilvl w:val="2"/>
          <w:numId w:val="84"/>
        </w:numPr>
        <w:contextualSpacing/>
        <w:rPr>
          <w:b/>
          <w:bCs/>
        </w:rPr>
      </w:pPr>
      <w:r w:rsidRPr="002D2765">
        <w:rPr>
          <w:b/>
          <w:bCs/>
        </w:rPr>
        <w:t>The Supplier must review requirements and develop detailed technical specifications.</w:t>
      </w:r>
    </w:p>
    <w:p w14:paraId="4825AA56" w14:textId="77777777" w:rsidR="00157AAA" w:rsidRDefault="006C1BE5">
      <w:pPr>
        <w:rPr>
          <w:szCs w:val="24"/>
        </w:rPr>
      </w:pPr>
      <w:r w:rsidRPr="002D2765">
        <w:rPr>
          <w:szCs w:val="24"/>
        </w:rPr>
        <w:t xml:space="preserve">Within this activity, the </w:t>
      </w:r>
      <w:r w:rsidRPr="002D2765">
        <w:rPr>
          <w:szCs w:val="22"/>
        </w:rPr>
        <w:t>Supplier</w:t>
      </w:r>
      <w:r w:rsidRPr="002D2765">
        <w:rPr>
          <w:szCs w:val="24"/>
        </w:rPr>
        <w:t xml:space="preserve"> shall lay foundation for all further design and implementation activities. All business functional and non-functional technical requirements should be reviewed and redefined if necessary. The requirements may be split into manageable chunks (per iteration, per system, per component or application</w:t>
      </w:r>
      <w:r w:rsidRPr="00DD61D9">
        <w:rPr>
          <w:szCs w:val="24"/>
        </w:rPr>
        <w:t>).</w:t>
      </w:r>
      <w:r>
        <w:rPr>
          <w:szCs w:val="24"/>
        </w:rPr>
        <w:t xml:space="preserve"> </w:t>
      </w:r>
    </w:p>
    <w:p w14:paraId="68048A05" w14:textId="77777777" w:rsidR="00157AAA" w:rsidRDefault="006C1BE5">
      <w:pPr>
        <w:tabs>
          <w:tab w:val="left" w:pos="720"/>
        </w:tabs>
        <w:contextualSpacing/>
        <w:rPr>
          <w:szCs w:val="24"/>
        </w:rPr>
      </w:pPr>
      <w:r>
        <w:rPr>
          <w:szCs w:val="24"/>
        </w:rPr>
        <w:lastRenderedPageBreak/>
        <w:t>For the New Single Window development and implementation, the Supplier must take in consideration the Business Process Models developed by other contractors working on the same project (such as the management support project</w:t>
      </w:r>
      <w:proofErr w:type="gramStart"/>
      <w:r>
        <w:rPr>
          <w:szCs w:val="24"/>
        </w:rPr>
        <w:t>), and</w:t>
      </w:r>
      <w:proofErr w:type="gramEnd"/>
      <w:r>
        <w:rPr>
          <w:szCs w:val="24"/>
        </w:rPr>
        <w:t xml:space="preserve"> should work in close collaboration with them. This includes the architectural, testing, technology specifications that need to be agreed within the teams, and with the approval of the New Single Window Working Group. </w:t>
      </w:r>
    </w:p>
    <w:p w14:paraId="112FC76C" w14:textId="77777777" w:rsidR="00157AAA" w:rsidRDefault="006C1BE5">
      <w:pPr>
        <w:rPr>
          <w:szCs w:val="24"/>
        </w:rPr>
      </w:pPr>
      <w:r>
        <w:rPr>
          <w:szCs w:val="24"/>
        </w:rPr>
        <w:t xml:space="preserve">Within the bidding document (offer) part of the bid the </w:t>
      </w:r>
      <w:r>
        <w:rPr>
          <w:szCs w:val="22"/>
        </w:rPr>
        <w:t>Supplier</w:t>
      </w:r>
      <w:r>
        <w:rPr>
          <w:szCs w:val="24"/>
        </w:rPr>
        <w:t xml:space="preserve"> must show a proposed model of business and technical services required for Single Window with associated supporting services and to be re-used in future also for other Customs systems, recommended with a true Service Oriented Architecture and Business Process Management technology.</w:t>
      </w:r>
    </w:p>
    <w:p w14:paraId="71023965" w14:textId="77777777" w:rsidR="00157AAA" w:rsidRDefault="006C1BE5" w:rsidP="00D530D5">
      <w:pPr>
        <w:numPr>
          <w:ilvl w:val="2"/>
          <w:numId w:val="84"/>
        </w:numPr>
        <w:contextualSpacing/>
        <w:rPr>
          <w:b/>
          <w:bCs/>
        </w:rPr>
      </w:pPr>
      <w:r>
        <w:rPr>
          <w:b/>
          <w:bCs/>
        </w:rPr>
        <w:t xml:space="preserve">The Supplier must define the practical High Level Architecture design of NSW based on the proposed </w:t>
      </w:r>
      <w:proofErr w:type="gramStart"/>
      <w:r>
        <w:rPr>
          <w:b/>
          <w:bCs/>
        </w:rPr>
        <w:t>High Level</w:t>
      </w:r>
      <w:proofErr w:type="gramEnd"/>
      <w:r>
        <w:rPr>
          <w:b/>
          <w:bCs/>
        </w:rPr>
        <w:t xml:space="preserve"> Architecture in this document.</w:t>
      </w:r>
    </w:p>
    <w:p w14:paraId="7D60DC9C" w14:textId="77777777" w:rsidR="00157AAA" w:rsidRDefault="006C1BE5">
      <w:pPr>
        <w:widowControl w:val="0"/>
        <w:rPr>
          <w:szCs w:val="24"/>
        </w:rPr>
      </w:pPr>
      <w:r>
        <w:rPr>
          <w:szCs w:val="24"/>
        </w:rPr>
        <w:t xml:space="preserve">Within this activity the </w:t>
      </w:r>
      <w:r>
        <w:rPr>
          <w:szCs w:val="22"/>
        </w:rPr>
        <w:t>Supplier</w:t>
      </w:r>
      <w:r>
        <w:rPr>
          <w:szCs w:val="24"/>
        </w:rPr>
        <w:t xml:space="preserve"> </w:t>
      </w:r>
      <w:proofErr w:type="gramStart"/>
      <w:r>
        <w:rPr>
          <w:szCs w:val="24"/>
        </w:rPr>
        <w:t>has to</w:t>
      </w:r>
      <w:proofErr w:type="gramEnd"/>
      <w:r>
        <w:rPr>
          <w:szCs w:val="24"/>
        </w:rPr>
        <w:t xml:space="preserve"> lay the technical foundation for all implementation tasks. The </w:t>
      </w:r>
      <w:r>
        <w:rPr>
          <w:szCs w:val="22"/>
        </w:rPr>
        <w:t>Supplier</w:t>
      </w:r>
      <w:r>
        <w:rPr>
          <w:szCs w:val="24"/>
        </w:rPr>
        <w:t xml:space="preserve"> should define the practical </w:t>
      </w:r>
      <w:proofErr w:type="gramStart"/>
      <w:r>
        <w:rPr>
          <w:szCs w:val="24"/>
        </w:rPr>
        <w:t>high level</w:t>
      </w:r>
      <w:proofErr w:type="gramEnd"/>
      <w:r>
        <w:rPr>
          <w:szCs w:val="24"/>
        </w:rPr>
        <w:t xml:space="preserve"> architecture (models) of the chosen technology and ABB components and plan to implement them for the three system environments on the existing platforms of the IT system. The </w:t>
      </w:r>
      <w:proofErr w:type="gramStart"/>
      <w:r>
        <w:rPr>
          <w:szCs w:val="24"/>
        </w:rPr>
        <w:t>high level</w:t>
      </w:r>
      <w:proofErr w:type="gramEnd"/>
      <w:r>
        <w:rPr>
          <w:szCs w:val="24"/>
        </w:rPr>
        <w:t xml:space="preserve"> design (models) should present all components and the interaction between them. The scope for NSW Project does provide costs of purchase of hardware and software license fees.</w:t>
      </w:r>
    </w:p>
    <w:p w14:paraId="07FC55DF" w14:textId="77777777" w:rsidR="00157AAA" w:rsidRDefault="006C1BE5">
      <w:pPr>
        <w:rPr>
          <w:szCs w:val="24"/>
        </w:rPr>
      </w:pPr>
      <w:r>
        <w:rPr>
          <w:szCs w:val="24"/>
        </w:rPr>
        <w:t xml:space="preserve">Within this activity the </w:t>
      </w:r>
      <w:r>
        <w:rPr>
          <w:szCs w:val="22"/>
        </w:rPr>
        <w:t>Supplier</w:t>
      </w:r>
      <w:r>
        <w:rPr>
          <w:szCs w:val="24"/>
        </w:rPr>
        <w:t xml:space="preserve"> must also focus on minimization of multiyear Total Cost of Ownership for the Single Window to operate, maintain, </w:t>
      </w:r>
      <w:proofErr w:type="gramStart"/>
      <w:r>
        <w:rPr>
          <w:szCs w:val="24"/>
        </w:rPr>
        <w:t>upgrade</w:t>
      </w:r>
      <w:proofErr w:type="gramEnd"/>
      <w:r>
        <w:rPr>
          <w:szCs w:val="24"/>
        </w:rPr>
        <w:t xml:space="preserve"> and further develop the Single Window and Customs IT system and related developments. The TCO analysis drafted for the bid should be further developed by the </w:t>
      </w:r>
      <w:r>
        <w:rPr>
          <w:szCs w:val="22"/>
        </w:rPr>
        <w:t>Supplier</w:t>
      </w:r>
      <w:r>
        <w:rPr>
          <w:szCs w:val="24"/>
        </w:rPr>
        <w:t xml:space="preserve"> with confirmed cost and human resource estimates. This analysis will be used by the Single Window Team to credibly support budget and systematization planning for the Ministry of Finance.</w:t>
      </w:r>
    </w:p>
    <w:p w14:paraId="7676EF9A" w14:textId="77777777" w:rsidR="00157AAA" w:rsidRDefault="006C1BE5" w:rsidP="00D530D5">
      <w:pPr>
        <w:numPr>
          <w:ilvl w:val="2"/>
          <w:numId w:val="84"/>
        </w:numPr>
        <w:contextualSpacing/>
        <w:rPr>
          <w:rFonts w:eastAsia="Calibri"/>
          <w:b/>
          <w:bCs/>
          <w:color w:val="000000"/>
        </w:rPr>
      </w:pPr>
      <w:r>
        <w:rPr>
          <w:b/>
          <w:bCs/>
        </w:rPr>
        <w:t>The Supplier must prepare the testing documentation (TEST Strategy, FAT design, Implementation of Regression Testing and Release Management).</w:t>
      </w:r>
    </w:p>
    <w:p w14:paraId="4BD2CB80" w14:textId="77777777" w:rsidR="00157AAA" w:rsidRDefault="006C1BE5">
      <w:pPr>
        <w:rPr>
          <w:szCs w:val="24"/>
        </w:rPr>
      </w:pPr>
      <w:r>
        <w:rPr>
          <w:szCs w:val="24"/>
        </w:rPr>
        <w:t xml:space="preserve">The </w:t>
      </w:r>
      <w:r>
        <w:rPr>
          <w:szCs w:val="22"/>
        </w:rPr>
        <w:t>Supplier</w:t>
      </w:r>
      <w:r>
        <w:rPr>
          <w:szCs w:val="24"/>
        </w:rPr>
        <w:t xml:space="preserve"> should prepare a test strategy document and the test design specification covering all test cases, test scenarios, for the whole testing cycles including the unit testing, integration testing, FAT, SAT, </w:t>
      </w:r>
      <w:proofErr w:type="gramStart"/>
      <w:r>
        <w:rPr>
          <w:szCs w:val="24"/>
        </w:rPr>
        <w:t>regression</w:t>
      </w:r>
      <w:proofErr w:type="gramEnd"/>
      <w:r>
        <w:rPr>
          <w:szCs w:val="24"/>
        </w:rPr>
        <w:t xml:space="preserve"> and the test tools. The testing documentation should be ready before the system is developed. The </w:t>
      </w:r>
      <w:r>
        <w:rPr>
          <w:szCs w:val="22"/>
        </w:rPr>
        <w:t>Supplier</w:t>
      </w:r>
      <w:r>
        <w:rPr>
          <w:szCs w:val="24"/>
        </w:rPr>
        <w:t xml:space="preserve"> will iteratively conduct Factory Acceptance Testing prior to the delivery of the SBBs and ABBs within the pre-production environment. The </w:t>
      </w:r>
      <w:r>
        <w:rPr>
          <w:szCs w:val="22"/>
        </w:rPr>
        <w:t>Supplier</w:t>
      </w:r>
      <w:r>
        <w:rPr>
          <w:szCs w:val="24"/>
        </w:rPr>
        <w:t xml:space="preserve"> will install the architecture building blocks and service containers to Testing Environment for SAT (Site Acceptance Testing). To enter SAT activities fully positive results from Factory Acceptance Testing of the said ABBs and service containers should be presented to the Beneficiary accompanied with each delivery and installation signed off by a certified Quality Auditor on behalf of the </w:t>
      </w:r>
      <w:r>
        <w:rPr>
          <w:szCs w:val="22"/>
        </w:rPr>
        <w:t>Supplier</w:t>
      </w:r>
      <w:r>
        <w:rPr>
          <w:szCs w:val="24"/>
        </w:rPr>
        <w:t>.</w:t>
      </w:r>
    </w:p>
    <w:p w14:paraId="70D5BE58" w14:textId="77777777" w:rsidR="00157AAA" w:rsidRDefault="006C1BE5" w:rsidP="00D530D5">
      <w:pPr>
        <w:numPr>
          <w:ilvl w:val="2"/>
          <w:numId w:val="84"/>
        </w:numPr>
        <w:contextualSpacing/>
        <w:rPr>
          <w:b/>
          <w:bCs/>
        </w:rPr>
      </w:pPr>
      <w:r>
        <w:rPr>
          <w:b/>
          <w:bCs/>
        </w:rPr>
        <w:t xml:space="preserve">Three (3) Groups Processing Models </w:t>
      </w:r>
    </w:p>
    <w:p w14:paraId="52F435CC" w14:textId="77777777" w:rsidR="00157AAA" w:rsidRDefault="00157AAA">
      <w:pPr>
        <w:spacing w:after="0"/>
        <w:rPr>
          <w:rFonts w:ascii="Cambria" w:eastAsia="Batang" w:hAnsi="Cambria"/>
          <w:sz w:val="22"/>
          <w:szCs w:val="24"/>
          <w:lang w:val="en-GB"/>
        </w:rPr>
      </w:pPr>
    </w:p>
    <w:p w14:paraId="7DC0A873" w14:textId="77777777" w:rsidR="00157AAA" w:rsidRDefault="006C1BE5">
      <w:pPr>
        <w:spacing w:after="0"/>
        <w:rPr>
          <w:rFonts w:eastAsia="Batang"/>
          <w:szCs w:val="24"/>
          <w:lang w:val="en-GB"/>
        </w:rPr>
      </w:pPr>
      <w:r>
        <w:rPr>
          <w:rFonts w:eastAsia="Batang"/>
          <w:szCs w:val="24"/>
          <w:lang w:val="en-GB"/>
        </w:rPr>
        <w:t>The processes described above have been recently re-engineered for greater efficiency and for compliance with the intended NSW platform.</w:t>
      </w:r>
    </w:p>
    <w:p w14:paraId="4197ED61" w14:textId="77777777" w:rsidR="00157AAA" w:rsidRDefault="006C1BE5">
      <w:pPr>
        <w:spacing w:after="0"/>
        <w:rPr>
          <w:rFonts w:eastAsia="Batang"/>
          <w:szCs w:val="24"/>
          <w:lang w:val="en-GB"/>
        </w:rPr>
      </w:pPr>
      <w:r>
        <w:rPr>
          <w:rFonts w:eastAsia="Batang"/>
          <w:szCs w:val="24"/>
          <w:lang w:val="en-GB"/>
        </w:rPr>
        <w:t>The three common processing models were identified.  TO BE Models for individual processes were standardized in alignment with these models.</w:t>
      </w:r>
    </w:p>
    <w:p w14:paraId="7C7A67EB" w14:textId="77777777" w:rsidR="00157AAA" w:rsidRDefault="00157AAA">
      <w:pPr>
        <w:spacing w:after="0"/>
        <w:rPr>
          <w:rFonts w:ascii="Cambria" w:eastAsia="Batang" w:hAnsi="Cambria"/>
          <w:sz w:val="22"/>
          <w:szCs w:val="24"/>
          <w:lang w:val="en-GB"/>
        </w:rPr>
      </w:pPr>
    </w:p>
    <w:p w14:paraId="7EF19FB9" w14:textId="77777777" w:rsidR="00157AAA" w:rsidRDefault="006C1BE5" w:rsidP="00D530D5">
      <w:pPr>
        <w:numPr>
          <w:ilvl w:val="0"/>
          <w:numId w:val="85"/>
        </w:numPr>
        <w:spacing w:after="0"/>
        <w:rPr>
          <w:rFonts w:eastAsia="Calibri"/>
          <w:color w:val="000000"/>
        </w:rPr>
      </w:pPr>
      <w:r>
        <w:rPr>
          <w:rFonts w:eastAsia="Calibri"/>
          <w:b/>
          <w:bCs/>
          <w:color w:val="000000"/>
        </w:rPr>
        <w:t>Group 1:  NSW processed Stakeholder –</w:t>
      </w:r>
      <w:r>
        <w:rPr>
          <w:rFonts w:eastAsia="Calibri"/>
          <w:color w:val="000000"/>
        </w:rPr>
        <w:t xml:space="preserve"> Workflow fully processed on NSW from application to approval(s) and through to issue of final outputs.  Data interchange with ministry/agency system may be facilitated, largely NSW sending relevant data to external </w:t>
      </w:r>
      <w:proofErr w:type="gramStart"/>
      <w:r>
        <w:rPr>
          <w:rFonts w:eastAsia="Calibri"/>
          <w:color w:val="000000"/>
        </w:rPr>
        <w:t>systems</w:t>
      </w:r>
      <w:proofErr w:type="gramEnd"/>
    </w:p>
    <w:p w14:paraId="16897811" w14:textId="77777777" w:rsidR="00157AAA" w:rsidRDefault="00157AAA">
      <w:pPr>
        <w:spacing w:after="0"/>
        <w:ind w:left="360"/>
        <w:rPr>
          <w:rFonts w:eastAsia="Calibri"/>
          <w:color w:val="000000"/>
        </w:rPr>
      </w:pPr>
    </w:p>
    <w:p w14:paraId="32CFE165" w14:textId="77777777" w:rsidR="00157AAA" w:rsidRDefault="006C1BE5" w:rsidP="00D530D5">
      <w:pPr>
        <w:numPr>
          <w:ilvl w:val="0"/>
          <w:numId w:val="85"/>
        </w:numPr>
        <w:spacing w:after="0"/>
        <w:rPr>
          <w:rFonts w:eastAsia="Calibri"/>
          <w:color w:val="000000"/>
        </w:rPr>
      </w:pPr>
      <w:r>
        <w:rPr>
          <w:rFonts w:eastAsia="Calibri"/>
          <w:b/>
          <w:bCs/>
          <w:color w:val="000000"/>
        </w:rPr>
        <w:t>Group 2: HYBRID processed Stakeholder</w:t>
      </w:r>
      <w:r>
        <w:rPr>
          <w:rFonts w:eastAsia="Calibri"/>
          <w:color w:val="000000"/>
        </w:rPr>
        <w:t xml:space="preserve"> – Approval workflow is processed partially on NSW, partially on ministry system(s).  This model features two-way data interchange between the </w:t>
      </w:r>
      <w:proofErr w:type="gramStart"/>
      <w:r>
        <w:rPr>
          <w:rFonts w:eastAsia="Calibri"/>
          <w:color w:val="000000"/>
        </w:rPr>
        <w:t>systems</w:t>
      </w:r>
      <w:proofErr w:type="gramEnd"/>
      <w:r>
        <w:rPr>
          <w:rFonts w:eastAsia="Calibri"/>
          <w:color w:val="000000"/>
        </w:rPr>
        <w:t xml:space="preserve"> each updating the other at relevant processing stages. This model features </w:t>
      </w:r>
      <w:proofErr w:type="spellStart"/>
      <w:r>
        <w:rPr>
          <w:rFonts w:eastAsia="Calibri"/>
          <w:color w:val="000000"/>
        </w:rPr>
        <w:t>i</w:t>
      </w:r>
      <w:proofErr w:type="spellEnd"/>
      <w:r>
        <w:rPr>
          <w:rFonts w:eastAsia="Calibri"/>
          <w:color w:val="000000"/>
        </w:rPr>
        <w:t>) application on NSW ii) ministry/agency processing on internal systems iii) data interchange with NSW (notifications) at predefined processing touchpoints iv) outputs passed from internal system to NSW) applicant accesses electronic documents including applicable licenses and certificates through NSW</w:t>
      </w:r>
      <w:r>
        <w:rPr>
          <w:rFonts w:eastAsia="Calibri"/>
          <w:b/>
          <w:bCs/>
          <w:color w:val="000000"/>
        </w:rPr>
        <w:t>. E.g. Food and Veterinary Agency and Ministry of Internal Affairs</w:t>
      </w:r>
    </w:p>
    <w:p w14:paraId="6C06A286" w14:textId="77777777" w:rsidR="00157AAA" w:rsidRDefault="00157AAA">
      <w:pPr>
        <w:spacing w:after="0"/>
        <w:ind w:left="360"/>
        <w:rPr>
          <w:rFonts w:eastAsia="Calibri"/>
          <w:color w:val="000000"/>
        </w:rPr>
      </w:pPr>
    </w:p>
    <w:p w14:paraId="5595EFC8" w14:textId="77777777" w:rsidR="00157AAA" w:rsidRDefault="006C1BE5" w:rsidP="00D530D5">
      <w:pPr>
        <w:numPr>
          <w:ilvl w:val="0"/>
          <w:numId w:val="85"/>
        </w:numPr>
        <w:spacing w:after="0"/>
        <w:rPr>
          <w:rFonts w:eastAsia="Calibri"/>
          <w:color w:val="000000"/>
        </w:rPr>
      </w:pPr>
      <w:r>
        <w:rPr>
          <w:rFonts w:eastAsia="Calibri"/>
          <w:b/>
          <w:bCs/>
          <w:color w:val="000000"/>
        </w:rPr>
        <w:t>Group 3 – Ministry/Agency processed NSWs</w:t>
      </w:r>
      <w:r>
        <w:rPr>
          <w:rFonts w:eastAsia="Calibri"/>
          <w:color w:val="000000"/>
        </w:rPr>
        <w:t xml:space="preserve"> – This model features </w:t>
      </w:r>
      <w:proofErr w:type="spellStart"/>
      <w:r>
        <w:rPr>
          <w:rFonts w:eastAsia="Calibri"/>
          <w:color w:val="000000"/>
        </w:rPr>
        <w:t>i</w:t>
      </w:r>
      <w:proofErr w:type="spellEnd"/>
      <w:r>
        <w:rPr>
          <w:rFonts w:eastAsia="Calibri"/>
          <w:color w:val="000000"/>
        </w:rPr>
        <w:t xml:space="preserve">) application on NSW ii) ministry/agency processing on internal system iii) applicant accesses electronic/paper documents including applicable licenses and certificates through ministry/agency. </w:t>
      </w:r>
      <w:r>
        <w:rPr>
          <w:rFonts w:eastAsia="Calibri"/>
          <w:b/>
          <w:color w:val="000000"/>
        </w:rPr>
        <w:t>E</w:t>
      </w:r>
      <w:r>
        <w:rPr>
          <w:rFonts w:eastAsia="Calibri"/>
          <w:b/>
          <w:bCs/>
          <w:color w:val="000000"/>
        </w:rPr>
        <w:t>.</w:t>
      </w:r>
      <w:r>
        <w:rPr>
          <w:rFonts w:eastAsia="Calibri"/>
          <w:b/>
          <w:color w:val="000000"/>
        </w:rPr>
        <w:t>g</w:t>
      </w:r>
      <w:r>
        <w:rPr>
          <w:rFonts w:eastAsia="Calibri"/>
          <w:color w:val="000000"/>
        </w:rPr>
        <w:t>.</w:t>
      </w:r>
      <w:r>
        <w:rPr>
          <w:rFonts w:eastAsia="Calibri"/>
          <w:b/>
          <w:bCs/>
          <w:color w:val="000000"/>
        </w:rPr>
        <w:t xml:space="preserve"> connected to Agency for Medicines and Medical Devices – MALMED catalog of products.  </w:t>
      </w:r>
    </w:p>
    <w:p w14:paraId="741CA44B" w14:textId="77777777" w:rsidR="00157AAA" w:rsidRDefault="006C1BE5">
      <w:pPr>
        <w:pStyle w:val="Head5a2"/>
      </w:pPr>
      <w:bookmarkStart w:id="736" w:name="_Toc145658529"/>
      <w:r>
        <w:t>2.2</w:t>
      </w:r>
      <w:r>
        <w:tab/>
        <w:t>Software Customization / Development</w:t>
      </w:r>
      <w:bookmarkEnd w:id="736"/>
    </w:p>
    <w:p w14:paraId="09D7CCE2" w14:textId="77777777" w:rsidR="00157AAA" w:rsidRDefault="00157AAA">
      <w:pPr>
        <w:ind w:left="2160" w:hanging="720"/>
        <w:rPr>
          <w:b/>
          <w:bCs/>
          <w:i/>
          <w:iCs/>
        </w:rPr>
      </w:pPr>
    </w:p>
    <w:p w14:paraId="36DBA27D" w14:textId="77777777" w:rsidR="00157AAA" w:rsidRDefault="006C1BE5">
      <w:pPr>
        <w:ind w:left="2160" w:hanging="720"/>
        <w:rPr>
          <w:b/>
          <w:bCs/>
          <w:i/>
          <w:iCs/>
        </w:rPr>
      </w:pPr>
      <w:r>
        <w:rPr>
          <w:b/>
          <w:bCs/>
          <w:i/>
          <w:iCs/>
        </w:rPr>
        <w:t>2.2.1 Software Development Methodology:</w:t>
      </w:r>
    </w:p>
    <w:p w14:paraId="22F56B94" w14:textId="77777777" w:rsidR="00157AAA" w:rsidRDefault="006C1BE5">
      <w:pPr>
        <w:ind w:left="1440"/>
        <w:rPr>
          <w:iCs/>
        </w:rPr>
      </w:pPr>
      <w:r>
        <w:rPr>
          <w:iCs/>
        </w:rPr>
        <w:t>The supplier should adopt a formal software development methodology that aligns with industry best practices. Some commonly used methodologies include:</w:t>
      </w:r>
    </w:p>
    <w:p w14:paraId="3C2CE242" w14:textId="77777777" w:rsidR="00157AAA" w:rsidRDefault="006C1BE5" w:rsidP="00D530D5">
      <w:pPr>
        <w:pStyle w:val="ListParagraph"/>
        <w:numPr>
          <w:ilvl w:val="0"/>
          <w:numId w:val="120"/>
        </w:numPr>
        <w:spacing w:after="0"/>
        <w:rPr>
          <w:iCs/>
        </w:rPr>
      </w:pPr>
      <w:r>
        <w:rPr>
          <w:i/>
        </w:rPr>
        <w:t>Waterfall</w:t>
      </w:r>
      <w:r>
        <w:rPr>
          <w:i/>
          <w:iCs/>
        </w:rPr>
        <w:t xml:space="preserve">: </w:t>
      </w:r>
      <w:r>
        <w:rPr>
          <w:iCs/>
        </w:rPr>
        <w:t>This sequential approach involves distinct phases such as requirements gathering, design, implementation, testing, and maintenance. Each phase is completed before moving on to the next, making it suitable for projects with well-defined and stable requirements.</w:t>
      </w:r>
    </w:p>
    <w:p w14:paraId="20F0E17C" w14:textId="77777777" w:rsidR="00157AAA" w:rsidRDefault="00157AAA" w:rsidP="001136D3">
      <w:pPr>
        <w:spacing w:after="0"/>
        <w:ind w:left="2160" w:hanging="720"/>
        <w:rPr>
          <w:iCs/>
          <w:sz w:val="10"/>
          <w:szCs w:val="10"/>
        </w:rPr>
      </w:pPr>
    </w:p>
    <w:p w14:paraId="54070DEA" w14:textId="77777777" w:rsidR="00157AAA" w:rsidRDefault="006C1BE5" w:rsidP="00D530D5">
      <w:pPr>
        <w:pStyle w:val="ListParagraph"/>
        <w:numPr>
          <w:ilvl w:val="0"/>
          <w:numId w:val="120"/>
        </w:numPr>
        <w:spacing w:after="0"/>
        <w:rPr>
          <w:iCs/>
        </w:rPr>
      </w:pPr>
      <w:r>
        <w:rPr>
          <w:i/>
        </w:rPr>
        <w:t>Agile</w:t>
      </w:r>
      <w:r>
        <w:rPr>
          <w:i/>
          <w:iCs/>
        </w:rPr>
        <w:t xml:space="preserve">: </w:t>
      </w:r>
      <w:r>
        <w:rPr>
          <w:iCs/>
        </w:rPr>
        <w:t>This iterative and collaborative methodology emphasizes flexibility and adaptability. It involves breaking the project into small increments, called sprints, and encourages continuous customer involvement and feedback throughout the development process.</w:t>
      </w:r>
    </w:p>
    <w:p w14:paraId="2DADA8DE" w14:textId="77777777" w:rsidR="00157AAA" w:rsidRDefault="00157AAA" w:rsidP="001136D3">
      <w:pPr>
        <w:spacing w:after="0"/>
        <w:ind w:left="2160" w:hanging="720"/>
        <w:rPr>
          <w:iCs/>
          <w:sz w:val="10"/>
          <w:szCs w:val="10"/>
        </w:rPr>
      </w:pPr>
    </w:p>
    <w:p w14:paraId="7A3424D6" w14:textId="77777777" w:rsidR="00157AAA" w:rsidRDefault="006C1BE5" w:rsidP="00D530D5">
      <w:pPr>
        <w:pStyle w:val="ListParagraph"/>
        <w:numPr>
          <w:ilvl w:val="0"/>
          <w:numId w:val="120"/>
        </w:numPr>
        <w:spacing w:after="0"/>
        <w:rPr>
          <w:iCs/>
        </w:rPr>
      </w:pPr>
      <w:r>
        <w:rPr>
          <w:i/>
        </w:rPr>
        <w:t>Rapid Application Development (RAD):</w:t>
      </w:r>
      <w:r>
        <w:rPr>
          <w:i/>
          <w:iCs/>
        </w:rPr>
        <w:t xml:space="preserve"> </w:t>
      </w:r>
      <w:r>
        <w:rPr>
          <w:iCs/>
        </w:rPr>
        <w:t>This methodology focuses on quickly building prototypes and iterating based on user feedback. It is particularly useful for projects that require rapid development and frequent iterations.</w:t>
      </w:r>
    </w:p>
    <w:p w14:paraId="3D761DED" w14:textId="77777777" w:rsidR="00157AAA" w:rsidRDefault="00157AAA">
      <w:pPr>
        <w:ind w:left="2160" w:hanging="720"/>
        <w:rPr>
          <w:iCs/>
          <w:sz w:val="10"/>
          <w:szCs w:val="10"/>
        </w:rPr>
      </w:pPr>
    </w:p>
    <w:p w14:paraId="7766F46C" w14:textId="77777777" w:rsidR="00157AAA" w:rsidRDefault="006C1BE5">
      <w:pPr>
        <w:ind w:left="2160" w:hanging="720"/>
        <w:rPr>
          <w:b/>
          <w:bCs/>
          <w:iCs/>
        </w:rPr>
      </w:pPr>
      <w:r>
        <w:rPr>
          <w:b/>
          <w:bCs/>
          <w:iCs/>
        </w:rPr>
        <w:t>Open Standards:</w:t>
      </w:r>
    </w:p>
    <w:p w14:paraId="43BBBF95" w14:textId="77777777" w:rsidR="00157AAA" w:rsidRDefault="006C1BE5">
      <w:pPr>
        <w:ind w:left="1440"/>
      </w:pPr>
      <w:r>
        <w:lastRenderedPageBreak/>
        <w:t xml:space="preserve">To ensure compatibility and interoperability, the supplier should utilize open standards. </w:t>
      </w:r>
    </w:p>
    <w:p w14:paraId="14B183C9" w14:textId="77777777" w:rsidR="00157AAA" w:rsidRDefault="00157AAA">
      <w:pPr>
        <w:spacing w:after="0"/>
        <w:ind w:left="2160" w:hanging="720"/>
        <w:rPr>
          <w:iCs/>
        </w:rPr>
      </w:pPr>
    </w:p>
    <w:p w14:paraId="79196286" w14:textId="77777777" w:rsidR="00157AAA" w:rsidRDefault="006C1BE5" w:rsidP="001136D3">
      <w:pPr>
        <w:spacing w:after="0"/>
        <w:ind w:left="2160" w:hanging="720"/>
        <w:rPr>
          <w:i/>
          <w:iCs/>
        </w:rPr>
      </w:pPr>
      <w:r>
        <w:rPr>
          <w:i/>
        </w:rPr>
        <w:t>Programming languages</w:t>
      </w:r>
      <w:r>
        <w:rPr>
          <w:i/>
          <w:iCs/>
        </w:rPr>
        <w:t xml:space="preserve">: </w:t>
      </w:r>
    </w:p>
    <w:p w14:paraId="5DE5AAD6" w14:textId="77777777" w:rsidR="00157AAA" w:rsidRDefault="006C1BE5" w:rsidP="00D530D5">
      <w:pPr>
        <w:pStyle w:val="ListParagraph"/>
        <w:numPr>
          <w:ilvl w:val="0"/>
          <w:numId w:val="121"/>
        </w:numPr>
        <w:spacing w:after="0"/>
        <w:rPr>
          <w:iCs/>
        </w:rPr>
      </w:pPr>
      <w:r>
        <w:rPr>
          <w:iCs/>
        </w:rPr>
        <w:t>The supplier should choose widely adopted programming languages known for their versatility and community support. These languages should support open standards and have a robust ecosystem of libraries and frameworks.</w:t>
      </w:r>
    </w:p>
    <w:p w14:paraId="4ED7ACD5" w14:textId="77777777" w:rsidR="00157AAA" w:rsidRDefault="00157AAA" w:rsidP="001136D3">
      <w:pPr>
        <w:spacing w:after="0"/>
        <w:ind w:left="2160" w:hanging="720"/>
        <w:rPr>
          <w:i/>
          <w:sz w:val="10"/>
          <w:szCs w:val="10"/>
        </w:rPr>
      </w:pPr>
    </w:p>
    <w:p w14:paraId="430E4018" w14:textId="77777777" w:rsidR="00157AAA" w:rsidRDefault="006C1BE5" w:rsidP="001136D3">
      <w:pPr>
        <w:spacing w:after="0"/>
        <w:ind w:left="2160" w:hanging="720"/>
        <w:rPr>
          <w:i/>
          <w:iCs/>
        </w:rPr>
      </w:pPr>
      <w:r>
        <w:rPr>
          <w:i/>
        </w:rPr>
        <w:t>Markup languages</w:t>
      </w:r>
      <w:r>
        <w:rPr>
          <w:i/>
          <w:iCs/>
        </w:rPr>
        <w:t xml:space="preserve">: </w:t>
      </w:r>
    </w:p>
    <w:p w14:paraId="14BDB4F5" w14:textId="77777777" w:rsidR="00157AAA" w:rsidRDefault="006C1BE5" w:rsidP="00D530D5">
      <w:pPr>
        <w:pStyle w:val="ListParagraph"/>
        <w:numPr>
          <w:ilvl w:val="0"/>
          <w:numId w:val="121"/>
        </w:numPr>
        <w:spacing w:after="0"/>
        <w:rPr>
          <w:iCs/>
        </w:rPr>
      </w:pPr>
      <w:r>
        <w:rPr>
          <w:iCs/>
        </w:rPr>
        <w:t>Markup languages such as XML (extensible Markup Language) provide a structured format for data storage and exchange. They facilitate interoperability between systems and simplify data integration.</w:t>
      </w:r>
    </w:p>
    <w:p w14:paraId="4CD3E57B" w14:textId="77777777" w:rsidR="00157AAA" w:rsidRDefault="00157AAA" w:rsidP="001136D3">
      <w:pPr>
        <w:spacing w:after="0"/>
        <w:ind w:left="2160" w:hanging="720"/>
        <w:rPr>
          <w:iCs/>
          <w:sz w:val="10"/>
          <w:szCs w:val="10"/>
        </w:rPr>
      </w:pPr>
    </w:p>
    <w:p w14:paraId="78178EA6" w14:textId="77777777" w:rsidR="00157AAA" w:rsidRDefault="006C1BE5" w:rsidP="001136D3">
      <w:pPr>
        <w:spacing w:after="0"/>
        <w:ind w:left="2160" w:hanging="720"/>
        <w:rPr>
          <w:i/>
          <w:iCs/>
        </w:rPr>
      </w:pPr>
      <w:r>
        <w:rPr>
          <w:i/>
        </w:rPr>
        <w:t>Data interchange formats:</w:t>
      </w:r>
      <w:r>
        <w:rPr>
          <w:i/>
          <w:iCs/>
        </w:rPr>
        <w:t xml:space="preserve"> </w:t>
      </w:r>
    </w:p>
    <w:p w14:paraId="3AC876E2" w14:textId="77777777" w:rsidR="00157AAA" w:rsidRDefault="006C1BE5" w:rsidP="00D530D5">
      <w:pPr>
        <w:pStyle w:val="ListParagraph"/>
        <w:numPr>
          <w:ilvl w:val="0"/>
          <w:numId w:val="121"/>
        </w:numPr>
        <w:spacing w:after="0"/>
        <w:rPr>
          <w:iCs/>
        </w:rPr>
      </w:pPr>
      <w:r>
        <w:rPr>
          <w:iCs/>
        </w:rPr>
        <w:t>Lightweight data interchange formats like JSON (JavaScript Object Notation) are easy to read and write. They are commonly used in web-based applications and APIs due to their simplicity and flexibility.</w:t>
      </w:r>
    </w:p>
    <w:p w14:paraId="37858A41" w14:textId="77777777" w:rsidR="00157AAA" w:rsidRDefault="00157AAA">
      <w:pPr>
        <w:ind w:left="2160" w:hanging="720"/>
        <w:rPr>
          <w:iCs/>
          <w:sz w:val="10"/>
          <w:szCs w:val="10"/>
        </w:rPr>
      </w:pPr>
    </w:p>
    <w:p w14:paraId="1915A466" w14:textId="77777777" w:rsidR="00157AAA" w:rsidRDefault="006C1BE5">
      <w:pPr>
        <w:ind w:left="2160" w:hanging="720"/>
        <w:rPr>
          <w:b/>
          <w:bCs/>
          <w:iCs/>
        </w:rPr>
      </w:pPr>
      <w:r>
        <w:rPr>
          <w:b/>
          <w:bCs/>
          <w:iCs/>
        </w:rPr>
        <w:t>CASE Tools:</w:t>
      </w:r>
    </w:p>
    <w:p w14:paraId="6E50AD27" w14:textId="77777777" w:rsidR="00157AAA" w:rsidRDefault="006C1BE5" w:rsidP="001136D3">
      <w:pPr>
        <w:spacing w:after="0"/>
        <w:ind w:left="1440"/>
      </w:pPr>
      <w:r>
        <w:t>Computer-Aided Software Engineering (CASE) tools help streamline various stages of the software development lifecycle. Consider the following examples:</w:t>
      </w:r>
    </w:p>
    <w:p w14:paraId="280F91AD" w14:textId="77777777" w:rsidR="00157AAA" w:rsidRDefault="00157AAA" w:rsidP="001136D3">
      <w:pPr>
        <w:spacing w:after="0"/>
        <w:ind w:left="2160" w:hanging="720"/>
        <w:rPr>
          <w:iCs/>
          <w:sz w:val="10"/>
          <w:szCs w:val="10"/>
        </w:rPr>
      </w:pPr>
    </w:p>
    <w:p w14:paraId="785471E3" w14:textId="77777777" w:rsidR="00157AAA" w:rsidRDefault="006C1BE5" w:rsidP="001136D3">
      <w:pPr>
        <w:spacing w:after="0"/>
        <w:ind w:left="2160" w:hanging="720"/>
        <w:rPr>
          <w:iCs/>
        </w:rPr>
      </w:pPr>
      <w:r>
        <w:rPr>
          <w:i/>
          <w:iCs/>
        </w:rPr>
        <w:t xml:space="preserve">UML (Unified Modeling Language) Tools: </w:t>
      </w:r>
    </w:p>
    <w:p w14:paraId="5AA1FBB6" w14:textId="77777777" w:rsidR="00157AAA" w:rsidRDefault="006C1BE5" w:rsidP="00D530D5">
      <w:pPr>
        <w:pStyle w:val="ListParagraph"/>
        <w:numPr>
          <w:ilvl w:val="0"/>
          <w:numId w:val="121"/>
        </w:numPr>
        <w:spacing w:after="0"/>
        <w:rPr>
          <w:iCs/>
        </w:rPr>
      </w:pPr>
      <w:r>
        <w:rPr>
          <w:iCs/>
        </w:rPr>
        <w:t>These tools enable visual modeling and design of software systems using standardized notations. UML tools facilitate effective communication and documentation of system architecture</w:t>
      </w:r>
      <w:r>
        <w:rPr>
          <w:i/>
          <w:iCs/>
        </w:rPr>
        <w:t>.</w:t>
      </w:r>
    </w:p>
    <w:p w14:paraId="134264D7" w14:textId="77777777" w:rsidR="00157AAA" w:rsidRDefault="00157AAA" w:rsidP="001136D3">
      <w:pPr>
        <w:spacing w:after="0"/>
        <w:ind w:left="2160" w:hanging="720"/>
        <w:rPr>
          <w:iCs/>
        </w:rPr>
      </w:pPr>
    </w:p>
    <w:p w14:paraId="752338E9" w14:textId="77777777" w:rsidR="00157AAA" w:rsidRDefault="006C1BE5" w:rsidP="001136D3">
      <w:pPr>
        <w:spacing w:after="0"/>
        <w:ind w:left="2160" w:hanging="720"/>
        <w:rPr>
          <w:iCs/>
        </w:rPr>
      </w:pPr>
      <w:r>
        <w:rPr>
          <w:i/>
          <w:iCs/>
        </w:rPr>
        <w:t xml:space="preserve">Integrated Development Environments (IDEs): </w:t>
      </w:r>
    </w:p>
    <w:p w14:paraId="634B344F" w14:textId="77777777" w:rsidR="00157AAA" w:rsidRDefault="006C1BE5" w:rsidP="00D530D5">
      <w:pPr>
        <w:pStyle w:val="ListParagraph"/>
        <w:numPr>
          <w:ilvl w:val="0"/>
          <w:numId w:val="121"/>
        </w:numPr>
        <w:spacing w:after="0"/>
        <w:rPr>
          <w:iCs/>
        </w:rPr>
      </w:pPr>
      <w:r>
        <w:rPr>
          <w:iCs/>
        </w:rPr>
        <w:t>IDEs provide a comprehensive set of tools for software development, including code editors, debuggers, and build automation. They enhance productivity and streamline the coding process.</w:t>
      </w:r>
    </w:p>
    <w:p w14:paraId="5722A9AB" w14:textId="77777777" w:rsidR="00157AAA" w:rsidRDefault="00157AAA" w:rsidP="001136D3">
      <w:pPr>
        <w:spacing w:after="0"/>
        <w:ind w:left="2160" w:hanging="720"/>
        <w:rPr>
          <w:iCs/>
        </w:rPr>
      </w:pPr>
    </w:p>
    <w:p w14:paraId="67D3DF55" w14:textId="77777777" w:rsidR="00157AAA" w:rsidRDefault="006C1BE5" w:rsidP="001136D3">
      <w:pPr>
        <w:spacing w:after="0"/>
        <w:ind w:left="2160" w:hanging="720"/>
        <w:rPr>
          <w:iCs/>
        </w:rPr>
      </w:pPr>
      <w:r>
        <w:rPr>
          <w:i/>
          <w:iCs/>
        </w:rPr>
        <w:t xml:space="preserve">Version Control Systems: </w:t>
      </w:r>
    </w:p>
    <w:p w14:paraId="462BB464" w14:textId="77777777" w:rsidR="00157AAA" w:rsidRDefault="006C1BE5" w:rsidP="00D530D5">
      <w:pPr>
        <w:pStyle w:val="ListParagraph"/>
        <w:numPr>
          <w:ilvl w:val="0"/>
          <w:numId w:val="121"/>
        </w:numPr>
        <w:spacing w:after="0"/>
        <w:rPr>
          <w:iCs/>
        </w:rPr>
      </w:pPr>
      <w:r>
        <w:rPr>
          <w:iCs/>
        </w:rPr>
        <w:t>These tools manage changes to source code, enabling collaboration among developers and tracking of revisions. They ensure code integrity, facilitate teamwork, and provide a history of code modifications.</w:t>
      </w:r>
    </w:p>
    <w:p w14:paraId="15B44B7A" w14:textId="77777777" w:rsidR="00157AAA" w:rsidRDefault="00157AAA" w:rsidP="001136D3">
      <w:pPr>
        <w:spacing w:after="0"/>
        <w:ind w:left="2160" w:hanging="720"/>
        <w:rPr>
          <w:iCs/>
          <w:sz w:val="10"/>
          <w:szCs w:val="10"/>
        </w:rPr>
      </w:pPr>
    </w:p>
    <w:p w14:paraId="40C0576B" w14:textId="77777777" w:rsidR="00157AAA" w:rsidRDefault="006C1BE5" w:rsidP="001136D3">
      <w:pPr>
        <w:spacing w:after="0"/>
        <w:ind w:left="2160" w:hanging="720"/>
        <w:rPr>
          <w:iCs/>
        </w:rPr>
      </w:pPr>
      <w:r>
        <w:rPr>
          <w:i/>
          <w:iCs/>
        </w:rPr>
        <w:t>Requirements Management Tools:</w:t>
      </w:r>
    </w:p>
    <w:p w14:paraId="2DE68461" w14:textId="77777777" w:rsidR="00157AAA" w:rsidRDefault="006C1BE5" w:rsidP="00D530D5">
      <w:pPr>
        <w:pStyle w:val="ListParagraph"/>
        <w:numPr>
          <w:ilvl w:val="0"/>
          <w:numId w:val="121"/>
        </w:numPr>
        <w:spacing w:after="0"/>
        <w:rPr>
          <w:iCs/>
        </w:rPr>
      </w:pPr>
      <w:r>
        <w:rPr>
          <w:iCs/>
        </w:rPr>
        <w:t xml:space="preserve">Requirements management tools help capture, track, and manage software requirements throughout the development process. These tools provide functionalities for requirements elicitation, </w:t>
      </w:r>
      <w:r>
        <w:rPr>
          <w:iCs/>
        </w:rPr>
        <w:lastRenderedPageBreak/>
        <w:t>documentation, traceability, and change management. They assist in ensuring that the final software meets the specified requirements.</w:t>
      </w:r>
    </w:p>
    <w:p w14:paraId="7F715547" w14:textId="77777777" w:rsidR="00157AAA" w:rsidRDefault="00157AAA" w:rsidP="001136D3">
      <w:pPr>
        <w:spacing w:after="0"/>
        <w:ind w:left="2160" w:hanging="720"/>
        <w:rPr>
          <w:iCs/>
          <w:sz w:val="10"/>
          <w:szCs w:val="10"/>
        </w:rPr>
      </w:pPr>
    </w:p>
    <w:p w14:paraId="39E16F0B" w14:textId="77777777" w:rsidR="00157AAA" w:rsidRDefault="006C1BE5" w:rsidP="001136D3">
      <w:pPr>
        <w:spacing w:after="0"/>
        <w:ind w:left="2160" w:hanging="720"/>
        <w:rPr>
          <w:iCs/>
        </w:rPr>
      </w:pPr>
      <w:r>
        <w:rPr>
          <w:i/>
          <w:iCs/>
        </w:rPr>
        <w:t>Testing Tools:</w:t>
      </w:r>
    </w:p>
    <w:p w14:paraId="186DC25B" w14:textId="77777777" w:rsidR="00157AAA" w:rsidRDefault="006C1BE5" w:rsidP="00D530D5">
      <w:pPr>
        <w:pStyle w:val="ListParagraph"/>
        <w:numPr>
          <w:ilvl w:val="0"/>
          <w:numId w:val="121"/>
        </w:numPr>
        <w:spacing w:after="0"/>
        <w:rPr>
          <w:iCs/>
        </w:rPr>
      </w:pPr>
      <w:r>
        <w:rPr>
          <w:iCs/>
        </w:rPr>
        <w:t>Testing tools aid in various aspects of software testing, including test case management, test execution, and defect tracking. They help automate testing processes, perform test coverage analysis, and generate reports. Examples of testing tools include JUnit for unit testing and Selenium for web application testing.</w:t>
      </w:r>
    </w:p>
    <w:p w14:paraId="45C5C9DE" w14:textId="77777777" w:rsidR="00157AAA" w:rsidRDefault="00157AAA" w:rsidP="001136D3">
      <w:pPr>
        <w:spacing w:after="0"/>
        <w:ind w:left="2160" w:hanging="720"/>
        <w:rPr>
          <w:iCs/>
          <w:sz w:val="10"/>
          <w:szCs w:val="10"/>
        </w:rPr>
      </w:pPr>
    </w:p>
    <w:p w14:paraId="4FDE14F3" w14:textId="77777777" w:rsidR="00157AAA" w:rsidRDefault="006C1BE5" w:rsidP="001136D3">
      <w:pPr>
        <w:spacing w:after="0"/>
        <w:ind w:left="2160" w:hanging="720"/>
        <w:rPr>
          <w:iCs/>
        </w:rPr>
      </w:pPr>
      <w:r>
        <w:rPr>
          <w:i/>
          <w:iCs/>
        </w:rPr>
        <w:t>Project Management Tools:</w:t>
      </w:r>
    </w:p>
    <w:p w14:paraId="15D69D2D" w14:textId="77777777" w:rsidR="00157AAA" w:rsidRDefault="006C1BE5" w:rsidP="00D530D5">
      <w:pPr>
        <w:pStyle w:val="ListParagraph"/>
        <w:numPr>
          <w:ilvl w:val="0"/>
          <w:numId w:val="121"/>
        </w:numPr>
        <w:spacing w:after="0"/>
        <w:rPr>
          <w:iCs/>
        </w:rPr>
      </w:pPr>
      <w:r>
        <w:rPr>
          <w:iCs/>
        </w:rPr>
        <w:t>Project management tools assist in planning, scheduling, and tracking software development projects. They provide features for task management, resource allocation, progress tracking, and collaboration. These tools help keep projects organized, monitor milestones, and ensure timely delivery.</w:t>
      </w:r>
    </w:p>
    <w:p w14:paraId="6558743A" w14:textId="77777777" w:rsidR="00157AAA" w:rsidRDefault="00157AAA">
      <w:pPr>
        <w:ind w:left="2160" w:hanging="720"/>
        <w:rPr>
          <w:sz w:val="10"/>
          <w:szCs w:val="10"/>
        </w:rPr>
      </w:pPr>
    </w:p>
    <w:p w14:paraId="0D6FCDB5" w14:textId="77777777" w:rsidR="00157AAA" w:rsidRDefault="006C1BE5">
      <w:pPr>
        <w:rPr>
          <w:b/>
          <w:bCs/>
        </w:rPr>
      </w:pPr>
      <w:r>
        <w:rPr>
          <w:b/>
          <w:bCs/>
        </w:rPr>
        <w:t xml:space="preserve">2.2.2 The Supplier must design and </w:t>
      </w:r>
      <w:proofErr w:type="gramStart"/>
      <w:r>
        <w:rPr>
          <w:b/>
          <w:bCs/>
        </w:rPr>
        <w:t>implement of</w:t>
      </w:r>
      <w:proofErr w:type="gramEnd"/>
      <w:r>
        <w:rPr>
          <w:b/>
          <w:bCs/>
        </w:rPr>
        <w:t xml:space="preserve"> NSW components and processes.</w:t>
      </w:r>
    </w:p>
    <w:p w14:paraId="15335D2B" w14:textId="77777777" w:rsidR="00157AAA" w:rsidRDefault="006C1BE5">
      <w:pPr>
        <w:rPr>
          <w:szCs w:val="24"/>
        </w:rPr>
      </w:pPr>
      <w:r>
        <w:rPr>
          <w:szCs w:val="24"/>
        </w:rPr>
        <w:t xml:space="preserve">The </w:t>
      </w:r>
      <w:r>
        <w:rPr>
          <w:szCs w:val="22"/>
        </w:rPr>
        <w:t>Supplier</w:t>
      </w:r>
      <w:r>
        <w:rPr>
          <w:szCs w:val="24"/>
        </w:rPr>
        <w:t xml:space="preserve"> should design and implement NSW system based on the latest published version of the specifications and the latest published version of the Request for changes during the validity of the contract, making use of Baseline Architecture, architecture building blocks and of a set of already tested and integrated technical and business services.</w:t>
      </w:r>
    </w:p>
    <w:p w14:paraId="6E89E7E0" w14:textId="77777777" w:rsidR="00157AAA" w:rsidRDefault="006C1BE5">
      <w:pPr>
        <w:rPr>
          <w:szCs w:val="24"/>
        </w:rPr>
      </w:pPr>
      <w:r>
        <w:rPr>
          <w:szCs w:val="24"/>
        </w:rPr>
        <w:t>The Supplier should integrate NSW with cross border data exchange system by means of sending formatted XML messages to SEED+ system and EU CERTEX.</w:t>
      </w:r>
    </w:p>
    <w:p w14:paraId="3B91717D" w14:textId="77777777" w:rsidR="00157AAA" w:rsidRDefault="006C1BE5" w:rsidP="00D530D5">
      <w:pPr>
        <w:numPr>
          <w:ilvl w:val="0"/>
          <w:numId w:val="87"/>
        </w:numPr>
        <w:rPr>
          <w:szCs w:val="24"/>
        </w:rPr>
      </w:pPr>
      <w:r>
        <w:rPr>
          <w:szCs w:val="24"/>
          <w:lang w:val="mk-MK"/>
        </w:rPr>
        <w:t>Registration of Traders and Competent Authority</w:t>
      </w:r>
      <w:r>
        <w:rPr>
          <w:szCs w:val="24"/>
        </w:rPr>
        <w:t xml:space="preserve"> </w:t>
      </w:r>
      <w:r>
        <w:rPr>
          <w:szCs w:val="24"/>
          <w:lang w:val="mk-MK"/>
        </w:rPr>
        <w:t>Implement a</w:t>
      </w:r>
      <w:r>
        <w:rPr>
          <w:szCs w:val="24"/>
        </w:rPr>
        <w:t xml:space="preserve"> </w:t>
      </w:r>
      <w:r>
        <w:rPr>
          <w:szCs w:val="24"/>
          <w:lang w:val="mk-MK"/>
        </w:rPr>
        <w:t>system to handle incoming registration requests.</w:t>
      </w:r>
      <w:r>
        <w:rPr>
          <w:szCs w:val="24"/>
        </w:rPr>
        <w:t xml:space="preserve"> </w:t>
      </w:r>
      <w:r>
        <w:rPr>
          <w:szCs w:val="24"/>
          <w:lang w:val="mk-MK"/>
        </w:rPr>
        <w:t>Monitor the processing time to ensure timely registration.</w:t>
      </w:r>
      <w:r>
        <w:rPr>
          <w:szCs w:val="24"/>
        </w:rPr>
        <w:t xml:space="preserve"> </w:t>
      </w:r>
      <w:r>
        <w:rPr>
          <w:szCs w:val="24"/>
          <w:lang w:val="mk-MK"/>
        </w:rPr>
        <w:t>Implement application monitoring to track the performance and availability of the registration system.</w:t>
      </w:r>
      <w:r>
        <w:rPr>
          <w:szCs w:val="24"/>
        </w:rPr>
        <w:t xml:space="preserve"> </w:t>
      </w:r>
      <w:r>
        <w:rPr>
          <w:szCs w:val="24"/>
          <w:lang w:val="mk-MK"/>
        </w:rPr>
        <w:t>Monitor key metrics like registration success rate, response time, and error rates.</w:t>
      </w:r>
      <w:r>
        <w:rPr>
          <w:szCs w:val="24"/>
        </w:rPr>
        <w:t xml:space="preserve"> </w:t>
      </w:r>
      <w:r>
        <w:rPr>
          <w:szCs w:val="24"/>
          <w:lang w:val="mk-MK"/>
        </w:rPr>
        <w:t>Set up</w:t>
      </w:r>
      <w:r>
        <w:rPr>
          <w:szCs w:val="24"/>
        </w:rPr>
        <w:t xml:space="preserve"> notification alerts</w:t>
      </w:r>
      <w:r>
        <w:rPr>
          <w:szCs w:val="24"/>
          <w:lang w:val="mk-MK"/>
        </w:rPr>
        <w:t xml:space="preserve"> of any issues or delays in the registration process</w:t>
      </w:r>
    </w:p>
    <w:p w14:paraId="55BB9EA7" w14:textId="77777777" w:rsidR="00157AAA" w:rsidRDefault="006C1BE5" w:rsidP="00D530D5">
      <w:pPr>
        <w:numPr>
          <w:ilvl w:val="0"/>
          <w:numId w:val="87"/>
        </w:numPr>
        <w:rPr>
          <w:szCs w:val="24"/>
          <w:lang w:val="mk-MK"/>
        </w:rPr>
      </w:pPr>
      <w:r>
        <w:rPr>
          <w:szCs w:val="24"/>
        </w:rPr>
        <w:t xml:space="preserve"> LPCO Application: Implement a system to handle the application, processing, and issuance of various licenses and </w:t>
      </w:r>
      <w:proofErr w:type="gramStart"/>
      <w:r>
        <w:rPr>
          <w:szCs w:val="24"/>
        </w:rPr>
        <w:t>permits</w:t>
      </w:r>
      <w:proofErr w:type="gramEnd"/>
      <w:r>
        <w:rPr>
          <w:szCs w:val="24"/>
        </w:rPr>
        <w:t xml:space="preserve"> certificates. The system should include functionality to allow applicants to submit license and permit applications online, providing necessary information and supporting documentation, implement a workflow system to manage the review and approval process for license and permit applications. This includes routing applications to the appropriate authorities, assigning tasks, and tracking the progress of each application, enable the storage, retrieval, and management of application documents, supporting attachments, and related files. Provide version control and document tracking features to ensure accuracy and compliance, generate and issue digital or physical certificates upon the successful approval of license and permit applications. The system should allow for customization of certificate templates and ensure the secure distribution of certificates to the </w:t>
      </w:r>
      <w:proofErr w:type="gramStart"/>
      <w:r>
        <w:rPr>
          <w:szCs w:val="24"/>
        </w:rPr>
        <w:t>applicants</w:t>
      </w:r>
      <w:proofErr w:type="gramEnd"/>
    </w:p>
    <w:p w14:paraId="19C24922" w14:textId="77777777" w:rsidR="00157AAA" w:rsidRDefault="006C1BE5" w:rsidP="00D530D5">
      <w:pPr>
        <w:numPr>
          <w:ilvl w:val="0"/>
          <w:numId w:val="87"/>
        </w:numPr>
        <w:rPr>
          <w:szCs w:val="24"/>
          <w:lang w:val="mk-MK"/>
        </w:rPr>
      </w:pPr>
      <w:r>
        <w:rPr>
          <w:szCs w:val="24"/>
        </w:rPr>
        <w:t>LPCO</w:t>
      </w:r>
      <w:r>
        <w:rPr>
          <w:szCs w:val="24"/>
          <w:lang w:val="mk-MK"/>
        </w:rPr>
        <w:t xml:space="preserve"> Management</w:t>
      </w:r>
      <w:r>
        <w:rPr>
          <w:szCs w:val="24"/>
        </w:rPr>
        <w:t xml:space="preserve">: Implement a system to manage the issuance, tracking, and renewal of licenses, permits, and certificates for regulatory compliance or </w:t>
      </w:r>
      <w:r>
        <w:rPr>
          <w:szCs w:val="24"/>
        </w:rPr>
        <w:lastRenderedPageBreak/>
        <w:t>authorization purposes. The system should include functionality to handle application processing, document verification, approval workflows, expiration notifications, and renewal processes. It should also provide a centralized repository for storing and retrieving license-related information and generate reports for auditing and regulatory purposes.</w:t>
      </w:r>
    </w:p>
    <w:p w14:paraId="4D7C565F" w14:textId="77777777" w:rsidR="00157AAA" w:rsidRDefault="006C1BE5" w:rsidP="00D530D5">
      <w:pPr>
        <w:numPr>
          <w:ilvl w:val="0"/>
          <w:numId w:val="87"/>
        </w:numPr>
        <w:rPr>
          <w:szCs w:val="24"/>
          <w:lang w:val="mk-MK"/>
        </w:rPr>
      </w:pPr>
      <w:r>
        <w:rPr>
          <w:szCs w:val="24"/>
          <w:lang w:val="mk-MK"/>
        </w:rPr>
        <w:t>Quantity and Release of Goods Management:</w:t>
      </w:r>
      <w:r>
        <w:rPr>
          <w:szCs w:val="24"/>
        </w:rPr>
        <w:t xml:space="preserve"> </w:t>
      </w:r>
      <w:r>
        <w:rPr>
          <w:szCs w:val="24"/>
          <w:lang w:val="mk-MK"/>
        </w:rPr>
        <w:t xml:space="preserve">Implement </w:t>
      </w:r>
      <w:r>
        <w:rPr>
          <w:szCs w:val="24"/>
        </w:rPr>
        <w:t xml:space="preserve">a </w:t>
      </w:r>
      <w:r>
        <w:rPr>
          <w:szCs w:val="24"/>
          <w:lang w:val="mk-MK"/>
        </w:rPr>
        <w:t>workflow system to handle quantity and release of goods management tasks.</w:t>
      </w:r>
      <w:r>
        <w:rPr>
          <w:szCs w:val="24"/>
        </w:rPr>
        <w:t xml:space="preserve"> </w:t>
      </w:r>
      <w:r>
        <w:rPr>
          <w:szCs w:val="24"/>
          <w:lang w:val="mk-MK"/>
        </w:rPr>
        <w:t>Monitor the queue or workflow status to ensure smooth processing of goods management tasks.</w:t>
      </w:r>
      <w:r>
        <w:rPr>
          <w:szCs w:val="24"/>
        </w:rPr>
        <w:t xml:space="preserve"> </w:t>
      </w:r>
      <w:r>
        <w:rPr>
          <w:szCs w:val="24"/>
          <w:lang w:val="mk-MK"/>
        </w:rPr>
        <w:t>Utilize application monitoring to track the performance and availability of the goods management system.</w:t>
      </w:r>
      <w:r>
        <w:rPr>
          <w:szCs w:val="24"/>
        </w:rPr>
        <w:t xml:space="preserve"> </w:t>
      </w:r>
      <w:r>
        <w:rPr>
          <w:szCs w:val="24"/>
          <w:lang w:val="mk-MK"/>
        </w:rPr>
        <w:t>Monitor metrics like task completion time, inventory levels, and any discrepancies or errors.</w:t>
      </w:r>
      <w:r>
        <w:rPr>
          <w:szCs w:val="24"/>
        </w:rPr>
        <w:t xml:space="preserve"> </w:t>
      </w:r>
      <w:r>
        <w:rPr>
          <w:szCs w:val="24"/>
          <w:lang w:val="mk-MK"/>
        </w:rPr>
        <w:t>Set up</w:t>
      </w:r>
      <w:r>
        <w:rPr>
          <w:szCs w:val="24"/>
        </w:rPr>
        <w:t xml:space="preserve"> notification alerts</w:t>
      </w:r>
      <w:r>
        <w:rPr>
          <w:szCs w:val="24"/>
          <w:lang w:val="mk-MK"/>
        </w:rPr>
        <w:t xml:space="preserve"> of any issues or delays in the goods management process.</w:t>
      </w:r>
    </w:p>
    <w:p w14:paraId="360A5D1E" w14:textId="77777777" w:rsidR="00157AAA" w:rsidRDefault="006C1BE5" w:rsidP="00D530D5">
      <w:pPr>
        <w:numPr>
          <w:ilvl w:val="0"/>
          <w:numId w:val="87"/>
        </w:numPr>
        <w:rPr>
          <w:szCs w:val="24"/>
          <w:lang w:val="mk-MK"/>
        </w:rPr>
      </w:pPr>
      <w:r>
        <w:rPr>
          <w:szCs w:val="24"/>
          <w:lang w:val="mk-MK"/>
        </w:rPr>
        <w:t>Notification Management:</w:t>
      </w:r>
      <w:r>
        <w:rPr>
          <w:szCs w:val="24"/>
        </w:rPr>
        <w:t xml:space="preserve"> </w:t>
      </w:r>
      <w:r>
        <w:rPr>
          <w:szCs w:val="24"/>
          <w:lang w:val="mk-MK"/>
        </w:rPr>
        <w:t>Use a messaging system to handle notifications.</w:t>
      </w:r>
      <w:r>
        <w:rPr>
          <w:szCs w:val="24"/>
        </w:rPr>
        <w:t xml:space="preserve"> </w:t>
      </w:r>
      <w:r>
        <w:rPr>
          <w:szCs w:val="24"/>
          <w:lang w:val="mk-MK"/>
        </w:rPr>
        <w:t>Monitor the queue or message backlog to ensure timely delivery of notifications.</w:t>
      </w:r>
      <w:r>
        <w:rPr>
          <w:szCs w:val="24"/>
        </w:rPr>
        <w:t xml:space="preserve"> </w:t>
      </w:r>
      <w:r>
        <w:rPr>
          <w:szCs w:val="24"/>
          <w:lang w:val="mk-MK"/>
        </w:rPr>
        <w:t>Implement application monitoring to track the performance and responsiveness of the notification system.</w:t>
      </w:r>
      <w:r>
        <w:rPr>
          <w:szCs w:val="24"/>
        </w:rPr>
        <w:t xml:space="preserve"> </w:t>
      </w:r>
      <w:r>
        <w:rPr>
          <w:szCs w:val="24"/>
          <w:lang w:val="mk-MK"/>
        </w:rPr>
        <w:t>Monitor metrics such as notification delivery time, success rates, and any delivery failures.</w:t>
      </w:r>
      <w:r>
        <w:rPr>
          <w:szCs w:val="24"/>
        </w:rPr>
        <w:t xml:space="preserve"> </w:t>
      </w:r>
      <w:r>
        <w:rPr>
          <w:szCs w:val="24"/>
          <w:lang w:val="mk-MK"/>
        </w:rPr>
        <w:t>Set up</w:t>
      </w:r>
      <w:r>
        <w:rPr>
          <w:szCs w:val="24"/>
        </w:rPr>
        <w:t xml:space="preserve"> notification alerts</w:t>
      </w:r>
      <w:r>
        <w:rPr>
          <w:szCs w:val="24"/>
          <w:lang w:val="mk-MK"/>
        </w:rPr>
        <w:t xml:space="preserve"> of any issues or delays in the notification process.</w:t>
      </w:r>
    </w:p>
    <w:p w14:paraId="46A3233C" w14:textId="77777777" w:rsidR="00157AAA" w:rsidRDefault="006C1BE5" w:rsidP="00D530D5">
      <w:pPr>
        <w:numPr>
          <w:ilvl w:val="0"/>
          <w:numId w:val="87"/>
        </w:numPr>
        <w:rPr>
          <w:szCs w:val="24"/>
          <w:lang w:val="mk-MK"/>
        </w:rPr>
      </w:pPr>
      <w:r>
        <w:rPr>
          <w:szCs w:val="24"/>
        </w:rPr>
        <w:t>LPCO</w:t>
      </w:r>
      <w:r>
        <w:rPr>
          <w:szCs w:val="24"/>
          <w:lang w:val="mk-MK"/>
        </w:rPr>
        <w:t xml:space="preserve"> Designer:</w:t>
      </w:r>
      <w:r>
        <w:rPr>
          <w:szCs w:val="24"/>
        </w:rPr>
        <w:t xml:space="preserve"> Implement functionality to handle the creation, customization, and management of digital certificates for various purposes.  </w:t>
      </w:r>
      <w:r>
        <w:rPr>
          <w:szCs w:val="24"/>
          <w:lang w:val="mk-MK"/>
        </w:rPr>
        <w:t xml:space="preserve">Implement </w:t>
      </w:r>
      <w:r>
        <w:rPr>
          <w:szCs w:val="24"/>
        </w:rPr>
        <w:t xml:space="preserve">functionality </w:t>
      </w:r>
      <w:r>
        <w:rPr>
          <w:szCs w:val="24"/>
          <w:lang w:val="mk-MK"/>
        </w:rPr>
        <w:t xml:space="preserve">to handle </w:t>
      </w:r>
      <w:r>
        <w:rPr>
          <w:szCs w:val="24"/>
        </w:rPr>
        <w:t>LPCO</w:t>
      </w:r>
      <w:r>
        <w:rPr>
          <w:szCs w:val="24"/>
          <w:lang w:val="mk-MK"/>
        </w:rPr>
        <w:t xml:space="preserve"> design requests.</w:t>
      </w:r>
      <w:r>
        <w:rPr>
          <w:szCs w:val="24"/>
        </w:rPr>
        <w:t xml:space="preserve"> </w:t>
      </w:r>
      <w:r>
        <w:rPr>
          <w:szCs w:val="24"/>
          <w:lang w:val="mk-MK"/>
        </w:rPr>
        <w:t>Utilize application monitoring to track the performance and availability of the certificate designer.</w:t>
      </w:r>
      <w:r>
        <w:rPr>
          <w:szCs w:val="24"/>
        </w:rPr>
        <w:t xml:space="preserve"> </w:t>
      </w:r>
      <w:r>
        <w:rPr>
          <w:szCs w:val="24"/>
          <w:lang w:val="mk-MK"/>
        </w:rPr>
        <w:t>Monitor metrics like design completion time, error rates, and any design failures.</w:t>
      </w:r>
      <w:r>
        <w:rPr>
          <w:szCs w:val="24"/>
        </w:rPr>
        <w:t xml:space="preserve"> </w:t>
      </w:r>
      <w:r>
        <w:rPr>
          <w:szCs w:val="24"/>
          <w:lang w:val="mk-MK"/>
        </w:rPr>
        <w:t>Set up</w:t>
      </w:r>
      <w:r>
        <w:rPr>
          <w:szCs w:val="24"/>
        </w:rPr>
        <w:t xml:space="preserve"> notification alerts</w:t>
      </w:r>
      <w:r>
        <w:rPr>
          <w:szCs w:val="24"/>
          <w:lang w:val="mk-MK"/>
        </w:rPr>
        <w:t xml:space="preserve"> of any issues or delays in the certificate design process.</w:t>
      </w:r>
    </w:p>
    <w:p w14:paraId="7B8B9EBE" w14:textId="77777777" w:rsidR="00157AAA" w:rsidRDefault="006C1BE5">
      <w:r>
        <w:rPr>
          <w:szCs w:val="24"/>
        </w:rPr>
        <w:t xml:space="preserve">NSW must be technically designed to support virtualization, high availability, robustness of the overall system (preferred asynchronous messaging integration pattern) and scalability (both vertical and horizontal, supporting production in more load-balanced instances of software). NSW is recommended to be designed and implemented in accordance </w:t>
      </w:r>
      <w:proofErr w:type="gramStart"/>
      <w:r>
        <w:rPr>
          <w:szCs w:val="24"/>
        </w:rPr>
        <w:t>to</w:t>
      </w:r>
      <w:proofErr w:type="gramEnd"/>
      <w:r>
        <w:rPr>
          <w:szCs w:val="24"/>
        </w:rPr>
        <w:t xml:space="preserve"> SOA-BPM architecture as per EC.</w:t>
      </w:r>
    </w:p>
    <w:p w14:paraId="3655D915" w14:textId="77777777" w:rsidR="00157AAA" w:rsidRDefault="006C1BE5">
      <w:pPr>
        <w:rPr>
          <w:szCs w:val="24"/>
        </w:rPr>
      </w:pPr>
      <w:r>
        <w:rPr>
          <w:szCs w:val="24"/>
        </w:rPr>
        <w:t xml:space="preserve">The design should avoid the big bang approach whilst the implementation should be planned with a few iterations. The iterative implementation should be planned for gradual releases of service containers and ABBs from the development environment to the test environment, and finally moving them to the production environment providing Release Management and regression testing. On delivery to the production environment the Supplier should provide sufficient training to the NSW system administrators to enable them to ensure and fully support NSW operation since the roll-out. Training manuals and tools should be implemented in the Training environment for on-line </w:t>
      </w:r>
      <w:proofErr w:type="gramStart"/>
      <w:r>
        <w:rPr>
          <w:szCs w:val="24"/>
        </w:rPr>
        <w:t>trainings</w:t>
      </w:r>
      <w:proofErr w:type="gramEnd"/>
      <w:r>
        <w:rPr>
          <w:szCs w:val="24"/>
        </w:rPr>
        <w:t xml:space="preserve"> of business officers from all agencies. A backup policy and automatized procedure for restoring NSW should be developed by the Supplier while established, </w:t>
      </w:r>
      <w:proofErr w:type="gramStart"/>
      <w:r>
        <w:rPr>
          <w:szCs w:val="24"/>
        </w:rPr>
        <w:t>followed</w:t>
      </w:r>
      <w:proofErr w:type="gramEnd"/>
      <w:r>
        <w:rPr>
          <w:szCs w:val="24"/>
        </w:rPr>
        <w:t xml:space="preserve"> and mastered by the system administrators. </w:t>
      </w:r>
    </w:p>
    <w:p w14:paraId="1675D06D" w14:textId="77777777" w:rsidR="00157AAA" w:rsidRDefault="006C1BE5">
      <w:pPr>
        <w:rPr>
          <w:b/>
          <w:szCs w:val="24"/>
        </w:rPr>
      </w:pPr>
      <w:r>
        <w:rPr>
          <w:b/>
          <w:szCs w:val="24"/>
        </w:rPr>
        <w:t xml:space="preserve">2.2.3 The Supplier must design and develop Business Monitoring and Reporting. </w:t>
      </w:r>
    </w:p>
    <w:p w14:paraId="40C99840" w14:textId="77777777" w:rsidR="00157AAA" w:rsidRDefault="006C1BE5">
      <w:r>
        <w:rPr>
          <w:szCs w:val="24"/>
        </w:rPr>
        <w:t xml:space="preserve">Business Monitoring and reporting undertakes the business insides of the systems, such as, number of LPCO applications processed, in different statuses, grouped by the date and </w:t>
      </w:r>
      <w:r>
        <w:rPr>
          <w:szCs w:val="24"/>
        </w:rPr>
        <w:lastRenderedPageBreak/>
        <w:t xml:space="preserve">time, number of LPCO application per EO per month, etc. This kind of business monitoring should be developed with predefined dashboards and reports. </w:t>
      </w:r>
      <w:proofErr w:type="gramStart"/>
      <w:r>
        <w:rPr>
          <w:szCs w:val="24"/>
        </w:rPr>
        <w:t>The predefined dashboards and reports,</w:t>
      </w:r>
      <w:proofErr w:type="gramEnd"/>
      <w:r>
        <w:rPr>
          <w:szCs w:val="24"/>
        </w:rPr>
        <w:t xml:space="preserve"> should be discussed with </w:t>
      </w:r>
      <w:proofErr w:type="gramStart"/>
      <w:r>
        <w:rPr>
          <w:szCs w:val="24"/>
        </w:rPr>
        <w:t>NSW</w:t>
      </w:r>
      <w:proofErr w:type="gramEnd"/>
      <w:r>
        <w:rPr>
          <w:szCs w:val="24"/>
        </w:rPr>
        <w:t xml:space="preserve"> team before deciding the list of dashboards and reports that will be delivered from the supplier. Dashboards will present the near real time data, meaning the data in the past 7 days, where the reports will be more on past data, not real time data.</w:t>
      </w:r>
    </w:p>
    <w:p w14:paraId="10E2A100" w14:textId="77777777" w:rsidR="00157AAA" w:rsidRDefault="006C1BE5">
      <w:pPr>
        <w:rPr>
          <w:b/>
          <w:szCs w:val="24"/>
        </w:rPr>
      </w:pPr>
      <w:r>
        <w:rPr>
          <w:b/>
          <w:szCs w:val="24"/>
        </w:rPr>
        <w:t xml:space="preserve">2.2.4 The Supplier must design and develop Service Monitoring and Reporting. </w:t>
      </w:r>
    </w:p>
    <w:p w14:paraId="614736FE" w14:textId="77777777" w:rsidR="00157AAA" w:rsidRDefault="006C1BE5">
      <w:pPr>
        <w:rPr>
          <w:szCs w:val="24"/>
        </w:rPr>
      </w:pPr>
      <w:r>
        <w:rPr>
          <w:szCs w:val="24"/>
        </w:rPr>
        <w:t xml:space="preserve">Service Monitoring and reporting undertakes the services insides of the systems, such as, number of messages processed, grouped by the date and time, number of messages per economic operator per month, etc. This kind of service monitoring should be developed with predefined dashboards and reports. </w:t>
      </w:r>
      <w:proofErr w:type="gramStart"/>
      <w:r>
        <w:rPr>
          <w:szCs w:val="24"/>
        </w:rPr>
        <w:t>The predefined dashboards and reports,</w:t>
      </w:r>
      <w:proofErr w:type="gramEnd"/>
      <w:r>
        <w:rPr>
          <w:szCs w:val="24"/>
        </w:rPr>
        <w:t xml:space="preserve"> should be discussed with </w:t>
      </w:r>
      <w:proofErr w:type="gramStart"/>
      <w:r>
        <w:rPr>
          <w:szCs w:val="24"/>
        </w:rPr>
        <w:t>NSW</w:t>
      </w:r>
      <w:proofErr w:type="gramEnd"/>
      <w:r>
        <w:rPr>
          <w:szCs w:val="24"/>
        </w:rPr>
        <w:t xml:space="preserve"> team before deciding the list of dashboards and reports that will be delivered from the supplier. Dashboards will present the near real time data, meaning the data in the past 7 days, where the reports will be more on past data, not real time data.</w:t>
      </w:r>
    </w:p>
    <w:p w14:paraId="04159EBF" w14:textId="77777777" w:rsidR="00157AAA" w:rsidRDefault="006C1BE5">
      <w:pPr>
        <w:rPr>
          <w:b/>
          <w:szCs w:val="24"/>
        </w:rPr>
      </w:pPr>
      <w:r>
        <w:rPr>
          <w:b/>
          <w:szCs w:val="24"/>
        </w:rPr>
        <w:t xml:space="preserve">2.2.5 The Supplier must design and develop System Monitoring and Reporting. </w:t>
      </w:r>
    </w:p>
    <w:p w14:paraId="4C77AB26" w14:textId="77777777" w:rsidR="00157AAA" w:rsidRDefault="006C1BE5">
      <w:pPr>
        <w:rPr>
          <w:szCs w:val="24"/>
        </w:rPr>
      </w:pPr>
      <w:r>
        <w:rPr>
          <w:szCs w:val="24"/>
        </w:rPr>
        <w:t xml:space="preserve">System Monitoring and reporting undertakes the system point of view, such as, CPU and Memory consumption, grouped by the date and time, last 20 error messages, etc. This kind of system monitoring should be developed with predefined dashboards and reports. </w:t>
      </w:r>
      <w:proofErr w:type="gramStart"/>
      <w:r>
        <w:rPr>
          <w:szCs w:val="24"/>
        </w:rPr>
        <w:t>The predefined dashboards and reports,</w:t>
      </w:r>
      <w:proofErr w:type="gramEnd"/>
      <w:r>
        <w:rPr>
          <w:szCs w:val="24"/>
        </w:rPr>
        <w:t xml:space="preserve"> should be discussed with NSW team before deciding the list of dashboards and reports that will be delivered from the supplier. Dashboards will present the near real time data, meaning the data in the past 7 days, where the reports will be more on past data, not real time data.</w:t>
      </w:r>
    </w:p>
    <w:p w14:paraId="25EDBFA0" w14:textId="77777777" w:rsidR="00157AAA" w:rsidRDefault="006C1BE5">
      <w:pPr>
        <w:rPr>
          <w:b/>
          <w:szCs w:val="24"/>
        </w:rPr>
      </w:pPr>
      <w:r>
        <w:rPr>
          <w:b/>
          <w:szCs w:val="24"/>
        </w:rPr>
        <w:t xml:space="preserve">2.2.6 The Supplier must design and develop Alerting systems. </w:t>
      </w:r>
    </w:p>
    <w:p w14:paraId="2CDD2967" w14:textId="77777777" w:rsidR="00157AAA" w:rsidRDefault="006C1BE5">
      <w:pPr>
        <w:rPr>
          <w:szCs w:val="24"/>
        </w:rPr>
      </w:pPr>
      <w:r>
        <w:rPr>
          <w:szCs w:val="24"/>
        </w:rPr>
        <w:t xml:space="preserve">In the alerting system it should be possible to define a threshold from which an alert (notification) can be sent when the threshold is met. For example, if the CPU Consumption goes over 95%, </w:t>
      </w:r>
      <w:proofErr w:type="gramStart"/>
      <w:r>
        <w:rPr>
          <w:szCs w:val="24"/>
        </w:rPr>
        <w:t>to send</w:t>
      </w:r>
      <w:proofErr w:type="gramEnd"/>
      <w:r>
        <w:rPr>
          <w:szCs w:val="24"/>
        </w:rPr>
        <w:t xml:space="preserve"> message to the System Administrators and System Owners. This should </w:t>
      </w:r>
      <w:proofErr w:type="gramStart"/>
      <w:r>
        <w:rPr>
          <w:szCs w:val="24"/>
        </w:rPr>
        <w:t>be also</w:t>
      </w:r>
      <w:proofErr w:type="gramEnd"/>
      <w:r>
        <w:rPr>
          <w:szCs w:val="24"/>
        </w:rPr>
        <w:t xml:space="preserve"> configurable for the Business and Service monitoring in a case it is decided with the NSW team.  </w:t>
      </w:r>
    </w:p>
    <w:p w14:paraId="3B8A2AD0" w14:textId="77777777" w:rsidR="00157AAA" w:rsidRDefault="006C1BE5">
      <w:pPr>
        <w:rPr>
          <w:b/>
          <w:szCs w:val="24"/>
        </w:rPr>
      </w:pPr>
      <w:r>
        <w:rPr>
          <w:b/>
          <w:szCs w:val="24"/>
        </w:rPr>
        <w:t xml:space="preserve">2.2.7 The Supplier must develop the export of the dashboards and reports in PDF and/or CSV formats. </w:t>
      </w:r>
    </w:p>
    <w:p w14:paraId="3E993199" w14:textId="77777777" w:rsidR="00157AAA" w:rsidRDefault="006C1BE5">
      <w:pPr>
        <w:rPr>
          <w:szCs w:val="24"/>
        </w:rPr>
      </w:pPr>
      <w:r>
        <w:rPr>
          <w:szCs w:val="24"/>
        </w:rPr>
        <w:t xml:space="preserve">Each of the </w:t>
      </w:r>
      <w:proofErr w:type="gramStart"/>
      <w:r>
        <w:rPr>
          <w:szCs w:val="24"/>
        </w:rPr>
        <w:t>dashboard</w:t>
      </w:r>
      <w:proofErr w:type="gramEnd"/>
      <w:r>
        <w:rPr>
          <w:szCs w:val="24"/>
        </w:rPr>
        <w:t xml:space="preserve"> should be possible to export it in one of the formats defined, </w:t>
      </w:r>
      <w:proofErr w:type="gramStart"/>
      <w:r>
        <w:rPr>
          <w:szCs w:val="24"/>
        </w:rPr>
        <w:t>in order for</w:t>
      </w:r>
      <w:proofErr w:type="gramEnd"/>
      <w:r>
        <w:rPr>
          <w:szCs w:val="24"/>
        </w:rPr>
        <w:t xml:space="preserve"> further use by NSW team.</w:t>
      </w:r>
    </w:p>
    <w:p w14:paraId="161091BA" w14:textId="77777777" w:rsidR="00157AAA" w:rsidRPr="001136D3" w:rsidRDefault="006C1BE5">
      <w:pPr>
        <w:pStyle w:val="Head5a2"/>
        <w:rPr>
          <w:sz w:val="24"/>
        </w:rPr>
      </w:pPr>
      <w:bookmarkStart w:id="737" w:name="_Toc145658530"/>
      <w:r w:rsidRPr="001136D3">
        <w:rPr>
          <w:sz w:val="24"/>
        </w:rPr>
        <w:t>2.3</w:t>
      </w:r>
      <w:r w:rsidRPr="001136D3">
        <w:rPr>
          <w:sz w:val="24"/>
        </w:rPr>
        <w:tab/>
        <w:t>System Integration (to other existing systems)</w:t>
      </w:r>
      <w:bookmarkEnd w:id="737"/>
    </w:p>
    <w:p w14:paraId="14B34991" w14:textId="77777777" w:rsidR="00157AAA" w:rsidRDefault="00157AAA"/>
    <w:p w14:paraId="3D19ED9B" w14:textId="77777777" w:rsidR="00157AAA" w:rsidRDefault="006C1BE5">
      <w:r>
        <w:t>2.3.1</w:t>
      </w:r>
      <w:r>
        <w:tab/>
        <w:t>The Supplier MUST perform the following Integration Services:</w:t>
      </w:r>
    </w:p>
    <w:p w14:paraId="26BD3A69" w14:textId="77777777" w:rsidR="00157AAA" w:rsidRDefault="006C1BE5" w:rsidP="00D530D5">
      <w:pPr>
        <w:pStyle w:val="ListParagraph"/>
        <w:numPr>
          <w:ilvl w:val="0"/>
          <w:numId w:val="88"/>
        </w:numPr>
      </w:pPr>
      <w:r>
        <w:t xml:space="preserve">Through this interface, the Trade Portal and NSW application will collaborate to verify the registration status of an economic operator in the EORI system. When a trader submits an LPCO through the NSW application, the interface will check the EORI number provided by the trader against the EORI system to determine if the trader is registered. If the </w:t>
      </w:r>
      <w:r>
        <w:lastRenderedPageBreak/>
        <w:t>trader is registered, the interface will retrieve relevant data associated with the trader from the EORI system. This information can then be automatically populated in the declaration, ensuring accurate and consistent data flow.</w:t>
      </w:r>
    </w:p>
    <w:p w14:paraId="4476A596" w14:textId="77777777" w:rsidR="00157AAA" w:rsidRDefault="006C1BE5" w:rsidP="00D530D5">
      <w:pPr>
        <w:pStyle w:val="ListParagraph"/>
        <w:numPr>
          <w:ilvl w:val="0"/>
          <w:numId w:val="88"/>
        </w:numPr>
      </w:pPr>
      <w:r>
        <w:t xml:space="preserve">The User Management is responsible for providing a single directory of users of the NSW. The application is exposing services to authenticate a user and to provide what privileges a user has. The following are the main functionalities of the system: </w:t>
      </w:r>
    </w:p>
    <w:p w14:paraId="16BB445C" w14:textId="77777777" w:rsidR="00157AAA" w:rsidRDefault="006C1BE5" w:rsidP="00D530D5">
      <w:pPr>
        <w:pStyle w:val="ListParagraph"/>
        <w:numPr>
          <w:ilvl w:val="0"/>
          <w:numId w:val="90"/>
        </w:numPr>
      </w:pPr>
      <w:r>
        <w:t xml:space="preserve">Manage user information and privileges associated to a </w:t>
      </w:r>
      <w:proofErr w:type="gramStart"/>
      <w:r>
        <w:t>user;</w:t>
      </w:r>
      <w:proofErr w:type="gramEnd"/>
      <w:r>
        <w:t xml:space="preserve"> </w:t>
      </w:r>
    </w:p>
    <w:p w14:paraId="293A413C" w14:textId="77777777" w:rsidR="00157AAA" w:rsidRDefault="006C1BE5" w:rsidP="00D530D5">
      <w:pPr>
        <w:pStyle w:val="ListParagraph"/>
        <w:numPr>
          <w:ilvl w:val="0"/>
          <w:numId w:val="90"/>
        </w:numPr>
      </w:pPr>
      <w:r>
        <w:t xml:space="preserve">Authenticate </w:t>
      </w:r>
      <w:proofErr w:type="gramStart"/>
      <w:r>
        <w:t>user;</w:t>
      </w:r>
      <w:proofErr w:type="gramEnd"/>
      <w:r>
        <w:t xml:space="preserve"> </w:t>
      </w:r>
    </w:p>
    <w:p w14:paraId="3AE55D09" w14:textId="77777777" w:rsidR="00157AAA" w:rsidRDefault="006C1BE5" w:rsidP="00D530D5">
      <w:pPr>
        <w:pStyle w:val="ListParagraph"/>
        <w:numPr>
          <w:ilvl w:val="0"/>
          <w:numId w:val="90"/>
        </w:numPr>
      </w:pPr>
      <w:r>
        <w:t xml:space="preserve">Manage digital signatures; and </w:t>
      </w:r>
    </w:p>
    <w:p w14:paraId="0C2EEBA1" w14:textId="77777777" w:rsidR="00157AAA" w:rsidRDefault="006C1BE5" w:rsidP="00D530D5">
      <w:pPr>
        <w:pStyle w:val="ListParagraph"/>
        <w:numPr>
          <w:ilvl w:val="0"/>
          <w:numId w:val="90"/>
        </w:numPr>
      </w:pPr>
      <w:r>
        <w:t xml:space="preserve">Provide the privileges a user has in the NSW. </w:t>
      </w:r>
    </w:p>
    <w:p w14:paraId="7F122C4B" w14:textId="77777777" w:rsidR="00157AAA" w:rsidRDefault="006C1BE5">
      <w:pPr>
        <w:pStyle w:val="ListParagraph"/>
        <w:ind w:left="1440"/>
      </w:pPr>
      <w:r>
        <w:t>When the trader submits registration requests, it is presented in the User Management to authorized CBRA users (or the NSW registration unit). The CBRA user can review and approve/reject registration requests. The information is verified with the national business register, CBRAs, and risk assessed before approved and implemented in the user directory. The approval triggers applicable payment process and notification to all CBRAs.</w:t>
      </w:r>
    </w:p>
    <w:p w14:paraId="773A2AE9" w14:textId="77777777" w:rsidR="00157AAA" w:rsidRDefault="006C1BE5" w:rsidP="00D530D5">
      <w:pPr>
        <w:pStyle w:val="ListParagraph"/>
        <w:numPr>
          <w:ilvl w:val="0"/>
          <w:numId w:val="88"/>
        </w:numPr>
      </w:pPr>
      <w:r>
        <w:t xml:space="preserve">The ITE is a separate component in </w:t>
      </w:r>
      <w:proofErr w:type="gramStart"/>
      <w:r>
        <w:t>the architecture</w:t>
      </w:r>
      <w:proofErr w:type="gramEnd"/>
      <w:r>
        <w:t xml:space="preserve"> and is used as a common service. The ITE is EU TARIC aligned, and includes modules for TARIC, Quota, and Binding Tariff Information (BTI).   The ITE can serve as a tariff engine for both customs purposes and from the perspective of the NSW. The existing ITE shall be a shared service, used by both customs management system and the NSW. The format of the update data instructions produced by the Master Tariff System and consumed by the NSW ITE component shall be an XML file.  Data between the NSW and ITE needs to be synchronized. Data elements are defined in the functional specification for the NSW Integrated Tariff.</w:t>
      </w:r>
    </w:p>
    <w:p w14:paraId="0D8D1B9E" w14:textId="77777777" w:rsidR="00157AAA" w:rsidRDefault="006C1BE5" w:rsidP="00D530D5">
      <w:pPr>
        <w:pStyle w:val="ListParagraph"/>
        <w:numPr>
          <w:ilvl w:val="0"/>
          <w:numId w:val="88"/>
        </w:numPr>
      </w:pPr>
      <w:r>
        <w:t xml:space="preserve">The Systematic Electronic Exchange of Data (SEED) is a regional concept among the Central European Free Trade Agreement (CEFTA) parties, where export and transit data </w:t>
      </w:r>
      <w:proofErr w:type="gramStart"/>
      <w:r>
        <w:t>is</w:t>
      </w:r>
      <w:proofErr w:type="gramEnd"/>
      <w:r>
        <w:t xml:space="preserve"> shared with the other CEFTA parties, enabling pre-arrival information and improved risk management. Bilateral Memoranda of Understanding (MoU) defines the relations and standards for the data exchange.</w:t>
      </w:r>
    </w:p>
    <w:p w14:paraId="79693052" w14:textId="77777777" w:rsidR="00157AAA" w:rsidRDefault="006C1BE5" w:rsidP="00D530D5">
      <w:pPr>
        <w:pStyle w:val="ListParagraph"/>
        <w:numPr>
          <w:ilvl w:val="0"/>
          <w:numId w:val="88"/>
        </w:numPr>
      </w:pPr>
      <w:r>
        <w:t xml:space="preserve">The CDEPS enables processing of the customs procedures through: </w:t>
      </w:r>
    </w:p>
    <w:p w14:paraId="536FB545" w14:textId="77777777" w:rsidR="00157AAA" w:rsidRDefault="006C1BE5" w:rsidP="00D530D5">
      <w:pPr>
        <w:pStyle w:val="ListParagraph"/>
        <w:numPr>
          <w:ilvl w:val="0"/>
          <w:numId w:val="89"/>
        </w:numPr>
      </w:pPr>
      <w:r>
        <w:t xml:space="preserve">Processing (enter, registration, confirmation, acceptance, storing and sending reply) of customs </w:t>
      </w:r>
      <w:proofErr w:type="gramStart"/>
      <w:r>
        <w:t>declarations;</w:t>
      </w:r>
      <w:proofErr w:type="gramEnd"/>
      <w:r>
        <w:t xml:space="preserve"> </w:t>
      </w:r>
    </w:p>
    <w:p w14:paraId="7F89FF17" w14:textId="77777777" w:rsidR="00157AAA" w:rsidRDefault="006C1BE5" w:rsidP="00D530D5">
      <w:pPr>
        <w:pStyle w:val="ListParagraph"/>
        <w:numPr>
          <w:ilvl w:val="0"/>
          <w:numId w:val="89"/>
        </w:numPr>
      </w:pPr>
      <w:r>
        <w:t xml:space="preserve">Processing of excise </w:t>
      </w:r>
      <w:proofErr w:type="gramStart"/>
      <w:r>
        <w:t>documents;</w:t>
      </w:r>
      <w:proofErr w:type="gramEnd"/>
      <w:r>
        <w:t xml:space="preserve"> </w:t>
      </w:r>
    </w:p>
    <w:p w14:paraId="6C0C0C30" w14:textId="77777777" w:rsidR="00157AAA" w:rsidRDefault="006C1BE5" w:rsidP="00D530D5">
      <w:pPr>
        <w:pStyle w:val="ListParagraph"/>
        <w:numPr>
          <w:ilvl w:val="0"/>
          <w:numId w:val="89"/>
        </w:numPr>
      </w:pPr>
      <w:r>
        <w:t xml:space="preserve">Placing the goods in the custom </w:t>
      </w:r>
      <w:proofErr w:type="gramStart"/>
      <w:r>
        <w:t>procedure;</w:t>
      </w:r>
      <w:proofErr w:type="gramEnd"/>
      <w:r>
        <w:t xml:space="preserve"> </w:t>
      </w:r>
    </w:p>
    <w:p w14:paraId="253C90F0" w14:textId="77777777" w:rsidR="00157AAA" w:rsidRDefault="006C1BE5" w:rsidP="00D530D5">
      <w:pPr>
        <w:pStyle w:val="ListParagraph"/>
        <w:numPr>
          <w:ilvl w:val="0"/>
          <w:numId w:val="89"/>
        </w:numPr>
      </w:pPr>
      <w:r>
        <w:t xml:space="preserve">Exchange of e-messages in order to automate the administrative flow of the </w:t>
      </w:r>
      <w:proofErr w:type="gramStart"/>
      <w:r>
        <w:t>procedure;</w:t>
      </w:r>
      <w:proofErr w:type="gramEnd"/>
      <w:r>
        <w:t xml:space="preserve"> </w:t>
      </w:r>
    </w:p>
    <w:p w14:paraId="1F9118A3" w14:textId="77777777" w:rsidR="00157AAA" w:rsidRDefault="006C1BE5" w:rsidP="00D530D5">
      <w:pPr>
        <w:pStyle w:val="ListParagraph"/>
        <w:numPr>
          <w:ilvl w:val="0"/>
          <w:numId w:val="89"/>
        </w:numPr>
      </w:pPr>
      <w:r>
        <w:t xml:space="preserve">Process management accompanied with calculation and payment of customs duties, excise, taxes and </w:t>
      </w:r>
      <w:proofErr w:type="gramStart"/>
      <w:r>
        <w:t>fees;</w:t>
      </w:r>
      <w:proofErr w:type="gramEnd"/>
      <w:r>
        <w:t xml:space="preserve"> </w:t>
      </w:r>
    </w:p>
    <w:p w14:paraId="1C6AE9B4" w14:textId="77777777" w:rsidR="00157AAA" w:rsidRDefault="006C1BE5" w:rsidP="00D530D5">
      <w:pPr>
        <w:pStyle w:val="ListParagraph"/>
        <w:numPr>
          <w:ilvl w:val="0"/>
          <w:numId w:val="89"/>
        </w:numPr>
      </w:pPr>
      <w:r>
        <w:t>Provision of support of indirect procedures in the customs operations (subjectivity, investigations</w:t>
      </w:r>
      <w:proofErr w:type="gramStart"/>
      <w:r>
        <w:t>);</w:t>
      </w:r>
      <w:proofErr w:type="gramEnd"/>
      <w:r>
        <w:t xml:space="preserve"> </w:t>
      </w:r>
    </w:p>
    <w:p w14:paraId="4C94529D" w14:textId="77777777" w:rsidR="00157AAA" w:rsidRDefault="006C1BE5" w:rsidP="00D530D5">
      <w:pPr>
        <w:pStyle w:val="ListParagraph"/>
        <w:numPr>
          <w:ilvl w:val="0"/>
          <w:numId w:val="89"/>
        </w:numPr>
      </w:pPr>
      <w:r>
        <w:t>Support in conducting analysis and statistics for customs operations.</w:t>
      </w:r>
    </w:p>
    <w:p w14:paraId="71324206" w14:textId="77777777" w:rsidR="00157AAA" w:rsidRDefault="006C1BE5" w:rsidP="00D530D5">
      <w:pPr>
        <w:pStyle w:val="ListParagraph"/>
        <w:numPr>
          <w:ilvl w:val="0"/>
          <w:numId w:val="88"/>
        </w:numPr>
      </w:pPr>
      <w:r>
        <w:lastRenderedPageBreak/>
        <w:t xml:space="preserve">The purpose </w:t>
      </w:r>
      <w:proofErr w:type="gramStart"/>
      <w:r>
        <w:t>with</w:t>
      </w:r>
      <w:proofErr w:type="gramEnd"/>
      <w:r>
        <w:t xml:space="preserve"> the Data Warehouse is to collect aggregated historical data in one place and transform to suitable data structures for analysis, analytics, and reporting. The component both contains the functionality to populate the data warehouse with information, but also provide report functionality and data mining to be used during analysis. The data warehouse shall, for example, be used to create reports that visualize trade statistics for a specific </w:t>
      </w:r>
      <w:proofErr w:type="gramStart"/>
      <w:r>
        <w:t>time period</w:t>
      </w:r>
      <w:proofErr w:type="gramEnd"/>
      <w:r>
        <w:t xml:space="preserve"> or a specific type of goods. The component contains the following main functionality. </w:t>
      </w:r>
    </w:p>
    <w:p w14:paraId="301BDD16" w14:textId="77777777" w:rsidR="00157AAA" w:rsidRDefault="006C1BE5">
      <w:pPr>
        <w:pStyle w:val="ListParagraph"/>
        <w:ind w:left="1440" w:firstLine="720"/>
      </w:pPr>
      <w:r>
        <w:t xml:space="preserve">1. Collection of </w:t>
      </w:r>
      <w:proofErr w:type="gramStart"/>
      <w:r>
        <w:t>data;</w:t>
      </w:r>
      <w:proofErr w:type="gramEnd"/>
      <w:r>
        <w:t xml:space="preserve"> </w:t>
      </w:r>
    </w:p>
    <w:p w14:paraId="37FD670A" w14:textId="77777777" w:rsidR="00157AAA" w:rsidRDefault="006C1BE5">
      <w:pPr>
        <w:pStyle w:val="ListParagraph"/>
        <w:ind w:left="1440" w:firstLine="720"/>
      </w:pPr>
      <w:r>
        <w:t xml:space="preserve">2. Data </w:t>
      </w:r>
      <w:proofErr w:type="gramStart"/>
      <w:r>
        <w:t>integration;</w:t>
      </w:r>
      <w:proofErr w:type="gramEnd"/>
      <w:r>
        <w:t xml:space="preserve"> </w:t>
      </w:r>
    </w:p>
    <w:p w14:paraId="0F66C081" w14:textId="77777777" w:rsidR="00157AAA" w:rsidRDefault="006C1BE5">
      <w:pPr>
        <w:pStyle w:val="ListParagraph"/>
        <w:ind w:left="1440" w:firstLine="720"/>
      </w:pPr>
      <w:r>
        <w:t xml:space="preserve">3. Storage of </w:t>
      </w:r>
      <w:proofErr w:type="gramStart"/>
      <w:r>
        <w:t>data;</w:t>
      </w:r>
      <w:proofErr w:type="gramEnd"/>
      <w:r>
        <w:t xml:space="preserve"> </w:t>
      </w:r>
    </w:p>
    <w:p w14:paraId="73F3CE7B" w14:textId="77777777" w:rsidR="00157AAA" w:rsidRDefault="006C1BE5">
      <w:pPr>
        <w:pStyle w:val="ListParagraph"/>
        <w:ind w:left="1440" w:firstLine="720"/>
      </w:pPr>
      <w:r>
        <w:t xml:space="preserve">4. Data analysis; and </w:t>
      </w:r>
    </w:p>
    <w:p w14:paraId="6B4538AC" w14:textId="77777777" w:rsidR="00157AAA" w:rsidRDefault="006C1BE5">
      <w:pPr>
        <w:pStyle w:val="ListParagraph"/>
        <w:ind w:left="1440" w:firstLine="720"/>
      </w:pPr>
      <w:r>
        <w:t>5. Distribution and visualization.</w:t>
      </w:r>
    </w:p>
    <w:p w14:paraId="599BFF37" w14:textId="77777777" w:rsidR="00157AAA" w:rsidRDefault="006C1BE5" w:rsidP="00D530D5">
      <w:pPr>
        <w:pStyle w:val="ListParagraph"/>
        <w:numPr>
          <w:ilvl w:val="0"/>
          <w:numId w:val="88"/>
        </w:numPr>
      </w:pPr>
      <w:r>
        <w:t>The NCTS is a common EU IT solution for managing and controlling the transit system and declarations.</w:t>
      </w:r>
    </w:p>
    <w:p w14:paraId="509ACE00" w14:textId="77777777" w:rsidR="00157AAA" w:rsidRDefault="006C1BE5" w:rsidP="00D530D5">
      <w:pPr>
        <w:pStyle w:val="ListParagraph"/>
        <w:numPr>
          <w:ilvl w:val="0"/>
          <w:numId w:val="88"/>
        </w:numPr>
      </w:pPr>
      <w:r>
        <w:t>These interfaces enable seamless data exchange between the registered medicines in MALMED and the LPCO form. The MALMED system ensures that registered medicines are accurately reflected in the LPCO form, with data retrieved from the MALMED DMS software.</w:t>
      </w:r>
    </w:p>
    <w:p w14:paraId="5DDDBADA" w14:textId="77777777" w:rsidR="00157AAA" w:rsidRDefault="006C1BE5" w:rsidP="00D530D5">
      <w:pPr>
        <w:pStyle w:val="ListParagraph"/>
        <w:numPr>
          <w:ilvl w:val="0"/>
          <w:numId w:val="88"/>
        </w:numPr>
      </w:pPr>
      <w:r>
        <w:t xml:space="preserve">Through the Release Interfaces, authorized CBRA users can clear consignments from their perspective and the NSW will update and notify the trader about the status. A release notification will be sent to the assigned trader (for example cargo terminal, warehouse operator, </w:t>
      </w:r>
      <w:proofErr w:type="gramStart"/>
      <w:r>
        <w:t>transporter</w:t>
      </w:r>
      <w:proofErr w:type="gramEnd"/>
      <w:r>
        <w:t xml:space="preserve"> or freight </w:t>
      </w:r>
      <w:proofErr w:type="gramStart"/>
      <w:r>
        <w:t>for-warder</w:t>
      </w:r>
      <w:proofErr w:type="gramEnd"/>
      <w:r>
        <w:t>) and to the Customs Administration.</w:t>
      </w:r>
    </w:p>
    <w:p w14:paraId="1E5629C5" w14:textId="77777777" w:rsidR="00157AAA" w:rsidRDefault="006C1BE5" w:rsidP="00D530D5">
      <w:pPr>
        <w:pStyle w:val="ListParagraph"/>
        <w:numPr>
          <w:ilvl w:val="0"/>
          <w:numId w:val="88"/>
        </w:numPr>
      </w:pPr>
      <w:r>
        <w:t>The interface between NSW (New Single Window System) and CBRA (Cross-Border Regulatory Agency) facilitates the reception of control result messages.</w:t>
      </w:r>
    </w:p>
    <w:p w14:paraId="6A8D259C" w14:textId="77777777" w:rsidR="00157AAA" w:rsidRDefault="006C1BE5" w:rsidP="00D530D5">
      <w:pPr>
        <w:pStyle w:val="ListParagraph"/>
        <w:numPr>
          <w:ilvl w:val="0"/>
          <w:numId w:val="88"/>
        </w:numPr>
      </w:pPr>
      <w:proofErr w:type="gramStart"/>
      <w:r>
        <w:t>Trade</w:t>
      </w:r>
      <w:proofErr w:type="gramEnd"/>
      <w:r>
        <w:t xml:space="preserve"> Portal Interface serves as a redirection platform, directing users to the appropriate platform within the NSW application for the submission of LPCO, documentation, and other related information.</w:t>
      </w:r>
    </w:p>
    <w:p w14:paraId="43E8B09B" w14:textId="77777777" w:rsidR="00157AAA" w:rsidRDefault="006C1BE5" w:rsidP="00D530D5">
      <w:pPr>
        <w:pStyle w:val="ListParagraph"/>
        <w:numPr>
          <w:ilvl w:val="0"/>
          <w:numId w:val="88"/>
        </w:numPr>
      </w:pPr>
      <w:r>
        <w:t>The interface between the NSW (New Single Window System) and Government Agencies enables the seamless reception of information related to traders, registration, and issuance of LPCO (License for Preparing Consignments). This interface streamlines the exchange of relevant data, ensuring efficient processes for registration and regulatory compliance.</w:t>
      </w:r>
    </w:p>
    <w:p w14:paraId="50CC0978" w14:textId="77777777" w:rsidR="00157AAA" w:rsidRDefault="006C1BE5" w:rsidP="00D530D5">
      <w:pPr>
        <w:pStyle w:val="ListParagraph"/>
        <w:numPr>
          <w:ilvl w:val="0"/>
          <w:numId w:val="88"/>
        </w:numPr>
      </w:pPr>
      <w:r>
        <w:t xml:space="preserve">The interface between NSW and CBRA, CBRA can access the LPCO applications and data through the LPCO Management service. CBRA users can review, update, create, approve/reject LPCO, check and release quantity. </w:t>
      </w:r>
    </w:p>
    <w:p w14:paraId="3E940E4B" w14:textId="77777777" w:rsidR="00157AAA" w:rsidRDefault="006C1BE5">
      <w:pPr>
        <w:spacing w:after="0"/>
        <w:jc w:val="left"/>
        <w:rPr>
          <w:rFonts w:ascii="Times New Roman Bold" w:hAnsi="Times New Roman Bold"/>
          <w:b/>
          <w:sz w:val="28"/>
        </w:rPr>
      </w:pPr>
      <w:r>
        <w:br w:type="page" w:clear="all"/>
      </w:r>
    </w:p>
    <w:p w14:paraId="50F53AF2" w14:textId="77777777" w:rsidR="00157AAA" w:rsidRDefault="006C1BE5">
      <w:pPr>
        <w:pStyle w:val="Head5a2"/>
      </w:pPr>
      <w:bookmarkStart w:id="738" w:name="_Toc145658531"/>
      <w:r>
        <w:lastRenderedPageBreak/>
        <w:t>2.4</w:t>
      </w:r>
      <w:r>
        <w:tab/>
        <w:t>Training and Training Materials</w:t>
      </w:r>
      <w:bookmarkEnd w:id="738"/>
    </w:p>
    <w:p w14:paraId="6AE33EBD" w14:textId="77777777" w:rsidR="00157AAA" w:rsidRDefault="006C1BE5">
      <w:pPr>
        <w:ind w:left="1440" w:hanging="720"/>
      </w:pPr>
      <w:r>
        <w:t>2.4.1</w:t>
      </w:r>
      <w:r>
        <w:tab/>
        <w:t xml:space="preserve">The Supplier MUST provide the following Training Services and Materials for the training that will be delivered to beneficiary agency (training program, materials for trainers, scenarios for exercises, evaluation sheets, data base of questions for knowledge tests, etc.). </w:t>
      </w:r>
      <w:proofErr w:type="gramStart"/>
      <w:r>
        <w:t>Trainings</w:t>
      </w:r>
      <w:proofErr w:type="gramEnd"/>
      <w:r>
        <w:t xml:space="preserve"> should include two levels of evaluations, reflection of the participants regarding training (Level 1) and knowledge tests after completing training (Level 2).</w:t>
      </w:r>
    </w:p>
    <w:p w14:paraId="097842B2" w14:textId="77777777" w:rsidR="00157AAA" w:rsidRDefault="006C1BE5" w:rsidP="001136D3">
      <w:pPr>
        <w:spacing w:after="0"/>
        <w:rPr>
          <w:b/>
        </w:rPr>
      </w:pPr>
      <w:r>
        <w:rPr>
          <w:b/>
        </w:rPr>
        <w:t xml:space="preserve">2.4.1.1 The Supplier must provide training to the NSW system </w:t>
      </w:r>
      <w:proofErr w:type="gramStart"/>
      <w:r>
        <w:rPr>
          <w:b/>
        </w:rPr>
        <w:t>administrators</w:t>
      </w:r>
      <w:proofErr w:type="gramEnd"/>
      <w:r>
        <w:rPr>
          <w:b/>
        </w:rPr>
        <w:t xml:space="preserve"> </w:t>
      </w:r>
    </w:p>
    <w:p w14:paraId="65A35AAA" w14:textId="77777777" w:rsidR="00157AAA" w:rsidRDefault="006C1BE5" w:rsidP="001136D3">
      <w:pPr>
        <w:spacing w:after="0"/>
        <w:rPr>
          <w:szCs w:val="24"/>
        </w:rPr>
      </w:pPr>
      <w:r>
        <w:rPr>
          <w:szCs w:val="22"/>
        </w:rPr>
        <w:t>Supplier</w:t>
      </w:r>
      <w:r>
        <w:rPr>
          <w:szCs w:val="24"/>
        </w:rPr>
        <w:t xml:space="preserve"> must provide sufficient training to the NSW system administrators to enable them to ensure and fully support NSW operation since the roll-out. Training manual and tool should be implemented in the Training environment for on-line training of single window business officers.</w:t>
      </w:r>
    </w:p>
    <w:p w14:paraId="46DA07D8" w14:textId="77777777" w:rsidR="00157AAA" w:rsidRDefault="00157AAA" w:rsidP="001136D3">
      <w:pPr>
        <w:spacing w:after="0"/>
        <w:rPr>
          <w:b/>
          <w:sz w:val="10"/>
          <w:szCs w:val="10"/>
        </w:rPr>
      </w:pPr>
    </w:p>
    <w:p w14:paraId="356BCC60" w14:textId="77777777" w:rsidR="00157AAA" w:rsidRDefault="006C1BE5" w:rsidP="001136D3">
      <w:pPr>
        <w:spacing w:after="0"/>
        <w:rPr>
          <w:b/>
        </w:rPr>
      </w:pPr>
      <w:r>
        <w:rPr>
          <w:b/>
        </w:rPr>
        <w:t xml:space="preserve">2.4.1.2 The Supplier must provide training for developing Help Desk System Administrator </w:t>
      </w:r>
      <w:proofErr w:type="gramStart"/>
      <w:r>
        <w:rPr>
          <w:b/>
        </w:rPr>
        <w:t>skills</w:t>
      </w:r>
      <w:proofErr w:type="gramEnd"/>
    </w:p>
    <w:p w14:paraId="038C4FBA" w14:textId="77777777" w:rsidR="00157AAA" w:rsidRDefault="006C1BE5" w:rsidP="001136D3">
      <w:pPr>
        <w:pStyle w:val="ListBullet"/>
        <w:numPr>
          <w:ilvl w:val="0"/>
          <w:numId w:val="0"/>
        </w:numPr>
        <w:tabs>
          <w:tab w:val="left" w:pos="720"/>
        </w:tabs>
        <w:spacing w:after="0"/>
        <w:rPr>
          <w:szCs w:val="24"/>
        </w:rPr>
      </w:pPr>
      <w:r>
        <w:rPr>
          <w:szCs w:val="24"/>
        </w:rPr>
        <w:t xml:space="preserve">The iterative implementation should be planned for gradual releases of service containers and ABBs from the development environment to the test environment, and finally moving them to the production environment providing Release Management and regression testing. On each delivery to the production environment the </w:t>
      </w:r>
      <w:r>
        <w:rPr>
          <w:szCs w:val="22"/>
        </w:rPr>
        <w:t>Supplier</w:t>
      </w:r>
      <w:r>
        <w:rPr>
          <w:szCs w:val="24"/>
        </w:rPr>
        <w:t xml:space="preserve"> must provide sufficient training to the NSW system administrators to enable them to ensure and fully support SDMS operation since the initial roll-out. A backup policy and automatized restoring procedure for the Help Desk database must be developed by the </w:t>
      </w:r>
      <w:r>
        <w:rPr>
          <w:szCs w:val="22"/>
        </w:rPr>
        <w:t>Supplier</w:t>
      </w:r>
      <w:r>
        <w:rPr>
          <w:szCs w:val="24"/>
        </w:rPr>
        <w:t xml:space="preserve"> while established, </w:t>
      </w:r>
      <w:proofErr w:type="gramStart"/>
      <w:r>
        <w:rPr>
          <w:szCs w:val="24"/>
        </w:rPr>
        <w:t>followed</w:t>
      </w:r>
      <w:proofErr w:type="gramEnd"/>
      <w:r>
        <w:rPr>
          <w:szCs w:val="24"/>
        </w:rPr>
        <w:t xml:space="preserve"> and mastered by the NSW system administrators. </w:t>
      </w:r>
    </w:p>
    <w:p w14:paraId="38DB45AC" w14:textId="77777777" w:rsidR="00157AAA" w:rsidRDefault="00157AAA" w:rsidP="001136D3">
      <w:pPr>
        <w:spacing w:after="0"/>
        <w:rPr>
          <w:b/>
          <w:sz w:val="10"/>
          <w:szCs w:val="10"/>
        </w:rPr>
      </w:pPr>
    </w:p>
    <w:p w14:paraId="4F0CACAD" w14:textId="77777777" w:rsidR="00157AAA" w:rsidRDefault="006C1BE5" w:rsidP="001136D3">
      <w:pPr>
        <w:spacing w:after="0"/>
      </w:pPr>
      <w:r>
        <w:rPr>
          <w:b/>
        </w:rPr>
        <w:t xml:space="preserve">2.4.1.3 The Supplier must provide training for developing Digital Signing and Validation administrator </w:t>
      </w:r>
      <w:proofErr w:type="gramStart"/>
      <w:r>
        <w:rPr>
          <w:b/>
        </w:rPr>
        <w:t>skills</w:t>
      </w:r>
      <w:proofErr w:type="gramEnd"/>
      <w:r>
        <w:t xml:space="preserve"> </w:t>
      </w:r>
    </w:p>
    <w:p w14:paraId="344956D8" w14:textId="77777777" w:rsidR="00157AAA" w:rsidRDefault="006C1BE5" w:rsidP="001136D3">
      <w:pPr>
        <w:spacing w:after="0"/>
      </w:pPr>
      <w:r>
        <w:t xml:space="preserve">The supplier must provide sufficient training to the digital signing and validation administrators, including, but not limited </w:t>
      </w:r>
      <w:proofErr w:type="gramStart"/>
      <w:r>
        <w:t>to:</w:t>
      </w:r>
      <w:proofErr w:type="gramEnd"/>
      <w:r>
        <w:t xml:space="preserve">  provide an overview of the Digital Signing System, including its purpose, components, and functionality.</w:t>
      </w:r>
      <w:r>
        <w:rPr>
          <w:rFonts w:ascii="Segoe UI" w:hAnsi="Segoe UI" w:cs="Segoe UI"/>
          <w:color w:val="D1D5DB"/>
          <w:szCs w:val="24"/>
        </w:rPr>
        <w:t xml:space="preserve"> </w:t>
      </w:r>
      <w:r>
        <w:t>Train administrators on the digital signing process, on mechanisms used to verify the integrity and authenticity of digitally signed documents, on managing digital certificates used for digital signing and validation and user authentication mechanisms within the Digital Signing System. Educate administrators on the legal and regulatory requirements related to digital signatures and document integrity. Train administrators on designing and optimizing the Digital Signing System for scalability and high performance, on implementing robust security measures and on monitoring the Digital Signing System.</w:t>
      </w:r>
    </w:p>
    <w:p w14:paraId="7C9568D1" w14:textId="77777777" w:rsidR="00157AAA" w:rsidRDefault="00157AAA" w:rsidP="001136D3">
      <w:pPr>
        <w:spacing w:after="0"/>
        <w:rPr>
          <w:b/>
          <w:sz w:val="10"/>
          <w:szCs w:val="10"/>
        </w:rPr>
      </w:pPr>
    </w:p>
    <w:p w14:paraId="0AE31DA7" w14:textId="77777777" w:rsidR="00157AAA" w:rsidRDefault="006C1BE5" w:rsidP="001136D3">
      <w:pPr>
        <w:spacing w:after="0"/>
        <w:rPr>
          <w:b/>
        </w:rPr>
      </w:pPr>
      <w:r>
        <w:rPr>
          <w:b/>
        </w:rPr>
        <w:t>2.4.1.4</w:t>
      </w:r>
      <w:r>
        <w:t xml:space="preserve"> </w:t>
      </w:r>
      <w:r>
        <w:rPr>
          <w:b/>
        </w:rPr>
        <w:t xml:space="preserve">The Supplier must provide training for developing payment administrator </w:t>
      </w:r>
      <w:proofErr w:type="gramStart"/>
      <w:r>
        <w:rPr>
          <w:b/>
        </w:rPr>
        <w:t>skills</w:t>
      </w:r>
      <w:proofErr w:type="gramEnd"/>
    </w:p>
    <w:p w14:paraId="45F54FBB" w14:textId="77777777" w:rsidR="00157AAA" w:rsidRDefault="006C1BE5" w:rsidP="001136D3">
      <w:pPr>
        <w:spacing w:after="0"/>
      </w:pPr>
      <w:r>
        <w:t xml:space="preserve">The supplier must provide sufficient training to the payment administrators, including, but not limited </w:t>
      </w:r>
      <w:proofErr w:type="gramStart"/>
      <w:r>
        <w:t>to:</w:t>
      </w:r>
      <w:proofErr w:type="gramEnd"/>
      <w:r>
        <w:t xml:space="preserve">  provide training on processing of various types of payments, on implementing robust security measures to protect sensitive payment data, on utilizing the Payment Service for billing and invoicing functionalities, on tracking payment transactions and reconciling them with invoices or orders and on utilizing reporting and analytics capabilities.</w:t>
      </w:r>
    </w:p>
    <w:p w14:paraId="6F009E62" w14:textId="77777777" w:rsidR="00157AAA" w:rsidRDefault="006C1BE5" w:rsidP="001136D3">
      <w:pPr>
        <w:spacing w:after="0"/>
        <w:rPr>
          <w:b/>
          <w:bCs/>
        </w:rPr>
      </w:pPr>
      <w:r>
        <w:rPr>
          <w:b/>
          <w:bCs/>
        </w:rPr>
        <w:t xml:space="preserve">2.4.1.5 The Supplier must provide training for developing Risk Management administrator </w:t>
      </w:r>
      <w:proofErr w:type="gramStart"/>
      <w:r>
        <w:rPr>
          <w:b/>
          <w:bCs/>
        </w:rPr>
        <w:t>skills</w:t>
      </w:r>
      <w:proofErr w:type="gramEnd"/>
    </w:p>
    <w:p w14:paraId="05C9138F" w14:textId="77777777" w:rsidR="00157AAA" w:rsidRDefault="006C1BE5" w:rsidP="001136D3">
      <w:pPr>
        <w:spacing w:after="0"/>
      </w:pPr>
      <w:r>
        <w:lastRenderedPageBreak/>
        <w:t xml:space="preserve">The supplier </w:t>
      </w:r>
      <w:proofErr w:type="gramStart"/>
      <w:r>
        <w:t>should must</w:t>
      </w:r>
      <w:proofErr w:type="gramEnd"/>
      <w:r>
        <w:t xml:space="preserve"> provide sufficient training to the data warehouse administrators, including, but not limited to: capturing and identifying risks relevant to the NSW Risk Management process, risk assessment methodologies and tools, continuous risk monitoring, utilizing and implementing security measures. </w:t>
      </w:r>
    </w:p>
    <w:p w14:paraId="0E001577" w14:textId="77777777" w:rsidR="00157AAA" w:rsidRDefault="00157AAA" w:rsidP="001136D3">
      <w:pPr>
        <w:spacing w:after="0"/>
      </w:pPr>
    </w:p>
    <w:p w14:paraId="344438C5" w14:textId="77777777" w:rsidR="00157AAA" w:rsidRDefault="006C1BE5" w:rsidP="001136D3">
      <w:pPr>
        <w:spacing w:after="0"/>
        <w:rPr>
          <w:b/>
          <w:bCs/>
        </w:rPr>
      </w:pPr>
      <w:r>
        <w:rPr>
          <w:b/>
          <w:bCs/>
        </w:rPr>
        <w:t xml:space="preserve">2.4.1.6 The Supplier must provide training for developing Business Monitoring and Reporting administrator </w:t>
      </w:r>
      <w:proofErr w:type="gramStart"/>
      <w:r>
        <w:rPr>
          <w:b/>
          <w:bCs/>
        </w:rPr>
        <w:t>skills</w:t>
      </w:r>
      <w:proofErr w:type="gramEnd"/>
    </w:p>
    <w:p w14:paraId="38429C6F" w14:textId="77777777" w:rsidR="00157AAA" w:rsidRDefault="006C1BE5" w:rsidP="001136D3">
      <w:pPr>
        <w:spacing w:after="0"/>
      </w:pPr>
      <w:r>
        <w:t xml:space="preserve">The supplier </w:t>
      </w:r>
      <w:proofErr w:type="gramStart"/>
      <w:r>
        <w:t>should must</w:t>
      </w:r>
      <w:proofErr w:type="gramEnd"/>
      <w:r>
        <w:t xml:space="preserve"> provide sufficient training to the data warehouse administrators, including, but not limited to: provide an overview of the purpose and importance of business monitoring and reporting, identifying the business metrics that need to be monitored and reported, provide training on customization of predefined dashboards and reports, generating reports that provide insights into past performance.</w:t>
      </w:r>
    </w:p>
    <w:p w14:paraId="6E781102" w14:textId="77777777" w:rsidR="00157AAA" w:rsidRDefault="00157AAA" w:rsidP="001136D3">
      <w:pPr>
        <w:spacing w:after="0"/>
      </w:pPr>
    </w:p>
    <w:p w14:paraId="0F316CE5" w14:textId="77777777" w:rsidR="00157AAA" w:rsidRDefault="006C1BE5" w:rsidP="001136D3">
      <w:pPr>
        <w:spacing w:after="0"/>
        <w:rPr>
          <w:b/>
          <w:bCs/>
        </w:rPr>
      </w:pPr>
      <w:r>
        <w:rPr>
          <w:b/>
          <w:bCs/>
        </w:rPr>
        <w:t xml:space="preserve">2.4.1.7 The Supplier must provide training for developing Service Monitoring and Reporting administrator </w:t>
      </w:r>
      <w:proofErr w:type="gramStart"/>
      <w:r>
        <w:rPr>
          <w:b/>
          <w:bCs/>
        </w:rPr>
        <w:t>skills</w:t>
      </w:r>
      <w:proofErr w:type="gramEnd"/>
    </w:p>
    <w:p w14:paraId="762B47B5" w14:textId="77777777" w:rsidR="00157AAA" w:rsidRDefault="006C1BE5" w:rsidP="001136D3">
      <w:pPr>
        <w:spacing w:after="0"/>
      </w:pPr>
      <w:r>
        <w:t xml:space="preserve">The supplier </w:t>
      </w:r>
      <w:proofErr w:type="gramStart"/>
      <w:r>
        <w:t>should must</w:t>
      </w:r>
      <w:proofErr w:type="gramEnd"/>
      <w:r>
        <w:t xml:space="preserve"> provide sufficient training to the data warehouse administrators, including, but not limited to: Provide an overview of the purpose and significance of service monitoring and reporting, identifying the relevant service metrics that need to be monitored and reported, customizing predefined dashboards and reports, integrating data sources, updating dashboards, generating reports that provide insights into historical data, trends and patterns.</w:t>
      </w:r>
    </w:p>
    <w:p w14:paraId="756AE5A2" w14:textId="77777777" w:rsidR="00157AAA" w:rsidRDefault="00157AAA" w:rsidP="001136D3">
      <w:pPr>
        <w:spacing w:after="0"/>
      </w:pPr>
    </w:p>
    <w:p w14:paraId="20F873DC" w14:textId="77777777" w:rsidR="00157AAA" w:rsidRDefault="006C1BE5" w:rsidP="001136D3">
      <w:pPr>
        <w:spacing w:after="0"/>
        <w:rPr>
          <w:b/>
          <w:bCs/>
        </w:rPr>
      </w:pPr>
      <w:r>
        <w:rPr>
          <w:b/>
          <w:bCs/>
        </w:rPr>
        <w:t xml:space="preserve">2.4.1.8 The Supplier must provide training for developing System Monitoring and Reporting administrator </w:t>
      </w:r>
      <w:proofErr w:type="gramStart"/>
      <w:r>
        <w:rPr>
          <w:b/>
          <w:bCs/>
        </w:rPr>
        <w:t>skills</w:t>
      </w:r>
      <w:proofErr w:type="gramEnd"/>
    </w:p>
    <w:p w14:paraId="76818A12" w14:textId="77777777" w:rsidR="00157AAA" w:rsidRDefault="006C1BE5" w:rsidP="001136D3">
      <w:pPr>
        <w:spacing w:after="0"/>
      </w:pPr>
      <w:r>
        <w:t>The supplier should must provide sufficient training to the data warehouse administrators, including, but not limited to: Provide an overview of the importance and purpose of system monitoring and reporting in maintaining system performance and stability, identifying the critical system metrics that need to be monitored and reported, developing and customizing predefined dashboards and reports for system monitoring, generating reports that provide insights into historical system data, such as CPU and memory usage over time, integrating data sources, updating dashboards, and ensuring data accuracy for timely system analysis.</w:t>
      </w:r>
    </w:p>
    <w:p w14:paraId="629ADBDC" w14:textId="77777777" w:rsidR="00157AAA" w:rsidRDefault="00157AAA" w:rsidP="001136D3">
      <w:pPr>
        <w:spacing w:after="0"/>
      </w:pPr>
    </w:p>
    <w:p w14:paraId="69F1628F" w14:textId="77777777" w:rsidR="00157AAA" w:rsidRDefault="006C1BE5" w:rsidP="001136D3">
      <w:pPr>
        <w:spacing w:after="0"/>
        <w:rPr>
          <w:b/>
          <w:bCs/>
        </w:rPr>
      </w:pPr>
      <w:r>
        <w:rPr>
          <w:b/>
          <w:bCs/>
        </w:rPr>
        <w:t xml:space="preserve">2.4.1.9 The Supplier must provide training for developing Alerting administrator </w:t>
      </w:r>
      <w:proofErr w:type="gramStart"/>
      <w:r>
        <w:rPr>
          <w:b/>
          <w:bCs/>
        </w:rPr>
        <w:t>skills</w:t>
      </w:r>
      <w:proofErr w:type="gramEnd"/>
    </w:p>
    <w:p w14:paraId="6C5EE768" w14:textId="77777777" w:rsidR="00157AAA" w:rsidRDefault="006C1BE5" w:rsidP="001136D3">
      <w:pPr>
        <w:spacing w:after="0"/>
      </w:pPr>
      <w:r>
        <w:t>The supplier should must provide sufficient training to the data warehouse administrators, including, but not limited to: overview of the importance of alerting systems in monitoring critical system metrics and ensuring timely response to potential issues, on the concept of thresholds and how they are used to determine when an alert should be triggered, configuration process for setting up alerts, identifying the appropriate recipients for alerts based on the nature of the issue, configuring alert conditions for business and service monitoring based on predefined criteria, simulating scenarios to verify that alerts are triggered correctly based on defined thresholds.</w:t>
      </w:r>
    </w:p>
    <w:p w14:paraId="0FE06A5C" w14:textId="77777777" w:rsidR="00157AAA" w:rsidRDefault="00157AAA" w:rsidP="001136D3">
      <w:pPr>
        <w:spacing w:after="0"/>
      </w:pPr>
    </w:p>
    <w:p w14:paraId="2F5CFC5A" w14:textId="77777777" w:rsidR="00157AAA" w:rsidRDefault="006C1BE5" w:rsidP="001136D3">
      <w:pPr>
        <w:spacing w:after="0"/>
        <w:rPr>
          <w:b/>
          <w:bCs/>
        </w:rPr>
      </w:pPr>
      <w:r>
        <w:rPr>
          <w:b/>
          <w:bCs/>
        </w:rPr>
        <w:t>2.4.1.10 The supplier must provide training for the NSW Trader Interface</w:t>
      </w:r>
    </w:p>
    <w:p w14:paraId="1D49D3A0" w14:textId="77777777" w:rsidR="00157AAA" w:rsidRDefault="006C1BE5" w:rsidP="001136D3">
      <w:pPr>
        <w:spacing w:after="0"/>
      </w:pPr>
      <w:r>
        <w:t xml:space="preserve">The supplier must provide 2 days of training for the NSW Trader Interface: This training focuses on familiarizing traders with the NSW trader interface. Participants will learn how </w:t>
      </w:r>
      <w:r>
        <w:lastRenderedPageBreak/>
        <w:t>to efficiently navigate the interface, submit relevant documents, and engage with the NSW system to streamline their trade activities. The training audience will be the participants</w:t>
      </w:r>
      <w:proofErr w:type="gramStart"/>
      <w:r>
        <w:t xml:space="preserve"> The</w:t>
      </w:r>
      <w:proofErr w:type="gramEnd"/>
      <w:r>
        <w:t xml:space="preserve"> supplier will be responsible for providing location, equipment, and other requirements. An additional list of participants attending the training will be provided to the supplier before the training event.</w:t>
      </w:r>
    </w:p>
    <w:p w14:paraId="34486D2E" w14:textId="77777777" w:rsidR="00157AAA" w:rsidRDefault="006C1BE5" w:rsidP="001136D3">
      <w:pPr>
        <w:spacing w:after="0"/>
        <w:rPr>
          <w:b/>
          <w:bCs/>
        </w:rPr>
      </w:pPr>
      <w:r>
        <w:rPr>
          <w:b/>
          <w:bCs/>
        </w:rPr>
        <w:t>2.4.1.11 The supplier must provide training for the NSW CBRA Interface</w:t>
      </w:r>
    </w:p>
    <w:p w14:paraId="59913F32" w14:textId="77777777" w:rsidR="00157AAA" w:rsidRDefault="006C1BE5" w:rsidP="001136D3">
      <w:pPr>
        <w:spacing w:after="0"/>
      </w:pPr>
      <w:r>
        <w:t>The supplier must provide 2 days of training for the NSW CBRA Interface: This training caters to Customs Broker and Regulatory Agency (CBRA) staff, equipping them with the knowledge and skills to effectively utilize the NSW CBRA interface. Participants will learn how to comply with regulatory requirements, facilitate customs clearance processes, and leverage the NSW system to enhance their CBRA operations. The supplier will be responsible for providing location, equipment, and other requirements. An additional list of participants attending the training will be provided to the supplier before the training event.</w:t>
      </w:r>
    </w:p>
    <w:p w14:paraId="343257ED" w14:textId="77777777" w:rsidR="00157AAA" w:rsidRDefault="00157AAA" w:rsidP="001136D3">
      <w:pPr>
        <w:spacing w:after="0"/>
      </w:pPr>
    </w:p>
    <w:p w14:paraId="0A63F51E" w14:textId="77777777" w:rsidR="00157AAA" w:rsidRDefault="006C1BE5" w:rsidP="001136D3">
      <w:pPr>
        <w:spacing w:after="0"/>
        <w:rPr>
          <w:b/>
          <w:bCs/>
        </w:rPr>
      </w:pPr>
      <w:r>
        <w:rPr>
          <w:b/>
          <w:bCs/>
        </w:rPr>
        <w:t>2.4.1.12 The supplier must provide training for the NSW Module for Border Inspection Staff</w:t>
      </w:r>
    </w:p>
    <w:p w14:paraId="37BF4775" w14:textId="77777777" w:rsidR="00157AAA" w:rsidRDefault="006C1BE5" w:rsidP="001136D3">
      <w:pPr>
        <w:spacing w:after="0"/>
      </w:pPr>
      <w:r>
        <w:t>The supplier must provide 2 days of training for the NSW Module for Border Inspection Staff: This training is designed for border inspection staff, providing them with a comprehensive understanding of the NSW module specifically tailored to their roles. It covers topics such as risk assessment, inspection procedures, and how to leverage the NSW system to optimize inspection activities. The supplier will be responsible for providing location, equipment, and other requirements. An additional list of participants attending the training will be provided to the supplier before the training event.</w:t>
      </w:r>
    </w:p>
    <w:p w14:paraId="402518E3" w14:textId="77777777" w:rsidR="00157AAA" w:rsidRDefault="00157AAA" w:rsidP="001136D3">
      <w:pPr>
        <w:spacing w:after="0"/>
      </w:pPr>
    </w:p>
    <w:p w14:paraId="6A389DF2" w14:textId="77777777" w:rsidR="00157AAA" w:rsidRDefault="006C1BE5" w:rsidP="001136D3">
      <w:pPr>
        <w:spacing w:after="0"/>
        <w:rPr>
          <w:b/>
          <w:bCs/>
        </w:rPr>
      </w:pPr>
      <w:r>
        <w:rPr>
          <w:b/>
          <w:bCs/>
        </w:rPr>
        <w:t xml:space="preserve">2.4.1.13 The supplier must provide, NSW Import Data and Data Sharing Service </w:t>
      </w:r>
      <w:proofErr w:type="gramStart"/>
      <w:r>
        <w:rPr>
          <w:b/>
          <w:bCs/>
        </w:rPr>
        <w:t>training</w:t>
      </w:r>
      <w:proofErr w:type="gramEnd"/>
    </w:p>
    <w:p w14:paraId="191032D2" w14:textId="77777777" w:rsidR="00157AAA" w:rsidRDefault="006C1BE5" w:rsidP="001136D3">
      <w:pPr>
        <w:spacing w:after="0"/>
      </w:pPr>
      <w:r>
        <w:t>The supplier must provide ½ day, NSW Import Data and Data Sharing Service training: This training focuses on NSW import data and the Data Sharing Service. Participants will learn how to access and utilize import data effectively for decision-making, data analysis, and trade facilitation purposes. The supplier will be responsible for providing location, equipment, and other requirements. An additional list of participants attending the training will be provided to the supplier before the training event.</w:t>
      </w:r>
    </w:p>
    <w:p w14:paraId="1D7A56F7" w14:textId="77777777" w:rsidR="00157AAA" w:rsidRDefault="00157AAA" w:rsidP="001136D3">
      <w:pPr>
        <w:spacing w:after="0"/>
      </w:pPr>
    </w:p>
    <w:p w14:paraId="79670FCD" w14:textId="77777777" w:rsidR="00157AAA" w:rsidRDefault="006C1BE5" w:rsidP="001136D3">
      <w:pPr>
        <w:spacing w:after="0"/>
        <w:rPr>
          <w:b/>
          <w:bCs/>
        </w:rPr>
      </w:pPr>
      <w:r>
        <w:rPr>
          <w:b/>
          <w:bCs/>
        </w:rPr>
        <w:t>2.4.1.14 The supplier must provide training for the NSW Reporting Service</w:t>
      </w:r>
    </w:p>
    <w:p w14:paraId="01D63605" w14:textId="77777777" w:rsidR="00157AAA" w:rsidRDefault="006C1BE5" w:rsidP="001136D3">
      <w:pPr>
        <w:spacing w:after="0"/>
      </w:pPr>
      <w:r>
        <w:t>The supplier must provide 2 days of training for the NSW Reporting Service: This training equips participants with the skills to generate reports using the NSW reporting service. They will learn how to extract relevant data, create customized reports, and derive valuable insights to support operational and strategic decision-making. The supplier will be responsible for providing location, equipment, and other requirements. An additional list of participants attending the training will be provided to the supplier before the training event.</w:t>
      </w:r>
    </w:p>
    <w:p w14:paraId="11E30BC0" w14:textId="77777777" w:rsidR="00157AAA" w:rsidRDefault="00157AAA" w:rsidP="001136D3">
      <w:pPr>
        <w:spacing w:after="0"/>
      </w:pPr>
    </w:p>
    <w:p w14:paraId="4E46857D" w14:textId="77777777" w:rsidR="00157AAA" w:rsidRDefault="006C1BE5" w:rsidP="001136D3">
      <w:pPr>
        <w:spacing w:after="0"/>
        <w:rPr>
          <w:b/>
          <w:bCs/>
        </w:rPr>
      </w:pPr>
      <w:r>
        <w:rPr>
          <w:b/>
          <w:bCs/>
        </w:rPr>
        <w:t>2.4.1.15 The supplier must provide training for the NSW Risk Management</w:t>
      </w:r>
    </w:p>
    <w:p w14:paraId="027BFADC" w14:textId="77777777" w:rsidR="00157AAA" w:rsidRDefault="006C1BE5" w:rsidP="001136D3">
      <w:pPr>
        <w:spacing w:after="0"/>
      </w:pPr>
      <w:r>
        <w:t xml:space="preserve">The supplier must provide 2 days of training for the NSW Risk Management: This training specifically focuses on risk management within the NSW system. Participants will gain </w:t>
      </w:r>
      <w:r>
        <w:lastRenderedPageBreak/>
        <w:t>proficiency in utilizing the risk management functionalities offered by the NSW system, assessing risks associated with trade processes, and implementing appropriate risk mitigation measures Supplier will be responsible for providing location, equipment, and other requirements. An additional list of participants attending the training will be provided to the supplier before the training event.</w:t>
      </w:r>
    </w:p>
    <w:p w14:paraId="6953735B" w14:textId="77777777" w:rsidR="00157AAA" w:rsidRDefault="006C1BE5" w:rsidP="001136D3">
      <w:pPr>
        <w:spacing w:after="0"/>
      </w:pPr>
      <w:r>
        <w:t xml:space="preserve"> </w:t>
      </w:r>
    </w:p>
    <w:p w14:paraId="417D550F" w14:textId="77777777" w:rsidR="00157AAA" w:rsidRDefault="006C1BE5" w:rsidP="001136D3">
      <w:pPr>
        <w:spacing w:after="0"/>
        <w:rPr>
          <w:b/>
          <w:bCs/>
        </w:rPr>
      </w:pPr>
      <w:r>
        <w:rPr>
          <w:b/>
          <w:bCs/>
        </w:rPr>
        <w:t>2.4.1.16 The supplier must provide training for Preparing a Joint Inspection Plan through NSW</w:t>
      </w:r>
    </w:p>
    <w:p w14:paraId="0034F99E" w14:textId="77777777" w:rsidR="00157AAA" w:rsidRDefault="006C1BE5" w:rsidP="001136D3">
      <w:pPr>
        <w:spacing w:after="0"/>
      </w:pPr>
      <w:r>
        <w:t>The supplier must provide 2 days of training for Preparing a Joint Inspection Plan through NSW: This training guides participants on effective collaboration and joint inspection planning using the NSW system. It covers coordination, information sharing, and streamlining inspection activities to ensure efficiency and effectiveness. The supplier will be responsible for providing location, equipment, and other requirements in coordination with the Customs Office. An additional list of participants attending the training will be provided to the supplier before the training event.</w:t>
      </w:r>
    </w:p>
    <w:p w14:paraId="0B58DBB9" w14:textId="77777777" w:rsidR="00157AAA" w:rsidRDefault="00157AAA" w:rsidP="001136D3">
      <w:pPr>
        <w:spacing w:after="0"/>
        <w:rPr>
          <w:b/>
          <w:bCs/>
        </w:rPr>
      </w:pPr>
    </w:p>
    <w:p w14:paraId="6AF1F9F5" w14:textId="77777777" w:rsidR="00157AAA" w:rsidRDefault="006C1BE5" w:rsidP="001136D3">
      <w:pPr>
        <w:spacing w:after="0"/>
        <w:rPr>
          <w:b/>
          <w:bCs/>
        </w:rPr>
      </w:pPr>
      <w:r>
        <w:rPr>
          <w:b/>
          <w:bCs/>
        </w:rPr>
        <w:t>2.4.1.17 The supplier must provide training for Understanding and Mapping HS Codes</w:t>
      </w:r>
    </w:p>
    <w:p w14:paraId="600F2B99" w14:textId="77777777" w:rsidR="00157AAA" w:rsidRDefault="006C1BE5" w:rsidP="001136D3">
      <w:pPr>
        <w:spacing w:after="0"/>
      </w:pPr>
      <w:r>
        <w:t>The supplier must provide 1 day of training for Understanding and Mapping HS Codes: This training provides participants with a comprehensive understanding of Harmonized System (HS) codes and their significance within the NSW system. Participants will learn how to accurately classify goods, map HS codes, and ensure compliance with trade regulations. The supplier will be responsible for providing location, equipment, and other requirements in coordination with the Customs Office. An additional list of participants attending the training will be provided to the supplier before the training event.</w:t>
      </w:r>
    </w:p>
    <w:p w14:paraId="41086406" w14:textId="77777777" w:rsidR="00157AAA" w:rsidRDefault="00157AAA" w:rsidP="001136D3">
      <w:pPr>
        <w:spacing w:after="0"/>
      </w:pPr>
    </w:p>
    <w:p w14:paraId="79F2130B" w14:textId="77777777" w:rsidR="00157AAA" w:rsidRDefault="006C1BE5" w:rsidP="001136D3">
      <w:pPr>
        <w:spacing w:after="0"/>
        <w:rPr>
          <w:b/>
          <w:bCs/>
        </w:rPr>
      </w:pPr>
      <w:r>
        <w:rPr>
          <w:b/>
          <w:bCs/>
        </w:rPr>
        <w:t>2.4.1.18 The supplier must provide training for Risk Management (RM) Awareness Training for Staff</w:t>
      </w:r>
    </w:p>
    <w:p w14:paraId="56D1772B" w14:textId="77777777" w:rsidR="00157AAA" w:rsidRDefault="006C1BE5" w:rsidP="001136D3">
      <w:pPr>
        <w:spacing w:after="0"/>
      </w:pPr>
      <w:r>
        <w:t xml:space="preserve">The supplier must provide 2 days of training </w:t>
      </w:r>
      <w:proofErr w:type="gramStart"/>
      <w:r>
        <w:t>for</w:t>
      </w:r>
      <w:proofErr w:type="gramEnd"/>
      <w:r>
        <w:t xml:space="preserve"> Risk Management (RM) Awareness Training for Staff: This training aims to raise awareness among staff members about the importance of risk management within the NSW system. It provides an overview of risk management principles, their role in operational efficiency, and how staff members can contribute to effective risk management practices. The supplier will be responsible for providing location, equipment, and other requirements. An additional list of participants attending the training will be provided to the supplier before the training event.</w:t>
      </w:r>
    </w:p>
    <w:p w14:paraId="3CD5954C" w14:textId="77777777" w:rsidR="00157AAA" w:rsidRDefault="00157AAA" w:rsidP="001136D3">
      <w:pPr>
        <w:spacing w:after="0"/>
      </w:pPr>
    </w:p>
    <w:p w14:paraId="68CD54EE" w14:textId="77777777" w:rsidR="00157AAA" w:rsidRDefault="006C1BE5" w:rsidP="001136D3">
      <w:pPr>
        <w:spacing w:after="0"/>
        <w:rPr>
          <w:b/>
          <w:bCs/>
        </w:rPr>
      </w:pPr>
      <w:r>
        <w:rPr>
          <w:b/>
          <w:bCs/>
        </w:rPr>
        <w:t>2.4.1.19 The supplier must provide training for Practical NSW RM Training, including Risk Profile Development</w:t>
      </w:r>
    </w:p>
    <w:p w14:paraId="284023E0" w14:textId="4AD665D2" w:rsidR="00157AAA" w:rsidRDefault="006C1BE5" w:rsidP="001136D3">
      <w:pPr>
        <w:spacing w:after="0"/>
      </w:pPr>
      <w:r>
        <w:t xml:space="preserve">The supplier must provide 2 days of training for Practical NSW RM Training, including Risk Profile Development: This training offers practical hands-on experience in NSW risk management. Participants will learn how to develop risk profiles, </w:t>
      </w:r>
      <w:proofErr w:type="gramStart"/>
      <w:r>
        <w:t>assess</w:t>
      </w:r>
      <w:proofErr w:type="gramEnd"/>
      <w:r>
        <w:t xml:space="preserve"> and mitigate risks, and effectively </w:t>
      </w:r>
      <w:proofErr w:type="gramStart"/>
      <w:r>
        <w:t>implement</w:t>
      </w:r>
      <w:proofErr w:type="gramEnd"/>
      <w:r>
        <w:t>. The supplier will be responsible for providing location, equipment, and other requirements. An additional list of participants attending the training will be provided to the supplier before the training event.</w:t>
      </w:r>
    </w:p>
    <w:p w14:paraId="1E0CF9D7" w14:textId="201EFA38" w:rsidR="00A306DC" w:rsidRDefault="00A306DC" w:rsidP="001136D3">
      <w:pPr>
        <w:spacing w:after="0"/>
      </w:pPr>
    </w:p>
    <w:p w14:paraId="0D303B1C" w14:textId="14DA2EF6" w:rsidR="009C72F0" w:rsidRPr="00E9291D" w:rsidRDefault="009D4C49" w:rsidP="009C72F0">
      <w:pPr>
        <w:rPr>
          <w:b/>
          <w:bCs/>
        </w:rPr>
      </w:pPr>
      <w:r w:rsidRPr="00E9291D">
        <w:rPr>
          <w:b/>
        </w:rPr>
        <w:lastRenderedPageBreak/>
        <w:t>2.4.</w:t>
      </w:r>
      <w:r w:rsidR="009C72F0" w:rsidRPr="00E9291D">
        <w:rPr>
          <w:b/>
        </w:rPr>
        <w:t>1.20</w:t>
      </w:r>
      <w:r w:rsidRPr="00E9291D">
        <w:rPr>
          <w:b/>
        </w:rPr>
        <w:t>.</w:t>
      </w:r>
      <w:r w:rsidRPr="00E9291D">
        <w:t xml:space="preserve"> </w:t>
      </w:r>
      <w:r w:rsidR="00E12AE0" w:rsidRPr="00E9291D">
        <w:rPr>
          <w:b/>
        </w:rPr>
        <w:t xml:space="preserve">The supplier must provide training for </w:t>
      </w:r>
      <w:r w:rsidR="009C72F0" w:rsidRPr="00E9291D">
        <w:rPr>
          <w:b/>
          <w:bCs/>
        </w:rPr>
        <w:t>Oracle DBA Database Administration.</w:t>
      </w:r>
    </w:p>
    <w:p w14:paraId="0E585F71" w14:textId="77777777" w:rsidR="009C72F0" w:rsidRDefault="009C72F0" w:rsidP="009C72F0">
      <w:r w:rsidRPr="00E9291D">
        <w:t xml:space="preserve">The supplier must provide training for Oracle Database: Administration Workshop Oracle, on how to create database storage structures appropriate for the business applications, how to create users and administer database security, information on backup and recovery techniques. The training </w:t>
      </w:r>
      <w:proofErr w:type="gramStart"/>
      <w:r w:rsidRPr="00E9291D">
        <w:t>need</w:t>
      </w:r>
      <w:proofErr w:type="gramEnd"/>
      <w:r w:rsidRPr="00E9291D">
        <w:t xml:space="preserve"> to provide the Oracle database </w:t>
      </w:r>
      <w:proofErr w:type="gramStart"/>
      <w:r w:rsidRPr="00E9291D">
        <w:t>administrator</w:t>
      </w:r>
      <w:proofErr w:type="gramEnd"/>
      <w:r w:rsidRPr="00E9291D">
        <w:t xml:space="preserve"> practical experience in administering, monitoring, tuning and troubleshooting an Oracle database.</w:t>
      </w:r>
    </w:p>
    <w:p w14:paraId="216F4604" w14:textId="6A8E082D" w:rsidR="00A306DC" w:rsidRPr="006240D7" w:rsidRDefault="00A306DC" w:rsidP="00A306DC">
      <w:pPr>
        <w:rPr>
          <w:highlight w:val="green"/>
        </w:rPr>
      </w:pPr>
    </w:p>
    <w:p w14:paraId="6DE72218" w14:textId="77777777" w:rsidR="00157AAA" w:rsidRDefault="006C1BE5">
      <w:pPr>
        <w:pStyle w:val="Head5a2"/>
        <w:rPr>
          <w:highlight w:val="yellow"/>
        </w:rPr>
      </w:pPr>
      <w:bookmarkStart w:id="739" w:name="_Toc145658532"/>
      <w:r>
        <w:t>2.5</w:t>
      </w:r>
      <w:r>
        <w:tab/>
        <w:t>Data Conversion and Migration</w:t>
      </w:r>
      <w:bookmarkEnd w:id="739"/>
    </w:p>
    <w:p w14:paraId="5713D7B9" w14:textId="77777777" w:rsidR="00157AAA" w:rsidRDefault="00157AAA">
      <w:pPr>
        <w:ind w:left="1440" w:hanging="720"/>
        <w:rPr>
          <w:highlight w:val="yellow"/>
        </w:rPr>
      </w:pPr>
    </w:p>
    <w:p w14:paraId="2F47A85A" w14:textId="77777777" w:rsidR="00157AAA" w:rsidRDefault="006C1BE5">
      <w:pPr>
        <w:ind w:left="1440" w:hanging="720"/>
        <w:rPr>
          <w:b/>
          <w:lang w:val="mk-MK"/>
        </w:rPr>
      </w:pPr>
      <w:r>
        <w:rPr>
          <w:b/>
        </w:rPr>
        <w:t>2.5.1 T</w:t>
      </w:r>
      <w:r>
        <w:rPr>
          <w:b/>
          <w:lang w:val="mk-MK"/>
        </w:rPr>
        <w:t>he Supplier is required to provide Data Conversion and Migration Services according to the following specifications:</w:t>
      </w:r>
    </w:p>
    <w:p w14:paraId="6B125DDC" w14:textId="77777777" w:rsidR="00157AAA" w:rsidRDefault="006C1BE5" w:rsidP="00D530D5">
      <w:pPr>
        <w:numPr>
          <w:ilvl w:val="0"/>
          <w:numId w:val="104"/>
        </w:numPr>
        <w:rPr>
          <w:lang w:val="mk-MK"/>
        </w:rPr>
      </w:pPr>
      <w:r>
        <w:rPr>
          <w:lang w:val="mk-MK"/>
        </w:rPr>
        <w:t>Volume of data: The Supplier should specify the volume of data to be converted and migrated. This includes the total amount of data from the CDPS</w:t>
      </w:r>
      <w:r>
        <w:t>, NCTS</w:t>
      </w:r>
      <w:r>
        <w:rPr>
          <w:lang w:val="mk-MK"/>
        </w:rPr>
        <w:t xml:space="preserve"> and </w:t>
      </w:r>
      <w:r>
        <w:t>EXIM systems</w:t>
      </w:r>
      <w:r>
        <w:rPr>
          <w:lang w:val="mk-MK"/>
        </w:rPr>
        <w:t xml:space="preserve"> that needs to be transferred to the new system.</w:t>
      </w:r>
    </w:p>
    <w:p w14:paraId="3AA7A09B" w14:textId="77777777" w:rsidR="00157AAA" w:rsidRDefault="006C1BE5" w:rsidP="00D530D5">
      <w:pPr>
        <w:numPr>
          <w:ilvl w:val="0"/>
          <w:numId w:val="104"/>
        </w:numPr>
        <w:rPr>
          <w:lang w:val="mk-MK"/>
        </w:rPr>
      </w:pPr>
      <w:r>
        <w:rPr>
          <w:lang w:val="mk-MK"/>
        </w:rPr>
        <w:t xml:space="preserve">Type, structure, and media of data: The Supplier must identify the types of data involved in the conversion and migration process. This may include customer information, transactional data, product data, and any other relevant data types. The structure of the data should be analyzed to ensure compatibility with the </w:t>
      </w:r>
      <w:r>
        <w:t>NSW</w:t>
      </w:r>
      <w:r>
        <w:rPr>
          <w:lang w:val="mk-MK"/>
        </w:rPr>
        <w:t xml:space="preserve"> system. Additionally, the Supplier should clarify the media on which the data is currently stored (e.g., databases, files, etc.).</w:t>
      </w:r>
    </w:p>
    <w:p w14:paraId="4BC93280" w14:textId="77777777" w:rsidR="00157AAA" w:rsidRDefault="006C1BE5" w:rsidP="00D530D5">
      <w:pPr>
        <w:numPr>
          <w:ilvl w:val="0"/>
          <w:numId w:val="104"/>
        </w:numPr>
        <w:rPr>
          <w:lang w:val="mk-MK"/>
        </w:rPr>
      </w:pPr>
      <w:r>
        <w:rPr>
          <w:lang w:val="mk-MK"/>
        </w:rPr>
        <w:t>Timing of conversion: The Supplier should provide a detailed plan for the timing of the data conversion and migration process. This includes specifying the start and end dates of the conversion, as well as any interim milestones or deadlines. It is important to minimize downtime during the migration process to avoid disruption to business operations.</w:t>
      </w:r>
    </w:p>
    <w:p w14:paraId="00A32A53" w14:textId="77777777" w:rsidR="00157AAA" w:rsidRDefault="006C1BE5" w:rsidP="00D530D5">
      <w:pPr>
        <w:numPr>
          <w:ilvl w:val="0"/>
          <w:numId w:val="104"/>
        </w:numPr>
        <w:rPr>
          <w:lang w:val="mk-MK"/>
        </w:rPr>
      </w:pPr>
      <w:r>
        <w:rPr>
          <w:lang w:val="mk-MK"/>
        </w:rPr>
        <w:t>Quality assurance and validation methods: The Supplier must outline the quality assurance and validation methods they will employ during the data conversion and migration process. This involves ensuring the accuracy and integrity of the migrated data. The Supplier should describe their approach to data validation, including any automated or manual checks, data cleansing procedures, and verification techniques.</w:t>
      </w:r>
    </w:p>
    <w:p w14:paraId="0E9B731E" w14:textId="77777777" w:rsidR="00157AAA" w:rsidRDefault="006C1BE5" w:rsidP="00D530D5">
      <w:pPr>
        <w:numPr>
          <w:ilvl w:val="0"/>
          <w:numId w:val="104"/>
        </w:numPr>
        <w:rPr>
          <w:lang w:val="mk-MK"/>
        </w:rPr>
      </w:pPr>
      <w:r>
        <w:rPr>
          <w:lang w:val="mk-MK"/>
        </w:rPr>
        <w:t>Migration of users from CDPS</w:t>
      </w:r>
      <w:r>
        <w:t>, EXIM and</w:t>
      </w:r>
      <w:r>
        <w:rPr>
          <w:lang w:val="mk-MK"/>
        </w:rPr>
        <w:t xml:space="preserve"> NCTS</w:t>
      </w:r>
      <w:r>
        <w:t xml:space="preserve"> systems</w:t>
      </w:r>
      <w:r>
        <w:rPr>
          <w:lang w:val="mk-MK"/>
        </w:rPr>
        <w:t xml:space="preserve">: The Supplier is responsible for migrating user accounts and associated data from the CDPS </w:t>
      </w:r>
      <w:r>
        <w:t>EXIM</w:t>
      </w:r>
      <w:r>
        <w:rPr>
          <w:lang w:val="mk-MK"/>
        </w:rPr>
        <w:t xml:space="preserve"> and NCTS to the </w:t>
      </w:r>
      <w:r>
        <w:t>NSW</w:t>
      </w:r>
      <w:r>
        <w:rPr>
          <w:lang w:val="mk-MK"/>
        </w:rPr>
        <w:t xml:space="preserve"> system. This includes transferring user profiles, access rights, preferences, and any other relevant user-related information. The Supplier should provide a plan for migrating users seamlessly, ensuring their access to the new system without disruption.</w:t>
      </w:r>
    </w:p>
    <w:p w14:paraId="7C9C0BE1" w14:textId="77777777" w:rsidR="00157AAA" w:rsidRDefault="006C1BE5" w:rsidP="00D530D5">
      <w:pPr>
        <w:numPr>
          <w:ilvl w:val="0"/>
          <w:numId w:val="104"/>
        </w:numPr>
        <w:rPr>
          <w:lang w:val="mk-MK"/>
        </w:rPr>
      </w:pPr>
      <w:r>
        <w:rPr>
          <w:lang w:val="mk-MK"/>
        </w:rPr>
        <w:t xml:space="preserve">Migration of active certificates: If there are active certificates in the </w:t>
      </w:r>
      <w:r>
        <w:t>EXIM</w:t>
      </w:r>
      <w:r>
        <w:rPr>
          <w:lang w:val="mk-MK"/>
        </w:rPr>
        <w:t xml:space="preserve"> system, the Supplier must include provisions for migrating these </w:t>
      </w:r>
      <w:r>
        <w:t>LPCOs</w:t>
      </w:r>
      <w:r>
        <w:rPr>
          <w:lang w:val="mk-MK"/>
        </w:rPr>
        <w:t xml:space="preserve"> to the </w:t>
      </w:r>
      <w:r>
        <w:t>NSW</w:t>
      </w:r>
      <w:r>
        <w:rPr>
          <w:lang w:val="mk-MK"/>
        </w:rPr>
        <w:t xml:space="preserve"> </w:t>
      </w:r>
      <w:r>
        <w:rPr>
          <w:lang w:val="mk-MK"/>
        </w:rPr>
        <w:lastRenderedPageBreak/>
        <w:t xml:space="preserve">system. This involves transferring </w:t>
      </w:r>
      <w:r>
        <w:t>LPCO</w:t>
      </w:r>
      <w:r>
        <w:rPr>
          <w:lang w:val="mk-MK"/>
        </w:rPr>
        <w:t xml:space="preserve"> data, associated metadata, and ensuring the validity and integrity of the certificates during the migration process.</w:t>
      </w:r>
    </w:p>
    <w:p w14:paraId="0980B51C" w14:textId="77777777" w:rsidR="00157AAA" w:rsidRDefault="006C1BE5">
      <w:pPr>
        <w:pStyle w:val="Head5a2"/>
      </w:pPr>
      <w:bookmarkStart w:id="740" w:name="_Toc145658533"/>
      <w:r>
        <w:t>2.6</w:t>
      </w:r>
      <w:r>
        <w:tab/>
        <w:t>Documentation Requirements</w:t>
      </w:r>
      <w:bookmarkEnd w:id="740"/>
    </w:p>
    <w:p w14:paraId="780A4A94" w14:textId="77777777" w:rsidR="00157AAA" w:rsidRDefault="006C1BE5">
      <w:pPr>
        <w:ind w:left="1440" w:hanging="720"/>
        <w:rPr>
          <w:b/>
        </w:rPr>
      </w:pPr>
      <w:r>
        <w:rPr>
          <w:b/>
        </w:rPr>
        <w:t>2.6.1</w:t>
      </w:r>
      <w:r>
        <w:rPr>
          <w:b/>
        </w:rPr>
        <w:tab/>
        <w:t>The Supplier MUST prepare and provide the following Documentation:</w:t>
      </w:r>
    </w:p>
    <w:p w14:paraId="3DDC082D" w14:textId="77777777" w:rsidR="00157AAA" w:rsidRDefault="006C1BE5" w:rsidP="001136D3">
      <w:pPr>
        <w:spacing w:after="0"/>
        <w:ind w:left="2160" w:hanging="720"/>
        <w:rPr>
          <w:b/>
          <w:u w:val="single"/>
        </w:rPr>
      </w:pPr>
      <w:r>
        <w:rPr>
          <w:b/>
        </w:rPr>
        <w:t>2.6.1.1</w:t>
      </w:r>
      <w:r>
        <w:rPr>
          <w:b/>
        </w:rPr>
        <w:tab/>
      </w:r>
      <w:r>
        <w:rPr>
          <w:b/>
          <w:u w:val="single"/>
        </w:rPr>
        <w:t>Test Documents</w:t>
      </w:r>
      <w:r>
        <w:rPr>
          <w:b/>
        </w:rPr>
        <w:t>:</w:t>
      </w:r>
      <w:r>
        <w:rPr>
          <w:b/>
          <w:u w:val="single"/>
        </w:rPr>
        <w:t xml:space="preserve"> </w:t>
      </w:r>
    </w:p>
    <w:p w14:paraId="3D327C4A" w14:textId="77777777" w:rsidR="00157AAA" w:rsidRDefault="006C1BE5" w:rsidP="00D530D5">
      <w:pPr>
        <w:pStyle w:val="ListParagraph"/>
        <w:numPr>
          <w:ilvl w:val="3"/>
          <w:numId w:val="91"/>
        </w:numPr>
        <w:spacing w:after="0"/>
      </w:pPr>
      <w:r>
        <w:t xml:space="preserve">Test Strategy </w:t>
      </w:r>
    </w:p>
    <w:p w14:paraId="54D709D5" w14:textId="77777777" w:rsidR="00157AAA" w:rsidRDefault="006C1BE5" w:rsidP="00D530D5">
      <w:pPr>
        <w:pStyle w:val="ListParagraph"/>
        <w:numPr>
          <w:ilvl w:val="3"/>
          <w:numId w:val="91"/>
        </w:numPr>
        <w:spacing w:after="0"/>
      </w:pPr>
      <w:r>
        <w:t xml:space="preserve">Test Design Specification </w:t>
      </w:r>
    </w:p>
    <w:p w14:paraId="58A1203F" w14:textId="77777777" w:rsidR="00157AAA" w:rsidRDefault="006C1BE5" w:rsidP="00D530D5">
      <w:pPr>
        <w:pStyle w:val="ListParagraph"/>
        <w:numPr>
          <w:ilvl w:val="3"/>
          <w:numId w:val="91"/>
        </w:numPr>
        <w:spacing w:after="0"/>
      </w:pPr>
      <w:r>
        <w:t>Acceptance Test Plan (for each environment/cycle)</w:t>
      </w:r>
    </w:p>
    <w:p w14:paraId="385EF1FF" w14:textId="77777777" w:rsidR="00157AAA" w:rsidRDefault="00157AAA" w:rsidP="001136D3">
      <w:pPr>
        <w:pStyle w:val="ListParagraph"/>
        <w:spacing w:after="0"/>
        <w:ind w:left="2880"/>
        <w:rPr>
          <w:sz w:val="10"/>
          <w:szCs w:val="10"/>
        </w:rPr>
      </w:pPr>
    </w:p>
    <w:p w14:paraId="2D7686B3" w14:textId="77777777" w:rsidR="00157AAA" w:rsidRDefault="006C1BE5" w:rsidP="001136D3">
      <w:pPr>
        <w:spacing w:after="0"/>
        <w:ind w:left="2160" w:hanging="720"/>
        <w:rPr>
          <w:b/>
        </w:rPr>
      </w:pPr>
      <w:r>
        <w:rPr>
          <w:b/>
        </w:rPr>
        <w:t>2.6.1.2</w:t>
      </w:r>
      <w:r>
        <w:rPr>
          <w:b/>
        </w:rPr>
        <w:tab/>
      </w:r>
      <w:r>
        <w:rPr>
          <w:b/>
          <w:u w:val="single"/>
        </w:rPr>
        <w:t>NSW Documents/Deliverables</w:t>
      </w:r>
      <w:r>
        <w:rPr>
          <w:b/>
        </w:rPr>
        <w:t xml:space="preserve">: </w:t>
      </w:r>
    </w:p>
    <w:p w14:paraId="371A4A4F" w14:textId="77777777" w:rsidR="00157AAA" w:rsidRDefault="006C1BE5" w:rsidP="00D530D5">
      <w:pPr>
        <w:pStyle w:val="ListParagraph"/>
        <w:numPr>
          <w:ilvl w:val="3"/>
          <w:numId w:val="92"/>
        </w:numPr>
        <w:spacing w:after="0"/>
      </w:pPr>
      <w:r>
        <w:t xml:space="preserve">Functional Specification of NSW system </w:t>
      </w:r>
    </w:p>
    <w:p w14:paraId="06A184E8" w14:textId="77777777" w:rsidR="00157AAA" w:rsidRDefault="006C1BE5" w:rsidP="00D530D5">
      <w:pPr>
        <w:pStyle w:val="ListParagraph"/>
        <w:numPr>
          <w:ilvl w:val="3"/>
          <w:numId w:val="92"/>
        </w:numPr>
        <w:spacing w:after="0"/>
      </w:pPr>
      <w:r>
        <w:t>Technical Specification of NSW system</w:t>
      </w:r>
    </w:p>
    <w:p w14:paraId="7D746157" w14:textId="77777777" w:rsidR="00157AAA" w:rsidRDefault="006C1BE5" w:rsidP="00D530D5">
      <w:pPr>
        <w:pStyle w:val="ListParagraph"/>
        <w:numPr>
          <w:ilvl w:val="3"/>
          <w:numId w:val="92"/>
        </w:numPr>
        <w:spacing w:after="0"/>
      </w:pPr>
      <w:r>
        <w:t xml:space="preserve">Traders Interface Specification </w:t>
      </w:r>
    </w:p>
    <w:p w14:paraId="74C7351F" w14:textId="77777777" w:rsidR="00157AAA" w:rsidRDefault="006C1BE5" w:rsidP="00D530D5">
      <w:pPr>
        <w:pStyle w:val="ListParagraph"/>
        <w:numPr>
          <w:ilvl w:val="3"/>
          <w:numId w:val="92"/>
        </w:numPr>
        <w:spacing w:after="0"/>
      </w:pPr>
      <w:r>
        <w:t>Source Code</w:t>
      </w:r>
    </w:p>
    <w:p w14:paraId="194DE378" w14:textId="77777777" w:rsidR="00157AAA" w:rsidRDefault="006C1BE5" w:rsidP="00D530D5">
      <w:pPr>
        <w:pStyle w:val="ListParagraph"/>
        <w:numPr>
          <w:ilvl w:val="3"/>
          <w:numId w:val="92"/>
        </w:numPr>
        <w:spacing w:after="0"/>
      </w:pPr>
      <w:r>
        <w:t xml:space="preserve">Deployment software packages for all environments </w:t>
      </w:r>
    </w:p>
    <w:p w14:paraId="5C1C3A26" w14:textId="77777777" w:rsidR="00157AAA" w:rsidRDefault="006C1BE5" w:rsidP="00D530D5">
      <w:pPr>
        <w:pStyle w:val="ListParagraph"/>
        <w:numPr>
          <w:ilvl w:val="3"/>
          <w:numId w:val="92"/>
        </w:numPr>
        <w:spacing w:after="0"/>
      </w:pPr>
      <w:r>
        <w:t>Automated test cases (scripts)</w:t>
      </w:r>
    </w:p>
    <w:p w14:paraId="41EFAF8D" w14:textId="77777777" w:rsidR="00157AAA" w:rsidRDefault="006C1BE5" w:rsidP="00D530D5">
      <w:pPr>
        <w:pStyle w:val="ListParagraph"/>
        <w:numPr>
          <w:ilvl w:val="3"/>
          <w:numId w:val="92"/>
        </w:numPr>
        <w:spacing w:after="0"/>
      </w:pPr>
      <w:r>
        <w:t>Administration Manual</w:t>
      </w:r>
    </w:p>
    <w:p w14:paraId="232E95B5" w14:textId="77777777" w:rsidR="00157AAA" w:rsidRDefault="006C1BE5" w:rsidP="00D530D5">
      <w:pPr>
        <w:pStyle w:val="ListParagraph"/>
        <w:numPr>
          <w:ilvl w:val="3"/>
          <w:numId w:val="92"/>
        </w:numPr>
        <w:spacing w:after="0"/>
      </w:pPr>
      <w:r>
        <w:t xml:space="preserve">Integration Manual </w:t>
      </w:r>
    </w:p>
    <w:p w14:paraId="4D32004B" w14:textId="77777777" w:rsidR="00157AAA" w:rsidRDefault="006C1BE5" w:rsidP="00D530D5">
      <w:pPr>
        <w:pStyle w:val="ListParagraph"/>
        <w:numPr>
          <w:ilvl w:val="3"/>
          <w:numId w:val="92"/>
        </w:numPr>
        <w:spacing w:after="0"/>
      </w:pPr>
      <w:r>
        <w:t>User Guide</w:t>
      </w:r>
    </w:p>
    <w:p w14:paraId="12421849" w14:textId="77777777" w:rsidR="00157AAA" w:rsidRDefault="006C1BE5" w:rsidP="00D530D5">
      <w:pPr>
        <w:pStyle w:val="ListParagraph"/>
        <w:numPr>
          <w:ilvl w:val="3"/>
          <w:numId w:val="92"/>
        </w:numPr>
        <w:spacing w:after="0"/>
      </w:pPr>
      <w:r>
        <w:t>FAT Report</w:t>
      </w:r>
    </w:p>
    <w:p w14:paraId="0CAA7699" w14:textId="77777777" w:rsidR="00157AAA" w:rsidRDefault="006C1BE5" w:rsidP="00D530D5">
      <w:pPr>
        <w:pStyle w:val="ListParagraph"/>
        <w:numPr>
          <w:ilvl w:val="3"/>
          <w:numId w:val="92"/>
        </w:numPr>
        <w:spacing w:after="0"/>
      </w:pPr>
      <w:r>
        <w:t>SAT Report</w:t>
      </w:r>
    </w:p>
    <w:p w14:paraId="02948967" w14:textId="77777777" w:rsidR="00157AAA" w:rsidRDefault="006C1BE5" w:rsidP="00D530D5">
      <w:pPr>
        <w:pStyle w:val="ListParagraph"/>
        <w:numPr>
          <w:ilvl w:val="3"/>
          <w:numId w:val="92"/>
        </w:numPr>
        <w:spacing w:after="0"/>
      </w:pPr>
      <w:r>
        <w:t xml:space="preserve">at least 2 workshops/trainings for the staff on how to use the </w:t>
      </w:r>
      <w:proofErr w:type="gramStart"/>
      <w:r>
        <w:t>system</w:t>
      </w:r>
      <w:proofErr w:type="gramEnd"/>
    </w:p>
    <w:p w14:paraId="1767E247" w14:textId="77777777" w:rsidR="00157AAA" w:rsidRDefault="00157AAA" w:rsidP="001136D3">
      <w:pPr>
        <w:pStyle w:val="ListParagraph"/>
        <w:spacing w:after="0"/>
        <w:ind w:left="2880"/>
        <w:rPr>
          <w:sz w:val="10"/>
          <w:szCs w:val="10"/>
        </w:rPr>
      </w:pPr>
    </w:p>
    <w:p w14:paraId="07607792" w14:textId="77777777" w:rsidR="00157AAA" w:rsidRDefault="006C1BE5" w:rsidP="001136D3">
      <w:pPr>
        <w:spacing w:after="0"/>
        <w:rPr>
          <w:b/>
        </w:rPr>
      </w:pPr>
      <w:r>
        <w:tab/>
      </w:r>
      <w:r>
        <w:rPr>
          <w:b/>
        </w:rPr>
        <w:tab/>
        <w:t xml:space="preserve">2.6.1.3 </w:t>
      </w:r>
      <w:r>
        <w:rPr>
          <w:b/>
          <w:u w:val="single"/>
        </w:rPr>
        <w:t>Payment Service Documents/Deliverables</w:t>
      </w:r>
    </w:p>
    <w:p w14:paraId="1AD7C1E1" w14:textId="77777777" w:rsidR="00157AAA" w:rsidRDefault="006C1BE5" w:rsidP="00D530D5">
      <w:pPr>
        <w:pStyle w:val="ListParagraph"/>
        <w:numPr>
          <w:ilvl w:val="3"/>
          <w:numId w:val="93"/>
        </w:numPr>
        <w:spacing w:after="0"/>
      </w:pPr>
      <w:r>
        <w:t>Functional Specification of Payment service</w:t>
      </w:r>
    </w:p>
    <w:p w14:paraId="6235A429" w14:textId="77777777" w:rsidR="00157AAA" w:rsidRDefault="006C1BE5" w:rsidP="00D530D5">
      <w:pPr>
        <w:pStyle w:val="ListParagraph"/>
        <w:numPr>
          <w:ilvl w:val="3"/>
          <w:numId w:val="93"/>
        </w:numPr>
        <w:spacing w:after="0"/>
      </w:pPr>
      <w:r>
        <w:t>Technical Specification of Payment service system</w:t>
      </w:r>
    </w:p>
    <w:p w14:paraId="3EE7A76A" w14:textId="77777777" w:rsidR="00157AAA" w:rsidRDefault="006C1BE5" w:rsidP="00D530D5">
      <w:pPr>
        <w:pStyle w:val="ListParagraph"/>
        <w:numPr>
          <w:ilvl w:val="3"/>
          <w:numId w:val="93"/>
        </w:numPr>
        <w:spacing w:after="0"/>
      </w:pPr>
      <w:r>
        <w:t>Source Code</w:t>
      </w:r>
    </w:p>
    <w:p w14:paraId="580E6446" w14:textId="77777777" w:rsidR="00157AAA" w:rsidRDefault="006C1BE5" w:rsidP="00D530D5">
      <w:pPr>
        <w:pStyle w:val="ListParagraph"/>
        <w:numPr>
          <w:ilvl w:val="3"/>
          <w:numId w:val="93"/>
        </w:numPr>
        <w:spacing w:after="0"/>
      </w:pPr>
      <w:r>
        <w:t xml:space="preserve">Deployment software packages for all environments </w:t>
      </w:r>
    </w:p>
    <w:p w14:paraId="3B29B84F" w14:textId="77777777" w:rsidR="00157AAA" w:rsidRDefault="006C1BE5" w:rsidP="00D530D5">
      <w:pPr>
        <w:pStyle w:val="ListParagraph"/>
        <w:numPr>
          <w:ilvl w:val="3"/>
          <w:numId w:val="93"/>
        </w:numPr>
        <w:spacing w:after="0"/>
      </w:pPr>
      <w:r>
        <w:t>Automated test cases (scripts)</w:t>
      </w:r>
    </w:p>
    <w:p w14:paraId="4A90713C" w14:textId="77777777" w:rsidR="00157AAA" w:rsidRDefault="006C1BE5" w:rsidP="00D530D5">
      <w:pPr>
        <w:pStyle w:val="ListParagraph"/>
        <w:numPr>
          <w:ilvl w:val="3"/>
          <w:numId w:val="93"/>
        </w:numPr>
        <w:spacing w:after="0"/>
      </w:pPr>
      <w:r>
        <w:t>Administration Manual</w:t>
      </w:r>
    </w:p>
    <w:p w14:paraId="2254F007" w14:textId="77777777" w:rsidR="00157AAA" w:rsidRDefault="006C1BE5" w:rsidP="00D530D5">
      <w:pPr>
        <w:pStyle w:val="ListParagraph"/>
        <w:numPr>
          <w:ilvl w:val="3"/>
          <w:numId w:val="93"/>
        </w:numPr>
        <w:spacing w:after="0"/>
      </w:pPr>
      <w:r>
        <w:t xml:space="preserve">Integration Manual </w:t>
      </w:r>
    </w:p>
    <w:p w14:paraId="2F88FF3B" w14:textId="77777777" w:rsidR="00157AAA" w:rsidRDefault="006C1BE5" w:rsidP="00D530D5">
      <w:pPr>
        <w:pStyle w:val="ListParagraph"/>
        <w:numPr>
          <w:ilvl w:val="3"/>
          <w:numId w:val="93"/>
        </w:numPr>
        <w:spacing w:after="0"/>
      </w:pPr>
      <w:r>
        <w:t>User Guide</w:t>
      </w:r>
    </w:p>
    <w:p w14:paraId="35B4473C" w14:textId="77777777" w:rsidR="00157AAA" w:rsidRDefault="006C1BE5" w:rsidP="00D530D5">
      <w:pPr>
        <w:pStyle w:val="ListParagraph"/>
        <w:numPr>
          <w:ilvl w:val="3"/>
          <w:numId w:val="93"/>
        </w:numPr>
        <w:spacing w:after="0"/>
      </w:pPr>
      <w:r>
        <w:t>FAT Report</w:t>
      </w:r>
    </w:p>
    <w:p w14:paraId="601DA99A" w14:textId="77777777" w:rsidR="00157AAA" w:rsidRDefault="006C1BE5" w:rsidP="00D530D5">
      <w:pPr>
        <w:pStyle w:val="ListParagraph"/>
        <w:numPr>
          <w:ilvl w:val="3"/>
          <w:numId w:val="93"/>
        </w:numPr>
        <w:spacing w:after="0"/>
      </w:pPr>
      <w:r>
        <w:t>SAT Report</w:t>
      </w:r>
    </w:p>
    <w:p w14:paraId="6D006CDB" w14:textId="77777777" w:rsidR="00157AAA" w:rsidRDefault="006C1BE5" w:rsidP="00D530D5">
      <w:pPr>
        <w:pStyle w:val="ListParagraph"/>
        <w:numPr>
          <w:ilvl w:val="3"/>
          <w:numId w:val="93"/>
        </w:numPr>
        <w:spacing w:after="0"/>
      </w:pPr>
      <w:r>
        <w:t xml:space="preserve">at least 2 workshops/trainings for the staff on how to use the </w:t>
      </w:r>
      <w:proofErr w:type="gramStart"/>
      <w:r>
        <w:t>system</w:t>
      </w:r>
      <w:proofErr w:type="gramEnd"/>
    </w:p>
    <w:p w14:paraId="445D0DB0" w14:textId="77777777" w:rsidR="00157AAA" w:rsidRDefault="00157AAA" w:rsidP="001136D3">
      <w:pPr>
        <w:spacing w:after="0"/>
        <w:ind w:left="2160"/>
        <w:rPr>
          <w:sz w:val="10"/>
          <w:szCs w:val="10"/>
        </w:rPr>
      </w:pPr>
    </w:p>
    <w:p w14:paraId="40E2E3CB" w14:textId="77777777" w:rsidR="00157AAA" w:rsidRDefault="006C1BE5" w:rsidP="001136D3">
      <w:pPr>
        <w:spacing w:after="0"/>
        <w:rPr>
          <w:b/>
          <w:u w:val="single"/>
        </w:rPr>
      </w:pPr>
      <w:r>
        <w:tab/>
      </w:r>
      <w:r>
        <w:tab/>
      </w:r>
      <w:r>
        <w:rPr>
          <w:b/>
        </w:rPr>
        <w:t xml:space="preserve">2.6.1.4 </w:t>
      </w:r>
      <w:r>
        <w:rPr>
          <w:b/>
          <w:u w:val="single"/>
        </w:rPr>
        <w:t>Help Desk Documents/Deliverables</w:t>
      </w:r>
    </w:p>
    <w:p w14:paraId="5B49A7D4" w14:textId="77777777" w:rsidR="00157AAA" w:rsidRDefault="006C1BE5" w:rsidP="00D530D5">
      <w:pPr>
        <w:pStyle w:val="ListParagraph"/>
        <w:numPr>
          <w:ilvl w:val="0"/>
          <w:numId w:val="94"/>
        </w:numPr>
        <w:spacing w:after="0"/>
      </w:pPr>
      <w:r>
        <w:t>Functional Specification of Help Desk system</w:t>
      </w:r>
    </w:p>
    <w:p w14:paraId="33B85BFD" w14:textId="77777777" w:rsidR="00157AAA" w:rsidRDefault="006C1BE5" w:rsidP="00D530D5">
      <w:pPr>
        <w:pStyle w:val="ListParagraph"/>
        <w:numPr>
          <w:ilvl w:val="0"/>
          <w:numId w:val="94"/>
        </w:numPr>
        <w:spacing w:after="0"/>
      </w:pPr>
      <w:r>
        <w:t>Technical Specification of Help Desk system</w:t>
      </w:r>
    </w:p>
    <w:p w14:paraId="42ADC8EF" w14:textId="77777777" w:rsidR="00157AAA" w:rsidRDefault="006C1BE5" w:rsidP="00D530D5">
      <w:pPr>
        <w:pStyle w:val="ListParagraph"/>
        <w:numPr>
          <w:ilvl w:val="0"/>
          <w:numId w:val="94"/>
        </w:numPr>
        <w:spacing w:after="0"/>
      </w:pPr>
      <w:r>
        <w:t>Source Code</w:t>
      </w:r>
    </w:p>
    <w:p w14:paraId="2002525E" w14:textId="77777777" w:rsidR="00157AAA" w:rsidRDefault="006C1BE5" w:rsidP="00D530D5">
      <w:pPr>
        <w:pStyle w:val="ListParagraph"/>
        <w:numPr>
          <w:ilvl w:val="0"/>
          <w:numId w:val="94"/>
        </w:numPr>
        <w:spacing w:after="0"/>
      </w:pPr>
      <w:r>
        <w:t xml:space="preserve">Deployment software packages for all environments </w:t>
      </w:r>
    </w:p>
    <w:p w14:paraId="141E95F3" w14:textId="77777777" w:rsidR="00157AAA" w:rsidRDefault="006C1BE5" w:rsidP="00D530D5">
      <w:pPr>
        <w:pStyle w:val="ListParagraph"/>
        <w:numPr>
          <w:ilvl w:val="0"/>
          <w:numId w:val="94"/>
        </w:numPr>
        <w:spacing w:after="0"/>
      </w:pPr>
      <w:r>
        <w:lastRenderedPageBreak/>
        <w:t>Automated test cases (scripts)</w:t>
      </w:r>
    </w:p>
    <w:p w14:paraId="746B4EC9" w14:textId="77777777" w:rsidR="00157AAA" w:rsidRDefault="006C1BE5" w:rsidP="00D530D5">
      <w:pPr>
        <w:pStyle w:val="ListParagraph"/>
        <w:numPr>
          <w:ilvl w:val="0"/>
          <w:numId w:val="94"/>
        </w:numPr>
        <w:spacing w:after="0"/>
      </w:pPr>
      <w:r>
        <w:t>Administration Manual</w:t>
      </w:r>
    </w:p>
    <w:p w14:paraId="53BA681C" w14:textId="77777777" w:rsidR="00157AAA" w:rsidRDefault="006C1BE5" w:rsidP="00D530D5">
      <w:pPr>
        <w:pStyle w:val="ListParagraph"/>
        <w:numPr>
          <w:ilvl w:val="0"/>
          <w:numId w:val="94"/>
        </w:numPr>
        <w:spacing w:after="0"/>
      </w:pPr>
      <w:r>
        <w:t xml:space="preserve">Integration Manual </w:t>
      </w:r>
    </w:p>
    <w:p w14:paraId="3138D403" w14:textId="77777777" w:rsidR="00157AAA" w:rsidRDefault="006C1BE5" w:rsidP="00D530D5">
      <w:pPr>
        <w:pStyle w:val="ListParagraph"/>
        <w:numPr>
          <w:ilvl w:val="0"/>
          <w:numId w:val="94"/>
        </w:numPr>
        <w:spacing w:after="0"/>
      </w:pPr>
      <w:r>
        <w:t>User Guide</w:t>
      </w:r>
    </w:p>
    <w:p w14:paraId="6C2A48C2" w14:textId="77777777" w:rsidR="00157AAA" w:rsidRDefault="006C1BE5" w:rsidP="00D530D5">
      <w:pPr>
        <w:pStyle w:val="ListParagraph"/>
        <w:numPr>
          <w:ilvl w:val="0"/>
          <w:numId w:val="94"/>
        </w:numPr>
        <w:spacing w:after="0"/>
      </w:pPr>
      <w:r>
        <w:t>FAT Report</w:t>
      </w:r>
    </w:p>
    <w:p w14:paraId="2D363A3B" w14:textId="77777777" w:rsidR="00157AAA" w:rsidRDefault="006C1BE5" w:rsidP="00D530D5">
      <w:pPr>
        <w:pStyle w:val="ListParagraph"/>
        <w:numPr>
          <w:ilvl w:val="0"/>
          <w:numId w:val="94"/>
        </w:numPr>
        <w:spacing w:after="0"/>
      </w:pPr>
      <w:r>
        <w:t>SAT Report</w:t>
      </w:r>
    </w:p>
    <w:p w14:paraId="1464B7BD" w14:textId="77777777" w:rsidR="00157AAA" w:rsidRDefault="006C1BE5" w:rsidP="00D530D5">
      <w:pPr>
        <w:pStyle w:val="ListParagraph"/>
        <w:numPr>
          <w:ilvl w:val="0"/>
          <w:numId w:val="94"/>
        </w:numPr>
        <w:spacing w:after="0"/>
      </w:pPr>
      <w:r>
        <w:t xml:space="preserve">at least 2 workshops/trainings for the staff on how to use the </w:t>
      </w:r>
      <w:proofErr w:type="gramStart"/>
      <w:r>
        <w:t>system</w:t>
      </w:r>
      <w:proofErr w:type="gramEnd"/>
    </w:p>
    <w:p w14:paraId="76E97A04" w14:textId="77777777" w:rsidR="00157AAA" w:rsidRDefault="00157AAA" w:rsidP="001136D3">
      <w:pPr>
        <w:pStyle w:val="ListParagraph"/>
        <w:spacing w:after="0"/>
        <w:ind w:left="2880"/>
        <w:rPr>
          <w:sz w:val="10"/>
          <w:szCs w:val="10"/>
        </w:rPr>
      </w:pPr>
    </w:p>
    <w:p w14:paraId="75FAD9AB" w14:textId="77777777" w:rsidR="00157AAA" w:rsidRDefault="00157AAA" w:rsidP="001136D3">
      <w:pPr>
        <w:pStyle w:val="ListParagraph"/>
        <w:spacing w:after="0"/>
        <w:ind w:left="2880"/>
        <w:rPr>
          <w:sz w:val="10"/>
          <w:szCs w:val="10"/>
        </w:rPr>
      </w:pPr>
    </w:p>
    <w:p w14:paraId="337D7CD1" w14:textId="77777777" w:rsidR="00157AAA" w:rsidRDefault="006C1BE5" w:rsidP="001136D3">
      <w:pPr>
        <w:spacing w:after="0"/>
      </w:pPr>
      <w:r>
        <w:tab/>
      </w:r>
      <w:r>
        <w:tab/>
      </w:r>
    </w:p>
    <w:p w14:paraId="702A35F7" w14:textId="77777777" w:rsidR="00157AAA" w:rsidRDefault="00157AAA" w:rsidP="001136D3">
      <w:pPr>
        <w:pStyle w:val="ListParagraph"/>
        <w:spacing w:after="0"/>
        <w:ind w:left="2880"/>
        <w:rPr>
          <w:sz w:val="10"/>
          <w:szCs w:val="10"/>
        </w:rPr>
      </w:pPr>
    </w:p>
    <w:p w14:paraId="1E652EFB" w14:textId="77777777" w:rsidR="00157AAA" w:rsidRDefault="006C1BE5" w:rsidP="001136D3">
      <w:pPr>
        <w:spacing w:after="0"/>
        <w:rPr>
          <w:b/>
          <w:u w:val="single"/>
        </w:rPr>
      </w:pPr>
      <w:r>
        <w:tab/>
      </w:r>
      <w:r>
        <w:tab/>
      </w:r>
      <w:r>
        <w:rPr>
          <w:b/>
        </w:rPr>
        <w:t xml:space="preserve">2.6.1.5 </w:t>
      </w:r>
      <w:r>
        <w:rPr>
          <w:b/>
          <w:u w:val="single"/>
        </w:rPr>
        <w:t>New Risk Management Documents/Deliverables</w:t>
      </w:r>
    </w:p>
    <w:p w14:paraId="2AC81C8A" w14:textId="77777777" w:rsidR="00157AAA" w:rsidRDefault="006C1BE5" w:rsidP="00D530D5">
      <w:pPr>
        <w:pStyle w:val="ListParagraph"/>
        <w:numPr>
          <w:ilvl w:val="0"/>
          <w:numId w:val="95"/>
        </w:numPr>
        <w:spacing w:after="0"/>
      </w:pPr>
      <w:r>
        <w:t>Functional Specification of New Risk Management system</w:t>
      </w:r>
    </w:p>
    <w:p w14:paraId="59FBAD4D" w14:textId="77777777" w:rsidR="00157AAA" w:rsidRDefault="006C1BE5" w:rsidP="00D530D5">
      <w:pPr>
        <w:pStyle w:val="ListParagraph"/>
        <w:numPr>
          <w:ilvl w:val="0"/>
          <w:numId w:val="95"/>
        </w:numPr>
        <w:spacing w:after="0"/>
      </w:pPr>
      <w:r>
        <w:t>Technical Specification of New Risk Management system</w:t>
      </w:r>
    </w:p>
    <w:p w14:paraId="273454A4" w14:textId="77777777" w:rsidR="00157AAA" w:rsidRDefault="006C1BE5" w:rsidP="00D530D5">
      <w:pPr>
        <w:pStyle w:val="ListParagraph"/>
        <w:numPr>
          <w:ilvl w:val="0"/>
          <w:numId w:val="95"/>
        </w:numPr>
        <w:spacing w:after="0"/>
      </w:pPr>
      <w:r>
        <w:t>Source Code</w:t>
      </w:r>
    </w:p>
    <w:p w14:paraId="1D9FE01C" w14:textId="77777777" w:rsidR="00157AAA" w:rsidRDefault="006C1BE5" w:rsidP="00D530D5">
      <w:pPr>
        <w:pStyle w:val="ListParagraph"/>
        <w:numPr>
          <w:ilvl w:val="0"/>
          <w:numId w:val="95"/>
        </w:numPr>
        <w:spacing w:after="0"/>
      </w:pPr>
      <w:r>
        <w:t xml:space="preserve">Deployment software packages for all environments </w:t>
      </w:r>
    </w:p>
    <w:p w14:paraId="1965656B" w14:textId="77777777" w:rsidR="00157AAA" w:rsidRDefault="006C1BE5" w:rsidP="00D530D5">
      <w:pPr>
        <w:pStyle w:val="ListParagraph"/>
        <w:numPr>
          <w:ilvl w:val="0"/>
          <w:numId w:val="95"/>
        </w:numPr>
        <w:spacing w:after="0"/>
      </w:pPr>
      <w:r>
        <w:t>Automated test cases (scripts)</w:t>
      </w:r>
    </w:p>
    <w:p w14:paraId="61F08C24" w14:textId="77777777" w:rsidR="00157AAA" w:rsidRDefault="006C1BE5" w:rsidP="00D530D5">
      <w:pPr>
        <w:pStyle w:val="ListParagraph"/>
        <w:numPr>
          <w:ilvl w:val="0"/>
          <w:numId w:val="95"/>
        </w:numPr>
        <w:spacing w:after="0"/>
      </w:pPr>
      <w:r>
        <w:t>Administration Manual</w:t>
      </w:r>
    </w:p>
    <w:p w14:paraId="643D2BD9" w14:textId="77777777" w:rsidR="00157AAA" w:rsidRDefault="006C1BE5" w:rsidP="00D530D5">
      <w:pPr>
        <w:pStyle w:val="ListParagraph"/>
        <w:numPr>
          <w:ilvl w:val="0"/>
          <w:numId w:val="95"/>
        </w:numPr>
        <w:spacing w:after="0"/>
      </w:pPr>
      <w:r>
        <w:t xml:space="preserve">Integration Manual </w:t>
      </w:r>
    </w:p>
    <w:p w14:paraId="19C81DD1" w14:textId="77777777" w:rsidR="00157AAA" w:rsidRDefault="006C1BE5" w:rsidP="00D530D5">
      <w:pPr>
        <w:pStyle w:val="ListParagraph"/>
        <w:numPr>
          <w:ilvl w:val="0"/>
          <w:numId w:val="95"/>
        </w:numPr>
        <w:spacing w:after="0"/>
      </w:pPr>
      <w:r>
        <w:t>User Guide</w:t>
      </w:r>
    </w:p>
    <w:p w14:paraId="2D2CA9AD" w14:textId="77777777" w:rsidR="00157AAA" w:rsidRDefault="006C1BE5" w:rsidP="00D530D5">
      <w:pPr>
        <w:pStyle w:val="ListParagraph"/>
        <w:numPr>
          <w:ilvl w:val="0"/>
          <w:numId w:val="95"/>
        </w:numPr>
        <w:spacing w:after="0"/>
      </w:pPr>
      <w:r>
        <w:t>FAT Report</w:t>
      </w:r>
    </w:p>
    <w:p w14:paraId="25762804" w14:textId="77777777" w:rsidR="00157AAA" w:rsidRDefault="006C1BE5" w:rsidP="00D530D5">
      <w:pPr>
        <w:pStyle w:val="ListParagraph"/>
        <w:numPr>
          <w:ilvl w:val="0"/>
          <w:numId w:val="95"/>
        </w:numPr>
        <w:spacing w:after="0"/>
      </w:pPr>
      <w:r>
        <w:t>SAT Report</w:t>
      </w:r>
    </w:p>
    <w:p w14:paraId="40E9F6F2" w14:textId="77777777" w:rsidR="00157AAA" w:rsidRDefault="006C1BE5" w:rsidP="00D530D5">
      <w:pPr>
        <w:pStyle w:val="ListParagraph"/>
        <w:numPr>
          <w:ilvl w:val="0"/>
          <w:numId w:val="95"/>
        </w:numPr>
        <w:spacing w:after="0"/>
      </w:pPr>
      <w:r>
        <w:t xml:space="preserve">at least 2 workshops/trainings for the staff on how to use the </w:t>
      </w:r>
      <w:proofErr w:type="gramStart"/>
      <w:r>
        <w:t>system</w:t>
      </w:r>
      <w:proofErr w:type="gramEnd"/>
    </w:p>
    <w:p w14:paraId="6AB3856B" w14:textId="77777777" w:rsidR="00157AAA" w:rsidRDefault="00157AAA" w:rsidP="001136D3">
      <w:pPr>
        <w:pStyle w:val="ListParagraph"/>
        <w:spacing w:after="0"/>
        <w:ind w:left="2880"/>
        <w:rPr>
          <w:sz w:val="10"/>
          <w:szCs w:val="10"/>
        </w:rPr>
      </w:pPr>
    </w:p>
    <w:p w14:paraId="04123C1B" w14:textId="77777777" w:rsidR="00157AAA" w:rsidRDefault="006C1BE5" w:rsidP="001136D3">
      <w:pPr>
        <w:spacing w:after="0"/>
        <w:rPr>
          <w:b/>
        </w:rPr>
      </w:pPr>
      <w:r>
        <w:tab/>
      </w:r>
      <w:r>
        <w:tab/>
      </w:r>
      <w:r>
        <w:rPr>
          <w:b/>
        </w:rPr>
        <w:t xml:space="preserve">2.6.1.6 </w:t>
      </w:r>
      <w:r>
        <w:rPr>
          <w:b/>
          <w:u w:val="single"/>
        </w:rPr>
        <w:t>Trader Portal Documents/Deliverables</w:t>
      </w:r>
    </w:p>
    <w:p w14:paraId="4A98904E" w14:textId="77777777" w:rsidR="00157AAA" w:rsidRDefault="006C1BE5" w:rsidP="00D530D5">
      <w:pPr>
        <w:pStyle w:val="ListParagraph"/>
        <w:numPr>
          <w:ilvl w:val="0"/>
          <w:numId w:val="96"/>
        </w:numPr>
        <w:spacing w:after="0"/>
      </w:pPr>
      <w:r>
        <w:t>Functional Specification of Trader Portal system</w:t>
      </w:r>
    </w:p>
    <w:p w14:paraId="59E4D886" w14:textId="77777777" w:rsidR="00157AAA" w:rsidRDefault="006C1BE5" w:rsidP="00D530D5">
      <w:pPr>
        <w:pStyle w:val="ListParagraph"/>
        <w:numPr>
          <w:ilvl w:val="0"/>
          <w:numId w:val="96"/>
        </w:numPr>
        <w:spacing w:after="0"/>
      </w:pPr>
      <w:r>
        <w:t>Technical Specification of Trader Portal system</w:t>
      </w:r>
    </w:p>
    <w:p w14:paraId="3B5384DE" w14:textId="77777777" w:rsidR="00157AAA" w:rsidRDefault="006C1BE5" w:rsidP="00D530D5">
      <w:pPr>
        <w:pStyle w:val="ListParagraph"/>
        <w:numPr>
          <w:ilvl w:val="0"/>
          <w:numId w:val="96"/>
        </w:numPr>
        <w:spacing w:after="0"/>
      </w:pPr>
      <w:r>
        <w:t>Source Code</w:t>
      </w:r>
    </w:p>
    <w:p w14:paraId="0E1CF99D" w14:textId="77777777" w:rsidR="00157AAA" w:rsidRDefault="006C1BE5" w:rsidP="00D530D5">
      <w:pPr>
        <w:pStyle w:val="ListParagraph"/>
        <w:numPr>
          <w:ilvl w:val="0"/>
          <w:numId w:val="96"/>
        </w:numPr>
        <w:spacing w:after="0"/>
      </w:pPr>
      <w:r>
        <w:t xml:space="preserve">Deployment software packages for all environments </w:t>
      </w:r>
    </w:p>
    <w:p w14:paraId="08A0C206" w14:textId="77777777" w:rsidR="00157AAA" w:rsidRDefault="006C1BE5" w:rsidP="00D530D5">
      <w:pPr>
        <w:pStyle w:val="ListParagraph"/>
        <w:numPr>
          <w:ilvl w:val="0"/>
          <w:numId w:val="96"/>
        </w:numPr>
        <w:spacing w:after="0"/>
      </w:pPr>
      <w:r>
        <w:t>Automated test cases (scripts)</w:t>
      </w:r>
    </w:p>
    <w:p w14:paraId="1A400652" w14:textId="77777777" w:rsidR="00157AAA" w:rsidRDefault="006C1BE5" w:rsidP="00D530D5">
      <w:pPr>
        <w:pStyle w:val="ListParagraph"/>
        <w:numPr>
          <w:ilvl w:val="0"/>
          <w:numId w:val="96"/>
        </w:numPr>
        <w:spacing w:after="0"/>
      </w:pPr>
      <w:r>
        <w:t>Administration Manual</w:t>
      </w:r>
    </w:p>
    <w:p w14:paraId="253F3CBA" w14:textId="77777777" w:rsidR="00157AAA" w:rsidRDefault="006C1BE5" w:rsidP="00D530D5">
      <w:pPr>
        <w:pStyle w:val="ListParagraph"/>
        <w:numPr>
          <w:ilvl w:val="0"/>
          <w:numId w:val="96"/>
        </w:numPr>
        <w:spacing w:after="0"/>
      </w:pPr>
      <w:r>
        <w:t xml:space="preserve">Integration Manual </w:t>
      </w:r>
    </w:p>
    <w:p w14:paraId="0609633F" w14:textId="77777777" w:rsidR="00157AAA" w:rsidRDefault="006C1BE5" w:rsidP="00D530D5">
      <w:pPr>
        <w:pStyle w:val="ListParagraph"/>
        <w:numPr>
          <w:ilvl w:val="0"/>
          <w:numId w:val="96"/>
        </w:numPr>
        <w:spacing w:after="0"/>
      </w:pPr>
      <w:r>
        <w:t>User Guide</w:t>
      </w:r>
    </w:p>
    <w:p w14:paraId="313119CA" w14:textId="77777777" w:rsidR="00157AAA" w:rsidRDefault="006C1BE5" w:rsidP="00D530D5">
      <w:pPr>
        <w:pStyle w:val="ListParagraph"/>
        <w:numPr>
          <w:ilvl w:val="0"/>
          <w:numId w:val="96"/>
        </w:numPr>
        <w:spacing w:after="0"/>
      </w:pPr>
      <w:r>
        <w:t>FAT Report</w:t>
      </w:r>
    </w:p>
    <w:p w14:paraId="43B7332C" w14:textId="77777777" w:rsidR="00157AAA" w:rsidRDefault="006C1BE5" w:rsidP="00D530D5">
      <w:pPr>
        <w:pStyle w:val="ListParagraph"/>
        <w:numPr>
          <w:ilvl w:val="0"/>
          <w:numId w:val="96"/>
        </w:numPr>
        <w:spacing w:after="0"/>
      </w:pPr>
      <w:r>
        <w:t>SAT Report</w:t>
      </w:r>
    </w:p>
    <w:p w14:paraId="66330230" w14:textId="77777777" w:rsidR="00157AAA" w:rsidRDefault="006C1BE5" w:rsidP="00D530D5">
      <w:pPr>
        <w:pStyle w:val="ListParagraph"/>
        <w:numPr>
          <w:ilvl w:val="0"/>
          <w:numId w:val="96"/>
        </w:numPr>
        <w:spacing w:after="0"/>
      </w:pPr>
      <w:r>
        <w:t>at least 2 workshops/</w:t>
      </w:r>
      <w:proofErr w:type="gramStart"/>
      <w:r>
        <w:t>trainings</w:t>
      </w:r>
      <w:proofErr w:type="gramEnd"/>
      <w:r>
        <w:t xml:space="preserve"> for the staff on how to use the system. </w:t>
      </w:r>
    </w:p>
    <w:p w14:paraId="4DE7D828" w14:textId="77777777" w:rsidR="00157AAA" w:rsidRDefault="006C1BE5" w:rsidP="001136D3">
      <w:pPr>
        <w:spacing w:after="0"/>
        <w:ind w:left="720" w:firstLine="720"/>
        <w:rPr>
          <w:b/>
          <w:u w:val="single"/>
        </w:rPr>
      </w:pPr>
      <w:r>
        <w:rPr>
          <w:b/>
        </w:rPr>
        <w:t xml:space="preserve">2.6.1.7 </w:t>
      </w:r>
      <w:r>
        <w:rPr>
          <w:b/>
          <w:u w:val="single"/>
        </w:rPr>
        <w:t xml:space="preserve">Transfer of Source Code </w:t>
      </w:r>
    </w:p>
    <w:p w14:paraId="525C65E0" w14:textId="77777777" w:rsidR="00157AAA" w:rsidRDefault="006C1BE5" w:rsidP="00D530D5">
      <w:pPr>
        <w:pStyle w:val="ListParagraph"/>
        <w:numPr>
          <w:ilvl w:val="0"/>
          <w:numId w:val="127"/>
        </w:numPr>
        <w:tabs>
          <w:tab w:val="left" w:pos="720"/>
        </w:tabs>
        <w:spacing w:after="0"/>
        <w:rPr>
          <w:szCs w:val="24"/>
        </w:rPr>
      </w:pPr>
      <w:r>
        <w:rPr>
          <w:lang w:val="en"/>
        </w:rPr>
        <w:t xml:space="preserve">The technical documentation will include the transfer of source code. </w:t>
      </w:r>
      <w:r>
        <w:rPr>
          <w:szCs w:val="24"/>
        </w:rPr>
        <w:t>The Supplier shall transfer the source code and full ownership of the solution.</w:t>
      </w:r>
    </w:p>
    <w:p w14:paraId="3DBD1911" w14:textId="77777777" w:rsidR="00157AAA" w:rsidRDefault="006C1BE5" w:rsidP="00D530D5">
      <w:pPr>
        <w:pStyle w:val="ListParagraph"/>
        <w:numPr>
          <w:ilvl w:val="0"/>
          <w:numId w:val="127"/>
        </w:numPr>
        <w:tabs>
          <w:tab w:val="left" w:pos="720"/>
        </w:tabs>
        <w:spacing w:after="0"/>
        <w:rPr>
          <w:szCs w:val="24"/>
        </w:rPr>
      </w:pPr>
      <w:r>
        <w:rPr>
          <w:szCs w:val="24"/>
        </w:rPr>
        <w:t xml:space="preserve">Source code must be available all time with the ability to view, download, stored in a Git repository. The necessary permissions and credentials to clone or fetch the repository should be provided. </w:t>
      </w:r>
    </w:p>
    <w:p w14:paraId="1A778116" w14:textId="77777777" w:rsidR="00157AAA" w:rsidRDefault="006C1BE5" w:rsidP="00D530D5">
      <w:pPr>
        <w:pStyle w:val="ListParagraph"/>
        <w:numPr>
          <w:ilvl w:val="0"/>
          <w:numId w:val="127"/>
        </w:numPr>
        <w:spacing w:after="0"/>
        <w:rPr>
          <w:color w:val="000000"/>
          <w:szCs w:val="24"/>
        </w:rPr>
      </w:pPr>
      <w:r>
        <w:rPr>
          <w:color w:val="000000"/>
          <w:szCs w:val="24"/>
          <w:lang w:val="bg-BG"/>
        </w:rPr>
        <w:lastRenderedPageBreak/>
        <w:t xml:space="preserve">The source code </w:t>
      </w:r>
      <w:r>
        <w:rPr>
          <w:color w:val="000000"/>
          <w:szCs w:val="24"/>
        </w:rPr>
        <w:t>will</w:t>
      </w:r>
      <w:r>
        <w:rPr>
          <w:color w:val="000000"/>
          <w:szCs w:val="24"/>
          <w:lang w:val="bg-BG"/>
        </w:rPr>
        <w:t xml:space="preserve"> be the preferred form in which a programmer would modify the program. </w:t>
      </w:r>
      <w:r>
        <w:rPr>
          <w:color w:val="000000"/>
          <w:szCs w:val="24"/>
        </w:rPr>
        <w:t>T</w:t>
      </w:r>
      <w:r>
        <w:rPr>
          <w:color w:val="000000"/>
          <w:szCs w:val="24"/>
          <w:lang w:val="bg-BG"/>
        </w:rPr>
        <w:t xml:space="preserve">he source </w:t>
      </w:r>
      <w:r>
        <w:rPr>
          <w:color w:val="000000"/>
          <w:szCs w:val="24"/>
        </w:rPr>
        <w:t>will</w:t>
      </w:r>
      <w:r>
        <w:rPr>
          <w:color w:val="000000"/>
          <w:szCs w:val="24"/>
          <w:lang w:val="bg-BG"/>
        </w:rPr>
        <w:t xml:space="preserve"> not obfuscate on purpose</w:t>
      </w:r>
      <w:r>
        <w:rPr>
          <w:color w:val="000000"/>
          <w:szCs w:val="24"/>
        </w:rPr>
        <w:t xml:space="preserve"> (for example, for </w:t>
      </w:r>
      <w:r>
        <w:rPr>
          <w:color w:val="000000"/>
          <w:szCs w:val="24"/>
          <w:lang w:val="bg-BG"/>
        </w:rPr>
        <w:t xml:space="preserve">security through obscurity). </w:t>
      </w:r>
      <w:r>
        <w:rPr>
          <w:color w:val="000000"/>
          <w:szCs w:val="24"/>
        </w:rPr>
        <w:t>Key elements to be transferred include:</w:t>
      </w:r>
    </w:p>
    <w:p w14:paraId="759FEFA6" w14:textId="77777777" w:rsidR="00157AAA" w:rsidRDefault="006C1BE5" w:rsidP="00D530D5">
      <w:pPr>
        <w:pStyle w:val="ListParagraph"/>
        <w:numPr>
          <w:ilvl w:val="1"/>
          <w:numId w:val="127"/>
        </w:numPr>
        <w:spacing w:after="0"/>
        <w:rPr>
          <w:b/>
        </w:rPr>
      </w:pPr>
      <w:r>
        <w:t>Runtime License</w:t>
      </w:r>
      <w:r>
        <w:rPr>
          <w:b/>
        </w:rPr>
        <w:t xml:space="preserve"> - </w:t>
      </w:r>
      <w:r>
        <w:rPr>
          <w:color w:val="000000"/>
          <w:szCs w:val="24"/>
        </w:rPr>
        <w:t>Allowing the</w:t>
      </w:r>
      <w:r>
        <w:rPr>
          <w:color w:val="000000"/>
          <w:szCs w:val="24"/>
          <w:lang w:val="bg-BG"/>
        </w:rPr>
        <w:t xml:space="preserve"> </w:t>
      </w:r>
      <w:r>
        <w:rPr>
          <w:color w:val="000000"/>
          <w:szCs w:val="24"/>
        </w:rPr>
        <w:t>running of</w:t>
      </w:r>
      <w:r>
        <w:rPr>
          <w:color w:val="000000"/>
          <w:szCs w:val="24"/>
          <w:lang w:val="bg-BG"/>
        </w:rPr>
        <w:t xml:space="preserve"> the software in an executable program, which is the code compiled from source code and is run on desktop computers and servers.  </w:t>
      </w:r>
    </w:p>
    <w:p w14:paraId="13B99829" w14:textId="77777777" w:rsidR="00157AAA" w:rsidRDefault="006C1BE5" w:rsidP="00D530D5">
      <w:pPr>
        <w:pStyle w:val="ListParagraph"/>
        <w:numPr>
          <w:ilvl w:val="1"/>
          <w:numId w:val="127"/>
        </w:numPr>
        <w:spacing w:after="0"/>
        <w:rPr>
          <w:b/>
        </w:rPr>
      </w:pPr>
      <w:r>
        <w:rPr>
          <w:color w:val="000000"/>
          <w:szCs w:val="24"/>
          <w:lang w:val="bg-BG"/>
        </w:rPr>
        <w:t xml:space="preserve">Source </w:t>
      </w:r>
      <w:r>
        <w:rPr>
          <w:color w:val="000000"/>
          <w:szCs w:val="24"/>
        </w:rPr>
        <w:t>C</w:t>
      </w:r>
      <w:r>
        <w:rPr>
          <w:color w:val="000000"/>
          <w:szCs w:val="24"/>
          <w:lang w:val="bg-BG"/>
        </w:rPr>
        <w:t xml:space="preserve">ode </w:t>
      </w:r>
      <w:r>
        <w:rPr>
          <w:color w:val="000000"/>
          <w:szCs w:val="24"/>
        </w:rPr>
        <w:t>L</w:t>
      </w:r>
      <w:r>
        <w:rPr>
          <w:color w:val="000000"/>
          <w:szCs w:val="24"/>
          <w:lang w:val="bg-BG"/>
        </w:rPr>
        <w:t>icense</w:t>
      </w:r>
      <w:r>
        <w:rPr>
          <w:i/>
          <w:color w:val="000000"/>
          <w:szCs w:val="24"/>
        </w:rPr>
        <w:t xml:space="preserve"> - </w:t>
      </w:r>
      <w:r>
        <w:rPr>
          <w:color w:val="000000"/>
          <w:szCs w:val="24"/>
        </w:rPr>
        <w:t>Allowing</w:t>
      </w:r>
      <w:r>
        <w:rPr>
          <w:color w:val="000000"/>
          <w:szCs w:val="24"/>
          <w:lang w:val="bg-BG"/>
        </w:rPr>
        <w:t xml:space="preserve"> access to a copy of the source code</w:t>
      </w:r>
      <w:r>
        <w:rPr>
          <w:color w:val="000000"/>
          <w:szCs w:val="24"/>
        </w:rPr>
        <w:t>,</w:t>
      </w:r>
      <w:r>
        <w:rPr>
          <w:color w:val="000000"/>
          <w:szCs w:val="24"/>
          <w:lang w:val="bg-BG"/>
        </w:rPr>
        <w:t xml:space="preserve"> which can be changed and customized according to the specific needs.  </w:t>
      </w:r>
    </w:p>
    <w:p w14:paraId="520F2340" w14:textId="77777777" w:rsidR="00157AAA" w:rsidRDefault="006C1BE5">
      <w:pPr>
        <w:ind w:firstLine="720"/>
        <w:rPr>
          <w:b/>
          <w:u w:val="single"/>
        </w:rPr>
      </w:pPr>
      <w:r>
        <w:rPr>
          <w:b/>
        </w:rPr>
        <w:t xml:space="preserve">2.6.1.8 </w:t>
      </w:r>
      <w:r>
        <w:rPr>
          <w:b/>
          <w:u w:val="single"/>
        </w:rPr>
        <w:t>Project Documentation</w:t>
      </w:r>
    </w:p>
    <w:p w14:paraId="29C83D98" w14:textId="77777777" w:rsidR="00157AAA" w:rsidRDefault="006C1BE5" w:rsidP="00D530D5">
      <w:pPr>
        <w:pStyle w:val="ListParagraph"/>
        <w:numPr>
          <w:ilvl w:val="0"/>
          <w:numId w:val="146"/>
        </w:numPr>
        <w:spacing w:after="0"/>
        <w:rPr>
          <w:bCs/>
          <w:u w:val="single"/>
        </w:rPr>
      </w:pPr>
      <w:r>
        <w:rPr>
          <w:bCs/>
          <w:u w:val="single"/>
        </w:rPr>
        <w:t xml:space="preserve">Project Requirements document – the document should undertake the following topics: </w:t>
      </w:r>
    </w:p>
    <w:p w14:paraId="01EFC6EA" w14:textId="248F5AA3" w:rsidR="00157AAA" w:rsidRDefault="006C1BE5" w:rsidP="001136D3">
      <w:pPr>
        <w:pStyle w:val="ListParagraph"/>
        <w:spacing w:after="0"/>
        <w:ind w:left="2940"/>
        <w:rPr>
          <w:bCs/>
          <w:u w:val="single"/>
        </w:rPr>
      </w:pPr>
      <w:r>
        <w:rPr>
          <w:bCs/>
          <w:u w:val="single"/>
        </w:rPr>
        <w:t>a.</w:t>
      </w:r>
      <w:r>
        <w:rPr>
          <w:bCs/>
          <w:u w:val="single"/>
        </w:rPr>
        <w:tab/>
        <w:t xml:space="preserve">Validate and define the objectives and goals of the NSW system. Which include the specific NSW trade processes it will cover terms of references and other support document like project blue </w:t>
      </w:r>
      <w:proofErr w:type="gramStart"/>
      <w:r>
        <w:rPr>
          <w:bCs/>
          <w:u w:val="single"/>
        </w:rPr>
        <w:t>print</w:t>
      </w:r>
      <w:proofErr w:type="gramEnd"/>
      <w:r>
        <w:rPr>
          <w:bCs/>
          <w:u w:val="single"/>
        </w:rPr>
        <w:t xml:space="preserve"> </w:t>
      </w:r>
    </w:p>
    <w:p w14:paraId="66AEB88D" w14:textId="77777777" w:rsidR="00157AAA" w:rsidRDefault="006C1BE5" w:rsidP="001136D3">
      <w:pPr>
        <w:pStyle w:val="ListParagraph"/>
        <w:spacing w:after="0"/>
        <w:ind w:left="2940"/>
        <w:rPr>
          <w:bCs/>
          <w:u w:val="single"/>
        </w:rPr>
      </w:pPr>
      <w:r>
        <w:rPr>
          <w:bCs/>
          <w:u w:val="single"/>
        </w:rPr>
        <w:t>b.</w:t>
      </w:r>
      <w:r>
        <w:rPr>
          <w:bCs/>
          <w:u w:val="single"/>
        </w:rPr>
        <w:tab/>
        <w:t xml:space="preserve">Ratify all stakeholders involved in the NSW, including government agencies, importers, exporters, customs, and other relevant parties. </w:t>
      </w:r>
    </w:p>
    <w:p w14:paraId="57EAE63F" w14:textId="77777777" w:rsidR="00157AAA" w:rsidRDefault="006C1BE5" w:rsidP="001136D3">
      <w:pPr>
        <w:pStyle w:val="ListParagraph"/>
        <w:spacing w:after="0"/>
        <w:ind w:left="2940"/>
        <w:rPr>
          <w:bCs/>
          <w:u w:val="single"/>
        </w:rPr>
      </w:pPr>
      <w:r>
        <w:rPr>
          <w:bCs/>
          <w:u w:val="single"/>
        </w:rPr>
        <w:t>c.</w:t>
      </w:r>
      <w:r>
        <w:rPr>
          <w:bCs/>
          <w:u w:val="single"/>
        </w:rPr>
        <w:tab/>
        <w:t xml:space="preserve">Comprehend their needs, requirements, and expectations from the NSW system. </w:t>
      </w:r>
    </w:p>
    <w:p w14:paraId="698FD461" w14:textId="77777777" w:rsidR="00157AAA" w:rsidRDefault="006C1BE5" w:rsidP="001136D3">
      <w:pPr>
        <w:pStyle w:val="ListParagraph"/>
        <w:spacing w:after="0"/>
        <w:ind w:left="2940"/>
        <w:rPr>
          <w:bCs/>
          <w:u w:val="single"/>
        </w:rPr>
      </w:pPr>
      <w:r>
        <w:rPr>
          <w:bCs/>
          <w:u w:val="single"/>
        </w:rPr>
        <w:t>d.</w:t>
      </w:r>
      <w:r>
        <w:rPr>
          <w:bCs/>
          <w:u w:val="single"/>
        </w:rPr>
        <w:tab/>
        <w:t>Ensure that the NSW system design complies with all relevant EU international and local trade regulations and standards.</w:t>
      </w:r>
    </w:p>
    <w:p w14:paraId="4DD370BE" w14:textId="77777777" w:rsidR="00157AAA" w:rsidRDefault="006C1BE5" w:rsidP="001136D3">
      <w:pPr>
        <w:pStyle w:val="ListParagraph"/>
        <w:spacing w:after="0"/>
        <w:ind w:left="2940"/>
        <w:rPr>
          <w:bCs/>
          <w:u w:val="single"/>
        </w:rPr>
      </w:pPr>
      <w:r>
        <w:rPr>
          <w:bCs/>
          <w:u w:val="single"/>
        </w:rPr>
        <w:t>e.</w:t>
      </w:r>
      <w:r>
        <w:rPr>
          <w:bCs/>
          <w:u w:val="single"/>
        </w:rPr>
        <w:tab/>
        <w:t>Requirements Gathering of the detailed requirements from stakeholders regarding the functionality and features of the NSW system.</w:t>
      </w:r>
    </w:p>
    <w:p w14:paraId="43990B41" w14:textId="77777777" w:rsidR="00157AAA" w:rsidRDefault="006C1BE5" w:rsidP="00D530D5">
      <w:pPr>
        <w:pStyle w:val="ListParagraph"/>
        <w:numPr>
          <w:ilvl w:val="0"/>
          <w:numId w:val="146"/>
        </w:numPr>
        <w:spacing w:after="0"/>
        <w:rPr>
          <w:bCs/>
          <w:u w:val="single"/>
        </w:rPr>
      </w:pPr>
      <w:r>
        <w:rPr>
          <w:bCs/>
          <w:u w:val="single"/>
        </w:rPr>
        <w:t xml:space="preserve">Project Methodology Document – the document should undertake the following topics: </w:t>
      </w:r>
    </w:p>
    <w:p w14:paraId="61519B79" w14:textId="77777777" w:rsidR="00157AAA" w:rsidRDefault="006C1BE5" w:rsidP="001136D3">
      <w:pPr>
        <w:pStyle w:val="ListParagraph"/>
        <w:spacing w:after="0"/>
        <w:ind w:left="2940"/>
        <w:rPr>
          <w:bCs/>
          <w:u w:val="single"/>
        </w:rPr>
      </w:pPr>
      <w:r>
        <w:rPr>
          <w:bCs/>
          <w:u w:val="single"/>
        </w:rPr>
        <w:t>a.</w:t>
      </w:r>
      <w:r>
        <w:rPr>
          <w:bCs/>
          <w:u w:val="single"/>
        </w:rPr>
        <w:tab/>
        <w:t xml:space="preserve">Adopt in this phase methodologies framework like Agile and prototyping used by organizes teams to plan, execute, and manage the process of building software. These framework emphasis on early user feedback and design validation by end user. </w:t>
      </w:r>
    </w:p>
    <w:p w14:paraId="12C64927" w14:textId="77777777" w:rsidR="00157AAA" w:rsidRDefault="006C1BE5" w:rsidP="001136D3">
      <w:pPr>
        <w:pStyle w:val="ListParagraph"/>
        <w:spacing w:after="0"/>
        <w:ind w:left="2940"/>
        <w:rPr>
          <w:bCs/>
          <w:u w:val="single"/>
        </w:rPr>
      </w:pPr>
      <w:r>
        <w:rPr>
          <w:bCs/>
          <w:u w:val="single"/>
        </w:rPr>
        <w:t>b.</w:t>
      </w:r>
      <w:r>
        <w:rPr>
          <w:bCs/>
          <w:u w:val="single"/>
        </w:rPr>
        <w:tab/>
        <w:t>System architecture design providing modeling, visualization, and documentation capabilities under software system design tools</w:t>
      </w:r>
    </w:p>
    <w:p w14:paraId="2A0EBE9C" w14:textId="4837F1AB" w:rsidR="00FD0EC9" w:rsidRDefault="00FD0EC9" w:rsidP="00206014">
      <w:pPr>
        <w:pStyle w:val="ListParagraph"/>
        <w:ind w:left="709"/>
        <w:contextualSpacing w:val="0"/>
      </w:pPr>
      <w:bookmarkStart w:id="741" w:name="_Toc521498256"/>
      <w:bookmarkStart w:id="742" w:name="_Toc145658535"/>
      <w:bookmarkEnd w:id="734"/>
      <w:r>
        <w:t xml:space="preserve"> </w:t>
      </w:r>
    </w:p>
    <w:p w14:paraId="5C8D8A50" w14:textId="77777777" w:rsidR="00157AAA" w:rsidRDefault="006C1BE5">
      <w:pPr>
        <w:pStyle w:val="Head5a1"/>
      </w:pPr>
      <w:r>
        <w:lastRenderedPageBreak/>
        <w:t>D.  Technology Specifications</w:t>
      </w:r>
      <w:bookmarkEnd w:id="741"/>
      <w:r>
        <w:t xml:space="preserve"> – Supply &amp; Install Items</w:t>
      </w:r>
      <w:bookmarkEnd w:id="742"/>
    </w:p>
    <w:p w14:paraId="3D000DBB" w14:textId="77777777" w:rsidR="00157AAA" w:rsidRDefault="006C1BE5">
      <w:pPr>
        <w:pStyle w:val="Head5a2"/>
      </w:pPr>
      <w:bookmarkStart w:id="743" w:name="_Toc521498257"/>
      <w:bookmarkStart w:id="744" w:name="_Toc145658536"/>
      <w:r>
        <w:t>3.0</w:t>
      </w:r>
      <w:r>
        <w:tab/>
        <w:t>General Technical Requirements</w:t>
      </w:r>
      <w:bookmarkEnd w:id="743"/>
      <w:bookmarkEnd w:id="744"/>
    </w:p>
    <w:p w14:paraId="461BA3A3" w14:textId="77777777" w:rsidR="00157AAA" w:rsidRDefault="00157AAA">
      <w:pPr>
        <w:ind w:left="2160" w:hanging="720"/>
      </w:pPr>
    </w:p>
    <w:p w14:paraId="2D6182DA" w14:textId="77777777" w:rsidR="00157AAA" w:rsidRDefault="006C1BE5">
      <w:pPr>
        <w:pStyle w:val="NormalWeb"/>
        <w:spacing w:before="0" w:beforeAutospacing="0" w:after="0" w:afterAutospacing="0"/>
        <w:ind w:firstLine="720"/>
        <w:rPr>
          <w:rFonts w:ascii="Times New Roman" w:hAnsi="Times New Roman" w:cs="Times New Roman"/>
          <w:b/>
        </w:rPr>
      </w:pPr>
      <w:r>
        <w:rPr>
          <w:rFonts w:ascii="Times New Roman" w:hAnsi="Times New Roman" w:cs="Times New Roman"/>
          <w:b/>
          <w:bCs/>
          <w:color w:val="000000"/>
        </w:rPr>
        <w:t>3.0.1 Power Supply Standard</w:t>
      </w:r>
    </w:p>
    <w:p w14:paraId="10E5A87C" w14:textId="77777777" w:rsidR="00157AAA" w:rsidRDefault="00157AAA">
      <w:pPr>
        <w:pStyle w:val="NormalWeb"/>
        <w:spacing w:before="0" w:beforeAutospacing="0" w:after="0" w:afterAutospacing="0"/>
        <w:rPr>
          <w:rFonts w:ascii="Times New Roman" w:hAnsi="Times New Roman" w:cs="Times New Roman"/>
          <w:color w:val="000000"/>
        </w:rPr>
      </w:pPr>
    </w:p>
    <w:p w14:paraId="557D54DE" w14:textId="77777777" w:rsidR="00157AAA" w:rsidRDefault="006C1BE5">
      <w:pPr>
        <w:pStyle w:val="NormalWeb"/>
        <w:spacing w:before="0" w:beforeAutospacing="0" w:after="0" w:afterAutospacing="0"/>
        <w:ind w:left="720"/>
        <w:rPr>
          <w:rFonts w:ascii="Times New Roman" w:hAnsi="Times New Roman" w:cs="Times New Roman"/>
          <w:color w:val="000000"/>
        </w:rPr>
      </w:pPr>
      <w:r>
        <w:rPr>
          <w:rFonts w:ascii="Times New Roman" w:hAnsi="Times New Roman" w:cs="Times New Roman"/>
          <w:color w:val="000000"/>
        </w:rPr>
        <w:t xml:space="preserve">All electrical equipment must be powered </w:t>
      </w:r>
      <w:proofErr w:type="gramStart"/>
      <w:r>
        <w:rPr>
          <w:rFonts w:ascii="Times New Roman" w:hAnsi="Times New Roman" w:cs="Times New Roman"/>
          <w:color w:val="000000"/>
        </w:rPr>
        <w:t>with</w:t>
      </w:r>
      <w:proofErr w:type="gramEnd"/>
      <w:r>
        <w:rPr>
          <w:rFonts w:ascii="Times New Roman" w:hAnsi="Times New Roman" w:cs="Times New Roman"/>
          <w:color w:val="000000"/>
        </w:rPr>
        <w:t xml:space="preserve"> 230V, 50Hz AC and must be equipped with C13-C14 power cords.</w:t>
      </w:r>
    </w:p>
    <w:p w14:paraId="2799B1BF" w14:textId="77777777" w:rsidR="00157AAA" w:rsidRDefault="006C1BE5">
      <w:pPr>
        <w:pStyle w:val="NormalWeb"/>
        <w:spacing w:before="0" w:beforeAutospacing="0" w:after="0" w:afterAutospacing="0"/>
        <w:ind w:left="720"/>
        <w:rPr>
          <w:rFonts w:ascii="Times New Roman" w:hAnsi="Times New Roman" w:cs="Times New Roman"/>
          <w:color w:val="000000"/>
        </w:rPr>
      </w:pPr>
      <w:r>
        <w:rPr>
          <w:rFonts w:ascii="Times New Roman" w:hAnsi="Times New Roman" w:cs="Times New Roman"/>
          <w:color w:val="000000"/>
        </w:rPr>
        <w:t>The equipment must be suited for operation under Central European land climate and weather conditions without requiring a special preparation process.</w:t>
      </w:r>
    </w:p>
    <w:p w14:paraId="4E44A9FA" w14:textId="77777777" w:rsidR="00157AAA" w:rsidRDefault="00157AAA">
      <w:pPr>
        <w:pStyle w:val="NormalWeb"/>
        <w:spacing w:before="0" w:beforeAutospacing="0" w:after="0" w:afterAutospacing="0"/>
        <w:ind w:left="720"/>
        <w:rPr>
          <w:rFonts w:ascii="Times New Roman" w:hAnsi="Times New Roman" w:cs="Times New Roman"/>
        </w:rPr>
      </w:pPr>
    </w:p>
    <w:p w14:paraId="3B39C180" w14:textId="77777777" w:rsidR="00157AAA" w:rsidRDefault="006C1BE5">
      <w:pPr>
        <w:pStyle w:val="NormalWeb"/>
        <w:spacing w:before="0" w:beforeAutospacing="0" w:after="0" w:afterAutospacing="0"/>
        <w:ind w:firstLine="720"/>
        <w:rPr>
          <w:rFonts w:ascii="Times New Roman" w:hAnsi="Times New Roman" w:cs="Times New Roman"/>
          <w:b/>
        </w:rPr>
      </w:pPr>
      <w:r>
        <w:rPr>
          <w:rFonts w:ascii="Times New Roman" w:hAnsi="Times New Roman" w:cs="Times New Roman"/>
          <w:b/>
          <w:bCs/>
          <w:color w:val="000000"/>
        </w:rPr>
        <w:t xml:space="preserve">3.0.2 Environmental Standard  </w:t>
      </w:r>
    </w:p>
    <w:p w14:paraId="31C111A2" w14:textId="77777777" w:rsidR="00157AAA" w:rsidRDefault="00157AAA">
      <w:pPr>
        <w:pStyle w:val="NormalWeb"/>
        <w:spacing w:before="0" w:beforeAutospacing="0" w:after="0" w:afterAutospacing="0"/>
        <w:ind w:left="720"/>
        <w:rPr>
          <w:rFonts w:ascii="Times New Roman" w:hAnsi="Times New Roman" w:cs="Times New Roman"/>
        </w:rPr>
      </w:pPr>
    </w:p>
    <w:p w14:paraId="56CE4E4A" w14:textId="77777777" w:rsidR="00157AAA" w:rsidRDefault="006C1BE5">
      <w:pPr>
        <w:pStyle w:val="NormalWeb"/>
        <w:spacing w:before="0" w:beforeAutospacing="0" w:after="0" w:afterAutospacing="0"/>
        <w:ind w:left="720"/>
        <w:rPr>
          <w:rFonts w:ascii="Times New Roman" w:hAnsi="Times New Roman" w:cs="Times New Roman"/>
        </w:rPr>
      </w:pPr>
      <w:r>
        <w:rPr>
          <w:rFonts w:ascii="Times New Roman" w:hAnsi="Times New Roman" w:cs="Times New Roman"/>
          <w:color w:val="000000"/>
        </w:rPr>
        <w:t xml:space="preserve">The equipment must comply </w:t>
      </w:r>
      <w:proofErr w:type="gramStart"/>
      <w:r>
        <w:rPr>
          <w:rFonts w:ascii="Times New Roman" w:hAnsi="Times New Roman" w:cs="Times New Roman"/>
          <w:color w:val="000000"/>
        </w:rPr>
        <w:t>to</w:t>
      </w:r>
      <w:proofErr w:type="gramEnd"/>
      <w:r>
        <w:rPr>
          <w:rFonts w:ascii="Times New Roman" w:hAnsi="Times New Roman" w:cs="Times New Roman"/>
          <w:color w:val="000000"/>
        </w:rPr>
        <w:t xml:space="preserve"> IEC 60 529 standard for indoor IT equipment operating under temperature range of 10°C – 40°C, relative humidity range of 20% – 80% and IP 20 protection level, and must have RoHS certificate and comply to CE, WEEE standards.</w:t>
      </w:r>
    </w:p>
    <w:p w14:paraId="439E4FF0" w14:textId="77777777" w:rsidR="00157AAA" w:rsidRDefault="006C1BE5">
      <w:pPr>
        <w:pStyle w:val="NormalWeb"/>
        <w:spacing w:before="0" w:beforeAutospacing="0" w:after="0" w:afterAutospacing="0"/>
        <w:rPr>
          <w:rFonts w:ascii="Times New Roman" w:hAnsi="Times New Roman" w:cs="Times New Roman"/>
        </w:rPr>
      </w:pPr>
      <w:r>
        <w:rPr>
          <w:rFonts w:ascii="Times New Roman" w:hAnsi="Times New Roman" w:cs="Times New Roman"/>
        </w:rPr>
        <w:t> </w:t>
      </w:r>
    </w:p>
    <w:p w14:paraId="2B6D88F9" w14:textId="77777777" w:rsidR="00157AAA" w:rsidRDefault="006C1BE5">
      <w:pPr>
        <w:pStyle w:val="NormalWeb"/>
        <w:spacing w:before="0" w:beforeAutospacing="0" w:after="0" w:afterAutospacing="0"/>
        <w:ind w:firstLine="720"/>
        <w:rPr>
          <w:rFonts w:ascii="Times New Roman" w:hAnsi="Times New Roman" w:cs="Times New Roman"/>
          <w:b/>
          <w:bCs/>
          <w:color w:val="000000"/>
        </w:rPr>
      </w:pPr>
      <w:r>
        <w:rPr>
          <w:rFonts w:ascii="Times New Roman" w:hAnsi="Times New Roman" w:cs="Times New Roman"/>
          <w:b/>
          <w:bCs/>
          <w:color w:val="000000"/>
        </w:rPr>
        <w:t>3.0.3 Installation, Configuration and Start-up</w:t>
      </w:r>
    </w:p>
    <w:p w14:paraId="242C89AE" w14:textId="77777777" w:rsidR="00157AAA" w:rsidRDefault="00157AAA">
      <w:pPr>
        <w:pStyle w:val="NormalWeb"/>
        <w:spacing w:before="0" w:beforeAutospacing="0" w:after="0" w:afterAutospacing="0"/>
        <w:rPr>
          <w:rFonts w:ascii="Times New Roman" w:hAnsi="Times New Roman" w:cs="Times New Roman"/>
        </w:rPr>
      </w:pPr>
    </w:p>
    <w:p w14:paraId="5BAAAE27" w14:textId="77777777" w:rsidR="00157AAA" w:rsidRDefault="006C1BE5">
      <w:pPr>
        <w:pStyle w:val="NormalWeb"/>
        <w:spacing w:before="0" w:beforeAutospacing="0" w:after="0" w:afterAutospacing="0"/>
        <w:ind w:left="720"/>
        <w:rPr>
          <w:rFonts w:ascii="Times New Roman" w:hAnsi="Times New Roman" w:cs="Times New Roman"/>
          <w:color w:val="000000"/>
        </w:rPr>
      </w:pPr>
      <w:r>
        <w:rPr>
          <w:rFonts w:ascii="Times New Roman" w:hAnsi="Times New Roman" w:cs="Times New Roman"/>
          <w:color w:val="000000"/>
        </w:rPr>
        <w:t>The Supplier must include in their offer a complete set of required cables, patch cords, power cords, Ethernet cables, appropriate FC cables, accessories and other physical modules required for the proposed equipment/system to operate in accordance with specifications.</w:t>
      </w:r>
    </w:p>
    <w:p w14:paraId="06B36FC5" w14:textId="77777777" w:rsidR="00157AAA" w:rsidRDefault="006C1BE5">
      <w:pPr>
        <w:pStyle w:val="NormalWeb"/>
        <w:spacing w:before="0" w:beforeAutospacing="0" w:after="0" w:afterAutospacing="0"/>
        <w:ind w:left="720"/>
        <w:rPr>
          <w:rFonts w:ascii="Times New Roman" w:hAnsi="Times New Roman" w:cs="Times New Roman"/>
        </w:rPr>
      </w:pPr>
      <w:r>
        <w:rPr>
          <w:rFonts w:ascii="Times New Roman" w:hAnsi="Times New Roman" w:cs="Times New Roman"/>
          <w:color w:val="000000"/>
        </w:rPr>
        <w:t>Delivered servers must be equipped with all necessary items for installation and start-up: e.g., rack rails and hardware, cable management hardware, intra-rack cables, documentation CD, etc.</w:t>
      </w:r>
    </w:p>
    <w:p w14:paraId="4BC7271F" w14:textId="77777777" w:rsidR="00157AAA" w:rsidRDefault="006C1BE5" w:rsidP="001136D3">
      <w:pPr>
        <w:pStyle w:val="NormalWeb"/>
        <w:spacing w:before="0" w:beforeAutospacing="0" w:after="0" w:afterAutospacing="0"/>
        <w:ind w:left="720" w:firstLine="60"/>
        <w:rPr>
          <w:rFonts w:ascii="Times New Roman" w:hAnsi="Times New Roman" w:cs="Times New Roman"/>
          <w:color w:val="000000"/>
        </w:rPr>
      </w:pPr>
      <w:r>
        <w:rPr>
          <w:rFonts w:ascii="Times New Roman" w:hAnsi="Times New Roman" w:cs="Times New Roman"/>
          <w:color w:val="000000"/>
        </w:rPr>
        <w:t xml:space="preserve">The Supplier will be responsible for installation, configuration and start-up of the supplies delivered in accordance with the Technical Specifications and the directions provided by the Beneficiary. </w:t>
      </w:r>
    </w:p>
    <w:p w14:paraId="2CB2F37C" w14:textId="77777777" w:rsidR="00157AAA" w:rsidRDefault="006C1BE5">
      <w:pPr>
        <w:pStyle w:val="NormalWeb"/>
        <w:spacing w:before="0" w:beforeAutospacing="0" w:after="0" w:afterAutospacing="0"/>
        <w:ind w:left="720"/>
        <w:rPr>
          <w:rFonts w:ascii="Times New Roman" w:hAnsi="Times New Roman" w:cs="Times New Roman"/>
          <w:color w:val="000000"/>
        </w:rPr>
      </w:pPr>
      <w:r>
        <w:rPr>
          <w:rFonts w:ascii="Times New Roman" w:hAnsi="Times New Roman" w:cs="Times New Roman"/>
          <w:color w:val="000000"/>
        </w:rPr>
        <w:t>Cable management is mandatory. All cables must be labelled on both ends according to the Contractor proposition and Beneficiary approval.</w:t>
      </w:r>
    </w:p>
    <w:p w14:paraId="2146091D" w14:textId="77777777" w:rsidR="00157AAA" w:rsidRDefault="006C1BE5">
      <w:pPr>
        <w:pStyle w:val="NormalWeb"/>
        <w:spacing w:before="0" w:beforeAutospacing="0" w:after="0" w:afterAutospacing="0"/>
        <w:ind w:left="720"/>
        <w:rPr>
          <w:rFonts w:ascii="Times New Roman" w:hAnsi="Times New Roman" w:cs="Times New Roman"/>
          <w:color w:val="000000"/>
        </w:rPr>
      </w:pPr>
      <w:r>
        <w:rPr>
          <w:rFonts w:ascii="Times New Roman" w:hAnsi="Times New Roman" w:cs="Times New Roman"/>
          <w:color w:val="000000"/>
        </w:rPr>
        <w:t>The Supplier will be responsible for integration of the supplies delivered with the existing infrastructure.</w:t>
      </w:r>
    </w:p>
    <w:p w14:paraId="08F294DA" w14:textId="77777777" w:rsidR="00157AAA" w:rsidRDefault="006C1BE5">
      <w:pPr>
        <w:pStyle w:val="NormalWeb"/>
        <w:spacing w:before="0" w:beforeAutospacing="0" w:after="0" w:afterAutospacing="0"/>
        <w:ind w:left="720"/>
        <w:rPr>
          <w:rFonts w:ascii="Times New Roman" w:hAnsi="Times New Roman" w:cs="Times New Roman"/>
        </w:rPr>
      </w:pPr>
      <w:r>
        <w:rPr>
          <w:rFonts w:ascii="Times New Roman" w:hAnsi="Times New Roman" w:cs="Times New Roman"/>
          <w:color w:val="000000"/>
        </w:rPr>
        <w:t>The installation services must be performed by personnel having relevant Vendor certifications.</w:t>
      </w:r>
    </w:p>
    <w:p w14:paraId="4291B829" w14:textId="77777777" w:rsidR="00157AAA" w:rsidRDefault="006C1BE5">
      <w:pPr>
        <w:pStyle w:val="Head5a2"/>
      </w:pPr>
      <w:bookmarkStart w:id="745" w:name="_Toc521498258"/>
      <w:bookmarkStart w:id="746" w:name="_Toc145658537"/>
      <w:r>
        <w:t>3.1</w:t>
      </w:r>
      <w:r>
        <w:tab/>
        <w:t>Computing Hardware Specifications</w:t>
      </w:r>
      <w:bookmarkEnd w:id="745"/>
      <w:bookmarkEnd w:id="746"/>
    </w:p>
    <w:p w14:paraId="664C41B7" w14:textId="77777777" w:rsidR="00157AAA" w:rsidRDefault="006C1BE5">
      <w:pPr>
        <w:pStyle w:val="NoSpacing"/>
        <w:rPr>
          <w:b/>
        </w:rPr>
      </w:pPr>
      <w:r>
        <w:rPr>
          <w:b/>
        </w:rPr>
        <w:t xml:space="preserve"> </w:t>
      </w:r>
    </w:p>
    <w:p w14:paraId="036968F0" w14:textId="77777777" w:rsidR="006D262D" w:rsidRDefault="006D262D">
      <w:pPr>
        <w:pStyle w:val="NoSpacing"/>
        <w:rPr>
          <w:b/>
        </w:rPr>
      </w:pPr>
    </w:p>
    <w:p w14:paraId="4E44224A" w14:textId="7565F111" w:rsidR="006D262D" w:rsidRDefault="006D262D">
      <w:pPr>
        <w:pStyle w:val="NoSpacing"/>
        <w:rPr>
          <w:b/>
        </w:rPr>
      </w:pPr>
      <w:r>
        <w:rPr>
          <w:noProof/>
        </w:rPr>
        <w:lastRenderedPageBreak/>
        <w:drawing>
          <wp:inline distT="0" distB="0" distL="0" distR="0" wp14:anchorId="62DDFFD3" wp14:editId="2CDA0BD2">
            <wp:extent cx="5486400" cy="4775835"/>
            <wp:effectExtent l="0" t="0" r="0" b="5715"/>
            <wp:docPr id="1416776104" name="Picture 1" descr="A diagram of a ser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76104" name="Picture 1" descr="A diagram of a server&#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4775835"/>
                    </a:xfrm>
                    <a:prstGeom prst="rect">
                      <a:avLst/>
                    </a:prstGeom>
                    <a:noFill/>
                    <a:ln>
                      <a:noFill/>
                    </a:ln>
                  </pic:spPr>
                </pic:pic>
              </a:graphicData>
            </a:graphic>
          </wp:inline>
        </w:drawing>
      </w:r>
    </w:p>
    <w:p w14:paraId="1F9D66AC" w14:textId="77777777" w:rsidR="006D262D" w:rsidRDefault="006D262D">
      <w:pPr>
        <w:pStyle w:val="NoSpacing"/>
        <w:rPr>
          <w:b/>
        </w:rPr>
      </w:pPr>
    </w:p>
    <w:p w14:paraId="53CD42F2" w14:textId="77777777" w:rsidR="006D262D" w:rsidRDefault="006D262D">
      <w:pPr>
        <w:pStyle w:val="NoSpacing"/>
        <w:rPr>
          <w:b/>
        </w:rPr>
      </w:pPr>
    </w:p>
    <w:p w14:paraId="5B7F89C8" w14:textId="77777777" w:rsidR="006D262D" w:rsidRDefault="006D262D">
      <w:pPr>
        <w:pStyle w:val="NoSpacing"/>
        <w:rPr>
          <w:b/>
        </w:rPr>
      </w:pPr>
    </w:p>
    <w:p w14:paraId="0E29D1E5" w14:textId="77777777" w:rsidR="006D262D" w:rsidRDefault="006D262D">
      <w:pPr>
        <w:pStyle w:val="NoSpacing"/>
        <w:rPr>
          <w:b/>
        </w:rPr>
      </w:pPr>
    </w:p>
    <w:p w14:paraId="58A29DA0" w14:textId="77777777" w:rsidR="00157AAA" w:rsidRDefault="00157AAA">
      <w:pPr>
        <w:ind w:left="2160" w:hanging="720"/>
      </w:pPr>
    </w:p>
    <w:p w14:paraId="313903F5" w14:textId="0CD8F907" w:rsidR="009C72F0" w:rsidRPr="00FE4C05" w:rsidRDefault="009C72F0" w:rsidP="009C72F0">
      <w:pPr>
        <w:pStyle w:val="NoSpacing"/>
      </w:pPr>
      <w:r w:rsidRPr="00FE4C05">
        <w:rPr>
          <w:b/>
        </w:rPr>
        <w:t>3.1.1.</w:t>
      </w:r>
      <w:r w:rsidRPr="00FE4C05">
        <w:t xml:space="preserve"> </w:t>
      </w:r>
      <w:r w:rsidRPr="00FE4C05">
        <w:rPr>
          <w:b/>
        </w:rPr>
        <w:t xml:space="preserve">Minimum Hardware Requirements </w:t>
      </w:r>
    </w:p>
    <w:p w14:paraId="735995EF" w14:textId="77777777" w:rsidR="009C72F0" w:rsidRPr="00FE4C05" w:rsidRDefault="009C72F0" w:rsidP="009C72F0">
      <w:pPr>
        <w:pStyle w:val="NormalWeb"/>
        <w:spacing w:before="120" w:beforeAutospacing="0" w:after="120" w:afterAutospacing="0"/>
        <w:ind w:left="567" w:hanging="567"/>
        <w:rPr>
          <w:rFonts w:ascii="Times New Roman" w:hAnsi="Times New Roman"/>
        </w:rPr>
      </w:pPr>
      <w:r w:rsidRPr="00FE4C05">
        <w:rPr>
          <w:rFonts w:ascii="Times New Roman" w:hAnsi="Times New Roman"/>
        </w:rPr>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274"/>
        <w:gridCol w:w="708"/>
      </w:tblGrid>
      <w:tr w:rsidR="009C72F0" w:rsidRPr="00FE4C05" w14:paraId="442B96BE" w14:textId="77777777" w:rsidTr="009C72F0">
        <w:trPr>
          <w:trHeight w:val="680"/>
          <w:jc w:val="center"/>
        </w:trPr>
        <w:tc>
          <w:tcPr>
            <w:tcW w:w="817" w:type="dxa"/>
            <w:shd w:val="clear" w:color="auto" w:fill="D5DCE4"/>
            <w:vAlign w:val="center"/>
            <w:hideMark/>
          </w:tcPr>
          <w:p w14:paraId="4ED9DA0D" w14:textId="77777777" w:rsidR="009C72F0" w:rsidRPr="00FE4C05" w:rsidRDefault="009C72F0" w:rsidP="009C72F0">
            <w:pPr>
              <w:jc w:val="center"/>
              <w:rPr>
                <w:b/>
                <w:bCs/>
                <w:szCs w:val="22"/>
                <w:lang w:val="sr-Latn-RS"/>
              </w:rPr>
            </w:pPr>
            <w:r w:rsidRPr="00FE4C05">
              <w:rPr>
                <w:b/>
                <w:bCs/>
                <w:szCs w:val="22"/>
              </w:rPr>
              <w:t>Item No</w:t>
            </w:r>
          </w:p>
        </w:tc>
        <w:tc>
          <w:tcPr>
            <w:tcW w:w="5274" w:type="dxa"/>
            <w:shd w:val="clear" w:color="auto" w:fill="D5DCE4"/>
            <w:noWrap/>
            <w:vAlign w:val="center"/>
            <w:hideMark/>
          </w:tcPr>
          <w:p w14:paraId="168EF1AD" w14:textId="77777777" w:rsidR="009C72F0" w:rsidRPr="00FE4C05" w:rsidRDefault="009C72F0" w:rsidP="009C72F0">
            <w:pPr>
              <w:jc w:val="center"/>
              <w:rPr>
                <w:b/>
                <w:bCs/>
                <w:szCs w:val="22"/>
              </w:rPr>
            </w:pPr>
            <w:r w:rsidRPr="00FE4C05">
              <w:rPr>
                <w:b/>
                <w:bCs/>
                <w:szCs w:val="22"/>
              </w:rPr>
              <w:t xml:space="preserve">Item </w:t>
            </w:r>
          </w:p>
        </w:tc>
        <w:tc>
          <w:tcPr>
            <w:tcW w:w="708" w:type="dxa"/>
            <w:tcBorders>
              <w:right w:val="single" w:sz="4" w:space="0" w:color="auto"/>
            </w:tcBorders>
            <w:shd w:val="clear" w:color="auto" w:fill="D5DCE4"/>
            <w:noWrap/>
            <w:vAlign w:val="center"/>
            <w:hideMark/>
          </w:tcPr>
          <w:p w14:paraId="04DA423B" w14:textId="77777777" w:rsidR="009C72F0" w:rsidRPr="00FE4C05" w:rsidRDefault="009C72F0" w:rsidP="009C72F0">
            <w:pPr>
              <w:jc w:val="center"/>
              <w:rPr>
                <w:b/>
                <w:bCs/>
                <w:szCs w:val="22"/>
              </w:rPr>
            </w:pPr>
            <w:r w:rsidRPr="00FE4C05">
              <w:rPr>
                <w:b/>
                <w:bCs/>
                <w:szCs w:val="22"/>
              </w:rPr>
              <w:t>Qty</w:t>
            </w:r>
          </w:p>
        </w:tc>
      </w:tr>
      <w:tr w:rsidR="009C72F0" w:rsidRPr="00FE4C05" w14:paraId="5D7DC9BD" w14:textId="77777777" w:rsidTr="009C72F0">
        <w:trPr>
          <w:trHeight w:val="288"/>
          <w:jc w:val="center"/>
        </w:trPr>
        <w:tc>
          <w:tcPr>
            <w:tcW w:w="817" w:type="dxa"/>
            <w:shd w:val="clear" w:color="auto" w:fill="auto"/>
            <w:noWrap/>
            <w:hideMark/>
          </w:tcPr>
          <w:p w14:paraId="5742D189" w14:textId="77777777" w:rsidR="009C72F0" w:rsidRPr="00FE4C05" w:rsidRDefault="009C72F0" w:rsidP="009C72F0">
            <w:pPr>
              <w:rPr>
                <w:szCs w:val="22"/>
              </w:rPr>
            </w:pPr>
            <w:r w:rsidRPr="00FE4C05">
              <w:rPr>
                <w:szCs w:val="22"/>
              </w:rPr>
              <w:t>1.1</w:t>
            </w:r>
          </w:p>
        </w:tc>
        <w:tc>
          <w:tcPr>
            <w:tcW w:w="5274" w:type="dxa"/>
            <w:shd w:val="clear" w:color="auto" w:fill="auto"/>
            <w:noWrap/>
            <w:hideMark/>
          </w:tcPr>
          <w:p w14:paraId="396D5ECB" w14:textId="77777777" w:rsidR="009C72F0" w:rsidRPr="00FE4C05" w:rsidRDefault="009C72F0" w:rsidP="009C72F0">
            <w:pPr>
              <w:rPr>
                <w:szCs w:val="22"/>
              </w:rPr>
            </w:pPr>
            <w:r w:rsidRPr="00FE4C05">
              <w:rPr>
                <w:szCs w:val="22"/>
              </w:rPr>
              <w:t xml:space="preserve">Server Rack with equipment </w:t>
            </w:r>
          </w:p>
        </w:tc>
        <w:tc>
          <w:tcPr>
            <w:tcW w:w="708" w:type="dxa"/>
            <w:tcBorders>
              <w:right w:val="single" w:sz="4" w:space="0" w:color="auto"/>
            </w:tcBorders>
            <w:shd w:val="clear" w:color="auto" w:fill="auto"/>
            <w:noWrap/>
            <w:hideMark/>
          </w:tcPr>
          <w:p w14:paraId="33DA6C69" w14:textId="77777777" w:rsidR="009C72F0" w:rsidRPr="00FE4C05" w:rsidRDefault="009C72F0" w:rsidP="009C72F0">
            <w:pPr>
              <w:rPr>
                <w:szCs w:val="22"/>
              </w:rPr>
            </w:pPr>
            <w:r w:rsidRPr="00FE4C05">
              <w:rPr>
                <w:szCs w:val="22"/>
              </w:rPr>
              <w:t>1</w:t>
            </w:r>
          </w:p>
        </w:tc>
      </w:tr>
      <w:tr w:rsidR="009C72F0" w:rsidRPr="00FE4C05" w14:paraId="17EC96D8" w14:textId="77777777" w:rsidTr="009C72F0">
        <w:trPr>
          <w:trHeight w:val="288"/>
          <w:jc w:val="center"/>
        </w:trPr>
        <w:tc>
          <w:tcPr>
            <w:tcW w:w="817" w:type="dxa"/>
            <w:shd w:val="clear" w:color="auto" w:fill="auto"/>
            <w:noWrap/>
            <w:hideMark/>
          </w:tcPr>
          <w:p w14:paraId="3DB15072" w14:textId="77777777" w:rsidR="009C72F0" w:rsidRPr="00FE4C05" w:rsidRDefault="009C72F0" w:rsidP="009C72F0">
            <w:pPr>
              <w:rPr>
                <w:szCs w:val="22"/>
              </w:rPr>
            </w:pPr>
            <w:r w:rsidRPr="00FE4C05">
              <w:rPr>
                <w:szCs w:val="22"/>
              </w:rPr>
              <w:t>1.2</w:t>
            </w:r>
          </w:p>
        </w:tc>
        <w:tc>
          <w:tcPr>
            <w:tcW w:w="5274" w:type="dxa"/>
            <w:shd w:val="clear" w:color="auto" w:fill="auto"/>
            <w:hideMark/>
          </w:tcPr>
          <w:p w14:paraId="5667F7C2" w14:textId="77777777" w:rsidR="009C72F0" w:rsidRPr="00FE4C05" w:rsidRDefault="009C72F0" w:rsidP="009C72F0">
            <w:pPr>
              <w:rPr>
                <w:szCs w:val="22"/>
              </w:rPr>
            </w:pPr>
            <w:r w:rsidRPr="00FE4C05">
              <w:rPr>
                <w:szCs w:val="22"/>
              </w:rPr>
              <w:t>Top-of-rack (</w:t>
            </w:r>
            <w:proofErr w:type="spellStart"/>
            <w:r w:rsidRPr="00FE4C05">
              <w:rPr>
                <w:szCs w:val="22"/>
              </w:rPr>
              <w:t>ToR</w:t>
            </w:r>
            <w:proofErr w:type="spellEnd"/>
            <w:r w:rsidRPr="00FE4C05">
              <w:rPr>
                <w:szCs w:val="22"/>
              </w:rPr>
              <w:t>) switches</w:t>
            </w:r>
          </w:p>
        </w:tc>
        <w:tc>
          <w:tcPr>
            <w:tcW w:w="708" w:type="dxa"/>
            <w:tcBorders>
              <w:right w:val="single" w:sz="4" w:space="0" w:color="auto"/>
            </w:tcBorders>
            <w:shd w:val="clear" w:color="auto" w:fill="auto"/>
            <w:noWrap/>
            <w:hideMark/>
          </w:tcPr>
          <w:p w14:paraId="6D98BF37" w14:textId="77777777" w:rsidR="009C72F0" w:rsidRPr="00FE4C05" w:rsidRDefault="009C72F0" w:rsidP="009C72F0">
            <w:pPr>
              <w:rPr>
                <w:szCs w:val="22"/>
              </w:rPr>
            </w:pPr>
            <w:r w:rsidRPr="00FE4C05">
              <w:rPr>
                <w:szCs w:val="22"/>
              </w:rPr>
              <w:t>2 + 1</w:t>
            </w:r>
          </w:p>
        </w:tc>
      </w:tr>
      <w:tr w:rsidR="009C72F0" w:rsidRPr="00FE4C05" w14:paraId="73560659" w14:textId="77777777" w:rsidTr="009C72F0">
        <w:trPr>
          <w:trHeight w:val="288"/>
          <w:jc w:val="center"/>
        </w:trPr>
        <w:tc>
          <w:tcPr>
            <w:tcW w:w="817" w:type="dxa"/>
            <w:shd w:val="clear" w:color="auto" w:fill="auto"/>
            <w:noWrap/>
            <w:hideMark/>
          </w:tcPr>
          <w:p w14:paraId="6A63ABAA" w14:textId="77777777" w:rsidR="009C72F0" w:rsidRPr="00FE4C05" w:rsidRDefault="009C72F0" w:rsidP="009C72F0">
            <w:pPr>
              <w:rPr>
                <w:szCs w:val="22"/>
              </w:rPr>
            </w:pPr>
            <w:r w:rsidRPr="00FE4C05">
              <w:rPr>
                <w:szCs w:val="22"/>
              </w:rPr>
              <w:t>1.3</w:t>
            </w:r>
          </w:p>
        </w:tc>
        <w:tc>
          <w:tcPr>
            <w:tcW w:w="5274" w:type="dxa"/>
            <w:shd w:val="clear" w:color="auto" w:fill="auto"/>
            <w:noWrap/>
            <w:hideMark/>
          </w:tcPr>
          <w:p w14:paraId="0CBD98BD" w14:textId="77777777" w:rsidR="009C72F0" w:rsidRPr="00FE4C05" w:rsidRDefault="009C72F0" w:rsidP="009C72F0">
            <w:pPr>
              <w:rPr>
                <w:szCs w:val="22"/>
              </w:rPr>
            </w:pPr>
            <w:r w:rsidRPr="00FE4C05">
              <w:rPr>
                <w:szCs w:val="22"/>
              </w:rPr>
              <w:t>Network Out-of-Band Management (OOBM) switch</w:t>
            </w:r>
          </w:p>
        </w:tc>
        <w:tc>
          <w:tcPr>
            <w:tcW w:w="708" w:type="dxa"/>
            <w:tcBorders>
              <w:right w:val="single" w:sz="4" w:space="0" w:color="auto"/>
            </w:tcBorders>
            <w:shd w:val="clear" w:color="auto" w:fill="auto"/>
            <w:noWrap/>
            <w:hideMark/>
          </w:tcPr>
          <w:p w14:paraId="6099476D" w14:textId="77777777" w:rsidR="009C72F0" w:rsidRPr="00FE4C05" w:rsidRDefault="009C72F0" w:rsidP="009C72F0">
            <w:pPr>
              <w:rPr>
                <w:szCs w:val="22"/>
              </w:rPr>
            </w:pPr>
            <w:r w:rsidRPr="00FE4C05">
              <w:rPr>
                <w:szCs w:val="22"/>
              </w:rPr>
              <w:t>2</w:t>
            </w:r>
          </w:p>
        </w:tc>
      </w:tr>
      <w:tr w:rsidR="009C72F0" w:rsidRPr="00FE4C05" w14:paraId="737501B2" w14:textId="77777777" w:rsidTr="009C72F0">
        <w:trPr>
          <w:trHeight w:val="288"/>
          <w:jc w:val="center"/>
        </w:trPr>
        <w:tc>
          <w:tcPr>
            <w:tcW w:w="817" w:type="dxa"/>
            <w:shd w:val="clear" w:color="auto" w:fill="auto"/>
            <w:noWrap/>
            <w:hideMark/>
          </w:tcPr>
          <w:p w14:paraId="463E77CC" w14:textId="77777777" w:rsidR="009C72F0" w:rsidRPr="00FE4C05" w:rsidRDefault="009C72F0" w:rsidP="009C72F0">
            <w:pPr>
              <w:rPr>
                <w:szCs w:val="22"/>
              </w:rPr>
            </w:pPr>
            <w:r w:rsidRPr="00FE4C05">
              <w:rPr>
                <w:szCs w:val="22"/>
              </w:rPr>
              <w:t>1.4</w:t>
            </w:r>
          </w:p>
        </w:tc>
        <w:tc>
          <w:tcPr>
            <w:tcW w:w="5274" w:type="dxa"/>
            <w:shd w:val="clear" w:color="auto" w:fill="auto"/>
            <w:noWrap/>
            <w:hideMark/>
          </w:tcPr>
          <w:p w14:paraId="6586A380" w14:textId="77777777" w:rsidR="009C72F0" w:rsidRPr="00FE4C05" w:rsidRDefault="009C72F0" w:rsidP="009C72F0">
            <w:pPr>
              <w:rPr>
                <w:szCs w:val="22"/>
              </w:rPr>
            </w:pPr>
            <w:r w:rsidRPr="00FE4C05">
              <w:rPr>
                <w:szCs w:val="22"/>
              </w:rPr>
              <w:t xml:space="preserve">Database Servers – Virtualized UNIX/Linux hosts        </w:t>
            </w:r>
          </w:p>
        </w:tc>
        <w:tc>
          <w:tcPr>
            <w:tcW w:w="708" w:type="dxa"/>
            <w:tcBorders>
              <w:right w:val="single" w:sz="4" w:space="0" w:color="auto"/>
            </w:tcBorders>
            <w:shd w:val="clear" w:color="auto" w:fill="auto"/>
            <w:noWrap/>
            <w:hideMark/>
          </w:tcPr>
          <w:p w14:paraId="793B4FE5" w14:textId="77777777" w:rsidR="009C72F0" w:rsidRPr="00FE4C05" w:rsidRDefault="009C72F0" w:rsidP="009C72F0">
            <w:pPr>
              <w:rPr>
                <w:szCs w:val="22"/>
              </w:rPr>
            </w:pPr>
            <w:r w:rsidRPr="00FE4C05">
              <w:rPr>
                <w:szCs w:val="22"/>
              </w:rPr>
              <w:t>2 + 1</w:t>
            </w:r>
          </w:p>
        </w:tc>
      </w:tr>
      <w:tr w:rsidR="009C72F0" w:rsidRPr="00FE4C05" w14:paraId="31B8D8D6" w14:textId="77777777" w:rsidTr="009C72F0">
        <w:trPr>
          <w:trHeight w:val="288"/>
          <w:jc w:val="center"/>
        </w:trPr>
        <w:tc>
          <w:tcPr>
            <w:tcW w:w="817" w:type="dxa"/>
            <w:shd w:val="clear" w:color="auto" w:fill="auto"/>
            <w:noWrap/>
            <w:hideMark/>
          </w:tcPr>
          <w:p w14:paraId="6ACEED17" w14:textId="77777777" w:rsidR="009C72F0" w:rsidRPr="00FE4C05" w:rsidRDefault="009C72F0" w:rsidP="009C72F0">
            <w:pPr>
              <w:rPr>
                <w:szCs w:val="22"/>
              </w:rPr>
            </w:pPr>
            <w:r w:rsidRPr="00FE4C05">
              <w:rPr>
                <w:szCs w:val="22"/>
              </w:rPr>
              <w:t>1.5</w:t>
            </w:r>
          </w:p>
        </w:tc>
        <w:tc>
          <w:tcPr>
            <w:tcW w:w="5274" w:type="dxa"/>
            <w:shd w:val="clear" w:color="auto" w:fill="auto"/>
            <w:noWrap/>
            <w:hideMark/>
          </w:tcPr>
          <w:p w14:paraId="1F6A8D0F" w14:textId="77777777" w:rsidR="009C72F0" w:rsidRPr="00FE4C05" w:rsidRDefault="009C72F0" w:rsidP="009C72F0">
            <w:pPr>
              <w:rPr>
                <w:szCs w:val="22"/>
              </w:rPr>
            </w:pPr>
            <w:r w:rsidRPr="00FE4C05">
              <w:rPr>
                <w:szCs w:val="22"/>
              </w:rPr>
              <w:t>General Compute Servers – Hypervisor hosts</w:t>
            </w:r>
          </w:p>
        </w:tc>
        <w:tc>
          <w:tcPr>
            <w:tcW w:w="708" w:type="dxa"/>
            <w:tcBorders>
              <w:right w:val="single" w:sz="4" w:space="0" w:color="auto"/>
            </w:tcBorders>
            <w:shd w:val="clear" w:color="auto" w:fill="auto"/>
            <w:noWrap/>
            <w:hideMark/>
          </w:tcPr>
          <w:p w14:paraId="55B23C1C" w14:textId="77777777" w:rsidR="009C72F0" w:rsidRPr="00FE4C05" w:rsidRDefault="009C72F0" w:rsidP="009C72F0">
            <w:pPr>
              <w:rPr>
                <w:szCs w:val="22"/>
              </w:rPr>
            </w:pPr>
            <w:r w:rsidRPr="00FE4C05">
              <w:rPr>
                <w:szCs w:val="22"/>
              </w:rPr>
              <w:t>4 + 1</w:t>
            </w:r>
          </w:p>
        </w:tc>
      </w:tr>
      <w:tr w:rsidR="009C72F0" w:rsidRPr="00FE4C05" w14:paraId="29EF1F35" w14:textId="77777777" w:rsidTr="009C72F0">
        <w:trPr>
          <w:trHeight w:val="288"/>
          <w:jc w:val="center"/>
        </w:trPr>
        <w:tc>
          <w:tcPr>
            <w:tcW w:w="817" w:type="dxa"/>
            <w:shd w:val="clear" w:color="auto" w:fill="auto"/>
            <w:noWrap/>
          </w:tcPr>
          <w:p w14:paraId="1B635B57" w14:textId="77777777" w:rsidR="009C72F0" w:rsidRPr="00FE4C05" w:rsidRDefault="009C72F0" w:rsidP="009C72F0">
            <w:pPr>
              <w:rPr>
                <w:szCs w:val="22"/>
              </w:rPr>
            </w:pPr>
            <w:r w:rsidRPr="00FE4C05">
              <w:rPr>
                <w:szCs w:val="22"/>
              </w:rPr>
              <w:t>1.6</w:t>
            </w:r>
          </w:p>
        </w:tc>
        <w:tc>
          <w:tcPr>
            <w:tcW w:w="5274" w:type="dxa"/>
            <w:shd w:val="clear" w:color="auto" w:fill="auto"/>
            <w:noWrap/>
          </w:tcPr>
          <w:p w14:paraId="4DB3EB07" w14:textId="77777777" w:rsidR="009C72F0" w:rsidRPr="00FE4C05" w:rsidRDefault="009C72F0" w:rsidP="009C72F0">
            <w:pPr>
              <w:rPr>
                <w:szCs w:val="22"/>
              </w:rPr>
            </w:pPr>
            <w:r w:rsidRPr="00FE4C05">
              <w:rPr>
                <w:szCs w:val="22"/>
              </w:rPr>
              <w:t>Central Storage Infrastructure</w:t>
            </w:r>
          </w:p>
        </w:tc>
        <w:tc>
          <w:tcPr>
            <w:tcW w:w="708" w:type="dxa"/>
            <w:tcBorders>
              <w:right w:val="single" w:sz="4" w:space="0" w:color="auto"/>
            </w:tcBorders>
            <w:shd w:val="clear" w:color="auto" w:fill="auto"/>
            <w:noWrap/>
          </w:tcPr>
          <w:p w14:paraId="0A4C3DE5" w14:textId="77777777" w:rsidR="009C72F0" w:rsidRPr="00FE4C05" w:rsidRDefault="009C72F0" w:rsidP="009C72F0">
            <w:pPr>
              <w:rPr>
                <w:szCs w:val="22"/>
              </w:rPr>
            </w:pPr>
            <w:r w:rsidRPr="00FE4C05">
              <w:rPr>
                <w:szCs w:val="22"/>
              </w:rPr>
              <w:t>1 + 1</w:t>
            </w:r>
          </w:p>
        </w:tc>
      </w:tr>
      <w:tr w:rsidR="009C72F0" w:rsidRPr="00FE4C05" w14:paraId="2B960617" w14:textId="77777777" w:rsidTr="009C72F0">
        <w:trPr>
          <w:trHeight w:val="288"/>
          <w:jc w:val="center"/>
        </w:trPr>
        <w:tc>
          <w:tcPr>
            <w:tcW w:w="817" w:type="dxa"/>
            <w:shd w:val="clear" w:color="auto" w:fill="auto"/>
            <w:noWrap/>
          </w:tcPr>
          <w:p w14:paraId="558D03C0" w14:textId="77777777" w:rsidR="009C72F0" w:rsidRPr="00FE4C05" w:rsidRDefault="009C72F0" w:rsidP="009C72F0">
            <w:pPr>
              <w:rPr>
                <w:szCs w:val="22"/>
              </w:rPr>
            </w:pPr>
            <w:r w:rsidRPr="00FE4C05">
              <w:rPr>
                <w:szCs w:val="22"/>
              </w:rPr>
              <w:lastRenderedPageBreak/>
              <w:t>1.7</w:t>
            </w:r>
          </w:p>
        </w:tc>
        <w:tc>
          <w:tcPr>
            <w:tcW w:w="5274" w:type="dxa"/>
            <w:shd w:val="clear" w:color="auto" w:fill="auto"/>
            <w:noWrap/>
          </w:tcPr>
          <w:p w14:paraId="1DD5D23D" w14:textId="77777777" w:rsidR="009C72F0" w:rsidRPr="00FE4C05" w:rsidRDefault="009C72F0" w:rsidP="009C72F0">
            <w:pPr>
              <w:rPr>
                <w:szCs w:val="22"/>
              </w:rPr>
            </w:pPr>
            <w:r w:rsidRPr="00FE4C05">
              <w:rPr>
                <w:szCs w:val="22"/>
              </w:rPr>
              <w:t xml:space="preserve">Central FC SAN </w:t>
            </w:r>
            <w:proofErr w:type="spellStart"/>
            <w:r w:rsidRPr="00FE4C05">
              <w:rPr>
                <w:szCs w:val="22"/>
              </w:rPr>
              <w:t>NVMe</w:t>
            </w:r>
            <w:proofErr w:type="spellEnd"/>
            <w:r w:rsidRPr="00FE4C05">
              <w:rPr>
                <w:szCs w:val="22"/>
              </w:rPr>
              <w:t xml:space="preserve"> Infrastructure</w:t>
            </w:r>
          </w:p>
        </w:tc>
        <w:tc>
          <w:tcPr>
            <w:tcW w:w="708" w:type="dxa"/>
            <w:tcBorders>
              <w:right w:val="single" w:sz="4" w:space="0" w:color="auto"/>
            </w:tcBorders>
            <w:shd w:val="clear" w:color="auto" w:fill="auto"/>
            <w:noWrap/>
          </w:tcPr>
          <w:p w14:paraId="2EEF40CF" w14:textId="77777777" w:rsidR="009C72F0" w:rsidRPr="00FE4C05" w:rsidRDefault="009C72F0" w:rsidP="009C72F0">
            <w:pPr>
              <w:rPr>
                <w:szCs w:val="22"/>
              </w:rPr>
            </w:pPr>
            <w:r w:rsidRPr="00FE4C05">
              <w:rPr>
                <w:szCs w:val="22"/>
              </w:rPr>
              <w:t>2</w:t>
            </w:r>
          </w:p>
        </w:tc>
      </w:tr>
      <w:tr w:rsidR="009C72F0" w:rsidRPr="00FE4C05" w14:paraId="536885FC" w14:textId="77777777" w:rsidTr="009C72F0">
        <w:trPr>
          <w:trHeight w:val="288"/>
          <w:jc w:val="center"/>
        </w:trPr>
        <w:tc>
          <w:tcPr>
            <w:tcW w:w="817" w:type="dxa"/>
            <w:shd w:val="clear" w:color="auto" w:fill="auto"/>
            <w:noWrap/>
          </w:tcPr>
          <w:p w14:paraId="35745F5F" w14:textId="77777777" w:rsidR="009C72F0" w:rsidRPr="00FE4C05" w:rsidRDefault="009C72F0" w:rsidP="009C72F0">
            <w:pPr>
              <w:rPr>
                <w:szCs w:val="22"/>
              </w:rPr>
            </w:pPr>
            <w:r w:rsidRPr="00FE4C05">
              <w:rPr>
                <w:szCs w:val="22"/>
              </w:rPr>
              <w:t>1.8</w:t>
            </w:r>
          </w:p>
        </w:tc>
        <w:tc>
          <w:tcPr>
            <w:tcW w:w="5274" w:type="dxa"/>
            <w:shd w:val="clear" w:color="auto" w:fill="auto"/>
            <w:noWrap/>
          </w:tcPr>
          <w:p w14:paraId="4C7B9022" w14:textId="77777777" w:rsidR="009C72F0" w:rsidRPr="00FE4C05" w:rsidRDefault="009C72F0" w:rsidP="009C72F0">
            <w:pPr>
              <w:rPr>
                <w:szCs w:val="22"/>
              </w:rPr>
            </w:pPr>
            <w:r w:rsidRPr="00FE4C05">
              <w:rPr>
                <w:szCs w:val="22"/>
              </w:rPr>
              <w:t>Backup server</w:t>
            </w:r>
          </w:p>
        </w:tc>
        <w:tc>
          <w:tcPr>
            <w:tcW w:w="708" w:type="dxa"/>
            <w:tcBorders>
              <w:right w:val="single" w:sz="4" w:space="0" w:color="auto"/>
            </w:tcBorders>
            <w:shd w:val="clear" w:color="auto" w:fill="auto"/>
            <w:noWrap/>
          </w:tcPr>
          <w:p w14:paraId="3B555346" w14:textId="77777777" w:rsidR="009C72F0" w:rsidRPr="00FE4C05" w:rsidRDefault="009C72F0" w:rsidP="009C72F0">
            <w:pPr>
              <w:rPr>
                <w:szCs w:val="22"/>
              </w:rPr>
            </w:pPr>
            <w:r w:rsidRPr="00FE4C05">
              <w:rPr>
                <w:szCs w:val="22"/>
              </w:rPr>
              <w:t>1</w:t>
            </w:r>
          </w:p>
        </w:tc>
      </w:tr>
      <w:tr w:rsidR="009C72F0" w:rsidRPr="00FE4C05" w14:paraId="5147CF09" w14:textId="77777777" w:rsidTr="009C72F0">
        <w:trPr>
          <w:trHeight w:val="288"/>
          <w:jc w:val="center"/>
        </w:trPr>
        <w:tc>
          <w:tcPr>
            <w:tcW w:w="817" w:type="dxa"/>
            <w:shd w:val="clear" w:color="auto" w:fill="auto"/>
            <w:noWrap/>
          </w:tcPr>
          <w:p w14:paraId="6BE9016A" w14:textId="77777777" w:rsidR="009C72F0" w:rsidRPr="00FE4C05" w:rsidRDefault="009C72F0" w:rsidP="009C72F0">
            <w:pPr>
              <w:rPr>
                <w:szCs w:val="22"/>
              </w:rPr>
            </w:pPr>
            <w:r w:rsidRPr="00FE4C05">
              <w:rPr>
                <w:szCs w:val="22"/>
              </w:rPr>
              <w:t>1.9</w:t>
            </w:r>
          </w:p>
        </w:tc>
        <w:tc>
          <w:tcPr>
            <w:tcW w:w="5274" w:type="dxa"/>
            <w:shd w:val="clear" w:color="auto" w:fill="auto"/>
            <w:noWrap/>
          </w:tcPr>
          <w:p w14:paraId="64E83CC9" w14:textId="77777777" w:rsidR="009C72F0" w:rsidRPr="00FE4C05" w:rsidRDefault="009C72F0" w:rsidP="009C72F0">
            <w:pPr>
              <w:rPr>
                <w:szCs w:val="22"/>
              </w:rPr>
            </w:pPr>
            <w:r w:rsidRPr="00FE4C05">
              <w:rPr>
                <w:szCs w:val="22"/>
              </w:rPr>
              <w:t xml:space="preserve">Backup storage </w:t>
            </w:r>
          </w:p>
        </w:tc>
        <w:tc>
          <w:tcPr>
            <w:tcW w:w="708" w:type="dxa"/>
            <w:tcBorders>
              <w:right w:val="single" w:sz="4" w:space="0" w:color="auto"/>
            </w:tcBorders>
            <w:shd w:val="clear" w:color="auto" w:fill="auto"/>
            <w:noWrap/>
          </w:tcPr>
          <w:p w14:paraId="3C70DFD5" w14:textId="77777777" w:rsidR="009C72F0" w:rsidRPr="00FE4C05" w:rsidRDefault="009C72F0" w:rsidP="009C72F0">
            <w:pPr>
              <w:rPr>
                <w:szCs w:val="22"/>
              </w:rPr>
            </w:pPr>
            <w:r w:rsidRPr="00FE4C05">
              <w:rPr>
                <w:szCs w:val="22"/>
              </w:rPr>
              <w:t>1</w:t>
            </w:r>
          </w:p>
        </w:tc>
      </w:tr>
      <w:tr w:rsidR="009C72F0" w:rsidRPr="00FE4C05" w14:paraId="1BA9DAFF" w14:textId="77777777" w:rsidTr="009C72F0">
        <w:trPr>
          <w:trHeight w:val="288"/>
          <w:jc w:val="center"/>
        </w:trPr>
        <w:tc>
          <w:tcPr>
            <w:tcW w:w="817" w:type="dxa"/>
            <w:shd w:val="clear" w:color="auto" w:fill="auto"/>
            <w:noWrap/>
          </w:tcPr>
          <w:p w14:paraId="4ADE723F" w14:textId="77777777" w:rsidR="009C72F0" w:rsidRPr="00FE4C05" w:rsidRDefault="009C72F0" w:rsidP="009C72F0">
            <w:pPr>
              <w:rPr>
                <w:szCs w:val="22"/>
              </w:rPr>
            </w:pPr>
            <w:r w:rsidRPr="00FE4C05">
              <w:rPr>
                <w:szCs w:val="22"/>
              </w:rPr>
              <w:t>1.10</w:t>
            </w:r>
          </w:p>
        </w:tc>
        <w:tc>
          <w:tcPr>
            <w:tcW w:w="5274" w:type="dxa"/>
            <w:shd w:val="clear" w:color="auto" w:fill="auto"/>
            <w:noWrap/>
          </w:tcPr>
          <w:p w14:paraId="52D1BCE4" w14:textId="77777777" w:rsidR="009C72F0" w:rsidRPr="00FE4C05" w:rsidRDefault="009C72F0" w:rsidP="009C72F0">
            <w:pPr>
              <w:rPr>
                <w:szCs w:val="22"/>
              </w:rPr>
            </w:pPr>
            <w:r w:rsidRPr="00FE4C05">
              <w:rPr>
                <w:szCs w:val="22"/>
              </w:rPr>
              <w:t>Backup software</w:t>
            </w:r>
          </w:p>
        </w:tc>
        <w:tc>
          <w:tcPr>
            <w:tcW w:w="708" w:type="dxa"/>
            <w:tcBorders>
              <w:right w:val="single" w:sz="4" w:space="0" w:color="auto"/>
            </w:tcBorders>
            <w:shd w:val="clear" w:color="auto" w:fill="auto"/>
            <w:noWrap/>
          </w:tcPr>
          <w:p w14:paraId="53486725" w14:textId="77777777" w:rsidR="009C72F0" w:rsidRPr="00FE4C05" w:rsidRDefault="009C72F0" w:rsidP="009C72F0">
            <w:pPr>
              <w:rPr>
                <w:szCs w:val="22"/>
              </w:rPr>
            </w:pPr>
            <w:r w:rsidRPr="00FE4C05">
              <w:rPr>
                <w:szCs w:val="22"/>
              </w:rPr>
              <w:t>1</w:t>
            </w:r>
          </w:p>
        </w:tc>
      </w:tr>
      <w:tr w:rsidR="009C72F0" w:rsidRPr="00FE4C05" w14:paraId="299C9F3F" w14:textId="77777777" w:rsidTr="009C72F0">
        <w:trPr>
          <w:trHeight w:val="288"/>
          <w:jc w:val="center"/>
        </w:trPr>
        <w:tc>
          <w:tcPr>
            <w:tcW w:w="817" w:type="dxa"/>
            <w:shd w:val="clear" w:color="auto" w:fill="auto"/>
            <w:noWrap/>
          </w:tcPr>
          <w:p w14:paraId="5E433955" w14:textId="77777777" w:rsidR="009C72F0" w:rsidRPr="00FE4C05" w:rsidRDefault="009C72F0" w:rsidP="009C72F0">
            <w:pPr>
              <w:rPr>
                <w:szCs w:val="22"/>
              </w:rPr>
            </w:pPr>
            <w:r w:rsidRPr="00FE4C05">
              <w:rPr>
                <w:szCs w:val="22"/>
              </w:rPr>
              <w:t>1.11</w:t>
            </w:r>
          </w:p>
        </w:tc>
        <w:tc>
          <w:tcPr>
            <w:tcW w:w="5274" w:type="dxa"/>
            <w:shd w:val="clear" w:color="auto" w:fill="auto"/>
            <w:noWrap/>
          </w:tcPr>
          <w:p w14:paraId="53FB63C5" w14:textId="77777777" w:rsidR="009C72F0" w:rsidRPr="00FE4C05" w:rsidRDefault="009C72F0" w:rsidP="009C72F0">
            <w:pPr>
              <w:rPr>
                <w:szCs w:val="22"/>
              </w:rPr>
            </w:pPr>
            <w:r w:rsidRPr="00FE4C05">
              <w:rPr>
                <w:szCs w:val="22"/>
              </w:rPr>
              <w:t>WAN Security devices</w:t>
            </w:r>
          </w:p>
        </w:tc>
        <w:tc>
          <w:tcPr>
            <w:tcW w:w="708" w:type="dxa"/>
            <w:tcBorders>
              <w:right w:val="single" w:sz="4" w:space="0" w:color="auto"/>
            </w:tcBorders>
            <w:shd w:val="clear" w:color="auto" w:fill="auto"/>
            <w:noWrap/>
          </w:tcPr>
          <w:p w14:paraId="6E2F5A00" w14:textId="77777777" w:rsidR="009C72F0" w:rsidRPr="00FE4C05" w:rsidRDefault="009C72F0" w:rsidP="009C72F0">
            <w:pPr>
              <w:rPr>
                <w:szCs w:val="22"/>
              </w:rPr>
            </w:pPr>
            <w:r w:rsidRPr="00FE4C05">
              <w:rPr>
                <w:szCs w:val="22"/>
              </w:rPr>
              <w:t>2 + 1</w:t>
            </w:r>
          </w:p>
        </w:tc>
      </w:tr>
      <w:tr w:rsidR="009C72F0" w:rsidRPr="00FE4C05" w14:paraId="5F1E3EF1" w14:textId="77777777" w:rsidTr="009C72F0">
        <w:trPr>
          <w:trHeight w:val="288"/>
          <w:jc w:val="center"/>
        </w:trPr>
        <w:tc>
          <w:tcPr>
            <w:tcW w:w="817" w:type="dxa"/>
            <w:shd w:val="clear" w:color="auto" w:fill="auto"/>
            <w:noWrap/>
          </w:tcPr>
          <w:p w14:paraId="7896076E" w14:textId="77777777" w:rsidR="009C72F0" w:rsidRPr="00FE4C05" w:rsidRDefault="009C72F0" w:rsidP="009C72F0">
            <w:pPr>
              <w:rPr>
                <w:szCs w:val="22"/>
              </w:rPr>
            </w:pPr>
            <w:r w:rsidRPr="00FE4C05">
              <w:rPr>
                <w:szCs w:val="22"/>
              </w:rPr>
              <w:t>1.12</w:t>
            </w:r>
          </w:p>
        </w:tc>
        <w:tc>
          <w:tcPr>
            <w:tcW w:w="5274" w:type="dxa"/>
            <w:shd w:val="clear" w:color="auto" w:fill="auto"/>
            <w:noWrap/>
          </w:tcPr>
          <w:p w14:paraId="2EA7F51B" w14:textId="77777777" w:rsidR="009C72F0" w:rsidRPr="00FE4C05" w:rsidRDefault="009C72F0" w:rsidP="009C72F0">
            <w:pPr>
              <w:rPr>
                <w:szCs w:val="22"/>
              </w:rPr>
            </w:pPr>
            <w:r w:rsidRPr="00FE4C05">
              <w:rPr>
                <w:szCs w:val="22"/>
              </w:rPr>
              <w:t>Server Endpoint Detection and Response (EDR) system</w:t>
            </w:r>
          </w:p>
        </w:tc>
        <w:tc>
          <w:tcPr>
            <w:tcW w:w="708" w:type="dxa"/>
            <w:tcBorders>
              <w:right w:val="single" w:sz="4" w:space="0" w:color="auto"/>
            </w:tcBorders>
            <w:shd w:val="clear" w:color="auto" w:fill="auto"/>
            <w:noWrap/>
          </w:tcPr>
          <w:p w14:paraId="7C72E73E" w14:textId="77777777" w:rsidR="009C72F0" w:rsidRPr="00FE4C05" w:rsidRDefault="009C72F0" w:rsidP="009C72F0">
            <w:pPr>
              <w:rPr>
                <w:szCs w:val="22"/>
              </w:rPr>
            </w:pPr>
            <w:r w:rsidRPr="00FE4C05">
              <w:rPr>
                <w:szCs w:val="22"/>
              </w:rPr>
              <w:t>1</w:t>
            </w:r>
          </w:p>
        </w:tc>
      </w:tr>
      <w:tr w:rsidR="009C72F0" w:rsidRPr="00FE4C05" w14:paraId="29BC1C58" w14:textId="77777777" w:rsidTr="009C72F0">
        <w:trPr>
          <w:trHeight w:val="288"/>
          <w:jc w:val="center"/>
        </w:trPr>
        <w:tc>
          <w:tcPr>
            <w:tcW w:w="817" w:type="dxa"/>
            <w:shd w:val="clear" w:color="auto" w:fill="auto"/>
            <w:noWrap/>
          </w:tcPr>
          <w:p w14:paraId="2661827D" w14:textId="77777777" w:rsidR="009C72F0" w:rsidRPr="00FE4C05" w:rsidRDefault="009C72F0" w:rsidP="009C72F0">
            <w:pPr>
              <w:rPr>
                <w:szCs w:val="22"/>
              </w:rPr>
            </w:pPr>
            <w:r w:rsidRPr="00FE4C05">
              <w:rPr>
                <w:szCs w:val="22"/>
              </w:rPr>
              <w:t>1.13</w:t>
            </w:r>
          </w:p>
        </w:tc>
        <w:tc>
          <w:tcPr>
            <w:tcW w:w="5274" w:type="dxa"/>
            <w:shd w:val="clear" w:color="auto" w:fill="auto"/>
            <w:noWrap/>
          </w:tcPr>
          <w:p w14:paraId="05D7AE36" w14:textId="77777777" w:rsidR="009C72F0" w:rsidRPr="00FE4C05" w:rsidRDefault="009C72F0" w:rsidP="009C72F0">
            <w:pPr>
              <w:rPr>
                <w:szCs w:val="22"/>
              </w:rPr>
            </w:pPr>
            <w:r w:rsidRPr="00FE4C05">
              <w:rPr>
                <w:szCs w:val="22"/>
              </w:rPr>
              <w:t>HW and SW Installation and configuration</w:t>
            </w:r>
          </w:p>
        </w:tc>
        <w:tc>
          <w:tcPr>
            <w:tcW w:w="708" w:type="dxa"/>
            <w:tcBorders>
              <w:right w:val="single" w:sz="4" w:space="0" w:color="auto"/>
            </w:tcBorders>
            <w:shd w:val="clear" w:color="auto" w:fill="auto"/>
            <w:noWrap/>
          </w:tcPr>
          <w:p w14:paraId="3E42F4F4" w14:textId="77777777" w:rsidR="009C72F0" w:rsidRPr="00FE4C05" w:rsidRDefault="009C72F0" w:rsidP="009C72F0">
            <w:pPr>
              <w:rPr>
                <w:szCs w:val="22"/>
              </w:rPr>
            </w:pPr>
            <w:r w:rsidRPr="00FE4C05">
              <w:rPr>
                <w:szCs w:val="22"/>
              </w:rPr>
              <w:t>1</w:t>
            </w:r>
          </w:p>
        </w:tc>
      </w:tr>
      <w:tr w:rsidR="009C72F0" w:rsidRPr="008E7FD1" w14:paraId="3BCB4161" w14:textId="77777777" w:rsidTr="009C72F0">
        <w:trPr>
          <w:trHeight w:val="288"/>
          <w:jc w:val="center"/>
        </w:trPr>
        <w:tc>
          <w:tcPr>
            <w:tcW w:w="817" w:type="dxa"/>
            <w:shd w:val="clear" w:color="auto" w:fill="auto"/>
            <w:noWrap/>
          </w:tcPr>
          <w:p w14:paraId="30981E6E" w14:textId="77777777" w:rsidR="009C72F0" w:rsidRPr="00FE4C05" w:rsidRDefault="009C72F0" w:rsidP="009C72F0">
            <w:pPr>
              <w:rPr>
                <w:szCs w:val="22"/>
              </w:rPr>
            </w:pPr>
            <w:bookmarkStart w:id="747" w:name="_Hlk157981301"/>
            <w:r w:rsidRPr="00FE4C05">
              <w:rPr>
                <w:szCs w:val="22"/>
              </w:rPr>
              <w:t>1.14</w:t>
            </w:r>
          </w:p>
        </w:tc>
        <w:tc>
          <w:tcPr>
            <w:tcW w:w="5274" w:type="dxa"/>
            <w:shd w:val="clear" w:color="auto" w:fill="auto"/>
            <w:noWrap/>
          </w:tcPr>
          <w:p w14:paraId="56D44038" w14:textId="77777777" w:rsidR="009C72F0" w:rsidRPr="00FE4C05" w:rsidRDefault="009C72F0" w:rsidP="009C72F0">
            <w:pPr>
              <w:rPr>
                <w:szCs w:val="22"/>
              </w:rPr>
            </w:pPr>
            <w:r w:rsidRPr="00FE4C05">
              <w:rPr>
                <w:szCs w:val="22"/>
              </w:rPr>
              <w:t>Software license –Relational</w:t>
            </w:r>
            <w:r w:rsidRPr="00FE4C05">
              <w:rPr>
                <w:szCs w:val="22"/>
              </w:rPr>
              <w:tab/>
              <w:t>Database Management</w:t>
            </w:r>
          </w:p>
        </w:tc>
        <w:tc>
          <w:tcPr>
            <w:tcW w:w="708" w:type="dxa"/>
            <w:tcBorders>
              <w:right w:val="single" w:sz="4" w:space="0" w:color="auto"/>
            </w:tcBorders>
            <w:shd w:val="clear" w:color="auto" w:fill="auto"/>
            <w:noWrap/>
          </w:tcPr>
          <w:p w14:paraId="27B09184" w14:textId="77777777" w:rsidR="009C72F0" w:rsidRPr="00FE4C05" w:rsidRDefault="009C72F0" w:rsidP="009C72F0">
            <w:pPr>
              <w:rPr>
                <w:szCs w:val="22"/>
              </w:rPr>
            </w:pPr>
            <w:r w:rsidRPr="00FE4C05">
              <w:rPr>
                <w:szCs w:val="22"/>
              </w:rPr>
              <w:t>4+2</w:t>
            </w:r>
          </w:p>
        </w:tc>
      </w:tr>
      <w:bookmarkEnd w:id="747"/>
    </w:tbl>
    <w:p w14:paraId="7185F6BD" w14:textId="77777777" w:rsidR="00157AAA" w:rsidRDefault="00157AAA">
      <w:pPr>
        <w:ind w:left="2160" w:hanging="720"/>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8075"/>
      </w:tblGrid>
      <w:tr w:rsidR="00285B1B" w:rsidRPr="00AC5790" w14:paraId="6CA676FA" w14:textId="77777777" w:rsidTr="00285B1B">
        <w:trPr>
          <w:trHeight w:val="879"/>
          <w:tblHeader/>
        </w:trPr>
        <w:tc>
          <w:tcPr>
            <w:tcW w:w="1134" w:type="dxa"/>
            <w:shd w:val="pct5" w:color="auto" w:fill="FFFFFF"/>
          </w:tcPr>
          <w:p w14:paraId="6B96F5A2" w14:textId="77777777" w:rsidR="00285B1B" w:rsidRPr="00FE4C05" w:rsidRDefault="00285B1B" w:rsidP="009C72F0">
            <w:pPr>
              <w:spacing w:after="0"/>
              <w:jc w:val="center"/>
              <w:rPr>
                <w:b/>
                <w:szCs w:val="24"/>
              </w:rPr>
            </w:pPr>
          </w:p>
          <w:p w14:paraId="195A2B95" w14:textId="77777777" w:rsidR="00285B1B" w:rsidRPr="00FE4C05" w:rsidRDefault="00285B1B" w:rsidP="009C72F0">
            <w:pPr>
              <w:spacing w:after="0"/>
              <w:jc w:val="center"/>
              <w:rPr>
                <w:b/>
                <w:szCs w:val="24"/>
              </w:rPr>
            </w:pPr>
            <w:r w:rsidRPr="00FE4C05">
              <w:rPr>
                <w:b/>
                <w:szCs w:val="24"/>
              </w:rPr>
              <w:t xml:space="preserve">Item </w:t>
            </w:r>
            <w:r w:rsidRPr="00FE4C05">
              <w:rPr>
                <w:b/>
                <w:szCs w:val="24"/>
                <w:lang w:val="en-GB"/>
              </w:rPr>
              <w:t>number</w:t>
            </w:r>
          </w:p>
        </w:tc>
        <w:tc>
          <w:tcPr>
            <w:tcW w:w="8075" w:type="dxa"/>
            <w:shd w:val="pct5" w:color="auto" w:fill="FFFFFF"/>
          </w:tcPr>
          <w:p w14:paraId="3346C3FA" w14:textId="77777777" w:rsidR="00285B1B" w:rsidRPr="00FE4C05" w:rsidRDefault="00285B1B" w:rsidP="009C72F0">
            <w:pPr>
              <w:spacing w:after="0"/>
              <w:rPr>
                <w:b/>
                <w:szCs w:val="24"/>
              </w:rPr>
            </w:pPr>
          </w:p>
          <w:p w14:paraId="3CD92749" w14:textId="77777777" w:rsidR="00285B1B" w:rsidRPr="00FE4C05" w:rsidRDefault="00285B1B" w:rsidP="009C72F0">
            <w:pPr>
              <w:spacing w:after="0"/>
              <w:jc w:val="center"/>
              <w:rPr>
                <w:b/>
                <w:szCs w:val="24"/>
              </w:rPr>
            </w:pPr>
            <w:r w:rsidRPr="00FE4C05">
              <w:rPr>
                <w:b/>
                <w:szCs w:val="24"/>
                <w:lang w:val="en-GB"/>
              </w:rPr>
              <w:t>Minimum required specifications</w:t>
            </w:r>
          </w:p>
        </w:tc>
      </w:tr>
      <w:tr w:rsidR="00285B1B" w:rsidRPr="00AC5790" w14:paraId="445F967B" w14:textId="77777777" w:rsidTr="00285B1B">
        <w:tc>
          <w:tcPr>
            <w:tcW w:w="1134" w:type="dxa"/>
          </w:tcPr>
          <w:p w14:paraId="492F34A7" w14:textId="77777777" w:rsidR="00285B1B" w:rsidRPr="00FE4C05" w:rsidRDefault="00285B1B" w:rsidP="009C72F0">
            <w:pPr>
              <w:spacing w:after="0"/>
              <w:rPr>
                <w:b/>
                <w:szCs w:val="24"/>
                <w:lang w:val="en-GB"/>
              </w:rPr>
            </w:pPr>
            <w:r w:rsidRPr="00FE4C05">
              <w:rPr>
                <w:b/>
                <w:szCs w:val="24"/>
                <w:lang w:val="en-GB"/>
              </w:rPr>
              <w:t>1.1</w:t>
            </w:r>
          </w:p>
        </w:tc>
        <w:tc>
          <w:tcPr>
            <w:tcW w:w="8075" w:type="dxa"/>
            <w:vAlign w:val="center"/>
          </w:tcPr>
          <w:p w14:paraId="3303D0CC" w14:textId="77777777" w:rsidR="00285B1B" w:rsidRPr="00FE4C05" w:rsidRDefault="00285B1B" w:rsidP="009C72F0">
            <w:pPr>
              <w:spacing w:after="0"/>
              <w:rPr>
                <w:b/>
                <w:szCs w:val="24"/>
                <w:lang w:val="en-GB"/>
              </w:rPr>
            </w:pPr>
            <w:r w:rsidRPr="00FE4C05">
              <w:rPr>
                <w:b/>
                <w:szCs w:val="24"/>
                <w:lang w:val="en-GB"/>
              </w:rPr>
              <w:t>Server Rack with equipment              Qty. 1</w:t>
            </w:r>
          </w:p>
          <w:p w14:paraId="346DEBB1" w14:textId="77777777" w:rsidR="00285B1B" w:rsidRPr="00FE4C05" w:rsidRDefault="00285B1B" w:rsidP="009C72F0">
            <w:pPr>
              <w:spacing w:after="0"/>
              <w:rPr>
                <w:bCs/>
                <w:szCs w:val="24"/>
                <w:lang w:val="en-GB"/>
              </w:rPr>
            </w:pPr>
          </w:p>
          <w:p w14:paraId="77F7A70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Rack Size: 19"</w:t>
            </w:r>
          </w:p>
          <w:p w14:paraId="72CF036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Height (Rack Units): 42U</w:t>
            </w:r>
          </w:p>
          <w:p w14:paraId="0AC20359" w14:textId="77777777" w:rsidR="00285B1B" w:rsidRPr="00FE4C05" w:rsidRDefault="00285B1B" w:rsidP="00D530D5">
            <w:pPr>
              <w:pStyle w:val="ListParagraph"/>
              <w:numPr>
                <w:ilvl w:val="0"/>
                <w:numId w:val="153"/>
              </w:numPr>
              <w:spacing w:after="0"/>
              <w:ind w:left="491" w:hanging="436"/>
              <w:rPr>
                <w:bCs/>
                <w:szCs w:val="24"/>
                <w:lang w:val="fr-BE"/>
              </w:rPr>
            </w:pPr>
            <w:proofErr w:type="spellStart"/>
            <w:r w:rsidRPr="00FE4C05">
              <w:rPr>
                <w:bCs/>
                <w:szCs w:val="24"/>
                <w:lang w:val="fr-BE"/>
              </w:rPr>
              <w:t>External</w:t>
            </w:r>
            <w:proofErr w:type="spellEnd"/>
            <w:r w:rsidRPr="00FE4C05">
              <w:rPr>
                <w:bCs/>
                <w:szCs w:val="24"/>
                <w:lang w:val="fr-BE"/>
              </w:rPr>
              <w:t xml:space="preserve"> dimensions (</w:t>
            </w:r>
            <w:proofErr w:type="spellStart"/>
            <w:r w:rsidRPr="00FE4C05">
              <w:rPr>
                <w:bCs/>
                <w:szCs w:val="24"/>
                <w:lang w:val="fr-BE"/>
              </w:rPr>
              <w:t>WxDxH</w:t>
            </w:r>
            <w:proofErr w:type="spellEnd"/>
            <w:proofErr w:type="gramStart"/>
            <w:r w:rsidRPr="00FE4C05">
              <w:rPr>
                <w:bCs/>
                <w:szCs w:val="24"/>
                <w:lang w:val="fr-BE"/>
              </w:rPr>
              <w:t>):</w:t>
            </w:r>
            <w:proofErr w:type="gramEnd"/>
            <w:r w:rsidRPr="00FE4C05">
              <w:rPr>
                <w:bCs/>
                <w:szCs w:val="24"/>
                <w:lang w:val="fr-BE"/>
              </w:rPr>
              <w:t xml:space="preserve"> (605 mm) x (1200 mm) x (2000 mm)</w:t>
            </w:r>
          </w:p>
          <w:p w14:paraId="5007361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Perforated lockable front and rear </w:t>
            </w:r>
            <w:proofErr w:type="gramStart"/>
            <w:r w:rsidRPr="00FE4C05">
              <w:rPr>
                <w:bCs/>
                <w:szCs w:val="24"/>
                <w:lang w:val="en-GB"/>
              </w:rPr>
              <w:t>doors</w:t>
            </w:r>
            <w:proofErr w:type="gramEnd"/>
          </w:p>
          <w:p w14:paraId="3FB2D22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Quick release doors with simple lift-off design</w:t>
            </w:r>
          </w:p>
          <w:p w14:paraId="4A349B5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Lockable Side Panels for easy handling and access to equipment</w:t>
            </w:r>
          </w:p>
          <w:p w14:paraId="5F38913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Adjustable </w:t>
            </w:r>
            <w:proofErr w:type="spellStart"/>
            <w:r w:rsidRPr="00FE4C05">
              <w:rPr>
                <w:bCs/>
                <w:szCs w:val="24"/>
                <w:lang w:val="en-GB"/>
              </w:rPr>
              <w:t>leveling</w:t>
            </w:r>
            <w:proofErr w:type="spellEnd"/>
            <w:r w:rsidRPr="00FE4C05">
              <w:rPr>
                <w:bCs/>
                <w:szCs w:val="24"/>
                <w:lang w:val="en-GB"/>
              </w:rPr>
              <w:t xml:space="preserve"> pads.</w:t>
            </w:r>
          </w:p>
          <w:p w14:paraId="18284D7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Rear Cable Channels for toolless mount of up to 8x 0U vertical power distribution units (PDU) rack strips, and vertical cable organizers</w:t>
            </w:r>
          </w:p>
          <w:p w14:paraId="5D319212" w14:textId="77777777" w:rsidR="00285B1B" w:rsidRPr="00FE4C05" w:rsidRDefault="00285B1B" w:rsidP="009C72F0">
            <w:pPr>
              <w:spacing w:after="0"/>
              <w:rPr>
                <w:b/>
                <w:szCs w:val="24"/>
                <w:lang w:val="en-GB"/>
              </w:rPr>
            </w:pPr>
          </w:p>
          <w:p w14:paraId="51BD9853" w14:textId="77777777" w:rsidR="00285B1B" w:rsidRPr="00FE4C05" w:rsidRDefault="00285B1B" w:rsidP="009C72F0">
            <w:pPr>
              <w:spacing w:after="0"/>
              <w:rPr>
                <w:b/>
                <w:szCs w:val="24"/>
                <w:lang w:val="en-GB"/>
              </w:rPr>
            </w:pPr>
            <w:r w:rsidRPr="00FE4C05">
              <w:rPr>
                <w:b/>
                <w:szCs w:val="24"/>
                <w:lang w:val="en-GB"/>
              </w:rPr>
              <w:t xml:space="preserve">Rack PDUs </w:t>
            </w:r>
          </w:p>
          <w:p w14:paraId="7189958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Quantity: 2</w:t>
            </w:r>
          </w:p>
          <w:p w14:paraId="463AFD3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Vertical, Zero U</w:t>
            </w:r>
          </w:p>
          <w:p w14:paraId="601018D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Output Connections: (36) x IEC 60320 C13, (6) x IEC 60320 C19</w:t>
            </w:r>
          </w:p>
          <w:p w14:paraId="6495DA5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Input Connections: IEC 60309 32 A 2P + </w:t>
            </w:r>
            <w:proofErr w:type="gramStart"/>
            <w:r w:rsidRPr="00FE4C05">
              <w:rPr>
                <w:bCs/>
                <w:szCs w:val="24"/>
                <w:lang w:val="en-GB"/>
              </w:rPr>
              <w:t>E</w:t>
            </w:r>
            <w:proofErr w:type="gramEnd"/>
          </w:p>
          <w:p w14:paraId="63E69E4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Nominal Output Voltage: 230V</w:t>
            </w:r>
          </w:p>
          <w:p w14:paraId="21525BF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Nominal Input Voltage: 200V, 208V, 230V</w:t>
            </w:r>
          </w:p>
          <w:p w14:paraId="6F9DD9B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Load Capacity: </w:t>
            </w:r>
            <w:proofErr w:type="gramStart"/>
            <w:r w:rsidRPr="00FE4C05">
              <w:rPr>
                <w:bCs/>
                <w:szCs w:val="24"/>
                <w:lang w:val="en-GB"/>
              </w:rPr>
              <w:t>7650VA</w:t>
            </w:r>
            <w:proofErr w:type="gramEnd"/>
          </w:p>
          <w:p w14:paraId="15B6C91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Maximum Input Current: 32A</w:t>
            </w:r>
          </w:p>
          <w:p w14:paraId="204CDEB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Input frequency: 50 - 60 </w:t>
            </w:r>
            <w:proofErr w:type="gramStart"/>
            <w:r w:rsidRPr="00FE4C05">
              <w:rPr>
                <w:bCs/>
                <w:szCs w:val="24"/>
                <w:lang w:val="en-GB"/>
              </w:rPr>
              <w:t>Hz</w:t>
            </w:r>
            <w:proofErr w:type="gramEnd"/>
          </w:p>
          <w:p w14:paraId="40088272" w14:textId="77777777" w:rsidR="00285B1B" w:rsidRPr="00FE4C05" w:rsidRDefault="00285B1B" w:rsidP="009C72F0">
            <w:pPr>
              <w:spacing w:after="0"/>
              <w:rPr>
                <w:b/>
                <w:szCs w:val="24"/>
                <w:lang w:val="en-GB"/>
              </w:rPr>
            </w:pPr>
          </w:p>
          <w:p w14:paraId="21812E33" w14:textId="77777777" w:rsidR="00285B1B" w:rsidRPr="00FE4C05" w:rsidRDefault="00285B1B" w:rsidP="009C72F0">
            <w:pPr>
              <w:spacing w:after="0"/>
              <w:rPr>
                <w:b/>
                <w:szCs w:val="24"/>
                <w:lang w:val="en-GB"/>
              </w:rPr>
            </w:pPr>
            <w:r w:rsidRPr="00FE4C05">
              <w:rPr>
                <w:b/>
                <w:szCs w:val="24"/>
                <w:lang w:val="en-GB"/>
              </w:rPr>
              <w:t>Vertical Cable Organizer</w:t>
            </w:r>
          </w:p>
          <w:p w14:paraId="73D62BB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Quantity: 2</w:t>
            </w:r>
          </w:p>
          <w:p w14:paraId="7A593AB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Zero U</w:t>
            </w:r>
          </w:p>
          <w:p w14:paraId="4C2D7F5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8 Cable Rings</w:t>
            </w:r>
          </w:p>
          <w:p w14:paraId="087A8A11" w14:textId="77777777" w:rsidR="00285B1B" w:rsidRPr="00FE4C05" w:rsidRDefault="00285B1B" w:rsidP="009C72F0">
            <w:pPr>
              <w:spacing w:after="0"/>
              <w:rPr>
                <w:b/>
                <w:szCs w:val="24"/>
                <w:lang w:val="en-GB"/>
              </w:rPr>
            </w:pPr>
          </w:p>
          <w:p w14:paraId="600F6BC4" w14:textId="77777777" w:rsidR="00285B1B" w:rsidRPr="00FE4C05" w:rsidRDefault="00285B1B" w:rsidP="009C72F0">
            <w:pPr>
              <w:spacing w:after="0"/>
              <w:rPr>
                <w:b/>
                <w:szCs w:val="24"/>
                <w:lang w:val="en-GB"/>
              </w:rPr>
            </w:pPr>
            <w:r w:rsidRPr="00FE4C05">
              <w:rPr>
                <w:b/>
                <w:szCs w:val="24"/>
                <w:lang w:val="en-GB"/>
              </w:rPr>
              <w:t>Blanking Panels</w:t>
            </w:r>
          </w:p>
          <w:p w14:paraId="4AA623E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Quantity: min. 20</w:t>
            </w:r>
          </w:p>
          <w:p w14:paraId="62BB5B3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1U 19" Black Blanking Panel</w:t>
            </w:r>
          </w:p>
        </w:tc>
      </w:tr>
      <w:tr w:rsidR="00285B1B" w:rsidRPr="00AC5790" w14:paraId="646C2878" w14:textId="77777777" w:rsidTr="00285B1B">
        <w:tc>
          <w:tcPr>
            <w:tcW w:w="1134" w:type="dxa"/>
          </w:tcPr>
          <w:p w14:paraId="221CC999" w14:textId="77777777" w:rsidR="00285B1B" w:rsidRPr="00FE4C05" w:rsidRDefault="00285B1B" w:rsidP="009C72F0">
            <w:pPr>
              <w:spacing w:after="0"/>
              <w:rPr>
                <w:b/>
                <w:szCs w:val="24"/>
                <w:lang w:val="en-GB"/>
              </w:rPr>
            </w:pPr>
            <w:r w:rsidRPr="00FE4C05">
              <w:rPr>
                <w:b/>
                <w:szCs w:val="24"/>
                <w:lang w:val="en-GB"/>
              </w:rPr>
              <w:lastRenderedPageBreak/>
              <w:t>1.2</w:t>
            </w:r>
          </w:p>
        </w:tc>
        <w:tc>
          <w:tcPr>
            <w:tcW w:w="8075" w:type="dxa"/>
            <w:vAlign w:val="center"/>
          </w:tcPr>
          <w:p w14:paraId="456EAF0D" w14:textId="77777777" w:rsidR="00285B1B" w:rsidRPr="00FE4C05" w:rsidRDefault="00285B1B" w:rsidP="009C72F0">
            <w:pPr>
              <w:spacing w:after="0"/>
              <w:rPr>
                <w:b/>
                <w:bCs/>
                <w:szCs w:val="24"/>
                <w:lang w:val="en-GB"/>
              </w:rPr>
            </w:pPr>
            <w:r w:rsidRPr="00FE4C05">
              <w:rPr>
                <w:b/>
                <w:bCs/>
                <w:szCs w:val="24"/>
                <w:lang w:val="en-GB"/>
              </w:rPr>
              <w:t>Top-of-rack (</w:t>
            </w:r>
            <w:proofErr w:type="spellStart"/>
            <w:r w:rsidRPr="00FE4C05">
              <w:rPr>
                <w:b/>
                <w:bCs/>
                <w:szCs w:val="24"/>
                <w:lang w:val="en-GB"/>
              </w:rPr>
              <w:t>ToR</w:t>
            </w:r>
            <w:proofErr w:type="spellEnd"/>
            <w:r w:rsidRPr="00FE4C05">
              <w:rPr>
                <w:b/>
                <w:bCs/>
                <w:szCs w:val="24"/>
                <w:lang w:val="en-GB"/>
              </w:rPr>
              <w:t>) switches               Qty. 2 + 1 (cluster for Primary site + single for DR Site)</w:t>
            </w:r>
          </w:p>
          <w:p w14:paraId="423E4F9A" w14:textId="77777777" w:rsidR="00285B1B" w:rsidRPr="00FE4C05" w:rsidRDefault="00285B1B" w:rsidP="009C72F0">
            <w:pPr>
              <w:spacing w:after="0"/>
              <w:rPr>
                <w:szCs w:val="24"/>
                <w:lang w:val="en-GB"/>
              </w:rPr>
            </w:pPr>
          </w:p>
          <w:p w14:paraId="6B80A487" w14:textId="77777777" w:rsidR="00285B1B" w:rsidRPr="00FE4C05" w:rsidRDefault="00285B1B" w:rsidP="009C72F0">
            <w:pPr>
              <w:spacing w:after="0"/>
              <w:rPr>
                <w:b/>
                <w:bCs/>
                <w:szCs w:val="24"/>
                <w:lang w:val="en-GB"/>
              </w:rPr>
            </w:pPr>
            <w:r w:rsidRPr="00FE4C05">
              <w:rPr>
                <w:b/>
                <w:bCs/>
                <w:szCs w:val="24"/>
                <w:lang w:val="en-GB"/>
              </w:rPr>
              <w:t>Physical characteristics</w:t>
            </w:r>
          </w:p>
          <w:p w14:paraId="4134CA3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Type: L3, Datacentre switch</w:t>
            </w:r>
          </w:p>
          <w:p w14:paraId="213EDE3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Chassis type: 1U, Rack mountable, including rack mounting </w:t>
            </w:r>
            <w:proofErr w:type="gramStart"/>
            <w:r w:rsidRPr="00FE4C05">
              <w:rPr>
                <w:bCs/>
                <w:szCs w:val="24"/>
                <w:lang w:val="en-GB"/>
              </w:rPr>
              <w:t>kit</w:t>
            </w:r>
            <w:proofErr w:type="gramEnd"/>
          </w:p>
          <w:p w14:paraId="03E011A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Minimum 48x10/25GbE SFP28 downlink ports</w:t>
            </w:r>
          </w:p>
          <w:p w14:paraId="4612823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Minimum 8x 40/100GbE uplink ports</w:t>
            </w:r>
          </w:p>
          <w:p w14:paraId="4F1B7C6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Console access:  mini-USB or RJ-45 copper ports.</w:t>
            </w:r>
          </w:p>
          <w:p w14:paraId="6C80939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Airflow: “</w:t>
            </w:r>
            <w:r w:rsidRPr="00FE4C05">
              <w:rPr>
                <w:b/>
                <w:szCs w:val="24"/>
                <w:lang w:val="en-GB"/>
              </w:rPr>
              <w:t>front-to-back</w:t>
            </w:r>
            <w:r w:rsidRPr="00FE4C05">
              <w:rPr>
                <w:bCs/>
                <w:szCs w:val="24"/>
                <w:lang w:val="en-GB"/>
              </w:rPr>
              <w:t>”</w:t>
            </w:r>
          </w:p>
          <w:p w14:paraId="1BAB2B0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Supply: Redundant AC power supplies, hot-swappable, dual,</w:t>
            </w:r>
          </w:p>
          <w:p w14:paraId="109F5CE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Cords:  2m (PDU 10A)</w:t>
            </w:r>
          </w:p>
          <w:p w14:paraId="4CBADE55" w14:textId="77777777" w:rsidR="00285B1B" w:rsidRPr="00FE4C05" w:rsidRDefault="00285B1B" w:rsidP="009C72F0">
            <w:pPr>
              <w:spacing w:after="0"/>
              <w:rPr>
                <w:szCs w:val="24"/>
                <w:lang w:val="en-GB"/>
              </w:rPr>
            </w:pPr>
          </w:p>
          <w:p w14:paraId="37F03E5E" w14:textId="77777777" w:rsidR="00285B1B" w:rsidRPr="00FE4C05" w:rsidRDefault="00285B1B" w:rsidP="009C72F0">
            <w:pPr>
              <w:spacing w:after="0"/>
              <w:rPr>
                <w:b/>
                <w:bCs/>
                <w:szCs w:val="24"/>
                <w:lang w:val="en-GB"/>
              </w:rPr>
            </w:pPr>
            <w:r w:rsidRPr="00FE4C05">
              <w:rPr>
                <w:b/>
                <w:bCs/>
                <w:szCs w:val="24"/>
                <w:lang w:val="en-GB"/>
              </w:rPr>
              <w:t>Layer 3 networking</w:t>
            </w:r>
          </w:p>
          <w:p w14:paraId="16956DA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Static routing: hardware </w:t>
            </w:r>
            <w:proofErr w:type="gramStart"/>
            <w:r w:rsidRPr="00FE4C05">
              <w:rPr>
                <w:bCs/>
                <w:szCs w:val="24"/>
                <w:lang w:val="en-GB"/>
              </w:rPr>
              <w:t>based</w:t>
            </w:r>
            <w:proofErr w:type="gramEnd"/>
          </w:p>
          <w:p w14:paraId="7D9D2AEF" w14:textId="56723D69"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Routing protocols supported: min. BGP, VRF, ISIS, VRRP</w:t>
            </w:r>
          </w:p>
          <w:p w14:paraId="11850FA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Multicast support: min. 8.000 route entries</w:t>
            </w:r>
          </w:p>
          <w:p w14:paraId="38B66B2F" w14:textId="77777777" w:rsidR="00285B1B" w:rsidRPr="00FE4C05" w:rsidRDefault="00285B1B" w:rsidP="009C72F0">
            <w:pPr>
              <w:spacing w:after="0"/>
              <w:rPr>
                <w:szCs w:val="24"/>
                <w:lang w:val="en-GB"/>
              </w:rPr>
            </w:pPr>
          </w:p>
          <w:p w14:paraId="493ACB08" w14:textId="77777777" w:rsidR="00285B1B" w:rsidRPr="00FE4C05" w:rsidRDefault="00285B1B" w:rsidP="009C72F0">
            <w:pPr>
              <w:spacing w:after="0"/>
              <w:rPr>
                <w:b/>
                <w:bCs/>
                <w:szCs w:val="24"/>
                <w:lang w:val="en-GB"/>
              </w:rPr>
            </w:pPr>
            <w:r w:rsidRPr="00FE4C05">
              <w:rPr>
                <w:b/>
                <w:bCs/>
                <w:szCs w:val="24"/>
                <w:lang w:val="en-GB"/>
              </w:rPr>
              <w:t>Performance</w:t>
            </w:r>
          </w:p>
          <w:p w14:paraId="6F8BCD6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Switching capacity: min. of 3.800 Gbps</w:t>
            </w:r>
          </w:p>
          <w:p w14:paraId="61536D3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Packet buffer memory capacity: min. of 32MB</w:t>
            </w:r>
          </w:p>
          <w:p w14:paraId="5891A26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Forwarding rate: min. of 3.800 Mpps</w:t>
            </w:r>
          </w:p>
          <w:p w14:paraId="661152C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Maximum latency: up </w:t>
            </w:r>
            <w:proofErr w:type="gramStart"/>
            <w:r w:rsidRPr="00FE4C05">
              <w:rPr>
                <w:bCs/>
                <w:szCs w:val="24"/>
                <w:lang w:val="en-GB"/>
              </w:rPr>
              <w:t>to  1</w:t>
            </w:r>
            <w:proofErr w:type="gramEnd"/>
            <w:r w:rsidRPr="00FE4C05">
              <w:rPr>
                <w:bCs/>
                <w:szCs w:val="24"/>
                <w:lang w:val="en-GB"/>
              </w:rPr>
              <w:t xml:space="preserve"> µs</w:t>
            </w:r>
          </w:p>
          <w:p w14:paraId="41A200C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On-board drive: SSD, min 32 GB capacity</w:t>
            </w:r>
          </w:p>
          <w:p w14:paraId="7F0398C4" w14:textId="77777777" w:rsidR="00285B1B" w:rsidRPr="00FE4C05" w:rsidRDefault="00285B1B" w:rsidP="009C72F0">
            <w:pPr>
              <w:spacing w:after="0"/>
              <w:rPr>
                <w:bCs/>
                <w:szCs w:val="24"/>
                <w:lang w:val="en-GB"/>
              </w:rPr>
            </w:pPr>
          </w:p>
          <w:p w14:paraId="4808A14C" w14:textId="77777777" w:rsidR="00285B1B" w:rsidRPr="00FE4C05" w:rsidRDefault="00285B1B" w:rsidP="009C72F0">
            <w:pPr>
              <w:spacing w:after="0"/>
              <w:rPr>
                <w:szCs w:val="24"/>
                <w:lang w:val="en-GB"/>
              </w:rPr>
            </w:pPr>
            <w:r w:rsidRPr="00FE4C05">
              <w:rPr>
                <w:b/>
                <w:bCs/>
                <w:szCs w:val="24"/>
                <w:lang w:val="en-GB"/>
              </w:rPr>
              <w:t>Security features</w:t>
            </w:r>
          </w:p>
          <w:p w14:paraId="0E20B17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FIPS 140-2 compatibility</w:t>
            </w:r>
          </w:p>
          <w:p w14:paraId="1744AEF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MAC Sec support (IEEE 802.1ae)</w:t>
            </w:r>
          </w:p>
          <w:p w14:paraId="40F9354A" w14:textId="77777777" w:rsidR="00285B1B" w:rsidRPr="00FE4C05" w:rsidRDefault="00285B1B" w:rsidP="009C72F0">
            <w:pPr>
              <w:spacing w:after="0"/>
              <w:rPr>
                <w:szCs w:val="24"/>
                <w:lang w:val="en-GB"/>
              </w:rPr>
            </w:pPr>
          </w:p>
          <w:p w14:paraId="337E1F84" w14:textId="77777777" w:rsidR="00285B1B" w:rsidRPr="00FE4C05" w:rsidRDefault="00285B1B" w:rsidP="009C72F0">
            <w:pPr>
              <w:spacing w:after="0"/>
              <w:rPr>
                <w:szCs w:val="24"/>
                <w:lang w:val="en-GB"/>
              </w:rPr>
            </w:pPr>
            <w:r w:rsidRPr="00FE4C05">
              <w:rPr>
                <w:b/>
                <w:bCs/>
                <w:szCs w:val="24"/>
                <w:lang w:val="en-GB"/>
              </w:rPr>
              <w:t>Cables and Transceivers (for each TOR switch)</w:t>
            </w:r>
          </w:p>
          <w:p w14:paraId="088BD74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1 x 100GbE, QSFP28 to QSFP28, Passive Copper Direct Attach, 1m for Multi-Chassis Link Aggregation (MCLAG)</w:t>
            </w:r>
          </w:p>
          <w:p w14:paraId="77CFA8B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2 x Transceiver, 25GbE SFP28 SR, MMF, Duplex LC</w:t>
            </w:r>
          </w:p>
          <w:p w14:paraId="74879AF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2 x Transceiver, SFP+, 10GbE, SR, 850nm Wavelength, 300m </w:t>
            </w:r>
            <w:proofErr w:type="gramStart"/>
            <w:r w:rsidRPr="00FE4C05">
              <w:rPr>
                <w:bCs/>
                <w:szCs w:val="24"/>
                <w:lang w:val="en-GB"/>
              </w:rPr>
              <w:t>Reach</w:t>
            </w:r>
            <w:proofErr w:type="gramEnd"/>
          </w:p>
          <w:p w14:paraId="114FE725" w14:textId="77777777" w:rsidR="00285B1B" w:rsidRPr="00FE4C05" w:rsidRDefault="00285B1B" w:rsidP="00D530D5">
            <w:pPr>
              <w:pStyle w:val="ListParagraph"/>
              <w:numPr>
                <w:ilvl w:val="0"/>
                <w:numId w:val="153"/>
              </w:numPr>
              <w:spacing w:after="0"/>
              <w:ind w:left="491" w:hanging="436"/>
              <w:rPr>
                <w:szCs w:val="24"/>
                <w:lang w:val="en-GB"/>
              </w:rPr>
            </w:pPr>
            <w:r w:rsidRPr="00FE4C05">
              <w:rPr>
                <w:bCs/>
                <w:szCs w:val="24"/>
                <w:lang w:val="en-GB"/>
              </w:rPr>
              <w:t>2 x Fibre Cable, OM4, MMF</w:t>
            </w:r>
            <w:r w:rsidRPr="00FE4C05">
              <w:rPr>
                <w:szCs w:val="24"/>
                <w:lang w:val="en-GB"/>
              </w:rPr>
              <w:t>, LC/LC, 50 Meter</w:t>
            </w:r>
          </w:p>
        </w:tc>
      </w:tr>
      <w:tr w:rsidR="00285B1B" w:rsidRPr="00AC5790" w14:paraId="28AC4AAC" w14:textId="77777777" w:rsidTr="00285B1B">
        <w:tc>
          <w:tcPr>
            <w:tcW w:w="1134" w:type="dxa"/>
          </w:tcPr>
          <w:p w14:paraId="245976C3" w14:textId="77777777" w:rsidR="00285B1B" w:rsidRPr="00FE4C05" w:rsidRDefault="00285B1B" w:rsidP="009C72F0">
            <w:pPr>
              <w:spacing w:after="0"/>
              <w:rPr>
                <w:b/>
                <w:szCs w:val="24"/>
                <w:lang w:val="en-GB"/>
              </w:rPr>
            </w:pPr>
            <w:r w:rsidRPr="00FE4C05">
              <w:rPr>
                <w:b/>
                <w:szCs w:val="24"/>
                <w:lang w:val="en-GB"/>
              </w:rPr>
              <w:t>1.3</w:t>
            </w:r>
          </w:p>
        </w:tc>
        <w:tc>
          <w:tcPr>
            <w:tcW w:w="8075" w:type="dxa"/>
            <w:vAlign w:val="center"/>
          </w:tcPr>
          <w:p w14:paraId="172DD149" w14:textId="77777777" w:rsidR="00285B1B" w:rsidRPr="00FE4C05" w:rsidRDefault="00285B1B" w:rsidP="009C72F0">
            <w:pPr>
              <w:spacing w:after="0"/>
              <w:rPr>
                <w:b/>
                <w:szCs w:val="24"/>
                <w:lang w:val="en-GB"/>
              </w:rPr>
            </w:pPr>
            <w:r w:rsidRPr="00FE4C05">
              <w:rPr>
                <w:b/>
                <w:szCs w:val="24"/>
                <w:lang w:val="en-GB"/>
              </w:rPr>
              <w:t>Network Out-of-Band Management (OOBM) switch    Qty. 2</w:t>
            </w:r>
          </w:p>
          <w:p w14:paraId="53C2AB12" w14:textId="77777777" w:rsidR="00285B1B" w:rsidRPr="00FE4C05" w:rsidRDefault="00285B1B" w:rsidP="009C72F0">
            <w:pPr>
              <w:spacing w:after="0"/>
              <w:rPr>
                <w:szCs w:val="24"/>
                <w:lang w:val="en-GB"/>
              </w:rPr>
            </w:pPr>
          </w:p>
          <w:p w14:paraId="6E29AB4D" w14:textId="77777777" w:rsidR="00285B1B" w:rsidRPr="00FE4C05" w:rsidRDefault="00285B1B" w:rsidP="009C72F0">
            <w:pPr>
              <w:spacing w:after="0"/>
              <w:rPr>
                <w:b/>
                <w:bCs/>
                <w:szCs w:val="24"/>
                <w:lang w:val="en-GB"/>
              </w:rPr>
            </w:pPr>
            <w:r w:rsidRPr="00FE4C05">
              <w:rPr>
                <w:b/>
                <w:bCs/>
                <w:szCs w:val="24"/>
                <w:lang w:val="en-GB"/>
              </w:rPr>
              <w:t>Physical characteristics</w:t>
            </w:r>
          </w:p>
          <w:p w14:paraId="4F9D9A0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Type: L3, Access switch</w:t>
            </w:r>
          </w:p>
          <w:p w14:paraId="6C2B4F3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Chassis type: 1U, Rack mountable, including rack mounting </w:t>
            </w:r>
            <w:proofErr w:type="gramStart"/>
            <w:r w:rsidRPr="00FE4C05">
              <w:rPr>
                <w:bCs/>
                <w:szCs w:val="24"/>
                <w:lang w:val="en-GB"/>
              </w:rPr>
              <w:t>kit</w:t>
            </w:r>
            <w:proofErr w:type="gramEnd"/>
          </w:p>
          <w:p w14:paraId="548AEC2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Minimum 48x</w:t>
            </w:r>
            <w:r w:rsidRPr="00FE4C05">
              <w:rPr>
                <w:szCs w:val="24"/>
              </w:rPr>
              <w:t xml:space="preserve"> </w:t>
            </w:r>
            <w:r w:rsidRPr="00FE4C05">
              <w:rPr>
                <w:bCs/>
                <w:szCs w:val="24"/>
                <w:lang w:val="en-GB"/>
              </w:rPr>
              <w:t>RJ45 10M/100M/1G/ auto-sensing downlink ports</w:t>
            </w:r>
          </w:p>
          <w:p w14:paraId="7092D26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Minimum 4x SFP+ 10G uplink ports</w:t>
            </w:r>
          </w:p>
          <w:p w14:paraId="4B9EE71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Console access:  mini-USB or RJ-45 copper ports.</w:t>
            </w:r>
          </w:p>
          <w:p w14:paraId="2A14AC1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Airflow: “</w:t>
            </w:r>
            <w:r w:rsidRPr="00FE4C05">
              <w:rPr>
                <w:b/>
                <w:szCs w:val="24"/>
                <w:lang w:val="en-GB"/>
              </w:rPr>
              <w:t>side-to-back</w:t>
            </w:r>
            <w:r w:rsidRPr="00FE4C05">
              <w:rPr>
                <w:bCs/>
                <w:szCs w:val="24"/>
                <w:lang w:val="en-GB"/>
              </w:rPr>
              <w:t>”</w:t>
            </w:r>
          </w:p>
          <w:p w14:paraId="761A811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Supply: Redundant AC power supplies, dual,</w:t>
            </w:r>
          </w:p>
          <w:p w14:paraId="71D7129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Cords:  2m (PDU 10A)</w:t>
            </w:r>
          </w:p>
          <w:p w14:paraId="62F01BF7" w14:textId="77777777" w:rsidR="00285B1B" w:rsidRPr="00FE4C05" w:rsidRDefault="00285B1B" w:rsidP="009C72F0">
            <w:pPr>
              <w:spacing w:after="0"/>
              <w:rPr>
                <w:szCs w:val="24"/>
                <w:lang w:val="en-GB"/>
              </w:rPr>
            </w:pPr>
          </w:p>
          <w:p w14:paraId="306DC419" w14:textId="77777777" w:rsidR="00285B1B" w:rsidRPr="00FE4C05" w:rsidRDefault="00285B1B" w:rsidP="009C72F0">
            <w:pPr>
              <w:spacing w:after="0"/>
              <w:rPr>
                <w:b/>
                <w:bCs/>
                <w:szCs w:val="24"/>
                <w:lang w:val="en-GB"/>
              </w:rPr>
            </w:pPr>
            <w:r w:rsidRPr="00FE4C05">
              <w:rPr>
                <w:b/>
                <w:bCs/>
                <w:szCs w:val="24"/>
                <w:lang w:val="en-GB"/>
              </w:rPr>
              <w:t>Performance</w:t>
            </w:r>
          </w:p>
          <w:p w14:paraId="7E08C61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Switching capacity: min. Up to 175 Gbps</w:t>
            </w:r>
          </w:p>
          <w:p w14:paraId="31A4B72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Forwarding rate: min. Up to 255 Mpps</w:t>
            </w:r>
          </w:p>
          <w:p w14:paraId="17140A3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Maximum latency: up </w:t>
            </w:r>
            <w:proofErr w:type="gramStart"/>
            <w:r w:rsidRPr="00FE4C05">
              <w:rPr>
                <w:bCs/>
                <w:szCs w:val="24"/>
                <w:lang w:val="en-GB"/>
              </w:rPr>
              <w:t>to  1</w:t>
            </w:r>
            <w:proofErr w:type="gramEnd"/>
            <w:r w:rsidRPr="00FE4C05">
              <w:rPr>
                <w:bCs/>
                <w:szCs w:val="24"/>
                <w:lang w:val="en-GB"/>
              </w:rPr>
              <w:t xml:space="preserve"> µs</w:t>
            </w:r>
          </w:p>
          <w:p w14:paraId="76D7F9A0" w14:textId="77777777" w:rsidR="00285B1B" w:rsidRPr="00FE4C05" w:rsidRDefault="00285B1B" w:rsidP="009C72F0">
            <w:pPr>
              <w:spacing w:after="0"/>
              <w:rPr>
                <w:szCs w:val="24"/>
                <w:lang w:val="en-GB"/>
              </w:rPr>
            </w:pPr>
            <w:r w:rsidRPr="00FE4C05">
              <w:rPr>
                <w:szCs w:val="24"/>
                <w:lang w:val="en-GB"/>
              </w:rPr>
              <w:t xml:space="preserve"> </w:t>
            </w:r>
          </w:p>
          <w:p w14:paraId="56906AAE" w14:textId="77777777" w:rsidR="00285B1B" w:rsidRPr="00FE4C05" w:rsidRDefault="00285B1B" w:rsidP="009C72F0">
            <w:pPr>
              <w:spacing w:after="0"/>
              <w:rPr>
                <w:b/>
                <w:szCs w:val="24"/>
                <w:lang w:val="en-GB"/>
              </w:rPr>
            </w:pPr>
            <w:r w:rsidRPr="00FE4C05">
              <w:rPr>
                <w:b/>
                <w:szCs w:val="24"/>
                <w:lang w:val="en-GB"/>
              </w:rPr>
              <w:t>Cables and Transceivers</w:t>
            </w:r>
          </w:p>
          <w:p w14:paraId="7D59834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2 x SFP+ to SFP+, 10GbE, Passive Copper </w:t>
            </w:r>
            <w:proofErr w:type="spellStart"/>
            <w:r w:rsidRPr="00FE4C05">
              <w:rPr>
                <w:bCs/>
                <w:szCs w:val="24"/>
                <w:lang w:val="en-GB"/>
              </w:rPr>
              <w:t>Twinax</w:t>
            </w:r>
            <w:proofErr w:type="spellEnd"/>
            <w:r w:rsidRPr="00FE4C05">
              <w:rPr>
                <w:bCs/>
                <w:szCs w:val="24"/>
                <w:lang w:val="en-GB"/>
              </w:rPr>
              <w:t>, Direct Attach Cable, 1 Meter (compatible with TOR switches Item No. 1.2)</w:t>
            </w:r>
          </w:p>
          <w:p w14:paraId="6E0E3479" w14:textId="77777777" w:rsidR="00285B1B" w:rsidRPr="00FE4C05" w:rsidRDefault="00285B1B" w:rsidP="009C72F0">
            <w:pPr>
              <w:pStyle w:val="ListParagraph"/>
              <w:spacing w:after="0"/>
              <w:ind w:left="349"/>
              <w:rPr>
                <w:bCs/>
                <w:szCs w:val="24"/>
                <w:lang w:val="en-GB"/>
              </w:rPr>
            </w:pPr>
          </w:p>
        </w:tc>
      </w:tr>
      <w:tr w:rsidR="00285B1B" w:rsidRPr="00AC5790" w14:paraId="0EEF23F0" w14:textId="77777777" w:rsidTr="00285B1B">
        <w:tc>
          <w:tcPr>
            <w:tcW w:w="1134" w:type="dxa"/>
          </w:tcPr>
          <w:p w14:paraId="74B96A6B" w14:textId="77777777" w:rsidR="00285B1B" w:rsidRPr="00FE4C05" w:rsidRDefault="00285B1B" w:rsidP="009C72F0">
            <w:pPr>
              <w:spacing w:after="0"/>
              <w:rPr>
                <w:b/>
                <w:szCs w:val="24"/>
                <w:lang w:val="en-GB"/>
              </w:rPr>
            </w:pPr>
            <w:r w:rsidRPr="00FE4C05">
              <w:rPr>
                <w:b/>
                <w:szCs w:val="24"/>
                <w:lang w:val="en-GB"/>
              </w:rPr>
              <w:lastRenderedPageBreak/>
              <w:t>1.4</w:t>
            </w:r>
          </w:p>
        </w:tc>
        <w:tc>
          <w:tcPr>
            <w:tcW w:w="8075" w:type="dxa"/>
          </w:tcPr>
          <w:p w14:paraId="08348515" w14:textId="77777777" w:rsidR="00285B1B" w:rsidRPr="00FE4C05" w:rsidRDefault="00285B1B" w:rsidP="009C72F0">
            <w:pPr>
              <w:spacing w:after="0"/>
              <w:rPr>
                <w:b/>
                <w:szCs w:val="24"/>
                <w:lang w:val="en-GB"/>
              </w:rPr>
            </w:pPr>
            <w:r w:rsidRPr="00FE4C05">
              <w:rPr>
                <w:b/>
                <w:szCs w:val="24"/>
                <w:lang w:val="en-GB"/>
              </w:rPr>
              <w:t>Database Servers – Virtualized UNIX/Linux hosts        Qty. 2 + 1 (cluster for Primary site + single for DR Site)</w:t>
            </w:r>
          </w:p>
          <w:p w14:paraId="61E233FE" w14:textId="77777777" w:rsidR="00285B1B" w:rsidRPr="00FE4C05" w:rsidRDefault="00285B1B" w:rsidP="009C72F0">
            <w:pPr>
              <w:spacing w:after="0"/>
              <w:rPr>
                <w:bCs/>
                <w:szCs w:val="24"/>
                <w:lang w:val="en-GB"/>
              </w:rPr>
            </w:pPr>
          </w:p>
          <w:p w14:paraId="3DF18E69" w14:textId="77777777" w:rsidR="00285B1B" w:rsidRPr="00FE4C05" w:rsidRDefault="00285B1B" w:rsidP="009C72F0">
            <w:pPr>
              <w:spacing w:after="0"/>
              <w:rPr>
                <w:b/>
                <w:szCs w:val="24"/>
                <w:lang w:val="en-GB"/>
              </w:rPr>
            </w:pPr>
            <w:r w:rsidRPr="00FE4C05">
              <w:rPr>
                <w:b/>
                <w:szCs w:val="24"/>
                <w:lang w:val="en-GB"/>
              </w:rPr>
              <w:t>Chassis and Power supply</w:t>
            </w:r>
          </w:p>
          <w:p w14:paraId="76F124A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Form factor/height: Rack mount, max. </w:t>
            </w:r>
            <w:proofErr w:type="gramStart"/>
            <w:r w:rsidRPr="00FE4C05">
              <w:rPr>
                <w:bCs/>
                <w:szCs w:val="24"/>
                <w:lang w:val="en-GB"/>
              </w:rPr>
              <w:t>2U</w:t>
            </w:r>
            <w:proofErr w:type="gramEnd"/>
          </w:p>
          <w:p w14:paraId="1C1780E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Chassis Configuration: </w:t>
            </w:r>
            <w:proofErr w:type="spellStart"/>
            <w:r w:rsidRPr="00FE4C05">
              <w:rPr>
                <w:bCs/>
                <w:szCs w:val="24"/>
                <w:lang w:val="en-GB"/>
              </w:rPr>
              <w:t>NVMe</w:t>
            </w:r>
            <w:proofErr w:type="spellEnd"/>
            <w:r w:rsidRPr="00FE4C05">
              <w:rPr>
                <w:bCs/>
                <w:szCs w:val="24"/>
                <w:lang w:val="en-GB"/>
              </w:rPr>
              <w:t xml:space="preserve"> Chassis,</w:t>
            </w:r>
          </w:p>
          <w:p w14:paraId="4CB8987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supply: minimum Dual, Hot-Plug, 1850W,</w:t>
            </w:r>
          </w:p>
          <w:p w14:paraId="60BD43A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Power cords: 2 x Rack Power Cord 1m (C13/C14 10A) </w:t>
            </w:r>
          </w:p>
          <w:p w14:paraId="57D9294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Rails: Toolless, Sliding Rails</w:t>
            </w:r>
          </w:p>
          <w:p w14:paraId="41112078" w14:textId="77777777" w:rsidR="00285B1B" w:rsidRPr="00FE4C05" w:rsidRDefault="00285B1B" w:rsidP="00D530D5">
            <w:pPr>
              <w:pStyle w:val="ListParagraph"/>
              <w:numPr>
                <w:ilvl w:val="0"/>
                <w:numId w:val="153"/>
              </w:numPr>
              <w:spacing w:after="0"/>
              <w:ind w:left="491" w:hanging="436"/>
              <w:rPr>
                <w:bCs/>
                <w:szCs w:val="24"/>
                <w:lang w:val="de-DE"/>
              </w:rPr>
            </w:pPr>
            <w:r w:rsidRPr="00FE4C05">
              <w:rPr>
                <w:bCs/>
                <w:szCs w:val="24"/>
                <w:lang w:val="de-DE"/>
              </w:rPr>
              <w:t>Ports: minimum 1 x USB-2.0, 1 x USB-3.0, 2 x Ethernet management RJ-45 ports</w:t>
            </w:r>
          </w:p>
          <w:p w14:paraId="491784B8" w14:textId="77777777" w:rsidR="00285B1B" w:rsidRPr="00FE4C05" w:rsidRDefault="00285B1B" w:rsidP="009C72F0">
            <w:pPr>
              <w:spacing w:after="0"/>
              <w:rPr>
                <w:b/>
                <w:szCs w:val="24"/>
                <w:lang w:val="de-DE"/>
              </w:rPr>
            </w:pPr>
          </w:p>
          <w:p w14:paraId="264B5A9E" w14:textId="77777777" w:rsidR="00285B1B" w:rsidRPr="00FE4C05" w:rsidRDefault="00285B1B" w:rsidP="009C72F0">
            <w:pPr>
              <w:spacing w:after="0"/>
              <w:rPr>
                <w:b/>
                <w:szCs w:val="24"/>
                <w:lang w:val="en-GB"/>
              </w:rPr>
            </w:pPr>
            <w:r w:rsidRPr="00FE4C05">
              <w:rPr>
                <w:b/>
                <w:szCs w:val="24"/>
                <w:lang w:val="en-GB"/>
              </w:rPr>
              <w:t>Motherboard, CPU and Memory</w:t>
            </w:r>
          </w:p>
          <w:p w14:paraId="33E015B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Number of DDR4 DIMM slots: min. 32</w:t>
            </w:r>
          </w:p>
          <w:p w14:paraId="36AE282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Number of memory channels per CPU: min. 8</w:t>
            </w:r>
          </w:p>
          <w:p w14:paraId="5246769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sockets: </w:t>
            </w:r>
            <w:r w:rsidRPr="00FE4C05">
              <w:rPr>
                <w:b/>
                <w:szCs w:val="24"/>
                <w:lang w:val="en-GB"/>
              </w:rPr>
              <w:t>minimum 2 processor sockets</w:t>
            </w:r>
            <w:r w:rsidRPr="00FE4C05">
              <w:rPr>
                <w:bCs/>
                <w:szCs w:val="24"/>
                <w:lang w:val="en-GB"/>
              </w:rPr>
              <w:t xml:space="preserve"> supported, each with a min. of 12 cores each,</w:t>
            </w:r>
            <w:r w:rsidRPr="00FE4C05">
              <w:rPr>
                <w:b/>
                <w:szCs w:val="24"/>
                <w:lang w:val="en-GB"/>
              </w:rPr>
              <w:t xml:space="preserve"> with NX unit acceleration</w:t>
            </w:r>
            <w:r w:rsidRPr="00FE4C05">
              <w:rPr>
                <w:bCs/>
                <w:szCs w:val="24"/>
                <w:lang w:val="en-GB"/>
              </w:rPr>
              <w:t>.</w:t>
            </w:r>
          </w:p>
          <w:p w14:paraId="744081A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generation: minimum latest Generation RISC architecture processors.</w:t>
            </w:r>
          </w:p>
          <w:p w14:paraId="69BBCF9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Clock rate</w:t>
            </w:r>
            <w:r w:rsidRPr="00FE4C05">
              <w:rPr>
                <w:b/>
                <w:szCs w:val="24"/>
                <w:lang w:val="en-GB"/>
              </w:rPr>
              <w:t>: min.</w:t>
            </w:r>
            <w:r w:rsidRPr="00FE4C05">
              <w:rPr>
                <w:bCs/>
                <w:szCs w:val="24"/>
                <w:lang w:val="en-GB"/>
              </w:rPr>
              <w:t xml:space="preserve"> </w:t>
            </w:r>
            <w:r w:rsidRPr="00FE4C05">
              <w:rPr>
                <w:b/>
                <w:szCs w:val="24"/>
                <w:lang w:val="en-GB"/>
              </w:rPr>
              <w:t>3,9 GHz</w:t>
            </w:r>
          </w:p>
          <w:p w14:paraId="6517DCE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Number of active cores per CPU: </w:t>
            </w:r>
            <w:r w:rsidRPr="00FE4C05">
              <w:rPr>
                <w:b/>
                <w:szCs w:val="24"/>
                <w:lang w:val="en-GB"/>
              </w:rPr>
              <w:t>min. 6</w:t>
            </w:r>
          </w:p>
          <w:p w14:paraId="5F8245D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L3 Cache: </w:t>
            </w:r>
            <w:r w:rsidRPr="00FE4C05">
              <w:rPr>
                <w:b/>
                <w:szCs w:val="24"/>
                <w:lang w:val="en-GB"/>
              </w:rPr>
              <w:t>min. 8 MB per physical core</w:t>
            </w:r>
          </w:p>
          <w:p w14:paraId="23BEEEC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execution threads: </w:t>
            </w:r>
            <w:r w:rsidRPr="00FE4C05">
              <w:rPr>
                <w:b/>
                <w:szCs w:val="24"/>
                <w:lang w:val="en-GB"/>
              </w:rPr>
              <w:t>min. 8 hardware based simultaneous threads</w:t>
            </w:r>
            <w:r w:rsidRPr="00FE4C05">
              <w:rPr>
                <w:bCs/>
                <w:szCs w:val="24"/>
                <w:lang w:val="en-GB"/>
              </w:rPr>
              <w:t xml:space="preserve"> for each physical </w:t>
            </w:r>
            <w:proofErr w:type="gramStart"/>
            <w:r w:rsidRPr="00FE4C05">
              <w:rPr>
                <w:bCs/>
                <w:szCs w:val="24"/>
                <w:lang w:val="en-GB"/>
              </w:rPr>
              <w:t>core</w:t>
            </w:r>
            <w:proofErr w:type="gramEnd"/>
          </w:p>
          <w:p w14:paraId="6EDA0FD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Memory type: ECC DDR4, with AES based memory encryption for all data in system </w:t>
            </w:r>
            <w:proofErr w:type="gramStart"/>
            <w:r w:rsidRPr="00FE4C05">
              <w:rPr>
                <w:bCs/>
                <w:szCs w:val="24"/>
                <w:lang w:val="en-GB"/>
              </w:rPr>
              <w:t>memory</w:t>
            </w:r>
            <w:proofErr w:type="gramEnd"/>
          </w:p>
          <w:p w14:paraId="3E9DBD7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speed: min. 3200 Mbps</w:t>
            </w:r>
          </w:p>
          <w:p w14:paraId="447B21E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Capacity: min. 512 GB, (8 x 64 GB)</w:t>
            </w:r>
          </w:p>
          <w:p w14:paraId="42D15FCF" w14:textId="77777777" w:rsidR="00285B1B" w:rsidRPr="00FE4C05" w:rsidRDefault="00285B1B" w:rsidP="009C72F0">
            <w:pPr>
              <w:spacing w:after="0"/>
              <w:rPr>
                <w:b/>
                <w:szCs w:val="24"/>
                <w:lang w:val="en-GB"/>
              </w:rPr>
            </w:pPr>
            <w:r w:rsidRPr="00FE4C05">
              <w:rPr>
                <w:b/>
                <w:szCs w:val="24"/>
                <w:lang w:val="en-GB"/>
              </w:rPr>
              <w:t>Storage configuration</w:t>
            </w:r>
          </w:p>
          <w:p w14:paraId="7555527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PCI SAN controllers: 2 x 32 GB Dual Port Fiber Channel HBA, SW SFP</w:t>
            </w:r>
          </w:p>
          <w:p w14:paraId="6549063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Boot disks: Boot-From-SAN </w:t>
            </w:r>
            <w:proofErr w:type="gramStart"/>
            <w:r w:rsidRPr="00FE4C05">
              <w:rPr>
                <w:bCs/>
                <w:szCs w:val="24"/>
                <w:lang w:val="en-GB"/>
              </w:rPr>
              <w:t>configuration</w:t>
            </w:r>
            <w:proofErr w:type="gramEnd"/>
          </w:p>
          <w:p w14:paraId="3D7FDF9E" w14:textId="77777777" w:rsidR="00285B1B" w:rsidRPr="00FE4C05" w:rsidRDefault="00285B1B" w:rsidP="009C72F0">
            <w:pPr>
              <w:spacing w:after="0"/>
              <w:rPr>
                <w:b/>
                <w:szCs w:val="24"/>
                <w:lang w:val="en-GB"/>
              </w:rPr>
            </w:pPr>
          </w:p>
          <w:p w14:paraId="6DB28B5C" w14:textId="77777777" w:rsidR="00285B1B" w:rsidRPr="00FE4C05" w:rsidRDefault="00285B1B" w:rsidP="009C72F0">
            <w:pPr>
              <w:spacing w:after="0"/>
              <w:rPr>
                <w:b/>
                <w:szCs w:val="24"/>
                <w:lang w:val="en-GB"/>
              </w:rPr>
            </w:pPr>
            <w:r w:rsidRPr="00FE4C05">
              <w:rPr>
                <w:b/>
                <w:szCs w:val="24"/>
                <w:lang w:val="en-GB"/>
              </w:rPr>
              <w:t>Network Interface Cards</w:t>
            </w:r>
          </w:p>
          <w:p w14:paraId="759935E4"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w:t>
            </w:r>
            <w:proofErr w:type="spellStart"/>
            <w:proofErr w:type="gramStart"/>
            <w:r w:rsidRPr="00FE4C05">
              <w:rPr>
                <w:bCs/>
                <w:szCs w:val="24"/>
                <w:lang w:val="fr-BE"/>
              </w:rPr>
              <w:t>NIC’s</w:t>
            </w:r>
            <w:proofErr w:type="spellEnd"/>
            <w:r w:rsidRPr="00FE4C05">
              <w:rPr>
                <w:bCs/>
                <w:szCs w:val="24"/>
                <w:lang w:val="fr-BE"/>
              </w:rPr>
              <w:t>:</w:t>
            </w:r>
            <w:proofErr w:type="gramEnd"/>
            <w:r w:rsidRPr="00FE4C05">
              <w:rPr>
                <w:bCs/>
                <w:szCs w:val="24"/>
                <w:lang w:val="fr-BE"/>
              </w:rPr>
              <w:t xml:space="preserve"> 2 x Dual Port 25 </w:t>
            </w:r>
            <w:proofErr w:type="spellStart"/>
            <w:r w:rsidRPr="00FE4C05">
              <w:rPr>
                <w:bCs/>
                <w:szCs w:val="24"/>
                <w:lang w:val="fr-BE"/>
              </w:rPr>
              <w:t>Gbe</w:t>
            </w:r>
            <w:proofErr w:type="spellEnd"/>
            <w:r w:rsidRPr="00FE4C05">
              <w:rPr>
                <w:bCs/>
                <w:szCs w:val="24"/>
                <w:lang w:val="fr-BE"/>
              </w:rPr>
              <w:t xml:space="preserve"> - SFP28, </w:t>
            </w:r>
            <w:proofErr w:type="spellStart"/>
            <w:r w:rsidRPr="00FE4C05">
              <w:rPr>
                <w:bCs/>
                <w:szCs w:val="24"/>
                <w:lang w:val="fr-BE"/>
              </w:rPr>
              <w:t>RoCE</w:t>
            </w:r>
            <w:proofErr w:type="spellEnd"/>
            <w:r w:rsidRPr="00FE4C05">
              <w:rPr>
                <w:bCs/>
                <w:szCs w:val="24"/>
                <w:lang w:val="fr-BE"/>
              </w:rPr>
              <w:t>.</w:t>
            </w:r>
          </w:p>
          <w:p w14:paraId="11B5543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Networking Cables: 4 x SFP28 to SFP28, 25GbE, Passive Copper </w:t>
            </w:r>
            <w:proofErr w:type="spellStart"/>
            <w:r w:rsidRPr="00FE4C05">
              <w:rPr>
                <w:bCs/>
                <w:szCs w:val="24"/>
                <w:lang w:val="en-GB"/>
              </w:rPr>
              <w:t>Twinax</w:t>
            </w:r>
            <w:proofErr w:type="spellEnd"/>
            <w:r w:rsidRPr="00FE4C05">
              <w:rPr>
                <w:bCs/>
                <w:szCs w:val="24"/>
                <w:lang w:val="en-GB"/>
              </w:rPr>
              <w:t xml:space="preserve"> Direct Attach Cable, 3 Meter (compatible with TOR switches Item No. 1.2)</w:t>
            </w:r>
          </w:p>
          <w:p w14:paraId="746C29C7" w14:textId="77777777" w:rsidR="00285B1B" w:rsidRPr="00FE4C05" w:rsidRDefault="00285B1B" w:rsidP="009C72F0">
            <w:pPr>
              <w:spacing w:after="0"/>
              <w:rPr>
                <w:b/>
                <w:szCs w:val="24"/>
                <w:lang w:val="en-GB"/>
              </w:rPr>
            </w:pPr>
          </w:p>
          <w:p w14:paraId="748B9DCB" w14:textId="77777777" w:rsidR="00285B1B" w:rsidRPr="00FE4C05" w:rsidRDefault="00285B1B" w:rsidP="009C72F0">
            <w:pPr>
              <w:spacing w:after="0"/>
              <w:rPr>
                <w:b/>
                <w:szCs w:val="24"/>
                <w:lang w:val="en-GB"/>
              </w:rPr>
            </w:pPr>
            <w:r w:rsidRPr="00FE4C05">
              <w:rPr>
                <w:b/>
                <w:szCs w:val="24"/>
                <w:lang w:val="en-GB"/>
              </w:rPr>
              <w:t>Security features</w:t>
            </w:r>
          </w:p>
          <w:p w14:paraId="2B31612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Cryptographic algorithm acceleration, for Advanced Encryption</w:t>
            </w:r>
            <w:r w:rsidRPr="00FE4C05">
              <w:rPr>
                <w:bCs/>
                <w:szCs w:val="24"/>
                <w:lang w:val="en-GB"/>
              </w:rPr>
              <w:cr/>
              <w:t>Standard (AES) and SHA3</w:t>
            </w:r>
          </w:p>
          <w:p w14:paraId="2069822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Front Bezel</w:t>
            </w:r>
          </w:p>
          <w:p w14:paraId="0AB3736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Cryptographically signed firmware</w:t>
            </w:r>
          </w:p>
          <w:p w14:paraId="215F10B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Secure Boot</w:t>
            </w:r>
          </w:p>
          <w:p w14:paraId="5710C4D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Trusted Boot</w:t>
            </w:r>
          </w:p>
          <w:p w14:paraId="395D860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Single Root I/O Virtualization (SR-IOV)</w:t>
            </w:r>
          </w:p>
          <w:p w14:paraId="53EBFE1B" w14:textId="77777777" w:rsidR="00285B1B" w:rsidRPr="00FE4C05" w:rsidRDefault="00285B1B" w:rsidP="009C72F0">
            <w:pPr>
              <w:spacing w:after="0"/>
              <w:rPr>
                <w:b/>
                <w:szCs w:val="24"/>
                <w:lang w:val="en-GB"/>
              </w:rPr>
            </w:pPr>
          </w:p>
          <w:p w14:paraId="1F802ECC" w14:textId="77777777" w:rsidR="00285B1B" w:rsidRPr="00FE4C05" w:rsidRDefault="00285B1B" w:rsidP="009C72F0">
            <w:pPr>
              <w:spacing w:after="0"/>
              <w:rPr>
                <w:b/>
                <w:szCs w:val="24"/>
                <w:lang w:val="en-GB"/>
              </w:rPr>
            </w:pPr>
            <w:r w:rsidRPr="00FE4C05">
              <w:rPr>
                <w:b/>
                <w:szCs w:val="24"/>
                <w:lang w:val="en-GB"/>
              </w:rPr>
              <w:t>Embedded Management</w:t>
            </w:r>
          </w:p>
          <w:p w14:paraId="13900B8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Separate, integrated dual 1 Gb Base-T module for monitoring and management of server and its components. Support for local and remote access via Graphic Web Interface (GUI). A remote access license must be included in the offer.</w:t>
            </w:r>
          </w:p>
          <w:p w14:paraId="1817BF9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Web-based GUI.</w:t>
            </w:r>
          </w:p>
          <w:p w14:paraId="621EEE5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Health Monitoring through sensors.</w:t>
            </w:r>
          </w:p>
          <w:p w14:paraId="57AB10B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control, Boot control,</w:t>
            </w:r>
          </w:p>
          <w:p w14:paraId="58AD3FC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 Media, Virtual Folders</w:t>
            </w:r>
          </w:p>
          <w:p w14:paraId="0973B1F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 Console, HTML access to Virtual Console</w:t>
            </w:r>
          </w:p>
          <w:p w14:paraId="367E5AC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SSH connection to OS</w:t>
            </w:r>
          </w:p>
          <w:p w14:paraId="286DFB5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Email Alerting </w:t>
            </w:r>
          </w:p>
          <w:p w14:paraId="1E4FC0B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Temperature monitoring</w:t>
            </w:r>
          </w:p>
        </w:tc>
      </w:tr>
      <w:tr w:rsidR="00285B1B" w:rsidRPr="00AC5790" w14:paraId="3A069D5F" w14:textId="77777777" w:rsidTr="00285B1B">
        <w:tc>
          <w:tcPr>
            <w:tcW w:w="1134" w:type="dxa"/>
          </w:tcPr>
          <w:p w14:paraId="0742718D" w14:textId="77777777" w:rsidR="00285B1B" w:rsidRPr="00FE4C05" w:rsidRDefault="00285B1B" w:rsidP="009C72F0">
            <w:pPr>
              <w:spacing w:after="0"/>
              <w:rPr>
                <w:b/>
                <w:szCs w:val="24"/>
                <w:lang w:val="en-GB"/>
              </w:rPr>
            </w:pPr>
            <w:r w:rsidRPr="00FE4C05">
              <w:rPr>
                <w:b/>
                <w:szCs w:val="24"/>
                <w:lang w:val="en-GB"/>
              </w:rPr>
              <w:lastRenderedPageBreak/>
              <w:t>1.5</w:t>
            </w:r>
          </w:p>
        </w:tc>
        <w:tc>
          <w:tcPr>
            <w:tcW w:w="8075" w:type="dxa"/>
          </w:tcPr>
          <w:p w14:paraId="1B0AED04" w14:textId="77777777" w:rsidR="00285B1B" w:rsidRPr="00FE4C05" w:rsidRDefault="00285B1B" w:rsidP="009C72F0">
            <w:pPr>
              <w:spacing w:after="0"/>
              <w:rPr>
                <w:b/>
                <w:szCs w:val="24"/>
                <w:lang w:val="en-GB"/>
              </w:rPr>
            </w:pPr>
            <w:r w:rsidRPr="00FE4C05">
              <w:rPr>
                <w:b/>
                <w:szCs w:val="24"/>
                <w:lang w:val="en-GB"/>
              </w:rPr>
              <w:t>General Compute Servers – Hypervisor hosts - Qty. 4 + 1 (cluster for Primary site + single for DR Site)</w:t>
            </w:r>
          </w:p>
          <w:p w14:paraId="0D336E2D" w14:textId="77777777" w:rsidR="00285B1B" w:rsidRPr="00FE4C05" w:rsidRDefault="00285B1B" w:rsidP="009C72F0">
            <w:pPr>
              <w:spacing w:after="0"/>
              <w:rPr>
                <w:bCs/>
                <w:szCs w:val="24"/>
                <w:lang w:val="en-GB"/>
              </w:rPr>
            </w:pPr>
          </w:p>
          <w:p w14:paraId="09165EE9" w14:textId="77777777" w:rsidR="00285B1B" w:rsidRPr="00FE4C05" w:rsidRDefault="00285B1B" w:rsidP="009C72F0">
            <w:pPr>
              <w:spacing w:after="0"/>
              <w:rPr>
                <w:b/>
                <w:szCs w:val="24"/>
                <w:lang w:val="en-GB"/>
              </w:rPr>
            </w:pPr>
            <w:r w:rsidRPr="00FE4C05">
              <w:rPr>
                <w:b/>
                <w:szCs w:val="24"/>
                <w:lang w:val="en-GB"/>
              </w:rPr>
              <w:t>Chassis and Power supply</w:t>
            </w:r>
          </w:p>
          <w:p w14:paraId="3A43CAB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Form factor/height: Rack mount, max. </w:t>
            </w:r>
            <w:proofErr w:type="gramStart"/>
            <w:r w:rsidRPr="00FE4C05">
              <w:rPr>
                <w:bCs/>
                <w:szCs w:val="24"/>
                <w:lang w:val="en-GB"/>
              </w:rPr>
              <w:t>2U</w:t>
            </w:r>
            <w:proofErr w:type="gramEnd"/>
          </w:p>
          <w:p w14:paraId="55C49F8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Power supply: minimum Dual, Hot -Plug, 1100W, Titanium efficiency class </w:t>
            </w:r>
          </w:p>
          <w:p w14:paraId="7329D29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Power cords: 2 x Rack Power Cord 1m (C13/C14 10A) </w:t>
            </w:r>
          </w:p>
          <w:p w14:paraId="2680DA0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Rails: Toolless, Sliding Rails, with cable management arm</w:t>
            </w:r>
          </w:p>
          <w:p w14:paraId="3839ED7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Ports: minimum 2 x USB-2.0, 1 x USB-3.0, 1 x VGA, 1 x USB port, minimum optional serial port</w:t>
            </w:r>
          </w:p>
          <w:p w14:paraId="21584979" w14:textId="77777777" w:rsidR="00285B1B" w:rsidRPr="00FE4C05" w:rsidRDefault="00285B1B" w:rsidP="009C72F0">
            <w:pPr>
              <w:spacing w:after="0"/>
              <w:rPr>
                <w:b/>
                <w:szCs w:val="24"/>
                <w:lang w:val="en-GB"/>
              </w:rPr>
            </w:pPr>
          </w:p>
          <w:p w14:paraId="53076CDD" w14:textId="77777777" w:rsidR="00285B1B" w:rsidRPr="00FE4C05" w:rsidRDefault="00285B1B" w:rsidP="009C72F0">
            <w:pPr>
              <w:spacing w:after="0"/>
              <w:rPr>
                <w:b/>
                <w:szCs w:val="24"/>
                <w:lang w:val="en-GB"/>
              </w:rPr>
            </w:pPr>
            <w:r w:rsidRPr="00FE4C05">
              <w:rPr>
                <w:b/>
                <w:szCs w:val="24"/>
                <w:lang w:val="en-GB"/>
              </w:rPr>
              <w:t>Motherboard, CPU and Memory</w:t>
            </w:r>
          </w:p>
          <w:p w14:paraId="5EE8462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Number of DDR5 DIMM slots: min. 32</w:t>
            </w:r>
          </w:p>
          <w:p w14:paraId="0FD9422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Number of memory channels per CPU: min. 16</w:t>
            </w:r>
          </w:p>
          <w:p w14:paraId="1CCAC9A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sockets: minimum 2 processor sockets supported.</w:t>
            </w:r>
          </w:p>
          <w:p w14:paraId="2AA6C11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generation: minimum latest Generation x64 architecture processors or equivalent.</w:t>
            </w:r>
          </w:p>
          <w:p w14:paraId="5A4A7CC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Required number: </w:t>
            </w:r>
            <w:r w:rsidRPr="00FE4C05">
              <w:rPr>
                <w:b/>
                <w:szCs w:val="24"/>
                <w:lang w:val="en-GB"/>
              </w:rPr>
              <w:t xml:space="preserve">2 </w:t>
            </w:r>
            <w:proofErr w:type="gramStart"/>
            <w:r w:rsidRPr="00FE4C05">
              <w:rPr>
                <w:b/>
                <w:szCs w:val="24"/>
                <w:lang w:val="en-GB"/>
              </w:rPr>
              <w:t>Pcs</w:t>
            </w:r>
            <w:proofErr w:type="gramEnd"/>
          </w:p>
          <w:p w14:paraId="76A0B31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Clock rate</w:t>
            </w:r>
            <w:r w:rsidRPr="00FE4C05">
              <w:rPr>
                <w:b/>
                <w:szCs w:val="24"/>
                <w:lang w:val="en-GB"/>
              </w:rPr>
              <w:t>: min.</w:t>
            </w:r>
            <w:r w:rsidRPr="00FE4C05">
              <w:rPr>
                <w:bCs/>
                <w:szCs w:val="24"/>
                <w:lang w:val="en-GB"/>
              </w:rPr>
              <w:t xml:space="preserve"> </w:t>
            </w:r>
            <w:r w:rsidRPr="00FE4C05">
              <w:rPr>
                <w:b/>
                <w:szCs w:val="24"/>
                <w:lang w:val="en-GB"/>
              </w:rPr>
              <w:t>3.5 GHz</w:t>
            </w:r>
          </w:p>
          <w:p w14:paraId="0E03049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Number of cores per processor: </w:t>
            </w:r>
            <w:r w:rsidRPr="00FE4C05">
              <w:rPr>
                <w:b/>
                <w:szCs w:val="24"/>
                <w:lang w:val="en-GB"/>
              </w:rPr>
              <w:t>min. 16</w:t>
            </w:r>
          </w:p>
          <w:p w14:paraId="24D41EA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L3 Cache: </w:t>
            </w:r>
            <w:r w:rsidRPr="00FE4C05">
              <w:rPr>
                <w:b/>
                <w:szCs w:val="24"/>
                <w:lang w:val="en-GB"/>
              </w:rPr>
              <w:t>min. 45 MB</w:t>
            </w:r>
          </w:p>
          <w:p w14:paraId="78A8A19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type. ECC DDR5</w:t>
            </w:r>
          </w:p>
          <w:p w14:paraId="784B1AA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speed: min. 4800 MHz</w:t>
            </w:r>
          </w:p>
          <w:p w14:paraId="744A76E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Capacity: min. 1024 GB, (16 x 64 GB)</w:t>
            </w:r>
          </w:p>
          <w:p w14:paraId="67C1181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Minimum memory upgrade support 8TB</w:t>
            </w:r>
          </w:p>
          <w:p w14:paraId="75C735C0" w14:textId="77777777" w:rsidR="00285B1B" w:rsidRPr="00FE4C05" w:rsidRDefault="00285B1B" w:rsidP="009C72F0">
            <w:pPr>
              <w:pStyle w:val="ListParagraph"/>
              <w:spacing w:after="0"/>
              <w:ind w:left="491"/>
              <w:rPr>
                <w:bCs/>
                <w:szCs w:val="24"/>
                <w:lang w:val="en-GB"/>
              </w:rPr>
            </w:pPr>
          </w:p>
          <w:p w14:paraId="7665F471" w14:textId="77777777" w:rsidR="00285B1B" w:rsidRPr="00FE4C05" w:rsidRDefault="00285B1B" w:rsidP="009C72F0">
            <w:pPr>
              <w:spacing w:after="0"/>
              <w:rPr>
                <w:b/>
                <w:szCs w:val="24"/>
                <w:lang w:val="en-GB"/>
              </w:rPr>
            </w:pPr>
          </w:p>
          <w:p w14:paraId="405F9042" w14:textId="77777777" w:rsidR="00285B1B" w:rsidRPr="00FE4C05" w:rsidRDefault="00285B1B" w:rsidP="009C72F0">
            <w:pPr>
              <w:spacing w:after="0"/>
              <w:rPr>
                <w:b/>
                <w:szCs w:val="24"/>
                <w:lang w:val="en-GB"/>
              </w:rPr>
            </w:pPr>
            <w:r w:rsidRPr="00FE4C05">
              <w:rPr>
                <w:b/>
                <w:szCs w:val="24"/>
                <w:lang w:val="en-GB"/>
              </w:rPr>
              <w:t>Storage configuration</w:t>
            </w:r>
          </w:p>
          <w:p w14:paraId="2D2DFB8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Boot disks: Two (2) Internal M.2 SSD drives configured in RAID1, minimum capacity </w:t>
            </w:r>
            <w:proofErr w:type="gramStart"/>
            <w:r w:rsidRPr="00FE4C05">
              <w:rPr>
                <w:bCs/>
                <w:szCs w:val="24"/>
                <w:lang w:val="en-GB"/>
              </w:rPr>
              <w:t>480GB</w:t>
            </w:r>
            <w:proofErr w:type="gramEnd"/>
          </w:p>
          <w:p w14:paraId="58177C2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PCI SAN controllers: 32 GB Dual Port Fiber Channel HBA, SW SFP</w:t>
            </w:r>
          </w:p>
          <w:p w14:paraId="1802C5A7" w14:textId="77777777" w:rsidR="00285B1B" w:rsidRPr="00FE4C05" w:rsidRDefault="00285B1B" w:rsidP="009C72F0">
            <w:pPr>
              <w:spacing w:after="0"/>
              <w:rPr>
                <w:b/>
                <w:szCs w:val="24"/>
                <w:lang w:val="en-GB"/>
              </w:rPr>
            </w:pPr>
          </w:p>
          <w:p w14:paraId="3D655735" w14:textId="77777777" w:rsidR="00285B1B" w:rsidRPr="00FE4C05" w:rsidRDefault="00285B1B" w:rsidP="009C72F0">
            <w:pPr>
              <w:spacing w:after="0"/>
              <w:rPr>
                <w:b/>
                <w:szCs w:val="24"/>
                <w:lang w:val="en-GB"/>
              </w:rPr>
            </w:pPr>
            <w:r w:rsidRPr="00FE4C05">
              <w:rPr>
                <w:b/>
                <w:szCs w:val="24"/>
                <w:lang w:val="en-GB"/>
              </w:rPr>
              <w:t>Network Interface Cards</w:t>
            </w:r>
          </w:p>
          <w:p w14:paraId="73CF674A"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w:t>
            </w:r>
            <w:proofErr w:type="spellStart"/>
            <w:proofErr w:type="gramStart"/>
            <w:r w:rsidRPr="00FE4C05">
              <w:rPr>
                <w:bCs/>
                <w:szCs w:val="24"/>
                <w:lang w:val="fr-BE"/>
              </w:rPr>
              <w:t>NIC’s</w:t>
            </w:r>
            <w:proofErr w:type="spellEnd"/>
            <w:r w:rsidRPr="00FE4C05">
              <w:rPr>
                <w:bCs/>
                <w:szCs w:val="24"/>
                <w:lang w:val="fr-BE"/>
              </w:rPr>
              <w:t>:</w:t>
            </w:r>
            <w:proofErr w:type="gramEnd"/>
            <w:r w:rsidRPr="00FE4C05">
              <w:rPr>
                <w:bCs/>
                <w:szCs w:val="24"/>
                <w:lang w:val="fr-BE"/>
              </w:rPr>
              <w:t xml:space="preserve"> 2 x Dual Port 25 </w:t>
            </w:r>
            <w:proofErr w:type="spellStart"/>
            <w:r w:rsidRPr="00FE4C05">
              <w:rPr>
                <w:bCs/>
                <w:szCs w:val="24"/>
                <w:lang w:val="fr-BE"/>
              </w:rPr>
              <w:t>Gbe</w:t>
            </w:r>
            <w:proofErr w:type="spellEnd"/>
            <w:r w:rsidRPr="00FE4C05">
              <w:rPr>
                <w:bCs/>
                <w:szCs w:val="24"/>
                <w:lang w:val="fr-BE"/>
              </w:rPr>
              <w:t xml:space="preserve"> - SFP28, </w:t>
            </w:r>
            <w:proofErr w:type="spellStart"/>
            <w:r w:rsidRPr="00FE4C05">
              <w:rPr>
                <w:bCs/>
                <w:szCs w:val="24"/>
                <w:lang w:val="fr-BE"/>
              </w:rPr>
              <w:t>RoCE</w:t>
            </w:r>
            <w:proofErr w:type="spellEnd"/>
            <w:r w:rsidRPr="00FE4C05">
              <w:rPr>
                <w:bCs/>
                <w:szCs w:val="24"/>
                <w:lang w:val="fr-BE"/>
              </w:rPr>
              <w:t>.</w:t>
            </w:r>
          </w:p>
          <w:p w14:paraId="76BA7652"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w:t>
            </w:r>
            <w:proofErr w:type="spellStart"/>
            <w:proofErr w:type="gramStart"/>
            <w:r w:rsidRPr="00FE4C05">
              <w:rPr>
                <w:bCs/>
                <w:szCs w:val="24"/>
                <w:lang w:val="fr-BE"/>
              </w:rPr>
              <w:t>NIC’s</w:t>
            </w:r>
            <w:proofErr w:type="spellEnd"/>
            <w:r w:rsidRPr="00FE4C05">
              <w:rPr>
                <w:bCs/>
                <w:szCs w:val="24"/>
                <w:lang w:val="fr-BE"/>
              </w:rPr>
              <w:t>:</w:t>
            </w:r>
            <w:proofErr w:type="gramEnd"/>
            <w:r w:rsidRPr="00FE4C05">
              <w:rPr>
                <w:bCs/>
                <w:szCs w:val="24"/>
                <w:lang w:val="fr-BE"/>
              </w:rPr>
              <w:t xml:space="preserve"> 1 x Dual Port 1 </w:t>
            </w:r>
            <w:proofErr w:type="spellStart"/>
            <w:r w:rsidRPr="00FE4C05">
              <w:rPr>
                <w:bCs/>
                <w:szCs w:val="24"/>
                <w:lang w:val="fr-BE"/>
              </w:rPr>
              <w:t>Gbe</w:t>
            </w:r>
            <w:proofErr w:type="spellEnd"/>
            <w:r w:rsidRPr="00FE4C05">
              <w:rPr>
                <w:bCs/>
                <w:szCs w:val="24"/>
                <w:lang w:val="fr-BE"/>
              </w:rPr>
              <w:t xml:space="preserve"> – RJ-45.</w:t>
            </w:r>
          </w:p>
          <w:p w14:paraId="6A5A0C1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Networking Cables: 4 x SFP28 to SFP28, 25GbE, Passive Copper </w:t>
            </w:r>
            <w:proofErr w:type="spellStart"/>
            <w:r w:rsidRPr="00FE4C05">
              <w:rPr>
                <w:bCs/>
                <w:szCs w:val="24"/>
                <w:lang w:val="en-GB"/>
              </w:rPr>
              <w:t>Twinax</w:t>
            </w:r>
            <w:proofErr w:type="spellEnd"/>
            <w:r w:rsidRPr="00FE4C05">
              <w:rPr>
                <w:bCs/>
                <w:szCs w:val="24"/>
                <w:lang w:val="en-GB"/>
              </w:rPr>
              <w:t xml:space="preserve"> Direct Attach Cable, 3 Meter (compatible with TOR switches Item No. 1.2)</w:t>
            </w:r>
          </w:p>
          <w:p w14:paraId="1B8FBD2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Networking Cables: 4 x OM3 LC-LC FC Cable, 10 Meter (compatible with FC switches Item No. 1.7)</w:t>
            </w:r>
          </w:p>
          <w:p w14:paraId="745779D8" w14:textId="77777777" w:rsidR="00285B1B" w:rsidRPr="00FE4C05" w:rsidRDefault="00285B1B" w:rsidP="009C72F0">
            <w:pPr>
              <w:spacing w:after="0"/>
              <w:rPr>
                <w:b/>
                <w:szCs w:val="24"/>
                <w:lang w:val="en-GB"/>
              </w:rPr>
            </w:pPr>
          </w:p>
          <w:p w14:paraId="5AEA5205" w14:textId="77777777" w:rsidR="00285B1B" w:rsidRPr="00FE4C05" w:rsidRDefault="00285B1B" w:rsidP="009C72F0">
            <w:pPr>
              <w:spacing w:after="0"/>
              <w:rPr>
                <w:b/>
                <w:szCs w:val="24"/>
                <w:lang w:val="en-GB"/>
              </w:rPr>
            </w:pPr>
            <w:r w:rsidRPr="00FE4C05">
              <w:rPr>
                <w:b/>
                <w:szCs w:val="24"/>
                <w:lang w:val="en-GB"/>
              </w:rPr>
              <w:t>Security features</w:t>
            </w:r>
          </w:p>
          <w:p w14:paraId="6A59821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Trusted Platform Module 2, factory enabled with Secure Boot</w:t>
            </w:r>
          </w:p>
          <w:p w14:paraId="06E0013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LCD bezel</w:t>
            </w:r>
          </w:p>
          <w:p w14:paraId="5A9AC36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Cryptographically signed firmware</w:t>
            </w:r>
          </w:p>
          <w:p w14:paraId="7E46A03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Secure Boot</w:t>
            </w:r>
          </w:p>
          <w:p w14:paraId="767CD2A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Silicon Root of Trust</w:t>
            </w:r>
          </w:p>
          <w:p w14:paraId="2DAAB3A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System Lockdown</w:t>
            </w:r>
          </w:p>
          <w:p w14:paraId="08B9E25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Management of Data at Rest Encryption keys</w:t>
            </w:r>
          </w:p>
          <w:p w14:paraId="5E2BBAB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Secure Erase</w:t>
            </w:r>
          </w:p>
          <w:p w14:paraId="4EA75D18" w14:textId="77777777" w:rsidR="00285B1B" w:rsidRPr="00FE4C05" w:rsidRDefault="00285B1B" w:rsidP="009C72F0">
            <w:pPr>
              <w:spacing w:after="0"/>
              <w:rPr>
                <w:bCs/>
                <w:szCs w:val="24"/>
                <w:lang w:val="en-GB"/>
              </w:rPr>
            </w:pPr>
          </w:p>
          <w:p w14:paraId="05AB2E4D" w14:textId="77777777" w:rsidR="00285B1B" w:rsidRPr="00FE4C05" w:rsidRDefault="00285B1B" w:rsidP="009C72F0">
            <w:pPr>
              <w:spacing w:after="0"/>
              <w:rPr>
                <w:b/>
                <w:szCs w:val="24"/>
                <w:lang w:val="en-GB"/>
              </w:rPr>
            </w:pPr>
            <w:r w:rsidRPr="00FE4C05">
              <w:rPr>
                <w:b/>
                <w:szCs w:val="24"/>
                <w:lang w:val="en-GB"/>
              </w:rPr>
              <w:t>Embedded Management</w:t>
            </w:r>
          </w:p>
          <w:p w14:paraId="131BE58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Embedded system management controller with own processing power which is FIPS 140-2 Level 1 </w:t>
            </w:r>
            <w:proofErr w:type="gramStart"/>
            <w:r w:rsidRPr="00FE4C05">
              <w:rPr>
                <w:bCs/>
                <w:szCs w:val="24"/>
                <w:lang w:val="en-GB"/>
              </w:rPr>
              <w:t>certified</w:t>
            </w:r>
            <w:proofErr w:type="gramEnd"/>
            <w:r w:rsidRPr="00FE4C05">
              <w:rPr>
                <w:bCs/>
                <w:szCs w:val="24"/>
                <w:lang w:val="en-GB"/>
              </w:rPr>
              <w:t xml:space="preserve">  </w:t>
            </w:r>
          </w:p>
          <w:p w14:paraId="3040AC8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Built-in wireless module for wireless diagnostics over BLE / NFC.  </w:t>
            </w:r>
          </w:p>
          <w:p w14:paraId="3C26A98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embedded controller should allow proactive for error alerts on network adapters, memory, internal drives (SAS HDDs and SSDs, </w:t>
            </w:r>
            <w:proofErr w:type="spellStart"/>
            <w:r w:rsidRPr="00FE4C05">
              <w:rPr>
                <w:bCs/>
                <w:szCs w:val="24"/>
                <w:lang w:val="en-GB"/>
              </w:rPr>
              <w:t>NVMe</w:t>
            </w:r>
            <w:proofErr w:type="spellEnd"/>
            <w:r w:rsidRPr="00FE4C05">
              <w:rPr>
                <w:bCs/>
                <w:szCs w:val="24"/>
                <w:lang w:val="en-GB"/>
              </w:rPr>
              <w:t xml:space="preserve">), fans, </w:t>
            </w:r>
            <w:r w:rsidRPr="00FE4C05">
              <w:rPr>
                <w:bCs/>
                <w:szCs w:val="24"/>
                <w:lang w:val="en-GB"/>
              </w:rPr>
              <w:lastRenderedPageBreak/>
              <w:t xml:space="preserve">power modules, RAID controllers, Fibre Channel HBAs, ambient server temperature (including graphical displays) on SSD) and other errors.  </w:t>
            </w:r>
          </w:p>
          <w:p w14:paraId="32418F2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allow quality control / bandwidth of remote access to the server.  </w:t>
            </w:r>
          </w:p>
          <w:p w14:paraId="181CD9F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include independent 10/100/100 Mbit Ethernet adapter for real time remote management as well as a dedicated USB port for WSMAN management access at the front side. </w:t>
            </w:r>
          </w:p>
          <w:p w14:paraId="25E22DE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provide agent-free hardware, </w:t>
            </w:r>
            <w:proofErr w:type="gramStart"/>
            <w:r w:rsidRPr="00FE4C05">
              <w:rPr>
                <w:bCs/>
                <w:szCs w:val="24"/>
                <w:lang w:val="en-GB"/>
              </w:rPr>
              <w:t>firmware</w:t>
            </w:r>
            <w:proofErr w:type="gramEnd"/>
            <w:r w:rsidRPr="00FE4C05">
              <w:rPr>
                <w:bCs/>
                <w:szCs w:val="24"/>
                <w:lang w:val="en-GB"/>
              </w:rPr>
              <w:t xml:space="preserve"> and performance monitoring, including inventory, crash screen / video capture, boot capture, and alerting.  </w:t>
            </w:r>
          </w:p>
          <w:p w14:paraId="7106A1B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support the IPMI 2.0 protocol, VNC connectivity with the operating system, include HTML 5 based browser interface, SMASH-CLP, Dynamic DNS, DHCP with Zero Touch functionality, NFS v4 and </w:t>
            </w:r>
            <w:proofErr w:type="spellStart"/>
            <w:r w:rsidRPr="00FE4C05">
              <w:rPr>
                <w:bCs/>
                <w:szCs w:val="24"/>
                <w:lang w:val="en-GB"/>
              </w:rPr>
              <w:t>WSMan</w:t>
            </w:r>
            <w:proofErr w:type="spellEnd"/>
            <w:r w:rsidRPr="00FE4C05">
              <w:rPr>
                <w:bCs/>
                <w:szCs w:val="24"/>
                <w:lang w:val="en-GB"/>
              </w:rPr>
              <w:t xml:space="preserve"> support, E-mail alerts, Virtual console (KVM) as well as virtual media attachment.  </w:t>
            </w:r>
          </w:p>
          <w:p w14:paraId="2677FF2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Front-facing LCD panel for local management and diagnostics.  </w:t>
            </w:r>
          </w:p>
          <w:p w14:paraId="6483F18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Unlimited Virtual Console with HTML5 or VNC.</w:t>
            </w:r>
          </w:p>
          <w:p w14:paraId="34D4AB25" w14:textId="77777777" w:rsidR="00285B1B" w:rsidRPr="00FE4C05" w:rsidRDefault="00285B1B" w:rsidP="009C72F0">
            <w:pPr>
              <w:spacing w:after="0"/>
              <w:jc w:val="left"/>
              <w:rPr>
                <w:b/>
                <w:szCs w:val="24"/>
                <w:lang w:val="en-GB"/>
              </w:rPr>
            </w:pPr>
          </w:p>
          <w:p w14:paraId="5DB676A4" w14:textId="77777777" w:rsidR="00285B1B" w:rsidRPr="00FE4C05" w:rsidRDefault="00285B1B" w:rsidP="009C72F0">
            <w:pPr>
              <w:spacing w:after="0"/>
              <w:rPr>
                <w:b/>
                <w:szCs w:val="24"/>
                <w:lang w:val="en-GB"/>
              </w:rPr>
            </w:pPr>
            <w:r w:rsidRPr="00FE4C05">
              <w:rPr>
                <w:b/>
                <w:szCs w:val="24"/>
                <w:lang w:val="en-GB"/>
              </w:rPr>
              <w:t>Virtualization Hypervisor</w:t>
            </w:r>
          </w:p>
          <w:p w14:paraId="3BF2675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Virtualization software shall provide a virtualization layer that sits directly on the bare metal server hardware with no dependence on a general-purpose OS for greater reliability and security. </w:t>
            </w:r>
          </w:p>
          <w:p w14:paraId="5D74494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Central management interface, accessible over secure HTTP Strict Transport Security (HSTS) graphical interface.</w:t>
            </w:r>
          </w:p>
          <w:p w14:paraId="512D0C1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Virtualization software shall have the capability to create Virtual machines with up to 256 virtual processors and up to 2 TB virtual RAM in virtual machines for all the guest operating system supported by the hypervisor.</w:t>
            </w:r>
          </w:p>
          <w:p w14:paraId="4836285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Virtualization software should support live migration of virtual machines with no disruption to users or loss of service, eliminating the need to schedule application downtime for planned server maintenance.</w:t>
            </w:r>
          </w:p>
          <w:p w14:paraId="60B5BAB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Virtualization software should perform live migration of virtual machines files from one storage array to another without any Virtual Machine downtime. </w:t>
            </w:r>
          </w:p>
          <w:p w14:paraId="36C7D72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Virtualization software should support Network File System (NFS), </w:t>
            </w:r>
            <w:proofErr w:type="spellStart"/>
            <w:r w:rsidRPr="00FE4C05">
              <w:rPr>
                <w:bCs/>
                <w:szCs w:val="24"/>
                <w:lang w:val="en-GB"/>
              </w:rPr>
              <w:t>Gluster</w:t>
            </w:r>
            <w:proofErr w:type="spellEnd"/>
            <w:r w:rsidRPr="00FE4C05">
              <w:rPr>
                <w:bCs/>
                <w:szCs w:val="24"/>
                <w:lang w:val="en-GB"/>
              </w:rPr>
              <w:t xml:space="preserve"> FS storage, Internet Small Computer System Interface (iSCSI), and Fibre Channel Protocol (FCP) type of storage.</w:t>
            </w:r>
          </w:p>
          <w:p w14:paraId="2B964F4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Virtualization software shall have High Availability capabilities for the virtual machines in the sense, if in case one server fails all the Virtual machines running on that server shall be automatically restarted to another physical server running same virtualization software. </w:t>
            </w:r>
          </w:p>
          <w:p w14:paraId="406D568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The solution should provide secure access and account management through identity federation.</w:t>
            </w:r>
          </w:p>
          <w:p w14:paraId="3D9C4D4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 xml:space="preserve">The solution should support for increasing capacity by adding CPU, </w:t>
            </w:r>
            <w:proofErr w:type="gramStart"/>
            <w:r w:rsidRPr="00FE4C05">
              <w:rPr>
                <w:bCs/>
                <w:szCs w:val="24"/>
                <w:lang w:val="en-GB"/>
              </w:rPr>
              <w:t>Memory</w:t>
            </w:r>
            <w:proofErr w:type="gramEnd"/>
            <w:r w:rsidRPr="00FE4C05">
              <w:rPr>
                <w:bCs/>
                <w:szCs w:val="24"/>
                <w:lang w:val="en-GB"/>
              </w:rPr>
              <w:t xml:space="preserve"> or any other devices to virtual machines on an as needed basis without any disruption in working or downtime for supported operating systems.</w:t>
            </w:r>
          </w:p>
          <w:p w14:paraId="304E9D4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Virtualization software should support automated load balancing of workload across the resources allocated to workloads in a cluster.</w:t>
            </w:r>
          </w:p>
          <w:p w14:paraId="52F37A0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Virtualization software should be able to receive server health information and migrate virtual machines from degraded hosts.</w:t>
            </w:r>
          </w:p>
          <w:p w14:paraId="619CB628" w14:textId="3BD51F5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Licensing should be based on per-CPU licensing model and offer need to include licenses for at least four hypervisor hosts / </w:t>
            </w:r>
            <w:r w:rsidRPr="00FE4C05">
              <w:rPr>
                <w:b/>
                <w:szCs w:val="24"/>
                <w:lang w:val="en-GB"/>
              </w:rPr>
              <w:t xml:space="preserve">8 </w:t>
            </w:r>
            <w:proofErr w:type="gramStart"/>
            <w:r w:rsidRPr="00FE4C05">
              <w:rPr>
                <w:b/>
                <w:szCs w:val="24"/>
                <w:lang w:val="en-GB"/>
              </w:rPr>
              <w:t>CPU’s</w:t>
            </w:r>
            <w:proofErr w:type="gramEnd"/>
            <w:r w:rsidRPr="00FE4C05">
              <w:rPr>
                <w:b/>
                <w:szCs w:val="24"/>
                <w:lang w:val="en-GB"/>
              </w:rPr>
              <w:t xml:space="preserve"> with unlimited physical cores on each</w:t>
            </w:r>
            <w:r w:rsidRPr="00FE4C05">
              <w:rPr>
                <w:bCs/>
                <w:szCs w:val="24"/>
                <w:lang w:val="en-GB"/>
              </w:rPr>
              <w:t>.</w:t>
            </w:r>
          </w:p>
          <w:p w14:paraId="5404FA0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For the offered software license, it is needed to provide technical support directly from the vendor at all levels </w:t>
            </w:r>
            <w:r w:rsidRPr="00FE4C05">
              <w:rPr>
                <w:b/>
                <w:szCs w:val="24"/>
                <w:lang w:val="en-GB"/>
              </w:rPr>
              <w:t>for a period of at least 3 years</w:t>
            </w:r>
            <w:r w:rsidRPr="00FE4C05">
              <w:rPr>
                <w:bCs/>
                <w:szCs w:val="24"/>
                <w:lang w:val="en-GB"/>
              </w:rPr>
              <w:t>, and which provide possibility to install latest version of the solution during a support period.</w:t>
            </w:r>
          </w:p>
          <w:p w14:paraId="5DF945D8" w14:textId="77777777" w:rsidR="00285B1B" w:rsidRPr="00FE4C05" w:rsidRDefault="00285B1B" w:rsidP="009C72F0">
            <w:pPr>
              <w:spacing w:after="0"/>
              <w:jc w:val="left"/>
              <w:rPr>
                <w:b/>
                <w:szCs w:val="24"/>
                <w:lang w:val="en-GB"/>
              </w:rPr>
            </w:pPr>
          </w:p>
        </w:tc>
      </w:tr>
      <w:tr w:rsidR="00285B1B" w:rsidRPr="00AC5790" w14:paraId="4AB06740" w14:textId="77777777" w:rsidTr="00285B1B">
        <w:tc>
          <w:tcPr>
            <w:tcW w:w="1134" w:type="dxa"/>
          </w:tcPr>
          <w:p w14:paraId="2AD01A8F" w14:textId="77777777" w:rsidR="00285B1B" w:rsidRPr="00FE4C05" w:rsidRDefault="00285B1B" w:rsidP="009C72F0">
            <w:pPr>
              <w:spacing w:after="0"/>
              <w:rPr>
                <w:b/>
                <w:szCs w:val="24"/>
                <w:lang w:val="en-GB"/>
              </w:rPr>
            </w:pPr>
            <w:r w:rsidRPr="00FE4C05">
              <w:rPr>
                <w:b/>
                <w:szCs w:val="24"/>
                <w:lang w:val="en-GB"/>
              </w:rPr>
              <w:lastRenderedPageBreak/>
              <w:t>1.6</w:t>
            </w:r>
          </w:p>
        </w:tc>
        <w:tc>
          <w:tcPr>
            <w:tcW w:w="8075" w:type="dxa"/>
            <w:vAlign w:val="center"/>
          </w:tcPr>
          <w:p w14:paraId="0C9799A6" w14:textId="77777777" w:rsidR="00285B1B" w:rsidRPr="00FE4C05" w:rsidRDefault="00285B1B" w:rsidP="009C72F0">
            <w:pPr>
              <w:spacing w:after="0"/>
              <w:rPr>
                <w:b/>
                <w:szCs w:val="24"/>
                <w:lang w:val="en-GB"/>
              </w:rPr>
            </w:pPr>
            <w:r w:rsidRPr="00FE4C05">
              <w:rPr>
                <w:b/>
                <w:szCs w:val="24"/>
                <w:lang w:val="en-GB"/>
              </w:rPr>
              <w:t>Central Storage Infrastructure - Qty. 1 + 1 (for Primary site + for DR Site)</w:t>
            </w:r>
          </w:p>
          <w:p w14:paraId="2EEE2389" w14:textId="77777777" w:rsidR="00285B1B" w:rsidRPr="00FE4C05" w:rsidRDefault="00285B1B" w:rsidP="009C72F0">
            <w:pPr>
              <w:spacing w:after="0"/>
              <w:rPr>
                <w:bCs/>
                <w:szCs w:val="24"/>
                <w:lang w:val="en-GB"/>
              </w:rPr>
            </w:pPr>
          </w:p>
          <w:p w14:paraId="00D61B63" w14:textId="77777777" w:rsidR="00285B1B" w:rsidRPr="00FE4C05" w:rsidRDefault="00285B1B" w:rsidP="009C72F0">
            <w:pPr>
              <w:spacing w:after="0"/>
              <w:ind w:left="55"/>
              <w:rPr>
                <w:bCs/>
                <w:szCs w:val="24"/>
                <w:lang w:val="en-GB"/>
              </w:rPr>
            </w:pPr>
            <w:proofErr w:type="spellStart"/>
            <w:r w:rsidRPr="00FE4C05">
              <w:rPr>
                <w:bCs/>
                <w:szCs w:val="24"/>
                <w:lang w:val="en-GB"/>
              </w:rPr>
              <w:t>NVMe</w:t>
            </w:r>
            <w:proofErr w:type="spellEnd"/>
            <w:r w:rsidRPr="00FE4C05">
              <w:rPr>
                <w:bCs/>
                <w:szCs w:val="24"/>
                <w:lang w:val="en-GB"/>
              </w:rPr>
              <w:t>-based Unified Block and File Storage System</w:t>
            </w:r>
          </w:p>
          <w:p w14:paraId="30E5458F" w14:textId="77777777" w:rsidR="00285B1B" w:rsidRPr="00FE4C05" w:rsidRDefault="00285B1B" w:rsidP="009C72F0">
            <w:pPr>
              <w:spacing w:after="0"/>
              <w:ind w:left="55"/>
              <w:rPr>
                <w:bCs/>
                <w:szCs w:val="24"/>
                <w:lang w:val="en-GB"/>
              </w:rPr>
            </w:pPr>
          </w:p>
          <w:p w14:paraId="66AA5950" w14:textId="77777777" w:rsidR="00285B1B" w:rsidRPr="00FE4C05" w:rsidRDefault="00285B1B" w:rsidP="009C72F0">
            <w:pPr>
              <w:spacing w:after="0"/>
              <w:rPr>
                <w:b/>
                <w:szCs w:val="24"/>
                <w:lang w:val="en-GB"/>
              </w:rPr>
            </w:pPr>
            <w:r w:rsidRPr="00FE4C05">
              <w:rPr>
                <w:b/>
                <w:szCs w:val="24"/>
                <w:lang w:val="en-GB"/>
              </w:rPr>
              <w:t>Centralized Storage:</w:t>
            </w:r>
          </w:p>
          <w:p w14:paraId="303139A7" w14:textId="77777777" w:rsidR="00285B1B" w:rsidRPr="00FE4C05" w:rsidRDefault="00285B1B" w:rsidP="00D530D5">
            <w:pPr>
              <w:pStyle w:val="ListParagraph"/>
              <w:numPr>
                <w:ilvl w:val="0"/>
                <w:numId w:val="153"/>
              </w:numPr>
              <w:spacing w:after="0"/>
              <w:ind w:left="449" w:hanging="436"/>
              <w:rPr>
                <w:bCs/>
                <w:szCs w:val="24"/>
                <w:lang w:val="en-GB"/>
              </w:rPr>
            </w:pPr>
            <w:r w:rsidRPr="00FE4C05">
              <w:rPr>
                <w:bCs/>
                <w:szCs w:val="24"/>
                <w:lang w:val="en-GB"/>
              </w:rPr>
              <w:t xml:space="preserve">The storage solution shall include as a minimum end-to-end </w:t>
            </w:r>
            <w:proofErr w:type="spellStart"/>
            <w:r w:rsidRPr="00FE4C05">
              <w:rPr>
                <w:bCs/>
                <w:szCs w:val="24"/>
                <w:lang w:val="en-GB"/>
              </w:rPr>
              <w:t>NVMe</w:t>
            </w:r>
            <w:proofErr w:type="spellEnd"/>
            <w:r w:rsidRPr="00FE4C05">
              <w:rPr>
                <w:bCs/>
                <w:szCs w:val="24"/>
                <w:lang w:val="en-GB"/>
              </w:rPr>
              <w:t xml:space="preserve"> all-flash architecture storage platform with appropriate capacity for on-prem data storage.</w:t>
            </w:r>
          </w:p>
          <w:p w14:paraId="6B7D86E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Minimum of 72 GB direct </w:t>
            </w:r>
            <w:proofErr w:type="gramStart"/>
            <w:r w:rsidRPr="00FE4C05">
              <w:rPr>
                <w:bCs/>
                <w:szCs w:val="24"/>
                <w:lang w:val="en-GB"/>
              </w:rPr>
              <w:t>controller based</w:t>
            </w:r>
            <w:proofErr w:type="gramEnd"/>
            <w:r w:rsidRPr="00FE4C05">
              <w:rPr>
                <w:bCs/>
                <w:szCs w:val="24"/>
                <w:lang w:val="en-GB"/>
              </w:rPr>
              <w:t xml:space="preserve"> memory for cache and other functionalities shall be included for each pair of controllers (144 GB in total).</w:t>
            </w:r>
          </w:p>
          <w:p w14:paraId="49ACE71E"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Minimum of two active controllers shall be included, expandable by at least four times.</w:t>
            </w:r>
          </w:p>
          <w:p w14:paraId="092B415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Minimum of 32-Gbps </w:t>
            </w:r>
            <w:proofErr w:type="spellStart"/>
            <w:r w:rsidRPr="00FE4C05">
              <w:rPr>
                <w:bCs/>
                <w:szCs w:val="24"/>
                <w:lang w:val="en-GB"/>
              </w:rPr>
              <w:t>NVMe</w:t>
            </w:r>
            <w:proofErr w:type="spellEnd"/>
            <w:r w:rsidRPr="00FE4C05">
              <w:rPr>
                <w:bCs/>
                <w:szCs w:val="24"/>
                <w:lang w:val="en-GB"/>
              </w:rPr>
              <w:t xml:space="preserve"> over Fibre Channel data access protocol shall be offered, through a minimum of 4 redundant port pairs.</w:t>
            </w:r>
          </w:p>
          <w:p w14:paraId="5B767F7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Minimum of 25-Gbps Ethernet data access protocol shall be offered for block and </w:t>
            </w:r>
            <w:proofErr w:type="gramStart"/>
            <w:r w:rsidRPr="00FE4C05">
              <w:rPr>
                <w:bCs/>
                <w:szCs w:val="24"/>
                <w:lang w:val="en-GB"/>
              </w:rPr>
              <w:t>file based</w:t>
            </w:r>
            <w:proofErr w:type="gramEnd"/>
            <w:r w:rsidRPr="00FE4C05">
              <w:rPr>
                <w:bCs/>
                <w:szCs w:val="24"/>
                <w:lang w:val="en-GB"/>
              </w:rPr>
              <w:t xml:space="preserve"> access to data, through a minimum of 4 redundant port pairs.</w:t>
            </w:r>
          </w:p>
          <w:p w14:paraId="6C0508C4" w14:textId="77777777" w:rsidR="00285B1B" w:rsidRPr="00FE4C05" w:rsidRDefault="00285B1B" w:rsidP="009C72F0">
            <w:pPr>
              <w:spacing w:after="0"/>
              <w:rPr>
                <w:bCs/>
                <w:szCs w:val="24"/>
                <w:lang w:val="en-GB"/>
              </w:rPr>
            </w:pPr>
          </w:p>
          <w:p w14:paraId="182E2FCE" w14:textId="77777777" w:rsidR="00285B1B" w:rsidRPr="00FE4C05" w:rsidRDefault="00285B1B" w:rsidP="009C72F0">
            <w:pPr>
              <w:spacing w:after="0"/>
              <w:rPr>
                <w:b/>
                <w:szCs w:val="24"/>
                <w:lang w:val="en-GB"/>
              </w:rPr>
            </w:pPr>
            <w:r w:rsidRPr="00FE4C05">
              <w:rPr>
                <w:b/>
                <w:szCs w:val="24"/>
                <w:lang w:val="en-GB"/>
              </w:rPr>
              <w:t>Storage Capacity:</w:t>
            </w:r>
          </w:p>
          <w:p w14:paraId="3EECBB31" w14:textId="77777777" w:rsidR="00285B1B" w:rsidRPr="00FE4C05" w:rsidRDefault="00285B1B" w:rsidP="009C72F0">
            <w:pPr>
              <w:pStyle w:val="ListParagraph"/>
              <w:rPr>
                <w:bCs/>
                <w:szCs w:val="24"/>
                <w:lang w:val="en-GB"/>
              </w:rPr>
            </w:pPr>
          </w:p>
          <w:p w14:paraId="1AD619F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A minimum of 14 x 3.8 TB </w:t>
            </w:r>
            <w:proofErr w:type="spellStart"/>
            <w:r w:rsidRPr="00FE4C05">
              <w:rPr>
                <w:bCs/>
                <w:szCs w:val="24"/>
                <w:lang w:val="en-GB"/>
              </w:rPr>
              <w:t>NVMe</w:t>
            </w:r>
            <w:proofErr w:type="spellEnd"/>
            <w:r w:rsidRPr="00FE4C05">
              <w:rPr>
                <w:bCs/>
                <w:szCs w:val="24"/>
                <w:lang w:val="en-GB"/>
              </w:rPr>
              <w:t xml:space="preserve"> data storage drives.</w:t>
            </w:r>
          </w:p>
          <w:p w14:paraId="22AF30C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A minimum of 37 TiB usable (no compression/deduplication/thin provisioning) and dual drive failure protected capacity for archive data storage.</w:t>
            </w:r>
          </w:p>
          <w:p w14:paraId="35EE715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Dedicated spare drive or spare drive capacity must be included.</w:t>
            </w:r>
          </w:p>
          <w:p w14:paraId="17801CC3" w14:textId="77777777" w:rsidR="00285B1B" w:rsidRPr="00FE4C05" w:rsidRDefault="00285B1B" w:rsidP="009C72F0">
            <w:pPr>
              <w:spacing w:after="0"/>
              <w:rPr>
                <w:bCs/>
                <w:szCs w:val="24"/>
                <w:lang w:val="en-GB"/>
              </w:rPr>
            </w:pPr>
          </w:p>
          <w:p w14:paraId="28DC10C0" w14:textId="77777777" w:rsidR="00285B1B" w:rsidRPr="00FE4C05" w:rsidRDefault="00285B1B" w:rsidP="009C72F0">
            <w:pPr>
              <w:spacing w:after="0"/>
              <w:rPr>
                <w:b/>
                <w:szCs w:val="24"/>
                <w:lang w:val="en-GB"/>
              </w:rPr>
            </w:pPr>
            <w:r w:rsidRPr="00FE4C05">
              <w:rPr>
                <w:b/>
                <w:szCs w:val="24"/>
                <w:lang w:val="en-GB"/>
              </w:rPr>
              <w:t>Data at-rest encryption requirements:</w:t>
            </w:r>
          </w:p>
          <w:p w14:paraId="1D7B5A2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Full storage level hardware-based encryption shall be implemented, with private keys controlled by Customs.</w:t>
            </w:r>
          </w:p>
          <w:p w14:paraId="203EAA8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The storage solution shall include as a minimum Advanced Encryption Standard (AES) 256-bit.</w:t>
            </w:r>
          </w:p>
          <w:p w14:paraId="1F2058B5" w14:textId="77777777" w:rsidR="00285B1B" w:rsidRPr="00FE4C05" w:rsidRDefault="00285B1B" w:rsidP="009C72F0">
            <w:pPr>
              <w:spacing w:after="0"/>
              <w:rPr>
                <w:bCs/>
                <w:szCs w:val="24"/>
                <w:lang w:val="en-GB"/>
              </w:rPr>
            </w:pPr>
          </w:p>
          <w:p w14:paraId="36F7C78F" w14:textId="77777777" w:rsidR="00285B1B" w:rsidRPr="00FE4C05" w:rsidRDefault="00285B1B" w:rsidP="009C72F0">
            <w:pPr>
              <w:spacing w:after="0"/>
              <w:rPr>
                <w:b/>
                <w:szCs w:val="24"/>
                <w:lang w:val="en-GB"/>
              </w:rPr>
            </w:pPr>
            <w:r w:rsidRPr="00FE4C05">
              <w:rPr>
                <w:b/>
                <w:szCs w:val="24"/>
                <w:lang w:val="en-GB"/>
              </w:rPr>
              <w:t>Protocols for host access:</w:t>
            </w:r>
          </w:p>
          <w:p w14:paraId="5AAF8E7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Supported block protocols: iSCSI, Fibre Channel, </w:t>
            </w:r>
            <w:proofErr w:type="spellStart"/>
            <w:r w:rsidRPr="00FE4C05">
              <w:rPr>
                <w:bCs/>
                <w:szCs w:val="24"/>
                <w:lang w:val="en-GB"/>
              </w:rPr>
              <w:t>NVMe</w:t>
            </w:r>
            <w:proofErr w:type="spellEnd"/>
            <w:r w:rsidRPr="00FE4C05">
              <w:rPr>
                <w:bCs/>
                <w:szCs w:val="24"/>
                <w:lang w:val="en-GB"/>
              </w:rPr>
              <w:t xml:space="preserve">/FC, </w:t>
            </w:r>
            <w:proofErr w:type="spellStart"/>
            <w:r w:rsidRPr="00FE4C05">
              <w:rPr>
                <w:bCs/>
                <w:szCs w:val="24"/>
                <w:lang w:val="en-GB"/>
              </w:rPr>
              <w:t>NVMe</w:t>
            </w:r>
            <w:proofErr w:type="spellEnd"/>
            <w:r w:rsidRPr="00FE4C05">
              <w:rPr>
                <w:bCs/>
                <w:szCs w:val="24"/>
                <w:lang w:val="en-GB"/>
              </w:rPr>
              <w:t xml:space="preserve">/TCP, </w:t>
            </w:r>
            <w:proofErr w:type="spellStart"/>
            <w:r w:rsidRPr="00FE4C05">
              <w:rPr>
                <w:bCs/>
                <w:szCs w:val="24"/>
                <w:lang w:val="en-GB"/>
              </w:rPr>
              <w:t>vVols</w:t>
            </w:r>
            <w:proofErr w:type="spellEnd"/>
            <w:r w:rsidRPr="00FE4C05">
              <w:rPr>
                <w:bCs/>
                <w:szCs w:val="24"/>
                <w:lang w:val="en-GB"/>
              </w:rPr>
              <w:t xml:space="preserve"> over </w:t>
            </w:r>
            <w:proofErr w:type="spellStart"/>
            <w:r w:rsidRPr="00FE4C05">
              <w:rPr>
                <w:bCs/>
                <w:szCs w:val="24"/>
                <w:lang w:val="en-GB"/>
              </w:rPr>
              <w:t>NVMe</w:t>
            </w:r>
            <w:proofErr w:type="spellEnd"/>
            <w:r w:rsidRPr="00FE4C05">
              <w:rPr>
                <w:bCs/>
                <w:szCs w:val="24"/>
                <w:lang w:val="en-GB"/>
              </w:rPr>
              <w:t>/FC and TCP.</w:t>
            </w:r>
          </w:p>
          <w:p w14:paraId="1BF8688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Supported </w:t>
            </w:r>
            <w:proofErr w:type="gramStart"/>
            <w:r w:rsidRPr="00FE4C05">
              <w:rPr>
                <w:bCs/>
                <w:szCs w:val="24"/>
                <w:lang w:val="en-GB"/>
              </w:rPr>
              <w:t>file based</w:t>
            </w:r>
            <w:proofErr w:type="gramEnd"/>
            <w:r w:rsidRPr="00FE4C05">
              <w:rPr>
                <w:bCs/>
                <w:szCs w:val="24"/>
                <w:lang w:val="en-GB"/>
              </w:rPr>
              <w:t xml:space="preserve"> protocols:</w:t>
            </w:r>
            <w:r w:rsidRPr="00FE4C05">
              <w:t xml:space="preserve"> </w:t>
            </w:r>
            <w:r w:rsidRPr="00FE4C05">
              <w:rPr>
                <w:bCs/>
                <w:szCs w:val="24"/>
                <w:lang w:val="en-GB"/>
              </w:rPr>
              <w:t>NFS v4.1, SMB 3.1, SFTP, RSVD/SMB, NDMP v4.</w:t>
            </w:r>
          </w:p>
          <w:p w14:paraId="23CFF1D2" w14:textId="77777777" w:rsidR="00285B1B" w:rsidRPr="00FE4C05" w:rsidRDefault="00285B1B" w:rsidP="009C72F0">
            <w:pPr>
              <w:spacing w:after="0"/>
              <w:rPr>
                <w:bCs/>
                <w:szCs w:val="24"/>
                <w:lang w:val="en-GB"/>
              </w:rPr>
            </w:pPr>
          </w:p>
          <w:p w14:paraId="7B7CBDC8" w14:textId="77777777" w:rsidR="00285B1B" w:rsidRPr="00FE4C05" w:rsidRDefault="00285B1B" w:rsidP="009C72F0">
            <w:pPr>
              <w:spacing w:after="0"/>
              <w:rPr>
                <w:bCs/>
                <w:szCs w:val="24"/>
                <w:lang w:val="en-GB"/>
              </w:rPr>
            </w:pPr>
            <w:r w:rsidRPr="00FE4C05">
              <w:rPr>
                <w:b/>
                <w:szCs w:val="24"/>
                <w:lang w:val="en-GB"/>
              </w:rPr>
              <w:t>Protection in case of power outage:</w:t>
            </w:r>
            <w:r w:rsidRPr="00FE4C05">
              <w:rPr>
                <w:bCs/>
                <w:szCs w:val="24"/>
                <w:lang w:val="en-GB"/>
              </w:rPr>
              <w:t xml:space="preserve"> </w:t>
            </w:r>
          </w:p>
          <w:p w14:paraId="7B89A035" w14:textId="77777777" w:rsidR="00285B1B" w:rsidRPr="00FE4C05" w:rsidRDefault="00285B1B" w:rsidP="009C72F0">
            <w:pPr>
              <w:spacing w:after="0"/>
              <w:rPr>
                <w:bCs/>
                <w:szCs w:val="24"/>
                <w:lang w:val="en-GB"/>
              </w:rPr>
            </w:pPr>
            <w:r w:rsidRPr="00FE4C05">
              <w:rPr>
                <w:bCs/>
                <w:szCs w:val="24"/>
                <w:lang w:val="en-GB"/>
              </w:rPr>
              <w:t>The solution must have a battery that is part of the controller, is not allowed to use a battery in the power supply of the data storage system or standalone batteries.</w:t>
            </w:r>
          </w:p>
          <w:p w14:paraId="69D40983" w14:textId="77777777" w:rsidR="00285B1B" w:rsidRPr="00FE4C05" w:rsidRDefault="00285B1B" w:rsidP="009C72F0">
            <w:pPr>
              <w:spacing w:after="0"/>
              <w:rPr>
                <w:bCs/>
                <w:szCs w:val="24"/>
                <w:lang w:val="en-GB"/>
              </w:rPr>
            </w:pPr>
          </w:p>
          <w:p w14:paraId="067DD4F7" w14:textId="77777777" w:rsidR="00285B1B" w:rsidRPr="00FE4C05" w:rsidRDefault="00285B1B" w:rsidP="009C72F0">
            <w:pPr>
              <w:spacing w:after="0"/>
              <w:rPr>
                <w:bCs/>
                <w:szCs w:val="24"/>
                <w:lang w:val="en-GB"/>
              </w:rPr>
            </w:pPr>
            <w:r w:rsidRPr="00FE4C05">
              <w:rPr>
                <w:b/>
                <w:szCs w:val="24"/>
                <w:lang w:val="en-GB"/>
              </w:rPr>
              <w:t>Storage efficiency:</w:t>
            </w:r>
            <w:r w:rsidRPr="00FE4C05">
              <w:rPr>
                <w:bCs/>
                <w:szCs w:val="24"/>
                <w:lang w:val="en-GB"/>
              </w:rPr>
              <w:tab/>
            </w:r>
          </w:p>
          <w:p w14:paraId="245FAA33" w14:textId="77777777" w:rsidR="00285B1B" w:rsidRPr="00FE4C05" w:rsidRDefault="00285B1B" w:rsidP="009C72F0">
            <w:pPr>
              <w:spacing w:after="0"/>
              <w:rPr>
                <w:bCs/>
                <w:szCs w:val="24"/>
                <w:lang w:val="en-GB"/>
              </w:rPr>
            </w:pPr>
            <w:r w:rsidRPr="00FE4C05">
              <w:rPr>
                <w:bCs/>
                <w:szCs w:val="24"/>
                <w:lang w:val="en-GB"/>
              </w:rPr>
              <w:t>The solution must support in-line compression and in-line deduplication for maximum capacity efficiency (post-process compression and deduplication is not allowed).</w:t>
            </w:r>
          </w:p>
          <w:p w14:paraId="05112F49" w14:textId="77777777" w:rsidR="00285B1B" w:rsidRPr="00FE4C05" w:rsidRDefault="00285B1B" w:rsidP="009C72F0">
            <w:pPr>
              <w:spacing w:after="0"/>
              <w:rPr>
                <w:bCs/>
                <w:szCs w:val="24"/>
                <w:lang w:val="en-GB"/>
              </w:rPr>
            </w:pPr>
            <w:r w:rsidRPr="00FE4C05">
              <w:rPr>
                <w:bCs/>
                <w:szCs w:val="24"/>
                <w:lang w:val="en-GB"/>
              </w:rPr>
              <w:t>The solution must fully support the Virtual Provisioning function. Thin Provisioning functionality must be included for the entire capacity of the data storage system (without license restriction according to the cap).</w:t>
            </w:r>
          </w:p>
          <w:p w14:paraId="7F4FC54E" w14:textId="77777777" w:rsidR="00285B1B" w:rsidRPr="00FE4C05" w:rsidRDefault="00285B1B" w:rsidP="009C72F0">
            <w:pPr>
              <w:spacing w:after="0"/>
              <w:rPr>
                <w:bCs/>
                <w:szCs w:val="24"/>
                <w:lang w:val="en-GB"/>
              </w:rPr>
            </w:pPr>
            <w:r w:rsidRPr="00FE4C05">
              <w:rPr>
                <w:bCs/>
                <w:szCs w:val="24"/>
                <w:lang w:val="en-GB"/>
              </w:rPr>
              <w:t>The solution must support Application Consistency copies with local and remote replications.</w:t>
            </w:r>
          </w:p>
        </w:tc>
      </w:tr>
      <w:tr w:rsidR="00285B1B" w:rsidRPr="00AC5790" w14:paraId="4724AB9B" w14:textId="77777777" w:rsidTr="00285B1B">
        <w:tc>
          <w:tcPr>
            <w:tcW w:w="1134" w:type="dxa"/>
          </w:tcPr>
          <w:p w14:paraId="6C75DE69" w14:textId="77777777" w:rsidR="00285B1B" w:rsidRPr="00FE4C05" w:rsidRDefault="00285B1B" w:rsidP="009C72F0">
            <w:pPr>
              <w:spacing w:after="0"/>
              <w:rPr>
                <w:b/>
                <w:szCs w:val="24"/>
                <w:lang w:val="en-GB"/>
              </w:rPr>
            </w:pPr>
            <w:r w:rsidRPr="00FE4C05">
              <w:rPr>
                <w:b/>
                <w:szCs w:val="24"/>
                <w:lang w:val="en-GB"/>
              </w:rPr>
              <w:lastRenderedPageBreak/>
              <w:t>1.7</w:t>
            </w:r>
          </w:p>
        </w:tc>
        <w:tc>
          <w:tcPr>
            <w:tcW w:w="8075" w:type="dxa"/>
            <w:vAlign w:val="center"/>
          </w:tcPr>
          <w:p w14:paraId="00E24C06" w14:textId="77777777" w:rsidR="00285B1B" w:rsidRPr="00FE4C05" w:rsidRDefault="00285B1B" w:rsidP="009C72F0">
            <w:pPr>
              <w:spacing w:after="0"/>
              <w:rPr>
                <w:b/>
                <w:szCs w:val="24"/>
                <w:lang w:val="en-GB"/>
              </w:rPr>
            </w:pPr>
            <w:r w:rsidRPr="00FE4C05">
              <w:rPr>
                <w:b/>
                <w:szCs w:val="24"/>
                <w:lang w:val="en-GB"/>
              </w:rPr>
              <w:t xml:space="preserve">Central FC SAN </w:t>
            </w:r>
            <w:proofErr w:type="spellStart"/>
            <w:r w:rsidRPr="00FE4C05">
              <w:rPr>
                <w:b/>
                <w:szCs w:val="24"/>
                <w:lang w:val="en-GB"/>
              </w:rPr>
              <w:t>NVMe</w:t>
            </w:r>
            <w:proofErr w:type="spellEnd"/>
            <w:r w:rsidRPr="00FE4C05">
              <w:rPr>
                <w:b/>
                <w:szCs w:val="24"/>
                <w:lang w:val="en-GB"/>
              </w:rPr>
              <w:t xml:space="preserve"> Infrastructure </w:t>
            </w:r>
          </w:p>
          <w:p w14:paraId="048B289F" w14:textId="77777777" w:rsidR="00285B1B" w:rsidRPr="00FE4C05" w:rsidRDefault="00285B1B" w:rsidP="009C72F0">
            <w:pPr>
              <w:spacing w:after="0"/>
              <w:rPr>
                <w:b/>
                <w:szCs w:val="24"/>
                <w:lang w:val="en-GB"/>
              </w:rPr>
            </w:pPr>
          </w:p>
          <w:p w14:paraId="69A21634" w14:textId="77777777" w:rsidR="00285B1B" w:rsidRPr="00FE4C05" w:rsidRDefault="00285B1B" w:rsidP="009C72F0">
            <w:pPr>
              <w:spacing w:after="0"/>
              <w:rPr>
                <w:b/>
                <w:szCs w:val="24"/>
                <w:lang w:val="en-GB"/>
              </w:rPr>
            </w:pPr>
            <w:r w:rsidRPr="00FE4C05">
              <w:rPr>
                <w:b/>
                <w:szCs w:val="24"/>
                <w:lang w:val="en-GB"/>
              </w:rPr>
              <w:t xml:space="preserve">Fiber Channel </w:t>
            </w:r>
            <w:proofErr w:type="spellStart"/>
            <w:r w:rsidRPr="00FE4C05">
              <w:rPr>
                <w:b/>
                <w:szCs w:val="24"/>
                <w:lang w:val="en-GB"/>
              </w:rPr>
              <w:t>NVMe</w:t>
            </w:r>
            <w:proofErr w:type="spellEnd"/>
            <w:r w:rsidRPr="00FE4C05">
              <w:rPr>
                <w:b/>
                <w:szCs w:val="24"/>
                <w:lang w:val="en-GB"/>
              </w:rPr>
              <w:t xml:space="preserve"> SAN infrastructure – Qty. 2 (for Primary site)</w:t>
            </w:r>
          </w:p>
          <w:p w14:paraId="0A3AC84E" w14:textId="77777777" w:rsidR="00285B1B" w:rsidRPr="00FE4C05" w:rsidRDefault="00285B1B" w:rsidP="009C72F0">
            <w:pPr>
              <w:spacing w:after="0"/>
              <w:rPr>
                <w:b/>
                <w:szCs w:val="24"/>
                <w:lang w:val="en-GB"/>
              </w:rPr>
            </w:pPr>
          </w:p>
          <w:p w14:paraId="0C2312C9" w14:textId="77777777" w:rsidR="00285B1B" w:rsidRPr="00FE4C05" w:rsidRDefault="00285B1B" w:rsidP="009C72F0">
            <w:pPr>
              <w:spacing w:after="0"/>
              <w:rPr>
                <w:bCs/>
                <w:szCs w:val="24"/>
                <w:lang w:val="en-GB"/>
              </w:rPr>
            </w:pPr>
            <w:r w:rsidRPr="00FE4C05">
              <w:rPr>
                <w:bCs/>
                <w:szCs w:val="24"/>
                <w:lang w:val="en-GB"/>
              </w:rPr>
              <w:t xml:space="preserve">Full hardware-redundant (dual fabric) 32 Gb </w:t>
            </w:r>
            <w:proofErr w:type="spellStart"/>
            <w:r w:rsidRPr="00FE4C05">
              <w:rPr>
                <w:bCs/>
                <w:szCs w:val="24"/>
                <w:lang w:val="en-GB"/>
              </w:rPr>
              <w:t>NVMe</w:t>
            </w:r>
            <w:proofErr w:type="spellEnd"/>
            <w:r w:rsidRPr="00FE4C05">
              <w:rPr>
                <w:bCs/>
                <w:szCs w:val="24"/>
                <w:lang w:val="en-GB"/>
              </w:rPr>
              <w:t xml:space="preserve"> over Fibre Channel low latency communication networking infrastructure for block level FC SAN protocols, with no possibility for SCSI protocol interruption in case of a single element failure.</w:t>
            </w:r>
          </w:p>
          <w:p w14:paraId="38945035" w14:textId="77777777" w:rsidR="00285B1B" w:rsidRPr="00FE4C05" w:rsidRDefault="00285B1B" w:rsidP="009C72F0">
            <w:pPr>
              <w:spacing w:after="0"/>
              <w:rPr>
                <w:b/>
                <w:szCs w:val="24"/>
                <w:lang w:val="en-GB"/>
              </w:rPr>
            </w:pPr>
          </w:p>
          <w:p w14:paraId="2CD5DB05" w14:textId="77777777" w:rsidR="00285B1B" w:rsidRPr="00FE4C05" w:rsidRDefault="00285B1B" w:rsidP="009C72F0">
            <w:pPr>
              <w:spacing w:after="0"/>
              <w:rPr>
                <w:b/>
                <w:szCs w:val="24"/>
                <w:lang w:val="en-GB"/>
              </w:rPr>
            </w:pPr>
            <w:r w:rsidRPr="00FE4C05">
              <w:rPr>
                <w:b/>
                <w:szCs w:val="24"/>
                <w:lang w:val="en-GB"/>
              </w:rPr>
              <w:t>General FC switching characteristics (per switch)</w:t>
            </w:r>
          </w:p>
          <w:p w14:paraId="2340198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fr-BE"/>
              </w:rPr>
              <w:t xml:space="preserve">Full support for </w:t>
            </w:r>
            <w:proofErr w:type="spellStart"/>
            <w:r w:rsidRPr="00FE4C05">
              <w:rPr>
                <w:bCs/>
                <w:szCs w:val="24"/>
                <w:lang w:val="fr-BE"/>
              </w:rPr>
              <w:t>NVMe</w:t>
            </w:r>
            <w:proofErr w:type="spellEnd"/>
            <w:r w:rsidRPr="00FE4C05">
              <w:rPr>
                <w:bCs/>
                <w:szCs w:val="24"/>
                <w:lang w:val="fr-BE"/>
              </w:rPr>
              <w:t xml:space="preserve"> over Fibre Channel </w:t>
            </w:r>
            <w:proofErr w:type="gramStart"/>
            <w:r w:rsidRPr="00FE4C05">
              <w:rPr>
                <w:bCs/>
                <w:szCs w:val="24"/>
                <w:lang w:val="fr-BE"/>
              </w:rPr>
              <w:t xml:space="preserve">and  </w:t>
            </w:r>
            <w:proofErr w:type="spellStart"/>
            <w:r w:rsidRPr="00FE4C05">
              <w:rPr>
                <w:bCs/>
                <w:szCs w:val="24"/>
                <w:lang w:val="fr-BE"/>
              </w:rPr>
              <w:t>Quality</w:t>
            </w:r>
            <w:proofErr w:type="spellEnd"/>
            <w:proofErr w:type="gramEnd"/>
            <w:r w:rsidRPr="00FE4C05">
              <w:rPr>
                <w:bCs/>
                <w:szCs w:val="24"/>
                <w:lang w:val="fr-BE"/>
              </w:rPr>
              <w:t xml:space="preserve"> of Service (QoS)</w:t>
            </w:r>
          </w:p>
          <w:p w14:paraId="6D1FE0D3" w14:textId="77777777" w:rsidR="00285B1B" w:rsidRPr="00FE4C05" w:rsidRDefault="00285B1B" w:rsidP="00D530D5">
            <w:pPr>
              <w:pStyle w:val="ListParagraph"/>
              <w:numPr>
                <w:ilvl w:val="0"/>
                <w:numId w:val="153"/>
              </w:numPr>
              <w:spacing w:after="0"/>
              <w:ind w:left="491" w:hanging="436"/>
              <w:rPr>
                <w:bCs/>
                <w:szCs w:val="24"/>
                <w:lang w:val="en-GB"/>
              </w:rPr>
            </w:pPr>
            <w:proofErr w:type="spellStart"/>
            <w:r w:rsidRPr="00FE4C05">
              <w:rPr>
                <w:bCs/>
                <w:szCs w:val="24"/>
                <w:lang w:val="fr-BE"/>
              </w:rPr>
              <w:t>Supported</w:t>
            </w:r>
            <w:proofErr w:type="spellEnd"/>
            <w:r w:rsidRPr="00FE4C05">
              <w:rPr>
                <w:bCs/>
                <w:szCs w:val="24"/>
                <w:lang w:val="fr-BE"/>
              </w:rPr>
              <w:t xml:space="preserve"> port </w:t>
            </w:r>
            <w:proofErr w:type="gramStart"/>
            <w:r w:rsidRPr="00FE4C05">
              <w:rPr>
                <w:bCs/>
                <w:szCs w:val="24"/>
                <w:lang w:val="fr-BE"/>
              </w:rPr>
              <w:t>types:</w:t>
            </w:r>
            <w:proofErr w:type="gramEnd"/>
            <w:r w:rsidRPr="00FE4C05">
              <w:t xml:space="preserve"> </w:t>
            </w:r>
            <w:proofErr w:type="spellStart"/>
            <w:r w:rsidRPr="00FE4C05">
              <w:rPr>
                <w:bCs/>
                <w:szCs w:val="24"/>
                <w:lang w:val="fr-BE"/>
              </w:rPr>
              <w:t>F_Port</w:t>
            </w:r>
            <w:proofErr w:type="spellEnd"/>
            <w:r w:rsidRPr="00FE4C05">
              <w:rPr>
                <w:bCs/>
                <w:szCs w:val="24"/>
                <w:lang w:val="fr-BE"/>
              </w:rPr>
              <w:t xml:space="preserve">, </w:t>
            </w:r>
            <w:proofErr w:type="spellStart"/>
            <w:r w:rsidRPr="00FE4C05">
              <w:rPr>
                <w:bCs/>
                <w:szCs w:val="24"/>
                <w:lang w:val="fr-BE"/>
              </w:rPr>
              <w:t>E_Port</w:t>
            </w:r>
            <w:proofErr w:type="spellEnd"/>
            <w:r w:rsidRPr="00FE4C05">
              <w:rPr>
                <w:bCs/>
                <w:szCs w:val="24"/>
                <w:lang w:val="fr-BE"/>
              </w:rPr>
              <w:t xml:space="preserve">, B Port TE Port, </w:t>
            </w:r>
            <w:proofErr w:type="spellStart"/>
            <w:r w:rsidRPr="00FE4C05">
              <w:rPr>
                <w:bCs/>
                <w:szCs w:val="24"/>
                <w:lang w:val="fr-BE"/>
              </w:rPr>
              <w:t>SD_Port</w:t>
            </w:r>
            <w:proofErr w:type="spellEnd"/>
            <w:r w:rsidRPr="00FE4C05">
              <w:rPr>
                <w:bCs/>
                <w:szCs w:val="24"/>
                <w:lang w:val="fr-BE"/>
              </w:rPr>
              <w:t xml:space="preserve">, </w:t>
            </w:r>
            <w:proofErr w:type="spellStart"/>
            <w:r w:rsidRPr="00FE4C05">
              <w:rPr>
                <w:bCs/>
                <w:szCs w:val="24"/>
                <w:lang w:val="fr-BE"/>
              </w:rPr>
              <w:t>ST_Port</w:t>
            </w:r>
            <w:proofErr w:type="spellEnd"/>
          </w:p>
          <w:p w14:paraId="7B00F2D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ISL Trunking: up to 16 physical ports</w:t>
            </w:r>
          </w:p>
          <w:p w14:paraId="6E71FDF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NPV mode and N-Port ID Virtualization (NPIV)</w:t>
            </w:r>
          </w:p>
          <w:p w14:paraId="262A0744" w14:textId="77777777" w:rsidR="00285B1B" w:rsidRPr="00FE4C05" w:rsidRDefault="00285B1B" w:rsidP="009C72F0">
            <w:pPr>
              <w:spacing w:after="0"/>
              <w:rPr>
                <w:b/>
                <w:szCs w:val="24"/>
                <w:lang w:val="en-GB"/>
              </w:rPr>
            </w:pPr>
          </w:p>
          <w:p w14:paraId="35657746" w14:textId="77777777" w:rsidR="00285B1B" w:rsidRPr="00FE4C05" w:rsidRDefault="00285B1B" w:rsidP="009C72F0">
            <w:pPr>
              <w:spacing w:after="0"/>
              <w:rPr>
                <w:b/>
                <w:szCs w:val="24"/>
                <w:lang w:val="en-GB"/>
              </w:rPr>
            </w:pPr>
            <w:r w:rsidRPr="00FE4C05">
              <w:rPr>
                <w:b/>
                <w:szCs w:val="24"/>
                <w:lang w:val="en-GB"/>
              </w:rPr>
              <w:t>Performance characteristics (per switch)</w:t>
            </w:r>
          </w:p>
          <w:p w14:paraId="109D7B6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fr-BE"/>
              </w:rPr>
              <w:t xml:space="preserve">Min. </w:t>
            </w:r>
            <w:proofErr w:type="spellStart"/>
            <w:r w:rsidRPr="00FE4C05">
              <w:rPr>
                <w:bCs/>
                <w:szCs w:val="24"/>
                <w:lang w:val="fr-BE"/>
              </w:rPr>
              <w:t>dedicated</w:t>
            </w:r>
            <w:proofErr w:type="spellEnd"/>
            <w:r w:rsidRPr="00FE4C05">
              <w:rPr>
                <w:bCs/>
                <w:szCs w:val="24"/>
                <w:lang w:val="fr-BE"/>
              </w:rPr>
              <w:t xml:space="preserve"> </w:t>
            </w:r>
            <w:proofErr w:type="spellStart"/>
            <w:proofErr w:type="gramStart"/>
            <w:r w:rsidRPr="00FE4C05">
              <w:rPr>
                <w:bCs/>
                <w:szCs w:val="24"/>
                <w:lang w:val="fr-BE"/>
              </w:rPr>
              <w:t>bandwidth</w:t>
            </w:r>
            <w:proofErr w:type="spellEnd"/>
            <w:r w:rsidRPr="00FE4C05">
              <w:rPr>
                <w:bCs/>
                <w:szCs w:val="24"/>
                <w:lang w:val="fr-BE"/>
              </w:rPr>
              <w:t>:</w:t>
            </w:r>
            <w:proofErr w:type="gramEnd"/>
            <w:r w:rsidRPr="00FE4C05">
              <w:rPr>
                <w:bCs/>
                <w:szCs w:val="24"/>
                <w:lang w:val="fr-BE"/>
              </w:rPr>
              <w:tab/>
              <w:t xml:space="preserve">32 Gb/s for </w:t>
            </w:r>
            <w:proofErr w:type="spellStart"/>
            <w:r w:rsidRPr="00FE4C05">
              <w:rPr>
                <w:bCs/>
                <w:szCs w:val="24"/>
                <w:lang w:val="fr-BE"/>
              </w:rPr>
              <w:t>every</w:t>
            </w:r>
            <w:proofErr w:type="spellEnd"/>
            <w:r w:rsidRPr="00FE4C05">
              <w:rPr>
                <w:bCs/>
                <w:szCs w:val="24"/>
                <w:lang w:val="fr-BE"/>
              </w:rPr>
              <w:t xml:space="preserve"> port (32 * 32 </w:t>
            </w:r>
            <w:proofErr w:type="spellStart"/>
            <w:r w:rsidRPr="00FE4C05">
              <w:rPr>
                <w:bCs/>
                <w:szCs w:val="24"/>
                <w:lang w:val="fr-BE"/>
              </w:rPr>
              <w:t>Gbps</w:t>
            </w:r>
            <w:proofErr w:type="spellEnd"/>
            <w:r w:rsidRPr="00FE4C05">
              <w:rPr>
                <w:bCs/>
                <w:szCs w:val="24"/>
                <w:lang w:val="fr-BE"/>
              </w:rPr>
              <w:t>)</w:t>
            </w:r>
          </w:p>
          <w:p w14:paraId="04947A3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Buffer credits: up to 500 buffer credits for every port, up to 8250 buffer credits for a single port in a port group</w:t>
            </w:r>
          </w:p>
          <w:p w14:paraId="4F202D66" w14:textId="77777777" w:rsidR="00285B1B" w:rsidRPr="00FE4C05" w:rsidRDefault="00285B1B" w:rsidP="009C72F0">
            <w:pPr>
              <w:spacing w:after="0"/>
              <w:rPr>
                <w:bCs/>
                <w:szCs w:val="24"/>
                <w:lang w:val="en-GB"/>
              </w:rPr>
            </w:pPr>
          </w:p>
          <w:p w14:paraId="207A711B" w14:textId="77777777" w:rsidR="00285B1B" w:rsidRPr="00FE4C05" w:rsidRDefault="00285B1B" w:rsidP="009C72F0">
            <w:pPr>
              <w:spacing w:after="0"/>
              <w:rPr>
                <w:b/>
                <w:szCs w:val="24"/>
                <w:lang w:val="en-GB"/>
              </w:rPr>
            </w:pPr>
            <w:r w:rsidRPr="00FE4C05">
              <w:rPr>
                <w:b/>
                <w:szCs w:val="24"/>
                <w:lang w:val="en-GB"/>
              </w:rPr>
              <w:t>FC SAN Chassis and Power supply</w:t>
            </w:r>
          </w:p>
          <w:p w14:paraId="1451E47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lastRenderedPageBreak/>
              <w:t xml:space="preserve">Form factor/height: Rack mount, max. 1U per </w:t>
            </w:r>
            <w:proofErr w:type="gramStart"/>
            <w:r w:rsidRPr="00FE4C05">
              <w:rPr>
                <w:bCs/>
                <w:szCs w:val="24"/>
                <w:lang w:val="en-GB"/>
              </w:rPr>
              <w:t>switch</w:t>
            </w:r>
            <w:proofErr w:type="gramEnd"/>
          </w:p>
          <w:p w14:paraId="24B7546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Chassis Configuration: 1U Chassis with up to 32 SFP+ FC ports,</w:t>
            </w:r>
          </w:p>
          <w:p w14:paraId="282E71E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supply: minimum Dual, Hot -Plug,</w:t>
            </w:r>
          </w:p>
          <w:p w14:paraId="18D3728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Power cords: 2 x Rack Power Cord 1m (C13/C14 10A) </w:t>
            </w:r>
          </w:p>
          <w:p w14:paraId="02DD317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Rails: 19” Rails,</w:t>
            </w:r>
          </w:p>
          <w:p w14:paraId="7AC01B5D" w14:textId="77777777" w:rsidR="00285B1B" w:rsidRPr="00FE4C05" w:rsidRDefault="00285B1B" w:rsidP="00D530D5">
            <w:pPr>
              <w:pStyle w:val="ListParagraph"/>
              <w:numPr>
                <w:ilvl w:val="0"/>
                <w:numId w:val="153"/>
              </w:numPr>
              <w:spacing w:after="0"/>
              <w:ind w:left="491" w:hanging="436"/>
              <w:rPr>
                <w:bCs/>
                <w:szCs w:val="24"/>
              </w:rPr>
            </w:pPr>
            <w:r w:rsidRPr="00FE4C05">
              <w:rPr>
                <w:bCs/>
                <w:szCs w:val="24"/>
              </w:rPr>
              <w:t>Management Interfaces: minimum 1 x serial port, 1 x RJ-45 1Gb Ethernet port, FCIP in-band management, SFTP and AES encrypted SSH v2.</w:t>
            </w:r>
          </w:p>
          <w:p w14:paraId="36E6BD44" w14:textId="77777777" w:rsidR="00285B1B" w:rsidRPr="00FE4C05" w:rsidRDefault="00285B1B" w:rsidP="009C72F0">
            <w:pPr>
              <w:spacing w:after="0"/>
              <w:rPr>
                <w:b/>
                <w:szCs w:val="24"/>
              </w:rPr>
            </w:pPr>
          </w:p>
          <w:p w14:paraId="4CF7BBA2" w14:textId="77777777" w:rsidR="00285B1B" w:rsidRPr="00FE4C05" w:rsidRDefault="00285B1B" w:rsidP="009C72F0">
            <w:pPr>
              <w:spacing w:after="0"/>
              <w:rPr>
                <w:b/>
                <w:szCs w:val="24"/>
                <w:lang w:val="en-GB"/>
              </w:rPr>
            </w:pPr>
            <w:r w:rsidRPr="00FE4C05">
              <w:rPr>
                <w:b/>
                <w:szCs w:val="24"/>
                <w:lang w:val="en-GB"/>
              </w:rPr>
              <w:t>FC ports configuration (per switch)</w:t>
            </w:r>
          </w:p>
          <w:p w14:paraId="56E61F33"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24 x 32Gb/sec short-wave SFP+ usable ports (with LC connector),</w:t>
            </w:r>
          </w:p>
          <w:p w14:paraId="5547D034" w14:textId="77777777" w:rsidR="00285B1B" w:rsidRPr="00FE4C05" w:rsidRDefault="00285B1B" w:rsidP="009C72F0">
            <w:pPr>
              <w:spacing w:after="0"/>
              <w:rPr>
                <w:b/>
                <w:szCs w:val="24"/>
                <w:lang w:val="en-GB"/>
              </w:rPr>
            </w:pPr>
          </w:p>
          <w:p w14:paraId="3F0B2B37" w14:textId="77777777" w:rsidR="00285B1B" w:rsidRPr="00FE4C05" w:rsidRDefault="00285B1B" w:rsidP="009C72F0">
            <w:pPr>
              <w:spacing w:after="0"/>
              <w:rPr>
                <w:b/>
                <w:szCs w:val="24"/>
                <w:lang w:val="en-GB"/>
              </w:rPr>
            </w:pPr>
            <w:r w:rsidRPr="00FE4C05">
              <w:rPr>
                <w:b/>
                <w:szCs w:val="24"/>
                <w:lang w:val="en-GB"/>
              </w:rPr>
              <w:t>Security features</w:t>
            </w:r>
          </w:p>
          <w:p w14:paraId="2A85AC0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FC-SP for host-to-switch and switch-to-switch authentication </w:t>
            </w:r>
          </w:p>
          <w:p w14:paraId="65257A9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In-order delivery</w:t>
            </w:r>
          </w:p>
          <w:p w14:paraId="69DC918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Port security</w:t>
            </w:r>
          </w:p>
          <w:p w14:paraId="4DC6C08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VSANs</w:t>
            </w:r>
          </w:p>
          <w:p w14:paraId="5CD3E90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 Control-plane security</w:t>
            </w:r>
          </w:p>
        </w:tc>
      </w:tr>
      <w:tr w:rsidR="00285B1B" w:rsidRPr="00AC5790" w14:paraId="08046660" w14:textId="77777777" w:rsidTr="00285B1B">
        <w:tc>
          <w:tcPr>
            <w:tcW w:w="1134" w:type="dxa"/>
          </w:tcPr>
          <w:p w14:paraId="64D844D4" w14:textId="77777777" w:rsidR="00285B1B" w:rsidRPr="00FE4C05" w:rsidRDefault="00285B1B" w:rsidP="009C72F0">
            <w:pPr>
              <w:spacing w:after="0"/>
              <w:rPr>
                <w:b/>
                <w:szCs w:val="24"/>
                <w:lang w:val="en-GB"/>
              </w:rPr>
            </w:pPr>
            <w:r w:rsidRPr="00FE4C05">
              <w:rPr>
                <w:b/>
                <w:szCs w:val="24"/>
                <w:lang w:val="en-GB"/>
              </w:rPr>
              <w:lastRenderedPageBreak/>
              <w:t>1.8</w:t>
            </w:r>
          </w:p>
        </w:tc>
        <w:tc>
          <w:tcPr>
            <w:tcW w:w="8075" w:type="dxa"/>
            <w:vAlign w:val="center"/>
          </w:tcPr>
          <w:p w14:paraId="57D56BF4" w14:textId="77777777" w:rsidR="00285B1B" w:rsidRPr="00FE4C05" w:rsidRDefault="00285B1B" w:rsidP="009C72F0">
            <w:pPr>
              <w:spacing w:after="0"/>
              <w:rPr>
                <w:b/>
                <w:szCs w:val="24"/>
                <w:lang w:val="en-GB"/>
              </w:rPr>
            </w:pPr>
            <w:r w:rsidRPr="00FE4C05">
              <w:rPr>
                <w:b/>
                <w:szCs w:val="24"/>
                <w:lang w:val="en-GB"/>
              </w:rPr>
              <w:t xml:space="preserve">Backup Server </w:t>
            </w:r>
            <w:proofErr w:type="gramStart"/>
            <w:r w:rsidRPr="00FE4C05">
              <w:rPr>
                <w:b/>
                <w:szCs w:val="24"/>
                <w:lang w:val="en-GB"/>
              </w:rPr>
              <w:t>-  Qty.</w:t>
            </w:r>
            <w:proofErr w:type="gramEnd"/>
            <w:r w:rsidRPr="00FE4C05">
              <w:rPr>
                <w:b/>
                <w:szCs w:val="24"/>
                <w:lang w:val="en-GB"/>
              </w:rPr>
              <w:t xml:space="preserve"> 1</w:t>
            </w:r>
          </w:p>
          <w:p w14:paraId="319B61E8" w14:textId="77777777" w:rsidR="00285B1B" w:rsidRPr="00FE4C05" w:rsidRDefault="00285B1B" w:rsidP="009C72F0">
            <w:pPr>
              <w:spacing w:after="0"/>
              <w:rPr>
                <w:bCs/>
                <w:szCs w:val="24"/>
                <w:lang w:val="en-GB"/>
              </w:rPr>
            </w:pPr>
          </w:p>
          <w:p w14:paraId="3107DB32" w14:textId="77777777" w:rsidR="00285B1B" w:rsidRPr="00FE4C05" w:rsidRDefault="00285B1B" w:rsidP="009C72F0">
            <w:pPr>
              <w:spacing w:after="0"/>
              <w:rPr>
                <w:b/>
                <w:szCs w:val="24"/>
                <w:lang w:val="en-GB"/>
              </w:rPr>
            </w:pPr>
            <w:r w:rsidRPr="00FE4C05">
              <w:rPr>
                <w:b/>
                <w:szCs w:val="24"/>
                <w:lang w:val="en-GB"/>
              </w:rPr>
              <w:t>Chassis and Power supply</w:t>
            </w:r>
          </w:p>
          <w:p w14:paraId="1570E5C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Form factor/height: Rack mount, max. </w:t>
            </w:r>
            <w:proofErr w:type="gramStart"/>
            <w:r w:rsidRPr="00FE4C05">
              <w:rPr>
                <w:bCs/>
                <w:szCs w:val="24"/>
                <w:lang w:val="en-GB"/>
              </w:rPr>
              <w:t>2U</w:t>
            </w:r>
            <w:proofErr w:type="gramEnd"/>
          </w:p>
          <w:p w14:paraId="272CE51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Chassis Configuration: Chassis configuration options for housing up to 10 internal drives</w:t>
            </w:r>
          </w:p>
          <w:p w14:paraId="005E0B6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Power supply: minimum dual, Hot -Plug, 1100W, Titanium efficiency class power supply modules</w:t>
            </w:r>
          </w:p>
          <w:p w14:paraId="32E8836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Power cords: 2 x Rack Power Cord 1m (C13/C14 10A) </w:t>
            </w:r>
          </w:p>
          <w:p w14:paraId="1D04D79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Rails: Toolless, Sliding Rails, with cable management arm</w:t>
            </w:r>
          </w:p>
          <w:p w14:paraId="5DD06CD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Ports: minimum 4 x USB, 1 x VGA, 1 x DB-9 COM port</w:t>
            </w:r>
          </w:p>
          <w:p w14:paraId="1FEB4C0B" w14:textId="77777777" w:rsidR="00285B1B" w:rsidRPr="00FE4C05" w:rsidRDefault="00285B1B" w:rsidP="009C72F0">
            <w:pPr>
              <w:spacing w:after="0"/>
              <w:rPr>
                <w:b/>
                <w:szCs w:val="24"/>
                <w:lang w:val="en-GB"/>
              </w:rPr>
            </w:pPr>
          </w:p>
          <w:p w14:paraId="20D10BBA" w14:textId="77777777" w:rsidR="00285B1B" w:rsidRPr="00FE4C05" w:rsidRDefault="00285B1B" w:rsidP="009C72F0">
            <w:pPr>
              <w:spacing w:after="0"/>
              <w:rPr>
                <w:b/>
                <w:szCs w:val="24"/>
                <w:lang w:val="en-GB"/>
              </w:rPr>
            </w:pPr>
            <w:r w:rsidRPr="00FE4C05">
              <w:rPr>
                <w:b/>
                <w:szCs w:val="24"/>
                <w:lang w:val="en-GB"/>
              </w:rPr>
              <w:t>Motherboard, CPU and Memory</w:t>
            </w:r>
          </w:p>
          <w:p w14:paraId="0EBBAE3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Number of DDR5 DIMM slots: min. 12</w:t>
            </w:r>
          </w:p>
          <w:p w14:paraId="5117776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Number of memory channels per CPU: min. 12</w:t>
            </w:r>
          </w:p>
          <w:p w14:paraId="0C4C9B30"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sockets: minimum 1 processor socket </w:t>
            </w:r>
            <w:proofErr w:type="gramStart"/>
            <w:r w:rsidRPr="00FE4C05">
              <w:rPr>
                <w:bCs/>
                <w:szCs w:val="24"/>
                <w:lang w:val="en-GB"/>
              </w:rPr>
              <w:t>supported</w:t>
            </w:r>
            <w:proofErr w:type="gramEnd"/>
          </w:p>
          <w:p w14:paraId="71EA421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generation: minimum latest Generation x86 architecture processors or equivalent.</w:t>
            </w:r>
          </w:p>
          <w:p w14:paraId="42F5B13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Required number: </w:t>
            </w:r>
            <w:r w:rsidRPr="00FE4C05">
              <w:rPr>
                <w:b/>
                <w:szCs w:val="24"/>
                <w:lang w:val="en-GB"/>
              </w:rPr>
              <w:t xml:space="preserve">1 </w:t>
            </w:r>
            <w:proofErr w:type="gramStart"/>
            <w:r w:rsidRPr="00FE4C05">
              <w:rPr>
                <w:b/>
                <w:szCs w:val="24"/>
                <w:lang w:val="en-GB"/>
              </w:rPr>
              <w:t>Pcs</w:t>
            </w:r>
            <w:proofErr w:type="gramEnd"/>
          </w:p>
          <w:p w14:paraId="669D3F02"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CPU Clock rate</w:t>
            </w:r>
            <w:r w:rsidRPr="00FE4C05">
              <w:rPr>
                <w:b/>
                <w:szCs w:val="24"/>
                <w:lang w:val="en-GB"/>
              </w:rPr>
              <w:t>: min.</w:t>
            </w:r>
            <w:r w:rsidRPr="00FE4C05">
              <w:rPr>
                <w:bCs/>
                <w:szCs w:val="24"/>
                <w:lang w:val="en-GB"/>
              </w:rPr>
              <w:t xml:space="preserve"> </w:t>
            </w:r>
            <w:r w:rsidRPr="00FE4C05">
              <w:rPr>
                <w:b/>
                <w:szCs w:val="24"/>
                <w:lang w:val="en-GB"/>
              </w:rPr>
              <w:t>3 GHz</w:t>
            </w:r>
          </w:p>
          <w:p w14:paraId="3987255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Number of cores per processor: </w:t>
            </w:r>
            <w:r w:rsidRPr="00FE4C05">
              <w:rPr>
                <w:b/>
                <w:szCs w:val="24"/>
                <w:lang w:val="en-GB"/>
              </w:rPr>
              <w:t>min. 16</w:t>
            </w:r>
          </w:p>
          <w:p w14:paraId="10B1415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CPU Cache: </w:t>
            </w:r>
            <w:r w:rsidRPr="00FE4C05">
              <w:rPr>
                <w:b/>
                <w:szCs w:val="24"/>
                <w:lang w:val="en-GB"/>
              </w:rPr>
              <w:t>min. 45 MB</w:t>
            </w:r>
          </w:p>
          <w:p w14:paraId="7B25922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type. ECC DDR5</w:t>
            </w:r>
          </w:p>
          <w:p w14:paraId="6B64EEA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speed: min. 4800 MHz</w:t>
            </w:r>
          </w:p>
          <w:p w14:paraId="1A24930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Memory Capacity: min. 128 GB, (4 x 32 GB)</w:t>
            </w:r>
          </w:p>
          <w:p w14:paraId="082A227B" w14:textId="77777777" w:rsidR="00285B1B" w:rsidRPr="00FE4C05" w:rsidRDefault="00285B1B" w:rsidP="009C72F0">
            <w:pPr>
              <w:spacing w:after="0"/>
              <w:rPr>
                <w:b/>
                <w:szCs w:val="24"/>
                <w:lang w:val="en-GB"/>
              </w:rPr>
            </w:pPr>
          </w:p>
          <w:p w14:paraId="53798A78" w14:textId="77777777" w:rsidR="00285B1B" w:rsidRPr="00FE4C05" w:rsidRDefault="00285B1B" w:rsidP="009C72F0">
            <w:pPr>
              <w:spacing w:after="0"/>
              <w:rPr>
                <w:b/>
                <w:szCs w:val="24"/>
                <w:lang w:val="en-GB"/>
              </w:rPr>
            </w:pPr>
            <w:r w:rsidRPr="00FE4C05">
              <w:rPr>
                <w:b/>
                <w:szCs w:val="24"/>
                <w:lang w:val="en-GB"/>
              </w:rPr>
              <w:lastRenderedPageBreak/>
              <w:t>Storage configuration</w:t>
            </w:r>
          </w:p>
          <w:p w14:paraId="78C209DD" w14:textId="77777777" w:rsidR="00285B1B" w:rsidRPr="00FE4C05" w:rsidRDefault="00285B1B" w:rsidP="00D530D5">
            <w:pPr>
              <w:pStyle w:val="ListParagraph"/>
              <w:numPr>
                <w:ilvl w:val="0"/>
                <w:numId w:val="153"/>
              </w:numPr>
              <w:spacing w:after="0"/>
              <w:ind w:left="491" w:hanging="436"/>
              <w:rPr>
                <w:bCs/>
                <w:szCs w:val="24"/>
                <w:lang w:val="fr-BE"/>
              </w:rPr>
            </w:pPr>
            <w:proofErr w:type="spellStart"/>
            <w:r w:rsidRPr="00FE4C05">
              <w:rPr>
                <w:bCs/>
                <w:szCs w:val="24"/>
                <w:lang w:val="fr-BE"/>
              </w:rPr>
              <w:t>Internal</w:t>
            </w:r>
            <w:proofErr w:type="spellEnd"/>
            <w:r w:rsidRPr="00FE4C05">
              <w:rPr>
                <w:bCs/>
                <w:szCs w:val="24"/>
                <w:lang w:val="fr-BE"/>
              </w:rPr>
              <w:t xml:space="preserve"> hardware SAS/</w:t>
            </w:r>
            <w:proofErr w:type="spellStart"/>
            <w:r w:rsidRPr="00FE4C05">
              <w:rPr>
                <w:bCs/>
                <w:szCs w:val="24"/>
                <w:lang w:val="fr-BE"/>
              </w:rPr>
              <w:t>NVMe</w:t>
            </w:r>
            <w:proofErr w:type="spellEnd"/>
            <w:r w:rsidRPr="00FE4C05">
              <w:rPr>
                <w:bCs/>
                <w:szCs w:val="24"/>
                <w:lang w:val="fr-BE"/>
              </w:rPr>
              <w:t xml:space="preserve"> RAID </w:t>
            </w:r>
            <w:proofErr w:type="spellStart"/>
            <w:r w:rsidRPr="00FE4C05">
              <w:rPr>
                <w:bCs/>
                <w:szCs w:val="24"/>
                <w:lang w:val="fr-BE"/>
              </w:rPr>
              <w:t>controllers</w:t>
            </w:r>
            <w:proofErr w:type="spellEnd"/>
            <w:r w:rsidRPr="00FE4C05">
              <w:rPr>
                <w:bCs/>
                <w:szCs w:val="24"/>
                <w:lang w:val="fr-BE"/>
              </w:rPr>
              <w:t xml:space="preserve"> </w:t>
            </w:r>
            <w:proofErr w:type="spellStart"/>
            <w:r w:rsidRPr="00FE4C05">
              <w:rPr>
                <w:bCs/>
                <w:szCs w:val="24"/>
                <w:lang w:val="fr-BE"/>
              </w:rPr>
              <w:t>with</w:t>
            </w:r>
            <w:proofErr w:type="spellEnd"/>
            <w:r w:rsidRPr="00FE4C05">
              <w:rPr>
                <w:bCs/>
                <w:szCs w:val="24"/>
                <w:lang w:val="fr-BE"/>
              </w:rPr>
              <w:t xml:space="preserve"> min. of 2 x </w:t>
            </w:r>
            <w:proofErr w:type="spellStart"/>
            <w:r w:rsidRPr="00FE4C05">
              <w:rPr>
                <w:bCs/>
                <w:szCs w:val="24"/>
                <w:lang w:val="fr-BE"/>
              </w:rPr>
              <w:t>SSDs</w:t>
            </w:r>
            <w:proofErr w:type="spellEnd"/>
            <w:r w:rsidRPr="00FE4C05">
              <w:rPr>
                <w:bCs/>
                <w:szCs w:val="24"/>
                <w:lang w:val="fr-BE"/>
              </w:rPr>
              <w:t xml:space="preserve"> of min 480GB </w:t>
            </w:r>
            <w:proofErr w:type="spellStart"/>
            <w:r w:rsidRPr="00FE4C05">
              <w:rPr>
                <w:bCs/>
                <w:szCs w:val="24"/>
                <w:lang w:val="fr-BE"/>
              </w:rPr>
              <w:t>capacity</w:t>
            </w:r>
            <w:proofErr w:type="spellEnd"/>
            <w:r w:rsidRPr="00FE4C05">
              <w:rPr>
                <w:bCs/>
                <w:szCs w:val="24"/>
                <w:lang w:val="fr-BE"/>
              </w:rPr>
              <w:t xml:space="preserve"> (</w:t>
            </w:r>
            <w:proofErr w:type="spellStart"/>
            <w:r w:rsidRPr="00FE4C05">
              <w:rPr>
                <w:bCs/>
                <w:szCs w:val="24"/>
                <w:lang w:val="fr-BE"/>
              </w:rPr>
              <w:t>configured</w:t>
            </w:r>
            <w:proofErr w:type="spellEnd"/>
            <w:r w:rsidRPr="00FE4C05">
              <w:rPr>
                <w:bCs/>
                <w:szCs w:val="24"/>
                <w:lang w:val="fr-BE"/>
              </w:rPr>
              <w:t xml:space="preserve"> in RAID 1)</w:t>
            </w:r>
          </w:p>
          <w:p w14:paraId="47014F2F"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SAN </w:t>
            </w:r>
            <w:proofErr w:type="spellStart"/>
            <w:proofErr w:type="gramStart"/>
            <w:r w:rsidRPr="00FE4C05">
              <w:rPr>
                <w:bCs/>
                <w:szCs w:val="24"/>
                <w:lang w:val="fr-BE"/>
              </w:rPr>
              <w:t>controllers</w:t>
            </w:r>
            <w:proofErr w:type="spellEnd"/>
            <w:r w:rsidRPr="00FE4C05">
              <w:rPr>
                <w:bCs/>
                <w:szCs w:val="24"/>
                <w:lang w:val="fr-BE"/>
              </w:rPr>
              <w:t>:</w:t>
            </w:r>
            <w:proofErr w:type="gramEnd"/>
            <w:r w:rsidRPr="00FE4C05">
              <w:rPr>
                <w:bCs/>
                <w:szCs w:val="24"/>
                <w:lang w:val="fr-BE"/>
              </w:rPr>
              <w:t xml:space="preserve"> 1 x 32 GB Dual Port </w:t>
            </w:r>
            <w:proofErr w:type="spellStart"/>
            <w:r w:rsidRPr="00FE4C05">
              <w:rPr>
                <w:bCs/>
                <w:szCs w:val="24"/>
                <w:lang w:val="fr-BE"/>
              </w:rPr>
              <w:t>Fiber</w:t>
            </w:r>
            <w:proofErr w:type="spellEnd"/>
            <w:r w:rsidRPr="00FE4C05">
              <w:rPr>
                <w:bCs/>
                <w:szCs w:val="24"/>
                <w:lang w:val="fr-BE"/>
              </w:rPr>
              <w:t xml:space="preserve"> Channel HBA, SW SFP</w:t>
            </w:r>
          </w:p>
          <w:p w14:paraId="18478722" w14:textId="77777777" w:rsidR="00285B1B" w:rsidRPr="00FE4C05" w:rsidRDefault="00285B1B" w:rsidP="009C72F0">
            <w:pPr>
              <w:spacing w:after="0"/>
              <w:rPr>
                <w:b/>
                <w:szCs w:val="24"/>
                <w:lang w:val="fr-BE"/>
              </w:rPr>
            </w:pPr>
          </w:p>
          <w:p w14:paraId="0B17DAA7" w14:textId="77777777" w:rsidR="00285B1B" w:rsidRPr="00FE4C05" w:rsidRDefault="00285B1B" w:rsidP="009C72F0">
            <w:pPr>
              <w:spacing w:after="0"/>
              <w:rPr>
                <w:b/>
                <w:szCs w:val="24"/>
                <w:lang w:val="en-GB"/>
              </w:rPr>
            </w:pPr>
            <w:r w:rsidRPr="00FE4C05">
              <w:rPr>
                <w:b/>
                <w:szCs w:val="24"/>
                <w:lang w:val="en-GB"/>
              </w:rPr>
              <w:t>Network Interface Cards</w:t>
            </w:r>
          </w:p>
          <w:p w14:paraId="2D2BEE18"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w:t>
            </w:r>
            <w:proofErr w:type="spellStart"/>
            <w:proofErr w:type="gramStart"/>
            <w:r w:rsidRPr="00FE4C05">
              <w:rPr>
                <w:bCs/>
                <w:szCs w:val="24"/>
                <w:lang w:val="fr-BE"/>
              </w:rPr>
              <w:t>NIC’s</w:t>
            </w:r>
            <w:proofErr w:type="spellEnd"/>
            <w:r w:rsidRPr="00FE4C05">
              <w:rPr>
                <w:bCs/>
                <w:szCs w:val="24"/>
                <w:lang w:val="fr-BE"/>
              </w:rPr>
              <w:t>:</w:t>
            </w:r>
            <w:proofErr w:type="gramEnd"/>
            <w:r w:rsidRPr="00FE4C05">
              <w:rPr>
                <w:bCs/>
                <w:szCs w:val="24"/>
                <w:lang w:val="fr-BE"/>
              </w:rPr>
              <w:t xml:space="preserve"> 1 x Dual Port 1 </w:t>
            </w:r>
            <w:proofErr w:type="spellStart"/>
            <w:r w:rsidRPr="00FE4C05">
              <w:rPr>
                <w:bCs/>
                <w:szCs w:val="24"/>
                <w:lang w:val="fr-BE"/>
              </w:rPr>
              <w:t>Gbe</w:t>
            </w:r>
            <w:proofErr w:type="spellEnd"/>
            <w:r w:rsidRPr="00FE4C05">
              <w:rPr>
                <w:bCs/>
                <w:szCs w:val="24"/>
                <w:lang w:val="fr-BE"/>
              </w:rPr>
              <w:t xml:space="preserve"> – RJ-45</w:t>
            </w:r>
          </w:p>
          <w:p w14:paraId="0959D5C1" w14:textId="77777777" w:rsidR="00285B1B" w:rsidRPr="00FE4C05" w:rsidRDefault="00285B1B" w:rsidP="00D530D5">
            <w:pPr>
              <w:pStyle w:val="ListParagraph"/>
              <w:numPr>
                <w:ilvl w:val="0"/>
                <w:numId w:val="153"/>
              </w:numPr>
              <w:spacing w:after="0"/>
              <w:ind w:left="491" w:hanging="436"/>
              <w:rPr>
                <w:bCs/>
                <w:szCs w:val="24"/>
                <w:lang w:val="fr-BE"/>
              </w:rPr>
            </w:pPr>
            <w:r w:rsidRPr="00FE4C05">
              <w:rPr>
                <w:bCs/>
                <w:szCs w:val="24"/>
                <w:lang w:val="fr-BE"/>
              </w:rPr>
              <w:t xml:space="preserve">PCI </w:t>
            </w:r>
            <w:proofErr w:type="spellStart"/>
            <w:proofErr w:type="gramStart"/>
            <w:r w:rsidRPr="00FE4C05">
              <w:rPr>
                <w:bCs/>
                <w:szCs w:val="24"/>
                <w:lang w:val="fr-BE"/>
              </w:rPr>
              <w:t>NIC’s</w:t>
            </w:r>
            <w:proofErr w:type="spellEnd"/>
            <w:r w:rsidRPr="00FE4C05">
              <w:rPr>
                <w:bCs/>
                <w:szCs w:val="24"/>
                <w:lang w:val="fr-BE"/>
              </w:rPr>
              <w:t>:</w:t>
            </w:r>
            <w:proofErr w:type="gramEnd"/>
            <w:r w:rsidRPr="00FE4C05">
              <w:rPr>
                <w:bCs/>
                <w:szCs w:val="24"/>
                <w:lang w:val="fr-BE"/>
              </w:rPr>
              <w:t xml:space="preserve"> 1 x Dual Port 25 </w:t>
            </w:r>
            <w:proofErr w:type="spellStart"/>
            <w:r w:rsidRPr="00FE4C05">
              <w:rPr>
                <w:bCs/>
                <w:szCs w:val="24"/>
                <w:lang w:val="fr-BE"/>
              </w:rPr>
              <w:t>Gbe</w:t>
            </w:r>
            <w:proofErr w:type="spellEnd"/>
            <w:r w:rsidRPr="00FE4C05">
              <w:rPr>
                <w:bCs/>
                <w:szCs w:val="24"/>
                <w:lang w:val="fr-BE"/>
              </w:rPr>
              <w:t xml:space="preserve"> - SFP28, </w:t>
            </w:r>
            <w:proofErr w:type="spellStart"/>
            <w:r w:rsidRPr="00FE4C05">
              <w:rPr>
                <w:bCs/>
                <w:szCs w:val="24"/>
                <w:lang w:val="fr-BE"/>
              </w:rPr>
              <w:t>RoCE</w:t>
            </w:r>
            <w:proofErr w:type="spellEnd"/>
            <w:r w:rsidRPr="00FE4C05">
              <w:rPr>
                <w:bCs/>
                <w:szCs w:val="24"/>
                <w:lang w:val="fr-BE"/>
              </w:rPr>
              <w:t>.</w:t>
            </w:r>
          </w:p>
          <w:p w14:paraId="566A0815"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Networking Cables: 2 x SFP28 to SFP28, 25GbE, Passive Copper </w:t>
            </w:r>
            <w:proofErr w:type="spellStart"/>
            <w:r w:rsidRPr="00FE4C05">
              <w:rPr>
                <w:bCs/>
                <w:szCs w:val="24"/>
                <w:lang w:val="en-GB"/>
              </w:rPr>
              <w:t>Twinax</w:t>
            </w:r>
            <w:proofErr w:type="spellEnd"/>
            <w:r w:rsidRPr="00FE4C05">
              <w:rPr>
                <w:bCs/>
                <w:szCs w:val="24"/>
                <w:lang w:val="en-GB"/>
              </w:rPr>
              <w:t xml:space="preserve"> Direct Attach Cable, 3 Meter (compatible with TOR switches Item No. 1.2)</w:t>
            </w:r>
          </w:p>
          <w:p w14:paraId="3CC4E598"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Networking Cables: 2 x OM3 LC-LC FC Cable, 10 Meter (compatible with FC switches Item No. 1.7)</w:t>
            </w:r>
          </w:p>
          <w:p w14:paraId="68A8DB7F" w14:textId="77777777" w:rsidR="00285B1B" w:rsidRPr="00FE4C05" w:rsidRDefault="00285B1B" w:rsidP="009C72F0">
            <w:pPr>
              <w:spacing w:after="0"/>
              <w:rPr>
                <w:b/>
                <w:szCs w:val="24"/>
                <w:lang w:val="en-GB"/>
              </w:rPr>
            </w:pPr>
          </w:p>
          <w:p w14:paraId="30F98AD4" w14:textId="77777777" w:rsidR="00285B1B" w:rsidRPr="00FE4C05" w:rsidRDefault="00285B1B" w:rsidP="009C72F0">
            <w:pPr>
              <w:spacing w:after="0"/>
              <w:jc w:val="left"/>
              <w:rPr>
                <w:b/>
                <w:szCs w:val="24"/>
                <w:lang w:val="en-GB"/>
              </w:rPr>
            </w:pPr>
          </w:p>
          <w:p w14:paraId="704FABDF" w14:textId="77777777" w:rsidR="00285B1B" w:rsidRPr="00FE4C05" w:rsidRDefault="00285B1B" w:rsidP="009C72F0">
            <w:pPr>
              <w:spacing w:after="0"/>
              <w:rPr>
                <w:b/>
                <w:szCs w:val="24"/>
                <w:lang w:val="en-GB"/>
              </w:rPr>
            </w:pPr>
            <w:r w:rsidRPr="00FE4C05">
              <w:rPr>
                <w:b/>
                <w:szCs w:val="24"/>
                <w:lang w:val="en-GB"/>
              </w:rPr>
              <w:t>Security features</w:t>
            </w:r>
          </w:p>
          <w:p w14:paraId="3B81877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Trusted Platform Module 2, factory enabled with Secure Boot</w:t>
            </w:r>
          </w:p>
          <w:p w14:paraId="7335D69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LCD bezel</w:t>
            </w:r>
          </w:p>
          <w:p w14:paraId="73761ED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Cryptographically signed firmware</w:t>
            </w:r>
          </w:p>
          <w:p w14:paraId="158A231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Secure Boot</w:t>
            </w:r>
          </w:p>
          <w:p w14:paraId="6F71862B"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Silicon Root of Trust</w:t>
            </w:r>
          </w:p>
          <w:p w14:paraId="713504C6"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System Lockdown</w:t>
            </w:r>
          </w:p>
          <w:p w14:paraId="1A05022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Management of Data at Rest Encryption keys</w:t>
            </w:r>
          </w:p>
          <w:p w14:paraId="4D30BDD4"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Secure Erase</w:t>
            </w:r>
          </w:p>
          <w:p w14:paraId="61EF4D2C" w14:textId="77777777" w:rsidR="00285B1B" w:rsidRPr="00FE4C05" w:rsidRDefault="00285B1B" w:rsidP="009C72F0">
            <w:pPr>
              <w:spacing w:after="0"/>
              <w:rPr>
                <w:bCs/>
                <w:szCs w:val="24"/>
                <w:lang w:val="en-GB"/>
              </w:rPr>
            </w:pPr>
          </w:p>
          <w:p w14:paraId="3470850D" w14:textId="77777777" w:rsidR="00285B1B" w:rsidRPr="00FE4C05" w:rsidRDefault="00285B1B" w:rsidP="009C72F0">
            <w:pPr>
              <w:spacing w:after="0"/>
              <w:rPr>
                <w:b/>
                <w:szCs w:val="24"/>
                <w:lang w:val="en-GB"/>
              </w:rPr>
            </w:pPr>
            <w:r w:rsidRPr="00FE4C05">
              <w:rPr>
                <w:b/>
                <w:szCs w:val="24"/>
                <w:lang w:val="en-GB"/>
              </w:rPr>
              <w:t>Embedded Management</w:t>
            </w:r>
          </w:p>
          <w:p w14:paraId="5BAD050F"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Embedded system management controller with own processing power which is FIPS 140-2 Level 1 </w:t>
            </w:r>
            <w:proofErr w:type="gramStart"/>
            <w:r w:rsidRPr="00FE4C05">
              <w:rPr>
                <w:bCs/>
                <w:szCs w:val="24"/>
                <w:lang w:val="en-GB"/>
              </w:rPr>
              <w:t>certified</w:t>
            </w:r>
            <w:proofErr w:type="gramEnd"/>
            <w:r w:rsidRPr="00FE4C05">
              <w:rPr>
                <w:bCs/>
                <w:szCs w:val="24"/>
                <w:lang w:val="en-GB"/>
              </w:rPr>
              <w:t xml:space="preserve">  </w:t>
            </w:r>
          </w:p>
          <w:p w14:paraId="17A7F947"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Built-in wireless module for wireless diagnostics over BLE / NFC.  </w:t>
            </w:r>
          </w:p>
          <w:p w14:paraId="2212D0B1"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embedded controller should allow proactive for error alerts on network adapters, memory, internal drives (SAS HDDs and SSDs, </w:t>
            </w:r>
            <w:proofErr w:type="spellStart"/>
            <w:r w:rsidRPr="00FE4C05">
              <w:rPr>
                <w:bCs/>
                <w:szCs w:val="24"/>
                <w:lang w:val="en-GB"/>
              </w:rPr>
              <w:t>NVMe</w:t>
            </w:r>
            <w:proofErr w:type="spellEnd"/>
            <w:r w:rsidRPr="00FE4C05">
              <w:rPr>
                <w:bCs/>
                <w:szCs w:val="24"/>
                <w:lang w:val="en-GB"/>
              </w:rPr>
              <w:t xml:space="preserve">), fans, power modules, RAID controllers, Fibre Channel HBAs, ambient server temperature (including graphical displays) on SSD) and other errors.  </w:t>
            </w:r>
          </w:p>
          <w:p w14:paraId="46DCDD1C"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allow quality control / bandwidth of remote access to the server.  </w:t>
            </w:r>
          </w:p>
          <w:p w14:paraId="221B479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include independent 10/100/100 Mbit Ethernet adapter for real time remote management as well as a dedicated USB port for WSMAN management access at the front side. </w:t>
            </w:r>
          </w:p>
          <w:p w14:paraId="0B969CEA"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provide agent-free hardware, </w:t>
            </w:r>
            <w:proofErr w:type="gramStart"/>
            <w:r w:rsidRPr="00FE4C05">
              <w:rPr>
                <w:bCs/>
                <w:szCs w:val="24"/>
                <w:lang w:val="en-GB"/>
              </w:rPr>
              <w:t>firmware</w:t>
            </w:r>
            <w:proofErr w:type="gramEnd"/>
            <w:r w:rsidRPr="00FE4C05">
              <w:rPr>
                <w:bCs/>
                <w:szCs w:val="24"/>
                <w:lang w:val="en-GB"/>
              </w:rPr>
              <w:t xml:space="preserve"> and performance monitoring, including inventory, crash screen / video capture, boot capture, and alerting.  </w:t>
            </w:r>
          </w:p>
          <w:p w14:paraId="2C0E78C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The controller should support the IPMI 2.0 protocol, VNC connectivity with the operating system, include HTML 5 based browser interface, SMASH-CLP, Dynamic DNS, DHCP with Zero Touch functionality, NFS v4 and </w:t>
            </w:r>
            <w:proofErr w:type="spellStart"/>
            <w:r w:rsidRPr="00FE4C05">
              <w:rPr>
                <w:bCs/>
                <w:szCs w:val="24"/>
                <w:lang w:val="en-GB"/>
              </w:rPr>
              <w:lastRenderedPageBreak/>
              <w:t>WSMan</w:t>
            </w:r>
            <w:proofErr w:type="spellEnd"/>
            <w:r w:rsidRPr="00FE4C05">
              <w:rPr>
                <w:bCs/>
                <w:szCs w:val="24"/>
                <w:lang w:val="en-GB"/>
              </w:rPr>
              <w:t xml:space="preserve"> support, E-mail alerts, Virtual console (KVM) as well as virtual media attachment.  </w:t>
            </w:r>
          </w:p>
          <w:p w14:paraId="423D285D"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 xml:space="preserve">Front-facing LCD panel for local management and diagnostics.  </w:t>
            </w:r>
          </w:p>
          <w:p w14:paraId="3F425419" w14:textId="77777777" w:rsidR="00285B1B" w:rsidRPr="00FE4C05" w:rsidRDefault="00285B1B" w:rsidP="00D530D5">
            <w:pPr>
              <w:pStyle w:val="ListParagraph"/>
              <w:numPr>
                <w:ilvl w:val="0"/>
                <w:numId w:val="153"/>
              </w:numPr>
              <w:spacing w:after="0"/>
              <w:ind w:left="491" w:hanging="436"/>
              <w:rPr>
                <w:bCs/>
                <w:szCs w:val="24"/>
                <w:lang w:val="en-GB"/>
              </w:rPr>
            </w:pPr>
            <w:r w:rsidRPr="00FE4C05">
              <w:rPr>
                <w:bCs/>
                <w:szCs w:val="24"/>
                <w:lang w:val="en-GB"/>
              </w:rPr>
              <w:t>Unlimited Virtual Console with HTML5 or VNC.</w:t>
            </w:r>
          </w:p>
          <w:p w14:paraId="6EA11487" w14:textId="77777777" w:rsidR="00285B1B" w:rsidRPr="00FE4C05" w:rsidRDefault="00285B1B" w:rsidP="009C72F0">
            <w:pPr>
              <w:spacing w:after="0"/>
              <w:jc w:val="left"/>
              <w:rPr>
                <w:b/>
                <w:szCs w:val="24"/>
                <w:lang w:val="en-GB"/>
              </w:rPr>
            </w:pPr>
          </w:p>
          <w:p w14:paraId="349D69E4" w14:textId="77777777" w:rsidR="00285B1B" w:rsidRPr="00FE4C05" w:rsidRDefault="00285B1B" w:rsidP="009C72F0">
            <w:pPr>
              <w:spacing w:after="0"/>
              <w:rPr>
                <w:bCs/>
                <w:szCs w:val="24"/>
                <w:lang w:val="en-GB"/>
              </w:rPr>
            </w:pPr>
          </w:p>
        </w:tc>
      </w:tr>
      <w:tr w:rsidR="00285B1B" w:rsidRPr="00AC5790" w14:paraId="0B7AD7E3" w14:textId="77777777" w:rsidTr="00285B1B">
        <w:tc>
          <w:tcPr>
            <w:tcW w:w="1134" w:type="dxa"/>
          </w:tcPr>
          <w:p w14:paraId="2BD838BC" w14:textId="77777777" w:rsidR="00285B1B" w:rsidRPr="00FE4C05" w:rsidRDefault="00285B1B" w:rsidP="009C72F0">
            <w:pPr>
              <w:spacing w:after="0"/>
              <w:rPr>
                <w:b/>
                <w:szCs w:val="24"/>
                <w:lang w:val="en-GB"/>
              </w:rPr>
            </w:pPr>
            <w:r w:rsidRPr="00FE4C05">
              <w:rPr>
                <w:b/>
                <w:szCs w:val="24"/>
                <w:lang w:val="en-GB"/>
              </w:rPr>
              <w:lastRenderedPageBreak/>
              <w:t>1.9</w:t>
            </w:r>
          </w:p>
        </w:tc>
        <w:tc>
          <w:tcPr>
            <w:tcW w:w="8075" w:type="dxa"/>
            <w:vAlign w:val="center"/>
          </w:tcPr>
          <w:p w14:paraId="21053F31" w14:textId="77777777" w:rsidR="00285B1B" w:rsidRPr="00FE4C05" w:rsidRDefault="00285B1B" w:rsidP="009C72F0">
            <w:pPr>
              <w:spacing w:after="0"/>
              <w:rPr>
                <w:b/>
                <w:szCs w:val="24"/>
                <w:lang w:val="en-GB"/>
              </w:rPr>
            </w:pPr>
            <w:r w:rsidRPr="00FE4C05">
              <w:rPr>
                <w:b/>
                <w:szCs w:val="24"/>
                <w:lang w:val="en-GB"/>
              </w:rPr>
              <w:t xml:space="preserve">Backup Storage </w:t>
            </w:r>
            <w:proofErr w:type="gramStart"/>
            <w:r w:rsidRPr="00FE4C05">
              <w:rPr>
                <w:b/>
                <w:szCs w:val="24"/>
                <w:lang w:val="en-GB"/>
              </w:rPr>
              <w:t>-  Qty.</w:t>
            </w:r>
            <w:proofErr w:type="gramEnd"/>
            <w:r w:rsidRPr="00FE4C05">
              <w:rPr>
                <w:b/>
                <w:szCs w:val="24"/>
                <w:lang w:val="en-GB"/>
              </w:rPr>
              <w:t xml:space="preserve"> 1</w:t>
            </w:r>
          </w:p>
          <w:p w14:paraId="61560BCC" w14:textId="77777777" w:rsidR="00285B1B" w:rsidRPr="00FE4C05" w:rsidRDefault="00285B1B" w:rsidP="009C72F0">
            <w:pPr>
              <w:spacing w:after="0"/>
              <w:rPr>
                <w:b/>
                <w:szCs w:val="24"/>
                <w:lang w:val="en-GB"/>
              </w:rPr>
            </w:pPr>
          </w:p>
          <w:p w14:paraId="3D0F7883" w14:textId="77777777" w:rsidR="00285B1B" w:rsidRPr="00FE4C05" w:rsidRDefault="00285B1B" w:rsidP="009C72F0">
            <w:pPr>
              <w:spacing w:after="0"/>
              <w:rPr>
                <w:bCs/>
                <w:szCs w:val="24"/>
                <w:lang w:val="en-GB"/>
              </w:rPr>
            </w:pPr>
            <w:r w:rsidRPr="00FE4C05">
              <w:rPr>
                <w:bCs/>
                <w:szCs w:val="24"/>
                <w:lang w:val="en-GB"/>
              </w:rPr>
              <w:t>Purpose built data backup storage with built-in data deduplication functionality.</w:t>
            </w:r>
          </w:p>
          <w:p w14:paraId="158F068B" w14:textId="77777777" w:rsidR="00285B1B" w:rsidRPr="00FE4C05" w:rsidRDefault="00285B1B" w:rsidP="009C72F0">
            <w:pPr>
              <w:spacing w:after="0"/>
              <w:rPr>
                <w:bCs/>
                <w:szCs w:val="24"/>
                <w:lang w:val="en-GB"/>
              </w:rPr>
            </w:pPr>
          </w:p>
          <w:p w14:paraId="2AFACAE1"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Up to 2U rack-mount deduplication storage device for backup data, including rails and other mounting equipment for standard cabinets.</w:t>
            </w:r>
          </w:p>
          <w:p w14:paraId="7245DF0B"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Minimum usable capacity of 16 TB with SAS/NL-SAS disks, protected by RAID technology that enables data availability even in the event of simultaneous failure of at least two disks.</w:t>
            </w:r>
          </w:p>
          <w:p w14:paraId="7D8AA9DF"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Includes at least 64 GB of global memory, a minimum of 300 GB of metadata cache memory, and a processor with at least eight cores.</w:t>
            </w:r>
          </w:p>
          <w:p w14:paraId="4BA3BA09"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Includes inline data deduplication. Deduplication should be performed also at the source of the data.</w:t>
            </w:r>
          </w:p>
          <w:p w14:paraId="6324C602"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Supports deduplication of variable blocks and it shall be global.</w:t>
            </w:r>
          </w:p>
          <w:p w14:paraId="14CD134B"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Enables global data compression.</w:t>
            </w:r>
          </w:p>
          <w:p w14:paraId="1A69F28C" w14:textId="77777777" w:rsidR="00285B1B" w:rsidRPr="00FE4C05" w:rsidRDefault="00285B1B" w:rsidP="00D530D5">
            <w:pPr>
              <w:pStyle w:val="ListParagraph"/>
              <w:numPr>
                <w:ilvl w:val="0"/>
                <w:numId w:val="196"/>
              </w:numPr>
              <w:suppressAutoHyphens/>
              <w:spacing w:after="0"/>
              <w:rPr>
                <w:bCs/>
                <w:szCs w:val="24"/>
                <w:lang w:val="en-GB"/>
              </w:rPr>
            </w:pPr>
            <w:r w:rsidRPr="00FE4C05">
              <w:rPr>
                <w:bCs/>
                <w:szCs w:val="24"/>
                <w:lang w:val="en-GB"/>
              </w:rPr>
              <w:t>Supports data transfer over LAN with the following protocols: CIFS, NFS v3, NDMP, FTP.</w:t>
            </w:r>
          </w:p>
          <w:p w14:paraId="6D8AB794" w14:textId="77777777" w:rsidR="00285B1B" w:rsidRPr="00FE4C05" w:rsidRDefault="00285B1B" w:rsidP="009C72F0">
            <w:pPr>
              <w:spacing w:after="0"/>
              <w:rPr>
                <w:bCs/>
                <w:szCs w:val="24"/>
                <w:lang w:val="en-GB"/>
              </w:rPr>
            </w:pPr>
          </w:p>
          <w:p w14:paraId="7DB196FB" w14:textId="77777777" w:rsidR="00285B1B" w:rsidRPr="00FE4C05" w:rsidRDefault="00285B1B" w:rsidP="009C72F0">
            <w:pPr>
              <w:spacing w:after="0"/>
              <w:rPr>
                <w:bCs/>
                <w:szCs w:val="24"/>
                <w:lang w:val="en-GB"/>
              </w:rPr>
            </w:pPr>
            <w:r w:rsidRPr="00FE4C05">
              <w:rPr>
                <w:bCs/>
                <w:szCs w:val="24"/>
                <w:lang w:val="en-GB"/>
              </w:rPr>
              <w:t>Simultaneous data transfer over SAN/FC (Storage Area Network/Fibre Channel) and LAN must be available, allowing them to operate simultaneously.</w:t>
            </w:r>
          </w:p>
          <w:p w14:paraId="20FA22E2" w14:textId="77777777" w:rsidR="00285B1B" w:rsidRPr="00FE4C05" w:rsidRDefault="00285B1B" w:rsidP="009C72F0">
            <w:pPr>
              <w:spacing w:after="0"/>
              <w:rPr>
                <w:bCs/>
                <w:szCs w:val="24"/>
                <w:lang w:val="en-GB"/>
              </w:rPr>
            </w:pPr>
          </w:p>
          <w:p w14:paraId="3718E9C8" w14:textId="77777777" w:rsidR="00285B1B" w:rsidRPr="00FE4C05" w:rsidRDefault="00285B1B" w:rsidP="009C72F0">
            <w:pPr>
              <w:spacing w:after="0"/>
              <w:rPr>
                <w:bCs/>
                <w:szCs w:val="24"/>
                <w:lang w:val="en-GB"/>
              </w:rPr>
            </w:pPr>
            <w:r w:rsidRPr="00FE4C05">
              <w:rPr>
                <w:bCs/>
                <w:szCs w:val="24"/>
                <w:lang w:val="en-GB"/>
              </w:rPr>
              <w:t>Writes at least 4 TB/h or at least 7 TB/h with client-side deduplication.</w:t>
            </w:r>
          </w:p>
          <w:p w14:paraId="51CD618A" w14:textId="77777777" w:rsidR="00285B1B" w:rsidRPr="00FE4C05" w:rsidRDefault="00285B1B" w:rsidP="00D530D5">
            <w:pPr>
              <w:pStyle w:val="ListParagraph"/>
              <w:numPr>
                <w:ilvl w:val="0"/>
                <w:numId w:val="197"/>
              </w:numPr>
              <w:suppressAutoHyphens/>
              <w:spacing w:after="0"/>
              <w:rPr>
                <w:bCs/>
                <w:szCs w:val="24"/>
                <w:lang w:val="en-GB"/>
              </w:rPr>
            </w:pPr>
            <w:r w:rsidRPr="00FE4C05">
              <w:rPr>
                <w:bCs/>
                <w:szCs w:val="24"/>
                <w:lang w:val="en-GB"/>
              </w:rPr>
              <w:t>Minimum of 2 redundant power supplies.</w:t>
            </w:r>
          </w:p>
          <w:p w14:paraId="4F23DAB3" w14:textId="77777777" w:rsidR="00285B1B" w:rsidRPr="00FE4C05" w:rsidRDefault="00285B1B" w:rsidP="00D530D5">
            <w:pPr>
              <w:pStyle w:val="ListParagraph"/>
              <w:numPr>
                <w:ilvl w:val="0"/>
                <w:numId w:val="197"/>
              </w:numPr>
              <w:suppressAutoHyphens/>
              <w:spacing w:after="0"/>
              <w:rPr>
                <w:bCs/>
                <w:szCs w:val="24"/>
                <w:lang w:val="en-GB"/>
              </w:rPr>
            </w:pPr>
            <w:r w:rsidRPr="00FE4C05">
              <w:rPr>
                <w:bCs/>
                <w:szCs w:val="24"/>
                <w:lang w:val="en-GB"/>
              </w:rPr>
              <w:t xml:space="preserve">Minimum of 4 x 10 GbE Ethernet LAN ports with the possibility of aggregation, usable for NAS, SFTP and SMB client </w:t>
            </w:r>
            <w:proofErr w:type="gramStart"/>
            <w:r w:rsidRPr="00FE4C05">
              <w:rPr>
                <w:bCs/>
                <w:szCs w:val="24"/>
                <w:lang w:val="en-GB"/>
              </w:rPr>
              <w:t>access;</w:t>
            </w:r>
            <w:proofErr w:type="gramEnd"/>
            <w:r w:rsidRPr="00FE4C05">
              <w:rPr>
                <w:bCs/>
                <w:szCs w:val="24"/>
                <w:lang w:val="en-GB"/>
              </w:rPr>
              <w:t xml:space="preserve"> </w:t>
            </w:r>
          </w:p>
          <w:p w14:paraId="2D89F0A0" w14:textId="77777777" w:rsidR="00285B1B" w:rsidRPr="00FE4C05" w:rsidRDefault="00285B1B" w:rsidP="00D530D5">
            <w:pPr>
              <w:pStyle w:val="ListParagraph"/>
              <w:numPr>
                <w:ilvl w:val="0"/>
                <w:numId w:val="197"/>
              </w:numPr>
              <w:suppressAutoHyphens/>
              <w:spacing w:after="0"/>
              <w:rPr>
                <w:bCs/>
                <w:szCs w:val="24"/>
                <w:lang w:val="en-GB"/>
              </w:rPr>
            </w:pPr>
            <w:r w:rsidRPr="00FE4C05">
              <w:rPr>
                <w:bCs/>
                <w:szCs w:val="24"/>
                <w:lang w:val="en-GB"/>
              </w:rPr>
              <w:t>Minimum of 1 x Quad Port 16 Gb Fiber Channel HBA adapter for VTL connectivity and access.</w:t>
            </w:r>
          </w:p>
          <w:p w14:paraId="1FE0FDAC" w14:textId="77777777" w:rsidR="00285B1B" w:rsidRPr="00FE4C05" w:rsidRDefault="00285B1B" w:rsidP="009C72F0">
            <w:pPr>
              <w:spacing w:after="0"/>
              <w:rPr>
                <w:bCs/>
                <w:szCs w:val="24"/>
                <w:lang w:val="en-GB"/>
              </w:rPr>
            </w:pPr>
          </w:p>
          <w:p w14:paraId="15707745" w14:textId="77777777" w:rsidR="00285B1B" w:rsidRPr="00FE4C05" w:rsidRDefault="00285B1B" w:rsidP="009C72F0">
            <w:pPr>
              <w:spacing w:after="0"/>
              <w:rPr>
                <w:bCs/>
                <w:szCs w:val="24"/>
                <w:lang w:val="en-GB"/>
              </w:rPr>
            </w:pPr>
            <w:r w:rsidRPr="00FE4C05">
              <w:rPr>
                <w:bCs/>
                <w:szCs w:val="24"/>
                <w:lang w:val="en-GB"/>
              </w:rPr>
              <w:t>Includes a separate Ethernet LAN port for remote management via HTTPS graphic console.</w:t>
            </w:r>
          </w:p>
          <w:p w14:paraId="169C45FF" w14:textId="77777777" w:rsidR="00285B1B" w:rsidRPr="00FE4C05" w:rsidRDefault="00285B1B" w:rsidP="009C72F0">
            <w:pPr>
              <w:spacing w:after="0"/>
              <w:rPr>
                <w:bCs/>
                <w:szCs w:val="24"/>
                <w:lang w:val="en-GB"/>
              </w:rPr>
            </w:pPr>
            <w:r w:rsidRPr="00FE4C05">
              <w:rPr>
                <w:bCs/>
                <w:szCs w:val="24"/>
                <w:lang w:val="en-GB"/>
              </w:rPr>
              <w:t>Includes local LED diagnostics on the front of the device.</w:t>
            </w:r>
          </w:p>
          <w:p w14:paraId="0435F665" w14:textId="77777777" w:rsidR="00285B1B" w:rsidRPr="00FE4C05" w:rsidRDefault="00285B1B" w:rsidP="009C72F0">
            <w:pPr>
              <w:spacing w:after="0"/>
              <w:rPr>
                <w:bCs/>
                <w:szCs w:val="24"/>
                <w:lang w:val="en-GB"/>
              </w:rPr>
            </w:pPr>
            <w:r w:rsidRPr="00FE4C05">
              <w:rPr>
                <w:bCs/>
                <w:szCs w:val="24"/>
                <w:lang w:val="en-GB"/>
              </w:rPr>
              <w:t>Includes direct local management USB port on the front of the device.</w:t>
            </w:r>
          </w:p>
          <w:p w14:paraId="253A415B" w14:textId="77777777" w:rsidR="00285B1B" w:rsidRPr="00FE4C05" w:rsidRDefault="00285B1B" w:rsidP="009C72F0">
            <w:pPr>
              <w:spacing w:after="0"/>
              <w:rPr>
                <w:bCs/>
                <w:szCs w:val="24"/>
                <w:lang w:val="en-GB"/>
              </w:rPr>
            </w:pPr>
            <w:r w:rsidRPr="00FE4C05">
              <w:rPr>
                <w:bCs/>
                <w:szCs w:val="24"/>
                <w:lang w:val="en-GB"/>
              </w:rPr>
              <w:t>All necessary cables for normal system operation should be provided at a minimum speed of 10 Gbps.</w:t>
            </w:r>
          </w:p>
          <w:p w14:paraId="46EA1088" w14:textId="77777777" w:rsidR="00285B1B" w:rsidRPr="00FE4C05" w:rsidRDefault="00285B1B" w:rsidP="009C72F0">
            <w:pPr>
              <w:spacing w:after="0"/>
              <w:rPr>
                <w:bCs/>
                <w:szCs w:val="24"/>
                <w:lang w:val="en-GB"/>
              </w:rPr>
            </w:pPr>
          </w:p>
          <w:p w14:paraId="1C890E65" w14:textId="77777777" w:rsidR="00285B1B" w:rsidRPr="00FE4C05" w:rsidRDefault="00285B1B" w:rsidP="009C72F0">
            <w:pPr>
              <w:spacing w:after="0"/>
              <w:rPr>
                <w:bCs/>
                <w:szCs w:val="24"/>
                <w:lang w:val="en-GB"/>
              </w:rPr>
            </w:pPr>
            <w:r w:rsidRPr="00FE4C05">
              <w:rPr>
                <w:bCs/>
                <w:szCs w:val="24"/>
                <w:lang w:val="en-GB"/>
              </w:rPr>
              <w:t>Highly available and hot-pluggable power supply modules included, sufficient for full system configuration.</w:t>
            </w:r>
          </w:p>
          <w:p w14:paraId="50F9FC20" w14:textId="77777777" w:rsidR="00285B1B" w:rsidRPr="00FE4C05" w:rsidRDefault="00285B1B" w:rsidP="009C72F0">
            <w:pPr>
              <w:spacing w:after="0"/>
              <w:rPr>
                <w:bCs/>
                <w:szCs w:val="24"/>
                <w:lang w:val="en-GB"/>
              </w:rPr>
            </w:pPr>
            <w:r w:rsidRPr="00FE4C05">
              <w:rPr>
                <w:bCs/>
                <w:szCs w:val="24"/>
                <w:lang w:val="en-GB"/>
              </w:rPr>
              <w:lastRenderedPageBreak/>
              <w:t>Included power cables from standard PDU – C13/C14 (or equivalent).</w:t>
            </w:r>
          </w:p>
          <w:p w14:paraId="214A43C0" w14:textId="77777777" w:rsidR="00285B1B" w:rsidRPr="00FE4C05" w:rsidRDefault="00285B1B" w:rsidP="009C72F0">
            <w:pPr>
              <w:spacing w:after="0"/>
              <w:rPr>
                <w:b/>
                <w:szCs w:val="24"/>
                <w:lang w:val="en-GB"/>
              </w:rPr>
            </w:pPr>
          </w:p>
        </w:tc>
      </w:tr>
      <w:tr w:rsidR="00285B1B" w:rsidRPr="00AC5790" w14:paraId="618297E4" w14:textId="77777777" w:rsidTr="00285B1B">
        <w:tc>
          <w:tcPr>
            <w:tcW w:w="1134" w:type="dxa"/>
          </w:tcPr>
          <w:p w14:paraId="02B8E96C" w14:textId="77777777" w:rsidR="00285B1B" w:rsidRPr="00FE4C05" w:rsidRDefault="00285B1B" w:rsidP="009C72F0">
            <w:pPr>
              <w:spacing w:after="0"/>
              <w:rPr>
                <w:b/>
                <w:szCs w:val="24"/>
                <w:lang w:val="en-GB"/>
              </w:rPr>
            </w:pPr>
            <w:r w:rsidRPr="00FE4C05">
              <w:rPr>
                <w:b/>
                <w:szCs w:val="24"/>
                <w:lang w:val="en-GB"/>
              </w:rPr>
              <w:lastRenderedPageBreak/>
              <w:t>1.10</w:t>
            </w:r>
          </w:p>
        </w:tc>
        <w:tc>
          <w:tcPr>
            <w:tcW w:w="8075" w:type="dxa"/>
            <w:vAlign w:val="center"/>
          </w:tcPr>
          <w:p w14:paraId="0ADF926E" w14:textId="77777777" w:rsidR="00285B1B" w:rsidRPr="00FE4C05" w:rsidRDefault="00285B1B" w:rsidP="009C72F0">
            <w:pPr>
              <w:spacing w:after="0"/>
              <w:rPr>
                <w:b/>
                <w:szCs w:val="24"/>
                <w:lang w:val="en-GB"/>
              </w:rPr>
            </w:pPr>
            <w:r w:rsidRPr="00FE4C05">
              <w:rPr>
                <w:b/>
                <w:szCs w:val="24"/>
                <w:lang w:val="en-GB"/>
              </w:rPr>
              <w:t>Backup software                      Qty. 1</w:t>
            </w:r>
          </w:p>
          <w:p w14:paraId="3E01304C" w14:textId="77777777" w:rsidR="00285B1B" w:rsidRPr="00FE4C05" w:rsidRDefault="00285B1B" w:rsidP="009C72F0">
            <w:pPr>
              <w:spacing w:after="0"/>
              <w:rPr>
                <w:bCs/>
                <w:szCs w:val="24"/>
                <w:lang w:val="en-GB"/>
              </w:rPr>
            </w:pPr>
          </w:p>
          <w:p w14:paraId="4EA6B621"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Backup software should protect all virtual machines that reside on the Hypervisor Cluster referenced in item 1.5 (total 8 hypervisor sockets)</w:t>
            </w:r>
          </w:p>
          <w:p w14:paraId="6CA5FB6F"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The offered solution must have a system for monitoring the virtual and backup environment, sending alarms and alerts to system administrators and the ability to generate reports, predefined or created by users.</w:t>
            </w:r>
          </w:p>
          <w:p w14:paraId="36ABBD4C"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Support for backup and restores of data from disk, LTO tapes and cloud.</w:t>
            </w:r>
          </w:p>
          <w:p w14:paraId="44E4EC43" w14:textId="5D4FF4E7" w:rsidR="00285B1B" w:rsidRPr="00E91689" w:rsidRDefault="00285B1B" w:rsidP="004E1ACE">
            <w:pPr>
              <w:pStyle w:val="ListParagraph"/>
              <w:numPr>
                <w:ilvl w:val="0"/>
                <w:numId w:val="154"/>
              </w:numPr>
              <w:spacing w:after="0"/>
              <w:ind w:left="483" w:hanging="436"/>
              <w:rPr>
                <w:bCs/>
                <w:szCs w:val="24"/>
                <w:lang w:val="en-GB"/>
              </w:rPr>
            </w:pPr>
            <w:r w:rsidRPr="00E91689">
              <w:rPr>
                <w:bCs/>
                <w:szCs w:val="24"/>
                <w:lang w:val="en-GB"/>
              </w:rPr>
              <w:t>Supported physical platforms</w:t>
            </w:r>
            <w:r w:rsidRPr="00E91689">
              <w:rPr>
                <w:bCs/>
                <w:szCs w:val="24"/>
                <w:lang w:val="mk-MK"/>
              </w:rPr>
              <w:t xml:space="preserve"> </w:t>
            </w:r>
            <w:r w:rsidRPr="00E91689">
              <w:rPr>
                <w:bCs/>
                <w:szCs w:val="24"/>
              </w:rPr>
              <w:t>refer to the most   common underlying operating systems.</w:t>
            </w:r>
            <w:r w:rsidRPr="00E91689">
              <w:rPr>
                <w:bCs/>
                <w:szCs w:val="24"/>
                <w:lang w:val="en-GB"/>
              </w:rPr>
              <w:t xml:space="preserve"> </w:t>
            </w:r>
          </w:p>
          <w:p w14:paraId="1D489E62" w14:textId="77777777" w:rsidR="00285B1B" w:rsidRPr="00FE4C05" w:rsidRDefault="00285B1B" w:rsidP="009C72F0">
            <w:pPr>
              <w:spacing w:after="0"/>
              <w:rPr>
                <w:bCs/>
                <w:szCs w:val="24"/>
                <w:lang w:val="en-GB"/>
              </w:rPr>
            </w:pPr>
            <w:r w:rsidRPr="00FE4C05">
              <w:rPr>
                <w:bCs/>
                <w:szCs w:val="24"/>
                <w:lang w:val="en-GB"/>
              </w:rPr>
              <w:t>Recovery from backup:</w:t>
            </w:r>
          </w:p>
          <w:p w14:paraId="05F0D97E" w14:textId="5F4031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Recovery of full virtual machine, fast recovery only on changed data. Recovery of data’s Active Directory into email’s, Active Directory </w:t>
            </w:r>
            <w:proofErr w:type="gramStart"/>
            <w:r w:rsidRPr="00FE4C05">
              <w:rPr>
                <w:bCs/>
                <w:szCs w:val="24"/>
                <w:lang w:val="en-GB"/>
              </w:rPr>
              <w:t>data’s</w:t>
            </w:r>
            <w:proofErr w:type="gramEnd"/>
            <w:r w:rsidRPr="00FE4C05">
              <w:rPr>
                <w:bCs/>
                <w:szCs w:val="24"/>
                <w:lang w:val="en-GB"/>
              </w:rPr>
              <w:t xml:space="preserve"> and SQL tables</w:t>
            </w:r>
            <w:r w:rsidR="00E91689">
              <w:rPr>
                <w:bCs/>
                <w:szCs w:val="24"/>
                <w:lang w:val="en-GB"/>
              </w:rPr>
              <w:t>.</w:t>
            </w:r>
            <w:r w:rsidRPr="00FE4C05">
              <w:rPr>
                <w:bCs/>
                <w:szCs w:val="24"/>
                <w:lang w:val="en-GB"/>
              </w:rPr>
              <w:t xml:space="preserve">  </w:t>
            </w:r>
          </w:p>
          <w:p w14:paraId="03D4599E" w14:textId="6887997E"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Direct recovery of data from virtual or physical servers into any of </w:t>
            </w:r>
            <w:r w:rsidRPr="00FE4C05">
              <w:rPr>
                <w:color w:val="0D0D0D"/>
                <w:shd w:val="clear" w:color="auto" w:fill="FFFFFF"/>
              </w:rPr>
              <w:t>powerful cloud computing platforms that offer a wide range of services to support various use cases, from hosting websites and applications to running big data analytics and machine learning workloads</w:t>
            </w:r>
            <w:r w:rsidR="00E91689">
              <w:rPr>
                <w:color w:val="0D0D0D"/>
                <w:shd w:val="clear" w:color="auto" w:fill="FFFFFF"/>
              </w:rPr>
              <w:t>.</w:t>
            </w:r>
            <w:r w:rsidRPr="00FE4C05">
              <w:rPr>
                <w:bCs/>
                <w:szCs w:val="24"/>
                <w:lang w:val="en-GB"/>
              </w:rPr>
              <w:t xml:space="preserve">  </w:t>
            </w:r>
          </w:p>
          <w:p w14:paraId="047EC7A3"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Minimum protection function of range of applications, databases, and platforms, including cloud with backup to cloud, backup in cloud storage, long term retention and cloud disaster recovery.</w:t>
            </w:r>
          </w:p>
          <w:p w14:paraId="0EBD6566"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Minimum options for consistent data protection across virtual machines, cloud native applications and containers.</w:t>
            </w:r>
          </w:p>
          <w:p w14:paraId="12E7C1D7"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NAS backup: Backup of NAS Filers over NDMP protocols</w:t>
            </w:r>
          </w:p>
          <w:p w14:paraId="60040907"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Minimum options for quickly and easy recovery from </w:t>
            </w:r>
            <w:proofErr w:type="spellStart"/>
            <w:r w:rsidRPr="00FE4C05">
              <w:rPr>
                <w:bCs/>
                <w:szCs w:val="24"/>
                <w:lang w:val="en-GB"/>
              </w:rPr>
              <w:t>cyber attacks</w:t>
            </w:r>
            <w:proofErr w:type="spellEnd"/>
            <w:r w:rsidRPr="00FE4C05">
              <w:rPr>
                <w:bCs/>
                <w:szCs w:val="24"/>
                <w:lang w:val="en-GB"/>
              </w:rPr>
              <w:t>.</w:t>
            </w:r>
          </w:p>
          <w:p w14:paraId="15DB4D07"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Minimum data protection to the cloud with disaster recovery, long-term retention, and protect cloud native workloads across single or multiple cloud environments.</w:t>
            </w:r>
          </w:p>
          <w:p w14:paraId="1926C635"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Deduplication and compression of backups and swap spaces </w:t>
            </w:r>
          </w:p>
          <w:p w14:paraId="7F8EAFB9" w14:textId="475319DF" w:rsidR="00285B1B" w:rsidRPr="00FE4C05" w:rsidRDefault="00285B1B" w:rsidP="00D530D5">
            <w:pPr>
              <w:pStyle w:val="ListParagraph"/>
              <w:numPr>
                <w:ilvl w:val="0"/>
                <w:numId w:val="154"/>
              </w:numPr>
              <w:spacing w:after="0"/>
              <w:ind w:left="483" w:hanging="436"/>
              <w:rPr>
                <w:bCs/>
                <w:strike/>
                <w:szCs w:val="24"/>
                <w:lang w:val="en-GB"/>
              </w:rPr>
            </w:pPr>
            <w:r w:rsidRPr="00FE4C05">
              <w:rPr>
                <w:bCs/>
                <w:szCs w:val="24"/>
                <w:lang w:val="en-GB"/>
              </w:rPr>
              <w:t xml:space="preserve">Minimum designed to support multiple hypervisors that allow virtualization platforms used to create and manage virtual machines (VMs) on physical hardware. </w:t>
            </w:r>
          </w:p>
          <w:p w14:paraId="1FF84F8F"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Provide synchronous or asynchronous replication policies.</w:t>
            </w:r>
          </w:p>
          <w:p w14:paraId="1410E476"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Minimum function for monitoring, </w:t>
            </w:r>
            <w:proofErr w:type="gramStart"/>
            <w:r w:rsidRPr="00FE4C05">
              <w:rPr>
                <w:bCs/>
                <w:szCs w:val="24"/>
                <w:lang w:val="en-GB"/>
              </w:rPr>
              <w:t>alerting</w:t>
            </w:r>
            <w:proofErr w:type="gramEnd"/>
            <w:r w:rsidRPr="00FE4C05">
              <w:rPr>
                <w:bCs/>
                <w:szCs w:val="24"/>
                <w:lang w:val="en-GB"/>
              </w:rPr>
              <w:t xml:space="preserve"> and reporting.</w:t>
            </w:r>
          </w:p>
          <w:p w14:paraId="67194F97" w14:textId="77777777" w:rsidR="00285B1B" w:rsidRPr="00FE4C05" w:rsidRDefault="00285B1B" w:rsidP="00D530D5">
            <w:pPr>
              <w:pStyle w:val="ListParagraph"/>
              <w:numPr>
                <w:ilvl w:val="0"/>
                <w:numId w:val="154"/>
              </w:numPr>
              <w:spacing w:after="0"/>
              <w:ind w:left="483" w:hanging="436"/>
              <w:rPr>
                <w:bCs/>
                <w:szCs w:val="24"/>
                <w:lang w:val="en-GB"/>
              </w:rPr>
            </w:pPr>
            <w:r w:rsidRPr="00FE4C05">
              <w:rPr>
                <w:bCs/>
                <w:szCs w:val="24"/>
                <w:lang w:val="en-GB"/>
              </w:rPr>
              <w:t xml:space="preserve">Minimum indication of potential cyber-attacks, proactive </w:t>
            </w:r>
            <w:proofErr w:type="gramStart"/>
            <w:r w:rsidRPr="00FE4C05">
              <w:rPr>
                <w:bCs/>
                <w:szCs w:val="24"/>
                <w:lang w:val="en-GB"/>
              </w:rPr>
              <w:t>analysis</w:t>
            </w:r>
            <w:proofErr w:type="gramEnd"/>
            <w:r w:rsidRPr="00FE4C05">
              <w:rPr>
                <w:bCs/>
                <w:szCs w:val="24"/>
                <w:lang w:val="en-GB"/>
              </w:rPr>
              <w:t xml:space="preserve"> and data protection</w:t>
            </w:r>
          </w:p>
        </w:tc>
      </w:tr>
      <w:tr w:rsidR="00285B1B" w:rsidRPr="00AC5790" w14:paraId="5CAD9B29" w14:textId="77777777" w:rsidTr="00285B1B">
        <w:trPr>
          <w:trHeight w:val="8540"/>
        </w:trPr>
        <w:tc>
          <w:tcPr>
            <w:tcW w:w="1134" w:type="dxa"/>
          </w:tcPr>
          <w:p w14:paraId="6A09F7F1" w14:textId="77777777" w:rsidR="00285B1B" w:rsidRPr="00FE4C05" w:rsidRDefault="00285B1B" w:rsidP="009C72F0">
            <w:pPr>
              <w:spacing w:after="0"/>
              <w:rPr>
                <w:b/>
                <w:szCs w:val="24"/>
                <w:lang w:val="en-GB"/>
              </w:rPr>
            </w:pPr>
            <w:r w:rsidRPr="00FE4C05">
              <w:rPr>
                <w:b/>
                <w:szCs w:val="24"/>
                <w:lang w:val="en-GB"/>
              </w:rPr>
              <w:lastRenderedPageBreak/>
              <w:t>1.11</w:t>
            </w:r>
          </w:p>
        </w:tc>
        <w:tc>
          <w:tcPr>
            <w:tcW w:w="8075" w:type="dxa"/>
            <w:vAlign w:val="center"/>
          </w:tcPr>
          <w:p w14:paraId="1B79CAE5" w14:textId="77777777" w:rsidR="00285B1B" w:rsidRPr="00FE4C05" w:rsidRDefault="00285B1B" w:rsidP="009C72F0">
            <w:pPr>
              <w:spacing w:after="0"/>
              <w:rPr>
                <w:b/>
                <w:szCs w:val="24"/>
                <w:lang w:val="en-GB"/>
              </w:rPr>
            </w:pPr>
            <w:r w:rsidRPr="00FE4C05">
              <w:rPr>
                <w:b/>
                <w:szCs w:val="24"/>
                <w:lang w:val="en-GB"/>
              </w:rPr>
              <w:t>WAN Security Devices</w:t>
            </w:r>
          </w:p>
          <w:p w14:paraId="2A696DB6" w14:textId="77777777" w:rsidR="00285B1B" w:rsidRPr="00FE4C05" w:rsidRDefault="00285B1B" w:rsidP="009C72F0">
            <w:pPr>
              <w:spacing w:after="0"/>
              <w:rPr>
                <w:bCs/>
                <w:szCs w:val="24"/>
                <w:lang w:val="en-GB"/>
              </w:rPr>
            </w:pPr>
          </w:p>
          <w:p w14:paraId="29A2B3A3" w14:textId="77777777" w:rsidR="00285B1B" w:rsidRPr="00FE4C05" w:rsidRDefault="00285B1B" w:rsidP="009C72F0">
            <w:pPr>
              <w:spacing w:after="0"/>
              <w:rPr>
                <w:bCs/>
                <w:szCs w:val="24"/>
                <w:lang w:val="en-GB"/>
              </w:rPr>
            </w:pPr>
          </w:p>
          <w:p w14:paraId="61D249DB" w14:textId="348366BA" w:rsidR="00285B1B" w:rsidRPr="00FE4C05" w:rsidRDefault="00285B1B" w:rsidP="009C72F0">
            <w:pPr>
              <w:spacing w:after="0"/>
              <w:rPr>
                <w:bCs/>
                <w:szCs w:val="24"/>
                <w:lang w:val="en-GB"/>
              </w:rPr>
            </w:pPr>
            <w:r w:rsidRPr="00FE4C05">
              <w:rPr>
                <w:bCs/>
                <w:szCs w:val="24"/>
                <w:lang w:val="en-GB"/>
              </w:rPr>
              <w:t xml:space="preserve">WAN (internet facing) Firewalls for Zero Trust Network Access Framework– Qty: 2 + </w:t>
            </w:r>
            <w:proofErr w:type="gramStart"/>
            <w:r w:rsidRPr="00FE4C05">
              <w:rPr>
                <w:bCs/>
                <w:szCs w:val="24"/>
                <w:lang w:val="en-GB"/>
              </w:rPr>
              <w:t>1</w:t>
            </w:r>
            <w:proofErr w:type="gramEnd"/>
          </w:p>
          <w:p w14:paraId="5B684800" w14:textId="77777777" w:rsidR="00285B1B" w:rsidRPr="00FE4C05" w:rsidRDefault="00285B1B" w:rsidP="009C72F0">
            <w:pPr>
              <w:spacing w:after="0"/>
              <w:rPr>
                <w:bCs/>
                <w:szCs w:val="24"/>
                <w:lang w:val="en-GB"/>
              </w:rPr>
            </w:pPr>
          </w:p>
          <w:p w14:paraId="4A9F01FD" w14:textId="77777777" w:rsidR="00285B1B" w:rsidRPr="00FE4C05" w:rsidRDefault="00285B1B" w:rsidP="00D530D5">
            <w:pPr>
              <w:pStyle w:val="ListParagraph"/>
              <w:numPr>
                <w:ilvl w:val="0"/>
                <w:numId w:val="191"/>
              </w:numPr>
              <w:suppressAutoHyphens/>
              <w:spacing w:after="0"/>
              <w:rPr>
                <w:bCs/>
                <w:szCs w:val="24"/>
                <w:lang w:val="en-GB"/>
              </w:rPr>
            </w:pPr>
            <w:r w:rsidRPr="00FE4C05">
              <w:rPr>
                <w:bCs/>
                <w:szCs w:val="24"/>
                <w:lang w:val="en-GB"/>
              </w:rPr>
              <w:t>Next Generation IP level protection system against external cyber-attacks for the NSW network and the system management platforms.</w:t>
            </w:r>
          </w:p>
          <w:p w14:paraId="511C2685" w14:textId="77777777" w:rsidR="00285B1B" w:rsidRPr="00FE4C05" w:rsidRDefault="00285B1B" w:rsidP="00D530D5">
            <w:pPr>
              <w:pStyle w:val="ListParagraph"/>
              <w:numPr>
                <w:ilvl w:val="0"/>
                <w:numId w:val="191"/>
              </w:numPr>
              <w:suppressAutoHyphens/>
              <w:spacing w:after="0"/>
              <w:rPr>
                <w:bCs/>
                <w:szCs w:val="24"/>
                <w:lang w:val="en-GB"/>
              </w:rPr>
            </w:pPr>
            <w:r w:rsidRPr="00FE4C05">
              <w:rPr>
                <w:bCs/>
                <w:szCs w:val="24"/>
                <w:lang w:val="en-GB"/>
              </w:rPr>
              <w:t>The solution must be fully redundant.</w:t>
            </w:r>
          </w:p>
          <w:p w14:paraId="3FFE8D77" w14:textId="77777777" w:rsidR="00285B1B" w:rsidRPr="00FE4C05" w:rsidRDefault="00285B1B" w:rsidP="00D530D5">
            <w:pPr>
              <w:pStyle w:val="ListParagraph"/>
              <w:numPr>
                <w:ilvl w:val="0"/>
                <w:numId w:val="191"/>
              </w:numPr>
              <w:suppressAutoHyphens/>
              <w:spacing w:after="0"/>
              <w:rPr>
                <w:bCs/>
                <w:szCs w:val="24"/>
                <w:lang w:val="en-GB"/>
              </w:rPr>
            </w:pPr>
            <w:r w:rsidRPr="00FE4C05">
              <w:rPr>
                <w:bCs/>
                <w:szCs w:val="24"/>
                <w:lang w:val="en-GB"/>
              </w:rPr>
              <w:t>The solution must include machine learning (AI) malware detection functionality.</w:t>
            </w:r>
          </w:p>
          <w:p w14:paraId="2385DD35" w14:textId="77777777" w:rsidR="00285B1B" w:rsidRPr="00FE4C05" w:rsidRDefault="00285B1B" w:rsidP="00D530D5">
            <w:pPr>
              <w:pStyle w:val="ListParagraph"/>
              <w:numPr>
                <w:ilvl w:val="0"/>
                <w:numId w:val="191"/>
              </w:numPr>
              <w:suppressAutoHyphens/>
              <w:spacing w:after="0"/>
              <w:rPr>
                <w:bCs/>
                <w:szCs w:val="24"/>
                <w:lang w:val="en-GB"/>
              </w:rPr>
            </w:pPr>
            <w:r w:rsidRPr="00FE4C05">
              <w:rPr>
                <w:bCs/>
                <w:szCs w:val="24"/>
                <w:lang w:val="en-GB"/>
              </w:rPr>
              <w:t>The solution must include a stream-based anti-virus scanning functionality.</w:t>
            </w:r>
          </w:p>
          <w:p w14:paraId="6183FEF6" w14:textId="77777777" w:rsidR="00285B1B" w:rsidRPr="00FE4C05" w:rsidRDefault="00285B1B" w:rsidP="00D530D5">
            <w:pPr>
              <w:pStyle w:val="ListParagraph"/>
              <w:numPr>
                <w:ilvl w:val="0"/>
                <w:numId w:val="191"/>
              </w:numPr>
              <w:suppressAutoHyphens/>
              <w:spacing w:after="0"/>
              <w:rPr>
                <w:bCs/>
                <w:szCs w:val="24"/>
                <w:lang w:val="en-GB"/>
              </w:rPr>
            </w:pPr>
            <w:r w:rsidRPr="00FE4C05">
              <w:rPr>
                <w:bCs/>
                <w:szCs w:val="24"/>
                <w:lang w:val="en-GB"/>
              </w:rPr>
              <w:t>The solution must include zero-day attack protection anti-virus engine, which integrates into the regular anti-virus scanning of Windows Portable Executables (PEs) of the system.</w:t>
            </w:r>
          </w:p>
          <w:p w14:paraId="1FD912DD" w14:textId="77777777" w:rsidR="00285B1B" w:rsidRPr="00FE4C05" w:rsidRDefault="00285B1B" w:rsidP="009C72F0">
            <w:pPr>
              <w:spacing w:after="0"/>
              <w:rPr>
                <w:bCs/>
                <w:szCs w:val="24"/>
                <w:lang w:val="en-GB"/>
              </w:rPr>
            </w:pPr>
            <w:r w:rsidRPr="00FE4C05">
              <w:rPr>
                <w:bCs/>
                <w:szCs w:val="24"/>
                <w:lang w:val="en-GB"/>
              </w:rPr>
              <w:t>All remote access to the NSW platforms must be configured exclusively over dual stack IPv4 and IPv6 SSL VPN connectivity, with Zero Trust Network Access (ZTNA) HTTPS access proxy.</w:t>
            </w:r>
          </w:p>
          <w:p w14:paraId="65B5668C" w14:textId="77777777" w:rsidR="00285B1B" w:rsidRPr="00FE4C05" w:rsidRDefault="00285B1B" w:rsidP="009C72F0">
            <w:pPr>
              <w:spacing w:after="0"/>
              <w:rPr>
                <w:bCs/>
                <w:szCs w:val="24"/>
                <w:lang w:val="en-GB"/>
              </w:rPr>
            </w:pPr>
            <w:r w:rsidRPr="00FE4C05">
              <w:rPr>
                <w:bCs/>
                <w:szCs w:val="24"/>
                <w:lang w:val="en-GB"/>
              </w:rPr>
              <w:t xml:space="preserve">The NSW network platforms must </w:t>
            </w:r>
            <w:proofErr w:type="gramStart"/>
            <w:r w:rsidRPr="00FE4C05">
              <w:rPr>
                <w:bCs/>
                <w:szCs w:val="24"/>
                <w:lang w:val="en-GB"/>
              </w:rPr>
              <w:t>be located in</w:t>
            </w:r>
            <w:proofErr w:type="gramEnd"/>
            <w:r w:rsidRPr="00FE4C05">
              <w:rPr>
                <w:bCs/>
                <w:szCs w:val="24"/>
                <w:lang w:val="en-GB"/>
              </w:rPr>
              <w:t xml:space="preserve"> isolated network domains behind the cyber security system.</w:t>
            </w:r>
          </w:p>
          <w:p w14:paraId="7B2C06E3" w14:textId="77777777" w:rsidR="00285B1B" w:rsidRPr="00FE4C05" w:rsidRDefault="00285B1B" w:rsidP="009C72F0">
            <w:pPr>
              <w:spacing w:after="0"/>
              <w:rPr>
                <w:bCs/>
                <w:szCs w:val="24"/>
                <w:lang w:val="en-GB"/>
              </w:rPr>
            </w:pPr>
            <w:r w:rsidRPr="00FE4C05">
              <w:rPr>
                <w:bCs/>
                <w:szCs w:val="24"/>
                <w:lang w:val="en-GB"/>
              </w:rPr>
              <w:t xml:space="preserve">The cyber security protection system should consist of hardware and appropriate licenses including installation and configuration of the network system.  </w:t>
            </w:r>
          </w:p>
          <w:p w14:paraId="6311203C" w14:textId="77777777" w:rsidR="00285B1B" w:rsidRPr="00FE4C05" w:rsidRDefault="00285B1B" w:rsidP="009C72F0">
            <w:pPr>
              <w:spacing w:after="0"/>
              <w:rPr>
                <w:bCs/>
                <w:strike/>
                <w:szCs w:val="24"/>
                <w:lang w:val="en-GB"/>
              </w:rPr>
            </w:pPr>
          </w:p>
          <w:p w14:paraId="230E7BAF" w14:textId="77777777" w:rsidR="00285B1B" w:rsidRPr="00FE4C05" w:rsidRDefault="00285B1B" w:rsidP="009C72F0">
            <w:pPr>
              <w:spacing w:after="0"/>
              <w:rPr>
                <w:bCs/>
                <w:szCs w:val="24"/>
                <w:lang w:val="en-GB"/>
              </w:rPr>
            </w:pPr>
            <w:r w:rsidRPr="00FE4C05">
              <w:rPr>
                <w:bCs/>
                <w:szCs w:val="24"/>
                <w:lang w:val="en-GB"/>
              </w:rPr>
              <w:t>General protection system requirements:</w:t>
            </w:r>
          </w:p>
          <w:p w14:paraId="7DABB2E6" w14:textId="77777777" w:rsidR="00285B1B" w:rsidRPr="00FE4C05" w:rsidRDefault="00285B1B" w:rsidP="00D530D5">
            <w:pPr>
              <w:pStyle w:val="ListParagraph"/>
              <w:numPr>
                <w:ilvl w:val="0"/>
                <w:numId w:val="187"/>
              </w:numPr>
              <w:suppressAutoHyphens/>
              <w:spacing w:after="0"/>
              <w:rPr>
                <w:bCs/>
                <w:szCs w:val="24"/>
                <w:lang w:val="en-GB"/>
              </w:rPr>
            </w:pPr>
            <w:r w:rsidRPr="00FE4C05">
              <w:rPr>
                <w:bCs/>
                <w:szCs w:val="24"/>
                <w:lang w:val="en-GB"/>
              </w:rPr>
              <w:t>The solution must contain two fully independent systems configured in a cluster.</w:t>
            </w:r>
          </w:p>
          <w:p w14:paraId="3EFB28F3" w14:textId="77777777" w:rsidR="00285B1B" w:rsidRPr="00FE4C05" w:rsidRDefault="00285B1B" w:rsidP="00D530D5">
            <w:pPr>
              <w:pStyle w:val="ListParagraph"/>
              <w:numPr>
                <w:ilvl w:val="0"/>
                <w:numId w:val="187"/>
              </w:numPr>
              <w:suppressAutoHyphens/>
              <w:spacing w:after="0"/>
              <w:rPr>
                <w:bCs/>
                <w:szCs w:val="24"/>
                <w:lang w:val="en-GB"/>
              </w:rPr>
            </w:pPr>
            <w:r w:rsidRPr="00FE4C05">
              <w:rPr>
                <w:bCs/>
                <w:szCs w:val="24"/>
                <w:lang w:val="en-GB"/>
              </w:rPr>
              <w:t>The cluster must include as a minimum a pair of highly available hardware-accelerated appliances, which do not use a standard x86 architecture.</w:t>
            </w:r>
          </w:p>
          <w:p w14:paraId="445ED4CF" w14:textId="77777777" w:rsidR="00285B1B" w:rsidRPr="00FE4C05" w:rsidRDefault="00285B1B" w:rsidP="00D530D5">
            <w:pPr>
              <w:pStyle w:val="ListParagraph"/>
              <w:numPr>
                <w:ilvl w:val="0"/>
                <w:numId w:val="187"/>
              </w:numPr>
              <w:suppressAutoHyphens/>
              <w:spacing w:after="0"/>
              <w:rPr>
                <w:bCs/>
                <w:szCs w:val="24"/>
                <w:lang w:val="en-GB"/>
              </w:rPr>
            </w:pPr>
            <w:r w:rsidRPr="00FE4C05">
              <w:rPr>
                <w:bCs/>
                <w:szCs w:val="24"/>
                <w:lang w:val="en-GB"/>
              </w:rPr>
              <w:t xml:space="preserve">The appliances must contain proprietary and low footprint operating system which is completely locked and secure. </w:t>
            </w:r>
          </w:p>
          <w:p w14:paraId="0516DD93" w14:textId="77777777" w:rsidR="00285B1B" w:rsidRPr="00FE4C05" w:rsidRDefault="00285B1B" w:rsidP="00D530D5">
            <w:pPr>
              <w:pStyle w:val="ListParagraph"/>
              <w:numPr>
                <w:ilvl w:val="0"/>
                <w:numId w:val="187"/>
              </w:numPr>
              <w:suppressAutoHyphens/>
              <w:spacing w:after="0"/>
              <w:rPr>
                <w:bCs/>
                <w:szCs w:val="24"/>
                <w:lang w:val="en-GB"/>
              </w:rPr>
            </w:pPr>
            <w:r w:rsidRPr="00FE4C05">
              <w:rPr>
                <w:bCs/>
                <w:szCs w:val="24"/>
                <w:lang w:val="en-GB"/>
              </w:rPr>
              <w:t>The appliance’s operating system must be validated by NIST according to the FIPS 140-2 Cryptographic Module Validation Program.</w:t>
            </w:r>
          </w:p>
          <w:p w14:paraId="593EF1BF" w14:textId="77777777" w:rsidR="00285B1B" w:rsidRPr="00FE4C05" w:rsidRDefault="00285B1B" w:rsidP="00D530D5">
            <w:pPr>
              <w:pStyle w:val="ListParagraph"/>
              <w:numPr>
                <w:ilvl w:val="0"/>
                <w:numId w:val="187"/>
              </w:numPr>
              <w:suppressAutoHyphens/>
              <w:spacing w:after="0"/>
              <w:rPr>
                <w:bCs/>
                <w:szCs w:val="24"/>
                <w:lang w:val="en-GB"/>
              </w:rPr>
            </w:pPr>
            <w:r w:rsidRPr="00FE4C05">
              <w:rPr>
                <w:bCs/>
                <w:szCs w:val="24"/>
                <w:lang w:val="en-GB"/>
              </w:rPr>
              <w:t>The core functionalities of the cyber security products, such as the firewall and the anti-malware engine must be certified as a minimum by the ICSA Labs.</w:t>
            </w:r>
          </w:p>
          <w:p w14:paraId="5ECCFFB5" w14:textId="77777777" w:rsidR="00285B1B" w:rsidRPr="00FE4C05" w:rsidRDefault="00285B1B" w:rsidP="009C72F0">
            <w:pPr>
              <w:spacing w:after="0"/>
              <w:rPr>
                <w:bCs/>
                <w:szCs w:val="24"/>
                <w:lang w:val="en-GB"/>
              </w:rPr>
            </w:pPr>
            <w:r w:rsidRPr="00FE4C05">
              <w:rPr>
                <w:bCs/>
                <w:szCs w:val="24"/>
                <w:lang w:val="en-GB"/>
              </w:rPr>
              <w:t>Each of the appliances must include a centralized web-based management graphical interface.</w:t>
            </w:r>
          </w:p>
          <w:p w14:paraId="797A9BFE" w14:textId="77777777" w:rsidR="00285B1B" w:rsidRPr="00FE4C05" w:rsidRDefault="00285B1B" w:rsidP="009C72F0">
            <w:pPr>
              <w:spacing w:after="0"/>
              <w:rPr>
                <w:bCs/>
                <w:szCs w:val="24"/>
                <w:lang w:val="en-GB"/>
              </w:rPr>
            </w:pPr>
            <w:r w:rsidRPr="00FE4C05">
              <w:rPr>
                <w:bCs/>
                <w:szCs w:val="24"/>
                <w:lang w:val="en-GB"/>
              </w:rPr>
              <w:t>The appliances must include a sniffer, transparent (bridge) and Gateway (NAT) deployment options.</w:t>
            </w:r>
          </w:p>
          <w:p w14:paraId="6FBF45EC" w14:textId="77777777" w:rsidR="00285B1B" w:rsidRPr="00FE4C05" w:rsidRDefault="00285B1B" w:rsidP="009C72F0">
            <w:pPr>
              <w:spacing w:after="0"/>
              <w:rPr>
                <w:bCs/>
                <w:szCs w:val="24"/>
                <w:lang w:val="en-GB"/>
              </w:rPr>
            </w:pPr>
            <w:r w:rsidRPr="00FE4C05">
              <w:rPr>
                <w:bCs/>
                <w:szCs w:val="24"/>
                <w:lang w:val="en-GB"/>
              </w:rPr>
              <w:t>Each system must provide a full Zero Trust Network Access role-based application access for local and remote users.</w:t>
            </w:r>
          </w:p>
          <w:p w14:paraId="17EA693F" w14:textId="77777777" w:rsidR="00285B1B" w:rsidRPr="00FE4C05" w:rsidRDefault="00285B1B" w:rsidP="009C72F0">
            <w:pPr>
              <w:spacing w:after="0"/>
              <w:rPr>
                <w:bCs/>
                <w:szCs w:val="24"/>
                <w:lang w:val="en-GB"/>
              </w:rPr>
            </w:pPr>
            <w:r w:rsidRPr="00FE4C05">
              <w:rPr>
                <w:bCs/>
                <w:szCs w:val="24"/>
                <w:lang w:val="en-GB"/>
              </w:rPr>
              <w:lastRenderedPageBreak/>
              <w:t>The system must not include any license limit for security features such as Firewall, VPN, Anti-Virus, IPS, Application Control as well as on number of secured devices or users.</w:t>
            </w:r>
          </w:p>
          <w:p w14:paraId="16D448C4" w14:textId="77777777" w:rsidR="00285B1B" w:rsidRPr="00FE4C05" w:rsidRDefault="00285B1B" w:rsidP="009C72F0">
            <w:pPr>
              <w:spacing w:after="0"/>
              <w:rPr>
                <w:bCs/>
                <w:strike/>
                <w:szCs w:val="24"/>
                <w:lang w:val="en-GB"/>
              </w:rPr>
            </w:pPr>
          </w:p>
          <w:p w14:paraId="68F8477D" w14:textId="77777777" w:rsidR="00285B1B" w:rsidRPr="00FE4C05" w:rsidRDefault="00285B1B" w:rsidP="009C72F0">
            <w:pPr>
              <w:spacing w:after="0"/>
              <w:rPr>
                <w:bCs/>
                <w:szCs w:val="24"/>
                <w:lang w:val="en-GB"/>
              </w:rPr>
            </w:pPr>
            <w:r w:rsidRPr="00FE4C05">
              <w:rPr>
                <w:bCs/>
                <w:szCs w:val="24"/>
                <w:lang w:val="en-GB"/>
              </w:rPr>
              <w:t>System capacity requirements:</w:t>
            </w:r>
          </w:p>
          <w:p w14:paraId="17DB80C5"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 xml:space="preserve">Standard rack-mountable devices, supporting IPv4 and IPv6. </w:t>
            </w:r>
          </w:p>
          <w:p w14:paraId="5AE7D0CB" w14:textId="77777777" w:rsidR="00285B1B" w:rsidRPr="00FE4C05" w:rsidRDefault="00285B1B" w:rsidP="009C72F0">
            <w:pPr>
              <w:spacing w:after="0"/>
              <w:rPr>
                <w:bCs/>
                <w:szCs w:val="24"/>
                <w:lang w:val="en-GB"/>
              </w:rPr>
            </w:pPr>
            <w:r w:rsidRPr="00FE4C05">
              <w:rPr>
                <w:bCs/>
                <w:szCs w:val="24"/>
                <w:lang w:val="en-GB"/>
              </w:rPr>
              <w:t>A secure permanent and highly available connectivity between the two sites must be established, to provide for a centralized security management and monitoring functionality from both sites.</w:t>
            </w:r>
          </w:p>
          <w:p w14:paraId="0A41E3AD" w14:textId="77777777" w:rsidR="00285B1B" w:rsidRPr="00FE4C05" w:rsidRDefault="00285B1B" w:rsidP="009C72F0">
            <w:pPr>
              <w:spacing w:after="0"/>
              <w:rPr>
                <w:bCs/>
                <w:szCs w:val="24"/>
                <w:lang w:val="en-GB"/>
              </w:rPr>
            </w:pPr>
          </w:p>
          <w:p w14:paraId="1CC814DA" w14:textId="77777777" w:rsidR="00285B1B" w:rsidRPr="00FE4C05" w:rsidRDefault="00285B1B" w:rsidP="009C72F0">
            <w:pPr>
              <w:spacing w:after="0"/>
              <w:rPr>
                <w:bCs/>
                <w:szCs w:val="24"/>
                <w:lang w:val="en-GB"/>
              </w:rPr>
            </w:pPr>
            <w:r w:rsidRPr="00FE4C05">
              <w:rPr>
                <w:bCs/>
                <w:szCs w:val="24"/>
                <w:lang w:val="en-GB"/>
              </w:rPr>
              <w:t>Capacity / performance requirements per each device are as following:</w:t>
            </w:r>
          </w:p>
          <w:p w14:paraId="42D4C118"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 xml:space="preserve">Standard firewall throughput for 512-byte UDP packets: At least 25 Gbps. </w:t>
            </w:r>
          </w:p>
          <w:p w14:paraId="77007DA6"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3.3 Gbps of NG firewall throughput, with active IPS, application control and threat protection functionality.</w:t>
            </w:r>
          </w:p>
          <w:p w14:paraId="68E13187"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Standard firewall latency for 64-byte UDP packets: less than 5 microseconds.</w:t>
            </w:r>
          </w:p>
          <w:p w14:paraId="2235FB5C"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 xml:space="preserve">The device must be capable of handling at least 275.000 new TCP connections per second. </w:t>
            </w:r>
          </w:p>
          <w:p w14:paraId="0BF8C0CE"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system must be capable of handling at least 12 Gbps of IPsec VPN throughput for 512-byte packets.</w:t>
            </w:r>
          </w:p>
          <w:p w14:paraId="61096425"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2 Gbps of SSL VPN throughput.</w:t>
            </w:r>
          </w:p>
          <w:p w14:paraId="4053B9F5"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5 Gbps of IPS throughput.</w:t>
            </w:r>
          </w:p>
          <w:p w14:paraId="6711AFA9"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3.35 Gbps throughput with the firewall, IPS and Application Control functionalities and active logging functionality.</w:t>
            </w:r>
          </w:p>
          <w:p w14:paraId="2C8CE76C"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include at least 450 GB of onboard internal SSD storage for backing up full logs.</w:t>
            </w:r>
          </w:p>
          <w:p w14:paraId="3496EBD5"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 xml:space="preserve">The device must be capable of handling at least 2.950.000 concurrent TCP sessions. </w:t>
            </w:r>
          </w:p>
          <w:p w14:paraId="1CE21CCD"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2.75 Gbps of System Application Control throughput for HTTP traffic, with active Threat Protection functionality, IPS and NGFW.</w:t>
            </w:r>
          </w:p>
          <w:p w14:paraId="2977B6D2" w14:textId="77777777" w:rsidR="00285B1B" w:rsidRPr="00FE4C05" w:rsidRDefault="00285B1B" w:rsidP="00D530D5">
            <w:pPr>
              <w:pStyle w:val="ListParagraph"/>
              <w:numPr>
                <w:ilvl w:val="0"/>
                <w:numId w:val="188"/>
              </w:numPr>
              <w:suppressAutoHyphens/>
              <w:spacing w:after="0"/>
              <w:rPr>
                <w:bCs/>
                <w:szCs w:val="24"/>
                <w:lang w:val="en-GB"/>
              </w:rPr>
            </w:pPr>
            <w:r w:rsidRPr="00FE4C05">
              <w:rPr>
                <w:bCs/>
                <w:szCs w:val="24"/>
                <w:lang w:val="en-GB"/>
              </w:rPr>
              <w:t>The device must be capable of handling at least 1.900 Gateway-to-Gateway IPsec VPN Tunnels.</w:t>
            </w:r>
          </w:p>
          <w:p w14:paraId="70AD61AA" w14:textId="77777777" w:rsidR="00285B1B" w:rsidRPr="00FE4C05" w:rsidRDefault="00285B1B" w:rsidP="009C72F0">
            <w:pPr>
              <w:spacing w:after="0"/>
              <w:rPr>
                <w:bCs/>
                <w:szCs w:val="24"/>
                <w:lang w:val="en-GB"/>
              </w:rPr>
            </w:pPr>
          </w:p>
          <w:p w14:paraId="4688AC9F" w14:textId="77777777" w:rsidR="00285B1B" w:rsidRPr="00FE4C05" w:rsidRDefault="00285B1B" w:rsidP="009C72F0">
            <w:pPr>
              <w:spacing w:after="0"/>
              <w:rPr>
                <w:bCs/>
                <w:szCs w:val="24"/>
                <w:lang w:val="en-GB"/>
              </w:rPr>
            </w:pPr>
            <w:r w:rsidRPr="00FE4C05">
              <w:rPr>
                <w:bCs/>
                <w:szCs w:val="24"/>
                <w:lang w:val="en-GB"/>
              </w:rPr>
              <w:t>System connectivity requirements:</w:t>
            </w:r>
          </w:p>
          <w:p w14:paraId="04531EF7"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 xml:space="preserve">The system must include at least 2 x Gigabit Ethernet RJ-45 dedicated Management ports. </w:t>
            </w:r>
          </w:p>
          <w:p w14:paraId="03D79CFC"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 xml:space="preserve">The system must include at least 16 x Gigabit Ethernet RJ-45 inside (host/switch) ports. </w:t>
            </w:r>
          </w:p>
          <w:p w14:paraId="01AE2C51"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lastRenderedPageBreak/>
              <w:t xml:space="preserve">The system must include at least 2 x 10 Gigabit Ethernet SFP+ ports. </w:t>
            </w:r>
          </w:p>
          <w:p w14:paraId="11E6DED1"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 xml:space="preserve">The system must include at least 8 x Gigabit Ethernet SFP ports. </w:t>
            </w:r>
          </w:p>
          <w:p w14:paraId="60FEC507"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The system must include dual power supplies.</w:t>
            </w:r>
          </w:p>
          <w:p w14:paraId="28D98ADD"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The system must include Bluetooth Low Energy (BLE) support.</w:t>
            </w:r>
          </w:p>
          <w:p w14:paraId="3CB11AA6"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The system must include at least 1 x console port.</w:t>
            </w:r>
          </w:p>
          <w:p w14:paraId="71582E64" w14:textId="77777777" w:rsidR="00285B1B" w:rsidRPr="00FE4C05" w:rsidRDefault="00285B1B" w:rsidP="00D530D5">
            <w:pPr>
              <w:pStyle w:val="ListParagraph"/>
              <w:numPr>
                <w:ilvl w:val="0"/>
                <w:numId w:val="189"/>
              </w:numPr>
              <w:suppressAutoHyphens/>
              <w:spacing w:after="0"/>
              <w:rPr>
                <w:bCs/>
                <w:szCs w:val="24"/>
                <w:lang w:val="en-GB"/>
              </w:rPr>
            </w:pPr>
            <w:r w:rsidRPr="00FE4C05">
              <w:rPr>
                <w:bCs/>
                <w:szCs w:val="24"/>
                <w:lang w:val="en-GB"/>
              </w:rPr>
              <w:t>The system must include at least 1 x USB 3.0 port.</w:t>
            </w:r>
          </w:p>
          <w:p w14:paraId="5EF8953B" w14:textId="77777777" w:rsidR="00285B1B" w:rsidRPr="00FE4C05" w:rsidRDefault="00285B1B" w:rsidP="009C72F0">
            <w:pPr>
              <w:spacing w:after="0"/>
              <w:rPr>
                <w:bCs/>
                <w:szCs w:val="24"/>
                <w:lang w:val="en-GB"/>
              </w:rPr>
            </w:pPr>
          </w:p>
          <w:p w14:paraId="0181EFA6" w14:textId="77777777" w:rsidR="00285B1B" w:rsidRPr="00FE4C05" w:rsidRDefault="00285B1B" w:rsidP="009C72F0">
            <w:pPr>
              <w:spacing w:after="0"/>
              <w:rPr>
                <w:bCs/>
                <w:szCs w:val="24"/>
                <w:lang w:val="en-GB"/>
              </w:rPr>
            </w:pPr>
            <w:r w:rsidRPr="00FE4C05">
              <w:rPr>
                <w:bCs/>
                <w:szCs w:val="24"/>
                <w:lang w:val="en-GB"/>
              </w:rPr>
              <w:t>Advanced security system requirements:</w:t>
            </w:r>
          </w:p>
          <w:p w14:paraId="70D36667"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The system must be capable of and configured for active/active clustering.</w:t>
            </w:r>
          </w:p>
          <w:p w14:paraId="790C78F9" w14:textId="77777777" w:rsidR="00285B1B" w:rsidRPr="00FE4C05" w:rsidRDefault="00285B1B" w:rsidP="009C72F0">
            <w:pPr>
              <w:spacing w:after="0"/>
              <w:rPr>
                <w:bCs/>
                <w:szCs w:val="24"/>
                <w:lang w:val="en-GB"/>
              </w:rPr>
            </w:pPr>
            <w:r w:rsidRPr="00FE4C05">
              <w:rPr>
                <w:bCs/>
                <w:szCs w:val="24"/>
                <w:lang w:val="en-GB"/>
              </w:rPr>
              <w:t xml:space="preserve">The security profiles in proxy mode must perform SSL inspection on HTTP/2 traffic that is secured by TLS 1.3 using the Application-Layer Protocol Negotiation (ALPN). </w:t>
            </w:r>
          </w:p>
          <w:p w14:paraId="6E89E210" w14:textId="77777777" w:rsidR="00285B1B" w:rsidRPr="00FE4C05" w:rsidRDefault="00285B1B" w:rsidP="009C72F0">
            <w:pPr>
              <w:spacing w:after="0"/>
              <w:rPr>
                <w:bCs/>
                <w:szCs w:val="24"/>
                <w:lang w:val="en-GB"/>
              </w:rPr>
            </w:pPr>
            <w:r w:rsidRPr="00FE4C05">
              <w:rPr>
                <w:bCs/>
                <w:szCs w:val="24"/>
                <w:lang w:val="en-GB"/>
              </w:rPr>
              <w:t xml:space="preserve">The system must allow for SSL VPN hub and spokes topologies to be </w:t>
            </w:r>
            <w:proofErr w:type="gramStart"/>
            <w:r w:rsidRPr="00FE4C05">
              <w:rPr>
                <w:bCs/>
                <w:szCs w:val="24"/>
                <w:lang w:val="en-GB"/>
              </w:rPr>
              <w:t>configured</w:t>
            </w:r>
            <w:proofErr w:type="gramEnd"/>
          </w:p>
          <w:p w14:paraId="3AB27886" w14:textId="77777777" w:rsidR="00285B1B" w:rsidRPr="00FE4C05" w:rsidRDefault="00285B1B" w:rsidP="009C72F0">
            <w:pPr>
              <w:spacing w:after="0"/>
              <w:rPr>
                <w:bCs/>
                <w:szCs w:val="24"/>
                <w:lang w:val="en-GB"/>
              </w:rPr>
            </w:pPr>
            <w:r w:rsidRPr="00FE4C05">
              <w:rPr>
                <w:bCs/>
                <w:szCs w:val="24"/>
                <w:lang w:val="en-GB"/>
              </w:rPr>
              <w:t>The system must allow for SAML user authentication for explicit web proxies and transparent web proxies.</w:t>
            </w:r>
          </w:p>
          <w:p w14:paraId="6BC67821" w14:textId="77777777" w:rsidR="00285B1B" w:rsidRPr="00FE4C05" w:rsidRDefault="00285B1B" w:rsidP="009C72F0">
            <w:pPr>
              <w:spacing w:after="0"/>
              <w:rPr>
                <w:bCs/>
                <w:szCs w:val="24"/>
                <w:lang w:val="en-GB"/>
              </w:rPr>
            </w:pPr>
            <w:r w:rsidRPr="00FE4C05">
              <w:rPr>
                <w:bCs/>
                <w:szCs w:val="24"/>
                <w:lang w:val="en-GB"/>
              </w:rPr>
              <w:t>The system’s IPS engine must handle DNS filter in flow mode, with support for botnet domain and IP filtering as well as remote category rating.</w:t>
            </w:r>
          </w:p>
          <w:p w14:paraId="37FB86D2" w14:textId="77777777" w:rsidR="00285B1B" w:rsidRPr="00FE4C05" w:rsidRDefault="00285B1B" w:rsidP="009C72F0">
            <w:pPr>
              <w:spacing w:after="0"/>
              <w:rPr>
                <w:bCs/>
                <w:szCs w:val="24"/>
                <w:lang w:val="en-GB"/>
              </w:rPr>
            </w:pPr>
            <w:r w:rsidRPr="00FE4C05">
              <w:rPr>
                <w:bCs/>
                <w:szCs w:val="24"/>
                <w:lang w:val="en-GB"/>
              </w:rPr>
              <w:t>The system’s IPS engine must handle SIP inspection in a flow-based firewall policy.</w:t>
            </w:r>
          </w:p>
          <w:p w14:paraId="476FF171" w14:textId="77777777" w:rsidR="00285B1B" w:rsidRPr="00FE4C05" w:rsidRDefault="00285B1B" w:rsidP="009C72F0">
            <w:pPr>
              <w:spacing w:after="0"/>
              <w:rPr>
                <w:bCs/>
                <w:szCs w:val="24"/>
                <w:lang w:val="en-GB"/>
              </w:rPr>
            </w:pPr>
            <w:r w:rsidRPr="00FE4C05">
              <w:rPr>
                <w:bCs/>
                <w:szCs w:val="24"/>
                <w:lang w:val="en-GB"/>
              </w:rPr>
              <w:t>The system must allow for DNS over TLS (DoT) and DNS over HTTPS (</w:t>
            </w:r>
            <w:proofErr w:type="spellStart"/>
            <w:r w:rsidRPr="00FE4C05">
              <w:rPr>
                <w:bCs/>
                <w:szCs w:val="24"/>
                <w:lang w:val="en-GB"/>
              </w:rPr>
              <w:t>DoH</w:t>
            </w:r>
            <w:proofErr w:type="spellEnd"/>
            <w:r w:rsidRPr="00FE4C05">
              <w:rPr>
                <w:bCs/>
                <w:szCs w:val="24"/>
                <w:lang w:val="en-GB"/>
              </w:rPr>
              <w:t>) for DNS inspection.</w:t>
            </w:r>
          </w:p>
          <w:p w14:paraId="2C8E5D02" w14:textId="77777777" w:rsidR="00285B1B" w:rsidRPr="00FE4C05" w:rsidRDefault="00285B1B" w:rsidP="009C72F0">
            <w:pPr>
              <w:spacing w:after="0"/>
              <w:rPr>
                <w:bCs/>
                <w:szCs w:val="24"/>
                <w:lang w:val="en-GB"/>
              </w:rPr>
            </w:pPr>
            <w:r w:rsidRPr="00FE4C05">
              <w:rPr>
                <w:bCs/>
                <w:szCs w:val="24"/>
                <w:lang w:val="en-GB"/>
              </w:rPr>
              <w:t>Networking: support for DHCP, DNS, VLANs, RIP, OSPF, ISIS, BGP, Multicast, ICAP, QoS and NAT46/64.</w:t>
            </w:r>
          </w:p>
          <w:p w14:paraId="6C92F136" w14:textId="77777777" w:rsidR="00285B1B" w:rsidRPr="00FE4C05" w:rsidRDefault="00285B1B" w:rsidP="009C72F0">
            <w:pPr>
              <w:spacing w:after="0"/>
              <w:rPr>
                <w:bCs/>
                <w:szCs w:val="24"/>
                <w:lang w:val="en-GB"/>
              </w:rPr>
            </w:pPr>
            <w:r w:rsidRPr="00FE4C05">
              <w:rPr>
                <w:bCs/>
                <w:szCs w:val="24"/>
                <w:lang w:val="en-GB"/>
              </w:rPr>
              <w:t>The system must include a web proxy (transparent and Explicit) functionality for HTTP and HTTPS traffic.</w:t>
            </w:r>
          </w:p>
          <w:p w14:paraId="5C3C9C80" w14:textId="77777777" w:rsidR="00285B1B" w:rsidRPr="00FE4C05" w:rsidRDefault="00285B1B" w:rsidP="009C72F0">
            <w:pPr>
              <w:spacing w:after="0"/>
              <w:rPr>
                <w:bCs/>
                <w:szCs w:val="24"/>
                <w:lang w:val="en-GB"/>
              </w:rPr>
            </w:pPr>
            <w:r w:rsidRPr="00FE4C05">
              <w:rPr>
                <w:bCs/>
                <w:szCs w:val="24"/>
                <w:lang w:val="en-GB"/>
              </w:rPr>
              <w:t>The system must include Layer 3-4 object-based Firewall, including session helpers and ALGs.</w:t>
            </w:r>
          </w:p>
          <w:p w14:paraId="1C4CCC52" w14:textId="77777777" w:rsidR="00285B1B" w:rsidRPr="00FE4C05" w:rsidRDefault="00285B1B" w:rsidP="009C72F0">
            <w:pPr>
              <w:spacing w:after="0"/>
              <w:rPr>
                <w:bCs/>
                <w:szCs w:val="24"/>
                <w:lang w:val="en-GB"/>
              </w:rPr>
            </w:pPr>
            <w:r w:rsidRPr="00FE4C05">
              <w:rPr>
                <w:bCs/>
                <w:szCs w:val="24"/>
                <w:lang w:val="en-GB"/>
              </w:rPr>
              <w:t>The system must include all standard VPN functionalities, including IPsec, L2TP over IPsec and PPTP.</w:t>
            </w:r>
          </w:p>
          <w:p w14:paraId="494715E5" w14:textId="77777777" w:rsidR="00285B1B" w:rsidRPr="00FE4C05" w:rsidRDefault="00285B1B" w:rsidP="009C72F0">
            <w:pPr>
              <w:spacing w:after="0"/>
              <w:rPr>
                <w:bCs/>
                <w:szCs w:val="24"/>
                <w:lang w:val="en-GB"/>
              </w:rPr>
            </w:pPr>
          </w:p>
          <w:p w14:paraId="471FBD32" w14:textId="77777777" w:rsidR="00285B1B" w:rsidRPr="00FE4C05" w:rsidRDefault="00285B1B" w:rsidP="009C72F0">
            <w:pPr>
              <w:spacing w:after="0"/>
              <w:rPr>
                <w:bCs/>
                <w:szCs w:val="24"/>
                <w:lang w:val="en-GB"/>
              </w:rPr>
            </w:pPr>
            <w:r w:rsidRPr="00FE4C05">
              <w:rPr>
                <w:bCs/>
                <w:szCs w:val="24"/>
                <w:lang w:val="en-GB"/>
              </w:rPr>
              <w:t>The system must include SSL VPN access with customizable web portal, bookmarks manager and single sign-on for back-end web apps.</w:t>
            </w:r>
          </w:p>
          <w:p w14:paraId="27A9FA30" w14:textId="77777777" w:rsidR="00285B1B" w:rsidRPr="00FE4C05" w:rsidRDefault="00285B1B" w:rsidP="009C72F0">
            <w:pPr>
              <w:spacing w:after="0"/>
              <w:rPr>
                <w:bCs/>
                <w:szCs w:val="24"/>
                <w:lang w:val="en-GB"/>
              </w:rPr>
            </w:pPr>
            <w:r w:rsidRPr="00FE4C05">
              <w:rPr>
                <w:bCs/>
                <w:szCs w:val="24"/>
                <w:lang w:val="en-GB"/>
              </w:rPr>
              <w:t>The system must include integrated token server for dual-factor authentication, mandating MFA using 8-digit one-time password (OTP) for remote connectivity, supporting management and provisioning of at least 500 users through the integrated GUI.</w:t>
            </w:r>
          </w:p>
          <w:p w14:paraId="3EEFC0CE" w14:textId="77777777" w:rsidR="00285B1B" w:rsidRPr="00FE4C05" w:rsidRDefault="00285B1B" w:rsidP="009C72F0">
            <w:pPr>
              <w:spacing w:after="0"/>
              <w:rPr>
                <w:bCs/>
                <w:szCs w:val="24"/>
                <w:lang w:val="en-GB"/>
              </w:rPr>
            </w:pPr>
          </w:p>
          <w:p w14:paraId="0EC46F9D" w14:textId="77777777" w:rsidR="00285B1B" w:rsidRPr="00FE4C05" w:rsidRDefault="00285B1B" w:rsidP="009C72F0">
            <w:pPr>
              <w:spacing w:after="0"/>
              <w:rPr>
                <w:bCs/>
                <w:szCs w:val="24"/>
                <w:lang w:val="en-GB"/>
              </w:rPr>
            </w:pPr>
            <w:r w:rsidRPr="00FE4C05">
              <w:rPr>
                <w:bCs/>
                <w:szCs w:val="24"/>
                <w:lang w:val="en-GB"/>
              </w:rPr>
              <w:t xml:space="preserve">The system must include a mobile device perpetual software license and functionality for generation of one-time password tokens for at least 25 users connecting remotely over VPN, as well as for local firewall authentication. This offered mobile OTP generation software must operate under the iOS, </w:t>
            </w:r>
            <w:proofErr w:type="gramStart"/>
            <w:r w:rsidRPr="00FE4C05">
              <w:rPr>
                <w:bCs/>
                <w:szCs w:val="24"/>
                <w:lang w:val="en-GB"/>
              </w:rPr>
              <w:t>Android</w:t>
            </w:r>
            <w:proofErr w:type="gramEnd"/>
            <w:r w:rsidRPr="00FE4C05">
              <w:rPr>
                <w:bCs/>
                <w:szCs w:val="24"/>
                <w:lang w:val="en-GB"/>
              </w:rPr>
              <w:t xml:space="preserve"> and Windows Phone platform mobile devices.</w:t>
            </w:r>
          </w:p>
          <w:p w14:paraId="20FA862C" w14:textId="77777777" w:rsidR="00285B1B" w:rsidRPr="00FE4C05" w:rsidRDefault="00285B1B" w:rsidP="009C72F0">
            <w:pPr>
              <w:spacing w:after="0"/>
              <w:rPr>
                <w:bCs/>
                <w:szCs w:val="24"/>
                <w:lang w:val="en-GB"/>
              </w:rPr>
            </w:pPr>
            <w:r w:rsidRPr="00FE4C05">
              <w:rPr>
                <w:bCs/>
                <w:szCs w:val="24"/>
                <w:lang w:val="en-GB"/>
              </w:rPr>
              <w:lastRenderedPageBreak/>
              <w:t>The system must include Intrusion Prevention System with signatures rated by category and risk.</w:t>
            </w:r>
          </w:p>
          <w:p w14:paraId="45F9F8F0" w14:textId="77777777" w:rsidR="00285B1B" w:rsidRPr="00FE4C05" w:rsidRDefault="00285B1B" w:rsidP="009C72F0">
            <w:pPr>
              <w:spacing w:after="0"/>
              <w:rPr>
                <w:bCs/>
                <w:szCs w:val="24"/>
                <w:lang w:val="en-GB"/>
              </w:rPr>
            </w:pPr>
          </w:p>
          <w:p w14:paraId="21CFD672" w14:textId="77777777" w:rsidR="00285B1B" w:rsidRPr="00FE4C05" w:rsidRDefault="00285B1B" w:rsidP="009C72F0">
            <w:pPr>
              <w:spacing w:after="0"/>
              <w:rPr>
                <w:bCs/>
                <w:szCs w:val="24"/>
                <w:lang w:val="en-GB"/>
              </w:rPr>
            </w:pPr>
            <w:r w:rsidRPr="00FE4C05">
              <w:rPr>
                <w:bCs/>
                <w:szCs w:val="24"/>
                <w:lang w:val="en-GB"/>
              </w:rPr>
              <w:t xml:space="preserve">The system must include Application Control functionality with all common applications pre-defined (like Botnet, Collaboration, Email, File Sharing, Games, Network Services, P2P, proxy services, Remote access, </w:t>
            </w:r>
            <w:proofErr w:type="gramStart"/>
            <w:r w:rsidRPr="00FE4C05">
              <w:rPr>
                <w:bCs/>
                <w:szCs w:val="24"/>
                <w:lang w:val="en-GB"/>
              </w:rPr>
              <w:t>Social Media</w:t>
            </w:r>
            <w:proofErr w:type="gramEnd"/>
            <w:r w:rsidRPr="00FE4C05">
              <w:rPr>
                <w:bCs/>
                <w:szCs w:val="24"/>
                <w:lang w:val="en-GB"/>
              </w:rPr>
              <w:t>, Storage, Video/Audio and VoIP and others); support for special types of apps like SPDY, SSH and custom app signatures.</w:t>
            </w:r>
          </w:p>
          <w:p w14:paraId="3D62A34A" w14:textId="77777777" w:rsidR="00285B1B" w:rsidRPr="00FE4C05" w:rsidRDefault="00285B1B" w:rsidP="009C72F0">
            <w:pPr>
              <w:spacing w:after="0"/>
              <w:rPr>
                <w:bCs/>
                <w:szCs w:val="24"/>
                <w:lang w:val="en-GB"/>
              </w:rPr>
            </w:pPr>
            <w:r w:rsidRPr="00FE4C05">
              <w:rPr>
                <w:bCs/>
                <w:szCs w:val="24"/>
                <w:lang w:val="en-GB"/>
              </w:rPr>
              <w:t xml:space="preserve">The system must include Anti-malware protection with IP Reputation, Antivirus for the following protocols: HTTP/HTTPS, SMTP/SMTPS, POP3/POP3S, IMAP/IMAPS, MAPI, FTP, SFTP, SMB, NNTP; Heuristics analysis, file submission and </w:t>
            </w:r>
            <w:proofErr w:type="gramStart"/>
            <w:r w:rsidRPr="00FE4C05">
              <w:rPr>
                <w:bCs/>
                <w:szCs w:val="24"/>
                <w:lang w:val="en-GB"/>
              </w:rPr>
              <w:t>on-premise</w:t>
            </w:r>
            <w:proofErr w:type="gramEnd"/>
            <w:r w:rsidRPr="00FE4C05">
              <w:rPr>
                <w:bCs/>
                <w:szCs w:val="24"/>
                <w:lang w:val="en-GB"/>
              </w:rPr>
              <w:t xml:space="preserve"> as well as cloud-based sandbox integration functionality. The included sandbox functionality must be fully compliant with the MITRE ATT&amp;CK reporting.</w:t>
            </w:r>
          </w:p>
          <w:p w14:paraId="0C1F197D" w14:textId="77777777" w:rsidR="00285B1B" w:rsidRPr="00FE4C05" w:rsidRDefault="00285B1B" w:rsidP="009C72F0">
            <w:pPr>
              <w:spacing w:after="0"/>
              <w:rPr>
                <w:bCs/>
                <w:szCs w:val="24"/>
                <w:lang w:val="en-GB"/>
              </w:rPr>
            </w:pPr>
            <w:r w:rsidRPr="00FE4C05">
              <w:rPr>
                <w:bCs/>
                <w:szCs w:val="24"/>
                <w:lang w:val="en-GB"/>
              </w:rPr>
              <w:t xml:space="preserve">The system must include web filtering, including URL based filter categories with regular expressions or wildcards pattern </w:t>
            </w:r>
            <w:proofErr w:type="gramStart"/>
            <w:r w:rsidRPr="00FE4C05">
              <w:rPr>
                <w:bCs/>
                <w:szCs w:val="24"/>
                <w:lang w:val="en-GB"/>
              </w:rPr>
              <w:t>matching;</w:t>
            </w:r>
            <w:proofErr w:type="gramEnd"/>
            <w:r w:rsidRPr="00FE4C05">
              <w:rPr>
                <w:bCs/>
                <w:szCs w:val="24"/>
                <w:lang w:val="en-GB"/>
              </w:rPr>
              <w:t xml:space="preserve"> </w:t>
            </w:r>
          </w:p>
          <w:p w14:paraId="20218E74" w14:textId="77777777" w:rsidR="00285B1B" w:rsidRPr="00FE4C05" w:rsidRDefault="00285B1B" w:rsidP="009C72F0">
            <w:pPr>
              <w:spacing w:after="0"/>
              <w:rPr>
                <w:bCs/>
                <w:szCs w:val="24"/>
                <w:lang w:val="en-GB"/>
              </w:rPr>
            </w:pPr>
          </w:p>
          <w:p w14:paraId="4262BAE7" w14:textId="77777777" w:rsidR="00285B1B" w:rsidRPr="00FE4C05" w:rsidRDefault="00285B1B" w:rsidP="009C72F0">
            <w:pPr>
              <w:spacing w:after="0"/>
              <w:rPr>
                <w:bCs/>
                <w:szCs w:val="24"/>
                <w:lang w:val="en-GB"/>
              </w:rPr>
            </w:pPr>
            <w:r w:rsidRPr="00FE4C05">
              <w:rPr>
                <w:bCs/>
                <w:szCs w:val="24"/>
                <w:lang w:val="en-GB"/>
              </w:rPr>
              <w:t>The system must include web content matching, video filtering based on YouTube categories or channel ID, DNS filter with DNS rating service, DNS safe search and category-based DNS domain filter.</w:t>
            </w:r>
          </w:p>
          <w:p w14:paraId="60A903B0" w14:textId="77777777" w:rsidR="00285B1B" w:rsidRPr="00FE4C05" w:rsidRDefault="00285B1B" w:rsidP="009C72F0">
            <w:pPr>
              <w:spacing w:after="0"/>
              <w:rPr>
                <w:bCs/>
                <w:szCs w:val="24"/>
                <w:lang w:val="en-GB"/>
              </w:rPr>
            </w:pPr>
            <w:r w:rsidRPr="00FE4C05">
              <w:rPr>
                <w:bCs/>
                <w:szCs w:val="24"/>
                <w:lang w:val="en-GB"/>
              </w:rPr>
              <w:t>The Intrusion Prevention system must include botnet C&amp;C domain blocking functionality.</w:t>
            </w:r>
          </w:p>
          <w:p w14:paraId="4EFF53A0" w14:textId="77777777" w:rsidR="00285B1B" w:rsidRPr="00FE4C05" w:rsidRDefault="00285B1B" w:rsidP="009C72F0">
            <w:pPr>
              <w:spacing w:after="0"/>
              <w:rPr>
                <w:bCs/>
                <w:szCs w:val="24"/>
                <w:lang w:val="en-GB"/>
              </w:rPr>
            </w:pPr>
            <w:r w:rsidRPr="00FE4C05">
              <w:rPr>
                <w:bCs/>
                <w:szCs w:val="24"/>
                <w:lang w:val="en-GB"/>
              </w:rPr>
              <w:t>The system must include DLP engine with support for the HTTP-POST/GET, SMTP, POP3, IMAP, MAPI, FTP protocols.</w:t>
            </w:r>
          </w:p>
          <w:p w14:paraId="3437EF0D" w14:textId="77777777" w:rsidR="00285B1B" w:rsidRPr="00FE4C05" w:rsidRDefault="00285B1B" w:rsidP="009C72F0">
            <w:pPr>
              <w:spacing w:after="0"/>
              <w:rPr>
                <w:bCs/>
                <w:szCs w:val="24"/>
                <w:lang w:val="en-GB"/>
              </w:rPr>
            </w:pPr>
            <w:r w:rsidRPr="00FE4C05">
              <w:rPr>
                <w:bCs/>
                <w:szCs w:val="24"/>
                <w:lang w:val="en-GB"/>
              </w:rPr>
              <w:t>The system must include user &amp; device-based policies &amp; inventory, including remote device fingerprinting and active scanning of devices on the network.</w:t>
            </w:r>
          </w:p>
          <w:p w14:paraId="60DA9BF7" w14:textId="77777777" w:rsidR="00285B1B" w:rsidRPr="00FE4C05" w:rsidRDefault="00285B1B" w:rsidP="009C72F0">
            <w:pPr>
              <w:spacing w:after="0"/>
              <w:rPr>
                <w:bCs/>
                <w:szCs w:val="24"/>
                <w:lang w:val="en-GB"/>
              </w:rPr>
            </w:pPr>
            <w:r w:rsidRPr="00FE4C05">
              <w:rPr>
                <w:bCs/>
                <w:szCs w:val="24"/>
                <w:lang w:val="en-GB"/>
              </w:rPr>
              <w:t>The system must include real-time updates for Web Categorization &amp; Antispam (cloud database).</w:t>
            </w:r>
          </w:p>
          <w:p w14:paraId="3D9E2F31" w14:textId="77777777" w:rsidR="00285B1B" w:rsidRPr="00FE4C05" w:rsidRDefault="00285B1B" w:rsidP="009C72F0">
            <w:pPr>
              <w:spacing w:after="0"/>
              <w:rPr>
                <w:bCs/>
                <w:szCs w:val="24"/>
                <w:lang w:val="en-GB"/>
              </w:rPr>
            </w:pPr>
            <w:r w:rsidRPr="00FE4C05">
              <w:rPr>
                <w:bCs/>
                <w:szCs w:val="24"/>
                <w:lang w:val="en-GB"/>
              </w:rPr>
              <w:t>The system must include Push updates for IP Reputation, AV, IPS and Application Control.</w:t>
            </w:r>
          </w:p>
          <w:p w14:paraId="78854A2E" w14:textId="77777777" w:rsidR="00285B1B" w:rsidRPr="00FE4C05" w:rsidRDefault="00285B1B" w:rsidP="009C72F0">
            <w:pPr>
              <w:spacing w:after="0"/>
              <w:rPr>
                <w:bCs/>
                <w:szCs w:val="24"/>
                <w:lang w:val="en-GB"/>
              </w:rPr>
            </w:pPr>
          </w:p>
          <w:p w14:paraId="2C7BCFAE" w14:textId="77777777" w:rsidR="00285B1B" w:rsidRPr="00FE4C05" w:rsidRDefault="00285B1B" w:rsidP="009C72F0">
            <w:pPr>
              <w:spacing w:after="0"/>
              <w:rPr>
                <w:bCs/>
                <w:szCs w:val="24"/>
                <w:lang w:val="en-GB"/>
              </w:rPr>
            </w:pPr>
            <w:r w:rsidRPr="00FE4C05">
              <w:rPr>
                <w:bCs/>
                <w:szCs w:val="24"/>
                <w:lang w:val="en-GB"/>
              </w:rPr>
              <w:t>Virtualization requirements:</w:t>
            </w:r>
          </w:p>
          <w:p w14:paraId="24DB218D"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The system must include virtualization support - segregation of physical device into multiple virtual domains (minimum 10 included with no additional cost); each virtual domain must work independent from the others in Gateway/NAT or Transparent/Bridge like a virtual UTM Firewall.</w:t>
            </w:r>
          </w:p>
          <w:p w14:paraId="05A2E1D0" w14:textId="77777777" w:rsidR="00285B1B" w:rsidRPr="00FE4C05" w:rsidRDefault="00285B1B" w:rsidP="009C72F0">
            <w:pPr>
              <w:spacing w:after="0"/>
              <w:rPr>
                <w:bCs/>
                <w:szCs w:val="24"/>
                <w:lang w:val="en-GB"/>
              </w:rPr>
            </w:pPr>
            <w:r w:rsidRPr="00FE4C05">
              <w:rPr>
                <w:bCs/>
                <w:szCs w:val="24"/>
                <w:lang w:val="en-GB"/>
              </w:rPr>
              <w:t>The system must include functionality to reserve physical and logical resources per virtual domain.</w:t>
            </w:r>
          </w:p>
          <w:p w14:paraId="54BD95E5" w14:textId="77777777" w:rsidR="00285B1B" w:rsidRPr="00FE4C05" w:rsidRDefault="00285B1B" w:rsidP="009C72F0">
            <w:pPr>
              <w:spacing w:after="0"/>
              <w:rPr>
                <w:bCs/>
                <w:szCs w:val="24"/>
                <w:lang w:val="en-GB"/>
              </w:rPr>
            </w:pPr>
            <w:r w:rsidRPr="00FE4C05">
              <w:rPr>
                <w:bCs/>
                <w:szCs w:val="24"/>
                <w:lang w:val="en-GB"/>
              </w:rPr>
              <w:t>The system must include role-based administration &amp; multi-tenancy functionality.</w:t>
            </w:r>
          </w:p>
          <w:p w14:paraId="082C47EA" w14:textId="77777777" w:rsidR="00285B1B" w:rsidRPr="00FE4C05" w:rsidRDefault="00285B1B" w:rsidP="009C72F0">
            <w:pPr>
              <w:spacing w:after="0"/>
              <w:rPr>
                <w:bCs/>
                <w:szCs w:val="24"/>
                <w:lang w:val="en-GB"/>
              </w:rPr>
            </w:pPr>
            <w:r w:rsidRPr="00FE4C05">
              <w:rPr>
                <w:bCs/>
                <w:szCs w:val="24"/>
                <w:lang w:val="en-GB"/>
              </w:rPr>
              <w:t xml:space="preserve">The system must include the following high availability functionality: Active-Passive, Active-Active, virtual clusters), including geographically dispersed HA; </w:t>
            </w:r>
            <w:r w:rsidRPr="00FE4C05">
              <w:rPr>
                <w:bCs/>
                <w:szCs w:val="24"/>
                <w:lang w:val="en-GB"/>
              </w:rPr>
              <w:lastRenderedPageBreak/>
              <w:t>The clustering functionality must provide for device failover in case of link failure, loss of power, SSD drive failure or memory utilization exceeding certain threshold.</w:t>
            </w:r>
          </w:p>
          <w:p w14:paraId="25CF87B1" w14:textId="77777777" w:rsidR="00285B1B" w:rsidRPr="00FE4C05" w:rsidRDefault="00285B1B" w:rsidP="009C72F0">
            <w:pPr>
              <w:spacing w:after="0"/>
              <w:rPr>
                <w:bCs/>
                <w:szCs w:val="24"/>
                <w:lang w:val="en-GB"/>
              </w:rPr>
            </w:pPr>
            <w:r w:rsidRPr="00FE4C05">
              <w:rPr>
                <w:bCs/>
                <w:szCs w:val="24"/>
                <w:lang w:val="en-GB"/>
              </w:rPr>
              <w:t>The system must include integration with Active Directory, LDAP, TACACS+ or RADIUS; The system must include single sign-on with Active Directory and VDI users (Proxy/Firewall authentication).</w:t>
            </w:r>
          </w:p>
          <w:p w14:paraId="2595672C" w14:textId="77777777" w:rsidR="00285B1B" w:rsidRPr="00FE4C05" w:rsidRDefault="00285B1B" w:rsidP="009C72F0">
            <w:pPr>
              <w:spacing w:after="0"/>
              <w:rPr>
                <w:bCs/>
                <w:szCs w:val="24"/>
                <w:lang w:val="en-GB"/>
              </w:rPr>
            </w:pPr>
          </w:p>
          <w:p w14:paraId="6FA3BC9A" w14:textId="77777777" w:rsidR="00285B1B" w:rsidRPr="00FE4C05" w:rsidRDefault="00285B1B" w:rsidP="009C72F0">
            <w:pPr>
              <w:spacing w:after="0"/>
              <w:rPr>
                <w:bCs/>
                <w:szCs w:val="24"/>
                <w:lang w:val="en-GB"/>
              </w:rPr>
            </w:pPr>
            <w:r w:rsidRPr="00FE4C05">
              <w:rPr>
                <w:bCs/>
                <w:szCs w:val="24"/>
                <w:lang w:val="en-GB"/>
              </w:rPr>
              <w:t>All network devices should be redundant and with a redundant power supply</w:t>
            </w:r>
          </w:p>
        </w:tc>
      </w:tr>
      <w:tr w:rsidR="00285B1B" w:rsidRPr="00AC5790" w14:paraId="219582A4" w14:textId="77777777" w:rsidTr="00285B1B">
        <w:trPr>
          <w:trHeight w:val="8540"/>
        </w:trPr>
        <w:tc>
          <w:tcPr>
            <w:tcW w:w="1134" w:type="dxa"/>
          </w:tcPr>
          <w:p w14:paraId="0B266078" w14:textId="77777777" w:rsidR="00285B1B" w:rsidRPr="00FE4C05" w:rsidRDefault="00285B1B" w:rsidP="009C72F0">
            <w:pPr>
              <w:spacing w:after="0"/>
              <w:rPr>
                <w:b/>
                <w:szCs w:val="24"/>
                <w:lang w:val="en-GB"/>
              </w:rPr>
            </w:pPr>
            <w:r w:rsidRPr="00FE4C05">
              <w:rPr>
                <w:b/>
                <w:szCs w:val="24"/>
                <w:lang w:val="en-GB"/>
              </w:rPr>
              <w:lastRenderedPageBreak/>
              <w:t>1.12</w:t>
            </w:r>
          </w:p>
        </w:tc>
        <w:tc>
          <w:tcPr>
            <w:tcW w:w="8075" w:type="dxa"/>
            <w:vAlign w:val="center"/>
          </w:tcPr>
          <w:p w14:paraId="5A4F96A3" w14:textId="77777777" w:rsidR="00285B1B" w:rsidRPr="00FE4C05" w:rsidRDefault="00285B1B" w:rsidP="009C72F0">
            <w:pPr>
              <w:spacing w:after="0"/>
              <w:rPr>
                <w:b/>
                <w:szCs w:val="24"/>
                <w:lang w:val="en-GB"/>
              </w:rPr>
            </w:pPr>
            <w:r w:rsidRPr="00FE4C05">
              <w:rPr>
                <w:b/>
                <w:szCs w:val="24"/>
                <w:lang w:val="en-GB"/>
              </w:rPr>
              <w:t>Server Endpoint Detection and Response (EDR) system Qty. 1</w:t>
            </w:r>
          </w:p>
          <w:p w14:paraId="3A52CA26" w14:textId="77777777" w:rsidR="00285B1B" w:rsidRPr="00FE4C05" w:rsidRDefault="00285B1B" w:rsidP="009C72F0">
            <w:pPr>
              <w:spacing w:after="0"/>
              <w:rPr>
                <w:bCs/>
                <w:szCs w:val="24"/>
                <w:lang w:val="en-GB"/>
              </w:rPr>
            </w:pPr>
          </w:p>
          <w:p w14:paraId="1521F2F7" w14:textId="3854AFD7" w:rsidR="00285B1B" w:rsidRPr="00FE4C05" w:rsidRDefault="00285B1B" w:rsidP="009C72F0">
            <w:pPr>
              <w:spacing w:after="0"/>
              <w:rPr>
                <w:bCs/>
                <w:szCs w:val="24"/>
                <w:lang w:val="en-GB"/>
              </w:rPr>
            </w:pPr>
            <w:r w:rsidRPr="00FE4C05">
              <w:rPr>
                <w:bCs/>
                <w:szCs w:val="24"/>
                <w:lang w:val="en-GB"/>
              </w:rPr>
              <w:t>System for protecting the servers with centralized management solution, for a minimum of 30 virtual servers.</w:t>
            </w:r>
          </w:p>
          <w:p w14:paraId="5272BB6E" w14:textId="77777777" w:rsidR="00285B1B" w:rsidRPr="00FE4C05" w:rsidRDefault="00285B1B" w:rsidP="009C72F0">
            <w:pPr>
              <w:spacing w:after="0"/>
              <w:rPr>
                <w:bCs/>
                <w:szCs w:val="24"/>
                <w:lang w:val="en-GB"/>
              </w:rPr>
            </w:pPr>
          </w:p>
          <w:p w14:paraId="168D52AA" w14:textId="77777777" w:rsidR="00285B1B" w:rsidRPr="00FE4C05" w:rsidRDefault="00285B1B" w:rsidP="009C72F0">
            <w:pPr>
              <w:spacing w:after="0"/>
              <w:rPr>
                <w:bCs/>
                <w:szCs w:val="24"/>
                <w:lang w:val="en-GB"/>
              </w:rPr>
            </w:pPr>
            <w:r w:rsidRPr="00FE4C05">
              <w:rPr>
                <w:bCs/>
                <w:szCs w:val="24"/>
                <w:lang w:val="en-GB"/>
              </w:rPr>
              <w:t>The protection system must have at least the following standard security functionalities:</w:t>
            </w:r>
          </w:p>
          <w:p w14:paraId="46A90638" w14:textId="77777777" w:rsidR="00285B1B" w:rsidRPr="00FE4C05" w:rsidRDefault="00285B1B" w:rsidP="009C72F0">
            <w:pPr>
              <w:spacing w:after="0"/>
              <w:rPr>
                <w:bCs/>
                <w:szCs w:val="24"/>
                <w:lang w:val="en-GB"/>
              </w:rPr>
            </w:pPr>
          </w:p>
          <w:p w14:paraId="5D60709A" w14:textId="77777777" w:rsidR="00285B1B" w:rsidRPr="00FE4C05" w:rsidRDefault="00285B1B" w:rsidP="009C72F0">
            <w:pPr>
              <w:spacing w:after="0"/>
              <w:rPr>
                <w:bCs/>
                <w:szCs w:val="24"/>
                <w:lang w:val="en-GB"/>
              </w:rPr>
            </w:pPr>
            <w:r w:rsidRPr="00FE4C05">
              <w:rPr>
                <w:bCs/>
                <w:szCs w:val="24"/>
                <w:lang w:val="en-GB"/>
              </w:rPr>
              <w:t>Protection against malicious threats, including:</w:t>
            </w:r>
          </w:p>
          <w:p w14:paraId="57CCB11D"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Anti-Ransomware protection,</w:t>
            </w:r>
          </w:p>
          <w:p w14:paraId="62B39853"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Next Generation Antivirus Protection,</w:t>
            </w:r>
          </w:p>
          <w:p w14:paraId="1EE78C7C"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Anti-Bot Protection,</w:t>
            </w:r>
          </w:p>
          <w:p w14:paraId="34052CD7"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Anti-Exploit protection,</w:t>
            </w:r>
          </w:p>
          <w:p w14:paraId="45960BFF"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Anti-viral protection,</w:t>
            </w:r>
          </w:p>
          <w:p w14:paraId="285711F3"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Automated generation of forensic reports</w:t>
            </w:r>
          </w:p>
          <w:p w14:paraId="2F5868BA" w14:textId="19714EBE" w:rsidR="00285B1B" w:rsidRPr="00FE4C05" w:rsidRDefault="00566CD1" w:rsidP="00D530D5">
            <w:pPr>
              <w:pStyle w:val="ListParagraph"/>
              <w:numPr>
                <w:ilvl w:val="0"/>
                <w:numId w:val="190"/>
              </w:numPr>
              <w:suppressAutoHyphens/>
              <w:spacing w:after="0"/>
              <w:rPr>
                <w:bCs/>
                <w:szCs w:val="24"/>
                <w:lang w:val="en-GB"/>
              </w:rPr>
            </w:pPr>
            <w:r w:rsidRPr="00FE4C05">
              <w:rPr>
                <w:bCs/>
                <w:szCs w:val="24"/>
                <w:lang w:val="en-GB"/>
              </w:rPr>
              <w:t>Behavioural</w:t>
            </w:r>
            <w:r w:rsidR="00285B1B" w:rsidRPr="00FE4C05">
              <w:rPr>
                <w:bCs/>
                <w:szCs w:val="24"/>
                <w:lang w:val="en-GB"/>
              </w:rPr>
              <w:t xml:space="preserve"> guard</w:t>
            </w:r>
          </w:p>
          <w:p w14:paraId="6DB66C0D"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Zero-phishing</w:t>
            </w:r>
          </w:p>
          <w:p w14:paraId="0A5C2FAE"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Corporate credential reuse protection</w:t>
            </w:r>
          </w:p>
          <w:p w14:paraId="0D9DCA8E" w14:textId="77777777" w:rsidR="00285B1B" w:rsidRPr="00FE4C05" w:rsidRDefault="00285B1B" w:rsidP="00D530D5">
            <w:pPr>
              <w:pStyle w:val="ListParagraph"/>
              <w:numPr>
                <w:ilvl w:val="0"/>
                <w:numId w:val="190"/>
              </w:numPr>
              <w:suppressAutoHyphens/>
              <w:spacing w:after="0"/>
              <w:rPr>
                <w:bCs/>
                <w:szCs w:val="24"/>
                <w:lang w:val="en-GB"/>
              </w:rPr>
            </w:pPr>
            <w:r w:rsidRPr="00FE4C05">
              <w:rPr>
                <w:bCs/>
                <w:szCs w:val="24"/>
                <w:lang w:val="en-GB"/>
              </w:rPr>
              <w:t xml:space="preserve">Zero-Day protection founded on sandbox </w:t>
            </w:r>
            <w:proofErr w:type="gramStart"/>
            <w:r w:rsidRPr="00FE4C05">
              <w:rPr>
                <w:bCs/>
                <w:szCs w:val="24"/>
                <w:lang w:val="en-GB"/>
              </w:rPr>
              <w:t>emulation</w:t>
            </w:r>
            <w:proofErr w:type="gramEnd"/>
          </w:p>
          <w:p w14:paraId="797060BB" w14:textId="77777777" w:rsidR="00285B1B" w:rsidRPr="00FE4C05" w:rsidRDefault="00285B1B" w:rsidP="009C72F0">
            <w:pPr>
              <w:spacing w:after="0"/>
              <w:rPr>
                <w:bCs/>
                <w:szCs w:val="24"/>
                <w:lang w:val="en-GB"/>
              </w:rPr>
            </w:pPr>
          </w:p>
          <w:p w14:paraId="673BDA25" w14:textId="77777777" w:rsidR="00285B1B" w:rsidRPr="00FE4C05" w:rsidRDefault="00285B1B" w:rsidP="009C72F0">
            <w:pPr>
              <w:spacing w:after="0"/>
              <w:rPr>
                <w:bCs/>
                <w:szCs w:val="24"/>
                <w:lang w:val="en-GB"/>
              </w:rPr>
            </w:pPr>
            <w:r w:rsidRPr="00FE4C05">
              <w:rPr>
                <w:bCs/>
                <w:szCs w:val="24"/>
                <w:lang w:val="en-GB"/>
              </w:rPr>
              <w:t>Protection of access control, including:</w:t>
            </w:r>
          </w:p>
          <w:p w14:paraId="7E2CB326" w14:textId="77777777" w:rsidR="00285B1B" w:rsidRPr="00FE4C05" w:rsidRDefault="00285B1B" w:rsidP="009C72F0">
            <w:pPr>
              <w:spacing w:after="0"/>
              <w:rPr>
                <w:bCs/>
                <w:szCs w:val="24"/>
                <w:lang w:val="en-GB"/>
              </w:rPr>
            </w:pPr>
          </w:p>
          <w:p w14:paraId="13E1C6B9" w14:textId="77777777" w:rsidR="00285B1B" w:rsidRPr="00FE4C05" w:rsidRDefault="00285B1B" w:rsidP="00D530D5">
            <w:pPr>
              <w:pStyle w:val="ListParagraph"/>
              <w:numPr>
                <w:ilvl w:val="0"/>
                <w:numId w:val="192"/>
              </w:numPr>
              <w:suppressAutoHyphens/>
              <w:spacing w:after="0"/>
              <w:rPr>
                <w:bCs/>
                <w:szCs w:val="24"/>
                <w:lang w:val="en-GB"/>
              </w:rPr>
            </w:pPr>
            <w:r w:rsidRPr="00FE4C05">
              <w:rPr>
                <w:bCs/>
                <w:szCs w:val="24"/>
                <w:lang w:val="en-GB"/>
              </w:rPr>
              <w:t>Endpoint Firewall</w:t>
            </w:r>
          </w:p>
          <w:p w14:paraId="57915BE1" w14:textId="77777777" w:rsidR="00285B1B" w:rsidRPr="00FE4C05" w:rsidRDefault="00285B1B" w:rsidP="00D530D5">
            <w:pPr>
              <w:pStyle w:val="ListParagraph"/>
              <w:numPr>
                <w:ilvl w:val="0"/>
                <w:numId w:val="192"/>
              </w:numPr>
              <w:suppressAutoHyphens/>
              <w:spacing w:after="0"/>
              <w:rPr>
                <w:bCs/>
                <w:szCs w:val="24"/>
                <w:lang w:val="en-GB"/>
              </w:rPr>
            </w:pPr>
            <w:r w:rsidRPr="00FE4C05">
              <w:rPr>
                <w:bCs/>
                <w:szCs w:val="24"/>
                <w:lang w:val="en-GB"/>
              </w:rPr>
              <w:t>Application Control</w:t>
            </w:r>
          </w:p>
          <w:p w14:paraId="7E7EBB2C" w14:textId="77777777" w:rsidR="00285B1B" w:rsidRPr="00FE4C05" w:rsidRDefault="00285B1B" w:rsidP="009C72F0">
            <w:pPr>
              <w:spacing w:after="0"/>
              <w:rPr>
                <w:bCs/>
                <w:szCs w:val="24"/>
                <w:lang w:val="en-GB"/>
              </w:rPr>
            </w:pPr>
            <w:r w:rsidRPr="00FE4C05">
              <w:rPr>
                <w:bCs/>
                <w:szCs w:val="24"/>
                <w:lang w:val="en-GB"/>
              </w:rPr>
              <w:t>protection from access to malicious web pages and URL links</w:t>
            </w:r>
          </w:p>
          <w:p w14:paraId="5EDF9186" w14:textId="77777777" w:rsidR="00285B1B" w:rsidRPr="00FE4C05" w:rsidRDefault="00285B1B" w:rsidP="00D530D5">
            <w:pPr>
              <w:pStyle w:val="ListParagraph"/>
              <w:numPr>
                <w:ilvl w:val="0"/>
                <w:numId w:val="193"/>
              </w:numPr>
              <w:suppressAutoHyphens/>
              <w:spacing w:after="0"/>
              <w:rPr>
                <w:bCs/>
                <w:szCs w:val="24"/>
                <w:lang w:val="en-GB"/>
              </w:rPr>
            </w:pPr>
            <w:r w:rsidRPr="00FE4C05">
              <w:rPr>
                <w:bCs/>
                <w:szCs w:val="24"/>
                <w:lang w:val="en-GB"/>
              </w:rPr>
              <w:t>Port Protection</w:t>
            </w:r>
          </w:p>
          <w:p w14:paraId="41DEBC56" w14:textId="77777777" w:rsidR="00285B1B" w:rsidRPr="00FE4C05" w:rsidRDefault="00285B1B" w:rsidP="00D530D5">
            <w:pPr>
              <w:pStyle w:val="ListParagraph"/>
              <w:numPr>
                <w:ilvl w:val="0"/>
                <w:numId w:val="193"/>
              </w:numPr>
              <w:suppressAutoHyphens/>
              <w:spacing w:after="0"/>
              <w:rPr>
                <w:bCs/>
                <w:szCs w:val="24"/>
                <w:lang w:val="en-GB"/>
              </w:rPr>
            </w:pPr>
            <w:r w:rsidRPr="00FE4C05">
              <w:rPr>
                <w:bCs/>
                <w:szCs w:val="24"/>
                <w:lang w:val="en-GB"/>
              </w:rPr>
              <w:t>Endpoint Compliance</w:t>
            </w:r>
          </w:p>
          <w:p w14:paraId="18EC1659" w14:textId="77777777" w:rsidR="00285B1B" w:rsidRPr="00FE4C05" w:rsidRDefault="00285B1B" w:rsidP="00D530D5">
            <w:pPr>
              <w:pStyle w:val="ListParagraph"/>
              <w:numPr>
                <w:ilvl w:val="0"/>
                <w:numId w:val="193"/>
              </w:numPr>
              <w:suppressAutoHyphens/>
              <w:spacing w:after="0"/>
              <w:rPr>
                <w:bCs/>
                <w:szCs w:val="24"/>
                <w:lang w:val="en-GB"/>
              </w:rPr>
            </w:pPr>
            <w:r w:rsidRPr="00FE4C05">
              <w:rPr>
                <w:bCs/>
                <w:szCs w:val="24"/>
                <w:lang w:val="en-GB"/>
              </w:rPr>
              <w:t xml:space="preserve">Full disk encryption </w:t>
            </w:r>
          </w:p>
          <w:p w14:paraId="34220569" w14:textId="77777777" w:rsidR="00285B1B" w:rsidRPr="00FE4C05" w:rsidRDefault="00285B1B" w:rsidP="00D530D5">
            <w:pPr>
              <w:pStyle w:val="ListParagraph"/>
              <w:numPr>
                <w:ilvl w:val="0"/>
                <w:numId w:val="193"/>
              </w:numPr>
              <w:suppressAutoHyphens/>
              <w:spacing w:after="0"/>
              <w:rPr>
                <w:bCs/>
                <w:szCs w:val="24"/>
                <w:lang w:val="en-GB"/>
              </w:rPr>
            </w:pPr>
            <w:r w:rsidRPr="00FE4C05">
              <w:rPr>
                <w:bCs/>
                <w:szCs w:val="24"/>
                <w:lang w:val="en-GB"/>
              </w:rPr>
              <w:t>Media Encryption</w:t>
            </w:r>
          </w:p>
          <w:p w14:paraId="18366603" w14:textId="77777777" w:rsidR="00285B1B" w:rsidRPr="00FE4C05" w:rsidRDefault="00285B1B" w:rsidP="00D530D5">
            <w:pPr>
              <w:pStyle w:val="ListParagraph"/>
              <w:numPr>
                <w:ilvl w:val="0"/>
                <w:numId w:val="193"/>
              </w:numPr>
              <w:suppressAutoHyphens/>
              <w:spacing w:after="0"/>
              <w:rPr>
                <w:bCs/>
                <w:szCs w:val="24"/>
                <w:lang w:val="en-GB"/>
              </w:rPr>
            </w:pPr>
            <w:r w:rsidRPr="00FE4C05">
              <w:rPr>
                <w:bCs/>
                <w:szCs w:val="24"/>
                <w:lang w:val="en-GB"/>
              </w:rPr>
              <w:t xml:space="preserve">Remote Access VPN </w:t>
            </w:r>
          </w:p>
          <w:p w14:paraId="79F444E6" w14:textId="77777777" w:rsidR="00285B1B" w:rsidRPr="00FE4C05" w:rsidRDefault="00285B1B" w:rsidP="009C72F0">
            <w:pPr>
              <w:spacing w:after="0"/>
              <w:rPr>
                <w:b/>
                <w:szCs w:val="24"/>
                <w:lang w:val="en-GB"/>
              </w:rPr>
            </w:pPr>
          </w:p>
          <w:p w14:paraId="2B041428" w14:textId="00603496" w:rsidR="00285B1B" w:rsidRPr="00FE4C05" w:rsidRDefault="00285B1B" w:rsidP="009C72F0">
            <w:pPr>
              <w:spacing w:after="0"/>
              <w:rPr>
                <w:bCs/>
                <w:szCs w:val="24"/>
                <w:lang w:val="en-GB"/>
              </w:rPr>
            </w:pPr>
            <w:r w:rsidRPr="00FE4C05">
              <w:rPr>
                <w:bCs/>
                <w:szCs w:val="24"/>
                <w:lang w:val="en-GB"/>
              </w:rPr>
              <w:t>The requested solution must have the ability to adaptively detect and block malware resulting from mutations based on their real-time behaviour.</w:t>
            </w:r>
          </w:p>
          <w:p w14:paraId="56860BE3" w14:textId="77777777" w:rsidR="00285B1B" w:rsidRPr="00FE4C05" w:rsidRDefault="00285B1B" w:rsidP="009C72F0">
            <w:pPr>
              <w:spacing w:after="0"/>
              <w:rPr>
                <w:bCs/>
                <w:szCs w:val="24"/>
                <w:lang w:val="en-GB"/>
              </w:rPr>
            </w:pPr>
          </w:p>
          <w:p w14:paraId="6F82D6A2" w14:textId="77777777" w:rsidR="00285B1B" w:rsidRPr="00FE4C05" w:rsidRDefault="00285B1B" w:rsidP="009C72F0">
            <w:pPr>
              <w:spacing w:after="0"/>
              <w:rPr>
                <w:bCs/>
                <w:szCs w:val="24"/>
                <w:lang w:val="en-GB"/>
              </w:rPr>
            </w:pPr>
            <w:r w:rsidRPr="00FE4C05">
              <w:rPr>
                <w:bCs/>
                <w:szCs w:val="24"/>
                <w:lang w:val="en-GB"/>
              </w:rPr>
              <w:t>Next Generation Antiviral Protection must be based on machine learning mechanism.</w:t>
            </w:r>
          </w:p>
          <w:p w14:paraId="0970F685" w14:textId="77777777" w:rsidR="00285B1B" w:rsidRPr="00FE4C05" w:rsidRDefault="00285B1B" w:rsidP="009C72F0">
            <w:pPr>
              <w:spacing w:after="0"/>
              <w:rPr>
                <w:bCs/>
                <w:szCs w:val="24"/>
                <w:lang w:val="en-GB"/>
              </w:rPr>
            </w:pPr>
          </w:p>
          <w:p w14:paraId="4DAE14EC" w14:textId="77777777" w:rsidR="00285B1B" w:rsidRPr="00FE4C05" w:rsidRDefault="00285B1B" w:rsidP="009C72F0">
            <w:pPr>
              <w:spacing w:after="0"/>
              <w:rPr>
                <w:bCs/>
                <w:szCs w:val="24"/>
                <w:lang w:val="en-GB"/>
              </w:rPr>
            </w:pPr>
            <w:r w:rsidRPr="00FE4C05">
              <w:rPr>
                <w:bCs/>
                <w:szCs w:val="24"/>
                <w:lang w:val="en-GB"/>
              </w:rPr>
              <w:t>The requested solution must have an Anti-Exploit protection, with the possibility of detecting suspicious processes in memory.</w:t>
            </w:r>
          </w:p>
          <w:p w14:paraId="2A657BF3" w14:textId="0B952747" w:rsidR="00285B1B" w:rsidRPr="00FE4C05" w:rsidRDefault="00285B1B" w:rsidP="009C72F0">
            <w:pPr>
              <w:spacing w:after="0"/>
              <w:rPr>
                <w:bCs/>
                <w:szCs w:val="24"/>
                <w:lang w:val="en-GB"/>
              </w:rPr>
            </w:pPr>
            <w:r w:rsidRPr="00FE4C05">
              <w:rPr>
                <w:bCs/>
                <w:szCs w:val="24"/>
                <w:lang w:val="en-GB"/>
              </w:rPr>
              <w:t>The built-in under the framework Anti-Exploit must be based on at least the following technologies:</w:t>
            </w:r>
          </w:p>
          <w:p w14:paraId="1250E76E" w14:textId="77777777" w:rsidR="00285B1B" w:rsidRPr="00FE4C05" w:rsidRDefault="00285B1B" w:rsidP="009C72F0">
            <w:pPr>
              <w:spacing w:after="0"/>
              <w:rPr>
                <w:bCs/>
                <w:szCs w:val="24"/>
                <w:lang w:val="en-GB"/>
              </w:rPr>
            </w:pPr>
          </w:p>
          <w:p w14:paraId="44CB2BBF" w14:textId="77777777" w:rsidR="00285B1B" w:rsidRPr="00FE4C05" w:rsidRDefault="00285B1B" w:rsidP="00D530D5">
            <w:pPr>
              <w:pStyle w:val="ListParagraph"/>
              <w:numPr>
                <w:ilvl w:val="0"/>
                <w:numId w:val="194"/>
              </w:numPr>
              <w:suppressAutoHyphens/>
              <w:spacing w:after="0"/>
              <w:rPr>
                <w:bCs/>
                <w:szCs w:val="24"/>
                <w:lang w:val="en-GB"/>
              </w:rPr>
            </w:pPr>
            <w:r w:rsidRPr="00FE4C05">
              <w:rPr>
                <w:bCs/>
                <w:szCs w:val="24"/>
                <w:lang w:val="en-GB"/>
              </w:rPr>
              <w:lastRenderedPageBreak/>
              <w:t>Import – Export Address Table Parsing</w:t>
            </w:r>
          </w:p>
          <w:p w14:paraId="415A0E7C" w14:textId="77777777" w:rsidR="00285B1B" w:rsidRPr="00FE4C05" w:rsidRDefault="00285B1B" w:rsidP="00D530D5">
            <w:pPr>
              <w:pStyle w:val="ListParagraph"/>
              <w:numPr>
                <w:ilvl w:val="0"/>
                <w:numId w:val="194"/>
              </w:numPr>
              <w:suppressAutoHyphens/>
              <w:spacing w:after="0"/>
              <w:rPr>
                <w:bCs/>
                <w:szCs w:val="24"/>
                <w:lang w:val="en-GB"/>
              </w:rPr>
            </w:pPr>
            <w:r w:rsidRPr="00FE4C05">
              <w:rPr>
                <w:bCs/>
                <w:szCs w:val="24"/>
                <w:lang w:val="en-GB"/>
              </w:rPr>
              <w:t>Return Oriented Programming</w:t>
            </w:r>
          </w:p>
          <w:p w14:paraId="36EA8B8E" w14:textId="77777777" w:rsidR="00285B1B" w:rsidRPr="00FE4C05" w:rsidRDefault="00285B1B" w:rsidP="00D530D5">
            <w:pPr>
              <w:pStyle w:val="ListParagraph"/>
              <w:numPr>
                <w:ilvl w:val="0"/>
                <w:numId w:val="194"/>
              </w:numPr>
              <w:suppressAutoHyphens/>
              <w:spacing w:after="0"/>
              <w:rPr>
                <w:bCs/>
                <w:szCs w:val="24"/>
                <w:lang w:val="en-GB"/>
              </w:rPr>
            </w:pPr>
            <w:r w:rsidRPr="00FE4C05">
              <w:rPr>
                <w:bCs/>
                <w:szCs w:val="24"/>
                <w:lang w:val="en-GB"/>
              </w:rPr>
              <w:t>Stack Pivoting</w:t>
            </w:r>
          </w:p>
          <w:p w14:paraId="5EF89EA0" w14:textId="77777777" w:rsidR="00285B1B" w:rsidRPr="00FE4C05" w:rsidRDefault="00285B1B" w:rsidP="00D530D5">
            <w:pPr>
              <w:pStyle w:val="ListParagraph"/>
              <w:numPr>
                <w:ilvl w:val="0"/>
                <w:numId w:val="194"/>
              </w:numPr>
              <w:suppressAutoHyphens/>
              <w:spacing w:after="0"/>
              <w:rPr>
                <w:bCs/>
                <w:szCs w:val="24"/>
                <w:lang w:val="en-GB"/>
              </w:rPr>
            </w:pPr>
            <w:r w:rsidRPr="00FE4C05">
              <w:rPr>
                <w:bCs/>
                <w:szCs w:val="24"/>
                <w:lang w:val="en-GB"/>
              </w:rPr>
              <w:t>VB Script God Mode</w:t>
            </w:r>
          </w:p>
          <w:p w14:paraId="02EA4A61" w14:textId="77777777" w:rsidR="00285B1B" w:rsidRPr="00FE4C05" w:rsidRDefault="00285B1B" w:rsidP="009C72F0">
            <w:pPr>
              <w:spacing w:after="0"/>
              <w:rPr>
                <w:bCs/>
                <w:szCs w:val="24"/>
                <w:lang w:val="en-GB"/>
              </w:rPr>
            </w:pPr>
          </w:p>
          <w:p w14:paraId="71340E14" w14:textId="77777777" w:rsidR="00285B1B" w:rsidRPr="00FE4C05" w:rsidRDefault="00285B1B" w:rsidP="009C72F0">
            <w:pPr>
              <w:spacing w:after="0"/>
              <w:rPr>
                <w:bCs/>
                <w:szCs w:val="24"/>
                <w:lang w:val="en-GB"/>
              </w:rPr>
            </w:pPr>
            <w:r w:rsidRPr="00FE4C05">
              <w:rPr>
                <w:bCs/>
                <w:szCs w:val="24"/>
                <w:lang w:val="en-GB"/>
              </w:rPr>
              <w:t>The requested solution must have a zero-day malware protection based on the principle of sending files to a secure cloud sandbox for detailed verification.</w:t>
            </w:r>
          </w:p>
          <w:p w14:paraId="750D00DD" w14:textId="77777777" w:rsidR="00285B1B" w:rsidRPr="00FE4C05" w:rsidRDefault="00285B1B" w:rsidP="009C72F0">
            <w:pPr>
              <w:spacing w:after="0"/>
              <w:rPr>
                <w:bCs/>
                <w:szCs w:val="24"/>
                <w:lang w:val="en-GB"/>
              </w:rPr>
            </w:pPr>
          </w:p>
          <w:p w14:paraId="0EE708E9" w14:textId="77777777" w:rsidR="00285B1B" w:rsidRPr="00FE4C05" w:rsidRDefault="00285B1B" w:rsidP="009C72F0">
            <w:pPr>
              <w:spacing w:after="0"/>
              <w:rPr>
                <w:bCs/>
                <w:szCs w:val="24"/>
                <w:lang w:val="en-GB"/>
              </w:rPr>
            </w:pPr>
            <w:r w:rsidRPr="00FE4C05">
              <w:rPr>
                <w:bCs/>
                <w:szCs w:val="24"/>
                <w:lang w:val="en-GB"/>
              </w:rPr>
              <w:t xml:space="preserve">The requested solution must have the possibility to automatically remove active elements of documents such as PDF JavaScript Actions, Macros, and Embedded objects in which there may be malicious content and delivery of filtered documents without waiting for the completion of sandbox file checking. </w:t>
            </w:r>
          </w:p>
          <w:p w14:paraId="504D9867" w14:textId="77777777" w:rsidR="00285B1B" w:rsidRPr="00FE4C05" w:rsidRDefault="00285B1B" w:rsidP="009C72F0">
            <w:pPr>
              <w:spacing w:after="0"/>
              <w:rPr>
                <w:bCs/>
                <w:szCs w:val="24"/>
                <w:lang w:val="en-GB"/>
              </w:rPr>
            </w:pPr>
            <w:r w:rsidRPr="00FE4C05">
              <w:rPr>
                <w:bCs/>
                <w:szCs w:val="24"/>
                <w:lang w:val="en-GB"/>
              </w:rPr>
              <w:t xml:space="preserve">User must have the option to download the original file after completing the </w:t>
            </w:r>
            <w:proofErr w:type="gramStart"/>
            <w:r w:rsidRPr="00FE4C05">
              <w:rPr>
                <w:bCs/>
                <w:szCs w:val="24"/>
                <w:lang w:val="en-GB"/>
              </w:rPr>
              <w:t>sand-box</w:t>
            </w:r>
            <w:proofErr w:type="gramEnd"/>
            <w:r w:rsidRPr="00FE4C05">
              <w:rPr>
                <w:bCs/>
                <w:szCs w:val="24"/>
                <w:lang w:val="en-GB"/>
              </w:rPr>
              <w:t xml:space="preserve"> check</w:t>
            </w:r>
          </w:p>
          <w:p w14:paraId="4BDC8561" w14:textId="77777777" w:rsidR="00285B1B" w:rsidRPr="00FE4C05" w:rsidRDefault="00285B1B" w:rsidP="009C72F0">
            <w:pPr>
              <w:spacing w:after="0"/>
              <w:rPr>
                <w:bCs/>
                <w:szCs w:val="24"/>
                <w:lang w:val="en-GB"/>
              </w:rPr>
            </w:pPr>
            <w:r w:rsidRPr="00FE4C05">
              <w:rPr>
                <w:bCs/>
                <w:szCs w:val="24"/>
                <w:lang w:val="en-GB"/>
              </w:rPr>
              <w:t xml:space="preserve">The port protection level must have the opportunity to control content exchanged through USB, </w:t>
            </w:r>
            <w:proofErr w:type="spellStart"/>
            <w:r w:rsidRPr="00FE4C05">
              <w:rPr>
                <w:bCs/>
                <w:szCs w:val="24"/>
                <w:lang w:val="en-GB"/>
              </w:rPr>
              <w:t>WiFi</w:t>
            </w:r>
            <w:proofErr w:type="spellEnd"/>
            <w:r w:rsidRPr="00FE4C05">
              <w:rPr>
                <w:bCs/>
                <w:szCs w:val="24"/>
                <w:lang w:val="en-GB"/>
              </w:rPr>
              <w:t xml:space="preserve">, and Bluetooth ports. </w:t>
            </w:r>
          </w:p>
          <w:p w14:paraId="65F5AB89" w14:textId="1CD88F9E" w:rsidR="00285B1B" w:rsidRPr="00FE4C05" w:rsidRDefault="00285B1B" w:rsidP="009C72F0">
            <w:pPr>
              <w:spacing w:after="0"/>
              <w:rPr>
                <w:bCs/>
                <w:szCs w:val="24"/>
                <w:lang w:val="en-GB"/>
              </w:rPr>
            </w:pPr>
            <w:r w:rsidRPr="00FE4C05">
              <w:rPr>
                <w:bCs/>
                <w:szCs w:val="24"/>
                <w:lang w:val="en-GB"/>
              </w:rPr>
              <w:t xml:space="preserve">The required solution must have an integrated tool for proactively detecting and removing </w:t>
            </w:r>
            <w:r w:rsidR="00FE4C05" w:rsidRPr="00FE4C05">
              <w:rPr>
                <w:bCs/>
                <w:szCs w:val="24"/>
                <w:lang w:val="en-GB"/>
              </w:rPr>
              <w:t>cyber-attacks</w:t>
            </w:r>
            <w:r w:rsidRPr="00FE4C05">
              <w:rPr>
                <w:bCs/>
                <w:szCs w:val="24"/>
                <w:lang w:val="en-GB"/>
              </w:rPr>
              <w:t xml:space="preserve"> (Threat Hunting) based on compromise indicators (IoC). </w:t>
            </w:r>
          </w:p>
          <w:p w14:paraId="1CC283AF" w14:textId="1C386A0E" w:rsidR="00285B1B" w:rsidRPr="00FE4C05" w:rsidRDefault="00285B1B" w:rsidP="009C72F0">
            <w:pPr>
              <w:spacing w:after="0"/>
              <w:rPr>
                <w:bCs/>
                <w:szCs w:val="24"/>
                <w:lang w:val="en-GB"/>
              </w:rPr>
            </w:pPr>
            <w:r w:rsidRPr="00FE4C05">
              <w:rPr>
                <w:bCs/>
                <w:szCs w:val="24"/>
                <w:lang w:val="en-GB"/>
              </w:rPr>
              <w:t>The requested solution must have the compatibility to be installed on servers with at least the most common versions of operating systems.</w:t>
            </w:r>
          </w:p>
          <w:p w14:paraId="6D428D0A" w14:textId="77777777" w:rsidR="00285B1B" w:rsidRPr="00FE4C05" w:rsidRDefault="00285B1B" w:rsidP="009C72F0">
            <w:pPr>
              <w:spacing w:after="0"/>
              <w:rPr>
                <w:bCs/>
                <w:szCs w:val="24"/>
                <w:lang w:val="en-GB"/>
              </w:rPr>
            </w:pPr>
          </w:p>
          <w:p w14:paraId="6147BE4B" w14:textId="77777777" w:rsidR="00285B1B" w:rsidRPr="00FE4C05" w:rsidRDefault="00285B1B" w:rsidP="009C72F0">
            <w:pPr>
              <w:spacing w:after="0"/>
              <w:rPr>
                <w:bCs/>
                <w:szCs w:val="24"/>
                <w:lang w:val="en-GB"/>
              </w:rPr>
            </w:pPr>
          </w:p>
          <w:p w14:paraId="185C1EA9" w14:textId="77777777" w:rsidR="00285B1B" w:rsidRPr="00FE4C05" w:rsidRDefault="00285B1B" w:rsidP="009C72F0">
            <w:pPr>
              <w:spacing w:after="0"/>
              <w:rPr>
                <w:bCs/>
                <w:szCs w:val="24"/>
                <w:lang w:val="en-GB"/>
              </w:rPr>
            </w:pPr>
            <w:r w:rsidRPr="00FE4C05">
              <w:rPr>
                <w:bCs/>
                <w:szCs w:val="24"/>
                <w:lang w:val="en-GB"/>
              </w:rPr>
              <w:t>The requested solution must have the functionality to control the input/output traffic of the servers using the source/destination IP address and the gate.</w:t>
            </w:r>
          </w:p>
          <w:p w14:paraId="211103F3" w14:textId="77777777" w:rsidR="00285B1B" w:rsidRPr="00FE4C05" w:rsidRDefault="00285B1B" w:rsidP="009C72F0">
            <w:pPr>
              <w:spacing w:after="0"/>
              <w:rPr>
                <w:bCs/>
                <w:szCs w:val="24"/>
                <w:lang w:val="en-GB"/>
              </w:rPr>
            </w:pPr>
          </w:p>
          <w:p w14:paraId="24D150DA" w14:textId="77777777" w:rsidR="00285B1B" w:rsidRPr="00FE4C05" w:rsidRDefault="00285B1B" w:rsidP="009C72F0">
            <w:pPr>
              <w:spacing w:after="0"/>
              <w:rPr>
                <w:bCs/>
                <w:szCs w:val="24"/>
                <w:lang w:val="en-GB"/>
              </w:rPr>
            </w:pPr>
            <w:r w:rsidRPr="00FE4C05">
              <w:rPr>
                <w:bCs/>
                <w:szCs w:val="24"/>
                <w:lang w:val="en-GB"/>
              </w:rPr>
              <w:t>A third-party solution must have an automated tool to verify the compliance of endpoint security settings with the centrally defined standards.</w:t>
            </w:r>
          </w:p>
        </w:tc>
      </w:tr>
      <w:tr w:rsidR="00285B1B" w:rsidRPr="0078065D" w14:paraId="1A9DA4D3" w14:textId="77777777" w:rsidTr="00285B1B">
        <w:trPr>
          <w:trHeight w:val="8540"/>
        </w:trPr>
        <w:tc>
          <w:tcPr>
            <w:tcW w:w="1134" w:type="dxa"/>
          </w:tcPr>
          <w:p w14:paraId="7FC18998" w14:textId="77777777" w:rsidR="00285B1B" w:rsidRPr="00FE4C05" w:rsidRDefault="00285B1B" w:rsidP="009C72F0">
            <w:pPr>
              <w:spacing w:after="0"/>
              <w:rPr>
                <w:b/>
                <w:szCs w:val="24"/>
                <w:lang w:val="en-GB"/>
              </w:rPr>
            </w:pPr>
            <w:r w:rsidRPr="00FE4C05">
              <w:rPr>
                <w:b/>
                <w:szCs w:val="24"/>
                <w:lang w:val="en-GB"/>
              </w:rPr>
              <w:lastRenderedPageBreak/>
              <w:t>1.13</w:t>
            </w:r>
          </w:p>
        </w:tc>
        <w:tc>
          <w:tcPr>
            <w:tcW w:w="8075" w:type="dxa"/>
            <w:vAlign w:val="center"/>
          </w:tcPr>
          <w:p w14:paraId="3EC87904" w14:textId="77777777" w:rsidR="00285B1B" w:rsidRPr="00FE4C05" w:rsidRDefault="00285B1B" w:rsidP="009C72F0">
            <w:pPr>
              <w:spacing w:after="0"/>
              <w:rPr>
                <w:b/>
                <w:szCs w:val="24"/>
                <w:lang w:val="en-GB"/>
              </w:rPr>
            </w:pPr>
            <w:r w:rsidRPr="00FE4C05">
              <w:rPr>
                <w:b/>
                <w:szCs w:val="24"/>
                <w:lang w:val="en-GB"/>
              </w:rPr>
              <w:t>HW Installation and configuration</w:t>
            </w:r>
          </w:p>
          <w:p w14:paraId="2BD75E67"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Required hardware management IP addresses and Operating system management IP addresses must be asked in advanced and provided by the Beneficiary.</w:t>
            </w:r>
          </w:p>
          <w:p w14:paraId="004D67FE"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Rack, PDU and Horizontal and Vertical Cable Management installation. Connecting PDU’s to Customs power sockets provided by the Beneficiary.</w:t>
            </w:r>
          </w:p>
          <w:p w14:paraId="349B3532"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Installing TOR switches and OOBM switches in rack.</w:t>
            </w:r>
          </w:p>
          <w:p w14:paraId="4154824D"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Configuring switches according to the Beneficiary instructions.</w:t>
            </w:r>
          </w:p>
          <w:p w14:paraId="6217A29B"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Server installation in rack. Connecting LAN, and OOBM cables.</w:t>
            </w:r>
          </w:p>
          <w:p w14:paraId="3FC5FDF5"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Configuring server management IP addresses.</w:t>
            </w:r>
          </w:p>
          <w:p w14:paraId="29AC7E31"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Backup system integration and configuration.</w:t>
            </w:r>
          </w:p>
          <w:p w14:paraId="5971DDA3" w14:textId="77777777" w:rsidR="00285B1B" w:rsidRPr="00FE4C05" w:rsidRDefault="00285B1B" w:rsidP="00D530D5">
            <w:pPr>
              <w:pStyle w:val="ListParagraph"/>
              <w:numPr>
                <w:ilvl w:val="0"/>
                <w:numId w:val="154"/>
              </w:numPr>
              <w:spacing w:after="0"/>
              <w:ind w:left="490" w:hanging="436"/>
              <w:rPr>
                <w:bCs/>
                <w:szCs w:val="24"/>
                <w:lang w:val="en-GB"/>
              </w:rPr>
            </w:pPr>
            <w:r w:rsidRPr="00FE4C05">
              <w:rPr>
                <w:bCs/>
                <w:szCs w:val="24"/>
                <w:lang w:val="en-GB"/>
              </w:rPr>
              <w:t>It is the Contractor responsibility to provide LLD (Low Level Design) documentation and deliver to Beneficiary in electronic form and in hard copy.</w:t>
            </w:r>
          </w:p>
          <w:p w14:paraId="0050AD21" w14:textId="77777777" w:rsidR="00285B1B" w:rsidRPr="00FE4C05" w:rsidRDefault="00285B1B" w:rsidP="009C72F0">
            <w:pPr>
              <w:spacing w:after="0"/>
              <w:rPr>
                <w:bCs/>
                <w:szCs w:val="24"/>
                <w:lang w:val="en-GB"/>
              </w:rPr>
            </w:pPr>
          </w:p>
          <w:p w14:paraId="320E8895" w14:textId="77777777" w:rsidR="00285B1B" w:rsidRPr="00FE4C05" w:rsidRDefault="00285B1B" w:rsidP="009C72F0">
            <w:pPr>
              <w:spacing w:after="0"/>
              <w:rPr>
                <w:b/>
                <w:szCs w:val="24"/>
                <w:lang w:val="en-GB"/>
              </w:rPr>
            </w:pPr>
            <w:r w:rsidRPr="00FE4C05">
              <w:rPr>
                <w:b/>
                <w:szCs w:val="24"/>
                <w:lang w:val="en-GB"/>
              </w:rPr>
              <w:t>Server virtualization software/platform installation and configuration</w:t>
            </w:r>
          </w:p>
          <w:p w14:paraId="729A7B71" w14:textId="77777777" w:rsidR="00285B1B" w:rsidRPr="00FE4C05" w:rsidRDefault="00285B1B" w:rsidP="00D530D5">
            <w:pPr>
              <w:pStyle w:val="ListParagraph"/>
              <w:numPr>
                <w:ilvl w:val="0"/>
                <w:numId w:val="154"/>
              </w:numPr>
              <w:spacing w:after="0"/>
              <w:ind w:left="490"/>
              <w:rPr>
                <w:bCs/>
                <w:szCs w:val="24"/>
                <w:lang w:val="en-GB"/>
              </w:rPr>
            </w:pPr>
            <w:r w:rsidRPr="00FE4C05">
              <w:rPr>
                <w:bCs/>
                <w:szCs w:val="24"/>
                <w:lang w:val="en-GB"/>
              </w:rPr>
              <w:t>Required IP addresses for all services for Virtualization software/platform must be asked in advanced and provided by the Beneficiary.</w:t>
            </w:r>
          </w:p>
          <w:p w14:paraId="2B7E98EF" w14:textId="77777777" w:rsidR="00285B1B" w:rsidRPr="00FE4C05" w:rsidRDefault="00285B1B" w:rsidP="00D530D5">
            <w:pPr>
              <w:pStyle w:val="ListParagraph"/>
              <w:numPr>
                <w:ilvl w:val="0"/>
                <w:numId w:val="154"/>
              </w:numPr>
              <w:spacing w:after="0"/>
              <w:ind w:left="490"/>
              <w:rPr>
                <w:bCs/>
                <w:szCs w:val="24"/>
                <w:lang w:val="en-GB"/>
              </w:rPr>
            </w:pPr>
            <w:r w:rsidRPr="00FE4C05">
              <w:rPr>
                <w:bCs/>
                <w:szCs w:val="24"/>
                <w:lang w:val="en-GB"/>
              </w:rPr>
              <w:t>It is the Contractor responsibility to install and configure all required and proposed virtualization management components.</w:t>
            </w:r>
          </w:p>
          <w:p w14:paraId="32BDDE78" w14:textId="77777777" w:rsidR="00285B1B" w:rsidRPr="00FE4C05" w:rsidRDefault="00285B1B" w:rsidP="00D530D5">
            <w:pPr>
              <w:pStyle w:val="ListParagraph"/>
              <w:numPr>
                <w:ilvl w:val="0"/>
                <w:numId w:val="155"/>
              </w:numPr>
              <w:spacing w:after="0"/>
              <w:ind w:left="490"/>
              <w:rPr>
                <w:bCs/>
                <w:szCs w:val="24"/>
                <w:lang w:val="en-GB"/>
              </w:rPr>
            </w:pPr>
            <w:r w:rsidRPr="00FE4C05">
              <w:rPr>
                <w:bCs/>
                <w:szCs w:val="24"/>
                <w:lang w:val="en-GB"/>
              </w:rPr>
              <w:t xml:space="preserve">Contractor will install and configure virtualization software on servers (item 1.4 and 1.5) and create virtual machines. All configuration parameters such as allocation of virtual CPUs, RAM, virtual disk space, </w:t>
            </w:r>
            <w:proofErr w:type="spellStart"/>
            <w:r w:rsidRPr="00FE4C05">
              <w:rPr>
                <w:bCs/>
                <w:szCs w:val="24"/>
                <w:lang w:val="en-GB"/>
              </w:rPr>
              <w:t>vNiC</w:t>
            </w:r>
            <w:proofErr w:type="spellEnd"/>
            <w:r w:rsidRPr="00FE4C05">
              <w:rPr>
                <w:bCs/>
                <w:szCs w:val="24"/>
                <w:lang w:val="en-GB"/>
              </w:rPr>
              <w:t xml:space="preserve"> to each virtual machine are subject of proposed software solution design.</w:t>
            </w:r>
          </w:p>
        </w:tc>
      </w:tr>
    </w:tbl>
    <w:p w14:paraId="3B5794EA" w14:textId="77777777" w:rsidR="00157AAA" w:rsidRDefault="00157AAA">
      <w:pPr>
        <w:ind w:left="2160" w:hanging="720"/>
      </w:pPr>
    </w:p>
    <w:p w14:paraId="6C1DC86B" w14:textId="77777777" w:rsidR="009C72F0" w:rsidRPr="00FE4C05" w:rsidRDefault="009C72F0" w:rsidP="009C72F0">
      <w:pPr>
        <w:pStyle w:val="Head5a2"/>
      </w:pPr>
      <w:r w:rsidRPr="00FE4C05">
        <w:t>Data Base Management System Specifications</w:t>
      </w:r>
    </w:p>
    <w:tbl>
      <w:tblPr>
        <w:tblW w:w="533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31"/>
        <w:gridCol w:w="8177"/>
      </w:tblGrid>
      <w:tr w:rsidR="00285B1B" w:rsidRPr="00AC5790" w14:paraId="1C84023F"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CDCB086" w14:textId="77777777" w:rsidR="00285B1B" w:rsidRPr="00FE4C05" w:rsidRDefault="00285B1B" w:rsidP="009C72F0">
            <w:pPr>
              <w:pStyle w:val="TableParagraph"/>
              <w:spacing w:before="118" w:line="254" w:lineRule="auto"/>
              <w:ind w:left="107"/>
              <w:rPr>
                <w:b/>
                <w:sz w:val="24"/>
                <w:szCs w:val="24"/>
              </w:rPr>
            </w:pPr>
            <w:bookmarkStart w:id="748" w:name="_Hlk151648465"/>
            <w:r w:rsidRPr="00FE4C05">
              <w:rPr>
                <w:b/>
                <w:sz w:val="24"/>
                <w:szCs w:val="24"/>
              </w:rPr>
              <w:t>1</w:t>
            </w:r>
          </w:p>
        </w:tc>
        <w:tc>
          <w:tcPr>
            <w:tcW w:w="444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C0C56B9" w14:textId="24C91000" w:rsidR="00285B1B" w:rsidRPr="00FE4C05" w:rsidRDefault="00285B1B" w:rsidP="00C05A8A">
            <w:pPr>
              <w:pStyle w:val="TableParagraph"/>
              <w:tabs>
                <w:tab w:val="left" w:pos="177"/>
                <w:tab w:val="left" w:pos="2243"/>
                <w:tab w:val="left" w:pos="2685"/>
                <w:tab w:val="left" w:pos="3985"/>
              </w:tabs>
              <w:spacing w:before="118" w:line="254" w:lineRule="auto"/>
              <w:ind w:left="107" w:right="98"/>
              <w:rPr>
                <w:b/>
                <w:sz w:val="24"/>
                <w:szCs w:val="24"/>
              </w:rPr>
            </w:pPr>
            <w:r w:rsidRPr="00FE4C05">
              <w:rPr>
                <w:b/>
                <w:sz w:val="24"/>
                <w:szCs w:val="24"/>
              </w:rPr>
              <w:t>Software license –Relational</w:t>
            </w:r>
            <w:r w:rsidR="00C05A8A" w:rsidRPr="00FE4C05">
              <w:rPr>
                <w:b/>
                <w:sz w:val="24"/>
                <w:szCs w:val="24"/>
              </w:rPr>
              <w:t xml:space="preserve"> </w:t>
            </w:r>
            <w:r w:rsidRPr="00FE4C05">
              <w:rPr>
                <w:b/>
                <w:spacing w:val="-3"/>
                <w:sz w:val="24"/>
                <w:szCs w:val="24"/>
              </w:rPr>
              <w:t xml:space="preserve">Database </w:t>
            </w:r>
            <w:r w:rsidRPr="00FE4C05">
              <w:rPr>
                <w:b/>
                <w:sz w:val="24"/>
                <w:szCs w:val="24"/>
              </w:rPr>
              <w:t>Management System Type 1 (Gov) – Quantity</w:t>
            </w:r>
            <w:r w:rsidRPr="00FE4C05">
              <w:rPr>
                <w:b/>
                <w:spacing w:val="-8"/>
                <w:sz w:val="24"/>
                <w:szCs w:val="24"/>
              </w:rPr>
              <w:t xml:space="preserve"> </w:t>
            </w:r>
            <w:r w:rsidRPr="00FE4C05">
              <w:rPr>
                <w:b/>
                <w:sz w:val="24"/>
                <w:szCs w:val="24"/>
              </w:rPr>
              <w:t>4</w:t>
            </w:r>
          </w:p>
          <w:p w14:paraId="396D04CF" w14:textId="1D2077EE" w:rsidR="00285B1B" w:rsidRPr="00FE4C05" w:rsidRDefault="00285B1B" w:rsidP="00C05A8A">
            <w:pPr>
              <w:pStyle w:val="TableParagraph"/>
              <w:tabs>
                <w:tab w:val="left" w:pos="177"/>
                <w:tab w:val="left" w:pos="2243"/>
                <w:tab w:val="left" w:pos="2685"/>
                <w:tab w:val="left" w:pos="3985"/>
              </w:tabs>
              <w:spacing w:before="118" w:line="254" w:lineRule="auto"/>
              <w:ind w:left="107" w:right="98"/>
              <w:rPr>
                <w:b/>
                <w:sz w:val="24"/>
                <w:szCs w:val="24"/>
              </w:rPr>
            </w:pPr>
          </w:p>
        </w:tc>
      </w:tr>
      <w:tr w:rsidR="00285B1B" w:rsidRPr="00AC5790" w14:paraId="7AB1287A"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0F56DE11" w14:textId="77777777" w:rsidR="00285B1B" w:rsidRPr="00FE4C05" w:rsidRDefault="00285B1B" w:rsidP="009C72F0">
            <w:pPr>
              <w:pStyle w:val="TableParagraph"/>
              <w:spacing w:before="118" w:line="254" w:lineRule="auto"/>
              <w:ind w:left="107"/>
              <w:rPr>
                <w:sz w:val="24"/>
                <w:szCs w:val="24"/>
              </w:rPr>
            </w:pPr>
            <w:r w:rsidRPr="00FE4C05">
              <w:rPr>
                <w:sz w:val="24"/>
                <w:szCs w:val="24"/>
              </w:rPr>
              <w:t>1.1</w:t>
            </w:r>
          </w:p>
        </w:tc>
        <w:tc>
          <w:tcPr>
            <w:tcW w:w="4440" w:type="pct"/>
            <w:tcBorders>
              <w:top w:val="single" w:sz="4" w:space="0" w:color="000000"/>
              <w:left w:val="single" w:sz="4" w:space="0" w:color="000000"/>
              <w:bottom w:val="single" w:sz="4" w:space="0" w:color="000000"/>
              <w:right w:val="single" w:sz="4" w:space="0" w:color="000000"/>
            </w:tcBorders>
            <w:hideMark/>
          </w:tcPr>
          <w:p w14:paraId="1291E7FA"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A database management system must be proposed as relational database software (RDBMS - Relational Database Management System)</w:t>
            </w:r>
          </w:p>
        </w:tc>
      </w:tr>
      <w:tr w:rsidR="00285B1B" w:rsidRPr="00AC5790" w14:paraId="10068826"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96AC701" w14:textId="77777777" w:rsidR="00285B1B" w:rsidRPr="00FE4C05" w:rsidRDefault="00285B1B" w:rsidP="009C72F0">
            <w:pPr>
              <w:pStyle w:val="TableParagraph"/>
              <w:spacing w:before="118" w:line="254" w:lineRule="auto"/>
              <w:ind w:left="107"/>
              <w:rPr>
                <w:sz w:val="24"/>
                <w:szCs w:val="24"/>
              </w:rPr>
            </w:pPr>
            <w:r w:rsidRPr="00FE4C05">
              <w:rPr>
                <w:sz w:val="24"/>
                <w:szCs w:val="24"/>
              </w:rPr>
              <w:lastRenderedPageBreak/>
              <w:t>1.2</w:t>
            </w:r>
          </w:p>
        </w:tc>
        <w:tc>
          <w:tcPr>
            <w:tcW w:w="4440" w:type="pct"/>
            <w:tcBorders>
              <w:top w:val="single" w:sz="4" w:space="0" w:color="000000"/>
              <w:left w:val="single" w:sz="4" w:space="0" w:color="000000"/>
              <w:bottom w:val="single" w:sz="4" w:space="0" w:color="000000"/>
              <w:right w:val="single" w:sz="4" w:space="0" w:color="000000"/>
            </w:tcBorders>
            <w:hideMark/>
          </w:tcPr>
          <w:p w14:paraId="106166C7"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The RDBMS shall provide add, delete, edit, search, and sort options for records in the selected databases.</w:t>
            </w:r>
          </w:p>
        </w:tc>
      </w:tr>
      <w:tr w:rsidR="00285B1B" w:rsidRPr="00AC5790" w14:paraId="3F793DE7"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65A1C915" w14:textId="77777777" w:rsidR="00285B1B" w:rsidRPr="00FE4C05" w:rsidRDefault="00285B1B" w:rsidP="009C72F0">
            <w:pPr>
              <w:pStyle w:val="TableParagraph"/>
              <w:spacing w:before="118" w:line="254" w:lineRule="auto"/>
              <w:ind w:left="107"/>
              <w:rPr>
                <w:sz w:val="24"/>
                <w:szCs w:val="24"/>
              </w:rPr>
            </w:pPr>
            <w:r w:rsidRPr="00FE4C05">
              <w:rPr>
                <w:sz w:val="24"/>
                <w:szCs w:val="24"/>
              </w:rPr>
              <w:t>1.3</w:t>
            </w:r>
          </w:p>
        </w:tc>
        <w:tc>
          <w:tcPr>
            <w:tcW w:w="4440" w:type="pct"/>
            <w:tcBorders>
              <w:top w:val="single" w:sz="4" w:space="0" w:color="000000"/>
              <w:left w:val="single" w:sz="4" w:space="0" w:color="000000"/>
              <w:bottom w:val="single" w:sz="4" w:space="0" w:color="000000"/>
              <w:right w:val="single" w:sz="4" w:space="0" w:color="000000"/>
            </w:tcBorders>
            <w:hideMark/>
          </w:tcPr>
          <w:p w14:paraId="0AAC1C13" w14:textId="672453A4" w:rsidR="00285B1B" w:rsidRPr="00FE4C05" w:rsidRDefault="00285B1B" w:rsidP="009C72F0">
            <w:pPr>
              <w:pStyle w:val="TableParagraph"/>
              <w:spacing w:before="113" w:line="254" w:lineRule="auto"/>
              <w:ind w:left="107" w:right="93"/>
              <w:rPr>
                <w:sz w:val="24"/>
                <w:szCs w:val="24"/>
              </w:rPr>
            </w:pPr>
            <w:r w:rsidRPr="00FE4C05">
              <w:rPr>
                <w:sz w:val="24"/>
                <w:szCs w:val="24"/>
              </w:rPr>
              <w:t xml:space="preserve">Proposed RDBMS must be fully compatible and certified by the RDBMS vendor for the operating system of the database servers, installed on the Primary location and the database servers </w:t>
            </w:r>
            <w:r w:rsidR="00FD5243" w:rsidRPr="00FE4C05">
              <w:rPr>
                <w:sz w:val="24"/>
                <w:szCs w:val="24"/>
              </w:rPr>
              <w:t xml:space="preserve">"Database Servers – Virtualized UNIX/Linux hosts" </w:t>
            </w:r>
          </w:p>
        </w:tc>
      </w:tr>
      <w:tr w:rsidR="00285B1B" w:rsidRPr="00AC5790" w14:paraId="30DD8CFE"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29488BA1" w14:textId="77777777" w:rsidR="00285B1B" w:rsidRPr="00FE4C05" w:rsidRDefault="00285B1B" w:rsidP="009C72F0">
            <w:pPr>
              <w:pStyle w:val="TableParagraph"/>
              <w:spacing w:before="118" w:line="254" w:lineRule="auto"/>
              <w:ind w:left="107"/>
              <w:rPr>
                <w:sz w:val="24"/>
                <w:szCs w:val="24"/>
              </w:rPr>
            </w:pPr>
            <w:r w:rsidRPr="00FE4C05">
              <w:rPr>
                <w:sz w:val="24"/>
                <w:szCs w:val="24"/>
              </w:rPr>
              <w:t>1.4</w:t>
            </w:r>
          </w:p>
        </w:tc>
        <w:tc>
          <w:tcPr>
            <w:tcW w:w="4440" w:type="pct"/>
            <w:tcBorders>
              <w:top w:val="single" w:sz="4" w:space="0" w:color="000000"/>
              <w:left w:val="single" w:sz="4" w:space="0" w:color="000000"/>
              <w:bottom w:val="single" w:sz="4" w:space="0" w:color="000000"/>
              <w:right w:val="single" w:sz="4" w:space="0" w:color="000000"/>
            </w:tcBorders>
            <w:hideMark/>
          </w:tcPr>
          <w:p w14:paraId="5F21689E"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not limit the size of the database to be created.</w:t>
            </w:r>
          </w:p>
        </w:tc>
      </w:tr>
      <w:tr w:rsidR="00285B1B" w:rsidRPr="00AC5790" w14:paraId="17AE41EC"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3E76AFA2" w14:textId="77777777" w:rsidR="00285B1B" w:rsidRPr="00FE4C05" w:rsidRDefault="00285B1B" w:rsidP="009C72F0">
            <w:pPr>
              <w:pStyle w:val="TableParagraph"/>
              <w:spacing w:before="118" w:line="254" w:lineRule="auto"/>
              <w:ind w:left="107"/>
              <w:rPr>
                <w:sz w:val="24"/>
                <w:szCs w:val="24"/>
              </w:rPr>
            </w:pPr>
            <w:r w:rsidRPr="00FE4C05">
              <w:rPr>
                <w:sz w:val="24"/>
                <w:szCs w:val="24"/>
              </w:rPr>
              <w:t>1.5</w:t>
            </w:r>
          </w:p>
        </w:tc>
        <w:tc>
          <w:tcPr>
            <w:tcW w:w="4440" w:type="pct"/>
            <w:tcBorders>
              <w:top w:val="single" w:sz="4" w:space="0" w:color="000000"/>
              <w:left w:val="single" w:sz="4" w:space="0" w:color="000000"/>
              <w:bottom w:val="single" w:sz="4" w:space="0" w:color="000000"/>
              <w:right w:val="single" w:sz="4" w:space="0" w:color="000000"/>
            </w:tcBorders>
            <w:hideMark/>
          </w:tcPr>
          <w:p w14:paraId="6A3CBF01" w14:textId="77777777" w:rsidR="00285B1B" w:rsidRPr="00FE4C05" w:rsidRDefault="00285B1B" w:rsidP="009C72F0">
            <w:pPr>
              <w:pStyle w:val="TableParagraph"/>
              <w:spacing w:before="117" w:line="252" w:lineRule="exact"/>
              <w:ind w:left="107" w:right="107"/>
              <w:rPr>
                <w:sz w:val="24"/>
                <w:szCs w:val="24"/>
              </w:rPr>
            </w:pPr>
            <w:r w:rsidRPr="00FE4C05">
              <w:rPr>
                <w:sz w:val="24"/>
                <w:szCs w:val="24"/>
              </w:rPr>
              <w:t>Proposed RDBMS must support concurrent multi- user access and must not limit the number of connected users.</w:t>
            </w:r>
          </w:p>
        </w:tc>
      </w:tr>
      <w:tr w:rsidR="00285B1B" w:rsidRPr="00AC5790" w14:paraId="657B815C"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1323C2BE" w14:textId="77777777" w:rsidR="00285B1B" w:rsidRPr="00FE4C05" w:rsidRDefault="00285B1B" w:rsidP="009C72F0">
            <w:pPr>
              <w:pStyle w:val="TableParagraph"/>
              <w:spacing w:before="118" w:line="254" w:lineRule="auto"/>
              <w:ind w:left="107"/>
              <w:rPr>
                <w:sz w:val="24"/>
                <w:szCs w:val="24"/>
              </w:rPr>
            </w:pPr>
            <w:r w:rsidRPr="00FE4C05">
              <w:rPr>
                <w:sz w:val="24"/>
                <w:szCs w:val="24"/>
              </w:rPr>
              <w:t>1.6</w:t>
            </w:r>
          </w:p>
        </w:tc>
        <w:tc>
          <w:tcPr>
            <w:tcW w:w="4440" w:type="pct"/>
            <w:tcBorders>
              <w:top w:val="single" w:sz="4" w:space="0" w:color="000000"/>
              <w:left w:val="single" w:sz="4" w:space="0" w:color="000000"/>
              <w:bottom w:val="single" w:sz="4" w:space="0" w:color="000000"/>
              <w:right w:val="single" w:sz="4" w:space="0" w:color="000000"/>
            </w:tcBorders>
            <w:hideMark/>
          </w:tcPr>
          <w:p w14:paraId="5DF2BBDA" w14:textId="77777777" w:rsidR="00285B1B" w:rsidRPr="00FE4C05" w:rsidRDefault="00285B1B" w:rsidP="009C72F0">
            <w:pPr>
              <w:pStyle w:val="TableParagraph"/>
              <w:spacing w:before="113" w:line="254" w:lineRule="auto"/>
              <w:ind w:left="107" w:right="94"/>
              <w:rPr>
                <w:sz w:val="24"/>
                <w:szCs w:val="24"/>
              </w:rPr>
            </w:pPr>
            <w:r w:rsidRPr="00FE4C05">
              <w:rPr>
                <w:sz w:val="24"/>
                <w:szCs w:val="24"/>
              </w:rPr>
              <w:t>Proposed RDBMS must be 100% compatible with common Internet/intranet platforms and Internet browsers.</w:t>
            </w:r>
          </w:p>
        </w:tc>
      </w:tr>
      <w:tr w:rsidR="00285B1B" w:rsidRPr="00AC5790" w14:paraId="395F2C16"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E1E95D7" w14:textId="77777777" w:rsidR="00285B1B" w:rsidRPr="00FE4C05" w:rsidRDefault="00285B1B" w:rsidP="009C72F0">
            <w:pPr>
              <w:pStyle w:val="TableParagraph"/>
              <w:spacing w:before="118" w:line="254" w:lineRule="auto"/>
              <w:ind w:left="107"/>
              <w:rPr>
                <w:sz w:val="24"/>
                <w:szCs w:val="24"/>
              </w:rPr>
            </w:pPr>
            <w:r w:rsidRPr="00FE4C05">
              <w:rPr>
                <w:sz w:val="24"/>
                <w:szCs w:val="24"/>
              </w:rPr>
              <w:t>1.7</w:t>
            </w:r>
          </w:p>
        </w:tc>
        <w:tc>
          <w:tcPr>
            <w:tcW w:w="4440" w:type="pct"/>
            <w:tcBorders>
              <w:top w:val="single" w:sz="4" w:space="0" w:color="000000"/>
              <w:left w:val="single" w:sz="4" w:space="0" w:color="000000"/>
              <w:bottom w:val="single" w:sz="4" w:space="0" w:color="000000"/>
              <w:right w:val="single" w:sz="4" w:space="0" w:color="000000"/>
            </w:tcBorders>
            <w:hideMark/>
          </w:tcPr>
          <w:p w14:paraId="066736C5"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Proposed RDBMS must support Unicode character set, as well as official languages of North Macedonia and English language.</w:t>
            </w:r>
          </w:p>
        </w:tc>
      </w:tr>
      <w:tr w:rsidR="00285B1B" w:rsidRPr="00AC5790" w14:paraId="6D840B4C"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132B2B46" w14:textId="77777777" w:rsidR="00285B1B" w:rsidRPr="00FE4C05" w:rsidRDefault="00285B1B" w:rsidP="009C72F0">
            <w:pPr>
              <w:pStyle w:val="TableParagraph"/>
              <w:spacing w:before="118" w:line="254" w:lineRule="auto"/>
              <w:ind w:left="107"/>
              <w:rPr>
                <w:sz w:val="24"/>
                <w:szCs w:val="24"/>
              </w:rPr>
            </w:pPr>
            <w:r w:rsidRPr="00FE4C05">
              <w:rPr>
                <w:sz w:val="24"/>
                <w:szCs w:val="24"/>
              </w:rPr>
              <w:t>1.8</w:t>
            </w:r>
          </w:p>
        </w:tc>
        <w:tc>
          <w:tcPr>
            <w:tcW w:w="4440" w:type="pct"/>
            <w:tcBorders>
              <w:top w:val="single" w:sz="4" w:space="0" w:color="000000"/>
              <w:left w:val="single" w:sz="4" w:space="0" w:color="000000"/>
              <w:bottom w:val="single" w:sz="4" w:space="0" w:color="000000"/>
              <w:right w:val="single" w:sz="4" w:space="0" w:color="000000"/>
            </w:tcBorders>
            <w:hideMark/>
          </w:tcPr>
          <w:p w14:paraId="7A27E9C1"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 xml:space="preserve">Proposed RDBMS must support a Web </w:t>
            </w:r>
            <w:proofErr w:type="gramStart"/>
            <w:r w:rsidRPr="00FE4C05">
              <w:rPr>
                <w:sz w:val="24"/>
                <w:szCs w:val="24"/>
              </w:rPr>
              <w:t>browser based</w:t>
            </w:r>
            <w:proofErr w:type="gramEnd"/>
            <w:r w:rsidRPr="00FE4C05">
              <w:rPr>
                <w:sz w:val="24"/>
                <w:szCs w:val="24"/>
              </w:rPr>
              <w:t xml:space="preserve"> console interface and remote administration utility for administration, maintenance, backup/recovery, monitoring and</w:t>
            </w:r>
            <w:r w:rsidRPr="00FE4C05">
              <w:rPr>
                <w:spacing w:val="-5"/>
                <w:sz w:val="24"/>
                <w:szCs w:val="24"/>
              </w:rPr>
              <w:t xml:space="preserve"> </w:t>
            </w:r>
            <w:r w:rsidRPr="00FE4C05">
              <w:rPr>
                <w:sz w:val="24"/>
                <w:szCs w:val="24"/>
              </w:rPr>
              <w:t>tuning.</w:t>
            </w:r>
          </w:p>
        </w:tc>
      </w:tr>
      <w:tr w:rsidR="00285B1B" w:rsidRPr="00AC5790" w14:paraId="12C6E120"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C9551C6" w14:textId="54FB8C2C" w:rsidR="00285B1B" w:rsidRPr="00FE4C05" w:rsidRDefault="002B4C31" w:rsidP="009C72F0">
            <w:pPr>
              <w:pStyle w:val="TableParagraph"/>
              <w:spacing w:before="118" w:line="254" w:lineRule="auto"/>
              <w:ind w:left="107"/>
              <w:rPr>
                <w:sz w:val="24"/>
                <w:szCs w:val="24"/>
              </w:rPr>
            </w:pPr>
            <w:r w:rsidRPr="00FE4C05">
              <w:rPr>
                <w:sz w:val="24"/>
                <w:szCs w:val="24"/>
              </w:rPr>
              <w:t>1.9</w:t>
            </w:r>
          </w:p>
        </w:tc>
        <w:tc>
          <w:tcPr>
            <w:tcW w:w="4440" w:type="pct"/>
            <w:tcBorders>
              <w:top w:val="single" w:sz="4" w:space="0" w:color="000000"/>
              <w:left w:val="single" w:sz="4" w:space="0" w:color="000000"/>
              <w:bottom w:val="single" w:sz="4" w:space="0" w:color="000000"/>
              <w:right w:val="single" w:sz="4" w:space="0" w:color="000000"/>
            </w:tcBorders>
            <w:hideMark/>
          </w:tcPr>
          <w:p w14:paraId="076F0A00"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built-in support for developing stored procedures, functions, and packages (collections of procedures and functions).</w:t>
            </w:r>
          </w:p>
        </w:tc>
      </w:tr>
      <w:tr w:rsidR="00285B1B" w:rsidRPr="00AC5790" w14:paraId="3BDDF1E9"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2B73DBF" w14:textId="548CF8AD" w:rsidR="00285B1B" w:rsidRPr="00FE4C05" w:rsidRDefault="002B4C31" w:rsidP="009C72F0">
            <w:pPr>
              <w:pStyle w:val="TableParagraph"/>
              <w:spacing w:before="118" w:line="254" w:lineRule="auto"/>
              <w:ind w:left="107"/>
              <w:rPr>
                <w:sz w:val="24"/>
                <w:szCs w:val="24"/>
              </w:rPr>
            </w:pPr>
            <w:r w:rsidRPr="00FE4C05">
              <w:rPr>
                <w:sz w:val="24"/>
                <w:szCs w:val="24"/>
              </w:rPr>
              <w:t>1.10</w:t>
            </w:r>
          </w:p>
        </w:tc>
        <w:tc>
          <w:tcPr>
            <w:tcW w:w="4440" w:type="pct"/>
            <w:tcBorders>
              <w:top w:val="single" w:sz="4" w:space="0" w:color="000000"/>
              <w:left w:val="single" w:sz="4" w:space="0" w:color="000000"/>
              <w:bottom w:val="single" w:sz="4" w:space="0" w:color="000000"/>
              <w:right w:val="single" w:sz="4" w:space="0" w:color="000000"/>
            </w:tcBorders>
            <w:hideMark/>
          </w:tcPr>
          <w:p w14:paraId="7AC8C045"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built-in support for stored procedures, functions, and packages compilation during development and before execution.</w:t>
            </w:r>
          </w:p>
        </w:tc>
      </w:tr>
      <w:tr w:rsidR="00285B1B" w:rsidRPr="00AC5790" w14:paraId="2B60E70A"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67A9FC8" w14:textId="55B7DFE6" w:rsidR="00285B1B" w:rsidRPr="00FE4C05" w:rsidRDefault="002B4C31" w:rsidP="009C72F0">
            <w:pPr>
              <w:pStyle w:val="TableParagraph"/>
              <w:spacing w:before="118" w:line="254" w:lineRule="auto"/>
              <w:ind w:left="107"/>
              <w:rPr>
                <w:sz w:val="24"/>
                <w:szCs w:val="24"/>
              </w:rPr>
            </w:pPr>
            <w:r w:rsidRPr="00FE4C05">
              <w:rPr>
                <w:sz w:val="24"/>
                <w:szCs w:val="24"/>
              </w:rPr>
              <w:t>1.11</w:t>
            </w:r>
          </w:p>
        </w:tc>
        <w:tc>
          <w:tcPr>
            <w:tcW w:w="4440" w:type="pct"/>
            <w:tcBorders>
              <w:top w:val="single" w:sz="4" w:space="0" w:color="000000"/>
              <w:left w:val="single" w:sz="4" w:space="0" w:color="000000"/>
              <w:bottom w:val="single" w:sz="4" w:space="0" w:color="000000"/>
              <w:right w:val="single" w:sz="4" w:space="0" w:color="000000"/>
            </w:tcBorders>
            <w:hideMark/>
          </w:tcPr>
          <w:p w14:paraId="6950A647"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 xml:space="preserve">Proposed RDBMS must support permissions assigned to database objects based on privileges, </w:t>
            </w:r>
            <w:proofErr w:type="gramStart"/>
            <w:r w:rsidRPr="00FE4C05">
              <w:rPr>
                <w:sz w:val="24"/>
                <w:szCs w:val="24"/>
              </w:rPr>
              <w:t>users</w:t>
            </w:r>
            <w:proofErr w:type="gramEnd"/>
            <w:r w:rsidRPr="00FE4C05">
              <w:rPr>
                <w:sz w:val="24"/>
                <w:szCs w:val="24"/>
              </w:rPr>
              <w:t xml:space="preserve"> and</w:t>
            </w:r>
            <w:r w:rsidRPr="00FE4C05">
              <w:rPr>
                <w:spacing w:val="-4"/>
                <w:sz w:val="24"/>
                <w:szCs w:val="24"/>
              </w:rPr>
              <w:t xml:space="preserve"> </w:t>
            </w:r>
            <w:r w:rsidRPr="00FE4C05">
              <w:rPr>
                <w:sz w:val="24"/>
                <w:szCs w:val="24"/>
              </w:rPr>
              <w:t>roles.</w:t>
            </w:r>
          </w:p>
        </w:tc>
      </w:tr>
      <w:tr w:rsidR="00285B1B" w:rsidRPr="00AC5790" w14:paraId="65EE0A4D"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3F8C2A9F" w14:textId="6C6585A9" w:rsidR="00285B1B" w:rsidRPr="00FE4C05" w:rsidRDefault="002B4C31" w:rsidP="009C72F0">
            <w:pPr>
              <w:pStyle w:val="TableParagraph"/>
              <w:spacing w:before="118" w:line="254" w:lineRule="auto"/>
              <w:ind w:left="107"/>
              <w:rPr>
                <w:sz w:val="24"/>
                <w:szCs w:val="24"/>
              </w:rPr>
            </w:pPr>
            <w:r w:rsidRPr="00FE4C05">
              <w:rPr>
                <w:sz w:val="24"/>
                <w:szCs w:val="24"/>
              </w:rPr>
              <w:t>1.12</w:t>
            </w:r>
          </w:p>
        </w:tc>
        <w:tc>
          <w:tcPr>
            <w:tcW w:w="4440" w:type="pct"/>
            <w:tcBorders>
              <w:top w:val="single" w:sz="4" w:space="0" w:color="000000"/>
              <w:left w:val="single" w:sz="4" w:space="0" w:color="000000"/>
              <w:bottom w:val="single" w:sz="4" w:space="0" w:color="000000"/>
              <w:right w:val="single" w:sz="4" w:space="0" w:color="000000"/>
            </w:tcBorders>
            <w:hideMark/>
          </w:tcPr>
          <w:p w14:paraId="7F4BF43E" w14:textId="77777777" w:rsidR="00285B1B" w:rsidRPr="00FE4C05" w:rsidRDefault="00285B1B" w:rsidP="009C72F0">
            <w:pPr>
              <w:pStyle w:val="TableParagraph"/>
              <w:spacing w:before="116" w:line="254" w:lineRule="auto"/>
              <w:ind w:left="107"/>
              <w:rPr>
                <w:sz w:val="24"/>
                <w:szCs w:val="24"/>
              </w:rPr>
            </w:pPr>
            <w:r w:rsidRPr="00FE4C05">
              <w:rPr>
                <w:sz w:val="24"/>
                <w:szCs w:val="24"/>
              </w:rPr>
              <w:t>Proposed RDBMS must provide an audit mechanism.</w:t>
            </w:r>
          </w:p>
        </w:tc>
      </w:tr>
      <w:tr w:rsidR="00285B1B" w:rsidRPr="00AC5790" w14:paraId="02639D97"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80E12C5" w14:textId="71E741F8" w:rsidR="00285B1B" w:rsidRPr="00FE4C05" w:rsidRDefault="002B4C31" w:rsidP="009C72F0">
            <w:pPr>
              <w:pStyle w:val="TableParagraph"/>
              <w:spacing w:before="118" w:line="254" w:lineRule="auto"/>
              <w:ind w:left="107"/>
              <w:rPr>
                <w:sz w:val="24"/>
                <w:szCs w:val="24"/>
              </w:rPr>
            </w:pPr>
            <w:r w:rsidRPr="00FE4C05">
              <w:rPr>
                <w:sz w:val="24"/>
                <w:szCs w:val="24"/>
              </w:rPr>
              <w:t>1.13</w:t>
            </w:r>
          </w:p>
        </w:tc>
        <w:tc>
          <w:tcPr>
            <w:tcW w:w="4440" w:type="pct"/>
            <w:tcBorders>
              <w:top w:val="single" w:sz="4" w:space="0" w:color="000000"/>
              <w:left w:val="single" w:sz="4" w:space="0" w:color="000000"/>
              <w:bottom w:val="single" w:sz="4" w:space="0" w:color="000000"/>
              <w:right w:val="single" w:sz="4" w:space="0" w:color="000000"/>
            </w:tcBorders>
            <w:hideMark/>
          </w:tcPr>
          <w:p w14:paraId="4EF317DC"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provide network encryption for the data sent between the client and server.</w:t>
            </w:r>
          </w:p>
        </w:tc>
      </w:tr>
      <w:tr w:rsidR="00285B1B" w:rsidRPr="00AC5790" w14:paraId="485128E5"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2A14BA6" w14:textId="6B46884F" w:rsidR="00285B1B" w:rsidRPr="00FE4C05" w:rsidRDefault="002B4C31" w:rsidP="009C72F0">
            <w:pPr>
              <w:pStyle w:val="TableParagraph"/>
              <w:spacing w:before="118" w:line="254" w:lineRule="auto"/>
              <w:ind w:left="107"/>
              <w:rPr>
                <w:sz w:val="24"/>
                <w:szCs w:val="24"/>
              </w:rPr>
            </w:pPr>
            <w:r w:rsidRPr="00FE4C05">
              <w:rPr>
                <w:sz w:val="24"/>
                <w:szCs w:val="24"/>
              </w:rPr>
              <w:t>1.14</w:t>
            </w:r>
          </w:p>
        </w:tc>
        <w:tc>
          <w:tcPr>
            <w:tcW w:w="4440" w:type="pct"/>
            <w:tcBorders>
              <w:top w:val="single" w:sz="4" w:space="0" w:color="000000"/>
              <w:left w:val="single" w:sz="4" w:space="0" w:color="000000"/>
              <w:bottom w:val="single" w:sz="4" w:space="0" w:color="000000"/>
              <w:right w:val="single" w:sz="4" w:space="0" w:color="000000"/>
            </w:tcBorders>
            <w:hideMark/>
          </w:tcPr>
          <w:p w14:paraId="40DFF613"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support complete and incremental backup/recovery. Backup functionality must support online operations in such way that backup of database can be done while database is up and running.</w:t>
            </w:r>
          </w:p>
        </w:tc>
      </w:tr>
      <w:tr w:rsidR="00285B1B" w:rsidRPr="00AC5790" w14:paraId="77633BA2"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6C9AC144" w14:textId="58EC07F4" w:rsidR="00285B1B" w:rsidRPr="00FE4C05" w:rsidRDefault="002B4C31" w:rsidP="009C72F0">
            <w:pPr>
              <w:pStyle w:val="TableParagraph"/>
              <w:spacing w:before="118" w:line="254" w:lineRule="auto"/>
              <w:ind w:left="107"/>
              <w:rPr>
                <w:sz w:val="24"/>
                <w:szCs w:val="24"/>
              </w:rPr>
            </w:pPr>
            <w:r w:rsidRPr="00FE4C05">
              <w:rPr>
                <w:sz w:val="24"/>
                <w:szCs w:val="24"/>
              </w:rPr>
              <w:t>1.15</w:t>
            </w:r>
          </w:p>
        </w:tc>
        <w:tc>
          <w:tcPr>
            <w:tcW w:w="4440" w:type="pct"/>
            <w:tcBorders>
              <w:top w:val="single" w:sz="4" w:space="0" w:color="000000"/>
              <w:left w:val="single" w:sz="4" w:space="0" w:color="000000"/>
              <w:bottom w:val="single" w:sz="4" w:space="0" w:color="000000"/>
              <w:right w:val="single" w:sz="4" w:space="0" w:color="000000"/>
            </w:tcBorders>
            <w:hideMark/>
          </w:tcPr>
          <w:p w14:paraId="07F53303"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Proposed RDBMS must support automatic recovery in case of a transaction or system failure.</w:t>
            </w:r>
          </w:p>
        </w:tc>
      </w:tr>
      <w:tr w:rsidR="00285B1B" w:rsidRPr="00AC5790" w14:paraId="224BB945"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34F3A160" w14:textId="2F2C3784" w:rsidR="00285B1B" w:rsidRPr="00FE4C05" w:rsidRDefault="002B4C31" w:rsidP="009C72F0">
            <w:pPr>
              <w:pStyle w:val="TableParagraph"/>
              <w:spacing w:before="118" w:line="254" w:lineRule="auto"/>
              <w:ind w:left="107"/>
              <w:rPr>
                <w:sz w:val="24"/>
                <w:szCs w:val="24"/>
              </w:rPr>
            </w:pPr>
            <w:r w:rsidRPr="00FE4C05">
              <w:rPr>
                <w:sz w:val="24"/>
                <w:szCs w:val="24"/>
              </w:rPr>
              <w:t>1.16</w:t>
            </w:r>
          </w:p>
        </w:tc>
        <w:tc>
          <w:tcPr>
            <w:tcW w:w="4440" w:type="pct"/>
            <w:tcBorders>
              <w:top w:val="single" w:sz="4" w:space="0" w:color="000000"/>
              <w:left w:val="single" w:sz="4" w:space="0" w:color="000000"/>
              <w:bottom w:val="single" w:sz="4" w:space="0" w:color="000000"/>
              <w:right w:val="single" w:sz="4" w:space="0" w:color="000000"/>
            </w:tcBorders>
            <w:hideMark/>
          </w:tcPr>
          <w:p w14:paraId="0182AC88"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Proposed RDBMS must have support for alphanumeric, unstructured data, XML as well as spatial data.</w:t>
            </w:r>
          </w:p>
        </w:tc>
      </w:tr>
      <w:tr w:rsidR="00285B1B" w:rsidRPr="00AC5790" w14:paraId="30504BB4"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E0F562C" w14:textId="559A3335" w:rsidR="00285B1B" w:rsidRPr="00FE4C05" w:rsidRDefault="002B4C31" w:rsidP="009C72F0">
            <w:pPr>
              <w:pStyle w:val="TableParagraph"/>
              <w:spacing w:before="118" w:line="254" w:lineRule="auto"/>
              <w:ind w:left="107"/>
              <w:rPr>
                <w:sz w:val="24"/>
                <w:szCs w:val="24"/>
              </w:rPr>
            </w:pPr>
            <w:r w:rsidRPr="00FE4C05">
              <w:rPr>
                <w:sz w:val="24"/>
                <w:szCs w:val="24"/>
              </w:rPr>
              <w:t>1.17</w:t>
            </w:r>
          </w:p>
        </w:tc>
        <w:tc>
          <w:tcPr>
            <w:tcW w:w="4440" w:type="pct"/>
            <w:tcBorders>
              <w:top w:val="single" w:sz="4" w:space="0" w:color="000000"/>
              <w:left w:val="single" w:sz="4" w:space="0" w:color="000000"/>
              <w:bottom w:val="single" w:sz="4" w:space="0" w:color="000000"/>
              <w:right w:val="single" w:sz="4" w:space="0" w:color="000000"/>
            </w:tcBorders>
            <w:hideMark/>
          </w:tcPr>
          <w:p w14:paraId="3D69A21D" w14:textId="77777777" w:rsidR="00285B1B" w:rsidRPr="00FE4C05" w:rsidRDefault="00285B1B" w:rsidP="009C72F0">
            <w:pPr>
              <w:pStyle w:val="TableParagraph"/>
              <w:spacing w:before="113" w:line="254" w:lineRule="auto"/>
              <w:ind w:left="107"/>
              <w:rPr>
                <w:sz w:val="24"/>
                <w:szCs w:val="24"/>
              </w:rPr>
            </w:pPr>
            <w:r w:rsidRPr="00FE4C05">
              <w:rPr>
                <w:sz w:val="24"/>
                <w:szCs w:val="24"/>
              </w:rPr>
              <w:t>Spatial features of RDBMS must support:</w:t>
            </w:r>
          </w:p>
          <w:p w14:paraId="187CFAFE" w14:textId="1290E80A" w:rsidR="00285B1B" w:rsidRPr="00FE4C05" w:rsidRDefault="00285B1B" w:rsidP="009C72F0">
            <w:pPr>
              <w:pStyle w:val="TableParagraph"/>
              <w:spacing w:line="276" w:lineRule="auto"/>
              <w:ind w:left="467" w:right="91"/>
              <w:rPr>
                <w:sz w:val="24"/>
                <w:szCs w:val="24"/>
              </w:rPr>
            </w:pPr>
            <w:r w:rsidRPr="00FE4C05">
              <w:rPr>
                <w:sz w:val="24"/>
                <w:szCs w:val="24"/>
              </w:rPr>
              <w:t>Spatial data must support different geometry types such as: points,</w:t>
            </w:r>
            <w:r w:rsidRPr="00FE4C05">
              <w:rPr>
                <w:spacing w:val="19"/>
                <w:sz w:val="24"/>
                <w:szCs w:val="24"/>
              </w:rPr>
              <w:t xml:space="preserve"> </w:t>
            </w:r>
            <w:r w:rsidRPr="00FE4C05">
              <w:rPr>
                <w:sz w:val="24"/>
                <w:szCs w:val="24"/>
              </w:rPr>
              <w:t>multi-points, lines, line strings, multi-line strings, polygons, multi- polygons,</w:t>
            </w:r>
            <w:r w:rsidR="00FE4C05">
              <w:rPr>
                <w:sz w:val="24"/>
                <w:szCs w:val="24"/>
              </w:rPr>
              <w:t xml:space="preserve"> </w:t>
            </w:r>
            <w:r w:rsidRPr="00FE4C05">
              <w:rPr>
                <w:sz w:val="24"/>
                <w:szCs w:val="24"/>
              </w:rPr>
              <w:t>surfaces, multiple surfaces, 3-D geometry, and point cloud storage.</w:t>
            </w:r>
          </w:p>
          <w:p w14:paraId="0DB5AE8E" w14:textId="77777777" w:rsidR="00285B1B" w:rsidRPr="00FE4C05" w:rsidRDefault="00285B1B" w:rsidP="00D530D5">
            <w:pPr>
              <w:pStyle w:val="TableParagraph"/>
              <w:numPr>
                <w:ilvl w:val="0"/>
                <w:numId w:val="198"/>
              </w:numPr>
              <w:tabs>
                <w:tab w:val="left" w:pos="468"/>
              </w:tabs>
              <w:spacing w:line="276" w:lineRule="auto"/>
              <w:ind w:right="96"/>
              <w:rPr>
                <w:sz w:val="24"/>
                <w:szCs w:val="24"/>
              </w:rPr>
            </w:pPr>
            <w:r w:rsidRPr="00FE4C05">
              <w:rPr>
                <w:sz w:val="24"/>
                <w:szCs w:val="24"/>
              </w:rPr>
              <w:lastRenderedPageBreak/>
              <w:t xml:space="preserve">Spatial operators for determining geospatial measurements like area, distance, </w:t>
            </w:r>
            <w:proofErr w:type="gramStart"/>
            <w:r w:rsidRPr="00FE4C05">
              <w:rPr>
                <w:sz w:val="24"/>
                <w:szCs w:val="24"/>
              </w:rPr>
              <w:t>length</w:t>
            </w:r>
            <w:proofErr w:type="gramEnd"/>
            <w:r w:rsidRPr="00FE4C05">
              <w:rPr>
                <w:sz w:val="24"/>
                <w:szCs w:val="24"/>
              </w:rPr>
              <w:t xml:space="preserve"> and perimeter, as well as geospatial set operations like union, difference, and symmetric</w:t>
            </w:r>
            <w:r w:rsidRPr="00FE4C05">
              <w:rPr>
                <w:spacing w:val="-12"/>
                <w:sz w:val="24"/>
                <w:szCs w:val="24"/>
              </w:rPr>
              <w:t xml:space="preserve"> </w:t>
            </w:r>
            <w:r w:rsidRPr="00FE4C05">
              <w:rPr>
                <w:sz w:val="24"/>
                <w:szCs w:val="24"/>
              </w:rPr>
              <w:t>difference.</w:t>
            </w:r>
          </w:p>
          <w:p w14:paraId="0DF62D9E" w14:textId="77777777" w:rsidR="00285B1B" w:rsidRPr="00FE4C05" w:rsidRDefault="00285B1B" w:rsidP="00D530D5">
            <w:pPr>
              <w:pStyle w:val="TableParagraph"/>
              <w:numPr>
                <w:ilvl w:val="0"/>
                <w:numId w:val="198"/>
              </w:numPr>
              <w:tabs>
                <w:tab w:val="left" w:pos="468"/>
              </w:tabs>
              <w:spacing w:line="276" w:lineRule="auto"/>
              <w:ind w:right="95"/>
              <w:rPr>
                <w:sz w:val="24"/>
                <w:szCs w:val="24"/>
              </w:rPr>
            </w:pPr>
            <w:r w:rsidRPr="00FE4C05">
              <w:rPr>
                <w:sz w:val="24"/>
                <w:szCs w:val="24"/>
              </w:rPr>
              <w:t>Data models such as: topology data model for working with data about nodes, edges, and faces in a topology, network data model to model and analyze link-node graphs to represent physical and logical networks used in transportation,</w:t>
            </w:r>
            <w:r w:rsidRPr="00FE4C05">
              <w:rPr>
                <w:spacing w:val="-12"/>
                <w:sz w:val="24"/>
                <w:szCs w:val="24"/>
              </w:rPr>
              <w:t xml:space="preserve"> </w:t>
            </w:r>
            <w:r w:rsidRPr="00FE4C05">
              <w:rPr>
                <w:sz w:val="24"/>
                <w:szCs w:val="24"/>
              </w:rPr>
              <w:t>etc.</w:t>
            </w:r>
          </w:p>
          <w:p w14:paraId="3840CA6F" w14:textId="77777777" w:rsidR="00285B1B" w:rsidRPr="00FE4C05" w:rsidRDefault="00285B1B" w:rsidP="00D530D5">
            <w:pPr>
              <w:pStyle w:val="TableParagraph"/>
              <w:numPr>
                <w:ilvl w:val="0"/>
                <w:numId w:val="198"/>
              </w:numPr>
              <w:tabs>
                <w:tab w:val="left" w:pos="468"/>
              </w:tabs>
              <w:spacing w:line="276" w:lineRule="auto"/>
              <w:ind w:right="93"/>
              <w:rPr>
                <w:sz w:val="24"/>
                <w:szCs w:val="24"/>
              </w:rPr>
            </w:pPr>
            <w:r w:rsidRPr="00FE4C05">
              <w:rPr>
                <w:sz w:val="24"/>
                <w:szCs w:val="24"/>
              </w:rPr>
              <w:t>Raster data to store, index, query, analyze, and deliver data as raster image and its associated metadata.</w:t>
            </w:r>
          </w:p>
          <w:p w14:paraId="28A2DB78" w14:textId="77777777" w:rsidR="00285B1B" w:rsidRPr="00FE4C05" w:rsidRDefault="00285B1B" w:rsidP="00D530D5">
            <w:pPr>
              <w:pStyle w:val="TableParagraph"/>
              <w:numPr>
                <w:ilvl w:val="0"/>
                <w:numId w:val="199"/>
              </w:numPr>
              <w:tabs>
                <w:tab w:val="left" w:pos="468"/>
              </w:tabs>
              <w:spacing w:before="97" w:line="290" w:lineRule="atLeast"/>
              <w:ind w:right="95"/>
              <w:rPr>
                <w:sz w:val="24"/>
                <w:szCs w:val="24"/>
              </w:rPr>
            </w:pPr>
            <w:r w:rsidRPr="00FE4C05">
              <w:rPr>
                <w:sz w:val="24"/>
                <w:szCs w:val="24"/>
              </w:rPr>
              <w:t>Graphs such as property and RDF (Resource Description Framework)</w:t>
            </w:r>
            <w:r w:rsidRPr="00FE4C05">
              <w:rPr>
                <w:spacing w:val="-1"/>
                <w:sz w:val="24"/>
                <w:szCs w:val="24"/>
              </w:rPr>
              <w:t xml:space="preserve"> </w:t>
            </w:r>
            <w:r w:rsidRPr="00FE4C05">
              <w:rPr>
                <w:sz w:val="24"/>
                <w:szCs w:val="24"/>
              </w:rPr>
              <w:t>graphs.</w:t>
            </w:r>
          </w:p>
        </w:tc>
      </w:tr>
      <w:tr w:rsidR="00285B1B" w:rsidRPr="00AC5790" w14:paraId="547006BF"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13751155" w14:textId="0F525C9F" w:rsidR="00285B1B" w:rsidRPr="00FE4C05" w:rsidRDefault="002B4C31" w:rsidP="009C72F0">
            <w:pPr>
              <w:pStyle w:val="TableParagraph"/>
              <w:spacing w:before="118" w:line="254" w:lineRule="auto"/>
              <w:ind w:left="107"/>
              <w:rPr>
                <w:sz w:val="24"/>
                <w:szCs w:val="24"/>
              </w:rPr>
            </w:pPr>
            <w:r w:rsidRPr="00FE4C05">
              <w:rPr>
                <w:sz w:val="24"/>
                <w:szCs w:val="24"/>
              </w:rPr>
              <w:lastRenderedPageBreak/>
              <w:t>1.18</w:t>
            </w:r>
          </w:p>
        </w:tc>
        <w:tc>
          <w:tcPr>
            <w:tcW w:w="4440" w:type="pct"/>
            <w:tcBorders>
              <w:top w:val="single" w:sz="4" w:space="0" w:color="000000"/>
              <w:left w:val="single" w:sz="4" w:space="0" w:color="000000"/>
              <w:bottom w:val="single" w:sz="4" w:space="0" w:color="000000"/>
              <w:right w:val="single" w:sz="4" w:space="0" w:color="000000"/>
            </w:tcBorders>
            <w:hideMark/>
          </w:tcPr>
          <w:p w14:paraId="0D26B4A9" w14:textId="77777777" w:rsidR="00285B1B" w:rsidRPr="00FE4C05" w:rsidRDefault="00285B1B" w:rsidP="009C72F0">
            <w:pPr>
              <w:pStyle w:val="TableParagraph"/>
              <w:spacing w:before="113" w:line="254" w:lineRule="auto"/>
              <w:ind w:left="107" w:right="93"/>
              <w:rPr>
                <w:sz w:val="24"/>
                <w:szCs w:val="24"/>
              </w:rPr>
            </w:pPr>
            <w:r w:rsidRPr="00FE4C05">
              <w:rPr>
                <w:sz w:val="24"/>
                <w:szCs w:val="24"/>
              </w:rPr>
              <w:t xml:space="preserve">Proposed RDBMS must have support for Machine Learning (ML) features including but not limited </w:t>
            </w:r>
            <w:proofErr w:type="gramStart"/>
            <w:r w:rsidRPr="00FE4C05">
              <w:rPr>
                <w:sz w:val="24"/>
                <w:szCs w:val="24"/>
              </w:rPr>
              <w:t>to:</w:t>
            </w:r>
            <w:proofErr w:type="gramEnd"/>
            <w:r w:rsidRPr="00FE4C05">
              <w:rPr>
                <w:sz w:val="24"/>
                <w:szCs w:val="24"/>
              </w:rPr>
              <w:t xml:space="preserve"> development of ML models and ML model scoring, predictive analytics which can use ML algorithms implemented as SQL functions, and built-in integration with open-source R language.</w:t>
            </w:r>
          </w:p>
        </w:tc>
      </w:tr>
      <w:tr w:rsidR="00285B1B" w:rsidRPr="00AC5790" w14:paraId="56592C2C"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68BFBE27" w14:textId="1B3294E0" w:rsidR="00285B1B" w:rsidRPr="00FE4C05" w:rsidRDefault="002B4C31" w:rsidP="009C72F0">
            <w:pPr>
              <w:pStyle w:val="TableParagraph"/>
              <w:spacing w:before="118" w:line="254" w:lineRule="auto"/>
              <w:ind w:left="107"/>
              <w:rPr>
                <w:sz w:val="24"/>
                <w:szCs w:val="24"/>
              </w:rPr>
            </w:pPr>
            <w:r w:rsidRPr="00FE4C05">
              <w:rPr>
                <w:sz w:val="24"/>
                <w:szCs w:val="24"/>
              </w:rPr>
              <w:t>1.19</w:t>
            </w:r>
          </w:p>
        </w:tc>
        <w:tc>
          <w:tcPr>
            <w:tcW w:w="4440" w:type="pct"/>
            <w:tcBorders>
              <w:top w:val="single" w:sz="4" w:space="0" w:color="000000"/>
              <w:left w:val="single" w:sz="4" w:space="0" w:color="000000"/>
              <w:bottom w:val="single" w:sz="4" w:space="0" w:color="000000"/>
              <w:right w:val="single" w:sz="4" w:space="0" w:color="000000"/>
            </w:tcBorders>
            <w:hideMark/>
          </w:tcPr>
          <w:p w14:paraId="1EEEC62C" w14:textId="77777777" w:rsidR="00285B1B" w:rsidRPr="00FE4C05" w:rsidRDefault="00285B1B" w:rsidP="009C72F0">
            <w:pPr>
              <w:pStyle w:val="TableParagraph"/>
              <w:spacing w:before="116" w:line="254" w:lineRule="auto"/>
              <w:ind w:left="107" w:right="95"/>
              <w:rPr>
                <w:sz w:val="24"/>
                <w:szCs w:val="24"/>
              </w:rPr>
            </w:pPr>
            <w:r w:rsidRPr="00FE4C05">
              <w:rPr>
                <w:sz w:val="24"/>
                <w:szCs w:val="24"/>
              </w:rPr>
              <w:t>Proposed RDBMS must have support for table and index partitioning by dividing them into smaller pieces.   Table   partitioning   must   support</w:t>
            </w:r>
            <w:r w:rsidRPr="00FE4C05">
              <w:rPr>
                <w:spacing w:val="40"/>
                <w:sz w:val="24"/>
                <w:szCs w:val="24"/>
              </w:rPr>
              <w:t xml:space="preserve"> </w:t>
            </w:r>
            <w:proofErr w:type="gramStart"/>
            <w:r w:rsidRPr="00FE4C05">
              <w:rPr>
                <w:sz w:val="24"/>
                <w:szCs w:val="24"/>
              </w:rPr>
              <w:t>different</w:t>
            </w:r>
            <w:proofErr w:type="gramEnd"/>
          </w:p>
          <w:p w14:paraId="49353DF5" w14:textId="77777777" w:rsidR="00285B1B" w:rsidRPr="00FE4C05" w:rsidRDefault="00285B1B" w:rsidP="009C72F0">
            <w:pPr>
              <w:pStyle w:val="TableParagraph"/>
              <w:spacing w:line="238" w:lineRule="exact"/>
              <w:ind w:left="107"/>
              <w:rPr>
                <w:sz w:val="24"/>
                <w:szCs w:val="24"/>
              </w:rPr>
            </w:pPr>
            <w:r w:rsidRPr="00FE4C05">
              <w:rPr>
                <w:sz w:val="24"/>
                <w:szCs w:val="24"/>
              </w:rPr>
              <w:t>partitioning methods such as: range partitioning,</w:t>
            </w:r>
            <w:r w:rsidRPr="00FE4C05">
              <w:rPr>
                <w:spacing w:val="4"/>
                <w:sz w:val="24"/>
                <w:szCs w:val="24"/>
              </w:rPr>
              <w:t xml:space="preserve"> </w:t>
            </w:r>
            <w:r w:rsidRPr="00FE4C05">
              <w:rPr>
                <w:sz w:val="24"/>
                <w:szCs w:val="24"/>
              </w:rPr>
              <w:t>hash partitioning,</w:t>
            </w:r>
            <w:r w:rsidRPr="00FE4C05">
              <w:rPr>
                <w:sz w:val="24"/>
                <w:szCs w:val="24"/>
              </w:rPr>
              <w:tab/>
              <w:t>list partitioning, and</w:t>
            </w:r>
            <w:r w:rsidRPr="00FE4C05">
              <w:rPr>
                <w:sz w:val="24"/>
                <w:szCs w:val="24"/>
              </w:rPr>
              <w:tab/>
              <w:t>composite partitioning (combination of other methods).</w:t>
            </w:r>
          </w:p>
        </w:tc>
      </w:tr>
      <w:tr w:rsidR="00285B1B" w:rsidRPr="00AC5790" w14:paraId="03FE00E4"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36007DA3" w14:textId="300B1078" w:rsidR="00285B1B" w:rsidRPr="00FE4C05" w:rsidRDefault="002B4C31" w:rsidP="009C72F0">
            <w:pPr>
              <w:pStyle w:val="TableParagraph"/>
              <w:spacing w:before="118" w:line="254" w:lineRule="auto"/>
              <w:ind w:left="107"/>
              <w:rPr>
                <w:sz w:val="24"/>
                <w:szCs w:val="24"/>
              </w:rPr>
            </w:pPr>
            <w:r w:rsidRPr="00FE4C05">
              <w:rPr>
                <w:sz w:val="24"/>
                <w:szCs w:val="24"/>
              </w:rPr>
              <w:t>1.20</w:t>
            </w:r>
          </w:p>
        </w:tc>
        <w:tc>
          <w:tcPr>
            <w:tcW w:w="4440" w:type="pct"/>
            <w:tcBorders>
              <w:top w:val="single" w:sz="4" w:space="0" w:color="000000"/>
              <w:left w:val="single" w:sz="4" w:space="0" w:color="000000"/>
              <w:bottom w:val="single" w:sz="4" w:space="0" w:color="000000"/>
              <w:right w:val="single" w:sz="4" w:space="0" w:color="000000"/>
            </w:tcBorders>
            <w:hideMark/>
          </w:tcPr>
          <w:p w14:paraId="4BE0A50A"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support for high availability in a way that it has cluster of two or more database nodes sharing data in between database nodes, and where all the nodes in a cluster are active and equally process the data. If one database node in cluster fails, traffic intended for the failed node is either passed onto an existing surviving nodes or load balanced across the remaining nodes.</w:t>
            </w:r>
          </w:p>
        </w:tc>
      </w:tr>
      <w:tr w:rsidR="00285B1B" w:rsidRPr="00AC5790" w14:paraId="4ABCAEAD"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274CEB8" w14:textId="793CBF5C" w:rsidR="00285B1B" w:rsidRPr="00FE4C05" w:rsidRDefault="002B4C31" w:rsidP="009C72F0">
            <w:pPr>
              <w:pStyle w:val="TableParagraph"/>
              <w:spacing w:before="118" w:line="254" w:lineRule="auto"/>
              <w:ind w:left="107"/>
              <w:rPr>
                <w:sz w:val="24"/>
                <w:szCs w:val="24"/>
              </w:rPr>
            </w:pPr>
            <w:r w:rsidRPr="00FE4C05">
              <w:rPr>
                <w:sz w:val="24"/>
                <w:szCs w:val="24"/>
              </w:rPr>
              <w:t>1.21</w:t>
            </w:r>
          </w:p>
        </w:tc>
        <w:tc>
          <w:tcPr>
            <w:tcW w:w="4440" w:type="pct"/>
            <w:tcBorders>
              <w:top w:val="single" w:sz="4" w:space="0" w:color="000000"/>
              <w:left w:val="single" w:sz="4" w:space="0" w:color="000000"/>
              <w:bottom w:val="single" w:sz="4" w:space="0" w:color="000000"/>
              <w:right w:val="single" w:sz="4" w:space="0" w:color="000000"/>
            </w:tcBorders>
            <w:hideMark/>
          </w:tcPr>
          <w:p w14:paraId="162B42E9"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Proposed RDBMS must be able to add new database nodes into database cluster dynamically without any downtime and without interrupting data access.</w:t>
            </w:r>
          </w:p>
        </w:tc>
      </w:tr>
      <w:tr w:rsidR="00285B1B" w:rsidRPr="00AC5790" w14:paraId="2B2FCCA2"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385FDBC" w14:textId="0392ED0D" w:rsidR="00285B1B" w:rsidRPr="00FE4C05" w:rsidRDefault="002B4C31" w:rsidP="009C72F0">
            <w:pPr>
              <w:pStyle w:val="TableParagraph"/>
              <w:spacing w:before="118" w:line="254" w:lineRule="auto"/>
              <w:ind w:left="107"/>
              <w:rPr>
                <w:sz w:val="24"/>
                <w:szCs w:val="24"/>
              </w:rPr>
            </w:pPr>
            <w:r w:rsidRPr="00FE4C05">
              <w:rPr>
                <w:sz w:val="24"/>
                <w:szCs w:val="24"/>
              </w:rPr>
              <w:t>1.22</w:t>
            </w:r>
          </w:p>
        </w:tc>
        <w:tc>
          <w:tcPr>
            <w:tcW w:w="4440" w:type="pct"/>
            <w:tcBorders>
              <w:top w:val="single" w:sz="4" w:space="0" w:color="000000"/>
              <w:left w:val="single" w:sz="4" w:space="0" w:color="000000"/>
              <w:bottom w:val="single" w:sz="4" w:space="0" w:color="000000"/>
              <w:right w:val="single" w:sz="4" w:space="0" w:color="000000"/>
            </w:tcBorders>
            <w:hideMark/>
          </w:tcPr>
          <w:p w14:paraId="0663FBCD"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be able to remove one active database node from database cluster dynamically without any downtime and without interrupting data access</w:t>
            </w:r>
          </w:p>
        </w:tc>
      </w:tr>
      <w:tr w:rsidR="00285B1B" w:rsidRPr="00AC5790" w14:paraId="3A4C5B3B"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63CA3798" w14:textId="252BFAEF" w:rsidR="00285B1B" w:rsidRPr="00FE4C05" w:rsidRDefault="002B4C31" w:rsidP="009C72F0">
            <w:pPr>
              <w:pStyle w:val="TableParagraph"/>
              <w:spacing w:before="118" w:line="254" w:lineRule="auto"/>
              <w:ind w:left="107"/>
              <w:rPr>
                <w:sz w:val="24"/>
                <w:szCs w:val="24"/>
              </w:rPr>
            </w:pPr>
            <w:r w:rsidRPr="00FE4C05">
              <w:rPr>
                <w:sz w:val="24"/>
                <w:szCs w:val="24"/>
              </w:rPr>
              <w:t>1.23</w:t>
            </w:r>
          </w:p>
        </w:tc>
        <w:tc>
          <w:tcPr>
            <w:tcW w:w="4440" w:type="pct"/>
            <w:tcBorders>
              <w:top w:val="single" w:sz="4" w:space="0" w:color="000000"/>
              <w:left w:val="single" w:sz="4" w:space="0" w:color="000000"/>
              <w:bottom w:val="single" w:sz="4" w:space="0" w:color="000000"/>
              <w:right w:val="single" w:sz="4" w:space="0" w:color="000000"/>
            </w:tcBorders>
            <w:hideMark/>
          </w:tcPr>
          <w:p w14:paraId="5FC3ACC4"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Proposed RDBMS must be able to apply new patches to active database nodes in database cluster dynamically in rolling manner without any downtime of database cluster and without interrupting data access.</w:t>
            </w:r>
          </w:p>
        </w:tc>
      </w:tr>
      <w:tr w:rsidR="00285B1B" w:rsidRPr="00AC5790" w14:paraId="58A3126F"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1E54BB08" w14:textId="7CDF2161" w:rsidR="00285B1B" w:rsidRPr="00FE4C05" w:rsidRDefault="002B4C31" w:rsidP="009C72F0">
            <w:pPr>
              <w:pStyle w:val="TableParagraph"/>
              <w:spacing w:before="118" w:line="254" w:lineRule="auto"/>
              <w:ind w:left="107"/>
              <w:rPr>
                <w:sz w:val="24"/>
                <w:szCs w:val="24"/>
              </w:rPr>
            </w:pPr>
            <w:r w:rsidRPr="00FE4C05">
              <w:rPr>
                <w:sz w:val="24"/>
                <w:szCs w:val="24"/>
              </w:rPr>
              <w:t>1.24</w:t>
            </w:r>
          </w:p>
        </w:tc>
        <w:tc>
          <w:tcPr>
            <w:tcW w:w="4440" w:type="pct"/>
            <w:tcBorders>
              <w:top w:val="single" w:sz="4" w:space="0" w:color="000000"/>
              <w:left w:val="single" w:sz="4" w:space="0" w:color="000000"/>
              <w:bottom w:val="single" w:sz="4" w:space="0" w:color="000000"/>
              <w:right w:val="single" w:sz="4" w:space="0" w:color="000000"/>
            </w:tcBorders>
            <w:hideMark/>
          </w:tcPr>
          <w:p w14:paraId="3397D828"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RDBMS must support online operations such as table redefinition and index rebuild without database restart.</w:t>
            </w:r>
          </w:p>
        </w:tc>
      </w:tr>
      <w:tr w:rsidR="00285B1B" w:rsidRPr="00AC5790" w14:paraId="49976FD9"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03070425" w14:textId="26CB15F3" w:rsidR="00285B1B" w:rsidRPr="00FE4C05" w:rsidRDefault="002B4C31" w:rsidP="009C72F0">
            <w:pPr>
              <w:pStyle w:val="TableParagraph"/>
              <w:spacing w:before="118" w:line="254" w:lineRule="auto"/>
              <w:ind w:left="107"/>
              <w:rPr>
                <w:sz w:val="24"/>
                <w:szCs w:val="24"/>
              </w:rPr>
            </w:pPr>
            <w:r w:rsidRPr="00FE4C05">
              <w:rPr>
                <w:sz w:val="24"/>
                <w:szCs w:val="24"/>
              </w:rPr>
              <w:t>1.25</w:t>
            </w:r>
          </w:p>
        </w:tc>
        <w:tc>
          <w:tcPr>
            <w:tcW w:w="4440" w:type="pct"/>
            <w:tcBorders>
              <w:top w:val="single" w:sz="4" w:space="0" w:color="000000"/>
              <w:left w:val="single" w:sz="4" w:space="0" w:color="000000"/>
              <w:bottom w:val="single" w:sz="4" w:space="0" w:color="000000"/>
              <w:right w:val="single" w:sz="4" w:space="0" w:color="000000"/>
            </w:tcBorders>
            <w:hideMark/>
          </w:tcPr>
          <w:p w14:paraId="3F36AE6C"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have built-in ability to view changes across row versions.</w:t>
            </w:r>
          </w:p>
        </w:tc>
      </w:tr>
      <w:tr w:rsidR="00285B1B" w:rsidRPr="00AC5790" w14:paraId="75CE75C9"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51AAAC6D" w14:textId="4442CCF1" w:rsidR="00285B1B" w:rsidRPr="00FE4C05" w:rsidRDefault="002B4C31" w:rsidP="009C72F0">
            <w:pPr>
              <w:pStyle w:val="TableParagraph"/>
              <w:spacing w:before="118" w:line="254" w:lineRule="auto"/>
              <w:ind w:left="107"/>
              <w:rPr>
                <w:sz w:val="24"/>
                <w:szCs w:val="24"/>
              </w:rPr>
            </w:pPr>
            <w:r w:rsidRPr="00FE4C05">
              <w:rPr>
                <w:sz w:val="24"/>
                <w:szCs w:val="24"/>
              </w:rPr>
              <w:t>1.26</w:t>
            </w:r>
          </w:p>
        </w:tc>
        <w:tc>
          <w:tcPr>
            <w:tcW w:w="4440" w:type="pct"/>
            <w:tcBorders>
              <w:top w:val="single" w:sz="4" w:space="0" w:color="000000"/>
              <w:left w:val="single" w:sz="4" w:space="0" w:color="000000"/>
              <w:bottom w:val="single" w:sz="4" w:space="0" w:color="000000"/>
              <w:right w:val="single" w:sz="4" w:space="0" w:color="000000"/>
            </w:tcBorders>
            <w:hideMark/>
          </w:tcPr>
          <w:p w14:paraId="1BA5AE36" w14:textId="77777777" w:rsidR="00285B1B" w:rsidRPr="00FE4C05" w:rsidRDefault="00285B1B" w:rsidP="009C72F0">
            <w:pPr>
              <w:pStyle w:val="TableParagraph"/>
              <w:spacing w:before="113"/>
              <w:ind w:left="107" w:right="107"/>
              <w:rPr>
                <w:sz w:val="24"/>
                <w:szCs w:val="24"/>
              </w:rPr>
            </w:pPr>
            <w:r w:rsidRPr="00FE4C05">
              <w:rPr>
                <w:sz w:val="24"/>
                <w:szCs w:val="24"/>
              </w:rPr>
              <w:t>Proposed RDBMS must have built-in ability to rewind the TABLE to a past point in time.</w:t>
            </w:r>
          </w:p>
        </w:tc>
      </w:tr>
      <w:tr w:rsidR="00285B1B" w:rsidRPr="00AC5790" w14:paraId="00DEA060"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0C89973C" w14:textId="32204B73" w:rsidR="00285B1B" w:rsidRPr="00FE4C05" w:rsidRDefault="002B4C31" w:rsidP="009C72F0">
            <w:pPr>
              <w:pStyle w:val="TableParagraph"/>
              <w:spacing w:before="118" w:line="254" w:lineRule="auto"/>
              <w:ind w:left="107"/>
              <w:rPr>
                <w:sz w:val="24"/>
                <w:szCs w:val="24"/>
              </w:rPr>
            </w:pPr>
            <w:r w:rsidRPr="00FE4C05">
              <w:rPr>
                <w:sz w:val="24"/>
                <w:szCs w:val="24"/>
              </w:rPr>
              <w:t>1.27</w:t>
            </w:r>
          </w:p>
        </w:tc>
        <w:tc>
          <w:tcPr>
            <w:tcW w:w="4440" w:type="pct"/>
            <w:tcBorders>
              <w:top w:val="single" w:sz="4" w:space="0" w:color="000000"/>
              <w:left w:val="single" w:sz="4" w:space="0" w:color="000000"/>
              <w:bottom w:val="single" w:sz="4" w:space="0" w:color="000000"/>
              <w:right w:val="single" w:sz="4" w:space="0" w:color="000000"/>
            </w:tcBorders>
            <w:hideMark/>
          </w:tcPr>
          <w:p w14:paraId="157B8BFA"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built-in capability to rewind the database to a prior point without the need to RESTORE the database.</w:t>
            </w:r>
          </w:p>
        </w:tc>
      </w:tr>
      <w:tr w:rsidR="00285B1B" w:rsidRPr="00AC5790" w14:paraId="286D70F4"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7BB2E2E" w14:textId="5B50CDF4" w:rsidR="00285B1B" w:rsidRPr="00FE4C05" w:rsidRDefault="002B4C31" w:rsidP="009C72F0">
            <w:pPr>
              <w:pStyle w:val="TableParagraph"/>
              <w:spacing w:before="118" w:line="254" w:lineRule="auto"/>
              <w:ind w:left="107"/>
              <w:rPr>
                <w:sz w:val="24"/>
                <w:szCs w:val="24"/>
              </w:rPr>
            </w:pPr>
            <w:r w:rsidRPr="00FE4C05">
              <w:rPr>
                <w:sz w:val="24"/>
                <w:szCs w:val="24"/>
              </w:rPr>
              <w:lastRenderedPageBreak/>
              <w:t>1.28</w:t>
            </w:r>
          </w:p>
        </w:tc>
        <w:tc>
          <w:tcPr>
            <w:tcW w:w="4440" w:type="pct"/>
            <w:tcBorders>
              <w:top w:val="single" w:sz="4" w:space="0" w:color="000000"/>
              <w:left w:val="single" w:sz="4" w:space="0" w:color="000000"/>
              <w:bottom w:val="single" w:sz="4" w:space="0" w:color="000000"/>
              <w:right w:val="single" w:sz="4" w:space="0" w:color="000000"/>
            </w:tcBorders>
            <w:hideMark/>
          </w:tcPr>
          <w:p w14:paraId="62E79A77"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Proposed RDBMS must have built-in ability to recover dropped objects.</w:t>
            </w:r>
          </w:p>
        </w:tc>
      </w:tr>
      <w:tr w:rsidR="00285B1B" w:rsidRPr="00AC5790" w14:paraId="517EAA77"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09930C66" w14:textId="790F0F78" w:rsidR="00285B1B" w:rsidRPr="00FE4C05" w:rsidRDefault="002B4C31" w:rsidP="009C72F0">
            <w:pPr>
              <w:pStyle w:val="TableParagraph"/>
              <w:spacing w:before="118" w:line="254" w:lineRule="auto"/>
              <w:ind w:left="107"/>
              <w:rPr>
                <w:sz w:val="24"/>
                <w:szCs w:val="24"/>
              </w:rPr>
            </w:pPr>
            <w:r w:rsidRPr="00FE4C05">
              <w:rPr>
                <w:sz w:val="24"/>
                <w:szCs w:val="24"/>
              </w:rPr>
              <w:t>1.29</w:t>
            </w:r>
          </w:p>
        </w:tc>
        <w:tc>
          <w:tcPr>
            <w:tcW w:w="4440" w:type="pct"/>
            <w:tcBorders>
              <w:top w:val="single" w:sz="4" w:space="0" w:color="000000"/>
              <w:left w:val="single" w:sz="4" w:space="0" w:color="000000"/>
              <w:bottom w:val="single" w:sz="4" w:space="0" w:color="000000"/>
              <w:right w:val="single" w:sz="4" w:space="0" w:color="000000"/>
            </w:tcBorders>
            <w:hideMark/>
          </w:tcPr>
          <w:p w14:paraId="694F4AAB" w14:textId="77777777" w:rsidR="00285B1B" w:rsidRPr="00FE4C05" w:rsidRDefault="00285B1B" w:rsidP="009C72F0">
            <w:pPr>
              <w:pStyle w:val="TableParagraph"/>
              <w:spacing w:before="114" w:line="254" w:lineRule="auto"/>
              <w:ind w:left="107" w:right="94"/>
              <w:rPr>
                <w:sz w:val="24"/>
                <w:szCs w:val="24"/>
              </w:rPr>
            </w:pPr>
            <w:r w:rsidRPr="00FE4C05">
              <w:rPr>
                <w:sz w:val="24"/>
                <w:szCs w:val="24"/>
              </w:rPr>
              <w:t xml:space="preserve">Proposed RDBMS must be able to monitor SQL statements and analyze SQL statement execution in order to detect and diagnose database performance </w:t>
            </w:r>
            <w:proofErr w:type="gramStart"/>
            <w:r w:rsidRPr="00FE4C05">
              <w:rPr>
                <w:sz w:val="24"/>
                <w:szCs w:val="24"/>
              </w:rPr>
              <w:t>problems, and</w:t>
            </w:r>
            <w:proofErr w:type="gramEnd"/>
            <w:r w:rsidRPr="00FE4C05">
              <w:rPr>
                <w:sz w:val="24"/>
                <w:szCs w:val="24"/>
              </w:rPr>
              <w:t xml:space="preserve"> help administrators to proactively tune their database environment.</w:t>
            </w:r>
          </w:p>
        </w:tc>
      </w:tr>
      <w:tr w:rsidR="00285B1B" w:rsidRPr="00AC5790" w14:paraId="3B4C1F53"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486E3350" w14:textId="13149647" w:rsidR="00285B1B" w:rsidRPr="00FE4C05" w:rsidRDefault="002B4C31" w:rsidP="009C72F0">
            <w:pPr>
              <w:pStyle w:val="TableParagraph"/>
              <w:spacing w:before="118" w:line="254" w:lineRule="auto"/>
              <w:ind w:left="107"/>
              <w:rPr>
                <w:sz w:val="24"/>
                <w:szCs w:val="24"/>
              </w:rPr>
            </w:pPr>
            <w:r w:rsidRPr="00FE4C05">
              <w:rPr>
                <w:sz w:val="24"/>
                <w:szCs w:val="24"/>
              </w:rPr>
              <w:t>1.30</w:t>
            </w:r>
          </w:p>
        </w:tc>
        <w:tc>
          <w:tcPr>
            <w:tcW w:w="4440" w:type="pct"/>
            <w:tcBorders>
              <w:top w:val="single" w:sz="4" w:space="0" w:color="000000"/>
              <w:left w:val="single" w:sz="4" w:space="0" w:color="000000"/>
              <w:bottom w:val="single" w:sz="4" w:space="0" w:color="000000"/>
              <w:right w:val="single" w:sz="4" w:space="0" w:color="000000"/>
            </w:tcBorders>
            <w:hideMark/>
          </w:tcPr>
          <w:p w14:paraId="46B35BBB" w14:textId="77777777" w:rsidR="00285B1B" w:rsidRPr="00FE4C05" w:rsidRDefault="00285B1B" w:rsidP="009C72F0">
            <w:pPr>
              <w:pStyle w:val="TableParagraph"/>
              <w:spacing w:before="113" w:line="254" w:lineRule="auto"/>
              <w:ind w:left="107"/>
              <w:rPr>
                <w:sz w:val="24"/>
                <w:szCs w:val="24"/>
              </w:rPr>
            </w:pPr>
            <w:r w:rsidRPr="00FE4C05">
              <w:rPr>
                <w:sz w:val="24"/>
                <w:szCs w:val="24"/>
              </w:rPr>
              <w:t>RDBMS must include technical support including:</w:t>
            </w:r>
          </w:p>
          <w:p w14:paraId="69D2DC57" w14:textId="77777777" w:rsidR="00285B1B" w:rsidRPr="00FE4C05" w:rsidRDefault="00285B1B" w:rsidP="00D530D5">
            <w:pPr>
              <w:pStyle w:val="TableParagraph"/>
              <w:numPr>
                <w:ilvl w:val="0"/>
                <w:numId w:val="200"/>
              </w:numPr>
              <w:tabs>
                <w:tab w:val="left" w:pos="468"/>
              </w:tabs>
              <w:spacing w:before="120" w:line="254" w:lineRule="auto"/>
              <w:ind w:hanging="361"/>
              <w:rPr>
                <w:sz w:val="24"/>
                <w:szCs w:val="24"/>
              </w:rPr>
            </w:pPr>
            <w:proofErr w:type="gramStart"/>
            <w:r w:rsidRPr="00FE4C05">
              <w:rPr>
                <w:sz w:val="24"/>
                <w:szCs w:val="24"/>
              </w:rPr>
              <w:t>Download of</w:t>
            </w:r>
            <w:proofErr w:type="gramEnd"/>
            <w:r w:rsidRPr="00FE4C05">
              <w:rPr>
                <w:sz w:val="24"/>
                <w:szCs w:val="24"/>
              </w:rPr>
              <w:t xml:space="preserve"> patches, </w:t>
            </w:r>
            <w:proofErr w:type="gramStart"/>
            <w:r w:rsidRPr="00FE4C05">
              <w:rPr>
                <w:sz w:val="24"/>
                <w:szCs w:val="24"/>
              </w:rPr>
              <w:t>upgrades</w:t>
            </w:r>
            <w:proofErr w:type="gramEnd"/>
            <w:r w:rsidRPr="00FE4C05">
              <w:rPr>
                <w:sz w:val="24"/>
                <w:szCs w:val="24"/>
              </w:rPr>
              <w:t xml:space="preserve"> and new</w:t>
            </w:r>
            <w:r w:rsidRPr="00FE4C05">
              <w:rPr>
                <w:spacing w:val="-10"/>
                <w:sz w:val="24"/>
                <w:szCs w:val="24"/>
              </w:rPr>
              <w:t xml:space="preserve"> </w:t>
            </w:r>
            <w:r w:rsidRPr="00FE4C05">
              <w:rPr>
                <w:sz w:val="24"/>
                <w:szCs w:val="24"/>
              </w:rPr>
              <w:t>releases.</w:t>
            </w:r>
          </w:p>
          <w:p w14:paraId="595BD36A" w14:textId="77777777" w:rsidR="00285B1B" w:rsidRPr="00FE4C05" w:rsidRDefault="00285B1B" w:rsidP="00D530D5">
            <w:pPr>
              <w:pStyle w:val="TableParagraph"/>
              <w:numPr>
                <w:ilvl w:val="0"/>
                <w:numId w:val="200"/>
              </w:numPr>
              <w:tabs>
                <w:tab w:val="left" w:pos="468"/>
              </w:tabs>
              <w:spacing w:before="36" w:line="268" w:lineRule="auto"/>
              <w:ind w:right="97"/>
              <w:rPr>
                <w:sz w:val="24"/>
                <w:szCs w:val="24"/>
              </w:rPr>
            </w:pPr>
            <w:r w:rsidRPr="00FE4C05">
              <w:rPr>
                <w:sz w:val="24"/>
                <w:szCs w:val="24"/>
              </w:rPr>
              <w:t>24 x 7 x 365 access to hardware and software professionals to report problems if they</w:t>
            </w:r>
            <w:r w:rsidRPr="00FE4C05">
              <w:rPr>
                <w:spacing w:val="-9"/>
                <w:sz w:val="24"/>
                <w:szCs w:val="24"/>
              </w:rPr>
              <w:t xml:space="preserve"> </w:t>
            </w:r>
            <w:r w:rsidRPr="00FE4C05">
              <w:rPr>
                <w:sz w:val="24"/>
                <w:szCs w:val="24"/>
              </w:rPr>
              <w:t>occur.</w:t>
            </w:r>
          </w:p>
        </w:tc>
      </w:tr>
      <w:tr w:rsidR="00285B1B" w:rsidRPr="005C67D9" w14:paraId="771EA453" w14:textId="77777777" w:rsidTr="00285B1B">
        <w:trPr>
          <w:trHeight w:val="626"/>
        </w:trPr>
        <w:tc>
          <w:tcPr>
            <w:tcW w:w="560" w:type="pct"/>
            <w:tcBorders>
              <w:top w:val="single" w:sz="4" w:space="0" w:color="000000"/>
              <w:left w:val="single" w:sz="4" w:space="0" w:color="000000"/>
              <w:bottom w:val="single" w:sz="4" w:space="0" w:color="000000"/>
              <w:right w:val="single" w:sz="4" w:space="0" w:color="000000"/>
            </w:tcBorders>
            <w:hideMark/>
          </w:tcPr>
          <w:p w14:paraId="725A9395" w14:textId="4A99D1FF" w:rsidR="00285B1B" w:rsidRPr="00FE4C05" w:rsidRDefault="002B4C31" w:rsidP="009C72F0">
            <w:pPr>
              <w:pStyle w:val="TableParagraph"/>
              <w:spacing w:before="118" w:line="254" w:lineRule="auto"/>
              <w:ind w:left="107"/>
              <w:rPr>
                <w:sz w:val="24"/>
                <w:szCs w:val="24"/>
              </w:rPr>
            </w:pPr>
            <w:r w:rsidRPr="00FE4C05">
              <w:rPr>
                <w:sz w:val="24"/>
                <w:szCs w:val="24"/>
              </w:rPr>
              <w:t>1.31</w:t>
            </w:r>
          </w:p>
        </w:tc>
        <w:tc>
          <w:tcPr>
            <w:tcW w:w="4440" w:type="pct"/>
            <w:tcBorders>
              <w:top w:val="single" w:sz="4" w:space="0" w:color="000000"/>
              <w:left w:val="single" w:sz="4" w:space="0" w:color="000000"/>
              <w:bottom w:val="single" w:sz="4" w:space="0" w:color="000000"/>
              <w:right w:val="single" w:sz="4" w:space="0" w:color="000000"/>
            </w:tcBorders>
            <w:hideMark/>
          </w:tcPr>
          <w:p w14:paraId="17DCB291" w14:textId="77777777" w:rsidR="00285B1B" w:rsidRPr="00FE4C05" w:rsidRDefault="00285B1B" w:rsidP="009C72F0">
            <w:pPr>
              <w:pStyle w:val="TableParagraph"/>
              <w:spacing w:before="113" w:line="254" w:lineRule="auto"/>
              <w:ind w:left="107"/>
              <w:rPr>
                <w:sz w:val="24"/>
                <w:szCs w:val="24"/>
              </w:rPr>
            </w:pPr>
            <w:r w:rsidRPr="00FE4C05">
              <w:rPr>
                <w:sz w:val="24"/>
                <w:szCs w:val="24"/>
              </w:rPr>
              <w:t>The Bidder is required to provide technical support for at least one year.</w:t>
            </w:r>
          </w:p>
        </w:tc>
      </w:tr>
      <w:bookmarkEnd w:id="748"/>
    </w:tbl>
    <w:p w14:paraId="29F8B059" w14:textId="506BE4F0" w:rsidR="00157AAA" w:rsidRDefault="00157AAA"/>
    <w:p w14:paraId="563AB044" w14:textId="7F1B4442" w:rsidR="009C72F0" w:rsidRDefault="009C72F0"/>
    <w:tbl>
      <w:tblPr>
        <w:tblW w:w="533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75"/>
        <w:gridCol w:w="8133"/>
      </w:tblGrid>
      <w:tr w:rsidR="00285B1B" w:rsidRPr="00AC5790" w14:paraId="30908733" w14:textId="77777777" w:rsidTr="00285B1B">
        <w:trPr>
          <w:trHeight w:val="746"/>
        </w:trPr>
        <w:tc>
          <w:tcPr>
            <w:tcW w:w="584"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0C724B0" w14:textId="77777777" w:rsidR="00285B1B" w:rsidRPr="00FE4C05" w:rsidRDefault="00285B1B" w:rsidP="009C72F0">
            <w:pPr>
              <w:pStyle w:val="TableParagraph"/>
              <w:spacing w:before="118" w:line="254" w:lineRule="auto"/>
              <w:ind w:left="107"/>
              <w:rPr>
                <w:b/>
                <w:sz w:val="24"/>
                <w:szCs w:val="24"/>
              </w:rPr>
            </w:pPr>
            <w:r w:rsidRPr="00FE4C05">
              <w:rPr>
                <w:b/>
                <w:sz w:val="24"/>
                <w:szCs w:val="24"/>
              </w:rPr>
              <w:t>2</w:t>
            </w:r>
          </w:p>
        </w:tc>
        <w:tc>
          <w:tcPr>
            <w:tcW w:w="4416"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2A014FF" w14:textId="77777777" w:rsidR="00285B1B" w:rsidRPr="00FE4C05" w:rsidRDefault="00285B1B" w:rsidP="009C72F0">
            <w:pPr>
              <w:pStyle w:val="TableParagraph"/>
              <w:tabs>
                <w:tab w:val="left" w:pos="177"/>
                <w:tab w:val="left" w:pos="2243"/>
                <w:tab w:val="left" w:pos="2685"/>
                <w:tab w:val="left" w:pos="3985"/>
              </w:tabs>
              <w:spacing w:before="118" w:line="254" w:lineRule="auto"/>
              <w:ind w:left="107" w:right="98"/>
              <w:rPr>
                <w:b/>
                <w:sz w:val="24"/>
                <w:szCs w:val="24"/>
              </w:rPr>
            </w:pPr>
            <w:r w:rsidRPr="00FE4C05">
              <w:rPr>
                <w:b/>
                <w:sz w:val="24"/>
                <w:szCs w:val="24"/>
              </w:rPr>
              <w:t>Software license –</w:t>
            </w:r>
            <w:r w:rsidRPr="00FE4C05">
              <w:rPr>
                <w:b/>
                <w:sz w:val="24"/>
                <w:szCs w:val="24"/>
              </w:rPr>
              <w:tab/>
              <w:t>Relational</w:t>
            </w:r>
            <w:r w:rsidRPr="00FE4C05">
              <w:rPr>
                <w:b/>
                <w:sz w:val="24"/>
                <w:szCs w:val="24"/>
              </w:rPr>
              <w:tab/>
            </w:r>
            <w:r w:rsidRPr="00FE4C05">
              <w:rPr>
                <w:b/>
                <w:spacing w:val="-3"/>
                <w:sz w:val="24"/>
                <w:szCs w:val="24"/>
              </w:rPr>
              <w:t xml:space="preserve">Database </w:t>
            </w:r>
            <w:r w:rsidRPr="00FE4C05">
              <w:rPr>
                <w:b/>
                <w:sz w:val="24"/>
                <w:szCs w:val="24"/>
              </w:rPr>
              <w:t>Management System Type 2 (Gov) – Quantity</w:t>
            </w:r>
            <w:r w:rsidRPr="00FE4C05">
              <w:rPr>
                <w:b/>
                <w:spacing w:val="-8"/>
                <w:sz w:val="24"/>
                <w:szCs w:val="24"/>
              </w:rPr>
              <w:t xml:space="preserve"> </w:t>
            </w:r>
            <w:r w:rsidRPr="00FE4C05">
              <w:rPr>
                <w:b/>
                <w:sz w:val="24"/>
                <w:szCs w:val="24"/>
              </w:rPr>
              <w:t>2 (DR)</w:t>
            </w:r>
          </w:p>
          <w:p w14:paraId="42D71B6D" w14:textId="23282862" w:rsidR="00285B1B" w:rsidRPr="00FE4C05" w:rsidRDefault="00285B1B" w:rsidP="009C72F0">
            <w:pPr>
              <w:pStyle w:val="TableParagraph"/>
              <w:tabs>
                <w:tab w:val="left" w:pos="177"/>
                <w:tab w:val="left" w:pos="2243"/>
                <w:tab w:val="left" w:pos="2685"/>
                <w:tab w:val="left" w:pos="3985"/>
              </w:tabs>
              <w:spacing w:before="118" w:line="254" w:lineRule="auto"/>
              <w:ind w:left="107" w:right="98"/>
              <w:rPr>
                <w:b/>
                <w:sz w:val="24"/>
                <w:szCs w:val="24"/>
              </w:rPr>
            </w:pPr>
          </w:p>
        </w:tc>
      </w:tr>
      <w:tr w:rsidR="00285B1B" w:rsidRPr="00AC5790" w14:paraId="35895ACD" w14:textId="77777777" w:rsidTr="00285B1B">
        <w:trPr>
          <w:trHeight w:val="1000"/>
        </w:trPr>
        <w:tc>
          <w:tcPr>
            <w:tcW w:w="584" w:type="pct"/>
            <w:tcBorders>
              <w:top w:val="single" w:sz="4" w:space="0" w:color="000000"/>
              <w:left w:val="single" w:sz="4" w:space="0" w:color="000000"/>
              <w:bottom w:val="single" w:sz="4" w:space="0" w:color="000000"/>
              <w:right w:val="single" w:sz="4" w:space="0" w:color="000000"/>
            </w:tcBorders>
          </w:tcPr>
          <w:p w14:paraId="339F791C" w14:textId="77777777" w:rsidR="00285B1B" w:rsidRPr="00FE4C05" w:rsidRDefault="00285B1B" w:rsidP="009C72F0">
            <w:pPr>
              <w:pStyle w:val="TableParagraph"/>
              <w:spacing w:before="4" w:line="254" w:lineRule="auto"/>
              <w:rPr>
                <w:b/>
                <w:sz w:val="24"/>
                <w:szCs w:val="24"/>
              </w:rPr>
            </w:pPr>
          </w:p>
          <w:p w14:paraId="07F5E8E3" w14:textId="77777777" w:rsidR="00285B1B" w:rsidRPr="00FE4C05" w:rsidRDefault="00285B1B" w:rsidP="009C72F0">
            <w:pPr>
              <w:pStyle w:val="TableParagraph"/>
              <w:spacing w:line="254" w:lineRule="auto"/>
              <w:ind w:left="107"/>
              <w:rPr>
                <w:sz w:val="24"/>
                <w:szCs w:val="24"/>
              </w:rPr>
            </w:pPr>
            <w:r w:rsidRPr="00FE4C05">
              <w:rPr>
                <w:sz w:val="24"/>
                <w:szCs w:val="24"/>
              </w:rPr>
              <w:t>2.1</w:t>
            </w:r>
          </w:p>
        </w:tc>
        <w:tc>
          <w:tcPr>
            <w:tcW w:w="4416" w:type="pct"/>
            <w:tcBorders>
              <w:top w:val="single" w:sz="4" w:space="0" w:color="000000"/>
              <w:left w:val="single" w:sz="4" w:space="0" w:color="000000"/>
              <w:bottom w:val="single" w:sz="4" w:space="0" w:color="000000"/>
              <w:right w:val="single" w:sz="4" w:space="0" w:color="000000"/>
            </w:tcBorders>
            <w:hideMark/>
          </w:tcPr>
          <w:p w14:paraId="7FF40B67" w14:textId="77777777" w:rsidR="00285B1B" w:rsidRPr="00FE4C05" w:rsidRDefault="00285B1B" w:rsidP="009C72F0">
            <w:pPr>
              <w:pStyle w:val="TableParagraph"/>
              <w:spacing w:before="114" w:line="254" w:lineRule="auto"/>
              <w:ind w:left="107" w:right="95"/>
              <w:rPr>
                <w:sz w:val="24"/>
                <w:szCs w:val="24"/>
              </w:rPr>
            </w:pPr>
            <w:r w:rsidRPr="00FE4C05">
              <w:rPr>
                <w:sz w:val="24"/>
                <w:szCs w:val="24"/>
              </w:rPr>
              <w:t>A database management system must be proposed as relational database software (RDBMS - Relational Database Management System)</w:t>
            </w:r>
          </w:p>
        </w:tc>
      </w:tr>
      <w:tr w:rsidR="00285B1B" w:rsidRPr="00AC5790" w14:paraId="20BF483B" w14:textId="77777777" w:rsidTr="00285B1B">
        <w:trPr>
          <w:trHeight w:val="745"/>
        </w:trPr>
        <w:tc>
          <w:tcPr>
            <w:tcW w:w="584" w:type="pct"/>
            <w:tcBorders>
              <w:top w:val="single" w:sz="4" w:space="0" w:color="000000"/>
              <w:left w:val="single" w:sz="4" w:space="0" w:color="000000"/>
              <w:bottom w:val="single" w:sz="4" w:space="0" w:color="000000"/>
              <w:right w:val="single" w:sz="4" w:space="0" w:color="000000"/>
            </w:tcBorders>
          </w:tcPr>
          <w:p w14:paraId="716D4702" w14:textId="77777777" w:rsidR="00285B1B" w:rsidRPr="00FE4C05" w:rsidRDefault="00285B1B" w:rsidP="009C72F0">
            <w:pPr>
              <w:pStyle w:val="TableParagraph"/>
              <w:spacing w:line="254" w:lineRule="auto"/>
              <w:rPr>
                <w:b/>
                <w:sz w:val="24"/>
                <w:szCs w:val="24"/>
              </w:rPr>
            </w:pPr>
          </w:p>
          <w:p w14:paraId="0849FE15" w14:textId="77777777" w:rsidR="00285B1B" w:rsidRPr="00FE4C05" w:rsidRDefault="00285B1B" w:rsidP="009C72F0">
            <w:pPr>
              <w:pStyle w:val="TableParagraph"/>
              <w:spacing w:line="254" w:lineRule="auto"/>
              <w:ind w:left="107"/>
              <w:rPr>
                <w:sz w:val="24"/>
                <w:szCs w:val="24"/>
              </w:rPr>
            </w:pPr>
            <w:r w:rsidRPr="00FE4C05">
              <w:rPr>
                <w:sz w:val="24"/>
                <w:szCs w:val="24"/>
              </w:rPr>
              <w:t>2.2</w:t>
            </w:r>
          </w:p>
        </w:tc>
        <w:tc>
          <w:tcPr>
            <w:tcW w:w="4416" w:type="pct"/>
            <w:tcBorders>
              <w:top w:val="single" w:sz="4" w:space="0" w:color="000000"/>
              <w:left w:val="single" w:sz="4" w:space="0" w:color="000000"/>
              <w:bottom w:val="single" w:sz="4" w:space="0" w:color="000000"/>
              <w:right w:val="single" w:sz="4" w:space="0" w:color="000000"/>
            </w:tcBorders>
            <w:hideMark/>
          </w:tcPr>
          <w:p w14:paraId="19A523E7"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The RDBMS shall provide add, delete, edit, search, and sort options for records in the selected databases.</w:t>
            </w:r>
          </w:p>
        </w:tc>
      </w:tr>
      <w:tr w:rsidR="00285B1B" w:rsidRPr="00AC5790" w14:paraId="7804CB70" w14:textId="77777777" w:rsidTr="00285B1B">
        <w:trPr>
          <w:trHeight w:val="1757"/>
        </w:trPr>
        <w:tc>
          <w:tcPr>
            <w:tcW w:w="584" w:type="pct"/>
            <w:tcBorders>
              <w:top w:val="single" w:sz="4" w:space="0" w:color="000000"/>
              <w:left w:val="single" w:sz="4" w:space="0" w:color="000000"/>
              <w:bottom w:val="single" w:sz="4" w:space="0" w:color="000000"/>
              <w:right w:val="single" w:sz="4" w:space="0" w:color="000000"/>
            </w:tcBorders>
          </w:tcPr>
          <w:p w14:paraId="6542B8E7" w14:textId="77777777" w:rsidR="00285B1B" w:rsidRPr="00FE4C05" w:rsidRDefault="00285B1B" w:rsidP="009C72F0">
            <w:pPr>
              <w:pStyle w:val="TableParagraph"/>
              <w:spacing w:line="254" w:lineRule="auto"/>
              <w:rPr>
                <w:b/>
                <w:sz w:val="24"/>
                <w:szCs w:val="24"/>
              </w:rPr>
            </w:pPr>
          </w:p>
          <w:p w14:paraId="4BBC5BF8" w14:textId="77777777" w:rsidR="00285B1B" w:rsidRPr="00FE4C05" w:rsidRDefault="00285B1B" w:rsidP="009C72F0">
            <w:pPr>
              <w:pStyle w:val="TableParagraph"/>
              <w:spacing w:line="254" w:lineRule="auto"/>
              <w:rPr>
                <w:b/>
                <w:sz w:val="24"/>
                <w:szCs w:val="24"/>
              </w:rPr>
            </w:pPr>
          </w:p>
          <w:p w14:paraId="14212212" w14:textId="77777777" w:rsidR="00285B1B" w:rsidRPr="00FE4C05" w:rsidRDefault="00285B1B" w:rsidP="009C72F0">
            <w:pPr>
              <w:pStyle w:val="TableParagraph"/>
              <w:spacing w:before="174" w:line="254" w:lineRule="auto"/>
              <w:ind w:left="107"/>
              <w:rPr>
                <w:sz w:val="24"/>
                <w:szCs w:val="24"/>
              </w:rPr>
            </w:pPr>
            <w:r w:rsidRPr="00FE4C05">
              <w:rPr>
                <w:sz w:val="24"/>
                <w:szCs w:val="24"/>
              </w:rPr>
              <w:t>2.3</w:t>
            </w:r>
          </w:p>
        </w:tc>
        <w:tc>
          <w:tcPr>
            <w:tcW w:w="4416" w:type="pct"/>
            <w:tcBorders>
              <w:top w:val="single" w:sz="4" w:space="0" w:color="000000"/>
              <w:left w:val="single" w:sz="4" w:space="0" w:color="000000"/>
              <w:bottom w:val="single" w:sz="4" w:space="0" w:color="000000"/>
              <w:right w:val="single" w:sz="4" w:space="0" w:color="000000"/>
            </w:tcBorders>
            <w:hideMark/>
          </w:tcPr>
          <w:p w14:paraId="5624D25F" w14:textId="42F1390A" w:rsidR="00285B1B" w:rsidRPr="00FE4C05" w:rsidRDefault="00285B1B" w:rsidP="009C72F0">
            <w:pPr>
              <w:pStyle w:val="TableParagraph"/>
              <w:spacing w:before="113" w:line="254" w:lineRule="auto"/>
              <w:ind w:left="107" w:right="93"/>
              <w:rPr>
                <w:sz w:val="24"/>
                <w:szCs w:val="24"/>
              </w:rPr>
            </w:pPr>
            <w:r w:rsidRPr="00FE4C05">
              <w:rPr>
                <w:sz w:val="24"/>
                <w:szCs w:val="24"/>
              </w:rPr>
              <w:t>Proposed RDBMS must be fully compatible and certified by the RDBMS vendor for the operating system of the database servers, installed on the DR location</w:t>
            </w:r>
            <w:r w:rsidR="00FD5243" w:rsidRPr="00FE4C05">
              <w:rPr>
                <w:sz w:val="24"/>
                <w:szCs w:val="24"/>
              </w:rPr>
              <w:t xml:space="preserve"> and the database servers "Database Servers – Virtualized UNIX/Linux hosts".</w:t>
            </w:r>
          </w:p>
        </w:tc>
      </w:tr>
      <w:tr w:rsidR="00285B1B" w:rsidRPr="00AC5790" w14:paraId="2D8F36F4" w14:textId="77777777" w:rsidTr="00285B1B">
        <w:trPr>
          <w:trHeight w:val="745"/>
        </w:trPr>
        <w:tc>
          <w:tcPr>
            <w:tcW w:w="584" w:type="pct"/>
            <w:tcBorders>
              <w:top w:val="single" w:sz="4" w:space="0" w:color="000000"/>
              <w:left w:val="single" w:sz="4" w:space="0" w:color="000000"/>
              <w:bottom w:val="single" w:sz="4" w:space="0" w:color="000000"/>
              <w:right w:val="single" w:sz="4" w:space="0" w:color="000000"/>
            </w:tcBorders>
          </w:tcPr>
          <w:p w14:paraId="6AFD90A7" w14:textId="77777777" w:rsidR="00285B1B" w:rsidRPr="00FE4C05" w:rsidRDefault="00285B1B" w:rsidP="009C72F0">
            <w:pPr>
              <w:pStyle w:val="TableParagraph"/>
              <w:spacing w:before="3" w:line="254" w:lineRule="auto"/>
              <w:rPr>
                <w:b/>
                <w:sz w:val="24"/>
                <w:szCs w:val="24"/>
              </w:rPr>
            </w:pPr>
          </w:p>
          <w:p w14:paraId="1CA3585F" w14:textId="77777777" w:rsidR="00285B1B" w:rsidRPr="00FE4C05" w:rsidRDefault="00285B1B" w:rsidP="009C72F0">
            <w:pPr>
              <w:pStyle w:val="TableParagraph"/>
              <w:spacing w:line="254" w:lineRule="auto"/>
              <w:ind w:left="107"/>
              <w:rPr>
                <w:sz w:val="24"/>
                <w:szCs w:val="24"/>
              </w:rPr>
            </w:pPr>
            <w:r w:rsidRPr="00FE4C05">
              <w:rPr>
                <w:sz w:val="24"/>
                <w:szCs w:val="24"/>
              </w:rPr>
              <w:t>2.4</w:t>
            </w:r>
          </w:p>
        </w:tc>
        <w:tc>
          <w:tcPr>
            <w:tcW w:w="4416" w:type="pct"/>
            <w:tcBorders>
              <w:top w:val="single" w:sz="4" w:space="0" w:color="000000"/>
              <w:left w:val="single" w:sz="4" w:space="0" w:color="000000"/>
              <w:bottom w:val="single" w:sz="4" w:space="0" w:color="000000"/>
              <w:right w:val="single" w:sz="4" w:space="0" w:color="000000"/>
            </w:tcBorders>
            <w:hideMark/>
          </w:tcPr>
          <w:p w14:paraId="4181F82C"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not limit the size of the database to be created.</w:t>
            </w:r>
          </w:p>
        </w:tc>
      </w:tr>
      <w:tr w:rsidR="00285B1B" w:rsidRPr="00AC5790" w14:paraId="7F11F4D6"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6A3BFA17" w14:textId="77777777" w:rsidR="00285B1B" w:rsidRPr="00FE4C05" w:rsidRDefault="00285B1B" w:rsidP="009C72F0">
            <w:pPr>
              <w:pStyle w:val="TableParagraph"/>
              <w:spacing w:before="161" w:line="254" w:lineRule="auto"/>
              <w:ind w:left="107"/>
              <w:rPr>
                <w:sz w:val="24"/>
                <w:szCs w:val="24"/>
              </w:rPr>
            </w:pPr>
            <w:r w:rsidRPr="00FE4C05">
              <w:rPr>
                <w:sz w:val="24"/>
                <w:szCs w:val="24"/>
              </w:rPr>
              <w:t>2.5</w:t>
            </w:r>
          </w:p>
        </w:tc>
        <w:tc>
          <w:tcPr>
            <w:tcW w:w="4416" w:type="pct"/>
            <w:tcBorders>
              <w:top w:val="single" w:sz="4" w:space="0" w:color="000000"/>
              <w:left w:val="single" w:sz="4" w:space="0" w:color="000000"/>
              <w:bottom w:val="single" w:sz="4" w:space="0" w:color="000000"/>
              <w:right w:val="single" w:sz="4" w:space="0" w:color="000000"/>
            </w:tcBorders>
            <w:hideMark/>
          </w:tcPr>
          <w:p w14:paraId="19F64130" w14:textId="77777777" w:rsidR="00285B1B" w:rsidRPr="00FE4C05" w:rsidRDefault="00285B1B" w:rsidP="009C72F0">
            <w:pPr>
              <w:pStyle w:val="TableParagraph"/>
              <w:spacing w:before="113" w:line="250" w:lineRule="atLeast"/>
              <w:ind w:left="107" w:right="107"/>
              <w:rPr>
                <w:sz w:val="24"/>
                <w:szCs w:val="24"/>
              </w:rPr>
            </w:pPr>
            <w:r w:rsidRPr="00FE4C05">
              <w:rPr>
                <w:sz w:val="24"/>
                <w:szCs w:val="24"/>
              </w:rPr>
              <w:t xml:space="preserve">Proposed RDBMS must support concurrent multi- user access and must not limit the number of </w:t>
            </w:r>
            <w:bookmarkStart w:id="749" w:name="_Hlk151648661"/>
            <w:r w:rsidRPr="00FE4C05">
              <w:rPr>
                <w:sz w:val="24"/>
                <w:szCs w:val="24"/>
              </w:rPr>
              <w:t>connected users.</w:t>
            </w:r>
            <w:bookmarkEnd w:id="749"/>
          </w:p>
        </w:tc>
      </w:tr>
      <w:tr w:rsidR="00285B1B" w:rsidRPr="00AC5790" w14:paraId="5987A8C8"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6EEAAE99" w14:textId="77777777" w:rsidR="00285B1B" w:rsidRPr="00FE4C05" w:rsidRDefault="00285B1B" w:rsidP="009C72F0">
            <w:pPr>
              <w:pStyle w:val="TableParagraph"/>
              <w:spacing w:before="161" w:line="254" w:lineRule="auto"/>
              <w:ind w:left="107"/>
              <w:rPr>
                <w:sz w:val="24"/>
                <w:szCs w:val="24"/>
              </w:rPr>
            </w:pPr>
            <w:r w:rsidRPr="00FE4C05">
              <w:rPr>
                <w:sz w:val="24"/>
                <w:szCs w:val="24"/>
              </w:rPr>
              <w:t>2.6</w:t>
            </w:r>
          </w:p>
        </w:tc>
        <w:tc>
          <w:tcPr>
            <w:tcW w:w="4416" w:type="pct"/>
            <w:tcBorders>
              <w:top w:val="single" w:sz="4" w:space="0" w:color="000000"/>
              <w:left w:val="single" w:sz="4" w:space="0" w:color="000000"/>
              <w:bottom w:val="single" w:sz="4" w:space="0" w:color="000000"/>
              <w:right w:val="single" w:sz="4" w:space="0" w:color="000000"/>
            </w:tcBorders>
            <w:hideMark/>
          </w:tcPr>
          <w:p w14:paraId="3C392356"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Proposed RDBMS must be 100% compatible with common Internet/intranet platforms and Internet browsers.</w:t>
            </w:r>
          </w:p>
        </w:tc>
      </w:tr>
      <w:tr w:rsidR="00285B1B" w:rsidRPr="00AC5790" w14:paraId="04D6FF89"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4462F82B" w14:textId="77777777" w:rsidR="00285B1B" w:rsidRPr="00FE4C05" w:rsidRDefault="00285B1B" w:rsidP="009C72F0">
            <w:pPr>
              <w:pStyle w:val="TableParagraph"/>
              <w:spacing w:before="161" w:line="254" w:lineRule="auto"/>
              <w:ind w:left="107"/>
              <w:rPr>
                <w:sz w:val="24"/>
                <w:szCs w:val="24"/>
              </w:rPr>
            </w:pPr>
            <w:r w:rsidRPr="00FE4C05">
              <w:rPr>
                <w:sz w:val="24"/>
                <w:szCs w:val="24"/>
              </w:rPr>
              <w:t>2.7</w:t>
            </w:r>
          </w:p>
        </w:tc>
        <w:tc>
          <w:tcPr>
            <w:tcW w:w="4416" w:type="pct"/>
            <w:tcBorders>
              <w:top w:val="single" w:sz="4" w:space="0" w:color="000000"/>
              <w:left w:val="single" w:sz="4" w:space="0" w:color="000000"/>
              <w:bottom w:val="single" w:sz="4" w:space="0" w:color="000000"/>
              <w:right w:val="single" w:sz="4" w:space="0" w:color="000000"/>
            </w:tcBorders>
            <w:hideMark/>
          </w:tcPr>
          <w:p w14:paraId="23D75899"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Proposed RDBMS must support Unicode character set, as well as official languages of North Macedonia and English language.</w:t>
            </w:r>
          </w:p>
        </w:tc>
      </w:tr>
      <w:tr w:rsidR="00285B1B" w:rsidRPr="00AC5790" w14:paraId="482B3428"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4715CBF6" w14:textId="77777777" w:rsidR="00285B1B" w:rsidRPr="00FE4C05" w:rsidRDefault="00285B1B" w:rsidP="009C72F0">
            <w:pPr>
              <w:pStyle w:val="TableParagraph"/>
              <w:spacing w:before="161" w:line="254" w:lineRule="auto"/>
              <w:ind w:left="107"/>
              <w:rPr>
                <w:sz w:val="24"/>
                <w:szCs w:val="24"/>
              </w:rPr>
            </w:pPr>
            <w:r w:rsidRPr="00FE4C05">
              <w:rPr>
                <w:sz w:val="24"/>
                <w:szCs w:val="24"/>
              </w:rPr>
              <w:t>2.8</w:t>
            </w:r>
          </w:p>
        </w:tc>
        <w:tc>
          <w:tcPr>
            <w:tcW w:w="4416" w:type="pct"/>
            <w:tcBorders>
              <w:top w:val="single" w:sz="4" w:space="0" w:color="000000"/>
              <w:left w:val="single" w:sz="4" w:space="0" w:color="000000"/>
              <w:bottom w:val="single" w:sz="4" w:space="0" w:color="000000"/>
              <w:right w:val="single" w:sz="4" w:space="0" w:color="000000"/>
            </w:tcBorders>
            <w:hideMark/>
          </w:tcPr>
          <w:p w14:paraId="2A3E881E" w14:textId="77777777" w:rsidR="00285B1B" w:rsidRPr="00FE4C05" w:rsidRDefault="00285B1B" w:rsidP="009C72F0">
            <w:pPr>
              <w:pStyle w:val="TableParagraph"/>
              <w:spacing w:before="113" w:line="254" w:lineRule="auto"/>
              <w:ind w:left="107" w:right="97"/>
              <w:rPr>
                <w:sz w:val="24"/>
                <w:szCs w:val="24"/>
              </w:rPr>
            </w:pPr>
            <w:r w:rsidRPr="00FE4C05">
              <w:rPr>
                <w:sz w:val="24"/>
                <w:szCs w:val="24"/>
              </w:rPr>
              <w:t xml:space="preserve">Proposed RDBMS must support a Web </w:t>
            </w:r>
            <w:proofErr w:type="gramStart"/>
            <w:r w:rsidRPr="00FE4C05">
              <w:rPr>
                <w:sz w:val="24"/>
                <w:szCs w:val="24"/>
              </w:rPr>
              <w:t>browser based</w:t>
            </w:r>
            <w:proofErr w:type="gramEnd"/>
            <w:r w:rsidRPr="00FE4C05">
              <w:rPr>
                <w:sz w:val="24"/>
                <w:szCs w:val="24"/>
              </w:rPr>
              <w:t xml:space="preserve"> console interface and remote administration utility for administration, maintenance, backup/recovery, </w:t>
            </w:r>
            <w:r w:rsidRPr="00FE4C05">
              <w:rPr>
                <w:sz w:val="24"/>
                <w:szCs w:val="24"/>
              </w:rPr>
              <w:lastRenderedPageBreak/>
              <w:t>monitoring and</w:t>
            </w:r>
            <w:r w:rsidRPr="00FE4C05">
              <w:rPr>
                <w:spacing w:val="-5"/>
                <w:sz w:val="24"/>
                <w:szCs w:val="24"/>
              </w:rPr>
              <w:t xml:space="preserve"> </w:t>
            </w:r>
            <w:r w:rsidRPr="00FE4C05">
              <w:rPr>
                <w:sz w:val="24"/>
                <w:szCs w:val="24"/>
              </w:rPr>
              <w:t>tuning.</w:t>
            </w:r>
          </w:p>
        </w:tc>
      </w:tr>
      <w:tr w:rsidR="00285B1B" w:rsidRPr="00AC5790" w14:paraId="146BA5A3"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4DC59318" w14:textId="3D34CF44" w:rsidR="00285B1B" w:rsidRPr="00FE4C05" w:rsidRDefault="002B4C31" w:rsidP="009C72F0">
            <w:pPr>
              <w:pStyle w:val="TableParagraph"/>
              <w:spacing w:before="161" w:line="254" w:lineRule="auto"/>
              <w:ind w:left="107"/>
              <w:rPr>
                <w:sz w:val="24"/>
                <w:szCs w:val="24"/>
              </w:rPr>
            </w:pPr>
            <w:r w:rsidRPr="00FE4C05">
              <w:rPr>
                <w:sz w:val="24"/>
                <w:szCs w:val="24"/>
              </w:rPr>
              <w:lastRenderedPageBreak/>
              <w:t>2.9</w:t>
            </w:r>
          </w:p>
        </w:tc>
        <w:tc>
          <w:tcPr>
            <w:tcW w:w="4416" w:type="pct"/>
            <w:tcBorders>
              <w:top w:val="single" w:sz="4" w:space="0" w:color="000000"/>
              <w:left w:val="single" w:sz="4" w:space="0" w:color="000000"/>
              <w:bottom w:val="single" w:sz="4" w:space="0" w:color="000000"/>
              <w:right w:val="single" w:sz="4" w:space="0" w:color="000000"/>
            </w:tcBorders>
            <w:hideMark/>
          </w:tcPr>
          <w:p w14:paraId="2FA8CD32"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built-in support for developing stored procedures, functions, and packages (collections of procedures and functions).</w:t>
            </w:r>
          </w:p>
        </w:tc>
      </w:tr>
      <w:tr w:rsidR="00285B1B" w:rsidRPr="00AC5790" w14:paraId="6B8423D8"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00BE22B4" w14:textId="75E31F48" w:rsidR="00285B1B" w:rsidRPr="00FE4C05" w:rsidRDefault="00285B1B" w:rsidP="002B4C31">
            <w:pPr>
              <w:pStyle w:val="TableParagraph"/>
              <w:spacing w:before="161" w:line="254" w:lineRule="auto"/>
              <w:ind w:left="107"/>
              <w:rPr>
                <w:sz w:val="24"/>
                <w:szCs w:val="24"/>
              </w:rPr>
            </w:pPr>
            <w:r w:rsidRPr="00FE4C05">
              <w:rPr>
                <w:sz w:val="24"/>
                <w:szCs w:val="24"/>
              </w:rPr>
              <w:t>2.1</w:t>
            </w:r>
            <w:r w:rsidR="002B4C31" w:rsidRPr="00FE4C05">
              <w:rPr>
                <w:sz w:val="24"/>
                <w:szCs w:val="24"/>
              </w:rPr>
              <w:t>0</w:t>
            </w:r>
          </w:p>
        </w:tc>
        <w:tc>
          <w:tcPr>
            <w:tcW w:w="4416" w:type="pct"/>
            <w:tcBorders>
              <w:top w:val="single" w:sz="4" w:space="0" w:color="000000"/>
              <w:left w:val="single" w:sz="4" w:space="0" w:color="000000"/>
              <w:bottom w:val="single" w:sz="4" w:space="0" w:color="000000"/>
              <w:right w:val="single" w:sz="4" w:space="0" w:color="000000"/>
            </w:tcBorders>
            <w:hideMark/>
          </w:tcPr>
          <w:p w14:paraId="1946079E"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have built-in support for stored procedures, functions, and packages compilation during development and before execution.</w:t>
            </w:r>
          </w:p>
        </w:tc>
      </w:tr>
      <w:tr w:rsidR="00285B1B" w:rsidRPr="00AC5790" w14:paraId="5D02E2BE"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00EBF595" w14:textId="105388C4" w:rsidR="00285B1B" w:rsidRPr="00FE4C05" w:rsidRDefault="002B4C31" w:rsidP="009C72F0">
            <w:pPr>
              <w:pStyle w:val="TableParagraph"/>
              <w:spacing w:before="161" w:line="254" w:lineRule="auto"/>
              <w:ind w:left="107"/>
              <w:rPr>
                <w:sz w:val="24"/>
                <w:szCs w:val="24"/>
              </w:rPr>
            </w:pPr>
            <w:r w:rsidRPr="00FE4C05">
              <w:rPr>
                <w:sz w:val="24"/>
                <w:szCs w:val="24"/>
              </w:rPr>
              <w:t>2.11</w:t>
            </w:r>
          </w:p>
        </w:tc>
        <w:tc>
          <w:tcPr>
            <w:tcW w:w="4416" w:type="pct"/>
            <w:tcBorders>
              <w:top w:val="single" w:sz="4" w:space="0" w:color="000000"/>
              <w:left w:val="single" w:sz="4" w:space="0" w:color="000000"/>
              <w:bottom w:val="single" w:sz="4" w:space="0" w:color="000000"/>
              <w:right w:val="single" w:sz="4" w:space="0" w:color="000000"/>
            </w:tcBorders>
            <w:hideMark/>
          </w:tcPr>
          <w:p w14:paraId="7738F80B"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 xml:space="preserve">Proposed RDBMS must support permissions assigned to database objects based on privileges, </w:t>
            </w:r>
            <w:proofErr w:type="gramStart"/>
            <w:r w:rsidRPr="00FE4C05">
              <w:rPr>
                <w:sz w:val="24"/>
                <w:szCs w:val="24"/>
              </w:rPr>
              <w:t>users</w:t>
            </w:r>
            <w:proofErr w:type="gramEnd"/>
            <w:r w:rsidRPr="00FE4C05">
              <w:rPr>
                <w:sz w:val="24"/>
                <w:szCs w:val="24"/>
              </w:rPr>
              <w:t xml:space="preserve"> and</w:t>
            </w:r>
            <w:r w:rsidRPr="00FE4C05">
              <w:rPr>
                <w:spacing w:val="-4"/>
                <w:sz w:val="24"/>
                <w:szCs w:val="24"/>
              </w:rPr>
              <w:t xml:space="preserve"> </w:t>
            </w:r>
            <w:r w:rsidRPr="00FE4C05">
              <w:rPr>
                <w:sz w:val="24"/>
                <w:szCs w:val="24"/>
              </w:rPr>
              <w:t>roles.</w:t>
            </w:r>
          </w:p>
        </w:tc>
      </w:tr>
      <w:tr w:rsidR="00285B1B" w:rsidRPr="00AC5790" w14:paraId="38263FB8"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52C18D9B" w14:textId="5C1F3823" w:rsidR="00285B1B" w:rsidRPr="00FE4C05" w:rsidRDefault="002B4C31" w:rsidP="009C72F0">
            <w:pPr>
              <w:pStyle w:val="TableParagraph"/>
              <w:spacing w:before="161" w:line="254" w:lineRule="auto"/>
              <w:ind w:left="107"/>
              <w:rPr>
                <w:sz w:val="24"/>
                <w:szCs w:val="24"/>
              </w:rPr>
            </w:pPr>
            <w:r w:rsidRPr="00FE4C05">
              <w:rPr>
                <w:sz w:val="24"/>
                <w:szCs w:val="24"/>
              </w:rPr>
              <w:t>2.12</w:t>
            </w:r>
          </w:p>
        </w:tc>
        <w:tc>
          <w:tcPr>
            <w:tcW w:w="4416" w:type="pct"/>
            <w:tcBorders>
              <w:top w:val="single" w:sz="4" w:space="0" w:color="000000"/>
              <w:left w:val="single" w:sz="4" w:space="0" w:color="000000"/>
              <w:bottom w:val="single" w:sz="4" w:space="0" w:color="000000"/>
              <w:right w:val="single" w:sz="4" w:space="0" w:color="000000"/>
            </w:tcBorders>
            <w:hideMark/>
          </w:tcPr>
          <w:p w14:paraId="66625371" w14:textId="77777777" w:rsidR="00285B1B" w:rsidRPr="00FE4C05" w:rsidRDefault="00285B1B" w:rsidP="009C72F0">
            <w:pPr>
              <w:pStyle w:val="TableParagraph"/>
              <w:spacing w:before="116" w:line="254" w:lineRule="auto"/>
              <w:ind w:left="107"/>
              <w:rPr>
                <w:sz w:val="24"/>
                <w:szCs w:val="24"/>
              </w:rPr>
            </w:pPr>
            <w:r w:rsidRPr="00FE4C05">
              <w:rPr>
                <w:sz w:val="24"/>
                <w:szCs w:val="24"/>
              </w:rPr>
              <w:t>Proposed RDBMS must provide an audit mechanism.</w:t>
            </w:r>
          </w:p>
        </w:tc>
      </w:tr>
      <w:tr w:rsidR="00285B1B" w:rsidRPr="00AC5790" w14:paraId="7F9935EF"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2E673D54" w14:textId="495234E4" w:rsidR="00285B1B" w:rsidRPr="00FE4C05" w:rsidRDefault="002B4C31" w:rsidP="009C72F0">
            <w:pPr>
              <w:pStyle w:val="TableParagraph"/>
              <w:spacing w:before="161" w:line="254" w:lineRule="auto"/>
              <w:ind w:left="107"/>
              <w:rPr>
                <w:sz w:val="24"/>
                <w:szCs w:val="24"/>
              </w:rPr>
            </w:pPr>
            <w:r w:rsidRPr="00FE4C05">
              <w:rPr>
                <w:sz w:val="24"/>
                <w:szCs w:val="24"/>
              </w:rPr>
              <w:t>2.13</w:t>
            </w:r>
          </w:p>
        </w:tc>
        <w:tc>
          <w:tcPr>
            <w:tcW w:w="4416" w:type="pct"/>
            <w:tcBorders>
              <w:top w:val="single" w:sz="4" w:space="0" w:color="000000"/>
              <w:left w:val="single" w:sz="4" w:space="0" w:color="000000"/>
              <w:bottom w:val="single" w:sz="4" w:space="0" w:color="000000"/>
              <w:right w:val="single" w:sz="4" w:space="0" w:color="000000"/>
            </w:tcBorders>
            <w:hideMark/>
          </w:tcPr>
          <w:p w14:paraId="49A87DEE"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provide network encryption for the data sent between the client and server.</w:t>
            </w:r>
          </w:p>
        </w:tc>
      </w:tr>
      <w:tr w:rsidR="00285B1B" w:rsidRPr="00AC5790" w14:paraId="7B016C56"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33B71A92" w14:textId="6E4C3CC0" w:rsidR="00285B1B" w:rsidRPr="00FE4C05" w:rsidRDefault="002B4C31" w:rsidP="009C72F0">
            <w:pPr>
              <w:pStyle w:val="TableParagraph"/>
              <w:spacing w:before="161" w:line="254" w:lineRule="auto"/>
              <w:ind w:left="107"/>
              <w:rPr>
                <w:sz w:val="24"/>
                <w:szCs w:val="24"/>
              </w:rPr>
            </w:pPr>
            <w:r w:rsidRPr="00FE4C05">
              <w:rPr>
                <w:sz w:val="24"/>
                <w:szCs w:val="24"/>
              </w:rPr>
              <w:t>2.14</w:t>
            </w:r>
          </w:p>
        </w:tc>
        <w:tc>
          <w:tcPr>
            <w:tcW w:w="4416" w:type="pct"/>
            <w:tcBorders>
              <w:top w:val="single" w:sz="4" w:space="0" w:color="000000"/>
              <w:left w:val="single" w:sz="4" w:space="0" w:color="000000"/>
              <w:bottom w:val="single" w:sz="4" w:space="0" w:color="000000"/>
              <w:right w:val="single" w:sz="4" w:space="0" w:color="000000"/>
            </w:tcBorders>
            <w:hideMark/>
          </w:tcPr>
          <w:p w14:paraId="1283198D"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Proposed RDBMS must support complete and incremental backup/recovery. Backup functionality must support online operations in such way that backup of database can be done while database is up and running.</w:t>
            </w:r>
          </w:p>
        </w:tc>
      </w:tr>
      <w:tr w:rsidR="00285B1B" w:rsidRPr="00AC5790" w14:paraId="4CA974E5"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00A60F30" w14:textId="6388B99D" w:rsidR="00285B1B" w:rsidRPr="00FE4C05" w:rsidRDefault="002B4C31" w:rsidP="009C72F0">
            <w:pPr>
              <w:pStyle w:val="TableParagraph"/>
              <w:spacing w:before="161" w:line="254" w:lineRule="auto"/>
              <w:ind w:left="107"/>
              <w:rPr>
                <w:sz w:val="24"/>
                <w:szCs w:val="24"/>
              </w:rPr>
            </w:pPr>
            <w:r w:rsidRPr="00FE4C05">
              <w:rPr>
                <w:sz w:val="24"/>
                <w:szCs w:val="24"/>
              </w:rPr>
              <w:t>2.15</w:t>
            </w:r>
          </w:p>
        </w:tc>
        <w:tc>
          <w:tcPr>
            <w:tcW w:w="4416" w:type="pct"/>
            <w:tcBorders>
              <w:top w:val="single" w:sz="4" w:space="0" w:color="000000"/>
              <w:left w:val="single" w:sz="4" w:space="0" w:color="000000"/>
              <w:bottom w:val="single" w:sz="4" w:space="0" w:color="000000"/>
              <w:right w:val="single" w:sz="4" w:space="0" w:color="000000"/>
            </w:tcBorders>
            <w:hideMark/>
          </w:tcPr>
          <w:p w14:paraId="7DA1664C"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Proposed RDBMS must support automatic recovery in case of a transaction or system failure.</w:t>
            </w:r>
          </w:p>
        </w:tc>
      </w:tr>
      <w:tr w:rsidR="00285B1B" w:rsidRPr="00AC5790" w14:paraId="07C1F62C"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1BF65DA5" w14:textId="792D3CF4" w:rsidR="00285B1B" w:rsidRPr="00FE4C05" w:rsidRDefault="002B4C31" w:rsidP="009C72F0">
            <w:pPr>
              <w:pStyle w:val="TableParagraph"/>
              <w:spacing w:before="161" w:line="254" w:lineRule="auto"/>
              <w:ind w:left="107"/>
              <w:rPr>
                <w:sz w:val="24"/>
                <w:szCs w:val="24"/>
              </w:rPr>
            </w:pPr>
            <w:r w:rsidRPr="00FE4C05">
              <w:rPr>
                <w:sz w:val="24"/>
                <w:szCs w:val="24"/>
              </w:rPr>
              <w:t>2.16</w:t>
            </w:r>
          </w:p>
        </w:tc>
        <w:tc>
          <w:tcPr>
            <w:tcW w:w="4416" w:type="pct"/>
            <w:tcBorders>
              <w:top w:val="single" w:sz="4" w:space="0" w:color="000000"/>
              <w:left w:val="single" w:sz="4" w:space="0" w:color="000000"/>
              <w:bottom w:val="single" w:sz="4" w:space="0" w:color="000000"/>
              <w:right w:val="single" w:sz="4" w:space="0" w:color="000000"/>
            </w:tcBorders>
            <w:hideMark/>
          </w:tcPr>
          <w:p w14:paraId="55733E5C"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Proposed RDBMS must have support for alphanumeric, unstructured data, XML as well as spatial data.</w:t>
            </w:r>
          </w:p>
        </w:tc>
      </w:tr>
      <w:tr w:rsidR="00285B1B" w:rsidRPr="00AC5790" w14:paraId="41DF4E4F"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370D9E26" w14:textId="6D13FEC3" w:rsidR="00285B1B" w:rsidRPr="00FE4C05" w:rsidRDefault="002B4C31" w:rsidP="009C72F0">
            <w:pPr>
              <w:pStyle w:val="TableParagraph"/>
              <w:spacing w:before="161" w:line="254" w:lineRule="auto"/>
              <w:ind w:left="107"/>
              <w:rPr>
                <w:sz w:val="24"/>
                <w:szCs w:val="24"/>
              </w:rPr>
            </w:pPr>
            <w:r w:rsidRPr="00FE4C05">
              <w:rPr>
                <w:sz w:val="24"/>
                <w:szCs w:val="24"/>
              </w:rPr>
              <w:t>2.17</w:t>
            </w:r>
          </w:p>
        </w:tc>
        <w:tc>
          <w:tcPr>
            <w:tcW w:w="4416" w:type="pct"/>
            <w:tcBorders>
              <w:top w:val="single" w:sz="4" w:space="0" w:color="000000"/>
              <w:left w:val="single" w:sz="4" w:space="0" w:color="000000"/>
              <w:bottom w:val="single" w:sz="4" w:space="0" w:color="000000"/>
              <w:right w:val="single" w:sz="4" w:space="0" w:color="000000"/>
            </w:tcBorders>
            <w:hideMark/>
          </w:tcPr>
          <w:p w14:paraId="2078D912" w14:textId="77777777" w:rsidR="00285B1B" w:rsidRPr="00FE4C05" w:rsidRDefault="00285B1B" w:rsidP="009C72F0">
            <w:pPr>
              <w:pStyle w:val="TableParagraph"/>
              <w:spacing w:before="113" w:line="254" w:lineRule="auto"/>
              <w:ind w:left="107"/>
              <w:rPr>
                <w:sz w:val="24"/>
                <w:szCs w:val="24"/>
              </w:rPr>
            </w:pPr>
            <w:r w:rsidRPr="00FE4C05">
              <w:rPr>
                <w:sz w:val="24"/>
                <w:szCs w:val="24"/>
              </w:rPr>
              <w:t>Spatial features of RDBMS must support:</w:t>
            </w:r>
          </w:p>
          <w:p w14:paraId="572C4308" w14:textId="77777777" w:rsidR="00285B1B" w:rsidRPr="00FE4C05" w:rsidRDefault="00285B1B" w:rsidP="009C72F0">
            <w:pPr>
              <w:pStyle w:val="TableParagraph"/>
              <w:spacing w:line="276" w:lineRule="auto"/>
              <w:ind w:left="467" w:right="91"/>
              <w:rPr>
                <w:sz w:val="24"/>
                <w:szCs w:val="24"/>
              </w:rPr>
            </w:pPr>
            <w:r w:rsidRPr="00FE4C05">
              <w:rPr>
                <w:sz w:val="24"/>
                <w:szCs w:val="24"/>
              </w:rPr>
              <w:t>Spatial data must support different geometry types such as: points,</w:t>
            </w:r>
            <w:r w:rsidRPr="00FE4C05">
              <w:rPr>
                <w:spacing w:val="19"/>
                <w:sz w:val="24"/>
                <w:szCs w:val="24"/>
              </w:rPr>
              <w:t xml:space="preserve"> </w:t>
            </w:r>
            <w:r w:rsidRPr="00FE4C05">
              <w:rPr>
                <w:sz w:val="24"/>
                <w:szCs w:val="24"/>
              </w:rPr>
              <w:t xml:space="preserve">multi-points, lines, line </w:t>
            </w:r>
            <w:bookmarkStart w:id="750" w:name="_Hlk151648721"/>
            <w:r w:rsidRPr="00FE4C05">
              <w:rPr>
                <w:sz w:val="24"/>
                <w:szCs w:val="24"/>
              </w:rPr>
              <w:t>strings, multi-line strings, polygons, multi- polygons, surfaces, multiple surfaces, 3-D geometry, and point cloud storage.</w:t>
            </w:r>
          </w:p>
          <w:p w14:paraId="58146C49" w14:textId="77777777" w:rsidR="00285B1B" w:rsidRPr="00FE4C05" w:rsidRDefault="00285B1B" w:rsidP="00D530D5">
            <w:pPr>
              <w:pStyle w:val="TableParagraph"/>
              <w:numPr>
                <w:ilvl w:val="0"/>
                <w:numId w:val="201"/>
              </w:numPr>
              <w:tabs>
                <w:tab w:val="left" w:pos="468"/>
              </w:tabs>
              <w:spacing w:line="276" w:lineRule="auto"/>
              <w:ind w:right="94"/>
              <w:rPr>
                <w:sz w:val="24"/>
                <w:szCs w:val="24"/>
              </w:rPr>
            </w:pPr>
            <w:r w:rsidRPr="00FE4C05">
              <w:rPr>
                <w:sz w:val="24"/>
                <w:szCs w:val="24"/>
              </w:rPr>
              <w:t xml:space="preserve">Spatial operators for determining geospatial measurements like area, distance, </w:t>
            </w:r>
            <w:proofErr w:type="gramStart"/>
            <w:r w:rsidRPr="00FE4C05">
              <w:rPr>
                <w:sz w:val="24"/>
                <w:szCs w:val="24"/>
              </w:rPr>
              <w:t>length</w:t>
            </w:r>
            <w:proofErr w:type="gramEnd"/>
            <w:r w:rsidRPr="00FE4C05">
              <w:rPr>
                <w:sz w:val="24"/>
                <w:szCs w:val="24"/>
              </w:rPr>
              <w:t xml:space="preserve"> and perimeter, as well as geospatial set operations like union, difference, and symmetric</w:t>
            </w:r>
            <w:r w:rsidRPr="00FE4C05">
              <w:rPr>
                <w:spacing w:val="-11"/>
                <w:sz w:val="24"/>
                <w:szCs w:val="24"/>
              </w:rPr>
              <w:t xml:space="preserve"> </w:t>
            </w:r>
            <w:r w:rsidRPr="00FE4C05">
              <w:rPr>
                <w:sz w:val="24"/>
                <w:szCs w:val="24"/>
              </w:rPr>
              <w:t>difference.</w:t>
            </w:r>
          </w:p>
          <w:p w14:paraId="228B1951" w14:textId="77777777" w:rsidR="00285B1B" w:rsidRPr="00FE4C05" w:rsidRDefault="00285B1B" w:rsidP="00D530D5">
            <w:pPr>
              <w:pStyle w:val="TableParagraph"/>
              <w:numPr>
                <w:ilvl w:val="0"/>
                <w:numId w:val="201"/>
              </w:numPr>
              <w:tabs>
                <w:tab w:val="left" w:pos="468"/>
              </w:tabs>
              <w:spacing w:line="276" w:lineRule="auto"/>
              <w:ind w:right="97"/>
              <w:rPr>
                <w:sz w:val="24"/>
                <w:szCs w:val="24"/>
              </w:rPr>
            </w:pPr>
            <w:r w:rsidRPr="00FE4C05">
              <w:rPr>
                <w:sz w:val="24"/>
                <w:szCs w:val="24"/>
              </w:rPr>
              <w:t>Data models such as: topology data model for working with data about nodes, edges, and faces in a topology, network data model to model and analyze link-node graphs to represent physical and logical networks used in transportation,</w:t>
            </w:r>
            <w:r w:rsidRPr="00FE4C05">
              <w:rPr>
                <w:spacing w:val="-12"/>
                <w:sz w:val="24"/>
                <w:szCs w:val="24"/>
              </w:rPr>
              <w:t xml:space="preserve"> </w:t>
            </w:r>
            <w:r w:rsidRPr="00FE4C05">
              <w:rPr>
                <w:sz w:val="24"/>
                <w:szCs w:val="24"/>
              </w:rPr>
              <w:t>etc.</w:t>
            </w:r>
          </w:p>
          <w:p w14:paraId="4D570860" w14:textId="77777777" w:rsidR="00285B1B" w:rsidRPr="00FE4C05" w:rsidRDefault="00285B1B" w:rsidP="00D530D5">
            <w:pPr>
              <w:pStyle w:val="TableParagraph"/>
              <w:numPr>
                <w:ilvl w:val="0"/>
                <w:numId w:val="201"/>
              </w:numPr>
              <w:tabs>
                <w:tab w:val="left" w:pos="468"/>
              </w:tabs>
              <w:spacing w:line="276" w:lineRule="auto"/>
              <w:ind w:right="97"/>
              <w:rPr>
                <w:sz w:val="24"/>
                <w:szCs w:val="24"/>
              </w:rPr>
            </w:pPr>
            <w:r w:rsidRPr="00FE4C05">
              <w:rPr>
                <w:sz w:val="24"/>
                <w:szCs w:val="24"/>
              </w:rPr>
              <w:t>Raster data to store, index, query, analyze, and deliver data as raster image and its associated metadata.</w:t>
            </w:r>
          </w:p>
          <w:p w14:paraId="1EE91D73" w14:textId="77777777" w:rsidR="00285B1B" w:rsidRPr="00FE4C05" w:rsidRDefault="00285B1B" w:rsidP="00D530D5">
            <w:pPr>
              <w:pStyle w:val="TableParagraph"/>
              <w:numPr>
                <w:ilvl w:val="0"/>
                <w:numId w:val="202"/>
              </w:numPr>
              <w:tabs>
                <w:tab w:val="left" w:pos="468"/>
              </w:tabs>
              <w:spacing w:before="97" w:line="290" w:lineRule="atLeast"/>
              <w:ind w:right="95"/>
              <w:rPr>
                <w:sz w:val="24"/>
                <w:szCs w:val="24"/>
              </w:rPr>
            </w:pPr>
            <w:r w:rsidRPr="00FE4C05">
              <w:rPr>
                <w:sz w:val="24"/>
                <w:szCs w:val="24"/>
              </w:rPr>
              <w:t>Graphs such as property and RDF (Resource Description Framework)</w:t>
            </w:r>
            <w:r w:rsidRPr="00FE4C05">
              <w:rPr>
                <w:spacing w:val="-1"/>
                <w:sz w:val="24"/>
                <w:szCs w:val="24"/>
              </w:rPr>
              <w:t xml:space="preserve"> </w:t>
            </w:r>
            <w:r w:rsidRPr="00FE4C05">
              <w:rPr>
                <w:sz w:val="24"/>
                <w:szCs w:val="24"/>
              </w:rPr>
              <w:t>graphs.</w:t>
            </w:r>
            <w:bookmarkEnd w:id="750"/>
          </w:p>
        </w:tc>
      </w:tr>
      <w:tr w:rsidR="00285B1B" w:rsidRPr="00AC5790" w14:paraId="1B50554D"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2ECBFC80" w14:textId="472CB7AA" w:rsidR="00285B1B" w:rsidRPr="00FE4C05" w:rsidRDefault="002B4C31" w:rsidP="009C72F0">
            <w:pPr>
              <w:pStyle w:val="TableParagraph"/>
              <w:spacing w:before="161" w:line="254" w:lineRule="auto"/>
              <w:ind w:left="107"/>
              <w:rPr>
                <w:sz w:val="24"/>
                <w:szCs w:val="24"/>
              </w:rPr>
            </w:pPr>
            <w:r w:rsidRPr="00FE4C05">
              <w:rPr>
                <w:sz w:val="24"/>
                <w:szCs w:val="24"/>
              </w:rPr>
              <w:t>2.18</w:t>
            </w:r>
          </w:p>
        </w:tc>
        <w:tc>
          <w:tcPr>
            <w:tcW w:w="4416" w:type="pct"/>
            <w:tcBorders>
              <w:top w:val="single" w:sz="4" w:space="0" w:color="000000"/>
              <w:left w:val="single" w:sz="4" w:space="0" w:color="000000"/>
              <w:bottom w:val="single" w:sz="4" w:space="0" w:color="000000"/>
              <w:right w:val="single" w:sz="4" w:space="0" w:color="000000"/>
            </w:tcBorders>
            <w:hideMark/>
          </w:tcPr>
          <w:p w14:paraId="62A27F22" w14:textId="77777777" w:rsidR="00285B1B" w:rsidRPr="00FE4C05" w:rsidRDefault="00285B1B" w:rsidP="009C72F0">
            <w:pPr>
              <w:pStyle w:val="TableParagraph"/>
              <w:spacing w:before="113" w:line="254" w:lineRule="auto"/>
              <w:ind w:left="107" w:right="93"/>
              <w:rPr>
                <w:sz w:val="24"/>
                <w:szCs w:val="24"/>
              </w:rPr>
            </w:pPr>
            <w:r w:rsidRPr="00FE4C05">
              <w:rPr>
                <w:sz w:val="24"/>
                <w:szCs w:val="24"/>
              </w:rPr>
              <w:t xml:space="preserve">Proposed RDBMS must have support for Machine Learning (ML) features including but not limited </w:t>
            </w:r>
            <w:proofErr w:type="gramStart"/>
            <w:r w:rsidRPr="00FE4C05">
              <w:rPr>
                <w:sz w:val="24"/>
                <w:szCs w:val="24"/>
              </w:rPr>
              <w:t>to:</w:t>
            </w:r>
            <w:proofErr w:type="gramEnd"/>
            <w:r w:rsidRPr="00FE4C05">
              <w:rPr>
                <w:sz w:val="24"/>
                <w:szCs w:val="24"/>
              </w:rPr>
              <w:t xml:space="preserve"> development of ML models and ML model scoring, predictive analytics which can use ML algorithms implemented as SQL functions, and built-in integration with open-source R language.</w:t>
            </w:r>
          </w:p>
        </w:tc>
      </w:tr>
      <w:tr w:rsidR="00285B1B" w:rsidRPr="00AC5790" w14:paraId="199DF331"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73E53706" w14:textId="303B21DC" w:rsidR="00285B1B" w:rsidRPr="00FE4C05" w:rsidRDefault="002B4C31" w:rsidP="009C72F0">
            <w:pPr>
              <w:pStyle w:val="TableParagraph"/>
              <w:spacing w:before="161" w:line="254" w:lineRule="auto"/>
              <w:ind w:left="107"/>
              <w:rPr>
                <w:sz w:val="24"/>
                <w:szCs w:val="24"/>
              </w:rPr>
            </w:pPr>
            <w:r w:rsidRPr="00FE4C05">
              <w:rPr>
                <w:sz w:val="24"/>
                <w:szCs w:val="24"/>
              </w:rPr>
              <w:lastRenderedPageBreak/>
              <w:t>2.19</w:t>
            </w:r>
          </w:p>
        </w:tc>
        <w:tc>
          <w:tcPr>
            <w:tcW w:w="4416" w:type="pct"/>
            <w:tcBorders>
              <w:top w:val="single" w:sz="4" w:space="0" w:color="000000"/>
              <w:left w:val="single" w:sz="4" w:space="0" w:color="000000"/>
              <w:bottom w:val="single" w:sz="4" w:space="0" w:color="000000"/>
              <w:right w:val="single" w:sz="4" w:space="0" w:color="000000"/>
            </w:tcBorders>
            <w:hideMark/>
          </w:tcPr>
          <w:p w14:paraId="3B7CC908" w14:textId="77777777" w:rsidR="00285B1B" w:rsidRPr="00FE4C05" w:rsidRDefault="00285B1B" w:rsidP="009C72F0">
            <w:pPr>
              <w:pStyle w:val="TableParagraph"/>
              <w:spacing w:before="116" w:line="254" w:lineRule="auto"/>
              <w:ind w:left="107" w:right="95"/>
              <w:rPr>
                <w:sz w:val="24"/>
                <w:szCs w:val="24"/>
              </w:rPr>
            </w:pPr>
            <w:r w:rsidRPr="00FE4C05">
              <w:rPr>
                <w:sz w:val="24"/>
                <w:szCs w:val="24"/>
              </w:rPr>
              <w:t>Proposed RDBMS must have support for table and index partitioning by dividing them into smaller pieces.   Table   partitioning   must   support</w:t>
            </w:r>
            <w:r w:rsidRPr="00FE4C05">
              <w:rPr>
                <w:spacing w:val="40"/>
                <w:sz w:val="24"/>
                <w:szCs w:val="24"/>
              </w:rPr>
              <w:t xml:space="preserve"> </w:t>
            </w:r>
            <w:r w:rsidRPr="00FE4C05">
              <w:rPr>
                <w:sz w:val="24"/>
                <w:szCs w:val="24"/>
              </w:rPr>
              <w:t>different partitioning methods such as: range partitioning,</w:t>
            </w:r>
            <w:r w:rsidRPr="00FE4C05">
              <w:rPr>
                <w:spacing w:val="4"/>
                <w:sz w:val="24"/>
                <w:szCs w:val="24"/>
              </w:rPr>
              <w:t xml:space="preserve"> </w:t>
            </w:r>
            <w:r w:rsidRPr="00FE4C05">
              <w:rPr>
                <w:sz w:val="24"/>
                <w:szCs w:val="24"/>
              </w:rPr>
              <w:t>hash partitioning,</w:t>
            </w:r>
            <w:r w:rsidRPr="00FE4C05">
              <w:rPr>
                <w:sz w:val="24"/>
                <w:szCs w:val="24"/>
              </w:rPr>
              <w:tab/>
              <w:t>list partitioning, and composite partitioning (combination of other methods).</w:t>
            </w:r>
          </w:p>
        </w:tc>
      </w:tr>
      <w:tr w:rsidR="00285B1B" w:rsidRPr="00AC5790" w14:paraId="1EC9C5E1"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5B8752E0" w14:textId="381CECD5" w:rsidR="00285B1B" w:rsidRPr="00FE4C05" w:rsidRDefault="002B4C31" w:rsidP="009C72F0">
            <w:pPr>
              <w:pStyle w:val="TableParagraph"/>
              <w:spacing w:before="161" w:line="254" w:lineRule="auto"/>
              <w:ind w:left="107"/>
              <w:rPr>
                <w:sz w:val="24"/>
                <w:szCs w:val="24"/>
              </w:rPr>
            </w:pPr>
            <w:r w:rsidRPr="00FE4C05">
              <w:rPr>
                <w:sz w:val="24"/>
                <w:szCs w:val="24"/>
              </w:rPr>
              <w:t>2.20</w:t>
            </w:r>
          </w:p>
        </w:tc>
        <w:tc>
          <w:tcPr>
            <w:tcW w:w="4416" w:type="pct"/>
            <w:tcBorders>
              <w:top w:val="single" w:sz="4" w:space="0" w:color="000000"/>
              <w:left w:val="single" w:sz="4" w:space="0" w:color="000000"/>
              <w:bottom w:val="single" w:sz="4" w:space="0" w:color="000000"/>
              <w:right w:val="single" w:sz="4" w:space="0" w:color="000000"/>
            </w:tcBorders>
            <w:hideMark/>
          </w:tcPr>
          <w:p w14:paraId="71833E6D" w14:textId="77777777" w:rsidR="00285B1B" w:rsidRPr="00FE4C05" w:rsidRDefault="00285B1B" w:rsidP="009C72F0">
            <w:pPr>
              <w:pStyle w:val="TableParagraph"/>
              <w:spacing w:before="113" w:line="254" w:lineRule="auto"/>
              <w:ind w:left="107" w:right="95"/>
              <w:rPr>
                <w:sz w:val="24"/>
                <w:szCs w:val="24"/>
              </w:rPr>
            </w:pPr>
            <w:r w:rsidRPr="00FE4C05">
              <w:rPr>
                <w:sz w:val="24"/>
                <w:szCs w:val="24"/>
              </w:rPr>
              <w:t>RDBMS must support online operations such as table redefinition and index rebuild without database restart.</w:t>
            </w:r>
          </w:p>
        </w:tc>
      </w:tr>
      <w:tr w:rsidR="00285B1B" w:rsidRPr="00AC5790" w14:paraId="50B32569"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3DB9129E" w14:textId="029252D6" w:rsidR="00285B1B" w:rsidRPr="00FE4C05" w:rsidRDefault="002B4C31" w:rsidP="009C72F0">
            <w:pPr>
              <w:pStyle w:val="TableParagraph"/>
              <w:spacing w:before="161" w:line="254" w:lineRule="auto"/>
              <w:ind w:left="107"/>
              <w:rPr>
                <w:sz w:val="24"/>
                <w:szCs w:val="24"/>
              </w:rPr>
            </w:pPr>
            <w:r w:rsidRPr="00FE4C05">
              <w:rPr>
                <w:sz w:val="24"/>
                <w:szCs w:val="24"/>
              </w:rPr>
              <w:t>2.21</w:t>
            </w:r>
          </w:p>
        </w:tc>
        <w:tc>
          <w:tcPr>
            <w:tcW w:w="4416" w:type="pct"/>
            <w:tcBorders>
              <w:top w:val="single" w:sz="4" w:space="0" w:color="000000"/>
              <w:left w:val="single" w:sz="4" w:space="0" w:color="000000"/>
              <w:bottom w:val="single" w:sz="4" w:space="0" w:color="000000"/>
              <w:right w:val="single" w:sz="4" w:space="0" w:color="000000"/>
            </w:tcBorders>
            <w:hideMark/>
          </w:tcPr>
          <w:p w14:paraId="000C14FD" w14:textId="77777777" w:rsidR="00285B1B" w:rsidRPr="00FE4C05" w:rsidRDefault="00285B1B" w:rsidP="009C72F0">
            <w:pPr>
              <w:pStyle w:val="TableParagraph"/>
              <w:spacing w:before="113" w:line="254" w:lineRule="auto"/>
              <w:ind w:left="107"/>
              <w:rPr>
                <w:sz w:val="24"/>
                <w:szCs w:val="24"/>
              </w:rPr>
            </w:pPr>
            <w:r w:rsidRPr="00FE4C05">
              <w:rPr>
                <w:sz w:val="24"/>
                <w:szCs w:val="24"/>
              </w:rPr>
              <w:t>Proposed RDBMS must have built-in ability to view changes across row versions.</w:t>
            </w:r>
          </w:p>
        </w:tc>
      </w:tr>
      <w:tr w:rsidR="00285B1B" w:rsidRPr="00AC5790" w14:paraId="690442F6"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03AF0FFB" w14:textId="6C12B2C1" w:rsidR="00285B1B" w:rsidRPr="00FE4C05" w:rsidRDefault="002B4C31" w:rsidP="009C72F0">
            <w:pPr>
              <w:pStyle w:val="TableParagraph"/>
              <w:spacing w:before="161" w:line="254" w:lineRule="auto"/>
              <w:ind w:left="107"/>
              <w:rPr>
                <w:sz w:val="24"/>
                <w:szCs w:val="24"/>
              </w:rPr>
            </w:pPr>
            <w:r w:rsidRPr="00FE4C05">
              <w:rPr>
                <w:sz w:val="24"/>
                <w:szCs w:val="24"/>
              </w:rPr>
              <w:t>2.22</w:t>
            </w:r>
          </w:p>
        </w:tc>
        <w:tc>
          <w:tcPr>
            <w:tcW w:w="4416" w:type="pct"/>
            <w:tcBorders>
              <w:top w:val="single" w:sz="4" w:space="0" w:color="000000"/>
              <w:left w:val="single" w:sz="4" w:space="0" w:color="000000"/>
              <w:bottom w:val="single" w:sz="4" w:space="0" w:color="000000"/>
              <w:right w:val="single" w:sz="4" w:space="0" w:color="000000"/>
            </w:tcBorders>
            <w:hideMark/>
          </w:tcPr>
          <w:p w14:paraId="6E04B3B2"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Proposed RDBMS must have built-in ability to rewind the TABLE to a past point in time.</w:t>
            </w:r>
          </w:p>
        </w:tc>
      </w:tr>
      <w:tr w:rsidR="00285B1B" w:rsidRPr="00AC5790" w14:paraId="784CCDA4"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6389D997" w14:textId="4FA6663B" w:rsidR="00285B1B" w:rsidRPr="00FE4C05" w:rsidRDefault="002B4C31" w:rsidP="009C72F0">
            <w:pPr>
              <w:pStyle w:val="TableParagraph"/>
              <w:spacing w:before="161" w:line="254" w:lineRule="auto"/>
              <w:ind w:left="107"/>
              <w:rPr>
                <w:sz w:val="24"/>
                <w:szCs w:val="24"/>
              </w:rPr>
            </w:pPr>
            <w:r w:rsidRPr="00FE4C05">
              <w:rPr>
                <w:sz w:val="24"/>
                <w:szCs w:val="24"/>
              </w:rPr>
              <w:t>2.23</w:t>
            </w:r>
          </w:p>
        </w:tc>
        <w:tc>
          <w:tcPr>
            <w:tcW w:w="4416" w:type="pct"/>
            <w:tcBorders>
              <w:top w:val="single" w:sz="4" w:space="0" w:color="000000"/>
              <w:left w:val="single" w:sz="4" w:space="0" w:color="000000"/>
              <w:bottom w:val="single" w:sz="4" w:space="0" w:color="000000"/>
              <w:right w:val="single" w:sz="4" w:space="0" w:color="000000"/>
            </w:tcBorders>
            <w:hideMark/>
          </w:tcPr>
          <w:p w14:paraId="3A6D6A38" w14:textId="77777777" w:rsidR="00285B1B" w:rsidRPr="00FE4C05" w:rsidRDefault="00285B1B" w:rsidP="009C72F0">
            <w:pPr>
              <w:pStyle w:val="TableParagraph"/>
              <w:spacing w:before="114" w:line="254" w:lineRule="auto"/>
              <w:ind w:left="107" w:right="95"/>
              <w:rPr>
                <w:sz w:val="24"/>
                <w:szCs w:val="24"/>
              </w:rPr>
            </w:pPr>
            <w:r w:rsidRPr="00FE4C05">
              <w:rPr>
                <w:sz w:val="24"/>
                <w:szCs w:val="24"/>
              </w:rPr>
              <w:t>Proposed RDBMS must have built-in capability to rewind the database to a prior point without the need to RESTORE the database.</w:t>
            </w:r>
          </w:p>
        </w:tc>
      </w:tr>
      <w:tr w:rsidR="00285B1B" w:rsidRPr="00AC5790" w14:paraId="29D9FF2B"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3579F9C0" w14:textId="2B6A2DBC" w:rsidR="00285B1B" w:rsidRPr="00FE4C05" w:rsidRDefault="002B4C31" w:rsidP="009C72F0">
            <w:pPr>
              <w:pStyle w:val="TableParagraph"/>
              <w:spacing w:before="161" w:line="254" w:lineRule="auto"/>
              <w:ind w:left="107"/>
              <w:rPr>
                <w:sz w:val="24"/>
                <w:szCs w:val="24"/>
              </w:rPr>
            </w:pPr>
            <w:r w:rsidRPr="00FE4C05">
              <w:rPr>
                <w:sz w:val="24"/>
                <w:szCs w:val="24"/>
              </w:rPr>
              <w:t>2.24</w:t>
            </w:r>
          </w:p>
        </w:tc>
        <w:tc>
          <w:tcPr>
            <w:tcW w:w="4416" w:type="pct"/>
            <w:tcBorders>
              <w:top w:val="single" w:sz="4" w:space="0" w:color="000000"/>
              <w:left w:val="single" w:sz="4" w:space="0" w:color="000000"/>
              <w:bottom w:val="single" w:sz="4" w:space="0" w:color="000000"/>
              <w:right w:val="single" w:sz="4" w:space="0" w:color="000000"/>
            </w:tcBorders>
            <w:hideMark/>
          </w:tcPr>
          <w:p w14:paraId="236F0741" w14:textId="77777777" w:rsidR="00285B1B" w:rsidRPr="00FE4C05" w:rsidRDefault="00285B1B" w:rsidP="009C72F0">
            <w:pPr>
              <w:pStyle w:val="TableParagraph"/>
              <w:spacing w:before="113" w:line="254" w:lineRule="auto"/>
              <w:ind w:left="107" w:right="107"/>
              <w:rPr>
                <w:sz w:val="24"/>
                <w:szCs w:val="24"/>
              </w:rPr>
            </w:pPr>
            <w:r w:rsidRPr="00FE4C05">
              <w:rPr>
                <w:sz w:val="24"/>
                <w:szCs w:val="24"/>
              </w:rPr>
              <w:t>Proposed RDBMS must have built-in ability to recover dropped objects.</w:t>
            </w:r>
          </w:p>
        </w:tc>
      </w:tr>
      <w:tr w:rsidR="00285B1B" w:rsidRPr="00AC5790" w14:paraId="09C1DB9B"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2B1ECD58" w14:textId="0B639A80" w:rsidR="00285B1B" w:rsidRPr="00FE4C05" w:rsidRDefault="002B4C31" w:rsidP="009C72F0">
            <w:pPr>
              <w:pStyle w:val="TableParagraph"/>
              <w:spacing w:before="161" w:line="254" w:lineRule="auto"/>
              <w:ind w:left="107"/>
              <w:rPr>
                <w:sz w:val="24"/>
                <w:szCs w:val="24"/>
              </w:rPr>
            </w:pPr>
            <w:r w:rsidRPr="00FE4C05">
              <w:rPr>
                <w:sz w:val="24"/>
                <w:szCs w:val="24"/>
              </w:rPr>
              <w:t>2.25</w:t>
            </w:r>
          </w:p>
        </w:tc>
        <w:tc>
          <w:tcPr>
            <w:tcW w:w="4416" w:type="pct"/>
            <w:tcBorders>
              <w:top w:val="single" w:sz="4" w:space="0" w:color="000000"/>
              <w:left w:val="single" w:sz="4" w:space="0" w:color="000000"/>
              <w:bottom w:val="single" w:sz="4" w:space="0" w:color="000000"/>
              <w:right w:val="single" w:sz="4" w:space="0" w:color="000000"/>
            </w:tcBorders>
            <w:hideMark/>
          </w:tcPr>
          <w:p w14:paraId="57B86FB3" w14:textId="77777777" w:rsidR="00285B1B" w:rsidRPr="00FE4C05" w:rsidRDefault="00285B1B" w:rsidP="009C72F0">
            <w:pPr>
              <w:pStyle w:val="TableParagraph"/>
              <w:spacing w:before="113" w:line="254" w:lineRule="auto"/>
              <w:ind w:left="107" w:right="96"/>
              <w:rPr>
                <w:sz w:val="24"/>
                <w:szCs w:val="24"/>
              </w:rPr>
            </w:pPr>
            <w:r w:rsidRPr="00FE4C05">
              <w:rPr>
                <w:sz w:val="24"/>
                <w:szCs w:val="24"/>
              </w:rPr>
              <w:t xml:space="preserve">Proposed RDBMS must be able to monitor SQL statements and analyze SQL statement execution in order to detect and diagnose database performance </w:t>
            </w:r>
            <w:proofErr w:type="gramStart"/>
            <w:r w:rsidRPr="00FE4C05">
              <w:rPr>
                <w:sz w:val="24"/>
                <w:szCs w:val="24"/>
              </w:rPr>
              <w:t>problems, and</w:t>
            </w:r>
            <w:proofErr w:type="gramEnd"/>
            <w:r w:rsidRPr="00FE4C05">
              <w:rPr>
                <w:sz w:val="24"/>
                <w:szCs w:val="24"/>
              </w:rPr>
              <w:t xml:space="preserve"> help administrators to proactively tune their database environment.</w:t>
            </w:r>
          </w:p>
        </w:tc>
      </w:tr>
      <w:tr w:rsidR="00285B1B" w:rsidRPr="00AC5790" w14:paraId="081CD079"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6D126D7F" w14:textId="4DBF8D72" w:rsidR="00285B1B" w:rsidRPr="00FE4C05" w:rsidRDefault="002B4C31" w:rsidP="009C72F0">
            <w:pPr>
              <w:pStyle w:val="TableParagraph"/>
              <w:spacing w:before="161" w:line="254" w:lineRule="auto"/>
              <w:ind w:left="107"/>
              <w:rPr>
                <w:sz w:val="24"/>
                <w:szCs w:val="24"/>
              </w:rPr>
            </w:pPr>
            <w:r w:rsidRPr="00FE4C05">
              <w:rPr>
                <w:sz w:val="24"/>
                <w:szCs w:val="24"/>
              </w:rPr>
              <w:t>2.26</w:t>
            </w:r>
          </w:p>
        </w:tc>
        <w:tc>
          <w:tcPr>
            <w:tcW w:w="4416" w:type="pct"/>
            <w:tcBorders>
              <w:top w:val="single" w:sz="4" w:space="0" w:color="000000"/>
              <w:left w:val="single" w:sz="4" w:space="0" w:color="000000"/>
              <w:bottom w:val="single" w:sz="4" w:space="0" w:color="000000"/>
              <w:right w:val="single" w:sz="4" w:space="0" w:color="000000"/>
            </w:tcBorders>
            <w:hideMark/>
          </w:tcPr>
          <w:p w14:paraId="76FF9712" w14:textId="3DEABAEE" w:rsidR="00285B1B" w:rsidRPr="00FE4C05" w:rsidRDefault="00285B1B" w:rsidP="009C72F0">
            <w:pPr>
              <w:pStyle w:val="TableParagraph"/>
              <w:spacing w:before="113" w:line="254" w:lineRule="auto"/>
              <w:ind w:left="107" w:right="94"/>
              <w:rPr>
                <w:sz w:val="24"/>
                <w:szCs w:val="24"/>
              </w:rPr>
            </w:pPr>
            <w:r w:rsidRPr="00FE4C05">
              <w:rPr>
                <w:sz w:val="24"/>
                <w:szCs w:val="24"/>
              </w:rPr>
              <w:t xml:space="preserve">RDBMS must be </w:t>
            </w:r>
            <w:proofErr w:type="gramStart"/>
            <w:r w:rsidRPr="00FE4C05">
              <w:rPr>
                <w:sz w:val="24"/>
                <w:szCs w:val="24"/>
              </w:rPr>
              <w:t>proposed</w:t>
            </w:r>
            <w:proofErr w:type="gramEnd"/>
            <w:r w:rsidRPr="00FE4C05">
              <w:rPr>
                <w:sz w:val="24"/>
                <w:szCs w:val="24"/>
              </w:rPr>
              <w:t xml:space="preserve"> with suitable set of licenses to be installed on the database servers, on DR location. </w:t>
            </w:r>
          </w:p>
        </w:tc>
      </w:tr>
      <w:tr w:rsidR="00285B1B" w14:paraId="07BFA82F" w14:textId="77777777" w:rsidTr="00285B1B">
        <w:trPr>
          <w:trHeight w:val="626"/>
        </w:trPr>
        <w:tc>
          <w:tcPr>
            <w:tcW w:w="584" w:type="pct"/>
            <w:tcBorders>
              <w:top w:val="single" w:sz="4" w:space="0" w:color="000000"/>
              <w:left w:val="single" w:sz="4" w:space="0" w:color="000000"/>
              <w:bottom w:val="single" w:sz="4" w:space="0" w:color="000000"/>
              <w:right w:val="single" w:sz="4" w:space="0" w:color="000000"/>
            </w:tcBorders>
            <w:hideMark/>
          </w:tcPr>
          <w:p w14:paraId="5476674E" w14:textId="59B8EF3F" w:rsidR="00285B1B" w:rsidRPr="00FE4C05" w:rsidRDefault="002B4C31" w:rsidP="009C72F0">
            <w:pPr>
              <w:pStyle w:val="TableParagraph"/>
              <w:spacing w:before="161" w:line="254" w:lineRule="auto"/>
              <w:ind w:left="107"/>
              <w:rPr>
                <w:sz w:val="24"/>
                <w:szCs w:val="24"/>
              </w:rPr>
            </w:pPr>
            <w:r w:rsidRPr="00FE4C05">
              <w:rPr>
                <w:sz w:val="24"/>
                <w:szCs w:val="24"/>
              </w:rPr>
              <w:t>2.27</w:t>
            </w:r>
          </w:p>
        </w:tc>
        <w:tc>
          <w:tcPr>
            <w:tcW w:w="4416" w:type="pct"/>
            <w:tcBorders>
              <w:top w:val="single" w:sz="4" w:space="0" w:color="000000"/>
              <w:left w:val="single" w:sz="4" w:space="0" w:color="000000"/>
              <w:bottom w:val="single" w:sz="4" w:space="0" w:color="000000"/>
              <w:right w:val="single" w:sz="4" w:space="0" w:color="000000"/>
            </w:tcBorders>
            <w:hideMark/>
          </w:tcPr>
          <w:p w14:paraId="5D6601C3" w14:textId="77777777" w:rsidR="00285B1B" w:rsidRPr="00FE4C05" w:rsidRDefault="00285B1B" w:rsidP="009C72F0">
            <w:pPr>
              <w:pStyle w:val="TableParagraph"/>
              <w:spacing w:before="113" w:line="254" w:lineRule="auto"/>
              <w:ind w:left="107"/>
              <w:rPr>
                <w:sz w:val="24"/>
                <w:szCs w:val="24"/>
              </w:rPr>
            </w:pPr>
            <w:bookmarkStart w:id="751" w:name="_Hlk151649018"/>
            <w:r w:rsidRPr="00FE4C05">
              <w:rPr>
                <w:sz w:val="24"/>
                <w:szCs w:val="24"/>
              </w:rPr>
              <w:t>RDBMS must include technical support including:</w:t>
            </w:r>
          </w:p>
          <w:p w14:paraId="2D5E7B4B" w14:textId="77777777" w:rsidR="00285B1B" w:rsidRPr="00FE4C05" w:rsidRDefault="00285B1B" w:rsidP="00D530D5">
            <w:pPr>
              <w:pStyle w:val="TableParagraph"/>
              <w:numPr>
                <w:ilvl w:val="0"/>
                <w:numId w:val="203"/>
              </w:numPr>
              <w:tabs>
                <w:tab w:val="left" w:pos="468"/>
              </w:tabs>
              <w:spacing w:before="120" w:line="254" w:lineRule="auto"/>
              <w:ind w:hanging="361"/>
              <w:rPr>
                <w:sz w:val="24"/>
                <w:szCs w:val="24"/>
              </w:rPr>
            </w:pPr>
            <w:proofErr w:type="gramStart"/>
            <w:r w:rsidRPr="00FE4C05">
              <w:rPr>
                <w:sz w:val="24"/>
                <w:szCs w:val="24"/>
              </w:rPr>
              <w:t>Download of</w:t>
            </w:r>
            <w:proofErr w:type="gramEnd"/>
            <w:r w:rsidRPr="00FE4C05">
              <w:rPr>
                <w:sz w:val="24"/>
                <w:szCs w:val="24"/>
              </w:rPr>
              <w:t xml:space="preserve"> patches, </w:t>
            </w:r>
            <w:proofErr w:type="gramStart"/>
            <w:r w:rsidRPr="00FE4C05">
              <w:rPr>
                <w:sz w:val="24"/>
                <w:szCs w:val="24"/>
              </w:rPr>
              <w:t>upgrades</w:t>
            </w:r>
            <w:proofErr w:type="gramEnd"/>
            <w:r w:rsidRPr="00FE4C05">
              <w:rPr>
                <w:sz w:val="24"/>
                <w:szCs w:val="24"/>
              </w:rPr>
              <w:t xml:space="preserve"> and new</w:t>
            </w:r>
            <w:r w:rsidRPr="00FE4C05">
              <w:rPr>
                <w:spacing w:val="-10"/>
                <w:sz w:val="24"/>
                <w:szCs w:val="24"/>
              </w:rPr>
              <w:t xml:space="preserve"> </w:t>
            </w:r>
            <w:r w:rsidRPr="00FE4C05">
              <w:rPr>
                <w:sz w:val="24"/>
                <w:szCs w:val="24"/>
              </w:rPr>
              <w:t>releases.</w:t>
            </w:r>
          </w:p>
          <w:p w14:paraId="1CACC3D7" w14:textId="77777777" w:rsidR="00285B1B" w:rsidRPr="00FE4C05" w:rsidRDefault="00285B1B" w:rsidP="00D530D5">
            <w:pPr>
              <w:pStyle w:val="TableParagraph"/>
              <w:numPr>
                <w:ilvl w:val="0"/>
                <w:numId w:val="203"/>
              </w:numPr>
              <w:tabs>
                <w:tab w:val="left" w:pos="468"/>
              </w:tabs>
              <w:spacing w:before="38" w:line="268" w:lineRule="auto"/>
              <w:ind w:right="97"/>
              <w:rPr>
                <w:sz w:val="24"/>
                <w:szCs w:val="24"/>
              </w:rPr>
            </w:pPr>
            <w:r w:rsidRPr="00FE4C05">
              <w:rPr>
                <w:sz w:val="24"/>
                <w:szCs w:val="24"/>
              </w:rPr>
              <w:t>24 x 7 x 365 access to hardware and software professionals to report problems if they</w:t>
            </w:r>
            <w:r w:rsidRPr="00FE4C05">
              <w:rPr>
                <w:spacing w:val="-12"/>
                <w:sz w:val="24"/>
                <w:szCs w:val="24"/>
              </w:rPr>
              <w:t xml:space="preserve"> </w:t>
            </w:r>
            <w:r w:rsidRPr="00FE4C05">
              <w:rPr>
                <w:sz w:val="24"/>
                <w:szCs w:val="24"/>
              </w:rPr>
              <w:t>occur.</w:t>
            </w:r>
          </w:p>
          <w:p w14:paraId="2AE1CF8C" w14:textId="77777777" w:rsidR="00285B1B" w:rsidRPr="00FE4C05" w:rsidRDefault="00285B1B" w:rsidP="009C72F0">
            <w:pPr>
              <w:pStyle w:val="TableParagraph"/>
              <w:spacing w:before="113" w:line="254" w:lineRule="auto"/>
              <w:ind w:left="107" w:right="94"/>
              <w:rPr>
                <w:sz w:val="24"/>
                <w:szCs w:val="24"/>
              </w:rPr>
            </w:pPr>
            <w:r w:rsidRPr="00FE4C05">
              <w:rPr>
                <w:sz w:val="24"/>
                <w:szCs w:val="24"/>
              </w:rPr>
              <w:t>The Bidder is required to provide technical support for at least one year.</w:t>
            </w:r>
            <w:bookmarkEnd w:id="751"/>
          </w:p>
        </w:tc>
      </w:tr>
    </w:tbl>
    <w:p w14:paraId="5416A777" w14:textId="24E35D17" w:rsidR="009C72F0" w:rsidRDefault="00280B0C">
      <w:r>
        <w:t xml:space="preserve"> </w:t>
      </w:r>
    </w:p>
    <w:p w14:paraId="449209EB" w14:textId="77777777" w:rsidR="00157AAA" w:rsidRDefault="006C1BE5">
      <w:pPr>
        <w:pStyle w:val="Head5a1"/>
      </w:pPr>
      <w:bookmarkStart w:id="752" w:name="_Toc521498266"/>
      <w:bookmarkStart w:id="753" w:name="_Toc145658538"/>
      <w:r>
        <w:t>E.  Testing and Quality Assurance Requirements</w:t>
      </w:r>
      <w:bookmarkEnd w:id="752"/>
      <w:bookmarkEnd w:id="753"/>
    </w:p>
    <w:p w14:paraId="31935011" w14:textId="77777777" w:rsidR="00157AAA" w:rsidRDefault="006C1BE5">
      <w:pPr>
        <w:pStyle w:val="Head5a2"/>
      </w:pPr>
      <w:bookmarkStart w:id="754" w:name="_Toc145658539"/>
      <w:bookmarkStart w:id="755" w:name="_Toc521498268"/>
      <w:r>
        <w:t>4.1</w:t>
      </w:r>
      <w:r>
        <w:tab/>
        <w:t>Testing</w:t>
      </w:r>
      <w:bookmarkEnd w:id="754"/>
    </w:p>
    <w:p w14:paraId="7B7371E4" w14:textId="77777777" w:rsidR="00157AAA" w:rsidRDefault="006C1BE5">
      <w:pPr>
        <w:rPr>
          <w:b/>
        </w:rPr>
      </w:pPr>
      <w:r>
        <w:rPr>
          <w:b/>
        </w:rPr>
        <w:t xml:space="preserve">4.1.1 The Supplier must organize the testing in two environments at supplier premises and at beneficiary premises. </w:t>
      </w:r>
    </w:p>
    <w:p w14:paraId="16E5303E" w14:textId="02088FDB" w:rsidR="00157AAA" w:rsidRDefault="006C1BE5">
      <w:r>
        <w:t xml:space="preserve">The testing lifecycle covers the testing for a project, including the testing at the </w:t>
      </w:r>
      <w:r>
        <w:rPr>
          <w:szCs w:val="22"/>
        </w:rPr>
        <w:t>Supplier</w:t>
      </w:r>
      <w:r>
        <w:t xml:space="preserve"> environment and in Customs environment (where the New Single Window will be dep</w:t>
      </w:r>
      <w:r w:rsidR="0099745A">
        <w:t>l</w:t>
      </w:r>
      <w:r>
        <w:t>oyed for operations). This cover</w:t>
      </w:r>
      <w:r w:rsidR="001E1A28">
        <w:t>s</w:t>
      </w:r>
      <w:r>
        <w:t xml:space="preserve"> the following testing cycles:</w:t>
      </w:r>
    </w:p>
    <w:p w14:paraId="71786A1A" w14:textId="77777777" w:rsidR="00157AAA" w:rsidRDefault="006C1BE5" w:rsidP="00D530D5">
      <w:pPr>
        <w:pStyle w:val="ListParagraph"/>
        <w:numPr>
          <w:ilvl w:val="0"/>
          <w:numId w:val="98"/>
        </w:numPr>
      </w:pPr>
      <w:r>
        <w:rPr>
          <w:szCs w:val="22"/>
        </w:rPr>
        <w:t>Supplier</w:t>
      </w:r>
      <w:r>
        <w:t xml:space="preserve"> environment</w:t>
      </w:r>
    </w:p>
    <w:p w14:paraId="338B4E66" w14:textId="77777777" w:rsidR="00157AAA" w:rsidRDefault="006C1BE5" w:rsidP="00D530D5">
      <w:pPr>
        <w:pStyle w:val="ListParagraph"/>
        <w:numPr>
          <w:ilvl w:val="1"/>
          <w:numId w:val="97"/>
        </w:numPr>
      </w:pPr>
      <w:r>
        <w:t>Unit Testing (UT)</w:t>
      </w:r>
    </w:p>
    <w:p w14:paraId="024B68B7" w14:textId="77777777" w:rsidR="00157AAA" w:rsidRDefault="006C1BE5" w:rsidP="00D530D5">
      <w:pPr>
        <w:pStyle w:val="ListParagraph"/>
        <w:numPr>
          <w:ilvl w:val="1"/>
          <w:numId w:val="97"/>
        </w:numPr>
      </w:pPr>
      <w:r>
        <w:t>Integration Testing (IT)</w:t>
      </w:r>
    </w:p>
    <w:p w14:paraId="21FCD6CD" w14:textId="77777777" w:rsidR="00157AAA" w:rsidRDefault="006C1BE5" w:rsidP="00D530D5">
      <w:pPr>
        <w:pStyle w:val="ListParagraph"/>
        <w:numPr>
          <w:ilvl w:val="1"/>
          <w:numId w:val="97"/>
        </w:numPr>
      </w:pPr>
      <w:r>
        <w:lastRenderedPageBreak/>
        <w:t>Factory Acceptance Testing (FAT)</w:t>
      </w:r>
    </w:p>
    <w:p w14:paraId="7BC9314A" w14:textId="77777777" w:rsidR="00157AAA" w:rsidRDefault="006C1BE5" w:rsidP="00D530D5">
      <w:pPr>
        <w:pStyle w:val="ListParagraph"/>
        <w:numPr>
          <w:ilvl w:val="0"/>
          <w:numId w:val="98"/>
        </w:numPr>
        <w:rPr>
          <w:lang w:val="fr-BE"/>
        </w:rPr>
      </w:pPr>
      <w:r>
        <w:rPr>
          <w:lang w:val="fr-BE"/>
        </w:rPr>
        <w:t xml:space="preserve">NSW environnement </w:t>
      </w:r>
    </w:p>
    <w:p w14:paraId="7074EB47" w14:textId="670C6F06" w:rsidR="00157AAA" w:rsidRDefault="006C1BE5" w:rsidP="00D530D5">
      <w:pPr>
        <w:pStyle w:val="ListParagraph"/>
        <w:numPr>
          <w:ilvl w:val="1"/>
          <w:numId w:val="97"/>
        </w:numPr>
        <w:rPr>
          <w:lang w:val="fr-BE"/>
        </w:rPr>
      </w:pPr>
      <w:r>
        <w:rPr>
          <w:lang w:val="fr-BE"/>
        </w:rPr>
        <w:t>Site Acceptan</w:t>
      </w:r>
      <w:r w:rsidR="003A0ECF">
        <w:rPr>
          <w:lang w:val="fr-BE"/>
        </w:rPr>
        <w:t>c</w:t>
      </w:r>
      <w:r>
        <w:rPr>
          <w:lang w:val="fr-BE"/>
        </w:rPr>
        <w:t xml:space="preserve">e </w:t>
      </w:r>
      <w:proofErr w:type="spellStart"/>
      <w:r>
        <w:rPr>
          <w:lang w:val="fr-BE"/>
        </w:rPr>
        <w:t>Testing</w:t>
      </w:r>
      <w:proofErr w:type="spellEnd"/>
      <w:r>
        <w:rPr>
          <w:lang w:val="fr-BE"/>
        </w:rPr>
        <w:t xml:space="preserve"> (SAT)</w:t>
      </w:r>
    </w:p>
    <w:p w14:paraId="5072E553" w14:textId="77777777" w:rsidR="00157AAA" w:rsidRDefault="006C1BE5" w:rsidP="00D530D5">
      <w:pPr>
        <w:pStyle w:val="ListParagraph"/>
        <w:numPr>
          <w:ilvl w:val="0"/>
          <w:numId w:val="98"/>
        </w:numPr>
      </w:pPr>
      <w:r>
        <w:t xml:space="preserve">Patch </w:t>
      </w:r>
      <w:proofErr w:type="gramStart"/>
      <w:r>
        <w:t>testing</w:t>
      </w:r>
      <w:proofErr w:type="gramEnd"/>
    </w:p>
    <w:p w14:paraId="62D47598" w14:textId="77777777" w:rsidR="00157AAA" w:rsidRDefault="006C1BE5" w:rsidP="00D530D5">
      <w:pPr>
        <w:pStyle w:val="ListParagraph"/>
        <w:numPr>
          <w:ilvl w:val="1"/>
          <w:numId w:val="97"/>
        </w:numPr>
      </w:pPr>
      <w:r>
        <w:t>Qualification Testing (QT)</w:t>
      </w:r>
    </w:p>
    <w:p w14:paraId="0BB03D43" w14:textId="77777777" w:rsidR="00157AAA" w:rsidRDefault="006C1BE5">
      <w:r>
        <w:t xml:space="preserve">Each of the phases needs to be agreed between Beneficiary and </w:t>
      </w:r>
      <w:r>
        <w:rPr>
          <w:szCs w:val="22"/>
        </w:rPr>
        <w:t>Supplier</w:t>
      </w:r>
      <w:r>
        <w:t xml:space="preserve">. Each of the phases </w:t>
      </w:r>
      <w:proofErr w:type="gramStart"/>
      <w:r>
        <w:t>consist</w:t>
      </w:r>
      <w:proofErr w:type="gramEnd"/>
      <w:r>
        <w:t xml:space="preserve"> of set of documents that are needed upfront of the testing and after the testing, which will guarantee that the testing cycle was performed successfully.</w:t>
      </w:r>
    </w:p>
    <w:p w14:paraId="1E4D83F7" w14:textId="77777777" w:rsidR="00157AAA" w:rsidRDefault="006C1BE5">
      <w:pPr>
        <w:rPr>
          <w:b/>
        </w:rPr>
      </w:pPr>
      <w:r>
        <w:rPr>
          <w:b/>
        </w:rPr>
        <w:t xml:space="preserve">4.1.1.1 The Supplier must perform Unit Testing (UT) for all software modules/services. </w:t>
      </w:r>
    </w:p>
    <w:p w14:paraId="1ECC5781" w14:textId="77777777" w:rsidR="00157AAA" w:rsidRDefault="006C1BE5">
      <w:r>
        <w:t xml:space="preserve">Unit testing is preliminary testing that is </w:t>
      </w:r>
      <w:proofErr w:type="gramStart"/>
      <w:r>
        <w:t>responsibility</w:t>
      </w:r>
      <w:proofErr w:type="gramEnd"/>
      <w:r>
        <w:t xml:space="preserve"> of the developers (</w:t>
      </w:r>
      <w:r>
        <w:rPr>
          <w:szCs w:val="22"/>
        </w:rPr>
        <w:t>Supplier</w:t>
      </w:r>
      <w:r>
        <w:t xml:space="preserve"> responsible for implementation and development of a project). It aims to detect errors in functions and/or code modules, detect and correct bugs as much as possible during the development phase. </w:t>
      </w:r>
    </w:p>
    <w:p w14:paraId="20459FE5" w14:textId="77777777" w:rsidR="00157AAA" w:rsidRDefault="006C1BE5">
      <w:r>
        <w:t>The deliveries that need to be provided to the Beneficiary to confirm the Unit Testing:</w:t>
      </w:r>
    </w:p>
    <w:p w14:paraId="2A13D83A" w14:textId="77777777" w:rsidR="00157AAA" w:rsidRDefault="006C1BE5" w:rsidP="00D530D5">
      <w:pPr>
        <w:pStyle w:val="ListParagraph"/>
        <w:numPr>
          <w:ilvl w:val="0"/>
          <w:numId w:val="98"/>
        </w:numPr>
      </w:pPr>
      <w:r>
        <w:t xml:space="preserve">The specification of the Unit Test (Test Cases) that will be performed to detect problems during development. </w:t>
      </w:r>
    </w:p>
    <w:p w14:paraId="565B0036" w14:textId="77777777" w:rsidR="00157AAA" w:rsidRDefault="006C1BE5" w:rsidP="00D530D5">
      <w:pPr>
        <w:pStyle w:val="ListParagraph"/>
        <w:numPr>
          <w:ilvl w:val="0"/>
          <w:numId w:val="98"/>
        </w:numPr>
      </w:pPr>
      <w:r>
        <w:t xml:space="preserve">Unit Testing records after performing Unit Testing. Furthermore, a record of the fixed bugs/errors should be provided to Beneficiary, as knowledge base for future reference. </w:t>
      </w:r>
    </w:p>
    <w:p w14:paraId="0B5FF6C1" w14:textId="77777777" w:rsidR="00157AAA" w:rsidRDefault="006C1BE5">
      <w:pPr>
        <w:rPr>
          <w:b/>
        </w:rPr>
      </w:pPr>
      <w:r>
        <w:rPr>
          <w:b/>
        </w:rPr>
        <w:t xml:space="preserve">4.1.1.2 The Supplier must perform Integration Testing (IT) for all software modules/services. </w:t>
      </w:r>
    </w:p>
    <w:p w14:paraId="7B8A0AEC" w14:textId="77777777" w:rsidR="00157AAA" w:rsidRDefault="006C1BE5">
      <w:r>
        <w:t xml:space="preserve">The integration testing is done </w:t>
      </w:r>
      <w:proofErr w:type="gramStart"/>
      <w:r>
        <w:t>in order to</w:t>
      </w:r>
      <w:proofErr w:type="gramEnd"/>
      <w:r>
        <w:t xml:space="preserve"> test the components of the software to be developed including the integration with the services that are out of the scope of the project. This will ensure that the behavior of the services (components) developed, in terms of their collaboration with other software elements communicate as needed. The testing is responsibility of the </w:t>
      </w:r>
      <w:proofErr w:type="gramStart"/>
      <w:r>
        <w:rPr>
          <w:szCs w:val="22"/>
        </w:rPr>
        <w:t>Supplier</w:t>
      </w:r>
      <w:proofErr w:type="gramEnd"/>
      <w:r>
        <w:t xml:space="preserve"> and it is performed at the </w:t>
      </w:r>
      <w:r>
        <w:rPr>
          <w:szCs w:val="22"/>
        </w:rPr>
        <w:t>Supplier</w:t>
      </w:r>
      <w:r>
        <w:t xml:space="preserve"> environment. </w:t>
      </w:r>
    </w:p>
    <w:p w14:paraId="79D20481" w14:textId="77777777" w:rsidR="00157AAA" w:rsidRDefault="006C1BE5">
      <w:r>
        <w:t>The deliverables from the phase, are:</w:t>
      </w:r>
    </w:p>
    <w:p w14:paraId="0903C3F9" w14:textId="77777777" w:rsidR="00157AAA" w:rsidRDefault="006C1BE5" w:rsidP="00D530D5">
      <w:pPr>
        <w:pStyle w:val="ListParagraph"/>
        <w:numPr>
          <w:ilvl w:val="0"/>
          <w:numId w:val="98"/>
        </w:numPr>
      </w:pPr>
      <w:r>
        <w:t>The specification of the Integration Tests (Test Cases) that will be performed to prove the communication between the components (services)</w:t>
      </w:r>
    </w:p>
    <w:p w14:paraId="7081EBB7" w14:textId="77777777" w:rsidR="00157AAA" w:rsidRDefault="006C1BE5" w:rsidP="00D530D5">
      <w:pPr>
        <w:pStyle w:val="ListParagraph"/>
        <w:numPr>
          <w:ilvl w:val="0"/>
          <w:numId w:val="98"/>
        </w:numPr>
      </w:pPr>
      <w:r>
        <w:t>Integration Testing records after performing Integration Testing. Furthermore, a record of the fixed bugs/errors should be provided to Beneficiary, as knowledge base for future reference.</w:t>
      </w:r>
    </w:p>
    <w:p w14:paraId="0B598D30" w14:textId="77777777" w:rsidR="00157AAA" w:rsidRDefault="006C1BE5">
      <w:pPr>
        <w:rPr>
          <w:b/>
        </w:rPr>
      </w:pPr>
      <w:r>
        <w:rPr>
          <w:b/>
        </w:rPr>
        <w:t xml:space="preserve">4.1.1.3 The Supplier must perform Factory Acceptance Testing (FAT) for all software modules/services. </w:t>
      </w:r>
    </w:p>
    <w:p w14:paraId="058A276F" w14:textId="77777777" w:rsidR="00157AAA" w:rsidRDefault="006C1BE5" w:rsidP="001136D3">
      <w:pPr>
        <w:spacing w:after="0"/>
      </w:pPr>
      <w:r>
        <w:t>The purpose of the Factory Acceptance Testing is to confirm the overall functionally of the system (all services components), including:</w:t>
      </w:r>
    </w:p>
    <w:p w14:paraId="20177B42" w14:textId="77777777" w:rsidR="00157AAA" w:rsidRDefault="006C1BE5" w:rsidP="00D530D5">
      <w:pPr>
        <w:pStyle w:val="ListParagraph"/>
        <w:numPr>
          <w:ilvl w:val="0"/>
          <w:numId w:val="98"/>
        </w:numPr>
        <w:spacing w:after="0"/>
      </w:pPr>
      <w:r>
        <w:t xml:space="preserve">Physical infrastructure of the system, from a software and technological point of view that is reliable and support the physical </w:t>
      </w:r>
      <w:proofErr w:type="gramStart"/>
      <w:r>
        <w:t>model</w:t>
      </w:r>
      <w:proofErr w:type="gramEnd"/>
    </w:p>
    <w:p w14:paraId="3FE053B7" w14:textId="77777777" w:rsidR="00157AAA" w:rsidRDefault="006C1BE5" w:rsidP="00D530D5">
      <w:pPr>
        <w:pStyle w:val="ListParagraph"/>
        <w:numPr>
          <w:ilvl w:val="0"/>
          <w:numId w:val="98"/>
        </w:numPr>
        <w:spacing w:after="0"/>
      </w:pPr>
      <w:r>
        <w:t xml:space="preserve">The functional components of the system </w:t>
      </w:r>
      <w:proofErr w:type="gramStart"/>
      <w:r>
        <w:t>are matching</w:t>
      </w:r>
      <w:proofErr w:type="gramEnd"/>
      <w:r>
        <w:t xml:space="preserve"> high-quality standards and can be delivered under the form of integrated services (modules). </w:t>
      </w:r>
    </w:p>
    <w:p w14:paraId="1BF86AED" w14:textId="77777777" w:rsidR="00157AAA" w:rsidRDefault="006C1BE5" w:rsidP="00D530D5">
      <w:pPr>
        <w:pStyle w:val="ListParagraph"/>
        <w:numPr>
          <w:ilvl w:val="0"/>
          <w:numId w:val="98"/>
        </w:numPr>
        <w:spacing w:after="0"/>
      </w:pPr>
      <w:r>
        <w:lastRenderedPageBreak/>
        <w:t>Non-functional test to indicate the functioning of the environment with the new services.</w:t>
      </w:r>
    </w:p>
    <w:p w14:paraId="242AB89A" w14:textId="77777777" w:rsidR="00157AAA" w:rsidRDefault="006C1BE5" w:rsidP="001136D3">
      <w:pPr>
        <w:spacing w:after="0"/>
      </w:pPr>
      <w:r>
        <w:t>The FAT testing cycle will consist of the following deliverables to be reviewed and approved by Beneficiary and Management Support project team:</w:t>
      </w:r>
    </w:p>
    <w:p w14:paraId="15F8AFC2" w14:textId="77777777" w:rsidR="00157AAA" w:rsidRDefault="006C1BE5" w:rsidP="00D530D5">
      <w:pPr>
        <w:pStyle w:val="ListParagraph"/>
        <w:numPr>
          <w:ilvl w:val="0"/>
          <w:numId w:val="98"/>
        </w:numPr>
        <w:spacing w:after="0"/>
      </w:pPr>
      <w:r>
        <w:t>Test Design Specification (TDS) for FAT</w:t>
      </w:r>
    </w:p>
    <w:p w14:paraId="007B67B8" w14:textId="77777777" w:rsidR="00157AAA" w:rsidRDefault="006C1BE5" w:rsidP="00D530D5">
      <w:pPr>
        <w:pStyle w:val="ListParagraph"/>
        <w:numPr>
          <w:ilvl w:val="0"/>
          <w:numId w:val="98"/>
        </w:numPr>
        <w:spacing w:after="0"/>
      </w:pPr>
      <w:r>
        <w:t>Acceptance Test Plan (ATP) for FAT</w:t>
      </w:r>
    </w:p>
    <w:p w14:paraId="1946A0D7" w14:textId="77777777" w:rsidR="00157AAA" w:rsidRDefault="006C1BE5" w:rsidP="00D530D5">
      <w:pPr>
        <w:pStyle w:val="ListParagraph"/>
        <w:numPr>
          <w:ilvl w:val="0"/>
          <w:numId w:val="98"/>
        </w:numPr>
        <w:spacing w:after="0"/>
      </w:pPr>
      <w:r>
        <w:t>Execution of the testing process, a record of the fixed bugs/errors should be provided to Beneficiary, as knowledge base for future reference.</w:t>
      </w:r>
    </w:p>
    <w:p w14:paraId="459504EA" w14:textId="77777777" w:rsidR="00157AAA" w:rsidRDefault="006C1BE5" w:rsidP="00D530D5">
      <w:pPr>
        <w:pStyle w:val="ListParagraph"/>
        <w:numPr>
          <w:ilvl w:val="0"/>
          <w:numId w:val="98"/>
        </w:numPr>
        <w:spacing w:after="0"/>
      </w:pPr>
      <w:r>
        <w:t xml:space="preserve">FAT Test Report </w:t>
      </w:r>
    </w:p>
    <w:p w14:paraId="00EA5BD1" w14:textId="77777777" w:rsidR="00157AAA" w:rsidRDefault="006C1BE5" w:rsidP="001136D3">
      <w:pPr>
        <w:spacing w:after="0"/>
      </w:pPr>
      <w:r>
        <w:t xml:space="preserve">The testing team performing the tests and providing the </w:t>
      </w:r>
      <w:proofErr w:type="gramStart"/>
      <w:r>
        <w:t>documents,</w:t>
      </w:r>
      <w:proofErr w:type="gramEnd"/>
      <w:r>
        <w:t xml:space="preserve"> should be different from the development team, and it should be separate environment than the development environment. </w:t>
      </w:r>
    </w:p>
    <w:p w14:paraId="39D111C8" w14:textId="77777777" w:rsidR="00157AAA" w:rsidRDefault="006C1BE5" w:rsidP="001136D3">
      <w:pPr>
        <w:spacing w:after="0"/>
      </w:pPr>
      <w:r>
        <w:t xml:space="preserve">There should </w:t>
      </w:r>
      <w:proofErr w:type="gramStart"/>
      <w:r>
        <w:t>be set</w:t>
      </w:r>
      <w:proofErr w:type="gramEnd"/>
      <w:r>
        <w:t xml:space="preserve"> a </w:t>
      </w:r>
      <w:proofErr w:type="gramStart"/>
      <w:r>
        <w:t>kick off</w:t>
      </w:r>
      <w:proofErr w:type="gramEnd"/>
      <w:r>
        <w:t xml:space="preserve"> meeting before starting the testing cycle.</w:t>
      </w:r>
    </w:p>
    <w:p w14:paraId="24A3E99F" w14:textId="77777777" w:rsidR="00157AAA" w:rsidRDefault="00157AAA"/>
    <w:p w14:paraId="3F462E09" w14:textId="77777777" w:rsidR="00157AAA" w:rsidRDefault="006C1BE5">
      <w:pPr>
        <w:rPr>
          <w:b/>
        </w:rPr>
      </w:pPr>
      <w:r>
        <w:rPr>
          <w:b/>
        </w:rPr>
        <w:t xml:space="preserve">4.1.1.4 The Supplier must perform Site Acceptance Testing (SAT) for all software modules/services. </w:t>
      </w:r>
    </w:p>
    <w:p w14:paraId="0260EEBB" w14:textId="77777777" w:rsidR="00157AAA" w:rsidRDefault="006C1BE5" w:rsidP="001136D3">
      <w:pPr>
        <w:spacing w:after="0"/>
      </w:pPr>
      <w:r>
        <w:t>The purpose of the Site Acceptance Testing is to confirm the overall functionally of the system (all services components), in NSW environment, including:</w:t>
      </w:r>
    </w:p>
    <w:p w14:paraId="5BB33F25" w14:textId="77777777" w:rsidR="00157AAA" w:rsidRDefault="006C1BE5" w:rsidP="00D530D5">
      <w:pPr>
        <w:pStyle w:val="ListParagraph"/>
        <w:numPr>
          <w:ilvl w:val="0"/>
          <w:numId w:val="98"/>
        </w:numPr>
        <w:spacing w:after="0"/>
      </w:pPr>
      <w:r>
        <w:t xml:space="preserve">Physical infrastructure of the system, from a software and technological point of view that is reliable and support the physical </w:t>
      </w:r>
      <w:proofErr w:type="gramStart"/>
      <w:r>
        <w:t>model</w:t>
      </w:r>
      <w:proofErr w:type="gramEnd"/>
    </w:p>
    <w:p w14:paraId="068A45AA" w14:textId="77777777" w:rsidR="00157AAA" w:rsidRDefault="006C1BE5" w:rsidP="00D530D5">
      <w:pPr>
        <w:pStyle w:val="ListParagraph"/>
        <w:numPr>
          <w:ilvl w:val="0"/>
          <w:numId w:val="98"/>
        </w:numPr>
        <w:spacing w:after="0"/>
      </w:pPr>
      <w:r>
        <w:t xml:space="preserve">The functional components of the system </w:t>
      </w:r>
      <w:proofErr w:type="gramStart"/>
      <w:r>
        <w:t>are matching</w:t>
      </w:r>
      <w:proofErr w:type="gramEnd"/>
      <w:r>
        <w:t xml:space="preserve"> high-quality standards and can be delivered under the form of integrated services (modules). </w:t>
      </w:r>
    </w:p>
    <w:p w14:paraId="019F3F5D" w14:textId="77777777" w:rsidR="00157AAA" w:rsidRDefault="006C1BE5" w:rsidP="00D530D5">
      <w:pPr>
        <w:pStyle w:val="ListParagraph"/>
        <w:numPr>
          <w:ilvl w:val="0"/>
          <w:numId w:val="98"/>
        </w:numPr>
        <w:spacing w:after="0"/>
      </w:pPr>
      <w:r>
        <w:t>Non-functional test to indicate the functioning of the environment with the new services.</w:t>
      </w:r>
    </w:p>
    <w:p w14:paraId="554E7387" w14:textId="77777777" w:rsidR="00157AAA" w:rsidRDefault="006C1BE5" w:rsidP="00D530D5">
      <w:pPr>
        <w:pStyle w:val="ListParagraph"/>
        <w:numPr>
          <w:ilvl w:val="0"/>
          <w:numId w:val="98"/>
        </w:numPr>
        <w:spacing w:after="0"/>
      </w:pPr>
      <w:r>
        <w:t>Functionalities and performance of the system in NSW environment</w:t>
      </w:r>
    </w:p>
    <w:p w14:paraId="3DB2EA58" w14:textId="77777777" w:rsidR="00157AAA" w:rsidRDefault="006C1BE5" w:rsidP="001136D3">
      <w:pPr>
        <w:spacing w:after="0"/>
      </w:pPr>
      <w:r>
        <w:t>The SAT testing cycle will consist of the following deliverables to be reviewed and approved by Beneficiary and Management Support project team:</w:t>
      </w:r>
    </w:p>
    <w:p w14:paraId="13D51148" w14:textId="77777777" w:rsidR="00157AAA" w:rsidRDefault="006C1BE5" w:rsidP="00D530D5">
      <w:pPr>
        <w:pStyle w:val="ListParagraph"/>
        <w:numPr>
          <w:ilvl w:val="0"/>
          <w:numId w:val="98"/>
        </w:numPr>
        <w:spacing w:after="0"/>
      </w:pPr>
      <w:r>
        <w:t>Test Design Specification (TDS) for SAT</w:t>
      </w:r>
    </w:p>
    <w:p w14:paraId="7004AC6D" w14:textId="77777777" w:rsidR="00157AAA" w:rsidRDefault="006C1BE5" w:rsidP="00D530D5">
      <w:pPr>
        <w:pStyle w:val="ListParagraph"/>
        <w:numPr>
          <w:ilvl w:val="0"/>
          <w:numId w:val="98"/>
        </w:numPr>
        <w:spacing w:after="0"/>
      </w:pPr>
      <w:r>
        <w:t>Acceptance Test Plan (ATP) for SAT</w:t>
      </w:r>
    </w:p>
    <w:p w14:paraId="7E57D76B" w14:textId="77777777" w:rsidR="00157AAA" w:rsidRDefault="006C1BE5" w:rsidP="00D530D5">
      <w:pPr>
        <w:pStyle w:val="ListParagraph"/>
        <w:numPr>
          <w:ilvl w:val="0"/>
          <w:numId w:val="98"/>
        </w:numPr>
      </w:pPr>
      <w:proofErr w:type="gramStart"/>
      <w:r>
        <w:t>Execution of</w:t>
      </w:r>
      <w:proofErr w:type="gramEnd"/>
      <w:r>
        <w:t xml:space="preserve"> the testing process, a record of the fixed bugs/errors should be provided to Beneficiary, as knowledge base for future reference.</w:t>
      </w:r>
    </w:p>
    <w:p w14:paraId="0AF00D99" w14:textId="77777777" w:rsidR="00157AAA" w:rsidRDefault="006C1BE5" w:rsidP="00D530D5">
      <w:pPr>
        <w:pStyle w:val="ListParagraph"/>
        <w:numPr>
          <w:ilvl w:val="0"/>
          <w:numId w:val="98"/>
        </w:numPr>
      </w:pPr>
      <w:r>
        <w:t xml:space="preserve">SAT Test Report </w:t>
      </w:r>
    </w:p>
    <w:p w14:paraId="36466573" w14:textId="77777777" w:rsidR="00157AAA" w:rsidRDefault="006C1BE5" w:rsidP="001136D3">
      <w:pPr>
        <w:spacing w:after="0"/>
      </w:pPr>
      <w:r>
        <w:t xml:space="preserve">The team providing the documents will be the same as for FAT testing deliverables. The setting up of the environment is </w:t>
      </w:r>
      <w:proofErr w:type="gramStart"/>
      <w:r>
        <w:t>responsibility</w:t>
      </w:r>
      <w:proofErr w:type="gramEnd"/>
      <w:r>
        <w:t xml:space="preserve"> of the maintenance team of Beneficiary (either </w:t>
      </w:r>
      <w:r>
        <w:rPr>
          <w:szCs w:val="22"/>
        </w:rPr>
        <w:t>Supplier</w:t>
      </w:r>
      <w:r>
        <w:t xml:space="preserve"> that will do operation of the system or the </w:t>
      </w:r>
      <w:r>
        <w:rPr>
          <w:szCs w:val="22"/>
        </w:rPr>
        <w:t>Supplier</w:t>
      </w:r>
      <w:r>
        <w:t xml:space="preserve"> that is developing the system) and the deployment of the new system as well. </w:t>
      </w:r>
      <w:proofErr w:type="gramStart"/>
      <w:r>
        <w:t>In order to</w:t>
      </w:r>
      <w:proofErr w:type="gramEnd"/>
      <w:r>
        <w:t xml:space="preserve"> provide this, this team needs to have the following documents:</w:t>
      </w:r>
    </w:p>
    <w:p w14:paraId="45AEAF77" w14:textId="77777777" w:rsidR="00157AAA" w:rsidRDefault="006C1BE5" w:rsidP="00D530D5">
      <w:pPr>
        <w:pStyle w:val="ListParagraph"/>
        <w:numPr>
          <w:ilvl w:val="0"/>
          <w:numId w:val="98"/>
        </w:numPr>
        <w:spacing w:after="0"/>
      </w:pPr>
      <w:r>
        <w:t>Installation manual</w:t>
      </w:r>
    </w:p>
    <w:p w14:paraId="598E3508" w14:textId="77777777" w:rsidR="00157AAA" w:rsidRDefault="006C1BE5" w:rsidP="00D530D5">
      <w:pPr>
        <w:pStyle w:val="ListParagraph"/>
        <w:numPr>
          <w:ilvl w:val="0"/>
          <w:numId w:val="98"/>
        </w:numPr>
        <w:spacing w:after="0"/>
      </w:pPr>
      <w:r>
        <w:t>Integration manual</w:t>
      </w:r>
    </w:p>
    <w:p w14:paraId="3F9554B7" w14:textId="77777777" w:rsidR="00157AAA" w:rsidRDefault="006C1BE5" w:rsidP="00D530D5">
      <w:pPr>
        <w:pStyle w:val="ListParagraph"/>
        <w:numPr>
          <w:ilvl w:val="0"/>
          <w:numId w:val="98"/>
        </w:numPr>
        <w:spacing w:after="0"/>
      </w:pPr>
      <w:r>
        <w:t>Administration manual</w:t>
      </w:r>
    </w:p>
    <w:p w14:paraId="5EDFBE08" w14:textId="77777777" w:rsidR="00157AAA" w:rsidRDefault="006C1BE5" w:rsidP="001136D3">
      <w:pPr>
        <w:spacing w:after="0"/>
      </w:pPr>
      <w:r>
        <w:t xml:space="preserve">All documents need to be provided by the development </w:t>
      </w:r>
      <w:proofErr w:type="gramStart"/>
      <w:r>
        <w:t>team, and</w:t>
      </w:r>
      <w:proofErr w:type="gramEnd"/>
      <w:r>
        <w:t xml:space="preserve"> need to be reviewed and approved by Beneficiary. These documents will </w:t>
      </w:r>
      <w:proofErr w:type="gramStart"/>
      <w:r>
        <w:t>be also</w:t>
      </w:r>
      <w:proofErr w:type="gramEnd"/>
      <w:r>
        <w:t xml:space="preserve"> used for operations and maintenance during production. </w:t>
      </w:r>
    </w:p>
    <w:p w14:paraId="488A12AC" w14:textId="77777777" w:rsidR="00157AAA" w:rsidRDefault="006C1BE5" w:rsidP="001136D3">
      <w:pPr>
        <w:spacing w:after="0"/>
      </w:pPr>
      <w:r>
        <w:lastRenderedPageBreak/>
        <w:t xml:space="preserve">If the maintenance team is not selected, the testing can be done by the same team that performed </w:t>
      </w:r>
      <w:proofErr w:type="gramStart"/>
      <w:r>
        <w:t>FAT, but</w:t>
      </w:r>
      <w:proofErr w:type="gramEnd"/>
      <w:r>
        <w:t xml:space="preserve"> must be followed by Beneficiary and Management Support project team representatives. </w:t>
      </w:r>
    </w:p>
    <w:p w14:paraId="73FB1B2F" w14:textId="77777777" w:rsidR="00157AAA" w:rsidRDefault="006C1BE5" w:rsidP="001136D3">
      <w:pPr>
        <w:spacing w:after="0"/>
      </w:pPr>
      <w:r>
        <w:t xml:space="preserve">Part of the TDS, set of test cases are needed for proving the readiness of the platform for SAT, which will prove that SAT cycles can start. </w:t>
      </w:r>
    </w:p>
    <w:p w14:paraId="034EDDF4" w14:textId="77777777" w:rsidR="00157AAA" w:rsidRDefault="006C1BE5" w:rsidP="001136D3">
      <w:pPr>
        <w:spacing w:after="0"/>
      </w:pPr>
      <w:r>
        <w:t xml:space="preserve">There should </w:t>
      </w:r>
      <w:proofErr w:type="gramStart"/>
      <w:r>
        <w:t>be set</w:t>
      </w:r>
      <w:proofErr w:type="gramEnd"/>
      <w:r>
        <w:t xml:space="preserve"> a </w:t>
      </w:r>
      <w:proofErr w:type="gramStart"/>
      <w:r>
        <w:t>kick off</w:t>
      </w:r>
      <w:proofErr w:type="gramEnd"/>
      <w:r>
        <w:t xml:space="preserve"> meeting before starting the SAT cycle.</w:t>
      </w:r>
    </w:p>
    <w:p w14:paraId="03A58122" w14:textId="77777777" w:rsidR="00157AAA" w:rsidRDefault="00157AAA"/>
    <w:p w14:paraId="7F579E43" w14:textId="77777777" w:rsidR="00157AAA" w:rsidRDefault="006C1BE5">
      <w:pPr>
        <w:rPr>
          <w:b/>
        </w:rPr>
      </w:pPr>
      <w:r>
        <w:rPr>
          <w:b/>
        </w:rPr>
        <w:t xml:space="preserve">4.1.1.5 The Supplier must perform Qualification Testing (QT). </w:t>
      </w:r>
    </w:p>
    <w:p w14:paraId="5F5F67EA" w14:textId="77777777" w:rsidR="00157AAA" w:rsidRDefault="006C1BE5" w:rsidP="001136D3">
      <w:pPr>
        <w:spacing w:after="0"/>
      </w:pPr>
      <w:r>
        <w:t>The QT cycle will ensure delivering a patch (or service pack) to an environment (can be FAT, SAT, Production). It will cover the following deliverables:</w:t>
      </w:r>
    </w:p>
    <w:p w14:paraId="6A22692D" w14:textId="77777777" w:rsidR="00157AAA" w:rsidRDefault="006C1BE5" w:rsidP="00D530D5">
      <w:pPr>
        <w:pStyle w:val="ListParagraph"/>
        <w:numPr>
          <w:ilvl w:val="0"/>
          <w:numId w:val="98"/>
        </w:numPr>
        <w:spacing w:after="0"/>
      </w:pPr>
      <w:r>
        <w:t>Test Design Specification (TDS) for QT</w:t>
      </w:r>
    </w:p>
    <w:p w14:paraId="4529D623" w14:textId="77777777" w:rsidR="00157AAA" w:rsidRDefault="006C1BE5" w:rsidP="00D530D5">
      <w:pPr>
        <w:pStyle w:val="ListParagraph"/>
        <w:numPr>
          <w:ilvl w:val="0"/>
          <w:numId w:val="98"/>
        </w:numPr>
        <w:spacing w:after="0"/>
      </w:pPr>
      <w:r>
        <w:t>Acceptance Test Plan (ATP) for QT</w:t>
      </w:r>
    </w:p>
    <w:p w14:paraId="7108E10B" w14:textId="77777777" w:rsidR="00157AAA" w:rsidRDefault="006C1BE5" w:rsidP="00D530D5">
      <w:pPr>
        <w:pStyle w:val="ListParagraph"/>
        <w:numPr>
          <w:ilvl w:val="0"/>
          <w:numId w:val="98"/>
        </w:numPr>
        <w:spacing w:after="0"/>
      </w:pPr>
      <w:proofErr w:type="gramStart"/>
      <w:r>
        <w:t>Execution of</w:t>
      </w:r>
      <w:proofErr w:type="gramEnd"/>
      <w:r>
        <w:t xml:space="preserve"> the testing process, a record of the fixed bugs/errors should be provided to Beneficiary, as knowledge base for future reference.</w:t>
      </w:r>
    </w:p>
    <w:p w14:paraId="7CAE4526" w14:textId="77777777" w:rsidR="00157AAA" w:rsidRDefault="006C1BE5" w:rsidP="00D530D5">
      <w:pPr>
        <w:pStyle w:val="ListParagraph"/>
        <w:numPr>
          <w:ilvl w:val="0"/>
          <w:numId w:val="98"/>
        </w:numPr>
        <w:spacing w:after="0"/>
      </w:pPr>
      <w:r>
        <w:t xml:space="preserve">QT Test Report </w:t>
      </w:r>
    </w:p>
    <w:p w14:paraId="449FC135" w14:textId="77777777" w:rsidR="00157AAA" w:rsidRDefault="006C1BE5" w:rsidP="001136D3">
      <w:pPr>
        <w:spacing w:after="0"/>
      </w:pPr>
      <w:r>
        <w:t>If the maintenance team is not selected, the testing can be done by the same team that performed FAT/</w:t>
      </w:r>
      <w:proofErr w:type="gramStart"/>
      <w:r>
        <w:t>SAT, but</w:t>
      </w:r>
      <w:proofErr w:type="gramEnd"/>
      <w:r>
        <w:t xml:space="preserve"> must be followed by Beneficiary and Management Support project team representatives.</w:t>
      </w:r>
    </w:p>
    <w:p w14:paraId="3FC3F894" w14:textId="77777777" w:rsidR="00157AAA" w:rsidRDefault="00157AAA"/>
    <w:p w14:paraId="5C2415F0" w14:textId="77777777" w:rsidR="00157AAA" w:rsidRDefault="006C1BE5">
      <w:pPr>
        <w:rPr>
          <w:b/>
        </w:rPr>
      </w:pPr>
      <w:r>
        <w:rPr>
          <w:b/>
        </w:rPr>
        <w:t xml:space="preserve">4.1.1.6 The Supplier must deliver the testing documentation for the testing processes. </w:t>
      </w:r>
    </w:p>
    <w:p w14:paraId="6F6A7FA9" w14:textId="77777777" w:rsidR="00157AAA" w:rsidRDefault="006C1BE5">
      <w:pPr>
        <w:rPr>
          <w:lang w:val="en-GB"/>
        </w:rPr>
      </w:pPr>
      <w:r>
        <w:rPr>
          <w:lang w:val="en-GB"/>
        </w:rPr>
        <w:t xml:space="preserve">The base document used as input for the testing cycles is the Functional Specification and the Technical Design Specification documents. In essence, all the functional requirements should be mapped with test case in the Test Design Specification. </w:t>
      </w:r>
    </w:p>
    <w:p w14:paraId="63B070AD" w14:textId="77777777" w:rsidR="00157AAA" w:rsidRDefault="006C1BE5">
      <w:pPr>
        <w:rPr>
          <w:lang w:val="en-GB"/>
        </w:rPr>
      </w:pPr>
      <w:r>
        <w:rPr>
          <w:lang w:val="en-GB"/>
        </w:rPr>
        <w:t>The following documents are needed to be delivered as part of the test cycles:</w:t>
      </w:r>
    </w:p>
    <w:p w14:paraId="02DF877A" w14:textId="77777777" w:rsidR="00157AAA" w:rsidRDefault="00157AAA">
      <w:pPr>
        <w:rPr>
          <w:lang w:val="en-GB"/>
        </w:rPr>
      </w:pP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2038"/>
        <w:gridCol w:w="1347"/>
        <w:gridCol w:w="5239"/>
      </w:tblGrid>
      <w:tr w:rsidR="00157AAA" w14:paraId="5FB3EF5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45CF2A4" w14:textId="77777777" w:rsidR="00157AAA" w:rsidRDefault="006C1BE5" w:rsidP="001136D3">
            <w:pPr>
              <w:spacing w:after="0"/>
              <w:jc w:val="center"/>
              <w:rPr>
                <w:b/>
                <w:bCs/>
              </w:rPr>
            </w:pPr>
            <w:r>
              <w:rPr>
                <w:b/>
                <w:bCs/>
              </w:rPr>
              <w:t>Deliverable identification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CD55493" w14:textId="77777777" w:rsidR="00157AAA" w:rsidRDefault="006C1BE5" w:rsidP="001136D3">
            <w:pPr>
              <w:spacing w:after="0"/>
              <w:jc w:val="center"/>
              <w:rPr>
                <w:b/>
                <w:bCs/>
              </w:rPr>
            </w:pPr>
            <w:r>
              <w:rPr>
                <w:b/>
                <w:bCs/>
              </w:rPr>
              <w:t>Testing Phase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F1A5175" w14:textId="77777777" w:rsidR="00157AAA" w:rsidRDefault="006C1BE5" w:rsidP="001136D3">
            <w:pPr>
              <w:spacing w:after="0"/>
              <w:jc w:val="center"/>
              <w:rPr>
                <w:b/>
                <w:bCs/>
              </w:rPr>
            </w:pPr>
            <w:r>
              <w:rPr>
                <w:b/>
                <w:bCs/>
              </w:rPr>
              <w:t>Deliverable Description</w:t>
            </w:r>
          </w:p>
        </w:tc>
      </w:tr>
      <w:tr w:rsidR="00157AAA" w14:paraId="066CD883"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F19D92" w14:textId="77777777" w:rsidR="00157AAA" w:rsidRDefault="006C1BE5" w:rsidP="001136D3">
            <w:pPr>
              <w:spacing w:after="0"/>
            </w:pPr>
            <w:r>
              <w:rPr>
                <w:i/>
                <w:iCs/>
              </w:rPr>
              <w:t>Master Test Plan (MTP)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436B006" w14:textId="77777777" w:rsidR="00157AAA" w:rsidRDefault="006C1BE5" w:rsidP="001136D3">
            <w:pPr>
              <w:spacing w:after="0"/>
            </w:pPr>
            <w:r>
              <w:t xml:space="preserve">Conduct FAT, SAT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10BA2AF" w14:textId="77777777" w:rsidR="00157AAA" w:rsidRDefault="006C1BE5" w:rsidP="001136D3">
            <w:pPr>
              <w:spacing w:after="0"/>
            </w:pPr>
            <w:r>
              <w:t xml:space="preserve">A test plan which describes the overall test approach for testing an application or system. </w:t>
            </w:r>
          </w:p>
        </w:tc>
      </w:tr>
      <w:tr w:rsidR="00157AAA" w14:paraId="4BBD1049"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BAD144" w14:textId="77777777" w:rsidR="00157AAA" w:rsidRDefault="006C1BE5" w:rsidP="001136D3">
            <w:pPr>
              <w:spacing w:after="0"/>
            </w:pPr>
            <w:r>
              <w:rPr>
                <w:i/>
                <w:iCs/>
              </w:rPr>
              <w:t>Unit Testing records</w:t>
            </w:r>
            <w:r>
              <w:t xml:space="preserv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FACF9B" w14:textId="77777777" w:rsidR="00157AAA" w:rsidRDefault="006C1BE5" w:rsidP="001136D3">
            <w:pPr>
              <w:spacing w:after="0"/>
            </w:pPr>
            <w:r>
              <w:t xml:space="preserve">Conduct UT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DFB461A" w14:textId="77777777" w:rsidR="00157AAA" w:rsidRDefault="006C1BE5" w:rsidP="001136D3">
            <w:pPr>
              <w:spacing w:after="0"/>
            </w:pPr>
            <w:r>
              <w:t>The outcome of the UT will be stored in UT Report with reference to the bugs/errors and the resolution of them</w:t>
            </w:r>
          </w:p>
        </w:tc>
      </w:tr>
      <w:tr w:rsidR="00157AAA" w14:paraId="33791292"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F26AD3E" w14:textId="77777777" w:rsidR="00157AAA" w:rsidRDefault="006C1BE5" w:rsidP="001136D3">
            <w:pPr>
              <w:spacing w:after="0"/>
            </w:pPr>
            <w:r>
              <w:rPr>
                <w:i/>
                <w:iCs/>
              </w:rPr>
              <w:t>Integration Testing records</w:t>
            </w:r>
            <w:r>
              <w:t xml:space="preserv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9D0EC80" w14:textId="77777777" w:rsidR="00157AAA" w:rsidRDefault="006C1BE5" w:rsidP="001136D3">
            <w:pPr>
              <w:spacing w:after="0"/>
            </w:pPr>
            <w:r>
              <w:t xml:space="preserve">Conduct IT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F0DE78E" w14:textId="77777777" w:rsidR="00157AAA" w:rsidRDefault="006C1BE5" w:rsidP="001136D3">
            <w:pPr>
              <w:spacing w:after="0"/>
            </w:pPr>
            <w:r>
              <w:t>The outcome of the IT will be stored in IT Report with reference to the bugs/errors and the resolution of them</w:t>
            </w:r>
          </w:p>
        </w:tc>
      </w:tr>
      <w:tr w:rsidR="00157AAA" w14:paraId="75CC4AF1"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CA38AA" w14:textId="77777777" w:rsidR="00157AAA" w:rsidRDefault="006C1BE5" w:rsidP="001136D3">
            <w:pPr>
              <w:spacing w:after="0"/>
            </w:pPr>
            <w:r>
              <w:rPr>
                <w:i/>
                <w:iCs/>
              </w:rPr>
              <w:lastRenderedPageBreak/>
              <w:t>Acceptance Test Plan (ATP)</w:t>
            </w:r>
            <w:r>
              <w:t xml:space="preserve"> for FAT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6ECB27D" w14:textId="77777777" w:rsidR="00157AAA" w:rsidRDefault="006C1BE5" w:rsidP="001136D3">
            <w:pPr>
              <w:spacing w:after="0"/>
            </w:pPr>
            <w:r>
              <w:t xml:space="preserve">Conduct FAT Process </w:t>
            </w:r>
            <w:r>
              <w:br/>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188525B" w14:textId="77777777" w:rsidR="00157AAA" w:rsidRDefault="006C1BE5" w:rsidP="001136D3">
            <w:pPr>
              <w:spacing w:after="0"/>
            </w:pPr>
            <w:r>
              <w:t xml:space="preserve">A test plan which is required per test </w:t>
            </w:r>
            <w:proofErr w:type="gramStart"/>
            <w:r>
              <w:t>phase</w:t>
            </w:r>
            <w:proofErr w:type="gramEnd"/>
            <w:r>
              <w:t xml:space="preserve"> and which details the specific approach, scope, planning etc. per test phase. It also lists the test cases and scenarios to be run per specific test phase. It covers functional as well as non-functional test cases. It is derived from the MTP and the TDS. </w:t>
            </w:r>
          </w:p>
        </w:tc>
      </w:tr>
      <w:tr w:rsidR="00157AAA" w14:paraId="424E2866"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963F03E" w14:textId="77777777" w:rsidR="00157AAA" w:rsidRDefault="006C1BE5" w:rsidP="001136D3">
            <w:pPr>
              <w:spacing w:after="0"/>
            </w:pPr>
            <w:r>
              <w:rPr>
                <w:i/>
                <w:iCs/>
              </w:rPr>
              <w:t>Acceptance Test Plan (ATP) for SAT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A045B8E" w14:textId="77777777" w:rsidR="00157AAA" w:rsidRDefault="006C1BE5" w:rsidP="001136D3">
            <w:pPr>
              <w:spacing w:after="0"/>
            </w:pPr>
            <w:r>
              <w:t>Support SAT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439390B" w14:textId="77777777" w:rsidR="00157AAA" w:rsidRDefault="006C1BE5" w:rsidP="001136D3">
            <w:pPr>
              <w:spacing w:after="0"/>
            </w:pPr>
            <w:r>
              <w:t xml:space="preserve">A test plan which is required per test </w:t>
            </w:r>
            <w:proofErr w:type="gramStart"/>
            <w:r>
              <w:t>phase</w:t>
            </w:r>
            <w:proofErr w:type="gramEnd"/>
            <w:r>
              <w:t xml:space="preserve"> and which details the specific approach, scope, planning etc. per test phase. It also lists the test cases and scenarios to be run per specific test phase. It covers functional as well as non-functional end to end test cases (integration tests). It is derived from the MTP and the TDS.</w:t>
            </w:r>
          </w:p>
        </w:tc>
      </w:tr>
      <w:tr w:rsidR="00157AAA" w14:paraId="02E3E429"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B709CE2" w14:textId="77777777" w:rsidR="00157AAA" w:rsidRDefault="006C1BE5" w:rsidP="001136D3">
            <w:pPr>
              <w:spacing w:after="0"/>
              <w:rPr>
                <w:i/>
                <w:iCs/>
              </w:rPr>
            </w:pPr>
            <w:r>
              <w:rPr>
                <w:i/>
                <w:iCs/>
              </w:rPr>
              <w:t>Acceptance Test Plan (ATP) for QT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A3F5D0C" w14:textId="77777777" w:rsidR="00157AAA" w:rsidRDefault="006C1BE5" w:rsidP="001136D3">
            <w:pPr>
              <w:spacing w:after="0"/>
            </w:pPr>
            <w:r>
              <w:t>Support QT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BE1721F" w14:textId="77777777" w:rsidR="00157AAA" w:rsidRDefault="006C1BE5" w:rsidP="001136D3">
            <w:pPr>
              <w:spacing w:after="0"/>
            </w:pPr>
            <w:r>
              <w:t xml:space="preserve">A test plan which is required per test </w:t>
            </w:r>
            <w:proofErr w:type="gramStart"/>
            <w:r>
              <w:t>phase</w:t>
            </w:r>
            <w:proofErr w:type="gramEnd"/>
            <w:r>
              <w:t xml:space="preserve"> and which details the specific approach, scope, planning etc. per test phase. It also lists the test cases and scenarios to be run per specific test phase. It covers functional as well as non-functional test cases. It is derived from the MTP and the TDS.</w:t>
            </w:r>
          </w:p>
        </w:tc>
      </w:tr>
      <w:tr w:rsidR="00157AAA" w14:paraId="1D6A04DF"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B4A4A6" w14:textId="77777777" w:rsidR="00157AAA" w:rsidRDefault="006C1BE5" w:rsidP="001136D3">
            <w:pPr>
              <w:spacing w:after="0"/>
            </w:pPr>
            <w:r>
              <w:rPr>
                <w:i/>
                <w:iCs/>
              </w:rPr>
              <w:t>Test Design Specification (TDS) for FAT and SAT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C1D7781" w14:textId="77777777" w:rsidR="00157AAA" w:rsidRDefault="006C1BE5" w:rsidP="001136D3">
            <w:pPr>
              <w:spacing w:after="0"/>
            </w:pPr>
            <w:r>
              <w:t>Support FAT/SAT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17E82BA" w14:textId="77777777" w:rsidR="00157AAA" w:rsidRDefault="006C1BE5" w:rsidP="001136D3">
            <w:pPr>
              <w:spacing w:after="0"/>
            </w:pPr>
            <w:r>
              <w:t xml:space="preserve">Detailed specifications defining all the test cases, </w:t>
            </w:r>
            <w:proofErr w:type="gramStart"/>
            <w:r>
              <w:t>scripts</w:t>
            </w:r>
            <w:proofErr w:type="gramEnd"/>
            <w:r>
              <w:t xml:space="preserve"> and dependencies, and describing corresponding input data and expected results. The TDS document may be composed of several parts such as TDS-FTS (Functional Test Scenario), TDS-PTS (Performance Test Scenario), TDS-S2STP (System-to-System Test Plan), TDS-UITP (User Interface Test Plan), TDS-PTP (Performance Test Plan), TDS-SVTP (Security and Vulnerability Test Plan). The exact details of each document are to be agreed with Beneficiary and the Management Support project team. </w:t>
            </w:r>
          </w:p>
        </w:tc>
      </w:tr>
      <w:tr w:rsidR="00157AAA" w14:paraId="46C74B65"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74996B0" w14:textId="77777777" w:rsidR="00157AAA" w:rsidRDefault="006C1BE5" w:rsidP="001136D3">
            <w:pPr>
              <w:spacing w:after="0"/>
              <w:rPr>
                <w:i/>
                <w:iCs/>
              </w:rPr>
            </w:pPr>
            <w:r>
              <w:rPr>
                <w:i/>
                <w:iCs/>
              </w:rPr>
              <w:t>Test Design Specifications (TDS) for Qualification Testing</w:t>
            </w:r>
            <w:r>
              <w:t xml:space="preserv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D268FD7" w14:textId="77777777" w:rsidR="00157AAA" w:rsidRDefault="006C1BE5" w:rsidP="001136D3">
            <w:pPr>
              <w:spacing w:after="0"/>
            </w:pPr>
            <w:r>
              <w:t>Support QT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3B6903E5" w14:textId="77777777" w:rsidR="00157AAA" w:rsidRDefault="006C1BE5" w:rsidP="001136D3">
            <w:pPr>
              <w:spacing w:after="0"/>
            </w:pPr>
            <w:r>
              <w:t xml:space="preserve">Detailed specifications defining all the test cases scripts and </w:t>
            </w:r>
            <w:proofErr w:type="gramStart"/>
            <w:r>
              <w:t>dependencies, and</w:t>
            </w:r>
            <w:proofErr w:type="gramEnd"/>
            <w:r>
              <w:t xml:space="preserve"> describing corresponding input data and expected results related to functional and non-functional aspects to cover the patch. </w:t>
            </w:r>
          </w:p>
        </w:tc>
      </w:tr>
      <w:tr w:rsidR="00157AAA" w14:paraId="561B985A"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6A44E69" w14:textId="77777777" w:rsidR="00157AAA" w:rsidRDefault="006C1BE5" w:rsidP="001136D3">
            <w:pPr>
              <w:spacing w:after="0"/>
              <w:rPr>
                <w:i/>
                <w:iCs/>
              </w:rPr>
            </w:pPr>
            <w:r>
              <w:rPr>
                <w:i/>
                <w:iCs/>
              </w:rPr>
              <w:t>UT Testing Report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861017D" w14:textId="77777777" w:rsidR="00157AAA" w:rsidRDefault="006C1BE5" w:rsidP="001136D3">
            <w:pPr>
              <w:spacing w:after="0"/>
            </w:pPr>
            <w:r>
              <w:t>Support UT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C82EF1A" w14:textId="77777777" w:rsidR="00157AAA" w:rsidRDefault="006C1BE5" w:rsidP="001136D3">
            <w:pPr>
              <w:spacing w:after="0"/>
            </w:pPr>
            <w:r>
              <w:t>Documentary evidence of test execution.</w:t>
            </w:r>
          </w:p>
        </w:tc>
      </w:tr>
      <w:tr w:rsidR="00157AAA" w14:paraId="633BFFEC"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7BB0A1B6" w14:textId="77777777" w:rsidR="00157AAA" w:rsidRDefault="006C1BE5" w:rsidP="001136D3">
            <w:pPr>
              <w:spacing w:after="0"/>
              <w:rPr>
                <w:i/>
                <w:iCs/>
              </w:rPr>
            </w:pPr>
            <w:r>
              <w:rPr>
                <w:i/>
                <w:iCs/>
              </w:rPr>
              <w:t>IT Test Report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238CE56" w14:textId="77777777" w:rsidR="00157AAA" w:rsidRDefault="006C1BE5" w:rsidP="001136D3">
            <w:pPr>
              <w:spacing w:after="0"/>
            </w:pPr>
            <w:r>
              <w:t>Support IT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8507F9A" w14:textId="77777777" w:rsidR="00157AAA" w:rsidRDefault="006C1BE5" w:rsidP="001136D3">
            <w:pPr>
              <w:spacing w:after="0"/>
            </w:pPr>
            <w:r>
              <w:t>Documentary evidence of test execution.</w:t>
            </w:r>
          </w:p>
        </w:tc>
      </w:tr>
      <w:tr w:rsidR="00157AAA" w14:paraId="516197C5"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D5FDCB" w14:textId="77777777" w:rsidR="00157AAA" w:rsidRDefault="006C1BE5" w:rsidP="001136D3">
            <w:pPr>
              <w:spacing w:after="0"/>
              <w:rPr>
                <w:i/>
                <w:iCs/>
              </w:rPr>
            </w:pPr>
            <w:r>
              <w:rPr>
                <w:i/>
                <w:iCs/>
              </w:rPr>
              <w:lastRenderedPageBreak/>
              <w:t>FAT Test Report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1F760E4B" w14:textId="77777777" w:rsidR="00157AAA" w:rsidRDefault="006C1BE5" w:rsidP="001136D3">
            <w:pPr>
              <w:spacing w:after="0"/>
            </w:pPr>
            <w:r>
              <w:t>Support FAT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0F0F19E8" w14:textId="77777777" w:rsidR="00157AAA" w:rsidRDefault="006C1BE5" w:rsidP="001136D3">
            <w:pPr>
              <w:spacing w:after="0"/>
            </w:pPr>
            <w:r>
              <w:t>Documentary evidence of test execution, to be compared with expected results described in the TDS. Test reports include test tools logs and minutes of the test related meetings.</w:t>
            </w:r>
          </w:p>
        </w:tc>
      </w:tr>
      <w:tr w:rsidR="00157AAA" w14:paraId="4835F253"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8084D24" w14:textId="77777777" w:rsidR="00157AAA" w:rsidRDefault="006C1BE5" w:rsidP="001136D3">
            <w:pPr>
              <w:spacing w:after="0"/>
              <w:rPr>
                <w:i/>
                <w:iCs/>
              </w:rPr>
            </w:pPr>
            <w:r>
              <w:rPr>
                <w:i/>
                <w:iCs/>
              </w:rPr>
              <w:t>SAT Test Report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6184191F" w14:textId="77777777" w:rsidR="00157AAA" w:rsidRDefault="006C1BE5" w:rsidP="001136D3">
            <w:pPr>
              <w:spacing w:after="0"/>
            </w:pPr>
            <w:r>
              <w:t>Support SAT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3C49933" w14:textId="77777777" w:rsidR="00157AAA" w:rsidRDefault="006C1BE5" w:rsidP="001136D3">
            <w:pPr>
              <w:spacing w:after="0"/>
            </w:pPr>
            <w:r>
              <w:t>Documentary evidence of test execution, to be compared with expected results described in the TDS. Test reports include test tools logs and minutes of the test related meetings.</w:t>
            </w:r>
          </w:p>
        </w:tc>
      </w:tr>
      <w:tr w:rsidR="00157AAA" w14:paraId="55F1EEB6" w14:textId="77777777">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589E27DA" w14:textId="77777777" w:rsidR="00157AAA" w:rsidRDefault="006C1BE5" w:rsidP="001136D3">
            <w:pPr>
              <w:spacing w:after="0"/>
              <w:rPr>
                <w:i/>
                <w:iCs/>
              </w:rPr>
            </w:pPr>
            <w:r>
              <w:rPr>
                <w:i/>
                <w:iCs/>
              </w:rPr>
              <w:t>QT Test Report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466BBDE5" w14:textId="77777777" w:rsidR="00157AAA" w:rsidRDefault="006C1BE5" w:rsidP="001136D3">
            <w:pPr>
              <w:spacing w:after="0"/>
            </w:pPr>
            <w:r>
              <w:t>Support QT 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14:paraId="2E60E304" w14:textId="77777777" w:rsidR="00157AAA" w:rsidRDefault="006C1BE5" w:rsidP="001136D3">
            <w:pPr>
              <w:spacing w:after="0"/>
            </w:pPr>
            <w:r>
              <w:t>Documentary evidence of test execution, to be compared with expected results described in the TDS. Test reports include test tools logs and minutes of the test related meetings.</w:t>
            </w:r>
          </w:p>
        </w:tc>
      </w:tr>
      <w:bookmarkEnd w:id="755"/>
    </w:tbl>
    <w:p w14:paraId="3D5FA94A" w14:textId="77777777" w:rsidR="00157AAA" w:rsidRDefault="00157AAA"/>
    <w:p w14:paraId="6558E307" w14:textId="26EABE1C" w:rsidR="00157AAA" w:rsidRDefault="006C1BE5">
      <w:pPr>
        <w:pStyle w:val="Head5a1"/>
      </w:pPr>
      <w:bookmarkStart w:id="756" w:name="_Toc145658540"/>
      <w:r>
        <w:t>F.  Service Specifications – Recurrent Cost Items</w:t>
      </w:r>
      <w:bookmarkEnd w:id="756"/>
    </w:p>
    <w:p w14:paraId="1E0A65B4" w14:textId="77777777" w:rsidR="00157AAA" w:rsidRPr="001136D3" w:rsidRDefault="006C1BE5">
      <w:pPr>
        <w:pStyle w:val="Head5a2"/>
      </w:pPr>
      <w:bookmarkStart w:id="757" w:name="_Toc145658541"/>
      <w:r w:rsidRPr="001136D3">
        <w:t>5.2</w:t>
      </w:r>
      <w:r w:rsidRPr="001136D3">
        <w:tab/>
        <w:t>Technical Support</w:t>
      </w:r>
      <w:bookmarkEnd w:id="757"/>
    </w:p>
    <w:p w14:paraId="03326506" w14:textId="77777777" w:rsidR="00157AAA" w:rsidRDefault="006C1BE5">
      <w:pPr>
        <w:ind w:left="1440" w:hanging="720"/>
      </w:pPr>
      <w:r>
        <w:t>5.2.1</w:t>
      </w:r>
      <w:r>
        <w:tab/>
        <w:t xml:space="preserve">The Supplier MUST provide the following services under the Contract for a period of twelve months, </w:t>
      </w:r>
      <w:r>
        <w:rPr>
          <w:rStyle w:val="Preparersnotenobold"/>
        </w:rPr>
        <w:t>following the successful implementation and acceptance of the system</w:t>
      </w:r>
      <w:r>
        <w:t xml:space="preserve"> (as specified in the bidding documents).</w:t>
      </w:r>
    </w:p>
    <w:p w14:paraId="3F5A5BBD" w14:textId="77777777" w:rsidR="00157AAA" w:rsidRDefault="006C1BE5">
      <w:pPr>
        <w:ind w:left="2160" w:hanging="720"/>
      </w:pPr>
      <w:r>
        <w:t>5.2.1.1</w:t>
      </w:r>
      <w:r>
        <w:rPr>
          <w:u w:val="single"/>
        </w:rPr>
        <w:t>User support / hot line</w:t>
      </w:r>
      <w:r>
        <w:t xml:space="preserve">. Supplier shall provide support to end users of Software Solution after the handover of the system if the problem cannot be resolved by the National Help Desk. The end users will send requests for support to the National Help Desk through a Help Desk application provided by Supplier, </w:t>
      </w:r>
      <w:proofErr w:type="gramStart"/>
      <w:r>
        <w:t>in order to</w:t>
      </w:r>
      <w:proofErr w:type="gramEnd"/>
      <w:r>
        <w:t xml:space="preserve"> have track of all the request and responses/ resolutions. </w:t>
      </w:r>
    </w:p>
    <w:p w14:paraId="087E4339" w14:textId="77777777" w:rsidR="00157AAA" w:rsidRDefault="006C1BE5">
      <w:pPr>
        <w:ind w:left="2160"/>
      </w:pPr>
      <w:r>
        <w:t xml:space="preserve">The Supplier is obliged to provide timely and adequate technical support that may be provided in different ways, as follows: </w:t>
      </w:r>
    </w:p>
    <w:p w14:paraId="6EE598DA" w14:textId="77777777" w:rsidR="00157AAA" w:rsidRDefault="006C1BE5" w:rsidP="00D530D5">
      <w:pPr>
        <w:pStyle w:val="ListParagraph"/>
        <w:numPr>
          <w:ilvl w:val="1"/>
          <w:numId w:val="99"/>
        </w:numPr>
      </w:pPr>
      <w:r>
        <w:t xml:space="preserve">by telephone - the response time for providing this kind of support from the moment of reporting the deficiency is 30 minutes </w:t>
      </w:r>
    </w:p>
    <w:p w14:paraId="7925D768" w14:textId="77777777" w:rsidR="00157AAA" w:rsidRDefault="006C1BE5" w:rsidP="00D530D5">
      <w:pPr>
        <w:pStyle w:val="ListParagraph"/>
        <w:numPr>
          <w:ilvl w:val="1"/>
          <w:numId w:val="99"/>
        </w:numPr>
      </w:pPr>
      <w:r>
        <w:t xml:space="preserve">e-mail - the response time for providing this kind of support from the moment of reporting the deficiency is 120 </w:t>
      </w:r>
      <w:proofErr w:type="gramStart"/>
      <w:r>
        <w:t>minutes</w:t>
      </w:r>
      <w:proofErr w:type="gramEnd"/>
      <w:r>
        <w:t xml:space="preserve"> </w:t>
      </w:r>
    </w:p>
    <w:p w14:paraId="3BC5A67F" w14:textId="77777777" w:rsidR="00157AAA" w:rsidRDefault="006C1BE5" w:rsidP="00D530D5">
      <w:pPr>
        <w:pStyle w:val="ListParagraph"/>
        <w:numPr>
          <w:ilvl w:val="1"/>
          <w:numId w:val="99"/>
        </w:numPr>
      </w:pPr>
      <w:r>
        <w:t xml:space="preserve">remote access – the response time for providing this kind of support from the moment of reporting the deficiency is 180 </w:t>
      </w:r>
      <w:proofErr w:type="gramStart"/>
      <w:r>
        <w:t>minutes</w:t>
      </w:r>
      <w:proofErr w:type="gramEnd"/>
      <w:r>
        <w:t xml:space="preserve"> </w:t>
      </w:r>
    </w:p>
    <w:p w14:paraId="28911767" w14:textId="77777777" w:rsidR="00157AAA" w:rsidRDefault="006C1BE5" w:rsidP="00D530D5">
      <w:pPr>
        <w:pStyle w:val="ListParagraph"/>
        <w:numPr>
          <w:ilvl w:val="1"/>
          <w:numId w:val="99"/>
        </w:numPr>
      </w:pPr>
      <w:r>
        <w:t xml:space="preserve">arrival at the location – the response time for providing this kind of support from the time of reporting the deficiency is 24-hour. </w:t>
      </w:r>
    </w:p>
    <w:p w14:paraId="613B85E9" w14:textId="77777777" w:rsidR="00157AAA" w:rsidRDefault="006C1BE5">
      <w:pPr>
        <w:ind w:left="2160"/>
      </w:pPr>
      <w:r>
        <w:lastRenderedPageBreak/>
        <w:t xml:space="preserve">The specified response times are valid during the working week, in the time in which the end users effectively </w:t>
      </w:r>
      <w:proofErr w:type="gramStart"/>
      <w:r>
        <w:t>uses</w:t>
      </w:r>
      <w:proofErr w:type="gramEnd"/>
      <w:r>
        <w:t xml:space="preserve"> the information system.</w:t>
      </w:r>
    </w:p>
    <w:p w14:paraId="438D1E07" w14:textId="77777777" w:rsidR="00157AAA" w:rsidRDefault="006C1BE5">
      <w:pPr>
        <w:ind w:left="2160" w:hanging="720"/>
      </w:pPr>
      <w:r>
        <w:t>5.2.1.2</w:t>
      </w:r>
      <w:r>
        <w:tab/>
      </w:r>
      <w:r>
        <w:rPr>
          <w:u w:val="single"/>
        </w:rPr>
        <w:t>Technical Assistance.</w:t>
      </w:r>
      <w:r>
        <w:t xml:space="preserve"> The Supplier is required to guarantee the availability for technical support upon completion of the project for a period of at least twelve months.</w:t>
      </w:r>
    </w:p>
    <w:p w14:paraId="17C5B8FA" w14:textId="77777777" w:rsidR="00157AAA" w:rsidRDefault="006C1BE5">
      <w:pPr>
        <w:ind w:left="2160" w:hanging="720"/>
      </w:pPr>
      <w:r>
        <w:t>5.2.1.3</w:t>
      </w:r>
      <w:r>
        <w:tab/>
      </w:r>
      <w:r>
        <w:rPr>
          <w:u w:val="single"/>
        </w:rPr>
        <w:t xml:space="preserve"> Maintenance Services</w:t>
      </w:r>
      <w:r>
        <w:t xml:space="preserve">: The Software Solution maintenance should keep it operational and relevant against its business goals. Maintenance for purpose of this project encapsulate: </w:t>
      </w:r>
    </w:p>
    <w:p w14:paraId="17561EC6" w14:textId="77777777" w:rsidR="00157AAA" w:rsidRDefault="006C1BE5" w:rsidP="00D530D5">
      <w:pPr>
        <w:pStyle w:val="ListParagraph"/>
        <w:numPr>
          <w:ilvl w:val="0"/>
          <w:numId w:val="100"/>
        </w:numPr>
      </w:pPr>
      <w:r>
        <w:t xml:space="preserve">Corrective maintenance: changes to software solution as requested by end user, with aim to remove identified </w:t>
      </w:r>
      <w:proofErr w:type="gramStart"/>
      <w:r>
        <w:t>problems;</w:t>
      </w:r>
      <w:proofErr w:type="gramEnd"/>
    </w:p>
    <w:p w14:paraId="5DE73E23" w14:textId="77777777" w:rsidR="00157AAA" w:rsidRDefault="006C1BE5" w:rsidP="00D530D5">
      <w:pPr>
        <w:pStyle w:val="ListParagraph"/>
        <w:numPr>
          <w:ilvl w:val="0"/>
          <w:numId w:val="100"/>
        </w:numPr>
      </w:pPr>
      <w:r>
        <w:t xml:space="preserve">Adaptive maintenance: changes to software solution as requested by changes in business environment, with aim to keep the solution relevant in changed </w:t>
      </w:r>
      <w:proofErr w:type="gramStart"/>
      <w:r>
        <w:t>environment;</w:t>
      </w:r>
      <w:proofErr w:type="gramEnd"/>
    </w:p>
    <w:p w14:paraId="0B47A500" w14:textId="77777777" w:rsidR="00157AAA" w:rsidRDefault="006C1BE5" w:rsidP="00D530D5">
      <w:pPr>
        <w:pStyle w:val="ListParagraph"/>
        <w:numPr>
          <w:ilvl w:val="0"/>
          <w:numId w:val="100"/>
        </w:numPr>
      </w:pPr>
      <w:r>
        <w:t xml:space="preserve">Adaptive maintenance: changes to software solution as requested from Legal </w:t>
      </w:r>
      <w:proofErr w:type="gramStart"/>
      <w:r>
        <w:t>changes;</w:t>
      </w:r>
      <w:proofErr w:type="gramEnd"/>
    </w:p>
    <w:p w14:paraId="5691B422" w14:textId="77777777" w:rsidR="00157AAA" w:rsidRDefault="006C1BE5" w:rsidP="00D530D5">
      <w:pPr>
        <w:pStyle w:val="ListParagraph"/>
        <w:numPr>
          <w:ilvl w:val="0"/>
          <w:numId w:val="100"/>
        </w:numPr>
      </w:pPr>
      <w:r>
        <w:t xml:space="preserve">Perfective maintenance: changes to software solution in order to improve performances, usability, functionality and user </w:t>
      </w:r>
      <w:proofErr w:type="gramStart"/>
      <w:r>
        <w:t>experience;</w:t>
      </w:r>
      <w:proofErr w:type="gramEnd"/>
    </w:p>
    <w:p w14:paraId="2EB872F7" w14:textId="77777777" w:rsidR="00157AAA" w:rsidRDefault="006C1BE5" w:rsidP="00D530D5">
      <w:pPr>
        <w:pStyle w:val="ListParagraph"/>
        <w:numPr>
          <w:ilvl w:val="0"/>
          <w:numId w:val="100"/>
        </w:numPr>
      </w:pPr>
      <w:r>
        <w:t xml:space="preserve">Preventive maintenance: modifications of software solution </w:t>
      </w:r>
      <w:proofErr w:type="gramStart"/>
      <w:r>
        <w:t>in order to</w:t>
      </w:r>
      <w:proofErr w:type="gramEnd"/>
      <w:r>
        <w:t xml:space="preserve"> prevent latent errors before those errors can bring software solution to halt or break.</w:t>
      </w:r>
    </w:p>
    <w:p w14:paraId="751F35CF" w14:textId="77777777" w:rsidR="00157AAA" w:rsidRDefault="006C1BE5">
      <w:pPr>
        <w:ind w:left="720"/>
        <w:rPr>
          <w:rStyle w:val="Preparersnotenobold"/>
          <w:i w:val="0"/>
          <w:iCs/>
        </w:rPr>
      </w:pPr>
      <w:r>
        <w:rPr>
          <w:rStyle w:val="Preparersnotenobold"/>
          <w:i w:val="0"/>
          <w:iCs/>
        </w:rPr>
        <w:t xml:space="preserve">The </w:t>
      </w:r>
      <w:r>
        <w:rPr>
          <w:iCs/>
          <w:szCs w:val="22"/>
        </w:rPr>
        <w:t>Supplier</w:t>
      </w:r>
      <w:r>
        <w:rPr>
          <w:rStyle w:val="Preparersnotenobold"/>
          <w:i w:val="0"/>
          <w:iCs/>
        </w:rPr>
        <w:t xml:space="preserve"> is required to guarantee the availability of the software solution maintenance upon completion of the project for a period of at least </w:t>
      </w:r>
      <w:r>
        <w:t>twelve months</w:t>
      </w:r>
      <w:r>
        <w:rPr>
          <w:rStyle w:val="Preparersnotenobold"/>
          <w:i w:val="0"/>
          <w:iCs/>
        </w:rPr>
        <w:t>.</w:t>
      </w:r>
    </w:p>
    <w:p w14:paraId="49603C5C" w14:textId="77777777" w:rsidR="00157AAA" w:rsidRDefault="00157AAA">
      <w:pPr>
        <w:ind w:left="720"/>
        <w:rPr>
          <w:rStyle w:val="Preparersnotenobold"/>
          <w:i w:val="0"/>
          <w:iCs/>
        </w:rPr>
      </w:pPr>
    </w:p>
    <w:p w14:paraId="0BF8807F" w14:textId="77777777" w:rsidR="00157AAA" w:rsidRDefault="006C1BE5">
      <w:pPr>
        <w:widowControl w:val="0"/>
        <w:rPr>
          <w:b/>
          <w:color w:val="000000"/>
        </w:rPr>
      </w:pPr>
      <w:r>
        <w:rPr>
          <w:b/>
          <w:color w:val="000000"/>
        </w:rPr>
        <w:t>Service Response Times (Classification)</w:t>
      </w:r>
    </w:p>
    <w:p w14:paraId="57665144" w14:textId="77777777" w:rsidR="00157AAA" w:rsidRDefault="006C1BE5">
      <w:pPr>
        <w:widowControl w:val="0"/>
        <w:rPr>
          <w:color w:val="000000"/>
        </w:rPr>
      </w:pPr>
      <w:r>
        <w:t>Supplier</w:t>
      </w:r>
      <w:r>
        <w:rPr>
          <w:b/>
        </w:rPr>
        <w:t xml:space="preserve"> </w:t>
      </w:r>
      <w:r>
        <w:rPr>
          <w:color w:val="000000"/>
        </w:rPr>
        <w:t>will use all reasonable best efforts to work for the prompt resolution of software faults and will respond to Client as per the target service level, response and resolution times set out below by using a dedicated Virtual Ticket Case registration system e-mail address for each issue. Maximum turnaround time of response will be based on the following severity level response time:</w:t>
      </w:r>
    </w:p>
    <w:p w14:paraId="0B488256" w14:textId="77777777" w:rsidR="00157AAA" w:rsidRDefault="00157AAA">
      <w:pPr>
        <w:widowControl w:val="0"/>
        <w:rPr>
          <w:color w:val="000000"/>
        </w:rPr>
      </w:pPr>
    </w:p>
    <w:tbl>
      <w:tblPr>
        <w:tblW w:w="8460" w:type="dxa"/>
        <w:jc w:val="center"/>
        <w:tblCellMar>
          <w:left w:w="0" w:type="dxa"/>
          <w:right w:w="0" w:type="dxa"/>
        </w:tblCellMar>
        <w:tblLook w:val="04A0" w:firstRow="1" w:lastRow="0" w:firstColumn="1" w:lastColumn="0" w:noHBand="0" w:noVBand="1"/>
      </w:tblPr>
      <w:tblGrid>
        <w:gridCol w:w="1089"/>
        <w:gridCol w:w="7371"/>
      </w:tblGrid>
      <w:tr w:rsidR="00157AAA" w14:paraId="127A4697" w14:textId="77777777">
        <w:trPr>
          <w:jc w:val="center"/>
        </w:trPr>
        <w:tc>
          <w:tcPr>
            <w:tcW w:w="1089"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tcPr>
          <w:p w14:paraId="77BCCE8B" w14:textId="77777777" w:rsidR="00157AAA" w:rsidRDefault="006C1BE5" w:rsidP="001136D3">
            <w:pPr>
              <w:spacing w:after="0"/>
              <w:jc w:val="left"/>
              <w:rPr>
                <w:b/>
                <w:bCs/>
                <w:i/>
                <w:szCs w:val="24"/>
              </w:rPr>
            </w:pPr>
            <w:r>
              <w:rPr>
                <w:b/>
                <w:bCs/>
                <w:i/>
                <w:szCs w:val="24"/>
              </w:rPr>
              <w:t>Severity Level</w:t>
            </w:r>
          </w:p>
        </w:tc>
        <w:tc>
          <w:tcPr>
            <w:tcW w:w="7371" w:type="dxa"/>
            <w:tcBorders>
              <w:top w:val="single" w:sz="8" w:space="0" w:color="000000"/>
              <w:left w:val="none" w:sz="4"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tcPr>
          <w:p w14:paraId="214C9845" w14:textId="77777777" w:rsidR="00157AAA" w:rsidRDefault="006C1BE5" w:rsidP="001136D3">
            <w:pPr>
              <w:spacing w:after="0"/>
              <w:jc w:val="left"/>
              <w:rPr>
                <w:b/>
                <w:bCs/>
                <w:i/>
                <w:szCs w:val="24"/>
              </w:rPr>
            </w:pPr>
            <w:r>
              <w:rPr>
                <w:b/>
                <w:bCs/>
                <w:i/>
                <w:szCs w:val="24"/>
              </w:rPr>
              <w:t>Response/Solution Time</w:t>
            </w:r>
          </w:p>
        </w:tc>
      </w:tr>
      <w:tr w:rsidR="00157AAA" w14:paraId="45370B57"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7F2D92E" w14:textId="77777777" w:rsidR="00157AAA" w:rsidRDefault="006C1BE5" w:rsidP="001136D3">
            <w:pPr>
              <w:spacing w:after="0"/>
              <w:jc w:val="left"/>
              <w:rPr>
                <w:iCs/>
                <w:szCs w:val="24"/>
              </w:rPr>
            </w:pPr>
            <w:r>
              <w:rPr>
                <w:iCs/>
                <w:szCs w:val="24"/>
              </w:rPr>
              <w:t>1</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3A82C11B" w14:textId="77777777" w:rsidR="00157AAA" w:rsidRDefault="006C1BE5" w:rsidP="001136D3">
            <w:pPr>
              <w:spacing w:after="0"/>
              <w:rPr>
                <w:iCs/>
                <w:szCs w:val="24"/>
              </w:rPr>
            </w:pPr>
            <w:r>
              <w:rPr>
                <w:iCs/>
                <w:szCs w:val="24"/>
              </w:rPr>
              <w:t>Acknowledge within one (1) hour; solution (including option of workaround acceptable to NSW/CA as necessary) within twelve (12) hours.</w:t>
            </w:r>
          </w:p>
        </w:tc>
      </w:tr>
      <w:tr w:rsidR="00157AAA" w14:paraId="1FB85071"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BBADCF9" w14:textId="77777777" w:rsidR="00157AAA" w:rsidRDefault="006C1BE5" w:rsidP="001136D3">
            <w:pPr>
              <w:spacing w:after="0"/>
              <w:jc w:val="left"/>
              <w:rPr>
                <w:iCs/>
                <w:szCs w:val="24"/>
              </w:rPr>
            </w:pPr>
            <w:r>
              <w:rPr>
                <w:iCs/>
                <w:szCs w:val="24"/>
              </w:rPr>
              <w:t>2</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7ABC2A86" w14:textId="77777777" w:rsidR="00157AAA" w:rsidRDefault="006C1BE5" w:rsidP="001136D3">
            <w:pPr>
              <w:spacing w:after="0"/>
              <w:rPr>
                <w:iCs/>
                <w:szCs w:val="24"/>
              </w:rPr>
            </w:pPr>
            <w:r>
              <w:rPr>
                <w:iCs/>
                <w:szCs w:val="24"/>
              </w:rPr>
              <w:t>Acknowledge within one (1) hour; solution (including option of workaround acceptable to NSW/CA as necessary) within thirty-six (36) hours.</w:t>
            </w:r>
          </w:p>
        </w:tc>
      </w:tr>
      <w:tr w:rsidR="00157AAA" w14:paraId="7F90F677"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CF2B8F8" w14:textId="77777777" w:rsidR="00157AAA" w:rsidRDefault="006C1BE5" w:rsidP="001136D3">
            <w:pPr>
              <w:spacing w:after="0"/>
              <w:jc w:val="left"/>
              <w:rPr>
                <w:iCs/>
                <w:szCs w:val="24"/>
              </w:rPr>
            </w:pPr>
            <w:r>
              <w:rPr>
                <w:iCs/>
                <w:szCs w:val="24"/>
              </w:rPr>
              <w:lastRenderedPageBreak/>
              <w:t>3</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06AEEB99" w14:textId="77777777" w:rsidR="00157AAA" w:rsidRDefault="006C1BE5" w:rsidP="001136D3">
            <w:pPr>
              <w:spacing w:after="0"/>
              <w:rPr>
                <w:iCs/>
                <w:szCs w:val="24"/>
              </w:rPr>
            </w:pPr>
            <w:r>
              <w:rPr>
                <w:iCs/>
                <w:szCs w:val="24"/>
              </w:rPr>
              <w:t xml:space="preserve">Acknowledge within one (3) </w:t>
            </w:r>
            <w:proofErr w:type="gramStart"/>
            <w:r>
              <w:rPr>
                <w:iCs/>
                <w:szCs w:val="24"/>
              </w:rPr>
              <w:t>hours</w:t>
            </w:r>
            <w:proofErr w:type="gramEnd"/>
            <w:r>
              <w:rPr>
                <w:iCs/>
                <w:szCs w:val="24"/>
              </w:rPr>
              <w:t>; solution (including option of workaround acceptable to NSW/CA as necessary) within four (4) business days.</w:t>
            </w:r>
          </w:p>
        </w:tc>
      </w:tr>
      <w:tr w:rsidR="00157AAA" w14:paraId="364899C2"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74C21AC" w14:textId="77777777" w:rsidR="00157AAA" w:rsidRDefault="006C1BE5" w:rsidP="001136D3">
            <w:pPr>
              <w:spacing w:after="0"/>
              <w:jc w:val="left"/>
              <w:rPr>
                <w:iCs/>
                <w:szCs w:val="24"/>
              </w:rPr>
            </w:pPr>
            <w:r>
              <w:rPr>
                <w:iCs/>
                <w:szCs w:val="24"/>
              </w:rPr>
              <w:t>4</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3EB4B9CC" w14:textId="77777777" w:rsidR="00157AAA" w:rsidRDefault="006C1BE5" w:rsidP="001136D3">
            <w:pPr>
              <w:spacing w:after="0"/>
              <w:rPr>
                <w:iCs/>
                <w:szCs w:val="24"/>
              </w:rPr>
            </w:pPr>
            <w:r>
              <w:rPr>
                <w:iCs/>
                <w:szCs w:val="24"/>
              </w:rPr>
              <w:t xml:space="preserve">Acknowledge within one (5) </w:t>
            </w:r>
            <w:proofErr w:type="gramStart"/>
            <w:r>
              <w:rPr>
                <w:iCs/>
                <w:szCs w:val="24"/>
              </w:rPr>
              <w:t>hours</w:t>
            </w:r>
            <w:proofErr w:type="gramEnd"/>
            <w:r>
              <w:rPr>
                <w:iCs/>
                <w:szCs w:val="24"/>
              </w:rPr>
              <w:t>; solution (including option of workaround acceptable to NSW/CA as necessary) within six (6) business days, unless otherwise agreed in writing by the NSW/CA.</w:t>
            </w:r>
          </w:p>
        </w:tc>
      </w:tr>
    </w:tbl>
    <w:p w14:paraId="1A3F685E" w14:textId="77777777" w:rsidR="00157AAA" w:rsidRDefault="00157AAA">
      <w:pPr>
        <w:ind w:left="2160"/>
        <w:rPr>
          <w:rFonts w:eastAsia="Calibri"/>
          <w:szCs w:val="24"/>
        </w:rPr>
      </w:pPr>
    </w:p>
    <w:tbl>
      <w:tblPr>
        <w:tblW w:w="8460" w:type="dxa"/>
        <w:jc w:val="center"/>
        <w:tblCellMar>
          <w:left w:w="0" w:type="dxa"/>
          <w:right w:w="0" w:type="dxa"/>
        </w:tblCellMar>
        <w:tblLook w:val="04A0" w:firstRow="1" w:lastRow="0" w:firstColumn="1" w:lastColumn="0" w:noHBand="0" w:noVBand="1"/>
      </w:tblPr>
      <w:tblGrid>
        <w:gridCol w:w="1089"/>
        <w:gridCol w:w="7371"/>
      </w:tblGrid>
      <w:tr w:rsidR="00157AAA" w14:paraId="0DF0B6AA" w14:textId="77777777">
        <w:trPr>
          <w:jc w:val="center"/>
        </w:trPr>
        <w:tc>
          <w:tcPr>
            <w:tcW w:w="1089"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tcPr>
          <w:p w14:paraId="0D939D2B" w14:textId="77777777" w:rsidR="00157AAA" w:rsidRDefault="006C1BE5" w:rsidP="001136D3">
            <w:pPr>
              <w:spacing w:after="0"/>
              <w:jc w:val="left"/>
              <w:rPr>
                <w:b/>
                <w:i/>
                <w:iCs/>
                <w:szCs w:val="24"/>
              </w:rPr>
            </w:pPr>
            <w:r>
              <w:rPr>
                <w:b/>
                <w:i/>
                <w:iCs/>
                <w:szCs w:val="24"/>
              </w:rPr>
              <w:t>Severity Level</w:t>
            </w:r>
          </w:p>
        </w:tc>
        <w:tc>
          <w:tcPr>
            <w:tcW w:w="7371" w:type="dxa"/>
            <w:tcBorders>
              <w:top w:val="single" w:sz="8" w:space="0" w:color="000000"/>
              <w:left w:val="none" w:sz="4"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tcPr>
          <w:p w14:paraId="730124E1" w14:textId="77777777" w:rsidR="00157AAA" w:rsidRDefault="006C1BE5" w:rsidP="001136D3">
            <w:pPr>
              <w:spacing w:after="0"/>
              <w:jc w:val="left"/>
              <w:rPr>
                <w:b/>
                <w:i/>
                <w:iCs/>
                <w:szCs w:val="24"/>
              </w:rPr>
            </w:pPr>
            <w:r>
              <w:rPr>
                <w:b/>
                <w:i/>
                <w:iCs/>
                <w:szCs w:val="24"/>
              </w:rPr>
              <w:t>Description</w:t>
            </w:r>
          </w:p>
        </w:tc>
      </w:tr>
      <w:tr w:rsidR="00157AAA" w14:paraId="6475EF9C"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69C5306" w14:textId="77777777" w:rsidR="00157AAA" w:rsidRDefault="006C1BE5" w:rsidP="001136D3">
            <w:pPr>
              <w:spacing w:after="0"/>
              <w:jc w:val="left"/>
              <w:rPr>
                <w:iCs/>
                <w:szCs w:val="24"/>
              </w:rPr>
            </w:pPr>
            <w:r>
              <w:rPr>
                <w:iCs/>
                <w:szCs w:val="24"/>
              </w:rPr>
              <w:t>1</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162A0106" w14:textId="77777777" w:rsidR="00157AAA" w:rsidRDefault="006C1BE5" w:rsidP="001136D3">
            <w:pPr>
              <w:spacing w:after="0"/>
              <w:rPr>
                <w:iCs/>
                <w:szCs w:val="24"/>
              </w:rPr>
            </w:pPr>
            <w:r>
              <w:rPr>
                <w:iCs/>
                <w:szCs w:val="24"/>
              </w:rPr>
              <w:t>An Error that has a critical impact on the development, deployment, or operational use of the Software and/or System, resulting in the inability to continue to deploy or use the Software and/or System as required or intended.  A Severity 1 Error does not have a reasonable workaround, cannot reasonably be corrected by adding to or changing the Documentation.</w:t>
            </w:r>
          </w:p>
        </w:tc>
      </w:tr>
      <w:tr w:rsidR="00157AAA" w14:paraId="6BA0D9D2"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B7628DD" w14:textId="77777777" w:rsidR="00157AAA" w:rsidRDefault="006C1BE5" w:rsidP="001136D3">
            <w:pPr>
              <w:spacing w:after="0"/>
              <w:jc w:val="left"/>
              <w:rPr>
                <w:iCs/>
                <w:szCs w:val="24"/>
              </w:rPr>
            </w:pPr>
            <w:r>
              <w:rPr>
                <w:iCs/>
                <w:szCs w:val="24"/>
              </w:rPr>
              <w:t>2</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1F0A5D0F" w14:textId="77777777" w:rsidR="00157AAA" w:rsidRDefault="006C1BE5" w:rsidP="001136D3">
            <w:pPr>
              <w:spacing w:after="0"/>
              <w:rPr>
                <w:iCs/>
                <w:szCs w:val="24"/>
              </w:rPr>
            </w:pPr>
            <w:r>
              <w:rPr>
                <w:iCs/>
                <w:szCs w:val="24"/>
              </w:rPr>
              <w:t>An Error that causes a severe restriction on the development, deployment, or operational use of the Software and/or System, resulting in the restricted ability to continue to deploy or use the Software and/or System.  A Severity 2 Error does not have a reasonable workaround, cannot reasonably be corrected by adding to or changing the Documentation</w:t>
            </w:r>
          </w:p>
        </w:tc>
      </w:tr>
      <w:tr w:rsidR="00157AAA" w14:paraId="276CF001"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4D1312C" w14:textId="77777777" w:rsidR="00157AAA" w:rsidRDefault="006C1BE5" w:rsidP="001136D3">
            <w:pPr>
              <w:spacing w:after="0"/>
              <w:jc w:val="left"/>
              <w:rPr>
                <w:iCs/>
                <w:szCs w:val="24"/>
              </w:rPr>
            </w:pPr>
            <w:r>
              <w:rPr>
                <w:iCs/>
                <w:szCs w:val="24"/>
              </w:rPr>
              <w:t>3</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38581D68" w14:textId="77777777" w:rsidR="00157AAA" w:rsidRDefault="006C1BE5" w:rsidP="001136D3">
            <w:pPr>
              <w:spacing w:after="0"/>
              <w:rPr>
                <w:iCs/>
                <w:szCs w:val="24"/>
              </w:rPr>
            </w:pPr>
            <w:r>
              <w:rPr>
                <w:iCs/>
                <w:szCs w:val="24"/>
              </w:rPr>
              <w:t xml:space="preserve">An Error that causes limitations that </w:t>
            </w:r>
            <w:proofErr w:type="gramStart"/>
            <w:r>
              <w:rPr>
                <w:iCs/>
                <w:szCs w:val="24"/>
              </w:rPr>
              <w:t>is</w:t>
            </w:r>
            <w:proofErr w:type="gramEnd"/>
            <w:r>
              <w:rPr>
                <w:iCs/>
                <w:szCs w:val="24"/>
              </w:rPr>
              <w:t xml:space="preserve"> not critical or severe to the development, deployment, or operational use of the Software and/or System.  A Severity 3 Error has a reasonable workaround.</w:t>
            </w:r>
          </w:p>
        </w:tc>
      </w:tr>
      <w:tr w:rsidR="00157AAA" w14:paraId="214F4764" w14:textId="77777777">
        <w:trPr>
          <w:jc w:val="center"/>
        </w:trPr>
        <w:tc>
          <w:tcPr>
            <w:tcW w:w="108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9402C4F" w14:textId="77777777" w:rsidR="00157AAA" w:rsidRDefault="006C1BE5" w:rsidP="001136D3">
            <w:pPr>
              <w:spacing w:after="0"/>
              <w:jc w:val="left"/>
              <w:rPr>
                <w:iCs/>
                <w:szCs w:val="24"/>
              </w:rPr>
            </w:pPr>
            <w:r>
              <w:rPr>
                <w:iCs/>
                <w:szCs w:val="24"/>
              </w:rPr>
              <w:t>4</w:t>
            </w:r>
          </w:p>
        </w:tc>
        <w:tc>
          <w:tcPr>
            <w:tcW w:w="737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4DF09349" w14:textId="77777777" w:rsidR="00157AAA" w:rsidRDefault="006C1BE5" w:rsidP="001136D3">
            <w:pPr>
              <w:spacing w:after="0"/>
              <w:rPr>
                <w:iCs/>
                <w:szCs w:val="24"/>
              </w:rPr>
            </w:pPr>
            <w:r>
              <w:rPr>
                <w:iCs/>
                <w:szCs w:val="24"/>
              </w:rPr>
              <w:t>An Error that causes a slight inconvenience to the development, deployment, or operational use of the Software and/or System.  A Severity 4 Error has a reasonable workaround.</w:t>
            </w:r>
          </w:p>
        </w:tc>
      </w:tr>
    </w:tbl>
    <w:p w14:paraId="79728212" w14:textId="77777777" w:rsidR="00157AAA" w:rsidRDefault="00157AAA">
      <w:pPr>
        <w:widowControl w:val="0"/>
        <w:rPr>
          <w:color w:val="000000"/>
        </w:rPr>
      </w:pPr>
    </w:p>
    <w:p w14:paraId="1A6A00D2" w14:textId="77777777" w:rsidR="00157AAA" w:rsidRDefault="00157AAA">
      <w:pPr>
        <w:rPr>
          <w:sz w:val="22"/>
        </w:rPr>
      </w:pPr>
    </w:p>
    <w:p w14:paraId="6FAE496F" w14:textId="77777777" w:rsidR="00157AAA" w:rsidRDefault="00157AAA">
      <w:pPr>
        <w:rPr>
          <w:sz w:val="22"/>
        </w:rPr>
      </w:pPr>
    </w:p>
    <w:p w14:paraId="0C441CAA" w14:textId="77777777" w:rsidR="00157AAA" w:rsidRDefault="00157AAA"/>
    <w:p w14:paraId="0D5570BB" w14:textId="77777777" w:rsidR="00157AAA" w:rsidRDefault="00157AAA">
      <w:pPr>
        <w:rPr>
          <w:b/>
          <w:sz w:val="32"/>
          <w:szCs w:val="32"/>
        </w:rPr>
        <w:sectPr w:rsidR="00157AAA" w:rsidSect="00734667">
          <w:headerReference w:type="even" r:id="rId138"/>
          <w:headerReference w:type="default" r:id="rId139"/>
          <w:pgSz w:w="12240" w:h="15840"/>
          <w:pgMar w:top="1440" w:right="1800" w:bottom="1440" w:left="1800" w:header="720" w:footer="720" w:gutter="0"/>
          <w:cols w:space="720"/>
          <w:docGrid w:linePitch="360"/>
        </w:sectPr>
      </w:pPr>
    </w:p>
    <w:p w14:paraId="21D2710E" w14:textId="77777777" w:rsidR="00157AAA" w:rsidRDefault="006C1BE5">
      <w:pPr>
        <w:jc w:val="center"/>
        <w:rPr>
          <w:b/>
          <w:sz w:val="36"/>
          <w:szCs w:val="36"/>
        </w:rPr>
      </w:pPr>
      <w:bookmarkStart w:id="758" w:name="_Toc454641237"/>
      <w:bookmarkStart w:id="759" w:name="_Toc433161260"/>
      <w:bookmarkStart w:id="760" w:name="_Toc521498271"/>
      <w:bookmarkStart w:id="761" w:name="_Toc207771479"/>
      <w:r>
        <w:rPr>
          <w:b/>
          <w:sz w:val="36"/>
          <w:szCs w:val="36"/>
        </w:rPr>
        <w:lastRenderedPageBreak/>
        <w:t>Implementation Schedule</w:t>
      </w:r>
      <w:bookmarkEnd w:id="758"/>
    </w:p>
    <w:p w14:paraId="2147E5A1" w14:textId="77777777" w:rsidR="00157AAA" w:rsidRDefault="00157AAA"/>
    <w:p w14:paraId="433B6C0F" w14:textId="114BC2C4" w:rsidR="00157AAA" w:rsidRDefault="006C1BE5">
      <w:pPr>
        <w:pStyle w:val="Heading2"/>
        <w:ind w:right="360"/>
        <w:rPr>
          <w:rFonts w:ascii="Times New Roman" w:hAnsi="Times New Roman"/>
        </w:rPr>
      </w:pPr>
      <w:r>
        <w:rPr>
          <w:rFonts w:ascii="Times New Roman" w:hAnsi="Times New Roman"/>
        </w:rPr>
        <w:t>Table of Contents:  Implementation Schedule</w:t>
      </w:r>
    </w:p>
    <w:p w14:paraId="59AD4FBE" w14:textId="6F87778E" w:rsidR="00157AAA" w:rsidRDefault="006C1BE5">
      <w:pPr>
        <w:pStyle w:val="TOC1"/>
        <w:tabs>
          <w:tab w:val="clear" w:pos="9000"/>
          <w:tab w:val="left" w:pos="900"/>
          <w:tab w:val="right" w:leader="dot" w:pos="8640"/>
        </w:tabs>
        <w:ind w:right="360"/>
        <w:rPr>
          <w:rFonts w:asciiTheme="minorHAnsi" w:eastAsiaTheme="minorEastAsia" w:hAnsiTheme="minorHAnsi" w:cstheme="minorBidi"/>
          <w:b w:val="0"/>
          <w:sz w:val="22"/>
          <w:szCs w:val="22"/>
        </w:rPr>
      </w:pPr>
      <w:r>
        <w:rPr>
          <w:b w:val="0"/>
        </w:rPr>
        <w:fldChar w:fldCharType="begin"/>
      </w:r>
      <w:r>
        <w:rPr>
          <w:b w:val="0"/>
        </w:rPr>
        <w:instrText xml:space="preserve"> TOC \h \z \t "Head 5b.1,1,Head 5b.2,2" </w:instrText>
      </w:r>
      <w:r>
        <w:rPr>
          <w:b w:val="0"/>
        </w:rPr>
        <w:fldChar w:fldCharType="separate"/>
      </w:r>
      <w:hyperlink w:anchor="_Toc454958754" w:tooltip="#_Toc454958754" w:history="1">
        <w:r>
          <w:rPr>
            <w:rStyle w:val="Hyperlink"/>
          </w:rPr>
          <w:t>A.</w:t>
        </w:r>
        <w:r>
          <w:rPr>
            <w:rFonts w:asciiTheme="minorHAnsi" w:eastAsiaTheme="minorEastAsia" w:hAnsiTheme="minorHAnsi" w:cstheme="minorBidi"/>
            <w:b w:val="0"/>
            <w:sz w:val="22"/>
            <w:szCs w:val="22"/>
          </w:rPr>
          <w:tab/>
        </w:r>
        <w:r>
          <w:rPr>
            <w:rStyle w:val="Hyperlink"/>
          </w:rPr>
          <w:t>Implementation Schedule Table</w:t>
        </w:r>
        <w:r>
          <w:tab/>
        </w:r>
        <w:r>
          <w:fldChar w:fldCharType="begin"/>
        </w:r>
        <w:r>
          <w:instrText xml:space="preserve"> PAGEREF _Toc454958754 \h </w:instrText>
        </w:r>
        <w:r>
          <w:fldChar w:fldCharType="separate"/>
        </w:r>
        <w:r w:rsidR="00060F24">
          <w:rPr>
            <w:noProof/>
          </w:rPr>
          <w:t>368</w:t>
        </w:r>
        <w:r>
          <w:fldChar w:fldCharType="end"/>
        </w:r>
      </w:hyperlink>
    </w:p>
    <w:p w14:paraId="68D9131F" w14:textId="3B027CA5" w:rsidR="00157AAA" w:rsidRDefault="00000000">
      <w:pPr>
        <w:pStyle w:val="TOC1"/>
        <w:tabs>
          <w:tab w:val="clear" w:pos="9000"/>
          <w:tab w:val="left" w:pos="900"/>
          <w:tab w:val="right" w:leader="dot" w:pos="8640"/>
        </w:tabs>
        <w:ind w:right="360"/>
        <w:rPr>
          <w:rFonts w:asciiTheme="minorHAnsi" w:eastAsiaTheme="minorEastAsia" w:hAnsiTheme="minorHAnsi" w:cstheme="minorBidi"/>
          <w:b w:val="0"/>
          <w:sz w:val="22"/>
          <w:szCs w:val="22"/>
        </w:rPr>
      </w:pPr>
      <w:hyperlink w:anchor="_Toc454958755" w:tooltip="#_Toc454958755" w:history="1">
        <w:r w:rsidR="006C1BE5">
          <w:rPr>
            <w:rStyle w:val="Hyperlink"/>
          </w:rPr>
          <w:t>B.</w:t>
        </w:r>
        <w:r w:rsidR="006C1BE5">
          <w:rPr>
            <w:rFonts w:asciiTheme="minorHAnsi" w:eastAsiaTheme="minorEastAsia" w:hAnsiTheme="minorHAnsi" w:cstheme="minorBidi"/>
            <w:b w:val="0"/>
            <w:sz w:val="22"/>
            <w:szCs w:val="22"/>
          </w:rPr>
          <w:tab/>
        </w:r>
        <w:r w:rsidR="006C1BE5">
          <w:rPr>
            <w:rStyle w:val="Hyperlink"/>
          </w:rPr>
          <w:t>Site Table(s)</w:t>
        </w:r>
        <w:r w:rsidR="006C1BE5">
          <w:tab/>
        </w:r>
        <w:r w:rsidR="006C1BE5">
          <w:fldChar w:fldCharType="begin"/>
        </w:r>
        <w:r w:rsidR="006C1BE5">
          <w:instrText xml:space="preserve"> PAGEREF _Toc454958755 \h </w:instrText>
        </w:r>
        <w:r w:rsidR="006C1BE5">
          <w:fldChar w:fldCharType="separate"/>
        </w:r>
        <w:r w:rsidR="00060F24">
          <w:rPr>
            <w:noProof/>
          </w:rPr>
          <w:t>368</w:t>
        </w:r>
        <w:r w:rsidR="006C1BE5">
          <w:fldChar w:fldCharType="end"/>
        </w:r>
      </w:hyperlink>
    </w:p>
    <w:p w14:paraId="6ABF8A10" w14:textId="69749BBB" w:rsidR="00157AAA" w:rsidRDefault="00000000">
      <w:pPr>
        <w:pStyle w:val="TOC1"/>
        <w:tabs>
          <w:tab w:val="clear" w:pos="9000"/>
          <w:tab w:val="left" w:pos="900"/>
          <w:tab w:val="right" w:leader="dot" w:pos="8640"/>
        </w:tabs>
        <w:ind w:right="360"/>
        <w:rPr>
          <w:rFonts w:asciiTheme="minorHAnsi" w:eastAsiaTheme="minorEastAsia" w:hAnsiTheme="minorHAnsi" w:cstheme="minorBidi"/>
          <w:b w:val="0"/>
          <w:sz w:val="22"/>
          <w:szCs w:val="22"/>
        </w:rPr>
      </w:pPr>
      <w:hyperlink w:anchor="_Toc454958756" w:tooltip="#_Toc454958756" w:history="1">
        <w:r w:rsidR="006C1BE5">
          <w:rPr>
            <w:rStyle w:val="Hyperlink"/>
          </w:rPr>
          <w:t>C.</w:t>
        </w:r>
        <w:r w:rsidR="006C1BE5">
          <w:rPr>
            <w:rFonts w:asciiTheme="minorHAnsi" w:eastAsiaTheme="minorEastAsia" w:hAnsiTheme="minorHAnsi" w:cstheme="minorBidi"/>
            <w:b w:val="0"/>
            <w:sz w:val="22"/>
            <w:szCs w:val="22"/>
          </w:rPr>
          <w:tab/>
        </w:r>
        <w:r w:rsidR="006C1BE5">
          <w:rPr>
            <w:rStyle w:val="Hyperlink"/>
          </w:rPr>
          <w:t>Table of Holidays and Other Non-Working Days</w:t>
        </w:r>
        <w:r w:rsidR="006C1BE5">
          <w:tab/>
        </w:r>
        <w:r w:rsidR="006C1BE5">
          <w:fldChar w:fldCharType="begin"/>
        </w:r>
        <w:r w:rsidR="006C1BE5">
          <w:instrText xml:space="preserve"> PAGEREF _Toc454958756 \h </w:instrText>
        </w:r>
        <w:r w:rsidR="006C1BE5">
          <w:fldChar w:fldCharType="separate"/>
        </w:r>
        <w:r w:rsidR="00060F24">
          <w:rPr>
            <w:noProof/>
          </w:rPr>
          <w:t>368</w:t>
        </w:r>
        <w:r w:rsidR="006C1BE5">
          <w:fldChar w:fldCharType="end"/>
        </w:r>
      </w:hyperlink>
    </w:p>
    <w:p w14:paraId="5120870A" w14:textId="77777777" w:rsidR="00157AAA" w:rsidRDefault="006C1BE5">
      <w:pPr>
        <w:pStyle w:val="TOC2"/>
        <w:rPr>
          <w:szCs w:val="24"/>
        </w:rPr>
      </w:pPr>
      <w:r>
        <w:rPr>
          <w:rFonts w:ascii="Times New Roman Bold" w:hAnsi="Times New Roman Bold"/>
        </w:rPr>
        <w:fldChar w:fldCharType="end"/>
      </w:r>
      <w:r>
        <w:fldChar w:fldCharType="begin"/>
      </w:r>
      <w:r>
        <w:instrText xml:space="preserve"> TOC \h \z \t "Head 5a.1,1,Head 5a.2,2" </w:instrText>
      </w:r>
      <w:r>
        <w:fldChar w:fldCharType="separate"/>
      </w:r>
    </w:p>
    <w:p w14:paraId="23FF26DF" w14:textId="77777777" w:rsidR="00157AAA" w:rsidRDefault="006C1BE5">
      <w:pPr>
        <w:tabs>
          <w:tab w:val="right" w:leader="dot" w:pos="8640"/>
        </w:tabs>
        <w:ind w:right="360"/>
        <w:rPr>
          <w:sz w:val="32"/>
        </w:rPr>
        <w:sectPr w:rsidR="00157AAA" w:rsidSect="00734667">
          <w:headerReference w:type="default" r:id="rId140"/>
          <w:headerReference w:type="first" r:id="rId141"/>
          <w:footnotePr>
            <w:numRestart w:val="eachPage"/>
          </w:footnotePr>
          <w:endnotePr>
            <w:numRestart w:val="eachSect"/>
          </w:endnotePr>
          <w:pgSz w:w="12240" w:h="15840"/>
          <w:pgMar w:top="1800" w:right="1440" w:bottom="1152" w:left="1800" w:header="720" w:footer="432" w:gutter="0"/>
          <w:cols w:space="720"/>
          <w:docGrid w:linePitch="360"/>
        </w:sectPr>
      </w:pPr>
      <w:r>
        <w:rPr>
          <w:rFonts w:ascii="Times New Roman Bold" w:hAnsi="Times New Roman Bold"/>
          <w:b/>
        </w:rPr>
        <w:fldChar w:fldCharType="end"/>
      </w:r>
    </w:p>
    <w:p w14:paraId="0E830FEF" w14:textId="77777777" w:rsidR="00157AAA" w:rsidRDefault="006C1BE5">
      <w:pPr>
        <w:pStyle w:val="Head5b1"/>
        <w:tabs>
          <w:tab w:val="clear" w:pos="9900"/>
        </w:tabs>
      </w:pPr>
      <w:bookmarkStart w:id="762" w:name="_Toc454958754"/>
      <w:r>
        <w:lastRenderedPageBreak/>
        <w:t>A.</w:t>
      </w:r>
      <w:r>
        <w:tab/>
        <w:t>Implementation Schedule Table</w:t>
      </w:r>
      <w:bookmarkEnd w:id="759"/>
      <w:bookmarkEnd w:id="760"/>
      <w:bookmarkEnd w:id="761"/>
      <w:bookmarkEnd w:id="762"/>
    </w:p>
    <w:p w14:paraId="5506EBE9" w14:textId="712E7C18" w:rsidR="00157AAA" w:rsidRDefault="006C1BE5">
      <w:pPr>
        <w:tabs>
          <w:tab w:val="left" w:pos="9900"/>
        </w:tabs>
        <w:spacing w:after="180"/>
        <w:jc w:val="center"/>
        <w:rPr>
          <w:rStyle w:val="Preparersnotenobold"/>
        </w:rPr>
      </w:pPr>
      <w:r>
        <w:rPr>
          <w:rStyle w:val="Preparersnotenobold"/>
        </w:rPr>
        <w:t xml:space="preserve">[Specify </w:t>
      </w:r>
      <w:r>
        <w:rPr>
          <w:rStyle w:val="Preparersnotenobold"/>
          <w:b/>
        </w:rPr>
        <w:t>desired installation and acceptance dates for all items in Schedule below, modifying the sample line items and sample table entries as needed.</w:t>
      </w:r>
      <w:r>
        <w:rPr>
          <w:rStyle w:val="Preparersnotenobold"/>
        </w:rPr>
        <w:t>]</w:t>
      </w:r>
    </w:p>
    <w:tbl>
      <w:tblPr>
        <w:tblW w:w="1250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843"/>
        <w:gridCol w:w="4394"/>
        <w:gridCol w:w="3575"/>
        <w:gridCol w:w="1260"/>
        <w:gridCol w:w="1350"/>
        <w:gridCol w:w="1080"/>
      </w:tblGrid>
      <w:tr w:rsidR="00513AB5" w:rsidRPr="004242BF" w14:paraId="1B8679DE" w14:textId="77777777" w:rsidTr="00BF283B">
        <w:trPr>
          <w:cantSplit/>
          <w:tblHeader/>
        </w:trPr>
        <w:tc>
          <w:tcPr>
            <w:tcW w:w="843" w:type="dxa"/>
          </w:tcPr>
          <w:p w14:paraId="6EA0CFE6" w14:textId="77777777" w:rsidR="00513AB5" w:rsidRPr="004242BF" w:rsidRDefault="00513AB5" w:rsidP="001136D3">
            <w:pPr>
              <w:tabs>
                <w:tab w:val="left" w:pos="9900"/>
              </w:tabs>
              <w:spacing w:after="0"/>
              <w:jc w:val="center"/>
              <w:rPr>
                <w:sz w:val="22"/>
                <w:szCs w:val="22"/>
              </w:rPr>
            </w:pPr>
            <w:proofErr w:type="gramStart"/>
            <w:r w:rsidRPr="004242BF">
              <w:rPr>
                <w:sz w:val="22"/>
                <w:szCs w:val="22"/>
              </w:rPr>
              <w:t>Line Item</w:t>
            </w:r>
            <w:proofErr w:type="gramEnd"/>
            <w:r w:rsidRPr="004242BF">
              <w:rPr>
                <w:sz w:val="22"/>
                <w:szCs w:val="22"/>
              </w:rPr>
              <w:t xml:space="preserve"> No.</w:t>
            </w:r>
          </w:p>
        </w:tc>
        <w:tc>
          <w:tcPr>
            <w:tcW w:w="4394" w:type="dxa"/>
          </w:tcPr>
          <w:p w14:paraId="2A54A37E" w14:textId="77777777" w:rsidR="00513AB5" w:rsidRPr="004242BF" w:rsidRDefault="00513AB5" w:rsidP="001136D3">
            <w:pPr>
              <w:tabs>
                <w:tab w:val="left" w:pos="9900"/>
              </w:tabs>
              <w:spacing w:after="0"/>
              <w:jc w:val="center"/>
              <w:rPr>
                <w:sz w:val="22"/>
                <w:szCs w:val="22"/>
              </w:rPr>
            </w:pPr>
            <w:r w:rsidRPr="004242BF">
              <w:rPr>
                <w:sz w:val="22"/>
                <w:szCs w:val="22"/>
              </w:rPr>
              <w:br/>
            </w:r>
            <w:r w:rsidRPr="004242BF">
              <w:rPr>
                <w:sz w:val="22"/>
                <w:szCs w:val="22"/>
              </w:rPr>
              <w:br/>
              <w:t>Subsystem / Item</w:t>
            </w:r>
          </w:p>
        </w:tc>
        <w:tc>
          <w:tcPr>
            <w:tcW w:w="3575" w:type="dxa"/>
          </w:tcPr>
          <w:p w14:paraId="0C10D2D9" w14:textId="77777777" w:rsidR="00513AB5" w:rsidRPr="004242BF" w:rsidRDefault="00513AB5" w:rsidP="001136D3">
            <w:pPr>
              <w:tabs>
                <w:tab w:val="left" w:pos="9900"/>
              </w:tabs>
              <w:spacing w:after="0"/>
              <w:jc w:val="center"/>
              <w:rPr>
                <w:sz w:val="22"/>
                <w:szCs w:val="22"/>
              </w:rPr>
            </w:pPr>
          </w:p>
          <w:p w14:paraId="7C75798A" w14:textId="77777777" w:rsidR="00513AB5" w:rsidRPr="004242BF" w:rsidRDefault="00513AB5" w:rsidP="001136D3">
            <w:pPr>
              <w:tabs>
                <w:tab w:val="left" w:pos="9900"/>
              </w:tabs>
              <w:spacing w:after="0"/>
              <w:jc w:val="center"/>
              <w:rPr>
                <w:sz w:val="22"/>
                <w:szCs w:val="22"/>
              </w:rPr>
            </w:pPr>
            <w:r w:rsidRPr="004242BF">
              <w:rPr>
                <w:sz w:val="22"/>
                <w:szCs w:val="22"/>
              </w:rPr>
              <w:t>Deliverables</w:t>
            </w:r>
          </w:p>
        </w:tc>
        <w:tc>
          <w:tcPr>
            <w:tcW w:w="1260" w:type="dxa"/>
          </w:tcPr>
          <w:p w14:paraId="41C49181" w14:textId="77777777" w:rsidR="00513AB5" w:rsidRPr="004242BF" w:rsidRDefault="00513AB5" w:rsidP="001136D3">
            <w:pPr>
              <w:spacing w:after="0"/>
              <w:jc w:val="center"/>
              <w:rPr>
                <w:sz w:val="22"/>
                <w:szCs w:val="22"/>
              </w:rPr>
            </w:pPr>
          </w:p>
          <w:p w14:paraId="2D0ECAC5" w14:textId="77777777" w:rsidR="00513AB5" w:rsidRPr="004242BF" w:rsidRDefault="00513AB5" w:rsidP="001136D3">
            <w:pPr>
              <w:spacing w:after="0"/>
              <w:jc w:val="center"/>
              <w:rPr>
                <w:sz w:val="22"/>
                <w:szCs w:val="22"/>
              </w:rPr>
            </w:pPr>
            <w:r w:rsidRPr="004242BF">
              <w:rPr>
                <w:sz w:val="22"/>
                <w:szCs w:val="22"/>
              </w:rPr>
              <w:t>Installation (weeks from Effective Date)</w:t>
            </w:r>
          </w:p>
        </w:tc>
        <w:tc>
          <w:tcPr>
            <w:tcW w:w="1350" w:type="dxa"/>
          </w:tcPr>
          <w:p w14:paraId="2B85B74B" w14:textId="77777777" w:rsidR="00513AB5" w:rsidRPr="004242BF" w:rsidRDefault="00513AB5" w:rsidP="001136D3">
            <w:pPr>
              <w:spacing w:after="0"/>
              <w:jc w:val="center"/>
              <w:rPr>
                <w:sz w:val="22"/>
                <w:szCs w:val="22"/>
              </w:rPr>
            </w:pPr>
          </w:p>
          <w:p w14:paraId="43D575EA" w14:textId="77777777" w:rsidR="00513AB5" w:rsidRPr="004242BF" w:rsidRDefault="00513AB5" w:rsidP="001136D3">
            <w:pPr>
              <w:spacing w:after="0"/>
              <w:jc w:val="center"/>
              <w:rPr>
                <w:sz w:val="22"/>
                <w:szCs w:val="22"/>
              </w:rPr>
            </w:pPr>
            <w:r w:rsidRPr="004242BF">
              <w:rPr>
                <w:sz w:val="22"/>
                <w:szCs w:val="22"/>
              </w:rPr>
              <w:t>Acceptance (weeks from Effective Date)</w:t>
            </w:r>
          </w:p>
        </w:tc>
        <w:tc>
          <w:tcPr>
            <w:tcW w:w="1080" w:type="dxa"/>
          </w:tcPr>
          <w:p w14:paraId="6F19584A" w14:textId="77777777" w:rsidR="00513AB5" w:rsidRPr="004242BF" w:rsidRDefault="00513AB5" w:rsidP="001136D3">
            <w:pPr>
              <w:spacing w:after="0"/>
              <w:jc w:val="center"/>
              <w:rPr>
                <w:sz w:val="22"/>
                <w:szCs w:val="22"/>
              </w:rPr>
            </w:pPr>
          </w:p>
          <w:p w14:paraId="3A5CF742" w14:textId="77777777" w:rsidR="00513AB5" w:rsidRPr="004242BF" w:rsidRDefault="00513AB5" w:rsidP="001136D3">
            <w:pPr>
              <w:spacing w:after="0"/>
              <w:jc w:val="center"/>
              <w:rPr>
                <w:sz w:val="22"/>
                <w:szCs w:val="22"/>
              </w:rPr>
            </w:pPr>
            <w:r w:rsidRPr="004242BF">
              <w:rPr>
                <w:sz w:val="22"/>
                <w:szCs w:val="22"/>
              </w:rPr>
              <w:t>Liquidated Damages Milestone</w:t>
            </w:r>
          </w:p>
        </w:tc>
      </w:tr>
      <w:tr w:rsidR="00513AB5" w:rsidRPr="004242BF" w14:paraId="0C7B14C6" w14:textId="77777777" w:rsidTr="00BF283B">
        <w:trPr>
          <w:cantSplit/>
          <w:trHeight w:hRule="exact" w:val="240"/>
          <w:tblHeader/>
        </w:trPr>
        <w:tc>
          <w:tcPr>
            <w:tcW w:w="843" w:type="dxa"/>
          </w:tcPr>
          <w:p w14:paraId="10FDF9CA" w14:textId="77777777" w:rsidR="00513AB5" w:rsidRPr="004242BF" w:rsidRDefault="00513AB5" w:rsidP="001136D3">
            <w:pPr>
              <w:tabs>
                <w:tab w:val="left" w:pos="9900"/>
              </w:tabs>
              <w:spacing w:after="0"/>
              <w:jc w:val="center"/>
              <w:rPr>
                <w:sz w:val="22"/>
                <w:szCs w:val="22"/>
              </w:rPr>
            </w:pPr>
          </w:p>
        </w:tc>
        <w:tc>
          <w:tcPr>
            <w:tcW w:w="4394" w:type="dxa"/>
          </w:tcPr>
          <w:p w14:paraId="7A648070" w14:textId="77777777" w:rsidR="00513AB5" w:rsidRPr="004242BF" w:rsidRDefault="00513AB5" w:rsidP="001136D3">
            <w:pPr>
              <w:tabs>
                <w:tab w:val="left" w:pos="9900"/>
              </w:tabs>
              <w:spacing w:after="0"/>
              <w:jc w:val="left"/>
              <w:rPr>
                <w:sz w:val="22"/>
                <w:szCs w:val="22"/>
              </w:rPr>
            </w:pPr>
          </w:p>
        </w:tc>
        <w:tc>
          <w:tcPr>
            <w:tcW w:w="3575" w:type="dxa"/>
          </w:tcPr>
          <w:p w14:paraId="7CA04284" w14:textId="77777777" w:rsidR="00513AB5" w:rsidRPr="004242BF" w:rsidRDefault="00513AB5" w:rsidP="001136D3">
            <w:pPr>
              <w:tabs>
                <w:tab w:val="left" w:pos="9900"/>
              </w:tabs>
              <w:spacing w:after="0"/>
              <w:jc w:val="center"/>
              <w:rPr>
                <w:sz w:val="22"/>
                <w:szCs w:val="22"/>
              </w:rPr>
            </w:pPr>
          </w:p>
        </w:tc>
        <w:tc>
          <w:tcPr>
            <w:tcW w:w="1260" w:type="dxa"/>
          </w:tcPr>
          <w:p w14:paraId="2B24CFA5" w14:textId="77777777" w:rsidR="00513AB5" w:rsidRPr="004242BF" w:rsidRDefault="00513AB5" w:rsidP="001136D3">
            <w:pPr>
              <w:tabs>
                <w:tab w:val="left" w:pos="9900"/>
              </w:tabs>
              <w:spacing w:after="0"/>
              <w:jc w:val="center"/>
              <w:rPr>
                <w:sz w:val="22"/>
                <w:szCs w:val="22"/>
              </w:rPr>
            </w:pPr>
          </w:p>
        </w:tc>
        <w:tc>
          <w:tcPr>
            <w:tcW w:w="1350" w:type="dxa"/>
          </w:tcPr>
          <w:p w14:paraId="3E3EB300" w14:textId="77777777" w:rsidR="00513AB5" w:rsidRPr="004242BF" w:rsidRDefault="00513AB5" w:rsidP="001136D3">
            <w:pPr>
              <w:tabs>
                <w:tab w:val="left" w:pos="9900"/>
              </w:tabs>
              <w:spacing w:after="0"/>
              <w:jc w:val="center"/>
              <w:rPr>
                <w:sz w:val="22"/>
                <w:szCs w:val="22"/>
              </w:rPr>
            </w:pPr>
          </w:p>
        </w:tc>
        <w:tc>
          <w:tcPr>
            <w:tcW w:w="1080" w:type="dxa"/>
          </w:tcPr>
          <w:p w14:paraId="0665DA79" w14:textId="77777777" w:rsidR="00513AB5" w:rsidRPr="004242BF" w:rsidRDefault="00513AB5" w:rsidP="001136D3">
            <w:pPr>
              <w:tabs>
                <w:tab w:val="left" w:pos="9900"/>
              </w:tabs>
              <w:spacing w:after="0"/>
              <w:jc w:val="center"/>
              <w:rPr>
                <w:sz w:val="22"/>
                <w:szCs w:val="22"/>
              </w:rPr>
            </w:pPr>
          </w:p>
        </w:tc>
      </w:tr>
      <w:tr w:rsidR="00513AB5" w:rsidRPr="004242BF" w14:paraId="06B946D4" w14:textId="77777777" w:rsidTr="00BF283B">
        <w:trPr>
          <w:cantSplit/>
        </w:trPr>
        <w:tc>
          <w:tcPr>
            <w:tcW w:w="843" w:type="dxa"/>
          </w:tcPr>
          <w:p w14:paraId="68D8A7F9" w14:textId="77777777" w:rsidR="00513AB5" w:rsidRPr="004242BF" w:rsidRDefault="00513AB5" w:rsidP="001136D3">
            <w:pPr>
              <w:tabs>
                <w:tab w:val="left" w:pos="9900"/>
              </w:tabs>
              <w:spacing w:after="0"/>
              <w:jc w:val="center"/>
              <w:rPr>
                <w:b/>
                <w:szCs w:val="22"/>
              </w:rPr>
            </w:pPr>
            <w:r w:rsidRPr="004242BF">
              <w:rPr>
                <w:b/>
                <w:szCs w:val="22"/>
              </w:rPr>
              <w:t>0</w:t>
            </w:r>
          </w:p>
        </w:tc>
        <w:tc>
          <w:tcPr>
            <w:tcW w:w="4394" w:type="dxa"/>
          </w:tcPr>
          <w:p w14:paraId="5AB0F690" w14:textId="77777777" w:rsidR="00513AB5" w:rsidRPr="004242BF" w:rsidRDefault="00513AB5" w:rsidP="001136D3">
            <w:pPr>
              <w:tabs>
                <w:tab w:val="left" w:pos="9900"/>
              </w:tabs>
              <w:spacing w:after="0"/>
              <w:jc w:val="left"/>
              <w:rPr>
                <w:b/>
                <w:szCs w:val="22"/>
              </w:rPr>
            </w:pPr>
            <w:r w:rsidRPr="004242BF">
              <w:rPr>
                <w:b/>
                <w:szCs w:val="22"/>
              </w:rPr>
              <w:t>Inception Phase</w:t>
            </w:r>
          </w:p>
        </w:tc>
        <w:tc>
          <w:tcPr>
            <w:tcW w:w="3575" w:type="dxa"/>
          </w:tcPr>
          <w:p w14:paraId="51EFDCDC" w14:textId="77777777" w:rsidR="00513AB5" w:rsidRPr="004C6BF5" w:rsidRDefault="00513AB5" w:rsidP="001136D3">
            <w:pPr>
              <w:tabs>
                <w:tab w:val="left" w:pos="9900"/>
              </w:tabs>
              <w:spacing w:after="0"/>
              <w:rPr>
                <w:b/>
                <w:sz w:val="22"/>
                <w:szCs w:val="22"/>
              </w:rPr>
            </w:pPr>
            <w:r w:rsidRPr="004C6BF5">
              <w:rPr>
                <w:b/>
                <w:szCs w:val="22"/>
              </w:rPr>
              <w:t>Inception Report</w:t>
            </w:r>
          </w:p>
        </w:tc>
        <w:tc>
          <w:tcPr>
            <w:tcW w:w="1260" w:type="dxa"/>
          </w:tcPr>
          <w:p w14:paraId="79F8C8FF" w14:textId="77777777" w:rsidR="00513AB5" w:rsidRPr="004242BF" w:rsidRDefault="00513AB5" w:rsidP="001136D3">
            <w:pPr>
              <w:tabs>
                <w:tab w:val="left" w:pos="9900"/>
              </w:tabs>
              <w:spacing w:after="0"/>
              <w:jc w:val="center"/>
              <w:rPr>
                <w:b/>
                <w:szCs w:val="22"/>
              </w:rPr>
            </w:pPr>
            <w:r w:rsidRPr="004242BF">
              <w:rPr>
                <w:b/>
                <w:szCs w:val="22"/>
              </w:rPr>
              <w:t>W4</w:t>
            </w:r>
          </w:p>
        </w:tc>
        <w:tc>
          <w:tcPr>
            <w:tcW w:w="1350" w:type="dxa"/>
          </w:tcPr>
          <w:p w14:paraId="5843E01D" w14:textId="77777777" w:rsidR="00513AB5" w:rsidRPr="004242BF" w:rsidRDefault="00513AB5" w:rsidP="001136D3">
            <w:pPr>
              <w:tabs>
                <w:tab w:val="left" w:pos="9900"/>
              </w:tabs>
              <w:spacing w:after="0"/>
              <w:jc w:val="center"/>
              <w:rPr>
                <w:b/>
                <w:szCs w:val="22"/>
              </w:rPr>
            </w:pPr>
            <w:r w:rsidRPr="004242BF">
              <w:rPr>
                <w:b/>
                <w:szCs w:val="22"/>
              </w:rPr>
              <w:t>W5</w:t>
            </w:r>
          </w:p>
        </w:tc>
        <w:tc>
          <w:tcPr>
            <w:tcW w:w="1080" w:type="dxa"/>
          </w:tcPr>
          <w:p w14:paraId="3EF98D94" w14:textId="77777777" w:rsidR="00513AB5" w:rsidRPr="004242BF" w:rsidRDefault="00513AB5" w:rsidP="001136D3">
            <w:pPr>
              <w:tabs>
                <w:tab w:val="left" w:pos="9900"/>
              </w:tabs>
              <w:spacing w:after="0"/>
              <w:jc w:val="center"/>
              <w:rPr>
                <w:szCs w:val="22"/>
              </w:rPr>
            </w:pPr>
            <w:r w:rsidRPr="004242BF">
              <w:rPr>
                <w:szCs w:val="22"/>
              </w:rPr>
              <w:t>NO</w:t>
            </w:r>
          </w:p>
        </w:tc>
      </w:tr>
      <w:tr w:rsidR="00513AB5" w:rsidRPr="004242BF" w14:paraId="08A75FBE" w14:textId="77777777" w:rsidTr="00BF283B">
        <w:trPr>
          <w:cantSplit/>
        </w:trPr>
        <w:tc>
          <w:tcPr>
            <w:tcW w:w="843" w:type="dxa"/>
          </w:tcPr>
          <w:p w14:paraId="0CDEE140" w14:textId="77777777" w:rsidR="00513AB5" w:rsidRPr="004242BF" w:rsidRDefault="00513AB5" w:rsidP="001136D3">
            <w:pPr>
              <w:tabs>
                <w:tab w:val="left" w:pos="9900"/>
              </w:tabs>
              <w:spacing w:after="0"/>
              <w:jc w:val="center"/>
              <w:rPr>
                <w:sz w:val="22"/>
                <w:szCs w:val="22"/>
              </w:rPr>
            </w:pPr>
          </w:p>
        </w:tc>
        <w:tc>
          <w:tcPr>
            <w:tcW w:w="4394" w:type="dxa"/>
          </w:tcPr>
          <w:p w14:paraId="5D740A7F" w14:textId="77777777" w:rsidR="00513AB5" w:rsidRPr="004242BF" w:rsidRDefault="00513AB5" w:rsidP="001136D3">
            <w:pPr>
              <w:tabs>
                <w:tab w:val="left" w:pos="9900"/>
              </w:tabs>
              <w:spacing w:after="0"/>
              <w:jc w:val="left"/>
              <w:rPr>
                <w:sz w:val="22"/>
                <w:szCs w:val="22"/>
              </w:rPr>
            </w:pPr>
            <w:r w:rsidRPr="004242BF">
              <w:rPr>
                <w:sz w:val="22"/>
                <w:szCs w:val="22"/>
              </w:rPr>
              <w:t>0.1 Project Plan</w:t>
            </w:r>
          </w:p>
        </w:tc>
        <w:tc>
          <w:tcPr>
            <w:tcW w:w="3575" w:type="dxa"/>
          </w:tcPr>
          <w:p w14:paraId="47C39775" w14:textId="77777777" w:rsidR="00513AB5" w:rsidRPr="004242BF" w:rsidRDefault="00513AB5" w:rsidP="001136D3">
            <w:pPr>
              <w:tabs>
                <w:tab w:val="left" w:pos="9900"/>
              </w:tabs>
              <w:spacing w:after="0"/>
              <w:rPr>
                <w:sz w:val="22"/>
                <w:szCs w:val="22"/>
              </w:rPr>
            </w:pPr>
            <w:r w:rsidRPr="004242BF">
              <w:rPr>
                <w:sz w:val="22"/>
                <w:szCs w:val="22"/>
              </w:rPr>
              <w:t>Project Plan</w:t>
            </w:r>
          </w:p>
        </w:tc>
        <w:tc>
          <w:tcPr>
            <w:tcW w:w="1260" w:type="dxa"/>
          </w:tcPr>
          <w:p w14:paraId="35963DDE" w14:textId="277B7B4D" w:rsidR="00513AB5" w:rsidRPr="004242BF" w:rsidRDefault="00513AB5" w:rsidP="001136D3">
            <w:pPr>
              <w:tabs>
                <w:tab w:val="left" w:pos="9900"/>
              </w:tabs>
              <w:spacing w:after="0"/>
              <w:jc w:val="center"/>
              <w:rPr>
                <w:sz w:val="22"/>
                <w:szCs w:val="22"/>
              </w:rPr>
            </w:pPr>
          </w:p>
        </w:tc>
        <w:tc>
          <w:tcPr>
            <w:tcW w:w="1350" w:type="dxa"/>
          </w:tcPr>
          <w:p w14:paraId="5FD049BC" w14:textId="1935293B" w:rsidR="00513AB5" w:rsidRPr="004242BF" w:rsidRDefault="00513AB5" w:rsidP="001136D3">
            <w:pPr>
              <w:tabs>
                <w:tab w:val="left" w:pos="9900"/>
              </w:tabs>
              <w:spacing w:after="0"/>
              <w:jc w:val="center"/>
              <w:rPr>
                <w:sz w:val="22"/>
                <w:szCs w:val="22"/>
              </w:rPr>
            </w:pPr>
          </w:p>
        </w:tc>
        <w:tc>
          <w:tcPr>
            <w:tcW w:w="1080" w:type="dxa"/>
          </w:tcPr>
          <w:p w14:paraId="54A99434" w14:textId="77777777" w:rsidR="00513AB5" w:rsidRPr="004242BF" w:rsidRDefault="00513AB5" w:rsidP="001136D3">
            <w:pPr>
              <w:tabs>
                <w:tab w:val="left" w:pos="9900"/>
              </w:tabs>
              <w:spacing w:after="0"/>
              <w:jc w:val="center"/>
              <w:rPr>
                <w:sz w:val="22"/>
                <w:szCs w:val="22"/>
              </w:rPr>
            </w:pPr>
          </w:p>
        </w:tc>
      </w:tr>
      <w:tr w:rsidR="00513AB5" w:rsidRPr="004242BF" w14:paraId="1EB58613" w14:textId="77777777" w:rsidTr="00BF283B">
        <w:trPr>
          <w:cantSplit/>
        </w:trPr>
        <w:tc>
          <w:tcPr>
            <w:tcW w:w="843" w:type="dxa"/>
          </w:tcPr>
          <w:p w14:paraId="1810AF21" w14:textId="77777777" w:rsidR="00513AB5" w:rsidRPr="004242BF" w:rsidRDefault="00513AB5" w:rsidP="001136D3">
            <w:pPr>
              <w:tabs>
                <w:tab w:val="left" w:pos="9900"/>
              </w:tabs>
              <w:spacing w:after="0"/>
              <w:jc w:val="center"/>
              <w:rPr>
                <w:b/>
                <w:szCs w:val="22"/>
              </w:rPr>
            </w:pPr>
            <w:r w:rsidRPr="004242BF">
              <w:rPr>
                <w:b/>
                <w:szCs w:val="22"/>
              </w:rPr>
              <w:t>1</w:t>
            </w:r>
          </w:p>
        </w:tc>
        <w:tc>
          <w:tcPr>
            <w:tcW w:w="4394" w:type="dxa"/>
          </w:tcPr>
          <w:p w14:paraId="531B33D1" w14:textId="77777777" w:rsidR="00513AB5" w:rsidRPr="004242BF" w:rsidRDefault="00513AB5" w:rsidP="001136D3">
            <w:pPr>
              <w:tabs>
                <w:tab w:val="left" w:pos="9900"/>
              </w:tabs>
              <w:spacing w:after="0"/>
              <w:jc w:val="left"/>
              <w:rPr>
                <w:b/>
                <w:szCs w:val="22"/>
              </w:rPr>
            </w:pPr>
            <w:r w:rsidRPr="004242BF">
              <w:rPr>
                <w:b/>
                <w:szCs w:val="22"/>
              </w:rPr>
              <w:t>Define, validate the objectives and scope</w:t>
            </w:r>
          </w:p>
        </w:tc>
        <w:tc>
          <w:tcPr>
            <w:tcW w:w="3575" w:type="dxa"/>
          </w:tcPr>
          <w:p w14:paraId="559FC6EB" w14:textId="77777777" w:rsidR="00513AB5" w:rsidRPr="005F6E5F" w:rsidRDefault="00513AB5" w:rsidP="001136D3">
            <w:pPr>
              <w:tabs>
                <w:tab w:val="left" w:pos="9900"/>
              </w:tabs>
              <w:spacing w:after="0"/>
              <w:jc w:val="left"/>
              <w:rPr>
                <w:b/>
                <w:szCs w:val="22"/>
              </w:rPr>
            </w:pPr>
            <w:r w:rsidRPr="005F6E5F">
              <w:rPr>
                <w:b/>
                <w:bCs/>
                <w:szCs w:val="22"/>
              </w:rPr>
              <w:t>Project Requirements Document</w:t>
            </w:r>
          </w:p>
          <w:p w14:paraId="6D9F1815" w14:textId="77777777" w:rsidR="00513AB5" w:rsidRPr="005F6E5F" w:rsidRDefault="00513AB5" w:rsidP="001136D3">
            <w:pPr>
              <w:tabs>
                <w:tab w:val="left" w:pos="9900"/>
              </w:tabs>
              <w:spacing w:after="0"/>
              <w:jc w:val="left"/>
              <w:rPr>
                <w:sz w:val="22"/>
                <w:szCs w:val="22"/>
              </w:rPr>
            </w:pPr>
            <w:r w:rsidRPr="005F6E5F">
              <w:rPr>
                <w:b/>
                <w:bCs/>
                <w:szCs w:val="22"/>
              </w:rPr>
              <w:t>Project Methodology Document</w:t>
            </w:r>
          </w:p>
        </w:tc>
        <w:tc>
          <w:tcPr>
            <w:tcW w:w="1260" w:type="dxa"/>
          </w:tcPr>
          <w:p w14:paraId="0B6BE15B" w14:textId="77777777" w:rsidR="00513AB5" w:rsidRPr="004242BF" w:rsidRDefault="00513AB5" w:rsidP="001136D3">
            <w:pPr>
              <w:tabs>
                <w:tab w:val="left" w:pos="9900"/>
              </w:tabs>
              <w:spacing w:after="0"/>
              <w:jc w:val="center"/>
              <w:rPr>
                <w:b/>
                <w:szCs w:val="22"/>
              </w:rPr>
            </w:pPr>
            <w:r w:rsidRPr="004242BF">
              <w:rPr>
                <w:b/>
                <w:szCs w:val="22"/>
              </w:rPr>
              <w:t>W12</w:t>
            </w:r>
          </w:p>
        </w:tc>
        <w:tc>
          <w:tcPr>
            <w:tcW w:w="1350" w:type="dxa"/>
          </w:tcPr>
          <w:p w14:paraId="44B1201F" w14:textId="77777777" w:rsidR="00513AB5" w:rsidRPr="004242BF" w:rsidRDefault="00513AB5" w:rsidP="001136D3">
            <w:pPr>
              <w:tabs>
                <w:tab w:val="left" w:pos="9900"/>
              </w:tabs>
              <w:spacing w:after="0"/>
              <w:jc w:val="center"/>
              <w:rPr>
                <w:b/>
                <w:szCs w:val="22"/>
              </w:rPr>
            </w:pPr>
            <w:r w:rsidRPr="004242BF">
              <w:rPr>
                <w:b/>
                <w:szCs w:val="22"/>
              </w:rPr>
              <w:t>W16</w:t>
            </w:r>
          </w:p>
        </w:tc>
        <w:tc>
          <w:tcPr>
            <w:tcW w:w="1080" w:type="dxa"/>
          </w:tcPr>
          <w:p w14:paraId="5A2A2AB7" w14:textId="77777777" w:rsidR="00513AB5" w:rsidRPr="004242BF" w:rsidRDefault="00513AB5" w:rsidP="001136D3">
            <w:pPr>
              <w:tabs>
                <w:tab w:val="left" w:pos="9900"/>
              </w:tabs>
              <w:spacing w:after="0"/>
              <w:jc w:val="center"/>
              <w:rPr>
                <w:b/>
                <w:szCs w:val="22"/>
              </w:rPr>
            </w:pPr>
            <w:r w:rsidRPr="004242BF">
              <w:rPr>
                <w:b/>
                <w:szCs w:val="22"/>
              </w:rPr>
              <w:t>YES</w:t>
            </w:r>
          </w:p>
        </w:tc>
      </w:tr>
      <w:tr w:rsidR="00513AB5" w:rsidRPr="004242BF" w14:paraId="630F6670" w14:textId="77777777" w:rsidTr="00BF283B">
        <w:trPr>
          <w:cantSplit/>
        </w:trPr>
        <w:tc>
          <w:tcPr>
            <w:tcW w:w="843" w:type="dxa"/>
          </w:tcPr>
          <w:p w14:paraId="34E54757" w14:textId="77777777" w:rsidR="00513AB5" w:rsidRPr="004242BF" w:rsidRDefault="00513AB5" w:rsidP="001136D3">
            <w:pPr>
              <w:tabs>
                <w:tab w:val="left" w:pos="9900"/>
              </w:tabs>
              <w:spacing w:after="0"/>
              <w:jc w:val="center"/>
              <w:rPr>
                <w:b/>
                <w:szCs w:val="22"/>
              </w:rPr>
            </w:pPr>
            <w:r w:rsidRPr="004242BF">
              <w:rPr>
                <w:b/>
                <w:szCs w:val="22"/>
              </w:rPr>
              <w:t>2</w:t>
            </w:r>
          </w:p>
        </w:tc>
        <w:tc>
          <w:tcPr>
            <w:tcW w:w="4394" w:type="dxa"/>
          </w:tcPr>
          <w:p w14:paraId="5AEEB689" w14:textId="77777777" w:rsidR="00513AB5" w:rsidRPr="004242BF" w:rsidRDefault="00513AB5" w:rsidP="001136D3">
            <w:pPr>
              <w:tabs>
                <w:tab w:val="left" w:pos="9900"/>
              </w:tabs>
              <w:spacing w:after="0"/>
              <w:jc w:val="left"/>
              <w:rPr>
                <w:b/>
                <w:szCs w:val="22"/>
              </w:rPr>
            </w:pPr>
            <w:r w:rsidRPr="004242BF">
              <w:rPr>
                <w:b/>
                <w:szCs w:val="22"/>
              </w:rPr>
              <w:t>Specification Phase 1</w:t>
            </w:r>
          </w:p>
        </w:tc>
        <w:tc>
          <w:tcPr>
            <w:tcW w:w="3575" w:type="dxa"/>
          </w:tcPr>
          <w:p w14:paraId="12DD8F1F" w14:textId="77777777" w:rsidR="00513AB5" w:rsidRPr="005F6E5F" w:rsidRDefault="00513AB5" w:rsidP="001136D3">
            <w:pPr>
              <w:spacing w:after="0"/>
              <w:jc w:val="left"/>
              <w:rPr>
                <w:b/>
                <w:sz w:val="22"/>
                <w:szCs w:val="22"/>
              </w:rPr>
            </w:pPr>
            <w:r w:rsidRPr="00D10767">
              <w:rPr>
                <w:b/>
                <w:szCs w:val="22"/>
              </w:rPr>
              <w:t>Functional Specification (Design document)</w:t>
            </w:r>
            <w:r w:rsidRPr="005F6E5F">
              <w:rPr>
                <w:b/>
                <w:szCs w:val="22"/>
              </w:rPr>
              <w:t xml:space="preserve"> </w:t>
            </w:r>
          </w:p>
        </w:tc>
        <w:tc>
          <w:tcPr>
            <w:tcW w:w="1260" w:type="dxa"/>
          </w:tcPr>
          <w:p w14:paraId="58C85A92" w14:textId="77777777" w:rsidR="00513AB5" w:rsidRPr="004242BF" w:rsidRDefault="00513AB5" w:rsidP="001136D3">
            <w:pPr>
              <w:tabs>
                <w:tab w:val="left" w:pos="9900"/>
              </w:tabs>
              <w:spacing w:after="0"/>
              <w:jc w:val="center"/>
              <w:rPr>
                <w:b/>
                <w:szCs w:val="22"/>
              </w:rPr>
            </w:pPr>
            <w:r w:rsidRPr="004242BF">
              <w:rPr>
                <w:b/>
                <w:szCs w:val="22"/>
              </w:rPr>
              <w:t>W16</w:t>
            </w:r>
          </w:p>
        </w:tc>
        <w:tc>
          <w:tcPr>
            <w:tcW w:w="1350" w:type="dxa"/>
          </w:tcPr>
          <w:p w14:paraId="194789BA" w14:textId="77777777" w:rsidR="00513AB5" w:rsidRPr="004242BF" w:rsidRDefault="00513AB5" w:rsidP="001136D3">
            <w:pPr>
              <w:tabs>
                <w:tab w:val="left" w:pos="9900"/>
              </w:tabs>
              <w:spacing w:after="0"/>
              <w:jc w:val="center"/>
              <w:rPr>
                <w:b/>
                <w:szCs w:val="22"/>
              </w:rPr>
            </w:pPr>
            <w:r w:rsidRPr="004242BF">
              <w:rPr>
                <w:b/>
                <w:szCs w:val="22"/>
              </w:rPr>
              <w:t>W24</w:t>
            </w:r>
          </w:p>
        </w:tc>
        <w:tc>
          <w:tcPr>
            <w:tcW w:w="1080" w:type="dxa"/>
          </w:tcPr>
          <w:p w14:paraId="687B739E" w14:textId="77777777" w:rsidR="00513AB5" w:rsidRPr="004242BF" w:rsidRDefault="00513AB5" w:rsidP="001136D3">
            <w:pPr>
              <w:tabs>
                <w:tab w:val="left" w:pos="9900"/>
              </w:tabs>
              <w:spacing w:after="0"/>
              <w:jc w:val="center"/>
              <w:rPr>
                <w:b/>
                <w:szCs w:val="22"/>
              </w:rPr>
            </w:pPr>
            <w:r w:rsidRPr="004242BF">
              <w:rPr>
                <w:b/>
                <w:szCs w:val="22"/>
              </w:rPr>
              <w:t>YES</w:t>
            </w:r>
          </w:p>
        </w:tc>
      </w:tr>
      <w:tr w:rsidR="00513AB5" w:rsidRPr="004242BF" w14:paraId="5E12D9FB" w14:textId="77777777" w:rsidTr="00BF283B">
        <w:trPr>
          <w:cantSplit/>
        </w:trPr>
        <w:tc>
          <w:tcPr>
            <w:tcW w:w="843" w:type="dxa"/>
          </w:tcPr>
          <w:p w14:paraId="60D9C20F" w14:textId="77777777" w:rsidR="00513AB5" w:rsidRPr="004242BF" w:rsidRDefault="00513AB5" w:rsidP="001136D3">
            <w:pPr>
              <w:tabs>
                <w:tab w:val="left" w:pos="9900"/>
              </w:tabs>
              <w:spacing w:after="0"/>
              <w:jc w:val="center"/>
              <w:rPr>
                <w:sz w:val="22"/>
                <w:szCs w:val="22"/>
              </w:rPr>
            </w:pPr>
          </w:p>
        </w:tc>
        <w:tc>
          <w:tcPr>
            <w:tcW w:w="4394" w:type="dxa"/>
          </w:tcPr>
          <w:p w14:paraId="1CF69E74" w14:textId="77777777" w:rsidR="00513AB5" w:rsidRPr="004242BF" w:rsidRDefault="00513AB5">
            <w:pPr>
              <w:tabs>
                <w:tab w:val="left" w:pos="9900"/>
              </w:tabs>
              <w:spacing w:after="0"/>
              <w:jc w:val="left"/>
              <w:rPr>
                <w:sz w:val="22"/>
                <w:szCs w:val="22"/>
              </w:rPr>
            </w:pPr>
            <w:r w:rsidRPr="004242BF">
              <w:rPr>
                <w:sz w:val="22"/>
                <w:szCs w:val="22"/>
              </w:rPr>
              <w:t>2.1 High Level Architecture Models</w:t>
            </w:r>
          </w:p>
          <w:p w14:paraId="3C299C49" w14:textId="77777777" w:rsidR="00513AB5" w:rsidRPr="004242BF" w:rsidRDefault="00513AB5">
            <w:pPr>
              <w:tabs>
                <w:tab w:val="left" w:pos="9900"/>
              </w:tabs>
              <w:spacing w:after="0"/>
              <w:jc w:val="left"/>
              <w:rPr>
                <w:sz w:val="22"/>
                <w:szCs w:val="22"/>
              </w:rPr>
            </w:pPr>
            <w:r w:rsidRPr="004242BF">
              <w:rPr>
                <w:sz w:val="22"/>
                <w:szCs w:val="22"/>
              </w:rPr>
              <w:t>2.2 Test Strategy</w:t>
            </w:r>
          </w:p>
          <w:p w14:paraId="235D75B0" w14:textId="77777777" w:rsidR="00513AB5" w:rsidRPr="004242BF" w:rsidRDefault="00513AB5">
            <w:pPr>
              <w:tabs>
                <w:tab w:val="left" w:pos="9900"/>
              </w:tabs>
              <w:spacing w:after="0"/>
              <w:jc w:val="left"/>
              <w:rPr>
                <w:sz w:val="22"/>
                <w:szCs w:val="22"/>
              </w:rPr>
            </w:pPr>
            <w:r w:rsidRPr="004242BF">
              <w:rPr>
                <w:sz w:val="22"/>
                <w:szCs w:val="22"/>
              </w:rPr>
              <w:t>2.3 Master Test Plan</w:t>
            </w:r>
          </w:p>
          <w:p w14:paraId="53789A42" w14:textId="77777777" w:rsidR="00513AB5" w:rsidRPr="004242BF" w:rsidRDefault="00513AB5">
            <w:pPr>
              <w:tabs>
                <w:tab w:val="left" w:pos="9900"/>
              </w:tabs>
              <w:spacing w:after="0"/>
              <w:jc w:val="left"/>
              <w:rPr>
                <w:sz w:val="22"/>
                <w:szCs w:val="22"/>
              </w:rPr>
            </w:pPr>
            <w:r w:rsidRPr="004242BF">
              <w:rPr>
                <w:sz w:val="22"/>
                <w:szCs w:val="22"/>
              </w:rPr>
              <w:t>2.4 Test Design Specification</w:t>
            </w:r>
          </w:p>
          <w:p w14:paraId="54C2AE17" w14:textId="77777777" w:rsidR="00513AB5" w:rsidRPr="004242BF" w:rsidRDefault="00513AB5">
            <w:pPr>
              <w:tabs>
                <w:tab w:val="left" w:pos="9900"/>
              </w:tabs>
              <w:spacing w:after="0"/>
              <w:jc w:val="left"/>
              <w:rPr>
                <w:sz w:val="22"/>
                <w:szCs w:val="22"/>
              </w:rPr>
            </w:pPr>
            <w:r w:rsidRPr="004242BF">
              <w:rPr>
                <w:sz w:val="22"/>
                <w:szCs w:val="22"/>
              </w:rPr>
              <w:t>2.5 Detailed Architecture Models</w:t>
            </w:r>
          </w:p>
          <w:p w14:paraId="4B9D9992" w14:textId="77777777" w:rsidR="00513AB5" w:rsidRPr="004242BF" w:rsidRDefault="00513AB5">
            <w:pPr>
              <w:tabs>
                <w:tab w:val="left" w:pos="9900"/>
              </w:tabs>
              <w:spacing w:after="0"/>
              <w:jc w:val="left"/>
              <w:rPr>
                <w:sz w:val="22"/>
                <w:szCs w:val="22"/>
              </w:rPr>
            </w:pPr>
            <w:r w:rsidRPr="004242BF">
              <w:rPr>
                <w:sz w:val="22"/>
                <w:szCs w:val="22"/>
              </w:rPr>
              <w:t>2.6 Functional Specification</w:t>
            </w:r>
          </w:p>
        </w:tc>
        <w:tc>
          <w:tcPr>
            <w:tcW w:w="3575" w:type="dxa"/>
          </w:tcPr>
          <w:p w14:paraId="7819617C" w14:textId="77777777" w:rsidR="00513AB5" w:rsidRPr="004242BF" w:rsidRDefault="00513AB5">
            <w:pPr>
              <w:tabs>
                <w:tab w:val="left" w:pos="9900"/>
              </w:tabs>
              <w:spacing w:after="0"/>
              <w:jc w:val="left"/>
              <w:rPr>
                <w:sz w:val="22"/>
                <w:szCs w:val="22"/>
              </w:rPr>
            </w:pPr>
            <w:r w:rsidRPr="004242BF">
              <w:rPr>
                <w:sz w:val="22"/>
                <w:szCs w:val="22"/>
              </w:rPr>
              <w:t>2.1 High Level Enterprise Architecture Models</w:t>
            </w:r>
          </w:p>
          <w:p w14:paraId="00BDBE06" w14:textId="77777777" w:rsidR="00513AB5" w:rsidRPr="004242BF" w:rsidRDefault="00513AB5" w:rsidP="00D530D5">
            <w:pPr>
              <w:pStyle w:val="ListParagraph"/>
              <w:numPr>
                <w:ilvl w:val="0"/>
                <w:numId w:val="142"/>
              </w:numPr>
              <w:tabs>
                <w:tab w:val="left" w:pos="9900"/>
              </w:tabs>
              <w:spacing w:after="0"/>
              <w:jc w:val="left"/>
              <w:rPr>
                <w:bCs/>
                <w:sz w:val="22"/>
                <w:szCs w:val="22"/>
                <w:u w:val="single"/>
              </w:rPr>
            </w:pPr>
            <w:r w:rsidRPr="004242BF">
              <w:rPr>
                <w:bCs/>
                <w:sz w:val="22"/>
                <w:szCs w:val="22"/>
                <w:u w:val="single"/>
              </w:rPr>
              <w:t xml:space="preserve">High Level Business Architecture </w:t>
            </w:r>
          </w:p>
          <w:p w14:paraId="0A2F95EB" w14:textId="77777777" w:rsidR="00513AB5" w:rsidRPr="004242BF" w:rsidRDefault="00513AB5" w:rsidP="00D530D5">
            <w:pPr>
              <w:pStyle w:val="ListParagraph"/>
              <w:numPr>
                <w:ilvl w:val="0"/>
                <w:numId w:val="142"/>
              </w:numPr>
              <w:tabs>
                <w:tab w:val="left" w:pos="9900"/>
              </w:tabs>
              <w:spacing w:after="0"/>
              <w:jc w:val="left"/>
              <w:rPr>
                <w:bCs/>
                <w:sz w:val="22"/>
                <w:szCs w:val="22"/>
                <w:u w:val="single"/>
              </w:rPr>
            </w:pPr>
            <w:r w:rsidRPr="004242BF">
              <w:rPr>
                <w:bCs/>
                <w:sz w:val="22"/>
                <w:szCs w:val="22"/>
                <w:u w:val="single"/>
              </w:rPr>
              <w:t>High Level Data Architecture</w:t>
            </w:r>
          </w:p>
          <w:p w14:paraId="5E971284" w14:textId="77777777" w:rsidR="00513AB5" w:rsidRPr="004242BF" w:rsidRDefault="00513AB5" w:rsidP="00D530D5">
            <w:pPr>
              <w:pStyle w:val="ListParagraph"/>
              <w:numPr>
                <w:ilvl w:val="0"/>
                <w:numId w:val="142"/>
              </w:numPr>
              <w:tabs>
                <w:tab w:val="left" w:pos="9900"/>
              </w:tabs>
              <w:spacing w:after="0"/>
              <w:jc w:val="left"/>
              <w:rPr>
                <w:sz w:val="22"/>
                <w:szCs w:val="22"/>
              </w:rPr>
            </w:pPr>
            <w:r w:rsidRPr="004242BF">
              <w:rPr>
                <w:bCs/>
                <w:sz w:val="22"/>
                <w:szCs w:val="22"/>
                <w:u w:val="single"/>
              </w:rPr>
              <w:t>High Level Application Architecture</w:t>
            </w:r>
          </w:p>
          <w:p w14:paraId="64AE357E" w14:textId="77777777" w:rsidR="00513AB5" w:rsidRPr="004242BF" w:rsidRDefault="00513AB5" w:rsidP="00D530D5">
            <w:pPr>
              <w:pStyle w:val="ListParagraph"/>
              <w:numPr>
                <w:ilvl w:val="0"/>
                <w:numId w:val="142"/>
              </w:numPr>
              <w:tabs>
                <w:tab w:val="left" w:pos="9900"/>
              </w:tabs>
              <w:spacing w:after="0"/>
              <w:jc w:val="left"/>
              <w:rPr>
                <w:sz w:val="22"/>
                <w:szCs w:val="22"/>
              </w:rPr>
            </w:pPr>
            <w:r w:rsidRPr="004242BF">
              <w:rPr>
                <w:bCs/>
                <w:sz w:val="22"/>
                <w:szCs w:val="22"/>
                <w:u w:val="single"/>
              </w:rPr>
              <w:t>High Level Technology Architecture</w:t>
            </w:r>
          </w:p>
          <w:p w14:paraId="0A471BB6" w14:textId="77777777" w:rsidR="00513AB5" w:rsidRPr="004242BF" w:rsidRDefault="00513AB5" w:rsidP="00D530D5">
            <w:pPr>
              <w:pStyle w:val="ListParagraph"/>
              <w:numPr>
                <w:ilvl w:val="1"/>
                <w:numId w:val="171"/>
              </w:numPr>
              <w:tabs>
                <w:tab w:val="left" w:pos="9900"/>
              </w:tabs>
              <w:spacing w:after="0"/>
              <w:jc w:val="left"/>
              <w:rPr>
                <w:sz w:val="22"/>
                <w:szCs w:val="22"/>
              </w:rPr>
            </w:pPr>
            <w:r w:rsidRPr="004242BF">
              <w:rPr>
                <w:sz w:val="22"/>
                <w:szCs w:val="22"/>
              </w:rPr>
              <w:t>Test Strategy Document</w:t>
            </w:r>
          </w:p>
          <w:p w14:paraId="64FECF09" w14:textId="77777777" w:rsidR="00513AB5" w:rsidRPr="004242BF" w:rsidRDefault="00513AB5" w:rsidP="00D530D5">
            <w:pPr>
              <w:pStyle w:val="ListParagraph"/>
              <w:numPr>
                <w:ilvl w:val="1"/>
                <w:numId w:val="171"/>
              </w:numPr>
              <w:tabs>
                <w:tab w:val="left" w:pos="9900"/>
              </w:tabs>
              <w:spacing w:after="0"/>
              <w:jc w:val="left"/>
              <w:rPr>
                <w:sz w:val="22"/>
                <w:szCs w:val="22"/>
              </w:rPr>
            </w:pPr>
            <w:r w:rsidRPr="004242BF">
              <w:rPr>
                <w:sz w:val="22"/>
                <w:szCs w:val="22"/>
              </w:rPr>
              <w:t>Master Test Plan Document</w:t>
            </w:r>
          </w:p>
          <w:p w14:paraId="1E5975C5" w14:textId="77777777" w:rsidR="00513AB5" w:rsidRPr="004242BF" w:rsidRDefault="00513AB5" w:rsidP="00D530D5">
            <w:pPr>
              <w:pStyle w:val="ListParagraph"/>
              <w:numPr>
                <w:ilvl w:val="1"/>
                <w:numId w:val="171"/>
              </w:numPr>
              <w:tabs>
                <w:tab w:val="left" w:pos="9900"/>
              </w:tabs>
              <w:spacing w:after="0"/>
              <w:jc w:val="left"/>
              <w:rPr>
                <w:sz w:val="22"/>
                <w:szCs w:val="22"/>
              </w:rPr>
            </w:pPr>
            <w:r w:rsidRPr="004242BF">
              <w:rPr>
                <w:sz w:val="22"/>
                <w:szCs w:val="22"/>
              </w:rPr>
              <w:t>Test Design Specification Document</w:t>
            </w:r>
          </w:p>
          <w:p w14:paraId="6907D6D0" w14:textId="77777777" w:rsidR="00513AB5" w:rsidRPr="004242BF" w:rsidRDefault="00513AB5" w:rsidP="00D530D5">
            <w:pPr>
              <w:pStyle w:val="ListParagraph"/>
              <w:numPr>
                <w:ilvl w:val="1"/>
                <w:numId w:val="171"/>
              </w:numPr>
              <w:tabs>
                <w:tab w:val="left" w:pos="9900"/>
              </w:tabs>
              <w:spacing w:after="0"/>
              <w:jc w:val="left"/>
              <w:rPr>
                <w:sz w:val="22"/>
                <w:szCs w:val="22"/>
              </w:rPr>
            </w:pPr>
            <w:r w:rsidRPr="004242BF">
              <w:rPr>
                <w:sz w:val="22"/>
                <w:szCs w:val="22"/>
              </w:rPr>
              <w:t>Detail Enterprise Architecture Models</w:t>
            </w:r>
          </w:p>
          <w:p w14:paraId="6CC8D801" w14:textId="77777777" w:rsidR="00513AB5" w:rsidRPr="004242BF" w:rsidRDefault="00513AB5" w:rsidP="00D530D5">
            <w:pPr>
              <w:pStyle w:val="ListParagraph"/>
              <w:numPr>
                <w:ilvl w:val="0"/>
                <w:numId w:val="169"/>
              </w:numPr>
              <w:spacing w:after="0"/>
              <w:jc w:val="left"/>
              <w:rPr>
                <w:sz w:val="22"/>
                <w:szCs w:val="22"/>
              </w:rPr>
            </w:pPr>
            <w:r w:rsidRPr="004242BF">
              <w:rPr>
                <w:sz w:val="22"/>
                <w:szCs w:val="22"/>
              </w:rPr>
              <w:t xml:space="preserve">Detail Business Architecture (L3) </w:t>
            </w:r>
          </w:p>
          <w:p w14:paraId="70139486" w14:textId="77777777" w:rsidR="00513AB5" w:rsidRPr="004242BF" w:rsidRDefault="00513AB5" w:rsidP="00D530D5">
            <w:pPr>
              <w:pStyle w:val="ListParagraph"/>
              <w:numPr>
                <w:ilvl w:val="0"/>
                <w:numId w:val="169"/>
              </w:numPr>
              <w:spacing w:after="0"/>
              <w:jc w:val="left"/>
              <w:rPr>
                <w:sz w:val="22"/>
                <w:szCs w:val="22"/>
              </w:rPr>
            </w:pPr>
            <w:r w:rsidRPr="004242BF">
              <w:rPr>
                <w:sz w:val="22"/>
                <w:szCs w:val="22"/>
              </w:rPr>
              <w:t>Detail Data Architecture (L3)</w:t>
            </w:r>
          </w:p>
          <w:p w14:paraId="3A35C3C1" w14:textId="77777777" w:rsidR="00513AB5" w:rsidRPr="004242BF" w:rsidRDefault="00513AB5" w:rsidP="00D530D5">
            <w:pPr>
              <w:pStyle w:val="ListParagraph"/>
              <w:numPr>
                <w:ilvl w:val="0"/>
                <w:numId w:val="169"/>
              </w:numPr>
              <w:spacing w:after="0"/>
              <w:jc w:val="left"/>
              <w:rPr>
                <w:sz w:val="22"/>
                <w:szCs w:val="22"/>
              </w:rPr>
            </w:pPr>
            <w:r w:rsidRPr="004242BF">
              <w:rPr>
                <w:sz w:val="22"/>
                <w:szCs w:val="22"/>
              </w:rPr>
              <w:t>Detail Application Architecture (L3)</w:t>
            </w:r>
          </w:p>
          <w:p w14:paraId="3BA38C52" w14:textId="77777777" w:rsidR="00513AB5" w:rsidRPr="004242BF" w:rsidRDefault="00513AB5">
            <w:pPr>
              <w:spacing w:after="0"/>
              <w:jc w:val="left"/>
              <w:rPr>
                <w:sz w:val="22"/>
                <w:szCs w:val="22"/>
              </w:rPr>
            </w:pPr>
            <w:r w:rsidRPr="004242BF">
              <w:rPr>
                <w:sz w:val="22"/>
                <w:szCs w:val="22"/>
              </w:rPr>
              <w:t>2.6 Functional Specification Document</w:t>
            </w:r>
          </w:p>
        </w:tc>
        <w:tc>
          <w:tcPr>
            <w:tcW w:w="1260" w:type="dxa"/>
          </w:tcPr>
          <w:p w14:paraId="0C4AEB07" w14:textId="77777777" w:rsidR="00513AB5" w:rsidRPr="004242BF" w:rsidRDefault="00513AB5" w:rsidP="001136D3">
            <w:pPr>
              <w:tabs>
                <w:tab w:val="left" w:pos="9900"/>
              </w:tabs>
              <w:spacing w:after="0"/>
              <w:jc w:val="center"/>
              <w:rPr>
                <w:sz w:val="22"/>
                <w:szCs w:val="22"/>
              </w:rPr>
            </w:pPr>
          </w:p>
        </w:tc>
        <w:tc>
          <w:tcPr>
            <w:tcW w:w="1350" w:type="dxa"/>
          </w:tcPr>
          <w:p w14:paraId="312718BA" w14:textId="77777777" w:rsidR="00513AB5" w:rsidRPr="004242BF" w:rsidRDefault="00513AB5" w:rsidP="001136D3">
            <w:pPr>
              <w:tabs>
                <w:tab w:val="left" w:pos="9900"/>
              </w:tabs>
              <w:spacing w:after="0"/>
              <w:rPr>
                <w:sz w:val="22"/>
                <w:szCs w:val="22"/>
              </w:rPr>
            </w:pPr>
          </w:p>
        </w:tc>
        <w:tc>
          <w:tcPr>
            <w:tcW w:w="1080" w:type="dxa"/>
          </w:tcPr>
          <w:p w14:paraId="43EC5F5A" w14:textId="77777777" w:rsidR="00513AB5" w:rsidRPr="004242BF" w:rsidRDefault="00513AB5" w:rsidP="001136D3">
            <w:pPr>
              <w:tabs>
                <w:tab w:val="left" w:pos="9900"/>
              </w:tabs>
              <w:spacing w:after="0"/>
              <w:jc w:val="center"/>
              <w:rPr>
                <w:sz w:val="22"/>
                <w:szCs w:val="22"/>
              </w:rPr>
            </w:pPr>
          </w:p>
        </w:tc>
      </w:tr>
      <w:tr w:rsidR="00513AB5" w:rsidRPr="004242BF" w14:paraId="5A7B5A2E" w14:textId="77777777" w:rsidTr="00BF283B">
        <w:trPr>
          <w:cantSplit/>
        </w:trPr>
        <w:tc>
          <w:tcPr>
            <w:tcW w:w="843" w:type="dxa"/>
          </w:tcPr>
          <w:p w14:paraId="14416DAB" w14:textId="77777777" w:rsidR="00513AB5" w:rsidRPr="004242BF" w:rsidRDefault="00513AB5" w:rsidP="001136D3">
            <w:pPr>
              <w:spacing w:after="0"/>
              <w:jc w:val="center"/>
              <w:rPr>
                <w:b/>
                <w:szCs w:val="22"/>
              </w:rPr>
            </w:pPr>
            <w:r w:rsidRPr="004242BF">
              <w:rPr>
                <w:b/>
                <w:szCs w:val="22"/>
              </w:rPr>
              <w:t>3</w:t>
            </w:r>
          </w:p>
        </w:tc>
        <w:tc>
          <w:tcPr>
            <w:tcW w:w="4394" w:type="dxa"/>
          </w:tcPr>
          <w:p w14:paraId="2D18F9C9" w14:textId="77777777" w:rsidR="00513AB5" w:rsidRPr="004242BF" w:rsidRDefault="00513AB5" w:rsidP="001136D3">
            <w:pPr>
              <w:spacing w:after="0"/>
              <w:jc w:val="left"/>
              <w:rPr>
                <w:b/>
                <w:szCs w:val="22"/>
              </w:rPr>
            </w:pPr>
            <w:r w:rsidRPr="004242BF">
              <w:rPr>
                <w:b/>
                <w:szCs w:val="22"/>
              </w:rPr>
              <w:t>Development</w:t>
            </w:r>
          </w:p>
        </w:tc>
        <w:tc>
          <w:tcPr>
            <w:tcW w:w="3575" w:type="dxa"/>
          </w:tcPr>
          <w:p w14:paraId="3233647E" w14:textId="77777777" w:rsidR="00513AB5" w:rsidRPr="004C6BF5" w:rsidRDefault="00513AB5" w:rsidP="001136D3">
            <w:pPr>
              <w:spacing w:after="0"/>
              <w:jc w:val="left"/>
              <w:rPr>
                <w:b/>
                <w:sz w:val="22"/>
                <w:szCs w:val="22"/>
              </w:rPr>
            </w:pPr>
            <w:r w:rsidRPr="004C6BF5">
              <w:rPr>
                <w:b/>
                <w:szCs w:val="22"/>
              </w:rPr>
              <w:t>Deployment software packages:</w:t>
            </w:r>
          </w:p>
        </w:tc>
        <w:tc>
          <w:tcPr>
            <w:tcW w:w="1260" w:type="dxa"/>
          </w:tcPr>
          <w:p w14:paraId="78A312C2" w14:textId="77777777" w:rsidR="00513AB5" w:rsidRPr="004242BF" w:rsidRDefault="00513AB5" w:rsidP="001136D3">
            <w:pPr>
              <w:spacing w:after="0"/>
              <w:jc w:val="center"/>
              <w:rPr>
                <w:b/>
                <w:szCs w:val="22"/>
              </w:rPr>
            </w:pPr>
            <w:r w:rsidRPr="00766725">
              <w:rPr>
                <w:b/>
                <w:szCs w:val="22"/>
              </w:rPr>
              <w:t>W</w:t>
            </w:r>
            <w:r>
              <w:rPr>
                <w:b/>
                <w:szCs w:val="22"/>
              </w:rPr>
              <w:t>24</w:t>
            </w:r>
          </w:p>
        </w:tc>
        <w:tc>
          <w:tcPr>
            <w:tcW w:w="1350" w:type="dxa"/>
          </w:tcPr>
          <w:p w14:paraId="23138647" w14:textId="52380C6A" w:rsidR="00513AB5" w:rsidRPr="004242BF" w:rsidRDefault="0057360A" w:rsidP="001136D3">
            <w:pPr>
              <w:spacing w:after="0"/>
              <w:jc w:val="center"/>
              <w:rPr>
                <w:b/>
                <w:szCs w:val="22"/>
              </w:rPr>
            </w:pPr>
            <w:r>
              <w:rPr>
                <w:b/>
                <w:szCs w:val="22"/>
              </w:rPr>
              <w:t>W38</w:t>
            </w:r>
          </w:p>
        </w:tc>
        <w:tc>
          <w:tcPr>
            <w:tcW w:w="1080" w:type="dxa"/>
          </w:tcPr>
          <w:p w14:paraId="3F13178D" w14:textId="77777777" w:rsidR="00513AB5" w:rsidRPr="004242BF" w:rsidRDefault="00513AB5" w:rsidP="001136D3">
            <w:pPr>
              <w:spacing w:after="0"/>
              <w:jc w:val="center"/>
              <w:rPr>
                <w:b/>
                <w:szCs w:val="22"/>
              </w:rPr>
            </w:pPr>
            <w:r w:rsidRPr="004242BF">
              <w:rPr>
                <w:b/>
                <w:szCs w:val="22"/>
              </w:rPr>
              <w:t>YES</w:t>
            </w:r>
          </w:p>
        </w:tc>
      </w:tr>
      <w:tr w:rsidR="00513AB5" w:rsidRPr="004242BF" w14:paraId="4EC236FF" w14:textId="77777777" w:rsidTr="00BF283B">
        <w:trPr>
          <w:cantSplit/>
        </w:trPr>
        <w:tc>
          <w:tcPr>
            <w:tcW w:w="843" w:type="dxa"/>
          </w:tcPr>
          <w:p w14:paraId="493F8E5F" w14:textId="77777777" w:rsidR="00513AB5" w:rsidRPr="004242BF" w:rsidRDefault="00513AB5">
            <w:pPr>
              <w:spacing w:after="0"/>
              <w:jc w:val="center"/>
              <w:rPr>
                <w:sz w:val="22"/>
                <w:szCs w:val="22"/>
              </w:rPr>
            </w:pPr>
          </w:p>
        </w:tc>
        <w:tc>
          <w:tcPr>
            <w:tcW w:w="4394" w:type="dxa"/>
          </w:tcPr>
          <w:p w14:paraId="2645AF6D" w14:textId="77777777" w:rsidR="00513AB5" w:rsidRPr="004242BF" w:rsidRDefault="00513AB5">
            <w:pPr>
              <w:spacing w:after="0"/>
              <w:jc w:val="left"/>
              <w:rPr>
                <w:sz w:val="22"/>
                <w:szCs w:val="22"/>
              </w:rPr>
            </w:pPr>
            <w:r w:rsidRPr="004242BF">
              <w:rPr>
                <w:sz w:val="22"/>
                <w:szCs w:val="22"/>
              </w:rPr>
              <w:t>3.1 NSW Trader Portal</w:t>
            </w:r>
          </w:p>
          <w:p w14:paraId="5A67A510" w14:textId="77777777" w:rsidR="00513AB5" w:rsidRPr="004242BF" w:rsidRDefault="00513AB5">
            <w:pPr>
              <w:spacing w:after="0"/>
              <w:jc w:val="left"/>
              <w:rPr>
                <w:sz w:val="22"/>
                <w:szCs w:val="22"/>
              </w:rPr>
            </w:pPr>
            <w:r w:rsidRPr="004242BF">
              <w:rPr>
                <w:sz w:val="22"/>
                <w:szCs w:val="22"/>
              </w:rPr>
              <w:t>3.2 NSW Help Desk</w:t>
            </w:r>
          </w:p>
          <w:p w14:paraId="5534470E" w14:textId="77777777" w:rsidR="00513AB5" w:rsidRPr="004242BF" w:rsidRDefault="00513AB5">
            <w:pPr>
              <w:spacing w:after="0"/>
              <w:jc w:val="left"/>
              <w:rPr>
                <w:sz w:val="22"/>
                <w:szCs w:val="22"/>
              </w:rPr>
            </w:pPr>
            <w:r w:rsidRPr="004242BF">
              <w:rPr>
                <w:sz w:val="22"/>
                <w:szCs w:val="22"/>
              </w:rPr>
              <w:t>3.3 Registration of Traders and Competent Authority Service</w:t>
            </w:r>
          </w:p>
          <w:p w14:paraId="5196C1AC" w14:textId="77777777" w:rsidR="00513AB5" w:rsidRPr="004242BF" w:rsidRDefault="00513AB5">
            <w:pPr>
              <w:spacing w:after="0"/>
              <w:jc w:val="left"/>
              <w:rPr>
                <w:bCs/>
                <w:sz w:val="22"/>
                <w:szCs w:val="22"/>
              </w:rPr>
            </w:pPr>
            <w:r w:rsidRPr="004242BF">
              <w:rPr>
                <w:sz w:val="22"/>
                <w:szCs w:val="22"/>
              </w:rPr>
              <w:t xml:space="preserve">3.4 </w:t>
            </w:r>
            <w:r w:rsidRPr="004242BF">
              <w:rPr>
                <w:bCs/>
                <w:sz w:val="22"/>
                <w:szCs w:val="22"/>
              </w:rPr>
              <w:t>LPCO Application</w:t>
            </w:r>
          </w:p>
          <w:p w14:paraId="1F90B84E" w14:textId="77777777" w:rsidR="00513AB5" w:rsidRPr="004242BF" w:rsidRDefault="00513AB5">
            <w:pPr>
              <w:spacing w:after="0"/>
              <w:jc w:val="left"/>
              <w:rPr>
                <w:bCs/>
                <w:sz w:val="22"/>
                <w:szCs w:val="22"/>
              </w:rPr>
            </w:pPr>
            <w:r w:rsidRPr="004242BF">
              <w:rPr>
                <w:bCs/>
                <w:sz w:val="22"/>
                <w:szCs w:val="22"/>
              </w:rPr>
              <w:t>3.5 LPCO Management</w:t>
            </w:r>
          </w:p>
          <w:p w14:paraId="0DFB537E" w14:textId="77777777" w:rsidR="00513AB5" w:rsidRPr="004242BF" w:rsidRDefault="00513AB5">
            <w:pPr>
              <w:spacing w:after="0"/>
              <w:jc w:val="left"/>
              <w:rPr>
                <w:bCs/>
                <w:sz w:val="22"/>
                <w:szCs w:val="22"/>
              </w:rPr>
            </w:pPr>
            <w:r w:rsidRPr="004242BF">
              <w:rPr>
                <w:bCs/>
                <w:sz w:val="22"/>
                <w:szCs w:val="22"/>
              </w:rPr>
              <w:t>3.6 Payment Management</w:t>
            </w:r>
          </w:p>
          <w:p w14:paraId="7DBEC35D" w14:textId="77777777" w:rsidR="00513AB5" w:rsidRPr="004242BF" w:rsidRDefault="00513AB5">
            <w:pPr>
              <w:spacing w:after="0"/>
              <w:jc w:val="left"/>
              <w:rPr>
                <w:bCs/>
                <w:sz w:val="22"/>
                <w:szCs w:val="22"/>
              </w:rPr>
            </w:pPr>
            <w:r w:rsidRPr="004242BF">
              <w:rPr>
                <w:bCs/>
                <w:sz w:val="22"/>
                <w:szCs w:val="22"/>
              </w:rPr>
              <w:t>3.7 Payment Processing</w:t>
            </w:r>
          </w:p>
          <w:p w14:paraId="1A59C8A3" w14:textId="77777777" w:rsidR="00513AB5" w:rsidRPr="004242BF" w:rsidRDefault="00513AB5">
            <w:pPr>
              <w:spacing w:after="0"/>
              <w:jc w:val="left"/>
              <w:rPr>
                <w:bCs/>
                <w:sz w:val="22"/>
                <w:szCs w:val="22"/>
              </w:rPr>
            </w:pPr>
            <w:r w:rsidRPr="004242BF">
              <w:rPr>
                <w:bCs/>
                <w:sz w:val="22"/>
                <w:szCs w:val="22"/>
              </w:rPr>
              <w:t>3.8 Notification Management</w:t>
            </w:r>
          </w:p>
          <w:p w14:paraId="0172E6D1" w14:textId="77777777" w:rsidR="00513AB5" w:rsidRPr="004242BF" w:rsidRDefault="00513AB5">
            <w:pPr>
              <w:spacing w:after="0"/>
              <w:jc w:val="left"/>
              <w:rPr>
                <w:bCs/>
                <w:sz w:val="22"/>
                <w:szCs w:val="22"/>
              </w:rPr>
            </w:pPr>
            <w:r w:rsidRPr="004242BF">
              <w:rPr>
                <w:bCs/>
                <w:sz w:val="22"/>
                <w:szCs w:val="22"/>
              </w:rPr>
              <w:t>3.9 LPCO Designer</w:t>
            </w:r>
          </w:p>
          <w:p w14:paraId="300D8BFC" w14:textId="77777777" w:rsidR="00513AB5" w:rsidRPr="004242BF" w:rsidRDefault="00513AB5">
            <w:pPr>
              <w:spacing w:after="0"/>
              <w:jc w:val="left"/>
              <w:rPr>
                <w:bCs/>
                <w:sz w:val="22"/>
                <w:szCs w:val="22"/>
              </w:rPr>
            </w:pPr>
            <w:r w:rsidRPr="004242BF">
              <w:rPr>
                <w:bCs/>
                <w:sz w:val="22"/>
                <w:szCs w:val="22"/>
              </w:rPr>
              <w:t>3.10 Inspection Control Results</w:t>
            </w:r>
          </w:p>
          <w:p w14:paraId="12C014E6" w14:textId="77777777" w:rsidR="00513AB5" w:rsidRPr="004242BF" w:rsidRDefault="00513AB5">
            <w:pPr>
              <w:spacing w:after="0"/>
              <w:jc w:val="left"/>
              <w:rPr>
                <w:bCs/>
                <w:sz w:val="22"/>
                <w:szCs w:val="22"/>
              </w:rPr>
            </w:pPr>
            <w:r w:rsidRPr="004242BF">
              <w:rPr>
                <w:bCs/>
                <w:sz w:val="22"/>
                <w:szCs w:val="22"/>
              </w:rPr>
              <w:t>3.11 Document Management</w:t>
            </w:r>
          </w:p>
          <w:p w14:paraId="6DEE6C11" w14:textId="77777777" w:rsidR="00513AB5" w:rsidRPr="004242BF" w:rsidRDefault="00513AB5">
            <w:pPr>
              <w:spacing w:after="0"/>
              <w:jc w:val="left"/>
              <w:rPr>
                <w:bCs/>
                <w:sz w:val="22"/>
                <w:szCs w:val="22"/>
              </w:rPr>
            </w:pPr>
            <w:r w:rsidRPr="004242BF">
              <w:rPr>
                <w:bCs/>
                <w:sz w:val="22"/>
                <w:szCs w:val="22"/>
              </w:rPr>
              <w:t>3.12 LPCO Workflow Management</w:t>
            </w:r>
          </w:p>
          <w:p w14:paraId="6EB4CCAF" w14:textId="77777777" w:rsidR="00513AB5" w:rsidRPr="004242BF" w:rsidRDefault="00513AB5">
            <w:pPr>
              <w:spacing w:after="0"/>
              <w:jc w:val="left"/>
              <w:rPr>
                <w:bCs/>
                <w:sz w:val="22"/>
                <w:szCs w:val="22"/>
              </w:rPr>
            </w:pPr>
            <w:r w:rsidRPr="004242BF">
              <w:rPr>
                <w:bCs/>
                <w:sz w:val="22"/>
                <w:szCs w:val="22"/>
              </w:rPr>
              <w:t>3.13 NSW Risk Management</w:t>
            </w:r>
          </w:p>
          <w:p w14:paraId="291D4B97" w14:textId="77777777" w:rsidR="00513AB5" w:rsidRPr="004242BF" w:rsidRDefault="00513AB5">
            <w:pPr>
              <w:spacing w:after="0"/>
              <w:jc w:val="left"/>
              <w:rPr>
                <w:bCs/>
                <w:sz w:val="22"/>
                <w:szCs w:val="22"/>
              </w:rPr>
            </w:pPr>
            <w:r w:rsidRPr="004242BF">
              <w:rPr>
                <w:bCs/>
                <w:sz w:val="22"/>
                <w:szCs w:val="22"/>
              </w:rPr>
              <w:t>3.14 Referent Tables</w:t>
            </w:r>
          </w:p>
          <w:p w14:paraId="63E996A0" w14:textId="77777777" w:rsidR="00513AB5" w:rsidRDefault="00513AB5">
            <w:pPr>
              <w:spacing w:after="0"/>
              <w:jc w:val="left"/>
              <w:rPr>
                <w:bCs/>
                <w:sz w:val="22"/>
                <w:szCs w:val="22"/>
              </w:rPr>
            </w:pPr>
            <w:r w:rsidRPr="004242BF">
              <w:rPr>
                <w:bCs/>
                <w:sz w:val="22"/>
                <w:szCs w:val="22"/>
              </w:rPr>
              <w:t>3.15 Reporting Service</w:t>
            </w:r>
          </w:p>
          <w:p w14:paraId="13446FDD" w14:textId="77777777" w:rsidR="00513AB5" w:rsidRPr="00766725" w:rsidRDefault="00513AB5">
            <w:pPr>
              <w:spacing w:after="0"/>
              <w:jc w:val="left"/>
              <w:rPr>
                <w:bCs/>
                <w:sz w:val="22"/>
                <w:szCs w:val="22"/>
              </w:rPr>
            </w:pPr>
            <w:r>
              <w:rPr>
                <w:bCs/>
                <w:sz w:val="22"/>
                <w:szCs w:val="22"/>
                <w:lang w:val="mk-MK"/>
              </w:rPr>
              <w:t>3.16</w:t>
            </w:r>
            <w:r>
              <w:rPr>
                <w:bCs/>
                <w:sz w:val="22"/>
                <w:szCs w:val="22"/>
              </w:rPr>
              <w:t xml:space="preserve"> </w:t>
            </w:r>
            <w:r w:rsidRPr="004242BF">
              <w:rPr>
                <w:bCs/>
                <w:sz w:val="22"/>
                <w:szCs w:val="22"/>
              </w:rPr>
              <w:t>Data Converter</w:t>
            </w:r>
          </w:p>
        </w:tc>
        <w:tc>
          <w:tcPr>
            <w:tcW w:w="3575" w:type="dxa"/>
          </w:tcPr>
          <w:p w14:paraId="43842ECD" w14:textId="77777777" w:rsidR="00513AB5" w:rsidRDefault="00513AB5" w:rsidP="00D530D5">
            <w:pPr>
              <w:pStyle w:val="ListParagraph"/>
              <w:numPr>
                <w:ilvl w:val="0"/>
                <w:numId w:val="172"/>
              </w:numPr>
              <w:spacing w:after="0"/>
              <w:jc w:val="left"/>
              <w:rPr>
                <w:sz w:val="22"/>
                <w:szCs w:val="22"/>
              </w:rPr>
            </w:pPr>
            <w:r w:rsidRPr="004242BF">
              <w:rPr>
                <w:sz w:val="22"/>
                <w:szCs w:val="22"/>
              </w:rPr>
              <w:t>Software Development Packag</w:t>
            </w:r>
            <w:r>
              <w:rPr>
                <w:sz w:val="22"/>
                <w:szCs w:val="22"/>
              </w:rPr>
              <w:t>e for subsystem/item 3.1 to 3.16</w:t>
            </w:r>
          </w:p>
          <w:p w14:paraId="41044D2F" w14:textId="77777777" w:rsidR="00513AB5" w:rsidRPr="004C6BF5" w:rsidRDefault="00513AB5" w:rsidP="00D530D5">
            <w:pPr>
              <w:pStyle w:val="ListParagraph"/>
              <w:numPr>
                <w:ilvl w:val="0"/>
                <w:numId w:val="172"/>
              </w:numPr>
              <w:spacing w:after="0"/>
              <w:jc w:val="left"/>
              <w:rPr>
                <w:sz w:val="22"/>
                <w:szCs w:val="22"/>
              </w:rPr>
            </w:pPr>
            <w:r w:rsidRPr="004C6BF5">
              <w:rPr>
                <w:sz w:val="22"/>
                <w:szCs w:val="22"/>
              </w:rPr>
              <w:t>Technical Specification Documen</w:t>
            </w:r>
            <w:r>
              <w:rPr>
                <w:sz w:val="22"/>
                <w:szCs w:val="22"/>
              </w:rPr>
              <w:t>t for subsystem/item 3.1 to 3.16</w:t>
            </w:r>
          </w:p>
        </w:tc>
        <w:tc>
          <w:tcPr>
            <w:tcW w:w="1260" w:type="dxa"/>
          </w:tcPr>
          <w:p w14:paraId="5D11CE54" w14:textId="77777777" w:rsidR="00513AB5" w:rsidRPr="004242BF" w:rsidRDefault="00513AB5">
            <w:pPr>
              <w:spacing w:after="0"/>
              <w:jc w:val="center"/>
              <w:rPr>
                <w:sz w:val="22"/>
                <w:szCs w:val="22"/>
              </w:rPr>
            </w:pPr>
          </w:p>
        </w:tc>
        <w:tc>
          <w:tcPr>
            <w:tcW w:w="1350" w:type="dxa"/>
          </w:tcPr>
          <w:p w14:paraId="0F254695" w14:textId="77777777" w:rsidR="00513AB5" w:rsidRPr="004242BF" w:rsidRDefault="00513AB5">
            <w:pPr>
              <w:spacing w:after="0"/>
              <w:jc w:val="center"/>
              <w:rPr>
                <w:sz w:val="22"/>
                <w:szCs w:val="22"/>
              </w:rPr>
            </w:pPr>
          </w:p>
        </w:tc>
        <w:tc>
          <w:tcPr>
            <w:tcW w:w="1080" w:type="dxa"/>
          </w:tcPr>
          <w:p w14:paraId="24118258" w14:textId="77777777" w:rsidR="00513AB5" w:rsidRPr="004242BF" w:rsidRDefault="00513AB5">
            <w:pPr>
              <w:spacing w:after="0"/>
              <w:jc w:val="center"/>
              <w:rPr>
                <w:sz w:val="22"/>
                <w:szCs w:val="22"/>
              </w:rPr>
            </w:pPr>
          </w:p>
        </w:tc>
      </w:tr>
      <w:tr w:rsidR="00513AB5" w:rsidRPr="004242BF" w14:paraId="2DD6FC68" w14:textId="77777777" w:rsidTr="00BF283B">
        <w:trPr>
          <w:cantSplit/>
        </w:trPr>
        <w:tc>
          <w:tcPr>
            <w:tcW w:w="843" w:type="dxa"/>
          </w:tcPr>
          <w:p w14:paraId="0BC4A3FD" w14:textId="77777777" w:rsidR="00513AB5" w:rsidRPr="004242BF" w:rsidRDefault="00513AB5" w:rsidP="001136D3">
            <w:pPr>
              <w:spacing w:after="0"/>
              <w:jc w:val="center"/>
              <w:rPr>
                <w:b/>
                <w:szCs w:val="22"/>
              </w:rPr>
            </w:pPr>
            <w:r w:rsidRPr="004242BF">
              <w:rPr>
                <w:b/>
                <w:szCs w:val="22"/>
              </w:rPr>
              <w:t>4.</w:t>
            </w:r>
          </w:p>
        </w:tc>
        <w:tc>
          <w:tcPr>
            <w:tcW w:w="4394" w:type="dxa"/>
          </w:tcPr>
          <w:p w14:paraId="11D3E21A" w14:textId="77777777" w:rsidR="00513AB5" w:rsidRPr="004242BF" w:rsidRDefault="00513AB5" w:rsidP="001136D3">
            <w:pPr>
              <w:spacing w:after="0"/>
              <w:jc w:val="left"/>
              <w:rPr>
                <w:b/>
                <w:bCs/>
                <w:szCs w:val="22"/>
              </w:rPr>
            </w:pPr>
            <w:r w:rsidRPr="004242BF">
              <w:rPr>
                <w:b/>
                <w:szCs w:val="22"/>
              </w:rPr>
              <w:t>Testing</w:t>
            </w:r>
          </w:p>
        </w:tc>
        <w:tc>
          <w:tcPr>
            <w:tcW w:w="3575" w:type="dxa"/>
          </w:tcPr>
          <w:p w14:paraId="0895B3F9" w14:textId="77777777" w:rsidR="00513AB5" w:rsidRPr="005F6E5F" w:rsidRDefault="00513AB5" w:rsidP="001136D3">
            <w:pPr>
              <w:spacing w:after="0"/>
              <w:rPr>
                <w:b/>
                <w:bCs/>
                <w:sz w:val="22"/>
                <w:szCs w:val="22"/>
              </w:rPr>
            </w:pPr>
            <w:r w:rsidRPr="005F6E5F">
              <w:rPr>
                <w:b/>
                <w:bCs/>
                <w:szCs w:val="22"/>
              </w:rPr>
              <w:t>Testing documents package:</w:t>
            </w:r>
          </w:p>
        </w:tc>
        <w:tc>
          <w:tcPr>
            <w:tcW w:w="1260" w:type="dxa"/>
          </w:tcPr>
          <w:p w14:paraId="72261798" w14:textId="77777777" w:rsidR="00513AB5" w:rsidRPr="004242BF" w:rsidRDefault="00513AB5" w:rsidP="001136D3">
            <w:pPr>
              <w:spacing w:after="0"/>
              <w:jc w:val="center"/>
              <w:rPr>
                <w:b/>
                <w:szCs w:val="22"/>
                <w:lang w:val="fr-BE"/>
              </w:rPr>
            </w:pPr>
            <w:r w:rsidRPr="004242BF">
              <w:rPr>
                <w:b/>
                <w:szCs w:val="22"/>
                <w:lang w:val="fr-BE"/>
              </w:rPr>
              <w:t>W30</w:t>
            </w:r>
          </w:p>
        </w:tc>
        <w:tc>
          <w:tcPr>
            <w:tcW w:w="1350" w:type="dxa"/>
          </w:tcPr>
          <w:p w14:paraId="3A640EA4" w14:textId="13C98CA7" w:rsidR="00513AB5" w:rsidRPr="004242BF" w:rsidRDefault="0057360A" w:rsidP="001136D3">
            <w:pPr>
              <w:spacing w:after="0"/>
              <w:jc w:val="center"/>
              <w:rPr>
                <w:b/>
                <w:szCs w:val="22"/>
                <w:lang w:val="fr-BE"/>
              </w:rPr>
            </w:pPr>
            <w:r>
              <w:rPr>
                <w:b/>
                <w:szCs w:val="22"/>
              </w:rPr>
              <w:t>W38</w:t>
            </w:r>
          </w:p>
        </w:tc>
        <w:tc>
          <w:tcPr>
            <w:tcW w:w="1080" w:type="dxa"/>
          </w:tcPr>
          <w:p w14:paraId="2B927D20" w14:textId="77777777" w:rsidR="00513AB5" w:rsidRPr="004242BF" w:rsidRDefault="00513AB5" w:rsidP="001136D3">
            <w:pPr>
              <w:spacing w:after="0"/>
              <w:jc w:val="center"/>
              <w:rPr>
                <w:b/>
                <w:szCs w:val="22"/>
                <w:lang w:val="fr-BE"/>
              </w:rPr>
            </w:pPr>
            <w:r w:rsidRPr="004242BF">
              <w:rPr>
                <w:b/>
                <w:szCs w:val="22"/>
                <w:lang w:val="fr-BE"/>
              </w:rPr>
              <w:t>YES</w:t>
            </w:r>
          </w:p>
        </w:tc>
      </w:tr>
      <w:tr w:rsidR="00513AB5" w:rsidRPr="004242BF" w14:paraId="30AB844C" w14:textId="77777777" w:rsidTr="00BF283B">
        <w:trPr>
          <w:cantSplit/>
        </w:trPr>
        <w:tc>
          <w:tcPr>
            <w:tcW w:w="843" w:type="dxa"/>
          </w:tcPr>
          <w:p w14:paraId="2B9DFC12" w14:textId="3FE8E613" w:rsidR="00513AB5" w:rsidRPr="004242BF" w:rsidRDefault="00513AB5">
            <w:pPr>
              <w:spacing w:after="0"/>
              <w:jc w:val="center"/>
              <w:rPr>
                <w:sz w:val="22"/>
                <w:szCs w:val="22"/>
              </w:rPr>
            </w:pPr>
          </w:p>
        </w:tc>
        <w:tc>
          <w:tcPr>
            <w:tcW w:w="4394" w:type="dxa"/>
          </w:tcPr>
          <w:p w14:paraId="66DC13A8" w14:textId="77777777" w:rsidR="00513AB5" w:rsidRPr="004242BF" w:rsidRDefault="00513AB5">
            <w:pPr>
              <w:spacing w:after="0"/>
              <w:jc w:val="left"/>
              <w:rPr>
                <w:sz w:val="22"/>
                <w:szCs w:val="22"/>
              </w:rPr>
            </w:pPr>
            <w:r w:rsidRPr="004242BF">
              <w:rPr>
                <w:sz w:val="22"/>
                <w:szCs w:val="22"/>
              </w:rPr>
              <w:t>4.1 NSW Trader Portal</w:t>
            </w:r>
          </w:p>
          <w:p w14:paraId="23EAFB0F" w14:textId="77777777" w:rsidR="00513AB5" w:rsidRPr="004242BF" w:rsidRDefault="00513AB5">
            <w:pPr>
              <w:spacing w:after="0"/>
              <w:jc w:val="left"/>
              <w:rPr>
                <w:sz w:val="22"/>
                <w:szCs w:val="22"/>
              </w:rPr>
            </w:pPr>
            <w:r w:rsidRPr="004242BF">
              <w:rPr>
                <w:sz w:val="22"/>
                <w:szCs w:val="22"/>
              </w:rPr>
              <w:t>4.2 NSW Help Desk</w:t>
            </w:r>
          </w:p>
          <w:p w14:paraId="08AE3EED" w14:textId="77777777" w:rsidR="00513AB5" w:rsidRPr="004242BF" w:rsidRDefault="00513AB5">
            <w:pPr>
              <w:spacing w:after="0"/>
              <w:jc w:val="left"/>
              <w:rPr>
                <w:sz w:val="22"/>
                <w:szCs w:val="22"/>
              </w:rPr>
            </w:pPr>
            <w:r w:rsidRPr="004242BF">
              <w:rPr>
                <w:sz w:val="22"/>
                <w:szCs w:val="22"/>
              </w:rPr>
              <w:t>4.3 Registration of Traders and Competent Authority</w:t>
            </w:r>
          </w:p>
          <w:p w14:paraId="1FB0C0B9" w14:textId="77777777" w:rsidR="00513AB5" w:rsidRPr="004242BF" w:rsidRDefault="00513AB5">
            <w:pPr>
              <w:spacing w:after="0"/>
              <w:jc w:val="left"/>
              <w:rPr>
                <w:sz w:val="22"/>
                <w:szCs w:val="22"/>
              </w:rPr>
            </w:pPr>
            <w:r w:rsidRPr="004242BF">
              <w:rPr>
                <w:sz w:val="22"/>
                <w:szCs w:val="22"/>
              </w:rPr>
              <w:t>4.4 LPCO Application</w:t>
            </w:r>
          </w:p>
          <w:p w14:paraId="5ADE3CA4" w14:textId="77777777" w:rsidR="00513AB5" w:rsidRPr="004242BF" w:rsidRDefault="00513AB5">
            <w:pPr>
              <w:spacing w:after="0"/>
              <w:jc w:val="left"/>
              <w:rPr>
                <w:sz w:val="22"/>
                <w:szCs w:val="22"/>
              </w:rPr>
            </w:pPr>
            <w:r w:rsidRPr="004242BF">
              <w:rPr>
                <w:sz w:val="22"/>
                <w:szCs w:val="22"/>
              </w:rPr>
              <w:t>4.5 LPCO Management</w:t>
            </w:r>
          </w:p>
          <w:p w14:paraId="1AC94BB4" w14:textId="77777777" w:rsidR="00513AB5" w:rsidRPr="004242BF" w:rsidRDefault="00513AB5">
            <w:pPr>
              <w:spacing w:after="0"/>
              <w:jc w:val="left"/>
              <w:rPr>
                <w:sz w:val="22"/>
                <w:szCs w:val="22"/>
              </w:rPr>
            </w:pPr>
            <w:r w:rsidRPr="004242BF">
              <w:rPr>
                <w:sz w:val="22"/>
                <w:szCs w:val="22"/>
              </w:rPr>
              <w:t>4.6 Payment Management</w:t>
            </w:r>
          </w:p>
          <w:p w14:paraId="3769EFFD" w14:textId="77777777" w:rsidR="00513AB5" w:rsidRPr="004242BF" w:rsidRDefault="00513AB5">
            <w:pPr>
              <w:spacing w:after="0"/>
              <w:jc w:val="left"/>
              <w:rPr>
                <w:sz w:val="22"/>
                <w:szCs w:val="22"/>
              </w:rPr>
            </w:pPr>
            <w:r w:rsidRPr="004242BF">
              <w:rPr>
                <w:sz w:val="22"/>
                <w:szCs w:val="22"/>
              </w:rPr>
              <w:t>4.7 Payment Processing</w:t>
            </w:r>
          </w:p>
          <w:p w14:paraId="76288E34" w14:textId="77777777" w:rsidR="00513AB5" w:rsidRPr="004242BF" w:rsidRDefault="00513AB5">
            <w:pPr>
              <w:spacing w:after="0"/>
              <w:jc w:val="left"/>
              <w:rPr>
                <w:sz w:val="22"/>
                <w:szCs w:val="22"/>
              </w:rPr>
            </w:pPr>
            <w:r w:rsidRPr="004242BF">
              <w:rPr>
                <w:sz w:val="22"/>
                <w:szCs w:val="22"/>
              </w:rPr>
              <w:t>4.8 Notification Management</w:t>
            </w:r>
          </w:p>
          <w:p w14:paraId="0CE4642B" w14:textId="77777777" w:rsidR="00513AB5" w:rsidRPr="004242BF" w:rsidRDefault="00513AB5">
            <w:pPr>
              <w:spacing w:after="0"/>
              <w:jc w:val="left"/>
              <w:rPr>
                <w:sz w:val="22"/>
                <w:szCs w:val="22"/>
              </w:rPr>
            </w:pPr>
            <w:r w:rsidRPr="004242BF">
              <w:rPr>
                <w:bCs/>
                <w:sz w:val="22"/>
                <w:szCs w:val="22"/>
              </w:rPr>
              <w:t xml:space="preserve">4.9 </w:t>
            </w:r>
            <w:r w:rsidRPr="004242BF">
              <w:rPr>
                <w:sz w:val="22"/>
                <w:szCs w:val="22"/>
              </w:rPr>
              <w:t>LPCO Designer</w:t>
            </w:r>
          </w:p>
          <w:p w14:paraId="30E38217" w14:textId="77777777" w:rsidR="00513AB5" w:rsidRPr="004242BF" w:rsidRDefault="00513AB5">
            <w:pPr>
              <w:spacing w:after="0"/>
              <w:jc w:val="left"/>
              <w:rPr>
                <w:sz w:val="22"/>
                <w:szCs w:val="22"/>
              </w:rPr>
            </w:pPr>
            <w:r w:rsidRPr="004242BF">
              <w:rPr>
                <w:bCs/>
                <w:sz w:val="22"/>
                <w:szCs w:val="22"/>
              </w:rPr>
              <w:t xml:space="preserve">4.10 </w:t>
            </w:r>
            <w:r w:rsidRPr="004242BF">
              <w:rPr>
                <w:sz w:val="22"/>
                <w:szCs w:val="22"/>
              </w:rPr>
              <w:t>Inspection Control Results</w:t>
            </w:r>
          </w:p>
          <w:p w14:paraId="2302763D" w14:textId="77777777" w:rsidR="00513AB5" w:rsidRPr="004242BF" w:rsidRDefault="00513AB5">
            <w:pPr>
              <w:spacing w:after="0"/>
              <w:jc w:val="left"/>
              <w:rPr>
                <w:sz w:val="22"/>
                <w:szCs w:val="22"/>
              </w:rPr>
            </w:pPr>
            <w:r w:rsidRPr="004242BF">
              <w:rPr>
                <w:sz w:val="22"/>
                <w:szCs w:val="22"/>
              </w:rPr>
              <w:t>4.11 Document Management</w:t>
            </w:r>
          </w:p>
          <w:p w14:paraId="307EB962" w14:textId="77777777" w:rsidR="00513AB5" w:rsidRPr="004242BF" w:rsidRDefault="00513AB5">
            <w:pPr>
              <w:spacing w:after="0"/>
              <w:jc w:val="left"/>
              <w:rPr>
                <w:sz w:val="22"/>
                <w:szCs w:val="22"/>
              </w:rPr>
            </w:pPr>
            <w:r w:rsidRPr="004242BF">
              <w:rPr>
                <w:sz w:val="22"/>
                <w:szCs w:val="22"/>
              </w:rPr>
              <w:t>4.12 LPCO Workflow</w:t>
            </w:r>
          </w:p>
          <w:p w14:paraId="089AB96D" w14:textId="77777777" w:rsidR="00513AB5" w:rsidRPr="004242BF" w:rsidRDefault="00513AB5">
            <w:pPr>
              <w:spacing w:after="0"/>
              <w:jc w:val="left"/>
              <w:rPr>
                <w:sz w:val="22"/>
                <w:szCs w:val="22"/>
              </w:rPr>
            </w:pPr>
            <w:r w:rsidRPr="004242BF">
              <w:rPr>
                <w:bCs/>
                <w:sz w:val="22"/>
                <w:szCs w:val="22"/>
              </w:rPr>
              <w:t xml:space="preserve">4.13 </w:t>
            </w:r>
            <w:r w:rsidRPr="004242BF">
              <w:rPr>
                <w:sz w:val="22"/>
                <w:szCs w:val="22"/>
              </w:rPr>
              <w:t>NSW Risk Management</w:t>
            </w:r>
          </w:p>
          <w:p w14:paraId="32C82F63" w14:textId="77777777" w:rsidR="00513AB5" w:rsidRPr="004242BF" w:rsidRDefault="00513AB5">
            <w:pPr>
              <w:spacing w:after="0"/>
              <w:jc w:val="left"/>
              <w:rPr>
                <w:sz w:val="22"/>
                <w:szCs w:val="22"/>
              </w:rPr>
            </w:pPr>
            <w:r w:rsidRPr="004242BF">
              <w:rPr>
                <w:bCs/>
                <w:sz w:val="22"/>
                <w:szCs w:val="22"/>
              </w:rPr>
              <w:t xml:space="preserve">4.14 </w:t>
            </w:r>
            <w:r w:rsidRPr="004242BF">
              <w:rPr>
                <w:sz w:val="22"/>
                <w:szCs w:val="22"/>
              </w:rPr>
              <w:t>Referents Tables</w:t>
            </w:r>
          </w:p>
          <w:p w14:paraId="44CEC9EC" w14:textId="77777777" w:rsidR="00513AB5" w:rsidRDefault="00513AB5">
            <w:pPr>
              <w:spacing w:after="0"/>
              <w:jc w:val="left"/>
              <w:rPr>
                <w:sz w:val="22"/>
                <w:szCs w:val="22"/>
              </w:rPr>
            </w:pPr>
            <w:r w:rsidRPr="004242BF">
              <w:rPr>
                <w:sz w:val="22"/>
                <w:szCs w:val="22"/>
              </w:rPr>
              <w:t>4.15 Reporting Service</w:t>
            </w:r>
          </w:p>
          <w:p w14:paraId="4C253E39" w14:textId="77777777" w:rsidR="00513AB5" w:rsidRPr="004242BF" w:rsidRDefault="00513AB5">
            <w:pPr>
              <w:spacing w:after="0"/>
              <w:jc w:val="left"/>
              <w:rPr>
                <w:bCs/>
                <w:sz w:val="22"/>
                <w:szCs w:val="22"/>
              </w:rPr>
            </w:pPr>
            <w:r>
              <w:rPr>
                <w:sz w:val="22"/>
                <w:szCs w:val="22"/>
              </w:rPr>
              <w:t xml:space="preserve">4.16 </w:t>
            </w:r>
            <w:r w:rsidRPr="004242BF">
              <w:rPr>
                <w:bCs/>
                <w:sz w:val="22"/>
                <w:szCs w:val="22"/>
              </w:rPr>
              <w:t>Data Converter</w:t>
            </w:r>
          </w:p>
        </w:tc>
        <w:tc>
          <w:tcPr>
            <w:tcW w:w="3575" w:type="dxa"/>
          </w:tcPr>
          <w:p w14:paraId="4BD0E23B" w14:textId="77777777" w:rsidR="00513AB5" w:rsidRPr="004242BF" w:rsidRDefault="00513AB5" w:rsidP="00D530D5">
            <w:pPr>
              <w:pStyle w:val="ListParagraph"/>
              <w:numPr>
                <w:ilvl w:val="0"/>
                <w:numId w:val="173"/>
              </w:numPr>
              <w:spacing w:after="0"/>
              <w:rPr>
                <w:bCs/>
                <w:sz w:val="22"/>
                <w:szCs w:val="22"/>
              </w:rPr>
            </w:pPr>
            <w:r w:rsidRPr="004242BF">
              <w:rPr>
                <w:bCs/>
                <w:sz w:val="22"/>
                <w:szCs w:val="22"/>
              </w:rPr>
              <w:t>Acceptance Test Plan Document</w:t>
            </w:r>
            <w:r>
              <w:rPr>
                <w:bCs/>
                <w:sz w:val="22"/>
                <w:szCs w:val="22"/>
              </w:rPr>
              <w:t xml:space="preserve"> for subsystem/items 4.1 to 4.16</w:t>
            </w:r>
          </w:p>
          <w:p w14:paraId="2783BCE3" w14:textId="77777777" w:rsidR="00513AB5" w:rsidRPr="004242BF" w:rsidRDefault="00513AB5" w:rsidP="00D530D5">
            <w:pPr>
              <w:pStyle w:val="ListParagraph"/>
              <w:numPr>
                <w:ilvl w:val="0"/>
                <w:numId w:val="173"/>
              </w:numPr>
              <w:spacing w:after="0"/>
              <w:rPr>
                <w:bCs/>
                <w:sz w:val="22"/>
                <w:szCs w:val="22"/>
              </w:rPr>
            </w:pPr>
            <w:r w:rsidRPr="004242BF">
              <w:rPr>
                <w:bCs/>
                <w:sz w:val="22"/>
                <w:szCs w:val="22"/>
              </w:rPr>
              <w:t>Automated Test Cases (Scripts)</w:t>
            </w:r>
            <w:r>
              <w:rPr>
                <w:bCs/>
                <w:sz w:val="22"/>
                <w:szCs w:val="22"/>
              </w:rPr>
              <w:t xml:space="preserve"> for subsystem/items 4.1 to 4.16</w:t>
            </w:r>
          </w:p>
          <w:p w14:paraId="03F226F0" w14:textId="77777777" w:rsidR="00513AB5" w:rsidRDefault="00513AB5" w:rsidP="00D530D5">
            <w:pPr>
              <w:pStyle w:val="ListParagraph"/>
              <w:numPr>
                <w:ilvl w:val="0"/>
                <w:numId w:val="173"/>
              </w:numPr>
              <w:spacing w:after="0"/>
              <w:rPr>
                <w:bCs/>
                <w:sz w:val="22"/>
                <w:szCs w:val="22"/>
              </w:rPr>
            </w:pPr>
            <w:r w:rsidRPr="004242BF">
              <w:rPr>
                <w:bCs/>
                <w:sz w:val="22"/>
                <w:szCs w:val="22"/>
              </w:rPr>
              <w:t>Test Data</w:t>
            </w:r>
            <w:r>
              <w:rPr>
                <w:bCs/>
                <w:sz w:val="22"/>
                <w:szCs w:val="22"/>
              </w:rPr>
              <w:t xml:space="preserve"> for subsystem/items 4.1 to </w:t>
            </w:r>
            <w:proofErr w:type="gramStart"/>
            <w:r>
              <w:rPr>
                <w:bCs/>
                <w:sz w:val="22"/>
                <w:szCs w:val="22"/>
              </w:rPr>
              <w:t>4.16</w:t>
            </w:r>
            <w:proofErr w:type="gramEnd"/>
          </w:p>
          <w:p w14:paraId="7BCC69D3" w14:textId="77777777" w:rsidR="00513AB5" w:rsidRPr="004C6BF5" w:rsidRDefault="00513AB5" w:rsidP="00D530D5">
            <w:pPr>
              <w:pStyle w:val="ListParagraph"/>
              <w:numPr>
                <w:ilvl w:val="0"/>
                <w:numId w:val="173"/>
              </w:numPr>
              <w:spacing w:after="0"/>
              <w:rPr>
                <w:bCs/>
                <w:sz w:val="22"/>
                <w:szCs w:val="22"/>
              </w:rPr>
            </w:pPr>
            <w:r w:rsidRPr="004C6BF5">
              <w:rPr>
                <w:bCs/>
                <w:sz w:val="22"/>
                <w:szCs w:val="22"/>
              </w:rPr>
              <w:t xml:space="preserve">Test Report Document for subsystem/items 4.1 to </w:t>
            </w:r>
            <w:r>
              <w:rPr>
                <w:bCs/>
                <w:sz w:val="22"/>
                <w:szCs w:val="22"/>
              </w:rPr>
              <w:t>4.16</w:t>
            </w:r>
          </w:p>
        </w:tc>
        <w:tc>
          <w:tcPr>
            <w:tcW w:w="1260" w:type="dxa"/>
          </w:tcPr>
          <w:p w14:paraId="6C04BD09" w14:textId="0B3B2A72" w:rsidR="00513AB5" w:rsidRPr="004242BF" w:rsidRDefault="00513AB5">
            <w:pPr>
              <w:spacing w:after="0"/>
              <w:jc w:val="center"/>
              <w:rPr>
                <w:sz w:val="22"/>
                <w:szCs w:val="22"/>
              </w:rPr>
            </w:pPr>
          </w:p>
        </w:tc>
        <w:tc>
          <w:tcPr>
            <w:tcW w:w="1350" w:type="dxa"/>
          </w:tcPr>
          <w:p w14:paraId="0CD4E601" w14:textId="6395F73F" w:rsidR="00513AB5" w:rsidRPr="004242BF" w:rsidRDefault="00513AB5">
            <w:pPr>
              <w:spacing w:after="0"/>
              <w:jc w:val="center"/>
              <w:rPr>
                <w:sz w:val="22"/>
                <w:szCs w:val="22"/>
              </w:rPr>
            </w:pPr>
          </w:p>
        </w:tc>
        <w:tc>
          <w:tcPr>
            <w:tcW w:w="1080" w:type="dxa"/>
          </w:tcPr>
          <w:p w14:paraId="5E885ED9" w14:textId="77777777" w:rsidR="00513AB5" w:rsidRPr="004242BF" w:rsidRDefault="00513AB5">
            <w:pPr>
              <w:spacing w:after="0"/>
              <w:jc w:val="center"/>
              <w:rPr>
                <w:sz w:val="22"/>
                <w:szCs w:val="22"/>
              </w:rPr>
            </w:pPr>
          </w:p>
        </w:tc>
      </w:tr>
      <w:tr w:rsidR="00513AB5" w:rsidRPr="004C6BF5" w14:paraId="30A4C2E7" w14:textId="77777777" w:rsidTr="00BF283B">
        <w:trPr>
          <w:cantSplit/>
        </w:trPr>
        <w:tc>
          <w:tcPr>
            <w:tcW w:w="843" w:type="dxa"/>
          </w:tcPr>
          <w:p w14:paraId="3EFF2CCE" w14:textId="77777777" w:rsidR="00513AB5" w:rsidRPr="004C6BF5" w:rsidRDefault="00513AB5" w:rsidP="001136D3">
            <w:pPr>
              <w:spacing w:after="0"/>
              <w:jc w:val="center"/>
              <w:rPr>
                <w:b/>
                <w:szCs w:val="22"/>
              </w:rPr>
            </w:pPr>
            <w:r w:rsidRPr="004C6BF5">
              <w:rPr>
                <w:b/>
                <w:szCs w:val="22"/>
              </w:rPr>
              <w:t>5</w:t>
            </w:r>
          </w:p>
        </w:tc>
        <w:tc>
          <w:tcPr>
            <w:tcW w:w="4394" w:type="dxa"/>
          </w:tcPr>
          <w:p w14:paraId="5E66A277" w14:textId="77777777" w:rsidR="00513AB5" w:rsidRPr="004C6BF5" w:rsidRDefault="00513AB5" w:rsidP="001136D3">
            <w:pPr>
              <w:spacing w:after="0"/>
              <w:jc w:val="left"/>
              <w:rPr>
                <w:b/>
                <w:szCs w:val="22"/>
              </w:rPr>
            </w:pPr>
            <w:r w:rsidRPr="004C6BF5">
              <w:rPr>
                <w:b/>
                <w:szCs w:val="22"/>
              </w:rPr>
              <w:t>Integration and Testing</w:t>
            </w:r>
          </w:p>
        </w:tc>
        <w:tc>
          <w:tcPr>
            <w:tcW w:w="3575" w:type="dxa"/>
          </w:tcPr>
          <w:p w14:paraId="2273A1F3" w14:textId="77777777" w:rsidR="00513AB5" w:rsidRPr="005F6E5F" w:rsidRDefault="00513AB5" w:rsidP="001136D3">
            <w:pPr>
              <w:spacing w:after="0"/>
              <w:rPr>
                <w:b/>
                <w:sz w:val="22"/>
                <w:szCs w:val="22"/>
              </w:rPr>
            </w:pPr>
            <w:r w:rsidRPr="00766725">
              <w:rPr>
                <w:b/>
                <w:szCs w:val="22"/>
              </w:rPr>
              <w:t>Integration and Testing Report</w:t>
            </w:r>
          </w:p>
        </w:tc>
        <w:tc>
          <w:tcPr>
            <w:tcW w:w="1260" w:type="dxa"/>
          </w:tcPr>
          <w:p w14:paraId="49189E46" w14:textId="582CF8BA" w:rsidR="00513AB5" w:rsidRPr="004C6BF5" w:rsidRDefault="0057360A" w:rsidP="001136D3">
            <w:pPr>
              <w:spacing w:after="0"/>
              <w:jc w:val="center"/>
              <w:rPr>
                <w:b/>
                <w:szCs w:val="22"/>
              </w:rPr>
            </w:pPr>
            <w:r>
              <w:rPr>
                <w:b/>
                <w:szCs w:val="22"/>
              </w:rPr>
              <w:t>W38</w:t>
            </w:r>
          </w:p>
        </w:tc>
        <w:tc>
          <w:tcPr>
            <w:tcW w:w="1350" w:type="dxa"/>
          </w:tcPr>
          <w:p w14:paraId="507CC9B5" w14:textId="5849C2C4" w:rsidR="00513AB5" w:rsidRPr="004C6BF5" w:rsidRDefault="0057360A" w:rsidP="001136D3">
            <w:pPr>
              <w:spacing w:after="0"/>
              <w:jc w:val="center"/>
              <w:rPr>
                <w:b/>
                <w:szCs w:val="22"/>
              </w:rPr>
            </w:pPr>
            <w:r>
              <w:rPr>
                <w:b/>
                <w:szCs w:val="22"/>
              </w:rPr>
              <w:t>W40</w:t>
            </w:r>
          </w:p>
        </w:tc>
        <w:tc>
          <w:tcPr>
            <w:tcW w:w="1080" w:type="dxa"/>
          </w:tcPr>
          <w:p w14:paraId="5E52FC45" w14:textId="77777777" w:rsidR="00513AB5" w:rsidRPr="004C6BF5" w:rsidRDefault="00513AB5" w:rsidP="001136D3">
            <w:pPr>
              <w:spacing w:after="0"/>
              <w:jc w:val="center"/>
              <w:rPr>
                <w:b/>
                <w:szCs w:val="22"/>
              </w:rPr>
            </w:pPr>
            <w:r w:rsidRPr="004C6BF5">
              <w:rPr>
                <w:b/>
                <w:szCs w:val="22"/>
              </w:rPr>
              <w:t>YES</w:t>
            </w:r>
          </w:p>
        </w:tc>
      </w:tr>
      <w:tr w:rsidR="00513AB5" w:rsidRPr="004242BF" w14:paraId="690D7F61" w14:textId="77777777" w:rsidTr="00BF283B">
        <w:trPr>
          <w:cantSplit/>
        </w:trPr>
        <w:tc>
          <w:tcPr>
            <w:tcW w:w="843" w:type="dxa"/>
          </w:tcPr>
          <w:p w14:paraId="3BD5D79C" w14:textId="77777777" w:rsidR="00513AB5" w:rsidRPr="004242BF" w:rsidRDefault="00513AB5">
            <w:pPr>
              <w:spacing w:after="0"/>
              <w:jc w:val="center"/>
              <w:rPr>
                <w:sz w:val="22"/>
                <w:szCs w:val="22"/>
              </w:rPr>
            </w:pPr>
          </w:p>
        </w:tc>
        <w:tc>
          <w:tcPr>
            <w:tcW w:w="4394" w:type="dxa"/>
          </w:tcPr>
          <w:p w14:paraId="15BD3E49" w14:textId="77777777" w:rsidR="00513AB5" w:rsidRPr="004242BF" w:rsidRDefault="00513AB5">
            <w:pPr>
              <w:spacing w:after="0"/>
              <w:jc w:val="left"/>
              <w:rPr>
                <w:sz w:val="22"/>
                <w:szCs w:val="22"/>
              </w:rPr>
            </w:pPr>
            <w:r w:rsidRPr="004242BF">
              <w:rPr>
                <w:sz w:val="22"/>
                <w:szCs w:val="22"/>
              </w:rPr>
              <w:t xml:space="preserve">5.1 Readiness of Environment </w:t>
            </w:r>
          </w:p>
          <w:p w14:paraId="180B3C5B" w14:textId="77777777" w:rsidR="00513AB5" w:rsidRPr="004242BF" w:rsidRDefault="00513AB5">
            <w:pPr>
              <w:spacing w:after="0"/>
              <w:jc w:val="left"/>
              <w:rPr>
                <w:sz w:val="22"/>
                <w:szCs w:val="22"/>
              </w:rPr>
            </w:pPr>
            <w:r w:rsidRPr="004242BF">
              <w:rPr>
                <w:sz w:val="22"/>
                <w:szCs w:val="22"/>
              </w:rPr>
              <w:t>5.2 Acceptance Test Plan for FAT</w:t>
            </w:r>
          </w:p>
          <w:p w14:paraId="02172DA1" w14:textId="77777777" w:rsidR="00513AB5" w:rsidRPr="004242BF" w:rsidRDefault="00513AB5">
            <w:pPr>
              <w:spacing w:after="0"/>
              <w:jc w:val="left"/>
              <w:rPr>
                <w:sz w:val="22"/>
                <w:szCs w:val="22"/>
              </w:rPr>
            </w:pPr>
            <w:r w:rsidRPr="004242BF">
              <w:rPr>
                <w:sz w:val="22"/>
                <w:szCs w:val="22"/>
              </w:rPr>
              <w:t>5.3 FAT Automated Test Cases (Scripts) for Integration</w:t>
            </w:r>
          </w:p>
          <w:p w14:paraId="4E3E204D" w14:textId="77777777" w:rsidR="00513AB5" w:rsidRPr="004242BF" w:rsidRDefault="00513AB5">
            <w:pPr>
              <w:spacing w:after="0"/>
              <w:jc w:val="left"/>
              <w:rPr>
                <w:sz w:val="22"/>
                <w:szCs w:val="22"/>
              </w:rPr>
            </w:pPr>
            <w:r w:rsidRPr="004242BF">
              <w:rPr>
                <w:sz w:val="22"/>
                <w:szCs w:val="22"/>
              </w:rPr>
              <w:t>5.4 FAT Test Data</w:t>
            </w:r>
          </w:p>
          <w:p w14:paraId="406A0743" w14:textId="77777777" w:rsidR="00513AB5" w:rsidRPr="004242BF" w:rsidRDefault="00513AB5">
            <w:pPr>
              <w:spacing w:after="0"/>
              <w:jc w:val="left"/>
              <w:rPr>
                <w:sz w:val="22"/>
                <w:szCs w:val="22"/>
              </w:rPr>
            </w:pPr>
            <w:r w:rsidRPr="004242BF">
              <w:rPr>
                <w:sz w:val="22"/>
                <w:szCs w:val="22"/>
              </w:rPr>
              <w:t>5.5 FAT Report</w:t>
            </w:r>
          </w:p>
        </w:tc>
        <w:tc>
          <w:tcPr>
            <w:tcW w:w="3575" w:type="dxa"/>
          </w:tcPr>
          <w:p w14:paraId="3EA5654A" w14:textId="77777777" w:rsidR="00513AB5" w:rsidRDefault="00513AB5">
            <w:pPr>
              <w:pStyle w:val="ListParagraph"/>
              <w:spacing w:after="0"/>
              <w:jc w:val="left"/>
              <w:rPr>
                <w:sz w:val="22"/>
                <w:szCs w:val="22"/>
              </w:rPr>
            </w:pPr>
            <w:r>
              <w:rPr>
                <w:sz w:val="22"/>
                <w:szCs w:val="22"/>
              </w:rPr>
              <w:t>FAT Reports:</w:t>
            </w:r>
          </w:p>
          <w:p w14:paraId="6A2B9A74" w14:textId="77777777" w:rsidR="00513AB5" w:rsidRPr="004C6BF5" w:rsidRDefault="00513AB5" w:rsidP="00D530D5">
            <w:pPr>
              <w:pStyle w:val="ListParagraph"/>
              <w:numPr>
                <w:ilvl w:val="0"/>
                <w:numId w:val="174"/>
              </w:numPr>
              <w:spacing w:after="0"/>
              <w:jc w:val="left"/>
              <w:rPr>
                <w:sz w:val="22"/>
                <w:szCs w:val="22"/>
              </w:rPr>
            </w:pPr>
            <w:r w:rsidRPr="004C6BF5">
              <w:rPr>
                <w:sz w:val="22"/>
                <w:szCs w:val="22"/>
              </w:rPr>
              <w:t>FAT Readiness of Environment Report</w:t>
            </w:r>
          </w:p>
          <w:p w14:paraId="25D1346D" w14:textId="77777777" w:rsidR="00513AB5" w:rsidRPr="004C6BF5" w:rsidRDefault="00513AB5" w:rsidP="00D530D5">
            <w:pPr>
              <w:pStyle w:val="ListParagraph"/>
              <w:numPr>
                <w:ilvl w:val="0"/>
                <w:numId w:val="174"/>
              </w:numPr>
              <w:spacing w:after="0"/>
              <w:jc w:val="left"/>
              <w:rPr>
                <w:sz w:val="22"/>
                <w:szCs w:val="22"/>
              </w:rPr>
            </w:pPr>
            <w:r w:rsidRPr="004C6BF5">
              <w:rPr>
                <w:sz w:val="22"/>
                <w:szCs w:val="22"/>
              </w:rPr>
              <w:t>Acceptance Test Plan for FAT document</w:t>
            </w:r>
          </w:p>
          <w:p w14:paraId="65D4FCBB" w14:textId="77777777" w:rsidR="00513AB5" w:rsidRPr="004C6BF5" w:rsidRDefault="00513AB5" w:rsidP="00D530D5">
            <w:pPr>
              <w:pStyle w:val="ListParagraph"/>
              <w:numPr>
                <w:ilvl w:val="0"/>
                <w:numId w:val="174"/>
              </w:numPr>
              <w:spacing w:after="0"/>
              <w:jc w:val="left"/>
              <w:rPr>
                <w:sz w:val="22"/>
                <w:szCs w:val="22"/>
              </w:rPr>
            </w:pPr>
            <w:r w:rsidRPr="004C6BF5">
              <w:rPr>
                <w:sz w:val="22"/>
                <w:szCs w:val="22"/>
              </w:rPr>
              <w:t>Automated Test Cases (Scripts) for FAT</w:t>
            </w:r>
          </w:p>
          <w:p w14:paraId="36F0888C" w14:textId="77777777" w:rsidR="00513AB5" w:rsidRPr="004C6BF5" w:rsidRDefault="00513AB5" w:rsidP="00D530D5">
            <w:pPr>
              <w:pStyle w:val="ListParagraph"/>
              <w:numPr>
                <w:ilvl w:val="0"/>
                <w:numId w:val="174"/>
              </w:numPr>
              <w:spacing w:after="0"/>
              <w:jc w:val="left"/>
              <w:rPr>
                <w:sz w:val="22"/>
                <w:szCs w:val="22"/>
              </w:rPr>
            </w:pPr>
            <w:r w:rsidRPr="004C6BF5">
              <w:rPr>
                <w:sz w:val="22"/>
                <w:szCs w:val="22"/>
              </w:rPr>
              <w:t>FAT Test Data</w:t>
            </w:r>
          </w:p>
          <w:p w14:paraId="44B32AF1" w14:textId="77777777" w:rsidR="00513AB5" w:rsidRPr="004C6BF5" w:rsidRDefault="00513AB5" w:rsidP="00D530D5">
            <w:pPr>
              <w:pStyle w:val="ListParagraph"/>
              <w:numPr>
                <w:ilvl w:val="0"/>
                <w:numId w:val="174"/>
              </w:numPr>
              <w:spacing w:after="0"/>
              <w:jc w:val="left"/>
              <w:rPr>
                <w:sz w:val="22"/>
                <w:szCs w:val="22"/>
              </w:rPr>
            </w:pPr>
            <w:r w:rsidRPr="004C6BF5">
              <w:rPr>
                <w:sz w:val="22"/>
                <w:szCs w:val="22"/>
              </w:rPr>
              <w:t>FAT Report Document</w:t>
            </w:r>
          </w:p>
        </w:tc>
        <w:tc>
          <w:tcPr>
            <w:tcW w:w="1260" w:type="dxa"/>
          </w:tcPr>
          <w:p w14:paraId="28832F5A" w14:textId="77777777" w:rsidR="00513AB5" w:rsidRPr="004242BF" w:rsidRDefault="00513AB5">
            <w:pPr>
              <w:spacing w:after="0"/>
              <w:jc w:val="center"/>
              <w:rPr>
                <w:sz w:val="22"/>
                <w:szCs w:val="22"/>
              </w:rPr>
            </w:pPr>
          </w:p>
        </w:tc>
        <w:tc>
          <w:tcPr>
            <w:tcW w:w="1350" w:type="dxa"/>
          </w:tcPr>
          <w:p w14:paraId="4BBC5454" w14:textId="77777777" w:rsidR="00513AB5" w:rsidRPr="004242BF" w:rsidRDefault="00513AB5">
            <w:pPr>
              <w:spacing w:after="0"/>
              <w:jc w:val="center"/>
              <w:rPr>
                <w:sz w:val="22"/>
                <w:szCs w:val="22"/>
              </w:rPr>
            </w:pPr>
          </w:p>
        </w:tc>
        <w:tc>
          <w:tcPr>
            <w:tcW w:w="1080" w:type="dxa"/>
          </w:tcPr>
          <w:p w14:paraId="12FC030B" w14:textId="77777777" w:rsidR="00513AB5" w:rsidRPr="004242BF" w:rsidRDefault="00513AB5">
            <w:pPr>
              <w:spacing w:after="0"/>
              <w:jc w:val="center"/>
              <w:rPr>
                <w:sz w:val="22"/>
                <w:szCs w:val="22"/>
              </w:rPr>
            </w:pPr>
          </w:p>
        </w:tc>
      </w:tr>
      <w:tr w:rsidR="0057360A" w:rsidRPr="004242BF" w14:paraId="146F2A08" w14:textId="77777777" w:rsidTr="00BF283B">
        <w:trPr>
          <w:cantSplit/>
        </w:trPr>
        <w:tc>
          <w:tcPr>
            <w:tcW w:w="843" w:type="dxa"/>
          </w:tcPr>
          <w:p w14:paraId="45DCA9E5" w14:textId="77777777" w:rsidR="0057360A" w:rsidRPr="004242BF" w:rsidRDefault="0057360A" w:rsidP="0057360A">
            <w:pPr>
              <w:spacing w:after="0"/>
              <w:jc w:val="center"/>
              <w:rPr>
                <w:b/>
                <w:sz w:val="22"/>
                <w:szCs w:val="22"/>
              </w:rPr>
            </w:pPr>
            <w:r w:rsidRPr="004242BF">
              <w:rPr>
                <w:b/>
                <w:sz w:val="22"/>
                <w:szCs w:val="22"/>
              </w:rPr>
              <w:t>6.</w:t>
            </w:r>
          </w:p>
        </w:tc>
        <w:tc>
          <w:tcPr>
            <w:tcW w:w="4394" w:type="dxa"/>
          </w:tcPr>
          <w:p w14:paraId="3D6E811F" w14:textId="57FB2AA7" w:rsidR="0057360A" w:rsidRPr="001136D3" w:rsidRDefault="0057360A" w:rsidP="0057360A">
            <w:pPr>
              <w:spacing w:after="0"/>
              <w:jc w:val="left"/>
              <w:rPr>
                <w:b/>
                <w:szCs w:val="22"/>
              </w:rPr>
            </w:pPr>
            <w:r>
              <w:rPr>
                <w:b/>
                <w:szCs w:val="22"/>
              </w:rPr>
              <w:t xml:space="preserve">Hardware </w:t>
            </w:r>
            <w:r w:rsidRPr="001136D3">
              <w:rPr>
                <w:b/>
                <w:szCs w:val="22"/>
              </w:rPr>
              <w:t>Environment Readiness</w:t>
            </w:r>
          </w:p>
        </w:tc>
        <w:tc>
          <w:tcPr>
            <w:tcW w:w="3575" w:type="dxa"/>
          </w:tcPr>
          <w:p w14:paraId="535C4E50" w14:textId="620190F7" w:rsidR="0057360A" w:rsidRPr="004C6BF5" w:rsidRDefault="0057360A" w:rsidP="0057360A">
            <w:pPr>
              <w:spacing w:after="0"/>
              <w:rPr>
                <w:b/>
                <w:szCs w:val="22"/>
              </w:rPr>
            </w:pPr>
            <w:r w:rsidRPr="004C6BF5">
              <w:rPr>
                <w:b/>
                <w:szCs w:val="22"/>
              </w:rPr>
              <w:t>Hardware environment readiness</w:t>
            </w:r>
          </w:p>
        </w:tc>
        <w:tc>
          <w:tcPr>
            <w:tcW w:w="1260" w:type="dxa"/>
          </w:tcPr>
          <w:p w14:paraId="17353AEA" w14:textId="572AF66B" w:rsidR="0057360A" w:rsidRPr="004242BF" w:rsidRDefault="0057360A" w:rsidP="0057360A">
            <w:pPr>
              <w:spacing w:after="0"/>
              <w:jc w:val="center"/>
              <w:rPr>
                <w:b/>
                <w:sz w:val="22"/>
                <w:szCs w:val="22"/>
              </w:rPr>
            </w:pPr>
            <w:r>
              <w:rPr>
                <w:b/>
                <w:sz w:val="22"/>
                <w:szCs w:val="22"/>
              </w:rPr>
              <w:t>W41</w:t>
            </w:r>
          </w:p>
        </w:tc>
        <w:tc>
          <w:tcPr>
            <w:tcW w:w="1350" w:type="dxa"/>
          </w:tcPr>
          <w:p w14:paraId="7021F367" w14:textId="739654BD" w:rsidR="0057360A" w:rsidRPr="004242BF" w:rsidRDefault="0057360A" w:rsidP="0057360A">
            <w:pPr>
              <w:spacing w:after="0"/>
              <w:jc w:val="center"/>
              <w:rPr>
                <w:b/>
                <w:sz w:val="22"/>
                <w:szCs w:val="22"/>
              </w:rPr>
            </w:pPr>
            <w:r>
              <w:rPr>
                <w:b/>
                <w:sz w:val="22"/>
                <w:szCs w:val="22"/>
              </w:rPr>
              <w:t>W42</w:t>
            </w:r>
          </w:p>
        </w:tc>
        <w:tc>
          <w:tcPr>
            <w:tcW w:w="1080" w:type="dxa"/>
          </w:tcPr>
          <w:p w14:paraId="6183B2CC" w14:textId="77777777" w:rsidR="0057360A" w:rsidRPr="004242BF" w:rsidRDefault="0057360A" w:rsidP="0057360A">
            <w:pPr>
              <w:spacing w:after="0"/>
              <w:jc w:val="center"/>
              <w:rPr>
                <w:b/>
                <w:sz w:val="22"/>
                <w:szCs w:val="22"/>
              </w:rPr>
            </w:pPr>
            <w:r w:rsidRPr="004242BF">
              <w:rPr>
                <w:b/>
                <w:sz w:val="22"/>
                <w:szCs w:val="22"/>
              </w:rPr>
              <w:t>YES</w:t>
            </w:r>
          </w:p>
        </w:tc>
      </w:tr>
      <w:tr w:rsidR="00513AB5" w:rsidRPr="004242BF" w14:paraId="46193C6D" w14:textId="77777777" w:rsidTr="00BF283B">
        <w:trPr>
          <w:cantSplit/>
        </w:trPr>
        <w:tc>
          <w:tcPr>
            <w:tcW w:w="843" w:type="dxa"/>
          </w:tcPr>
          <w:p w14:paraId="07AC3A4B" w14:textId="77777777" w:rsidR="00513AB5" w:rsidRPr="004242BF" w:rsidRDefault="00513AB5">
            <w:pPr>
              <w:spacing w:after="0"/>
              <w:jc w:val="center"/>
              <w:rPr>
                <w:sz w:val="22"/>
                <w:szCs w:val="22"/>
              </w:rPr>
            </w:pPr>
          </w:p>
        </w:tc>
        <w:tc>
          <w:tcPr>
            <w:tcW w:w="4394" w:type="dxa"/>
          </w:tcPr>
          <w:p w14:paraId="74AB77AF" w14:textId="698E5529" w:rsidR="00513AB5" w:rsidRPr="004242BF" w:rsidRDefault="00F11758" w:rsidP="00616CD7">
            <w:pPr>
              <w:spacing w:after="0"/>
              <w:jc w:val="left"/>
              <w:rPr>
                <w:sz w:val="22"/>
                <w:szCs w:val="22"/>
              </w:rPr>
            </w:pPr>
            <w:r>
              <w:rPr>
                <w:sz w:val="22"/>
                <w:szCs w:val="22"/>
              </w:rPr>
              <w:t>6.1 Hardware Environment Readiness</w:t>
            </w:r>
          </w:p>
        </w:tc>
        <w:tc>
          <w:tcPr>
            <w:tcW w:w="3575" w:type="dxa"/>
          </w:tcPr>
          <w:p w14:paraId="6FA0DD1E" w14:textId="5378ABD7" w:rsidR="009D0F89" w:rsidRDefault="009D0F89" w:rsidP="00D530D5">
            <w:pPr>
              <w:pStyle w:val="ListParagraph"/>
              <w:numPr>
                <w:ilvl w:val="0"/>
                <w:numId w:val="175"/>
              </w:numPr>
              <w:spacing w:after="0"/>
              <w:jc w:val="left"/>
              <w:rPr>
                <w:sz w:val="22"/>
                <w:szCs w:val="22"/>
              </w:rPr>
            </w:pPr>
            <w:r>
              <w:rPr>
                <w:sz w:val="22"/>
                <w:szCs w:val="22"/>
              </w:rPr>
              <w:t>Delivery and Installation of Hardware</w:t>
            </w:r>
            <w:r w:rsidR="001446FD">
              <w:rPr>
                <w:sz w:val="22"/>
                <w:szCs w:val="22"/>
              </w:rPr>
              <w:t xml:space="preserve"> </w:t>
            </w:r>
            <w:r w:rsidR="00D743B5">
              <w:rPr>
                <w:sz w:val="22"/>
                <w:szCs w:val="22"/>
              </w:rPr>
              <w:t xml:space="preserve">and Licenses </w:t>
            </w:r>
            <w:r w:rsidR="007D6C5C">
              <w:rPr>
                <w:sz w:val="22"/>
                <w:szCs w:val="22"/>
              </w:rPr>
              <w:t>(</w:t>
            </w:r>
            <w:r w:rsidR="007D6C5C" w:rsidRPr="00616CD7">
              <w:rPr>
                <w:sz w:val="22"/>
                <w:szCs w:val="22"/>
              </w:rPr>
              <w:t>responsibility of the supplier is to deliver the hardware maximum four months prior start of task number 6</w:t>
            </w:r>
            <w:r w:rsidR="007D6C5C">
              <w:rPr>
                <w:sz w:val="22"/>
                <w:szCs w:val="22"/>
              </w:rPr>
              <w:t>)</w:t>
            </w:r>
          </w:p>
          <w:p w14:paraId="517CA651" w14:textId="2D74398E" w:rsidR="00513AB5" w:rsidRPr="00C137BD" w:rsidRDefault="00513AB5" w:rsidP="00D530D5">
            <w:pPr>
              <w:pStyle w:val="ListParagraph"/>
              <w:numPr>
                <w:ilvl w:val="0"/>
                <w:numId w:val="175"/>
              </w:numPr>
              <w:spacing w:after="0"/>
              <w:jc w:val="left"/>
              <w:rPr>
                <w:sz w:val="22"/>
                <w:szCs w:val="22"/>
              </w:rPr>
            </w:pPr>
            <w:r w:rsidRPr="004C6BF5">
              <w:rPr>
                <w:sz w:val="22"/>
                <w:szCs w:val="22"/>
              </w:rPr>
              <w:t>Hardware Environment Readiness Report</w:t>
            </w:r>
          </w:p>
        </w:tc>
        <w:tc>
          <w:tcPr>
            <w:tcW w:w="1260" w:type="dxa"/>
          </w:tcPr>
          <w:p w14:paraId="3605487E" w14:textId="77777777" w:rsidR="00513AB5" w:rsidRPr="004242BF" w:rsidRDefault="00513AB5">
            <w:pPr>
              <w:spacing w:after="0"/>
              <w:jc w:val="center"/>
              <w:rPr>
                <w:sz w:val="22"/>
                <w:szCs w:val="22"/>
              </w:rPr>
            </w:pPr>
          </w:p>
        </w:tc>
        <w:tc>
          <w:tcPr>
            <w:tcW w:w="1350" w:type="dxa"/>
          </w:tcPr>
          <w:p w14:paraId="03BAE62A" w14:textId="77777777" w:rsidR="00513AB5" w:rsidRPr="004242BF" w:rsidRDefault="00513AB5">
            <w:pPr>
              <w:spacing w:after="0"/>
              <w:jc w:val="center"/>
              <w:rPr>
                <w:sz w:val="22"/>
                <w:szCs w:val="22"/>
              </w:rPr>
            </w:pPr>
          </w:p>
        </w:tc>
        <w:tc>
          <w:tcPr>
            <w:tcW w:w="1080" w:type="dxa"/>
          </w:tcPr>
          <w:p w14:paraId="341C8B50" w14:textId="77777777" w:rsidR="00513AB5" w:rsidRPr="004242BF" w:rsidRDefault="00513AB5">
            <w:pPr>
              <w:spacing w:after="0"/>
              <w:jc w:val="center"/>
              <w:rPr>
                <w:sz w:val="22"/>
                <w:szCs w:val="22"/>
              </w:rPr>
            </w:pPr>
          </w:p>
        </w:tc>
      </w:tr>
      <w:tr w:rsidR="00D743B5" w:rsidRPr="004242BF" w14:paraId="6BEF9D35" w14:textId="77777777" w:rsidTr="00BF283B">
        <w:trPr>
          <w:cantSplit/>
        </w:trPr>
        <w:tc>
          <w:tcPr>
            <w:tcW w:w="843" w:type="dxa"/>
          </w:tcPr>
          <w:p w14:paraId="7484021D" w14:textId="77777777" w:rsidR="00D743B5" w:rsidRPr="004242BF" w:rsidRDefault="00D743B5">
            <w:pPr>
              <w:spacing w:after="0"/>
              <w:jc w:val="center"/>
              <w:rPr>
                <w:sz w:val="22"/>
                <w:szCs w:val="22"/>
              </w:rPr>
            </w:pPr>
          </w:p>
        </w:tc>
        <w:tc>
          <w:tcPr>
            <w:tcW w:w="4394" w:type="dxa"/>
          </w:tcPr>
          <w:p w14:paraId="2E716E69" w14:textId="71B63067" w:rsidR="00230EB9" w:rsidRPr="00616CD7" w:rsidRDefault="00D743B5" w:rsidP="00230EB9">
            <w:pPr>
              <w:spacing w:after="0"/>
              <w:jc w:val="left"/>
              <w:rPr>
                <w:bCs/>
                <w:sz w:val="20"/>
                <w:szCs w:val="22"/>
              </w:rPr>
            </w:pPr>
            <w:proofErr w:type="gramStart"/>
            <w:r w:rsidRPr="00616CD7">
              <w:rPr>
                <w:sz w:val="22"/>
                <w:szCs w:val="22"/>
              </w:rPr>
              <w:t xml:space="preserve">6.2 </w:t>
            </w:r>
            <w:r w:rsidR="00230EB9" w:rsidRPr="00616CD7">
              <w:rPr>
                <w:b/>
                <w:bCs/>
                <w:sz w:val="22"/>
                <w:szCs w:val="22"/>
              </w:rPr>
              <w:t xml:space="preserve"> </w:t>
            </w:r>
            <w:r w:rsidR="00230EB9" w:rsidRPr="00616CD7">
              <w:rPr>
                <w:bCs/>
                <w:sz w:val="20"/>
                <w:szCs w:val="22"/>
              </w:rPr>
              <w:t>Software</w:t>
            </w:r>
            <w:proofErr w:type="gramEnd"/>
            <w:r w:rsidR="00230EB9" w:rsidRPr="00616CD7">
              <w:rPr>
                <w:bCs/>
                <w:sz w:val="20"/>
                <w:szCs w:val="22"/>
              </w:rPr>
              <w:t xml:space="preserve"> license – Relational Database Management System </w:t>
            </w:r>
          </w:p>
          <w:p w14:paraId="7B24F854" w14:textId="77777777" w:rsidR="00230EB9" w:rsidRPr="00616CD7" w:rsidRDefault="00230EB9" w:rsidP="00230EB9">
            <w:pPr>
              <w:numPr>
                <w:ilvl w:val="0"/>
                <w:numId w:val="205"/>
              </w:numPr>
              <w:spacing w:after="0"/>
              <w:ind w:left="140" w:hanging="140"/>
              <w:jc w:val="left"/>
              <w:rPr>
                <w:bCs/>
                <w:sz w:val="20"/>
                <w:szCs w:val="22"/>
              </w:rPr>
            </w:pPr>
            <w:r w:rsidRPr="00616CD7">
              <w:rPr>
                <w:bCs/>
                <w:sz w:val="20"/>
                <w:szCs w:val="22"/>
              </w:rPr>
              <w:t>Type 1 (Gov) 4 for Primary Site</w:t>
            </w:r>
          </w:p>
          <w:p w14:paraId="0751F572" w14:textId="08032166" w:rsidR="00D743B5" w:rsidRPr="00616CD7" w:rsidRDefault="00230EB9" w:rsidP="00F60631">
            <w:pPr>
              <w:numPr>
                <w:ilvl w:val="0"/>
                <w:numId w:val="205"/>
              </w:numPr>
              <w:spacing w:after="0"/>
              <w:ind w:left="140" w:hanging="140"/>
              <w:jc w:val="left"/>
              <w:rPr>
                <w:b/>
                <w:bCs/>
                <w:sz w:val="20"/>
                <w:szCs w:val="22"/>
              </w:rPr>
            </w:pPr>
            <w:r w:rsidRPr="00616CD7">
              <w:rPr>
                <w:bCs/>
                <w:sz w:val="20"/>
                <w:szCs w:val="22"/>
              </w:rPr>
              <w:t>Type 2 (Gov) for DR site</w:t>
            </w:r>
          </w:p>
        </w:tc>
        <w:tc>
          <w:tcPr>
            <w:tcW w:w="3575" w:type="dxa"/>
          </w:tcPr>
          <w:p w14:paraId="6E41C0E5" w14:textId="49F79E17" w:rsidR="00D743B5" w:rsidRDefault="00D743B5" w:rsidP="00D530D5">
            <w:pPr>
              <w:pStyle w:val="ListParagraph"/>
              <w:numPr>
                <w:ilvl w:val="0"/>
                <w:numId w:val="175"/>
              </w:numPr>
              <w:spacing w:after="0"/>
              <w:jc w:val="left"/>
              <w:rPr>
                <w:sz w:val="22"/>
                <w:szCs w:val="22"/>
              </w:rPr>
            </w:pPr>
            <w:r w:rsidRPr="00616CD7">
              <w:rPr>
                <w:sz w:val="22"/>
                <w:szCs w:val="22"/>
              </w:rPr>
              <w:t>Delivery and Installation of Licenses maximum four months prior start of task number 6</w:t>
            </w:r>
          </w:p>
        </w:tc>
        <w:tc>
          <w:tcPr>
            <w:tcW w:w="1260" w:type="dxa"/>
          </w:tcPr>
          <w:p w14:paraId="6B921104" w14:textId="77777777" w:rsidR="00D743B5" w:rsidRPr="004242BF" w:rsidRDefault="00D743B5">
            <w:pPr>
              <w:spacing w:after="0"/>
              <w:jc w:val="center"/>
              <w:rPr>
                <w:sz w:val="22"/>
                <w:szCs w:val="22"/>
              </w:rPr>
            </w:pPr>
          </w:p>
        </w:tc>
        <w:tc>
          <w:tcPr>
            <w:tcW w:w="1350" w:type="dxa"/>
          </w:tcPr>
          <w:p w14:paraId="5DA3C229" w14:textId="77777777" w:rsidR="00D743B5" w:rsidRPr="004242BF" w:rsidRDefault="00D743B5">
            <w:pPr>
              <w:spacing w:after="0"/>
              <w:jc w:val="center"/>
              <w:rPr>
                <w:sz w:val="22"/>
                <w:szCs w:val="22"/>
              </w:rPr>
            </w:pPr>
          </w:p>
        </w:tc>
        <w:tc>
          <w:tcPr>
            <w:tcW w:w="1080" w:type="dxa"/>
          </w:tcPr>
          <w:p w14:paraId="6E5C7489" w14:textId="77777777" w:rsidR="00D743B5" w:rsidRPr="004242BF" w:rsidRDefault="00D743B5">
            <w:pPr>
              <w:spacing w:after="0"/>
              <w:jc w:val="center"/>
              <w:rPr>
                <w:sz w:val="22"/>
                <w:szCs w:val="22"/>
              </w:rPr>
            </w:pPr>
          </w:p>
        </w:tc>
      </w:tr>
      <w:tr w:rsidR="00FC3DB1" w:rsidRPr="004242BF" w14:paraId="6AAAF584" w14:textId="77777777" w:rsidTr="00BF283B">
        <w:trPr>
          <w:cantSplit/>
        </w:trPr>
        <w:tc>
          <w:tcPr>
            <w:tcW w:w="843" w:type="dxa"/>
          </w:tcPr>
          <w:p w14:paraId="32551D40" w14:textId="1E2574A7" w:rsidR="00FC3DB1" w:rsidRPr="00FC3DB1" w:rsidRDefault="00FC3DB1" w:rsidP="00FC3DB1">
            <w:pPr>
              <w:spacing w:after="0"/>
              <w:jc w:val="center"/>
              <w:rPr>
                <w:b/>
                <w:sz w:val="22"/>
                <w:szCs w:val="22"/>
              </w:rPr>
            </w:pPr>
            <w:r w:rsidRPr="00FC3DB1">
              <w:rPr>
                <w:b/>
                <w:sz w:val="22"/>
                <w:szCs w:val="22"/>
              </w:rPr>
              <w:t>7.</w:t>
            </w:r>
          </w:p>
        </w:tc>
        <w:tc>
          <w:tcPr>
            <w:tcW w:w="4394" w:type="dxa"/>
          </w:tcPr>
          <w:p w14:paraId="064FE1E4" w14:textId="4ACE7B7F" w:rsidR="00FC3DB1" w:rsidRPr="004242BF" w:rsidRDefault="00FC3DB1" w:rsidP="00FC3DB1">
            <w:pPr>
              <w:spacing w:after="0"/>
              <w:jc w:val="left"/>
              <w:rPr>
                <w:sz w:val="22"/>
                <w:szCs w:val="22"/>
              </w:rPr>
            </w:pPr>
            <w:r>
              <w:rPr>
                <w:b/>
                <w:szCs w:val="22"/>
              </w:rPr>
              <w:t xml:space="preserve">Software </w:t>
            </w:r>
            <w:r w:rsidRPr="001136D3">
              <w:rPr>
                <w:b/>
                <w:szCs w:val="22"/>
              </w:rPr>
              <w:t>Environment Readiness</w:t>
            </w:r>
          </w:p>
        </w:tc>
        <w:tc>
          <w:tcPr>
            <w:tcW w:w="3575" w:type="dxa"/>
          </w:tcPr>
          <w:p w14:paraId="41999FCD" w14:textId="38812D31" w:rsidR="00FC3DB1" w:rsidRPr="00F11758" w:rsidRDefault="00FC3DB1" w:rsidP="00F11758">
            <w:pPr>
              <w:spacing w:after="0"/>
              <w:jc w:val="left"/>
              <w:rPr>
                <w:sz w:val="22"/>
                <w:szCs w:val="22"/>
              </w:rPr>
            </w:pPr>
            <w:r w:rsidRPr="00F11758">
              <w:rPr>
                <w:b/>
                <w:szCs w:val="22"/>
              </w:rPr>
              <w:t>Software environment readiness</w:t>
            </w:r>
          </w:p>
        </w:tc>
        <w:tc>
          <w:tcPr>
            <w:tcW w:w="1260" w:type="dxa"/>
          </w:tcPr>
          <w:p w14:paraId="3D944940" w14:textId="2B8008C7" w:rsidR="00FC3DB1" w:rsidRPr="004242BF" w:rsidRDefault="0057360A" w:rsidP="00FC3DB1">
            <w:pPr>
              <w:spacing w:after="0"/>
              <w:jc w:val="center"/>
              <w:rPr>
                <w:sz w:val="22"/>
                <w:szCs w:val="22"/>
              </w:rPr>
            </w:pPr>
            <w:r>
              <w:rPr>
                <w:b/>
                <w:sz w:val="22"/>
                <w:szCs w:val="22"/>
              </w:rPr>
              <w:t>W41</w:t>
            </w:r>
          </w:p>
        </w:tc>
        <w:tc>
          <w:tcPr>
            <w:tcW w:w="1350" w:type="dxa"/>
          </w:tcPr>
          <w:p w14:paraId="7CCAE48D" w14:textId="67E26B7D" w:rsidR="00FC3DB1" w:rsidRPr="004242BF" w:rsidRDefault="0057360A" w:rsidP="00FC3DB1">
            <w:pPr>
              <w:spacing w:after="0"/>
              <w:jc w:val="center"/>
              <w:rPr>
                <w:sz w:val="22"/>
                <w:szCs w:val="22"/>
              </w:rPr>
            </w:pPr>
            <w:r>
              <w:rPr>
                <w:b/>
                <w:sz w:val="22"/>
                <w:szCs w:val="22"/>
              </w:rPr>
              <w:t>W42</w:t>
            </w:r>
          </w:p>
        </w:tc>
        <w:tc>
          <w:tcPr>
            <w:tcW w:w="1080" w:type="dxa"/>
          </w:tcPr>
          <w:p w14:paraId="0EAF004B" w14:textId="0F67DA11" w:rsidR="00FC3DB1" w:rsidRPr="004242BF" w:rsidRDefault="00FC3DB1" w:rsidP="00FC3DB1">
            <w:pPr>
              <w:spacing w:after="0"/>
              <w:jc w:val="center"/>
              <w:rPr>
                <w:sz w:val="22"/>
                <w:szCs w:val="22"/>
              </w:rPr>
            </w:pPr>
            <w:r w:rsidRPr="004242BF">
              <w:rPr>
                <w:b/>
                <w:sz w:val="22"/>
                <w:szCs w:val="22"/>
              </w:rPr>
              <w:t>YES</w:t>
            </w:r>
          </w:p>
        </w:tc>
      </w:tr>
      <w:tr w:rsidR="00FC3DB1" w:rsidRPr="004242BF" w14:paraId="4E95D45B" w14:textId="77777777" w:rsidTr="00BF283B">
        <w:trPr>
          <w:cantSplit/>
        </w:trPr>
        <w:tc>
          <w:tcPr>
            <w:tcW w:w="843" w:type="dxa"/>
          </w:tcPr>
          <w:p w14:paraId="07A7FB85" w14:textId="6BA0B5B5" w:rsidR="00FC3DB1" w:rsidRDefault="00FC3DB1" w:rsidP="00FC3DB1">
            <w:pPr>
              <w:spacing w:after="0"/>
              <w:jc w:val="center"/>
              <w:rPr>
                <w:sz w:val="22"/>
                <w:szCs w:val="22"/>
              </w:rPr>
            </w:pPr>
          </w:p>
        </w:tc>
        <w:tc>
          <w:tcPr>
            <w:tcW w:w="4394" w:type="dxa"/>
          </w:tcPr>
          <w:p w14:paraId="5268E147" w14:textId="3418284F" w:rsidR="00FC3DB1" w:rsidRPr="001136D3" w:rsidRDefault="00F11758" w:rsidP="00616CD7">
            <w:pPr>
              <w:spacing w:after="0"/>
              <w:jc w:val="left"/>
              <w:rPr>
                <w:b/>
                <w:szCs w:val="22"/>
              </w:rPr>
            </w:pPr>
            <w:r>
              <w:rPr>
                <w:sz w:val="22"/>
                <w:szCs w:val="22"/>
              </w:rPr>
              <w:t>7.1 Software Environment Readiness</w:t>
            </w:r>
          </w:p>
        </w:tc>
        <w:tc>
          <w:tcPr>
            <w:tcW w:w="3575" w:type="dxa"/>
          </w:tcPr>
          <w:p w14:paraId="78C497DC" w14:textId="18C83008" w:rsidR="00FC3DB1" w:rsidRPr="00F11758" w:rsidRDefault="00C137BD" w:rsidP="00D530D5">
            <w:pPr>
              <w:pStyle w:val="ListParagraph"/>
              <w:numPr>
                <w:ilvl w:val="0"/>
                <w:numId w:val="175"/>
              </w:numPr>
              <w:spacing w:after="0"/>
              <w:jc w:val="left"/>
              <w:rPr>
                <w:b/>
                <w:szCs w:val="22"/>
              </w:rPr>
            </w:pPr>
            <w:r w:rsidRPr="004C6BF5">
              <w:rPr>
                <w:sz w:val="22"/>
                <w:szCs w:val="22"/>
              </w:rPr>
              <w:t>Software Environment Readiness Report</w:t>
            </w:r>
          </w:p>
          <w:p w14:paraId="1C9730F8" w14:textId="7969DCF9" w:rsidR="00F11758" w:rsidRPr="00F11758" w:rsidRDefault="00F11758" w:rsidP="00D530D5">
            <w:pPr>
              <w:pStyle w:val="ListParagraph"/>
              <w:numPr>
                <w:ilvl w:val="0"/>
                <w:numId w:val="175"/>
              </w:numPr>
              <w:spacing w:after="0"/>
              <w:jc w:val="left"/>
              <w:rPr>
                <w:sz w:val="22"/>
                <w:szCs w:val="22"/>
              </w:rPr>
            </w:pPr>
            <w:r>
              <w:rPr>
                <w:sz w:val="22"/>
                <w:szCs w:val="22"/>
              </w:rPr>
              <w:t>Delivery and installation of licenses</w:t>
            </w:r>
          </w:p>
        </w:tc>
        <w:tc>
          <w:tcPr>
            <w:tcW w:w="1260" w:type="dxa"/>
          </w:tcPr>
          <w:p w14:paraId="6F3E5B34" w14:textId="77777777" w:rsidR="00FC3DB1" w:rsidRPr="004242BF" w:rsidRDefault="00FC3DB1" w:rsidP="00FC3DB1">
            <w:pPr>
              <w:spacing w:after="0"/>
              <w:jc w:val="center"/>
              <w:rPr>
                <w:sz w:val="22"/>
                <w:szCs w:val="22"/>
              </w:rPr>
            </w:pPr>
          </w:p>
        </w:tc>
        <w:tc>
          <w:tcPr>
            <w:tcW w:w="1350" w:type="dxa"/>
          </w:tcPr>
          <w:p w14:paraId="463DD42C" w14:textId="77777777" w:rsidR="00FC3DB1" w:rsidRPr="004242BF" w:rsidRDefault="00FC3DB1" w:rsidP="00FC3DB1">
            <w:pPr>
              <w:spacing w:after="0"/>
              <w:jc w:val="center"/>
              <w:rPr>
                <w:sz w:val="22"/>
                <w:szCs w:val="22"/>
              </w:rPr>
            </w:pPr>
          </w:p>
        </w:tc>
        <w:tc>
          <w:tcPr>
            <w:tcW w:w="1080" w:type="dxa"/>
          </w:tcPr>
          <w:p w14:paraId="4D01869B" w14:textId="2418EF4A" w:rsidR="00FC3DB1" w:rsidRDefault="00FC3DB1" w:rsidP="00FC3DB1">
            <w:pPr>
              <w:spacing w:after="0"/>
              <w:jc w:val="center"/>
              <w:rPr>
                <w:sz w:val="22"/>
                <w:szCs w:val="22"/>
              </w:rPr>
            </w:pPr>
          </w:p>
        </w:tc>
      </w:tr>
      <w:tr w:rsidR="00FC3DB1" w:rsidRPr="004C6BF5" w14:paraId="5F627F70" w14:textId="77777777" w:rsidTr="00BF283B">
        <w:trPr>
          <w:cantSplit/>
        </w:trPr>
        <w:tc>
          <w:tcPr>
            <w:tcW w:w="843" w:type="dxa"/>
          </w:tcPr>
          <w:p w14:paraId="512FFC8F" w14:textId="45B697DA" w:rsidR="00FC3DB1" w:rsidRPr="004C6BF5" w:rsidRDefault="00C137BD" w:rsidP="00FC3DB1">
            <w:pPr>
              <w:spacing w:after="0"/>
              <w:jc w:val="center"/>
              <w:rPr>
                <w:b/>
                <w:szCs w:val="24"/>
              </w:rPr>
            </w:pPr>
            <w:r>
              <w:rPr>
                <w:b/>
                <w:szCs w:val="24"/>
              </w:rPr>
              <w:t>8</w:t>
            </w:r>
            <w:r w:rsidR="00FC3DB1" w:rsidRPr="004C6BF5">
              <w:rPr>
                <w:b/>
                <w:szCs w:val="24"/>
              </w:rPr>
              <w:t xml:space="preserve">. </w:t>
            </w:r>
          </w:p>
        </w:tc>
        <w:tc>
          <w:tcPr>
            <w:tcW w:w="4394" w:type="dxa"/>
          </w:tcPr>
          <w:p w14:paraId="38F8E76C" w14:textId="77777777" w:rsidR="00FC3DB1" w:rsidRPr="004C6BF5" w:rsidRDefault="00FC3DB1" w:rsidP="00FC3DB1">
            <w:pPr>
              <w:spacing w:after="0"/>
              <w:jc w:val="left"/>
              <w:rPr>
                <w:b/>
                <w:szCs w:val="24"/>
              </w:rPr>
            </w:pPr>
            <w:r w:rsidRPr="004C6BF5">
              <w:rPr>
                <w:b/>
                <w:szCs w:val="24"/>
              </w:rPr>
              <w:t>Pilot Deployment</w:t>
            </w:r>
          </w:p>
        </w:tc>
        <w:tc>
          <w:tcPr>
            <w:tcW w:w="3575" w:type="dxa"/>
          </w:tcPr>
          <w:p w14:paraId="3FD2DC2C" w14:textId="77777777" w:rsidR="00FC3DB1" w:rsidRPr="004C6BF5" w:rsidRDefault="00FC3DB1" w:rsidP="00FC3DB1">
            <w:pPr>
              <w:spacing w:after="0"/>
              <w:jc w:val="left"/>
              <w:rPr>
                <w:b/>
                <w:szCs w:val="24"/>
              </w:rPr>
            </w:pPr>
            <w:r w:rsidRPr="00766725">
              <w:rPr>
                <w:b/>
                <w:szCs w:val="24"/>
              </w:rPr>
              <w:t>Pilot</w:t>
            </w:r>
            <w:r w:rsidRPr="004C6BF5">
              <w:rPr>
                <w:b/>
                <w:szCs w:val="24"/>
              </w:rPr>
              <w:t xml:space="preserve"> Deployment software packages: </w:t>
            </w:r>
          </w:p>
          <w:p w14:paraId="175557D5" w14:textId="77777777" w:rsidR="00FC3DB1" w:rsidRPr="004C6BF5" w:rsidRDefault="00FC3DB1" w:rsidP="00FC3DB1">
            <w:pPr>
              <w:spacing w:after="0"/>
              <w:jc w:val="center"/>
              <w:rPr>
                <w:szCs w:val="24"/>
              </w:rPr>
            </w:pPr>
          </w:p>
        </w:tc>
        <w:tc>
          <w:tcPr>
            <w:tcW w:w="1260" w:type="dxa"/>
          </w:tcPr>
          <w:p w14:paraId="401743AC" w14:textId="35A6EFF5" w:rsidR="00FC3DB1" w:rsidRPr="004C6BF5" w:rsidRDefault="00FC3DB1" w:rsidP="0057360A">
            <w:pPr>
              <w:spacing w:after="0"/>
              <w:jc w:val="center"/>
              <w:rPr>
                <w:b/>
                <w:szCs w:val="24"/>
              </w:rPr>
            </w:pPr>
            <w:r w:rsidRPr="004C6BF5">
              <w:rPr>
                <w:b/>
                <w:szCs w:val="24"/>
              </w:rPr>
              <w:t>W4</w:t>
            </w:r>
            <w:r w:rsidR="0057360A">
              <w:rPr>
                <w:b/>
                <w:szCs w:val="24"/>
              </w:rPr>
              <w:t>2</w:t>
            </w:r>
          </w:p>
        </w:tc>
        <w:tc>
          <w:tcPr>
            <w:tcW w:w="1350" w:type="dxa"/>
          </w:tcPr>
          <w:p w14:paraId="578BE74A" w14:textId="42BF18C6" w:rsidR="00FC3DB1" w:rsidRPr="004C6BF5" w:rsidRDefault="00FC3DB1" w:rsidP="00FC3DB1">
            <w:pPr>
              <w:spacing w:after="0"/>
              <w:jc w:val="center"/>
              <w:rPr>
                <w:b/>
                <w:szCs w:val="24"/>
              </w:rPr>
            </w:pPr>
            <w:r w:rsidRPr="004C6BF5">
              <w:rPr>
                <w:b/>
                <w:szCs w:val="24"/>
              </w:rPr>
              <w:t>W</w:t>
            </w:r>
            <w:r w:rsidR="0057360A">
              <w:rPr>
                <w:b/>
                <w:szCs w:val="24"/>
              </w:rPr>
              <w:t>44</w:t>
            </w:r>
          </w:p>
        </w:tc>
        <w:tc>
          <w:tcPr>
            <w:tcW w:w="1080" w:type="dxa"/>
          </w:tcPr>
          <w:p w14:paraId="2D34D880" w14:textId="615E8D52" w:rsidR="00FC3DB1" w:rsidRPr="004C6BF5" w:rsidRDefault="00FC3DB1" w:rsidP="00FC3DB1">
            <w:pPr>
              <w:spacing w:after="0"/>
              <w:jc w:val="center"/>
              <w:rPr>
                <w:b/>
                <w:szCs w:val="24"/>
              </w:rPr>
            </w:pPr>
            <w:r w:rsidRPr="004C6BF5">
              <w:rPr>
                <w:b/>
                <w:szCs w:val="24"/>
              </w:rPr>
              <w:t>YES</w:t>
            </w:r>
          </w:p>
        </w:tc>
      </w:tr>
      <w:tr w:rsidR="00FC3DB1" w:rsidRPr="004242BF" w14:paraId="6AFFC2A5" w14:textId="77777777" w:rsidTr="00BF283B">
        <w:trPr>
          <w:cantSplit/>
        </w:trPr>
        <w:tc>
          <w:tcPr>
            <w:tcW w:w="843" w:type="dxa"/>
          </w:tcPr>
          <w:p w14:paraId="60BFDCD4" w14:textId="38EFC4D2" w:rsidR="00FC3DB1" w:rsidRPr="004242BF" w:rsidRDefault="00FC3DB1" w:rsidP="00FC3DB1">
            <w:pPr>
              <w:spacing w:after="0"/>
              <w:jc w:val="center"/>
              <w:rPr>
                <w:sz w:val="22"/>
                <w:szCs w:val="22"/>
              </w:rPr>
            </w:pPr>
          </w:p>
        </w:tc>
        <w:tc>
          <w:tcPr>
            <w:tcW w:w="4394" w:type="dxa"/>
          </w:tcPr>
          <w:p w14:paraId="3B87957F" w14:textId="6E8DE79E" w:rsidR="00FC3DB1" w:rsidRPr="004242BF" w:rsidRDefault="00C137BD" w:rsidP="00FC3DB1">
            <w:pPr>
              <w:spacing w:after="0"/>
              <w:jc w:val="left"/>
              <w:rPr>
                <w:sz w:val="22"/>
                <w:szCs w:val="22"/>
              </w:rPr>
            </w:pPr>
            <w:r>
              <w:rPr>
                <w:sz w:val="22"/>
                <w:szCs w:val="22"/>
              </w:rPr>
              <w:t>8</w:t>
            </w:r>
            <w:r w:rsidR="00FC3DB1" w:rsidRPr="004242BF">
              <w:rPr>
                <w:sz w:val="22"/>
                <w:szCs w:val="22"/>
              </w:rPr>
              <w:t>.1 NSW Trader Portal</w:t>
            </w:r>
          </w:p>
          <w:p w14:paraId="5B7EF2DD" w14:textId="4428182C" w:rsidR="00FC3DB1" w:rsidRPr="004242BF" w:rsidRDefault="00C137BD" w:rsidP="00FC3DB1">
            <w:pPr>
              <w:spacing w:after="0"/>
              <w:jc w:val="left"/>
              <w:rPr>
                <w:bCs/>
                <w:sz w:val="22"/>
                <w:szCs w:val="22"/>
              </w:rPr>
            </w:pPr>
            <w:r>
              <w:rPr>
                <w:bCs/>
                <w:sz w:val="22"/>
                <w:szCs w:val="22"/>
              </w:rPr>
              <w:t>8</w:t>
            </w:r>
            <w:r w:rsidR="00FC3DB1" w:rsidRPr="004242BF">
              <w:rPr>
                <w:bCs/>
                <w:sz w:val="22"/>
                <w:szCs w:val="22"/>
              </w:rPr>
              <w:t>.2 NSW Help Desk</w:t>
            </w:r>
          </w:p>
          <w:p w14:paraId="3037FE4C" w14:textId="0C5BDBD4" w:rsidR="00FC3DB1" w:rsidRPr="004242BF" w:rsidRDefault="00C137BD" w:rsidP="00FC3DB1">
            <w:pPr>
              <w:spacing w:after="0"/>
              <w:jc w:val="left"/>
              <w:rPr>
                <w:bCs/>
                <w:sz w:val="22"/>
                <w:szCs w:val="22"/>
              </w:rPr>
            </w:pPr>
            <w:r>
              <w:rPr>
                <w:bCs/>
                <w:sz w:val="22"/>
                <w:szCs w:val="22"/>
              </w:rPr>
              <w:t>8</w:t>
            </w:r>
            <w:r w:rsidR="00FC3DB1" w:rsidRPr="004242BF">
              <w:rPr>
                <w:bCs/>
                <w:sz w:val="22"/>
                <w:szCs w:val="22"/>
              </w:rPr>
              <w:t>.3 Registration of Traders and Competent Authority</w:t>
            </w:r>
          </w:p>
          <w:p w14:paraId="6F2386AB" w14:textId="0F3E0711" w:rsidR="00FC3DB1" w:rsidRPr="004242BF" w:rsidRDefault="00C137BD" w:rsidP="00FC3DB1">
            <w:pPr>
              <w:spacing w:after="0"/>
              <w:jc w:val="left"/>
              <w:rPr>
                <w:bCs/>
                <w:sz w:val="22"/>
                <w:szCs w:val="22"/>
              </w:rPr>
            </w:pPr>
            <w:r>
              <w:rPr>
                <w:bCs/>
                <w:sz w:val="22"/>
                <w:szCs w:val="22"/>
              </w:rPr>
              <w:t>8</w:t>
            </w:r>
            <w:r w:rsidR="00FC3DB1" w:rsidRPr="004242BF">
              <w:rPr>
                <w:bCs/>
                <w:sz w:val="22"/>
                <w:szCs w:val="22"/>
              </w:rPr>
              <w:t>.4 LPCO Application</w:t>
            </w:r>
          </w:p>
          <w:p w14:paraId="40F23EE3" w14:textId="3BABF6B7" w:rsidR="00FC3DB1" w:rsidRPr="004242BF" w:rsidRDefault="00C137BD" w:rsidP="00FC3DB1">
            <w:pPr>
              <w:spacing w:after="0"/>
              <w:jc w:val="left"/>
              <w:rPr>
                <w:bCs/>
                <w:sz w:val="22"/>
                <w:szCs w:val="22"/>
              </w:rPr>
            </w:pPr>
            <w:r>
              <w:rPr>
                <w:bCs/>
                <w:sz w:val="22"/>
                <w:szCs w:val="22"/>
              </w:rPr>
              <w:t>8</w:t>
            </w:r>
            <w:r w:rsidR="00FC3DB1" w:rsidRPr="004242BF">
              <w:rPr>
                <w:bCs/>
                <w:sz w:val="22"/>
                <w:szCs w:val="22"/>
              </w:rPr>
              <w:t>.5 LPCO Management</w:t>
            </w:r>
          </w:p>
          <w:p w14:paraId="2863728B" w14:textId="5DD188A9" w:rsidR="00FC3DB1" w:rsidRPr="004242BF" w:rsidRDefault="00C137BD" w:rsidP="00FC3DB1">
            <w:pPr>
              <w:spacing w:after="0"/>
              <w:jc w:val="left"/>
              <w:rPr>
                <w:bCs/>
                <w:sz w:val="22"/>
                <w:szCs w:val="22"/>
              </w:rPr>
            </w:pPr>
            <w:r>
              <w:rPr>
                <w:bCs/>
                <w:sz w:val="22"/>
                <w:szCs w:val="22"/>
              </w:rPr>
              <w:t>8</w:t>
            </w:r>
            <w:r w:rsidR="00FC3DB1" w:rsidRPr="004242BF">
              <w:rPr>
                <w:bCs/>
                <w:sz w:val="22"/>
                <w:szCs w:val="22"/>
              </w:rPr>
              <w:t>.6 Payment Management</w:t>
            </w:r>
          </w:p>
          <w:p w14:paraId="0A2DFD71" w14:textId="68C01529" w:rsidR="00FC3DB1" w:rsidRPr="004242BF" w:rsidRDefault="00C137BD" w:rsidP="00FC3DB1">
            <w:pPr>
              <w:spacing w:after="0"/>
              <w:jc w:val="left"/>
              <w:rPr>
                <w:bCs/>
                <w:sz w:val="22"/>
                <w:szCs w:val="22"/>
              </w:rPr>
            </w:pPr>
            <w:r>
              <w:rPr>
                <w:bCs/>
                <w:sz w:val="22"/>
                <w:szCs w:val="22"/>
              </w:rPr>
              <w:t>8</w:t>
            </w:r>
            <w:r w:rsidR="00FC3DB1" w:rsidRPr="004242BF">
              <w:rPr>
                <w:bCs/>
                <w:sz w:val="22"/>
                <w:szCs w:val="22"/>
              </w:rPr>
              <w:t>.7 Payment Processing</w:t>
            </w:r>
          </w:p>
          <w:p w14:paraId="21607B58" w14:textId="27EBA7F4" w:rsidR="00FC3DB1" w:rsidRPr="004242BF" w:rsidRDefault="00C137BD" w:rsidP="00FC3DB1">
            <w:pPr>
              <w:spacing w:after="0"/>
              <w:jc w:val="left"/>
              <w:rPr>
                <w:bCs/>
                <w:sz w:val="22"/>
                <w:szCs w:val="22"/>
              </w:rPr>
            </w:pPr>
            <w:r>
              <w:rPr>
                <w:bCs/>
                <w:sz w:val="22"/>
                <w:szCs w:val="22"/>
              </w:rPr>
              <w:t>8</w:t>
            </w:r>
            <w:r w:rsidR="00FC3DB1" w:rsidRPr="004242BF">
              <w:rPr>
                <w:bCs/>
                <w:sz w:val="22"/>
                <w:szCs w:val="22"/>
              </w:rPr>
              <w:t>.8 Notification Management</w:t>
            </w:r>
          </w:p>
          <w:p w14:paraId="0D68A7A7" w14:textId="40B262DA" w:rsidR="00FC3DB1" w:rsidRPr="004242BF" w:rsidRDefault="00C137BD" w:rsidP="00FC3DB1">
            <w:pPr>
              <w:spacing w:after="0"/>
              <w:jc w:val="left"/>
              <w:rPr>
                <w:bCs/>
                <w:sz w:val="22"/>
                <w:szCs w:val="22"/>
              </w:rPr>
            </w:pPr>
            <w:r>
              <w:rPr>
                <w:bCs/>
                <w:sz w:val="22"/>
                <w:szCs w:val="22"/>
              </w:rPr>
              <w:t>8</w:t>
            </w:r>
            <w:r w:rsidR="00FC3DB1" w:rsidRPr="004242BF">
              <w:rPr>
                <w:bCs/>
                <w:sz w:val="22"/>
                <w:szCs w:val="22"/>
              </w:rPr>
              <w:t>.9 LPCO Designer</w:t>
            </w:r>
          </w:p>
          <w:p w14:paraId="02F46C7E" w14:textId="5CA83242" w:rsidR="00FC3DB1" w:rsidRPr="004242BF" w:rsidRDefault="00C137BD" w:rsidP="00FC3DB1">
            <w:pPr>
              <w:spacing w:after="0"/>
              <w:jc w:val="left"/>
              <w:rPr>
                <w:bCs/>
                <w:sz w:val="22"/>
                <w:szCs w:val="22"/>
              </w:rPr>
            </w:pPr>
            <w:r>
              <w:rPr>
                <w:bCs/>
                <w:sz w:val="22"/>
                <w:szCs w:val="22"/>
              </w:rPr>
              <w:t>8</w:t>
            </w:r>
            <w:r w:rsidR="00FC3DB1" w:rsidRPr="004242BF">
              <w:rPr>
                <w:bCs/>
                <w:sz w:val="22"/>
                <w:szCs w:val="22"/>
              </w:rPr>
              <w:t>.10 Inspection Control Results </w:t>
            </w:r>
          </w:p>
          <w:p w14:paraId="75F2C170" w14:textId="06F0F976" w:rsidR="00FC3DB1" w:rsidRPr="004242BF" w:rsidRDefault="00C137BD" w:rsidP="00FC3DB1">
            <w:pPr>
              <w:spacing w:after="0"/>
              <w:jc w:val="left"/>
              <w:rPr>
                <w:bCs/>
                <w:sz w:val="22"/>
                <w:szCs w:val="22"/>
              </w:rPr>
            </w:pPr>
            <w:r>
              <w:rPr>
                <w:bCs/>
                <w:sz w:val="22"/>
                <w:szCs w:val="22"/>
              </w:rPr>
              <w:t>8</w:t>
            </w:r>
            <w:r w:rsidR="00FC3DB1" w:rsidRPr="004242BF">
              <w:rPr>
                <w:bCs/>
                <w:sz w:val="22"/>
                <w:szCs w:val="22"/>
              </w:rPr>
              <w:t>.11 Document Management </w:t>
            </w:r>
          </w:p>
          <w:p w14:paraId="7CF3D135" w14:textId="5C3C1E43" w:rsidR="00FC3DB1" w:rsidRPr="004242BF" w:rsidRDefault="00C137BD" w:rsidP="00FC3DB1">
            <w:pPr>
              <w:spacing w:after="0"/>
              <w:jc w:val="left"/>
              <w:rPr>
                <w:bCs/>
                <w:sz w:val="22"/>
                <w:szCs w:val="22"/>
              </w:rPr>
            </w:pPr>
            <w:r>
              <w:rPr>
                <w:bCs/>
                <w:sz w:val="22"/>
                <w:szCs w:val="22"/>
              </w:rPr>
              <w:t>8</w:t>
            </w:r>
            <w:r w:rsidR="00FC3DB1" w:rsidRPr="004242BF">
              <w:rPr>
                <w:bCs/>
                <w:sz w:val="22"/>
                <w:szCs w:val="22"/>
              </w:rPr>
              <w:t>.12 LPCO Workflow Management</w:t>
            </w:r>
          </w:p>
          <w:p w14:paraId="30ADE833" w14:textId="684B9768" w:rsidR="00FC3DB1" w:rsidRPr="004242BF" w:rsidRDefault="00C137BD" w:rsidP="00FC3DB1">
            <w:pPr>
              <w:spacing w:after="0"/>
              <w:jc w:val="left"/>
              <w:rPr>
                <w:bCs/>
                <w:sz w:val="22"/>
                <w:szCs w:val="22"/>
              </w:rPr>
            </w:pPr>
            <w:r>
              <w:rPr>
                <w:bCs/>
                <w:sz w:val="22"/>
                <w:szCs w:val="22"/>
              </w:rPr>
              <w:t>8</w:t>
            </w:r>
            <w:r w:rsidR="00FC3DB1" w:rsidRPr="004242BF">
              <w:rPr>
                <w:bCs/>
                <w:sz w:val="22"/>
                <w:szCs w:val="22"/>
              </w:rPr>
              <w:t>.13 NSW Risk Management Module</w:t>
            </w:r>
          </w:p>
          <w:p w14:paraId="1AB1AF71" w14:textId="1CEECE54" w:rsidR="00FC3DB1" w:rsidRPr="004242BF" w:rsidRDefault="00C137BD" w:rsidP="00FC3DB1">
            <w:pPr>
              <w:spacing w:after="0"/>
              <w:jc w:val="left"/>
              <w:rPr>
                <w:bCs/>
                <w:sz w:val="22"/>
                <w:szCs w:val="22"/>
              </w:rPr>
            </w:pPr>
            <w:r>
              <w:rPr>
                <w:bCs/>
                <w:sz w:val="22"/>
                <w:szCs w:val="22"/>
              </w:rPr>
              <w:t>8</w:t>
            </w:r>
            <w:r w:rsidR="00FC3DB1" w:rsidRPr="004242BF">
              <w:rPr>
                <w:bCs/>
                <w:sz w:val="22"/>
                <w:szCs w:val="22"/>
              </w:rPr>
              <w:t>.14 Referents Tables</w:t>
            </w:r>
          </w:p>
          <w:p w14:paraId="2DA43D65" w14:textId="669E6918" w:rsidR="00FC3DB1" w:rsidRPr="004242BF" w:rsidRDefault="00C137BD" w:rsidP="00FC3DB1">
            <w:pPr>
              <w:spacing w:after="0"/>
              <w:jc w:val="left"/>
              <w:rPr>
                <w:bCs/>
                <w:sz w:val="22"/>
                <w:szCs w:val="22"/>
              </w:rPr>
            </w:pPr>
            <w:r>
              <w:rPr>
                <w:bCs/>
                <w:sz w:val="22"/>
                <w:szCs w:val="22"/>
              </w:rPr>
              <w:t>8</w:t>
            </w:r>
            <w:r w:rsidR="00FC3DB1" w:rsidRPr="004242BF">
              <w:rPr>
                <w:bCs/>
                <w:sz w:val="22"/>
                <w:szCs w:val="22"/>
              </w:rPr>
              <w:t>.15 Reporting Service</w:t>
            </w:r>
          </w:p>
          <w:p w14:paraId="10D42024" w14:textId="08AAAA34" w:rsidR="00FC3DB1" w:rsidRPr="004242BF" w:rsidRDefault="00C137BD" w:rsidP="00FC3DB1">
            <w:pPr>
              <w:spacing w:after="0"/>
              <w:jc w:val="left"/>
              <w:rPr>
                <w:sz w:val="22"/>
                <w:szCs w:val="22"/>
              </w:rPr>
            </w:pPr>
            <w:r>
              <w:rPr>
                <w:bCs/>
                <w:sz w:val="22"/>
                <w:szCs w:val="22"/>
              </w:rPr>
              <w:t>8</w:t>
            </w:r>
            <w:r w:rsidR="00FC3DB1" w:rsidRPr="004242BF">
              <w:rPr>
                <w:bCs/>
                <w:sz w:val="22"/>
                <w:szCs w:val="22"/>
              </w:rPr>
              <w:t>.16 Data Converter</w:t>
            </w:r>
          </w:p>
        </w:tc>
        <w:tc>
          <w:tcPr>
            <w:tcW w:w="3575" w:type="dxa"/>
          </w:tcPr>
          <w:p w14:paraId="34E1AD64" w14:textId="725D98E5" w:rsidR="00FC3DB1" w:rsidRPr="004242BF" w:rsidRDefault="00FC3DB1" w:rsidP="00C137BD">
            <w:pPr>
              <w:spacing w:after="0"/>
              <w:jc w:val="center"/>
              <w:rPr>
                <w:sz w:val="22"/>
                <w:szCs w:val="22"/>
              </w:rPr>
            </w:pPr>
            <w:r w:rsidRPr="004242BF">
              <w:rPr>
                <w:sz w:val="22"/>
                <w:szCs w:val="22"/>
              </w:rPr>
              <w:t>Deployme</w:t>
            </w:r>
            <w:r w:rsidR="00C137BD">
              <w:rPr>
                <w:sz w:val="22"/>
                <w:szCs w:val="22"/>
              </w:rPr>
              <w:t>nt Package for subsystem/items 8</w:t>
            </w:r>
            <w:r w:rsidRPr="004242BF">
              <w:rPr>
                <w:sz w:val="22"/>
                <w:szCs w:val="22"/>
              </w:rPr>
              <w:t xml:space="preserve">.1 to </w:t>
            </w:r>
            <w:r w:rsidR="00C137BD">
              <w:rPr>
                <w:sz w:val="22"/>
                <w:szCs w:val="22"/>
              </w:rPr>
              <w:t>8</w:t>
            </w:r>
            <w:r w:rsidRPr="004242BF">
              <w:rPr>
                <w:sz w:val="22"/>
                <w:szCs w:val="22"/>
              </w:rPr>
              <w:t xml:space="preserve">.16 </w:t>
            </w:r>
          </w:p>
        </w:tc>
        <w:tc>
          <w:tcPr>
            <w:tcW w:w="1260" w:type="dxa"/>
          </w:tcPr>
          <w:p w14:paraId="50C5A487" w14:textId="77777777" w:rsidR="00FC3DB1" w:rsidRPr="004242BF" w:rsidRDefault="00FC3DB1" w:rsidP="00FC3DB1">
            <w:pPr>
              <w:spacing w:after="0"/>
              <w:jc w:val="center"/>
              <w:rPr>
                <w:sz w:val="22"/>
                <w:szCs w:val="22"/>
              </w:rPr>
            </w:pPr>
          </w:p>
        </w:tc>
        <w:tc>
          <w:tcPr>
            <w:tcW w:w="1350" w:type="dxa"/>
          </w:tcPr>
          <w:p w14:paraId="4945A8A8" w14:textId="77777777" w:rsidR="00FC3DB1" w:rsidRPr="004242BF" w:rsidRDefault="00FC3DB1" w:rsidP="00FC3DB1">
            <w:pPr>
              <w:spacing w:after="0"/>
              <w:jc w:val="center"/>
              <w:rPr>
                <w:sz w:val="22"/>
                <w:szCs w:val="22"/>
              </w:rPr>
            </w:pPr>
          </w:p>
        </w:tc>
        <w:tc>
          <w:tcPr>
            <w:tcW w:w="1080" w:type="dxa"/>
          </w:tcPr>
          <w:p w14:paraId="1064182A" w14:textId="6C0C8FA6" w:rsidR="00FC3DB1" w:rsidRPr="004242BF" w:rsidRDefault="00FC3DB1" w:rsidP="00FC3DB1">
            <w:pPr>
              <w:spacing w:after="0"/>
              <w:jc w:val="center"/>
              <w:rPr>
                <w:sz w:val="22"/>
                <w:szCs w:val="22"/>
              </w:rPr>
            </w:pPr>
          </w:p>
        </w:tc>
      </w:tr>
      <w:tr w:rsidR="00FC3DB1" w:rsidRPr="004C6BF5" w14:paraId="7211AFE0" w14:textId="77777777" w:rsidTr="00BF283B">
        <w:trPr>
          <w:cantSplit/>
        </w:trPr>
        <w:tc>
          <w:tcPr>
            <w:tcW w:w="843" w:type="dxa"/>
          </w:tcPr>
          <w:p w14:paraId="70DB2767" w14:textId="1621636D" w:rsidR="00FC3DB1" w:rsidRPr="004C6BF5" w:rsidRDefault="00C137BD" w:rsidP="00FC3DB1">
            <w:pPr>
              <w:spacing w:after="0"/>
              <w:jc w:val="center"/>
              <w:rPr>
                <w:b/>
                <w:szCs w:val="24"/>
              </w:rPr>
            </w:pPr>
            <w:r>
              <w:rPr>
                <w:b/>
                <w:szCs w:val="24"/>
              </w:rPr>
              <w:t>9</w:t>
            </w:r>
            <w:r w:rsidR="00FC3DB1" w:rsidRPr="004C6BF5">
              <w:rPr>
                <w:b/>
                <w:szCs w:val="24"/>
              </w:rPr>
              <w:t>.</w:t>
            </w:r>
          </w:p>
        </w:tc>
        <w:tc>
          <w:tcPr>
            <w:tcW w:w="4394" w:type="dxa"/>
          </w:tcPr>
          <w:p w14:paraId="2283972D" w14:textId="77777777" w:rsidR="00FC3DB1" w:rsidRPr="004C6BF5" w:rsidRDefault="00FC3DB1" w:rsidP="00FC3DB1">
            <w:pPr>
              <w:spacing w:after="0"/>
              <w:jc w:val="left"/>
              <w:rPr>
                <w:b/>
                <w:bCs/>
                <w:szCs w:val="24"/>
              </w:rPr>
            </w:pPr>
            <w:r w:rsidRPr="004C6BF5">
              <w:rPr>
                <w:b/>
                <w:szCs w:val="24"/>
              </w:rPr>
              <w:t>Specification Phase 2</w:t>
            </w:r>
          </w:p>
        </w:tc>
        <w:tc>
          <w:tcPr>
            <w:tcW w:w="3575" w:type="dxa"/>
          </w:tcPr>
          <w:p w14:paraId="2D4B5D75" w14:textId="77777777" w:rsidR="00FC3DB1" w:rsidRPr="00766725" w:rsidRDefault="00FC3DB1" w:rsidP="00FC3DB1">
            <w:pPr>
              <w:spacing w:after="0"/>
              <w:jc w:val="left"/>
              <w:rPr>
                <w:b/>
                <w:bCs/>
                <w:szCs w:val="24"/>
              </w:rPr>
            </w:pPr>
            <w:r w:rsidRPr="00766725">
              <w:rPr>
                <w:b/>
                <w:bCs/>
                <w:szCs w:val="24"/>
              </w:rPr>
              <w:t>Specification phase 2 packages:</w:t>
            </w:r>
          </w:p>
        </w:tc>
        <w:tc>
          <w:tcPr>
            <w:tcW w:w="1260" w:type="dxa"/>
          </w:tcPr>
          <w:p w14:paraId="3F4D2F9D" w14:textId="3B72049B" w:rsidR="00FC3DB1" w:rsidRPr="004C6BF5" w:rsidRDefault="0057360A" w:rsidP="00FC3DB1">
            <w:pPr>
              <w:spacing w:after="0"/>
              <w:jc w:val="center"/>
              <w:rPr>
                <w:b/>
                <w:szCs w:val="24"/>
              </w:rPr>
            </w:pPr>
            <w:r>
              <w:rPr>
                <w:b/>
                <w:szCs w:val="24"/>
              </w:rPr>
              <w:t>W46</w:t>
            </w:r>
          </w:p>
        </w:tc>
        <w:tc>
          <w:tcPr>
            <w:tcW w:w="1350" w:type="dxa"/>
          </w:tcPr>
          <w:p w14:paraId="0F287946" w14:textId="577A7E07" w:rsidR="00FC3DB1" w:rsidRPr="004C6BF5" w:rsidRDefault="0057360A" w:rsidP="00FC3DB1">
            <w:pPr>
              <w:spacing w:after="0"/>
              <w:jc w:val="center"/>
              <w:rPr>
                <w:b/>
                <w:szCs w:val="24"/>
              </w:rPr>
            </w:pPr>
            <w:r>
              <w:rPr>
                <w:b/>
                <w:szCs w:val="24"/>
              </w:rPr>
              <w:t>W48</w:t>
            </w:r>
          </w:p>
        </w:tc>
        <w:tc>
          <w:tcPr>
            <w:tcW w:w="1080" w:type="dxa"/>
          </w:tcPr>
          <w:p w14:paraId="1EC120BD" w14:textId="344D1C1F" w:rsidR="00FC3DB1" w:rsidRPr="004C6BF5" w:rsidRDefault="00FC3DB1" w:rsidP="00FC3DB1">
            <w:pPr>
              <w:spacing w:after="0"/>
              <w:jc w:val="center"/>
              <w:rPr>
                <w:b/>
                <w:szCs w:val="24"/>
              </w:rPr>
            </w:pPr>
            <w:r w:rsidRPr="004C6BF5">
              <w:rPr>
                <w:b/>
                <w:szCs w:val="24"/>
              </w:rPr>
              <w:t>YES</w:t>
            </w:r>
          </w:p>
        </w:tc>
      </w:tr>
      <w:tr w:rsidR="00FC3DB1" w:rsidRPr="004242BF" w14:paraId="398CA4D6" w14:textId="77777777" w:rsidTr="00BF283B">
        <w:trPr>
          <w:cantSplit/>
        </w:trPr>
        <w:tc>
          <w:tcPr>
            <w:tcW w:w="843" w:type="dxa"/>
          </w:tcPr>
          <w:p w14:paraId="2B950D93" w14:textId="70E24A66" w:rsidR="00FC3DB1" w:rsidRPr="004242BF" w:rsidRDefault="00FC3DB1" w:rsidP="00FC3DB1">
            <w:pPr>
              <w:spacing w:after="0"/>
              <w:jc w:val="center"/>
              <w:rPr>
                <w:sz w:val="22"/>
                <w:szCs w:val="22"/>
              </w:rPr>
            </w:pPr>
          </w:p>
        </w:tc>
        <w:tc>
          <w:tcPr>
            <w:tcW w:w="4394" w:type="dxa"/>
          </w:tcPr>
          <w:p w14:paraId="10369B25" w14:textId="0F02B17E" w:rsidR="00FC3DB1" w:rsidRPr="004242BF" w:rsidRDefault="00C137BD" w:rsidP="00FC3DB1">
            <w:pPr>
              <w:spacing w:after="0"/>
              <w:jc w:val="left"/>
              <w:rPr>
                <w:sz w:val="22"/>
                <w:szCs w:val="22"/>
              </w:rPr>
            </w:pPr>
            <w:r>
              <w:rPr>
                <w:sz w:val="22"/>
                <w:szCs w:val="22"/>
              </w:rPr>
              <w:t>9</w:t>
            </w:r>
            <w:r w:rsidR="00FC3DB1" w:rsidRPr="004242BF">
              <w:rPr>
                <w:sz w:val="22"/>
                <w:szCs w:val="22"/>
              </w:rPr>
              <w:t>.1 NSW Trader Portal</w:t>
            </w:r>
          </w:p>
          <w:p w14:paraId="19EA8CA5" w14:textId="4AE9641C" w:rsidR="00FC3DB1" w:rsidRPr="004242BF" w:rsidRDefault="00C137BD" w:rsidP="00FC3DB1">
            <w:pPr>
              <w:spacing w:after="0"/>
              <w:jc w:val="left"/>
              <w:rPr>
                <w:bCs/>
                <w:sz w:val="22"/>
                <w:szCs w:val="22"/>
              </w:rPr>
            </w:pPr>
            <w:r>
              <w:rPr>
                <w:bCs/>
                <w:sz w:val="22"/>
                <w:szCs w:val="22"/>
              </w:rPr>
              <w:t>9</w:t>
            </w:r>
            <w:r w:rsidR="00FC3DB1" w:rsidRPr="004242BF">
              <w:rPr>
                <w:bCs/>
                <w:sz w:val="22"/>
                <w:szCs w:val="22"/>
              </w:rPr>
              <w:t>.2 NSW Help Desk</w:t>
            </w:r>
          </w:p>
          <w:p w14:paraId="5622643E" w14:textId="0B90874E" w:rsidR="00FC3DB1" w:rsidRPr="004242BF" w:rsidRDefault="00C137BD" w:rsidP="00FC3DB1">
            <w:pPr>
              <w:spacing w:after="0"/>
              <w:jc w:val="left"/>
              <w:rPr>
                <w:bCs/>
                <w:sz w:val="22"/>
                <w:szCs w:val="22"/>
              </w:rPr>
            </w:pPr>
            <w:r>
              <w:rPr>
                <w:bCs/>
                <w:sz w:val="22"/>
                <w:szCs w:val="22"/>
              </w:rPr>
              <w:t>9</w:t>
            </w:r>
            <w:r w:rsidR="00FC3DB1" w:rsidRPr="004242BF">
              <w:rPr>
                <w:bCs/>
                <w:sz w:val="22"/>
                <w:szCs w:val="22"/>
              </w:rPr>
              <w:t>.3 Registration of Traders and Competent Authority</w:t>
            </w:r>
          </w:p>
          <w:p w14:paraId="006C7140" w14:textId="5A58B888" w:rsidR="00FC3DB1" w:rsidRPr="004242BF" w:rsidRDefault="00C137BD" w:rsidP="00FC3DB1">
            <w:pPr>
              <w:spacing w:after="0"/>
              <w:jc w:val="left"/>
              <w:rPr>
                <w:bCs/>
                <w:sz w:val="22"/>
                <w:szCs w:val="22"/>
              </w:rPr>
            </w:pPr>
            <w:r>
              <w:rPr>
                <w:bCs/>
                <w:sz w:val="22"/>
                <w:szCs w:val="22"/>
              </w:rPr>
              <w:t>9</w:t>
            </w:r>
            <w:r w:rsidR="00FC3DB1" w:rsidRPr="004242BF">
              <w:rPr>
                <w:bCs/>
                <w:sz w:val="22"/>
                <w:szCs w:val="22"/>
              </w:rPr>
              <w:t>.4 LPCO Application</w:t>
            </w:r>
          </w:p>
          <w:p w14:paraId="5B4145BE" w14:textId="751F48E0" w:rsidR="00FC3DB1" w:rsidRPr="004242BF" w:rsidRDefault="00C137BD" w:rsidP="00FC3DB1">
            <w:pPr>
              <w:spacing w:after="0"/>
              <w:jc w:val="left"/>
              <w:rPr>
                <w:bCs/>
                <w:sz w:val="22"/>
                <w:szCs w:val="22"/>
              </w:rPr>
            </w:pPr>
            <w:r>
              <w:rPr>
                <w:bCs/>
                <w:sz w:val="22"/>
                <w:szCs w:val="22"/>
              </w:rPr>
              <w:t>9</w:t>
            </w:r>
            <w:r w:rsidR="00FC3DB1" w:rsidRPr="004242BF">
              <w:rPr>
                <w:bCs/>
                <w:sz w:val="22"/>
                <w:szCs w:val="22"/>
              </w:rPr>
              <w:t>.5 LPCO Management</w:t>
            </w:r>
          </w:p>
          <w:p w14:paraId="721D6B47" w14:textId="4770FDFD" w:rsidR="00FC3DB1" w:rsidRPr="004242BF" w:rsidRDefault="00C137BD" w:rsidP="00FC3DB1">
            <w:pPr>
              <w:spacing w:after="0"/>
              <w:jc w:val="left"/>
              <w:rPr>
                <w:bCs/>
                <w:sz w:val="22"/>
                <w:szCs w:val="22"/>
              </w:rPr>
            </w:pPr>
            <w:r>
              <w:rPr>
                <w:bCs/>
                <w:sz w:val="22"/>
                <w:szCs w:val="22"/>
              </w:rPr>
              <w:t>9</w:t>
            </w:r>
            <w:r w:rsidR="00FC3DB1" w:rsidRPr="004242BF">
              <w:rPr>
                <w:bCs/>
                <w:sz w:val="22"/>
                <w:szCs w:val="22"/>
              </w:rPr>
              <w:t>.6 Payment Management</w:t>
            </w:r>
          </w:p>
          <w:p w14:paraId="6DA9859E" w14:textId="257ECE9D" w:rsidR="00FC3DB1" w:rsidRPr="004242BF" w:rsidRDefault="00C137BD" w:rsidP="00FC3DB1">
            <w:pPr>
              <w:spacing w:after="0"/>
              <w:jc w:val="left"/>
              <w:rPr>
                <w:bCs/>
                <w:sz w:val="22"/>
                <w:szCs w:val="22"/>
              </w:rPr>
            </w:pPr>
            <w:r>
              <w:rPr>
                <w:bCs/>
                <w:sz w:val="22"/>
                <w:szCs w:val="22"/>
              </w:rPr>
              <w:t>9</w:t>
            </w:r>
            <w:r w:rsidR="00FC3DB1" w:rsidRPr="004242BF">
              <w:rPr>
                <w:bCs/>
                <w:sz w:val="22"/>
                <w:szCs w:val="22"/>
              </w:rPr>
              <w:t>.7 Payment Processing</w:t>
            </w:r>
          </w:p>
          <w:p w14:paraId="1B77DDEF" w14:textId="11BD06E4" w:rsidR="00FC3DB1" w:rsidRPr="004242BF" w:rsidRDefault="00C137BD" w:rsidP="00FC3DB1">
            <w:pPr>
              <w:spacing w:after="0"/>
              <w:jc w:val="left"/>
              <w:rPr>
                <w:bCs/>
                <w:sz w:val="22"/>
                <w:szCs w:val="22"/>
              </w:rPr>
            </w:pPr>
            <w:r>
              <w:rPr>
                <w:bCs/>
                <w:sz w:val="22"/>
                <w:szCs w:val="22"/>
              </w:rPr>
              <w:t>9</w:t>
            </w:r>
            <w:r w:rsidR="00FC3DB1" w:rsidRPr="004242BF">
              <w:rPr>
                <w:bCs/>
                <w:sz w:val="22"/>
                <w:szCs w:val="22"/>
              </w:rPr>
              <w:t>.8 Notification Management</w:t>
            </w:r>
          </w:p>
          <w:p w14:paraId="6089E414" w14:textId="6742C0DD" w:rsidR="00FC3DB1" w:rsidRPr="004242BF" w:rsidRDefault="00C137BD" w:rsidP="00FC3DB1">
            <w:pPr>
              <w:spacing w:after="0"/>
              <w:jc w:val="left"/>
              <w:rPr>
                <w:bCs/>
                <w:sz w:val="22"/>
                <w:szCs w:val="22"/>
              </w:rPr>
            </w:pPr>
            <w:r>
              <w:rPr>
                <w:bCs/>
                <w:sz w:val="22"/>
                <w:szCs w:val="22"/>
              </w:rPr>
              <w:t>9</w:t>
            </w:r>
            <w:r w:rsidR="00FC3DB1" w:rsidRPr="004242BF">
              <w:rPr>
                <w:bCs/>
                <w:sz w:val="22"/>
                <w:szCs w:val="22"/>
              </w:rPr>
              <w:t>.9 LPCO Designer</w:t>
            </w:r>
          </w:p>
          <w:p w14:paraId="24FFAD55" w14:textId="52EC82F9" w:rsidR="00FC3DB1" w:rsidRPr="004242BF" w:rsidRDefault="00C137BD" w:rsidP="00FC3DB1">
            <w:pPr>
              <w:spacing w:after="0"/>
              <w:jc w:val="left"/>
              <w:rPr>
                <w:bCs/>
                <w:sz w:val="22"/>
                <w:szCs w:val="22"/>
              </w:rPr>
            </w:pPr>
            <w:r>
              <w:rPr>
                <w:bCs/>
                <w:sz w:val="22"/>
                <w:szCs w:val="22"/>
              </w:rPr>
              <w:t>9</w:t>
            </w:r>
            <w:r w:rsidR="00FC3DB1" w:rsidRPr="004242BF">
              <w:rPr>
                <w:bCs/>
                <w:sz w:val="22"/>
                <w:szCs w:val="22"/>
              </w:rPr>
              <w:t>.10 Inspection Control Results </w:t>
            </w:r>
          </w:p>
          <w:p w14:paraId="7FA95617" w14:textId="3DC9E115" w:rsidR="00FC3DB1" w:rsidRPr="004242BF" w:rsidRDefault="00C137BD" w:rsidP="00FC3DB1">
            <w:pPr>
              <w:spacing w:after="0"/>
              <w:jc w:val="left"/>
              <w:rPr>
                <w:bCs/>
                <w:sz w:val="22"/>
                <w:szCs w:val="22"/>
              </w:rPr>
            </w:pPr>
            <w:r>
              <w:rPr>
                <w:bCs/>
                <w:sz w:val="22"/>
                <w:szCs w:val="22"/>
              </w:rPr>
              <w:t>9</w:t>
            </w:r>
            <w:r w:rsidR="00FC3DB1" w:rsidRPr="004242BF">
              <w:rPr>
                <w:bCs/>
                <w:sz w:val="22"/>
                <w:szCs w:val="22"/>
              </w:rPr>
              <w:t>.11 Document Management </w:t>
            </w:r>
          </w:p>
          <w:p w14:paraId="1E58A3BF" w14:textId="30648436" w:rsidR="00FC3DB1" w:rsidRPr="004242BF" w:rsidRDefault="00C137BD" w:rsidP="00FC3DB1">
            <w:pPr>
              <w:spacing w:after="0"/>
              <w:jc w:val="left"/>
              <w:rPr>
                <w:bCs/>
                <w:sz w:val="22"/>
                <w:szCs w:val="22"/>
              </w:rPr>
            </w:pPr>
            <w:r>
              <w:rPr>
                <w:bCs/>
                <w:sz w:val="22"/>
                <w:szCs w:val="22"/>
              </w:rPr>
              <w:t>9</w:t>
            </w:r>
            <w:r w:rsidR="00FC3DB1" w:rsidRPr="004242BF">
              <w:rPr>
                <w:bCs/>
                <w:sz w:val="22"/>
                <w:szCs w:val="22"/>
              </w:rPr>
              <w:t>.12 LPCO Workflow Management</w:t>
            </w:r>
          </w:p>
          <w:p w14:paraId="498EA5BC" w14:textId="220DED8D" w:rsidR="00FC3DB1" w:rsidRPr="004242BF" w:rsidRDefault="00C137BD" w:rsidP="00FC3DB1">
            <w:pPr>
              <w:spacing w:after="0"/>
              <w:jc w:val="left"/>
              <w:rPr>
                <w:bCs/>
                <w:sz w:val="22"/>
                <w:szCs w:val="22"/>
              </w:rPr>
            </w:pPr>
            <w:r>
              <w:rPr>
                <w:bCs/>
                <w:sz w:val="22"/>
                <w:szCs w:val="22"/>
              </w:rPr>
              <w:t>9</w:t>
            </w:r>
            <w:r w:rsidR="00FC3DB1" w:rsidRPr="004242BF">
              <w:rPr>
                <w:bCs/>
                <w:sz w:val="22"/>
                <w:szCs w:val="22"/>
              </w:rPr>
              <w:t>.13 NSW Risk Management Module</w:t>
            </w:r>
          </w:p>
          <w:p w14:paraId="007904DA" w14:textId="12B0CE74" w:rsidR="00FC3DB1" w:rsidRPr="004242BF" w:rsidRDefault="00C137BD" w:rsidP="00FC3DB1">
            <w:pPr>
              <w:spacing w:after="0"/>
              <w:jc w:val="left"/>
              <w:rPr>
                <w:bCs/>
                <w:sz w:val="22"/>
                <w:szCs w:val="22"/>
              </w:rPr>
            </w:pPr>
            <w:r>
              <w:rPr>
                <w:bCs/>
                <w:sz w:val="22"/>
                <w:szCs w:val="22"/>
              </w:rPr>
              <w:t>9</w:t>
            </w:r>
            <w:r w:rsidR="00FC3DB1" w:rsidRPr="004242BF">
              <w:rPr>
                <w:bCs/>
                <w:sz w:val="22"/>
                <w:szCs w:val="22"/>
              </w:rPr>
              <w:t>.14 Referents Tables</w:t>
            </w:r>
          </w:p>
          <w:p w14:paraId="3DBBD3B8" w14:textId="4C2BE681" w:rsidR="00FC3DB1" w:rsidRPr="004242BF" w:rsidRDefault="00C137BD" w:rsidP="00FC3DB1">
            <w:pPr>
              <w:spacing w:after="0"/>
              <w:jc w:val="left"/>
              <w:rPr>
                <w:bCs/>
                <w:sz w:val="22"/>
                <w:szCs w:val="22"/>
              </w:rPr>
            </w:pPr>
            <w:r>
              <w:rPr>
                <w:bCs/>
                <w:sz w:val="22"/>
                <w:szCs w:val="22"/>
              </w:rPr>
              <w:t>9</w:t>
            </w:r>
            <w:r w:rsidR="00FC3DB1" w:rsidRPr="004242BF">
              <w:rPr>
                <w:bCs/>
                <w:sz w:val="22"/>
                <w:szCs w:val="22"/>
              </w:rPr>
              <w:t>.15 Reporting Service</w:t>
            </w:r>
          </w:p>
          <w:p w14:paraId="69B62058" w14:textId="530F075E" w:rsidR="00FC3DB1" w:rsidRPr="004242BF" w:rsidRDefault="00C137BD" w:rsidP="00FC3DB1">
            <w:pPr>
              <w:spacing w:after="0"/>
              <w:jc w:val="left"/>
              <w:rPr>
                <w:bCs/>
                <w:sz w:val="22"/>
                <w:szCs w:val="22"/>
              </w:rPr>
            </w:pPr>
            <w:r>
              <w:rPr>
                <w:bCs/>
                <w:sz w:val="22"/>
                <w:szCs w:val="22"/>
              </w:rPr>
              <w:t>9</w:t>
            </w:r>
            <w:r w:rsidR="00FC3DB1" w:rsidRPr="004242BF">
              <w:rPr>
                <w:bCs/>
                <w:sz w:val="22"/>
                <w:szCs w:val="22"/>
              </w:rPr>
              <w:t>.16 Data Converter</w:t>
            </w:r>
          </w:p>
        </w:tc>
        <w:tc>
          <w:tcPr>
            <w:tcW w:w="3575" w:type="dxa"/>
          </w:tcPr>
          <w:p w14:paraId="0B03C7DC" w14:textId="766AAB80" w:rsidR="00FC3DB1" w:rsidRPr="004242BF" w:rsidRDefault="00FC3DB1" w:rsidP="00D530D5">
            <w:pPr>
              <w:pStyle w:val="ListParagraph"/>
              <w:numPr>
                <w:ilvl w:val="0"/>
                <w:numId w:val="170"/>
              </w:numPr>
              <w:spacing w:after="0"/>
              <w:jc w:val="left"/>
              <w:rPr>
                <w:bCs/>
                <w:sz w:val="22"/>
                <w:szCs w:val="22"/>
              </w:rPr>
            </w:pPr>
            <w:r w:rsidRPr="004242BF">
              <w:rPr>
                <w:bCs/>
                <w:sz w:val="22"/>
                <w:szCs w:val="22"/>
              </w:rPr>
              <w:t>Technical Spe</w:t>
            </w:r>
            <w:r w:rsidR="00C137BD">
              <w:rPr>
                <w:bCs/>
                <w:sz w:val="22"/>
                <w:szCs w:val="22"/>
              </w:rPr>
              <w:t>cification for subsystem/items 9</w:t>
            </w:r>
            <w:r w:rsidRPr="004242BF">
              <w:rPr>
                <w:bCs/>
                <w:sz w:val="22"/>
                <w:szCs w:val="22"/>
              </w:rPr>
              <w:t xml:space="preserve">.1 to </w:t>
            </w:r>
            <w:r w:rsidR="00C137BD">
              <w:rPr>
                <w:bCs/>
                <w:sz w:val="22"/>
                <w:szCs w:val="22"/>
              </w:rPr>
              <w:t>9</w:t>
            </w:r>
            <w:r w:rsidRPr="004242BF">
              <w:rPr>
                <w:bCs/>
                <w:sz w:val="22"/>
                <w:szCs w:val="22"/>
              </w:rPr>
              <w:t>.16</w:t>
            </w:r>
          </w:p>
          <w:p w14:paraId="2B16E803" w14:textId="49533FD9" w:rsidR="00FC3DB1" w:rsidRPr="004242BF" w:rsidRDefault="00FC3DB1" w:rsidP="00D530D5">
            <w:pPr>
              <w:pStyle w:val="ListParagraph"/>
              <w:numPr>
                <w:ilvl w:val="0"/>
                <w:numId w:val="170"/>
              </w:numPr>
              <w:spacing w:after="0"/>
              <w:jc w:val="left"/>
              <w:rPr>
                <w:bCs/>
                <w:sz w:val="22"/>
                <w:szCs w:val="22"/>
              </w:rPr>
            </w:pPr>
            <w:r w:rsidRPr="004242BF">
              <w:rPr>
                <w:bCs/>
                <w:sz w:val="22"/>
                <w:szCs w:val="22"/>
              </w:rPr>
              <w:t>Administration Manual Spe</w:t>
            </w:r>
            <w:r w:rsidR="00C137BD">
              <w:rPr>
                <w:bCs/>
                <w:sz w:val="22"/>
                <w:szCs w:val="22"/>
              </w:rPr>
              <w:t>cification for subsystem/items 9</w:t>
            </w:r>
            <w:r w:rsidRPr="004242BF">
              <w:rPr>
                <w:bCs/>
                <w:sz w:val="22"/>
                <w:szCs w:val="22"/>
              </w:rPr>
              <w:t xml:space="preserve">.1 to </w:t>
            </w:r>
            <w:r w:rsidR="00C137BD">
              <w:rPr>
                <w:bCs/>
                <w:sz w:val="22"/>
                <w:szCs w:val="22"/>
              </w:rPr>
              <w:t>9</w:t>
            </w:r>
            <w:r w:rsidRPr="004242BF">
              <w:rPr>
                <w:bCs/>
                <w:sz w:val="22"/>
                <w:szCs w:val="22"/>
              </w:rPr>
              <w:t>.16</w:t>
            </w:r>
          </w:p>
          <w:p w14:paraId="28CF918F" w14:textId="0F4F0808" w:rsidR="00FC3DB1" w:rsidRPr="004242BF" w:rsidRDefault="00FC3DB1" w:rsidP="00D530D5">
            <w:pPr>
              <w:pStyle w:val="ListParagraph"/>
              <w:numPr>
                <w:ilvl w:val="0"/>
                <w:numId w:val="170"/>
              </w:numPr>
              <w:spacing w:after="0"/>
              <w:jc w:val="left"/>
              <w:rPr>
                <w:bCs/>
                <w:sz w:val="22"/>
                <w:szCs w:val="22"/>
              </w:rPr>
            </w:pPr>
            <w:r w:rsidRPr="004242BF">
              <w:rPr>
                <w:bCs/>
                <w:sz w:val="22"/>
                <w:szCs w:val="22"/>
              </w:rPr>
              <w:t xml:space="preserve">Integration Manual Specification for subsystem/items </w:t>
            </w:r>
            <w:r w:rsidR="00C137BD">
              <w:rPr>
                <w:bCs/>
                <w:sz w:val="22"/>
                <w:szCs w:val="22"/>
              </w:rPr>
              <w:t>9</w:t>
            </w:r>
            <w:r w:rsidRPr="004242BF">
              <w:rPr>
                <w:bCs/>
                <w:sz w:val="22"/>
                <w:szCs w:val="22"/>
              </w:rPr>
              <w:t xml:space="preserve">.1 to </w:t>
            </w:r>
            <w:r w:rsidR="00C137BD">
              <w:rPr>
                <w:bCs/>
                <w:sz w:val="22"/>
                <w:szCs w:val="22"/>
              </w:rPr>
              <w:t>9</w:t>
            </w:r>
            <w:r w:rsidRPr="004242BF">
              <w:rPr>
                <w:bCs/>
                <w:sz w:val="22"/>
                <w:szCs w:val="22"/>
              </w:rPr>
              <w:t>.16</w:t>
            </w:r>
          </w:p>
          <w:p w14:paraId="3E0FE5F4" w14:textId="585E76F1" w:rsidR="00FC3DB1" w:rsidRPr="004242BF" w:rsidRDefault="00FC3DB1" w:rsidP="00D530D5">
            <w:pPr>
              <w:pStyle w:val="ListParagraph"/>
              <w:numPr>
                <w:ilvl w:val="0"/>
                <w:numId w:val="170"/>
              </w:numPr>
              <w:spacing w:after="0"/>
              <w:jc w:val="left"/>
              <w:rPr>
                <w:bCs/>
                <w:sz w:val="22"/>
                <w:szCs w:val="22"/>
              </w:rPr>
            </w:pPr>
            <w:r w:rsidRPr="004242BF">
              <w:rPr>
                <w:bCs/>
                <w:sz w:val="22"/>
                <w:szCs w:val="22"/>
              </w:rPr>
              <w:t xml:space="preserve">User Guide Specification for subsystem/items </w:t>
            </w:r>
            <w:r w:rsidR="00C137BD">
              <w:rPr>
                <w:bCs/>
                <w:sz w:val="22"/>
                <w:szCs w:val="22"/>
              </w:rPr>
              <w:t>9</w:t>
            </w:r>
            <w:r w:rsidRPr="004242BF">
              <w:rPr>
                <w:bCs/>
                <w:sz w:val="22"/>
                <w:szCs w:val="22"/>
              </w:rPr>
              <w:t xml:space="preserve">.1 to </w:t>
            </w:r>
            <w:r w:rsidR="00C137BD">
              <w:rPr>
                <w:bCs/>
                <w:sz w:val="22"/>
                <w:szCs w:val="22"/>
              </w:rPr>
              <w:t>9</w:t>
            </w:r>
            <w:r w:rsidRPr="004242BF">
              <w:rPr>
                <w:bCs/>
                <w:sz w:val="22"/>
                <w:szCs w:val="22"/>
              </w:rPr>
              <w:t>.16</w:t>
            </w:r>
          </w:p>
          <w:p w14:paraId="02F594AA" w14:textId="77777777" w:rsidR="00FC3DB1" w:rsidRPr="004242BF" w:rsidRDefault="00FC3DB1" w:rsidP="00FC3DB1">
            <w:pPr>
              <w:pStyle w:val="ListParagraph"/>
              <w:spacing w:after="0"/>
              <w:ind w:left="1080"/>
              <w:jc w:val="left"/>
              <w:rPr>
                <w:bCs/>
                <w:sz w:val="22"/>
                <w:szCs w:val="22"/>
              </w:rPr>
            </w:pPr>
          </w:p>
        </w:tc>
        <w:tc>
          <w:tcPr>
            <w:tcW w:w="1260" w:type="dxa"/>
          </w:tcPr>
          <w:p w14:paraId="2254FB20" w14:textId="77777777" w:rsidR="00FC3DB1" w:rsidRPr="004242BF" w:rsidRDefault="00FC3DB1" w:rsidP="00FC3DB1">
            <w:pPr>
              <w:spacing w:after="0"/>
              <w:jc w:val="center"/>
              <w:rPr>
                <w:sz w:val="22"/>
                <w:szCs w:val="22"/>
              </w:rPr>
            </w:pPr>
          </w:p>
        </w:tc>
        <w:tc>
          <w:tcPr>
            <w:tcW w:w="1350" w:type="dxa"/>
          </w:tcPr>
          <w:p w14:paraId="3132CB67" w14:textId="77777777" w:rsidR="00FC3DB1" w:rsidRPr="004242BF" w:rsidRDefault="00FC3DB1" w:rsidP="00FC3DB1">
            <w:pPr>
              <w:spacing w:after="0"/>
              <w:jc w:val="center"/>
              <w:rPr>
                <w:sz w:val="22"/>
                <w:szCs w:val="22"/>
              </w:rPr>
            </w:pPr>
          </w:p>
        </w:tc>
        <w:tc>
          <w:tcPr>
            <w:tcW w:w="1080" w:type="dxa"/>
          </w:tcPr>
          <w:p w14:paraId="04B1F18F" w14:textId="3FC482FF" w:rsidR="00FC3DB1" w:rsidRPr="004242BF" w:rsidRDefault="00FC3DB1" w:rsidP="00FC3DB1">
            <w:pPr>
              <w:spacing w:after="0"/>
              <w:jc w:val="center"/>
              <w:rPr>
                <w:sz w:val="22"/>
                <w:szCs w:val="22"/>
              </w:rPr>
            </w:pPr>
          </w:p>
        </w:tc>
      </w:tr>
      <w:tr w:rsidR="00FC3DB1" w:rsidRPr="004C6BF5" w14:paraId="5E68A59F" w14:textId="77777777" w:rsidTr="00BF283B">
        <w:trPr>
          <w:cantSplit/>
        </w:trPr>
        <w:tc>
          <w:tcPr>
            <w:tcW w:w="843" w:type="dxa"/>
          </w:tcPr>
          <w:p w14:paraId="639C6DD2" w14:textId="59C3BAA4" w:rsidR="00FC3DB1" w:rsidRPr="004C6BF5" w:rsidRDefault="00C137BD" w:rsidP="00FC3DB1">
            <w:pPr>
              <w:spacing w:after="0"/>
              <w:jc w:val="center"/>
              <w:rPr>
                <w:b/>
                <w:szCs w:val="22"/>
              </w:rPr>
            </w:pPr>
            <w:r>
              <w:rPr>
                <w:b/>
                <w:szCs w:val="22"/>
              </w:rPr>
              <w:t>10</w:t>
            </w:r>
            <w:r w:rsidR="00FC3DB1" w:rsidRPr="004C6BF5">
              <w:rPr>
                <w:b/>
                <w:szCs w:val="22"/>
              </w:rPr>
              <w:t>.</w:t>
            </w:r>
          </w:p>
        </w:tc>
        <w:tc>
          <w:tcPr>
            <w:tcW w:w="4394" w:type="dxa"/>
          </w:tcPr>
          <w:p w14:paraId="032E0774" w14:textId="77777777" w:rsidR="00FC3DB1" w:rsidRPr="004C6BF5" w:rsidRDefault="00FC3DB1" w:rsidP="00FC3DB1">
            <w:pPr>
              <w:spacing w:after="0"/>
              <w:jc w:val="left"/>
              <w:rPr>
                <w:b/>
                <w:bCs/>
                <w:szCs w:val="22"/>
              </w:rPr>
            </w:pPr>
            <w:r w:rsidRPr="004C6BF5">
              <w:rPr>
                <w:b/>
                <w:szCs w:val="22"/>
              </w:rPr>
              <w:t>Capacity Building</w:t>
            </w:r>
          </w:p>
        </w:tc>
        <w:tc>
          <w:tcPr>
            <w:tcW w:w="3575" w:type="dxa"/>
          </w:tcPr>
          <w:p w14:paraId="17E0B1C7" w14:textId="77777777" w:rsidR="00FC3DB1" w:rsidRPr="004C6BF5" w:rsidRDefault="00FC3DB1" w:rsidP="00FC3DB1">
            <w:pPr>
              <w:spacing w:after="0"/>
              <w:jc w:val="left"/>
              <w:rPr>
                <w:b/>
                <w:bCs/>
                <w:szCs w:val="22"/>
              </w:rPr>
            </w:pPr>
            <w:r w:rsidRPr="00766725">
              <w:rPr>
                <w:b/>
                <w:szCs w:val="22"/>
              </w:rPr>
              <w:t>Capacity building plan and implementation (Trainings and Workshops)</w:t>
            </w:r>
          </w:p>
        </w:tc>
        <w:tc>
          <w:tcPr>
            <w:tcW w:w="1260" w:type="dxa"/>
          </w:tcPr>
          <w:p w14:paraId="2210E176" w14:textId="771B2640" w:rsidR="00FC3DB1" w:rsidRPr="004C6BF5" w:rsidRDefault="0057360A" w:rsidP="00FC3DB1">
            <w:pPr>
              <w:spacing w:after="0"/>
              <w:jc w:val="center"/>
              <w:rPr>
                <w:b/>
                <w:szCs w:val="22"/>
              </w:rPr>
            </w:pPr>
            <w:r>
              <w:rPr>
                <w:b/>
                <w:szCs w:val="22"/>
              </w:rPr>
              <w:t>W46</w:t>
            </w:r>
          </w:p>
        </w:tc>
        <w:tc>
          <w:tcPr>
            <w:tcW w:w="1350" w:type="dxa"/>
          </w:tcPr>
          <w:p w14:paraId="7CA61EE4" w14:textId="5DE65959" w:rsidR="00FC3DB1" w:rsidRPr="004C6BF5" w:rsidRDefault="0057360A" w:rsidP="00FC3DB1">
            <w:pPr>
              <w:spacing w:after="0"/>
              <w:jc w:val="center"/>
              <w:rPr>
                <w:b/>
                <w:szCs w:val="22"/>
              </w:rPr>
            </w:pPr>
            <w:r>
              <w:rPr>
                <w:b/>
                <w:szCs w:val="22"/>
              </w:rPr>
              <w:t>W48</w:t>
            </w:r>
          </w:p>
        </w:tc>
        <w:tc>
          <w:tcPr>
            <w:tcW w:w="1080" w:type="dxa"/>
          </w:tcPr>
          <w:p w14:paraId="0BFC056C" w14:textId="0D5901C8" w:rsidR="00FC3DB1" w:rsidRPr="004C6BF5" w:rsidRDefault="00FC3DB1" w:rsidP="00FC3DB1">
            <w:pPr>
              <w:spacing w:after="0"/>
              <w:jc w:val="center"/>
              <w:rPr>
                <w:b/>
                <w:szCs w:val="22"/>
              </w:rPr>
            </w:pPr>
            <w:r w:rsidRPr="004C6BF5">
              <w:rPr>
                <w:b/>
                <w:szCs w:val="22"/>
              </w:rPr>
              <w:t>YES</w:t>
            </w:r>
          </w:p>
        </w:tc>
      </w:tr>
      <w:tr w:rsidR="00FC3DB1" w:rsidRPr="004242BF" w14:paraId="1EF19B31" w14:textId="77777777" w:rsidTr="00BF283B">
        <w:trPr>
          <w:cantSplit/>
        </w:trPr>
        <w:tc>
          <w:tcPr>
            <w:tcW w:w="843" w:type="dxa"/>
          </w:tcPr>
          <w:p w14:paraId="6FA6B71A" w14:textId="4A648542" w:rsidR="00FC3DB1" w:rsidRPr="004242BF" w:rsidRDefault="00FC3DB1" w:rsidP="00FC3DB1">
            <w:pPr>
              <w:spacing w:after="0"/>
              <w:jc w:val="center"/>
              <w:rPr>
                <w:sz w:val="22"/>
                <w:szCs w:val="22"/>
              </w:rPr>
            </w:pPr>
          </w:p>
        </w:tc>
        <w:tc>
          <w:tcPr>
            <w:tcW w:w="4394" w:type="dxa"/>
          </w:tcPr>
          <w:p w14:paraId="69CB4153" w14:textId="1676058D" w:rsidR="00FC3DB1" w:rsidRPr="004242BF" w:rsidRDefault="00C137BD" w:rsidP="00FC3DB1">
            <w:pPr>
              <w:spacing w:after="0"/>
              <w:jc w:val="left"/>
              <w:rPr>
                <w:sz w:val="22"/>
                <w:szCs w:val="22"/>
              </w:rPr>
            </w:pPr>
            <w:r>
              <w:rPr>
                <w:sz w:val="22"/>
                <w:szCs w:val="22"/>
              </w:rPr>
              <w:t>10</w:t>
            </w:r>
            <w:r w:rsidR="00FC3DB1" w:rsidRPr="004242BF">
              <w:rPr>
                <w:sz w:val="22"/>
                <w:szCs w:val="22"/>
              </w:rPr>
              <w:t>.1 Training Needs Assessment</w:t>
            </w:r>
          </w:p>
          <w:p w14:paraId="3596081C" w14:textId="43D41178" w:rsidR="00FC3DB1" w:rsidRPr="004242BF" w:rsidRDefault="00C137BD" w:rsidP="00FC3DB1">
            <w:pPr>
              <w:spacing w:after="0"/>
              <w:jc w:val="left"/>
              <w:rPr>
                <w:bCs/>
                <w:sz w:val="22"/>
                <w:szCs w:val="22"/>
              </w:rPr>
            </w:pPr>
            <w:r>
              <w:rPr>
                <w:sz w:val="22"/>
                <w:szCs w:val="22"/>
              </w:rPr>
              <w:t>10</w:t>
            </w:r>
            <w:r w:rsidR="00FC3DB1" w:rsidRPr="004242BF">
              <w:rPr>
                <w:sz w:val="22"/>
                <w:szCs w:val="22"/>
              </w:rPr>
              <w:t>.2 Trainings and Workshops</w:t>
            </w:r>
          </w:p>
        </w:tc>
        <w:tc>
          <w:tcPr>
            <w:tcW w:w="3575" w:type="dxa"/>
          </w:tcPr>
          <w:p w14:paraId="57C1F6C8" w14:textId="77777777" w:rsidR="00FC3DB1" w:rsidRPr="004242BF" w:rsidRDefault="00FC3DB1" w:rsidP="00D530D5">
            <w:pPr>
              <w:pStyle w:val="ListParagraph"/>
              <w:numPr>
                <w:ilvl w:val="0"/>
                <w:numId w:val="143"/>
              </w:numPr>
              <w:spacing w:after="0"/>
              <w:jc w:val="left"/>
              <w:rPr>
                <w:bCs/>
                <w:sz w:val="22"/>
                <w:szCs w:val="22"/>
              </w:rPr>
            </w:pPr>
            <w:r w:rsidRPr="004242BF">
              <w:rPr>
                <w:sz w:val="22"/>
                <w:szCs w:val="22"/>
              </w:rPr>
              <w:t>Training Needs Assessment Document and Plan</w:t>
            </w:r>
          </w:p>
          <w:p w14:paraId="472543FA" w14:textId="77777777" w:rsidR="00FC3DB1" w:rsidRPr="004242BF" w:rsidRDefault="00FC3DB1" w:rsidP="00D530D5">
            <w:pPr>
              <w:pStyle w:val="ListParagraph"/>
              <w:numPr>
                <w:ilvl w:val="0"/>
                <w:numId w:val="143"/>
              </w:numPr>
              <w:spacing w:after="0"/>
              <w:jc w:val="left"/>
              <w:rPr>
                <w:bCs/>
                <w:sz w:val="22"/>
                <w:szCs w:val="22"/>
              </w:rPr>
            </w:pPr>
            <w:r w:rsidRPr="004242BF">
              <w:rPr>
                <w:sz w:val="22"/>
                <w:szCs w:val="22"/>
              </w:rPr>
              <w:t>Trainings and Workshops</w:t>
            </w:r>
          </w:p>
        </w:tc>
        <w:tc>
          <w:tcPr>
            <w:tcW w:w="1260" w:type="dxa"/>
          </w:tcPr>
          <w:p w14:paraId="7BADA82E" w14:textId="77777777" w:rsidR="00FC3DB1" w:rsidRPr="004242BF" w:rsidRDefault="00FC3DB1" w:rsidP="00FC3DB1">
            <w:pPr>
              <w:spacing w:after="0"/>
              <w:jc w:val="center"/>
              <w:rPr>
                <w:sz w:val="22"/>
                <w:szCs w:val="22"/>
              </w:rPr>
            </w:pPr>
          </w:p>
        </w:tc>
        <w:tc>
          <w:tcPr>
            <w:tcW w:w="1350" w:type="dxa"/>
          </w:tcPr>
          <w:p w14:paraId="5019EF29" w14:textId="77777777" w:rsidR="00FC3DB1" w:rsidRPr="004264AA" w:rsidRDefault="00FC3DB1" w:rsidP="00FC3DB1">
            <w:pPr>
              <w:spacing w:after="0"/>
              <w:jc w:val="center"/>
              <w:rPr>
                <w:sz w:val="22"/>
                <w:szCs w:val="22"/>
              </w:rPr>
            </w:pPr>
          </w:p>
        </w:tc>
        <w:tc>
          <w:tcPr>
            <w:tcW w:w="1080" w:type="dxa"/>
          </w:tcPr>
          <w:p w14:paraId="0DF8DAE1" w14:textId="6A473FB9" w:rsidR="00FC3DB1" w:rsidRPr="004242BF" w:rsidRDefault="00FC3DB1" w:rsidP="00FC3DB1">
            <w:pPr>
              <w:spacing w:after="0"/>
              <w:jc w:val="center"/>
              <w:rPr>
                <w:sz w:val="22"/>
                <w:szCs w:val="22"/>
              </w:rPr>
            </w:pPr>
          </w:p>
        </w:tc>
      </w:tr>
      <w:tr w:rsidR="00FC3DB1" w:rsidRPr="004C6BF5" w14:paraId="3E68CBE8" w14:textId="77777777" w:rsidTr="00BF283B">
        <w:trPr>
          <w:cantSplit/>
        </w:trPr>
        <w:tc>
          <w:tcPr>
            <w:tcW w:w="843" w:type="dxa"/>
          </w:tcPr>
          <w:p w14:paraId="35DB7C25" w14:textId="704B878C" w:rsidR="00FC3DB1" w:rsidRPr="004C6BF5" w:rsidRDefault="00FC3DB1" w:rsidP="00C137BD">
            <w:pPr>
              <w:spacing w:after="0"/>
              <w:jc w:val="center"/>
              <w:rPr>
                <w:b/>
                <w:szCs w:val="22"/>
              </w:rPr>
            </w:pPr>
            <w:r w:rsidRPr="004C6BF5">
              <w:rPr>
                <w:b/>
                <w:szCs w:val="22"/>
              </w:rPr>
              <w:t>1</w:t>
            </w:r>
            <w:r w:rsidR="00C137BD">
              <w:rPr>
                <w:b/>
                <w:szCs w:val="22"/>
              </w:rPr>
              <w:t>1</w:t>
            </w:r>
            <w:r w:rsidRPr="004C6BF5">
              <w:rPr>
                <w:b/>
                <w:szCs w:val="22"/>
              </w:rPr>
              <w:t>.</w:t>
            </w:r>
          </w:p>
        </w:tc>
        <w:tc>
          <w:tcPr>
            <w:tcW w:w="4394" w:type="dxa"/>
          </w:tcPr>
          <w:p w14:paraId="40366D03" w14:textId="77777777" w:rsidR="00FC3DB1" w:rsidRPr="004C6BF5" w:rsidRDefault="00FC3DB1" w:rsidP="00FC3DB1">
            <w:pPr>
              <w:spacing w:after="0"/>
              <w:jc w:val="left"/>
              <w:rPr>
                <w:b/>
                <w:szCs w:val="22"/>
              </w:rPr>
            </w:pPr>
            <w:r w:rsidRPr="004C6BF5">
              <w:rPr>
                <w:b/>
                <w:szCs w:val="22"/>
              </w:rPr>
              <w:t>Test Pilot Stage SAT</w:t>
            </w:r>
          </w:p>
        </w:tc>
        <w:tc>
          <w:tcPr>
            <w:tcW w:w="3575" w:type="dxa"/>
          </w:tcPr>
          <w:p w14:paraId="0300D034" w14:textId="77777777" w:rsidR="00FC3DB1" w:rsidRPr="004C6BF5" w:rsidRDefault="00FC3DB1" w:rsidP="00FC3DB1">
            <w:pPr>
              <w:spacing w:after="0"/>
              <w:jc w:val="left"/>
              <w:rPr>
                <w:b/>
                <w:szCs w:val="22"/>
              </w:rPr>
            </w:pPr>
            <w:r w:rsidRPr="004C6BF5">
              <w:rPr>
                <w:b/>
                <w:szCs w:val="22"/>
              </w:rPr>
              <w:t>SAT Report</w:t>
            </w:r>
            <w:r>
              <w:rPr>
                <w:b/>
                <w:szCs w:val="22"/>
              </w:rPr>
              <w:t>s</w:t>
            </w:r>
          </w:p>
          <w:p w14:paraId="514012A3" w14:textId="77777777" w:rsidR="00FC3DB1" w:rsidRPr="004C6BF5" w:rsidRDefault="00FC3DB1" w:rsidP="00FC3DB1">
            <w:pPr>
              <w:spacing w:after="0"/>
              <w:jc w:val="left"/>
              <w:rPr>
                <w:b/>
                <w:szCs w:val="22"/>
              </w:rPr>
            </w:pPr>
          </w:p>
        </w:tc>
        <w:tc>
          <w:tcPr>
            <w:tcW w:w="1260" w:type="dxa"/>
          </w:tcPr>
          <w:p w14:paraId="2217D674" w14:textId="7FFF35F7" w:rsidR="00FC3DB1" w:rsidRPr="004C6BF5" w:rsidRDefault="0057360A" w:rsidP="00FC3DB1">
            <w:pPr>
              <w:spacing w:after="0"/>
              <w:jc w:val="center"/>
              <w:rPr>
                <w:b/>
                <w:szCs w:val="22"/>
              </w:rPr>
            </w:pPr>
            <w:r>
              <w:rPr>
                <w:b/>
                <w:szCs w:val="22"/>
              </w:rPr>
              <w:t>W46</w:t>
            </w:r>
          </w:p>
        </w:tc>
        <w:tc>
          <w:tcPr>
            <w:tcW w:w="1350" w:type="dxa"/>
          </w:tcPr>
          <w:p w14:paraId="078AE574" w14:textId="7476217A" w:rsidR="00FC3DB1" w:rsidRPr="004C6BF5" w:rsidRDefault="0057360A" w:rsidP="00FC3DB1">
            <w:pPr>
              <w:spacing w:after="0"/>
              <w:jc w:val="center"/>
              <w:rPr>
                <w:b/>
                <w:szCs w:val="22"/>
              </w:rPr>
            </w:pPr>
            <w:r>
              <w:rPr>
                <w:b/>
                <w:szCs w:val="22"/>
              </w:rPr>
              <w:t>W48</w:t>
            </w:r>
          </w:p>
        </w:tc>
        <w:tc>
          <w:tcPr>
            <w:tcW w:w="1080" w:type="dxa"/>
          </w:tcPr>
          <w:p w14:paraId="7691474A" w14:textId="5B5867E9" w:rsidR="00FC3DB1" w:rsidRPr="004C6BF5" w:rsidRDefault="00FC3DB1" w:rsidP="00FC3DB1">
            <w:pPr>
              <w:spacing w:after="0"/>
              <w:jc w:val="center"/>
              <w:rPr>
                <w:b/>
                <w:szCs w:val="22"/>
              </w:rPr>
            </w:pPr>
            <w:r w:rsidRPr="004C6BF5">
              <w:rPr>
                <w:b/>
                <w:szCs w:val="22"/>
              </w:rPr>
              <w:t>YES</w:t>
            </w:r>
          </w:p>
        </w:tc>
      </w:tr>
      <w:tr w:rsidR="00FC3DB1" w:rsidRPr="004242BF" w14:paraId="15F6FA63" w14:textId="77777777" w:rsidTr="00BF283B">
        <w:trPr>
          <w:cantSplit/>
        </w:trPr>
        <w:tc>
          <w:tcPr>
            <w:tcW w:w="843" w:type="dxa"/>
          </w:tcPr>
          <w:p w14:paraId="55635E05" w14:textId="6534D9C0" w:rsidR="00FC3DB1" w:rsidRPr="004242BF" w:rsidRDefault="00FC3DB1" w:rsidP="00FC3DB1">
            <w:pPr>
              <w:spacing w:after="0"/>
              <w:jc w:val="center"/>
              <w:rPr>
                <w:sz w:val="22"/>
                <w:szCs w:val="22"/>
              </w:rPr>
            </w:pPr>
          </w:p>
        </w:tc>
        <w:tc>
          <w:tcPr>
            <w:tcW w:w="4394" w:type="dxa"/>
          </w:tcPr>
          <w:p w14:paraId="601ABE61" w14:textId="2E4FF275" w:rsidR="00FC3DB1" w:rsidRPr="004242BF" w:rsidRDefault="00C137BD" w:rsidP="00FC3DB1">
            <w:pPr>
              <w:spacing w:after="0"/>
              <w:jc w:val="left"/>
              <w:rPr>
                <w:sz w:val="22"/>
                <w:szCs w:val="22"/>
              </w:rPr>
            </w:pPr>
            <w:r>
              <w:rPr>
                <w:sz w:val="22"/>
                <w:szCs w:val="22"/>
              </w:rPr>
              <w:t>11</w:t>
            </w:r>
            <w:r w:rsidR="00FC3DB1" w:rsidRPr="004242BF">
              <w:rPr>
                <w:sz w:val="22"/>
                <w:szCs w:val="22"/>
              </w:rPr>
              <w:t xml:space="preserve">.1 Readiness of Environment </w:t>
            </w:r>
          </w:p>
          <w:p w14:paraId="7D0683E6" w14:textId="3C4BDA4B" w:rsidR="00FC3DB1" w:rsidRPr="004242BF" w:rsidRDefault="00C137BD" w:rsidP="00FC3DB1">
            <w:pPr>
              <w:spacing w:after="0"/>
              <w:jc w:val="left"/>
              <w:rPr>
                <w:sz w:val="22"/>
                <w:szCs w:val="22"/>
              </w:rPr>
            </w:pPr>
            <w:r>
              <w:rPr>
                <w:sz w:val="22"/>
                <w:szCs w:val="22"/>
              </w:rPr>
              <w:t>11</w:t>
            </w:r>
            <w:r w:rsidR="00FC3DB1" w:rsidRPr="004242BF">
              <w:rPr>
                <w:sz w:val="22"/>
                <w:szCs w:val="22"/>
              </w:rPr>
              <w:t>.2 Acceptance Test Plan for SAT</w:t>
            </w:r>
          </w:p>
          <w:p w14:paraId="7DFF07A3" w14:textId="5AA9DDBF" w:rsidR="00FC3DB1" w:rsidRPr="004242BF" w:rsidRDefault="00C137BD" w:rsidP="00FC3DB1">
            <w:pPr>
              <w:spacing w:after="0"/>
              <w:jc w:val="left"/>
              <w:rPr>
                <w:sz w:val="22"/>
                <w:szCs w:val="22"/>
              </w:rPr>
            </w:pPr>
            <w:r>
              <w:rPr>
                <w:sz w:val="22"/>
                <w:szCs w:val="22"/>
              </w:rPr>
              <w:t>11</w:t>
            </w:r>
            <w:r w:rsidR="00FC3DB1" w:rsidRPr="004242BF">
              <w:rPr>
                <w:sz w:val="22"/>
                <w:szCs w:val="22"/>
              </w:rPr>
              <w:t>.3 SAT Automated Test Cases (Scripts) for Integration</w:t>
            </w:r>
          </w:p>
          <w:p w14:paraId="3BD4E66F" w14:textId="6980FE23" w:rsidR="00FC3DB1" w:rsidRPr="004242BF" w:rsidRDefault="00C137BD" w:rsidP="00FC3DB1">
            <w:pPr>
              <w:spacing w:after="0"/>
              <w:jc w:val="left"/>
              <w:rPr>
                <w:sz w:val="22"/>
                <w:szCs w:val="22"/>
              </w:rPr>
            </w:pPr>
            <w:r>
              <w:rPr>
                <w:sz w:val="22"/>
                <w:szCs w:val="22"/>
              </w:rPr>
              <w:t>11</w:t>
            </w:r>
            <w:r w:rsidR="00FC3DB1" w:rsidRPr="004242BF">
              <w:rPr>
                <w:sz w:val="22"/>
                <w:szCs w:val="22"/>
              </w:rPr>
              <w:t>.4 SAT Test Data</w:t>
            </w:r>
          </w:p>
          <w:p w14:paraId="719911A7" w14:textId="4A446152" w:rsidR="00FC3DB1" w:rsidRPr="004242BF" w:rsidDel="00657641" w:rsidRDefault="00C137BD" w:rsidP="00FC3DB1">
            <w:pPr>
              <w:spacing w:after="0"/>
              <w:jc w:val="left"/>
              <w:rPr>
                <w:sz w:val="22"/>
                <w:szCs w:val="22"/>
              </w:rPr>
            </w:pPr>
            <w:r>
              <w:rPr>
                <w:sz w:val="22"/>
                <w:szCs w:val="22"/>
              </w:rPr>
              <w:t>11</w:t>
            </w:r>
            <w:r w:rsidR="00FC3DB1" w:rsidRPr="004242BF">
              <w:rPr>
                <w:sz w:val="22"/>
                <w:szCs w:val="22"/>
              </w:rPr>
              <w:t>.5 SAT Report</w:t>
            </w:r>
          </w:p>
        </w:tc>
        <w:tc>
          <w:tcPr>
            <w:tcW w:w="3575" w:type="dxa"/>
          </w:tcPr>
          <w:p w14:paraId="18473200" w14:textId="77777777" w:rsidR="00FC3DB1" w:rsidRPr="004C6BF5" w:rsidRDefault="00FC3DB1" w:rsidP="00D530D5">
            <w:pPr>
              <w:pStyle w:val="ListParagraph"/>
              <w:numPr>
                <w:ilvl w:val="0"/>
                <w:numId w:val="176"/>
              </w:numPr>
              <w:spacing w:after="0"/>
              <w:jc w:val="left"/>
              <w:rPr>
                <w:sz w:val="22"/>
                <w:szCs w:val="22"/>
              </w:rPr>
            </w:pPr>
            <w:r w:rsidRPr="004C6BF5">
              <w:rPr>
                <w:sz w:val="22"/>
                <w:szCs w:val="22"/>
              </w:rPr>
              <w:t>SAT Readiness of Environment Report</w:t>
            </w:r>
          </w:p>
          <w:p w14:paraId="7E55E710" w14:textId="77777777" w:rsidR="00FC3DB1" w:rsidRPr="004C6BF5" w:rsidRDefault="00FC3DB1" w:rsidP="00D530D5">
            <w:pPr>
              <w:pStyle w:val="ListParagraph"/>
              <w:numPr>
                <w:ilvl w:val="0"/>
                <w:numId w:val="176"/>
              </w:numPr>
              <w:spacing w:after="0"/>
              <w:jc w:val="left"/>
              <w:rPr>
                <w:sz w:val="22"/>
                <w:szCs w:val="22"/>
              </w:rPr>
            </w:pPr>
            <w:r w:rsidRPr="004C6BF5">
              <w:rPr>
                <w:sz w:val="22"/>
                <w:szCs w:val="22"/>
              </w:rPr>
              <w:t>Acceptance Test Plan for SAT document</w:t>
            </w:r>
          </w:p>
          <w:p w14:paraId="408E5270" w14:textId="77777777" w:rsidR="00FC3DB1" w:rsidRPr="004C6BF5" w:rsidRDefault="00FC3DB1" w:rsidP="00D530D5">
            <w:pPr>
              <w:pStyle w:val="ListParagraph"/>
              <w:numPr>
                <w:ilvl w:val="0"/>
                <w:numId w:val="176"/>
              </w:numPr>
              <w:spacing w:after="0"/>
              <w:jc w:val="left"/>
              <w:rPr>
                <w:sz w:val="22"/>
                <w:szCs w:val="22"/>
              </w:rPr>
            </w:pPr>
            <w:r w:rsidRPr="004C6BF5">
              <w:rPr>
                <w:sz w:val="22"/>
                <w:szCs w:val="22"/>
              </w:rPr>
              <w:t>Automated Test Cases (Scripts) for SAT</w:t>
            </w:r>
          </w:p>
          <w:p w14:paraId="2EFD75D2" w14:textId="77777777" w:rsidR="00FC3DB1" w:rsidRPr="004C6BF5" w:rsidRDefault="00FC3DB1" w:rsidP="00D530D5">
            <w:pPr>
              <w:pStyle w:val="ListParagraph"/>
              <w:numPr>
                <w:ilvl w:val="0"/>
                <w:numId w:val="176"/>
              </w:numPr>
              <w:spacing w:after="0"/>
              <w:jc w:val="left"/>
              <w:rPr>
                <w:sz w:val="22"/>
                <w:szCs w:val="22"/>
              </w:rPr>
            </w:pPr>
            <w:r w:rsidRPr="004C6BF5">
              <w:rPr>
                <w:sz w:val="22"/>
                <w:szCs w:val="22"/>
              </w:rPr>
              <w:t>SAT Test Data</w:t>
            </w:r>
          </w:p>
          <w:p w14:paraId="4C9DB8AE" w14:textId="77777777" w:rsidR="00FC3DB1" w:rsidRPr="004C6BF5" w:rsidRDefault="00FC3DB1" w:rsidP="00D530D5">
            <w:pPr>
              <w:pStyle w:val="ListParagraph"/>
              <w:numPr>
                <w:ilvl w:val="0"/>
                <w:numId w:val="176"/>
              </w:numPr>
              <w:spacing w:after="0"/>
              <w:jc w:val="left"/>
              <w:rPr>
                <w:sz w:val="22"/>
                <w:szCs w:val="22"/>
              </w:rPr>
            </w:pPr>
            <w:r w:rsidRPr="004C6BF5">
              <w:rPr>
                <w:sz w:val="22"/>
                <w:szCs w:val="22"/>
              </w:rPr>
              <w:t>SAT Report Document</w:t>
            </w:r>
          </w:p>
        </w:tc>
        <w:tc>
          <w:tcPr>
            <w:tcW w:w="1260" w:type="dxa"/>
          </w:tcPr>
          <w:p w14:paraId="59C2B850" w14:textId="77777777" w:rsidR="00FC3DB1" w:rsidRPr="004242BF" w:rsidRDefault="00FC3DB1" w:rsidP="00FC3DB1">
            <w:pPr>
              <w:spacing w:after="0"/>
              <w:jc w:val="center"/>
              <w:rPr>
                <w:sz w:val="22"/>
                <w:szCs w:val="22"/>
              </w:rPr>
            </w:pPr>
          </w:p>
        </w:tc>
        <w:tc>
          <w:tcPr>
            <w:tcW w:w="1350" w:type="dxa"/>
          </w:tcPr>
          <w:p w14:paraId="1E25AB62" w14:textId="77777777" w:rsidR="00FC3DB1" w:rsidRPr="004242BF" w:rsidRDefault="00FC3DB1" w:rsidP="00FC3DB1">
            <w:pPr>
              <w:spacing w:after="0"/>
              <w:jc w:val="center"/>
              <w:rPr>
                <w:sz w:val="22"/>
                <w:szCs w:val="22"/>
              </w:rPr>
            </w:pPr>
          </w:p>
        </w:tc>
        <w:tc>
          <w:tcPr>
            <w:tcW w:w="1080" w:type="dxa"/>
          </w:tcPr>
          <w:p w14:paraId="262C8BAC" w14:textId="51998BAD" w:rsidR="00FC3DB1" w:rsidRPr="004242BF" w:rsidRDefault="00FC3DB1" w:rsidP="00FC3DB1">
            <w:pPr>
              <w:spacing w:after="0"/>
              <w:jc w:val="center"/>
              <w:rPr>
                <w:sz w:val="22"/>
                <w:szCs w:val="22"/>
              </w:rPr>
            </w:pPr>
          </w:p>
        </w:tc>
      </w:tr>
      <w:tr w:rsidR="0057360A" w:rsidRPr="004C6BF5" w14:paraId="51305920" w14:textId="77777777" w:rsidTr="00BF283B">
        <w:trPr>
          <w:cantSplit/>
        </w:trPr>
        <w:tc>
          <w:tcPr>
            <w:tcW w:w="843" w:type="dxa"/>
          </w:tcPr>
          <w:p w14:paraId="3EF06495" w14:textId="5833FBAA" w:rsidR="0057360A" w:rsidRPr="004C6BF5" w:rsidRDefault="0057360A" w:rsidP="0057360A">
            <w:pPr>
              <w:spacing w:after="0"/>
              <w:jc w:val="center"/>
              <w:rPr>
                <w:b/>
                <w:szCs w:val="22"/>
              </w:rPr>
            </w:pPr>
            <w:r w:rsidRPr="004C6BF5">
              <w:rPr>
                <w:b/>
                <w:szCs w:val="22"/>
              </w:rPr>
              <w:t>1</w:t>
            </w:r>
            <w:r>
              <w:rPr>
                <w:b/>
                <w:szCs w:val="22"/>
              </w:rPr>
              <w:t>2</w:t>
            </w:r>
            <w:r w:rsidRPr="004C6BF5">
              <w:rPr>
                <w:b/>
                <w:szCs w:val="22"/>
              </w:rPr>
              <w:t>.</w:t>
            </w:r>
          </w:p>
        </w:tc>
        <w:tc>
          <w:tcPr>
            <w:tcW w:w="4394" w:type="dxa"/>
          </w:tcPr>
          <w:p w14:paraId="274F7FF2" w14:textId="74325475" w:rsidR="0057360A" w:rsidRPr="004C6BF5" w:rsidRDefault="0057360A" w:rsidP="0057360A">
            <w:pPr>
              <w:spacing w:after="0"/>
              <w:jc w:val="left"/>
              <w:rPr>
                <w:b/>
                <w:szCs w:val="22"/>
              </w:rPr>
            </w:pPr>
            <w:r w:rsidRPr="004C6BF5">
              <w:rPr>
                <w:b/>
                <w:szCs w:val="22"/>
              </w:rPr>
              <w:t xml:space="preserve">Rollout </w:t>
            </w:r>
            <w:r>
              <w:rPr>
                <w:b/>
                <w:szCs w:val="22"/>
              </w:rPr>
              <w:t xml:space="preserve">Hardware </w:t>
            </w:r>
            <w:r w:rsidRPr="004C6BF5">
              <w:rPr>
                <w:b/>
                <w:szCs w:val="22"/>
              </w:rPr>
              <w:t>Environment Readiness</w:t>
            </w:r>
          </w:p>
        </w:tc>
        <w:tc>
          <w:tcPr>
            <w:tcW w:w="3575" w:type="dxa"/>
          </w:tcPr>
          <w:p w14:paraId="2FEC3C42" w14:textId="2272E3F7" w:rsidR="0057360A" w:rsidRPr="004C6BF5" w:rsidRDefault="0057360A" w:rsidP="0057360A">
            <w:pPr>
              <w:spacing w:after="0"/>
              <w:jc w:val="left"/>
              <w:rPr>
                <w:b/>
                <w:szCs w:val="22"/>
              </w:rPr>
            </w:pPr>
            <w:r w:rsidRPr="004C6BF5">
              <w:rPr>
                <w:b/>
                <w:szCs w:val="22"/>
              </w:rPr>
              <w:t>Hardware environment readiness</w:t>
            </w:r>
          </w:p>
        </w:tc>
        <w:tc>
          <w:tcPr>
            <w:tcW w:w="1260" w:type="dxa"/>
          </w:tcPr>
          <w:p w14:paraId="14D0858C" w14:textId="5E94EE0B" w:rsidR="0057360A" w:rsidRPr="0057360A" w:rsidRDefault="0057360A" w:rsidP="0057360A">
            <w:pPr>
              <w:spacing w:after="0"/>
              <w:jc w:val="center"/>
              <w:rPr>
                <w:b/>
                <w:szCs w:val="22"/>
              </w:rPr>
            </w:pPr>
            <w:r w:rsidRPr="0057360A">
              <w:rPr>
                <w:b/>
              </w:rPr>
              <w:t>W50</w:t>
            </w:r>
          </w:p>
        </w:tc>
        <w:tc>
          <w:tcPr>
            <w:tcW w:w="1350" w:type="dxa"/>
          </w:tcPr>
          <w:p w14:paraId="1EA00FF9" w14:textId="370102EE" w:rsidR="0057360A" w:rsidRPr="0057360A" w:rsidRDefault="0057360A" w:rsidP="0057360A">
            <w:pPr>
              <w:spacing w:after="0"/>
              <w:jc w:val="center"/>
              <w:rPr>
                <w:b/>
                <w:szCs w:val="22"/>
              </w:rPr>
            </w:pPr>
            <w:r>
              <w:rPr>
                <w:b/>
              </w:rPr>
              <w:t>W52</w:t>
            </w:r>
          </w:p>
        </w:tc>
        <w:tc>
          <w:tcPr>
            <w:tcW w:w="1080" w:type="dxa"/>
          </w:tcPr>
          <w:p w14:paraId="7D917B33" w14:textId="196BD0BF" w:rsidR="0057360A" w:rsidRPr="004C6BF5" w:rsidRDefault="0057360A" w:rsidP="0057360A">
            <w:pPr>
              <w:spacing w:after="0"/>
              <w:jc w:val="center"/>
              <w:rPr>
                <w:b/>
                <w:szCs w:val="22"/>
              </w:rPr>
            </w:pPr>
            <w:r w:rsidRPr="004C6BF5">
              <w:rPr>
                <w:b/>
                <w:szCs w:val="22"/>
              </w:rPr>
              <w:t>YES</w:t>
            </w:r>
          </w:p>
        </w:tc>
      </w:tr>
      <w:tr w:rsidR="00C137BD" w:rsidRPr="004242BF" w14:paraId="4BFC563A" w14:textId="77777777" w:rsidTr="00BF283B">
        <w:trPr>
          <w:cantSplit/>
        </w:trPr>
        <w:tc>
          <w:tcPr>
            <w:tcW w:w="843" w:type="dxa"/>
          </w:tcPr>
          <w:p w14:paraId="46D7F55E" w14:textId="4224D0D2" w:rsidR="00C137BD" w:rsidRPr="004242BF" w:rsidRDefault="00C137BD" w:rsidP="00C137BD">
            <w:pPr>
              <w:spacing w:after="0"/>
              <w:jc w:val="center"/>
              <w:rPr>
                <w:sz w:val="22"/>
                <w:szCs w:val="22"/>
              </w:rPr>
            </w:pPr>
          </w:p>
        </w:tc>
        <w:tc>
          <w:tcPr>
            <w:tcW w:w="4394" w:type="dxa"/>
          </w:tcPr>
          <w:p w14:paraId="5066EEBE" w14:textId="4CD57539" w:rsidR="00C137BD" w:rsidRPr="00F11758" w:rsidRDefault="00F11758" w:rsidP="00C137BD">
            <w:pPr>
              <w:spacing w:after="0"/>
              <w:jc w:val="left"/>
              <w:rPr>
                <w:sz w:val="22"/>
                <w:szCs w:val="22"/>
              </w:rPr>
            </w:pPr>
            <w:r w:rsidRPr="00F11758">
              <w:rPr>
                <w:sz w:val="22"/>
                <w:szCs w:val="22"/>
              </w:rPr>
              <w:t>12.1 Rollout Hardware Environment Readiness</w:t>
            </w:r>
          </w:p>
        </w:tc>
        <w:tc>
          <w:tcPr>
            <w:tcW w:w="3575" w:type="dxa"/>
          </w:tcPr>
          <w:p w14:paraId="36639703" w14:textId="6E66987C" w:rsidR="00C137BD" w:rsidRPr="001136D3" w:rsidRDefault="00C137BD" w:rsidP="00D530D5">
            <w:pPr>
              <w:pStyle w:val="ListParagraph"/>
              <w:numPr>
                <w:ilvl w:val="0"/>
                <w:numId w:val="177"/>
              </w:numPr>
              <w:spacing w:after="0"/>
              <w:jc w:val="left"/>
              <w:rPr>
                <w:sz w:val="22"/>
                <w:szCs w:val="22"/>
              </w:rPr>
            </w:pPr>
            <w:r>
              <w:rPr>
                <w:sz w:val="22"/>
                <w:szCs w:val="22"/>
              </w:rPr>
              <w:t>Delivery and Installation of Hardware</w:t>
            </w:r>
          </w:p>
          <w:p w14:paraId="54BB235D" w14:textId="69C791B0" w:rsidR="00C137BD" w:rsidRPr="00C137BD" w:rsidRDefault="00C137BD" w:rsidP="00D530D5">
            <w:pPr>
              <w:pStyle w:val="ListParagraph"/>
              <w:numPr>
                <w:ilvl w:val="0"/>
                <w:numId w:val="177"/>
              </w:numPr>
              <w:spacing w:after="0"/>
              <w:jc w:val="left"/>
              <w:rPr>
                <w:sz w:val="22"/>
                <w:szCs w:val="22"/>
              </w:rPr>
            </w:pPr>
            <w:r w:rsidRPr="004C6BF5">
              <w:rPr>
                <w:sz w:val="22"/>
                <w:szCs w:val="22"/>
              </w:rPr>
              <w:t>Rollout Hardware Environment Readiness Report</w:t>
            </w:r>
          </w:p>
        </w:tc>
        <w:tc>
          <w:tcPr>
            <w:tcW w:w="1260" w:type="dxa"/>
          </w:tcPr>
          <w:p w14:paraId="2A488366" w14:textId="77777777" w:rsidR="00C137BD" w:rsidRPr="004242BF" w:rsidRDefault="00C137BD" w:rsidP="00C137BD">
            <w:pPr>
              <w:spacing w:after="0"/>
              <w:jc w:val="center"/>
              <w:rPr>
                <w:sz w:val="22"/>
                <w:szCs w:val="22"/>
              </w:rPr>
            </w:pPr>
          </w:p>
        </w:tc>
        <w:tc>
          <w:tcPr>
            <w:tcW w:w="1350" w:type="dxa"/>
          </w:tcPr>
          <w:p w14:paraId="3AE5A703" w14:textId="77777777" w:rsidR="00C137BD" w:rsidRPr="004242BF" w:rsidRDefault="00C137BD" w:rsidP="00C137BD">
            <w:pPr>
              <w:spacing w:after="0"/>
              <w:jc w:val="center"/>
              <w:rPr>
                <w:sz w:val="22"/>
                <w:szCs w:val="22"/>
              </w:rPr>
            </w:pPr>
          </w:p>
        </w:tc>
        <w:tc>
          <w:tcPr>
            <w:tcW w:w="1080" w:type="dxa"/>
          </w:tcPr>
          <w:p w14:paraId="1744F875" w14:textId="289A4A65" w:rsidR="00C137BD" w:rsidRPr="004242BF" w:rsidRDefault="00C137BD" w:rsidP="00C137BD">
            <w:pPr>
              <w:spacing w:after="0"/>
              <w:jc w:val="center"/>
              <w:rPr>
                <w:sz w:val="22"/>
                <w:szCs w:val="22"/>
              </w:rPr>
            </w:pPr>
          </w:p>
        </w:tc>
      </w:tr>
      <w:tr w:rsidR="0057360A" w:rsidRPr="004242BF" w14:paraId="4F8EADB4" w14:textId="77777777" w:rsidTr="00BF283B">
        <w:trPr>
          <w:cantSplit/>
        </w:trPr>
        <w:tc>
          <w:tcPr>
            <w:tcW w:w="843" w:type="dxa"/>
          </w:tcPr>
          <w:p w14:paraId="33B20874" w14:textId="03F1A529" w:rsidR="0057360A" w:rsidRPr="00C137BD" w:rsidRDefault="0057360A" w:rsidP="0057360A">
            <w:pPr>
              <w:spacing w:after="0"/>
              <w:jc w:val="center"/>
              <w:rPr>
                <w:b/>
                <w:sz w:val="22"/>
                <w:szCs w:val="22"/>
              </w:rPr>
            </w:pPr>
            <w:r w:rsidRPr="00C137BD">
              <w:rPr>
                <w:b/>
                <w:sz w:val="22"/>
                <w:szCs w:val="22"/>
              </w:rPr>
              <w:t>13.</w:t>
            </w:r>
          </w:p>
        </w:tc>
        <w:tc>
          <w:tcPr>
            <w:tcW w:w="4394" w:type="dxa"/>
          </w:tcPr>
          <w:p w14:paraId="4FFB25ED" w14:textId="46C867EB" w:rsidR="0057360A" w:rsidRPr="004242BF" w:rsidRDefault="0057360A" w:rsidP="0057360A">
            <w:pPr>
              <w:spacing w:after="0"/>
              <w:jc w:val="left"/>
              <w:rPr>
                <w:sz w:val="22"/>
                <w:szCs w:val="22"/>
              </w:rPr>
            </w:pPr>
            <w:r w:rsidRPr="004C6BF5">
              <w:rPr>
                <w:b/>
                <w:szCs w:val="22"/>
              </w:rPr>
              <w:t xml:space="preserve">Rollout </w:t>
            </w:r>
            <w:r>
              <w:rPr>
                <w:b/>
                <w:szCs w:val="22"/>
              </w:rPr>
              <w:t xml:space="preserve">Software </w:t>
            </w:r>
            <w:r w:rsidRPr="004C6BF5">
              <w:rPr>
                <w:b/>
                <w:szCs w:val="22"/>
              </w:rPr>
              <w:t>Environment Readiness</w:t>
            </w:r>
          </w:p>
        </w:tc>
        <w:tc>
          <w:tcPr>
            <w:tcW w:w="3575" w:type="dxa"/>
          </w:tcPr>
          <w:p w14:paraId="70EAE27E" w14:textId="683FCEC6" w:rsidR="0057360A" w:rsidRPr="00C137BD" w:rsidRDefault="0057360A" w:rsidP="0057360A">
            <w:pPr>
              <w:spacing w:after="0"/>
              <w:jc w:val="left"/>
              <w:rPr>
                <w:sz w:val="22"/>
                <w:szCs w:val="22"/>
              </w:rPr>
            </w:pPr>
            <w:r>
              <w:rPr>
                <w:b/>
                <w:szCs w:val="22"/>
              </w:rPr>
              <w:t>Software</w:t>
            </w:r>
            <w:r w:rsidRPr="00C137BD">
              <w:rPr>
                <w:b/>
                <w:szCs w:val="22"/>
              </w:rPr>
              <w:t xml:space="preserve"> environment readiness</w:t>
            </w:r>
          </w:p>
        </w:tc>
        <w:tc>
          <w:tcPr>
            <w:tcW w:w="1260" w:type="dxa"/>
          </w:tcPr>
          <w:p w14:paraId="7DFFDD1A" w14:textId="497D83E3" w:rsidR="0057360A" w:rsidRPr="004242BF" w:rsidRDefault="0057360A" w:rsidP="0057360A">
            <w:pPr>
              <w:spacing w:after="0"/>
              <w:jc w:val="center"/>
              <w:rPr>
                <w:sz w:val="22"/>
                <w:szCs w:val="22"/>
              </w:rPr>
            </w:pPr>
            <w:r>
              <w:rPr>
                <w:b/>
                <w:szCs w:val="22"/>
              </w:rPr>
              <w:t>W50</w:t>
            </w:r>
          </w:p>
        </w:tc>
        <w:tc>
          <w:tcPr>
            <w:tcW w:w="1350" w:type="dxa"/>
          </w:tcPr>
          <w:p w14:paraId="5BD22CD9" w14:textId="0BC8D254" w:rsidR="0057360A" w:rsidRPr="004242BF" w:rsidRDefault="0057360A" w:rsidP="0057360A">
            <w:pPr>
              <w:spacing w:after="0"/>
              <w:jc w:val="center"/>
              <w:rPr>
                <w:sz w:val="22"/>
                <w:szCs w:val="22"/>
              </w:rPr>
            </w:pPr>
            <w:r>
              <w:rPr>
                <w:b/>
                <w:szCs w:val="22"/>
              </w:rPr>
              <w:t>W5</w:t>
            </w:r>
            <w:r w:rsidRPr="004C6BF5">
              <w:rPr>
                <w:b/>
                <w:szCs w:val="22"/>
              </w:rPr>
              <w:t>2</w:t>
            </w:r>
          </w:p>
        </w:tc>
        <w:tc>
          <w:tcPr>
            <w:tcW w:w="1080" w:type="dxa"/>
          </w:tcPr>
          <w:p w14:paraId="290F6B28" w14:textId="56292808" w:rsidR="0057360A" w:rsidRDefault="0057360A" w:rsidP="0057360A">
            <w:pPr>
              <w:spacing w:after="0"/>
              <w:jc w:val="center"/>
              <w:rPr>
                <w:sz w:val="22"/>
                <w:szCs w:val="22"/>
              </w:rPr>
            </w:pPr>
            <w:r w:rsidRPr="004C6BF5">
              <w:rPr>
                <w:b/>
                <w:szCs w:val="22"/>
              </w:rPr>
              <w:t>YES</w:t>
            </w:r>
          </w:p>
        </w:tc>
      </w:tr>
      <w:tr w:rsidR="00C137BD" w:rsidRPr="004242BF" w14:paraId="2CA1703A" w14:textId="77777777" w:rsidTr="00BF283B">
        <w:trPr>
          <w:cantSplit/>
        </w:trPr>
        <w:tc>
          <w:tcPr>
            <w:tcW w:w="843" w:type="dxa"/>
          </w:tcPr>
          <w:p w14:paraId="45C8BCE3" w14:textId="2B64D416" w:rsidR="00C137BD" w:rsidRDefault="00C137BD" w:rsidP="00C137BD">
            <w:pPr>
              <w:spacing w:after="0"/>
              <w:jc w:val="center"/>
              <w:rPr>
                <w:sz w:val="22"/>
                <w:szCs w:val="22"/>
              </w:rPr>
            </w:pPr>
          </w:p>
        </w:tc>
        <w:tc>
          <w:tcPr>
            <w:tcW w:w="4394" w:type="dxa"/>
          </w:tcPr>
          <w:p w14:paraId="41032249" w14:textId="33D56FBB" w:rsidR="00C137BD" w:rsidRPr="004C6BF5" w:rsidRDefault="00F11758" w:rsidP="00F11758">
            <w:pPr>
              <w:spacing w:after="0"/>
              <w:jc w:val="left"/>
              <w:rPr>
                <w:b/>
                <w:szCs w:val="22"/>
              </w:rPr>
            </w:pPr>
            <w:r w:rsidRPr="00F11758">
              <w:rPr>
                <w:sz w:val="22"/>
                <w:szCs w:val="22"/>
              </w:rPr>
              <w:t>1</w:t>
            </w:r>
            <w:r>
              <w:rPr>
                <w:sz w:val="22"/>
                <w:szCs w:val="22"/>
              </w:rPr>
              <w:t>3</w:t>
            </w:r>
            <w:r w:rsidRPr="00F11758">
              <w:rPr>
                <w:sz w:val="22"/>
                <w:szCs w:val="22"/>
              </w:rPr>
              <w:t xml:space="preserve">.1 Rollout </w:t>
            </w:r>
            <w:r>
              <w:rPr>
                <w:sz w:val="22"/>
                <w:szCs w:val="22"/>
              </w:rPr>
              <w:t>Software</w:t>
            </w:r>
            <w:r w:rsidRPr="00F11758">
              <w:rPr>
                <w:sz w:val="22"/>
                <w:szCs w:val="22"/>
              </w:rPr>
              <w:t xml:space="preserve"> Environment Readiness</w:t>
            </w:r>
          </w:p>
        </w:tc>
        <w:tc>
          <w:tcPr>
            <w:tcW w:w="3575" w:type="dxa"/>
          </w:tcPr>
          <w:p w14:paraId="1CE3EDAB" w14:textId="77777777" w:rsidR="00C137BD" w:rsidRPr="00C137BD" w:rsidRDefault="00C137BD" w:rsidP="00D530D5">
            <w:pPr>
              <w:pStyle w:val="ListParagraph"/>
              <w:numPr>
                <w:ilvl w:val="0"/>
                <w:numId w:val="180"/>
              </w:numPr>
              <w:spacing w:after="0"/>
              <w:jc w:val="left"/>
              <w:rPr>
                <w:b/>
                <w:szCs w:val="22"/>
              </w:rPr>
            </w:pPr>
            <w:r w:rsidRPr="00C137BD">
              <w:rPr>
                <w:sz w:val="22"/>
                <w:szCs w:val="22"/>
              </w:rPr>
              <w:t>Rollout Software Environment Readiness Report</w:t>
            </w:r>
          </w:p>
          <w:p w14:paraId="304731D9" w14:textId="59F41F74" w:rsidR="00C137BD" w:rsidRPr="00C137BD" w:rsidRDefault="00C137BD" w:rsidP="00D530D5">
            <w:pPr>
              <w:pStyle w:val="ListParagraph"/>
              <w:numPr>
                <w:ilvl w:val="0"/>
                <w:numId w:val="180"/>
              </w:numPr>
              <w:spacing w:after="0"/>
              <w:jc w:val="left"/>
              <w:rPr>
                <w:sz w:val="22"/>
                <w:szCs w:val="22"/>
              </w:rPr>
            </w:pPr>
            <w:r>
              <w:rPr>
                <w:sz w:val="22"/>
                <w:szCs w:val="22"/>
              </w:rPr>
              <w:t>Delivery and installation of licenses Report</w:t>
            </w:r>
          </w:p>
        </w:tc>
        <w:tc>
          <w:tcPr>
            <w:tcW w:w="1260" w:type="dxa"/>
          </w:tcPr>
          <w:p w14:paraId="365017D1" w14:textId="77777777" w:rsidR="00C137BD" w:rsidRPr="004242BF" w:rsidRDefault="00C137BD" w:rsidP="00C137BD">
            <w:pPr>
              <w:spacing w:after="0"/>
              <w:jc w:val="center"/>
              <w:rPr>
                <w:sz w:val="22"/>
                <w:szCs w:val="22"/>
              </w:rPr>
            </w:pPr>
          </w:p>
        </w:tc>
        <w:tc>
          <w:tcPr>
            <w:tcW w:w="1350" w:type="dxa"/>
          </w:tcPr>
          <w:p w14:paraId="39AE796E" w14:textId="77777777" w:rsidR="00C137BD" w:rsidRPr="004242BF" w:rsidRDefault="00C137BD" w:rsidP="00C137BD">
            <w:pPr>
              <w:spacing w:after="0"/>
              <w:jc w:val="center"/>
              <w:rPr>
                <w:sz w:val="22"/>
                <w:szCs w:val="22"/>
              </w:rPr>
            </w:pPr>
          </w:p>
        </w:tc>
        <w:tc>
          <w:tcPr>
            <w:tcW w:w="1080" w:type="dxa"/>
          </w:tcPr>
          <w:p w14:paraId="757535E4" w14:textId="2286E0A5" w:rsidR="00C137BD" w:rsidRDefault="00C137BD" w:rsidP="00C137BD">
            <w:pPr>
              <w:spacing w:after="0"/>
              <w:jc w:val="center"/>
              <w:rPr>
                <w:sz w:val="22"/>
                <w:szCs w:val="22"/>
              </w:rPr>
            </w:pPr>
          </w:p>
        </w:tc>
      </w:tr>
      <w:tr w:rsidR="00C137BD" w:rsidRPr="004C6BF5" w14:paraId="6FE3C9B0" w14:textId="77777777" w:rsidTr="00BF283B">
        <w:trPr>
          <w:cantSplit/>
        </w:trPr>
        <w:tc>
          <w:tcPr>
            <w:tcW w:w="843" w:type="dxa"/>
          </w:tcPr>
          <w:p w14:paraId="2A84D1FA" w14:textId="63DDDCB7" w:rsidR="00C137BD" w:rsidRPr="004C6BF5" w:rsidRDefault="00C137BD" w:rsidP="00C137BD">
            <w:pPr>
              <w:spacing w:after="0"/>
              <w:jc w:val="center"/>
              <w:rPr>
                <w:b/>
                <w:szCs w:val="22"/>
              </w:rPr>
            </w:pPr>
            <w:r>
              <w:rPr>
                <w:b/>
                <w:szCs w:val="22"/>
              </w:rPr>
              <w:t>14</w:t>
            </w:r>
            <w:r w:rsidRPr="004C6BF5">
              <w:rPr>
                <w:b/>
                <w:szCs w:val="22"/>
              </w:rPr>
              <w:t>.</w:t>
            </w:r>
          </w:p>
        </w:tc>
        <w:tc>
          <w:tcPr>
            <w:tcW w:w="4394" w:type="dxa"/>
          </w:tcPr>
          <w:p w14:paraId="447834AB" w14:textId="77777777" w:rsidR="00C137BD" w:rsidRPr="004C6BF5" w:rsidRDefault="00C137BD" w:rsidP="00C137BD">
            <w:pPr>
              <w:spacing w:after="0"/>
              <w:jc w:val="left"/>
              <w:rPr>
                <w:b/>
                <w:szCs w:val="22"/>
              </w:rPr>
            </w:pPr>
            <w:r w:rsidRPr="004C6BF5">
              <w:rPr>
                <w:b/>
                <w:szCs w:val="22"/>
              </w:rPr>
              <w:t>Rollout Deployment</w:t>
            </w:r>
          </w:p>
        </w:tc>
        <w:tc>
          <w:tcPr>
            <w:tcW w:w="3575" w:type="dxa"/>
          </w:tcPr>
          <w:p w14:paraId="52895D96" w14:textId="77777777" w:rsidR="00C137BD" w:rsidRPr="004C6BF5" w:rsidRDefault="00C137BD" w:rsidP="00C137BD">
            <w:pPr>
              <w:spacing w:after="0"/>
              <w:jc w:val="left"/>
              <w:rPr>
                <w:b/>
                <w:szCs w:val="22"/>
              </w:rPr>
            </w:pPr>
            <w:r w:rsidRPr="00766725">
              <w:rPr>
                <w:b/>
                <w:szCs w:val="22"/>
              </w:rPr>
              <w:t>Rollout Deployment package:</w:t>
            </w:r>
          </w:p>
        </w:tc>
        <w:tc>
          <w:tcPr>
            <w:tcW w:w="1260" w:type="dxa"/>
          </w:tcPr>
          <w:p w14:paraId="7AD818AF" w14:textId="6E593BB1" w:rsidR="00C137BD" w:rsidRPr="004C6BF5" w:rsidRDefault="0057360A" w:rsidP="00C137BD">
            <w:pPr>
              <w:spacing w:after="0"/>
              <w:jc w:val="center"/>
              <w:rPr>
                <w:b/>
                <w:szCs w:val="22"/>
              </w:rPr>
            </w:pPr>
            <w:r>
              <w:rPr>
                <w:b/>
                <w:szCs w:val="22"/>
              </w:rPr>
              <w:t>W50</w:t>
            </w:r>
          </w:p>
        </w:tc>
        <w:tc>
          <w:tcPr>
            <w:tcW w:w="1350" w:type="dxa"/>
          </w:tcPr>
          <w:p w14:paraId="4F37DF91" w14:textId="2C91C8C7" w:rsidR="00C137BD" w:rsidRPr="004C6BF5" w:rsidRDefault="0057360A" w:rsidP="00C137BD">
            <w:pPr>
              <w:spacing w:after="0"/>
              <w:jc w:val="center"/>
              <w:rPr>
                <w:b/>
                <w:szCs w:val="22"/>
              </w:rPr>
            </w:pPr>
            <w:r>
              <w:rPr>
                <w:b/>
                <w:szCs w:val="22"/>
              </w:rPr>
              <w:t>W5</w:t>
            </w:r>
            <w:r w:rsidR="00C137BD" w:rsidRPr="004C6BF5">
              <w:rPr>
                <w:b/>
                <w:szCs w:val="22"/>
              </w:rPr>
              <w:t>2</w:t>
            </w:r>
          </w:p>
        </w:tc>
        <w:tc>
          <w:tcPr>
            <w:tcW w:w="1080" w:type="dxa"/>
          </w:tcPr>
          <w:p w14:paraId="2D88B064" w14:textId="424D1C56" w:rsidR="00C137BD" w:rsidRPr="004C6BF5" w:rsidRDefault="00C137BD" w:rsidP="00C137BD">
            <w:pPr>
              <w:spacing w:after="0"/>
              <w:jc w:val="center"/>
              <w:rPr>
                <w:b/>
                <w:szCs w:val="22"/>
              </w:rPr>
            </w:pPr>
            <w:r w:rsidRPr="004C6BF5">
              <w:rPr>
                <w:b/>
                <w:szCs w:val="22"/>
              </w:rPr>
              <w:t>YES</w:t>
            </w:r>
          </w:p>
        </w:tc>
      </w:tr>
      <w:tr w:rsidR="00C137BD" w:rsidRPr="004242BF" w14:paraId="67666DEE" w14:textId="77777777" w:rsidTr="00BF283B">
        <w:trPr>
          <w:cantSplit/>
        </w:trPr>
        <w:tc>
          <w:tcPr>
            <w:tcW w:w="843" w:type="dxa"/>
          </w:tcPr>
          <w:p w14:paraId="10BD4B38" w14:textId="085865FC" w:rsidR="00C137BD" w:rsidRPr="004242BF" w:rsidRDefault="00C137BD" w:rsidP="00C137BD">
            <w:pPr>
              <w:spacing w:after="0"/>
              <w:jc w:val="center"/>
              <w:rPr>
                <w:sz w:val="22"/>
                <w:szCs w:val="22"/>
              </w:rPr>
            </w:pPr>
          </w:p>
        </w:tc>
        <w:tc>
          <w:tcPr>
            <w:tcW w:w="4394" w:type="dxa"/>
          </w:tcPr>
          <w:p w14:paraId="48FB5492" w14:textId="39974DA1" w:rsidR="00C137BD" w:rsidRPr="004242BF" w:rsidRDefault="00C137BD" w:rsidP="00C137BD">
            <w:pPr>
              <w:spacing w:after="0"/>
              <w:jc w:val="left"/>
              <w:rPr>
                <w:sz w:val="22"/>
                <w:szCs w:val="22"/>
              </w:rPr>
            </w:pPr>
            <w:r>
              <w:rPr>
                <w:sz w:val="22"/>
                <w:szCs w:val="22"/>
              </w:rPr>
              <w:t>14</w:t>
            </w:r>
            <w:r w:rsidRPr="004242BF">
              <w:rPr>
                <w:sz w:val="22"/>
                <w:szCs w:val="22"/>
              </w:rPr>
              <w:t>.1 NSW Trader Portal</w:t>
            </w:r>
          </w:p>
          <w:p w14:paraId="6CE84BD7" w14:textId="2ABD5384" w:rsidR="00C137BD" w:rsidRPr="004242BF" w:rsidRDefault="00C137BD" w:rsidP="00C137BD">
            <w:pPr>
              <w:spacing w:after="0"/>
              <w:jc w:val="left"/>
              <w:rPr>
                <w:bCs/>
                <w:sz w:val="22"/>
                <w:szCs w:val="22"/>
              </w:rPr>
            </w:pPr>
            <w:r>
              <w:rPr>
                <w:bCs/>
                <w:sz w:val="22"/>
                <w:szCs w:val="22"/>
              </w:rPr>
              <w:t>14</w:t>
            </w:r>
            <w:r w:rsidRPr="004242BF">
              <w:rPr>
                <w:bCs/>
                <w:sz w:val="22"/>
                <w:szCs w:val="22"/>
              </w:rPr>
              <w:t>.2 NSW Help Desk</w:t>
            </w:r>
          </w:p>
          <w:p w14:paraId="26B2590A" w14:textId="1A50CAE2" w:rsidR="00C137BD" w:rsidRPr="004242BF" w:rsidRDefault="00C137BD" w:rsidP="00C137BD">
            <w:pPr>
              <w:spacing w:after="0"/>
              <w:jc w:val="left"/>
              <w:rPr>
                <w:bCs/>
                <w:sz w:val="22"/>
                <w:szCs w:val="22"/>
              </w:rPr>
            </w:pPr>
            <w:r>
              <w:rPr>
                <w:bCs/>
                <w:sz w:val="22"/>
                <w:szCs w:val="22"/>
              </w:rPr>
              <w:t>14</w:t>
            </w:r>
            <w:r w:rsidRPr="004242BF">
              <w:rPr>
                <w:bCs/>
                <w:sz w:val="22"/>
                <w:szCs w:val="22"/>
              </w:rPr>
              <w:t>.3 Registration of Traders and Competent Authority</w:t>
            </w:r>
          </w:p>
          <w:p w14:paraId="230E97B2" w14:textId="20CBD075" w:rsidR="00C137BD" w:rsidRPr="004242BF" w:rsidRDefault="00C137BD" w:rsidP="00C137BD">
            <w:pPr>
              <w:spacing w:after="0"/>
              <w:jc w:val="left"/>
              <w:rPr>
                <w:bCs/>
                <w:sz w:val="22"/>
                <w:szCs w:val="22"/>
              </w:rPr>
            </w:pPr>
            <w:r>
              <w:rPr>
                <w:bCs/>
                <w:sz w:val="22"/>
                <w:szCs w:val="22"/>
              </w:rPr>
              <w:t>14</w:t>
            </w:r>
            <w:r w:rsidRPr="004242BF">
              <w:rPr>
                <w:bCs/>
                <w:sz w:val="22"/>
                <w:szCs w:val="22"/>
              </w:rPr>
              <w:t>.4 LPCO Application</w:t>
            </w:r>
          </w:p>
          <w:p w14:paraId="01DE50F3" w14:textId="2DFD9459" w:rsidR="00C137BD" w:rsidRPr="004242BF" w:rsidRDefault="00C137BD" w:rsidP="00C137BD">
            <w:pPr>
              <w:spacing w:after="0"/>
              <w:jc w:val="left"/>
              <w:rPr>
                <w:bCs/>
                <w:sz w:val="22"/>
                <w:szCs w:val="22"/>
              </w:rPr>
            </w:pPr>
            <w:r>
              <w:rPr>
                <w:bCs/>
                <w:sz w:val="22"/>
                <w:szCs w:val="22"/>
              </w:rPr>
              <w:t>14</w:t>
            </w:r>
            <w:r w:rsidRPr="004242BF">
              <w:rPr>
                <w:bCs/>
                <w:sz w:val="22"/>
                <w:szCs w:val="22"/>
              </w:rPr>
              <w:t>.5 LPCO Management</w:t>
            </w:r>
          </w:p>
          <w:p w14:paraId="48D4201E" w14:textId="4DE39333" w:rsidR="00C137BD" w:rsidRPr="004242BF" w:rsidRDefault="00C137BD" w:rsidP="00C137BD">
            <w:pPr>
              <w:spacing w:after="0"/>
              <w:jc w:val="left"/>
              <w:rPr>
                <w:bCs/>
                <w:sz w:val="22"/>
                <w:szCs w:val="22"/>
              </w:rPr>
            </w:pPr>
            <w:r w:rsidRPr="004242BF">
              <w:rPr>
                <w:bCs/>
                <w:sz w:val="22"/>
                <w:szCs w:val="22"/>
              </w:rPr>
              <w:t>1</w:t>
            </w:r>
            <w:r>
              <w:rPr>
                <w:bCs/>
                <w:sz w:val="22"/>
                <w:szCs w:val="22"/>
              </w:rPr>
              <w:t>4</w:t>
            </w:r>
            <w:r w:rsidRPr="004242BF">
              <w:rPr>
                <w:bCs/>
                <w:sz w:val="22"/>
                <w:szCs w:val="22"/>
              </w:rPr>
              <w:t>.6 Payment Management</w:t>
            </w:r>
          </w:p>
          <w:p w14:paraId="0CE0EE54" w14:textId="04BBFB84" w:rsidR="00C137BD" w:rsidRPr="004242BF" w:rsidRDefault="00C137BD" w:rsidP="00C137BD">
            <w:pPr>
              <w:spacing w:after="0"/>
              <w:jc w:val="left"/>
              <w:rPr>
                <w:bCs/>
                <w:sz w:val="22"/>
                <w:szCs w:val="22"/>
              </w:rPr>
            </w:pPr>
            <w:r>
              <w:rPr>
                <w:bCs/>
                <w:sz w:val="22"/>
                <w:szCs w:val="22"/>
              </w:rPr>
              <w:t>14</w:t>
            </w:r>
            <w:r w:rsidRPr="004242BF">
              <w:rPr>
                <w:bCs/>
                <w:sz w:val="22"/>
                <w:szCs w:val="22"/>
              </w:rPr>
              <w:t>.7 Payment Processing</w:t>
            </w:r>
          </w:p>
          <w:p w14:paraId="2C23C550" w14:textId="3D1AC271" w:rsidR="00C137BD" w:rsidRPr="004242BF" w:rsidRDefault="00C137BD" w:rsidP="00C137BD">
            <w:pPr>
              <w:spacing w:after="0"/>
              <w:jc w:val="left"/>
              <w:rPr>
                <w:bCs/>
                <w:sz w:val="22"/>
                <w:szCs w:val="22"/>
              </w:rPr>
            </w:pPr>
            <w:r>
              <w:rPr>
                <w:bCs/>
                <w:sz w:val="22"/>
                <w:szCs w:val="22"/>
              </w:rPr>
              <w:t>14</w:t>
            </w:r>
            <w:r w:rsidRPr="004242BF">
              <w:rPr>
                <w:bCs/>
                <w:sz w:val="22"/>
                <w:szCs w:val="22"/>
              </w:rPr>
              <w:t>.8 Notification Management</w:t>
            </w:r>
          </w:p>
          <w:p w14:paraId="73555BC3" w14:textId="6F51C082" w:rsidR="00C137BD" w:rsidRPr="004242BF" w:rsidRDefault="00C137BD" w:rsidP="00C137BD">
            <w:pPr>
              <w:spacing w:after="0"/>
              <w:jc w:val="left"/>
              <w:rPr>
                <w:bCs/>
                <w:sz w:val="22"/>
                <w:szCs w:val="22"/>
              </w:rPr>
            </w:pPr>
            <w:r>
              <w:rPr>
                <w:bCs/>
                <w:sz w:val="22"/>
                <w:szCs w:val="22"/>
              </w:rPr>
              <w:t>14</w:t>
            </w:r>
            <w:r w:rsidRPr="004242BF">
              <w:rPr>
                <w:bCs/>
                <w:sz w:val="22"/>
                <w:szCs w:val="22"/>
              </w:rPr>
              <w:t>.9 LPCO Designer</w:t>
            </w:r>
          </w:p>
          <w:p w14:paraId="2CAE2F8B" w14:textId="400AFDF1" w:rsidR="00C137BD" w:rsidRPr="004242BF" w:rsidRDefault="00C137BD" w:rsidP="00C137BD">
            <w:pPr>
              <w:spacing w:after="0"/>
              <w:jc w:val="left"/>
              <w:rPr>
                <w:bCs/>
                <w:sz w:val="22"/>
                <w:szCs w:val="22"/>
              </w:rPr>
            </w:pPr>
            <w:r>
              <w:rPr>
                <w:bCs/>
                <w:sz w:val="22"/>
                <w:szCs w:val="22"/>
              </w:rPr>
              <w:t>14</w:t>
            </w:r>
            <w:r w:rsidRPr="004242BF">
              <w:rPr>
                <w:bCs/>
                <w:sz w:val="22"/>
                <w:szCs w:val="22"/>
              </w:rPr>
              <w:t>.10 Inspection Control Results </w:t>
            </w:r>
          </w:p>
          <w:p w14:paraId="3162A9F5" w14:textId="3B33265A" w:rsidR="00C137BD" w:rsidRPr="004242BF" w:rsidRDefault="00C137BD" w:rsidP="00C137BD">
            <w:pPr>
              <w:spacing w:after="0"/>
              <w:jc w:val="left"/>
              <w:rPr>
                <w:bCs/>
                <w:sz w:val="22"/>
                <w:szCs w:val="22"/>
              </w:rPr>
            </w:pPr>
            <w:r>
              <w:rPr>
                <w:bCs/>
                <w:sz w:val="22"/>
                <w:szCs w:val="22"/>
              </w:rPr>
              <w:t>14</w:t>
            </w:r>
            <w:r w:rsidRPr="004242BF">
              <w:rPr>
                <w:bCs/>
                <w:sz w:val="22"/>
                <w:szCs w:val="22"/>
              </w:rPr>
              <w:t>.11 Document Management </w:t>
            </w:r>
          </w:p>
          <w:p w14:paraId="311EFA44" w14:textId="4ABBD062" w:rsidR="00C137BD" w:rsidRPr="004242BF" w:rsidRDefault="00C137BD" w:rsidP="00C137BD">
            <w:pPr>
              <w:spacing w:after="0"/>
              <w:jc w:val="left"/>
              <w:rPr>
                <w:bCs/>
                <w:sz w:val="22"/>
                <w:szCs w:val="22"/>
              </w:rPr>
            </w:pPr>
            <w:r>
              <w:rPr>
                <w:bCs/>
                <w:sz w:val="22"/>
                <w:szCs w:val="22"/>
              </w:rPr>
              <w:t>14</w:t>
            </w:r>
            <w:r w:rsidRPr="004242BF">
              <w:rPr>
                <w:bCs/>
                <w:sz w:val="22"/>
                <w:szCs w:val="22"/>
              </w:rPr>
              <w:t>.12 LPCO Workflow Management</w:t>
            </w:r>
          </w:p>
          <w:p w14:paraId="0C73C984" w14:textId="71EBF44C" w:rsidR="00C137BD" w:rsidRPr="004242BF" w:rsidRDefault="00C137BD" w:rsidP="00C137BD">
            <w:pPr>
              <w:spacing w:after="0"/>
              <w:jc w:val="left"/>
              <w:rPr>
                <w:bCs/>
                <w:sz w:val="22"/>
                <w:szCs w:val="22"/>
              </w:rPr>
            </w:pPr>
            <w:r>
              <w:rPr>
                <w:bCs/>
                <w:sz w:val="22"/>
                <w:szCs w:val="22"/>
              </w:rPr>
              <w:t>14</w:t>
            </w:r>
            <w:r w:rsidRPr="004242BF">
              <w:rPr>
                <w:bCs/>
                <w:sz w:val="22"/>
                <w:szCs w:val="22"/>
              </w:rPr>
              <w:t>.13 NSW Risk Management Module</w:t>
            </w:r>
          </w:p>
          <w:p w14:paraId="51067304" w14:textId="7CE33803" w:rsidR="00C137BD" w:rsidRPr="004242BF" w:rsidRDefault="00C137BD" w:rsidP="00C137BD">
            <w:pPr>
              <w:spacing w:after="0"/>
              <w:jc w:val="left"/>
              <w:rPr>
                <w:bCs/>
                <w:sz w:val="22"/>
                <w:szCs w:val="22"/>
              </w:rPr>
            </w:pPr>
            <w:r>
              <w:rPr>
                <w:bCs/>
                <w:sz w:val="22"/>
                <w:szCs w:val="22"/>
              </w:rPr>
              <w:t>14</w:t>
            </w:r>
            <w:r w:rsidRPr="004242BF">
              <w:rPr>
                <w:bCs/>
                <w:sz w:val="22"/>
                <w:szCs w:val="22"/>
              </w:rPr>
              <w:t>.14 Referents Tables</w:t>
            </w:r>
          </w:p>
          <w:p w14:paraId="7F7744C7" w14:textId="76056A6E" w:rsidR="00C137BD" w:rsidRPr="004242BF" w:rsidRDefault="00C137BD" w:rsidP="00C137BD">
            <w:pPr>
              <w:spacing w:after="0"/>
              <w:jc w:val="left"/>
              <w:rPr>
                <w:bCs/>
                <w:sz w:val="22"/>
                <w:szCs w:val="22"/>
              </w:rPr>
            </w:pPr>
            <w:r>
              <w:rPr>
                <w:bCs/>
                <w:sz w:val="22"/>
                <w:szCs w:val="22"/>
              </w:rPr>
              <w:t>14</w:t>
            </w:r>
            <w:r w:rsidRPr="004242BF">
              <w:rPr>
                <w:bCs/>
                <w:sz w:val="22"/>
                <w:szCs w:val="22"/>
              </w:rPr>
              <w:t>.15 Reporting Service</w:t>
            </w:r>
          </w:p>
          <w:p w14:paraId="1D968ED1" w14:textId="6E931F7B" w:rsidR="00C137BD" w:rsidRPr="004242BF" w:rsidRDefault="00C137BD" w:rsidP="00C137BD">
            <w:pPr>
              <w:spacing w:after="0"/>
              <w:jc w:val="left"/>
              <w:rPr>
                <w:sz w:val="22"/>
                <w:szCs w:val="22"/>
              </w:rPr>
            </w:pPr>
            <w:r>
              <w:rPr>
                <w:bCs/>
                <w:sz w:val="22"/>
                <w:szCs w:val="22"/>
              </w:rPr>
              <w:t>14</w:t>
            </w:r>
            <w:r w:rsidRPr="004242BF">
              <w:rPr>
                <w:bCs/>
                <w:sz w:val="22"/>
                <w:szCs w:val="22"/>
              </w:rPr>
              <w:t>.16 Data Converter</w:t>
            </w:r>
          </w:p>
        </w:tc>
        <w:tc>
          <w:tcPr>
            <w:tcW w:w="3575" w:type="dxa"/>
          </w:tcPr>
          <w:p w14:paraId="33F1999B" w14:textId="418E0631" w:rsidR="00C137BD" w:rsidRPr="004242BF" w:rsidRDefault="00C137BD" w:rsidP="00C137BD">
            <w:pPr>
              <w:spacing w:after="0"/>
              <w:jc w:val="left"/>
              <w:rPr>
                <w:sz w:val="22"/>
                <w:szCs w:val="22"/>
              </w:rPr>
            </w:pPr>
            <w:r w:rsidRPr="004242BF">
              <w:rPr>
                <w:sz w:val="22"/>
                <w:szCs w:val="22"/>
              </w:rPr>
              <w:t>Deployment Package for subsystem/items 1</w:t>
            </w:r>
            <w:r>
              <w:rPr>
                <w:sz w:val="22"/>
                <w:szCs w:val="22"/>
              </w:rPr>
              <w:t>4</w:t>
            </w:r>
            <w:r w:rsidRPr="004242BF">
              <w:rPr>
                <w:sz w:val="22"/>
                <w:szCs w:val="22"/>
              </w:rPr>
              <w:t>.1 to 1</w:t>
            </w:r>
            <w:r>
              <w:rPr>
                <w:sz w:val="22"/>
                <w:szCs w:val="22"/>
              </w:rPr>
              <w:t>4</w:t>
            </w:r>
            <w:r w:rsidRPr="004242BF">
              <w:rPr>
                <w:sz w:val="22"/>
                <w:szCs w:val="22"/>
              </w:rPr>
              <w:t>.16</w:t>
            </w:r>
          </w:p>
        </w:tc>
        <w:tc>
          <w:tcPr>
            <w:tcW w:w="1260" w:type="dxa"/>
          </w:tcPr>
          <w:p w14:paraId="569E9331" w14:textId="77777777" w:rsidR="00C137BD" w:rsidRPr="004242BF" w:rsidRDefault="00C137BD" w:rsidP="00C137BD">
            <w:pPr>
              <w:spacing w:after="0"/>
              <w:jc w:val="center"/>
              <w:rPr>
                <w:sz w:val="22"/>
                <w:szCs w:val="22"/>
              </w:rPr>
            </w:pPr>
          </w:p>
        </w:tc>
        <w:tc>
          <w:tcPr>
            <w:tcW w:w="1350" w:type="dxa"/>
          </w:tcPr>
          <w:p w14:paraId="1C81AE5F" w14:textId="77777777" w:rsidR="00C137BD" w:rsidRPr="004242BF" w:rsidRDefault="00C137BD" w:rsidP="00C137BD">
            <w:pPr>
              <w:spacing w:after="0"/>
              <w:jc w:val="center"/>
              <w:rPr>
                <w:sz w:val="22"/>
                <w:szCs w:val="22"/>
              </w:rPr>
            </w:pPr>
          </w:p>
        </w:tc>
        <w:tc>
          <w:tcPr>
            <w:tcW w:w="1080" w:type="dxa"/>
          </w:tcPr>
          <w:p w14:paraId="360B37BF" w14:textId="6DE514B5" w:rsidR="00C137BD" w:rsidRPr="004242BF" w:rsidRDefault="00C137BD" w:rsidP="00C137BD">
            <w:pPr>
              <w:spacing w:after="0"/>
              <w:jc w:val="center"/>
              <w:rPr>
                <w:sz w:val="22"/>
                <w:szCs w:val="22"/>
              </w:rPr>
            </w:pPr>
          </w:p>
        </w:tc>
      </w:tr>
      <w:tr w:rsidR="00C137BD" w:rsidRPr="004C6BF5" w14:paraId="3910DEA0" w14:textId="77777777" w:rsidTr="00BF283B">
        <w:trPr>
          <w:cantSplit/>
        </w:trPr>
        <w:tc>
          <w:tcPr>
            <w:tcW w:w="843" w:type="dxa"/>
          </w:tcPr>
          <w:p w14:paraId="5F94319B" w14:textId="148F9BED" w:rsidR="00C137BD" w:rsidRPr="004C6BF5" w:rsidRDefault="00C137BD" w:rsidP="00C137BD">
            <w:pPr>
              <w:spacing w:after="0"/>
              <w:jc w:val="center"/>
              <w:rPr>
                <w:b/>
                <w:szCs w:val="22"/>
              </w:rPr>
            </w:pPr>
            <w:r>
              <w:rPr>
                <w:b/>
                <w:szCs w:val="22"/>
              </w:rPr>
              <w:t>15</w:t>
            </w:r>
            <w:r w:rsidRPr="004C6BF5">
              <w:rPr>
                <w:b/>
                <w:szCs w:val="22"/>
              </w:rPr>
              <w:t>.</w:t>
            </w:r>
          </w:p>
        </w:tc>
        <w:tc>
          <w:tcPr>
            <w:tcW w:w="4394" w:type="dxa"/>
          </w:tcPr>
          <w:p w14:paraId="533FE199" w14:textId="77777777" w:rsidR="00C137BD" w:rsidRPr="004C6BF5" w:rsidRDefault="00C137BD" w:rsidP="00C137BD">
            <w:pPr>
              <w:spacing w:after="0"/>
              <w:jc w:val="left"/>
              <w:rPr>
                <w:b/>
                <w:szCs w:val="22"/>
              </w:rPr>
            </w:pPr>
            <w:r w:rsidRPr="004C6BF5">
              <w:rPr>
                <w:b/>
                <w:szCs w:val="22"/>
              </w:rPr>
              <w:t>Rollout Stage</w:t>
            </w:r>
          </w:p>
        </w:tc>
        <w:tc>
          <w:tcPr>
            <w:tcW w:w="3575" w:type="dxa"/>
          </w:tcPr>
          <w:p w14:paraId="54BE7FB3" w14:textId="77777777" w:rsidR="00C137BD" w:rsidRPr="004C6BF5" w:rsidRDefault="00C137BD" w:rsidP="00C137BD">
            <w:pPr>
              <w:spacing w:after="0"/>
              <w:jc w:val="left"/>
              <w:rPr>
                <w:b/>
                <w:szCs w:val="22"/>
              </w:rPr>
            </w:pPr>
            <w:r w:rsidRPr="00766725">
              <w:rPr>
                <w:b/>
                <w:szCs w:val="22"/>
              </w:rPr>
              <w:t>Source Code</w:t>
            </w:r>
          </w:p>
        </w:tc>
        <w:tc>
          <w:tcPr>
            <w:tcW w:w="1260" w:type="dxa"/>
          </w:tcPr>
          <w:p w14:paraId="2B35DD0E" w14:textId="1FD13B9E" w:rsidR="00C137BD" w:rsidRPr="004A348F" w:rsidRDefault="00C137BD" w:rsidP="00C137BD">
            <w:pPr>
              <w:spacing w:after="0"/>
              <w:jc w:val="center"/>
              <w:rPr>
                <w:b/>
                <w:szCs w:val="22"/>
              </w:rPr>
            </w:pPr>
            <w:r w:rsidRPr="004A348F">
              <w:rPr>
                <w:b/>
                <w:szCs w:val="22"/>
              </w:rPr>
              <w:t>W</w:t>
            </w:r>
            <w:r w:rsidR="0057360A">
              <w:rPr>
                <w:b/>
                <w:szCs w:val="22"/>
              </w:rPr>
              <w:t>53</w:t>
            </w:r>
          </w:p>
        </w:tc>
        <w:tc>
          <w:tcPr>
            <w:tcW w:w="1350" w:type="dxa"/>
          </w:tcPr>
          <w:p w14:paraId="4C6E328F" w14:textId="68E66651" w:rsidR="00C137BD" w:rsidRPr="004A348F" w:rsidRDefault="00C137BD" w:rsidP="00C137BD">
            <w:pPr>
              <w:spacing w:after="0"/>
              <w:jc w:val="center"/>
              <w:rPr>
                <w:b/>
                <w:szCs w:val="22"/>
              </w:rPr>
            </w:pPr>
            <w:r w:rsidRPr="004A348F">
              <w:rPr>
                <w:b/>
                <w:szCs w:val="22"/>
              </w:rPr>
              <w:t>W</w:t>
            </w:r>
            <w:r w:rsidR="0057360A">
              <w:rPr>
                <w:b/>
                <w:szCs w:val="22"/>
              </w:rPr>
              <w:t>54</w:t>
            </w:r>
          </w:p>
        </w:tc>
        <w:tc>
          <w:tcPr>
            <w:tcW w:w="1080" w:type="dxa"/>
          </w:tcPr>
          <w:p w14:paraId="3A9674F0" w14:textId="76621D45" w:rsidR="00C137BD" w:rsidRPr="004C6BF5" w:rsidRDefault="00C137BD" w:rsidP="00C137BD">
            <w:pPr>
              <w:spacing w:after="0"/>
              <w:jc w:val="center"/>
              <w:rPr>
                <w:b/>
                <w:szCs w:val="22"/>
              </w:rPr>
            </w:pPr>
            <w:r w:rsidRPr="004C6BF5">
              <w:rPr>
                <w:b/>
                <w:szCs w:val="22"/>
              </w:rPr>
              <w:t>YES</w:t>
            </w:r>
          </w:p>
        </w:tc>
      </w:tr>
      <w:tr w:rsidR="00C137BD" w:rsidRPr="004242BF" w14:paraId="1BA8C48B" w14:textId="77777777" w:rsidTr="00BF283B">
        <w:trPr>
          <w:cantSplit/>
        </w:trPr>
        <w:tc>
          <w:tcPr>
            <w:tcW w:w="843" w:type="dxa"/>
          </w:tcPr>
          <w:p w14:paraId="573965E2" w14:textId="77FE6B2A" w:rsidR="00C137BD" w:rsidRPr="004242BF" w:rsidRDefault="00C137BD" w:rsidP="00C137BD">
            <w:pPr>
              <w:spacing w:after="0"/>
              <w:jc w:val="center"/>
              <w:rPr>
                <w:sz w:val="22"/>
                <w:szCs w:val="22"/>
              </w:rPr>
            </w:pPr>
          </w:p>
        </w:tc>
        <w:tc>
          <w:tcPr>
            <w:tcW w:w="4394" w:type="dxa"/>
          </w:tcPr>
          <w:p w14:paraId="50066D10" w14:textId="41C3972B" w:rsidR="00C137BD" w:rsidRPr="004242BF" w:rsidRDefault="00C137BD" w:rsidP="00C137BD">
            <w:pPr>
              <w:spacing w:after="0"/>
              <w:jc w:val="left"/>
              <w:rPr>
                <w:sz w:val="22"/>
                <w:szCs w:val="22"/>
              </w:rPr>
            </w:pPr>
            <w:r w:rsidRPr="004242BF">
              <w:rPr>
                <w:sz w:val="22"/>
                <w:szCs w:val="22"/>
              </w:rPr>
              <w:t>1</w:t>
            </w:r>
            <w:r>
              <w:rPr>
                <w:sz w:val="22"/>
                <w:szCs w:val="22"/>
              </w:rPr>
              <w:t>5</w:t>
            </w:r>
            <w:r w:rsidRPr="004242BF">
              <w:rPr>
                <w:sz w:val="22"/>
                <w:szCs w:val="22"/>
              </w:rPr>
              <w:t>.1 NSW Trader Portal</w:t>
            </w:r>
          </w:p>
          <w:p w14:paraId="2192D01D" w14:textId="2E698166" w:rsidR="00C137BD" w:rsidRPr="004242BF" w:rsidRDefault="00C137BD" w:rsidP="00C137BD">
            <w:pPr>
              <w:spacing w:after="0"/>
              <w:jc w:val="left"/>
              <w:rPr>
                <w:bCs/>
                <w:sz w:val="22"/>
                <w:szCs w:val="22"/>
              </w:rPr>
            </w:pPr>
            <w:r>
              <w:rPr>
                <w:bCs/>
                <w:sz w:val="22"/>
                <w:szCs w:val="22"/>
              </w:rPr>
              <w:t>15</w:t>
            </w:r>
            <w:r w:rsidRPr="004242BF">
              <w:rPr>
                <w:bCs/>
                <w:sz w:val="22"/>
                <w:szCs w:val="22"/>
              </w:rPr>
              <w:t>.2 NSW Help Desk</w:t>
            </w:r>
          </w:p>
          <w:p w14:paraId="18469F16" w14:textId="6D6040FB" w:rsidR="00C137BD" w:rsidRPr="004242BF" w:rsidRDefault="00C137BD" w:rsidP="00C137BD">
            <w:pPr>
              <w:spacing w:after="0"/>
              <w:jc w:val="left"/>
              <w:rPr>
                <w:bCs/>
                <w:sz w:val="22"/>
                <w:szCs w:val="22"/>
              </w:rPr>
            </w:pPr>
            <w:r>
              <w:rPr>
                <w:bCs/>
                <w:sz w:val="22"/>
                <w:szCs w:val="22"/>
              </w:rPr>
              <w:t>15</w:t>
            </w:r>
            <w:r w:rsidRPr="004242BF">
              <w:rPr>
                <w:bCs/>
                <w:sz w:val="22"/>
                <w:szCs w:val="22"/>
              </w:rPr>
              <w:t>.3 Registration of Traders and Competent Authority</w:t>
            </w:r>
          </w:p>
          <w:p w14:paraId="6851CB75" w14:textId="1B849C40" w:rsidR="00C137BD" w:rsidRPr="004242BF" w:rsidRDefault="00C137BD" w:rsidP="00C137BD">
            <w:pPr>
              <w:spacing w:after="0"/>
              <w:jc w:val="left"/>
              <w:rPr>
                <w:bCs/>
                <w:sz w:val="22"/>
                <w:szCs w:val="22"/>
              </w:rPr>
            </w:pPr>
            <w:r>
              <w:rPr>
                <w:bCs/>
                <w:sz w:val="22"/>
                <w:szCs w:val="22"/>
              </w:rPr>
              <w:t>15</w:t>
            </w:r>
            <w:r w:rsidRPr="004242BF">
              <w:rPr>
                <w:bCs/>
                <w:sz w:val="22"/>
                <w:szCs w:val="22"/>
              </w:rPr>
              <w:t>.4 LPCO Application</w:t>
            </w:r>
          </w:p>
          <w:p w14:paraId="24F737C0" w14:textId="7FD665FF" w:rsidR="00C137BD" w:rsidRPr="004242BF" w:rsidRDefault="00C137BD" w:rsidP="00C137BD">
            <w:pPr>
              <w:spacing w:after="0"/>
              <w:jc w:val="left"/>
              <w:rPr>
                <w:bCs/>
                <w:sz w:val="22"/>
                <w:szCs w:val="22"/>
              </w:rPr>
            </w:pPr>
            <w:r>
              <w:rPr>
                <w:bCs/>
                <w:sz w:val="22"/>
                <w:szCs w:val="22"/>
              </w:rPr>
              <w:t>15</w:t>
            </w:r>
            <w:r w:rsidRPr="004242BF">
              <w:rPr>
                <w:bCs/>
                <w:sz w:val="22"/>
                <w:szCs w:val="22"/>
              </w:rPr>
              <w:t>.5 LPCO Management</w:t>
            </w:r>
          </w:p>
          <w:p w14:paraId="3B2277F9" w14:textId="0DDA615E" w:rsidR="00C137BD" w:rsidRPr="004242BF" w:rsidRDefault="00C137BD" w:rsidP="00C137BD">
            <w:pPr>
              <w:spacing w:after="0"/>
              <w:jc w:val="left"/>
              <w:rPr>
                <w:bCs/>
                <w:sz w:val="22"/>
                <w:szCs w:val="22"/>
              </w:rPr>
            </w:pPr>
            <w:r>
              <w:rPr>
                <w:bCs/>
                <w:sz w:val="22"/>
                <w:szCs w:val="22"/>
              </w:rPr>
              <w:t>15</w:t>
            </w:r>
            <w:r w:rsidRPr="004242BF">
              <w:rPr>
                <w:bCs/>
                <w:sz w:val="22"/>
                <w:szCs w:val="22"/>
              </w:rPr>
              <w:t>.6 Payment Management</w:t>
            </w:r>
          </w:p>
          <w:p w14:paraId="34616047" w14:textId="3F34A406" w:rsidR="00C137BD" w:rsidRPr="004242BF" w:rsidRDefault="00C137BD" w:rsidP="00C137BD">
            <w:pPr>
              <w:spacing w:after="0"/>
              <w:jc w:val="left"/>
              <w:rPr>
                <w:bCs/>
                <w:sz w:val="22"/>
                <w:szCs w:val="22"/>
              </w:rPr>
            </w:pPr>
            <w:r>
              <w:rPr>
                <w:bCs/>
                <w:sz w:val="22"/>
                <w:szCs w:val="22"/>
              </w:rPr>
              <w:t>15</w:t>
            </w:r>
            <w:r w:rsidRPr="004242BF">
              <w:rPr>
                <w:bCs/>
                <w:sz w:val="22"/>
                <w:szCs w:val="22"/>
              </w:rPr>
              <w:t>.7 Payment Processing</w:t>
            </w:r>
          </w:p>
          <w:p w14:paraId="16B74EF3" w14:textId="4A96C7A8" w:rsidR="00C137BD" w:rsidRPr="004242BF" w:rsidRDefault="00C137BD" w:rsidP="00C137BD">
            <w:pPr>
              <w:spacing w:after="0"/>
              <w:jc w:val="left"/>
              <w:rPr>
                <w:bCs/>
                <w:sz w:val="22"/>
                <w:szCs w:val="22"/>
              </w:rPr>
            </w:pPr>
            <w:r>
              <w:rPr>
                <w:bCs/>
                <w:sz w:val="22"/>
                <w:szCs w:val="22"/>
              </w:rPr>
              <w:t>15</w:t>
            </w:r>
            <w:r w:rsidRPr="004242BF">
              <w:rPr>
                <w:bCs/>
                <w:sz w:val="22"/>
                <w:szCs w:val="22"/>
              </w:rPr>
              <w:t>.8 Notification Management</w:t>
            </w:r>
          </w:p>
          <w:p w14:paraId="115C7AE0" w14:textId="14BF347C" w:rsidR="00C137BD" w:rsidRPr="004242BF" w:rsidRDefault="00C137BD" w:rsidP="00C137BD">
            <w:pPr>
              <w:spacing w:after="0"/>
              <w:jc w:val="left"/>
              <w:rPr>
                <w:bCs/>
                <w:sz w:val="22"/>
                <w:szCs w:val="22"/>
              </w:rPr>
            </w:pPr>
            <w:r>
              <w:rPr>
                <w:bCs/>
                <w:sz w:val="22"/>
                <w:szCs w:val="22"/>
              </w:rPr>
              <w:t>15</w:t>
            </w:r>
            <w:r w:rsidRPr="004242BF">
              <w:rPr>
                <w:bCs/>
                <w:sz w:val="22"/>
                <w:szCs w:val="22"/>
              </w:rPr>
              <w:t>.9 LPCO Designer</w:t>
            </w:r>
          </w:p>
          <w:p w14:paraId="23E29880" w14:textId="6F4CFFA0" w:rsidR="00C137BD" w:rsidRPr="004242BF" w:rsidRDefault="00C137BD" w:rsidP="00C137BD">
            <w:pPr>
              <w:spacing w:after="0"/>
              <w:jc w:val="left"/>
              <w:rPr>
                <w:bCs/>
                <w:sz w:val="22"/>
                <w:szCs w:val="22"/>
              </w:rPr>
            </w:pPr>
            <w:r>
              <w:rPr>
                <w:bCs/>
                <w:sz w:val="22"/>
                <w:szCs w:val="22"/>
              </w:rPr>
              <w:t>15</w:t>
            </w:r>
            <w:r w:rsidRPr="004242BF">
              <w:rPr>
                <w:bCs/>
                <w:sz w:val="22"/>
                <w:szCs w:val="22"/>
              </w:rPr>
              <w:t>.10 Inspection Control Results </w:t>
            </w:r>
          </w:p>
          <w:p w14:paraId="47013806" w14:textId="2228859A" w:rsidR="00C137BD" w:rsidRPr="004242BF" w:rsidRDefault="00C137BD" w:rsidP="00C137BD">
            <w:pPr>
              <w:spacing w:after="0"/>
              <w:jc w:val="left"/>
              <w:rPr>
                <w:bCs/>
                <w:sz w:val="22"/>
                <w:szCs w:val="22"/>
              </w:rPr>
            </w:pPr>
            <w:r>
              <w:rPr>
                <w:bCs/>
                <w:sz w:val="22"/>
                <w:szCs w:val="22"/>
              </w:rPr>
              <w:t>15</w:t>
            </w:r>
            <w:r w:rsidRPr="004242BF">
              <w:rPr>
                <w:bCs/>
                <w:sz w:val="22"/>
                <w:szCs w:val="22"/>
              </w:rPr>
              <w:t>.11 Document Management </w:t>
            </w:r>
          </w:p>
          <w:p w14:paraId="14CF09A3" w14:textId="3B9AAF0F" w:rsidR="00C137BD" w:rsidRPr="004242BF" w:rsidRDefault="00C137BD" w:rsidP="00C137BD">
            <w:pPr>
              <w:spacing w:after="0"/>
              <w:jc w:val="left"/>
              <w:rPr>
                <w:bCs/>
                <w:sz w:val="22"/>
                <w:szCs w:val="22"/>
              </w:rPr>
            </w:pPr>
            <w:r>
              <w:rPr>
                <w:bCs/>
                <w:sz w:val="22"/>
                <w:szCs w:val="22"/>
              </w:rPr>
              <w:t>15</w:t>
            </w:r>
            <w:r w:rsidRPr="004242BF">
              <w:rPr>
                <w:bCs/>
                <w:sz w:val="22"/>
                <w:szCs w:val="22"/>
              </w:rPr>
              <w:t>.12 LPCO Workflow Management</w:t>
            </w:r>
          </w:p>
          <w:p w14:paraId="65B16251" w14:textId="79C27389" w:rsidR="00C137BD" w:rsidRPr="004242BF" w:rsidRDefault="00C137BD" w:rsidP="00C137BD">
            <w:pPr>
              <w:spacing w:after="0"/>
              <w:jc w:val="left"/>
              <w:rPr>
                <w:bCs/>
                <w:sz w:val="22"/>
                <w:szCs w:val="22"/>
              </w:rPr>
            </w:pPr>
            <w:r>
              <w:rPr>
                <w:bCs/>
                <w:sz w:val="22"/>
                <w:szCs w:val="22"/>
              </w:rPr>
              <w:t>15</w:t>
            </w:r>
            <w:r w:rsidRPr="004242BF">
              <w:rPr>
                <w:bCs/>
                <w:sz w:val="22"/>
                <w:szCs w:val="22"/>
              </w:rPr>
              <w:t>.13 NSW Risk Management Module</w:t>
            </w:r>
          </w:p>
          <w:p w14:paraId="6115AECA" w14:textId="2A1F8B24" w:rsidR="00C137BD" w:rsidRPr="004242BF" w:rsidRDefault="00C137BD" w:rsidP="00C137BD">
            <w:pPr>
              <w:spacing w:after="0"/>
              <w:jc w:val="left"/>
              <w:rPr>
                <w:bCs/>
                <w:sz w:val="22"/>
                <w:szCs w:val="22"/>
              </w:rPr>
            </w:pPr>
            <w:r>
              <w:rPr>
                <w:bCs/>
                <w:sz w:val="22"/>
                <w:szCs w:val="22"/>
              </w:rPr>
              <w:t>15</w:t>
            </w:r>
            <w:r w:rsidRPr="004242BF">
              <w:rPr>
                <w:bCs/>
                <w:sz w:val="22"/>
                <w:szCs w:val="22"/>
              </w:rPr>
              <w:t>.14 Referents Tables</w:t>
            </w:r>
          </w:p>
          <w:p w14:paraId="17DF74C5" w14:textId="3EA131F6" w:rsidR="00C137BD" w:rsidRPr="004242BF" w:rsidRDefault="00C137BD" w:rsidP="00C137BD">
            <w:pPr>
              <w:spacing w:after="0"/>
              <w:jc w:val="left"/>
              <w:rPr>
                <w:bCs/>
                <w:sz w:val="22"/>
                <w:szCs w:val="22"/>
              </w:rPr>
            </w:pPr>
            <w:r>
              <w:rPr>
                <w:bCs/>
                <w:sz w:val="22"/>
                <w:szCs w:val="22"/>
              </w:rPr>
              <w:t>15</w:t>
            </w:r>
            <w:r w:rsidRPr="004242BF">
              <w:rPr>
                <w:bCs/>
                <w:sz w:val="22"/>
                <w:szCs w:val="22"/>
              </w:rPr>
              <w:t>.15 Reporting Service</w:t>
            </w:r>
          </w:p>
          <w:p w14:paraId="728F66EE" w14:textId="1A8CA5E4" w:rsidR="00C137BD" w:rsidRPr="004242BF" w:rsidRDefault="00C137BD" w:rsidP="00C137BD">
            <w:pPr>
              <w:spacing w:after="0"/>
              <w:jc w:val="left"/>
              <w:rPr>
                <w:sz w:val="22"/>
                <w:szCs w:val="22"/>
              </w:rPr>
            </w:pPr>
            <w:r>
              <w:rPr>
                <w:bCs/>
                <w:sz w:val="22"/>
                <w:szCs w:val="22"/>
              </w:rPr>
              <w:t>15</w:t>
            </w:r>
            <w:r w:rsidRPr="004242BF">
              <w:rPr>
                <w:bCs/>
                <w:sz w:val="22"/>
                <w:szCs w:val="22"/>
              </w:rPr>
              <w:t>.16 Data Converter</w:t>
            </w:r>
          </w:p>
        </w:tc>
        <w:tc>
          <w:tcPr>
            <w:tcW w:w="3575" w:type="dxa"/>
          </w:tcPr>
          <w:p w14:paraId="026CAF9A" w14:textId="621EB97F" w:rsidR="00C137BD" w:rsidRPr="004242BF" w:rsidRDefault="00C137BD" w:rsidP="00C137BD">
            <w:pPr>
              <w:spacing w:after="0"/>
              <w:jc w:val="left"/>
              <w:rPr>
                <w:sz w:val="22"/>
                <w:szCs w:val="22"/>
                <w:lang w:val="fr-BE"/>
              </w:rPr>
            </w:pPr>
            <w:r w:rsidRPr="004242BF">
              <w:rPr>
                <w:sz w:val="22"/>
                <w:szCs w:val="22"/>
                <w:lang w:val="fr-BE"/>
              </w:rPr>
              <w:t>So</w:t>
            </w:r>
            <w:r>
              <w:rPr>
                <w:sz w:val="22"/>
                <w:szCs w:val="22"/>
                <w:lang w:val="fr-BE"/>
              </w:rPr>
              <w:t xml:space="preserve">urce Code for </w:t>
            </w:r>
            <w:proofErr w:type="spellStart"/>
            <w:r>
              <w:rPr>
                <w:sz w:val="22"/>
                <w:szCs w:val="22"/>
                <w:lang w:val="fr-BE"/>
              </w:rPr>
              <w:t>subsystem</w:t>
            </w:r>
            <w:proofErr w:type="spellEnd"/>
            <w:r>
              <w:rPr>
                <w:sz w:val="22"/>
                <w:szCs w:val="22"/>
                <w:lang w:val="fr-BE"/>
              </w:rPr>
              <w:t>/items 15.1 to 15</w:t>
            </w:r>
            <w:r w:rsidRPr="004242BF">
              <w:rPr>
                <w:sz w:val="22"/>
                <w:szCs w:val="22"/>
                <w:lang w:val="fr-BE"/>
              </w:rPr>
              <w:t>.16</w:t>
            </w:r>
          </w:p>
        </w:tc>
        <w:tc>
          <w:tcPr>
            <w:tcW w:w="1260" w:type="dxa"/>
          </w:tcPr>
          <w:p w14:paraId="1E99533B" w14:textId="77777777" w:rsidR="00C137BD" w:rsidRPr="004242BF" w:rsidRDefault="00C137BD" w:rsidP="00C137BD">
            <w:pPr>
              <w:spacing w:after="0"/>
              <w:jc w:val="center"/>
              <w:rPr>
                <w:sz w:val="22"/>
                <w:szCs w:val="22"/>
              </w:rPr>
            </w:pPr>
          </w:p>
        </w:tc>
        <w:tc>
          <w:tcPr>
            <w:tcW w:w="1350" w:type="dxa"/>
          </w:tcPr>
          <w:p w14:paraId="7B1ABF52" w14:textId="77777777" w:rsidR="00C137BD" w:rsidRPr="004242BF" w:rsidRDefault="00C137BD" w:rsidP="00C137BD">
            <w:pPr>
              <w:spacing w:after="0"/>
              <w:jc w:val="center"/>
              <w:rPr>
                <w:sz w:val="22"/>
                <w:szCs w:val="22"/>
              </w:rPr>
            </w:pPr>
          </w:p>
        </w:tc>
        <w:tc>
          <w:tcPr>
            <w:tcW w:w="1080" w:type="dxa"/>
          </w:tcPr>
          <w:p w14:paraId="4C2AA92B" w14:textId="407F8AD9" w:rsidR="00C137BD" w:rsidRPr="004242BF" w:rsidRDefault="00C137BD" w:rsidP="00C137BD">
            <w:pPr>
              <w:spacing w:after="0"/>
              <w:jc w:val="center"/>
              <w:rPr>
                <w:sz w:val="22"/>
                <w:szCs w:val="22"/>
              </w:rPr>
            </w:pPr>
          </w:p>
        </w:tc>
      </w:tr>
    </w:tbl>
    <w:p w14:paraId="1F5B8647" w14:textId="77777777" w:rsidR="00513AB5" w:rsidRDefault="00513AB5">
      <w:pPr>
        <w:tabs>
          <w:tab w:val="left" w:pos="9900"/>
        </w:tabs>
        <w:spacing w:after="180"/>
        <w:jc w:val="center"/>
        <w:rPr>
          <w:rStyle w:val="Preparersnotenobold"/>
        </w:rPr>
      </w:pPr>
    </w:p>
    <w:p w14:paraId="79D95EB2" w14:textId="77777777" w:rsidR="00157AAA" w:rsidRDefault="006C1BE5">
      <w:pPr>
        <w:spacing w:after="0"/>
        <w:ind w:left="720"/>
        <w:jc w:val="left"/>
        <w:rPr>
          <w:b/>
          <w:bCs/>
          <w:szCs w:val="24"/>
        </w:rPr>
      </w:pPr>
      <w:r>
        <w:rPr>
          <w:b/>
          <w:bCs/>
          <w:szCs w:val="24"/>
        </w:rPr>
        <w:t xml:space="preserve">*Clarification Note: </w:t>
      </w:r>
    </w:p>
    <w:p w14:paraId="2312C5F1" w14:textId="5A8A2EED" w:rsidR="00157AAA" w:rsidRDefault="00B44A6B" w:rsidP="00D530D5">
      <w:pPr>
        <w:numPr>
          <w:ilvl w:val="1"/>
          <w:numId w:val="144"/>
        </w:numPr>
        <w:spacing w:after="0"/>
        <w:jc w:val="left"/>
        <w:rPr>
          <w:szCs w:val="24"/>
        </w:rPr>
      </w:pPr>
      <w:r>
        <w:rPr>
          <w:szCs w:val="24"/>
        </w:rPr>
        <w:t xml:space="preserve">The </w:t>
      </w:r>
      <w:r w:rsidR="006C1BE5">
        <w:rPr>
          <w:szCs w:val="24"/>
        </w:rPr>
        <w:t xml:space="preserve">Supplier must </w:t>
      </w:r>
      <w:r>
        <w:rPr>
          <w:szCs w:val="24"/>
        </w:rPr>
        <w:t xml:space="preserve">perform </w:t>
      </w:r>
      <w:r w:rsidR="006C1BE5">
        <w:rPr>
          <w:szCs w:val="24"/>
        </w:rPr>
        <w:t xml:space="preserve">software development </w:t>
      </w:r>
      <w:r>
        <w:rPr>
          <w:szCs w:val="24"/>
        </w:rPr>
        <w:t xml:space="preserve">with </w:t>
      </w:r>
      <w:r w:rsidR="006C1BE5">
        <w:rPr>
          <w:szCs w:val="24"/>
        </w:rPr>
        <w:t>development tool</w:t>
      </w:r>
      <w:r>
        <w:rPr>
          <w:szCs w:val="24"/>
        </w:rPr>
        <w:t>s</w:t>
      </w:r>
      <w:r w:rsidR="006C1BE5">
        <w:rPr>
          <w:szCs w:val="24"/>
        </w:rPr>
        <w:t xml:space="preserve"> used by software developers, architects, and engineers to create visual representations, models, and documentation that describe the architecture, components, and interactions of a software system. These tools must facilitate the design process, aiding in the planning, visualization, and communication of complex software systems. Here are some common features and capabilities of software system design tools:</w:t>
      </w:r>
    </w:p>
    <w:p w14:paraId="224086BE" w14:textId="77777777" w:rsidR="00157AAA" w:rsidRDefault="006C1BE5">
      <w:pPr>
        <w:spacing w:after="0"/>
        <w:ind w:left="2160" w:hanging="180"/>
        <w:jc w:val="left"/>
        <w:rPr>
          <w:szCs w:val="24"/>
        </w:rPr>
      </w:pPr>
      <w:proofErr w:type="spellStart"/>
      <w:r>
        <w:rPr>
          <w:szCs w:val="24"/>
        </w:rPr>
        <w:lastRenderedPageBreak/>
        <w:t>i</w:t>
      </w:r>
      <w:proofErr w:type="spellEnd"/>
      <w:r>
        <w:rPr>
          <w:szCs w:val="24"/>
        </w:rPr>
        <w:t>.      Diagramming and Modeling which include UML Diagrams: Unified Modeling Language diagrams, including class diagrams, sequence diagrams, activity diagrams, and more, to represent software structure and behavior.</w:t>
      </w:r>
    </w:p>
    <w:p w14:paraId="207DF8D9" w14:textId="77777777" w:rsidR="00157AAA" w:rsidRDefault="006C1BE5">
      <w:pPr>
        <w:spacing w:after="0"/>
        <w:ind w:left="2160" w:hanging="180"/>
        <w:jc w:val="left"/>
        <w:rPr>
          <w:szCs w:val="24"/>
        </w:rPr>
      </w:pPr>
      <w:r>
        <w:rPr>
          <w:szCs w:val="24"/>
        </w:rPr>
        <w:t>ii.      Flowcharts: To depict workflow, processes, and logic.</w:t>
      </w:r>
    </w:p>
    <w:p w14:paraId="1BC05DCC" w14:textId="77777777" w:rsidR="00157AAA" w:rsidRDefault="006C1BE5">
      <w:pPr>
        <w:spacing w:after="0"/>
        <w:ind w:left="2160" w:hanging="180"/>
        <w:jc w:val="left"/>
        <w:rPr>
          <w:szCs w:val="24"/>
        </w:rPr>
      </w:pPr>
      <w:r>
        <w:rPr>
          <w:szCs w:val="24"/>
        </w:rPr>
        <w:t>iii.      Entity-Relationship Diagrams (ERDs): To model data structures and relationships.</w:t>
      </w:r>
    </w:p>
    <w:p w14:paraId="3DDB2118" w14:textId="77777777" w:rsidR="00157AAA" w:rsidRDefault="006C1BE5">
      <w:pPr>
        <w:spacing w:after="0"/>
        <w:ind w:left="2160" w:hanging="180"/>
        <w:jc w:val="left"/>
        <w:rPr>
          <w:szCs w:val="24"/>
        </w:rPr>
      </w:pPr>
      <w:r>
        <w:rPr>
          <w:szCs w:val="24"/>
        </w:rPr>
        <w:t xml:space="preserve"> iv.      Architectural Diagrams: To illustrate the system's overall architecture, including components, layers, and interfaces.</w:t>
      </w:r>
    </w:p>
    <w:p w14:paraId="1A916239" w14:textId="77777777" w:rsidR="00157AAA" w:rsidRDefault="006C1BE5">
      <w:pPr>
        <w:spacing w:after="0"/>
        <w:ind w:left="2160" w:hanging="180"/>
        <w:jc w:val="left"/>
        <w:rPr>
          <w:szCs w:val="24"/>
        </w:rPr>
      </w:pPr>
      <w:r>
        <w:rPr>
          <w:szCs w:val="24"/>
        </w:rPr>
        <w:t xml:space="preserve"> v.      Integration and Collaboration. </w:t>
      </w:r>
    </w:p>
    <w:p w14:paraId="5671E9A4" w14:textId="77777777" w:rsidR="00157AAA" w:rsidRDefault="006C1BE5">
      <w:pPr>
        <w:spacing w:after="0"/>
        <w:ind w:left="2160" w:hanging="180"/>
        <w:jc w:val="left"/>
        <w:rPr>
          <w:szCs w:val="24"/>
        </w:rPr>
      </w:pPr>
      <w:r>
        <w:rPr>
          <w:szCs w:val="24"/>
        </w:rPr>
        <w:t>vi.      Documentation Generation.</w:t>
      </w:r>
    </w:p>
    <w:p w14:paraId="6B1D169C" w14:textId="77777777" w:rsidR="00157AAA" w:rsidRDefault="006C1BE5">
      <w:pPr>
        <w:spacing w:after="0"/>
        <w:ind w:left="2160" w:hanging="180"/>
        <w:jc w:val="left"/>
        <w:rPr>
          <w:szCs w:val="24"/>
        </w:rPr>
      </w:pPr>
      <w:r>
        <w:rPr>
          <w:szCs w:val="24"/>
        </w:rPr>
        <w:t>vii.      Validation and Analysis</w:t>
      </w:r>
    </w:p>
    <w:p w14:paraId="55F95D4D" w14:textId="77777777" w:rsidR="00157AAA" w:rsidRDefault="006C1BE5">
      <w:pPr>
        <w:spacing w:after="0"/>
        <w:ind w:left="2160" w:hanging="180"/>
        <w:jc w:val="left"/>
        <w:rPr>
          <w:szCs w:val="24"/>
        </w:rPr>
      </w:pPr>
      <w:r>
        <w:rPr>
          <w:szCs w:val="24"/>
        </w:rPr>
        <w:t>viii.      Requirements Traceability: To enable linking design elements to specific requirements, ensuring that the design aligns with the project's requirements.</w:t>
      </w:r>
    </w:p>
    <w:p w14:paraId="5A7D2BE9" w14:textId="77777777" w:rsidR="00157AAA" w:rsidRDefault="006C1BE5">
      <w:pPr>
        <w:spacing w:after="0"/>
        <w:ind w:left="2160" w:hanging="180"/>
        <w:jc w:val="left"/>
        <w:rPr>
          <w:szCs w:val="24"/>
        </w:rPr>
      </w:pPr>
      <w:r>
        <w:rPr>
          <w:szCs w:val="24"/>
        </w:rPr>
        <w:t xml:space="preserve"> ix.      Export and Import: The ability to import existing code or design artifacts and export design data for use in other development phases or tools.</w:t>
      </w:r>
    </w:p>
    <w:p w14:paraId="0F0A7ACA" w14:textId="77777777" w:rsidR="00157AAA" w:rsidRDefault="006C1BE5">
      <w:pPr>
        <w:spacing w:after="0"/>
        <w:ind w:left="2160" w:hanging="180"/>
        <w:jc w:val="left"/>
        <w:rPr>
          <w:szCs w:val="24"/>
        </w:rPr>
      </w:pPr>
      <w:r>
        <w:rPr>
          <w:szCs w:val="24"/>
        </w:rPr>
        <w:t xml:space="preserve"> x.      Version Control Integration</w:t>
      </w:r>
    </w:p>
    <w:p w14:paraId="20155580" w14:textId="77777777" w:rsidR="00157AAA" w:rsidRDefault="006C1BE5" w:rsidP="00D530D5">
      <w:pPr>
        <w:numPr>
          <w:ilvl w:val="1"/>
          <w:numId w:val="145"/>
        </w:numPr>
        <w:spacing w:after="0"/>
        <w:jc w:val="left"/>
        <w:rPr>
          <w:szCs w:val="24"/>
        </w:rPr>
      </w:pPr>
      <w:r>
        <w:rPr>
          <w:szCs w:val="24"/>
        </w:rPr>
        <w:t>Divide the development into phases or sprints.</w:t>
      </w:r>
    </w:p>
    <w:p w14:paraId="6D7DD93A" w14:textId="77777777" w:rsidR="00157AAA" w:rsidRDefault="006C1BE5" w:rsidP="00D530D5">
      <w:pPr>
        <w:numPr>
          <w:ilvl w:val="1"/>
          <w:numId w:val="145"/>
        </w:numPr>
        <w:spacing w:after="0"/>
        <w:jc w:val="left"/>
        <w:rPr>
          <w:szCs w:val="24"/>
        </w:rPr>
      </w:pPr>
      <w:r>
        <w:rPr>
          <w:szCs w:val="24"/>
        </w:rPr>
        <w:t xml:space="preserve">User Interface Design with create a user-friendly and intuitive interface for users to interact with the NSW </w:t>
      </w:r>
      <w:proofErr w:type="gramStart"/>
      <w:r>
        <w:rPr>
          <w:szCs w:val="24"/>
        </w:rPr>
        <w:t>system</w:t>
      </w:r>
      <w:proofErr w:type="gramEnd"/>
    </w:p>
    <w:p w14:paraId="10037C16" w14:textId="77777777" w:rsidR="00157AAA" w:rsidRDefault="00157AAA">
      <w:pPr>
        <w:spacing w:after="0"/>
        <w:ind w:left="1440"/>
        <w:jc w:val="left"/>
        <w:rPr>
          <w:szCs w:val="24"/>
        </w:rPr>
      </w:pPr>
    </w:p>
    <w:p w14:paraId="70BC0EC3" w14:textId="77777777" w:rsidR="00157AAA" w:rsidRDefault="006C1BE5">
      <w:pPr>
        <w:spacing w:after="0"/>
        <w:ind w:left="1080"/>
        <w:jc w:val="left"/>
        <w:rPr>
          <w:szCs w:val="24"/>
        </w:rPr>
      </w:pPr>
      <w:r>
        <w:rPr>
          <w:szCs w:val="24"/>
        </w:rPr>
        <w:t xml:space="preserve">d. Security Measures or layers: </w:t>
      </w:r>
    </w:p>
    <w:p w14:paraId="798F4692" w14:textId="77777777" w:rsidR="00157AAA" w:rsidRDefault="006C1BE5">
      <w:pPr>
        <w:spacing w:after="0"/>
        <w:ind w:left="2160" w:hanging="180"/>
        <w:jc w:val="left"/>
        <w:rPr>
          <w:szCs w:val="24"/>
        </w:rPr>
      </w:pPr>
      <w:proofErr w:type="spellStart"/>
      <w:r>
        <w:rPr>
          <w:szCs w:val="24"/>
        </w:rPr>
        <w:t>i</w:t>
      </w:r>
      <w:proofErr w:type="spellEnd"/>
      <w:r>
        <w:rPr>
          <w:szCs w:val="24"/>
        </w:rPr>
        <w:t>.      Implement robust security measures to protect sensitive trade data and ensure data integrity.</w:t>
      </w:r>
    </w:p>
    <w:p w14:paraId="0893596F" w14:textId="77777777" w:rsidR="00157AAA" w:rsidRDefault="006C1BE5">
      <w:pPr>
        <w:spacing w:after="0"/>
        <w:ind w:left="1980"/>
        <w:jc w:val="left"/>
        <w:rPr>
          <w:szCs w:val="24"/>
        </w:rPr>
      </w:pPr>
      <w:r>
        <w:rPr>
          <w:szCs w:val="24"/>
        </w:rPr>
        <w:t xml:space="preserve"> ii.      Develop a contingency plan and disaster recovery procedures to ensure business continuity in case of system failures or disasters.</w:t>
      </w:r>
    </w:p>
    <w:p w14:paraId="17DABDAF" w14:textId="77777777" w:rsidR="00157AAA" w:rsidRDefault="00157AAA">
      <w:pPr>
        <w:jc w:val="left"/>
        <w:rPr>
          <w:sz w:val="22"/>
        </w:rPr>
      </w:pPr>
    </w:p>
    <w:p w14:paraId="3DABAB8E" w14:textId="77777777" w:rsidR="00157AAA" w:rsidRDefault="006C1BE5">
      <w:pPr>
        <w:tabs>
          <w:tab w:val="left" w:pos="9900"/>
        </w:tabs>
        <w:ind w:left="1260" w:hanging="1260"/>
        <w:rPr>
          <w:sz w:val="22"/>
        </w:rPr>
      </w:pPr>
      <w:r>
        <w:rPr>
          <w:b/>
          <w:sz w:val="22"/>
        </w:rPr>
        <w:t>Note:</w:t>
      </w:r>
      <w:r>
        <w:rPr>
          <w:sz w:val="22"/>
        </w:rPr>
        <w:tab/>
        <w:t>Refer to the System Inventory Table(s) for the specific items and components that constitute the Subsystems or item.  Refer to the Site Table(s) below for details regarding the site and the site code.</w:t>
      </w:r>
    </w:p>
    <w:p w14:paraId="7DE13D46" w14:textId="77777777" w:rsidR="00157AAA" w:rsidRDefault="006C1BE5">
      <w:pPr>
        <w:tabs>
          <w:tab w:val="left" w:pos="9900"/>
        </w:tabs>
        <w:ind w:left="1267" w:hanging="1267"/>
        <w:jc w:val="left"/>
        <w:rPr>
          <w:sz w:val="22"/>
        </w:rPr>
      </w:pPr>
      <w:r>
        <w:rPr>
          <w:b/>
          <w:sz w:val="22"/>
        </w:rPr>
        <w:tab/>
      </w:r>
      <w:r>
        <w:rPr>
          <w:sz w:val="22"/>
        </w:rPr>
        <w:t xml:space="preserve">- - indicates not applicable.  “Indicates repetition of table entry above. </w:t>
      </w:r>
      <w:r>
        <w:rPr>
          <w:sz w:val="22"/>
        </w:rPr>
        <w:br w:type="page" w:clear="all"/>
      </w:r>
    </w:p>
    <w:p w14:paraId="44F8ACB4" w14:textId="77777777" w:rsidR="00157AAA" w:rsidRDefault="006C1BE5">
      <w:pPr>
        <w:pStyle w:val="Head5b1"/>
        <w:tabs>
          <w:tab w:val="clear" w:pos="9900"/>
        </w:tabs>
      </w:pPr>
      <w:bookmarkStart w:id="763" w:name="_Toc433161263"/>
      <w:bookmarkStart w:id="764" w:name="_Toc521498274"/>
      <w:bookmarkStart w:id="765" w:name="_Toc207771482"/>
      <w:bookmarkStart w:id="766" w:name="_Toc454958755"/>
      <w:r>
        <w:lastRenderedPageBreak/>
        <w:t>B.</w:t>
      </w:r>
      <w:r>
        <w:tab/>
        <w:t>Site Table(s)</w:t>
      </w:r>
      <w:bookmarkEnd w:id="763"/>
      <w:bookmarkEnd w:id="764"/>
      <w:bookmarkEnd w:id="765"/>
      <w:bookmarkEnd w:id="766"/>
    </w:p>
    <w:p w14:paraId="13063C0D" w14:textId="77777777" w:rsidR="00157AAA" w:rsidRDefault="006C1BE5">
      <w:pPr>
        <w:jc w:val="center"/>
        <w:rPr>
          <w:rStyle w:val="Preparersnotenobold"/>
        </w:rPr>
      </w:pPr>
      <w:r>
        <w:t xml:space="preserve"> </w:t>
      </w:r>
      <w:r>
        <w:rPr>
          <w:rStyle w:val="Preparersnotenobold"/>
        </w:rPr>
        <w:t xml:space="preserve">[Specify:  </w:t>
      </w:r>
      <w:r>
        <w:rPr>
          <w:rStyle w:val="Preparersnotenobold"/>
          <w:b/>
        </w:rPr>
        <w:t>the detailed information regarding the site(s) at which the System is to be operated</w:t>
      </w:r>
      <w:r>
        <w:rPr>
          <w:rStyle w:val="Preparersnotenobold"/>
        </w:rPr>
        <w:t>]</w:t>
      </w: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440"/>
        <w:gridCol w:w="3528"/>
        <w:gridCol w:w="2952"/>
        <w:gridCol w:w="3348"/>
        <w:gridCol w:w="1530"/>
      </w:tblGrid>
      <w:tr w:rsidR="00157AAA" w14:paraId="324A4790" w14:textId="77777777">
        <w:trPr>
          <w:cantSplit/>
          <w:tblHeader/>
        </w:trPr>
        <w:tc>
          <w:tcPr>
            <w:tcW w:w="1440" w:type="dxa"/>
          </w:tcPr>
          <w:p w14:paraId="713A7D36" w14:textId="77777777" w:rsidR="00157AAA" w:rsidRDefault="006C1BE5">
            <w:pPr>
              <w:spacing w:before="100" w:after="100"/>
              <w:jc w:val="center"/>
              <w:rPr>
                <w:sz w:val="22"/>
                <w:lang w:val="fr-FR"/>
              </w:rPr>
            </w:pPr>
            <w:r>
              <w:rPr>
                <w:sz w:val="22"/>
              </w:rPr>
              <w:br/>
            </w:r>
            <w:r>
              <w:rPr>
                <w:sz w:val="22"/>
                <w:lang w:val="fr-FR"/>
              </w:rPr>
              <w:t>Site</w:t>
            </w:r>
            <w:r>
              <w:rPr>
                <w:sz w:val="22"/>
                <w:lang w:val="fr-FR"/>
              </w:rPr>
              <w:br/>
              <w:t>Code</w:t>
            </w:r>
          </w:p>
        </w:tc>
        <w:tc>
          <w:tcPr>
            <w:tcW w:w="3528" w:type="dxa"/>
          </w:tcPr>
          <w:p w14:paraId="6BE26D30" w14:textId="77777777" w:rsidR="00157AAA" w:rsidRDefault="006C1BE5">
            <w:pPr>
              <w:spacing w:before="100" w:after="100"/>
              <w:jc w:val="center"/>
              <w:rPr>
                <w:sz w:val="22"/>
                <w:lang w:val="fr-FR"/>
              </w:rPr>
            </w:pPr>
            <w:r>
              <w:rPr>
                <w:sz w:val="22"/>
                <w:lang w:val="fr-FR"/>
              </w:rPr>
              <w:br/>
            </w:r>
            <w:r>
              <w:rPr>
                <w:sz w:val="22"/>
                <w:lang w:val="fr-FR"/>
              </w:rPr>
              <w:br/>
              <w:t>Site</w:t>
            </w:r>
          </w:p>
        </w:tc>
        <w:tc>
          <w:tcPr>
            <w:tcW w:w="2952" w:type="dxa"/>
          </w:tcPr>
          <w:p w14:paraId="6883ABEB" w14:textId="77777777" w:rsidR="00157AAA" w:rsidRDefault="006C1BE5">
            <w:pPr>
              <w:spacing w:before="100" w:after="100"/>
              <w:jc w:val="center"/>
              <w:rPr>
                <w:sz w:val="22"/>
              </w:rPr>
            </w:pPr>
            <w:r>
              <w:rPr>
                <w:sz w:val="22"/>
              </w:rPr>
              <w:br/>
            </w:r>
            <w:r>
              <w:rPr>
                <w:sz w:val="22"/>
              </w:rPr>
              <w:br/>
              <w:t>City / Town / Region</w:t>
            </w:r>
          </w:p>
        </w:tc>
        <w:tc>
          <w:tcPr>
            <w:tcW w:w="3348" w:type="dxa"/>
          </w:tcPr>
          <w:p w14:paraId="1E673C5A" w14:textId="77777777" w:rsidR="00157AAA" w:rsidRDefault="006C1BE5">
            <w:pPr>
              <w:spacing w:before="100" w:after="100"/>
              <w:jc w:val="center"/>
              <w:rPr>
                <w:sz w:val="22"/>
              </w:rPr>
            </w:pPr>
            <w:r>
              <w:rPr>
                <w:sz w:val="22"/>
              </w:rPr>
              <w:br/>
            </w:r>
            <w:r>
              <w:rPr>
                <w:sz w:val="22"/>
              </w:rPr>
              <w:br/>
              <w:t>Primary Street Address</w:t>
            </w:r>
          </w:p>
        </w:tc>
        <w:tc>
          <w:tcPr>
            <w:tcW w:w="1530" w:type="dxa"/>
          </w:tcPr>
          <w:p w14:paraId="79830456" w14:textId="77777777" w:rsidR="00157AAA" w:rsidRDefault="006C1BE5">
            <w:pPr>
              <w:spacing w:before="100" w:after="100"/>
              <w:jc w:val="center"/>
              <w:rPr>
                <w:sz w:val="22"/>
              </w:rPr>
            </w:pPr>
            <w:r>
              <w:rPr>
                <w:sz w:val="22"/>
              </w:rPr>
              <w:t>Drawing Reference No. (if any)</w:t>
            </w:r>
          </w:p>
        </w:tc>
      </w:tr>
      <w:tr w:rsidR="00157AAA" w14:paraId="1D93549E" w14:textId="77777777">
        <w:trPr>
          <w:cantSplit/>
        </w:trPr>
        <w:tc>
          <w:tcPr>
            <w:tcW w:w="1440" w:type="dxa"/>
          </w:tcPr>
          <w:p w14:paraId="66A81D93" w14:textId="77777777" w:rsidR="00157AAA" w:rsidRDefault="006C1BE5">
            <w:pPr>
              <w:spacing w:before="100" w:after="100"/>
              <w:jc w:val="center"/>
              <w:rPr>
                <w:sz w:val="22"/>
              </w:rPr>
            </w:pPr>
            <w:r>
              <w:rPr>
                <w:sz w:val="22"/>
              </w:rPr>
              <w:t>HQ</w:t>
            </w:r>
          </w:p>
        </w:tc>
        <w:tc>
          <w:tcPr>
            <w:tcW w:w="3528" w:type="dxa"/>
          </w:tcPr>
          <w:p w14:paraId="5A838E6E" w14:textId="77777777" w:rsidR="00157AAA" w:rsidRDefault="006C1BE5">
            <w:pPr>
              <w:spacing w:before="100" w:after="100"/>
              <w:jc w:val="center"/>
              <w:rPr>
                <w:sz w:val="22"/>
              </w:rPr>
            </w:pPr>
            <w:r>
              <w:rPr>
                <w:sz w:val="22"/>
              </w:rPr>
              <w:t>Customs Administration Headquarters</w:t>
            </w:r>
          </w:p>
        </w:tc>
        <w:tc>
          <w:tcPr>
            <w:tcW w:w="2952" w:type="dxa"/>
          </w:tcPr>
          <w:p w14:paraId="03FBFFBC" w14:textId="77777777" w:rsidR="00157AAA" w:rsidRDefault="006C1BE5">
            <w:pPr>
              <w:spacing w:before="100" w:after="100"/>
              <w:jc w:val="center"/>
              <w:rPr>
                <w:sz w:val="22"/>
              </w:rPr>
            </w:pPr>
            <w:r>
              <w:rPr>
                <w:sz w:val="22"/>
              </w:rPr>
              <w:t xml:space="preserve">Skopje </w:t>
            </w:r>
          </w:p>
        </w:tc>
        <w:tc>
          <w:tcPr>
            <w:tcW w:w="3348" w:type="dxa"/>
          </w:tcPr>
          <w:p w14:paraId="758E86BE" w14:textId="77777777" w:rsidR="00157AAA" w:rsidRDefault="006C1BE5">
            <w:pPr>
              <w:spacing w:before="100" w:after="100"/>
              <w:jc w:val="center"/>
              <w:rPr>
                <w:sz w:val="22"/>
              </w:rPr>
            </w:pPr>
            <w:r>
              <w:rPr>
                <w:sz w:val="22"/>
              </w:rPr>
              <w:t xml:space="preserve">Customs Administration of Republic of North Macedonia, str. Lazar </w:t>
            </w:r>
            <w:proofErr w:type="spellStart"/>
            <w:r>
              <w:rPr>
                <w:sz w:val="22"/>
              </w:rPr>
              <w:t>Licenoski</w:t>
            </w:r>
            <w:proofErr w:type="spellEnd"/>
            <w:r>
              <w:rPr>
                <w:sz w:val="22"/>
              </w:rPr>
              <w:t xml:space="preserve"> 13, 1000 Skopje </w:t>
            </w:r>
          </w:p>
        </w:tc>
        <w:tc>
          <w:tcPr>
            <w:tcW w:w="1530" w:type="dxa"/>
          </w:tcPr>
          <w:p w14:paraId="77D410BF" w14:textId="77777777" w:rsidR="00157AAA" w:rsidRDefault="00157AAA">
            <w:pPr>
              <w:spacing w:before="100" w:after="100"/>
              <w:jc w:val="center"/>
              <w:rPr>
                <w:sz w:val="22"/>
              </w:rPr>
            </w:pPr>
          </w:p>
        </w:tc>
      </w:tr>
      <w:tr w:rsidR="00157AAA" w14:paraId="772BDA42" w14:textId="77777777">
        <w:trPr>
          <w:cantSplit/>
        </w:trPr>
        <w:tc>
          <w:tcPr>
            <w:tcW w:w="1440" w:type="dxa"/>
          </w:tcPr>
          <w:p w14:paraId="2E0181C8" w14:textId="26B96D3D" w:rsidR="00157AAA" w:rsidRDefault="00157AAA">
            <w:pPr>
              <w:spacing w:before="100" w:after="100"/>
              <w:jc w:val="center"/>
              <w:rPr>
                <w:sz w:val="22"/>
              </w:rPr>
            </w:pPr>
          </w:p>
        </w:tc>
        <w:tc>
          <w:tcPr>
            <w:tcW w:w="3528" w:type="dxa"/>
          </w:tcPr>
          <w:p w14:paraId="0ADC9FD7" w14:textId="52E49874" w:rsidR="00157AAA" w:rsidRDefault="00157AAA">
            <w:pPr>
              <w:spacing w:before="100" w:after="100"/>
              <w:rPr>
                <w:sz w:val="22"/>
              </w:rPr>
            </w:pPr>
          </w:p>
        </w:tc>
        <w:tc>
          <w:tcPr>
            <w:tcW w:w="2952" w:type="dxa"/>
          </w:tcPr>
          <w:p w14:paraId="4CECA7D6" w14:textId="77777777" w:rsidR="00157AAA" w:rsidRDefault="00157AAA">
            <w:pPr>
              <w:spacing w:before="100" w:after="100"/>
              <w:jc w:val="center"/>
              <w:rPr>
                <w:sz w:val="22"/>
              </w:rPr>
            </w:pPr>
          </w:p>
        </w:tc>
        <w:tc>
          <w:tcPr>
            <w:tcW w:w="3348" w:type="dxa"/>
          </w:tcPr>
          <w:p w14:paraId="2DEFA771" w14:textId="77777777" w:rsidR="00157AAA" w:rsidRDefault="00157AAA">
            <w:pPr>
              <w:spacing w:before="100" w:after="100"/>
              <w:jc w:val="center"/>
              <w:rPr>
                <w:sz w:val="22"/>
              </w:rPr>
            </w:pPr>
          </w:p>
        </w:tc>
        <w:tc>
          <w:tcPr>
            <w:tcW w:w="1530" w:type="dxa"/>
          </w:tcPr>
          <w:p w14:paraId="5DF766B3" w14:textId="77777777" w:rsidR="00157AAA" w:rsidRDefault="00157AAA">
            <w:pPr>
              <w:spacing w:before="100" w:after="100"/>
              <w:jc w:val="center"/>
              <w:rPr>
                <w:sz w:val="22"/>
              </w:rPr>
            </w:pPr>
          </w:p>
        </w:tc>
      </w:tr>
      <w:tr w:rsidR="00157AAA" w14:paraId="4DDA0003" w14:textId="77777777">
        <w:trPr>
          <w:cantSplit/>
        </w:trPr>
        <w:tc>
          <w:tcPr>
            <w:tcW w:w="1440" w:type="dxa"/>
          </w:tcPr>
          <w:p w14:paraId="68611221" w14:textId="5294B1CA" w:rsidR="00157AAA" w:rsidRDefault="00157AAA">
            <w:pPr>
              <w:spacing w:before="100" w:after="100"/>
              <w:jc w:val="center"/>
              <w:rPr>
                <w:sz w:val="22"/>
              </w:rPr>
            </w:pPr>
          </w:p>
        </w:tc>
        <w:tc>
          <w:tcPr>
            <w:tcW w:w="3528" w:type="dxa"/>
          </w:tcPr>
          <w:p w14:paraId="6F017B70" w14:textId="32A0817F" w:rsidR="00157AAA" w:rsidRDefault="00157AAA">
            <w:pPr>
              <w:spacing w:before="100" w:after="100"/>
              <w:ind w:left="360"/>
              <w:rPr>
                <w:sz w:val="22"/>
              </w:rPr>
            </w:pPr>
          </w:p>
        </w:tc>
        <w:tc>
          <w:tcPr>
            <w:tcW w:w="2952" w:type="dxa"/>
          </w:tcPr>
          <w:p w14:paraId="26E976C5" w14:textId="77777777" w:rsidR="00157AAA" w:rsidRDefault="00157AAA">
            <w:pPr>
              <w:spacing w:before="100" w:after="100"/>
              <w:jc w:val="center"/>
              <w:rPr>
                <w:sz w:val="22"/>
              </w:rPr>
            </w:pPr>
          </w:p>
        </w:tc>
        <w:tc>
          <w:tcPr>
            <w:tcW w:w="3348" w:type="dxa"/>
          </w:tcPr>
          <w:p w14:paraId="657E1970" w14:textId="77777777" w:rsidR="00157AAA" w:rsidRDefault="00157AAA">
            <w:pPr>
              <w:spacing w:before="100" w:after="100"/>
              <w:jc w:val="center"/>
              <w:rPr>
                <w:sz w:val="22"/>
              </w:rPr>
            </w:pPr>
          </w:p>
        </w:tc>
        <w:tc>
          <w:tcPr>
            <w:tcW w:w="1530" w:type="dxa"/>
          </w:tcPr>
          <w:p w14:paraId="31A2CE88" w14:textId="77777777" w:rsidR="00157AAA" w:rsidRDefault="00157AAA">
            <w:pPr>
              <w:spacing w:before="100" w:after="100"/>
              <w:jc w:val="center"/>
              <w:rPr>
                <w:sz w:val="22"/>
              </w:rPr>
            </w:pPr>
          </w:p>
        </w:tc>
      </w:tr>
      <w:tr w:rsidR="00157AAA" w14:paraId="65C7F786" w14:textId="77777777">
        <w:trPr>
          <w:cantSplit/>
        </w:trPr>
        <w:tc>
          <w:tcPr>
            <w:tcW w:w="1440" w:type="dxa"/>
          </w:tcPr>
          <w:p w14:paraId="3F3F4D4E" w14:textId="0BBA4469" w:rsidR="00157AAA" w:rsidRDefault="00157AAA">
            <w:pPr>
              <w:spacing w:before="100" w:after="100"/>
              <w:jc w:val="center"/>
              <w:rPr>
                <w:sz w:val="22"/>
              </w:rPr>
            </w:pPr>
          </w:p>
        </w:tc>
        <w:tc>
          <w:tcPr>
            <w:tcW w:w="3528" w:type="dxa"/>
          </w:tcPr>
          <w:p w14:paraId="7A85777C" w14:textId="2D756541" w:rsidR="00157AAA" w:rsidRDefault="00157AAA">
            <w:pPr>
              <w:spacing w:before="100" w:after="100"/>
              <w:ind w:left="360"/>
              <w:rPr>
                <w:sz w:val="22"/>
              </w:rPr>
            </w:pPr>
          </w:p>
        </w:tc>
        <w:tc>
          <w:tcPr>
            <w:tcW w:w="2952" w:type="dxa"/>
          </w:tcPr>
          <w:p w14:paraId="6D45BB31" w14:textId="77777777" w:rsidR="00157AAA" w:rsidRDefault="00157AAA">
            <w:pPr>
              <w:spacing w:before="100" w:after="100"/>
              <w:jc w:val="center"/>
              <w:rPr>
                <w:sz w:val="22"/>
              </w:rPr>
            </w:pPr>
          </w:p>
        </w:tc>
        <w:tc>
          <w:tcPr>
            <w:tcW w:w="3348" w:type="dxa"/>
          </w:tcPr>
          <w:p w14:paraId="272B3D6A" w14:textId="77777777" w:rsidR="00157AAA" w:rsidRDefault="00157AAA">
            <w:pPr>
              <w:spacing w:before="100" w:after="100"/>
              <w:jc w:val="center"/>
              <w:rPr>
                <w:sz w:val="22"/>
              </w:rPr>
            </w:pPr>
          </w:p>
        </w:tc>
        <w:tc>
          <w:tcPr>
            <w:tcW w:w="1530" w:type="dxa"/>
          </w:tcPr>
          <w:p w14:paraId="40DFD3AA" w14:textId="77777777" w:rsidR="00157AAA" w:rsidRDefault="00157AAA">
            <w:pPr>
              <w:spacing w:before="100" w:after="100"/>
              <w:jc w:val="center"/>
              <w:rPr>
                <w:sz w:val="22"/>
              </w:rPr>
            </w:pPr>
          </w:p>
        </w:tc>
      </w:tr>
      <w:tr w:rsidR="00157AAA" w14:paraId="7F210ADA" w14:textId="77777777">
        <w:trPr>
          <w:cantSplit/>
        </w:trPr>
        <w:tc>
          <w:tcPr>
            <w:tcW w:w="1440" w:type="dxa"/>
          </w:tcPr>
          <w:p w14:paraId="436FB68E" w14:textId="2246BDDC" w:rsidR="00157AAA" w:rsidRDefault="00157AAA">
            <w:pPr>
              <w:spacing w:before="100" w:after="100"/>
              <w:jc w:val="center"/>
              <w:rPr>
                <w:sz w:val="22"/>
              </w:rPr>
            </w:pPr>
          </w:p>
        </w:tc>
        <w:tc>
          <w:tcPr>
            <w:tcW w:w="3528" w:type="dxa"/>
          </w:tcPr>
          <w:p w14:paraId="2FBB4E7D" w14:textId="03DF22CD" w:rsidR="00157AAA" w:rsidRDefault="00157AAA">
            <w:pPr>
              <w:spacing w:before="100" w:after="100"/>
              <w:ind w:left="360"/>
              <w:rPr>
                <w:sz w:val="22"/>
              </w:rPr>
            </w:pPr>
          </w:p>
        </w:tc>
        <w:tc>
          <w:tcPr>
            <w:tcW w:w="2952" w:type="dxa"/>
          </w:tcPr>
          <w:p w14:paraId="3FBED046" w14:textId="77777777" w:rsidR="00157AAA" w:rsidRDefault="00157AAA">
            <w:pPr>
              <w:spacing w:before="100" w:after="100"/>
              <w:jc w:val="center"/>
              <w:rPr>
                <w:sz w:val="22"/>
              </w:rPr>
            </w:pPr>
          </w:p>
        </w:tc>
        <w:tc>
          <w:tcPr>
            <w:tcW w:w="3348" w:type="dxa"/>
          </w:tcPr>
          <w:p w14:paraId="1648F67B" w14:textId="77777777" w:rsidR="00157AAA" w:rsidRDefault="00157AAA">
            <w:pPr>
              <w:spacing w:before="100" w:after="100"/>
              <w:jc w:val="center"/>
              <w:rPr>
                <w:sz w:val="22"/>
              </w:rPr>
            </w:pPr>
          </w:p>
        </w:tc>
        <w:tc>
          <w:tcPr>
            <w:tcW w:w="1530" w:type="dxa"/>
          </w:tcPr>
          <w:p w14:paraId="0824997D" w14:textId="77777777" w:rsidR="00157AAA" w:rsidRDefault="00157AAA">
            <w:pPr>
              <w:spacing w:before="100" w:after="100"/>
              <w:jc w:val="center"/>
              <w:rPr>
                <w:sz w:val="22"/>
              </w:rPr>
            </w:pPr>
          </w:p>
        </w:tc>
      </w:tr>
      <w:tr w:rsidR="00157AAA" w14:paraId="6BDB52ED" w14:textId="77777777">
        <w:trPr>
          <w:cantSplit/>
        </w:trPr>
        <w:tc>
          <w:tcPr>
            <w:tcW w:w="1440" w:type="dxa"/>
          </w:tcPr>
          <w:p w14:paraId="31AA411C" w14:textId="77777777" w:rsidR="00157AAA" w:rsidRDefault="00157AAA">
            <w:pPr>
              <w:spacing w:before="100" w:after="100"/>
              <w:jc w:val="center"/>
              <w:rPr>
                <w:sz w:val="22"/>
              </w:rPr>
            </w:pPr>
          </w:p>
        </w:tc>
        <w:tc>
          <w:tcPr>
            <w:tcW w:w="3528" w:type="dxa"/>
          </w:tcPr>
          <w:p w14:paraId="6B90A902" w14:textId="77777777" w:rsidR="00157AAA" w:rsidRDefault="00157AAA">
            <w:pPr>
              <w:spacing w:before="100" w:after="100"/>
              <w:ind w:left="360"/>
              <w:rPr>
                <w:sz w:val="22"/>
              </w:rPr>
            </w:pPr>
          </w:p>
        </w:tc>
        <w:tc>
          <w:tcPr>
            <w:tcW w:w="2952" w:type="dxa"/>
          </w:tcPr>
          <w:p w14:paraId="27B0A9C3" w14:textId="77777777" w:rsidR="00157AAA" w:rsidRDefault="00157AAA">
            <w:pPr>
              <w:spacing w:before="100" w:after="100"/>
              <w:jc w:val="center"/>
              <w:rPr>
                <w:sz w:val="22"/>
              </w:rPr>
            </w:pPr>
          </w:p>
        </w:tc>
        <w:tc>
          <w:tcPr>
            <w:tcW w:w="3348" w:type="dxa"/>
          </w:tcPr>
          <w:p w14:paraId="3F6D7761" w14:textId="77777777" w:rsidR="00157AAA" w:rsidRDefault="00157AAA">
            <w:pPr>
              <w:spacing w:before="100" w:after="100"/>
              <w:jc w:val="center"/>
              <w:rPr>
                <w:sz w:val="22"/>
              </w:rPr>
            </w:pPr>
          </w:p>
        </w:tc>
        <w:tc>
          <w:tcPr>
            <w:tcW w:w="1530" w:type="dxa"/>
          </w:tcPr>
          <w:p w14:paraId="6589A066" w14:textId="77777777" w:rsidR="00157AAA" w:rsidRDefault="00157AAA">
            <w:pPr>
              <w:spacing w:before="100" w:after="100"/>
              <w:jc w:val="center"/>
              <w:rPr>
                <w:sz w:val="22"/>
              </w:rPr>
            </w:pPr>
          </w:p>
        </w:tc>
      </w:tr>
    </w:tbl>
    <w:p w14:paraId="58094130" w14:textId="77777777" w:rsidR="00157AAA" w:rsidRDefault="00157AAA">
      <w:pPr>
        <w:rPr>
          <w:sz w:val="22"/>
        </w:rPr>
      </w:pPr>
    </w:p>
    <w:p w14:paraId="7616A846" w14:textId="77777777" w:rsidR="00157AAA" w:rsidRDefault="006C1BE5">
      <w:pPr>
        <w:rPr>
          <w:sz w:val="22"/>
        </w:rPr>
      </w:pPr>
      <w:bookmarkStart w:id="767" w:name="_Toc433161264"/>
      <w:bookmarkStart w:id="768" w:name="_Toc438362057"/>
      <w:r>
        <w:rPr>
          <w:sz w:val="22"/>
        </w:rPr>
        <w:t xml:space="preserve"> </w:t>
      </w:r>
      <w:bookmarkEnd w:id="767"/>
      <w:bookmarkEnd w:id="768"/>
    </w:p>
    <w:p w14:paraId="5E427D77" w14:textId="77777777" w:rsidR="00157AAA" w:rsidRDefault="006C1BE5">
      <w:pPr>
        <w:pStyle w:val="Head5b1"/>
        <w:tabs>
          <w:tab w:val="clear" w:pos="9900"/>
        </w:tabs>
      </w:pPr>
      <w:r>
        <w:rPr>
          <w:sz w:val="22"/>
        </w:rPr>
        <w:br w:type="page" w:clear="all"/>
      </w:r>
      <w:bookmarkStart w:id="769" w:name="_Toc521498275"/>
      <w:bookmarkStart w:id="770" w:name="_Toc207771483"/>
      <w:bookmarkStart w:id="771" w:name="_Toc454958756"/>
      <w:r>
        <w:lastRenderedPageBreak/>
        <w:t>C.</w:t>
      </w:r>
      <w:r>
        <w:tab/>
        <w:t>Table of Holidays and Other Non-Working Days</w:t>
      </w:r>
      <w:bookmarkEnd w:id="769"/>
      <w:bookmarkEnd w:id="770"/>
      <w:bookmarkEnd w:id="771"/>
    </w:p>
    <w:p w14:paraId="37D417C5" w14:textId="77777777" w:rsidR="00157AAA" w:rsidRDefault="006C1BE5">
      <w:pPr>
        <w:jc w:val="center"/>
        <w:rPr>
          <w:rStyle w:val="Preparersnotenobold"/>
        </w:rPr>
      </w:pPr>
      <w:r>
        <w:rPr>
          <w:rStyle w:val="Preparersnotenobold"/>
        </w:rPr>
        <w:t xml:space="preserve">[Specify:  </w:t>
      </w:r>
      <w:r>
        <w:rPr>
          <w:rStyle w:val="Preparersnotenobold"/>
          <w:b/>
        </w:rPr>
        <w:t>the days for each month for each year that are non-working days, due to Holidays or other business reasons (other than weekends).</w:t>
      </w:r>
      <w:r>
        <w:rPr>
          <w:rStyle w:val="Preparersnotenobold"/>
        </w:rPr>
        <w:t>]</w:t>
      </w: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00"/>
        <w:gridCol w:w="1397"/>
        <w:gridCol w:w="1397"/>
        <w:gridCol w:w="1397"/>
        <w:gridCol w:w="1398"/>
        <w:gridCol w:w="1397"/>
        <w:gridCol w:w="1397"/>
        <w:gridCol w:w="1397"/>
        <w:gridCol w:w="1398"/>
      </w:tblGrid>
      <w:tr w:rsidR="00157AAA" w14:paraId="215CDC32" w14:textId="77777777">
        <w:trPr>
          <w:cantSplit/>
          <w:tblHeader/>
        </w:trPr>
        <w:tc>
          <w:tcPr>
            <w:tcW w:w="1800" w:type="dxa"/>
          </w:tcPr>
          <w:p w14:paraId="5EA0BCBA" w14:textId="77777777" w:rsidR="00157AAA" w:rsidRDefault="006C1BE5">
            <w:pPr>
              <w:spacing w:before="100" w:after="100"/>
              <w:jc w:val="center"/>
              <w:rPr>
                <w:sz w:val="22"/>
              </w:rPr>
            </w:pPr>
            <w:r>
              <w:rPr>
                <w:sz w:val="22"/>
              </w:rPr>
              <w:t>Month</w:t>
            </w:r>
          </w:p>
        </w:tc>
        <w:tc>
          <w:tcPr>
            <w:tcW w:w="1397" w:type="dxa"/>
          </w:tcPr>
          <w:p w14:paraId="57751571" w14:textId="77777777" w:rsidR="00157AAA" w:rsidRDefault="006C1BE5">
            <w:pPr>
              <w:spacing w:before="100" w:after="100"/>
              <w:jc w:val="center"/>
              <w:rPr>
                <w:sz w:val="22"/>
              </w:rPr>
            </w:pPr>
            <w:r>
              <w:rPr>
                <w:sz w:val="22"/>
              </w:rPr>
              <w:t>20xy</w:t>
            </w:r>
          </w:p>
        </w:tc>
        <w:tc>
          <w:tcPr>
            <w:tcW w:w="1397" w:type="dxa"/>
          </w:tcPr>
          <w:p w14:paraId="41C48324" w14:textId="77777777" w:rsidR="00157AAA" w:rsidRDefault="006C1BE5">
            <w:pPr>
              <w:spacing w:before="100" w:after="100"/>
              <w:jc w:val="center"/>
              <w:rPr>
                <w:sz w:val="22"/>
              </w:rPr>
            </w:pPr>
            <w:r>
              <w:rPr>
                <w:sz w:val="22"/>
              </w:rPr>
              <w:t>20xy+1</w:t>
            </w:r>
          </w:p>
        </w:tc>
        <w:tc>
          <w:tcPr>
            <w:tcW w:w="1397" w:type="dxa"/>
          </w:tcPr>
          <w:p w14:paraId="2AE7D5EB" w14:textId="77777777" w:rsidR="00157AAA" w:rsidRDefault="006C1BE5">
            <w:pPr>
              <w:spacing w:before="100" w:after="100"/>
              <w:jc w:val="center"/>
              <w:rPr>
                <w:sz w:val="22"/>
              </w:rPr>
            </w:pPr>
            <w:r>
              <w:rPr>
                <w:sz w:val="22"/>
              </w:rPr>
              <w:t>20xy+2</w:t>
            </w:r>
          </w:p>
        </w:tc>
        <w:tc>
          <w:tcPr>
            <w:tcW w:w="1398" w:type="dxa"/>
          </w:tcPr>
          <w:p w14:paraId="1B066A0C" w14:textId="77777777" w:rsidR="00157AAA" w:rsidRDefault="006C1BE5">
            <w:pPr>
              <w:spacing w:before="100" w:after="100"/>
              <w:jc w:val="center"/>
              <w:rPr>
                <w:sz w:val="22"/>
              </w:rPr>
            </w:pPr>
            <w:r>
              <w:rPr>
                <w:sz w:val="22"/>
              </w:rPr>
              <w:t>....</w:t>
            </w:r>
          </w:p>
        </w:tc>
        <w:tc>
          <w:tcPr>
            <w:tcW w:w="1397" w:type="dxa"/>
          </w:tcPr>
          <w:p w14:paraId="601F0162" w14:textId="77777777" w:rsidR="00157AAA" w:rsidRDefault="00157AAA">
            <w:pPr>
              <w:spacing w:before="100" w:after="100"/>
              <w:jc w:val="center"/>
              <w:rPr>
                <w:sz w:val="22"/>
              </w:rPr>
            </w:pPr>
          </w:p>
        </w:tc>
        <w:tc>
          <w:tcPr>
            <w:tcW w:w="1397" w:type="dxa"/>
          </w:tcPr>
          <w:p w14:paraId="20850131" w14:textId="77777777" w:rsidR="00157AAA" w:rsidRDefault="00157AAA">
            <w:pPr>
              <w:spacing w:before="100" w:after="100"/>
              <w:jc w:val="center"/>
              <w:rPr>
                <w:sz w:val="22"/>
              </w:rPr>
            </w:pPr>
          </w:p>
        </w:tc>
        <w:tc>
          <w:tcPr>
            <w:tcW w:w="1397" w:type="dxa"/>
          </w:tcPr>
          <w:p w14:paraId="298B808E" w14:textId="77777777" w:rsidR="00157AAA" w:rsidRDefault="006C1BE5">
            <w:pPr>
              <w:spacing w:before="100" w:after="100"/>
              <w:jc w:val="center"/>
              <w:rPr>
                <w:sz w:val="22"/>
              </w:rPr>
            </w:pPr>
            <w:r>
              <w:rPr>
                <w:sz w:val="22"/>
              </w:rPr>
              <w:t>...</w:t>
            </w:r>
          </w:p>
        </w:tc>
        <w:tc>
          <w:tcPr>
            <w:tcW w:w="1398" w:type="dxa"/>
          </w:tcPr>
          <w:p w14:paraId="67CF9390" w14:textId="77777777" w:rsidR="00157AAA" w:rsidRDefault="006C1BE5">
            <w:pPr>
              <w:spacing w:before="100" w:after="100"/>
              <w:jc w:val="center"/>
              <w:rPr>
                <w:sz w:val="22"/>
              </w:rPr>
            </w:pPr>
            <w:r>
              <w:rPr>
                <w:sz w:val="22"/>
              </w:rPr>
              <w:t>20zz</w:t>
            </w:r>
          </w:p>
        </w:tc>
      </w:tr>
      <w:tr w:rsidR="00157AAA" w14:paraId="18EFDAE8" w14:textId="77777777">
        <w:trPr>
          <w:cantSplit/>
        </w:trPr>
        <w:tc>
          <w:tcPr>
            <w:tcW w:w="1800" w:type="dxa"/>
          </w:tcPr>
          <w:p w14:paraId="02783EB0" w14:textId="77777777" w:rsidR="00157AAA" w:rsidRDefault="006C1BE5">
            <w:pPr>
              <w:spacing w:after="0"/>
              <w:jc w:val="center"/>
              <w:rPr>
                <w:sz w:val="22"/>
              </w:rPr>
            </w:pPr>
            <w:r>
              <w:rPr>
                <w:sz w:val="22"/>
              </w:rPr>
              <w:t>1</w:t>
            </w:r>
          </w:p>
        </w:tc>
        <w:tc>
          <w:tcPr>
            <w:tcW w:w="1397" w:type="dxa"/>
          </w:tcPr>
          <w:p w14:paraId="5A099537" w14:textId="77777777" w:rsidR="00157AAA" w:rsidRDefault="00157AAA">
            <w:pPr>
              <w:spacing w:after="0"/>
              <w:jc w:val="center"/>
              <w:rPr>
                <w:sz w:val="22"/>
              </w:rPr>
            </w:pPr>
          </w:p>
        </w:tc>
        <w:tc>
          <w:tcPr>
            <w:tcW w:w="1397" w:type="dxa"/>
          </w:tcPr>
          <w:p w14:paraId="3CAE506D" w14:textId="77777777" w:rsidR="00157AAA" w:rsidRDefault="00157AAA">
            <w:pPr>
              <w:spacing w:after="0"/>
              <w:jc w:val="center"/>
              <w:rPr>
                <w:sz w:val="22"/>
              </w:rPr>
            </w:pPr>
          </w:p>
        </w:tc>
        <w:tc>
          <w:tcPr>
            <w:tcW w:w="1397" w:type="dxa"/>
          </w:tcPr>
          <w:p w14:paraId="0650303B" w14:textId="77777777" w:rsidR="00157AAA" w:rsidRDefault="00157AAA">
            <w:pPr>
              <w:spacing w:after="0"/>
              <w:jc w:val="center"/>
              <w:rPr>
                <w:sz w:val="22"/>
              </w:rPr>
            </w:pPr>
          </w:p>
        </w:tc>
        <w:tc>
          <w:tcPr>
            <w:tcW w:w="1398" w:type="dxa"/>
          </w:tcPr>
          <w:p w14:paraId="4D56F79D" w14:textId="77777777" w:rsidR="00157AAA" w:rsidRDefault="00157AAA">
            <w:pPr>
              <w:spacing w:after="0"/>
              <w:jc w:val="center"/>
              <w:rPr>
                <w:sz w:val="22"/>
              </w:rPr>
            </w:pPr>
          </w:p>
        </w:tc>
        <w:tc>
          <w:tcPr>
            <w:tcW w:w="1397" w:type="dxa"/>
          </w:tcPr>
          <w:p w14:paraId="1C661402" w14:textId="77777777" w:rsidR="00157AAA" w:rsidRDefault="00157AAA">
            <w:pPr>
              <w:spacing w:after="0"/>
              <w:jc w:val="center"/>
              <w:rPr>
                <w:sz w:val="22"/>
              </w:rPr>
            </w:pPr>
          </w:p>
        </w:tc>
        <w:tc>
          <w:tcPr>
            <w:tcW w:w="1397" w:type="dxa"/>
          </w:tcPr>
          <w:p w14:paraId="131A5FA1" w14:textId="77777777" w:rsidR="00157AAA" w:rsidRDefault="00157AAA">
            <w:pPr>
              <w:spacing w:after="0"/>
              <w:jc w:val="center"/>
              <w:rPr>
                <w:sz w:val="22"/>
              </w:rPr>
            </w:pPr>
          </w:p>
        </w:tc>
        <w:tc>
          <w:tcPr>
            <w:tcW w:w="1397" w:type="dxa"/>
          </w:tcPr>
          <w:p w14:paraId="75D3613A" w14:textId="77777777" w:rsidR="00157AAA" w:rsidRDefault="00157AAA">
            <w:pPr>
              <w:spacing w:after="0"/>
              <w:jc w:val="center"/>
              <w:rPr>
                <w:sz w:val="22"/>
              </w:rPr>
            </w:pPr>
          </w:p>
        </w:tc>
        <w:tc>
          <w:tcPr>
            <w:tcW w:w="1398" w:type="dxa"/>
          </w:tcPr>
          <w:p w14:paraId="4945E1AF" w14:textId="77777777" w:rsidR="00157AAA" w:rsidRDefault="00157AAA">
            <w:pPr>
              <w:spacing w:after="0"/>
              <w:jc w:val="center"/>
              <w:rPr>
                <w:sz w:val="22"/>
              </w:rPr>
            </w:pPr>
          </w:p>
        </w:tc>
      </w:tr>
      <w:tr w:rsidR="00157AAA" w14:paraId="324B8979" w14:textId="77777777">
        <w:trPr>
          <w:cantSplit/>
        </w:trPr>
        <w:tc>
          <w:tcPr>
            <w:tcW w:w="1800" w:type="dxa"/>
          </w:tcPr>
          <w:p w14:paraId="44ADB213" w14:textId="77777777" w:rsidR="00157AAA" w:rsidRDefault="006C1BE5">
            <w:pPr>
              <w:spacing w:after="0"/>
              <w:jc w:val="center"/>
              <w:rPr>
                <w:sz w:val="22"/>
              </w:rPr>
            </w:pPr>
            <w:r>
              <w:rPr>
                <w:sz w:val="22"/>
              </w:rPr>
              <w:t>2</w:t>
            </w:r>
          </w:p>
        </w:tc>
        <w:tc>
          <w:tcPr>
            <w:tcW w:w="1397" w:type="dxa"/>
          </w:tcPr>
          <w:p w14:paraId="56955ACB" w14:textId="77777777" w:rsidR="00157AAA" w:rsidRDefault="00157AAA">
            <w:pPr>
              <w:spacing w:after="0"/>
              <w:jc w:val="center"/>
              <w:rPr>
                <w:sz w:val="22"/>
              </w:rPr>
            </w:pPr>
          </w:p>
        </w:tc>
        <w:tc>
          <w:tcPr>
            <w:tcW w:w="1397" w:type="dxa"/>
          </w:tcPr>
          <w:p w14:paraId="3AC8FA0F" w14:textId="77777777" w:rsidR="00157AAA" w:rsidRDefault="00157AAA">
            <w:pPr>
              <w:spacing w:after="0"/>
              <w:jc w:val="center"/>
              <w:rPr>
                <w:sz w:val="22"/>
              </w:rPr>
            </w:pPr>
          </w:p>
        </w:tc>
        <w:tc>
          <w:tcPr>
            <w:tcW w:w="1397" w:type="dxa"/>
          </w:tcPr>
          <w:p w14:paraId="4B2DE2E5" w14:textId="77777777" w:rsidR="00157AAA" w:rsidRDefault="00157AAA">
            <w:pPr>
              <w:spacing w:after="0"/>
              <w:jc w:val="center"/>
              <w:rPr>
                <w:sz w:val="22"/>
              </w:rPr>
            </w:pPr>
          </w:p>
        </w:tc>
        <w:tc>
          <w:tcPr>
            <w:tcW w:w="1398" w:type="dxa"/>
          </w:tcPr>
          <w:p w14:paraId="3A66560A" w14:textId="77777777" w:rsidR="00157AAA" w:rsidRDefault="00157AAA">
            <w:pPr>
              <w:spacing w:after="0"/>
              <w:jc w:val="center"/>
              <w:rPr>
                <w:sz w:val="22"/>
              </w:rPr>
            </w:pPr>
          </w:p>
        </w:tc>
        <w:tc>
          <w:tcPr>
            <w:tcW w:w="1397" w:type="dxa"/>
          </w:tcPr>
          <w:p w14:paraId="02FF983A" w14:textId="77777777" w:rsidR="00157AAA" w:rsidRDefault="00157AAA">
            <w:pPr>
              <w:spacing w:after="0"/>
              <w:jc w:val="center"/>
              <w:rPr>
                <w:sz w:val="22"/>
              </w:rPr>
            </w:pPr>
          </w:p>
        </w:tc>
        <w:tc>
          <w:tcPr>
            <w:tcW w:w="1397" w:type="dxa"/>
          </w:tcPr>
          <w:p w14:paraId="227F8D56" w14:textId="77777777" w:rsidR="00157AAA" w:rsidRDefault="00157AAA">
            <w:pPr>
              <w:spacing w:after="0"/>
              <w:jc w:val="center"/>
              <w:rPr>
                <w:sz w:val="22"/>
              </w:rPr>
            </w:pPr>
          </w:p>
        </w:tc>
        <w:tc>
          <w:tcPr>
            <w:tcW w:w="1397" w:type="dxa"/>
          </w:tcPr>
          <w:p w14:paraId="125DF2CA" w14:textId="77777777" w:rsidR="00157AAA" w:rsidRDefault="00157AAA">
            <w:pPr>
              <w:spacing w:after="0"/>
              <w:jc w:val="center"/>
              <w:rPr>
                <w:sz w:val="22"/>
              </w:rPr>
            </w:pPr>
          </w:p>
        </w:tc>
        <w:tc>
          <w:tcPr>
            <w:tcW w:w="1398" w:type="dxa"/>
          </w:tcPr>
          <w:p w14:paraId="3937F1FF" w14:textId="77777777" w:rsidR="00157AAA" w:rsidRDefault="00157AAA">
            <w:pPr>
              <w:spacing w:after="0"/>
              <w:jc w:val="center"/>
              <w:rPr>
                <w:sz w:val="22"/>
              </w:rPr>
            </w:pPr>
          </w:p>
        </w:tc>
      </w:tr>
      <w:tr w:rsidR="00157AAA" w14:paraId="39AABAA4" w14:textId="77777777">
        <w:trPr>
          <w:cantSplit/>
        </w:trPr>
        <w:tc>
          <w:tcPr>
            <w:tcW w:w="1800" w:type="dxa"/>
          </w:tcPr>
          <w:p w14:paraId="16E5A586" w14:textId="77777777" w:rsidR="00157AAA" w:rsidRDefault="006C1BE5">
            <w:pPr>
              <w:spacing w:after="0"/>
              <w:jc w:val="center"/>
              <w:rPr>
                <w:sz w:val="22"/>
              </w:rPr>
            </w:pPr>
            <w:r>
              <w:rPr>
                <w:sz w:val="22"/>
              </w:rPr>
              <w:t>3</w:t>
            </w:r>
          </w:p>
        </w:tc>
        <w:tc>
          <w:tcPr>
            <w:tcW w:w="1397" w:type="dxa"/>
          </w:tcPr>
          <w:p w14:paraId="030BD2DC" w14:textId="77777777" w:rsidR="00157AAA" w:rsidRDefault="00157AAA">
            <w:pPr>
              <w:spacing w:after="0"/>
              <w:jc w:val="center"/>
              <w:rPr>
                <w:sz w:val="22"/>
              </w:rPr>
            </w:pPr>
          </w:p>
        </w:tc>
        <w:tc>
          <w:tcPr>
            <w:tcW w:w="1397" w:type="dxa"/>
          </w:tcPr>
          <w:p w14:paraId="77A4F8D7" w14:textId="77777777" w:rsidR="00157AAA" w:rsidRDefault="00157AAA">
            <w:pPr>
              <w:spacing w:after="0"/>
              <w:jc w:val="center"/>
              <w:rPr>
                <w:sz w:val="22"/>
              </w:rPr>
            </w:pPr>
          </w:p>
        </w:tc>
        <w:tc>
          <w:tcPr>
            <w:tcW w:w="1397" w:type="dxa"/>
          </w:tcPr>
          <w:p w14:paraId="0EEB55C9" w14:textId="77777777" w:rsidR="00157AAA" w:rsidRDefault="00157AAA">
            <w:pPr>
              <w:spacing w:after="0"/>
              <w:jc w:val="center"/>
              <w:rPr>
                <w:sz w:val="22"/>
              </w:rPr>
            </w:pPr>
          </w:p>
        </w:tc>
        <w:tc>
          <w:tcPr>
            <w:tcW w:w="1398" w:type="dxa"/>
          </w:tcPr>
          <w:p w14:paraId="7546A601" w14:textId="77777777" w:rsidR="00157AAA" w:rsidRDefault="00157AAA">
            <w:pPr>
              <w:spacing w:after="0"/>
              <w:jc w:val="center"/>
              <w:rPr>
                <w:sz w:val="22"/>
              </w:rPr>
            </w:pPr>
          </w:p>
        </w:tc>
        <w:tc>
          <w:tcPr>
            <w:tcW w:w="1397" w:type="dxa"/>
          </w:tcPr>
          <w:p w14:paraId="325B7817" w14:textId="77777777" w:rsidR="00157AAA" w:rsidRDefault="00157AAA">
            <w:pPr>
              <w:spacing w:after="0"/>
              <w:jc w:val="center"/>
              <w:rPr>
                <w:sz w:val="22"/>
              </w:rPr>
            </w:pPr>
          </w:p>
        </w:tc>
        <w:tc>
          <w:tcPr>
            <w:tcW w:w="1397" w:type="dxa"/>
          </w:tcPr>
          <w:p w14:paraId="7A1ACA6A" w14:textId="77777777" w:rsidR="00157AAA" w:rsidRDefault="00157AAA">
            <w:pPr>
              <w:spacing w:after="0"/>
              <w:jc w:val="center"/>
              <w:rPr>
                <w:sz w:val="22"/>
              </w:rPr>
            </w:pPr>
          </w:p>
        </w:tc>
        <w:tc>
          <w:tcPr>
            <w:tcW w:w="1397" w:type="dxa"/>
          </w:tcPr>
          <w:p w14:paraId="70D45052" w14:textId="77777777" w:rsidR="00157AAA" w:rsidRDefault="00157AAA">
            <w:pPr>
              <w:spacing w:after="0"/>
              <w:jc w:val="center"/>
              <w:rPr>
                <w:sz w:val="22"/>
              </w:rPr>
            </w:pPr>
          </w:p>
        </w:tc>
        <w:tc>
          <w:tcPr>
            <w:tcW w:w="1398" w:type="dxa"/>
          </w:tcPr>
          <w:p w14:paraId="1C1A57E5" w14:textId="77777777" w:rsidR="00157AAA" w:rsidRDefault="00157AAA">
            <w:pPr>
              <w:spacing w:after="0"/>
              <w:jc w:val="center"/>
              <w:rPr>
                <w:sz w:val="22"/>
              </w:rPr>
            </w:pPr>
          </w:p>
        </w:tc>
      </w:tr>
      <w:tr w:rsidR="00157AAA" w14:paraId="312D0900" w14:textId="77777777">
        <w:trPr>
          <w:cantSplit/>
        </w:trPr>
        <w:tc>
          <w:tcPr>
            <w:tcW w:w="1800" w:type="dxa"/>
          </w:tcPr>
          <w:p w14:paraId="65C7063C" w14:textId="77777777" w:rsidR="00157AAA" w:rsidRDefault="006C1BE5">
            <w:pPr>
              <w:spacing w:after="0"/>
              <w:jc w:val="center"/>
              <w:rPr>
                <w:sz w:val="22"/>
              </w:rPr>
            </w:pPr>
            <w:r>
              <w:rPr>
                <w:sz w:val="22"/>
              </w:rPr>
              <w:t>4</w:t>
            </w:r>
          </w:p>
        </w:tc>
        <w:tc>
          <w:tcPr>
            <w:tcW w:w="1397" w:type="dxa"/>
          </w:tcPr>
          <w:p w14:paraId="1F4711C7" w14:textId="77777777" w:rsidR="00157AAA" w:rsidRDefault="00157AAA">
            <w:pPr>
              <w:spacing w:after="0"/>
              <w:jc w:val="center"/>
              <w:rPr>
                <w:sz w:val="22"/>
              </w:rPr>
            </w:pPr>
          </w:p>
        </w:tc>
        <w:tc>
          <w:tcPr>
            <w:tcW w:w="1397" w:type="dxa"/>
          </w:tcPr>
          <w:p w14:paraId="0481BAF1" w14:textId="77777777" w:rsidR="00157AAA" w:rsidRDefault="00157AAA">
            <w:pPr>
              <w:spacing w:after="0"/>
              <w:jc w:val="center"/>
              <w:rPr>
                <w:sz w:val="22"/>
              </w:rPr>
            </w:pPr>
          </w:p>
        </w:tc>
        <w:tc>
          <w:tcPr>
            <w:tcW w:w="1397" w:type="dxa"/>
          </w:tcPr>
          <w:p w14:paraId="7FED5323" w14:textId="77777777" w:rsidR="00157AAA" w:rsidRDefault="00157AAA">
            <w:pPr>
              <w:spacing w:after="0"/>
              <w:jc w:val="center"/>
              <w:rPr>
                <w:sz w:val="22"/>
              </w:rPr>
            </w:pPr>
          </w:p>
        </w:tc>
        <w:tc>
          <w:tcPr>
            <w:tcW w:w="1398" w:type="dxa"/>
          </w:tcPr>
          <w:p w14:paraId="4E9B70A2" w14:textId="77777777" w:rsidR="00157AAA" w:rsidRDefault="00157AAA">
            <w:pPr>
              <w:spacing w:after="0"/>
              <w:jc w:val="center"/>
              <w:rPr>
                <w:sz w:val="22"/>
              </w:rPr>
            </w:pPr>
          </w:p>
        </w:tc>
        <w:tc>
          <w:tcPr>
            <w:tcW w:w="1397" w:type="dxa"/>
          </w:tcPr>
          <w:p w14:paraId="3C3CC7B3" w14:textId="77777777" w:rsidR="00157AAA" w:rsidRDefault="00157AAA">
            <w:pPr>
              <w:spacing w:after="0"/>
              <w:jc w:val="center"/>
              <w:rPr>
                <w:sz w:val="22"/>
              </w:rPr>
            </w:pPr>
          </w:p>
        </w:tc>
        <w:tc>
          <w:tcPr>
            <w:tcW w:w="1397" w:type="dxa"/>
          </w:tcPr>
          <w:p w14:paraId="02C5F77F" w14:textId="77777777" w:rsidR="00157AAA" w:rsidRDefault="00157AAA">
            <w:pPr>
              <w:spacing w:after="0"/>
              <w:jc w:val="center"/>
              <w:rPr>
                <w:sz w:val="22"/>
              </w:rPr>
            </w:pPr>
          </w:p>
        </w:tc>
        <w:tc>
          <w:tcPr>
            <w:tcW w:w="1397" w:type="dxa"/>
          </w:tcPr>
          <w:p w14:paraId="7FB471F7" w14:textId="77777777" w:rsidR="00157AAA" w:rsidRDefault="00157AAA">
            <w:pPr>
              <w:spacing w:after="0"/>
              <w:jc w:val="center"/>
              <w:rPr>
                <w:sz w:val="22"/>
              </w:rPr>
            </w:pPr>
          </w:p>
        </w:tc>
        <w:tc>
          <w:tcPr>
            <w:tcW w:w="1398" w:type="dxa"/>
          </w:tcPr>
          <w:p w14:paraId="4884FEBA" w14:textId="77777777" w:rsidR="00157AAA" w:rsidRDefault="00157AAA">
            <w:pPr>
              <w:spacing w:after="0"/>
              <w:jc w:val="center"/>
              <w:rPr>
                <w:sz w:val="22"/>
              </w:rPr>
            </w:pPr>
          </w:p>
        </w:tc>
      </w:tr>
      <w:tr w:rsidR="00157AAA" w14:paraId="0D8D38B1" w14:textId="77777777">
        <w:trPr>
          <w:cantSplit/>
        </w:trPr>
        <w:tc>
          <w:tcPr>
            <w:tcW w:w="1800" w:type="dxa"/>
          </w:tcPr>
          <w:p w14:paraId="27BF2044" w14:textId="77777777" w:rsidR="00157AAA" w:rsidRDefault="006C1BE5">
            <w:pPr>
              <w:spacing w:after="0"/>
              <w:jc w:val="center"/>
              <w:rPr>
                <w:sz w:val="22"/>
              </w:rPr>
            </w:pPr>
            <w:r>
              <w:rPr>
                <w:sz w:val="22"/>
              </w:rPr>
              <w:t>5</w:t>
            </w:r>
          </w:p>
        </w:tc>
        <w:tc>
          <w:tcPr>
            <w:tcW w:w="1397" w:type="dxa"/>
          </w:tcPr>
          <w:p w14:paraId="6A458D51" w14:textId="77777777" w:rsidR="00157AAA" w:rsidRDefault="00157AAA">
            <w:pPr>
              <w:spacing w:after="0"/>
              <w:jc w:val="center"/>
              <w:rPr>
                <w:sz w:val="22"/>
              </w:rPr>
            </w:pPr>
          </w:p>
        </w:tc>
        <w:tc>
          <w:tcPr>
            <w:tcW w:w="1397" w:type="dxa"/>
          </w:tcPr>
          <w:p w14:paraId="094B5A9C" w14:textId="77777777" w:rsidR="00157AAA" w:rsidRDefault="00157AAA">
            <w:pPr>
              <w:spacing w:after="0"/>
              <w:jc w:val="center"/>
              <w:rPr>
                <w:sz w:val="22"/>
              </w:rPr>
            </w:pPr>
          </w:p>
        </w:tc>
        <w:tc>
          <w:tcPr>
            <w:tcW w:w="1397" w:type="dxa"/>
          </w:tcPr>
          <w:p w14:paraId="2ADFC1A7" w14:textId="77777777" w:rsidR="00157AAA" w:rsidRDefault="00157AAA">
            <w:pPr>
              <w:spacing w:after="0"/>
              <w:jc w:val="center"/>
              <w:rPr>
                <w:sz w:val="22"/>
              </w:rPr>
            </w:pPr>
          </w:p>
        </w:tc>
        <w:tc>
          <w:tcPr>
            <w:tcW w:w="1398" w:type="dxa"/>
          </w:tcPr>
          <w:p w14:paraId="6514F93C" w14:textId="77777777" w:rsidR="00157AAA" w:rsidRDefault="00157AAA">
            <w:pPr>
              <w:spacing w:after="0"/>
              <w:jc w:val="center"/>
              <w:rPr>
                <w:sz w:val="22"/>
              </w:rPr>
            </w:pPr>
          </w:p>
        </w:tc>
        <w:tc>
          <w:tcPr>
            <w:tcW w:w="1397" w:type="dxa"/>
          </w:tcPr>
          <w:p w14:paraId="70AA5D44" w14:textId="77777777" w:rsidR="00157AAA" w:rsidRDefault="00157AAA">
            <w:pPr>
              <w:spacing w:after="0"/>
              <w:jc w:val="center"/>
              <w:rPr>
                <w:sz w:val="22"/>
              </w:rPr>
            </w:pPr>
          </w:p>
        </w:tc>
        <w:tc>
          <w:tcPr>
            <w:tcW w:w="1397" w:type="dxa"/>
          </w:tcPr>
          <w:p w14:paraId="52C8FE2D" w14:textId="77777777" w:rsidR="00157AAA" w:rsidRDefault="00157AAA">
            <w:pPr>
              <w:spacing w:after="0"/>
              <w:jc w:val="center"/>
              <w:rPr>
                <w:sz w:val="22"/>
              </w:rPr>
            </w:pPr>
          </w:p>
        </w:tc>
        <w:tc>
          <w:tcPr>
            <w:tcW w:w="1397" w:type="dxa"/>
          </w:tcPr>
          <w:p w14:paraId="03CBE396" w14:textId="77777777" w:rsidR="00157AAA" w:rsidRDefault="00157AAA">
            <w:pPr>
              <w:spacing w:after="0"/>
              <w:jc w:val="center"/>
              <w:rPr>
                <w:sz w:val="22"/>
              </w:rPr>
            </w:pPr>
          </w:p>
        </w:tc>
        <w:tc>
          <w:tcPr>
            <w:tcW w:w="1398" w:type="dxa"/>
          </w:tcPr>
          <w:p w14:paraId="3FE69FCC" w14:textId="77777777" w:rsidR="00157AAA" w:rsidRDefault="00157AAA">
            <w:pPr>
              <w:spacing w:after="0"/>
              <w:jc w:val="center"/>
              <w:rPr>
                <w:sz w:val="22"/>
              </w:rPr>
            </w:pPr>
          </w:p>
        </w:tc>
      </w:tr>
      <w:tr w:rsidR="00157AAA" w14:paraId="3FDD841E" w14:textId="77777777">
        <w:trPr>
          <w:cantSplit/>
        </w:trPr>
        <w:tc>
          <w:tcPr>
            <w:tcW w:w="1800" w:type="dxa"/>
          </w:tcPr>
          <w:p w14:paraId="7DC4A122" w14:textId="77777777" w:rsidR="00157AAA" w:rsidRDefault="006C1BE5">
            <w:pPr>
              <w:spacing w:after="0"/>
              <w:jc w:val="center"/>
              <w:rPr>
                <w:sz w:val="22"/>
              </w:rPr>
            </w:pPr>
            <w:r>
              <w:rPr>
                <w:sz w:val="22"/>
              </w:rPr>
              <w:t>6</w:t>
            </w:r>
          </w:p>
        </w:tc>
        <w:tc>
          <w:tcPr>
            <w:tcW w:w="1397" w:type="dxa"/>
          </w:tcPr>
          <w:p w14:paraId="7B669673" w14:textId="77777777" w:rsidR="00157AAA" w:rsidRDefault="00157AAA">
            <w:pPr>
              <w:spacing w:after="0"/>
              <w:jc w:val="center"/>
              <w:rPr>
                <w:sz w:val="22"/>
              </w:rPr>
            </w:pPr>
          </w:p>
        </w:tc>
        <w:tc>
          <w:tcPr>
            <w:tcW w:w="1397" w:type="dxa"/>
          </w:tcPr>
          <w:p w14:paraId="29A6B8C8" w14:textId="77777777" w:rsidR="00157AAA" w:rsidRDefault="00157AAA">
            <w:pPr>
              <w:spacing w:after="0"/>
              <w:jc w:val="center"/>
              <w:rPr>
                <w:sz w:val="22"/>
              </w:rPr>
            </w:pPr>
          </w:p>
        </w:tc>
        <w:tc>
          <w:tcPr>
            <w:tcW w:w="1397" w:type="dxa"/>
          </w:tcPr>
          <w:p w14:paraId="7C0BA5FF" w14:textId="77777777" w:rsidR="00157AAA" w:rsidRDefault="00157AAA">
            <w:pPr>
              <w:spacing w:after="0"/>
              <w:jc w:val="center"/>
              <w:rPr>
                <w:sz w:val="22"/>
              </w:rPr>
            </w:pPr>
          </w:p>
        </w:tc>
        <w:tc>
          <w:tcPr>
            <w:tcW w:w="1398" w:type="dxa"/>
          </w:tcPr>
          <w:p w14:paraId="65EC2391" w14:textId="77777777" w:rsidR="00157AAA" w:rsidRDefault="00157AAA">
            <w:pPr>
              <w:spacing w:after="0"/>
              <w:jc w:val="center"/>
              <w:rPr>
                <w:sz w:val="22"/>
              </w:rPr>
            </w:pPr>
          </w:p>
        </w:tc>
        <w:tc>
          <w:tcPr>
            <w:tcW w:w="1397" w:type="dxa"/>
          </w:tcPr>
          <w:p w14:paraId="2F1D5C4D" w14:textId="77777777" w:rsidR="00157AAA" w:rsidRDefault="00157AAA">
            <w:pPr>
              <w:spacing w:after="0"/>
              <w:jc w:val="center"/>
              <w:rPr>
                <w:sz w:val="22"/>
              </w:rPr>
            </w:pPr>
          </w:p>
        </w:tc>
        <w:tc>
          <w:tcPr>
            <w:tcW w:w="1397" w:type="dxa"/>
          </w:tcPr>
          <w:p w14:paraId="146ABBA9" w14:textId="77777777" w:rsidR="00157AAA" w:rsidRDefault="00157AAA">
            <w:pPr>
              <w:spacing w:after="0"/>
              <w:jc w:val="center"/>
              <w:rPr>
                <w:sz w:val="22"/>
              </w:rPr>
            </w:pPr>
          </w:p>
        </w:tc>
        <w:tc>
          <w:tcPr>
            <w:tcW w:w="1397" w:type="dxa"/>
          </w:tcPr>
          <w:p w14:paraId="5DADF306" w14:textId="77777777" w:rsidR="00157AAA" w:rsidRDefault="00157AAA">
            <w:pPr>
              <w:spacing w:after="0"/>
              <w:jc w:val="center"/>
              <w:rPr>
                <w:sz w:val="22"/>
              </w:rPr>
            </w:pPr>
          </w:p>
        </w:tc>
        <w:tc>
          <w:tcPr>
            <w:tcW w:w="1398" w:type="dxa"/>
          </w:tcPr>
          <w:p w14:paraId="75510298" w14:textId="77777777" w:rsidR="00157AAA" w:rsidRDefault="00157AAA">
            <w:pPr>
              <w:spacing w:after="0"/>
              <w:jc w:val="center"/>
              <w:rPr>
                <w:sz w:val="22"/>
              </w:rPr>
            </w:pPr>
          </w:p>
        </w:tc>
      </w:tr>
      <w:tr w:rsidR="00157AAA" w14:paraId="038B34D5" w14:textId="77777777">
        <w:trPr>
          <w:cantSplit/>
        </w:trPr>
        <w:tc>
          <w:tcPr>
            <w:tcW w:w="1800" w:type="dxa"/>
          </w:tcPr>
          <w:p w14:paraId="30225954" w14:textId="77777777" w:rsidR="00157AAA" w:rsidRDefault="006C1BE5">
            <w:pPr>
              <w:spacing w:after="0"/>
              <w:jc w:val="center"/>
              <w:rPr>
                <w:sz w:val="22"/>
              </w:rPr>
            </w:pPr>
            <w:r>
              <w:rPr>
                <w:sz w:val="22"/>
              </w:rPr>
              <w:t>7</w:t>
            </w:r>
          </w:p>
        </w:tc>
        <w:tc>
          <w:tcPr>
            <w:tcW w:w="1397" w:type="dxa"/>
          </w:tcPr>
          <w:p w14:paraId="30C9AA9B" w14:textId="77777777" w:rsidR="00157AAA" w:rsidRDefault="00157AAA">
            <w:pPr>
              <w:spacing w:after="0"/>
              <w:jc w:val="center"/>
              <w:rPr>
                <w:sz w:val="22"/>
              </w:rPr>
            </w:pPr>
          </w:p>
        </w:tc>
        <w:tc>
          <w:tcPr>
            <w:tcW w:w="1397" w:type="dxa"/>
          </w:tcPr>
          <w:p w14:paraId="43A2D3E6" w14:textId="77777777" w:rsidR="00157AAA" w:rsidRDefault="00157AAA">
            <w:pPr>
              <w:spacing w:after="0"/>
              <w:jc w:val="center"/>
              <w:rPr>
                <w:sz w:val="22"/>
              </w:rPr>
            </w:pPr>
          </w:p>
        </w:tc>
        <w:tc>
          <w:tcPr>
            <w:tcW w:w="1397" w:type="dxa"/>
          </w:tcPr>
          <w:p w14:paraId="58A8055B" w14:textId="77777777" w:rsidR="00157AAA" w:rsidRDefault="00157AAA">
            <w:pPr>
              <w:spacing w:after="0"/>
              <w:jc w:val="center"/>
              <w:rPr>
                <w:sz w:val="22"/>
              </w:rPr>
            </w:pPr>
          </w:p>
        </w:tc>
        <w:tc>
          <w:tcPr>
            <w:tcW w:w="1398" w:type="dxa"/>
          </w:tcPr>
          <w:p w14:paraId="40E255FD" w14:textId="77777777" w:rsidR="00157AAA" w:rsidRDefault="00157AAA">
            <w:pPr>
              <w:spacing w:after="0"/>
              <w:jc w:val="center"/>
              <w:rPr>
                <w:sz w:val="22"/>
              </w:rPr>
            </w:pPr>
          </w:p>
        </w:tc>
        <w:tc>
          <w:tcPr>
            <w:tcW w:w="1397" w:type="dxa"/>
          </w:tcPr>
          <w:p w14:paraId="4609B442" w14:textId="77777777" w:rsidR="00157AAA" w:rsidRDefault="00157AAA">
            <w:pPr>
              <w:spacing w:after="0"/>
              <w:jc w:val="center"/>
              <w:rPr>
                <w:sz w:val="22"/>
              </w:rPr>
            </w:pPr>
          </w:p>
        </w:tc>
        <w:tc>
          <w:tcPr>
            <w:tcW w:w="1397" w:type="dxa"/>
          </w:tcPr>
          <w:p w14:paraId="7D5530A6" w14:textId="77777777" w:rsidR="00157AAA" w:rsidRDefault="00157AAA">
            <w:pPr>
              <w:spacing w:after="0"/>
              <w:jc w:val="center"/>
              <w:rPr>
                <w:sz w:val="22"/>
              </w:rPr>
            </w:pPr>
          </w:p>
        </w:tc>
        <w:tc>
          <w:tcPr>
            <w:tcW w:w="1397" w:type="dxa"/>
          </w:tcPr>
          <w:p w14:paraId="483846FE" w14:textId="77777777" w:rsidR="00157AAA" w:rsidRDefault="00157AAA">
            <w:pPr>
              <w:spacing w:after="0"/>
              <w:jc w:val="center"/>
              <w:rPr>
                <w:sz w:val="22"/>
              </w:rPr>
            </w:pPr>
          </w:p>
        </w:tc>
        <w:tc>
          <w:tcPr>
            <w:tcW w:w="1398" w:type="dxa"/>
          </w:tcPr>
          <w:p w14:paraId="32084D53" w14:textId="77777777" w:rsidR="00157AAA" w:rsidRDefault="00157AAA">
            <w:pPr>
              <w:spacing w:after="0"/>
              <w:jc w:val="center"/>
              <w:rPr>
                <w:sz w:val="22"/>
              </w:rPr>
            </w:pPr>
          </w:p>
        </w:tc>
      </w:tr>
      <w:tr w:rsidR="00157AAA" w14:paraId="55E7A31A" w14:textId="77777777">
        <w:trPr>
          <w:cantSplit/>
        </w:trPr>
        <w:tc>
          <w:tcPr>
            <w:tcW w:w="1800" w:type="dxa"/>
          </w:tcPr>
          <w:p w14:paraId="0E769464" w14:textId="77777777" w:rsidR="00157AAA" w:rsidRDefault="006C1BE5">
            <w:pPr>
              <w:spacing w:after="0"/>
              <w:jc w:val="center"/>
              <w:rPr>
                <w:sz w:val="22"/>
              </w:rPr>
            </w:pPr>
            <w:r>
              <w:rPr>
                <w:sz w:val="22"/>
              </w:rPr>
              <w:t>8</w:t>
            </w:r>
          </w:p>
        </w:tc>
        <w:tc>
          <w:tcPr>
            <w:tcW w:w="1397" w:type="dxa"/>
          </w:tcPr>
          <w:p w14:paraId="76277EF7" w14:textId="77777777" w:rsidR="00157AAA" w:rsidRDefault="00157AAA">
            <w:pPr>
              <w:spacing w:after="0"/>
              <w:jc w:val="center"/>
              <w:rPr>
                <w:sz w:val="22"/>
              </w:rPr>
            </w:pPr>
          </w:p>
        </w:tc>
        <w:tc>
          <w:tcPr>
            <w:tcW w:w="1397" w:type="dxa"/>
          </w:tcPr>
          <w:p w14:paraId="643EC43D" w14:textId="77777777" w:rsidR="00157AAA" w:rsidRDefault="00157AAA">
            <w:pPr>
              <w:spacing w:after="0"/>
              <w:jc w:val="center"/>
              <w:rPr>
                <w:sz w:val="22"/>
              </w:rPr>
            </w:pPr>
          </w:p>
        </w:tc>
        <w:tc>
          <w:tcPr>
            <w:tcW w:w="1397" w:type="dxa"/>
          </w:tcPr>
          <w:p w14:paraId="56FB3166" w14:textId="77777777" w:rsidR="00157AAA" w:rsidRDefault="00157AAA">
            <w:pPr>
              <w:spacing w:after="0"/>
              <w:jc w:val="center"/>
              <w:rPr>
                <w:sz w:val="22"/>
              </w:rPr>
            </w:pPr>
          </w:p>
        </w:tc>
        <w:tc>
          <w:tcPr>
            <w:tcW w:w="1398" w:type="dxa"/>
          </w:tcPr>
          <w:p w14:paraId="7DA2FCB4" w14:textId="77777777" w:rsidR="00157AAA" w:rsidRDefault="00157AAA">
            <w:pPr>
              <w:spacing w:after="0"/>
              <w:jc w:val="center"/>
              <w:rPr>
                <w:sz w:val="22"/>
              </w:rPr>
            </w:pPr>
          </w:p>
        </w:tc>
        <w:tc>
          <w:tcPr>
            <w:tcW w:w="1397" w:type="dxa"/>
          </w:tcPr>
          <w:p w14:paraId="70C57FBF" w14:textId="77777777" w:rsidR="00157AAA" w:rsidRDefault="00157AAA">
            <w:pPr>
              <w:spacing w:after="0"/>
              <w:jc w:val="center"/>
              <w:rPr>
                <w:sz w:val="22"/>
              </w:rPr>
            </w:pPr>
          </w:p>
        </w:tc>
        <w:tc>
          <w:tcPr>
            <w:tcW w:w="1397" w:type="dxa"/>
          </w:tcPr>
          <w:p w14:paraId="63C2B40D" w14:textId="77777777" w:rsidR="00157AAA" w:rsidRDefault="00157AAA">
            <w:pPr>
              <w:spacing w:after="0"/>
              <w:jc w:val="center"/>
              <w:rPr>
                <w:sz w:val="22"/>
              </w:rPr>
            </w:pPr>
          </w:p>
        </w:tc>
        <w:tc>
          <w:tcPr>
            <w:tcW w:w="1397" w:type="dxa"/>
          </w:tcPr>
          <w:p w14:paraId="3F8245B1" w14:textId="77777777" w:rsidR="00157AAA" w:rsidRDefault="00157AAA">
            <w:pPr>
              <w:spacing w:after="0"/>
              <w:jc w:val="center"/>
              <w:rPr>
                <w:sz w:val="22"/>
              </w:rPr>
            </w:pPr>
          </w:p>
        </w:tc>
        <w:tc>
          <w:tcPr>
            <w:tcW w:w="1398" w:type="dxa"/>
          </w:tcPr>
          <w:p w14:paraId="03B87185" w14:textId="77777777" w:rsidR="00157AAA" w:rsidRDefault="00157AAA">
            <w:pPr>
              <w:spacing w:after="0"/>
              <w:jc w:val="center"/>
              <w:rPr>
                <w:sz w:val="22"/>
              </w:rPr>
            </w:pPr>
          </w:p>
        </w:tc>
      </w:tr>
      <w:tr w:rsidR="00157AAA" w14:paraId="5874AC6B" w14:textId="77777777">
        <w:trPr>
          <w:cantSplit/>
        </w:trPr>
        <w:tc>
          <w:tcPr>
            <w:tcW w:w="1800" w:type="dxa"/>
          </w:tcPr>
          <w:p w14:paraId="32690798" w14:textId="77777777" w:rsidR="00157AAA" w:rsidRDefault="006C1BE5">
            <w:pPr>
              <w:spacing w:after="0"/>
              <w:jc w:val="center"/>
              <w:rPr>
                <w:sz w:val="22"/>
              </w:rPr>
            </w:pPr>
            <w:r>
              <w:rPr>
                <w:sz w:val="22"/>
              </w:rPr>
              <w:t>9</w:t>
            </w:r>
          </w:p>
        </w:tc>
        <w:tc>
          <w:tcPr>
            <w:tcW w:w="1397" w:type="dxa"/>
          </w:tcPr>
          <w:p w14:paraId="02552252" w14:textId="77777777" w:rsidR="00157AAA" w:rsidRDefault="00157AAA">
            <w:pPr>
              <w:spacing w:after="0"/>
              <w:jc w:val="center"/>
              <w:rPr>
                <w:sz w:val="22"/>
              </w:rPr>
            </w:pPr>
          </w:p>
        </w:tc>
        <w:tc>
          <w:tcPr>
            <w:tcW w:w="1397" w:type="dxa"/>
          </w:tcPr>
          <w:p w14:paraId="17125DF0" w14:textId="77777777" w:rsidR="00157AAA" w:rsidRDefault="00157AAA">
            <w:pPr>
              <w:spacing w:after="0"/>
              <w:jc w:val="center"/>
              <w:rPr>
                <w:sz w:val="22"/>
              </w:rPr>
            </w:pPr>
          </w:p>
        </w:tc>
        <w:tc>
          <w:tcPr>
            <w:tcW w:w="1397" w:type="dxa"/>
          </w:tcPr>
          <w:p w14:paraId="36AA71DE" w14:textId="77777777" w:rsidR="00157AAA" w:rsidRDefault="00157AAA">
            <w:pPr>
              <w:spacing w:after="0"/>
              <w:jc w:val="center"/>
              <w:rPr>
                <w:sz w:val="22"/>
              </w:rPr>
            </w:pPr>
          </w:p>
        </w:tc>
        <w:tc>
          <w:tcPr>
            <w:tcW w:w="1398" w:type="dxa"/>
          </w:tcPr>
          <w:p w14:paraId="43DF2C89" w14:textId="77777777" w:rsidR="00157AAA" w:rsidRDefault="00157AAA">
            <w:pPr>
              <w:spacing w:after="0"/>
              <w:jc w:val="center"/>
              <w:rPr>
                <w:sz w:val="22"/>
              </w:rPr>
            </w:pPr>
          </w:p>
        </w:tc>
        <w:tc>
          <w:tcPr>
            <w:tcW w:w="1397" w:type="dxa"/>
          </w:tcPr>
          <w:p w14:paraId="63BC6A45" w14:textId="77777777" w:rsidR="00157AAA" w:rsidRDefault="00157AAA">
            <w:pPr>
              <w:spacing w:after="0"/>
              <w:jc w:val="center"/>
              <w:rPr>
                <w:sz w:val="22"/>
              </w:rPr>
            </w:pPr>
          </w:p>
        </w:tc>
        <w:tc>
          <w:tcPr>
            <w:tcW w:w="1397" w:type="dxa"/>
          </w:tcPr>
          <w:p w14:paraId="4E45C57D" w14:textId="77777777" w:rsidR="00157AAA" w:rsidRDefault="00157AAA">
            <w:pPr>
              <w:spacing w:after="0"/>
              <w:jc w:val="center"/>
              <w:rPr>
                <w:sz w:val="22"/>
              </w:rPr>
            </w:pPr>
          </w:p>
        </w:tc>
        <w:tc>
          <w:tcPr>
            <w:tcW w:w="1397" w:type="dxa"/>
          </w:tcPr>
          <w:p w14:paraId="65B61FE1" w14:textId="77777777" w:rsidR="00157AAA" w:rsidRDefault="00157AAA">
            <w:pPr>
              <w:spacing w:after="0"/>
              <w:jc w:val="center"/>
              <w:rPr>
                <w:sz w:val="22"/>
              </w:rPr>
            </w:pPr>
          </w:p>
        </w:tc>
        <w:tc>
          <w:tcPr>
            <w:tcW w:w="1398" w:type="dxa"/>
          </w:tcPr>
          <w:p w14:paraId="16F1E1EB" w14:textId="77777777" w:rsidR="00157AAA" w:rsidRDefault="00157AAA">
            <w:pPr>
              <w:spacing w:after="0"/>
              <w:jc w:val="center"/>
              <w:rPr>
                <w:sz w:val="22"/>
              </w:rPr>
            </w:pPr>
          </w:p>
        </w:tc>
      </w:tr>
      <w:tr w:rsidR="00157AAA" w14:paraId="36AE4E41" w14:textId="77777777">
        <w:trPr>
          <w:cantSplit/>
        </w:trPr>
        <w:tc>
          <w:tcPr>
            <w:tcW w:w="1800" w:type="dxa"/>
          </w:tcPr>
          <w:p w14:paraId="0F07599E" w14:textId="77777777" w:rsidR="00157AAA" w:rsidRDefault="006C1BE5">
            <w:pPr>
              <w:spacing w:after="0"/>
              <w:jc w:val="center"/>
              <w:rPr>
                <w:sz w:val="22"/>
              </w:rPr>
            </w:pPr>
            <w:r>
              <w:rPr>
                <w:sz w:val="22"/>
              </w:rPr>
              <w:t>10</w:t>
            </w:r>
          </w:p>
        </w:tc>
        <w:tc>
          <w:tcPr>
            <w:tcW w:w="1397" w:type="dxa"/>
          </w:tcPr>
          <w:p w14:paraId="2805C696" w14:textId="77777777" w:rsidR="00157AAA" w:rsidRDefault="00157AAA">
            <w:pPr>
              <w:spacing w:after="0"/>
              <w:jc w:val="center"/>
              <w:rPr>
                <w:sz w:val="22"/>
              </w:rPr>
            </w:pPr>
          </w:p>
        </w:tc>
        <w:tc>
          <w:tcPr>
            <w:tcW w:w="1397" w:type="dxa"/>
          </w:tcPr>
          <w:p w14:paraId="00A02736" w14:textId="77777777" w:rsidR="00157AAA" w:rsidRDefault="00157AAA">
            <w:pPr>
              <w:spacing w:after="0"/>
              <w:jc w:val="center"/>
              <w:rPr>
                <w:sz w:val="22"/>
              </w:rPr>
            </w:pPr>
          </w:p>
        </w:tc>
        <w:tc>
          <w:tcPr>
            <w:tcW w:w="1397" w:type="dxa"/>
          </w:tcPr>
          <w:p w14:paraId="1B0CF75F" w14:textId="77777777" w:rsidR="00157AAA" w:rsidRDefault="00157AAA">
            <w:pPr>
              <w:spacing w:after="0"/>
              <w:jc w:val="center"/>
              <w:rPr>
                <w:sz w:val="22"/>
              </w:rPr>
            </w:pPr>
          </w:p>
        </w:tc>
        <w:tc>
          <w:tcPr>
            <w:tcW w:w="1398" w:type="dxa"/>
          </w:tcPr>
          <w:p w14:paraId="5B7AA631" w14:textId="77777777" w:rsidR="00157AAA" w:rsidRDefault="00157AAA">
            <w:pPr>
              <w:spacing w:after="0"/>
              <w:jc w:val="center"/>
              <w:rPr>
                <w:sz w:val="22"/>
              </w:rPr>
            </w:pPr>
          </w:p>
        </w:tc>
        <w:tc>
          <w:tcPr>
            <w:tcW w:w="1397" w:type="dxa"/>
          </w:tcPr>
          <w:p w14:paraId="0B46915D" w14:textId="77777777" w:rsidR="00157AAA" w:rsidRDefault="00157AAA">
            <w:pPr>
              <w:spacing w:after="0"/>
              <w:jc w:val="center"/>
              <w:rPr>
                <w:sz w:val="22"/>
              </w:rPr>
            </w:pPr>
          </w:p>
        </w:tc>
        <w:tc>
          <w:tcPr>
            <w:tcW w:w="1397" w:type="dxa"/>
          </w:tcPr>
          <w:p w14:paraId="2D4359A1" w14:textId="77777777" w:rsidR="00157AAA" w:rsidRDefault="00157AAA">
            <w:pPr>
              <w:spacing w:after="0"/>
              <w:jc w:val="center"/>
              <w:rPr>
                <w:sz w:val="22"/>
              </w:rPr>
            </w:pPr>
          </w:p>
        </w:tc>
        <w:tc>
          <w:tcPr>
            <w:tcW w:w="1397" w:type="dxa"/>
          </w:tcPr>
          <w:p w14:paraId="0BD23BD9" w14:textId="77777777" w:rsidR="00157AAA" w:rsidRDefault="00157AAA">
            <w:pPr>
              <w:spacing w:after="0"/>
              <w:jc w:val="center"/>
              <w:rPr>
                <w:sz w:val="22"/>
              </w:rPr>
            </w:pPr>
          </w:p>
        </w:tc>
        <w:tc>
          <w:tcPr>
            <w:tcW w:w="1398" w:type="dxa"/>
          </w:tcPr>
          <w:p w14:paraId="1B4EBCD1" w14:textId="77777777" w:rsidR="00157AAA" w:rsidRDefault="00157AAA">
            <w:pPr>
              <w:spacing w:after="0"/>
              <w:jc w:val="center"/>
              <w:rPr>
                <w:sz w:val="22"/>
              </w:rPr>
            </w:pPr>
          </w:p>
        </w:tc>
      </w:tr>
      <w:tr w:rsidR="00157AAA" w14:paraId="118EDB7A" w14:textId="77777777">
        <w:trPr>
          <w:cantSplit/>
        </w:trPr>
        <w:tc>
          <w:tcPr>
            <w:tcW w:w="1800" w:type="dxa"/>
          </w:tcPr>
          <w:p w14:paraId="57FCF385" w14:textId="77777777" w:rsidR="00157AAA" w:rsidRDefault="006C1BE5">
            <w:pPr>
              <w:spacing w:after="0"/>
              <w:jc w:val="center"/>
              <w:rPr>
                <w:sz w:val="22"/>
              </w:rPr>
            </w:pPr>
            <w:r>
              <w:rPr>
                <w:sz w:val="22"/>
              </w:rPr>
              <w:t>11</w:t>
            </w:r>
          </w:p>
        </w:tc>
        <w:tc>
          <w:tcPr>
            <w:tcW w:w="1397" w:type="dxa"/>
          </w:tcPr>
          <w:p w14:paraId="1E172257" w14:textId="77777777" w:rsidR="00157AAA" w:rsidRDefault="00157AAA">
            <w:pPr>
              <w:spacing w:after="0"/>
              <w:jc w:val="center"/>
              <w:rPr>
                <w:sz w:val="22"/>
              </w:rPr>
            </w:pPr>
          </w:p>
        </w:tc>
        <w:tc>
          <w:tcPr>
            <w:tcW w:w="1397" w:type="dxa"/>
          </w:tcPr>
          <w:p w14:paraId="788D2218" w14:textId="77777777" w:rsidR="00157AAA" w:rsidRDefault="00157AAA">
            <w:pPr>
              <w:spacing w:after="0"/>
              <w:jc w:val="center"/>
              <w:rPr>
                <w:sz w:val="22"/>
              </w:rPr>
            </w:pPr>
          </w:p>
        </w:tc>
        <w:tc>
          <w:tcPr>
            <w:tcW w:w="1397" w:type="dxa"/>
          </w:tcPr>
          <w:p w14:paraId="5961DF4A" w14:textId="77777777" w:rsidR="00157AAA" w:rsidRDefault="00157AAA">
            <w:pPr>
              <w:spacing w:after="0"/>
              <w:jc w:val="center"/>
              <w:rPr>
                <w:sz w:val="22"/>
              </w:rPr>
            </w:pPr>
          </w:p>
        </w:tc>
        <w:tc>
          <w:tcPr>
            <w:tcW w:w="1398" w:type="dxa"/>
          </w:tcPr>
          <w:p w14:paraId="1ABFFB5E" w14:textId="77777777" w:rsidR="00157AAA" w:rsidRDefault="00157AAA">
            <w:pPr>
              <w:spacing w:after="0"/>
              <w:jc w:val="center"/>
              <w:rPr>
                <w:sz w:val="22"/>
              </w:rPr>
            </w:pPr>
          </w:p>
        </w:tc>
        <w:tc>
          <w:tcPr>
            <w:tcW w:w="1397" w:type="dxa"/>
          </w:tcPr>
          <w:p w14:paraId="521B04B0" w14:textId="77777777" w:rsidR="00157AAA" w:rsidRDefault="00157AAA">
            <w:pPr>
              <w:spacing w:after="0"/>
              <w:jc w:val="center"/>
              <w:rPr>
                <w:sz w:val="22"/>
              </w:rPr>
            </w:pPr>
          </w:p>
        </w:tc>
        <w:tc>
          <w:tcPr>
            <w:tcW w:w="1397" w:type="dxa"/>
          </w:tcPr>
          <w:p w14:paraId="718FAEF9" w14:textId="77777777" w:rsidR="00157AAA" w:rsidRDefault="00157AAA">
            <w:pPr>
              <w:spacing w:after="0"/>
              <w:jc w:val="center"/>
              <w:rPr>
                <w:sz w:val="22"/>
              </w:rPr>
            </w:pPr>
          </w:p>
        </w:tc>
        <w:tc>
          <w:tcPr>
            <w:tcW w:w="1397" w:type="dxa"/>
          </w:tcPr>
          <w:p w14:paraId="30387AE6" w14:textId="77777777" w:rsidR="00157AAA" w:rsidRDefault="00157AAA">
            <w:pPr>
              <w:spacing w:after="0"/>
              <w:jc w:val="center"/>
              <w:rPr>
                <w:sz w:val="22"/>
              </w:rPr>
            </w:pPr>
          </w:p>
        </w:tc>
        <w:tc>
          <w:tcPr>
            <w:tcW w:w="1398" w:type="dxa"/>
          </w:tcPr>
          <w:p w14:paraId="01CF8786" w14:textId="77777777" w:rsidR="00157AAA" w:rsidRDefault="00157AAA">
            <w:pPr>
              <w:spacing w:after="0"/>
              <w:jc w:val="center"/>
              <w:rPr>
                <w:sz w:val="22"/>
              </w:rPr>
            </w:pPr>
          </w:p>
        </w:tc>
      </w:tr>
      <w:tr w:rsidR="00157AAA" w14:paraId="511209DB" w14:textId="77777777">
        <w:trPr>
          <w:cantSplit/>
        </w:trPr>
        <w:tc>
          <w:tcPr>
            <w:tcW w:w="1800" w:type="dxa"/>
          </w:tcPr>
          <w:p w14:paraId="308688DA" w14:textId="77777777" w:rsidR="00157AAA" w:rsidRDefault="006C1BE5">
            <w:pPr>
              <w:spacing w:after="0"/>
              <w:jc w:val="center"/>
              <w:rPr>
                <w:sz w:val="22"/>
              </w:rPr>
            </w:pPr>
            <w:r>
              <w:rPr>
                <w:sz w:val="22"/>
              </w:rPr>
              <w:t>12</w:t>
            </w:r>
          </w:p>
        </w:tc>
        <w:tc>
          <w:tcPr>
            <w:tcW w:w="1397" w:type="dxa"/>
          </w:tcPr>
          <w:p w14:paraId="343CE026" w14:textId="77777777" w:rsidR="00157AAA" w:rsidRDefault="00157AAA">
            <w:pPr>
              <w:spacing w:after="0"/>
              <w:ind w:left="360"/>
              <w:rPr>
                <w:sz w:val="22"/>
              </w:rPr>
            </w:pPr>
          </w:p>
        </w:tc>
        <w:tc>
          <w:tcPr>
            <w:tcW w:w="1397" w:type="dxa"/>
          </w:tcPr>
          <w:p w14:paraId="1E6FDA30" w14:textId="77777777" w:rsidR="00157AAA" w:rsidRDefault="00157AAA">
            <w:pPr>
              <w:spacing w:after="0"/>
              <w:ind w:left="360"/>
              <w:rPr>
                <w:sz w:val="22"/>
              </w:rPr>
            </w:pPr>
          </w:p>
        </w:tc>
        <w:tc>
          <w:tcPr>
            <w:tcW w:w="1397" w:type="dxa"/>
          </w:tcPr>
          <w:p w14:paraId="441228BF" w14:textId="77777777" w:rsidR="00157AAA" w:rsidRDefault="00157AAA">
            <w:pPr>
              <w:spacing w:after="0"/>
              <w:ind w:left="360"/>
              <w:rPr>
                <w:sz w:val="22"/>
              </w:rPr>
            </w:pPr>
          </w:p>
        </w:tc>
        <w:tc>
          <w:tcPr>
            <w:tcW w:w="1398" w:type="dxa"/>
          </w:tcPr>
          <w:p w14:paraId="07B201E7" w14:textId="77777777" w:rsidR="00157AAA" w:rsidRDefault="00157AAA">
            <w:pPr>
              <w:spacing w:after="0"/>
              <w:ind w:left="360"/>
              <w:rPr>
                <w:sz w:val="22"/>
              </w:rPr>
            </w:pPr>
          </w:p>
        </w:tc>
        <w:tc>
          <w:tcPr>
            <w:tcW w:w="1397" w:type="dxa"/>
          </w:tcPr>
          <w:p w14:paraId="52FFBE94" w14:textId="77777777" w:rsidR="00157AAA" w:rsidRDefault="00157AAA">
            <w:pPr>
              <w:spacing w:after="0"/>
              <w:ind w:left="360"/>
              <w:rPr>
                <w:sz w:val="22"/>
              </w:rPr>
            </w:pPr>
          </w:p>
        </w:tc>
        <w:tc>
          <w:tcPr>
            <w:tcW w:w="1397" w:type="dxa"/>
          </w:tcPr>
          <w:p w14:paraId="383F0E6E" w14:textId="77777777" w:rsidR="00157AAA" w:rsidRDefault="00157AAA">
            <w:pPr>
              <w:spacing w:after="0"/>
              <w:jc w:val="center"/>
              <w:rPr>
                <w:sz w:val="22"/>
              </w:rPr>
            </w:pPr>
          </w:p>
        </w:tc>
        <w:tc>
          <w:tcPr>
            <w:tcW w:w="1397" w:type="dxa"/>
          </w:tcPr>
          <w:p w14:paraId="6619638E" w14:textId="77777777" w:rsidR="00157AAA" w:rsidRDefault="00157AAA">
            <w:pPr>
              <w:spacing w:after="0"/>
              <w:jc w:val="center"/>
              <w:rPr>
                <w:sz w:val="22"/>
              </w:rPr>
            </w:pPr>
          </w:p>
        </w:tc>
        <w:tc>
          <w:tcPr>
            <w:tcW w:w="1398" w:type="dxa"/>
          </w:tcPr>
          <w:p w14:paraId="770D375E" w14:textId="77777777" w:rsidR="00157AAA" w:rsidRDefault="00157AAA">
            <w:pPr>
              <w:spacing w:after="0"/>
              <w:jc w:val="center"/>
              <w:rPr>
                <w:sz w:val="22"/>
              </w:rPr>
            </w:pPr>
          </w:p>
        </w:tc>
      </w:tr>
    </w:tbl>
    <w:p w14:paraId="3C110860" w14:textId="77777777" w:rsidR="00157AAA" w:rsidRDefault="00157AAA">
      <w:pPr>
        <w:rPr>
          <w:sz w:val="22"/>
        </w:rPr>
      </w:pPr>
    </w:p>
    <w:p w14:paraId="747B2157" w14:textId="77777777" w:rsidR="00157AAA" w:rsidRDefault="00157AAA">
      <w:pPr>
        <w:jc w:val="center"/>
        <w:rPr>
          <w:sz w:val="22"/>
        </w:rPr>
      </w:pPr>
    </w:p>
    <w:p w14:paraId="32BAF7F9" w14:textId="77777777" w:rsidR="00157AAA" w:rsidRDefault="00157AAA"/>
    <w:p w14:paraId="49C7DE8D" w14:textId="77777777" w:rsidR="00157AAA" w:rsidRDefault="00157AAA">
      <w:pPr>
        <w:tabs>
          <w:tab w:val="left" w:pos="8640"/>
        </w:tabs>
        <w:rPr>
          <w:b/>
          <w:sz w:val="32"/>
          <w:szCs w:val="32"/>
        </w:rPr>
      </w:pPr>
    </w:p>
    <w:p w14:paraId="64BC5E88" w14:textId="77777777" w:rsidR="00157AAA" w:rsidRDefault="00157AAA">
      <w:pPr>
        <w:tabs>
          <w:tab w:val="left" w:pos="8640"/>
        </w:tabs>
        <w:rPr>
          <w:b/>
          <w:sz w:val="32"/>
          <w:szCs w:val="32"/>
        </w:rPr>
        <w:sectPr w:rsidR="00157AAA" w:rsidSect="00734667">
          <w:headerReference w:type="default" r:id="rId142"/>
          <w:pgSz w:w="15840" w:h="12240" w:orient="landscape"/>
          <w:pgMar w:top="1800" w:right="1440" w:bottom="1800" w:left="1440" w:header="720" w:footer="720" w:gutter="0"/>
          <w:cols w:space="720"/>
          <w:docGrid w:linePitch="360"/>
        </w:sectPr>
      </w:pPr>
    </w:p>
    <w:p w14:paraId="298386C9" w14:textId="77777777" w:rsidR="00157AAA" w:rsidRDefault="006C1BE5">
      <w:pPr>
        <w:jc w:val="center"/>
        <w:rPr>
          <w:b/>
          <w:sz w:val="36"/>
          <w:szCs w:val="36"/>
        </w:rPr>
      </w:pPr>
      <w:bookmarkStart w:id="772" w:name="_Toc454641238"/>
      <w:r>
        <w:rPr>
          <w:b/>
          <w:sz w:val="36"/>
          <w:szCs w:val="36"/>
        </w:rPr>
        <w:lastRenderedPageBreak/>
        <w:t>System Inventory Tables</w:t>
      </w:r>
      <w:bookmarkEnd w:id="772"/>
    </w:p>
    <w:p w14:paraId="35D69EC4" w14:textId="77777777" w:rsidR="00157AAA" w:rsidRDefault="00157AAA">
      <w:pPr>
        <w:pStyle w:val="explanatorynotes"/>
      </w:pPr>
    </w:p>
    <w:p w14:paraId="0595A591" w14:textId="77777777" w:rsidR="00157AAA" w:rsidRDefault="006C1BE5">
      <w:pPr>
        <w:pStyle w:val="Heading2"/>
        <w:keepNext/>
        <w:rPr>
          <w:rFonts w:ascii="Times New Roman" w:hAnsi="Times New Roman"/>
        </w:rPr>
      </w:pPr>
      <w:r>
        <w:rPr>
          <w:rFonts w:ascii="Times New Roman" w:hAnsi="Times New Roman"/>
        </w:rPr>
        <w:t>Notes on preparing the System Inventory Tables</w:t>
      </w:r>
    </w:p>
    <w:p w14:paraId="58FD4F6A" w14:textId="77777777" w:rsidR="00157AAA" w:rsidRDefault="00157AAA">
      <w:pPr>
        <w:pStyle w:val="explanatorynotes"/>
        <w:jc w:val="left"/>
      </w:pPr>
    </w:p>
    <w:p w14:paraId="08DC8800" w14:textId="77777777" w:rsidR="00157AAA" w:rsidRDefault="006C1BE5">
      <w:r>
        <w:tab/>
        <w:t xml:space="preserve">The System Inventory Tables detail: </w:t>
      </w:r>
    </w:p>
    <w:p w14:paraId="0F5A3075" w14:textId="77777777" w:rsidR="00157AAA" w:rsidRDefault="006C1BE5">
      <w:pPr>
        <w:ind w:left="1260" w:hanging="540"/>
      </w:pPr>
      <w:bookmarkStart w:id="773" w:name="_Toc454641239"/>
      <w:r>
        <w:t>(a)</w:t>
      </w:r>
      <w:r>
        <w:tab/>
        <w:t xml:space="preserve">for each Subsystem (Deliverable) indicated in the Implementation Schedule, the Information Technologies, Materials, and other Goods and Services that comprise the System to be supplied and/or performed by the </w:t>
      </w:r>
      <w:proofErr w:type="gramStart"/>
      <w:r>
        <w:t>Supplier;</w:t>
      </w:r>
      <w:bookmarkEnd w:id="773"/>
      <w:proofErr w:type="gramEnd"/>
      <w:r>
        <w:t xml:space="preserve"> </w:t>
      </w:r>
    </w:p>
    <w:p w14:paraId="1201C4C9" w14:textId="77777777" w:rsidR="00157AAA" w:rsidRDefault="006C1BE5">
      <w:pPr>
        <w:ind w:left="1260" w:hanging="540"/>
      </w:pPr>
      <w:bookmarkStart w:id="774" w:name="_Toc454641240"/>
      <w:r>
        <w:t>(b)</w:t>
      </w:r>
      <w:r>
        <w:tab/>
        <w:t xml:space="preserve">the quantities of such Information Technologies, Materials, and other Goods and </w:t>
      </w:r>
      <w:proofErr w:type="gramStart"/>
      <w:r>
        <w:t>Services;</w:t>
      </w:r>
      <w:bookmarkEnd w:id="774"/>
      <w:proofErr w:type="gramEnd"/>
      <w:r>
        <w:t xml:space="preserve"> </w:t>
      </w:r>
    </w:p>
    <w:p w14:paraId="68E7030C" w14:textId="77777777" w:rsidR="00157AAA" w:rsidRDefault="006C1BE5">
      <w:pPr>
        <w:ind w:left="1260" w:hanging="540"/>
      </w:pPr>
      <w:r>
        <w:t>(c)</w:t>
      </w:r>
      <w:r>
        <w:tab/>
        <w:t>the sites and the location of each on a specific site (e.g., building, floor, room, department, etc.)</w:t>
      </w:r>
    </w:p>
    <w:p w14:paraId="016CCDC3" w14:textId="77777777" w:rsidR="00157AAA" w:rsidRDefault="006C1BE5">
      <w:pPr>
        <w:ind w:left="1260" w:hanging="540"/>
      </w:pPr>
      <w:r>
        <w:t>(d)</w:t>
      </w:r>
      <w:r>
        <w:tab/>
        <w:t>the cross references to the relevant section of the Technical Requirements where that item is described in greater detail</w:t>
      </w:r>
    </w:p>
    <w:p w14:paraId="461E629E" w14:textId="77777777" w:rsidR="00157AAA" w:rsidRDefault="006C1BE5">
      <w:r>
        <w:tab/>
        <w:t>The Purchaser should modify these tables, as required, to suit the particulars of the System (and Subsystems) to be supplied and installed.  The sample text provided for various sections of the tables is illustrative only and should be modified or deleted as appropriate.</w:t>
      </w:r>
    </w:p>
    <w:p w14:paraId="16BA2AC2" w14:textId="77777777" w:rsidR="00157AAA" w:rsidRDefault="006C1BE5">
      <w:r>
        <w:tab/>
        <w:t>There are two sample formats given for the System Inventory Tables: one for the Supply and Installation cost items and the second for Recurrent Cost Items needed (if any).  The second version of the table permits the Purchaser to obtain price information about items that are needed during the Warranty Period.</w:t>
      </w:r>
    </w:p>
    <w:p w14:paraId="7F070DDE" w14:textId="77777777" w:rsidR="00157AAA" w:rsidRDefault="00157AAA">
      <w:pPr>
        <w:pStyle w:val="explanatorynotes"/>
        <w:jc w:val="left"/>
      </w:pPr>
    </w:p>
    <w:p w14:paraId="4CAC0318" w14:textId="77777777" w:rsidR="00157AAA" w:rsidRDefault="006C1BE5">
      <w:pPr>
        <w:pStyle w:val="Heading2"/>
        <w:rPr>
          <w:rFonts w:ascii="Times New Roman" w:hAnsi="Times New Roman"/>
        </w:rPr>
      </w:pPr>
      <w:r>
        <w:br w:type="page" w:clear="all"/>
      </w:r>
      <w:r>
        <w:rPr>
          <w:rFonts w:ascii="Times New Roman" w:hAnsi="Times New Roman"/>
        </w:rPr>
        <w:lastRenderedPageBreak/>
        <w:t>Table of Contents:  System Inventory Tables</w:t>
      </w:r>
    </w:p>
    <w:p w14:paraId="7DFF9CE3" w14:textId="39875450" w:rsidR="00157AAA" w:rsidRDefault="006C1BE5">
      <w:pPr>
        <w:pStyle w:val="TOC1"/>
        <w:tabs>
          <w:tab w:val="clear" w:pos="9000"/>
          <w:tab w:val="right" w:leader="dot" w:pos="8640"/>
        </w:tabs>
        <w:rPr>
          <w:rFonts w:asciiTheme="minorHAnsi" w:eastAsiaTheme="minorEastAsia" w:hAnsiTheme="minorHAnsi" w:cstheme="minorBidi"/>
          <w:b w:val="0"/>
          <w:sz w:val="22"/>
          <w:szCs w:val="22"/>
        </w:rPr>
      </w:pPr>
      <w:r>
        <w:rPr>
          <w:b w:val="0"/>
        </w:rPr>
        <w:fldChar w:fldCharType="begin"/>
      </w:r>
      <w:r>
        <w:rPr>
          <w:b w:val="0"/>
        </w:rPr>
        <w:instrText xml:space="preserve"> TOC \h \z \t "Head 5c.1,1,Head 5c.2,2" </w:instrText>
      </w:r>
      <w:r>
        <w:rPr>
          <w:b w:val="0"/>
        </w:rPr>
        <w:fldChar w:fldCharType="separate"/>
      </w:r>
      <w:hyperlink w:anchor="_Toc448759416" w:tooltip="#_Toc448759416" w:history="1">
        <w:r>
          <w:rPr>
            <w:rStyle w:val="Hyperlink"/>
          </w:rPr>
          <w:t xml:space="preserve">System Inventory Table (Supply and Installation Cost Items) </w:t>
        </w:r>
        <w:r>
          <w:rPr>
            <w:rStyle w:val="Hyperlink"/>
            <w:i/>
          </w:rPr>
          <w:t xml:space="preserve"> [ insert:  identifying number ]</w:t>
        </w:r>
        <w:r>
          <w:tab/>
        </w:r>
        <w:r>
          <w:fldChar w:fldCharType="begin"/>
        </w:r>
        <w:r>
          <w:instrText xml:space="preserve"> PAGEREF _Toc448759416 \h </w:instrText>
        </w:r>
        <w:r>
          <w:fldChar w:fldCharType="separate"/>
        </w:r>
        <w:r w:rsidR="00060F24">
          <w:rPr>
            <w:noProof/>
          </w:rPr>
          <w:t>368</w:t>
        </w:r>
        <w:r>
          <w:fldChar w:fldCharType="end"/>
        </w:r>
      </w:hyperlink>
    </w:p>
    <w:p w14:paraId="5232A341" w14:textId="17BA52D0" w:rsidR="00157AAA" w:rsidRDefault="00000000">
      <w:pPr>
        <w:pStyle w:val="TOC1"/>
        <w:tabs>
          <w:tab w:val="clear" w:pos="9000"/>
          <w:tab w:val="right" w:leader="dot" w:pos="8640"/>
        </w:tabs>
        <w:rPr>
          <w:rFonts w:asciiTheme="minorHAnsi" w:eastAsiaTheme="minorEastAsia" w:hAnsiTheme="minorHAnsi" w:cstheme="minorBidi"/>
          <w:b w:val="0"/>
          <w:sz w:val="22"/>
          <w:szCs w:val="22"/>
        </w:rPr>
      </w:pPr>
      <w:hyperlink w:anchor="_Toc448759417" w:tooltip="#_Toc448759417" w:history="1">
        <w:r w:rsidR="006C1BE5">
          <w:rPr>
            <w:rStyle w:val="Hyperlink"/>
          </w:rPr>
          <w:t xml:space="preserve">System Inventory Table (Recurrent Cost Items)  </w:t>
        </w:r>
        <w:r w:rsidR="006C1BE5">
          <w:rPr>
            <w:rStyle w:val="Hyperlink"/>
            <w:i/>
          </w:rPr>
          <w:t>[ insert:  identifying number ] – Warranty Period</w:t>
        </w:r>
        <w:r w:rsidR="006C1BE5">
          <w:tab/>
        </w:r>
        <w:r w:rsidR="006C1BE5">
          <w:fldChar w:fldCharType="begin"/>
        </w:r>
        <w:r w:rsidR="006C1BE5">
          <w:instrText xml:space="preserve"> PAGEREF _Toc448759417 \h </w:instrText>
        </w:r>
        <w:r w:rsidR="006C1BE5">
          <w:fldChar w:fldCharType="separate"/>
        </w:r>
        <w:r w:rsidR="00060F24">
          <w:rPr>
            <w:noProof/>
          </w:rPr>
          <w:t>368</w:t>
        </w:r>
        <w:r w:rsidR="006C1BE5">
          <w:fldChar w:fldCharType="end"/>
        </w:r>
      </w:hyperlink>
    </w:p>
    <w:p w14:paraId="7BADD8F0" w14:textId="77777777" w:rsidR="00157AAA" w:rsidRDefault="006C1BE5">
      <w:pPr>
        <w:pStyle w:val="explanatorynotes"/>
        <w:jc w:val="left"/>
      </w:pPr>
      <w:r>
        <w:rPr>
          <w:rFonts w:ascii="Times New Roman Bold" w:hAnsi="Times New Roman Bold"/>
          <w:b/>
        </w:rPr>
        <w:fldChar w:fldCharType="end"/>
      </w:r>
    </w:p>
    <w:p w14:paraId="576877B5" w14:textId="77777777" w:rsidR="00157AAA" w:rsidRDefault="00157AAA">
      <w:pPr>
        <w:pStyle w:val="explanatorynotes"/>
        <w:jc w:val="left"/>
      </w:pPr>
    </w:p>
    <w:p w14:paraId="0ACD575F" w14:textId="77777777" w:rsidR="00157AAA" w:rsidRDefault="00157AAA">
      <w:pPr>
        <w:rPr>
          <w:sz w:val="32"/>
        </w:rPr>
        <w:sectPr w:rsidR="00157AAA" w:rsidSect="00734667">
          <w:headerReference w:type="even" r:id="rId143"/>
          <w:headerReference w:type="default" r:id="rId144"/>
          <w:headerReference w:type="first" r:id="rId145"/>
          <w:footnotePr>
            <w:numRestart w:val="eachPage"/>
          </w:footnotePr>
          <w:endnotePr>
            <w:numRestart w:val="eachSect"/>
          </w:endnotePr>
          <w:pgSz w:w="12240" w:h="15840"/>
          <w:pgMar w:top="1800" w:right="1800" w:bottom="1152" w:left="1800" w:header="720" w:footer="432" w:gutter="0"/>
          <w:cols w:space="720"/>
          <w:docGrid w:linePitch="360"/>
        </w:sectPr>
      </w:pPr>
    </w:p>
    <w:p w14:paraId="029D8705" w14:textId="77777777" w:rsidR="00157AAA" w:rsidRDefault="006C1BE5">
      <w:pPr>
        <w:pStyle w:val="Head5c1"/>
        <w:rPr>
          <w:i/>
        </w:rPr>
      </w:pPr>
      <w:bookmarkStart w:id="775" w:name="_Toc433161261"/>
      <w:bookmarkStart w:id="776" w:name="_Toc521498272"/>
      <w:bookmarkStart w:id="777" w:name="_Toc207771480"/>
      <w:bookmarkStart w:id="778" w:name="_Toc448759416"/>
      <w:r>
        <w:lastRenderedPageBreak/>
        <w:t xml:space="preserve">System Inventory Table (Supply and Installation Cost </w:t>
      </w:r>
      <w:proofErr w:type="gramStart"/>
      <w:r>
        <w:t xml:space="preserve">Items) </w:t>
      </w:r>
      <w:r>
        <w:rPr>
          <w:i/>
        </w:rPr>
        <w:t xml:space="preserve"> [</w:t>
      </w:r>
      <w:proofErr w:type="gramEnd"/>
      <w:r>
        <w:rPr>
          <w:i/>
        </w:rPr>
        <w:t> </w:t>
      </w:r>
      <w:r>
        <w:rPr>
          <w:b w:val="0"/>
          <w:i/>
        </w:rPr>
        <w:t>insert</w:t>
      </w:r>
      <w:r>
        <w:rPr>
          <w:i/>
        </w:rPr>
        <w:t>:  identifying number ]</w:t>
      </w:r>
      <w:bookmarkEnd w:id="775"/>
      <w:bookmarkEnd w:id="776"/>
      <w:bookmarkEnd w:id="777"/>
      <w:bookmarkEnd w:id="778"/>
    </w:p>
    <w:p w14:paraId="7051846F" w14:textId="77777777" w:rsidR="00157AAA" w:rsidRDefault="006C1BE5">
      <w:pPr>
        <w:jc w:val="center"/>
        <w:rPr>
          <w:rStyle w:val="preparersnote"/>
        </w:rPr>
      </w:pPr>
      <w:r>
        <w:t>Line item number</w:t>
      </w:r>
      <w:proofErr w:type="gramStart"/>
      <w:r>
        <w:t xml:space="preserve">:  </w:t>
      </w:r>
      <w:r>
        <w:rPr>
          <w:rStyle w:val="Preparersnotenobold"/>
        </w:rPr>
        <w:t>[</w:t>
      </w:r>
      <w:proofErr w:type="gramEnd"/>
      <w:r>
        <w:rPr>
          <w:rStyle w:val="Preparersnotenobold"/>
        </w:rPr>
        <w:t> specify:</w:t>
      </w:r>
      <w:r>
        <w:rPr>
          <w:rStyle w:val="preparersnote"/>
        </w:rPr>
        <w:t xml:space="preserve">  relevant line item number from the Implementation Schedule (e.g., 1.1) </w:t>
      </w:r>
      <w:r>
        <w:rPr>
          <w:rStyle w:val="Preparersnotenobold"/>
        </w:rPr>
        <w:t>]</w:t>
      </w:r>
    </w:p>
    <w:p w14:paraId="02528A52" w14:textId="1E733292" w:rsidR="00157AAA" w:rsidRDefault="006C1BE5">
      <w:pPr>
        <w:jc w:val="center"/>
        <w:rPr>
          <w:rStyle w:val="Preparersnotenobold"/>
        </w:rPr>
      </w:pPr>
      <w:r>
        <w:rPr>
          <w:rStyle w:val="Preparersnotenobold"/>
        </w:rPr>
        <w:t xml:space="preserve">[ as necessary for the supply and installation of the System, specify:  </w:t>
      </w:r>
      <w:r>
        <w:rPr>
          <w:rStyle w:val="Preparersnotenobold"/>
          <w:b/>
        </w:rPr>
        <w:t xml:space="preserve">the detailed components and quantities in the System Inventory Table below for the line item specified above, modifying the sample components and sample table entries as needed.  </w:t>
      </w:r>
      <w:r>
        <w:rPr>
          <w:rStyle w:val="Preparersnotenobold"/>
        </w:rPr>
        <w:t>Repeat the System Inventory Table as needed to cover each and every line item in the Implementation Schedule that requires elaboration</w:t>
      </w:r>
      <w:proofErr w:type="gramStart"/>
      <w:r>
        <w:rPr>
          <w:rStyle w:val="Preparersnotenobold"/>
        </w:rPr>
        <w:t>. ]</w:t>
      </w:r>
      <w:proofErr w:type="gramEnd"/>
    </w:p>
    <w:tbl>
      <w:tblPr>
        <w:tblW w:w="1332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440"/>
        <w:gridCol w:w="5842"/>
        <w:gridCol w:w="2070"/>
        <w:gridCol w:w="2528"/>
        <w:gridCol w:w="1440"/>
      </w:tblGrid>
      <w:tr w:rsidR="00513AB5" w14:paraId="4DDE3C70" w14:textId="77777777" w:rsidTr="001136D3">
        <w:trPr>
          <w:cantSplit/>
          <w:tblHeader/>
        </w:trPr>
        <w:tc>
          <w:tcPr>
            <w:tcW w:w="1440" w:type="dxa"/>
          </w:tcPr>
          <w:p w14:paraId="05D355F8" w14:textId="77777777" w:rsidR="00513AB5" w:rsidRDefault="00513AB5" w:rsidP="00513AB5">
            <w:pPr>
              <w:spacing w:before="100" w:after="100"/>
              <w:jc w:val="center"/>
              <w:rPr>
                <w:sz w:val="22"/>
                <w:lang w:val="es-ES"/>
              </w:rPr>
            </w:pPr>
            <w:r>
              <w:rPr>
                <w:sz w:val="22"/>
              </w:rPr>
              <w:br/>
              <w:t>Component</w:t>
            </w:r>
            <w:r>
              <w:rPr>
                <w:sz w:val="22"/>
                <w:lang w:val="es-ES"/>
              </w:rPr>
              <w:t xml:space="preserve"> </w:t>
            </w:r>
            <w:r>
              <w:rPr>
                <w:sz w:val="22"/>
                <w:lang w:val="es-ES"/>
              </w:rPr>
              <w:br/>
              <w:t>No.</w:t>
            </w:r>
          </w:p>
        </w:tc>
        <w:tc>
          <w:tcPr>
            <w:tcW w:w="5842" w:type="dxa"/>
          </w:tcPr>
          <w:p w14:paraId="1795C11F" w14:textId="77777777" w:rsidR="00513AB5" w:rsidRDefault="00513AB5" w:rsidP="00513AB5">
            <w:pPr>
              <w:spacing w:before="100" w:after="100"/>
              <w:jc w:val="center"/>
              <w:rPr>
                <w:sz w:val="22"/>
              </w:rPr>
            </w:pPr>
            <w:r>
              <w:rPr>
                <w:sz w:val="22"/>
                <w:lang w:val="es-ES"/>
              </w:rPr>
              <w:br/>
            </w:r>
            <w:r>
              <w:rPr>
                <w:sz w:val="22"/>
                <w:lang w:val="es-ES"/>
              </w:rPr>
              <w:br/>
            </w:r>
            <w:r>
              <w:rPr>
                <w:sz w:val="22"/>
              </w:rPr>
              <w:t>Component</w:t>
            </w:r>
          </w:p>
        </w:tc>
        <w:tc>
          <w:tcPr>
            <w:tcW w:w="2070" w:type="dxa"/>
          </w:tcPr>
          <w:p w14:paraId="671E7450" w14:textId="77777777" w:rsidR="00513AB5" w:rsidRDefault="00513AB5" w:rsidP="00513AB5">
            <w:pPr>
              <w:spacing w:before="100" w:after="100"/>
              <w:jc w:val="center"/>
              <w:rPr>
                <w:sz w:val="22"/>
              </w:rPr>
            </w:pPr>
            <w:r>
              <w:rPr>
                <w:sz w:val="22"/>
              </w:rPr>
              <w:t xml:space="preserve">Relevant Technical Specifications </w:t>
            </w:r>
            <w:r>
              <w:rPr>
                <w:sz w:val="22"/>
              </w:rPr>
              <w:br/>
              <w:t>No.</w:t>
            </w:r>
          </w:p>
        </w:tc>
        <w:tc>
          <w:tcPr>
            <w:tcW w:w="2528" w:type="dxa"/>
          </w:tcPr>
          <w:p w14:paraId="166107CB" w14:textId="77777777" w:rsidR="00513AB5" w:rsidRDefault="00513AB5" w:rsidP="00513AB5">
            <w:pPr>
              <w:spacing w:before="100" w:after="100"/>
              <w:jc w:val="center"/>
              <w:rPr>
                <w:sz w:val="22"/>
              </w:rPr>
            </w:pPr>
            <w:r>
              <w:rPr>
                <w:sz w:val="22"/>
              </w:rPr>
              <w:t>Additional Site Information (e.g., building, floor, department, etc.)</w:t>
            </w:r>
          </w:p>
        </w:tc>
        <w:tc>
          <w:tcPr>
            <w:tcW w:w="1440" w:type="dxa"/>
          </w:tcPr>
          <w:p w14:paraId="2374AB59" w14:textId="77777777" w:rsidR="00513AB5" w:rsidRDefault="00513AB5" w:rsidP="00513AB5">
            <w:pPr>
              <w:spacing w:before="100" w:after="100"/>
              <w:jc w:val="center"/>
              <w:rPr>
                <w:sz w:val="22"/>
              </w:rPr>
            </w:pPr>
            <w:r>
              <w:rPr>
                <w:sz w:val="22"/>
              </w:rPr>
              <w:br/>
            </w:r>
            <w:r>
              <w:rPr>
                <w:sz w:val="22"/>
              </w:rPr>
              <w:br/>
              <w:t>Quantity</w:t>
            </w:r>
          </w:p>
        </w:tc>
      </w:tr>
      <w:tr w:rsidR="00513AB5" w14:paraId="6674DCED" w14:textId="77777777" w:rsidTr="001136D3">
        <w:trPr>
          <w:cantSplit/>
          <w:trHeight w:hRule="exact" w:val="240"/>
          <w:tblHeader/>
        </w:trPr>
        <w:tc>
          <w:tcPr>
            <w:tcW w:w="1440" w:type="dxa"/>
          </w:tcPr>
          <w:p w14:paraId="61C17CFC" w14:textId="77777777" w:rsidR="00513AB5" w:rsidRDefault="00513AB5" w:rsidP="00513AB5">
            <w:pPr>
              <w:spacing w:before="100" w:after="100"/>
              <w:jc w:val="center"/>
              <w:rPr>
                <w:sz w:val="22"/>
              </w:rPr>
            </w:pPr>
          </w:p>
        </w:tc>
        <w:tc>
          <w:tcPr>
            <w:tcW w:w="5842" w:type="dxa"/>
          </w:tcPr>
          <w:p w14:paraId="56E4C9C1" w14:textId="77777777" w:rsidR="00513AB5" w:rsidRDefault="00513AB5" w:rsidP="00513AB5">
            <w:pPr>
              <w:spacing w:before="100" w:after="100"/>
              <w:rPr>
                <w:sz w:val="22"/>
              </w:rPr>
            </w:pPr>
          </w:p>
        </w:tc>
        <w:tc>
          <w:tcPr>
            <w:tcW w:w="2070" w:type="dxa"/>
          </w:tcPr>
          <w:p w14:paraId="221CD4C5" w14:textId="77777777" w:rsidR="00513AB5" w:rsidRDefault="00513AB5" w:rsidP="00513AB5">
            <w:pPr>
              <w:spacing w:before="100" w:after="100"/>
              <w:jc w:val="center"/>
              <w:rPr>
                <w:sz w:val="22"/>
              </w:rPr>
            </w:pPr>
          </w:p>
        </w:tc>
        <w:tc>
          <w:tcPr>
            <w:tcW w:w="2528" w:type="dxa"/>
          </w:tcPr>
          <w:p w14:paraId="471B535F" w14:textId="77777777" w:rsidR="00513AB5" w:rsidRDefault="00513AB5" w:rsidP="00513AB5">
            <w:pPr>
              <w:spacing w:before="100" w:after="100"/>
              <w:jc w:val="center"/>
              <w:rPr>
                <w:sz w:val="22"/>
              </w:rPr>
            </w:pPr>
          </w:p>
        </w:tc>
        <w:tc>
          <w:tcPr>
            <w:tcW w:w="1440" w:type="dxa"/>
          </w:tcPr>
          <w:p w14:paraId="7E5A3A20" w14:textId="77777777" w:rsidR="00513AB5" w:rsidRDefault="00513AB5" w:rsidP="00513AB5">
            <w:pPr>
              <w:spacing w:before="100" w:after="100"/>
              <w:jc w:val="center"/>
              <w:rPr>
                <w:sz w:val="22"/>
              </w:rPr>
            </w:pPr>
          </w:p>
        </w:tc>
      </w:tr>
      <w:tr w:rsidR="00513AB5" w14:paraId="540A3301" w14:textId="77777777" w:rsidTr="001136D3">
        <w:trPr>
          <w:cantSplit/>
        </w:trPr>
        <w:tc>
          <w:tcPr>
            <w:tcW w:w="1440" w:type="dxa"/>
          </w:tcPr>
          <w:p w14:paraId="2C4C6151" w14:textId="77777777" w:rsidR="00513AB5" w:rsidRDefault="00513AB5" w:rsidP="001136D3">
            <w:pPr>
              <w:spacing w:after="0"/>
              <w:jc w:val="center"/>
              <w:rPr>
                <w:sz w:val="22"/>
              </w:rPr>
            </w:pPr>
            <w:r w:rsidRPr="004242BF">
              <w:rPr>
                <w:b/>
                <w:szCs w:val="22"/>
              </w:rPr>
              <w:t>0</w:t>
            </w:r>
          </w:p>
        </w:tc>
        <w:tc>
          <w:tcPr>
            <w:tcW w:w="5842" w:type="dxa"/>
          </w:tcPr>
          <w:p w14:paraId="093E2583" w14:textId="77777777" w:rsidR="00513AB5" w:rsidRDefault="00513AB5" w:rsidP="001136D3">
            <w:pPr>
              <w:spacing w:after="0"/>
              <w:rPr>
                <w:sz w:val="22"/>
              </w:rPr>
            </w:pPr>
            <w:r w:rsidRPr="004242BF">
              <w:rPr>
                <w:b/>
                <w:szCs w:val="22"/>
              </w:rPr>
              <w:t>Inception Phase</w:t>
            </w:r>
          </w:p>
        </w:tc>
        <w:tc>
          <w:tcPr>
            <w:tcW w:w="2070" w:type="dxa"/>
          </w:tcPr>
          <w:p w14:paraId="3031D833" w14:textId="77777777" w:rsidR="00513AB5" w:rsidRDefault="00513AB5" w:rsidP="001136D3">
            <w:pPr>
              <w:spacing w:after="0"/>
              <w:jc w:val="center"/>
              <w:rPr>
                <w:sz w:val="22"/>
              </w:rPr>
            </w:pPr>
          </w:p>
        </w:tc>
        <w:tc>
          <w:tcPr>
            <w:tcW w:w="2528" w:type="dxa"/>
          </w:tcPr>
          <w:p w14:paraId="033FEC8E" w14:textId="77777777" w:rsidR="00513AB5" w:rsidRDefault="00513AB5" w:rsidP="001136D3">
            <w:pPr>
              <w:spacing w:after="0"/>
              <w:jc w:val="center"/>
              <w:rPr>
                <w:sz w:val="22"/>
              </w:rPr>
            </w:pPr>
          </w:p>
        </w:tc>
        <w:tc>
          <w:tcPr>
            <w:tcW w:w="1440" w:type="dxa"/>
          </w:tcPr>
          <w:p w14:paraId="4662B6C3" w14:textId="77777777" w:rsidR="00513AB5" w:rsidRDefault="00513AB5" w:rsidP="001136D3">
            <w:pPr>
              <w:spacing w:after="0"/>
              <w:jc w:val="center"/>
              <w:rPr>
                <w:sz w:val="22"/>
              </w:rPr>
            </w:pPr>
          </w:p>
        </w:tc>
      </w:tr>
      <w:tr w:rsidR="00513AB5" w14:paraId="31777E16" w14:textId="77777777" w:rsidTr="001136D3">
        <w:trPr>
          <w:cantSplit/>
        </w:trPr>
        <w:tc>
          <w:tcPr>
            <w:tcW w:w="1440" w:type="dxa"/>
          </w:tcPr>
          <w:p w14:paraId="265387E1" w14:textId="77777777" w:rsidR="00513AB5" w:rsidRPr="004242BF" w:rsidRDefault="00513AB5" w:rsidP="001136D3">
            <w:pPr>
              <w:spacing w:after="0"/>
              <w:jc w:val="center"/>
              <w:rPr>
                <w:b/>
                <w:szCs w:val="22"/>
              </w:rPr>
            </w:pPr>
          </w:p>
        </w:tc>
        <w:tc>
          <w:tcPr>
            <w:tcW w:w="5842" w:type="dxa"/>
          </w:tcPr>
          <w:p w14:paraId="6D908665" w14:textId="77777777" w:rsidR="00513AB5" w:rsidRPr="004242BF" w:rsidRDefault="00513AB5" w:rsidP="001136D3">
            <w:pPr>
              <w:spacing w:after="0"/>
              <w:rPr>
                <w:b/>
                <w:szCs w:val="22"/>
              </w:rPr>
            </w:pPr>
            <w:r w:rsidRPr="004242BF">
              <w:rPr>
                <w:sz w:val="22"/>
                <w:szCs w:val="22"/>
              </w:rPr>
              <w:t>0.1 Project Plan</w:t>
            </w:r>
          </w:p>
        </w:tc>
        <w:tc>
          <w:tcPr>
            <w:tcW w:w="2070" w:type="dxa"/>
          </w:tcPr>
          <w:p w14:paraId="5C80D1B7" w14:textId="77777777" w:rsidR="00513AB5" w:rsidRDefault="00513AB5" w:rsidP="001136D3">
            <w:pPr>
              <w:spacing w:after="0"/>
              <w:jc w:val="center"/>
              <w:rPr>
                <w:sz w:val="22"/>
              </w:rPr>
            </w:pPr>
          </w:p>
        </w:tc>
        <w:tc>
          <w:tcPr>
            <w:tcW w:w="2528" w:type="dxa"/>
          </w:tcPr>
          <w:p w14:paraId="54FA5197" w14:textId="77777777" w:rsidR="00513AB5" w:rsidRDefault="00513AB5" w:rsidP="001136D3">
            <w:pPr>
              <w:spacing w:after="0"/>
              <w:jc w:val="center"/>
              <w:rPr>
                <w:sz w:val="22"/>
              </w:rPr>
            </w:pPr>
          </w:p>
        </w:tc>
        <w:tc>
          <w:tcPr>
            <w:tcW w:w="1440" w:type="dxa"/>
          </w:tcPr>
          <w:p w14:paraId="2218EE37" w14:textId="77777777" w:rsidR="00513AB5" w:rsidRDefault="00513AB5" w:rsidP="001136D3">
            <w:pPr>
              <w:spacing w:after="0"/>
              <w:jc w:val="center"/>
              <w:rPr>
                <w:sz w:val="22"/>
              </w:rPr>
            </w:pPr>
          </w:p>
        </w:tc>
      </w:tr>
      <w:tr w:rsidR="00513AB5" w14:paraId="32CEE152" w14:textId="77777777" w:rsidTr="001136D3">
        <w:trPr>
          <w:cantSplit/>
        </w:trPr>
        <w:tc>
          <w:tcPr>
            <w:tcW w:w="1440" w:type="dxa"/>
          </w:tcPr>
          <w:p w14:paraId="502CDE1E" w14:textId="77777777" w:rsidR="00513AB5" w:rsidRDefault="00513AB5" w:rsidP="001136D3">
            <w:pPr>
              <w:spacing w:after="0"/>
              <w:jc w:val="center"/>
              <w:rPr>
                <w:sz w:val="22"/>
              </w:rPr>
            </w:pPr>
            <w:r w:rsidRPr="004242BF">
              <w:rPr>
                <w:b/>
                <w:szCs w:val="22"/>
              </w:rPr>
              <w:t>1</w:t>
            </w:r>
          </w:p>
        </w:tc>
        <w:tc>
          <w:tcPr>
            <w:tcW w:w="5842" w:type="dxa"/>
          </w:tcPr>
          <w:p w14:paraId="645213B7" w14:textId="77777777" w:rsidR="00513AB5" w:rsidRDefault="00513AB5" w:rsidP="001136D3">
            <w:pPr>
              <w:spacing w:after="0"/>
              <w:rPr>
                <w:sz w:val="22"/>
              </w:rPr>
            </w:pPr>
            <w:r w:rsidRPr="004242BF">
              <w:rPr>
                <w:b/>
                <w:szCs w:val="22"/>
              </w:rPr>
              <w:t>Define, validate the objectives and scope</w:t>
            </w:r>
          </w:p>
        </w:tc>
        <w:tc>
          <w:tcPr>
            <w:tcW w:w="2070" w:type="dxa"/>
          </w:tcPr>
          <w:p w14:paraId="3BCB461F" w14:textId="77777777" w:rsidR="00513AB5" w:rsidRDefault="00513AB5" w:rsidP="001136D3">
            <w:pPr>
              <w:spacing w:after="0"/>
              <w:jc w:val="center"/>
              <w:rPr>
                <w:sz w:val="22"/>
              </w:rPr>
            </w:pPr>
          </w:p>
        </w:tc>
        <w:tc>
          <w:tcPr>
            <w:tcW w:w="2528" w:type="dxa"/>
          </w:tcPr>
          <w:p w14:paraId="004DE9A9" w14:textId="77777777" w:rsidR="00513AB5" w:rsidRDefault="00513AB5" w:rsidP="001136D3">
            <w:pPr>
              <w:spacing w:after="0"/>
              <w:jc w:val="center"/>
              <w:rPr>
                <w:sz w:val="22"/>
              </w:rPr>
            </w:pPr>
          </w:p>
        </w:tc>
        <w:tc>
          <w:tcPr>
            <w:tcW w:w="1440" w:type="dxa"/>
          </w:tcPr>
          <w:p w14:paraId="48099611" w14:textId="77777777" w:rsidR="00513AB5" w:rsidRDefault="00513AB5" w:rsidP="001136D3">
            <w:pPr>
              <w:spacing w:after="0"/>
              <w:jc w:val="center"/>
              <w:rPr>
                <w:sz w:val="22"/>
              </w:rPr>
            </w:pPr>
          </w:p>
        </w:tc>
      </w:tr>
      <w:tr w:rsidR="00513AB5" w14:paraId="5F25B51C" w14:textId="77777777" w:rsidTr="001136D3">
        <w:trPr>
          <w:cantSplit/>
        </w:trPr>
        <w:tc>
          <w:tcPr>
            <w:tcW w:w="1440" w:type="dxa"/>
          </w:tcPr>
          <w:p w14:paraId="45A6D22B" w14:textId="77777777" w:rsidR="00513AB5" w:rsidRDefault="00513AB5" w:rsidP="001136D3">
            <w:pPr>
              <w:spacing w:after="0"/>
              <w:jc w:val="center"/>
              <w:rPr>
                <w:sz w:val="22"/>
              </w:rPr>
            </w:pPr>
            <w:r w:rsidRPr="004242BF">
              <w:rPr>
                <w:b/>
                <w:szCs w:val="22"/>
              </w:rPr>
              <w:t>2</w:t>
            </w:r>
          </w:p>
        </w:tc>
        <w:tc>
          <w:tcPr>
            <w:tcW w:w="5842" w:type="dxa"/>
          </w:tcPr>
          <w:p w14:paraId="2BD98B1F" w14:textId="77777777" w:rsidR="00513AB5" w:rsidRDefault="00513AB5" w:rsidP="001136D3">
            <w:pPr>
              <w:spacing w:after="0"/>
              <w:rPr>
                <w:sz w:val="22"/>
              </w:rPr>
            </w:pPr>
            <w:r w:rsidRPr="004242BF">
              <w:rPr>
                <w:b/>
                <w:szCs w:val="22"/>
              </w:rPr>
              <w:t>Specification Phase 1</w:t>
            </w:r>
          </w:p>
        </w:tc>
        <w:tc>
          <w:tcPr>
            <w:tcW w:w="2070" w:type="dxa"/>
          </w:tcPr>
          <w:p w14:paraId="53BAF363" w14:textId="77777777" w:rsidR="00513AB5" w:rsidRDefault="00513AB5" w:rsidP="001136D3">
            <w:pPr>
              <w:spacing w:after="0"/>
              <w:jc w:val="center"/>
              <w:rPr>
                <w:sz w:val="22"/>
              </w:rPr>
            </w:pPr>
          </w:p>
        </w:tc>
        <w:tc>
          <w:tcPr>
            <w:tcW w:w="2528" w:type="dxa"/>
          </w:tcPr>
          <w:p w14:paraId="4617EF9C" w14:textId="77777777" w:rsidR="00513AB5" w:rsidRDefault="00513AB5" w:rsidP="001136D3">
            <w:pPr>
              <w:spacing w:after="0"/>
              <w:jc w:val="center"/>
              <w:rPr>
                <w:sz w:val="22"/>
              </w:rPr>
            </w:pPr>
          </w:p>
        </w:tc>
        <w:tc>
          <w:tcPr>
            <w:tcW w:w="1440" w:type="dxa"/>
          </w:tcPr>
          <w:p w14:paraId="1F501AED" w14:textId="77777777" w:rsidR="00513AB5" w:rsidRDefault="00513AB5" w:rsidP="001136D3">
            <w:pPr>
              <w:spacing w:after="0"/>
              <w:jc w:val="center"/>
              <w:rPr>
                <w:sz w:val="22"/>
              </w:rPr>
            </w:pPr>
            <w:r>
              <w:rPr>
                <w:sz w:val="22"/>
              </w:rPr>
              <w:t>Lump Sum</w:t>
            </w:r>
          </w:p>
        </w:tc>
      </w:tr>
      <w:tr w:rsidR="00513AB5" w14:paraId="08687976" w14:textId="77777777" w:rsidTr="001136D3">
        <w:trPr>
          <w:cantSplit/>
        </w:trPr>
        <w:tc>
          <w:tcPr>
            <w:tcW w:w="1440" w:type="dxa"/>
          </w:tcPr>
          <w:p w14:paraId="44A1EA28" w14:textId="77777777" w:rsidR="00513AB5" w:rsidRPr="004242BF" w:rsidRDefault="00513AB5" w:rsidP="007A03D2">
            <w:pPr>
              <w:spacing w:after="0"/>
              <w:jc w:val="center"/>
              <w:rPr>
                <w:b/>
                <w:szCs w:val="22"/>
              </w:rPr>
            </w:pPr>
          </w:p>
        </w:tc>
        <w:tc>
          <w:tcPr>
            <w:tcW w:w="5842" w:type="dxa"/>
          </w:tcPr>
          <w:p w14:paraId="12A0EB75" w14:textId="77777777" w:rsidR="00513AB5" w:rsidRPr="004242BF" w:rsidRDefault="00513AB5">
            <w:pPr>
              <w:tabs>
                <w:tab w:val="left" w:pos="9900"/>
              </w:tabs>
              <w:spacing w:after="0"/>
              <w:jc w:val="left"/>
              <w:rPr>
                <w:sz w:val="22"/>
                <w:szCs w:val="22"/>
              </w:rPr>
            </w:pPr>
            <w:r w:rsidRPr="004242BF">
              <w:rPr>
                <w:sz w:val="22"/>
                <w:szCs w:val="22"/>
              </w:rPr>
              <w:t>2.1 High Level Architecture Models</w:t>
            </w:r>
          </w:p>
          <w:p w14:paraId="4275A2B3" w14:textId="77777777" w:rsidR="00513AB5" w:rsidRPr="004242BF" w:rsidRDefault="00513AB5">
            <w:pPr>
              <w:tabs>
                <w:tab w:val="left" w:pos="9900"/>
              </w:tabs>
              <w:spacing w:after="0"/>
              <w:jc w:val="left"/>
              <w:rPr>
                <w:sz w:val="22"/>
                <w:szCs w:val="22"/>
              </w:rPr>
            </w:pPr>
            <w:r w:rsidRPr="004242BF">
              <w:rPr>
                <w:sz w:val="22"/>
                <w:szCs w:val="22"/>
              </w:rPr>
              <w:t>2.2 Test Strategy</w:t>
            </w:r>
          </w:p>
          <w:p w14:paraId="35EF7389" w14:textId="77777777" w:rsidR="00513AB5" w:rsidRPr="004242BF" w:rsidRDefault="00513AB5">
            <w:pPr>
              <w:tabs>
                <w:tab w:val="left" w:pos="9900"/>
              </w:tabs>
              <w:spacing w:after="0"/>
              <w:jc w:val="left"/>
              <w:rPr>
                <w:sz w:val="22"/>
                <w:szCs w:val="22"/>
              </w:rPr>
            </w:pPr>
            <w:r w:rsidRPr="004242BF">
              <w:rPr>
                <w:sz w:val="22"/>
                <w:szCs w:val="22"/>
              </w:rPr>
              <w:t>2.3 Master Test Plan</w:t>
            </w:r>
          </w:p>
          <w:p w14:paraId="3E3025B0" w14:textId="77777777" w:rsidR="00513AB5" w:rsidRPr="004242BF" w:rsidRDefault="00513AB5">
            <w:pPr>
              <w:tabs>
                <w:tab w:val="left" w:pos="9900"/>
              </w:tabs>
              <w:spacing w:after="0"/>
              <w:jc w:val="left"/>
              <w:rPr>
                <w:sz w:val="22"/>
                <w:szCs w:val="22"/>
              </w:rPr>
            </w:pPr>
            <w:r w:rsidRPr="004242BF">
              <w:rPr>
                <w:sz w:val="22"/>
                <w:szCs w:val="22"/>
              </w:rPr>
              <w:t>2.4 Test Design Specification</w:t>
            </w:r>
          </w:p>
          <w:p w14:paraId="58229F63" w14:textId="77777777" w:rsidR="00513AB5" w:rsidRPr="004242BF" w:rsidRDefault="00513AB5">
            <w:pPr>
              <w:tabs>
                <w:tab w:val="left" w:pos="9900"/>
              </w:tabs>
              <w:spacing w:after="0"/>
              <w:jc w:val="left"/>
              <w:rPr>
                <w:sz w:val="22"/>
                <w:szCs w:val="22"/>
              </w:rPr>
            </w:pPr>
            <w:r w:rsidRPr="004242BF">
              <w:rPr>
                <w:sz w:val="22"/>
                <w:szCs w:val="22"/>
              </w:rPr>
              <w:t>2.5 Detailed Architecture Models</w:t>
            </w:r>
          </w:p>
          <w:p w14:paraId="4349799F" w14:textId="77777777" w:rsidR="00513AB5" w:rsidRPr="004242BF" w:rsidRDefault="00513AB5">
            <w:pPr>
              <w:spacing w:after="0"/>
              <w:rPr>
                <w:b/>
                <w:szCs w:val="22"/>
              </w:rPr>
            </w:pPr>
            <w:r w:rsidRPr="004242BF">
              <w:rPr>
                <w:sz w:val="22"/>
                <w:szCs w:val="22"/>
              </w:rPr>
              <w:t>2.6 Functional Specification</w:t>
            </w:r>
          </w:p>
        </w:tc>
        <w:tc>
          <w:tcPr>
            <w:tcW w:w="2070" w:type="dxa"/>
          </w:tcPr>
          <w:p w14:paraId="74CBAEBC" w14:textId="77777777" w:rsidR="00513AB5" w:rsidRDefault="00513AB5">
            <w:pPr>
              <w:spacing w:after="0"/>
              <w:jc w:val="center"/>
              <w:rPr>
                <w:sz w:val="22"/>
              </w:rPr>
            </w:pPr>
          </w:p>
        </w:tc>
        <w:tc>
          <w:tcPr>
            <w:tcW w:w="2528" w:type="dxa"/>
          </w:tcPr>
          <w:p w14:paraId="44FB6AAB" w14:textId="77777777" w:rsidR="00513AB5" w:rsidRDefault="00513AB5">
            <w:pPr>
              <w:spacing w:after="0"/>
              <w:jc w:val="center"/>
              <w:rPr>
                <w:sz w:val="22"/>
              </w:rPr>
            </w:pPr>
          </w:p>
        </w:tc>
        <w:tc>
          <w:tcPr>
            <w:tcW w:w="1440" w:type="dxa"/>
          </w:tcPr>
          <w:p w14:paraId="7C37EC12" w14:textId="77777777" w:rsidR="00513AB5" w:rsidRDefault="00513AB5">
            <w:pPr>
              <w:spacing w:after="0"/>
              <w:jc w:val="center"/>
              <w:rPr>
                <w:sz w:val="22"/>
              </w:rPr>
            </w:pPr>
          </w:p>
        </w:tc>
      </w:tr>
      <w:tr w:rsidR="00513AB5" w14:paraId="08635E77" w14:textId="77777777" w:rsidTr="001136D3">
        <w:trPr>
          <w:cantSplit/>
        </w:trPr>
        <w:tc>
          <w:tcPr>
            <w:tcW w:w="1440" w:type="dxa"/>
          </w:tcPr>
          <w:p w14:paraId="2B084E5A" w14:textId="77777777" w:rsidR="00513AB5" w:rsidRDefault="00513AB5" w:rsidP="001136D3">
            <w:pPr>
              <w:spacing w:after="0"/>
              <w:jc w:val="center"/>
              <w:rPr>
                <w:sz w:val="22"/>
              </w:rPr>
            </w:pPr>
            <w:r w:rsidRPr="004242BF">
              <w:rPr>
                <w:b/>
                <w:szCs w:val="22"/>
              </w:rPr>
              <w:t>3</w:t>
            </w:r>
          </w:p>
        </w:tc>
        <w:tc>
          <w:tcPr>
            <w:tcW w:w="5842" w:type="dxa"/>
          </w:tcPr>
          <w:p w14:paraId="78B2AC28" w14:textId="77777777" w:rsidR="00513AB5" w:rsidRDefault="00513AB5" w:rsidP="001136D3">
            <w:pPr>
              <w:spacing w:after="0"/>
              <w:rPr>
                <w:sz w:val="22"/>
              </w:rPr>
            </w:pPr>
            <w:r w:rsidRPr="004242BF">
              <w:rPr>
                <w:b/>
                <w:szCs w:val="22"/>
              </w:rPr>
              <w:t>Development</w:t>
            </w:r>
          </w:p>
        </w:tc>
        <w:tc>
          <w:tcPr>
            <w:tcW w:w="2070" w:type="dxa"/>
          </w:tcPr>
          <w:p w14:paraId="79837616" w14:textId="77777777" w:rsidR="00513AB5" w:rsidRDefault="00513AB5" w:rsidP="001136D3">
            <w:pPr>
              <w:spacing w:after="0"/>
              <w:jc w:val="center"/>
              <w:rPr>
                <w:sz w:val="22"/>
              </w:rPr>
            </w:pPr>
          </w:p>
        </w:tc>
        <w:tc>
          <w:tcPr>
            <w:tcW w:w="2528" w:type="dxa"/>
          </w:tcPr>
          <w:p w14:paraId="43561810" w14:textId="77777777" w:rsidR="00513AB5" w:rsidRDefault="00513AB5" w:rsidP="001136D3">
            <w:pPr>
              <w:spacing w:after="0"/>
              <w:jc w:val="center"/>
              <w:rPr>
                <w:sz w:val="22"/>
              </w:rPr>
            </w:pPr>
          </w:p>
        </w:tc>
        <w:tc>
          <w:tcPr>
            <w:tcW w:w="1440" w:type="dxa"/>
          </w:tcPr>
          <w:p w14:paraId="58E5F135" w14:textId="77777777" w:rsidR="00513AB5" w:rsidRDefault="00513AB5" w:rsidP="001136D3">
            <w:pPr>
              <w:spacing w:after="0"/>
              <w:jc w:val="center"/>
              <w:rPr>
                <w:sz w:val="22"/>
              </w:rPr>
            </w:pPr>
            <w:r w:rsidRPr="003D2977">
              <w:rPr>
                <w:sz w:val="22"/>
              </w:rPr>
              <w:t>Lump Sum</w:t>
            </w:r>
          </w:p>
        </w:tc>
      </w:tr>
      <w:tr w:rsidR="00513AB5" w14:paraId="6B7C4C2D" w14:textId="77777777" w:rsidTr="001136D3">
        <w:trPr>
          <w:cantSplit/>
        </w:trPr>
        <w:tc>
          <w:tcPr>
            <w:tcW w:w="1440" w:type="dxa"/>
          </w:tcPr>
          <w:p w14:paraId="672BB765" w14:textId="77777777" w:rsidR="00513AB5" w:rsidRPr="004242BF" w:rsidRDefault="00513AB5" w:rsidP="00513AB5">
            <w:pPr>
              <w:spacing w:after="0"/>
              <w:jc w:val="center"/>
              <w:rPr>
                <w:b/>
                <w:szCs w:val="22"/>
              </w:rPr>
            </w:pPr>
          </w:p>
        </w:tc>
        <w:tc>
          <w:tcPr>
            <w:tcW w:w="5842" w:type="dxa"/>
          </w:tcPr>
          <w:p w14:paraId="1327986D" w14:textId="77777777" w:rsidR="00513AB5" w:rsidRPr="004242BF" w:rsidRDefault="00513AB5" w:rsidP="00513AB5">
            <w:pPr>
              <w:spacing w:after="0"/>
              <w:jc w:val="left"/>
              <w:rPr>
                <w:sz w:val="22"/>
                <w:szCs w:val="22"/>
              </w:rPr>
            </w:pPr>
            <w:r w:rsidRPr="004242BF">
              <w:rPr>
                <w:sz w:val="22"/>
                <w:szCs w:val="22"/>
              </w:rPr>
              <w:t>3.1 NSW Trader Portal</w:t>
            </w:r>
          </w:p>
          <w:p w14:paraId="710F554D" w14:textId="77777777" w:rsidR="00513AB5" w:rsidRPr="004242BF" w:rsidRDefault="00513AB5" w:rsidP="00513AB5">
            <w:pPr>
              <w:spacing w:after="0"/>
              <w:jc w:val="left"/>
              <w:rPr>
                <w:sz w:val="22"/>
                <w:szCs w:val="22"/>
              </w:rPr>
            </w:pPr>
            <w:r w:rsidRPr="004242BF">
              <w:rPr>
                <w:sz w:val="22"/>
                <w:szCs w:val="22"/>
              </w:rPr>
              <w:t>3.2 NSW Help Desk</w:t>
            </w:r>
          </w:p>
          <w:p w14:paraId="744864A7" w14:textId="77777777" w:rsidR="00513AB5" w:rsidRPr="004242BF" w:rsidRDefault="00513AB5" w:rsidP="00513AB5">
            <w:pPr>
              <w:spacing w:after="0"/>
              <w:jc w:val="left"/>
              <w:rPr>
                <w:sz w:val="22"/>
                <w:szCs w:val="22"/>
              </w:rPr>
            </w:pPr>
            <w:r w:rsidRPr="004242BF">
              <w:rPr>
                <w:sz w:val="22"/>
                <w:szCs w:val="22"/>
              </w:rPr>
              <w:t>3.3 Registration of Traders and Competent Authority Service</w:t>
            </w:r>
          </w:p>
          <w:p w14:paraId="184A5A46" w14:textId="77777777" w:rsidR="00513AB5" w:rsidRPr="004242BF" w:rsidRDefault="00513AB5" w:rsidP="00513AB5">
            <w:pPr>
              <w:spacing w:after="0"/>
              <w:jc w:val="left"/>
              <w:rPr>
                <w:bCs/>
                <w:sz w:val="22"/>
                <w:szCs w:val="22"/>
              </w:rPr>
            </w:pPr>
            <w:r w:rsidRPr="004242BF">
              <w:rPr>
                <w:sz w:val="22"/>
                <w:szCs w:val="22"/>
              </w:rPr>
              <w:t xml:space="preserve">3.4 </w:t>
            </w:r>
            <w:r w:rsidRPr="004242BF">
              <w:rPr>
                <w:bCs/>
                <w:sz w:val="22"/>
                <w:szCs w:val="22"/>
              </w:rPr>
              <w:t>LPCO Application</w:t>
            </w:r>
          </w:p>
          <w:p w14:paraId="7775EFCA" w14:textId="77777777" w:rsidR="00513AB5" w:rsidRPr="004242BF" w:rsidRDefault="00513AB5" w:rsidP="00513AB5">
            <w:pPr>
              <w:spacing w:after="0"/>
              <w:jc w:val="left"/>
              <w:rPr>
                <w:bCs/>
                <w:sz w:val="22"/>
                <w:szCs w:val="22"/>
              </w:rPr>
            </w:pPr>
            <w:r w:rsidRPr="004242BF">
              <w:rPr>
                <w:bCs/>
                <w:sz w:val="22"/>
                <w:szCs w:val="22"/>
              </w:rPr>
              <w:t>3.5 LPCO Management</w:t>
            </w:r>
          </w:p>
          <w:p w14:paraId="027D19B7" w14:textId="77777777" w:rsidR="00513AB5" w:rsidRPr="004242BF" w:rsidRDefault="00513AB5" w:rsidP="00513AB5">
            <w:pPr>
              <w:spacing w:after="0"/>
              <w:jc w:val="left"/>
              <w:rPr>
                <w:bCs/>
                <w:sz w:val="22"/>
                <w:szCs w:val="22"/>
              </w:rPr>
            </w:pPr>
            <w:r w:rsidRPr="004242BF">
              <w:rPr>
                <w:bCs/>
                <w:sz w:val="22"/>
                <w:szCs w:val="22"/>
              </w:rPr>
              <w:t>3.6 Payment Management</w:t>
            </w:r>
          </w:p>
          <w:p w14:paraId="14502261" w14:textId="77777777" w:rsidR="00513AB5" w:rsidRPr="004242BF" w:rsidRDefault="00513AB5" w:rsidP="00513AB5">
            <w:pPr>
              <w:spacing w:after="0"/>
              <w:jc w:val="left"/>
              <w:rPr>
                <w:bCs/>
                <w:sz w:val="22"/>
                <w:szCs w:val="22"/>
              </w:rPr>
            </w:pPr>
            <w:r w:rsidRPr="004242BF">
              <w:rPr>
                <w:bCs/>
                <w:sz w:val="22"/>
                <w:szCs w:val="22"/>
              </w:rPr>
              <w:t>3.7 Payment Processing</w:t>
            </w:r>
          </w:p>
          <w:p w14:paraId="61438CC0" w14:textId="77777777" w:rsidR="00513AB5" w:rsidRPr="004242BF" w:rsidRDefault="00513AB5" w:rsidP="00513AB5">
            <w:pPr>
              <w:spacing w:after="0"/>
              <w:jc w:val="left"/>
              <w:rPr>
                <w:bCs/>
                <w:sz w:val="22"/>
                <w:szCs w:val="22"/>
              </w:rPr>
            </w:pPr>
            <w:r w:rsidRPr="004242BF">
              <w:rPr>
                <w:bCs/>
                <w:sz w:val="22"/>
                <w:szCs w:val="22"/>
              </w:rPr>
              <w:t>3.8 Notification Management</w:t>
            </w:r>
          </w:p>
          <w:p w14:paraId="777B845A" w14:textId="77777777" w:rsidR="00513AB5" w:rsidRPr="004242BF" w:rsidRDefault="00513AB5" w:rsidP="00513AB5">
            <w:pPr>
              <w:spacing w:after="0"/>
              <w:jc w:val="left"/>
              <w:rPr>
                <w:bCs/>
                <w:sz w:val="22"/>
                <w:szCs w:val="22"/>
              </w:rPr>
            </w:pPr>
            <w:r w:rsidRPr="004242BF">
              <w:rPr>
                <w:bCs/>
                <w:sz w:val="22"/>
                <w:szCs w:val="22"/>
              </w:rPr>
              <w:t>3.9 LPCO Designer</w:t>
            </w:r>
          </w:p>
          <w:p w14:paraId="58917265" w14:textId="77777777" w:rsidR="00513AB5" w:rsidRPr="004242BF" w:rsidRDefault="00513AB5" w:rsidP="00513AB5">
            <w:pPr>
              <w:spacing w:after="0"/>
              <w:jc w:val="left"/>
              <w:rPr>
                <w:bCs/>
                <w:sz w:val="22"/>
                <w:szCs w:val="22"/>
              </w:rPr>
            </w:pPr>
            <w:r w:rsidRPr="004242BF">
              <w:rPr>
                <w:bCs/>
                <w:sz w:val="22"/>
                <w:szCs w:val="22"/>
              </w:rPr>
              <w:t>3.10 Inspection Control Results</w:t>
            </w:r>
          </w:p>
          <w:p w14:paraId="5EDE76B7" w14:textId="77777777" w:rsidR="00513AB5" w:rsidRPr="004242BF" w:rsidRDefault="00513AB5" w:rsidP="00513AB5">
            <w:pPr>
              <w:spacing w:after="0"/>
              <w:jc w:val="left"/>
              <w:rPr>
                <w:bCs/>
                <w:sz w:val="22"/>
                <w:szCs w:val="22"/>
              </w:rPr>
            </w:pPr>
            <w:r w:rsidRPr="004242BF">
              <w:rPr>
                <w:bCs/>
                <w:sz w:val="22"/>
                <w:szCs w:val="22"/>
              </w:rPr>
              <w:t>3.11 Document Management</w:t>
            </w:r>
          </w:p>
          <w:p w14:paraId="177D2526" w14:textId="77777777" w:rsidR="00513AB5" w:rsidRPr="004242BF" w:rsidRDefault="00513AB5" w:rsidP="00513AB5">
            <w:pPr>
              <w:spacing w:after="0"/>
              <w:jc w:val="left"/>
              <w:rPr>
                <w:bCs/>
                <w:sz w:val="22"/>
                <w:szCs w:val="22"/>
              </w:rPr>
            </w:pPr>
            <w:r w:rsidRPr="004242BF">
              <w:rPr>
                <w:bCs/>
                <w:sz w:val="22"/>
                <w:szCs w:val="22"/>
              </w:rPr>
              <w:t>3.12 LPCO Workflow Management</w:t>
            </w:r>
          </w:p>
          <w:p w14:paraId="3706CE0A" w14:textId="77777777" w:rsidR="00513AB5" w:rsidRPr="004242BF" w:rsidRDefault="00513AB5" w:rsidP="00513AB5">
            <w:pPr>
              <w:spacing w:after="0"/>
              <w:jc w:val="left"/>
              <w:rPr>
                <w:bCs/>
                <w:sz w:val="22"/>
                <w:szCs w:val="22"/>
              </w:rPr>
            </w:pPr>
            <w:r w:rsidRPr="004242BF">
              <w:rPr>
                <w:bCs/>
                <w:sz w:val="22"/>
                <w:szCs w:val="22"/>
              </w:rPr>
              <w:t>3.13 NSW Risk Management</w:t>
            </w:r>
          </w:p>
          <w:p w14:paraId="1B1B280E" w14:textId="77777777" w:rsidR="00513AB5" w:rsidRPr="004242BF" w:rsidRDefault="00513AB5" w:rsidP="00513AB5">
            <w:pPr>
              <w:spacing w:after="0"/>
              <w:jc w:val="left"/>
              <w:rPr>
                <w:bCs/>
                <w:sz w:val="22"/>
                <w:szCs w:val="22"/>
              </w:rPr>
            </w:pPr>
            <w:r w:rsidRPr="004242BF">
              <w:rPr>
                <w:bCs/>
                <w:sz w:val="22"/>
                <w:szCs w:val="22"/>
              </w:rPr>
              <w:t>3.14 Referent Tables</w:t>
            </w:r>
          </w:p>
          <w:p w14:paraId="7BDC736E" w14:textId="77777777" w:rsidR="00513AB5" w:rsidRDefault="00513AB5" w:rsidP="00513AB5">
            <w:pPr>
              <w:spacing w:after="0"/>
              <w:rPr>
                <w:bCs/>
                <w:sz w:val="22"/>
                <w:szCs w:val="22"/>
              </w:rPr>
            </w:pPr>
            <w:r w:rsidRPr="004242BF">
              <w:rPr>
                <w:bCs/>
                <w:sz w:val="22"/>
                <w:szCs w:val="22"/>
              </w:rPr>
              <w:t>3.15 Reporting Service</w:t>
            </w:r>
          </w:p>
          <w:p w14:paraId="534534B4" w14:textId="77777777" w:rsidR="00513AB5" w:rsidRPr="004242BF" w:rsidRDefault="00513AB5" w:rsidP="00513AB5">
            <w:pPr>
              <w:spacing w:after="0"/>
              <w:rPr>
                <w:b/>
                <w:szCs w:val="22"/>
              </w:rPr>
            </w:pPr>
            <w:r>
              <w:rPr>
                <w:bCs/>
                <w:sz w:val="22"/>
                <w:szCs w:val="22"/>
              </w:rPr>
              <w:t xml:space="preserve">3.16 </w:t>
            </w:r>
            <w:r w:rsidRPr="004242BF">
              <w:rPr>
                <w:bCs/>
                <w:sz w:val="22"/>
                <w:szCs w:val="22"/>
              </w:rPr>
              <w:t>Data Converter</w:t>
            </w:r>
          </w:p>
        </w:tc>
        <w:tc>
          <w:tcPr>
            <w:tcW w:w="2070" w:type="dxa"/>
          </w:tcPr>
          <w:p w14:paraId="2103AD0B" w14:textId="77777777" w:rsidR="00513AB5" w:rsidRDefault="00513AB5" w:rsidP="00513AB5">
            <w:pPr>
              <w:spacing w:after="0"/>
              <w:jc w:val="center"/>
              <w:rPr>
                <w:sz w:val="22"/>
              </w:rPr>
            </w:pPr>
          </w:p>
        </w:tc>
        <w:tc>
          <w:tcPr>
            <w:tcW w:w="2528" w:type="dxa"/>
          </w:tcPr>
          <w:p w14:paraId="251235B2" w14:textId="77777777" w:rsidR="00513AB5" w:rsidRDefault="00513AB5" w:rsidP="00513AB5">
            <w:pPr>
              <w:spacing w:after="0"/>
              <w:jc w:val="center"/>
              <w:rPr>
                <w:sz w:val="22"/>
              </w:rPr>
            </w:pPr>
          </w:p>
        </w:tc>
        <w:tc>
          <w:tcPr>
            <w:tcW w:w="1440" w:type="dxa"/>
          </w:tcPr>
          <w:p w14:paraId="46A2B811" w14:textId="77777777" w:rsidR="00513AB5" w:rsidRPr="003D2977" w:rsidRDefault="00513AB5" w:rsidP="00513AB5">
            <w:pPr>
              <w:spacing w:after="0"/>
              <w:jc w:val="center"/>
              <w:rPr>
                <w:sz w:val="22"/>
              </w:rPr>
            </w:pPr>
          </w:p>
        </w:tc>
      </w:tr>
      <w:tr w:rsidR="00513AB5" w14:paraId="6A5F0B32" w14:textId="77777777" w:rsidTr="001136D3">
        <w:trPr>
          <w:cantSplit/>
        </w:trPr>
        <w:tc>
          <w:tcPr>
            <w:tcW w:w="1440" w:type="dxa"/>
          </w:tcPr>
          <w:p w14:paraId="1A8338AF" w14:textId="77777777" w:rsidR="00513AB5" w:rsidRDefault="00513AB5" w:rsidP="001136D3">
            <w:pPr>
              <w:spacing w:after="0"/>
              <w:jc w:val="center"/>
              <w:rPr>
                <w:sz w:val="22"/>
              </w:rPr>
            </w:pPr>
            <w:r w:rsidRPr="004242BF">
              <w:rPr>
                <w:b/>
                <w:szCs w:val="22"/>
              </w:rPr>
              <w:t>4.</w:t>
            </w:r>
          </w:p>
        </w:tc>
        <w:tc>
          <w:tcPr>
            <w:tcW w:w="5842" w:type="dxa"/>
          </w:tcPr>
          <w:p w14:paraId="37225F6D" w14:textId="77777777" w:rsidR="00513AB5" w:rsidRDefault="00513AB5" w:rsidP="001136D3">
            <w:pPr>
              <w:spacing w:after="0"/>
              <w:rPr>
                <w:sz w:val="22"/>
              </w:rPr>
            </w:pPr>
            <w:r w:rsidRPr="004242BF">
              <w:rPr>
                <w:b/>
                <w:szCs w:val="22"/>
              </w:rPr>
              <w:t>Testing</w:t>
            </w:r>
          </w:p>
        </w:tc>
        <w:tc>
          <w:tcPr>
            <w:tcW w:w="2070" w:type="dxa"/>
          </w:tcPr>
          <w:p w14:paraId="3CB3A7DF" w14:textId="77777777" w:rsidR="00513AB5" w:rsidRDefault="00513AB5" w:rsidP="001136D3">
            <w:pPr>
              <w:spacing w:after="0"/>
              <w:jc w:val="center"/>
              <w:rPr>
                <w:sz w:val="22"/>
              </w:rPr>
            </w:pPr>
          </w:p>
        </w:tc>
        <w:tc>
          <w:tcPr>
            <w:tcW w:w="2528" w:type="dxa"/>
          </w:tcPr>
          <w:p w14:paraId="533BF698" w14:textId="77777777" w:rsidR="00513AB5" w:rsidRDefault="00513AB5" w:rsidP="001136D3">
            <w:pPr>
              <w:spacing w:after="0"/>
              <w:jc w:val="center"/>
              <w:rPr>
                <w:sz w:val="22"/>
              </w:rPr>
            </w:pPr>
          </w:p>
        </w:tc>
        <w:tc>
          <w:tcPr>
            <w:tcW w:w="1440" w:type="dxa"/>
          </w:tcPr>
          <w:p w14:paraId="3E70043A" w14:textId="77777777" w:rsidR="00513AB5" w:rsidRDefault="00513AB5" w:rsidP="001136D3">
            <w:pPr>
              <w:spacing w:after="0"/>
              <w:jc w:val="center"/>
              <w:rPr>
                <w:sz w:val="22"/>
              </w:rPr>
            </w:pPr>
            <w:r w:rsidRPr="003D2977">
              <w:rPr>
                <w:sz w:val="22"/>
              </w:rPr>
              <w:t>Lump Sum</w:t>
            </w:r>
          </w:p>
        </w:tc>
      </w:tr>
      <w:tr w:rsidR="00513AB5" w14:paraId="66611910" w14:textId="77777777" w:rsidTr="001136D3">
        <w:trPr>
          <w:cantSplit/>
        </w:trPr>
        <w:tc>
          <w:tcPr>
            <w:tcW w:w="1440" w:type="dxa"/>
          </w:tcPr>
          <w:p w14:paraId="5B3D6D1B" w14:textId="77777777" w:rsidR="00513AB5" w:rsidRPr="004242BF" w:rsidRDefault="00513AB5" w:rsidP="00513AB5">
            <w:pPr>
              <w:spacing w:after="0"/>
              <w:jc w:val="center"/>
              <w:rPr>
                <w:b/>
                <w:szCs w:val="22"/>
              </w:rPr>
            </w:pPr>
          </w:p>
        </w:tc>
        <w:tc>
          <w:tcPr>
            <w:tcW w:w="5842" w:type="dxa"/>
          </w:tcPr>
          <w:p w14:paraId="5E8F8CE2" w14:textId="77777777" w:rsidR="00513AB5" w:rsidRPr="004242BF" w:rsidRDefault="00513AB5" w:rsidP="00513AB5">
            <w:pPr>
              <w:spacing w:after="0"/>
              <w:jc w:val="left"/>
              <w:rPr>
                <w:sz w:val="22"/>
                <w:szCs w:val="22"/>
              </w:rPr>
            </w:pPr>
            <w:r w:rsidRPr="004242BF">
              <w:rPr>
                <w:sz w:val="22"/>
                <w:szCs w:val="22"/>
              </w:rPr>
              <w:t>4.1 NSW Trader Portal</w:t>
            </w:r>
          </w:p>
          <w:p w14:paraId="441C9F68" w14:textId="77777777" w:rsidR="00513AB5" w:rsidRPr="004242BF" w:rsidRDefault="00513AB5" w:rsidP="00513AB5">
            <w:pPr>
              <w:spacing w:after="0"/>
              <w:jc w:val="left"/>
              <w:rPr>
                <w:sz w:val="22"/>
                <w:szCs w:val="22"/>
              </w:rPr>
            </w:pPr>
            <w:r w:rsidRPr="004242BF">
              <w:rPr>
                <w:sz w:val="22"/>
                <w:szCs w:val="22"/>
              </w:rPr>
              <w:t>4.2 NSW Help Desk</w:t>
            </w:r>
          </w:p>
          <w:p w14:paraId="191C2270" w14:textId="77777777" w:rsidR="00513AB5" w:rsidRPr="004242BF" w:rsidRDefault="00513AB5" w:rsidP="00513AB5">
            <w:pPr>
              <w:spacing w:after="0"/>
              <w:jc w:val="left"/>
              <w:rPr>
                <w:sz w:val="22"/>
                <w:szCs w:val="22"/>
              </w:rPr>
            </w:pPr>
            <w:r w:rsidRPr="004242BF">
              <w:rPr>
                <w:sz w:val="22"/>
                <w:szCs w:val="22"/>
              </w:rPr>
              <w:t>4.3 Registration of Traders and Competent Authority</w:t>
            </w:r>
          </w:p>
          <w:p w14:paraId="6761EB5E" w14:textId="77777777" w:rsidR="00513AB5" w:rsidRPr="004242BF" w:rsidRDefault="00513AB5" w:rsidP="00513AB5">
            <w:pPr>
              <w:spacing w:after="0"/>
              <w:jc w:val="left"/>
              <w:rPr>
                <w:sz w:val="22"/>
                <w:szCs w:val="22"/>
              </w:rPr>
            </w:pPr>
            <w:r w:rsidRPr="004242BF">
              <w:rPr>
                <w:sz w:val="22"/>
                <w:szCs w:val="22"/>
              </w:rPr>
              <w:t>4.4 LPCO Application</w:t>
            </w:r>
          </w:p>
          <w:p w14:paraId="328F5655" w14:textId="77777777" w:rsidR="00513AB5" w:rsidRPr="004242BF" w:rsidRDefault="00513AB5" w:rsidP="00513AB5">
            <w:pPr>
              <w:spacing w:after="0"/>
              <w:jc w:val="left"/>
              <w:rPr>
                <w:sz w:val="22"/>
                <w:szCs w:val="22"/>
              </w:rPr>
            </w:pPr>
            <w:r w:rsidRPr="004242BF">
              <w:rPr>
                <w:sz w:val="22"/>
                <w:szCs w:val="22"/>
              </w:rPr>
              <w:t>4.5 LPCO Management</w:t>
            </w:r>
          </w:p>
          <w:p w14:paraId="3FEFC4E9" w14:textId="77777777" w:rsidR="00513AB5" w:rsidRPr="004242BF" w:rsidRDefault="00513AB5" w:rsidP="00513AB5">
            <w:pPr>
              <w:spacing w:after="0"/>
              <w:jc w:val="left"/>
              <w:rPr>
                <w:sz w:val="22"/>
                <w:szCs w:val="22"/>
              </w:rPr>
            </w:pPr>
            <w:r w:rsidRPr="004242BF">
              <w:rPr>
                <w:sz w:val="22"/>
                <w:szCs w:val="22"/>
              </w:rPr>
              <w:t>4.6 Payment Management</w:t>
            </w:r>
          </w:p>
          <w:p w14:paraId="6C61E3CD" w14:textId="77777777" w:rsidR="00513AB5" w:rsidRPr="004242BF" w:rsidRDefault="00513AB5" w:rsidP="00513AB5">
            <w:pPr>
              <w:spacing w:after="0"/>
              <w:jc w:val="left"/>
              <w:rPr>
                <w:sz w:val="22"/>
                <w:szCs w:val="22"/>
              </w:rPr>
            </w:pPr>
            <w:r w:rsidRPr="004242BF">
              <w:rPr>
                <w:sz w:val="22"/>
                <w:szCs w:val="22"/>
              </w:rPr>
              <w:t>4.7 Payment Processing</w:t>
            </w:r>
          </w:p>
          <w:p w14:paraId="026D226B" w14:textId="77777777" w:rsidR="00513AB5" w:rsidRPr="004242BF" w:rsidRDefault="00513AB5" w:rsidP="00513AB5">
            <w:pPr>
              <w:spacing w:after="0"/>
              <w:jc w:val="left"/>
              <w:rPr>
                <w:sz w:val="22"/>
                <w:szCs w:val="22"/>
              </w:rPr>
            </w:pPr>
            <w:r w:rsidRPr="004242BF">
              <w:rPr>
                <w:sz w:val="22"/>
                <w:szCs w:val="22"/>
              </w:rPr>
              <w:t>4.8 Notification Management</w:t>
            </w:r>
          </w:p>
          <w:p w14:paraId="2FCE0890" w14:textId="77777777" w:rsidR="00513AB5" w:rsidRPr="004242BF" w:rsidRDefault="00513AB5" w:rsidP="00513AB5">
            <w:pPr>
              <w:spacing w:after="0"/>
              <w:jc w:val="left"/>
              <w:rPr>
                <w:sz w:val="22"/>
                <w:szCs w:val="22"/>
              </w:rPr>
            </w:pPr>
            <w:r w:rsidRPr="004242BF">
              <w:rPr>
                <w:bCs/>
                <w:sz w:val="22"/>
                <w:szCs w:val="22"/>
              </w:rPr>
              <w:t xml:space="preserve">4.9 </w:t>
            </w:r>
            <w:r w:rsidRPr="004242BF">
              <w:rPr>
                <w:sz w:val="22"/>
                <w:szCs w:val="22"/>
              </w:rPr>
              <w:t>LPCO Designer</w:t>
            </w:r>
          </w:p>
          <w:p w14:paraId="0E2B3DCE" w14:textId="77777777" w:rsidR="00513AB5" w:rsidRPr="004242BF" w:rsidRDefault="00513AB5" w:rsidP="00513AB5">
            <w:pPr>
              <w:spacing w:after="0"/>
              <w:jc w:val="left"/>
              <w:rPr>
                <w:sz w:val="22"/>
                <w:szCs w:val="22"/>
              </w:rPr>
            </w:pPr>
            <w:r w:rsidRPr="004242BF">
              <w:rPr>
                <w:bCs/>
                <w:sz w:val="22"/>
                <w:szCs w:val="22"/>
              </w:rPr>
              <w:t xml:space="preserve">4.10 </w:t>
            </w:r>
            <w:r w:rsidRPr="004242BF">
              <w:rPr>
                <w:sz w:val="22"/>
                <w:szCs w:val="22"/>
              </w:rPr>
              <w:t>Inspection Control Results</w:t>
            </w:r>
          </w:p>
          <w:p w14:paraId="2BEEC8E0" w14:textId="77777777" w:rsidR="00513AB5" w:rsidRPr="004242BF" w:rsidRDefault="00513AB5" w:rsidP="00513AB5">
            <w:pPr>
              <w:spacing w:after="0"/>
              <w:jc w:val="left"/>
              <w:rPr>
                <w:sz w:val="22"/>
                <w:szCs w:val="22"/>
              </w:rPr>
            </w:pPr>
            <w:r w:rsidRPr="004242BF">
              <w:rPr>
                <w:sz w:val="22"/>
                <w:szCs w:val="22"/>
              </w:rPr>
              <w:t>4.11 Document Management</w:t>
            </w:r>
          </w:p>
          <w:p w14:paraId="029D0655" w14:textId="77777777" w:rsidR="00513AB5" w:rsidRPr="004242BF" w:rsidRDefault="00513AB5" w:rsidP="00513AB5">
            <w:pPr>
              <w:spacing w:after="0"/>
              <w:jc w:val="left"/>
              <w:rPr>
                <w:sz w:val="22"/>
                <w:szCs w:val="22"/>
              </w:rPr>
            </w:pPr>
            <w:r w:rsidRPr="004242BF">
              <w:rPr>
                <w:sz w:val="22"/>
                <w:szCs w:val="22"/>
              </w:rPr>
              <w:t>4.12 LPCO Workflow</w:t>
            </w:r>
          </w:p>
          <w:p w14:paraId="5D088CE5" w14:textId="77777777" w:rsidR="00513AB5" w:rsidRPr="004242BF" w:rsidRDefault="00513AB5" w:rsidP="00513AB5">
            <w:pPr>
              <w:spacing w:after="0"/>
              <w:jc w:val="left"/>
              <w:rPr>
                <w:sz w:val="22"/>
                <w:szCs w:val="22"/>
              </w:rPr>
            </w:pPr>
            <w:r w:rsidRPr="004242BF">
              <w:rPr>
                <w:bCs/>
                <w:sz w:val="22"/>
                <w:szCs w:val="22"/>
              </w:rPr>
              <w:t xml:space="preserve">4.13 </w:t>
            </w:r>
            <w:r w:rsidRPr="004242BF">
              <w:rPr>
                <w:sz w:val="22"/>
                <w:szCs w:val="22"/>
              </w:rPr>
              <w:t>NSW Risk Management</w:t>
            </w:r>
          </w:p>
          <w:p w14:paraId="2C1218DE" w14:textId="77777777" w:rsidR="00513AB5" w:rsidRPr="004242BF" w:rsidRDefault="00513AB5" w:rsidP="00513AB5">
            <w:pPr>
              <w:spacing w:after="0"/>
              <w:jc w:val="left"/>
              <w:rPr>
                <w:sz w:val="22"/>
                <w:szCs w:val="22"/>
              </w:rPr>
            </w:pPr>
            <w:r w:rsidRPr="004242BF">
              <w:rPr>
                <w:bCs/>
                <w:sz w:val="22"/>
                <w:szCs w:val="22"/>
              </w:rPr>
              <w:t xml:space="preserve">4.14 </w:t>
            </w:r>
            <w:r w:rsidRPr="004242BF">
              <w:rPr>
                <w:sz w:val="22"/>
                <w:szCs w:val="22"/>
              </w:rPr>
              <w:t>Referents Tables</w:t>
            </w:r>
          </w:p>
          <w:p w14:paraId="4D50C7CD" w14:textId="77777777" w:rsidR="00513AB5" w:rsidRDefault="00513AB5" w:rsidP="00513AB5">
            <w:pPr>
              <w:spacing w:after="0"/>
              <w:rPr>
                <w:sz w:val="22"/>
                <w:szCs w:val="22"/>
              </w:rPr>
            </w:pPr>
            <w:r w:rsidRPr="004242BF">
              <w:rPr>
                <w:sz w:val="22"/>
                <w:szCs w:val="22"/>
              </w:rPr>
              <w:t>4.15 Reporting Service</w:t>
            </w:r>
          </w:p>
          <w:p w14:paraId="2F0DE46E" w14:textId="77777777" w:rsidR="00513AB5" w:rsidRPr="004242BF" w:rsidRDefault="00513AB5" w:rsidP="00513AB5">
            <w:pPr>
              <w:spacing w:after="0"/>
              <w:rPr>
                <w:b/>
                <w:szCs w:val="22"/>
              </w:rPr>
            </w:pPr>
            <w:r>
              <w:rPr>
                <w:sz w:val="22"/>
                <w:szCs w:val="22"/>
              </w:rPr>
              <w:t xml:space="preserve">4.16 </w:t>
            </w:r>
            <w:r w:rsidRPr="004242BF">
              <w:rPr>
                <w:bCs/>
                <w:sz w:val="22"/>
                <w:szCs w:val="22"/>
              </w:rPr>
              <w:t>Data Converter</w:t>
            </w:r>
          </w:p>
        </w:tc>
        <w:tc>
          <w:tcPr>
            <w:tcW w:w="2070" w:type="dxa"/>
          </w:tcPr>
          <w:p w14:paraId="43012B73" w14:textId="77777777" w:rsidR="00513AB5" w:rsidRDefault="00513AB5" w:rsidP="00513AB5">
            <w:pPr>
              <w:spacing w:after="0"/>
              <w:jc w:val="center"/>
              <w:rPr>
                <w:sz w:val="22"/>
              </w:rPr>
            </w:pPr>
          </w:p>
        </w:tc>
        <w:tc>
          <w:tcPr>
            <w:tcW w:w="2528" w:type="dxa"/>
          </w:tcPr>
          <w:p w14:paraId="1EECAC4D" w14:textId="77777777" w:rsidR="00513AB5" w:rsidRDefault="00513AB5" w:rsidP="00513AB5">
            <w:pPr>
              <w:spacing w:after="0"/>
              <w:jc w:val="center"/>
              <w:rPr>
                <w:sz w:val="22"/>
              </w:rPr>
            </w:pPr>
          </w:p>
        </w:tc>
        <w:tc>
          <w:tcPr>
            <w:tcW w:w="1440" w:type="dxa"/>
          </w:tcPr>
          <w:p w14:paraId="789AD16C" w14:textId="77777777" w:rsidR="00513AB5" w:rsidRPr="003D2977" w:rsidRDefault="00513AB5" w:rsidP="00513AB5">
            <w:pPr>
              <w:spacing w:after="0"/>
              <w:jc w:val="center"/>
              <w:rPr>
                <w:sz w:val="22"/>
              </w:rPr>
            </w:pPr>
          </w:p>
        </w:tc>
      </w:tr>
      <w:tr w:rsidR="00513AB5" w14:paraId="7506F7EF" w14:textId="77777777" w:rsidTr="001136D3">
        <w:trPr>
          <w:cantSplit/>
        </w:trPr>
        <w:tc>
          <w:tcPr>
            <w:tcW w:w="1440" w:type="dxa"/>
          </w:tcPr>
          <w:p w14:paraId="360B6C54" w14:textId="77777777" w:rsidR="00513AB5" w:rsidRDefault="00513AB5" w:rsidP="001136D3">
            <w:pPr>
              <w:spacing w:after="0"/>
              <w:jc w:val="center"/>
              <w:rPr>
                <w:sz w:val="22"/>
              </w:rPr>
            </w:pPr>
            <w:r w:rsidRPr="004C6BF5">
              <w:rPr>
                <w:b/>
                <w:szCs w:val="22"/>
              </w:rPr>
              <w:t>5</w:t>
            </w:r>
          </w:p>
        </w:tc>
        <w:tc>
          <w:tcPr>
            <w:tcW w:w="5842" w:type="dxa"/>
          </w:tcPr>
          <w:p w14:paraId="6F47B378" w14:textId="77777777" w:rsidR="00513AB5" w:rsidRDefault="00513AB5" w:rsidP="001136D3">
            <w:pPr>
              <w:spacing w:after="0"/>
              <w:rPr>
                <w:sz w:val="22"/>
              </w:rPr>
            </w:pPr>
            <w:r w:rsidRPr="004C6BF5">
              <w:rPr>
                <w:b/>
                <w:szCs w:val="22"/>
              </w:rPr>
              <w:t>Integration and Testing</w:t>
            </w:r>
          </w:p>
        </w:tc>
        <w:tc>
          <w:tcPr>
            <w:tcW w:w="2070" w:type="dxa"/>
          </w:tcPr>
          <w:p w14:paraId="2CBD0472" w14:textId="77777777" w:rsidR="00513AB5" w:rsidRDefault="00513AB5" w:rsidP="001136D3">
            <w:pPr>
              <w:spacing w:after="0"/>
              <w:jc w:val="center"/>
              <w:rPr>
                <w:sz w:val="22"/>
              </w:rPr>
            </w:pPr>
          </w:p>
        </w:tc>
        <w:tc>
          <w:tcPr>
            <w:tcW w:w="2528" w:type="dxa"/>
          </w:tcPr>
          <w:p w14:paraId="6A605B02" w14:textId="77777777" w:rsidR="00513AB5" w:rsidRDefault="00513AB5" w:rsidP="001136D3">
            <w:pPr>
              <w:spacing w:after="0"/>
              <w:jc w:val="center"/>
              <w:rPr>
                <w:sz w:val="22"/>
              </w:rPr>
            </w:pPr>
          </w:p>
        </w:tc>
        <w:tc>
          <w:tcPr>
            <w:tcW w:w="1440" w:type="dxa"/>
          </w:tcPr>
          <w:p w14:paraId="0D905484" w14:textId="77777777" w:rsidR="00513AB5" w:rsidRDefault="00513AB5" w:rsidP="001136D3">
            <w:pPr>
              <w:spacing w:after="0"/>
              <w:jc w:val="center"/>
              <w:rPr>
                <w:sz w:val="22"/>
              </w:rPr>
            </w:pPr>
            <w:r w:rsidRPr="003D2977">
              <w:rPr>
                <w:sz w:val="22"/>
              </w:rPr>
              <w:t>Lump Sum</w:t>
            </w:r>
          </w:p>
        </w:tc>
      </w:tr>
      <w:tr w:rsidR="00513AB5" w14:paraId="7558C2D7" w14:textId="77777777" w:rsidTr="001136D3">
        <w:trPr>
          <w:cantSplit/>
        </w:trPr>
        <w:tc>
          <w:tcPr>
            <w:tcW w:w="1440" w:type="dxa"/>
          </w:tcPr>
          <w:p w14:paraId="27627D91" w14:textId="77777777" w:rsidR="00513AB5" w:rsidRPr="004C6BF5" w:rsidRDefault="00513AB5" w:rsidP="00513AB5">
            <w:pPr>
              <w:spacing w:after="0"/>
              <w:jc w:val="center"/>
              <w:rPr>
                <w:b/>
                <w:szCs w:val="22"/>
              </w:rPr>
            </w:pPr>
          </w:p>
        </w:tc>
        <w:tc>
          <w:tcPr>
            <w:tcW w:w="5842" w:type="dxa"/>
          </w:tcPr>
          <w:p w14:paraId="0877F354" w14:textId="77777777" w:rsidR="00513AB5" w:rsidRPr="004242BF" w:rsidRDefault="00513AB5" w:rsidP="00513AB5">
            <w:pPr>
              <w:spacing w:after="0"/>
              <w:jc w:val="left"/>
              <w:rPr>
                <w:sz w:val="22"/>
                <w:szCs w:val="22"/>
              </w:rPr>
            </w:pPr>
            <w:r w:rsidRPr="004242BF">
              <w:rPr>
                <w:sz w:val="22"/>
                <w:szCs w:val="22"/>
              </w:rPr>
              <w:t xml:space="preserve">5.1 Readiness of Environment </w:t>
            </w:r>
          </w:p>
          <w:p w14:paraId="7CBE9436" w14:textId="77777777" w:rsidR="00513AB5" w:rsidRPr="004242BF" w:rsidRDefault="00513AB5" w:rsidP="00513AB5">
            <w:pPr>
              <w:spacing w:after="0"/>
              <w:jc w:val="left"/>
              <w:rPr>
                <w:sz w:val="22"/>
                <w:szCs w:val="22"/>
              </w:rPr>
            </w:pPr>
            <w:r w:rsidRPr="004242BF">
              <w:rPr>
                <w:sz w:val="22"/>
                <w:szCs w:val="22"/>
              </w:rPr>
              <w:t>5.2 Acceptance Test Plan for FAT</w:t>
            </w:r>
          </w:p>
          <w:p w14:paraId="3648CC63" w14:textId="77777777" w:rsidR="00513AB5" w:rsidRPr="004242BF" w:rsidRDefault="00513AB5" w:rsidP="00513AB5">
            <w:pPr>
              <w:spacing w:after="0"/>
              <w:jc w:val="left"/>
              <w:rPr>
                <w:sz w:val="22"/>
                <w:szCs w:val="22"/>
              </w:rPr>
            </w:pPr>
            <w:r w:rsidRPr="004242BF">
              <w:rPr>
                <w:sz w:val="22"/>
                <w:szCs w:val="22"/>
              </w:rPr>
              <w:t>5.3 FAT Automated Test Cases (Scripts) for Integration</w:t>
            </w:r>
          </w:p>
          <w:p w14:paraId="21D5B3AE" w14:textId="77777777" w:rsidR="00513AB5" w:rsidRPr="004242BF" w:rsidRDefault="00513AB5" w:rsidP="00513AB5">
            <w:pPr>
              <w:spacing w:after="0"/>
              <w:jc w:val="left"/>
              <w:rPr>
                <w:sz w:val="22"/>
                <w:szCs w:val="22"/>
              </w:rPr>
            </w:pPr>
            <w:r w:rsidRPr="004242BF">
              <w:rPr>
                <w:sz w:val="22"/>
                <w:szCs w:val="22"/>
              </w:rPr>
              <w:t>5.4 FAT Test Data</w:t>
            </w:r>
          </w:p>
          <w:p w14:paraId="1E5AD927" w14:textId="77777777" w:rsidR="00513AB5" w:rsidRPr="004C6BF5" w:rsidRDefault="00513AB5" w:rsidP="00513AB5">
            <w:pPr>
              <w:spacing w:after="0"/>
              <w:rPr>
                <w:b/>
                <w:szCs w:val="22"/>
              </w:rPr>
            </w:pPr>
            <w:r w:rsidRPr="004242BF">
              <w:rPr>
                <w:sz w:val="22"/>
                <w:szCs w:val="22"/>
              </w:rPr>
              <w:t>5.5 FAT Report</w:t>
            </w:r>
          </w:p>
        </w:tc>
        <w:tc>
          <w:tcPr>
            <w:tcW w:w="2070" w:type="dxa"/>
          </w:tcPr>
          <w:p w14:paraId="1E4976D3" w14:textId="77777777" w:rsidR="00513AB5" w:rsidRDefault="00513AB5" w:rsidP="00513AB5">
            <w:pPr>
              <w:spacing w:after="0"/>
              <w:jc w:val="center"/>
              <w:rPr>
                <w:sz w:val="22"/>
              </w:rPr>
            </w:pPr>
          </w:p>
        </w:tc>
        <w:tc>
          <w:tcPr>
            <w:tcW w:w="2528" w:type="dxa"/>
          </w:tcPr>
          <w:p w14:paraId="03604556" w14:textId="77777777" w:rsidR="00513AB5" w:rsidRDefault="00513AB5" w:rsidP="00513AB5">
            <w:pPr>
              <w:spacing w:after="0"/>
              <w:jc w:val="center"/>
              <w:rPr>
                <w:sz w:val="22"/>
              </w:rPr>
            </w:pPr>
          </w:p>
        </w:tc>
        <w:tc>
          <w:tcPr>
            <w:tcW w:w="1440" w:type="dxa"/>
          </w:tcPr>
          <w:p w14:paraId="1F50AF10" w14:textId="77777777" w:rsidR="00513AB5" w:rsidRPr="003D2977" w:rsidRDefault="00513AB5" w:rsidP="00513AB5">
            <w:pPr>
              <w:spacing w:after="0"/>
              <w:jc w:val="center"/>
              <w:rPr>
                <w:sz w:val="22"/>
              </w:rPr>
            </w:pPr>
          </w:p>
        </w:tc>
      </w:tr>
      <w:tr w:rsidR="00513AB5" w14:paraId="65F0C155" w14:textId="77777777" w:rsidTr="001136D3">
        <w:trPr>
          <w:cantSplit/>
        </w:trPr>
        <w:tc>
          <w:tcPr>
            <w:tcW w:w="1440" w:type="dxa"/>
          </w:tcPr>
          <w:p w14:paraId="69379DA0" w14:textId="77777777" w:rsidR="00513AB5" w:rsidRDefault="00513AB5" w:rsidP="001136D3">
            <w:pPr>
              <w:spacing w:after="0"/>
              <w:jc w:val="center"/>
              <w:rPr>
                <w:sz w:val="22"/>
              </w:rPr>
            </w:pPr>
            <w:r w:rsidRPr="004242BF">
              <w:rPr>
                <w:b/>
                <w:sz w:val="22"/>
                <w:szCs w:val="22"/>
              </w:rPr>
              <w:t>6.</w:t>
            </w:r>
          </w:p>
        </w:tc>
        <w:tc>
          <w:tcPr>
            <w:tcW w:w="5842" w:type="dxa"/>
          </w:tcPr>
          <w:p w14:paraId="15A6F625" w14:textId="1AD3896B" w:rsidR="00513AB5" w:rsidRDefault="004F4163" w:rsidP="004F4163">
            <w:pPr>
              <w:spacing w:after="0"/>
              <w:rPr>
                <w:sz w:val="22"/>
              </w:rPr>
            </w:pPr>
            <w:r>
              <w:rPr>
                <w:b/>
                <w:sz w:val="22"/>
                <w:szCs w:val="22"/>
              </w:rPr>
              <w:t xml:space="preserve">Hardware </w:t>
            </w:r>
            <w:r w:rsidR="00513AB5" w:rsidRPr="004242BF">
              <w:rPr>
                <w:b/>
                <w:sz w:val="22"/>
                <w:szCs w:val="22"/>
              </w:rPr>
              <w:t>Environment Readiness</w:t>
            </w:r>
          </w:p>
        </w:tc>
        <w:tc>
          <w:tcPr>
            <w:tcW w:w="2070" w:type="dxa"/>
          </w:tcPr>
          <w:p w14:paraId="413D95F3" w14:textId="77777777" w:rsidR="00513AB5" w:rsidRDefault="00513AB5" w:rsidP="001136D3">
            <w:pPr>
              <w:spacing w:after="0"/>
              <w:jc w:val="center"/>
              <w:rPr>
                <w:sz w:val="22"/>
              </w:rPr>
            </w:pPr>
          </w:p>
        </w:tc>
        <w:tc>
          <w:tcPr>
            <w:tcW w:w="2528" w:type="dxa"/>
          </w:tcPr>
          <w:p w14:paraId="72AE6111" w14:textId="77777777" w:rsidR="00513AB5" w:rsidRDefault="00513AB5" w:rsidP="001136D3">
            <w:pPr>
              <w:spacing w:after="0"/>
              <w:jc w:val="center"/>
              <w:rPr>
                <w:sz w:val="22"/>
              </w:rPr>
            </w:pPr>
          </w:p>
        </w:tc>
        <w:tc>
          <w:tcPr>
            <w:tcW w:w="1440" w:type="dxa"/>
          </w:tcPr>
          <w:p w14:paraId="26CEC88E" w14:textId="77777777" w:rsidR="00513AB5" w:rsidRDefault="00513AB5" w:rsidP="001136D3">
            <w:pPr>
              <w:spacing w:after="0"/>
              <w:jc w:val="center"/>
              <w:rPr>
                <w:sz w:val="22"/>
              </w:rPr>
            </w:pPr>
            <w:r w:rsidRPr="00675D4B">
              <w:rPr>
                <w:sz w:val="22"/>
              </w:rPr>
              <w:t>Lump Sum</w:t>
            </w:r>
          </w:p>
        </w:tc>
      </w:tr>
      <w:tr w:rsidR="00513AB5" w14:paraId="05BC62A8" w14:textId="77777777" w:rsidTr="001136D3">
        <w:trPr>
          <w:cantSplit/>
        </w:trPr>
        <w:tc>
          <w:tcPr>
            <w:tcW w:w="1440" w:type="dxa"/>
          </w:tcPr>
          <w:p w14:paraId="6035BA3C" w14:textId="77777777" w:rsidR="00513AB5" w:rsidRPr="004242BF" w:rsidRDefault="00513AB5" w:rsidP="00513AB5">
            <w:pPr>
              <w:spacing w:after="0"/>
              <w:jc w:val="center"/>
              <w:rPr>
                <w:b/>
                <w:sz w:val="22"/>
                <w:szCs w:val="22"/>
              </w:rPr>
            </w:pPr>
          </w:p>
        </w:tc>
        <w:tc>
          <w:tcPr>
            <w:tcW w:w="5842" w:type="dxa"/>
          </w:tcPr>
          <w:p w14:paraId="3C514EA5" w14:textId="6AF9DF09" w:rsidR="00513AB5" w:rsidRDefault="00513AB5" w:rsidP="004F4163">
            <w:pPr>
              <w:spacing w:after="0"/>
              <w:jc w:val="left"/>
              <w:rPr>
                <w:sz w:val="22"/>
                <w:szCs w:val="22"/>
              </w:rPr>
            </w:pPr>
            <w:r w:rsidRPr="004242BF">
              <w:rPr>
                <w:sz w:val="22"/>
                <w:szCs w:val="22"/>
              </w:rPr>
              <w:t xml:space="preserve">6.1 </w:t>
            </w:r>
            <w:r w:rsidR="004F4163">
              <w:rPr>
                <w:sz w:val="22"/>
                <w:szCs w:val="22"/>
              </w:rPr>
              <w:t>Hardware Environment Readiness</w:t>
            </w:r>
          </w:p>
          <w:p w14:paraId="531EBB41" w14:textId="001E3329" w:rsidR="00230EB9" w:rsidRPr="003E212D" w:rsidRDefault="00D743B5" w:rsidP="00230EB9">
            <w:pPr>
              <w:spacing w:after="0"/>
              <w:jc w:val="left"/>
              <w:rPr>
                <w:bCs/>
                <w:sz w:val="22"/>
                <w:szCs w:val="22"/>
              </w:rPr>
            </w:pPr>
            <w:r>
              <w:rPr>
                <w:sz w:val="22"/>
                <w:szCs w:val="22"/>
              </w:rPr>
              <w:t xml:space="preserve">6.2 </w:t>
            </w:r>
            <w:r w:rsidR="00230EB9" w:rsidRPr="003E212D">
              <w:rPr>
                <w:bCs/>
                <w:sz w:val="22"/>
                <w:szCs w:val="22"/>
              </w:rPr>
              <w:t xml:space="preserve">Software license – Relational Database Management System </w:t>
            </w:r>
          </w:p>
          <w:p w14:paraId="5D0284F4" w14:textId="77777777" w:rsidR="00230EB9" w:rsidRPr="003E212D" w:rsidRDefault="00230EB9" w:rsidP="00230EB9">
            <w:pPr>
              <w:spacing w:after="0"/>
              <w:jc w:val="left"/>
              <w:rPr>
                <w:bCs/>
                <w:sz w:val="22"/>
                <w:szCs w:val="22"/>
              </w:rPr>
            </w:pPr>
            <w:r w:rsidRPr="003E212D">
              <w:rPr>
                <w:bCs/>
                <w:sz w:val="22"/>
                <w:szCs w:val="22"/>
              </w:rPr>
              <w:t>•</w:t>
            </w:r>
            <w:r w:rsidRPr="003E212D">
              <w:rPr>
                <w:bCs/>
                <w:sz w:val="22"/>
                <w:szCs w:val="22"/>
              </w:rPr>
              <w:tab/>
              <w:t>Type 1 (Gov) 4 for Primary Site</w:t>
            </w:r>
          </w:p>
          <w:p w14:paraId="2DE37CD5" w14:textId="3A7F9791" w:rsidR="00D743B5" w:rsidRPr="004F4163" w:rsidRDefault="00230EB9" w:rsidP="00230EB9">
            <w:pPr>
              <w:spacing w:after="0"/>
              <w:jc w:val="left"/>
              <w:rPr>
                <w:sz w:val="22"/>
                <w:szCs w:val="22"/>
              </w:rPr>
            </w:pPr>
            <w:r w:rsidRPr="003E212D">
              <w:rPr>
                <w:bCs/>
                <w:sz w:val="22"/>
                <w:szCs w:val="22"/>
              </w:rPr>
              <w:t>•</w:t>
            </w:r>
            <w:r w:rsidRPr="003E212D">
              <w:rPr>
                <w:bCs/>
                <w:sz w:val="22"/>
                <w:szCs w:val="22"/>
              </w:rPr>
              <w:tab/>
              <w:t>Type 2 (Gov) 2 for DR site</w:t>
            </w:r>
          </w:p>
        </w:tc>
        <w:tc>
          <w:tcPr>
            <w:tcW w:w="2070" w:type="dxa"/>
          </w:tcPr>
          <w:p w14:paraId="0B38BFD7" w14:textId="77777777" w:rsidR="00513AB5" w:rsidRDefault="00513AB5" w:rsidP="00513AB5">
            <w:pPr>
              <w:spacing w:after="0"/>
              <w:jc w:val="center"/>
              <w:rPr>
                <w:sz w:val="22"/>
              </w:rPr>
            </w:pPr>
          </w:p>
        </w:tc>
        <w:tc>
          <w:tcPr>
            <w:tcW w:w="2528" w:type="dxa"/>
          </w:tcPr>
          <w:p w14:paraId="1B244106" w14:textId="77777777" w:rsidR="00513AB5" w:rsidRDefault="00513AB5" w:rsidP="00513AB5">
            <w:pPr>
              <w:spacing w:after="0"/>
              <w:jc w:val="center"/>
              <w:rPr>
                <w:sz w:val="22"/>
              </w:rPr>
            </w:pPr>
          </w:p>
        </w:tc>
        <w:tc>
          <w:tcPr>
            <w:tcW w:w="1440" w:type="dxa"/>
          </w:tcPr>
          <w:p w14:paraId="58DF3335" w14:textId="77777777" w:rsidR="00513AB5" w:rsidRPr="00675D4B" w:rsidRDefault="00513AB5" w:rsidP="00513AB5">
            <w:pPr>
              <w:spacing w:after="0"/>
              <w:jc w:val="center"/>
              <w:rPr>
                <w:sz w:val="22"/>
              </w:rPr>
            </w:pPr>
          </w:p>
        </w:tc>
      </w:tr>
      <w:tr w:rsidR="004F4163" w14:paraId="72446BE6" w14:textId="77777777" w:rsidTr="001136D3">
        <w:trPr>
          <w:cantSplit/>
        </w:trPr>
        <w:tc>
          <w:tcPr>
            <w:tcW w:w="1440" w:type="dxa"/>
          </w:tcPr>
          <w:p w14:paraId="28EA85E3" w14:textId="385F5491" w:rsidR="004F4163" w:rsidRPr="004F4163" w:rsidRDefault="004F4163" w:rsidP="00513AB5">
            <w:pPr>
              <w:spacing w:after="0"/>
              <w:jc w:val="center"/>
              <w:rPr>
                <w:b/>
                <w:sz w:val="22"/>
                <w:szCs w:val="22"/>
              </w:rPr>
            </w:pPr>
            <w:r w:rsidRPr="004F4163">
              <w:rPr>
                <w:b/>
                <w:sz w:val="22"/>
                <w:szCs w:val="22"/>
              </w:rPr>
              <w:t>7.</w:t>
            </w:r>
          </w:p>
        </w:tc>
        <w:tc>
          <w:tcPr>
            <w:tcW w:w="5842" w:type="dxa"/>
          </w:tcPr>
          <w:p w14:paraId="481F281C" w14:textId="196DCB3A" w:rsidR="004F4163" w:rsidRPr="004F4163" w:rsidRDefault="004F4163" w:rsidP="00513AB5">
            <w:pPr>
              <w:spacing w:after="0"/>
              <w:jc w:val="left"/>
              <w:rPr>
                <w:b/>
                <w:sz w:val="22"/>
                <w:szCs w:val="22"/>
              </w:rPr>
            </w:pPr>
            <w:r w:rsidRPr="004F4163">
              <w:rPr>
                <w:b/>
                <w:sz w:val="22"/>
                <w:szCs w:val="22"/>
              </w:rPr>
              <w:t>Software Environment Readiness</w:t>
            </w:r>
          </w:p>
        </w:tc>
        <w:tc>
          <w:tcPr>
            <w:tcW w:w="2070" w:type="dxa"/>
          </w:tcPr>
          <w:p w14:paraId="6E52A16C" w14:textId="77777777" w:rsidR="004F4163" w:rsidRDefault="004F4163" w:rsidP="00513AB5">
            <w:pPr>
              <w:spacing w:after="0"/>
              <w:jc w:val="center"/>
              <w:rPr>
                <w:sz w:val="22"/>
              </w:rPr>
            </w:pPr>
          </w:p>
        </w:tc>
        <w:tc>
          <w:tcPr>
            <w:tcW w:w="2528" w:type="dxa"/>
          </w:tcPr>
          <w:p w14:paraId="7307919C" w14:textId="77777777" w:rsidR="004F4163" w:rsidRDefault="004F4163" w:rsidP="00513AB5">
            <w:pPr>
              <w:spacing w:after="0"/>
              <w:jc w:val="center"/>
              <w:rPr>
                <w:sz w:val="22"/>
              </w:rPr>
            </w:pPr>
          </w:p>
        </w:tc>
        <w:tc>
          <w:tcPr>
            <w:tcW w:w="1440" w:type="dxa"/>
          </w:tcPr>
          <w:p w14:paraId="046A04BD" w14:textId="17B11BD4" w:rsidR="004F4163" w:rsidRPr="00675D4B" w:rsidRDefault="004F4163" w:rsidP="00513AB5">
            <w:pPr>
              <w:spacing w:after="0"/>
              <w:jc w:val="center"/>
              <w:rPr>
                <w:sz w:val="22"/>
              </w:rPr>
            </w:pPr>
            <w:r>
              <w:rPr>
                <w:sz w:val="22"/>
              </w:rPr>
              <w:t>Lump Sum</w:t>
            </w:r>
          </w:p>
        </w:tc>
      </w:tr>
      <w:tr w:rsidR="004F4163" w14:paraId="472187BC" w14:textId="77777777" w:rsidTr="001136D3">
        <w:trPr>
          <w:cantSplit/>
        </w:trPr>
        <w:tc>
          <w:tcPr>
            <w:tcW w:w="1440" w:type="dxa"/>
          </w:tcPr>
          <w:p w14:paraId="65413B56" w14:textId="77777777" w:rsidR="004F4163" w:rsidRPr="004F4163" w:rsidRDefault="004F4163" w:rsidP="00513AB5">
            <w:pPr>
              <w:spacing w:after="0"/>
              <w:jc w:val="center"/>
              <w:rPr>
                <w:b/>
                <w:sz w:val="22"/>
                <w:szCs w:val="22"/>
              </w:rPr>
            </w:pPr>
          </w:p>
        </w:tc>
        <w:tc>
          <w:tcPr>
            <w:tcW w:w="5842" w:type="dxa"/>
          </w:tcPr>
          <w:p w14:paraId="128E4E2D" w14:textId="42D7FDFD" w:rsidR="004F4163" w:rsidRPr="004F4163" w:rsidRDefault="004F4163" w:rsidP="003E212D">
            <w:pPr>
              <w:spacing w:after="0"/>
              <w:jc w:val="left"/>
              <w:rPr>
                <w:b/>
                <w:sz w:val="22"/>
                <w:szCs w:val="22"/>
              </w:rPr>
            </w:pPr>
            <w:r>
              <w:rPr>
                <w:sz w:val="22"/>
                <w:szCs w:val="22"/>
              </w:rPr>
              <w:t>7</w:t>
            </w:r>
            <w:r w:rsidRPr="004242BF">
              <w:rPr>
                <w:sz w:val="22"/>
                <w:szCs w:val="22"/>
              </w:rPr>
              <w:t>.</w:t>
            </w:r>
            <w:r w:rsidR="003E212D">
              <w:rPr>
                <w:sz w:val="22"/>
                <w:szCs w:val="22"/>
              </w:rPr>
              <w:t>1</w:t>
            </w:r>
            <w:r w:rsidRPr="004242BF">
              <w:rPr>
                <w:sz w:val="22"/>
                <w:szCs w:val="22"/>
              </w:rPr>
              <w:t xml:space="preserve"> Software Environment Readiness</w:t>
            </w:r>
          </w:p>
        </w:tc>
        <w:tc>
          <w:tcPr>
            <w:tcW w:w="2070" w:type="dxa"/>
          </w:tcPr>
          <w:p w14:paraId="7859D874" w14:textId="77777777" w:rsidR="004F4163" w:rsidRDefault="004F4163" w:rsidP="00513AB5">
            <w:pPr>
              <w:spacing w:after="0"/>
              <w:jc w:val="center"/>
              <w:rPr>
                <w:sz w:val="22"/>
              </w:rPr>
            </w:pPr>
          </w:p>
        </w:tc>
        <w:tc>
          <w:tcPr>
            <w:tcW w:w="2528" w:type="dxa"/>
          </w:tcPr>
          <w:p w14:paraId="29D1DE9E" w14:textId="77777777" w:rsidR="004F4163" w:rsidRDefault="004F4163" w:rsidP="00513AB5">
            <w:pPr>
              <w:spacing w:after="0"/>
              <w:jc w:val="center"/>
              <w:rPr>
                <w:sz w:val="22"/>
              </w:rPr>
            </w:pPr>
          </w:p>
        </w:tc>
        <w:tc>
          <w:tcPr>
            <w:tcW w:w="1440" w:type="dxa"/>
          </w:tcPr>
          <w:p w14:paraId="73560C44" w14:textId="77777777" w:rsidR="004F4163" w:rsidRDefault="004F4163" w:rsidP="00513AB5">
            <w:pPr>
              <w:spacing w:after="0"/>
              <w:jc w:val="center"/>
              <w:rPr>
                <w:sz w:val="22"/>
              </w:rPr>
            </w:pPr>
          </w:p>
        </w:tc>
      </w:tr>
      <w:tr w:rsidR="00513AB5" w14:paraId="454C6EB9" w14:textId="77777777" w:rsidTr="001136D3">
        <w:trPr>
          <w:cantSplit/>
        </w:trPr>
        <w:tc>
          <w:tcPr>
            <w:tcW w:w="1440" w:type="dxa"/>
          </w:tcPr>
          <w:p w14:paraId="272177D0" w14:textId="6909FEEF" w:rsidR="00513AB5" w:rsidRPr="004F4163" w:rsidRDefault="004F4163" w:rsidP="001136D3">
            <w:pPr>
              <w:spacing w:after="0"/>
              <w:jc w:val="center"/>
              <w:rPr>
                <w:b/>
                <w:sz w:val="22"/>
                <w:szCs w:val="22"/>
              </w:rPr>
            </w:pPr>
            <w:r>
              <w:rPr>
                <w:b/>
                <w:sz w:val="22"/>
                <w:szCs w:val="24"/>
              </w:rPr>
              <w:t>8</w:t>
            </w:r>
            <w:r w:rsidR="00513AB5" w:rsidRPr="004F4163">
              <w:rPr>
                <w:b/>
                <w:sz w:val="22"/>
                <w:szCs w:val="24"/>
              </w:rPr>
              <w:t xml:space="preserve">. </w:t>
            </w:r>
          </w:p>
        </w:tc>
        <w:tc>
          <w:tcPr>
            <w:tcW w:w="5842" w:type="dxa"/>
          </w:tcPr>
          <w:p w14:paraId="49FE238E" w14:textId="77777777" w:rsidR="00513AB5" w:rsidRPr="004F4163" w:rsidRDefault="00513AB5" w:rsidP="001136D3">
            <w:pPr>
              <w:spacing w:after="0"/>
              <w:rPr>
                <w:b/>
                <w:sz w:val="22"/>
                <w:szCs w:val="22"/>
              </w:rPr>
            </w:pPr>
            <w:r w:rsidRPr="004F4163">
              <w:rPr>
                <w:b/>
                <w:sz w:val="22"/>
                <w:szCs w:val="24"/>
              </w:rPr>
              <w:t>Pilot Deployment</w:t>
            </w:r>
          </w:p>
        </w:tc>
        <w:tc>
          <w:tcPr>
            <w:tcW w:w="2070" w:type="dxa"/>
          </w:tcPr>
          <w:p w14:paraId="35A6D2E2" w14:textId="77777777" w:rsidR="00513AB5" w:rsidRDefault="00513AB5" w:rsidP="001136D3">
            <w:pPr>
              <w:spacing w:after="0"/>
              <w:jc w:val="center"/>
              <w:rPr>
                <w:sz w:val="22"/>
              </w:rPr>
            </w:pPr>
          </w:p>
        </w:tc>
        <w:tc>
          <w:tcPr>
            <w:tcW w:w="2528" w:type="dxa"/>
          </w:tcPr>
          <w:p w14:paraId="5BF4E8D7" w14:textId="77777777" w:rsidR="00513AB5" w:rsidRDefault="00513AB5" w:rsidP="001136D3">
            <w:pPr>
              <w:spacing w:after="0"/>
              <w:jc w:val="center"/>
              <w:rPr>
                <w:sz w:val="22"/>
              </w:rPr>
            </w:pPr>
          </w:p>
        </w:tc>
        <w:tc>
          <w:tcPr>
            <w:tcW w:w="1440" w:type="dxa"/>
          </w:tcPr>
          <w:p w14:paraId="5D95578C" w14:textId="77777777" w:rsidR="00513AB5" w:rsidRDefault="00513AB5" w:rsidP="001136D3">
            <w:pPr>
              <w:spacing w:after="0"/>
              <w:jc w:val="center"/>
              <w:rPr>
                <w:sz w:val="22"/>
              </w:rPr>
            </w:pPr>
            <w:r w:rsidRPr="00675D4B">
              <w:rPr>
                <w:sz w:val="22"/>
              </w:rPr>
              <w:t>Lump Sum</w:t>
            </w:r>
          </w:p>
        </w:tc>
      </w:tr>
      <w:tr w:rsidR="00F11758" w14:paraId="2F33E5D7" w14:textId="77777777" w:rsidTr="001136D3">
        <w:trPr>
          <w:cantSplit/>
        </w:trPr>
        <w:tc>
          <w:tcPr>
            <w:tcW w:w="1440" w:type="dxa"/>
          </w:tcPr>
          <w:p w14:paraId="20409962" w14:textId="77777777" w:rsidR="00F11758" w:rsidRPr="004C6BF5" w:rsidRDefault="00F11758" w:rsidP="00F11758">
            <w:pPr>
              <w:spacing w:after="0"/>
              <w:jc w:val="center"/>
              <w:rPr>
                <w:b/>
                <w:szCs w:val="24"/>
              </w:rPr>
            </w:pPr>
          </w:p>
        </w:tc>
        <w:tc>
          <w:tcPr>
            <w:tcW w:w="5842" w:type="dxa"/>
          </w:tcPr>
          <w:p w14:paraId="1D3E3B47" w14:textId="77777777" w:rsidR="00F11758" w:rsidRPr="004242BF" w:rsidRDefault="00F11758" w:rsidP="00F11758">
            <w:pPr>
              <w:spacing w:after="0"/>
              <w:jc w:val="left"/>
              <w:rPr>
                <w:sz w:val="22"/>
                <w:szCs w:val="22"/>
              </w:rPr>
            </w:pPr>
            <w:r>
              <w:rPr>
                <w:sz w:val="22"/>
                <w:szCs w:val="22"/>
              </w:rPr>
              <w:t>8</w:t>
            </w:r>
            <w:r w:rsidRPr="004242BF">
              <w:rPr>
                <w:sz w:val="22"/>
                <w:szCs w:val="22"/>
              </w:rPr>
              <w:t>.1 NSW Trader Portal</w:t>
            </w:r>
          </w:p>
          <w:p w14:paraId="7774E0F1" w14:textId="77777777" w:rsidR="00F11758" w:rsidRPr="004242BF" w:rsidRDefault="00F11758" w:rsidP="00F11758">
            <w:pPr>
              <w:spacing w:after="0"/>
              <w:jc w:val="left"/>
              <w:rPr>
                <w:bCs/>
                <w:sz w:val="22"/>
                <w:szCs w:val="22"/>
              </w:rPr>
            </w:pPr>
            <w:r>
              <w:rPr>
                <w:bCs/>
                <w:sz w:val="22"/>
                <w:szCs w:val="22"/>
              </w:rPr>
              <w:t>8</w:t>
            </w:r>
            <w:r w:rsidRPr="004242BF">
              <w:rPr>
                <w:bCs/>
                <w:sz w:val="22"/>
                <w:szCs w:val="22"/>
              </w:rPr>
              <w:t>.2 NSW Help Desk</w:t>
            </w:r>
          </w:p>
          <w:p w14:paraId="59E668B2" w14:textId="77777777" w:rsidR="00F11758" w:rsidRPr="004242BF" w:rsidRDefault="00F11758" w:rsidP="00F11758">
            <w:pPr>
              <w:spacing w:after="0"/>
              <w:jc w:val="left"/>
              <w:rPr>
                <w:bCs/>
                <w:sz w:val="22"/>
                <w:szCs w:val="22"/>
              </w:rPr>
            </w:pPr>
            <w:r>
              <w:rPr>
                <w:bCs/>
                <w:sz w:val="22"/>
                <w:szCs w:val="22"/>
              </w:rPr>
              <w:t>8</w:t>
            </w:r>
            <w:r w:rsidRPr="004242BF">
              <w:rPr>
                <w:bCs/>
                <w:sz w:val="22"/>
                <w:szCs w:val="22"/>
              </w:rPr>
              <w:t>.3 Registration of Traders and Competent Authority</w:t>
            </w:r>
          </w:p>
          <w:p w14:paraId="774B6B46" w14:textId="77777777" w:rsidR="00F11758" w:rsidRPr="004242BF" w:rsidRDefault="00F11758" w:rsidP="00F11758">
            <w:pPr>
              <w:spacing w:after="0"/>
              <w:jc w:val="left"/>
              <w:rPr>
                <w:bCs/>
                <w:sz w:val="22"/>
                <w:szCs w:val="22"/>
              </w:rPr>
            </w:pPr>
            <w:r>
              <w:rPr>
                <w:bCs/>
                <w:sz w:val="22"/>
                <w:szCs w:val="22"/>
              </w:rPr>
              <w:t>8</w:t>
            </w:r>
            <w:r w:rsidRPr="004242BF">
              <w:rPr>
                <w:bCs/>
                <w:sz w:val="22"/>
                <w:szCs w:val="22"/>
              </w:rPr>
              <w:t>.4 LPCO Application</w:t>
            </w:r>
          </w:p>
          <w:p w14:paraId="235F4AE0" w14:textId="77777777" w:rsidR="00F11758" w:rsidRPr="004242BF" w:rsidRDefault="00F11758" w:rsidP="00F11758">
            <w:pPr>
              <w:spacing w:after="0"/>
              <w:jc w:val="left"/>
              <w:rPr>
                <w:bCs/>
                <w:sz w:val="22"/>
                <w:szCs w:val="22"/>
              </w:rPr>
            </w:pPr>
            <w:r>
              <w:rPr>
                <w:bCs/>
                <w:sz w:val="22"/>
                <w:szCs w:val="22"/>
              </w:rPr>
              <w:t>8</w:t>
            </w:r>
            <w:r w:rsidRPr="004242BF">
              <w:rPr>
                <w:bCs/>
                <w:sz w:val="22"/>
                <w:szCs w:val="22"/>
              </w:rPr>
              <w:t>.5 LPCO Management</w:t>
            </w:r>
          </w:p>
          <w:p w14:paraId="19C84353" w14:textId="77777777" w:rsidR="00F11758" w:rsidRPr="004242BF" w:rsidRDefault="00F11758" w:rsidP="00F11758">
            <w:pPr>
              <w:spacing w:after="0"/>
              <w:jc w:val="left"/>
              <w:rPr>
                <w:bCs/>
                <w:sz w:val="22"/>
                <w:szCs w:val="22"/>
              </w:rPr>
            </w:pPr>
            <w:r>
              <w:rPr>
                <w:bCs/>
                <w:sz w:val="22"/>
                <w:szCs w:val="22"/>
              </w:rPr>
              <w:t>8</w:t>
            </w:r>
            <w:r w:rsidRPr="004242BF">
              <w:rPr>
                <w:bCs/>
                <w:sz w:val="22"/>
                <w:szCs w:val="22"/>
              </w:rPr>
              <w:t>.6 Payment Management</w:t>
            </w:r>
          </w:p>
          <w:p w14:paraId="32CB99B9" w14:textId="77777777" w:rsidR="00F11758" w:rsidRPr="004242BF" w:rsidRDefault="00F11758" w:rsidP="00F11758">
            <w:pPr>
              <w:spacing w:after="0"/>
              <w:jc w:val="left"/>
              <w:rPr>
                <w:bCs/>
                <w:sz w:val="22"/>
                <w:szCs w:val="22"/>
              </w:rPr>
            </w:pPr>
            <w:r>
              <w:rPr>
                <w:bCs/>
                <w:sz w:val="22"/>
                <w:szCs w:val="22"/>
              </w:rPr>
              <w:t>8</w:t>
            </w:r>
            <w:r w:rsidRPr="004242BF">
              <w:rPr>
                <w:bCs/>
                <w:sz w:val="22"/>
                <w:szCs w:val="22"/>
              </w:rPr>
              <w:t>.7 Payment Processing</w:t>
            </w:r>
          </w:p>
          <w:p w14:paraId="47D52E7D" w14:textId="77777777" w:rsidR="00F11758" w:rsidRPr="004242BF" w:rsidRDefault="00F11758" w:rsidP="00F11758">
            <w:pPr>
              <w:spacing w:after="0"/>
              <w:jc w:val="left"/>
              <w:rPr>
                <w:bCs/>
                <w:sz w:val="22"/>
                <w:szCs w:val="22"/>
              </w:rPr>
            </w:pPr>
            <w:r>
              <w:rPr>
                <w:bCs/>
                <w:sz w:val="22"/>
                <w:szCs w:val="22"/>
              </w:rPr>
              <w:t>8</w:t>
            </w:r>
            <w:r w:rsidRPr="004242BF">
              <w:rPr>
                <w:bCs/>
                <w:sz w:val="22"/>
                <w:szCs w:val="22"/>
              </w:rPr>
              <w:t>.8 Notification Management</w:t>
            </w:r>
          </w:p>
          <w:p w14:paraId="58655AE8" w14:textId="77777777" w:rsidR="00F11758" w:rsidRPr="004242BF" w:rsidRDefault="00F11758" w:rsidP="00F11758">
            <w:pPr>
              <w:spacing w:after="0"/>
              <w:jc w:val="left"/>
              <w:rPr>
                <w:bCs/>
                <w:sz w:val="22"/>
                <w:szCs w:val="22"/>
              </w:rPr>
            </w:pPr>
            <w:r>
              <w:rPr>
                <w:bCs/>
                <w:sz w:val="22"/>
                <w:szCs w:val="22"/>
              </w:rPr>
              <w:t>8</w:t>
            </w:r>
            <w:r w:rsidRPr="004242BF">
              <w:rPr>
                <w:bCs/>
                <w:sz w:val="22"/>
                <w:szCs w:val="22"/>
              </w:rPr>
              <w:t>.9 LPCO Designer</w:t>
            </w:r>
          </w:p>
          <w:p w14:paraId="435D6CE5"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.10 Inspection Control Results </w:t>
            </w:r>
          </w:p>
          <w:p w14:paraId="72275545"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.11 Document Management </w:t>
            </w:r>
          </w:p>
          <w:p w14:paraId="69FF2E3A"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.12 LPCO Workflow Management</w:t>
            </w:r>
          </w:p>
          <w:p w14:paraId="7D9D5224"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.13 NSW Risk Management Module</w:t>
            </w:r>
          </w:p>
          <w:p w14:paraId="17651E93"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.14 Referents Tables</w:t>
            </w:r>
          </w:p>
          <w:p w14:paraId="1D52ABAC" w14:textId="77777777" w:rsidR="00F11758" w:rsidRPr="004242BF" w:rsidRDefault="00F11758" w:rsidP="00F11758">
            <w:pPr>
              <w:spacing w:after="0"/>
              <w:jc w:val="left"/>
              <w:rPr>
                <w:bCs/>
                <w:sz w:val="22"/>
                <w:szCs w:val="22"/>
              </w:rPr>
            </w:pPr>
            <w:r>
              <w:rPr>
                <w:bCs/>
                <w:sz w:val="22"/>
                <w:szCs w:val="22"/>
              </w:rPr>
              <w:t>8</w:t>
            </w:r>
            <w:r w:rsidRPr="004242BF">
              <w:rPr>
                <w:bCs/>
                <w:sz w:val="22"/>
                <w:szCs w:val="22"/>
              </w:rPr>
              <w:t>.15 Reporting Service</w:t>
            </w:r>
          </w:p>
          <w:p w14:paraId="017E41D5" w14:textId="079096CA" w:rsidR="00F11758" w:rsidRPr="004C6BF5" w:rsidRDefault="00F11758" w:rsidP="00F11758">
            <w:pPr>
              <w:spacing w:after="0"/>
              <w:rPr>
                <w:b/>
                <w:szCs w:val="24"/>
              </w:rPr>
            </w:pPr>
            <w:r>
              <w:rPr>
                <w:bCs/>
                <w:sz w:val="22"/>
                <w:szCs w:val="22"/>
              </w:rPr>
              <w:t>8</w:t>
            </w:r>
            <w:r w:rsidRPr="004242BF">
              <w:rPr>
                <w:bCs/>
                <w:sz w:val="22"/>
                <w:szCs w:val="22"/>
              </w:rPr>
              <w:t>.16 Data Converter</w:t>
            </w:r>
          </w:p>
        </w:tc>
        <w:tc>
          <w:tcPr>
            <w:tcW w:w="2070" w:type="dxa"/>
          </w:tcPr>
          <w:p w14:paraId="63B02826" w14:textId="77777777" w:rsidR="00F11758" w:rsidRDefault="00F11758" w:rsidP="00F11758">
            <w:pPr>
              <w:spacing w:after="0"/>
              <w:jc w:val="center"/>
              <w:rPr>
                <w:sz w:val="22"/>
              </w:rPr>
            </w:pPr>
          </w:p>
        </w:tc>
        <w:tc>
          <w:tcPr>
            <w:tcW w:w="2528" w:type="dxa"/>
          </w:tcPr>
          <w:p w14:paraId="7801143E" w14:textId="77777777" w:rsidR="00F11758" w:rsidRDefault="00F11758" w:rsidP="00F11758">
            <w:pPr>
              <w:spacing w:after="0"/>
              <w:jc w:val="center"/>
              <w:rPr>
                <w:sz w:val="22"/>
              </w:rPr>
            </w:pPr>
          </w:p>
        </w:tc>
        <w:tc>
          <w:tcPr>
            <w:tcW w:w="1440" w:type="dxa"/>
          </w:tcPr>
          <w:p w14:paraId="5C727D0B" w14:textId="77777777" w:rsidR="00F11758" w:rsidRPr="00675D4B" w:rsidRDefault="00F11758" w:rsidP="00F11758">
            <w:pPr>
              <w:spacing w:after="0"/>
              <w:jc w:val="center"/>
              <w:rPr>
                <w:sz w:val="22"/>
              </w:rPr>
            </w:pPr>
          </w:p>
        </w:tc>
      </w:tr>
      <w:tr w:rsidR="00513AB5" w14:paraId="3C4EEF2B" w14:textId="77777777" w:rsidTr="001136D3">
        <w:trPr>
          <w:cantSplit/>
        </w:trPr>
        <w:tc>
          <w:tcPr>
            <w:tcW w:w="1440" w:type="dxa"/>
          </w:tcPr>
          <w:p w14:paraId="75053096" w14:textId="241C42EC" w:rsidR="00513AB5" w:rsidRPr="004C6BF5" w:rsidRDefault="00F11758" w:rsidP="001136D3">
            <w:pPr>
              <w:spacing w:after="0"/>
              <w:jc w:val="center"/>
              <w:rPr>
                <w:b/>
                <w:szCs w:val="24"/>
              </w:rPr>
            </w:pPr>
            <w:r>
              <w:rPr>
                <w:b/>
                <w:szCs w:val="24"/>
              </w:rPr>
              <w:t>9</w:t>
            </w:r>
            <w:r w:rsidR="00513AB5" w:rsidRPr="004C6BF5">
              <w:rPr>
                <w:b/>
                <w:szCs w:val="24"/>
              </w:rPr>
              <w:t>.</w:t>
            </w:r>
          </w:p>
        </w:tc>
        <w:tc>
          <w:tcPr>
            <w:tcW w:w="5842" w:type="dxa"/>
          </w:tcPr>
          <w:p w14:paraId="6325CF45" w14:textId="77777777" w:rsidR="00513AB5" w:rsidRPr="004C6BF5" w:rsidRDefault="00513AB5" w:rsidP="001136D3">
            <w:pPr>
              <w:spacing w:after="0"/>
              <w:rPr>
                <w:b/>
                <w:szCs w:val="24"/>
              </w:rPr>
            </w:pPr>
            <w:r w:rsidRPr="004C6BF5">
              <w:rPr>
                <w:b/>
                <w:szCs w:val="24"/>
              </w:rPr>
              <w:t>Specification Phase 2</w:t>
            </w:r>
          </w:p>
        </w:tc>
        <w:tc>
          <w:tcPr>
            <w:tcW w:w="2070" w:type="dxa"/>
          </w:tcPr>
          <w:p w14:paraId="3C8D6FBF" w14:textId="77777777" w:rsidR="00513AB5" w:rsidRDefault="00513AB5" w:rsidP="001136D3">
            <w:pPr>
              <w:spacing w:after="0"/>
              <w:jc w:val="center"/>
              <w:rPr>
                <w:sz w:val="22"/>
              </w:rPr>
            </w:pPr>
          </w:p>
        </w:tc>
        <w:tc>
          <w:tcPr>
            <w:tcW w:w="2528" w:type="dxa"/>
          </w:tcPr>
          <w:p w14:paraId="1904B886" w14:textId="77777777" w:rsidR="00513AB5" w:rsidRDefault="00513AB5" w:rsidP="001136D3">
            <w:pPr>
              <w:spacing w:after="0"/>
              <w:jc w:val="center"/>
              <w:rPr>
                <w:sz w:val="22"/>
              </w:rPr>
            </w:pPr>
          </w:p>
        </w:tc>
        <w:tc>
          <w:tcPr>
            <w:tcW w:w="1440" w:type="dxa"/>
          </w:tcPr>
          <w:p w14:paraId="6527A0C1" w14:textId="77777777" w:rsidR="00513AB5" w:rsidRDefault="00513AB5" w:rsidP="001136D3">
            <w:pPr>
              <w:spacing w:after="0"/>
              <w:jc w:val="center"/>
              <w:rPr>
                <w:sz w:val="22"/>
              </w:rPr>
            </w:pPr>
            <w:r w:rsidRPr="00675D4B">
              <w:rPr>
                <w:sz w:val="22"/>
              </w:rPr>
              <w:t>Lump Sum</w:t>
            </w:r>
          </w:p>
        </w:tc>
      </w:tr>
      <w:tr w:rsidR="00F11758" w14:paraId="6D04F19B" w14:textId="77777777" w:rsidTr="001136D3">
        <w:trPr>
          <w:cantSplit/>
        </w:trPr>
        <w:tc>
          <w:tcPr>
            <w:tcW w:w="1440" w:type="dxa"/>
          </w:tcPr>
          <w:p w14:paraId="3B3A2368" w14:textId="77777777" w:rsidR="00F11758" w:rsidRPr="004C6BF5" w:rsidRDefault="00F11758" w:rsidP="00F11758">
            <w:pPr>
              <w:spacing w:after="0"/>
              <w:jc w:val="center"/>
              <w:rPr>
                <w:b/>
                <w:szCs w:val="24"/>
              </w:rPr>
            </w:pPr>
          </w:p>
        </w:tc>
        <w:tc>
          <w:tcPr>
            <w:tcW w:w="5842" w:type="dxa"/>
          </w:tcPr>
          <w:p w14:paraId="7CBF9CC9" w14:textId="77777777" w:rsidR="00F11758" w:rsidRPr="004242BF" w:rsidRDefault="00F11758" w:rsidP="00F11758">
            <w:pPr>
              <w:spacing w:after="0"/>
              <w:jc w:val="left"/>
              <w:rPr>
                <w:sz w:val="22"/>
                <w:szCs w:val="22"/>
              </w:rPr>
            </w:pPr>
            <w:r>
              <w:rPr>
                <w:sz w:val="22"/>
                <w:szCs w:val="22"/>
              </w:rPr>
              <w:t>9</w:t>
            </w:r>
            <w:r w:rsidRPr="004242BF">
              <w:rPr>
                <w:sz w:val="22"/>
                <w:szCs w:val="22"/>
              </w:rPr>
              <w:t>.1 NSW Trader Portal</w:t>
            </w:r>
          </w:p>
          <w:p w14:paraId="5DEED316" w14:textId="77777777" w:rsidR="00F11758" w:rsidRPr="004242BF" w:rsidRDefault="00F11758" w:rsidP="00F11758">
            <w:pPr>
              <w:spacing w:after="0"/>
              <w:jc w:val="left"/>
              <w:rPr>
                <w:bCs/>
                <w:sz w:val="22"/>
                <w:szCs w:val="22"/>
              </w:rPr>
            </w:pPr>
            <w:r>
              <w:rPr>
                <w:bCs/>
                <w:sz w:val="22"/>
                <w:szCs w:val="22"/>
              </w:rPr>
              <w:t>9</w:t>
            </w:r>
            <w:r w:rsidRPr="004242BF">
              <w:rPr>
                <w:bCs/>
                <w:sz w:val="22"/>
                <w:szCs w:val="22"/>
              </w:rPr>
              <w:t>.2 NSW Help Desk</w:t>
            </w:r>
          </w:p>
          <w:p w14:paraId="2E24EDCD" w14:textId="77777777" w:rsidR="00F11758" w:rsidRPr="004242BF" w:rsidRDefault="00F11758" w:rsidP="00F11758">
            <w:pPr>
              <w:spacing w:after="0"/>
              <w:jc w:val="left"/>
              <w:rPr>
                <w:bCs/>
                <w:sz w:val="22"/>
                <w:szCs w:val="22"/>
              </w:rPr>
            </w:pPr>
            <w:r>
              <w:rPr>
                <w:bCs/>
                <w:sz w:val="22"/>
                <w:szCs w:val="22"/>
              </w:rPr>
              <w:t>9</w:t>
            </w:r>
            <w:r w:rsidRPr="004242BF">
              <w:rPr>
                <w:bCs/>
                <w:sz w:val="22"/>
                <w:szCs w:val="22"/>
              </w:rPr>
              <w:t>.3 Registration of Traders and Competent Authority</w:t>
            </w:r>
          </w:p>
          <w:p w14:paraId="59C3A025" w14:textId="77777777" w:rsidR="00F11758" w:rsidRPr="004242BF" w:rsidRDefault="00F11758" w:rsidP="00F11758">
            <w:pPr>
              <w:spacing w:after="0"/>
              <w:jc w:val="left"/>
              <w:rPr>
                <w:bCs/>
                <w:sz w:val="22"/>
                <w:szCs w:val="22"/>
              </w:rPr>
            </w:pPr>
            <w:r>
              <w:rPr>
                <w:bCs/>
                <w:sz w:val="22"/>
                <w:szCs w:val="22"/>
              </w:rPr>
              <w:t>9</w:t>
            </w:r>
            <w:r w:rsidRPr="004242BF">
              <w:rPr>
                <w:bCs/>
                <w:sz w:val="22"/>
                <w:szCs w:val="22"/>
              </w:rPr>
              <w:t>.4 LPCO Application</w:t>
            </w:r>
          </w:p>
          <w:p w14:paraId="40E3A101" w14:textId="77777777" w:rsidR="00F11758" w:rsidRPr="004242BF" w:rsidRDefault="00F11758" w:rsidP="00F11758">
            <w:pPr>
              <w:spacing w:after="0"/>
              <w:jc w:val="left"/>
              <w:rPr>
                <w:bCs/>
                <w:sz w:val="22"/>
                <w:szCs w:val="22"/>
              </w:rPr>
            </w:pPr>
            <w:r>
              <w:rPr>
                <w:bCs/>
                <w:sz w:val="22"/>
                <w:szCs w:val="22"/>
              </w:rPr>
              <w:t>9</w:t>
            </w:r>
            <w:r w:rsidRPr="004242BF">
              <w:rPr>
                <w:bCs/>
                <w:sz w:val="22"/>
                <w:szCs w:val="22"/>
              </w:rPr>
              <w:t>.5 LPCO Management</w:t>
            </w:r>
          </w:p>
          <w:p w14:paraId="77A47CF9" w14:textId="77777777" w:rsidR="00F11758" w:rsidRPr="004242BF" w:rsidRDefault="00F11758" w:rsidP="00F11758">
            <w:pPr>
              <w:spacing w:after="0"/>
              <w:jc w:val="left"/>
              <w:rPr>
                <w:bCs/>
                <w:sz w:val="22"/>
                <w:szCs w:val="22"/>
              </w:rPr>
            </w:pPr>
            <w:r>
              <w:rPr>
                <w:bCs/>
                <w:sz w:val="22"/>
                <w:szCs w:val="22"/>
              </w:rPr>
              <w:t>9</w:t>
            </w:r>
            <w:r w:rsidRPr="004242BF">
              <w:rPr>
                <w:bCs/>
                <w:sz w:val="22"/>
                <w:szCs w:val="22"/>
              </w:rPr>
              <w:t>.6 Payment Management</w:t>
            </w:r>
          </w:p>
          <w:p w14:paraId="7C5B65F2" w14:textId="77777777" w:rsidR="00F11758" w:rsidRPr="004242BF" w:rsidRDefault="00F11758" w:rsidP="00F11758">
            <w:pPr>
              <w:spacing w:after="0"/>
              <w:jc w:val="left"/>
              <w:rPr>
                <w:bCs/>
                <w:sz w:val="22"/>
                <w:szCs w:val="22"/>
              </w:rPr>
            </w:pPr>
            <w:r>
              <w:rPr>
                <w:bCs/>
                <w:sz w:val="22"/>
                <w:szCs w:val="22"/>
              </w:rPr>
              <w:t>9</w:t>
            </w:r>
            <w:r w:rsidRPr="004242BF">
              <w:rPr>
                <w:bCs/>
                <w:sz w:val="22"/>
                <w:szCs w:val="22"/>
              </w:rPr>
              <w:t>.7 Payment Processing</w:t>
            </w:r>
          </w:p>
          <w:p w14:paraId="5963011B" w14:textId="77777777" w:rsidR="00F11758" w:rsidRPr="004242BF" w:rsidRDefault="00F11758" w:rsidP="00F11758">
            <w:pPr>
              <w:spacing w:after="0"/>
              <w:jc w:val="left"/>
              <w:rPr>
                <w:bCs/>
                <w:sz w:val="22"/>
                <w:szCs w:val="22"/>
              </w:rPr>
            </w:pPr>
            <w:r>
              <w:rPr>
                <w:bCs/>
                <w:sz w:val="22"/>
                <w:szCs w:val="22"/>
              </w:rPr>
              <w:t>9</w:t>
            </w:r>
            <w:r w:rsidRPr="004242BF">
              <w:rPr>
                <w:bCs/>
                <w:sz w:val="22"/>
                <w:szCs w:val="22"/>
              </w:rPr>
              <w:t>.8 Notification Management</w:t>
            </w:r>
          </w:p>
          <w:p w14:paraId="462E3CF4" w14:textId="77777777" w:rsidR="00F11758" w:rsidRPr="004242BF" w:rsidRDefault="00F11758" w:rsidP="00F11758">
            <w:pPr>
              <w:spacing w:after="0"/>
              <w:jc w:val="left"/>
              <w:rPr>
                <w:bCs/>
                <w:sz w:val="22"/>
                <w:szCs w:val="22"/>
              </w:rPr>
            </w:pPr>
            <w:r>
              <w:rPr>
                <w:bCs/>
                <w:sz w:val="22"/>
                <w:szCs w:val="22"/>
              </w:rPr>
              <w:t>9</w:t>
            </w:r>
            <w:r w:rsidRPr="004242BF">
              <w:rPr>
                <w:bCs/>
                <w:sz w:val="22"/>
                <w:szCs w:val="22"/>
              </w:rPr>
              <w:t>.9 LPCO Designer</w:t>
            </w:r>
          </w:p>
          <w:p w14:paraId="76E535CD"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.10 Inspection Control Results </w:t>
            </w:r>
          </w:p>
          <w:p w14:paraId="524DFF85"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.11 Document Management </w:t>
            </w:r>
          </w:p>
          <w:p w14:paraId="15506983"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.12 LPCO Workflow Management</w:t>
            </w:r>
          </w:p>
          <w:p w14:paraId="48EC720C"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.13 NSW Risk Management Module</w:t>
            </w:r>
          </w:p>
          <w:p w14:paraId="31E01DB0"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.14 Referents Tables</w:t>
            </w:r>
          </w:p>
          <w:p w14:paraId="7DDFAEEB" w14:textId="77777777" w:rsidR="00F11758" w:rsidRPr="004242BF" w:rsidRDefault="00F11758" w:rsidP="00F11758">
            <w:pPr>
              <w:spacing w:after="0"/>
              <w:jc w:val="left"/>
              <w:rPr>
                <w:bCs/>
                <w:sz w:val="22"/>
                <w:szCs w:val="22"/>
              </w:rPr>
            </w:pPr>
            <w:r>
              <w:rPr>
                <w:bCs/>
                <w:sz w:val="22"/>
                <w:szCs w:val="22"/>
              </w:rPr>
              <w:t>9</w:t>
            </w:r>
            <w:r w:rsidRPr="004242BF">
              <w:rPr>
                <w:bCs/>
                <w:sz w:val="22"/>
                <w:szCs w:val="22"/>
              </w:rPr>
              <w:t>.15 Reporting Service</w:t>
            </w:r>
          </w:p>
          <w:p w14:paraId="5D8892E6" w14:textId="0946603D" w:rsidR="00F11758" w:rsidRPr="004C6BF5" w:rsidRDefault="00F11758" w:rsidP="00F11758">
            <w:pPr>
              <w:spacing w:after="0"/>
              <w:rPr>
                <w:b/>
                <w:szCs w:val="24"/>
              </w:rPr>
            </w:pPr>
            <w:r>
              <w:rPr>
                <w:bCs/>
                <w:sz w:val="22"/>
                <w:szCs w:val="22"/>
              </w:rPr>
              <w:t>9</w:t>
            </w:r>
            <w:r w:rsidRPr="004242BF">
              <w:rPr>
                <w:bCs/>
                <w:sz w:val="22"/>
                <w:szCs w:val="22"/>
              </w:rPr>
              <w:t>.16 Data Converter</w:t>
            </w:r>
          </w:p>
        </w:tc>
        <w:tc>
          <w:tcPr>
            <w:tcW w:w="2070" w:type="dxa"/>
          </w:tcPr>
          <w:p w14:paraId="5B786DDD" w14:textId="77777777" w:rsidR="00F11758" w:rsidRDefault="00F11758" w:rsidP="00F11758">
            <w:pPr>
              <w:spacing w:after="0"/>
              <w:jc w:val="center"/>
              <w:rPr>
                <w:sz w:val="22"/>
              </w:rPr>
            </w:pPr>
          </w:p>
        </w:tc>
        <w:tc>
          <w:tcPr>
            <w:tcW w:w="2528" w:type="dxa"/>
          </w:tcPr>
          <w:p w14:paraId="361B9373" w14:textId="77777777" w:rsidR="00F11758" w:rsidRDefault="00F11758" w:rsidP="00F11758">
            <w:pPr>
              <w:spacing w:after="0"/>
              <w:jc w:val="center"/>
              <w:rPr>
                <w:sz w:val="22"/>
              </w:rPr>
            </w:pPr>
          </w:p>
        </w:tc>
        <w:tc>
          <w:tcPr>
            <w:tcW w:w="1440" w:type="dxa"/>
          </w:tcPr>
          <w:p w14:paraId="5AF46649" w14:textId="77777777" w:rsidR="00F11758" w:rsidRPr="00675D4B" w:rsidRDefault="00F11758" w:rsidP="00F11758">
            <w:pPr>
              <w:spacing w:after="0"/>
              <w:jc w:val="center"/>
              <w:rPr>
                <w:sz w:val="22"/>
              </w:rPr>
            </w:pPr>
          </w:p>
        </w:tc>
      </w:tr>
      <w:tr w:rsidR="00513AB5" w14:paraId="092104DB" w14:textId="77777777" w:rsidTr="001136D3">
        <w:trPr>
          <w:cantSplit/>
        </w:trPr>
        <w:tc>
          <w:tcPr>
            <w:tcW w:w="1440" w:type="dxa"/>
          </w:tcPr>
          <w:p w14:paraId="71B5C782" w14:textId="496A61BB" w:rsidR="00513AB5" w:rsidRPr="004C6BF5" w:rsidRDefault="00F11758" w:rsidP="001136D3">
            <w:pPr>
              <w:spacing w:after="0"/>
              <w:jc w:val="center"/>
              <w:rPr>
                <w:b/>
                <w:szCs w:val="24"/>
              </w:rPr>
            </w:pPr>
            <w:r>
              <w:rPr>
                <w:b/>
                <w:szCs w:val="22"/>
              </w:rPr>
              <w:t>10</w:t>
            </w:r>
            <w:r w:rsidR="00513AB5" w:rsidRPr="004C6BF5">
              <w:rPr>
                <w:b/>
                <w:szCs w:val="22"/>
              </w:rPr>
              <w:t>.</w:t>
            </w:r>
          </w:p>
        </w:tc>
        <w:tc>
          <w:tcPr>
            <w:tcW w:w="5842" w:type="dxa"/>
          </w:tcPr>
          <w:p w14:paraId="65B3BE56" w14:textId="77777777" w:rsidR="00513AB5" w:rsidRPr="004C6BF5" w:rsidRDefault="00513AB5" w:rsidP="001136D3">
            <w:pPr>
              <w:spacing w:after="0"/>
              <w:rPr>
                <w:b/>
                <w:szCs w:val="24"/>
              </w:rPr>
            </w:pPr>
            <w:r w:rsidRPr="004C6BF5">
              <w:rPr>
                <w:b/>
                <w:szCs w:val="22"/>
              </w:rPr>
              <w:t>Capacity Building</w:t>
            </w:r>
          </w:p>
        </w:tc>
        <w:tc>
          <w:tcPr>
            <w:tcW w:w="2070" w:type="dxa"/>
          </w:tcPr>
          <w:p w14:paraId="3B99C9AD" w14:textId="77777777" w:rsidR="00513AB5" w:rsidRDefault="00513AB5" w:rsidP="001136D3">
            <w:pPr>
              <w:spacing w:after="0"/>
              <w:jc w:val="center"/>
              <w:rPr>
                <w:sz w:val="22"/>
              </w:rPr>
            </w:pPr>
          </w:p>
        </w:tc>
        <w:tc>
          <w:tcPr>
            <w:tcW w:w="2528" w:type="dxa"/>
          </w:tcPr>
          <w:p w14:paraId="15DAC2EC" w14:textId="77777777" w:rsidR="00513AB5" w:rsidRDefault="00513AB5" w:rsidP="001136D3">
            <w:pPr>
              <w:spacing w:after="0"/>
              <w:jc w:val="center"/>
              <w:rPr>
                <w:sz w:val="22"/>
              </w:rPr>
            </w:pPr>
          </w:p>
        </w:tc>
        <w:tc>
          <w:tcPr>
            <w:tcW w:w="1440" w:type="dxa"/>
          </w:tcPr>
          <w:p w14:paraId="04749FBF" w14:textId="77777777" w:rsidR="00513AB5" w:rsidRDefault="00513AB5" w:rsidP="001136D3">
            <w:pPr>
              <w:spacing w:after="0"/>
              <w:jc w:val="center"/>
              <w:rPr>
                <w:sz w:val="22"/>
              </w:rPr>
            </w:pPr>
            <w:r w:rsidRPr="00675D4B">
              <w:rPr>
                <w:sz w:val="22"/>
              </w:rPr>
              <w:t>Lump Sum</w:t>
            </w:r>
          </w:p>
        </w:tc>
      </w:tr>
      <w:tr w:rsidR="00513AB5" w14:paraId="13FFD5FE" w14:textId="77777777" w:rsidTr="001136D3">
        <w:trPr>
          <w:cantSplit/>
        </w:trPr>
        <w:tc>
          <w:tcPr>
            <w:tcW w:w="1440" w:type="dxa"/>
          </w:tcPr>
          <w:p w14:paraId="52C40E50" w14:textId="77777777" w:rsidR="00513AB5" w:rsidRPr="004C6BF5" w:rsidRDefault="00513AB5" w:rsidP="00513AB5">
            <w:pPr>
              <w:spacing w:after="0"/>
              <w:jc w:val="center"/>
              <w:rPr>
                <w:b/>
                <w:szCs w:val="22"/>
              </w:rPr>
            </w:pPr>
          </w:p>
        </w:tc>
        <w:tc>
          <w:tcPr>
            <w:tcW w:w="5842" w:type="dxa"/>
          </w:tcPr>
          <w:p w14:paraId="3B55CA67" w14:textId="77777777" w:rsidR="00F11758" w:rsidRPr="004242BF" w:rsidRDefault="00F11758" w:rsidP="00F11758">
            <w:pPr>
              <w:spacing w:after="0"/>
              <w:jc w:val="left"/>
              <w:rPr>
                <w:sz w:val="22"/>
                <w:szCs w:val="22"/>
              </w:rPr>
            </w:pPr>
            <w:r>
              <w:rPr>
                <w:sz w:val="22"/>
                <w:szCs w:val="22"/>
              </w:rPr>
              <w:t>10</w:t>
            </w:r>
            <w:r w:rsidRPr="004242BF">
              <w:rPr>
                <w:sz w:val="22"/>
                <w:szCs w:val="22"/>
              </w:rPr>
              <w:t>.1 Training Needs Assessment</w:t>
            </w:r>
          </w:p>
          <w:p w14:paraId="516332E3" w14:textId="6542A0FD" w:rsidR="00513AB5" w:rsidRPr="004C6BF5" w:rsidRDefault="00F11758" w:rsidP="00F11758">
            <w:pPr>
              <w:spacing w:after="0"/>
              <w:rPr>
                <w:b/>
                <w:szCs w:val="22"/>
              </w:rPr>
            </w:pPr>
            <w:r>
              <w:rPr>
                <w:sz w:val="22"/>
                <w:szCs w:val="22"/>
              </w:rPr>
              <w:t>10</w:t>
            </w:r>
            <w:r w:rsidRPr="004242BF">
              <w:rPr>
                <w:sz w:val="22"/>
                <w:szCs w:val="22"/>
              </w:rPr>
              <w:t>.2 Trainings and Workshops</w:t>
            </w:r>
          </w:p>
        </w:tc>
        <w:tc>
          <w:tcPr>
            <w:tcW w:w="2070" w:type="dxa"/>
          </w:tcPr>
          <w:p w14:paraId="65A41A5C" w14:textId="77777777" w:rsidR="00513AB5" w:rsidRDefault="00513AB5" w:rsidP="00513AB5">
            <w:pPr>
              <w:spacing w:after="0"/>
              <w:jc w:val="center"/>
              <w:rPr>
                <w:sz w:val="22"/>
              </w:rPr>
            </w:pPr>
          </w:p>
        </w:tc>
        <w:tc>
          <w:tcPr>
            <w:tcW w:w="2528" w:type="dxa"/>
          </w:tcPr>
          <w:p w14:paraId="63942AD7" w14:textId="77777777" w:rsidR="00513AB5" w:rsidRDefault="00513AB5" w:rsidP="00513AB5">
            <w:pPr>
              <w:spacing w:after="0"/>
              <w:jc w:val="center"/>
              <w:rPr>
                <w:sz w:val="22"/>
              </w:rPr>
            </w:pPr>
          </w:p>
        </w:tc>
        <w:tc>
          <w:tcPr>
            <w:tcW w:w="1440" w:type="dxa"/>
          </w:tcPr>
          <w:p w14:paraId="463C57C4" w14:textId="77777777" w:rsidR="00513AB5" w:rsidRPr="00675D4B" w:rsidRDefault="00513AB5" w:rsidP="00513AB5">
            <w:pPr>
              <w:spacing w:after="0"/>
              <w:jc w:val="center"/>
              <w:rPr>
                <w:sz w:val="22"/>
              </w:rPr>
            </w:pPr>
          </w:p>
        </w:tc>
      </w:tr>
      <w:tr w:rsidR="00513AB5" w14:paraId="69EA3155" w14:textId="77777777" w:rsidTr="001136D3">
        <w:trPr>
          <w:cantSplit/>
        </w:trPr>
        <w:tc>
          <w:tcPr>
            <w:tcW w:w="1440" w:type="dxa"/>
          </w:tcPr>
          <w:p w14:paraId="58C1384E" w14:textId="6FE45254" w:rsidR="00513AB5" w:rsidRPr="004C6BF5" w:rsidRDefault="00F11758" w:rsidP="001136D3">
            <w:pPr>
              <w:spacing w:after="0"/>
              <w:jc w:val="center"/>
              <w:rPr>
                <w:b/>
                <w:szCs w:val="24"/>
              </w:rPr>
            </w:pPr>
            <w:r>
              <w:rPr>
                <w:b/>
                <w:szCs w:val="22"/>
              </w:rPr>
              <w:t>11</w:t>
            </w:r>
            <w:r w:rsidR="00513AB5" w:rsidRPr="004C6BF5">
              <w:rPr>
                <w:b/>
                <w:szCs w:val="22"/>
              </w:rPr>
              <w:t>.</w:t>
            </w:r>
          </w:p>
        </w:tc>
        <w:tc>
          <w:tcPr>
            <w:tcW w:w="5842" w:type="dxa"/>
          </w:tcPr>
          <w:p w14:paraId="0799E9AC" w14:textId="77777777" w:rsidR="00513AB5" w:rsidRPr="004C6BF5" w:rsidRDefault="00513AB5" w:rsidP="001136D3">
            <w:pPr>
              <w:spacing w:after="0"/>
              <w:rPr>
                <w:b/>
                <w:szCs w:val="24"/>
              </w:rPr>
            </w:pPr>
            <w:r w:rsidRPr="004C6BF5">
              <w:rPr>
                <w:b/>
                <w:szCs w:val="22"/>
              </w:rPr>
              <w:t>Test Pilot Stage SAT</w:t>
            </w:r>
          </w:p>
        </w:tc>
        <w:tc>
          <w:tcPr>
            <w:tcW w:w="2070" w:type="dxa"/>
          </w:tcPr>
          <w:p w14:paraId="36A61D16" w14:textId="77777777" w:rsidR="00513AB5" w:rsidRDefault="00513AB5" w:rsidP="001136D3">
            <w:pPr>
              <w:spacing w:after="0"/>
              <w:jc w:val="center"/>
              <w:rPr>
                <w:sz w:val="22"/>
              </w:rPr>
            </w:pPr>
          </w:p>
        </w:tc>
        <w:tc>
          <w:tcPr>
            <w:tcW w:w="2528" w:type="dxa"/>
          </w:tcPr>
          <w:p w14:paraId="1DB6B846" w14:textId="77777777" w:rsidR="00513AB5" w:rsidRDefault="00513AB5" w:rsidP="001136D3">
            <w:pPr>
              <w:spacing w:after="0"/>
              <w:jc w:val="center"/>
              <w:rPr>
                <w:sz w:val="22"/>
              </w:rPr>
            </w:pPr>
          </w:p>
        </w:tc>
        <w:tc>
          <w:tcPr>
            <w:tcW w:w="1440" w:type="dxa"/>
          </w:tcPr>
          <w:p w14:paraId="05C822C2" w14:textId="77777777" w:rsidR="00513AB5" w:rsidRDefault="00513AB5" w:rsidP="001136D3">
            <w:pPr>
              <w:spacing w:after="0"/>
              <w:jc w:val="center"/>
              <w:rPr>
                <w:sz w:val="22"/>
              </w:rPr>
            </w:pPr>
            <w:r w:rsidRPr="00675D4B">
              <w:rPr>
                <w:sz w:val="22"/>
              </w:rPr>
              <w:t>Lump Sum</w:t>
            </w:r>
          </w:p>
        </w:tc>
      </w:tr>
      <w:tr w:rsidR="00513AB5" w14:paraId="7567AB56" w14:textId="77777777" w:rsidTr="001136D3">
        <w:trPr>
          <w:cantSplit/>
        </w:trPr>
        <w:tc>
          <w:tcPr>
            <w:tcW w:w="1440" w:type="dxa"/>
          </w:tcPr>
          <w:p w14:paraId="5873874F" w14:textId="77777777" w:rsidR="00513AB5" w:rsidRPr="004C6BF5" w:rsidRDefault="00513AB5" w:rsidP="00513AB5">
            <w:pPr>
              <w:spacing w:after="0"/>
              <w:jc w:val="center"/>
              <w:rPr>
                <w:b/>
                <w:szCs w:val="22"/>
              </w:rPr>
            </w:pPr>
          </w:p>
        </w:tc>
        <w:tc>
          <w:tcPr>
            <w:tcW w:w="5842" w:type="dxa"/>
          </w:tcPr>
          <w:p w14:paraId="1632B7E3" w14:textId="77777777" w:rsidR="00F11758" w:rsidRPr="004242BF" w:rsidRDefault="00F11758" w:rsidP="00F11758">
            <w:pPr>
              <w:spacing w:after="0"/>
              <w:jc w:val="left"/>
              <w:rPr>
                <w:sz w:val="22"/>
                <w:szCs w:val="22"/>
              </w:rPr>
            </w:pPr>
            <w:r>
              <w:rPr>
                <w:sz w:val="22"/>
                <w:szCs w:val="22"/>
              </w:rPr>
              <w:t>11</w:t>
            </w:r>
            <w:r w:rsidRPr="004242BF">
              <w:rPr>
                <w:sz w:val="22"/>
                <w:szCs w:val="22"/>
              </w:rPr>
              <w:t xml:space="preserve">.1 Readiness of Environment </w:t>
            </w:r>
          </w:p>
          <w:p w14:paraId="32C54839" w14:textId="77777777" w:rsidR="00F11758" w:rsidRPr="004242BF" w:rsidRDefault="00F11758" w:rsidP="00F11758">
            <w:pPr>
              <w:spacing w:after="0"/>
              <w:jc w:val="left"/>
              <w:rPr>
                <w:sz w:val="22"/>
                <w:szCs w:val="22"/>
              </w:rPr>
            </w:pPr>
            <w:r>
              <w:rPr>
                <w:sz w:val="22"/>
                <w:szCs w:val="22"/>
              </w:rPr>
              <w:t>11</w:t>
            </w:r>
            <w:r w:rsidRPr="004242BF">
              <w:rPr>
                <w:sz w:val="22"/>
                <w:szCs w:val="22"/>
              </w:rPr>
              <w:t>.2 Acceptance Test Plan for SAT</w:t>
            </w:r>
          </w:p>
          <w:p w14:paraId="5570747E" w14:textId="77777777" w:rsidR="00F11758" w:rsidRPr="004242BF" w:rsidRDefault="00F11758" w:rsidP="00F11758">
            <w:pPr>
              <w:spacing w:after="0"/>
              <w:jc w:val="left"/>
              <w:rPr>
                <w:sz w:val="22"/>
                <w:szCs w:val="22"/>
              </w:rPr>
            </w:pPr>
            <w:r>
              <w:rPr>
                <w:sz w:val="22"/>
                <w:szCs w:val="22"/>
              </w:rPr>
              <w:t>11</w:t>
            </w:r>
            <w:r w:rsidRPr="004242BF">
              <w:rPr>
                <w:sz w:val="22"/>
                <w:szCs w:val="22"/>
              </w:rPr>
              <w:t>.3 SAT Automated Test Cases (Scripts) for Integration</w:t>
            </w:r>
          </w:p>
          <w:p w14:paraId="5631F20B" w14:textId="77777777" w:rsidR="00F11758" w:rsidRPr="004242BF" w:rsidRDefault="00F11758" w:rsidP="00F11758">
            <w:pPr>
              <w:spacing w:after="0"/>
              <w:jc w:val="left"/>
              <w:rPr>
                <w:sz w:val="22"/>
                <w:szCs w:val="22"/>
              </w:rPr>
            </w:pPr>
            <w:r>
              <w:rPr>
                <w:sz w:val="22"/>
                <w:szCs w:val="22"/>
              </w:rPr>
              <w:t>11</w:t>
            </w:r>
            <w:r w:rsidRPr="004242BF">
              <w:rPr>
                <w:sz w:val="22"/>
                <w:szCs w:val="22"/>
              </w:rPr>
              <w:t>.4 SAT Test Data</w:t>
            </w:r>
          </w:p>
          <w:p w14:paraId="52388AE8" w14:textId="551F7BE4" w:rsidR="00513AB5" w:rsidRPr="004C6BF5" w:rsidRDefault="00F11758" w:rsidP="00F11758">
            <w:pPr>
              <w:spacing w:after="0"/>
              <w:rPr>
                <w:b/>
                <w:szCs w:val="22"/>
              </w:rPr>
            </w:pPr>
            <w:r>
              <w:rPr>
                <w:sz w:val="22"/>
                <w:szCs w:val="22"/>
              </w:rPr>
              <w:t>11</w:t>
            </w:r>
            <w:r w:rsidRPr="004242BF">
              <w:rPr>
                <w:sz w:val="22"/>
                <w:szCs w:val="22"/>
              </w:rPr>
              <w:t>.5 SAT Report</w:t>
            </w:r>
          </w:p>
        </w:tc>
        <w:tc>
          <w:tcPr>
            <w:tcW w:w="2070" w:type="dxa"/>
          </w:tcPr>
          <w:p w14:paraId="5E35CE94" w14:textId="77777777" w:rsidR="00513AB5" w:rsidRDefault="00513AB5" w:rsidP="00513AB5">
            <w:pPr>
              <w:spacing w:after="0"/>
              <w:jc w:val="center"/>
              <w:rPr>
                <w:sz w:val="22"/>
              </w:rPr>
            </w:pPr>
          </w:p>
        </w:tc>
        <w:tc>
          <w:tcPr>
            <w:tcW w:w="2528" w:type="dxa"/>
          </w:tcPr>
          <w:p w14:paraId="5142FDF9" w14:textId="77777777" w:rsidR="00513AB5" w:rsidRDefault="00513AB5" w:rsidP="00513AB5">
            <w:pPr>
              <w:spacing w:after="0"/>
              <w:jc w:val="center"/>
              <w:rPr>
                <w:sz w:val="22"/>
              </w:rPr>
            </w:pPr>
          </w:p>
        </w:tc>
        <w:tc>
          <w:tcPr>
            <w:tcW w:w="1440" w:type="dxa"/>
          </w:tcPr>
          <w:p w14:paraId="12161D1D" w14:textId="77777777" w:rsidR="00513AB5" w:rsidRPr="00675D4B" w:rsidRDefault="00513AB5" w:rsidP="00513AB5">
            <w:pPr>
              <w:spacing w:after="0"/>
              <w:jc w:val="center"/>
              <w:rPr>
                <w:sz w:val="22"/>
              </w:rPr>
            </w:pPr>
          </w:p>
        </w:tc>
      </w:tr>
      <w:tr w:rsidR="00513AB5" w14:paraId="60B9B391" w14:textId="77777777" w:rsidTr="001136D3">
        <w:trPr>
          <w:cantSplit/>
        </w:trPr>
        <w:tc>
          <w:tcPr>
            <w:tcW w:w="1440" w:type="dxa"/>
          </w:tcPr>
          <w:p w14:paraId="2524FF39" w14:textId="6E90E42C" w:rsidR="00513AB5" w:rsidRPr="004C6BF5" w:rsidRDefault="00F11758" w:rsidP="001136D3">
            <w:pPr>
              <w:spacing w:after="0"/>
              <w:jc w:val="center"/>
              <w:rPr>
                <w:b/>
                <w:szCs w:val="24"/>
              </w:rPr>
            </w:pPr>
            <w:r>
              <w:rPr>
                <w:b/>
                <w:szCs w:val="22"/>
              </w:rPr>
              <w:t>12</w:t>
            </w:r>
            <w:r w:rsidR="00513AB5" w:rsidRPr="004C6BF5">
              <w:rPr>
                <w:b/>
                <w:szCs w:val="22"/>
              </w:rPr>
              <w:t>.</w:t>
            </w:r>
          </w:p>
        </w:tc>
        <w:tc>
          <w:tcPr>
            <w:tcW w:w="5842" w:type="dxa"/>
          </w:tcPr>
          <w:p w14:paraId="176006A6" w14:textId="2123E7DE" w:rsidR="00513AB5" w:rsidRPr="004C6BF5" w:rsidRDefault="00F11758" w:rsidP="001136D3">
            <w:pPr>
              <w:spacing w:after="0"/>
              <w:rPr>
                <w:b/>
                <w:szCs w:val="24"/>
              </w:rPr>
            </w:pPr>
            <w:r w:rsidRPr="004C6BF5">
              <w:rPr>
                <w:b/>
                <w:szCs w:val="22"/>
              </w:rPr>
              <w:t xml:space="preserve">Rollout </w:t>
            </w:r>
            <w:r>
              <w:rPr>
                <w:b/>
                <w:szCs w:val="22"/>
              </w:rPr>
              <w:t xml:space="preserve">Hardware </w:t>
            </w:r>
            <w:r w:rsidRPr="004C6BF5">
              <w:rPr>
                <w:b/>
                <w:szCs w:val="22"/>
              </w:rPr>
              <w:t>Environment Readiness</w:t>
            </w:r>
          </w:p>
        </w:tc>
        <w:tc>
          <w:tcPr>
            <w:tcW w:w="2070" w:type="dxa"/>
          </w:tcPr>
          <w:p w14:paraId="59EBD915" w14:textId="77777777" w:rsidR="00513AB5" w:rsidRDefault="00513AB5" w:rsidP="001136D3">
            <w:pPr>
              <w:spacing w:after="0"/>
              <w:jc w:val="center"/>
              <w:rPr>
                <w:sz w:val="22"/>
              </w:rPr>
            </w:pPr>
          </w:p>
        </w:tc>
        <w:tc>
          <w:tcPr>
            <w:tcW w:w="2528" w:type="dxa"/>
          </w:tcPr>
          <w:p w14:paraId="47F3DF1C" w14:textId="77777777" w:rsidR="00513AB5" w:rsidRDefault="00513AB5" w:rsidP="001136D3">
            <w:pPr>
              <w:spacing w:after="0"/>
              <w:jc w:val="center"/>
              <w:rPr>
                <w:sz w:val="22"/>
              </w:rPr>
            </w:pPr>
          </w:p>
        </w:tc>
        <w:tc>
          <w:tcPr>
            <w:tcW w:w="1440" w:type="dxa"/>
          </w:tcPr>
          <w:p w14:paraId="71C2FEE6" w14:textId="77777777" w:rsidR="00513AB5" w:rsidRDefault="00513AB5" w:rsidP="001136D3">
            <w:pPr>
              <w:spacing w:after="0"/>
              <w:jc w:val="center"/>
              <w:rPr>
                <w:sz w:val="22"/>
              </w:rPr>
            </w:pPr>
            <w:r w:rsidRPr="00675D4B">
              <w:rPr>
                <w:sz w:val="22"/>
              </w:rPr>
              <w:t>Lump Sum</w:t>
            </w:r>
          </w:p>
        </w:tc>
      </w:tr>
      <w:tr w:rsidR="00513AB5" w14:paraId="2BEEF73B" w14:textId="77777777" w:rsidTr="001136D3">
        <w:trPr>
          <w:cantSplit/>
        </w:trPr>
        <w:tc>
          <w:tcPr>
            <w:tcW w:w="1440" w:type="dxa"/>
          </w:tcPr>
          <w:p w14:paraId="4F2A9ED0" w14:textId="77777777" w:rsidR="00513AB5" w:rsidRPr="004C6BF5" w:rsidRDefault="00513AB5" w:rsidP="00513AB5">
            <w:pPr>
              <w:spacing w:after="0"/>
              <w:jc w:val="center"/>
              <w:rPr>
                <w:b/>
                <w:szCs w:val="22"/>
              </w:rPr>
            </w:pPr>
          </w:p>
        </w:tc>
        <w:tc>
          <w:tcPr>
            <w:tcW w:w="5842" w:type="dxa"/>
          </w:tcPr>
          <w:p w14:paraId="02AF4EB5" w14:textId="762DFF22" w:rsidR="00513AB5" w:rsidRPr="00F11758" w:rsidRDefault="00513AB5" w:rsidP="00F11758">
            <w:pPr>
              <w:spacing w:after="0"/>
              <w:jc w:val="left"/>
              <w:rPr>
                <w:sz w:val="22"/>
                <w:szCs w:val="22"/>
              </w:rPr>
            </w:pPr>
            <w:r w:rsidRPr="004242BF">
              <w:rPr>
                <w:sz w:val="22"/>
                <w:szCs w:val="22"/>
              </w:rPr>
              <w:t>1</w:t>
            </w:r>
            <w:r w:rsidR="00F11758">
              <w:rPr>
                <w:sz w:val="22"/>
                <w:szCs w:val="22"/>
              </w:rPr>
              <w:t>2</w:t>
            </w:r>
            <w:r w:rsidRPr="004242BF">
              <w:rPr>
                <w:sz w:val="22"/>
                <w:szCs w:val="22"/>
              </w:rPr>
              <w:t>.1 Rollout Hardware Environment Readiness</w:t>
            </w:r>
          </w:p>
        </w:tc>
        <w:tc>
          <w:tcPr>
            <w:tcW w:w="2070" w:type="dxa"/>
          </w:tcPr>
          <w:p w14:paraId="1A6B2E1A" w14:textId="77777777" w:rsidR="00513AB5" w:rsidRDefault="00513AB5" w:rsidP="00513AB5">
            <w:pPr>
              <w:spacing w:after="0"/>
              <w:jc w:val="center"/>
              <w:rPr>
                <w:sz w:val="22"/>
              </w:rPr>
            </w:pPr>
          </w:p>
        </w:tc>
        <w:tc>
          <w:tcPr>
            <w:tcW w:w="2528" w:type="dxa"/>
          </w:tcPr>
          <w:p w14:paraId="1CD465B4" w14:textId="77777777" w:rsidR="00513AB5" w:rsidRDefault="00513AB5" w:rsidP="00513AB5">
            <w:pPr>
              <w:spacing w:after="0"/>
              <w:jc w:val="center"/>
              <w:rPr>
                <w:sz w:val="22"/>
              </w:rPr>
            </w:pPr>
          </w:p>
        </w:tc>
        <w:tc>
          <w:tcPr>
            <w:tcW w:w="1440" w:type="dxa"/>
          </w:tcPr>
          <w:p w14:paraId="1B4E7519" w14:textId="77777777" w:rsidR="00513AB5" w:rsidRPr="00675D4B" w:rsidRDefault="00513AB5" w:rsidP="00513AB5">
            <w:pPr>
              <w:spacing w:after="0"/>
              <w:jc w:val="center"/>
              <w:rPr>
                <w:sz w:val="22"/>
              </w:rPr>
            </w:pPr>
          </w:p>
        </w:tc>
      </w:tr>
      <w:tr w:rsidR="00F11758" w14:paraId="39071072" w14:textId="77777777" w:rsidTr="001136D3">
        <w:trPr>
          <w:cantSplit/>
        </w:trPr>
        <w:tc>
          <w:tcPr>
            <w:tcW w:w="1440" w:type="dxa"/>
          </w:tcPr>
          <w:p w14:paraId="072399D6" w14:textId="03DAC330" w:rsidR="00F11758" w:rsidRPr="004C6BF5" w:rsidRDefault="00F11758" w:rsidP="00F11758">
            <w:pPr>
              <w:spacing w:after="0"/>
              <w:jc w:val="center"/>
              <w:rPr>
                <w:b/>
                <w:szCs w:val="22"/>
              </w:rPr>
            </w:pPr>
            <w:r>
              <w:rPr>
                <w:b/>
                <w:szCs w:val="22"/>
              </w:rPr>
              <w:lastRenderedPageBreak/>
              <w:t>13.</w:t>
            </w:r>
          </w:p>
        </w:tc>
        <w:tc>
          <w:tcPr>
            <w:tcW w:w="5842" w:type="dxa"/>
          </w:tcPr>
          <w:p w14:paraId="7BD150B3" w14:textId="69115C6C" w:rsidR="00F11758" w:rsidRDefault="00F11758" w:rsidP="00F11758">
            <w:pPr>
              <w:spacing w:after="0"/>
              <w:jc w:val="left"/>
              <w:rPr>
                <w:sz w:val="22"/>
                <w:szCs w:val="22"/>
              </w:rPr>
            </w:pPr>
            <w:r w:rsidRPr="004C6BF5">
              <w:rPr>
                <w:b/>
                <w:szCs w:val="22"/>
              </w:rPr>
              <w:t xml:space="preserve">Rollout </w:t>
            </w:r>
            <w:r>
              <w:rPr>
                <w:b/>
                <w:szCs w:val="22"/>
              </w:rPr>
              <w:t xml:space="preserve">Software </w:t>
            </w:r>
            <w:r w:rsidRPr="004C6BF5">
              <w:rPr>
                <w:b/>
                <w:szCs w:val="22"/>
              </w:rPr>
              <w:t>Environment Readiness</w:t>
            </w:r>
          </w:p>
        </w:tc>
        <w:tc>
          <w:tcPr>
            <w:tcW w:w="2070" w:type="dxa"/>
          </w:tcPr>
          <w:p w14:paraId="2811D871" w14:textId="77777777" w:rsidR="00F11758" w:rsidRDefault="00F11758" w:rsidP="00F11758">
            <w:pPr>
              <w:spacing w:after="0"/>
              <w:jc w:val="center"/>
              <w:rPr>
                <w:sz w:val="22"/>
              </w:rPr>
            </w:pPr>
          </w:p>
        </w:tc>
        <w:tc>
          <w:tcPr>
            <w:tcW w:w="2528" w:type="dxa"/>
          </w:tcPr>
          <w:p w14:paraId="4FA932CD" w14:textId="77777777" w:rsidR="00F11758" w:rsidRDefault="00F11758" w:rsidP="00F11758">
            <w:pPr>
              <w:spacing w:after="0"/>
              <w:jc w:val="center"/>
              <w:rPr>
                <w:sz w:val="22"/>
              </w:rPr>
            </w:pPr>
          </w:p>
        </w:tc>
        <w:tc>
          <w:tcPr>
            <w:tcW w:w="1440" w:type="dxa"/>
          </w:tcPr>
          <w:p w14:paraId="290ED4D1" w14:textId="265D93CE" w:rsidR="00F11758" w:rsidRPr="00675D4B" w:rsidRDefault="00F11758" w:rsidP="00F11758">
            <w:pPr>
              <w:spacing w:after="0"/>
              <w:jc w:val="center"/>
              <w:rPr>
                <w:sz w:val="22"/>
              </w:rPr>
            </w:pPr>
            <w:r>
              <w:rPr>
                <w:sz w:val="22"/>
              </w:rPr>
              <w:t>Lump Sum</w:t>
            </w:r>
          </w:p>
        </w:tc>
      </w:tr>
      <w:tr w:rsidR="00F11758" w14:paraId="2982F446" w14:textId="77777777" w:rsidTr="001136D3">
        <w:trPr>
          <w:cantSplit/>
        </w:trPr>
        <w:tc>
          <w:tcPr>
            <w:tcW w:w="1440" w:type="dxa"/>
          </w:tcPr>
          <w:p w14:paraId="1641B874" w14:textId="77777777" w:rsidR="00F11758" w:rsidRDefault="00F11758" w:rsidP="00F11758">
            <w:pPr>
              <w:spacing w:after="0"/>
              <w:jc w:val="center"/>
              <w:rPr>
                <w:b/>
                <w:szCs w:val="22"/>
              </w:rPr>
            </w:pPr>
          </w:p>
        </w:tc>
        <w:tc>
          <w:tcPr>
            <w:tcW w:w="5842" w:type="dxa"/>
          </w:tcPr>
          <w:p w14:paraId="724DFC99" w14:textId="261D29CE" w:rsidR="00F11758" w:rsidRPr="004C6BF5" w:rsidRDefault="00F11758" w:rsidP="00F11758">
            <w:pPr>
              <w:spacing w:after="0"/>
              <w:jc w:val="left"/>
              <w:rPr>
                <w:b/>
                <w:szCs w:val="22"/>
              </w:rPr>
            </w:pPr>
            <w:r>
              <w:rPr>
                <w:sz w:val="22"/>
                <w:szCs w:val="22"/>
              </w:rPr>
              <w:t>13</w:t>
            </w:r>
            <w:r w:rsidRPr="004242BF">
              <w:rPr>
                <w:sz w:val="22"/>
                <w:szCs w:val="22"/>
              </w:rPr>
              <w:t>.2 Rollout Software Environment Readiness</w:t>
            </w:r>
          </w:p>
        </w:tc>
        <w:tc>
          <w:tcPr>
            <w:tcW w:w="2070" w:type="dxa"/>
          </w:tcPr>
          <w:p w14:paraId="34E07E35" w14:textId="77777777" w:rsidR="00F11758" w:rsidRDefault="00F11758" w:rsidP="00F11758">
            <w:pPr>
              <w:spacing w:after="0"/>
              <w:jc w:val="center"/>
              <w:rPr>
                <w:sz w:val="22"/>
              </w:rPr>
            </w:pPr>
          </w:p>
        </w:tc>
        <w:tc>
          <w:tcPr>
            <w:tcW w:w="2528" w:type="dxa"/>
          </w:tcPr>
          <w:p w14:paraId="23567E37" w14:textId="77777777" w:rsidR="00F11758" w:rsidRDefault="00F11758" w:rsidP="00F11758">
            <w:pPr>
              <w:spacing w:after="0"/>
              <w:jc w:val="center"/>
              <w:rPr>
                <w:sz w:val="22"/>
              </w:rPr>
            </w:pPr>
          </w:p>
        </w:tc>
        <w:tc>
          <w:tcPr>
            <w:tcW w:w="1440" w:type="dxa"/>
          </w:tcPr>
          <w:p w14:paraId="4834B7FB" w14:textId="77777777" w:rsidR="00F11758" w:rsidRDefault="00F11758" w:rsidP="00F11758">
            <w:pPr>
              <w:spacing w:after="0"/>
              <w:jc w:val="center"/>
              <w:rPr>
                <w:sz w:val="22"/>
              </w:rPr>
            </w:pPr>
          </w:p>
        </w:tc>
      </w:tr>
      <w:tr w:rsidR="00F11758" w14:paraId="2850C8C8" w14:textId="77777777" w:rsidTr="001136D3">
        <w:trPr>
          <w:cantSplit/>
        </w:trPr>
        <w:tc>
          <w:tcPr>
            <w:tcW w:w="1440" w:type="dxa"/>
          </w:tcPr>
          <w:p w14:paraId="098F604A" w14:textId="780B8AD8" w:rsidR="00F11758" w:rsidRPr="004C6BF5" w:rsidRDefault="00F11758" w:rsidP="00F11758">
            <w:pPr>
              <w:spacing w:after="0"/>
              <w:jc w:val="center"/>
              <w:rPr>
                <w:b/>
                <w:szCs w:val="22"/>
              </w:rPr>
            </w:pPr>
            <w:r w:rsidRPr="004C6BF5">
              <w:rPr>
                <w:b/>
                <w:szCs w:val="22"/>
              </w:rPr>
              <w:t>1</w:t>
            </w:r>
            <w:r>
              <w:rPr>
                <w:b/>
                <w:szCs w:val="22"/>
              </w:rPr>
              <w:t>4</w:t>
            </w:r>
            <w:r w:rsidRPr="004C6BF5">
              <w:rPr>
                <w:b/>
                <w:szCs w:val="22"/>
              </w:rPr>
              <w:t>.</w:t>
            </w:r>
          </w:p>
        </w:tc>
        <w:tc>
          <w:tcPr>
            <w:tcW w:w="5842" w:type="dxa"/>
          </w:tcPr>
          <w:p w14:paraId="5C6D9FCB" w14:textId="77777777" w:rsidR="00F11758" w:rsidRPr="004C6BF5" w:rsidRDefault="00F11758" w:rsidP="00F11758">
            <w:pPr>
              <w:spacing w:after="0"/>
              <w:rPr>
                <w:b/>
                <w:szCs w:val="22"/>
              </w:rPr>
            </w:pPr>
            <w:r w:rsidRPr="004C6BF5">
              <w:rPr>
                <w:b/>
                <w:szCs w:val="22"/>
              </w:rPr>
              <w:t>Rollout Deployment</w:t>
            </w:r>
          </w:p>
        </w:tc>
        <w:tc>
          <w:tcPr>
            <w:tcW w:w="2070" w:type="dxa"/>
          </w:tcPr>
          <w:p w14:paraId="74980F53" w14:textId="77777777" w:rsidR="00F11758" w:rsidRDefault="00F11758" w:rsidP="00F11758">
            <w:pPr>
              <w:spacing w:after="0"/>
              <w:jc w:val="center"/>
              <w:rPr>
                <w:sz w:val="22"/>
              </w:rPr>
            </w:pPr>
          </w:p>
        </w:tc>
        <w:tc>
          <w:tcPr>
            <w:tcW w:w="2528" w:type="dxa"/>
          </w:tcPr>
          <w:p w14:paraId="0890E887" w14:textId="77777777" w:rsidR="00F11758" w:rsidRDefault="00F11758" w:rsidP="00F11758">
            <w:pPr>
              <w:spacing w:after="0"/>
              <w:jc w:val="center"/>
              <w:rPr>
                <w:sz w:val="22"/>
              </w:rPr>
            </w:pPr>
          </w:p>
        </w:tc>
        <w:tc>
          <w:tcPr>
            <w:tcW w:w="1440" w:type="dxa"/>
          </w:tcPr>
          <w:p w14:paraId="3A3542CF" w14:textId="77777777" w:rsidR="00F11758" w:rsidRDefault="00F11758" w:rsidP="00F11758">
            <w:pPr>
              <w:spacing w:after="0"/>
              <w:jc w:val="center"/>
              <w:rPr>
                <w:sz w:val="22"/>
              </w:rPr>
            </w:pPr>
            <w:r w:rsidRPr="00675D4B">
              <w:rPr>
                <w:sz w:val="22"/>
              </w:rPr>
              <w:t>Lump Sum</w:t>
            </w:r>
          </w:p>
        </w:tc>
      </w:tr>
      <w:tr w:rsidR="00F11758" w14:paraId="422FD475" w14:textId="77777777" w:rsidTr="001136D3">
        <w:trPr>
          <w:cantSplit/>
        </w:trPr>
        <w:tc>
          <w:tcPr>
            <w:tcW w:w="1440" w:type="dxa"/>
          </w:tcPr>
          <w:p w14:paraId="3E33625E" w14:textId="0C5BE614" w:rsidR="00F11758" w:rsidRPr="004C6BF5" w:rsidRDefault="00F11758" w:rsidP="00F11758">
            <w:pPr>
              <w:spacing w:after="0"/>
              <w:jc w:val="center"/>
              <w:rPr>
                <w:b/>
                <w:szCs w:val="22"/>
              </w:rPr>
            </w:pPr>
          </w:p>
        </w:tc>
        <w:tc>
          <w:tcPr>
            <w:tcW w:w="5842" w:type="dxa"/>
          </w:tcPr>
          <w:p w14:paraId="6414A3AF" w14:textId="77777777" w:rsidR="00F11758" w:rsidRPr="004242BF" w:rsidRDefault="00F11758" w:rsidP="00F11758">
            <w:pPr>
              <w:spacing w:after="0"/>
              <w:jc w:val="left"/>
              <w:rPr>
                <w:sz w:val="22"/>
                <w:szCs w:val="22"/>
              </w:rPr>
            </w:pPr>
            <w:r>
              <w:rPr>
                <w:sz w:val="22"/>
                <w:szCs w:val="22"/>
              </w:rPr>
              <w:t>14</w:t>
            </w:r>
            <w:r w:rsidRPr="004242BF">
              <w:rPr>
                <w:sz w:val="22"/>
                <w:szCs w:val="22"/>
              </w:rPr>
              <w:t>.1 NSW Trader Portal</w:t>
            </w:r>
          </w:p>
          <w:p w14:paraId="06D84ADE"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.2 NSW Help Desk</w:t>
            </w:r>
          </w:p>
          <w:p w14:paraId="32BCD568"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.3 Registration of Traders and Competent Authority</w:t>
            </w:r>
          </w:p>
          <w:p w14:paraId="1153B773"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.4 LPCO Application</w:t>
            </w:r>
          </w:p>
          <w:p w14:paraId="53B160E3"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.5 LPCO Management</w:t>
            </w:r>
          </w:p>
          <w:p w14:paraId="56DEC173" w14:textId="77777777" w:rsidR="00F11758" w:rsidRPr="004242BF" w:rsidRDefault="00F11758" w:rsidP="00F11758">
            <w:pPr>
              <w:spacing w:after="0"/>
              <w:jc w:val="left"/>
              <w:rPr>
                <w:bCs/>
                <w:sz w:val="22"/>
                <w:szCs w:val="22"/>
              </w:rPr>
            </w:pPr>
            <w:r w:rsidRPr="004242BF">
              <w:rPr>
                <w:bCs/>
                <w:sz w:val="22"/>
                <w:szCs w:val="22"/>
              </w:rPr>
              <w:t>1</w:t>
            </w:r>
            <w:r>
              <w:rPr>
                <w:bCs/>
                <w:sz w:val="22"/>
                <w:szCs w:val="22"/>
              </w:rPr>
              <w:t>4</w:t>
            </w:r>
            <w:r w:rsidRPr="004242BF">
              <w:rPr>
                <w:bCs/>
                <w:sz w:val="22"/>
                <w:szCs w:val="22"/>
              </w:rPr>
              <w:t>.6 Payment Management</w:t>
            </w:r>
          </w:p>
          <w:p w14:paraId="3AB04294"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.7 Payment Processing</w:t>
            </w:r>
          </w:p>
          <w:p w14:paraId="16F6ED87"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.8 Notification Management</w:t>
            </w:r>
          </w:p>
          <w:p w14:paraId="1A030BA4"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.9 LPCO Designer</w:t>
            </w:r>
          </w:p>
          <w:p w14:paraId="01E263E1"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.10 Inspection Control Results </w:t>
            </w:r>
          </w:p>
          <w:p w14:paraId="651E6549"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.11 Document Management </w:t>
            </w:r>
          </w:p>
          <w:p w14:paraId="5A20845A"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.12 LPCO Workflow Management</w:t>
            </w:r>
          </w:p>
          <w:p w14:paraId="2C825194"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.13 NSW Risk Management Module</w:t>
            </w:r>
          </w:p>
          <w:p w14:paraId="1E806F49"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.14 Referents Tables</w:t>
            </w:r>
          </w:p>
          <w:p w14:paraId="403A192A" w14:textId="77777777" w:rsidR="00F11758" w:rsidRPr="004242BF" w:rsidRDefault="00F11758" w:rsidP="00F11758">
            <w:pPr>
              <w:spacing w:after="0"/>
              <w:jc w:val="left"/>
              <w:rPr>
                <w:bCs/>
                <w:sz w:val="22"/>
                <w:szCs w:val="22"/>
              </w:rPr>
            </w:pPr>
            <w:r>
              <w:rPr>
                <w:bCs/>
                <w:sz w:val="22"/>
                <w:szCs w:val="22"/>
              </w:rPr>
              <w:t>14</w:t>
            </w:r>
            <w:r w:rsidRPr="004242BF">
              <w:rPr>
                <w:bCs/>
                <w:sz w:val="22"/>
                <w:szCs w:val="22"/>
              </w:rPr>
              <w:t>.15 Reporting Service</w:t>
            </w:r>
          </w:p>
          <w:p w14:paraId="780F6EC2" w14:textId="0FE42B57" w:rsidR="00F11758" w:rsidRPr="004C6BF5" w:rsidRDefault="00F11758" w:rsidP="00F11758">
            <w:pPr>
              <w:spacing w:after="0"/>
              <w:rPr>
                <w:b/>
                <w:szCs w:val="22"/>
              </w:rPr>
            </w:pPr>
            <w:r>
              <w:rPr>
                <w:bCs/>
                <w:sz w:val="22"/>
                <w:szCs w:val="22"/>
              </w:rPr>
              <w:t>14</w:t>
            </w:r>
            <w:r w:rsidRPr="004242BF">
              <w:rPr>
                <w:bCs/>
                <w:sz w:val="22"/>
                <w:szCs w:val="22"/>
              </w:rPr>
              <w:t>.16 Data Converter</w:t>
            </w:r>
          </w:p>
        </w:tc>
        <w:tc>
          <w:tcPr>
            <w:tcW w:w="2070" w:type="dxa"/>
          </w:tcPr>
          <w:p w14:paraId="0318FDD1" w14:textId="77777777" w:rsidR="00F11758" w:rsidRDefault="00F11758" w:rsidP="00F11758">
            <w:pPr>
              <w:spacing w:after="0"/>
              <w:jc w:val="center"/>
              <w:rPr>
                <w:sz w:val="22"/>
              </w:rPr>
            </w:pPr>
          </w:p>
        </w:tc>
        <w:tc>
          <w:tcPr>
            <w:tcW w:w="2528" w:type="dxa"/>
          </w:tcPr>
          <w:p w14:paraId="70CDFFC8" w14:textId="77777777" w:rsidR="00F11758" w:rsidRDefault="00F11758" w:rsidP="00F11758">
            <w:pPr>
              <w:spacing w:after="0"/>
              <w:jc w:val="center"/>
              <w:rPr>
                <w:sz w:val="22"/>
              </w:rPr>
            </w:pPr>
          </w:p>
        </w:tc>
        <w:tc>
          <w:tcPr>
            <w:tcW w:w="1440" w:type="dxa"/>
          </w:tcPr>
          <w:p w14:paraId="29DA9917" w14:textId="4D9C9DBB" w:rsidR="00F11758" w:rsidRPr="00675D4B" w:rsidRDefault="00F11758" w:rsidP="00F11758">
            <w:pPr>
              <w:spacing w:after="0"/>
              <w:jc w:val="center"/>
              <w:rPr>
                <w:sz w:val="22"/>
              </w:rPr>
            </w:pPr>
          </w:p>
        </w:tc>
      </w:tr>
      <w:tr w:rsidR="00F11758" w14:paraId="24AB0BDF" w14:textId="77777777" w:rsidTr="001136D3">
        <w:trPr>
          <w:cantSplit/>
        </w:trPr>
        <w:tc>
          <w:tcPr>
            <w:tcW w:w="1440" w:type="dxa"/>
          </w:tcPr>
          <w:p w14:paraId="3FF662D2" w14:textId="7AC65195" w:rsidR="00F11758" w:rsidRPr="004C6BF5" w:rsidRDefault="00F11758" w:rsidP="00F11758">
            <w:pPr>
              <w:spacing w:after="0"/>
              <w:jc w:val="center"/>
              <w:rPr>
                <w:b/>
                <w:szCs w:val="22"/>
              </w:rPr>
            </w:pPr>
            <w:r>
              <w:rPr>
                <w:b/>
                <w:szCs w:val="22"/>
              </w:rPr>
              <w:t>15</w:t>
            </w:r>
            <w:r w:rsidRPr="004C6BF5">
              <w:rPr>
                <w:b/>
                <w:szCs w:val="22"/>
              </w:rPr>
              <w:t>.</w:t>
            </w:r>
          </w:p>
        </w:tc>
        <w:tc>
          <w:tcPr>
            <w:tcW w:w="5842" w:type="dxa"/>
          </w:tcPr>
          <w:p w14:paraId="6A39F5B7" w14:textId="77777777" w:rsidR="00F11758" w:rsidRPr="004C6BF5" w:rsidRDefault="00F11758" w:rsidP="00F11758">
            <w:pPr>
              <w:spacing w:after="0"/>
              <w:rPr>
                <w:b/>
                <w:szCs w:val="22"/>
              </w:rPr>
            </w:pPr>
            <w:r w:rsidRPr="004C6BF5">
              <w:rPr>
                <w:b/>
                <w:szCs w:val="22"/>
              </w:rPr>
              <w:t>Rollout Stage</w:t>
            </w:r>
          </w:p>
        </w:tc>
        <w:tc>
          <w:tcPr>
            <w:tcW w:w="2070" w:type="dxa"/>
          </w:tcPr>
          <w:p w14:paraId="4C946F1B" w14:textId="77777777" w:rsidR="00F11758" w:rsidRDefault="00F11758" w:rsidP="00F11758">
            <w:pPr>
              <w:spacing w:after="0"/>
              <w:jc w:val="center"/>
              <w:rPr>
                <w:sz w:val="22"/>
              </w:rPr>
            </w:pPr>
          </w:p>
        </w:tc>
        <w:tc>
          <w:tcPr>
            <w:tcW w:w="2528" w:type="dxa"/>
          </w:tcPr>
          <w:p w14:paraId="757741C9" w14:textId="77777777" w:rsidR="00F11758" w:rsidRDefault="00F11758" w:rsidP="00F11758">
            <w:pPr>
              <w:spacing w:after="0"/>
              <w:jc w:val="center"/>
              <w:rPr>
                <w:sz w:val="22"/>
              </w:rPr>
            </w:pPr>
          </w:p>
        </w:tc>
        <w:tc>
          <w:tcPr>
            <w:tcW w:w="1440" w:type="dxa"/>
          </w:tcPr>
          <w:p w14:paraId="7B23BA32" w14:textId="77777777" w:rsidR="00F11758" w:rsidRDefault="00F11758" w:rsidP="00F11758">
            <w:pPr>
              <w:spacing w:after="0"/>
              <w:jc w:val="center"/>
              <w:rPr>
                <w:sz w:val="22"/>
              </w:rPr>
            </w:pPr>
            <w:r w:rsidRPr="00675D4B">
              <w:rPr>
                <w:sz w:val="22"/>
              </w:rPr>
              <w:t>Lump Sum</w:t>
            </w:r>
          </w:p>
        </w:tc>
      </w:tr>
      <w:tr w:rsidR="00F11758" w14:paraId="35C944C8" w14:textId="77777777" w:rsidTr="001136D3">
        <w:trPr>
          <w:cantSplit/>
        </w:trPr>
        <w:tc>
          <w:tcPr>
            <w:tcW w:w="1440" w:type="dxa"/>
          </w:tcPr>
          <w:p w14:paraId="50F33FA7" w14:textId="5BAABB3E" w:rsidR="00F11758" w:rsidRPr="004C6BF5" w:rsidRDefault="00F11758" w:rsidP="00F11758">
            <w:pPr>
              <w:spacing w:after="0"/>
              <w:jc w:val="center"/>
              <w:rPr>
                <w:b/>
                <w:szCs w:val="22"/>
              </w:rPr>
            </w:pPr>
          </w:p>
        </w:tc>
        <w:tc>
          <w:tcPr>
            <w:tcW w:w="5842" w:type="dxa"/>
          </w:tcPr>
          <w:p w14:paraId="2086AEE8" w14:textId="77777777" w:rsidR="00F11758" w:rsidRPr="004242BF" w:rsidRDefault="00F11758" w:rsidP="00F11758">
            <w:pPr>
              <w:spacing w:after="0"/>
              <w:jc w:val="left"/>
              <w:rPr>
                <w:sz w:val="22"/>
                <w:szCs w:val="22"/>
              </w:rPr>
            </w:pPr>
            <w:r w:rsidRPr="004242BF">
              <w:rPr>
                <w:sz w:val="22"/>
                <w:szCs w:val="22"/>
              </w:rPr>
              <w:t>1</w:t>
            </w:r>
            <w:r>
              <w:rPr>
                <w:sz w:val="22"/>
                <w:szCs w:val="22"/>
              </w:rPr>
              <w:t>5</w:t>
            </w:r>
            <w:r w:rsidRPr="004242BF">
              <w:rPr>
                <w:sz w:val="22"/>
                <w:szCs w:val="22"/>
              </w:rPr>
              <w:t>.1 NSW Trader Portal</w:t>
            </w:r>
          </w:p>
          <w:p w14:paraId="69F0C0B6"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.2 NSW Help Desk</w:t>
            </w:r>
          </w:p>
          <w:p w14:paraId="541DFC6E"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.3 Registration of Traders and Competent Authority</w:t>
            </w:r>
          </w:p>
          <w:p w14:paraId="1D69DA89"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.4 LPCO Application</w:t>
            </w:r>
          </w:p>
          <w:p w14:paraId="00F173B1"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.5 LPCO Management</w:t>
            </w:r>
          </w:p>
          <w:p w14:paraId="49F01070"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.6 Payment Management</w:t>
            </w:r>
          </w:p>
          <w:p w14:paraId="19B368F1"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.7 Payment Processing</w:t>
            </w:r>
          </w:p>
          <w:p w14:paraId="12CD92BC"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.8 Notification Management</w:t>
            </w:r>
          </w:p>
          <w:p w14:paraId="7382FE13"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.9 LPCO Designer</w:t>
            </w:r>
          </w:p>
          <w:p w14:paraId="035A1F8F"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.10 Inspection Control Results </w:t>
            </w:r>
          </w:p>
          <w:p w14:paraId="33795FC8"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.11 Document Management </w:t>
            </w:r>
          </w:p>
          <w:p w14:paraId="525C4349"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.12 LPCO Workflow Management</w:t>
            </w:r>
          </w:p>
          <w:p w14:paraId="388E3A3C"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.13 NSW Risk Management Module</w:t>
            </w:r>
          </w:p>
          <w:p w14:paraId="435CED28"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.14 Referents Tables</w:t>
            </w:r>
          </w:p>
          <w:p w14:paraId="5F02FDCF" w14:textId="77777777" w:rsidR="00F11758" w:rsidRPr="004242BF" w:rsidRDefault="00F11758" w:rsidP="00F11758">
            <w:pPr>
              <w:spacing w:after="0"/>
              <w:jc w:val="left"/>
              <w:rPr>
                <w:bCs/>
                <w:sz w:val="22"/>
                <w:szCs w:val="22"/>
              </w:rPr>
            </w:pPr>
            <w:r>
              <w:rPr>
                <w:bCs/>
                <w:sz w:val="22"/>
                <w:szCs w:val="22"/>
              </w:rPr>
              <w:t>15</w:t>
            </w:r>
            <w:r w:rsidRPr="004242BF">
              <w:rPr>
                <w:bCs/>
                <w:sz w:val="22"/>
                <w:szCs w:val="22"/>
              </w:rPr>
              <w:t>.15 Reporting Service</w:t>
            </w:r>
          </w:p>
          <w:p w14:paraId="4228C8AE" w14:textId="10CFC5B8" w:rsidR="00F11758" w:rsidRPr="004C6BF5" w:rsidRDefault="00F11758" w:rsidP="00F11758">
            <w:pPr>
              <w:spacing w:after="0"/>
              <w:rPr>
                <w:b/>
                <w:szCs w:val="22"/>
              </w:rPr>
            </w:pPr>
            <w:r>
              <w:rPr>
                <w:bCs/>
                <w:sz w:val="22"/>
                <w:szCs w:val="22"/>
              </w:rPr>
              <w:t>15</w:t>
            </w:r>
            <w:r w:rsidRPr="004242BF">
              <w:rPr>
                <w:bCs/>
                <w:sz w:val="22"/>
                <w:szCs w:val="22"/>
              </w:rPr>
              <w:t>.16 Data Converter</w:t>
            </w:r>
          </w:p>
        </w:tc>
        <w:tc>
          <w:tcPr>
            <w:tcW w:w="2070" w:type="dxa"/>
          </w:tcPr>
          <w:p w14:paraId="31A79DE5" w14:textId="77777777" w:rsidR="00F11758" w:rsidRDefault="00F11758" w:rsidP="00F11758">
            <w:pPr>
              <w:spacing w:after="0"/>
              <w:jc w:val="center"/>
              <w:rPr>
                <w:sz w:val="22"/>
              </w:rPr>
            </w:pPr>
          </w:p>
        </w:tc>
        <w:tc>
          <w:tcPr>
            <w:tcW w:w="2528" w:type="dxa"/>
          </w:tcPr>
          <w:p w14:paraId="06611623" w14:textId="77777777" w:rsidR="00F11758" w:rsidRDefault="00F11758" w:rsidP="00F11758">
            <w:pPr>
              <w:spacing w:after="0"/>
              <w:jc w:val="center"/>
              <w:rPr>
                <w:sz w:val="22"/>
              </w:rPr>
            </w:pPr>
          </w:p>
        </w:tc>
        <w:tc>
          <w:tcPr>
            <w:tcW w:w="1440" w:type="dxa"/>
          </w:tcPr>
          <w:p w14:paraId="559AFC2E" w14:textId="3EF5181C" w:rsidR="00F11758" w:rsidRDefault="00F11758" w:rsidP="00F11758">
            <w:pPr>
              <w:spacing w:after="0"/>
              <w:jc w:val="center"/>
              <w:rPr>
                <w:sz w:val="22"/>
              </w:rPr>
            </w:pPr>
          </w:p>
        </w:tc>
      </w:tr>
    </w:tbl>
    <w:p w14:paraId="4467BC1E" w14:textId="77777777" w:rsidR="00513AB5" w:rsidRDefault="00513AB5">
      <w:pPr>
        <w:jc w:val="center"/>
        <w:rPr>
          <w:rStyle w:val="Preparersnotenobold"/>
        </w:rPr>
      </w:pPr>
    </w:p>
    <w:p w14:paraId="195CA3C3" w14:textId="77777777" w:rsidR="00157AAA" w:rsidRDefault="00157AAA">
      <w:pPr>
        <w:rPr>
          <w:sz w:val="22"/>
        </w:rPr>
      </w:pPr>
    </w:p>
    <w:p w14:paraId="1203262A" w14:textId="77777777" w:rsidR="00157AAA" w:rsidRDefault="006C1BE5">
      <w:pPr>
        <w:ind w:left="1267" w:hanging="1267"/>
        <w:rPr>
          <w:sz w:val="22"/>
        </w:rPr>
      </w:pPr>
      <w:r>
        <w:rPr>
          <w:b/>
          <w:sz w:val="22"/>
        </w:rPr>
        <w:t>Note:</w:t>
      </w:r>
      <w:r>
        <w:rPr>
          <w:sz w:val="22"/>
        </w:rPr>
        <w:tab/>
        <w:t xml:space="preserve">- - indicates not applicable.  </w:t>
      </w:r>
      <w:proofErr w:type="gramStart"/>
      <w:r>
        <w:rPr>
          <w:sz w:val="22"/>
        </w:rPr>
        <w:t>“ indicates</w:t>
      </w:r>
      <w:proofErr w:type="gramEnd"/>
      <w:r>
        <w:rPr>
          <w:sz w:val="22"/>
        </w:rPr>
        <w:t xml:space="preserve"> repetition of table entry above.</w:t>
      </w:r>
    </w:p>
    <w:p w14:paraId="1DDBE730" w14:textId="77777777" w:rsidR="00157AAA" w:rsidRDefault="00157AAA">
      <w:pPr>
        <w:jc w:val="center"/>
        <w:rPr>
          <w:sz w:val="22"/>
        </w:rPr>
      </w:pPr>
    </w:p>
    <w:p w14:paraId="1840CC52" w14:textId="77777777" w:rsidR="00157AAA" w:rsidRDefault="006C1BE5">
      <w:pPr>
        <w:pStyle w:val="Head5c1"/>
        <w:rPr>
          <w:i/>
        </w:rPr>
      </w:pPr>
      <w:r>
        <w:rPr>
          <w:sz w:val="22"/>
        </w:rPr>
        <w:br w:type="page" w:clear="all"/>
      </w:r>
      <w:bookmarkStart w:id="779" w:name="_Toc433161262"/>
      <w:bookmarkStart w:id="780" w:name="_Toc521498273"/>
      <w:bookmarkStart w:id="781" w:name="_Toc207771481"/>
      <w:bookmarkStart w:id="782" w:name="_Toc448759417"/>
      <w:r>
        <w:lastRenderedPageBreak/>
        <w:t xml:space="preserve">System Inventory Table (Recurrent Cost </w:t>
      </w:r>
      <w:proofErr w:type="gramStart"/>
      <w:r>
        <w:t xml:space="preserve">Items)  </w:t>
      </w:r>
      <w:r>
        <w:rPr>
          <w:i/>
        </w:rPr>
        <w:t>[</w:t>
      </w:r>
      <w:proofErr w:type="gramEnd"/>
      <w:r>
        <w:rPr>
          <w:i/>
        </w:rPr>
        <w:t> </w:t>
      </w:r>
      <w:r>
        <w:rPr>
          <w:b w:val="0"/>
          <w:i/>
        </w:rPr>
        <w:t>insert</w:t>
      </w:r>
      <w:r>
        <w:rPr>
          <w:i/>
        </w:rPr>
        <w:t>:  identifying number ]</w:t>
      </w:r>
      <w:bookmarkEnd w:id="779"/>
      <w:bookmarkEnd w:id="780"/>
      <w:bookmarkEnd w:id="781"/>
      <w:r>
        <w:rPr>
          <w:i/>
        </w:rPr>
        <w:t xml:space="preserve"> – </w:t>
      </w:r>
      <w:bookmarkEnd w:id="782"/>
    </w:p>
    <w:p w14:paraId="73F2400A" w14:textId="72CF4DA9" w:rsidR="00ED427F" w:rsidRPr="00ED427F" w:rsidRDefault="00ED427F">
      <w:pPr>
        <w:jc w:val="center"/>
        <w:rPr>
          <w:b/>
          <w:sz w:val="28"/>
          <w:szCs w:val="28"/>
        </w:rPr>
      </w:pPr>
      <w:r w:rsidRPr="00ED427F">
        <w:rPr>
          <w:b/>
          <w:sz w:val="28"/>
          <w:szCs w:val="28"/>
        </w:rPr>
        <w:t>NOT APPLICABLE</w:t>
      </w:r>
    </w:p>
    <w:p w14:paraId="26120A15" w14:textId="77777777" w:rsidR="00ED427F" w:rsidRDefault="00ED427F">
      <w:pPr>
        <w:jc w:val="center"/>
      </w:pPr>
    </w:p>
    <w:p w14:paraId="08EB1BE4" w14:textId="46A79528" w:rsidR="00157AAA" w:rsidRDefault="006C1BE5">
      <w:pPr>
        <w:jc w:val="center"/>
      </w:pPr>
      <w:r>
        <w:t>Line item number</w:t>
      </w:r>
      <w:proofErr w:type="gramStart"/>
      <w:r>
        <w:t xml:space="preserve">:  </w:t>
      </w:r>
      <w:r>
        <w:rPr>
          <w:rStyle w:val="Preparersnotenobold"/>
        </w:rPr>
        <w:t>[</w:t>
      </w:r>
      <w:proofErr w:type="gramEnd"/>
      <w:r>
        <w:rPr>
          <w:rStyle w:val="Preparersnotenobold"/>
        </w:rPr>
        <w:t xml:space="preserve"> specify:  </w:t>
      </w:r>
      <w:r>
        <w:rPr>
          <w:rStyle w:val="Preparersnotenobold"/>
          <w:b/>
        </w:rPr>
        <w:t>relevant line item number from the Implementation Schedule (e.g., y.1)</w:t>
      </w:r>
      <w:r>
        <w:rPr>
          <w:rStyle w:val="Preparersnotenobold"/>
        </w:rPr>
        <w:t> ]</w:t>
      </w:r>
    </w:p>
    <w:p w14:paraId="3E99B2D9" w14:textId="77777777" w:rsidR="00157AAA" w:rsidRDefault="00157AAA">
      <w:pPr>
        <w:spacing w:after="180"/>
        <w:jc w:val="center"/>
        <w:rPr>
          <w:rStyle w:val="Preparersnotenobold"/>
        </w:rPr>
      </w:pPr>
    </w:p>
    <w:tbl>
      <w:tblPr>
        <w:tblW w:w="130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440"/>
        <w:gridCol w:w="3960"/>
        <w:gridCol w:w="1908"/>
        <w:gridCol w:w="1890"/>
        <w:gridCol w:w="1890"/>
        <w:gridCol w:w="1980"/>
      </w:tblGrid>
      <w:tr w:rsidR="00157AAA" w14:paraId="408E731D" w14:textId="77777777">
        <w:trPr>
          <w:cantSplit/>
          <w:tblHeader/>
        </w:trPr>
        <w:tc>
          <w:tcPr>
            <w:tcW w:w="1440" w:type="dxa"/>
          </w:tcPr>
          <w:p w14:paraId="296F1170" w14:textId="77777777" w:rsidR="00157AAA" w:rsidRDefault="006C1BE5">
            <w:pPr>
              <w:spacing w:before="100" w:after="100"/>
              <w:jc w:val="center"/>
              <w:rPr>
                <w:sz w:val="22"/>
              </w:rPr>
            </w:pPr>
            <w:r>
              <w:rPr>
                <w:sz w:val="22"/>
              </w:rPr>
              <w:t xml:space="preserve">Component </w:t>
            </w:r>
            <w:r>
              <w:rPr>
                <w:sz w:val="22"/>
              </w:rPr>
              <w:br/>
              <w:t>No.</w:t>
            </w:r>
          </w:p>
        </w:tc>
        <w:tc>
          <w:tcPr>
            <w:tcW w:w="3960" w:type="dxa"/>
          </w:tcPr>
          <w:p w14:paraId="24FCD107" w14:textId="77777777" w:rsidR="00157AAA" w:rsidRDefault="006C1BE5">
            <w:pPr>
              <w:spacing w:before="100" w:after="100"/>
              <w:jc w:val="center"/>
              <w:rPr>
                <w:sz w:val="22"/>
              </w:rPr>
            </w:pPr>
            <w:r>
              <w:rPr>
                <w:sz w:val="22"/>
              </w:rPr>
              <w:br/>
              <w:t>Component</w:t>
            </w:r>
          </w:p>
        </w:tc>
        <w:tc>
          <w:tcPr>
            <w:tcW w:w="1908" w:type="dxa"/>
          </w:tcPr>
          <w:p w14:paraId="11EBBD22" w14:textId="77777777" w:rsidR="00157AAA" w:rsidRDefault="006C1BE5">
            <w:pPr>
              <w:spacing w:before="100" w:after="100"/>
              <w:rPr>
                <w:sz w:val="22"/>
              </w:rPr>
            </w:pPr>
            <w:r>
              <w:rPr>
                <w:sz w:val="22"/>
              </w:rPr>
              <w:t>Relevant Technical Specifications No.</w:t>
            </w:r>
          </w:p>
        </w:tc>
        <w:tc>
          <w:tcPr>
            <w:tcW w:w="1890" w:type="dxa"/>
          </w:tcPr>
          <w:p w14:paraId="1BC36EB0" w14:textId="77777777" w:rsidR="00157AAA" w:rsidRDefault="006C1BE5">
            <w:pPr>
              <w:spacing w:before="100" w:after="100"/>
              <w:jc w:val="center"/>
              <w:rPr>
                <w:sz w:val="22"/>
              </w:rPr>
            </w:pPr>
            <w:r>
              <w:rPr>
                <w:sz w:val="22"/>
              </w:rPr>
              <w:br/>
              <w:t>Y1</w:t>
            </w:r>
          </w:p>
        </w:tc>
        <w:tc>
          <w:tcPr>
            <w:tcW w:w="1890" w:type="dxa"/>
          </w:tcPr>
          <w:p w14:paraId="337A054B" w14:textId="77777777" w:rsidR="00157AAA" w:rsidRDefault="006C1BE5">
            <w:pPr>
              <w:spacing w:before="100" w:after="100"/>
              <w:jc w:val="center"/>
              <w:rPr>
                <w:sz w:val="22"/>
              </w:rPr>
            </w:pPr>
            <w:r>
              <w:rPr>
                <w:sz w:val="22"/>
              </w:rPr>
              <w:br/>
              <w:t>Y2</w:t>
            </w:r>
          </w:p>
        </w:tc>
        <w:tc>
          <w:tcPr>
            <w:tcW w:w="1980" w:type="dxa"/>
          </w:tcPr>
          <w:p w14:paraId="6B29E04A" w14:textId="77777777" w:rsidR="00157AAA" w:rsidRDefault="006C1BE5">
            <w:pPr>
              <w:spacing w:before="100" w:after="100"/>
              <w:jc w:val="center"/>
              <w:rPr>
                <w:sz w:val="22"/>
              </w:rPr>
            </w:pPr>
            <w:r>
              <w:rPr>
                <w:sz w:val="22"/>
              </w:rPr>
              <w:br/>
              <w:t>Y3</w:t>
            </w:r>
          </w:p>
        </w:tc>
      </w:tr>
      <w:tr w:rsidR="00157AAA" w14:paraId="194A6F99" w14:textId="77777777">
        <w:trPr>
          <w:cantSplit/>
        </w:trPr>
        <w:tc>
          <w:tcPr>
            <w:tcW w:w="1440" w:type="dxa"/>
          </w:tcPr>
          <w:p w14:paraId="33E2FFAB" w14:textId="77777777" w:rsidR="00157AAA" w:rsidRDefault="006C1BE5">
            <w:pPr>
              <w:spacing w:before="100" w:after="100"/>
              <w:jc w:val="center"/>
              <w:rPr>
                <w:sz w:val="22"/>
              </w:rPr>
            </w:pPr>
            <w:r>
              <w:rPr>
                <w:sz w:val="22"/>
              </w:rPr>
              <w:br/>
              <w:t>1.</w:t>
            </w:r>
          </w:p>
        </w:tc>
        <w:tc>
          <w:tcPr>
            <w:tcW w:w="3960" w:type="dxa"/>
          </w:tcPr>
          <w:p w14:paraId="26771EAF" w14:textId="023713A4" w:rsidR="00157AAA" w:rsidRDefault="00157AAA">
            <w:pPr>
              <w:spacing w:before="100" w:after="100"/>
              <w:jc w:val="left"/>
              <w:rPr>
                <w:sz w:val="22"/>
              </w:rPr>
            </w:pPr>
          </w:p>
        </w:tc>
        <w:tc>
          <w:tcPr>
            <w:tcW w:w="1908" w:type="dxa"/>
          </w:tcPr>
          <w:p w14:paraId="42E0F811" w14:textId="77777777" w:rsidR="00157AAA" w:rsidRDefault="00157AAA">
            <w:pPr>
              <w:spacing w:before="100" w:after="100"/>
              <w:jc w:val="center"/>
              <w:rPr>
                <w:sz w:val="22"/>
              </w:rPr>
            </w:pPr>
          </w:p>
        </w:tc>
        <w:tc>
          <w:tcPr>
            <w:tcW w:w="1890" w:type="dxa"/>
          </w:tcPr>
          <w:p w14:paraId="4B996B82" w14:textId="13C1BCC1" w:rsidR="00157AAA" w:rsidRDefault="00157AAA">
            <w:pPr>
              <w:spacing w:before="100" w:after="100"/>
              <w:jc w:val="center"/>
              <w:rPr>
                <w:sz w:val="22"/>
              </w:rPr>
            </w:pPr>
          </w:p>
        </w:tc>
        <w:tc>
          <w:tcPr>
            <w:tcW w:w="1890" w:type="dxa"/>
          </w:tcPr>
          <w:p w14:paraId="57BE3111" w14:textId="0A72F57C" w:rsidR="00157AAA" w:rsidRDefault="00157AAA">
            <w:pPr>
              <w:spacing w:before="100" w:after="100"/>
              <w:jc w:val="center"/>
              <w:rPr>
                <w:sz w:val="22"/>
              </w:rPr>
            </w:pPr>
          </w:p>
        </w:tc>
        <w:tc>
          <w:tcPr>
            <w:tcW w:w="1980" w:type="dxa"/>
          </w:tcPr>
          <w:p w14:paraId="366D4706" w14:textId="77404074" w:rsidR="00157AAA" w:rsidRDefault="00157AAA">
            <w:pPr>
              <w:spacing w:before="100" w:after="100"/>
              <w:jc w:val="center"/>
              <w:rPr>
                <w:sz w:val="22"/>
              </w:rPr>
            </w:pPr>
          </w:p>
        </w:tc>
      </w:tr>
      <w:tr w:rsidR="00157AAA" w14:paraId="6D0AE5F5" w14:textId="77777777">
        <w:trPr>
          <w:cantSplit/>
        </w:trPr>
        <w:tc>
          <w:tcPr>
            <w:tcW w:w="1440" w:type="dxa"/>
          </w:tcPr>
          <w:p w14:paraId="57A7FFD2" w14:textId="77777777" w:rsidR="00157AAA" w:rsidRDefault="006C1BE5">
            <w:pPr>
              <w:spacing w:before="100" w:after="100"/>
              <w:jc w:val="center"/>
              <w:rPr>
                <w:sz w:val="22"/>
              </w:rPr>
            </w:pPr>
            <w:r>
              <w:rPr>
                <w:sz w:val="22"/>
              </w:rPr>
              <w:t>2.</w:t>
            </w:r>
          </w:p>
        </w:tc>
        <w:tc>
          <w:tcPr>
            <w:tcW w:w="3960" w:type="dxa"/>
          </w:tcPr>
          <w:p w14:paraId="630E00D1" w14:textId="76F59AFF" w:rsidR="00157AAA" w:rsidRDefault="00157AAA">
            <w:pPr>
              <w:spacing w:before="100" w:after="100"/>
              <w:jc w:val="left"/>
              <w:rPr>
                <w:sz w:val="22"/>
              </w:rPr>
            </w:pPr>
          </w:p>
        </w:tc>
        <w:tc>
          <w:tcPr>
            <w:tcW w:w="1908" w:type="dxa"/>
          </w:tcPr>
          <w:p w14:paraId="2B42307D" w14:textId="77777777" w:rsidR="00157AAA" w:rsidRDefault="00157AAA">
            <w:pPr>
              <w:spacing w:before="100" w:after="100"/>
              <w:jc w:val="center"/>
              <w:rPr>
                <w:sz w:val="22"/>
              </w:rPr>
            </w:pPr>
          </w:p>
        </w:tc>
        <w:tc>
          <w:tcPr>
            <w:tcW w:w="1890" w:type="dxa"/>
          </w:tcPr>
          <w:p w14:paraId="254AE7BB" w14:textId="47482864" w:rsidR="00157AAA" w:rsidRDefault="00157AAA">
            <w:pPr>
              <w:spacing w:before="100" w:after="100"/>
              <w:jc w:val="center"/>
              <w:rPr>
                <w:sz w:val="22"/>
              </w:rPr>
            </w:pPr>
          </w:p>
        </w:tc>
        <w:tc>
          <w:tcPr>
            <w:tcW w:w="1890" w:type="dxa"/>
          </w:tcPr>
          <w:p w14:paraId="45A8ACE0" w14:textId="2968BD36" w:rsidR="00157AAA" w:rsidRDefault="00157AAA">
            <w:pPr>
              <w:spacing w:before="100" w:after="100"/>
              <w:jc w:val="center"/>
              <w:rPr>
                <w:sz w:val="22"/>
              </w:rPr>
            </w:pPr>
          </w:p>
        </w:tc>
        <w:tc>
          <w:tcPr>
            <w:tcW w:w="1980" w:type="dxa"/>
          </w:tcPr>
          <w:p w14:paraId="72FCF333" w14:textId="322F8879" w:rsidR="00157AAA" w:rsidRDefault="00157AAA">
            <w:pPr>
              <w:spacing w:before="100" w:after="100"/>
              <w:jc w:val="center"/>
              <w:rPr>
                <w:sz w:val="22"/>
              </w:rPr>
            </w:pPr>
          </w:p>
        </w:tc>
      </w:tr>
      <w:tr w:rsidR="00157AAA" w14:paraId="143362C7" w14:textId="77777777">
        <w:trPr>
          <w:cantSplit/>
        </w:trPr>
        <w:tc>
          <w:tcPr>
            <w:tcW w:w="1440" w:type="dxa"/>
          </w:tcPr>
          <w:p w14:paraId="5624E0B6" w14:textId="77777777" w:rsidR="00157AAA" w:rsidRDefault="006C1BE5">
            <w:pPr>
              <w:spacing w:before="100" w:after="100"/>
              <w:jc w:val="center"/>
              <w:rPr>
                <w:sz w:val="22"/>
              </w:rPr>
            </w:pPr>
            <w:r>
              <w:rPr>
                <w:sz w:val="22"/>
              </w:rPr>
              <w:t>3.</w:t>
            </w:r>
          </w:p>
        </w:tc>
        <w:tc>
          <w:tcPr>
            <w:tcW w:w="3960" w:type="dxa"/>
          </w:tcPr>
          <w:p w14:paraId="5FCD97EF" w14:textId="64936B36" w:rsidR="00157AAA" w:rsidRDefault="00157AAA">
            <w:pPr>
              <w:spacing w:before="100" w:after="100"/>
              <w:jc w:val="left"/>
              <w:rPr>
                <w:sz w:val="22"/>
              </w:rPr>
            </w:pPr>
          </w:p>
        </w:tc>
        <w:tc>
          <w:tcPr>
            <w:tcW w:w="1908" w:type="dxa"/>
          </w:tcPr>
          <w:p w14:paraId="6D4A824A" w14:textId="77777777" w:rsidR="00157AAA" w:rsidRDefault="00157AAA">
            <w:pPr>
              <w:spacing w:before="100" w:after="100"/>
              <w:jc w:val="center"/>
              <w:rPr>
                <w:sz w:val="22"/>
              </w:rPr>
            </w:pPr>
          </w:p>
        </w:tc>
        <w:tc>
          <w:tcPr>
            <w:tcW w:w="1890" w:type="dxa"/>
          </w:tcPr>
          <w:p w14:paraId="5E75423F" w14:textId="77777777" w:rsidR="00157AAA" w:rsidRDefault="00157AAA">
            <w:pPr>
              <w:spacing w:before="100" w:after="100"/>
              <w:jc w:val="center"/>
              <w:rPr>
                <w:sz w:val="22"/>
              </w:rPr>
            </w:pPr>
          </w:p>
        </w:tc>
        <w:tc>
          <w:tcPr>
            <w:tcW w:w="1890" w:type="dxa"/>
          </w:tcPr>
          <w:p w14:paraId="537B6458" w14:textId="77777777" w:rsidR="00157AAA" w:rsidRDefault="00157AAA">
            <w:pPr>
              <w:spacing w:before="100" w:after="100"/>
              <w:jc w:val="center"/>
              <w:rPr>
                <w:sz w:val="22"/>
              </w:rPr>
            </w:pPr>
          </w:p>
        </w:tc>
        <w:tc>
          <w:tcPr>
            <w:tcW w:w="1980" w:type="dxa"/>
          </w:tcPr>
          <w:p w14:paraId="3FC56EAB" w14:textId="77777777" w:rsidR="00157AAA" w:rsidRDefault="00157AAA">
            <w:pPr>
              <w:spacing w:before="100" w:after="100"/>
              <w:jc w:val="center"/>
              <w:rPr>
                <w:sz w:val="22"/>
              </w:rPr>
            </w:pPr>
          </w:p>
        </w:tc>
      </w:tr>
      <w:tr w:rsidR="00157AAA" w14:paraId="1634CE03" w14:textId="77777777">
        <w:trPr>
          <w:cantSplit/>
        </w:trPr>
        <w:tc>
          <w:tcPr>
            <w:tcW w:w="1440" w:type="dxa"/>
          </w:tcPr>
          <w:p w14:paraId="126118CE" w14:textId="77777777" w:rsidR="00157AAA" w:rsidRDefault="006C1BE5">
            <w:pPr>
              <w:spacing w:before="100" w:after="100"/>
              <w:jc w:val="center"/>
              <w:rPr>
                <w:sz w:val="22"/>
              </w:rPr>
            </w:pPr>
            <w:r>
              <w:rPr>
                <w:sz w:val="22"/>
              </w:rPr>
              <w:t>3.1</w:t>
            </w:r>
          </w:p>
        </w:tc>
        <w:tc>
          <w:tcPr>
            <w:tcW w:w="3960" w:type="dxa"/>
          </w:tcPr>
          <w:p w14:paraId="32014644" w14:textId="0684EDFB" w:rsidR="00157AAA" w:rsidRDefault="00157AAA">
            <w:pPr>
              <w:spacing w:before="100" w:after="100"/>
              <w:ind w:left="450"/>
              <w:jc w:val="left"/>
              <w:rPr>
                <w:sz w:val="22"/>
              </w:rPr>
            </w:pPr>
          </w:p>
        </w:tc>
        <w:tc>
          <w:tcPr>
            <w:tcW w:w="1908" w:type="dxa"/>
          </w:tcPr>
          <w:p w14:paraId="75F177B7" w14:textId="77777777" w:rsidR="00157AAA" w:rsidRDefault="00157AAA">
            <w:pPr>
              <w:spacing w:before="100" w:after="100"/>
              <w:jc w:val="center"/>
              <w:rPr>
                <w:sz w:val="22"/>
              </w:rPr>
            </w:pPr>
          </w:p>
        </w:tc>
        <w:tc>
          <w:tcPr>
            <w:tcW w:w="1890" w:type="dxa"/>
          </w:tcPr>
          <w:p w14:paraId="4B8A9F97" w14:textId="34AA7739" w:rsidR="00157AAA" w:rsidRDefault="00157AAA">
            <w:pPr>
              <w:spacing w:before="100" w:after="100"/>
              <w:jc w:val="center"/>
              <w:rPr>
                <w:sz w:val="22"/>
              </w:rPr>
            </w:pPr>
          </w:p>
        </w:tc>
        <w:tc>
          <w:tcPr>
            <w:tcW w:w="1890" w:type="dxa"/>
          </w:tcPr>
          <w:p w14:paraId="2019444A" w14:textId="0AAC92A9" w:rsidR="00157AAA" w:rsidRDefault="00157AAA">
            <w:pPr>
              <w:spacing w:before="100" w:after="100"/>
              <w:jc w:val="center"/>
              <w:rPr>
                <w:sz w:val="22"/>
              </w:rPr>
            </w:pPr>
          </w:p>
        </w:tc>
        <w:tc>
          <w:tcPr>
            <w:tcW w:w="1980" w:type="dxa"/>
          </w:tcPr>
          <w:p w14:paraId="045D9BF6" w14:textId="198325C7" w:rsidR="00157AAA" w:rsidRDefault="00157AAA">
            <w:pPr>
              <w:spacing w:before="100" w:after="100"/>
              <w:jc w:val="center"/>
              <w:rPr>
                <w:sz w:val="22"/>
              </w:rPr>
            </w:pPr>
          </w:p>
        </w:tc>
      </w:tr>
      <w:tr w:rsidR="00157AAA" w14:paraId="3069A3CF" w14:textId="77777777">
        <w:trPr>
          <w:cantSplit/>
        </w:trPr>
        <w:tc>
          <w:tcPr>
            <w:tcW w:w="1440" w:type="dxa"/>
          </w:tcPr>
          <w:p w14:paraId="02D011ED" w14:textId="77777777" w:rsidR="00157AAA" w:rsidRDefault="006C1BE5">
            <w:pPr>
              <w:spacing w:before="100" w:after="100"/>
              <w:jc w:val="center"/>
              <w:rPr>
                <w:sz w:val="22"/>
              </w:rPr>
            </w:pPr>
            <w:r>
              <w:rPr>
                <w:sz w:val="22"/>
              </w:rPr>
              <w:t>3.2</w:t>
            </w:r>
          </w:p>
        </w:tc>
        <w:tc>
          <w:tcPr>
            <w:tcW w:w="3960" w:type="dxa"/>
          </w:tcPr>
          <w:p w14:paraId="034C537E" w14:textId="574D089A" w:rsidR="00157AAA" w:rsidRDefault="00157AAA">
            <w:pPr>
              <w:spacing w:before="100" w:after="100"/>
              <w:ind w:left="450"/>
              <w:jc w:val="left"/>
              <w:rPr>
                <w:sz w:val="22"/>
              </w:rPr>
            </w:pPr>
          </w:p>
        </w:tc>
        <w:tc>
          <w:tcPr>
            <w:tcW w:w="1908" w:type="dxa"/>
          </w:tcPr>
          <w:p w14:paraId="222BCA91" w14:textId="77777777" w:rsidR="00157AAA" w:rsidRDefault="00157AAA">
            <w:pPr>
              <w:spacing w:before="100" w:after="100"/>
              <w:jc w:val="center"/>
              <w:rPr>
                <w:sz w:val="22"/>
              </w:rPr>
            </w:pPr>
          </w:p>
        </w:tc>
        <w:tc>
          <w:tcPr>
            <w:tcW w:w="1890" w:type="dxa"/>
          </w:tcPr>
          <w:p w14:paraId="0506D339" w14:textId="414FD675" w:rsidR="00157AAA" w:rsidRDefault="00157AAA">
            <w:pPr>
              <w:spacing w:before="100" w:after="100"/>
              <w:jc w:val="center"/>
              <w:rPr>
                <w:sz w:val="22"/>
              </w:rPr>
            </w:pPr>
          </w:p>
        </w:tc>
        <w:tc>
          <w:tcPr>
            <w:tcW w:w="1890" w:type="dxa"/>
          </w:tcPr>
          <w:p w14:paraId="71E1E687" w14:textId="2EE33087" w:rsidR="00157AAA" w:rsidRDefault="00157AAA">
            <w:pPr>
              <w:spacing w:before="100" w:after="100"/>
              <w:jc w:val="center"/>
              <w:rPr>
                <w:sz w:val="22"/>
              </w:rPr>
            </w:pPr>
          </w:p>
        </w:tc>
        <w:tc>
          <w:tcPr>
            <w:tcW w:w="1980" w:type="dxa"/>
          </w:tcPr>
          <w:p w14:paraId="0255CB6C" w14:textId="5CC985B4" w:rsidR="00157AAA" w:rsidRDefault="00157AAA">
            <w:pPr>
              <w:spacing w:before="100" w:after="100"/>
              <w:jc w:val="center"/>
              <w:rPr>
                <w:sz w:val="22"/>
              </w:rPr>
            </w:pPr>
          </w:p>
        </w:tc>
      </w:tr>
      <w:tr w:rsidR="00157AAA" w14:paraId="5167953E" w14:textId="77777777">
        <w:trPr>
          <w:cantSplit/>
        </w:trPr>
        <w:tc>
          <w:tcPr>
            <w:tcW w:w="1440" w:type="dxa"/>
          </w:tcPr>
          <w:p w14:paraId="5FBE112B" w14:textId="77777777" w:rsidR="00157AAA" w:rsidRDefault="006C1BE5">
            <w:pPr>
              <w:spacing w:before="100" w:after="100"/>
              <w:jc w:val="center"/>
              <w:rPr>
                <w:sz w:val="22"/>
              </w:rPr>
            </w:pPr>
            <w:r>
              <w:rPr>
                <w:sz w:val="22"/>
              </w:rPr>
              <w:t>3.3</w:t>
            </w:r>
          </w:p>
        </w:tc>
        <w:tc>
          <w:tcPr>
            <w:tcW w:w="3960" w:type="dxa"/>
          </w:tcPr>
          <w:p w14:paraId="19A58EB7" w14:textId="42CD491E" w:rsidR="00157AAA" w:rsidRDefault="00157AAA">
            <w:pPr>
              <w:spacing w:before="100" w:after="100"/>
              <w:ind w:left="450"/>
              <w:jc w:val="left"/>
              <w:rPr>
                <w:sz w:val="22"/>
              </w:rPr>
            </w:pPr>
          </w:p>
        </w:tc>
        <w:tc>
          <w:tcPr>
            <w:tcW w:w="1908" w:type="dxa"/>
          </w:tcPr>
          <w:p w14:paraId="7F60D220" w14:textId="77777777" w:rsidR="00157AAA" w:rsidRDefault="00157AAA">
            <w:pPr>
              <w:spacing w:before="100" w:after="100"/>
              <w:jc w:val="center"/>
              <w:rPr>
                <w:sz w:val="22"/>
              </w:rPr>
            </w:pPr>
          </w:p>
        </w:tc>
        <w:tc>
          <w:tcPr>
            <w:tcW w:w="1890" w:type="dxa"/>
          </w:tcPr>
          <w:p w14:paraId="406A190D" w14:textId="587AD63E" w:rsidR="00157AAA" w:rsidRDefault="00157AAA">
            <w:pPr>
              <w:spacing w:before="100" w:after="100"/>
              <w:jc w:val="center"/>
              <w:rPr>
                <w:sz w:val="22"/>
              </w:rPr>
            </w:pPr>
          </w:p>
        </w:tc>
        <w:tc>
          <w:tcPr>
            <w:tcW w:w="1890" w:type="dxa"/>
          </w:tcPr>
          <w:p w14:paraId="414FD247" w14:textId="7B79FA43" w:rsidR="00157AAA" w:rsidRDefault="00157AAA">
            <w:pPr>
              <w:spacing w:before="100" w:after="100"/>
              <w:jc w:val="center"/>
              <w:rPr>
                <w:sz w:val="22"/>
              </w:rPr>
            </w:pPr>
          </w:p>
        </w:tc>
        <w:tc>
          <w:tcPr>
            <w:tcW w:w="1980" w:type="dxa"/>
          </w:tcPr>
          <w:p w14:paraId="2E42BD5E" w14:textId="1182D235" w:rsidR="00157AAA" w:rsidRDefault="00157AAA">
            <w:pPr>
              <w:spacing w:before="100" w:after="100"/>
              <w:jc w:val="center"/>
              <w:rPr>
                <w:sz w:val="22"/>
              </w:rPr>
            </w:pPr>
          </w:p>
        </w:tc>
      </w:tr>
      <w:tr w:rsidR="00157AAA" w14:paraId="5A160701" w14:textId="77777777">
        <w:trPr>
          <w:cantSplit/>
        </w:trPr>
        <w:tc>
          <w:tcPr>
            <w:tcW w:w="1440" w:type="dxa"/>
          </w:tcPr>
          <w:p w14:paraId="0DD53A0D" w14:textId="77777777" w:rsidR="00157AAA" w:rsidRDefault="00157AAA">
            <w:pPr>
              <w:spacing w:before="100" w:after="100"/>
              <w:jc w:val="center"/>
              <w:rPr>
                <w:sz w:val="22"/>
              </w:rPr>
            </w:pPr>
          </w:p>
        </w:tc>
        <w:tc>
          <w:tcPr>
            <w:tcW w:w="3960" w:type="dxa"/>
          </w:tcPr>
          <w:p w14:paraId="4820C5FC" w14:textId="77777777" w:rsidR="00157AAA" w:rsidRDefault="006C1BE5">
            <w:pPr>
              <w:rPr>
                <w:sz w:val="22"/>
                <w:szCs w:val="22"/>
              </w:rPr>
            </w:pPr>
            <w:r>
              <w:rPr>
                <w:sz w:val="22"/>
                <w:szCs w:val="22"/>
              </w:rPr>
              <w:t xml:space="preserve">              …</w:t>
            </w:r>
          </w:p>
        </w:tc>
        <w:tc>
          <w:tcPr>
            <w:tcW w:w="1908" w:type="dxa"/>
          </w:tcPr>
          <w:p w14:paraId="2C583668" w14:textId="77777777" w:rsidR="00157AAA" w:rsidRDefault="00157AAA">
            <w:pPr>
              <w:spacing w:before="100" w:after="100"/>
              <w:jc w:val="center"/>
              <w:rPr>
                <w:sz w:val="22"/>
              </w:rPr>
            </w:pPr>
          </w:p>
        </w:tc>
        <w:tc>
          <w:tcPr>
            <w:tcW w:w="1890" w:type="dxa"/>
          </w:tcPr>
          <w:p w14:paraId="4F2BEFCC" w14:textId="77777777" w:rsidR="00157AAA" w:rsidRDefault="00157AAA">
            <w:pPr>
              <w:spacing w:before="100" w:after="100"/>
              <w:jc w:val="center"/>
              <w:rPr>
                <w:sz w:val="22"/>
              </w:rPr>
            </w:pPr>
          </w:p>
        </w:tc>
        <w:tc>
          <w:tcPr>
            <w:tcW w:w="1890" w:type="dxa"/>
          </w:tcPr>
          <w:p w14:paraId="639B51E7" w14:textId="77777777" w:rsidR="00157AAA" w:rsidRDefault="00157AAA">
            <w:pPr>
              <w:spacing w:before="100" w:after="100"/>
              <w:jc w:val="center"/>
              <w:rPr>
                <w:sz w:val="22"/>
              </w:rPr>
            </w:pPr>
          </w:p>
        </w:tc>
        <w:tc>
          <w:tcPr>
            <w:tcW w:w="1980" w:type="dxa"/>
          </w:tcPr>
          <w:p w14:paraId="58A2013B" w14:textId="77777777" w:rsidR="00157AAA" w:rsidRDefault="00157AAA">
            <w:pPr>
              <w:spacing w:before="100" w:after="100"/>
              <w:jc w:val="center"/>
              <w:rPr>
                <w:sz w:val="22"/>
              </w:rPr>
            </w:pPr>
          </w:p>
        </w:tc>
      </w:tr>
    </w:tbl>
    <w:p w14:paraId="1A1791A6" w14:textId="77777777" w:rsidR="00157AAA" w:rsidRDefault="006C1BE5">
      <w:pPr>
        <w:ind w:left="1260" w:hanging="1260"/>
        <w:jc w:val="left"/>
        <w:rPr>
          <w:b/>
          <w:sz w:val="32"/>
          <w:szCs w:val="32"/>
        </w:rPr>
      </w:pPr>
      <w:r>
        <w:rPr>
          <w:b/>
          <w:sz w:val="22"/>
        </w:rPr>
        <w:t>Note:</w:t>
      </w:r>
      <w:r>
        <w:rPr>
          <w:sz w:val="22"/>
        </w:rPr>
        <w:t xml:space="preserve">  - </w:t>
      </w:r>
      <w:proofErr w:type="gramStart"/>
      <w:r>
        <w:rPr>
          <w:sz w:val="22"/>
        </w:rPr>
        <w:t>-  indicates</w:t>
      </w:r>
      <w:proofErr w:type="gramEnd"/>
      <w:r>
        <w:rPr>
          <w:sz w:val="22"/>
        </w:rPr>
        <w:t xml:space="preserve"> not applicable.  </w:t>
      </w:r>
      <w:proofErr w:type="gramStart"/>
      <w:r>
        <w:rPr>
          <w:sz w:val="22"/>
        </w:rPr>
        <w:t>“  indicates</w:t>
      </w:r>
      <w:proofErr w:type="gramEnd"/>
      <w:r>
        <w:rPr>
          <w:sz w:val="22"/>
        </w:rPr>
        <w:t xml:space="preserve"> repetition of table entry above.</w:t>
      </w:r>
    </w:p>
    <w:p w14:paraId="74366D9B" w14:textId="77777777" w:rsidR="00157AAA" w:rsidRDefault="00157AAA">
      <w:pPr>
        <w:tabs>
          <w:tab w:val="left" w:pos="8640"/>
        </w:tabs>
        <w:rPr>
          <w:b/>
          <w:sz w:val="32"/>
          <w:szCs w:val="32"/>
        </w:rPr>
        <w:sectPr w:rsidR="00157AAA" w:rsidSect="00734667">
          <w:headerReference w:type="even" r:id="rId146"/>
          <w:headerReference w:type="default" r:id="rId147"/>
          <w:pgSz w:w="15840" w:h="12240" w:orient="landscape"/>
          <w:pgMar w:top="1800" w:right="1440" w:bottom="1800" w:left="1440" w:header="720" w:footer="720" w:gutter="0"/>
          <w:cols w:space="720"/>
          <w:docGrid w:linePitch="360"/>
        </w:sectPr>
      </w:pPr>
    </w:p>
    <w:p w14:paraId="6717C7AC" w14:textId="77777777" w:rsidR="00157AAA" w:rsidRDefault="00157AAA">
      <w:pPr>
        <w:tabs>
          <w:tab w:val="left" w:pos="8640"/>
        </w:tabs>
        <w:rPr>
          <w:b/>
          <w:sz w:val="32"/>
          <w:szCs w:val="32"/>
        </w:rPr>
      </w:pPr>
    </w:p>
    <w:p w14:paraId="1653EEC6" w14:textId="77777777" w:rsidR="00157AAA" w:rsidRDefault="006C1BE5">
      <w:pPr>
        <w:jc w:val="center"/>
        <w:rPr>
          <w:b/>
          <w:sz w:val="36"/>
          <w:szCs w:val="36"/>
        </w:rPr>
      </w:pPr>
      <w:bookmarkStart w:id="783" w:name="_Toc454641241"/>
      <w:r>
        <w:rPr>
          <w:b/>
          <w:sz w:val="36"/>
          <w:szCs w:val="36"/>
        </w:rPr>
        <w:t>Background and Informational Materials</w:t>
      </w:r>
      <w:bookmarkEnd w:id="783"/>
    </w:p>
    <w:p w14:paraId="31A7CA8B" w14:textId="471F24B7" w:rsidR="00157AAA" w:rsidRDefault="006C1BE5">
      <w:pPr>
        <w:pStyle w:val="explanatorynotes"/>
        <w:ind w:right="720"/>
        <w:jc w:val="left"/>
        <w:rPr>
          <w:strike/>
          <w:highlight w:val="yellow"/>
        </w:rPr>
      </w:pPr>
      <w:r>
        <w:tab/>
        <w:t xml:space="preserve"> </w:t>
      </w:r>
      <w:r>
        <w:rPr>
          <w:strike/>
          <w:highlight w:val="yellow"/>
        </w:rPr>
        <w:t xml:space="preserve"> </w:t>
      </w:r>
    </w:p>
    <w:p w14:paraId="0D11FA76" w14:textId="77777777" w:rsidR="00157AAA" w:rsidRDefault="006C1BE5" w:rsidP="001136D3">
      <w:pPr>
        <w:spacing w:after="0"/>
      </w:pPr>
      <w:bookmarkStart w:id="784" w:name="_Toc125874276"/>
      <w:bookmarkStart w:id="785" w:name="_Toc190498605"/>
      <w:r>
        <w:t xml:space="preserve">The following documents will be provided as Background and Informational Materials: </w:t>
      </w:r>
    </w:p>
    <w:p w14:paraId="05C22AAE" w14:textId="77777777" w:rsidR="00157AAA" w:rsidRDefault="00157AAA">
      <w:pPr>
        <w:spacing w:after="0"/>
        <w:jc w:val="left"/>
        <w:rPr>
          <w:smallCaps/>
          <w:sz w:val="32"/>
        </w:rPr>
      </w:pPr>
    </w:p>
    <w:p w14:paraId="04EC1654" w14:textId="77777777" w:rsidR="00157AAA" w:rsidRDefault="006C1BE5" w:rsidP="00D530D5">
      <w:pPr>
        <w:pStyle w:val="ListParagraph"/>
        <w:numPr>
          <w:ilvl w:val="0"/>
          <w:numId w:val="128"/>
        </w:numPr>
        <w:spacing w:after="0"/>
        <w:rPr>
          <w:bCs/>
          <w:iCs/>
          <w:lang w:val="sv-SE" w:eastAsia="sv-SE"/>
        </w:rPr>
      </w:pPr>
      <w:r>
        <w:rPr>
          <w:bCs/>
          <w:iCs/>
          <w:lang w:val="sv-SE" w:eastAsia="sv-SE"/>
        </w:rPr>
        <w:t xml:space="preserve">TC1 - Blueprint Report on the Legal and Regulatory Framework  </w:t>
      </w:r>
    </w:p>
    <w:p w14:paraId="70214212" w14:textId="77777777" w:rsidR="00157AAA" w:rsidRDefault="00157AAA">
      <w:pPr>
        <w:spacing w:after="0"/>
        <w:rPr>
          <w:bCs/>
          <w:iCs/>
          <w:lang w:val="sv-SE" w:eastAsia="sv-SE"/>
        </w:rPr>
      </w:pPr>
    </w:p>
    <w:p w14:paraId="46F09729" w14:textId="77777777" w:rsidR="00157AAA" w:rsidRDefault="006C1BE5" w:rsidP="00D530D5">
      <w:pPr>
        <w:pStyle w:val="ListParagraph"/>
        <w:numPr>
          <w:ilvl w:val="0"/>
          <w:numId w:val="128"/>
        </w:numPr>
        <w:spacing w:after="0"/>
        <w:rPr>
          <w:bCs/>
          <w:iCs/>
          <w:lang w:val="sv-SE" w:eastAsia="sv-SE"/>
        </w:rPr>
      </w:pPr>
      <w:r>
        <w:rPr>
          <w:bCs/>
          <w:iCs/>
          <w:lang w:val="sv-SE" w:eastAsia="sv-SE"/>
        </w:rPr>
        <w:t xml:space="preserve">TC2 - Blueprint Report on the Governance and Operating Model </w:t>
      </w:r>
    </w:p>
    <w:p w14:paraId="16E3EC05" w14:textId="77777777" w:rsidR="00157AAA" w:rsidRDefault="00157AAA">
      <w:pPr>
        <w:spacing w:after="0"/>
        <w:rPr>
          <w:bCs/>
          <w:iCs/>
          <w:lang w:val="sv-SE" w:eastAsia="sv-SE"/>
        </w:rPr>
      </w:pPr>
    </w:p>
    <w:p w14:paraId="40E2336A" w14:textId="77777777" w:rsidR="00157AAA" w:rsidRDefault="006C1BE5" w:rsidP="00D530D5">
      <w:pPr>
        <w:pStyle w:val="ListParagraph"/>
        <w:numPr>
          <w:ilvl w:val="0"/>
          <w:numId w:val="128"/>
        </w:numPr>
        <w:spacing w:after="0"/>
        <w:rPr>
          <w:bCs/>
          <w:iCs/>
          <w:lang w:eastAsia="sv-SE"/>
        </w:rPr>
      </w:pPr>
      <w:r>
        <w:rPr>
          <w:bCs/>
          <w:iCs/>
          <w:lang w:val="sv-SE" w:eastAsia="sv-SE"/>
        </w:rPr>
        <w:t xml:space="preserve">TC3 - Blueprint Report on the </w:t>
      </w:r>
      <w:r>
        <w:rPr>
          <w:bCs/>
          <w:iCs/>
          <w:lang w:eastAsia="sv-SE"/>
        </w:rPr>
        <w:t xml:space="preserve">Revenue Model and Fee Structure </w:t>
      </w:r>
    </w:p>
    <w:p w14:paraId="40DB3ACE" w14:textId="77777777" w:rsidR="00157AAA" w:rsidRDefault="00157AAA">
      <w:pPr>
        <w:spacing w:after="0"/>
        <w:rPr>
          <w:smallCaps/>
          <w:sz w:val="32"/>
        </w:rPr>
      </w:pPr>
    </w:p>
    <w:p w14:paraId="356BCDBF" w14:textId="77777777" w:rsidR="00157AAA" w:rsidRDefault="006C1BE5" w:rsidP="00D530D5">
      <w:pPr>
        <w:pStyle w:val="ListParagraph"/>
        <w:numPr>
          <w:ilvl w:val="0"/>
          <w:numId w:val="128"/>
        </w:numPr>
        <w:spacing w:after="0"/>
        <w:rPr>
          <w:bCs/>
          <w:iCs/>
          <w:lang w:val="sv-SE" w:eastAsia="sv-SE"/>
        </w:rPr>
      </w:pPr>
      <w:r>
        <w:rPr>
          <w:bCs/>
          <w:iCs/>
          <w:lang w:val="sv-SE" w:eastAsia="sv-SE"/>
        </w:rPr>
        <w:t xml:space="preserve">TC4 - Blueprint Report on the  Functional and Technical Architecture </w:t>
      </w:r>
      <w:r>
        <w:rPr>
          <w:bCs/>
          <w:iCs/>
          <w:lang w:eastAsia="sv-SE"/>
        </w:rPr>
        <w:t>Specifications</w:t>
      </w:r>
      <w:r>
        <w:rPr>
          <w:bCs/>
          <w:iCs/>
          <w:lang w:val="sv-SE" w:eastAsia="sv-SE"/>
        </w:rPr>
        <w:t xml:space="preserve"> </w:t>
      </w:r>
    </w:p>
    <w:p w14:paraId="03C0FB39" w14:textId="77777777" w:rsidR="00157AAA" w:rsidRDefault="00157AAA">
      <w:pPr>
        <w:spacing w:after="0"/>
        <w:rPr>
          <w:bCs/>
          <w:iCs/>
          <w:lang w:val="sv-SE" w:eastAsia="sv-SE"/>
        </w:rPr>
      </w:pPr>
    </w:p>
    <w:p w14:paraId="1D725D3A" w14:textId="77777777" w:rsidR="00157AAA" w:rsidRDefault="006C1BE5" w:rsidP="00D530D5">
      <w:pPr>
        <w:pStyle w:val="ListParagraph"/>
        <w:numPr>
          <w:ilvl w:val="0"/>
          <w:numId w:val="128"/>
        </w:numPr>
        <w:spacing w:after="0"/>
        <w:rPr>
          <w:bCs/>
          <w:iCs/>
          <w:lang w:eastAsia="sv-SE"/>
        </w:rPr>
      </w:pPr>
      <w:r>
        <w:rPr>
          <w:bCs/>
          <w:iCs/>
          <w:lang w:val="sv-SE" w:eastAsia="sv-SE"/>
        </w:rPr>
        <w:t xml:space="preserve">TC5 - Blueprint Report on the  </w:t>
      </w:r>
      <w:r>
        <w:rPr>
          <w:bCs/>
          <w:iCs/>
          <w:lang w:eastAsia="sv-SE"/>
        </w:rPr>
        <w:t>Service Level Agreements for Participating Agencies</w:t>
      </w:r>
      <w:r>
        <w:rPr>
          <w:bCs/>
          <w:iCs/>
          <w:lang w:val="sv-SE" w:eastAsia="sv-SE"/>
        </w:rPr>
        <w:t xml:space="preserve"> </w:t>
      </w:r>
    </w:p>
    <w:p w14:paraId="476F314B" w14:textId="77777777" w:rsidR="00157AAA" w:rsidRDefault="00157AAA">
      <w:pPr>
        <w:spacing w:after="0"/>
        <w:rPr>
          <w:bCs/>
          <w:iCs/>
          <w:lang w:val="sv-SE" w:eastAsia="sv-SE"/>
        </w:rPr>
      </w:pPr>
    </w:p>
    <w:p w14:paraId="0FC2DF11" w14:textId="77777777" w:rsidR="00157AAA" w:rsidRDefault="006C1BE5" w:rsidP="00D530D5">
      <w:pPr>
        <w:pStyle w:val="ListParagraph"/>
        <w:numPr>
          <w:ilvl w:val="0"/>
          <w:numId w:val="128"/>
        </w:numPr>
        <w:spacing w:after="0"/>
        <w:rPr>
          <w:bCs/>
          <w:iCs/>
          <w:lang w:val="sv-SE" w:eastAsia="sv-SE"/>
        </w:rPr>
      </w:pPr>
      <w:r>
        <w:rPr>
          <w:bCs/>
          <w:iCs/>
          <w:lang w:val="sv-SE" w:eastAsia="sv-SE"/>
        </w:rPr>
        <w:t>TC6ab - Blueprint Report on the Business Process Re-engineering and Data Harmonization</w:t>
      </w:r>
    </w:p>
    <w:p w14:paraId="41F45A54" w14:textId="77777777" w:rsidR="00157AAA" w:rsidRDefault="00157AAA">
      <w:pPr>
        <w:spacing w:after="0"/>
        <w:rPr>
          <w:bCs/>
          <w:iCs/>
          <w:lang w:val="sv-SE" w:eastAsia="sv-SE"/>
        </w:rPr>
      </w:pPr>
    </w:p>
    <w:p w14:paraId="563A2979" w14:textId="77777777" w:rsidR="00157AAA" w:rsidRDefault="006C1BE5" w:rsidP="00D530D5">
      <w:pPr>
        <w:pStyle w:val="ListParagraph"/>
        <w:numPr>
          <w:ilvl w:val="0"/>
          <w:numId w:val="128"/>
        </w:numPr>
        <w:spacing w:after="0"/>
        <w:rPr>
          <w:bCs/>
          <w:iCs/>
          <w:lang w:val="sv-SE" w:eastAsia="sv-SE"/>
        </w:rPr>
      </w:pPr>
      <w:r>
        <w:rPr>
          <w:bCs/>
          <w:iCs/>
          <w:lang w:val="sv-SE" w:eastAsia="sv-SE"/>
        </w:rPr>
        <w:t>TC6c - Blueprint Report on the Change Management and Communications Strategy</w:t>
      </w:r>
    </w:p>
    <w:p w14:paraId="1055E273" w14:textId="77777777" w:rsidR="00157AAA" w:rsidRDefault="00157AAA">
      <w:pPr>
        <w:spacing w:after="0"/>
        <w:rPr>
          <w:bCs/>
          <w:iCs/>
          <w:lang w:val="sv-SE" w:eastAsia="sv-SE"/>
        </w:rPr>
      </w:pPr>
    </w:p>
    <w:p w14:paraId="49DD00F0" w14:textId="77777777" w:rsidR="00157AAA" w:rsidRDefault="006C1BE5" w:rsidP="00D530D5">
      <w:pPr>
        <w:pStyle w:val="ListParagraph"/>
        <w:numPr>
          <w:ilvl w:val="0"/>
          <w:numId w:val="128"/>
        </w:numPr>
        <w:spacing w:after="0"/>
        <w:rPr>
          <w:bCs/>
          <w:iCs/>
          <w:lang w:val="sv-SE" w:eastAsia="sv-SE"/>
        </w:rPr>
      </w:pPr>
      <w:r>
        <w:rPr>
          <w:bCs/>
          <w:iCs/>
          <w:lang w:val="sv-SE" w:eastAsia="sv-SE"/>
        </w:rPr>
        <w:t>TC7 - Blueprint Report on the Risk Management Strategy and Model</w:t>
      </w:r>
    </w:p>
    <w:p w14:paraId="3E79C2A4" w14:textId="77777777" w:rsidR="00157AAA" w:rsidRDefault="00157AAA">
      <w:pPr>
        <w:spacing w:after="0"/>
        <w:rPr>
          <w:bCs/>
          <w:iCs/>
          <w:lang w:val="sv-SE" w:eastAsia="sv-SE"/>
        </w:rPr>
      </w:pPr>
    </w:p>
    <w:p w14:paraId="78A03F90" w14:textId="77777777" w:rsidR="00157AAA" w:rsidRDefault="006C1BE5" w:rsidP="00D530D5">
      <w:pPr>
        <w:pStyle w:val="ListParagraph"/>
        <w:numPr>
          <w:ilvl w:val="0"/>
          <w:numId w:val="128"/>
        </w:numPr>
        <w:spacing w:after="0"/>
        <w:rPr>
          <w:bCs/>
          <w:iCs/>
          <w:lang w:val="sv-SE" w:eastAsia="sv-SE"/>
        </w:rPr>
        <w:sectPr w:rsidR="00157AAA" w:rsidSect="00734667">
          <w:headerReference w:type="default" r:id="rId148"/>
          <w:footnotePr>
            <w:numRestart w:val="eachPage"/>
          </w:footnotePr>
          <w:endnotePr>
            <w:numRestart w:val="eachSect"/>
          </w:endnotePr>
          <w:type w:val="oddPage"/>
          <w:pgSz w:w="12240" w:h="15840"/>
          <w:pgMar w:top="1440" w:right="1800" w:bottom="1440" w:left="1440" w:header="720" w:footer="432" w:gutter="0"/>
          <w:cols w:space="720"/>
          <w:docGrid w:linePitch="360"/>
        </w:sectPr>
      </w:pPr>
      <w:r>
        <w:rPr>
          <w:bCs/>
          <w:iCs/>
          <w:lang w:val="sv-SE" w:eastAsia="sv-SE"/>
        </w:rPr>
        <w:t>TC8 - Blueprint Report</w:t>
      </w:r>
      <w:r>
        <w:t xml:space="preserve"> </w:t>
      </w:r>
      <w:r>
        <w:rPr>
          <w:bCs/>
          <w:iCs/>
          <w:lang w:val="sv-SE" w:eastAsia="sv-SE"/>
        </w:rPr>
        <w:t>on the Implementation and Capacity Building Strategy</w:t>
      </w:r>
    </w:p>
    <w:p w14:paraId="7501D238" w14:textId="5B6B507A" w:rsidR="00157AAA" w:rsidRDefault="006C1BE5">
      <w:pPr>
        <w:pStyle w:val="Head0"/>
        <w:rPr>
          <w:rFonts w:ascii="Times New Roman" w:hAnsi="Times New Roman"/>
        </w:rPr>
      </w:pPr>
      <w:bookmarkStart w:id="786" w:name="_Hlt529125927"/>
      <w:bookmarkStart w:id="787" w:name="_Toc521498739"/>
      <w:bookmarkStart w:id="788" w:name="_Toc215902363"/>
      <w:bookmarkEnd w:id="546"/>
      <w:bookmarkEnd w:id="547"/>
      <w:bookmarkEnd w:id="548"/>
      <w:bookmarkEnd w:id="549"/>
      <w:bookmarkEnd w:id="550"/>
      <w:bookmarkEnd w:id="784"/>
      <w:bookmarkEnd w:id="785"/>
      <w:bookmarkEnd w:id="786"/>
      <w:r>
        <w:rPr>
          <w:rFonts w:ascii="Times New Roman" w:hAnsi="Times New Roman"/>
        </w:rPr>
        <w:lastRenderedPageBreak/>
        <w:t xml:space="preserve">PART 3 </w:t>
      </w:r>
      <w:r>
        <w:rPr>
          <w:rFonts w:ascii="Times New Roman" w:hAnsi="Times New Roman" w:hint="eastAsia"/>
        </w:rPr>
        <w:t>–</w:t>
      </w:r>
      <w:r>
        <w:rPr>
          <w:rFonts w:ascii="Times New Roman" w:hAnsi="Times New Roman"/>
        </w:rPr>
        <w:t xml:space="preserve"> Conditions of Contract and Contract Forms</w:t>
      </w:r>
    </w:p>
    <w:p w14:paraId="61EA9944" w14:textId="77777777" w:rsidR="00157AAA" w:rsidRDefault="006C1BE5">
      <w:pPr>
        <w:spacing w:after="0"/>
        <w:jc w:val="left"/>
      </w:pPr>
      <w:r>
        <w:br w:type="page" w:clear="all"/>
      </w:r>
    </w:p>
    <w:p w14:paraId="0006A757" w14:textId="77777777" w:rsidR="00157AAA" w:rsidRDefault="00157AAA">
      <w:pPr>
        <w:spacing w:before="1440"/>
        <w:jc w:val="center"/>
      </w:pPr>
    </w:p>
    <w:p w14:paraId="1A4E5BB8" w14:textId="77777777" w:rsidR="00157AAA" w:rsidRDefault="006C1BE5">
      <w:pPr>
        <w:pStyle w:val="Head02"/>
        <w:rPr>
          <w:rFonts w:ascii="Times New Roman" w:hAnsi="Times New Roman"/>
        </w:rPr>
      </w:pPr>
      <w:bookmarkStart w:id="789" w:name="_Toc445567388"/>
      <w:bookmarkStart w:id="790" w:name="_Toc73977456"/>
      <w:r>
        <w:rPr>
          <w:rFonts w:ascii="Times New Roman" w:hAnsi="Times New Roman"/>
        </w:rPr>
        <w:t>Section VIII - General Conditions of Contract</w:t>
      </w:r>
      <w:bookmarkEnd w:id="787"/>
      <w:bookmarkEnd w:id="788"/>
      <w:bookmarkEnd w:id="789"/>
      <w:bookmarkEnd w:id="790"/>
      <w:r>
        <w:rPr>
          <w:rFonts w:ascii="Times New Roman" w:hAnsi="Times New Roman"/>
        </w:rPr>
        <w:t xml:space="preserve"> </w:t>
      </w:r>
    </w:p>
    <w:p w14:paraId="4B2174A4" w14:textId="77777777" w:rsidR="00157AAA" w:rsidRDefault="00157AAA">
      <w:pPr>
        <w:jc w:val="left"/>
        <w:rPr>
          <w:sz w:val="22"/>
        </w:rPr>
      </w:pPr>
    </w:p>
    <w:p w14:paraId="5D84940F" w14:textId="77777777" w:rsidR="00157AAA" w:rsidRDefault="006C1BE5">
      <w:pPr>
        <w:pStyle w:val="Heading2"/>
        <w:rPr>
          <w:rFonts w:ascii="Times New Roman" w:hAnsi="Times New Roman"/>
        </w:rPr>
      </w:pPr>
      <w:r>
        <w:rPr>
          <w:rFonts w:ascii="Times New Roman" w:hAnsi="Times New Roman"/>
          <w:sz w:val="22"/>
        </w:rPr>
        <w:br w:type="page" w:clear="all"/>
      </w:r>
      <w:bookmarkStart w:id="791" w:name="_Hlt490858395"/>
      <w:bookmarkStart w:id="792" w:name="_Ref324794501"/>
      <w:bookmarkStart w:id="793" w:name="_Toc352140248"/>
      <w:bookmarkStart w:id="794" w:name="_Toc521498741"/>
      <w:bookmarkStart w:id="795" w:name="_Toc215902365"/>
      <w:bookmarkStart w:id="796" w:name="_Toc445567389"/>
      <w:bookmarkEnd w:id="791"/>
      <w:r>
        <w:rPr>
          <w:rFonts w:ascii="Times New Roman" w:hAnsi="Times New Roman"/>
        </w:rPr>
        <w:lastRenderedPageBreak/>
        <w:t>Table of Clauses</w:t>
      </w:r>
      <w:bookmarkEnd w:id="792"/>
      <w:bookmarkEnd w:id="793"/>
      <w:bookmarkEnd w:id="794"/>
      <w:bookmarkEnd w:id="795"/>
      <w:bookmarkEnd w:id="796"/>
    </w:p>
    <w:p w14:paraId="4230DAF7" w14:textId="7419DC5D" w:rsidR="00157AAA" w:rsidRDefault="006C1BE5">
      <w:pPr>
        <w:pStyle w:val="TOC1"/>
        <w:rPr>
          <w:rFonts w:asciiTheme="minorHAnsi" w:eastAsiaTheme="minorEastAsia" w:hAnsiTheme="minorHAnsi" w:cstheme="minorBidi"/>
          <w:b w:val="0"/>
          <w:sz w:val="22"/>
          <w:szCs w:val="22"/>
        </w:rPr>
      </w:pPr>
      <w:r>
        <w:rPr>
          <w:rFonts w:ascii="Times New Roman" w:hAnsi="Times New Roman"/>
          <w:b w:val="0"/>
        </w:rPr>
        <w:fldChar w:fldCharType="begin"/>
      </w:r>
      <w:r>
        <w:rPr>
          <w:rFonts w:ascii="Times New Roman" w:hAnsi="Times New Roman"/>
          <w:b w:val="0"/>
        </w:rPr>
        <w:instrText xml:space="preserve"> TOC \h \z \t "Head 6.1,1,Head 6.2,2" </w:instrText>
      </w:r>
      <w:r>
        <w:rPr>
          <w:rFonts w:ascii="Times New Roman" w:hAnsi="Times New Roman"/>
          <w:b w:val="0"/>
        </w:rPr>
        <w:fldChar w:fldCharType="separate"/>
      </w:r>
      <w:hyperlink w:anchor="_Toc73977691" w:tooltip="#_Toc73977691" w:history="1">
        <w:r>
          <w:rPr>
            <w:rStyle w:val="Hyperlink"/>
          </w:rPr>
          <w:t>A.  Contract and Interpretation</w:t>
        </w:r>
        <w:r>
          <w:tab/>
        </w:r>
        <w:r>
          <w:fldChar w:fldCharType="begin"/>
        </w:r>
        <w:r>
          <w:instrText xml:space="preserve"> PAGEREF _Toc73977691 \h </w:instrText>
        </w:r>
        <w:r>
          <w:fldChar w:fldCharType="separate"/>
        </w:r>
        <w:r w:rsidR="00060F24">
          <w:rPr>
            <w:noProof/>
          </w:rPr>
          <w:t>368</w:t>
        </w:r>
        <w:r>
          <w:fldChar w:fldCharType="end"/>
        </w:r>
      </w:hyperlink>
    </w:p>
    <w:p w14:paraId="674D1590" w14:textId="1F27DE9D" w:rsidR="00157AAA" w:rsidRDefault="00000000">
      <w:pPr>
        <w:pStyle w:val="TOC2"/>
        <w:rPr>
          <w:rFonts w:asciiTheme="minorHAnsi" w:eastAsiaTheme="minorEastAsia" w:hAnsiTheme="minorHAnsi" w:cstheme="minorBidi"/>
          <w:sz w:val="22"/>
          <w:szCs w:val="22"/>
        </w:rPr>
      </w:pPr>
      <w:hyperlink w:anchor="_Toc73977692" w:tooltip="#_Toc73977692" w:history="1">
        <w:r w:rsidR="006C1BE5">
          <w:rPr>
            <w:rStyle w:val="Hyperlink"/>
          </w:rPr>
          <w:t>1.</w:t>
        </w:r>
        <w:r w:rsidR="006C1BE5">
          <w:rPr>
            <w:rFonts w:asciiTheme="minorHAnsi" w:eastAsiaTheme="minorEastAsia" w:hAnsiTheme="minorHAnsi" w:cstheme="minorBidi"/>
            <w:sz w:val="22"/>
            <w:szCs w:val="22"/>
          </w:rPr>
          <w:tab/>
        </w:r>
        <w:r w:rsidR="006C1BE5">
          <w:rPr>
            <w:rStyle w:val="Hyperlink"/>
          </w:rPr>
          <w:t>Definitions</w:t>
        </w:r>
        <w:r w:rsidR="006C1BE5">
          <w:tab/>
        </w:r>
        <w:r w:rsidR="006C1BE5">
          <w:fldChar w:fldCharType="begin"/>
        </w:r>
        <w:r w:rsidR="006C1BE5">
          <w:instrText xml:space="preserve"> PAGEREF _Toc73977692 \h </w:instrText>
        </w:r>
        <w:r w:rsidR="006C1BE5">
          <w:fldChar w:fldCharType="separate"/>
        </w:r>
        <w:r w:rsidR="00060F24">
          <w:rPr>
            <w:noProof/>
          </w:rPr>
          <w:t>368</w:t>
        </w:r>
        <w:r w:rsidR="006C1BE5">
          <w:fldChar w:fldCharType="end"/>
        </w:r>
      </w:hyperlink>
    </w:p>
    <w:p w14:paraId="13411B5E" w14:textId="5793E634" w:rsidR="00157AAA" w:rsidRDefault="00000000">
      <w:pPr>
        <w:pStyle w:val="TOC2"/>
        <w:rPr>
          <w:rFonts w:asciiTheme="minorHAnsi" w:eastAsiaTheme="minorEastAsia" w:hAnsiTheme="minorHAnsi" w:cstheme="minorBidi"/>
          <w:sz w:val="22"/>
          <w:szCs w:val="22"/>
        </w:rPr>
      </w:pPr>
      <w:hyperlink w:anchor="_Toc73977693" w:tooltip="#_Toc73977693" w:history="1">
        <w:r w:rsidR="006C1BE5">
          <w:rPr>
            <w:rStyle w:val="Hyperlink"/>
          </w:rPr>
          <w:t>2.</w:t>
        </w:r>
        <w:r w:rsidR="006C1BE5">
          <w:rPr>
            <w:rFonts w:asciiTheme="minorHAnsi" w:eastAsiaTheme="minorEastAsia" w:hAnsiTheme="minorHAnsi" w:cstheme="minorBidi"/>
            <w:sz w:val="22"/>
            <w:szCs w:val="22"/>
          </w:rPr>
          <w:tab/>
        </w:r>
        <w:r w:rsidR="006C1BE5">
          <w:rPr>
            <w:rStyle w:val="Hyperlink"/>
          </w:rPr>
          <w:t>Contract Documents</w:t>
        </w:r>
        <w:r w:rsidR="006C1BE5">
          <w:tab/>
        </w:r>
        <w:r w:rsidR="006C1BE5">
          <w:fldChar w:fldCharType="begin"/>
        </w:r>
        <w:r w:rsidR="006C1BE5">
          <w:instrText xml:space="preserve"> PAGEREF _Toc73977693 \h </w:instrText>
        </w:r>
        <w:r w:rsidR="006C1BE5">
          <w:fldChar w:fldCharType="separate"/>
        </w:r>
        <w:r w:rsidR="00060F24">
          <w:rPr>
            <w:noProof/>
          </w:rPr>
          <w:t>368</w:t>
        </w:r>
        <w:r w:rsidR="006C1BE5">
          <w:fldChar w:fldCharType="end"/>
        </w:r>
      </w:hyperlink>
    </w:p>
    <w:p w14:paraId="43C3A7C3" w14:textId="5FF3496E" w:rsidR="00157AAA" w:rsidRDefault="00000000">
      <w:pPr>
        <w:pStyle w:val="TOC2"/>
        <w:rPr>
          <w:rFonts w:asciiTheme="minorHAnsi" w:eastAsiaTheme="minorEastAsia" w:hAnsiTheme="minorHAnsi" w:cstheme="minorBidi"/>
          <w:sz w:val="22"/>
          <w:szCs w:val="22"/>
        </w:rPr>
      </w:pPr>
      <w:hyperlink w:anchor="_Toc73977694" w:tooltip="#_Toc73977694" w:history="1">
        <w:r w:rsidR="006C1BE5">
          <w:rPr>
            <w:rStyle w:val="Hyperlink"/>
          </w:rPr>
          <w:t>3.</w:t>
        </w:r>
        <w:r w:rsidR="006C1BE5">
          <w:rPr>
            <w:rFonts w:asciiTheme="minorHAnsi" w:eastAsiaTheme="minorEastAsia" w:hAnsiTheme="minorHAnsi" w:cstheme="minorBidi"/>
            <w:sz w:val="22"/>
            <w:szCs w:val="22"/>
          </w:rPr>
          <w:tab/>
        </w:r>
        <w:r w:rsidR="006C1BE5">
          <w:rPr>
            <w:rStyle w:val="Hyperlink"/>
          </w:rPr>
          <w:t>Interpretation</w:t>
        </w:r>
        <w:r w:rsidR="006C1BE5">
          <w:tab/>
        </w:r>
        <w:r w:rsidR="006C1BE5">
          <w:fldChar w:fldCharType="begin"/>
        </w:r>
        <w:r w:rsidR="006C1BE5">
          <w:instrText xml:space="preserve"> PAGEREF _Toc73977694 \h </w:instrText>
        </w:r>
        <w:r w:rsidR="006C1BE5">
          <w:fldChar w:fldCharType="separate"/>
        </w:r>
        <w:r w:rsidR="00060F24">
          <w:rPr>
            <w:noProof/>
          </w:rPr>
          <w:t>368</w:t>
        </w:r>
        <w:r w:rsidR="006C1BE5">
          <w:fldChar w:fldCharType="end"/>
        </w:r>
      </w:hyperlink>
    </w:p>
    <w:p w14:paraId="4407A9AC" w14:textId="1354FA6C" w:rsidR="00157AAA" w:rsidRDefault="00000000">
      <w:pPr>
        <w:pStyle w:val="TOC2"/>
        <w:rPr>
          <w:rFonts w:asciiTheme="minorHAnsi" w:eastAsiaTheme="minorEastAsia" w:hAnsiTheme="minorHAnsi" w:cstheme="minorBidi"/>
          <w:sz w:val="22"/>
          <w:szCs w:val="22"/>
        </w:rPr>
      </w:pPr>
      <w:hyperlink w:anchor="_Toc73977695" w:tooltip="#_Toc73977695" w:history="1">
        <w:r w:rsidR="006C1BE5">
          <w:rPr>
            <w:rStyle w:val="Hyperlink"/>
          </w:rPr>
          <w:t>4.</w:t>
        </w:r>
        <w:r w:rsidR="006C1BE5">
          <w:rPr>
            <w:rFonts w:asciiTheme="minorHAnsi" w:eastAsiaTheme="minorEastAsia" w:hAnsiTheme="minorHAnsi" w:cstheme="minorBidi"/>
            <w:sz w:val="22"/>
            <w:szCs w:val="22"/>
          </w:rPr>
          <w:tab/>
        </w:r>
        <w:r w:rsidR="006C1BE5">
          <w:rPr>
            <w:rStyle w:val="Hyperlink"/>
          </w:rPr>
          <w:t>Notices</w:t>
        </w:r>
        <w:r w:rsidR="006C1BE5">
          <w:tab/>
        </w:r>
        <w:r w:rsidR="006C1BE5">
          <w:fldChar w:fldCharType="begin"/>
        </w:r>
        <w:r w:rsidR="006C1BE5">
          <w:instrText xml:space="preserve"> PAGEREF _Toc73977695 \h </w:instrText>
        </w:r>
        <w:r w:rsidR="006C1BE5">
          <w:fldChar w:fldCharType="separate"/>
        </w:r>
        <w:r w:rsidR="00060F24">
          <w:rPr>
            <w:noProof/>
          </w:rPr>
          <w:t>368</w:t>
        </w:r>
        <w:r w:rsidR="006C1BE5">
          <w:fldChar w:fldCharType="end"/>
        </w:r>
      </w:hyperlink>
    </w:p>
    <w:p w14:paraId="75051069" w14:textId="3E17C592" w:rsidR="00157AAA" w:rsidRDefault="00000000">
      <w:pPr>
        <w:pStyle w:val="TOC2"/>
        <w:rPr>
          <w:rFonts w:asciiTheme="minorHAnsi" w:eastAsiaTheme="minorEastAsia" w:hAnsiTheme="minorHAnsi" w:cstheme="minorBidi"/>
          <w:sz w:val="22"/>
          <w:szCs w:val="22"/>
        </w:rPr>
      </w:pPr>
      <w:hyperlink w:anchor="_Toc73977696" w:tooltip="#_Toc73977696" w:history="1">
        <w:r w:rsidR="006C1BE5">
          <w:rPr>
            <w:rStyle w:val="Hyperlink"/>
          </w:rPr>
          <w:t>5.</w:t>
        </w:r>
        <w:r w:rsidR="006C1BE5">
          <w:rPr>
            <w:rFonts w:asciiTheme="minorHAnsi" w:eastAsiaTheme="minorEastAsia" w:hAnsiTheme="minorHAnsi" w:cstheme="minorBidi"/>
            <w:sz w:val="22"/>
            <w:szCs w:val="22"/>
          </w:rPr>
          <w:tab/>
        </w:r>
        <w:r w:rsidR="006C1BE5">
          <w:rPr>
            <w:rStyle w:val="Hyperlink"/>
          </w:rPr>
          <w:t>Governing Law</w:t>
        </w:r>
        <w:r w:rsidR="006C1BE5">
          <w:tab/>
        </w:r>
        <w:r w:rsidR="006C1BE5">
          <w:fldChar w:fldCharType="begin"/>
        </w:r>
        <w:r w:rsidR="006C1BE5">
          <w:instrText xml:space="preserve"> PAGEREF _Toc73977696 \h </w:instrText>
        </w:r>
        <w:r w:rsidR="006C1BE5">
          <w:fldChar w:fldCharType="separate"/>
        </w:r>
        <w:r w:rsidR="00060F24">
          <w:rPr>
            <w:noProof/>
          </w:rPr>
          <w:t>368</w:t>
        </w:r>
        <w:r w:rsidR="006C1BE5">
          <w:fldChar w:fldCharType="end"/>
        </w:r>
      </w:hyperlink>
    </w:p>
    <w:p w14:paraId="5E537FAF" w14:textId="31033EB1" w:rsidR="00157AAA" w:rsidRDefault="00000000">
      <w:pPr>
        <w:pStyle w:val="TOC2"/>
        <w:rPr>
          <w:rFonts w:asciiTheme="minorHAnsi" w:eastAsiaTheme="minorEastAsia" w:hAnsiTheme="minorHAnsi" w:cstheme="minorBidi"/>
          <w:sz w:val="22"/>
          <w:szCs w:val="22"/>
        </w:rPr>
      </w:pPr>
      <w:hyperlink w:anchor="_Toc73977697" w:tooltip="#_Toc73977697" w:history="1">
        <w:r w:rsidR="006C1BE5">
          <w:rPr>
            <w:rStyle w:val="Hyperlink"/>
          </w:rPr>
          <w:t>6.</w:t>
        </w:r>
        <w:r w:rsidR="006C1BE5">
          <w:rPr>
            <w:rFonts w:asciiTheme="minorHAnsi" w:eastAsiaTheme="minorEastAsia" w:hAnsiTheme="minorHAnsi" w:cstheme="minorBidi"/>
            <w:sz w:val="22"/>
            <w:szCs w:val="22"/>
          </w:rPr>
          <w:tab/>
        </w:r>
        <w:r w:rsidR="006C1BE5">
          <w:rPr>
            <w:rStyle w:val="Hyperlink"/>
          </w:rPr>
          <w:t>Fraud and Corruption</w:t>
        </w:r>
        <w:r w:rsidR="006C1BE5">
          <w:tab/>
        </w:r>
        <w:r w:rsidR="006C1BE5">
          <w:fldChar w:fldCharType="begin"/>
        </w:r>
        <w:r w:rsidR="006C1BE5">
          <w:instrText xml:space="preserve"> PAGEREF _Toc73977697 \h </w:instrText>
        </w:r>
        <w:r w:rsidR="006C1BE5">
          <w:fldChar w:fldCharType="separate"/>
        </w:r>
        <w:r w:rsidR="00060F24">
          <w:rPr>
            <w:noProof/>
          </w:rPr>
          <w:t>368</w:t>
        </w:r>
        <w:r w:rsidR="006C1BE5">
          <w:fldChar w:fldCharType="end"/>
        </w:r>
      </w:hyperlink>
    </w:p>
    <w:p w14:paraId="44563A03" w14:textId="6488DF2B" w:rsidR="00157AAA" w:rsidRDefault="00000000">
      <w:pPr>
        <w:pStyle w:val="TOC1"/>
        <w:rPr>
          <w:rFonts w:asciiTheme="minorHAnsi" w:eastAsiaTheme="minorEastAsia" w:hAnsiTheme="minorHAnsi" w:cstheme="minorBidi"/>
          <w:b w:val="0"/>
          <w:sz w:val="22"/>
          <w:szCs w:val="22"/>
        </w:rPr>
      </w:pPr>
      <w:hyperlink w:anchor="_Toc73977698" w:tooltip="#_Toc73977698" w:history="1">
        <w:r w:rsidR="006C1BE5">
          <w:rPr>
            <w:rStyle w:val="Hyperlink"/>
          </w:rPr>
          <w:t>B.  Subject Matter of Contract</w:t>
        </w:r>
        <w:r w:rsidR="006C1BE5">
          <w:tab/>
        </w:r>
        <w:r w:rsidR="006C1BE5">
          <w:fldChar w:fldCharType="begin"/>
        </w:r>
        <w:r w:rsidR="006C1BE5">
          <w:instrText xml:space="preserve"> PAGEREF _Toc73977698 \h </w:instrText>
        </w:r>
        <w:r w:rsidR="006C1BE5">
          <w:fldChar w:fldCharType="separate"/>
        </w:r>
        <w:r w:rsidR="00060F24">
          <w:rPr>
            <w:noProof/>
          </w:rPr>
          <w:t>368</w:t>
        </w:r>
        <w:r w:rsidR="006C1BE5">
          <w:fldChar w:fldCharType="end"/>
        </w:r>
      </w:hyperlink>
    </w:p>
    <w:p w14:paraId="3AFC4BF9" w14:textId="71E670C6" w:rsidR="00157AAA" w:rsidRDefault="00000000">
      <w:pPr>
        <w:pStyle w:val="TOC2"/>
        <w:rPr>
          <w:rFonts w:asciiTheme="minorHAnsi" w:eastAsiaTheme="minorEastAsia" w:hAnsiTheme="minorHAnsi" w:cstheme="minorBidi"/>
          <w:sz w:val="22"/>
          <w:szCs w:val="22"/>
        </w:rPr>
      </w:pPr>
      <w:hyperlink w:anchor="_Toc73977699" w:tooltip="#_Toc73977699" w:history="1">
        <w:r w:rsidR="006C1BE5">
          <w:rPr>
            <w:rStyle w:val="Hyperlink"/>
          </w:rPr>
          <w:t>7.</w:t>
        </w:r>
        <w:r w:rsidR="006C1BE5">
          <w:rPr>
            <w:rFonts w:asciiTheme="minorHAnsi" w:eastAsiaTheme="minorEastAsia" w:hAnsiTheme="minorHAnsi" w:cstheme="minorBidi"/>
            <w:sz w:val="22"/>
            <w:szCs w:val="22"/>
          </w:rPr>
          <w:tab/>
        </w:r>
        <w:r w:rsidR="006C1BE5">
          <w:rPr>
            <w:rStyle w:val="Hyperlink"/>
          </w:rPr>
          <w:t>Scope of the System</w:t>
        </w:r>
        <w:r w:rsidR="006C1BE5">
          <w:tab/>
        </w:r>
        <w:r w:rsidR="006C1BE5">
          <w:fldChar w:fldCharType="begin"/>
        </w:r>
        <w:r w:rsidR="006C1BE5">
          <w:instrText xml:space="preserve"> PAGEREF _Toc73977699 \h </w:instrText>
        </w:r>
        <w:r w:rsidR="006C1BE5">
          <w:fldChar w:fldCharType="separate"/>
        </w:r>
        <w:r w:rsidR="00060F24">
          <w:rPr>
            <w:noProof/>
          </w:rPr>
          <w:t>368</w:t>
        </w:r>
        <w:r w:rsidR="006C1BE5">
          <w:fldChar w:fldCharType="end"/>
        </w:r>
      </w:hyperlink>
    </w:p>
    <w:p w14:paraId="7BFB62D9" w14:textId="30815B4F" w:rsidR="00157AAA" w:rsidRDefault="00000000">
      <w:pPr>
        <w:pStyle w:val="TOC2"/>
        <w:rPr>
          <w:rFonts w:asciiTheme="minorHAnsi" w:eastAsiaTheme="minorEastAsia" w:hAnsiTheme="minorHAnsi" w:cstheme="minorBidi"/>
          <w:sz w:val="22"/>
          <w:szCs w:val="22"/>
        </w:rPr>
      </w:pPr>
      <w:hyperlink w:anchor="_Toc73977700" w:tooltip="#_Toc73977700" w:history="1">
        <w:r w:rsidR="006C1BE5">
          <w:rPr>
            <w:rStyle w:val="Hyperlink"/>
          </w:rPr>
          <w:t>8.</w:t>
        </w:r>
        <w:r w:rsidR="006C1BE5">
          <w:rPr>
            <w:rFonts w:asciiTheme="minorHAnsi" w:eastAsiaTheme="minorEastAsia" w:hAnsiTheme="minorHAnsi" w:cstheme="minorBidi"/>
            <w:sz w:val="22"/>
            <w:szCs w:val="22"/>
          </w:rPr>
          <w:tab/>
        </w:r>
        <w:r w:rsidR="006C1BE5">
          <w:rPr>
            <w:rStyle w:val="Hyperlink"/>
          </w:rPr>
          <w:t>Time for Commencement and Operational Acceptance</w:t>
        </w:r>
        <w:r w:rsidR="006C1BE5">
          <w:tab/>
        </w:r>
        <w:r w:rsidR="006C1BE5">
          <w:fldChar w:fldCharType="begin"/>
        </w:r>
        <w:r w:rsidR="006C1BE5">
          <w:instrText xml:space="preserve"> PAGEREF _Toc73977700 \h </w:instrText>
        </w:r>
        <w:r w:rsidR="006C1BE5">
          <w:fldChar w:fldCharType="separate"/>
        </w:r>
        <w:r w:rsidR="00060F24">
          <w:rPr>
            <w:noProof/>
          </w:rPr>
          <w:t>368</w:t>
        </w:r>
        <w:r w:rsidR="006C1BE5">
          <w:fldChar w:fldCharType="end"/>
        </w:r>
      </w:hyperlink>
    </w:p>
    <w:p w14:paraId="760C2566" w14:textId="6D98B772" w:rsidR="00157AAA" w:rsidRDefault="00000000">
      <w:pPr>
        <w:pStyle w:val="TOC2"/>
        <w:rPr>
          <w:rFonts w:asciiTheme="minorHAnsi" w:eastAsiaTheme="minorEastAsia" w:hAnsiTheme="minorHAnsi" w:cstheme="minorBidi"/>
          <w:sz w:val="22"/>
          <w:szCs w:val="22"/>
        </w:rPr>
      </w:pPr>
      <w:hyperlink w:anchor="_Toc73977701" w:tooltip="#_Toc73977701" w:history="1">
        <w:r w:rsidR="006C1BE5">
          <w:rPr>
            <w:rStyle w:val="Hyperlink"/>
          </w:rPr>
          <w:t>9.</w:t>
        </w:r>
        <w:r w:rsidR="006C1BE5">
          <w:rPr>
            <w:rFonts w:asciiTheme="minorHAnsi" w:eastAsiaTheme="minorEastAsia" w:hAnsiTheme="minorHAnsi" w:cstheme="minorBidi"/>
            <w:sz w:val="22"/>
            <w:szCs w:val="22"/>
          </w:rPr>
          <w:tab/>
        </w:r>
        <w:r w:rsidR="006C1BE5">
          <w:rPr>
            <w:rStyle w:val="Hyperlink"/>
          </w:rPr>
          <w:t>Supplier’s Responsibilities</w:t>
        </w:r>
        <w:r w:rsidR="006C1BE5">
          <w:tab/>
        </w:r>
        <w:r w:rsidR="006C1BE5">
          <w:fldChar w:fldCharType="begin"/>
        </w:r>
        <w:r w:rsidR="006C1BE5">
          <w:instrText xml:space="preserve"> PAGEREF _Toc73977701 \h </w:instrText>
        </w:r>
        <w:r w:rsidR="006C1BE5">
          <w:fldChar w:fldCharType="separate"/>
        </w:r>
        <w:r w:rsidR="00060F24">
          <w:rPr>
            <w:noProof/>
          </w:rPr>
          <w:t>368</w:t>
        </w:r>
        <w:r w:rsidR="006C1BE5">
          <w:fldChar w:fldCharType="end"/>
        </w:r>
      </w:hyperlink>
    </w:p>
    <w:p w14:paraId="4B03C2F3" w14:textId="16C270C6" w:rsidR="00157AAA" w:rsidRDefault="00000000">
      <w:pPr>
        <w:pStyle w:val="TOC2"/>
        <w:rPr>
          <w:rFonts w:asciiTheme="minorHAnsi" w:eastAsiaTheme="minorEastAsia" w:hAnsiTheme="minorHAnsi" w:cstheme="minorBidi"/>
          <w:sz w:val="22"/>
          <w:szCs w:val="22"/>
        </w:rPr>
      </w:pPr>
      <w:hyperlink w:anchor="_Toc73977702" w:tooltip="#_Toc73977702" w:history="1">
        <w:r w:rsidR="006C1BE5">
          <w:rPr>
            <w:rStyle w:val="Hyperlink"/>
          </w:rPr>
          <w:t>10.</w:t>
        </w:r>
        <w:r w:rsidR="006C1BE5">
          <w:rPr>
            <w:rFonts w:asciiTheme="minorHAnsi" w:eastAsiaTheme="minorEastAsia" w:hAnsiTheme="minorHAnsi" w:cstheme="minorBidi"/>
            <w:sz w:val="22"/>
            <w:szCs w:val="22"/>
          </w:rPr>
          <w:tab/>
        </w:r>
        <w:r w:rsidR="006C1BE5">
          <w:rPr>
            <w:rStyle w:val="Hyperlink"/>
          </w:rPr>
          <w:t>Purchaser’s Responsibilities</w:t>
        </w:r>
        <w:r w:rsidR="006C1BE5">
          <w:tab/>
        </w:r>
        <w:r w:rsidR="006C1BE5">
          <w:fldChar w:fldCharType="begin"/>
        </w:r>
        <w:r w:rsidR="006C1BE5">
          <w:instrText xml:space="preserve"> PAGEREF _Toc73977702 \h </w:instrText>
        </w:r>
        <w:r w:rsidR="006C1BE5">
          <w:fldChar w:fldCharType="separate"/>
        </w:r>
        <w:r w:rsidR="00060F24">
          <w:rPr>
            <w:noProof/>
          </w:rPr>
          <w:t>368</w:t>
        </w:r>
        <w:r w:rsidR="006C1BE5">
          <w:fldChar w:fldCharType="end"/>
        </w:r>
      </w:hyperlink>
    </w:p>
    <w:p w14:paraId="6A5AB8B8" w14:textId="3C6D262F" w:rsidR="00157AAA" w:rsidRDefault="00000000">
      <w:pPr>
        <w:pStyle w:val="TOC1"/>
        <w:rPr>
          <w:rFonts w:asciiTheme="minorHAnsi" w:eastAsiaTheme="minorEastAsia" w:hAnsiTheme="minorHAnsi" w:cstheme="minorBidi"/>
          <w:b w:val="0"/>
          <w:sz w:val="22"/>
          <w:szCs w:val="22"/>
        </w:rPr>
      </w:pPr>
      <w:hyperlink w:anchor="_Toc73977703" w:tooltip="#_Toc73977703" w:history="1">
        <w:r w:rsidR="006C1BE5">
          <w:rPr>
            <w:rStyle w:val="Hyperlink"/>
          </w:rPr>
          <w:t>C.  Payment</w:t>
        </w:r>
        <w:r w:rsidR="006C1BE5">
          <w:tab/>
        </w:r>
        <w:r w:rsidR="006C1BE5">
          <w:fldChar w:fldCharType="begin"/>
        </w:r>
        <w:r w:rsidR="006C1BE5">
          <w:instrText xml:space="preserve"> PAGEREF _Toc73977703 \h </w:instrText>
        </w:r>
        <w:r w:rsidR="006C1BE5">
          <w:fldChar w:fldCharType="separate"/>
        </w:r>
        <w:r w:rsidR="00060F24">
          <w:rPr>
            <w:noProof/>
          </w:rPr>
          <w:t>368</w:t>
        </w:r>
        <w:r w:rsidR="006C1BE5">
          <w:fldChar w:fldCharType="end"/>
        </w:r>
      </w:hyperlink>
    </w:p>
    <w:p w14:paraId="356D5FE2" w14:textId="425EB323" w:rsidR="00157AAA" w:rsidRDefault="00000000">
      <w:pPr>
        <w:pStyle w:val="TOC2"/>
        <w:rPr>
          <w:rFonts w:asciiTheme="minorHAnsi" w:eastAsiaTheme="minorEastAsia" w:hAnsiTheme="minorHAnsi" w:cstheme="minorBidi"/>
          <w:sz w:val="22"/>
          <w:szCs w:val="22"/>
        </w:rPr>
      </w:pPr>
      <w:hyperlink w:anchor="_Toc73977704" w:tooltip="#_Toc73977704" w:history="1">
        <w:r w:rsidR="006C1BE5">
          <w:rPr>
            <w:rStyle w:val="Hyperlink"/>
          </w:rPr>
          <w:t>11.</w:t>
        </w:r>
        <w:r w:rsidR="006C1BE5">
          <w:rPr>
            <w:rFonts w:asciiTheme="minorHAnsi" w:eastAsiaTheme="minorEastAsia" w:hAnsiTheme="minorHAnsi" w:cstheme="minorBidi"/>
            <w:sz w:val="22"/>
            <w:szCs w:val="22"/>
          </w:rPr>
          <w:tab/>
        </w:r>
        <w:r w:rsidR="006C1BE5">
          <w:rPr>
            <w:rStyle w:val="Hyperlink"/>
          </w:rPr>
          <w:t>Contract Price</w:t>
        </w:r>
        <w:r w:rsidR="006C1BE5">
          <w:tab/>
        </w:r>
        <w:r w:rsidR="006C1BE5">
          <w:fldChar w:fldCharType="begin"/>
        </w:r>
        <w:r w:rsidR="006C1BE5">
          <w:instrText xml:space="preserve"> PAGEREF _Toc73977704 \h </w:instrText>
        </w:r>
        <w:r w:rsidR="006C1BE5">
          <w:fldChar w:fldCharType="separate"/>
        </w:r>
        <w:r w:rsidR="00060F24">
          <w:rPr>
            <w:noProof/>
          </w:rPr>
          <w:t>368</w:t>
        </w:r>
        <w:r w:rsidR="006C1BE5">
          <w:fldChar w:fldCharType="end"/>
        </w:r>
      </w:hyperlink>
    </w:p>
    <w:p w14:paraId="4004304D" w14:textId="460B2C4B" w:rsidR="00157AAA" w:rsidRDefault="00000000">
      <w:pPr>
        <w:pStyle w:val="TOC2"/>
        <w:rPr>
          <w:rFonts w:asciiTheme="minorHAnsi" w:eastAsiaTheme="minorEastAsia" w:hAnsiTheme="minorHAnsi" w:cstheme="minorBidi"/>
          <w:sz w:val="22"/>
          <w:szCs w:val="22"/>
        </w:rPr>
      </w:pPr>
      <w:hyperlink w:anchor="_Toc73977705" w:tooltip="#_Toc73977705" w:history="1">
        <w:r w:rsidR="006C1BE5">
          <w:rPr>
            <w:rStyle w:val="Hyperlink"/>
          </w:rPr>
          <w:t>12.</w:t>
        </w:r>
        <w:r w:rsidR="006C1BE5">
          <w:rPr>
            <w:rFonts w:asciiTheme="minorHAnsi" w:eastAsiaTheme="minorEastAsia" w:hAnsiTheme="minorHAnsi" w:cstheme="minorBidi"/>
            <w:sz w:val="22"/>
            <w:szCs w:val="22"/>
          </w:rPr>
          <w:tab/>
        </w:r>
        <w:r w:rsidR="006C1BE5">
          <w:rPr>
            <w:rStyle w:val="Hyperlink"/>
          </w:rPr>
          <w:t>Terms of Payment</w:t>
        </w:r>
        <w:r w:rsidR="006C1BE5">
          <w:tab/>
        </w:r>
        <w:r w:rsidR="006C1BE5">
          <w:fldChar w:fldCharType="begin"/>
        </w:r>
        <w:r w:rsidR="006C1BE5">
          <w:instrText xml:space="preserve"> PAGEREF _Toc73977705 \h </w:instrText>
        </w:r>
        <w:r w:rsidR="006C1BE5">
          <w:fldChar w:fldCharType="separate"/>
        </w:r>
        <w:r w:rsidR="00060F24">
          <w:rPr>
            <w:noProof/>
          </w:rPr>
          <w:t>368</w:t>
        </w:r>
        <w:r w:rsidR="006C1BE5">
          <w:fldChar w:fldCharType="end"/>
        </w:r>
      </w:hyperlink>
    </w:p>
    <w:p w14:paraId="7BBDD395" w14:textId="35AF0646" w:rsidR="00157AAA" w:rsidRDefault="00000000">
      <w:pPr>
        <w:pStyle w:val="TOC2"/>
        <w:rPr>
          <w:rFonts w:asciiTheme="minorHAnsi" w:eastAsiaTheme="minorEastAsia" w:hAnsiTheme="minorHAnsi" w:cstheme="minorBidi"/>
          <w:sz w:val="22"/>
          <w:szCs w:val="22"/>
        </w:rPr>
      </w:pPr>
      <w:hyperlink w:anchor="_Toc73977706" w:tooltip="#_Toc73977706" w:history="1">
        <w:r w:rsidR="006C1BE5">
          <w:rPr>
            <w:rStyle w:val="Hyperlink"/>
          </w:rPr>
          <w:t>13.</w:t>
        </w:r>
        <w:r w:rsidR="006C1BE5">
          <w:rPr>
            <w:rFonts w:asciiTheme="minorHAnsi" w:eastAsiaTheme="minorEastAsia" w:hAnsiTheme="minorHAnsi" w:cstheme="minorBidi"/>
            <w:sz w:val="22"/>
            <w:szCs w:val="22"/>
          </w:rPr>
          <w:tab/>
        </w:r>
        <w:r w:rsidR="006C1BE5">
          <w:rPr>
            <w:rStyle w:val="Hyperlink"/>
          </w:rPr>
          <w:t>Securities</w:t>
        </w:r>
        <w:r w:rsidR="006C1BE5">
          <w:tab/>
        </w:r>
        <w:r w:rsidR="006C1BE5">
          <w:fldChar w:fldCharType="begin"/>
        </w:r>
        <w:r w:rsidR="006C1BE5">
          <w:instrText xml:space="preserve"> PAGEREF _Toc73977706 \h </w:instrText>
        </w:r>
        <w:r w:rsidR="006C1BE5">
          <w:fldChar w:fldCharType="separate"/>
        </w:r>
        <w:r w:rsidR="00060F24">
          <w:rPr>
            <w:noProof/>
          </w:rPr>
          <w:t>368</w:t>
        </w:r>
        <w:r w:rsidR="006C1BE5">
          <w:fldChar w:fldCharType="end"/>
        </w:r>
      </w:hyperlink>
    </w:p>
    <w:p w14:paraId="3C6B049F" w14:textId="16907AC8" w:rsidR="00157AAA" w:rsidRDefault="00000000">
      <w:pPr>
        <w:pStyle w:val="TOC2"/>
        <w:rPr>
          <w:rFonts w:asciiTheme="minorHAnsi" w:eastAsiaTheme="minorEastAsia" w:hAnsiTheme="minorHAnsi" w:cstheme="minorBidi"/>
          <w:sz w:val="22"/>
          <w:szCs w:val="22"/>
        </w:rPr>
      </w:pPr>
      <w:hyperlink w:anchor="_Toc73977707" w:tooltip="#_Toc73977707" w:history="1">
        <w:r w:rsidR="006C1BE5">
          <w:rPr>
            <w:rStyle w:val="Hyperlink"/>
          </w:rPr>
          <w:t>14.</w:t>
        </w:r>
        <w:r w:rsidR="006C1BE5">
          <w:rPr>
            <w:rFonts w:asciiTheme="minorHAnsi" w:eastAsiaTheme="minorEastAsia" w:hAnsiTheme="minorHAnsi" w:cstheme="minorBidi"/>
            <w:sz w:val="22"/>
            <w:szCs w:val="22"/>
          </w:rPr>
          <w:tab/>
        </w:r>
        <w:r w:rsidR="006C1BE5">
          <w:rPr>
            <w:rStyle w:val="Hyperlink"/>
          </w:rPr>
          <w:t>Taxes and Duties</w:t>
        </w:r>
        <w:r w:rsidR="006C1BE5">
          <w:tab/>
        </w:r>
        <w:r w:rsidR="006C1BE5">
          <w:fldChar w:fldCharType="begin"/>
        </w:r>
        <w:r w:rsidR="006C1BE5">
          <w:instrText xml:space="preserve"> PAGEREF _Toc73977707 \h </w:instrText>
        </w:r>
        <w:r w:rsidR="006C1BE5">
          <w:fldChar w:fldCharType="separate"/>
        </w:r>
        <w:r w:rsidR="00060F24">
          <w:rPr>
            <w:noProof/>
          </w:rPr>
          <w:t>368</w:t>
        </w:r>
        <w:r w:rsidR="006C1BE5">
          <w:fldChar w:fldCharType="end"/>
        </w:r>
      </w:hyperlink>
    </w:p>
    <w:p w14:paraId="709D2D96" w14:textId="3FC30BD8" w:rsidR="00157AAA" w:rsidRDefault="00000000">
      <w:pPr>
        <w:pStyle w:val="TOC1"/>
        <w:rPr>
          <w:rFonts w:asciiTheme="minorHAnsi" w:eastAsiaTheme="minorEastAsia" w:hAnsiTheme="minorHAnsi" w:cstheme="minorBidi"/>
          <w:b w:val="0"/>
          <w:sz w:val="22"/>
          <w:szCs w:val="22"/>
        </w:rPr>
      </w:pPr>
      <w:hyperlink w:anchor="_Toc73977708" w:tooltip="#_Toc73977708" w:history="1">
        <w:r w:rsidR="006C1BE5">
          <w:rPr>
            <w:rStyle w:val="Hyperlink"/>
          </w:rPr>
          <w:t>D.  Intellectual Property</w:t>
        </w:r>
        <w:r w:rsidR="006C1BE5">
          <w:tab/>
        </w:r>
        <w:r w:rsidR="006C1BE5">
          <w:fldChar w:fldCharType="begin"/>
        </w:r>
        <w:r w:rsidR="006C1BE5">
          <w:instrText xml:space="preserve"> PAGEREF _Toc73977708 \h </w:instrText>
        </w:r>
        <w:r w:rsidR="006C1BE5">
          <w:fldChar w:fldCharType="separate"/>
        </w:r>
        <w:r w:rsidR="00060F24">
          <w:rPr>
            <w:noProof/>
          </w:rPr>
          <w:t>368</w:t>
        </w:r>
        <w:r w:rsidR="006C1BE5">
          <w:fldChar w:fldCharType="end"/>
        </w:r>
      </w:hyperlink>
    </w:p>
    <w:p w14:paraId="58EACDED" w14:textId="38AA385C" w:rsidR="00157AAA" w:rsidRDefault="00000000">
      <w:pPr>
        <w:pStyle w:val="TOC2"/>
        <w:rPr>
          <w:rFonts w:asciiTheme="minorHAnsi" w:eastAsiaTheme="minorEastAsia" w:hAnsiTheme="minorHAnsi" w:cstheme="minorBidi"/>
          <w:sz w:val="22"/>
          <w:szCs w:val="22"/>
        </w:rPr>
      </w:pPr>
      <w:hyperlink w:anchor="_Toc73977709" w:tooltip="#_Toc73977709" w:history="1">
        <w:r w:rsidR="006C1BE5">
          <w:rPr>
            <w:rStyle w:val="Hyperlink"/>
          </w:rPr>
          <w:t>15.</w:t>
        </w:r>
        <w:r w:rsidR="006C1BE5">
          <w:rPr>
            <w:rFonts w:asciiTheme="minorHAnsi" w:eastAsiaTheme="minorEastAsia" w:hAnsiTheme="minorHAnsi" w:cstheme="minorBidi"/>
            <w:sz w:val="22"/>
            <w:szCs w:val="22"/>
          </w:rPr>
          <w:tab/>
        </w:r>
        <w:r w:rsidR="006C1BE5">
          <w:rPr>
            <w:rStyle w:val="Hyperlink"/>
          </w:rPr>
          <w:t>Copyright</w:t>
        </w:r>
        <w:r w:rsidR="006C1BE5">
          <w:tab/>
        </w:r>
        <w:r w:rsidR="006C1BE5">
          <w:fldChar w:fldCharType="begin"/>
        </w:r>
        <w:r w:rsidR="006C1BE5">
          <w:instrText xml:space="preserve"> PAGEREF _Toc73977709 \h </w:instrText>
        </w:r>
        <w:r w:rsidR="006C1BE5">
          <w:fldChar w:fldCharType="separate"/>
        </w:r>
        <w:r w:rsidR="00060F24">
          <w:rPr>
            <w:noProof/>
          </w:rPr>
          <w:t>368</w:t>
        </w:r>
        <w:r w:rsidR="006C1BE5">
          <w:fldChar w:fldCharType="end"/>
        </w:r>
      </w:hyperlink>
    </w:p>
    <w:p w14:paraId="42EACF72" w14:textId="7540E18F" w:rsidR="00157AAA" w:rsidRDefault="00000000">
      <w:pPr>
        <w:pStyle w:val="TOC2"/>
        <w:rPr>
          <w:rFonts w:asciiTheme="minorHAnsi" w:eastAsiaTheme="minorEastAsia" w:hAnsiTheme="minorHAnsi" w:cstheme="minorBidi"/>
          <w:sz w:val="22"/>
          <w:szCs w:val="22"/>
        </w:rPr>
      </w:pPr>
      <w:hyperlink w:anchor="_Toc73977710" w:tooltip="#_Toc73977710" w:history="1">
        <w:r w:rsidR="006C1BE5">
          <w:rPr>
            <w:rStyle w:val="Hyperlink"/>
          </w:rPr>
          <w:t>16.</w:t>
        </w:r>
        <w:r w:rsidR="006C1BE5">
          <w:rPr>
            <w:rFonts w:asciiTheme="minorHAnsi" w:eastAsiaTheme="minorEastAsia" w:hAnsiTheme="minorHAnsi" w:cstheme="minorBidi"/>
            <w:sz w:val="22"/>
            <w:szCs w:val="22"/>
          </w:rPr>
          <w:tab/>
        </w:r>
        <w:r w:rsidR="006C1BE5">
          <w:rPr>
            <w:rStyle w:val="Hyperlink"/>
          </w:rPr>
          <w:t>Software License Agreements</w:t>
        </w:r>
        <w:r w:rsidR="006C1BE5">
          <w:tab/>
        </w:r>
        <w:r w:rsidR="006C1BE5">
          <w:fldChar w:fldCharType="begin"/>
        </w:r>
        <w:r w:rsidR="006C1BE5">
          <w:instrText xml:space="preserve"> PAGEREF _Toc73977710 \h </w:instrText>
        </w:r>
        <w:r w:rsidR="006C1BE5">
          <w:fldChar w:fldCharType="separate"/>
        </w:r>
        <w:r w:rsidR="00060F24">
          <w:rPr>
            <w:noProof/>
          </w:rPr>
          <w:t>368</w:t>
        </w:r>
        <w:r w:rsidR="006C1BE5">
          <w:fldChar w:fldCharType="end"/>
        </w:r>
      </w:hyperlink>
    </w:p>
    <w:p w14:paraId="452513CB" w14:textId="551A175F" w:rsidR="00157AAA" w:rsidRDefault="00000000">
      <w:pPr>
        <w:pStyle w:val="TOC2"/>
        <w:rPr>
          <w:rFonts w:asciiTheme="minorHAnsi" w:eastAsiaTheme="minorEastAsia" w:hAnsiTheme="minorHAnsi" w:cstheme="minorBidi"/>
          <w:sz w:val="22"/>
          <w:szCs w:val="22"/>
        </w:rPr>
      </w:pPr>
      <w:hyperlink w:anchor="_Toc73977711" w:tooltip="#_Toc73977711" w:history="1">
        <w:r w:rsidR="006C1BE5">
          <w:rPr>
            <w:rStyle w:val="Hyperlink"/>
          </w:rPr>
          <w:t>17.</w:t>
        </w:r>
        <w:r w:rsidR="006C1BE5">
          <w:rPr>
            <w:rFonts w:asciiTheme="minorHAnsi" w:eastAsiaTheme="minorEastAsia" w:hAnsiTheme="minorHAnsi" w:cstheme="minorBidi"/>
            <w:sz w:val="22"/>
            <w:szCs w:val="22"/>
          </w:rPr>
          <w:tab/>
        </w:r>
        <w:r w:rsidR="006C1BE5">
          <w:rPr>
            <w:rStyle w:val="Hyperlink"/>
          </w:rPr>
          <w:t>Confidential Information</w:t>
        </w:r>
        <w:r w:rsidR="006C1BE5">
          <w:tab/>
        </w:r>
        <w:r w:rsidR="006C1BE5">
          <w:fldChar w:fldCharType="begin"/>
        </w:r>
        <w:r w:rsidR="006C1BE5">
          <w:instrText xml:space="preserve"> PAGEREF _Toc73977711 \h </w:instrText>
        </w:r>
        <w:r w:rsidR="006C1BE5">
          <w:fldChar w:fldCharType="separate"/>
        </w:r>
        <w:r w:rsidR="00060F24">
          <w:rPr>
            <w:noProof/>
          </w:rPr>
          <w:t>368</w:t>
        </w:r>
        <w:r w:rsidR="006C1BE5">
          <w:fldChar w:fldCharType="end"/>
        </w:r>
      </w:hyperlink>
    </w:p>
    <w:p w14:paraId="3A75223F" w14:textId="64FF6B0E" w:rsidR="00157AAA" w:rsidRDefault="00000000">
      <w:pPr>
        <w:pStyle w:val="TOC1"/>
        <w:rPr>
          <w:rFonts w:asciiTheme="minorHAnsi" w:eastAsiaTheme="minorEastAsia" w:hAnsiTheme="minorHAnsi" w:cstheme="minorBidi"/>
          <w:b w:val="0"/>
          <w:sz w:val="22"/>
          <w:szCs w:val="22"/>
        </w:rPr>
      </w:pPr>
      <w:hyperlink w:anchor="_Toc73977712" w:tooltip="#_Toc73977712" w:history="1">
        <w:r w:rsidR="006C1BE5">
          <w:rPr>
            <w:rStyle w:val="Hyperlink"/>
          </w:rPr>
          <w:t>E.  Supply, Installation, Testing, Commissioning, and Acceptance of the System</w:t>
        </w:r>
        <w:r w:rsidR="006C1BE5">
          <w:tab/>
        </w:r>
        <w:r w:rsidR="006C1BE5">
          <w:fldChar w:fldCharType="begin"/>
        </w:r>
        <w:r w:rsidR="006C1BE5">
          <w:instrText xml:space="preserve"> PAGEREF _Toc73977712 \h </w:instrText>
        </w:r>
        <w:r w:rsidR="006C1BE5">
          <w:fldChar w:fldCharType="separate"/>
        </w:r>
        <w:r w:rsidR="00060F24">
          <w:rPr>
            <w:noProof/>
          </w:rPr>
          <w:t>368</w:t>
        </w:r>
        <w:r w:rsidR="006C1BE5">
          <w:fldChar w:fldCharType="end"/>
        </w:r>
      </w:hyperlink>
    </w:p>
    <w:p w14:paraId="3AAF9A03" w14:textId="35BAE63B" w:rsidR="00157AAA" w:rsidRDefault="00000000">
      <w:pPr>
        <w:pStyle w:val="TOC2"/>
        <w:rPr>
          <w:rFonts w:asciiTheme="minorHAnsi" w:eastAsiaTheme="minorEastAsia" w:hAnsiTheme="minorHAnsi" w:cstheme="minorBidi"/>
          <w:sz w:val="22"/>
          <w:szCs w:val="22"/>
        </w:rPr>
      </w:pPr>
      <w:hyperlink w:anchor="_Toc73977713" w:tooltip="#_Toc73977713" w:history="1">
        <w:r w:rsidR="006C1BE5">
          <w:rPr>
            <w:rStyle w:val="Hyperlink"/>
          </w:rPr>
          <w:t>18.</w:t>
        </w:r>
        <w:r w:rsidR="006C1BE5">
          <w:rPr>
            <w:rFonts w:asciiTheme="minorHAnsi" w:eastAsiaTheme="minorEastAsia" w:hAnsiTheme="minorHAnsi" w:cstheme="minorBidi"/>
            <w:sz w:val="22"/>
            <w:szCs w:val="22"/>
          </w:rPr>
          <w:tab/>
        </w:r>
        <w:r w:rsidR="006C1BE5">
          <w:rPr>
            <w:rStyle w:val="Hyperlink"/>
          </w:rPr>
          <w:t>Representatives</w:t>
        </w:r>
        <w:r w:rsidR="006C1BE5">
          <w:tab/>
        </w:r>
        <w:r w:rsidR="006C1BE5">
          <w:fldChar w:fldCharType="begin"/>
        </w:r>
        <w:r w:rsidR="006C1BE5">
          <w:instrText xml:space="preserve"> PAGEREF _Toc73977713 \h </w:instrText>
        </w:r>
        <w:r w:rsidR="006C1BE5">
          <w:fldChar w:fldCharType="separate"/>
        </w:r>
        <w:r w:rsidR="00060F24">
          <w:rPr>
            <w:noProof/>
          </w:rPr>
          <w:t>368</w:t>
        </w:r>
        <w:r w:rsidR="006C1BE5">
          <w:fldChar w:fldCharType="end"/>
        </w:r>
      </w:hyperlink>
    </w:p>
    <w:p w14:paraId="7DB437BB" w14:textId="5E1F3FB8" w:rsidR="00157AAA" w:rsidRDefault="00000000">
      <w:pPr>
        <w:pStyle w:val="TOC2"/>
        <w:rPr>
          <w:rFonts w:asciiTheme="minorHAnsi" w:eastAsiaTheme="minorEastAsia" w:hAnsiTheme="minorHAnsi" w:cstheme="minorBidi"/>
          <w:sz w:val="22"/>
          <w:szCs w:val="22"/>
        </w:rPr>
      </w:pPr>
      <w:hyperlink w:anchor="_Toc73977714" w:tooltip="#_Toc73977714" w:history="1">
        <w:r w:rsidR="006C1BE5">
          <w:rPr>
            <w:rStyle w:val="Hyperlink"/>
          </w:rPr>
          <w:t>19.</w:t>
        </w:r>
        <w:r w:rsidR="006C1BE5">
          <w:rPr>
            <w:rFonts w:asciiTheme="minorHAnsi" w:eastAsiaTheme="minorEastAsia" w:hAnsiTheme="minorHAnsi" w:cstheme="minorBidi"/>
            <w:sz w:val="22"/>
            <w:szCs w:val="22"/>
          </w:rPr>
          <w:tab/>
        </w:r>
        <w:r w:rsidR="006C1BE5">
          <w:rPr>
            <w:rStyle w:val="Hyperlink"/>
          </w:rPr>
          <w:t>Project Plan</w:t>
        </w:r>
        <w:r w:rsidR="006C1BE5">
          <w:tab/>
        </w:r>
        <w:r w:rsidR="006C1BE5">
          <w:fldChar w:fldCharType="begin"/>
        </w:r>
        <w:r w:rsidR="006C1BE5">
          <w:instrText xml:space="preserve"> PAGEREF _Toc73977714 \h </w:instrText>
        </w:r>
        <w:r w:rsidR="006C1BE5">
          <w:fldChar w:fldCharType="separate"/>
        </w:r>
        <w:r w:rsidR="00060F24">
          <w:rPr>
            <w:noProof/>
          </w:rPr>
          <w:t>368</w:t>
        </w:r>
        <w:r w:rsidR="006C1BE5">
          <w:fldChar w:fldCharType="end"/>
        </w:r>
      </w:hyperlink>
    </w:p>
    <w:p w14:paraId="05CB0E8D" w14:textId="6FDC7153" w:rsidR="00157AAA" w:rsidRDefault="00000000">
      <w:pPr>
        <w:pStyle w:val="TOC2"/>
        <w:rPr>
          <w:rFonts w:asciiTheme="minorHAnsi" w:eastAsiaTheme="minorEastAsia" w:hAnsiTheme="minorHAnsi" w:cstheme="minorBidi"/>
          <w:sz w:val="22"/>
          <w:szCs w:val="22"/>
        </w:rPr>
      </w:pPr>
      <w:hyperlink w:anchor="_Toc73977715" w:tooltip="#_Toc73977715" w:history="1">
        <w:r w:rsidR="006C1BE5">
          <w:rPr>
            <w:rStyle w:val="Hyperlink"/>
          </w:rPr>
          <w:t>20.</w:t>
        </w:r>
        <w:r w:rsidR="006C1BE5">
          <w:rPr>
            <w:rFonts w:asciiTheme="minorHAnsi" w:eastAsiaTheme="minorEastAsia" w:hAnsiTheme="minorHAnsi" w:cstheme="minorBidi"/>
            <w:sz w:val="22"/>
            <w:szCs w:val="22"/>
          </w:rPr>
          <w:tab/>
        </w:r>
        <w:r w:rsidR="006C1BE5">
          <w:rPr>
            <w:rStyle w:val="Hyperlink"/>
          </w:rPr>
          <w:t>Subcontracting</w:t>
        </w:r>
        <w:r w:rsidR="006C1BE5">
          <w:tab/>
        </w:r>
        <w:r w:rsidR="006C1BE5">
          <w:fldChar w:fldCharType="begin"/>
        </w:r>
        <w:r w:rsidR="006C1BE5">
          <w:instrText xml:space="preserve"> PAGEREF _Toc73977715 \h </w:instrText>
        </w:r>
        <w:r w:rsidR="006C1BE5">
          <w:fldChar w:fldCharType="separate"/>
        </w:r>
        <w:r w:rsidR="00060F24">
          <w:rPr>
            <w:noProof/>
          </w:rPr>
          <w:t>368</w:t>
        </w:r>
        <w:r w:rsidR="006C1BE5">
          <w:fldChar w:fldCharType="end"/>
        </w:r>
      </w:hyperlink>
    </w:p>
    <w:p w14:paraId="59F9F663" w14:textId="76F4642D" w:rsidR="00157AAA" w:rsidRDefault="00000000">
      <w:pPr>
        <w:pStyle w:val="TOC2"/>
        <w:rPr>
          <w:rFonts w:asciiTheme="minorHAnsi" w:eastAsiaTheme="minorEastAsia" w:hAnsiTheme="minorHAnsi" w:cstheme="minorBidi"/>
          <w:sz w:val="22"/>
          <w:szCs w:val="22"/>
        </w:rPr>
      </w:pPr>
      <w:hyperlink w:anchor="_Toc73977716" w:tooltip="#_Toc73977716" w:history="1">
        <w:r w:rsidR="006C1BE5">
          <w:rPr>
            <w:rStyle w:val="Hyperlink"/>
          </w:rPr>
          <w:t>21.</w:t>
        </w:r>
        <w:r w:rsidR="006C1BE5">
          <w:rPr>
            <w:rFonts w:asciiTheme="minorHAnsi" w:eastAsiaTheme="minorEastAsia" w:hAnsiTheme="minorHAnsi" w:cstheme="minorBidi"/>
            <w:sz w:val="22"/>
            <w:szCs w:val="22"/>
          </w:rPr>
          <w:tab/>
        </w:r>
        <w:r w:rsidR="006C1BE5">
          <w:rPr>
            <w:rStyle w:val="Hyperlink"/>
          </w:rPr>
          <w:t>Design and Engineering</w:t>
        </w:r>
        <w:r w:rsidR="006C1BE5">
          <w:tab/>
        </w:r>
        <w:r w:rsidR="006C1BE5">
          <w:fldChar w:fldCharType="begin"/>
        </w:r>
        <w:r w:rsidR="006C1BE5">
          <w:instrText xml:space="preserve"> PAGEREF _Toc73977716 \h </w:instrText>
        </w:r>
        <w:r w:rsidR="006C1BE5">
          <w:fldChar w:fldCharType="separate"/>
        </w:r>
        <w:r w:rsidR="00060F24">
          <w:rPr>
            <w:noProof/>
          </w:rPr>
          <w:t>368</w:t>
        </w:r>
        <w:r w:rsidR="006C1BE5">
          <w:fldChar w:fldCharType="end"/>
        </w:r>
      </w:hyperlink>
    </w:p>
    <w:p w14:paraId="656E1286" w14:textId="18B40943" w:rsidR="00157AAA" w:rsidRDefault="00000000">
      <w:pPr>
        <w:pStyle w:val="TOC2"/>
        <w:rPr>
          <w:rFonts w:asciiTheme="minorHAnsi" w:eastAsiaTheme="minorEastAsia" w:hAnsiTheme="minorHAnsi" w:cstheme="minorBidi"/>
          <w:sz w:val="22"/>
          <w:szCs w:val="22"/>
        </w:rPr>
      </w:pPr>
      <w:hyperlink w:anchor="_Toc73977717" w:tooltip="#_Toc73977717" w:history="1">
        <w:r w:rsidR="006C1BE5">
          <w:rPr>
            <w:rStyle w:val="Hyperlink"/>
          </w:rPr>
          <w:t>22.</w:t>
        </w:r>
        <w:r w:rsidR="006C1BE5">
          <w:rPr>
            <w:rFonts w:asciiTheme="minorHAnsi" w:eastAsiaTheme="minorEastAsia" w:hAnsiTheme="minorHAnsi" w:cstheme="minorBidi"/>
            <w:sz w:val="22"/>
            <w:szCs w:val="22"/>
          </w:rPr>
          <w:tab/>
        </w:r>
        <w:r w:rsidR="006C1BE5">
          <w:rPr>
            <w:rStyle w:val="Hyperlink"/>
          </w:rPr>
          <w:t>Procurement, Delivery, and Transport</w:t>
        </w:r>
        <w:r w:rsidR="006C1BE5">
          <w:tab/>
        </w:r>
        <w:r w:rsidR="006C1BE5">
          <w:fldChar w:fldCharType="begin"/>
        </w:r>
        <w:r w:rsidR="006C1BE5">
          <w:instrText xml:space="preserve"> PAGEREF _Toc73977717 \h </w:instrText>
        </w:r>
        <w:r w:rsidR="006C1BE5">
          <w:fldChar w:fldCharType="separate"/>
        </w:r>
        <w:r w:rsidR="00060F24">
          <w:rPr>
            <w:noProof/>
          </w:rPr>
          <w:t>368</w:t>
        </w:r>
        <w:r w:rsidR="006C1BE5">
          <w:fldChar w:fldCharType="end"/>
        </w:r>
      </w:hyperlink>
    </w:p>
    <w:p w14:paraId="4AC9815C" w14:textId="4DD40D01" w:rsidR="00157AAA" w:rsidRDefault="00000000">
      <w:pPr>
        <w:pStyle w:val="TOC2"/>
        <w:rPr>
          <w:rFonts w:asciiTheme="minorHAnsi" w:eastAsiaTheme="minorEastAsia" w:hAnsiTheme="minorHAnsi" w:cstheme="minorBidi"/>
          <w:sz w:val="22"/>
          <w:szCs w:val="22"/>
        </w:rPr>
      </w:pPr>
      <w:hyperlink w:anchor="_Toc73977718" w:tooltip="#_Toc73977718" w:history="1">
        <w:r w:rsidR="006C1BE5">
          <w:rPr>
            <w:rStyle w:val="Hyperlink"/>
          </w:rPr>
          <w:t>23.</w:t>
        </w:r>
        <w:r w:rsidR="006C1BE5">
          <w:rPr>
            <w:rFonts w:asciiTheme="minorHAnsi" w:eastAsiaTheme="minorEastAsia" w:hAnsiTheme="minorHAnsi" w:cstheme="minorBidi"/>
            <w:sz w:val="22"/>
            <w:szCs w:val="22"/>
          </w:rPr>
          <w:tab/>
        </w:r>
        <w:r w:rsidR="006C1BE5">
          <w:rPr>
            <w:rStyle w:val="Hyperlink"/>
          </w:rPr>
          <w:t>Product Upgrades</w:t>
        </w:r>
        <w:r w:rsidR="006C1BE5">
          <w:tab/>
        </w:r>
        <w:r w:rsidR="006C1BE5">
          <w:fldChar w:fldCharType="begin"/>
        </w:r>
        <w:r w:rsidR="006C1BE5">
          <w:instrText xml:space="preserve"> PAGEREF _Toc73977718 \h </w:instrText>
        </w:r>
        <w:r w:rsidR="006C1BE5">
          <w:fldChar w:fldCharType="separate"/>
        </w:r>
        <w:r w:rsidR="00060F24">
          <w:rPr>
            <w:noProof/>
          </w:rPr>
          <w:t>368</w:t>
        </w:r>
        <w:r w:rsidR="006C1BE5">
          <w:fldChar w:fldCharType="end"/>
        </w:r>
      </w:hyperlink>
    </w:p>
    <w:p w14:paraId="2F7488BB" w14:textId="5B03CC02" w:rsidR="00157AAA" w:rsidRDefault="00000000">
      <w:pPr>
        <w:pStyle w:val="TOC2"/>
        <w:rPr>
          <w:rFonts w:asciiTheme="minorHAnsi" w:eastAsiaTheme="minorEastAsia" w:hAnsiTheme="minorHAnsi" w:cstheme="minorBidi"/>
          <w:sz w:val="22"/>
          <w:szCs w:val="22"/>
        </w:rPr>
      </w:pPr>
      <w:hyperlink w:anchor="_Toc73977719" w:tooltip="#_Toc73977719" w:history="1">
        <w:r w:rsidR="006C1BE5">
          <w:rPr>
            <w:rStyle w:val="Hyperlink"/>
          </w:rPr>
          <w:t>24.</w:t>
        </w:r>
        <w:r w:rsidR="006C1BE5">
          <w:rPr>
            <w:rFonts w:asciiTheme="minorHAnsi" w:eastAsiaTheme="minorEastAsia" w:hAnsiTheme="minorHAnsi" w:cstheme="minorBidi"/>
            <w:sz w:val="22"/>
            <w:szCs w:val="22"/>
          </w:rPr>
          <w:tab/>
        </w:r>
        <w:r w:rsidR="006C1BE5">
          <w:rPr>
            <w:rStyle w:val="Hyperlink"/>
          </w:rPr>
          <w:t>Implementation, Installation, and Other Services</w:t>
        </w:r>
        <w:r w:rsidR="006C1BE5">
          <w:tab/>
        </w:r>
        <w:r w:rsidR="006C1BE5">
          <w:fldChar w:fldCharType="begin"/>
        </w:r>
        <w:r w:rsidR="006C1BE5">
          <w:instrText xml:space="preserve"> PAGEREF _Toc73977719 \h </w:instrText>
        </w:r>
        <w:r w:rsidR="006C1BE5">
          <w:fldChar w:fldCharType="separate"/>
        </w:r>
        <w:r w:rsidR="00060F24">
          <w:rPr>
            <w:noProof/>
          </w:rPr>
          <w:t>368</w:t>
        </w:r>
        <w:r w:rsidR="006C1BE5">
          <w:fldChar w:fldCharType="end"/>
        </w:r>
      </w:hyperlink>
    </w:p>
    <w:p w14:paraId="24AE2D66" w14:textId="3BB6511A" w:rsidR="00157AAA" w:rsidRDefault="00000000">
      <w:pPr>
        <w:pStyle w:val="TOC2"/>
        <w:rPr>
          <w:rFonts w:asciiTheme="minorHAnsi" w:eastAsiaTheme="minorEastAsia" w:hAnsiTheme="minorHAnsi" w:cstheme="minorBidi"/>
          <w:sz w:val="22"/>
          <w:szCs w:val="22"/>
        </w:rPr>
      </w:pPr>
      <w:hyperlink w:anchor="_Toc73977720" w:tooltip="#_Toc73977720" w:history="1">
        <w:r w:rsidR="006C1BE5">
          <w:rPr>
            <w:rStyle w:val="Hyperlink"/>
          </w:rPr>
          <w:t>25.</w:t>
        </w:r>
        <w:r w:rsidR="006C1BE5">
          <w:rPr>
            <w:rFonts w:asciiTheme="minorHAnsi" w:eastAsiaTheme="minorEastAsia" w:hAnsiTheme="minorHAnsi" w:cstheme="minorBidi"/>
            <w:sz w:val="22"/>
            <w:szCs w:val="22"/>
          </w:rPr>
          <w:tab/>
        </w:r>
        <w:r w:rsidR="006C1BE5">
          <w:rPr>
            <w:rStyle w:val="Hyperlink"/>
          </w:rPr>
          <w:t>Inspections and Tests</w:t>
        </w:r>
        <w:r w:rsidR="006C1BE5">
          <w:tab/>
        </w:r>
        <w:r w:rsidR="006C1BE5">
          <w:fldChar w:fldCharType="begin"/>
        </w:r>
        <w:r w:rsidR="006C1BE5">
          <w:instrText xml:space="preserve"> PAGEREF _Toc73977720 \h </w:instrText>
        </w:r>
        <w:r w:rsidR="006C1BE5">
          <w:fldChar w:fldCharType="separate"/>
        </w:r>
        <w:r w:rsidR="00060F24">
          <w:rPr>
            <w:noProof/>
          </w:rPr>
          <w:t>368</w:t>
        </w:r>
        <w:r w:rsidR="006C1BE5">
          <w:fldChar w:fldCharType="end"/>
        </w:r>
      </w:hyperlink>
    </w:p>
    <w:p w14:paraId="49107620" w14:textId="5C522D42" w:rsidR="00157AAA" w:rsidRDefault="00000000">
      <w:pPr>
        <w:pStyle w:val="TOC2"/>
        <w:rPr>
          <w:rFonts w:asciiTheme="minorHAnsi" w:eastAsiaTheme="minorEastAsia" w:hAnsiTheme="minorHAnsi" w:cstheme="minorBidi"/>
          <w:sz w:val="22"/>
          <w:szCs w:val="22"/>
        </w:rPr>
      </w:pPr>
      <w:hyperlink w:anchor="_Toc73977721" w:tooltip="#_Toc73977721" w:history="1">
        <w:r w:rsidR="006C1BE5">
          <w:rPr>
            <w:rStyle w:val="Hyperlink"/>
          </w:rPr>
          <w:t>26.</w:t>
        </w:r>
        <w:r w:rsidR="006C1BE5">
          <w:rPr>
            <w:rFonts w:asciiTheme="minorHAnsi" w:eastAsiaTheme="minorEastAsia" w:hAnsiTheme="minorHAnsi" w:cstheme="minorBidi"/>
            <w:sz w:val="22"/>
            <w:szCs w:val="22"/>
          </w:rPr>
          <w:tab/>
        </w:r>
        <w:r w:rsidR="006C1BE5">
          <w:rPr>
            <w:rStyle w:val="Hyperlink"/>
          </w:rPr>
          <w:t>Installation of the System</w:t>
        </w:r>
        <w:r w:rsidR="006C1BE5">
          <w:tab/>
        </w:r>
        <w:r w:rsidR="006C1BE5">
          <w:fldChar w:fldCharType="begin"/>
        </w:r>
        <w:r w:rsidR="006C1BE5">
          <w:instrText xml:space="preserve"> PAGEREF _Toc73977721 \h </w:instrText>
        </w:r>
        <w:r w:rsidR="006C1BE5">
          <w:fldChar w:fldCharType="separate"/>
        </w:r>
        <w:r w:rsidR="00060F24">
          <w:rPr>
            <w:noProof/>
          </w:rPr>
          <w:t>368</w:t>
        </w:r>
        <w:r w:rsidR="006C1BE5">
          <w:fldChar w:fldCharType="end"/>
        </w:r>
      </w:hyperlink>
    </w:p>
    <w:p w14:paraId="17907BD3" w14:textId="579F1C82" w:rsidR="00157AAA" w:rsidRDefault="00000000">
      <w:pPr>
        <w:pStyle w:val="TOC2"/>
        <w:rPr>
          <w:rFonts w:asciiTheme="minorHAnsi" w:eastAsiaTheme="minorEastAsia" w:hAnsiTheme="minorHAnsi" w:cstheme="minorBidi"/>
          <w:sz w:val="22"/>
          <w:szCs w:val="22"/>
        </w:rPr>
      </w:pPr>
      <w:hyperlink w:anchor="_Toc73977722" w:tooltip="#_Toc73977722" w:history="1">
        <w:r w:rsidR="006C1BE5">
          <w:rPr>
            <w:rStyle w:val="Hyperlink"/>
          </w:rPr>
          <w:t>27.</w:t>
        </w:r>
        <w:r w:rsidR="006C1BE5">
          <w:rPr>
            <w:rFonts w:asciiTheme="minorHAnsi" w:eastAsiaTheme="minorEastAsia" w:hAnsiTheme="minorHAnsi" w:cstheme="minorBidi"/>
            <w:sz w:val="22"/>
            <w:szCs w:val="22"/>
          </w:rPr>
          <w:tab/>
        </w:r>
        <w:r w:rsidR="006C1BE5">
          <w:rPr>
            <w:rStyle w:val="Hyperlink"/>
          </w:rPr>
          <w:t>Commissioning and Operational Acceptance</w:t>
        </w:r>
        <w:r w:rsidR="006C1BE5">
          <w:tab/>
        </w:r>
        <w:r w:rsidR="006C1BE5">
          <w:fldChar w:fldCharType="begin"/>
        </w:r>
        <w:r w:rsidR="006C1BE5">
          <w:instrText xml:space="preserve"> PAGEREF _Toc73977722 \h </w:instrText>
        </w:r>
        <w:r w:rsidR="006C1BE5">
          <w:fldChar w:fldCharType="separate"/>
        </w:r>
        <w:r w:rsidR="00060F24">
          <w:rPr>
            <w:noProof/>
          </w:rPr>
          <w:t>368</w:t>
        </w:r>
        <w:r w:rsidR="006C1BE5">
          <w:fldChar w:fldCharType="end"/>
        </w:r>
      </w:hyperlink>
    </w:p>
    <w:p w14:paraId="1CEB0B19" w14:textId="0E1597C6" w:rsidR="00157AAA" w:rsidRDefault="00000000">
      <w:pPr>
        <w:pStyle w:val="TOC1"/>
        <w:rPr>
          <w:rFonts w:asciiTheme="minorHAnsi" w:eastAsiaTheme="minorEastAsia" w:hAnsiTheme="minorHAnsi" w:cstheme="minorBidi"/>
          <w:b w:val="0"/>
          <w:sz w:val="22"/>
          <w:szCs w:val="22"/>
        </w:rPr>
      </w:pPr>
      <w:hyperlink w:anchor="_Toc73977723" w:tooltip="#_Toc73977723" w:history="1">
        <w:r w:rsidR="006C1BE5">
          <w:rPr>
            <w:rStyle w:val="Hyperlink"/>
          </w:rPr>
          <w:t>F.  Guarantees and Liabilities</w:t>
        </w:r>
        <w:r w:rsidR="006C1BE5">
          <w:tab/>
        </w:r>
        <w:r w:rsidR="006C1BE5">
          <w:fldChar w:fldCharType="begin"/>
        </w:r>
        <w:r w:rsidR="006C1BE5">
          <w:instrText xml:space="preserve"> PAGEREF _Toc73977723 \h </w:instrText>
        </w:r>
        <w:r w:rsidR="006C1BE5">
          <w:fldChar w:fldCharType="separate"/>
        </w:r>
        <w:r w:rsidR="00060F24">
          <w:rPr>
            <w:noProof/>
          </w:rPr>
          <w:t>368</w:t>
        </w:r>
        <w:r w:rsidR="006C1BE5">
          <w:fldChar w:fldCharType="end"/>
        </w:r>
      </w:hyperlink>
    </w:p>
    <w:p w14:paraId="00156F77" w14:textId="6D6C33A9" w:rsidR="00157AAA" w:rsidRDefault="00000000">
      <w:pPr>
        <w:pStyle w:val="TOC2"/>
        <w:rPr>
          <w:rFonts w:asciiTheme="minorHAnsi" w:eastAsiaTheme="minorEastAsia" w:hAnsiTheme="minorHAnsi" w:cstheme="minorBidi"/>
          <w:sz w:val="22"/>
          <w:szCs w:val="22"/>
        </w:rPr>
      </w:pPr>
      <w:hyperlink w:anchor="_Toc73977724" w:tooltip="#_Toc73977724" w:history="1">
        <w:r w:rsidR="006C1BE5">
          <w:rPr>
            <w:rStyle w:val="Hyperlink"/>
          </w:rPr>
          <w:t>28.</w:t>
        </w:r>
        <w:r w:rsidR="006C1BE5">
          <w:rPr>
            <w:rFonts w:asciiTheme="minorHAnsi" w:eastAsiaTheme="minorEastAsia" w:hAnsiTheme="minorHAnsi" w:cstheme="minorBidi"/>
            <w:sz w:val="22"/>
            <w:szCs w:val="22"/>
          </w:rPr>
          <w:tab/>
        </w:r>
        <w:r w:rsidR="006C1BE5">
          <w:rPr>
            <w:rStyle w:val="Hyperlink"/>
          </w:rPr>
          <w:t>Operational Acceptance Time Guarantee</w:t>
        </w:r>
        <w:r w:rsidR="006C1BE5">
          <w:tab/>
        </w:r>
        <w:r w:rsidR="006C1BE5">
          <w:fldChar w:fldCharType="begin"/>
        </w:r>
        <w:r w:rsidR="006C1BE5">
          <w:instrText xml:space="preserve"> PAGEREF _Toc73977724 \h </w:instrText>
        </w:r>
        <w:r w:rsidR="006C1BE5">
          <w:fldChar w:fldCharType="separate"/>
        </w:r>
        <w:r w:rsidR="00060F24">
          <w:rPr>
            <w:noProof/>
          </w:rPr>
          <w:t>368</w:t>
        </w:r>
        <w:r w:rsidR="006C1BE5">
          <w:fldChar w:fldCharType="end"/>
        </w:r>
      </w:hyperlink>
    </w:p>
    <w:p w14:paraId="5161D03E" w14:textId="6B06C517" w:rsidR="00157AAA" w:rsidRDefault="00000000">
      <w:pPr>
        <w:pStyle w:val="TOC2"/>
        <w:rPr>
          <w:rFonts w:asciiTheme="minorHAnsi" w:eastAsiaTheme="minorEastAsia" w:hAnsiTheme="minorHAnsi" w:cstheme="minorBidi"/>
          <w:sz w:val="22"/>
          <w:szCs w:val="22"/>
        </w:rPr>
      </w:pPr>
      <w:hyperlink w:anchor="_Toc73977725" w:tooltip="#_Toc73977725" w:history="1">
        <w:r w:rsidR="006C1BE5">
          <w:rPr>
            <w:rStyle w:val="Hyperlink"/>
          </w:rPr>
          <w:t>29.</w:t>
        </w:r>
        <w:r w:rsidR="006C1BE5">
          <w:rPr>
            <w:rFonts w:asciiTheme="minorHAnsi" w:eastAsiaTheme="minorEastAsia" w:hAnsiTheme="minorHAnsi" w:cstheme="minorBidi"/>
            <w:sz w:val="22"/>
            <w:szCs w:val="22"/>
          </w:rPr>
          <w:tab/>
        </w:r>
        <w:r w:rsidR="006C1BE5">
          <w:rPr>
            <w:rStyle w:val="Hyperlink"/>
          </w:rPr>
          <w:t>Defect Liability</w:t>
        </w:r>
        <w:r w:rsidR="006C1BE5">
          <w:tab/>
        </w:r>
        <w:r w:rsidR="006C1BE5">
          <w:fldChar w:fldCharType="begin"/>
        </w:r>
        <w:r w:rsidR="006C1BE5">
          <w:instrText xml:space="preserve"> PAGEREF _Toc73977725 \h </w:instrText>
        </w:r>
        <w:r w:rsidR="006C1BE5">
          <w:fldChar w:fldCharType="separate"/>
        </w:r>
        <w:r w:rsidR="00060F24">
          <w:rPr>
            <w:noProof/>
          </w:rPr>
          <w:t>368</w:t>
        </w:r>
        <w:r w:rsidR="006C1BE5">
          <w:fldChar w:fldCharType="end"/>
        </w:r>
      </w:hyperlink>
    </w:p>
    <w:p w14:paraId="307EB437" w14:textId="7DC3F65E" w:rsidR="00157AAA" w:rsidRDefault="00000000">
      <w:pPr>
        <w:pStyle w:val="TOC2"/>
        <w:rPr>
          <w:rFonts w:asciiTheme="minorHAnsi" w:eastAsiaTheme="minorEastAsia" w:hAnsiTheme="minorHAnsi" w:cstheme="minorBidi"/>
          <w:sz w:val="22"/>
          <w:szCs w:val="22"/>
        </w:rPr>
      </w:pPr>
      <w:hyperlink w:anchor="_Toc73977726" w:tooltip="#_Toc73977726" w:history="1">
        <w:r w:rsidR="006C1BE5">
          <w:rPr>
            <w:rStyle w:val="Hyperlink"/>
          </w:rPr>
          <w:t>30.</w:t>
        </w:r>
        <w:r w:rsidR="006C1BE5">
          <w:rPr>
            <w:rFonts w:asciiTheme="minorHAnsi" w:eastAsiaTheme="minorEastAsia" w:hAnsiTheme="minorHAnsi" w:cstheme="minorBidi"/>
            <w:sz w:val="22"/>
            <w:szCs w:val="22"/>
          </w:rPr>
          <w:tab/>
        </w:r>
        <w:r w:rsidR="006C1BE5">
          <w:rPr>
            <w:rStyle w:val="Hyperlink"/>
          </w:rPr>
          <w:t>Functional Guarantees</w:t>
        </w:r>
        <w:r w:rsidR="006C1BE5">
          <w:tab/>
        </w:r>
        <w:r w:rsidR="006C1BE5">
          <w:fldChar w:fldCharType="begin"/>
        </w:r>
        <w:r w:rsidR="006C1BE5">
          <w:instrText xml:space="preserve"> PAGEREF _Toc73977726 \h </w:instrText>
        </w:r>
        <w:r w:rsidR="006C1BE5">
          <w:fldChar w:fldCharType="separate"/>
        </w:r>
        <w:r w:rsidR="00060F24">
          <w:rPr>
            <w:noProof/>
          </w:rPr>
          <w:t>368</w:t>
        </w:r>
        <w:r w:rsidR="006C1BE5">
          <w:fldChar w:fldCharType="end"/>
        </w:r>
      </w:hyperlink>
    </w:p>
    <w:p w14:paraId="07D4735B" w14:textId="61CF6D75" w:rsidR="00157AAA" w:rsidRDefault="00000000">
      <w:pPr>
        <w:pStyle w:val="TOC2"/>
        <w:rPr>
          <w:rFonts w:asciiTheme="minorHAnsi" w:eastAsiaTheme="minorEastAsia" w:hAnsiTheme="minorHAnsi" w:cstheme="minorBidi"/>
          <w:sz w:val="22"/>
          <w:szCs w:val="22"/>
        </w:rPr>
      </w:pPr>
      <w:hyperlink w:anchor="_Toc73977727" w:tooltip="#_Toc73977727" w:history="1">
        <w:r w:rsidR="006C1BE5">
          <w:rPr>
            <w:rStyle w:val="Hyperlink"/>
          </w:rPr>
          <w:t>31.</w:t>
        </w:r>
        <w:r w:rsidR="006C1BE5">
          <w:rPr>
            <w:rFonts w:asciiTheme="minorHAnsi" w:eastAsiaTheme="minorEastAsia" w:hAnsiTheme="minorHAnsi" w:cstheme="minorBidi"/>
            <w:sz w:val="22"/>
            <w:szCs w:val="22"/>
          </w:rPr>
          <w:tab/>
        </w:r>
        <w:r w:rsidR="006C1BE5">
          <w:rPr>
            <w:rStyle w:val="Hyperlink"/>
          </w:rPr>
          <w:t>Intellectual Property Rights Warranty</w:t>
        </w:r>
        <w:r w:rsidR="006C1BE5">
          <w:tab/>
        </w:r>
        <w:r w:rsidR="006C1BE5">
          <w:fldChar w:fldCharType="begin"/>
        </w:r>
        <w:r w:rsidR="006C1BE5">
          <w:instrText xml:space="preserve"> PAGEREF _Toc73977727 \h </w:instrText>
        </w:r>
        <w:r w:rsidR="006C1BE5">
          <w:fldChar w:fldCharType="separate"/>
        </w:r>
        <w:r w:rsidR="00060F24">
          <w:rPr>
            <w:noProof/>
          </w:rPr>
          <w:t>368</w:t>
        </w:r>
        <w:r w:rsidR="006C1BE5">
          <w:fldChar w:fldCharType="end"/>
        </w:r>
      </w:hyperlink>
    </w:p>
    <w:p w14:paraId="7C5A2792" w14:textId="6DA6FE56" w:rsidR="00157AAA" w:rsidRDefault="00000000">
      <w:pPr>
        <w:pStyle w:val="TOC2"/>
        <w:rPr>
          <w:rFonts w:asciiTheme="minorHAnsi" w:eastAsiaTheme="minorEastAsia" w:hAnsiTheme="minorHAnsi" w:cstheme="minorBidi"/>
          <w:sz w:val="22"/>
          <w:szCs w:val="22"/>
        </w:rPr>
      </w:pPr>
      <w:hyperlink w:anchor="_Toc73977728" w:tooltip="#_Toc73977728" w:history="1">
        <w:r w:rsidR="006C1BE5">
          <w:rPr>
            <w:rStyle w:val="Hyperlink"/>
          </w:rPr>
          <w:t>32.</w:t>
        </w:r>
        <w:r w:rsidR="006C1BE5">
          <w:rPr>
            <w:rFonts w:asciiTheme="minorHAnsi" w:eastAsiaTheme="minorEastAsia" w:hAnsiTheme="minorHAnsi" w:cstheme="minorBidi"/>
            <w:sz w:val="22"/>
            <w:szCs w:val="22"/>
          </w:rPr>
          <w:tab/>
        </w:r>
        <w:r w:rsidR="006C1BE5">
          <w:rPr>
            <w:rStyle w:val="Hyperlink"/>
          </w:rPr>
          <w:t>Intellectual Property Rights Indemnity</w:t>
        </w:r>
        <w:r w:rsidR="006C1BE5">
          <w:tab/>
        </w:r>
        <w:r w:rsidR="006C1BE5">
          <w:fldChar w:fldCharType="begin"/>
        </w:r>
        <w:r w:rsidR="006C1BE5">
          <w:instrText xml:space="preserve"> PAGEREF _Toc73977728 \h </w:instrText>
        </w:r>
        <w:r w:rsidR="006C1BE5">
          <w:fldChar w:fldCharType="separate"/>
        </w:r>
        <w:r w:rsidR="00060F24">
          <w:rPr>
            <w:noProof/>
          </w:rPr>
          <w:t>368</w:t>
        </w:r>
        <w:r w:rsidR="006C1BE5">
          <w:fldChar w:fldCharType="end"/>
        </w:r>
      </w:hyperlink>
    </w:p>
    <w:p w14:paraId="29AD111D" w14:textId="3A782B78" w:rsidR="00157AAA" w:rsidRDefault="00000000">
      <w:pPr>
        <w:pStyle w:val="TOC2"/>
        <w:rPr>
          <w:rFonts w:asciiTheme="minorHAnsi" w:eastAsiaTheme="minorEastAsia" w:hAnsiTheme="minorHAnsi" w:cstheme="minorBidi"/>
          <w:sz w:val="22"/>
          <w:szCs w:val="22"/>
        </w:rPr>
      </w:pPr>
      <w:hyperlink w:anchor="_Toc73977729" w:tooltip="#_Toc73977729" w:history="1">
        <w:r w:rsidR="006C1BE5">
          <w:rPr>
            <w:rStyle w:val="Hyperlink"/>
          </w:rPr>
          <w:t>33.</w:t>
        </w:r>
        <w:r w:rsidR="006C1BE5">
          <w:rPr>
            <w:rFonts w:asciiTheme="minorHAnsi" w:eastAsiaTheme="minorEastAsia" w:hAnsiTheme="minorHAnsi" w:cstheme="minorBidi"/>
            <w:sz w:val="22"/>
            <w:szCs w:val="22"/>
          </w:rPr>
          <w:tab/>
        </w:r>
        <w:r w:rsidR="006C1BE5">
          <w:rPr>
            <w:rStyle w:val="Hyperlink"/>
          </w:rPr>
          <w:t>Limitation of Liability</w:t>
        </w:r>
        <w:r w:rsidR="006C1BE5">
          <w:tab/>
        </w:r>
        <w:r w:rsidR="006C1BE5">
          <w:fldChar w:fldCharType="begin"/>
        </w:r>
        <w:r w:rsidR="006C1BE5">
          <w:instrText xml:space="preserve"> PAGEREF _Toc73977729 \h </w:instrText>
        </w:r>
        <w:r w:rsidR="006C1BE5">
          <w:fldChar w:fldCharType="separate"/>
        </w:r>
        <w:r w:rsidR="00060F24">
          <w:rPr>
            <w:noProof/>
          </w:rPr>
          <w:t>368</w:t>
        </w:r>
        <w:r w:rsidR="006C1BE5">
          <w:fldChar w:fldCharType="end"/>
        </w:r>
      </w:hyperlink>
    </w:p>
    <w:p w14:paraId="6F764FC9" w14:textId="2F2868BF" w:rsidR="00157AAA" w:rsidRDefault="00000000">
      <w:pPr>
        <w:pStyle w:val="TOC1"/>
        <w:rPr>
          <w:rFonts w:asciiTheme="minorHAnsi" w:eastAsiaTheme="minorEastAsia" w:hAnsiTheme="minorHAnsi" w:cstheme="minorBidi"/>
          <w:b w:val="0"/>
          <w:sz w:val="22"/>
          <w:szCs w:val="22"/>
        </w:rPr>
      </w:pPr>
      <w:hyperlink w:anchor="_Toc73977730" w:tooltip="#_Toc73977730" w:history="1">
        <w:r w:rsidR="006C1BE5">
          <w:rPr>
            <w:rStyle w:val="Hyperlink"/>
          </w:rPr>
          <w:t>G.  Risk Distribution</w:t>
        </w:r>
        <w:r w:rsidR="006C1BE5">
          <w:tab/>
        </w:r>
        <w:r w:rsidR="006C1BE5">
          <w:fldChar w:fldCharType="begin"/>
        </w:r>
        <w:r w:rsidR="006C1BE5">
          <w:instrText xml:space="preserve"> PAGEREF _Toc73977730 \h </w:instrText>
        </w:r>
        <w:r w:rsidR="006C1BE5">
          <w:fldChar w:fldCharType="separate"/>
        </w:r>
        <w:r w:rsidR="00060F24">
          <w:rPr>
            <w:noProof/>
          </w:rPr>
          <w:t>368</w:t>
        </w:r>
        <w:r w:rsidR="006C1BE5">
          <w:fldChar w:fldCharType="end"/>
        </w:r>
      </w:hyperlink>
    </w:p>
    <w:p w14:paraId="28DFD273" w14:textId="3C472C2C" w:rsidR="00157AAA" w:rsidRDefault="00000000">
      <w:pPr>
        <w:pStyle w:val="TOC2"/>
        <w:rPr>
          <w:rFonts w:asciiTheme="minorHAnsi" w:eastAsiaTheme="minorEastAsia" w:hAnsiTheme="minorHAnsi" w:cstheme="minorBidi"/>
          <w:sz w:val="22"/>
          <w:szCs w:val="22"/>
        </w:rPr>
      </w:pPr>
      <w:hyperlink w:anchor="_Toc73977731" w:tooltip="#_Toc73977731" w:history="1">
        <w:r w:rsidR="006C1BE5">
          <w:rPr>
            <w:rStyle w:val="Hyperlink"/>
          </w:rPr>
          <w:t>34.</w:t>
        </w:r>
        <w:r w:rsidR="006C1BE5">
          <w:rPr>
            <w:rFonts w:asciiTheme="minorHAnsi" w:eastAsiaTheme="minorEastAsia" w:hAnsiTheme="minorHAnsi" w:cstheme="minorBidi"/>
            <w:sz w:val="22"/>
            <w:szCs w:val="22"/>
          </w:rPr>
          <w:tab/>
        </w:r>
        <w:r w:rsidR="006C1BE5">
          <w:rPr>
            <w:rStyle w:val="Hyperlink"/>
          </w:rPr>
          <w:t>Transfer of Ownership</w:t>
        </w:r>
        <w:r w:rsidR="006C1BE5">
          <w:tab/>
        </w:r>
        <w:r w:rsidR="006C1BE5">
          <w:fldChar w:fldCharType="begin"/>
        </w:r>
        <w:r w:rsidR="006C1BE5">
          <w:instrText xml:space="preserve"> PAGEREF _Toc73977731 \h </w:instrText>
        </w:r>
        <w:r w:rsidR="006C1BE5">
          <w:fldChar w:fldCharType="separate"/>
        </w:r>
        <w:r w:rsidR="00060F24">
          <w:rPr>
            <w:noProof/>
          </w:rPr>
          <w:t>368</w:t>
        </w:r>
        <w:r w:rsidR="006C1BE5">
          <w:fldChar w:fldCharType="end"/>
        </w:r>
      </w:hyperlink>
    </w:p>
    <w:p w14:paraId="2D994624" w14:textId="11766416" w:rsidR="00157AAA" w:rsidRDefault="00000000">
      <w:pPr>
        <w:pStyle w:val="TOC2"/>
        <w:rPr>
          <w:rFonts w:asciiTheme="minorHAnsi" w:eastAsiaTheme="minorEastAsia" w:hAnsiTheme="minorHAnsi" w:cstheme="minorBidi"/>
          <w:sz w:val="22"/>
          <w:szCs w:val="22"/>
        </w:rPr>
      </w:pPr>
      <w:hyperlink w:anchor="_Toc73977732" w:tooltip="#_Toc73977732" w:history="1">
        <w:r w:rsidR="006C1BE5">
          <w:rPr>
            <w:rStyle w:val="Hyperlink"/>
          </w:rPr>
          <w:t>35.</w:t>
        </w:r>
        <w:r w:rsidR="006C1BE5">
          <w:rPr>
            <w:rFonts w:asciiTheme="minorHAnsi" w:eastAsiaTheme="minorEastAsia" w:hAnsiTheme="minorHAnsi" w:cstheme="minorBidi"/>
            <w:sz w:val="22"/>
            <w:szCs w:val="22"/>
          </w:rPr>
          <w:tab/>
        </w:r>
        <w:r w:rsidR="006C1BE5">
          <w:rPr>
            <w:rStyle w:val="Hyperlink"/>
          </w:rPr>
          <w:t>Care of the System</w:t>
        </w:r>
        <w:r w:rsidR="006C1BE5">
          <w:tab/>
        </w:r>
        <w:r w:rsidR="006C1BE5">
          <w:fldChar w:fldCharType="begin"/>
        </w:r>
        <w:r w:rsidR="006C1BE5">
          <w:instrText xml:space="preserve"> PAGEREF _Toc73977732 \h </w:instrText>
        </w:r>
        <w:r w:rsidR="006C1BE5">
          <w:fldChar w:fldCharType="separate"/>
        </w:r>
        <w:r w:rsidR="00060F24">
          <w:rPr>
            <w:noProof/>
          </w:rPr>
          <w:t>368</w:t>
        </w:r>
        <w:r w:rsidR="006C1BE5">
          <w:fldChar w:fldCharType="end"/>
        </w:r>
      </w:hyperlink>
    </w:p>
    <w:p w14:paraId="6C24AE0A" w14:textId="05EA5A24" w:rsidR="00157AAA" w:rsidRDefault="00000000">
      <w:pPr>
        <w:pStyle w:val="TOC2"/>
        <w:rPr>
          <w:rFonts w:asciiTheme="minorHAnsi" w:eastAsiaTheme="minorEastAsia" w:hAnsiTheme="minorHAnsi" w:cstheme="minorBidi"/>
          <w:sz w:val="22"/>
          <w:szCs w:val="22"/>
        </w:rPr>
      </w:pPr>
      <w:hyperlink w:anchor="_Toc73977733" w:tooltip="#_Toc73977733" w:history="1">
        <w:r w:rsidR="006C1BE5">
          <w:rPr>
            <w:rStyle w:val="Hyperlink"/>
          </w:rPr>
          <w:t>36.</w:t>
        </w:r>
        <w:r w:rsidR="006C1BE5">
          <w:rPr>
            <w:rFonts w:asciiTheme="minorHAnsi" w:eastAsiaTheme="minorEastAsia" w:hAnsiTheme="minorHAnsi" w:cstheme="minorBidi"/>
            <w:sz w:val="22"/>
            <w:szCs w:val="22"/>
          </w:rPr>
          <w:tab/>
        </w:r>
        <w:r w:rsidR="006C1BE5">
          <w:rPr>
            <w:rStyle w:val="Hyperlink"/>
          </w:rPr>
          <w:t>Loss of or Damage to Property; Accident or Injury to Workers; Indemnification</w:t>
        </w:r>
        <w:r w:rsidR="006C1BE5">
          <w:tab/>
        </w:r>
        <w:r w:rsidR="006C1BE5">
          <w:fldChar w:fldCharType="begin"/>
        </w:r>
        <w:r w:rsidR="006C1BE5">
          <w:instrText xml:space="preserve"> PAGEREF _Toc73977733 \h </w:instrText>
        </w:r>
        <w:r w:rsidR="006C1BE5">
          <w:fldChar w:fldCharType="separate"/>
        </w:r>
        <w:r w:rsidR="00060F24">
          <w:rPr>
            <w:noProof/>
          </w:rPr>
          <w:t>368</w:t>
        </w:r>
        <w:r w:rsidR="006C1BE5">
          <w:fldChar w:fldCharType="end"/>
        </w:r>
      </w:hyperlink>
    </w:p>
    <w:p w14:paraId="5635A31A" w14:textId="0A90C8C2" w:rsidR="00157AAA" w:rsidRDefault="00000000">
      <w:pPr>
        <w:pStyle w:val="TOC2"/>
        <w:rPr>
          <w:rFonts w:asciiTheme="minorHAnsi" w:eastAsiaTheme="minorEastAsia" w:hAnsiTheme="minorHAnsi" w:cstheme="minorBidi"/>
          <w:sz w:val="22"/>
          <w:szCs w:val="22"/>
        </w:rPr>
      </w:pPr>
      <w:hyperlink w:anchor="_Toc73977734" w:tooltip="#_Toc73977734" w:history="1">
        <w:r w:rsidR="006C1BE5">
          <w:rPr>
            <w:rStyle w:val="Hyperlink"/>
          </w:rPr>
          <w:t>37.</w:t>
        </w:r>
        <w:r w:rsidR="006C1BE5">
          <w:rPr>
            <w:rFonts w:asciiTheme="minorHAnsi" w:eastAsiaTheme="minorEastAsia" w:hAnsiTheme="minorHAnsi" w:cstheme="minorBidi"/>
            <w:sz w:val="22"/>
            <w:szCs w:val="22"/>
          </w:rPr>
          <w:tab/>
        </w:r>
        <w:r w:rsidR="006C1BE5">
          <w:rPr>
            <w:rStyle w:val="Hyperlink"/>
          </w:rPr>
          <w:t>Insurances</w:t>
        </w:r>
        <w:r w:rsidR="006C1BE5">
          <w:tab/>
        </w:r>
        <w:r w:rsidR="006C1BE5">
          <w:fldChar w:fldCharType="begin"/>
        </w:r>
        <w:r w:rsidR="006C1BE5">
          <w:instrText xml:space="preserve"> PAGEREF _Toc73977734 \h </w:instrText>
        </w:r>
        <w:r w:rsidR="006C1BE5">
          <w:fldChar w:fldCharType="separate"/>
        </w:r>
        <w:r w:rsidR="00060F24">
          <w:rPr>
            <w:noProof/>
          </w:rPr>
          <w:t>368</w:t>
        </w:r>
        <w:r w:rsidR="006C1BE5">
          <w:fldChar w:fldCharType="end"/>
        </w:r>
      </w:hyperlink>
    </w:p>
    <w:p w14:paraId="62BF04D2" w14:textId="6F727E5C" w:rsidR="00157AAA" w:rsidRDefault="00000000">
      <w:pPr>
        <w:pStyle w:val="TOC2"/>
        <w:rPr>
          <w:rFonts w:asciiTheme="minorHAnsi" w:eastAsiaTheme="minorEastAsia" w:hAnsiTheme="minorHAnsi" w:cstheme="minorBidi"/>
          <w:sz w:val="22"/>
          <w:szCs w:val="22"/>
        </w:rPr>
      </w:pPr>
      <w:hyperlink w:anchor="_Toc73977735" w:tooltip="#_Toc73977735" w:history="1">
        <w:r w:rsidR="006C1BE5">
          <w:rPr>
            <w:rStyle w:val="Hyperlink"/>
          </w:rPr>
          <w:t>38.</w:t>
        </w:r>
        <w:r w:rsidR="006C1BE5">
          <w:rPr>
            <w:rFonts w:asciiTheme="minorHAnsi" w:eastAsiaTheme="minorEastAsia" w:hAnsiTheme="minorHAnsi" w:cstheme="minorBidi"/>
            <w:sz w:val="22"/>
            <w:szCs w:val="22"/>
          </w:rPr>
          <w:tab/>
        </w:r>
        <w:r w:rsidR="006C1BE5">
          <w:rPr>
            <w:rStyle w:val="Hyperlink"/>
          </w:rPr>
          <w:t>Force Majeure</w:t>
        </w:r>
        <w:r w:rsidR="006C1BE5">
          <w:tab/>
        </w:r>
        <w:r w:rsidR="006C1BE5">
          <w:fldChar w:fldCharType="begin"/>
        </w:r>
        <w:r w:rsidR="006C1BE5">
          <w:instrText xml:space="preserve"> PAGEREF _Toc73977735 \h </w:instrText>
        </w:r>
        <w:r w:rsidR="006C1BE5">
          <w:fldChar w:fldCharType="separate"/>
        </w:r>
        <w:r w:rsidR="00060F24">
          <w:rPr>
            <w:noProof/>
          </w:rPr>
          <w:t>368</w:t>
        </w:r>
        <w:r w:rsidR="006C1BE5">
          <w:fldChar w:fldCharType="end"/>
        </w:r>
      </w:hyperlink>
    </w:p>
    <w:p w14:paraId="5528C71A" w14:textId="16667EFE" w:rsidR="00157AAA" w:rsidRDefault="00000000">
      <w:pPr>
        <w:pStyle w:val="TOC1"/>
        <w:rPr>
          <w:rFonts w:asciiTheme="minorHAnsi" w:eastAsiaTheme="minorEastAsia" w:hAnsiTheme="minorHAnsi" w:cstheme="minorBidi"/>
          <w:b w:val="0"/>
          <w:sz w:val="22"/>
          <w:szCs w:val="22"/>
        </w:rPr>
      </w:pPr>
      <w:hyperlink w:anchor="_Toc73977736" w:tooltip="#_Toc73977736" w:history="1">
        <w:r w:rsidR="006C1BE5">
          <w:rPr>
            <w:rStyle w:val="Hyperlink"/>
          </w:rPr>
          <w:t>H.  Change in Contract Elements</w:t>
        </w:r>
        <w:r w:rsidR="006C1BE5">
          <w:tab/>
        </w:r>
        <w:r w:rsidR="006C1BE5">
          <w:fldChar w:fldCharType="begin"/>
        </w:r>
        <w:r w:rsidR="006C1BE5">
          <w:instrText xml:space="preserve"> PAGEREF _Toc73977736 \h </w:instrText>
        </w:r>
        <w:r w:rsidR="006C1BE5">
          <w:fldChar w:fldCharType="separate"/>
        </w:r>
        <w:r w:rsidR="00060F24">
          <w:rPr>
            <w:noProof/>
          </w:rPr>
          <w:t>368</w:t>
        </w:r>
        <w:r w:rsidR="006C1BE5">
          <w:fldChar w:fldCharType="end"/>
        </w:r>
      </w:hyperlink>
    </w:p>
    <w:p w14:paraId="186B0FFB" w14:textId="75229B94" w:rsidR="00157AAA" w:rsidRDefault="00000000">
      <w:pPr>
        <w:pStyle w:val="TOC2"/>
        <w:rPr>
          <w:rFonts w:asciiTheme="minorHAnsi" w:eastAsiaTheme="minorEastAsia" w:hAnsiTheme="minorHAnsi" w:cstheme="minorBidi"/>
          <w:sz w:val="22"/>
          <w:szCs w:val="22"/>
        </w:rPr>
      </w:pPr>
      <w:hyperlink w:anchor="_Toc73977737" w:tooltip="#_Toc73977737" w:history="1">
        <w:r w:rsidR="006C1BE5">
          <w:rPr>
            <w:rStyle w:val="Hyperlink"/>
          </w:rPr>
          <w:t>39.</w:t>
        </w:r>
        <w:r w:rsidR="006C1BE5">
          <w:rPr>
            <w:rFonts w:asciiTheme="minorHAnsi" w:eastAsiaTheme="minorEastAsia" w:hAnsiTheme="minorHAnsi" w:cstheme="minorBidi"/>
            <w:sz w:val="22"/>
            <w:szCs w:val="22"/>
          </w:rPr>
          <w:tab/>
        </w:r>
        <w:r w:rsidR="006C1BE5">
          <w:rPr>
            <w:rStyle w:val="Hyperlink"/>
          </w:rPr>
          <w:t>Changes to the System</w:t>
        </w:r>
        <w:r w:rsidR="006C1BE5">
          <w:tab/>
        </w:r>
        <w:r w:rsidR="006C1BE5">
          <w:fldChar w:fldCharType="begin"/>
        </w:r>
        <w:r w:rsidR="006C1BE5">
          <w:instrText xml:space="preserve"> PAGEREF _Toc73977737 \h </w:instrText>
        </w:r>
        <w:r w:rsidR="006C1BE5">
          <w:fldChar w:fldCharType="separate"/>
        </w:r>
        <w:r w:rsidR="00060F24">
          <w:rPr>
            <w:noProof/>
          </w:rPr>
          <w:t>368</w:t>
        </w:r>
        <w:r w:rsidR="006C1BE5">
          <w:fldChar w:fldCharType="end"/>
        </w:r>
      </w:hyperlink>
    </w:p>
    <w:p w14:paraId="5E50DA5C" w14:textId="4BB77DA4" w:rsidR="00157AAA" w:rsidRDefault="00000000">
      <w:pPr>
        <w:pStyle w:val="TOC2"/>
        <w:rPr>
          <w:rFonts w:asciiTheme="minorHAnsi" w:eastAsiaTheme="minorEastAsia" w:hAnsiTheme="minorHAnsi" w:cstheme="minorBidi"/>
          <w:sz w:val="22"/>
          <w:szCs w:val="22"/>
        </w:rPr>
      </w:pPr>
      <w:hyperlink w:anchor="_Toc73977738" w:tooltip="#_Toc73977738" w:history="1">
        <w:r w:rsidR="006C1BE5">
          <w:rPr>
            <w:rStyle w:val="Hyperlink"/>
          </w:rPr>
          <w:t>40.</w:t>
        </w:r>
        <w:r w:rsidR="006C1BE5">
          <w:rPr>
            <w:rFonts w:asciiTheme="minorHAnsi" w:eastAsiaTheme="minorEastAsia" w:hAnsiTheme="minorHAnsi" w:cstheme="minorBidi"/>
            <w:sz w:val="22"/>
            <w:szCs w:val="22"/>
          </w:rPr>
          <w:tab/>
        </w:r>
        <w:r w:rsidR="006C1BE5">
          <w:rPr>
            <w:rStyle w:val="Hyperlink"/>
          </w:rPr>
          <w:t>Extension of Time for Achieving Operational Acceptance</w:t>
        </w:r>
        <w:r w:rsidR="006C1BE5">
          <w:tab/>
        </w:r>
        <w:r w:rsidR="006C1BE5">
          <w:fldChar w:fldCharType="begin"/>
        </w:r>
        <w:r w:rsidR="006C1BE5">
          <w:instrText xml:space="preserve"> PAGEREF _Toc73977738 \h </w:instrText>
        </w:r>
        <w:r w:rsidR="006C1BE5">
          <w:fldChar w:fldCharType="separate"/>
        </w:r>
        <w:r w:rsidR="00060F24">
          <w:rPr>
            <w:noProof/>
          </w:rPr>
          <w:t>368</w:t>
        </w:r>
        <w:r w:rsidR="006C1BE5">
          <w:fldChar w:fldCharType="end"/>
        </w:r>
      </w:hyperlink>
    </w:p>
    <w:p w14:paraId="5ED5F4E1" w14:textId="595BE69A" w:rsidR="00157AAA" w:rsidRDefault="00000000">
      <w:pPr>
        <w:pStyle w:val="TOC2"/>
        <w:rPr>
          <w:rFonts w:asciiTheme="minorHAnsi" w:eastAsiaTheme="minorEastAsia" w:hAnsiTheme="minorHAnsi" w:cstheme="minorBidi"/>
          <w:sz w:val="22"/>
          <w:szCs w:val="22"/>
        </w:rPr>
      </w:pPr>
      <w:hyperlink w:anchor="_Toc73977739" w:tooltip="#_Toc73977739" w:history="1">
        <w:r w:rsidR="006C1BE5">
          <w:rPr>
            <w:rStyle w:val="Hyperlink"/>
          </w:rPr>
          <w:t>41.</w:t>
        </w:r>
        <w:r w:rsidR="006C1BE5">
          <w:rPr>
            <w:rFonts w:asciiTheme="minorHAnsi" w:eastAsiaTheme="minorEastAsia" w:hAnsiTheme="minorHAnsi" w:cstheme="minorBidi"/>
            <w:sz w:val="22"/>
            <w:szCs w:val="22"/>
          </w:rPr>
          <w:tab/>
        </w:r>
        <w:r w:rsidR="006C1BE5">
          <w:rPr>
            <w:rStyle w:val="Hyperlink"/>
          </w:rPr>
          <w:t>Termination</w:t>
        </w:r>
        <w:r w:rsidR="006C1BE5">
          <w:tab/>
        </w:r>
        <w:r w:rsidR="006C1BE5">
          <w:fldChar w:fldCharType="begin"/>
        </w:r>
        <w:r w:rsidR="006C1BE5">
          <w:instrText xml:space="preserve"> PAGEREF _Toc73977739 \h </w:instrText>
        </w:r>
        <w:r w:rsidR="006C1BE5">
          <w:fldChar w:fldCharType="separate"/>
        </w:r>
        <w:r w:rsidR="00060F24">
          <w:rPr>
            <w:noProof/>
          </w:rPr>
          <w:t>368</w:t>
        </w:r>
        <w:r w:rsidR="006C1BE5">
          <w:fldChar w:fldCharType="end"/>
        </w:r>
      </w:hyperlink>
    </w:p>
    <w:p w14:paraId="5120466F" w14:textId="35AA7C9C" w:rsidR="00157AAA" w:rsidRDefault="00000000">
      <w:pPr>
        <w:pStyle w:val="TOC2"/>
        <w:rPr>
          <w:rFonts w:asciiTheme="minorHAnsi" w:eastAsiaTheme="minorEastAsia" w:hAnsiTheme="minorHAnsi" w:cstheme="minorBidi"/>
          <w:sz w:val="22"/>
          <w:szCs w:val="22"/>
        </w:rPr>
      </w:pPr>
      <w:hyperlink w:anchor="_Toc73977740" w:tooltip="#_Toc73977740" w:history="1">
        <w:r w:rsidR="006C1BE5">
          <w:rPr>
            <w:rStyle w:val="Hyperlink"/>
          </w:rPr>
          <w:t>42.</w:t>
        </w:r>
        <w:r w:rsidR="006C1BE5">
          <w:rPr>
            <w:rFonts w:asciiTheme="minorHAnsi" w:eastAsiaTheme="minorEastAsia" w:hAnsiTheme="minorHAnsi" w:cstheme="minorBidi"/>
            <w:sz w:val="22"/>
            <w:szCs w:val="22"/>
          </w:rPr>
          <w:tab/>
        </w:r>
        <w:r w:rsidR="006C1BE5">
          <w:rPr>
            <w:rStyle w:val="Hyperlink"/>
          </w:rPr>
          <w:t>Assignment</w:t>
        </w:r>
        <w:r w:rsidR="006C1BE5">
          <w:tab/>
        </w:r>
        <w:r w:rsidR="006C1BE5">
          <w:fldChar w:fldCharType="begin"/>
        </w:r>
        <w:r w:rsidR="006C1BE5">
          <w:instrText xml:space="preserve"> PAGEREF _Toc73977740 \h </w:instrText>
        </w:r>
        <w:r w:rsidR="006C1BE5">
          <w:fldChar w:fldCharType="separate"/>
        </w:r>
        <w:r w:rsidR="00060F24">
          <w:rPr>
            <w:noProof/>
          </w:rPr>
          <w:t>368</w:t>
        </w:r>
        <w:r w:rsidR="006C1BE5">
          <w:fldChar w:fldCharType="end"/>
        </w:r>
      </w:hyperlink>
    </w:p>
    <w:p w14:paraId="5E3B0356" w14:textId="687B3E44" w:rsidR="00157AAA" w:rsidRDefault="00000000">
      <w:pPr>
        <w:pStyle w:val="TOC1"/>
        <w:rPr>
          <w:rFonts w:asciiTheme="minorHAnsi" w:eastAsiaTheme="minorEastAsia" w:hAnsiTheme="minorHAnsi" w:cstheme="minorBidi"/>
          <w:b w:val="0"/>
          <w:sz w:val="22"/>
          <w:szCs w:val="22"/>
        </w:rPr>
      </w:pPr>
      <w:hyperlink w:anchor="_Toc73977741" w:tooltip="#_Toc73977741" w:history="1">
        <w:r w:rsidR="006C1BE5">
          <w:rPr>
            <w:rStyle w:val="Hyperlink"/>
          </w:rPr>
          <w:t>I.  Settlement of Disputes</w:t>
        </w:r>
        <w:r w:rsidR="006C1BE5">
          <w:tab/>
        </w:r>
        <w:r w:rsidR="006C1BE5">
          <w:fldChar w:fldCharType="begin"/>
        </w:r>
        <w:r w:rsidR="006C1BE5">
          <w:instrText xml:space="preserve"> PAGEREF _Toc73977741 \h </w:instrText>
        </w:r>
        <w:r w:rsidR="006C1BE5">
          <w:fldChar w:fldCharType="separate"/>
        </w:r>
        <w:r w:rsidR="00060F24">
          <w:rPr>
            <w:noProof/>
          </w:rPr>
          <w:t>368</w:t>
        </w:r>
        <w:r w:rsidR="006C1BE5">
          <w:fldChar w:fldCharType="end"/>
        </w:r>
      </w:hyperlink>
    </w:p>
    <w:p w14:paraId="18FBF37B" w14:textId="5B10AF7C" w:rsidR="00157AAA" w:rsidRDefault="00000000">
      <w:pPr>
        <w:pStyle w:val="TOC2"/>
        <w:rPr>
          <w:rFonts w:asciiTheme="minorHAnsi" w:eastAsiaTheme="minorEastAsia" w:hAnsiTheme="minorHAnsi" w:cstheme="minorBidi"/>
          <w:sz w:val="22"/>
          <w:szCs w:val="22"/>
        </w:rPr>
      </w:pPr>
      <w:hyperlink w:anchor="_Toc73977742" w:tooltip="#_Toc73977742" w:history="1">
        <w:r w:rsidR="006C1BE5">
          <w:rPr>
            <w:rStyle w:val="Hyperlink"/>
          </w:rPr>
          <w:t>43.</w:t>
        </w:r>
        <w:r w:rsidR="006C1BE5">
          <w:rPr>
            <w:rFonts w:asciiTheme="minorHAnsi" w:eastAsiaTheme="minorEastAsia" w:hAnsiTheme="minorHAnsi" w:cstheme="minorBidi"/>
            <w:sz w:val="22"/>
            <w:szCs w:val="22"/>
          </w:rPr>
          <w:tab/>
        </w:r>
        <w:r w:rsidR="006C1BE5">
          <w:rPr>
            <w:rStyle w:val="Hyperlink"/>
          </w:rPr>
          <w:t>Settlement of Disputes</w:t>
        </w:r>
        <w:r w:rsidR="006C1BE5">
          <w:tab/>
        </w:r>
        <w:r w:rsidR="006C1BE5">
          <w:fldChar w:fldCharType="begin"/>
        </w:r>
        <w:r w:rsidR="006C1BE5">
          <w:instrText xml:space="preserve"> PAGEREF _Toc73977742 \h </w:instrText>
        </w:r>
        <w:r w:rsidR="006C1BE5">
          <w:fldChar w:fldCharType="separate"/>
        </w:r>
        <w:r w:rsidR="00060F24">
          <w:rPr>
            <w:noProof/>
          </w:rPr>
          <w:t>368</w:t>
        </w:r>
        <w:r w:rsidR="006C1BE5">
          <w:fldChar w:fldCharType="end"/>
        </w:r>
      </w:hyperlink>
    </w:p>
    <w:p w14:paraId="14B8651E" w14:textId="77777777" w:rsidR="00157AAA" w:rsidRDefault="006C1BE5">
      <w:pPr>
        <w:rPr>
          <w:sz w:val="22"/>
        </w:rPr>
      </w:pPr>
      <w:r>
        <w:rPr>
          <w:b/>
        </w:rPr>
        <w:fldChar w:fldCharType="end"/>
      </w:r>
    </w:p>
    <w:p w14:paraId="010BE28E" w14:textId="77777777" w:rsidR="00157AAA" w:rsidRDefault="006C1BE5">
      <w:pPr>
        <w:jc w:val="center"/>
        <w:rPr>
          <w:b/>
          <w:sz w:val="36"/>
          <w:szCs w:val="36"/>
        </w:rPr>
      </w:pPr>
      <w:r>
        <w:rPr>
          <w:sz w:val="22"/>
        </w:rPr>
        <w:br w:type="page" w:clear="all"/>
      </w:r>
    </w:p>
    <w:p w14:paraId="3FFF0CF8" w14:textId="77777777" w:rsidR="00157AAA" w:rsidRDefault="006C1BE5">
      <w:pPr>
        <w:spacing w:before="120"/>
        <w:jc w:val="center"/>
        <w:rPr>
          <w:b/>
          <w:sz w:val="36"/>
          <w:szCs w:val="36"/>
        </w:rPr>
      </w:pPr>
      <w:r>
        <w:rPr>
          <w:b/>
          <w:sz w:val="36"/>
          <w:szCs w:val="36"/>
        </w:rPr>
        <w:lastRenderedPageBreak/>
        <w:t>General Conditions of Contract</w:t>
      </w:r>
    </w:p>
    <w:p w14:paraId="36A16674" w14:textId="77777777" w:rsidR="00157AAA" w:rsidRDefault="006C1BE5">
      <w:pPr>
        <w:pStyle w:val="Head61"/>
        <w:spacing w:before="120"/>
      </w:pPr>
      <w:bookmarkStart w:id="797" w:name="_Toc277233317"/>
      <w:bookmarkStart w:id="798" w:name="_Toc73977691"/>
      <w:r>
        <w:t>A.  Contract and Interpretation</w:t>
      </w:r>
      <w:bookmarkEnd w:id="797"/>
      <w:bookmarkEnd w:id="798"/>
    </w:p>
    <w:tbl>
      <w:tblPr>
        <w:tblW w:w="0" w:type="auto"/>
        <w:tblInd w:w="-155" w:type="dxa"/>
        <w:tblLayout w:type="fixed"/>
        <w:tblCellMar>
          <w:left w:w="115" w:type="dxa"/>
          <w:right w:w="115" w:type="dxa"/>
        </w:tblCellMar>
        <w:tblLook w:val="0000" w:firstRow="0" w:lastRow="0" w:firstColumn="0" w:lastColumn="0" w:noHBand="0" w:noVBand="0"/>
      </w:tblPr>
      <w:tblGrid>
        <w:gridCol w:w="2448"/>
        <w:gridCol w:w="6498"/>
        <w:gridCol w:w="198"/>
      </w:tblGrid>
      <w:tr w:rsidR="00157AAA" w14:paraId="47485E2E" w14:textId="77777777">
        <w:trPr>
          <w:gridAfter w:val="1"/>
          <w:wAfter w:w="133" w:type="dxa"/>
          <w:cantSplit/>
        </w:trPr>
        <w:tc>
          <w:tcPr>
            <w:tcW w:w="2412" w:type="dxa"/>
          </w:tcPr>
          <w:p w14:paraId="68E445B5" w14:textId="77777777" w:rsidR="00157AAA" w:rsidRDefault="006C1BE5">
            <w:pPr>
              <w:pStyle w:val="Head62"/>
              <w:spacing w:before="120"/>
            </w:pPr>
            <w:bookmarkStart w:id="799" w:name="_Toc277233318"/>
            <w:bookmarkStart w:id="800" w:name="_Toc73977692"/>
            <w:r>
              <w:t>1.</w:t>
            </w:r>
            <w:r>
              <w:tab/>
              <w:t>Definitions</w:t>
            </w:r>
            <w:bookmarkEnd w:id="799"/>
            <w:bookmarkEnd w:id="800"/>
          </w:p>
        </w:tc>
        <w:tc>
          <w:tcPr>
            <w:tcW w:w="6498" w:type="dxa"/>
          </w:tcPr>
          <w:p w14:paraId="18531B3B" w14:textId="77777777" w:rsidR="00157AAA" w:rsidRDefault="006C1BE5">
            <w:pPr>
              <w:spacing w:before="120"/>
              <w:ind w:left="540" w:right="-72" w:hanging="540"/>
            </w:pPr>
            <w:r>
              <w:t>1.1</w:t>
            </w:r>
            <w:r>
              <w:tab/>
              <w:t>In this Contract, the following terms shall be interpreted as indicated below.</w:t>
            </w:r>
          </w:p>
        </w:tc>
      </w:tr>
      <w:tr w:rsidR="00157AAA" w14:paraId="2FC948D6" w14:textId="77777777">
        <w:trPr>
          <w:gridAfter w:val="1"/>
          <w:wAfter w:w="133" w:type="dxa"/>
        </w:trPr>
        <w:tc>
          <w:tcPr>
            <w:tcW w:w="2412" w:type="dxa"/>
          </w:tcPr>
          <w:p w14:paraId="3E51E9F2" w14:textId="77777777" w:rsidR="00157AAA" w:rsidRDefault="00157AAA">
            <w:pPr>
              <w:spacing w:before="120"/>
              <w:jc w:val="left"/>
            </w:pPr>
          </w:p>
        </w:tc>
        <w:tc>
          <w:tcPr>
            <w:tcW w:w="6498" w:type="dxa"/>
          </w:tcPr>
          <w:p w14:paraId="6788BD95" w14:textId="77777777" w:rsidR="00157AAA" w:rsidRDefault="006C1BE5">
            <w:pPr>
              <w:spacing w:before="120"/>
              <w:ind w:left="1080" w:right="-72" w:hanging="540"/>
            </w:pPr>
            <w:r>
              <w:t>(a)</w:t>
            </w:r>
            <w:r>
              <w:tab/>
              <w:t>contract elements</w:t>
            </w:r>
          </w:p>
          <w:p w14:paraId="03DDE0B6" w14:textId="77777777" w:rsidR="00157AAA" w:rsidRDefault="006C1BE5">
            <w:pPr>
              <w:spacing w:before="120"/>
              <w:ind w:left="1620" w:right="-72" w:hanging="540"/>
            </w:pPr>
            <w:r>
              <w:t>(</w:t>
            </w:r>
            <w:proofErr w:type="spellStart"/>
            <w:r>
              <w:t>i</w:t>
            </w:r>
            <w:proofErr w:type="spellEnd"/>
            <w:r>
              <w:t>)</w:t>
            </w:r>
            <w:r>
              <w:tab/>
            </w:r>
            <w:r>
              <w:rPr>
                <w:b/>
                <w:bCs/>
              </w:rPr>
              <w:t>“Contract”</w:t>
            </w:r>
            <w:r>
              <w:t xml:space="preserve"> means the Contract Agreement </w:t>
            </w:r>
            <w:proofErr w:type="gramStart"/>
            <w:r>
              <w:t>entered into</w:t>
            </w:r>
            <w:proofErr w:type="gramEnd"/>
            <w:r>
              <w:t xml:space="preserve"> between the Purchaser and the Supplier, together with the Contract Documents referred to therein.  The Contract Agreement and the Contract Documents shall constitute the Contract, and the term “the Contract” shall in all such documents be construed accordingly.</w:t>
            </w:r>
          </w:p>
          <w:p w14:paraId="720268F3" w14:textId="77777777" w:rsidR="00157AAA" w:rsidRDefault="006C1BE5">
            <w:pPr>
              <w:spacing w:before="120"/>
              <w:ind w:left="1620" w:right="-72" w:hanging="540"/>
            </w:pPr>
            <w:r>
              <w:t>(ii)</w:t>
            </w:r>
            <w:r>
              <w:tab/>
            </w:r>
            <w:r>
              <w:rPr>
                <w:b/>
                <w:bCs/>
              </w:rPr>
              <w:t>“Contract Documents”</w:t>
            </w:r>
            <w:r>
              <w:t xml:space="preserve"> means the documents specified in Article 1.1 (Contract Documents) of the Contract Agreement (including any amendments to these Documents).</w:t>
            </w:r>
          </w:p>
          <w:p w14:paraId="61813361" w14:textId="77777777" w:rsidR="00157AAA" w:rsidRDefault="006C1BE5">
            <w:pPr>
              <w:spacing w:before="120"/>
              <w:ind w:left="1620" w:right="-72" w:hanging="540"/>
            </w:pPr>
            <w:r>
              <w:t>(iii)</w:t>
            </w:r>
            <w:r>
              <w:tab/>
            </w:r>
            <w:r>
              <w:rPr>
                <w:b/>
                <w:bCs/>
              </w:rPr>
              <w:t>“Contract Agreement”</w:t>
            </w:r>
            <w:r>
              <w:t xml:space="preserve"> means the agreement </w:t>
            </w:r>
            <w:proofErr w:type="gramStart"/>
            <w:r>
              <w:t>entered into</w:t>
            </w:r>
            <w:proofErr w:type="gramEnd"/>
            <w:r>
              <w:t xml:space="preserve"> between the Purchaser and the Supplier using the form of Contract Agreement contained in the Sample Contractual Forms Section of the bidding documents and any modifications to this form agreed to by the Purchaser and the Supplier.  The date of the Contract Agreement shall be recorded in the signed form. </w:t>
            </w:r>
          </w:p>
          <w:p w14:paraId="349CE8E1" w14:textId="77777777" w:rsidR="00157AAA" w:rsidRDefault="006C1BE5">
            <w:pPr>
              <w:spacing w:before="120"/>
              <w:ind w:left="1620" w:right="-72" w:hanging="540"/>
            </w:pPr>
            <w:r>
              <w:t>(iv)</w:t>
            </w:r>
            <w:r>
              <w:tab/>
            </w:r>
            <w:r>
              <w:rPr>
                <w:b/>
                <w:bCs/>
              </w:rPr>
              <w:t>“GCC”</w:t>
            </w:r>
            <w:r>
              <w:t xml:space="preserve"> means the General Conditions of Contract.</w:t>
            </w:r>
          </w:p>
          <w:p w14:paraId="029ED503" w14:textId="77777777" w:rsidR="00157AAA" w:rsidRDefault="006C1BE5">
            <w:pPr>
              <w:spacing w:before="120"/>
              <w:ind w:left="1620" w:right="-72" w:hanging="540"/>
            </w:pPr>
            <w:r>
              <w:t>(v)</w:t>
            </w:r>
            <w:r>
              <w:tab/>
            </w:r>
            <w:r>
              <w:rPr>
                <w:b/>
                <w:bCs/>
              </w:rPr>
              <w:t>“SCC”</w:t>
            </w:r>
            <w:r>
              <w:t xml:space="preserve"> means the Special Conditions of Contract.</w:t>
            </w:r>
          </w:p>
          <w:p w14:paraId="225E7C54" w14:textId="77777777" w:rsidR="00157AAA" w:rsidRDefault="006C1BE5">
            <w:pPr>
              <w:spacing w:before="120"/>
              <w:ind w:left="1620" w:right="-72" w:hanging="540"/>
            </w:pPr>
            <w:r>
              <w:t>(vi)</w:t>
            </w:r>
            <w:r>
              <w:tab/>
            </w:r>
            <w:r>
              <w:rPr>
                <w:b/>
                <w:bCs/>
              </w:rPr>
              <w:t>“Technical Requirements”</w:t>
            </w:r>
            <w:r>
              <w:t xml:space="preserve"> means the Technical Requirements in Section VII of the bidding documents.</w:t>
            </w:r>
          </w:p>
          <w:p w14:paraId="1DD46AC0" w14:textId="77777777" w:rsidR="00157AAA" w:rsidRDefault="006C1BE5">
            <w:pPr>
              <w:spacing w:before="120"/>
              <w:ind w:left="1620" w:right="-72" w:hanging="540"/>
            </w:pPr>
            <w:r>
              <w:t>(vii)</w:t>
            </w:r>
            <w:r>
              <w:tab/>
            </w:r>
            <w:r>
              <w:rPr>
                <w:b/>
                <w:bCs/>
              </w:rPr>
              <w:t>“Implementation Schedule”</w:t>
            </w:r>
            <w:r>
              <w:t xml:space="preserve"> means the Implementation Schedule in Section VII of the bidding documents.</w:t>
            </w:r>
          </w:p>
          <w:p w14:paraId="7910161F" w14:textId="77777777" w:rsidR="00157AAA" w:rsidRDefault="006C1BE5">
            <w:pPr>
              <w:spacing w:before="120"/>
              <w:ind w:left="1620" w:right="-72" w:hanging="540"/>
            </w:pPr>
            <w:r>
              <w:t>(viii)</w:t>
            </w:r>
            <w:r>
              <w:tab/>
            </w:r>
            <w:r>
              <w:rPr>
                <w:b/>
                <w:bCs/>
              </w:rPr>
              <w:t>“Contract Price”</w:t>
            </w:r>
            <w:r>
              <w:t xml:space="preserve"> means the price or prices defined in Article 2 (Contract Price and Terms of Payment) of the Contract Agreement.</w:t>
            </w:r>
          </w:p>
          <w:p w14:paraId="792DA350" w14:textId="77777777" w:rsidR="00157AAA" w:rsidRDefault="006C1BE5">
            <w:pPr>
              <w:spacing w:before="120"/>
              <w:ind w:left="1627" w:right="-72" w:hanging="547"/>
            </w:pPr>
            <w:r>
              <w:lastRenderedPageBreak/>
              <w:t>(ix)</w:t>
            </w:r>
            <w:r>
              <w:tab/>
            </w:r>
            <w:r>
              <w:rPr>
                <w:b/>
                <w:bCs/>
              </w:rPr>
              <w:t>“Procurement Regulations”</w:t>
            </w:r>
            <w:r>
              <w:t xml:space="preserve"> refers to the edition </w:t>
            </w:r>
            <w:r>
              <w:rPr>
                <w:b/>
              </w:rPr>
              <w:t>specified in the SCC</w:t>
            </w:r>
            <w:r>
              <w:t xml:space="preserve"> of the World Bank </w:t>
            </w:r>
            <w:r>
              <w:rPr>
                <w:color w:val="000000" w:themeColor="text1"/>
                <w:spacing w:val="-2"/>
                <w:szCs w:val="24"/>
              </w:rPr>
              <w:t>“</w:t>
            </w:r>
            <w:r>
              <w:rPr>
                <w:color w:val="000000" w:themeColor="text1"/>
              </w:rPr>
              <w:t>Procurement</w:t>
            </w:r>
            <w:r>
              <w:rPr>
                <w:color w:val="000000" w:themeColor="text1"/>
                <w:szCs w:val="24"/>
                <w:u w:val="single"/>
              </w:rPr>
              <w:t xml:space="preserve"> </w:t>
            </w:r>
            <w:r>
              <w:rPr>
                <w:color w:val="000000" w:themeColor="text1"/>
                <w:szCs w:val="24"/>
              </w:rPr>
              <w:t>Regulations for IPF Borrowers”</w:t>
            </w:r>
            <w:r>
              <w:t>.</w:t>
            </w:r>
          </w:p>
          <w:p w14:paraId="66DF1E3C" w14:textId="77777777" w:rsidR="00157AAA" w:rsidRDefault="006C1BE5">
            <w:pPr>
              <w:spacing w:before="120"/>
              <w:ind w:left="1627" w:right="-72" w:hanging="547"/>
            </w:pPr>
            <w:r>
              <w:t>(x)</w:t>
            </w:r>
            <w:r>
              <w:tab/>
            </w:r>
            <w:r>
              <w:rPr>
                <w:b/>
                <w:bCs/>
              </w:rPr>
              <w:t>“bidding documents”</w:t>
            </w:r>
            <w:r>
              <w:t xml:space="preserve"> refers to the collection of documents issued by the Purchaser to instruct and inform potential suppliers of the processes for bidding, selection of the winning bid, and Contract formation, as well as the contractual conditions governing the relationship between the Purchaser and the Supplier.  The General and Special Conditions of Contract, the Technical Requirements, and all other documents included in the bidding documents reflect the Procurement Regulations that the Purchaser is obligated to follow during procurement and administration of this Contract.</w:t>
            </w:r>
          </w:p>
          <w:p w14:paraId="1897CC79" w14:textId="77777777" w:rsidR="00157AAA" w:rsidRDefault="006C1BE5">
            <w:pPr>
              <w:spacing w:before="120"/>
              <w:ind w:left="1627" w:right="-72" w:hanging="547"/>
            </w:pPr>
            <w:r>
              <w:t>(xi) “</w:t>
            </w:r>
            <w:r>
              <w:rPr>
                <w:b/>
                <w:bCs/>
              </w:rPr>
              <w:t>Sexual Exploitation and Abuse” “(SEA)”</w:t>
            </w:r>
            <w:r>
              <w:t xml:space="preserve"> means the following:</w:t>
            </w:r>
          </w:p>
          <w:p w14:paraId="128C0E49" w14:textId="77777777" w:rsidR="00157AAA" w:rsidRDefault="006C1BE5">
            <w:pPr>
              <w:spacing w:before="120"/>
              <w:ind w:left="1580" w:right="-2"/>
              <w:rPr>
                <w:color w:val="000000" w:themeColor="text1"/>
              </w:rPr>
            </w:pPr>
            <w:r>
              <w:rPr>
                <w:b/>
                <w:bCs/>
              </w:rPr>
              <w:t>Sexual Exploitation</w:t>
            </w:r>
            <w:r>
              <w:rPr>
                <w:color w:val="000000" w:themeColor="text1"/>
              </w:rPr>
              <w:t xml:space="preserve"> is defined as any actual or attempted abuse of position of vulnerability, differential </w:t>
            </w:r>
            <w:proofErr w:type="gramStart"/>
            <w:r>
              <w:rPr>
                <w:color w:val="000000" w:themeColor="text1"/>
              </w:rPr>
              <w:t>power</w:t>
            </w:r>
            <w:proofErr w:type="gramEnd"/>
            <w:r>
              <w:rPr>
                <w:color w:val="000000" w:themeColor="text1"/>
              </w:rPr>
              <w:t xml:space="preserve"> or trust, for sexual purposes, including, but not limited to, profiting monetarily, socially or politically from the sexual exploitation of another.  </w:t>
            </w:r>
          </w:p>
          <w:p w14:paraId="220CAF35" w14:textId="77777777" w:rsidR="00157AAA" w:rsidRDefault="006C1BE5">
            <w:pPr>
              <w:spacing w:before="120"/>
              <w:ind w:left="1580" w:right="-2"/>
              <w:rPr>
                <w:color w:val="000000" w:themeColor="text1"/>
              </w:rPr>
            </w:pPr>
            <w:r>
              <w:rPr>
                <w:b/>
                <w:bCs/>
              </w:rPr>
              <w:t>Sexual Abuse</w:t>
            </w:r>
            <w:r>
              <w:rPr>
                <w:color w:val="000000" w:themeColor="text1"/>
              </w:rPr>
              <w:t xml:space="preserve"> is defined as the actual or threatened physical intrusion of a sexual nature, whether by force or under unequal or coercive conditions. </w:t>
            </w:r>
          </w:p>
          <w:p w14:paraId="5BAA4FEE" w14:textId="77777777" w:rsidR="00157AAA" w:rsidRDefault="006C1BE5">
            <w:pPr>
              <w:spacing w:before="120"/>
              <w:ind w:left="1627" w:right="-72" w:hanging="547"/>
            </w:pPr>
            <w:r>
              <w:t>(xii)</w:t>
            </w:r>
            <w:r>
              <w:rPr>
                <w:b/>
              </w:rPr>
              <w:t xml:space="preserve"> </w:t>
            </w:r>
            <w:r>
              <w:rPr>
                <w:b/>
                <w:bCs/>
              </w:rPr>
              <w:t>“Sexual Harassment” “(SH)”</w:t>
            </w:r>
            <w:r>
              <w:t xml:space="preserve"> is defined as unwelcome sexual advances, requests for sexual favors, and other verbal or physical conduct of a sexual nature by the Supplier’s Personnel with other Supplier’s, </w:t>
            </w:r>
            <w:proofErr w:type="gramStart"/>
            <w:r>
              <w:t>Subcontractors’</w:t>
            </w:r>
            <w:proofErr w:type="gramEnd"/>
            <w:r>
              <w:t xml:space="preserve"> or Purchaser’s personnel.</w:t>
            </w:r>
          </w:p>
        </w:tc>
      </w:tr>
      <w:tr w:rsidR="00157AAA" w14:paraId="11075EB8" w14:textId="77777777">
        <w:trPr>
          <w:gridAfter w:val="1"/>
          <w:wAfter w:w="133" w:type="dxa"/>
        </w:trPr>
        <w:tc>
          <w:tcPr>
            <w:tcW w:w="2412" w:type="dxa"/>
          </w:tcPr>
          <w:p w14:paraId="57FBF862" w14:textId="77777777" w:rsidR="00157AAA" w:rsidRDefault="00157AAA">
            <w:pPr>
              <w:spacing w:before="120"/>
              <w:jc w:val="left"/>
            </w:pPr>
          </w:p>
        </w:tc>
        <w:tc>
          <w:tcPr>
            <w:tcW w:w="6498" w:type="dxa"/>
          </w:tcPr>
          <w:p w14:paraId="78749BBE" w14:textId="77777777" w:rsidR="00157AAA" w:rsidRDefault="006C1BE5">
            <w:pPr>
              <w:spacing w:before="120"/>
              <w:ind w:left="1080" w:right="-72" w:hanging="547"/>
            </w:pPr>
            <w:r>
              <w:t>(b)</w:t>
            </w:r>
            <w:r>
              <w:tab/>
              <w:t>entities</w:t>
            </w:r>
          </w:p>
          <w:p w14:paraId="2C87C78E" w14:textId="77777777" w:rsidR="00157AAA" w:rsidRDefault="006C1BE5" w:rsidP="00D530D5">
            <w:pPr>
              <w:pStyle w:val="ListParagraph"/>
              <w:numPr>
                <w:ilvl w:val="0"/>
                <w:numId w:val="62"/>
              </w:numPr>
              <w:spacing w:before="120"/>
              <w:ind w:left="1670" w:right="-72"/>
              <w:contextualSpacing w:val="0"/>
              <w:rPr>
                <w:b/>
              </w:rPr>
            </w:pPr>
            <w:r>
              <w:rPr>
                <w:b/>
                <w:bCs/>
              </w:rPr>
              <w:t>“Purchaser”</w:t>
            </w:r>
            <w:r>
              <w:t xml:space="preserve"> means the entity purchasing the Information System, as </w:t>
            </w:r>
            <w:r>
              <w:rPr>
                <w:b/>
              </w:rPr>
              <w:t>specified in the SCC.</w:t>
            </w:r>
          </w:p>
          <w:p w14:paraId="6FFF4C0E" w14:textId="77777777" w:rsidR="00157AAA" w:rsidRDefault="006C1BE5" w:rsidP="00D530D5">
            <w:pPr>
              <w:pStyle w:val="ListParagraph"/>
              <w:numPr>
                <w:ilvl w:val="0"/>
                <w:numId w:val="62"/>
              </w:numPr>
              <w:spacing w:before="120"/>
              <w:ind w:left="1670" w:right="-72"/>
              <w:contextualSpacing w:val="0"/>
            </w:pPr>
            <w:r>
              <w:rPr>
                <w:b/>
                <w:bCs/>
              </w:rPr>
              <w:t>“Purchaser’s Personnel”</w:t>
            </w:r>
            <w:r>
              <w:t xml:space="preserve"> </w:t>
            </w:r>
            <w:r>
              <w:rPr>
                <w:color w:val="000000" w:themeColor="text1"/>
              </w:rPr>
              <w:t>means</w:t>
            </w:r>
            <w:r>
              <w:rPr>
                <w:b/>
                <w:color w:val="000000" w:themeColor="text1"/>
              </w:rPr>
              <w:t xml:space="preserve"> </w:t>
            </w:r>
            <w:r>
              <w:rPr>
                <w:color w:val="000000" w:themeColor="text1"/>
              </w:rPr>
              <w:t>all staff, labor and other employees of the Project Manager and of the Purchaser</w:t>
            </w:r>
            <w:r>
              <w:rPr>
                <w:b/>
                <w:color w:val="000000" w:themeColor="text1"/>
              </w:rPr>
              <w:t xml:space="preserve"> </w:t>
            </w:r>
            <w:r>
              <w:rPr>
                <w:color w:val="000000" w:themeColor="text1"/>
              </w:rPr>
              <w:t xml:space="preserve">engaged in fulfilling the Purchaser’s obligations under the Contract; and any other personnel identified as Purchaser’s </w:t>
            </w:r>
            <w:r>
              <w:rPr>
                <w:color w:val="000000" w:themeColor="text1"/>
              </w:rPr>
              <w:lastRenderedPageBreak/>
              <w:t xml:space="preserve">Personnel, by a notice from the Purchaser to the </w:t>
            </w:r>
            <w:proofErr w:type="gramStart"/>
            <w:r>
              <w:rPr>
                <w:color w:val="000000" w:themeColor="text1"/>
              </w:rPr>
              <w:t>Supplier;</w:t>
            </w:r>
            <w:proofErr w:type="gramEnd"/>
          </w:p>
          <w:p w14:paraId="30159B24" w14:textId="77777777" w:rsidR="00157AAA" w:rsidRDefault="006C1BE5" w:rsidP="00D530D5">
            <w:pPr>
              <w:pStyle w:val="ListParagraph"/>
              <w:numPr>
                <w:ilvl w:val="0"/>
                <w:numId w:val="62"/>
              </w:numPr>
              <w:spacing w:before="120"/>
              <w:ind w:left="1670" w:right="-72"/>
              <w:contextualSpacing w:val="0"/>
            </w:pPr>
            <w:r>
              <w:rPr>
                <w:b/>
                <w:bCs/>
              </w:rPr>
              <w:t>“Project Manager”</w:t>
            </w:r>
            <w:r>
              <w:t xml:space="preserve"> means the person </w:t>
            </w:r>
            <w:r>
              <w:rPr>
                <w:b/>
              </w:rPr>
              <w:t>named as such in the SCC</w:t>
            </w:r>
            <w:r>
              <w:t xml:space="preserve"> or otherwise appointed by the Purchaser in the manner provided in GCC Clause 18.1 (Project Manager) to perform the duties delegated by the Purchaser.</w:t>
            </w:r>
          </w:p>
          <w:p w14:paraId="47ED76D7" w14:textId="77777777" w:rsidR="00157AAA" w:rsidRDefault="006C1BE5" w:rsidP="00D530D5">
            <w:pPr>
              <w:pStyle w:val="ListParagraph"/>
              <w:numPr>
                <w:ilvl w:val="0"/>
                <w:numId w:val="62"/>
              </w:numPr>
              <w:spacing w:before="120"/>
              <w:ind w:left="1670" w:right="-72"/>
              <w:contextualSpacing w:val="0"/>
            </w:pPr>
            <w:r>
              <w:rPr>
                <w:b/>
                <w:bCs/>
              </w:rPr>
              <w:t>“Supplier”</w:t>
            </w:r>
            <w:r>
              <w:t xml:space="preserve"> means the firm or Joint Venture whose bid to </w:t>
            </w:r>
            <w:r>
              <w:rPr>
                <w:b/>
                <w:bCs/>
              </w:rPr>
              <w:t>perform</w:t>
            </w:r>
            <w:r>
              <w:t xml:space="preserve"> the </w:t>
            </w:r>
            <w:r>
              <w:rPr>
                <w:b/>
                <w:bCs/>
              </w:rPr>
              <w:t>Contract</w:t>
            </w:r>
            <w:r>
              <w:t xml:space="preserve"> has been accepted by the Purchaser and is named as such in the Contract Agreement.</w:t>
            </w:r>
          </w:p>
          <w:p w14:paraId="7BF4E9DF" w14:textId="77777777" w:rsidR="00157AAA" w:rsidRDefault="006C1BE5" w:rsidP="00D530D5">
            <w:pPr>
              <w:pStyle w:val="ListParagraph"/>
              <w:numPr>
                <w:ilvl w:val="0"/>
                <w:numId w:val="62"/>
              </w:numPr>
              <w:spacing w:before="120"/>
              <w:ind w:left="1670" w:right="-72"/>
              <w:contextualSpacing w:val="0"/>
            </w:pPr>
            <w:r>
              <w:rPr>
                <w:b/>
                <w:bCs/>
              </w:rPr>
              <w:t>“Supplier’s Representative”</w:t>
            </w:r>
            <w:r>
              <w:t xml:space="preserve"> means any person </w:t>
            </w:r>
            <w:r>
              <w:rPr>
                <w:b/>
                <w:bCs/>
              </w:rPr>
              <w:t>nominated</w:t>
            </w:r>
            <w:r>
              <w:t xml:space="preserve"> by the Supplier and named as such in the Contract Agreement or otherwise approved by the Purchaser in the manner provided in GCC Clause 18.2 (Supplier’s Representative) to perform the duties delegated by the Supplier.</w:t>
            </w:r>
          </w:p>
          <w:p w14:paraId="7DBD130F" w14:textId="77777777" w:rsidR="00157AAA" w:rsidRDefault="006C1BE5" w:rsidP="00D530D5">
            <w:pPr>
              <w:pStyle w:val="ListParagraph"/>
              <w:numPr>
                <w:ilvl w:val="0"/>
                <w:numId w:val="62"/>
              </w:numPr>
              <w:spacing w:before="120"/>
              <w:ind w:left="1670" w:right="-72"/>
              <w:contextualSpacing w:val="0"/>
            </w:pPr>
            <w:r>
              <w:rPr>
                <w:b/>
                <w:bCs/>
              </w:rPr>
              <w:t>“Supplier’s Personnel”</w:t>
            </w:r>
            <w:r>
              <w:t xml:space="preserve"> means all personnel whom the Supplier utilizes in the execution of the Contract, including the staff, labor and other employees of the Supplier and each Subcontractor; and any other personnel assisting the Supplier in the execution of the </w:t>
            </w:r>
            <w:proofErr w:type="gramStart"/>
            <w:r>
              <w:t>Contract;</w:t>
            </w:r>
            <w:proofErr w:type="gramEnd"/>
          </w:p>
          <w:p w14:paraId="59911AD0" w14:textId="77777777" w:rsidR="00157AAA" w:rsidRDefault="006C1BE5" w:rsidP="00D530D5">
            <w:pPr>
              <w:pStyle w:val="ListParagraph"/>
              <w:numPr>
                <w:ilvl w:val="0"/>
                <w:numId w:val="62"/>
              </w:numPr>
              <w:spacing w:before="120"/>
              <w:ind w:left="1670" w:right="-72"/>
              <w:contextualSpacing w:val="0"/>
            </w:pPr>
            <w:r>
              <w:rPr>
                <w:b/>
                <w:bCs/>
              </w:rPr>
              <w:t xml:space="preserve">“Subcontractor” </w:t>
            </w:r>
            <w:r>
              <w:t>means any firm to whom any of the obligations of the Supplier, including preparation of any design or supply of any Information Technologies or other Goods or Services, is subcontracted directly or indirectly by the Supplier.</w:t>
            </w:r>
          </w:p>
          <w:p w14:paraId="2EBE7AD9" w14:textId="77777777" w:rsidR="00157AAA" w:rsidRDefault="006C1BE5" w:rsidP="00D530D5">
            <w:pPr>
              <w:pStyle w:val="ListParagraph"/>
              <w:numPr>
                <w:ilvl w:val="0"/>
                <w:numId w:val="62"/>
              </w:numPr>
              <w:spacing w:before="120"/>
              <w:ind w:left="1670" w:right="-72"/>
              <w:contextualSpacing w:val="0"/>
            </w:pPr>
            <w:r>
              <w:rPr>
                <w:b/>
                <w:bCs/>
              </w:rPr>
              <w:t>“Adjudicator”</w:t>
            </w:r>
            <w:r>
              <w:t xml:space="preserve"> means the person named in Appendix 2 of the Contract Agreement, </w:t>
            </w:r>
            <w:r>
              <w:rPr>
                <w:b/>
                <w:bCs/>
              </w:rPr>
              <w:t>appointed</w:t>
            </w:r>
            <w:r>
              <w:t xml:space="preserve"> by agreement between the Purchaser and the Supplier to </w:t>
            </w:r>
            <w:proofErr w:type="gramStart"/>
            <w:r>
              <w:t>make a decision</w:t>
            </w:r>
            <w:proofErr w:type="gramEnd"/>
            <w:r>
              <w:t xml:space="preserve"> on or to settle any dispute between the Purchaser and the Supplier referred to him or her by the parties, pursuant to GCC Clause 43.1 (Adjudication).</w:t>
            </w:r>
          </w:p>
          <w:p w14:paraId="5C7BB624" w14:textId="77777777" w:rsidR="00157AAA" w:rsidRDefault="006C1BE5" w:rsidP="00D530D5">
            <w:pPr>
              <w:pStyle w:val="ListParagraph"/>
              <w:numPr>
                <w:ilvl w:val="0"/>
                <w:numId w:val="62"/>
              </w:numPr>
              <w:spacing w:before="120"/>
              <w:ind w:left="1670" w:right="-72"/>
              <w:contextualSpacing w:val="0"/>
            </w:pPr>
            <w:r>
              <w:rPr>
                <w:b/>
                <w:bCs/>
              </w:rPr>
              <w:t>“The World Bank”</w:t>
            </w:r>
            <w:r>
              <w:t xml:space="preserve"> (also called “The Bank”) means the International Bank for Reconstruction and Development (IBRD) or the International Development Association (IDA). </w:t>
            </w:r>
          </w:p>
        </w:tc>
      </w:tr>
      <w:tr w:rsidR="00157AAA" w14:paraId="55DB562F" w14:textId="77777777">
        <w:trPr>
          <w:gridAfter w:val="1"/>
          <w:wAfter w:w="133" w:type="dxa"/>
        </w:trPr>
        <w:tc>
          <w:tcPr>
            <w:tcW w:w="2412" w:type="dxa"/>
          </w:tcPr>
          <w:p w14:paraId="62C971F0" w14:textId="77777777" w:rsidR="00157AAA" w:rsidRDefault="00157AAA">
            <w:pPr>
              <w:spacing w:before="120"/>
              <w:jc w:val="left"/>
            </w:pPr>
          </w:p>
        </w:tc>
        <w:tc>
          <w:tcPr>
            <w:tcW w:w="6498" w:type="dxa"/>
          </w:tcPr>
          <w:p w14:paraId="6524EDC2" w14:textId="77777777" w:rsidR="00157AAA" w:rsidRDefault="006C1BE5">
            <w:pPr>
              <w:spacing w:before="120"/>
              <w:ind w:left="1080" w:right="-72" w:hanging="540"/>
            </w:pPr>
            <w:r>
              <w:t>(c)</w:t>
            </w:r>
            <w:r>
              <w:tab/>
              <w:t>scope</w:t>
            </w:r>
          </w:p>
          <w:p w14:paraId="54C2290E" w14:textId="77777777" w:rsidR="00157AAA" w:rsidRDefault="006C1BE5">
            <w:pPr>
              <w:spacing w:before="120"/>
              <w:ind w:left="1620" w:right="-72" w:hanging="540"/>
            </w:pPr>
            <w:r>
              <w:lastRenderedPageBreak/>
              <w:t>(</w:t>
            </w:r>
            <w:proofErr w:type="spellStart"/>
            <w:r>
              <w:t>i</w:t>
            </w:r>
            <w:proofErr w:type="spellEnd"/>
            <w:r>
              <w:t>)</w:t>
            </w:r>
            <w:r>
              <w:tab/>
              <w:t xml:space="preserve">“Information System,” also called “the System,” means all the Information Technologies, Materials, and other Goods to be supplied, installed, integrated, and made operational (exclusive of the Supplier’s Equipment), together with the Services to be carried out by the Supplier under the Contract.  </w:t>
            </w:r>
          </w:p>
          <w:p w14:paraId="37ADE869" w14:textId="77777777" w:rsidR="00157AAA" w:rsidRDefault="006C1BE5">
            <w:pPr>
              <w:spacing w:before="120"/>
              <w:ind w:left="1710" w:right="-72" w:hanging="630"/>
            </w:pPr>
            <w:r>
              <w:t>(ii)</w:t>
            </w:r>
            <w:r>
              <w:tab/>
              <w:t>“Subsystem” means any subset of the System identified as such in the Contract that may be supplied, installed, tested, and commissioned individually before Commissioning of the entire System.</w:t>
            </w:r>
          </w:p>
          <w:p w14:paraId="25B9D452" w14:textId="77777777" w:rsidR="00157AAA" w:rsidRDefault="006C1BE5">
            <w:pPr>
              <w:spacing w:before="120"/>
              <w:ind w:left="1710" w:right="-72" w:hanging="630"/>
            </w:pPr>
            <w:r>
              <w:t>(iii)</w:t>
            </w:r>
            <w:r>
              <w:tab/>
              <w:t>“Information Technologies” means all information processing and communications-related hardware, Software, supplies, and consumable items that the Supplier is required to supply and install under the Contract.</w:t>
            </w:r>
          </w:p>
          <w:p w14:paraId="65130EE6" w14:textId="77777777" w:rsidR="00157AAA" w:rsidRDefault="006C1BE5">
            <w:pPr>
              <w:spacing w:before="120"/>
              <w:ind w:left="1710" w:right="-72" w:hanging="630"/>
            </w:pPr>
            <w:r>
              <w:t>(iv)</w:t>
            </w:r>
            <w:r>
              <w:tab/>
              <w:t xml:space="preserve">“Goods” means all equipment, machinery, furnishings, Materials, and other tangible items that the Supplier is required to supply or supply and install under the Contract, including, without limitation, the Information </w:t>
            </w:r>
            <w:proofErr w:type="gramStart"/>
            <w:r>
              <w:t>Technologies</w:t>
            </w:r>
            <w:proofErr w:type="gramEnd"/>
            <w:r>
              <w:t xml:space="preserve"> and Materials, but excluding the Supplier’s Equipment.</w:t>
            </w:r>
          </w:p>
          <w:p w14:paraId="272F87D7" w14:textId="77777777" w:rsidR="00157AAA" w:rsidRDefault="006C1BE5">
            <w:pPr>
              <w:spacing w:before="120"/>
              <w:ind w:left="1710" w:right="-72" w:hanging="630"/>
            </w:pPr>
            <w:r>
              <w:t>(v)</w:t>
            </w:r>
            <w:r>
              <w:tab/>
              <w:t>“Services” means all technical, logistical, management, and any other Services to be provided by the Supplier under the Contract to supply, install, customize, integrate, and make operational the System.  Such Services may include, but are not restricted to, activity management and quality assurance, design, development, customization, documentation, transportation, insurance, inspection, expediting, site preparation, installation, integration, training, data migration, Pre-commissioning, Commissioning, maintenance, and technical support.</w:t>
            </w:r>
          </w:p>
          <w:p w14:paraId="657B075D" w14:textId="77777777" w:rsidR="00157AAA" w:rsidRDefault="006C1BE5">
            <w:pPr>
              <w:spacing w:before="120"/>
              <w:ind w:left="1710" w:right="-72" w:hanging="630"/>
            </w:pPr>
            <w:r>
              <w:t>(vi)</w:t>
            </w:r>
            <w:r>
              <w:tab/>
              <w:t xml:space="preserve">“The Project Plan” means the document to be developed by the Supplier and approved by the Purchaser, pursuant to GCC Clause 19, based on the requirements of the Contract and the Preliminary Project Plan included in the Supplier’s bid.  The “Agreed Project Plan” is the version of the Project Plan approved by the </w:t>
            </w:r>
            <w:r>
              <w:lastRenderedPageBreak/>
              <w:t>Purchaser, in accordance with GCC Clause 19.2.  Should the Project Plan conflict with the Contract in any way, the relevant provisions of the Contract, including any amendments, shall prevail.</w:t>
            </w:r>
          </w:p>
          <w:p w14:paraId="3BD666D5" w14:textId="77777777" w:rsidR="00157AAA" w:rsidRDefault="006C1BE5">
            <w:pPr>
              <w:spacing w:before="120"/>
              <w:ind w:left="1710" w:right="-72" w:hanging="630"/>
            </w:pPr>
            <w:r>
              <w:t>(vii)</w:t>
            </w:r>
            <w:r>
              <w:tab/>
              <w:t>“Software” means that part of the System which are instructions that cause information processing Subsystems to perform in a specific manner or execute specific operations.</w:t>
            </w:r>
          </w:p>
          <w:p w14:paraId="2B33D05F" w14:textId="77777777" w:rsidR="00157AAA" w:rsidRDefault="006C1BE5">
            <w:pPr>
              <w:tabs>
                <w:tab w:val="left" w:pos="1710"/>
              </w:tabs>
              <w:spacing w:before="120"/>
              <w:ind w:left="1710" w:right="-72" w:hanging="630"/>
            </w:pPr>
            <w:r>
              <w:t>(viii)</w:t>
            </w:r>
            <w:r>
              <w:tab/>
            </w:r>
            <w:r>
              <w:rPr>
                <w:spacing w:val="-4"/>
              </w:rPr>
              <w:t xml:space="preserve">“System Software” means Software that provides the operating and management instructions for the underlying hardware and other </w:t>
            </w:r>
            <w:proofErr w:type="gramStart"/>
            <w:r>
              <w:rPr>
                <w:spacing w:val="-4"/>
              </w:rPr>
              <w:t>components, and</w:t>
            </w:r>
            <w:proofErr w:type="gramEnd"/>
            <w:r>
              <w:rPr>
                <w:spacing w:val="-4"/>
              </w:rPr>
              <w:t xml:space="preserve"> is identified as such in Appendix 4 of the Contract Agreement and such other Software as the parties may agree in writing to be Systems Software.  Such System Software includes, but is not restricted to, micro-code embedded in hardware (i.e., “firmware”), operating systems, communications, system and network management, and utility software. </w:t>
            </w:r>
            <w:r>
              <w:t xml:space="preserve"> </w:t>
            </w:r>
          </w:p>
          <w:p w14:paraId="7DCDA1ED" w14:textId="77777777" w:rsidR="00157AAA" w:rsidRDefault="006C1BE5">
            <w:pPr>
              <w:spacing w:before="120"/>
              <w:ind w:left="1710" w:right="-72" w:hanging="630"/>
            </w:pPr>
            <w:r>
              <w:t>(ix)</w:t>
            </w:r>
            <w:r>
              <w:tab/>
              <w:t>“General-Purpose Software” means Software that supports general-purpose office and software development activities and is identified as such in Appendix 4 of the Contract Agreement and such other Software as the parties may agree in writing to be General- Purpose Software.  Such General-Purpose Software may include, but is not restricted to, word processing, spreadsheet, generic database management, and application development software.</w:t>
            </w:r>
          </w:p>
          <w:p w14:paraId="54CA03FF" w14:textId="77777777" w:rsidR="00157AAA" w:rsidRDefault="006C1BE5">
            <w:pPr>
              <w:spacing w:before="120"/>
              <w:ind w:left="1714" w:right="-72" w:hanging="634"/>
            </w:pPr>
            <w:r>
              <w:t>(x)</w:t>
            </w:r>
            <w:r>
              <w:tab/>
              <w:t>“Application Software” means Software formulated to perform specific business or technical functions and interface with the business or technical users of the System and is identified as such in Appendix 4 of the Contract Agreement and such other Software as the parties may agree in writing to be Application Software.</w:t>
            </w:r>
          </w:p>
          <w:p w14:paraId="65083410" w14:textId="77777777" w:rsidR="00157AAA" w:rsidRDefault="006C1BE5">
            <w:pPr>
              <w:spacing w:before="120"/>
              <w:ind w:left="1714" w:right="-72" w:hanging="634"/>
            </w:pPr>
            <w:r>
              <w:t>(xi)</w:t>
            </w:r>
            <w:r>
              <w:tab/>
              <w:t>“Standard Software” means Software identified as such in Appendix 4 of the Contract Agreement and such other Software as the parties may agree in writing to be Standard Software.</w:t>
            </w:r>
          </w:p>
          <w:p w14:paraId="06C22F45" w14:textId="77777777" w:rsidR="00157AAA" w:rsidRDefault="006C1BE5">
            <w:pPr>
              <w:spacing w:before="120"/>
              <w:ind w:left="1714" w:right="-72" w:hanging="634"/>
            </w:pPr>
            <w:r>
              <w:lastRenderedPageBreak/>
              <w:t>(xii)</w:t>
            </w:r>
            <w:r>
              <w:tab/>
            </w:r>
            <w:r>
              <w:rPr>
                <w:spacing w:val="-4"/>
              </w:rPr>
              <w:t>“Custom Software” means Software identified as such in Appendix 4 of the Contract Agreement and such other Software as the parties may agree in writing to be Custom Software.</w:t>
            </w:r>
          </w:p>
          <w:p w14:paraId="629C1B4B" w14:textId="77777777" w:rsidR="00157AAA" w:rsidRDefault="006C1BE5">
            <w:pPr>
              <w:spacing w:before="120"/>
              <w:ind w:left="1714" w:right="-72" w:hanging="634"/>
            </w:pPr>
            <w:r>
              <w:t>(xiii)</w:t>
            </w:r>
            <w:r>
              <w:tab/>
              <w:t xml:space="preserve">“Source Code” means the database structures, dictionaries, definitions, program source files, and any other symbolic representations necessary for the compilation, execution, and subsequent maintenance of the Software (typically, but not exclusively, required for Custom Software).  </w:t>
            </w:r>
          </w:p>
          <w:p w14:paraId="19CFF30D" w14:textId="77777777" w:rsidR="00157AAA" w:rsidRDefault="006C1BE5">
            <w:pPr>
              <w:spacing w:before="120"/>
              <w:ind w:left="1714" w:right="-72" w:hanging="634"/>
            </w:pPr>
            <w:r>
              <w:t>(xiv)</w:t>
            </w:r>
            <w:r>
              <w:tab/>
              <w:t>“Materials” means all documentation in printed or printable form and all instructional and informational aides in any form (including audio, video, and text) and on any medium, provided to the Purchaser under the Contract.</w:t>
            </w:r>
          </w:p>
          <w:p w14:paraId="59ABF54A" w14:textId="77777777" w:rsidR="00157AAA" w:rsidRDefault="006C1BE5">
            <w:pPr>
              <w:spacing w:before="120"/>
              <w:ind w:left="1714" w:right="-72" w:hanging="634"/>
            </w:pPr>
            <w:r>
              <w:t>(xv)</w:t>
            </w:r>
            <w:r>
              <w:tab/>
              <w:t xml:space="preserve">“Standard Materials” means all Materials not specified as Custom Materials.  </w:t>
            </w:r>
          </w:p>
          <w:p w14:paraId="34EE013C" w14:textId="77777777" w:rsidR="00157AAA" w:rsidRDefault="006C1BE5">
            <w:pPr>
              <w:spacing w:before="120"/>
              <w:ind w:left="1714" w:right="-72" w:hanging="634"/>
            </w:pPr>
            <w:r>
              <w:t>(xvi)</w:t>
            </w:r>
            <w:r>
              <w:rPr>
                <w:spacing w:val="-4"/>
              </w:rPr>
              <w:tab/>
              <w:t>“Custom Materials” means Materials developed by the Supplier at the Purchaser’s expense under the Contract and identified as such in Appendix 5 of the Contract Agreement and such other Materials as the parties may agree in writing to be Custom Materials.  Custom Materials includes Materials created from Standard Materials.</w:t>
            </w:r>
          </w:p>
          <w:p w14:paraId="29B21D1C" w14:textId="77777777" w:rsidR="00157AAA" w:rsidRDefault="006C1BE5">
            <w:pPr>
              <w:spacing w:before="120"/>
              <w:ind w:left="1714" w:right="-72" w:hanging="634"/>
            </w:pPr>
            <w:r>
              <w:t>(xvii)</w:t>
            </w:r>
            <w:r>
              <w:tab/>
              <w:t>“Intellectual Property Rights” means any and all copyright, moral rights, trademark, patent, and other intellectual and proprietary rights, title and interests worldwide, whether vested, contingent, or future, including without limitation all economic rights and all exclusive rights to reproduce, fix, adapt, modify, translate, create derivative works from, extract or re-utilize data from, manufacture, introduce into circulation, publish, distribute, sell, license, sublicense, transfer, rent, lease, transmit or provide access electronically, broadcast, display, enter into computer memory, or otherwise use any portion or copy, in whole or in part, in any form, directly or indirectly, or to authorize or assign others to do so.</w:t>
            </w:r>
          </w:p>
          <w:p w14:paraId="31138B7F" w14:textId="77777777" w:rsidR="00157AAA" w:rsidRDefault="006C1BE5">
            <w:pPr>
              <w:spacing w:before="120"/>
              <w:ind w:left="1714" w:right="-72" w:hanging="634"/>
            </w:pPr>
            <w:r>
              <w:t>(xviii)</w:t>
            </w:r>
            <w:r>
              <w:tab/>
              <w:t xml:space="preserve">“Supplier’s Equipment” means all equipment, tools, apparatus, or things of every kind required in or for installation, completion and </w:t>
            </w:r>
            <w:r>
              <w:lastRenderedPageBreak/>
              <w:t>maintenance of the System that are to be provided by the Supplier, but excluding the Information Technologies, or other items forming part of the System.</w:t>
            </w:r>
          </w:p>
        </w:tc>
      </w:tr>
      <w:tr w:rsidR="00157AAA" w14:paraId="406C1A4A" w14:textId="77777777">
        <w:trPr>
          <w:gridAfter w:val="1"/>
          <w:wAfter w:w="133" w:type="dxa"/>
        </w:trPr>
        <w:tc>
          <w:tcPr>
            <w:tcW w:w="2412" w:type="dxa"/>
          </w:tcPr>
          <w:p w14:paraId="5A863B1D" w14:textId="77777777" w:rsidR="00157AAA" w:rsidRDefault="00157AAA">
            <w:pPr>
              <w:spacing w:before="120"/>
              <w:jc w:val="left"/>
            </w:pPr>
          </w:p>
        </w:tc>
        <w:tc>
          <w:tcPr>
            <w:tcW w:w="6498" w:type="dxa"/>
          </w:tcPr>
          <w:p w14:paraId="6A96B2E8" w14:textId="77777777" w:rsidR="00157AAA" w:rsidRDefault="006C1BE5">
            <w:pPr>
              <w:spacing w:before="120"/>
              <w:ind w:left="1080" w:right="-72" w:hanging="547"/>
            </w:pPr>
            <w:r>
              <w:t>(d)</w:t>
            </w:r>
            <w:r>
              <w:tab/>
              <w:t>activities</w:t>
            </w:r>
          </w:p>
          <w:p w14:paraId="325A5349" w14:textId="77777777" w:rsidR="00157AAA" w:rsidRDefault="006C1BE5">
            <w:pPr>
              <w:spacing w:before="120"/>
              <w:ind w:left="1710" w:right="-72" w:hanging="547"/>
            </w:pPr>
            <w:r>
              <w:t>(</w:t>
            </w:r>
            <w:proofErr w:type="spellStart"/>
            <w:r>
              <w:t>i</w:t>
            </w:r>
            <w:proofErr w:type="spellEnd"/>
            <w:r>
              <w:t>)</w:t>
            </w:r>
            <w:r>
              <w:tab/>
            </w:r>
            <w:r>
              <w:rPr>
                <w:spacing w:val="-4"/>
              </w:rPr>
              <w:t>“Delivery” means the transfer of the Goods from the Supplier to the Purchaser in accordance with the current edition Incoterms specified in the Contract.</w:t>
            </w:r>
            <w:r>
              <w:t xml:space="preserve">  </w:t>
            </w:r>
          </w:p>
          <w:p w14:paraId="4E39EBAA" w14:textId="77777777" w:rsidR="00157AAA" w:rsidRDefault="006C1BE5">
            <w:pPr>
              <w:spacing w:before="120"/>
              <w:ind w:left="1620" w:right="-72" w:hanging="547"/>
            </w:pPr>
            <w:r>
              <w:t>(ii)</w:t>
            </w:r>
            <w:r>
              <w:tab/>
              <w:t>“Installation” means that the System or a Subsystem as specified in the Contract is ready for Commissioning as provided in GCC Clause 26 (Installation).</w:t>
            </w:r>
          </w:p>
          <w:p w14:paraId="1F12B1ED" w14:textId="77777777" w:rsidR="00157AAA" w:rsidRDefault="006C1BE5">
            <w:pPr>
              <w:spacing w:before="120"/>
              <w:ind w:left="1620" w:right="-72" w:hanging="547"/>
            </w:pPr>
            <w:r>
              <w:t>(iii)</w:t>
            </w:r>
            <w:r>
              <w:tab/>
            </w:r>
            <w:r>
              <w:rPr>
                <w:spacing w:val="-4"/>
              </w:rPr>
              <w:t>“Pre-commissioning” means the testing, checking, and any other required activity that may be specified in the Technical Requirements that are to be carried out by the Supplier in preparation for Commissioning of the System as provided in GCC Clause 26 (Installation).</w:t>
            </w:r>
          </w:p>
          <w:p w14:paraId="2B408A6B" w14:textId="77777777" w:rsidR="00157AAA" w:rsidRDefault="006C1BE5">
            <w:pPr>
              <w:spacing w:before="120"/>
              <w:ind w:left="1620" w:right="-72" w:hanging="547"/>
            </w:pPr>
            <w:r>
              <w:t>(iv)</w:t>
            </w:r>
            <w:r>
              <w:tab/>
              <w:t>“Commissioning” means operation of the System or any Subsystem by the Supplier following Installation, which operation is to be carried out by the Supplier as provided in GCC Clause 27.1 (Commissioning), for the purpose of carrying out Operational Acceptance Test(s).</w:t>
            </w:r>
          </w:p>
          <w:p w14:paraId="660B02FC" w14:textId="77777777" w:rsidR="00157AAA" w:rsidRDefault="006C1BE5">
            <w:pPr>
              <w:spacing w:before="120"/>
              <w:ind w:left="1620" w:right="-72" w:hanging="547"/>
            </w:pPr>
            <w:r>
              <w:t>(v)</w:t>
            </w:r>
            <w:r>
              <w:tab/>
              <w:t xml:space="preserve">“Operational Acceptance Tests” means the tests specified in the Technical Requirements and Agreed Project Plan to be carried out to ascertain whether the System, or a specified Subsystem, </w:t>
            </w:r>
            <w:proofErr w:type="gramStart"/>
            <w:r>
              <w:t>is able to</w:t>
            </w:r>
            <w:proofErr w:type="gramEnd"/>
            <w:r>
              <w:t xml:space="preserve"> attain the functional and performance requirements specified in the Technical Requirements and Agreed Project Plan, in accordance with the provisions of GCC Clause 27.2 (Operational Acceptance Test).</w:t>
            </w:r>
          </w:p>
          <w:p w14:paraId="4F7E6EC3" w14:textId="77777777" w:rsidR="00157AAA" w:rsidRDefault="006C1BE5">
            <w:pPr>
              <w:spacing w:before="120"/>
              <w:ind w:left="1620" w:right="-72" w:hanging="547"/>
            </w:pPr>
            <w:r>
              <w:t>(vi)</w:t>
            </w:r>
            <w:r>
              <w:tab/>
              <w:t>“Operational Acceptance” means the acceptance by the Purchaser of the System (or any Subsystem(s) where the Contract provides for acceptance of the System in parts), in accordance with GCC Clause 27.3 (Operational Acceptance).</w:t>
            </w:r>
          </w:p>
        </w:tc>
      </w:tr>
      <w:tr w:rsidR="00157AAA" w14:paraId="1B0380CD" w14:textId="77777777">
        <w:trPr>
          <w:gridAfter w:val="1"/>
          <w:wAfter w:w="133" w:type="dxa"/>
        </w:trPr>
        <w:tc>
          <w:tcPr>
            <w:tcW w:w="2412" w:type="dxa"/>
          </w:tcPr>
          <w:p w14:paraId="0E394E7F" w14:textId="77777777" w:rsidR="00157AAA" w:rsidRDefault="00157AAA">
            <w:pPr>
              <w:spacing w:before="120"/>
              <w:jc w:val="left"/>
            </w:pPr>
          </w:p>
        </w:tc>
        <w:tc>
          <w:tcPr>
            <w:tcW w:w="6498" w:type="dxa"/>
          </w:tcPr>
          <w:p w14:paraId="478507CC" w14:textId="77777777" w:rsidR="00157AAA" w:rsidRDefault="006C1BE5">
            <w:pPr>
              <w:spacing w:before="120"/>
              <w:ind w:left="1080" w:right="-72" w:hanging="547"/>
            </w:pPr>
            <w:r>
              <w:t>(e)</w:t>
            </w:r>
            <w:r>
              <w:tab/>
              <w:t>place and time</w:t>
            </w:r>
          </w:p>
          <w:p w14:paraId="5588F6A6" w14:textId="77777777" w:rsidR="00157AAA" w:rsidRDefault="006C1BE5">
            <w:pPr>
              <w:spacing w:before="120"/>
              <w:ind w:left="1620" w:right="-72" w:hanging="547"/>
              <w:rPr>
                <w:b/>
              </w:rPr>
            </w:pPr>
            <w:r>
              <w:lastRenderedPageBreak/>
              <w:t>(</w:t>
            </w:r>
            <w:proofErr w:type="spellStart"/>
            <w:r>
              <w:t>i</w:t>
            </w:r>
            <w:proofErr w:type="spellEnd"/>
            <w:r>
              <w:t>)</w:t>
            </w:r>
            <w:r>
              <w:tab/>
              <w:t xml:space="preserve">“Purchaser’s Country” is the </w:t>
            </w:r>
            <w:r>
              <w:rPr>
                <w:b/>
              </w:rPr>
              <w:t>country named in the SCC.</w:t>
            </w:r>
          </w:p>
          <w:p w14:paraId="026B1A78" w14:textId="77777777" w:rsidR="00157AAA" w:rsidRDefault="006C1BE5">
            <w:pPr>
              <w:spacing w:before="120"/>
              <w:ind w:left="1620" w:right="-72" w:hanging="547"/>
            </w:pPr>
            <w:r>
              <w:t>(ii)</w:t>
            </w:r>
            <w:r>
              <w:tab/>
              <w:t>“Supplier’s Country” is the country in which the Supplier is legally organized, as named in the Contract Agreement.</w:t>
            </w:r>
          </w:p>
          <w:p w14:paraId="61E3311A" w14:textId="77777777" w:rsidR="00157AAA" w:rsidRDefault="006C1BE5">
            <w:pPr>
              <w:spacing w:before="120"/>
              <w:ind w:left="1620" w:right="-72" w:hanging="547"/>
            </w:pPr>
            <w:r>
              <w:t>(iii)</w:t>
            </w:r>
            <w:r>
              <w:tab/>
            </w:r>
            <w:r>
              <w:rPr>
                <w:b/>
              </w:rPr>
              <w:t xml:space="preserve">Unless otherwise specified in the SCC </w:t>
            </w:r>
            <w:r>
              <w:t>“Project Site(s)” means the place(s) in the Site Table in the Technical Requirements Section for the supply and installation of the System.</w:t>
            </w:r>
          </w:p>
          <w:p w14:paraId="63DFA589" w14:textId="77777777" w:rsidR="00157AAA" w:rsidRDefault="006C1BE5">
            <w:pPr>
              <w:spacing w:before="120"/>
              <w:ind w:left="1620" w:right="-72" w:hanging="547"/>
            </w:pPr>
            <w:r>
              <w:t>(iv)</w:t>
            </w:r>
            <w:r>
              <w:tab/>
              <w:t xml:space="preserve">“Eligible Country” means the countries and territories eligible for participation in procurements financed by the World Bank as defined in the Procurement Regulations. </w:t>
            </w:r>
          </w:p>
          <w:p w14:paraId="15DE699D" w14:textId="77777777" w:rsidR="00157AAA" w:rsidRDefault="006C1BE5">
            <w:pPr>
              <w:spacing w:before="120"/>
              <w:ind w:left="1620" w:right="-72" w:hanging="547"/>
            </w:pPr>
            <w:r>
              <w:t>(v)</w:t>
            </w:r>
            <w:r>
              <w:tab/>
              <w:t>“Day” means calendar day of the Gregorian Calendar.</w:t>
            </w:r>
          </w:p>
          <w:p w14:paraId="108674A5" w14:textId="77777777" w:rsidR="00157AAA" w:rsidRDefault="006C1BE5">
            <w:pPr>
              <w:spacing w:before="120"/>
              <w:ind w:left="1620" w:right="-72" w:hanging="547"/>
            </w:pPr>
            <w:r>
              <w:t xml:space="preserve">(vi) </w:t>
            </w:r>
            <w:r>
              <w:tab/>
              <w:t>“Week” means seven (7) consecutive Days, beginning the day of the week as is customary in the Purchaser’s Country.</w:t>
            </w:r>
          </w:p>
          <w:p w14:paraId="113591CC" w14:textId="77777777" w:rsidR="00157AAA" w:rsidRDefault="006C1BE5">
            <w:pPr>
              <w:spacing w:before="120"/>
              <w:ind w:left="1620" w:right="-72" w:hanging="547"/>
            </w:pPr>
            <w:r>
              <w:t>(vii)</w:t>
            </w:r>
            <w:r>
              <w:tab/>
              <w:t>“Month” means calendar month of the Gregorian Calendar.</w:t>
            </w:r>
          </w:p>
          <w:p w14:paraId="4F26E6E5" w14:textId="77777777" w:rsidR="00157AAA" w:rsidRDefault="006C1BE5">
            <w:pPr>
              <w:spacing w:before="120"/>
              <w:ind w:left="1620" w:right="-72" w:hanging="547"/>
            </w:pPr>
            <w:r>
              <w:t>(viii)</w:t>
            </w:r>
            <w:r>
              <w:tab/>
              <w:t>“Year” means twelve (12) consecutive Months.</w:t>
            </w:r>
          </w:p>
          <w:p w14:paraId="2274CA57" w14:textId="77777777" w:rsidR="00157AAA" w:rsidRDefault="006C1BE5">
            <w:pPr>
              <w:spacing w:before="120"/>
              <w:ind w:left="1620" w:right="-72" w:hanging="547"/>
            </w:pPr>
            <w:r>
              <w:t>(ix)</w:t>
            </w:r>
            <w:r>
              <w:tab/>
              <w:t>“Effective Date” means the date of fulfillment of all conditions specified in Article 3 (Effective Date for Determining Time for Achieving Operational Acceptance) of the Contract Agreement, for the purpose of determining the Delivery, Installation, and Operational Acceptance dates for the System or Subsystem(s).</w:t>
            </w:r>
          </w:p>
          <w:p w14:paraId="75833BB3" w14:textId="77777777" w:rsidR="00157AAA" w:rsidRDefault="006C1BE5">
            <w:pPr>
              <w:spacing w:before="120"/>
              <w:ind w:left="1620" w:right="-72" w:hanging="547"/>
            </w:pPr>
            <w:r>
              <w:t>(x)</w:t>
            </w:r>
            <w:r>
              <w:tab/>
              <w:t xml:space="preserve">“Contract Period” is the </w:t>
            </w:r>
            <w:proofErr w:type="gramStart"/>
            <w:r>
              <w:t>time period</w:t>
            </w:r>
            <w:proofErr w:type="gramEnd"/>
            <w:r>
              <w:t xml:space="preserve"> during which this Contract governs the relations and obligations of the Purchaser and Supplier in relation to the System, as </w:t>
            </w:r>
            <w:r>
              <w:rPr>
                <w:b/>
              </w:rPr>
              <w:t>unless otherwise specified in the SCC,</w:t>
            </w:r>
            <w:r>
              <w:t xml:space="preserve"> the Contract shall continue in force until the Information System and all the Services have been provided, unless the Contract is terminated earlier in accordance with the terms set out in the Contract</w:t>
            </w:r>
            <w:r>
              <w:rPr>
                <w:b/>
              </w:rPr>
              <w:t>.</w:t>
            </w:r>
          </w:p>
          <w:p w14:paraId="469648E6" w14:textId="77777777" w:rsidR="00157AAA" w:rsidRDefault="006C1BE5">
            <w:pPr>
              <w:spacing w:before="120"/>
              <w:ind w:left="1620" w:right="-72" w:hanging="547"/>
            </w:pPr>
            <w:r>
              <w:t>(xi)</w:t>
            </w:r>
            <w:r>
              <w:tab/>
              <w:t xml:space="preserve">“Defect Liability Period” (also referred to as the “Warranty Period”) means the period of validity of the warranties given by the Supplier commencing at date of the Operational Acceptance Certificate of the System or </w:t>
            </w:r>
            <w:r>
              <w:lastRenderedPageBreak/>
              <w:t>Subsystem(s), during which the Supplier is responsible for defects with respect to the System (or the relevant Subsystem[s]) as provided in GCC Clause 29 (Defect Liability).</w:t>
            </w:r>
          </w:p>
          <w:p w14:paraId="0E777799" w14:textId="77777777" w:rsidR="00157AAA" w:rsidRDefault="006C1BE5">
            <w:pPr>
              <w:spacing w:before="120"/>
              <w:ind w:left="1620" w:right="-72" w:hanging="547"/>
            </w:pPr>
            <w:r>
              <w:t>(xii)</w:t>
            </w:r>
            <w:r>
              <w:tab/>
              <w:t>“The Coverage Period” means the Days of the Week and the hours of those Days during which maintenance, operational, and/or technical support services (if any) must be available.</w:t>
            </w:r>
          </w:p>
          <w:p w14:paraId="1833EC78" w14:textId="77777777" w:rsidR="00157AAA" w:rsidRDefault="006C1BE5">
            <w:pPr>
              <w:spacing w:before="120"/>
              <w:ind w:left="1620" w:right="-72" w:hanging="547"/>
            </w:pPr>
            <w:r>
              <w:t xml:space="preserve">(xiii) The Post-Warranty Services Period” means the number of years </w:t>
            </w:r>
            <w:r>
              <w:rPr>
                <w:b/>
              </w:rPr>
              <w:t>defined in the SCC</w:t>
            </w:r>
            <w:r>
              <w:t xml:space="preserve"> (if any), following the expiration of the Warranty Period during which the Supplier may be obligated to provide Software licenses, maintenance, and/or technical support services for the System, either under this Contract or under separate contract(s).  </w:t>
            </w:r>
          </w:p>
        </w:tc>
      </w:tr>
      <w:tr w:rsidR="00157AAA" w14:paraId="5D2D3DD4" w14:textId="77777777">
        <w:trPr>
          <w:gridAfter w:val="1"/>
          <w:wAfter w:w="133" w:type="dxa"/>
        </w:trPr>
        <w:tc>
          <w:tcPr>
            <w:tcW w:w="2412" w:type="dxa"/>
          </w:tcPr>
          <w:p w14:paraId="7070FDB4" w14:textId="18EF8360" w:rsidR="00157AAA" w:rsidRDefault="006C1BE5">
            <w:pPr>
              <w:pStyle w:val="Head62"/>
              <w:spacing w:before="120"/>
            </w:pPr>
            <w:bookmarkStart w:id="801" w:name="_Toc277233319"/>
            <w:bookmarkStart w:id="802" w:name="_Toc73977693"/>
            <w:r>
              <w:lastRenderedPageBreak/>
              <w:t>2.</w:t>
            </w:r>
            <w:r>
              <w:tab/>
              <w:t>Contract Documents</w:t>
            </w:r>
            <w:bookmarkEnd w:id="801"/>
            <w:bookmarkEnd w:id="802"/>
          </w:p>
        </w:tc>
        <w:tc>
          <w:tcPr>
            <w:tcW w:w="6498" w:type="dxa"/>
          </w:tcPr>
          <w:p w14:paraId="39C1DC4D" w14:textId="77777777" w:rsidR="00157AAA" w:rsidRDefault="006C1BE5">
            <w:pPr>
              <w:keepNext/>
              <w:keepLines/>
              <w:spacing w:before="120"/>
              <w:ind w:left="547" w:right="-72" w:hanging="547"/>
            </w:pPr>
            <w:r>
              <w:t>2.1</w:t>
            </w:r>
            <w:r>
              <w:tab/>
              <w:t xml:space="preserve">Subject to Article 1.2 (Order of Precedence) of the Contract Agreement, all documents forming part of the Contract (and all parts of these documents) are intended to be correlative, complementary, and mutually explanatory.  The Contract shall be </w:t>
            </w:r>
            <w:proofErr w:type="gramStart"/>
            <w:r>
              <w:t>read as a whole</w:t>
            </w:r>
            <w:proofErr w:type="gramEnd"/>
            <w:r>
              <w:t>.</w:t>
            </w:r>
          </w:p>
        </w:tc>
      </w:tr>
      <w:tr w:rsidR="00157AAA" w14:paraId="7F4F19FF" w14:textId="77777777">
        <w:trPr>
          <w:gridAfter w:val="1"/>
          <w:wAfter w:w="133" w:type="dxa"/>
          <w:cantSplit/>
        </w:trPr>
        <w:tc>
          <w:tcPr>
            <w:tcW w:w="2412" w:type="dxa"/>
          </w:tcPr>
          <w:p w14:paraId="2BA9CF46" w14:textId="1001A049" w:rsidR="00157AAA" w:rsidRDefault="006C1BE5">
            <w:pPr>
              <w:pStyle w:val="Head62"/>
              <w:spacing w:before="120"/>
            </w:pPr>
            <w:bookmarkStart w:id="803" w:name="_Toc277233320"/>
            <w:bookmarkStart w:id="804" w:name="_Toc73977694"/>
            <w:r>
              <w:t>3.</w:t>
            </w:r>
            <w:r>
              <w:tab/>
              <w:t>Interpretation</w:t>
            </w:r>
            <w:bookmarkEnd w:id="803"/>
            <w:bookmarkEnd w:id="804"/>
          </w:p>
        </w:tc>
        <w:tc>
          <w:tcPr>
            <w:tcW w:w="6498" w:type="dxa"/>
          </w:tcPr>
          <w:p w14:paraId="2C81816E" w14:textId="77777777" w:rsidR="00157AAA" w:rsidRDefault="006C1BE5">
            <w:pPr>
              <w:keepNext/>
              <w:spacing w:before="120"/>
              <w:ind w:left="547" w:right="-72" w:hanging="547"/>
            </w:pPr>
            <w:r>
              <w:t>3.1</w:t>
            </w:r>
            <w:r>
              <w:tab/>
              <w:t>Governing Language</w:t>
            </w:r>
          </w:p>
        </w:tc>
      </w:tr>
      <w:tr w:rsidR="00157AAA" w14:paraId="03333E85" w14:textId="77777777">
        <w:trPr>
          <w:gridAfter w:val="1"/>
          <w:wAfter w:w="133" w:type="dxa"/>
        </w:trPr>
        <w:tc>
          <w:tcPr>
            <w:tcW w:w="2412" w:type="dxa"/>
          </w:tcPr>
          <w:p w14:paraId="18A53EF4" w14:textId="77777777" w:rsidR="00157AAA" w:rsidRDefault="00157AAA">
            <w:pPr>
              <w:spacing w:before="120"/>
              <w:jc w:val="left"/>
            </w:pPr>
          </w:p>
        </w:tc>
        <w:tc>
          <w:tcPr>
            <w:tcW w:w="6498" w:type="dxa"/>
          </w:tcPr>
          <w:p w14:paraId="166CDF19" w14:textId="77777777" w:rsidR="00157AAA" w:rsidRDefault="006C1BE5">
            <w:pPr>
              <w:spacing w:before="120"/>
              <w:ind w:left="1080" w:right="-72" w:hanging="540"/>
            </w:pPr>
            <w:r>
              <w:t>3.1.1</w:t>
            </w:r>
            <w:r>
              <w:tab/>
            </w:r>
            <w:r>
              <w:rPr>
                <w:b/>
              </w:rPr>
              <w:t>Unless otherwise specified in the SCC</w:t>
            </w:r>
            <w:r>
              <w:t xml:space="preserve">, all Contract Documents and related correspondence exchanged between Purchaser and Supplier shall be written in </w:t>
            </w:r>
            <w:proofErr w:type="gramStart"/>
            <w:r>
              <w:t>the  language</w:t>
            </w:r>
            <w:proofErr w:type="gramEnd"/>
            <w:r>
              <w:t xml:space="preserve"> of these bidding documents (English)</w:t>
            </w:r>
            <w:r>
              <w:rPr>
                <w:b/>
              </w:rPr>
              <w:t>,</w:t>
            </w:r>
            <w:r>
              <w:t xml:space="preserve"> and the Contract shall be construed and interpreted in accordance with that language.</w:t>
            </w:r>
          </w:p>
          <w:p w14:paraId="69B78E5B" w14:textId="77777777" w:rsidR="00157AAA" w:rsidRDefault="006C1BE5">
            <w:pPr>
              <w:spacing w:before="120"/>
              <w:ind w:left="1080" w:right="-72" w:hanging="540"/>
            </w:pPr>
            <w:r>
              <w:t>3.1.2</w:t>
            </w:r>
            <w:r>
              <w:tab/>
              <w:t xml:space="preserve">If any of the Contract Documents or related correspondence are prepared in a language other than the governing language under GCC Clause 3.1.1 above, the translation of such documents into the governing language shall prevail in matters of interpretation.  The originating party, with respect to such </w:t>
            </w:r>
            <w:proofErr w:type="gramStart"/>
            <w:r>
              <w:t>documents</w:t>
            </w:r>
            <w:proofErr w:type="gramEnd"/>
            <w:r>
              <w:t xml:space="preserve"> shall bear the costs and risks of such translation.</w:t>
            </w:r>
          </w:p>
          <w:p w14:paraId="41DD35D0" w14:textId="77777777" w:rsidR="00157AAA" w:rsidRDefault="006C1BE5">
            <w:pPr>
              <w:keepNext/>
              <w:spacing w:before="120"/>
              <w:ind w:left="547" w:right="-72" w:hanging="547"/>
            </w:pPr>
            <w:r>
              <w:t>3.2</w:t>
            </w:r>
            <w:r>
              <w:tab/>
              <w:t>Singular and Plural</w:t>
            </w:r>
          </w:p>
          <w:p w14:paraId="5E6656F6" w14:textId="77777777" w:rsidR="00157AAA" w:rsidRDefault="006C1BE5">
            <w:pPr>
              <w:spacing w:before="120"/>
              <w:ind w:left="540" w:right="-72"/>
            </w:pPr>
            <w:r>
              <w:t>The singular shall include the plural and the plural the singular, except where the context otherwise requires.</w:t>
            </w:r>
          </w:p>
          <w:p w14:paraId="1722F283" w14:textId="77777777" w:rsidR="00157AAA" w:rsidRDefault="006C1BE5">
            <w:pPr>
              <w:keepNext/>
              <w:spacing w:before="120"/>
              <w:ind w:left="547" w:right="-72" w:hanging="547"/>
            </w:pPr>
            <w:r>
              <w:lastRenderedPageBreak/>
              <w:t>3.3</w:t>
            </w:r>
            <w:r>
              <w:tab/>
              <w:t>Headings</w:t>
            </w:r>
          </w:p>
          <w:p w14:paraId="32BE4895" w14:textId="77777777" w:rsidR="00157AAA" w:rsidRDefault="006C1BE5">
            <w:pPr>
              <w:spacing w:before="120"/>
              <w:ind w:left="540" w:right="-72"/>
            </w:pPr>
            <w:r>
              <w:t>The headings and marginal notes in the GCC are included for ease of reference and shall neither constitute a part of the Contract nor affect its interpretation.</w:t>
            </w:r>
          </w:p>
          <w:p w14:paraId="48F3506C" w14:textId="77777777" w:rsidR="00157AAA" w:rsidRDefault="006C1BE5">
            <w:pPr>
              <w:keepNext/>
              <w:spacing w:before="120"/>
              <w:ind w:left="547" w:right="-72" w:hanging="547"/>
            </w:pPr>
            <w:r>
              <w:t>3.4</w:t>
            </w:r>
            <w:r>
              <w:tab/>
              <w:t>Persons</w:t>
            </w:r>
          </w:p>
          <w:p w14:paraId="39612656" w14:textId="77777777" w:rsidR="00157AAA" w:rsidRDefault="006C1BE5">
            <w:pPr>
              <w:spacing w:before="120"/>
              <w:ind w:left="540" w:right="-72"/>
            </w:pPr>
            <w:r>
              <w:t>Words importing persons or parties shall include firms, corporations, and government entities.</w:t>
            </w:r>
          </w:p>
          <w:p w14:paraId="5F0888AF" w14:textId="77777777" w:rsidR="00157AAA" w:rsidRDefault="006C1BE5">
            <w:pPr>
              <w:keepNext/>
              <w:tabs>
                <w:tab w:val="left" w:pos="540"/>
              </w:tabs>
              <w:spacing w:before="120"/>
              <w:ind w:right="-72"/>
            </w:pPr>
            <w:r>
              <w:t>3.5</w:t>
            </w:r>
            <w:r>
              <w:tab/>
              <w:t>Incoterms</w:t>
            </w:r>
          </w:p>
          <w:p w14:paraId="65707A70" w14:textId="77777777" w:rsidR="00157AAA" w:rsidRDefault="006C1BE5">
            <w:pPr>
              <w:keepNext/>
              <w:spacing w:before="120"/>
              <w:ind w:left="547" w:right="-72" w:hanging="7"/>
            </w:pPr>
            <w:r>
              <w:t xml:space="preserve">Unless inconsistent with any provision of the Contract, the meaning of any trade term and the rights and obligations of parties thereunder shall be as prescribed by the </w:t>
            </w:r>
            <w:proofErr w:type="gramStart"/>
            <w:r>
              <w:t>Incoterms</w:t>
            </w:r>
            <w:proofErr w:type="gramEnd"/>
            <w:r>
              <w:t xml:space="preserve"> </w:t>
            </w:r>
          </w:p>
          <w:p w14:paraId="271604DD" w14:textId="77777777" w:rsidR="00157AAA" w:rsidRDefault="006C1BE5">
            <w:pPr>
              <w:keepNext/>
              <w:spacing w:before="120"/>
              <w:ind w:left="547" w:right="-72" w:hanging="7"/>
            </w:pPr>
            <w:r>
              <w:rPr>
                <w:i/>
                <w:szCs w:val="24"/>
              </w:rPr>
              <w:tab/>
            </w:r>
            <w:r>
              <w:rPr>
                <w:szCs w:val="24"/>
              </w:rPr>
              <w:t>Incoterms means international rules for interpreting trade terms published by the International Chamber of Commerce (latest edition), 38 Cours Albert 1</w:t>
            </w:r>
            <w:r>
              <w:rPr>
                <w:szCs w:val="24"/>
                <w:vertAlign w:val="superscript"/>
              </w:rPr>
              <w:t>er</w:t>
            </w:r>
            <w:r>
              <w:rPr>
                <w:szCs w:val="24"/>
              </w:rPr>
              <w:t>, 75008 Paris, France</w:t>
            </w:r>
            <w:r>
              <w:t>.</w:t>
            </w:r>
          </w:p>
          <w:p w14:paraId="12C55486" w14:textId="77777777" w:rsidR="00157AAA" w:rsidRDefault="006C1BE5">
            <w:pPr>
              <w:keepNext/>
              <w:spacing w:before="120"/>
              <w:ind w:left="547" w:right="-72" w:hanging="547"/>
            </w:pPr>
            <w:r>
              <w:t>3.6</w:t>
            </w:r>
            <w:r>
              <w:tab/>
              <w:t>Entire Agreement</w:t>
            </w:r>
          </w:p>
          <w:p w14:paraId="37486209" w14:textId="77777777" w:rsidR="00157AAA" w:rsidRDefault="006C1BE5">
            <w:pPr>
              <w:spacing w:before="120"/>
              <w:ind w:left="540" w:right="-72"/>
            </w:pPr>
            <w:r>
              <w:t>The Contract constitutes the entire agreement between the Purchaser and Supplier with respect to the subject matter of Contract and supersedes all communications, negotiations, and agreements (whether written or oral) of parties with respect to the subject matter of the Contract made prior to the date of Contract.</w:t>
            </w:r>
          </w:p>
          <w:p w14:paraId="6EE5C670" w14:textId="77777777" w:rsidR="00157AAA" w:rsidRDefault="006C1BE5">
            <w:pPr>
              <w:keepNext/>
              <w:spacing w:before="120"/>
              <w:ind w:left="547" w:right="-72" w:hanging="547"/>
            </w:pPr>
            <w:r>
              <w:t>3.7</w:t>
            </w:r>
            <w:r>
              <w:tab/>
              <w:t>Amendment</w:t>
            </w:r>
          </w:p>
          <w:p w14:paraId="7FFAA85A" w14:textId="77777777" w:rsidR="00157AAA" w:rsidRDefault="006C1BE5">
            <w:pPr>
              <w:spacing w:before="120"/>
              <w:ind w:left="540" w:right="-72"/>
            </w:pPr>
            <w:r>
              <w:t>No amendment or other variation of the Contract shall be effective unless it is in writing, is dated, expressly refers to the Contract, and is signed by a duly authorized representative of each party to the Contract.</w:t>
            </w:r>
          </w:p>
          <w:p w14:paraId="4E1973AA" w14:textId="77777777" w:rsidR="00157AAA" w:rsidRDefault="006C1BE5">
            <w:pPr>
              <w:keepNext/>
              <w:spacing w:before="120"/>
              <w:ind w:left="547" w:right="-72" w:hanging="547"/>
            </w:pPr>
            <w:r>
              <w:t>3.8</w:t>
            </w:r>
            <w:r>
              <w:tab/>
              <w:t>Independent Supplier</w:t>
            </w:r>
          </w:p>
          <w:p w14:paraId="41771B0C" w14:textId="77777777" w:rsidR="00157AAA" w:rsidRDefault="006C1BE5">
            <w:pPr>
              <w:spacing w:before="120"/>
              <w:ind w:left="547" w:right="-72"/>
            </w:pPr>
            <w:r>
              <w:t>The Supplier shall be an independent contractor performing the Contract.  The Contract does not create any agency, partnership, joint venture, or other joint relationship between the parties to the Contract.</w:t>
            </w:r>
          </w:p>
          <w:p w14:paraId="1155707B" w14:textId="77777777" w:rsidR="00157AAA" w:rsidRDefault="006C1BE5">
            <w:pPr>
              <w:spacing w:before="120"/>
              <w:ind w:left="547" w:right="-72"/>
            </w:pPr>
            <w:r>
              <w:t xml:space="preserve">Subject to the provisions of the Contract, the Supplier shall be solely responsible </w:t>
            </w:r>
            <w:proofErr w:type="gramStart"/>
            <w:r>
              <w:t>for the manner in which</w:t>
            </w:r>
            <w:proofErr w:type="gramEnd"/>
            <w:r>
              <w:t xml:space="preserve"> the Contract is performed.  All employees, representatives, or Subcontractors engaged by the Supplier in connection with the performance of the Contract shall be under the complete control of the Supplier and shall not be deemed to be employees of the Purchaser, and nothing contained in the Contract or in any subcontract awarded by the Supplier shall be construed to create any contractual relationship between </w:t>
            </w:r>
            <w:r>
              <w:lastRenderedPageBreak/>
              <w:t>any such employees, representatives, or Subcontractors and the Purchaser.</w:t>
            </w:r>
          </w:p>
          <w:p w14:paraId="15C8DF5A" w14:textId="77777777" w:rsidR="00157AAA" w:rsidRDefault="006C1BE5">
            <w:pPr>
              <w:keepNext/>
              <w:spacing w:before="120"/>
              <w:ind w:left="547" w:right="-72" w:hanging="547"/>
            </w:pPr>
            <w:r>
              <w:t>3.9</w:t>
            </w:r>
            <w:r>
              <w:tab/>
              <w:t>Joint Venture</w:t>
            </w:r>
          </w:p>
          <w:p w14:paraId="562D29CE" w14:textId="77777777" w:rsidR="00157AAA" w:rsidRDefault="006C1BE5">
            <w:pPr>
              <w:spacing w:before="120"/>
              <w:ind w:left="547" w:right="-72"/>
            </w:pPr>
            <w:r>
              <w:t>If the Supplier is a Joint Venture of two or more firms, all such firms shall be jointly and severally bound to the Purchaser for the fulfillment of the provisions of the Contract and shall designate one of such firms to act as a leader with authority to bind the Joint Venture.  The composition or constitution of the Joint Venture shall not be altered without the prior consent of the Purchaser.</w:t>
            </w:r>
          </w:p>
          <w:p w14:paraId="1DA9A0D3" w14:textId="77777777" w:rsidR="00157AAA" w:rsidRDefault="006C1BE5">
            <w:pPr>
              <w:keepNext/>
              <w:spacing w:before="120"/>
              <w:ind w:left="547" w:right="-72" w:hanging="547"/>
            </w:pPr>
            <w:r>
              <w:t>3.10</w:t>
            </w:r>
            <w:r>
              <w:tab/>
              <w:t>Nonwaiver</w:t>
            </w:r>
          </w:p>
          <w:p w14:paraId="0F8B8217" w14:textId="77777777" w:rsidR="00157AAA" w:rsidRDefault="006C1BE5">
            <w:pPr>
              <w:spacing w:before="120"/>
              <w:ind w:left="1267" w:right="-72" w:hanging="720"/>
            </w:pPr>
            <w:r>
              <w:t>3.10.1</w:t>
            </w:r>
            <w:r>
              <w:tab/>
              <w:t>Subject to GCC Clause 3.10.2 below, no relaxation, forbearance, delay, or indulgence by either party in enforcing any of the terms and conditions of the Contract or the granting of time by either party to the other shall prejudice, affect, or restrict the rights of that party under the Contract, nor shall any waiver by either party of any breach of Contract operate as waiver of any subsequent or continuing breach of Contract.</w:t>
            </w:r>
          </w:p>
          <w:p w14:paraId="760A721C" w14:textId="77777777" w:rsidR="00157AAA" w:rsidRDefault="006C1BE5">
            <w:pPr>
              <w:spacing w:before="120"/>
              <w:ind w:left="1267" w:right="-72" w:hanging="720"/>
            </w:pPr>
            <w:r>
              <w:t>3.10.2</w:t>
            </w:r>
            <w:r>
              <w:tab/>
              <w:t>Any waiver of a party’s rights, powers, or remedies under the Contract must be in writing, must be dated and signed by an authorized representative of the party granting such waiver, and must specify the right and the extent to which it is being waived.</w:t>
            </w:r>
          </w:p>
          <w:p w14:paraId="09C8A080" w14:textId="77777777" w:rsidR="00157AAA" w:rsidRDefault="006C1BE5">
            <w:pPr>
              <w:keepNext/>
              <w:spacing w:before="120"/>
              <w:ind w:left="547" w:right="-72" w:hanging="547"/>
            </w:pPr>
            <w:r>
              <w:t>3.11</w:t>
            </w:r>
            <w:r>
              <w:tab/>
              <w:t>Severability</w:t>
            </w:r>
          </w:p>
          <w:p w14:paraId="70C1F995" w14:textId="77777777" w:rsidR="00157AAA" w:rsidRDefault="006C1BE5">
            <w:pPr>
              <w:spacing w:before="120"/>
              <w:ind w:left="540" w:right="-72"/>
            </w:pPr>
            <w:r>
              <w:t>If any provision or condition of the Contract is prohibited or rendered invalid or unenforceable, such prohibition, invalidity, or unenforceability shall not affect the validity or enforceability of any other provisions and conditions of the Contract.</w:t>
            </w:r>
          </w:p>
          <w:p w14:paraId="5C90B3FA" w14:textId="77777777" w:rsidR="00157AAA" w:rsidRDefault="006C1BE5">
            <w:pPr>
              <w:keepNext/>
              <w:spacing w:before="120"/>
              <w:ind w:left="547" w:right="-72" w:hanging="547"/>
            </w:pPr>
            <w:r>
              <w:t>3.12</w:t>
            </w:r>
            <w:r>
              <w:tab/>
              <w:t>Country of Origin</w:t>
            </w:r>
          </w:p>
          <w:p w14:paraId="3655588F" w14:textId="77777777" w:rsidR="00157AAA" w:rsidRDefault="006C1BE5">
            <w:pPr>
              <w:spacing w:before="120"/>
              <w:ind w:left="540" w:right="-72" w:hanging="540"/>
            </w:pPr>
            <w:r>
              <w:tab/>
              <w:t>“Origin” means the place where the Information Technologies, Materials, and other Goods for the System were produced or from which the Services are supplied.  Goods are produced when, through manufacturing, processing, Software development, or substantial and major assembly or integration of components, a commercially recognized product results that is substantially different in basic characteristics or in purpose or utility from its components.  The Origin of Goods and Services is distinct from the nationality of the Supplier and may be different.</w:t>
            </w:r>
          </w:p>
        </w:tc>
      </w:tr>
      <w:tr w:rsidR="00157AAA" w14:paraId="43700E1A" w14:textId="77777777">
        <w:trPr>
          <w:gridAfter w:val="1"/>
          <w:wAfter w:w="133" w:type="dxa"/>
          <w:cantSplit/>
        </w:trPr>
        <w:tc>
          <w:tcPr>
            <w:tcW w:w="2412" w:type="dxa"/>
          </w:tcPr>
          <w:p w14:paraId="5FF21C40" w14:textId="204D0FCE" w:rsidR="00157AAA" w:rsidRDefault="006C1BE5">
            <w:pPr>
              <w:pStyle w:val="Head62"/>
              <w:spacing w:before="120"/>
            </w:pPr>
            <w:bookmarkStart w:id="805" w:name="_Toc277233321"/>
            <w:bookmarkStart w:id="806" w:name="_Toc73977695"/>
            <w:r>
              <w:lastRenderedPageBreak/>
              <w:t>4.</w:t>
            </w:r>
            <w:r>
              <w:tab/>
              <w:t>Notices</w:t>
            </w:r>
            <w:bookmarkEnd w:id="805"/>
            <w:bookmarkEnd w:id="806"/>
          </w:p>
        </w:tc>
        <w:tc>
          <w:tcPr>
            <w:tcW w:w="6498" w:type="dxa"/>
          </w:tcPr>
          <w:p w14:paraId="6632BC56" w14:textId="77777777" w:rsidR="00157AAA" w:rsidRDefault="006C1BE5">
            <w:pPr>
              <w:spacing w:before="120"/>
              <w:ind w:left="540" w:right="-72" w:hanging="540"/>
            </w:pPr>
            <w:r>
              <w:t>4.1</w:t>
            </w:r>
            <w:r>
              <w:tab/>
              <w:t>Unless otherwise stated in the Contract, all notices to be given under the Contract shall be in writing and shall be sent, pursuant to GCC Clause 4.3 below, by personal delivery, airmail post, special courier, facsimile, electronic mail, or Electronic Data Interchange (EDI), with the following provisions.</w:t>
            </w:r>
          </w:p>
        </w:tc>
      </w:tr>
      <w:tr w:rsidR="00157AAA" w14:paraId="72C75728" w14:textId="77777777">
        <w:trPr>
          <w:gridAfter w:val="1"/>
          <w:wAfter w:w="133" w:type="dxa"/>
        </w:trPr>
        <w:tc>
          <w:tcPr>
            <w:tcW w:w="2412" w:type="dxa"/>
          </w:tcPr>
          <w:p w14:paraId="3CD9D3A3" w14:textId="77777777" w:rsidR="00157AAA" w:rsidRDefault="00157AAA">
            <w:pPr>
              <w:spacing w:before="120"/>
              <w:jc w:val="left"/>
            </w:pPr>
          </w:p>
        </w:tc>
        <w:tc>
          <w:tcPr>
            <w:tcW w:w="6498" w:type="dxa"/>
          </w:tcPr>
          <w:p w14:paraId="0B98E60A" w14:textId="77777777" w:rsidR="00157AAA" w:rsidRDefault="006C1BE5">
            <w:pPr>
              <w:spacing w:before="120"/>
              <w:ind w:left="1080" w:right="-72" w:hanging="540"/>
            </w:pPr>
            <w:r>
              <w:t>4.1.1</w:t>
            </w:r>
            <w:r>
              <w:tab/>
              <w:t>Any notice sent by facsimile, electronic mail, or EDI shall be confirmed within two (2) days after dispatch by notice sent by airmail post or special courier, except as otherwise specified in the Contract.</w:t>
            </w:r>
          </w:p>
          <w:p w14:paraId="03BDCE9A" w14:textId="77777777" w:rsidR="00157AAA" w:rsidRDefault="006C1BE5">
            <w:pPr>
              <w:spacing w:before="120"/>
              <w:ind w:left="1080" w:right="-72" w:hanging="540"/>
            </w:pPr>
            <w:r>
              <w:t>4.1.2</w:t>
            </w:r>
            <w:r>
              <w:tab/>
              <w:t>Any notice sent by airmail post or special courier shall be deemed (in the absence of evidence of earlier receipt) to have been delivered ten (10) days after dispatch.  In proving the fact of dispatch, it shall be sufficient to show that the envelope containing such notice was properly addressed, stamped, and conveyed to the postal authorities or courier service for transmission by airmail or special courier.</w:t>
            </w:r>
          </w:p>
          <w:p w14:paraId="23AB8991" w14:textId="77777777" w:rsidR="00157AAA" w:rsidRDefault="006C1BE5">
            <w:pPr>
              <w:spacing w:before="120"/>
              <w:ind w:left="1080" w:right="-72" w:hanging="540"/>
            </w:pPr>
            <w:r>
              <w:t>4.1.3</w:t>
            </w:r>
            <w:r>
              <w:tab/>
              <w:t>Any notice delivered personally or sent by facsimile, electronic mail, or EDI shall be deemed to have been delivered on the date of its dispatch.</w:t>
            </w:r>
          </w:p>
          <w:p w14:paraId="06C94C2E" w14:textId="77777777" w:rsidR="00157AAA" w:rsidRDefault="006C1BE5">
            <w:pPr>
              <w:spacing w:before="120"/>
              <w:ind w:left="1080" w:right="-72" w:hanging="540"/>
            </w:pPr>
            <w:r>
              <w:t>4.1.4</w:t>
            </w:r>
            <w:r>
              <w:tab/>
              <w:t>Either party may change its postal, facsimile, electronic mail, or EDI addresses for receipt of such notices by ten (10) days’ notice to the other party in writing.</w:t>
            </w:r>
          </w:p>
          <w:p w14:paraId="737C45A4" w14:textId="77777777" w:rsidR="00157AAA" w:rsidRDefault="006C1BE5">
            <w:pPr>
              <w:spacing w:before="120"/>
              <w:ind w:left="547" w:right="-72" w:hanging="547"/>
            </w:pPr>
            <w:r>
              <w:t>4.2</w:t>
            </w:r>
            <w:r>
              <w:tab/>
              <w:t xml:space="preserve">Notices shall be deemed to include any approvals, consents, instructions, orders, certificates, </w:t>
            </w:r>
            <w:proofErr w:type="gramStart"/>
            <w:r>
              <w:t>information</w:t>
            </w:r>
            <w:proofErr w:type="gramEnd"/>
            <w:r>
              <w:t xml:space="preserve"> and other communication to be given under the Contract.</w:t>
            </w:r>
          </w:p>
          <w:p w14:paraId="0188A8FB" w14:textId="77777777" w:rsidR="00157AAA" w:rsidRDefault="006C1BE5">
            <w:pPr>
              <w:spacing w:before="120"/>
              <w:ind w:left="547" w:right="-72" w:hanging="547"/>
            </w:pPr>
            <w:r>
              <w:t>4.3</w:t>
            </w:r>
            <w:r>
              <w:tab/>
              <w:t xml:space="preserve">Pursuant to GCC Clause 18, notices from/to the Purchaser are normally given by, or addressed to, the Project Manager, while notices from/to the Supplier are normally given by, or addressed to, the Supplier's Representative, or in its absence its deputy if any.  If there is no appointed Project Manager or Supplier's Representative (or deputy), or if their related authority is limited by the SCC for GCC Clauses 18.1 or 18.2.2, or for any other reason, the Purchaser or Supplier may give and receive notices at their fallback addresses.  The address of the Project Manager and the fallback address of the Purchaser are as </w:t>
            </w:r>
            <w:r>
              <w:rPr>
                <w:b/>
              </w:rPr>
              <w:t>specified in the SCC</w:t>
            </w:r>
            <w:r>
              <w:t xml:space="preserve"> or as subsequently established/amended.  The address of the Supplier's Representative and the fallback address of the Supplier are as specified in Appendix 1 of the Contract Agreement or as subsequently established/amended. </w:t>
            </w:r>
          </w:p>
        </w:tc>
      </w:tr>
      <w:tr w:rsidR="00157AAA" w14:paraId="50D06044" w14:textId="77777777">
        <w:trPr>
          <w:gridAfter w:val="1"/>
          <w:wAfter w:w="133" w:type="dxa"/>
          <w:cantSplit/>
        </w:trPr>
        <w:tc>
          <w:tcPr>
            <w:tcW w:w="2412" w:type="dxa"/>
          </w:tcPr>
          <w:p w14:paraId="64679FA7" w14:textId="3A46EE4F" w:rsidR="00157AAA" w:rsidRDefault="006C1BE5">
            <w:pPr>
              <w:pStyle w:val="Head62"/>
              <w:spacing w:before="120"/>
            </w:pPr>
            <w:bookmarkStart w:id="807" w:name="_Toc277233322"/>
            <w:bookmarkStart w:id="808" w:name="_Toc73977696"/>
            <w:r>
              <w:lastRenderedPageBreak/>
              <w:t>5.</w:t>
            </w:r>
            <w:r>
              <w:tab/>
              <w:t>Governing Law</w:t>
            </w:r>
            <w:bookmarkEnd w:id="807"/>
            <w:bookmarkEnd w:id="808"/>
          </w:p>
        </w:tc>
        <w:tc>
          <w:tcPr>
            <w:tcW w:w="6498" w:type="dxa"/>
          </w:tcPr>
          <w:p w14:paraId="7664B44A" w14:textId="77777777" w:rsidR="00157AAA" w:rsidRDefault="006C1BE5">
            <w:pPr>
              <w:spacing w:before="120"/>
              <w:ind w:left="540" w:right="-72" w:hanging="540"/>
            </w:pPr>
            <w:r>
              <w:t>5.1</w:t>
            </w:r>
            <w:r>
              <w:tab/>
              <w:t xml:space="preserve">The Contract shall be governed by and interpreted in accordance with the laws of the country </w:t>
            </w:r>
            <w:r>
              <w:rPr>
                <w:b/>
              </w:rPr>
              <w:t>specified in the SCC</w:t>
            </w:r>
            <w:r>
              <w:t>.</w:t>
            </w:r>
          </w:p>
          <w:p w14:paraId="106566EF" w14:textId="77777777" w:rsidR="00157AAA" w:rsidRDefault="006C1BE5">
            <w:pPr>
              <w:spacing w:before="120"/>
              <w:ind w:left="540" w:right="-72" w:hanging="540"/>
            </w:pPr>
            <w:r>
              <w:t xml:space="preserve">5.2   Throughout the execution of the Contract, the Supplier shall comply with the import of goods and services prohibitions in the Purchaser’s Country </w:t>
            </w:r>
            <w:proofErr w:type="gramStart"/>
            <w:r>
              <w:t>when</w:t>
            </w:r>
            <w:proofErr w:type="gramEnd"/>
          </w:p>
          <w:p w14:paraId="1D2A8F9B" w14:textId="77777777" w:rsidR="00157AAA" w:rsidRDefault="006C1BE5">
            <w:pPr>
              <w:spacing w:before="120"/>
              <w:ind w:left="1033" w:right="-72" w:hanging="493"/>
            </w:pPr>
            <w:r>
              <w:t xml:space="preserve">(a)  as a matter of law or official regulations, the Borrower’s country prohibits commercial relations with that country; or </w:t>
            </w:r>
          </w:p>
          <w:p w14:paraId="04D3EA4E" w14:textId="77777777" w:rsidR="00157AAA" w:rsidRDefault="006C1BE5">
            <w:pPr>
              <w:spacing w:before="120"/>
              <w:ind w:left="1033" w:right="-72" w:hanging="450"/>
            </w:pPr>
            <w:r>
              <w:t>(b)  by an act of compliance with a decision of the United Nations Security Council taken under Chapter VII of the Charter of the United Nations, the Borrower’s Country prohibits any import of goods from that country or any payments to any country, person, or entity in that country.</w:t>
            </w:r>
          </w:p>
        </w:tc>
      </w:tr>
      <w:tr w:rsidR="00157AAA" w14:paraId="2AEFDC35" w14:textId="77777777">
        <w:tc>
          <w:tcPr>
            <w:tcW w:w="2448" w:type="dxa"/>
          </w:tcPr>
          <w:p w14:paraId="6509F7CD" w14:textId="27542599" w:rsidR="00157AAA" w:rsidRDefault="006C1BE5">
            <w:pPr>
              <w:pStyle w:val="Head62"/>
              <w:spacing w:before="120"/>
              <w:ind w:left="432"/>
            </w:pPr>
            <w:bookmarkStart w:id="809" w:name="_Toc347824633"/>
            <w:bookmarkStart w:id="810" w:name="_Toc210804464"/>
            <w:bookmarkStart w:id="811" w:name="_Toc277233323"/>
            <w:bookmarkStart w:id="812" w:name="_Toc73977697"/>
            <w:r>
              <w:t>6.</w:t>
            </w:r>
            <w:r>
              <w:tab/>
            </w:r>
            <w:bookmarkEnd w:id="809"/>
            <w:r>
              <w:t>Fraud and Corruption</w:t>
            </w:r>
            <w:bookmarkEnd w:id="810"/>
            <w:bookmarkEnd w:id="811"/>
            <w:bookmarkEnd w:id="812"/>
            <w:r>
              <w:t xml:space="preserve"> </w:t>
            </w:r>
          </w:p>
        </w:tc>
        <w:tc>
          <w:tcPr>
            <w:tcW w:w="6696" w:type="dxa"/>
            <w:gridSpan w:val="2"/>
          </w:tcPr>
          <w:p w14:paraId="4A747147" w14:textId="77777777" w:rsidR="00157AAA" w:rsidRDefault="006C1BE5">
            <w:pPr>
              <w:spacing w:before="120"/>
              <w:ind w:left="594" w:right="-72" w:hanging="594"/>
            </w:pPr>
            <w:r>
              <w:t>6.1</w:t>
            </w:r>
            <w:r>
              <w:tab/>
              <w:t xml:space="preserve">The Bank requires compliance with the Bank’s Anti-Corruption Guidelines and its prevailing sanctions policies and procedures as set forth in the WBG’s Sanctions Framework, as set forth in </w:t>
            </w:r>
            <w:proofErr w:type="gramStart"/>
            <w:r>
              <w:t>the Appendix</w:t>
            </w:r>
            <w:proofErr w:type="gramEnd"/>
            <w:r>
              <w:t xml:space="preserve"> 1 to the GCC.</w:t>
            </w:r>
          </w:p>
          <w:p w14:paraId="702A89A8" w14:textId="77777777" w:rsidR="00157AAA" w:rsidRDefault="006C1BE5">
            <w:pPr>
              <w:spacing w:before="120"/>
              <w:ind w:left="594" w:right="-72" w:hanging="594"/>
              <w:rPr>
                <w:b/>
                <w:bCs/>
                <w:i/>
                <w:iCs/>
              </w:rPr>
            </w:pPr>
            <w:r>
              <w:t xml:space="preserve">6.2 The Purchaser requires the Suppliers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w:t>
            </w:r>
            <w:proofErr w:type="gramStart"/>
            <w:r>
              <w:t>gratuity</w:t>
            </w:r>
            <w:proofErr w:type="gramEnd"/>
            <w:r>
              <w:t xml:space="preserve"> or fee. </w:t>
            </w:r>
          </w:p>
        </w:tc>
      </w:tr>
    </w:tbl>
    <w:p w14:paraId="4EDF9F91" w14:textId="77777777" w:rsidR="00157AAA" w:rsidRDefault="006C1BE5">
      <w:pPr>
        <w:pStyle w:val="Head61"/>
        <w:spacing w:before="120"/>
      </w:pPr>
      <w:bookmarkStart w:id="813" w:name="_Toc277233324"/>
      <w:bookmarkStart w:id="814" w:name="_Toc73977698"/>
      <w:r>
        <w:t>B.  Subject Matter of Contract</w:t>
      </w:r>
      <w:bookmarkEnd w:id="813"/>
      <w:bookmarkEnd w:id="814"/>
    </w:p>
    <w:tbl>
      <w:tblPr>
        <w:tblW w:w="0" w:type="auto"/>
        <w:tblInd w:w="108" w:type="dxa"/>
        <w:tblLayout w:type="fixed"/>
        <w:tblLook w:val="0000" w:firstRow="0" w:lastRow="0" w:firstColumn="0" w:lastColumn="0" w:noHBand="0" w:noVBand="0"/>
      </w:tblPr>
      <w:tblGrid>
        <w:gridCol w:w="2412"/>
        <w:gridCol w:w="6588"/>
      </w:tblGrid>
      <w:tr w:rsidR="00157AAA" w14:paraId="24C42F7A" w14:textId="77777777">
        <w:tc>
          <w:tcPr>
            <w:tcW w:w="2412" w:type="dxa"/>
          </w:tcPr>
          <w:p w14:paraId="73F94DFF" w14:textId="77777777" w:rsidR="00157AAA" w:rsidRDefault="006C1BE5">
            <w:pPr>
              <w:pStyle w:val="Head62"/>
              <w:spacing w:before="120"/>
            </w:pPr>
            <w:bookmarkStart w:id="815" w:name="_Toc277233325"/>
            <w:bookmarkStart w:id="816" w:name="_Toc73977699"/>
            <w:r>
              <w:t>7.</w:t>
            </w:r>
            <w:r>
              <w:tab/>
              <w:t>Scope of the System</w:t>
            </w:r>
            <w:bookmarkEnd w:id="815"/>
            <w:bookmarkEnd w:id="816"/>
          </w:p>
        </w:tc>
        <w:tc>
          <w:tcPr>
            <w:tcW w:w="6588" w:type="dxa"/>
          </w:tcPr>
          <w:p w14:paraId="3E32250D" w14:textId="77777777" w:rsidR="00157AAA" w:rsidRDefault="006C1BE5">
            <w:pPr>
              <w:spacing w:before="120"/>
              <w:ind w:left="547" w:right="-72" w:hanging="547"/>
            </w:pPr>
            <w:r>
              <w:t>7.1</w:t>
            </w:r>
            <w:r>
              <w:tab/>
              <w:t xml:space="preserve">Unless otherwise expressly </w:t>
            </w:r>
            <w:r>
              <w:rPr>
                <w:b/>
              </w:rPr>
              <w:t>limited in the SCC</w:t>
            </w:r>
            <w:r>
              <w:t xml:space="preserve"> or Technical Requirements, the Supplier’s obligations cover the provision of all Information Technologies, Materials and other Goods as well as the performance of all Services required for the design, development, and implementation (including procurement, quality assurance, assembly, associated site preparation, Delivery, Pre-commissioning, Installation, Testing, and Commissioning) of the System, in accordance with the plans, procedures, specifications, drawings, codes, and any other documents specified in the Contract and the Agreed Project Plan.</w:t>
            </w:r>
          </w:p>
        </w:tc>
      </w:tr>
      <w:tr w:rsidR="00157AAA" w14:paraId="353157E4" w14:textId="77777777">
        <w:tc>
          <w:tcPr>
            <w:tcW w:w="2412" w:type="dxa"/>
          </w:tcPr>
          <w:p w14:paraId="155E274D" w14:textId="77777777" w:rsidR="00157AAA" w:rsidRDefault="00157AAA">
            <w:pPr>
              <w:spacing w:before="120"/>
              <w:jc w:val="left"/>
            </w:pPr>
          </w:p>
        </w:tc>
        <w:tc>
          <w:tcPr>
            <w:tcW w:w="6588" w:type="dxa"/>
          </w:tcPr>
          <w:p w14:paraId="58166F7E" w14:textId="77777777" w:rsidR="00157AAA" w:rsidRDefault="006C1BE5">
            <w:pPr>
              <w:spacing w:before="120"/>
              <w:ind w:left="547" w:right="-72" w:hanging="547"/>
            </w:pPr>
            <w:r>
              <w:t>7.2</w:t>
            </w:r>
            <w:r>
              <w:tab/>
              <w:t xml:space="preserve">The Supplier shall, unless specifically excluded in the Contract, perform all such work and / or supply all such items </w:t>
            </w:r>
            <w:r>
              <w:lastRenderedPageBreak/>
              <w:t>and Materials not specifically mentioned in the Contract but that can be reasonably inferred from the Contract as being required for attaining Operational Acceptance of the System as if such work and / or items and Materials were expressly mentioned in the Contract.</w:t>
            </w:r>
          </w:p>
          <w:p w14:paraId="6FC0094A" w14:textId="77777777" w:rsidR="00157AAA" w:rsidRDefault="006C1BE5">
            <w:pPr>
              <w:spacing w:before="120"/>
              <w:ind w:left="547" w:right="-72" w:hanging="547"/>
            </w:pPr>
            <w:r>
              <w:t>7.3</w:t>
            </w:r>
            <w:r>
              <w:tab/>
              <w:t xml:space="preserve">The Supplier’s obligations (if any) to provide Goods and Services as implied by the Recurrent Cost tables of the Supplier’s bid, such as consumables, spare parts, and technical services (e.g., maintenance, technical assistance, and operational support), are as </w:t>
            </w:r>
            <w:r>
              <w:rPr>
                <w:b/>
              </w:rPr>
              <w:t>specified in the SCC,</w:t>
            </w:r>
            <w:r>
              <w:t xml:space="preserve"> including the relevant terms, characteristics, and timings.</w:t>
            </w:r>
          </w:p>
        </w:tc>
      </w:tr>
      <w:tr w:rsidR="00157AAA" w14:paraId="13CC1692" w14:textId="77777777">
        <w:trPr>
          <w:cantSplit/>
        </w:trPr>
        <w:tc>
          <w:tcPr>
            <w:tcW w:w="2412" w:type="dxa"/>
          </w:tcPr>
          <w:p w14:paraId="410590FB" w14:textId="77777777" w:rsidR="00157AAA" w:rsidRDefault="006C1BE5">
            <w:pPr>
              <w:pStyle w:val="Head62"/>
              <w:spacing w:before="120"/>
            </w:pPr>
            <w:bookmarkStart w:id="817" w:name="_Toc277233326"/>
            <w:bookmarkStart w:id="818" w:name="_Toc73977700"/>
            <w:r>
              <w:lastRenderedPageBreak/>
              <w:t>8.</w:t>
            </w:r>
            <w:r>
              <w:tab/>
              <w:t>Time for Commencement and Operational Acceptance</w:t>
            </w:r>
            <w:bookmarkEnd w:id="817"/>
            <w:bookmarkEnd w:id="818"/>
          </w:p>
        </w:tc>
        <w:tc>
          <w:tcPr>
            <w:tcW w:w="6588" w:type="dxa"/>
          </w:tcPr>
          <w:p w14:paraId="0D97CE25" w14:textId="77777777" w:rsidR="00157AAA" w:rsidRDefault="006C1BE5">
            <w:pPr>
              <w:spacing w:before="120"/>
              <w:ind w:left="547" w:right="-72" w:hanging="547"/>
            </w:pPr>
            <w:r>
              <w:t>8.1</w:t>
            </w:r>
            <w:r>
              <w:tab/>
              <w:t xml:space="preserve">The Supplier shall commence work on the System within the period </w:t>
            </w:r>
            <w:r>
              <w:rPr>
                <w:b/>
              </w:rPr>
              <w:t>specified in the SCC,</w:t>
            </w:r>
            <w:r>
              <w:t xml:space="preserve"> and without prejudice to GCC Clause 28.2, the Supplier shall thereafter proceed with the System in accordance with the time schedule specified in the Implementation Schedule and any refinements made in the Agreed Project Plan.</w:t>
            </w:r>
          </w:p>
        </w:tc>
      </w:tr>
      <w:tr w:rsidR="00157AAA" w14:paraId="33C120A7" w14:textId="77777777">
        <w:tc>
          <w:tcPr>
            <w:tcW w:w="2412" w:type="dxa"/>
          </w:tcPr>
          <w:p w14:paraId="178A8A33" w14:textId="77777777" w:rsidR="00157AAA" w:rsidRDefault="00157AAA">
            <w:pPr>
              <w:spacing w:before="120"/>
              <w:jc w:val="left"/>
            </w:pPr>
          </w:p>
        </w:tc>
        <w:tc>
          <w:tcPr>
            <w:tcW w:w="6588" w:type="dxa"/>
          </w:tcPr>
          <w:p w14:paraId="38E491FB" w14:textId="77777777" w:rsidR="00157AAA" w:rsidRDefault="006C1BE5">
            <w:pPr>
              <w:spacing w:before="120"/>
              <w:ind w:left="547" w:right="-72" w:hanging="547"/>
            </w:pPr>
            <w:r>
              <w:t>8.2</w:t>
            </w:r>
            <w:r>
              <w:tab/>
              <w:t>The Supplier shall achieve Operational Acceptance of the System (or Subsystem(s) where a separate time for Operational Acceptance of such Subsystem(s) is specified in the Contract) in accordance with the time schedule specified in the Implementation Schedule and any refinements made in the Agreed Project Plan, or within such extended time to which the Supplier shall be entitled under GCC Clause 40 (Extension of Time for Achieving Operational Acceptance).</w:t>
            </w:r>
          </w:p>
        </w:tc>
      </w:tr>
      <w:tr w:rsidR="00157AAA" w14:paraId="4976B5C4" w14:textId="77777777">
        <w:trPr>
          <w:cantSplit/>
        </w:trPr>
        <w:tc>
          <w:tcPr>
            <w:tcW w:w="2412" w:type="dxa"/>
          </w:tcPr>
          <w:p w14:paraId="130E71AD" w14:textId="77777777" w:rsidR="00157AAA" w:rsidRDefault="006C1BE5">
            <w:pPr>
              <w:pStyle w:val="Head62"/>
              <w:spacing w:before="120"/>
            </w:pPr>
            <w:bookmarkStart w:id="819" w:name="_Toc277233327"/>
            <w:bookmarkStart w:id="820" w:name="_Toc73977701"/>
            <w:r>
              <w:lastRenderedPageBreak/>
              <w:t>9.</w:t>
            </w:r>
            <w:r>
              <w:tab/>
              <w:t>Supplier’s Responsibilities</w:t>
            </w:r>
            <w:bookmarkEnd w:id="819"/>
            <w:bookmarkEnd w:id="820"/>
          </w:p>
        </w:tc>
        <w:tc>
          <w:tcPr>
            <w:tcW w:w="6588" w:type="dxa"/>
          </w:tcPr>
          <w:p w14:paraId="2C2BA682" w14:textId="77777777" w:rsidR="00157AAA" w:rsidRDefault="006C1BE5">
            <w:pPr>
              <w:spacing w:before="120"/>
              <w:ind w:left="547" w:right="-72" w:hanging="547"/>
              <w:rPr>
                <w:rFonts w:eastAsia="Arial Narrow" w:cstheme="minorHAnsi"/>
              </w:rPr>
            </w:pPr>
            <w:r>
              <w:t>9.1</w:t>
            </w:r>
            <w:r>
              <w:tab/>
              <w:t>The Supplier shall conduct all activities with due care and diligence, in accordance with the Contract and with the skill and care expected of a competent provider of information technologies, information systems, support, maintenance, training, and other related services, or in accordance with best industry practices.  In particular, the Supplier shall provide and employ only technical personnel who are skilled and experienced in their respective callings and supervisory staff who are competent to adequately supervise the work at hand.</w:t>
            </w:r>
            <w:r>
              <w:rPr>
                <w:rFonts w:eastAsia="Arial Narrow" w:cstheme="minorHAnsi"/>
              </w:rPr>
              <w:t xml:space="preserve"> The Supplier shall ensure that its Subcontractors </w:t>
            </w:r>
            <w:proofErr w:type="gramStart"/>
            <w:r>
              <w:rPr>
                <w:rFonts w:eastAsia="Arial Narrow" w:cstheme="minorHAnsi"/>
              </w:rPr>
              <w:t>carryout  the</w:t>
            </w:r>
            <w:proofErr w:type="gramEnd"/>
            <w:r>
              <w:rPr>
                <w:rFonts w:eastAsia="Arial Narrow" w:cstheme="minorHAnsi"/>
              </w:rPr>
              <w:t xml:space="preserve"> work on the Information System in accordance with the Contract, including complying with relevant environmental  and social requirements and the obligations set out in GCC Clause 9.9.</w:t>
            </w:r>
          </w:p>
          <w:p w14:paraId="219F8698" w14:textId="77777777" w:rsidR="00157AAA" w:rsidRDefault="006C1BE5">
            <w:pPr>
              <w:spacing w:before="120"/>
              <w:ind w:left="520" w:right="-14"/>
            </w:pPr>
            <w:r>
              <w:t xml:space="preserve">The Supplier shall at all times take all reasonable precautions to maintain the health and safety of </w:t>
            </w:r>
            <w:proofErr w:type="gramStart"/>
            <w:r>
              <w:t>the  Supplier’s</w:t>
            </w:r>
            <w:proofErr w:type="gramEnd"/>
            <w:r>
              <w:t xml:space="preserve"> Personnel employed for the execution of the Contract at the Project Site/s in the Purchaser’s country where the Contract is executed. </w:t>
            </w:r>
          </w:p>
          <w:p w14:paraId="7FFB45FD" w14:textId="77777777" w:rsidR="00157AAA" w:rsidRDefault="006C1BE5">
            <w:pPr>
              <w:spacing w:before="120"/>
              <w:ind w:left="520" w:right="-14"/>
              <w:rPr>
                <w:rFonts w:eastAsia="Arial Narrow"/>
                <w:color w:val="000000" w:themeColor="text1"/>
              </w:rPr>
            </w:pPr>
            <w:r>
              <w:rPr>
                <w:rFonts w:eastAsia="Arial Narrow"/>
              </w:rPr>
              <w:t xml:space="preserve">If </w:t>
            </w:r>
            <w:r>
              <w:rPr>
                <w:rFonts w:eastAsia="Arial Narrow"/>
                <w:b/>
              </w:rPr>
              <w:t>required in the SCC</w:t>
            </w:r>
            <w:r>
              <w:rPr>
                <w:rFonts w:eastAsia="Arial Narrow"/>
              </w:rPr>
              <w:t xml:space="preserve">, the </w:t>
            </w:r>
            <w:r>
              <w:t>Supplier</w:t>
            </w:r>
            <w:r>
              <w:rPr>
                <w:rFonts w:eastAsia="Arial Narrow"/>
              </w:rPr>
              <w:t xml:space="preserve"> shall submit to the </w:t>
            </w:r>
            <w:r>
              <w:t>Purchaser</w:t>
            </w:r>
            <w:r>
              <w:rPr>
                <w:rFonts w:eastAsia="Arial Narrow"/>
              </w:rPr>
              <w:t xml:space="preserve"> for its </w:t>
            </w:r>
            <w:r>
              <w:t>approval</w:t>
            </w:r>
            <w:r>
              <w:rPr>
                <w:rFonts w:eastAsia="Arial Narrow"/>
              </w:rPr>
              <w:t xml:space="preserve"> a health and safety manual which has been specifically prepared for the Contract. </w:t>
            </w:r>
          </w:p>
          <w:p w14:paraId="65B8F3C4" w14:textId="77777777" w:rsidR="00157AAA" w:rsidRDefault="006C1BE5">
            <w:pPr>
              <w:spacing w:before="120"/>
              <w:ind w:left="520" w:right="-14"/>
              <w:rPr>
                <w:rFonts w:eastAsia="Arial Narrow"/>
              </w:rPr>
            </w:pPr>
            <w:r>
              <w:rPr>
                <w:rFonts w:eastAsia="Arial Narrow"/>
              </w:rPr>
              <w:t xml:space="preserve">The health and </w:t>
            </w:r>
            <w:r>
              <w:t>safety</w:t>
            </w:r>
            <w:r>
              <w:rPr>
                <w:rFonts w:eastAsia="Arial Narrow"/>
              </w:rPr>
              <w:t xml:space="preserve"> manual shall be in addition to any other similar </w:t>
            </w:r>
            <w:r>
              <w:t>document</w:t>
            </w:r>
            <w:r>
              <w:rPr>
                <w:rFonts w:eastAsia="Arial Narrow"/>
              </w:rPr>
              <w:t xml:space="preserve"> required under applicable health and safety regulations and laws.</w:t>
            </w:r>
          </w:p>
          <w:p w14:paraId="036CA5F6" w14:textId="77777777" w:rsidR="00157AAA" w:rsidRDefault="006C1BE5">
            <w:pPr>
              <w:spacing w:before="120"/>
              <w:ind w:left="520" w:right="-14"/>
              <w:rPr>
                <w:rFonts w:eastAsia="Arial Narrow"/>
              </w:rPr>
            </w:pPr>
            <w:r>
              <w:rPr>
                <w:rFonts w:eastAsia="Arial Narrow"/>
              </w:rPr>
              <w:t xml:space="preserve">The health and </w:t>
            </w:r>
            <w:r>
              <w:t>safety</w:t>
            </w:r>
            <w:r>
              <w:rPr>
                <w:rFonts w:eastAsia="Arial Narrow"/>
              </w:rPr>
              <w:t xml:space="preserve"> manual shall set out any applicable health and safety </w:t>
            </w:r>
            <w:r>
              <w:t xml:space="preserve">requirement </w:t>
            </w:r>
            <w:r>
              <w:rPr>
                <w:rFonts w:eastAsia="Arial Narrow"/>
              </w:rPr>
              <w:t xml:space="preserve">under the Contract, </w:t>
            </w:r>
          </w:p>
          <w:p w14:paraId="7A27763A" w14:textId="77777777" w:rsidR="00157AAA" w:rsidRDefault="006C1BE5" w:rsidP="00D530D5">
            <w:pPr>
              <w:pStyle w:val="ListParagraph"/>
              <w:numPr>
                <w:ilvl w:val="0"/>
                <w:numId w:val="64"/>
              </w:numPr>
              <w:spacing w:before="120"/>
              <w:ind w:right="-14"/>
              <w:rPr>
                <w:rFonts w:eastAsia="Arial Narrow"/>
              </w:rPr>
            </w:pPr>
            <w:r>
              <w:rPr>
                <w:rFonts w:eastAsia="Arial Narrow"/>
              </w:rPr>
              <w:t>which may include:</w:t>
            </w:r>
          </w:p>
          <w:p w14:paraId="56EF812F" w14:textId="77777777" w:rsidR="00157AAA" w:rsidRDefault="006C1BE5" w:rsidP="00D530D5">
            <w:pPr>
              <w:numPr>
                <w:ilvl w:val="0"/>
                <w:numId w:val="63"/>
              </w:numPr>
              <w:spacing w:before="120"/>
              <w:ind w:left="1495" w:right="-14" w:hanging="255"/>
              <w:rPr>
                <w:rFonts w:eastAsia="Arial Narrow"/>
              </w:rPr>
            </w:pPr>
            <w:r>
              <w:rPr>
                <w:lang w:eastAsia="en-GB"/>
              </w:rPr>
              <w:t xml:space="preserve">the procedures to establish and maintain a safe working </w:t>
            </w:r>
            <w:proofErr w:type="gramStart"/>
            <w:r>
              <w:rPr>
                <w:lang w:eastAsia="en-GB"/>
              </w:rPr>
              <w:t>environment;</w:t>
            </w:r>
            <w:proofErr w:type="gramEnd"/>
            <w:r>
              <w:rPr>
                <w:lang w:eastAsia="en-GB"/>
              </w:rPr>
              <w:t xml:space="preserve"> </w:t>
            </w:r>
          </w:p>
          <w:p w14:paraId="3D3BDA7D" w14:textId="77777777" w:rsidR="00157AAA" w:rsidRDefault="006C1BE5" w:rsidP="00D530D5">
            <w:pPr>
              <w:numPr>
                <w:ilvl w:val="0"/>
                <w:numId w:val="63"/>
              </w:numPr>
              <w:spacing w:before="120"/>
              <w:ind w:left="1495" w:right="-14" w:hanging="255"/>
              <w:rPr>
                <w:rFonts w:eastAsia="Arial Narrow"/>
              </w:rPr>
            </w:pPr>
            <w:r>
              <w:rPr>
                <w:rFonts w:eastAsia="Arial Narrow"/>
              </w:rPr>
              <w:t xml:space="preserve">the procedures for prevention, preparedness and </w:t>
            </w:r>
            <w:r>
              <w:rPr>
                <w:lang w:eastAsia="en-GB"/>
              </w:rPr>
              <w:t>response</w:t>
            </w:r>
            <w:r>
              <w:rPr>
                <w:rFonts w:eastAsia="Arial Narrow"/>
              </w:rPr>
              <w:t xml:space="preserve"> activities to be implemented in the case of an emergency event (i.e. an unanticipated incident, arising from natural or man-made hazards</w:t>
            </w:r>
            <w:proofErr w:type="gramStart"/>
            <w:r>
              <w:rPr>
                <w:rFonts w:eastAsia="Arial Narrow"/>
              </w:rPr>
              <w:t>);</w:t>
            </w:r>
            <w:proofErr w:type="gramEnd"/>
          </w:p>
          <w:p w14:paraId="3C39D543" w14:textId="77777777" w:rsidR="00157AAA" w:rsidRDefault="006C1BE5" w:rsidP="00D530D5">
            <w:pPr>
              <w:numPr>
                <w:ilvl w:val="0"/>
                <w:numId w:val="63"/>
              </w:numPr>
              <w:spacing w:before="120"/>
              <w:ind w:left="1495" w:right="-14" w:hanging="255"/>
              <w:rPr>
                <w:lang w:eastAsia="en-GB"/>
              </w:rPr>
            </w:pPr>
            <w:r>
              <w:rPr>
                <w:lang w:eastAsia="en-GB"/>
              </w:rPr>
              <w:t xml:space="preserve">the measures to be taken to avoid or minimize the potential for community exposure to water-borne, water-based, water-related, and vector-borne diseases, </w:t>
            </w:r>
          </w:p>
          <w:p w14:paraId="11B73BBE" w14:textId="77777777" w:rsidR="00157AAA" w:rsidRDefault="006C1BE5" w:rsidP="00D530D5">
            <w:pPr>
              <w:numPr>
                <w:ilvl w:val="0"/>
                <w:numId w:val="63"/>
              </w:numPr>
              <w:spacing w:before="120"/>
              <w:ind w:left="1495" w:right="-14" w:hanging="255"/>
              <w:rPr>
                <w:lang w:eastAsia="en-GB"/>
              </w:rPr>
            </w:pPr>
            <w:r>
              <w:rPr>
                <w:lang w:eastAsia="en-GB"/>
              </w:rPr>
              <w:t xml:space="preserve"> the </w:t>
            </w:r>
            <w:r>
              <w:rPr>
                <w:rFonts w:eastAsia="Arial Narrow"/>
              </w:rPr>
              <w:t>measures</w:t>
            </w:r>
            <w:r>
              <w:rPr>
                <w:lang w:eastAsia="en-GB"/>
              </w:rPr>
              <w:t xml:space="preserve"> to be implemented to avoid or minimize the spread of communicable diseases; and </w:t>
            </w:r>
          </w:p>
          <w:p w14:paraId="3D7B97AE" w14:textId="77777777" w:rsidR="00157AAA" w:rsidRDefault="006C1BE5" w:rsidP="00D530D5">
            <w:pPr>
              <w:pStyle w:val="ListParagraph"/>
              <w:numPr>
                <w:ilvl w:val="0"/>
                <w:numId w:val="64"/>
              </w:numPr>
              <w:spacing w:before="120"/>
              <w:ind w:right="-14"/>
            </w:pPr>
            <w:r>
              <w:rPr>
                <w:lang w:eastAsia="en-GB"/>
              </w:rPr>
              <w:lastRenderedPageBreak/>
              <w:t xml:space="preserve">any other requirements stated in the </w:t>
            </w:r>
            <w:r>
              <w:t>Purchaser</w:t>
            </w:r>
            <w:r>
              <w:rPr>
                <w:lang w:eastAsia="en-GB"/>
              </w:rPr>
              <w:t>’s Requirements.</w:t>
            </w:r>
          </w:p>
        </w:tc>
      </w:tr>
      <w:tr w:rsidR="00157AAA" w14:paraId="539D9646" w14:textId="77777777">
        <w:tc>
          <w:tcPr>
            <w:tcW w:w="2412" w:type="dxa"/>
          </w:tcPr>
          <w:p w14:paraId="6A280BF3" w14:textId="77777777" w:rsidR="00157AAA" w:rsidRDefault="00157AAA">
            <w:pPr>
              <w:spacing w:before="120"/>
              <w:jc w:val="left"/>
              <w:rPr>
                <w:b/>
                <w:spacing w:val="-4"/>
              </w:rPr>
            </w:pPr>
          </w:p>
        </w:tc>
        <w:tc>
          <w:tcPr>
            <w:tcW w:w="6588" w:type="dxa"/>
          </w:tcPr>
          <w:p w14:paraId="1D5F4AC3" w14:textId="77777777" w:rsidR="00157AAA" w:rsidRDefault="006C1BE5">
            <w:pPr>
              <w:spacing w:before="120"/>
              <w:ind w:left="547" w:right="-72" w:hanging="547"/>
            </w:pPr>
            <w:r>
              <w:t>9.2</w:t>
            </w:r>
            <w:r>
              <w:tab/>
              <w:t xml:space="preserve">The Supplier confirms that it has entered into this Contract on the basis of a proper examination of the data relating to the System provided by the Purchaser and on the basis of information that the Supplier could have obtained from a visual inspection of the site (if access to the site was available) and of other data readily available to the Supplier relating to the System as at the date twenty-eight (28) days prior to bid submission.  The Supplier acknowledges that any failure to acquaint itself with all such data and information shall not relieve its responsibility for properly estimating the difficulty or cost of successfully </w:t>
            </w:r>
            <w:proofErr w:type="gramStart"/>
            <w:r>
              <w:t>performing</w:t>
            </w:r>
            <w:proofErr w:type="gramEnd"/>
            <w:r>
              <w:t xml:space="preserve"> the Contract.</w:t>
            </w:r>
          </w:p>
          <w:p w14:paraId="6BC3DA60" w14:textId="77777777" w:rsidR="00157AAA" w:rsidRDefault="006C1BE5">
            <w:pPr>
              <w:spacing w:before="120"/>
              <w:ind w:left="547" w:right="-72" w:hanging="547"/>
            </w:pPr>
            <w:r>
              <w:t>9.3</w:t>
            </w:r>
            <w:r>
              <w:tab/>
              <w:t>The Supplier shall be responsible for timely provision of all resources, information, and decision making under its control that are necessary to reach a mutually Agreed Project Plan (pursuant to GCC Clause 19.2) within the time schedule specified in the Implementation Schedule.  Failure to provide such resources, information, and decision-making may constitute grounds for termination pursuant to GCC Clause 41.2.</w:t>
            </w:r>
          </w:p>
        </w:tc>
      </w:tr>
      <w:tr w:rsidR="00157AAA" w14:paraId="44CFD622" w14:textId="77777777">
        <w:tc>
          <w:tcPr>
            <w:tcW w:w="2412" w:type="dxa"/>
          </w:tcPr>
          <w:p w14:paraId="5F9AEFF1" w14:textId="77777777" w:rsidR="00157AAA" w:rsidRDefault="00157AAA">
            <w:pPr>
              <w:spacing w:before="120"/>
              <w:jc w:val="left"/>
            </w:pPr>
          </w:p>
        </w:tc>
        <w:tc>
          <w:tcPr>
            <w:tcW w:w="6588" w:type="dxa"/>
          </w:tcPr>
          <w:p w14:paraId="55F3DBB2" w14:textId="77777777" w:rsidR="00157AAA" w:rsidRDefault="006C1BE5">
            <w:pPr>
              <w:spacing w:before="120"/>
              <w:ind w:left="547" w:right="-72" w:hanging="547"/>
            </w:pPr>
            <w:r>
              <w:t>9.4</w:t>
            </w:r>
            <w:r>
              <w:tab/>
              <w:t>The Supplier shall acquire in its name all permits, approvals, and/or licenses from all local, state, or national government authorities or public service undertakings in the Purchaser’s Country that are necessary for the performance of the Contract, including, without limitation, visas for the Supplier’s Personnel and entry permits for all imported Supplier’s Equipment.  The Supplier shall acquire all other permits, approvals, and/or licenses that are not the responsibility of the Purchaser under GCC Clause 10.4 and that are necessary for the performance of the Contract.</w:t>
            </w:r>
          </w:p>
          <w:p w14:paraId="07403221" w14:textId="77777777" w:rsidR="00157AAA" w:rsidRDefault="006C1BE5">
            <w:pPr>
              <w:spacing w:before="120"/>
              <w:ind w:left="547" w:right="-72" w:hanging="547"/>
            </w:pPr>
            <w:r>
              <w:t>9.5</w:t>
            </w:r>
            <w:r>
              <w:tab/>
              <w:t xml:space="preserve">The Supplier shall comply with all laws in force in the Purchaser’s Country.  The laws will include all national, provincial, municipal, or other laws that affect the performance of the Contract and are binding upon the Supplier.  The Supplier shall indemnify and hold harmless the Purchaser from and against </w:t>
            </w:r>
            <w:proofErr w:type="gramStart"/>
            <w:r>
              <w:t>any and all</w:t>
            </w:r>
            <w:proofErr w:type="gramEnd"/>
            <w:r>
              <w:t xml:space="preserve"> liabilities, damages, claims, fines, penalties, and expenses of whatever nature arising or resulting from the violation of such laws by the Supplier or its personnel, including the Subcontractors and their personnel, but without prejudice to GCC Clause 10.1.  The Supplier shall not indemnify the Purchaser to the extent that such liability, damage, claims, fines, penalties, and </w:t>
            </w:r>
            <w:r>
              <w:lastRenderedPageBreak/>
              <w:t>expenses were caused or contributed to by a fault of the Purchaser.</w:t>
            </w:r>
          </w:p>
        </w:tc>
      </w:tr>
      <w:tr w:rsidR="00157AAA" w14:paraId="620B0A5D" w14:textId="77777777">
        <w:tc>
          <w:tcPr>
            <w:tcW w:w="2412" w:type="dxa"/>
          </w:tcPr>
          <w:p w14:paraId="7456AE64" w14:textId="77777777" w:rsidR="00157AAA" w:rsidRDefault="00157AAA">
            <w:pPr>
              <w:spacing w:before="120"/>
              <w:jc w:val="left"/>
            </w:pPr>
          </w:p>
        </w:tc>
        <w:tc>
          <w:tcPr>
            <w:tcW w:w="6588" w:type="dxa"/>
          </w:tcPr>
          <w:p w14:paraId="3C6D1C94" w14:textId="77777777" w:rsidR="00157AAA" w:rsidRDefault="006C1BE5">
            <w:pPr>
              <w:spacing w:before="120"/>
              <w:ind w:left="540" w:right="-72" w:hanging="540"/>
            </w:pPr>
            <w:r>
              <w:t>9.6</w:t>
            </w:r>
            <w:r>
              <w:tab/>
              <w:t>Any Information Technologies or other Goods and Services that will be incorporated in or be required for the System and other supplies shall have their Origin, as defined in GCC Clause 3.12, in a country that shall be an Eligible Country, as defined in GCC Clause 1.1 (e) (iv).</w:t>
            </w:r>
          </w:p>
          <w:p w14:paraId="40EE231F" w14:textId="77777777" w:rsidR="00157AAA" w:rsidRDefault="006C1BE5">
            <w:pPr>
              <w:spacing w:before="120"/>
              <w:ind w:left="540" w:right="-72" w:hanging="540"/>
              <w:rPr>
                <w:bCs/>
                <w:color w:val="000000"/>
                <w:szCs w:val="24"/>
              </w:rPr>
            </w:pPr>
            <w:r>
              <w:t>9.7</w:t>
            </w:r>
            <w:r>
              <w:tab/>
              <w:t>Pursuant to paragraph 2.2 e. of the Appendix 1 to the General Conditions of Contract, the Supplier shall permit and shall cause its agents (where declared or not), subcontractors, subconsultants,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Supplier’s and its Subcontractors’ and subconsultants’ attention is drawn to GCC Clause 6.1 (Fraud and Corruption) which provides</w:t>
            </w:r>
            <w:r>
              <w:rPr>
                <w:color w:val="000000"/>
              </w:rPr>
              <w:t>, inter alia, that acts intended to materially impede the exercise of the Bank’s inspection and audit rights constitute a prohibited practice subject to contract termination (as well as to a determination of ineligibility pursuant to the Bank’s prevailing sanctions procedures</w:t>
            </w:r>
            <w:r>
              <w:t>).</w:t>
            </w:r>
          </w:p>
          <w:p w14:paraId="0AC62F70" w14:textId="77777777" w:rsidR="00157AAA" w:rsidRDefault="006C1BE5">
            <w:pPr>
              <w:spacing w:before="120"/>
              <w:ind w:left="540" w:right="-72" w:hanging="540"/>
            </w:pPr>
            <w:r>
              <w:rPr>
                <w:bCs/>
                <w:color w:val="000000"/>
                <w:szCs w:val="24"/>
              </w:rPr>
              <w:t xml:space="preserve">9.8   </w:t>
            </w:r>
            <w:r>
              <w:t xml:space="preserve">The Supplier shall conform to the sustainable procurement contractual provisions, if and as </w:t>
            </w:r>
            <w:r>
              <w:rPr>
                <w:b/>
              </w:rPr>
              <w:t>specified in the SCC.</w:t>
            </w:r>
            <w:r>
              <w:t xml:space="preserve"> </w:t>
            </w:r>
          </w:p>
          <w:p w14:paraId="701680A0" w14:textId="77777777" w:rsidR="00157AAA" w:rsidRDefault="006C1BE5">
            <w:pPr>
              <w:spacing w:before="120"/>
              <w:ind w:left="-29"/>
            </w:pPr>
            <w:r>
              <w:t xml:space="preserve">9.9     </w:t>
            </w:r>
            <w:r>
              <w:rPr>
                <w:b/>
                <w:bCs/>
              </w:rPr>
              <w:t>Code of Conduct</w:t>
            </w:r>
          </w:p>
          <w:p w14:paraId="2A516905" w14:textId="77777777" w:rsidR="00157AAA" w:rsidRDefault="006C1BE5">
            <w:pPr>
              <w:spacing w:before="120"/>
              <w:ind w:left="523"/>
            </w:pPr>
            <w:r>
              <w:t>The Supplier shall have a Code of Conduct for the Supplier’s Personnel</w:t>
            </w:r>
            <w:r>
              <w:rPr>
                <w:bCs/>
              </w:rPr>
              <w:t xml:space="preserve"> employed for the execution of the Contract at the Project Site/s.</w:t>
            </w:r>
            <w:r>
              <w:t xml:space="preserve"> </w:t>
            </w:r>
          </w:p>
          <w:p w14:paraId="1036B811" w14:textId="77777777" w:rsidR="00157AAA" w:rsidRDefault="006C1BE5">
            <w:pPr>
              <w:spacing w:before="120"/>
              <w:ind w:left="523"/>
              <w:rPr>
                <w:bCs/>
              </w:rPr>
            </w:pPr>
            <w:r>
              <w:rPr>
                <w:bCs/>
              </w:rPr>
              <w:t xml:space="preserve">The Supplier shall take all necessary measures to ensure that each such personnel is made aware of the Code of Conduct including specific behaviors that are </w:t>
            </w:r>
            <w:proofErr w:type="gramStart"/>
            <w:r>
              <w:rPr>
                <w:bCs/>
              </w:rPr>
              <w:t>prohibited, and</w:t>
            </w:r>
            <w:proofErr w:type="gramEnd"/>
            <w:r>
              <w:rPr>
                <w:bCs/>
              </w:rPr>
              <w:t xml:space="preserve"> understands the consequences of engaging in such prohibited behaviors.  </w:t>
            </w:r>
          </w:p>
          <w:p w14:paraId="1E401016" w14:textId="77777777" w:rsidR="00157AAA" w:rsidRDefault="006C1BE5">
            <w:pPr>
              <w:spacing w:before="120"/>
              <w:ind w:left="523"/>
              <w:rPr>
                <w:bCs/>
              </w:rPr>
            </w:pPr>
            <w:r>
              <w:rPr>
                <w:bCs/>
              </w:rPr>
              <w:t xml:space="preserve">These measures include providing instructions and documentation that can be understood by such </w:t>
            </w:r>
            <w:proofErr w:type="gramStart"/>
            <w:r>
              <w:rPr>
                <w:bCs/>
              </w:rPr>
              <w:t>personnel, and</w:t>
            </w:r>
            <w:proofErr w:type="gramEnd"/>
            <w:r>
              <w:rPr>
                <w:bCs/>
              </w:rPr>
              <w:t xml:space="preserve"> seeking to obtain that person’s signature acknowledging receipt of </w:t>
            </w:r>
            <w:r>
              <w:t>such instructions and/or documentation, as appropriate</w:t>
            </w:r>
            <w:r>
              <w:rPr>
                <w:bCs/>
              </w:rPr>
              <w:t>.</w:t>
            </w:r>
          </w:p>
          <w:p w14:paraId="1AB5E068" w14:textId="77777777" w:rsidR="00157AAA" w:rsidRDefault="006C1BE5">
            <w:pPr>
              <w:spacing w:before="120"/>
              <w:ind w:left="523"/>
              <w:rPr>
                <w:bCs/>
              </w:rPr>
            </w:pPr>
            <w:r>
              <w:rPr>
                <w:bCs/>
              </w:rPr>
              <w:t xml:space="preserve">The Supplier shall also ensure that the Code of Conduct is visibly displayed in the Project Site/s as well as, as applicable, in areas outside the Project Site/s accessible to the local </w:t>
            </w:r>
            <w:r>
              <w:rPr>
                <w:bCs/>
              </w:rPr>
              <w:lastRenderedPageBreak/>
              <w:t xml:space="preserve">community and any project affected people. The posted Code of Conduct shall be provided in languages comprehensible to the Supplier’s Personnel, Purchaser’s </w:t>
            </w:r>
            <w:proofErr w:type="gramStart"/>
            <w:r>
              <w:rPr>
                <w:bCs/>
              </w:rPr>
              <w:t>Personnel</w:t>
            </w:r>
            <w:proofErr w:type="gramEnd"/>
            <w:r>
              <w:rPr>
                <w:bCs/>
              </w:rPr>
              <w:t xml:space="preserve"> and the local community.</w:t>
            </w:r>
          </w:p>
          <w:p w14:paraId="4E6EA30A" w14:textId="77777777" w:rsidR="00157AAA" w:rsidRDefault="006C1BE5">
            <w:pPr>
              <w:spacing w:before="120"/>
              <w:ind w:left="523"/>
              <w:rPr>
                <w:bCs/>
              </w:rPr>
            </w:pPr>
            <w:r>
              <w:rPr>
                <w:bCs/>
              </w:rPr>
              <w:t>The Supplier’s Management Strategy and Implementation Plans, if applicable, shall include appropriate processes for the Supplier to verify compliance with these obligations.</w:t>
            </w:r>
          </w:p>
          <w:p w14:paraId="05718563" w14:textId="77777777" w:rsidR="00157AAA" w:rsidRDefault="006C1BE5">
            <w:pPr>
              <w:spacing w:before="120"/>
              <w:ind w:left="540" w:right="-72" w:hanging="540"/>
            </w:pPr>
            <w:proofErr w:type="gramStart"/>
            <w:r>
              <w:t>9.10  The</w:t>
            </w:r>
            <w:proofErr w:type="gramEnd"/>
            <w:r>
              <w:t xml:space="preserve"> Supplier shall, in all dealings with its labor and the labor of its Subcontractors currently employed on or connected with the Contract, pay due regard to all recognized festivals, official holidays, religious or other customs, and all local laws and regulations pertaining to the employment of labor.</w:t>
            </w:r>
          </w:p>
          <w:p w14:paraId="6F16D6C4" w14:textId="77777777" w:rsidR="00157AAA" w:rsidRDefault="006C1BE5">
            <w:pPr>
              <w:spacing w:before="120"/>
              <w:ind w:left="523" w:right="-14" w:hanging="523"/>
            </w:pPr>
            <w:r>
              <w:rPr>
                <w:bCs/>
                <w:color w:val="000000"/>
                <w:szCs w:val="24"/>
              </w:rPr>
              <w:t xml:space="preserve">9.11 </w:t>
            </w:r>
            <w:r>
              <w:rPr>
                <w:rFonts w:eastAsia="Arial Narrow"/>
              </w:rPr>
              <w:t>The Supplier, including its Subcontractors, shall comply with all applicable safety obligations</w:t>
            </w:r>
            <w:r>
              <w:t xml:space="preserve">. The Supplier shall </w:t>
            </w:r>
            <w:proofErr w:type="gramStart"/>
            <w:r>
              <w:t>at all times</w:t>
            </w:r>
            <w:proofErr w:type="gramEnd"/>
            <w:r>
              <w:t xml:space="preserve"> take all reasonable precautions to maintain the health and safety of the Supplier’s Personnel employed for the execution of Contract at the Project Site/s. </w:t>
            </w:r>
            <w:r>
              <w:rPr>
                <w:rFonts w:eastAsia="Arial Narrow"/>
              </w:rPr>
              <w:t xml:space="preserve"> </w:t>
            </w:r>
          </w:p>
          <w:p w14:paraId="5A3A190F" w14:textId="77777777" w:rsidR="00157AAA" w:rsidRDefault="006C1BE5">
            <w:pPr>
              <w:spacing w:before="120"/>
              <w:ind w:left="750" w:right="-72" w:hanging="750"/>
            </w:pPr>
            <w:r>
              <w:rPr>
                <w:rFonts w:eastAsia="Arial Narrow"/>
              </w:rPr>
              <w:t xml:space="preserve">9.12 </w:t>
            </w:r>
            <w:r>
              <w:t>Training of Supplier’s Personnel</w:t>
            </w:r>
          </w:p>
          <w:p w14:paraId="01E03808" w14:textId="77777777" w:rsidR="00157AAA" w:rsidRDefault="006C1BE5">
            <w:pPr>
              <w:spacing w:before="120"/>
              <w:ind w:left="576"/>
            </w:pPr>
            <w:r>
              <w:t xml:space="preserve">The Supplier shall provide appropriate training to relevant Supplier’s Personnel on any applicable environmental and social aspect of the Contract, including appropriate sensitization on prohibition of SEA, </w:t>
            </w:r>
            <w:proofErr w:type="gramStart"/>
            <w:r>
              <w:t>health</w:t>
            </w:r>
            <w:proofErr w:type="gramEnd"/>
            <w:r>
              <w:t xml:space="preserve"> and safety.  </w:t>
            </w:r>
          </w:p>
          <w:p w14:paraId="11D24DBF" w14:textId="77777777" w:rsidR="00157AAA" w:rsidRDefault="006C1BE5">
            <w:pPr>
              <w:spacing w:before="120"/>
              <w:ind w:left="576"/>
            </w:pPr>
            <w:r>
              <w:t xml:space="preserve">As stated in the Purchaser’s Requirements or as instructed by the Project Manager, the Supplier shall also allow appropriate opportunities for the relevant personnel to be trained on any applicable environmental and social aspects of the Contract by the Purchaser’s Personnel and/or other personnel assigned by the Purchaser. </w:t>
            </w:r>
          </w:p>
          <w:p w14:paraId="4BFD4CC3" w14:textId="77777777" w:rsidR="00157AAA" w:rsidRDefault="006C1BE5">
            <w:pPr>
              <w:spacing w:before="120"/>
              <w:ind w:left="576"/>
            </w:pPr>
            <w:r>
              <w:rPr>
                <w:rFonts w:eastAsiaTheme="minorEastAsia"/>
                <w:lang w:eastAsia="ja-JP"/>
              </w:rPr>
              <w:t xml:space="preserve">The Supplier shall provide training on SEA and SH, including its </w:t>
            </w:r>
            <w:r>
              <w:t>prevention</w:t>
            </w:r>
            <w:r>
              <w:rPr>
                <w:rFonts w:eastAsiaTheme="minorEastAsia"/>
                <w:lang w:eastAsia="ja-JP"/>
              </w:rPr>
              <w:t>, to any of its personnel who has a role to supervise other Supplier’s Personnel.</w:t>
            </w:r>
          </w:p>
          <w:p w14:paraId="4F76C468" w14:textId="77777777" w:rsidR="00157AAA" w:rsidRDefault="006C1BE5">
            <w:pPr>
              <w:keepNext/>
              <w:spacing w:before="120"/>
              <w:ind w:left="750" w:right="-72" w:hanging="750"/>
            </w:pPr>
            <w:proofErr w:type="gramStart"/>
            <w:r>
              <w:t>9.13  Stakeholder</w:t>
            </w:r>
            <w:proofErr w:type="gramEnd"/>
            <w:r>
              <w:t xml:space="preserve"> engagements</w:t>
            </w:r>
          </w:p>
          <w:p w14:paraId="1A59B562" w14:textId="77777777" w:rsidR="00157AAA" w:rsidRDefault="006C1BE5">
            <w:pPr>
              <w:keepNext/>
              <w:spacing w:before="120"/>
              <w:ind w:left="576"/>
              <w:rPr>
                <w:rFonts w:eastAsia="Arial Narrow" w:cstheme="minorHAnsi"/>
                <w:szCs w:val="24"/>
              </w:rPr>
            </w:pPr>
            <w:r>
              <w:rPr>
                <w:rFonts w:eastAsia="Arial Narrow" w:cstheme="minorHAnsi"/>
                <w:szCs w:val="24"/>
              </w:rPr>
              <w:t xml:space="preserve">The Supplier shall provide relevant contract- related information, as the Purchaser and/or Project Manager may reasonably request to </w:t>
            </w:r>
            <w:r>
              <w:rPr>
                <w:szCs w:val="24"/>
              </w:rPr>
              <w:t>conduct</w:t>
            </w:r>
            <w:r>
              <w:rPr>
                <w:rFonts w:eastAsia="Arial Narrow" w:cstheme="minorHAnsi"/>
                <w:szCs w:val="24"/>
              </w:rPr>
              <w:t xml:space="preserve"> contract stakeholder engagement. “Stakeholder” refers to individuals or groups who:</w:t>
            </w:r>
          </w:p>
          <w:p w14:paraId="7E901DC8" w14:textId="77777777" w:rsidR="00157AAA" w:rsidRDefault="006C1BE5" w:rsidP="00D530D5">
            <w:pPr>
              <w:pStyle w:val="ListParagraph"/>
              <w:numPr>
                <w:ilvl w:val="2"/>
                <w:numId w:val="54"/>
              </w:numPr>
              <w:spacing w:before="120"/>
              <w:ind w:right="250"/>
              <w:contextualSpacing w:val="0"/>
              <w:jc w:val="left"/>
              <w:rPr>
                <w:rFonts w:eastAsia="Arial Narrow" w:cstheme="minorHAnsi"/>
                <w:szCs w:val="24"/>
              </w:rPr>
            </w:pPr>
            <w:r>
              <w:rPr>
                <w:rFonts w:eastAsia="Arial Narrow" w:cstheme="minorHAnsi"/>
                <w:szCs w:val="24"/>
              </w:rPr>
              <w:t xml:space="preserve">are affected or likely to be affected by the Contract; and </w:t>
            </w:r>
          </w:p>
          <w:p w14:paraId="79D36FCC" w14:textId="77777777" w:rsidR="00157AAA" w:rsidRDefault="006C1BE5" w:rsidP="00D530D5">
            <w:pPr>
              <w:pStyle w:val="ListParagraph"/>
              <w:numPr>
                <w:ilvl w:val="2"/>
                <w:numId w:val="54"/>
              </w:numPr>
              <w:spacing w:before="120"/>
              <w:ind w:right="250"/>
              <w:contextualSpacing w:val="0"/>
              <w:jc w:val="left"/>
              <w:rPr>
                <w:rFonts w:eastAsia="Arial Narrow" w:cstheme="minorHAnsi"/>
                <w:szCs w:val="24"/>
              </w:rPr>
            </w:pPr>
            <w:r>
              <w:rPr>
                <w:rFonts w:eastAsia="Arial Narrow" w:cstheme="minorHAnsi"/>
                <w:szCs w:val="24"/>
              </w:rPr>
              <w:t xml:space="preserve">may have an interest in the Contract. </w:t>
            </w:r>
          </w:p>
          <w:p w14:paraId="3F74E5E9" w14:textId="77777777" w:rsidR="00157AAA" w:rsidRDefault="006C1BE5">
            <w:pPr>
              <w:spacing w:before="120"/>
              <w:ind w:left="576"/>
              <w:rPr>
                <w:rFonts w:eastAsia="Arial Narrow" w:cstheme="minorHAnsi"/>
                <w:szCs w:val="24"/>
              </w:rPr>
            </w:pPr>
            <w:r>
              <w:rPr>
                <w:rFonts w:eastAsia="Arial Narrow" w:cstheme="minorHAnsi"/>
                <w:szCs w:val="24"/>
              </w:rPr>
              <w:lastRenderedPageBreak/>
              <w:t xml:space="preserve">The </w:t>
            </w:r>
            <w:r>
              <w:rPr>
                <w:szCs w:val="24"/>
              </w:rPr>
              <w:t xml:space="preserve">Supplier </w:t>
            </w:r>
            <w:r>
              <w:rPr>
                <w:rFonts w:eastAsia="Arial Narrow" w:cstheme="minorHAnsi"/>
                <w:szCs w:val="24"/>
              </w:rPr>
              <w:t>may also directly participate in contract stakeholder engagements, as the Purchaser and/or Project Manager may reasonably request.</w:t>
            </w:r>
          </w:p>
          <w:p w14:paraId="02A4FEC7" w14:textId="77777777" w:rsidR="00157AAA" w:rsidRDefault="006C1BE5">
            <w:pPr>
              <w:spacing w:before="120"/>
              <w:ind w:left="609" w:right="-72" w:hanging="609"/>
            </w:pPr>
            <w:r>
              <w:t>9.14</w:t>
            </w:r>
            <w:r>
              <w:tab/>
              <w:t>Forced Labor</w:t>
            </w:r>
          </w:p>
          <w:p w14:paraId="0ECED7B0" w14:textId="77777777" w:rsidR="00157AAA" w:rsidRDefault="006C1BE5">
            <w:pPr>
              <w:spacing w:before="120"/>
              <w:ind w:left="576"/>
            </w:pPr>
            <w:r>
              <w:t xml:space="preserve">The Supplier, including its Subcontractors, shall not employ or </w:t>
            </w:r>
            <w:proofErr w:type="gramStart"/>
            <w:r>
              <w:t>engage</w:t>
            </w:r>
            <w:proofErr w:type="gramEnd"/>
            <w:r>
              <w:t xml:space="preserve"> forced </w:t>
            </w:r>
            <w:proofErr w:type="spellStart"/>
            <w:r>
              <w:t>labour</w:t>
            </w:r>
            <w:proofErr w:type="spellEnd"/>
            <w:r>
              <w:t xml:space="preserve">. Forced </w:t>
            </w:r>
            <w:proofErr w:type="spellStart"/>
            <w:r>
              <w:t>labour</w:t>
            </w:r>
            <w:proofErr w:type="spellEnd"/>
            <w:r>
              <w:t xml:space="preserve"> consists of any work or service, not voluntarily performed, that is exacted from an individual under threat of force or penalty, and includes any kind of involuntary or compulsory </w:t>
            </w:r>
            <w:proofErr w:type="spellStart"/>
            <w:r>
              <w:t>labour</w:t>
            </w:r>
            <w:proofErr w:type="spellEnd"/>
            <w:r>
              <w:t xml:space="preserve">, such as indentured </w:t>
            </w:r>
            <w:proofErr w:type="spellStart"/>
            <w:r>
              <w:t>labour</w:t>
            </w:r>
            <w:proofErr w:type="spellEnd"/>
            <w:r>
              <w:t xml:space="preserve">, bonded </w:t>
            </w:r>
            <w:proofErr w:type="spellStart"/>
            <w:proofErr w:type="gramStart"/>
            <w:r>
              <w:t>labour</w:t>
            </w:r>
            <w:proofErr w:type="spellEnd"/>
            <w:proofErr w:type="gramEnd"/>
            <w:r>
              <w:t xml:space="preserve"> or similar </w:t>
            </w:r>
            <w:proofErr w:type="spellStart"/>
            <w:r>
              <w:t>labour</w:t>
            </w:r>
            <w:proofErr w:type="spellEnd"/>
            <w:r>
              <w:t xml:space="preserve">-contracting arrangements. </w:t>
            </w:r>
          </w:p>
          <w:p w14:paraId="303521AE" w14:textId="77777777" w:rsidR="00157AAA" w:rsidRDefault="006C1BE5">
            <w:pPr>
              <w:spacing w:before="120"/>
              <w:ind w:left="610" w:right="-14"/>
            </w:pPr>
            <w:r>
              <w:t xml:space="preserve">No persons shall be employed or engaged who have been subject to trafficking. Trafficking in persons is defined as the recruitment, transportation, transfer, </w:t>
            </w:r>
            <w:proofErr w:type="spellStart"/>
            <w:r>
              <w:t>harbouring</w:t>
            </w:r>
            <w:proofErr w:type="spellEnd"/>
            <w:r>
              <w:t xml:space="preserve">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14:paraId="0159D72C" w14:textId="77777777" w:rsidR="00157AAA" w:rsidRDefault="006C1BE5">
            <w:pPr>
              <w:spacing w:before="120"/>
              <w:ind w:left="750" w:right="-72" w:hanging="750"/>
            </w:pPr>
            <w:r>
              <w:t>9.15   Child Labor</w:t>
            </w:r>
          </w:p>
          <w:p w14:paraId="6EA066FB" w14:textId="77777777" w:rsidR="00157AAA" w:rsidRDefault="006C1BE5">
            <w:pPr>
              <w:spacing w:before="120"/>
              <w:ind w:left="576"/>
            </w:pPr>
            <w:r>
              <w:t xml:space="preserve">The Supplier, including its Subcontractors, shall not employ or engage a child under the age of 14 unless the national law specifies a higher age (the minimum age). </w:t>
            </w:r>
          </w:p>
          <w:p w14:paraId="1A9BADA3" w14:textId="77777777" w:rsidR="00157AAA" w:rsidRDefault="006C1BE5">
            <w:pPr>
              <w:spacing w:before="120"/>
              <w:ind w:left="576"/>
            </w:pPr>
            <w:r>
              <w:t>The Supplier,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14:paraId="61610E5E" w14:textId="77777777" w:rsidR="00157AAA" w:rsidRDefault="006C1BE5">
            <w:pPr>
              <w:spacing w:before="120"/>
              <w:ind w:left="576"/>
            </w:pPr>
            <w:r>
              <w:t xml:space="preserve">The Supplier, including its Subcontractors, shall only employ or engage children between the minimum age and the age of 18 after an appropriate risk assessment has been conducted by the Supplier with the Project Manager’s consent. The Supplier shall be subject to regular monitoring by the Project Manager that includes monitoring of health, working conditions and hours of work. </w:t>
            </w:r>
          </w:p>
          <w:p w14:paraId="63712947" w14:textId="77777777" w:rsidR="00157AAA" w:rsidRDefault="006C1BE5">
            <w:pPr>
              <w:spacing w:before="120"/>
              <w:ind w:left="576"/>
            </w:pPr>
            <w:r>
              <w:t>Work considered hazardous for children is work that, by its nature or the circumstances in which it is carried out, is likely to jeopardize the health, safety, or morals of children. Such work activities prohibited for children include work:</w:t>
            </w:r>
          </w:p>
          <w:p w14:paraId="07496FAC" w14:textId="77777777" w:rsidR="00157AAA" w:rsidRDefault="006C1BE5" w:rsidP="00D530D5">
            <w:pPr>
              <w:pStyle w:val="ListParagraph"/>
              <w:numPr>
                <w:ilvl w:val="0"/>
                <w:numId w:val="55"/>
              </w:numPr>
              <w:spacing w:before="120"/>
              <w:ind w:left="1014" w:hanging="450"/>
              <w:contextualSpacing w:val="0"/>
              <w:jc w:val="left"/>
              <w:rPr>
                <w:rFonts w:eastAsia="Arial Narrow"/>
                <w:color w:val="000000"/>
              </w:rPr>
            </w:pPr>
            <w:r>
              <w:rPr>
                <w:rFonts w:eastAsia="Arial Narrow"/>
                <w:color w:val="000000"/>
              </w:rPr>
              <w:lastRenderedPageBreak/>
              <w:t xml:space="preserve">with exposure to physical, psychological or sexual </w:t>
            </w:r>
            <w:proofErr w:type="gramStart"/>
            <w:r>
              <w:rPr>
                <w:rFonts w:eastAsia="Arial Narrow"/>
                <w:color w:val="000000"/>
              </w:rPr>
              <w:t>abuse;</w:t>
            </w:r>
            <w:proofErr w:type="gramEnd"/>
          </w:p>
          <w:p w14:paraId="274DDC06" w14:textId="77777777" w:rsidR="00157AAA" w:rsidRDefault="006C1BE5" w:rsidP="00D530D5">
            <w:pPr>
              <w:pStyle w:val="ListParagraph"/>
              <w:numPr>
                <w:ilvl w:val="0"/>
                <w:numId w:val="55"/>
              </w:numPr>
              <w:spacing w:before="120"/>
              <w:ind w:left="1014" w:hanging="450"/>
              <w:contextualSpacing w:val="0"/>
              <w:jc w:val="left"/>
              <w:rPr>
                <w:rFonts w:eastAsia="Arial Narrow"/>
                <w:color w:val="000000"/>
              </w:rPr>
            </w:pPr>
            <w:r>
              <w:rPr>
                <w:rFonts w:eastAsia="Arial Narrow"/>
                <w:color w:val="000000"/>
              </w:rPr>
              <w:t xml:space="preserve">underground, underwater, working at heights or in confined </w:t>
            </w:r>
            <w:proofErr w:type="gramStart"/>
            <w:r>
              <w:rPr>
                <w:rFonts w:eastAsia="Arial Narrow"/>
                <w:color w:val="000000"/>
              </w:rPr>
              <w:t>spaces;</w:t>
            </w:r>
            <w:proofErr w:type="gramEnd"/>
            <w:r>
              <w:rPr>
                <w:rFonts w:eastAsia="Arial Narrow"/>
                <w:color w:val="000000"/>
              </w:rPr>
              <w:t xml:space="preserve"> </w:t>
            </w:r>
          </w:p>
          <w:p w14:paraId="70FE910B" w14:textId="77777777" w:rsidR="00157AAA" w:rsidRDefault="006C1BE5" w:rsidP="00D530D5">
            <w:pPr>
              <w:pStyle w:val="ListParagraph"/>
              <w:numPr>
                <w:ilvl w:val="0"/>
                <w:numId w:val="55"/>
              </w:numPr>
              <w:spacing w:before="120"/>
              <w:ind w:left="1014" w:hanging="450"/>
              <w:contextualSpacing w:val="0"/>
              <w:jc w:val="left"/>
              <w:rPr>
                <w:rFonts w:eastAsia="Arial Narrow"/>
              </w:rPr>
            </w:pPr>
            <w:r>
              <w:rPr>
                <w:rFonts w:eastAsia="Arial Narrow"/>
              </w:rPr>
              <w:t xml:space="preserve">with dangerous machinery, equipment or tools, or involving handling or transport of heavy </w:t>
            </w:r>
            <w:proofErr w:type="gramStart"/>
            <w:r>
              <w:rPr>
                <w:rFonts w:eastAsia="Arial Narrow"/>
              </w:rPr>
              <w:t>loads;</w:t>
            </w:r>
            <w:proofErr w:type="gramEnd"/>
            <w:r>
              <w:rPr>
                <w:rFonts w:eastAsia="Arial Narrow"/>
              </w:rPr>
              <w:t xml:space="preserve"> </w:t>
            </w:r>
          </w:p>
          <w:p w14:paraId="710F3C0B" w14:textId="77777777" w:rsidR="00157AAA" w:rsidRDefault="006C1BE5" w:rsidP="00D530D5">
            <w:pPr>
              <w:pStyle w:val="ListParagraph"/>
              <w:numPr>
                <w:ilvl w:val="0"/>
                <w:numId w:val="55"/>
              </w:numPr>
              <w:spacing w:before="120"/>
              <w:ind w:left="1014" w:hanging="450"/>
              <w:contextualSpacing w:val="0"/>
              <w:jc w:val="left"/>
              <w:rPr>
                <w:rFonts w:eastAsia="Arial Narrow"/>
                <w:color w:val="000000"/>
              </w:rPr>
            </w:pPr>
            <w:r>
              <w:rPr>
                <w:rFonts w:eastAsia="Arial Narrow"/>
                <w:color w:val="000000"/>
              </w:rPr>
              <w:t>in unhealthy environments exposing children to hazardous substances, agents, or processes, or to temperatures, noise or vibration damaging to health; or</w:t>
            </w:r>
          </w:p>
          <w:p w14:paraId="707F654F" w14:textId="77777777" w:rsidR="00157AAA" w:rsidRDefault="006C1BE5" w:rsidP="00D530D5">
            <w:pPr>
              <w:pStyle w:val="ListParagraph"/>
              <w:numPr>
                <w:ilvl w:val="0"/>
                <w:numId w:val="55"/>
              </w:numPr>
              <w:spacing w:before="120"/>
              <w:ind w:left="1014" w:hanging="450"/>
              <w:contextualSpacing w:val="0"/>
              <w:jc w:val="left"/>
            </w:pPr>
            <w:r>
              <w:rPr>
                <w:rFonts w:eastAsia="Arial Narrow"/>
                <w:color w:val="000000"/>
              </w:rPr>
              <w:t xml:space="preserve">under difficult conditions such as </w:t>
            </w:r>
            <w:proofErr w:type="gramStart"/>
            <w:r>
              <w:rPr>
                <w:rFonts w:eastAsia="Arial Narrow"/>
                <w:color w:val="000000"/>
              </w:rPr>
              <w:t>work</w:t>
            </w:r>
            <w:proofErr w:type="gramEnd"/>
            <w:r>
              <w:rPr>
                <w:rFonts w:eastAsia="Arial Narrow"/>
                <w:color w:val="000000"/>
              </w:rPr>
              <w:t xml:space="preserve"> for long hours, during the night or in confinement on the premises of the employer.</w:t>
            </w:r>
          </w:p>
          <w:p w14:paraId="625E7684" w14:textId="77777777" w:rsidR="00157AAA" w:rsidRDefault="006C1BE5">
            <w:pPr>
              <w:spacing w:before="120"/>
              <w:ind w:left="750" w:right="-72" w:hanging="750"/>
            </w:pPr>
            <w:proofErr w:type="gramStart"/>
            <w:r>
              <w:t>9.16  Non</w:t>
            </w:r>
            <w:proofErr w:type="gramEnd"/>
            <w:r>
              <w:t>-Discrimination and Equal Opportunity</w:t>
            </w:r>
          </w:p>
          <w:p w14:paraId="5CF598AB" w14:textId="77777777" w:rsidR="00157AAA" w:rsidRDefault="006C1BE5">
            <w:pPr>
              <w:spacing w:before="120"/>
              <w:ind w:left="576"/>
            </w:pPr>
            <w:r>
              <w:t xml:space="preserve">The Supplier shall not make decisions relating to the employment or treatment of personnel for the execution of the Contract </w:t>
            </w:r>
            <w:proofErr w:type="gramStart"/>
            <w:r>
              <w:t>on the basis of</w:t>
            </w:r>
            <w:proofErr w:type="gramEnd"/>
            <w:r>
              <w:t xml:space="preserve"> personal characteristics unrelated to inherent job requirements. The Supplier shall base the employment of personnel for the execution of the Contract on the principle of equal opportunity and fair </w:t>
            </w:r>
            <w:proofErr w:type="gramStart"/>
            <w:r>
              <w:t>treatment, and</w:t>
            </w:r>
            <w:proofErr w:type="gramEnd"/>
            <w:r>
              <w:t xml:space="preserve">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p>
          <w:p w14:paraId="54EEB57B" w14:textId="77777777" w:rsidR="00157AAA" w:rsidRDefault="006C1BE5">
            <w:pPr>
              <w:spacing w:before="120"/>
              <w:ind w:left="576"/>
            </w:pPr>
            <w:r>
              <w:t xml:space="preserve">Special measures of protection or assistance to remedy past discrimination or selection for a particular job based on the inherent requirements of the job shall not be deemed discrimination. The Supplier shall provide protection and assistance as necessary to ensure non-discrimination and equal opportunity, including for specific groups such as women, people with disabilities, migrant </w:t>
            </w:r>
            <w:proofErr w:type="gramStart"/>
            <w:r>
              <w:t>workers</w:t>
            </w:r>
            <w:proofErr w:type="gramEnd"/>
            <w:r>
              <w:t xml:space="preserve"> and children (of working age in accordance with GCC Clause 9.15).</w:t>
            </w:r>
          </w:p>
          <w:p w14:paraId="64B515F5" w14:textId="77777777" w:rsidR="00157AAA" w:rsidRDefault="006C1BE5">
            <w:pPr>
              <w:spacing w:before="120"/>
              <w:ind w:left="750" w:right="-72" w:hanging="750"/>
            </w:pPr>
            <w:proofErr w:type="gramStart"/>
            <w:r>
              <w:t>9.17  Personnel</w:t>
            </w:r>
            <w:proofErr w:type="gramEnd"/>
            <w:r>
              <w:t xml:space="preserve"> Grievance Mechanism</w:t>
            </w:r>
          </w:p>
          <w:p w14:paraId="121855E3" w14:textId="77777777" w:rsidR="00157AAA" w:rsidRDefault="006C1BE5">
            <w:pPr>
              <w:spacing w:before="120"/>
              <w:ind w:left="576"/>
            </w:pPr>
            <w:r>
              <w:t xml:space="preserve">The Supplier shall have a grievance mechanism for personnel employed in the execution of the Contract to raise workplace concerns. The grievance mechanism shall be proportionate to the nature, scale, risks and impacts of the Contract. The grievance mechanism may utilize existing grievance mechanisms, </w:t>
            </w:r>
            <w:proofErr w:type="gramStart"/>
            <w:r>
              <w:t>provided that</w:t>
            </w:r>
            <w:proofErr w:type="gramEnd"/>
            <w:r>
              <w:t xml:space="preserve"> they are properly </w:t>
            </w:r>
            <w:r>
              <w:lastRenderedPageBreak/>
              <w:t xml:space="preserve">designed and implemented, address concerns promptly, and are readily accessible to such personnel. </w:t>
            </w:r>
          </w:p>
          <w:p w14:paraId="4AA39EEF" w14:textId="77777777" w:rsidR="00157AAA" w:rsidRDefault="006C1BE5">
            <w:pPr>
              <w:spacing w:before="120"/>
              <w:ind w:left="750" w:right="-72" w:hanging="750"/>
            </w:pPr>
            <w:proofErr w:type="gramStart"/>
            <w:r>
              <w:t>9.18  Security</w:t>
            </w:r>
            <w:proofErr w:type="gramEnd"/>
            <w:r>
              <w:t xml:space="preserve"> of the Project Site</w:t>
            </w:r>
          </w:p>
          <w:p w14:paraId="02151CE1" w14:textId="77777777" w:rsidR="00157AAA" w:rsidRDefault="006C1BE5">
            <w:pPr>
              <w:spacing w:before="120"/>
              <w:ind w:left="576"/>
            </w:pPr>
            <w:r>
              <w:rPr>
                <w:b/>
              </w:rPr>
              <w:t>If stated in the SCC</w:t>
            </w:r>
            <w:r>
              <w:t>, the Supplier shall be responsible for the security at the Project Site/s including providing and maintaining at its own expense all lighting, fencing, and watching when and where necessary for the proper execution and the protection of the locations, or for the safety of the owners and occupiers of adjacent property and for the safety of the public.</w:t>
            </w:r>
          </w:p>
          <w:p w14:paraId="7F01A659" w14:textId="77777777" w:rsidR="00157AAA" w:rsidRDefault="006C1BE5">
            <w:pPr>
              <w:spacing w:before="120"/>
              <w:ind w:left="576"/>
            </w:pPr>
            <w:r>
              <w:t xml:space="preserve">In making security arrangements, the Supplier shall be guided by applicable laws and any other requirements that may be stated in the Purchaser’s Requirements. </w:t>
            </w:r>
          </w:p>
          <w:p w14:paraId="7D579087" w14:textId="77777777" w:rsidR="00157AAA" w:rsidRDefault="006C1BE5">
            <w:pPr>
              <w:spacing w:before="120"/>
              <w:ind w:left="576"/>
            </w:pPr>
            <w:r>
              <w:t>The Supplier shall (</w:t>
            </w:r>
            <w:proofErr w:type="spellStart"/>
            <w:r>
              <w:t>i</w:t>
            </w:r>
            <w:proofErr w:type="spellEnd"/>
            <w:r>
              <w:t>) conduct appropriate background checks on any personnel retained to provide security; (ii) train the security personnel adequately (or determine that they are properly trained) in the use of force (and where applicable, firearms), and appropriate conduct towards the Supplier’s Personnel, Purchaser’s Personnel and affected communities; and (iii) require the security personnel to act within the applicable Laws and any requirements set out in the Purchaser’s Requirements.</w:t>
            </w:r>
          </w:p>
          <w:p w14:paraId="2350870D" w14:textId="77777777" w:rsidR="00157AAA" w:rsidRDefault="006C1BE5">
            <w:pPr>
              <w:spacing w:before="120"/>
              <w:ind w:left="576"/>
            </w:pPr>
            <w:r>
              <w:t xml:space="preserve">The Supplier shall not permit any use of force by security personnel in providing security except when used for preventive and defensive purposes in proportion to the nature and extent of the threat. </w:t>
            </w:r>
          </w:p>
          <w:p w14:paraId="6359C8E0" w14:textId="77777777" w:rsidR="00157AAA" w:rsidRDefault="006C1BE5">
            <w:pPr>
              <w:spacing w:before="120"/>
              <w:ind w:left="750" w:right="-72" w:hanging="750"/>
            </w:pPr>
            <w:proofErr w:type="gramStart"/>
            <w:r>
              <w:t>9.19  Recruitment</w:t>
            </w:r>
            <w:proofErr w:type="gramEnd"/>
            <w:r>
              <w:t xml:space="preserve"> of Persons</w:t>
            </w:r>
          </w:p>
          <w:p w14:paraId="067C1A56" w14:textId="77777777" w:rsidR="00157AAA" w:rsidRDefault="006C1BE5">
            <w:pPr>
              <w:spacing w:before="120"/>
              <w:ind w:left="576"/>
              <w:rPr>
                <w:szCs w:val="24"/>
              </w:rPr>
            </w:pPr>
            <w:r>
              <w:rPr>
                <w:szCs w:val="24"/>
              </w:rPr>
              <w:t xml:space="preserve">The Supplier shall not recruit, or attempt to recruit, either on limited time or `permanent basis or through any other contractual </w:t>
            </w:r>
            <w:r>
              <w:t>agreement</w:t>
            </w:r>
            <w:r>
              <w:rPr>
                <w:szCs w:val="24"/>
              </w:rPr>
              <w:t xml:space="preserve">, </w:t>
            </w:r>
            <w:proofErr w:type="gramStart"/>
            <w:r>
              <w:rPr>
                <w:szCs w:val="24"/>
              </w:rPr>
              <w:t>staff</w:t>
            </w:r>
            <w:proofErr w:type="gramEnd"/>
            <w:r>
              <w:rPr>
                <w:szCs w:val="24"/>
              </w:rPr>
              <w:t xml:space="preserve"> and labor from amongst the Purchaser’s Personnel.</w:t>
            </w:r>
          </w:p>
        </w:tc>
      </w:tr>
      <w:tr w:rsidR="00157AAA" w14:paraId="776B0BA7" w14:textId="77777777">
        <w:tc>
          <w:tcPr>
            <w:tcW w:w="2412" w:type="dxa"/>
          </w:tcPr>
          <w:p w14:paraId="5C9989AB" w14:textId="77777777" w:rsidR="00157AAA" w:rsidRDefault="00157AAA">
            <w:pPr>
              <w:spacing w:before="120"/>
              <w:jc w:val="left"/>
            </w:pPr>
          </w:p>
        </w:tc>
        <w:tc>
          <w:tcPr>
            <w:tcW w:w="6588" w:type="dxa"/>
          </w:tcPr>
          <w:p w14:paraId="094356F1" w14:textId="77777777" w:rsidR="00157AAA" w:rsidRDefault="006C1BE5">
            <w:pPr>
              <w:spacing w:before="120"/>
              <w:ind w:left="750" w:right="-72" w:hanging="750"/>
            </w:pPr>
            <w:r>
              <w:t xml:space="preserve">9.20 </w:t>
            </w:r>
            <w:r>
              <w:tab/>
            </w:r>
            <w:r>
              <w:rPr>
                <w:b/>
              </w:rPr>
              <w:t>Unless otherwise specified in the SCC</w:t>
            </w:r>
            <w:r>
              <w:t xml:space="preserve"> the Supplier shall have no other Supplier responsibilities.</w:t>
            </w:r>
          </w:p>
        </w:tc>
      </w:tr>
      <w:tr w:rsidR="00157AAA" w14:paraId="715FC57B" w14:textId="77777777">
        <w:trPr>
          <w:cantSplit/>
        </w:trPr>
        <w:tc>
          <w:tcPr>
            <w:tcW w:w="2412" w:type="dxa"/>
          </w:tcPr>
          <w:p w14:paraId="60AAF708" w14:textId="77777777" w:rsidR="00157AAA" w:rsidRDefault="006C1BE5">
            <w:pPr>
              <w:pStyle w:val="Head62"/>
              <w:spacing w:before="120"/>
            </w:pPr>
            <w:bookmarkStart w:id="821" w:name="_Toc277233328"/>
            <w:bookmarkStart w:id="822" w:name="_Toc73977702"/>
            <w:r>
              <w:t>10.</w:t>
            </w:r>
            <w:r>
              <w:tab/>
              <w:t>Purchaser’s Responsibilities</w:t>
            </w:r>
            <w:bookmarkEnd w:id="821"/>
            <w:bookmarkEnd w:id="822"/>
          </w:p>
        </w:tc>
        <w:tc>
          <w:tcPr>
            <w:tcW w:w="6588" w:type="dxa"/>
          </w:tcPr>
          <w:p w14:paraId="19D3E75E" w14:textId="77777777" w:rsidR="00157AAA" w:rsidRDefault="006C1BE5">
            <w:pPr>
              <w:spacing w:before="120"/>
              <w:ind w:left="793" w:right="-72" w:hanging="793"/>
            </w:pPr>
            <w:r>
              <w:t>10.1</w:t>
            </w:r>
            <w:r>
              <w:tab/>
              <w:t>The Purchaser shall ensure the accuracy of all information and/or data to be supplied by the Purchaser to the Supplier, except when otherwise expressly stated in the Contract.</w:t>
            </w:r>
          </w:p>
        </w:tc>
      </w:tr>
      <w:tr w:rsidR="00157AAA" w14:paraId="0CA74826" w14:textId="77777777">
        <w:tc>
          <w:tcPr>
            <w:tcW w:w="2412" w:type="dxa"/>
          </w:tcPr>
          <w:p w14:paraId="0227F2B4" w14:textId="77777777" w:rsidR="00157AAA" w:rsidRDefault="00157AAA">
            <w:pPr>
              <w:spacing w:before="120"/>
              <w:jc w:val="left"/>
            </w:pPr>
          </w:p>
        </w:tc>
        <w:tc>
          <w:tcPr>
            <w:tcW w:w="6588" w:type="dxa"/>
          </w:tcPr>
          <w:p w14:paraId="51968FF9" w14:textId="77777777" w:rsidR="00157AAA" w:rsidRDefault="006C1BE5">
            <w:pPr>
              <w:spacing w:before="120"/>
              <w:ind w:left="793" w:right="-72" w:hanging="793"/>
            </w:pPr>
            <w:r>
              <w:t>10.2</w:t>
            </w:r>
            <w:r>
              <w:tab/>
              <w:t xml:space="preserve">The Purchaser shall be responsible for timely provision of all resources, information, and decision making under its control that are necessary to reach an Agreed Project Plan (pursuant to GCC Clause 19.2) within the time schedule specified in the Implementation Schedule. Failure to </w:t>
            </w:r>
            <w:r>
              <w:lastRenderedPageBreak/>
              <w:t>provide such resources, information, and decision making may constitute grounds for Termination pursuant to GCC Clause 41.3.1 (b).</w:t>
            </w:r>
          </w:p>
          <w:p w14:paraId="181E2039" w14:textId="77777777" w:rsidR="00157AAA" w:rsidRDefault="006C1BE5">
            <w:pPr>
              <w:spacing w:before="120"/>
              <w:ind w:left="793" w:right="-72" w:hanging="793"/>
            </w:pPr>
            <w:r>
              <w:t>10.3</w:t>
            </w:r>
            <w:r>
              <w:tab/>
            </w:r>
            <w:r>
              <w:rPr>
                <w:spacing w:val="-4"/>
              </w:rPr>
              <w:t xml:space="preserve">The Purchaser shall be responsible for acquiring and providing legal and </w:t>
            </w:r>
            <w:r>
              <w:t>physical</w:t>
            </w:r>
            <w:r>
              <w:rPr>
                <w:spacing w:val="-4"/>
              </w:rPr>
              <w:t xml:space="preserve"> possession of the site and access to it, and for providing possession of and access to all other areas reasonably required for the proper execution of the Contract.</w:t>
            </w:r>
          </w:p>
          <w:p w14:paraId="56C6F03D" w14:textId="77777777" w:rsidR="00157AAA" w:rsidRDefault="006C1BE5">
            <w:pPr>
              <w:spacing w:before="120"/>
              <w:ind w:left="793" w:right="-72" w:hanging="793"/>
            </w:pPr>
            <w:r>
              <w:t>10.4</w:t>
            </w:r>
            <w:r>
              <w:tab/>
              <w:t xml:space="preserve">If requested by the Supplier, the Purchaser shall use its best endeavors to assist the Supplier in obtaining in a timely and expeditious manner all permits, approvals, and/or licenses necessary for the execution of the Contract from all local, state, or national government authorities or public service undertakings that such authorities or undertakings require the Supplier or Subcontractors or the Supplier’s Personnel, as the case may be, to obtain.  </w:t>
            </w:r>
          </w:p>
          <w:p w14:paraId="28FB4395" w14:textId="77777777" w:rsidR="00157AAA" w:rsidRDefault="006C1BE5">
            <w:pPr>
              <w:spacing w:before="120"/>
              <w:ind w:left="793" w:right="-72" w:hanging="793"/>
            </w:pPr>
            <w:r>
              <w:t>10.5</w:t>
            </w:r>
            <w:r>
              <w:tab/>
              <w:t>In such cases where the responsibilities of specifying and acquiring or upgrading telecommunications and/or electric power services falls to the Supplier, as specified in the Technical Requirements, SCC, Agreed Project Plan, or other parts of the Contract, the Purchaser shall use its best endeavors to assist the Supplier in obtaining such services in a timely and expeditious manner.</w:t>
            </w:r>
          </w:p>
          <w:p w14:paraId="4A5C626D" w14:textId="77777777" w:rsidR="00157AAA" w:rsidRDefault="006C1BE5">
            <w:pPr>
              <w:spacing w:before="120"/>
              <w:ind w:left="793" w:right="-72" w:hanging="793"/>
            </w:pPr>
            <w:r>
              <w:t>10.6</w:t>
            </w:r>
            <w:r>
              <w:tab/>
              <w:t>The Purchaser shall be responsible for timely provision of all resources, access, and information necessary for the Installation and Operational Acceptance of the System (including, but not limited to, any required telecommunications or electric power services), as identified in the Agreed Project Plan, except where provision of such items is explicitly identified in the Contract as being the responsibility of the Supplier.  Delay by the Purchaser may result in an appropriate extension of the Time for Operational Acceptance, at the Supplier’s discretion.</w:t>
            </w:r>
          </w:p>
          <w:p w14:paraId="5538CB62" w14:textId="77777777" w:rsidR="00157AAA" w:rsidRDefault="006C1BE5">
            <w:pPr>
              <w:spacing w:before="120"/>
              <w:ind w:left="793" w:right="-72" w:hanging="793"/>
            </w:pPr>
            <w:r>
              <w:t>10.7</w:t>
            </w:r>
            <w:r>
              <w:tab/>
              <w:t xml:space="preserve">Unless otherwise specified in the Contract or agreed upon by the Purchaser and the Supplier, the Purchaser shall provide sufficient, properly qualified operating and technical personnel, as required by the Supplier to properly carry out Delivery, Pre-commissioning, Installation, Commissioning, and Operational Acceptance, at or before the time specified in the Implementation Schedule and the Agreed Project Plan. </w:t>
            </w:r>
          </w:p>
          <w:p w14:paraId="7EDF5BFE" w14:textId="77777777" w:rsidR="00157AAA" w:rsidRDefault="006C1BE5">
            <w:pPr>
              <w:spacing w:before="120"/>
              <w:ind w:left="793" w:right="-72" w:hanging="793"/>
            </w:pPr>
            <w:r>
              <w:t>10.8</w:t>
            </w:r>
            <w:r>
              <w:tab/>
              <w:t xml:space="preserve">The Purchaser will designate appropriate staff for the training courses to be given by the Supplier and shall make </w:t>
            </w:r>
            <w:r>
              <w:lastRenderedPageBreak/>
              <w:t>all appropriate logistical arrangements for such training as specified in the Technical Requirements, SCC, the Agreed Project Plan, or other parts of the Contract.</w:t>
            </w:r>
          </w:p>
          <w:p w14:paraId="59D926F8" w14:textId="77777777" w:rsidR="00157AAA" w:rsidRDefault="006C1BE5">
            <w:pPr>
              <w:spacing w:before="120"/>
              <w:ind w:left="793" w:right="-72" w:hanging="793"/>
            </w:pPr>
            <w:r>
              <w:t>10.9</w:t>
            </w:r>
            <w:r>
              <w:tab/>
              <w:t>The Purchaser assumes primary responsibility for the Operational Acceptance Test(s) for the System, in accordance with GCC Clause 27.2, and shall be responsible for the continued operation of the System after Operational Acceptance.  However, this shall not limit in any way the Supplier’s responsibilities after the date of Operational Acceptance otherwise specified in the Contract.</w:t>
            </w:r>
          </w:p>
          <w:p w14:paraId="7AB8D022" w14:textId="77777777" w:rsidR="00157AAA" w:rsidRDefault="006C1BE5">
            <w:pPr>
              <w:spacing w:before="120"/>
              <w:ind w:left="793" w:right="-72" w:hanging="793"/>
            </w:pPr>
            <w:r>
              <w:t>10.10</w:t>
            </w:r>
            <w:r>
              <w:tab/>
              <w:t>The Purchaser is responsible for performing and safely storing timely and regular backups of its data and Software in accordance with accepted data management principles, except where such responsibility is clearly assigned to the Supplier elsewhere in the Contract.</w:t>
            </w:r>
          </w:p>
          <w:p w14:paraId="1F15929A" w14:textId="77777777" w:rsidR="00157AAA" w:rsidRDefault="006C1BE5">
            <w:pPr>
              <w:spacing w:before="120"/>
              <w:ind w:left="793" w:right="-72" w:hanging="793"/>
            </w:pPr>
            <w:r>
              <w:t>10.11</w:t>
            </w:r>
            <w:r>
              <w:tab/>
              <w:t>All costs and expenses involved in the performance of the obligations under this GCC Clause 10 shall be the responsibility of the Purchaser, save those to be incurred by the Supplier with respect to the performance of the Operational Acceptance Test(s), in accordance with GCC Clause 27.2.</w:t>
            </w:r>
          </w:p>
          <w:p w14:paraId="19A5E74E" w14:textId="77777777" w:rsidR="00157AAA" w:rsidRDefault="006C1BE5">
            <w:pPr>
              <w:spacing w:before="120"/>
              <w:ind w:left="793" w:right="-72" w:hanging="793"/>
            </w:pPr>
            <w:r>
              <w:t>10.12</w:t>
            </w:r>
            <w:r>
              <w:tab/>
            </w:r>
            <w:r>
              <w:rPr>
                <w:b/>
              </w:rPr>
              <w:t>Unless otherwise specified in the SCC</w:t>
            </w:r>
            <w:r>
              <w:t xml:space="preserve"> the Purchaser shall have no other Purchaser responsibilities.</w:t>
            </w:r>
          </w:p>
        </w:tc>
      </w:tr>
    </w:tbl>
    <w:p w14:paraId="08877EC0" w14:textId="77777777" w:rsidR="00157AAA" w:rsidRDefault="006C1BE5">
      <w:pPr>
        <w:pStyle w:val="Head61"/>
        <w:spacing w:before="120"/>
      </w:pPr>
      <w:bookmarkStart w:id="823" w:name="_Toc277233329"/>
      <w:bookmarkStart w:id="824" w:name="_Toc73977703"/>
      <w:r>
        <w:lastRenderedPageBreak/>
        <w:t>C.  Payment</w:t>
      </w:r>
      <w:bookmarkEnd w:id="823"/>
      <w:bookmarkEnd w:id="824"/>
    </w:p>
    <w:tbl>
      <w:tblPr>
        <w:tblW w:w="0" w:type="auto"/>
        <w:tblInd w:w="108" w:type="dxa"/>
        <w:tblLayout w:type="fixed"/>
        <w:tblLook w:val="0000" w:firstRow="0" w:lastRow="0" w:firstColumn="0" w:lastColumn="0" w:noHBand="0" w:noVBand="0"/>
      </w:tblPr>
      <w:tblGrid>
        <w:gridCol w:w="2412"/>
        <w:gridCol w:w="6588"/>
      </w:tblGrid>
      <w:tr w:rsidR="00157AAA" w14:paraId="39B676AC" w14:textId="77777777">
        <w:trPr>
          <w:cantSplit/>
        </w:trPr>
        <w:tc>
          <w:tcPr>
            <w:tcW w:w="2412" w:type="dxa"/>
          </w:tcPr>
          <w:p w14:paraId="51162DEB" w14:textId="77777777" w:rsidR="00157AAA" w:rsidRDefault="006C1BE5">
            <w:pPr>
              <w:pStyle w:val="Head62"/>
              <w:spacing w:before="120"/>
            </w:pPr>
            <w:bookmarkStart w:id="825" w:name="_Toc277233330"/>
            <w:bookmarkStart w:id="826" w:name="_Toc73977704"/>
            <w:r>
              <w:t>11.</w:t>
            </w:r>
            <w:r>
              <w:tab/>
              <w:t>Contract Price</w:t>
            </w:r>
            <w:bookmarkEnd w:id="825"/>
            <w:bookmarkEnd w:id="826"/>
          </w:p>
        </w:tc>
        <w:tc>
          <w:tcPr>
            <w:tcW w:w="6588" w:type="dxa"/>
          </w:tcPr>
          <w:p w14:paraId="5AEC639D" w14:textId="77777777" w:rsidR="00157AAA" w:rsidRDefault="006C1BE5">
            <w:pPr>
              <w:spacing w:before="120"/>
              <w:ind w:left="793" w:right="-72" w:hanging="793"/>
            </w:pPr>
            <w:r>
              <w:t>11.1</w:t>
            </w:r>
            <w:r>
              <w:tab/>
              <w:t>The Contract Price shall be as specified in Article 2 (Contract Price and Terms of Payment) of the Contract Agreement.</w:t>
            </w:r>
          </w:p>
        </w:tc>
      </w:tr>
      <w:tr w:rsidR="00157AAA" w14:paraId="2488B650" w14:textId="77777777">
        <w:tc>
          <w:tcPr>
            <w:tcW w:w="2412" w:type="dxa"/>
          </w:tcPr>
          <w:p w14:paraId="27F368E5" w14:textId="77777777" w:rsidR="00157AAA" w:rsidRDefault="00157AAA">
            <w:pPr>
              <w:spacing w:before="120"/>
              <w:jc w:val="left"/>
            </w:pPr>
          </w:p>
        </w:tc>
        <w:tc>
          <w:tcPr>
            <w:tcW w:w="6588" w:type="dxa"/>
          </w:tcPr>
          <w:p w14:paraId="400BECD0" w14:textId="77777777" w:rsidR="00157AAA" w:rsidRDefault="006C1BE5">
            <w:pPr>
              <w:spacing w:before="120"/>
              <w:ind w:left="793" w:right="-72" w:hanging="793"/>
            </w:pPr>
            <w:r>
              <w:t>11.2</w:t>
            </w:r>
            <w:r>
              <w:tab/>
              <w:t xml:space="preserve">Unless an adjustment clause is </w:t>
            </w:r>
            <w:r>
              <w:rPr>
                <w:b/>
              </w:rPr>
              <w:t>provided for in the SCC,</w:t>
            </w:r>
            <w:r>
              <w:t xml:space="preserve"> the Contract Price shall be a firm lump sum not subject to any alteration, except in the event of a Change in the System pursuant to GCC Clause 39 or to other clauses in the Contract;</w:t>
            </w:r>
          </w:p>
        </w:tc>
      </w:tr>
      <w:tr w:rsidR="00157AAA" w14:paraId="37B81C9A" w14:textId="77777777">
        <w:tc>
          <w:tcPr>
            <w:tcW w:w="2412" w:type="dxa"/>
          </w:tcPr>
          <w:p w14:paraId="2BC6F13B" w14:textId="77777777" w:rsidR="00157AAA" w:rsidRDefault="00157AAA">
            <w:pPr>
              <w:spacing w:before="120"/>
              <w:jc w:val="left"/>
            </w:pPr>
          </w:p>
        </w:tc>
        <w:tc>
          <w:tcPr>
            <w:tcW w:w="6588" w:type="dxa"/>
          </w:tcPr>
          <w:p w14:paraId="0A2139EE" w14:textId="77777777" w:rsidR="00157AAA" w:rsidRDefault="006C1BE5">
            <w:pPr>
              <w:spacing w:before="120"/>
              <w:ind w:left="793" w:right="-72" w:hanging="793"/>
            </w:pPr>
            <w:r>
              <w:t>11.3</w:t>
            </w:r>
            <w:r>
              <w:tab/>
              <w:t>The Supplier shall be deemed to have satisfied itself as to the correctness and sufficiency of the Contract Price, which shall, except as otherwise provided for in the Contract, cover all its obligations under the Contract.</w:t>
            </w:r>
          </w:p>
        </w:tc>
      </w:tr>
      <w:tr w:rsidR="00157AAA" w14:paraId="5A46DB3C" w14:textId="77777777">
        <w:trPr>
          <w:cantSplit/>
        </w:trPr>
        <w:tc>
          <w:tcPr>
            <w:tcW w:w="2412" w:type="dxa"/>
          </w:tcPr>
          <w:p w14:paraId="2D2E222E" w14:textId="77777777" w:rsidR="00157AAA" w:rsidRDefault="006C1BE5">
            <w:pPr>
              <w:pStyle w:val="Head62"/>
              <w:spacing w:before="120"/>
            </w:pPr>
            <w:bookmarkStart w:id="827" w:name="_Toc277233331"/>
            <w:bookmarkStart w:id="828" w:name="_Toc73977705"/>
            <w:r>
              <w:lastRenderedPageBreak/>
              <w:t>12.</w:t>
            </w:r>
            <w:r>
              <w:tab/>
              <w:t>Terms of Payment</w:t>
            </w:r>
            <w:bookmarkEnd w:id="827"/>
            <w:bookmarkEnd w:id="828"/>
          </w:p>
        </w:tc>
        <w:tc>
          <w:tcPr>
            <w:tcW w:w="6588" w:type="dxa"/>
          </w:tcPr>
          <w:p w14:paraId="5DE1F735" w14:textId="77777777" w:rsidR="00157AAA" w:rsidRDefault="006C1BE5">
            <w:pPr>
              <w:spacing w:before="120"/>
              <w:ind w:left="793" w:right="-72" w:hanging="793"/>
            </w:pPr>
            <w:r>
              <w:t>12.1</w:t>
            </w:r>
            <w:r>
              <w:tab/>
              <w:t xml:space="preserve">The Supplier’s request for payment shall be made to the Purchaser in writing, accompanied by an invoice describing, as appropriate, the System or Subsystem(s), Delivered, Pre-commissioned, Installed, and Operationally Accepted, and by documents submitted pursuant to GCC Clause 22.5 and upon fulfillment of other obligations stipulated in the Contract.  </w:t>
            </w:r>
          </w:p>
          <w:p w14:paraId="40D58472" w14:textId="77777777" w:rsidR="00157AAA" w:rsidRDefault="006C1BE5">
            <w:pPr>
              <w:spacing w:before="120"/>
              <w:ind w:left="547" w:right="-72" w:hanging="547"/>
            </w:pPr>
            <w:r>
              <w:tab/>
              <w:t xml:space="preserve">The Contract Price shall be paid as </w:t>
            </w:r>
            <w:r>
              <w:rPr>
                <w:b/>
              </w:rPr>
              <w:t>specified in the SCC.</w:t>
            </w:r>
          </w:p>
        </w:tc>
      </w:tr>
      <w:tr w:rsidR="00157AAA" w14:paraId="071B1938" w14:textId="77777777">
        <w:tc>
          <w:tcPr>
            <w:tcW w:w="2412" w:type="dxa"/>
          </w:tcPr>
          <w:p w14:paraId="6B55741F" w14:textId="77777777" w:rsidR="00157AAA" w:rsidRDefault="00157AAA">
            <w:pPr>
              <w:spacing w:before="120"/>
              <w:jc w:val="left"/>
            </w:pPr>
          </w:p>
        </w:tc>
        <w:tc>
          <w:tcPr>
            <w:tcW w:w="6588" w:type="dxa"/>
          </w:tcPr>
          <w:p w14:paraId="4854B59C" w14:textId="77777777" w:rsidR="00157AAA" w:rsidRDefault="006C1BE5">
            <w:pPr>
              <w:spacing w:before="120"/>
              <w:ind w:left="793" w:right="-72" w:hanging="793"/>
            </w:pPr>
            <w:r>
              <w:t>12.2</w:t>
            </w:r>
            <w:r>
              <w:tab/>
              <w:t>No payment made by the Purchaser herein shall be deemed to constitute acceptance by the Purchaser of the System or any Subsystem(s).</w:t>
            </w:r>
          </w:p>
          <w:p w14:paraId="74C7EE52" w14:textId="77777777" w:rsidR="00157AAA" w:rsidRDefault="006C1BE5">
            <w:pPr>
              <w:spacing w:before="120"/>
              <w:ind w:left="793" w:right="-72" w:hanging="793"/>
            </w:pPr>
            <w:r>
              <w:t>12.3</w:t>
            </w:r>
            <w:r>
              <w:tab/>
              <w:t xml:space="preserve">Payments shall be made promptly by the Purchaser, but in no case later than </w:t>
            </w:r>
            <w:proofErr w:type="gramStart"/>
            <w:r>
              <w:t>forty five</w:t>
            </w:r>
            <w:proofErr w:type="gramEnd"/>
            <w:r>
              <w:t xml:space="preserve"> (45) days after submission of a valid invoice by the Supplier. </w:t>
            </w:r>
            <w:proofErr w:type="gramStart"/>
            <w:r>
              <w:t>In the event that</w:t>
            </w:r>
            <w:proofErr w:type="gramEnd"/>
            <w:r>
              <w:t xml:space="preserve"> the Purchaser fails to make any payment by its respective due date or within the period set forth in the Contract, the Purchaser shall pay to the Supplier interest on the amount of such delayed payment at the rate(s) </w:t>
            </w:r>
            <w:r>
              <w:rPr>
                <w:b/>
              </w:rPr>
              <w:t>specified in the SCC</w:t>
            </w:r>
            <w:r>
              <w:t xml:space="preserve"> for the period of delay until payment has been made in full, whether before or after judgment or arbitration award.</w:t>
            </w:r>
          </w:p>
          <w:p w14:paraId="350EB906" w14:textId="77777777" w:rsidR="00157AAA" w:rsidRDefault="006C1BE5">
            <w:pPr>
              <w:spacing w:before="120"/>
              <w:ind w:left="793" w:right="-72" w:hanging="793"/>
            </w:pPr>
            <w:r>
              <w:t>12.4</w:t>
            </w:r>
            <w:r>
              <w:tab/>
              <w:t>Payments shall be made in the currency(</w:t>
            </w:r>
            <w:proofErr w:type="spellStart"/>
            <w:r>
              <w:t>ies</w:t>
            </w:r>
            <w:proofErr w:type="spellEnd"/>
            <w:r>
              <w:t xml:space="preserve">) specified in the Contract Agreement, pursuant to GCC Clause 11.  For Goods and Services supplied locally, payments shall be made </w:t>
            </w:r>
            <w:r>
              <w:rPr>
                <w:b/>
              </w:rPr>
              <w:t>as specified in the SCC.</w:t>
            </w:r>
          </w:p>
          <w:p w14:paraId="10DCF120" w14:textId="77777777" w:rsidR="00157AAA" w:rsidRDefault="006C1BE5">
            <w:pPr>
              <w:spacing w:before="120"/>
              <w:ind w:left="793" w:right="-72" w:hanging="793"/>
            </w:pPr>
            <w:r>
              <w:t>12.5</w:t>
            </w:r>
            <w:r>
              <w:tab/>
            </w:r>
            <w:r>
              <w:rPr>
                <w:b/>
              </w:rPr>
              <w:t>Unless otherwise specified in the SCC,</w:t>
            </w:r>
            <w:r>
              <w:t xml:space="preserve"> payment of the foreign currency portion of the Contract Price for Goods supplied from outside the Purchaser’s Country shall be made to the Supplier through an irrevocable letter of credit opened by an authorized bank in the Supplier’s Country and will be payable on presentation of the appropriate documents.  It is agreed that the letter of credit will be subject to Article 10 of the latest revision of </w:t>
            </w:r>
            <w:r>
              <w:rPr>
                <w:i/>
              </w:rPr>
              <w:t>Uniform Customs and Practice for Documentary Credits</w:t>
            </w:r>
            <w:r>
              <w:t>, published by the International Chamber of Commerce, Paris.</w:t>
            </w:r>
          </w:p>
        </w:tc>
      </w:tr>
      <w:tr w:rsidR="00157AAA" w14:paraId="577ADF7F" w14:textId="77777777">
        <w:trPr>
          <w:cantSplit/>
        </w:trPr>
        <w:tc>
          <w:tcPr>
            <w:tcW w:w="2412" w:type="dxa"/>
          </w:tcPr>
          <w:p w14:paraId="35A31C7C" w14:textId="77777777" w:rsidR="00157AAA" w:rsidRDefault="006C1BE5">
            <w:pPr>
              <w:pStyle w:val="Head62"/>
              <w:spacing w:before="120"/>
            </w:pPr>
            <w:bookmarkStart w:id="829" w:name="_Toc277233332"/>
            <w:bookmarkStart w:id="830" w:name="_Toc73977706"/>
            <w:r>
              <w:t>13.</w:t>
            </w:r>
            <w:r>
              <w:tab/>
              <w:t>Securities</w:t>
            </w:r>
            <w:bookmarkEnd w:id="829"/>
            <w:bookmarkEnd w:id="830"/>
          </w:p>
        </w:tc>
        <w:tc>
          <w:tcPr>
            <w:tcW w:w="6588" w:type="dxa"/>
          </w:tcPr>
          <w:p w14:paraId="4D88A227" w14:textId="77777777" w:rsidR="00157AAA" w:rsidRDefault="006C1BE5">
            <w:pPr>
              <w:spacing w:before="120"/>
              <w:ind w:left="793" w:right="-72" w:hanging="793"/>
            </w:pPr>
            <w:r>
              <w:t>13.1</w:t>
            </w:r>
            <w:r>
              <w:tab/>
              <w:t>Issuance of Securities</w:t>
            </w:r>
          </w:p>
          <w:p w14:paraId="0DC19B98" w14:textId="77777777" w:rsidR="00157AAA" w:rsidRDefault="006C1BE5">
            <w:pPr>
              <w:widowControl w:val="0"/>
              <w:spacing w:before="120"/>
              <w:ind w:left="547" w:right="-72"/>
            </w:pPr>
            <w:r>
              <w:t>The Supplier shall provide the securities specified below in favor of the Purchaser at the times and in the amount, manner, and form specified below.</w:t>
            </w:r>
          </w:p>
        </w:tc>
      </w:tr>
      <w:tr w:rsidR="00157AAA" w14:paraId="1C5E87D6" w14:textId="77777777">
        <w:tc>
          <w:tcPr>
            <w:tcW w:w="2412" w:type="dxa"/>
          </w:tcPr>
          <w:p w14:paraId="1FDCFDB4" w14:textId="77777777" w:rsidR="00157AAA" w:rsidRDefault="00157AAA">
            <w:pPr>
              <w:spacing w:before="120"/>
              <w:jc w:val="left"/>
            </w:pPr>
          </w:p>
        </w:tc>
        <w:tc>
          <w:tcPr>
            <w:tcW w:w="6588" w:type="dxa"/>
          </w:tcPr>
          <w:p w14:paraId="7BFDB1D0" w14:textId="77777777" w:rsidR="00157AAA" w:rsidRDefault="006C1BE5">
            <w:pPr>
              <w:spacing w:before="120"/>
              <w:ind w:left="793" w:right="-72" w:hanging="793"/>
            </w:pPr>
            <w:r>
              <w:t>13.2</w:t>
            </w:r>
            <w:r>
              <w:tab/>
              <w:t>Advance Payment Security</w:t>
            </w:r>
          </w:p>
          <w:p w14:paraId="4E9B6715" w14:textId="77777777" w:rsidR="00157AAA" w:rsidRDefault="006C1BE5">
            <w:pPr>
              <w:spacing w:before="120"/>
              <w:ind w:left="1181" w:right="-72" w:hanging="634"/>
            </w:pPr>
            <w:r>
              <w:t>13.2.1</w:t>
            </w:r>
            <w:r>
              <w:tab/>
              <w:t xml:space="preserve">The Supplier shall provide within twenty-eight (28) days of the notification of Contract award an Advance </w:t>
            </w:r>
            <w:r>
              <w:lastRenderedPageBreak/>
              <w:t>Payment Security in the amount and currency of the Advance Payment specified in SCC for GCC Clause 12.1 above and valid until the System is Operationally Accepted.</w:t>
            </w:r>
          </w:p>
          <w:p w14:paraId="3ACE6779" w14:textId="77777777" w:rsidR="00157AAA" w:rsidRDefault="006C1BE5">
            <w:pPr>
              <w:widowControl w:val="0"/>
              <w:spacing w:before="120"/>
              <w:ind w:left="1181" w:right="-72" w:hanging="634"/>
            </w:pPr>
            <w:r>
              <w:t>13.2.2</w:t>
            </w:r>
            <w:r>
              <w:tab/>
              <w:t xml:space="preserve">The security shall be in the form provided in the bidding documents or in another form acceptable to the Purchaser.  The amount of the security shall be reduced in proportion to the value of the System executed by and paid to the Supplier from time to time and shall automatically become null and void when the full amount of the advance payment has been recovered by the Purchaser.  </w:t>
            </w:r>
            <w:r>
              <w:rPr>
                <w:b/>
              </w:rPr>
              <w:t xml:space="preserve">Unless otherwise specified in the SCC, </w:t>
            </w:r>
            <w:r>
              <w:t xml:space="preserve">the reduction in value and expiration of the Advance Payment Security are calculated as follows:  </w:t>
            </w:r>
          </w:p>
          <w:p w14:paraId="1B645471" w14:textId="77777777" w:rsidR="00157AAA" w:rsidRDefault="006C1BE5">
            <w:pPr>
              <w:widowControl w:val="0"/>
              <w:spacing w:before="120"/>
              <w:ind w:left="1181" w:right="-72" w:hanging="634"/>
              <w:rPr>
                <w:b/>
              </w:rPr>
            </w:pPr>
            <w:r>
              <w:tab/>
              <w:t>P*a/(100-a), where “P” is the sum of all payments effected so far to the Supplier (excluding the Advance Payment), and “a” is the Advance Payment expressed as a percentage of the Contract Price pursuant to the SCC for GCC Clause 12.1.</w:t>
            </w:r>
          </w:p>
          <w:p w14:paraId="73083177" w14:textId="77777777" w:rsidR="00157AAA" w:rsidRDefault="006C1BE5">
            <w:pPr>
              <w:widowControl w:val="0"/>
              <w:spacing w:before="120"/>
              <w:ind w:left="1181" w:right="-72" w:hanging="634"/>
            </w:pPr>
            <w:r>
              <w:tab/>
              <w:t xml:space="preserve">The security shall be returned to the Supplier immediately after its expiration. </w:t>
            </w:r>
          </w:p>
        </w:tc>
      </w:tr>
      <w:tr w:rsidR="00157AAA" w14:paraId="56D8A48C" w14:textId="77777777">
        <w:tc>
          <w:tcPr>
            <w:tcW w:w="2412" w:type="dxa"/>
          </w:tcPr>
          <w:p w14:paraId="718DDBE7" w14:textId="77777777" w:rsidR="00157AAA" w:rsidRDefault="00157AAA">
            <w:pPr>
              <w:spacing w:before="120"/>
              <w:jc w:val="left"/>
            </w:pPr>
          </w:p>
        </w:tc>
        <w:tc>
          <w:tcPr>
            <w:tcW w:w="6588" w:type="dxa"/>
          </w:tcPr>
          <w:p w14:paraId="6A3A31D7" w14:textId="77777777" w:rsidR="00157AAA" w:rsidRDefault="006C1BE5">
            <w:pPr>
              <w:spacing w:before="120"/>
              <w:ind w:left="793" w:right="-72" w:hanging="793"/>
            </w:pPr>
            <w:r>
              <w:t>13.3</w:t>
            </w:r>
            <w:r>
              <w:tab/>
              <w:t>Performance Security</w:t>
            </w:r>
          </w:p>
          <w:p w14:paraId="5596E7EF" w14:textId="77777777" w:rsidR="00157AAA" w:rsidRDefault="006C1BE5">
            <w:pPr>
              <w:spacing w:before="120"/>
              <w:ind w:left="1170" w:right="-72" w:hanging="630"/>
            </w:pPr>
            <w:r>
              <w:t>13.3.1</w:t>
            </w:r>
            <w:r>
              <w:tab/>
              <w:t xml:space="preserve">The Supplier shall, within twenty-eight (28) days of the notification of </w:t>
            </w:r>
            <w:proofErr w:type="gramStart"/>
            <w:r>
              <w:t>Contract</w:t>
            </w:r>
            <w:proofErr w:type="gramEnd"/>
            <w:r>
              <w:t xml:space="preserve"> award, provide a security for the due performance of the Contract in the amount and currency </w:t>
            </w:r>
            <w:r>
              <w:rPr>
                <w:b/>
              </w:rPr>
              <w:t>specified in the SCC.</w:t>
            </w:r>
          </w:p>
          <w:p w14:paraId="194CAC12" w14:textId="77777777" w:rsidR="00157AAA" w:rsidRDefault="006C1BE5">
            <w:pPr>
              <w:spacing w:before="120"/>
              <w:ind w:left="1170" w:right="-72" w:hanging="630"/>
            </w:pPr>
            <w:r>
              <w:t>13.3.2</w:t>
            </w:r>
            <w:r>
              <w:tab/>
              <w:t>The security shall be a bank guarantee in the form provided in the Sample Contractual Forms Section of the bidding documents, or it shall be in another form acceptable to the Purchaser.</w:t>
            </w:r>
          </w:p>
          <w:p w14:paraId="2D71E5C3" w14:textId="77777777" w:rsidR="00157AAA" w:rsidRDefault="006C1BE5">
            <w:pPr>
              <w:spacing w:before="120"/>
              <w:ind w:left="1170" w:right="-72" w:hanging="630"/>
            </w:pPr>
            <w:r>
              <w:t>13.3.3</w:t>
            </w:r>
            <w:r>
              <w:tab/>
              <w:t>The security shall automatically become null and void once all the obligations of the Supplier under the Contract have been fulfilled, including, but not limited to, any obligations during the Warranty Period and any extensions to the period. The security shall be returned to the Supplier no later than twenty-eight (28) days after its expiration.</w:t>
            </w:r>
          </w:p>
          <w:p w14:paraId="05883EAA" w14:textId="77777777" w:rsidR="00157AAA" w:rsidRDefault="006C1BE5">
            <w:pPr>
              <w:spacing w:before="120"/>
              <w:ind w:left="1181" w:right="-72" w:hanging="634"/>
            </w:pPr>
            <w:r>
              <w:t>13.3.4</w:t>
            </w:r>
            <w:r>
              <w:tab/>
              <w:t xml:space="preserve">Upon Operational Acceptance of the entire System, the security shall be reduced to the amount </w:t>
            </w:r>
            <w:r>
              <w:rPr>
                <w:b/>
              </w:rPr>
              <w:t xml:space="preserve">specified in the SCC, </w:t>
            </w:r>
            <w:r>
              <w:t>on the date of the Operational Acceptance, so that the reduced security would only cover the remaining warranty obligations of the Supplier.</w:t>
            </w:r>
          </w:p>
        </w:tc>
      </w:tr>
      <w:tr w:rsidR="00157AAA" w14:paraId="58763407" w14:textId="77777777">
        <w:tc>
          <w:tcPr>
            <w:tcW w:w="2412" w:type="dxa"/>
          </w:tcPr>
          <w:p w14:paraId="502D6FD1" w14:textId="77777777" w:rsidR="00157AAA" w:rsidRDefault="006C1BE5">
            <w:pPr>
              <w:pStyle w:val="Head62"/>
              <w:spacing w:before="120"/>
            </w:pPr>
            <w:bookmarkStart w:id="831" w:name="_Toc277233333"/>
            <w:bookmarkStart w:id="832" w:name="_Toc73977707"/>
            <w:r>
              <w:lastRenderedPageBreak/>
              <w:t>14.</w:t>
            </w:r>
            <w:r>
              <w:tab/>
              <w:t>Taxes and Duties</w:t>
            </w:r>
            <w:bookmarkEnd w:id="831"/>
            <w:bookmarkEnd w:id="832"/>
          </w:p>
        </w:tc>
        <w:tc>
          <w:tcPr>
            <w:tcW w:w="6588" w:type="dxa"/>
          </w:tcPr>
          <w:p w14:paraId="7A278069" w14:textId="77777777" w:rsidR="00157AAA" w:rsidRDefault="006C1BE5">
            <w:pPr>
              <w:spacing w:before="120"/>
              <w:ind w:left="793" w:right="-72" w:hanging="793"/>
            </w:pPr>
            <w:r>
              <w:t>14.1</w:t>
            </w:r>
            <w:r>
              <w:tab/>
              <w:t>For Goods or Services supplied from outside the Purchaser’s country, the Supplier shall be entirely responsible for all taxes, stamp duties, license fees, and other such levies imposed outside the Purchaser’s country.  Any duties, such as importation or customs duties, and taxes and other levies, payable in the Purchaser’s country for the supply of Goods and Services from outside the Purchaser’s country are the responsibility of the Purchaser unless these duties or taxes have been made part of the Contract Price in Article 2 of the Contract Agreement and the Price Schedule it refers to, in which case the duties and taxes will be the Supplier’s responsibility.</w:t>
            </w:r>
          </w:p>
        </w:tc>
      </w:tr>
      <w:tr w:rsidR="00157AAA" w14:paraId="504A2CC9" w14:textId="77777777">
        <w:tc>
          <w:tcPr>
            <w:tcW w:w="2412" w:type="dxa"/>
          </w:tcPr>
          <w:p w14:paraId="49B6E25C" w14:textId="77777777" w:rsidR="00157AAA" w:rsidRDefault="00157AAA">
            <w:pPr>
              <w:spacing w:before="120"/>
              <w:jc w:val="left"/>
            </w:pPr>
          </w:p>
        </w:tc>
        <w:tc>
          <w:tcPr>
            <w:tcW w:w="6588" w:type="dxa"/>
          </w:tcPr>
          <w:p w14:paraId="0816B9E5" w14:textId="77777777" w:rsidR="00157AAA" w:rsidRDefault="006C1BE5">
            <w:pPr>
              <w:spacing w:before="120"/>
              <w:ind w:left="793" w:right="-72" w:hanging="793"/>
            </w:pPr>
            <w:r>
              <w:t>14.2</w:t>
            </w:r>
            <w:r>
              <w:tab/>
              <w:t>For Goods or Services supplied locally, the Supplier shall be entirely responsible for all taxes, duties, license fees, etc., incurred until delivery of the contracted Goods or Services to the Purchaser.  The only exception are taxes or duties, such as value-added or sales tax or stamp duty as apply to, or are clearly identifiable, on the invoices and provided they apply in the Purchaser’s country, and only if these taxes, levies and/or duties are also excluded from the Contract Price in Article 2 of the Contract Agreement and the Price Schedule it refers to.</w:t>
            </w:r>
          </w:p>
          <w:p w14:paraId="6AE62AD4" w14:textId="77777777" w:rsidR="00157AAA" w:rsidRDefault="006C1BE5">
            <w:pPr>
              <w:spacing w:before="120"/>
              <w:ind w:left="793" w:right="-72" w:hanging="793"/>
            </w:pPr>
            <w:r>
              <w:t>14.3</w:t>
            </w:r>
            <w:r>
              <w:tab/>
              <w:t xml:space="preserve">If any tax exemptions, reductions, allowances, or privileges may be available to the Supplier in the Purchaser’s Country, the Purchaser shall use its best efforts to enable the Supplier to benefit from any such tax savings to the maximum allowable extent. </w:t>
            </w:r>
          </w:p>
          <w:p w14:paraId="1B060067" w14:textId="77777777" w:rsidR="00157AAA" w:rsidRDefault="006C1BE5">
            <w:pPr>
              <w:spacing w:before="120"/>
              <w:ind w:left="793" w:right="-72" w:hanging="793"/>
            </w:pPr>
            <w:r>
              <w:t>14.4</w:t>
            </w:r>
            <w:r>
              <w:tab/>
              <w:t>For the purpose of the Contract, it is agreed that the Contract Price specified in Article 2 (Contract Price and Terms of Payment) of the Contract Agreement is based on the taxes, duties, levies, and charges prevailing at the date twenty-eight (28) days prior to the date of bid submission in the Purchaser’s Country (also called “Tax” in this GCC Clause 14.4).  If any Tax rates are increased or decreased, a new Tax is introduced, an existing Tax is abolished, or any change in interpretation or application of any Tax occurs in the course of the performance of the Contract, which was or will be assessed on the Supplier, its Subcontractors, or their employees in connection with performance of the Contract, an equitable adjustment to the Contract Price shall be made to fully take into account any such change by addition to or reduction from the Contract Price, as the case may be.</w:t>
            </w:r>
          </w:p>
        </w:tc>
      </w:tr>
    </w:tbl>
    <w:p w14:paraId="48A4EBCB" w14:textId="77777777" w:rsidR="00157AAA" w:rsidRDefault="006C1BE5">
      <w:pPr>
        <w:pStyle w:val="Head61"/>
        <w:spacing w:before="120"/>
      </w:pPr>
      <w:bookmarkStart w:id="833" w:name="_Toc277233334"/>
      <w:bookmarkStart w:id="834" w:name="_Toc73977708"/>
      <w:r>
        <w:lastRenderedPageBreak/>
        <w:t>D.  Intellectual Property</w:t>
      </w:r>
      <w:bookmarkEnd w:id="833"/>
      <w:bookmarkEnd w:id="834"/>
    </w:p>
    <w:tbl>
      <w:tblPr>
        <w:tblW w:w="0" w:type="auto"/>
        <w:tblInd w:w="108" w:type="dxa"/>
        <w:tblLayout w:type="fixed"/>
        <w:tblLook w:val="0000" w:firstRow="0" w:lastRow="0" w:firstColumn="0" w:lastColumn="0" w:noHBand="0" w:noVBand="0"/>
      </w:tblPr>
      <w:tblGrid>
        <w:gridCol w:w="2412"/>
        <w:gridCol w:w="6588"/>
      </w:tblGrid>
      <w:tr w:rsidR="00157AAA" w14:paraId="32F3FB5D" w14:textId="77777777">
        <w:tc>
          <w:tcPr>
            <w:tcW w:w="2412" w:type="dxa"/>
          </w:tcPr>
          <w:p w14:paraId="79F69D3D" w14:textId="77777777" w:rsidR="00157AAA" w:rsidRDefault="006C1BE5">
            <w:pPr>
              <w:pStyle w:val="Head62"/>
              <w:spacing w:before="120"/>
            </w:pPr>
            <w:bookmarkStart w:id="835" w:name="_Toc277233335"/>
            <w:bookmarkStart w:id="836" w:name="_Toc73977709"/>
            <w:r>
              <w:t>15.</w:t>
            </w:r>
            <w:r>
              <w:tab/>
              <w:t>Copyright</w:t>
            </w:r>
            <w:bookmarkEnd w:id="835"/>
            <w:bookmarkEnd w:id="836"/>
          </w:p>
        </w:tc>
        <w:tc>
          <w:tcPr>
            <w:tcW w:w="6588" w:type="dxa"/>
          </w:tcPr>
          <w:p w14:paraId="04FB2CD8" w14:textId="77777777" w:rsidR="00157AAA" w:rsidRDefault="006C1BE5">
            <w:pPr>
              <w:spacing w:before="120"/>
              <w:ind w:left="793" w:right="-72" w:hanging="793"/>
            </w:pPr>
            <w:r>
              <w:t>15.1</w:t>
            </w:r>
            <w:r>
              <w:tab/>
              <w:t>The Intellectual Property Rights in all Standard Software and Standard Materials shall remain vested in the owner of such rights.</w:t>
            </w:r>
          </w:p>
        </w:tc>
      </w:tr>
      <w:tr w:rsidR="00157AAA" w14:paraId="0CF5C540" w14:textId="77777777">
        <w:tc>
          <w:tcPr>
            <w:tcW w:w="2412" w:type="dxa"/>
          </w:tcPr>
          <w:p w14:paraId="54FEEEA8" w14:textId="77777777" w:rsidR="00157AAA" w:rsidRDefault="00157AAA">
            <w:pPr>
              <w:spacing w:before="120"/>
              <w:jc w:val="left"/>
            </w:pPr>
          </w:p>
        </w:tc>
        <w:tc>
          <w:tcPr>
            <w:tcW w:w="6588" w:type="dxa"/>
          </w:tcPr>
          <w:p w14:paraId="531694FF" w14:textId="77777777" w:rsidR="00157AAA" w:rsidRDefault="006C1BE5">
            <w:pPr>
              <w:spacing w:before="120"/>
              <w:ind w:left="793" w:right="-72" w:hanging="793"/>
            </w:pPr>
            <w:r>
              <w:t>15.2</w:t>
            </w:r>
            <w:r>
              <w:tab/>
              <w:t>The Purchaser agrees to restrict use, copying, or duplication of the Standard Software and Standard Materials in accordance with GCC Clause 16, except that additional copies of Standard Materials may be made by the Purchaser for use within the scope of the project of which the System is a part, in the event that the Supplier does not deliver copies within thirty (30) days from receipt of a request for such Standard Materials.</w:t>
            </w:r>
          </w:p>
          <w:p w14:paraId="245EDF0B" w14:textId="77777777" w:rsidR="00157AAA" w:rsidRDefault="006C1BE5">
            <w:pPr>
              <w:spacing w:before="120"/>
              <w:ind w:left="793" w:right="-72" w:hanging="793"/>
            </w:pPr>
            <w:r>
              <w:t>15.3</w:t>
            </w:r>
            <w:r>
              <w:tab/>
              <w:t xml:space="preserve">The Purchaser’s contractual rights to use the Standard Software or elements of the Standard Software may not be assigned, licensed, or otherwise transferred voluntarily except in accordance with the relevant license agreement or </w:t>
            </w:r>
            <w:r>
              <w:rPr>
                <w:b/>
              </w:rPr>
              <w:t xml:space="preserve">unless otherwise specified in the SCC </w:t>
            </w:r>
            <w:r>
              <w:t>to a legally constituted successor organization (e.g., a reorganization of a public entity formally authorized by the government or through a merger or acquisition of a private entity)</w:t>
            </w:r>
            <w:r>
              <w:rPr>
                <w:b/>
              </w:rPr>
              <w:t>.</w:t>
            </w:r>
          </w:p>
          <w:p w14:paraId="669F6BC1" w14:textId="77777777" w:rsidR="00157AAA" w:rsidRDefault="006C1BE5">
            <w:pPr>
              <w:spacing w:before="120"/>
              <w:ind w:left="793" w:right="-72" w:hanging="793"/>
            </w:pPr>
            <w:r>
              <w:t xml:space="preserve">15.4 </w:t>
            </w:r>
            <w:r>
              <w:tab/>
            </w:r>
            <w:r>
              <w:rPr>
                <w:b/>
              </w:rPr>
              <w:t>Unless otherwise specified in the SCC,</w:t>
            </w:r>
            <w:r>
              <w:t xml:space="preserve"> the Intellectual Property Rights in all Custom Software and Custom Materials specified in Appendices 4 and 5 of the Contract Agreement (if any) shall, at the date of this Contract or on creation of the rights (if later than the date of this Contract), vest in the Purchaser. The Supplier shall do and execute or arrange for the doing and executing of each necessary act, document, and thing </w:t>
            </w:r>
            <w:r>
              <w:rPr>
                <w:szCs w:val="24"/>
              </w:rPr>
              <w:t xml:space="preserve">(as legally sufficient) </w:t>
            </w:r>
            <w:r>
              <w:t xml:space="preserve">that the Purchaser may consider necessary or desirable to perfect the right, title, and interest of the Purchaser in and to those rights.  In respect of such Custom Software and Custom Materials, the Supplier shall ensure that the holder of a moral right in such an item does not assert it, and the Supplier shall, if requested to do so by the Purchaser and </w:t>
            </w:r>
            <w:proofErr w:type="gramStart"/>
            <w:r>
              <w:t>where</w:t>
            </w:r>
            <w:proofErr w:type="gramEnd"/>
            <w:r>
              <w:t xml:space="preserve"> permitted by applicable law, ensure that the holder of such a moral right waives it. </w:t>
            </w:r>
          </w:p>
        </w:tc>
      </w:tr>
      <w:tr w:rsidR="00157AAA" w14:paraId="726F1BC1" w14:textId="77777777">
        <w:trPr>
          <w:cantSplit/>
        </w:trPr>
        <w:tc>
          <w:tcPr>
            <w:tcW w:w="2412" w:type="dxa"/>
          </w:tcPr>
          <w:p w14:paraId="4B9CDE93" w14:textId="77777777" w:rsidR="00157AAA" w:rsidRDefault="00157AAA">
            <w:pPr>
              <w:spacing w:before="120"/>
              <w:jc w:val="left"/>
            </w:pPr>
          </w:p>
        </w:tc>
        <w:tc>
          <w:tcPr>
            <w:tcW w:w="6588" w:type="dxa"/>
          </w:tcPr>
          <w:p w14:paraId="5C137B54" w14:textId="77777777" w:rsidR="00157AAA" w:rsidRDefault="006C1BE5">
            <w:pPr>
              <w:spacing w:before="120"/>
              <w:ind w:left="793" w:right="-72" w:hanging="793"/>
            </w:pPr>
            <w:r>
              <w:t>15.5</w:t>
            </w:r>
            <w:r>
              <w:tab/>
            </w:r>
            <w:r>
              <w:rPr>
                <w:b/>
              </w:rPr>
              <w:t>Unless otherwise specified in the SCC</w:t>
            </w:r>
            <w:r>
              <w:t>, escrow arrangements shall NOT be required.</w:t>
            </w:r>
          </w:p>
        </w:tc>
      </w:tr>
      <w:tr w:rsidR="00157AAA" w14:paraId="608FA662" w14:textId="77777777">
        <w:trPr>
          <w:cantSplit/>
        </w:trPr>
        <w:tc>
          <w:tcPr>
            <w:tcW w:w="2412" w:type="dxa"/>
          </w:tcPr>
          <w:p w14:paraId="2B88BDF1" w14:textId="77777777" w:rsidR="00157AAA" w:rsidRDefault="006C1BE5">
            <w:pPr>
              <w:pStyle w:val="Head62"/>
              <w:spacing w:before="120"/>
            </w:pPr>
            <w:bookmarkStart w:id="837" w:name="_Toc277233336"/>
            <w:bookmarkStart w:id="838" w:name="_Toc73977710"/>
            <w:r>
              <w:lastRenderedPageBreak/>
              <w:t>16.</w:t>
            </w:r>
            <w:r>
              <w:tab/>
              <w:t>Software License Agreements</w:t>
            </w:r>
            <w:bookmarkEnd w:id="837"/>
            <w:bookmarkEnd w:id="838"/>
          </w:p>
        </w:tc>
        <w:tc>
          <w:tcPr>
            <w:tcW w:w="6588" w:type="dxa"/>
          </w:tcPr>
          <w:p w14:paraId="37EB7FB9" w14:textId="77777777" w:rsidR="00157AAA" w:rsidRDefault="006C1BE5">
            <w:pPr>
              <w:spacing w:before="120"/>
              <w:ind w:left="793" w:right="-72" w:hanging="793"/>
            </w:pPr>
            <w:r>
              <w:t>16.1</w:t>
            </w:r>
            <w:r>
              <w:tab/>
              <w:t>Except to the extent that the Intellectual Property Rights in the Software vest in the Purchaser, the Supplier hereby grants to the Purchaser license to access and use the Software, including all inventions, designs, and marks embodied in the Software.</w:t>
            </w:r>
          </w:p>
        </w:tc>
      </w:tr>
      <w:tr w:rsidR="00157AAA" w14:paraId="5A807616" w14:textId="77777777">
        <w:tc>
          <w:tcPr>
            <w:tcW w:w="2412" w:type="dxa"/>
          </w:tcPr>
          <w:p w14:paraId="01EEF710" w14:textId="77777777" w:rsidR="00157AAA" w:rsidRDefault="00157AAA">
            <w:pPr>
              <w:spacing w:before="120"/>
              <w:jc w:val="left"/>
            </w:pPr>
          </w:p>
        </w:tc>
        <w:tc>
          <w:tcPr>
            <w:tcW w:w="6588" w:type="dxa"/>
          </w:tcPr>
          <w:p w14:paraId="4788E526" w14:textId="77777777" w:rsidR="00157AAA" w:rsidRDefault="006C1BE5">
            <w:pPr>
              <w:spacing w:before="120"/>
              <w:ind w:left="796" w:right="-72" w:hanging="540"/>
            </w:pPr>
            <w:r>
              <w:tab/>
              <w:t xml:space="preserve">Such license to access and use the Software shall: </w:t>
            </w:r>
          </w:p>
          <w:p w14:paraId="69CBAF75" w14:textId="77777777" w:rsidR="00157AAA" w:rsidRDefault="006C1BE5">
            <w:pPr>
              <w:spacing w:before="120"/>
              <w:ind w:left="1068" w:right="-72" w:hanging="540"/>
            </w:pPr>
            <w:r>
              <w:t>(a)</w:t>
            </w:r>
            <w:r>
              <w:tab/>
              <w:t>be:</w:t>
            </w:r>
          </w:p>
          <w:p w14:paraId="46170561" w14:textId="77777777" w:rsidR="00157AAA" w:rsidRDefault="006C1BE5">
            <w:pPr>
              <w:spacing w:before="120"/>
              <w:ind w:left="1620" w:right="-72" w:hanging="540"/>
            </w:pPr>
            <w:r>
              <w:t>(</w:t>
            </w:r>
            <w:proofErr w:type="spellStart"/>
            <w:r>
              <w:t>i</w:t>
            </w:r>
            <w:proofErr w:type="spellEnd"/>
            <w:r>
              <w:t>)</w:t>
            </w:r>
            <w:r>
              <w:tab/>
            </w:r>
            <w:proofErr w:type="gramStart"/>
            <w:r>
              <w:t>nonexclusive;</w:t>
            </w:r>
            <w:proofErr w:type="gramEnd"/>
          </w:p>
          <w:p w14:paraId="7C3626F6" w14:textId="77777777" w:rsidR="00157AAA" w:rsidRDefault="006C1BE5">
            <w:pPr>
              <w:spacing w:before="120"/>
              <w:ind w:left="1620" w:right="-72" w:hanging="540"/>
            </w:pPr>
            <w:r>
              <w:t>(ii)</w:t>
            </w:r>
            <w:r>
              <w:tab/>
              <w:t>fully paid up and irrevocable (except that it shall terminate if the Contract terminates under GCC Clauses 41.1 or 41.3</w:t>
            </w:r>
            <w:proofErr w:type="gramStart"/>
            <w:r>
              <w:t>);</w:t>
            </w:r>
            <w:proofErr w:type="gramEnd"/>
            <w:r>
              <w:t xml:space="preserve"> </w:t>
            </w:r>
          </w:p>
          <w:p w14:paraId="4481AB92" w14:textId="77777777" w:rsidR="00157AAA" w:rsidRDefault="006C1BE5">
            <w:pPr>
              <w:spacing w:before="120"/>
              <w:ind w:left="1620" w:right="-72" w:hanging="540"/>
            </w:pPr>
            <w:r>
              <w:t>(iii)</w:t>
            </w:r>
            <w:r>
              <w:tab/>
            </w:r>
            <w:r>
              <w:rPr>
                <w:b/>
              </w:rPr>
              <w:t xml:space="preserve">unless otherwise specified in the SCC </w:t>
            </w:r>
            <w:r>
              <w:t xml:space="preserve">valid throughout the territory of the Purchaser’s </w:t>
            </w:r>
            <w:proofErr w:type="gramStart"/>
            <w:r>
              <w:t>Country;</w:t>
            </w:r>
            <w:proofErr w:type="gramEnd"/>
            <w:r>
              <w:t xml:space="preserve"> </w:t>
            </w:r>
          </w:p>
          <w:p w14:paraId="3D9FD1C9" w14:textId="77777777" w:rsidR="00157AAA" w:rsidRDefault="006C1BE5">
            <w:pPr>
              <w:spacing w:before="120"/>
              <w:ind w:left="1620" w:right="-72" w:hanging="540"/>
            </w:pPr>
            <w:r>
              <w:t>(iv)</w:t>
            </w:r>
            <w:r>
              <w:tab/>
            </w:r>
            <w:r>
              <w:rPr>
                <w:b/>
              </w:rPr>
              <w:t xml:space="preserve">unless otherwise specified in the </w:t>
            </w:r>
            <w:proofErr w:type="gramStart"/>
            <w:r>
              <w:rPr>
                <w:b/>
              </w:rPr>
              <w:t xml:space="preserve">SCC  </w:t>
            </w:r>
            <w:r>
              <w:t>subject</w:t>
            </w:r>
            <w:proofErr w:type="gramEnd"/>
            <w:r>
              <w:t xml:space="preserve"> to NO additional restrictions.</w:t>
            </w:r>
          </w:p>
          <w:p w14:paraId="373FEC61" w14:textId="77777777" w:rsidR="00157AAA" w:rsidRDefault="006C1BE5">
            <w:pPr>
              <w:spacing w:before="120"/>
              <w:ind w:left="1080" w:right="-72" w:hanging="540"/>
            </w:pPr>
            <w:r>
              <w:t>(b)</w:t>
            </w:r>
            <w:r>
              <w:tab/>
              <w:t>permit the Software to be:</w:t>
            </w:r>
          </w:p>
          <w:p w14:paraId="2A5C0F58" w14:textId="77777777" w:rsidR="00157AAA" w:rsidRDefault="006C1BE5">
            <w:pPr>
              <w:spacing w:before="120"/>
              <w:ind w:left="1620" w:right="-72" w:hanging="540"/>
            </w:pPr>
            <w:r>
              <w:t>(</w:t>
            </w:r>
            <w:proofErr w:type="spellStart"/>
            <w:r>
              <w:t>i</w:t>
            </w:r>
            <w:proofErr w:type="spellEnd"/>
            <w:r>
              <w:t>)</w:t>
            </w:r>
            <w:r>
              <w:tab/>
              <w:t xml:space="preserve">used or copied for use on or with the computer(s) for which it was acquired (if specified in the Technical Requirements and/or the Supplier’s bid), plus a backup computer(s) of the same or similar capacity, if the primary is(are) inoperative, and during a reasonable transitional period when use is being transferred between primary and </w:t>
            </w:r>
            <w:proofErr w:type="gramStart"/>
            <w:r>
              <w:t>backup;</w:t>
            </w:r>
            <w:proofErr w:type="gramEnd"/>
          </w:p>
          <w:p w14:paraId="28C56F19" w14:textId="77777777" w:rsidR="00157AAA" w:rsidRDefault="006C1BE5">
            <w:pPr>
              <w:spacing w:before="120"/>
              <w:ind w:left="1620" w:right="-72" w:hanging="540"/>
            </w:pPr>
            <w:r>
              <w:t>(ii)</w:t>
            </w:r>
            <w:r>
              <w:tab/>
              <w:t xml:space="preserve">used or copied for use on or transferred to a replacement computer(s), (and use on the original and replacement computer(s) may be simultaneous during a reasonable transitional period) provided that, if the Technical Requirements and/or the Supplier’s bid specifies a class of computer to which the license is restricted, the replacement computer(s) is(are) within that </w:t>
            </w:r>
            <w:proofErr w:type="gramStart"/>
            <w:r>
              <w:t>class;</w:t>
            </w:r>
            <w:proofErr w:type="gramEnd"/>
          </w:p>
          <w:p w14:paraId="3943DA8A" w14:textId="77777777" w:rsidR="00157AAA" w:rsidRDefault="006C1BE5">
            <w:pPr>
              <w:spacing w:before="120"/>
              <w:ind w:left="1620" w:right="-72" w:hanging="540"/>
            </w:pPr>
            <w:r>
              <w:t>(iii)</w:t>
            </w:r>
            <w:r>
              <w:tab/>
              <w:t xml:space="preserve">if the nature of the System is such as to permit such access, accessed from other computers connected to the primary and/or backup computer(s) by means of a local or wide-area network or similar arrangement, and used on or copied for use on those other computers to the extent necessary to that </w:t>
            </w:r>
            <w:proofErr w:type="gramStart"/>
            <w:r>
              <w:t>access;</w:t>
            </w:r>
            <w:proofErr w:type="gramEnd"/>
          </w:p>
          <w:p w14:paraId="7B23AC68" w14:textId="77777777" w:rsidR="00157AAA" w:rsidRDefault="006C1BE5">
            <w:pPr>
              <w:spacing w:before="120"/>
              <w:ind w:left="1620" w:right="-72" w:hanging="540"/>
            </w:pPr>
            <w:r>
              <w:lastRenderedPageBreak/>
              <w:t>(iv)</w:t>
            </w:r>
            <w:r>
              <w:tab/>
              <w:t xml:space="preserve">reproduced for safekeeping or backup </w:t>
            </w:r>
            <w:proofErr w:type="gramStart"/>
            <w:r>
              <w:t>purposes;</w:t>
            </w:r>
            <w:proofErr w:type="gramEnd"/>
          </w:p>
          <w:p w14:paraId="229A0E8A" w14:textId="77777777" w:rsidR="00157AAA" w:rsidRDefault="006C1BE5">
            <w:pPr>
              <w:spacing w:before="120"/>
              <w:ind w:left="1620" w:right="-72" w:hanging="540"/>
            </w:pPr>
            <w:r>
              <w:t>(v)</w:t>
            </w:r>
            <w:r>
              <w:tab/>
              <w:t xml:space="preserve">customized, adapted, or combined with other computer software for use by the Purchaser, provided that derivative software incorporating any substantial part of the delivered, restricted Software shall be subject to same restrictions as are set forth in this </w:t>
            </w:r>
            <w:proofErr w:type="gramStart"/>
            <w:r>
              <w:t>Contract;</w:t>
            </w:r>
            <w:proofErr w:type="gramEnd"/>
          </w:p>
          <w:p w14:paraId="0B2C883F" w14:textId="77777777" w:rsidR="00157AAA" w:rsidRDefault="006C1BE5">
            <w:pPr>
              <w:spacing w:before="120"/>
              <w:ind w:left="1627" w:right="-72" w:hanging="547"/>
            </w:pPr>
            <w:r>
              <w:t>(vi)</w:t>
            </w:r>
            <w:r>
              <w:tab/>
            </w:r>
            <w:r>
              <w:rPr>
                <w:b/>
              </w:rPr>
              <w:t>unless otherwise specified in the SCC,</w:t>
            </w:r>
            <w:r>
              <w:t xml:space="preserve"> disclosed to, and reproduced for use by, support service suppliers and their subcontractors, to the extent reasonably necessary to the performance of their support service contracts, subject to the same restrictions as are set forth in this Contract; and</w:t>
            </w:r>
          </w:p>
          <w:p w14:paraId="467390A2" w14:textId="77777777" w:rsidR="00157AAA" w:rsidRDefault="006C1BE5">
            <w:pPr>
              <w:spacing w:before="120"/>
              <w:ind w:left="1620" w:right="-72" w:hanging="540"/>
            </w:pPr>
            <w:r>
              <w:t>(vii)</w:t>
            </w:r>
            <w:r>
              <w:tab/>
            </w:r>
            <w:r>
              <w:rPr>
                <w:b/>
              </w:rPr>
              <w:t xml:space="preserve">unless otherwise specified in the SCC </w:t>
            </w:r>
            <w:r>
              <w:t xml:space="preserve">disclosed to, and reproduced for use by, NO other parties.  </w:t>
            </w:r>
          </w:p>
        </w:tc>
      </w:tr>
      <w:tr w:rsidR="00157AAA" w14:paraId="0E1345A9" w14:textId="77777777">
        <w:tc>
          <w:tcPr>
            <w:tcW w:w="2412" w:type="dxa"/>
          </w:tcPr>
          <w:p w14:paraId="0D3EFEAA" w14:textId="77777777" w:rsidR="00157AAA" w:rsidRDefault="00157AAA">
            <w:pPr>
              <w:spacing w:before="120"/>
              <w:jc w:val="left"/>
            </w:pPr>
          </w:p>
        </w:tc>
        <w:tc>
          <w:tcPr>
            <w:tcW w:w="6588" w:type="dxa"/>
          </w:tcPr>
          <w:p w14:paraId="44BC7CF9" w14:textId="77777777" w:rsidR="00157AAA" w:rsidRDefault="006C1BE5">
            <w:pPr>
              <w:spacing w:before="120"/>
              <w:ind w:left="793" w:right="-72" w:hanging="793"/>
            </w:pPr>
            <w:r>
              <w:t>16.2</w:t>
            </w:r>
            <w:r>
              <w:tab/>
              <w:t xml:space="preserve">The Supplier has the right to audit the Standard Software to verify compliance with the above license agreements.  </w:t>
            </w:r>
            <w:r>
              <w:rPr>
                <w:b/>
              </w:rPr>
              <w:t>Unless otherwise specified in the SCC</w:t>
            </w:r>
            <w:r>
              <w:t>, the Purchaser will make available to the Supplier, within seven (7) days of a written request, accurate and up-to-date records of the number and location of copies, the number of authorized users, or any other relevant data required to demonstrate use of the Standard Software as per the license agreement.  If and only if, expressly agreed in writing between the Purchaser and the Supplier, Purchaser will allow, under a pre-specified agreed procedure, the execution of embedded software functions under Supplier’s control, and unencumbered transmission of resulting information on software usage.</w:t>
            </w:r>
          </w:p>
        </w:tc>
      </w:tr>
      <w:tr w:rsidR="00157AAA" w14:paraId="13B8E4A8" w14:textId="77777777">
        <w:trPr>
          <w:cantSplit/>
        </w:trPr>
        <w:tc>
          <w:tcPr>
            <w:tcW w:w="2412" w:type="dxa"/>
          </w:tcPr>
          <w:p w14:paraId="146418C6" w14:textId="77777777" w:rsidR="00157AAA" w:rsidRDefault="006C1BE5">
            <w:pPr>
              <w:pStyle w:val="Head62"/>
              <w:spacing w:before="120"/>
            </w:pPr>
            <w:bookmarkStart w:id="839" w:name="_Toc277233337"/>
            <w:bookmarkStart w:id="840" w:name="_Toc73977711"/>
            <w:r>
              <w:t>17.</w:t>
            </w:r>
            <w:r>
              <w:tab/>
              <w:t>Confidential Information</w:t>
            </w:r>
            <w:bookmarkEnd w:id="839"/>
            <w:bookmarkEnd w:id="840"/>
          </w:p>
        </w:tc>
        <w:tc>
          <w:tcPr>
            <w:tcW w:w="6588" w:type="dxa"/>
          </w:tcPr>
          <w:p w14:paraId="5F171621" w14:textId="77777777" w:rsidR="00157AAA" w:rsidRDefault="006C1BE5">
            <w:pPr>
              <w:spacing w:before="120"/>
              <w:ind w:left="793" w:right="-72" w:hanging="793"/>
            </w:pPr>
            <w:r>
              <w:t>17.1</w:t>
            </w:r>
            <w:r>
              <w:tab/>
            </w:r>
            <w:r>
              <w:rPr>
                <w:b/>
              </w:rPr>
              <w:t>Unless otherwise specified in the SCC,</w:t>
            </w:r>
            <w:r>
              <w:t xml:space="preserve"> the "Receiving Party" (either the Purchaser or the Supplier) shall keep confidential and shall not, without the written consent of the other party to this Contract (“the Disclosing Party”), divulge to any third party any documents, data, or other information of a confidential nature (“Confidential Information”) connected with this Contract, and furnished directly or indirectly by the Disclosing Party prior to or during performance, or following termination, of this Contract.</w:t>
            </w:r>
          </w:p>
        </w:tc>
      </w:tr>
      <w:tr w:rsidR="00157AAA" w14:paraId="42936429" w14:textId="77777777">
        <w:tc>
          <w:tcPr>
            <w:tcW w:w="2412" w:type="dxa"/>
          </w:tcPr>
          <w:p w14:paraId="3728AD64" w14:textId="77777777" w:rsidR="00157AAA" w:rsidRDefault="00157AAA">
            <w:pPr>
              <w:spacing w:before="120"/>
              <w:jc w:val="left"/>
            </w:pPr>
          </w:p>
        </w:tc>
        <w:tc>
          <w:tcPr>
            <w:tcW w:w="6588" w:type="dxa"/>
          </w:tcPr>
          <w:p w14:paraId="2E909D30" w14:textId="77777777" w:rsidR="00157AAA" w:rsidRDefault="006C1BE5">
            <w:pPr>
              <w:spacing w:before="120"/>
              <w:ind w:left="793" w:right="-72" w:hanging="793"/>
            </w:pPr>
            <w:r>
              <w:t>17.2</w:t>
            </w:r>
            <w:r>
              <w:tab/>
              <w:t xml:space="preserve">For the purposes of GCC Clause 17.1, the Supplier is also deemed to be the Receiving Party of Confidential Information generated by the Supplier itself </w:t>
            </w:r>
            <w:proofErr w:type="gramStart"/>
            <w:r>
              <w:t xml:space="preserve">in the course </w:t>
            </w:r>
            <w:r>
              <w:lastRenderedPageBreak/>
              <w:t>of</w:t>
            </w:r>
            <w:proofErr w:type="gramEnd"/>
            <w:r>
              <w:t xml:space="preserve"> the performance of its obligations under the Contract and relating to the businesses, finances, suppliers, employees, or other contacts of the Purchaser or the Purchaser’s use of the System.</w:t>
            </w:r>
          </w:p>
          <w:p w14:paraId="7CEAF554" w14:textId="77777777" w:rsidR="00157AAA" w:rsidRDefault="006C1BE5">
            <w:pPr>
              <w:spacing w:before="120"/>
              <w:ind w:left="793" w:right="-72" w:hanging="793"/>
            </w:pPr>
            <w:r>
              <w:t>17.3</w:t>
            </w:r>
            <w:r>
              <w:tab/>
              <w:t>Notwithstanding GCC Clauses 17.1 and 17.2:</w:t>
            </w:r>
          </w:p>
          <w:p w14:paraId="5CD28EE0" w14:textId="77777777" w:rsidR="00157AAA" w:rsidRDefault="006C1BE5">
            <w:pPr>
              <w:spacing w:before="120"/>
              <w:ind w:left="1426" w:right="-72" w:hanging="547"/>
            </w:pPr>
            <w:r>
              <w:t>(a)</w:t>
            </w:r>
            <w:r>
              <w:tab/>
              <w:t>the Supplier may furnish to its Subcontractor Confidential Information of the Purchaser to the extent reasonably required for the Subcontractor to perform its work under the Contract; and</w:t>
            </w:r>
          </w:p>
          <w:p w14:paraId="14C00EDB" w14:textId="77777777" w:rsidR="00157AAA" w:rsidRDefault="006C1BE5">
            <w:pPr>
              <w:spacing w:before="120"/>
              <w:ind w:left="1426" w:right="-72" w:hanging="540"/>
            </w:pPr>
            <w:r>
              <w:t>(b)</w:t>
            </w:r>
            <w:r>
              <w:tab/>
              <w:t>the Purchaser may furnish Confidential Information of the Supplier: (</w:t>
            </w:r>
            <w:proofErr w:type="spellStart"/>
            <w:r>
              <w:t>i</w:t>
            </w:r>
            <w:proofErr w:type="spellEnd"/>
            <w:r>
              <w:t>) to its support service suppliers and their subcontractors to the extent reasonably required for them to perform their work under their support service contracts; and (ii) to its affiliates and subsidiaries,</w:t>
            </w:r>
          </w:p>
          <w:p w14:paraId="2706951E" w14:textId="77777777" w:rsidR="00157AAA" w:rsidRDefault="006C1BE5">
            <w:pPr>
              <w:spacing w:before="120"/>
              <w:ind w:left="796" w:right="-72"/>
            </w:pPr>
            <w:r>
              <w:t>in which event the Receiving Party shall ensure that the person to whom it furnishes Confidential Information of the Disclosing Party is aware of and abides by the Receiving Party’s obligations under this GCC Clause 17 as if that person were party to the Contract in place of the Receiving Party.</w:t>
            </w:r>
          </w:p>
        </w:tc>
      </w:tr>
      <w:tr w:rsidR="00157AAA" w14:paraId="71227E96" w14:textId="77777777">
        <w:tc>
          <w:tcPr>
            <w:tcW w:w="2412" w:type="dxa"/>
          </w:tcPr>
          <w:p w14:paraId="2B763E94" w14:textId="77777777" w:rsidR="00157AAA" w:rsidRDefault="00157AAA">
            <w:pPr>
              <w:spacing w:before="120"/>
              <w:jc w:val="left"/>
            </w:pPr>
          </w:p>
        </w:tc>
        <w:tc>
          <w:tcPr>
            <w:tcW w:w="6588" w:type="dxa"/>
          </w:tcPr>
          <w:p w14:paraId="724B8AC1" w14:textId="77777777" w:rsidR="00157AAA" w:rsidRDefault="006C1BE5">
            <w:pPr>
              <w:spacing w:before="120"/>
              <w:ind w:left="793" w:right="-72" w:hanging="793"/>
            </w:pPr>
            <w:r>
              <w:t>17.4</w:t>
            </w:r>
            <w:r>
              <w:tab/>
              <w:t xml:space="preserve">The Purchaser shall not, without the Supplier’s prior written consent, use any Confidential Information received from the Supplier for any purpose other than the operation, </w:t>
            </w:r>
            <w:proofErr w:type="gramStart"/>
            <w:r>
              <w:t>maintenance</w:t>
            </w:r>
            <w:proofErr w:type="gramEnd"/>
            <w:r>
              <w:t xml:space="preserve"> and further development of the System.  Similarly, the Supplier shall not, without the Purchaser’s prior written consent, use any Confidential Information received from the Purchaser for any purpose other than those that are required for the performance of the Contract.  </w:t>
            </w:r>
          </w:p>
          <w:p w14:paraId="571709E5" w14:textId="77777777" w:rsidR="00157AAA" w:rsidRDefault="006C1BE5">
            <w:pPr>
              <w:spacing w:before="120"/>
              <w:ind w:left="793" w:right="-72" w:hanging="793"/>
            </w:pPr>
            <w:r>
              <w:t>17.5</w:t>
            </w:r>
            <w:r>
              <w:tab/>
              <w:t>The obligation of a party under GCC Clauses 17.1 through 17.4 above, however, shall not apply to that information which:</w:t>
            </w:r>
          </w:p>
          <w:p w14:paraId="29E372BB" w14:textId="77777777" w:rsidR="00157AAA" w:rsidRDefault="006C1BE5">
            <w:pPr>
              <w:spacing w:before="120"/>
              <w:ind w:left="1336" w:right="-72" w:hanging="536"/>
            </w:pPr>
            <w:r>
              <w:t>(a)</w:t>
            </w:r>
            <w:r>
              <w:tab/>
              <w:t xml:space="preserve">now or hereafter enters the public domain through no fault of the Receiving </w:t>
            </w:r>
            <w:proofErr w:type="gramStart"/>
            <w:r>
              <w:t>Party;</w:t>
            </w:r>
            <w:proofErr w:type="gramEnd"/>
          </w:p>
          <w:p w14:paraId="15B52FED" w14:textId="77777777" w:rsidR="00157AAA" w:rsidRDefault="006C1BE5">
            <w:pPr>
              <w:spacing w:before="120"/>
              <w:ind w:left="1336" w:right="-72" w:hanging="536"/>
            </w:pPr>
            <w:r>
              <w:t>(b)</w:t>
            </w:r>
            <w:r>
              <w:tab/>
              <w:t xml:space="preserve">can be proven to have been possessed by the Receiving Party at the time of disclosure and that was not previously obtained, directly or indirectly, from the Disclosing </w:t>
            </w:r>
            <w:proofErr w:type="gramStart"/>
            <w:r>
              <w:t>Party;</w:t>
            </w:r>
            <w:proofErr w:type="gramEnd"/>
          </w:p>
          <w:p w14:paraId="62FC4F38" w14:textId="77777777" w:rsidR="00157AAA" w:rsidRDefault="006C1BE5">
            <w:pPr>
              <w:spacing w:before="120"/>
              <w:ind w:left="1336" w:right="-72" w:hanging="536"/>
            </w:pPr>
            <w:r>
              <w:t>(c)</w:t>
            </w:r>
            <w:r>
              <w:tab/>
              <w:t xml:space="preserve">otherwise lawfully becomes available to the Receiving Party from a third party that has no obligation of </w:t>
            </w:r>
            <w:proofErr w:type="gramStart"/>
            <w:r>
              <w:t>confidentiality;</w:t>
            </w:r>
            <w:proofErr w:type="gramEnd"/>
          </w:p>
          <w:p w14:paraId="0477F30F" w14:textId="77777777" w:rsidR="00157AAA" w:rsidRDefault="006C1BE5">
            <w:pPr>
              <w:spacing w:before="120"/>
              <w:ind w:left="1336" w:right="-72" w:hanging="536"/>
            </w:pPr>
            <w:r>
              <w:lastRenderedPageBreak/>
              <w:t>(d)    is being provided to the Bank.</w:t>
            </w:r>
          </w:p>
          <w:p w14:paraId="08B44684" w14:textId="77777777" w:rsidR="00157AAA" w:rsidRDefault="006C1BE5">
            <w:pPr>
              <w:spacing w:before="120"/>
              <w:ind w:left="793" w:right="-72" w:hanging="793"/>
            </w:pPr>
            <w:r>
              <w:t>17.6</w:t>
            </w:r>
            <w:r>
              <w:tab/>
              <w:t>The above provisions of this GCC Clause 17 shall not in any way modify any undertaking of confidentiality given by either of the parties to this Contract prior to the date of the Contract in respect of the System or any part thereof.</w:t>
            </w:r>
          </w:p>
          <w:p w14:paraId="0701F50C" w14:textId="77777777" w:rsidR="00157AAA" w:rsidRDefault="006C1BE5">
            <w:pPr>
              <w:spacing w:before="120"/>
              <w:ind w:left="793" w:right="-72" w:hanging="793"/>
            </w:pPr>
            <w:r>
              <w:t>17.7</w:t>
            </w:r>
            <w:r>
              <w:tab/>
            </w:r>
            <w:r>
              <w:rPr>
                <w:b/>
              </w:rPr>
              <w:t>Unless otherwise specified in the SCC</w:t>
            </w:r>
            <w:r>
              <w:t>, the provisions of this GCC Clause 17 shall survive the termination, for whatever reason, of the Contract for three (3) years.</w:t>
            </w:r>
          </w:p>
        </w:tc>
      </w:tr>
    </w:tbl>
    <w:p w14:paraId="535F274B" w14:textId="77777777" w:rsidR="00157AAA" w:rsidRDefault="006C1BE5">
      <w:pPr>
        <w:pStyle w:val="Head61"/>
        <w:spacing w:before="120"/>
      </w:pPr>
      <w:bookmarkStart w:id="841" w:name="_Toc277233338"/>
      <w:bookmarkStart w:id="842" w:name="_Toc73977712"/>
      <w:r>
        <w:lastRenderedPageBreak/>
        <w:t>E.  Supply, Installation, Testing,</w:t>
      </w:r>
      <w:r>
        <w:br/>
        <w:t>Commissioning, and Acceptance of the System</w:t>
      </w:r>
      <w:bookmarkEnd w:id="841"/>
      <w:bookmarkEnd w:id="842"/>
    </w:p>
    <w:tbl>
      <w:tblPr>
        <w:tblW w:w="0" w:type="auto"/>
        <w:tblInd w:w="108" w:type="dxa"/>
        <w:tblLayout w:type="fixed"/>
        <w:tblLook w:val="0000" w:firstRow="0" w:lastRow="0" w:firstColumn="0" w:lastColumn="0" w:noHBand="0" w:noVBand="0"/>
      </w:tblPr>
      <w:tblGrid>
        <w:gridCol w:w="2412"/>
        <w:gridCol w:w="6588"/>
      </w:tblGrid>
      <w:tr w:rsidR="00157AAA" w14:paraId="5C628BED" w14:textId="77777777">
        <w:tc>
          <w:tcPr>
            <w:tcW w:w="2412" w:type="dxa"/>
          </w:tcPr>
          <w:p w14:paraId="04734A2E" w14:textId="77777777" w:rsidR="00157AAA" w:rsidRDefault="006C1BE5">
            <w:pPr>
              <w:pStyle w:val="Head62"/>
              <w:spacing w:before="120"/>
            </w:pPr>
            <w:bookmarkStart w:id="843" w:name="_Toc277233339"/>
            <w:bookmarkStart w:id="844" w:name="_Toc73977713"/>
            <w:r>
              <w:t>18.</w:t>
            </w:r>
            <w:r>
              <w:tab/>
              <w:t>Representatives</w:t>
            </w:r>
            <w:bookmarkEnd w:id="843"/>
            <w:bookmarkEnd w:id="844"/>
          </w:p>
        </w:tc>
        <w:tc>
          <w:tcPr>
            <w:tcW w:w="6588" w:type="dxa"/>
          </w:tcPr>
          <w:p w14:paraId="55F189B2" w14:textId="77777777" w:rsidR="00157AAA" w:rsidRDefault="006C1BE5">
            <w:pPr>
              <w:spacing w:before="120"/>
              <w:ind w:left="793" w:right="-72" w:hanging="793"/>
            </w:pPr>
            <w:r>
              <w:t>18.1</w:t>
            </w:r>
            <w:r>
              <w:tab/>
              <w:t>Project Manager</w:t>
            </w:r>
          </w:p>
          <w:p w14:paraId="2E3C5A57" w14:textId="77777777" w:rsidR="00157AAA" w:rsidRDefault="006C1BE5">
            <w:pPr>
              <w:keepNext/>
              <w:spacing w:before="120"/>
              <w:ind w:left="796" w:right="-72"/>
            </w:pPr>
            <w:r>
              <w:t xml:space="preserve">If the Project Manager is not named in the Contract, then within fourteen (14) days of the Effective Date, the Purchaser shall appoint and notify the Supplier in writing of the name of the Project Manager.  The Purchaser may from time to time appoint some other person as the Project Manager in place of the person previously so appointed and shall give </w:t>
            </w:r>
            <w:proofErr w:type="gramStart"/>
            <w:r>
              <w:t>a notice</w:t>
            </w:r>
            <w:proofErr w:type="gramEnd"/>
            <w:r>
              <w:t xml:space="preserve"> of the name of such other person to the Supplier without delay.  No such appointment </w:t>
            </w:r>
            <w:proofErr w:type="gramStart"/>
            <w:r>
              <w:t>shall</w:t>
            </w:r>
            <w:proofErr w:type="gramEnd"/>
            <w:r>
              <w:t xml:space="preserve"> be made at such a time or in such a manner as to impede the progress of work on the System.  Such appointment shall take effect only upon receipt of such notice by the Supplier. </w:t>
            </w:r>
            <w:r>
              <w:rPr>
                <w:b/>
              </w:rPr>
              <w:t>Unless otherwise specified in the SCC</w:t>
            </w:r>
            <w:r>
              <w:t xml:space="preserve"> (if any), the Project Manager shall have the authority to represent the Purchaser on all day-to-day matters relating to the System or arising from the </w:t>
            </w:r>
            <w:proofErr w:type="gramStart"/>
            <w:r>
              <w:t>Contract, and</w:t>
            </w:r>
            <w:proofErr w:type="gramEnd"/>
            <w:r>
              <w:t xml:space="preserve"> shall normally be the person giving or receiving notices on behalf of the Purchaser pursuant to GCC Clause 4.</w:t>
            </w:r>
          </w:p>
        </w:tc>
      </w:tr>
      <w:tr w:rsidR="00157AAA" w14:paraId="0522D096" w14:textId="77777777">
        <w:tc>
          <w:tcPr>
            <w:tcW w:w="2412" w:type="dxa"/>
          </w:tcPr>
          <w:p w14:paraId="4B9EF883" w14:textId="77777777" w:rsidR="00157AAA" w:rsidRDefault="00157AAA">
            <w:pPr>
              <w:spacing w:before="120"/>
              <w:jc w:val="left"/>
            </w:pPr>
          </w:p>
        </w:tc>
        <w:tc>
          <w:tcPr>
            <w:tcW w:w="6588" w:type="dxa"/>
          </w:tcPr>
          <w:p w14:paraId="2CB08545" w14:textId="77777777" w:rsidR="00157AAA" w:rsidRDefault="006C1BE5">
            <w:pPr>
              <w:spacing w:before="120"/>
              <w:ind w:left="793" w:right="-72" w:hanging="793"/>
            </w:pPr>
            <w:r>
              <w:t>18.2</w:t>
            </w:r>
            <w:r>
              <w:tab/>
              <w:t>Supplier’s Representative</w:t>
            </w:r>
          </w:p>
          <w:p w14:paraId="0AF56D14" w14:textId="77777777" w:rsidR="00157AAA" w:rsidRDefault="006C1BE5">
            <w:pPr>
              <w:spacing w:before="120"/>
              <w:ind w:left="1170" w:right="-72" w:hanging="630"/>
            </w:pPr>
            <w:r>
              <w:t>18.2.1</w:t>
            </w:r>
            <w:r>
              <w:tab/>
              <w:t xml:space="preserve">If the Supplier’s Representative is not named in the Contract, then within fourteen (14) days of the Effective Date, the Supplier shall appoint the Supplier’s Representative and shall request the Purchaser in writing to approve the person so appointed.  The request must be accompanied by a detailed curriculum vitae for the nominee, as well as a description of any other System or non-System responsibilities the nominee would retain while performing the duties of the Supplier’s Representative.  If the Purchaser does not object to the appointment within fourteen (14) days, the Supplier’s Representative shall be deemed to have been </w:t>
            </w:r>
            <w:r>
              <w:lastRenderedPageBreak/>
              <w:t xml:space="preserve">approved.  If the Purchaser objects to the appointment within fourteen (14) days giving the reason </w:t>
            </w:r>
            <w:proofErr w:type="gramStart"/>
            <w:r>
              <w:t>therefor</w:t>
            </w:r>
            <w:proofErr w:type="gramEnd"/>
            <w:r>
              <w:t>, then the Supplier shall appoint a replacement within fourteen (14) days of such objection in accordance with this GCC Clause 18.2.1.</w:t>
            </w:r>
          </w:p>
          <w:p w14:paraId="046656E9" w14:textId="77777777" w:rsidR="00157AAA" w:rsidRDefault="006C1BE5">
            <w:pPr>
              <w:spacing w:before="120"/>
              <w:ind w:left="1170" w:right="-72" w:hanging="630"/>
            </w:pPr>
            <w:r>
              <w:t>18.2.2</w:t>
            </w:r>
            <w:r>
              <w:tab/>
            </w:r>
            <w:r>
              <w:rPr>
                <w:b/>
              </w:rPr>
              <w:t>Unless otherwise specified in the SCC</w:t>
            </w:r>
            <w:r>
              <w:t xml:space="preserve"> (if any), the Supplier’s Representative shall have the authority to represent the Supplier on all day-to-day matters relating to the System or arising from the </w:t>
            </w:r>
            <w:proofErr w:type="gramStart"/>
            <w:r>
              <w:t>Contract, and</w:t>
            </w:r>
            <w:proofErr w:type="gramEnd"/>
            <w:r>
              <w:t xml:space="preserve"> shall normally be the person giving or receiving notices on behalf of the Supplier pursuant to GCC Clause 4.</w:t>
            </w:r>
          </w:p>
          <w:p w14:paraId="6520D66C" w14:textId="77777777" w:rsidR="00157AAA" w:rsidRDefault="006C1BE5">
            <w:pPr>
              <w:spacing w:before="120"/>
              <w:ind w:left="1170" w:right="-72" w:hanging="630"/>
            </w:pPr>
            <w:r>
              <w:t>18.2.3</w:t>
            </w:r>
            <w:r>
              <w:tab/>
              <w:t>The Supplier shall not revoke the appointment of the Supplier’s Representative without the Purchaser’s prior written consent, which shall not be unreasonably withheld.  If the Purchaser consents to such an action, the Supplier shall appoint another person of equal or superior qualifications as the Supplier’s Representative, pursuant to the procedure set out in GCC Clause 18.2.1.</w:t>
            </w:r>
          </w:p>
          <w:p w14:paraId="37CEECC3" w14:textId="77777777" w:rsidR="00157AAA" w:rsidRDefault="006C1BE5">
            <w:pPr>
              <w:spacing w:before="120"/>
              <w:ind w:left="1170" w:right="-72" w:hanging="630"/>
            </w:pPr>
            <w:r>
              <w:t>18.2.4</w:t>
            </w:r>
            <w:r>
              <w:tab/>
              <w:t>The Supplier’s Representative and staff are obliged to work closely with the Purchaser’s Project Manager and staff, act within their own authority, and abide by directives issued by the Purchaser that are consistent with the terms of the Contract.  The Supplier’s Representative is responsible for managing the activities of the Supplier’s Personnel.</w:t>
            </w:r>
          </w:p>
          <w:p w14:paraId="185DD487" w14:textId="77777777" w:rsidR="00157AAA" w:rsidRDefault="006C1BE5">
            <w:pPr>
              <w:spacing w:before="120"/>
              <w:ind w:left="1170" w:right="-72" w:hanging="630"/>
            </w:pPr>
            <w:r>
              <w:t>18.2.5</w:t>
            </w:r>
            <w:r>
              <w:tab/>
              <w:t xml:space="preserve">The Supplier’s Representative may, subject to the approval of the Purchaser (which shall not be unreasonably withheld), at any time delegate to any person any of the powers, functions, and authorities vested in him or her.  Any such delegation may be revoked at any time.  Any such delegation or revocation shall be subject to </w:t>
            </w:r>
            <w:proofErr w:type="gramStart"/>
            <w:r>
              <w:t>a prior</w:t>
            </w:r>
            <w:proofErr w:type="gramEnd"/>
            <w:r>
              <w:t xml:space="preserve"> notice signed by the Supplier’s Representative and shall specify the powers, functions, and authorities thereby delegated or revoked.  No such delegation or revocation shall take effect unless and until the notice of it has been delivered.  </w:t>
            </w:r>
          </w:p>
          <w:p w14:paraId="62AEF0CB" w14:textId="77777777" w:rsidR="00157AAA" w:rsidRDefault="006C1BE5">
            <w:pPr>
              <w:spacing w:before="120"/>
              <w:ind w:left="1170" w:right="-72" w:hanging="630"/>
            </w:pPr>
            <w:r>
              <w:t>18.2.6</w:t>
            </w:r>
            <w:r>
              <w:tab/>
              <w:t>Any act or exercise by any person of powers, functions and authorities so delegated to him or her in accordance with GCC Clause 18.2.5 shall be deemed to be an act or exercise by the Supplier’s Representative.</w:t>
            </w:r>
          </w:p>
          <w:p w14:paraId="6C588CF6" w14:textId="77777777" w:rsidR="00157AAA" w:rsidRDefault="006C1BE5">
            <w:pPr>
              <w:spacing w:before="120"/>
              <w:ind w:left="793" w:right="-72" w:hanging="793"/>
            </w:pPr>
            <w:r>
              <w:t>18.3</w:t>
            </w:r>
            <w:r>
              <w:tab/>
              <w:t>Removal of Supplier’s Personnel</w:t>
            </w:r>
          </w:p>
          <w:p w14:paraId="1C24A4D1" w14:textId="77777777" w:rsidR="00157AAA" w:rsidRDefault="006C1BE5">
            <w:pPr>
              <w:spacing w:before="120"/>
              <w:ind w:left="1170" w:right="-72" w:hanging="630"/>
              <w:rPr>
                <w:rFonts w:eastAsia="Arial Narrow"/>
                <w:color w:val="000000"/>
              </w:rPr>
            </w:pPr>
            <w:r>
              <w:lastRenderedPageBreak/>
              <w:t>18.3.1</w:t>
            </w:r>
            <w:r>
              <w:tab/>
            </w:r>
            <w:r>
              <w:rPr>
                <w:rFonts w:eastAsia="Arial Narrow"/>
                <w:color w:val="000000"/>
              </w:rPr>
              <w:t xml:space="preserve">The Project Manager may require the Supplier to remove (or cause to be </w:t>
            </w:r>
            <w:r>
              <w:t>removed</w:t>
            </w:r>
            <w:r>
              <w:rPr>
                <w:rFonts w:eastAsia="Arial Narrow"/>
                <w:color w:val="000000"/>
              </w:rPr>
              <w:t xml:space="preserve">) </w:t>
            </w:r>
            <w:r>
              <w:t>the Supplier’s Representative or any other person employed by the Supplier in the execution of the Contract</w:t>
            </w:r>
            <w:r>
              <w:rPr>
                <w:rFonts w:eastAsia="Arial Narrow"/>
                <w:color w:val="000000"/>
              </w:rPr>
              <w:t>, who:</w:t>
            </w:r>
          </w:p>
          <w:p w14:paraId="44D3ABAF"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persists in any misconduct or lack of </w:t>
            </w:r>
            <w:proofErr w:type="gramStart"/>
            <w:r>
              <w:rPr>
                <w:rFonts w:eastAsia="Arial Narrow"/>
                <w:color w:val="000000"/>
              </w:rPr>
              <w:t>care;</w:t>
            </w:r>
            <w:proofErr w:type="gramEnd"/>
          </w:p>
          <w:p w14:paraId="076E368A"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carries out duties incompetently or </w:t>
            </w:r>
            <w:proofErr w:type="gramStart"/>
            <w:r>
              <w:rPr>
                <w:rFonts w:eastAsia="Arial Narrow"/>
                <w:color w:val="000000"/>
              </w:rPr>
              <w:t>negligently;</w:t>
            </w:r>
            <w:proofErr w:type="gramEnd"/>
          </w:p>
          <w:p w14:paraId="2A2EF712"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fails to comply with any provision of the </w:t>
            </w:r>
            <w:proofErr w:type="gramStart"/>
            <w:r>
              <w:rPr>
                <w:rFonts w:eastAsia="Arial Narrow"/>
                <w:color w:val="000000"/>
              </w:rPr>
              <w:t>Contract;</w:t>
            </w:r>
            <w:proofErr w:type="gramEnd"/>
          </w:p>
          <w:p w14:paraId="66C92416"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persists in any conduct which is prejudicial to safety, health, or the protection of the </w:t>
            </w:r>
            <w:proofErr w:type="gramStart"/>
            <w:r>
              <w:rPr>
                <w:rFonts w:eastAsia="Arial Narrow"/>
                <w:color w:val="000000"/>
              </w:rPr>
              <w:t>environment;</w:t>
            </w:r>
            <w:proofErr w:type="gramEnd"/>
          </w:p>
          <w:p w14:paraId="4D7A42D2"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based on reasonable evidence, is determined to have engaged in Fraud and Corruption during the execution of the </w:t>
            </w:r>
            <w:proofErr w:type="gramStart"/>
            <w:r>
              <w:rPr>
                <w:rFonts w:eastAsia="Arial Narrow"/>
                <w:color w:val="000000"/>
              </w:rPr>
              <w:t>Contract;</w:t>
            </w:r>
            <w:proofErr w:type="gramEnd"/>
            <w:r>
              <w:rPr>
                <w:rFonts w:eastAsia="Arial Narrow"/>
                <w:color w:val="000000"/>
              </w:rPr>
              <w:t xml:space="preserve"> </w:t>
            </w:r>
          </w:p>
          <w:p w14:paraId="66626288"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has been recruited from the Purchaser’s </w:t>
            </w:r>
            <w:proofErr w:type="gramStart"/>
            <w:r>
              <w:rPr>
                <w:rFonts w:eastAsia="Arial Narrow"/>
                <w:color w:val="000000"/>
              </w:rPr>
              <w:t>Personnel;</w:t>
            </w:r>
            <w:proofErr w:type="gramEnd"/>
          </w:p>
          <w:p w14:paraId="676AD8FD" w14:textId="77777777" w:rsidR="00157AAA" w:rsidRDefault="006C1BE5" w:rsidP="00D530D5">
            <w:pPr>
              <w:pStyle w:val="ListParagraph"/>
              <w:numPr>
                <w:ilvl w:val="0"/>
                <w:numId w:val="56"/>
              </w:numPr>
              <w:spacing w:before="120"/>
              <w:ind w:left="1667" w:hanging="450"/>
              <w:contextualSpacing w:val="0"/>
              <w:rPr>
                <w:rFonts w:eastAsia="Arial Narrow"/>
                <w:color w:val="000000"/>
              </w:rPr>
            </w:pPr>
            <w:r>
              <w:rPr>
                <w:rFonts w:eastAsia="Arial Narrow"/>
                <w:color w:val="000000"/>
              </w:rPr>
              <w:t xml:space="preserve">engages in any other </w:t>
            </w:r>
            <w:proofErr w:type="spellStart"/>
            <w:r>
              <w:rPr>
                <w:rFonts w:eastAsia="Arial Narrow"/>
                <w:color w:val="000000"/>
              </w:rPr>
              <w:t>behaviour</w:t>
            </w:r>
            <w:proofErr w:type="spellEnd"/>
            <w:r>
              <w:rPr>
                <w:rFonts w:eastAsia="Arial Narrow"/>
                <w:color w:val="000000"/>
              </w:rPr>
              <w:t xml:space="preserve"> which breaches the Code of Conduct, as </w:t>
            </w:r>
            <w:proofErr w:type="gramStart"/>
            <w:r>
              <w:rPr>
                <w:rFonts w:eastAsia="Arial Narrow"/>
                <w:color w:val="000000"/>
              </w:rPr>
              <w:t>applicable;</w:t>
            </w:r>
            <w:proofErr w:type="gramEnd"/>
          </w:p>
          <w:p w14:paraId="09135D19" w14:textId="77777777" w:rsidR="00157AAA" w:rsidRDefault="006C1BE5">
            <w:pPr>
              <w:spacing w:before="120"/>
              <w:ind w:left="1154"/>
              <w:rPr>
                <w:rFonts w:eastAsia="Arial Narrow"/>
                <w:color w:val="000000"/>
              </w:rPr>
            </w:pPr>
            <w:r>
              <w:rPr>
                <w:rFonts w:eastAsia="Arial Narrow"/>
                <w:color w:val="000000"/>
              </w:rPr>
              <w:t xml:space="preserve">If appropriate, the Supplier shall then promptly appoint (or cause to be </w:t>
            </w:r>
            <w:r>
              <w:t>appointed</w:t>
            </w:r>
            <w:r>
              <w:rPr>
                <w:rFonts w:eastAsia="Arial Narrow"/>
                <w:color w:val="000000"/>
              </w:rPr>
              <w:t xml:space="preserve">) a suitable replacement with equivalent skills and experience. </w:t>
            </w:r>
          </w:p>
          <w:p w14:paraId="46E72CDF" w14:textId="77777777" w:rsidR="00157AAA" w:rsidRDefault="006C1BE5">
            <w:pPr>
              <w:spacing w:before="120"/>
              <w:ind w:left="1170" w:right="-72" w:hanging="630"/>
            </w:pPr>
            <w:r>
              <w:rPr>
                <w:rFonts w:eastAsia="Arial Narrow"/>
                <w:color w:val="000000"/>
              </w:rPr>
              <w:t xml:space="preserve">          Notwithstanding any requirement from the Project Manager to remove or cause to remove any person, the Supplier shall take </w:t>
            </w:r>
            <w:r>
              <w:t>immediate</w:t>
            </w:r>
            <w:r>
              <w:rPr>
                <w:rFonts w:eastAsia="Arial Narrow"/>
                <w:color w:val="000000"/>
              </w:rPr>
              <w:t xml:space="preserve"> action as appropriate in response to any violation of (a) through (g) above. Such immediate action shall include removing (or causing to be removed) from work on the System, any person Employed by the Supplier in the execution of the Contract who engages in (a), (b), (c), (d), (e) or (g) above or has been recruited as stated in (f) above</w:t>
            </w:r>
            <w:r>
              <w:t>.</w:t>
            </w:r>
          </w:p>
          <w:p w14:paraId="2DB147F8" w14:textId="77777777" w:rsidR="00157AAA" w:rsidRDefault="006C1BE5">
            <w:pPr>
              <w:spacing w:before="120"/>
              <w:ind w:left="1170" w:right="-72" w:hanging="630"/>
            </w:pPr>
            <w:r>
              <w:t>18.3.2</w:t>
            </w:r>
            <w:r>
              <w:tab/>
              <w:t>If any representative or person employed by the Supplier is removed in accordance with GCC Clause 18.3.1, the Supplier shall, where required, promptly appoint a suitable replacement with equivalent skills and experience.</w:t>
            </w:r>
          </w:p>
        </w:tc>
      </w:tr>
      <w:tr w:rsidR="00157AAA" w14:paraId="2D11E2BB" w14:textId="77777777">
        <w:tc>
          <w:tcPr>
            <w:tcW w:w="2412" w:type="dxa"/>
          </w:tcPr>
          <w:p w14:paraId="23A8B5A7" w14:textId="77777777" w:rsidR="00157AAA" w:rsidRDefault="006C1BE5">
            <w:pPr>
              <w:pStyle w:val="Head62"/>
              <w:spacing w:before="120"/>
            </w:pPr>
            <w:bookmarkStart w:id="845" w:name="_Toc277233340"/>
            <w:bookmarkStart w:id="846" w:name="_Toc73977714"/>
            <w:r>
              <w:lastRenderedPageBreak/>
              <w:t>19.</w:t>
            </w:r>
            <w:r>
              <w:tab/>
              <w:t>Project Plan</w:t>
            </w:r>
            <w:bookmarkEnd w:id="845"/>
            <w:bookmarkEnd w:id="846"/>
          </w:p>
        </w:tc>
        <w:tc>
          <w:tcPr>
            <w:tcW w:w="6588" w:type="dxa"/>
          </w:tcPr>
          <w:p w14:paraId="1A4D9320" w14:textId="77777777" w:rsidR="00157AAA" w:rsidRDefault="006C1BE5">
            <w:pPr>
              <w:spacing w:before="120"/>
              <w:ind w:left="793" w:right="-72" w:hanging="793"/>
            </w:pPr>
            <w:r>
              <w:t>19.1</w:t>
            </w:r>
            <w:r>
              <w:tab/>
              <w:t xml:space="preserve">In close cooperation with the Purchaser and based on the Preliminary Project Plan included in the Supplier’s bid, the Supplier shall develop a Project Plan encompassing the activities specified in the Contract.  The contents of the Project Plan shall be as </w:t>
            </w:r>
            <w:r>
              <w:rPr>
                <w:b/>
              </w:rPr>
              <w:t>specified in the SCC</w:t>
            </w:r>
            <w:r>
              <w:t xml:space="preserve"> and/or Technical Requirements.  </w:t>
            </w:r>
          </w:p>
        </w:tc>
      </w:tr>
      <w:tr w:rsidR="00157AAA" w14:paraId="39275E6F" w14:textId="77777777">
        <w:trPr>
          <w:trHeight w:val="1179"/>
        </w:trPr>
        <w:tc>
          <w:tcPr>
            <w:tcW w:w="2412" w:type="dxa"/>
          </w:tcPr>
          <w:p w14:paraId="2233EAF0" w14:textId="77777777" w:rsidR="00157AAA" w:rsidRDefault="00157AAA">
            <w:pPr>
              <w:spacing w:before="120"/>
              <w:jc w:val="left"/>
            </w:pPr>
          </w:p>
        </w:tc>
        <w:tc>
          <w:tcPr>
            <w:tcW w:w="6588" w:type="dxa"/>
          </w:tcPr>
          <w:p w14:paraId="3CC8CC35" w14:textId="77777777" w:rsidR="00157AAA" w:rsidRDefault="006C1BE5">
            <w:pPr>
              <w:spacing w:before="120"/>
              <w:ind w:left="793" w:right="-72" w:hanging="793"/>
            </w:pPr>
            <w:r>
              <w:t>19.2</w:t>
            </w:r>
            <w:r>
              <w:tab/>
            </w:r>
            <w:r>
              <w:rPr>
                <w:b/>
              </w:rPr>
              <w:t>Unless otherwise specified in the SCC</w:t>
            </w:r>
            <w:r>
              <w:t xml:space="preserve">, within </w:t>
            </w:r>
            <w:r>
              <w:rPr>
                <w:rStyle w:val="preparersnote"/>
                <w:b w:val="0"/>
                <w:i w:val="0"/>
              </w:rPr>
              <w:t>thirty (30)</w:t>
            </w:r>
            <w:r>
              <w:t xml:space="preserve"> days from the Effective Date of the Contract, the Supplier shall present a Project Plan to the Purchaser. Such submission to the Purchaser shall include any applicable environmental and social management plan to manage environmental and social risks and impacts. The Purchaser shall, within </w:t>
            </w:r>
            <w:r>
              <w:rPr>
                <w:rStyle w:val="preparersnote"/>
                <w:b w:val="0"/>
                <w:i w:val="0"/>
              </w:rPr>
              <w:t>fourteen (14)</w:t>
            </w:r>
            <w:r>
              <w:rPr>
                <w:b/>
              </w:rPr>
              <w:t xml:space="preserve"> </w:t>
            </w:r>
            <w:r>
              <w:t>days of receipt of the Project Plan, notify the Supplier of any respects in which it considers that the Project Plan does not adequately ensure that the proposed program of work, proposed methods, and/or proposed Information Technologies will satisfy the Technical Requirements and/or the SCC (in this Clause 19.2 called “non-conformities” below).  The Supplier shall, within</w:t>
            </w:r>
            <w:r>
              <w:rPr>
                <w:rStyle w:val="preparersnote"/>
                <w:b w:val="0"/>
                <w:i w:val="0"/>
              </w:rPr>
              <w:t xml:space="preserve"> five (5)</w:t>
            </w:r>
            <w:r>
              <w:t xml:space="preserve"> days of receipt of such notification, correct the Project Plan and </w:t>
            </w:r>
            <w:proofErr w:type="gramStart"/>
            <w:r>
              <w:t>resubmit</w:t>
            </w:r>
            <w:proofErr w:type="gramEnd"/>
            <w:r>
              <w:t xml:space="preserve"> to the Purchaser.  The Purchaser shall, within </w:t>
            </w:r>
            <w:r>
              <w:rPr>
                <w:rStyle w:val="preparersnote"/>
                <w:b w:val="0"/>
                <w:i w:val="0"/>
              </w:rPr>
              <w:t>five (5)</w:t>
            </w:r>
            <w:r>
              <w:t xml:space="preserve"> days of resubmission of the Project Plan, notify the Supplier of any remaining non-conformities.  This procedure shall be repeated as necessary until the Project Plan is free from non-conformities.  When the Project Plan is free from non-conformities, the Purchaser shall provide confirmation in writing to the Supplier.  This approved Project Plan (“the Agreed Project Plan”) shall be contractually binding on the Purchaser and the Supplier. </w:t>
            </w:r>
          </w:p>
          <w:p w14:paraId="7E4EF0FB" w14:textId="77777777" w:rsidR="00157AAA" w:rsidRDefault="006C1BE5">
            <w:pPr>
              <w:spacing w:before="120"/>
              <w:ind w:left="793" w:right="-72" w:hanging="793"/>
            </w:pPr>
            <w:r>
              <w:t>19.3      If required, the impact on the Implementation Schedule of modifications agreed during finalization of the Agreed Project Plan shall be incorporated in the Contract by amendment, in accordance with GCC Clauses 39 and 40.</w:t>
            </w:r>
          </w:p>
          <w:p w14:paraId="357FC452" w14:textId="77777777" w:rsidR="00157AAA" w:rsidRDefault="006C1BE5">
            <w:pPr>
              <w:spacing w:before="120"/>
              <w:ind w:left="793" w:right="-72" w:hanging="793"/>
            </w:pPr>
            <w:r>
              <w:t>19.4</w:t>
            </w:r>
            <w:r>
              <w:tab/>
              <w:t>The Supplier shall undertake to supply, install, test, and commission the System in accordance with the Agreed Project Plan and the Contract.</w:t>
            </w:r>
          </w:p>
          <w:p w14:paraId="019B5070" w14:textId="77777777" w:rsidR="00157AAA" w:rsidRDefault="006C1BE5">
            <w:pPr>
              <w:spacing w:before="120"/>
              <w:ind w:left="793" w:right="-72" w:hanging="793"/>
            </w:pPr>
            <w:r>
              <w:t>19.5</w:t>
            </w:r>
            <w:r>
              <w:tab/>
            </w:r>
            <w:r>
              <w:rPr>
                <w:b/>
              </w:rPr>
              <w:t>Unless otherwise specified in the SCC</w:t>
            </w:r>
            <w:r>
              <w:t xml:space="preserve">, the Supplier shall submit to the Purchaser Monthly Progress Reports summarizing:  </w:t>
            </w:r>
          </w:p>
          <w:p w14:paraId="3E699993" w14:textId="77777777" w:rsidR="00157AAA" w:rsidRDefault="006C1BE5">
            <w:pPr>
              <w:spacing w:before="120"/>
              <w:ind w:left="1332" w:right="-72" w:hanging="540"/>
            </w:pPr>
            <w:r>
              <w:t>(</w:t>
            </w:r>
            <w:proofErr w:type="spellStart"/>
            <w:r>
              <w:t>i</w:t>
            </w:r>
            <w:proofErr w:type="spellEnd"/>
            <w:r>
              <w:t xml:space="preserve">) </w:t>
            </w:r>
            <w:r>
              <w:tab/>
              <w:t xml:space="preserve">results accomplished during the prior </w:t>
            </w:r>
            <w:proofErr w:type="gramStart"/>
            <w:r>
              <w:t>period;</w:t>
            </w:r>
            <w:proofErr w:type="gramEnd"/>
          </w:p>
          <w:p w14:paraId="743581C7" w14:textId="77777777" w:rsidR="00157AAA" w:rsidRDefault="006C1BE5">
            <w:pPr>
              <w:spacing w:before="120"/>
              <w:ind w:left="1332" w:right="-72" w:hanging="540"/>
            </w:pPr>
            <w:r>
              <w:t xml:space="preserve">(ii) </w:t>
            </w:r>
            <w:r>
              <w:tab/>
              <w:t xml:space="preserve">cumulative deviations to date from schedule of progress milestones as specified in the Agreed Project </w:t>
            </w:r>
            <w:proofErr w:type="gramStart"/>
            <w:r>
              <w:t>Plan;</w:t>
            </w:r>
            <w:proofErr w:type="gramEnd"/>
          </w:p>
          <w:p w14:paraId="43C0B1BE" w14:textId="77777777" w:rsidR="00157AAA" w:rsidRDefault="006C1BE5">
            <w:pPr>
              <w:spacing w:before="120"/>
              <w:ind w:left="1332" w:right="-72" w:hanging="540"/>
            </w:pPr>
            <w:r>
              <w:t xml:space="preserve">(iii) </w:t>
            </w:r>
            <w:r>
              <w:tab/>
              <w:t xml:space="preserve">corrective actions to be taken to return to planned schedule of progress; proposed revisions to planned </w:t>
            </w:r>
            <w:proofErr w:type="gramStart"/>
            <w:r>
              <w:t>schedule;</w:t>
            </w:r>
            <w:proofErr w:type="gramEnd"/>
          </w:p>
          <w:p w14:paraId="526FA901" w14:textId="77777777" w:rsidR="00157AAA" w:rsidRDefault="006C1BE5">
            <w:pPr>
              <w:spacing w:before="120"/>
              <w:ind w:left="1332" w:right="-72" w:hanging="540"/>
            </w:pPr>
            <w:r>
              <w:lastRenderedPageBreak/>
              <w:t xml:space="preserve">(iv) </w:t>
            </w:r>
            <w:r>
              <w:tab/>
              <w:t xml:space="preserve">other issues and outstanding problems; proposed actions to be </w:t>
            </w:r>
            <w:proofErr w:type="gramStart"/>
            <w:r>
              <w:t>taken;</w:t>
            </w:r>
            <w:proofErr w:type="gramEnd"/>
          </w:p>
          <w:p w14:paraId="20B3632E" w14:textId="77777777" w:rsidR="00157AAA" w:rsidRDefault="006C1BE5">
            <w:pPr>
              <w:spacing w:before="120"/>
              <w:ind w:left="1332" w:right="-72" w:hanging="540"/>
            </w:pPr>
            <w:r>
              <w:t xml:space="preserve">(v) </w:t>
            </w:r>
            <w:r>
              <w:tab/>
              <w:t xml:space="preserve">resources that the Supplier expects to be provided by the Purchaser and/or actions to be taken by the Purchaser in the next reporting </w:t>
            </w:r>
            <w:proofErr w:type="gramStart"/>
            <w:r>
              <w:t>period;</w:t>
            </w:r>
            <w:proofErr w:type="gramEnd"/>
          </w:p>
          <w:p w14:paraId="1CF0B10F" w14:textId="77777777" w:rsidR="00157AAA" w:rsidRDefault="006C1BE5">
            <w:pPr>
              <w:spacing w:before="120"/>
              <w:ind w:left="1332" w:right="-72" w:hanging="540"/>
            </w:pPr>
            <w:r>
              <w:t xml:space="preserve">(vi) </w:t>
            </w:r>
            <w:r>
              <w:tab/>
              <w:t xml:space="preserve">status of compliance to environmental and social requirements, as </w:t>
            </w:r>
            <w:proofErr w:type="gramStart"/>
            <w:r>
              <w:t>applicable;</w:t>
            </w:r>
            <w:proofErr w:type="gramEnd"/>
            <w:r>
              <w:t xml:space="preserve"> </w:t>
            </w:r>
          </w:p>
          <w:p w14:paraId="58C53BA7" w14:textId="77777777" w:rsidR="00157AAA" w:rsidRDefault="006C1BE5">
            <w:pPr>
              <w:spacing w:before="120"/>
              <w:ind w:left="1332" w:right="-72" w:hanging="540"/>
            </w:pPr>
            <w:r>
              <w:t>(vii) other issues or potential problems the Supplier foresees that could impact on project progress and/or effectiveness.</w:t>
            </w:r>
          </w:p>
          <w:p w14:paraId="218E6025" w14:textId="77777777" w:rsidR="00157AAA" w:rsidRDefault="006C1BE5">
            <w:pPr>
              <w:spacing w:before="120"/>
              <w:ind w:left="793" w:right="-72" w:hanging="793"/>
            </w:pPr>
            <w:r>
              <w:t>19.6</w:t>
            </w:r>
            <w:r>
              <w:tab/>
              <w:t>The Supplier shall submit to the Purchaser other (periodic) reports as specified in the SCC.</w:t>
            </w:r>
          </w:p>
          <w:p w14:paraId="6E0B2330" w14:textId="77777777" w:rsidR="00157AAA" w:rsidRDefault="006C1BE5">
            <w:pPr>
              <w:spacing w:before="120"/>
              <w:ind w:left="886" w:right="-72" w:hanging="886"/>
            </w:pPr>
            <w:r>
              <w:t>19.7      Immediate Reporting requirement</w:t>
            </w:r>
          </w:p>
          <w:p w14:paraId="3C51C7AC" w14:textId="77777777" w:rsidR="00157AAA" w:rsidRDefault="006C1BE5">
            <w:pPr>
              <w:spacing w:before="120"/>
              <w:ind w:left="796" w:right="-14"/>
            </w:pPr>
            <w:r>
              <w:rPr>
                <w:color w:val="000000"/>
              </w:rPr>
              <w:t>T</w:t>
            </w:r>
            <w:r>
              <w:rPr>
                <w:rFonts w:eastAsia="Arial Narrow"/>
                <w:color w:val="000000"/>
              </w:rPr>
              <w:t xml:space="preserve">he Supplier shall inform the Project Manager immediately of any allegation, </w:t>
            </w:r>
            <w:proofErr w:type="gramStart"/>
            <w:r>
              <w:rPr>
                <w:rFonts w:eastAsia="Arial Narrow"/>
                <w:color w:val="000000"/>
              </w:rPr>
              <w:t>incident</w:t>
            </w:r>
            <w:proofErr w:type="gramEnd"/>
            <w:r>
              <w:rPr>
                <w:rFonts w:eastAsia="Arial Narrow"/>
                <w:color w:val="000000"/>
              </w:rPr>
              <w:t xml:space="preserve"> or accident in Project Site/s, which has or is likely to have a significant adverse </w:t>
            </w:r>
            <w:r>
              <w:t>effect</w:t>
            </w:r>
            <w:r>
              <w:rPr>
                <w:rFonts w:eastAsia="Arial Narrow"/>
                <w:color w:val="000000"/>
              </w:rPr>
              <w:t xml:space="preserve"> on the environment, the affected communities, the public, Purchaser’s Personnel or Supplier’s Personnel. This includes, but is not limited to, any incident or </w:t>
            </w:r>
            <w:proofErr w:type="gramStart"/>
            <w:r>
              <w:rPr>
                <w:rFonts w:eastAsia="Arial Narrow"/>
                <w:color w:val="000000"/>
              </w:rPr>
              <w:t>accident causing</w:t>
            </w:r>
            <w:proofErr w:type="gramEnd"/>
            <w:r>
              <w:rPr>
                <w:rFonts w:eastAsia="Arial Narrow"/>
                <w:color w:val="000000"/>
              </w:rPr>
              <w:t xml:space="preserve"> fatality or serious injury; significant adverse effects or damage to private property; or any allegation of SEA and/or SH. In case of SEA and/or SH, while maintaining confidentiality as appropriate, the type of allegation (sexual exploitation, sexual </w:t>
            </w:r>
            <w:proofErr w:type="gramStart"/>
            <w:r>
              <w:rPr>
                <w:rFonts w:eastAsia="Arial Narrow"/>
                <w:color w:val="000000"/>
              </w:rPr>
              <w:t>abuse</w:t>
            </w:r>
            <w:proofErr w:type="gramEnd"/>
            <w:r>
              <w:rPr>
                <w:rFonts w:eastAsia="Arial Narrow"/>
                <w:color w:val="000000"/>
              </w:rPr>
              <w:t xml:space="preserve"> or sexual harassment), gender and age of the person who experienced the alleged incident should be included in the information.</w:t>
            </w:r>
            <w:r>
              <w:t xml:space="preserve"> </w:t>
            </w:r>
          </w:p>
          <w:p w14:paraId="2865E63B" w14:textId="77777777" w:rsidR="00157AAA" w:rsidRDefault="006C1BE5">
            <w:pPr>
              <w:spacing w:before="120"/>
              <w:ind w:left="796" w:right="-14"/>
            </w:pPr>
            <w:r>
              <w:rPr>
                <w:rFonts w:eastAsia="Arial Narrow"/>
                <w:color w:val="000000"/>
              </w:rPr>
              <w:t xml:space="preserve">The Supplier, upon becoming aware of the allegation, </w:t>
            </w:r>
            <w:proofErr w:type="gramStart"/>
            <w:r>
              <w:rPr>
                <w:rFonts w:eastAsia="Arial Narrow"/>
                <w:color w:val="000000"/>
              </w:rPr>
              <w:t>incident</w:t>
            </w:r>
            <w:proofErr w:type="gramEnd"/>
            <w:r>
              <w:rPr>
                <w:rFonts w:eastAsia="Arial Narrow"/>
                <w:color w:val="000000"/>
              </w:rPr>
              <w:t xml:space="preserve"> or accident, shall also immediately inform the Purchaser of any such </w:t>
            </w:r>
            <w:r>
              <w:rPr>
                <w:color w:val="000000"/>
              </w:rPr>
              <w:t>incident</w:t>
            </w:r>
            <w:r>
              <w:rPr>
                <w:rFonts w:eastAsia="Arial Narrow"/>
                <w:color w:val="000000"/>
              </w:rPr>
              <w:t xml:space="preserve"> or accident on the Subcontractors’ </w:t>
            </w:r>
            <w:r>
              <w:t>or</w:t>
            </w:r>
            <w:r>
              <w:rPr>
                <w:rFonts w:eastAsia="Arial Narrow"/>
                <w:color w:val="000000"/>
              </w:rPr>
              <w:t xml:space="preserve"> suppliers’ premises relating to the Contract which has or is likely to have a significant adverse effect on the environment, the affected communities, the public, Purchaser’s Personnel or Supplier’s Personnel. The notification shall provide sufficient detail regarding such incidents or accidents.</w:t>
            </w:r>
          </w:p>
          <w:p w14:paraId="683E299E" w14:textId="77777777" w:rsidR="00157AAA" w:rsidRDefault="006C1BE5">
            <w:pPr>
              <w:spacing w:before="120"/>
              <w:ind w:left="796" w:right="-14"/>
            </w:pPr>
            <w:r>
              <w:rPr>
                <w:rFonts w:eastAsia="Arial Narrow"/>
                <w:color w:val="000000"/>
              </w:rPr>
              <w:t xml:space="preserve">The Supplier shall provide full details of such incidents or accidents to the Project Manager within the timeframe agreed with the Purchaser. </w:t>
            </w:r>
          </w:p>
          <w:p w14:paraId="33CF777A" w14:textId="77777777" w:rsidR="00157AAA" w:rsidRDefault="006C1BE5">
            <w:pPr>
              <w:spacing w:before="120"/>
              <w:ind w:left="796" w:right="-72"/>
            </w:pPr>
            <w:r>
              <w:rPr>
                <w:rFonts w:eastAsia="Arial Narrow"/>
                <w:color w:val="000000"/>
              </w:rPr>
              <w:t xml:space="preserve">The Purchaser shall require its Subcontractors to </w:t>
            </w:r>
            <w:r>
              <w:rPr>
                <w:color w:val="000000"/>
              </w:rPr>
              <w:t>immediately</w:t>
            </w:r>
            <w:r>
              <w:rPr>
                <w:rFonts w:eastAsia="Arial Narrow"/>
                <w:color w:val="000000"/>
              </w:rPr>
              <w:t xml:space="preserve"> notify </w:t>
            </w:r>
            <w:r>
              <w:t xml:space="preserve">it </w:t>
            </w:r>
            <w:r>
              <w:rPr>
                <w:rFonts w:eastAsia="Arial Narrow"/>
                <w:color w:val="000000"/>
              </w:rPr>
              <w:t>of any incidents or accidents referred to in this Sub- Clause.</w:t>
            </w:r>
            <w:r>
              <w:t xml:space="preserve"> </w:t>
            </w:r>
          </w:p>
        </w:tc>
      </w:tr>
      <w:tr w:rsidR="00157AAA" w14:paraId="219668DA" w14:textId="77777777">
        <w:tc>
          <w:tcPr>
            <w:tcW w:w="2412" w:type="dxa"/>
          </w:tcPr>
          <w:p w14:paraId="365E9D5E" w14:textId="77777777" w:rsidR="00157AAA" w:rsidRDefault="006C1BE5">
            <w:pPr>
              <w:pStyle w:val="Head62"/>
              <w:spacing w:before="120"/>
            </w:pPr>
            <w:bookmarkStart w:id="847" w:name="_Toc277233341"/>
            <w:bookmarkStart w:id="848" w:name="_Toc73977715"/>
            <w:r>
              <w:lastRenderedPageBreak/>
              <w:t>20.</w:t>
            </w:r>
            <w:r>
              <w:tab/>
              <w:t>Subcontracting</w:t>
            </w:r>
            <w:bookmarkEnd w:id="847"/>
            <w:bookmarkEnd w:id="848"/>
          </w:p>
        </w:tc>
        <w:tc>
          <w:tcPr>
            <w:tcW w:w="6588" w:type="dxa"/>
          </w:tcPr>
          <w:p w14:paraId="66C7FF34" w14:textId="77777777" w:rsidR="00157AAA" w:rsidRDefault="006C1BE5">
            <w:pPr>
              <w:spacing w:before="120"/>
              <w:ind w:left="793" w:right="-72" w:hanging="793"/>
            </w:pPr>
            <w:r>
              <w:t>20.1</w:t>
            </w:r>
            <w:r>
              <w:tab/>
              <w:t xml:space="preserve">Appendix 3 (List of Approved Subcontractors) to the Contract Agreement specifies critical items of supply or services and a list of Subcontractors for each item that are considered acceptable by the Purchaser.  If no Subcontractors are listed for an item, the Supplier shall prepare a list of Subcontractors it considers qualified and wishes to be added to the list for such items. The Supplier may from time to time propose additions to or deletions from any such list.  The Supplier shall submit any such list or any modification to the list to the Purchaser for its approval in sufficient time so as not to impede the progress of work on the System.  </w:t>
            </w:r>
            <w:proofErr w:type="spellStart"/>
            <w:r>
              <w:t>Submision</w:t>
            </w:r>
            <w:proofErr w:type="spellEnd"/>
            <w:r>
              <w:t xml:space="preserve"> by the Supplier, for addition of any Subcontractor not named in the Contract, shall also include the Subcontractor’s declaration in accordance with Appendix 2 to the GCC- Sexual exploitation and Abuse (SEA) and/or Sexual Harassment (SH) Performance Declaration. Approval by the Purchaser of a Subcontractor(s) shall not relieve the Supplier from any of its obligations, duties, or responsibilities under the Contract.</w:t>
            </w:r>
          </w:p>
        </w:tc>
      </w:tr>
      <w:tr w:rsidR="00157AAA" w14:paraId="0ED335DA" w14:textId="77777777">
        <w:tc>
          <w:tcPr>
            <w:tcW w:w="2412" w:type="dxa"/>
          </w:tcPr>
          <w:p w14:paraId="22412972" w14:textId="77777777" w:rsidR="00157AAA" w:rsidRDefault="00157AAA">
            <w:pPr>
              <w:spacing w:before="120"/>
              <w:jc w:val="left"/>
            </w:pPr>
          </w:p>
        </w:tc>
        <w:tc>
          <w:tcPr>
            <w:tcW w:w="6588" w:type="dxa"/>
          </w:tcPr>
          <w:p w14:paraId="38DFC15F" w14:textId="77777777" w:rsidR="00157AAA" w:rsidRDefault="006C1BE5">
            <w:pPr>
              <w:spacing w:before="120"/>
              <w:ind w:left="793" w:right="-72" w:hanging="793"/>
            </w:pPr>
            <w:r>
              <w:t>20.2</w:t>
            </w:r>
            <w:r>
              <w:tab/>
              <w:t>The Supplier may, at its discretion, select and employ Subcontractors for such critical items from those Subcontractors listed pursuant to GCC Clause 20.1.  If the Supplier wishes to employ a Subcontractor not so listed, or subcontract an item not so listed, it must seek the Purchaser’s prior approval under GCC Clause 20.3.</w:t>
            </w:r>
          </w:p>
          <w:p w14:paraId="7B0A33DF" w14:textId="77777777" w:rsidR="00157AAA" w:rsidRDefault="006C1BE5">
            <w:pPr>
              <w:spacing w:before="120"/>
              <w:ind w:left="793" w:right="-72" w:hanging="793"/>
            </w:pPr>
            <w:r>
              <w:t>20.3</w:t>
            </w:r>
            <w:r>
              <w:tab/>
              <w:t>For items for which pre-approved Subcontractor lists have not been specified in Appendix 3 to the Contract Agreement, the Supplier may employ such Subcontractors as it may select, provided: (</w:t>
            </w:r>
            <w:proofErr w:type="spellStart"/>
            <w:r>
              <w:t>i</w:t>
            </w:r>
            <w:proofErr w:type="spellEnd"/>
            <w:r>
              <w:t xml:space="preserve">) the Supplier notifies the Purchaser in writing at least twenty-eight (28) days prior to the proposed mobilization date for such Subcontractor, including by providing the Subcontractor’s declaration in accordance with Appendix 2 to the GCC- Sexual exploitation and Abuse (SEA) and/or Sexual Harassment (SH) Performance Declaration; and (ii) by the end of this period either the Purchaser has granted its approval in writing or fails to respond.  The Supplier shall not engage any Subcontractor to which the Purchaser has objected in writing prior to the end of the notice period.  The absence of a written objection by the Purchaser during the above specified period shall constitute formal acceptance of the proposed Subcontractor.  Except to the extent that it permits the deemed approval of the Purchaser of Subcontractors not </w:t>
            </w:r>
            <w:r>
              <w:lastRenderedPageBreak/>
              <w:t>listed in the Contract Agreement, nothing in this Clause, however, shall limit the rights and obligations of either the Purchaser or Supplier as they are specified in GCC Clauses 20.1 and 20.2, or in Appendix 3 of the Contract Agreement.</w:t>
            </w:r>
          </w:p>
          <w:p w14:paraId="5174F476" w14:textId="77777777" w:rsidR="00157AAA" w:rsidRDefault="006C1BE5">
            <w:pPr>
              <w:spacing w:before="120"/>
              <w:ind w:left="793" w:right="-72" w:hanging="793"/>
            </w:pPr>
            <w:r>
              <w:rPr>
                <w:rFonts w:eastAsia="Arial Narrow" w:cstheme="minorHAnsi"/>
              </w:rPr>
              <w:t>20.4</w:t>
            </w:r>
            <w:r>
              <w:rPr>
                <w:rFonts w:eastAsia="Arial Narrow" w:cstheme="minorHAnsi"/>
              </w:rPr>
              <w:tab/>
              <w:t>The Supplier shall ensure that its Subcontractors comply with the relevant ES requirements and the obligations set out in GCC Clause 9.9.</w:t>
            </w:r>
          </w:p>
        </w:tc>
      </w:tr>
      <w:tr w:rsidR="00157AAA" w14:paraId="437F447C" w14:textId="77777777">
        <w:trPr>
          <w:cantSplit/>
        </w:trPr>
        <w:tc>
          <w:tcPr>
            <w:tcW w:w="2412" w:type="dxa"/>
          </w:tcPr>
          <w:p w14:paraId="57C59DA6" w14:textId="77777777" w:rsidR="00157AAA" w:rsidRDefault="006C1BE5">
            <w:pPr>
              <w:pStyle w:val="Head62"/>
              <w:spacing w:before="120"/>
            </w:pPr>
            <w:bookmarkStart w:id="849" w:name="_Toc277233342"/>
            <w:bookmarkStart w:id="850" w:name="_Toc73977716"/>
            <w:r>
              <w:lastRenderedPageBreak/>
              <w:t>21.</w:t>
            </w:r>
            <w:r>
              <w:tab/>
              <w:t>Design and Engineering</w:t>
            </w:r>
            <w:bookmarkEnd w:id="849"/>
            <w:bookmarkEnd w:id="850"/>
          </w:p>
        </w:tc>
        <w:tc>
          <w:tcPr>
            <w:tcW w:w="6588" w:type="dxa"/>
          </w:tcPr>
          <w:p w14:paraId="533DBEA6" w14:textId="77777777" w:rsidR="00157AAA" w:rsidRDefault="006C1BE5">
            <w:pPr>
              <w:spacing w:before="120"/>
              <w:ind w:left="793" w:right="-72" w:hanging="793"/>
            </w:pPr>
            <w:r>
              <w:t>21.1</w:t>
            </w:r>
            <w:r>
              <w:tab/>
              <w:t>Technical Specifications and Drawings</w:t>
            </w:r>
          </w:p>
          <w:p w14:paraId="02C7BBE0" w14:textId="77777777" w:rsidR="00157AAA" w:rsidRDefault="006C1BE5">
            <w:pPr>
              <w:spacing w:before="120"/>
              <w:ind w:left="1181" w:right="-72" w:hanging="634"/>
            </w:pPr>
            <w:r>
              <w:t>21.1.1</w:t>
            </w:r>
            <w:r>
              <w:tab/>
              <w:t>The Supplier shall execute the basic and detailed design and the implementation activities necessary for successful installation of the System in compliance with the provisions of the Contract or, where not so specified, in accordance with good industry practice.</w:t>
            </w:r>
          </w:p>
        </w:tc>
      </w:tr>
      <w:tr w:rsidR="00157AAA" w14:paraId="0BDA1281" w14:textId="77777777">
        <w:tc>
          <w:tcPr>
            <w:tcW w:w="2412" w:type="dxa"/>
          </w:tcPr>
          <w:p w14:paraId="0473272A" w14:textId="77777777" w:rsidR="00157AAA" w:rsidRDefault="00157AAA">
            <w:pPr>
              <w:spacing w:before="120"/>
              <w:jc w:val="left"/>
            </w:pPr>
          </w:p>
        </w:tc>
        <w:tc>
          <w:tcPr>
            <w:tcW w:w="6588" w:type="dxa"/>
          </w:tcPr>
          <w:p w14:paraId="50B21FC4" w14:textId="77777777" w:rsidR="00157AAA" w:rsidRDefault="006C1BE5">
            <w:pPr>
              <w:spacing w:before="120"/>
              <w:ind w:left="1166" w:right="-72"/>
            </w:pPr>
            <w:r>
              <w:t>The Supplier shall be responsible for any discrepancies, errors or omissions in the specifications, drawings, and other technical documents that it has prepared, whether such specifications, drawings, and other documents have been approved by the Project Manager or not, provided that such discrepancies, errors, or omissions are not because of inaccurate information furnished in writing to the Supplier by or on behalf of the Purchaser.</w:t>
            </w:r>
          </w:p>
          <w:p w14:paraId="5C79942B" w14:textId="77777777" w:rsidR="00157AAA" w:rsidRDefault="006C1BE5">
            <w:pPr>
              <w:spacing w:before="120"/>
              <w:ind w:left="1181" w:right="-72" w:hanging="634"/>
            </w:pPr>
            <w:r>
              <w:t>21.1.2</w:t>
            </w:r>
            <w:r>
              <w:tab/>
              <w:t>The Supplier shall be entitled to disclaim responsibility for any design, data, drawing, specification, or other document, or any modification of such design, drawings, specification, or other documents provided or designated by or on behalf of the Purchaser, by giving a notice of such disclaimer to the Project Manager.</w:t>
            </w:r>
          </w:p>
          <w:p w14:paraId="3F361A06" w14:textId="77777777" w:rsidR="00157AAA" w:rsidRDefault="006C1BE5">
            <w:pPr>
              <w:spacing w:before="120"/>
              <w:ind w:left="793" w:right="-72" w:hanging="793"/>
            </w:pPr>
            <w:r>
              <w:t>21.2</w:t>
            </w:r>
            <w:r>
              <w:tab/>
              <w:t>Codes and Standards</w:t>
            </w:r>
          </w:p>
          <w:p w14:paraId="1991414F" w14:textId="77777777" w:rsidR="00157AAA" w:rsidRDefault="006C1BE5">
            <w:pPr>
              <w:spacing w:before="120"/>
              <w:ind w:left="540" w:right="-72"/>
            </w:pPr>
            <w:r>
              <w:t>Wherever references are made in the Contract to codes and standards in accordance with which the Contract shall be executed, the edition or the revised version of such codes and standards current at the date twenty-eight (28) days prior to date of bid submission shall apply.  During Contract execution, any changes in such codes and standards shall be applied after approval by the Purchaser and shall be treated in accordance with GCC Clause 39.3.</w:t>
            </w:r>
          </w:p>
          <w:p w14:paraId="7483211A" w14:textId="77777777" w:rsidR="00157AAA" w:rsidRDefault="006C1BE5">
            <w:pPr>
              <w:spacing w:before="120"/>
              <w:ind w:left="793" w:right="-72" w:hanging="793"/>
            </w:pPr>
            <w:r>
              <w:t>21.3</w:t>
            </w:r>
            <w:r>
              <w:tab/>
              <w:t>Approval/Review of Controlling Technical Documents by the Project Manager</w:t>
            </w:r>
          </w:p>
          <w:p w14:paraId="6599E57E" w14:textId="77777777" w:rsidR="00157AAA" w:rsidRDefault="006C1BE5">
            <w:pPr>
              <w:spacing w:before="120"/>
              <w:ind w:left="1170" w:right="-72" w:hanging="630"/>
            </w:pPr>
            <w:r>
              <w:lastRenderedPageBreak/>
              <w:t>21.3.1</w:t>
            </w:r>
            <w:r>
              <w:tab/>
            </w:r>
            <w:r>
              <w:rPr>
                <w:b/>
              </w:rPr>
              <w:t>Unless otherwise specified in the SCC</w:t>
            </w:r>
            <w:r>
              <w:t xml:space="preserve">, there will NO Controlling Technical Documents required.  However, </w:t>
            </w:r>
            <w:r>
              <w:rPr>
                <w:b/>
              </w:rPr>
              <w:t>if the SCC specifies</w:t>
            </w:r>
            <w:r>
              <w:t xml:space="preserve"> Controlling Technical Documents, the Supplier shall prepare and furnish such documents for the Project Manager’s approval or review.</w:t>
            </w:r>
          </w:p>
          <w:p w14:paraId="5C060723" w14:textId="77777777" w:rsidR="00157AAA" w:rsidRDefault="006C1BE5">
            <w:pPr>
              <w:spacing w:before="120"/>
              <w:ind w:left="1170" w:right="-72"/>
            </w:pPr>
            <w:r>
              <w:t>Any part of the System covered by or related to the documents to be approved by the Project Manager shall be executed only after the Project Manager’s approval of these documents.</w:t>
            </w:r>
          </w:p>
          <w:p w14:paraId="6E4CA6EC" w14:textId="77777777" w:rsidR="00157AAA" w:rsidRDefault="006C1BE5">
            <w:pPr>
              <w:spacing w:before="120"/>
              <w:ind w:left="1170" w:right="-72"/>
            </w:pPr>
            <w:r>
              <w:t>GCC Clauses 21.3.2 through 21.3.7 shall apply to those documents requiring the Project Manager’s approval, but not to those furnished to the Project Manager for its review only.</w:t>
            </w:r>
          </w:p>
          <w:p w14:paraId="0DACAA71" w14:textId="77777777" w:rsidR="00157AAA" w:rsidRDefault="006C1BE5">
            <w:pPr>
              <w:spacing w:before="120"/>
              <w:ind w:left="1170" w:right="-72" w:hanging="630"/>
            </w:pPr>
            <w:r>
              <w:t>21.3.2</w:t>
            </w:r>
            <w:r>
              <w:tab/>
              <w:t xml:space="preserve">Within fourteen (14) days after receipt by the Project Manager of any document requiring the Project Manager’s approval in accordance with GCC Clause 21.3.1, the Project Manager shall either return one copy of the document to the Supplier with its approval endorsed on the document or shall notify the Supplier in writing of its disapproval of the document and the reasons for disapproval and the modifications that the Project Manager proposes. If the Project Manager fails to take such action within </w:t>
            </w:r>
            <w:proofErr w:type="gramStart"/>
            <w:r>
              <w:t>the fourteen</w:t>
            </w:r>
            <w:proofErr w:type="gramEnd"/>
            <w:r>
              <w:t xml:space="preserve"> (14) days, then the document shall be deemed to have been approved by the Project Manager.</w:t>
            </w:r>
          </w:p>
          <w:p w14:paraId="34136A86" w14:textId="77777777" w:rsidR="00157AAA" w:rsidRDefault="006C1BE5">
            <w:pPr>
              <w:spacing w:before="120"/>
              <w:ind w:left="1170" w:right="-72" w:hanging="630"/>
            </w:pPr>
            <w:r>
              <w:t>21.3.3</w:t>
            </w:r>
            <w:r>
              <w:tab/>
              <w:t>The Project Manager shall not disapprove any document except on the grounds that the document does not comply with some specified provision of the Contract or that it is contrary to good industry practice.</w:t>
            </w:r>
          </w:p>
          <w:p w14:paraId="67EA565E" w14:textId="77777777" w:rsidR="00157AAA" w:rsidRDefault="006C1BE5">
            <w:pPr>
              <w:spacing w:before="120"/>
              <w:ind w:left="1170" w:right="-72" w:hanging="630"/>
            </w:pPr>
            <w:r>
              <w:t>21.3.4</w:t>
            </w:r>
            <w:r>
              <w:tab/>
              <w:t>If the Project Manager disapproves the document, the Supplier shall modify the document and resubmit it for the Project Manager’s approval in accordance with GCC Clause 21.3.2.  If the Project Manager approves the document subject to modification(s), the Supplier shall make the required modification(s), and the document shall then be deemed to have been approved, subject to GCC Clause 21.3.5.  The procedure set out in GCC Clauses 21.3.2 through 21.3.4 shall be repeated, as appropriate, until the Project Manager approves such documents.</w:t>
            </w:r>
          </w:p>
          <w:p w14:paraId="24003D20" w14:textId="77777777" w:rsidR="00157AAA" w:rsidRDefault="006C1BE5">
            <w:pPr>
              <w:spacing w:before="120"/>
              <w:ind w:left="1181" w:right="-72" w:hanging="634"/>
            </w:pPr>
            <w:r>
              <w:t>21.3.5</w:t>
            </w:r>
            <w:r>
              <w:tab/>
              <w:t xml:space="preserve">If any dispute occurs between the Purchaser and the Supplier in connection with or arising out of the disapproval by the Project Manager of any document </w:t>
            </w:r>
            <w:r>
              <w:lastRenderedPageBreak/>
              <w:t>and/or any modification(s) to a document that cannot be settled between the parties within a reasonable period, then, in case the Contract Agreement includes and names an Adjudicator, such dispute may be referred to the Adjudicator for determination in accordance with GCC Clause 43.1 (Adjudication).  If such dispute is referred to an Adjudicator, the Project Manager shall give instructions as to whether and if so, how, performance of the Contract is to proceed.  The Supplier shall proceed with the Contract in accordance with the Project Manager’s instructions, provided that if the Adjudicator upholds the Supplier’s view on the dispute and if the Purchaser has not given notice under GCC Clause 43.1.2, then the Supplier shall be reimbursed by the Purchaser for any additional costs incurred by reason of such instructions and shall be relieved of such responsibility or liability in connection with the dispute and the execution of the instructions as the Adjudicator shall decide, and the Time for Achieving Operational Acceptance shall be extended accordingly.</w:t>
            </w:r>
          </w:p>
          <w:p w14:paraId="3835BA75" w14:textId="77777777" w:rsidR="00157AAA" w:rsidRDefault="006C1BE5">
            <w:pPr>
              <w:spacing w:before="120"/>
              <w:ind w:left="1181" w:right="-72" w:hanging="634"/>
            </w:pPr>
            <w:r>
              <w:t>21.3.6</w:t>
            </w:r>
            <w:r>
              <w:tab/>
              <w:t>The Project Manager’s approval, with or without modification of the document furnished by the Supplier, shall not relieve the Supplier of any responsibility or liability imposed upon it by any provisions of the Contract except to the extent that any subsequent failure results from modifications required by the Project Manager or inaccurate information furnished in writing to the Supplier by or on behalf of the Purchaser.</w:t>
            </w:r>
          </w:p>
          <w:p w14:paraId="003EFF70" w14:textId="77777777" w:rsidR="00157AAA" w:rsidRDefault="006C1BE5">
            <w:pPr>
              <w:spacing w:before="120"/>
              <w:ind w:left="1181" w:right="-72" w:hanging="634"/>
            </w:pPr>
            <w:r>
              <w:t>21.3.7</w:t>
            </w:r>
            <w:r>
              <w:tab/>
              <w:t>The Supplier shall not depart from any approved document unless the Supplier has first submitted to the Project Manager an amended document and obtained the Project Manager’s approval of the document, pursuant to the provisions of this GCC Clause 21.3.  If the Project Manager requests any change in any already approved document and/or in any document based on such an approved document, the provisions of GCC Clause 39 (Changes to the System) shall apply to such request.</w:t>
            </w:r>
          </w:p>
        </w:tc>
      </w:tr>
      <w:tr w:rsidR="00157AAA" w14:paraId="762D404F" w14:textId="77777777">
        <w:tc>
          <w:tcPr>
            <w:tcW w:w="2412" w:type="dxa"/>
          </w:tcPr>
          <w:p w14:paraId="480495C9" w14:textId="77777777" w:rsidR="00157AAA" w:rsidRDefault="006C1BE5">
            <w:pPr>
              <w:pStyle w:val="Head62"/>
              <w:spacing w:before="120"/>
            </w:pPr>
            <w:bookmarkStart w:id="851" w:name="_Toc277233343"/>
            <w:bookmarkStart w:id="852" w:name="_Toc73977717"/>
            <w:r>
              <w:lastRenderedPageBreak/>
              <w:t>22.</w:t>
            </w:r>
            <w:r>
              <w:tab/>
              <w:t>Procurement, Delivery, and Transport</w:t>
            </w:r>
            <w:bookmarkEnd w:id="851"/>
            <w:bookmarkEnd w:id="852"/>
          </w:p>
        </w:tc>
        <w:tc>
          <w:tcPr>
            <w:tcW w:w="6588" w:type="dxa"/>
          </w:tcPr>
          <w:p w14:paraId="72F32DB4" w14:textId="77777777" w:rsidR="00157AAA" w:rsidRDefault="006C1BE5">
            <w:pPr>
              <w:spacing w:before="120"/>
              <w:ind w:left="793" w:right="-72" w:hanging="793"/>
            </w:pPr>
            <w:r>
              <w:t>22.1</w:t>
            </w:r>
            <w:r>
              <w:tab/>
              <w:t xml:space="preserve">Subject to related Purchaser's responsibilities pursuant to GCC Clauses 10 and 14, the Supplier shall manufacture or procure and transport all the Information Technologies, </w:t>
            </w:r>
            <w:r>
              <w:lastRenderedPageBreak/>
              <w:t>Materials, and other Goods in an expeditious and orderly manner to the Project Site.</w:t>
            </w:r>
          </w:p>
        </w:tc>
      </w:tr>
      <w:tr w:rsidR="00157AAA" w14:paraId="7137E11C" w14:textId="77777777">
        <w:tc>
          <w:tcPr>
            <w:tcW w:w="2412" w:type="dxa"/>
          </w:tcPr>
          <w:p w14:paraId="41090285" w14:textId="77777777" w:rsidR="00157AAA" w:rsidRDefault="00157AAA">
            <w:pPr>
              <w:spacing w:before="120"/>
              <w:jc w:val="left"/>
            </w:pPr>
          </w:p>
        </w:tc>
        <w:tc>
          <w:tcPr>
            <w:tcW w:w="6588" w:type="dxa"/>
          </w:tcPr>
          <w:p w14:paraId="11B290D8" w14:textId="77777777" w:rsidR="00157AAA" w:rsidRDefault="006C1BE5">
            <w:pPr>
              <w:spacing w:before="120"/>
              <w:ind w:left="793" w:right="-72" w:hanging="793"/>
            </w:pPr>
            <w:r>
              <w:t>22.2</w:t>
            </w:r>
            <w:r>
              <w:tab/>
              <w:t>Delivery of the Information Technologies, Materials, and other Goods shall be made by the Supplier in accordance with the Technical Requirements.</w:t>
            </w:r>
          </w:p>
          <w:p w14:paraId="0A6B70DC" w14:textId="77777777" w:rsidR="00157AAA" w:rsidRDefault="006C1BE5">
            <w:pPr>
              <w:spacing w:before="120"/>
              <w:ind w:left="793" w:right="-72" w:hanging="793"/>
            </w:pPr>
            <w:r>
              <w:t>22.3</w:t>
            </w:r>
            <w:r>
              <w:tab/>
              <w:t>Early or partial deliveries require the explicit written consent of the Purchaser, which consent shall not be unreasonably withheld.</w:t>
            </w:r>
          </w:p>
          <w:p w14:paraId="56D558D9" w14:textId="77777777" w:rsidR="00157AAA" w:rsidRDefault="006C1BE5">
            <w:pPr>
              <w:spacing w:before="120"/>
              <w:ind w:left="793" w:right="-72" w:hanging="793"/>
            </w:pPr>
            <w:r>
              <w:t>22.4</w:t>
            </w:r>
            <w:r>
              <w:tab/>
              <w:t>Transportation</w:t>
            </w:r>
          </w:p>
          <w:p w14:paraId="51BE6E1F" w14:textId="77777777" w:rsidR="00157AAA" w:rsidRDefault="006C1BE5">
            <w:pPr>
              <w:spacing w:before="120"/>
              <w:ind w:left="1209" w:right="-72" w:hanging="662"/>
            </w:pPr>
            <w:r>
              <w:t>22.4.1</w:t>
            </w:r>
            <w:r>
              <w:tab/>
              <w:t>The Supplier shall provide such packing of the Goods as is required to prevent their damage or deterioration during shipment.  The packing, marking, and documentation within and outside the packages shall comply strictly with the Purchaser’s instructions to the Supplier.</w:t>
            </w:r>
          </w:p>
          <w:p w14:paraId="11938DAE" w14:textId="77777777" w:rsidR="00157AAA" w:rsidRDefault="006C1BE5" w:rsidP="00D530D5">
            <w:pPr>
              <w:numPr>
                <w:ilvl w:val="2"/>
                <w:numId w:val="1"/>
              </w:numPr>
              <w:spacing w:before="120"/>
              <w:ind w:left="1209" w:right="-72" w:hanging="662"/>
            </w:pPr>
            <w:r>
              <w:t>The Supplier will bear responsibility for and cost of transport to the Project Sites in accordance with the terms and conditions used in the specification of prices in the Price Schedules, including the terms and conditions of the associated Incoterms.</w:t>
            </w:r>
          </w:p>
          <w:p w14:paraId="64AF0DB2" w14:textId="77777777" w:rsidR="00157AAA" w:rsidRDefault="006C1BE5" w:rsidP="00D530D5">
            <w:pPr>
              <w:numPr>
                <w:ilvl w:val="2"/>
                <w:numId w:val="1"/>
              </w:numPr>
              <w:spacing w:before="120"/>
              <w:ind w:left="1209" w:right="-72" w:hanging="662"/>
            </w:pPr>
            <w:r>
              <w:rPr>
                <w:b/>
              </w:rPr>
              <w:t>Unless otherwise specified in the SCC,</w:t>
            </w:r>
            <w:r>
              <w:t xml:space="preserve"> the Supplier shall be free to use transportation through carriers registered in any eligible country and to obtain insurance from any eligible source country.</w:t>
            </w:r>
          </w:p>
          <w:p w14:paraId="2AAD5C6D" w14:textId="77777777" w:rsidR="00157AAA" w:rsidRDefault="006C1BE5">
            <w:pPr>
              <w:spacing w:before="120"/>
              <w:ind w:left="793" w:right="-72" w:hanging="793"/>
            </w:pPr>
            <w:r>
              <w:t>22.5</w:t>
            </w:r>
            <w:r>
              <w:tab/>
            </w:r>
            <w:r>
              <w:rPr>
                <w:b/>
              </w:rPr>
              <w:t>Unless otherwise specified in the SCC,</w:t>
            </w:r>
            <w:r>
              <w:t xml:space="preserve"> the Supplier will provide the Purchaser with shipping and other documents, as specified below:</w:t>
            </w:r>
          </w:p>
          <w:p w14:paraId="57BF979D" w14:textId="77777777" w:rsidR="00157AAA" w:rsidRDefault="006C1BE5">
            <w:pPr>
              <w:spacing w:before="120"/>
              <w:ind w:left="1243" w:right="-72" w:hanging="630"/>
            </w:pPr>
            <w:r>
              <w:t>22.5.1</w:t>
            </w:r>
            <w:r>
              <w:tab/>
              <w:t xml:space="preserve">For Goods supplied from outside the Purchaser’s Country: </w:t>
            </w:r>
          </w:p>
          <w:p w14:paraId="6C284FF4" w14:textId="77777777" w:rsidR="00157AAA" w:rsidRDefault="006C1BE5">
            <w:pPr>
              <w:spacing w:before="120"/>
              <w:ind w:left="1243" w:right="-72"/>
            </w:pPr>
            <w:r>
              <w:t>Upon shipment, the Supplier shall notify the Purchaser and the insurance company contracted by the Supplier to provide cargo insurance by cable, facsimile, electronic mail, or EDI with the full details of the shipment.  The Supplier shall promptly send the following documents to the Purchaser by mail or courier, as appropriate, with a copy to the cargo insurance company:</w:t>
            </w:r>
          </w:p>
          <w:p w14:paraId="61902F63" w14:textId="77777777" w:rsidR="00157AAA" w:rsidRDefault="006C1BE5">
            <w:pPr>
              <w:spacing w:before="120"/>
              <w:ind w:left="1783" w:right="-72" w:hanging="547"/>
            </w:pPr>
            <w:r>
              <w:t>(a)</w:t>
            </w:r>
            <w:r>
              <w:tab/>
              <w:t xml:space="preserve">two copies of the Supplier’s invoice showing the description of the Goods, quantity, unit price, and total </w:t>
            </w:r>
            <w:proofErr w:type="gramStart"/>
            <w:r>
              <w:t>amount;</w:t>
            </w:r>
            <w:proofErr w:type="gramEnd"/>
          </w:p>
          <w:p w14:paraId="7376CA98" w14:textId="77777777" w:rsidR="00157AAA" w:rsidRDefault="006C1BE5">
            <w:pPr>
              <w:spacing w:before="120"/>
              <w:ind w:left="1783" w:right="-72" w:hanging="540"/>
            </w:pPr>
            <w:r>
              <w:t>(b)</w:t>
            </w:r>
            <w:r>
              <w:tab/>
              <w:t xml:space="preserve">usual transportation </w:t>
            </w:r>
            <w:proofErr w:type="gramStart"/>
            <w:r>
              <w:t>documents;</w:t>
            </w:r>
            <w:proofErr w:type="gramEnd"/>
          </w:p>
          <w:p w14:paraId="2F471D0F" w14:textId="77777777" w:rsidR="00157AAA" w:rsidRDefault="006C1BE5">
            <w:pPr>
              <w:spacing w:before="120"/>
              <w:ind w:left="1783" w:right="-72" w:hanging="540"/>
            </w:pPr>
            <w:r>
              <w:lastRenderedPageBreak/>
              <w:t>(c)</w:t>
            </w:r>
            <w:r>
              <w:tab/>
              <w:t xml:space="preserve">insurance </w:t>
            </w:r>
            <w:proofErr w:type="gramStart"/>
            <w:r>
              <w:t>certificate;</w:t>
            </w:r>
            <w:proofErr w:type="gramEnd"/>
            <w:r>
              <w:t xml:space="preserve"> </w:t>
            </w:r>
          </w:p>
          <w:p w14:paraId="56329B65" w14:textId="77777777" w:rsidR="00157AAA" w:rsidRDefault="006C1BE5">
            <w:pPr>
              <w:spacing w:before="120"/>
              <w:ind w:left="1783" w:right="-72" w:hanging="540"/>
            </w:pPr>
            <w:r>
              <w:t>(d)</w:t>
            </w:r>
            <w:r>
              <w:tab/>
              <w:t>certificate(s) of origin; and</w:t>
            </w:r>
          </w:p>
          <w:p w14:paraId="6E804E73" w14:textId="77777777" w:rsidR="00157AAA" w:rsidRDefault="006C1BE5">
            <w:pPr>
              <w:spacing w:before="120"/>
              <w:ind w:left="1783" w:right="-72" w:hanging="540"/>
            </w:pPr>
            <w:r>
              <w:t xml:space="preserve">(e) </w:t>
            </w:r>
            <w:r>
              <w:tab/>
              <w:t>estimated time and point of arrival in the Purchaser’s Country and at the site.</w:t>
            </w:r>
          </w:p>
          <w:p w14:paraId="4B4E8D09" w14:textId="77777777" w:rsidR="00157AAA" w:rsidRDefault="006C1BE5">
            <w:pPr>
              <w:spacing w:before="120"/>
              <w:ind w:left="1080" w:right="-72" w:hanging="540"/>
            </w:pPr>
            <w:r>
              <w:t>22.5.2</w:t>
            </w:r>
            <w:r>
              <w:tab/>
              <w:t>For Goods supplied locally (i.e., from within the Purchaser’s country):</w:t>
            </w:r>
          </w:p>
          <w:p w14:paraId="1F856478" w14:textId="77777777" w:rsidR="00157AAA" w:rsidRDefault="006C1BE5">
            <w:pPr>
              <w:spacing w:before="120"/>
              <w:ind w:left="1080" w:right="-72"/>
            </w:pPr>
            <w:r>
              <w:t>Upon shipment, the Supplier shall notify the Purchaser by cable, facsimile, electronic mail, or EDI with the full details of the shipment.  The Supplier shall promptly send the following documents to the Purchaser by mail or courier, as appropriate:</w:t>
            </w:r>
          </w:p>
          <w:p w14:paraId="5B6C0D09" w14:textId="77777777" w:rsidR="00157AAA" w:rsidRDefault="006C1BE5">
            <w:pPr>
              <w:spacing w:before="120"/>
              <w:ind w:left="1785" w:right="-72" w:hanging="547"/>
            </w:pPr>
            <w:r>
              <w:t>(a)</w:t>
            </w:r>
            <w:r>
              <w:tab/>
              <w:t xml:space="preserve">two copies of the Supplier’s invoice showing the Goods’ description, quantity, unit price, and total </w:t>
            </w:r>
            <w:proofErr w:type="gramStart"/>
            <w:r>
              <w:t>amount;</w:t>
            </w:r>
            <w:proofErr w:type="gramEnd"/>
          </w:p>
          <w:p w14:paraId="5B3CEA02" w14:textId="77777777" w:rsidR="00157AAA" w:rsidRDefault="006C1BE5">
            <w:pPr>
              <w:spacing w:before="120"/>
              <w:ind w:left="1785" w:right="-72" w:hanging="547"/>
            </w:pPr>
            <w:r>
              <w:t>(b)</w:t>
            </w:r>
            <w:r>
              <w:tab/>
              <w:t xml:space="preserve">delivery note, railway receipt, or truck </w:t>
            </w:r>
            <w:proofErr w:type="gramStart"/>
            <w:r>
              <w:t>receipt;</w:t>
            </w:r>
            <w:proofErr w:type="gramEnd"/>
            <w:r>
              <w:t xml:space="preserve"> </w:t>
            </w:r>
          </w:p>
          <w:p w14:paraId="4AEA4377" w14:textId="77777777" w:rsidR="00157AAA" w:rsidRDefault="006C1BE5">
            <w:pPr>
              <w:spacing w:before="120"/>
              <w:ind w:left="1785" w:right="-72" w:hanging="547"/>
            </w:pPr>
            <w:r>
              <w:t>(c)</w:t>
            </w:r>
            <w:r>
              <w:tab/>
              <w:t xml:space="preserve">certificate of </w:t>
            </w:r>
            <w:proofErr w:type="gramStart"/>
            <w:r>
              <w:t>insurance;</w:t>
            </w:r>
            <w:proofErr w:type="gramEnd"/>
            <w:r>
              <w:t xml:space="preserve"> </w:t>
            </w:r>
          </w:p>
          <w:p w14:paraId="182B05EC" w14:textId="77777777" w:rsidR="00157AAA" w:rsidRDefault="006C1BE5">
            <w:pPr>
              <w:spacing w:before="120"/>
              <w:ind w:left="1785" w:right="-72" w:hanging="547"/>
            </w:pPr>
            <w:r>
              <w:t>(d)</w:t>
            </w:r>
            <w:r>
              <w:tab/>
              <w:t>certificate(s) of origin; and</w:t>
            </w:r>
          </w:p>
          <w:p w14:paraId="458EF278" w14:textId="77777777" w:rsidR="00157AAA" w:rsidRDefault="006C1BE5">
            <w:pPr>
              <w:spacing w:before="120"/>
              <w:ind w:left="1785" w:right="-72" w:hanging="547"/>
            </w:pPr>
            <w:r>
              <w:t>(e)</w:t>
            </w:r>
            <w:r>
              <w:tab/>
              <w:t>estimated time of arrival at the site.</w:t>
            </w:r>
          </w:p>
          <w:p w14:paraId="17F8C73A" w14:textId="77777777" w:rsidR="00157AAA" w:rsidRDefault="006C1BE5">
            <w:pPr>
              <w:spacing w:before="120"/>
              <w:ind w:left="793" w:right="-72" w:hanging="793"/>
            </w:pPr>
            <w:r>
              <w:t>22.6</w:t>
            </w:r>
            <w:r>
              <w:tab/>
              <w:t>Customs Clearance</w:t>
            </w:r>
          </w:p>
          <w:p w14:paraId="3DFFC98C" w14:textId="77777777" w:rsidR="00157AAA" w:rsidRDefault="006C1BE5">
            <w:pPr>
              <w:spacing w:before="120"/>
              <w:ind w:left="1423" w:right="-72" w:hanging="630"/>
            </w:pPr>
            <w:r>
              <w:t>(a)</w:t>
            </w:r>
            <w:r>
              <w:tab/>
              <w:t xml:space="preserve">The Purchaser will bear responsibility for, and cost of, customs clearance into the Purchaser's country in accordance the </w:t>
            </w:r>
            <w:proofErr w:type="gramStart"/>
            <w:r>
              <w:t>particular Incoterm(s)</w:t>
            </w:r>
            <w:proofErr w:type="gramEnd"/>
            <w:r>
              <w:t xml:space="preserve"> used for Goods supplied from outside the Purchaser’s country in the Price Schedules referred to by Article 2 of the Contract Agreement. </w:t>
            </w:r>
          </w:p>
          <w:p w14:paraId="18E3D2A8" w14:textId="77777777" w:rsidR="00157AAA" w:rsidRDefault="006C1BE5">
            <w:pPr>
              <w:spacing w:before="120"/>
              <w:ind w:left="1423" w:right="-72" w:hanging="630"/>
            </w:pPr>
            <w:r>
              <w:t>(b)</w:t>
            </w:r>
            <w:r>
              <w:tab/>
              <w:t>At the request of the Purchaser, the Supplier will make available a representative or agent during the process of customs clearance in the Purchaser's country for goods supplied from outside the Purchaser's country.  In the event of delays in customs clearance that are not the fault of the Supplier:</w:t>
            </w:r>
          </w:p>
          <w:p w14:paraId="771545DA" w14:textId="77777777" w:rsidR="00157AAA" w:rsidRDefault="006C1BE5">
            <w:pPr>
              <w:spacing w:before="120"/>
              <w:ind w:left="1963" w:right="-72" w:hanging="540"/>
            </w:pPr>
            <w:r>
              <w:t>(</w:t>
            </w:r>
            <w:proofErr w:type="spellStart"/>
            <w:r>
              <w:t>i</w:t>
            </w:r>
            <w:proofErr w:type="spellEnd"/>
            <w:r>
              <w:t>)</w:t>
            </w:r>
            <w:r>
              <w:tab/>
              <w:t xml:space="preserve">the Supplier shall be entitled to an extension in the Time for Achieving Operational Acceptance, pursuant to GCC Clause </w:t>
            </w:r>
            <w:proofErr w:type="gramStart"/>
            <w:r>
              <w:t>40;</w:t>
            </w:r>
            <w:proofErr w:type="gramEnd"/>
          </w:p>
          <w:p w14:paraId="0625BFB3" w14:textId="77777777" w:rsidR="00157AAA" w:rsidRDefault="006C1BE5">
            <w:pPr>
              <w:spacing w:before="120"/>
              <w:ind w:left="1963" w:right="-72" w:hanging="634"/>
            </w:pPr>
            <w:r>
              <w:t>(ii)</w:t>
            </w:r>
            <w:r>
              <w:tab/>
              <w:t xml:space="preserve">the Contract Price shall be adjusted to compensate the Supplier for any additional storage charges that the Supplier may incur </w:t>
            </w:r>
            <w:proofErr w:type="gramStart"/>
            <w:r>
              <w:t>as a result of</w:t>
            </w:r>
            <w:proofErr w:type="gramEnd"/>
            <w:r>
              <w:t xml:space="preserve"> the delay.</w:t>
            </w:r>
          </w:p>
        </w:tc>
      </w:tr>
      <w:tr w:rsidR="00157AAA" w14:paraId="4AA73C27" w14:textId="77777777">
        <w:tc>
          <w:tcPr>
            <w:tcW w:w="2412" w:type="dxa"/>
          </w:tcPr>
          <w:p w14:paraId="07C3DA06" w14:textId="77777777" w:rsidR="00157AAA" w:rsidRDefault="006C1BE5">
            <w:pPr>
              <w:pStyle w:val="Head62"/>
              <w:spacing w:before="120"/>
            </w:pPr>
            <w:bookmarkStart w:id="853" w:name="_Toc277233344"/>
            <w:bookmarkStart w:id="854" w:name="_Toc73977718"/>
            <w:r>
              <w:lastRenderedPageBreak/>
              <w:t>23.</w:t>
            </w:r>
            <w:r>
              <w:tab/>
              <w:t>Product Upgrades</w:t>
            </w:r>
            <w:bookmarkEnd w:id="853"/>
            <w:bookmarkEnd w:id="854"/>
          </w:p>
        </w:tc>
        <w:tc>
          <w:tcPr>
            <w:tcW w:w="6588" w:type="dxa"/>
          </w:tcPr>
          <w:p w14:paraId="7F8FCC8D" w14:textId="77777777" w:rsidR="00157AAA" w:rsidRDefault="006C1BE5">
            <w:pPr>
              <w:spacing w:before="120"/>
              <w:ind w:left="793" w:right="-72" w:hanging="793"/>
            </w:pPr>
            <w:r>
              <w:t>23.1</w:t>
            </w:r>
            <w:r>
              <w:tab/>
              <w:t>At any point during performance of the Contract, should technological advances be introduced by the Supplier for Information Technologies originally offered by the Supplier in its bid and still to be delivered, the Supplier shall be obligated to offer to the Purchaser the latest versions of the available Information Technologies having equal or better performance or functionality at the same or lesser unit prices, pursuant to GCC Clause 39 (Changes to the System).</w:t>
            </w:r>
          </w:p>
        </w:tc>
      </w:tr>
      <w:tr w:rsidR="00157AAA" w14:paraId="021D5B15" w14:textId="77777777">
        <w:tc>
          <w:tcPr>
            <w:tcW w:w="2412" w:type="dxa"/>
          </w:tcPr>
          <w:p w14:paraId="0CBB729F" w14:textId="77777777" w:rsidR="00157AAA" w:rsidRDefault="00157AAA">
            <w:pPr>
              <w:spacing w:before="120"/>
              <w:jc w:val="left"/>
            </w:pPr>
          </w:p>
        </w:tc>
        <w:tc>
          <w:tcPr>
            <w:tcW w:w="6588" w:type="dxa"/>
          </w:tcPr>
          <w:p w14:paraId="0E28F80F" w14:textId="77777777" w:rsidR="00157AAA" w:rsidRDefault="006C1BE5">
            <w:pPr>
              <w:spacing w:before="120"/>
              <w:ind w:left="793" w:right="-72" w:hanging="793"/>
            </w:pPr>
            <w:r>
              <w:t>23.2</w:t>
            </w:r>
            <w:r>
              <w:tab/>
              <w:t>At any point during performance of the Contract, for Information Technologies still to be delivered, the Supplier will also pass on to the Purchaser any cost reductions and additional and/or improved support and facilities that it offers to other clients of the Supplier in the Purchaser’s Country, pursuant to GCC Clause 39 (Changes to the System).</w:t>
            </w:r>
          </w:p>
          <w:p w14:paraId="54C11710" w14:textId="77777777" w:rsidR="00157AAA" w:rsidRDefault="006C1BE5">
            <w:pPr>
              <w:spacing w:before="120"/>
              <w:ind w:left="793" w:right="-72" w:hanging="793"/>
            </w:pPr>
            <w:r>
              <w:t>23.3</w:t>
            </w:r>
            <w:r>
              <w:tab/>
              <w:t xml:space="preserve">During performance of the Contract, the Supplier shall offer to the Purchaser all new versions, releases, and updates of Standard Software, as well as related documentation and technical support services, within thirty (30) days of their availability from the Supplier to other clients of the Supplier in the Purchaser’s Country, and no later than twelve (12) months after they are released in the country of origin.  In no case will the prices for </w:t>
            </w:r>
            <w:proofErr w:type="gramStart"/>
            <w:r>
              <w:t>these</w:t>
            </w:r>
            <w:proofErr w:type="gramEnd"/>
            <w:r>
              <w:t xml:space="preserve"> Software exceed those quoted by the Supplier in the Recurrent Costs tables in its bid.  </w:t>
            </w:r>
          </w:p>
          <w:p w14:paraId="0E9EA2D2" w14:textId="77777777" w:rsidR="00157AAA" w:rsidRDefault="006C1BE5">
            <w:pPr>
              <w:spacing w:before="120"/>
              <w:ind w:left="793" w:right="-72" w:hanging="793"/>
            </w:pPr>
            <w:r>
              <w:t>23.4</w:t>
            </w:r>
            <w:r>
              <w:tab/>
            </w:r>
            <w:r>
              <w:rPr>
                <w:b/>
              </w:rPr>
              <w:t>Unless otherwise specified in the SCC,</w:t>
            </w:r>
            <w:r>
              <w:t xml:space="preserve"> during the Warranty Period, the Supplier will provide at no additional cost to the Purchaser all new versions, releases, and updates for all Standard Software that are used in the System, within thirty (30) days of their availability from the Supplier to other clients of the Supplier in the Purchaser’s country, and no later than twelve (12) months after they are released in the country of origin of the Software.  </w:t>
            </w:r>
          </w:p>
          <w:p w14:paraId="76D91C3E" w14:textId="77777777" w:rsidR="00157AAA" w:rsidRDefault="006C1BE5">
            <w:pPr>
              <w:spacing w:before="120"/>
              <w:ind w:left="793" w:right="-72" w:hanging="793"/>
            </w:pPr>
            <w:r>
              <w:t>23.5</w:t>
            </w:r>
            <w:r>
              <w:tab/>
              <w:t xml:space="preserve">The Purchaser shall introduce all new versions, </w:t>
            </w:r>
            <w:proofErr w:type="gramStart"/>
            <w:r>
              <w:t>releases</w:t>
            </w:r>
            <w:proofErr w:type="gramEnd"/>
            <w:r>
              <w:t xml:space="preserve"> or updates of the Software within eighteen (18) months of receipt of a production-ready copy of the new version, release, or update, provided that the new version, release, or update does not adversely affect System operation or performance or require extensive reworking of the System.  In cases where the new version, release, or update adversely affects System operation or performance, or requires extensive reworking of the System, the Supplier shall continue to support and maintain the version or release </w:t>
            </w:r>
            <w:r>
              <w:lastRenderedPageBreak/>
              <w:t xml:space="preserve">previously in operation for as long as necessary to allow introduction of the new version, release, or update.  In no case shall the Supplier stop supporting or maintaining a version or release of the Software less than </w:t>
            </w:r>
            <w:proofErr w:type="gramStart"/>
            <w:r>
              <w:t>twenty four</w:t>
            </w:r>
            <w:proofErr w:type="gramEnd"/>
            <w:r>
              <w:t xml:space="preserve"> (24) months after the Purchaser receives a production-ready copy of a subsequent version, release, or update.  The Purchaser shall use all reasonable endeavors to implement any new version, release, or update as soon as practicable, subject to the twenty-four-month-long stop date.</w:t>
            </w:r>
          </w:p>
        </w:tc>
      </w:tr>
      <w:tr w:rsidR="00157AAA" w14:paraId="145D2D33" w14:textId="77777777">
        <w:trPr>
          <w:cantSplit/>
        </w:trPr>
        <w:tc>
          <w:tcPr>
            <w:tcW w:w="2412" w:type="dxa"/>
          </w:tcPr>
          <w:p w14:paraId="3B3BDF1D" w14:textId="77777777" w:rsidR="00157AAA" w:rsidRDefault="006C1BE5">
            <w:pPr>
              <w:pStyle w:val="Head62"/>
              <w:spacing w:before="120"/>
            </w:pPr>
            <w:bookmarkStart w:id="855" w:name="_Toc277233345"/>
            <w:bookmarkStart w:id="856" w:name="_Toc73977719"/>
            <w:r>
              <w:lastRenderedPageBreak/>
              <w:t>24.</w:t>
            </w:r>
            <w:r>
              <w:tab/>
              <w:t>Implementation, Installation, and Other Services</w:t>
            </w:r>
            <w:bookmarkEnd w:id="855"/>
            <w:bookmarkEnd w:id="856"/>
          </w:p>
        </w:tc>
        <w:tc>
          <w:tcPr>
            <w:tcW w:w="6588" w:type="dxa"/>
          </w:tcPr>
          <w:p w14:paraId="02EB3502" w14:textId="77777777" w:rsidR="00157AAA" w:rsidRDefault="006C1BE5">
            <w:pPr>
              <w:spacing w:before="120"/>
              <w:ind w:left="793" w:right="-72" w:hanging="793"/>
            </w:pPr>
            <w:r>
              <w:t>24.1</w:t>
            </w:r>
            <w:r>
              <w:tab/>
              <w:t xml:space="preserve">The Supplier shall provide all Services specified in the Contract and Agreed Project Plan in accordance with the highest standards of professional competence and integrity.  </w:t>
            </w:r>
          </w:p>
        </w:tc>
      </w:tr>
      <w:tr w:rsidR="00157AAA" w14:paraId="57A6F3C6" w14:textId="77777777">
        <w:tc>
          <w:tcPr>
            <w:tcW w:w="2412" w:type="dxa"/>
          </w:tcPr>
          <w:p w14:paraId="559BBC18" w14:textId="77777777" w:rsidR="00157AAA" w:rsidRDefault="00157AAA">
            <w:pPr>
              <w:spacing w:before="120"/>
              <w:jc w:val="left"/>
            </w:pPr>
          </w:p>
        </w:tc>
        <w:tc>
          <w:tcPr>
            <w:tcW w:w="6588" w:type="dxa"/>
          </w:tcPr>
          <w:p w14:paraId="528BC8E6" w14:textId="77777777" w:rsidR="00157AAA" w:rsidRDefault="006C1BE5">
            <w:pPr>
              <w:spacing w:before="120"/>
              <w:ind w:left="793" w:right="-72" w:hanging="793"/>
            </w:pPr>
            <w:r>
              <w:t>24.2</w:t>
            </w:r>
            <w:r>
              <w:tab/>
              <w:t>Prices charged by the Supplier for Services, if not included in the Contract, shall be agreed upon in advance by the parties (including, but not restricted to, any prices submitted by the Supplier in the Recurrent Cost Schedules of its Bid) and shall not exceed the prevailing rates charged by the Supplier to other purchasers in the Purchaser’s Country for similar services.</w:t>
            </w:r>
          </w:p>
        </w:tc>
      </w:tr>
      <w:tr w:rsidR="00157AAA" w14:paraId="522A835D" w14:textId="77777777">
        <w:trPr>
          <w:cantSplit/>
        </w:trPr>
        <w:tc>
          <w:tcPr>
            <w:tcW w:w="2412" w:type="dxa"/>
          </w:tcPr>
          <w:p w14:paraId="3AE2D310" w14:textId="77777777" w:rsidR="00157AAA" w:rsidRDefault="006C1BE5">
            <w:pPr>
              <w:pStyle w:val="Head62"/>
              <w:spacing w:before="120"/>
            </w:pPr>
            <w:bookmarkStart w:id="857" w:name="_Toc277233346"/>
            <w:bookmarkStart w:id="858" w:name="_Toc73977720"/>
            <w:r>
              <w:t>25.</w:t>
            </w:r>
            <w:r>
              <w:tab/>
              <w:t>Inspections and Tests</w:t>
            </w:r>
            <w:bookmarkEnd w:id="857"/>
            <w:bookmarkEnd w:id="858"/>
          </w:p>
        </w:tc>
        <w:tc>
          <w:tcPr>
            <w:tcW w:w="6588" w:type="dxa"/>
          </w:tcPr>
          <w:p w14:paraId="2AC7E860" w14:textId="77777777" w:rsidR="00157AAA" w:rsidRDefault="006C1BE5">
            <w:pPr>
              <w:spacing w:before="120"/>
              <w:ind w:left="793" w:right="-72" w:hanging="793"/>
            </w:pPr>
            <w:r>
              <w:t>25.1</w:t>
            </w:r>
            <w:r>
              <w:tab/>
              <w:t xml:space="preserve">The Purchaser or its representative shall have the right to inspect and/or test any components of the System, as specified in the Technical Requirements, to confirm their good working order and/or conformity to the Contract at the point of delivery and/or at the Project Site.  </w:t>
            </w:r>
          </w:p>
        </w:tc>
      </w:tr>
      <w:tr w:rsidR="00157AAA" w14:paraId="5D6C2B56" w14:textId="77777777">
        <w:tc>
          <w:tcPr>
            <w:tcW w:w="2412" w:type="dxa"/>
          </w:tcPr>
          <w:p w14:paraId="43FE747B" w14:textId="77777777" w:rsidR="00157AAA" w:rsidRDefault="00157AAA">
            <w:pPr>
              <w:spacing w:before="120"/>
              <w:jc w:val="left"/>
            </w:pPr>
          </w:p>
        </w:tc>
        <w:tc>
          <w:tcPr>
            <w:tcW w:w="6588" w:type="dxa"/>
          </w:tcPr>
          <w:p w14:paraId="13C76987" w14:textId="77777777" w:rsidR="00157AAA" w:rsidRDefault="006C1BE5">
            <w:pPr>
              <w:spacing w:before="120"/>
              <w:ind w:left="793" w:right="-72" w:hanging="793"/>
            </w:pPr>
            <w:r>
              <w:t>25.2</w:t>
            </w:r>
            <w:r>
              <w:tab/>
              <w:t>The Purchaser or its representative shall be entitled to attend any such inspections and/or tests of the components, provided that the Purchaser shall bear all costs and expenses incurred in connection with such attendance, including but not limited to all inspection agent fees, travel, and related expenses.</w:t>
            </w:r>
          </w:p>
          <w:p w14:paraId="64282786" w14:textId="77777777" w:rsidR="00157AAA" w:rsidRDefault="006C1BE5">
            <w:pPr>
              <w:spacing w:before="120"/>
              <w:ind w:left="793" w:right="-72" w:hanging="793"/>
            </w:pPr>
            <w:r>
              <w:t>25.3</w:t>
            </w:r>
            <w:r>
              <w:tab/>
              <w:t>Should the inspected or tested components fail to conform to the Contract, the Purchaser may reject the component(s), and the Supplier shall either replace the rejected component(s</w:t>
            </w:r>
            <w:proofErr w:type="gramStart"/>
            <w:r>
              <w:t>), or</w:t>
            </w:r>
            <w:proofErr w:type="gramEnd"/>
            <w:r>
              <w:t xml:space="preserve"> make alterations as necessary so that it meets the Contract requirements free of cost to the Purchaser.</w:t>
            </w:r>
          </w:p>
          <w:p w14:paraId="73812475" w14:textId="77777777" w:rsidR="00157AAA" w:rsidRDefault="006C1BE5">
            <w:pPr>
              <w:spacing w:before="120"/>
              <w:ind w:left="793" w:right="-72" w:hanging="793"/>
            </w:pPr>
            <w:r>
              <w:t>25.4</w:t>
            </w:r>
            <w:r>
              <w:tab/>
              <w:t xml:space="preserve">The Project Manager may require the Supplier to carry out any inspection and/or test not specified in the Contract, provided that the Supplier’s reasonable costs and expenses incurred in the carrying out of such inspection and/or test shall be added to the Contract Price.  Further, if such inspection and/or test impedes the progress of work on the </w:t>
            </w:r>
            <w:r>
              <w:lastRenderedPageBreak/>
              <w:t>System and/or the Supplier’s performance of its other obligations under the Contract, due allowance will be made in respect of the Time for Achieving Operational Acceptance and the other obligations so affected.</w:t>
            </w:r>
          </w:p>
          <w:p w14:paraId="3C60821B" w14:textId="77777777" w:rsidR="00157AAA" w:rsidRDefault="006C1BE5">
            <w:pPr>
              <w:spacing w:before="120"/>
              <w:ind w:left="793" w:right="-72" w:hanging="793"/>
            </w:pPr>
            <w:r>
              <w:t>25.5</w:t>
            </w:r>
            <w:r>
              <w:tab/>
              <w:t>If any dispute shall arise between the parties in connection with or caused by an inspection and/or with regard to any component to be incorporated in the System that cannot be settled amicably between the parties within a reasonable period of time, either party may invoke the process pursuant to GCC Clause 43 (Settlement of Disputes), starting with referral of the matter to the Adjudicator in case an Adjudicator is included and named in the Contract Agreement.</w:t>
            </w:r>
          </w:p>
        </w:tc>
      </w:tr>
      <w:tr w:rsidR="00157AAA" w14:paraId="0256697A" w14:textId="77777777">
        <w:tc>
          <w:tcPr>
            <w:tcW w:w="2412" w:type="dxa"/>
          </w:tcPr>
          <w:p w14:paraId="19C760CE" w14:textId="77777777" w:rsidR="00157AAA" w:rsidRDefault="006C1BE5">
            <w:pPr>
              <w:pStyle w:val="Head62"/>
              <w:spacing w:before="120"/>
            </w:pPr>
            <w:bookmarkStart w:id="859" w:name="_Toc277233347"/>
            <w:bookmarkStart w:id="860" w:name="_Toc73977721"/>
            <w:r>
              <w:lastRenderedPageBreak/>
              <w:t>26.</w:t>
            </w:r>
            <w:r>
              <w:tab/>
              <w:t>Installation of the System</w:t>
            </w:r>
            <w:bookmarkEnd w:id="859"/>
            <w:bookmarkEnd w:id="860"/>
          </w:p>
        </w:tc>
        <w:tc>
          <w:tcPr>
            <w:tcW w:w="6588" w:type="dxa"/>
          </w:tcPr>
          <w:p w14:paraId="10D97B28" w14:textId="77777777" w:rsidR="00157AAA" w:rsidRDefault="006C1BE5">
            <w:pPr>
              <w:spacing w:before="120"/>
              <w:ind w:left="793" w:right="-72" w:hanging="793"/>
            </w:pPr>
            <w:r>
              <w:t>26.1</w:t>
            </w:r>
            <w:r>
              <w:tab/>
              <w:t xml:space="preserve">As soon as the System, or any Subsystem, has, in the opinion of the Supplier, been delivered, </w:t>
            </w:r>
            <w:proofErr w:type="gramStart"/>
            <w:r>
              <w:t>Pre-commissioned</w:t>
            </w:r>
            <w:proofErr w:type="gramEnd"/>
            <w:r>
              <w:t>, and made ready for Commissioning and Operational Acceptance Testing in accordance with the Technical Requirements, the SCC and the Agreed Project Plan, the Supplier shall so notify the Purchaser in writing.</w:t>
            </w:r>
          </w:p>
        </w:tc>
      </w:tr>
      <w:tr w:rsidR="00157AAA" w14:paraId="0B92D854" w14:textId="77777777">
        <w:tc>
          <w:tcPr>
            <w:tcW w:w="2412" w:type="dxa"/>
          </w:tcPr>
          <w:p w14:paraId="48192CC9" w14:textId="77777777" w:rsidR="00157AAA" w:rsidRDefault="00157AAA">
            <w:pPr>
              <w:spacing w:before="120"/>
              <w:jc w:val="left"/>
            </w:pPr>
          </w:p>
        </w:tc>
        <w:tc>
          <w:tcPr>
            <w:tcW w:w="6588" w:type="dxa"/>
          </w:tcPr>
          <w:p w14:paraId="08D7EF18" w14:textId="77777777" w:rsidR="00157AAA" w:rsidRDefault="006C1BE5">
            <w:pPr>
              <w:spacing w:before="120"/>
              <w:ind w:left="793" w:right="-72" w:hanging="793"/>
            </w:pPr>
            <w:r>
              <w:t>26.2</w:t>
            </w:r>
            <w:r>
              <w:tab/>
              <w:t>The Project Manager shall, within fourteen (14) days after receipt of the Supplier’s notice under GCC Clause 26.1, either issue an Installation Certificate in the form specified in the Sample Contractual Forms Section in the bidding documents, stating that the System, or major component or Subsystem (if Acceptance by major component or Subsystem is specified pursuant to the SCC for GCC Clause 27.2.1), has achieved Installation by the date of the Supplier’s notice under GCC Clause 26.1, or notify the Supplier in writing of any defects and/or deficiencies, including, but not limited to, defects or deficiencies in the interoperability or integration of the various components and/or Subsystems making up the System.  The Supplier shall use all reasonable endeavors to promptly remedy any defect and/or deficiencies that the Project Manager has notified the Supplier of.  The Supplier shall then promptly carry out retesting of the System or Subsystem and, when in the Supplier’s opinion the System or Subsystem is ready for Commissioning and Operational Acceptance Testing, notify the Purchaser in writing, in accordance with GCC Clause 26.1. The procedure set out in this GCC Clause 26.2 shall be repeated, as necessary, until an Installation Certificate is issued.</w:t>
            </w:r>
          </w:p>
          <w:p w14:paraId="5EFC2E8E" w14:textId="77777777" w:rsidR="00157AAA" w:rsidRDefault="006C1BE5">
            <w:pPr>
              <w:spacing w:before="120"/>
              <w:ind w:left="793" w:right="-72" w:hanging="793"/>
            </w:pPr>
            <w:r>
              <w:t>26.3</w:t>
            </w:r>
            <w:r>
              <w:tab/>
              <w:t xml:space="preserve">If the Project Manager fails to issue the Installation Certificate and fails to inform the Supplier of any defects </w:t>
            </w:r>
            <w:r>
              <w:lastRenderedPageBreak/>
              <w:t>and/or deficiencies within fourteen (14) days after receipt of the Supplier’s notice under GCC Clause 26.1, or if the Purchaser puts the System or a Subsystem into production operation, then the System (or Subsystem) shall be deemed to have achieved successful Installation as of the date of the Supplier’s notice or repeated notice, or when the Purchaser put the System into production operation, as the case may be.</w:t>
            </w:r>
          </w:p>
        </w:tc>
      </w:tr>
      <w:tr w:rsidR="00157AAA" w14:paraId="4DB2976D" w14:textId="77777777">
        <w:tc>
          <w:tcPr>
            <w:tcW w:w="2412" w:type="dxa"/>
          </w:tcPr>
          <w:p w14:paraId="1B81C0B8" w14:textId="77777777" w:rsidR="00157AAA" w:rsidRDefault="006C1BE5">
            <w:pPr>
              <w:pStyle w:val="Head62"/>
              <w:spacing w:before="120"/>
            </w:pPr>
            <w:bookmarkStart w:id="861" w:name="_Toc277233348"/>
            <w:bookmarkStart w:id="862" w:name="_Toc73977722"/>
            <w:r>
              <w:lastRenderedPageBreak/>
              <w:t>27.</w:t>
            </w:r>
            <w:r>
              <w:tab/>
              <w:t>Commissioning and Operational Acceptance</w:t>
            </w:r>
            <w:bookmarkEnd w:id="861"/>
            <w:bookmarkEnd w:id="862"/>
          </w:p>
        </w:tc>
        <w:tc>
          <w:tcPr>
            <w:tcW w:w="6588" w:type="dxa"/>
          </w:tcPr>
          <w:p w14:paraId="5BCB2124" w14:textId="77777777" w:rsidR="00157AAA" w:rsidRDefault="006C1BE5">
            <w:pPr>
              <w:spacing w:before="120"/>
              <w:ind w:left="793" w:right="-72" w:hanging="793"/>
            </w:pPr>
            <w:r>
              <w:t>27.1</w:t>
            </w:r>
            <w:r>
              <w:tab/>
              <w:t>Commissioning</w:t>
            </w:r>
          </w:p>
          <w:p w14:paraId="1AC35B2A" w14:textId="77777777" w:rsidR="00157AAA" w:rsidRDefault="006C1BE5">
            <w:pPr>
              <w:spacing w:before="120"/>
              <w:ind w:left="1170" w:right="-72" w:hanging="630"/>
            </w:pPr>
            <w:r>
              <w:t>27.1.1</w:t>
            </w:r>
            <w:r>
              <w:tab/>
              <w:t xml:space="preserve">Commissioning of the System (or Subsystem if specified pursuant to the SCC for GCC Clause 27.2.1) shall be commenced by the Supplier: </w:t>
            </w:r>
          </w:p>
          <w:p w14:paraId="538D221D" w14:textId="77777777" w:rsidR="00157AAA" w:rsidRDefault="006C1BE5">
            <w:pPr>
              <w:spacing w:before="120"/>
              <w:ind w:left="1800" w:right="-72" w:hanging="630"/>
            </w:pPr>
            <w:r>
              <w:t>(a)</w:t>
            </w:r>
            <w:r>
              <w:tab/>
              <w:t xml:space="preserve">immediately after the Installation Certificate is issued by the Project Manager, pursuant to GCC Clause 26.2; or </w:t>
            </w:r>
          </w:p>
          <w:p w14:paraId="686293CA" w14:textId="77777777" w:rsidR="00157AAA" w:rsidRDefault="006C1BE5">
            <w:pPr>
              <w:spacing w:before="120"/>
              <w:ind w:left="1800" w:right="-72" w:hanging="634"/>
            </w:pPr>
            <w:r>
              <w:t>(b)</w:t>
            </w:r>
            <w:r>
              <w:tab/>
              <w:t xml:space="preserve">as otherwise specified in the Technical Requirement or the Agreed Project Plan; or </w:t>
            </w:r>
          </w:p>
          <w:p w14:paraId="28CCA3BF" w14:textId="77777777" w:rsidR="00157AAA" w:rsidRDefault="006C1BE5">
            <w:pPr>
              <w:spacing w:before="120"/>
              <w:ind w:left="1800" w:right="-72" w:hanging="634"/>
            </w:pPr>
            <w:r>
              <w:t>(c)</w:t>
            </w:r>
            <w:r>
              <w:tab/>
              <w:t>immediately after Installation is deemed to have occurred, under GCC Clause 26.3.</w:t>
            </w:r>
          </w:p>
        </w:tc>
      </w:tr>
      <w:tr w:rsidR="00157AAA" w14:paraId="52C97373" w14:textId="77777777">
        <w:tc>
          <w:tcPr>
            <w:tcW w:w="2412" w:type="dxa"/>
          </w:tcPr>
          <w:p w14:paraId="5767FD8C" w14:textId="77777777" w:rsidR="00157AAA" w:rsidRDefault="00157AAA">
            <w:pPr>
              <w:spacing w:before="120"/>
              <w:jc w:val="left"/>
            </w:pPr>
          </w:p>
        </w:tc>
        <w:tc>
          <w:tcPr>
            <w:tcW w:w="6588" w:type="dxa"/>
          </w:tcPr>
          <w:p w14:paraId="4B76D29A" w14:textId="77777777" w:rsidR="00157AAA" w:rsidRDefault="006C1BE5">
            <w:pPr>
              <w:spacing w:before="120"/>
              <w:ind w:left="1170" w:right="-72" w:hanging="630"/>
            </w:pPr>
            <w:r>
              <w:t>27.1.2</w:t>
            </w:r>
            <w:r>
              <w:tab/>
              <w:t>The Purchaser shall supply the operating and technical personnel and all materials and information reasonably required to enable the Supplier to carry out its obligations with respect to Commissioning.</w:t>
            </w:r>
          </w:p>
          <w:p w14:paraId="287A499E" w14:textId="77777777" w:rsidR="00157AAA" w:rsidRDefault="006C1BE5">
            <w:pPr>
              <w:spacing w:before="120"/>
              <w:ind w:left="1170" w:right="-72"/>
            </w:pPr>
            <w:r>
              <w:t>Production use of the System or Subsystem(s) shall not commence prior to the start of formal Operational Acceptance Testing.</w:t>
            </w:r>
          </w:p>
          <w:p w14:paraId="76670CE9" w14:textId="77777777" w:rsidR="00157AAA" w:rsidRDefault="006C1BE5">
            <w:pPr>
              <w:spacing w:before="120"/>
              <w:ind w:left="793" w:right="-72" w:hanging="793"/>
            </w:pPr>
            <w:r>
              <w:t>27.2</w:t>
            </w:r>
            <w:r>
              <w:tab/>
              <w:t>Operational Acceptance Tests</w:t>
            </w:r>
          </w:p>
          <w:p w14:paraId="6A6730AA" w14:textId="77777777" w:rsidR="00157AAA" w:rsidRDefault="006C1BE5">
            <w:pPr>
              <w:spacing w:before="120"/>
              <w:ind w:left="1170" w:right="-72" w:hanging="630"/>
            </w:pPr>
            <w:r>
              <w:t>27.2.1</w:t>
            </w:r>
            <w:r>
              <w:tab/>
              <w:t xml:space="preserve">The Operational Acceptance Tests (and repeats of such tests) shall be the primary responsibility of the Purchaser (in accordance with GCC Clause 10.9), but shall be conducted with the full cooperation of the Supplier during Commissioning of the System (or major components or Subsystem[s]), to ascertain whether the System (or major component or Subsystem[s]) conforms to the Technical Requirements and meets the standard of performance quoted in the Supplier’s bid, including, but not restricted to, the functional and technical performance requirements.  </w:t>
            </w:r>
            <w:r>
              <w:rPr>
                <w:b/>
              </w:rPr>
              <w:t>Unless otherwise specified in the SCC</w:t>
            </w:r>
            <w:r>
              <w:t xml:space="preserve">, the Operational Acceptance Tests during Commissioning </w:t>
            </w:r>
            <w:r>
              <w:lastRenderedPageBreak/>
              <w:t>will be conducted as specified in the Technical Requirements and/or the Agreed Project Plan.</w:t>
            </w:r>
          </w:p>
          <w:p w14:paraId="13C2EADD" w14:textId="77777777" w:rsidR="00157AAA" w:rsidRDefault="006C1BE5">
            <w:pPr>
              <w:spacing w:before="120"/>
              <w:ind w:left="1170" w:right="-72" w:hanging="630"/>
            </w:pPr>
            <w:r>
              <w:tab/>
              <w:t>At the Purchaser’s discretion, Operational Acceptance Tests may also be performed on replacement Goods, upgrades and new version releases, and Goods that are added or field-modified after Operational Acceptance of the System.</w:t>
            </w:r>
          </w:p>
          <w:p w14:paraId="37B8D27D" w14:textId="77777777" w:rsidR="00157AAA" w:rsidRDefault="006C1BE5">
            <w:pPr>
              <w:spacing w:before="120"/>
              <w:ind w:left="1170" w:right="-72" w:hanging="630"/>
            </w:pPr>
            <w:r>
              <w:t>27.2.2</w:t>
            </w:r>
            <w:r>
              <w:tab/>
              <w:t xml:space="preserve">If for reasons attributable to the Purchaser, the Operational Acceptance Test of the System (or Subsystem[s] or major components, pursuant to the SCC for GCC Clause 27.2.1) cannot be successfully completed within ninety (90) days from the date of Installation or any other period agreed upon in writing by the Purchaser and the Supplier, the Supplier shall be deemed to have fulfilled its obligations with respect to the technical and functional aspects of the Technical Specifications, SCC and/or the Agreed Project Plan, and GCC Clause 28.2 and 28.3 shall not apply. </w:t>
            </w:r>
          </w:p>
          <w:p w14:paraId="486FD3B6" w14:textId="77777777" w:rsidR="00157AAA" w:rsidRDefault="006C1BE5">
            <w:pPr>
              <w:spacing w:before="120"/>
              <w:ind w:left="793" w:right="-72" w:hanging="793"/>
            </w:pPr>
            <w:r>
              <w:t>27.3</w:t>
            </w:r>
            <w:r>
              <w:tab/>
              <w:t>Operational Acceptance</w:t>
            </w:r>
          </w:p>
          <w:p w14:paraId="0519BFD8" w14:textId="77777777" w:rsidR="00157AAA" w:rsidRDefault="006C1BE5">
            <w:pPr>
              <w:spacing w:before="120"/>
              <w:ind w:left="1170" w:right="-72" w:hanging="630"/>
            </w:pPr>
            <w:r>
              <w:t xml:space="preserve">27.3.1 Subject to GCC Clause 27.4 (Partial Acceptance) below, Operational Acceptance shall occur in respect of the System, </w:t>
            </w:r>
            <w:proofErr w:type="gramStart"/>
            <w:r>
              <w:t>when</w:t>
            </w:r>
            <w:proofErr w:type="gramEnd"/>
          </w:p>
          <w:p w14:paraId="47E162F6" w14:textId="77777777" w:rsidR="00157AAA" w:rsidRDefault="006C1BE5">
            <w:pPr>
              <w:spacing w:before="120"/>
              <w:ind w:left="1620" w:right="-72" w:hanging="450"/>
            </w:pPr>
            <w:r>
              <w:t>(a)</w:t>
            </w:r>
            <w:r>
              <w:tab/>
              <w:t>the Operational Acceptance Tests, as specified in the Technical Requirements, and/or SCC and/or the Agreed Project Plan have been successfully completed; or</w:t>
            </w:r>
          </w:p>
          <w:p w14:paraId="2C9E58A0" w14:textId="77777777" w:rsidR="00157AAA" w:rsidRDefault="006C1BE5">
            <w:pPr>
              <w:spacing w:before="120"/>
              <w:ind w:left="1620" w:right="-72" w:hanging="450"/>
            </w:pPr>
            <w:r>
              <w:t>(b)</w:t>
            </w:r>
            <w:r>
              <w:tab/>
              <w:t>the Operational Acceptance Tests have not been successfully completed or have not been carried out for reasons that are attributable to the Purchaser within the period from the date of Installation or any other agreed-upon period as specified in GCC Clause 27.2.2 above; or</w:t>
            </w:r>
          </w:p>
          <w:p w14:paraId="51BAC31F" w14:textId="77777777" w:rsidR="00157AAA" w:rsidRDefault="006C1BE5">
            <w:pPr>
              <w:spacing w:before="120"/>
              <w:ind w:left="1620" w:right="-72" w:hanging="450"/>
            </w:pPr>
            <w:r>
              <w:t>(c)</w:t>
            </w:r>
            <w:r>
              <w:tab/>
              <w:t xml:space="preserve">the Purchaser has put the System into production or use for sixty (60) consecutive days.  If the System is put into production or </w:t>
            </w:r>
            <w:proofErr w:type="gramStart"/>
            <w:r>
              <w:t>use</w:t>
            </w:r>
            <w:proofErr w:type="gramEnd"/>
            <w:r>
              <w:t xml:space="preserve"> in this manner, the Supplier shall notify the Purchaser and document such use.</w:t>
            </w:r>
          </w:p>
          <w:p w14:paraId="04DC63AB" w14:textId="77777777" w:rsidR="00157AAA" w:rsidRDefault="006C1BE5">
            <w:pPr>
              <w:spacing w:before="120"/>
              <w:ind w:left="1170" w:right="-72" w:hanging="630"/>
            </w:pPr>
            <w:r>
              <w:t>27.3.2</w:t>
            </w:r>
            <w:r>
              <w:tab/>
              <w:t xml:space="preserve">At any time after any of the events set out in GCC Clause 27.3.1 have occurred, the Supplier may give </w:t>
            </w:r>
            <w:proofErr w:type="gramStart"/>
            <w:r>
              <w:t>a notice</w:t>
            </w:r>
            <w:proofErr w:type="gramEnd"/>
            <w:r>
              <w:t xml:space="preserve"> to the Project Manager requesting the issue of an Operational Acceptance Certificate.</w:t>
            </w:r>
          </w:p>
          <w:p w14:paraId="15E83DB6" w14:textId="77777777" w:rsidR="00157AAA" w:rsidRDefault="006C1BE5">
            <w:pPr>
              <w:spacing w:before="120"/>
              <w:ind w:left="1170" w:right="-72" w:hanging="630"/>
            </w:pPr>
            <w:r>
              <w:lastRenderedPageBreak/>
              <w:t>27.3.3</w:t>
            </w:r>
            <w:r>
              <w:tab/>
              <w:t>After consultation with the Purchaser, and within fourteen (14) days after receipt of the Supplier’s notice, the Project Manager shall:</w:t>
            </w:r>
          </w:p>
          <w:p w14:paraId="09943780" w14:textId="77777777" w:rsidR="00157AAA" w:rsidRDefault="006C1BE5">
            <w:pPr>
              <w:spacing w:before="120"/>
              <w:ind w:left="1800" w:right="-72" w:hanging="630"/>
            </w:pPr>
            <w:r>
              <w:t>(a)</w:t>
            </w:r>
            <w:r>
              <w:tab/>
              <w:t xml:space="preserve">issue an Operational Acceptance Certificate; or </w:t>
            </w:r>
          </w:p>
          <w:p w14:paraId="1621EED0" w14:textId="77777777" w:rsidR="00157AAA" w:rsidRDefault="006C1BE5">
            <w:pPr>
              <w:spacing w:before="120"/>
              <w:ind w:left="1800" w:right="-72" w:hanging="630"/>
            </w:pPr>
            <w:r>
              <w:t>(b)</w:t>
            </w:r>
            <w:r>
              <w:tab/>
              <w:t>notify the Supplier in writing of any defect or deficiencies or other reason for the failure of the Operational Acceptance Tests; or</w:t>
            </w:r>
          </w:p>
          <w:p w14:paraId="2ED355B7" w14:textId="77777777" w:rsidR="00157AAA" w:rsidRDefault="006C1BE5">
            <w:pPr>
              <w:spacing w:before="120"/>
              <w:ind w:left="1800" w:right="-72" w:hanging="630"/>
            </w:pPr>
            <w:r>
              <w:t>(c)</w:t>
            </w:r>
            <w:r>
              <w:tab/>
            </w:r>
            <w:r>
              <w:rPr>
                <w:spacing w:val="-4"/>
              </w:rPr>
              <w:t xml:space="preserve">issue the Operational Acceptance </w:t>
            </w:r>
            <w:proofErr w:type="gramStart"/>
            <w:r>
              <w:rPr>
                <w:spacing w:val="-4"/>
              </w:rPr>
              <w:t>Certificate, if</w:t>
            </w:r>
            <w:proofErr w:type="gramEnd"/>
            <w:r>
              <w:rPr>
                <w:spacing w:val="-4"/>
              </w:rPr>
              <w:t xml:space="preserve"> the situation covered by GCC Clause 27.3.1 (b) arises.</w:t>
            </w:r>
          </w:p>
          <w:p w14:paraId="7C8C1123" w14:textId="77777777" w:rsidR="00157AAA" w:rsidRDefault="006C1BE5">
            <w:pPr>
              <w:spacing w:before="120"/>
              <w:ind w:left="1170" w:right="-72" w:hanging="630"/>
            </w:pPr>
            <w:r>
              <w:t>27.3.4</w:t>
            </w:r>
            <w:r>
              <w:tab/>
              <w:t>The Supplier shall use all reasonable endeavors to promptly remedy any defect and/or deficiencies and/or other reasons for the failure of the Operational Acceptance Test that the Project Manager has notified the Supplier of.  Once such remedies have been made by the Supplier, the Supplier shall notify the Purchaser, and the Purchaser, with the full cooperation of the Supplier, shall use all reasonable endeavors to promptly carry out retesting of the System or Subsystem.  Upon the successful conclusion of the Operational Acceptance Tests, the Supplier shall notify the Purchaser of its request for Operational Acceptance Certification, in accordance with GCC Clause 27.3.3.  The Purchaser shall then issue to the Supplier the Operational Acceptance Certification in accordance with GCC Clause 27.3.3 (a), or shall notify the Supplier of further defects, deficiencies, or other reasons for the failure of the Operational Acceptance Test.  The procedure set out in this GCC Clause 27.3.4 shall be repeated, as necessary, until an Operational Acceptance Certificate is issued.</w:t>
            </w:r>
          </w:p>
          <w:p w14:paraId="247A6CBE" w14:textId="77777777" w:rsidR="00157AAA" w:rsidRDefault="006C1BE5">
            <w:pPr>
              <w:spacing w:before="120"/>
              <w:ind w:left="1170" w:right="-72" w:hanging="720"/>
            </w:pPr>
            <w:r>
              <w:t>27.3.5</w:t>
            </w:r>
            <w:r>
              <w:tab/>
              <w:t>If the System or Subsystem fails to pass the Operational Acceptance Test(s) in accordance with GCC Clause 27.2, then either:</w:t>
            </w:r>
          </w:p>
          <w:p w14:paraId="07AA86C6" w14:textId="77777777" w:rsidR="00157AAA" w:rsidRDefault="006C1BE5">
            <w:pPr>
              <w:spacing w:before="120"/>
              <w:ind w:left="1800" w:right="-72" w:hanging="630"/>
            </w:pPr>
            <w:r>
              <w:t>(a)</w:t>
            </w:r>
            <w:r>
              <w:tab/>
              <w:t xml:space="preserve">the Purchaser may consider terminating the Contract, pursuant to GCC Clause </w:t>
            </w:r>
            <w:proofErr w:type="gramStart"/>
            <w:r>
              <w:t>41.2.2;</w:t>
            </w:r>
            <w:proofErr w:type="gramEnd"/>
            <w:r>
              <w:t xml:space="preserve"> </w:t>
            </w:r>
          </w:p>
          <w:p w14:paraId="340113ED" w14:textId="77777777" w:rsidR="00157AAA" w:rsidRDefault="006C1BE5">
            <w:pPr>
              <w:spacing w:before="120"/>
              <w:ind w:left="1800" w:right="-72"/>
            </w:pPr>
            <w:r>
              <w:t>or</w:t>
            </w:r>
          </w:p>
          <w:p w14:paraId="28663534" w14:textId="77777777" w:rsidR="00157AAA" w:rsidRDefault="006C1BE5">
            <w:pPr>
              <w:spacing w:before="120"/>
              <w:ind w:left="1800" w:right="-72" w:hanging="630"/>
            </w:pPr>
            <w:r>
              <w:t>(b)</w:t>
            </w:r>
            <w:r>
              <w:tab/>
              <w:t xml:space="preserve">if the failure to achieve Operational Acceptance within the specified </w:t>
            </w:r>
            <w:proofErr w:type="gramStart"/>
            <w:r>
              <w:t>time period</w:t>
            </w:r>
            <w:proofErr w:type="gramEnd"/>
            <w:r>
              <w:t xml:space="preserve"> is a result of the failure of the Purchaser to fulfill its obligations under the Contract, then the Supplier shall be deemed to have fulfilled its obligations with respect to the relevant technical and functional </w:t>
            </w:r>
            <w:r>
              <w:lastRenderedPageBreak/>
              <w:t>aspects of the Contract, and GCC Clauses 30.3 and 30.4 shall not apply.</w:t>
            </w:r>
          </w:p>
          <w:p w14:paraId="7413D804" w14:textId="77777777" w:rsidR="00157AAA" w:rsidRDefault="006C1BE5">
            <w:pPr>
              <w:spacing w:before="120"/>
              <w:ind w:left="1170" w:right="-72" w:hanging="630"/>
            </w:pPr>
            <w:r>
              <w:t>27.3.6</w:t>
            </w:r>
            <w:r>
              <w:tab/>
              <w:t>If within fourteen (14) days after receipt of the Supplier’s notice the Project Manager fails to issue the Operational Acceptance Certificate or fails to inform the Supplier in writing of the justifiable reasons why the Project Manager has not issued the Operational Acceptance Certificate, the System or Subsystem shall be deemed to have been accepted as of the date of the Supplier’s said notice.</w:t>
            </w:r>
          </w:p>
          <w:p w14:paraId="38530046" w14:textId="77777777" w:rsidR="00157AAA" w:rsidRDefault="006C1BE5">
            <w:pPr>
              <w:spacing w:before="120"/>
              <w:ind w:left="793" w:right="-72" w:hanging="793"/>
            </w:pPr>
            <w:r>
              <w:t>27.4</w:t>
            </w:r>
            <w:r>
              <w:tab/>
              <w:t>Partial Acceptance</w:t>
            </w:r>
          </w:p>
          <w:p w14:paraId="633E49C8" w14:textId="77777777" w:rsidR="00157AAA" w:rsidRDefault="006C1BE5">
            <w:pPr>
              <w:spacing w:before="120"/>
              <w:ind w:left="1170" w:right="-72" w:hanging="630"/>
            </w:pPr>
            <w:r>
              <w:t>27.4.1</w:t>
            </w:r>
            <w:r>
              <w:rPr>
                <w:spacing w:val="-4"/>
              </w:rPr>
              <w:tab/>
              <w:t xml:space="preserve">If </w:t>
            </w:r>
            <w:proofErr w:type="gramStart"/>
            <w:r>
              <w:rPr>
                <w:spacing w:val="-4"/>
              </w:rPr>
              <w:t>so</w:t>
            </w:r>
            <w:proofErr w:type="gramEnd"/>
            <w:r>
              <w:rPr>
                <w:spacing w:val="-4"/>
              </w:rPr>
              <w:t xml:space="preserve"> specified in the SCC for GCC Clause 27.2.1, Installation and Commissioning shall be carried out individually for each identified major component or Subsystem(s) of the System.  In this event, the provisions in the Contract relating to Installation and Commissioning, including the Operational Acceptance Test, shall apply to each such major component or Subsystem individually, and Operational Acceptance Certificate(s) shall be issued accordingly for each such major component or Subsystem of the System, subject to the limitations contained in GCC Clause 27.4.2.</w:t>
            </w:r>
          </w:p>
          <w:p w14:paraId="67A15B04" w14:textId="77777777" w:rsidR="00157AAA" w:rsidRDefault="006C1BE5">
            <w:pPr>
              <w:spacing w:before="120"/>
              <w:ind w:left="1170" w:right="-72" w:hanging="630"/>
            </w:pPr>
            <w:r>
              <w:t>27.4.2</w:t>
            </w:r>
            <w:r>
              <w:tab/>
            </w:r>
            <w:r>
              <w:rPr>
                <w:spacing w:val="-4"/>
              </w:rPr>
              <w:t xml:space="preserve">The issuance of Operational Acceptance Certificates for individual major components or Subsystems pursuant to GCC Clause 27.4.1 shall not relieve the Supplier of its obligation to obtain an Operational Acceptance Certificate for the System as an integrated whole (if </w:t>
            </w:r>
            <w:proofErr w:type="gramStart"/>
            <w:r>
              <w:rPr>
                <w:spacing w:val="-4"/>
              </w:rPr>
              <w:t>so</w:t>
            </w:r>
            <w:proofErr w:type="gramEnd"/>
            <w:r>
              <w:rPr>
                <w:spacing w:val="-4"/>
              </w:rPr>
              <w:t xml:space="preserve"> specified in the SCC for GCC Clauses 12.1 and 27.2.1) once all major components and Subsystems have been supplied, installed, tested, and commissioned.</w:t>
            </w:r>
          </w:p>
          <w:p w14:paraId="342D8EBB" w14:textId="77777777" w:rsidR="00157AAA" w:rsidRDefault="006C1BE5">
            <w:pPr>
              <w:spacing w:before="120"/>
              <w:ind w:left="1181" w:right="-72" w:hanging="634"/>
            </w:pPr>
            <w:r>
              <w:t>27.4.3</w:t>
            </w:r>
            <w:r>
              <w:tab/>
              <w:t xml:space="preserve">In the case of minor components for the System that by their nature do not require Commissioning or an Operational Acceptance Test (e.g., minor fittings, </w:t>
            </w:r>
            <w:proofErr w:type="gramStart"/>
            <w:r>
              <w:t>furnishings</w:t>
            </w:r>
            <w:proofErr w:type="gramEnd"/>
            <w:r>
              <w:t xml:space="preserve"> or site works, etc.), the Project Manager shall issue an Operational Acceptance Certificate within fourteen (14) days after the fittings and/or furnishings have been delivered and/or installed or the site works have been completed.  The Supplier shall, however, use all reasonable endeavors to promptly remedy any defects or deficiencies in such minor components detected by the Purchaser or Supplier. </w:t>
            </w:r>
          </w:p>
        </w:tc>
      </w:tr>
    </w:tbl>
    <w:p w14:paraId="155EE29D" w14:textId="77777777" w:rsidR="00157AAA" w:rsidRDefault="006C1BE5">
      <w:pPr>
        <w:pStyle w:val="Head61"/>
        <w:spacing w:before="120"/>
      </w:pPr>
      <w:bookmarkStart w:id="863" w:name="_Toc277233349"/>
      <w:bookmarkStart w:id="864" w:name="_Toc73977723"/>
      <w:r>
        <w:lastRenderedPageBreak/>
        <w:t>F.  Guarantees and Liabilities</w:t>
      </w:r>
      <w:bookmarkEnd w:id="863"/>
      <w:bookmarkEnd w:id="864"/>
    </w:p>
    <w:tbl>
      <w:tblPr>
        <w:tblW w:w="0" w:type="auto"/>
        <w:tblInd w:w="108" w:type="dxa"/>
        <w:tblLayout w:type="fixed"/>
        <w:tblLook w:val="0000" w:firstRow="0" w:lastRow="0" w:firstColumn="0" w:lastColumn="0" w:noHBand="0" w:noVBand="0"/>
      </w:tblPr>
      <w:tblGrid>
        <w:gridCol w:w="2412"/>
        <w:gridCol w:w="6588"/>
      </w:tblGrid>
      <w:tr w:rsidR="00157AAA" w14:paraId="23760AFC" w14:textId="77777777">
        <w:trPr>
          <w:trHeight w:val="720"/>
        </w:trPr>
        <w:tc>
          <w:tcPr>
            <w:tcW w:w="2412" w:type="dxa"/>
          </w:tcPr>
          <w:p w14:paraId="742860B9" w14:textId="77777777" w:rsidR="00157AAA" w:rsidRDefault="006C1BE5">
            <w:pPr>
              <w:pStyle w:val="Head62"/>
              <w:spacing w:before="120"/>
            </w:pPr>
            <w:bookmarkStart w:id="865" w:name="_Toc277233350"/>
            <w:bookmarkStart w:id="866" w:name="_Toc73977724"/>
            <w:r>
              <w:t>28.</w:t>
            </w:r>
            <w:r>
              <w:tab/>
              <w:t>Operational Acceptance Time Guarantee</w:t>
            </w:r>
            <w:bookmarkEnd w:id="865"/>
            <w:bookmarkEnd w:id="866"/>
          </w:p>
        </w:tc>
        <w:tc>
          <w:tcPr>
            <w:tcW w:w="6588" w:type="dxa"/>
          </w:tcPr>
          <w:p w14:paraId="4C13822E" w14:textId="77777777" w:rsidR="00157AAA" w:rsidRDefault="006C1BE5">
            <w:pPr>
              <w:spacing w:before="120"/>
              <w:ind w:left="793" w:right="-72" w:hanging="793"/>
            </w:pPr>
            <w:r>
              <w:t>28.1</w:t>
            </w:r>
            <w:r>
              <w:tab/>
              <w:t xml:space="preserve">The Supplier guarantees that it shall complete the supply, Installation, Commissioning, and achieve Operational Acceptance of the System (or Subsystems, pursuant to the SCC for GCC Clause 27.2.1) within the time periods specified in the Implementation Schedule and/or the Agreed Project Plan pursuant to GCC Clause 8.2, or within such extended time to which the Supplier shall be entitled under GCC Clause 40 (Extension of Time for Achieving Operational Acceptance). </w:t>
            </w:r>
          </w:p>
        </w:tc>
      </w:tr>
      <w:tr w:rsidR="00157AAA" w14:paraId="26AA3EB2" w14:textId="77777777">
        <w:trPr>
          <w:trHeight w:val="720"/>
        </w:trPr>
        <w:tc>
          <w:tcPr>
            <w:tcW w:w="2412" w:type="dxa"/>
          </w:tcPr>
          <w:p w14:paraId="02902B16" w14:textId="77777777" w:rsidR="00157AAA" w:rsidRDefault="00157AAA">
            <w:pPr>
              <w:spacing w:before="120"/>
              <w:jc w:val="left"/>
            </w:pPr>
          </w:p>
        </w:tc>
        <w:tc>
          <w:tcPr>
            <w:tcW w:w="6588" w:type="dxa"/>
          </w:tcPr>
          <w:p w14:paraId="6FD18DAE" w14:textId="77777777" w:rsidR="00157AAA" w:rsidRDefault="006C1BE5">
            <w:pPr>
              <w:spacing w:before="120"/>
              <w:ind w:left="793" w:right="-72" w:hanging="793"/>
            </w:pPr>
            <w:r>
              <w:t>28.2</w:t>
            </w:r>
            <w:r>
              <w:tab/>
            </w:r>
            <w:r>
              <w:rPr>
                <w:b/>
              </w:rPr>
              <w:t>Unless otherwise specified in the SCC</w:t>
            </w:r>
            <w:r>
              <w:t>, i</w:t>
            </w:r>
            <w:r>
              <w:rPr>
                <w:spacing w:val="-4"/>
              </w:rPr>
              <w:t xml:space="preserve">f the Supplier fails to supply, install, commission, and achieve Operational </w:t>
            </w:r>
            <w:r>
              <w:t>Acceptance</w:t>
            </w:r>
            <w:r>
              <w:rPr>
                <w:spacing w:val="-4"/>
              </w:rPr>
              <w:t xml:space="preserve"> of the System (or Subsystems pursuant to the SCC for GCC Clause 27.2.1) within the time for achieving Operational Acceptance specified in the Implementation Schedule or the Agreed Project Plan, or any extension of the time for achieving Operational Acceptance previously granted under GCC Clause 40 (Extension of Time for Achieving Operational Acceptance), the Supplier shall pay to the Purchaser liquidated damages at the rate of one half of one percent per week as a percentage of the Contract Price (exclusive of Recurrent Costs if any), or the relevant part of the Contract Price if a Subsystem has not achieved Operational Acceptance.  The aggregate amount of such liquidated damages shall in no event exceed the amount of ten (10) percent of the Contract Price (exclusive of Recurrent Costs if any).  Once the Maximum is reached, the Purchaser may consider termination of the Contract, pursuant to GCC Clause 41.2.2.</w:t>
            </w:r>
          </w:p>
          <w:p w14:paraId="5535503C" w14:textId="77777777" w:rsidR="00157AAA" w:rsidRDefault="006C1BE5">
            <w:pPr>
              <w:spacing w:before="120"/>
              <w:ind w:left="793" w:right="-72" w:hanging="793"/>
            </w:pPr>
            <w:r>
              <w:t>28.3</w:t>
            </w:r>
            <w:r>
              <w:tab/>
            </w:r>
            <w:r>
              <w:rPr>
                <w:b/>
              </w:rPr>
              <w:t>Unless otherwise specified in the SCC,</w:t>
            </w:r>
            <w:r>
              <w:t xml:space="preserve"> liquidated damages payable under GCC Clause 28.2 shall apply only to the failure to achieve Operational Acceptance of the System (and Subsystems) as specified in the Implementation Schedule and/or Agreed Project Plan.  This Clause 28.3 shall not limit, however, any other rights or remedies the Purchaser may have under the Contract for other delays.</w:t>
            </w:r>
          </w:p>
          <w:p w14:paraId="795400A9" w14:textId="77777777" w:rsidR="00157AAA" w:rsidRDefault="006C1BE5">
            <w:pPr>
              <w:spacing w:before="120"/>
              <w:ind w:left="793" w:right="-72" w:hanging="793"/>
            </w:pPr>
            <w:r>
              <w:t>28.4</w:t>
            </w:r>
            <w:r>
              <w:tab/>
              <w:t xml:space="preserve">If liquidated damages are claimed by the Purchaser for the System (or Subsystem), the Supplier shall have no further liability whatsoever to the Purchaser in respect to the Operational Acceptance time guarantee for the System (or Subsystem).  However, the payment of liquidated damages shall not in any way relieve the Supplier from any of its </w:t>
            </w:r>
            <w:r>
              <w:lastRenderedPageBreak/>
              <w:t>obligations to complete the System or from any other of its obligations and liabilities under the Contract.</w:t>
            </w:r>
          </w:p>
        </w:tc>
      </w:tr>
      <w:tr w:rsidR="00157AAA" w14:paraId="23BFFD2B" w14:textId="77777777">
        <w:trPr>
          <w:trHeight w:val="720"/>
        </w:trPr>
        <w:tc>
          <w:tcPr>
            <w:tcW w:w="2412" w:type="dxa"/>
          </w:tcPr>
          <w:p w14:paraId="6C33EA55" w14:textId="77777777" w:rsidR="00157AAA" w:rsidRDefault="006C1BE5">
            <w:pPr>
              <w:pStyle w:val="Head62"/>
              <w:spacing w:before="120"/>
            </w:pPr>
            <w:bookmarkStart w:id="867" w:name="_Toc277233351"/>
            <w:bookmarkStart w:id="868" w:name="_Toc73977725"/>
            <w:r>
              <w:lastRenderedPageBreak/>
              <w:t>29.</w:t>
            </w:r>
            <w:r>
              <w:tab/>
              <w:t>Defect Liability</w:t>
            </w:r>
            <w:bookmarkEnd w:id="867"/>
            <w:bookmarkEnd w:id="868"/>
          </w:p>
        </w:tc>
        <w:tc>
          <w:tcPr>
            <w:tcW w:w="6588" w:type="dxa"/>
          </w:tcPr>
          <w:p w14:paraId="1EB1BD83" w14:textId="77777777" w:rsidR="00157AAA" w:rsidRDefault="006C1BE5">
            <w:pPr>
              <w:spacing w:before="120"/>
              <w:ind w:left="793" w:right="-72" w:hanging="793"/>
            </w:pPr>
            <w:r>
              <w:t>29.1</w:t>
            </w:r>
            <w:r>
              <w:tab/>
              <w:t xml:space="preserve">The Supplier warrants that the System, including all Information Technologies, Materials, and other Goods supplied and Services provided, shall be free from defects in the design, engineering, Materials, and workmanship that prevent the System and/or any of its components from fulfilling the Technical Requirements or that limit in a material fashion the performance, reliability, or extensibility of the System and/or Subsystems.  </w:t>
            </w:r>
            <w:r>
              <w:rPr>
                <w:b/>
              </w:rPr>
              <w:t>Unless otherwise specified in the SCC</w:t>
            </w:r>
            <w:r>
              <w:t>, there will be NO exceptions and/or limitations to this warranty with respect to Software (or categories of Software).  Commercial warranty provisions of products supplied under the Contract shall apply to the extent that they do not conflict with the provisions of this Contract.</w:t>
            </w:r>
          </w:p>
        </w:tc>
      </w:tr>
      <w:tr w:rsidR="00157AAA" w14:paraId="24B8AF27" w14:textId="77777777">
        <w:trPr>
          <w:trHeight w:val="720"/>
        </w:trPr>
        <w:tc>
          <w:tcPr>
            <w:tcW w:w="2412" w:type="dxa"/>
          </w:tcPr>
          <w:p w14:paraId="17602567" w14:textId="77777777" w:rsidR="00157AAA" w:rsidRDefault="00157AAA">
            <w:pPr>
              <w:spacing w:before="120"/>
              <w:jc w:val="left"/>
            </w:pPr>
          </w:p>
        </w:tc>
        <w:tc>
          <w:tcPr>
            <w:tcW w:w="6588" w:type="dxa"/>
          </w:tcPr>
          <w:p w14:paraId="5E879E88" w14:textId="77777777" w:rsidR="00157AAA" w:rsidRDefault="006C1BE5">
            <w:pPr>
              <w:spacing w:before="120"/>
              <w:ind w:left="793" w:right="-72" w:hanging="793"/>
            </w:pPr>
            <w:r>
              <w:t>29.2</w:t>
            </w:r>
            <w:r>
              <w:tab/>
              <w:t xml:space="preserve">The Supplier also warrants that the Information Technologies, Materials, and other Goods supplied under the Contract are new, unused, and incorporate all recent improvements in design that materially affect the System’s or Subsystem’s ability to fulfill the Technical Requirements.  </w:t>
            </w:r>
          </w:p>
          <w:p w14:paraId="13D9B781" w14:textId="77777777" w:rsidR="00157AAA" w:rsidRDefault="006C1BE5">
            <w:pPr>
              <w:spacing w:before="120"/>
              <w:ind w:left="793" w:right="-72" w:hanging="793"/>
              <w:rPr>
                <w:b/>
              </w:rPr>
            </w:pPr>
            <w:r>
              <w:t>29.3</w:t>
            </w:r>
            <w:r>
              <w:tab/>
            </w:r>
            <w:r>
              <w:rPr>
                <w:b/>
              </w:rPr>
              <w:t xml:space="preserve">Unless otherwise specified in the SCC, </w:t>
            </w:r>
            <w:r>
              <w:t>the Supplier warrants that: (</w:t>
            </w:r>
            <w:proofErr w:type="spellStart"/>
            <w:r>
              <w:t>i</w:t>
            </w:r>
            <w:proofErr w:type="spellEnd"/>
            <w:r>
              <w:t>) all Goods components to be incorporated into the System form part of the Supplier’s and/or Subcontractor’s current product lines, and (ii) they have been previously released to the market.</w:t>
            </w:r>
          </w:p>
          <w:p w14:paraId="22617927" w14:textId="77777777" w:rsidR="00157AAA" w:rsidRDefault="006C1BE5">
            <w:pPr>
              <w:spacing w:before="120"/>
              <w:ind w:left="793" w:right="-72" w:hanging="793"/>
            </w:pPr>
            <w:r>
              <w:t>29.4</w:t>
            </w:r>
            <w:r>
              <w:tab/>
            </w:r>
            <w:r>
              <w:rPr>
                <w:b/>
              </w:rPr>
              <w:t>Unless otherwise specified in the SCC</w:t>
            </w:r>
            <w:r>
              <w:t>, the Warranty Period shall commence from the date of Operational Acceptance of the System (or of any major component or Subsystem for which separate Operational Acceptance is provided for in the Contract) and shall extend for thirty-six (36) months.</w:t>
            </w:r>
          </w:p>
          <w:p w14:paraId="107183DE" w14:textId="77777777" w:rsidR="00157AAA" w:rsidRDefault="006C1BE5">
            <w:pPr>
              <w:spacing w:before="120"/>
              <w:ind w:left="793" w:right="-72" w:hanging="793"/>
            </w:pPr>
            <w:r>
              <w:t>29.5</w:t>
            </w:r>
            <w:r>
              <w:tab/>
              <w:t xml:space="preserve">If during the Warranty Period any defect as described in GCC Clause 29.1 should be found in the design, engineering, Materials, and workmanship of the Information Technologies and other Goods supplied or of the Services provided by the Supplier, the Supplier shall promptly, in consultation and agreement with the Purchaser regarding appropriate remedying of the defects, and at its sole cost, repair, replace, or otherwise make good (as the Supplier shall, at its discretion, determine) such defect as well as any damage to the System caused by such defect. </w:t>
            </w:r>
            <w:r>
              <w:lastRenderedPageBreak/>
              <w:t>Any defective Information Technologies or other Goods that have been replaced by the Supplier shall remain the property of the Supplier.</w:t>
            </w:r>
          </w:p>
          <w:p w14:paraId="6DDCA60D" w14:textId="77777777" w:rsidR="00157AAA" w:rsidRDefault="006C1BE5">
            <w:pPr>
              <w:spacing w:before="120"/>
              <w:ind w:left="793" w:right="-72" w:hanging="793"/>
            </w:pPr>
            <w:r>
              <w:t>29.6</w:t>
            </w:r>
            <w:r>
              <w:tab/>
              <w:t>The Supplier shall not be responsible for the repair, replacement, or making good of any defect, or of any damage to the System arising out of or resulting from any of the following causes:</w:t>
            </w:r>
          </w:p>
          <w:p w14:paraId="44DB28B9" w14:textId="77777777" w:rsidR="00157AAA" w:rsidRDefault="006C1BE5">
            <w:pPr>
              <w:spacing w:before="120"/>
              <w:ind w:left="1333" w:right="-72" w:hanging="540"/>
            </w:pPr>
            <w:r>
              <w:t>(a)</w:t>
            </w:r>
            <w:r>
              <w:tab/>
              <w:t xml:space="preserve">improper operation or maintenance of the System by the </w:t>
            </w:r>
            <w:proofErr w:type="gramStart"/>
            <w:r>
              <w:t>Purchaser;</w:t>
            </w:r>
            <w:proofErr w:type="gramEnd"/>
          </w:p>
          <w:p w14:paraId="26B61F8B" w14:textId="77777777" w:rsidR="00157AAA" w:rsidRDefault="006C1BE5">
            <w:pPr>
              <w:spacing w:before="120"/>
              <w:ind w:left="1333" w:right="-72" w:hanging="540"/>
            </w:pPr>
            <w:r>
              <w:t>(b)</w:t>
            </w:r>
            <w:r>
              <w:tab/>
              <w:t xml:space="preserve">normal wear and </w:t>
            </w:r>
            <w:proofErr w:type="gramStart"/>
            <w:r>
              <w:t>tear;</w:t>
            </w:r>
            <w:proofErr w:type="gramEnd"/>
          </w:p>
          <w:p w14:paraId="33E4E546" w14:textId="77777777" w:rsidR="00157AAA" w:rsidRDefault="006C1BE5">
            <w:pPr>
              <w:spacing w:before="120"/>
              <w:ind w:left="1333" w:right="-72" w:hanging="540"/>
            </w:pPr>
            <w:r>
              <w:t>(c)</w:t>
            </w:r>
            <w:r>
              <w:tab/>
              <w:t>use of the System with items not supplied by the Supplier, unless otherwise identified in the Technical Requirements, or approved by the Supplier; or</w:t>
            </w:r>
          </w:p>
          <w:p w14:paraId="6F3C76BC" w14:textId="77777777" w:rsidR="00157AAA" w:rsidRDefault="006C1BE5">
            <w:pPr>
              <w:spacing w:before="120"/>
              <w:ind w:left="1333" w:right="-72" w:hanging="540"/>
            </w:pPr>
            <w:r>
              <w:t>(d)</w:t>
            </w:r>
            <w:r>
              <w:tab/>
              <w:t>modifications made to the System by the Purchaser, or a third party, not approved by the Supplier.</w:t>
            </w:r>
          </w:p>
          <w:p w14:paraId="7DA3EEFF" w14:textId="77777777" w:rsidR="00157AAA" w:rsidRDefault="006C1BE5">
            <w:pPr>
              <w:spacing w:before="120"/>
              <w:ind w:left="793" w:right="-72" w:hanging="793"/>
            </w:pPr>
            <w:r>
              <w:t>29.7</w:t>
            </w:r>
            <w:r>
              <w:tab/>
              <w:t>The Supplier’s obligations under this GCC Clause 29 shall not apply to:</w:t>
            </w:r>
          </w:p>
          <w:p w14:paraId="1514B1A3" w14:textId="77777777" w:rsidR="00157AAA" w:rsidRDefault="006C1BE5">
            <w:pPr>
              <w:spacing w:before="120"/>
              <w:ind w:left="1333" w:right="-72" w:hanging="540"/>
            </w:pPr>
            <w:r>
              <w:t>(a)</w:t>
            </w:r>
            <w:r>
              <w:tab/>
              <w:t>any materials that are normally consumed in operation or have a normal life shorter than the Warranty Period; or</w:t>
            </w:r>
          </w:p>
          <w:p w14:paraId="55EF7D93" w14:textId="77777777" w:rsidR="00157AAA" w:rsidRDefault="006C1BE5">
            <w:pPr>
              <w:spacing w:before="120"/>
              <w:ind w:left="1333" w:right="-72" w:hanging="540"/>
            </w:pPr>
            <w:r>
              <w:t>(b)</w:t>
            </w:r>
            <w:r>
              <w:tab/>
              <w:t>any designs, specifications, or other data designed, supplied, or specified by or on behalf of the Purchaser or any matters for which the Supplier has disclaimed responsibility, in accordance with GCC Clause 21.1.2.</w:t>
            </w:r>
          </w:p>
          <w:p w14:paraId="5FB1558E" w14:textId="77777777" w:rsidR="00157AAA" w:rsidRDefault="006C1BE5">
            <w:pPr>
              <w:spacing w:before="120"/>
              <w:ind w:left="793" w:right="-72" w:hanging="793"/>
            </w:pPr>
            <w:r>
              <w:t>29.8</w:t>
            </w:r>
            <w:r>
              <w:tab/>
              <w:t xml:space="preserve">The Purchaser shall give the Supplier a notice promptly following the discovery of such defect, stating the nature of any such defect together with all available evidence.  The Purchaser shall afford all reasonable </w:t>
            </w:r>
            <w:proofErr w:type="gramStart"/>
            <w:r>
              <w:t>opportunity</w:t>
            </w:r>
            <w:proofErr w:type="gramEnd"/>
            <w:r>
              <w:t xml:space="preserve"> for the Supplier to inspect any such defect. The Purchaser shall afford the Supplier all necessary access to the System and the site to enable the Supplier to perform its obligations under this GCC Clause 29.</w:t>
            </w:r>
          </w:p>
          <w:p w14:paraId="312C0AAB" w14:textId="77777777" w:rsidR="00157AAA" w:rsidRDefault="006C1BE5">
            <w:pPr>
              <w:spacing w:before="120"/>
              <w:ind w:left="793" w:right="-72" w:hanging="793"/>
            </w:pPr>
            <w:r>
              <w:t>29.9</w:t>
            </w:r>
            <w:r>
              <w:tab/>
              <w:t xml:space="preserve">The Supplier may, with the consent of the Purchaser, remove from the site any Information Technologies and other Goods that are defective, if the nature of the defect, and/or any damage to the System caused by the defect, is such that repairs cannot be expeditiously carried out at the site.  If the repair, replacement, or making good is of such a character that it may affect the efficiency of the System, the Purchaser may give the Supplier notice requiring that tests of the defective part be made by the Supplier </w:t>
            </w:r>
            <w:r>
              <w:lastRenderedPageBreak/>
              <w:t>immediately upon completion of such remedial work, whereupon the Supplier shall carry out such tests.</w:t>
            </w:r>
          </w:p>
          <w:p w14:paraId="01A2130C" w14:textId="77777777" w:rsidR="00157AAA" w:rsidRDefault="006C1BE5">
            <w:pPr>
              <w:spacing w:before="120"/>
              <w:ind w:left="793" w:right="-72"/>
            </w:pPr>
            <w:r>
              <w:t>If such part fails the tests, the Supplier shall carry out further repair, replacement, or making good (as the case may be) until that part of the System passes such tests.  The tests shall be agreed upon by the Purchaser and the Supplier.</w:t>
            </w:r>
          </w:p>
          <w:p w14:paraId="41C16D6E" w14:textId="77777777" w:rsidR="00157AAA" w:rsidRDefault="006C1BE5">
            <w:pPr>
              <w:spacing w:before="120"/>
              <w:ind w:left="793" w:right="-72" w:hanging="793"/>
            </w:pPr>
            <w:r>
              <w:t>29.10</w:t>
            </w:r>
            <w:r>
              <w:tab/>
              <w:t xml:space="preserve"> </w:t>
            </w:r>
            <w:r>
              <w:rPr>
                <w:b/>
              </w:rPr>
              <w:t>Unless otherwise specified in the SCC</w:t>
            </w:r>
            <w:r>
              <w:t>, the response times and repair/replacement times for Warranty Defect Repair are specified in the Technical Requirements.  Nevertheless, if the Supplier fails to commence the work necessary to remedy such defect or any damage to the System caused by such defect within two weeks the Purchaser may, following notice to the Supplier, proceed to do such work or contract a third party (or parties) to do such work, and the reasonable costs incurred by the Purchaser in connection with such work shall be paid to the Purchaser by the Supplier or may be deducted by the Purchaser from any monies due the Supplier or claimed under the Performance Security.</w:t>
            </w:r>
          </w:p>
          <w:p w14:paraId="348FE609" w14:textId="77777777" w:rsidR="00157AAA" w:rsidRDefault="006C1BE5">
            <w:pPr>
              <w:spacing w:before="120"/>
              <w:ind w:left="793" w:right="-72" w:hanging="793"/>
            </w:pPr>
            <w:r>
              <w:t>29.11</w:t>
            </w:r>
            <w:r>
              <w:tab/>
              <w:t xml:space="preserve"> If the System or Subsystem cannot be used by reason of such defect and/or making good of such defect, the Warranty Period for the System shall be extended by a period equal to the period during which the System or Subsystem could not be used by the Purchaser because of such defect and/or making good of such defect.</w:t>
            </w:r>
          </w:p>
          <w:p w14:paraId="0F78BABE" w14:textId="77777777" w:rsidR="00157AAA" w:rsidRDefault="006C1BE5">
            <w:pPr>
              <w:spacing w:before="120"/>
              <w:ind w:left="793" w:right="-72" w:hanging="793"/>
            </w:pPr>
            <w:r>
              <w:t>29.12</w:t>
            </w:r>
            <w:r>
              <w:tab/>
              <w:t xml:space="preserve"> Items substituted for defective parts of the System during the Warranty Period shall be covered by the Defect Liability Warranty for the remainder of the Warranty Period applicable for the part replaced or three (3) months, whichever is greater.  For reasons of information security, the Purchaser may choose to retain physical possession of any replaced defective information storage devices.</w:t>
            </w:r>
          </w:p>
          <w:p w14:paraId="25A0CBD7" w14:textId="77777777" w:rsidR="00157AAA" w:rsidRDefault="006C1BE5">
            <w:pPr>
              <w:spacing w:before="120"/>
              <w:ind w:left="793" w:right="-72" w:hanging="793"/>
            </w:pPr>
            <w:r>
              <w:t>29.13</w:t>
            </w:r>
            <w:r>
              <w:tab/>
              <w:t xml:space="preserve"> At the request of the Purchaser and without prejudice to any other rights and remedies that the Purchaser may have against the Supplier under the Contract, the Supplier will offer all possible assistance to the Purchaser to seek warranty services or remedial action from any subcontracted third-party producers or licensor of Goods included in the System, including without limitation assignment or transfer in favor of the Purchaser of the benefit of any warranties given by such producers or licensors to the Supplier. </w:t>
            </w:r>
          </w:p>
        </w:tc>
      </w:tr>
      <w:tr w:rsidR="00157AAA" w14:paraId="310B14E1" w14:textId="77777777">
        <w:trPr>
          <w:trHeight w:val="720"/>
        </w:trPr>
        <w:tc>
          <w:tcPr>
            <w:tcW w:w="2412" w:type="dxa"/>
          </w:tcPr>
          <w:p w14:paraId="5C243FE9" w14:textId="77777777" w:rsidR="00157AAA" w:rsidRDefault="006C1BE5">
            <w:pPr>
              <w:pStyle w:val="Head62"/>
              <w:spacing w:before="120"/>
            </w:pPr>
            <w:bookmarkStart w:id="869" w:name="_Toc277233352"/>
            <w:bookmarkStart w:id="870" w:name="_Toc73977726"/>
            <w:r>
              <w:lastRenderedPageBreak/>
              <w:t>30.</w:t>
            </w:r>
            <w:r>
              <w:tab/>
              <w:t>Functional Guarantees</w:t>
            </w:r>
            <w:bookmarkEnd w:id="869"/>
            <w:bookmarkEnd w:id="870"/>
          </w:p>
        </w:tc>
        <w:tc>
          <w:tcPr>
            <w:tcW w:w="6588" w:type="dxa"/>
          </w:tcPr>
          <w:p w14:paraId="75B4B831" w14:textId="77777777" w:rsidR="00157AAA" w:rsidRDefault="006C1BE5">
            <w:pPr>
              <w:spacing w:before="120"/>
              <w:ind w:left="793" w:right="-72" w:hanging="793"/>
            </w:pPr>
            <w:r>
              <w:t>30.1</w:t>
            </w:r>
            <w:r>
              <w:tab/>
              <w:t>The Supplier guarantees that, once the Operational Acceptance Certificate(s) has been issued, the System represents a complete, integrated solution to the Purchaser’s requirements set forth in the Technical Requirements and it conforms to all other aspects of the Contract. The Supplier acknowledges that GCC Clause 27 regarding Commissioning and Operational Acceptance governs how technical conformance of the System to the Contract requirements will be determined.</w:t>
            </w:r>
          </w:p>
        </w:tc>
      </w:tr>
      <w:tr w:rsidR="00157AAA" w14:paraId="6742AB24" w14:textId="77777777">
        <w:trPr>
          <w:trHeight w:val="720"/>
        </w:trPr>
        <w:tc>
          <w:tcPr>
            <w:tcW w:w="2412" w:type="dxa"/>
          </w:tcPr>
          <w:p w14:paraId="112CD6EE" w14:textId="77777777" w:rsidR="00157AAA" w:rsidRDefault="00157AAA">
            <w:pPr>
              <w:spacing w:before="120"/>
              <w:jc w:val="left"/>
            </w:pPr>
          </w:p>
        </w:tc>
        <w:tc>
          <w:tcPr>
            <w:tcW w:w="6588" w:type="dxa"/>
          </w:tcPr>
          <w:p w14:paraId="003E1E1D" w14:textId="77777777" w:rsidR="00157AAA" w:rsidRDefault="006C1BE5">
            <w:pPr>
              <w:spacing w:before="120"/>
              <w:ind w:left="793" w:right="-72" w:hanging="793"/>
            </w:pPr>
            <w:r>
              <w:t>30.2</w:t>
            </w:r>
            <w:r>
              <w:tab/>
              <w:t>If, for reasons attributable to the Supplier, the System does not conform to the Technical Requirements or does not conform to all other aspects of the Contract, the Supplier shall at its cost and expense make such changes, modifications, and/or additions to the System as may be necessary to conform to the Technical Requirements and meet all functional and performance standards.  The Supplier shall notify the Purchaser upon completion of the necessary changes, modifications, and/or additions and shall request the Purchaser to repeat the Operational Acceptance Tests until the System achieves Operational Acceptance.</w:t>
            </w:r>
          </w:p>
          <w:p w14:paraId="6A15F41B" w14:textId="77777777" w:rsidR="00157AAA" w:rsidRDefault="006C1BE5">
            <w:pPr>
              <w:spacing w:before="120"/>
              <w:ind w:left="793" w:right="-72" w:hanging="793"/>
            </w:pPr>
            <w:r>
              <w:t>30.3</w:t>
            </w:r>
            <w:r>
              <w:tab/>
              <w:t>If the System (or Subsystem[s]) fails to achieve Operational Acceptance, the Purchaser may consider termination of the Contract, pursuant to GCC Clause 41.2.2, and forfeiture of the Supplier’s Performance Security in accordance with GCC Clause 13.3 in compensation for the extra costs and delays likely to result from this failure.</w:t>
            </w:r>
          </w:p>
        </w:tc>
      </w:tr>
      <w:tr w:rsidR="00157AAA" w14:paraId="23CEC04F" w14:textId="77777777">
        <w:trPr>
          <w:trHeight w:val="720"/>
        </w:trPr>
        <w:tc>
          <w:tcPr>
            <w:tcW w:w="2412" w:type="dxa"/>
          </w:tcPr>
          <w:p w14:paraId="03AC6B8F" w14:textId="77777777" w:rsidR="00157AAA" w:rsidRDefault="006C1BE5">
            <w:pPr>
              <w:pStyle w:val="Head62"/>
              <w:spacing w:before="120"/>
            </w:pPr>
            <w:bookmarkStart w:id="871" w:name="_Toc277233353"/>
            <w:bookmarkStart w:id="872" w:name="_Toc73977727"/>
            <w:r>
              <w:t>31.</w:t>
            </w:r>
            <w:r>
              <w:tab/>
              <w:t>Intellectual Property Rights Warranty</w:t>
            </w:r>
            <w:bookmarkEnd w:id="871"/>
            <w:bookmarkEnd w:id="872"/>
          </w:p>
        </w:tc>
        <w:tc>
          <w:tcPr>
            <w:tcW w:w="6588" w:type="dxa"/>
          </w:tcPr>
          <w:p w14:paraId="08A6FA82" w14:textId="77777777" w:rsidR="00157AAA" w:rsidRDefault="006C1BE5">
            <w:pPr>
              <w:spacing w:before="120"/>
              <w:ind w:left="793" w:right="-72" w:hanging="793"/>
            </w:pPr>
            <w:r>
              <w:t>31.1</w:t>
            </w:r>
            <w:r>
              <w:tab/>
              <w:t xml:space="preserve">The Supplier hereby represents and warrants that:  </w:t>
            </w:r>
          </w:p>
          <w:p w14:paraId="08E5117D" w14:textId="77777777" w:rsidR="00157AAA" w:rsidRDefault="006C1BE5">
            <w:pPr>
              <w:spacing w:before="120"/>
              <w:ind w:left="1423" w:right="-72" w:hanging="540"/>
            </w:pPr>
            <w:r>
              <w:t>(a)</w:t>
            </w:r>
            <w:r>
              <w:tab/>
              <w:t xml:space="preserve">the System as supplied, installed, tested, and </w:t>
            </w:r>
            <w:proofErr w:type="gramStart"/>
            <w:r>
              <w:t>accepted;</w:t>
            </w:r>
            <w:proofErr w:type="gramEnd"/>
            <w:r>
              <w:t xml:space="preserve"> </w:t>
            </w:r>
          </w:p>
          <w:p w14:paraId="56DCAE18" w14:textId="77777777" w:rsidR="00157AAA" w:rsidRDefault="006C1BE5">
            <w:pPr>
              <w:spacing w:before="120"/>
              <w:ind w:left="1423" w:right="-72" w:hanging="540"/>
            </w:pPr>
            <w:r>
              <w:t>(b)</w:t>
            </w:r>
            <w:r>
              <w:tab/>
              <w:t xml:space="preserve">use of the System in accordance with the Contract; and </w:t>
            </w:r>
          </w:p>
          <w:p w14:paraId="6B0FA5B5" w14:textId="77777777" w:rsidR="00157AAA" w:rsidRDefault="006C1BE5">
            <w:pPr>
              <w:spacing w:before="120"/>
              <w:ind w:left="1423" w:right="-72" w:hanging="540"/>
            </w:pPr>
            <w:r>
              <w:t>(c)</w:t>
            </w:r>
            <w:r>
              <w:tab/>
              <w:t xml:space="preserve">copying of the Software and Materials provided to the Purchaser in accordance with the Contract </w:t>
            </w:r>
          </w:p>
          <w:p w14:paraId="52550C89" w14:textId="77777777" w:rsidR="00157AAA" w:rsidRDefault="006C1BE5">
            <w:pPr>
              <w:spacing w:before="120"/>
              <w:ind w:left="883" w:right="-72"/>
            </w:pPr>
            <w:r>
              <w:t xml:space="preserve">do not and will not infringe any Intellectual Property Rights held by any third party and that it has all necessary rights or at its sole expense shall have secured in writing all transfers of rights and other consents necessary to make the assignments, licenses, and other transfers of Intellectual Property Rights and the warranties set forth in the Contract, and for the Purchaser to own or exercise all Intellectual Property Rights as provided in the Contract.  </w:t>
            </w:r>
            <w:r>
              <w:lastRenderedPageBreak/>
              <w:t>Without limitation, the Supplier shall secure all necessary written agreements, consents, and transfers of rights from its employees and other persons or entities whose services are used for development of the System.</w:t>
            </w:r>
          </w:p>
        </w:tc>
      </w:tr>
      <w:tr w:rsidR="00157AAA" w14:paraId="01697710" w14:textId="77777777">
        <w:trPr>
          <w:trHeight w:val="720"/>
        </w:trPr>
        <w:tc>
          <w:tcPr>
            <w:tcW w:w="2412" w:type="dxa"/>
          </w:tcPr>
          <w:p w14:paraId="4DB456B0" w14:textId="77777777" w:rsidR="00157AAA" w:rsidRDefault="006C1BE5">
            <w:pPr>
              <w:pStyle w:val="Head62"/>
              <w:spacing w:before="120"/>
            </w:pPr>
            <w:bookmarkStart w:id="873" w:name="_Toc277233354"/>
            <w:bookmarkStart w:id="874" w:name="_Toc73977728"/>
            <w:r>
              <w:lastRenderedPageBreak/>
              <w:t>32.</w:t>
            </w:r>
            <w:r>
              <w:tab/>
              <w:t>Intellectual Property Rights Indemnity</w:t>
            </w:r>
            <w:bookmarkEnd w:id="873"/>
            <w:bookmarkEnd w:id="874"/>
          </w:p>
        </w:tc>
        <w:tc>
          <w:tcPr>
            <w:tcW w:w="6588" w:type="dxa"/>
          </w:tcPr>
          <w:p w14:paraId="1A6E7C6D" w14:textId="77777777" w:rsidR="00157AAA" w:rsidRDefault="006C1BE5">
            <w:pPr>
              <w:spacing w:before="120"/>
              <w:ind w:left="793" w:right="-72" w:hanging="793"/>
            </w:pPr>
            <w:r>
              <w:t>32.1</w:t>
            </w:r>
            <w:r>
              <w:tab/>
              <w:t xml:space="preserve">The Supplier shall indemnify and hold harmless the Purchaser and its employees and officers from and against </w:t>
            </w:r>
            <w:proofErr w:type="gramStart"/>
            <w:r>
              <w:t>any and all</w:t>
            </w:r>
            <w:proofErr w:type="gramEnd"/>
            <w:r>
              <w:t xml:space="preserve"> losses, liabilities, and costs (including losses, liabilities, and costs incurred in defending a claim alleging such a liability), that the Purchaser or its employees or officers may suffer as a result of any infringement or alleged infringement of any Intellectual Property Rights by reason of: </w:t>
            </w:r>
          </w:p>
          <w:p w14:paraId="1BA816F3" w14:textId="77777777" w:rsidR="00157AAA" w:rsidRDefault="006C1BE5">
            <w:pPr>
              <w:spacing w:before="120"/>
              <w:ind w:left="1423" w:right="-72" w:hanging="547"/>
            </w:pPr>
            <w:r>
              <w:t>(a)</w:t>
            </w:r>
            <w:r>
              <w:tab/>
              <w:t xml:space="preserve">installation of the System by the Supplier or the use of the System, including the Materials, in the country where the site is </w:t>
            </w:r>
            <w:proofErr w:type="gramStart"/>
            <w:r>
              <w:t>located;</w:t>
            </w:r>
            <w:proofErr w:type="gramEnd"/>
            <w:r>
              <w:t xml:space="preserve"> </w:t>
            </w:r>
          </w:p>
          <w:p w14:paraId="1A852858" w14:textId="77777777" w:rsidR="00157AAA" w:rsidRDefault="006C1BE5">
            <w:pPr>
              <w:spacing w:before="120"/>
              <w:ind w:left="1423" w:right="-72" w:hanging="547"/>
            </w:pPr>
            <w:r>
              <w:t>(b)</w:t>
            </w:r>
            <w:r>
              <w:tab/>
              <w:t xml:space="preserve">copying of the Software and Materials provided the Supplier in accordance with the Agreement; and </w:t>
            </w:r>
          </w:p>
        </w:tc>
      </w:tr>
      <w:tr w:rsidR="00157AAA" w14:paraId="1F57FFB9" w14:textId="77777777">
        <w:trPr>
          <w:trHeight w:val="720"/>
        </w:trPr>
        <w:tc>
          <w:tcPr>
            <w:tcW w:w="2412" w:type="dxa"/>
          </w:tcPr>
          <w:p w14:paraId="4609520A" w14:textId="77777777" w:rsidR="00157AAA" w:rsidRDefault="00157AAA">
            <w:pPr>
              <w:spacing w:before="120"/>
              <w:jc w:val="left"/>
            </w:pPr>
          </w:p>
        </w:tc>
        <w:tc>
          <w:tcPr>
            <w:tcW w:w="6588" w:type="dxa"/>
          </w:tcPr>
          <w:p w14:paraId="6E9D306F" w14:textId="77777777" w:rsidR="00157AAA" w:rsidRDefault="006C1BE5">
            <w:pPr>
              <w:spacing w:before="120"/>
              <w:ind w:left="1423" w:right="-72" w:hanging="540"/>
            </w:pPr>
            <w:r>
              <w:t>(c)</w:t>
            </w:r>
            <w:r>
              <w:tab/>
              <w:t xml:space="preserve">sale of the products produced by the System in any country, except to the extent that such losses, liabilities, and costs arise </w:t>
            </w:r>
            <w:proofErr w:type="gramStart"/>
            <w:r>
              <w:t>as a result of</w:t>
            </w:r>
            <w:proofErr w:type="gramEnd"/>
            <w:r>
              <w:t xml:space="preserve"> the Purchaser’s breach of GCC Clause 32.2.</w:t>
            </w:r>
          </w:p>
        </w:tc>
      </w:tr>
      <w:tr w:rsidR="00157AAA" w14:paraId="6402CFEE" w14:textId="77777777">
        <w:trPr>
          <w:trHeight w:val="720"/>
        </w:trPr>
        <w:tc>
          <w:tcPr>
            <w:tcW w:w="2412" w:type="dxa"/>
          </w:tcPr>
          <w:p w14:paraId="0DFA172E" w14:textId="77777777" w:rsidR="00157AAA" w:rsidRDefault="00157AAA">
            <w:pPr>
              <w:spacing w:before="120"/>
              <w:jc w:val="left"/>
            </w:pPr>
          </w:p>
        </w:tc>
        <w:tc>
          <w:tcPr>
            <w:tcW w:w="6588" w:type="dxa"/>
          </w:tcPr>
          <w:p w14:paraId="4E57F150" w14:textId="77777777" w:rsidR="00157AAA" w:rsidRDefault="006C1BE5">
            <w:pPr>
              <w:spacing w:before="120"/>
              <w:ind w:left="793" w:right="-72" w:hanging="793"/>
            </w:pPr>
            <w:r>
              <w:t>32.2</w:t>
            </w:r>
            <w:r>
              <w:tab/>
              <w:t>Such indemnity shall not cover any use of the System, including the Materials, other than for the purpose indicated by or to be reasonably inferred from the Contract, any infringement resulting from the use of the System, or any products of the System produced thereby in association or combination with any other goods or services not supplied by the Supplier, where the infringement arises because of such association or combination and not because of use of the System in its own right.</w:t>
            </w:r>
          </w:p>
          <w:p w14:paraId="1ED16D58" w14:textId="77777777" w:rsidR="00157AAA" w:rsidRDefault="006C1BE5">
            <w:pPr>
              <w:spacing w:before="120"/>
              <w:ind w:left="793" w:right="-72" w:hanging="793"/>
            </w:pPr>
            <w:r>
              <w:t>32.3</w:t>
            </w:r>
            <w:r>
              <w:tab/>
              <w:t>Such indemnities shall also not apply if any claim of infringement:</w:t>
            </w:r>
          </w:p>
          <w:p w14:paraId="635C964B" w14:textId="77777777" w:rsidR="00157AAA" w:rsidRDefault="006C1BE5">
            <w:pPr>
              <w:spacing w:before="120"/>
              <w:ind w:left="1333" w:right="-72" w:hanging="547"/>
            </w:pPr>
            <w:r>
              <w:t>(a)</w:t>
            </w:r>
            <w:r>
              <w:tab/>
              <w:t xml:space="preserve">is asserted by a parent, subsidiary, or affiliate of the Purchaser’s </w:t>
            </w:r>
            <w:proofErr w:type="gramStart"/>
            <w:r>
              <w:t>organization;</w:t>
            </w:r>
            <w:proofErr w:type="gramEnd"/>
          </w:p>
          <w:p w14:paraId="71FEA677" w14:textId="77777777" w:rsidR="00157AAA" w:rsidRDefault="006C1BE5">
            <w:pPr>
              <w:spacing w:before="120"/>
              <w:ind w:left="1333" w:right="-72" w:hanging="540"/>
            </w:pPr>
            <w:r>
              <w:t>(b)</w:t>
            </w:r>
            <w:r>
              <w:tab/>
              <w:t xml:space="preserve">is a direct result of a design mandated by the Purchaser’s Technical Requirements and the possibility of such infringement was </w:t>
            </w:r>
            <w:proofErr w:type="gramStart"/>
            <w:r>
              <w:t>duly noted</w:t>
            </w:r>
            <w:proofErr w:type="gramEnd"/>
            <w:r>
              <w:t xml:space="preserve"> in the Supplier’s Bid; or</w:t>
            </w:r>
          </w:p>
          <w:p w14:paraId="514520A9" w14:textId="77777777" w:rsidR="00157AAA" w:rsidRDefault="006C1BE5">
            <w:pPr>
              <w:spacing w:before="120"/>
              <w:ind w:left="1333" w:right="-72" w:hanging="540"/>
            </w:pPr>
            <w:r>
              <w:t>(c)</w:t>
            </w:r>
            <w:r>
              <w:tab/>
              <w:t xml:space="preserve">results from the alteration of the System, including the Materials, by the Purchaser or any persons other </w:t>
            </w:r>
            <w:r>
              <w:lastRenderedPageBreak/>
              <w:t>than the Supplier or a person authorized by the Supplier.</w:t>
            </w:r>
          </w:p>
        </w:tc>
      </w:tr>
      <w:tr w:rsidR="00157AAA" w14:paraId="3B4F49F7" w14:textId="77777777">
        <w:trPr>
          <w:trHeight w:val="720"/>
        </w:trPr>
        <w:tc>
          <w:tcPr>
            <w:tcW w:w="2412" w:type="dxa"/>
          </w:tcPr>
          <w:p w14:paraId="5AEFC3D0" w14:textId="77777777" w:rsidR="00157AAA" w:rsidRDefault="00157AAA">
            <w:pPr>
              <w:spacing w:before="120"/>
              <w:jc w:val="left"/>
            </w:pPr>
          </w:p>
        </w:tc>
        <w:tc>
          <w:tcPr>
            <w:tcW w:w="6588" w:type="dxa"/>
          </w:tcPr>
          <w:p w14:paraId="3B37E10C" w14:textId="77777777" w:rsidR="00157AAA" w:rsidRDefault="006C1BE5">
            <w:pPr>
              <w:spacing w:before="120"/>
              <w:ind w:left="793" w:right="-72" w:hanging="793"/>
            </w:pPr>
            <w:r>
              <w:t>32.4</w:t>
            </w:r>
            <w:r>
              <w:tab/>
              <w:t xml:space="preserve">If any proceedings are brought or any claim is made against the Purchaser arising out of the matters referred to in GCC Clause 32.1, the Purchaser shall promptly give the Supplier notice of such proceedings or claims, and the Supplier may at its own expense and in the </w:t>
            </w:r>
            <w:proofErr w:type="gramStart"/>
            <w:r>
              <w:t>Purchaser’s</w:t>
            </w:r>
            <w:proofErr w:type="gramEnd"/>
            <w:r>
              <w:t xml:space="preserve"> name conduct such proceedings or claim and any negotiations for the settlement of any such proceedings or claim.</w:t>
            </w:r>
          </w:p>
          <w:p w14:paraId="69C16512" w14:textId="77777777" w:rsidR="00157AAA" w:rsidRDefault="006C1BE5">
            <w:pPr>
              <w:spacing w:before="120"/>
              <w:ind w:left="793" w:right="-72"/>
            </w:pPr>
            <w:r>
              <w:t>If the Supplier fails to notify the Purchaser within twenty-eight (28) days after receipt of such notice that it intends to conduct any such proceedings or claim, then the Purchaser shall be free to conduct the same on its own behalf.  Unless the Supplier has so failed to notify the Purchaser within the twenty-eight (28) days, the Purchaser shall make no admission that may be prejudicial to the defense of any such proceedings or claim.  The Purchaser shall, at the Supplier’s request, afford all available assistance to the Supplier in conducting such proceedings or claim and shall be reimbursed by the Supplier for all reasonable expenses incurred in so doing.</w:t>
            </w:r>
          </w:p>
        </w:tc>
      </w:tr>
      <w:tr w:rsidR="00157AAA" w14:paraId="33B4D8A3" w14:textId="77777777">
        <w:trPr>
          <w:trHeight w:val="720"/>
        </w:trPr>
        <w:tc>
          <w:tcPr>
            <w:tcW w:w="2412" w:type="dxa"/>
          </w:tcPr>
          <w:p w14:paraId="6BD56E2E" w14:textId="77777777" w:rsidR="00157AAA" w:rsidRDefault="00157AAA">
            <w:pPr>
              <w:spacing w:before="120"/>
              <w:jc w:val="left"/>
            </w:pPr>
          </w:p>
        </w:tc>
        <w:tc>
          <w:tcPr>
            <w:tcW w:w="6588" w:type="dxa"/>
          </w:tcPr>
          <w:p w14:paraId="75F0D8AA" w14:textId="77777777" w:rsidR="00157AAA" w:rsidRDefault="006C1BE5">
            <w:pPr>
              <w:spacing w:before="120"/>
              <w:ind w:left="793" w:right="-72" w:hanging="793"/>
            </w:pPr>
            <w:r>
              <w:t>32.5</w:t>
            </w:r>
            <w:r>
              <w:tab/>
              <w:t xml:space="preserve">The Purchaser shall indemnify and hold harmless the Supplier and its employees, officers, and Subcontractors from and against any and all losses, liabilities, and costs (including losses, liabilities, and costs incurred in defending a claim alleging such a liability) that the Supplier or its employees, officers, or Subcontractors may suffer as a result of any infringement or alleged infringement of any Intellectual Property Rights arising out of or in connection with any design, data, drawing, specification, or other documents or materials provided to the Supplier in connection with this Contract by the Purchaser or any persons (other than the Supplier) contracted by the Purchaser, except to the extent that such losses, liabilities, and costs arise as a result of the Supplier’s breach of GCC Clause 32.8. </w:t>
            </w:r>
          </w:p>
        </w:tc>
      </w:tr>
      <w:tr w:rsidR="00157AAA" w14:paraId="415D76E7" w14:textId="77777777">
        <w:tc>
          <w:tcPr>
            <w:tcW w:w="2412" w:type="dxa"/>
          </w:tcPr>
          <w:p w14:paraId="3BE7A7D4" w14:textId="77777777" w:rsidR="00157AAA" w:rsidRDefault="00157AAA">
            <w:pPr>
              <w:spacing w:before="120"/>
              <w:jc w:val="left"/>
            </w:pPr>
          </w:p>
        </w:tc>
        <w:tc>
          <w:tcPr>
            <w:tcW w:w="6588" w:type="dxa"/>
          </w:tcPr>
          <w:p w14:paraId="411E35D9" w14:textId="77777777" w:rsidR="00157AAA" w:rsidRDefault="006C1BE5">
            <w:pPr>
              <w:spacing w:before="120"/>
              <w:ind w:left="793" w:right="-72" w:hanging="793"/>
            </w:pPr>
            <w:r>
              <w:t>32.6</w:t>
            </w:r>
            <w:r>
              <w:tab/>
              <w:t xml:space="preserve">Such indemnity shall not </w:t>
            </w:r>
            <w:proofErr w:type="gramStart"/>
            <w:r>
              <w:t>cover</w:t>
            </w:r>
            <w:proofErr w:type="gramEnd"/>
          </w:p>
          <w:p w14:paraId="3F04AAC3" w14:textId="77777777" w:rsidR="00157AAA" w:rsidRDefault="006C1BE5">
            <w:pPr>
              <w:spacing w:before="120"/>
              <w:ind w:left="1333" w:right="-72" w:hanging="547"/>
            </w:pPr>
            <w:r>
              <w:t>(a)</w:t>
            </w:r>
            <w:r>
              <w:tab/>
              <w:t xml:space="preserve">any use of the design, data, drawing, specification, or other documents or materials, other than for the purpose indicated by or to be reasonably inferred from the </w:t>
            </w:r>
            <w:proofErr w:type="gramStart"/>
            <w:r>
              <w:t>Contract;</w:t>
            </w:r>
            <w:proofErr w:type="gramEnd"/>
          </w:p>
          <w:p w14:paraId="3117C804" w14:textId="77777777" w:rsidR="00157AAA" w:rsidRDefault="006C1BE5">
            <w:pPr>
              <w:spacing w:before="120"/>
              <w:ind w:left="1333" w:right="-72" w:hanging="547"/>
            </w:pPr>
            <w:r>
              <w:lastRenderedPageBreak/>
              <w:t>(b)</w:t>
            </w:r>
            <w:r>
              <w:tab/>
              <w:t>any infringement resulting from the use of the design, data, drawing, specification, or other documents or materials, or any products produced thereby, in association or combination with any other Goods or Services not provided by the Purchaser or any other person contracted by the Purchaser, where the infringement arises because of such association or combination and not because of the use of the design, data, drawing, specification, or other documents or materials in its own right.</w:t>
            </w:r>
          </w:p>
          <w:p w14:paraId="78611EBC" w14:textId="77777777" w:rsidR="00157AAA" w:rsidRDefault="006C1BE5">
            <w:pPr>
              <w:spacing w:before="120"/>
              <w:ind w:left="793" w:right="-72" w:hanging="793"/>
            </w:pPr>
            <w:r>
              <w:t>32.7</w:t>
            </w:r>
            <w:r>
              <w:tab/>
              <w:t>Such indemnities shall also not apply:</w:t>
            </w:r>
          </w:p>
          <w:p w14:paraId="40E517F8" w14:textId="77777777" w:rsidR="00157AAA" w:rsidRDefault="006C1BE5">
            <w:pPr>
              <w:spacing w:before="120"/>
              <w:ind w:left="1333" w:right="-72" w:hanging="547"/>
            </w:pPr>
            <w:r>
              <w:t>(a)</w:t>
            </w:r>
            <w:r>
              <w:tab/>
              <w:t xml:space="preserve">if any claim of infringement is asserted by a parent, subsidiary, or affiliate of the Supplier’s </w:t>
            </w:r>
            <w:proofErr w:type="gramStart"/>
            <w:r>
              <w:t>organization;</w:t>
            </w:r>
            <w:proofErr w:type="gramEnd"/>
          </w:p>
          <w:p w14:paraId="2FD560BB" w14:textId="77777777" w:rsidR="00157AAA" w:rsidRDefault="006C1BE5">
            <w:pPr>
              <w:spacing w:before="120"/>
              <w:ind w:left="1333" w:right="-72" w:hanging="547"/>
            </w:pPr>
            <w:r>
              <w:t>(b)</w:t>
            </w:r>
            <w:r>
              <w:tab/>
              <w:t xml:space="preserve">to the extent that any claim of infringement is caused by the alteration, by the Supplier, or any persons contracted by the Supplier, of the design, data, drawing, specification, or other documents or materials provided to the Supplier by the </w:t>
            </w:r>
            <w:proofErr w:type="gramStart"/>
            <w:r>
              <w:t>Purchaser</w:t>
            </w:r>
            <w:proofErr w:type="gramEnd"/>
            <w:r>
              <w:t xml:space="preserve"> or any persons contracted by the Purchaser.</w:t>
            </w:r>
          </w:p>
          <w:p w14:paraId="27ECC565" w14:textId="77777777" w:rsidR="00157AAA" w:rsidRDefault="006C1BE5">
            <w:pPr>
              <w:spacing w:before="120"/>
              <w:ind w:left="793" w:right="-72" w:hanging="793"/>
            </w:pPr>
            <w:r>
              <w:t>32.8</w:t>
            </w:r>
            <w:r>
              <w:tab/>
              <w:t xml:space="preserve">If any proceedings are brought or any claim is made against the Supplier arising out of the matters referred to in GCC Clause 32.5, the Supplier shall promptly give the Purchaser notice of such proceedings or claims, and the Purchaser may at its own expense and in the </w:t>
            </w:r>
            <w:proofErr w:type="gramStart"/>
            <w:r>
              <w:t>Supplier’s</w:t>
            </w:r>
            <w:proofErr w:type="gramEnd"/>
            <w:r>
              <w:t xml:space="preserve"> name conduct such proceedings or claim and any negotiations for the settlement of any such proceedings or claim.  If the Purchaser fails to notify the Supplier within twenty-eight (28) days after receipt of such notice that it intends to conduct any such proceedings or claim, then the Supplier shall be free to conduct the same on its own behalf.  Unless the Purchaser has so failed to notify the Supplier within the twenty-eight (28) days, the Supplier shall make no admission that may be prejudicial to the defense of any such proceedings or claim.  The Supplier shall, at the Purchaser’s request, afford all available assistance to the Purchaser in conducting such proceedings or claim and shall be reimbursed by the Purchaser for all reasonable expenses incurred in so doing.</w:t>
            </w:r>
          </w:p>
        </w:tc>
      </w:tr>
      <w:tr w:rsidR="00157AAA" w14:paraId="56A4A205" w14:textId="77777777">
        <w:trPr>
          <w:trHeight w:val="720"/>
        </w:trPr>
        <w:tc>
          <w:tcPr>
            <w:tcW w:w="2412" w:type="dxa"/>
          </w:tcPr>
          <w:p w14:paraId="39A75323" w14:textId="77777777" w:rsidR="00157AAA" w:rsidRDefault="006C1BE5">
            <w:pPr>
              <w:pStyle w:val="Head62"/>
              <w:spacing w:before="120"/>
            </w:pPr>
            <w:bookmarkStart w:id="875" w:name="_Toc277233355"/>
            <w:bookmarkStart w:id="876" w:name="_Toc73977729"/>
            <w:r>
              <w:lastRenderedPageBreak/>
              <w:t>33.</w:t>
            </w:r>
            <w:r>
              <w:tab/>
              <w:t>Limitation of Liability</w:t>
            </w:r>
            <w:bookmarkEnd w:id="875"/>
            <w:bookmarkEnd w:id="876"/>
          </w:p>
        </w:tc>
        <w:tc>
          <w:tcPr>
            <w:tcW w:w="6588" w:type="dxa"/>
          </w:tcPr>
          <w:p w14:paraId="632D29AC" w14:textId="77777777" w:rsidR="00157AAA" w:rsidRDefault="006C1BE5">
            <w:pPr>
              <w:spacing w:before="120"/>
              <w:ind w:left="793" w:right="-72" w:hanging="793"/>
            </w:pPr>
            <w:r>
              <w:t>33.1</w:t>
            </w:r>
            <w:r>
              <w:tab/>
              <w:t>Provided the following does not exclude or limit any liabilities of either party in ways not permitted by applicable law:</w:t>
            </w:r>
          </w:p>
        </w:tc>
      </w:tr>
      <w:tr w:rsidR="00157AAA" w14:paraId="14CBC2CA" w14:textId="77777777">
        <w:trPr>
          <w:trHeight w:val="720"/>
        </w:trPr>
        <w:tc>
          <w:tcPr>
            <w:tcW w:w="2412" w:type="dxa"/>
          </w:tcPr>
          <w:p w14:paraId="04E8814C" w14:textId="77777777" w:rsidR="00157AAA" w:rsidRDefault="00157AAA">
            <w:pPr>
              <w:spacing w:before="120"/>
              <w:jc w:val="left"/>
            </w:pPr>
          </w:p>
        </w:tc>
        <w:tc>
          <w:tcPr>
            <w:tcW w:w="6588" w:type="dxa"/>
          </w:tcPr>
          <w:p w14:paraId="66B4EE2A" w14:textId="77777777" w:rsidR="00157AAA" w:rsidRDefault="006C1BE5">
            <w:pPr>
              <w:spacing w:before="120"/>
              <w:ind w:left="1423" w:right="-72" w:hanging="547"/>
            </w:pPr>
            <w:r>
              <w:t>(a)</w:t>
            </w:r>
            <w:r>
              <w:tab/>
              <w:t xml:space="preserve">the Supplier shall not be liable to the Purchaser, whether in contract, tort, or otherwise, for any </w:t>
            </w:r>
            <w:r>
              <w:lastRenderedPageBreak/>
              <w:t>indirect or consequential loss or damage, loss of use, loss of production, or loss of profits or interest costs, provided that this exclusion shall not apply to any obligation of the Supplier to pay liquidated damages to the Purchaser; and</w:t>
            </w:r>
          </w:p>
          <w:p w14:paraId="4621ABE1" w14:textId="77777777" w:rsidR="00157AAA" w:rsidRDefault="006C1BE5">
            <w:pPr>
              <w:spacing w:before="120"/>
              <w:ind w:left="1423" w:right="-72" w:hanging="547"/>
            </w:pPr>
            <w:r>
              <w:t>(b)</w:t>
            </w:r>
            <w:r>
              <w:tab/>
              <w:t>the aggregate liability of the Supplier to the Purchaser, whether under the Contract, in tort or otherwise, shall not exceed the total Contract Price, provided that this limitation shall not apply to any obligation of the Supplier to indemnify the Purchaser with respect to intellectual property rights infringement.</w:t>
            </w:r>
          </w:p>
        </w:tc>
      </w:tr>
    </w:tbl>
    <w:p w14:paraId="67FC7002" w14:textId="77777777" w:rsidR="00157AAA" w:rsidRDefault="006C1BE5">
      <w:pPr>
        <w:pStyle w:val="Head61"/>
        <w:spacing w:before="120"/>
      </w:pPr>
      <w:bookmarkStart w:id="877" w:name="_Toc277233356"/>
      <w:bookmarkStart w:id="878" w:name="_Toc73977730"/>
      <w:r>
        <w:lastRenderedPageBreak/>
        <w:t>G.  Risk Distribution</w:t>
      </w:r>
      <w:bookmarkEnd w:id="877"/>
      <w:bookmarkEnd w:id="878"/>
    </w:p>
    <w:tbl>
      <w:tblPr>
        <w:tblW w:w="0" w:type="auto"/>
        <w:tblInd w:w="108" w:type="dxa"/>
        <w:tblLayout w:type="fixed"/>
        <w:tblLook w:val="0000" w:firstRow="0" w:lastRow="0" w:firstColumn="0" w:lastColumn="0" w:noHBand="0" w:noVBand="0"/>
      </w:tblPr>
      <w:tblGrid>
        <w:gridCol w:w="2412"/>
        <w:gridCol w:w="6588"/>
      </w:tblGrid>
      <w:tr w:rsidR="00157AAA" w14:paraId="15D77232" w14:textId="77777777">
        <w:tc>
          <w:tcPr>
            <w:tcW w:w="2412" w:type="dxa"/>
          </w:tcPr>
          <w:p w14:paraId="5A61F882" w14:textId="77777777" w:rsidR="00157AAA" w:rsidRDefault="006C1BE5">
            <w:pPr>
              <w:pStyle w:val="Head62"/>
              <w:spacing w:before="120"/>
            </w:pPr>
            <w:bookmarkStart w:id="879" w:name="_Toc277233357"/>
            <w:bookmarkStart w:id="880" w:name="_Toc73977731"/>
            <w:r>
              <w:t>34.</w:t>
            </w:r>
            <w:r>
              <w:tab/>
              <w:t>Transfer of Ownership</w:t>
            </w:r>
            <w:bookmarkEnd w:id="879"/>
            <w:bookmarkEnd w:id="880"/>
          </w:p>
        </w:tc>
        <w:tc>
          <w:tcPr>
            <w:tcW w:w="6588" w:type="dxa"/>
          </w:tcPr>
          <w:p w14:paraId="7B876FC2" w14:textId="77777777" w:rsidR="00157AAA" w:rsidRDefault="006C1BE5">
            <w:pPr>
              <w:spacing w:before="120"/>
              <w:ind w:left="793" w:right="-72" w:hanging="793"/>
            </w:pPr>
            <w:r>
              <w:t>34.1</w:t>
            </w:r>
            <w:r>
              <w:tab/>
              <w:t xml:space="preserve">With the exception of Software and Materials, the ownership of the Information Technologies and other Goods shall be transferred to the Purchaser at the time of Delivery or otherwise under terms that may be agreed upon and specified in the Contract Agreement.  </w:t>
            </w:r>
          </w:p>
        </w:tc>
      </w:tr>
      <w:tr w:rsidR="00157AAA" w14:paraId="555C72C8" w14:textId="77777777">
        <w:tc>
          <w:tcPr>
            <w:tcW w:w="2412" w:type="dxa"/>
          </w:tcPr>
          <w:p w14:paraId="0544A070" w14:textId="77777777" w:rsidR="00157AAA" w:rsidRDefault="00157AAA">
            <w:pPr>
              <w:keepLines/>
              <w:spacing w:before="120"/>
              <w:jc w:val="left"/>
            </w:pPr>
          </w:p>
        </w:tc>
        <w:tc>
          <w:tcPr>
            <w:tcW w:w="6588" w:type="dxa"/>
          </w:tcPr>
          <w:p w14:paraId="34CBABF9" w14:textId="77777777" w:rsidR="00157AAA" w:rsidRDefault="006C1BE5">
            <w:pPr>
              <w:spacing w:before="120"/>
              <w:ind w:left="793" w:right="-72" w:hanging="793"/>
            </w:pPr>
            <w:r>
              <w:t>34.2</w:t>
            </w:r>
            <w:r>
              <w:tab/>
              <w:t xml:space="preserve">Ownership and the terms of usage of the Software and Materials supplied under the Contract shall be governed by GCC Clause 15 (Copyright) </w:t>
            </w:r>
            <w:r>
              <w:rPr>
                <w:szCs w:val="24"/>
              </w:rPr>
              <w:t xml:space="preserve">Clause 16 (Software License Agreements), </w:t>
            </w:r>
            <w:r>
              <w:t>and any elaboration in the Technical Requirements.</w:t>
            </w:r>
          </w:p>
          <w:p w14:paraId="04914DA5" w14:textId="77777777" w:rsidR="00157AAA" w:rsidRDefault="006C1BE5">
            <w:pPr>
              <w:spacing w:before="120"/>
              <w:ind w:left="793" w:right="-72" w:hanging="793"/>
            </w:pPr>
            <w:r>
              <w:t>34.3</w:t>
            </w:r>
            <w:r>
              <w:tab/>
              <w:t>Ownership of the Supplier’s Equipment used by the Supplier and its Subcontractors in connection with the Contract shall remain with the Supplier or its Subcontractors.</w:t>
            </w:r>
          </w:p>
        </w:tc>
      </w:tr>
      <w:tr w:rsidR="00157AAA" w14:paraId="5F8FA95D" w14:textId="77777777">
        <w:tc>
          <w:tcPr>
            <w:tcW w:w="2412" w:type="dxa"/>
          </w:tcPr>
          <w:p w14:paraId="56AC3334" w14:textId="77777777" w:rsidR="00157AAA" w:rsidRDefault="006C1BE5">
            <w:pPr>
              <w:pStyle w:val="Head62"/>
              <w:spacing w:before="120"/>
            </w:pPr>
            <w:bookmarkStart w:id="881" w:name="_Toc277233358"/>
            <w:bookmarkStart w:id="882" w:name="_Toc73977732"/>
            <w:r>
              <w:t>35.</w:t>
            </w:r>
            <w:r>
              <w:tab/>
              <w:t>Care of the System</w:t>
            </w:r>
            <w:bookmarkEnd w:id="881"/>
            <w:bookmarkEnd w:id="882"/>
          </w:p>
        </w:tc>
        <w:tc>
          <w:tcPr>
            <w:tcW w:w="6588" w:type="dxa"/>
          </w:tcPr>
          <w:p w14:paraId="273535D9" w14:textId="77777777" w:rsidR="00157AAA" w:rsidRDefault="006C1BE5">
            <w:pPr>
              <w:spacing w:before="120"/>
              <w:ind w:left="793" w:right="-72" w:hanging="793"/>
            </w:pPr>
            <w:r>
              <w:t>35.1</w:t>
            </w:r>
            <w:r>
              <w:tab/>
              <w:t>The Purchaser shall become responsible for the care and custody of the System or Subsystems upon their Delivery.  The Purchaser shall make good at its own cost any loss or damage that may occur to the System or Subsystems from any cause from the date of Delivery until the date of Operational Acceptance of the System or Subsystems, pursuant to GCC Clause 27 (Commissioning and Operational Acceptance), excepting such loss or damage arising from acts or omissions of the Supplier, its employees, or subcontractors.</w:t>
            </w:r>
          </w:p>
          <w:p w14:paraId="3F5F8526" w14:textId="77777777" w:rsidR="00157AAA" w:rsidRDefault="006C1BE5">
            <w:pPr>
              <w:spacing w:before="120"/>
              <w:ind w:left="793" w:right="-72" w:hanging="793"/>
            </w:pPr>
            <w:r>
              <w:t>35.2</w:t>
            </w:r>
            <w:r>
              <w:tab/>
              <w:t>If any loss or damage occurs to the System or any part of the System by reason of:</w:t>
            </w:r>
          </w:p>
          <w:p w14:paraId="4E83C8F0" w14:textId="77777777" w:rsidR="00157AAA" w:rsidRDefault="006C1BE5">
            <w:pPr>
              <w:spacing w:before="120"/>
              <w:ind w:left="1333" w:right="-72" w:hanging="540"/>
            </w:pPr>
            <w:r>
              <w:lastRenderedPageBreak/>
              <w:t>(a)</w:t>
            </w:r>
            <w:r>
              <w:tab/>
              <w:t>(insofar as they relate to the country where the Project Site is located) nuclear reaction, nuclear radiation, radioactive contamination, a pressure wave caused by aircraft or other aerial objects, or any other occurrences that an experienced Supplier could not reasonably foresee, or if reasonably foreseeable could not reasonably make provision for or insure against, insofar as such risks are not normally insurable on the insurance market and are mentioned in the general exclusions of the policy of insurance taken out under GCC Clause 37;</w:t>
            </w:r>
          </w:p>
          <w:p w14:paraId="30C079A1" w14:textId="77777777" w:rsidR="00157AAA" w:rsidRDefault="006C1BE5">
            <w:pPr>
              <w:spacing w:before="120"/>
              <w:ind w:left="1333" w:right="-72" w:hanging="540"/>
            </w:pPr>
            <w:r>
              <w:t>(b)</w:t>
            </w:r>
            <w:r>
              <w:tab/>
              <w:t xml:space="preserve">any use not in accordance with the Contract, by the Purchaser or any third </w:t>
            </w:r>
            <w:proofErr w:type="gramStart"/>
            <w:r>
              <w:t>party;</w:t>
            </w:r>
            <w:proofErr w:type="gramEnd"/>
          </w:p>
          <w:p w14:paraId="6306D22E" w14:textId="77777777" w:rsidR="00157AAA" w:rsidRDefault="006C1BE5">
            <w:pPr>
              <w:spacing w:before="120"/>
              <w:ind w:left="1333" w:right="-72" w:hanging="540"/>
            </w:pPr>
            <w:r>
              <w:t>(c)</w:t>
            </w:r>
            <w:r>
              <w:tab/>
              <w:t>any use of or reliance upon any design, data, or specification provided or designated by or on behalf of the Purchaser, or any such matter for which the Supplier has disclaimed responsibility in accordance with GCC Clause 21.1.2,</w:t>
            </w:r>
          </w:p>
          <w:p w14:paraId="17BA0D7F" w14:textId="77777777" w:rsidR="00157AAA" w:rsidRDefault="006C1BE5">
            <w:pPr>
              <w:spacing w:before="120"/>
              <w:ind w:left="793" w:right="-72"/>
            </w:pPr>
            <w:r>
              <w:t xml:space="preserve">the Purchaser shall pay to the Supplier all sums payable in respect of the System or Subsystems that have achieved Operational Acceptance, notwithstanding that the same be lost, destroyed, or damaged.  If the Purchaser requests the Supplier in writing to make good any loss or damage to the System thereby occasioned, the Supplier shall make good the same at the cost of the Purchaser in accordance with GCC Clause 39.  If the Purchaser does not request the Supplier in writing to make good any loss or damage to the System thereby occasioned, the Purchaser shall either request a change in accordance with GCC Clause 39, excluding the performance of that part of the System thereby lost, destroyed, or damaged, or, where the loss or damage affects a substantial part of the System, the Purchaser shall terminate the Contract pursuant to GCC Clause 41.1. </w:t>
            </w:r>
          </w:p>
          <w:p w14:paraId="57A4925C" w14:textId="77777777" w:rsidR="00157AAA" w:rsidRDefault="006C1BE5">
            <w:pPr>
              <w:spacing w:before="120"/>
              <w:ind w:left="793" w:right="-72" w:hanging="793"/>
            </w:pPr>
            <w:r>
              <w:t>35.3</w:t>
            </w:r>
            <w:r>
              <w:tab/>
              <w:t>The Purchaser shall be liable for any loss of or damage to any Supplier’s Equipment which the Purchaser has authorized to locate within the Purchaser's premises for use in fulfillment of Supplier's obligations under the Contract, except where such loss or damage arises from acts or omissions of the Supplier, its employees, or subcontractors.</w:t>
            </w:r>
          </w:p>
        </w:tc>
      </w:tr>
      <w:tr w:rsidR="00157AAA" w14:paraId="2C8AF836" w14:textId="77777777">
        <w:trPr>
          <w:cantSplit/>
        </w:trPr>
        <w:tc>
          <w:tcPr>
            <w:tcW w:w="2412" w:type="dxa"/>
          </w:tcPr>
          <w:p w14:paraId="25613BBD" w14:textId="77777777" w:rsidR="00157AAA" w:rsidRDefault="006C1BE5">
            <w:pPr>
              <w:pStyle w:val="Head62"/>
              <w:spacing w:before="120"/>
            </w:pPr>
            <w:bookmarkStart w:id="883" w:name="_Toc277233359"/>
            <w:bookmarkStart w:id="884" w:name="_Toc73977733"/>
            <w:r>
              <w:lastRenderedPageBreak/>
              <w:t>36.</w:t>
            </w:r>
            <w:r>
              <w:tab/>
              <w:t>Loss of or Damage to Property; Accident or Injury to Workers; Indemnification</w:t>
            </w:r>
            <w:bookmarkEnd w:id="883"/>
            <w:bookmarkEnd w:id="884"/>
          </w:p>
        </w:tc>
        <w:tc>
          <w:tcPr>
            <w:tcW w:w="6588" w:type="dxa"/>
          </w:tcPr>
          <w:p w14:paraId="1E3D8B2B" w14:textId="77777777" w:rsidR="00157AAA" w:rsidRDefault="006C1BE5">
            <w:pPr>
              <w:spacing w:before="120"/>
              <w:ind w:left="793" w:right="-72" w:hanging="793"/>
            </w:pPr>
            <w:r>
              <w:t>36.1</w:t>
            </w:r>
            <w:r>
              <w:tab/>
              <w:t xml:space="preserve">The Supplier and </w:t>
            </w:r>
            <w:proofErr w:type="gramStart"/>
            <w:r>
              <w:t>each and every</w:t>
            </w:r>
            <w:proofErr w:type="gramEnd"/>
            <w:r>
              <w:t xml:space="preserve"> Subcontractor shall abide by the job safety, insurance, customs, and immigration measures prevalent and laws in force in the Purchaser’s Country.</w:t>
            </w:r>
            <w:r>
              <w:rPr>
                <w:rFonts w:eastAsia="Arial Narrow"/>
              </w:rPr>
              <w:t xml:space="preserve"> </w:t>
            </w:r>
          </w:p>
          <w:p w14:paraId="3A10AB5E" w14:textId="77777777" w:rsidR="00157AAA" w:rsidRDefault="006C1BE5">
            <w:pPr>
              <w:spacing w:before="120"/>
              <w:ind w:left="793" w:right="-72" w:hanging="793"/>
            </w:pPr>
            <w:r>
              <w:t>36.2</w:t>
            </w:r>
            <w:r>
              <w:tab/>
              <w:t>Subject to GCC Clause 36.3, the Supplier shall indemnify and hold harmless the Purchaser and its employees and officers from and against any and all losses, liabilities and costs (including losses, liabilities, and costs incurred in defending a claim alleging such a liability) that the Purchaser or its employees or officers may suffer as a result of the death or injury of any person or loss of or damage to any property (other than the System, whether accepted or not) arising in connection with the supply, installation, testing, and Commissioning of the System and by reason of the negligence of the Supplier or its Subcontractors, or their employees, officers or agents, except any injury, death, or property damage caused by the negligence of the Purchaser, its contractors, employees, officers, or agents.</w:t>
            </w:r>
          </w:p>
        </w:tc>
      </w:tr>
      <w:tr w:rsidR="00157AAA" w14:paraId="28039613" w14:textId="77777777">
        <w:tc>
          <w:tcPr>
            <w:tcW w:w="2412" w:type="dxa"/>
          </w:tcPr>
          <w:p w14:paraId="6A60F8E5" w14:textId="77777777" w:rsidR="00157AAA" w:rsidRDefault="00157AAA">
            <w:pPr>
              <w:spacing w:before="120"/>
              <w:jc w:val="left"/>
            </w:pPr>
          </w:p>
        </w:tc>
        <w:tc>
          <w:tcPr>
            <w:tcW w:w="6588" w:type="dxa"/>
          </w:tcPr>
          <w:p w14:paraId="25395BC2" w14:textId="77777777" w:rsidR="00157AAA" w:rsidRDefault="006C1BE5">
            <w:pPr>
              <w:spacing w:before="120"/>
              <w:ind w:left="793" w:right="-72" w:hanging="793"/>
            </w:pPr>
            <w:r>
              <w:t>36.3</w:t>
            </w:r>
            <w:r>
              <w:tab/>
              <w:t xml:space="preserve">If any proceedings are brought or any claim is made against the Purchaser that might subject the Supplier to liability under GCC Clause 36.2, the Purchaser shall promptly give the Supplier notice of such proceedings or claims, and the Supplier may at its own expense and in the Purchaser’s name conduct such proceedings or claim and any negotiations for the settlement of any such proceedings or claim.  If the Supplier fails to notify the Purchaser within twenty-eight (28) days after receipt of such notice that it intends to conduct any such proceedings or claim, then the Purchaser shall be free to conduct the same on its own behalf.  Unless the Supplier has so failed to notify the Purchaser within the twenty-eight (28) day period, the Purchaser shall make no admission that may be prejudicial to the defense of any such proceedings or claim.  The Purchaser shall, at the Supplier’s request, </w:t>
            </w:r>
            <w:proofErr w:type="gramStart"/>
            <w:r>
              <w:t>afford</w:t>
            </w:r>
            <w:proofErr w:type="gramEnd"/>
            <w:r>
              <w:t xml:space="preserve"> all available assistance to the Supplier in conducting such proceedings or claim and shall be reimbursed by the Supplier for all reasonable expenses incurred in so doing.</w:t>
            </w:r>
          </w:p>
          <w:p w14:paraId="2481F0E7" w14:textId="77777777" w:rsidR="00157AAA" w:rsidRDefault="006C1BE5">
            <w:pPr>
              <w:spacing w:before="120"/>
              <w:ind w:left="793" w:right="-72" w:hanging="793"/>
            </w:pPr>
            <w:r>
              <w:t>36.4</w:t>
            </w:r>
            <w:r>
              <w:tab/>
              <w:t xml:space="preserve">The Purchaser shall indemnify and hold harmless the Supplier and its employees, officers, and Subcontractors from any and all losses, liabilities, and costs (including losses, liabilities, and costs incurred in defending a claim alleging such a liability) that the Supplier or its employees, officers, or Subcontractors may suffer as a result of the death or personal injury of any person or loss of or damage </w:t>
            </w:r>
            <w:r>
              <w:lastRenderedPageBreak/>
              <w:t>to property of the Purchaser, other than the System not yet achieving Operational Acceptance, that is caused by fire, explosion, or any other perils, in excess of the amount recoverable from insurances procured under GCC Clause 37 (Insurances), provided that such fire, explosion, or other perils were not caused by any act or failure of the Supplier.</w:t>
            </w:r>
          </w:p>
        </w:tc>
      </w:tr>
      <w:tr w:rsidR="00157AAA" w14:paraId="4BDB2289" w14:textId="77777777">
        <w:tc>
          <w:tcPr>
            <w:tcW w:w="2412" w:type="dxa"/>
          </w:tcPr>
          <w:p w14:paraId="2CA12DAC" w14:textId="77777777" w:rsidR="00157AAA" w:rsidRDefault="00157AAA">
            <w:pPr>
              <w:spacing w:before="120"/>
              <w:jc w:val="left"/>
            </w:pPr>
          </w:p>
        </w:tc>
        <w:tc>
          <w:tcPr>
            <w:tcW w:w="6588" w:type="dxa"/>
          </w:tcPr>
          <w:p w14:paraId="3E61E000" w14:textId="77777777" w:rsidR="00157AAA" w:rsidRDefault="006C1BE5">
            <w:pPr>
              <w:spacing w:before="120"/>
              <w:ind w:left="793" w:right="-72" w:hanging="793"/>
            </w:pPr>
            <w:r>
              <w:t>36.5</w:t>
            </w:r>
            <w:r>
              <w:tab/>
              <w:t>If any proceedings are brought or any claim is made against the Supplier that might subject the Purchaser to liability under GCC Clause 36.4, the Supplier shall promptly give the Purchaser notice of such proceedings or claims, and the Purchaser may at its own expense and in the Supplier’s name conduct such proceedings or claim and any negotiations for the settlement of any such proceedings or claim.  If the Purchaser fails to notify the Supplier within twenty-eight (28) days after receipt of such notice that it intends to conduct any such proceedings or claim, then the Supplier shall be free to conduct the same on its own behalf.  Unless the Purchaser has so failed to notify the Supplier within the twenty-eight (28) days, the Supplier shall make no admission that may be prejudicial to the defense of any such proceedings or claim.  The Supplier shall, at the Purchaser’s request, afford all available assistance to the Purchaser in conducting such proceedings or claim and shall be reimbursed by the Purchaser for all reasonable expenses incurred in so doing.</w:t>
            </w:r>
          </w:p>
        </w:tc>
      </w:tr>
      <w:tr w:rsidR="00157AAA" w14:paraId="5524E5BD" w14:textId="77777777">
        <w:tc>
          <w:tcPr>
            <w:tcW w:w="2412" w:type="dxa"/>
          </w:tcPr>
          <w:p w14:paraId="30C8C700" w14:textId="77777777" w:rsidR="00157AAA" w:rsidRDefault="00157AAA">
            <w:pPr>
              <w:spacing w:before="120"/>
              <w:jc w:val="left"/>
            </w:pPr>
          </w:p>
        </w:tc>
        <w:tc>
          <w:tcPr>
            <w:tcW w:w="6588" w:type="dxa"/>
          </w:tcPr>
          <w:p w14:paraId="21870DB0" w14:textId="77777777" w:rsidR="00157AAA" w:rsidRDefault="006C1BE5">
            <w:pPr>
              <w:spacing w:before="120"/>
              <w:ind w:left="793" w:right="-72" w:hanging="793"/>
            </w:pPr>
            <w:r>
              <w:t>36.6</w:t>
            </w:r>
            <w:r>
              <w:tab/>
              <w:t>The party entitled to the benefit of an indemnity under this GCC Clause 36 shall take all reasonable measures to mitigate any loss or damage that has occurred.  If the party fails to take such measures, the other party’s liabilities shall be correspondingly reduced.</w:t>
            </w:r>
          </w:p>
        </w:tc>
      </w:tr>
      <w:tr w:rsidR="00157AAA" w14:paraId="0DB7EE35" w14:textId="77777777">
        <w:tc>
          <w:tcPr>
            <w:tcW w:w="2412" w:type="dxa"/>
          </w:tcPr>
          <w:p w14:paraId="038E6479" w14:textId="77777777" w:rsidR="00157AAA" w:rsidRDefault="006C1BE5">
            <w:pPr>
              <w:pStyle w:val="Head62"/>
              <w:spacing w:before="120"/>
            </w:pPr>
            <w:bookmarkStart w:id="885" w:name="_Toc277233360"/>
            <w:bookmarkStart w:id="886" w:name="_Toc73977734"/>
            <w:r>
              <w:t>37.</w:t>
            </w:r>
            <w:r>
              <w:tab/>
              <w:t>Insurances</w:t>
            </w:r>
            <w:bookmarkEnd w:id="885"/>
            <w:bookmarkEnd w:id="886"/>
          </w:p>
        </w:tc>
        <w:tc>
          <w:tcPr>
            <w:tcW w:w="6588" w:type="dxa"/>
          </w:tcPr>
          <w:p w14:paraId="08B11D26" w14:textId="77777777" w:rsidR="00157AAA" w:rsidRDefault="006C1BE5">
            <w:pPr>
              <w:spacing w:before="120"/>
              <w:ind w:left="793" w:right="-72" w:hanging="793"/>
            </w:pPr>
            <w:r>
              <w:t>37.1</w:t>
            </w:r>
            <w:r>
              <w:tab/>
              <w:t>The Supplier shall at its expense take out and maintain in effect, or cause to be taken out and maintained in effect, during the performance of the Contract, the insurance set forth below.  The identity of the insurers and the form of the policies shall be subject to the approval of the Purchaser, who should not unreasonably withhold such approval.</w:t>
            </w:r>
          </w:p>
        </w:tc>
      </w:tr>
      <w:tr w:rsidR="00157AAA" w14:paraId="4D92C353" w14:textId="77777777">
        <w:tc>
          <w:tcPr>
            <w:tcW w:w="2412" w:type="dxa"/>
          </w:tcPr>
          <w:p w14:paraId="643A31F5" w14:textId="77777777" w:rsidR="00157AAA" w:rsidRDefault="00157AAA">
            <w:pPr>
              <w:spacing w:before="120"/>
              <w:jc w:val="left"/>
            </w:pPr>
          </w:p>
        </w:tc>
        <w:tc>
          <w:tcPr>
            <w:tcW w:w="6588" w:type="dxa"/>
          </w:tcPr>
          <w:p w14:paraId="279B6184" w14:textId="77777777" w:rsidR="00157AAA" w:rsidRDefault="006C1BE5">
            <w:pPr>
              <w:spacing w:before="120"/>
              <w:ind w:left="1333" w:right="-72" w:hanging="540"/>
            </w:pPr>
            <w:r>
              <w:t>(a)</w:t>
            </w:r>
            <w:r>
              <w:tab/>
              <w:t>Cargo Insurance During Transport</w:t>
            </w:r>
          </w:p>
          <w:p w14:paraId="0EF8D2CF" w14:textId="77777777" w:rsidR="00157AAA" w:rsidRDefault="006C1BE5">
            <w:pPr>
              <w:spacing w:before="120"/>
              <w:ind w:left="1333" w:right="-72"/>
            </w:pPr>
            <w:r>
              <w:t xml:space="preserve">as applicable, 110 percent of the price of the Information Technologies and other Goods in a freely convertible currency, covering the Goods from </w:t>
            </w:r>
            <w:r>
              <w:lastRenderedPageBreak/>
              <w:t>physical loss or damage during shipment through receipt at the Project Site.</w:t>
            </w:r>
          </w:p>
          <w:p w14:paraId="7ABBF81B" w14:textId="77777777" w:rsidR="00157AAA" w:rsidRDefault="006C1BE5">
            <w:pPr>
              <w:spacing w:before="120"/>
              <w:ind w:left="1333" w:right="-72" w:hanging="540"/>
            </w:pPr>
            <w:r>
              <w:t>(b)</w:t>
            </w:r>
            <w:r>
              <w:tab/>
              <w:t>Installation “All Risks” Insurance</w:t>
            </w:r>
          </w:p>
          <w:p w14:paraId="182A2AC2" w14:textId="77777777" w:rsidR="00157AAA" w:rsidRDefault="006C1BE5">
            <w:pPr>
              <w:spacing w:before="120"/>
              <w:ind w:left="1333" w:right="-72"/>
            </w:pPr>
            <w:r>
              <w:t>as applicable, 110 percent of the price of the Information Technologies and other Goods covering the Goods at the site from all risks of physical loss or damage (excluding only perils commonly excluded under “all risks” insurance policies of this type by reputable insurers) occurring prior to Operational Acceptance of the System.</w:t>
            </w:r>
          </w:p>
          <w:p w14:paraId="24B70D33" w14:textId="77777777" w:rsidR="00157AAA" w:rsidRDefault="006C1BE5">
            <w:pPr>
              <w:spacing w:before="120"/>
              <w:ind w:left="1333" w:right="-72" w:hanging="540"/>
            </w:pPr>
            <w:r>
              <w:t>(c)</w:t>
            </w:r>
            <w:r>
              <w:tab/>
              <w:t>Third-Party Liability Insurance</w:t>
            </w:r>
          </w:p>
          <w:p w14:paraId="1D822443" w14:textId="77777777" w:rsidR="00157AAA" w:rsidRDefault="006C1BE5">
            <w:pPr>
              <w:spacing w:before="120"/>
              <w:ind w:left="1333" w:right="-72"/>
            </w:pPr>
            <w:r>
              <w:t xml:space="preserve">On terms as </w:t>
            </w:r>
            <w:r>
              <w:rPr>
                <w:b/>
              </w:rPr>
              <w:t>specified in the SCC,</w:t>
            </w:r>
            <w:r>
              <w:t xml:space="preserve"> covering bodily injury or death suffered by third parties (including the Purchaser’s personnel) and loss of or damage to property (including the Purchaser’s property and any Subsystems that have been accepted by the Purchaser) occurring in connection with the supply and installation of the Information System.</w:t>
            </w:r>
          </w:p>
          <w:p w14:paraId="24B5E3CD" w14:textId="77777777" w:rsidR="00157AAA" w:rsidRDefault="006C1BE5">
            <w:pPr>
              <w:spacing w:before="120"/>
              <w:ind w:left="1333" w:right="-72" w:hanging="540"/>
            </w:pPr>
            <w:r>
              <w:t>(d)</w:t>
            </w:r>
            <w:r>
              <w:tab/>
              <w:t>Automobile Liability Insurance</w:t>
            </w:r>
          </w:p>
          <w:p w14:paraId="70F0F18F" w14:textId="77777777" w:rsidR="00157AAA" w:rsidRDefault="006C1BE5">
            <w:pPr>
              <w:spacing w:before="120"/>
              <w:ind w:left="1333" w:right="-72"/>
            </w:pPr>
            <w:r>
              <w:t>In accordance with the statutory requirements prevailing in the Purchaser’s Country, covering use of all vehicles used by the Supplier or its Subcontractors (</w:t>
            </w:r>
            <w:proofErr w:type="gramStart"/>
            <w:r>
              <w:t>whether or not</w:t>
            </w:r>
            <w:proofErr w:type="gramEnd"/>
            <w:r>
              <w:t xml:space="preserve"> owned by them) in connection with the execution of the Contract.</w:t>
            </w:r>
          </w:p>
          <w:p w14:paraId="666FDCBB" w14:textId="77777777" w:rsidR="00157AAA" w:rsidRDefault="006C1BE5">
            <w:pPr>
              <w:spacing w:before="120"/>
              <w:ind w:left="1333" w:right="-72" w:hanging="540"/>
            </w:pPr>
            <w:r>
              <w:t>(e)</w:t>
            </w:r>
            <w:r>
              <w:tab/>
              <w:t xml:space="preserve">Other Insurance (if any), as </w:t>
            </w:r>
            <w:r>
              <w:rPr>
                <w:b/>
              </w:rPr>
              <w:t>specified in the SCC.</w:t>
            </w:r>
          </w:p>
          <w:p w14:paraId="6C73CD6B" w14:textId="77777777" w:rsidR="00157AAA" w:rsidRDefault="006C1BE5">
            <w:pPr>
              <w:spacing w:before="120"/>
              <w:ind w:left="793" w:right="-72" w:hanging="793"/>
            </w:pPr>
            <w:r>
              <w:t>37.2</w:t>
            </w:r>
            <w:r>
              <w:tab/>
              <w:t>The Purchaser shall be named as co-insured under all insurance policies taken out by the Supplier pursuant to GCC Clause 37.1, except for the Third-Party Liability, and the Supplier’s Subcontractors shall be named as co-insured under all insurance policies taken out by the Supplier pursuant to GCC Clause 37.1 except for Cargo Insurance During Transport.  All insurer’s rights of subrogation against such co-insured for losses or claims arising out of the performance of the Contract shall be waived under such policies.</w:t>
            </w:r>
          </w:p>
          <w:p w14:paraId="319C79C2" w14:textId="77777777" w:rsidR="00157AAA" w:rsidRDefault="006C1BE5">
            <w:pPr>
              <w:spacing w:before="120"/>
              <w:ind w:left="793" w:right="-72" w:hanging="793"/>
            </w:pPr>
            <w:r>
              <w:t>37.3</w:t>
            </w:r>
            <w:r>
              <w:tab/>
              <w:t>The Supplier shall deliver to the Purchaser certificates of insurance (or copies of the insurance policies) as evidence that the required policies are in full force and effect.</w:t>
            </w:r>
          </w:p>
          <w:p w14:paraId="5AF7D2EE" w14:textId="77777777" w:rsidR="00157AAA" w:rsidRDefault="006C1BE5">
            <w:pPr>
              <w:spacing w:before="120"/>
              <w:ind w:left="793" w:right="-72" w:hanging="793"/>
            </w:pPr>
            <w:r>
              <w:t>37.4</w:t>
            </w:r>
            <w:r>
              <w:tab/>
              <w:t xml:space="preserve">The Supplier shall ensure that, where applicable, its Subcontractor(s) shall take out and maintain in effect adequate insurance policies for their personnel and vehicles and for work executed by them under the Contract, unless </w:t>
            </w:r>
            <w:r>
              <w:lastRenderedPageBreak/>
              <w:t>such Subcontractors are covered by the policies taken out by the Supplier.</w:t>
            </w:r>
          </w:p>
          <w:p w14:paraId="7063CAED" w14:textId="77777777" w:rsidR="00157AAA" w:rsidRDefault="006C1BE5">
            <w:pPr>
              <w:spacing w:before="120"/>
              <w:ind w:left="793" w:right="-72" w:hanging="793"/>
            </w:pPr>
            <w:r>
              <w:t>37.5</w:t>
            </w:r>
            <w:r>
              <w:tab/>
              <w:t>If the Supplier fails to take out and/or maintain in effect the insurance referred to in GCC Clause 37.1, the Purchaser may take out and maintain in effect any such insurance and may from time to time deduct from any amount due the Supplier under the Contract any premium that the Purchaser shall have paid to the insurer or may otherwise recover such amount as a debt due from the Supplier.</w:t>
            </w:r>
          </w:p>
          <w:p w14:paraId="3F6CD777" w14:textId="77777777" w:rsidR="00157AAA" w:rsidRDefault="006C1BE5">
            <w:pPr>
              <w:spacing w:before="120"/>
              <w:ind w:left="793" w:right="-72" w:hanging="793"/>
            </w:pPr>
            <w:r>
              <w:t>37.6</w:t>
            </w:r>
            <w:r>
              <w:tab/>
              <w:t>Unless otherwise provided in the Contract, the Supplier shall prepare and conduct all and any claims made under the policies affected by it pursuant to this GCC Clause 37, and all monies payable by any insurers shall be paid to the Supplier.  The Purchaser shall give to the Supplier all such reasonable assistance as may be required by the Supplier in connection with any claim under the relevant insurance policies.  With respect to insurance claims in which the Purchaser’s interest is involved, the Supplier shall not give any release or make any compromise with the insurer without the prior written consent of the Purchaser.  With respect to insurance claims in which the Supplier’s interest is involved, the Purchaser shall not give any release or make any compromise with the insurer without the prior written consent of the Supplier.</w:t>
            </w:r>
          </w:p>
        </w:tc>
      </w:tr>
      <w:tr w:rsidR="00157AAA" w14:paraId="43EB0BB4" w14:textId="77777777">
        <w:tc>
          <w:tcPr>
            <w:tcW w:w="2412" w:type="dxa"/>
          </w:tcPr>
          <w:p w14:paraId="125C31DA" w14:textId="77777777" w:rsidR="00157AAA" w:rsidRDefault="006C1BE5">
            <w:pPr>
              <w:pStyle w:val="Head62"/>
              <w:spacing w:before="120"/>
            </w:pPr>
            <w:bookmarkStart w:id="887" w:name="_Toc277233361"/>
            <w:bookmarkStart w:id="888" w:name="_Toc73977735"/>
            <w:r>
              <w:lastRenderedPageBreak/>
              <w:t>38.</w:t>
            </w:r>
            <w:r>
              <w:tab/>
              <w:t>Force Majeure</w:t>
            </w:r>
            <w:bookmarkEnd w:id="887"/>
            <w:bookmarkEnd w:id="888"/>
          </w:p>
        </w:tc>
        <w:tc>
          <w:tcPr>
            <w:tcW w:w="6588" w:type="dxa"/>
          </w:tcPr>
          <w:p w14:paraId="75F144D8" w14:textId="77777777" w:rsidR="00157AAA" w:rsidRDefault="006C1BE5">
            <w:pPr>
              <w:spacing w:before="120"/>
              <w:ind w:left="793" w:right="-72" w:hanging="793"/>
            </w:pPr>
            <w:r>
              <w:t>38.1</w:t>
            </w:r>
            <w:r>
              <w:tab/>
              <w:t>“Force Majeure” shall mean any event beyond the reasonable control of the Purchaser or of the Supplier</w:t>
            </w:r>
            <w:proofErr w:type="gramStart"/>
            <w:r>
              <w:t>, as the case may be, and</w:t>
            </w:r>
            <w:proofErr w:type="gramEnd"/>
            <w:r>
              <w:t xml:space="preserve"> which is unavoidable notwithstanding the reasonable care of the party affected and shall include, without limitation, the following:</w:t>
            </w:r>
          </w:p>
        </w:tc>
      </w:tr>
      <w:tr w:rsidR="00157AAA" w14:paraId="598107AD" w14:textId="77777777">
        <w:tc>
          <w:tcPr>
            <w:tcW w:w="2412" w:type="dxa"/>
          </w:tcPr>
          <w:p w14:paraId="2B2CCE56" w14:textId="77777777" w:rsidR="00157AAA" w:rsidRDefault="00157AAA">
            <w:pPr>
              <w:spacing w:before="120"/>
              <w:jc w:val="left"/>
            </w:pPr>
          </w:p>
        </w:tc>
        <w:tc>
          <w:tcPr>
            <w:tcW w:w="6588" w:type="dxa"/>
          </w:tcPr>
          <w:p w14:paraId="70F479D4" w14:textId="77777777" w:rsidR="00157AAA" w:rsidRDefault="006C1BE5">
            <w:pPr>
              <w:spacing w:before="120"/>
              <w:ind w:left="1333" w:right="-72" w:hanging="547"/>
            </w:pPr>
            <w:r>
              <w:t>(a)</w:t>
            </w:r>
            <w:r>
              <w:tab/>
              <w:t xml:space="preserve">war, hostilities, or warlike operations (whether a state of war be declared or not), invasion, act of foreign enemy, and civil </w:t>
            </w:r>
            <w:proofErr w:type="gramStart"/>
            <w:r>
              <w:t>war;</w:t>
            </w:r>
            <w:proofErr w:type="gramEnd"/>
          </w:p>
          <w:p w14:paraId="6DF2A9E2" w14:textId="77777777" w:rsidR="00157AAA" w:rsidRDefault="006C1BE5">
            <w:pPr>
              <w:spacing w:before="120"/>
              <w:ind w:left="1333" w:right="-72" w:hanging="547"/>
            </w:pPr>
            <w:r>
              <w:t>(b)</w:t>
            </w:r>
            <w:r>
              <w:tab/>
              <w:t xml:space="preserve">rebellion, revolution, insurrection, mutiny, usurpation of civil or military government, conspiracy, riot, civil commotion, and terrorist </w:t>
            </w:r>
            <w:proofErr w:type="gramStart"/>
            <w:r>
              <w:t>acts;</w:t>
            </w:r>
            <w:proofErr w:type="gramEnd"/>
          </w:p>
          <w:p w14:paraId="116C2449" w14:textId="77777777" w:rsidR="00157AAA" w:rsidRDefault="006C1BE5">
            <w:pPr>
              <w:spacing w:before="120"/>
              <w:ind w:left="1333" w:right="-72" w:hanging="547"/>
            </w:pPr>
            <w:r>
              <w:t>(c)</w:t>
            </w:r>
            <w:r>
              <w:tab/>
              <w:t xml:space="preserve">confiscation, nationalization, mobilization, commandeering or requisition by or under the order of any government or de jure or de facto authority or ruler, or any other act or failure to act of any local state or national government </w:t>
            </w:r>
            <w:proofErr w:type="gramStart"/>
            <w:r>
              <w:t>authority;</w:t>
            </w:r>
            <w:proofErr w:type="gramEnd"/>
          </w:p>
          <w:p w14:paraId="7CB8CE9F" w14:textId="77777777" w:rsidR="00157AAA" w:rsidRDefault="006C1BE5">
            <w:pPr>
              <w:spacing w:before="120"/>
              <w:ind w:left="1333" w:right="-72" w:hanging="547"/>
            </w:pPr>
            <w:r>
              <w:t>(d)</w:t>
            </w:r>
            <w:r>
              <w:tab/>
              <w:t xml:space="preserve">strike, sabotage, lockout, embargo, import restriction, port congestion, lack of usual means of public </w:t>
            </w:r>
            <w:r>
              <w:lastRenderedPageBreak/>
              <w:t xml:space="preserve">transportation and communication, industrial dispute, shipwreck, shortage or restriction of power supply, epidemics, quarantine, and </w:t>
            </w:r>
            <w:proofErr w:type="gramStart"/>
            <w:r>
              <w:t>plague;</w:t>
            </w:r>
            <w:proofErr w:type="gramEnd"/>
          </w:p>
          <w:p w14:paraId="58DB9C40" w14:textId="77777777" w:rsidR="00157AAA" w:rsidRDefault="006C1BE5">
            <w:pPr>
              <w:spacing w:before="120"/>
              <w:ind w:left="1333" w:right="-72" w:hanging="547"/>
            </w:pPr>
            <w:r>
              <w:t>(e)</w:t>
            </w:r>
            <w:r>
              <w:tab/>
              <w:t xml:space="preserve">earthquake, landslide, volcanic activity, fire, flood or inundation, tidal wave, typhoon or cyclone, hurricane, storm, lightning, or other inclement weather condition, nuclear and pressure waves, or other natural or physical </w:t>
            </w:r>
            <w:proofErr w:type="gramStart"/>
            <w:r>
              <w:t>disaster;</w:t>
            </w:r>
            <w:proofErr w:type="gramEnd"/>
            <w:r>
              <w:t xml:space="preserve"> </w:t>
            </w:r>
          </w:p>
          <w:p w14:paraId="7C063211" w14:textId="77777777" w:rsidR="00157AAA" w:rsidRDefault="006C1BE5">
            <w:pPr>
              <w:spacing w:before="120"/>
              <w:ind w:left="1333" w:right="-72" w:hanging="547"/>
            </w:pPr>
            <w:r>
              <w:t>(f)</w:t>
            </w:r>
            <w:r>
              <w:tab/>
              <w:t>failure, by the Supplier, to obtain the necessary export permit(s) from the governments of the Country(s) of Origin of the Information Technologies or other Goods, or Supplier’s Equipment provided that the Supplier has made all reasonable efforts to obtain the required export permit(s), including the exercise of due diligence in determining the eligibility of the System and all of its components for receipt of the necessary export permits.</w:t>
            </w:r>
          </w:p>
          <w:p w14:paraId="14BBA8D2" w14:textId="77777777" w:rsidR="00157AAA" w:rsidRDefault="006C1BE5">
            <w:pPr>
              <w:spacing w:before="120"/>
              <w:ind w:left="793" w:right="-72" w:hanging="793"/>
            </w:pPr>
            <w:r>
              <w:t>38.2</w:t>
            </w:r>
            <w:r>
              <w:tab/>
              <w:t>If either party is prevented, hindered, or delayed from or in performing any of its obligations under the Contract by an event of Force Majeure, then it shall notify the other in writing of the occurrence of such event and the circumstances of the event of Force Majeure within fourteen (14) days after the occurrence of such event.</w:t>
            </w:r>
          </w:p>
          <w:p w14:paraId="7E483077" w14:textId="77777777" w:rsidR="00157AAA" w:rsidRDefault="006C1BE5">
            <w:pPr>
              <w:spacing w:before="120"/>
              <w:ind w:left="793" w:right="-72" w:hanging="793"/>
            </w:pPr>
            <w:r>
              <w:t>38.3</w:t>
            </w:r>
            <w:r>
              <w:tab/>
              <w:t>The party who has given such notice shall be excused from the performance or punctual performance of its obligations under the Contract for so long as the relevant event of Force Majeure continues and to the extent that such party’s performance is prevented, hindered, or delayed.  The Time for Achieving Operational Acceptance shall be extended in accordance with GCC Clause 40 (Extension of Time for Achieving Operational Acceptance).</w:t>
            </w:r>
          </w:p>
          <w:p w14:paraId="32783D91" w14:textId="77777777" w:rsidR="00157AAA" w:rsidRDefault="006C1BE5">
            <w:pPr>
              <w:spacing w:before="120"/>
              <w:ind w:left="793" w:right="-72" w:hanging="793"/>
            </w:pPr>
            <w:r>
              <w:t>38.4</w:t>
            </w:r>
            <w:r>
              <w:tab/>
              <w:t>The party or parties affected by the event of Force Majeure shall use reasonable efforts to mitigate the effect of the event of Force Majeure upon its or their performance of the Contract and to fulfill its or their obligations under the Contract, but without prejudice to either party’s right to terminate the Contract under GCC Clause 38.6.</w:t>
            </w:r>
          </w:p>
          <w:p w14:paraId="49DEB2BA" w14:textId="77777777" w:rsidR="00157AAA" w:rsidRDefault="006C1BE5">
            <w:pPr>
              <w:spacing w:before="120"/>
              <w:ind w:left="793" w:right="-72" w:hanging="793"/>
            </w:pPr>
            <w:r>
              <w:t>38.5</w:t>
            </w:r>
            <w:r>
              <w:tab/>
              <w:t>No delay or nonperformance by either party to this Contract caused by the occurrence of any event of Force Majeure shall:</w:t>
            </w:r>
          </w:p>
          <w:p w14:paraId="7F7B553F" w14:textId="77777777" w:rsidR="00157AAA" w:rsidRDefault="006C1BE5">
            <w:pPr>
              <w:spacing w:before="120"/>
              <w:ind w:left="1333" w:right="-72" w:hanging="547"/>
            </w:pPr>
            <w:r>
              <w:t>(a)</w:t>
            </w:r>
            <w:r>
              <w:tab/>
              <w:t xml:space="preserve">constitute a default or breach of the </w:t>
            </w:r>
            <w:proofErr w:type="gramStart"/>
            <w:r>
              <w:t>Contract;</w:t>
            </w:r>
            <w:proofErr w:type="gramEnd"/>
          </w:p>
          <w:p w14:paraId="39823D42" w14:textId="77777777" w:rsidR="00157AAA" w:rsidRDefault="006C1BE5">
            <w:pPr>
              <w:spacing w:before="120"/>
              <w:ind w:left="1333" w:right="-72" w:hanging="547"/>
            </w:pPr>
            <w:r>
              <w:lastRenderedPageBreak/>
              <w:t>(b)</w:t>
            </w:r>
            <w:r>
              <w:tab/>
              <w:t>(subject to GCC Clauses 35.2, 38.3, and 38.4) give rise to any claim for damages or additional cost or expense occasioned by the delay or nonperformance,</w:t>
            </w:r>
          </w:p>
          <w:p w14:paraId="5474F20E" w14:textId="77777777" w:rsidR="00157AAA" w:rsidRDefault="006C1BE5">
            <w:pPr>
              <w:spacing w:before="120"/>
              <w:ind w:left="793" w:right="-72"/>
            </w:pPr>
            <w:r>
              <w:t>if, and to the extent that, such delay or nonperformance is caused by the occurrence of an event of Force Majeure.</w:t>
            </w:r>
          </w:p>
          <w:p w14:paraId="2576DE33" w14:textId="77777777" w:rsidR="00157AAA" w:rsidRDefault="006C1BE5">
            <w:pPr>
              <w:spacing w:before="120"/>
              <w:ind w:left="793" w:right="-72" w:hanging="793"/>
            </w:pPr>
            <w:r>
              <w:t>38.6</w:t>
            </w:r>
            <w:r>
              <w:tab/>
              <w:t>If the performance of the Contract is substantially prevented, hindered, or delayed for a single period of more than sixty (60) days or an aggregate period of more than one hundred and twenty (120) days on account of one or more events of Force Majeure during the time period covered by the Contract, the parties will attempt to develop a mutually satisfactory solution, failing which, either party may terminate the Contract by giving a notice to the other.</w:t>
            </w:r>
          </w:p>
          <w:p w14:paraId="5C371F92" w14:textId="77777777" w:rsidR="00157AAA" w:rsidRDefault="006C1BE5">
            <w:pPr>
              <w:spacing w:before="120"/>
              <w:ind w:left="793" w:right="-72" w:hanging="793"/>
            </w:pPr>
            <w:r>
              <w:t>38.7</w:t>
            </w:r>
            <w:r>
              <w:tab/>
              <w:t>In the event of termination pursuant to GCC Clause 38.6, the rights and obligations of the Purchaser and the Supplier shall be as specified in GCC Clauses 41.1.2 and 41.1.3.</w:t>
            </w:r>
          </w:p>
          <w:p w14:paraId="49C30419" w14:textId="77777777" w:rsidR="00157AAA" w:rsidRDefault="006C1BE5">
            <w:pPr>
              <w:spacing w:before="120"/>
              <w:ind w:left="793" w:right="-72" w:hanging="793"/>
            </w:pPr>
            <w:r>
              <w:t>38.8</w:t>
            </w:r>
            <w:r>
              <w:tab/>
              <w:t>Notwithstanding GCC Clause 38.5, Force Majeure shall not apply to any obligation of the Purchaser to make payments to the Supplier under this Contract.</w:t>
            </w:r>
          </w:p>
        </w:tc>
      </w:tr>
    </w:tbl>
    <w:p w14:paraId="46105475" w14:textId="77777777" w:rsidR="00157AAA" w:rsidRDefault="006C1BE5">
      <w:pPr>
        <w:pStyle w:val="Head61"/>
        <w:spacing w:before="120"/>
      </w:pPr>
      <w:bookmarkStart w:id="889" w:name="_Toc277233362"/>
      <w:bookmarkStart w:id="890" w:name="_Toc73977736"/>
      <w:r>
        <w:lastRenderedPageBreak/>
        <w:t>H.  Change in Contract Elements</w:t>
      </w:r>
      <w:bookmarkEnd w:id="889"/>
      <w:bookmarkEnd w:id="890"/>
    </w:p>
    <w:tbl>
      <w:tblPr>
        <w:tblW w:w="0" w:type="auto"/>
        <w:tblInd w:w="108" w:type="dxa"/>
        <w:tblLayout w:type="fixed"/>
        <w:tblLook w:val="0000" w:firstRow="0" w:lastRow="0" w:firstColumn="0" w:lastColumn="0" w:noHBand="0" w:noVBand="0"/>
      </w:tblPr>
      <w:tblGrid>
        <w:gridCol w:w="2412"/>
        <w:gridCol w:w="6588"/>
      </w:tblGrid>
      <w:tr w:rsidR="00157AAA" w14:paraId="67C9AFC7" w14:textId="77777777">
        <w:tc>
          <w:tcPr>
            <w:tcW w:w="2412" w:type="dxa"/>
          </w:tcPr>
          <w:p w14:paraId="7B84F9D2" w14:textId="77777777" w:rsidR="00157AAA" w:rsidRDefault="006C1BE5">
            <w:pPr>
              <w:pStyle w:val="Head62"/>
              <w:spacing w:before="120"/>
            </w:pPr>
            <w:bookmarkStart w:id="891" w:name="_Toc277233363"/>
            <w:bookmarkStart w:id="892" w:name="_Toc73977737"/>
            <w:r>
              <w:t>39.</w:t>
            </w:r>
            <w:r>
              <w:tab/>
              <w:t>Changes to the System</w:t>
            </w:r>
            <w:bookmarkEnd w:id="891"/>
            <w:bookmarkEnd w:id="892"/>
          </w:p>
        </w:tc>
        <w:tc>
          <w:tcPr>
            <w:tcW w:w="6588" w:type="dxa"/>
          </w:tcPr>
          <w:p w14:paraId="3770EE04" w14:textId="77777777" w:rsidR="00157AAA" w:rsidRDefault="006C1BE5">
            <w:pPr>
              <w:spacing w:before="120"/>
              <w:ind w:left="793" w:right="-72" w:hanging="793"/>
            </w:pPr>
            <w:r>
              <w:t>39.1</w:t>
            </w:r>
            <w:r>
              <w:tab/>
              <w:t>Introducing a Change</w:t>
            </w:r>
          </w:p>
          <w:p w14:paraId="0267EBB2" w14:textId="77777777" w:rsidR="00157AAA" w:rsidRDefault="006C1BE5">
            <w:pPr>
              <w:spacing w:before="120"/>
              <w:ind w:left="1232" w:right="-72" w:hanging="692"/>
            </w:pPr>
            <w:r>
              <w:t>39.1.1</w:t>
            </w:r>
            <w:r>
              <w:tab/>
              <w:t>Subject to GCC Clauses 39.2.5 and 39.2.7, the Purchaser shall have the right to propose, and subsequently require, the Project Manager to order the Supplier from time to time during the performance of the Contract to make any change, modification, addition, or deletion to, in, or from the System (interchangeably called “Change”), provided that such Change falls within the general scope of the System, does not constitute unrelated work, and is technically practicable, taking into account both the state of advancement of the System and the technical compatibility of the Change envisaged with the nature of the System as originally specified in the Contract.</w:t>
            </w:r>
          </w:p>
        </w:tc>
      </w:tr>
      <w:tr w:rsidR="00157AAA" w14:paraId="14745609" w14:textId="77777777">
        <w:tc>
          <w:tcPr>
            <w:tcW w:w="2412" w:type="dxa"/>
          </w:tcPr>
          <w:p w14:paraId="3F695444" w14:textId="77777777" w:rsidR="00157AAA" w:rsidRDefault="00157AAA">
            <w:pPr>
              <w:spacing w:before="120"/>
              <w:jc w:val="left"/>
            </w:pPr>
          </w:p>
        </w:tc>
        <w:tc>
          <w:tcPr>
            <w:tcW w:w="6588" w:type="dxa"/>
          </w:tcPr>
          <w:p w14:paraId="46D27F8E" w14:textId="77777777" w:rsidR="00157AAA" w:rsidRDefault="006C1BE5">
            <w:pPr>
              <w:spacing w:before="120"/>
              <w:ind w:left="1248" w:right="-72"/>
            </w:pPr>
            <w:r>
              <w:t>A Change may involve, but is not restricted to, the substitution of updated Information Technologies and related Services in accordance with GCC Clause 23 (Product Upgrades).</w:t>
            </w:r>
          </w:p>
        </w:tc>
      </w:tr>
      <w:tr w:rsidR="00157AAA" w14:paraId="1D51B2B4" w14:textId="77777777">
        <w:tc>
          <w:tcPr>
            <w:tcW w:w="2412" w:type="dxa"/>
          </w:tcPr>
          <w:p w14:paraId="4E155CE1" w14:textId="77777777" w:rsidR="00157AAA" w:rsidRDefault="00157AAA">
            <w:pPr>
              <w:spacing w:before="120"/>
              <w:jc w:val="left"/>
            </w:pPr>
          </w:p>
        </w:tc>
        <w:tc>
          <w:tcPr>
            <w:tcW w:w="6588" w:type="dxa"/>
          </w:tcPr>
          <w:p w14:paraId="2498F3C4" w14:textId="77777777" w:rsidR="00157AAA" w:rsidRDefault="006C1BE5">
            <w:pPr>
              <w:spacing w:before="120"/>
              <w:ind w:left="1232" w:right="-72" w:hanging="692"/>
            </w:pPr>
            <w:r>
              <w:t>39.1.2</w:t>
            </w:r>
            <w:r>
              <w:tab/>
              <w:t xml:space="preserve">The Supplier may from time to time during its performance of the Contract propose to the Purchaser </w:t>
            </w:r>
            <w:r>
              <w:lastRenderedPageBreak/>
              <w:t>(with a copy to the Project Manager) any Change that the Supplier considers necessary or desirable to improve the quality or efficiency of the System.  The Purchaser may at its discretion approve or reject any Change proposed by the Supplier.</w:t>
            </w:r>
          </w:p>
          <w:p w14:paraId="1ACC5962" w14:textId="77777777" w:rsidR="00157AAA" w:rsidRDefault="006C1BE5">
            <w:pPr>
              <w:spacing w:before="120"/>
              <w:ind w:left="1232" w:right="-72" w:hanging="692"/>
            </w:pPr>
            <w:r>
              <w:t>39.1.3</w:t>
            </w:r>
            <w:r>
              <w:tab/>
              <w:t>Notwithstanding GCC Clauses 39.1.1 and 39.1.2, no change made necessary because of any default of the Supplier in the performance of its obligations under the Contract shall be deemed to be a Change, and such change shall not result in any adjustment of the Contract Price or the Time for Achieving Operational Acceptance.</w:t>
            </w:r>
          </w:p>
          <w:p w14:paraId="2C8DBA67" w14:textId="77777777" w:rsidR="00157AAA" w:rsidRDefault="006C1BE5">
            <w:pPr>
              <w:spacing w:before="120"/>
              <w:ind w:left="1232" w:right="-72" w:hanging="692"/>
            </w:pPr>
            <w:r>
              <w:t>39.1.4</w:t>
            </w:r>
            <w:r>
              <w:tab/>
              <w:t>The procedure on how to proceed with and execute Changes is specified in GCC Clauses 39.2 and 39.3, and further details and sample forms are provided in the Sample Contractual Forms Section in the bidding documents.</w:t>
            </w:r>
          </w:p>
          <w:p w14:paraId="5434C4ED" w14:textId="77777777" w:rsidR="00157AAA" w:rsidRDefault="006C1BE5">
            <w:pPr>
              <w:spacing w:before="120"/>
              <w:ind w:left="1232" w:right="-72" w:hanging="692"/>
            </w:pPr>
            <w:r>
              <w:t>39.1.5</w:t>
            </w:r>
            <w:r>
              <w:tab/>
              <w:t>Moreover, the Purchaser and Supplier will agree, during development of the Project Plan, to a date prior to the scheduled date for Operational Acceptance, after which the Technical Requirements for the System shall be “frozen.”  Any Change initiated after this time will be dealt with after Operational Acceptance.</w:t>
            </w:r>
          </w:p>
          <w:p w14:paraId="0773AB31" w14:textId="77777777" w:rsidR="00157AAA" w:rsidRDefault="006C1BE5">
            <w:pPr>
              <w:spacing w:before="120"/>
              <w:ind w:left="793" w:right="-72" w:hanging="793"/>
            </w:pPr>
            <w:r>
              <w:t>39.2</w:t>
            </w:r>
            <w:r>
              <w:tab/>
              <w:t>Changes Originating from Purchaser</w:t>
            </w:r>
          </w:p>
          <w:p w14:paraId="7B7B2A46" w14:textId="77777777" w:rsidR="00157AAA" w:rsidRDefault="006C1BE5">
            <w:pPr>
              <w:spacing w:before="120"/>
              <w:ind w:left="1232" w:right="-72" w:hanging="692"/>
            </w:pPr>
            <w:r>
              <w:t>39.2.1</w:t>
            </w:r>
            <w:r>
              <w:tab/>
              <w:t>If the Purchaser proposes a Change pursuant to GCC Clauses 39.1.1, it shall send to the Supplier a “Request for Change Proposal,” requiring the Supplier to prepare and furnish to the Project Manager as soon as reasonably practicable a “Change Proposal,” which shall include the following:</w:t>
            </w:r>
          </w:p>
          <w:p w14:paraId="3F11B777" w14:textId="77777777" w:rsidR="00157AAA" w:rsidRDefault="006C1BE5">
            <w:pPr>
              <w:spacing w:before="120"/>
              <w:ind w:left="1714" w:right="-72" w:hanging="466"/>
            </w:pPr>
            <w:r>
              <w:t>(a)</w:t>
            </w:r>
            <w:r>
              <w:tab/>
              <w:t xml:space="preserve">brief description of the </w:t>
            </w:r>
            <w:proofErr w:type="gramStart"/>
            <w:r>
              <w:t>Change;</w:t>
            </w:r>
            <w:proofErr w:type="gramEnd"/>
          </w:p>
          <w:p w14:paraId="25B829C6" w14:textId="77777777" w:rsidR="00157AAA" w:rsidRDefault="006C1BE5">
            <w:pPr>
              <w:spacing w:before="120"/>
              <w:ind w:left="1714" w:right="-72" w:hanging="466"/>
            </w:pPr>
            <w:r>
              <w:t>(b)</w:t>
            </w:r>
            <w:r>
              <w:tab/>
              <w:t xml:space="preserve">impact on the Time for Achieving Operational </w:t>
            </w:r>
            <w:proofErr w:type="gramStart"/>
            <w:r>
              <w:t>Acceptance;</w:t>
            </w:r>
            <w:proofErr w:type="gramEnd"/>
          </w:p>
          <w:p w14:paraId="252746BB" w14:textId="77777777" w:rsidR="00157AAA" w:rsidRDefault="006C1BE5">
            <w:pPr>
              <w:spacing w:before="120"/>
              <w:ind w:left="1714" w:right="-72" w:hanging="466"/>
            </w:pPr>
            <w:r>
              <w:t>(c)</w:t>
            </w:r>
            <w:r>
              <w:tab/>
              <w:t xml:space="preserve">detailed estimated cost of the </w:t>
            </w:r>
            <w:proofErr w:type="gramStart"/>
            <w:r>
              <w:t>Change;</w:t>
            </w:r>
            <w:proofErr w:type="gramEnd"/>
          </w:p>
          <w:p w14:paraId="6ED13771" w14:textId="77777777" w:rsidR="00157AAA" w:rsidRDefault="006C1BE5">
            <w:pPr>
              <w:spacing w:before="120"/>
              <w:ind w:left="1714" w:right="-72" w:hanging="466"/>
            </w:pPr>
            <w:r>
              <w:t>(d)</w:t>
            </w:r>
            <w:r>
              <w:tab/>
              <w:t>effect on Functional Guarantees (if any</w:t>
            </w:r>
            <w:proofErr w:type="gramStart"/>
            <w:r>
              <w:t>);</w:t>
            </w:r>
            <w:proofErr w:type="gramEnd"/>
          </w:p>
          <w:p w14:paraId="6B48DD23" w14:textId="77777777" w:rsidR="00157AAA" w:rsidRDefault="006C1BE5">
            <w:pPr>
              <w:spacing w:before="120"/>
              <w:ind w:left="1714" w:right="-72" w:hanging="466"/>
            </w:pPr>
            <w:r>
              <w:t>(e)</w:t>
            </w:r>
            <w:r>
              <w:tab/>
              <w:t>effect on any other provisions of the Contract.</w:t>
            </w:r>
          </w:p>
          <w:p w14:paraId="655887EA" w14:textId="77777777" w:rsidR="00157AAA" w:rsidRDefault="006C1BE5">
            <w:pPr>
              <w:spacing w:before="120"/>
              <w:ind w:left="1232" w:right="-72" w:hanging="692"/>
            </w:pPr>
            <w:r>
              <w:t>39.2.2</w:t>
            </w:r>
            <w:r>
              <w:tab/>
              <w:t xml:space="preserve">Prior to preparing and submitting the “Change Proposal,” the Supplier shall submit to the Project Manager a “Change Estimate Proposal,” which shall be an estimate of the cost of preparing the Change Proposal, plus a first approximation of the suggested </w:t>
            </w:r>
            <w:r>
              <w:lastRenderedPageBreak/>
              <w:t>approach and cost for implementing the changes.  Upon receipt of the Supplier’s Change Estimate Proposal, the Purchaser shall do one of the following:</w:t>
            </w:r>
          </w:p>
          <w:p w14:paraId="1063141F" w14:textId="77777777" w:rsidR="00157AAA" w:rsidRDefault="006C1BE5">
            <w:pPr>
              <w:spacing w:before="120"/>
              <w:ind w:left="1714" w:right="-72" w:hanging="466"/>
            </w:pPr>
            <w:r>
              <w:t>(a)</w:t>
            </w:r>
            <w:r>
              <w:tab/>
              <w:t xml:space="preserve">accept the Supplier’s estimate with instructions to the Supplier to proceed with the preparation of the Change </w:t>
            </w:r>
            <w:proofErr w:type="gramStart"/>
            <w:r>
              <w:t>Proposal;</w:t>
            </w:r>
            <w:proofErr w:type="gramEnd"/>
          </w:p>
          <w:p w14:paraId="4407A342" w14:textId="77777777" w:rsidR="00157AAA" w:rsidRDefault="006C1BE5">
            <w:pPr>
              <w:spacing w:before="120"/>
              <w:ind w:left="1714" w:right="-72" w:hanging="466"/>
            </w:pPr>
            <w:r>
              <w:t>(b)</w:t>
            </w:r>
            <w:r>
              <w:tab/>
              <w:t xml:space="preserve">advise the Supplier of any part of its Change Estimate Proposal that is unacceptable and request the Supplier to review its </w:t>
            </w:r>
            <w:proofErr w:type="gramStart"/>
            <w:r>
              <w:t>estimate;</w:t>
            </w:r>
            <w:proofErr w:type="gramEnd"/>
          </w:p>
          <w:p w14:paraId="740EE514" w14:textId="77777777" w:rsidR="00157AAA" w:rsidRDefault="006C1BE5">
            <w:pPr>
              <w:spacing w:before="120"/>
              <w:ind w:left="1714" w:right="-72" w:hanging="466"/>
            </w:pPr>
            <w:r>
              <w:t>(c)</w:t>
            </w:r>
            <w:r>
              <w:tab/>
              <w:t>advise the Supplier that the Purchaser does not intend to proceed with the Change.</w:t>
            </w:r>
          </w:p>
          <w:p w14:paraId="7A7722C1" w14:textId="77777777" w:rsidR="00157AAA" w:rsidRDefault="006C1BE5">
            <w:pPr>
              <w:spacing w:before="120"/>
              <w:ind w:left="1232" w:right="-72" w:hanging="692"/>
            </w:pPr>
            <w:r>
              <w:t>39.2.3</w:t>
            </w:r>
            <w:r>
              <w:tab/>
              <w:t>Upon receipt of the Purchaser’s instruction to proceed under GCC Clause 39.2.2 (a), the Supplier shall, with proper expedition, proceed with the preparation of the Change Proposal, in accordance with GCC Clause 39.2.1.  The Supplier, at its discretion, may specify a validity period for the Change Proposal, after which if the Purchaser and Supplier has not reached agreement in accordance with GCC Clause 39.2.6, then GCC Clause 39.2.7 shall apply.</w:t>
            </w:r>
          </w:p>
          <w:p w14:paraId="477D34EF" w14:textId="77777777" w:rsidR="00157AAA" w:rsidRDefault="006C1BE5">
            <w:pPr>
              <w:spacing w:before="120"/>
              <w:ind w:left="1232" w:right="-72" w:hanging="692"/>
            </w:pPr>
            <w:r>
              <w:t>39.2.4</w:t>
            </w:r>
            <w:r>
              <w:tab/>
              <w:t>The pricing of any Change shall, as far as practicable, be calculated in accordance with the rates and prices included in the Contract.  If the nature of the Change is such that the Contract rates and prices are inequitable, the parties to the Contract shall agree on other specific rates to be used for valuing the Change.</w:t>
            </w:r>
          </w:p>
          <w:p w14:paraId="2964812E" w14:textId="77777777" w:rsidR="00157AAA" w:rsidRDefault="006C1BE5">
            <w:pPr>
              <w:spacing w:before="120"/>
              <w:ind w:left="1232" w:right="-72" w:hanging="692"/>
            </w:pPr>
            <w:r>
              <w:t>39.2.5</w:t>
            </w:r>
            <w:r>
              <w:tab/>
              <w:t>If before or during the preparation of the Change Proposal it becomes apparent that the aggregate impact of compliance with the Request for Change Proposal and with all other Change Orders that have already become binding upon the Supplier under this GCC Clause 39 would be to increase or decrease the Contract Price as originally set forth in Article 2 (Contract Price) of the Contract Agreement by more than fifteen (15) percent, the Supplier may give a written notice of objection to this Request for Change Proposal prior to furnishing the Change Proposal.  If the Purchaser accepts the Supplier’s objection, the Purchaser shall withdraw the proposed Change and shall notify the Supplier in writing of its acceptance.</w:t>
            </w:r>
          </w:p>
          <w:p w14:paraId="0FBC78B6" w14:textId="77777777" w:rsidR="00157AAA" w:rsidRDefault="006C1BE5">
            <w:pPr>
              <w:spacing w:before="120"/>
              <w:ind w:left="1354" w:right="-72"/>
            </w:pPr>
            <w:r>
              <w:t xml:space="preserve">The Supplier’s failure to so object to a Request for Change Proposal shall neither affect its right to object to any subsequent requested Changes or Change </w:t>
            </w:r>
            <w:r>
              <w:lastRenderedPageBreak/>
              <w:t xml:space="preserve">Orders, nor affect its right to </w:t>
            </w:r>
            <w:proofErr w:type="gramStart"/>
            <w:r>
              <w:t>take into account</w:t>
            </w:r>
            <w:proofErr w:type="gramEnd"/>
            <w:r>
              <w:t>, when making such subsequent objection, the percentage increase or decrease in the Contract Price that any Change not objected to by the Supplier represents.</w:t>
            </w:r>
          </w:p>
          <w:p w14:paraId="4C6F9E08" w14:textId="77777777" w:rsidR="00157AAA" w:rsidRDefault="006C1BE5">
            <w:pPr>
              <w:spacing w:before="120"/>
              <w:ind w:left="1232" w:right="-72" w:hanging="692"/>
            </w:pPr>
            <w:r>
              <w:t>39.2.6</w:t>
            </w:r>
            <w:r>
              <w:tab/>
              <w:t xml:space="preserve">Upon receipt of the Change Proposal, the Purchaser and the Supplier shall mutually agree upon all matters contained in the Change Proposal.  Within fourteen (14) days after such agreement, the Purchaser shall, if it intends to proceed with the Change, issue the Supplier a Change Order.  If the Purchaser is unable to reach a decision within fourteen (14) days, it shall notify the Supplier with details of when the Supplier can expect a decision.  If the Purchaser decides not to proceed with the Change for whatever reason, it shall, within the said period of fourteen (14) days, notify the Supplier accordingly.  Under such circumstances, the Supplier shall be entitled to reimbursement of all costs reasonably incurred by it in the preparation of the Change Proposal, </w:t>
            </w:r>
            <w:proofErr w:type="gramStart"/>
            <w:r>
              <w:t>provided that</w:t>
            </w:r>
            <w:proofErr w:type="gramEnd"/>
            <w:r>
              <w:t xml:space="preserve"> these do not exceed the amount given by the Supplier in its Change Estimate Proposal submitted in accordance with GCC Clause 39.2.2.</w:t>
            </w:r>
          </w:p>
          <w:p w14:paraId="710E706B" w14:textId="77777777" w:rsidR="00157AAA" w:rsidRDefault="006C1BE5">
            <w:pPr>
              <w:spacing w:before="120"/>
              <w:ind w:left="1232" w:right="-72" w:hanging="692"/>
            </w:pPr>
            <w:r>
              <w:t>39.2.7</w:t>
            </w:r>
            <w:r>
              <w:tab/>
              <w:t>If the Purchaser and the Supplier cannot reach agreement on the price for the Change, an equitable adjustment to the Time for Achieving Operational Acceptance, or any other matters identified in the Change Proposal, the Change will not be implemented.  However, this provision does not limit the rights of either party under GCC Clause 6 (Settlement of Disputes).</w:t>
            </w:r>
          </w:p>
          <w:p w14:paraId="51FBBF11" w14:textId="77777777" w:rsidR="00157AAA" w:rsidRDefault="006C1BE5">
            <w:pPr>
              <w:spacing w:before="120"/>
              <w:ind w:left="793" w:right="-72" w:hanging="793"/>
            </w:pPr>
            <w:r>
              <w:t>39.3</w:t>
            </w:r>
            <w:r>
              <w:tab/>
              <w:t>Changes Originating from Supplier</w:t>
            </w:r>
          </w:p>
          <w:p w14:paraId="41DDD54E" w14:textId="77777777" w:rsidR="00157AAA" w:rsidRDefault="006C1BE5">
            <w:pPr>
              <w:spacing w:before="120"/>
              <w:ind w:left="793" w:right="-72"/>
            </w:pPr>
            <w:r>
              <w:t xml:space="preserve">If the Supplier proposes a Change pursuant to GCC Clause 39.1.2, the Supplier shall submit to the Project Manager a written “Application for Change Proposal,” giving reasons for the proposed Change and including the information specified in GCC Clause 39.2.1. Upon receipt of the Application for Change Proposal, the parties shall follow the procedures outlined in GCC Clauses 39.2.6 and 39.2.7. However, should the Purchaser choose not to </w:t>
            </w:r>
            <w:proofErr w:type="gramStart"/>
            <w:r>
              <w:t>proceed</w:t>
            </w:r>
            <w:proofErr w:type="gramEnd"/>
            <w:r>
              <w:t xml:space="preserve"> or the Purchaser and the Supplier cannot come to agreement on the change during any validity period that the Supplier may specify in its Application for Change Proposal, the Supplier shall not be entitled to recover the costs of preparing the Application for Change Proposal, </w:t>
            </w:r>
            <w:r>
              <w:lastRenderedPageBreak/>
              <w:t>unless subject to an agreement between the Purchaser and the Supplier to the contrary.</w:t>
            </w:r>
          </w:p>
          <w:p w14:paraId="764CDAEA" w14:textId="77777777" w:rsidR="00157AAA" w:rsidRDefault="006C1BE5">
            <w:pPr>
              <w:spacing w:before="120"/>
              <w:ind w:left="793" w:right="-72" w:hanging="793"/>
              <w:rPr>
                <w:color w:val="000000"/>
                <w:szCs w:val="24"/>
              </w:rPr>
            </w:pPr>
            <w:r>
              <w:rPr>
                <w:color w:val="000000"/>
                <w:szCs w:val="24"/>
              </w:rPr>
              <w:t>39.4</w:t>
            </w:r>
            <w:r>
              <w:tab/>
            </w:r>
            <w:r>
              <w:rPr>
                <w:color w:val="000000"/>
                <w:szCs w:val="24"/>
              </w:rPr>
              <w:t xml:space="preserve">Value engineering. The Supplier may prepare, at its own cost, a </w:t>
            </w:r>
            <w:proofErr w:type="gramStart"/>
            <w:r>
              <w:rPr>
                <w:color w:val="000000"/>
                <w:szCs w:val="24"/>
              </w:rPr>
              <w:t>value</w:t>
            </w:r>
            <w:proofErr w:type="gramEnd"/>
            <w:r>
              <w:rPr>
                <w:color w:val="000000"/>
                <w:szCs w:val="24"/>
              </w:rPr>
              <w:t xml:space="preserve"> </w:t>
            </w:r>
            <w:r>
              <w:t>engineering</w:t>
            </w:r>
            <w:r>
              <w:rPr>
                <w:color w:val="000000"/>
                <w:szCs w:val="24"/>
              </w:rPr>
              <w:t xml:space="preserve"> proposal at any time during the performance of the Contract. The value engineering proposal shall, at a minimum, include the </w:t>
            </w:r>
            <w:proofErr w:type="gramStart"/>
            <w:r>
              <w:rPr>
                <w:color w:val="000000"/>
                <w:szCs w:val="24"/>
              </w:rPr>
              <w:t>following;</w:t>
            </w:r>
            <w:proofErr w:type="gramEnd"/>
          </w:p>
          <w:p w14:paraId="7D772B14" w14:textId="77777777" w:rsidR="00157AAA" w:rsidRDefault="006C1BE5">
            <w:pPr>
              <w:spacing w:before="120"/>
              <w:ind w:left="1333" w:hanging="450"/>
              <w:rPr>
                <w:color w:val="000000"/>
                <w:szCs w:val="24"/>
              </w:rPr>
            </w:pPr>
            <w:r>
              <w:rPr>
                <w:color w:val="000000"/>
                <w:szCs w:val="24"/>
              </w:rPr>
              <w:t>(a)</w:t>
            </w:r>
            <w:r>
              <w:tab/>
            </w:r>
            <w:r>
              <w:rPr>
                <w:color w:val="000000"/>
                <w:szCs w:val="24"/>
              </w:rPr>
              <w:t xml:space="preserve">the proposed change(s), and a description of the difference to the existing Contract </w:t>
            </w:r>
            <w:proofErr w:type="gramStart"/>
            <w:r>
              <w:rPr>
                <w:color w:val="000000"/>
                <w:szCs w:val="24"/>
              </w:rPr>
              <w:t>requirements;</w:t>
            </w:r>
            <w:proofErr w:type="gramEnd"/>
          </w:p>
          <w:p w14:paraId="5FBCAA01" w14:textId="77777777" w:rsidR="00157AAA" w:rsidRDefault="006C1BE5">
            <w:pPr>
              <w:spacing w:before="120"/>
              <w:ind w:left="1333" w:hanging="450"/>
              <w:rPr>
                <w:color w:val="000000"/>
                <w:szCs w:val="24"/>
              </w:rPr>
            </w:pPr>
            <w:r>
              <w:rPr>
                <w:color w:val="000000"/>
                <w:szCs w:val="24"/>
              </w:rPr>
              <w:t>(b)</w:t>
            </w:r>
            <w:r>
              <w:tab/>
            </w:r>
            <w:r>
              <w:rPr>
                <w:color w:val="000000"/>
                <w:szCs w:val="24"/>
              </w:rPr>
              <w:t>a full cost/benefit analysis of the proposed change(s) including a description and estimate of costs (including life cycle costs) the Purchaser may incur in implementing the value engineering proposal; and</w:t>
            </w:r>
          </w:p>
          <w:p w14:paraId="63D2DF6C" w14:textId="77777777" w:rsidR="00157AAA" w:rsidRDefault="006C1BE5">
            <w:pPr>
              <w:spacing w:before="120"/>
              <w:ind w:left="1333" w:hanging="450"/>
              <w:rPr>
                <w:color w:val="000000"/>
                <w:szCs w:val="24"/>
              </w:rPr>
            </w:pPr>
            <w:r>
              <w:rPr>
                <w:color w:val="000000"/>
                <w:szCs w:val="24"/>
              </w:rPr>
              <w:t>(c)</w:t>
            </w:r>
            <w:r>
              <w:tab/>
            </w:r>
            <w:r>
              <w:rPr>
                <w:color w:val="000000"/>
                <w:szCs w:val="24"/>
              </w:rPr>
              <w:t>a description of any effect(s) of the change on performance/functionality.</w:t>
            </w:r>
          </w:p>
          <w:p w14:paraId="2BD22420" w14:textId="77777777" w:rsidR="00157AAA" w:rsidRDefault="006C1BE5">
            <w:pPr>
              <w:spacing w:before="120"/>
              <w:ind w:left="793"/>
              <w:rPr>
                <w:color w:val="000000"/>
                <w:szCs w:val="24"/>
              </w:rPr>
            </w:pPr>
            <w:r>
              <w:rPr>
                <w:color w:val="000000"/>
                <w:szCs w:val="24"/>
              </w:rPr>
              <w:t>The Purchaser may accept the value engineering proposal if the proposal demonstrates benefits that:</w:t>
            </w:r>
          </w:p>
          <w:p w14:paraId="37C0BD10" w14:textId="77777777" w:rsidR="00157AAA" w:rsidRDefault="006C1BE5">
            <w:pPr>
              <w:spacing w:before="120"/>
              <w:ind w:left="1426" w:hanging="469"/>
              <w:rPr>
                <w:color w:val="000000"/>
                <w:szCs w:val="24"/>
              </w:rPr>
            </w:pPr>
            <w:r>
              <w:rPr>
                <w:color w:val="000000"/>
                <w:szCs w:val="24"/>
              </w:rPr>
              <w:t>(a)</w:t>
            </w:r>
            <w:r>
              <w:tab/>
            </w:r>
            <w:r>
              <w:rPr>
                <w:color w:val="000000"/>
                <w:szCs w:val="24"/>
              </w:rPr>
              <w:t>accelerates the delivery period; or</w:t>
            </w:r>
          </w:p>
          <w:p w14:paraId="7821D5B1" w14:textId="77777777" w:rsidR="00157AAA" w:rsidRDefault="006C1BE5">
            <w:pPr>
              <w:spacing w:before="120"/>
              <w:ind w:left="1426" w:hanging="469"/>
              <w:rPr>
                <w:color w:val="000000"/>
                <w:szCs w:val="24"/>
              </w:rPr>
            </w:pPr>
            <w:r>
              <w:rPr>
                <w:color w:val="000000"/>
                <w:szCs w:val="24"/>
              </w:rPr>
              <w:t>(b)</w:t>
            </w:r>
            <w:r>
              <w:tab/>
            </w:r>
            <w:r>
              <w:rPr>
                <w:color w:val="000000"/>
                <w:szCs w:val="24"/>
              </w:rPr>
              <w:t>reduces the Contract Price or the life cycle costs to the Purchaser; or</w:t>
            </w:r>
          </w:p>
          <w:p w14:paraId="450FE10F" w14:textId="77777777" w:rsidR="00157AAA" w:rsidRDefault="006C1BE5">
            <w:pPr>
              <w:spacing w:before="120"/>
              <w:ind w:left="1426" w:hanging="469"/>
              <w:rPr>
                <w:color w:val="000000"/>
                <w:szCs w:val="24"/>
              </w:rPr>
            </w:pPr>
            <w:r>
              <w:rPr>
                <w:color w:val="000000"/>
                <w:szCs w:val="24"/>
              </w:rPr>
              <w:t>(c)</w:t>
            </w:r>
            <w:r>
              <w:tab/>
            </w:r>
            <w:r>
              <w:rPr>
                <w:color w:val="000000"/>
                <w:szCs w:val="24"/>
              </w:rPr>
              <w:t xml:space="preserve">improves the quality, efficiency, </w:t>
            </w:r>
            <w:proofErr w:type="gramStart"/>
            <w:r>
              <w:rPr>
                <w:color w:val="000000"/>
                <w:szCs w:val="24"/>
              </w:rPr>
              <w:t>safety</w:t>
            </w:r>
            <w:proofErr w:type="gramEnd"/>
            <w:r>
              <w:rPr>
                <w:color w:val="000000"/>
                <w:szCs w:val="24"/>
              </w:rPr>
              <w:t xml:space="preserve"> or sustainability of the systems; or</w:t>
            </w:r>
          </w:p>
          <w:p w14:paraId="0D39DCBC" w14:textId="77777777" w:rsidR="00157AAA" w:rsidRDefault="006C1BE5">
            <w:pPr>
              <w:spacing w:before="120"/>
              <w:ind w:left="1426" w:hanging="453"/>
              <w:rPr>
                <w:color w:val="000000"/>
                <w:szCs w:val="24"/>
              </w:rPr>
            </w:pPr>
            <w:r>
              <w:rPr>
                <w:color w:val="000000"/>
                <w:szCs w:val="24"/>
              </w:rPr>
              <w:t>(d)</w:t>
            </w:r>
            <w:r>
              <w:tab/>
            </w:r>
            <w:r>
              <w:rPr>
                <w:color w:val="000000"/>
                <w:szCs w:val="24"/>
              </w:rPr>
              <w:t>yields any other benefits to the Purchaser,</w:t>
            </w:r>
          </w:p>
          <w:p w14:paraId="7FD5DB6E" w14:textId="77777777" w:rsidR="00157AAA" w:rsidRDefault="006C1BE5">
            <w:pPr>
              <w:spacing w:before="120"/>
              <w:ind w:left="793"/>
              <w:rPr>
                <w:color w:val="000000"/>
                <w:szCs w:val="24"/>
              </w:rPr>
            </w:pPr>
            <w:r>
              <w:rPr>
                <w:color w:val="000000"/>
                <w:szCs w:val="24"/>
              </w:rPr>
              <w:t>without compromising the necessary functions of the systems.</w:t>
            </w:r>
          </w:p>
          <w:p w14:paraId="4A500192" w14:textId="77777777" w:rsidR="00157AAA" w:rsidRDefault="006C1BE5">
            <w:pPr>
              <w:spacing w:before="120"/>
              <w:ind w:left="793"/>
              <w:rPr>
                <w:color w:val="000000"/>
                <w:szCs w:val="24"/>
              </w:rPr>
            </w:pPr>
            <w:r>
              <w:rPr>
                <w:color w:val="000000"/>
                <w:szCs w:val="24"/>
              </w:rPr>
              <w:t>If the value engineering proposal is approved by the Purchaser and results in:</w:t>
            </w:r>
          </w:p>
          <w:p w14:paraId="7A592C8E" w14:textId="77777777" w:rsidR="00157AAA" w:rsidRDefault="006C1BE5">
            <w:pPr>
              <w:spacing w:before="120"/>
              <w:ind w:left="1338" w:hanging="545"/>
              <w:rPr>
                <w:color w:val="000000"/>
                <w:szCs w:val="24"/>
              </w:rPr>
            </w:pPr>
            <w:r>
              <w:rPr>
                <w:color w:val="000000"/>
                <w:szCs w:val="24"/>
              </w:rPr>
              <w:t>(a)   a reduction of the Contract Price; the amount to be paid to the Supplier shall be the percentage specified in the SCC of the reduction in the Contract Price; or</w:t>
            </w:r>
          </w:p>
          <w:p w14:paraId="4A0F40B7" w14:textId="77777777" w:rsidR="00157AAA" w:rsidRDefault="006C1BE5">
            <w:pPr>
              <w:spacing w:before="120"/>
              <w:ind w:left="1338" w:hanging="545"/>
              <w:rPr>
                <w:color w:val="000000"/>
                <w:szCs w:val="24"/>
              </w:rPr>
            </w:pPr>
            <w:r>
              <w:rPr>
                <w:color w:val="000000"/>
                <w:szCs w:val="24"/>
              </w:rPr>
              <w:t xml:space="preserve">(b)  an increase in the Contract Price; but results in a reduction in life cycle costs due to any benefit described in (a) to (d) above, </w:t>
            </w:r>
          </w:p>
          <w:p w14:paraId="46329382" w14:textId="77777777" w:rsidR="00157AAA" w:rsidRDefault="006C1BE5">
            <w:pPr>
              <w:spacing w:before="120"/>
              <w:ind w:left="793"/>
              <w:rPr>
                <w:rFonts w:ascii="Times" w:hAnsi="Times"/>
                <w:color w:val="000000"/>
                <w:szCs w:val="24"/>
              </w:rPr>
            </w:pPr>
            <w:r>
              <w:rPr>
                <w:color w:val="000000"/>
                <w:szCs w:val="24"/>
              </w:rPr>
              <w:t>the amount to be paid to the Supplier shall be the full increase in the Contract Price.</w:t>
            </w:r>
          </w:p>
        </w:tc>
      </w:tr>
      <w:tr w:rsidR="00157AAA" w14:paraId="75730695" w14:textId="77777777">
        <w:trPr>
          <w:cantSplit/>
          <w:trHeight w:val="600"/>
        </w:trPr>
        <w:tc>
          <w:tcPr>
            <w:tcW w:w="2412" w:type="dxa"/>
          </w:tcPr>
          <w:p w14:paraId="62415A03" w14:textId="77777777" w:rsidR="00157AAA" w:rsidRDefault="006C1BE5">
            <w:pPr>
              <w:pStyle w:val="Head62"/>
              <w:spacing w:before="120"/>
            </w:pPr>
            <w:bookmarkStart w:id="893" w:name="_Toc277233364"/>
            <w:bookmarkStart w:id="894" w:name="_Toc73977738"/>
            <w:r>
              <w:lastRenderedPageBreak/>
              <w:t>40.</w:t>
            </w:r>
            <w:r>
              <w:tab/>
              <w:t>Extension of Time for Achieving Operational Acceptance</w:t>
            </w:r>
            <w:bookmarkEnd w:id="893"/>
            <w:bookmarkEnd w:id="894"/>
          </w:p>
        </w:tc>
        <w:tc>
          <w:tcPr>
            <w:tcW w:w="6588" w:type="dxa"/>
          </w:tcPr>
          <w:p w14:paraId="00270EE5" w14:textId="77777777" w:rsidR="00157AAA" w:rsidRDefault="006C1BE5">
            <w:pPr>
              <w:spacing w:before="120"/>
              <w:ind w:left="793" w:right="-72" w:hanging="793"/>
            </w:pPr>
            <w:r>
              <w:t>40.1</w:t>
            </w:r>
            <w:r>
              <w:tab/>
              <w:t>The time(s) for achieving Operational Acceptance specified in the Schedule of Implementation shall be extended if the Supplier is delayed or impeded in the performance of any of its obligations under the Contract by reason of any of the following:</w:t>
            </w:r>
          </w:p>
        </w:tc>
      </w:tr>
      <w:tr w:rsidR="00157AAA" w14:paraId="59688412" w14:textId="77777777">
        <w:tc>
          <w:tcPr>
            <w:tcW w:w="2412" w:type="dxa"/>
          </w:tcPr>
          <w:p w14:paraId="58D08674" w14:textId="77777777" w:rsidR="00157AAA" w:rsidRDefault="00157AAA">
            <w:pPr>
              <w:spacing w:before="120"/>
              <w:jc w:val="left"/>
            </w:pPr>
          </w:p>
        </w:tc>
        <w:tc>
          <w:tcPr>
            <w:tcW w:w="6588" w:type="dxa"/>
          </w:tcPr>
          <w:p w14:paraId="52C2EFD3" w14:textId="77777777" w:rsidR="00157AAA" w:rsidRDefault="006C1BE5">
            <w:pPr>
              <w:spacing w:before="120"/>
              <w:ind w:left="1423" w:right="-72" w:hanging="540"/>
            </w:pPr>
            <w:r>
              <w:t>(a)</w:t>
            </w:r>
            <w:r>
              <w:tab/>
              <w:t>any Change in the System as provided in GCC Clause 39 (Change in the Information System</w:t>
            </w:r>
            <w:proofErr w:type="gramStart"/>
            <w:r>
              <w:t>);</w:t>
            </w:r>
            <w:proofErr w:type="gramEnd"/>
          </w:p>
          <w:p w14:paraId="1B7749C5" w14:textId="77777777" w:rsidR="00157AAA" w:rsidRDefault="006C1BE5">
            <w:pPr>
              <w:spacing w:before="120"/>
              <w:ind w:left="1423" w:right="-72" w:hanging="540"/>
            </w:pPr>
            <w:r>
              <w:t>(b)</w:t>
            </w:r>
            <w:r>
              <w:tab/>
              <w:t>any occurrence of Force Majeure as provided in GCC Clause 38 (Force Majeure</w:t>
            </w:r>
            <w:proofErr w:type="gramStart"/>
            <w:r>
              <w:t>);</w:t>
            </w:r>
            <w:proofErr w:type="gramEnd"/>
            <w:r>
              <w:t xml:space="preserve"> </w:t>
            </w:r>
          </w:p>
          <w:p w14:paraId="4A55D56B" w14:textId="77777777" w:rsidR="00157AAA" w:rsidRDefault="006C1BE5">
            <w:pPr>
              <w:spacing w:before="120"/>
              <w:ind w:left="1423" w:right="-72" w:hanging="540"/>
            </w:pPr>
            <w:r>
              <w:t>(c)</w:t>
            </w:r>
            <w:r>
              <w:tab/>
              <w:t>default of the Purchaser; or</w:t>
            </w:r>
          </w:p>
          <w:p w14:paraId="59E95551" w14:textId="77777777" w:rsidR="00157AAA" w:rsidRDefault="006C1BE5">
            <w:pPr>
              <w:spacing w:before="120"/>
              <w:ind w:left="1423" w:right="-72" w:hanging="540"/>
            </w:pPr>
            <w:r>
              <w:t>(d)</w:t>
            </w:r>
            <w:r>
              <w:tab/>
              <w:t xml:space="preserve">any other matter specifically mentioned in the </w:t>
            </w:r>
            <w:proofErr w:type="gramStart"/>
            <w:r>
              <w:t>Contract;</w:t>
            </w:r>
            <w:proofErr w:type="gramEnd"/>
          </w:p>
          <w:p w14:paraId="677AF065" w14:textId="77777777" w:rsidR="00157AAA" w:rsidRDefault="006C1BE5">
            <w:pPr>
              <w:spacing w:before="120"/>
              <w:ind w:left="793" w:right="-72"/>
            </w:pPr>
            <w:r>
              <w:t>by such period as shall be fair and reasonable in all the circumstances and as shall fairly reflect the delay or impediment sustained by the Supplier.</w:t>
            </w:r>
          </w:p>
          <w:p w14:paraId="72654913" w14:textId="77777777" w:rsidR="00157AAA" w:rsidRDefault="006C1BE5">
            <w:pPr>
              <w:spacing w:before="120"/>
              <w:ind w:left="793" w:right="-72" w:hanging="793"/>
            </w:pPr>
            <w:r>
              <w:t>40.2</w:t>
            </w:r>
            <w:r>
              <w:tab/>
              <w:t xml:space="preserve">Except where otherwise specifically provided in the Contract, the Supplier shall submit to the Project Manager a notice of a claim for an extension of the time for achieving Operational Acceptance, together with particulars of the event or circumstance justifying such extension as soon as reasonably practicable after the commencement of such event or circumstance.  As soon as reasonably practicable after receipt of </w:t>
            </w:r>
            <w:proofErr w:type="gramStart"/>
            <w:r>
              <w:t>such</w:t>
            </w:r>
            <w:proofErr w:type="gramEnd"/>
            <w:r>
              <w:t xml:space="preserve"> notice and supporting particulars of the claim, the Purchaser and the Supplier shall agree upon the period of such extension.  </w:t>
            </w:r>
            <w:proofErr w:type="gramStart"/>
            <w:r>
              <w:t>In the event that</w:t>
            </w:r>
            <w:proofErr w:type="gramEnd"/>
            <w:r>
              <w:t xml:space="preserve"> the Supplier does not accept the Purchaser’s estimate of a fair and reasonable time extension, the Supplier shall be entitled to refer the matter to the provisions for the Settlement of Disputes pursuant to GCC Clause 43.</w:t>
            </w:r>
          </w:p>
          <w:p w14:paraId="32B15DCE" w14:textId="77777777" w:rsidR="00157AAA" w:rsidRDefault="006C1BE5">
            <w:pPr>
              <w:spacing w:before="120"/>
              <w:ind w:left="793" w:right="-72" w:hanging="793"/>
            </w:pPr>
            <w:r>
              <w:t>40.3</w:t>
            </w:r>
            <w:r>
              <w:tab/>
              <w:t xml:space="preserve">The Supplier shall </w:t>
            </w:r>
            <w:proofErr w:type="gramStart"/>
            <w:r>
              <w:t>at all times</w:t>
            </w:r>
            <w:proofErr w:type="gramEnd"/>
            <w:r>
              <w:t xml:space="preserve"> use its reasonable efforts to minimize any delay in the performance of its obligations under the Contract.</w:t>
            </w:r>
          </w:p>
        </w:tc>
      </w:tr>
      <w:tr w:rsidR="00157AAA" w14:paraId="21A7F278" w14:textId="77777777">
        <w:trPr>
          <w:cantSplit/>
        </w:trPr>
        <w:tc>
          <w:tcPr>
            <w:tcW w:w="2412" w:type="dxa"/>
          </w:tcPr>
          <w:p w14:paraId="199F9762" w14:textId="77777777" w:rsidR="00157AAA" w:rsidRDefault="006C1BE5">
            <w:pPr>
              <w:pStyle w:val="Head62"/>
              <w:spacing w:before="120"/>
            </w:pPr>
            <w:bookmarkStart w:id="895" w:name="_Toc277233365"/>
            <w:bookmarkStart w:id="896" w:name="_Toc73977739"/>
            <w:r>
              <w:t>41.</w:t>
            </w:r>
            <w:r>
              <w:tab/>
              <w:t>Termination</w:t>
            </w:r>
            <w:bookmarkEnd w:id="895"/>
            <w:bookmarkEnd w:id="896"/>
          </w:p>
        </w:tc>
        <w:tc>
          <w:tcPr>
            <w:tcW w:w="6588" w:type="dxa"/>
          </w:tcPr>
          <w:p w14:paraId="1A7F5336" w14:textId="77777777" w:rsidR="00157AAA" w:rsidRDefault="006C1BE5">
            <w:pPr>
              <w:spacing w:before="120"/>
              <w:ind w:left="793" w:right="-72" w:hanging="793"/>
            </w:pPr>
            <w:r>
              <w:t>41.1</w:t>
            </w:r>
            <w:r>
              <w:tab/>
              <w:t>Termination for Purchaser’s Convenience</w:t>
            </w:r>
          </w:p>
        </w:tc>
      </w:tr>
      <w:tr w:rsidR="00157AAA" w14:paraId="6656B7FD" w14:textId="77777777">
        <w:tc>
          <w:tcPr>
            <w:tcW w:w="2412" w:type="dxa"/>
          </w:tcPr>
          <w:p w14:paraId="430DB3BE" w14:textId="77777777" w:rsidR="00157AAA" w:rsidRDefault="00157AAA">
            <w:pPr>
              <w:spacing w:before="120"/>
              <w:jc w:val="left"/>
            </w:pPr>
          </w:p>
        </w:tc>
        <w:tc>
          <w:tcPr>
            <w:tcW w:w="6588" w:type="dxa"/>
          </w:tcPr>
          <w:p w14:paraId="7FB56B2B" w14:textId="77777777" w:rsidR="00157AAA" w:rsidRDefault="006C1BE5">
            <w:pPr>
              <w:spacing w:before="120"/>
              <w:ind w:left="1232" w:right="-72" w:hanging="692"/>
            </w:pPr>
            <w:r>
              <w:t>41.1.1</w:t>
            </w:r>
            <w:r>
              <w:tab/>
              <w:t xml:space="preserve">The Purchaser may at any time terminate the Contract for any reason by giving the Supplier </w:t>
            </w:r>
            <w:proofErr w:type="gramStart"/>
            <w:r>
              <w:t>a notice</w:t>
            </w:r>
            <w:proofErr w:type="gramEnd"/>
            <w:r>
              <w:t xml:space="preserve"> of termination that refers to this GCC Clause 41.1.</w:t>
            </w:r>
          </w:p>
          <w:p w14:paraId="6DDD4715" w14:textId="77777777" w:rsidR="00157AAA" w:rsidRDefault="006C1BE5">
            <w:pPr>
              <w:spacing w:before="120"/>
              <w:ind w:left="1232" w:right="-72" w:hanging="692"/>
            </w:pPr>
            <w:r>
              <w:t>41.1.2</w:t>
            </w:r>
            <w:r>
              <w:tab/>
              <w:t xml:space="preserve">Upon receipt of the notice of termination under GCC Clause 41.1.1, the Supplier shall either as soon as reasonably practical or upon the date specified in the notice of </w:t>
            </w:r>
            <w:proofErr w:type="gramStart"/>
            <w:r>
              <w:t>termination</w:t>
            </w:r>
            <w:proofErr w:type="gramEnd"/>
          </w:p>
          <w:p w14:paraId="5CFCD136" w14:textId="77777777" w:rsidR="00157AAA" w:rsidRDefault="006C1BE5">
            <w:pPr>
              <w:spacing w:before="120"/>
              <w:ind w:left="1788" w:right="-72" w:hanging="438"/>
            </w:pPr>
            <w:r>
              <w:t>(a)</w:t>
            </w:r>
            <w:r>
              <w:tab/>
              <w:t xml:space="preserve">cease all further work, except for such work as the Purchaser may specify in the notice of termination for the sole purpose of protecting that part of the System already executed, or any </w:t>
            </w:r>
            <w:r>
              <w:lastRenderedPageBreak/>
              <w:t xml:space="preserve">work required to leave the site in a clean and safe </w:t>
            </w:r>
            <w:proofErr w:type="gramStart"/>
            <w:r>
              <w:t>condition;</w:t>
            </w:r>
            <w:proofErr w:type="gramEnd"/>
          </w:p>
          <w:p w14:paraId="69F2E3B3" w14:textId="77777777" w:rsidR="00157AAA" w:rsidRDefault="006C1BE5">
            <w:pPr>
              <w:spacing w:before="120"/>
              <w:ind w:left="1788" w:right="-72" w:hanging="438"/>
            </w:pPr>
            <w:r>
              <w:t>(b)</w:t>
            </w:r>
            <w:r>
              <w:tab/>
              <w:t xml:space="preserve">terminate all subcontracts, except those to be assigned to the Purchaser pursuant to GCC Clause 41.1.2 (d) (ii) </w:t>
            </w:r>
            <w:proofErr w:type="gramStart"/>
            <w:r>
              <w:t>below;</w:t>
            </w:r>
            <w:proofErr w:type="gramEnd"/>
          </w:p>
          <w:p w14:paraId="26163720" w14:textId="77777777" w:rsidR="00157AAA" w:rsidRDefault="006C1BE5">
            <w:pPr>
              <w:spacing w:before="120"/>
              <w:ind w:left="1788" w:right="-72" w:hanging="438"/>
            </w:pPr>
            <w:r>
              <w:t>(c)</w:t>
            </w:r>
            <w:r>
              <w:tab/>
              <w:t xml:space="preserve">remove all Supplier’s Equipment from the site, repatriate the Supplier’s Personnel from the site, remove from the site any wreckage, rubbish, and debris of any </w:t>
            </w:r>
            <w:proofErr w:type="gramStart"/>
            <w:r>
              <w:t>kind;</w:t>
            </w:r>
            <w:proofErr w:type="gramEnd"/>
          </w:p>
          <w:p w14:paraId="3D4D8C16" w14:textId="77777777" w:rsidR="00157AAA" w:rsidRDefault="006C1BE5">
            <w:pPr>
              <w:tabs>
                <w:tab w:val="left" w:pos="1710"/>
              </w:tabs>
              <w:spacing w:before="120"/>
              <w:ind w:left="1788" w:right="-72" w:hanging="438"/>
            </w:pPr>
            <w:r>
              <w:t>(d)</w:t>
            </w:r>
            <w:r>
              <w:tab/>
              <w:t>in addition, the Supplier, subject to the payment specified in GCC Clause 41.1.3, shall</w:t>
            </w:r>
          </w:p>
          <w:p w14:paraId="6303EA14" w14:textId="77777777" w:rsidR="00157AAA" w:rsidRDefault="006C1BE5">
            <w:pPr>
              <w:spacing w:before="120"/>
              <w:ind w:left="2261" w:right="-72" w:hanging="547"/>
            </w:pPr>
            <w:r>
              <w:t>(</w:t>
            </w:r>
            <w:proofErr w:type="spellStart"/>
            <w:r>
              <w:t>i</w:t>
            </w:r>
            <w:proofErr w:type="spellEnd"/>
            <w:r>
              <w:t>)</w:t>
            </w:r>
            <w:r>
              <w:tab/>
              <w:t xml:space="preserve">deliver to the Purchaser the parts of the System executed by the Supplier up to the date of </w:t>
            </w:r>
            <w:proofErr w:type="gramStart"/>
            <w:r>
              <w:t>termination;</w:t>
            </w:r>
            <w:proofErr w:type="gramEnd"/>
          </w:p>
          <w:p w14:paraId="2837E30C" w14:textId="77777777" w:rsidR="00157AAA" w:rsidRDefault="006C1BE5">
            <w:pPr>
              <w:spacing w:before="120"/>
              <w:ind w:left="2261" w:right="-72" w:hanging="547"/>
            </w:pPr>
            <w:r>
              <w:t>(ii)</w:t>
            </w:r>
            <w:r>
              <w:tab/>
              <w:t xml:space="preserve">to the extent legally possible, assign to the Purchaser all right, title, and benefit of the Supplier to the System, or Subsystem, as at the date of termination, and, as may be required by the Purchaser, in any subcontracts concluded between the Supplier and its </w:t>
            </w:r>
            <w:proofErr w:type="gramStart"/>
            <w:r>
              <w:t>Subcontractors;</w:t>
            </w:r>
            <w:proofErr w:type="gramEnd"/>
          </w:p>
          <w:p w14:paraId="030E1EC7" w14:textId="77777777" w:rsidR="00157AAA" w:rsidRDefault="006C1BE5">
            <w:pPr>
              <w:spacing w:before="120"/>
              <w:ind w:left="2261" w:right="-72" w:hanging="547"/>
            </w:pPr>
            <w:r>
              <w:t>(iii)</w:t>
            </w:r>
            <w:r>
              <w:tab/>
              <w:t>deliver to the Purchaser all nonproprietary drawings, specifications, and other documents prepared by the Supplier or its Subcontractors as of the date of termination in connection with the System.</w:t>
            </w:r>
          </w:p>
          <w:p w14:paraId="4FBF5C7C" w14:textId="77777777" w:rsidR="00157AAA" w:rsidRDefault="006C1BE5">
            <w:pPr>
              <w:spacing w:before="120"/>
              <w:ind w:left="1232" w:right="-72" w:hanging="692"/>
            </w:pPr>
            <w:r>
              <w:t>41.1.3</w:t>
            </w:r>
            <w:r>
              <w:tab/>
              <w:t>In the event of termination of the Contract under GCC Clause 41.1.1, the Purchaser shall pay to the Supplier the following amounts:</w:t>
            </w:r>
          </w:p>
          <w:p w14:paraId="7B4BD09F" w14:textId="77777777" w:rsidR="00157AAA" w:rsidRDefault="006C1BE5">
            <w:pPr>
              <w:spacing w:before="120"/>
              <w:ind w:left="1788" w:right="-72" w:hanging="438"/>
            </w:pPr>
            <w:r>
              <w:t>(a)</w:t>
            </w:r>
            <w:r>
              <w:tab/>
              <w:t xml:space="preserve">the Contract Price, properly attributable to the parts of the System executed by the Supplier as of the date of </w:t>
            </w:r>
            <w:proofErr w:type="gramStart"/>
            <w:r>
              <w:t>termination;</w:t>
            </w:r>
            <w:proofErr w:type="gramEnd"/>
          </w:p>
          <w:p w14:paraId="268F50DC" w14:textId="77777777" w:rsidR="00157AAA" w:rsidRDefault="006C1BE5">
            <w:pPr>
              <w:spacing w:before="120"/>
              <w:ind w:left="1788" w:right="-72" w:hanging="438"/>
            </w:pPr>
            <w:r>
              <w:t>(b)</w:t>
            </w:r>
            <w:r>
              <w:tab/>
              <w:t xml:space="preserve">the costs reasonably incurred by the Supplier in the removal of the Supplier’s Equipment from the site and in the repatriation of the Supplier’s </w:t>
            </w:r>
            <w:proofErr w:type="gramStart"/>
            <w:r>
              <w:t>Personnel;</w:t>
            </w:r>
            <w:proofErr w:type="gramEnd"/>
          </w:p>
          <w:p w14:paraId="631DCD61" w14:textId="77777777" w:rsidR="00157AAA" w:rsidRDefault="006C1BE5">
            <w:pPr>
              <w:spacing w:before="120"/>
              <w:ind w:left="1788" w:right="-72" w:hanging="438"/>
            </w:pPr>
            <w:r>
              <w:t>(c)</w:t>
            </w:r>
            <w:r>
              <w:tab/>
              <w:t xml:space="preserve">any amount to be paid by the Supplier to its Subcontractors in connection with the termination of any subcontracts, including any cancellation </w:t>
            </w:r>
            <w:proofErr w:type="gramStart"/>
            <w:r>
              <w:t>charges;</w:t>
            </w:r>
            <w:proofErr w:type="gramEnd"/>
          </w:p>
          <w:p w14:paraId="095CEAB1" w14:textId="77777777" w:rsidR="00157AAA" w:rsidRDefault="006C1BE5">
            <w:pPr>
              <w:spacing w:before="120"/>
              <w:ind w:left="1788" w:right="-72" w:hanging="438"/>
            </w:pPr>
            <w:r>
              <w:lastRenderedPageBreak/>
              <w:t>(d)</w:t>
            </w:r>
            <w:r>
              <w:tab/>
            </w:r>
            <w:r>
              <w:rPr>
                <w:spacing w:val="-4"/>
              </w:rPr>
              <w:t xml:space="preserve">costs incurred by the Supplier in protecting the System and leaving the site in a clean and safe condition pursuant to GCC Clause 41.1.2 (a); and </w:t>
            </w:r>
          </w:p>
          <w:p w14:paraId="4CA443B8" w14:textId="77777777" w:rsidR="00157AAA" w:rsidRDefault="006C1BE5">
            <w:pPr>
              <w:spacing w:before="120"/>
              <w:ind w:left="1788" w:right="-72" w:hanging="438"/>
            </w:pPr>
            <w:r>
              <w:t>(e)</w:t>
            </w:r>
            <w:r>
              <w:tab/>
              <w:t>the cost of satisfying all other obligations, commitments, and claims that the Supplier may in good faith have undertaken with third parties in connection with the Contract and that are not covered by GCC Clauses 41.1.3 (a) through (d) above.</w:t>
            </w:r>
          </w:p>
          <w:p w14:paraId="54C6C541" w14:textId="77777777" w:rsidR="00157AAA" w:rsidRDefault="006C1BE5">
            <w:pPr>
              <w:spacing w:before="120"/>
              <w:ind w:left="793" w:right="-72" w:hanging="793"/>
            </w:pPr>
            <w:r>
              <w:t>41.2</w:t>
            </w:r>
            <w:r>
              <w:tab/>
              <w:t>Termination for Supplier’s Default</w:t>
            </w:r>
          </w:p>
          <w:p w14:paraId="688A3F87" w14:textId="77777777" w:rsidR="00157AAA" w:rsidRDefault="006C1BE5">
            <w:pPr>
              <w:spacing w:before="120"/>
              <w:ind w:left="1232" w:right="-72" w:hanging="692"/>
            </w:pPr>
            <w:r>
              <w:t>41.2.1</w:t>
            </w:r>
            <w:r>
              <w:tab/>
              <w:t>The Purchaser, without prejudice to any other rights or remedies it may possess, may terminate the Contract forthwith in the following circumstances by giving a notice of termination and its reasons therefore to the Supplier, referring to this GCC Clause 41.2:</w:t>
            </w:r>
          </w:p>
          <w:p w14:paraId="1AB413FC" w14:textId="77777777" w:rsidR="00157AAA" w:rsidRDefault="006C1BE5">
            <w:pPr>
              <w:spacing w:before="120"/>
              <w:ind w:left="1878" w:right="-72" w:hanging="524"/>
            </w:pPr>
            <w:r>
              <w:t>(a)</w:t>
            </w:r>
            <w:r>
              <w:tab/>
              <w:t>if the Supplier becomes bankrupt or insolvent, has a receiving order issued against it, compounds with its creditors, or, if the Supplier is a corporation, a resolution is passed or order is made for its winding up (other than a voluntary liquidation for the purposes of amalgamation or reconstruction), a receiver is appointed over any part of its undertaking or assets, or if the Supplier takes or suffers any other analogous action in consequence of debt;</w:t>
            </w:r>
          </w:p>
          <w:p w14:paraId="096F5A48" w14:textId="77777777" w:rsidR="00157AAA" w:rsidRDefault="006C1BE5">
            <w:pPr>
              <w:spacing w:before="120"/>
              <w:ind w:left="1878" w:right="-72" w:hanging="524"/>
            </w:pPr>
            <w:r>
              <w:t>(b)</w:t>
            </w:r>
            <w:r>
              <w:tab/>
              <w:t>if the Supplier assigns or transfers the Contract or any right or interest therein in violation of the provision of GCC Clause 42 (Assignment); or</w:t>
            </w:r>
          </w:p>
          <w:p w14:paraId="0FE72452" w14:textId="77777777" w:rsidR="00157AAA" w:rsidRDefault="006C1BE5">
            <w:pPr>
              <w:spacing w:before="120"/>
              <w:ind w:left="1878" w:right="-72" w:hanging="524"/>
            </w:pPr>
            <w:r>
              <w:t>(c)</w:t>
            </w:r>
            <w:r>
              <w:tab/>
              <w:t>if the Supplier, in the judgment of the Purchaser has engaged in Fraud and Corruption, as defined in  paragraph 2.2 a. of the Appendix 1 to the GCC, in competing for or in executing the Contract, including but not limited to willful misrepresentation of facts concerning ownership of Intellectual Property Rights in, or proper authorization and/or licenses from the owner to offer, the hardware, software, or materials provided under this Contract.</w:t>
            </w:r>
          </w:p>
          <w:p w14:paraId="31691F0E" w14:textId="77777777" w:rsidR="00157AAA" w:rsidRDefault="006C1BE5">
            <w:pPr>
              <w:spacing w:before="120"/>
              <w:ind w:left="1232" w:right="-72" w:hanging="692"/>
            </w:pPr>
            <w:r>
              <w:t>41.2.2</w:t>
            </w:r>
            <w:r>
              <w:tab/>
              <w:t>If the Supplier:</w:t>
            </w:r>
          </w:p>
          <w:p w14:paraId="28D91795" w14:textId="77777777" w:rsidR="00157AAA" w:rsidRDefault="006C1BE5">
            <w:pPr>
              <w:spacing w:before="120"/>
              <w:ind w:left="1788" w:right="-72" w:hanging="438"/>
            </w:pPr>
            <w:r>
              <w:t>(a)</w:t>
            </w:r>
            <w:r>
              <w:tab/>
              <w:t xml:space="preserve">has abandoned or repudiated the </w:t>
            </w:r>
            <w:proofErr w:type="gramStart"/>
            <w:r>
              <w:t>Contract;</w:t>
            </w:r>
            <w:proofErr w:type="gramEnd"/>
          </w:p>
          <w:p w14:paraId="2B6A6B26" w14:textId="77777777" w:rsidR="00157AAA" w:rsidRDefault="006C1BE5">
            <w:pPr>
              <w:spacing w:before="120"/>
              <w:ind w:left="1788" w:right="-72" w:hanging="438"/>
            </w:pPr>
            <w:r>
              <w:t>(b)</w:t>
            </w:r>
            <w:r>
              <w:tab/>
              <w:t xml:space="preserve">has without valid reason failed to commence work on the System </w:t>
            </w:r>
            <w:proofErr w:type="gramStart"/>
            <w:r>
              <w:t>promptly;</w:t>
            </w:r>
            <w:proofErr w:type="gramEnd"/>
          </w:p>
          <w:p w14:paraId="2C9D573D" w14:textId="77777777" w:rsidR="00157AAA" w:rsidRDefault="006C1BE5">
            <w:pPr>
              <w:spacing w:before="120"/>
              <w:ind w:left="1788" w:right="-72" w:hanging="438"/>
            </w:pPr>
            <w:r>
              <w:lastRenderedPageBreak/>
              <w:t>(c)</w:t>
            </w:r>
            <w:r>
              <w:tab/>
              <w:t xml:space="preserve">persistently fails to execute the Contract in accordance with the Contract or persistently neglects to carry out its obligations under the Contract without just </w:t>
            </w:r>
            <w:proofErr w:type="gramStart"/>
            <w:r>
              <w:t>cause;</w:t>
            </w:r>
            <w:proofErr w:type="gramEnd"/>
          </w:p>
          <w:p w14:paraId="2B288F1C" w14:textId="77777777" w:rsidR="00157AAA" w:rsidRDefault="006C1BE5">
            <w:pPr>
              <w:spacing w:before="120"/>
              <w:ind w:left="1788" w:right="-72" w:hanging="438"/>
            </w:pPr>
            <w:r>
              <w:t>(d)</w:t>
            </w:r>
            <w:r>
              <w:tab/>
              <w:t xml:space="preserve">refuses or is unable to provide sufficient Materials, Services, or labor to execute and complete the System in the manner specified in the Agreed Project Plan furnished under GCC Clause 19 at rates of progress that give reasonable assurance to the Purchaser that the Supplier can attain Operational Acceptance of the System by the Time for Achieving Operational Acceptance as </w:t>
            </w:r>
            <w:proofErr w:type="gramStart"/>
            <w:r>
              <w:t>extended;</w:t>
            </w:r>
            <w:proofErr w:type="gramEnd"/>
          </w:p>
          <w:p w14:paraId="4E06F7BE" w14:textId="77777777" w:rsidR="00157AAA" w:rsidRDefault="006C1BE5">
            <w:pPr>
              <w:spacing w:before="120"/>
              <w:ind w:left="1350" w:right="-72"/>
            </w:pPr>
            <w:r>
              <w:t>then the Purchaser may, without prejudice to any other rights it may possess under the Contract, give a notice to the Supplier stating the nature of the default and requiring the Supplier to remedy the same.  If the Supplier fails to remedy or to take steps to remedy the same within thirty (30) days of its receipt of such notice, then the Purchaser may terminate the Contract forthwith by giving a notice of termination to the Supplier that refers to this GCC Clause 41.2.</w:t>
            </w:r>
          </w:p>
          <w:p w14:paraId="7C5B144E" w14:textId="77777777" w:rsidR="00157AAA" w:rsidRDefault="006C1BE5">
            <w:pPr>
              <w:spacing w:before="120"/>
              <w:ind w:left="1232" w:right="-72" w:hanging="692"/>
            </w:pPr>
            <w:r>
              <w:t>41.2.3</w:t>
            </w:r>
            <w:r>
              <w:tab/>
              <w:t>Upon receipt of the notice of termination under GCC Clauses 41.2.1 or 41.2.2, the Supplier shall, either immediately or upon such date as is specified in the notice of termination:</w:t>
            </w:r>
          </w:p>
          <w:p w14:paraId="4D26DDD6" w14:textId="77777777" w:rsidR="00157AAA" w:rsidRDefault="006C1BE5">
            <w:pPr>
              <w:spacing w:before="120"/>
              <w:ind w:left="1788" w:right="-72" w:hanging="438"/>
            </w:pPr>
            <w:r>
              <w:t>(a)</w:t>
            </w:r>
            <w:r>
              <w:tab/>
              <w:t xml:space="preserve">cease all further work, except for such work as the Purchaser may specify in the notice of termination for the sole purpose of protecting that part of the System already executed or any work required to leave the site in a clean and safe </w:t>
            </w:r>
            <w:proofErr w:type="gramStart"/>
            <w:r>
              <w:t>condition;</w:t>
            </w:r>
            <w:proofErr w:type="gramEnd"/>
          </w:p>
          <w:p w14:paraId="67192AFD" w14:textId="77777777" w:rsidR="00157AAA" w:rsidRDefault="006C1BE5">
            <w:pPr>
              <w:spacing w:before="120"/>
              <w:ind w:left="1788" w:right="-72" w:hanging="438"/>
            </w:pPr>
            <w:r>
              <w:t>(b)</w:t>
            </w:r>
            <w:r>
              <w:tab/>
              <w:t xml:space="preserve">terminate all subcontracts, except those to be assigned to the Purchaser pursuant to GCC Clause 41.2.3 (d) </w:t>
            </w:r>
            <w:proofErr w:type="gramStart"/>
            <w:r>
              <w:t>below;</w:t>
            </w:r>
            <w:proofErr w:type="gramEnd"/>
          </w:p>
          <w:p w14:paraId="4B931A5B" w14:textId="77777777" w:rsidR="00157AAA" w:rsidRDefault="006C1BE5">
            <w:pPr>
              <w:spacing w:before="120"/>
              <w:ind w:left="1788" w:right="-72" w:hanging="438"/>
            </w:pPr>
            <w:r>
              <w:t>(c)</w:t>
            </w:r>
            <w:r>
              <w:tab/>
              <w:t xml:space="preserve">deliver to the Purchaser the parts of the System executed by the Supplier up to the date of </w:t>
            </w:r>
            <w:proofErr w:type="gramStart"/>
            <w:r>
              <w:t>termination;</w:t>
            </w:r>
            <w:proofErr w:type="gramEnd"/>
          </w:p>
          <w:p w14:paraId="6566E4DB" w14:textId="77777777" w:rsidR="00157AAA" w:rsidRDefault="006C1BE5">
            <w:pPr>
              <w:spacing w:before="120"/>
              <w:ind w:left="1788" w:right="-72" w:hanging="438"/>
            </w:pPr>
            <w:r>
              <w:t>(d)</w:t>
            </w:r>
            <w:r>
              <w:tab/>
              <w:t xml:space="preserve">to the extent legally possible, assign to the Purchaser all right, title and benefit of the Supplier to the System or Subsystems as at the date of termination, and, as may be required by </w:t>
            </w:r>
            <w:r>
              <w:lastRenderedPageBreak/>
              <w:t xml:space="preserve">the Purchaser, in any subcontracts concluded between the Supplier and its </w:t>
            </w:r>
            <w:proofErr w:type="gramStart"/>
            <w:r>
              <w:t>Subcontractors;</w:t>
            </w:r>
            <w:proofErr w:type="gramEnd"/>
          </w:p>
          <w:p w14:paraId="3766908F" w14:textId="77777777" w:rsidR="00157AAA" w:rsidRDefault="006C1BE5">
            <w:pPr>
              <w:spacing w:before="120"/>
              <w:ind w:left="1788" w:right="-72" w:hanging="438"/>
            </w:pPr>
            <w:r>
              <w:t>(e)</w:t>
            </w:r>
            <w:r>
              <w:tab/>
              <w:t>deliver to the Purchaser all drawings, specifications, and other documents prepared by the Supplier or its Subcontractors as at the date of termination in connection with the System.</w:t>
            </w:r>
          </w:p>
          <w:p w14:paraId="74C4801C" w14:textId="77777777" w:rsidR="00157AAA" w:rsidRDefault="006C1BE5">
            <w:pPr>
              <w:spacing w:before="120"/>
              <w:ind w:left="1232" w:right="-72" w:hanging="692"/>
            </w:pPr>
            <w:r>
              <w:t>41.2.4</w:t>
            </w:r>
            <w:r>
              <w:tab/>
              <w:t>The Purchaser may enter upon the site, expel the Supplier, and complete the System itself or by employing any third party.  Upon completion of the System or at such earlier date as the Purchaser thinks appropriate, the Purchaser shall give notice to the Supplier that such Supplier’s Equipment will be returned to the Supplier at or near the site and shall return such Supplier’s Equipment to the Supplier in accordance with such notice.  The Supplier shall thereafter without delay and at its cost remove or arrange removal of the same from the site.</w:t>
            </w:r>
          </w:p>
          <w:p w14:paraId="31739AEC" w14:textId="77777777" w:rsidR="00157AAA" w:rsidRDefault="006C1BE5">
            <w:pPr>
              <w:spacing w:before="120"/>
              <w:ind w:left="1232" w:right="-72" w:hanging="692"/>
            </w:pPr>
            <w:r>
              <w:t>41.2.5</w:t>
            </w:r>
            <w:r>
              <w:tab/>
              <w:t xml:space="preserve">Subject to GCC Clause 41.2.6, the Supplier shall be entitled to be paid the Contract Price attributable to the portion of the System executed as at the date of termination and the costs, if any, incurred in protecting the System and in leaving the site in a clean and safe condition pursuant to GCC Clause 41.2.3 (a).  Any sums </w:t>
            </w:r>
            <w:proofErr w:type="gramStart"/>
            <w:r>
              <w:t>due</w:t>
            </w:r>
            <w:proofErr w:type="gramEnd"/>
            <w:r>
              <w:t xml:space="preserve"> the Purchaser from the Supplier accruing prior to the date of termination shall be deducted from the amount to be paid to the Supplier under this Contract.</w:t>
            </w:r>
          </w:p>
          <w:p w14:paraId="3B0B272D" w14:textId="77777777" w:rsidR="00157AAA" w:rsidRDefault="006C1BE5">
            <w:pPr>
              <w:spacing w:before="120"/>
              <w:ind w:left="1232" w:right="-72" w:hanging="692"/>
            </w:pPr>
            <w:r>
              <w:t>41.2.6</w:t>
            </w:r>
            <w:r>
              <w:tab/>
              <w:t xml:space="preserve">If the Purchaser completes the System, the cost of completing the System by the Purchaser shall be determined.  If the sum that the Supplier is entitled to be paid, pursuant to GCC Clause 41.2.5, plus the reasonable costs incurred by the Purchaser in completing the System, exceeds the Contract Price, the Supplier shall be liable for such excess.  If such excess is greater than the sums due the Supplier under GCC Clause 41.2.5, the Supplier shall pay the balance to the Purchaser, and if such excess is less than the sums due the Supplier under GCC Clause 41.2.5, the Purchaser shall pay the balance to the Supplier.  The Purchaser and the Supplier shall agree, in writing, on the computation described above and the </w:t>
            </w:r>
            <w:proofErr w:type="gramStart"/>
            <w:r>
              <w:t>manner in which</w:t>
            </w:r>
            <w:proofErr w:type="gramEnd"/>
            <w:r>
              <w:t xml:space="preserve"> any sums shall be paid.</w:t>
            </w:r>
          </w:p>
          <w:p w14:paraId="35EAC237" w14:textId="77777777" w:rsidR="00157AAA" w:rsidRDefault="006C1BE5">
            <w:pPr>
              <w:spacing w:before="120"/>
              <w:ind w:left="793" w:right="-72" w:hanging="793"/>
            </w:pPr>
            <w:r>
              <w:t>41.3</w:t>
            </w:r>
            <w:r>
              <w:tab/>
              <w:t>Termination by Supplier</w:t>
            </w:r>
          </w:p>
          <w:p w14:paraId="0A297BCB" w14:textId="77777777" w:rsidR="00157AAA" w:rsidRDefault="006C1BE5">
            <w:pPr>
              <w:spacing w:before="120"/>
              <w:ind w:left="1232" w:right="-72" w:hanging="692"/>
            </w:pPr>
            <w:r>
              <w:lastRenderedPageBreak/>
              <w:t>41.3.1</w:t>
            </w:r>
            <w:r>
              <w:tab/>
              <w:t>If:</w:t>
            </w:r>
          </w:p>
          <w:p w14:paraId="747EDCFB" w14:textId="77777777" w:rsidR="00157AAA" w:rsidRDefault="006C1BE5">
            <w:pPr>
              <w:spacing w:before="120"/>
              <w:ind w:left="1788" w:right="-72" w:hanging="438"/>
            </w:pPr>
            <w:r>
              <w:t>(a)</w:t>
            </w:r>
            <w:r>
              <w:tab/>
              <w:t xml:space="preserve">the Purchaser has failed to pay the Supplier any sum due under the Contract within the specified period, has failed to approve any invoice or supporting documents without just cause </w:t>
            </w:r>
            <w:r>
              <w:rPr>
                <w:b/>
              </w:rPr>
              <w:t>pursuant to the SCC,</w:t>
            </w:r>
            <w:r>
              <w:t xml:space="preserve"> or commits a substantial breach of the Contract, the Supplier may give a notice to the Purchaser that requires payment of such sum, with interest on this sum as stipulated in GCC Clause 12.3, requires approval of such invoice or supporting documents, or specifies the breach and requires the Purchaser to remedy the same, as the case may be.  If the Purchaser fails to pay such sum together with such interest, fails to approve such invoice or supporting documents or give its reasons for withholding such approval, fails to remedy the breach or take steps to remedy the breach within fourteen (14) days after receipt of the Supplier’s notice; or</w:t>
            </w:r>
          </w:p>
          <w:p w14:paraId="41F078E7" w14:textId="77777777" w:rsidR="00157AAA" w:rsidRDefault="006C1BE5">
            <w:pPr>
              <w:spacing w:before="120"/>
              <w:ind w:left="1788" w:right="-72" w:hanging="438"/>
            </w:pPr>
            <w:r>
              <w:t>(b)</w:t>
            </w:r>
            <w:r>
              <w:tab/>
              <w:t xml:space="preserve">the Supplier is unable to carry out any of its obligations under the Contract for any reason attributable to the Purchaser, including but not limited to the Purchaser’s failure to provide possession of or access to the site or other areas or failure to obtain any governmental permit necessary for the execution and/or completion of the </w:t>
            </w:r>
            <w:proofErr w:type="gramStart"/>
            <w:r>
              <w:t>System;</w:t>
            </w:r>
            <w:proofErr w:type="gramEnd"/>
          </w:p>
          <w:p w14:paraId="415B092A" w14:textId="77777777" w:rsidR="00157AAA" w:rsidRDefault="006C1BE5">
            <w:pPr>
              <w:spacing w:before="120"/>
              <w:ind w:left="1350" w:right="-72"/>
            </w:pPr>
            <w:r>
              <w:t>then the Supplier may give a notice to the Purchaser of such events, and if the Purchaser has failed to pay the outstanding sum, to approve the invoice or supporting documents, to give its reasons for withholding such approval, or to remedy the breach within twenty-eight (28) days of such notice, or if the Supplier is still unable to carry out any of its obligations under the Contract for any reason attributable to the Purchaser within twenty-eight (28) days of the said notice, the Supplier may by a further notice to the Purchaser referring to this GCC Clause 41.3.1, forthwith terminate the Contract.</w:t>
            </w:r>
          </w:p>
          <w:p w14:paraId="5C7B6287" w14:textId="77777777" w:rsidR="00157AAA" w:rsidRDefault="006C1BE5">
            <w:pPr>
              <w:spacing w:before="120"/>
              <w:ind w:left="1232" w:right="-72" w:hanging="692"/>
            </w:pPr>
            <w:r>
              <w:t>41.3.2</w:t>
            </w:r>
            <w:r>
              <w:tab/>
              <w:t xml:space="preserve">The Supplier may terminate the Contract immediately by giving a notice to the Purchaser to that effect, referring to this GCC Clause 41.3.2, if the Purchaser becomes bankrupt or insolvent, has a receiving order issued against it, compounds with its creditors, or, </w:t>
            </w:r>
            <w:r>
              <w:lastRenderedPageBreak/>
              <w:t>being a corporation, if a resolution is passed or order is made for its winding up (other than a voluntary liquidation for the purposes of amalgamation or reconstruction), a receiver is appointed over any part of its undertaking or assets, or if the Purchaser takes or suffers any other analogous action in consequence of debt.</w:t>
            </w:r>
          </w:p>
          <w:p w14:paraId="047FBFD2" w14:textId="77777777" w:rsidR="00157AAA" w:rsidRDefault="006C1BE5">
            <w:pPr>
              <w:spacing w:before="120"/>
              <w:ind w:left="1232" w:right="-72" w:hanging="692"/>
            </w:pPr>
            <w:r>
              <w:t>41.3.3</w:t>
            </w:r>
            <w:r>
              <w:tab/>
              <w:t>If the Contract is terminated under GCC Clauses 41.3.1 or 41.3.2, then the Supplier shall immediately:</w:t>
            </w:r>
          </w:p>
          <w:p w14:paraId="33EE888C" w14:textId="77777777" w:rsidR="00157AAA" w:rsidRDefault="006C1BE5">
            <w:pPr>
              <w:spacing w:before="120"/>
              <w:ind w:left="1878" w:right="-72" w:hanging="524"/>
            </w:pPr>
            <w:r>
              <w:t>(a)</w:t>
            </w:r>
            <w:r>
              <w:tab/>
              <w:t xml:space="preserve">cease all further work, except for such work as may be necessary for the purpose of protecting that part of the System already executed, or any work required to leave the site in a clean and safe </w:t>
            </w:r>
            <w:proofErr w:type="gramStart"/>
            <w:r>
              <w:t>condition;</w:t>
            </w:r>
            <w:proofErr w:type="gramEnd"/>
          </w:p>
          <w:p w14:paraId="60F9319B" w14:textId="77777777" w:rsidR="00157AAA" w:rsidRDefault="006C1BE5">
            <w:pPr>
              <w:spacing w:before="120"/>
              <w:ind w:left="1878" w:right="-72" w:hanging="524"/>
            </w:pPr>
            <w:r>
              <w:t>(b)</w:t>
            </w:r>
            <w:r>
              <w:tab/>
              <w:t>terminate all subcontracts, except those to be assigned to the Purchaser pursuant to Clause 41.3.3 (d) (ii</w:t>
            </w:r>
            <w:proofErr w:type="gramStart"/>
            <w:r>
              <w:t>);</w:t>
            </w:r>
            <w:proofErr w:type="gramEnd"/>
          </w:p>
          <w:p w14:paraId="52F103D7" w14:textId="77777777" w:rsidR="00157AAA" w:rsidRDefault="006C1BE5">
            <w:pPr>
              <w:spacing w:before="120"/>
              <w:ind w:left="1878" w:right="-72" w:hanging="524"/>
            </w:pPr>
            <w:r>
              <w:t>(c)</w:t>
            </w:r>
            <w:r>
              <w:tab/>
              <w:t>remove all Supplier’s Equipment from the site and repatriate the Supplier’s Personnel from the site.</w:t>
            </w:r>
          </w:p>
          <w:p w14:paraId="032D249A" w14:textId="77777777" w:rsidR="00157AAA" w:rsidRDefault="006C1BE5">
            <w:pPr>
              <w:spacing w:before="120"/>
              <w:ind w:left="1878" w:right="-72" w:hanging="524"/>
            </w:pPr>
            <w:r>
              <w:t>(d)</w:t>
            </w:r>
            <w:r>
              <w:tab/>
              <w:t>In addition, the Supplier, subject to the payment specified in GCC Clause 41.3.4, shall:</w:t>
            </w:r>
          </w:p>
          <w:p w14:paraId="75E1E515" w14:textId="77777777" w:rsidR="00157AAA" w:rsidRDefault="006C1BE5">
            <w:pPr>
              <w:spacing w:before="120"/>
              <w:ind w:left="2250" w:right="-72" w:hanging="540"/>
            </w:pPr>
            <w:r>
              <w:t>(</w:t>
            </w:r>
            <w:proofErr w:type="spellStart"/>
            <w:r>
              <w:t>i</w:t>
            </w:r>
            <w:proofErr w:type="spellEnd"/>
            <w:r>
              <w:t>)</w:t>
            </w:r>
            <w:r>
              <w:tab/>
              <w:t xml:space="preserve">deliver to the Purchaser the parts of the System executed by the Supplier up to the date of </w:t>
            </w:r>
            <w:proofErr w:type="gramStart"/>
            <w:r>
              <w:t>termination;</w:t>
            </w:r>
            <w:proofErr w:type="gramEnd"/>
          </w:p>
          <w:p w14:paraId="761E5F39" w14:textId="77777777" w:rsidR="00157AAA" w:rsidRDefault="006C1BE5">
            <w:pPr>
              <w:spacing w:before="120"/>
              <w:ind w:left="2250" w:right="-72" w:hanging="540"/>
            </w:pPr>
            <w:r>
              <w:t>(ii)</w:t>
            </w:r>
            <w:r>
              <w:tab/>
              <w:t xml:space="preserve">to the extent legally possible, assign to the Purchaser all right, title, and benefit of the Supplier to the System, or Subsystems, as of the date of termination, and, as may be required by the Purchaser, in any subcontracts concluded between the Supplier and its </w:t>
            </w:r>
            <w:proofErr w:type="gramStart"/>
            <w:r>
              <w:t>Subcontractors;</w:t>
            </w:r>
            <w:proofErr w:type="gramEnd"/>
          </w:p>
          <w:p w14:paraId="06380393" w14:textId="77777777" w:rsidR="00157AAA" w:rsidRDefault="006C1BE5">
            <w:pPr>
              <w:spacing w:before="120"/>
              <w:ind w:left="2250" w:right="-72" w:hanging="540"/>
            </w:pPr>
            <w:r>
              <w:t>(iii)</w:t>
            </w:r>
            <w:r>
              <w:tab/>
              <w:t>to the extent legally possible, deliver to the Purchaser all drawings, specifications, and other documents prepared by the Supplier or its Subcontractors as of the date of termination in connection with the System.</w:t>
            </w:r>
          </w:p>
          <w:p w14:paraId="2DEDC73D" w14:textId="77777777" w:rsidR="00157AAA" w:rsidRDefault="006C1BE5">
            <w:pPr>
              <w:spacing w:before="120"/>
              <w:ind w:left="1232" w:right="-72" w:hanging="692"/>
            </w:pPr>
            <w:r>
              <w:t>41.3.4</w:t>
            </w:r>
            <w:r>
              <w:tab/>
              <w:t xml:space="preserve">If the Contract is terminated under GCC Clauses 41.3.1 or 41.3.2, the Purchaser shall pay to the Supplier all payments specified in GCC Clause 41.1.3 and reasonable compensation for all loss, except for </w:t>
            </w:r>
            <w:r>
              <w:lastRenderedPageBreak/>
              <w:t>loss of profit, or damage sustained by the Supplier arising out of, in connection with, or in consequence of such termination.</w:t>
            </w:r>
          </w:p>
          <w:p w14:paraId="160148C7" w14:textId="77777777" w:rsidR="00157AAA" w:rsidRDefault="006C1BE5">
            <w:pPr>
              <w:spacing w:before="120"/>
              <w:ind w:left="1232" w:right="-72" w:hanging="692"/>
            </w:pPr>
            <w:r>
              <w:t>41.3.5</w:t>
            </w:r>
            <w:r>
              <w:tab/>
              <w:t>Termination by the Supplier pursuant to this GCC Clause 41.3 is without prejudice to any other rights or remedies of the Supplier that may be exercised in lieu of or in addition to rights conferred by GCC Clause 41.3.</w:t>
            </w:r>
          </w:p>
          <w:p w14:paraId="4A51B70F" w14:textId="77777777" w:rsidR="00157AAA" w:rsidRDefault="006C1BE5">
            <w:pPr>
              <w:spacing w:before="120"/>
              <w:ind w:left="793" w:right="-72" w:hanging="793"/>
            </w:pPr>
            <w:r>
              <w:t>41.4</w:t>
            </w:r>
            <w:r>
              <w:tab/>
              <w:t>In this GCC Clause 41, the expression “portion of the System executed” shall include all work executed, Services provided, and all Information Technologies, or other Goods acquired (or subject to a legally binding obligation to purchase) by the Supplier and used or intended to be used for the purpose of the System, up to and including the date of termination.</w:t>
            </w:r>
          </w:p>
          <w:p w14:paraId="3BE8A034" w14:textId="77777777" w:rsidR="00157AAA" w:rsidRDefault="006C1BE5">
            <w:pPr>
              <w:spacing w:before="120"/>
              <w:ind w:left="793" w:right="-72" w:hanging="793"/>
            </w:pPr>
            <w:r>
              <w:t>41.5</w:t>
            </w:r>
            <w:r>
              <w:tab/>
              <w:t xml:space="preserve">In this GCC Clause 41, in calculating any monies due from the Purchaser to the Supplier, account shall be taken of any sum previously paid by the Purchaser to the Supplier under the Contract, including any advance payment paid </w:t>
            </w:r>
            <w:r>
              <w:rPr>
                <w:b/>
              </w:rPr>
              <w:t>pursuant to the SCC.</w:t>
            </w:r>
          </w:p>
        </w:tc>
      </w:tr>
      <w:tr w:rsidR="00157AAA" w14:paraId="5904E8C8" w14:textId="77777777">
        <w:trPr>
          <w:cantSplit/>
        </w:trPr>
        <w:tc>
          <w:tcPr>
            <w:tcW w:w="2412" w:type="dxa"/>
          </w:tcPr>
          <w:p w14:paraId="27DD6198" w14:textId="77777777" w:rsidR="00157AAA" w:rsidRDefault="006C1BE5">
            <w:pPr>
              <w:pStyle w:val="Head62"/>
              <w:spacing w:before="120"/>
            </w:pPr>
            <w:bookmarkStart w:id="897" w:name="_Toc277233366"/>
            <w:bookmarkStart w:id="898" w:name="_Toc73977740"/>
            <w:r>
              <w:lastRenderedPageBreak/>
              <w:t>42.</w:t>
            </w:r>
            <w:r>
              <w:tab/>
              <w:t>Assignment</w:t>
            </w:r>
            <w:bookmarkEnd w:id="897"/>
            <w:bookmarkEnd w:id="898"/>
          </w:p>
        </w:tc>
        <w:tc>
          <w:tcPr>
            <w:tcW w:w="6588" w:type="dxa"/>
          </w:tcPr>
          <w:p w14:paraId="72F5C148" w14:textId="77777777" w:rsidR="00157AAA" w:rsidRDefault="006C1BE5">
            <w:pPr>
              <w:spacing w:before="120"/>
              <w:ind w:left="793" w:right="-72" w:hanging="793"/>
            </w:pPr>
            <w:r>
              <w:t>42.l</w:t>
            </w:r>
            <w:r>
              <w:tab/>
              <w:t>Neither the Purchaser nor the Supplier shall, without the express prior written consent of the other, assign to any third party the Contract or any part thereof, or any right, benefit, obligation, or interest therein or thereunder, except that the Supplier shall be entitled to assign either absolutely or by way of charge any monies due and payable to it or that may become due and payable to it under the Contract.</w:t>
            </w:r>
          </w:p>
        </w:tc>
      </w:tr>
    </w:tbl>
    <w:p w14:paraId="2C6323CA" w14:textId="77777777" w:rsidR="00157AAA" w:rsidRDefault="006C1BE5">
      <w:pPr>
        <w:pStyle w:val="Head61"/>
        <w:spacing w:before="120"/>
      </w:pPr>
      <w:bookmarkStart w:id="899" w:name="_Toc277233367"/>
      <w:bookmarkStart w:id="900" w:name="_Toc73977741"/>
      <w:r>
        <w:t>I.  Settlement of Disputes</w:t>
      </w:r>
      <w:bookmarkEnd w:id="899"/>
      <w:bookmarkEnd w:id="900"/>
    </w:p>
    <w:tbl>
      <w:tblPr>
        <w:tblW w:w="0" w:type="auto"/>
        <w:tblInd w:w="108" w:type="dxa"/>
        <w:tblLayout w:type="fixed"/>
        <w:tblCellMar>
          <w:left w:w="115" w:type="dxa"/>
          <w:right w:w="115" w:type="dxa"/>
        </w:tblCellMar>
        <w:tblLook w:val="0000" w:firstRow="0" w:lastRow="0" w:firstColumn="0" w:lastColumn="0" w:noHBand="0" w:noVBand="0"/>
      </w:tblPr>
      <w:tblGrid>
        <w:gridCol w:w="2412"/>
        <w:gridCol w:w="6498"/>
      </w:tblGrid>
      <w:tr w:rsidR="00157AAA" w14:paraId="0473D14D" w14:textId="77777777">
        <w:trPr>
          <w:cantSplit/>
        </w:trPr>
        <w:tc>
          <w:tcPr>
            <w:tcW w:w="2412" w:type="dxa"/>
          </w:tcPr>
          <w:p w14:paraId="7260BBC5" w14:textId="77777777" w:rsidR="00157AAA" w:rsidRDefault="006C1BE5">
            <w:pPr>
              <w:pStyle w:val="Head62"/>
              <w:spacing w:before="120"/>
            </w:pPr>
            <w:bookmarkStart w:id="901" w:name="_Toc277233368"/>
            <w:bookmarkStart w:id="902" w:name="_Toc73977742"/>
            <w:r>
              <w:t>43.</w:t>
            </w:r>
            <w:r>
              <w:tab/>
              <w:t>Settlement of Disputes</w:t>
            </w:r>
            <w:bookmarkEnd w:id="901"/>
            <w:bookmarkEnd w:id="902"/>
          </w:p>
        </w:tc>
        <w:tc>
          <w:tcPr>
            <w:tcW w:w="6498" w:type="dxa"/>
          </w:tcPr>
          <w:p w14:paraId="04106809" w14:textId="77777777" w:rsidR="00157AAA" w:rsidRDefault="006C1BE5">
            <w:pPr>
              <w:spacing w:before="120"/>
              <w:ind w:left="793" w:right="-72" w:hanging="793"/>
            </w:pPr>
            <w:r>
              <w:t>43.1</w:t>
            </w:r>
            <w:r>
              <w:tab/>
              <w:t>Adjudication</w:t>
            </w:r>
          </w:p>
        </w:tc>
      </w:tr>
      <w:tr w:rsidR="00157AAA" w14:paraId="205C3201" w14:textId="77777777">
        <w:tc>
          <w:tcPr>
            <w:tcW w:w="2412" w:type="dxa"/>
          </w:tcPr>
          <w:p w14:paraId="6A313B01" w14:textId="77777777" w:rsidR="00157AAA" w:rsidRDefault="00157AAA">
            <w:pPr>
              <w:spacing w:before="120"/>
              <w:jc w:val="left"/>
            </w:pPr>
          </w:p>
        </w:tc>
        <w:tc>
          <w:tcPr>
            <w:tcW w:w="6498" w:type="dxa"/>
          </w:tcPr>
          <w:p w14:paraId="7DB192DD" w14:textId="77777777" w:rsidR="00157AAA" w:rsidRDefault="006C1BE5">
            <w:pPr>
              <w:spacing w:before="120"/>
              <w:ind w:left="1232" w:right="-72" w:hanging="692"/>
            </w:pPr>
            <w:r>
              <w:t>43.1.1</w:t>
            </w:r>
            <w:r>
              <w:tab/>
              <w:t xml:space="preserve">If any dispute of any kind whatsoever shall arise between the Purchaser and the Supplier in connection with or arising out of the Contract, including without prejudice to the generality of the foregoing, any question regarding its existence, validity, or termination, or the operation of the System (whether during the progress of implementation or after its achieving Operational Acceptance and whether before or after the termination, abandonment, or breach of the Contract), the parties shall seek to resolve any such dispute by mutual consultation.  If </w:t>
            </w:r>
            <w:r>
              <w:lastRenderedPageBreak/>
              <w:t>the parties fail to resolve such a dispute by mutual consultation within fourteen (14) days after one party has notified the other in writing of the dispute, then, if the Contract Agreement in Appendix 2 includes and names an Adjudicator, the dispute shall, within another fourteen (14) days, be referred in writing by either party to the Adjudicator, with a copy to the other party.  If there is no Adjudicator specified in the Contract Agreement, the mutual consultation period stated above shall last twenty-eight (28) days (instead of fourteen), upon expiry of which either party may move to the notification of arbitration pursuant to GCC Clause 43.2.1.</w:t>
            </w:r>
          </w:p>
        </w:tc>
      </w:tr>
      <w:tr w:rsidR="00157AAA" w14:paraId="22690623" w14:textId="77777777">
        <w:tc>
          <w:tcPr>
            <w:tcW w:w="2412" w:type="dxa"/>
          </w:tcPr>
          <w:p w14:paraId="0BF724D0" w14:textId="77777777" w:rsidR="00157AAA" w:rsidRDefault="00157AAA">
            <w:pPr>
              <w:spacing w:before="120"/>
              <w:jc w:val="left"/>
            </w:pPr>
          </w:p>
        </w:tc>
        <w:tc>
          <w:tcPr>
            <w:tcW w:w="6498" w:type="dxa"/>
          </w:tcPr>
          <w:p w14:paraId="234BE7E0" w14:textId="77777777" w:rsidR="00157AAA" w:rsidRDefault="006C1BE5">
            <w:pPr>
              <w:spacing w:before="120"/>
              <w:ind w:left="1232" w:right="-72" w:hanging="692"/>
            </w:pPr>
            <w:r>
              <w:t>43.1.2</w:t>
            </w:r>
            <w:r>
              <w:tab/>
              <w:t>The Adjudicator shall give his or her decision in writing to both parties within twenty-eight (28) days of the dispute being referred to the Adjudicator.  If the Adjudicator has done so, and no notice of intention to commence arbitration has been given by either the Purchaser or the Supplier within fifty-six (56) days of such reference, the decision shall become final and binding upon the Purchaser and the Supplier.  Any decision that has become final and binding shall be implemented by the parties forthwith.</w:t>
            </w:r>
          </w:p>
          <w:p w14:paraId="320B4B93" w14:textId="77777777" w:rsidR="00157AAA" w:rsidRDefault="006C1BE5">
            <w:pPr>
              <w:spacing w:before="120"/>
              <w:ind w:left="1232" w:right="-72" w:hanging="692"/>
            </w:pPr>
            <w:r>
              <w:t>43.1.3</w:t>
            </w:r>
            <w:r>
              <w:tab/>
              <w:t>The Adjudicator shall be paid an hourly fee at the rate specified in the Contract Agreement plus reasonable expenditures incurred in the execution of duties as Adjudicator, and these costs shall be divided equally between the Purchaser and the Supplier.</w:t>
            </w:r>
          </w:p>
          <w:p w14:paraId="765F2003" w14:textId="77777777" w:rsidR="00157AAA" w:rsidRDefault="006C1BE5">
            <w:pPr>
              <w:spacing w:before="120"/>
              <w:ind w:left="1232" w:right="-72" w:hanging="692"/>
            </w:pPr>
            <w:r>
              <w:t>43.1.4</w:t>
            </w:r>
            <w:r>
              <w:tab/>
              <w:t xml:space="preserve">Should the Adjudicator resign or </w:t>
            </w:r>
            <w:proofErr w:type="gramStart"/>
            <w:r>
              <w:t>die, or</w:t>
            </w:r>
            <w:proofErr w:type="gramEnd"/>
            <w:r>
              <w:t xml:space="preserve"> should the Purchaser and the Supplier agree that the Adjudicator is not fulfilling his or her functions in accordance with the provisions of the Contract, a new Adjudicator shall be jointly appointed by the Purchaser and the Supplier.  Failing agreement between the two within twenty-eight (28) days, the new Adjudicator shall be appointed at the request of either party by the Appointing Authority </w:t>
            </w:r>
            <w:r>
              <w:rPr>
                <w:b/>
              </w:rPr>
              <w:t>specified in the SCC,</w:t>
            </w:r>
            <w:r>
              <w:t xml:space="preserve"> or, if no Appointing Authority is </w:t>
            </w:r>
            <w:r>
              <w:rPr>
                <w:b/>
              </w:rPr>
              <w:t>specified in SCC,</w:t>
            </w:r>
            <w:r>
              <w:t xml:space="preserve"> the Contract shall, from this point onward and until the parties may otherwise agree on an Adjudicator or an Appointing Authority, be implemented as if there is no Adjudicator.</w:t>
            </w:r>
          </w:p>
          <w:p w14:paraId="3A5C1C95" w14:textId="77777777" w:rsidR="00157AAA" w:rsidRDefault="006C1BE5">
            <w:pPr>
              <w:spacing w:before="120"/>
              <w:ind w:left="793" w:right="-72" w:hanging="793"/>
            </w:pPr>
            <w:r>
              <w:t>43.2</w:t>
            </w:r>
            <w:r>
              <w:tab/>
              <w:t>Arbitration</w:t>
            </w:r>
          </w:p>
          <w:p w14:paraId="7AC165F4" w14:textId="77777777" w:rsidR="00157AAA" w:rsidRDefault="006C1BE5">
            <w:pPr>
              <w:spacing w:before="120"/>
              <w:ind w:left="1232" w:right="-72" w:hanging="692"/>
            </w:pPr>
            <w:r>
              <w:lastRenderedPageBreak/>
              <w:t>43.2.1</w:t>
            </w:r>
            <w:r>
              <w:tab/>
              <w:t>If</w:t>
            </w:r>
          </w:p>
          <w:p w14:paraId="68713C12" w14:textId="77777777" w:rsidR="00157AAA" w:rsidRDefault="006C1BE5">
            <w:pPr>
              <w:spacing w:before="120"/>
              <w:ind w:left="1540" w:right="-72" w:hanging="446"/>
            </w:pPr>
            <w:r>
              <w:t>(a)</w:t>
            </w:r>
            <w:r>
              <w:tab/>
              <w:t>the Purchaser or the Supplier is dissatisfied with the Adjudicator’s decision and acts before this decision has become final and binding pursuant to GCC Clause 43.1.2, or</w:t>
            </w:r>
          </w:p>
          <w:p w14:paraId="5B1A773F" w14:textId="77777777" w:rsidR="00157AAA" w:rsidRDefault="006C1BE5">
            <w:pPr>
              <w:spacing w:before="120"/>
              <w:ind w:left="1540" w:right="-72" w:hanging="446"/>
            </w:pPr>
            <w:r>
              <w:t>(b)</w:t>
            </w:r>
            <w:r>
              <w:tab/>
              <w:t>the Adjudicator fails to give a decision within the allotted time from referral of the dispute pursuant to GCC Clause 43.1.2, and the Purchaser or the Supplier acts within the following fourteen (14) days, or</w:t>
            </w:r>
          </w:p>
          <w:p w14:paraId="215D9DA1" w14:textId="77777777" w:rsidR="00157AAA" w:rsidRDefault="006C1BE5">
            <w:pPr>
              <w:spacing w:before="120"/>
              <w:ind w:left="1540" w:right="-72" w:hanging="446"/>
            </w:pPr>
            <w:r>
              <w:t>(c)</w:t>
            </w:r>
            <w:r>
              <w:tab/>
              <w:t>in the absence of an Adjudicator from the Contract Agreement, the mutual consultation pursuant to GCC Clause 43.1.1 expires without resolution of the dispute and the Purchaser or the Supplier acts within the following fourteen (14) days,</w:t>
            </w:r>
          </w:p>
          <w:p w14:paraId="1F74F8FD" w14:textId="77777777" w:rsidR="00157AAA" w:rsidRDefault="006C1BE5">
            <w:pPr>
              <w:spacing w:before="120"/>
              <w:ind w:left="1232" w:right="-72" w:hanging="540"/>
            </w:pPr>
            <w:r>
              <w:tab/>
              <w:t>then either the Purchaser or the Supplier may act to give notice to the other party, with a copy for information to the Adjudicator in case an Adjudicator had been involved, of its intention to commence arbitration, as provided below, as to the matter in dispute, and no arbitration in respect of this matter may be commenced unless such notice is given.</w:t>
            </w:r>
          </w:p>
          <w:p w14:paraId="6580D108" w14:textId="77777777" w:rsidR="00157AAA" w:rsidRDefault="006C1BE5">
            <w:pPr>
              <w:spacing w:before="120"/>
              <w:ind w:left="1232" w:right="-72" w:hanging="692"/>
            </w:pPr>
            <w:r>
              <w:t>43.2.2</w:t>
            </w:r>
            <w:r>
              <w:tab/>
              <w:t>Any dispute in respect of which a notice of intention to commence arbitration has been given, in accordance with GCC Clause 43.2.1, shall be finally settled by arbitration.  Arbitration may be commenced prior to or after Installation of the Information System.</w:t>
            </w:r>
          </w:p>
          <w:p w14:paraId="19E018EB" w14:textId="77777777" w:rsidR="00157AAA" w:rsidRDefault="006C1BE5">
            <w:pPr>
              <w:spacing w:before="120"/>
              <w:ind w:left="1232" w:right="-72" w:hanging="692"/>
              <w:rPr>
                <w:b/>
              </w:rPr>
            </w:pPr>
            <w:r>
              <w:t>43.2.3</w:t>
            </w:r>
            <w:r>
              <w:tab/>
              <w:t xml:space="preserve">Arbitration proceedings shall be conducted in accordance with the rules of procedure </w:t>
            </w:r>
            <w:r>
              <w:rPr>
                <w:b/>
              </w:rPr>
              <w:t>specified in the SCC.</w:t>
            </w:r>
          </w:p>
          <w:p w14:paraId="4528B042" w14:textId="77777777" w:rsidR="00157AAA" w:rsidRDefault="006C1BE5">
            <w:pPr>
              <w:spacing w:before="120"/>
              <w:ind w:left="793" w:right="-72" w:hanging="793"/>
            </w:pPr>
            <w:r>
              <w:t>43.3</w:t>
            </w:r>
            <w:r>
              <w:tab/>
              <w:t>Notwithstanding any reference to the Adjudicator or arbitration in this clause,</w:t>
            </w:r>
          </w:p>
          <w:p w14:paraId="44FEB95B" w14:textId="77777777" w:rsidR="00157AAA" w:rsidRDefault="006C1BE5">
            <w:pPr>
              <w:spacing w:before="120"/>
              <w:ind w:left="1322" w:right="-72" w:hanging="547"/>
            </w:pPr>
            <w:r>
              <w:t>(a)</w:t>
            </w:r>
            <w:r>
              <w:tab/>
              <w:t xml:space="preserve">the parties shall continue to perform their respective obligations under the Contract unless they otherwise </w:t>
            </w:r>
            <w:proofErr w:type="gramStart"/>
            <w:r>
              <w:t>agree;</w:t>
            </w:r>
            <w:proofErr w:type="gramEnd"/>
          </w:p>
          <w:p w14:paraId="7B19A8AE" w14:textId="77777777" w:rsidR="00157AAA" w:rsidRDefault="006C1BE5">
            <w:pPr>
              <w:spacing w:before="120"/>
              <w:ind w:left="1322" w:right="-72" w:hanging="547"/>
            </w:pPr>
            <w:r>
              <w:t>(b)</w:t>
            </w:r>
            <w:r>
              <w:tab/>
              <w:t>the Purchaser shall pay the Supplier any monies due the Supplier.</w:t>
            </w:r>
          </w:p>
        </w:tc>
      </w:tr>
    </w:tbl>
    <w:p w14:paraId="321D27FC" w14:textId="77777777" w:rsidR="00157AAA" w:rsidRDefault="00157AAA">
      <w:bookmarkStart w:id="903" w:name="_Hlt495509834"/>
      <w:bookmarkStart w:id="904" w:name="_Ref324546679"/>
      <w:bookmarkStart w:id="905" w:name="_Toc352140249"/>
      <w:bookmarkStart w:id="906" w:name="_Toc521498742"/>
      <w:bookmarkStart w:id="907" w:name="_Toc215902366"/>
      <w:bookmarkEnd w:id="903"/>
    </w:p>
    <w:p w14:paraId="2393BC06" w14:textId="77777777" w:rsidR="00157AAA" w:rsidRDefault="006C1BE5">
      <w:pPr>
        <w:spacing w:after="0"/>
        <w:jc w:val="left"/>
        <w:rPr>
          <w:b/>
          <w:sz w:val="36"/>
          <w:szCs w:val="36"/>
        </w:rPr>
      </w:pPr>
      <w:r>
        <w:rPr>
          <w:b/>
          <w:sz w:val="36"/>
          <w:szCs w:val="36"/>
        </w:rPr>
        <w:br w:type="page" w:clear="all"/>
      </w:r>
    </w:p>
    <w:p w14:paraId="75A104F9" w14:textId="77777777" w:rsidR="00157AAA" w:rsidRDefault="006C1BE5">
      <w:pPr>
        <w:spacing w:after="0"/>
        <w:jc w:val="center"/>
        <w:rPr>
          <w:b/>
          <w:sz w:val="36"/>
          <w:szCs w:val="36"/>
        </w:rPr>
      </w:pPr>
      <w:r>
        <w:rPr>
          <w:b/>
          <w:sz w:val="36"/>
          <w:szCs w:val="36"/>
        </w:rPr>
        <w:lastRenderedPageBreak/>
        <w:t>APPENDIX 1</w:t>
      </w:r>
    </w:p>
    <w:p w14:paraId="3D48B9A5" w14:textId="77777777" w:rsidR="00157AAA" w:rsidRDefault="00157AAA">
      <w:pPr>
        <w:spacing w:after="0"/>
        <w:jc w:val="center"/>
        <w:rPr>
          <w:b/>
          <w:sz w:val="36"/>
          <w:szCs w:val="36"/>
        </w:rPr>
      </w:pPr>
    </w:p>
    <w:p w14:paraId="2A06CC14" w14:textId="77777777" w:rsidR="00157AAA" w:rsidRDefault="006C1BE5">
      <w:pPr>
        <w:spacing w:after="0"/>
        <w:jc w:val="center"/>
        <w:rPr>
          <w:b/>
          <w:sz w:val="28"/>
          <w:szCs w:val="28"/>
        </w:rPr>
      </w:pPr>
      <w:r>
        <w:rPr>
          <w:b/>
          <w:sz w:val="28"/>
          <w:szCs w:val="28"/>
        </w:rPr>
        <w:t xml:space="preserve">Fraud and Corruption </w:t>
      </w:r>
    </w:p>
    <w:p w14:paraId="61CFECA3" w14:textId="77777777" w:rsidR="00157AAA" w:rsidRDefault="006C1BE5">
      <w:pPr>
        <w:spacing w:after="0"/>
        <w:jc w:val="center"/>
        <w:rPr>
          <w:b/>
          <w:i/>
        </w:rPr>
      </w:pPr>
      <w:r>
        <w:rPr>
          <w:b/>
          <w:i/>
        </w:rPr>
        <w:t>(Text in this Appendix shall not be modified)</w:t>
      </w:r>
    </w:p>
    <w:p w14:paraId="00B60D19" w14:textId="77777777" w:rsidR="00157AAA" w:rsidRDefault="00157AAA">
      <w:pPr>
        <w:spacing w:after="0"/>
        <w:jc w:val="center"/>
        <w:rPr>
          <w:b/>
          <w:sz w:val="28"/>
          <w:szCs w:val="28"/>
        </w:rPr>
      </w:pPr>
    </w:p>
    <w:p w14:paraId="6321306D" w14:textId="77777777" w:rsidR="00157AAA" w:rsidRDefault="006C1BE5" w:rsidP="00D530D5">
      <w:pPr>
        <w:numPr>
          <w:ilvl w:val="0"/>
          <w:numId w:val="31"/>
        </w:numPr>
        <w:ind w:left="360"/>
        <w:rPr>
          <w:rFonts w:eastAsiaTheme="minorHAnsi"/>
          <w:b/>
          <w:szCs w:val="24"/>
        </w:rPr>
      </w:pPr>
      <w:r>
        <w:rPr>
          <w:rFonts w:eastAsiaTheme="minorHAnsi"/>
          <w:b/>
        </w:rPr>
        <w:t>Purpose</w:t>
      </w:r>
    </w:p>
    <w:p w14:paraId="0B4BB638" w14:textId="77777777" w:rsidR="00157AAA" w:rsidRDefault="006C1BE5" w:rsidP="00D530D5">
      <w:pPr>
        <w:pStyle w:val="ListParagraph"/>
        <w:numPr>
          <w:ilvl w:val="1"/>
          <w:numId w:val="31"/>
        </w:numPr>
        <w:ind w:left="360"/>
        <w:contextualSpacing w:val="0"/>
        <w:rPr>
          <w:rFonts w:eastAsiaTheme="minorHAnsi"/>
          <w:szCs w:val="24"/>
        </w:rPr>
      </w:pPr>
      <w:r>
        <w:rPr>
          <w:rFonts w:eastAsiaTheme="minorHAnsi"/>
          <w:szCs w:val="24"/>
        </w:rPr>
        <w:t>The Bank’s Anti-Corruption Guidelines and this annex apply with respect to procurement under Bank Investment Project Financing operations.</w:t>
      </w:r>
    </w:p>
    <w:p w14:paraId="729A4181" w14:textId="77777777" w:rsidR="00157AAA" w:rsidRDefault="006C1BE5" w:rsidP="00D530D5">
      <w:pPr>
        <w:numPr>
          <w:ilvl w:val="0"/>
          <w:numId w:val="31"/>
        </w:numPr>
        <w:ind w:left="360"/>
        <w:rPr>
          <w:rFonts w:eastAsiaTheme="minorHAnsi"/>
          <w:b/>
          <w:szCs w:val="24"/>
        </w:rPr>
      </w:pPr>
      <w:r>
        <w:rPr>
          <w:rFonts w:eastAsiaTheme="minorHAnsi"/>
          <w:b/>
        </w:rPr>
        <w:t>Requirements</w:t>
      </w:r>
    </w:p>
    <w:p w14:paraId="22CFF6CA" w14:textId="77777777" w:rsidR="00157AAA" w:rsidRDefault="006C1BE5" w:rsidP="00D530D5">
      <w:pPr>
        <w:pStyle w:val="ListParagraph"/>
        <w:numPr>
          <w:ilvl w:val="0"/>
          <w:numId w:val="32"/>
        </w:numPr>
        <w:contextualSpacing w:val="0"/>
        <w:rPr>
          <w:rFonts w:eastAsiaTheme="minorHAnsi"/>
          <w:szCs w:val="24"/>
        </w:rPr>
      </w:pPr>
      <w:r>
        <w:rPr>
          <w:rFonts w:eastAsiaTheme="minorHAnsi"/>
          <w:color w:val="000000"/>
          <w:szCs w:val="24"/>
        </w:rPr>
        <w:t xml:space="preserve">The Bank requires that Borrowers (including beneficiaries of Bank financing); bidders </w:t>
      </w:r>
      <w:r>
        <w:rPr>
          <w:rFonts w:eastAsiaTheme="minorHAnsi"/>
          <w:color w:val="000000"/>
        </w:rPr>
        <w:t>(applicants/proposers)</w:t>
      </w:r>
      <w:r>
        <w:rPr>
          <w:rFonts w:eastAsiaTheme="minorHAnsi"/>
          <w:color w:val="000000"/>
          <w:szCs w:val="24"/>
        </w:rPr>
        <w:t xml:space="preserve">, consultants, </w:t>
      </w:r>
      <w:proofErr w:type="gramStart"/>
      <w:r>
        <w:rPr>
          <w:rFonts w:eastAsiaTheme="minorHAnsi"/>
          <w:color w:val="000000"/>
          <w:szCs w:val="24"/>
        </w:rPr>
        <w:t>contractors</w:t>
      </w:r>
      <w:proofErr w:type="gramEnd"/>
      <w:r>
        <w:rPr>
          <w:rFonts w:eastAsiaTheme="minorHAnsi"/>
          <w:color w:val="000000"/>
          <w:szCs w:val="24"/>
        </w:rPr>
        <w:t xml:space="preserve">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1F3B5FDA" w14:textId="77777777" w:rsidR="00157AAA" w:rsidRDefault="006C1BE5" w:rsidP="00D530D5">
      <w:pPr>
        <w:pStyle w:val="ListParagraph"/>
        <w:numPr>
          <w:ilvl w:val="0"/>
          <w:numId w:val="32"/>
        </w:numPr>
        <w:contextualSpacing w:val="0"/>
        <w:rPr>
          <w:rFonts w:eastAsiaTheme="minorHAnsi"/>
          <w:szCs w:val="24"/>
        </w:rPr>
      </w:pPr>
      <w:r>
        <w:rPr>
          <w:rFonts w:eastAsiaTheme="minorHAnsi"/>
          <w:szCs w:val="24"/>
        </w:rPr>
        <w:t>To this end, the Bank:</w:t>
      </w:r>
    </w:p>
    <w:p w14:paraId="43D8F813" w14:textId="77777777" w:rsidR="00157AAA" w:rsidRDefault="006C1BE5" w:rsidP="00D530D5">
      <w:pPr>
        <w:numPr>
          <w:ilvl w:val="0"/>
          <w:numId w:val="33"/>
        </w:numPr>
        <w:rPr>
          <w:rFonts w:eastAsiaTheme="minorHAnsi"/>
          <w:color w:val="000000"/>
          <w:szCs w:val="24"/>
        </w:rPr>
      </w:pPr>
      <w:r>
        <w:rPr>
          <w:rFonts w:eastAsiaTheme="minorHAnsi"/>
          <w:color w:val="000000"/>
          <w:szCs w:val="24"/>
        </w:rPr>
        <w:t>Defines, for the purposes of this provision, the terms set forth below as follows:</w:t>
      </w:r>
    </w:p>
    <w:p w14:paraId="75B1CE7C" w14:textId="77777777" w:rsidR="00157AAA" w:rsidRDefault="006C1BE5" w:rsidP="00D530D5">
      <w:pPr>
        <w:numPr>
          <w:ilvl w:val="0"/>
          <w:numId w:val="34"/>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corrupt</w:t>
      </w:r>
      <w:proofErr w:type="gramEnd"/>
      <w:r>
        <w:rPr>
          <w:rFonts w:eastAsiaTheme="minorHAnsi"/>
          <w:color w:val="000000"/>
          <w:szCs w:val="24"/>
        </w:rPr>
        <w:t xml:space="preserve"> practice” is the offering, giving, receiving, or soliciting, directly or indirectly, of anything of value to influence improperly the actions of another party;</w:t>
      </w:r>
    </w:p>
    <w:p w14:paraId="414B663B" w14:textId="77777777" w:rsidR="00157AAA" w:rsidRDefault="006C1BE5" w:rsidP="00D530D5">
      <w:pPr>
        <w:numPr>
          <w:ilvl w:val="0"/>
          <w:numId w:val="34"/>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fraudulent</w:t>
      </w:r>
      <w:proofErr w:type="gramEnd"/>
      <w:r>
        <w:rPr>
          <w:rFonts w:eastAsiaTheme="minorHAnsi"/>
          <w:color w:val="000000"/>
          <w:szCs w:val="24"/>
        </w:rPr>
        <w:t xml:space="preserve"> practice” is any act or omission, including misrepresentation, that knowingly or recklessly misleads, or attempts to mislead, a party to obtain financial or other benefit or to avoid an obligation;</w:t>
      </w:r>
    </w:p>
    <w:p w14:paraId="049DB097" w14:textId="77777777" w:rsidR="00157AAA" w:rsidRDefault="006C1BE5" w:rsidP="00D530D5">
      <w:pPr>
        <w:numPr>
          <w:ilvl w:val="0"/>
          <w:numId w:val="34"/>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collusive</w:t>
      </w:r>
      <w:proofErr w:type="gramEnd"/>
      <w:r>
        <w:rPr>
          <w:rFonts w:eastAsiaTheme="minorHAnsi"/>
          <w:color w:val="000000"/>
          <w:szCs w:val="24"/>
        </w:rPr>
        <w:t xml:space="preserve"> practice” is an arrangement between two or more parties designed to achieve an improper purpose, including to influence improperly the actions of another party;</w:t>
      </w:r>
    </w:p>
    <w:p w14:paraId="308C4B73" w14:textId="77777777" w:rsidR="00157AAA" w:rsidRDefault="006C1BE5" w:rsidP="00D530D5">
      <w:pPr>
        <w:numPr>
          <w:ilvl w:val="0"/>
          <w:numId w:val="34"/>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coercive</w:t>
      </w:r>
      <w:proofErr w:type="gramEnd"/>
      <w:r>
        <w:rPr>
          <w:rFonts w:eastAsiaTheme="minorHAnsi"/>
          <w:color w:val="000000"/>
          <w:szCs w:val="24"/>
        </w:rPr>
        <w:t xml:space="preserve"> practice” is impairing or harming, or threatening to impair or harm, directly or indirectly, any party or the property of the party to influence improperly the actions of a party;</w:t>
      </w:r>
    </w:p>
    <w:p w14:paraId="11375645" w14:textId="77777777" w:rsidR="00157AAA" w:rsidRDefault="006C1BE5" w:rsidP="00D530D5">
      <w:pPr>
        <w:numPr>
          <w:ilvl w:val="0"/>
          <w:numId w:val="34"/>
        </w:numPr>
        <w:ind w:left="1170" w:hanging="180"/>
        <w:rPr>
          <w:rFonts w:eastAsiaTheme="minorHAnsi"/>
          <w:color w:val="000000"/>
          <w:szCs w:val="24"/>
        </w:rPr>
      </w:pPr>
      <w:r>
        <w:rPr>
          <w:rFonts w:eastAsiaTheme="minorHAnsi"/>
          <w:color w:val="000000"/>
          <w:szCs w:val="24"/>
        </w:rPr>
        <w:t>“</w:t>
      </w:r>
      <w:proofErr w:type="gramStart"/>
      <w:r>
        <w:rPr>
          <w:rFonts w:eastAsiaTheme="minorHAnsi"/>
          <w:color w:val="000000"/>
          <w:szCs w:val="24"/>
        </w:rPr>
        <w:t>obstructive</w:t>
      </w:r>
      <w:proofErr w:type="gramEnd"/>
      <w:r>
        <w:rPr>
          <w:rFonts w:eastAsiaTheme="minorHAnsi"/>
          <w:color w:val="000000"/>
          <w:szCs w:val="24"/>
        </w:rPr>
        <w:t xml:space="preserve"> practice” is:</w:t>
      </w:r>
    </w:p>
    <w:p w14:paraId="12F5403A" w14:textId="77777777" w:rsidR="00157AAA" w:rsidRDefault="006C1BE5" w:rsidP="00D530D5">
      <w:pPr>
        <w:numPr>
          <w:ilvl w:val="0"/>
          <w:numId w:val="35"/>
        </w:numPr>
        <w:rPr>
          <w:rFonts w:eastAsiaTheme="minorHAnsi"/>
          <w:color w:val="000000"/>
          <w:szCs w:val="24"/>
        </w:rPr>
      </w:pPr>
      <w:r>
        <w:rPr>
          <w:rFonts w:eastAsiaTheme="minorHAnsi"/>
          <w:color w:val="000000"/>
          <w:szCs w:val="24"/>
        </w:rPr>
        <w:t xml:space="preserve">deliberately destroying, falsifying, altering, or concealing of evidence material to the investigation or making false statements to investigators </w:t>
      </w:r>
      <w:proofErr w:type="gramStart"/>
      <w:r>
        <w:rPr>
          <w:rFonts w:eastAsiaTheme="minorHAnsi"/>
          <w:color w:val="000000"/>
          <w:szCs w:val="24"/>
        </w:rPr>
        <w:t>in order to</w:t>
      </w:r>
      <w:proofErr w:type="gramEnd"/>
      <w:r>
        <w:rPr>
          <w:rFonts w:eastAsiaTheme="minorHAnsi"/>
          <w:color w:val="000000"/>
          <w:szCs w:val="24"/>
        </w:rPr>
        <w:t xml:space="preserve">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65ADBC85" w14:textId="77777777" w:rsidR="00157AAA" w:rsidRDefault="006C1BE5" w:rsidP="00D530D5">
      <w:pPr>
        <w:numPr>
          <w:ilvl w:val="0"/>
          <w:numId w:val="35"/>
        </w:numPr>
        <w:rPr>
          <w:rFonts w:eastAsiaTheme="minorHAnsi"/>
          <w:color w:val="000000"/>
          <w:szCs w:val="24"/>
        </w:rPr>
      </w:pPr>
      <w:r>
        <w:rPr>
          <w:rFonts w:eastAsiaTheme="minorHAnsi"/>
          <w:color w:val="000000"/>
          <w:szCs w:val="24"/>
        </w:rPr>
        <w:t>acts intended to materially impede the exercise of the Bank’s inspection and audit rights provided for under paragraph 2.2 e. below.</w:t>
      </w:r>
    </w:p>
    <w:p w14:paraId="55263725" w14:textId="77777777" w:rsidR="00157AAA" w:rsidRDefault="006C1BE5" w:rsidP="00D530D5">
      <w:pPr>
        <w:numPr>
          <w:ilvl w:val="0"/>
          <w:numId w:val="33"/>
        </w:numPr>
        <w:rPr>
          <w:rFonts w:eastAsiaTheme="minorHAnsi"/>
          <w:color w:val="000000"/>
          <w:szCs w:val="24"/>
        </w:rPr>
      </w:pPr>
      <w:r>
        <w:rPr>
          <w:rFonts w:eastAsiaTheme="minorHAnsi"/>
          <w:color w:val="000000"/>
          <w:szCs w:val="24"/>
        </w:rPr>
        <w:lastRenderedPageBreak/>
        <w:t xml:space="preserve">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w:t>
      </w:r>
      <w:proofErr w:type="gramStart"/>
      <w:r>
        <w:rPr>
          <w:rFonts w:eastAsiaTheme="minorHAnsi"/>
          <w:color w:val="000000"/>
          <w:szCs w:val="24"/>
        </w:rPr>
        <w:t>question;</w:t>
      </w:r>
      <w:proofErr w:type="gramEnd"/>
    </w:p>
    <w:p w14:paraId="361E77CF" w14:textId="77777777" w:rsidR="00157AAA" w:rsidRDefault="006C1BE5" w:rsidP="00D530D5">
      <w:pPr>
        <w:numPr>
          <w:ilvl w:val="0"/>
          <w:numId w:val="33"/>
        </w:numPr>
        <w:rPr>
          <w:rFonts w:eastAsiaTheme="minorHAnsi"/>
          <w:szCs w:val="24"/>
        </w:rPr>
      </w:pPr>
      <w:r>
        <w:rPr>
          <w:rFonts w:eastAsiaTheme="minorHAnsi"/>
          <w:color w:val="000000"/>
          <w:szCs w:val="24"/>
        </w:rPr>
        <w:t xml:space="preserve">In addition to the legal remedies set out in the relevant Legal Agreement, may take other appropriate actions, including declaring </w:t>
      </w:r>
      <w:proofErr w:type="spellStart"/>
      <w:r>
        <w:rPr>
          <w:rFonts w:eastAsiaTheme="minorHAnsi"/>
          <w:color w:val="000000"/>
          <w:szCs w:val="24"/>
        </w:rPr>
        <w:t>misprocurement</w:t>
      </w:r>
      <w:proofErr w:type="spellEnd"/>
      <w:r>
        <w:rPr>
          <w:rFonts w:eastAsiaTheme="minorHAnsi"/>
          <w:color w:val="000000"/>
          <w:szCs w:val="24"/>
        </w:rPr>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49E71338" w14:textId="77777777" w:rsidR="00157AAA" w:rsidRDefault="006C1BE5" w:rsidP="00D530D5">
      <w:pPr>
        <w:numPr>
          <w:ilvl w:val="0"/>
          <w:numId w:val="33"/>
        </w:numPr>
        <w:rPr>
          <w:rFonts w:eastAsiaTheme="minorHAnsi"/>
          <w:color w:val="000000"/>
          <w:szCs w:val="24"/>
        </w:rPr>
      </w:pPr>
      <w:r>
        <w:rPr>
          <w:rFonts w:eastAsiaTheme="minorHAnsi"/>
          <w:color w:val="000000"/>
          <w:szCs w:val="24"/>
        </w:rPr>
        <w:t>Pursuant to the Bank’s Anti-Corruption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Pr>
          <w:rFonts w:eastAsiaTheme="minorHAnsi"/>
          <w:color w:val="000000"/>
          <w:szCs w:val="24"/>
        </w:rPr>
        <w:t>i</w:t>
      </w:r>
      <w:proofErr w:type="spellEnd"/>
      <w:r>
        <w:rPr>
          <w:rFonts w:eastAsiaTheme="minorHAnsi"/>
          <w:color w:val="000000"/>
          <w:szCs w:val="24"/>
        </w:rPr>
        <w:t>) to be awarded or otherwise benefit from a Bank-financed contract, financially or in any other manner;</w:t>
      </w:r>
      <w:r>
        <w:rPr>
          <w:rStyle w:val="FootnoteReference"/>
          <w:rFonts w:eastAsiaTheme="minorHAnsi"/>
          <w:color w:val="000000"/>
          <w:sz w:val="24"/>
          <w:szCs w:val="24"/>
        </w:rPr>
        <w:footnoteReference w:id="13"/>
      </w:r>
      <w:r>
        <w:rPr>
          <w:rFonts w:eastAsiaTheme="minorHAnsi"/>
          <w:color w:val="000000"/>
          <w:szCs w:val="24"/>
        </w:rPr>
        <w:t xml:space="preserve"> (ii) to be a nominated</w:t>
      </w:r>
      <w:r>
        <w:rPr>
          <w:rStyle w:val="FootnoteReference"/>
          <w:rFonts w:eastAsiaTheme="minorHAnsi"/>
          <w:color w:val="000000"/>
          <w:sz w:val="24"/>
          <w:szCs w:val="24"/>
        </w:rPr>
        <w:footnoteReference w:id="14"/>
      </w:r>
      <w:r>
        <w:rPr>
          <w:rFonts w:eastAsiaTheme="minorHAnsi"/>
          <w:color w:val="000000"/>
          <w:szCs w:val="24"/>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16260B59" w14:textId="77777777" w:rsidR="00157AAA" w:rsidRDefault="006C1BE5" w:rsidP="00D530D5">
      <w:pPr>
        <w:pStyle w:val="ListParagraph"/>
        <w:numPr>
          <w:ilvl w:val="0"/>
          <w:numId w:val="33"/>
        </w:numPr>
        <w:contextualSpacing w:val="0"/>
        <w:rPr>
          <w:rFonts w:eastAsiaTheme="minorHAnsi"/>
          <w:color w:val="000000"/>
          <w:szCs w:val="24"/>
        </w:rPr>
      </w:pPr>
      <w:r>
        <w:rPr>
          <w:rFonts w:eastAsiaTheme="minorHAnsi"/>
          <w:color w:val="000000"/>
          <w:szCs w:val="24"/>
        </w:rPr>
        <w:t>Requires that a clause be included in bidding/request for proposals documents and in contracts financed by a Bank loan, requiring (</w:t>
      </w:r>
      <w:proofErr w:type="spellStart"/>
      <w:r>
        <w:rPr>
          <w:rFonts w:eastAsiaTheme="minorHAnsi"/>
          <w:color w:val="000000"/>
          <w:szCs w:val="24"/>
        </w:rPr>
        <w:t>i</w:t>
      </w:r>
      <w:proofErr w:type="spellEnd"/>
      <w:r>
        <w:rPr>
          <w:rFonts w:eastAsiaTheme="minorHAnsi"/>
          <w:color w:val="000000"/>
          <w:szCs w:val="24"/>
        </w:rPr>
        <w:t xml:space="preserve">) bidders </w:t>
      </w:r>
      <w:r>
        <w:rPr>
          <w:rFonts w:eastAsiaTheme="minorHAnsi"/>
          <w:color w:val="000000"/>
        </w:rPr>
        <w:t>(applicants/proposers)</w:t>
      </w:r>
      <w:r>
        <w:rPr>
          <w:rFonts w:eastAsiaTheme="minorHAnsi"/>
          <w:color w:val="000000"/>
          <w:szCs w:val="24"/>
        </w:rPr>
        <w:t>, consultants, contractors, and suppliers, and their sub-contractors, sub-consultants, service providers, suppliers, agents personnel, permit the Bank to inspect</w:t>
      </w:r>
      <w:r>
        <w:rPr>
          <w:rStyle w:val="FootnoteReference"/>
          <w:rFonts w:eastAsiaTheme="minorHAnsi"/>
          <w:color w:val="000000"/>
          <w:sz w:val="24"/>
          <w:szCs w:val="24"/>
        </w:rPr>
        <w:footnoteReference w:id="15"/>
      </w:r>
      <w:r>
        <w:rPr>
          <w:rFonts w:eastAsiaTheme="minorHAnsi"/>
          <w:color w:val="000000"/>
          <w:szCs w:val="24"/>
        </w:rPr>
        <w:t xml:space="preserve"> all accounts, </w:t>
      </w:r>
      <w:r>
        <w:rPr>
          <w:rFonts w:eastAsiaTheme="minorHAnsi"/>
          <w:color w:val="000000"/>
          <w:szCs w:val="24"/>
        </w:rPr>
        <w:lastRenderedPageBreak/>
        <w:t xml:space="preserve">records and other documents relating to the </w:t>
      </w:r>
      <w:r>
        <w:rPr>
          <w:rFonts w:eastAsiaTheme="minorHAnsi"/>
          <w:color w:val="000000"/>
        </w:rPr>
        <w:t>procurement process, selection and/or contract execution</w:t>
      </w:r>
      <w:r>
        <w:rPr>
          <w:rFonts w:eastAsiaTheme="minorHAnsi"/>
          <w:color w:val="000000"/>
          <w:szCs w:val="24"/>
        </w:rPr>
        <w:t>, and to have them audited by auditors appointed by the Bank.</w:t>
      </w:r>
    </w:p>
    <w:p w14:paraId="7FE09FC6" w14:textId="77777777" w:rsidR="00157AAA" w:rsidRDefault="00157AAA">
      <w:pPr>
        <w:rPr>
          <w:rFonts w:eastAsiaTheme="minorHAnsi"/>
          <w:color w:val="000000"/>
          <w:szCs w:val="24"/>
        </w:rPr>
      </w:pPr>
    </w:p>
    <w:p w14:paraId="675E652A" w14:textId="77777777" w:rsidR="00157AAA" w:rsidRDefault="006C1BE5">
      <w:pPr>
        <w:rPr>
          <w:rFonts w:eastAsiaTheme="minorHAnsi"/>
          <w:color w:val="000000"/>
          <w:szCs w:val="24"/>
        </w:rPr>
      </w:pPr>
      <w:r>
        <w:rPr>
          <w:rFonts w:eastAsiaTheme="minorHAnsi"/>
          <w:color w:val="000000"/>
          <w:szCs w:val="24"/>
        </w:rPr>
        <w:br w:type="page" w:clear="all"/>
      </w:r>
    </w:p>
    <w:p w14:paraId="2B5BEE60" w14:textId="77777777" w:rsidR="00157AAA" w:rsidRDefault="00157AAA">
      <w:pPr>
        <w:rPr>
          <w:rFonts w:eastAsiaTheme="minorHAnsi"/>
          <w:color w:val="000000"/>
          <w:szCs w:val="24"/>
        </w:rPr>
      </w:pPr>
    </w:p>
    <w:p w14:paraId="00D4A4DB" w14:textId="77777777" w:rsidR="00157AAA" w:rsidRDefault="006C1BE5">
      <w:pPr>
        <w:spacing w:after="0"/>
        <w:jc w:val="center"/>
        <w:rPr>
          <w:b/>
          <w:sz w:val="36"/>
          <w:szCs w:val="36"/>
        </w:rPr>
      </w:pPr>
      <w:bookmarkStart w:id="908" w:name="_Hlk31715280"/>
      <w:bookmarkStart w:id="909" w:name="_Hlk54535042"/>
      <w:r>
        <w:rPr>
          <w:b/>
          <w:sz w:val="36"/>
          <w:szCs w:val="36"/>
        </w:rPr>
        <w:t xml:space="preserve">APPENDIX 2 </w:t>
      </w:r>
    </w:p>
    <w:p w14:paraId="78C52013" w14:textId="77777777" w:rsidR="00157AAA" w:rsidRDefault="006C1BE5">
      <w:pPr>
        <w:spacing w:after="0"/>
        <w:jc w:val="center"/>
        <w:rPr>
          <w:b/>
          <w:sz w:val="28"/>
          <w:szCs w:val="28"/>
        </w:rPr>
      </w:pPr>
      <w:r>
        <w:rPr>
          <w:b/>
          <w:sz w:val="28"/>
          <w:szCs w:val="28"/>
        </w:rPr>
        <w:t>Sexual Exploitation and Abuse (SEA) and/or Sexual Harassment (SH) Performance Declaration for Subcontractors</w:t>
      </w:r>
      <w:bookmarkEnd w:id="908"/>
    </w:p>
    <w:p w14:paraId="3D6C73C9" w14:textId="77777777" w:rsidR="00157AAA" w:rsidRDefault="00157AAA">
      <w:pPr>
        <w:spacing w:before="120" w:line="264" w:lineRule="exact"/>
        <w:contextualSpacing/>
        <w:rPr>
          <w:bCs/>
          <w:i/>
          <w:spacing w:val="6"/>
          <w:sz w:val="22"/>
          <w:szCs w:val="22"/>
        </w:rPr>
      </w:pPr>
    </w:p>
    <w:p w14:paraId="04A2C735" w14:textId="77777777" w:rsidR="00157AAA" w:rsidRDefault="006C1BE5">
      <w:pPr>
        <w:spacing w:before="120" w:line="264" w:lineRule="exact"/>
        <w:contextualSpacing/>
        <w:rPr>
          <w:i/>
          <w:iCs/>
          <w:spacing w:val="-6"/>
          <w:sz w:val="22"/>
          <w:szCs w:val="22"/>
        </w:rPr>
      </w:pPr>
      <w:r>
        <w:rPr>
          <w:bCs/>
          <w:i/>
          <w:spacing w:val="6"/>
          <w:sz w:val="22"/>
          <w:szCs w:val="22"/>
        </w:rPr>
        <w:t>[</w:t>
      </w:r>
      <w:r>
        <w:rPr>
          <w:i/>
          <w:iCs/>
          <w:spacing w:val="-6"/>
          <w:sz w:val="22"/>
          <w:szCs w:val="22"/>
        </w:rPr>
        <w:t>The following table shall be filled in by each subcontractor proposed by the Supplier, that was not named in the Contract]</w:t>
      </w:r>
    </w:p>
    <w:p w14:paraId="73C0DFEB" w14:textId="77777777" w:rsidR="00157AAA" w:rsidRDefault="006C1BE5">
      <w:pPr>
        <w:spacing w:before="120" w:line="264" w:lineRule="exact"/>
        <w:jc w:val="right"/>
        <w:rPr>
          <w:i/>
          <w:iCs/>
          <w:spacing w:val="-6"/>
          <w:sz w:val="22"/>
          <w:szCs w:val="22"/>
        </w:rPr>
      </w:pPr>
      <w:r>
        <w:rPr>
          <w:spacing w:val="-4"/>
          <w:sz w:val="22"/>
          <w:szCs w:val="22"/>
        </w:rPr>
        <w:t xml:space="preserve">Subcontractor’s Name: </w:t>
      </w:r>
      <w:r>
        <w:rPr>
          <w:i/>
          <w:iCs/>
          <w:spacing w:val="-6"/>
          <w:sz w:val="22"/>
          <w:szCs w:val="22"/>
        </w:rPr>
        <w:t>[insert full name]</w:t>
      </w:r>
    </w:p>
    <w:p w14:paraId="495B25E5" w14:textId="77777777" w:rsidR="00157AAA" w:rsidRDefault="006C1BE5">
      <w:pPr>
        <w:spacing w:before="120" w:line="264" w:lineRule="exact"/>
        <w:jc w:val="right"/>
        <w:rPr>
          <w:spacing w:val="-4"/>
          <w:sz w:val="22"/>
          <w:szCs w:val="22"/>
        </w:rPr>
      </w:pPr>
      <w:r>
        <w:rPr>
          <w:spacing w:val="-4"/>
          <w:sz w:val="22"/>
          <w:szCs w:val="22"/>
        </w:rPr>
        <w:t xml:space="preserve">Date: </w:t>
      </w:r>
      <w:r>
        <w:rPr>
          <w:i/>
          <w:iCs/>
          <w:spacing w:val="-6"/>
          <w:sz w:val="22"/>
          <w:szCs w:val="22"/>
        </w:rPr>
        <w:t>[insert day, month, year]</w:t>
      </w:r>
      <w:r>
        <w:rPr>
          <w:i/>
          <w:iCs/>
          <w:spacing w:val="-6"/>
          <w:sz w:val="22"/>
          <w:szCs w:val="22"/>
        </w:rPr>
        <w:br/>
      </w:r>
      <w:r>
        <w:rPr>
          <w:spacing w:val="-4"/>
          <w:sz w:val="22"/>
          <w:szCs w:val="22"/>
        </w:rPr>
        <w:t xml:space="preserve">Contract reference </w:t>
      </w:r>
      <w:r>
        <w:rPr>
          <w:i/>
          <w:iCs/>
          <w:spacing w:val="-6"/>
          <w:sz w:val="22"/>
          <w:szCs w:val="22"/>
        </w:rPr>
        <w:t>[insert contract reference]</w:t>
      </w:r>
      <w:r>
        <w:rPr>
          <w:i/>
          <w:iCs/>
          <w:spacing w:val="-6"/>
          <w:sz w:val="22"/>
          <w:szCs w:val="22"/>
        </w:rPr>
        <w:br/>
      </w:r>
      <w:r>
        <w:rPr>
          <w:spacing w:val="-4"/>
          <w:sz w:val="22"/>
          <w:szCs w:val="22"/>
        </w:rPr>
        <w:t xml:space="preserve">Page </w:t>
      </w:r>
      <w:r>
        <w:rPr>
          <w:i/>
          <w:iCs/>
          <w:spacing w:val="-6"/>
          <w:sz w:val="22"/>
          <w:szCs w:val="22"/>
        </w:rPr>
        <w:t xml:space="preserve">[insert page number] </w:t>
      </w:r>
      <w:r>
        <w:rPr>
          <w:spacing w:val="-4"/>
          <w:sz w:val="22"/>
          <w:szCs w:val="22"/>
        </w:rPr>
        <w:t xml:space="preserve">of </w:t>
      </w:r>
      <w:r>
        <w:rPr>
          <w:i/>
          <w:iCs/>
          <w:spacing w:val="-6"/>
          <w:sz w:val="22"/>
          <w:szCs w:val="22"/>
        </w:rPr>
        <w:t xml:space="preserve">[insert total number] </w:t>
      </w:r>
      <w:r>
        <w:rPr>
          <w:spacing w:val="-4"/>
          <w:sz w:val="22"/>
          <w:szCs w:val="22"/>
        </w:rPr>
        <w:t>pages</w:t>
      </w:r>
    </w:p>
    <w:tbl>
      <w:tblPr>
        <w:tblW w:w="9389" w:type="dxa"/>
        <w:tblInd w:w="3" w:type="dxa"/>
        <w:tblLayout w:type="fixed"/>
        <w:tblCellMar>
          <w:left w:w="0" w:type="dxa"/>
          <w:right w:w="0" w:type="dxa"/>
        </w:tblCellMar>
        <w:tblLook w:val="0000" w:firstRow="0" w:lastRow="0" w:firstColumn="0" w:lastColumn="0" w:noHBand="0" w:noVBand="0"/>
      </w:tblPr>
      <w:tblGrid>
        <w:gridCol w:w="9389"/>
      </w:tblGrid>
      <w:tr w:rsidR="00157AAA" w14:paraId="7779C756" w14:textId="77777777">
        <w:tc>
          <w:tcPr>
            <w:tcW w:w="9389" w:type="dxa"/>
            <w:tcBorders>
              <w:top w:val="single" w:sz="2" w:space="0" w:color="auto"/>
              <w:left w:val="single" w:sz="2" w:space="0" w:color="auto"/>
              <w:bottom w:val="single" w:sz="2" w:space="0" w:color="auto"/>
              <w:right w:val="single" w:sz="2" w:space="0" w:color="auto"/>
            </w:tcBorders>
          </w:tcPr>
          <w:p w14:paraId="48C98ED8" w14:textId="77777777" w:rsidR="00157AAA" w:rsidRDefault="006C1BE5">
            <w:pPr>
              <w:spacing w:before="120"/>
              <w:jc w:val="center"/>
              <w:rPr>
                <w:b/>
                <w:spacing w:val="-4"/>
                <w:sz w:val="22"/>
                <w:szCs w:val="22"/>
              </w:rPr>
            </w:pPr>
            <w:r>
              <w:rPr>
                <w:b/>
                <w:spacing w:val="-4"/>
                <w:sz w:val="22"/>
                <w:szCs w:val="22"/>
              </w:rPr>
              <w:t xml:space="preserve">SEA and/or SH Declaration </w:t>
            </w:r>
          </w:p>
        </w:tc>
      </w:tr>
      <w:tr w:rsidR="00157AAA" w14:paraId="6B79FA0B" w14:textId="77777777">
        <w:tc>
          <w:tcPr>
            <w:tcW w:w="9389" w:type="dxa"/>
            <w:tcBorders>
              <w:top w:val="single" w:sz="2" w:space="0" w:color="auto"/>
              <w:left w:val="single" w:sz="2" w:space="0" w:color="auto"/>
              <w:bottom w:val="single" w:sz="2" w:space="0" w:color="auto"/>
              <w:right w:val="single" w:sz="2" w:space="0" w:color="auto"/>
            </w:tcBorders>
          </w:tcPr>
          <w:p w14:paraId="15E12A67" w14:textId="77777777" w:rsidR="00157AAA" w:rsidRDefault="006C1BE5">
            <w:pPr>
              <w:spacing w:before="120"/>
              <w:ind w:left="892" w:hanging="826"/>
              <w:rPr>
                <w:spacing w:val="-4"/>
                <w:sz w:val="22"/>
                <w:szCs w:val="22"/>
              </w:rPr>
            </w:pPr>
            <w:r>
              <w:rPr>
                <w:spacing w:val="-4"/>
                <w:sz w:val="22"/>
                <w:szCs w:val="22"/>
              </w:rPr>
              <w:t>We:</w:t>
            </w:r>
          </w:p>
          <w:p w14:paraId="7A246424" w14:textId="77777777" w:rsidR="00157AAA" w:rsidRDefault="006C1BE5">
            <w:pPr>
              <w:spacing w:before="120"/>
              <w:ind w:left="892" w:hanging="826"/>
              <w:rPr>
                <w:rFonts w:eastAsia="MS Mincho"/>
                <w:spacing w:val="-2"/>
                <w:sz w:val="22"/>
                <w:szCs w:val="22"/>
              </w:rPr>
            </w:pPr>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a) have not been subject to disqualification by the Bank for non-compliance with SEA/ SH obligations.</w:t>
            </w:r>
          </w:p>
          <w:p w14:paraId="6122B828" w14:textId="77777777" w:rsidR="00157AAA" w:rsidRDefault="006C1BE5">
            <w:pPr>
              <w:spacing w:before="120"/>
              <w:ind w:left="892" w:hanging="826"/>
              <w:rPr>
                <w:spacing w:val="-6"/>
                <w:sz w:val="22"/>
                <w:szCs w:val="22"/>
              </w:rPr>
            </w:pPr>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b) are subject to disqualification by the Bank for non-compliance with SEA/ SH obligations.</w:t>
            </w:r>
          </w:p>
          <w:p w14:paraId="0BFFB2C5" w14:textId="77777777" w:rsidR="00157AAA" w:rsidRDefault="006C1BE5">
            <w:pPr>
              <w:tabs>
                <w:tab w:val="left" w:pos="712"/>
              </w:tabs>
              <w:spacing w:before="120"/>
              <w:rPr>
                <w:color w:val="000000" w:themeColor="text1"/>
                <w:sz w:val="22"/>
                <w:szCs w:val="22"/>
              </w:rPr>
            </w:pPr>
            <w:proofErr w:type="gramStart"/>
            <w:r>
              <w:rPr>
                <w:rFonts w:ascii="Wingdings" w:eastAsia="Wingdings" w:hAnsi="Wingdings" w:cs="Wingdings"/>
                <w:spacing w:val="-2"/>
                <w:sz w:val="22"/>
                <w:szCs w:val="22"/>
              </w:rPr>
              <w:t></w:t>
            </w:r>
            <w:r>
              <w:rPr>
                <w:rFonts w:eastAsia="MS Mincho"/>
                <w:spacing w:val="-2"/>
                <w:sz w:val="22"/>
                <w:szCs w:val="22"/>
              </w:rPr>
              <w:t xml:space="preserve">  (</w:t>
            </w:r>
            <w:proofErr w:type="gramEnd"/>
            <w:r>
              <w:rPr>
                <w:rFonts w:eastAsia="MS Mincho"/>
                <w:spacing w:val="-2"/>
                <w:sz w:val="22"/>
                <w:szCs w:val="22"/>
              </w:rPr>
              <w:t>c) had been subject to disqualification by the Bank for non-compliance with SEA/ SH obligations, and were removed from the disqualification</w:t>
            </w:r>
            <w:r>
              <w:rPr>
                <w:color w:val="000000" w:themeColor="text1"/>
                <w:szCs w:val="24"/>
              </w:rPr>
              <w:t xml:space="preserve"> list</w:t>
            </w:r>
            <w:r>
              <w:rPr>
                <w:color w:val="000000" w:themeColor="text1"/>
                <w:sz w:val="22"/>
                <w:szCs w:val="22"/>
              </w:rPr>
              <w:t xml:space="preserve">. An arbitral award on the disqualification case has been made in our favor. </w:t>
            </w:r>
          </w:p>
        </w:tc>
      </w:tr>
      <w:tr w:rsidR="00157AAA" w14:paraId="0FCCEC06" w14:textId="77777777">
        <w:tc>
          <w:tcPr>
            <w:tcW w:w="9389" w:type="dxa"/>
            <w:tcBorders>
              <w:top w:val="single" w:sz="2" w:space="0" w:color="auto"/>
              <w:left w:val="single" w:sz="2" w:space="0" w:color="auto"/>
              <w:bottom w:val="single" w:sz="2" w:space="0" w:color="auto"/>
              <w:right w:val="single" w:sz="2" w:space="0" w:color="auto"/>
            </w:tcBorders>
          </w:tcPr>
          <w:p w14:paraId="417A66F7" w14:textId="77777777" w:rsidR="00157AAA" w:rsidRDefault="006C1BE5">
            <w:pPr>
              <w:spacing w:before="120"/>
              <w:ind w:left="82"/>
              <w:rPr>
                <w:b/>
                <w:bCs/>
                <w:sz w:val="22"/>
                <w:szCs w:val="22"/>
              </w:rPr>
            </w:pPr>
            <w:r>
              <w:rPr>
                <w:b/>
                <w:bCs/>
                <w:color w:val="000000" w:themeColor="text1"/>
                <w:sz w:val="22"/>
                <w:szCs w:val="22"/>
              </w:rPr>
              <w:t>[</w:t>
            </w:r>
            <w:r>
              <w:rPr>
                <w:b/>
                <w:bCs/>
                <w:i/>
                <w:iCs/>
                <w:sz w:val="22"/>
                <w:szCs w:val="22"/>
              </w:rPr>
              <w:t>If (c) above is applicable</w:t>
            </w:r>
            <w:r>
              <w:rPr>
                <w:b/>
                <w:bCs/>
                <w:sz w:val="22"/>
                <w:szCs w:val="22"/>
              </w:rPr>
              <w:t xml:space="preserve">, </w:t>
            </w:r>
            <w:r>
              <w:rPr>
                <w:b/>
                <w:bCs/>
                <w:i/>
                <w:iCs/>
                <w:sz w:val="22"/>
                <w:szCs w:val="22"/>
              </w:rPr>
              <w:t>attach evidence of an arbitral award reversing the findings on the issues underlying the disqualification.]</w:t>
            </w:r>
          </w:p>
        </w:tc>
      </w:tr>
      <w:tr w:rsidR="00157AAA" w14:paraId="3938C7DA" w14:textId="77777777">
        <w:tc>
          <w:tcPr>
            <w:tcW w:w="9389" w:type="dxa"/>
            <w:tcBorders>
              <w:top w:val="single" w:sz="2" w:space="0" w:color="auto"/>
              <w:left w:val="single" w:sz="2" w:space="0" w:color="auto"/>
              <w:bottom w:val="single" w:sz="2" w:space="0" w:color="auto"/>
              <w:right w:val="single" w:sz="2" w:space="0" w:color="auto"/>
            </w:tcBorders>
          </w:tcPr>
          <w:p w14:paraId="438750EF" w14:textId="77777777" w:rsidR="00157AAA" w:rsidRDefault="00157AAA">
            <w:pPr>
              <w:spacing w:before="120"/>
              <w:jc w:val="center"/>
              <w:rPr>
                <w:sz w:val="22"/>
                <w:szCs w:val="22"/>
              </w:rPr>
            </w:pPr>
          </w:p>
        </w:tc>
      </w:tr>
      <w:tr w:rsidR="00157AAA" w14:paraId="0C6D6B1C" w14:textId="77777777">
        <w:trPr>
          <w:trHeight w:val="643"/>
        </w:trPr>
        <w:tc>
          <w:tcPr>
            <w:tcW w:w="9389" w:type="dxa"/>
            <w:tcBorders>
              <w:top w:val="single" w:sz="2" w:space="0" w:color="auto"/>
              <w:left w:val="single" w:sz="2" w:space="0" w:color="auto"/>
              <w:bottom w:val="single" w:sz="2" w:space="0" w:color="auto"/>
              <w:right w:val="single" w:sz="2" w:space="0" w:color="auto"/>
            </w:tcBorders>
          </w:tcPr>
          <w:p w14:paraId="5257C6AB" w14:textId="77777777" w:rsidR="00157AAA" w:rsidRDefault="006C1BE5">
            <w:pPr>
              <w:spacing w:before="120"/>
              <w:ind w:left="82"/>
              <w:rPr>
                <w:sz w:val="22"/>
                <w:szCs w:val="22"/>
              </w:rPr>
            </w:pPr>
            <w:r>
              <w:rPr>
                <w:sz w:val="22"/>
                <w:szCs w:val="22"/>
              </w:rPr>
              <w:t>Period of disqualification: From: _______________ To: ________________</w:t>
            </w:r>
          </w:p>
        </w:tc>
      </w:tr>
    </w:tbl>
    <w:p w14:paraId="5CB2D49B" w14:textId="77777777" w:rsidR="00157AAA" w:rsidRDefault="006C1BE5">
      <w:pPr>
        <w:tabs>
          <w:tab w:val="left" w:pos="6120"/>
        </w:tabs>
        <w:spacing w:before="240"/>
        <w:rPr>
          <w:iCs/>
          <w:color w:val="000000" w:themeColor="text1"/>
          <w:szCs w:val="24"/>
        </w:rPr>
      </w:pPr>
      <w:r>
        <w:rPr>
          <w:iCs/>
          <w:color w:val="000000" w:themeColor="text1"/>
          <w:szCs w:val="24"/>
        </w:rPr>
        <w:t>Name of the Subcontractor</w:t>
      </w:r>
      <w:r>
        <w:rPr>
          <w:iCs/>
          <w:color w:val="000000" w:themeColor="text1"/>
          <w:szCs w:val="24"/>
          <w:u w:val="single"/>
        </w:rPr>
        <w:tab/>
      </w:r>
    </w:p>
    <w:p w14:paraId="53932A6E" w14:textId="77777777" w:rsidR="00157AAA" w:rsidRDefault="006C1BE5">
      <w:pPr>
        <w:tabs>
          <w:tab w:val="left" w:pos="6120"/>
        </w:tabs>
        <w:spacing w:before="240"/>
        <w:rPr>
          <w:iCs/>
          <w:color w:val="000000" w:themeColor="text1"/>
          <w:szCs w:val="24"/>
          <w:u w:val="single"/>
        </w:rPr>
      </w:pPr>
      <w:r>
        <w:rPr>
          <w:iCs/>
          <w:color w:val="000000" w:themeColor="text1"/>
          <w:szCs w:val="24"/>
        </w:rPr>
        <w:t>Name of the person duly authorized to sign on behalf of the Subcontractor</w:t>
      </w:r>
      <w:r>
        <w:rPr>
          <w:iCs/>
          <w:color w:val="000000" w:themeColor="text1"/>
          <w:szCs w:val="24"/>
          <w:u w:val="single"/>
        </w:rPr>
        <w:tab/>
        <w:t>_______</w:t>
      </w:r>
    </w:p>
    <w:p w14:paraId="4FCF9BEC" w14:textId="77777777" w:rsidR="00157AAA" w:rsidRDefault="006C1BE5">
      <w:pPr>
        <w:tabs>
          <w:tab w:val="left" w:pos="6120"/>
        </w:tabs>
        <w:spacing w:before="240"/>
        <w:rPr>
          <w:iCs/>
          <w:color w:val="000000" w:themeColor="text1"/>
          <w:szCs w:val="24"/>
        </w:rPr>
      </w:pPr>
      <w:r>
        <w:rPr>
          <w:iCs/>
          <w:color w:val="000000" w:themeColor="text1"/>
          <w:szCs w:val="24"/>
        </w:rPr>
        <w:t>Title of the person signing on behalf of the Subcontractor</w:t>
      </w:r>
      <w:r>
        <w:rPr>
          <w:iCs/>
          <w:color w:val="000000" w:themeColor="text1"/>
          <w:szCs w:val="24"/>
          <w:u w:val="single"/>
        </w:rPr>
        <w:tab/>
        <w:t>______________________</w:t>
      </w:r>
    </w:p>
    <w:p w14:paraId="6A9D7E08" w14:textId="77777777" w:rsidR="00157AAA" w:rsidRDefault="006C1BE5">
      <w:pPr>
        <w:tabs>
          <w:tab w:val="left" w:pos="6120"/>
        </w:tabs>
        <w:spacing w:before="240"/>
        <w:rPr>
          <w:iCs/>
          <w:color w:val="000000" w:themeColor="text1"/>
          <w:szCs w:val="24"/>
        </w:rPr>
      </w:pPr>
      <w:r>
        <w:rPr>
          <w:iCs/>
          <w:color w:val="000000" w:themeColor="text1"/>
          <w:szCs w:val="24"/>
        </w:rPr>
        <w:t>Signature of the person named above</w:t>
      </w:r>
      <w:r>
        <w:rPr>
          <w:iCs/>
          <w:color w:val="000000" w:themeColor="text1"/>
          <w:szCs w:val="24"/>
          <w:u w:val="single"/>
        </w:rPr>
        <w:tab/>
        <w:t>______________________</w:t>
      </w:r>
    </w:p>
    <w:p w14:paraId="36F8D5D1" w14:textId="77777777" w:rsidR="00157AAA" w:rsidRDefault="006C1BE5">
      <w:pPr>
        <w:tabs>
          <w:tab w:val="left" w:pos="6120"/>
        </w:tabs>
        <w:spacing w:before="240" w:after="240"/>
        <w:rPr>
          <w:iCs/>
          <w:color w:val="000000" w:themeColor="text1"/>
          <w:szCs w:val="24"/>
        </w:rPr>
      </w:pPr>
      <w:r>
        <w:rPr>
          <w:iCs/>
          <w:color w:val="000000" w:themeColor="text1"/>
          <w:szCs w:val="24"/>
        </w:rPr>
        <w:t>Date signed ________________________________ day of ___________________, _____</w:t>
      </w:r>
    </w:p>
    <w:p w14:paraId="032F95C3" w14:textId="77777777" w:rsidR="00157AAA" w:rsidRDefault="006C1BE5">
      <w:pPr>
        <w:rPr>
          <w:iCs/>
          <w:color w:val="000000" w:themeColor="text1"/>
          <w:szCs w:val="24"/>
        </w:rPr>
      </w:pPr>
      <w:r>
        <w:rPr>
          <w:iCs/>
          <w:color w:val="000000" w:themeColor="text1"/>
          <w:szCs w:val="24"/>
        </w:rPr>
        <w:t>Countersignature of authorized representative of the Supplier:</w:t>
      </w:r>
    </w:p>
    <w:p w14:paraId="5390FD5B" w14:textId="77777777" w:rsidR="00157AAA" w:rsidRDefault="006C1BE5">
      <w:pPr>
        <w:rPr>
          <w:iCs/>
          <w:color w:val="000000" w:themeColor="text1"/>
          <w:szCs w:val="24"/>
        </w:rPr>
      </w:pPr>
      <w:r>
        <w:rPr>
          <w:iCs/>
          <w:color w:val="000000" w:themeColor="text1"/>
          <w:szCs w:val="24"/>
        </w:rPr>
        <w:t>Signature: ________________________________________________________</w:t>
      </w:r>
    </w:p>
    <w:p w14:paraId="7C5469A5" w14:textId="77777777" w:rsidR="00157AAA" w:rsidRDefault="006C1BE5">
      <w:pPr>
        <w:tabs>
          <w:tab w:val="left" w:pos="6120"/>
        </w:tabs>
        <w:spacing w:before="240" w:after="240"/>
        <w:rPr>
          <w:rFonts w:eastAsiaTheme="minorHAnsi"/>
          <w:color w:val="000000"/>
          <w:szCs w:val="24"/>
        </w:rPr>
      </w:pPr>
      <w:r>
        <w:rPr>
          <w:iCs/>
          <w:color w:val="000000" w:themeColor="text1"/>
          <w:szCs w:val="24"/>
        </w:rPr>
        <w:t>Date signed ________________________________ day of ___________________, _____</w:t>
      </w:r>
      <w:bookmarkEnd w:id="909"/>
    </w:p>
    <w:p w14:paraId="4D65CAC3" w14:textId="77777777" w:rsidR="00157AAA" w:rsidRDefault="00157AAA">
      <w:pPr>
        <w:rPr>
          <w:rFonts w:eastAsiaTheme="minorHAnsi"/>
          <w:color w:val="000000"/>
          <w:szCs w:val="24"/>
        </w:rPr>
      </w:pPr>
    </w:p>
    <w:p w14:paraId="6CA6FBC0" w14:textId="77777777" w:rsidR="00157AAA" w:rsidRDefault="00157AAA">
      <w:pPr>
        <w:pStyle w:val="ClauseSubList"/>
        <w:tabs>
          <w:tab w:val="clear" w:pos="3987"/>
        </w:tabs>
        <w:spacing w:after="200"/>
        <w:ind w:left="2160" w:hanging="720"/>
        <w:jc w:val="both"/>
        <w:rPr>
          <w:sz w:val="24"/>
          <w:szCs w:val="24"/>
        </w:rPr>
        <w:sectPr w:rsidR="00157AAA" w:rsidSect="00734667">
          <w:headerReference w:type="even" r:id="rId149"/>
          <w:headerReference w:type="default" r:id="rId150"/>
          <w:footnotePr>
            <w:numRestart w:val="eachSect"/>
          </w:footnotePr>
          <w:pgSz w:w="12240" w:h="15840"/>
          <w:pgMar w:top="1440" w:right="1800" w:bottom="1440" w:left="1440" w:header="720" w:footer="720" w:gutter="0"/>
          <w:cols w:space="720"/>
          <w:docGrid w:linePitch="360"/>
        </w:sectPr>
      </w:pPr>
    </w:p>
    <w:p w14:paraId="5D14EBA9" w14:textId="77777777" w:rsidR="00157AAA" w:rsidRDefault="006C1BE5">
      <w:pPr>
        <w:pStyle w:val="Head02"/>
        <w:rPr>
          <w:rFonts w:ascii="Times New Roman" w:hAnsi="Times New Roman"/>
        </w:rPr>
      </w:pPr>
      <w:bookmarkStart w:id="910" w:name="_Toc73977457"/>
      <w:bookmarkStart w:id="911" w:name="_Toc445567399"/>
      <w:r>
        <w:rPr>
          <w:rFonts w:ascii="Times New Roman" w:hAnsi="Times New Roman"/>
        </w:rPr>
        <w:lastRenderedPageBreak/>
        <w:t>Section IX - Special Conditions of Contract</w:t>
      </w:r>
      <w:bookmarkEnd w:id="904"/>
      <w:bookmarkEnd w:id="905"/>
      <w:bookmarkEnd w:id="910"/>
      <w:r>
        <w:rPr>
          <w:rFonts w:ascii="Times New Roman" w:hAnsi="Times New Roman"/>
        </w:rPr>
        <w:t xml:space="preserve"> </w:t>
      </w:r>
      <w:bookmarkEnd w:id="906"/>
      <w:bookmarkEnd w:id="907"/>
      <w:bookmarkEnd w:id="911"/>
    </w:p>
    <w:p w14:paraId="06A1966D" w14:textId="77777777" w:rsidR="00157AAA" w:rsidRDefault="00157AAA"/>
    <w:p w14:paraId="001499E2" w14:textId="77777777" w:rsidR="00157AAA" w:rsidRDefault="006C1BE5">
      <w:pPr>
        <w:pStyle w:val="Heading2"/>
        <w:rPr>
          <w:rFonts w:ascii="Times New Roman" w:hAnsi="Times New Roman"/>
        </w:rPr>
      </w:pPr>
      <w:bookmarkStart w:id="912" w:name="_Ref324794508"/>
      <w:bookmarkStart w:id="913" w:name="_Toc352140251"/>
      <w:bookmarkStart w:id="914" w:name="_Toc521498744"/>
      <w:bookmarkStart w:id="915" w:name="_Toc215902368"/>
      <w:bookmarkStart w:id="916" w:name="_Toc445567400"/>
      <w:r>
        <w:rPr>
          <w:rFonts w:ascii="Times New Roman" w:hAnsi="Times New Roman"/>
        </w:rPr>
        <w:t>Table of Clauses</w:t>
      </w:r>
      <w:bookmarkEnd w:id="912"/>
      <w:bookmarkEnd w:id="913"/>
      <w:bookmarkEnd w:id="914"/>
      <w:bookmarkEnd w:id="915"/>
      <w:bookmarkEnd w:id="916"/>
    </w:p>
    <w:p w14:paraId="3160351D" w14:textId="2A2920C2" w:rsidR="00157AAA" w:rsidRDefault="006C1BE5">
      <w:pPr>
        <w:pStyle w:val="TOC1"/>
        <w:rPr>
          <w:rFonts w:asciiTheme="minorHAnsi" w:eastAsiaTheme="minorEastAsia" w:hAnsiTheme="minorHAnsi" w:cstheme="minorBidi"/>
          <w:b w:val="0"/>
          <w:sz w:val="22"/>
          <w:szCs w:val="22"/>
        </w:rPr>
      </w:pPr>
      <w:r>
        <w:rPr>
          <w:rFonts w:ascii="Times New Roman" w:hAnsi="Times New Roman"/>
        </w:rPr>
        <w:fldChar w:fldCharType="begin"/>
      </w:r>
      <w:r>
        <w:rPr>
          <w:rFonts w:ascii="Times New Roman" w:hAnsi="Times New Roman"/>
        </w:rPr>
        <w:instrText xml:space="preserve"> TOC \h \z \t "Head 7.1,1,Head 7.2,2" </w:instrText>
      </w:r>
      <w:r>
        <w:rPr>
          <w:rFonts w:ascii="Times New Roman" w:hAnsi="Times New Roman"/>
        </w:rPr>
        <w:fldChar w:fldCharType="separate"/>
      </w:r>
      <w:hyperlink w:anchor="_Toc42782247" w:tooltip="#_Toc42782247" w:history="1">
        <w:r>
          <w:rPr>
            <w:rStyle w:val="Hyperlink"/>
            <w:rFonts w:ascii="Times New Roman" w:hAnsi="Times New Roman"/>
          </w:rPr>
          <w:t>A.  Contract and Interpretation</w:t>
        </w:r>
        <w:r>
          <w:tab/>
        </w:r>
        <w:r>
          <w:fldChar w:fldCharType="begin"/>
        </w:r>
        <w:r>
          <w:instrText xml:space="preserve"> PAGEREF _Toc42782247 \h </w:instrText>
        </w:r>
        <w:r>
          <w:fldChar w:fldCharType="separate"/>
        </w:r>
        <w:r w:rsidR="00060F24">
          <w:rPr>
            <w:noProof/>
          </w:rPr>
          <w:t>368</w:t>
        </w:r>
        <w:r>
          <w:fldChar w:fldCharType="end"/>
        </w:r>
      </w:hyperlink>
    </w:p>
    <w:p w14:paraId="52E27459" w14:textId="06DA7DDC" w:rsidR="00157AAA" w:rsidRDefault="00000000">
      <w:pPr>
        <w:pStyle w:val="TOC2"/>
        <w:rPr>
          <w:rFonts w:asciiTheme="minorHAnsi" w:eastAsiaTheme="minorEastAsia" w:hAnsiTheme="minorHAnsi" w:cstheme="minorBidi"/>
          <w:sz w:val="22"/>
          <w:szCs w:val="22"/>
        </w:rPr>
      </w:pPr>
      <w:hyperlink w:anchor="_Toc42782248" w:tooltip="#_Toc42782248" w:history="1">
        <w:r w:rsidR="006C1BE5">
          <w:rPr>
            <w:rStyle w:val="Hyperlink"/>
          </w:rPr>
          <w:t>Definitions (GCC Clause 1)</w:t>
        </w:r>
        <w:r w:rsidR="006C1BE5">
          <w:tab/>
        </w:r>
        <w:r w:rsidR="006C1BE5">
          <w:fldChar w:fldCharType="begin"/>
        </w:r>
        <w:r w:rsidR="006C1BE5">
          <w:instrText xml:space="preserve"> PAGEREF _Toc42782248 \h </w:instrText>
        </w:r>
        <w:r w:rsidR="006C1BE5">
          <w:fldChar w:fldCharType="separate"/>
        </w:r>
        <w:r w:rsidR="00060F24">
          <w:rPr>
            <w:noProof/>
          </w:rPr>
          <w:t>368</w:t>
        </w:r>
        <w:r w:rsidR="006C1BE5">
          <w:fldChar w:fldCharType="end"/>
        </w:r>
      </w:hyperlink>
    </w:p>
    <w:p w14:paraId="54966780" w14:textId="071B0A10" w:rsidR="00157AAA" w:rsidRDefault="00000000">
      <w:pPr>
        <w:pStyle w:val="TOC2"/>
        <w:rPr>
          <w:rFonts w:asciiTheme="minorHAnsi" w:eastAsiaTheme="minorEastAsia" w:hAnsiTheme="minorHAnsi" w:cstheme="minorBidi"/>
          <w:sz w:val="22"/>
          <w:szCs w:val="22"/>
        </w:rPr>
      </w:pPr>
      <w:hyperlink w:anchor="_Toc42782249" w:tooltip="#_Toc42782249" w:history="1">
        <w:r w:rsidR="006C1BE5">
          <w:rPr>
            <w:rStyle w:val="Hyperlink"/>
          </w:rPr>
          <w:t>Notices ( GCC  Clause 4)</w:t>
        </w:r>
        <w:r w:rsidR="006C1BE5">
          <w:tab/>
        </w:r>
        <w:r w:rsidR="006C1BE5">
          <w:fldChar w:fldCharType="begin"/>
        </w:r>
        <w:r w:rsidR="006C1BE5">
          <w:instrText xml:space="preserve"> PAGEREF _Toc42782249 \h </w:instrText>
        </w:r>
        <w:r w:rsidR="006C1BE5">
          <w:fldChar w:fldCharType="separate"/>
        </w:r>
        <w:r w:rsidR="00060F24">
          <w:rPr>
            <w:noProof/>
          </w:rPr>
          <w:t>368</w:t>
        </w:r>
        <w:r w:rsidR="006C1BE5">
          <w:fldChar w:fldCharType="end"/>
        </w:r>
      </w:hyperlink>
    </w:p>
    <w:p w14:paraId="290D8C4B" w14:textId="335DB093" w:rsidR="00157AAA" w:rsidRDefault="00000000">
      <w:pPr>
        <w:pStyle w:val="TOC1"/>
        <w:rPr>
          <w:rFonts w:asciiTheme="minorHAnsi" w:eastAsiaTheme="minorEastAsia" w:hAnsiTheme="minorHAnsi" w:cstheme="minorBidi"/>
          <w:b w:val="0"/>
          <w:sz w:val="22"/>
          <w:szCs w:val="22"/>
        </w:rPr>
      </w:pPr>
      <w:hyperlink w:anchor="_Toc42782250" w:tooltip="#_Toc42782250" w:history="1">
        <w:r w:rsidR="006C1BE5">
          <w:rPr>
            <w:rStyle w:val="Hyperlink"/>
            <w:rFonts w:ascii="Times New Roman" w:hAnsi="Times New Roman"/>
          </w:rPr>
          <w:t>B.  Subject Matter of Contract</w:t>
        </w:r>
        <w:r w:rsidR="006C1BE5">
          <w:tab/>
        </w:r>
        <w:r w:rsidR="006C1BE5">
          <w:fldChar w:fldCharType="begin"/>
        </w:r>
        <w:r w:rsidR="006C1BE5">
          <w:instrText xml:space="preserve"> PAGEREF _Toc42782250 \h </w:instrText>
        </w:r>
        <w:r w:rsidR="006C1BE5">
          <w:fldChar w:fldCharType="separate"/>
        </w:r>
        <w:r w:rsidR="00060F24">
          <w:rPr>
            <w:noProof/>
          </w:rPr>
          <w:t>368</w:t>
        </w:r>
        <w:r w:rsidR="006C1BE5">
          <w:fldChar w:fldCharType="end"/>
        </w:r>
      </w:hyperlink>
    </w:p>
    <w:p w14:paraId="07CBD737" w14:textId="2C4BCA0D" w:rsidR="00157AAA" w:rsidRDefault="00000000">
      <w:pPr>
        <w:pStyle w:val="TOC2"/>
        <w:rPr>
          <w:rFonts w:asciiTheme="minorHAnsi" w:eastAsiaTheme="minorEastAsia" w:hAnsiTheme="minorHAnsi" w:cstheme="minorBidi"/>
          <w:sz w:val="22"/>
          <w:szCs w:val="22"/>
        </w:rPr>
      </w:pPr>
      <w:hyperlink w:anchor="_Toc42782251" w:tooltip="#_Toc42782251" w:history="1">
        <w:r w:rsidR="006C1BE5">
          <w:rPr>
            <w:rStyle w:val="Hyperlink"/>
          </w:rPr>
          <w:t>Scope of the System ( GCC  Clause 7)</w:t>
        </w:r>
        <w:r w:rsidR="006C1BE5">
          <w:tab/>
        </w:r>
        <w:r w:rsidR="006C1BE5">
          <w:fldChar w:fldCharType="begin"/>
        </w:r>
        <w:r w:rsidR="006C1BE5">
          <w:instrText xml:space="preserve"> PAGEREF _Toc42782251 \h </w:instrText>
        </w:r>
        <w:r w:rsidR="006C1BE5">
          <w:fldChar w:fldCharType="separate"/>
        </w:r>
        <w:r w:rsidR="00060F24">
          <w:rPr>
            <w:noProof/>
          </w:rPr>
          <w:t>368</w:t>
        </w:r>
        <w:r w:rsidR="006C1BE5">
          <w:fldChar w:fldCharType="end"/>
        </w:r>
      </w:hyperlink>
    </w:p>
    <w:p w14:paraId="320C14C6" w14:textId="7293159C" w:rsidR="00157AAA" w:rsidRDefault="00000000">
      <w:pPr>
        <w:pStyle w:val="TOC2"/>
        <w:rPr>
          <w:rFonts w:asciiTheme="minorHAnsi" w:eastAsiaTheme="minorEastAsia" w:hAnsiTheme="minorHAnsi" w:cstheme="minorBidi"/>
          <w:sz w:val="22"/>
          <w:szCs w:val="22"/>
        </w:rPr>
      </w:pPr>
      <w:hyperlink w:anchor="_Toc42782252" w:tooltip="#_Toc42782252" w:history="1">
        <w:r w:rsidR="006C1BE5">
          <w:rPr>
            <w:rStyle w:val="Hyperlink"/>
          </w:rPr>
          <w:t>Time for Commencement and Operational Acceptance ( GCC  Clause 8)</w:t>
        </w:r>
        <w:r w:rsidR="006C1BE5">
          <w:tab/>
        </w:r>
        <w:r w:rsidR="006C1BE5">
          <w:fldChar w:fldCharType="begin"/>
        </w:r>
        <w:r w:rsidR="006C1BE5">
          <w:instrText xml:space="preserve"> PAGEREF _Toc42782252 \h </w:instrText>
        </w:r>
        <w:r w:rsidR="006C1BE5">
          <w:fldChar w:fldCharType="separate"/>
        </w:r>
        <w:r w:rsidR="00060F24">
          <w:rPr>
            <w:noProof/>
          </w:rPr>
          <w:t>368</w:t>
        </w:r>
        <w:r w:rsidR="006C1BE5">
          <w:fldChar w:fldCharType="end"/>
        </w:r>
      </w:hyperlink>
    </w:p>
    <w:p w14:paraId="1485C7D3" w14:textId="0FB0E70E" w:rsidR="00157AAA" w:rsidRDefault="00000000">
      <w:pPr>
        <w:pStyle w:val="TOC2"/>
        <w:rPr>
          <w:rFonts w:asciiTheme="minorHAnsi" w:eastAsiaTheme="minorEastAsia" w:hAnsiTheme="minorHAnsi" w:cstheme="minorBidi"/>
          <w:sz w:val="22"/>
          <w:szCs w:val="22"/>
        </w:rPr>
      </w:pPr>
      <w:hyperlink w:anchor="_Toc42782253" w:tooltip="#_Toc42782253" w:history="1">
        <w:r w:rsidR="006C1BE5">
          <w:rPr>
            <w:rStyle w:val="Hyperlink"/>
          </w:rPr>
          <w:t>Supplier’s Responsibilities ( GCC  Clause 9)</w:t>
        </w:r>
        <w:r w:rsidR="006C1BE5">
          <w:tab/>
        </w:r>
        <w:r w:rsidR="006C1BE5">
          <w:fldChar w:fldCharType="begin"/>
        </w:r>
        <w:r w:rsidR="006C1BE5">
          <w:instrText xml:space="preserve"> PAGEREF _Toc42782253 \h </w:instrText>
        </w:r>
        <w:r w:rsidR="006C1BE5">
          <w:fldChar w:fldCharType="separate"/>
        </w:r>
        <w:r w:rsidR="00060F24">
          <w:rPr>
            <w:noProof/>
          </w:rPr>
          <w:t>368</w:t>
        </w:r>
        <w:r w:rsidR="006C1BE5">
          <w:fldChar w:fldCharType="end"/>
        </w:r>
      </w:hyperlink>
    </w:p>
    <w:p w14:paraId="6B4F9F99" w14:textId="109CAE6C" w:rsidR="00157AAA" w:rsidRDefault="00000000">
      <w:pPr>
        <w:pStyle w:val="TOC1"/>
        <w:rPr>
          <w:rFonts w:asciiTheme="minorHAnsi" w:eastAsiaTheme="minorEastAsia" w:hAnsiTheme="minorHAnsi" w:cstheme="minorBidi"/>
          <w:b w:val="0"/>
          <w:sz w:val="22"/>
          <w:szCs w:val="22"/>
        </w:rPr>
      </w:pPr>
      <w:hyperlink w:anchor="_Toc42782254" w:tooltip="#_Toc42782254" w:history="1">
        <w:r w:rsidR="006C1BE5">
          <w:rPr>
            <w:rStyle w:val="Hyperlink"/>
            <w:rFonts w:ascii="Times New Roman" w:hAnsi="Times New Roman"/>
          </w:rPr>
          <w:t>C.  Payment</w:t>
        </w:r>
        <w:r w:rsidR="006C1BE5">
          <w:tab/>
        </w:r>
        <w:r w:rsidR="006C1BE5">
          <w:fldChar w:fldCharType="begin"/>
        </w:r>
        <w:r w:rsidR="006C1BE5">
          <w:instrText xml:space="preserve"> PAGEREF _Toc42782254 \h </w:instrText>
        </w:r>
        <w:r w:rsidR="006C1BE5">
          <w:fldChar w:fldCharType="separate"/>
        </w:r>
        <w:r w:rsidR="00060F24">
          <w:rPr>
            <w:noProof/>
          </w:rPr>
          <w:t>368</w:t>
        </w:r>
        <w:r w:rsidR="006C1BE5">
          <w:fldChar w:fldCharType="end"/>
        </w:r>
      </w:hyperlink>
    </w:p>
    <w:p w14:paraId="68AAA864" w14:textId="65DC30C3" w:rsidR="00157AAA" w:rsidRDefault="00000000">
      <w:pPr>
        <w:pStyle w:val="TOC2"/>
        <w:rPr>
          <w:rFonts w:asciiTheme="minorHAnsi" w:eastAsiaTheme="minorEastAsia" w:hAnsiTheme="minorHAnsi" w:cstheme="minorBidi"/>
          <w:sz w:val="22"/>
          <w:szCs w:val="22"/>
        </w:rPr>
      </w:pPr>
      <w:hyperlink w:anchor="_Toc42782255" w:tooltip="#_Toc42782255" w:history="1">
        <w:r w:rsidR="006C1BE5">
          <w:rPr>
            <w:rStyle w:val="Hyperlink"/>
          </w:rPr>
          <w:t>Contract Price ( GCC  Clause 11)</w:t>
        </w:r>
        <w:r w:rsidR="006C1BE5">
          <w:tab/>
        </w:r>
        <w:r w:rsidR="006C1BE5">
          <w:fldChar w:fldCharType="begin"/>
        </w:r>
        <w:r w:rsidR="006C1BE5">
          <w:instrText xml:space="preserve"> PAGEREF _Toc42782255 \h </w:instrText>
        </w:r>
        <w:r w:rsidR="006C1BE5">
          <w:fldChar w:fldCharType="separate"/>
        </w:r>
        <w:r w:rsidR="00060F24">
          <w:rPr>
            <w:noProof/>
          </w:rPr>
          <w:t>368</w:t>
        </w:r>
        <w:r w:rsidR="006C1BE5">
          <w:fldChar w:fldCharType="end"/>
        </w:r>
      </w:hyperlink>
    </w:p>
    <w:p w14:paraId="760AEF3F" w14:textId="4B478646" w:rsidR="00157AAA" w:rsidRDefault="00000000">
      <w:pPr>
        <w:pStyle w:val="TOC2"/>
        <w:rPr>
          <w:rFonts w:asciiTheme="minorHAnsi" w:eastAsiaTheme="minorEastAsia" w:hAnsiTheme="minorHAnsi" w:cstheme="minorBidi"/>
          <w:sz w:val="22"/>
          <w:szCs w:val="22"/>
        </w:rPr>
      </w:pPr>
      <w:hyperlink w:anchor="_Toc42782256" w:tooltip="#_Toc42782256" w:history="1">
        <w:r w:rsidR="006C1BE5">
          <w:rPr>
            <w:rStyle w:val="Hyperlink"/>
          </w:rPr>
          <w:t>Terms of Payment ( GCC  Clause 12)</w:t>
        </w:r>
        <w:r w:rsidR="006C1BE5">
          <w:tab/>
        </w:r>
        <w:r w:rsidR="006C1BE5">
          <w:fldChar w:fldCharType="begin"/>
        </w:r>
        <w:r w:rsidR="006C1BE5">
          <w:instrText xml:space="preserve"> PAGEREF _Toc42782256 \h </w:instrText>
        </w:r>
        <w:r w:rsidR="006C1BE5">
          <w:fldChar w:fldCharType="separate"/>
        </w:r>
        <w:r w:rsidR="00060F24">
          <w:rPr>
            <w:noProof/>
          </w:rPr>
          <w:t>368</w:t>
        </w:r>
        <w:r w:rsidR="006C1BE5">
          <w:fldChar w:fldCharType="end"/>
        </w:r>
      </w:hyperlink>
    </w:p>
    <w:p w14:paraId="1C894BCF" w14:textId="11F718AE" w:rsidR="00157AAA" w:rsidRDefault="00000000">
      <w:pPr>
        <w:pStyle w:val="TOC2"/>
        <w:rPr>
          <w:rFonts w:asciiTheme="minorHAnsi" w:eastAsiaTheme="minorEastAsia" w:hAnsiTheme="minorHAnsi" w:cstheme="minorBidi"/>
          <w:sz w:val="22"/>
          <w:szCs w:val="22"/>
        </w:rPr>
      </w:pPr>
      <w:hyperlink w:anchor="_Toc42782257" w:tooltip="#_Toc42782257" w:history="1">
        <w:r w:rsidR="006C1BE5">
          <w:rPr>
            <w:rStyle w:val="Hyperlink"/>
          </w:rPr>
          <w:t>Securities ( GCC  Clause 13)</w:t>
        </w:r>
        <w:r w:rsidR="006C1BE5">
          <w:tab/>
        </w:r>
        <w:r w:rsidR="006C1BE5">
          <w:fldChar w:fldCharType="begin"/>
        </w:r>
        <w:r w:rsidR="006C1BE5">
          <w:instrText xml:space="preserve"> PAGEREF _Toc42782257 \h </w:instrText>
        </w:r>
        <w:r w:rsidR="006C1BE5">
          <w:fldChar w:fldCharType="separate"/>
        </w:r>
        <w:r w:rsidR="00060F24">
          <w:rPr>
            <w:noProof/>
          </w:rPr>
          <w:t>368</w:t>
        </w:r>
        <w:r w:rsidR="006C1BE5">
          <w:fldChar w:fldCharType="end"/>
        </w:r>
      </w:hyperlink>
    </w:p>
    <w:p w14:paraId="5A2E0ADB" w14:textId="4F7A783E" w:rsidR="00157AAA" w:rsidRDefault="00000000">
      <w:pPr>
        <w:pStyle w:val="TOC1"/>
        <w:rPr>
          <w:rFonts w:asciiTheme="minorHAnsi" w:eastAsiaTheme="minorEastAsia" w:hAnsiTheme="minorHAnsi" w:cstheme="minorBidi"/>
          <w:b w:val="0"/>
          <w:sz w:val="22"/>
          <w:szCs w:val="22"/>
        </w:rPr>
      </w:pPr>
      <w:hyperlink w:anchor="_Toc42782258" w:tooltip="#_Toc42782258" w:history="1">
        <w:r w:rsidR="006C1BE5">
          <w:rPr>
            <w:rStyle w:val="Hyperlink"/>
            <w:rFonts w:ascii="Times New Roman" w:hAnsi="Times New Roman"/>
          </w:rPr>
          <w:t>D.  Intellectual Property</w:t>
        </w:r>
        <w:r w:rsidR="006C1BE5">
          <w:tab/>
        </w:r>
        <w:r w:rsidR="006C1BE5">
          <w:fldChar w:fldCharType="begin"/>
        </w:r>
        <w:r w:rsidR="006C1BE5">
          <w:instrText xml:space="preserve"> PAGEREF _Toc42782258 \h </w:instrText>
        </w:r>
        <w:r w:rsidR="006C1BE5">
          <w:fldChar w:fldCharType="separate"/>
        </w:r>
        <w:r w:rsidR="00060F24">
          <w:rPr>
            <w:noProof/>
          </w:rPr>
          <w:t>368</w:t>
        </w:r>
        <w:r w:rsidR="006C1BE5">
          <w:fldChar w:fldCharType="end"/>
        </w:r>
      </w:hyperlink>
    </w:p>
    <w:p w14:paraId="3363586A" w14:textId="2863C2BC" w:rsidR="00157AAA" w:rsidRDefault="00000000">
      <w:pPr>
        <w:pStyle w:val="TOC2"/>
        <w:rPr>
          <w:rFonts w:asciiTheme="minorHAnsi" w:eastAsiaTheme="minorEastAsia" w:hAnsiTheme="minorHAnsi" w:cstheme="minorBidi"/>
          <w:sz w:val="22"/>
          <w:szCs w:val="22"/>
        </w:rPr>
      </w:pPr>
      <w:hyperlink w:anchor="_Toc42782259" w:tooltip="#_Toc42782259" w:history="1">
        <w:r w:rsidR="006C1BE5">
          <w:rPr>
            <w:rStyle w:val="Hyperlink"/>
          </w:rPr>
          <w:t>Copyright ( GCC  Clause 15)</w:t>
        </w:r>
        <w:r w:rsidR="006C1BE5">
          <w:tab/>
        </w:r>
        <w:r w:rsidR="006C1BE5">
          <w:fldChar w:fldCharType="begin"/>
        </w:r>
        <w:r w:rsidR="006C1BE5">
          <w:instrText xml:space="preserve"> PAGEREF _Toc42782259 \h </w:instrText>
        </w:r>
        <w:r w:rsidR="006C1BE5">
          <w:fldChar w:fldCharType="separate"/>
        </w:r>
        <w:r w:rsidR="00060F24">
          <w:rPr>
            <w:noProof/>
          </w:rPr>
          <w:t>368</w:t>
        </w:r>
        <w:r w:rsidR="006C1BE5">
          <w:fldChar w:fldCharType="end"/>
        </w:r>
      </w:hyperlink>
    </w:p>
    <w:p w14:paraId="0543A0B8" w14:textId="16326278" w:rsidR="00157AAA" w:rsidRDefault="00000000">
      <w:pPr>
        <w:pStyle w:val="TOC2"/>
        <w:rPr>
          <w:rFonts w:asciiTheme="minorHAnsi" w:eastAsiaTheme="minorEastAsia" w:hAnsiTheme="minorHAnsi" w:cstheme="minorBidi"/>
          <w:sz w:val="22"/>
          <w:szCs w:val="22"/>
        </w:rPr>
      </w:pPr>
      <w:hyperlink w:anchor="_Toc42782260" w:tooltip="#_Toc42782260" w:history="1">
        <w:r w:rsidR="006C1BE5">
          <w:rPr>
            <w:rStyle w:val="Hyperlink"/>
          </w:rPr>
          <w:t>Software License Agreements ( GCC  Clause 16)</w:t>
        </w:r>
        <w:r w:rsidR="006C1BE5">
          <w:tab/>
        </w:r>
        <w:r w:rsidR="006C1BE5">
          <w:fldChar w:fldCharType="begin"/>
        </w:r>
        <w:r w:rsidR="006C1BE5">
          <w:instrText xml:space="preserve"> PAGEREF _Toc42782260 \h </w:instrText>
        </w:r>
        <w:r w:rsidR="006C1BE5">
          <w:fldChar w:fldCharType="separate"/>
        </w:r>
        <w:r w:rsidR="00060F24">
          <w:rPr>
            <w:noProof/>
          </w:rPr>
          <w:t>368</w:t>
        </w:r>
        <w:r w:rsidR="006C1BE5">
          <w:fldChar w:fldCharType="end"/>
        </w:r>
      </w:hyperlink>
    </w:p>
    <w:p w14:paraId="0E796DE4" w14:textId="25F8439A" w:rsidR="00157AAA" w:rsidRDefault="00000000">
      <w:pPr>
        <w:pStyle w:val="TOC2"/>
        <w:rPr>
          <w:rFonts w:asciiTheme="minorHAnsi" w:eastAsiaTheme="minorEastAsia" w:hAnsiTheme="minorHAnsi" w:cstheme="minorBidi"/>
          <w:sz w:val="22"/>
          <w:szCs w:val="22"/>
        </w:rPr>
      </w:pPr>
      <w:hyperlink w:anchor="_Toc42782261" w:tooltip="#_Toc42782261" w:history="1">
        <w:r w:rsidR="006C1BE5">
          <w:rPr>
            <w:rStyle w:val="Hyperlink"/>
          </w:rPr>
          <w:t>Confidential Information ( GCC  Clause 17)</w:t>
        </w:r>
        <w:r w:rsidR="006C1BE5">
          <w:tab/>
        </w:r>
        <w:r w:rsidR="006C1BE5">
          <w:fldChar w:fldCharType="begin"/>
        </w:r>
        <w:r w:rsidR="006C1BE5">
          <w:instrText xml:space="preserve"> PAGEREF _Toc42782261 \h </w:instrText>
        </w:r>
        <w:r w:rsidR="006C1BE5">
          <w:fldChar w:fldCharType="separate"/>
        </w:r>
        <w:r w:rsidR="00060F24">
          <w:rPr>
            <w:noProof/>
          </w:rPr>
          <w:t>368</w:t>
        </w:r>
        <w:r w:rsidR="006C1BE5">
          <w:fldChar w:fldCharType="end"/>
        </w:r>
      </w:hyperlink>
    </w:p>
    <w:p w14:paraId="63797C66" w14:textId="404632A7" w:rsidR="00157AAA" w:rsidRDefault="00000000">
      <w:pPr>
        <w:pStyle w:val="TOC1"/>
        <w:rPr>
          <w:rFonts w:asciiTheme="minorHAnsi" w:eastAsiaTheme="minorEastAsia" w:hAnsiTheme="minorHAnsi" w:cstheme="minorBidi"/>
          <w:b w:val="0"/>
          <w:sz w:val="22"/>
          <w:szCs w:val="22"/>
        </w:rPr>
      </w:pPr>
      <w:hyperlink w:anchor="_Toc42782262" w:tooltip="#_Toc42782262" w:history="1">
        <w:r w:rsidR="006C1BE5">
          <w:rPr>
            <w:rStyle w:val="Hyperlink"/>
            <w:rFonts w:ascii="Times New Roman" w:hAnsi="Times New Roman"/>
          </w:rPr>
          <w:t>E.  Supply, Installation, Testing, Commissioning, and Acceptance of the System</w:t>
        </w:r>
        <w:r w:rsidR="006C1BE5">
          <w:tab/>
        </w:r>
        <w:r w:rsidR="006C1BE5">
          <w:fldChar w:fldCharType="begin"/>
        </w:r>
        <w:r w:rsidR="006C1BE5">
          <w:instrText xml:space="preserve"> PAGEREF _Toc42782262 \h </w:instrText>
        </w:r>
        <w:r w:rsidR="006C1BE5">
          <w:fldChar w:fldCharType="separate"/>
        </w:r>
        <w:r w:rsidR="00060F24">
          <w:rPr>
            <w:noProof/>
          </w:rPr>
          <w:t>368</w:t>
        </w:r>
        <w:r w:rsidR="006C1BE5">
          <w:fldChar w:fldCharType="end"/>
        </w:r>
      </w:hyperlink>
    </w:p>
    <w:p w14:paraId="46A63437" w14:textId="601203FD" w:rsidR="00157AAA" w:rsidRDefault="00000000">
      <w:pPr>
        <w:pStyle w:val="TOC2"/>
        <w:rPr>
          <w:rFonts w:asciiTheme="minorHAnsi" w:eastAsiaTheme="minorEastAsia" w:hAnsiTheme="minorHAnsi" w:cstheme="minorBidi"/>
          <w:sz w:val="22"/>
          <w:szCs w:val="22"/>
        </w:rPr>
      </w:pPr>
      <w:hyperlink w:anchor="_Toc42782263" w:tooltip="#_Toc42782263" w:history="1">
        <w:r w:rsidR="006C1BE5">
          <w:rPr>
            <w:rStyle w:val="Hyperlink"/>
          </w:rPr>
          <w:t>Representatives ( GCC  Clause 18)</w:t>
        </w:r>
        <w:r w:rsidR="006C1BE5">
          <w:tab/>
        </w:r>
        <w:r w:rsidR="006C1BE5">
          <w:fldChar w:fldCharType="begin"/>
        </w:r>
        <w:r w:rsidR="006C1BE5">
          <w:instrText xml:space="preserve"> PAGEREF _Toc42782263 \h </w:instrText>
        </w:r>
        <w:r w:rsidR="006C1BE5">
          <w:fldChar w:fldCharType="separate"/>
        </w:r>
        <w:r w:rsidR="00060F24">
          <w:rPr>
            <w:noProof/>
          </w:rPr>
          <w:t>368</w:t>
        </w:r>
        <w:r w:rsidR="006C1BE5">
          <w:fldChar w:fldCharType="end"/>
        </w:r>
      </w:hyperlink>
    </w:p>
    <w:p w14:paraId="712DEFAE" w14:textId="2E2FDA27" w:rsidR="00157AAA" w:rsidRDefault="00000000">
      <w:pPr>
        <w:pStyle w:val="TOC2"/>
        <w:rPr>
          <w:rFonts w:asciiTheme="minorHAnsi" w:eastAsiaTheme="minorEastAsia" w:hAnsiTheme="minorHAnsi" w:cstheme="minorBidi"/>
          <w:sz w:val="22"/>
          <w:szCs w:val="22"/>
        </w:rPr>
      </w:pPr>
      <w:hyperlink w:anchor="_Toc42782264" w:tooltip="#_Toc42782264" w:history="1">
        <w:r w:rsidR="006C1BE5">
          <w:rPr>
            <w:rStyle w:val="Hyperlink"/>
          </w:rPr>
          <w:t>Project Plan ( GCC  Clause 19)</w:t>
        </w:r>
        <w:r w:rsidR="006C1BE5">
          <w:tab/>
        </w:r>
        <w:r w:rsidR="006C1BE5">
          <w:fldChar w:fldCharType="begin"/>
        </w:r>
        <w:r w:rsidR="006C1BE5">
          <w:instrText xml:space="preserve"> PAGEREF _Toc42782264 \h </w:instrText>
        </w:r>
        <w:r w:rsidR="006C1BE5">
          <w:fldChar w:fldCharType="separate"/>
        </w:r>
        <w:r w:rsidR="00060F24">
          <w:rPr>
            <w:noProof/>
          </w:rPr>
          <w:t>368</w:t>
        </w:r>
        <w:r w:rsidR="006C1BE5">
          <w:fldChar w:fldCharType="end"/>
        </w:r>
      </w:hyperlink>
    </w:p>
    <w:p w14:paraId="0A50CDEA" w14:textId="7CD0CA74" w:rsidR="00157AAA" w:rsidRDefault="00000000">
      <w:pPr>
        <w:pStyle w:val="TOC2"/>
        <w:rPr>
          <w:rFonts w:asciiTheme="minorHAnsi" w:eastAsiaTheme="minorEastAsia" w:hAnsiTheme="minorHAnsi" w:cstheme="minorBidi"/>
          <w:sz w:val="22"/>
          <w:szCs w:val="22"/>
        </w:rPr>
      </w:pPr>
      <w:hyperlink w:anchor="_Toc42782265" w:tooltip="#_Toc42782265" w:history="1">
        <w:r w:rsidR="006C1BE5">
          <w:rPr>
            <w:rStyle w:val="Hyperlink"/>
          </w:rPr>
          <w:t>Design and Engineering ( GCC  Clause 21)</w:t>
        </w:r>
        <w:r w:rsidR="006C1BE5">
          <w:tab/>
        </w:r>
        <w:r w:rsidR="006C1BE5">
          <w:fldChar w:fldCharType="begin"/>
        </w:r>
        <w:r w:rsidR="006C1BE5">
          <w:instrText xml:space="preserve"> PAGEREF _Toc42782265 \h </w:instrText>
        </w:r>
        <w:r w:rsidR="006C1BE5">
          <w:fldChar w:fldCharType="separate"/>
        </w:r>
        <w:r w:rsidR="00060F24">
          <w:rPr>
            <w:noProof/>
          </w:rPr>
          <w:t>368</w:t>
        </w:r>
        <w:r w:rsidR="006C1BE5">
          <w:fldChar w:fldCharType="end"/>
        </w:r>
      </w:hyperlink>
    </w:p>
    <w:p w14:paraId="58F84C78" w14:textId="51DFFFCD" w:rsidR="00157AAA" w:rsidRDefault="00000000">
      <w:pPr>
        <w:pStyle w:val="TOC2"/>
        <w:rPr>
          <w:rFonts w:asciiTheme="minorHAnsi" w:eastAsiaTheme="minorEastAsia" w:hAnsiTheme="minorHAnsi" w:cstheme="minorBidi"/>
          <w:sz w:val="22"/>
          <w:szCs w:val="22"/>
        </w:rPr>
      </w:pPr>
      <w:hyperlink w:anchor="_Toc42782266" w:tooltip="#_Toc42782266" w:history="1">
        <w:r w:rsidR="006C1BE5">
          <w:rPr>
            <w:rStyle w:val="Hyperlink"/>
          </w:rPr>
          <w:t>Product Upgrades ( GCC  Clause 23)</w:t>
        </w:r>
        <w:r w:rsidR="006C1BE5">
          <w:tab/>
        </w:r>
        <w:r w:rsidR="006C1BE5">
          <w:fldChar w:fldCharType="begin"/>
        </w:r>
        <w:r w:rsidR="006C1BE5">
          <w:instrText xml:space="preserve"> PAGEREF _Toc42782266 \h </w:instrText>
        </w:r>
        <w:r w:rsidR="006C1BE5">
          <w:fldChar w:fldCharType="separate"/>
        </w:r>
        <w:r w:rsidR="00060F24">
          <w:rPr>
            <w:noProof/>
          </w:rPr>
          <w:t>368</w:t>
        </w:r>
        <w:r w:rsidR="006C1BE5">
          <w:fldChar w:fldCharType="end"/>
        </w:r>
      </w:hyperlink>
    </w:p>
    <w:p w14:paraId="489A75DA" w14:textId="19654A72" w:rsidR="00157AAA" w:rsidRDefault="00000000">
      <w:pPr>
        <w:pStyle w:val="TOC2"/>
        <w:rPr>
          <w:rFonts w:asciiTheme="minorHAnsi" w:eastAsiaTheme="minorEastAsia" w:hAnsiTheme="minorHAnsi" w:cstheme="minorBidi"/>
          <w:sz w:val="22"/>
          <w:szCs w:val="22"/>
        </w:rPr>
      </w:pPr>
      <w:hyperlink w:anchor="_Toc42782267" w:tooltip="#_Toc42782267" w:history="1">
        <w:r w:rsidR="006C1BE5">
          <w:rPr>
            <w:rStyle w:val="Hyperlink"/>
          </w:rPr>
          <w:t>Inspections and Tests ( GCC  Clause 25)</w:t>
        </w:r>
        <w:r w:rsidR="006C1BE5">
          <w:tab/>
        </w:r>
        <w:r w:rsidR="006C1BE5">
          <w:fldChar w:fldCharType="begin"/>
        </w:r>
        <w:r w:rsidR="006C1BE5">
          <w:instrText xml:space="preserve"> PAGEREF _Toc42782267 \h </w:instrText>
        </w:r>
        <w:r w:rsidR="006C1BE5">
          <w:fldChar w:fldCharType="separate"/>
        </w:r>
        <w:r w:rsidR="00060F24">
          <w:rPr>
            <w:noProof/>
          </w:rPr>
          <w:t>368</w:t>
        </w:r>
        <w:r w:rsidR="006C1BE5">
          <w:fldChar w:fldCharType="end"/>
        </w:r>
      </w:hyperlink>
    </w:p>
    <w:p w14:paraId="68A8195D" w14:textId="5DE5AB43" w:rsidR="00157AAA" w:rsidRDefault="00000000">
      <w:pPr>
        <w:pStyle w:val="TOC2"/>
        <w:rPr>
          <w:rFonts w:asciiTheme="minorHAnsi" w:eastAsiaTheme="minorEastAsia" w:hAnsiTheme="minorHAnsi" w:cstheme="minorBidi"/>
          <w:sz w:val="22"/>
          <w:szCs w:val="22"/>
        </w:rPr>
      </w:pPr>
      <w:hyperlink w:anchor="_Toc42782268" w:tooltip="#_Toc42782268" w:history="1">
        <w:r w:rsidR="006C1BE5">
          <w:rPr>
            <w:rStyle w:val="Hyperlink"/>
          </w:rPr>
          <w:t>Commissioning and Operational Acceptance ( GCC  Clause 27)</w:t>
        </w:r>
        <w:r w:rsidR="006C1BE5">
          <w:tab/>
        </w:r>
        <w:r w:rsidR="006C1BE5">
          <w:fldChar w:fldCharType="begin"/>
        </w:r>
        <w:r w:rsidR="006C1BE5">
          <w:instrText xml:space="preserve"> PAGEREF _Toc42782268 \h </w:instrText>
        </w:r>
        <w:r w:rsidR="006C1BE5">
          <w:fldChar w:fldCharType="separate"/>
        </w:r>
        <w:r w:rsidR="00060F24">
          <w:rPr>
            <w:noProof/>
          </w:rPr>
          <w:t>368</w:t>
        </w:r>
        <w:r w:rsidR="006C1BE5">
          <w:fldChar w:fldCharType="end"/>
        </w:r>
      </w:hyperlink>
    </w:p>
    <w:p w14:paraId="13E1F794" w14:textId="4EE81DDA" w:rsidR="00157AAA" w:rsidRDefault="00000000">
      <w:pPr>
        <w:pStyle w:val="TOC1"/>
        <w:rPr>
          <w:rFonts w:asciiTheme="minorHAnsi" w:eastAsiaTheme="minorEastAsia" w:hAnsiTheme="minorHAnsi" w:cstheme="minorBidi"/>
          <w:b w:val="0"/>
          <w:sz w:val="22"/>
          <w:szCs w:val="22"/>
        </w:rPr>
      </w:pPr>
      <w:hyperlink w:anchor="_Toc42782269" w:tooltip="#_Toc42782269" w:history="1">
        <w:r w:rsidR="006C1BE5">
          <w:rPr>
            <w:rStyle w:val="Hyperlink"/>
            <w:rFonts w:ascii="Times New Roman" w:hAnsi="Times New Roman"/>
          </w:rPr>
          <w:t>F.  Guarantees and Liabilities</w:t>
        </w:r>
        <w:r w:rsidR="006C1BE5">
          <w:tab/>
        </w:r>
        <w:r w:rsidR="006C1BE5">
          <w:fldChar w:fldCharType="begin"/>
        </w:r>
        <w:r w:rsidR="006C1BE5">
          <w:instrText xml:space="preserve"> PAGEREF _Toc42782269 \h </w:instrText>
        </w:r>
        <w:r w:rsidR="006C1BE5">
          <w:fldChar w:fldCharType="separate"/>
        </w:r>
        <w:r w:rsidR="00060F24">
          <w:rPr>
            <w:noProof/>
          </w:rPr>
          <w:t>368</w:t>
        </w:r>
        <w:r w:rsidR="006C1BE5">
          <w:fldChar w:fldCharType="end"/>
        </w:r>
      </w:hyperlink>
    </w:p>
    <w:p w14:paraId="5EE3A6BB" w14:textId="39CE1F58" w:rsidR="00157AAA" w:rsidRDefault="00000000">
      <w:pPr>
        <w:pStyle w:val="TOC2"/>
        <w:rPr>
          <w:rFonts w:asciiTheme="minorHAnsi" w:eastAsiaTheme="minorEastAsia" w:hAnsiTheme="minorHAnsi" w:cstheme="minorBidi"/>
          <w:sz w:val="22"/>
          <w:szCs w:val="22"/>
        </w:rPr>
      </w:pPr>
      <w:hyperlink w:anchor="_Toc42782270" w:tooltip="#_Toc42782270" w:history="1">
        <w:r w:rsidR="006C1BE5">
          <w:rPr>
            <w:rStyle w:val="Hyperlink"/>
          </w:rPr>
          <w:t>Operational Acceptance Time Guarantee ( GCC  Clause 28)</w:t>
        </w:r>
        <w:r w:rsidR="006C1BE5">
          <w:tab/>
        </w:r>
        <w:r w:rsidR="006C1BE5">
          <w:fldChar w:fldCharType="begin"/>
        </w:r>
        <w:r w:rsidR="006C1BE5">
          <w:instrText xml:space="preserve"> PAGEREF _Toc42782270 \h </w:instrText>
        </w:r>
        <w:r w:rsidR="006C1BE5">
          <w:fldChar w:fldCharType="separate"/>
        </w:r>
        <w:r w:rsidR="00060F24">
          <w:rPr>
            <w:noProof/>
          </w:rPr>
          <w:t>368</w:t>
        </w:r>
        <w:r w:rsidR="006C1BE5">
          <w:fldChar w:fldCharType="end"/>
        </w:r>
      </w:hyperlink>
    </w:p>
    <w:p w14:paraId="5E803617" w14:textId="33954311" w:rsidR="00157AAA" w:rsidRDefault="00000000">
      <w:pPr>
        <w:pStyle w:val="TOC2"/>
        <w:rPr>
          <w:rFonts w:asciiTheme="minorHAnsi" w:eastAsiaTheme="minorEastAsia" w:hAnsiTheme="minorHAnsi" w:cstheme="minorBidi"/>
          <w:sz w:val="22"/>
          <w:szCs w:val="22"/>
        </w:rPr>
      </w:pPr>
      <w:hyperlink w:anchor="_Toc42782271" w:tooltip="#_Toc42782271" w:history="1">
        <w:r w:rsidR="006C1BE5">
          <w:rPr>
            <w:rStyle w:val="Hyperlink"/>
          </w:rPr>
          <w:t>Defect Liability ( GCC  Clause 29)</w:t>
        </w:r>
        <w:r w:rsidR="006C1BE5">
          <w:tab/>
        </w:r>
        <w:r w:rsidR="006C1BE5">
          <w:fldChar w:fldCharType="begin"/>
        </w:r>
        <w:r w:rsidR="006C1BE5">
          <w:instrText xml:space="preserve"> PAGEREF _Toc42782271 \h </w:instrText>
        </w:r>
        <w:r w:rsidR="006C1BE5">
          <w:fldChar w:fldCharType="separate"/>
        </w:r>
        <w:r w:rsidR="00060F24">
          <w:rPr>
            <w:noProof/>
          </w:rPr>
          <w:t>368</w:t>
        </w:r>
        <w:r w:rsidR="006C1BE5">
          <w:fldChar w:fldCharType="end"/>
        </w:r>
      </w:hyperlink>
    </w:p>
    <w:p w14:paraId="77A7E83E" w14:textId="003AC3B0" w:rsidR="00157AAA" w:rsidRDefault="00000000">
      <w:pPr>
        <w:pStyle w:val="TOC2"/>
        <w:rPr>
          <w:rFonts w:asciiTheme="minorHAnsi" w:eastAsiaTheme="minorEastAsia" w:hAnsiTheme="minorHAnsi" w:cstheme="minorBidi"/>
          <w:sz w:val="22"/>
          <w:szCs w:val="22"/>
        </w:rPr>
      </w:pPr>
      <w:hyperlink w:anchor="_Toc42782272" w:tooltip="#_Toc42782272" w:history="1">
        <w:r w:rsidR="006C1BE5">
          <w:rPr>
            <w:rStyle w:val="Hyperlink"/>
          </w:rPr>
          <w:t>Functional Guarantees ( GCC  Clause 30)</w:t>
        </w:r>
        <w:r w:rsidR="006C1BE5">
          <w:tab/>
        </w:r>
        <w:r w:rsidR="006C1BE5">
          <w:fldChar w:fldCharType="begin"/>
        </w:r>
        <w:r w:rsidR="006C1BE5">
          <w:instrText xml:space="preserve"> PAGEREF _Toc42782272 \h </w:instrText>
        </w:r>
        <w:r w:rsidR="006C1BE5">
          <w:fldChar w:fldCharType="separate"/>
        </w:r>
        <w:r w:rsidR="00060F24">
          <w:rPr>
            <w:noProof/>
          </w:rPr>
          <w:t>368</w:t>
        </w:r>
        <w:r w:rsidR="006C1BE5">
          <w:fldChar w:fldCharType="end"/>
        </w:r>
      </w:hyperlink>
    </w:p>
    <w:p w14:paraId="7F859532" w14:textId="6971E89D" w:rsidR="00157AAA" w:rsidRDefault="00000000">
      <w:pPr>
        <w:pStyle w:val="TOC1"/>
        <w:rPr>
          <w:rFonts w:asciiTheme="minorHAnsi" w:eastAsiaTheme="minorEastAsia" w:hAnsiTheme="minorHAnsi" w:cstheme="minorBidi"/>
          <w:b w:val="0"/>
          <w:sz w:val="22"/>
          <w:szCs w:val="22"/>
        </w:rPr>
      </w:pPr>
      <w:hyperlink w:anchor="_Toc42782273" w:tooltip="#_Toc42782273" w:history="1">
        <w:r w:rsidR="006C1BE5">
          <w:rPr>
            <w:rStyle w:val="Hyperlink"/>
            <w:rFonts w:ascii="Times New Roman" w:hAnsi="Times New Roman"/>
          </w:rPr>
          <w:t>G.  Risk Distribution</w:t>
        </w:r>
        <w:r w:rsidR="006C1BE5">
          <w:tab/>
        </w:r>
        <w:r w:rsidR="006C1BE5">
          <w:fldChar w:fldCharType="begin"/>
        </w:r>
        <w:r w:rsidR="006C1BE5">
          <w:instrText xml:space="preserve"> PAGEREF _Toc42782273 \h </w:instrText>
        </w:r>
        <w:r w:rsidR="006C1BE5">
          <w:fldChar w:fldCharType="separate"/>
        </w:r>
        <w:r w:rsidR="00060F24">
          <w:rPr>
            <w:noProof/>
          </w:rPr>
          <w:t>368</w:t>
        </w:r>
        <w:r w:rsidR="006C1BE5">
          <w:fldChar w:fldCharType="end"/>
        </w:r>
      </w:hyperlink>
    </w:p>
    <w:p w14:paraId="42B996F9" w14:textId="51F5B949" w:rsidR="00157AAA" w:rsidRDefault="00000000">
      <w:pPr>
        <w:pStyle w:val="TOC2"/>
        <w:rPr>
          <w:rFonts w:asciiTheme="minorHAnsi" w:eastAsiaTheme="minorEastAsia" w:hAnsiTheme="minorHAnsi" w:cstheme="minorBidi"/>
          <w:sz w:val="22"/>
          <w:szCs w:val="22"/>
        </w:rPr>
      </w:pPr>
      <w:hyperlink w:anchor="_Toc42782274" w:tooltip="#_Toc42782274" w:history="1">
        <w:r w:rsidR="006C1BE5">
          <w:rPr>
            <w:rStyle w:val="Hyperlink"/>
          </w:rPr>
          <w:t>Insurances</w:t>
        </w:r>
        <w:r w:rsidR="006C1BE5">
          <w:rPr>
            <w:rStyle w:val="Hyperlink"/>
            <w:lang w:val="fr-FR"/>
          </w:rPr>
          <w:t xml:space="preserve"> ( GCC  Clause 37)</w:t>
        </w:r>
        <w:r w:rsidR="006C1BE5">
          <w:tab/>
        </w:r>
        <w:r w:rsidR="006C1BE5">
          <w:fldChar w:fldCharType="begin"/>
        </w:r>
        <w:r w:rsidR="006C1BE5">
          <w:instrText xml:space="preserve"> PAGEREF _Toc42782274 \h </w:instrText>
        </w:r>
        <w:r w:rsidR="006C1BE5">
          <w:fldChar w:fldCharType="separate"/>
        </w:r>
        <w:r w:rsidR="00060F24">
          <w:rPr>
            <w:noProof/>
          </w:rPr>
          <w:t>368</w:t>
        </w:r>
        <w:r w:rsidR="006C1BE5">
          <w:fldChar w:fldCharType="end"/>
        </w:r>
      </w:hyperlink>
    </w:p>
    <w:p w14:paraId="64E1B961" w14:textId="5AD1FD1C" w:rsidR="00157AAA" w:rsidRDefault="00000000">
      <w:pPr>
        <w:pStyle w:val="TOC1"/>
        <w:rPr>
          <w:rFonts w:asciiTheme="minorHAnsi" w:eastAsiaTheme="minorEastAsia" w:hAnsiTheme="minorHAnsi" w:cstheme="minorBidi"/>
          <w:b w:val="0"/>
          <w:sz w:val="22"/>
          <w:szCs w:val="22"/>
        </w:rPr>
      </w:pPr>
      <w:hyperlink w:anchor="_Toc42782275" w:tooltip="#_Toc42782275" w:history="1">
        <w:r w:rsidR="006C1BE5">
          <w:rPr>
            <w:rStyle w:val="Hyperlink"/>
            <w:rFonts w:ascii="Times New Roman" w:hAnsi="Times New Roman"/>
          </w:rPr>
          <w:t>H.  Change in Contract Elements</w:t>
        </w:r>
        <w:r w:rsidR="006C1BE5">
          <w:tab/>
        </w:r>
        <w:r w:rsidR="006C1BE5">
          <w:fldChar w:fldCharType="begin"/>
        </w:r>
        <w:r w:rsidR="006C1BE5">
          <w:instrText xml:space="preserve"> PAGEREF _Toc42782275 \h </w:instrText>
        </w:r>
        <w:r w:rsidR="006C1BE5">
          <w:fldChar w:fldCharType="separate"/>
        </w:r>
        <w:r w:rsidR="00060F24">
          <w:rPr>
            <w:noProof/>
          </w:rPr>
          <w:t>368</w:t>
        </w:r>
        <w:r w:rsidR="006C1BE5">
          <w:fldChar w:fldCharType="end"/>
        </w:r>
      </w:hyperlink>
    </w:p>
    <w:p w14:paraId="42919FCC" w14:textId="44E801F9" w:rsidR="00157AAA" w:rsidRDefault="00000000">
      <w:pPr>
        <w:pStyle w:val="TOC2"/>
        <w:rPr>
          <w:rFonts w:asciiTheme="minorHAnsi" w:eastAsiaTheme="minorEastAsia" w:hAnsiTheme="minorHAnsi" w:cstheme="minorBidi"/>
          <w:sz w:val="22"/>
          <w:szCs w:val="22"/>
        </w:rPr>
      </w:pPr>
      <w:hyperlink w:anchor="_Toc42782276" w:tooltip="#_Toc42782276" w:history="1">
        <w:r w:rsidR="006C1BE5">
          <w:rPr>
            <w:rStyle w:val="Hyperlink"/>
          </w:rPr>
          <w:t>Changes to the System ( GCC  Clause 39)</w:t>
        </w:r>
        <w:r w:rsidR="006C1BE5">
          <w:tab/>
        </w:r>
        <w:r w:rsidR="006C1BE5">
          <w:fldChar w:fldCharType="begin"/>
        </w:r>
        <w:r w:rsidR="006C1BE5">
          <w:instrText xml:space="preserve"> PAGEREF _Toc42782276 \h </w:instrText>
        </w:r>
        <w:r w:rsidR="006C1BE5">
          <w:fldChar w:fldCharType="separate"/>
        </w:r>
        <w:r w:rsidR="00060F24">
          <w:rPr>
            <w:noProof/>
          </w:rPr>
          <w:t>368</w:t>
        </w:r>
        <w:r w:rsidR="006C1BE5">
          <w:fldChar w:fldCharType="end"/>
        </w:r>
      </w:hyperlink>
    </w:p>
    <w:p w14:paraId="67AC1B9D" w14:textId="13A08F64" w:rsidR="00157AAA" w:rsidRDefault="00000000">
      <w:pPr>
        <w:pStyle w:val="TOC1"/>
        <w:rPr>
          <w:rFonts w:asciiTheme="minorHAnsi" w:eastAsiaTheme="minorEastAsia" w:hAnsiTheme="minorHAnsi" w:cstheme="minorBidi"/>
          <w:b w:val="0"/>
          <w:sz w:val="22"/>
          <w:szCs w:val="22"/>
        </w:rPr>
      </w:pPr>
      <w:hyperlink w:anchor="_Toc42782277" w:tooltip="#_Toc42782277" w:history="1">
        <w:r w:rsidR="006C1BE5">
          <w:rPr>
            <w:rStyle w:val="Hyperlink"/>
          </w:rPr>
          <w:t>I.  Settlement of Disputes</w:t>
        </w:r>
        <w:r w:rsidR="006C1BE5">
          <w:tab/>
        </w:r>
        <w:r w:rsidR="006C1BE5">
          <w:fldChar w:fldCharType="begin"/>
        </w:r>
        <w:r w:rsidR="006C1BE5">
          <w:instrText xml:space="preserve"> PAGEREF _Toc42782277 \h </w:instrText>
        </w:r>
        <w:r w:rsidR="006C1BE5">
          <w:fldChar w:fldCharType="separate"/>
        </w:r>
        <w:r w:rsidR="00060F24">
          <w:rPr>
            <w:noProof/>
          </w:rPr>
          <w:t>368</w:t>
        </w:r>
        <w:r w:rsidR="006C1BE5">
          <w:fldChar w:fldCharType="end"/>
        </w:r>
      </w:hyperlink>
    </w:p>
    <w:p w14:paraId="50AC5351" w14:textId="11A9B251" w:rsidR="00157AAA" w:rsidRDefault="00000000">
      <w:pPr>
        <w:pStyle w:val="TOC2"/>
        <w:rPr>
          <w:rFonts w:asciiTheme="minorHAnsi" w:eastAsiaTheme="minorEastAsia" w:hAnsiTheme="minorHAnsi" w:cstheme="minorBidi"/>
          <w:sz w:val="22"/>
          <w:szCs w:val="22"/>
        </w:rPr>
      </w:pPr>
      <w:hyperlink w:anchor="_Toc42782278" w:tooltip="#_Toc42782278" w:history="1">
        <w:r w:rsidR="006C1BE5">
          <w:rPr>
            <w:rStyle w:val="Hyperlink"/>
          </w:rPr>
          <w:t>Settlement of Disputes (GCC Clause 43)</w:t>
        </w:r>
        <w:r w:rsidR="006C1BE5">
          <w:tab/>
        </w:r>
        <w:r w:rsidR="006C1BE5">
          <w:fldChar w:fldCharType="begin"/>
        </w:r>
        <w:r w:rsidR="006C1BE5">
          <w:instrText xml:space="preserve"> PAGEREF _Toc42782278 \h </w:instrText>
        </w:r>
        <w:r w:rsidR="006C1BE5">
          <w:fldChar w:fldCharType="separate"/>
        </w:r>
        <w:r w:rsidR="00060F24">
          <w:rPr>
            <w:noProof/>
          </w:rPr>
          <w:t>368</w:t>
        </w:r>
        <w:r w:rsidR="006C1BE5">
          <w:fldChar w:fldCharType="end"/>
        </w:r>
      </w:hyperlink>
    </w:p>
    <w:p w14:paraId="7E0518DF" w14:textId="77777777" w:rsidR="00157AAA" w:rsidRDefault="006C1BE5">
      <w:pPr>
        <w:rPr>
          <w:sz w:val="22"/>
        </w:rPr>
      </w:pPr>
      <w:r>
        <w:lastRenderedPageBreak/>
        <w:fldChar w:fldCharType="end"/>
      </w:r>
    </w:p>
    <w:p w14:paraId="24982A09" w14:textId="77777777" w:rsidR="00157AAA" w:rsidRDefault="006C1BE5">
      <w:pPr>
        <w:jc w:val="center"/>
        <w:rPr>
          <w:b/>
          <w:sz w:val="36"/>
        </w:rPr>
      </w:pPr>
      <w:bookmarkStart w:id="917" w:name="_Hlt495537193"/>
      <w:bookmarkStart w:id="918" w:name="_Hlt495537202"/>
      <w:bookmarkEnd w:id="917"/>
      <w:bookmarkEnd w:id="918"/>
      <w:r>
        <w:rPr>
          <w:b/>
          <w:sz w:val="36"/>
        </w:rPr>
        <w:t>Special Conditions of Contract</w:t>
      </w:r>
    </w:p>
    <w:p w14:paraId="7C915B08" w14:textId="77777777" w:rsidR="00157AAA" w:rsidRDefault="006C1BE5">
      <w:r>
        <w:t xml:space="preserve">The following Special Conditions of Contract (SCC) shall supplement or amend the General Conditions of Contract (GCC).  Whenever there is a conflict, the provisions of the SCC shall prevail over those in the General Conditions of Contract.  For the purposes of clarity, any referenced GCC clause numbers are indicated in the left column of the SCC.  </w:t>
      </w:r>
    </w:p>
    <w:p w14:paraId="6F5E31D9" w14:textId="77777777" w:rsidR="00157AAA" w:rsidRDefault="006C1BE5">
      <w:pPr>
        <w:pStyle w:val="Head71"/>
        <w:rPr>
          <w:rFonts w:ascii="Times New Roman" w:hAnsi="Times New Roman"/>
        </w:rPr>
      </w:pPr>
      <w:bookmarkStart w:id="919" w:name="_Toc521497286"/>
      <w:bookmarkStart w:id="920" w:name="_Toc252363600"/>
      <w:bookmarkStart w:id="921" w:name="_Toc42782247"/>
      <w:r>
        <w:rPr>
          <w:rFonts w:ascii="Times New Roman" w:hAnsi="Times New Roman"/>
        </w:rPr>
        <w:t>A.  Contract and Interpretation</w:t>
      </w:r>
      <w:bookmarkEnd w:id="919"/>
      <w:bookmarkEnd w:id="920"/>
      <w:bookmarkEnd w:id="921"/>
    </w:p>
    <w:p w14:paraId="0BAB3A10" w14:textId="77777777" w:rsidR="00157AAA" w:rsidRDefault="006C1BE5">
      <w:pPr>
        <w:pStyle w:val="Head72"/>
        <w:numPr>
          <w:ilvl w:val="0"/>
          <w:numId w:val="0"/>
        </w:numPr>
        <w:ind w:left="360"/>
      </w:pPr>
      <w:bookmarkStart w:id="922" w:name="_Toc521497287"/>
      <w:bookmarkStart w:id="923" w:name="_Toc252363601"/>
      <w:bookmarkStart w:id="924" w:name="_Toc42782248"/>
      <w:r>
        <w:t>Definitions (GCC Clause 1)</w:t>
      </w:r>
      <w:bookmarkEnd w:id="922"/>
      <w:bookmarkEnd w:id="923"/>
      <w:bookmarkEnd w:id="924"/>
      <w:r>
        <w:tab/>
      </w: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40EA06C8" w14:textId="77777777">
        <w:tc>
          <w:tcPr>
            <w:tcW w:w="1872" w:type="dxa"/>
          </w:tcPr>
          <w:p w14:paraId="42DF1E67" w14:textId="77777777" w:rsidR="00157AAA" w:rsidRDefault="006C1BE5">
            <w:pPr>
              <w:spacing w:after="0"/>
              <w:ind w:right="-72" w:firstLine="14"/>
              <w:jc w:val="left"/>
            </w:pPr>
            <w:r>
              <w:t xml:space="preserve"> </w:t>
            </w:r>
            <w:proofErr w:type="gramStart"/>
            <w:r>
              <w:t>GCC  1.1</w:t>
            </w:r>
            <w:proofErr w:type="gramEnd"/>
            <w:r>
              <w:t xml:space="preserve"> (a) (ix)</w:t>
            </w:r>
          </w:p>
        </w:tc>
        <w:tc>
          <w:tcPr>
            <w:tcW w:w="7236" w:type="dxa"/>
          </w:tcPr>
          <w:p w14:paraId="049E1DCD" w14:textId="6636010B" w:rsidR="00157AAA" w:rsidRDefault="006C1BE5" w:rsidP="003A79EB">
            <w:pPr>
              <w:spacing w:after="240"/>
              <w:ind w:left="720" w:right="-72" w:hanging="720"/>
            </w:pPr>
            <w:r>
              <w:t xml:space="preserve">The applicable edition of the Procurement Regulation is dated: </w:t>
            </w:r>
            <w:r w:rsidR="003A79EB" w:rsidRPr="003A79EB">
              <w:rPr>
                <w:b/>
              </w:rPr>
              <w:t xml:space="preserve">July 2016, revised November </w:t>
            </w:r>
            <w:proofErr w:type="gramStart"/>
            <w:r w:rsidR="003A79EB" w:rsidRPr="003A79EB">
              <w:rPr>
                <w:b/>
              </w:rPr>
              <w:t>2017</w:t>
            </w:r>
            <w:proofErr w:type="gramEnd"/>
            <w:r w:rsidR="003A79EB" w:rsidRPr="003A79EB">
              <w:rPr>
                <w:b/>
              </w:rPr>
              <w:t xml:space="preserve"> and August 2018</w:t>
            </w:r>
          </w:p>
        </w:tc>
      </w:tr>
      <w:tr w:rsidR="00157AAA" w14:paraId="3B586CAE" w14:textId="77777777">
        <w:tc>
          <w:tcPr>
            <w:tcW w:w="1872" w:type="dxa"/>
          </w:tcPr>
          <w:p w14:paraId="6D13012B" w14:textId="77777777" w:rsidR="00157AAA" w:rsidRDefault="006C1BE5">
            <w:pPr>
              <w:spacing w:after="0"/>
              <w:ind w:right="-72" w:firstLine="14"/>
              <w:jc w:val="left"/>
            </w:pPr>
            <w:r>
              <w:t xml:space="preserve"> </w:t>
            </w:r>
            <w:proofErr w:type="gramStart"/>
            <w:r>
              <w:t>GCC  1.1</w:t>
            </w:r>
            <w:proofErr w:type="gramEnd"/>
            <w:r>
              <w:t xml:space="preserve"> (b) (</w:t>
            </w:r>
            <w:proofErr w:type="spellStart"/>
            <w:r>
              <w:t>i</w:t>
            </w:r>
            <w:proofErr w:type="spellEnd"/>
            <w:r>
              <w:t>)</w:t>
            </w:r>
          </w:p>
        </w:tc>
        <w:tc>
          <w:tcPr>
            <w:tcW w:w="7236" w:type="dxa"/>
          </w:tcPr>
          <w:p w14:paraId="60E4FB0E" w14:textId="77777777" w:rsidR="00157AAA" w:rsidRDefault="006C1BE5">
            <w:pPr>
              <w:spacing w:after="160"/>
              <w:ind w:left="720" w:right="-72" w:hanging="720"/>
              <w:rPr>
                <w:b/>
                <w:iCs/>
              </w:rPr>
            </w:pPr>
            <w:r>
              <w:t xml:space="preserve">The Purchaser is: </w:t>
            </w:r>
            <w:r w:rsidR="003A79EB" w:rsidRPr="00B16E5B">
              <w:rPr>
                <w:b/>
                <w:iCs/>
              </w:rPr>
              <w:t>Ministry of Transport and Communications</w:t>
            </w:r>
          </w:p>
          <w:p w14:paraId="0D20B8A6" w14:textId="75861F81" w:rsidR="003572C8" w:rsidRDefault="003572C8">
            <w:pPr>
              <w:spacing w:after="160"/>
              <w:ind w:left="720" w:right="-72" w:hanging="720"/>
            </w:pPr>
            <w:r w:rsidRPr="009F78E6">
              <w:t>The beneficiary is</w:t>
            </w:r>
            <w:r w:rsidR="009D1CBF">
              <w:t>:</w:t>
            </w:r>
            <w:r w:rsidRPr="009F78E6">
              <w:t xml:space="preserve"> </w:t>
            </w:r>
            <w:r w:rsidRPr="009F78E6">
              <w:rPr>
                <w:b/>
              </w:rPr>
              <w:t xml:space="preserve">Customs </w:t>
            </w:r>
            <w:r>
              <w:rPr>
                <w:b/>
              </w:rPr>
              <w:t>Administration</w:t>
            </w:r>
            <w:r w:rsidR="009D1CBF">
              <w:rPr>
                <w:b/>
              </w:rPr>
              <w:t xml:space="preserve"> (CA)</w:t>
            </w:r>
          </w:p>
        </w:tc>
      </w:tr>
      <w:tr w:rsidR="00157AAA" w14:paraId="708758F0" w14:textId="77777777">
        <w:tc>
          <w:tcPr>
            <w:tcW w:w="1872" w:type="dxa"/>
          </w:tcPr>
          <w:p w14:paraId="4A4E27C7" w14:textId="77777777" w:rsidR="00157AAA" w:rsidRDefault="006C1BE5">
            <w:pPr>
              <w:spacing w:after="0"/>
              <w:ind w:right="-72" w:firstLine="14"/>
              <w:jc w:val="left"/>
            </w:pPr>
            <w:r>
              <w:t xml:space="preserve"> </w:t>
            </w:r>
            <w:proofErr w:type="gramStart"/>
            <w:r>
              <w:t>GCC  1.1</w:t>
            </w:r>
            <w:proofErr w:type="gramEnd"/>
            <w:r>
              <w:t xml:space="preserve"> (b) (ii)</w:t>
            </w:r>
          </w:p>
        </w:tc>
        <w:tc>
          <w:tcPr>
            <w:tcW w:w="7236" w:type="dxa"/>
          </w:tcPr>
          <w:p w14:paraId="3A6BD476" w14:textId="77777777" w:rsidR="00157AAA" w:rsidRDefault="006C1BE5">
            <w:pPr>
              <w:spacing w:after="160"/>
              <w:ind w:left="720" w:right="-72" w:hanging="720"/>
            </w:pPr>
            <w:r>
              <w:t xml:space="preserve">The Project Manager </w:t>
            </w:r>
            <w:proofErr w:type="gramStart"/>
            <w:r>
              <w:t>is:</w:t>
            </w:r>
            <w:proofErr w:type="gramEnd"/>
            <w:r>
              <w:t xml:space="preserve"> </w:t>
            </w:r>
            <w:r w:rsidR="003A79EB" w:rsidRPr="001F59B7">
              <w:rPr>
                <w:b/>
              </w:rPr>
              <w:t>Harita Pandovska</w:t>
            </w:r>
            <w:r w:rsidR="003A79EB">
              <w:t>, WBTTFP Project Director</w:t>
            </w:r>
          </w:p>
          <w:p w14:paraId="3358CB98" w14:textId="6F4D907D" w:rsidR="003572C8" w:rsidRDefault="003572C8" w:rsidP="003572C8">
            <w:pPr>
              <w:tabs>
                <w:tab w:val="right" w:pos="7164"/>
              </w:tabs>
              <w:spacing w:before="120"/>
            </w:pPr>
            <w:r w:rsidRPr="00D9028E">
              <w:t xml:space="preserve">and </w:t>
            </w:r>
            <w:r w:rsidRPr="003572C8">
              <w:rPr>
                <w:rStyle w:val="Hyperlink"/>
                <w:b/>
                <w:color w:val="auto"/>
                <w:spacing w:val="-2"/>
              </w:rPr>
              <w:t>CA responsible personnel</w:t>
            </w:r>
            <w:r w:rsidRPr="003572C8">
              <w:rPr>
                <w:rStyle w:val="Hyperlink"/>
                <w:color w:val="auto"/>
                <w:spacing w:val="-2"/>
              </w:rPr>
              <w:t>;</w:t>
            </w:r>
          </w:p>
        </w:tc>
      </w:tr>
      <w:tr w:rsidR="00157AAA" w14:paraId="72EBF080" w14:textId="77777777">
        <w:tc>
          <w:tcPr>
            <w:tcW w:w="1872" w:type="dxa"/>
          </w:tcPr>
          <w:p w14:paraId="136BDD69" w14:textId="77777777" w:rsidR="00157AAA" w:rsidRDefault="006C1BE5">
            <w:pPr>
              <w:spacing w:after="0"/>
              <w:ind w:right="-72" w:firstLine="14"/>
              <w:jc w:val="left"/>
            </w:pPr>
            <w:r>
              <w:t xml:space="preserve"> </w:t>
            </w:r>
            <w:proofErr w:type="gramStart"/>
            <w:r>
              <w:t>GCC  1.1</w:t>
            </w:r>
            <w:proofErr w:type="gramEnd"/>
            <w:r>
              <w:t xml:space="preserve"> (e) (</w:t>
            </w:r>
            <w:proofErr w:type="spellStart"/>
            <w:r>
              <w:t>i</w:t>
            </w:r>
            <w:proofErr w:type="spellEnd"/>
            <w:r>
              <w:t>)</w:t>
            </w:r>
          </w:p>
        </w:tc>
        <w:tc>
          <w:tcPr>
            <w:tcW w:w="7236" w:type="dxa"/>
          </w:tcPr>
          <w:p w14:paraId="2C19C01D" w14:textId="6B828442" w:rsidR="00157AAA" w:rsidRDefault="006C1BE5">
            <w:pPr>
              <w:spacing w:after="240"/>
              <w:ind w:left="720" w:right="-72" w:hanging="720"/>
            </w:pPr>
            <w:r>
              <w:t xml:space="preserve">The Purchaser’s Country </w:t>
            </w:r>
            <w:proofErr w:type="gramStart"/>
            <w:r>
              <w:t>is:</w:t>
            </w:r>
            <w:proofErr w:type="gramEnd"/>
            <w:r>
              <w:t xml:space="preserve">  </w:t>
            </w:r>
            <w:r w:rsidR="003A79EB" w:rsidRPr="00B16E5B">
              <w:rPr>
                <w:b/>
                <w:iCs/>
              </w:rPr>
              <w:t>Republic of North Macedonia</w:t>
            </w:r>
          </w:p>
        </w:tc>
      </w:tr>
      <w:tr w:rsidR="00157AAA" w14:paraId="260B30BE" w14:textId="77777777">
        <w:tc>
          <w:tcPr>
            <w:tcW w:w="1872" w:type="dxa"/>
          </w:tcPr>
          <w:p w14:paraId="607641C7" w14:textId="77777777" w:rsidR="00157AAA" w:rsidRDefault="006C1BE5">
            <w:pPr>
              <w:spacing w:after="0"/>
              <w:ind w:right="-72" w:firstLine="18"/>
              <w:jc w:val="left"/>
              <w:rPr>
                <w:lang w:val="es-ES"/>
              </w:rPr>
            </w:pPr>
            <w:r>
              <w:rPr>
                <w:lang w:val="es-ES"/>
              </w:rPr>
              <w:t>GCC 1.1 (e) (x)</w:t>
            </w:r>
          </w:p>
        </w:tc>
        <w:tc>
          <w:tcPr>
            <w:tcW w:w="7236" w:type="dxa"/>
          </w:tcPr>
          <w:p w14:paraId="5CD30246" w14:textId="661D8F62" w:rsidR="00157AAA" w:rsidRPr="00D30E2A" w:rsidRDefault="006C1BE5" w:rsidP="00D30E2A">
            <w:pPr>
              <w:spacing w:after="240"/>
              <w:ind w:left="734" w:right="-72" w:hanging="734"/>
              <w:rPr>
                <w:b/>
                <w:iCs/>
              </w:rPr>
            </w:pPr>
            <w:r>
              <w:rPr>
                <w:rStyle w:val="preparersnote"/>
                <w:i w:val="0"/>
              </w:rPr>
              <w:t>There are no Special Conditions associated with GCC 1.1 (e) (x).</w:t>
            </w:r>
          </w:p>
        </w:tc>
      </w:tr>
      <w:tr w:rsidR="00157AAA" w14:paraId="1AF50F1D" w14:textId="77777777">
        <w:tc>
          <w:tcPr>
            <w:tcW w:w="1872" w:type="dxa"/>
          </w:tcPr>
          <w:p w14:paraId="16599F6D" w14:textId="77777777" w:rsidR="00157AAA" w:rsidRDefault="006C1BE5">
            <w:pPr>
              <w:spacing w:after="0"/>
              <w:ind w:right="-72" w:firstLine="18"/>
              <w:jc w:val="left"/>
              <w:rPr>
                <w:lang w:val="es-ES"/>
              </w:rPr>
            </w:pPr>
            <w:r>
              <w:rPr>
                <w:lang w:val="es-ES"/>
              </w:rPr>
              <w:t>GCC 1.1 (e) (</w:t>
            </w:r>
            <w:proofErr w:type="spellStart"/>
            <w:r>
              <w:rPr>
                <w:lang w:val="es-ES"/>
              </w:rPr>
              <w:t>xiii</w:t>
            </w:r>
            <w:proofErr w:type="spellEnd"/>
            <w:r>
              <w:rPr>
                <w:lang w:val="es-ES"/>
              </w:rPr>
              <w:t>)</w:t>
            </w:r>
          </w:p>
        </w:tc>
        <w:tc>
          <w:tcPr>
            <w:tcW w:w="7236" w:type="dxa"/>
          </w:tcPr>
          <w:p w14:paraId="0745C722" w14:textId="1A00434F" w:rsidR="00157AAA" w:rsidRDefault="006C1BE5" w:rsidP="00D30E2A">
            <w:pPr>
              <w:spacing w:after="240"/>
              <w:ind w:left="734" w:right="-72" w:hanging="734"/>
              <w:rPr>
                <w:rStyle w:val="preparersnote"/>
                <w:i w:val="0"/>
              </w:rPr>
            </w:pPr>
            <w:r>
              <w:t xml:space="preserve">The Post-Warranty Services Period </w:t>
            </w:r>
            <w:proofErr w:type="gramStart"/>
            <w:r>
              <w:t>is</w:t>
            </w:r>
            <w:r w:rsidR="00D30E2A">
              <w:t>:</w:t>
            </w:r>
            <w:proofErr w:type="gramEnd"/>
            <w:r w:rsidR="00D30E2A">
              <w:t xml:space="preserve"> </w:t>
            </w:r>
            <w:r w:rsidR="00D30E2A" w:rsidRPr="00D30E2A">
              <w:rPr>
                <w:b/>
              </w:rPr>
              <w:t>not applicable</w:t>
            </w:r>
          </w:p>
        </w:tc>
      </w:tr>
    </w:tbl>
    <w:p w14:paraId="46518202" w14:textId="77777777" w:rsidR="00157AAA" w:rsidRDefault="006C1BE5">
      <w:pPr>
        <w:pStyle w:val="Head72"/>
        <w:numPr>
          <w:ilvl w:val="0"/>
          <w:numId w:val="0"/>
        </w:numPr>
        <w:ind w:left="360"/>
      </w:pPr>
      <w:bookmarkStart w:id="925" w:name="_Toc521497290"/>
      <w:bookmarkStart w:id="926" w:name="_Toc252363604"/>
      <w:bookmarkStart w:id="927" w:name="_Toc42782249"/>
      <w:r>
        <w:t xml:space="preserve">Notices </w:t>
      </w:r>
      <w:proofErr w:type="gramStart"/>
      <w:r>
        <w:t>( GCC</w:t>
      </w:r>
      <w:proofErr w:type="gramEnd"/>
      <w:r>
        <w:t xml:space="preserve">  Clause 4)</w:t>
      </w:r>
      <w:bookmarkEnd w:id="925"/>
      <w:bookmarkEnd w:id="926"/>
      <w:bookmarkEnd w:id="927"/>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5CC7E5B7" w14:textId="77777777">
        <w:tc>
          <w:tcPr>
            <w:tcW w:w="1872" w:type="dxa"/>
          </w:tcPr>
          <w:p w14:paraId="3FF56297" w14:textId="77777777" w:rsidR="00157AAA" w:rsidRDefault="006C1BE5">
            <w:pPr>
              <w:spacing w:after="0"/>
              <w:ind w:right="-72" w:firstLine="14"/>
            </w:pPr>
            <w:r>
              <w:t xml:space="preserve"> GCC  4.3</w:t>
            </w:r>
          </w:p>
        </w:tc>
        <w:tc>
          <w:tcPr>
            <w:tcW w:w="7236" w:type="dxa"/>
          </w:tcPr>
          <w:p w14:paraId="43D408DB" w14:textId="7E0AC64C" w:rsidR="003A79EB" w:rsidRDefault="006C1BE5" w:rsidP="003A79EB">
            <w:pPr>
              <w:spacing w:after="160"/>
              <w:ind w:left="734" w:right="-72" w:hanging="734"/>
            </w:pPr>
            <w:r>
              <w:t>A</w:t>
            </w:r>
            <w:r w:rsidR="003A79EB">
              <w:t>ddress of the Project Manager:</w:t>
            </w:r>
          </w:p>
          <w:p w14:paraId="79C20325" w14:textId="77777777" w:rsidR="003A79EB" w:rsidRPr="004A2C5F" w:rsidRDefault="003A79EB" w:rsidP="003A79EB">
            <w:pPr>
              <w:tabs>
                <w:tab w:val="right" w:pos="7164"/>
              </w:tabs>
              <w:spacing w:before="120"/>
            </w:pPr>
            <w:r w:rsidRPr="004A2C5F">
              <w:t xml:space="preserve">Street Address: </w:t>
            </w:r>
            <w:proofErr w:type="spellStart"/>
            <w:r w:rsidRPr="00B16E5B">
              <w:rPr>
                <w:iCs/>
              </w:rPr>
              <w:t>Crvena</w:t>
            </w:r>
            <w:proofErr w:type="spellEnd"/>
            <w:r w:rsidRPr="00B16E5B">
              <w:rPr>
                <w:iCs/>
              </w:rPr>
              <w:t xml:space="preserve"> Skopska </w:t>
            </w:r>
            <w:proofErr w:type="spellStart"/>
            <w:r w:rsidRPr="00B16E5B">
              <w:rPr>
                <w:iCs/>
              </w:rPr>
              <w:t>Opstina</w:t>
            </w:r>
            <w:proofErr w:type="spellEnd"/>
            <w:r w:rsidRPr="00B16E5B">
              <w:rPr>
                <w:iCs/>
              </w:rPr>
              <w:t>, No. 4, 1000 Skopje</w:t>
            </w:r>
          </w:p>
          <w:p w14:paraId="22FFA98A" w14:textId="77777777" w:rsidR="003A79EB" w:rsidRPr="00B16E5B" w:rsidRDefault="003A79EB" w:rsidP="003A79EB">
            <w:pPr>
              <w:tabs>
                <w:tab w:val="right" w:pos="7164"/>
              </w:tabs>
              <w:spacing w:before="120"/>
            </w:pPr>
            <w:r w:rsidRPr="004A2C5F">
              <w:t>Floor/ Room number</w:t>
            </w:r>
            <w:r w:rsidRPr="00B16E5B">
              <w:rPr>
                <w:iCs/>
              </w:rPr>
              <w:t>:</w:t>
            </w:r>
            <w:r>
              <w:rPr>
                <w:iCs/>
              </w:rPr>
              <w:t xml:space="preserve"> 5</w:t>
            </w:r>
            <w:r w:rsidRPr="00B16E5B">
              <w:rPr>
                <w:iCs/>
                <w:vertAlign w:val="superscript"/>
              </w:rPr>
              <w:t>th</w:t>
            </w:r>
            <w:r>
              <w:rPr>
                <w:iCs/>
              </w:rPr>
              <w:t xml:space="preserve"> floor</w:t>
            </w:r>
          </w:p>
          <w:p w14:paraId="4517D9CA" w14:textId="77777777" w:rsidR="003A79EB" w:rsidRPr="004A2C5F" w:rsidRDefault="003A79EB" w:rsidP="003A79EB">
            <w:pPr>
              <w:tabs>
                <w:tab w:val="right" w:pos="7164"/>
              </w:tabs>
              <w:spacing w:before="120"/>
            </w:pPr>
            <w:r w:rsidRPr="004A2C5F">
              <w:t xml:space="preserve">City: </w:t>
            </w:r>
            <w:r>
              <w:t>Skopje</w:t>
            </w:r>
          </w:p>
          <w:p w14:paraId="3F0AFF3D" w14:textId="77777777" w:rsidR="003A79EB" w:rsidRPr="004A2C5F" w:rsidRDefault="003A79EB" w:rsidP="003A79EB">
            <w:pPr>
              <w:tabs>
                <w:tab w:val="right" w:pos="7164"/>
              </w:tabs>
              <w:spacing w:before="120"/>
            </w:pPr>
            <w:r w:rsidRPr="004A2C5F">
              <w:t>ZIP Code:</w:t>
            </w:r>
            <w:r w:rsidRPr="00B16E5B">
              <w:t xml:space="preserve"> </w:t>
            </w:r>
            <w:r w:rsidRPr="00B16E5B">
              <w:rPr>
                <w:iCs/>
              </w:rPr>
              <w:t>1000</w:t>
            </w:r>
          </w:p>
          <w:p w14:paraId="23EE8D5F" w14:textId="77777777" w:rsidR="003A79EB" w:rsidRDefault="003A79EB" w:rsidP="003A79EB">
            <w:pPr>
              <w:tabs>
                <w:tab w:val="right" w:pos="7164"/>
              </w:tabs>
              <w:spacing w:before="120"/>
              <w:rPr>
                <w:iCs/>
              </w:rPr>
            </w:pPr>
            <w:r w:rsidRPr="004A2C5F">
              <w:t xml:space="preserve">Country: </w:t>
            </w:r>
            <w:r w:rsidRPr="00B16E5B">
              <w:rPr>
                <w:iCs/>
              </w:rPr>
              <w:t xml:space="preserve">Republic of North Macedonia </w:t>
            </w:r>
          </w:p>
          <w:p w14:paraId="11B2308F" w14:textId="65421EB8" w:rsidR="003A79EB" w:rsidRDefault="003A79EB" w:rsidP="003A79EB">
            <w:pPr>
              <w:tabs>
                <w:tab w:val="right" w:pos="7164"/>
              </w:tabs>
              <w:spacing w:before="120"/>
              <w:rPr>
                <w:iCs/>
              </w:rPr>
            </w:pPr>
            <w:r w:rsidRPr="004A2C5F">
              <w:t xml:space="preserve">Telephone: </w:t>
            </w:r>
            <w:r>
              <w:rPr>
                <w:iCs/>
              </w:rPr>
              <w:t xml:space="preserve">+ 389 (0)2 3145 </w:t>
            </w:r>
            <w:proofErr w:type="gramStart"/>
            <w:r>
              <w:rPr>
                <w:iCs/>
              </w:rPr>
              <w:t>531;</w:t>
            </w:r>
            <w:proofErr w:type="gramEnd"/>
          </w:p>
          <w:p w14:paraId="6C6AF607" w14:textId="77777777" w:rsidR="00157AAA" w:rsidRDefault="003A79EB" w:rsidP="003A79EB">
            <w:pPr>
              <w:tabs>
                <w:tab w:val="right" w:pos="7164"/>
              </w:tabs>
              <w:spacing w:before="120"/>
            </w:pPr>
            <w:r w:rsidRPr="004A2C5F">
              <w:t>Electronic mail address</w:t>
            </w:r>
            <w:r>
              <w:t>es</w:t>
            </w:r>
            <w:r w:rsidRPr="00A475B9">
              <w:rPr>
                <w:iCs/>
              </w:rPr>
              <w:t>:</w:t>
            </w:r>
            <w:r w:rsidRPr="004A2C5F">
              <w:t xml:space="preserve"> </w:t>
            </w:r>
            <w:hyperlink r:id="rId151" w:history="1">
              <w:r w:rsidR="001446FD" w:rsidRPr="008E0805">
                <w:rPr>
                  <w:rStyle w:val="Hyperlink"/>
                </w:rPr>
                <w:t>harita.pandovska@piu.mtc.gov.mk</w:t>
              </w:r>
            </w:hyperlink>
            <w:r w:rsidR="001446FD">
              <w:t xml:space="preserve"> </w:t>
            </w:r>
          </w:p>
          <w:p w14:paraId="3719330A" w14:textId="31861E5C" w:rsidR="001446FD" w:rsidRPr="003A79EB" w:rsidRDefault="001446FD" w:rsidP="003A79EB">
            <w:pPr>
              <w:tabs>
                <w:tab w:val="right" w:pos="7164"/>
              </w:tabs>
              <w:spacing w:before="120"/>
              <w:rPr>
                <w:color w:val="0000FF"/>
                <w:spacing w:val="-2"/>
                <w:u w:val="single"/>
              </w:rPr>
            </w:pPr>
            <w:r>
              <w:t xml:space="preserve">and </w:t>
            </w:r>
            <w:r w:rsidRPr="001446FD">
              <w:t>CA responsible personnel</w:t>
            </w:r>
            <w:r w:rsidR="003E2B24">
              <w:t xml:space="preserve"> ___________________________</w:t>
            </w:r>
          </w:p>
        </w:tc>
      </w:tr>
    </w:tbl>
    <w:p w14:paraId="7BC48A93" w14:textId="77777777" w:rsidR="00157AAA" w:rsidRDefault="006C1BE5">
      <w:pPr>
        <w:pStyle w:val="Head71"/>
        <w:rPr>
          <w:rFonts w:ascii="Times New Roman" w:hAnsi="Times New Roman"/>
        </w:rPr>
      </w:pPr>
      <w:bookmarkStart w:id="928" w:name="_Toc521497293"/>
      <w:bookmarkStart w:id="929" w:name="_Toc252363607"/>
      <w:bookmarkStart w:id="930" w:name="_Toc42782250"/>
      <w:r>
        <w:rPr>
          <w:rFonts w:ascii="Times New Roman" w:hAnsi="Times New Roman"/>
        </w:rPr>
        <w:lastRenderedPageBreak/>
        <w:t>B.  Subject Matter of Contract</w:t>
      </w:r>
      <w:bookmarkEnd w:id="928"/>
      <w:bookmarkEnd w:id="929"/>
      <w:bookmarkEnd w:id="930"/>
    </w:p>
    <w:p w14:paraId="3E051539" w14:textId="77777777" w:rsidR="00157AAA" w:rsidRDefault="006C1BE5">
      <w:pPr>
        <w:pStyle w:val="Head72"/>
        <w:numPr>
          <w:ilvl w:val="0"/>
          <w:numId w:val="0"/>
        </w:numPr>
        <w:ind w:left="360"/>
      </w:pPr>
      <w:bookmarkStart w:id="931" w:name="_Toc521497294"/>
      <w:bookmarkStart w:id="932" w:name="_Toc252363608"/>
      <w:bookmarkStart w:id="933" w:name="_Toc42782251"/>
      <w:r>
        <w:t xml:space="preserve">Scope of the System </w:t>
      </w:r>
      <w:proofErr w:type="gramStart"/>
      <w:r>
        <w:t>( GCC</w:t>
      </w:r>
      <w:proofErr w:type="gramEnd"/>
      <w:r>
        <w:t xml:space="preserve">  Clause 7)</w:t>
      </w:r>
      <w:bookmarkEnd w:id="931"/>
      <w:bookmarkEnd w:id="932"/>
      <w:bookmarkEnd w:id="933"/>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071451D9" w14:textId="77777777">
        <w:tc>
          <w:tcPr>
            <w:tcW w:w="1872" w:type="dxa"/>
          </w:tcPr>
          <w:p w14:paraId="640C143B" w14:textId="77777777" w:rsidR="00157AAA" w:rsidRDefault="006C1BE5">
            <w:pPr>
              <w:spacing w:after="0"/>
              <w:ind w:right="-72" w:firstLine="14"/>
            </w:pPr>
            <w:r>
              <w:t xml:space="preserve"> GCC  7.3</w:t>
            </w:r>
          </w:p>
        </w:tc>
        <w:tc>
          <w:tcPr>
            <w:tcW w:w="7236" w:type="dxa"/>
          </w:tcPr>
          <w:p w14:paraId="6EA33AD1" w14:textId="298322AB" w:rsidR="00157AAA" w:rsidRDefault="006C1BE5" w:rsidP="00D30E2A">
            <w:pPr>
              <w:spacing w:after="160"/>
              <w:ind w:left="738" w:right="-72" w:hanging="738"/>
            </w:pPr>
            <w:r>
              <w:t>The Supplier’s obligations under the Contract will include the following recurrent cost items, as identified in the Recurrent Cost tables in the Supplier’s Bid:</w:t>
            </w:r>
            <w:r w:rsidR="00D30E2A">
              <w:t xml:space="preserve"> </w:t>
            </w:r>
            <w:r w:rsidR="00D30E2A" w:rsidRPr="00D30E2A">
              <w:rPr>
                <w:b/>
              </w:rPr>
              <w:t>not applicable</w:t>
            </w:r>
          </w:p>
        </w:tc>
      </w:tr>
    </w:tbl>
    <w:p w14:paraId="3194B74B" w14:textId="77777777" w:rsidR="00157AAA" w:rsidRDefault="006C1BE5">
      <w:pPr>
        <w:pStyle w:val="Head72"/>
        <w:numPr>
          <w:ilvl w:val="0"/>
          <w:numId w:val="0"/>
        </w:numPr>
        <w:ind w:left="360"/>
      </w:pPr>
      <w:bookmarkStart w:id="934" w:name="_Toc521497295"/>
      <w:bookmarkStart w:id="935" w:name="_Toc252363609"/>
      <w:bookmarkStart w:id="936" w:name="_Toc42782252"/>
      <w:r>
        <w:t xml:space="preserve">Time for Commencement and Operational Acceptance </w:t>
      </w:r>
      <w:proofErr w:type="gramStart"/>
      <w:r>
        <w:t>( GCC</w:t>
      </w:r>
      <w:proofErr w:type="gramEnd"/>
      <w:r>
        <w:t xml:space="preserve">  Clause 8)</w:t>
      </w:r>
      <w:bookmarkEnd w:id="934"/>
      <w:bookmarkEnd w:id="935"/>
      <w:bookmarkEnd w:id="936"/>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7AE25ECE" w14:textId="77777777">
        <w:tc>
          <w:tcPr>
            <w:tcW w:w="1872" w:type="dxa"/>
          </w:tcPr>
          <w:p w14:paraId="31487A56" w14:textId="77777777" w:rsidR="00157AAA" w:rsidRDefault="006C1BE5">
            <w:pPr>
              <w:spacing w:after="0"/>
              <w:ind w:right="-72" w:firstLine="14"/>
            </w:pPr>
            <w:r>
              <w:t xml:space="preserve"> GCC  8.1</w:t>
            </w:r>
          </w:p>
        </w:tc>
        <w:tc>
          <w:tcPr>
            <w:tcW w:w="7236" w:type="dxa"/>
          </w:tcPr>
          <w:p w14:paraId="5344FE50" w14:textId="77777777" w:rsidR="00A916D5" w:rsidRDefault="006C1BE5" w:rsidP="00A916D5">
            <w:pPr>
              <w:spacing w:after="0"/>
              <w:ind w:left="731" w:right="-74" w:hanging="731"/>
            </w:pPr>
            <w:r>
              <w:t>The Supplier shall comm</w:t>
            </w:r>
            <w:r w:rsidR="00A916D5">
              <w:t>ence work on the System within:</w:t>
            </w:r>
          </w:p>
          <w:p w14:paraId="4489F0A9" w14:textId="1AC35949" w:rsidR="00157AAA" w:rsidRDefault="00A916D5" w:rsidP="00A916D5">
            <w:pPr>
              <w:spacing w:after="240"/>
              <w:ind w:left="734" w:right="-72" w:hanging="734"/>
            </w:pPr>
            <w:r w:rsidRPr="0078311D">
              <w:rPr>
                <w:rStyle w:val="preparersnote"/>
                <w:i w:val="0"/>
              </w:rPr>
              <w:t>7 (seven)</w:t>
            </w:r>
            <w:r w:rsidRPr="0078311D">
              <w:rPr>
                <w:rStyle w:val="preparersnote"/>
                <w:b w:val="0"/>
              </w:rPr>
              <w:t xml:space="preserve"> </w:t>
            </w:r>
            <w:proofErr w:type="gramStart"/>
            <w:r w:rsidRPr="0078311D">
              <w:rPr>
                <w:b/>
              </w:rPr>
              <w:t>days</w:t>
            </w:r>
            <w:r w:rsidR="006C1BE5">
              <w:t xml:space="preserve">  from</w:t>
            </w:r>
            <w:proofErr w:type="gramEnd"/>
            <w:r w:rsidR="006C1BE5">
              <w:t xml:space="preserve"> the Effective Date of the Contract.</w:t>
            </w:r>
          </w:p>
        </w:tc>
      </w:tr>
    </w:tbl>
    <w:p w14:paraId="595BF5C0" w14:textId="77777777" w:rsidR="00157AAA" w:rsidRDefault="006C1BE5">
      <w:pPr>
        <w:pStyle w:val="Head72"/>
        <w:numPr>
          <w:ilvl w:val="0"/>
          <w:numId w:val="0"/>
        </w:numPr>
        <w:ind w:left="360"/>
      </w:pPr>
      <w:bookmarkStart w:id="937" w:name="_Toc521497296"/>
      <w:bookmarkStart w:id="938" w:name="_Toc252363610"/>
      <w:bookmarkStart w:id="939" w:name="_Toc42782253"/>
      <w:r>
        <w:t xml:space="preserve">Supplier’s Responsibilities </w:t>
      </w:r>
      <w:proofErr w:type="gramStart"/>
      <w:r>
        <w:t>( GCC</w:t>
      </w:r>
      <w:proofErr w:type="gramEnd"/>
      <w:r>
        <w:t xml:space="preserve">  Clause 9)</w:t>
      </w:r>
      <w:bookmarkEnd w:id="937"/>
      <w:bookmarkEnd w:id="938"/>
      <w:bookmarkEnd w:id="939"/>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59DA552" w14:textId="77777777">
        <w:tc>
          <w:tcPr>
            <w:tcW w:w="1872" w:type="dxa"/>
          </w:tcPr>
          <w:p w14:paraId="37EFBCC3" w14:textId="77777777" w:rsidR="00157AAA" w:rsidRDefault="006C1BE5">
            <w:pPr>
              <w:spacing w:after="0"/>
              <w:ind w:right="-72" w:firstLine="14"/>
            </w:pPr>
            <w:r>
              <w:t>GCC 9.1</w:t>
            </w:r>
          </w:p>
        </w:tc>
        <w:tc>
          <w:tcPr>
            <w:tcW w:w="7236" w:type="dxa"/>
          </w:tcPr>
          <w:p w14:paraId="032961E8" w14:textId="48E7BDC9" w:rsidR="00157AAA" w:rsidRDefault="00A916D5" w:rsidP="00A916D5">
            <w:r>
              <w:t>H</w:t>
            </w:r>
            <w:r w:rsidR="006C1BE5">
              <w:t>ealth and safety manual is not required</w:t>
            </w:r>
            <w:r>
              <w:t>.</w:t>
            </w:r>
          </w:p>
        </w:tc>
      </w:tr>
      <w:tr w:rsidR="00157AAA" w14:paraId="1C185D52" w14:textId="77777777">
        <w:tc>
          <w:tcPr>
            <w:tcW w:w="1872" w:type="dxa"/>
          </w:tcPr>
          <w:p w14:paraId="6BDC22CA" w14:textId="77777777" w:rsidR="00157AAA" w:rsidRDefault="006C1BE5">
            <w:pPr>
              <w:spacing w:after="0"/>
              <w:ind w:right="-72" w:firstLine="14"/>
            </w:pPr>
            <w:r>
              <w:t xml:space="preserve"> GCC  9.8</w:t>
            </w:r>
          </w:p>
        </w:tc>
        <w:tc>
          <w:tcPr>
            <w:tcW w:w="7236" w:type="dxa"/>
          </w:tcPr>
          <w:p w14:paraId="77694210" w14:textId="199D1932" w:rsidR="00157AAA" w:rsidRDefault="006C1BE5" w:rsidP="00FC58F1">
            <w:pPr>
              <w:rPr>
                <w:i/>
              </w:rPr>
            </w:pPr>
            <w:r>
              <w:t xml:space="preserve">The following sustainable procurement contractual provisions, </w:t>
            </w:r>
            <w:proofErr w:type="gramStart"/>
            <w:r>
              <w:t>apply:</w:t>
            </w:r>
            <w:proofErr w:type="gramEnd"/>
            <w:r>
              <w:t xml:space="preserve"> </w:t>
            </w:r>
            <w:r w:rsidR="00A916D5" w:rsidRPr="00A916D5">
              <w:rPr>
                <w:b/>
              </w:rPr>
              <w:t>none</w:t>
            </w:r>
            <w:r w:rsidR="00A916D5">
              <w:rPr>
                <w:b/>
              </w:rPr>
              <w:t>.</w:t>
            </w:r>
          </w:p>
        </w:tc>
      </w:tr>
      <w:tr w:rsidR="00157AAA" w14:paraId="38815E6C" w14:textId="77777777">
        <w:tc>
          <w:tcPr>
            <w:tcW w:w="1872" w:type="dxa"/>
          </w:tcPr>
          <w:p w14:paraId="6DC0CFDA" w14:textId="77777777" w:rsidR="00157AAA" w:rsidRDefault="006C1BE5">
            <w:pPr>
              <w:spacing w:after="0"/>
              <w:ind w:right="-72" w:firstLine="14"/>
            </w:pPr>
            <w:r>
              <w:t>GCC 9.18</w:t>
            </w:r>
          </w:p>
        </w:tc>
        <w:tc>
          <w:tcPr>
            <w:tcW w:w="7236" w:type="dxa"/>
          </w:tcPr>
          <w:p w14:paraId="18F2DFD3" w14:textId="5E62FEED" w:rsidR="00157AAA" w:rsidRPr="00A916D5" w:rsidRDefault="006C1BE5" w:rsidP="00A916D5">
            <w:r>
              <w:t xml:space="preserve">The Supplier </w:t>
            </w:r>
            <w:r w:rsidRPr="00A916D5">
              <w:rPr>
                <w:b/>
              </w:rPr>
              <w:t xml:space="preserve">is </w:t>
            </w:r>
            <w:r w:rsidR="00A916D5" w:rsidRPr="00A916D5">
              <w:rPr>
                <w:b/>
              </w:rPr>
              <w:t xml:space="preserve">not </w:t>
            </w:r>
            <w:r w:rsidRPr="00A916D5">
              <w:rPr>
                <w:b/>
              </w:rPr>
              <w:t>required</w:t>
            </w:r>
            <w:r>
              <w:t xml:space="preserve"> to make security arrangements for the Project Site/s.</w:t>
            </w:r>
            <w:r>
              <w:rPr>
                <w:i/>
              </w:rPr>
              <w:t xml:space="preserve"> </w:t>
            </w:r>
          </w:p>
        </w:tc>
      </w:tr>
    </w:tbl>
    <w:p w14:paraId="5610149F" w14:textId="77777777" w:rsidR="00157AAA" w:rsidRDefault="006C1BE5">
      <w:pPr>
        <w:pStyle w:val="Head71"/>
        <w:rPr>
          <w:rFonts w:ascii="Times New Roman" w:hAnsi="Times New Roman"/>
        </w:rPr>
      </w:pPr>
      <w:bookmarkStart w:id="940" w:name="_Toc521497298"/>
      <w:bookmarkStart w:id="941" w:name="_Toc252363612"/>
      <w:bookmarkStart w:id="942" w:name="_Toc42782254"/>
      <w:r>
        <w:rPr>
          <w:rFonts w:ascii="Times New Roman" w:hAnsi="Times New Roman"/>
        </w:rPr>
        <w:t>C.  Payment</w:t>
      </w:r>
      <w:bookmarkEnd w:id="940"/>
      <w:bookmarkEnd w:id="941"/>
      <w:bookmarkEnd w:id="942"/>
    </w:p>
    <w:p w14:paraId="41F40B3A" w14:textId="77777777" w:rsidR="00157AAA" w:rsidRDefault="006C1BE5">
      <w:pPr>
        <w:pStyle w:val="Head72"/>
        <w:numPr>
          <w:ilvl w:val="0"/>
          <w:numId w:val="0"/>
        </w:numPr>
        <w:ind w:left="360"/>
      </w:pPr>
      <w:bookmarkStart w:id="943" w:name="_Toc521497299"/>
      <w:bookmarkStart w:id="944" w:name="_Toc252363613"/>
      <w:bookmarkStart w:id="945" w:name="_Toc42782255"/>
      <w:r>
        <w:t xml:space="preserve">Contract Price </w:t>
      </w:r>
      <w:proofErr w:type="gramStart"/>
      <w:r>
        <w:t>( GCC</w:t>
      </w:r>
      <w:proofErr w:type="gramEnd"/>
      <w:r>
        <w:t xml:space="preserve">  Clause 11)</w:t>
      </w:r>
      <w:bookmarkEnd w:id="943"/>
      <w:bookmarkEnd w:id="944"/>
      <w:bookmarkEnd w:id="945"/>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9D13B9E" w14:textId="77777777">
        <w:tc>
          <w:tcPr>
            <w:tcW w:w="1872" w:type="dxa"/>
          </w:tcPr>
          <w:p w14:paraId="4A5F8663" w14:textId="77777777" w:rsidR="00157AAA" w:rsidRDefault="006C1BE5">
            <w:pPr>
              <w:spacing w:after="0"/>
              <w:ind w:right="-72" w:firstLine="14"/>
            </w:pPr>
            <w:r>
              <w:t xml:space="preserve"> </w:t>
            </w:r>
            <w:proofErr w:type="gramStart"/>
            <w:r>
              <w:t>GCC  11.2</w:t>
            </w:r>
            <w:proofErr w:type="gramEnd"/>
            <w:r>
              <w:t xml:space="preserve"> </w:t>
            </w:r>
          </w:p>
        </w:tc>
        <w:tc>
          <w:tcPr>
            <w:tcW w:w="7236" w:type="dxa"/>
          </w:tcPr>
          <w:p w14:paraId="769268F3" w14:textId="534533FA" w:rsidR="00157AAA" w:rsidRPr="00486279" w:rsidRDefault="006C1BE5" w:rsidP="00486279">
            <w:pPr>
              <w:spacing w:after="160"/>
              <w:ind w:firstLine="14"/>
              <w:rPr>
                <w:i/>
                <w:iCs/>
              </w:rPr>
            </w:pPr>
            <w:r>
              <w:t>Adjustments to the Contract Price shall be as follows</w:t>
            </w:r>
            <w:r>
              <w:rPr>
                <w:rStyle w:val="preparersnote"/>
                <w:b w:val="0"/>
                <w:i w:val="0"/>
              </w:rPr>
              <w:t xml:space="preserve">: </w:t>
            </w:r>
            <w:r w:rsidR="00486279" w:rsidRPr="00486279">
              <w:rPr>
                <w:rStyle w:val="preparersnote"/>
                <w:i w:val="0"/>
              </w:rPr>
              <w:t>not applicable</w:t>
            </w:r>
          </w:p>
        </w:tc>
      </w:tr>
    </w:tbl>
    <w:p w14:paraId="1AE91AA8" w14:textId="77777777" w:rsidR="00157AAA" w:rsidRPr="00EA3597" w:rsidRDefault="006C1BE5">
      <w:pPr>
        <w:pStyle w:val="Head72"/>
        <w:numPr>
          <w:ilvl w:val="0"/>
          <w:numId w:val="0"/>
        </w:numPr>
        <w:ind w:left="360"/>
      </w:pPr>
      <w:bookmarkStart w:id="946" w:name="_Toc521497300"/>
      <w:bookmarkStart w:id="947" w:name="_Toc252363614"/>
      <w:bookmarkStart w:id="948" w:name="_Toc42782256"/>
      <w:r w:rsidRPr="00EA3597">
        <w:t xml:space="preserve">Terms of Payment </w:t>
      </w:r>
      <w:proofErr w:type="gramStart"/>
      <w:r w:rsidRPr="00EA3597">
        <w:t>( GCC</w:t>
      </w:r>
      <w:proofErr w:type="gramEnd"/>
      <w:r w:rsidRPr="00EA3597">
        <w:t xml:space="preserve">  Clause 12)</w:t>
      </w:r>
      <w:bookmarkEnd w:id="946"/>
      <w:bookmarkEnd w:id="947"/>
      <w:bookmarkEnd w:id="948"/>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15" w:type="dxa"/>
          <w:right w:w="115" w:type="dxa"/>
        </w:tblCellMar>
        <w:tblLook w:val="0000" w:firstRow="0" w:lastRow="0" w:firstColumn="0" w:lastColumn="0" w:noHBand="0" w:noVBand="0"/>
      </w:tblPr>
      <w:tblGrid>
        <w:gridCol w:w="1872"/>
        <w:gridCol w:w="7236"/>
      </w:tblGrid>
      <w:tr w:rsidR="00157AAA" w14:paraId="1501D397" w14:textId="77777777">
        <w:tc>
          <w:tcPr>
            <w:tcW w:w="1872" w:type="dxa"/>
          </w:tcPr>
          <w:p w14:paraId="7BB054FA" w14:textId="77777777" w:rsidR="00157AAA" w:rsidRPr="00EA3597" w:rsidRDefault="006C1BE5">
            <w:pPr>
              <w:spacing w:after="0"/>
              <w:ind w:right="-72" w:firstLine="14"/>
            </w:pPr>
            <w:r w:rsidRPr="00EA3597">
              <w:t xml:space="preserve"> GCC  12.1</w:t>
            </w:r>
          </w:p>
        </w:tc>
        <w:tc>
          <w:tcPr>
            <w:tcW w:w="7236" w:type="dxa"/>
          </w:tcPr>
          <w:p w14:paraId="36B8F2A2" w14:textId="21DCCCB1" w:rsidR="00157AAA" w:rsidRPr="00EA3597" w:rsidRDefault="00FC58F1" w:rsidP="00F15C94">
            <w:pPr>
              <w:spacing w:after="200"/>
              <w:ind w:hanging="25"/>
            </w:pPr>
            <w:r w:rsidRPr="00EA3597">
              <w:t>T</w:t>
            </w:r>
            <w:r w:rsidR="006C1BE5" w:rsidRPr="00EA3597">
              <w:t xml:space="preserve">he Purchaser shall pay the </w:t>
            </w:r>
            <w:r w:rsidRPr="00EA3597">
              <w:t xml:space="preserve">entire </w:t>
            </w:r>
            <w:r w:rsidR="006C1BE5" w:rsidRPr="00EA3597">
              <w:t>Contract Price to the Supplier according to the Price Schedules of the Contract Agreement.</w:t>
            </w:r>
          </w:p>
          <w:p w14:paraId="7040F569" w14:textId="77777777" w:rsidR="00157AAA" w:rsidRPr="00EA3597" w:rsidRDefault="006C1BE5">
            <w:pPr>
              <w:spacing w:after="200"/>
              <w:ind w:left="734" w:hanging="734"/>
            </w:pPr>
            <w:r w:rsidRPr="00EA3597">
              <w:t>(a)</w:t>
            </w:r>
            <w:r w:rsidRPr="00EA3597">
              <w:tab/>
              <w:t>Advance Payment</w:t>
            </w:r>
          </w:p>
          <w:p w14:paraId="16BC260D" w14:textId="7497D437" w:rsidR="00157AAA" w:rsidRPr="00EA3597" w:rsidRDefault="00486279" w:rsidP="00486279">
            <w:pPr>
              <w:spacing w:after="200"/>
              <w:ind w:left="738"/>
            </w:pPr>
            <w:r w:rsidRPr="00EA3597">
              <w:rPr>
                <w:b/>
              </w:rPr>
              <w:t>Twenty percent (2</w:t>
            </w:r>
            <w:r w:rsidR="006C1BE5" w:rsidRPr="00EA3597">
              <w:rPr>
                <w:b/>
              </w:rPr>
              <w:t>0%)</w:t>
            </w:r>
            <w:r w:rsidR="006C1BE5" w:rsidRPr="00EA3597">
              <w:t xml:space="preserve"> of the entire Contract Price, exclusive of all Recurrent Costs, shall be paid against receipt of a claim accompanied by the Advance Payment Security specified in GCC Clause 13.2.</w:t>
            </w:r>
          </w:p>
          <w:p w14:paraId="1F5D6B8D" w14:textId="6541C6FB" w:rsidR="00767AA7" w:rsidRPr="00EA3597" w:rsidRDefault="006C1BE5" w:rsidP="00767AA7">
            <w:pPr>
              <w:spacing w:after="200"/>
              <w:ind w:left="738" w:hanging="720"/>
            </w:pPr>
            <w:r w:rsidRPr="00EA3597">
              <w:t>(b)</w:t>
            </w:r>
            <w:r w:rsidRPr="00EA3597">
              <w:tab/>
            </w:r>
            <w:r w:rsidR="00767AA7" w:rsidRPr="00EA3597">
              <w:rPr>
                <w:b/>
              </w:rPr>
              <w:t xml:space="preserve">Twenty percent (20%) </w:t>
            </w:r>
            <w:r w:rsidR="00767AA7" w:rsidRPr="00EA3597">
              <w:t xml:space="preserve">of the entire Contract Price will be paid against occurring of </w:t>
            </w:r>
            <w:r w:rsidR="00325701" w:rsidRPr="00EA3597">
              <w:t>a</w:t>
            </w:r>
            <w:r w:rsidR="00767AA7" w:rsidRPr="00EA3597">
              <w:t xml:space="preserve">cceptance </w:t>
            </w:r>
            <w:r w:rsidR="00767AA7" w:rsidRPr="00EA3597">
              <w:rPr>
                <w:b/>
              </w:rPr>
              <w:t xml:space="preserve">for </w:t>
            </w:r>
            <w:proofErr w:type="gramStart"/>
            <w:r w:rsidR="00767AA7" w:rsidRPr="00EA3597">
              <w:rPr>
                <w:b/>
              </w:rPr>
              <w:t>Line item</w:t>
            </w:r>
            <w:proofErr w:type="gramEnd"/>
            <w:r w:rsidR="00767AA7" w:rsidRPr="00EA3597">
              <w:rPr>
                <w:b/>
              </w:rPr>
              <w:t xml:space="preserve"> no. 0, 1 and 2</w:t>
            </w:r>
            <w:r w:rsidR="00767AA7" w:rsidRPr="00EA3597">
              <w:t xml:space="preserve"> from </w:t>
            </w:r>
            <w:r w:rsidR="00767AA7" w:rsidRPr="00EA3597">
              <w:lastRenderedPageBreak/>
              <w:t>the Implementation Schedule Table and Supply and Installation Cost Summary Table</w:t>
            </w:r>
            <w:r w:rsidR="00325701" w:rsidRPr="00EA3597">
              <w:t>, upon</w:t>
            </w:r>
            <w:r w:rsidR="00767AA7" w:rsidRPr="00EA3597">
              <w:t xml:space="preserve"> issuing of acceptance certificates and on submission and approval of appropriate invoices by the Purchaser.</w:t>
            </w:r>
          </w:p>
          <w:p w14:paraId="51F6A6A2" w14:textId="410C72F7" w:rsidR="00325701" w:rsidRPr="00EA3597" w:rsidRDefault="006C1BE5" w:rsidP="00325701">
            <w:pPr>
              <w:spacing w:after="200"/>
              <w:ind w:left="738" w:hanging="720"/>
            </w:pPr>
            <w:r w:rsidRPr="00EA3597">
              <w:t>(c)</w:t>
            </w:r>
            <w:r w:rsidRPr="00EA3597">
              <w:tab/>
            </w:r>
            <w:r w:rsidR="00325701" w:rsidRPr="00EA3597">
              <w:rPr>
                <w:b/>
              </w:rPr>
              <w:t xml:space="preserve">Twenty percent (20%) </w:t>
            </w:r>
            <w:r w:rsidR="00325701" w:rsidRPr="00EA3597">
              <w:t xml:space="preserve">of the entire Contract Price will be paid against occurring of acceptance </w:t>
            </w:r>
            <w:r w:rsidR="00325701" w:rsidRPr="00EA3597">
              <w:rPr>
                <w:b/>
              </w:rPr>
              <w:t xml:space="preserve">for </w:t>
            </w:r>
            <w:proofErr w:type="gramStart"/>
            <w:r w:rsidR="00325701" w:rsidRPr="00EA3597">
              <w:rPr>
                <w:b/>
              </w:rPr>
              <w:t>Line item</w:t>
            </w:r>
            <w:proofErr w:type="gramEnd"/>
            <w:r w:rsidR="00325701" w:rsidRPr="00EA3597">
              <w:rPr>
                <w:b/>
              </w:rPr>
              <w:t xml:space="preserve"> no. 3, 4, 5, 6, 7 and 8</w:t>
            </w:r>
            <w:r w:rsidR="00325701" w:rsidRPr="00EA3597">
              <w:t xml:space="preserve"> from the Implementation Schedule Table and Supply and Installation Cost Summary Table, upon issuing of acceptance certificates and on submission and approval of appropriate invoices by the Purchaser.</w:t>
            </w:r>
          </w:p>
          <w:p w14:paraId="40052DA7" w14:textId="53A96AAF" w:rsidR="00157AAA" w:rsidRPr="00EA3597" w:rsidRDefault="006C1BE5" w:rsidP="00325701">
            <w:pPr>
              <w:spacing w:after="200"/>
              <w:ind w:left="738" w:hanging="720"/>
            </w:pPr>
            <w:r w:rsidRPr="00EA3597">
              <w:t>(</w:t>
            </w:r>
            <w:r w:rsidR="00325701" w:rsidRPr="00EA3597">
              <w:t>d</w:t>
            </w:r>
            <w:r w:rsidRPr="00EA3597">
              <w:t>)</w:t>
            </w:r>
            <w:r w:rsidRPr="00EA3597">
              <w:tab/>
            </w:r>
            <w:r w:rsidR="00325701" w:rsidRPr="00EA3597">
              <w:rPr>
                <w:b/>
              </w:rPr>
              <w:t xml:space="preserve">Thirty percent (30%) </w:t>
            </w:r>
            <w:r w:rsidR="00325701" w:rsidRPr="00EA3597">
              <w:t xml:space="preserve">of the entire Contract Price will be paid against occurring of acceptance </w:t>
            </w:r>
            <w:r w:rsidR="00325701" w:rsidRPr="00EA3597">
              <w:rPr>
                <w:b/>
              </w:rPr>
              <w:t xml:space="preserve">for </w:t>
            </w:r>
            <w:proofErr w:type="gramStart"/>
            <w:r w:rsidR="00325701" w:rsidRPr="00EA3597">
              <w:rPr>
                <w:b/>
              </w:rPr>
              <w:t>Line item</w:t>
            </w:r>
            <w:proofErr w:type="gramEnd"/>
            <w:r w:rsidR="00325701" w:rsidRPr="00EA3597">
              <w:rPr>
                <w:b/>
              </w:rPr>
              <w:t xml:space="preserve"> no. 9, 10, 11, 12, 13 and 14</w:t>
            </w:r>
            <w:r w:rsidR="00325701" w:rsidRPr="00EA3597">
              <w:t xml:space="preserve"> from the Implementation Schedule Table and Supply and Installation Cost Summary Table, upon issuing of acceptance certificates and on submission and approval of appropriate invoices by the Purchaser.</w:t>
            </w:r>
          </w:p>
          <w:p w14:paraId="2E04DA2A" w14:textId="024C1F52" w:rsidR="00157AAA" w:rsidRPr="00EA3597" w:rsidRDefault="00325701">
            <w:pPr>
              <w:spacing w:after="200"/>
              <w:ind w:left="738" w:hanging="738"/>
            </w:pPr>
            <w:r w:rsidRPr="00EA3597">
              <w:t xml:space="preserve"> </w:t>
            </w:r>
            <w:r w:rsidR="006C1BE5" w:rsidRPr="00EA3597">
              <w:t>(</w:t>
            </w:r>
            <w:r w:rsidRPr="00EA3597">
              <w:t>e</w:t>
            </w:r>
            <w:r w:rsidR="006C1BE5" w:rsidRPr="00EA3597">
              <w:t>)</w:t>
            </w:r>
            <w:r w:rsidR="006C1BE5" w:rsidRPr="00EA3597">
              <w:tab/>
              <w:t xml:space="preserve">Complete System Integration </w:t>
            </w:r>
            <w:r w:rsidR="00D91B14" w:rsidRPr="00EA3597">
              <w:t>– Operational Acceptance:</w:t>
            </w:r>
          </w:p>
          <w:p w14:paraId="1F871A50" w14:textId="7E981284" w:rsidR="00D91B14" w:rsidRPr="00EA3597" w:rsidRDefault="00D91B14" w:rsidP="00D91B14">
            <w:pPr>
              <w:spacing w:after="200"/>
              <w:ind w:left="703"/>
            </w:pPr>
            <w:r w:rsidRPr="00EA3597">
              <w:rPr>
                <w:b/>
              </w:rPr>
              <w:t>Ten percent (10%)</w:t>
            </w:r>
            <w:r w:rsidRPr="00EA3597">
              <w:t xml:space="preserve"> of the total Contract Price, will be paid </w:t>
            </w:r>
            <w:r w:rsidR="00325701" w:rsidRPr="00EA3597">
              <w:t xml:space="preserve">against occurring of acceptance </w:t>
            </w:r>
            <w:r w:rsidR="00325701" w:rsidRPr="00EA3597">
              <w:rPr>
                <w:b/>
              </w:rPr>
              <w:t xml:space="preserve">for </w:t>
            </w:r>
            <w:proofErr w:type="gramStart"/>
            <w:r w:rsidR="00325701" w:rsidRPr="00EA3597">
              <w:rPr>
                <w:b/>
              </w:rPr>
              <w:t>Line item</w:t>
            </w:r>
            <w:proofErr w:type="gramEnd"/>
            <w:r w:rsidR="00325701" w:rsidRPr="00EA3597">
              <w:rPr>
                <w:b/>
              </w:rPr>
              <w:t xml:space="preserve"> no. 15, </w:t>
            </w:r>
            <w:r w:rsidRPr="00EA3597">
              <w:t xml:space="preserve">as final payment against </w:t>
            </w:r>
            <w:r w:rsidRPr="00EA3597">
              <w:rPr>
                <w:b/>
              </w:rPr>
              <w:t xml:space="preserve">Operational Acceptance of the System as an integrated whole, </w:t>
            </w:r>
            <w:r w:rsidRPr="00EA3597">
              <w:t>after issuing of Operational acceptance certificates and submission and approval of appropriate invoice by the Purchaser.</w:t>
            </w:r>
          </w:p>
          <w:p w14:paraId="076DA93A" w14:textId="36C04285" w:rsidR="00157AAA" w:rsidRDefault="00767AA7" w:rsidP="00325701">
            <w:pPr>
              <w:spacing w:after="200"/>
              <w:ind w:left="734" w:hanging="734"/>
            </w:pPr>
            <w:r w:rsidRPr="00EA3597">
              <w:t xml:space="preserve"> </w:t>
            </w:r>
            <w:r w:rsidR="00693A5E" w:rsidRPr="00EA3597">
              <w:t>(</w:t>
            </w:r>
            <w:r w:rsidR="00325701" w:rsidRPr="00EA3597">
              <w:t>f</w:t>
            </w:r>
            <w:r w:rsidR="00693A5E" w:rsidRPr="00EA3597">
              <w:t>)</w:t>
            </w:r>
            <w:r w:rsidR="00693A5E" w:rsidRPr="00EA3597">
              <w:tab/>
              <w:t xml:space="preserve">Recurrent Costs: </w:t>
            </w:r>
            <w:r w:rsidR="00693A5E" w:rsidRPr="00EA3597">
              <w:rPr>
                <w:b/>
              </w:rPr>
              <w:t>not applicable</w:t>
            </w:r>
          </w:p>
        </w:tc>
      </w:tr>
      <w:tr w:rsidR="00157AAA" w14:paraId="0D018683" w14:textId="77777777">
        <w:trPr>
          <w:cantSplit/>
        </w:trPr>
        <w:tc>
          <w:tcPr>
            <w:tcW w:w="1872" w:type="dxa"/>
          </w:tcPr>
          <w:p w14:paraId="021F0035" w14:textId="77777777" w:rsidR="00157AAA" w:rsidRDefault="006C1BE5">
            <w:pPr>
              <w:spacing w:after="0"/>
              <w:ind w:right="-72" w:firstLine="18"/>
            </w:pPr>
            <w:r>
              <w:lastRenderedPageBreak/>
              <w:t xml:space="preserve"> GCC  12.3</w:t>
            </w:r>
          </w:p>
        </w:tc>
        <w:tc>
          <w:tcPr>
            <w:tcW w:w="7236" w:type="dxa"/>
          </w:tcPr>
          <w:p w14:paraId="7A579524" w14:textId="07E44F9D" w:rsidR="00157AAA" w:rsidRDefault="006C1BE5" w:rsidP="00A916D5">
            <w:pPr>
              <w:spacing w:after="240"/>
            </w:pPr>
            <w:r>
              <w:t xml:space="preserve">The Purchaser shall pay to the Supplier interest on the delayed payments at a rate </w:t>
            </w:r>
            <w:proofErr w:type="gramStart"/>
            <w:r>
              <w:t>of:</w:t>
            </w:r>
            <w:proofErr w:type="gramEnd"/>
            <w:r>
              <w:t xml:space="preserve"> </w:t>
            </w:r>
            <w:r w:rsidR="00A916D5" w:rsidRPr="005C2B5D">
              <w:rPr>
                <w:b/>
                <w:bCs/>
              </w:rPr>
              <w:t>0.75%</w:t>
            </w:r>
            <w:r w:rsidR="00A916D5">
              <w:rPr>
                <w:b/>
                <w:bCs/>
              </w:rPr>
              <w:t xml:space="preserve"> </w:t>
            </w:r>
            <w:r>
              <w:rPr>
                <w:rStyle w:val="preparersnote"/>
                <w:b w:val="0"/>
                <w:i w:val="0"/>
              </w:rPr>
              <w:t>per annum.</w:t>
            </w:r>
          </w:p>
        </w:tc>
      </w:tr>
      <w:tr w:rsidR="00157AAA" w14:paraId="0C1171F1" w14:textId="77777777">
        <w:tc>
          <w:tcPr>
            <w:tcW w:w="1872" w:type="dxa"/>
          </w:tcPr>
          <w:p w14:paraId="0E920085" w14:textId="77777777" w:rsidR="00157AAA" w:rsidRDefault="006C1BE5">
            <w:pPr>
              <w:spacing w:after="0"/>
              <w:ind w:right="-72" w:firstLine="14"/>
            </w:pPr>
            <w:r>
              <w:t xml:space="preserve"> GCC  12.4</w:t>
            </w:r>
          </w:p>
        </w:tc>
        <w:tc>
          <w:tcPr>
            <w:tcW w:w="7236" w:type="dxa"/>
          </w:tcPr>
          <w:p w14:paraId="122AB93F" w14:textId="0B305052" w:rsidR="00157AAA" w:rsidRDefault="006C1BE5" w:rsidP="00A916D5">
            <w:pPr>
              <w:spacing w:after="160"/>
              <w:ind w:left="734" w:hanging="734"/>
            </w:pPr>
            <w:r>
              <w:t>The Supplier will invoice the Purchaser in the currency used in the Contract Agreement and the Price Schedules it refers to</w:t>
            </w:r>
            <w:r w:rsidR="00A916D5">
              <w:t>.</w:t>
            </w:r>
            <w:r>
              <w:t xml:space="preserve"> </w:t>
            </w:r>
          </w:p>
        </w:tc>
      </w:tr>
    </w:tbl>
    <w:p w14:paraId="144CEC0B" w14:textId="77777777" w:rsidR="00157AAA" w:rsidRDefault="006C1BE5">
      <w:pPr>
        <w:pStyle w:val="Head72"/>
        <w:numPr>
          <w:ilvl w:val="0"/>
          <w:numId w:val="0"/>
        </w:numPr>
        <w:ind w:left="360"/>
      </w:pPr>
      <w:bookmarkStart w:id="949" w:name="_Toc521497301"/>
      <w:bookmarkStart w:id="950" w:name="_Toc252363615"/>
      <w:bookmarkStart w:id="951" w:name="_Toc42782257"/>
      <w:r>
        <w:t xml:space="preserve">Securities </w:t>
      </w:r>
      <w:proofErr w:type="gramStart"/>
      <w:r>
        <w:t>( GCC</w:t>
      </w:r>
      <w:proofErr w:type="gramEnd"/>
      <w:r>
        <w:t xml:space="preserve">  Clause 13)</w:t>
      </w:r>
      <w:bookmarkEnd w:id="949"/>
      <w:bookmarkEnd w:id="950"/>
      <w:bookmarkEnd w:id="951"/>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447B56A" w14:textId="77777777">
        <w:tc>
          <w:tcPr>
            <w:tcW w:w="1872" w:type="dxa"/>
          </w:tcPr>
          <w:p w14:paraId="66080C07" w14:textId="77777777" w:rsidR="00157AAA" w:rsidRDefault="006C1BE5">
            <w:pPr>
              <w:spacing w:after="0"/>
              <w:ind w:right="-72" w:firstLine="14"/>
            </w:pPr>
            <w:r>
              <w:t xml:space="preserve"> GCC  13.3.1</w:t>
            </w:r>
          </w:p>
        </w:tc>
        <w:tc>
          <w:tcPr>
            <w:tcW w:w="7236" w:type="dxa"/>
          </w:tcPr>
          <w:p w14:paraId="05A69FA8" w14:textId="6D1B2DDC" w:rsidR="00157AAA" w:rsidRDefault="006C1BE5" w:rsidP="004C4B77">
            <w:pPr>
              <w:spacing w:after="160"/>
              <w:ind w:left="18" w:hanging="4"/>
            </w:pPr>
            <w:r>
              <w:t xml:space="preserve">The Performance Security shall be denominated in </w:t>
            </w:r>
            <w:r w:rsidR="004C4B77" w:rsidRPr="004C4B77">
              <w:rPr>
                <w:b/>
              </w:rPr>
              <w:t>EURO</w:t>
            </w:r>
            <w:r>
              <w:rPr>
                <w:b/>
              </w:rPr>
              <w:t xml:space="preserve"> </w:t>
            </w:r>
            <w:r>
              <w:t xml:space="preserve">for an amount equal to </w:t>
            </w:r>
            <w:r w:rsidR="004C4B77" w:rsidRPr="005C2B5D">
              <w:rPr>
                <w:rStyle w:val="preparersnote"/>
                <w:i w:val="0"/>
              </w:rPr>
              <w:t>10% (ten</w:t>
            </w:r>
            <w:r w:rsidR="004C4B77" w:rsidRPr="005C2B5D">
              <w:rPr>
                <w:b/>
              </w:rPr>
              <w:t>)</w:t>
            </w:r>
            <w:r>
              <w:rPr>
                <w:b/>
              </w:rPr>
              <w:t xml:space="preserve"> </w:t>
            </w:r>
            <w:r>
              <w:t>percent of the Contract Price, excluding any Recurrent Costs.</w:t>
            </w:r>
          </w:p>
        </w:tc>
      </w:tr>
      <w:tr w:rsidR="00157AAA" w14:paraId="63032B18" w14:textId="77777777">
        <w:tc>
          <w:tcPr>
            <w:tcW w:w="1872" w:type="dxa"/>
          </w:tcPr>
          <w:p w14:paraId="2E0784FE" w14:textId="77777777" w:rsidR="00157AAA" w:rsidRDefault="006C1BE5">
            <w:pPr>
              <w:spacing w:after="0"/>
              <w:ind w:right="-72" w:firstLine="14"/>
            </w:pPr>
            <w:r>
              <w:t xml:space="preserve"> GCC  13.3.4</w:t>
            </w:r>
          </w:p>
        </w:tc>
        <w:tc>
          <w:tcPr>
            <w:tcW w:w="7236" w:type="dxa"/>
          </w:tcPr>
          <w:p w14:paraId="33B5DD9A" w14:textId="42D01FBE" w:rsidR="00157AAA" w:rsidRPr="004C4B77" w:rsidRDefault="006C1BE5" w:rsidP="004C4B77">
            <w:pPr>
              <w:spacing w:after="160"/>
              <w:ind w:left="18" w:hanging="18"/>
            </w:pPr>
            <w:r w:rsidRPr="003F170D">
              <w:t xml:space="preserve">During the Warranty Period (i.e., after Operational Acceptance of the System), the Performance Security shall be reduced to </w:t>
            </w:r>
            <w:r w:rsidR="004C4B77" w:rsidRPr="003F170D">
              <w:rPr>
                <w:rStyle w:val="preparersnote"/>
                <w:i w:val="0"/>
                <w:szCs w:val="24"/>
              </w:rPr>
              <w:t>5% (five</w:t>
            </w:r>
            <w:r w:rsidR="004C4B77" w:rsidRPr="003F170D">
              <w:rPr>
                <w:b/>
                <w:szCs w:val="24"/>
              </w:rPr>
              <w:t>)</w:t>
            </w:r>
            <w:r w:rsidRPr="003F170D">
              <w:rPr>
                <w:b/>
              </w:rPr>
              <w:t xml:space="preserve"> </w:t>
            </w:r>
            <w:r w:rsidRPr="003F170D">
              <w:t>percent of the Contract Price, excluding any Recurrent Costs.</w:t>
            </w:r>
          </w:p>
        </w:tc>
      </w:tr>
    </w:tbl>
    <w:p w14:paraId="0B9922DF" w14:textId="77777777" w:rsidR="00157AAA" w:rsidRDefault="006C1BE5">
      <w:pPr>
        <w:pStyle w:val="Head71"/>
        <w:rPr>
          <w:rFonts w:ascii="Times New Roman" w:hAnsi="Times New Roman"/>
        </w:rPr>
      </w:pPr>
      <w:bookmarkStart w:id="952" w:name="_Toc521497303"/>
      <w:bookmarkStart w:id="953" w:name="_Toc252363617"/>
      <w:bookmarkStart w:id="954" w:name="_Toc42782258"/>
      <w:r>
        <w:rPr>
          <w:rFonts w:ascii="Times New Roman" w:hAnsi="Times New Roman"/>
        </w:rPr>
        <w:lastRenderedPageBreak/>
        <w:t>D.  Intellectual Property</w:t>
      </w:r>
      <w:bookmarkEnd w:id="952"/>
      <w:bookmarkEnd w:id="953"/>
      <w:bookmarkEnd w:id="954"/>
    </w:p>
    <w:p w14:paraId="0CDB6EC0" w14:textId="51159967" w:rsidR="00157AAA" w:rsidRDefault="006C1BE5">
      <w:pPr>
        <w:pStyle w:val="Head72"/>
        <w:numPr>
          <w:ilvl w:val="0"/>
          <w:numId w:val="0"/>
        </w:numPr>
        <w:ind w:left="360"/>
      </w:pPr>
      <w:bookmarkStart w:id="955" w:name="_Toc521497304"/>
      <w:bookmarkStart w:id="956" w:name="_Toc252363618"/>
      <w:bookmarkStart w:id="957" w:name="_Toc42782259"/>
      <w:r>
        <w:t>Copyright (GCC Clause 15)</w:t>
      </w:r>
      <w:bookmarkEnd w:id="955"/>
      <w:bookmarkEnd w:id="956"/>
      <w:bookmarkEnd w:id="957"/>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156E99C8" w14:textId="77777777">
        <w:tc>
          <w:tcPr>
            <w:tcW w:w="1872" w:type="dxa"/>
          </w:tcPr>
          <w:p w14:paraId="593475E5" w14:textId="77777777" w:rsidR="00157AAA" w:rsidRDefault="006C1BE5">
            <w:pPr>
              <w:spacing w:after="0"/>
              <w:ind w:right="-72" w:firstLine="14"/>
            </w:pPr>
            <w:r>
              <w:t xml:space="preserve"> GCC  15.3</w:t>
            </w:r>
          </w:p>
        </w:tc>
        <w:tc>
          <w:tcPr>
            <w:tcW w:w="7236" w:type="dxa"/>
          </w:tcPr>
          <w:p w14:paraId="0ADE83AF" w14:textId="456C25E5" w:rsidR="00157AAA" w:rsidRPr="004C4B77" w:rsidRDefault="006C1BE5" w:rsidP="004C4B77">
            <w:pPr>
              <w:spacing w:after="160"/>
              <w:ind w:left="547" w:right="-72" w:hanging="547"/>
              <w:rPr>
                <w:b/>
                <w:i/>
                <w:iCs/>
              </w:rPr>
            </w:pPr>
            <w:r w:rsidRPr="004C4B77">
              <w:rPr>
                <w:rStyle w:val="preparersnote"/>
                <w:i w:val="0"/>
              </w:rPr>
              <w:t>There are no Special Conditions of Contract applicable to GCC Clause 15.3</w:t>
            </w:r>
          </w:p>
        </w:tc>
      </w:tr>
      <w:tr w:rsidR="00157AAA" w14:paraId="1AD5A6F3" w14:textId="77777777">
        <w:tc>
          <w:tcPr>
            <w:tcW w:w="1872" w:type="dxa"/>
          </w:tcPr>
          <w:p w14:paraId="4F0E52E4" w14:textId="77777777" w:rsidR="00157AAA" w:rsidRDefault="006C1BE5">
            <w:pPr>
              <w:spacing w:after="0"/>
              <w:ind w:right="-72" w:firstLine="14"/>
            </w:pPr>
            <w:r>
              <w:t xml:space="preserve"> GCC  15.4</w:t>
            </w:r>
          </w:p>
        </w:tc>
        <w:tc>
          <w:tcPr>
            <w:tcW w:w="7236" w:type="dxa"/>
          </w:tcPr>
          <w:p w14:paraId="052C9826" w14:textId="1DD9ABB9" w:rsidR="00157AAA" w:rsidRPr="002F7ADD" w:rsidRDefault="006C1BE5" w:rsidP="002F7ADD">
            <w:pPr>
              <w:pStyle w:val="explanatoryclause"/>
              <w:spacing w:after="160"/>
              <w:rPr>
                <w:rFonts w:ascii="Times New Roman" w:hAnsi="Times New Roman"/>
                <w:b/>
                <w:iCs/>
                <w:sz w:val="24"/>
                <w:szCs w:val="24"/>
              </w:rPr>
            </w:pPr>
            <w:r w:rsidRPr="002F7ADD">
              <w:rPr>
                <w:rStyle w:val="preparersnote"/>
                <w:rFonts w:ascii="Times New Roman" w:hAnsi="Times New Roman"/>
                <w:i w:val="0"/>
                <w:sz w:val="24"/>
                <w:szCs w:val="24"/>
              </w:rPr>
              <w:t>There are no Special Conditions of Contract applicable to GCC Clause 15.4</w:t>
            </w:r>
          </w:p>
        </w:tc>
      </w:tr>
      <w:tr w:rsidR="00157AAA" w14:paraId="4F8648D3" w14:textId="77777777">
        <w:tc>
          <w:tcPr>
            <w:tcW w:w="1872" w:type="dxa"/>
          </w:tcPr>
          <w:p w14:paraId="11727426" w14:textId="77777777" w:rsidR="00157AAA" w:rsidRDefault="006C1BE5">
            <w:pPr>
              <w:spacing w:after="0"/>
              <w:ind w:right="-72" w:firstLine="14"/>
            </w:pPr>
            <w:r>
              <w:t xml:space="preserve"> GCC  15.5</w:t>
            </w:r>
          </w:p>
        </w:tc>
        <w:tc>
          <w:tcPr>
            <w:tcW w:w="7236" w:type="dxa"/>
          </w:tcPr>
          <w:p w14:paraId="32D5CF81" w14:textId="5320C6EE" w:rsidR="00157AAA" w:rsidRPr="004C4B77" w:rsidRDefault="006C1BE5" w:rsidP="004C4B77">
            <w:pPr>
              <w:spacing w:after="160"/>
              <w:ind w:left="738" w:right="-72" w:hanging="738"/>
              <w:rPr>
                <w:iCs/>
              </w:rPr>
            </w:pPr>
            <w:r w:rsidRPr="004C4B77">
              <w:rPr>
                <w:rStyle w:val="preparersnote"/>
                <w:i w:val="0"/>
              </w:rPr>
              <w:t>There are no Special Conditions of Contract applicable to GCC Clause 15.5</w:t>
            </w:r>
          </w:p>
        </w:tc>
      </w:tr>
    </w:tbl>
    <w:p w14:paraId="6DA4B2FF" w14:textId="34399CF8" w:rsidR="00157AAA" w:rsidRDefault="006C1BE5">
      <w:pPr>
        <w:pStyle w:val="Head72"/>
        <w:numPr>
          <w:ilvl w:val="0"/>
          <w:numId w:val="0"/>
        </w:numPr>
        <w:ind w:left="360"/>
      </w:pPr>
      <w:bookmarkStart w:id="958" w:name="_Toc521497305"/>
      <w:bookmarkStart w:id="959" w:name="_Toc252363619"/>
      <w:bookmarkStart w:id="960" w:name="_Toc42782260"/>
      <w:r>
        <w:t>Software License Agreements (GCC Clause 16)</w:t>
      </w:r>
      <w:bookmarkEnd w:id="958"/>
      <w:bookmarkEnd w:id="959"/>
      <w:bookmarkEnd w:id="960"/>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299EC1BD" w14:textId="77777777" w:rsidTr="003F170D">
        <w:trPr>
          <w:trHeight w:val="6697"/>
        </w:trPr>
        <w:tc>
          <w:tcPr>
            <w:tcW w:w="1872" w:type="dxa"/>
          </w:tcPr>
          <w:p w14:paraId="6273D380" w14:textId="77777777" w:rsidR="00157AAA" w:rsidRDefault="006C1BE5">
            <w:pPr>
              <w:spacing w:after="0"/>
              <w:ind w:right="-72" w:firstLine="14"/>
            </w:pPr>
            <w:r>
              <w:t xml:space="preserve"> </w:t>
            </w:r>
            <w:proofErr w:type="gramStart"/>
            <w:r>
              <w:t>GCC  16.1</w:t>
            </w:r>
            <w:proofErr w:type="gramEnd"/>
            <w:r>
              <w:t> (a) (iv)</w:t>
            </w:r>
          </w:p>
        </w:tc>
        <w:tc>
          <w:tcPr>
            <w:tcW w:w="7236" w:type="dxa"/>
          </w:tcPr>
          <w:p w14:paraId="640BC373" w14:textId="6BE01456" w:rsidR="003A36FE" w:rsidRPr="003F170D" w:rsidRDefault="006C1BE5" w:rsidP="003F170D">
            <w:pPr>
              <w:spacing w:after="160"/>
              <w:ind w:left="738" w:hanging="734"/>
              <w:rPr>
                <w:b/>
                <w:szCs w:val="24"/>
              </w:rPr>
            </w:pPr>
            <w:r w:rsidRPr="003F170D">
              <w:t xml:space="preserve"> </w:t>
            </w:r>
            <w:r w:rsidR="003A36FE" w:rsidRPr="003F170D">
              <w:rPr>
                <w:b/>
                <w:szCs w:val="24"/>
              </w:rPr>
              <w:t>Use of the software shall be subj</w:t>
            </w:r>
            <w:r w:rsidR="003F170D" w:rsidRPr="003F170D">
              <w:rPr>
                <w:b/>
                <w:szCs w:val="24"/>
              </w:rPr>
              <w:t xml:space="preserve">ect to the following additional </w:t>
            </w:r>
            <w:r w:rsidR="003A36FE" w:rsidRPr="003F170D">
              <w:rPr>
                <w:b/>
                <w:szCs w:val="24"/>
              </w:rPr>
              <w:t xml:space="preserve">restrictions: </w:t>
            </w:r>
          </w:p>
          <w:p w14:paraId="32560A24" w14:textId="77777777" w:rsidR="003A36FE" w:rsidRPr="003F170D" w:rsidRDefault="003A36FE" w:rsidP="00D530D5">
            <w:pPr>
              <w:numPr>
                <w:ilvl w:val="0"/>
                <w:numId w:val="181"/>
              </w:numPr>
              <w:suppressAutoHyphens/>
              <w:spacing w:after="0"/>
              <w:ind w:left="419" w:hanging="283"/>
              <w:rPr>
                <w:szCs w:val="24"/>
              </w:rPr>
            </w:pPr>
            <w:r w:rsidRPr="003F170D">
              <w:rPr>
                <w:szCs w:val="24"/>
              </w:rPr>
              <w:t xml:space="preserve">The Purchaser shall have the right to define </w:t>
            </w:r>
            <w:proofErr w:type="gramStart"/>
            <w:r w:rsidRPr="003F170D">
              <w:rPr>
                <w:szCs w:val="24"/>
              </w:rPr>
              <w:t>unlimited</w:t>
            </w:r>
            <w:proofErr w:type="gramEnd"/>
            <w:r w:rsidRPr="003F170D">
              <w:rPr>
                <w:szCs w:val="24"/>
              </w:rPr>
              <w:t xml:space="preserve"> number of System Users for access to any NSW system module. </w:t>
            </w:r>
          </w:p>
          <w:p w14:paraId="29CFC81E" w14:textId="77777777" w:rsidR="003A36FE" w:rsidRPr="003F170D" w:rsidRDefault="003A36FE" w:rsidP="00D530D5">
            <w:pPr>
              <w:numPr>
                <w:ilvl w:val="0"/>
                <w:numId w:val="181"/>
              </w:numPr>
              <w:suppressAutoHyphens/>
              <w:spacing w:after="0"/>
              <w:ind w:left="419" w:hanging="283"/>
              <w:rPr>
                <w:szCs w:val="24"/>
              </w:rPr>
            </w:pPr>
            <w:r w:rsidRPr="003F170D">
              <w:rPr>
                <w:szCs w:val="24"/>
              </w:rPr>
              <w:t xml:space="preserve">In </w:t>
            </w:r>
            <w:proofErr w:type="gramStart"/>
            <w:r w:rsidRPr="003F170D">
              <w:rPr>
                <w:szCs w:val="24"/>
              </w:rPr>
              <w:t>case</w:t>
            </w:r>
            <w:proofErr w:type="gramEnd"/>
            <w:r w:rsidRPr="003F170D">
              <w:rPr>
                <w:szCs w:val="24"/>
              </w:rPr>
              <w:t xml:space="preserve"> of commercial off the shelf (COTS) based NSW modules, only licensed number of Users will be able to use relevant NSW modules simultaneously. There won’t be a licensing obligation for custom developed software modules and the source code of custom developed software will be delivered to the Purchaser with all related documentation and digital media. </w:t>
            </w:r>
          </w:p>
          <w:p w14:paraId="233CF3DA" w14:textId="77777777" w:rsidR="003A36FE" w:rsidRPr="003F170D" w:rsidRDefault="003A36FE" w:rsidP="00D530D5">
            <w:pPr>
              <w:numPr>
                <w:ilvl w:val="0"/>
                <w:numId w:val="181"/>
              </w:numPr>
              <w:suppressAutoHyphens/>
              <w:spacing w:after="0"/>
              <w:ind w:left="419" w:hanging="283"/>
              <w:rPr>
                <w:szCs w:val="24"/>
              </w:rPr>
            </w:pPr>
            <w:r w:rsidRPr="003F170D">
              <w:rPr>
                <w:szCs w:val="24"/>
              </w:rPr>
              <w:t xml:space="preserve">User licenses shall be perpetual, with fixed price, and not have any other restrictions other than restrictions explicitly set forth herein. There shouldn’t be any additional charges and other restrictions related to software licenses during or after the completion of </w:t>
            </w:r>
            <w:proofErr w:type="gramStart"/>
            <w:r w:rsidRPr="003F170D">
              <w:rPr>
                <w:szCs w:val="24"/>
              </w:rPr>
              <w:t>warranty</w:t>
            </w:r>
            <w:proofErr w:type="gramEnd"/>
            <w:r w:rsidRPr="003F170D">
              <w:rPr>
                <w:szCs w:val="24"/>
              </w:rPr>
              <w:t xml:space="preserve"> period.</w:t>
            </w:r>
          </w:p>
          <w:p w14:paraId="5CF68280" w14:textId="77777777" w:rsidR="003A36FE" w:rsidRPr="003F170D" w:rsidRDefault="003A36FE" w:rsidP="00D530D5">
            <w:pPr>
              <w:numPr>
                <w:ilvl w:val="0"/>
                <w:numId w:val="181"/>
              </w:numPr>
              <w:suppressAutoHyphens/>
              <w:spacing w:after="0"/>
              <w:ind w:left="419" w:hanging="283"/>
              <w:rPr>
                <w:szCs w:val="24"/>
              </w:rPr>
            </w:pPr>
            <w:r w:rsidRPr="003F170D">
              <w:rPr>
                <w:szCs w:val="24"/>
              </w:rPr>
              <w:t>The Purchaser may request additional perpetual user licenses during the warranty or post warranty periods, if necessary. For these additional licenses, the rates (unit prices) as specified in the Supplier’s financial proposal will be used. For such additional procurement a separate contract will be signed.</w:t>
            </w:r>
          </w:p>
          <w:p w14:paraId="33784FEB" w14:textId="0A864AF6" w:rsidR="003A36FE" w:rsidRPr="003F170D" w:rsidRDefault="003A36FE" w:rsidP="00D530D5">
            <w:pPr>
              <w:numPr>
                <w:ilvl w:val="0"/>
                <w:numId w:val="181"/>
              </w:numPr>
              <w:suppressAutoHyphens/>
              <w:spacing w:after="0"/>
              <w:ind w:left="419" w:hanging="283"/>
              <w:rPr>
                <w:szCs w:val="24"/>
              </w:rPr>
            </w:pPr>
            <w:r w:rsidRPr="003F170D">
              <w:rPr>
                <w:szCs w:val="24"/>
              </w:rPr>
              <w:t>User licenses should be applicable to all modules without any restriction to provide maximum flexibility for user access to perform all System related tasks.</w:t>
            </w:r>
          </w:p>
        </w:tc>
      </w:tr>
      <w:tr w:rsidR="00157AAA" w14:paraId="52E875AE" w14:textId="77777777">
        <w:trPr>
          <w:cantSplit/>
        </w:trPr>
        <w:tc>
          <w:tcPr>
            <w:tcW w:w="1872" w:type="dxa"/>
          </w:tcPr>
          <w:p w14:paraId="4A7B418E" w14:textId="77777777" w:rsidR="00157AAA" w:rsidRDefault="006C1BE5">
            <w:pPr>
              <w:spacing w:after="0"/>
              <w:ind w:right="-72" w:firstLine="14"/>
              <w:jc w:val="left"/>
            </w:pPr>
            <w:r>
              <w:t xml:space="preserve"> </w:t>
            </w:r>
            <w:proofErr w:type="gramStart"/>
            <w:r>
              <w:t>GCC  16.1</w:t>
            </w:r>
            <w:proofErr w:type="gramEnd"/>
            <w:r>
              <w:t xml:space="preserve"> (b) (vi)</w:t>
            </w:r>
          </w:p>
        </w:tc>
        <w:tc>
          <w:tcPr>
            <w:tcW w:w="7236" w:type="dxa"/>
          </w:tcPr>
          <w:p w14:paraId="033CE9F8" w14:textId="38232B7C" w:rsidR="003A36FE" w:rsidRPr="003F170D" w:rsidRDefault="003A36FE" w:rsidP="002F7ADD">
            <w:pPr>
              <w:pStyle w:val="explanatoryclause"/>
              <w:spacing w:after="240"/>
              <w:ind w:left="0" w:firstLine="0"/>
              <w:jc w:val="both"/>
              <w:rPr>
                <w:rFonts w:ascii="Times New Roman" w:hAnsi="Times New Roman"/>
                <w:sz w:val="24"/>
                <w:szCs w:val="24"/>
              </w:rPr>
            </w:pPr>
            <w:r w:rsidRPr="003F170D">
              <w:rPr>
                <w:rFonts w:ascii="Times New Roman" w:hAnsi="Times New Roman"/>
                <w:sz w:val="24"/>
                <w:szCs w:val="24"/>
              </w:rPr>
              <w:t xml:space="preserve">The Software license shall permit the Software to be disclosed to and </w:t>
            </w:r>
            <w:proofErr w:type="gramStart"/>
            <w:r w:rsidRPr="003F170D">
              <w:rPr>
                <w:rFonts w:ascii="Times New Roman" w:hAnsi="Times New Roman"/>
                <w:sz w:val="24"/>
                <w:szCs w:val="24"/>
              </w:rPr>
              <w:t>reproduced  for</w:t>
            </w:r>
            <w:proofErr w:type="gramEnd"/>
            <w:r w:rsidRPr="003F170D">
              <w:rPr>
                <w:rFonts w:ascii="Times New Roman" w:hAnsi="Times New Roman"/>
                <w:sz w:val="24"/>
                <w:szCs w:val="24"/>
              </w:rPr>
              <w:t xml:space="preserve"> use (including a valid sublicense) by:  support service suppliers or their subcontractors, exclusively for such suppliers or subcontractors in the performance of their support service contracts.</w:t>
            </w:r>
          </w:p>
        </w:tc>
      </w:tr>
      <w:tr w:rsidR="00157AAA" w14:paraId="724FEEDB" w14:textId="77777777">
        <w:tc>
          <w:tcPr>
            <w:tcW w:w="1872" w:type="dxa"/>
          </w:tcPr>
          <w:p w14:paraId="3AF782F5" w14:textId="77777777" w:rsidR="00157AAA" w:rsidRDefault="006C1BE5">
            <w:pPr>
              <w:spacing w:after="0"/>
              <w:ind w:right="-72" w:firstLine="14"/>
              <w:jc w:val="left"/>
            </w:pPr>
            <w:r>
              <w:lastRenderedPageBreak/>
              <w:t xml:space="preserve"> </w:t>
            </w:r>
            <w:proofErr w:type="gramStart"/>
            <w:r>
              <w:t>GCC  16.1</w:t>
            </w:r>
            <w:proofErr w:type="gramEnd"/>
            <w:r>
              <w:t xml:space="preserve"> (b) (vii)</w:t>
            </w:r>
          </w:p>
        </w:tc>
        <w:tc>
          <w:tcPr>
            <w:tcW w:w="7236" w:type="dxa"/>
          </w:tcPr>
          <w:p w14:paraId="5D3C6DDF" w14:textId="70F58B68" w:rsidR="003A36FE" w:rsidRPr="003F170D" w:rsidRDefault="003A36FE" w:rsidP="002F7ADD">
            <w:pPr>
              <w:pStyle w:val="explanatoryclause"/>
              <w:spacing w:after="0"/>
              <w:ind w:left="0" w:firstLine="0"/>
              <w:jc w:val="both"/>
              <w:rPr>
                <w:rFonts w:ascii="Times New Roman" w:hAnsi="Times New Roman"/>
                <w:i/>
              </w:rPr>
            </w:pPr>
            <w:r w:rsidRPr="003F170D">
              <w:rPr>
                <w:rFonts w:ascii="Times New Roman" w:hAnsi="Times New Roman"/>
                <w:sz w:val="24"/>
              </w:rPr>
              <w:t xml:space="preserve">In addition to the persons specified in GCC Clause 16.1 (b) (vi), the Software may be disclosed to, and reproduced for use by the persons selected by </w:t>
            </w:r>
            <w:r w:rsidRPr="003F170D">
              <w:rPr>
                <w:rFonts w:ascii="Times New Roman" w:hAnsi="Times New Roman"/>
                <w:b/>
                <w:sz w:val="24"/>
              </w:rPr>
              <w:t>Customs Administration, subject to the same restrictions as is set forth in this Contract.</w:t>
            </w:r>
          </w:p>
        </w:tc>
      </w:tr>
      <w:tr w:rsidR="00157AAA" w14:paraId="7CF36632" w14:textId="77777777">
        <w:tc>
          <w:tcPr>
            <w:tcW w:w="1872" w:type="dxa"/>
          </w:tcPr>
          <w:p w14:paraId="7F8B4882" w14:textId="77777777" w:rsidR="00157AAA" w:rsidRDefault="006C1BE5">
            <w:pPr>
              <w:spacing w:after="0"/>
              <w:ind w:right="-72" w:firstLine="14"/>
            </w:pPr>
            <w:r>
              <w:t xml:space="preserve"> GCC  16.2</w:t>
            </w:r>
          </w:p>
        </w:tc>
        <w:tc>
          <w:tcPr>
            <w:tcW w:w="7236" w:type="dxa"/>
          </w:tcPr>
          <w:p w14:paraId="318A0B18" w14:textId="77777777" w:rsidR="003A36FE" w:rsidRPr="003F170D" w:rsidRDefault="003A36FE" w:rsidP="003A36FE">
            <w:pPr>
              <w:pStyle w:val="BodyText3"/>
              <w:rPr>
                <w:i w:val="0"/>
                <w:sz w:val="24"/>
                <w:szCs w:val="24"/>
              </w:rPr>
            </w:pPr>
            <w:r w:rsidRPr="003F170D">
              <w:rPr>
                <w:i w:val="0"/>
                <w:sz w:val="24"/>
                <w:szCs w:val="24"/>
              </w:rPr>
              <w:t xml:space="preserve">The Supplier’s right to audit the Standard Software will be subject to the following terms: </w:t>
            </w:r>
          </w:p>
          <w:p w14:paraId="766ADED4" w14:textId="17D85B15" w:rsidR="003A36FE" w:rsidRPr="003F170D" w:rsidRDefault="003A36FE" w:rsidP="002F7ADD">
            <w:pPr>
              <w:pStyle w:val="explanatoryclause"/>
              <w:spacing w:after="0"/>
              <w:ind w:left="0" w:hanging="6"/>
              <w:jc w:val="both"/>
              <w:rPr>
                <w:rFonts w:ascii="Times New Roman" w:hAnsi="Times New Roman"/>
                <w:sz w:val="24"/>
              </w:rPr>
            </w:pPr>
            <w:r w:rsidRPr="003F170D">
              <w:rPr>
                <w:rFonts w:ascii="Times New Roman" w:hAnsi="Times New Roman"/>
                <w:sz w:val="24"/>
                <w:szCs w:val="24"/>
              </w:rPr>
              <w:t>The Purchaser will make available to the Supplier within 10 (ten) days of a written request accurate and up-to-date records of the number and location of copies, the number of authorized users, or any other relevant data required to demonstrate use of the Standard Software as per the license agreement.</w:t>
            </w:r>
          </w:p>
        </w:tc>
      </w:tr>
    </w:tbl>
    <w:p w14:paraId="20A47DAF" w14:textId="77777777" w:rsidR="00157AAA" w:rsidRDefault="006C1BE5">
      <w:pPr>
        <w:pStyle w:val="Head72"/>
        <w:numPr>
          <w:ilvl w:val="0"/>
          <w:numId w:val="0"/>
        </w:numPr>
        <w:ind w:left="360"/>
      </w:pPr>
      <w:bookmarkStart w:id="961" w:name="_Toc521497306"/>
      <w:bookmarkStart w:id="962" w:name="_Toc252363620"/>
      <w:bookmarkStart w:id="963" w:name="_Toc42782261"/>
      <w:r>
        <w:t xml:space="preserve">Confidential Information </w:t>
      </w:r>
      <w:proofErr w:type="gramStart"/>
      <w:r>
        <w:t>( GCC</w:t>
      </w:r>
      <w:proofErr w:type="gramEnd"/>
      <w:r>
        <w:t xml:space="preserve">  Clause 17)</w:t>
      </w:r>
      <w:bookmarkEnd w:id="961"/>
      <w:bookmarkEnd w:id="962"/>
      <w:bookmarkEnd w:id="963"/>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F4A4221" w14:textId="77777777">
        <w:tc>
          <w:tcPr>
            <w:tcW w:w="1872" w:type="dxa"/>
          </w:tcPr>
          <w:p w14:paraId="61765D3E" w14:textId="77777777" w:rsidR="00157AAA" w:rsidRDefault="006C1BE5">
            <w:pPr>
              <w:spacing w:after="0"/>
              <w:ind w:right="-72" w:firstLine="14"/>
            </w:pPr>
            <w:r>
              <w:t xml:space="preserve"> GCC  17.1</w:t>
            </w:r>
          </w:p>
        </w:tc>
        <w:tc>
          <w:tcPr>
            <w:tcW w:w="7236" w:type="dxa"/>
          </w:tcPr>
          <w:p w14:paraId="4B008DBC" w14:textId="0C2404A4" w:rsidR="00157AAA" w:rsidRPr="006A67DF" w:rsidRDefault="006C1BE5" w:rsidP="006A67DF">
            <w:pPr>
              <w:spacing w:after="160"/>
              <w:ind w:left="734" w:hanging="734"/>
              <w:rPr>
                <w:b/>
                <w:iCs/>
              </w:rPr>
            </w:pPr>
            <w:r>
              <w:rPr>
                <w:rStyle w:val="preparersnote"/>
                <w:i w:val="0"/>
              </w:rPr>
              <w:t>There are no Special Conditions of Contract applicable to GCC Clause 17.1</w:t>
            </w:r>
            <w:r>
              <w:t xml:space="preserve"> </w:t>
            </w:r>
          </w:p>
        </w:tc>
      </w:tr>
    </w:tbl>
    <w:p w14:paraId="0ED7EE38" w14:textId="77777777" w:rsidR="00157AAA" w:rsidRDefault="006C1BE5">
      <w:pPr>
        <w:pStyle w:val="Head71"/>
        <w:rPr>
          <w:rFonts w:ascii="Times New Roman" w:hAnsi="Times New Roman"/>
        </w:rPr>
      </w:pPr>
      <w:bookmarkStart w:id="964" w:name="_Toc521497307"/>
      <w:bookmarkStart w:id="965" w:name="_Toc252363621"/>
      <w:bookmarkStart w:id="966" w:name="_Toc42782262"/>
      <w:r>
        <w:rPr>
          <w:rFonts w:ascii="Times New Roman" w:hAnsi="Times New Roman"/>
        </w:rPr>
        <w:t>E.  Supply, Installation, Testing, Commissioning, and Acceptance of the System</w:t>
      </w:r>
      <w:bookmarkEnd w:id="964"/>
      <w:bookmarkEnd w:id="965"/>
      <w:bookmarkEnd w:id="966"/>
    </w:p>
    <w:p w14:paraId="0CDA8222" w14:textId="64F70021" w:rsidR="00157AAA" w:rsidRDefault="00CE4C61">
      <w:pPr>
        <w:pStyle w:val="Head72"/>
        <w:numPr>
          <w:ilvl w:val="0"/>
          <w:numId w:val="0"/>
        </w:numPr>
        <w:ind w:left="360"/>
      </w:pPr>
      <w:bookmarkStart w:id="967" w:name="_Toc521497308"/>
      <w:bookmarkStart w:id="968" w:name="_Toc252363622"/>
      <w:bookmarkStart w:id="969" w:name="_Toc42782263"/>
      <w:r>
        <w:t>Representatives (</w:t>
      </w:r>
      <w:r w:rsidR="006C1BE5">
        <w:t>GCC Clause 18)</w:t>
      </w:r>
      <w:bookmarkEnd w:id="967"/>
      <w:bookmarkEnd w:id="968"/>
      <w:bookmarkEnd w:id="969"/>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5C42B303" w14:textId="77777777">
        <w:trPr>
          <w:trHeight w:val="1650"/>
        </w:trPr>
        <w:tc>
          <w:tcPr>
            <w:tcW w:w="1872" w:type="dxa"/>
          </w:tcPr>
          <w:p w14:paraId="35BF1723" w14:textId="77777777" w:rsidR="00157AAA" w:rsidRDefault="006C1BE5">
            <w:pPr>
              <w:spacing w:after="0"/>
              <w:ind w:right="-72" w:firstLine="14"/>
            </w:pPr>
            <w:r>
              <w:t xml:space="preserve"> GCC  18.1</w:t>
            </w:r>
          </w:p>
        </w:tc>
        <w:tc>
          <w:tcPr>
            <w:tcW w:w="7236" w:type="dxa"/>
          </w:tcPr>
          <w:p w14:paraId="3A0C63F2" w14:textId="77777777" w:rsidR="0038228A" w:rsidRPr="003F170D" w:rsidRDefault="0038228A" w:rsidP="0038228A">
            <w:pPr>
              <w:spacing w:after="0"/>
              <w:ind w:left="14"/>
            </w:pPr>
            <w:r w:rsidRPr="003F170D">
              <w:t>The Purchaser’s Project Manager shall have the following additional powers and / or limitations to his or her authority to represent the Purchaser in matters relating to the Contract:</w:t>
            </w:r>
          </w:p>
          <w:p w14:paraId="570E5794" w14:textId="02A44136" w:rsidR="0038228A" w:rsidRPr="003F170D" w:rsidRDefault="0038228A" w:rsidP="0038228A">
            <w:pPr>
              <w:spacing w:after="0"/>
              <w:rPr>
                <w:rFonts w:eastAsia="Arial"/>
                <w:b/>
                <w:i/>
                <w:iCs/>
              </w:rPr>
            </w:pPr>
            <w:r w:rsidRPr="003F170D">
              <w:rPr>
                <w:b/>
              </w:rPr>
              <w:t>Approve all changes in the Supplier’s Staffing Plan, and the replacement of Supplier’s team members, partners, or sub-contractors.</w:t>
            </w:r>
          </w:p>
        </w:tc>
      </w:tr>
      <w:tr w:rsidR="00157AAA" w14:paraId="1BBA3B36" w14:textId="77777777">
        <w:tc>
          <w:tcPr>
            <w:tcW w:w="1872" w:type="dxa"/>
          </w:tcPr>
          <w:p w14:paraId="05DA69A9" w14:textId="77777777" w:rsidR="00157AAA" w:rsidRDefault="006C1BE5">
            <w:pPr>
              <w:spacing w:after="0"/>
              <w:ind w:right="-72" w:firstLine="14"/>
            </w:pPr>
            <w:r>
              <w:t xml:space="preserve"> GCC  18.2.2</w:t>
            </w:r>
          </w:p>
        </w:tc>
        <w:tc>
          <w:tcPr>
            <w:tcW w:w="7236" w:type="dxa"/>
          </w:tcPr>
          <w:p w14:paraId="064B8F04" w14:textId="77E108C9" w:rsidR="0038228A" w:rsidRPr="003F170D" w:rsidRDefault="006C1BE5" w:rsidP="003F170D">
            <w:pPr>
              <w:spacing w:after="160"/>
              <w:ind w:left="648" w:hanging="634"/>
              <w:rPr>
                <w:i/>
              </w:rPr>
            </w:pPr>
            <w:r w:rsidRPr="003F170D">
              <w:rPr>
                <w:rStyle w:val="preparersnote"/>
                <w:i w:val="0"/>
              </w:rPr>
              <w:t>There are no Special Conditions of Contract applicable to GCC Clause 18.2.2</w:t>
            </w:r>
          </w:p>
        </w:tc>
      </w:tr>
    </w:tbl>
    <w:p w14:paraId="527E4748" w14:textId="5A8A5ECC" w:rsidR="00157AAA" w:rsidRDefault="00940430">
      <w:pPr>
        <w:pStyle w:val="Head72"/>
        <w:numPr>
          <w:ilvl w:val="0"/>
          <w:numId w:val="0"/>
        </w:numPr>
        <w:ind w:left="360"/>
      </w:pPr>
      <w:bookmarkStart w:id="970" w:name="_Toc521497309"/>
      <w:bookmarkStart w:id="971" w:name="_Toc252363623"/>
      <w:bookmarkStart w:id="972" w:name="_Toc42782264"/>
      <w:r>
        <w:t>Project Plan (</w:t>
      </w:r>
      <w:r w:rsidR="006C1BE5">
        <w:t>GCC Clause 19)</w:t>
      </w:r>
      <w:bookmarkEnd w:id="970"/>
      <w:bookmarkEnd w:id="971"/>
      <w:bookmarkEnd w:id="972"/>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78638610" w14:textId="77777777">
        <w:tc>
          <w:tcPr>
            <w:tcW w:w="1872" w:type="dxa"/>
          </w:tcPr>
          <w:p w14:paraId="518165A1" w14:textId="77777777" w:rsidR="00157AAA" w:rsidRDefault="006C1BE5">
            <w:pPr>
              <w:spacing w:after="0"/>
              <w:ind w:right="-72" w:firstLine="14"/>
            </w:pPr>
            <w:r>
              <w:t xml:space="preserve"> GCC  19.1</w:t>
            </w:r>
          </w:p>
        </w:tc>
        <w:tc>
          <w:tcPr>
            <w:tcW w:w="7236" w:type="dxa"/>
          </w:tcPr>
          <w:p w14:paraId="6C24AE79" w14:textId="77777777" w:rsidR="00157AAA" w:rsidRPr="003F170D" w:rsidRDefault="006C1BE5">
            <w:pPr>
              <w:spacing w:after="160"/>
              <w:ind w:left="738" w:right="-72" w:hanging="720"/>
              <w:rPr>
                <w:rStyle w:val="preparersnote"/>
              </w:rPr>
            </w:pPr>
            <w:r w:rsidRPr="003F170D">
              <w:rPr>
                <w:b/>
              </w:rPr>
              <w:t xml:space="preserve">Chapters in the Project Plan shall address the following subject:  </w:t>
            </w:r>
          </w:p>
          <w:p w14:paraId="31C1C98B" w14:textId="77777777" w:rsidR="0038228A" w:rsidRPr="003F170D" w:rsidRDefault="0038228A" w:rsidP="00D530D5">
            <w:pPr>
              <w:pStyle w:val="ListParagraph"/>
              <w:numPr>
                <w:ilvl w:val="0"/>
                <w:numId w:val="182"/>
              </w:numPr>
              <w:spacing w:before="120"/>
              <w:ind w:left="136" w:right="-72" w:firstLine="0"/>
              <w:contextualSpacing w:val="0"/>
              <w:outlineLvl w:val="6"/>
              <w:rPr>
                <w:rStyle w:val="preparersnote"/>
                <w:rFonts w:eastAsia="Arial"/>
              </w:rPr>
            </w:pPr>
            <w:r w:rsidRPr="003F170D">
              <w:rPr>
                <w:rStyle w:val="preparersnote"/>
                <w:rFonts w:eastAsia="Arial"/>
              </w:rPr>
              <w:t>Project Organization and Management Sub-Plan, including management authorities, responsibilities, and contacts, validation of requirements for hardware purchase and software development, as well as task, time and resource-bound schedules (in GANTT format</w:t>
            </w:r>
            <w:proofErr w:type="gramStart"/>
            <w:r w:rsidRPr="003F170D">
              <w:rPr>
                <w:rStyle w:val="preparersnote"/>
                <w:rFonts w:eastAsia="Arial"/>
              </w:rPr>
              <w:t>);</w:t>
            </w:r>
            <w:proofErr w:type="gramEnd"/>
          </w:p>
          <w:p w14:paraId="725D9D74" w14:textId="77777777" w:rsidR="0038228A" w:rsidRPr="003F170D" w:rsidRDefault="0038228A" w:rsidP="00D530D5">
            <w:pPr>
              <w:pStyle w:val="ListParagraph"/>
              <w:numPr>
                <w:ilvl w:val="0"/>
                <w:numId w:val="182"/>
              </w:numPr>
              <w:spacing w:before="120"/>
              <w:ind w:left="136" w:right="-72" w:firstLine="0"/>
              <w:contextualSpacing w:val="0"/>
              <w:outlineLvl w:val="6"/>
              <w:rPr>
                <w:rStyle w:val="preparersnote"/>
                <w:rFonts w:eastAsia="Arial"/>
              </w:rPr>
            </w:pPr>
            <w:r w:rsidRPr="003F170D">
              <w:rPr>
                <w:rStyle w:val="preparersnote"/>
                <w:rFonts w:eastAsia="Arial"/>
              </w:rPr>
              <w:t>Implementation Sub-Plan (including all phases of software design, development and implementation</w:t>
            </w:r>
            <w:proofErr w:type="gramStart"/>
            <w:r w:rsidRPr="003F170D">
              <w:rPr>
                <w:rStyle w:val="preparersnote"/>
                <w:rFonts w:eastAsia="Arial"/>
              </w:rPr>
              <w:t>);</w:t>
            </w:r>
            <w:proofErr w:type="gramEnd"/>
          </w:p>
          <w:p w14:paraId="0C6E61AE" w14:textId="77777777" w:rsidR="0038228A" w:rsidRPr="003F170D" w:rsidRDefault="0038228A" w:rsidP="00D530D5">
            <w:pPr>
              <w:pStyle w:val="ListParagraph"/>
              <w:numPr>
                <w:ilvl w:val="0"/>
                <w:numId w:val="182"/>
              </w:numPr>
              <w:spacing w:before="120"/>
              <w:ind w:left="136" w:right="-72" w:firstLine="0"/>
              <w:contextualSpacing w:val="0"/>
              <w:outlineLvl w:val="6"/>
              <w:rPr>
                <w:rStyle w:val="preparersnote"/>
                <w:rFonts w:eastAsia="Arial"/>
              </w:rPr>
            </w:pPr>
            <w:r w:rsidRPr="003F170D">
              <w:rPr>
                <w:rStyle w:val="preparersnote"/>
                <w:rFonts w:eastAsia="Arial"/>
              </w:rPr>
              <w:t xml:space="preserve"> Delivery and Installation Sub-Plan for </w:t>
            </w:r>
            <w:proofErr w:type="gramStart"/>
            <w:r w:rsidRPr="003F170D">
              <w:rPr>
                <w:rStyle w:val="preparersnote"/>
                <w:rFonts w:eastAsia="Arial"/>
              </w:rPr>
              <w:t>hardware;</w:t>
            </w:r>
            <w:proofErr w:type="gramEnd"/>
          </w:p>
          <w:p w14:paraId="01A6117A" w14:textId="77777777" w:rsidR="0038228A" w:rsidRPr="003F170D" w:rsidRDefault="0038228A" w:rsidP="00D530D5">
            <w:pPr>
              <w:pStyle w:val="ListParagraph"/>
              <w:numPr>
                <w:ilvl w:val="0"/>
                <w:numId w:val="182"/>
              </w:numPr>
              <w:spacing w:before="120"/>
              <w:ind w:left="136" w:right="-72" w:firstLine="0"/>
              <w:contextualSpacing w:val="0"/>
              <w:outlineLvl w:val="6"/>
              <w:rPr>
                <w:rStyle w:val="preparersnote"/>
                <w:rFonts w:eastAsia="Arial"/>
              </w:rPr>
            </w:pPr>
            <w:r w:rsidRPr="003F170D">
              <w:rPr>
                <w:rStyle w:val="preparersnote"/>
                <w:rFonts w:eastAsia="Arial"/>
              </w:rPr>
              <w:lastRenderedPageBreak/>
              <w:t>Training Sub-</w:t>
            </w:r>
            <w:proofErr w:type="gramStart"/>
            <w:r w:rsidRPr="003F170D">
              <w:rPr>
                <w:rStyle w:val="preparersnote"/>
                <w:rFonts w:eastAsia="Arial"/>
              </w:rPr>
              <w:t>Plan;</w:t>
            </w:r>
            <w:proofErr w:type="gramEnd"/>
          </w:p>
          <w:p w14:paraId="5AF930D0" w14:textId="77777777" w:rsidR="0038228A" w:rsidRPr="003F170D" w:rsidRDefault="0038228A" w:rsidP="00D530D5">
            <w:pPr>
              <w:pStyle w:val="ListParagraph"/>
              <w:numPr>
                <w:ilvl w:val="0"/>
                <w:numId w:val="182"/>
              </w:numPr>
              <w:spacing w:before="120"/>
              <w:ind w:left="136" w:right="-72" w:firstLine="0"/>
              <w:contextualSpacing w:val="0"/>
              <w:outlineLvl w:val="6"/>
              <w:rPr>
                <w:rStyle w:val="preparersnote"/>
                <w:rFonts w:eastAsia="Arial"/>
              </w:rPr>
            </w:pPr>
            <w:r w:rsidRPr="003F170D">
              <w:rPr>
                <w:rStyle w:val="preparersnote"/>
                <w:rFonts w:eastAsia="Arial"/>
              </w:rPr>
              <w:t>Testing and Quality Assurance Sub-Plan (for all software and hardware components</w:t>
            </w:r>
            <w:proofErr w:type="gramStart"/>
            <w:r w:rsidRPr="003F170D">
              <w:rPr>
                <w:rStyle w:val="preparersnote"/>
                <w:rFonts w:eastAsia="Arial"/>
              </w:rPr>
              <w:t>);</w:t>
            </w:r>
            <w:proofErr w:type="gramEnd"/>
          </w:p>
          <w:p w14:paraId="2AA789F0" w14:textId="321352A8" w:rsidR="00157AAA" w:rsidRPr="003F170D" w:rsidRDefault="0038228A" w:rsidP="00D530D5">
            <w:pPr>
              <w:pStyle w:val="ListParagraph"/>
              <w:numPr>
                <w:ilvl w:val="0"/>
                <w:numId w:val="182"/>
              </w:numPr>
              <w:spacing w:before="120"/>
              <w:ind w:left="136" w:right="-72" w:firstLine="0"/>
              <w:contextualSpacing w:val="0"/>
              <w:outlineLvl w:val="6"/>
              <w:rPr>
                <w:b/>
              </w:rPr>
            </w:pPr>
            <w:r w:rsidRPr="003F170D">
              <w:rPr>
                <w:rStyle w:val="preparersnote"/>
                <w:rFonts w:eastAsia="Arial"/>
              </w:rPr>
              <w:t>Warranty Defect Repair and Technical Support Service Sub-Plan</w:t>
            </w:r>
          </w:p>
        </w:tc>
      </w:tr>
      <w:tr w:rsidR="00157AAA" w14:paraId="7B725565" w14:textId="77777777">
        <w:tc>
          <w:tcPr>
            <w:tcW w:w="1872" w:type="dxa"/>
          </w:tcPr>
          <w:p w14:paraId="1D1B17C4" w14:textId="77777777" w:rsidR="00157AAA" w:rsidRDefault="006C1BE5">
            <w:pPr>
              <w:spacing w:after="0"/>
              <w:ind w:right="-72" w:firstLine="14"/>
            </w:pPr>
            <w:r>
              <w:lastRenderedPageBreak/>
              <w:t xml:space="preserve"> GCC  19.6</w:t>
            </w:r>
          </w:p>
        </w:tc>
        <w:tc>
          <w:tcPr>
            <w:tcW w:w="7236" w:type="dxa"/>
          </w:tcPr>
          <w:p w14:paraId="336B68BC" w14:textId="77777777" w:rsidR="00157AAA" w:rsidRPr="002E13A0" w:rsidRDefault="006C1BE5">
            <w:pPr>
              <w:pStyle w:val="explanatoryclause"/>
              <w:spacing w:after="160"/>
              <w:rPr>
                <w:rFonts w:ascii="Times New Roman" w:hAnsi="Times New Roman"/>
                <w:sz w:val="24"/>
                <w:szCs w:val="24"/>
              </w:rPr>
            </w:pPr>
            <w:r w:rsidRPr="002E13A0">
              <w:rPr>
                <w:rFonts w:ascii="Times New Roman" w:hAnsi="Times New Roman"/>
                <w:b/>
                <w:sz w:val="24"/>
                <w:szCs w:val="24"/>
              </w:rPr>
              <w:t>The Supplier shall submit to the Purchaser:</w:t>
            </w:r>
          </w:p>
          <w:p w14:paraId="3A9DC66B" w14:textId="77777777" w:rsidR="00157AAA" w:rsidRPr="002E13A0" w:rsidRDefault="006C1BE5">
            <w:pPr>
              <w:spacing w:after="160"/>
              <w:ind w:left="1278" w:right="-72" w:hanging="540"/>
              <w:rPr>
                <w:b/>
                <w:szCs w:val="24"/>
              </w:rPr>
            </w:pPr>
            <w:r w:rsidRPr="002E13A0">
              <w:rPr>
                <w:b/>
                <w:szCs w:val="24"/>
              </w:rPr>
              <w:t>(</w:t>
            </w:r>
            <w:proofErr w:type="spellStart"/>
            <w:r w:rsidRPr="002E13A0">
              <w:rPr>
                <w:b/>
                <w:szCs w:val="24"/>
              </w:rPr>
              <w:t>i</w:t>
            </w:r>
            <w:proofErr w:type="spellEnd"/>
            <w:r w:rsidRPr="002E13A0">
              <w:rPr>
                <w:b/>
                <w:szCs w:val="24"/>
              </w:rPr>
              <w:t>)</w:t>
            </w:r>
            <w:r w:rsidRPr="002E13A0">
              <w:rPr>
                <w:b/>
                <w:szCs w:val="24"/>
              </w:rPr>
              <w:tab/>
              <w:t>monthly inspection and quality assurance reports</w:t>
            </w:r>
          </w:p>
          <w:p w14:paraId="51D1D3B5" w14:textId="77777777" w:rsidR="00157AAA" w:rsidRPr="002E13A0" w:rsidRDefault="006C1BE5">
            <w:pPr>
              <w:spacing w:after="160"/>
              <w:ind w:left="1278" w:right="-72" w:hanging="540"/>
              <w:rPr>
                <w:b/>
                <w:szCs w:val="24"/>
              </w:rPr>
            </w:pPr>
            <w:r w:rsidRPr="002E13A0">
              <w:rPr>
                <w:b/>
                <w:szCs w:val="24"/>
              </w:rPr>
              <w:t>(ii)</w:t>
            </w:r>
            <w:r w:rsidRPr="002E13A0">
              <w:rPr>
                <w:b/>
                <w:szCs w:val="24"/>
              </w:rPr>
              <w:tab/>
              <w:t>monthly training participants test results</w:t>
            </w:r>
          </w:p>
          <w:p w14:paraId="79B3A29D" w14:textId="77777777" w:rsidR="00157AAA" w:rsidRDefault="006C1BE5">
            <w:pPr>
              <w:spacing w:after="160"/>
              <w:ind w:left="1278" w:right="-72" w:hanging="540"/>
              <w:rPr>
                <w:rStyle w:val="preparersnote"/>
              </w:rPr>
            </w:pPr>
            <w:r w:rsidRPr="002E13A0">
              <w:rPr>
                <w:b/>
                <w:szCs w:val="24"/>
              </w:rPr>
              <w:t>(iii)</w:t>
            </w:r>
            <w:r w:rsidRPr="002E13A0">
              <w:rPr>
                <w:b/>
                <w:szCs w:val="24"/>
              </w:rPr>
              <w:tab/>
              <w:t>monthly log of service calls and problem resolutions</w:t>
            </w:r>
          </w:p>
        </w:tc>
      </w:tr>
    </w:tbl>
    <w:p w14:paraId="6C430757" w14:textId="77777777" w:rsidR="00157AAA" w:rsidRDefault="006C1BE5">
      <w:pPr>
        <w:pStyle w:val="Head72"/>
        <w:numPr>
          <w:ilvl w:val="0"/>
          <w:numId w:val="0"/>
        </w:numPr>
        <w:ind w:left="360"/>
      </w:pPr>
      <w:bookmarkStart w:id="973" w:name="_Toc521497311"/>
      <w:bookmarkStart w:id="974" w:name="_Toc252363625"/>
      <w:bookmarkStart w:id="975" w:name="_Toc42782265"/>
      <w:r>
        <w:t xml:space="preserve">Design and Engineering </w:t>
      </w:r>
      <w:proofErr w:type="gramStart"/>
      <w:r>
        <w:t>( GCC</w:t>
      </w:r>
      <w:proofErr w:type="gramEnd"/>
      <w:r>
        <w:t xml:space="preserve">  Clause 21)</w:t>
      </w:r>
      <w:bookmarkEnd w:id="973"/>
      <w:bookmarkEnd w:id="974"/>
      <w:bookmarkEnd w:id="975"/>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EFCC6CB" w14:textId="77777777">
        <w:tc>
          <w:tcPr>
            <w:tcW w:w="1872" w:type="dxa"/>
          </w:tcPr>
          <w:p w14:paraId="627D73FD" w14:textId="77777777" w:rsidR="00157AAA" w:rsidRDefault="006C1BE5">
            <w:pPr>
              <w:spacing w:after="0"/>
              <w:ind w:right="-72" w:firstLine="14"/>
            </w:pPr>
            <w:r>
              <w:t xml:space="preserve"> GCC  21.3.1</w:t>
            </w:r>
          </w:p>
        </w:tc>
        <w:tc>
          <w:tcPr>
            <w:tcW w:w="7236" w:type="dxa"/>
          </w:tcPr>
          <w:p w14:paraId="3D02FD3A" w14:textId="77777777" w:rsidR="0038228A" w:rsidRPr="003F170D" w:rsidRDefault="0038228A" w:rsidP="0038228A">
            <w:pPr>
              <w:spacing w:after="160"/>
              <w:ind w:right="-72"/>
            </w:pPr>
            <w:r w:rsidRPr="003F170D">
              <w:t xml:space="preserve">The Supplier shall prepare and furnish to the Project Manager the following documents for which the Supplier must obtain the Project Manager’s approval before proceeding with work on the System or any Subsystem covered by the documents. </w:t>
            </w:r>
          </w:p>
          <w:p w14:paraId="36B97B41" w14:textId="77777777" w:rsidR="0038228A" w:rsidRPr="003F170D" w:rsidRDefault="0038228A" w:rsidP="00D530D5">
            <w:pPr>
              <w:numPr>
                <w:ilvl w:val="0"/>
                <w:numId w:val="183"/>
              </w:numPr>
              <w:suppressAutoHyphens/>
              <w:spacing w:after="0"/>
              <w:ind w:left="792" w:right="-72"/>
              <w:jc w:val="left"/>
            </w:pPr>
            <w:r w:rsidRPr="003F170D">
              <w:t xml:space="preserve">Final Project Plan </w:t>
            </w:r>
          </w:p>
          <w:p w14:paraId="04BA36A5" w14:textId="77777777" w:rsidR="0038228A" w:rsidRPr="003F170D" w:rsidRDefault="0038228A" w:rsidP="00D530D5">
            <w:pPr>
              <w:numPr>
                <w:ilvl w:val="0"/>
                <w:numId w:val="183"/>
              </w:numPr>
              <w:suppressAutoHyphens/>
              <w:spacing w:after="0"/>
              <w:ind w:left="792" w:right="-72"/>
              <w:jc w:val="left"/>
            </w:pPr>
            <w:r w:rsidRPr="003F170D">
              <w:t xml:space="preserve">Conceptual System Design </w:t>
            </w:r>
          </w:p>
          <w:p w14:paraId="76CF1D19" w14:textId="77777777" w:rsidR="0038228A" w:rsidRPr="003F170D" w:rsidRDefault="0038228A" w:rsidP="00D530D5">
            <w:pPr>
              <w:numPr>
                <w:ilvl w:val="0"/>
                <w:numId w:val="183"/>
              </w:numPr>
              <w:suppressAutoHyphens/>
              <w:spacing w:after="0"/>
              <w:ind w:left="792" w:right="-72"/>
              <w:jc w:val="left"/>
            </w:pPr>
            <w:r w:rsidRPr="003F170D">
              <w:t xml:space="preserve">Functional Specification of NSW system </w:t>
            </w:r>
          </w:p>
          <w:p w14:paraId="029C3B07" w14:textId="77777777" w:rsidR="0038228A" w:rsidRPr="003F170D" w:rsidRDefault="0038228A" w:rsidP="00D530D5">
            <w:pPr>
              <w:numPr>
                <w:ilvl w:val="0"/>
                <w:numId w:val="183"/>
              </w:numPr>
              <w:suppressAutoHyphens/>
              <w:spacing w:after="0"/>
              <w:ind w:left="792" w:right="-72"/>
              <w:jc w:val="left"/>
            </w:pPr>
            <w:r w:rsidRPr="003F170D">
              <w:t xml:space="preserve">Technical Specification of NSW system </w:t>
            </w:r>
          </w:p>
          <w:p w14:paraId="3E91213B" w14:textId="77777777" w:rsidR="0038228A" w:rsidRPr="003F170D" w:rsidRDefault="0038228A" w:rsidP="00D530D5">
            <w:pPr>
              <w:numPr>
                <w:ilvl w:val="0"/>
                <w:numId w:val="183"/>
              </w:numPr>
              <w:suppressAutoHyphens/>
              <w:spacing w:after="0"/>
              <w:ind w:left="792" w:right="-72"/>
              <w:jc w:val="left"/>
            </w:pPr>
            <w:r w:rsidRPr="003F170D">
              <w:t>Final Test and Implementation Plan</w:t>
            </w:r>
          </w:p>
          <w:p w14:paraId="60B4BC49" w14:textId="77777777" w:rsidR="0038228A" w:rsidRPr="003F170D" w:rsidRDefault="0038228A" w:rsidP="00D530D5">
            <w:pPr>
              <w:pStyle w:val="ListParagraph"/>
              <w:numPr>
                <w:ilvl w:val="0"/>
                <w:numId w:val="183"/>
              </w:numPr>
              <w:spacing w:after="0"/>
              <w:ind w:left="792"/>
            </w:pPr>
            <w:r w:rsidRPr="003F170D">
              <w:t>Warranty Defect Repair and Technical Support Service Plan</w:t>
            </w:r>
          </w:p>
          <w:p w14:paraId="43E2CDC5" w14:textId="6AF516B7" w:rsidR="0038228A" w:rsidRPr="003F170D" w:rsidRDefault="0038228A" w:rsidP="00D530D5">
            <w:pPr>
              <w:pStyle w:val="ListParagraph"/>
              <w:numPr>
                <w:ilvl w:val="0"/>
                <w:numId w:val="183"/>
              </w:numPr>
              <w:spacing w:after="0"/>
              <w:ind w:right="-72"/>
            </w:pPr>
            <w:r w:rsidRPr="003F170D">
              <w:t>All other documents that derived from GCC 19.1</w:t>
            </w:r>
          </w:p>
        </w:tc>
      </w:tr>
    </w:tbl>
    <w:p w14:paraId="72635DD8" w14:textId="77777777" w:rsidR="00157AAA" w:rsidRDefault="006C1BE5">
      <w:pPr>
        <w:pStyle w:val="Head72"/>
        <w:numPr>
          <w:ilvl w:val="0"/>
          <w:numId w:val="0"/>
        </w:numPr>
        <w:ind w:left="360"/>
      </w:pPr>
      <w:bookmarkStart w:id="976" w:name="_Toc521497313"/>
      <w:bookmarkStart w:id="977" w:name="_Toc252363627"/>
      <w:bookmarkStart w:id="978" w:name="_Toc42782266"/>
      <w:r>
        <w:t xml:space="preserve">Product Upgrades </w:t>
      </w:r>
      <w:proofErr w:type="gramStart"/>
      <w:r>
        <w:t>( GCC</w:t>
      </w:r>
      <w:proofErr w:type="gramEnd"/>
      <w:r>
        <w:t xml:space="preserve">  Clause 23)</w:t>
      </w:r>
      <w:bookmarkEnd w:id="976"/>
      <w:bookmarkEnd w:id="977"/>
      <w:bookmarkEnd w:id="978"/>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4E416DAD" w14:textId="77777777">
        <w:tc>
          <w:tcPr>
            <w:tcW w:w="1872" w:type="dxa"/>
          </w:tcPr>
          <w:p w14:paraId="69140A4C" w14:textId="77777777" w:rsidR="00157AAA" w:rsidRDefault="006C1BE5">
            <w:pPr>
              <w:spacing w:after="0"/>
              <w:ind w:right="-72" w:firstLine="14"/>
            </w:pPr>
            <w:r>
              <w:t xml:space="preserve"> GCC  23.4</w:t>
            </w:r>
          </w:p>
        </w:tc>
        <w:tc>
          <w:tcPr>
            <w:tcW w:w="7236" w:type="dxa"/>
          </w:tcPr>
          <w:p w14:paraId="46BFFC5E" w14:textId="6597CF9C" w:rsidR="0038228A" w:rsidRPr="003F170D" w:rsidRDefault="0038228A" w:rsidP="002E13A0">
            <w:pPr>
              <w:rPr>
                <w:b/>
                <w:i/>
              </w:rPr>
            </w:pPr>
            <w:r w:rsidRPr="003F170D">
              <w:rPr>
                <w:b/>
              </w:rPr>
              <w:t>The Supplier shall provide the Purchaser with all new versions, releases, and updates to all Standard Software during the Warranty Period, for free, as specified in the GCC.</w:t>
            </w:r>
          </w:p>
        </w:tc>
      </w:tr>
    </w:tbl>
    <w:p w14:paraId="3F196349" w14:textId="77777777" w:rsidR="00157AAA" w:rsidRDefault="006C1BE5">
      <w:pPr>
        <w:pStyle w:val="Head72"/>
        <w:numPr>
          <w:ilvl w:val="0"/>
          <w:numId w:val="0"/>
        </w:numPr>
        <w:ind w:left="360"/>
      </w:pPr>
      <w:bookmarkStart w:id="979" w:name="_Toc521497315"/>
      <w:bookmarkStart w:id="980" w:name="_Toc252363629"/>
      <w:bookmarkStart w:id="981" w:name="_Toc42782267"/>
      <w:r>
        <w:t xml:space="preserve">Inspections and Tests </w:t>
      </w:r>
      <w:proofErr w:type="gramStart"/>
      <w:r>
        <w:t>( GCC</w:t>
      </w:r>
      <w:proofErr w:type="gramEnd"/>
      <w:r>
        <w:t xml:space="preserve">  Clause 25)</w:t>
      </w:r>
      <w:bookmarkEnd w:id="979"/>
      <w:bookmarkEnd w:id="980"/>
      <w:bookmarkEnd w:id="981"/>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5B39F18" w14:textId="77777777" w:rsidTr="002E13A0">
        <w:trPr>
          <w:trHeight w:val="593"/>
        </w:trPr>
        <w:tc>
          <w:tcPr>
            <w:tcW w:w="1872" w:type="dxa"/>
          </w:tcPr>
          <w:p w14:paraId="4C02AE67" w14:textId="77777777" w:rsidR="00157AAA" w:rsidRDefault="006C1BE5">
            <w:pPr>
              <w:spacing w:after="0"/>
              <w:ind w:right="-72" w:firstLine="14"/>
            </w:pPr>
            <w:r>
              <w:t xml:space="preserve"> GCC  25</w:t>
            </w:r>
          </w:p>
        </w:tc>
        <w:tc>
          <w:tcPr>
            <w:tcW w:w="7236" w:type="dxa"/>
          </w:tcPr>
          <w:p w14:paraId="65B8AF08" w14:textId="77777777" w:rsidR="000D0336" w:rsidRPr="003F170D" w:rsidRDefault="000D0336" w:rsidP="000D0336">
            <w:pPr>
              <w:tabs>
                <w:tab w:val="right" w:pos="7164"/>
              </w:tabs>
              <w:spacing w:after="60"/>
              <w:rPr>
                <w:b/>
              </w:rPr>
            </w:pPr>
            <w:r w:rsidRPr="003F170D">
              <w:rPr>
                <w:b/>
              </w:rPr>
              <w:t>The inspections and tests shall be:</w:t>
            </w:r>
          </w:p>
          <w:p w14:paraId="791FBAA4" w14:textId="77777777" w:rsidR="000D0336" w:rsidRPr="000D0336" w:rsidRDefault="000D0336" w:rsidP="000D0336">
            <w:r w:rsidRPr="000D0336">
              <w:t xml:space="preserve">All tests must be described in the test plan documents and performed </w:t>
            </w:r>
            <w:proofErr w:type="gramStart"/>
            <w:r w:rsidRPr="000D0336">
              <w:t>on dedicated</w:t>
            </w:r>
            <w:proofErr w:type="gramEnd"/>
            <w:r w:rsidRPr="000D0336">
              <w:t xml:space="preserve"> test environment provided by the Contractor.</w:t>
            </w:r>
            <w:r w:rsidRPr="000D0336">
              <w:rPr>
                <w:lang w:val="en-GB"/>
              </w:rPr>
              <w:t xml:space="preserve"> The Contractor shall prepare the testing environment in a clean and efficient </w:t>
            </w:r>
            <w:proofErr w:type="gramStart"/>
            <w:r w:rsidRPr="000D0336">
              <w:rPr>
                <w:lang w:val="en-GB"/>
              </w:rPr>
              <w:t>manner</w:t>
            </w:r>
            <w:proofErr w:type="gramEnd"/>
            <w:r w:rsidRPr="000D0336">
              <w:rPr>
                <w:lang w:val="en-GB"/>
              </w:rPr>
              <w:t xml:space="preserve"> and it must ensure that all prerequisites for the successful completion of the tests are met. The Contractor shall provide any necessary assistance in the implementation of all tests under the supervision of</w:t>
            </w:r>
            <w:r w:rsidRPr="000D0336">
              <w:rPr>
                <w:bCs/>
                <w:szCs w:val="22"/>
                <w:lang w:val="en-GB"/>
              </w:rPr>
              <w:t xml:space="preserve"> authorised representatives of the Purchaser.</w:t>
            </w:r>
          </w:p>
          <w:p w14:paraId="514825A1" w14:textId="77777777" w:rsidR="000D0336" w:rsidRPr="000D0336" w:rsidRDefault="000D0336" w:rsidP="000D0336">
            <w:r w:rsidRPr="000D0336">
              <w:lastRenderedPageBreak/>
              <w:t>The tests of the System must include at least the following:</w:t>
            </w:r>
          </w:p>
          <w:p w14:paraId="57D87BA9" w14:textId="77777777" w:rsidR="000D0336" w:rsidRPr="000D0336" w:rsidRDefault="000D0336" w:rsidP="000D0336">
            <w:r w:rsidRPr="000D0336">
              <w:t>- General check of the overall system</w:t>
            </w:r>
          </w:p>
          <w:p w14:paraId="270CEAFF" w14:textId="53AC5F8A" w:rsidR="000D0336" w:rsidRPr="000D0336" w:rsidRDefault="000D0336" w:rsidP="000D0336">
            <w:r w:rsidRPr="000D0336">
              <w:t>- Hardware system check</w:t>
            </w:r>
          </w:p>
          <w:p w14:paraId="35A001FE" w14:textId="64C5B609" w:rsidR="000D0336" w:rsidRPr="000D0336" w:rsidRDefault="000D0336" w:rsidP="000D0336">
            <w:r w:rsidRPr="000D0336">
              <w:t>- Software system check</w:t>
            </w:r>
          </w:p>
          <w:p w14:paraId="56794071" w14:textId="77777777" w:rsidR="000D0336" w:rsidRPr="000D0336" w:rsidRDefault="000D0336" w:rsidP="000D0336">
            <w:r w:rsidRPr="000D0336">
              <w:t>- Checks of the central management system</w:t>
            </w:r>
          </w:p>
          <w:p w14:paraId="04AA20B9" w14:textId="77777777" w:rsidR="000D0336" w:rsidRPr="000D0336" w:rsidRDefault="000D0336" w:rsidP="000D0336">
            <w:r w:rsidRPr="000D0336">
              <w:t>The results of the tests will be reported in the Testing and Acceptance Report where, for each test, the following information shall be provided:</w:t>
            </w:r>
          </w:p>
          <w:p w14:paraId="0DB5FB61" w14:textId="77777777" w:rsidR="000D0336" w:rsidRPr="000D0336" w:rsidRDefault="000D0336" w:rsidP="000D0336">
            <w:r w:rsidRPr="000D0336">
              <w:t xml:space="preserve">• Reference to the </w:t>
            </w:r>
            <w:proofErr w:type="gramStart"/>
            <w:r w:rsidRPr="000D0336">
              <w:t>test;</w:t>
            </w:r>
            <w:proofErr w:type="gramEnd"/>
          </w:p>
          <w:p w14:paraId="1979651F" w14:textId="77777777" w:rsidR="000D0336" w:rsidRPr="000D0336" w:rsidRDefault="000D0336" w:rsidP="000D0336">
            <w:r w:rsidRPr="000D0336">
              <w:t xml:space="preserve">• </w:t>
            </w:r>
            <w:proofErr w:type="gramStart"/>
            <w:r w:rsidRPr="000D0336">
              <w:t>Results;</w:t>
            </w:r>
            <w:proofErr w:type="gramEnd"/>
          </w:p>
          <w:p w14:paraId="61292888" w14:textId="77777777" w:rsidR="000D0336" w:rsidRPr="000D0336" w:rsidRDefault="000D0336" w:rsidP="000D0336">
            <w:r w:rsidRPr="000D0336">
              <w:t xml:space="preserve">• Description of encountered </w:t>
            </w:r>
            <w:proofErr w:type="gramStart"/>
            <w:r w:rsidRPr="000D0336">
              <w:t>anomalies;</w:t>
            </w:r>
            <w:proofErr w:type="gramEnd"/>
          </w:p>
          <w:p w14:paraId="20CCA3C6" w14:textId="0304D42F" w:rsidR="000D0336" w:rsidRPr="000D0336" w:rsidRDefault="000D0336" w:rsidP="000D0336">
            <w:pPr>
              <w:spacing w:after="160"/>
              <w:ind w:left="734" w:right="-72" w:hanging="734"/>
              <w:rPr>
                <w:b/>
                <w:iCs/>
                <w:color w:val="FF0000"/>
              </w:rPr>
            </w:pPr>
            <w:r w:rsidRPr="000D0336">
              <w:t>• Name and signature of the Purchaser and the Supplier and/or designated representative(s).</w:t>
            </w:r>
          </w:p>
        </w:tc>
      </w:tr>
    </w:tbl>
    <w:p w14:paraId="36EB5674" w14:textId="77777777" w:rsidR="00157AAA" w:rsidRDefault="006C1BE5">
      <w:pPr>
        <w:pStyle w:val="Head72"/>
        <w:numPr>
          <w:ilvl w:val="0"/>
          <w:numId w:val="0"/>
        </w:numPr>
        <w:ind w:left="360"/>
      </w:pPr>
      <w:bookmarkStart w:id="982" w:name="_Toc521497317"/>
      <w:bookmarkStart w:id="983" w:name="_Toc252363631"/>
      <w:bookmarkStart w:id="984" w:name="_Toc42782268"/>
      <w:r w:rsidRPr="00F15C94">
        <w:lastRenderedPageBreak/>
        <w:t xml:space="preserve">Commissioning and Operational Acceptance </w:t>
      </w:r>
      <w:proofErr w:type="gramStart"/>
      <w:r w:rsidRPr="00F15C94">
        <w:t>( GCC</w:t>
      </w:r>
      <w:proofErr w:type="gramEnd"/>
      <w:r w:rsidRPr="00F15C94">
        <w:t xml:space="preserve">  Clause 27)</w:t>
      </w:r>
      <w:bookmarkEnd w:id="982"/>
      <w:bookmarkEnd w:id="983"/>
      <w:bookmarkEnd w:id="984"/>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4E032A30" w14:textId="77777777">
        <w:tc>
          <w:tcPr>
            <w:tcW w:w="1872" w:type="dxa"/>
          </w:tcPr>
          <w:p w14:paraId="7D6067D8" w14:textId="77777777" w:rsidR="00157AAA" w:rsidRDefault="006C1BE5">
            <w:pPr>
              <w:spacing w:after="0"/>
              <w:ind w:right="-72" w:firstLine="14"/>
            </w:pPr>
            <w:r>
              <w:t xml:space="preserve"> GCC  27.2.1</w:t>
            </w:r>
          </w:p>
        </w:tc>
        <w:tc>
          <w:tcPr>
            <w:tcW w:w="7236" w:type="dxa"/>
          </w:tcPr>
          <w:p w14:paraId="5818E482" w14:textId="45D53850" w:rsidR="00157AAA" w:rsidRDefault="006C1BE5" w:rsidP="00CE4C61">
            <w:pPr>
              <w:spacing w:after="160"/>
              <w:ind w:left="734" w:right="-72" w:hanging="734"/>
            </w:pPr>
            <w:r>
              <w:rPr>
                <w:rStyle w:val="preparersnote"/>
              </w:rPr>
              <w:t>There are no Special Conditions of Contract applicable to GCC Clause 27.2.1.</w:t>
            </w:r>
          </w:p>
        </w:tc>
      </w:tr>
    </w:tbl>
    <w:p w14:paraId="6A7660E8" w14:textId="77777777" w:rsidR="00157AAA" w:rsidRDefault="006C1BE5">
      <w:pPr>
        <w:pStyle w:val="Head71"/>
        <w:rPr>
          <w:rFonts w:ascii="Times New Roman" w:hAnsi="Times New Roman"/>
        </w:rPr>
      </w:pPr>
      <w:bookmarkStart w:id="985" w:name="_Toc521497318"/>
      <w:bookmarkStart w:id="986" w:name="_Toc252363632"/>
      <w:bookmarkStart w:id="987" w:name="_Toc42782269"/>
      <w:r>
        <w:rPr>
          <w:rFonts w:ascii="Times New Roman" w:hAnsi="Times New Roman"/>
        </w:rPr>
        <w:t>F.  Guarantees and Liabilities</w:t>
      </w:r>
      <w:bookmarkEnd w:id="985"/>
      <w:bookmarkEnd w:id="986"/>
      <w:bookmarkEnd w:id="987"/>
    </w:p>
    <w:p w14:paraId="5A708C95" w14:textId="77777777" w:rsidR="00157AAA" w:rsidRDefault="006C1BE5">
      <w:pPr>
        <w:pStyle w:val="Head72"/>
        <w:numPr>
          <w:ilvl w:val="0"/>
          <w:numId w:val="0"/>
        </w:numPr>
        <w:ind w:left="360"/>
      </w:pPr>
      <w:bookmarkStart w:id="988" w:name="_Toc521497319"/>
      <w:bookmarkStart w:id="989" w:name="_Toc252363633"/>
      <w:bookmarkStart w:id="990" w:name="_Toc42782270"/>
      <w:r>
        <w:t xml:space="preserve">Operational Acceptance Time Guarantee </w:t>
      </w:r>
      <w:proofErr w:type="gramStart"/>
      <w:r>
        <w:t>( GCC</w:t>
      </w:r>
      <w:proofErr w:type="gramEnd"/>
      <w:r>
        <w:t xml:space="preserve">  Clause 28)</w:t>
      </w:r>
      <w:bookmarkEnd w:id="988"/>
      <w:bookmarkEnd w:id="989"/>
      <w:bookmarkEnd w:id="990"/>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6149ECA5" w14:textId="77777777">
        <w:tc>
          <w:tcPr>
            <w:tcW w:w="1872" w:type="dxa"/>
          </w:tcPr>
          <w:p w14:paraId="2ACE03FA" w14:textId="77777777" w:rsidR="00157AAA" w:rsidRDefault="006C1BE5">
            <w:pPr>
              <w:spacing w:after="0"/>
              <w:ind w:right="-72" w:firstLine="18"/>
            </w:pPr>
            <w:r>
              <w:t xml:space="preserve"> GCC  28.2</w:t>
            </w:r>
          </w:p>
        </w:tc>
        <w:tc>
          <w:tcPr>
            <w:tcW w:w="7236" w:type="dxa"/>
          </w:tcPr>
          <w:p w14:paraId="738C1D38" w14:textId="5C295798" w:rsidR="00157AAA" w:rsidRPr="003A79EB" w:rsidRDefault="006C1BE5" w:rsidP="003A79EB">
            <w:pPr>
              <w:spacing w:after="160"/>
              <w:ind w:left="734" w:right="-72" w:hanging="734"/>
              <w:rPr>
                <w:i/>
              </w:rPr>
            </w:pPr>
            <w:r w:rsidRPr="003A79EB">
              <w:rPr>
                <w:rStyle w:val="preparersnote"/>
                <w:i w:val="0"/>
              </w:rPr>
              <w:t>There are no Special Conditions of Contract applicable to GCC Clause 28.2.</w:t>
            </w:r>
          </w:p>
        </w:tc>
      </w:tr>
      <w:tr w:rsidR="00157AAA" w14:paraId="38CA37E3" w14:textId="77777777">
        <w:tc>
          <w:tcPr>
            <w:tcW w:w="1872" w:type="dxa"/>
          </w:tcPr>
          <w:p w14:paraId="6C086728" w14:textId="77777777" w:rsidR="00157AAA" w:rsidRDefault="006C1BE5">
            <w:pPr>
              <w:spacing w:after="0"/>
              <w:ind w:right="-72" w:firstLine="14"/>
            </w:pPr>
            <w:r>
              <w:t xml:space="preserve"> GCC  28.3</w:t>
            </w:r>
          </w:p>
        </w:tc>
        <w:tc>
          <w:tcPr>
            <w:tcW w:w="7236" w:type="dxa"/>
          </w:tcPr>
          <w:p w14:paraId="178A8983" w14:textId="2267EF99" w:rsidR="00157AAA" w:rsidRPr="003A79EB" w:rsidRDefault="006C1BE5" w:rsidP="003A79EB">
            <w:pPr>
              <w:spacing w:after="160"/>
              <w:ind w:left="734" w:right="-72" w:hanging="734"/>
              <w:rPr>
                <w:i/>
              </w:rPr>
            </w:pPr>
            <w:r w:rsidRPr="003A79EB">
              <w:rPr>
                <w:rStyle w:val="preparersnote"/>
                <w:i w:val="0"/>
              </w:rPr>
              <w:t xml:space="preserve">There are no Special Conditions of Contract applicable </w:t>
            </w:r>
            <w:proofErr w:type="gramStart"/>
            <w:r w:rsidRPr="003A79EB">
              <w:rPr>
                <w:rStyle w:val="preparersnote"/>
                <w:i w:val="0"/>
              </w:rPr>
              <w:t>to  GCC</w:t>
            </w:r>
            <w:proofErr w:type="gramEnd"/>
            <w:r w:rsidRPr="003A79EB">
              <w:rPr>
                <w:rStyle w:val="preparersnote"/>
                <w:i w:val="0"/>
              </w:rPr>
              <w:t xml:space="preserve"> Clause 28.3.</w:t>
            </w:r>
          </w:p>
        </w:tc>
      </w:tr>
    </w:tbl>
    <w:p w14:paraId="40CEDC60" w14:textId="77777777" w:rsidR="00157AAA" w:rsidRDefault="006C1BE5">
      <w:pPr>
        <w:pStyle w:val="Head72"/>
        <w:numPr>
          <w:ilvl w:val="0"/>
          <w:numId w:val="0"/>
        </w:numPr>
        <w:ind w:left="360"/>
      </w:pPr>
      <w:bookmarkStart w:id="991" w:name="_Toc521497320"/>
      <w:bookmarkStart w:id="992" w:name="_Toc252363634"/>
      <w:bookmarkStart w:id="993" w:name="_Toc42782271"/>
      <w:r>
        <w:t xml:space="preserve">Defect Liability </w:t>
      </w:r>
      <w:proofErr w:type="gramStart"/>
      <w:r>
        <w:t>( GCC</w:t>
      </w:r>
      <w:proofErr w:type="gramEnd"/>
      <w:r>
        <w:t xml:space="preserve">  Clause 29)</w:t>
      </w:r>
      <w:bookmarkEnd w:id="991"/>
      <w:bookmarkEnd w:id="992"/>
      <w:bookmarkEnd w:id="993"/>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73249781" w14:textId="77777777">
        <w:tc>
          <w:tcPr>
            <w:tcW w:w="1872" w:type="dxa"/>
          </w:tcPr>
          <w:p w14:paraId="5AE931B4" w14:textId="77777777" w:rsidR="00157AAA" w:rsidRDefault="006C1BE5">
            <w:pPr>
              <w:spacing w:after="0"/>
              <w:ind w:right="-72" w:firstLine="14"/>
            </w:pPr>
            <w:r>
              <w:t xml:space="preserve"> GCC  29.1</w:t>
            </w:r>
          </w:p>
        </w:tc>
        <w:tc>
          <w:tcPr>
            <w:tcW w:w="7236" w:type="dxa"/>
          </w:tcPr>
          <w:p w14:paraId="7E7F426F" w14:textId="54FB4657" w:rsidR="00157AAA" w:rsidRPr="00E34F0D" w:rsidRDefault="006C1BE5" w:rsidP="00E34F0D">
            <w:pPr>
              <w:spacing w:after="160"/>
              <w:ind w:left="734" w:right="-72" w:hanging="734"/>
              <w:rPr>
                <w:i/>
              </w:rPr>
            </w:pPr>
            <w:r w:rsidRPr="00E34F0D">
              <w:rPr>
                <w:rStyle w:val="preparersnote"/>
                <w:i w:val="0"/>
              </w:rPr>
              <w:t>There are no Special Conditions of Contract applicable to GCC Clause 29.1.</w:t>
            </w:r>
          </w:p>
        </w:tc>
      </w:tr>
      <w:tr w:rsidR="00157AAA" w14:paraId="0AC07616" w14:textId="77777777">
        <w:tc>
          <w:tcPr>
            <w:tcW w:w="1872" w:type="dxa"/>
          </w:tcPr>
          <w:p w14:paraId="5DD52161" w14:textId="77777777" w:rsidR="00157AAA" w:rsidRDefault="006C1BE5">
            <w:pPr>
              <w:spacing w:after="0"/>
              <w:ind w:right="-72" w:firstLine="14"/>
            </w:pPr>
            <w:r>
              <w:t xml:space="preserve"> GCC  29.4</w:t>
            </w:r>
          </w:p>
        </w:tc>
        <w:tc>
          <w:tcPr>
            <w:tcW w:w="7236" w:type="dxa"/>
          </w:tcPr>
          <w:p w14:paraId="2A7CA486" w14:textId="6AC3C93B" w:rsidR="00157AAA" w:rsidRPr="00CE4C61" w:rsidRDefault="00CB2C69" w:rsidP="00CB2C69">
            <w:pPr>
              <w:spacing w:before="120"/>
              <w:ind w:right="-72" w:hanging="6"/>
              <w:rPr>
                <w:b/>
              </w:rPr>
            </w:pPr>
            <w:r w:rsidRPr="00CE4C61">
              <w:rPr>
                <w:b/>
              </w:rPr>
              <w:t xml:space="preserve">The Warranty Period shall begin from the date of Operational Acceptance of the NSW </w:t>
            </w:r>
            <w:proofErr w:type="gramStart"/>
            <w:r w:rsidRPr="00CE4C61">
              <w:rPr>
                <w:b/>
              </w:rPr>
              <w:t>System, and</w:t>
            </w:r>
            <w:proofErr w:type="gramEnd"/>
            <w:r w:rsidRPr="00CE4C61">
              <w:rPr>
                <w:b/>
              </w:rPr>
              <w:t xml:space="preserve"> shall extend for thirty-six (36) months.</w:t>
            </w:r>
          </w:p>
        </w:tc>
      </w:tr>
      <w:tr w:rsidR="00157AAA" w14:paraId="1E503D99" w14:textId="77777777">
        <w:tc>
          <w:tcPr>
            <w:tcW w:w="1872" w:type="dxa"/>
          </w:tcPr>
          <w:p w14:paraId="147ECF76" w14:textId="77777777" w:rsidR="00157AAA" w:rsidRDefault="006C1BE5">
            <w:pPr>
              <w:spacing w:after="0"/>
              <w:ind w:right="-72" w:firstLine="14"/>
            </w:pPr>
            <w:r>
              <w:t xml:space="preserve"> GCC  29.10</w:t>
            </w:r>
          </w:p>
        </w:tc>
        <w:tc>
          <w:tcPr>
            <w:tcW w:w="7236" w:type="dxa"/>
          </w:tcPr>
          <w:p w14:paraId="3A8513AA" w14:textId="2420C23D" w:rsidR="00157AAA" w:rsidRPr="00F15C94" w:rsidRDefault="006C1BE5" w:rsidP="00F15C94">
            <w:pPr>
              <w:pStyle w:val="explanatoryclause"/>
              <w:spacing w:after="240"/>
              <w:ind w:left="734" w:hanging="734"/>
              <w:rPr>
                <w:rFonts w:ascii="Times New Roman" w:hAnsi="Times New Roman"/>
                <w:b/>
                <w:iCs/>
                <w:sz w:val="24"/>
                <w:szCs w:val="24"/>
              </w:rPr>
            </w:pPr>
            <w:r w:rsidRPr="00F15C94">
              <w:rPr>
                <w:rStyle w:val="preparersnote"/>
                <w:rFonts w:ascii="Times New Roman" w:hAnsi="Times New Roman"/>
                <w:i w:val="0"/>
                <w:sz w:val="24"/>
                <w:szCs w:val="24"/>
              </w:rPr>
              <w:t>There are no Special Conditions of Contract applicable to GCC Clause 29.10</w:t>
            </w:r>
            <w:r w:rsidRPr="00F15C94">
              <w:rPr>
                <w:i/>
                <w:sz w:val="24"/>
                <w:szCs w:val="24"/>
              </w:rPr>
              <w:t xml:space="preserve"> </w:t>
            </w:r>
          </w:p>
        </w:tc>
      </w:tr>
    </w:tbl>
    <w:p w14:paraId="0757CC16" w14:textId="77777777" w:rsidR="00157AAA" w:rsidRDefault="006C1BE5">
      <w:pPr>
        <w:pStyle w:val="Head72"/>
        <w:numPr>
          <w:ilvl w:val="0"/>
          <w:numId w:val="0"/>
        </w:numPr>
        <w:ind w:left="360"/>
      </w:pPr>
      <w:bookmarkStart w:id="994" w:name="_Toc521497321"/>
      <w:bookmarkStart w:id="995" w:name="_Toc252363635"/>
      <w:bookmarkStart w:id="996" w:name="_Toc42782272"/>
      <w:r>
        <w:lastRenderedPageBreak/>
        <w:t xml:space="preserve">Functional Guarantees </w:t>
      </w:r>
      <w:proofErr w:type="gramStart"/>
      <w:r>
        <w:t>( GCC</w:t>
      </w:r>
      <w:proofErr w:type="gramEnd"/>
      <w:r>
        <w:t xml:space="preserve">  Clause 30)</w:t>
      </w:r>
      <w:bookmarkEnd w:id="994"/>
      <w:bookmarkEnd w:id="995"/>
      <w:bookmarkEnd w:id="996"/>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55A304E8" w14:textId="77777777">
        <w:tc>
          <w:tcPr>
            <w:tcW w:w="1872" w:type="dxa"/>
          </w:tcPr>
          <w:p w14:paraId="4E3D0FA1" w14:textId="77777777" w:rsidR="00157AAA" w:rsidRDefault="006C1BE5">
            <w:pPr>
              <w:spacing w:after="0"/>
              <w:ind w:right="-72" w:firstLine="14"/>
            </w:pPr>
            <w:r>
              <w:t xml:space="preserve"> GCC  30</w:t>
            </w:r>
          </w:p>
        </w:tc>
        <w:tc>
          <w:tcPr>
            <w:tcW w:w="7236" w:type="dxa"/>
          </w:tcPr>
          <w:p w14:paraId="28295B5F" w14:textId="5658A8D6" w:rsidR="00157AAA" w:rsidRPr="0073635C" w:rsidRDefault="006C1BE5" w:rsidP="0073635C">
            <w:pPr>
              <w:spacing w:after="160"/>
              <w:ind w:left="835" w:right="-72" w:hanging="835"/>
              <w:rPr>
                <w:i/>
                <w:iCs/>
              </w:rPr>
            </w:pPr>
            <w:r w:rsidRPr="0073635C">
              <w:rPr>
                <w:rStyle w:val="preparersnote"/>
                <w:i w:val="0"/>
              </w:rPr>
              <w:t>There are no Special Conditions of Contract applicable to GCC Clause 30.</w:t>
            </w:r>
          </w:p>
        </w:tc>
      </w:tr>
    </w:tbl>
    <w:p w14:paraId="6A00175D" w14:textId="77777777" w:rsidR="00157AAA" w:rsidRDefault="006C1BE5">
      <w:pPr>
        <w:pStyle w:val="Head71"/>
        <w:rPr>
          <w:rFonts w:ascii="Times New Roman" w:hAnsi="Times New Roman"/>
        </w:rPr>
      </w:pPr>
      <w:bookmarkStart w:id="997" w:name="_Toc521497325"/>
      <w:bookmarkStart w:id="998" w:name="_Toc252363639"/>
      <w:bookmarkStart w:id="999" w:name="_Toc42782273"/>
      <w:r>
        <w:rPr>
          <w:rFonts w:ascii="Times New Roman" w:hAnsi="Times New Roman"/>
        </w:rPr>
        <w:t>G.  Risk Distribution</w:t>
      </w:r>
      <w:bookmarkEnd w:id="997"/>
      <w:bookmarkEnd w:id="998"/>
      <w:bookmarkEnd w:id="999"/>
    </w:p>
    <w:p w14:paraId="208D37E2" w14:textId="77777777" w:rsidR="00157AAA" w:rsidRDefault="006C1BE5">
      <w:pPr>
        <w:pStyle w:val="Head72"/>
        <w:numPr>
          <w:ilvl w:val="0"/>
          <w:numId w:val="0"/>
        </w:numPr>
        <w:ind w:left="360"/>
        <w:rPr>
          <w:lang w:val="fr-FR"/>
        </w:rPr>
      </w:pPr>
      <w:bookmarkStart w:id="1000" w:name="_Toc521497329"/>
      <w:bookmarkStart w:id="1001" w:name="_Toc252363643"/>
      <w:bookmarkStart w:id="1002" w:name="_Toc42782274"/>
      <w:r>
        <w:t>Insurances</w:t>
      </w:r>
      <w:r>
        <w:rPr>
          <w:lang w:val="fr-FR"/>
        </w:rPr>
        <w:t xml:space="preserve"> </w:t>
      </w:r>
      <w:proofErr w:type="gramStart"/>
      <w:r>
        <w:rPr>
          <w:lang w:val="fr-FR"/>
        </w:rPr>
        <w:t>( GCC</w:t>
      </w:r>
      <w:proofErr w:type="gramEnd"/>
      <w:r>
        <w:rPr>
          <w:lang w:val="fr-FR"/>
        </w:rPr>
        <w:t xml:space="preserve">  Clause 37)</w:t>
      </w:r>
      <w:bookmarkEnd w:id="1000"/>
      <w:bookmarkEnd w:id="1001"/>
      <w:bookmarkEnd w:id="1002"/>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3D0876D6" w14:textId="77777777">
        <w:tc>
          <w:tcPr>
            <w:tcW w:w="1872" w:type="dxa"/>
          </w:tcPr>
          <w:p w14:paraId="64A59E8F" w14:textId="77777777" w:rsidR="00157AAA" w:rsidRDefault="006C1BE5">
            <w:pPr>
              <w:spacing w:after="0"/>
              <w:ind w:right="-72" w:firstLine="14"/>
            </w:pPr>
            <w:r>
              <w:t xml:space="preserve"> </w:t>
            </w:r>
            <w:proofErr w:type="gramStart"/>
            <w:r>
              <w:t>GCC  37.1</w:t>
            </w:r>
            <w:proofErr w:type="gramEnd"/>
            <w:r>
              <w:t xml:space="preserve"> (c)</w:t>
            </w:r>
          </w:p>
        </w:tc>
        <w:tc>
          <w:tcPr>
            <w:tcW w:w="7236" w:type="dxa"/>
          </w:tcPr>
          <w:p w14:paraId="40C0BC66" w14:textId="7F7F9148" w:rsidR="0073635C" w:rsidRPr="00CE4C61" w:rsidRDefault="0073635C" w:rsidP="00CE4C61">
            <w:pPr>
              <w:spacing w:after="240"/>
              <w:ind w:left="18" w:hanging="4"/>
            </w:pPr>
            <w:r w:rsidRPr="00CE4C61">
              <w:t xml:space="preserve">The Supplier shall obtain Third-Party Liability Insurance in the amount of </w:t>
            </w:r>
            <w:r w:rsidRPr="00CE4C61">
              <w:rPr>
                <w:b/>
              </w:rPr>
              <w:t xml:space="preserve">five hundred thousand </w:t>
            </w:r>
            <w:r w:rsidR="00CE4C61">
              <w:rPr>
                <w:b/>
              </w:rPr>
              <w:t>E</w:t>
            </w:r>
            <w:r w:rsidR="00CE4C61">
              <w:rPr>
                <w:rStyle w:val="preparersnote"/>
                <w:bCs/>
                <w:i w:val="0"/>
                <w:iCs w:val="0"/>
              </w:rPr>
              <w:t>uros</w:t>
            </w:r>
            <w:r w:rsidRPr="00CE4C61">
              <w:rPr>
                <w:rStyle w:val="preparersnote"/>
                <w:bCs/>
                <w:i w:val="0"/>
                <w:iCs w:val="0"/>
              </w:rPr>
              <w:t xml:space="preserve"> (EUR 500,000)</w:t>
            </w:r>
            <w:r w:rsidRPr="00CE4C61">
              <w:t xml:space="preserve"> with deductible limits of no more than </w:t>
            </w:r>
            <w:r w:rsidRPr="00CE4C61">
              <w:rPr>
                <w:rStyle w:val="preparersnote"/>
                <w:bCs/>
                <w:i w:val="0"/>
                <w:iCs w:val="0"/>
              </w:rPr>
              <w:t xml:space="preserve">five thousand </w:t>
            </w:r>
            <w:r w:rsidR="00CE4C61">
              <w:rPr>
                <w:b/>
              </w:rPr>
              <w:t>E</w:t>
            </w:r>
            <w:r w:rsidR="00CE4C61">
              <w:rPr>
                <w:rStyle w:val="preparersnote"/>
                <w:bCs/>
                <w:i w:val="0"/>
                <w:iCs w:val="0"/>
              </w:rPr>
              <w:t>uros</w:t>
            </w:r>
            <w:r w:rsidRPr="00CE4C61">
              <w:rPr>
                <w:rStyle w:val="preparersnote"/>
                <w:bCs/>
                <w:i w:val="0"/>
                <w:iCs w:val="0"/>
              </w:rPr>
              <w:t xml:space="preserve"> (EUR 5,000)</w:t>
            </w:r>
            <w:r w:rsidRPr="00CE4C61">
              <w:rPr>
                <w:rStyle w:val="preparersnote"/>
                <w:b w:val="0"/>
              </w:rPr>
              <w:t>.</w:t>
            </w:r>
            <w:r w:rsidRPr="00CE4C61">
              <w:t xml:space="preserve"> The insured Party shall be </w:t>
            </w:r>
            <w:r w:rsidRPr="00CE4C61">
              <w:rPr>
                <w:b/>
              </w:rPr>
              <w:t xml:space="preserve">Beneficiary </w:t>
            </w:r>
            <w:r w:rsidRPr="00CE4C61">
              <w:t xml:space="preserve">- </w:t>
            </w:r>
            <w:r w:rsidRPr="00CE4C61">
              <w:rPr>
                <w:b/>
              </w:rPr>
              <w:t>Custom Administration</w:t>
            </w:r>
            <w:r w:rsidRPr="00CE4C61">
              <w:t xml:space="preserve">.  The Insurance shall cover the period from the </w:t>
            </w:r>
            <w:r w:rsidRPr="00CE4C61">
              <w:rPr>
                <w:rStyle w:val="preparersnote"/>
                <w:i w:val="0"/>
                <w:iCs w:val="0"/>
              </w:rPr>
              <w:t>date of Contract Effectiveness</w:t>
            </w:r>
            <w:r w:rsidRPr="00CE4C61">
              <w:rPr>
                <w:rStyle w:val="preparersnote"/>
              </w:rPr>
              <w:t> </w:t>
            </w:r>
            <w:r w:rsidRPr="00CE4C61">
              <w:t xml:space="preserve">until </w:t>
            </w:r>
            <w:r w:rsidRPr="00CE4C61">
              <w:rPr>
                <w:rStyle w:val="preparersnote"/>
                <w:i w:val="0"/>
                <w:iCs w:val="0"/>
              </w:rPr>
              <w:t>the date of Contract</w:t>
            </w:r>
            <w:r w:rsidRPr="00CE4C61">
              <w:rPr>
                <w:rStyle w:val="preparersnote"/>
              </w:rPr>
              <w:t xml:space="preserve"> </w:t>
            </w:r>
            <w:r w:rsidRPr="00CE4C61">
              <w:rPr>
                <w:rStyle w:val="preparersnote"/>
                <w:i w:val="0"/>
                <w:iCs w:val="0"/>
              </w:rPr>
              <w:t>Completion.</w:t>
            </w:r>
          </w:p>
        </w:tc>
      </w:tr>
      <w:tr w:rsidR="00157AAA" w14:paraId="29D78B0B" w14:textId="77777777">
        <w:tc>
          <w:tcPr>
            <w:tcW w:w="1872" w:type="dxa"/>
          </w:tcPr>
          <w:p w14:paraId="08C3CB29" w14:textId="77777777" w:rsidR="00157AAA" w:rsidRDefault="006C1BE5">
            <w:pPr>
              <w:spacing w:after="0"/>
              <w:ind w:right="-72" w:firstLine="14"/>
            </w:pPr>
            <w:r>
              <w:t>GCC 37.1 (e)</w:t>
            </w:r>
          </w:p>
        </w:tc>
        <w:tc>
          <w:tcPr>
            <w:tcW w:w="7236" w:type="dxa"/>
          </w:tcPr>
          <w:p w14:paraId="0B507CFC" w14:textId="4C0FDA6C" w:rsidR="00157AAA" w:rsidRPr="008E12B8" w:rsidRDefault="006C1BE5" w:rsidP="008E12B8">
            <w:pPr>
              <w:spacing w:after="160"/>
              <w:ind w:left="734" w:hanging="720"/>
              <w:rPr>
                <w:b/>
                <w:iCs/>
              </w:rPr>
            </w:pPr>
            <w:r w:rsidRPr="008E12B8">
              <w:rPr>
                <w:rStyle w:val="preparersnote"/>
                <w:i w:val="0"/>
              </w:rPr>
              <w:t>There are no Special Conditions of Contract applicable to GCC Clause 37.1 (e)</w:t>
            </w:r>
            <w:r w:rsidRPr="008E12B8">
              <w:rPr>
                <w:rStyle w:val="preparersnote"/>
                <w:b w:val="0"/>
                <w:i w:val="0"/>
              </w:rPr>
              <w:t>.</w:t>
            </w:r>
          </w:p>
        </w:tc>
      </w:tr>
    </w:tbl>
    <w:p w14:paraId="4CFDE103" w14:textId="77777777" w:rsidR="00157AAA" w:rsidRDefault="006C1BE5">
      <w:pPr>
        <w:pStyle w:val="Head71"/>
        <w:rPr>
          <w:rFonts w:ascii="Times New Roman" w:hAnsi="Times New Roman"/>
        </w:rPr>
      </w:pPr>
      <w:bookmarkStart w:id="1003" w:name="_Toc521497331"/>
      <w:bookmarkStart w:id="1004" w:name="_Toc252363645"/>
      <w:bookmarkStart w:id="1005" w:name="_Toc42782275"/>
      <w:r>
        <w:rPr>
          <w:rFonts w:ascii="Times New Roman" w:hAnsi="Times New Roman"/>
        </w:rPr>
        <w:t>H.  Change in Contract Elements</w:t>
      </w:r>
      <w:bookmarkEnd w:id="1003"/>
      <w:bookmarkEnd w:id="1004"/>
      <w:bookmarkEnd w:id="1005"/>
    </w:p>
    <w:p w14:paraId="42AE1CE3" w14:textId="606A077A" w:rsidR="00157AAA" w:rsidRDefault="006C1BE5">
      <w:pPr>
        <w:pStyle w:val="Head72"/>
        <w:numPr>
          <w:ilvl w:val="0"/>
          <w:numId w:val="0"/>
        </w:numPr>
        <w:ind w:left="360"/>
      </w:pPr>
      <w:bookmarkStart w:id="1006" w:name="_Toc521497332"/>
      <w:bookmarkStart w:id="1007" w:name="_Toc252363646"/>
      <w:bookmarkStart w:id="1008" w:name="_Toc42782276"/>
      <w:r>
        <w:t>Changes to the System (GCC Clause 39)</w:t>
      </w:r>
      <w:bookmarkEnd w:id="1006"/>
      <w:bookmarkEnd w:id="1007"/>
      <w:bookmarkEnd w:id="1008"/>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229A0DAC" w14:textId="77777777" w:rsidTr="008E12B8">
        <w:trPr>
          <w:trHeight w:val="965"/>
        </w:trPr>
        <w:tc>
          <w:tcPr>
            <w:tcW w:w="1872" w:type="dxa"/>
          </w:tcPr>
          <w:p w14:paraId="2C97006A" w14:textId="77777777" w:rsidR="00157AAA" w:rsidRDefault="006C1BE5">
            <w:pPr>
              <w:spacing w:after="0"/>
              <w:ind w:right="-72" w:firstLine="14"/>
            </w:pPr>
            <w:r>
              <w:t xml:space="preserve"> GCC  39.4</w:t>
            </w:r>
          </w:p>
        </w:tc>
        <w:tc>
          <w:tcPr>
            <w:tcW w:w="7236" w:type="dxa"/>
          </w:tcPr>
          <w:p w14:paraId="37F7B514" w14:textId="77777777" w:rsidR="00157AAA" w:rsidRDefault="006C1BE5">
            <w:pPr>
              <w:pStyle w:val="S8Header1"/>
            </w:pPr>
            <w:r>
              <w:t>Value Engineering</w:t>
            </w:r>
          </w:p>
          <w:p w14:paraId="281E045C" w14:textId="5C1D0B2B" w:rsidR="00157AAA" w:rsidRPr="008E12B8" w:rsidRDefault="006C1BE5" w:rsidP="008E12B8">
            <w:pPr>
              <w:spacing w:before="120" w:after="200"/>
              <w:rPr>
                <w:rStyle w:val="preparersnote"/>
                <w:i w:val="0"/>
                <w:iCs w:val="0"/>
                <w:szCs w:val="24"/>
              </w:rPr>
            </w:pPr>
            <w:r>
              <w:rPr>
                <w:szCs w:val="24"/>
              </w:rPr>
              <w:t>The Purchaser</w:t>
            </w:r>
            <w:r>
              <w:rPr>
                <w:b/>
                <w:szCs w:val="24"/>
              </w:rPr>
              <w:t xml:space="preserve"> </w:t>
            </w:r>
            <w:r w:rsidRPr="008E12B8">
              <w:rPr>
                <w:b/>
                <w:szCs w:val="24"/>
              </w:rPr>
              <w:t>will not</w:t>
            </w:r>
            <w:r>
              <w:rPr>
                <w:b/>
                <w:szCs w:val="24"/>
              </w:rPr>
              <w:t xml:space="preserve"> </w:t>
            </w:r>
            <w:r>
              <w:rPr>
                <w:szCs w:val="24"/>
              </w:rPr>
              <w:t>consider a Value Engineering Proposal.</w:t>
            </w:r>
          </w:p>
        </w:tc>
      </w:tr>
    </w:tbl>
    <w:p w14:paraId="0B0B4792" w14:textId="77777777" w:rsidR="00157AAA" w:rsidRDefault="006C1BE5">
      <w:pPr>
        <w:pStyle w:val="Head71"/>
      </w:pPr>
      <w:bookmarkStart w:id="1009" w:name="_Toc277233789"/>
      <w:bookmarkStart w:id="1010" w:name="_Toc42782277"/>
      <w:r>
        <w:t>I.  Settlement of Disputes</w:t>
      </w:r>
      <w:bookmarkEnd w:id="1009"/>
      <w:bookmarkEnd w:id="1010"/>
    </w:p>
    <w:p w14:paraId="4AC55579" w14:textId="77777777" w:rsidR="00157AAA" w:rsidRDefault="006C1BE5">
      <w:pPr>
        <w:pStyle w:val="Head72"/>
        <w:numPr>
          <w:ilvl w:val="0"/>
          <w:numId w:val="0"/>
        </w:numPr>
        <w:ind w:left="360"/>
      </w:pPr>
      <w:bookmarkStart w:id="1011" w:name="_Toc277233790"/>
      <w:bookmarkStart w:id="1012" w:name="_Toc42782278"/>
      <w:r>
        <w:t>Settlement of Disputes (GCC Clause 43)</w:t>
      </w:r>
      <w:bookmarkEnd w:id="1011"/>
      <w:bookmarkEnd w:id="1012"/>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1872"/>
        <w:gridCol w:w="7236"/>
      </w:tblGrid>
      <w:tr w:rsidR="00157AAA" w14:paraId="2E813E02" w14:textId="77777777">
        <w:tc>
          <w:tcPr>
            <w:tcW w:w="1872" w:type="dxa"/>
          </w:tcPr>
          <w:p w14:paraId="0F6CEDF5" w14:textId="77777777" w:rsidR="00157AAA" w:rsidRDefault="006C1BE5">
            <w:pPr>
              <w:spacing w:after="0"/>
              <w:ind w:right="-72" w:firstLine="14"/>
            </w:pPr>
            <w:r>
              <w:t>GCC 43.1.4</w:t>
            </w:r>
          </w:p>
        </w:tc>
        <w:tc>
          <w:tcPr>
            <w:tcW w:w="7236" w:type="dxa"/>
          </w:tcPr>
          <w:p w14:paraId="60F1922A" w14:textId="1B993051" w:rsidR="00157AAA" w:rsidRDefault="006C1BE5" w:rsidP="003E6B01">
            <w:pPr>
              <w:spacing w:after="240"/>
              <w:ind w:right="8"/>
            </w:pPr>
            <w:r>
              <w:t>The Appointing Authority for the Adjudicator is:</w:t>
            </w:r>
            <w:r w:rsidRPr="003E6B01">
              <w:t xml:space="preserve"> </w:t>
            </w:r>
            <w:r w:rsidRPr="003E6B01">
              <w:rPr>
                <w:rStyle w:val="preparersnote"/>
                <w:i w:val="0"/>
              </w:rPr>
              <w:t>not applicable.</w:t>
            </w:r>
          </w:p>
        </w:tc>
      </w:tr>
      <w:tr w:rsidR="00157AAA" w14:paraId="00663B8B" w14:textId="77777777">
        <w:tc>
          <w:tcPr>
            <w:tcW w:w="1872" w:type="dxa"/>
          </w:tcPr>
          <w:p w14:paraId="2F34AA05" w14:textId="77777777" w:rsidR="00157AAA" w:rsidRDefault="006C1BE5">
            <w:pPr>
              <w:spacing w:after="0"/>
              <w:ind w:right="-72" w:firstLine="14"/>
            </w:pPr>
            <w:r>
              <w:t>GCC 43.2.3</w:t>
            </w:r>
          </w:p>
        </w:tc>
        <w:tc>
          <w:tcPr>
            <w:tcW w:w="7236" w:type="dxa"/>
          </w:tcPr>
          <w:p w14:paraId="126B4CBF" w14:textId="29224EFF" w:rsidR="00157AAA" w:rsidRDefault="006C1BE5">
            <w:pPr>
              <w:spacing w:after="240"/>
              <w:ind w:right="8"/>
            </w:pPr>
            <w:r>
              <w:t>If the Supplier is from outside the Purchaser’s Country arbitration proceedings shall be conducted in accordance with the rules of arbitration of</w:t>
            </w:r>
            <w:r w:rsidRPr="00CE4C61">
              <w:t xml:space="preserve">: </w:t>
            </w:r>
            <w:r w:rsidRPr="00CE4C61">
              <w:rPr>
                <w:b/>
              </w:rPr>
              <w:t xml:space="preserve">UNCITRAL </w:t>
            </w:r>
            <w:r w:rsidRPr="00CE4C61">
              <w:t xml:space="preserve">/ </w:t>
            </w:r>
            <w:r w:rsidRPr="00CE4C61">
              <w:rPr>
                <w:b/>
              </w:rPr>
              <w:t>the International Chamber of Commerce (ICC)</w:t>
            </w:r>
            <w:r w:rsidR="00CE4C61">
              <w:rPr>
                <w:b/>
              </w:rPr>
              <w:t>.</w:t>
            </w:r>
            <w:r>
              <w:t xml:space="preserve">  These rules, in the version in force at the time of the request for arbitration, will be deemed to form part of this Contract.</w:t>
            </w:r>
          </w:p>
          <w:p w14:paraId="396C0771" w14:textId="77777777" w:rsidR="00157AAA" w:rsidRDefault="006C1BE5">
            <w:pPr>
              <w:spacing w:after="240"/>
              <w:ind w:right="8"/>
            </w:pPr>
            <w:r>
              <w:rPr>
                <w:szCs w:val="24"/>
              </w:rPr>
              <w:t xml:space="preserve">If the Supplier is a national of the Purchaser’s Country, any dispute between the Purchaser and a Supplier arising in connection with the </w:t>
            </w:r>
            <w:r>
              <w:rPr>
                <w:szCs w:val="24"/>
              </w:rPr>
              <w:lastRenderedPageBreak/>
              <w:t>present Contract shall be referred to arbitration in accordance with the laws of the Purchaser’s country.</w:t>
            </w:r>
          </w:p>
        </w:tc>
      </w:tr>
    </w:tbl>
    <w:p w14:paraId="6D06ED87" w14:textId="77777777" w:rsidR="00157AAA" w:rsidRDefault="00157AAA">
      <w:pPr>
        <w:jc w:val="center"/>
        <w:rPr>
          <w:b/>
          <w:sz w:val="32"/>
          <w:szCs w:val="32"/>
        </w:rPr>
      </w:pPr>
    </w:p>
    <w:p w14:paraId="76803DBA" w14:textId="77777777" w:rsidR="00157AAA" w:rsidRDefault="00157AAA">
      <w:pPr>
        <w:jc w:val="center"/>
        <w:rPr>
          <w:b/>
          <w:sz w:val="32"/>
          <w:szCs w:val="32"/>
        </w:rPr>
        <w:sectPr w:rsidR="00157AAA" w:rsidSect="00734667">
          <w:headerReference w:type="even" r:id="rId152"/>
          <w:headerReference w:type="default" r:id="rId153"/>
          <w:type w:val="oddPage"/>
          <w:pgSz w:w="12240" w:h="15840"/>
          <w:pgMar w:top="1440" w:right="1440" w:bottom="1440" w:left="1440" w:header="720" w:footer="720" w:gutter="0"/>
          <w:cols w:space="720"/>
          <w:docGrid w:linePitch="360"/>
        </w:sectPr>
      </w:pPr>
    </w:p>
    <w:p w14:paraId="30CCF8F7" w14:textId="77777777" w:rsidR="00157AAA" w:rsidRDefault="006C1BE5">
      <w:pPr>
        <w:pStyle w:val="Head02"/>
        <w:ind w:right="720"/>
        <w:rPr>
          <w:rFonts w:ascii="Times New Roman" w:hAnsi="Times New Roman"/>
        </w:rPr>
      </w:pPr>
      <w:bookmarkStart w:id="1013" w:name="_Toc445567401"/>
      <w:bookmarkStart w:id="1014" w:name="_Toc73977458"/>
      <w:bookmarkStart w:id="1015" w:name="_Toc521497264"/>
      <w:bookmarkStart w:id="1016" w:name="_Toc207770097"/>
      <w:r>
        <w:rPr>
          <w:rFonts w:ascii="Times New Roman" w:hAnsi="Times New Roman"/>
        </w:rPr>
        <w:lastRenderedPageBreak/>
        <w:t xml:space="preserve">Section X - </w:t>
      </w:r>
      <w:bookmarkEnd w:id="1013"/>
      <w:r>
        <w:rPr>
          <w:rFonts w:ascii="Times New Roman" w:hAnsi="Times New Roman"/>
        </w:rPr>
        <w:t>Contract Forms</w:t>
      </w:r>
      <w:bookmarkEnd w:id="1014"/>
    </w:p>
    <w:p w14:paraId="4277E0E4" w14:textId="77777777" w:rsidR="00157AAA" w:rsidRDefault="00157AAA">
      <w:pPr>
        <w:pStyle w:val="explanatorynotes"/>
        <w:ind w:right="720"/>
        <w:jc w:val="left"/>
        <w:rPr>
          <w:rFonts w:ascii="Times New Roman" w:hAnsi="Times New Roman"/>
        </w:rPr>
      </w:pPr>
    </w:p>
    <w:p w14:paraId="0BFB5769" w14:textId="77777777" w:rsidR="00157AAA" w:rsidRDefault="006C1BE5">
      <w:pPr>
        <w:pStyle w:val="Heading2"/>
        <w:ind w:right="720"/>
        <w:rPr>
          <w:rFonts w:ascii="Times New Roman" w:hAnsi="Times New Roman"/>
        </w:rPr>
      </w:pPr>
      <w:bookmarkStart w:id="1017" w:name="_Toc445567402"/>
      <w:r>
        <w:rPr>
          <w:rFonts w:ascii="Times New Roman" w:hAnsi="Times New Roman"/>
        </w:rPr>
        <w:t xml:space="preserve">Notes to the Purchaser on preparing the </w:t>
      </w:r>
      <w:bookmarkEnd w:id="1017"/>
      <w:r>
        <w:rPr>
          <w:rFonts w:ascii="Times New Roman" w:hAnsi="Times New Roman"/>
        </w:rPr>
        <w:t>Contract Forms</w:t>
      </w:r>
    </w:p>
    <w:p w14:paraId="4454FCAF" w14:textId="77777777" w:rsidR="00157AAA" w:rsidRDefault="006C1BE5">
      <w:pPr>
        <w:pStyle w:val="explanatorynotes"/>
        <w:ind w:right="720"/>
        <w:rPr>
          <w:rFonts w:ascii="Times New Roman" w:hAnsi="Times New Roman"/>
          <w:sz w:val="24"/>
          <w:szCs w:val="24"/>
        </w:rPr>
      </w:pPr>
      <w:r>
        <w:rPr>
          <w:rFonts w:ascii="Times New Roman" w:hAnsi="Times New Roman"/>
        </w:rPr>
        <w:tab/>
      </w:r>
      <w:r>
        <w:rPr>
          <w:rFonts w:ascii="Times New Roman" w:hAnsi="Times New Roman"/>
          <w:sz w:val="24"/>
          <w:szCs w:val="24"/>
        </w:rPr>
        <w:t>Performance Security:  Pursuant to GCC Clause 13.3, the successful Bidder is required to provide the Performance Security within twenty-eight (28) days of notification of Contract award.</w:t>
      </w:r>
    </w:p>
    <w:p w14:paraId="0B6E9F7E" w14:textId="77777777" w:rsidR="00157AAA" w:rsidRDefault="006C1BE5">
      <w:pPr>
        <w:pStyle w:val="explanatorynotes"/>
        <w:ind w:right="720"/>
        <w:rPr>
          <w:rFonts w:ascii="Times New Roman" w:hAnsi="Times New Roman"/>
          <w:sz w:val="24"/>
          <w:szCs w:val="24"/>
        </w:rPr>
      </w:pPr>
      <w:r>
        <w:rPr>
          <w:rFonts w:ascii="Times New Roman" w:hAnsi="Times New Roman"/>
          <w:sz w:val="24"/>
          <w:szCs w:val="24"/>
        </w:rPr>
        <w:tab/>
        <w:t xml:space="preserve">Advance Payment Security:  Pursuant to Clause 13.2, the successful Bidder is required to provide a bank guarantee securing the Advance Payment, if the SCC related </w:t>
      </w:r>
      <w:proofErr w:type="gramStart"/>
      <w:r>
        <w:rPr>
          <w:rFonts w:ascii="Times New Roman" w:hAnsi="Times New Roman"/>
          <w:sz w:val="24"/>
          <w:szCs w:val="24"/>
        </w:rPr>
        <w:t>to  GCC</w:t>
      </w:r>
      <w:proofErr w:type="gramEnd"/>
      <w:r>
        <w:rPr>
          <w:rFonts w:ascii="Times New Roman" w:hAnsi="Times New Roman"/>
          <w:sz w:val="24"/>
          <w:szCs w:val="24"/>
        </w:rPr>
        <w:t xml:space="preserve">  Clause 12.1 provides for an Advance Payment.</w:t>
      </w:r>
    </w:p>
    <w:p w14:paraId="2DE9570D" w14:textId="77777777" w:rsidR="00157AAA" w:rsidRDefault="006C1BE5">
      <w:pPr>
        <w:pStyle w:val="explanatorynotes"/>
        <w:ind w:right="720"/>
        <w:rPr>
          <w:rFonts w:ascii="Times New Roman" w:hAnsi="Times New Roman"/>
          <w:sz w:val="24"/>
          <w:szCs w:val="24"/>
        </w:rPr>
      </w:pPr>
      <w:r>
        <w:rPr>
          <w:rFonts w:ascii="Times New Roman" w:hAnsi="Times New Roman"/>
          <w:sz w:val="24"/>
          <w:szCs w:val="24"/>
        </w:rPr>
        <w:tab/>
        <w:t>Installation and Operational Acceptance Certificates:  Recommended formats for these certificates are included in this SPD.  Unless the Purchaser has good reason to require procedures that differ from those recommended, or to require different wording in the certificates, the procedures and forms shall be included unchanged.  If the Purchaser wishes to amend the recommended procedures and/or certificates, it may propose alternatives for the approval of the World Bank before release of the bidding document to potential Bidders.</w:t>
      </w:r>
    </w:p>
    <w:p w14:paraId="6BBD62FD" w14:textId="77777777" w:rsidR="00157AAA" w:rsidRDefault="006C1BE5">
      <w:pPr>
        <w:pStyle w:val="explanatorynotes"/>
        <w:ind w:right="720"/>
        <w:rPr>
          <w:rFonts w:ascii="Times New Roman" w:hAnsi="Times New Roman"/>
          <w:sz w:val="24"/>
          <w:szCs w:val="24"/>
        </w:rPr>
      </w:pPr>
      <w:r>
        <w:rPr>
          <w:rFonts w:ascii="Times New Roman" w:hAnsi="Times New Roman"/>
          <w:sz w:val="24"/>
          <w:szCs w:val="24"/>
        </w:rPr>
        <w:tab/>
        <w:t>Change Order Procedures and Forms:  Similar to the Installation and Operational Acceptance Certificates, the Change Estimate Proposal, Estimate Acceptance, Change Proposal, Change Order, and related Forms should be included in the bidding document unaltered.  If the Purchaser wishes to amend the recommended procedures and/or certificates, it may propose alternatives for the approval of the World Bank before release of the bidding document.</w:t>
      </w:r>
    </w:p>
    <w:p w14:paraId="5B8B78DF" w14:textId="77777777" w:rsidR="00157AAA" w:rsidRDefault="00157AAA">
      <w:pPr>
        <w:ind w:right="720"/>
      </w:pPr>
    </w:p>
    <w:p w14:paraId="10A8F1AF" w14:textId="77777777" w:rsidR="00157AAA" w:rsidRDefault="006C1BE5">
      <w:pPr>
        <w:pStyle w:val="Heading2"/>
        <w:ind w:right="720"/>
        <w:rPr>
          <w:rFonts w:ascii="Times New Roman" w:hAnsi="Times New Roman"/>
        </w:rPr>
      </w:pPr>
      <w:bookmarkStart w:id="1018" w:name="_Toc445567403"/>
      <w:r>
        <w:rPr>
          <w:rFonts w:ascii="Times New Roman" w:hAnsi="Times New Roman"/>
        </w:rPr>
        <w:t>Notes to Bidders on working with the Sample Contractual Forms</w:t>
      </w:r>
      <w:bookmarkEnd w:id="1018"/>
    </w:p>
    <w:p w14:paraId="3C4C84EA" w14:textId="77777777" w:rsidR="00157AAA" w:rsidRDefault="006C1BE5">
      <w:pPr>
        <w:ind w:right="720"/>
      </w:pPr>
      <w:r>
        <w:tab/>
        <w:t xml:space="preserve">The following forms are to be completed and submitted by the successful Bidder following </w:t>
      </w:r>
      <w:r>
        <w:rPr>
          <w:szCs w:val="24"/>
        </w:rPr>
        <w:t>receipt of the Letter of Acceptance from the Purchaser</w:t>
      </w:r>
      <w:r>
        <w:t>: (</w:t>
      </w:r>
      <w:proofErr w:type="spellStart"/>
      <w:r>
        <w:t>i</w:t>
      </w:r>
      <w:proofErr w:type="spellEnd"/>
      <w:r>
        <w:t>) Contract Agreement, with all Appendices; (ii) Performance Security; and (iii) Advance Payment Security.</w:t>
      </w:r>
    </w:p>
    <w:p w14:paraId="5E93E3A4" w14:textId="77777777" w:rsidR="00157AAA" w:rsidRDefault="006C1BE5">
      <w:pPr>
        <w:ind w:left="1440" w:right="720" w:hanging="720"/>
      </w:pPr>
      <w:r>
        <w:t>•</w:t>
      </w:r>
      <w:r>
        <w:tab/>
        <w:t>Contract Agreement:  In addition to specifying the parties and the Contract Price, the Contract Agreement is where the: (</w:t>
      </w:r>
      <w:proofErr w:type="spellStart"/>
      <w:r>
        <w:t>i</w:t>
      </w:r>
      <w:proofErr w:type="spellEnd"/>
      <w:r>
        <w:t>) Supplier Representative; (ii) if applicable, agreed Adjudicator and his/her compensation; and (iii) the List of Approved Subcontractors are specified.  In addition, modifications to the successful Bidder’s Bid Price Schedules are attached to the Agreement.  These contain corrections and adjustments to the Supplier’s bid prices to correct errors, adjust the Contract Price to reflect – if applicable - any extensions to bid validity beyond the last day of original bid validity plus 56 days, etc.</w:t>
      </w:r>
    </w:p>
    <w:p w14:paraId="6A90F43A" w14:textId="77777777" w:rsidR="00157AAA" w:rsidRDefault="006C1BE5">
      <w:pPr>
        <w:ind w:left="1440" w:right="720" w:hanging="720"/>
      </w:pPr>
      <w:r>
        <w:t>•</w:t>
      </w:r>
      <w:r>
        <w:tab/>
        <w:t xml:space="preserve">Performance Security:  Pursuant to GCC Clause 13.3, the successful Bidder is required to provide the Performance Security in the form contained in this </w:t>
      </w:r>
      <w:r>
        <w:lastRenderedPageBreak/>
        <w:t>section of these bidding documents and in the amount specified in accordance with the SCC.</w:t>
      </w:r>
    </w:p>
    <w:p w14:paraId="55F63341" w14:textId="77777777" w:rsidR="00157AAA" w:rsidRDefault="006C1BE5">
      <w:pPr>
        <w:ind w:left="1440" w:right="720" w:hanging="720"/>
      </w:pPr>
      <w:r>
        <w:t>•</w:t>
      </w:r>
      <w:r>
        <w:tab/>
        <w:t>Advance Payment Security:  Pursuant to GCC Clause 13.2, the successful Bidder is required to provide a bank guarantee for the full amount of the Advance Payment - if an Advance Payment is specified in the SCC for GCC Clause 12.1 - in the form contained in this section of these bidding documents or another form acceptable to the Purchaser.  If a Bidder wishes to propose a different Advance Payment Security form, it should submit a copy to the Purchaser promptly for review and confirmation of acceptability before the bid submission deadline.</w:t>
      </w:r>
    </w:p>
    <w:p w14:paraId="61192AD0" w14:textId="77777777" w:rsidR="00157AAA" w:rsidRDefault="006C1BE5">
      <w:pPr>
        <w:ind w:right="720"/>
      </w:pPr>
      <w:r>
        <w:tab/>
        <w:t>The Purchaser and Supplier will use the following additional forms during Contract implementation to formalize or certify important Contract events: (</w:t>
      </w:r>
      <w:proofErr w:type="spellStart"/>
      <w:r>
        <w:t>i</w:t>
      </w:r>
      <w:proofErr w:type="spellEnd"/>
      <w:r>
        <w:t>) the Installation and Operational Acceptance Certificates; and (ii) the various Change Order forms.  These and the procedures for their use during performance of the Contract are included in the bidding documents for the information of Bidders.</w:t>
      </w:r>
    </w:p>
    <w:p w14:paraId="1D8C647A" w14:textId="77777777" w:rsidR="00157AAA" w:rsidRDefault="00157AAA">
      <w:pPr>
        <w:ind w:right="720"/>
      </w:pPr>
    </w:p>
    <w:p w14:paraId="2DF759EA" w14:textId="77777777" w:rsidR="00157AAA" w:rsidRDefault="006C1BE5">
      <w:pPr>
        <w:pStyle w:val="TOC1"/>
        <w:ind w:right="720"/>
        <w:rPr>
          <w:rFonts w:ascii="Times New Roman" w:hAnsi="Times New Roman"/>
        </w:rPr>
      </w:pPr>
      <w:r>
        <w:rPr>
          <w:rFonts w:ascii="Times New Roman" w:hAnsi="Times New Roman"/>
        </w:rPr>
        <w:br w:type="page" w:clear="all"/>
      </w:r>
    </w:p>
    <w:p w14:paraId="05412553" w14:textId="77777777" w:rsidR="00157AAA" w:rsidRDefault="006C1BE5">
      <w:pPr>
        <w:pStyle w:val="TOC1"/>
        <w:ind w:right="810"/>
        <w:jc w:val="center"/>
        <w:rPr>
          <w:rFonts w:ascii="Times New Roman" w:hAnsi="Times New Roman"/>
          <w:sz w:val="32"/>
          <w:szCs w:val="32"/>
        </w:rPr>
      </w:pPr>
      <w:r>
        <w:rPr>
          <w:rFonts w:ascii="Times New Roman" w:hAnsi="Times New Roman"/>
          <w:sz w:val="32"/>
          <w:szCs w:val="32"/>
        </w:rPr>
        <w:lastRenderedPageBreak/>
        <w:t>Table of Contract Forms</w:t>
      </w:r>
    </w:p>
    <w:p w14:paraId="2F41A749" w14:textId="77777777" w:rsidR="00157AAA" w:rsidRDefault="00157AAA">
      <w:pPr>
        <w:pStyle w:val="TOC1"/>
        <w:ind w:right="810"/>
        <w:rPr>
          <w:rFonts w:ascii="Times New Roman" w:hAnsi="Times New Roman"/>
        </w:rPr>
      </w:pPr>
    </w:p>
    <w:p w14:paraId="04BB75F6" w14:textId="362A8FBD" w:rsidR="00157AAA" w:rsidRDefault="006C1BE5">
      <w:pPr>
        <w:pStyle w:val="TOC1"/>
        <w:rPr>
          <w:rFonts w:asciiTheme="minorHAnsi" w:eastAsiaTheme="minorEastAsia" w:hAnsiTheme="minorHAnsi" w:cstheme="minorBidi"/>
          <w:b w:val="0"/>
          <w:sz w:val="22"/>
          <w:szCs w:val="22"/>
        </w:rPr>
      </w:pPr>
      <w:r>
        <w:rPr>
          <w:rFonts w:ascii="Times New Roman" w:hAnsi="Times New Roman"/>
        </w:rPr>
        <w:fldChar w:fldCharType="begin"/>
      </w:r>
      <w:r>
        <w:rPr>
          <w:rFonts w:ascii="Times New Roman" w:hAnsi="Times New Roman"/>
        </w:rPr>
        <w:instrText xml:space="preserve"> TOC \h \z \t "Head 8.1,1,Head 8.2,2" </w:instrText>
      </w:r>
      <w:r>
        <w:rPr>
          <w:rFonts w:ascii="Times New Roman" w:hAnsi="Times New Roman"/>
        </w:rPr>
        <w:fldChar w:fldCharType="separate"/>
      </w:r>
      <w:hyperlink w:anchor="_Toc73977974" w:tooltip="#_Toc73977974" w:history="1">
        <w:r>
          <w:rPr>
            <w:rStyle w:val="Hyperlink"/>
          </w:rPr>
          <w:t>Notification of Intention to Award</w:t>
        </w:r>
        <w:r>
          <w:tab/>
        </w:r>
        <w:r>
          <w:fldChar w:fldCharType="begin"/>
        </w:r>
        <w:r>
          <w:instrText xml:space="preserve"> PAGEREF _Toc73977974 \h </w:instrText>
        </w:r>
        <w:r>
          <w:fldChar w:fldCharType="separate"/>
        </w:r>
        <w:r w:rsidR="00060F24">
          <w:rPr>
            <w:noProof/>
          </w:rPr>
          <w:t>368</w:t>
        </w:r>
        <w:r>
          <w:fldChar w:fldCharType="end"/>
        </w:r>
      </w:hyperlink>
    </w:p>
    <w:p w14:paraId="26A91B10" w14:textId="19D915FC" w:rsidR="00157AAA" w:rsidRDefault="00000000">
      <w:pPr>
        <w:pStyle w:val="TOC1"/>
        <w:rPr>
          <w:rFonts w:asciiTheme="minorHAnsi" w:eastAsiaTheme="minorEastAsia" w:hAnsiTheme="minorHAnsi" w:cstheme="minorBidi"/>
          <w:b w:val="0"/>
          <w:sz w:val="22"/>
          <w:szCs w:val="22"/>
        </w:rPr>
      </w:pPr>
      <w:hyperlink w:anchor="_Toc73977975" w:tooltip="#_Toc73977975" w:history="1">
        <w:r w:rsidR="006C1BE5">
          <w:rPr>
            <w:rStyle w:val="Hyperlink"/>
          </w:rPr>
          <w:t>Beneficial Ownership Disclosure Form</w:t>
        </w:r>
        <w:r w:rsidR="006C1BE5">
          <w:tab/>
        </w:r>
        <w:r w:rsidR="006C1BE5">
          <w:fldChar w:fldCharType="begin"/>
        </w:r>
        <w:r w:rsidR="006C1BE5">
          <w:instrText xml:space="preserve"> PAGEREF _Toc73977975 \h </w:instrText>
        </w:r>
        <w:r w:rsidR="006C1BE5">
          <w:fldChar w:fldCharType="separate"/>
        </w:r>
        <w:r w:rsidR="00060F24">
          <w:rPr>
            <w:noProof/>
          </w:rPr>
          <w:t>368</w:t>
        </w:r>
        <w:r w:rsidR="006C1BE5">
          <w:fldChar w:fldCharType="end"/>
        </w:r>
      </w:hyperlink>
    </w:p>
    <w:p w14:paraId="407FED3C" w14:textId="382D3399" w:rsidR="00157AAA" w:rsidRDefault="00000000">
      <w:pPr>
        <w:pStyle w:val="TOC1"/>
        <w:rPr>
          <w:rFonts w:asciiTheme="minorHAnsi" w:eastAsiaTheme="minorEastAsia" w:hAnsiTheme="minorHAnsi" w:cstheme="minorBidi"/>
          <w:b w:val="0"/>
          <w:sz w:val="22"/>
          <w:szCs w:val="22"/>
        </w:rPr>
      </w:pPr>
      <w:hyperlink w:anchor="_Toc73977976" w:tooltip="#_Toc73977976" w:history="1">
        <w:r w:rsidR="006C1BE5">
          <w:rPr>
            <w:rStyle w:val="Hyperlink"/>
          </w:rPr>
          <w:t>Letter of Acceptance</w:t>
        </w:r>
        <w:r w:rsidR="006C1BE5">
          <w:tab/>
        </w:r>
        <w:r w:rsidR="006C1BE5">
          <w:fldChar w:fldCharType="begin"/>
        </w:r>
        <w:r w:rsidR="006C1BE5">
          <w:instrText xml:space="preserve"> PAGEREF _Toc73977976 \h </w:instrText>
        </w:r>
        <w:r w:rsidR="006C1BE5">
          <w:fldChar w:fldCharType="separate"/>
        </w:r>
        <w:r w:rsidR="00060F24">
          <w:rPr>
            <w:noProof/>
          </w:rPr>
          <w:t>368</w:t>
        </w:r>
        <w:r w:rsidR="006C1BE5">
          <w:fldChar w:fldCharType="end"/>
        </w:r>
      </w:hyperlink>
    </w:p>
    <w:p w14:paraId="06BCE806" w14:textId="39214043" w:rsidR="00157AAA" w:rsidRDefault="00000000">
      <w:pPr>
        <w:pStyle w:val="TOC1"/>
        <w:rPr>
          <w:rFonts w:asciiTheme="minorHAnsi" w:eastAsiaTheme="minorEastAsia" w:hAnsiTheme="minorHAnsi" w:cstheme="minorBidi"/>
          <w:b w:val="0"/>
          <w:sz w:val="22"/>
          <w:szCs w:val="22"/>
        </w:rPr>
      </w:pPr>
      <w:hyperlink w:anchor="_Toc73977977" w:tooltip="#_Toc73977977" w:history="1">
        <w:r w:rsidR="006C1BE5">
          <w:rPr>
            <w:rStyle w:val="Hyperlink"/>
          </w:rPr>
          <w:t>1.  Contract Agreement</w:t>
        </w:r>
        <w:r w:rsidR="006C1BE5">
          <w:tab/>
        </w:r>
        <w:r w:rsidR="006C1BE5">
          <w:fldChar w:fldCharType="begin"/>
        </w:r>
        <w:r w:rsidR="006C1BE5">
          <w:instrText xml:space="preserve"> PAGEREF _Toc73977977 \h </w:instrText>
        </w:r>
        <w:r w:rsidR="006C1BE5">
          <w:fldChar w:fldCharType="separate"/>
        </w:r>
        <w:r w:rsidR="00060F24">
          <w:rPr>
            <w:noProof/>
          </w:rPr>
          <w:t>368</w:t>
        </w:r>
        <w:r w:rsidR="006C1BE5">
          <w:fldChar w:fldCharType="end"/>
        </w:r>
      </w:hyperlink>
    </w:p>
    <w:p w14:paraId="181DDDC3" w14:textId="4BAB0F59" w:rsidR="00157AAA" w:rsidRDefault="00000000">
      <w:pPr>
        <w:pStyle w:val="TOC2"/>
        <w:rPr>
          <w:rFonts w:asciiTheme="minorHAnsi" w:eastAsiaTheme="minorEastAsia" w:hAnsiTheme="minorHAnsi" w:cstheme="minorBidi"/>
          <w:sz w:val="22"/>
          <w:szCs w:val="22"/>
        </w:rPr>
      </w:pPr>
      <w:hyperlink w:anchor="_Toc73977978" w:tooltip="#_Toc73977978" w:history="1">
        <w:r w:rsidR="006C1BE5">
          <w:rPr>
            <w:rStyle w:val="Hyperlink"/>
          </w:rPr>
          <w:t>Appendix 1.  Supplier’s Representative</w:t>
        </w:r>
        <w:r w:rsidR="006C1BE5">
          <w:tab/>
        </w:r>
        <w:r w:rsidR="006C1BE5">
          <w:fldChar w:fldCharType="begin"/>
        </w:r>
        <w:r w:rsidR="006C1BE5">
          <w:instrText xml:space="preserve"> PAGEREF _Toc73977978 \h </w:instrText>
        </w:r>
        <w:r w:rsidR="006C1BE5">
          <w:fldChar w:fldCharType="separate"/>
        </w:r>
        <w:r w:rsidR="00060F24">
          <w:rPr>
            <w:noProof/>
          </w:rPr>
          <w:t>368</w:t>
        </w:r>
        <w:r w:rsidR="006C1BE5">
          <w:fldChar w:fldCharType="end"/>
        </w:r>
      </w:hyperlink>
    </w:p>
    <w:p w14:paraId="4CD1426D" w14:textId="7C78AE55" w:rsidR="00157AAA" w:rsidRDefault="00000000">
      <w:pPr>
        <w:pStyle w:val="TOC2"/>
        <w:rPr>
          <w:rFonts w:asciiTheme="minorHAnsi" w:eastAsiaTheme="minorEastAsia" w:hAnsiTheme="minorHAnsi" w:cstheme="minorBidi"/>
          <w:sz w:val="22"/>
          <w:szCs w:val="22"/>
        </w:rPr>
      </w:pPr>
      <w:hyperlink w:anchor="_Toc73977979" w:tooltip="#_Toc73977979" w:history="1">
        <w:r w:rsidR="006C1BE5">
          <w:rPr>
            <w:rStyle w:val="Hyperlink"/>
          </w:rPr>
          <w:t>Appendix 2. Adjudicator</w:t>
        </w:r>
        <w:r w:rsidR="006C1BE5">
          <w:tab/>
        </w:r>
        <w:r w:rsidR="006C1BE5">
          <w:fldChar w:fldCharType="begin"/>
        </w:r>
        <w:r w:rsidR="006C1BE5">
          <w:instrText xml:space="preserve"> PAGEREF _Toc73977979 \h </w:instrText>
        </w:r>
        <w:r w:rsidR="006C1BE5">
          <w:fldChar w:fldCharType="separate"/>
        </w:r>
        <w:r w:rsidR="00060F24">
          <w:rPr>
            <w:noProof/>
          </w:rPr>
          <w:t>368</w:t>
        </w:r>
        <w:r w:rsidR="006C1BE5">
          <w:fldChar w:fldCharType="end"/>
        </w:r>
      </w:hyperlink>
    </w:p>
    <w:p w14:paraId="12EE3F78" w14:textId="3CC4ED63" w:rsidR="00157AAA" w:rsidRDefault="00000000">
      <w:pPr>
        <w:pStyle w:val="TOC2"/>
        <w:rPr>
          <w:rFonts w:asciiTheme="minorHAnsi" w:eastAsiaTheme="minorEastAsia" w:hAnsiTheme="minorHAnsi" w:cstheme="minorBidi"/>
          <w:sz w:val="22"/>
          <w:szCs w:val="22"/>
        </w:rPr>
      </w:pPr>
      <w:hyperlink w:anchor="_Toc73977980" w:tooltip="#_Toc73977980" w:history="1">
        <w:r w:rsidR="006C1BE5">
          <w:rPr>
            <w:rStyle w:val="Hyperlink"/>
          </w:rPr>
          <w:t>Appendix 3.  List of Approved Subcontractors</w:t>
        </w:r>
        <w:r w:rsidR="006C1BE5">
          <w:tab/>
        </w:r>
        <w:r w:rsidR="006C1BE5">
          <w:fldChar w:fldCharType="begin"/>
        </w:r>
        <w:r w:rsidR="006C1BE5">
          <w:instrText xml:space="preserve"> PAGEREF _Toc73977980 \h </w:instrText>
        </w:r>
        <w:r w:rsidR="006C1BE5">
          <w:fldChar w:fldCharType="separate"/>
        </w:r>
        <w:r w:rsidR="00060F24">
          <w:rPr>
            <w:noProof/>
          </w:rPr>
          <w:t>368</w:t>
        </w:r>
        <w:r w:rsidR="006C1BE5">
          <w:fldChar w:fldCharType="end"/>
        </w:r>
      </w:hyperlink>
    </w:p>
    <w:p w14:paraId="59059956" w14:textId="69D3C834" w:rsidR="00157AAA" w:rsidRDefault="00000000">
      <w:pPr>
        <w:pStyle w:val="TOC2"/>
        <w:rPr>
          <w:rFonts w:asciiTheme="minorHAnsi" w:eastAsiaTheme="minorEastAsia" w:hAnsiTheme="minorHAnsi" w:cstheme="minorBidi"/>
          <w:sz w:val="22"/>
          <w:szCs w:val="22"/>
        </w:rPr>
      </w:pPr>
      <w:hyperlink w:anchor="_Toc73977981" w:tooltip="#_Toc73977981" w:history="1">
        <w:r w:rsidR="006C1BE5">
          <w:rPr>
            <w:rStyle w:val="Hyperlink"/>
          </w:rPr>
          <w:t>Appendix 4.  Categories of Software</w:t>
        </w:r>
        <w:r w:rsidR="006C1BE5">
          <w:tab/>
        </w:r>
        <w:r w:rsidR="006C1BE5">
          <w:fldChar w:fldCharType="begin"/>
        </w:r>
        <w:r w:rsidR="006C1BE5">
          <w:instrText xml:space="preserve"> PAGEREF _Toc73977981 \h </w:instrText>
        </w:r>
        <w:r w:rsidR="006C1BE5">
          <w:fldChar w:fldCharType="separate"/>
        </w:r>
        <w:r w:rsidR="00060F24">
          <w:rPr>
            <w:noProof/>
          </w:rPr>
          <w:t>368</w:t>
        </w:r>
        <w:r w:rsidR="006C1BE5">
          <w:fldChar w:fldCharType="end"/>
        </w:r>
      </w:hyperlink>
    </w:p>
    <w:p w14:paraId="46D861AB" w14:textId="7CB4598A" w:rsidR="00157AAA" w:rsidRDefault="00000000">
      <w:pPr>
        <w:pStyle w:val="TOC2"/>
        <w:rPr>
          <w:rFonts w:asciiTheme="minorHAnsi" w:eastAsiaTheme="minorEastAsia" w:hAnsiTheme="minorHAnsi" w:cstheme="minorBidi"/>
          <w:sz w:val="22"/>
          <w:szCs w:val="22"/>
        </w:rPr>
      </w:pPr>
      <w:hyperlink w:anchor="_Toc73977982" w:tooltip="#_Toc73977982" w:history="1">
        <w:r w:rsidR="006C1BE5">
          <w:rPr>
            <w:rStyle w:val="Hyperlink"/>
          </w:rPr>
          <w:t>Appendix 5.  Custom Materials</w:t>
        </w:r>
        <w:r w:rsidR="006C1BE5">
          <w:tab/>
        </w:r>
        <w:r w:rsidR="006C1BE5">
          <w:fldChar w:fldCharType="begin"/>
        </w:r>
        <w:r w:rsidR="006C1BE5">
          <w:instrText xml:space="preserve"> PAGEREF _Toc73977982 \h </w:instrText>
        </w:r>
        <w:r w:rsidR="006C1BE5">
          <w:fldChar w:fldCharType="separate"/>
        </w:r>
        <w:r w:rsidR="00060F24">
          <w:rPr>
            <w:noProof/>
          </w:rPr>
          <w:t>368</w:t>
        </w:r>
        <w:r w:rsidR="006C1BE5">
          <w:fldChar w:fldCharType="end"/>
        </w:r>
      </w:hyperlink>
    </w:p>
    <w:p w14:paraId="7627A666" w14:textId="2DDBFD7E" w:rsidR="00157AAA" w:rsidRDefault="00000000">
      <w:pPr>
        <w:pStyle w:val="TOC2"/>
        <w:rPr>
          <w:rFonts w:asciiTheme="minorHAnsi" w:eastAsiaTheme="minorEastAsia" w:hAnsiTheme="minorHAnsi" w:cstheme="minorBidi"/>
          <w:sz w:val="22"/>
          <w:szCs w:val="22"/>
        </w:rPr>
      </w:pPr>
      <w:hyperlink w:anchor="_Toc73977983" w:tooltip="#_Toc73977983" w:history="1">
        <w:r w:rsidR="006C1BE5">
          <w:rPr>
            <w:rStyle w:val="Hyperlink"/>
          </w:rPr>
          <w:t>Appendix 6.  Revised Price Schedules</w:t>
        </w:r>
        <w:r w:rsidR="006C1BE5">
          <w:tab/>
        </w:r>
        <w:r w:rsidR="006C1BE5">
          <w:fldChar w:fldCharType="begin"/>
        </w:r>
        <w:r w:rsidR="006C1BE5">
          <w:instrText xml:space="preserve"> PAGEREF _Toc73977983 \h </w:instrText>
        </w:r>
        <w:r w:rsidR="006C1BE5">
          <w:fldChar w:fldCharType="separate"/>
        </w:r>
        <w:r w:rsidR="00060F24">
          <w:rPr>
            <w:noProof/>
          </w:rPr>
          <w:t>368</w:t>
        </w:r>
        <w:r w:rsidR="006C1BE5">
          <w:fldChar w:fldCharType="end"/>
        </w:r>
      </w:hyperlink>
    </w:p>
    <w:p w14:paraId="6A27899E" w14:textId="6B989613" w:rsidR="00157AAA" w:rsidRDefault="00000000">
      <w:pPr>
        <w:pStyle w:val="TOC2"/>
        <w:rPr>
          <w:rFonts w:asciiTheme="minorHAnsi" w:eastAsiaTheme="minorEastAsia" w:hAnsiTheme="minorHAnsi" w:cstheme="minorBidi"/>
          <w:sz w:val="22"/>
          <w:szCs w:val="22"/>
        </w:rPr>
      </w:pPr>
      <w:hyperlink w:anchor="_Toc73977984" w:tooltip="#_Toc73977984" w:history="1">
        <w:r w:rsidR="006C1BE5">
          <w:rPr>
            <w:rStyle w:val="Hyperlink"/>
          </w:rPr>
          <w:t>Appendix 7.  Minutes of Contract Finalization Discussions and Agreed-to Contract Amendments</w:t>
        </w:r>
        <w:r w:rsidR="006C1BE5">
          <w:tab/>
        </w:r>
        <w:r w:rsidR="006C1BE5">
          <w:fldChar w:fldCharType="begin"/>
        </w:r>
        <w:r w:rsidR="006C1BE5">
          <w:instrText xml:space="preserve"> PAGEREF _Toc73977984 \h </w:instrText>
        </w:r>
        <w:r w:rsidR="006C1BE5">
          <w:fldChar w:fldCharType="separate"/>
        </w:r>
        <w:r w:rsidR="00060F24">
          <w:rPr>
            <w:noProof/>
          </w:rPr>
          <w:t>368</w:t>
        </w:r>
        <w:r w:rsidR="006C1BE5">
          <w:fldChar w:fldCharType="end"/>
        </w:r>
      </w:hyperlink>
    </w:p>
    <w:p w14:paraId="09D76844" w14:textId="57C245CC" w:rsidR="00157AAA" w:rsidRDefault="00000000">
      <w:pPr>
        <w:pStyle w:val="TOC1"/>
        <w:rPr>
          <w:rFonts w:asciiTheme="minorHAnsi" w:eastAsiaTheme="minorEastAsia" w:hAnsiTheme="minorHAnsi" w:cstheme="minorBidi"/>
          <w:b w:val="0"/>
          <w:sz w:val="22"/>
          <w:szCs w:val="22"/>
        </w:rPr>
      </w:pPr>
      <w:hyperlink w:anchor="_Toc73977985" w:tooltip="#_Toc73977985" w:history="1">
        <w:r w:rsidR="006C1BE5">
          <w:rPr>
            <w:rStyle w:val="Hyperlink"/>
          </w:rPr>
          <w:t>2.  Performance and Advance Payment Security Forms</w:t>
        </w:r>
        <w:r w:rsidR="006C1BE5">
          <w:tab/>
        </w:r>
        <w:r w:rsidR="006C1BE5">
          <w:fldChar w:fldCharType="begin"/>
        </w:r>
        <w:r w:rsidR="006C1BE5">
          <w:instrText xml:space="preserve"> PAGEREF _Toc73977985 \h </w:instrText>
        </w:r>
        <w:r w:rsidR="006C1BE5">
          <w:fldChar w:fldCharType="separate"/>
        </w:r>
        <w:r w:rsidR="00060F24">
          <w:rPr>
            <w:noProof/>
          </w:rPr>
          <w:t>368</w:t>
        </w:r>
        <w:r w:rsidR="006C1BE5">
          <w:fldChar w:fldCharType="end"/>
        </w:r>
      </w:hyperlink>
    </w:p>
    <w:p w14:paraId="27C7A177" w14:textId="52FC765B" w:rsidR="00157AAA" w:rsidRDefault="00000000">
      <w:pPr>
        <w:pStyle w:val="TOC2"/>
        <w:rPr>
          <w:rFonts w:asciiTheme="minorHAnsi" w:eastAsiaTheme="minorEastAsia" w:hAnsiTheme="minorHAnsi" w:cstheme="minorBidi"/>
          <w:sz w:val="22"/>
          <w:szCs w:val="22"/>
        </w:rPr>
      </w:pPr>
      <w:hyperlink w:anchor="_Toc73977986" w:tooltip="#_Toc73977986" w:history="1">
        <w:r w:rsidR="006C1BE5">
          <w:rPr>
            <w:rStyle w:val="Hyperlink"/>
          </w:rPr>
          <w:t>2.1</w:t>
        </w:r>
        <w:r w:rsidR="006C1BE5">
          <w:rPr>
            <w:rFonts w:asciiTheme="minorHAnsi" w:eastAsiaTheme="minorEastAsia" w:hAnsiTheme="minorHAnsi" w:cstheme="minorBidi"/>
            <w:sz w:val="22"/>
            <w:szCs w:val="22"/>
          </w:rPr>
          <w:tab/>
        </w:r>
        <w:r w:rsidR="006C1BE5">
          <w:rPr>
            <w:rStyle w:val="Hyperlink"/>
          </w:rPr>
          <w:t>Performance Security Form (Bank Guarantee)</w:t>
        </w:r>
        <w:r w:rsidR="006C1BE5">
          <w:tab/>
        </w:r>
        <w:r w:rsidR="006C1BE5">
          <w:fldChar w:fldCharType="begin"/>
        </w:r>
        <w:r w:rsidR="006C1BE5">
          <w:instrText xml:space="preserve"> PAGEREF _Toc73977986 \h </w:instrText>
        </w:r>
        <w:r w:rsidR="006C1BE5">
          <w:fldChar w:fldCharType="separate"/>
        </w:r>
        <w:r w:rsidR="00060F24">
          <w:rPr>
            <w:noProof/>
          </w:rPr>
          <w:t>368</w:t>
        </w:r>
        <w:r w:rsidR="006C1BE5">
          <w:fldChar w:fldCharType="end"/>
        </w:r>
      </w:hyperlink>
    </w:p>
    <w:p w14:paraId="308A24E1" w14:textId="3A555355" w:rsidR="00157AAA" w:rsidRDefault="00000000">
      <w:pPr>
        <w:pStyle w:val="TOC2"/>
        <w:rPr>
          <w:rFonts w:asciiTheme="minorHAnsi" w:eastAsiaTheme="minorEastAsia" w:hAnsiTheme="minorHAnsi" w:cstheme="minorBidi"/>
          <w:sz w:val="22"/>
          <w:szCs w:val="22"/>
        </w:rPr>
      </w:pPr>
      <w:hyperlink w:anchor="_Toc73977987" w:tooltip="#_Toc73977987" w:history="1">
        <w:r w:rsidR="006C1BE5">
          <w:rPr>
            <w:rStyle w:val="Hyperlink"/>
          </w:rPr>
          <w:t>2.2</w:t>
        </w:r>
        <w:r w:rsidR="006C1BE5">
          <w:rPr>
            <w:rFonts w:asciiTheme="minorHAnsi" w:eastAsiaTheme="minorEastAsia" w:hAnsiTheme="minorHAnsi" w:cstheme="minorBidi"/>
            <w:sz w:val="22"/>
            <w:szCs w:val="22"/>
          </w:rPr>
          <w:tab/>
        </w:r>
        <w:r w:rsidR="006C1BE5">
          <w:rPr>
            <w:rStyle w:val="Hyperlink"/>
          </w:rPr>
          <w:t>Advance Payment Security Bank Guarantee</w:t>
        </w:r>
        <w:r w:rsidR="006C1BE5">
          <w:tab/>
        </w:r>
        <w:r w:rsidR="006C1BE5">
          <w:fldChar w:fldCharType="begin"/>
        </w:r>
        <w:r w:rsidR="006C1BE5">
          <w:instrText xml:space="preserve"> PAGEREF _Toc73977987 \h </w:instrText>
        </w:r>
        <w:r w:rsidR="006C1BE5">
          <w:fldChar w:fldCharType="separate"/>
        </w:r>
        <w:r w:rsidR="00060F24">
          <w:rPr>
            <w:noProof/>
          </w:rPr>
          <w:t>368</w:t>
        </w:r>
        <w:r w:rsidR="006C1BE5">
          <w:fldChar w:fldCharType="end"/>
        </w:r>
      </w:hyperlink>
    </w:p>
    <w:p w14:paraId="3EB58CA0" w14:textId="766AA849" w:rsidR="00157AAA" w:rsidRDefault="00000000">
      <w:pPr>
        <w:pStyle w:val="TOC1"/>
        <w:rPr>
          <w:rFonts w:asciiTheme="minorHAnsi" w:eastAsiaTheme="minorEastAsia" w:hAnsiTheme="minorHAnsi" w:cstheme="minorBidi"/>
          <w:b w:val="0"/>
          <w:sz w:val="22"/>
          <w:szCs w:val="22"/>
        </w:rPr>
      </w:pPr>
      <w:hyperlink w:anchor="_Toc73977988" w:tooltip="#_Toc73977988" w:history="1">
        <w:r w:rsidR="006C1BE5">
          <w:rPr>
            <w:rStyle w:val="Hyperlink"/>
            <w:rFonts w:ascii="Times New Roman" w:hAnsi="Times New Roman"/>
          </w:rPr>
          <w:t>3.  Installation and Acceptance Certificates</w:t>
        </w:r>
        <w:r w:rsidR="006C1BE5">
          <w:tab/>
        </w:r>
        <w:r w:rsidR="006C1BE5">
          <w:fldChar w:fldCharType="begin"/>
        </w:r>
        <w:r w:rsidR="006C1BE5">
          <w:instrText xml:space="preserve"> PAGEREF _Toc73977988 \h </w:instrText>
        </w:r>
        <w:r w:rsidR="006C1BE5">
          <w:fldChar w:fldCharType="separate"/>
        </w:r>
        <w:r w:rsidR="00060F24">
          <w:rPr>
            <w:noProof/>
          </w:rPr>
          <w:t>368</w:t>
        </w:r>
        <w:r w:rsidR="006C1BE5">
          <w:fldChar w:fldCharType="end"/>
        </w:r>
      </w:hyperlink>
    </w:p>
    <w:p w14:paraId="55E0BB81" w14:textId="74C6F280" w:rsidR="00157AAA" w:rsidRDefault="00000000">
      <w:pPr>
        <w:pStyle w:val="TOC2"/>
        <w:rPr>
          <w:rFonts w:asciiTheme="minorHAnsi" w:eastAsiaTheme="minorEastAsia" w:hAnsiTheme="minorHAnsi" w:cstheme="minorBidi"/>
          <w:sz w:val="22"/>
          <w:szCs w:val="22"/>
        </w:rPr>
      </w:pPr>
      <w:hyperlink w:anchor="_Toc73977989" w:tooltip="#_Toc73977989" w:history="1">
        <w:r w:rsidR="006C1BE5">
          <w:rPr>
            <w:rStyle w:val="Hyperlink"/>
          </w:rPr>
          <w:t>3.</w:t>
        </w:r>
        <w:r w:rsidR="006C1BE5">
          <w:rPr>
            <w:rFonts w:asciiTheme="minorHAnsi" w:eastAsiaTheme="minorEastAsia" w:hAnsiTheme="minorHAnsi" w:cstheme="minorBidi"/>
            <w:sz w:val="22"/>
            <w:szCs w:val="22"/>
          </w:rPr>
          <w:tab/>
        </w:r>
        <w:r w:rsidR="006C1BE5">
          <w:rPr>
            <w:rStyle w:val="Hyperlink"/>
          </w:rPr>
          <w:t>Installation and Acceptance Certificates</w:t>
        </w:r>
        <w:r w:rsidR="006C1BE5">
          <w:tab/>
        </w:r>
        <w:r w:rsidR="006C1BE5">
          <w:fldChar w:fldCharType="begin"/>
        </w:r>
        <w:r w:rsidR="006C1BE5">
          <w:instrText xml:space="preserve"> PAGEREF _Toc73977989 \h </w:instrText>
        </w:r>
        <w:r w:rsidR="006C1BE5">
          <w:fldChar w:fldCharType="separate"/>
        </w:r>
        <w:r w:rsidR="00060F24">
          <w:rPr>
            <w:noProof/>
          </w:rPr>
          <w:t>368</w:t>
        </w:r>
        <w:r w:rsidR="006C1BE5">
          <w:fldChar w:fldCharType="end"/>
        </w:r>
      </w:hyperlink>
    </w:p>
    <w:p w14:paraId="2986147D" w14:textId="0F520D9E" w:rsidR="00157AAA" w:rsidRDefault="00000000">
      <w:pPr>
        <w:pStyle w:val="TOC2"/>
        <w:rPr>
          <w:rFonts w:asciiTheme="minorHAnsi" w:eastAsiaTheme="minorEastAsia" w:hAnsiTheme="minorHAnsi" w:cstheme="minorBidi"/>
          <w:sz w:val="22"/>
          <w:szCs w:val="22"/>
        </w:rPr>
      </w:pPr>
      <w:hyperlink w:anchor="_Toc73977990" w:tooltip="#_Toc73977990" w:history="1">
        <w:r w:rsidR="006C1BE5">
          <w:rPr>
            <w:rStyle w:val="Hyperlink"/>
          </w:rPr>
          <w:t>3.1</w:t>
        </w:r>
        <w:r w:rsidR="006C1BE5">
          <w:rPr>
            <w:rFonts w:asciiTheme="minorHAnsi" w:eastAsiaTheme="minorEastAsia" w:hAnsiTheme="minorHAnsi" w:cstheme="minorBidi"/>
            <w:sz w:val="22"/>
            <w:szCs w:val="22"/>
          </w:rPr>
          <w:tab/>
        </w:r>
        <w:r w:rsidR="006C1BE5">
          <w:rPr>
            <w:rStyle w:val="Hyperlink"/>
          </w:rPr>
          <w:t>Installation Certificate</w:t>
        </w:r>
        <w:r w:rsidR="006C1BE5">
          <w:tab/>
        </w:r>
        <w:r w:rsidR="006C1BE5">
          <w:fldChar w:fldCharType="begin"/>
        </w:r>
        <w:r w:rsidR="006C1BE5">
          <w:instrText xml:space="preserve"> PAGEREF _Toc73977990 \h </w:instrText>
        </w:r>
        <w:r w:rsidR="006C1BE5">
          <w:fldChar w:fldCharType="separate"/>
        </w:r>
        <w:r w:rsidR="00060F24">
          <w:rPr>
            <w:noProof/>
          </w:rPr>
          <w:t>368</w:t>
        </w:r>
        <w:r w:rsidR="006C1BE5">
          <w:fldChar w:fldCharType="end"/>
        </w:r>
      </w:hyperlink>
    </w:p>
    <w:p w14:paraId="17CCC3F9" w14:textId="59E11647" w:rsidR="00157AAA" w:rsidRDefault="00000000">
      <w:pPr>
        <w:pStyle w:val="TOC2"/>
        <w:rPr>
          <w:rFonts w:asciiTheme="minorHAnsi" w:eastAsiaTheme="minorEastAsia" w:hAnsiTheme="minorHAnsi" w:cstheme="minorBidi"/>
          <w:sz w:val="22"/>
          <w:szCs w:val="22"/>
        </w:rPr>
      </w:pPr>
      <w:hyperlink w:anchor="_Toc73977991" w:tooltip="#_Toc73977991" w:history="1">
        <w:r w:rsidR="006C1BE5">
          <w:rPr>
            <w:rStyle w:val="Hyperlink"/>
          </w:rPr>
          <w:t>3.2</w:t>
        </w:r>
        <w:r w:rsidR="006C1BE5">
          <w:rPr>
            <w:rFonts w:asciiTheme="minorHAnsi" w:eastAsiaTheme="minorEastAsia" w:hAnsiTheme="minorHAnsi" w:cstheme="minorBidi"/>
            <w:sz w:val="22"/>
            <w:szCs w:val="22"/>
          </w:rPr>
          <w:tab/>
        </w:r>
        <w:r w:rsidR="006C1BE5">
          <w:rPr>
            <w:rStyle w:val="Hyperlink"/>
          </w:rPr>
          <w:t>Operational Acceptance Certificate</w:t>
        </w:r>
        <w:r w:rsidR="006C1BE5">
          <w:tab/>
        </w:r>
        <w:r w:rsidR="006C1BE5">
          <w:fldChar w:fldCharType="begin"/>
        </w:r>
        <w:r w:rsidR="006C1BE5">
          <w:instrText xml:space="preserve"> PAGEREF _Toc73977991 \h </w:instrText>
        </w:r>
        <w:r w:rsidR="006C1BE5">
          <w:fldChar w:fldCharType="separate"/>
        </w:r>
        <w:r w:rsidR="00060F24">
          <w:rPr>
            <w:noProof/>
          </w:rPr>
          <w:t>368</w:t>
        </w:r>
        <w:r w:rsidR="006C1BE5">
          <w:fldChar w:fldCharType="end"/>
        </w:r>
      </w:hyperlink>
    </w:p>
    <w:p w14:paraId="2586E2A7" w14:textId="2B207E42" w:rsidR="00157AAA" w:rsidRDefault="00000000">
      <w:pPr>
        <w:pStyle w:val="TOC1"/>
        <w:rPr>
          <w:rFonts w:asciiTheme="minorHAnsi" w:eastAsiaTheme="minorEastAsia" w:hAnsiTheme="minorHAnsi" w:cstheme="minorBidi"/>
          <w:b w:val="0"/>
          <w:sz w:val="22"/>
          <w:szCs w:val="22"/>
        </w:rPr>
      </w:pPr>
      <w:hyperlink w:anchor="_Toc73977992" w:tooltip="#_Toc73977992" w:history="1">
        <w:r w:rsidR="006C1BE5">
          <w:rPr>
            <w:rStyle w:val="Hyperlink"/>
          </w:rPr>
          <w:t>4.  Change Order Procedures and Forms</w:t>
        </w:r>
        <w:r w:rsidR="006C1BE5">
          <w:tab/>
        </w:r>
        <w:r w:rsidR="006C1BE5">
          <w:fldChar w:fldCharType="begin"/>
        </w:r>
        <w:r w:rsidR="006C1BE5">
          <w:instrText xml:space="preserve"> PAGEREF _Toc73977992 \h </w:instrText>
        </w:r>
        <w:r w:rsidR="006C1BE5">
          <w:fldChar w:fldCharType="separate"/>
        </w:r>
        <w:r w:rsidR="00060F24">
          <w:rPr>
            <w:noProof/>
          </w:rPr>
          <w:t>368</w:t>
        </w:r>
        <w:r w:rsidR="006C1BE5">
          <w:fldChar w:fldCharType="end"/>
        </w:r>
      </w:hyperlink>
    </w:p>
    <w:p w14:paraId="42B1E72D" w14:textId="18986300" w:rsidR="00157AAA" w:rsidRDefault="00000000">
      <w:pPr>
        <w:pStyle w:val="TOC2"/>
        <w:rPr>
          <w:rFonts w:asciiTheme="minorHAnsi" w:eastAsiaTheme="minorEastAsia" w:hAnsiTheme="minorHAnsi" w:cstheme="minorBidi"/>
          <w:sz w:val="22"/>
          <w:szCs w:val="22"/>
        </w:rPr>
      </w:pPr>
      <w:hyperlink w:anchor="_Toc73977993" w:tooltip="#_Toc73977993" w:history="1">
        <w:r w:rsidR="006C1BE5">
          <w:rPr>
            <w:rStyle w:val="Hyperlink"/>
          </w:rPr>
          <w:t>4.1</w:t>
        </w:r>
        <w:r w:rsidR="006C1BE5">
          <w:rPr>
            <w:rFonts w:asciiTheme="minorHAnsi" w:eastAsiaTheme="minorEastAsia" w:hAnsiTheme="minorHAnsi" w:cstheme="minorBidi"/>
            <w:sz w:val="22"/>
            <w:szCs w:val="22"/>
          </w:rPr>
          <w:tab/>
        </w:r>
        <w:r w:rsidR="006C1BE5">
          <w:rPr>
            <w:rStyle w:val="Hyperlink"/>
          </w:rPr>
          <w:t>Request for Change Proposal Form</w:t>
        </w:r>
        <w:r w:rsidR="006C1BE5">
          <w:tab/>
        </w:r>
        <w:r w:rsidR="006C1BE5">
          <w:fldChar w:fldCharType="begin"/>
        </w:r>
        <w:r w:rsidR="006C1BE5">
          <w:instrText xml:space="preserve"> PAGEREF _Toc73977993 \h </w:instrText>
        </w:r>
        <w:r w:rsidR="006C1BE5">
          <w:fldChar w:fldCharType="separate"/>
        </w:r>
        <w:r w:rsidR="00060F24">
          <w:rPr>
            <w:noProof/>
          </w:rPr>
          <w:t>368</w:t>
        </w:r>
        <w:r w:rsidR="006C1BE5">
          <w:fldChar w:fldCharType="end"/>
        </w:r>
      </w:hyperlink>
    </w:p>
    <w:p w14:paraId="3DFE8044" w14:textId="291AB33E" w:rsidR="00157AAA" w:rsidRDefault="00000000">
      <w:pPr>
        <w:pStyle w:val="TOC2"/>
        <w:rPr>
          <w:rFonts w:asciiTheme="minorHAnsi" w:eastAsiaTheme="minorEastAsia" w:hAnsiTheme="minorHAnsi" w:cstheme="minorBidi"/>
          <w:sz w:val="22"/>
          <w:szCs w:val="22"/>
        </w:rPr>
      </w:pPr>
      <w:hyperlink w:anchor="_Toc73977994" w:tooltip="#_Toc73977994" w:history="1">
        <w:r w:rsidR="006C1BE5">
          <w:rPr>
            <w:rStyle w:val="Hyperlink"/>
          </w:rPr>
          <w:t>4.2</w:t>
        </w:r>
        <w:r w:rsidR="006C1BE5">
          <w:rPr>
            <w:rFonts w:asciiTheme="minorHAnsi" w:eastAsiaTheme="minorEastAsia" w:hAnsiTheme="minorHAnsi" w:cstheme="minorBidi"/>
            <w:sz w:val="22"/>
            <w:szCs w:val="22"/>
          </w:rPr>
          <w:tab/>
        </w:r>
        <w:r w:rsidR="006C1BE5">
          <w:rPr>
            <w:rStyle w:val="Hyperlink"/>
          </w:rPr>
          <w:t>Change Estimate Proposal Form</w:t>
        </w:r>
        <w:r w:rsidR="006C1BE5">
          <w:tab/>
        </w:r>
        <w:r w:rsidR="006C1BE5">
          <w:fldChar w:fldCharType="begin"/>
        </w:r>
        <w:r w:rsidR="006C1BE5">
          <w:instrText xml:space="preserve"> PAGEREF _Toc73977994 \h </w:instrText>
        </w:r>
        <w:r w:rsidR="006C1BE5">
          <w:fldChar w:fldCharType="separate"/>
        </w:r>
        <w:r w:rsidR="00060F24">
          <w:rPr>
            <w:noProof/>
          </w:rPr>
          <w:t>368</w:t>
        </w:r>
        <w:r w:rsidR="006C1BE5">
          <w:fldChar w:fldCharType="end"/>
        </w:r>
      </w:hyperlink>
    </w:p>
    <w:p w14:paraId="678B7F27" w14:textId="005B2CDE" w:rsidR="00157AAA" w:rsidRDefault="00000000">
      <w:pPr>
        <w:pStyle w:val="TOC2"/>
        <w:rPr>
          <w:rFonts w:asciiTheme="minorHAnsi" w:eastAsiaTheme="minorEastAsia" w:hAnsiTheme="minorHAnsi" w:cstheme="minorBidi"/>
          <w:sz w:val="22"/>
          <w:szCs w:val="22"/>
        </w:rPr>
      </w:pPr>
      <w:hyperlink w:anchor="_Toc73977995" w:tooltip="#_Toc73977995" w:history="1">
        <w:r w:rsidR="006C1BE5">
          <w:rPr>
            <w:rStyle w:val="Hyperlink"/>
          </w:rPr>
          <w:t>4.3</w:t>
        </w:r>
        <w:r w:rsidR="006C1BE5">
          <w:rPr>
            <w:rFonts w:asciiTheme="minorHAnsi" w:eastAsiaTheme="minorEastAsia" w:hAnsiTheme="minorHAnsi" w:cstheme="minorBidi"/>
            <w:sz w:val="22"/>
            <w:szCs w:val="22"/>
          </w:rPr>
          <w:tab/>
        </w:r>
        <w:r w:rsidR="006C1BE5">
          <w:rPr>
            <w:rStyle w:val="Hyperlink"/>
          </w:rPr>
          <w:t>Estimate Acceptance Form</w:t>
        </w:r>
        <w:r w:rsidR="006C1BE5">
          <w:tab/>
        </w:r>
        <w:r w:rsidR="006C1BE5">
          <w:fldChar w:fldCharType="begin"/>
        </w:r>
        <w:r w:rsidR="006C1BE5">
          <w:instrText xml:space="preserve"> PAGEREF _Toc73977995 \h </w:instrText>
        </w:r>
        <w:r w:rsidR="006C1BE5">
          <w:fldChar w:fldCharType="separate"/>
        </w:r>
        <w:r w:rsidR="00060F24">
          <w:rPr>
            <w:noProof/>
          </w:rPr>
          <w:t>368</w:t>
        </w:r>
        <w:r w:rsidR="006C1BE5">
          <w:fldChar w:fldCharType="end"/>
        </w:r>
      </w:hyperlink>
    </w:p>
    <w:p w14:paraId="6D99DBD3" w14:textId="44D4DDDF" w:rsidR="00157AAA" w:rsidRDefault="00000000">
      <w:pPr>
        <w:pStyle w:val="TOC2"/>
        <w:rPr>
          <w:rFonts w:asciiTheme="minorHAnsi" w:eastAsiaTheme="minorEastAsia" w:hAnsiTheme="minorHAnsi" w:cstheme="minorBidi"/>
          <w:sz w:val="22"/>
          <w:szCs w:val="22"/>
        </w:rPr>
      </w:pPr>
      <w:hyperlink w:anchor="_Toc73977996" w:tooltip="#_Toc73977996" w:history="1">
        <w:r w:rsidR="006C1BE5">
          <w:rPr>
            <w:rStyle w:val="Hyperlink"/>
          </w:rPr>
          <w:t>4.4</w:t>
        </w:r>
        <w:r w:rsidR="006C1BE5">
          <w:rPr>
            <w:rFonts w:asciiTheme="minorHAnsi" w:eastAsiaTheme="minorEastAsia" w:hAnsiTheme="minorHAnsi" w:cstheme="minorBidi"/>
            <w:sz w:val="22"/>
            <w:szCs w:val="22"/>
          </w:rPr>
          <w:tab/>
        </w:r>
        <w:r w:rsidR="006C1BE5">
          <w:rPr>
            <w:rStyle w:val="Hyperlink"/>
          </w:rPr>
          <w:t>Change Proposal Form</w:t>
        </w:r>
        <w:r w:rsidR="006C1BE5">
          <w:tab/>
        </w:r>
        <w:r w:rsidR="006C1BE5">
          <w:fldChar w:fldCharType="begin"/>
        </w:r>
        <w:r w:rsidR="006C1BE5">
          <w:instrText xml:space="preserve"> PAGEREF _Toc73977996 \h </w:instrText>
        </w:r>
        <w:r w:rsidR="006C1BE5">
          <w:fldChar w:fldCharType="separate"/>
        </w:r>
        <w:r w:rsidR="00060F24">
          <w:rPr>
            <w:noProof/>
          </w:rPr>
          <w:t>368</w:t>
        </w:r>
        <w:r w:rsidR="006C1BE5">
          <w:fldChar w:fldCharType="end"/>
        </w:r>
      </w:hyperlink>
    </w:p>
    <w:p w14:paraId="429313A1" w14:textId="355087B6" w:rsidR="00157AAA" w:rsidRDefault="00000000">
      <w:pPr>
        <w:pStyle w:val="TOC2"/>
        <w:rPr>
          <w:rFonts w:asciiTheme="minorHAnsi" w:eastAsiaTheme="minorEastAsia" w:hAnsiTheme="minorHAnsi" w:cstheme="minorBidi"/>
          <w:sz w:val="22"/>
          <w:szCs w:val="22"/>
        </w:rPr>
      </w:pPr>
      <w:hyperlink w:anchor="_Toc73977997" w:tooltip="#_Toc73977997" w:history="1">
        <w:r w:rsidR="006C1BE5">
          <w:rPr>
            <w:rStyle w:val="Hyperlink"/>
          </w:rPr>
          <w:t>4.5</w:t>
        </w:r>
        <w:r w:rsidR="006C1BE5">
          <w:rPr>
            <w:rFonts w:asciiTheme="minorHAnsi" w:eastAsiaTheme="minorEastAsia" w:hAnsiTheme="minorHAnsi" w:cstheme="minorBidi"/>
            <w:sz w:val="22"/>
            <w:szCs w:val="22"/>
          </w:rPr>
          <w:tab/>
        </w:r>
        <w:r w:rsidR="006C1BE5">
          <w:rPr>
            <w:rStyle w:val="Hyperlink"/>
          </w:rPr>
          <w:t>Change Order Form</w:t>
        </w:r>
        <w:r w:rsidR="006C1BE5">
          <w:tab/>
        </w:r>
        <w:r w:rsidR="006C1BE5">
          <w:fldChar w:fldCharType="begin"/>
        </w:r>
        <w:r w:rsidR="006C1BE5">
          <w:instrText xml:space="preserve"> PAGEREF _Toc73977997 \h </w:instrText>
        </w:r>
        <w:r w:rsidR="006C1BE5">
          <w:fldChar w:fldCharType="separate"/>
        </w:r>
        <w:r w:rsidR="00060F24">
          <w:rPr>
            <w:noProof/>
          </w:rPr>
          <w:t>368</w:t>
        </w:r>
        <w:r w:rsidR="006C1BE5">
          <w:fldChar w:fldCharType="end"/>
        </w:r>
      </w:hyperlink>
    </w:p>
    <w:p w14:paraId="1F64E992" w14:textId="6D730EDB" w:rsidR="00157AAA" w:rsidRDefault="00000000">
      <w:pPr>
        <w:pStyle w:val="TOC2"/>
        <w:rPr>
          <w:rFonts w:asciiTheme="minorHAnsi" w:eastAsiaTheme="minorEastAsia" w:hAnsiTheme="minorHAnsi" w:cstheme="minorBidi"/>
          <w:sz w:val="22"/>
          <w:szCs w:val="22"/>
        </w:rPr>
      </w:pPr>
      <w:hyperlink w:anchor="_Toc73977998" w:tooltip="#_Toc73977998" w:history="1">
        <w:r w:rsidR="006C1BE5">
          <w:rPr>
            <w:rStyle w:val="Hyperlink"/>
          </w:rPr>
          <w:t>4.6</w:t>
        </w:r>
        <w:r w:rsidR="006C1BE5">
          <w:rPr>
            <w:rFonts w:asciiTheme="minorHAnsi" w:eastAsiaTheme="minorEastAsia" w:hAnsiTheme="minorHAnsi" w:cstheme="minorBidi"/>
            <w:sz w:val="22"/>
            <w:szCs w:val="22"/>
          </w:rPr>
          <w:tab/>
        </w:r>
        <w:r w:rsidR="006C1BE5">
          <w:rPr>
            <w:rStyle w:val="Hyperlink"/>
          </w:rPr>
          <w:t>Application for Change Proposal Form</w:t>
        </w:r>
        <w:r w:rsidR="006C1BE5">
          <w:tab/>
        </w:r>
        <w:r w:rsidR="006C1BE5">
          <w:fldChar w:fldCharType="begin"/>
        </w:r>
        <w:r w:rsidR="006C1BE5">
          <w:instrText xml:space="preserve"> PAGEREF _Toc73977998 \h </w:instrText>
        </w:r>
        <w:r w:rsidR="006C1BE5">
          <w:fldChar w:fldCharType="separate"/>
        </w:r>
        <w:r w:rsidR="00060F24">
          <w:rPr>
            <w:noProof/>
          </w:rPr>
          <w:t>368</w:t>
        </w:r>
        <w:r w:rsidR="006C1BE5">
          <w:fldChar w:fldCharType="end"/>
        </w:r>
      </w:hyperlink>
    </w:p>
    <w:p w14:paraId="7D6156F5" w14:textId="77777777" w:rsidR="00157AAA" w:rsidRDefault="006C1BE5">
      <w:pPr>
        <w:numPr>
          <w:ilvl w:val="12"/>
          <w:numId w:val="0"/>
        </w:numPr>
        <w:ind w:right="810"/>
        <w:rPr>
          <w:sz w:val="22"/>
        </w:rPr>
      </w:pPr>
      <w:r>
        <w:fldChar w:fldCharType="end"/>
      </w:r>
    </w:p>
    <w:p w14:paraId="1A51FBCD" w14:textId="77777777" w:rsidR="00157AAA" w:rsidRDefault="00157AAA">
      <w:pPr>
        <w:ind w:right="810"/>
      </w:pPr>
    </w:p>
    <w:p w14:paraId="5635B89E" w14:textId="77777777" w:rsidR="00157AAA" w:rsidRDefault="00157AAA">
      <w:pPr>
        <w:ind w:right="810"/>
      </w:pPr>
    </w:p>
    <w:p w14:paraId="77EC1DA0" w14:textId="77777777" w:rsidR="00157AAA" w:rsidRDefault="00157AAA">
      <w:pPr>
        <w:sectPr w:rsidR="00157AAA" w:rsidSect="00734667">
          <w:headerReference w:type="even" r:id="rId154"/>
          <w:headerReference w:type="default" r:id="rId155"/>
          <w:headerReference w:type="first" r:id="rId156"/>
          <w:footnotePr>
            <w:numRestart w:val="eachPage"/>
          </w:footnotePr>
          <w:endnotePr>
            <w:numRestart w:val="eachSect"/>
          </w:endnotePr>
          <w:pgSz w:w="12240" w:h="15840"/>
          <w:pgMar w:top="1440" w:right="1440" w:bottom="1440" w:left="1440" w:header="720" w:footer="720" w:gutter="0"/>
          <w:cols w:space="720"/>
          <w:docGrid w:linePitch="360"/>
        </w:sectPr>
      </w:pPr>
    </w:p>
    <w:p w14:paraId="38398AF9" w14:textId="77777777" w:rsidR="00157AAA" w:rsidRDefault="006C1BE5">
      <w:pPr>
        <w:pStyle w:val="Head81"/>
      </w:pPr>
      <w:bookmarkStart w:id="1019" w:name="_Toc73977974"/>
      <w:r>
        <w:lastRenderedPageBreak/>
        <w:t>Notification of Intention to Award</w:t>
      </w:r>
      <w:bookmarkEnd w:id="1019"/>
    </w:p>
    <w:p w14:paraId="12953213" w14:textId="77777777" w:rsidR="00157AAA" w:rsidRDefault="00157AAA">
      <w:pPr>
        <w:spacing w:before="240" w:after="240"/>
        <w:jc w:val="center"/>
        <w:rPr>
          <w:i/>
        </w:rPr>
      </w:pPr>
    </w:p>
    <w:p w14:paraId="00AEBE8D" w14:textId="77777777" w:rsidR="00157AAA" w:rsidRDefault="006C1BE5">
      <w:pPr>
        <w:spacing w:before="240"/>
        <w:rPr>
          <w:i/>
        </w:rPr>
      </w:pPr>
      <w:r>
        <w:rPr>
          <w:i/>
        </w:rPr>
        <w:t>[This Notification of Intention to Award shall be sent to each Bidder that submitted a Bid.]</w:t>
      </w:r>
    </w:p>
    <w:p w14:paraId="4AD0CAD0" w14:textId="77777777" w:rsidR="00157AAA" w:rsidRDefault="006C1BE5">
      <w:pPr>
        <w:spacing w:before="240"/>
        <w:rPr>
          <w:b/>
        </w:rPr>
      </w:pPr>
      <w:r>
        <w:rPr>
          <w:i/>
        </w:rPr>
        <w:t>[Send this Notification to the Bidder’s Authorized Representative named in the Bidder Information Form]</w:t>
      </w:r>
    </w:p>
    <w:p w14:paraId="4701721E" w14:textId="77777777" w:rsidR="00157AAA" w:rsidRDefault="00157AAA">
      <w:pPr>
        <w:pStyle w:val="Outline"/>
        <w:spacing w:before="60" w:after="60"/>
      </w:pPr>
    </w:p>
    <w:p w14:paraId="1D83C510" w14:textId="77777777" w:rsidR="00157AAA" w:rsidRDefault="006C1BE5">
      <w:pPr>
        <w:pStyle w:val="Outline"/>
        <w:spacing w:before="60" w:after="60"/>
        <w:rPr>
          <w:spacing w:val="-2"/>
        </w:rPr>
      </w:pPr>
      <w:r>
        <w:t xml:space="preserve">For the attention of </w:t>
      </w:r>
      <w:r>
        <w:rPr>
          <w:spacing w:val="-2"/>
        </w:rPr>
        <w:t xml:space="preserve">Bidder’s Authorized Representative </w:t>
      </w:r>
    </w:p>
    <w:p w14:paraId="632BBA52" w14:textId="77777777" w:rsidR="00157AAA" w:rsidRDefault="006C1BE5">
      <w:pPr>
        <w:pStyle w:val="Outline"/>
        <w:spacing w:before="60" w:after="60"/>
        <w:ind w:left="360"/>
        <w:rPr>
          <w:spacing w:val="-2"/>
        </w:rPr>
      </w:pPr>
      <w:r>
        <w:rPr>
          <w:spacing w:val="-2"/>
        </w:rPr>
        <w:t xml:space="preserve">Name: </w:t>
      </w:r>
      <w:r>
        <w:rPr>
          <w:i/>
          <w:spacing w:val="-2"/>
        </w:rPr>
        <w:t xml:space="preserve">[insert </w:t>
      </w:r>
      <w:r>
        <w:rPr>
          <w:b/>
          <w:i/>
          <w:spacing w:val="-2"/>
        </w:rPr>
        <w:t>Authorized Representative’s name</w:t>
      </w:r>
      <w:r>
        <w:rPr>
          <w:i/>
          <w:spacing w:val="-2"/>
        </w:rPr>
        <w:t>]</w:t>
      </w:r>
    </w:p>
    <w:p w14:paraId="1F97CEE2" w14:textId="77777777" w:rsidR="00157AAA" w:rsidRDefault="006C1BE5">
      <w:pPr>
        <w:spacing w:before="60" w:after="60"/>
        <w:ind w:left="360"/>
        <w:rPr>
          <w:b/>
          <w:spacing w:val="-2"/>
        </w:rPr>
      </w:pPr>
      <w:r>
        <w:rPr>
          <w:spacing w:val="-2"/>
        </w:rPr>
        <w:t xml:space="preserve">Address: </w:t>
      </w:r>
      <w:r>
        <w:rPr>
          <w:i/>
          <w:spacing w:val="-2"/>
        </w:rPr>
        <w:t xml:space="preserve">[insert </w:t>
      </w:r>
      <w:r>
        <w:rPr>
          <w:b/>
          <w:i/>
          <w:spacing w:val="-2"/>
        </w:rPr>
        <w:t>Authorized Representative’s Address</w:t>
      </w:r>
      <w:r>
        <w:rPr>
          <w:i/>
          <w:spacing w:val="-2"/>
        </w:rPr>
        <w:t>]</w:t>
      </w:r>
    </w:p>
    <w:p w14:paraId="1DE86794" w14:textId="77777777" w:rsidR="00157AAA" w:rsidRDefault="006C1BE5">
      <w:pPr>
        <w:spacing w:before="60" w:after="60"/>
        <w:ind w:left="360"/>
        <w:rPr>
          <w:b/>
          <w:spacing w:val="-2"/>
        </w:rPr>
      </w:pPr>
      <w:r>
        <w:rPr>
          <w:spacing w:val="-2"/>
        </w:rPr>
        <w:t xml:space="preserve">Telephone/Fax numbers: </w:t>
      </w:r>
      <w:r>
        <w:rPr>
          <w:i/>
          <w:spacing w:val="-2"/>
        </w:rPr>
        <w:t xml:space="preserve">[insert </w:t>
      </w:r>
      <w:r>
        <w:rPr>
          <w:b/>
          <w:i/>
          <w:spacing w:val="-2"/>
        </w:rPr>
        <w:t>Authorized Representative’s telephone/fax numbers</w:t>
      </w:r>
      <w:r>
        <w:rPr>
          <w:i/>
          <w:spacing w:val="-2"/>
        </w:rPr>
        <w:t>]</w:t>
      </w:r>
    </w:p>
    <w:p w14:paraId="77DA6A6F" w14:textId="77777777" w:rsidR="00157AAA" w:rsidRDefault="006C1BE5">
      <w:pPr>
        <w:ind w:left="360"/>
      </w:pPr>
      <w:r>
        <w:rPr>
          <w:spacing w:val="-2"/>
        </w:rPr>
        <w:t xml:space="preserve">Email Address: </w:t>
      </w:r>
      <w:r>
        <w:rPr>
          <w:i/>
          <w:spacing w:val="-2"/>
        </w:rPr>
        <w:t xml:space="preserve">[insert </w:t>
      </w:r>
      <w:r>
        <w:rPr>
          <w:b/>
          <w:i/>
          <w:spacing w:val="-2"/>
        </w:rPr>
        <w:t>Authorized Representative’s email addres</w:t>
      </w:r>
      <w:r>
        <w:rPr>
          <w:i/>
          <w:spacing w:val="-2"/>
        </w:rPr>
        <w:t>s]</w:t>
      </w:r>
    </w:p>
    <w:p w14:paraId="11322415" w14:textId="77777777" w:rsidR="00157AAA" w:rsidRDefault="006C1BE5">
      <w:pPr>
        <w:spacing w:before="240"/>
        <w:rPr>
          <w:i/>
        </w:rPr>
      </w:pPr>
      <w:r>
        <w:rPr>
          <w:i/>
        </w:rPr>
        <w:t xml:space="preserve">[IMPORTANT: insert the date that this Notification is transmitted to all participating Bidders. The Notification must be sent to all Bidders simultaneously. This means on the same date and as close to the same time as possible.]  </w:t>
      </w:r>
    </w:p>
    <w:p w14:paraId="4B9EE191" w14:textId="77777777" w:rsidR="00157AAA" w:rsidRDefault="00157AAA">
      <w:pPr>
        <w:spacing w:before="240"/>
        <w:rPr>
          <w:b/>
          <w:i/>
        </w:rPr>
      </w:pPr>
    </w:p>
    <w:p w14:paraId="29404A66" w14:textId="77777777" w:rsidR="00157AAA" w:rsidRDefault="006C1BE5">
      <w:pPr>
        <w:spacing w:after="240"/>
      </w:pPr>
      <w:r>
        <w:t xml:space="preserve">DATE OF TRANSMISSION: This Notification is sent by: </w:t>
      </w:r>
      <w:r>
        <w:rPr>
          <w:i/>
        </w:rPr>
        <w:t xml:space="preserve">[specify </w:t>
      </w:r>
      <w:r>
        <w:rPr>
          <w:b/>
          <w:i/>
        </w:rPr>
        <w:t>email</w:t>
      </w:r>
      <w:r>
        <w:rPr>
          <w:i/>
        </w:rPr>
        <w:t xml:space="preserve"> / </w:t>
      </w:r>
      <w:r>
        <w:rPr>
          <w:b/>
          <w:i/>
        </w:rPr>
        <w:t>fax</w:t>
      </w:r>
      <w:r>
        <w:rPr>
          <w:i/>
        </w:rPr>
        <w:t>]</w:t>
      </w:r>
      <w:r>
        <w:t xml:space="preserve"> on </w:t>
      </w:r>
      <w:r>
        <w:rPr>
          <w:i/>
        </w:rPr>
        <w:t xml:space="preserve">[specify </w:t>
      </w:r>
      <w:r>
        <w:rPr>
          <w:b/>
          <w:i/>
        </w:rPr>
        <w:t>date</w:t>
      </w:r>
      <w:r>
        <w:rPr>
          <w:i/>
        </w:rPr>
        <w:t>]</w:t>
      </w:r>
      <w:r>
        <w:t xml:space="preserve"> (local time) </w:t>
      </w:r>
    </w:p>
    <w:p w14:paraId="2272F2EA" w14:textId="77777777" w:rsidR="00157AAA" w:rsidRDefault="006C1BE5">
      <w:pPr>
        <w:ind w:right="289"/>
        <w:jc w:val="center"/>
        <w:rPr>
          <w:b/>
          <w:bCs/>
          <w:sz w:val="36"/>
          <w:szCs w:val="36"/>
        </w:rPr>
      </w:pPr>
      <w:r>
        <w:rPr>
          <w:b/>
          <w:bCs/>
          <w:sz w:val="36"/>
          <w:szCs w:val="36"/>
        </w:rPr>
        <w:t>Notification of Intention to Award</w:t>
      </w:r>
    </w:p>
    <w:p w14:paraId="2EDDB5E7" w14:textId="77777777" w:rsidR="00157AAA" w:rsidRDefault="006C1BE5">
      <w:pPr>
        <w:rPr>
          <w:i/>
          <w:color w:val="000000" w:themeColor="text1"/>
        </w:rPr>
      </w:pPr>
      <w:r>
        <w:rPr>
          <w:color w:val="000000" w:themeColor="text1"/>
        </w:rPr>
        <w:t>Purchaser:</w:t>
      </w:r>
      <w:r>
        <w:rPr>
          <w:b/>
          <w:color w:val="000000" w:themeColor="text1"/>
        </w:rPr>
        <w:t xml:space="preserve"> </w:t>
      </w:r>
      <w:r>
        <w:rPr>
          <w:i/>
          <w:color w:val="000000" w:themeColor="text1"/>
        </w:rPr>
        <w:t xml:space="preserve">[insert </w:t>
      </w:r>
      <w:r>
        <w:rPr>
          <w:b/>
          <w:i/>
          <w:color w:val="000000" w:themeColor="text1"/>
        </w:rPr>
        <w:t>the name of the Purchaser</w:t>
      </w:r>
      <w:r>
        <w:rPr>
          <w:i/>
          <w:color w:val="000000" w:themeColor="text1"/>
        </w:rPr>
        <w:t>]</w:t>
      </w:r>
    </w:p>
    <w:p w14:paraId="0A982FEB" w14:textId="77777777" w:rsidR="00157AAA" w:rsidRDefault="006C1BE5">
      <w:pPr>
        <w:rPr>
          <w:bCs/>
          <w:i/>
          <w:iCs/>
          <w:color w:val="000000" w:themeColor="text1"/>
        </w:rPr>
      </w:pPr>
      <w:r>
        <w:rPr>
          <w:color w:val="000000" w:themeColor="text1"/>
        </w:rPr>
        <w:t>Project:</w:t>
      </w:r>
      <w:r>
        <w:rPr>
          <w:b/>
          <w:bCs/>
          <w:i/>
          <w:iCs/>
          <w:color w:val="000000" w:themeColor="text1"/>
        </w:rPr>
        <w:t xml:space="preserve"> </w:t>
      </w:r>
      <w:r>
        <w:rPr>
          <w:bCs/>
          <w:i/>
          <w:iCs/>
          <w:color w:val="000000" w:themeColor="text1"/>
        </w:rPr>
        <w:t xml:space="preserve">[insert </w:t>
      </w:r>
      <w:r>
        <w:rPr>
          <w:b/>
          <w:bCs/>
          <w:i/>
          <w:iCs/>
          <w:color w:val="000000" w:themeColor="text1"/>
        </w:rPr>
        <w:t>name of project</w:t>
      </w:r>
      <w:r>
        <w:rPr>
          <w:bCs/>
          <w:i/>
          <w:iCs/>
          <w:color w:val="000000" w:themeColor="text1"/>
        </w:rPr>
        <w:t>]</w:t>
      </w:r>
    </w:p>
    <w:p w14:paraId="0B730B6A" w14:textId="77777777" w:rsidR="00157AAA" w:rsidRDefault="006C1BE5">
      <w:pPr>
        <w:rPr>
          <w:b/>
          <w:i/>
          <w:color w:val="000000" w:themeColor="text1"/>
        </w:rPr>
      </w:pPr>
      <w:r>
        <w:rPr>
          <w:iCs/>
          <w:color w:val="000000" w:themeColor="text1"/>
        </w:rPr>
        <w:t>Contract title</w:t>
      </w:r>
      <w:r>
        <w:rPr>
          <w:color w:val="000000" w:themeColor="text1"/>
        </w:rPr>
        <w:t>:</w:t>
      </w:r>
      <w:r>
        <w:rPr>
          <w:b/>
          <w:color w:val="000000" w:themeColor="text1"/>
        </w:rPr>
        <w:t xml:space="preserve"> </w:t>
      </w:r>
      <w:r>
        <w:rPr>
          <w:i/>
          <w:color w:val="000000" w:themeColor="text1"/>
        </w:rPr>
        <w:t xml:space="preserve">[insert the </w:t>
      </w:r>
      <w:r>
        <w:rPr>
          <w:b/>
          <w:i/>
          <w:color w:val="000000" w:themeColor="text1"/>
        </w:rPr>
        <w:t>name of the contract</w:t>
      </w:r>
      <w:r>
        <w:rPr>
          <w:i/>
          <w:color w:val="000000" w:themeColor="text1"/>
        </w:rPr>
        <w:t>]</w:t>
      </w:r>
    </w:p>
    <w:p w14:paraId="57898818" w14:textId="77777777" w:rsidR="00157AAA" w:rsidRDefault="006C1BE5">
      <w:pPr>
        <w:ind w:right="-540"/>
        <w:rPr>
          <w:i/>
          <w:color w:val="000000" w:themeColor="text1"/>
        </w:rPr>
      </w:pPr>
      <w:r>
        <w:rPr>
          <w:color w:val="000000" w:themeColor="text1"/>
        </w:rPr>
        <w:t>Country:</w:t>
      </w:r>
      <w:r>
        <w:rPr>
          <w:b/>
          <w:color w:val="000000" w:themeColor="text1"/>
        </w:rPr>
        <w:t xml:space="preserve"> </w:t>
      </w:r>
      <w:r>
        <w:rPr>
          <w:i/>
          <w:color w:val="000000" w:themeColor="text1"/>
        </w:rPr>
        <w:t xml:space="preserve">[insert </w:t>
      </w:r>
      <w:r>
        <w:rPr>
          <w:b/>
          <w:i/>
          <w:color w:val="000000" w:themeColor="text1"/>
        </w:rPr>
        <w:t>country where RFB is issued</w:t>
      </w:r>
      <w:r>
        <w:rPr>
          <w:i/>
          <w:color w:val="000000" w:themeColor="text1"/>
        </w:rPr>
        <w:t>]</w:t>
      </w:r>
    </w:p>
    <w:p w14:paraId="5236EF76" w14:textId="77777777" w:rsidR="00157AAA" w:rsidRDefault="006C1BE5">
      <w:pPr>
        <w:rPr>
          <w:i/>
          <w:color w:val="000000" w:themeColor="text1"/>
        </w:rPr>
      </w:pPr>
      <w:r>
        <w:rPr>
          <w:color w:val="000000" w:themeColor="text1"/>
        </w:rPr>
        <w:t>Loan No. /Credit No. / Grant No.:</w:t>
      </w:r>
      <w:r>
        <w:rPr>
          <w:i/>
          <w:color w:val="000000" w:themeColor="text1"/>
        </w:rPr>
        <w:t xml:space="preserve"> [insert </w:t>
      </w:r>
      <w:r>
        <w:rPr>
          <w:b/>
          <w:i/>
          <w:color w:val="000000" w:themeColor="text1"/>
        </w:rPr>
        <w:t>reference number for loan/credit/grant</w:t>
      </w:r>
      <w:r>
        <w:rPr>
          <w:i/>
          <w:color w:val="000000" w:themeColor="text1"/>
        </w:rPr>
        <w:t>]</w:t>
      </w:r>
    </w:p>
    <w:p w14:paraId="208D6D8B" w14:textId="77777777" w:rsidR="00157AAA" w:rsidRDefault="006C1BE5">
      <w:pPr>
        <w:rPr>
          <w:b/>
          <w:color w:val="000000" w:themeColor="text1"/>
        </w:rPr>
      </w:pPr>
      <w:proofErr w:type="gramStart"/>
      <w:r>
        <w:rPr>
          <w:color w:val="000000" w:themeColor="text1"/>
        </w:rPr>
        <w:t>RFB  No</w:t>
      </w:r>
      <w:proofErr w:type="gramEnd"/>
      <w:r>
        <w:rPr>
          <w:color w:val="000000" w:themeColor="text1"/>
        </w:rPr>
        <w:t>:</w:t>
      </w:r>
      <w:r>
        <w:rPr>
          <w:b/>
          <w:color w:val="000000" w:themeColor="text1"/>
        </w:rPr>
        <w:t xml:space="preserve"> </w:t>
      </w:r>
      <w:r>
        <w:rPr>
          <w:i/>
          <w:color w:val="000000" w:themeColor="text1"/>
        </w:rPr>
        <w:t xml:space="preserve">[insert RFB  </w:t>
      </w:r>
      <w:r>
        <w:rPr>
          <w:b/>
          <w:i/>
          <w:color w:val="000000" w:themeColor="text1"/>
        </w:rPr>
        <w:t>reference number  from Procurement Plan</w:t>
      </w:r>
      <w:r>
        <w:rPr>
          <w:i/>
          <w:color w:val="000000" w:themeColor="text1"/>
        </w:rPr>
        <w:t>]</w:t>
      </w:r>
    </w:p>
    <w:p w14:paraId="6CB021A5" w14:textId="77777777" w:rsidR="00157AAA" w:rsidRDefault="006C1BE5">
      <w:pPr>
        <w:pStyle w:val="BodyTextIndent"/>
        <w:spacing w:before="240" w:after="240"/>
        <w:ind w:left="0" w:right="288"/>
        <w:rPr>
          <w:iCs/>
        </w:rPr>
      </w:pPr>
      <w:r>
        <w:rPr>
          <w:iCs/>
        </w:rPr>
        <w:t>This Notification of Intention to Award (Notification) notifies you of our decision to award the above contract. The transmission of this Notification begins the Standstill Period. During the Standstill Period you may:</w:t>
      </w:r>
    </w:p>
    <w:p w14:paraId="3C07A0F7" w14:textId="77777777" w:rsidR="00157AAA" w:rsidRDefault="006C1BE5" w:rsidP="00D530D5">
      <w:pPr>
        <w:pStyle w:val="BodyTextIndent"/>
        <w:numPr>
          <w:ilvl w:val="0"/>
          <w:numId w:val="47"/>
        </w:numPr>
        <w:spacing w:before="240" w:after="240"/>
        <w:ind w:right="288"/>
        <w:rPr>
          <w:iCs/>
        </w:rPr>
      </w:pPr>
      <w:r>
        <w:rPr>
          <w:iCs/>
        </w:rPr>
        <w:t>request a debriefing in relation to the evaluation of your Bid, and/or</w:t>
      </w:r>
    </w:p>
    <w:p w14:paraId="0BB6FE79" w14:textId="77777777" w:rsidR="00157AAA" w:rsidRDefault="006C1BE5" w:rsidP="00D530D5">
      <w:pPr>
        <w:pStyle w:val="BodyTextIndent"/>
        <w:numPr>
          <w:ilvl w:val="0"/>
          <w:numId w:val="47"/>
        </w:numPr>
        <w:spacing w:before="240" w:after="240"/>
        <w:ind w:right="288"/>
        <w:rPr>
          <w:iCs/>
        </w:rPr>
      </w:pPr>
      <w:r>
        <w:rPr>
          <w:iCs/>
        </w:rPr>
        <w:t>submit a Procurement-related Complaint in relation to the decision to award the contract.</w:t>
      </w:r>
    </w:p>
    <w:p w14:paraId="064D1A2A" w14:textId="77777777" w:rsidR="00157AAA" w:rsidRDefault="006C1BE5" w:rsidP="00D530D5">
      <w:pPr>
        <w:pStyle w:val="BodyTextIndent"/>
        <w:keepNext/>
        <w:numPr>
          <w:ilvl w:val="0"/>
          <w:numId w:val="45"/>
        </w:numPr>
        <w:spacing w:before="240" w:after="120"/>
        <w:ind w:left="288" w:right="288" w:hanging="288"/>
        <w:rPr>
          <w:b/>
          <w:iCs/>
        </w:rPr>
      </w:pPr>
      <w:r>
        <w:rPr>
          <w:b/>
          <w:iCs/>
        </w:rPr>
        <w:lastRenderedPageBreak/>
        <w:t>The successful Bidder</w:t>
      </w:r>
    </w:p>
    <w:tbl>
      <w:tblPr>
        <w:tblW w:w="8640" w:type="dxa"/>
        <w:tblLayout w:type="fixed"/>
        <w:tblLook w:val="04A0" w:firstRow="1" w:lastRow="0" w:firstColumn="1" w:lastColumn="0" w:noHBand="0" w:noVBand="1"/>
      </w:tblPr>
      <w:tblGrid>
        <w:gridCol w:w="2297"/>
        <w:gridCol w:w="6343"/>
      </w:tblGrid>
      <w:tr w:rsidR="00157AAA" w14:paraId="4B892952" w14:textId="77777777">
        <w:tc>
          <w:tcPr>
            <w:tcW w:w="2405" w:type="dxa"/>
            <w:shd w:val="clear" w:color="auto" w:fill="C6D9F1" w:themeFill="text2" w:themeFillTint="33"/>
          </w:tcPr>
          <w:p w14:paraId="56F16532" w14:textId="77777777" w:rsidR="00157AAA" w:rsidRDefault="006C1BE5">
            <w:pPr>
              <w:pStyle w:val="BodyTextIndent"/>
              <w:spacing w:before="120" w:after="120"/>
              <w:ind w:left="0"/>
              <w:jc w:val="left"/>
              <w:rPr>
                <w:iCs/>
              </w:rPr>
            </w:pPr>
            <w:r>
              <w:rPr>
                <w:iCs/>
              </w:rPr>
              <w:t>Name:</w:t>
            </w:r>
          </w:p>
        </w:tc>
        <w:tc>
          <w:tcPr>
            <w:tcW w:w="6662" w:type="dxa"/>
            <w:vAlign w:val="center"/>
          </w:tcPr>
          <w:p w14:paraId="05C401E4" w14:textId="77777777" w:rsidR="00157AAA" w:rsidRDefault="006C1BE5">
            <w:pPr>
              <w:pStyle w:val="BodyTextIndent"/>
              <w:spacing w:before="120" w:after="120"/>
              <w:ind w:left="0"/>
              <w:jc w:val="left"/>
              <w:rPr>
                <w:iCs/>
              </w:rPr>
            </w:pPr>
            <w:r>
              <w:rPr>
                <w:iCs/>
              </w:rPr>
              <w:t>[</w:t>
            </w:r>
            <w:r>
              <w:rPr>
                <w:i/>
                <w:iCs/>
              </w:rPr>
              <w:t>insert name</w:t>
            </w:r>
            <w:r>
              <w:t xml:space="preserve"> </w:t>
            </w:r>
            <w:r>
              <w:rPr>
                <w:i/>
                <w:iCs/>
              </w:rPr>
              <w:t>of successful Bidder</w:t>
            </w:r>
            <w:r>
              <w:rPr>
                <w:iCs/>
              </w:rPr>
              <w:t>]</w:t>
            </w:r>
          </w:p>
        </w:tc>
      </w:tr>
      <w:tr w:rsidR="00157AAA" w14:paraId="77EF2375" w14:textId="77777777">
        <w:tc>
          <w:tcPr>
            <w:tcW w:w="2405" w:type="dxa"/>
            <w:shd w:val="clear" w:color="auto" w:fill="C6D9F1" w:themeFill="text2" w:themeFillTint="33"/>
          </w:tcPr>
          <w:p w14:paraId="6803100B" w14:textId="77777777" w:rsidR="00157AAA" w:rsidRDefault="006C1BE5">
            <w:pPr>
              <w:pStyle w:val="BodyTextIndent"/>
              <w:spacing w:before="120" w:after="120"/>
              <w:ind w:left="0"/>
              <w:jc w:val="left"/>
              <w:rPr>
                <w:iCs/>
              </w:rPr>
            </w:pPr>
            <w:r>
              <w:rPr>
                <w:iCs/>
              </w:rPr>
              <w:t>Address:</w:t>
            </w:r>
          </w:p>
        </w:tc>
        <w:tc>
          <w:tcPr>
            <w:tcW w:w="6662" w:type="dxa"/>
            <w:vAlign w:val="center"/>
          </w:tcPr>
          <w:p w14:paraId="588B6D5B" w14:textId="77777777" w:rsidR="00157AAA" w:rsidRDefault="006C1BE5">
            <w:pPr>
              <w:pStyle w:val="BodyTextIndent"/>
              <w:spacing w:before="120" w:after="120"/>
              <w:ind w:left="0"/>
              <w:jc w:val="left"/>
              <w:rPr>
                <w:iCs/>
              </w:rPr>
            </w:pPr>
            <w:r>
              <w:rPr>
                <w:iCs/>
              </w:rPr>
              <w:t>[</w:t>
            </w:r>
            <w:r>
              <w:rPr>
                <w:i/>
                <w:iCs/>
              </w:rPr>
              <w:t>insert address</w:t>
            </w:r>
            <w:r>
              <w:t xml:space="preserve"> </w:t>
            </w:r>
            <w:r>
              <w:rPr>
                <w:i/>
                <w:iCs/>
              </w:rPr>
              <w:t>of the successful Bidder</w:t>
            </w:r>
            <w:r>
              <w:rPr>
                <w:iCs/>
              </w:rPr>
              <w:t>]</w:t>
            </w:r>
          </w:p>
        </w:tc>
      </w:tr>
      <w:tr w:rsidR="00157AAA" w14:paraId="207DEDAA" w14:textId="77777777">
        <w:tc>
          <w:tcPr>
            <w:tcW w:w="2405" w:type="dxa"/>
            <w:shd w:val="clear" w:color="auto" w:fill="C6D9F1" w:themeFill="text2" w:themeFillTint="33"/>
          </w:tcPr>
          <w:p w14:paraId="2C3032D2" w14:textId="77777777" w:rsidR="00157AAA" w:rsidRDefault="006C1BE5">
            <w:pPr>
              <w:pStyle w:val="BodyTextIndent"/>
              <w:spacing w:before="120" w:after="120"/>
              <w:ind w:left="0"/>
              <w:jc w:val="left"/>
              <w:rPr>
                <w:iCs/>
              </w:rPr>
            </w:pPr>
            <w:r>
              <w:rPr>
                <w:iCs/>
              </w:rPr>
              <w:t>Contract price:</w:t>
            </w:r>
          </w:p>
        </w:tc>
        <w:tc>
          <w:tcPr>
            <w:tcW w:w="6662" w:type="dxa"/>
            <w:vAlign w:val="center"/>
          </w:tcPr>
          <w:p w14:paraId="501A6ABE" w14:textId="77777777" w:rsidR="00157AAA" w:rsidRDefault="006C1BE5">
            <w:pPr>
              <w:pStyle w:val="BodyTextIndent"/>
              <w:spacing w:before="120" w:after="120"/>
              <w:ind w:left="0"/>
              <w:jc w:val="left"/>
              <w:rPr>
                <w:iCs/>
              </w:rPr>
            </w:pPr>
            <w:r>
              <w:rPr>
                <w:iCs/>
              </w:rPr>
              <w:t>[</w:t>
            </w:r>
            <w:r>
              <w:rPr>
                <w:i/>
                <w:iCs/>
              </w:rPr>
              <w:t>insert contract price</w:t>
            </w:r>
            <w:r>
              <w:t xml:space="preserve"> </w:t>
            </w:r>
            <w:r>
              <w:rPr>
                <w:i/>
                <w:iCs/>
              </w:rPr>
              <w:t>of the successful Bidder</w:t>
            </w:r>
            <w:r>
              <w:rPr>
                <w:iCs/>
              </w:rPr>
              <w:t>]</w:t>
            </w:r>
          </w:p>
        </w:tc>
      </w:tr>
      <w:tr w:rsidR="00157AAA" w14:paraId="58C1BF08" w14:textId="77777777">
        <w:tc>
          <w:tcPr>
            <w:tcW w:w="2405" w:type="dxa"/>
            <w:shd w:val="clear" w:color="auto" w:fill="C6D9F1" w:themeFill="text2" w:themeFillTint="33"/>
          </w:tcPr>
          <w:p w14:paraId="1A136927" w14:textId="77777777" w:rsidR="00157AAA" w:rsidRDefault="006C1BE5">
            <w:pPr>
              <w:pStyle w:val="BodyTextIndent"/>
              <w:spacing w:before="120" w:after="120"/>
              <w:ind w:left="0"/>
              <w:jc w:val="left"/>
              <w:rPr>
                <w:iCs/>
              </w:rPr>
            </w:pPr>
            <w:r>
              <w:rPr>
                <w:iCs/>
              </w:rPr>
              <w:t>Total combined score:</w:t>
            </w:r>
          </w:p>
        </w:tc>
        <w:tc>
          <w:tcPr>
            <w:tcW w:w="6662" w:type="dxa"/>
            <w:vAlign w:val="center"/>
          </w:tcPr>
          <w:p w14:paraId="75B5C133" w14:textId="77777777" w:rsidR="00157AAA" w:rsidRDefault="006C1BE5">
            <w:pPr>
              <w:pStyle w:val="BodyTextIndent"/>
              <w:spacing w:before="120" w:after="120"/>
              <w:ind w:left="0"/>
              <w:jc w:val="left"/>
              <w:rPr>
                <w:i/>
                <w:iCs/>
              </w:rPr>
            </w:pPr>
            <w:r>
              <w:rPr>
                <w:iCs/>
              </w:rPr>
              <w:t>[</w:t>
            </w:r>
            <w:r>
              <w:rPr>
                <w:i/>
                <w:iCs/>
              </w:rPr>
              <w:t>insert the total combined score of the successful Bidder</w:t>
            </w:r>
            <w:r>
              <w:rPr>
                <w:iCs/>
              </w:rPr>
              <w:t>]</w:t>
            </w:r>
          </w:p>
        </w:tc>
      </w:tr>
    </w:tbl>
    <w:p w14:paraId="1BCA7957" w14:textId="77777777" w:rsidR="00157AAA" w:rsidRDefault="006C1BE5" w:rsidP="00D530D5">
      <w:pPr>
        <w:pStyle w:val="BodyTextIndent"/>
        <w:numPr>
          <w:ilvl w:val="0"/>
          <w:numId w:val="45"/>
        </w:numPr>
        <w:spacing w:before="240" w:after="120"/>
        <w:ind w:left="284" w:right="289" w:hanging="284"/>
        <w:jc w:val="left"/>
        <w:rPr>
          <w:b/>
          <w:i/>
          <w:iCs/>
        </w:rPr>
      </w:pPr>
      <w:r>
        <w:rPr>
          <w:b/>
          <w:iCs/>
        </w:rPr>
        <w:t xml:space="preserve">Other Bidders </w:t>
      </w:r>
      <w:r>
        <w:rPr>
          <w:i/>
          <w:iCs/>
        </w:rPr>
        <w:t>[INSTRUCTIONS: insert names of all Bidders that submitted a Bid. If the Bid’s price was evaluated include the evaluated price as well as the Bid price as read out.]</w:t>
      </w:r>
    </w:p>
    <w:tbl>
      <w:tblPr>
        <w:tblW w:w="8640" w:type="dxa"/>
        <w:tblLook w:val="04A0" w:firstRow="1" w:lastRow="0" w:firstColumn="1" w:lastColumn="0" w:noHBand="0" w:noVBand="1"/>
      </w:tblPr>
      <w:tblGrid>
        <w:gridCol w:w="1659"/>
        <w:gridCol w:w="1976"/>
        <w:gridCol w:w="1419"/>
        <w:gridCol w:w="1805"/>
        <w:gridCol w:w="1781"/>
      </w:tblGrid>
      <w:tr w:rsidR="00157AAA" w14:paraId="185DBF3C" w14:textId="77777777">
        <w:tc>
          <w:tcPr>
            <w:tcW w:w="1794" w:type="dxa"/>
            <w:shd w:val="clear" w:color="auto" w:fill="C6D9F1" w:themeFill="text2" w:themeFillTint="33"/>
            <w:vAlign w:val="center"/>
          </w:tcPr>
          <w:p w14:paraId="419DB381" w14:textId="77777777" w:rsidR="00157AAA" w:rsidRDefault="006C1BE5">
            <w:pPr>
              <w:pStyle w:val="BodyTextIndent"/>
              <w:spacing w:before="60" w:after="60"/>
              <w:ind w:left="0" w:right="33"/>
              <w:jc w:val="center"/>
              <w:rPr>
                <w:iCs/>
              </w:rPr>
            </w:pPr>
            <w:r>
              <w:rPr>
                <w:iCs/>
              </w:rPr>
              <w:t>Name of Bidder</w:t>
            </w:r>
          </w:p>
        </w:tc>
        <w:tc>
          <w:tcPr>
            <w:tcW w:w="2094" w:type="dxa"/>
            <w:shd w:val="clear" w:color="auto" w:fill="C6D9F1" w:themeFill="text2" w:themeFillTint="33"/>
            <w:vAlign w:val="center"/>
          </w:tcPr>
          <w:p w14:paraId="59FC3ED8" w14:textId="77777777" w:rsidR="00157AAA" w:rsidRDefault="006C1BE5">
            <w:pPr>
              <w:pStyle w:val="BodyTextIndent"/>
              <w:ind w:left="6" w:right="29"/>
              <w:rPr>
                <w:iCs/>
              </w:rPr>
            </w:pPr>
            <w:r>
              <w:rPr>
                <w:iCs/>
              </w:rPr>
              <w:t>Technical Score</w:t>
            </w:r>
          </w:p>
          <w:p w14:paraId="3D03BC49" w14:textId="77777777" w:rsidR="00157AAA" w:rsidRDefault="006C1BE5">
            <w:pPr>
              <w:pStyle w:val="BodyTextIndent"/>
              <w:ind w:left="6" w:right="29"/>
              <w:jc w:val="center"/>
              <w:rPr>
                <w:iCs/>
              </w:rPr>
            </w:pPr>
            <w:r>
              <w:rPr>
                <w:iCs/>
              </w:rPr>
              <w:t>(If applicable)</w:t>
            </w:r>
          </w:p>
        </w:tc>
        <w:tc>
          <w:tcPr>
            <w:tcW w:w="1522" w:type="dxa"/>
            <w:shd w:val="clear" w:color="auto" w:fill="C6D9F1" w:themeFill="text2" w:themeFillTint="33"/>
            <w:vAlign w:val="center"/>
          </w:tcPr>
          <w:p w14:paraId="535B11DD" w14:textId="77777777" w:rsidR="00157AAA" w:rsidRDefault="006C1BE5">
            <w:pPr>
              <w:pStyle w:val="BodyTextIndent"/>
              <w:ind w:left="0"/>
              <w:jc w:val="center"/>
              <w:rPr>
                <w:iCs/>
              </w:rPr>
            </w:pPr>
            <w:r>
              <w:rPr>
                <w:iCs/>
              </w:rPr>
              <w:t>Bid price</w:t>
            </w:r>
          </w:p>
        </w:tc>
        <w:tc>
          <w:tcPr>
            <w:tcW w:w="1918" w:type="dxa"/>
            <w:shd w:val="clear" w:color="auto" w:fill="C6D9F1" w:themeFill="text2" w:themeFillTint="33"/>
            <w:vAlign w:val="center"/>
          </w:tcPr>
          <w:p w14:paraId="67C920DA" w14:textId="77777777" w:rsidR="00157AAA" w:rsidRDefault="006C1BE5">
            <w:pPr>
              <w:pStyle w:val="BodyTextIndent"/>
              <w:ind w:left="0"/>
              <w:jc w:val="center"/>
              <w:rPr>
                <w:iCs/>
              </w:rPr>
            </w:pPr>
            <w:r>
              <w:rPr>
                <w:iCs/>
              </w:rPr>
              <w:t xml:space="preserve">Evaluated Bid Cost </w:t>
            </w:r>
          </w:p>
        </w:tc>
        <w:tc>
          <w:tcPr>
            <w:tcW w:w="1870" w:type="dxa"/>
            <w:shd w:val="clear" w:color="auto" w:fill="C6D9F1" w:themeFill="text2" w:themeFillTint="33"/>
            <w:vAlign w:val="center"/>
          </w:tcPr>
          <w:p w14:paraId="29FE35AC" w14:textId="77777777" w:rsidR="00157AAA" w:rsidRDefault="006C1BE5">
            <w:pPr>
              <w:pStyle w:val="BodyTextIndent"/>
              <w:ind w:left="0"/>
              <w:jc w:val="center"/>
              <w:rPr>
                <w:iCs/>
              </w:rPr>
            </w:pPr>
            <w:r>
              <w:rPr>
                <w:iCs/>
              </w:rPr>
              <w:t>Combined Score (if applicable)</w:t>
            </w:r>
          </w:p>
        </w:tc>
      </w:tr>
      <w:tr w:rsidR="00157AAA" w14:paraId="464EF313" w14:textId="77777777">
        <w:tc>
          <w:tcPr>
            <w:tcW w:w="1794" w:type="dxa"/>
            <w:vAlign w:val="center"/>
          </w:tcPr>
          <w:p w14:paraId="5F7E19AA" w14:textId="77777777" w:rsidR="00157AAA" w:rsidRDefault="006C1BE5">
            <w:r>
              <w:rPr>
                <w:iCs/>
              </w:rPr>
              <w:t>[</w:t>
            </w:r>
            <w:r>
              <w:rPr>
                <w:i/>
                <w:iCs/>
              </w:rPr>
              <w:t>insert name</w:t>
            </w:r>
            <w:r>
              <w:rPr>
                <w:iCs/>
              </w:rPr>
              <w:t>]</w:t>
            </w:r>
          </w:p>
        </w:tc>
        <w:tc>
          <w:tcPr>
            <w:tcW w:w="2094" w:type="dxa"/>
            <w:vAlign w:val="center"/>
          </w:tcPr>
          <w:p w14:paraId="03AB89CB" w14:textId="77777777" w:rsidR="00157AAA" w:rsidRDefault="006C1BE5">
            <w:pPr>
              <w:pStyle w:val="BodyTextIndent"/>
              <w:spacing w:before="120" w:after="120"/>
              <w:ind w:left="6" w:right="33"/>
              <w:jc w:val="center"/>
              <w:rPr>
                <w:iCs/>
              </w:rPr>
            </w:pPr>
            <w:r>
              <w:rPr>
                <w:iCs/>
              </w:rPr>
              <w:t>[</w:t>
            </w:r>
            <w:r>
              <w:rPr>
                <w:i/>
                <w:iCs/>
              </w:rPr>
              <w:t xml:space="preserve">insert </w:t>
            </w:r>
            <w:proofErr w:type="gramStart"/>
            <w:r>
              <w:rPr>
                <w:i/>
                <w:iCs/>
              </w:rPr>
              <w:t>Technical</w:t>
            </w:r>
            <w:proofErr w:type="gramEnd"/>
            <w:r>
              <w:rPr>
                <w:i/>
                <w:iCs/>
              </w:rPr>
              <w:t xml:space="preserve"> score</w:t>
            </w:r>
            <w:r>
              <w:rPr>
                <w:iCs/>
              </w:rPr>
              <w:t>]</w:t>
            </w:r>
          </w:p>
        </w:tc>
        <w:tc>
          <w:tcPr>
            <w:tcW w:w="1522" w:type="dxa"/>
            <w:vAlign w:val="center"/>
          </w:tcPr>
          <w:p w14:paraId="66D1EDF6" w14:textId="77777777" w:rsidR="00157AAA" w:rsidRDefault="006C1BE5">
            <w:pPr>
              <w:pStyle w:val="BodyTextIndent"/>
              <w:spacing w:before="120" w:after="120"/>
              <w:ind w:left="0"/>
              <w:jc w:val="center"/>
              <w:rPr>
                <w:iCs/>
              </w:rPr>
            </w:pPr>
            <w:r>
              <w:rPr>
                <w:iCs/>
              </w:rPr>
              <w:t>[</w:t>
            </w:r>
            <w:r>
              <w:rPr>
                <w:i/>
                <w:iCs/>
              </w:rPr>
              <w:t>insert Bid price</w:t>
            </w:r>
            <w:r>
              <w:rPr>
                <w:iCs/>
              </w:rPr>
              <w:t>]</w:t>
            </w:r>
          </w:p>
        </w:tc>
        <w:tc>
          <w:tcPr>
            <w:tcW w:w="1918" w:type="dxa"/>
            <w:vAlign w:val="center"/>
          </w:tcPr>
          <w:p w14:paraId="1EA2DF92" w14:textId="77777777" w:rsidR="00157AAA" w:rsidRDefault="006C1BE5">
            <w:pPr>
              <w:pStyle w:val="BodyTextIndent"/>
              <w:spacing w:before="120" w:after="120"/>
              <w:ind w:left="0"/>
              <w:jc w:val="center"/>
              <w:rPr>
                <w:iCs/>
              </w:rPr>
            </w:pPr>
            <w:r>
              <w:rPr>
                <w:iCs/>
              </w:rPr>
              <w:t>[</w:t>
            </w:r>
            <w:r>
              <w:rPr>
                <w:i/>
                <w:iCs/>
              </w:rPr>
              <w:t>insert evaluated cost</w:t>
            </w:r>
            <w:r>
              <w:rPr>
                <w:iCs/>
              </w:rPr>
              <w:t>]</w:t>
            </w:r>
          </w:p>
        </w:tc>
        <w:tc>
          <w:tcPr>
            <w:tcW w:w="1870" w:type="dxa"/>
            <w:vAlign w:val="center"/>
          </w:tcPr>
          <w:p w14:paraId="69679869" w14:textId="77777777" w:rsidR="00157AAA" w:rsidRDefault="006C1BE5">
            <w:pPr>
              <w:pStyle w:val="BodyTextIndent"/>
              <w:spacing w:before="120" w:after="120"/>
              <w:ind w:left="52"/>
              <w:jc w:val="center"/>
              <w:rPr>
                <w:iCs/>
              </w:rPr>
            </w:pPr>
            <w:r>
              <w:rPr>
                <w:iCs/>
              </w:rPr>
              <w:t>[</w:t>
            </w:r>
            <w:r>
              <w:rPr>
                <w:i/>
                <w:iCs/>
              </w:rPr>
              <w:t>insert combined score</w:t>
            </w:r>
            <w:r>
              <w:rPr>
                <w:iCs/>
              </w:rPr>
              <w:t>]</w:t>
            </w:r>
          </w:p>
        </w:tc>
      </w:tr>
      <w:tr w:rsidR="00157AAA" w14:paraId="61ED724F" w14:textId="77777777">
        <w:tc>
          <w:tcPr>
            <w:tcW w:w="1794" w:type="dxa"/>
            <w:vAlign w:val="center"/>
          </w:tcPr>
          <w:p w14:paraId="5DCFEE33" w14:textId="77777777" w:rsidR="00157AAA" w:rsidRDefault="006C1BE5">
            <w:r>
              <w:rPr>
                <w:iCs/>
              </w:rPr>
              <w:t>[</w:t>
            </w:r>
            <w:r>
              <w:rPr>
                <w:i/>
                <w:iCs/>
              </w:rPr>
              <w:t>insert name</w:t>
            </w:r>
            <w:r>
              <w:rPr>
                <w:iCs/>
              </w:rPr>
              <w:t>]</w:t>
            </w:r>
          </w:p>
        </w:tc>
        <w:tc>
          <w:tcPr>
            <w:tcW w:w="2094" w:type="dxa"/>
            <w:vAlign w:val="center"/>
          </w:tcPr>
          <w:p w14:paraId="0CF2139D" w14:textId="77777777" w:rsidR="00157AAA" w:rsidRDefault="006C1BE5">
            <w:pPr>
              <w:pStyle w:val="BodyTextIndent"/>
              <w:spacing w:before="120" w:after="120"/>
              <w:ind w:left="6" w:right="33"/>
              <w:jc w:val="center"/>
              <w:rPr>
                <w:iCs/>
              </w:rPr>
            </w:pPr>
            <w:r>
              <w:rPr>
                <w:iCs/>
              </w:rPr>
              <w:t>[</w:t>
            </w:r>
            <w:r>
              <w:rPr>
                <w:i/>
                <w:iCs/>
              </w:rPr>
              <w:t xml:space="preserve">insert </w:t>
            </w:r>
            <w:proofErr w:type="gramStart"/>
            <w:r>
              <w:rPr>
                <w:i/>
                <w:iCs/>
              </w:rPr>
              <w:t>Technical</w:t>
            </w:r>
            <w:proofErr w:type="gramEnd"/>
            <w:r>
              <w:rPr>
                <w:i/>
                <w:iCs/>
              </w:rPr>
              <w:t xml:space="preserve"> score</w:t>
            </w:r>
            <w:r>
              <w:rPr>
                <w:iCs/>
              </w:rPr>
              <w:t>]</w:t>
            </w:r>
          </w:p>
        </w:tc>
        <w:tc>
          <w:tcPr>
            <w:tcW w:w="1522" w:type="dxa"/>
            <w:vAlign w:val="center"/>
          </w:tcPr>
          <w:p w14:paraId="3DE735E4" w14:textId="77777777" w:rsidR="00157AAA" w:rsidRDefault="006C1BE5">
            <w:pPr>
              <w:pStyle w:val="BodyTextIndent"/>
              <w:spacing w:before="120" w:after="120"/>
              <w:ind w:left="0"/>
              <w:jc w:val="center"/>
              <w:rPr>
                <w:iCs/>
              </w:rPr>
            </w:pPr>
            <w:r>
              <w:rPr>
                <w:iCs/>
              </w:rPr>
              <w:t>[</w:t>
            </w:r>
            <w:r>
              <w:rPr>
                <w:i/>
                <w:iCs/>
              </w:rPr>
              <w:t>insert Bid price</w:t>
            </w:r>
            <w:r>
              <w:rPr>
                <w:iCs/>
              </w:rPr>
              <w:t>]</w:t>
            </w:r>
          </w:p>
        </w:tc>
        <w:tc>
          <w:tcPr>
            <w:tcW w:w="1918" w:type="dxa"/>
            <w:vAlign w:val="center"/>
          </w:tcPr>
          <w:p w14:paraId="6A0B4D15" w14:textId="77777777" w:rsidR="00157AAA" w:rsidRDefault="006C1BE5">
            <w:pPr>
              <w:pStyle w:val="BodyTextIndent"/>
              <w:spacing w:before="120" w:after="120"/>
              <w:ind w:left="0"/>
              <w:jc w:val="center"/>
              <w:rPr>
                <w:iCs/>
              </w:rPr>
            </w:pPr>
            <w:r>
              <w:rPr>
                <w:iCs/>
              </w:rPr>
              <w:t>[</w:t>
            </w:r>
            <w:r>
              <w:rPr>
                <w:i/>
                <w:iCs/>
              </w:rPr>
              <w:t>insert evaluated cost</w:t>
            </w:r>
            <w:r>
              <w:rPr>
                <w:iCs/>
              </w:rPr>
              <w:t>]</w:t>
            </w:r>
          </w:p>
        </w:tc>
        <w:tc>
          <w:tcPr>
            <w:tcW w:w="1870" w:type="dxa"/>
            <w:vAlign w:val="center"/>
          </w:tcPr>
          <w:p w14:paraId="4E9915FD" w14:textId="77777777" w:rsidR="00157AAA" w:rsidRDefault="006C1BE5">
            <w:pPr>
              <w:pStyle w:val="BodyTextIndent"/>
              <w:spacing w:before="120" w:after="120"/>
              <w:ind w:left="52"/>
              <w:jc w:val="center"/>
              <w:rPr>
                <w:iCs/>
              </w:rPr>
            </w:pPr>
            <w:r>
              <w:rPr>
                <w:iCs/>
              </w:rPr>
              <w:t>[</w:t>
            </w:r>
            <w:r>
              <w:rPr>
                <w:i/>
                <w:iCs/>
              </w:rPr>
              <w:t>insert combined score</w:t>
            </w:r>
            <w:r>
              <w:rPr>
                <w:iCs/>
              </w:rPr>
              <w:t>]</w:t>
            </w:r>
          </w:p>
        </w:tc>
      </w:tr>
      <w:tr w:rsidR="00157AAA" w14:paraId="01E25B5D" w14:textId="77777777">
        <w:tc>
          <w:tcPr>
            <w:tcW w:w="1794" w:type="dxa"/>
            <w:vAlign w:val="center"/>
          </w:tcPr>
          <w:p w14:paraId="6D473403" w14:textId="77777777" w:rsidR="00157AAA" w:rsidRDefault="006C1BE5">
            <w:r>
              <w:rPr>
                <w:iCs/>
              </w:rPr>
              <w:t>[</w:t>
            </w:r>
            <w:r>
              <w:rPr>
                <w:i/>
                <w:iCs/>
              </w:rPr>
              <w:t>insert name</w:t>
            </w:r>
            <w:r>
              <w:rPr>
                <w:iCs/>
              </w:rPr>
              <w:t>]</w:t>
            </w:r>
          </w:p>
        </w:tc>
        <w:tc>
          <w:tcPr>
            <w:tcW w:w="2094" w:type="dxa"/>
            <w:vAlign w:val="center"/>
          </w:tcPr>
          <w:p w14:paraId="5FA345D5" w14:textId="77777777" w:rsidR="00157AAA" w:rsidRDefault="006C1BE5">
            <w:pPr>
              <w:pStyle w:val="BodyTextIndent"/>
              <w:spacing w:before="120" w:after="120"/>
              <w:ind w:left="6" w:right="33"/>
              <w:jc w:val="center"/>
              <w:rPr>
                <w:iCs/>
              </w:rPr>
            </w:pPr>
            <w:r>
              <w:rPr>
                <w:iCs/>
              </w:rPr>
              <w:t>[</w:t>
            </w:r>
            <w:r>
              <w:rPr>
                <w:i/>
                <w:iCs/>
              </w:rPr>
              <w:t xml:space="preserve">insert </w:t>
            </w:r>
            <w:proofErr w:type="gramStart"/>
            <w:r>
              <w:rPr>
                <w:i/>
                <w:iCs/>
              </w:rPr>
              <w:t>Technical</w:t>
            </w:r>
            <w:proofErr w:type="gramEnd"/>
            <w:r>
              <w:rPr>
                <w:i/>
                <w:iCs/>
              </w:rPr>
              <w:t xml:space="preserve"> score</w:t>
            </w:r>
            <w:r>
              <w:rPr>
                <w:iCs/>
              </w:rPr>
              <w:t>]</w:t>
            </w:r>
          </w:p>
        </w:tc>
        <w:tc>
          <w:tcPr>
            <w:tcW w:w="1522" w:type="dxa"/>
            <w:vAlign w:val="center"/>
          </w:tcPr>
          <w:p w14:paraId="15BAE834" w14:textId="77777777" w:rsidR="00157AAA" w:rsidRDefault="006C1BE5">
            <w:pPr>
              <w:pStyle w:val="BodyTextIndent"/>
              <w:spacing w:before="120" w:after="120"/>
              <w:ind w:left="0"/>
              <w:jc w:val="center"/>
              <w:rPr>
                <w:iCs/>
              </w:rPr>
            </w:pPr>
            <w:r>
              <w:rPr>
                <w:iCs/>
              </w:rPr>
              <w:t>[</w:t>
            </w:r>
            <w:r>
              <w:rPr>
                <w:i/>
                <w:iCs/>
              </w:rPr>
              <w:t>insert Bid price</w:t>
            </w:r>
            <w:r>
              <w:rPr>
                <w:iCs/>
              </w:rPr>
              <w:t>]</w:t>
            </w:r>
          </w:p>
        </w:tc>
        <w:tc>
          <w:tcPr>
            <w:tcW w:w="1918" w:type="dxa"/>
            <w:vAlign w:val="center"/>
          </w:tcPr>
          <w:p w14:paraId="3E6AD4FA" w14:textId="77777777" w:rsidR="00157AAA" w:rsidRDefault="006C1BE5">
            <w:pPr>
              <w:pStyle w:val="BodyTextIndent"/>
              <w:spacing w:before="120" w:after="120"/>
              <w:ind w:left="0"/>
              <w:jc w:val="center"/>
              <w:rPr>
                <w:iCs/>
              </w:rPr>
            </w:pPr>
            <w:r>
              <w:rPr>
                <w:iCs/>
              </w:rPr>
              <w:t>[</w:t>
            </w:r>
            <w:r>
              <w:rPr>
                <w:i/>
                <w:iCs/>
              </w:rPr>
              <w:t>insert evaluated cost</w:t>
            </w:r>
            <w:r>
              <w:rPr>
                <w:iCs/>
              </w:rPr>
              <w:t>]</w:t>
            </w:r>
          </w:p>
        </w:tc>
        <w:tc>
          <w:tcPr>
            <w:tcW w:w="1870" w:type="dxa"/>
            <w:vAlign w:val="center"/>
          </w:tcPr>
          <w:p w14:paraId="23795C9B" w14:textId="77777777" w:rsidR="00157AAA" w:rsidRDefault="006C1BE5">
            <w:pPr>
              <w:pStyle w:val="BodyTextIndent"/>
              <w:spacing w:before="120" w:after="120"/>
              <w:ind w:left="52"/>
              <w:jc w:val="center"/>
              <w:rPr>
                <w:iCs/>
              </w:rPr>
            </w:pPr>
            <w:r>
              <w:rPr>
                <w:iCs/>
              </w:rPr>
              <w:t>[</w:t>
            </w:r>
            <w:r>
              <w:rPr>
                <w:i/>
                <w:iCs/>
              </w:rPr>
              <w:t>insert combined score</w:t>
            </w:r>
            <w:r>
              <w:rPr>
                <w:iCs/>
              </w:rPr>
              <w:t>]</w:t>
            </w:r>
          </w:p>
        </w:tc>
      </w:tr>
    </w:tbl>
    <w:p w14:paraId="63D7A2F9" w14:textId="77777777" w:rsidR="00157AAA" w:rsidRDefault="006C1BE5" w:rsidP="00D530D5">
      <w:pPr>
        <w:pStyle w:val="BodyTextIndent"/>
        <w:numPr>
          <w:ilvl w:val="0"/>
          <w:numId w:val="45"/>
        </w:numPr>
        <w:spacing w:before="240" w:after="120"/>
        <w:ind w:left="284" w:right="289" w:hanging="284"/>
        <w:rPr>
          <w:b/>
          <w:iCs/>
        </w:rPr>
      </w:pPr>
      <w:r>
        <w:rPr>
          <w:b/>
          <w:iCs/>
        </w:rPr>
        <w:t xml:space="preserve">Reason/s why your Bid was unsuccessful </w:t>
      </w:r>
      <w:r>
        <w:rPr>
          <w:i/>
          <w:iCs/>
        </w:rPr>
        <w:t>[Delete if the combined score already reveals the reason]</w:t>
      </w:r>
    </w:p>
    <w:tbl>
      <w:tblPr>
        <w:tblW w:w="0" w:type="auto"/>
        <w:tblLook w:val="04A0" w:firstRow="1" w:lastRow="0" w:firstColumn="1" w:lastColumn="0" w:noHBand="0" w:noVBand="1"/>
      </w:tblPr>
      <w:tblGrid>
        <w:gridCol w:w="9016"/>
      </w:tblGrid>
      <w:tr w:rsidR="00157AAA" w14:paraId="67ABAFC9" w14:textId="77777777">
        <w:tc>
          <w:tcPr>
            <w:tcW w:w="9016" w:type="dxa"/>
          </w:tcPr>
          <w:p w14:paraId="62942065" w14:textId="77777777" w:rsidR="00157AAA" w:rsidRDefault="006C1BE5">
            <w:pPr>
              <w:pStyle w:val="BodyTextIndent"/>
              <w:spacing w:before="120" w:after="120"/>
              <w:ind w:left="90" w:right="289" w:hanging="19"/>
              <w:rPr>
                <w:i/>
                <w:iCs/>
              </w:rPr>
            </w:pPr>
            <w:r>
              <w:rPr>
                <w:i/>
                <w:iCs/>
              </w:rPr>
              <w:t xml:space="preserve">[INSTRUCTIONS; State the reason/s why </w:t>
            </w:r>
            <w:r>
              <w:rPr>
                <w:i/>
                <w:iCs/>
                <w:u w:val="single"/>
              </w:rPr>
              <w:t>this</w:t>
            </w:r>
            <w:r>
              <w:rPr>
                <w:i/>
                <w:iCs/>
              </w:rPr>
              <w:t xml:space="preserve"> Bidder’s Bid was unsuccessful. Do NOT include: (a) a </w:t>
            </w:r>
            <w:proofErr w:type="gramStart"/>
            <w:r>
              <w:rPr>
                <w:i/>
                <w:iCs/>
              </w:rPr>
              <w:t>point by point</w:t>
            </w:r>
            <w:proofErr w:type="gramEnd"/>
            <w:r>
              <w:rPr>
                <w:i/>
                <w:iCs/>
              </w:rPr>
              <w:t xml:space="preserve"> comparison with another Bidder’s Bid or (b) information that is marked confidential by the Bidder in its Bid.]</w:t>
            </w:r>
          </w:p>
        </w:tc>
      </w:tr>
    </w:tbl>
    <w:p w14:paraId="40839DD7" w14:textId="77777777" w:rsidR="00157AAA" w:rsidRDefault="006C1BE5" w:rsidP="00D530D5">
      <w:pPr>
        <w:pStyle w:val="BodyTextIndent"/>
        <w:numPr>
          <w:ilvl w:val="0"/>
          <w:numId w:val="45"/>
        </w:numPr>
        <w:spacing w:before="240" w:after="120"/>
        <w:ind w:left="284" w:right="289" w:hanging="284"/>
        <w:rPr>
          <w:b/>
          <w:iCs/>
        </w:rPr>
      </w:pPr>
      <w:r>
        <w:rPr>
          <w:b/>
          <w:iCs/>
        </w:rPr>
        <w:t>How to request a debriefing</w:t>
      </w:r>
    </w:p>
    <w:tbl>
      <w:tblPr>
        <w:tblW w:w="0" w:type="auto"/>
        <w:tblLook w:val="04A0" w:firstRow="1" w:lastRow="0" w:firstColumn="1" w:lastColumn="0" w:noHBand="0" w:noVBand="1"/>
      </w:tblPr>
      <w:tblGrid>
        <w:gridCol w:w="9016"/>
      </w:tblGrid>
      <w:tr w:rsidR="00157AAA" w14:paraId="61866C4D" w14:textId="77777777">
        <w:tc>
          <w:tcPr>
            <w:tcW w:w="9016" w:type="dxa"/>
          </w:tcPr>
          <w:p w14:paraId="144B298F" w14:textId="77777777" w:rsidR="00157AAA" w:rsidRDefault="006C1BE5">
            <w:pPr>
              <w:pStyle w:val="BodyTextIndent"/>
              <w:spacing w:before="120" w:after="120"/>
              <w:ind w:left="34" w:right="289" w:firstLine="37"/>
              <w:rPr>
                <w:iCs/>
              </w:rPr>
            </w:pPr>
            <w:r>
              <w:rPr>
                <w:iCs/>
              </w:rPr>
              <w:t xml:space="preserve">DEADLINE: The deadline to request a debriefing expires at midnight on </w:t>
            </w:r>
            <w:r>
              <w:rPr>
                <w:i/>
                <w:iCs/>
              </w:rPr>
              <w:t>[insert date]</w:t>
            </w:r>
            <w:r>
              <w:rPr>
                <w:iCs/>
              </w:rPr>
              <w:t xml:space="preserve"> (local time).</w:t>
            </w:r>
          </w:p>
          <w:p w14:paraId="22860E5F" w14:textId="77777777" w:rsidR="00157AAA" w:rsidRDefault="006C1BE5">
            <w:pPr>
              <w:pStyle w:val="BodyTextIndent"/>
              <w:spacing w:before="120" w:after="120"/>
              <w:ind w:left="34" w:right="289" w:firstLine="37"/>
              <w:rPr>
                <w:iCs/>
              </w:rPr>
            </w:pPr>
            <w:r>
              <w:rPr>
                <w:iCs/>
              </w:rPr>
              <w:t xml:space="preserve">You may request a debriefing in relation to the results of the evaluation of your Bid. If you decide to request a debriefing your written request must be made within three (3) Business Days of receipt of this Notification of Intention to Award. </w:t>
            </w:r>
          </w:p>
          <w:p w14:paraId="0BE20791" w14:textId="77777777" w:rsidR="00157AAA" w:rsidRDefault="006C1BE5">
            <w:pPr>
              <w:spacing w:before="120"/>
              <w:ind w:firstLine="37"/>
              <w:rPr>
                <w:color w:val="000000" w:themeColor="text1"/>
              </w:rPr>
            </w:pPr>
            <w:r>
              <w:rPr>
                <w:color w:val="000000" w:themeColor="text1"/>
              </w:rPr>
              <w:t>Provide the contract name, reference number, name of the Bidder, contact details; and address the request for debriefing as follows:</w:t>
            </w:r>
          </w:p>
          <w:p w14:paraId="7948E9DD" w14:textId="77777777" w:rsidR="00157AAA" w:rsidRDefault="006C1BE5">
            <w:pPr>
              <w:spacing w:before="120"/>
              <w:ind w:left="341"/>
              <w:rPr>
                <w:color w:val="000000" w:themeColor="text1"/>
              </w:rPr>
            </w:pPr>
            <w:r>
              <w:rPr>
                <w:color w:val="000000" w:themeColor="text1"/>
              </w:rPr>
              <w:lastRenderedPageBreak/>
              <w:t>Attention: [</w:t>
            </w:r>
            <w:r>
              <w:rPr>
                <w:i/>
                <w:color w:val="000000" w:themeColor="text1"/>
              </w:rPr>
              <w:t>insert full name of person, if applicable</w:t>
            </w:r>
            <w:r>
              <w:rPr>
                <w:color w:val="000000" w:themeColor="text1"/>
              </w:rPr>
              <w:t>]</w:t>
            </w:r>
          </w:p>
          <w:p w14:paraId="7D40B938" w14:textId="77777777" w:rsidR="00157AAA" w:rsidRDefault="006C1BE5">
            <w:pPr>
              <w:spacing w:before="120"/>
              <w:ind w:left="341"/>
              <w:rPr>
                <w:color w:val="000000" w:themeColor="text1"/>
              </w:rPr>
            </w:pPr>
            <w:r>
              <w:rPr>
                <w:color w:val="000000" w:themeColor="text1"/>
              </w:rPr>
              <w:t>Title/position: [</w:t>
            </w:r>
            <w:r>
              <w:rPr>
                <w:i/>
                <w:color w:val="000000" w:themeColor="text1"/>
              </w:rPr>
              <w:t>insert title/position</w:t>
            </w:r>
            <w:r>
              <w:rPr>
                <w:color w:val="000000" w:themeColor="text1"/>
              </w:rPr>
              <w:t>]</w:t>
            </w:r>
          </w:p>
          <w:p w14:paraId="370E95F3" w14:textId="77777777" w:rsidR="00157AAA" w:rsidRDefault="006C1BE5">
            <w:pPr>
              <w:spacing w:before="120"/>
              <w:ind w:left="341"/>
              <w:rPr>
                <w:color w:val="000000" w:themeColor="text1"/>
              </w:rPr>
            </w:pPr>
            <w:r>
              <w:rPr>
                <w:color w:val="000000" w:themeColor="text1"/>
              </w:rPr>
              <w:t>Agency: [</w:t>
            </w:r>
            <w:r>
              <w:rPr>
                <w:i/>
                <w:color w:val="000000" w:themeColor="text1"/>
              </w:rPr>
              <w:t>insert name of Purchaser</w:t>
            </w:r>
            <w:r>
              <w:rPr>
                <w:color w:val="000000" w:themeColor="text1"/>
              </w:rPr>
              <w:t>]</w:t>
            </w:r>
          </w:p>
          <w:p w14:paraId="459B67D0" w14:textId="77777777" w:rsidR="00157AAA" w:rsidRDefault="006C1BE5">
            <w:pPr>
              <w:spacing w:before="120"/>
              <w:ind w:left="341"/>
              <w:rPr>
                <w:color w:val="000000" w:themeColor="text1"/>
              </w:rPr>
            </w:pPr>
            <w:r>
              <w:rPr>
                <w:color w:val="000000" w:themeColor="text1"/>
              </w:rPr>
              <w:t>Email address: [</w:t>
            </w:r>
            <w:r>
              <w:rPr>
                <w:i/>
                <w:color w:val="000000" w:themeColor="text1"/>
              </w:rPr>
              <w:t>insert email address</w:t>
            </w:r>
            <w:r>
              <w:rPr>
                <w:color w:val="000000" w:themeColor="text1"/>
              </w:rPr>
              <w:t>]</w:t>
            </w:r>
          </w:p>
          <w:p w14:paraId="75EA7CE9" w14:textId="77777777" w:rsidR="00157AAA" w:rsidRDefault="006C1BE5">
            <w:pPr>
              <w:spacing w:before="120"/>
              <w:ind w:left="341"/>
              <w:rPr>
                <w:i/>
                <w:color w:val="000000" w:themeColor="text1"/>
              </w:rPr>
            </w:pPr>
            <w:r>
              <w:rPr>
                <w:color w:val="000000" w:themeColor="text1"/>
              </w:rPr>
              <w:t>Fax number: [</w:t>
            </w:r>
            <w:r>
              <w:rPr>
                <w:i/>
                <w:color w:val="000000" w:themeColor="text1"/>
              </w:rPr>
              <w:t>insert fax number or state “not applicable”</w:t>
            </w:r>
            <w:r>
              <w:rPr>
                <w:color w:val="000000" w:themeColor="text1"/>
              </w:rPr>
              <w:t xml:space="preserve">] </w:t>
            </w:r>
          </w:p>
          <w:p w14:paraId="3FC6FB7E" w14:textId="77777777" w:rsidR="00157AAA" w:rsidRDefault="006C1BE5">
            <w:pPr>
              <w:pStyle w:val="BodyTextIndent"/>
              <w:spacing w:before="120" w:after="120"/>
              <w:ind w:left="34" w:right="289" w:hanging="34"/>
              <w:rPr>
                <w:iCs/>
              </w:rPr>
            </w:pPr>
            <w:r>
              <w:rPr>
                <w:iCs/>
              </w:rPr>
              <w:t xml:space="preserve">If your request for a debriefing is received within the 3 Business Days deadline, we will 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14:paraId="4FAAEC8F" w14:textId="77777777" w:rsidR="00157AAA" w:rsidRDefault="006C1BE5">
            <w:pPr>
              <w:pStyle w:val="BodyTextIndent"/>
              <w:spacing w:before="120" w:after="120"/>
              <w:ind w:left="34" w:right="289" w:hanging="34"/>
              <w:rPr>
                <w:iCs/>
              </w:rPr>
            </w:pPr>
            <w:r>
              <w:rPr>
                <w:iCs/>
              </w:rPr>
              <w:t>The debriefing may be in writing, by phone, video conference call or in person. We shall promptly advise you in writing how the debriefing will take place and confirm the date and time.</w:t>
            </w:r>
          </w:p>
          <w:p w14:paraId="6B421758" w14:textId="77777777" w:rsidR="00157AAA" w:rsidRDefault="006C1BE5">
            <w:pPr>
              <w:pStyle w:val="BodyTextIndent"/>
              <w:spacing w:before="120" w:after="120"/>
              <w:ind w:left="34" w:right="289" w:hanging="34"/>
              <w:rPr>
                <w:iCs/>
              </w:rPr>
            </w:pPr>
            <w:r>
              <w:rPr>
                <w:iCs/>
              </w:rPr>
              <w:t>If the deadline to request a debriefing has expired, you may still request a debriefing. In this case, we will provide the debriefing as soon as practicable, and normally no later than fifteen (15) Business Days from the date of publication of the Contract Award Notice.</w:t>
            </w:r>
          </w:p>
        </w:tc>
      </w:tr>
    </w:tbl>
    <w:p w14:paraId="7CF59E03" w14:textId="77777777" w:rsidR="00157AAA" w:rsidRDefault="006C1BE5" w:rsidP="00D530D5">
      <w:pPr>
        <w:pStyle w:val="BodyTextIndent"/>
        <w:numPr>
          <w:ilvl w:val="0"/>
          <w:numId w:val="45"/>
        </w:numPr>
        <w:spacing w:before="240" w:after="120"/>
        <w:ind w:left="284" w:right="289" w:hanging="284"/>
        <w:rPr>
          <w:b/>
          <w:iCs/>
        </w:rPr>
      </w:pPr>
      <w:r>
        <w:rPr>
          <w:b/>
          <w:iCs/>
        </w:rPr>
        <w:lastRenderedPageBreak/>
        <w:t xml:space="preserve">How to make a complaint </w:t>
      </w:r>
    </w:p>
    <w:tbl>
      <w:tblPr>
        <w:tblW w:w="0" w:type="auto"/>
        <w:tblLook w:val="04A0" w:firstRow="1" w:lastRow="0" w:firstColumn="1" w:lastColumn="0" w:noHBand="0" w:noVBand="1"/>
      </w:tblPr>
      <w:tblGrid>
        <w:gridCol w:w="9016"/>
      </w:tblGrid>
      <w:tr w:rsidR="00157AAA" w14:paraId="08F0A697" w14:textId="77777777">
        <w:tc>
          <w:tcPr>
            <w:tcW w:w="9016" w:type="dxa"/>
          </w:tcPr>
          <w:p w14:paraId="75BBC356" w14:textId="77777777" w:rsidR="00157AAA" w:rsidRDefault="006C1BE5">
            <w:pPr>
              <w:pStyle w:val="BodyTextIndent"/>
              <w:spacing w:before="120" w:after="120"/>
              <w:ind w:left="0" w:right="289"/>
              <w:rPr>
                <w:iCs/>
              </w:rPr>
            </w:pPr>
            <w:r>
              <w:rPr>
                <w:iCs/>
              </w:rPr>
              <w:t xml:space="preserve">DEADLINE: The deadline for submitting a Procurement-related Complaint challenging the decision to award the contract expires </w:t>
            </w:r>
            <w:proofErr w:type="gramStart"/>
            <w:r>
              <w:rPr>
                <w:iCs/>
              </w:rPr>
              <w:t>on</w:t>
            </w:r>
            <w:proofErr w:type="gramEnd"/>
            <w:r>
              <w:rPr>
                <w:iCs/>
              </w:rPr>
              <w:t xml:space="preserve"> midnight, </w:t>
            </w:r>
            <w:r>
              <w:rPr>
                <w:i/>
                <w:iCs/>
              </w:rPr>
              <w:t>[insert date]</w:t>
            </w:r>
            <w:r>
              <w:rPr>
                <w:iCs/>
              </w:rPr>
              <w:t xml:space="preserve"> (local time).</w:t>
            </w:r>
          </w:p>
          <w:p w14:paraId="3F41A9F6" w14:textId="77777777" w:rsidR="00157AAA" w:rsidRDefault="006C1BE5">
            <w:pPr>
              <w:spacing w:before="120"/>
              <w:rPr>
                <w:color w:val="000000" w:themeColor="text1"/>
              </w:rPr>
            </w:pPr>
            <w:r>
              <w:rPr>
                <w:color w:val="000000" w:themeColor="text1"/>
              </w:rPr>
              <w:t>Provide the contract name, reference number, name of the Bidder, contact details; and address the Procurement-related Complaint as follows:</w:t>
            </w:r>
          </w:p>
          <w:p w14:paraId="5522159D" w14:textId="77777777" w:rsidR="00157AAA" w:rsidRDefault="006C1BE5">
            <w:pPr>
              <w:spacing w:before="120"/>
              <w:ind w:left="341"/>
              <w:rPr>
                <w:color w:val="000000" w:themeColor="text1"/>
              </w:rPr>
            </w:pPr>
            <w:r>
              <w:rPr>
                <w:color w:val="000000" w:themeColor="text1"/>
              </w:rPr>
              <w:t>Attention: [</w:t>
            </w:r>
            <w:r>
              <w:rPr>
                <w:i/>
                <w:color w:val="000000" w:themeColor="text1"/>
              </w:rPr>
              <w:t>insert full name of person, if applicable</w:t>
            </w:r>
            <w:r>
              <w:rPr>
                <w:color w:val="000000" w:themeColor="text1"/>
              </w:rPr>
              <w:t>]</w:t>
            </w:r>
          </w:p>
          <w:p w14:paraId="17A3FA4F" w14:textId="77777777" w:rsidR="00157AAA" w:rsidRDefault="006C1BE5">
            <w:pPr>
              <w:spacing w:before="120"/>
              <w:ind w:left="341"/>
              <w:rPr>
                <w:color w:val="000000" w:themeColor="text1"/>
              </w:rPr>
            </w:pPr>
            <w:r>
              <w:rPr>
                <w:color w:val="000000" w:themeColor="text1"/>
              </w:rPr>
              <w:t>Title/position: [</w:t>
            </w:r>
            <w:r>
              <w:rPr>
                <w:i/>
                <w:color w:val="000000" w:themeColor="text1"/>
              </w:rPr>
              <w:t>insert title/position</w:t>
            </w:r>
            <w:r>
              <w:rPr>
                <w:color w:val="000000" w:themeColor="text1"/>
              </w:rPr>
              <w:t>]</w:t>
            </w:r>
          </w:p>
          <w:p w14:paraId="08C66D1D" w14:textId="77777777" w:rsidR="00157AAA" w:rsidRDefault="006C1BE5">
            <w:pPr>
              <w:spacing w:before="120"/>
              <w:ind w:left="341"/>
              <w:rPr>
                <w:color w:val="000000" w:themeColor="text1"/>
              </w:rPr>
            </w:pPr>
            <w:r>
              <w:rPr>
                <w:color w:val="000000" w:themeColor="text1"/>
              </w:rPr>
              <w:t>Agency: [</w:t>
            </w:r>
            <w:r>
              <w:rPr>
                <w:i/>
                <w:color w:val="000000" w:themeColor="text1"/>
              </w:rPr>
              <w:t>insert name of Purchaser</w:t>
            </w:r>
            <w:r>
              <w:rPr>
                <w:color w:val="000000" w:themeColor="text1"/>
              </w:rPr>
              <w:t>]</w:t>
            </w:r>
          </w:p>
          <w:p w14:paraId="3F549ECB" w14:textId="77777777" w:rsidR="00157AAA" w:rsidRDefault="006C1BE5">
            <w:pPr>
              <w:spacing w:before="120"/>
              <w:ind w:left="341"/>
              <w:rPr>
                <w:color w:val="000000" w:themeColor="text1"/>
              </w:rPr>
            </w:pPr>
            <w:r>
              <w:rPr>
                <w:color w:val="000000" w:themeColor="text1"/>
              </w:rPr>
              <w:t>Email address: [</w:t>
            </w:r>
            <w:r>
              <w:rPr>
                <w:i/>
                <w:color w:val="000000" w:themeColor="text1"/>
              </w:rPr>
              <w:t>insert email address</w:t>
            </w:r>
            <w:r>
              <w:rPr>
                <w:color w:val="000000" w:themeColor="text1"/>
              </w:rPr>
              <w:t>]</w:t>
            </w:r>
          </w:p>
          <w:p w14:paraId="2C5CA07F" w14:textId="77777777" w:rsidR="00157AAA" w:rsidRDefault="006C1BE5">
            <w:pPr>
              <w:spacing w:before="120"/>
              <w:ind w:left="341"/>
              <w:rPr>
                <w:i/>
                <w:color w:val="000000" w:themeColor="text1"/>
              </w:rPr>
            </w:pPr>
            <w:r>
              <w:rPr>
                <w:color w:val="000000" w:themeColor="text1"/>
              </w:rPr>
              <w:t>Fax number: [</w:t>
            </w:r>
            <w:r>
              <w:rPr>
                <w:i/>
                <w:color w:val="000000" w:themeColor="text1"/>
              </w:rPr>
              <w:t>insert fax number or state “not applicable”</w:t>
            </w:r>
            <w:r>
              <w:rPr>
                <w:color w:val="000000" w:themeColor="text1"/>
              </w:rPr>
              <w:t xml:space="preserve">] </w:t>
            </w:r>
          </w:p>
          <w:p w14:paraId="7885FE4D" w14:textId="77777777" w:rsidR="00157AAA" w:rsidRDefault="006C1BE5">
            <w:pPr>
              <w:pStyle w:val="BodyTextIndent"/>
              <w:spacing w:before="120" w:after="120"/>
              <w:ind w:left="0" w:right="289"/>
              <w:rPr>
                <w:iCs/>
              </w:rPr>
            </w:pPr>
            <w:r>
              <w:rPr>
                <w:iCs/>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14:paraId="4779CBD4" w14:textId="77777777" w:rsidR="00157AAA" w:rsidRDefault="006C1BE5">
            <w:pPr>
              <w:pStyle w:val="BodyTextIndent"/>
              <w:spacing w:before="120" w:after="120"/>
              <w:ind w:left="0" w:right="289"/>
              <w:rPr>
                <w:iCs/>
              </w:rPr>
            </w:pPr>
            <w:r>
              <w:rPr>
                <w:iCs/>
              </w:rPr>
              <w:t>For more information  see the “</w:t>
            </w:r>
            <w:hyperlink r:id="rId157" w:tooltip="https://policies.worldbank.org/sites/ppf3/PPFDocuments/Forms/DispPage.aspx?docid=4005" w:history="1">
              <w:r>
                <w:rPr>
                  <w:rStyle w:val="Hyperlink"/>
                </w:rPr>
                <w:t>Procurement Regulations for IPF Borrowers</w:t>
              </w:r>
            </w:hyperlink>
            <w:r>
              <w:rPr>
                <w:rStyle w:val="Hyperlink"/>
              </w:rPr>
              <w:t xml:space="preserve"> (Procurement Regulations) </w:t>
            </w:r>
            <w:r>
              <w:rPr>
                <w:iCs/>
              </w:rPr>
              <w:t>(Annex III).” You should read these provisions before preparing and submitting your complaint. In addition, the World Bank’s Guidance “</w:t>
            </w:r>
            <w:hyperlink r:id="rId158" w:tooltip="file:///F:\2.%20%20World%20Bank%202017\17.%20Tools%20and%20Templates\NIA\get%20the%20address%20once%20it%20is%20published" w:history="1">
              <w:r>
                <w:rPr>
                  <w:rStyle w:val="Hyperlink"/>
                </w:rPr>
                <w:t>How to make a Procurement-related Complaint</w:t>
              </w:r>
            </w:hyperlink>
            <w:r>
              <w:rPr>
                <w:iCs/>
              </w:rPr>
              <w:t>” provides a useful explanation of the process, as well as a sample letter of complaint.</w:t>
            </w:r>
          </w:p>
          <w:p w14:paraId="268D6799" w14:textId="77777777" w:rsidR="00157AAA" w:rsidRDefault="006C1BE5">
            <w:pPr>
              <w:pStyle w:val="BodyTextIndent"/>
              <w:spacing w:before="120" w:after="120"/>
              <w:ind w:left="0" w:right="289"/>
              <w:rPr>
                <w:iCs/>
              </w:rPr>
            </w:pPr>
            <w:r>
              <w:rPr>
                <w:iCs/>
              </w:rPr>
              <w:lastRenderedPageBreak/>
              <w:t>In summary, there are four essential requirements:</w:t>
            </w:r>
          </w:p>
          <w:p w14:paraId="19CC1B6C" w14:textId="77777777" w:rsidR="00157AAA" w:rsidRDefault="006C1BE5" w:rsidP="00D530D5">
            <w:pPr>
              <w:pStyle w:val="BodyTextIndent"/>
              <w:numPr>
                <w:ilvl w:val="0"/>
                <w:numId w:val="46"/>
              </w:numPr>
              <w:spacing w:before="120" w:after="120"/>
              <w:ind w:right="289" w:firstLine="0"/>
              <w:rPr>
                <w:iCs/>
              </w:rPr>
            </w:pPr>
            <w:r>
              <w:rPr>
                <w:iCs/>
              </w:rPr>
              <w:t xml:space="preserve">You must be an ‘interested party’. In this case, that means a Bidder who submitted a Bid in this </w:t>
            </w:r>
            <w:proofErr w:type="gramStart"/>
            <w:r>
              <w:rPr>
                <w:iCs/>
              </w:rPr>
              <w:t>procurement, and</w:t>
            </w:r>
            <w:proofErr w:type="gramEnd"/>
            <w:r>
              <w:rPr>
                <w:iCs/>
              </w:rPr>
              <w:t xml:space="preserve"> is the recipient of a Notification of Intention to Award.</w:t>
            </w:r>
          </w:p>
          <w:p w14:paraId="4644B29C" w14:textId="77777777" w:rsidR="00157AAA" w:rsidRDefault="006C1BE5" w:rsidP="00D530D5">
            <w:pPr>
              <w:pStyle w:val="BodyTextIndent"/>
              <w:numPr>
                <w:ilvl w:val="0"/>
                <w:numId w:val="46"/>
              </w:numPr>
              <w:spacing w:before="120" w:after="120"/>
              <w:ind w:right="289"/>
              <w:rPr>
                <w:iCs/>
              </w:rPr>
            </w:pPr>
            <w:r>
              <w:rPr>
                <w:iCs/>
              </w:rPr>
              <w:t xml:space="preserve">The complaint can only challenge the decision to award the contract. </w:t>
            </w:r>
          </w:p>
          <w:p w14:paraId="5484E33C" w14:textId="77777777" w:rsidR="00157AAA" w:rsidRDefault="006C1BE5" w:rsidP="00D530D5">
            <w:pPr>
              <w:pStyle w:val="BodyTextIndent"/>
              <w:numPr>
                <w:ilvl w:val="0"/>
                <w:numId w:val="46"/>
              </w:numPr>
              <w:spacing w:before="120" w:after="120"/>
              <w:ind w:right="289"/>
              <w:rPr>
                <w:iCs/>
              </w:rPr>
            </w:pPr>
            <w:r>
              <w:rPr>
                <w:iCs/>
              </w:rPr>
              <w:t>You must submit the complaint within the deadline stated above.</w:t>
            </w:r>
          </w:p>
          <w:p w14:paraId="090E6977" w14:textId="77777777" w:rsidR="00157AAA" w:rsidRDefault="006C1BE5" w:rsidP="00D530D5">
            <w:pPr>
              <w:pStyle w:val="BodyTextIndent"/>
              <w:numPr>
                <w:ilvl w:val="0"/>
                <w:numId w:val="46"/>
              </w:numPr>
              <w:spacing w:before="120" w:after="120"/>
              <w:ind w:right="289"/>
              <w:rPr>
                <w:iCs/>
              </w:rPr>
            </w:pPr>
            <w:r>
              <w:rPr>
                <w:iCs/>
              </w:rPr>
              <w:t xml:space="preserve">You must include, in your complaint, </w:t>
            </w:r>
            <w:proofErr w:type="gramStart"/>
            <w:r>
              <w:rPr>
                <w:iCs/>
              </w:rPr>
              <w:t>all of</w:t>
            </w:r>
            <w:proofErr w:type="gramEnd"/>
            <w:r>
              <w:rPr>
                <w:iCs/>
              </w:rPr>
              <w:t xml:space="preserve"> the information required by the Procurement Regulations (as described in Annex III).</w:t>
            </w:r>
          </w:p>
        </w:tc>
      </w:tr>
    </w:tbl>
    <w:p w14:paraId="1333B6B7" w14:textId="77777777" w:rsidR="00157AAA" w:rsidRDefault="006C1BE5" w:rsidP="00D530D5">
      <w:pPr>
        <w:pStyle w:val="BodyTextIndent"/>
        <w:numPr>
          <w:ilvl w:val="0"/>
          <w:numId w:val="45"/>
        </w:numPr>
        <w:spacing w:before="240" w:after="120"/>
        <w:ind w:left="284" w:right="289" w:hanging="284"/>
        <w:rPr>
          <w:b/>
          <w:iCs/>
        </w:rPr>
      </w:pPr>
      <w:r>
        <w:rPr>
          <w:b/>
          <w:iCs/>
        </w:rPr>
        <w:lastRenderedPageBreak/>
        <w:t xml:space="preserve">Standstill Period </w:t>
      </w:r>
    </w:p>
    <w:tbl>
      <w:tblPr>
        <w:tblW w:w="0" w:type="auto"/>
        <w:tblLook w:val="04A0" w:firstRow="1" w:lastRow="0" w:firstColumn="1" w:lastColumn="0" w:noHBand="0" w:noVBand="1"/>
      </w:tblPr>
      <w:tblGrid>
        <w:gridCol w:w="9016"/>
      </w:tblGrid>
      <w:tr w:rsidR="00157AAA" w14:paraId="0BD0DD76" w14:textId="77777777">
        <w:tc>
          <w:tcPr>
            <w:tcW w:w="9016" w:type="dxa"/>
          </w:tcPr>
          <w:p w14:paraId="41F54560" w14:textId="77777777" w:rsidR="00157AAA" w:rsidRDefault="006C1BE5">
            <w:pPr>
              <w:pStyle w:val="BodyTextIndent"/>
              <w:spacing w:before="120" w:after="120"/>
              <w:ind w:left="34" w:right="289" w:firstLine="37"/>
              <w:rPr>
                <w:iCs/>
              </w:rPr>
            </w:pPr>
            <w:r>
              <w:rPr>
                <w:iCs/>
              </w:rPr>
              <w:t xml:space="preserve">DEADLINE: The Standstill Period is due to end at midnight on </w:t>
            </w:r>
            <w:r>
              <w:rPr>
                <w:i/>
                <w:iCs/>
              </w:rPr>
              <w:t>[insert date]</w:t>
            </w:r>
            <w:r>
              <w:rPr>
                <w:iCs/>
              </w:rPr>
              <w:t xml:space="preserve"> (local time).</w:t>
            </w:r>
          </w:p>
          <w:p w14:paraId="797344DF" w14:textId="77777777" w:rsidR="00157AAA" w:rsidRDefault="006C1BE5">
            <w:pPr>
              <w:pStyle w:val="BodyTextIndent"/>
              <w:spacing w:before="120" w:after="120"/>
              <w:ind w:left="34" w:right="289" w:firstLine="37"/>
              <w:rPr>
                <w:iCs/>
              </w:rPr>
            </w:pPr>
            <w:r>
              <w:rPr>
                <w:iCs/>
              </w:rPr>
              <w:t>The Standstill Period lasts ten (10) Business Days after the date of transmission of this Notification of Intention to Award.</w:t>
            </w:r>
          </w:p>
          <w:p w14:paraId="56260669" w14:textId="77777777" w:rsidR="00157AAA" w:rsidRDefault="006C1BE5">
            <w:pPr>
              <w:pStyle w:val="BodyTextIndent"/>
              <w:spacing w:before="120" w:after="120"/>
              <w:ind w:left="34" w:right="289" w:firstLine="37"/>
              <w:rPr>
                <w:iCs/>
              </w:rPr>
            </w:pPr>
            <w:r>
              <w:rPr>
                <w:iCs/>
              </w:rPr>
              <w:t xml:space="preserve">The Standstill Period may be extended. This may happen where we are unable to provide a debriefing within the five (5) Business Day deadline. If this </w:t>
            </w:r>
            <w:proofErr w:type="gramStart"/>
            <w:r>
              <w:rPr>
                <w:iCs/>
              </w:rPr>
              <w:t>happens</w:t>
            </w:r>
            <w:proofErr w:type="gramEnd"/>
            <w:r>
              <w:rPr>
                <w:iCs/>
              </w:rPr>
              <w:t xml:space="preserve"> we will notify you of the extension. </w:t>
            </w:r>
          </w:p>
        </w:tc>
      </w:tr>
    </w:tbl>
    <w:p w14:paraId="66CCC03F" w14:textId="77777777" w:rsidR="00157AAA" w:rsidRDefault="006C1BE5">
      <w:pPr>
        <w:pStyle w:val="BodyTextIndent"/>
        <w:spacing w:before="240" w:after="240"/>
        <w:ind w:left="0" w:right="288"/>
        <w:rPr>
          <w:iCs/>
        </w:rPr>
      </w:pPr>
      <w:r>
        <w:rPr>
          <w:iCs/>
        </w:rPr>
        <w:t xml:space="preserve">If you have any questions regarding this </w:t>
      </w:r>
      <w:proofErr w:type="gramStart"/>
      <w:r>
        <w:rPr>
          <w:iCs/>
        </w:rPr>
        <w:t>Notification</w:t>
      </w:r>
      <w:proofErr w:type="gramEnd"/>
      <w:r>
        <w:rPr>
          <w:iCs/>
        </w:rPr>
        <w:t xml:space="preserve"> please do not hesitate to contact us.</w:t>
      </w:r>
    </w:p>
    <w:p w14:paraId="57F81C8F" w14:textId="77777777" w:rsidR="00157AAA" w:rsidRDefault="006C1BE5">
      <w:pPr>
        <w:pStyle w:val="BodyTextIndent"/>
        <w:spacing w:before="240" w:after="240"/>
        <w:ind w:left="0" w:right="288"/>
        <w:rPr>
          <w:iCs/>
        </w:rPr>
      </w:pPr>
      <w:r>
        <w:rPr>
          <w:iCs/>
        </w:rPr>
        <w:t>On behalf of the Purchaser:</w:t>
      </w:r>
    </w:p>
    <w:p w14:paraId="646C7476" w14:textId="77777777" w:rsidR="00157AAA" w:rsidRDefault="006C1BE5">
      <w:pPr>
        <w:tabs>
          <w:tab w:val="left" w:pos="9000"/>
        </w:tabs>
        <w:spacing w:before="240" w:after="240"/>
        <w:ind w:left="1560" w:hanging="1200"/>
      </w:pPr>
      <w:r>
        <w:rPr>
          <w:b/>
        </w:rPr>
        <w:t>Signature:</w:t>
      </w:r>
      <w:r>
        <w:t xml:space="preserve"> ______________________________________________</w:t>
      </w:r>
    </w:p>
    <w:p w14:paraId="2FBCBCE4" w14:textId="77777777" w:rsidR="00157AAA" w:rsidRDefault="006C1BE5">
      <w:pPr>
        <w:spacing w:before="100" w:beforeAutospacing="1" w:after="100" w:afterAutospacing="1"/>
        <w:ind w:left="341"/>
        <w:rPr>
          <w:color w:val="000000" w:themeColor="text1"/>
        </w:rPr>
      </w:pPr>
      <w:r>
        <w:rPr>
          <w:color w:val="000000" w:themeColor="text1"/>
        </w:rPr>
        <w:t>Title/position: [</w:t>
      </w:r>
      <w:r>
        <w:rPr>
          <w:i/>
          <w:color w:val="000000" w:themeColor="text1"/>
        </w:rPr>
        <w:t xml:space="preserve">insert </w:t>
      </w:r>
      <w:r>
        <w:rPr>
          <w:b/>
          <w:i/>
          <w:color w:val="000000" w:themeColor="text1"/>
        </w:rPr>
        <w:t>title/position</w:t>
      </w:r>
      <w:r>
        <w:rPr>
          <w:color w:val="000000" w:themeColor="text1"/>
        </w:rPr>
        <w:t>]</w:t>
      </w:r>
    </w:p>
    <w:p w14:paraId="76A7517D" w14:textId="77777777" w:rsidR="00157AAA" w:rsidRDefault="006C1BE5">
      <w:pPr>
        <w:spacing w:before="100" w:beforeAutospacing="1" w:after="100" w:afterAutospacing="1"/>
        <w:ind w:left="341"/>
        <w:rPr>
          <w:color w:val="000000" w:themeColor="text1"/>
        </w:rPr>
      </w:pPr>
      <w:r>
        <w:rPr>
          <w:color w:val="000000" w:themeColor="text1"/>
        </w:rPr>
        <w:t>Agency: [</w:t>
      </w:r>
      <w:r>
        <w:rPr>
          <w:i/>
          <w:color w:val="000000" w:themeColor="text1"/>
        </w:rPr>
        <w:t xml:space="preserve">insert </w:t>
      </w:r>
      <w:r>
        <w:rPr>
          <w:b/>
          <w:i/>
          <w:color w:val="000000" w:themeColor="text1"/>
        </w:rPr>
        <w:t>name of Purchaser</w:t>
      </w:r>
      <w:r>
        <w:rPr>
          <w:color w:val="000000" w:themeColor="text1"/>
        </w:rPr>
        <w:t>]</w:t>
      </w:r>
    </w:p>
    <w:p w14:paraId="0BEE2060" w14:textId="77777777" w:rsidR="00157AAA" w:rsidRDefault="006C1BE5">
      <w:pPr>
        <w:spacing w:before="100" w:beforeAutospacing="1" w:after="100" w:afterAutospacing="1"/>
        <w:ind w:left="341"/>
        <w:rPr>
          <w:color w:val="000000" w:themeColor="text1"/>
        </w:rPr>
      </w:pPr>
      <w:r>
        <w:rPr>
          <w:color w:val="000000" w:themeColor="text1"/>
        </w:rPr>
        <w:t>Email address: [</w:t>
      </w:r>
      <w:r>
        <w:rPr>
          <w:i/>
          <w:color w:val="000000" w:themeColor="text1"/>
        </w:rPr>
        <w:t xml:space="preserve">insert </w:t>
      </w:r>
      <w:r>
        <w:rPr>
          <w:b/>
          <w:i/>
          <w:color w:val="000000" w:themeColor="text1"/>
        </w:rPr>
        <w:t>email address</w:t>
      </w:r>
      <w:r>
        <w:rPr>
          <w:color w:val="000000" w:themeColor="text1"/>
        </w:rPr>
        <w:t>]</w:t>
      </w:r>
    </w:p>
    <w:p w14:paraId="495CAF02" w14:textId="77777777" w:rsidR="00157AAA" w:rsidRDefault="006C1BE5">
      <w:pPr>
        <w:tabs>
          <w:tab w:val="left" w:pos="9000"/>
        </w:tabs>
        <w:spacing w:before="100" w:beforeAutospacing="1" w:after="100" w:afterAutospacing="1"/>
        <w:ind w:left="1560" w:hanging="1200"/>
        <w:rPr>
          <w:b/>
        </w:rPr>
      </w:pPr>
      <w:r>
        <w:rPr>
          <w:color w:val="000000" w:themeColor="text1"/>
        </w:rPr>
        <w:t xml:space="preserve">Telephone number: [insert </w:t>
      </w:r>
      <w:r>
        <w:rPr>
          <w:b/>
          <w:i/>
          <w:color w:val="000000" w:themeColor="text1"/>
        </w:rPr>
        <w:t>telephone number</w:t>
      </w:r>
      <w:r>
        <w:rPr>
          <w:i/>
          <w:color w:val="000000" w:themeColor="text1"/>
        </w:rPr>
        <w:t>]</w:t>
      </w:r>
    </w:p>
    <w:p w14:paraId="03B2B90C" w14:textId="77777777" w:rsidR="00157AAA" w:rsidRDefault="006C1BE5">
      <w:pPr>
        <w:jc w:val="left"/>
        <w:rPr>
          <w:b/>
          <w:sz w:val="36"/>
        </w:rPr>
      </w:pPr>
      <w:r>
        <w:br w:type="page" w:clear="all"/>
      </w:r>
    </w:p>
    <w:p w14:paraId="7A71A240" w14:textId="77777777" w:rsidR="00157AAA" w:rsidRDefault="006C1BE5">
      <w:pPr>
        <w:pStyle w:val="Head81"/>
      </w:pPr>
      <w:bookmarkStart w:id="1020" w:name="_Toc493757277"/>
      <w:bookmarkStart w:id="1021" w:name="_Toc73977975"/>
      <w:r>
        <w:lastRenderedPageBreak/>
        <w:t>Beneficial Ownership Disclosure Form</w:t>
      </w:r>
      <w:bookmarkEnd w:id="1020"/>
      <w:bookmarkEnd w:id="1021"/>
      <w:r>
        <w:t xml:space="preserve"> </w:t>
      </w:r>
    </w:p>
    <w:p w14:paraId="746A677C" w14:textId="057B40C1" w:rsidR="00157AAA" w:rsidRDefault="00E3729B">
      <w:bookmarkStart w:id="1022" w:name="_Toc494182759"/>
      <w:r>
        <w:rPr>
          <w:noProof/>
        </w:rPr>
        <mc:AlternateContent>
          <mc:Choice Requires="wps">
            <w:drawing>
              <wp:anchor distT="0" distB="0" distL="114300" distR="114300" simplePos="0" relativeHeight="251658240" behindDoc="0" locked="0" layoutInCell="1" allowOverlap="1" wp14:anchorId="740787F2" wp14:editId="6901CF51">
                <wp:simplePos x="0" y="0"/>
                <wp:positionH relativeFrom="column">
                  <wp:posOffset>-60960</wp:posOffset>
                </wp:positionH>
                <wp:positionV relativeFrom="paragraph">
                  <wp:posOffset>279400</wp:posOffset>
                </wp:positionV>
                <wp:extent cx="5749290" cy="2842260"/>
                <wp:effectExtent l="0" t="0" r="3810" b="0"/>
                <wp:wrapTopAndBottom/>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49290" cy="2842260"/>
                        </a:xfrm>
                        <a:prstGeom prst="rect">
                          <a:avLst/>
                        </a:prstGeom>
                        <a:solidFill>
                          <a:schemeClr val="lt1"/>
                        </a:solidFill>
                        <a:ln w="6350">
                          <a:solidFill>
                            <a:prstClr val="black"/>
                          </a:solidFill>
                        </a:ln>
                      </wps:spPr>
                      <wps:txbx>
                        <w:txbxContent>
                          <w:p w14:paraId="5D6A1B8C" w14:textId="77777777" w:rsidR="0026442C" w:rsidRDefault="0026442C">
                            <w:pPr>
                              <w:spacing w:after="0"/>
                              <w:rPr>
                                <w:i/>
                              </w:rPr>
                            </w:pPr>
                            <w:r>
                              <w:rPr>
                                <w:i/>
                              </w:rPr>
                              <w:t>INSTRUCTIONS TO BIDDERS: DELETE THIS BOX ONCE YOU HAVE COMPLETED THE FORM</w:t>
                            </w:r>
                          </w:p>
                          <w:p w14:paraId="4AAFC0C5" w14:textId="77777777" w:rsidR="0026442C" w:rsidRDefault="0026442C">
                            <w:pPr>
                              <w:spacing w:after="0"/>
                              <w:rPr>
                                <w:i/>
                              </w:rPr>
                            </w:pPr>
                          </w:p>
                          <w:p w14:paraId="53832985" w14:textId="77777777" w:rsidR="0026442C" w:rsidRDefault="0026442C">
                            <w:pPr>
                              <w:spacing w:after="0"/>
                              <w:rPr>
                                <w:i/>
                              </w:rPr>
                            </w:pPr>
                            <w:r>
                              <w:rPr>
                                <w:i/>
                              </w:rPr>
                              <w:t xml:space="preserve">This Beneficial Ownership Disclosure Form (“Form”) is to be completed by the successful Bidder.  In case of joint venture, the Bidder must submit a separate Form for each member.  The beneficial ownership information to be submitted in this Form shall be current as of the date of its submission. </w:t>
                            </w:r>
                          </w:p>
                          <w:p w14:paraId="69DCB8FE" w14:textId="77777777" w:rsidR="0026442C" w:rsidRDefault="0026442C">
                            <w:pPr>
                              <w:spacing w:after="0"/>
                              <w:rPr>
                                <w:i/>
                              </w:rPr>
                            </w:pPr>
                          </w:p>
                          <w:p w14:paraId="53B1D4C5" w14:textId="77777777" w:rsidR="0026442C" w:rsidRDefault="0026442C">
                            <w:pPr>
                              <w:spacing w:after="0"/>
                              <w:rPr>
                                <w:i/>
                              </w:rPr>
                            </w:pPr>
                            <w:r>
                              <w:rPr>
                                <w:i/>
                              </w:rPr>
                              <w:t>For the purposes of this Form, a Beneficial Owner of a Bidder is any natural person who ultimately owns or controls the Bidder by meeting one or more of the following conditions:</w:t>
                            </w:r>
                          </w:p>
                          <w:p w14:paraId="683C6401" w14:textId="77777777" w:rsidR="0026442C" w:rsidRDefault="0026442C">
                            <w:pPr>
                              <w:spacing w:after="0"/>
                              <w:rPr>
                                <w:i/>
                              </w:rPr>
                            </w:pPr>
                          </w:p>
                          <w:p w14:paraId="6FD55D6A" w14:textId="77777777" w:rsidR="0026442C" w:rsidRDefault="0026442C" w:rsidP="00D530D5">
                            <w:pPr>
                              <w:pStyle w:val="ListParagraph"/>
                              <w:numPr>
                                <w:ilvl w:val="0"/>
                                <w:numId w:val="49"/>
                              </w:numPr>
                              <w:spacing w:after="0"/>
                              <w:jc w:val="left"/>
                              <w:rPr>
                                <w:i/>
                              </w:rPr>
                            </w:pPr>
                            <w:r>
                              <w:rPr>
                                <w:i/>
                              </w:rPr>
                              <w:t>directly or indirectly holding 25% or more of the shares</w:t>
                            </w:r>
                          </w:p>
                          <w:p w14:paraId="676DB0A7" w14:textId="77777777" w:rsidR="0026442C" w:rsidRDefault="0026442C" w:rsidP="00D530D5">
                            <w:pPr>
                              <w:pStyle w:val="ListParagraph"/>
                              <w:numPr>
                                <w:ilvl w:val="0"/>
                                <w:numId w:val="49"/>
                              </w:numPr>
                              <w:spacing w:after="0"/>
                              <w:jc w:val="left"/>
                              <w:rPr>
                                <w:i/>
                              </w:rPr>
                            </w:pPr>
                            <w:r>
                              <w:rPr>
                                <w:i/>
                              </w:rPr>
                              <w:t>directly or indirectly holding 25% or more of the voting rights</w:t>
                            </w:r>
                          </w:p>
                          <w:p w14:paraId="761EEE53" w14:textId="77777777" w:rsidR="0026442C" w:rsidRDefault="0026442C" w:rsidP="00D530D5">
                            <w:pPr>
                              <w:pStyle w:val="ListParagraph"/>
                              <w:numPr>
                                <w:ilvl w:val="0"/>
                                <w:numId w:val="49"/>
                              </w:numPr>
                              <w:spacing w:after="0"/>
                              <w:jc w:val="left"/>
                              <w:rPr>
                                <w:i/>
                              </w:rPr>
                            </w:pPr>
                            <w:r>
                              <w:rPr>
                                <w:i/>
                              </w:rPr>
                              <w:t>directly or indirectly having the right to appoint a majority of the board of directors or equivalent governing body of the Bidder</w:t>
                            </w:r>
                          </w:p>
                          <w:p w14:paraId="1BA9E96E" w14:textId="77777777" w:rsidR="0026442C" w:rsidRDefault="0026442C">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0787F2" id="Text Box 5" o:spid="_x0000_s1028" type="#_x0000_t202" style="position:absolute;left:0;text-align:left;margin-left:-4.8pt;margin-top:22pt;width:452.7pt;height:223.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" fillcolor="white [3201]" strokeweight=".5pt">
                <v:path arrowok="t"/>
                <v:textbox>
                  <w:txbxContent>
                    <w:p w14:paraId="5D6A1B8C" w14:textId="77777777" w:rsidR="0026442C" w:rsidRDefault="0026442C">
                      <w:pPr>
                        <w:spacing w:after="0"/>
                        <w:rPr>
                          <w:i/>
                        </w:rPr>
                      </w:pPr>
                      <w:r>
                        <w:rPr>
                          <w:i/>
                        </w:rPr>
                        <w:t>INSTRUCTIONS TO BIDDERS: DELETE THIS BOX ONCE YOU HAVE COMPLETED THE FORM</w:t>
                      </w:r>
                    </w:p>
                    <w:p w14:paraId="4AAFC0C5" w14:textId="77777777" w:rsidR="0026442C" w:rsidRDefault="0026442C">
                      <w:pPr>
                        <w:spacing w:after="0"/>
                        <w:rPr>
                          <w:i/>
                        </w:rPr>
                      </w:pPr>
                    </w:p>
                    <w:p w14:paraId="53832985" w14:textId="77777777" w:rsidR="0026442C" w:rsidRDefault="0026442C">
                      <w:pPr>
                        <w:spacing w:after="0"/>
                        <w:rPr>
                          <w:i/>
                        </w:rPr>
                      </w:pPr>
                      <w:r>
                        <w:rPr>
                          <w:i/>
                        </w:rPr>
                        <w:t xml:space="preserve">This Beneficial Ownership Disclosure Form (“Form”) is to be completed by the successful Bidder.  In case of joint venture, the Bidder must submit a separate Form for each member.  The beneficial ownership information to be submitted in this Form shall be current as of the date of its submission. </w:t>
                      </w:r>
                    </w:p>
                    <w:p w14:paraId="69DCB8FE" w14:textId="77777777" w:rsidR="0026442C" w:rsidRDefault="0026442C">
                      <w:pPr>
                        <w:spacing w:after="0"/>
                        <w:rPr>
                          <w:i/>
                        </w:rPr>
                      </w:pPr>
                    </w:p>
                    <w:p w14:paraId="53B1D4C5" w14:textId="77777777" w:rsidR="0026442C" w:rsidRDefault="0026442C">
                      <w:pPr>
                        <w:spacing w:after="0"/>
                        <w:rPr>
                          <w:i/>
                        </w:rPr>
                      </w:pPr>
                      <w:r>
                        <w:rPr>
                          <w:i/>
                        </w:rPr>
                        <w:t>For the purposes of this Form, a Beneficial Owner of a Bidder is any natural person who ultimately owns or controls the Bidder by meeting one or more of the following conditions:</w:t>
                      </w:r>
                    </w:p>
                    <w:p w14:paraId="683C6401" w14:textId="77777777" w:rsidR="0026442C" w:rsidRDefault="0026442C">
                      <w:pPr>
                        <w:spacing w:after="0"/>
                        <w:rPr>
                          <w:i/>
                        </w:rPr>
                      </w:pPr>
                    </w:p>
                    <w:p w14:paraId="6FD55D6A" w14:textId="77777777" w:rsidR="0026442C" w:rsidRDefault="0026442C" w:rsidP="00D530D5">
                      <w:pPr>
                        <w:pStyle w:val="ListParagraph"/>
                        <w:numPr>
                          <w:ilvl w:val="0"/>
                          <w:numId w:val="49"/>
                        </w:numPr>
                        <w:spacing w:after="0"/>
                        <w:jc w:val="left"/>
                        <w:rPr>
                          <w:i/>
                        </w:rPr>
                      </w:pPr>
                      <w:r>
                        <w:rPr>
                          <w:i/>
                        </w:rPr>
                        <w:t>directly or indirectly holding 25% or more of the shares</w:t>
                      </w:r>
                    </w:p>
                    <w:p w14:paraId="676DB0A7" w14:textId="77777777" w:rsidR="0026442C" w:rsidRDefault="0026442C" w:rsidP="00D530D5">
                      <w:pPr>
                        <w:pStyle w:val="ListParagraph"/>
                        <w:numPr>
                          <w:ilvl w:val="0"/>
                          <w:numId w:val="49"/>
                        </w:numPr>
                        <w:spacing w:after="0"/>
                        <w:jc w:val="left"/>
                        <w:rPr>
                          <w:i/>
                        </w:rPr>
                      </w:pPr>
                      <w:r>
                        <w:rPr>
                          <w:i/>
                        </w:rPr>
                        <w:t>directly or indirectly holding 25% or more of the voting rights</w:t>
                      </w:r>
                    </w:p>
                    <w:p w14:paraId="761EEE53" w14:textId="77777777" w:rsidR="0026442C" w:rsidRDefault="0026442C" w:rsidP="00D530D5">
                      <w:pPr>
                        <w:pStyle w:val="ListParagraph"/>
                        <w:numPr>
                          <w:ilvl w:val="0"/>
                          <w:numId w:val="49"/>
                        </w:numPr>
                        <w:spacing w:after="0"/>
                        <w:jc w:val="left"/>
                        <w:rPr>
                          <w:i/>
                        </w:rPr>
                      </w:pPr>
                      <w:r>
                        <w:rPr>
                          <w:i/>
                        </w:rPr>
                        <w:t>directly or indirectly having the right to appoint a majority of the board of directors or equivalent governing body of the Bidder</w:t>
                      </w:r>
                    </w:p>
                    <w:p w14:paraId="1BA9E96E" w14:textId="77777777" w:rsidR="0026442C" w:rsidRDefault="0026442C">
                      <w:pPr>
                        <w:rPr>
                          <w:i/>
                        </w:rPr>
                      </w:pPr>
                    </w:p>
                  </w:txbxContent>
                </v:textbox>
                <w10:wrap type="topAndBottom"/>
              </v:shape>
            </w:pict>
          </mc:Fallback>
        </mc:AlternateContent>
      </w:r>
      <w:bookmarkEnd w:id="1022"/>
    </w:p>
    <w:p w14:paraId="606CDD6D" w14:textId="77777777" w:rsidR="00157AAA" w:rsidRDefault="00157AAA">
      <w:pPr>
        <w:pStyle w:val="SectionXHeading"/>
        <w:spacing w:before="0" w:after="0"/>
      </w:pPr>
    </w:p>
    <w:p w14:paraId="4B778ED7" w14:textId="77777777" w:rsidR="00157AAA" w:rsidRDefault="006C1BE5">
      <w:pPr>
        <w:pStyle w:val="SectionXHeading"/>
        <w:spacing w:before="0" w:after="0"/>
        <w:jc w:val="left"/>
        <w:rPr>
          <w:b w:val="0"/>
          <w:sz w:val="24"/>
        </w:rPr>
      </w:pPr>
      <w:r>
        <w:rPr>
          <w:rFonts w:ascii="Times New Roman" w:hAnsi="Times New Roman"/>
          <w:b w:val="0"/>
          <w:sz w:val="24"/>
        </w:rPr>
        <w:t xml:space="preserve">RFB No.: </w:t>
      </w:r>
      <w:r>
        <w:rPr>
          <w:rFonts w:ascii="Times New Roman" w:hAnsi="Times New Roman"/>
          <w:b w:val="0"/>
          <w:i/>
          <w:iCs/>
          <w:sz w:val="24"/>
        </w:rPr>
        <w:t xml:space="preserve">[insert </w:t>
      </w:r>
      <w:r>
        <w:rPr>
          <w:b w:val="0"/>
          <w:i/>
          <w:sz w:val="24"/>
        </w:rPr>
        <w:t>number of RFB process</w:t>
      </w:r>
      <w:r>
        <w:rPr>
          <w:rFonts w:ascii="Times New Roman" w:hAnsi="Times New Roman"/>
          <w:b w:val="0"/>
          <w:i/>
          <w:iCs/>
          <w:sz w:val="24"/>
        </w:rPr>
        <w:t>]</w:t>
      </w:r>
    </w:p>
    <w:p w14:paraId="44AFABB1" w14:textId="77777777" w:rsidR="00157AAA" w:rsidRDefault="006C1BE5">
      <w:pPr>
        <w:tabs>
          <w:tab w:val="right" w:pos="9000"/>
        </w:tabs>
        <w:spacing w:after="0"/>
      </w:pPr>
      <w:r>
        <w:rPr>
          <w:szCs w:val="24"/>
        </w:rPr>
        <w:t>Request for Bid No.:</w:t>
      </w:r>
      <w:r>
        <w:t xml:space="preserve"> </w:t>
      </w:r>
      <w:r>
        <w:rPr>
          <w:i/>
        </w:rPr>
        <w:t xml:space="preserve">[insert </w:t>
      </w:r>
      <w:r>
        <w:rPr>
          <w:b/>
          <w:i/>
        </w:rPr>
        <w:t>identification</w:t>
      </w:r>
      <w:r>
        <w:rPr>
          <w:i/>
          <w:iCs/>
          <w:szCs w:val="24"/>
        </w:rPr>
        <w:t>]</w:t>
      </w:r>
    </w:p>
    <w:p w14:paraId="225A7A1F" w14:textId="77777777" w:rsidR="00157AAA" w:rsidRDefault="00157AAA">
      <w:pPr>
        <w:tabs>
          <w:tab w:val="right" w:pos="9000"/>
        </w:tabs>
        <w:spacing w:after="0"/>
      </w:pPr>
    </w:p>
    <w:p w14:paraId="040BC26B" w14:textId="77777777" w:rsidR="00157AAA" w:rsidRDefault="006C1BE5">
      <w:pPr>
        <w:spacing w:after="0"/>
        <w:rPr>
          <w:b/>
        </w:rPr>
      </w:pPr>
      <w:r>
        <w:t xml:space="preserve">To: </w:t>
      </w:r>
      <w:r>
        <w:rPr>
          <w:b/>
        </w:rPr>
        <w:t>[</w:t>
      </w:r>
      <w:r>
        <w:rPr>
          <w:i/>
        </w:rPr>
        <w:t>insert</w:t>
      </w:r>
      <w:r>
        <w:rPr>
          <w:b/>
          <w:i/>
        </w:rPr>
        <w:t xml:space="preserve"> complete name of Purchaser</w:t>
      </w:r>
      <w:r>
        <w:rPr>
          <w:b/>
        </w:rPr>
        <w:t>]</w:t>
      </w:r>
    </w:p>
    <w:p w14:paraId="522E3D77" w14:textId="77777777" w:rsidR="00157AAA" w:rsidRDefault="00157AAA">
      <w:pPr>
        <w:tabs>
          <w:tab w:val="right" w:pos="9000"/>
        </w:tabs>
        <w:spacing w:after="0"/>
      </w:pPr>
    </w:p>
    <w:p w14:paraId="52F8D9B8" w14:textId="77777777" w:rsidR="00157AAA" w:rsidRDefault="006C1BE5">
      <w:pPr>
        <w:tabs>
          <w:tab w:val="right" w:pos="9000"/>
        </w:tabs>
        <w:spacing w:after="0"/>
        <w:rPr>
          <w:i/>
        </w:rPr>
      </w:pPr>
      <w:r>
        <w:t xml:space="preserve">In response to your request in the Letter of Acceptance </w:t>
      </w:r>
      <w:r>
        <w:rPr>
          <w:i/>
        </w:rPr>
        <w:t>dated [insert date of letter of Acceptance]</w:t>
      </w:r>
      <w:r>
        <w:t xml:space="preserve"> to furnish additional information on beneficial ownership: </w:t>
      </w:r>
      <w:r>
        <w:rPr>
          <w:i/>
        </w:rPr>
        <w:t xml:space="preserve">[select one option as applicable and delete the options that are not applicable] </w:t>
      </w:r>
    </w:p>
    <w:p w14:paraId="2FC5395E" w14:textId="77777777" w:rsidR="00157AAA" w:rsidRDefault="00157AAA">
      <w:pPr>
        <w:tabs>
          <w:tab w:val="right" w:pos="9000"/>
        </w:tabs>
        <w:spacing w:after="0"/>
        <w:rPr>
          <w:i/>
        </w:rPr>
      </w:pPr>
    </w:p>
    <w:p w14:paraId="3C36969A" w14:textId="77777777" w:rsidR="00157AAA" w:rsidRDefault="006C1BE5">
      <w:pPr>
        <w:tabs>
          <w:tab w:val="right" w:pos="9000"/>
        </w:tabs>
        <w:spacing w:after="0"/>
      </w:pPr>
      <w:r>
        <w:t>(</w:t>
      </w:r>
      <w:proofErr w:type="spellStart"/>
      <w:r>
        <w:t>i</w:t>
      </w:r>
      <w:proofErr w:type="spellEnd"/>
      <w:r>
        <w:t xml:space="preserve">) we hereby provide the following beneficial ownership information.  </w:t>
      </w:r>
    </w:p>
    <w:p w14:paraId="153C686A" w14:textId="77777777" w:rsidR="00157AAA" w:rsidRDefault="00157AAA">
      <w:pPr>
        <w:spacing w:after="0"/>
      </w:pPr>
    </w:p>
    <w:p w14:paraId="497E7583" w14:textId="77777777" w:rsidR="00157AAA" w:rsidRDefault="006C1BE5">
      <w:r>
        <w:t xml:space="preserve">Details of beneficial ownership </w:t>
      </w:r>
    </w:p>
    <w:tbl>
      <w:tblPr>
        <w:tblW w:w="8640"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2280"/>
        <w:gridCol w:w="2039"/>
        <w:gridCol w:w="2161"/>
      </w:tblGrid>
      <w:tr w:rsidR="00157AAA" w14:paraId="42D49A65" w14:textId="77777777">
        <w:trPr>
          <w:trHeight w:val="415"/>
        </w:trPr>
        <w:tc>
          <w:tcPr>
            <w:tcW w:w="2251" w:type="dxa"/>
            <w:shd w:val="clear" w:color="auto" w:fill="auto"/>
          </w:tcPr>
          <w:p w14:paraId="136EF59D" w14:textId="77777777" w:rsidR="00157AAA" w:rsidRDefault="006C1BE5">
            <w:pPr>
              <w:pStyle w:val="BodyText"/>
              <w:spacing w:before="40" w:after="160"/>
              <w:jc w:val="center"/>
            </w:pPr>
            <w:r>
              <w:t>Identity of Beneficial Owner</w:t>
            </w:r>
          </w:p>
          <w:p w14:paraId="22D14567" w14:textId="77777777" w:rsidR="00157AAA" w:rsidRDefault="00157AAA">
            <w:pPr>
              <w:pStyle w:val="BodyText"/>
              <w:spacing w:before="40" w:after="160"/>
              <w:jc w:val="center"/>
              <w:rPr>
                <w:i/>
              </w:rPr>
            </w:pPr>
          </w:p>
        </w:tc>
        <w:tc>
          <w:tcPr>
            <w:tcW w:w="2377" w:type="dxa"/>
            <w:shd w:val="clear" w:color="auto" w:fill="auto"/>
          </w:tcPr>
          <w:p w14:paraId="51605131" w14:textId="77777777" w:rsidR="00157AAA" w:rsidRDefault="006C1BE5">
            <w:pPr>
              <w:pStyle w:val="BodyText"/>
              <w:spacing w:before="40" w:after="160"/>
              <w:jc w:val="center"/>
            </w:pPr>
            <w:r>
              <w:t>Directly or indirectly holding 25% or more of the shares</w:t>
            </w:r>
          </w:p>
          <w:p w14:paraId="7717974B" w14:textId="77777777" w:rsidR="00157AAA" w:rsidRDefault="006C1BE5">
            <w:pPr>
              <w:pStyle w:val="BodyText"/>
              <w:spacing w:before="40" w:after="160"/>
              <w:jc w:val="center"/>
            </w:pPr>
            <w:r>
              <w:t>(Yes / No)</w:t>
            </w:r>
          </w:p>
          <w:p w14:paraId="5F1417EC" w14:textId="77777777" w:rsidR="00157AAA" w:rsidRDefault="00157AAA">
            <w:pPr>
              <w:pStyle w:val="BodyText"/>
              <w:spacing w:before="40" w:after="160"/>
              <w:jc w:val="center"/>
              <w:rPr>
                <w:i/>
              </w:rPr>
            </w:pPr>
          </w:p>
        </w:tc>
        <w:tc>
          <w:tcPr>
            <w:tcW w:w="2124" w:type="dxa"/>
            <w:shd w:val="clear" w:color="auto" w:fill="auto"/>
          </w:tcPr>
          <w:p w14:paraId="20E6A65B" w14:textId="77777777" w:rsidR="00157AAA" w:rsidRDefault="006C1BE5">
            <w:pPr>
              <w:pStyle w:val="BodyText"/>
              <w:spacing w:before="40" w:after="160"/>
              <w:jc w:val="center"/>
            </w:pPr>
            <w:r>
              <w:t>Directly or indirectly holding 25 % or more of the Voting Rights</w:t>
            </w:r>
          </w:p>
          <w:p w14:paraId="4B88C0EF" w14:textId="77777777" w:rsidR="00157AAA" w:rsidRDefault="006C1BE5">
            <w:pPr>
              <w:pStyle w:val="BodyText"/>
              <w:spacing w:before="40" w:after="160"/>
              <w:jc w:val="center"/>
            </w:pPr>
            <w:r>
              <w:t>(Yes / No)</w:t>
            </w:r>
          </w:p>
          <w:p w14:paraId="585E5C6D" w14:textId="77777777" w:rsidR="00157AAA" w:rsidRDefault="00157AAA">
            <w:pPr>
              <w:pStyle w:val="BodyText"/>
              <w:spacing w:before="40" w:after="160"/>
              <w:jc w:val="center"/>
            </w:pPr>
          </w:p>
        </w:tc>
        <w:tc>
          <w:tcPr>
            <w:tcW w:w="2252" w:type="dxa"/>
            <w:shd w:val="clear" w:color="auto" w:fill="auto"/>
          </w:tcPr>
          <w:p w14:paraId="370CA601" w14:textId="77777777" w:rsidR="00157AAA" w:rsidRDefault="006C1BE5">
            <w:pPr>
              <w:pStyle w:val="BodyText"/>
              <w:spacing w:before="40" w:after="160"/>
              <w:jc w:val="center"/>
            </w:pPr>
            <w:r>
              <w:t xml:space="preserve">Directly or indirectly having the right to appoint a majority of the board of the directors or an equivalent governing body of the </w:t>
            </w:r>
            <w:proofErr w:type="gramStart"/>
            <w:r>
              <w:t>Bidder</w:t>
            </w:r>
            <w:proofErr w:type="gramEnd"/>
          </w:p>
          <w:p w14:paraId="7B49371F" w14:textId="77777777" w:rsidR="00157AAA" w:rsidRDefault="006C1BE5">
            <w:pPr>
              <w:pStyle w:val="BodyText"/>
              <w:spacing w:before="40" w:after="160"/>
              <w:jc w:val="center"/>
            </w:pPr>
            <w:r>
              <w:t>(Yes / No)</w:t>
            </w:r>
          </w:p>
        </w:tc>
      </w:tr>
      <w:tr w:rsidR="00157AAA" w14:paraId="2B641E24" w14:textId="77777777">
        <w:trPr>
          <w:trHeight w:val="415"/>
        </w:trPr>
        <w:tc>
          <w:tcPr>
            <w:tcW w:w="2251" w:type="dxa"/>
            <w:shd w:val="clear" w:color="auto" w:fill="auto"/>
          </w:tcPr>
          <w:p w14:paraId="7133F186" w14:textId="77777777" w:rsidR="00157AAA" w:rsidRDefault="006C1BE5">
            <w:pPr>
              <w:pStyle w:val="BodyText"/>
              <w:spacing w:before="40" w:after="160"/>
            </w:pPr>
            <w:r>
              <w:rPr>
                <w:i/>
              </w:rPr>
              <w:lastRenderedPageBreak/>
              <w:t>[include full name (last, middle, first), nationality, country of residence]</w:t>
            </w:r>
          </w:p>
        </w:tc>
        <w:tc>
          <w:tcPr>
            <w:tcW w:w="2377" w:type="dxa"/>
            <w:shd w:val="clear" w:color="auto" w:fill="auto"/>
          </w:tcPr>
          <w:p w14:paraId="70C5A3E7" w14:textId="77777777" w:rsidR="00157AAA" w:rsidRDefault="00157AAA">
            <w:pPr>
              <w:pStyle w:val="BodyText"/>
              <w:spacing w:before="40" w:after="160"/>
              <w:jc w:val="center"/>
              <w:rPr>
                <w:rFonts w:ascii="Wingdings 2" w:hAnsi="Wingdings 2"/>
                <w:sz w:val="52"/>
                <w:szCs w:val="52"/>
              </w:rPr>
            </w:pPr>
          </w:p>
        </w:tc>
        <w:tc>
          <w:tcPr>
            <w:tcW w:w="2124" w:type="dxa"/>
            <w:shd w:val="clear" w:color="auto" w:fill="auto"/>
          </w:tcPr>
          <w:p w14:paraId="692DC96E" w14:textId="77777777" w:rsidR="00157AAA" w:rsidRDefault="00157AAA">
            <w:pPr>
              <w:pStyle w:val="BodyText"/>
              <w:spacing w:before="40" w:after="160"/>
            </w:pPr>
          </w:p>
        </w:tc>
        <w:tc>
          <w:tcPr>
            <w:tcW w:w="2252" w:type="dxa"/>
            <w:shd w:val="clear" w:color="auto" w:fill="auto"/>
          </w:tcPr>
          <w:p w14:paraId="1C956C30" w14:textId="77777777" w:rsidR="00157AAA" w:rsidRDefault="00157AAA">
            <w:pPr>
              <w:pStyle w:val="BodyText"/>
              <w:spacing w:before="40" w:after="160"/>
            </w:pPr>
          </w:p>
        </w:tc>
      </w:tr>
    </w:tbl>
    <w:p w14:paraId="3AE52777" w14:textId="77777777" w:rsidR="00157AAA" w:rsidRDefault="00157AAA"/>
    <w:p w14:paraId="0427D8A6" w14:textId="77777777" w:rsidR="00157AAA" w:rsidRDefault="006C1BE5">
      <w:pPr>
        <w:spacing w:after="0"/>
        <w:rPr>
          <w:b/>
          <w:i/>
        </w:rPr>
      </w:pPr>
      <w:r>
        <w:rPr>
          <w:b/>
          <w:i/>
        </w:rPr>
        <w:t>OR</w:t>
      </w:r>
    </w:p>
    <w:p w14:paraId="07AF18AC" w14:textId="77777777" w:rsidR="00157AAA" w:rsidRDefault="00157AAA">
      <w:pPr>
        <w:spacing w:after="0"/>
        <w:rPr>
          <w:i/>
        </w:rPr>
      </w:pPr>
    </w:p>
    <w:p w14:paraId="63523315" w14:textId="77777777" w:rsidR="00157AAA" w:rsidRDefault="006C1BE5">
      <w:pPr>
        <w:spacing w:after="0"/>
        <w:rPr>
          <w:i/>
        </w:rPr>
      </w:pPr>
      <w:r>
        <w:t xml:space="preserve">(ii) </w:t>
      </w:r>
      <w:r>
        <w:rPr>
          <w:i/>
        </w:rPr>
        <w:t xml:space="preserve">We declare that there is no Beneficial Owner meeting one or more of the following conditions: </w:t>
      </w:r>
    </w:p>
    <w:p w14:paraId="637E9A19" w14:textId="77777777" w:rsidR="00157AAA" w:rsidRDefault="00157AAA">
      <w:pPr>
        <w:spacing w:after="0"/>
        <w:rPr>
          <w:i/>
        </w:rPr>
      </w:pPr>
    </w:p>
    <w:p w14:paraId="0AEA9963" w14:textId="77777777" w:rsidR="00157AAA" w:rsidRDefault="006C1BE5" w:rsidP="00D530D5">
      <w:pPr>
        <w:pStyle w:val="ListParagraph"/>
        <w:numPr>
          <w:ilvl w:val="0"/>
          <w:numId w:val="49"/>
        </w:numPr>
        <w:spacing w:after="0"/>
        <w:jc w:val="left"/>
      </w:pPr>
      <w:r>
        <w:t>directly or indirectly holding 25% or more of the shares</w:t>
      </w:r>
    </w:p>
    <w:p w14:paraId="650B1872" w14:textId="77777777" w:rsidR="00157AAA" w:rsidRDefault="006C1BE5" w:rsidP="00D530D5">
      <w:pPr>
        <w:pStyle w:val="ListParagraph"/>
        <w:numPr>
          <w:ilvl w:val="0"/>
          <w:numId w:val="49"/>
        </w:numPr>
        <w:spacing w:after="0"/>
        <w:jc w:val="left"/>
      </w:pPr>
      <w:r>
        <w:t>directly or indirectly holding 25% or more of the voting rights</w:t>
      </w:r>
    </w:p>
    <w:p w14:paraId="75B5B111" w14:textId="77777777" w:rsidR="00157AAA" w:rsidRDefault="006C1BE5" w:rsidP="00D530D5">
      <w:pPr>
        <w:pStyle w:val="ListParagraph"/>
        <w:numPr>
          <w:ilvl w:val="0"/>
          <w:numId w:val="49"/>
        </w:numPr>
        <w:spacing w:after="0"/>
        <w:jc w:val="left"/>
      </w:pPr>
      <w:r>
        <w:t xml:space="preserve">directly or indirectly having the right to appoint a majority of the board of directors or equivalent governing body of the </w:t>
      </w:r>
      <w:proofErr w:type="gramStart"/>
      <w:r>
        <w:t>Bidder</w:t>
      </w:r>
      <w:proofErr w:type="gramEnd"/>
    </w:p>
    <w:p w14:paraId="5656C958" w14:textId="77777777" w:rsidR="00157AAA" w:rsidRDefault="00157AAA">
      <w:pPr>
        <w:spacing w:after="0"/>
        <w:rPr>
          <w:i/>
        </w:rPr>
      </w:pPr>
    </w:p>
    <w:p w14:paraId="5A770BA9" w14:textId="77777777" w:rsidR="00157AAA" w:rsidRDefault="00157AAA">
      <w:pPr>
        <w:spacing w:after="0"/>
      </w:pPr>
    </w:p>
    <w:p w14:paraId="2407324E" w14:textId="77777777" w:rsidR="00157AAA" w:rsidRDefault="006C1BE5">
      <w:pPr>
        <w:spacing w:after="0"/>
        <w:rPr>
          <w:b/>
        </w:rPr>
      </w:pPr>
      <w:r>
        <w:rPr>
          <w:b/>
        </w:rPr>
        <w:t xml:space="preserve">OR </w:t>
      </w:r>
    </w:p>
    <w:p w14:paraId="4321A0FE" w14:textId="77777777" w:rsidR="00157AAA" w:rsidRDefault="00157AAA">
      <w:pPr>
        <w:spacing w:after="0"/>
      </w:pPr>
    </w:p>
    <w:p w14:paraId="7C2A1520" w14:textId="77777777" w:rsidR="00157AAA" w:rsidRDefault="006C1BE5">
      <w:pPr>
        <w:spacing w:after="0"/>
        <w:rPr>
          <w:i/>
        </w:rPr>
      </w:pPr>
      <w:r>
        <w:rPr>
          <w:i/>
        </w:rPr>
        <w:t>(iii) We declare that we are unable to identify any Beneficial Owner meeting one or more of the following conditions. [If this option is selected, the Bidder shall provide explanation on why it is unable to identify any Beneficial Owner]</w:t>
      </w:r>
    </w:p>
    <w:p w14:paraId="75795931" w14:textId="77777777" w:rsidR="00157AAA" w:rsidRDefault="006C1BE5" w:rsidP="00D530D5">
      <w:pPr>
        <w:pStyle w:val="ListParagraph"/>
        <w:numPr>
          <w:ilvl w:val="0"/>
          <w:numId w:val="49"/>
        </w:numPr>
        <w:spacing w:after="0"/>
        <w:jc w:val="left"/>
      </w:pPr>
      <w:r>
        <w:t>directly or indirectly holding 25% or more of the shares</w:t>
      </w:r>
    </w:p>
    <w:p w14:paraId="4B5FB4A5" w14:textId="77777777" w:rsidR="00157AAA" w:rsidRDefault="006C1BE5" w:rsidP="00D530D5">
      <w:pPr>
        <w:pStyle w:val="ListParagraph"/>
        <w:numPr>
          <w:ilvl w:val="0"/>
          <w:numId w:val="49"/>
        </w:numPr>
        <w:spacing w:after="0"/>
        <w:jc w:val="left"/>
      </w:pPr>
      <w:r>
        <w:t>directly or indirectly holding 25% or more of the voting rights</w:t>
      </w:r>
    </w:p>
    <w:p w14:paraId="31A203EC" w14:textId="77777777" w:rsidR="00157AAA" w:rsidRDefault="006C1BE5" w:rsidP="00D530D5">
      <w:pPr>
        <w:pStyle w:val="ListParagraph"/>
        <w:numPr>
          <w:ilvl w:val="0"/>
          <w:numId w:val="49"/>
        </w:numPr>
        <w:spacing w:after="0"/>
        <w:jc w:val="left"/>
      </w:pPr>
      <w:r>
        <w:t xml:space="preserve">directly or indirectly having the right to appoint </w:t>
      </w:r>
      <w:proofErr w:type="gramStart"/>
      <w:r>
        <w:t>a majority of</w:t>
      </w:r>
      <w:proofErr w:type="gramEnd"/>
      <w:r>
        <w:t xml:space="preserve"> the board of directors or equivalent governing body of the Bidder]”</w:t>
      </w:r>
    </w:p>
    <w:p w14:paraId="2F7D3061" w14:textId="77777777" w:rsidR="00157AAA" w:rsidRDefault="00157AAA">
      <w:pPr>
        <w:pStyle w:val="ListParagraph"/>
        <w:spacing w:after="0"/>
      </w:pPr>
    </w:p>
    <w:p w14:paraId="70B5C331" w14:textId="77777777" w:rsidR="00157AAA" w:rsidRDefault="006C1BE5">
      <w:pPr>
        <w:spacing w:after="0"/>
      </w:pPr>
      <w:r>
        <w:t>Name of the Bidder:</w:t>
      </w:r>
      <w:r>
        <w:rPr>
          <w:bCs/>
          <w:iCs/>
        </w:rPr>
        <w:t xml:space="preserve"> *</w:t>
      </w:r>
      <w:r>
        <w:t>[</w:t>
      </w:r>
      <w:r>
        <w:rPr>
          <w:i/>
        </w:rPr>
        <w:t xml:space="preserve">insert </w:t>
      </w:r>
      <w:r>
        <w:rPr>
          <w:b/>
          <w:i/>
        </w:rPr>
        <w:t>complete name of the Bidder</w:t>
      </w:r>
      <w:r>
        <w:t>]</w:t>
      </w:r>
    </w:p>
    <w:p w14:paraId="080E135C" w14:textId="77777777" w:rsidR="00157AAA" w:rsidRDefault="00157AAA">
      <w:pPr>
        <w:spacing w:after="0"/>
      </w:pPr>
    </w:p>
    <w:p w14:paraId="1F095AE9" w14:textId="77777777" w:rsidR="00157AAA" w:rsidRDefault="006C1BE5">
      <w:pPr>
        <w:spacing w:after="0"/>
        <w:rPr>
          <w:u w:val="single"/>
        </w:rPr>
      </w:pPr>
      <w:r>
        <w:t>Name of the person duly authorized to sign the Bid on behalf of the Bidder:</w:t>
      </w:r>
      <w:r>
        <w:rPr>
          <w:bCs/>
          <w:iCs/>
        </w:rPr>
        <w:t xml:space="preserve"> **</w:t>
      </w:r>
      <w:r>
        <w:rPr>
          <w:bCs/>
          <w:i/>
          <w:iCs/>
        </w:rPr>
        <w:t xml:space="preserve">[insert </w:t>
      </w:r>
      <w:r>
        <w:rPr>
          <w:b/>
          <w:bCs/>
          <w:i/>
          <w:iCs/>
        </w:rPr>
        <w:t>complete name of person duly authorized to sign the Bid</w:t>
      </w:r>
      <w:r>
        <w:rPr>
          <w:bCs/>
          <w:i/>
          <w:iCs/>
        </w:rPr>
        <w:t>]</w:t>
      </w:r>
    </w:p>
    <w:p w14:paraId="44F14FBF" w14:textId="77777777" w:rsidR="00157AAA" w:rsidRDefault="00157AAA">
      <w:pPr>
        <w:spacing w:after="0"/>
      </w:pPr>
    </w:p>
    <w:p w14:paraId="788D2794" w14:textId="77777777" w:rsidR="00157AAA" w:rsidRDefault="006C1BE5">
      <w:pPr>
        <w:spacing w:after="0"/>
        <w:rPr>
          <w:u w:val="single"/>
        </w:rPr>
      </w:pPr>
      <w:r>
        <w:t>Title of the person signing the Bid: [</w:t>
      </w:r>
      <w:r>
        <w:rPr>
          <w:i/>
        </w:rPr>
        <w:t xml:space="preserve">insert </w:t>
      </w:r>
      <w:r>
        <w:rPr>
          <w:b/>
          <w:i/>
        </w:rPr>
        <w:t>complete title of the person signing the Bid</w:t>
      </w:r>
      <w:r>
        <w:t>]</w:t>
      </w:r>
    </w:p>
    <w:p w14:paraId="5A3446C2" w14:textId="77777777" w:rsidR="00157AAA" w:rsidRDefault="00157AAA">
      <w:pPr>
        <w:spacing w:after="0"/>
      </w:pPr>
    </w:p>
    <w:p w14:paraId="228B7332" w14:textId="77777777" w:rsidR="00157AAA" w:rsidRDefault="006C1BE5">
      <w:pPr>
        <w:tabs>
          <w:tab w:val="right" w:pos="9180"/>
        </w:tabs>
        <w:spacing w:after="0"/>
        <w:rPr>
          <w:u w:val="single"/>
        </w:rPr>
      </w:pPr>
      <w:r>
        <w:t xml:space="preserve">Signature of the person named above: </w:t>
      </w:r>
      <w:r>
        <w:rPr>
          <w:u w:val="single"/>
        </w:rPr>
        <w:tab/>
      </w:r>
    </w:p>
    <w:p w14:paraId="5ACEFC29" w14:textId="77777777" w:rsidR="00157AAA" w:rsidRDefault="00157AAA">
      <w:pPr>
        <w:spacing w:after="0"/>
        <w:rPr>
          <w:u w:val="single"/>
        </w:rPr>
      </w:pPr>
    </w:p>
    <w:p w14:paraId="51AC972C" w14:textId="77777777" w:rsidR="00157AAA" w:rsidRDefault="006C1BE5">
      <w:pPr>
        <w:spacing w:after="0"/>
        <w:rPr>
          <w:u w:val="single"/>
        </w:rPr>
      </w:pPr>
      <w:r>
        <w:t xml:space="preserve">Date signed </w:t>
      </w:r>
      <w:r>
        <w:rPr>
          <w:i/>
        </w:rPr>
        <w:t xml:space="preserve">[insert </w:t>
      </w:r>
      <w:r>
        <w:rPr>
          <w:b/>
          <w:i/>
        </w:rPr>
        <w:t>ordinal number</w:t>
      </w:r>
      <w:r>
        <w:rPr>
          <w:i/>
        </w:rPr>
        <w:t>]</w:t>
      </w:r>
      <w:r>
        <w:t xml:space="preserve"> day of </w:t>
      </w:r>
      <w:r>
        <w:rPr>
          <w:i/>
        </w:rPr>
        <w:t xml:space="preserve">[insert </w:t>
      </w:r>
      <w:r>
        <w:rPr>
          <w:b/>
          <w:i/>
        </w:rPr>
        <w:t>month</w:t>
      </w:r>
      <w:r>
        <w:rPr>
          <w:i/>
        </w:rPr>
        <w:t>]</w:t>
      </w:r>
      <w:r>
        <w:rPr>
          <w:u w:val="single"/>
        </w:rPr>
        <w:t xml:space="preserve">, </w:t>
      </w:r>
      <w:r>
        <w:rPr>
          <w:i/>
        </w:rPr>
        <w:t xml:space="preserve">[insert </w:t>
      </w:r>
      <w:r>
        <w:rPr>
          <w:b/>
          <w:i/>
        </w:rPr>
        <w:t>year</w:t>
      </w:r>
      <w:r>
        <w:rPr>
          <w:i/>
        </w:rPr>
        <w:t>]</w:t>
      </w:r>
    </w:p>
    <w:p w14:paraId="65304A80" w14:textId="77777777" w:rsidR="00157AAA" w:rsidRDefault="00157AAA">
      <w:pPr>
        <w:spacing w:after="0"/>
      </w:pPr>
    </w:p>
    <w:p w14:paraId="08A6F056" w14:textId="77777777" w:rsidR="00157AAA" w:rsidRDefault="00157AAA">
      <w:pPr>
        <w:spacing w:after="0"/>
        <w:rPr>
          <w:b/>
        </w:rPr>
      </w:pPr>
    </w:p>
    <w:p w14:paraId="075ED2EF" w14:textId="77777777" w:rsidR="00157AAA" w:rsidRDefault="006C1BE5">
      <w:pPr>
        <w:spacing w:after="0"/>
        <w:rPr>
          <w:sz w:val="20"/>
        </w:rPr>
      </w:pPr>
      <w:r>
        <w:rPr>
          <w:rStyle w:val="FootnoteReference"/>
        </w:rPr>
        <w:t>*</w:t>
      </w:r>
      <w:r>
        <w:rPr>
          <w:sz w:val="20"/>
        </w:rPr>
        <w:t xml:space="preserve"> In the case of the Bid submitted by a Joint Venture specify the name of the Joint Venture as Bidder. </w:t>
      </w:r>
      <w:proofErr w:type="gramStart"/>
      <w:r>
        <w:rPr>
          <w:sz w:val="20"/>
        </w:rPr>
        <w:t>In the event that</w:t>
      </w:r>
      <w:proofErr w:type="gramEnd"/>
      <w:r>
        <w:rPr>
          <w:sz w:val="20"/>
        </w:rPr>
        <w:t xml:space="preserve"> the Bidder is a joint venture, each reference to “Bidder” in the Beneficial Ownership Disclosure Form (including this Introduction thereto) shall be read to refer to the joint venture member. </w:t>
      </w:r>
    </w:p>
    <w:p w14:paraId="5BCEDD6F" w14:textId="77777777" w:rsidR="00157AAA" w:rsidRDefault="006C1BE5">
      <w:pPr>
        <w:spacing w:after="0"/>
        <w:rPr>
          <w:sz w:val="20"/>
        </w:rPr>
      </w:pPr>
      <w:r>
        <w:rPr>
          <w:rStyle w:val="FootnoteReference"/>
        </w:rPr>
        <w:t>**</w:t>
      </w:r>
      <w:r>
        <w:rPr>
          <w:sz w:val="20"/>
        </w:rPr>
        <w:t xml:space="preserve"> Person signing the Bid shall have the power of attorney given by the Bidder. The power of attorney shall be attached with the Bid Schedules. </w:t>
      </w:r>
    </w:p>
    <w:p w14:paraId="2A11D786" w14:textId="77777777" w:rsidR="00157AAA" w:rsidRDefault="006C1BE5">
      <w:pPr>
        <w:spacing w:after="0"/>
        <w:jc w:val="left"/>
        <w:rPr>
          <w:rFonts w:ascii="Times New Roman Bold" w:hAnsi="Times New Roman Bold"/>
          <w:b/>
          <w:smallCaps/>
          <w:sz w:val="32"/>
        </w:rPr>
      </w:pPr>
      <w:r>
        <w:br w:type="page" w:clear="all"/>
      </w:r>
    </w:p>
    <w:p w14:paraId="0985EE40" w14:textId="77777777" w:rsidR="00157AAA" w:rsidRDefault="006C1BE5">
      <w:pPr>
        <w:pStyle w:val="Head81"/>
      </w:pPr>
      <w:bookmarkStart w:id="1023" w:name="_Toc73977976"/>
      <w:r>
        <w:lastRenderedPageBreak/>
        <w:t>Letter of Ac</w:t>
      </w:r>
      <w:bookmarkStart w:id="1024" w:name="_Hlt125874239"/>
      <w:bookmarkEnd w:id="1024"/>
      <w:r>
        <w:t>ceptance</w:t>
      </w:r>
      <w:bookmarkEnd w:id="1023"/>
    </w:p>
    <w:p w14:paraId="7211B40F" w14:textId="77777777" w:rsidR="00157AAA" w:rsidRDefault="00157AAA"/>
    <w:p w14:paraId="2C35A71A" w14:textId="77777777" w:rsidR="00157AAA" w:rsidRDefault="006C1BE5">
      <w:pPr>
        <w:rPr>
          <w:i/>
          <w:color w:val="000000" w:themeColor="text1"/>
        </w:rPr>
      </w:pPr>
      <w:r>
        <w:rPr>
          <w:color w:val="000000" w:themeColor="text1"/>
        </w:rPr>
        <w:t>Purchaser:</w:t>
      </w:r>
      <w:r>
        <w:rPr>
          <w:b/>
          <w:color w:val="000000" w:themeColor="text1"/>
        </w:rPr>
        <w:t xml:space="preserve"> </w:t>
      </w:r>
      <w:r>
        <w:rPr>
          <w:i/>
          <w:color w:val="000000" w:themeColor="text1"/>
        </w:rPr>
        <w:t xml:space="preserve">[insert </w:t>
      </w:r>
      <w:r>
        <w:rPr>
          <w:b/>
          <w:i/>
          <w:color w:val="000000" w:themeColor="text1"/>
        </w:rPr>
        <w:t>the name of the Purchaser</w:t>
      </w:r>
      <w:r>
        <w:rPr>
          <w:i/>
          <w:color w:val="000000" w:themeColor="text1"/>
        </w:rPr>
        <w:t>]</w:t>
      </w:r>
    </w:p>
    <w:p w14:paraId="21584978" w14:textId="77777777" w:rsidR="00157AAA" w:rsidRDefault="006C1BE5">
      <w:pPr>
        <w:rPr>
          <w:bCs/>
          <w:i/>
          <w:iCs/>
          <w:color w:val="000000" w:themeColor="text1"/>
        </w:rPr>
      </w:pPr>
      <w:r>
        <w:rPr>
          <w:color w:val="000000" w:themeColor="text1"/>
        </w:rPr>
        <w:t>Project:</w:t>
      </w:r>
      <w:r>
        <w:rPr>
          <w:b/>
          <w:bCs/>
          <w:i/>
          <w:iCs/>
          <w:color w:val="000000" w:themeColor="text1"/>
        </w:rPr>
        <w:t xml:space="preserve"> </w:t>
      </w:r>
      <w:r>
        <w:rPr>
          <w:bCs/>
          <w:i/>
          <w:iCs/>
          <w:color w:val="000000" w:themeColor="text1"/>
        </w:rPr>
        <w:t xml:space="preserve">[insert </w:t>
      </w:r>
      <w:r>
        <w:rPr>
          <w:b/>
          <w:bCs/>
          <w:i/>
          <w:iCs/>
          <w:color w:val="000000" w:themeColor="text1"/>
        </w:rPr>
        <w:t>name of project</w:t>
      </w:r>
      <w:r>
        <w:rPr>
          <w:bCs/>
          <w:i/>
          <w:iCs/>
          <w:color w:val="000000" w:themeColor="text1"/>
        </w:rPr>
        <w:t>]</w:t>
      </w:r>
    </w:p>
    <w:p w14:paraId="53073CD6" w14:textId="77777777" w:rsidR="00157AAA" w:rsidRDefault="006C1BE5">
      <w:pPr>
        <w:rPr>
          <w:b/>
          <w:i/>
          <w:color w:val="000000" w:themeColor="text1"/>
        </w:rPr>
      </w:pPr>
      <w:r>
        <w:rPr>
          <w:iCs/>
          <w:color w:val="000000" w:themeColor="text1"/>
        </w:rPr>
        <w:t>Contract title</w:t>
      </w:r>
      <w:r>
        <w:rPr>
          <w:color w:val="000000" w:themeColor="text1"/>
        </w:rPr>
        <w:t>:</w:t>
      </w:r>
      <w:r>
        <w:rPr>
          <w:b/>
          <w:color w:val="000000" w:themeColor="text1"/>
        </w:rPr>
        <w:t xml:space="preserve"> </w:t>
      </w:r>
      <w:r>
        <w:rPr>
          <w:i/>
          <w:color w:val="000000" w:themeColor="text1"/>
        </w:rPr>
        <w:t xml:space="preserve">[insert the </w:t>
      </w:r>
      <w:r>
        <w:rPr>
          <w:b/>
          <w:i/>
          <w:color w:val="000000" w:themeColor="text1"/>
        </w:rPr>
        <w:t>name of the contract</w:t>
      </w:r>
      <w:r>
        <w:rPr>
          <w:i/>
          <w:color w:val="000000" w:themeColor="text1"/>
        </w:rPr>
        <w:t>]</w:t>
      </w:r>
    </w:p>
    <w:p w14:paraId="57B5B914" w14:textId="77777777" w:rsidR="00157AAA" w:rsidRDefault="006C1BE5">
      <w:pPr>
        <w:ind w:right="-540"/>
        <w:rPr>
          <w:i/>
          <w:color w:val="000000" w:themeColor="text1"/>
        </w:rPr>
      </w:pPr>
      <w:r>
        <w:rPr>
          <w:color w:val="000000" w:themeColor="text1"/>
        </w:rPr>
        <w:t>Country:</w:t>
      </w:r>
      <w:r>
        <w:rPr>
          <w:b/>
          <w:color w:val="000000" w:themeColor="text1"/>
        </w:rPr>
        <w:t xml:space="preserve"> </w:t>
      </w:r>
      <w:r>
        <w:rPr>
          <w:i/>
          <w:color w:val="000000" w:themeColor="text1"/>
        </w:rPr>
        <w:t xml:space="preserve">[insert </w:t>
      </w:r>
      <w:r>
        <w:rPr>
          <w:b/>
          <w:i/>
          <w:color w:val="000000" w:themeColor="text1"/>
        </w:rPr>
        <w:t>country where RFB is issued</w:t>
      </w:r>
      <w:r>
        <w:rPr>
          <w:i/>
          <w:color w:val="000000" w:themeColor="text1"/>
        </w:rPr>
        <w:t>]</w:t>
      </w:r>
    </w:p>
    <w:p w14:paraId="718A1E36" w14:textId="77777777" w:rsidR="00157AAA" w:rsidRDefault="006C1BE5">
      <w:pPr>
        <w:rPr>
          <w:i/>
          <w:color w:val="000000" w:themeColor="text1"/>
        </w:rPr>
      </w:pPr>
      <w:r>
        <w:rPr>
          <w:color w:val="000000" w:themeColor="text1"/>
        </w:rPr>
        <w:t>Loan No. /Credit No. / Grant No.:</w:t>
      </w:r>
      <w:r>
        <w:rPr>
          <w:i/>
          <w:color w:val="000000" w:themeColor="text1"/>
        </w:rPr>
        <w:t xml:space="preserve"> [insert </w:t>
      </w:r>
      <w:r>
        <w:rPr>
          <w:b/>
          <w:i/>
          <w:color w:val="000000" w:themeColor="text1"/>
        </w:rPr>
        <w:t>reference number for loan/credit/grant</w:t>
      </w:r>
      <w:r>
        <w:rPr>
          <w:i/>
          <w:color w:val="000000" w:themeColor="text1"/>
        </w:rPr>
        <w:t>]</w:t>
      </w:r>
    </w:p>
    <w:p w14:paraId="5AB5F7AD" w14:textId="77777777" w:rsidR="00157AAA" w:rsidRDefault="006C1BE5">
      <w:proofErr w:type="gramStart"/>
      <w:r>
        <w:rPr>
          <w:color w:val="000000" w:themeColor="text1"/>
        </w:rPr>
        <w:t>RFB  No</w:t>
      </w:r>
      <w:proofErr w:type="gramEnd"/>
      <w:r>
        <w:rPr>
          <w:color w:val="000000" w:themeColor="text1"/>
        </w:rPr>
        <w:t>:</w:t>
      </w:r>
      <w:r>
        <w:rPr>
          <w:b/>
          <w:color w:val="000000" w:themeColor="text1"/>
        </w:rPr>
        <w:t xml:space="preserve"> </w:t>
      </w:r>
      <w:r>
        <w:rPr>
          <w:i/>
          <w:color w:val="000000" w:themeColor="text1"/>
        </w:rPr>
        <w:t xml:space="preserve">[insert RFB  </w:t>
      </w:r>
      <w:r>
        <w:rPr>
          <w:b/>
          <w:i/>
          <w:color w:val="000000" w:themeColor="text1"/>
        </w:rPr>
        <w:t>reference number  from Procurement Plan</w:t>
      </w:r>
      <w:r>
        <w:rPr>
          <w:i/>
          <w:color w:val="000000" w:themeColor="text1"/>
        </w:rPr>
        <w:t>]</w:t>
      </w:r>
    </w:p>
    <w:p w14:paraId="11EB7DA5" w14:textId="77777777" w:rsidR="00157AAA" w:rsidRDefault="00157AAA"/>
    <w:p w14:paraId="123FD599" w14:textId="77777777" w:rsidR="00157AAA" w:rsidRDefault="006C1BE5">
      <w:pPr>
        <w:jc w:val="right"/>
      </w:pPr>
      <w:r>
        <w:t>Date</w:t>
      </w:r>
      <w:proofErr w:type="gramStart"/>
      <w:r>
        <w:t xml:space="preserve">:  </w:t>
      </w:r>
      <w:r>
        <w:rPr>
          <w:i/>
        </w:rPr>
        <w:t>[</w:t>
      </w:r>
      <w:proofErr w:type="gramEnd"/>
      <w:r>
        <w:rPr>
          <w:i/>
        </w:rPr>
        <w:t xml:space="preserve">insert </w:t>
      </w:r>
      <w:r>
        <w:rPr>
          <w:b/>
          <w:i/>
        </w:rPr>
        <w:t>Date</w:t>
      </w:r>
      <w:r>
        <w:rPr>
          <w:i/>
        </w:rPr>
        <w:t>]</w:t>
      </w:r>
    </w:p>
    <w:p w14:paraId="35F1F9F7" w14:textId="77777777" w:rsidR="00157AAA" w:rsidRDefault="00157AAA"/>
    <w:p w14:paraId="1F0F5917" w14:textId="77777777" w:rsidR="00157AAA" w:rsidRDefault="006C1BE5">
      <w:r>
        <w:fldChar w:fldCharType="begin"/>
      </w:r>
      <w:r>
        <w:instrText>ADVANCE \D 4.80</w:instrText>
      </w:r>
      <w:r>
        <w:fldChar w:fldCharType="end"/>
      </w:r>
      <w:r>
        <w:t xml:space="preserve">To:  </w:t>
      </w:r>
      <w:r>
        <w:rPr>
          <w:i/>
        </w:rPr>
        <w:fldChar w:fldCharType="begin"/>
      </w:r>
      <w:r>
        <w:rPr>
          <w:i/>
        </w:rPr>
        <w:instrText>ADVANCE \D 1.90</w:instrText>
      </w:r>
      <w:r>
        <w:rPr>
          <w:i/>
        </w:rPr>
        <w:fldChar w:fldCharType="end"/>
      </w:r>
      <w:r>
        <w:rPr>
          <w:i/>
        </w:rPr>
        <w:t xml:space="preserve">[insert </w:t>
      </w:r>
      <w:r>
        <w:rPr>
          <w:b/>
          <w:i/>
        </w:rPr>
        <w:t>Name of Bidder</w:t>
      </w:r>
      <w:r>
        <w:rPr>
          <w:i/>
        </w:rPr>
        <w:t>]</w:t>
      </w:r>
    </w:p>
    <w:p w14:paraId="2AD99176" w14:textId="77777777" w:rsidR="00157AAA" w:rsidRDefault="00157AAA"/>
    <w:p w14:paraId="77AE27FE" w14:textId="77777777" w:rsidR="00157AAA" w:rsidRDefault="006C1BE5">
      <w:r>
        <w:t xml:space="preserve">This is to notify you that your Bid dated </w:t>
      </w:r>
      <w:r>
        <w:rPr>
          <w:i/>
        </w:rPr>
        <w:t xml:space="preserve">[insert </w:t>
      </w:r>
      <w:r>
        <w:rPr>
          <w:b/>
          <w:i/>
        </w:rPr>
        <w:t>Date</w:t>
      </w:r>
      <w:r>
        <w:rPr>
          <w:i/>
        </w:rPr>
        <w:t>]</w:t>
      </w:r>
      <w:r>
        <w:t xml:space="preserve"> for execution of the </w:t>
      </w:r>
      <w:r>
        <w:rPr>
          <w:i/>
        </w:rPr>
        <w:t xml:space="preserve">[insert </w:t>
      </w:r>
      <w:r>
        <w:rPr>
          <w:b/>
          <w:i/>
        </w:rPr>
        <w:t>brief description of the Information System</w:t>
      </w:r>
      <w:r>
        <w:rPr>
          <w:i/>
        </w:rPr>
        <w:t>]</w:t>
      </w:r>
      <w:r>
        <w:t xml:space="preserve"> for the Contract Price in the aggregate of </w:t>
      </w:r>
      <w:r>
        <w:rPr>
          <w:i/>
        </w:rPr>
        <w:t xml:space="preserve">[insert </w:t>
      </w:r>
      <w:r>
        <w:rPr>
          <w:b/>
          <w:i/>
        </w:rPr>
        <w:t>amount in figures]</w:t>
      </w:r>
      <w:r>
        <w:t xml:space="preserve"> (</w:t>
      </w:r>
      <w:r>
        <w:rPr>
          <w:i/>
        </w:rPr>
        <w:t xml:space="preserve">[insert </w:t>
      </w:r>
      <w:r>
        <w:rPr>
          <w:b/>
          <w:i/>
        </w:rPr>
        <w:t>amount in words</w:t>
      </w:r>
      <w:r>
        <w:rPr>
          <w:i/>
        </w:rPr>
        <w:t>]</w:t>
      </w:r>
      <w:r>
        <w:t>), as corrected and modified in accordance with the Instructions to Bidders is hereby accepted by our Agency.</w:t>
      </w:r>
    </w:p>
    <w:p w14:paraId="6F412A17" w14:textId="77777777" w:rsidR="00157AAA" w:rsidRDefault="00157AAA"/>
    <w:p w14:paraId="31F8A712" w14:textId="77777777" w:rsidR="00157AAA" w:rsidRDefault="006C1BE5">
      <w:pPr>
        <w:spacing w:after="0"/>
        <w:jc w:val="left"/>
      </w:pPr>
      <w:r>
        <w:t>You are requested to furnish (</w:t>
      </w:r>
      <w:proofErr w:type="spellStart"/>
      <w:r>
        <w:t>i</w:t>
      </w:r>
      <w:proofErr w:type="spellEnd"/>
      <w:r>
        <w:t xml:space="preserve">) the Performance Security within 28 days in accordance with the Conditions of Contract, using for that purpose </w:t>
      </w:r>
      <w:r>
        <w:rPr>
          <w:iCs/>
        </w:rPr>
        <w:t>one of</w:t>
      </w:r>
      <w:r>
        <w:t xml:space="preserve"> the Performance Security Form</w:t>
      </w:r>
      <w:r>
        <w:rPr>
          <w:i/>
          <w:iCs/>
        </w:rPr>
        <w:t>s</w:t>
      </w:r>
      <w:r>
        <w:t xml:space="preserve"> and (ii) the additional information on beneficial ownership in accordance with BDS ITB 47.1 within eight (8) Business days using the Beneficial Ownership Disclosure Form, included in Section X, - Contract Forms, of the Bidding Document. </w:t>
      </w:r>
    </w:p>
    <w:p w14:paraId="2B2E3AFA" w14:textId="77777777" w:rsidR="00157AAA" w:rsidRDefault="00157AAA"/>
    <w:p w14:paraId="27994FB4" w14:textId="77777777" w:rsidR="00157AAA" w:rsidRDefault="00157AAA"/>
    <w:p w14:paraId="3F937FC9" w14:textId="77777777" w:rsidR="00157AAA" w:rsidRDefault="00157AAA"/>
    <w:p w14:paraId="189A223B" w14:textId="77777777" w:rsidR="00157AAA" w:rsidRDefault="006C1BE5">
      <w:pPr>
        <w:tabs>
          <w:tab w:val="left" w:pos="9000"/>
        </w:tabs>
      </w:pPr>
      <w:r>
        <w:t xml:space="preserve">Authorized Signature:  </w:t>
      </w:r>
      <w:r>
        <w:rPr>
          <w:u w:val="single"/>
        </w:rPr>
        <w:tab/>
      </w:r>
    </w:p>
    <w:p w14:paraId="6C1FED99" w14:textId="77777777" w:rsidR="00157AAA" w:rsidRDefault="006C1BE5">
      <w:pPr>
        <w:tabs>
          <w:tab w:val="left" w:pos="9000"/>
        </w:tabs>
      </w:pPr>
      <w:r>
        <w:t>Name and Title of Signatory</w:t>
      </w:r>
      <w:proofErr w:type="gramStart"/>
      <w:r>
        <w:t xml:space="preserve">:  </w:t>
      </w:r>
      <w:r>
        <w:rPr>
          <w:i/>
        </w:rPr>
        <w:t>[</w:t>
      </w:r>
      <w:proofErr w:type="gramEnd"/>
      <w:r>
        <w:rPr>
          <w:i/>
        </w:rPr>
        <w:t xml:space="preserve">insert </w:t>
      </w:r>
      <w:r>
        <w:rPr>
          <w:b/>
          <w:i/>
        </w:rPr>
        <w:t>Name and Title</w:t>
      </w:r>
      <w:r>
        <w:rPr>
          <w:i/>
        </w:rPr>
        <w:t>]</w:t>
      </w:r>
    </w:p>
    <w:p w14:paraId="1FEB0151" w14:textId="77777777" w:rsidR="00157AAA" w:rsidRDefault="006C1BE5">
      <w:pPr>
        <w:tabs>
          <w:tab w:val="left" w:pos="9000"/>
        </w:tabs>
      </w:pPr>
      <w:r>
        <w:t>Name of Agency</w:t>
      </w:r>
      <w:proofErr w:type="gramStart"/>
      <w:r>
        <w:t xml:space="preserve">:  </w:t>
      </w:r>
      <w:r>
        <w:rPr>
          <w:i/>
        </w:rPr>
        <w:t>[</w:t>
      </w:r>
      <w:proofErr w:type="gramEnd"/>
      <w:r>
        <w:rPr>
          <w:i/>
        </w:rPr>
        <w:t xml:space="preserve">insert </w:t>
      </w:r>
      <w:r>
        <w:rPr>
          <w:b/>
          <w:i/>
        </w:rPr>
        <w:t>Purchaser Name</w:t>
      </w:r>
      <w:r>
        <w:rPr>
          <w:i/>
        </w:rPr>
        <w:t>]</w:t>
      </w:r>
    </w:p>
    <w:p w14:paraId="159E4849" w14:textId="77777777" w:rsidR="00157AAA" w:rsidRDefault="00157AAA"/>
    <w:p w14:paraId="7447D369" w14:textId="77777777" w:rsidR="00157AAA" w:rsidRDefault="006C1BE5">
      <w:pPr>
        <w:rPr>
          <w:bCs/>
          <w:szCs w:val="24"/>
        </w:rPr>
      </w:pPr>
      <w:r>
        <w:rPr>
          <w:bCs/>
          <w:szCs w:val="24"/>
        </w:rPr>
        <w:t>Attachment:  Contract Agreement</w:t>
      </w:r>
    </w:p>
    <w:p w14:paraId="02865A82" w14:textId="77777777" w:rsidR="00157AAA" w:rsidRDefault="006C1BE5">
      <w:pPr>
        <w:spacing w:after="0"/>
        <w:jc w:val="left"/>
      </w:pPr>
      <w:r>
        <w:br w:type="page" w:clear="all"/>
      </w:r>
    </w:p>
    <w:p w14:paraId="774AEE56" w14:textId="77777777" w:rsidR="00157AAA" w:rsidRDefault="00157AAA"/>
    <w:p w14:paraId="10A65388" w14:textId="77777777" w:rsidR="00157AAA" w:rsidRDefault="006C1BE5">
      <w:pPr>
        <w:pStyle w:val="Head81"/>
      </w:pPr>
      <w:bookmarkStart w:id="1025" w:name="_Toc73977977"/>
      <w:r>
        <w:t>1.  Contract Agreement</w:t>
      </w:r>
      <w:bookmarkEnd w:id="1025"/>
    </w:p>
    <w:p w14:paraId="57DF3D61" w14:textId="77777777" w:rsidR="00157AAA" w:rsidRDefault="00157AAA">
      <w:pPr>
        <w:tabs>
          <w:tab w:val="left" w:pos="5400"/>
          <w:tab w:val="left" w:pos="8280"/>
        </w:tabs>
        <w:rPr>
          <w:sz w:val="22"/>
        </w:rPr>
      </w:pPr>
    </w:p>
    <w:p w14:paraId="2A429C30" w14:textId="77777777" w:rsidR="00157AAA" w:rsidRDefault="006C1BE5">
      <w:pPr>
        <w:tabs>
          <w:tab w:val="left" w:pos="5400"/>
          <w:tab w:val="left" w:pos="8280"/>
        </w:tabs>
      </w:pPr>
      <w:r>
        <w:t xml:space="preserve">THIS CONTRACT AGREEMENT is </w:t>
      </w:r>
      <w:proofErr w:type="gramStart"/>
      <w:r>
        <w:t>made</w:t>
      </w:r>
      <w:proofErr w:type="gramEnd"/>
    </w:p>
    <w:p w14:paraId="586EB122" w14:textId="77777777" w:rsidR="00157AAA" w:rsidRDefault="006C1BE5">
      <w:pPr>
        <w:tabs>
          <w:tab w:val="left" w:pos="720"/>
          <w:tab w:val="left" w:pos="2520"/>
          <w:tab w:val="left" w:pos="6120"/>
          <w:tab w:val="left" w:pos="7200"/>
        </w:tabs>
        <w:spacing w:after="240"/>
      </w:pPr>
      <w:r>
        <w:tab/>
        <w:t xml:space="preserve">the </w:t>
      </w:r>
      <w:r>
        <w:rPr>
          <w:rStyle w:val="preparersnote"/>
          <w:b w:val="0"/>
        </w:rPr>
        <w:t xml:space="preserve">[ insert:  </w:t>
      </w:r>
      <w:r>
        <w:rPr>
          <w:rStyle w:val="preparersnote"/>
        </w:rPr>
        <w:t xml:space="preserve">ordinal </w:t>
      </w:r>
      <w:proofErr w:type="gramStart"/>
      <w:r>
        <w:rPr>
          <w:rStyle w:val="preparersnote"/>
        </w:rPr>
        <w:t>number</w:t>
      </w:r>
      <w:r>
        <w:rPr>
          <w:rStyle w:val="preparersnote"/>
          <w:b w:val="0"/>
        </w:rPr>
        <w:t> ]</w:t>
      </w:r>
      <w:proofErr w:type="gramEnd"/>
      <w:r>
        <w:t xml:space="preserve"> day of  </w:t>
      </w:r>
      <w:r>
        <w:rPr>
          <w:rStyle w:val="preparersnote"/>
          <w:b w:val="0"/>
        </w:rPr>
        <w:t xml:space="preserve">[ insert: </w:t>
      </w:r>
      <w:r>
        <w:rPr>
          <w:rStyle w:val="preparersnote"/>
        </w:rPr>
        <w:t xml:space="preserve"> month</w:t>
      </w:r>
      <w:r>
        <w:rPr>
          <w:rStyle w:val="preparersnote"/>
          <w:b w:val="0"/>
        </w:rPr>
        <w:t xml:space="preserve"> ], [ insert: </w:t>
      </w:r>
      <w:r>
        <w:rPr>
          <w:rStyle w:val="preparersnote"/>
        </w:rPr>
        <w:t xml:space="preserve"> year ].</w:t>
      </w:r>
    </w:p>
    <w:p w14:paraId="298E3B12" w14:textId="77777777" w:rsidR="00157AAA" w:rsidRDefault="006C1BE5">
      <w:r>
        <w:t>BETWEEN</w:t>
      </w:r>
    </w:p>
    <w:p w14:paraId="507CF396" w14:textId="77777777" w:rsidR="00157AAA" w:rsidRDefault="006C1BE5">
      <w:pPr>
        <w:ind w:left="1440" w:hanging="720"/>
      </w:pPr>
      <w:r>
        <w:t>(1)</w:t>
      </w:r>
      <w:r>
        <w:tab/>
      </w:r>
      <w:r>
        <w:rPr>
          <w:rStyle w:val="preparersnote"/>
          <w:b w:val="0"/>
        </w:rPr>
        <w:t xml:space="preserve">[ insert:  </w:t>
      </w:r>
      <w:r>
        <w:rPr>
          <w:rStyle w:val="preparersnote"/>
        </w:rPr>
        <w:t xml:space="preserve">Name of </w:t>
      </w:r>
      <w:proofErr w:type="gramStart"/>
      <w:r>
        <w:rPr>
          <w:rStyle w:val="preparersnote"/>
        </w:rPr>
        <w:t>Purchaser</w:t>
      </w:r>
      <w:r>
        <w:rPr>
          <w:rStyle w:val="preparersnote"/>
          <w:b w:val="0"/>
        </w:rPr>
        <w:t> ]</w:t>
      </w:r>
      <w:proofErr w:type="gramEnd"/>
      <w:r>
        <w:rPr>
          <w:rStyle w:val="preparersnote"/>
          <w:b w:val="0"/>
        </w:rPr>
        <w:t>,</w:t>
      </w:r>
      <w:r>
        <w:rPr>
          <w:b/>
        </w:rPr>
        <w:t xml:space="preserve"> </w:t>
      </w:r>
      <w:r>
        <w:t>a</w:t>
      </w:r>
      <w:r>
        <w:rPr>
          <w:b/>
        </w:rPr>
        <w:t xml:space="preserve"> </w:t>
      </w:r>
      <w:r>
        <w:rPr>
          <w:rStyle w:val="preparersnote"/>
          <w:b w:val="0"/>
        </w:rPr>
        <w:t>[ insert:</w:t>
      </w:r>
      <w:r>
        <w:rPr>
          <w:rStyle w:val="preparersnote"/>
        </w:rPr>
        <w:t xml:space="preserve">  description of type of legal entity</w:t>
      </w:r>
      <w:r>
        <w:rPr>
          <w:rStyle w:val="preparersnote"/>
          <w:b w:val="0"/>
        </w:rPr>
        <w:t xml:space="preserve">, for example, an agency of the Ministry of . . . </w:t>
      </w:r>
      <w:r>
        <w:rPr>
          <w:rStyle w:val="preparersnote"/>
        </w:rPr>
        <w:t>]</w:t>
      </w:r>
      <w:r>
        <w:t xml:space="preserve"> of the Government of </w:t>
      </w:r>
      <w:r>
        <w:rPr>
          <w:rStyle w:val="preparersnote"/>
          <w:b w:val="0"/>
        </w:rPr>
        <w:t xml:space="preserve">[ insert: </w:t>
      </w:r>
      <w:r>
        <w:rPr>
          <w:rStyle w:val="preparersnote"/>
        </w:rPr>
        <w:t xml:space="preserve"> country of Purchaser</w:t>
      </w:r>
      <w:r>
        <w:rPr>
          <w:rStyle w:val="preparersnote"/>
          <w:b w:val="0"/>
        </w:rPr>
        <w:t> ],</w:t>
      </w:r>
      <w:r>
        <w:t xml:space="preserve"> or corporation incorporated under the laws of </w:t>
      </w:r>
      <w:r>
        <w:rPr>
          <w:rStyle w:val="preparersnote"/>
          <w:b w:val="0"/>
        </w:rPr>
        <w:t xml:space="preserve">[ insert:  </w:t>
      </w:r>
      <w:r>
        <w:rPr>
          <w:rStyle w:val="preparersnote"/>
        </w:rPr>
        <w:t>country of Purchaser</w:t>
      </w:r>
      <w:r>
        <w:rPr>
          <w:rStyle w:val="preparersnote"/>
          <w:b w:val="0"/>
        </w:rPr>
        <w:t> ]</w:t>
      </w:r>
      <w:r>
        <w:t xml:space="preserve"> and having its principal place of business at </w:t>
      </w:r>
      <w:r>
        <w:rPr>
          <w:rStyle w:val="preparersnote"/>
          <w:b w:val="0"/>
        </w:rPr>
        <w:t>[ insert</w:t>
      </w:r>
      <w:r>
        <w:rPr>
          <w:rStyle w:val="preparersnote"/>
        </w:rPr>
        <w:t>:  address of Purchaser</w:t>
      </w:r>
      <w:r>
        <w:rPr>
          <w:rStyle w:val="preparersnote"/>
          <w:b w:val="0"/>
        </w:rPr>
        <w:t> ]</w:t>
      </w:r>
      <w:r>
        <w:t xml:space="preserve"> (hereinafter called “the Purchaser”), and </w:t>
      </w:r>
    </w:p>
    <w:p w14:paraId="6499975C" w14:textId="77777777" w:rsidR="00157AAA" w:rsidRDefault="006C1BE5">
      <w:pPr>
        <w:ind w:left="1440" w:hanging="720"/>
      </w:pPr>
      <w:r>
        <w:t>(2)</w:t>
      </w:r>
      <w:r>
        <w:tab/>
      </w:r>
      <w:r>
        <w:rPr>
          <w:rStyle w:val="preparersnote"/>
          <w:b w:val="0"/>
        </w:rPr>
        <w:t xml:space="preserve">[ insert:  </w:t>
      </w:r>
      <w:r>
        <w:rPr>
          <w:rStyle w:val="preparersnote"/>
        </w:rPr>
        <w:t>name of Supplier</w:t>
      </w:r>
      <w:r>
        <w:rPr>
          <w:rStyle w:val="preparersnote"/>
          <w:b w:val="0"/>
        </w:rPr>
        <w:t>],</w:t>
      </w:r>
      <w:r>
        <w:t xml:space="preserve"> a corporation incorporated under the laws of </w:t>
      </w:r>
      <w:r>
        <w:rPr>
          <w:rStyle w:val="preparersnote"/>
          <w:b w:val="0"/>
        </w:rPr>
        <w:t xml:space="preserve">[ insert:  </w:t>
      </w:r>
      <w:r>
        <w:rPr>
          <w:rStyle w:val="preparersnote"/>
        </w:rPr>
        <w:t>country of Supplier</w:t>
      </w:r>
      <w:r>
        <w:rPr>
          <w:rStyle w:val="preparersnote"/>
          <w:b w:val="0"/>
        </w:rPr>
        <w:t>]</w:t>
      </w:r>
      <w:r>
        <w:t xml:space="preserve"> and having its principal place of business at </w:t>
      </w:r>
      <w:r>
        <w:rPr>
          <w:rStyle w:val="preparersnote"/>
          <w:b w:val="0"/>
        </w:rPr>
        <w:t xml:space="preserve">[ insert:  </w:t>
      </w:r>
      <w:r>
        <w:rPr>
          <w:rStyle w:val="preparersnote"/>
        </w:rPr>
        <w:t xml:space="preserve">address of </w:t>
      </w:r>
      <w:proofErr w:type="gramStart"/>
      <w:r>
        <w:rPr>
          <w:rStyle w:val="preparersnote"/>
        </w:rPr>
        <w:t>Supplier</w:t>
      </w:r>
      <w:r>
        <w:rPr>
          <w:rStyle w:val="preparersnote"/>
          <w:b w:val="0"/>
        </w:rPr>
        <w:t> ]</w:t>
      </w:r>
      <w:proofErr w:type="gramEnd"/>
      <w:r>
        <w:rPr>
          <w:rStyle w:val="preparersnote"/>
        </w:rPr>
        <w:t xml:space="preserve"> </w:t>
      </w:r>
      <w:r>
        <w:t>(hereinafter called “the Supplier”).</w:t>
      </w:r>
    </w:p>
    <w:p w14:paraId="73508467" w14:textId="77777777" w:rsidR="00157AAA" w:rsidRDefault="00157AAA"/>
    <w:p w14:paraId="72F45767" w14:textId="77777777" w:rsidR="00157AAA" w:rsidRDefault="006C1BE5">
      <w:r>
        <w:t xml:space="preserve">WHEREAS the Purchaser desires to engage the Supplier to supply, install, achieve Operational Acceptance of, and support the following Information System </w:t>
      </w:r>
      <w:r>
        <w:rPr>
          <w:rStyle w:val="preparersnote"/>
          <w:b w:val="0"/>
        </w:rPr>
        <w:t xml:space="preserve">[ insert:  </w:t>
      </w:r>
      <w:r>
        <w:rPr>
          <w:rStyle w:val="preparersnote"/>
        </w:rPr>
        <w:t xml:space="preserve">brief description of the Information </w:t>
      </w:r>
      <w:proofErr w:type="gramStart"/>
      <w:r>
        <w:rPr>
          <w:rStyle w:val="preparersnote"/>
        </w:rPr>
        <w:t>System</w:t>
      </w:r>
      <w:r>
        <w:rPr>
          <w:rStyle w:val="preparersnote"/>
          <w:b w:val="0"/>
        </w:rPr>
        <w:t> ]</w:t>
      </w:r>
      <w:proofErr w:type="gramEnd"/>
      <w:r>
        <w:rPr>
          <w:b/>
        </w:rPr>
        <w:t xml:space="preserve"> </w:t>
      </w:r>
      <w:r>
        <w:t>(“the System”), and the Supplier has agreed to such engagement upon and subject to the terms and conditions appearing below in this Contract Agreement.</w:t>
      </w:r>
    </w:p>
    <w:p w14:paraId="22CA1184" w14:textId="77777777" w:rsidR="00157AAA" w:rsidRDefault="00157AAA"/>
    <w:p w14:paraId="3D0EBB9C" w14:textId="77777777" w:rsidR="00157AAA" w:rsidRDefault="006C1BE5">
      <w:r>
        <w:t>NOW IT IS HEREBY AGREED as follows:</w:t>
      </w:r>
    </w:p>
    <w:p w14:paraId="79403486" w14:textId="77777777" w:rsidR="00157AAA" w:rsidRDefault="00157AAA"/>
    <w:tbl>
      <w:tblPr>
        <w:tblW w:w="0" w:type="auto"/>
        <w:tblLayout w:type="fixed"/>
        <w:tblLook w:val="0000" w:firstRow="0" w:lastRow="0" w:firstColumn="0" w:lastColumn="0" w:noHBand="0" w:noVBand="0"/>
      </w:tblPr>
      <w:tblGrid>
        <w:gridCol w:w="2160"/>
        <w:gridCol w:w="6948"/>
      </w:tblGrid>
      <w:tr w:rsidR="00157AAA" w14:paraId="64EBFCC7" w14:textId="77777777">
        <w:tc>
          <w:tcPr>
            <w:tcW w:w="2160" w:type="dxa"/>
          </w:tcPr>
          <w:p w14:paraId="2F2BE541" w14:textId="77777777" w:rsidR="00157AAA" w:rsidRDefault="006C1BE5">
            <w:pPr>
              <w:jc w:val="left"/>
            </w:pPr>
            <w:r>
              <w:t xml:space="preserve">Article 1. </w:t>
            </w:r>
            <w:r>
              <w:br/>
            </w:r>
            <w:r>
              <w:br/>
              <w:t>Contract Documents</w:t>
            </w:r>
          </w:p>
        </w:tc>
        <w:tc>
          <w:tcPr>
            <w:tcW w:w="6948" w:type="dxa"/>
          </w:tcPr>
          <w:p w14:paraId="4206A9BB" w14:textId="77777777" w:rsidR="00157AAA" w:rsidRDefault="006C1BE5">
            <w:pPr>
              <w:spacing w:after="200"/>
              <w:ind w:left="540" w:right="-72" w:hanging="540"/>
            </w:pPr>
            <w:r>
              <w:t>1.1</w:t>
            </w:r>
            <w:r>
              <w:tab/>
              <w:t>Contract Documents (Reference GCC Clause 1.1 (a) (ii))</w:t>
            </w:r>
          </w:p>
          <w:p w14:paraId="14AA50D7" w14:textId="77777777" w:rsidR="00157AAA" w:rsidRDefault="006C1BE5">
            <w:pPr>
              <w:spacing w:after="200"/>
              <w:ind w:left="547" w:right="-72"/>
            </w:pPr>
            <w:r>
              <w:t>The following documents shall constitute the Contract between the Purchaser and the Supplier, and each shall be read and construed as an integral part of the Contract:</w:t>
            </w:r>
          </w:p>
        </w:tc>
      </w:tr>
      <w:tr w:rsidR="00157AAA" w14:paraId="6AE2D5ED" w14:textId="77777777">
        <w:tc>
          <w:tcPr>
            <w:tcW w:w="2160" w:type="dxa"/>
          </w:tcPr>
          <w:p w14:paraId="4C4D52BB" w14:textId="77777777" w:rsidR="00157AAA" w:rsidRDefault="00157AAA">
            <w:pPr>
              <w:ind w:left="360" w:hanging="360"/>
              <w:jc w:val="left"/>
            </w:pPr>
          </w:p>
        </w:tc>
        <w:tc>
          <w:tcPr>
            <w:tcW w:w="6948" w:type="dxa"/>
          </w:tcPr>
          <w:p w14:paraId="4D6BB41D" w14:textId="77777777" w:rsidR="00157AAA" w:rsidRDefault="006C1BE5">
            <w:pPr>
              <w:ind w:left="1094" w:right="-72" w:hanging="547"/>
            </w:pPr>
            <w:r>
              <w:t>(a)</w:t>
            </w:r>
            <w:r>
              <w:tab/>
              <w:t>This Contract Agreement and the Appendices attached to the Contract Agreement</w:t>
            </w:r>
          </w:p>
          <w:p w14:paraId="37E990C1" w14:textId="77777777" w:rsidR="00157AAA" w:rsidRDefault="006C1BE5">
            <w:pPr>
              <w:ind w:left="1080" w:right="-72" w:hanging="540"/>
            </w:pPr>
            <w:r>
              <w:t>(b)</w:t>
            </w:r>
            <w:r>
              <w:tab/>
              <w:t>Special Conditions of Contract</w:t>
            </w:r>
          </w:p>
          <w:p w14:paraId="16631C40" w14:textId="77777777" w:rsidR="00157AAA" w:rsidRDefault="006C1BE5">
            <w:pPr>
              <w:ind w:left="1080" w:right="-72" w:hanging="540"/>
            </w:pPr>
            <w:r>
              <w:t>(c)</w:t>
            </w:r>
            <w:r>
              <w:tab/>
              <w:t>General Conditions of Contract</w:t>
            </w:r>
          </w:p>
          <w:p w14:paraId="733F7872" w14:textId="77777777" w:rsidR="00157AAA" w:rsidRDefault="006C1BE5">
            <w:pPr>
              <w:ind w:left="1080" w:right="-72" w:hanging="540"/>
              <w:jc w:val="left"/>
            </w:pPr>
            <w:r>
              <w:t xml:space="preserve">(d) </w:t>
            </w:r>
            <w:r>
              <w:tab/>
              <w:t>Technical Requirements (including Implementation Schedule)</w:t>
            </w:r>
          </w:p>
          <w:p w14:paraId="64FCAC44" w14:textId="77777777" w:rsidR="00157AAA" w:rsidRDefault="006C1BE5">
            <w:pPr>
              <w:ind w:left="1080" w:right="-72" w:hanging="540"/>
            </w:pPr>
            <w:r>
              <w:t>(e)</w:t>
            </w:r>
            <w:r>
              <w:tab/>
              <w:t xml:space="preserve">The Supplier’s bid and original Price Schedules </w:t>
            </w:r>
          </w:p>
          <w:p w14:paraId="4C699A79" w14:textId="77777777" w:rsidR="00157AAA" w:rsidRDefault="006C1BE5">
            <w:pPr>
              <w:ind w:left="1080" w:right="-72" w:hanging="540"/>
            </w:pPr>
            <w:r>
              <w:t>(f)</w:t>
            </w:r>
            <w:r>
              <w:tab/>
              <w:t>Code of Conduct for Supplier’s Personnel</w:t>
            </w:r>
          </w:p>
          <w:p w14:paraId="0A57F1C5" w14:textId="77777777" w:rsidR="00157AAA" w:rsidRDefault="006C1BE5">
            <w:pPr>
              <w:ind w:left="1080" w:right="-72" w:hanging="540"/>
            </w:pPr>
            <w:r>
              <w:lastRenderedPageBreak/>
              <w:t xml:space="preserve">(g) </w:t>
            </w:r>
            <w:r>
              <w:rPr>
                <w:rStyle w:val="preparersnote"/>
                <w:b w:val="0"/>
              </w:rPr>
              <w:t xml:space="preserve">[ Add here:  </w:t>
            </w:r>
            <w:r>
              <w:rPr>
                <w:rStyle w:val="preparersnote"/>
              </w:rPr>
              <w:t xml:space="preserve">any other </w:t>
            </w:r>
            <w:proofErr w:type="gramStart"/>
            <w:r>
              <w:rPr>
                <w:rStyle w:val="preparersnote"/>
              </w:rPr>
              <w:t>documents</w:t>
            </w:r>
            <w:r>
              <w:rPr>
                <w:rStyle w:val="preparersnote"/>
                <w:b w:val="0"/>
              </w:rPr>
              <w:t> ]</w:t>
            </w:r>
            <w:proofErr w:type="gramEnd"/>
          </w:p>
        </w:tc>
      </w:tr>
      <w:tr w:rsidR="00157AAA" w14:paraId="5B95F295" w14:textId="77777777">
        <w:tc>
          <w:tcPr>
            <w:tcW w:w="2160" w:type="dxa"/>
          </w:tcPr>
          <w:p w14:paraId="1B35CA41" w14:textId="77777777" w:rsidR="00157AAA" w:rsidRDefault="00157AAA">
            <w:pPr>
              <w:ind w:left="360" w:hanging="360"/>
              <w:jc w:val="left"/>
            </w:pPr>
          </w:p>
        </w:tc>
        <w:tc>
          <w:tcPr>
            <w:tcW w:w="6948" w:type="dxa"/>
          </w:tcPr>
          <w:p w14:paraId="799CDB7A" w14:textId="77777777" w:rsidR="00157AAA" w:rsidRDefault="006C1BE5">
            <w:pPr>
              <w:ind w:left="540" w:right="-72" w:hanging="540"/>
            </w:pPr>
            <w:r>
              <w:t>1.2</w:t>
            </w:r>
            <w:r>
              <w:tab/>
              <w:t>Order of Precedence (Reference GCC Clause 2)</w:t>
            </w:r>
          </w:p>
          <w:p w14:paraId="119CDC8C" w14:textId="77777777" w:rsidR="00157AAA" w:rsidRDefault="006C1BE5">
            <w:pPr>
              <w:ind w:left="540" w:right="-72"/>
            </w:pPr>
            <w:r>
              <w:t xml:space="preserve">In the event of any ambiguity or conflict between the Contract Documents listed above, the order of precedence shall be the order in which the Contract Documents are listed in Article 1.1 (Contract Documents) above, </w:t>
            </w:r>
            <w:proofErr w:type="gramStart"/>
            <w:r>
              <w:t>provided that</w:t>
            </w:r>
            <w:proofErr w:type="gramEnd"/>
            <w:r>
              <w:t xml:space="preserve"> Appendix 7 shall prevail over all provisions of the Contract Agreement and the other Appendices attached to the Contract Agreement and all the other Contract Documents listed in Article 1.1 above.</w:t>
            </w:r>
          </w:p>
          <w:p w14:paraId="49C598D6" w14:textId="77777777" w:rsidR="00157AAA" w:rsidRDefault="006C1BE5">
            <w:pPr>
              <w:ind w:left="540" w:right="-72" w:hanging="540"/>
            </w:pPr>
            <w:r>
              <w:t>1.3</w:t>
            </w:r>
            <w:r>
              <w:tab/>
              <w:t>Definitions (Reference GCC Clause 1)</w:t>
            </w:r>
          </w:p>
          <w:p w14:paraId="3C852980" w14:textId="77777777" w:rsidR="00157AAA" w:rsidRDefault="006C1BE5">
            <w:pPr>
              <w:ind w:left="540" w:right="-72"/>
            </w:pPr>
            <w:r>
              <w:t>Capitalized words and phrases used in this Contract Agreement shall have the same meanings as are ascribed to them in the General Conditions of Contract.</w:t>
            </w:r>
          </w:p>
        </w:tc>
      </w:tr>
      <w:tr w:rsidR="00157AAA" w14:paraId="758CDDFF" w14:textId="77777777">
        <w:tc>
          <w:tcPr>
            <w:tcW w:w="2160" w:type="dxa"/>
          </w:tcPr>
          <w:p w14:paraId="22882B3A" w14:textId="77777777" w:rsidR="00157AAA" w:rsidRDefault="006C1BE5">
            <w:pPr>
              <w:jc w:val="left"/>
            </w:pPr>
            <w:r>
              <w:t xml:space="preserve">Article 2.  </w:t>
            </w:r>
            <w:r>
              <w:br/>
            </w:r>
            <w:r>
              <w:br/>
              <w:t>Contract Price and Terms of Payment</w:t>
            </w:r>
          </w:p>
        </w:tc>
        <w:tc>
          <w:tcPr>
            <w:tcW w:w="6948" w:type="dxa"/>
          </w:tcPr>
          <w:p w14:paraId="5CEF1587" w14:textId="77777777" w:rsidR="00157AAA" w:rsidRDefault="006C1BE5">
            <w:pPr>
              <w:ind w:left="540" w:right="-72" w:hanging="540"/>
            </w:pPr>
            <w:r>
              <w:t>2.1</w:t>
            </w:r>
            <w:r>
              <w:tab/>
              <w:t>Contract Price (Reference GCC Clause 1.1(a)(viii) and GCC Clause 11)</w:t>
            </w:r>
          </w:p>
          <w:p w14:paraId="5B19C47E" w14:textId="77777777" w:rsidR="00157AAA" w:rsidRDefault="006C1BE5">
            <w:pPr>
              <w:ind w:left="540" w:right="-72"/>
            </w:pPr>
            <w:r>
              <w:t xml:space="preserve">The Purchaser hereby agrees to pay to the Supplier the Contract Price in consideration of the performance by the Supplier of its obligations under the Contract.  The Contract Price shall be the aggregate of:  </w:t>
            </w:r>
            <w:r>
              <w:rPr>
                <w:rStyle w:val="preparersnote"/>
                <w:b w:val="0"/>
              </w:rPr>
              <w:t xml:space="preserve">[ insert:  </w:t>
            </w:r>
            <w:r>
              <w:rPr>
                <w:rStyle w:val="preparersnote"/>
              </w:rPr>
              <w:t>amount of foreign currency A in words </w:t>
            </w:r>
            <w:r>
              <w:rPr>
                <w:rStyle w:val="preparersnote"/>
                <w:b w:val="0"/>
              </w:rPr>
              <w:t>],</w:t>
            </w:r>
            <w:r>
              <w:rPr>
                <w:b/>
              </w:rPr>
              <w:t xml:space="preserve"> </w:t>
            </w:r>
            <w:r>
              <w:rPr>
                <w:rStyle w:val="preparersnote"/>
                <w:b w:val="0"/>
              </w:rPr>
              <w:t xml:space="preserve">[insert:  </w:t>
            </w:r>
            <w:r>
              <w:rPr>
                <w:rStyle w:val="preparersnote"/>
              </w:rPr>
              <w:t>amount in figures</w:t>
            </w:r>
            <w:r>
              <w:rPr>
                <w:rStyle w:val="preparersnote"/>
                <w:b w:val="0"/>
              </w:rPr>
              <w:t> ],</w:t>
            </w:r>
            <w:r>
              <w:rPr>
                <w:b/>
              </w:rPr>
              <w:t xml:space="preserve"> </w:t>
            </w:r>
            <w:r>
              <w:t>plus</w:t>
            </w:r>
            <w:r>
              <w:rPr>
                <w:b/>
              </w:rPr>
              <w:t xml:space="preserve"> </w:t>
            </w:r>
            <w:r>
              <w:rPr>
                <w:rStyle w:val="preparersnote"/>
                <w:b w:val="0"/>
              </w:rPr>
              <w:t xml:space="preserve">[ insert:  </w:t>
            </w:r>
            <w:r>
              <w:rPr>
                <w:rStyle w:val="preparersnote"/>
              </w:rPr>
              <w:t>amount of foreign currency B in words </w:t>
            </w:r>
            <w:r>
              <w:rPr>
                <w:rStyle w:val="preparersnote"/>
                <w:b w:val="0"/>
              </w:rPr>
              <w:t>],</w:t>
            </w:r>
            <w:r>
              <w:rPr>
                <w:b/>
              </w:rPr>
              <w:t xml:space="preserve"> </w:t>
            </w:r>
            <w:r>
              <w:rPr>
                <w:rStyle w:val="preparersnote"/>
                <w:b w:val="0"/>
              </w:rPr>
              <w:t xml:space="preserve">[insert:  </w:t>
            </w:r>
            <w:r>
              <w:rPr>
                <w:rStyle w:val="preparersnote"/>
              </w:rPr>
              <w:t>amount in figures</w:t>
            </w:r>
            <w:r>
              <w:rPr>
                <w:rStyle w:val="preparersnote"/>
                <w:b w:val="0"/>
              </w:rPr>
              <w:t> </w:t>
            </w:r>
            <w:r>
              <w:rPr>
                <w:rStyle w:val="preparersnote"/>
              </w:rPr>
              <w:t>],</w:t>
            </w:r>
            <w:r>
              <w:t xml:space="preserve"> plus </w:t>
            </w:r>
            <w:r>
              <w:rPr>
                <w:rStyle w:val="preparersnote"/>
                <w:b w:val="0"/>
              </w:rPr>
              <w:t xml:space="preserve">[ insert: </w:t>
            </w:r>
            <w:r>
              <w:rPr>
                <w:rStyle w:val="preparersnote"/>
              </w:rPr>
              <w:t xml:space="preserve"> amount of foreign currency C in words</w:t>
            </w:r>
            <w:r>
              <w:rPr>
                <w:rStyle w:val="preparersnote"/>
                <w:b w:val="0"/>
              </w:rPr>
              <w:t> ], [insert</w:t>
            </w:r>
            <w:r>
              <w:rPr>
                <w:rStyle w:val="preparersnote"/>
              </w:rPr>
              <w:t xml:space="preserve">: </w:t>
            </w:r>
            <w:r>
              <w:rPr>
                <w:rStyle w:val="preparersnote"/>
                <w:b w:val="0"/>
              </w:rPr>
              <w:t xml:space="preserve"> </w:t>
            </w:r>
            <w:r>
              <w:rPr>
                <w:rStyle w:val="preparersnote"/>
              </w:rPr>
              <w:t>amount in figures</w:t>
            </w:r>
            <w:r>
              <w:rPr>
                <w:rStyle w:val="preparersnote"/>
                <w:b w:val="0"/>
              </w:rPr>
              <w:t xml:space="preserve"> ],  [ insert:  </w:t>
            </w:r>
            <w:r>
              <w:rPr>
                <w:rStyle w:val="preparersnote"/>
              </w:rPr>
              <w:t>amount of local currency in words</w:t>
            </w:r>
            <w:r>
              <w:rPr>
                <w:rStyle w:val="preparersnote"/>
                <w:b w:val="0"/>
              </w:rPr>
              <w:t xml:space="preserve"> ], [ insert:  </w:t>
            </w:r>
            <w:r>
              <w:rPr>
                <w:rStyle w:val="preparersnote"/>
              </w:rPr>
              <w:t>amount in figures ],</w:t>
            </w:r>
            <w:r>
              <w:t xml:space="preserve"> as specified in the Grand Summary Price Schedule.</w:t>
            </w:r>
          </w:p>
          <w:p w14:paraId="0693F78F" w14:textId="77777777" w:rsidR="00157AAA" w:rsidRDefault="006C1BE5">
            <w:pPr>
              <w:ind w:left="540" w:right="-72"/>
            </w:pPr>
            <w:r>
              <w:t xml:space="preserve">The Contract Price shall be understood to reflect the terms and conditions used in the specification of prices in the detailed price schedules, including the terms and conditions of the associated Incoterms, and the taxes, </w:t>
            </w:r>
            <w:proofErr w:type="gramStart"/>
            <w:r>
              <w:t>duties</w:t>
            </w:r>
            <w:proofErr w:type="gramEnd"/>
            <w:r>
              <w:t xml:space="preserve"> and related levies if and as identified.</w:t>
            </w:r>
          </w:p>
        </w:tc>
      </w:tr>
      <w:tr w:rsidR="00157AAA" w14:paraId="19A2B981" w14:textId="77777777">
        <w:tc>
          <w:tcPr>
            <w:tcW w:w="2160" w:type="dxa"/>
          </w:tcPr>
          <w:p w14:paraId="382D708E" w14:textId="77777777" w:rsidR="00157AAA" w:rsidRDefault="006C1BE5">
            <w:pPr>
              <w:jc w:val="left"/>
            </w:pPr>
            <w:r>
              <w:t xml:space="preserve">Article 3.  </w:t>
            </w:r>
            <w:r>
              <w:br/>
            </w:r>
            <w:r>
              <w:br/>
              <w:t>Effective Date for Determining Time for Operational Acceptance</w:t>
            </w:r>
          </w:p>
        </w:tc>
        <w:tc>
          <w:tcPr>
            <w:tcW w:w="6948" w:type="dxa"/>
          </w:tcPr>
          <w:p w14:paraId="4243C73C" w14:textId="77777777" w:rsidR="00157AAA" w:rsidRDefault="006C1BE5">
            <w:pPr>
              <w:ind w:left="540" w:right="-72" w:hanging="540"/>
            </w:pPr>
            <w:r>
              <w:t>3.1</w:t>
            </w:r>
            <w:r>
              <w:tab/>
              <w:t>Effective Date (Reference GCC Clause 1.1 (e) (ix))</w:t>
            </w:r>
          </w:p>
          <w:p w14:paraId="3D3F25DC" w14:textId="77777777" w:rsidR="00157AAA" w:rsidRDefault="006C1BE5">
            <w:pPr>
              <w:ind w:left="540" w:right="-72"/>
            </w:pPr>
            <w:r>
              <w:t xml:space="preserve">The time allowed for supply, installation, and achieving Operational Acceptance of the System shall be determined from the date when </w:t>
            </w:r>
            <w:proofErr w:type="gramStart"/>
            <w:r>
              <w:t>all of</w:t>
            </w:r>
            <w:proofErr w:type="gramEnd"/>
            <w:r>
              <w:t xml:space="preserve"> the following conditions have been fulfilled:</w:t>
            </w:r>
          </w:p>
          <w:p w14:paraId="3A9C3354" w14:textId="77777777" w:rsidR="00157AAA" w:rsidRDefault="006C1BE5">
            <w:pPr>
              <w:ind w:left="1080" w:right="-72" w:hanging="540"/>
            </w:pPr>
            <w:r>
              <w:t>(a)</w:t>
            </w:r>
            <w:r>
              <w:tab/>
              <w:t xml:space="preserve">This Contract Agreement has been duly executed for and on behalf of the Purchaser and the </w:t>
            </w:r>
            <w:proofErr w:type="gramStart"/>
            <w:r>
              <w:t>Supplier;</w:t>
            </w:r>
            <w:proofErr w:type="gramEnd"/>
          </w:p>
          <w:p w14:paraId="1569DF28" w14:textId="77777777" w:rsidR="00157AAA" w:rsidRDefault="006C1BE5">
            <w:pPr>
              <w:ind w:left="1080" w:right="-72" w:hanging="540"/>
            </w:pPr>
            <w:r>
              <w:t>(b)</w:t>
            </w:r>
            <w:r>
              <w:tab/>
              <w:t>The Supplier has submitted to the Purchaser the performance security and the advance payment security, in accordance with GCC Clause 13.2 and GCC Clause 13.3;</w:t>
            </w:r>
          </w:p>
        </w:tc>
      </w:tr>
      <w:tr w:rsidR="00157AAA" w14:paraId="173EAE3F" w14:textId="77777777">
        <w:tc>
          <w:tcPr>
            <w:tcW w:w="2160" w:type="dxa"/>
          </w:tcPr>
          <w:p w14:paraId="12B357A4" w14:textId="77777777" w:rsidR="00157AAA" w:rsidRDefault="00157AAA">
            <w:pPr>
              <w:ind w:left="360" w:hanging="360"/>
              <w:jc w:val="left"/>
            </w:pPr>
          </w:p>
        </w:tc>
        <w:tc>
          <w:tcPr>
            <w:tcW w:w="6948" w:type="dxa"/>
          </w:tcPr>
          <w:p w14:paraId="0535F6E3" w14:textId="77777777" w:rsidR="00157AAA" w:rsidRDefault="006C1BE5">
            <w:pPr>
              <w:ind w:left="1080" w:right="-72" w:hanging="540"/>
            </w:pPr>
            <w:r>
              <w:t>(c)</w:t>
            </w:r>
            <w:r>
              <w:tab/>
              <w:t>The Purchaser has paid the Supplier the advance payment, in accordance with GCC Clause </w:t>
            </w:r>
            <w:proofErr w:type="gramStart"/>
            <w:r>
              <w:t>12;</w:t>
            </w:r>
            <w:proofErr w:type="gramEnd"/>
          </w:p>
          <w:p w14:paraId="024D20CF" w14:textId="77777777" w:rsidR="00157AAA" w:rsidRDefault="006C1BE5">
            <w:pPr>
              <w:ind w:left="540" w:right="-72"/>
            </w:pPr>
            <w:r>
              <w:lastRenderedPageBreak/>
              <w:t>Each party shall use its best efforts to fulfill the above conditions for which it is responsible as soon as practicable.</w:t>
            </w:r>
          </w:p>
          <w:p w14:paraId="63F05D78" w14:textId="77777777" w:rsidR="00157AAA" w:rsidRDefault="006C1BE5">
            <w:pPr>
              <w:ind w:left="540" w:right="-72" w:hanging="540"/>
            </w:pPr>
            <w:r>
              <w:t>3.2</w:t>
            </w:r>
            <w:r>
              <w:tab/>
              <w:t>If the conditions listed under 3.1 are not fulfilled within two (2) months from the date of this Contract Agreement because of reasons not attributable to the Supplier, the parties shall discuss and agree on an equitable adjustment to the Contract Price and the Time for Achieving Operational Acceptance and/or other relevant conditions of the Contract.</w:t>
            </w:r>
          </w:p>
        </w:tc>
      </w:tr>
      <w:tr w:rsidR="00157AAA" w14:paraId="760122FC" w14:textId="77777777">
        <w:tc>
          <w:tcPr>
            <w:tcW w:w="2160" w:type="dxa"/>
          </w:tcPr>
          <w:p w14:paraId="5AAF75B6" w14:textId="77777777" w:rsidR="00157AAA" w:rsidRDefault="006C1BE5">
            <w:pPr>
              <w:jc w:val="left"/>
            </w:pPr>
            <w:r>
              <w:lastRenderedPageBreak/>
              <w:t xml:space="preserve">Article 4.  </w:t>
            </w:r>
            <w:r>
              <w:br/>
            </w:r>
            <w:r>
              <w:br/>
              <w:t>Appendixes</w:t>
            </w:r>
          </w:p>
        </w:tc>
        <w:tc>
          <w:tcPr>
            <w:tcW w:w="6948" w:type="dxa"/>
          </w:tcPr>
          <w:p w14:paraId="1843A441" w14:textId="77777777" w:rsidR="00157AAA" w:rsidRDefault="006C1BE5">
            <w:pPr>
              <w:ind w:left="540" w:right="-72" w:hanging="540"/>
            </w:pPr>
            <w:r>
              <w:t>4.1</w:t>
            </w:r>
            <w:r>
              <w:tab/>
              <w:t>The Appendixes listed below shall be deemed to form an integral part of this Contract Agreement.</w:t>
            </w:r>
          </w:p>
        </w:tc>
      </w:tr>
      <w:tr w:rsidR="00157AAA" w14:paraId="5A152DD3" w14:textId="77777777">
        <w:tc>
          <w:tcPr>
            <w:tcW w:w="2160" w:type="dxa"/>
          </w:tcPr>
          <w:p w14:paraId="24A8016E" w14:textId="77777777" w:rsidR="00157AAA" w:rsidRDefault="00157AAA">
            <w:pPr>
              <w:ind w:left="360" w:hanging="360"/>
              <w:jc w:val="left"/>
            </w:pPr>
          </w:p>
        </w:tc>
        <w:tc>
          <w:tcPr>
            <w:tcW w:w="6948" w:type="dxa"/>
          </w:tcPr>
          <w:p w14:paraId="5C4B9161" w14:textId="77777777" w:rsidR="00157AAA" w:rsidRDefault="006C1BE5">
            <w:pPr>
              <w:ind w:left="540" w:right="-72" w:hanging="540"/>
            </w:pPr>
            <w:r>
              <w:t>4.2</w:t>
            </w:r>
            <w:r>
              <w:tab/>
              <w:t>Reference in the Contract to any Appendix shall mean the Appendixes listed below and attached to this Contract Agreement, and the Contract shall be read and construed accordingly.</w:t>
            </w:r>
          </w:p>
        </w:tc>
      </w:tr>
    </w:tbl>
    <w:p w14:paraId="798BCD98" w14:textId="77777777" w:rsidR="00157AAA" w:rsidRDefault="00157AAA"/>
    <w:p w14:paraId="035B272D" w14:textId="77777777" w:rsidR="00157AAA" w:rsidRDefault="006C1BE5">
      <w:r>
        <w:t>APPENDIXES</w:t>
      </w:r>
    </w:p>
    <w:p w14:paraId="5AFA8CA3" w14:textId="77777777" w:rsidR="00157AAA" w:rsidRDefault="006C1BE5">
      <w:pPr>
        <w:spacing w:after="60"/>
        <w:ind w:left="2160" w:hanging="1440"/>
      </w:pPr>
      <w:r>
        <w:t>Appendix 1.</w:t>
      </w:r>
      <w:r>
        <w:tab/>
        <w:t>Supplier’s Representative</w:t>
      </w:r>
      <w:r>
        <w:tab/>
      </w:r>
    </w:p>
    <w:p w14:paraId="58F23842" w14:textId="77777777" w:rsidR="00157AAA" w:rsidRDefault="006C1BE5">
      <w:pPr>
        <w:spacing w:after="60"/>
        <w:ind w:left="2160" w:hanging="1440"/>
        <w:rPr>
          <w:i/>
        </w:rPr>
      </w:pPr>
      <w:r>
        <w:t>Appendix 2.</w:t>
      </w:r>
      <w:r>
        <w:tab/>
        <w:t xml:space="preserve">Adjudicator </w:t>
      </w:r>
      <w:r>
        <w:rPr>
          <w:i/>
        </w:rPr>
        <w:t xml:space="preserve">[if there is no Adjudicator, state </w:t>
      </w:r>
      <w:r>
        <w:rPr>
          <w:b/>
          <w:i/>
        </w:rPr>
        <w:t>“not applicable”</w:t>
      </w:r>
      <w:r>
        <w:rPr>
          <w:i/>
        </w:rPr>
        <w:t>]</w:t>
      </w:r>
    </w:p>
    <w:p w14:paraId="5F651D28" w14:textId="77777777" w:rsidR="00157AAA" w:rsidRDefault="006C1BE5">
      <w:pPr>
        <w:spacing w:after="60"/>
        <w:ind w:left="2160" w:hanging="1440"/>
      </w:pPr>
      <w:r>
        <w:t>Appendix 3.</w:t>
      </w:r>
      <w:r>
        <w:tab/>
        <w:t>List of Approved Subcontractors</w:t>
      </w:r>
    </w:p>
    <w:p w14:paraId="451C77EC" w14:textId="77777777" w:rsidR="00157AAA" w:rsidRDefault="006C1BE5">
      <w:pPr>
        <w:spacing w:after="60"/>
        <w:ind w:left="2160" w:hanging="1440"/>
      </w:pPr>
      <w:r>
        <w:t>Appendix 4.</w:t>
      </w:r>
      <w:r>
        <w:tab/>
        <w:t>Categories of Software</w:t>
      </w:r>
    </w:p>
    <w:p w14:paraId="70318441" w14:textId="77777777" w:rsidR="00157AAA" w:rsidRDefault="006C1BE5">
      <w:pPr>
        <w:spacing w:after="60"/>
        <w:ind w:left="2160" w:hanging="1440"/>
      </w:pPr>
      <w:r>
        <w:t>Appendix 5.</w:t>
      </w:r>
      <w:r>
        <w:tab/>
        <w:t>Custom Materials</w:t>
      </w:r>
    </w:p>
    <w:p w14:paraId="36ABA48E" w14:textId="77777777" w:rsidR="00157AAA" w:rsidRDefault="006C1BE5">
      <w:pPr>
        <w:spacing w:after="60"/>
        <w:ind w:left="2160" w:hanging="1440"/>
      </w:pPr>
      <w:r>
        <w:t>Appendix 6.</w:t>
      </w:r>
      <w:r>
        <w:tab/>
        <w:t>Revised Price Schedules (if any)</w:t>
      </w:r>
    </w:p>
    <w:p w14:paraId="71D4A7A3" w14:textId="77777777" w:rsidR="00157AAA" w:rsidRDefault="006C1BE5">
      <w:pPr>
        <w:spacing w:after="0"/>
        <w:ind w:left="2160" w:hanging="1440"/>
      </w:pPr>
      <w:r>
        <w:t>Appendix 7.</w:t>
      </w:r>
      <w:r>
        <w:tab/>
        <w:t>Minutes of Contract Finalization Discussions and Agreed-to Contract Amendments</w:t>
      </w:r>
    </w:p>
    <w:p w14:paraId="06300012" w14:textId="77777777" w:rsidR="00157AAA" w:rsidRDefault="00157AAA"/>
    <w:p w14:paraId="7A7F5CB8" w14:textId="77777777" w:rsidR="00157AAA" w:rsidRDefault="006C1BE5">
      <w:r>
        <w:t>IN WITNESS WHEREOF the Purchaser and the Supplier have caused this Agreement to be duly executed by their duly authorized representatives the day and year first above written.</w:t>
      </w:r>
    </w:p>
    <w:p w14:paraId="0315092A" w14:textId="77777777" w:rsidR="00157AAA" w:rsidRDefault="00157AAA"/>
    <w:p w14:paraId="590D4FB9" w14:textId="77777777" w:rsidR="00157AAA" w:rsidRDefault="006C1BE5">
      <w:r>
        <w:t>For and on behalf of the Purchaser</w:t>
      </w:r>
    </w:p>
    <w:p w14:paraId="6EB84047" w14:textId="77777777" w:rsidR="00157AAA" w:rsidRDefault="00157AAA"/>
    <w:p w14:paraId="2D86CCFE" w14:textId="77777777" w:rsidR="00157AAA" w:rsidRDefault="006C1BE5">
      <w:pPr>
        <w:tabs>
          <w:tab w:val="left" w:pos="900"/>
          <w:tab w:val="left" w:pos="7200"/>
        </w:tabs>
      </w:pPr>
      <w:r>
        <w:t>Signed:</w:t>
      </w:r>
      <w:r>
        <w:tab/>
      </w:r>
      <w:r>
        <w:tab/>
      </w:r>
    </w:p>
    <w:p w14:paraId="27730703" w14:textId="77777777" w:rsidR="00157AAA" w:rsidRDefault="006C1BE5">
      <w:pPr>
        <w:tabs>
          <w:tab w:val="left" w:pos="900"/>
          <w:tab w:val="left" w:pos="7200"/>
        </w:tabs>
        <w:rPr>
          <w:b/>
        </w:rPr>
      </w:pPr>
      <w:r>
        <w:tab/>
        <w:t xml:space="preserve">in the capacity of </w:t>
      </w:r>
      <w:r>
        <w:rPr>
          <w:rStyle w:val="preparersnote"/>
          <w:b w:val="0"/>
        </w:rPr>
        <w:t xml:space="preserve">[ insert: </w:t>
      </w:r>
      <w:r>
        <w:rPr>
          <w:rStyle w:val="preparersnote"/>
        </w:rPr>
        <w:t xml:space="preserve"> title or other appropriate </w:t>
      </w:r>
      <w:proofErr w:type="gramStart"/>
      <w:r>
        <w:rPr>
          <w:rStyle w:val="preparersnote"/>
        </w:rPr>
        <w:t>designation</w:t>
      </w:r>
      <w:r>
        <w:rPr>
          <w:rStyle w:val="preparersnote"/>
          <w:b w:val="0"/>
        </w:rPr>
        <w:t> ]</w:t>
      </w:r>
      <w:proofErr w:type="gramEnd"/>
    </w:p>
    <w:p w14:paraId="02E0D6A9" w14:textId="77777777" w:rsidR="00157AAA" w:rsidRDefault="00157AAA"/>
    <w:p w14:paraId="0697B956" w14:textId="77777777" w:rsidR="00157AAA" w:rsidRDefault="006C1BE5">
      <w:pPr>
        <w:tabs>
          <w:tab w:val="left" w:pos="7200"/>
        </w:tabs>
      </w:pPr>
      <w:r>
        <w:t xml:space="preserve">in the presence of </w:t>
      </w:r>
      <w:r>
        <w:tab/>
      </w:r>
    </w:p>
    <w:p w14:paraId="05ADC49B" w14:textId="77777777" w:rsidR="00157AAA" w:rsidRDefault="00157AAA"/>
    <w:p w14:paraId="765C26CB" w14:textId="77777777" w:rsidR="00157AAA" w:rsidRDefault="006C1BE5">
      <w:r>
        <w:t>For and on behalf of the Supplier</w:t>
      </w:r>
    </w:p>
    <w:p w14:paraId="4849290B" w14:textId="77777777" w:rsidR="00157AAA" w:rsidRDefault="00157AAA"/>
    <w:p w14:paraId="39B86223" w14:textId="77777777" w:rsidR="00157AAA" w:rsidRDefault="006C1BE5">
      <w:pPr>
        <w:tabs>
          <w:tab w:val="left" w:pos="900"/>
          <w:tab w:val="left" w:pos="7200"/>
        </w:tabs>
      </w:pPr>
      <w:r>
        <w:lastRenderedPageBreak/>
        <w:t>Signed:</w:t>
      </w:r>
      <w:r>
        <w:tab/>
      </w:r>
      <w:r>
        <w:tab/>
      </w:r>
    </w:p>
    <w:p w14:paraId="7199BC11" w14:textId="77777777" w:rsidR="00157AAA" w:rsidRDefault="006C1BE5">
      <w:pPr>
        <w:tabs>
          <w:tab w:val="left" w:pos="900"/>
          <w:tab w:val="left" w:pos="7200"/>
        </w:tabs>
      </w:pPr>
      <w:r>
        <w:tab/>
        <w:t xml:space="preserve">in the capacity of </w:t>
      </w:r>
      <w:r>
        <w:rPr>
          <w:rStyle w:val="preparersnote"/>
          <w:b w:val="0"/>
        </w:rPr>
        <w:t xml:space="preserve">[ insert: </w:t>
      </w:r>
      <w:r>
        <w:rPr>
          <w:rStyle w:val="preparersnote"/>
        </w:rPr>
        <w:t xml:space="preserve"> title or other appropriate </w:t>
      </w:r>
      <w:proofErr w:type="gramStart"/>
      <w:r>
        <w:rPr>
          <w:rStyle w:val="preparersnote"/>
        </w:rPr>
        <w:t>designation</w:t>
      </w:r>
      <w:r>
        <w:rPr>
          <w:rStyle w:val="preparersnote"/>
          <w:b w:val="0"/>
        </w:rPr>
        <w:t> ]</w:t>
      </w:r>
      <w:proofErr w:type="gramEnd"/>
    </w:p>
    <w:p w14:paraId="31D0D2D6" w14:textId="77777777" w:rsidR="00157AAA" w:rsidRDefault="00157AAA"/>
    <w:p w14:paraId="33351C8E" w14:textId="77777777" w:rsidR="00157AAA" w:rsidRDefault="006C1BE5">
      <w:pPr>
        <w:tabs>
          <w:tab w:val="left" w:pos="7200"/>
        </w:tabs>
      </w:pPr>
      <w:r>
        <w:t xml:space="preserve">in the presence of </w:t>
      </w:r>
      <w:r>
        <w:tab/>
      </w:r>
    </w:p>
    <w:p w14:paraId="17955200" w14:textId="77777777" w:rsidR="00157AAA" w:rsidRDefault="00157AAA"/>
    <w:p w14:paraId="56777861" w14:textId="77777777" w:rsidR="00157AAA" w:rsidRDefault="006C1BE5">
      <w:r>
        <w:t>CONTRACT AGREEMENT</w:t>
      </w:r>
    </w:p>
    <w:p w14:paraId="40520BC9" w14:textId="77777777" w:rsidR="00157AAA" w:rsidRDefault="006C1BE5">
      <w:pPr>
        <w:tabs>
          <w:tab w:val="left" w:pos="900"/>
          <w:tab w:val="left" w:pos="3600"/>
          <w:tab w:val="left" w:pos="7200"/>
          <w:tab w:val="left" w:pos="8280"/>
        </w:tabs>
      </w:pPr>
      <w:r>
        <w:tab/>
        <w:t xml:space="preserve">dated the </w:t>
      </w:r>
      <w:r>
        <w:rPr>
          <w:rStyle w:val="preparersnote"/>
          <w:b w:val="0"/>
        </w:rPr>
        <w:t xml:space="preserve">[ insert: </w:t>
      </w:r>
      <w:r>
        <w:rPr>
          <w:rStyle w:val="preparersnote"/>
        </w:rPr>
        <w:t xml:space="preserve"> </w:t>
      </w:r>
      <w:proofErr w:type="gramStart"/>
      <w:r>
        <w:rPr>
          <w:rStyle w:val="preparersnote"/>
        </w:rPr>
        <w:t>number</w:t>
      </w:r>
      <w:r>
        <w:rPr>
          <w:rStyle w:val="preparersnote"/>
          <w:b w:val="0"/>
        </w:rPr>
        <w:t> ]</w:t>
      </w:r>
      <w:proofErr w:type="gramEnd"/>
      <w:r>
        <w:rPr>
          <w:b/>
        </w:rPr>
        <w:t xml:space="preserve"> </w:t>
      </w:r>
      <w:r>
        <w:t xml:space="preserve">day of </w:t>
      </w:r>
      <w:r>
        <w:rPr>
          <w:rStyle w:val="preparersnote"/>
          <w:b w:val="0"/>
        </w:rPr>
        <w:t xml:space="preserve">[ insert:  </w:t>
      </w:r>
      <w:r>
        <w:rPr>
          <w:rStyle w:val="preparersnote"/>
        </w:rPr>
        <w:t>month</w:t>
      </w:r>
      <w:r>
        <w:rPr>
          <w:rStyle w:val="preparersnote"/>
          <w:b w:val="0"/>
        </w:rPr>
        <w:t> ], [ insert:</w:t>
      </w:r>
      <w:r>
        <w:rPr>
          <w:rStyle w:val="preparersnote"/>
        </w:rPr>
        <w:t xml:space="preserve">  year </w:t>
      </w:r>
      <w:r>
        <w:rPr>
          <w:rStyle w:val="preparersnote"/>
          <w:b w:val="0"/>
        </w:rPr>
        <w:t>]</w:t>
      </w:r>
    </w:p>
    <w:p w14:paraId="269B031A" w14:textId="77777777" w:rsidR="00157AAA" w:rsidRDefault="006C1BE5">
      <w:r>
        <w:t>BETWEEN</w:t>
      </w:r>
    </w:p>
    <w:p w14:paraId="23D2B132" w14:textId="77777777" w:rsidR="00157AAA" w:rsidRDefault="006C1BE5">
      <w:pPr>
        <w:tabs>
          <w:tab w:val="left" w:pos="900"/>
        </w:tabs>
      </w:pPr>
      <w:r>
        <w:tab/>
      </w:r>
      <w:r>
        <w:rPr>
          <w:rStyle w:val="preparersnote"/>
          <w:b w:val="0"/>
        </w:rPr>
        <w:t xml:space="preserve">[ insert: </w:t>
      </w:r>
      <w:r>
        <w:rPr>
          <w:rStyle w:val="preparersnote"/>
        </w:rPr>
        <w:t xml:space="preserve"> name of </w:t>
      </w:r>
      <w:proofErr w:type="gramStart"/>
      <w:r>
        <w:rPr>
          <w:rStyle w:val="preparersnote"/>
        </w:rPr>
        <w:t>Purchaser </w:t>
      </w:r>
      <w:r>
        <w:rPr>
          <w:rStyle w:val="preparersnote"/>
          <w:b w:val="0"/>
        </w:rPr>
        <w:t>]</w:t>
      </w:r>
      <w:proofErr w:type="gramEnd"/>
      <w:r>
        <w:rPr>
          <w:rStyle w:val="preparersnote"/>
          <w:b w:val="0"/>
        </w:rPr>
        <w:t>,</w:t>
      </w:r>
      <w:r>
        <w:rPr>
          <w:b/>
        </w:rPr>
        <w:t xml:space="preserve"> </w:t>
      </w:r>
      <w:r>
        <w:t>“the Purchaser”</w:t>
      </w:r>
    </w:p>
    <w:p w14:paraId="64E4A035" w14:textId="77777777" w:rsidR="00157AAA" w:rsidRDefault="006C1BE5">
      <w:r>
        <w:t>and</w:t>
      </w:r>
    </w:p>
    <w:p w14:paraId="31E2F150" w14:textId="77777777" w:rsidR="00157AAA" w:rsidRDefault="006C1BE5">
      <w:pPr>
        <w:tabs>
          <w:tab w:val="left" w:pos="900"/>
        </w:tabs>
      </w:pPr>
      <w:r>
        <w:tab/>
      </w:r>
      <w:r>
        <w:rPr>
          <w:rStyle w:val="preparersnote"/>
          <w:b w:val="0"/>
        </w:rPr>
        <w:t xml:space="preserve">[ insert: </w:t>
      </w:r>
      <w:r>
        <w:rPr>
          <w:rStyle w:val="preparersnote"/>
        </w:rPr>
        <w:t xml:space="preserve"> name of </w:t>
      </w:r>
      <w:proofErr w:type="gramStart"/>
      <w:r>
        <w:rPr>
          <w:rStyle w:val="preparersnote"/>
        </w:rPr>
        <w:t>Supplier</w:t>
      </w:r>
      <w:r>
        <w:rPr>
          <w:rStyle w:val="preparersnote"/>
          <w:b w:val="0"/>
        </w:rPr>
        <w:t> ]</w:t>
      </w:r>
      <w:proofErr w:type="gramEnd"/>
      <w:r>
        <w:rPr>
          <w:rStyle w:val="preparersnote"/>
          <w:b w:val="0"/>
        </w:rPr>
        <w:t>,</w:t>
      </w:r>
      <w:r>
        <w:t xml:space="preserve"> “the Supplier”</w:t>
      </w:r>
    </w:p>
    <w:p w14:paraId="6A505EA7" w14:textId="77777777" w:rsidR="00157AAA" w:rsidRDefault="00157AAA"/>
    <w:p w14:paraId="284C2FA5" w14:textId="77777777" w:rsidR="00157AAA" w:rsidRDefault="006C1BE5">
      <w:pPr>
        <w:pStyle w:val="Head82"/>
      </w:pPr>
      <w:r>
        <w:br w:type="page" w:clear="all"/>
      </w:r>
      <w:bookmarkStart w:id="1026" w:name="_Toc73977978"/>
      <w:r>
        <w:lastRenderedPageBreak/>
        <w:t>Appendix 1.  Supplier’s Representative</w:t>
      </w:r>
      <w:bookmarkEnd w:id="1026"/>
    </w:p>
    <w:p w14:paraId="0DCC93E7" w14:textId="77777777" w:rsidR="00157AAA" w:rsidRDefault="00157AAA">
      <w:pPr>
        <w:rPr>
          <w:sz w:val="22"/>
        </w:rPr>
      </w:pPr>
    </w:p>
    <w:p w14:paraId="7C52B8EA" w14:textId="77777777" w:rsidR="00157AAA" w:rsidRDefault="006C1BE5">
      <w:r>
        <w:t>In accordance with GCC Clause 1.1 (b) (iv), the Supplier’s Representative is:</w:t>
      </w:r>
    </w:p>
    <w:p w14:paraId="0C8CEB76" w14:textId="77777777" w:rsidR="00157AAA" w:rsidRDefault="00157AAA"/>
    <w:p w14:paraId="1531CA7D" w14:textId="77777777" w:rsidR="00157AAA" w:rsidRDefault="006C1BE5">
      <w:pPr>
        <w:tabs>
          <w:tab w:val="left" w:pos="7200"/>
        </w:tabs>
        <w:ind w:left="1620" w:hanging="900"/>
        <w:rPr>
          <w:b/>
        </w:rPr>
      </w:pPr>
      <w:r>
        <w:t xml:space="preserve">Name: </w:t>
      </w:r>
      <w:r>
        <w:tab/>
      </w:r>
      <w:r>
        <w:rPr>
          <w:rStyle w:val="preparersnote"/>
          <w:b w:val="0"/>
        </w:rPr>
        <w:t xml:space="preserve">[ insert:  </w:t>
      </w:r>
      <w:r>
        <w:rPr>
          <w:rStyle w:val="preparersnote"/>
        </w:rPr>
        <w:t xml:space="preserve">name and provide title and address further below, </w:t>
      </w:r>
      <w:r>
        <w:rPr>
          <w:rStyle w:val="preparersnote"/>
          <w:b w:val="0"/>
        </w:rPr>
        <w:t xml:space="preserve">or state </w:t>
      </w:r>
      <w:r>
        <w:rPr>
          <w:rStyle w:val="preparersnote"/>
        </w:rPr>
        <w:t>“to be nominated within fourteen (14) days of the Effective Date</w:t>
      </w:r>
      <w:proofErr w:type="gramStart"/>
      <w:r>
        <w:rPr>
          <w:rStyle w:val="preparersnote"/>
        </w:rPr>
        <w:t>”</w:t>
      </w:r>
      <w:r>
        <w:rPr>
          <w:rStyle w:val="preparersnote"/>
          <w:b w:val="0"/>
        </w:rPr>
        <w:t> ]</w:t>
      </w:r>
      <w:proofErr w:type="gramEnd"/>
    </w:p>
    <w:p w14:paraId="3231CEDD" w14:textId="77777777" w:rsidR="00157AAA" w:rsidRDefault="00157AAA">
      <w:pPr>
        <w:ind w:left="720"/>
      </w:pPr>
    </w:p>
    <w:p w14:paraId="3BD9C9A1" w14:textId="77777777" w:rsidR="00157AAA" w:rsidRDefault="006C1BE5">
      <w:pPr>
        <w:tabs>
          <w:tab w:val="left" w:pos="7200"/>
        </w:tabs>
        <w:ind w:left="1620" w:hanging="900"/>
        <w:rPr>
          <w:b/>
        </w:rPr>
      </w:pPr>
      <w:r>
        <w:t xml:space="preserve">Title: </w:t>
      </w:r>
      <w:r>
        <w:tab/>
      </w:r>
      <w:r>
        <w:rPr>
          <w:rStyle w:val="preparersnote"/>
          <w:b w:val="0"/>
        </w:rPr>
        <w:t xml:space="preserve">[ if appropriate, insert: </w:t>
      </w:r>
      <w:r>
        <w:rPr>
          <w:rStyle w:val="preparersnote"/>
        </w:rPr>
        <w:t xml:space="preserve"> </w:t>
      </w:r>
      <w:proofErr w:type="gramStart"/>
      <w:r>
        <w:rPr>
          <w:rStyle w:val="preparersnote"/>
        </w:rPr>
        <w:t>title</w:t>
      </w:r>
      <w:r>
        <w:rPr>
          <w:rStyle w:val="preparersnote"/>
          <w:b w:val="0"/>
        </w:rPr>
        <w:t> ]</w:t>
      </w:r>
      <w:proofErr w:type="gramEnd"/>
    </w:p>
    <w:p w14:paraId="2D18FB0F" w14:textId="77777777" w:rsidR="00157AAA" w:rsidRDefault="00157AAA">
      <w:pPr>
        <w:ind w:left="720"/>
      </w:pPr>
    </w:p>
    <w:p w14:paraId="3264328F" w14:textId="77777777" w:rsidR="00157AAA" w:rsidRDefault="006C1BE5">
      <w:pPr>
        <w:ind w:left="720" w:hanging="720"/>
      </w:pPr>
      <w:r>
        <w:t>In accordance with GCC Clause 4.3, the Supplier's addresses for notices under the Contract are:</w:t>
      </w:r>
    </w:p>
    <w:p w14:paraId="48F4760F" w14:textId="77777777" w:rsidR="00157AAA" w:rsidRDefault="00157AAA">
      <w:pPr>
        <w:ind w:left="720"/>
      </w:pPr>
    </w:p>
    <w:p w14:paraId="6561FCAE" w14:textId="77777777" w:rsidR="00157AAA" w:rsidRDefault="006C1BE5">
      <w:pPr>
        <w:spacing w:after="160"/>
        <w:ind w:left="734" w:right="-72" w:hanging="14"/>
        <w:rPr>
          <w:rStyle w:val="preparersnote"/>
        </w:rPr>
      </w:pPr>
      <w:r>
        <w:t>Address of the Supplier's Representative</w:t>
      </w:r>
      <w:proofErr w:type="gramStart"/>
      <w:r>
        <w:t xml:space="preserve">:  </w:t>
      </w:r>
      <w:r>
        <w:rPr>
          <w:rStyle w:val="preparersnote"/>
          <w:b w:val="0"/>
        </w:rPr>
        <w:t>[</w:t>
      </w:r>
      <w:proofErr w:type="gramEnd"/>
      <w:r>
        <w:rPr>
          <w:rStyle w:val="preparersnote"/>
          <w:b w:val="0"/>
        </w:rPr>
        <w:t xml:space="preserve"> as appropriate, insert: </w:t>
      </w:r>
      <w:r>
        <w:rPr>
          <w:rStyle w:val="preparersnote"/>
        </w:rPr>
        <w:t>personal delivery, postal, cable,  facsimile, electronic mail, and/or EDI addresses.</w:t>
      </w:r>
      <w:r>
        <w:rPr>
          <w:rStyle w:val="preparersnote"/>
          <w:b w:val="0"/>
        </w:rPr>
        <w:t> ]</w:t>
      </w:r>
    </w:p>
    <w:p w14:paraId="7B279A3D" w14:textId="77777777" w:rsidR="00157AAA" w:rsidRDefault="006C1BE5">
      <w:pPr>
        <w:ind w:left="720"/>
      </w:pPr>
      <w:r>
        <w:t>Fallback address of the Supplier</w:t>
      </w:r>
      <w:proofErr w:type="gramStart"/>
      <w:r>
        <w:t xml:space="preserve">:  </w:t>
      </w:r>
      <w:r>
        <w:rPr>
          <w:rStyle w:val="preparersnote"/>
          <w:b w:val="0"/>
        </w:rPr>
        <w:t>[</w:t>
      </w:r>
      <w:proofErr w:type="gramEnd"/>
      <w:r>
        <w:rPr>
          <w:rStyle w:val="preparersnote"/>
          <w:b w:val="0"/>
        </w:rPr>
        <w:t xml:space="preserve"> as appropriate, insert: </w:t>
      </w:r>
      <w:r>
        <w:rPr>
          <w:rStyle w:val="preparersnote"/>
        </w:rPr>
        <w:t>personal delivery, postal, cable,  facsimile, electronic mail, and/or EDI addresses.</w:t>
      </w:r>
      <w:r>
        <w:rPr>
          <w:rStyle w:val="preparersnote"/>
          <w:b w:val="0"/>
        </w:rPr>
        <w:t> ]</w:t>
      </w:r>
    </w:p>
    <w:p w14:paraId="3955201B" w14:textId="77777777" w:rsidR="00157AAA" w:rsidRDefault="00157AAA"/>
    <w:p w14:paraId="11BD6EB9" w14:textId="77777777" w:rsidR="00157AAA" w:rsidRDefault="006C1BE5">
      <w:pPr>
        <w:pStyle w:val="Head82"/>
      </w:pPr>
      <w:r>
        <w:rPr>
          <w:sz w:val="24"/>
        </w:rPr>
        <w:br w:type="page" w:clear="all"/>
      </w:r>
      <w:bookmarkStart w:id="1027" w:name="_Toc73977979"/>
      <w:r>
        <w:lastRenderedPageBreak/>
        <w:t>Appendix 2. Adjudicator</w:t>
      </w:r>
      <w:bookmarkEnd w:id="1027"/>
    </w:p>
    <w:p w14:paraId="2B4D6A8D" w14:textId="77777777" w:rsidR="00157AAA" w:rsidRDefault="00157AAA">
      <w:pPr>
        <w:rPr>
          <w:sz w:val="22"/>
        </w:rPr>
      </w:pPr>
    </w:p>
    <w:p w14:paraId="53FD77AA" w14:textId="77777777" w:rsidR="00157AAA" w:rsidRDefault="006C1BE5">
      <w:r>
        <w:t>In accordance with GCC Clause 1.1 (b) (vi), the agreed-upon Adjudicator is:</w:t>
      </w:r>
    </w:p>
    <w:p w14:paraId="3DE4A9CC" w14:textId="77777777" w:rsidR="00157AAA" w:rsidRDefault="00157AAA">
      <w:pPr>
        <w:rPr>
          <w:sz w:val="28"/>
        </w:rPr>
      </w:pPr>
    </w:p>
    <w:p w14:paraId="0852C650" w14:textId="77777777" w:rsidR="00157AAA" w:rsidRDefault="006C1BE5">
      <w:pPr>
        <w:tabs>
          <w:tab w:val="left" w:pos="7200"/>
        </w:tabs>
        <w:ind w:left="720"/>
        <w:rPr>
          <w:sz w:val="28"/>
        </w:rPr>
      </w:pPr>
      <w:r>
        <w:t>Name</w:t>
      </w:r>
      <w:proofErr w:type="gramStart"/>
      <w:r>
        <w:t>:</w:t>
      </w:r>
      <w:r>
        <w:rPr>
          <w:sz w:val="28"/>
        </w:rPr>
        <w:t xml:space="preserve">  </w:t>
      </w:r>
      <w:r>
        <w:rPr>
          <w:rStyle w:val="preparersnote"/>
          <w:b w:val="0"/>
        </w:rPr>
        <w:t>[</w:t>
      </w:r>
      <w:proofErr w:type="gramEnd"/>
      <w:r>
        <w:rPr>
          <w:rStyle w:val="preparersnote"/>
          <w:b w:val="0"/>
        </w:rPr>
        <w:t xml:space="preserve"> insert:  </w:t>
      </w:r>
      <w:r>
        <w:rPr>
          <w:rStyle w:val="preparersnote"/>
        </w:rPr>
        <w:t>name</w:t>
      </w:r>
      <w:r>
        <w:rPr>
          <w:rStyle w:val="preparersnote"/>
          <w:b w:val="0"/>
        </w:rPr>
        <w:t> ]</w:t>
      </w:r>
    </w:p>
    <w:p w14:paraId="6A8E9E50" w14:textId="77777777" w:rsidR="00157AAA" w:rsidRDefault="006C1BE5">
      <w:pPr>
        <w:tabs>
          <w:tab w:val="left" w:pos="7200"/>
        </w:tabs>
        <w:ind w:left="720"/>
        <w:rPr>
          <w:sz w:val="28"/>
        </w:rPr>
      </w:pPr>
      <w:r>
        <w:t>Title</w:t>
      </w:r>
      <w:proofErr w:type="gramStart"/>
      <w:r>
        <w:t>:</w:t>
      </w:r>
      <w:r>
        <w:rPr>
          <w:sz w:val="28"/>
        </w:rPr>
        <w:t xml:space="preserve">  </w:t>
      </w:r>
      <w:r>
        <w:rPr>
          <w:rStyle w:val="preparersnote"/>
          <w:b w:val="0"/>
        </w:rPr>
        <w:t>[</w:t>
      </w:r>
      <w:proofErr w:type="gramEnd"/>
      <w:r>
        <w:rPr>
          <w:rStyle w:val="preparersnote"/>
          <w:b w:val="0"/>
        </w:rPr>
        <w:t xml:space="preserve"> insert:  </w:t>
      </w:r>
      <w:r>
        <w:rPr>
          <w:rStyle w:val="preparersnote"/>
        </w:rPr>
        <w:t>title</w:t>
      </w:r>
      <w:r>
        <w:rPr>
          <w:rStyle w:val="preparersnote"/>
          <w:b w:val="0"/>
        </w:rPr>
        <w:t> ]</w:t>
      </w:r>
    </w:p>
    <w:p w14:paraId="7C5C4630" w14:textId="77777777" w:rsidR="00157AAA" w:rsidRDefault="006C1BE5">
      <w:pPr>
        <w:tabs>
          <w:tab w:val="left" w:pos="7200"/>
        </w:tabs>
        <w:ind w:left="720"/>
        <w:rPr>
          <w:sz w:val="28"/>
        </w:rPr>
      </w:pPr>
      <w:r>
        <w:t>Address</w:t>
      </w:r>
      <w:proofErr w:type="gramStart"/>
      <w:r>
        <w:t xml:space="preserve">: </w:t>
      </w:r>
      <w:r>
        <w:rPr>
          <w:b/>
          <w:sz w:val="28"/>
        </w:rPr>
        <w:t xml:space="preserve"> </w:t>
      </w:r>
      <w:r>
        <w:rPr>
          <w:rStyle w:val="preparersnote"/>
          <w:b w:val="0"/>
        </w:rPr>
        <w:t>[</w:t>
      </w:r>
      <w:proofErr w:type="gramEnd"/>
      <w:r>
        <w:rPr>
          <w:rStyle w:val="preparersnote"/>
          <w:b w:val="0"/>
        </w:rPr>
        <w:t xml:space="preserve"> insert: </w:t>
      </w:r>
      <w:r>
        <w:rPr>
          <w:rStyle w:val="preparersnote"/>
        </w:rPr>
        <w:t xml:space="preserve"> postal address </w:t>
      </w:r>
      <w:r>
        <w:rPr>
          <w:rStyle w:val="preparersnote"/>
          <w:b w:val="0"/>
        </w:rPr>
        <w:t>]</w:t>
      </w:r>
    </w:p>
    <w:p w14:paraId="7AFDAB8D" w14:textId="77777777" w:rsidR="00157AAA" w:rsidRDefault="006C1BE5">
      <w:pPr>
        <w:tabs>
          <w:tab w:val="left" w:pos="7200"/>
        </w:tabs>
        <w:ind w:left="720"/>
        <w:rPr>
          <w:sz w:val="28"/>
        </w:rPr>
      </w:pPr>
      <w:r>
        <w:t>Telephone</w:t>
      </w:r>
      <w:proofErr w:type="gramStart"/>
      <w:r>
        <w:t xml:space="preserve">: </w:t>
      </w:r>
      <w:r>
        <w:rPr>
          <w:sz w:val="28"/>
        </w:rPr>
        <w:t xml:space="preserve"> </w:t>
      </w:r>
      <w:r>
        <w:rPr>
          <w:rStyle w:val="preparersnote"/>
          <w:b w:val="0"/>
        </w:rPr>
        <w:t>[</w:t>
      </w:r>
      <w:proofErr w:type="gramEnd"/>
      <w:r>
        <w:rPr>
          <w:rStyle w:val="preparersnote"/>
          <w:b w:val="0"/>
        </w:rPr>
        <w:t xml:space="preserve"> insert:  </w:t>
      </w:r>
      <w:r>
        <w:rPr>
          <w:rStyle w:val="preparersnote"/>
        </w:rPr>
        <w:t>telephone</w:t>
      </w:r>
      <w:r>
        <w:rPr>
          <w:rStyle w:val="preparersnote"/>
          <w:b w:val="0"/>
        </w:rPr>
        <w:t> ]</w:t>
      </w:r>
      <w:r>
        <w:rPr>
          <w:sz w:val="28"/>
        </w:rPr>
        <w:tab/>
      </w:r>
    </w:p>
    <w:p w14:paraId="70AB33D6" w14:textId="77777777" w:rsidR="00157AAA" w:rsidRDefault="00157AAA">
      <w:pPr>
        <w:ind w:left="720"/>
        <w:rPr>
          <w:sz w:val="28"/>
        </w:rPr>
      </w:pPr>
    </w:p>
    <w:p w14:paraId="72F07D12" w14:textId="77777777" w:rsidR="00157AAA" w:rsidRDefault="006C1BE5">
      <w:r>
        <w:t>In accordance with GCC Clause 43.1.3, the agreed-upon fees and reimbursable expenses are:</w:t>
      </w:r>
    </w:p>
    <w:p w14:paraId="0EFAFDC6" w14:textId="77777777" w:rsidR="00157AAA" w:rsidRDefault="00157AAA">
      <w:pPr>
        <w:ind w:left="720"/>
        <w:rPr>
          <w:sz w:val="28"/>
        </w:rPr>
      </w:pPr>
    </w:p>
    <w:p w14:paraId="4DE64D80" w14:textId="77777777" w:rsidR="00157AAA" w:rsidRDefault="006C1BE5">
      <w:pPr>
        <w:tabs>
          <w:tab w:val="left" w:pos="7200"/>
        </w:tabs>
        <w:ind w:left="720"/>
        <w:rPr>
          <w:sz w:val="28"/>
        </w:rPr>
      </w:pPr>
      <w:r>
        <w:t>Hourly Fees:</w:t>
      </w:r>
      <w:r>
        <w:rPr>
          <w:sz w:val="28"/>
        </w:rPr>
        <w:t xml:space="preserve"> </w:t>
      </w:r>
      <w:r>
        <w:rPr>
          <w:rStyle w:val="preparersnote"/>
          <w:b w:val="0"/>
        </w:rPr>
        <w:t xml:space="preserve">[ insert:  </w:t>
      </w:r>
      <w:r>
        <w:rPr>
          <w:rStyle w:val="preparersnote"/>
        </w:rPr>
        <w:t xml:space="preserve">hourly </w:t>
      </w:r>
      <w:proofErr w:type="gramStart"/>
      <w:r>
        <w:rPr>
          <w:rStyle w:val="preparersnote"/>
        </w:rPr>
        <w:t>fees</w:t>
      </w:r>
      <w:r>
        <w:rPr>
          <w:rStyle w:val="preparersnote"/>
          <w:b w:val="0"/>
        </w:rPr>
        <w:t> ]</w:t>
      </w:r>
      <w:proofErr w:type="gramEnd"/>
    </w:p>
    <w:p w14:paraId="173806A9" w14:textId="77777777" w:rsidR="00157AAA" w:rsidRDefault="006C1BE5">
      <w:pPr>
        <w:tabs>
          <w:tab w:val="left" w:pos="7200"/>
        </w:tabs>
        <w:ind w:left="720"/>
        <w:rPr>
          <w:sz w:val="28"/>
        </w:rPr>
      </w:pPr>
      <w:r>
        <w:t>Reimbursable Expenses:</w:t>
      </w:r>
      <w:r>
        <w:rPr>
          <w:sz w:val="28"/>
        </w:rPr>
        <w:t xml:space="preserve"> </w:t>
      </w:r>
      <w:r>
        <w:rPr>
          <w:rStyle w:val="preparersnote"/>
          <w:b w:val="0"/>
        </w:rPr>
        <w:t xml:space="preserve">[ list: </w:t>
      </w:r>
      <w:r>
        <w:rPr>
          <w:rStyle w:val="preparersnote"/>
        </w:rPr>
        <w:t xml:space="preserve"> </w:t>
      </w:r>
      <w:proofErr w:type="gramStart"/>
      <w:r>
        <w:rPr>
          <w:rStyle w:val="preparersnote"/>
        </w:rPr>
        <w:t>reimbursables</w:t>
      </w:r>
      <w:r>
        <w:rPr>
          <w:rStyle w:val="preparersnote"/>
          <w:b w:val="0"/>
        </w:rPr>
        <w:t> ]</w:t>
      </w:r>
      <w:proofErr w:type="gramEnd"/>
    </w:p>
    <w:p w14:paraId="5B644F18" w14:textId="77777777" w:rsidR="00157AAA" w:rsidRDefault="00157AAA">
      <w:pPr>
        <w:ind w:left="720"/>
        <w:rPr>
          <w:sz w:val="28"/>
        </w:rPr>
      </w:pPr>
    </w:p>
    <w:p w14:paraId="323B336C" w14:textId="77777777" w:rsidR="00157AAA" w:rsidRDefault="006C1BE5">
      <w:r>
        <w:t>Pursuant to GCC Clause 43.1.4, if at the time of Contract signing, agreement has not been reached between the Purchaser and the Supplier, an Adjudicator will be appointed by the Appointing Authority named in the SCC.</w:t>
      </w:r>
    </w:p>
    <w:p w14:paraId="243078B3" w14:textId="77777777" w:rsidR="00157AAA" w:rsidRDefault="006C1BE5">
      <w:pPr>
        <w:pStyle w:val="Head82"/>
      </w:pPr>
      <w:r>
        <w:rPr>
          <w:sz w:val="22"/>
        </w:rPr>
        <w:br w:type="page" w:clear="all"/>
      </w:r>
      <w:bookmarkStart w:id="1028" w:name="_Toc73977980"/>
      <w:r>
        <w:lastRenderedPageBreak/>
        <w:t>Appendix 3.  List of Approved Subcontractors</w:t>
      </w:r>
      <w:bookmarkEnd w:id="1028"/>
      <w:r>
        <w:t xml:space="preserve"> </w:t>
      </w:r>
    </w:p>
    <w:p w14:paraId="729322EC" w14:textId="77777777" w:rsidR="00157AAA" w:rsidRDefault="00157AAA">
      <w:pPr>
        <w:pStyle w:val="explanatorynotes"/>
      </w:pPr>
    </w:p>
    <w:p w14:paraId="11AFA4E8" w14:textId="77777777" w:rsidR="00157AAA" w:rsidRDefault="006C1BE5">
      <w:r>
        <w:t>The Purchaser has approved use of the following Subcontractors nominated by the Supplier for carrying out the item or component of the System indicated.  Where more than one Subcontractor is listed, the Supplier is free to choose between them, but it must notify the Purchaser of its choice sufficiently in advance of the time when the subcontracted work needs to commence to give the Purchaser reasonable time for review.  In accordance with GCC Clause 20.1, the Supplier is free to submit proposals for Subcontractors for additional items from time to time.  No subcontracts shall be placed with any such Subcontractors for additional items until the Subcontractors have been approved in writing by the Purchaser and their names have been added to this list of Approved Subcontractors, subject to GCC Clause 20.3.</w:t>
      </w:r>
    </w:p>
    <w:p w14:paraId="1A5624C9" w14:textId="77777777" w:rsidR="00157AAA" w:rsidRDefault="00157AAA"/>
    <w:p w14:paraId="75CDF7F3" w14:textId="77777777" w:rsidR="00157AAA" w:rsidRDefault="006C1BE5">
      <w:pPr>
        <w:rPr>
          <w:rStyle w:val="preparersnote"/>
        </w:rPr>
      </w:pPr>
      <w:proofErr w:type="gramStart"/>
      <w:r>
        <w:rPr>
          <w:rStyle w:val="preparersnote"/>
          <w:b w:val="0"/>
        </w:rPr>
        <w:t>[  specify</w:t>
      </w:r>
      <w:proofErr w:type="gramEnd"/>
      <w:r>
        <w:rPr>
          <w:rStyle w:val="preparersnote"/>
          <w:b w:val="0"/>
        </w:rPr>
        <w:t>:</w:t>
      </w:r>
      <w:r>
        <w:rPr>
          <w:rStyle w:val="preparersnote"/>
        </w:rPr>
        <w:t xml:space="preserve">  item, approved Subcontractors, and their place of registration that the Supplier proposed in the corresponding attachment to its bid and that the Purchaser approves that the Supplier </w:t>
      </w:r>
      <w:proofErr w:type="gramStart"/>
      <w:r>
        <w:rPr>
          <w:rStyle w:val="preparersnote"/>
        </w:rPr>
        <w:t>engage</w:t>
      </w:r>
      <w:proofErr w:type="gramEnd"/>
      <w:r>
        <w:rPr>
          <w:rStyle w:val="preparersnote"/>
        </w:rPr>
        <w:t xml:space="preserve"> during the performance of the Contract.  Add additional pages as necessary</w:t>
      </w:r>
      <w:proofErr w:type="gramStart"/>
      <w:r>
        <w:rPr>
          <w:rStyle w:val="preparersnote"/>
        </w:rPr>
        <w:t>.</w:t>
      </w:r>
      <w:r>
        <w:rPr>
          <w:rStyle w:val="preparersnote"/>
          <w:b w:val="0"/>
        </w:rPr>
        <w:t> ]</w:t>
      </w:r>
      <w:proofErr w:type="gramEnd"/>
      <w:r>
        <w:rPr>
          <w:rStyle w:val="preparersnote"/>
        </w:rPr>
        <w:t xml:space="preserve"> </w:t>
      </w:r>
    </w:p>
    <w:p w14:paraId="79AE29AC" w14:textId="77777777" w:rsidR="00157AAA" w:rsidRDefault="00157AAA">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0"/>
      </w:pPr>
    </w:p>
    <w:tbl>
      <w:tblPr>
        <w:tblW w:w="8640"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2672"/>
        <w:gridCol w:w="3588"/>
        <w:gridCol w:w="2380"/>
      </w:tblGrid>
      <w:tr w:rsidR="00157AAA" w14:paraId="62373C05" w14:textId="77777777">
        <w:trPr>
          <w:jc w:val="center"/>
        </w:trPr>
        <w:tc>
          <w:tcPr>
            <w:tcW w:w="2628" w:type="dxa"/>
          </w:tcPr>
          <w:p w14:paraId="2981AA31" w14:textId="77777777" w:rsidR="00157AAA" w:rsidRDefault="006C1BE5">
            <w:r>
              <w:t>Item</w:t>
            </w:r>
          </w:p>
        </w:tc>
        <w:tc>
          <w:tcPr>
            <w:tcW w:w="3528" w:type="dxa"/>
          </w:tcPr>
          <w:p w14:paraId="6E6AD345" w14:textId="77777777" w:rsidR="00157AAA" w:rsidRDefault="006C1BE5">
            <w:pPr>
              <w:spacing w:before="120"/>
              <w:jc w:val="center"/>
            </w:pPr>
            <w:r>
              <w:t>Approved Subcontractors</w:t>
            </w:r>
          </w:p>
        </w:tc>
        <w:tc>
          <w:tcPr>
            <w:tcW w:w="2340" w:type="dxa"/>
          </w:tcPr>
          <w:p w14:paraId="1337E41F" w14:textId="77777777" w:rsidR="00157AAA" w:rsidRDefault="006C1BE5">
            <w:pPr>
              <w:spacing w:before="120"/>
              <w:jc w:val="center"/>
            </w:pPr>
            <w:r>
              <w:t>Place of Registration</w:t>
            </w:r>
          </w:p>
        </w:tc>
      </w:tr>
      <w:tr w:rsidR="00157AAA" w14:paraId="78AE5F24" w14:textId="77777777">
        <w:trPr>
          <w:jc w:val="center"/>
        </w:trPr>
        <w:tc>
          <w:tcPr>
            <w:tcW w:w="2628" w:type="dxa"/>
          </w:tcPr>
          <w:p w14:paraId="7C0685F2" w14:textId="77777777" w:rsidR="00157AAA" w:rsidRDefault="00157AAA">
            <w:pPr>
              <w:spacing w:before="120"/>
            </w:pPr>
          </w:p>
        </w:tc>
        <w:tc>
          <w:tcPr>
            <w:tcW w:w="3528" w:type="dxa"/>
          </w:tcPr>
          <w:p w14:paraId="214D97F7" w14:textId="77777777" w:rsidR="00157AAA" w:rsidRDefault="00157AAA">
            <w:pPr>
              <w:spacing w:before="120"/>
            </w:pPr>
          </w:p>
        </w:tc>
        <w:tc>
          <w:tcPr>
            <w:tcW w:w="2340" w:type="dxa"/>
          </w:tcPr>
          <w:p w14:paraId="38CBACBB" w14:textId="77777777" w:rsidR="00157AAA" w:rsidRDefault="00157AAA">
            <w:pPr>
              <w:spacing w:before="120"/>
            </w:pPr>
          </w:p>
        </w:tc>
      </w:tr>
      <w:tr w:rsidR="00157AAA" w14:paraId="51E62AD7" w14:textId="77777777">
        <w:trPr>
          <w:jc w:val="center"/>
        </w:trPr>
        <w:tc>
          <w:tcPr>
            <w:tcW w:w="2628" w:type="dxa"/>
          </w:tcPr>
          <w:p w14:paraId="5484E6C8" w14:textId="77777777" w:rsidR="00157AAA" w:rsidRDefault="00157AAA">
            <w:pPr>
              <w:spacing w:before="120"/>
            </w:pPr>
          </w:p>
        </w:tc>
        <w:tc>
          <w:tcPr>
            <w:tcW w:w="3528" w:type="dxa"/>
          </w:tcPr>
          <w:p w14:paraId="0996667E" w14:textId="77777777" w:rsidR="00157AAA" w:rsidRDefault="00157AAA">
            <w:pPr>
              <w:spacing w:before="120"/>
            </w:pPr>
          </w:p>
        </w:tc>
        <w:tc>
          <w:tcPr>
            <w:tcW w:w="2340" w:type="dxa"/>
          </w:tcPr>
          <w:p w14:paraId="69E6AF76" w14:textId="77777777" w:rsidR="00157AAA" w:rsidRDefault="00157AAA">
            <w:pPr>
              <w:spacing w:before="120"/>
            </w:pPr>
          </w:p>
        </w:tc>
      </w:tr>
      <w:tr w:rsidR="00157AAA" w14:paraId="1660B102" w14:textId="77777777">
        <w:trPr>
          <w:jc w:val="center"/>
        </w:trPr>
        <w:tc>
          <w:tcPr>
            <w:tcW w:w="2628" w:type="dxa"/>
          </w:tcPr>
          <w:p w14:paraId="0606664E" w14:textId="77777777" w:rsidR="00157AAA" w:rsidRDefault="00157AAA">
            <w:pPr>
              <w:spacing w:before="120"/>
            </w:pPr>
          </w:p>
        </w:tc>
        <w:tc>
          <w:tcPr>
            <w:tcW w:w="3528" w:type="dxa"/>
          </w:tcPr>
          <w:p w14:paraId="3E8F7CE7" w14:textId="77777777" w:rsidR="00157AAA" w:rsidRDefault="00157AAA">
            <w:pPr>
              <w:spacing w:before="120"/>
            </w:pPr>
          </w:p>
        </w:tc>
        <w:tc>
          <w:tcPr>
            <w:tcW w:w="2340" w:type="dxa"/>
          </w:tcPr>
          <w:p w14:paraId="21B77719" w14:textId="77777777" w:rsidR="00157AAA" w:rsidRDefault="00157AAA">
            <w:pPr>
              <w:spacing w:before="120"/>
            </w:pPr>
          </w:p>
        </w:tc>
      </w:tr>
      <w:tr w:rsidR="00157AAA" w14:paraId="5D5D3C6B" w14:textId="77777777">
        <w:trPr>
          <w:jc w:val="center"/>
        </w:trPr>
        <w:tc>
          <w:tcPr>
            <w:tcW w:w="2628" w:type="dxa"/>
          </w:tcPr>
          <w:p w14:paraId="167352AD" w14:textId="77777777" w:rsidR="00157AAA" w:rsidRDefault="00157AAA">
            <w:pPr>
              <w:spacing w:before="120"/>
            </w:pPr>
          </w:p>
        </w:tc>
        <w:tc>
          <w:tcPr>
            <w:tcW w:w="3528" w:type="dxa"/>
          </w:tcPr>
          <w:p w14:paraId="61376C1F" w14:textId="77777777" w:rsidR="00157AAA" w:rsidRDefault="00157AAA">
            <w:pPr>
              <w:spacing w:before="120"/>
            </w:pPr>
          </w:p>
        </w:tc>
        <w:tc>
          <w:tcPr>
            <w:tcW w:w="2340" w:type="dxa"/>
          </w:tcPr>
          <w:p w14:paraId="263BC0B9" w14:textId="77777777" w:rsidR="00157AAA" w:rsidRDefault="00157AAA">
            <w:pPr>
              <w:spacing w:before="120"/>
            </w:pPr>
          </w:p>
        </w:tc>
      </w:tr>
      <w:tr w:rsidR="00157AAA" w14:paraId="1BB0DE0F" w14:textId="77777777">
        <w:trPr>
          <w:jc w:val="center"/>
        </w:trPr>
        <w:tc>
          <w:tcPr>
            <w:tcW w:w="2628" w:type="dxa"/>
          </w:tcPr>
          <w:p w14:paraId="5CE3AC16" w14:textId="77777777" w:rsidR="00157AAA" w:rsidRDefault="00157AAA">
            <w:pPr>
              <w:spacing w:before="120"/>
            </w:pPr>
          </w:p>
        </w:tc>
        <w:tc>
          <w:tcPr>
            <w:tcW w:w="3528" w:type="dxa"/>
          </w:tcPr>
          <w:p w14:paraId="254DB251" w14:textId="77777777" w:rsidR="00157AAA" w:rsidRDefault="00157AAA">
            <w:pPr>
              <w:spacing w:before="120"/>
            </w:pPr>
          </w:p>
        </w:tc>
        <w:tc>
          <w:tcPr>
            <w:tcW w:w="2340" w:type="dxa"/>
          </w:tcPr>
          <w:p w14:paraId="30BE9D9A" w14:textId="77777777" w:rsidR="00157AAA" w:rsidRDefault="00157AAA">
            <w:pPr>
              <w:spacing w:before="120"/>
            </w:pPr>
          </w:p>
        </w:tc>
      </w:tr>
      <w:tr w:rsidR="00157AAA" w14:paraId="7965E7E5" w14:textId="77777777">
        <w:trPr>
          <w:jc w:val="center"/>
        </w:trPr>
        <w:tc>
          <w:tcPr>
            <w:tcW w:w="2628" w:type="dxa"/>
          </w:tcPr>
          <w:p w14:paraId="6B43B95E" w14:textId="77777777" w:rsidR="00157AAA" w:rsidRDefault="00157AAA">
            <w:pPr>
              <w:spacing w:before="120"/>
            </w:pPr>
          </w:p>
        </w:tc>
        <w:tc>
          <w:tcPr>
            <w:tcW w:w="3528" w:type="dxa"/>
          </w:tcPr>
          <w:p w14:paraId="202B35C6" w14:textId="77777777" w:rsidR="00157AAA" w:rsidRDefault="00157AAA">
            <w:pPr>
              <w:spacing w:before="120"/>
            </w:pPr>
          </w:p>
        </w:tc>
        <w:tc>
          <w:tcPr>
            <w:tcW w:w="2340" w:type="dxa"/>
          </w:tcPr>
          <w:p w14:paraId="34BAB2B0" w14:textId="77777777" w:rsidR="00157AAA" w:rsidRDefault="00157AAA">
            <w:pPr>
              <w:spacing w:before="120"/>
            </w:pPr>
          </w:p>
        </w:tc>
      </w:tr>
      <w:tr w:rsidR="00157AAA" w14:paraId="1A5D045A" w14:textId="77777777">
        <w:trPr>
          <w:jc w:val="center"/>
        </w:trPr>
        <w:tc>
          <w:tcPr>
            <w:tcW w:w="2628" w:type="dxa"/>
          </w:tcPr>
          <w:p w14:paraId="557E33DA" w14:textId="77777777" w:rsidR="00157AAA" w:rsidRDefault="00157AAA">
            <w:pPr>
              <w:spacing w:before="120"/>
            </w:pPr>
          </w:p>
        </w:tc>
        <w:tc>
          <w:tcPr>
            <w:tcW w:w="3528" w:type="dxa"/>
          </w:tcPr>
          <w:p w14:paraId="65980F2E" w14:textId="77777777" w:rsidR="00157AAA" w:rsidRDefault="00157AAA">
            <w:pPr>
              <w:spacing w:before="120"/>
            </w:pPr>
          </w:p>
        </w:tc>
        <w:tc>
          <w:tcPr>
            <w:tcW w:w="2340" w:type="dxa"/>
          </w:tcPr>
          <w:p w14:paraId="158B4183" w14:textId="77777777" w:rsidR="00157AAA" w:rsidRDefault="00157AAA">
            <w:pPr>
              <w:spacing w:before="120"/>
            </w:pPr>
          </w:p>
        </w:tc>
      </w:tr>
      <w:tr w:rsidR="00157AAA" w14:paraId="3F8AEB7C" w14:textId="77777777">
        <w:trPr>
          <w:jc w:val="center"/>
        </w:trPr>
        <w:tc>
          <w:tcPr>
            <w:tcW w:w="2628" w:type="dxa"/>
          </w:tcPr>
          <w:p w14:paraId="7D7CA84A" w14:textId="77777777" w:rsidR="00157AAA" w:rsidRDefault="00157AAA">
            <w:pPr>
              <w:spacing w:before="120"/>
            </w:pPr>
          </w:p>
        </w:tc>
        <w:tc>
          <w:tcPr>
            <w:tcW w:w="3528" w:type="dxa"/>
          </w:tcPr>
          <w:p w14:paraId="3251168B" w14:textId="77777777" w:rsidR="00157AAA" w:rsidRDefault="00157AAA">
            <w:pPr>
              <w:spacing w:before="120"/>
            </w:pPr>
          </w:p>
        </w:tc>
        <w:tc>
          <w:tcPr>
            <w:tcW w:w="2340" w:type="dxa"/>
          </w:tcPr>
          <w:p w14:paraId="6BDAAF7B" w14:textId="77777777" w:rsidR="00157AAA" w:rsidRDefault="00157AAA">
            <w:pPr>
              <w:spacing w:before="120"/>
            </w:pPr>
          </w:p>
        </w:tc>
      </w:tr>
    </w:tbl>
    <w:p w14:paraId="4F78B9CE" w14:textId="77777777" w:rsidR="00157AAA" w:rsidRDefault="00157AAA"/>
    <w:p w14:paraId="657CF1CB" w14:textId="77777777" w:rsidR="00157AAA" w:rsidRDefault="006C1BE5">
      <w:pPr>
        <w:pStyle w:val="Head82"/>
      </w:pPr>
      <w:r>
        <w:br w:type="page" w:clear="all"/>
      </w:r>
      <w:bookmarkStart w:id="1029" w:name="_Toc73977981"/>
      <w:r>
        <w:lastRenderedPageBreak/>
        <w:t>Appendix 4.  Categories of Software</w:t>
      </w:r>
      <w:bookmarkEnd w:id="1029"/>
      <w:r>
        <w:t xml:space="preserve"> </w:t>
      </w:r>
    </w:p>
    <w:p w14:paraId="0554F069" w14:textId="77777777" w:rsidR="00157AAA" w:rsidRDefault="006C1BE5">
      <w:r>
        <w:t>The following table assigns each item of Software supplied and installed under the Contract to one of the three categories: (</w:t>
      </w:r>
      <w:proofErr w:type="spellStart"/>
      <w:r>
        <w:t>i</w:t>
      </w:r>
      <w:proofErr w:type="spellEnd"/>
      <w:r>
        <w:t>) System Software, (ii) General-Purpose Software, or (iii) Application Software; and to one of the two categories: (</w:t>
      </w:r>
      <w:proofErr w:type="spellStart"/>
      <w:r>
        <w:t>i</w:t>
      </w:r>
      <w:proofErr w:type="spellEnd"/>
      <w:r>
        <w:t>) Standard Software or (ii) Custom Software and to one of the two categories: (</w:t>
      </w:r>
      <w:proofErr w:type="spellStart"/>
      <w:r>
        <w:t>i</w:t>
      </w:r>
      <w:proofErr w:type="spellEnd"/>
      <w:r>
        <w:t xml:space="preserve">) Proprietary or (ii) Open Source.  </w:t>
      </w:r>
    </w:p>
    <w:p w14:paraId="2697A2B2" w14:textId="77777777" w:rsidR="00157AAA" w:rsidRDefault="00157AAA"/>
    <w:tbl>
      <w:tblPr>
        <w:tblW w:w="9262"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2" w:type="dxa"/>
          <w:right w:w="72" w:type="dxa"/>
        </w:tblCellMar>
        <w:tblLook w:val="0000" w:firstRow="0" w:lastRow="0" w:firstColumn="0" w:lastColumn="0" w:noHBand="0" w:noVBand="0"/>
      </w:tblPr>
      <w:tblGrid>
        <w:gridCol w:w="1357"/>
        <w:gridCol w:w="1163"/>
        <w:gridCol w:w="1174"/>
        <w:gridCol w:w="1248"/>
        <w:gridCol w:w="990"/>
        <w:gridCol w:w="990"/>
        <w:gridCol w:w="1170"/>
        <w:gridCol w:w="1170"/>
      </w:tblGrid>
      <w:tr w:rsidR="00157AAA" w14:paraId="6669163D" w14:textId="77777777">
        <w:trPr>
          <w:tblHeader/>
          <w:jc w:val="center"/>
        </w:trPr>
        <w:tc>
          <w:tcPr>
            <w:tcW w:w="1357" w:type="dxa"/>
          </w:tcPr>
          <w:p w14:paraId="22494322" w14:textId="77777777" w:rsidR="00157AAA" w:rsidRDefault="00157AAA">
            <w:pPr>
              <w:spacing w:before="120"/>
              <w:jc w:val="center"/>
              <w:rPr>
                <w:sz w:val="22"/>
                <w:szCs w:val="22"/>
              </w:rPr>
            </w:pPr>
          </w:p>
        </w:tc>
        <w:tc>
          <w:tcPr>
            <w:tcW w:w="3585" w:type="dxa"/>
            <w:gridSpan w:val="3"/>
          </w:tcPr>
          <w:p w14:paraId="6FA1393A" w14:textId="77777777" w:rsidR="00157AAA" w:rsidRDefault="006C1BE5">
            <w:pPr>
              <w:spacing w:before="120"/>
              <w:ind w:right="-31"/>
              <w:jc w:val="center"/>
              <w:rPr>
                <w:sz w:val="22"/>
                <w:szCs w:val="22"/>
              </w:rPr>
            </w:pPr>
            <w:r>
              <w:rPr>
                <w:sz w:val="22"/>
                <w:szCs w:val="22"/>
              </w:rPr>
              <w:t>(select one per title)</w:t>
            </w:r>
          </w:p>
        </w:tc>
        <w:tc>
          <w:tcPr>
            <w:tcW w:w="1980" w:type="dxa"/>
            <w:gridSpan w:val="2"/>
          </w:tcPr>
          <w:p w14:paraId="171D6A06" w14:textId="77777777" w:rsidR="00157AAA" w:rsidRDefault="006C1BE5">
            <w:pPr>
              <w:spacing w:before="120"/>
              <w:ind w:right="-59"/>
              <w:jc w:val="center"/>
              <w:rPr>
                <w:rFonts w:ascii="Univers" w:hAnsi="Univers"/>
                <w:b/>
                <w:i/>
                <w:sz w:val="22"/>
                <w:szCs w:val="22"/>
              </w:rPr>
            </w:pPr>
            <w:r>
              <w:rPr>
                <w:sz w:val="22"/>
                <w:szCs w:val="22"/>
              </w:rPr>
              <w:t>(select one per title)</w:t>
            </w:r>
          </w:p>
        </w:tc>
        <w:tc>
          <w:tcPr>
            <w:tcW w:w="2340" w:type="dxa"/>
            <w:gridSpan w:val="2"/>
          </w:tcPr>
          <w:p w14:paraId="5E7916B5" w14:textId="77777777" w:rsidR="00157AAA" w:rsidRDefault="006C1BE5">
            <w:pPr>
              <w:spacing w:before="120"/>
              <w:ind w:right="-31"/>
              <w:jc w:val="center"/>
              <w:rPr>
                <w:sz w:val="22"/>
                <w:szCs w:val="22"/>
              </w:rPr>
            </w:pPr>
            <w:r>
              <w:rPr>
                <w:sz w:val="22"/>
                <w:szCs w:val="22"/>
              </w:rPr>
              <w:t>(select one per title)</w:t>
            </w:r>
          </w:p>
        </w:tc>
      </w:tr>
      <w:tr w:rsidR="00157AAA" w14:paraId="7A132856" w14:textId="77777777">
        <w:trPr>
          <w:tblHeader/>
          <w:jc w:val="center"/>
        </w:trPr>
        <w:tc>
          <w:tcPr>
            <w:tcW w:w="1357" w:type="dxa"/>
          </w:tcPr>
          <w:p w14:paraId="6886FEFF" w14:textId="77777777" w:rsidR="00157AAA" w:rsidRDefault="006C1BE5">
            <w:pPr>
              <w:spacing w:before="120"/>
              <w:jc w:val="center"/>
              <w:rPr>
                <w:sz w:val="22"/>
                <w:szCs w:val="22"/>
              </w:rPr>
            </w:pPr>
            <w:r>
              <w:rPr>
                <w:sz w:val="22"/>
                <w:szCs w:val="22"/>
              </w:rPr>
              <w:t>Title</w:t>
            </w:r>
          </w:p>
        </w:tc>
        <w:tc>
          <w:tcPr>
            <w:tcW w:w="1163" w:type="dxa"/>
          </w:tcPr>
          <w:p w14:paraId="1DF15880" w14:textId="77777777" w:rsidR="00157AAA" w:rsidRDefault="006C1BE5">
            <w:pPr>
              <w:spacing w:before="120"/>
              <w:ind w:right="-95"/>
              <w:jc w:val="center"/>
              <w:rPr>
                <w:sz w:val="22"/>
                <w:szCs w:val="22"/>
              </w:rPr>
            </w:pPr>
            <w:r>
              <w:rPr>
                <w:sz w:val="22"/>
                <w:szCs w:val="22"/>
              </w:rPr>
              <w:t>System</w:t>
            </w:r>
          </w:p>
        </w:tc>
        <w:tc>
          <w:tcPr>
            <w:tcW w:w="1174" w:type="dxa"/>
          </w:tcPr>
          <w:p w14:paraId="4EDCF480" w14:textId="77777777" w:rsidR="00157AAA" w:rsidRDefault="006C1BE5">
            <w:pPr>
              <w:spacing w:before="120"/>
              <w:ind w:right="-41"/>
              <w:jc w:val="center"/>
              <w:rPr>
                <w:sz w:val="22"/>
                <w:szCs w:val="22"/>
              </w:rPr>
            </w:pPr>
            <w:r>
              <w:rPr>
                <w:sz w:val="22"/>
                <w:szCs w:val="22"/>
              </w:rPr>
              <w:t>General-Purpose</w:t>
            </w:r>
          </w:p>
        </w:tc>
        <w:tc>
          <w:tcPr>
            <w:tcW w:w="1248" w:type="dxa"/>
          </w:tcPr>
          <w:p w14:paraId="0D9CAFB7" w14:textId="77777777" w:rsidR="00157AAA" w:rsidRDefault="006C1BE5">
            <w:pPr>
              <w:spacing w:before="120"/>
              <w:ind w:right="-31"/>
              <w:jc w:val="center"/>
              <w:rPr>
                <w:rFonts w:ascii="Univers" w:hAnsi="Univers"/>
                <w:b/>
                <w:i/>
                <w:sz w:val="22"/>
                <w:szCs w:val="22"/>
              </w:rPr>
            </w:pPr>
            <w:r>
              <w:rPr>
                <w:sz w:val="22"/>
                <w:szCs w:val="22"/>
              </w:rPr>
              <w:t>Application</w:t>
            </w:r>
          </w:p>
        </w:tc>
        <w:tc>
          <w:tcPr>
            <w:tcW w:w="990" w:type="dxa"/>
          </w:tcPr>
          <w:p w14:paraId="4F0DB175" w14:textId="77777777" w:rsidR="00157AAA" w:rsidRDefault="006C1BE5">
            <w:pPr>
              <w:spacing w:before="120"/>
              <w:ind w:left="-113"/>
              <w:jc w:val="center"/>
              <w:rPr>
                <w:rFonts w:ascii="Univers" w:hAnsi="Univers"/>
                <w:b/>
                <w:i/>
                <w:sz w:val="22"/>
                <w:szCs w:val="22"/>
              </w:rPr>
            </w:pPr>
            <w:r>
              <w:rPr>
                <w:sz w:val="22"/>
                <w:szCs w:val="22"/>
              </w:rPr>
              <w:t>Standard</w:t>
            </w:r>
          </w:p>
        </w:tc>
        <w:tc>
          <w:tcPr>
            <w:tcW w:w="990" w:type="dxa"/>
          </w:tcPr>
          <w:p w14:paraId="5B5DB543" w14:textId="77777777" w:rsidR="00157AAA" w:rsidRDefault="006C1BE5">
            <w:pPr>
              <w:spacing w:before="120"/>
              <w:jc w:val="center"/>
              <w:rPr>
                <w:rFonts w:ascii="Univers" w:hAnsi="Univers"/>
                <w:b/>
                <w:i/>
                <w:sz w:val="22"/>
                <w:szCs w:val="22"/>
              </w:rPr>
            </w:pPr>
            <w:r>
              <w:rPr>
                <w:sz w:val="22"/>
                <w:szCs w:val="22"/>
              </w:rPr>
              <w:t>Custom</w:t>
            </w:r>
          </w:p>
        </w:tc>
        <w:tc>
          <w:tcPr>
            <w:tcW w:w="1170" w:type="dxa"/>
          </w:tcPr>
          <w:p w14:paraId="34FFAA6D" w14:textId="77777777" w:rsidR="00157AAA" w:rsidRDefault="006C1BE5">
            <w:pPr>
              <w:spacing w:before="120"/>
              <w:ind w:right="-31"/>
              <w:jc w:val="center"/>
              <w:rPr>
                <w:sz w:val="22"/>
                <w:szCs w:val="22"/>
              </w:rPr>
            </w:pPr>
            <w:r>
              <w:rPr>
                <w:sz w:val="22"/>
                <w:szCs w:val="22"/>
              </w:rPr>
              <w:t>Proprietary</w:t>
            </w:r>
          </w:p>
        </w:tc>
        <w:tc>
          <w:tcPr>
            <w:tcW w:w="1170" w:type="dxa"/>
          </w:tcPr>
          <w:p w14:paraId="4F39DE54" w14:textId="77777777" w:rsidR="00157AAA" w:rsidRDefault="006C1BE5">
            <w:pPr>
              <w:spacing w:before="120"/>
              <w:ind w:right="-31"/>
              <w:jc w:val="center"/>
              <w:rPr>
                <w:sz w:val="22"/>
                <w:szCs w:val="22"/>
              </w:rPr>
            </w:pPr>
            <w:r>
              <w:rPr>
                <w:sz w:val="22"/>
                <w:szCs w:val="22"/>
              </w:rPr>
              <w:t>Open Source</w:t>
            </w:r>
          </w:p>
        </w:tc>
      </w:tr>
      <w:tr w:rsidR="00157AAA" w14:paraId="500E5321" w14:textId="77777777">
        <w:trPr>
          <w:tblHeader/>
          <w:jc w:val="center"/>
        </w:trPr>
        <w:tc>
          <w:tcPr>
            <w:tcW w:w="1357" w:type="dxa"/>
          </w:tcPr>
          <w:p w14:paraId="4BFF53B1" w14:textId="77777777" w:rsidR="00157AAA" w:rsidRDefault="006C1BE5">
            <w:pPr>
              <w:spacing w:before="120"/>
              <w:jc w:val="center"/>
              <w:rPr>
                <w:sz w:val="22"/>
              </w:rPr>
            </w:pPr>
            <w:r>
              <w:rPr>
                <w:sz w:val="22"/>
              </w:rPr>
              <w:t>[insert Title]</w:t>
            </w:r>
          </w:p>
        </w:tc>
        <w:tc>
          <w:tcPr>
            <w:tcW w:w="1163" w:type="dxa"/>
          </w:tcPr>
          <w:p w14:paraId="1D3A8F3C" w14:textId="77777777" w:rsidR="00157AAA" w:rsidRDefault="00157AAA">
            <w:pPr>
              <w:spacing w:before="120"/>
              <w:ind w:right="-95"/>
              <w:jc w:val="center"/>
              <w:rPr>
                <w:sz w:val="22"/>
              </w:rPr>
            </w:pPr>
          </w:p>
        </w:tc>
        <w:tc>
          <w:tcPr>
            <w:tcW w:w="1174" w:type="dxa"/>
          </w:tcPr>
          <w:p w14:paraId="6A95B3C8" w14:textId="77777777" w:rsidR="00157AAA" w:rsidRDefault="00157AAA">
            <w:pPr>
              <w:spacing w:before="120"/>
              <w:ind w:right="-41"/>
              <w:jc w:val="center"/>
              <w:rPr>
                <w:sz w:val="22"/>
              </w:rPr>
            </w:pPr>
          </w:p>
        </w:tc>
        <w:tc>
          <w:tcPr>
            <w:tcW w:w="1248" w:type="dxa"/>
          </w:tcPr>
          <w:p w14:paraId="0C1EE856" w14:textId="77777777" w:rsidR="00157AAA" w:rsidRDefault="00157AAA">
            <w:pPr>
              <w:spacing w:before="120"/>
              <w:ind w:right="-31"/>
              <w:jc w:val="center"/>
              <w:rPr>
                <w:rFonts w:ascii="Univers" w:hAnsi="Univers"/>
                <w:b/>
                <w:i/>
                <w:sz w:val="22"/>
              </w:rPr>
            </w:pPr>
          </w:p>
        </w:tc>
        <w:tc>
          <w:tcPr>
            <w:tcW w:w="990" w:type="dxa"/>
          </w:tcPr>
          <w:p w14:paraId="18C3D534" w14:textId="77777777" w:rsidR="00157AAA" w:rsidRDefault="00157AAA">
            <w:pPr>
              <w:spacing w:before="120"/>
              <w:ind w:left="-113"/>
              <w:jc w:val="center"/>
              <w:rPr>
                <w:rFonts w:ascii="Univers" w:hAnsi="Univers"/>
                <w:b/>
                <w:i/>
                <w:sz w:val="22"/>
              </w:rPr>
            </w:pPr>
          </w:p>
        </w:tc>
        <w:tc>
          <w:tcPr>
            <w:tcW w:w="990" w:type="dxa"/>
          </w:tcPr>
          <w:p w14:paraId="2BD6FAF1" w14:textId="77777777" w:rsidR="00157AAA" w:rsidRDefault="00157AAA">
            <w:pPr>
              <w:spacing w:before="120"/>
              <w:jc w:val="center"/>
              <w:rPr>
                <w:rFonts w:ascii="Univers" w:hAnsi="Univers"/>
                <w:b/>
                <w:i/>
                <w:sz w:val="22"/>
              </w:rPr>
            </w:pPr>
          </w:p>
        </w:tc>
        <w:tc>
          <w:tcPr>
            <w:tcW w:w="1170" w:type="dxa"/>
          </w:tcPr>
          <w:p w14:paraId="7165BB3A" w14:textId="77777777" w:rsidR="00157AAA" w:rsidRDefault="00157AAA">
            <w:pPr>
              <w:spacing w:before="120"/>
              <w:ind w:right="-31"/>
              <w:jc w:val="center"/>
              <w:rPr>
                <w:sz w:val="22"/>
              </w:rPr>
            </w:pPr>
          </w:p>
        </w:tc>
        <w:tc>
          <w:tcPr>
            <w:tcW w:w="1170" w:type="dxa"/>
          </w:tcPr>
          <w:p w14:paraId="66CC8B71" w14:textId="77777777" w:rsidR="00157AAA" w:rsidRDefault="00157AAA">
            <w:pPr>
              <w:spacing w:before="120"/>
              <w:ind w:right="-31"/>
              <w:jc w:val="center"/>
              <w:rPr>
                <w:sz w:val="22"/>
              </w:rPr>
            </w:pPr>
          </w:p>
        </w:tc>
      </w:tr>
      <w:tr w:rsidR="00157AAA" w14:paraId="23164BB4" w14:textId="77777777">
        <w:trPr>
          <w:tblHeader/>
          <w:jc w:val="center"/>
        </w:trPr>
        <w:tc>
          <w:tcPr>
            <w:tcW w:w="1357" w:type="dxa"/>
          </w:tcPr>
          <w:p w14:paraId="5097F41A" w14:textId="77777777" w:rsidR="00157AAA" w:rsidRDefault="006C1BE5">
            <w:pPr>
              <w:spacing w:before="120"/>
              <w:jc w:val="center"/>
              <w:rPr>
                <w:sz w:val="22"/>
              </w:rPr>
            </w:pPr>
            <w:r>
              <w:rPr>
                <w:sz w:val="22"/>
              </w:rPr>
              <w:t>[insert Title]</w:t>
            </w:r>
          </w:p>
        </w:tc>
        <w:tc>
          <w:tcPr>
            <w:tcW w:w="1163" w:type="dxa"/>
          </w:tcPr>
          <w:p w14:paraId="707C5E7C" w14:textId="77777777" w:rsidR="00157AAA" w:rsidRDefault="00157AAA">
            <w:pPr>
              <w:spacing w:before="120"/>
              <w:ind w:right="-95"/>
              <w:jc w:val="center"/>
              <w:rPr>
                <w:sz w:val="22"/>
              </w:rPr>
            </w:pPr>
          </w:p>
        </w:tc>
        <w:tc>
          <w:tcPr>
            <w:tcW w:w="1174" w:type="dxa"/>
          </w:tcPr>
          <w:p w14:paraId="6E41C177" w14:textId="77777777" w:rsidR="00157AAA" w:rsidRDefault="00157AAA">
            <w:pPr>
              <w:spacing w:before="120"/>
              <w:ind w:right="-41"/>
              <w:jc w:val="center"/>
              <w:rPr>
                <w:sz w:val="22"/>
              </w:rPr>
            </w:pPr>
          </w:p>
        </w:tc>
        <w:tc>
          <w:tcPr>
            <w:tcW w:w="1248" w:type="dxa"/>
          </w:tcPr>
          <w:p w14:paraId="6BA7ED56" w14:textId="77777777" w:rsidR="00157AAA" w:rsidRDefault="00157AAA">
            <w:pPr>
              <w:spacing w:before="120"/>
              <w:ind w:right="-31"/>
              <w:jc w:val="center"/>
              <w:rPr>
                <w:rFonts w:ascii="Univers" w:hAnsi="Univers"/>
                <w:b/>
                <w:i/>
                <w:sz w:val="22"/>
              </w:rPr>
            </w:pPr>
          </w:p>
        </w:tc>
        <w:tc>
          <w:tcPr>
            <w:tcW w:w="990" w:type="dxa"/>
          </w:tcPr>
          <w:p w14:paraId="2448E6DE" w14:textId="77777777" w:rsidR="00157AAA" w:rsidRDefault="00157AAA">
            <w:pPr>
              <w:spacing w:before="120"/>
              <w:ind w:left="-113"/>
              <w:jc w:val="center"/>
              <w:rPr>
                <w:rFonts w:ascii="Univers" w:hAnsi="Univers"/>
                <w:b/>
                <w:i/>
                <w:sz w:val="22"/>
              </w:rPr>
            </w:pPr>
          </w:p>
        </w:tc>
        <w:tc>
          <w:tcPr>
            <w:tcW w:w="990" w:type="dxa"/>
          </w:tcPr>
          <w:p w14:paraId="1BCD9869" w14:textId="77777777" w:rsidR="00157AAA" w:rsidRDefault="00157AAA">
            <w:pPr>
              <w:spacing w:before="120"/>
              <w:jc w:val="center"/>
              <w:rPr>
                <w:rFonts w:ascii="Univers" w:hAnsi="Univers"/>
                <w:b/>
                <w:i/>
                <w:sz w:val="22"/>
              </w:rPr>
            </w:pPr>
          </w:p>
        </w:tc>
        <w:tc>
          <w:tcPr>
            <w:tcW w:w="1170" w:type="dxa"/>
          </w:tcPr>
          <w:p w14:paraId="395CABBE" w14:textId="77777777" w:rsidR="00157AAA" w:rsidRDefault="00157AAA">
            <w:pPr>
              <w:spacing w:before="120"/>
              <w:ind w:right="-31"/>
              <w:jc w:val="center"/>
              <w:rPr>
                <w:sz w:val="22"/>
              </w:rPr>
            </w:pPr>
          </w:p>
        </w:tc>
        <w:tc>
          <w:tcPr>
            <w:tcW w:w="1170" w:type="dxa"/>
          </w:tcPr>
          <w:p w14:paraId="33356952" w14:textId="77777777" w:rsidR="00157AAA" w:rsidRDefault="00157AAA">
            <w:pPr>
              <w:spacing w:before="120"/>
              <w:ind w:right="-31"/>
              <w:jc w:val="center"/>
              <w:rPr>
                <w:sz w:val="22"/>
              </w:rPr>
            </w:pPr>
          </w:p>
        </w:tc>
      </w:tr>
      <w:tr w:rsidR="00157AAA" w14:paraId="3A0102A7" w14:textId="77777777">
        <w:trPr>
          <w:tblHeader/>
          <w:jc w:val="center"/>
        </w:trPr>
        <w:tc>
          <w:tcPr>
            <w:tcW w:w="1357" w:type="dxa"/>
          </w:tcPr>
          <w:p w14:paraId="2962F4DC" w14:textId="77777777" w:rsidR="00157AAA" w:rsidRDefault="006C1BE5">
            <w:pPr>
              <w:spacing w:before="120"/>
              <w:jc w:val="center"/>
              <w:rPr>
                <w:sz w:val="22"/>
              </w:rPr>
            </w:pPr>
            <w:r>
              <w:rPr>
                <w:sz w:val="22"/>
              </w:rPr>
              <w:t>[insert Title]</w:t>
            </w:r>
          </w:p>
        </w:tc>
        <w:tc>
          <w:tcPr>
            <w:tcW w:w="1163" w:type="dxa"/>
          </w:tcPr>
          <w:p w14:paraId="545865CD" w14:textId="77777777" w:rsidR="00157AAA" w:rsidRDefault="00157AAA">
            <w:pPr>
              <w:spacing w:before="120"/>
              <w:ind w:right="-95"/>
              <w:jc w:val="center"/>
              <w:rPr>
                <w:sz w:val="22"/>
              </w:rPr>
            </w:pPr>
          </w:p>
        </w:tc>
        <w:tc>
          <w:tcPr>
            <w:tcW w:w="1174" w:type="dxa"/>
          </w:tcPr>
          <w:p w14:paraId="5E46470E" w14:textId="77777777" w:rsidR="00157AAA" w:rsidRDefault="00157AAA">
            <w:pPr>
              <w:spacing w:before="120"/>
              <w:ind w:right="-41"/>
              <w:jc w:val="center"/>
              <w:rPr>
                <w:sz w:val="22"/>
              </w:rPr>
            </w:pPr>
          </w:p>
        </w:tc>
        <w:tc>
          <w:tcPr>
            <w:tcW w:w="1248" w:type="dxa"/>
          </w:tcPr>
          <w:p w14:paraId="4920DF45" w14:textId="77777777" w:rsidR="00157AAA" w:rsidRDefault="00157AAA">
            <w:pPr>
              <w:spacing w:before="120"/>
              <w:ind w:right="-31"/>
              <w:jc w:val="center"/>
              <w:rPr>
                <w:rFonts w:ascii="Univers" w:hAnsi="Univers"/>
                <w:b/>
                <w:i/>
                <w:sz w:val="22"/>
              </w:rPr>
            </w:pPr>
          </w:p>
        </w:tc>
        <w:tc>
          <w:tcPr>
            <w:tcW w:w="990" w:type="dxa"/>
          </w:tcPr>
          <w:p w14:paraId="0D222539" w14:textId="77777777" w:rsidR="00157AAA" w:rsidRDefault="00157AAA">
            <w:pPr>
              <w:spacing w:before="120"/>
              <w:ind w:left="-113"/>
              <w:jc w:val="center"/>
              <w:rPr>
                <w:rFonts w:ascii="Univers" w:hAnsi="Univers"/>
                <w:b/>
                <w:i/>
                <w:sz w:val="22"/>
              </w:rPr>
            </w:pPr>
          </w:p>
        </w:tc>
        <w:tc>
          <w:tcPr>
            <w:tcW w:w="990" w:type="dxa"/>
          </w:tcPr>
          <w:p w14:paraId="71FAB64C" w14:textId="77777777" w:rsidR="00157AAA" w:rsidRDefault="00157AAA">
            <w:pPr>
              <w:spacing w:before="120"/>
              <w:jc w:val="center"/>
              <w:rPr>
                <w:rFonts w:ascii="Univers" w:hAnsi="Univers"/>
                <w:b/>
                <w:i/>
                <w:sz w:val="22"/>
              </w:rPr>
            </w:pPr>
          </w:p>
        </w:tc>
        <w:tc>
          <w:tcPr>
            <w:tcW w:w="1170" w:type="dxa"/>
          </w:tcPr>
          <w:p w14:paraId="3A308376" w14:textId="77777777" w:rsidR="00157AAA" w:rsidRDefault="00157AAA">
            <w:pPr>
              <w:spacing w:before="120"/>
              <w:ind w:right="-31"/>
              <w:jc w:val="center"/>
              <w:rPr>
                <w:sz w:val="22"/>
              </w:rPr>
            </w:pPr>
          </w:p>
        </w:tc>
        <w:tc>
          <w:tcPr>
            <w:tcW w:w="1170" w:type="dxa"/>
          </w:tcPr>
          <w:p w14:paraId="72301776" w14:textId="77777777" w:rsidR="00157AAA" w:rsidRDefault="00157AAA">
            <w:pPr>
              <w:spacing w:before="120"/>
              <w:ind w:right="-31"/>
              <w:jc w:val="center"/>
              <w:rPr>
                <w:sz w:val="22"/>
              </w:rPr>
            </w:pPr>
          </w:p>
        </w:tc>
      </w:tr>
      <w:tr w:rsidR="00157AAA" w14:paraId="3EE0DC66" w14:textId="77777777">
        <w:trPr>
          <w:tblHeader/>
          <w:jc w:val="center"/>
        </w:trPr>
        <w:tc>
          <w:tcPr>
            <w:tcW w:w="1357" w:type="dxa"/>
          </w:tcPr>
          <w:p w14:paraId="53CF9303" w14:textId="77777777" w:rsidR="00157AAA" w:rsidRDefault="006C1BE5">
            <w:pPr>
              <w:spacing w:before="120"/>
              <w:jc w:val="center"/>
              <w:rPr>
                <w:sz w:val="22"/>
              </w:rPr>
            </w:pPr>
            <w:r>
              <w:rPr>
                <w:sz w:val="22"/>
              </w:rPr>
              <w:t>[insert Title]</w:t>
            </w:r>
          </w:p>
        </w:tc>
        <w:tc>
          <w:tcPr>
            <w:tcW w:w="1163" w:type="dxa"/>
          </w:tcPr>
          <w:p w14:paraId="5D47CBD4" w14:textId="77777777" w:rsidR="00157AAA" w:rsidRDefault="00157AAA">
            <w:pPr>
              <w:spacing w:before="120"/>
              <w:ind w:right="-95"/>
              <w:jc w:val="center"/>
              <w:rPr>
                <w:sz w:val="22"/>
              </w:rPr>
            </w:pPr>
          </w:p>
        </w:tc>
        <w:tc>
          <w:tcPr>
            <w:tcW w:w="1174" w:type="dxa"/>
          </w:tcPr>
          <w:p w14:paraId="266379E1" w14:textId="77777777" w:rsidR="00157AAA" w:rsidRDefault="00157AAA">
            <w:pPr>
              <w:spacing w:before="120"/>
              <w:ind w:right="-41"/>
              <w:jc w:val="center"/>
              <w:rPr>
                <w:sz w:val="22"/>
              </w:rPr>
            </w:pPr>
          </w:p>
        </w:tc>
        <w:tc>
          <w:tcPr>
            <w:tcW w:w="1248" w:type="dxa"/>
          </w:tcPr>
          <w:p w14:paraId="51477BDD" w14:textId="77777777" w:rsidR="00157AAA" w:rsidRDefault="00157AAA">
            <w:pPr>
              <w:spacing w:before="120"/>
              <w:ind w:right="-31"/>
              <w:jc w:val="center"/>
              <w:rPr>
                <w:rFonts w:ascii="Univers" w:hAnsi="Univers"/>
                <w:b/>
                <w:i/>
                <w:sz w:val="22"/>
              </w:rPr>
            </w:pPr>
          </w:p>
        </w:tc>
        <w:tc>
          <w:tcPr>
            <w:tcW w:w="990" w:type="dxa"/>
          </w:tcPr>
          <w:p w14:paraId="3E679FEE" w14:textId="77777777" w:rsidR="00157AAA" w:rsidRDefault="00157AAA">
            <w:pPr>
              <w:spacing w:before="120"/>
              <w:ind w:left="-113"/>
              <w:jc w:val="center"/>
              <w:rPr>
                <w:rFonts w:ascii="Univers" w:hAnsi="Univers"/>
                <w:b/>
                <w:i/>
                <w:sz w:val="22"/>
              </w:rPr>
            </w:pPr>
          </w:p>
        </w:tc>
        <w:tc>
          <w:tcPr>
            <w:tcW w:w="990" w:type="dxa"/>
          </w:tcPr>
          <w:p w14:paraId="286F54B7" w14:textId="77777777" w:rsidR="00157AAA" w:rsidRDefault="00157AAA">
            <w:pPr>
              <w:spacing w:before="120"/>
              <w:jc w:val="center"/>
              <w:rPr>
                <w:rFonts w:ascii="Univers" w:hAnsi="Univers"/>
                <w:b/>
                <w:i/>
                <w:sz w:val="22"/>
              </w:rPr>
            </w:pPr>
          </w:p>
        </w:tc>
        <w:tc>
          <w:tcPr>
            <w:tcW w:w="1170" w:type="dxa"/>
          </w:tcPr>
          <w:p w14:paraId="5211AF7F" w14:textId="77777777" w:rsidR="00157AAA" w:rsidRDefault="00157AAA">
            <w:pPr>
              <w:spacing w:before="120"/>
              <w:ind w:right="-31"/>
              <w:jc w:val="center"/>
              <w:rPr>
                <w:sz w:val="22"/>
              </w:rPr>
            </w:pPr>
          </w:p>
        </w:tc>
        <w:tc>
          <w:tcPr>
            <w:tcW w:w="1170" w:type="dxa"/>
          </w:tcPr>
          <w:p w14:paraId="0B866BC3" w14:textId="77777777" w:rsidR="00157AAA" w:rsidRDefault="00157AAA">
            <w:pPr>
              <w:spacing w:before="120"/>
              <w:ind w:right="-31"/>
              <w:jc w:val="center"/>
              <w:rPr>
                <w:sz w:val="22"/>
              </w:rPr>
            </w:pPr>
          </w:p>
        </w:tc>
      </w:tr>
      <w:tr w:rsidR="00157AAA" w14:paraId="1683F732" w14:textId="77777777">
        <w:trPr>
          <w:tblHeader/>
          <w:jc w:val="center"/>
        </w:trPr>
        <w:tc>
          <w:tcPr>
            <w:tcW w:w="1357" w:type="dxa"/>
          </w:tcPr>
          <w:p w14:paraId="5374169C" w14:textId="77777777" w:rsidR="00157AAA" w:rsidRDefault="006C1BE5">
            <w:pPr>
              <w:spacing w:before="120"/>
              <w:jc w:val="center"/>
              <w:rPr>
                <w:sz w:val="22"/>
              </w:rPr>
            </w:pPr>
            <w:r>
              <w:rPr>
                <w:sz w:val="22"/>
              </w:rPr>
              <w:t>[insert Title]</w:t>
            </w:r>
          </w:p>
        </w:tc>
        <w:tc>
          <w:tcPr>
            <w:tcW w:w="1163" w:type="dxa"/>
          </w:tcPr>
          <w:p w14:paraId="27944B8B" w14:textId="77777777" w:rsidR="00157AAA" w:rsidRDefault="00157AAA">
            <w:pPr>
              <w:spacing w:before="120"/>
              <w:ind w:right="-95"/>
              <w:jc w:val="center"/>
              <w:rPr>
                <w:sz w:val="22"/>
              </w:rPr>
            </w:pPr>
          </w:p>
        </w:tc>
        <w:tc>
          <w:tcPr>
            <w:tcW w:w="1174" w:type="dxa"/>
          </w:tcPr>
          <w:p w14:paraId="7F22EA69" w14:textId="77777777" w:rsidR="00157AAA" w:rsidRDefault="00157AAA">
            <w:pPr>
              <w:spacing w:before="120"/>
              <w:ind w:right="-41"/>
              <w:jc w:val="center"/>
              <w:rPr>
                <w:sz w:val="22"/>
              </w:rPr>
            </w:pPr>
          </w:p>
        </w:tc>
        <w:tc>
          <w:tcPr>
            <w:tcW w:w="1248" w:type="dxa"/>
          </w:tcPr>
          <w:p w14:paraId="7987B2F4" w14:textId="77777777" w:rsidR="00157AAA" w:rsidRDefault="00157AAA">
            <w:pPr>
              <w:spacing w:before="120"/>
              <w:ind w:right="-31"/>
              <w:jc w:val="center"/>
              <w:rPr>
                <w:rFonts w:ascii="Univers" w:hAnsi="Univers"/>
                <w:b/>
                <w:i/>
                <w:sz w:val="22"/>
              </w:rPr>
            </w:pPr>
          </w:p>
        </w:tc>
        <w:tc>
          <w:tcPr>
            <w:tcW w:w="990" w:type="dxa"/>
          </w:tcPr>
          <w:p w14:paraId="65E941BC" w14:textId="77777777" w:rsidR="00157AAA" w:rsidRDefault="00157AAA">
            <w:pPr>
              <w:spacing w:before="120"/>
              <w:ind w:left="-113"/>
              <w:jc w:val="center"/>
              <w:rPr>
                <w:rFonts w:ascii="Univers" w:hAnsi="Univers"/>
                <w:b/>
                <w:i/>
                <w:sz w:val="22"/>
              </w:rPr>
            </w:pPr>
          </w:p>
        </w:tc>
        <w:tc>
          <w:tcPr>
            <w:tcW w:w="990" w:type="dxa"/>
          </w:tcPr>
          <w:p w14:paraId="408BB651" w14:textId="77777777" w:rsidR="00157AAA" w:rsidRDefault="00157AAA">
            <w:pPr>
              <w:spacing w:before="120"/>
              <w:jc w:val="center"/>
              <w:rPr>
                <w:rFonts w:ascii="Univers" w:hAnsi="Univers"/>
                <w:b/>
                <w:i/>
                <w:sz w:val="22"/>
              </w:rPr>
            </w:pPr>
          </w:p>
        </w:tc>
        <w:tc>
          <w:tcPr>
            <w:tcW w:w="1170" w:type="dxa"/>
          </w:tcPr>
          <w:p w14:paraId="4ADE2647" w14:textId="77777777" w:rsidR="00157AAA" w:rsidRDefault="00157AAA">
            <w:pPr>
              <w:spacing w:before="120"/>
              <w:ind w:right="-31"/>
              <w:jc w:val="center"/>
              <w:rPr>
                <w:sz w:val="22"/>
              </w:rPr>
            </w:pPr>
          </w:p>
        </w:tc>
        <w:tc>
          <w:tcPr>
            <w:tcW w:w="1170" w:type="dxa"/>
          </w:tcPr>
          <w:p w14:paraId="476F5E5D" w14:textId="77777777" w:rsidR="00157AAA" w:rsidRDefault="00157AAA">
            <w:pPr>
              <w:spacing w:before="120"/>
              <w:ind w:right="-31"/>
              <w:jc w:val="center"/>
              <w:rPr>
                <w:sz w:val="22"/>
              </w:rPr>
            </w:pPr>
          </w:p>
        </w:tc>
      </w:tr>
      <w:tr w:rsidR="00157AAA" w14:paraId="4FB55218" w14:textId="77777777">
        <w:trPr>
          <w:tblHeader/>
          <w:jc w:val="center"/>
        </w:trPr>
        <w:tc>
          <w:tcPr>
            <w:tcW w:w="1357" w:type="dxa"/>
          </w:tcPr>
          <w:p w14:paraId="5FAEF1BC" w14:textId="77777777" w:rsidR="00157AAA" w:rsidRDefault="006C1BE5">
            <w:pPr>
              <w:spacing w:before="120"/>
              <w:jc w:val="center"/>
              <w:rPr>
                <w:sz w:val="22"/>
              </w:rPr>
            </w:pPr>
            <w:r>
              <w:rPr>
                <w:sz w:val="22"/>
              </w:rPr>
              <w:t>[insert Title]</w:t>
            </w:r>
          </w:p>
        </w:tc>
        <w:tc>
          <w:tcPr>
            <w:tcW w:w="1163" w:type="dxa"/>
          </w:tcPr>
          <w:p w14:paraId="557C9874" w14:textId="77777777" w:rsidR="00157AAA" w:rsidRDefault="00157AAA">
            <w:pPr>
              <w:spacing w:before="120"/>
              <w:ind w:right="-95"/>
              <w:jc w:val="center"/>
              <w:rPr>
                <w:sz w:val="22"/>
              </w:rPr>
            </w:pPr>
          </w:p>
        </w:tc>
        <w:tc>
          <w:tcPr>
            <w:tcW w:w="1174" w:type="dxa"/>
          </w:tcPr>
          <w:p w14:paraId="27F18E35" w14:textId="77777777" w:rsidR="00157AAA" w:rsidRDefault="00157AAA">
            <w:pPr>
              <w:spacing w:before="120"/>
              <w:ind w:right="-41"/>
              <w:jc w:val="center"/>
              <w:rPr>
                <w:sz w:val="22"/>
              </w:rPr>
            </w:pPr>
          </w:p>
        </w:tc>
        <w:tc>
          <w:tcPr>
            <w:tcW w:w="1248" w:type="dxa"/>
          </w:tcPr>
          <w:p w14:paraId="78E94897" w14:textId="77777777" w:rsidR="00157AAA" w:rsidRDefault="00157AAA">
            <w:pPr>
              <w:spacing w:before="120"/>
              <w:ind w:right="-31"/>
              <w:jc w:val="center"/>
              <w:rPr>
                <w:rFonts w:ascii="Univers" w:hAnsi="Univers"/>
                <w:b/>
                <w:i/>
                <w:sz w:val="22"/>
              </w:rPr>
            </w:pPr>
          </w:p>
        </w:tc>
        <w:tc>
          <w:tcPr>
            <w:tcW w:w="990" w:type="dxa"/>
          </w:tcPr>
          <w:p w14:paraId="2892B1AF" w14:textId="77777777" w:rsidR="00157AAA" w:rsidRDefault="00157AAA">
            <w:pPr>
              <w:spacing w:before="120"/>
              <w:ind w:left="-113"/>
              <w:jc w:val="center"/>
              <w:rPr>
                <w:rFonts w:ascii="Univers" w:hAnsi="Univers"/>
                <w:b/>
                <w:i/>
                <w:sz w:val="22"/>
              </w:rPr>
            </w:pPr>
          </w:p>
        </w:tc>
        <w:tc>
          <w:tcPr>
            <w:tcW w:w="990" w:type="dxa"/>
          </w:tcPr>
          <w:p w14:paraId="1EB73E8C" w14:textId="77777777" w:rsidR="00157AAA" w:rsidRDefault="00157AAA">
            <w:pPr>
              <w:spacing w:before="120"/>
              <w:jc w:val="center"/>
              <w:rPr>
                <w:rFonts w:ascii="Univers" w:hAnsi="Univers"/>
                <w:b/>
                <w:i/>
                <w:sz w:val="22"/>
              </w:rPr>
            </w:pPr>
          </w:p>
        </w:tc>
        <w:tc>
          <w:tcPr>
            <w:tcW w:w="1170" w:type="dxa"/>
          </w:tcPr>
          <w:p w14:paraId="76E74EA2" w14:textId="77777777" w:rsidR="00157AAA" w:rsidRDefault="00157AAA">
            <w:pPr>
              <w:spacing w:before="120"/>
              <w:ind w:right="-31"/>
              <w:jc w:val="center"/>
              <w:rPr>
                <w:sz w:val="22"/>
              </w:rPr>
            </w:pPr>
          </w:p>
        </w:tc>
        <w:tc>
          <w:tcPr>
            <w:tcW w:w="1170" w:type="dxa"/>
          </w:tcPr>
          <w:p w14:paraId="22C08B86" w14:textId="77777777" w:rsidR="00157AAA" w:rsidRDefault="00157AAA">
            <w:pPr>
              <w:spacing w:before="120"/>
              <w:ind w:right="-31"/>
              <w:jc w:val="center"/>
              <w:rPr>
                <w:sz w:val="22"/>
              </w:rPr>
            </w:pPr>
          </w:p>
        </w:tc>
      </w:tr>
      <w:tr w:rsidR="00157AAA" w14:paraId="0C4ADF84" w14:textId="77777777">
        <w:trPr>
          <w:tblHeader/>
          <w:jc w:val="center"/>
        </w:trPr>
        <w:tc>
          <w:tcPr>
            <w:tcW w:w="1357" w:type="dxa"/>
          </w:tcPr>
          <w:p w14:paraId="7A1B4851" w14:textId="77777777" w:rsidR="00157AAA" w:rsidRDefault="00157AAA">
            <w:pPr>
              <w:spacing w:before="120"/>
              <w:jc w:val="center"/>
              <w:rPr>
                <w:sz w:val="22"/>
              </w:rPr>
            </w:pPr>
          </w:p>
        </w:tc>
        <w:tc>
          <w:tcPr>
            <w:tcW w:w="1163" w:type="dxa"/>
          </w:tcPr>
          <w:p w14:paraId="03B25752" w14:textId="77777777" w:rsidR="00157AAA" w:rsidRDefault="00157AAA">
            <w:pPr>
              <w:spacing w:before="120"/>
              <w:ind w:right="-95"/>
              <w:jc w:val="center"/>
              <w:rPr>
                <w:sz w:val="22"/>
              </w:rPr>
            </w:pPr>
          </w:p>
        </w:tc>
        <w:tc>
          <w:tcPr>
            <w:tcW w:w="1174" w:type="dxa"/>
          </w:tcPr>
          <w:p w14:paraId="6BCC9D0F" w14:textId="77777777" w:rsidR="00157AAA" w:rsidRDefault="00157AAA">
            <w:pPr>
              <w:spacing w:before="120"/>
              <w:ind w:right="-41"/>
              <w:jc w:val="center"/>
              <w:rPr>
                <w:sz w:val="22"/>
              </w:rPr>
            </w:pPr>
          </w:p>
        </w:tc>
        <w:tc>
          <w:tcPr>
            <w:tcW w:w="1248" w:type="dxa"/>
          </w:tcPr>
          <w:p w14:paraId="23B2321A" w14:textId="77777777" w:rsidR="00157AAA" w:rsidRDefault="00157AAA">
            <w:pPr>
              <w:spacing w:before="120"/>
              <w:ind w:right="-31"/>
              <w:jc w:val="center"/>
              <w:rPr>
                <w:rFonts w:ascii="Univers" w:hAnsi="Univers"/>
                <w:b/>
                <w:i/>
                <w:sz w:val="22"/>
              </w:rPr>
            </w:pPr>
          </w:p>
        </w:tc>
        <w:tc>
          <w:tcPr>
            <w:tcW w:w="990" w:type="dxa"/>
          </w:tcPr>
          <w:p w14:paraId="0638C76C" w14:textId="77777777" w:rsidR="00157AAA" w:rsidRDefault="00157AAA">
            <w:pPr>
              <w:spacing w:before="120"/>
              <w:ind w:left="-113"/>
              <w:jc w:val="center"/>
              <w:rPr>
                <w:rFonts w:ascii="Univers" w:hAnsi="Univers"/>
                <w:b/>
                <w:i/>
                <w:sz w:val="22"/>
              </w:rPr>
            </w:pPr>
          </w:p>
        </w:tc>
        <w:tc>
          <w:tcPr>
            <w:tcW w:w="990" w:type="dxa"/>
          </w:tcPr>
          <w:p w14:paraId="4B4721A5" w14:textId="77777777" w:rsidR="00157AAA" w:rsidRDefault="00157AAA">
            <w:pPr>
              <w:spacing w:before="120"/>
              <w:jc w:val="center"/>
              <w:rPr>
                <w:rFonts w:ascii="Univers" w:hAnsi="Univers"/>
                <w:b/>
                <w:i/>
                <w:sz w:val="22"/>
              </w:rPr>
            </w:pPr>
          </w:p>
        </w:tc>
        <w:tc>
          <w:tcPr>
            <w:tcW w:w="1170" w:type="dxa"/>
          </w:tcPr>
          <w:p w14:paraId="02E2A59D" w14:textId="77777777" w:rsidR="00157AAA" w:rsidRDefault="00157AAA">
            <w:pPr>
              <w:spacing w:before="120"/>
              <w:ind w:right="-31"/>
              <w:jc w:val="center"/>
              <w:rPr>
                <w:sz w:val="22"/>
              </w:rPr>
            </w:pPr>
          </w:p>
        </w:tc>
        <w:tc>
          <w:tcPr>
            <w:tcW w:w="1170" w:type="dxa"/>
          </w:tcPr>
          <w:p w14:paraId="4BF83660" w14:textId="77777777" w:rsidR="00157AAA" w:rsidRDefault="00157AAA">
            <w:pPr>
              <w:spacing w:before="120"/>
              <w:ind w:right="-31"/>
              <w:jc w:val="center"/>
              <w:rPr>
                <w:sz w:val="22"/>
              </w:rPr>
            </w:pPr>
          </w:p>
        </w:tc>
      </w:tr>
    </w:tbl>
    <w:p w14:paraId="2F6D7EE1" w14:textId="77777777" w:rsidR="00157AAA" w:rsidRDefault="00157AAA"/>
    <w:p w14:paraId="16A952DC" w14:textId="77777777" w:rsidR="00157AAA" w:rsidRDefault="006C1BE5">
      <w:pPr>
        <w:pStyle w:val="Head82"/>
      </w:pPr>
      <w:r>
        <w:rPr>
          <w:sz w:val="22"/>
        </w:rPr>
        <w:br w:type="page" w:clear="all"/>
      </w:r>
      <w:bookmarkStart w:id="1030" w:name="_Toc73977982"/>
      <w:r>
        <w:lastRenderedPageBreak/>
        <w:t>Appendix 5.  Custom Materials</w:t>
      </w:r>
      <w:bookmarkEnd w:id="1030"/>
    </w:p>
    <w:p w14:paraId="78DC8295" w14:textId="77777777" w:rsidR="00157AAA" w:rsidRDefault="00157AAA">
      <w:pPr>
        <w:rPr>
          <w:sz w:val="22"/>
        </w:rPr>
      </w:pPr>
    </w:p>
    <w:p w14:paraId="3E8A84F7" w14:textId="77777777" w:rsidR="00157AAA" w:rsidRDefault="006C1BE5">
      <w:r>
        <w:t xml:space="preserve">The </w:t>
      </w:r>
      <w:proofErr w:type="gramStart"/>
      <w:r>
        <w:t>follow</w:t>
      </w:r>
      <w:proofErr w:type="gramEnd"/>
      <w:r>
        <w:t xml:space="preserve"> table specifies the Custom Materials the Supplier will provide under the Contract.  </w:t>
      </w:r>
    </w:p>
    <w:p w14:paraId="631BD4DD" w14:textId="77777777" w:rsidR="00157AAA" w:rsidRDefault="00157AAA"/>
    <w:tbl>
      <w:tblPr>
        <w:tblW w:w="8640" w:type="dxa"/>
        <w:jc w:val="center"/>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00" w:firstRow="0" w:lastRow="0" w:firstColumn="0" w:lastColumn="0" w:noHBand="0" w:noVBand="0"/>
      </w:tblPr>
      <w:tblGrid>
        <w:gridCol w:w="8640"/>
      </w:tblGrid>
      <w:tr w:rsidR="00157AAA" w14:paraId="5A6D15B2" w14:textId="77777777">
        <w:trPr>
          <w:jc w:val="center"/>
        </w:trPr>
        <w:tc>
          <w:tcPr>
            <w:tcW w:w="8280" w:type="dxa"/>
          </w:tcPr>
          <w:p w14:paraId="3DC21A05" w14:textId="77777777" w:rsidR="00157AAA" w:rsidRDefault="006C1BE5">
            <w:pPr>
              <w:spacing w:before="120"/>
              <w:jc w:val="center"/>
            </w:pPr>
            <w:r>
              <w:t>Custom Materials</w:t>
            </w:r>
          </w:p>
        </w:tc>
      </w:tr>
      <w:tr w:rsidR="00157AAA" w14:paraId="0A412922" w14:textId="77777777">
        <w:trPr>
          <w:jc w:val="center"/>
        </w:trPr>
        <w:tc>
          <w:tcPr>
            <w:tcW w:w="8280" w:type="dxa"/>
          </w:tcPr>
          <w:p w14:paraId="25E62C60" w14:textId="77777777" w:rsidR="00157AAA" w:rsidRDefault="006C1BE5">
            <w:pPr>
              <w:spacing w:before="120"/>
            </w:pPr>
            <w:r>
              <w:rPr>
                <w:i/>
                <w:sz w:val="22"/>
              </w:rPr>
              <w:t xml:space="preserve">[insert </w:t>
            </w:r>
            <w:r>
              <w:rPr>
                <w:b/>
                <w:i/>
                <w:sz w:val="22"/>
              </w:rPr>
              <w:t>Title and description</w:t>
            </w:r>
            <w:r>
              <w:rPr>
                <w:i/>
                <w:sz w:val="22"/>
              </w:rPr>
              <w:t>]</w:t>
            </w:r>
          </w:p>
        </w:tc>
      </w:tr>
      <w:tr w:rsidR="00157AAA" w14:paraId="543C264C" w14:textId="77777777">
        <w:trPr>
          <w:jc w:val="center"/>
        </w:trPr>
        <w:tc>
          <w:tcPr>
            <w:tcW w:w="8280" w:type="dxa"/>
          </w:tcPr>
          <w:p w14:paraId="00D3B10E" w14:textId="77777777" w:rsidR="00157AAA" w:rsidRDefault="006C1BE5">
            <w:pPr>
              <w:spacing w:before="120"/>
            </w:pPr>
            <w:r>
              <w:rPr>
                <w:i/>
                <w:sz w:val="22"/>
              </w:rPr>
              <w:t xml:space="preserve">[insert </w:t>
            </w:r>
            <w:r>
              <w:rPr>
                <w:b/>
                <w:i/>
                <w:sz w:val="22"/>
              </w:rPr>
              <w:t>Title and description</w:t>
            </w:r>
            <w:r>
              <w:rPr>
                <w:i/>
                <w:sz w:val="22"/>
              </w:rPr>
              <w:t>]</w:t>
            </w:r>
          </w:p>
        </w:tc>
      </w:tr>
      <w:tr w:rsidR="00157AAA" w14:paraId="75164BCF" w14:textId="77777777">
        <w:trPr>
          <w:jc w:val="center"/>
        </w:trPr>
        <w:tc>
          <w:tcPr>
            <w:tcW w:w="8280" w:type="dxa"/>
          </w:tcPr>
          <w:p w14:paraId="22962501" w14:textId="77777777" w:rsidR="00157AAA" w:rsidRDefault="006C1BE5">
            <w:pPr>
              <w:spacing w:before="120"/>
            </w:pPr>
            <w:r>
              <w:rPr>
                <w:i/>
                <w:sz w:val="22"/>
              </w:rPr>
              <w:t xml:space="preserve">[insert </w:t>
            </w:r>
            <w:r>
              <w:rPr>
                <w:b/>
                <w:i/>
                <w:sz w:val="22"/>
              </w:rPr>
              <w:t>Title and description</w:t>
            </w:r>
            <w:r>
              <w:rPr>
                <w:i/>
                <w:sz w:val="22"/>
              </w:rPr>
              <w:t>]</w:t>
            </w:r>
          </w:p>
        </w:tc>
      </w:tr>
      <w:tr w:rsidR="00157AAA" w14:paraId="5C926B56" w14:textId="77777777">
        <w:trPr>
          <w:jc w:val="center"/>
        </w:trPr>
        <w:tc>
          <w:tcPr>
            <w:tcW w:w="8280" w:type="dxa"/>
          </w:tcPr>
          <w:p w14:paraId="73674A18" w14:textId="77777777" w:rsidR="00157AAA" w:rsidRDefault="006C1BE5">
            <w:pPr>
              <w:spacing w:before="120"/>
            </w:pPr>
            <w:r>
              <w:rPr>
                <w:i/>
                <w:sz w:val="22"/>
              </w:rPr>
              <w:t xml:space="preserve">[insert </w:t>
            </w:r>
            <w:r>
              <w:rPr>
                <w:b/>
                <w:i/>
                <w:sz w:val="22"/>
              </w:rPr>
              <w:t>Title and description</w:t>
            </w:r>
            <w:r>
              <w:rPr>
                <w:i/>
                <w:sz w:val="22"/>
              </w:rPr>
              <w:t>]</w:t>
            </w:r>
          </w:p>
        </w:tc>
      </w:tr>
      <w:tr w:rsidR="00157AAA" w14:paraId="627822C8" w14:textId="77777777">
        <w:trPr>
          <w:jc w:val="center"/>
        </w:trPr>
        <w:tc>
          <w:tcPr>
            <w:tcW w:w="8280" w:type="dxa"/>
          </w:tcPr>
          <w:p w14:paraId="782C9C61" w14:textId="77777777" w:rsidR="00157AAA" w:rsidRDefault="006C1BE5">
            <w:pPr>
              <w:spacing w:before="120"/>
            </w:pPr>
            <w:r>
              <w:rPr>
                <w:i/>
                <w:sz w:val="22"/>
              </w:rPr>
              <w:t xml:space="preserve">[insert </w:t>
            </w:r>
            <w:r>
              <w:rPr>
                <w:b/>
                <w:i/>
                <w:sz w:val="22"/>
              </w:rPr>
              <w:t>Title and description</w:t>
            </w:r>
            <w:r>
              <w:rPr>
                <w:i/>
                <w:sz w:val="22"/>
              </w:rPr>
              <w:t>]</w:t>
            </w:r>
          </w:p>
        </w:tc>
      </w:tr>
      <w:tr w:rsidR="00157AAA" w14:paraId="3782B090" w14:textId="77777777">
        <w:trPr>
          <w:jc w:val="center"/>
        </w:trPr>
        <w:tc>
          <w:tcPr>
            <w:tcW w:w="8280" w:type="dxa"/>
          </w:tcPr>
          <w:p w14:paraId="35DB4213" w14:textId="77777777" w:rsidR="00157AAA" w:rsidRDefault="00157AAA">
            <w:pPr>
              <w:spacing w:before="120"/>
              <w:rPr>
                <w:i/>
                <w:sz w:val="22"/>
              </w:rPr>
            </w:pPr>
          </w:p>
        </w:tc>
      </w:tr>
    </w:tbl>
    <w:p w14:paraId="2BBC601A" w14:textId="77777777" w:rsidR="00157AAA" w:rsidRDefault="00157AAA"/>
    <w:p w14:paraId="74BF8C79" w14:textId="77777777" w:rsidR="00157AAA" w:rsidRDefault="006C1BE5">
      <w:pPr>
        <w:pStyle w:val="Head82"/>
      </w:pPr>
      <w:r>
        <w:rPr>
          <w:sz w:val="22"/>
        </w:rPr>
        <w:br w:type="page" w:clear="all"/>
      </w:r>
      <w:bookmarkStart w:id="1031" w:name="_Toc73977983"/>
      <w:r>
        <w:lastRenderedPageBreak/>
        <w:t>Appendix 6.  Revised Price Schedules</w:t>
      </w:r>
      <w:bookmarkEnd w:id="1031"/>
    </w:p>
    <w:p w14:paraId="737D05A6" w14:textId="77777777" w:rsidR="00157AAA" w:rsidRDefault="00157AAA">
      <w:pPr>
        <w:rPr>
          <w:sz w:val="22"/>
        </w:rPr>
      </w:pPr>
    </w:p>
    <w:p w14:paraId="1E4EAFB6" w14:textId="77777777" w:rsidR="00157AAA" w:rsidRDefault="006C1BE5">
      <w:r>
        <w:t>The attached Revised Price Schedules (if any) shall form part of this Contract Agreement and, where differences exist, shall supersede the Price Schedules contained in the Supplier’s Bid.  These Revised Price Schedules reflect any corrections or adjustments to the Supplier’s bid price, pursuant to the ITB Clauses 30.3 and 38.2.</w:t>
      </w:r>
    </w:p>
    <w:p w14:paraId="4BB79D14" w14:textId="77777777" w:rsidR="00157AAA" w:rsidRDefault="00157AAA"/>
    <w:p w14:paraId="5E11D870" w14:textId="77777777" w:rsidR="00157AAA" w:rsidRDefault="00157AAA">
      <w:pPr>
        <w:jc w:val="center"/>
      </w:pPr>
    </w:p>
    <w:p w14:paraId="6DA92829" w14:textId="77777777" w:rsidR="00157AAA" w:rsidRDefault="00157AAA">
      <w:pPr>
        <w:jc w:val="center"/>
      </w:pPr>
    </w:p>
    <w:p w14:paraId="0D76A72E" w14:textId="77777777" w:rsidR="00157AAA" w:rsidRDefault="00157AAA">
      <w:pPr>
        <w:jc w:val="center"/>
      </w:pPr>
    </w:p>
    <w:p w14:paraId="1BF853F9" w14:textId="77777777" w:rsidR="00157AAA" w:rsidRDefault="006C1BE5">
      <w:pPr>
        <w:pStyle w:val="Head82"/>
      </w:pPr>
      <w:r>
        <w:rPr>
          <w:sz w:val="22"/>
        </w:rPr>
        <w:br w:type="page" w:clear="all"/>
      </w:r>
      <w:bookmarkStart w:id="1032" w:name="_Toc73977984"/>
      <w:r>
        <w:lastRenderedPageBreak/>
        <w:t>Appendix 7.  Minutes of Contract Finalization Discussions and Agreed-to Contract Amendments</w:t>
      </w:r>
      <w:bookmarkEnd w:id="1032"/>
    </w:p>
    <w:p w14:paraId="20BA3D25" w14:textId="77777777" w:rsidR="00157AAA" w:rsidRDefault="00157AAA">
      <w:pPr>
        <w:rPr>
          <w:sz w:val="28"/>
        </w:rPr>
      </w:pPr>
    </w:p>
    <w:p w14:paraId="23C86512" w14:textId="77777777" w:rsidR="00157AAA" w:rsidRDefault="006C1BE5">
      <w:r>
        <w:t>The attached Contract amendments (if any) shall form part of this Contract Agreement and, where differences exist, shall supersede the relevant clauses in the GCC, SCC, Technical Requirements, or other parts of this Contract as defined in GCC Clause 1.1 (a) (ii).</w:t>
      </w:r>
    </w:p>
    <w:p w14:paraId="59DA38F5" w14:textId="77777777" w:rsidR="00157AAA" w:rsidRDefault="00157AAA">
      <w:pPr>
        <w:jc w:val="center"/>
      </w:pPr>
    </w:p>
    <w:p w14:paraId="23C7EB8B" w14:textId="77777777" w:rsidR="00157AAA" w:rsidRDefault="006C1BE5">
      <w:pPr>
        <w:pStyle w:val="Head81"/>
        <w:rPr>
          <w:sz w:val="22"/>
        </w:rPr>
      </w:pPr>
      <w:r>
        <w:rPr>
          <w:sz w:val="22"/>
        </w:rPr>
        <w:br w:type="page" w:clear="all"/>
      </w:r>
    </w:p>
    <w:p w14:paraId="47A3F37C" w14:textId="77777777" w:rsidR="00157AAA" w:rsidRDefault="006C1BE5">
      <w:pPr>
        <w:pStyle w:val="Head81"/>
      </w:pPr>
      <w:bookmarkStart w:id="1033" w:name="_Toc73977985"/>
      <w:r>
        <w:lastRenderedPageBreak/>
        <w:t>2.  Performance and Advance Payment Security Forms</w:t>
      </w:r>
      <w:bookmarkEnd w:id="1033"/>
    </w:p>
    <w:p w14:paraId="77C0BA87" w14:textId="77777777" w:rsidR="00157AAA" w:rsidRDefault="00157AAA">
      <w:pPr>
        <w:rPr>
          <w:sz w:val="22"/>
        </w:rPr>
      </w:pPr>
    </w:p>
    <w:p w14:paraId="37C0CF1F" w14:textId="77777777" w:rsidR="00157AAA" w:rsidRDefault="006C1BE5">
      <w:pPr>
        <w:rPr>
          <w:sz w:val="22"/>
        </w:rPr>
      </w:pPr>
      <w:r>
        <w:rPr>
          <w:sz w:val="22"/>
        </w:rPr>
        <w:br w:type="page" w:clear="all"/>
      </w:r>
      <w:bookmarkEnd w:id="1015"/>
      <w:bookmarkEnd w:id="1016"/>
    </w:p>
    <w:p w14:paraId="7AD69852" w14:textId="77777777" w:rsidR="00157AAA" w:rsidRDefault="006C1BE5">
      <w:pPr>
        <w:pStyle w:val="Head82"/>
      </w:pPr>
      <w:bookmarkStart w:id="1034" w:name="_Toc521497273"/>
      <w:bookmarkStart w:id="1035" w:name="_Toc207770106"/>
      <w:bookmarkStart w:id="1036" w:name="_Toc73977986"/>
      <w:r>
        <w:lastRenderedPageBreak/>
        <w:t>2.1</w:t>
      </w:r>
      <w:r>
        <w:tab/>
        <w:t>Performance Security Form (Bank Guarantee</w:t>
      </w:r>
      <w:bookmarkEnd w:id="1034"/>
      <w:r>
        <w:t>)</w:t>
      </w:r>
      <w:bookmarkEnd w:id="1035"/>
      <w:bookmarkEnd w:id="1036"/>
    </w:p>
    <w:p w14:paraId="159E8D9C" w14:textId="77777777" w:rsidR="00157AAA" w:rsidRDefault="006C1BE5">
      <w:pPr>
        <w:spacing w:after="0"/>
        <w:jc w:val="center"/>
        <w:rPr>
          <w:b/>
          <w:sz w:val="28"/>
          <w:szCs w:val="28"/>
        </w:rPr>
      </w:pPr>
      <w:bookmarkStart w:id="1037" w:name="_Toc348001572"/>
      <w:r>
        <w:rPr>
          <w:b/>
          <w:sz w:val="28"/>
          <w:szCs w:val="28"/>
        </w:rPr>
        <w:t xml:space="preserve"> (Bank Guarantee)</w:t>
      </w:r>
      <w:bookmarkEnd w:id="1037"/>
    </w:p>
    <w:p w14:paraId="7EAB4B0C" w14:textId="77777777" w:rsidR="00157AAA" w:rsidRDefault="00157AAA"/>
    <w:p w14:paraId="0C6B001A" w14:textId="77777777" w:rsidR="00157AAA" w:rsidRDefault="006C1BE5">
      <w:pPr>
        <w:spacing w:after="0"/>
        <w:jc w:val="left"/>
        <w:rPr>
          <w:i/>
          <w:iCs/>
        </w:rPr>
      </w:pPr>
      <w:r>
        <w:rPr>
          <w:i/>
          <w:iCs/>
        </w:rPr>
        <w:t xml:space="preserve">[The bank, as requested by the successful Bidder, shall fill in this form in accordance with the instructions indicated]  </w:t>
      </w:r>
    </w:p>
    <w:p w14:paraId="7FEF98EB" w14:textId="77777777" w:rsidR="00157AAA" w:rsidRDefault="00157AAA">
      <w:pPr>
        <w:spacing w:after="0"/>
        <w:jc w:val="left"/>
        <w:rPr>
          <w:i/>
          <w:iCs/>
        </w:rPr>
      </w:pPr>
    </w:p>
    <w:p w14:paraId="25CA6768" w14:textId="77777777" w:rsidR="00157AAA" w:rsidRDefault="006C1BE5">
      <w:pPr>
        <w:spacing w:after="0"/>
        <w:jc w:val="left"/>
        <w:rPr>
          <w:i/>
        </w:rPr>
      </w:pPr>
      <w:r>
        <w:rPr>
          <w:i/>
        </w:rPr>
        <w:t>[Guarantor letterhead or SWIFT identifier code]</w:t>
      </w:r>
    </w:p>
    <w:p w14:paraId="60EDDA52" w14:textId="77777777" w:rsidR="00157AAA" w:rsidRDefault="00157AAA"/>
    <w:p w14:paraId="1FDD57F4" w14:textId="77777777" w:rsidR="00157AAA" w:rsidRDefault="006C1BE5">
      <w:pPr>
        <w:pStyle w:val="NormalWeb"/>
        <w:spacing w:before="0"/>
        <w:rPr>
          <w:rFonts w:ascii="Times New Roman" w:hAnsi="Times New Roman" w:cs="Times New Roman"/>
        </w:rPr>
      </w:pPr>
      <w:r>
        <w:rPr>
          <w:rFonts w:ascii="Times New Roman" w:hAnsi="Times New Roman" w:cs="Times New Roman"/>
          <w:i/>
        </w:rPr>
        <w:t xml:space="preserve">[insert: </w:t>
      </w:r>
      <w:r>
        <w:rPr>
          <w:rFonts w:ascii="Times New Roman" w:hAnsi="Times New Roman" w:cs="Times New Roman"/>
          <w:b/>
          <w:i/>
        </w:rPr>
        <w:t>Bank’s Name, and Address of Issuing Branch or Office</w:t>
      </w:r>
      <w:r>
        <w:rPr>
          <w:rFonts w:ascii="Times New Roman" w:hAnsi="Times New Roman" w:cs="Times New Roman"/>
          <w:i/>
        </w:rPr>
        <w:t>]</w:t>
      </w:r>
    </w:p>
    <w:p w14:paraId="0983EF28" w14:textId="77777777" w:rsidR="00157AAA" w:rsidRDefault="006C1BE5">
      <w:pPr>
        <w:pStyle w:val="NormalWeb"/>
        <w:spacing w:before="40"/>
        <w:rPr>
          <w:rFonts w:ascii="Times New Roman" w:hAnsi="Times New Roman" w:cs="Times New Roman"/>
          <w:i/>
        </w:rPr>
      </w:pPr>
      <w:r>
        <w:rPr>
          <w:rFonts w:ascii="Times New Roman" w:hAnsi="Times New Roman" w:cs="Times New Roman"/>
        </w:rPr>
        <w:t>Beneficiary</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i/>
        </w:rPr>
        <w:t xml:space="preserve">insert: </w:t>
      </w:r>
      <w:r>
        <w:rPr>
          <w:rFonts w:ascii="Times New Roman" w:hAnsi="Times New Roman" w:cs="Times New Roman"/>
          <w:b/>
          <w:i/>
        </w:rPr>
        <w:t>Name and Address of Purchaser</w:t>
      </w:r>
      <w:r>
        <w:rPr>
          <w:rFonts w:ascii="Times New Roman" w:hAnsi="Times New Roman" w:cs="Times New Roman"/>
          <w:i/>
        </w:rPr>
        <w:t>]</w:t>
      </w:r>
    </w:p>
    <w:p w14:paraId="257A77E6" w14:textId="77777777" w:rsidR="00157AAA" w:rsidRDefault="006C1BE5">
      <w:pPr>
        <w:pStyle w:val="NormalWeb"/>
        <w:spacing w:before="40"/>
        <w:rPr>
          <w:rFonts w:ascii="Times New Roman" w:hAnsi="Times New Roman" w:cs="Times New Roman"/>
          <w:i/>
        </w:rPr>
      </w:pPr>
      <w:r>
        <w:rPr>
          <w:rFonts w:ascii="Times New Roman" w:hAnsi="Times New Roman" w:cs="Times New Roman"/>
        </w:rPr>
        <w:t>Date</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i/>
        </w:rPr>
        <w:t xml:space="preserve">insert: </w:t>
      </w:r>
      <w:r>
        <w:rPr>
          <w:rFonts w:ascii="Times New Roman" w:hAnsi="Times New Roman" w:cs="Times New Roman"/>
          <w:b/>
          <w:i/>
        </w:rPr>
        <w:t>date</w:t>
      </w:r>
      <w:r>
        <w:rPr>
          <w:rFonts w:ascii="Times New Roman" w:hAnsi="Times New Roman" w:cs="Times New Roman"/>
          <w:i/>
        </w:rPr>
        <w:t>]</w:t>
      </w:r>
    </w:p>
    <w:p w14:paraId="66566607" w14:textId="77777777" w:rsidR="00157AAA" w:rsidRDefault="006C1BE5">
      <w:pPr>
        <w:pStyle w:val="NormalWeb"/>
        <w:spacing w:before="40" w:after="200"/>
        <w:rPr>
          <w:rFonts w:ascii="Times New Roman" w:hAnsi="Times New Roman" w:cs="Times New Roman"/>
          <w:i/>
        </w:rPr>
      </w:pPr>
      <w:r>
        <w:rPr>
          <w:rFonts w:ascii="Times New Roman" w:hAnsi="Times New Roman" w:cs="Times New Roman"/>
        </w:rPr>
        <w:t>PERFORMANCE GUARANTEE No.</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i/>
        </w:rPr>
        <w:t xml:space="preserve">insert: </w:t>
      </w:r>
      <w:r>
        <w:rPr>
          <w:rFonts w:ascii="Times New Roman" w:hAnsi="Times New Roman" w:cs="Times New Roman"/>
          <w:b/>
          <w:i/>
        </w:rPr>
        <w:t>Performance Guarantee Number</w:t>
      </w:r>
      <w:r>
        <w:rPr>
          <w:rFonts w:ascii="Times New Roman" w:hAnsi="Times New Roman" w:cs="Times New Roman"/>
          <w:i/>
        </w:rPr>
        <w:t>]</w:t>
      </w:r>
    </w:p>
    <w:p w14:paraId="1B951295" w14:textId="77777777" w:rsidR="00157AAA" w:rsidRDefault="006C1BE5">
      <w:pPr>
        <w:spacing w:before="100" w:beforeAutospacing="1" w:after="100" w:afterAutospacing="1"/>
        <w:jc w:val="left"/>
      </w:pPr>
      <w:r>
        <w:rPr>
          <w:rFonts w:eastAsia="Arial Unicode MS"/>
          <w:szCs w:val="24"/>
        </w:rPr>
        <w:t>Guarantor</w:t>
      </w:r>
      <w:proofErr w:type="gramStart"/>
      <w:r>
        <w:rPr>
          <w:rFonts w:eastAsia="Arial Unicode MS"/>
          <w:szCs w:val="24"/>
        </w:rPr>
        <w:t xml:space="preserve">:  </w:t>
      </w:r>
      <w:r>
        <w:rPr>
          <w:rFonts w:eastAsia="Arial Unicode MS"/>
          <w:i/>
          <w:szCs w:val="24"/>
        </w:rPr>
        <w:t>[</w:t>
      </w:r>
      <w:proofErr w:type="gramEnd"/>
      <w:r>
        <w:rPr>
          <w:rFonts w:eastAsia="Arial Unicode MS"/>
          <w:i/>
          <w:szCs w:val="24"/>
        </w:rPr>
        <w:t>Insert name and address of place of issue, unless indicated in the letterhead]</w:t>
      </w:r>
    </w:p>
    <w:p w14:paraId="40F69128" w14:textId="77777777" w:rsidR="00157AAA" w:rsidRDefault="006C1BE5">
      <w:r>
        <w:t xml:space="preserve">We have been informed that on </w:t>
      </w:r>
      <w:r>
        <w:rPr>
          <w:i/>
        </w:rPr>
        <w:t>[</w:t>
      </w:r>
      <w:proofErr w:type="gramStart"/>
      <w:r>
        <w:rPr>
          <w:i/>
        </w:rPr>
        <w:t>insert:</w:t>
      </w:r>
      <w:proofErr w:type="gramEnd"/>
      <w:r>
        <w:rPr>
          <w:i/>
        </w:rPr>
        <w:t xml:space="preserve"> </w:t>
      </w:r>
      <w:r>
        <w:rPr>
          <w:b/>
          <w:i/>
        </w:rPr>
        <w:t>date of award</w:t>
      </w:r>
      <w:r>
        <w:rPr>
          <w:i/>
        </w:rPr>
        <w:t xml:space="preserve">] </w:t>
      </w:r>
      <w:r>
        <w:t xml:space="preserve">you awarded Contract No. </w:t>
      </w:r>
      <w:r>
        <w:rPr>
          <w:i/>
        </w:rPr>
        <w:t xml:space="preserve">[insert: </w:t>
      </w:r>
      <w:r>
        <w:rPr>
          <w:b/>
          <w:i/>
        </w:rPr>
        <w:t>Contract number</w:t>
      </w:r>
      <w:r>
        <w:rPr>
          <w:i/>
        </w:rPr>
        <w:t xml:space="preserve">] </w:t>
      </w:r>
      <w:r>
        <w:t xml:space="preserve">for </w:t>
      </w:r>
      <w:r>
        <w:rPr>
          <w:i/>
        </w:rPr>
        <w:t xml:space="preserve">[insert: </w:t>
      </w:r>
      <w:r>
        <w:rPr>
          <w:b/>
          <w:i/>
        </w:rPr>
        <w:t>title and/or brief description of the Contract</w:t>
      </w:r>
      <w:r>
        <w:rPr>
          <w:i/>
        </w:rPr>
        <w:t xml:space="preserve">] </w:t>
      </w:r>
      <w:r>
        <w:t xml:space="preserve">(hereinafter called "the Contract") to </w:t>
      </w:r>
      <w:r>
        <w:rPr>
          <w:i/>
        </w:rPr>
        <w:t xml:space="preserve">[insert: </w:t>
      </w:r>
      <w:r>
        <w:rPr>
          <w:b/>
          <w:i/>
        </w:rPr>
        <w:t>complete name of Supplier which in the case of a joint venture shall be in the name of the joint venture</w:t>
      </w:r>
      <w:r>
        <w:rPr>
          <w:i/>
        </w:rPr>
        <w:t>]</w:t>
      </w:r>
      <w:r>
        <w:t xml:space="preserve"> (hereinafter called "the Applicant").  Furthermore, we understand that, according to the conditions of the Contract, a performance guarantee is required.</w:t>
      </w:r>
    </w:p>
    <w:p w14:paraId="4E2B79C1" w14:textId="77777777" w:rsidR="00157AAA" w:rsidRDefault="006C1BE5">
      <w:r>
        <w:t xml:space="preserve">At the request of the Applicant, we  as Guarantor hereby irrevocably undertake to pay you any sum(s) not exceeding </w:t>
      </w:r>
      <w:r>
        <w:rPr>
          <w:i/>
        </w:rPr>
        <w:t xml:space="preserve">[insert: </w:t>
      </w:r>
      <w:r>
        <w:rPr>
          <w:b/>
          <w:i/>
        </w:rPr>
        <w:t>amount(s)</w:t>
      </w:r>
      <w:bookmarkStart w:id="1038" w:name="_Ref144029320"/>
      <w:r>
        <w:rPr>
          <w:rStyle w:val="FootnoteReference"/>
          <w:i/>
        </w:rPr>
        <w:footnoteReference w:id="16"/>
      </w:r>
      <w:bookmarkEnd w:id="1038"/>
      <w:r>
        <w:rPr>
          <w:b/>
          <w:i/>
        </w:rPr>
        <w:t xml:space="preserve"> in figures and words</w:t>
      </w:r>
      <w:r>
        <w:rPr>
          <w:i/>
        </w:rPr>
        <w:t xml:space="preserve">] </w:t>
      </w:r>
      <w:r>
        <w:t>such sum being payable in the types and proportions of currencies which the Contract Price is payable</w:t>
      </w:r>
      <w:r>
        <w:rPr>
          <w:i/>
        </w:rPr>
        <w:t xml:space="preserve"> </w:t>
      </w:r>
      <w:r>
        <w:t>upon receipt by us of the Beneficiary’s statement, whether in the demand itself or in a separate signed document accompanying or identifying the demand, stating that the Applicant is in breach of its obligation(s) under the contract without the Beneficiary needing to prove or to show grounds or reasons for their demand or the sum specified therein.</w:t>
      </w:r>
    </w:p>
    <w:p w14:paraId="6FB64A69" w14:textId="6D655942" w:rsidR="00157AAA" w:rsidRDefault="006C1BE5">
      <w:r>
        <w:t xml:space="preserve">On the date of your issuing, to the Supplier, the Operational Acceptance Certificate for the System, the value of this guarantee will be reduced to any sum(s) not exceeding </w:t>
      </w:r>
      <w:r>
        <w:rPr>
          <w:i/>
        </w:rPr>
        <w:t xml:space="preserve">[insert: </w:t>
      </w:r>
      <w:r>
        <w:rPr>
          <w:b/>
          <w:i/>
        </w:rPr>
        <w:t>amount(s)</w:t>
      </w:r>
      <w:fldSimple w:instr="NOTEREF _Ref144029320 \f  \* MERGEFORMAT ">
        <w:r w:rsidR="00060F24" w:rsidRPr="00F60631">
          <w:rPr>
            <w:rStyle w:val="FootnoteReference"/>
          </w:rPr>
          <w:t>4</w:t>
        </w:r>
      </w:fldSimple>
      <w:r>
        <w:rPr>
          <w:b/>
          <w:i/>
        </w:rPr>
        <w:t xml:space="preserve"> in figures and words</w:t>
      </w:r>
      <w:r>
        <w:rPr>
          <w:i/>
        </w:rPr>
        <w:t xml:space="preserve">].  </w:t>
      </w:r>
      <w:r>
        <w:t xml:space="preserve">This remaining guarantee shall expire no later than </w:t>
      </w:r>
      <w:r>
        <w:rPr>
          <w:i/>
        </w:rPr>
        <w:t>[</w:t>
      </w:r>
      <w:proofErr w:type="gramStart"/>
      <w:r>
        <w:rPr>
          <w:i/>
        </w:rPr>
        <w:t>insert:</w:t>
      </w:r>
      <w:proofErr w:type="gramEnd"/>
      <w:r>
        <w:rPr>
          <w:i/>
        </w:rPr>
        <w:t xml:space="preserve"> </w:t>
      </w:r>
      <w:r>
        <w:rPr>
          <w:b/>
          <w:i/>
        </w:rPr>
        <w:t>number</w:t>
      </w:r>
      <w:r>
        <w:rPr>
          <w:i/>
        </w:rPr>
        <w:t xml:space="preserve"> and select: </w:t>
      </w:r>
      <w:r>
        <w:rPr>
          <w:b/>
          <w:i/>
        </w:rPr>
        <w:t>of months/of years</w:t>
      </w:r>
      <w:r>
        <w:rPr>
          <w:i/>
        </w:rPr>
        <w:t xml:space="preserve"> (of the Warranty Period that needs to be covered by the remaining </w:t>
      </w:r>
      <w:r>
        <w:rPr>
          <w:i/>
        </w:rPr>
        <w:lastRenderedPageBreak/>
        <w:t xml:space="preserve">guarantee)] </w:t>
      </w:r>
      <w:r>
        <w:t>from the date of the Operational Acceptance Certificate for the System,</w:t>
      </w:r>
      <w:r>
        <w:rPr>
          <w:rStyle w:val="FootnoteReference"/>
          <w:i/>
        </w:rPr>
        <w:footnoteReference w:id="17"/>
      </w:r>
      <w:r>
        <w:t xml:space="preserve"> and any demand for payment under it must be received by us at this office on or before that date.</w:t>
      </w:r>
    </w:p>
    <w:p w14:paraId="3488C3E1" w14:textId="77777777" w:rsidR="00157AAA" w:rsidRDefault="006C1BE5">
      <w:r>
        <w:t>This guarantee is subject to the Uniform Rules for Demand Guarantees, (URDG) 2010 Revision, ICC Publication No. 758, except that the supporting statement under 15 (a) is hereby excluded.</w:t>
      </w:r>
    </w:p>
    <w:p w14:paraId="7DCF631B" w14:textId="77777777" w:rsidR="00157AAA" w:rsidRDefault="006C1BE5">
      <w:pPr>
        <w:spacing w:after="0"/>
        <w:rPr>
          <w:i/>
        </w:rPr>
      </w:pPr>
      <w:r>
        <w:rPr>
          <w:i/>
        </w:rPr>
        <w:t>_______________________</w:t>
      </w:r>
    </w:p>
    <w:p w14:paraId="1819F0E2" w14:textId="77777777" w:rsidR="00157AAA" w:rsidRDefault="006C1BE5">
      <w:pPr>
        <w:rPr>
          <w:i/>
        </w:rPr>
      </w:pPr>
      <w:r>
        <w:rPr>
          <w:i/>
        </w:rPr>
        <w:t>[Signature(s)]</w:t>
      </w:r>
    </w:p>
    <w:p w14:paraId="363ABB22" w14:textId="77777777" w:rsidR="00157AAA" w:rsidRDefault="00157AAA"/>
    <w:p w14:paraId="0629E790" w14:textId="77777777" w:rsidR="00157AAA" w:rsidRDefault="006C1BE5">
      <w:pPr>
        <w:spacing w:after="0"/>
        <w:ind w:left="810" w:hanging="810"/>
        <w:jc w:val="left"/>
      </w:pPr>
      <w:r>
        <w:rPr>
          <w:i/>
        </w:rPr>
        <w:t>[</w:t>
      </w:r>
      <w:r>
        <w:rPr>
          <w:b/>
          <w:i/>
        </w:rPr>
        <w:t>Note</w:t>
      </w:r>
      <w:r>
        <w:rPr>
          <w:i/>
        </w:rPr>
        <w:t xml:space="preserve">: </w:t>
      </w:r>
      <w:r>
        <w:rPr>
          <w:i/>
        </w:rPr>
        <w:tab/>
        <w:t>All italicized text (including footnotes) is for use in preparing this form and shall be deleted from the final product.]</w:t>
      </w:r>
    </w:p>
    <w:p w14:paraId="10A53B7C" w14:textId="77777777" w:rsidR="00157AAA" w:rsidRDefault="006C1BE5">
      <w:pPr>
        <w:pStyle w:val="Head82"/>
      </w:pPr>
      <w:r>
        <w:br w:type="page" w:clear="all"/>
      </w:r>
      <w:bookmarkStart w:id="1039" w:name="_Toc521497274"/>
      <w:bookmarkStart w:id="1040" w:name="_Toc207770107"/>
      <w:bookmarkStart w:id="1041" w:name="_Toc73977987"/>
      <w:r>
        <w:lastRenderedPageBreak/>
        <w:t>2.2</w:t>
      </w:r>
      <w:r>
        <w:tab/>
        <w:t>Advance Payment Security</w:t>
      </w:r>
      <w:r>
        <w:br/>
        <w:t>Bank Guarantee</w:t>
      </w:r>
      <w:bookmarkEnd w:id="1039"/>
      <w:bookmarkEnd w:id="1040"/>
      <w:bookmarkEnd w:id="1041"/>
    </w:p>
    <w:p w14:paraId="2DE7B20E" w14:textId="77777777" w:rsidR="00157AAA" w:rsidRDefault="00157AAA">
      <w:pPr>
        <w:pStyle w:val="NormalWeb"/>
        <w:jc w:val="center"/>
        <w:rPr>
          <w:rFonts w:ascii="Times New Roman" w:hAnsi="Times New Roman" w:cs="Times New Roman"/>
          <w:b/>
          <w:i/>
          <w:smallCaps/>
        </w:rPr>
      </w:pPr>
    </w:p>
    <w:p w14:paraId="2CA68ACB" w14:textId="77777777" w:rsidR="00157AAA" w:rsidRDefault="006C1BE5">
      <w:pPr>
        <w:pStyle w:val="NormalWeb"/>
        <w:rPr>
          <w:rFonts w:ascii="Times New Roman" w:hAnsi="Times New Roman" w:cs="Times New Roman"/>
          <w:i/>
        </w:rPr>
      </w:pPr>
      <w:r>
        <w:rPr>
          <w:rFonts w:ascii="Times New Roman" w:hAnsi="Times New Roman" w:cs="Times New Roman"/>
          <w:i/>
        </w:rPr>
        <w:t xml:space="preserve">[Guarantor letterhead or SWIFT identifier code] </w:t>
      </w:r>
    </w:p>
    <w:p w14:paraId="0C276112" w14:textId="77777777" w:rsidR="00157AAA" w:rsidRDefault="00157AAA">
      <w:pPr>
        <w:tabs>
          <w:tab w:val="right" w:pos="3780"/>
          <w:tab w:val="left" w:pos="3960"/>
          <w:tab w:val="left" w:pos="9000"/>
        </w:tabs>
      </w:pPr>
    </w:p>
    <w:p w14:paraId="5DC3A26A" w14:textId="77777777" w:rsidR="00157AAA" w:rsidRDefault="006C1BE5">
      <w:pPr>
        <w:pStyle w:val="NormalWeb"/>
        <w:spacing w:before="40"/>
        <w:rPr>
          <w:rFonts w:ascii="Times New Roman" w:hAnsi="Times New Roman" w:cs="Times New Roman"/>
          <w:i/>
        </w:rPr>
      </w:pPr>
      <w:r>
        <w:rPr>
          <w:rFonts w:ascii="Times New Roman" w:hAnsi="Times New Roman" w:cs="Times New Roman"/>
        </w:rPr>
        <w:t>Beneficiary</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i/>
        </w:rPr>
        <w:t xml:space="preserve">insert: </w:t>
      </w:r>
      <w:r>
        <w:rPr>
          <w:rFonts w:ascii="Times New Roman" w:hAnsi="Times New Roman" w:cs="Times New Roman"/>
          <w:b/>
          <w:i/>
        </w:rPr>
        <w:t>Name and Address of Purchaser</w:t>
      </w:r>
      <w:r>
        <w:rPr>
          <w:rFonts w:ascii="Times New Roman" w:hAnsi="Times New Roman" w:cs="Times New Roman"/>
          <w:i/>
        </w:rPr>
        <w:t>]</w:t>
      </w:r>
    </w:p>
    <w:p w14:paraId="353AA329" w14:textId="77777777" w:rsidR="00157AAA" w:rsidRDefault="006C1BE5">
      <w:pPr>
        <w:pStyle w:val="NormalWeb"/>
        <w:spacing w:before="40"/>
        <w:rPr>
          <w:rFonts w:ascii="Times New Roman" w:hAnsi="Times New Roman" w:cs="Times New Roman"/>
          <w:i/>
        </w:rPr>
      </w:pPr>
      <w:r>
        <w:rPr>
          <w:rFonts w:ascii="Times New Roman" w:hAnsi="Times New Roman" w:cs="Times New Roman"/>
        </w:rPr>
        <w:t>Date</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b/>
          <w:i/>
        </w:rPr>
        <w:t>insert date of issue</w:t>
      </w:r>
      <w:r>
        <w:rPr>
          <w:rFonts w:ascii="Times New Roman" w:hAnsi="Times New Roman" w:cs="Times New Roman"/>
          <w:i/>
        </w:rPr>
        <w:t>]</w:t>
      </w:r>
    </w:p>
    <w:p w14:paraId="25922FE4" w14:textId="77777777" w:rsidR="00157AAA" w:rsidRDefault="006C1BE5">
      <w:pPr>
        <w:pStyle w:val="NormalWeb"/>
        <w:spacing w:before="40" w:after="200"/>
        <w:rPr>
          <w:rFonts w:ascii="Times New Roman" w:hAnsi="Times New Roman" w:cs="Times New Roman"/>
          <w:i/>
        </w:rPr>
      </w:pPr>
      <w:r>
        <w:rPr>
          <w:rFonts w:ascii="Times New Roman" w:hAnsi="Times New Roman" w:cs="Times New Roman"/>
        </w:rPr>
        <w:t>ADVANCE PAYMENT GUARANTEE No.</w:t>
      </w:r>
      <w:proofErr w:type="gramStart"/>
      <w:r>
        <w:rPr>
          <w:rFonts w:ascii="Times New Roman" w:hAnsi="Times New Roman" w:cs="Times New Roman"/>
        </w:rPr>
        <w:t xml:space="preserve">:  </w:t>
      </w:r>
      <w:r>
        <w:rPr>
          <w:rFonts w:ascii="Times New Roman" w:hAnsi="Times New Roman" w:cs="Times New Roman"/>
          <w:i/>
        </w:rPr>
        <w:t>[</w:t>
      </w:r>
      <w:proofErr w:type="gramEnd"/>
      <w:r>
        <w:rPr>
          <w:rFonts w:ascii="Times New Roman" w:hAnsi="Times New Roman" w:cs="Times New Roman"/>
          <w:i/>
        </w:rPr>
        <w:t xml:space="preserve">insert: </w:t>
      </w:r>
      <w:r>
        <w:rPr>
          <w:rFonts w:ascii="Times New Roman" w:hAnsi="Times New Roman" w:cs="Times New Roman"/>
          <w:b/>
          <w:i/>
        </w:rPr>
        <w:t>Advance Payment Guarantee Number</w:t>
      </w:r>
      <w:r>
        <w:rPr>
          <w:rFonts w:ascii="Times New Roman" w:hAnsi="Times New Roman" w:cs="Times New Roman"/>
          <w:i/>
        </w:rPr>
        <w:t>]</w:t>
      </w:r>
    </w:p>
    <w:p w14:paraId="7444090E" w14:textId="77777777" w:rsidR="00157AAA" w:rsidRDefault="006C1BE5">
      <w:pPr>
        <w:spacing w:before="100" w:beforeAutospacing="1" w:after="100" w:afterAutospacing="1"/>
        <w:jc w:val="left"/>
      </w:pPr>
      <w:r>
        <w:rPr>
          <w:rFonts w:eastAsia="Arial Unicode MS"/>
          <w:szCs w:val="24"/>
        </w:rPr>
        <w:t>Guarantor</w:t>
      </w:r>
      <w:proofErr w:type="gramStart"/>
      <w:r>
        <w:rPr>
          <w:rFonts w:eastAsia="Arial Unicode MS"/>
          <w:szCs w:val="24"/>
        </w:rPr>
        <w:t xml:space="preserve">: </w:t>
      </w:r>
      <w:r>
        <w:rPr>
          <w:rFonts w:eastAsia="Arial Unicode MS"/>
          <w:i/>
          <w:szCs w:val="24"/>
        </w:rPr>
        <w:t xml:space="preserve"> [</w:t>
      </w:r>
      <w:proofErr w:type="gramEnd"/>
      <w:r>
        <w:rPr>
          <w:rFonts w:eastAsia="Arial Unicode MS"/>
          <w:i/>
          <w:szCs w:val="24"/>
        </w:rPr>
        <w:t>Insert name and address of place of issue, unless indicated in the letterhead]</w:t>
      </w:r>
    </w:p>
    <w:p w14:paraId="711C4602" w14:textId="77777777" w:rsidR="00157AAA" w:rsidRDefault="006C1BE5">
      <w:r>
        <w:t xml:space="preserve">We have been informed that on </w:t>
      </w:r>
      <w:r>
        <w:rPr>
          <w:i/>
        </w:rPr>
        <w:t>[</w:t>
      </w:r>
      <w:proofErr w:type="gramStart"/>
      <w:r>
        <w:rPr>
          <w:i/>
        </w:rPr>
        <w:t>insert:</w:t>
      </w:r>
      <w:proofErr w:type="gramEnd"/>
      <w:r>
        <w:rPr>
          <w:i/>
        </w:rPr>
        <w:t xml:space="preserve"> </w:t>
      </w:r>
      <w:r>
        <w:rPr>
          <w:b/>
          <w:i/>
        </w:rPr>
        <w:t>date of award</w:t>
      </w:r>
      <w:r>
        <w:rPr>
          <w:i/>
        </w:rPr>
        <w:t xml:space="preserve">] </w:t>
      </w:r>
      <w:r>
        <w:t xml:space="preserve">you awarded Contract No. </w:t>
      </w:r>
      <w:r>
        <w:rPr>
          <w:i/>
        </w:rPr>
        <w:t xml:space="preserve">[insert: </w:t>
      </w:r>
      <w:r>
        <w:rPr>
          <w:b/>
          <w:i/>
        </w:rPr>
        <w:t>Contract number</w:t>
      </w:r>
      <w:r>
        <w:rPr>
          <w:i/>
        </w:rPr>
        <w:t xml:space="preserve">] </w:t>
      </w:r>
      <w:r>
        <w:t xml:space="preserve">for </w:t>
      </w:r>
      <w:r>
        <w:rPr>
          <w:i/>
        </w:rPr>
        <w:t xml:space="preserve">[insert: </w:t>
      </w:r>
      <w:r>
        <w:rPr>
          <w:b/>
          <w:i/>
        </w:rPr>
        <w:t>title and/or brief description of the Contract</w:t>
      </w:r>
      <w:r>
        <w:rPr>
          <w:i/>
        </w:rPr>
        <w:t xml:space="preserve">] </w:t>
      </w:r>
      <w:r>
        <w:t xml:space="preserve">(hereinafter called "the Contract") to </w:t>
      </w:r>
      <w:r>
        <w:rPr>
          <w:i/>
        </w:rPr>
        <w:t xml:space="preserve">[insert: </w:t>
      </w:r>
      <w:r>
        <w:rPr>
          <w:b/>
          <w:i/>
        </w:rPr>
        <w:t>complete name of Supplier, which in the case of a joint venture shall be the name of the joint venture</w:t>
      </w:r>
      <w:r>
        <w:rPr>
          <w:i/>
        </w:rPr>
        <w:t>]</w:t>
      </w:r>
      <w:r>
        <w:t xml:space="preserve"> (hereinafter called "the Applicant").  </w:t>
      </w:r>
    </w:p>
    <w:p w14:paraId="64B6B887" w14:textId="77777777" w:rsidR="00157AAA" w:rsidRDefault="006C1BE5">
      <w:r>
        <w:t xml:space="preserve">Furthermore, we understand that, according to the conditions of the Contract, an advance payment in the sum of </w:t>
      </w:r>
      <w:r>
        <w:rPr>
          <w:rStyle w:val="preparersnote"/>
          <w:b w:val="0"/>
        </w:rPr>
        <w:t>[</w:t>
      </w:r>
      <w:proofErr w:type="gramStart"/>
      <w:r>
        <w:rPr>
          <w:rStyle w:val="preparersnote"/>
          <w:b w:val="0"/>
        </w:rPr>
        <w:t>insert:</w:t>
      </w:r>
      <w:proofErr w:type="gramEnd"/>
      <w:r>
        <w:rPr>
          <w:rStyle w:val="preparersnote"/>
          <w:b w:val="0"/>
        </w:rPr>
        <w:t xml:space="preserve"> </w:t>
      </w:r>
      <w:r>
        <w:rPr>
          <w:rStyle w:val="preparersnote"/>
        </w:rPr>
        <w:t>amount in numbers and words, for each currency of the advance payment</w:t>
      </w:r>
      <w:r>
        <w:rPr>
          <w:rStyle w:val="preparersnote"/>
          <w:b w:val="0"/>
        </w:rPr>
        <w:t>]</w:t>
      </w:r>
      <w:r>
        <w:rPr>
          <w:rStyle w:val="preparersnote"/>
        </w:rPr>
        <w:t xml:space="preserve"> </w:t>
      </w:r>
      <w:r>
        <w:t>is to be made to the Supplier against an advance payment guarantee.</w:t>
      </w:r>
    </w:p>
    <w:p w14:paraId="50D21258" w14:textId="77777777" w:rsidR="00157AAA" w:rsidRDefault="006C1BE5">
      <w:pPr>
        <w:spacing w:before="100" w:beforeAutospacing="1" w:after="100" w:afterAutospacing="1"/>
        <w:rPr>
          <w:rFonts w:eastAsia="Arial Unicode MS"/>
          <w:szCs w:val="24"/>
        </w:rPr>
      </w:pPr>
      <w:r>
        <w:rPr>
          <w:rFonts w:eastAsia="Arial Unicode MS"/>
          <w:szCs w:val="24"/>
        </w:rPr>
        <w:t xml:space="preserve">At the request of the Applicant, we as Guarantor, hereby irrevocably undertake to pay the Beneficiary any sum or sums not exceeding in total an amount of </w:t>
      </w:r>
      <w:r>
        <w:rPr>
          <w:rFonts w:eastAsia="Arial Unicode MS"/>
          <w:i/>
          <w:szCs w:val="24"/>
        </w:rPr>
        <w:t xml:space="preserve">[insert </w:t>
      </w:r>
      <w:r>
        <w:rPr>
          <w:rFonts w:eastAsia="Arial Unicode MS"/>
          <w:b/>
          <w:i/>
          <w:szCs w:val="24"/>
        </w:rPr>
        <w:t>amount in figures</w:t>
      </w:r>
      <w:r>
        <w:rPr>
          <w:rFonts w:eastAsia="Arial Unicode MS"/>
          <w:i/>
          <w:szCs w:val="24"/>
        </w:rPr>
        <w:t xml:space="preserve">] </w:t>
      </w:r>
      <w:r>
        <w:rPr>
          <w:rFonts w:eastAsia="Arial Unicode MS"/>
          <w:i/>
          <w:szCs w:val="24"/>
        </w:rPr>
        <w:br/>
        <w:t xml:space="preserve">([insert </w:t>
      </w:r>
      <w:r>
        <w:rPr>
          <w:rFonts w:eastAsia="Arial Unicode MS"/>
          <w:b/>
          <w:i/>
          <w:szCs w:val="24"/>
        </w:rPr>
        <w:t>amount in words</w:t>
      </w:r>
      <w:r>
        <w:rPr>
          <w:rFonts w:eastAsia="Arial Unicode MS"/>
          <w:i/>
          <w:szCs w:val="24"/>
        </w:rPr>
        <w:t>])</w:t>
      </w:r>
      <w:r>
        <w:rPr>
          <w:rFonts w:eastAsia="Arial Unicode MS"/>
          <w:i/>
          <w:szCs w:val="24"/>
          <w:vertAlign w:val="superscript"/>
        </w:rPr>
        <w:footnoteReference w:customMarkFollows="1" w:id="18"/>
        <w:t>1</w:t>
      </w:r>
      <w:r>
        <w:rPr>
          <w:rFonts w:eastAsia="Arial Unicode MS"/>
          <w:szCs w:val="24"/>
        </w:rPr>
        <w:t xml:space="preserve"> upon receipt by us of the Beneficiary’s complying demand supported by the Beneficiary’s statement, whether in the demand itself or in a separate signed document accompanying or identifying the demand, stating either that the Applicant:</w:t>
      </w:r>
    </w:p>
    <w:p w14:paraId="4EAF35A6" w14:textId="77777777" w:rsidR="00157AAA" w:rsidRDefault="006C1BE5" w:rsidP="00D530D5">
      <w:pPr>
        <w:numPr>
          <w:ilvl w:val="2"/>
          <w:numId w:val="16"/>
        </w:numPr>
        <w:spacing w:after="200"/>
        <w:jc w:val="left"/>
        <w:rPr>
          <w:szCs w:val="24"/>
        </w:rPr>
      </w:pPr>
      <w:r>
        <w:rPr>
          <w:szCs w:val="24"/>
        </w:rPr>
        <w:t>has used the advance payment for purposes other than toward delivery of Goods; or</w:t>
      </w:r>
    </w:p>
    <w:p w14:paraId="32AA1166" w14:textId="77777777" w:rsidR="00157AAA" w:rsidRDefault="006C1BE5" w:rsidP="00D530D5">
      <w:pPr>
        <w:numPr>
          <w:ilvl w:val="2"/>
          <w:numId w:val="16"/>
        </w:numPr>
        <w:spacing w:after="200"/>
        <w:jc w:val="left"/>
        <w:rPr>
          <w:szCs w:val="24"/>
        </w:rPr>
      </w:pPr>
      <w:r>
        <w:rPr>
          <w:szCs w:val="24"/>
        </w:rPr>
        <w:t xml:space="preserve">has failed to repay the advance payment in accordance with the Contract conditions, specifying the amount which the Applicant has failed to repay. </w:t>
      </w:r>
    </w:p>
    <w:p w14:paraId="416A45B4" w14:textId="77777777" w:rsidR="00157AAA" w:rsidRDefault="00157AAA">
      <w:pPr>
        <w:spacing w:before="100" w:beforeAutospacing="1" w:after="100" w:afterAutospacing="1"/>
        <w:rPr>
          <w:rFonts w:eastAsia="Arial Unicode MS"/>
          <w:szCs w:val="24"/>
        </w:rPr>
      </w:pPr>
    </w:p>
    <w:p w14:paraId="2500E774" w14:textId="77777777" w:rsidR="00157AAA" w:rsidRDefault="006C1BE5">
      <w:pPr>
        <w:spacing w:before="100" w:beforeAutospacing="1" w:after="100" w:afterAutospacing="1"/>
        <w:rPr>
          <w:rFonts w:eastAsia="Arial Unicode MS"/>
          <w:szCs w:val="24"/>
        </w:rPr>
      </w:pPr>
      <w:r>
        <w:rPr>
          <w:rFonts w:eastAsia="Arial Unicode MS"/>
          <w:szCs w:val="24"/>
        </w:rPr>
        <w:t xml:space="preserve">A demand under this guarantee may be presented as from the presentation to the Guarantor of a certificate from the Beneficiary’s bank stating that the advance payment referred to above has been </w:t>
      </w:r>
      <w:r>
        <w:rPr>
          <w:rFonts w:eastAsia="Arial Unicode MS"/>
          <w:szCs w:val="24"/>
        </w:rPr>
        <w:lastRenderedPageBreak/>
        <w:t xml:space="preserve">credited to the Applicant on its account number </w:t>
      </w:r>
      <w:r>
        <w:rPr>
          <w:rFonts w:eastAsia="Arial Unicode MS"/>
          <w:i/>
          <w:szCs w:val="24"/>
        </w:rPr>
        <w:t xml:space="preserve">[insert </w:t>
      </w:r>
      <w:r>
        <w:rPr>
          <w:rFonts w:eastAsia="Arial Unicode MS"/>
          <w:b/>
          <w:i/>
          <w:szCs w:val="24"/>
        </w:rPr>
        <w:t>number</w:t>
      </w:r>
      <w:r>
        <w:rPr>
          <w:rFonts w:eastAsia="Arial Unicode MS"/>
          <w:i/>
          <w:szCs w:val="24"/>
        </w:rPr>
        <w:t>]</w:t>
      </w:r>
      <w:r>
        <w:rPr>
          <w:rFonts w:eastAsia="Arial Unicode MS"/>
          <w:szCs w:val="24"/>
        </w:rPr>
        <w:t xml:space="preserve"> </w:t>
      </w:r>
      <w:proofErr w:type="gramStart"/>
      <w:r>
        <w:rPr>
          <w:rFonts w:eastAsia="Arial Unicode MS"/>
          <w:szCs w:val="24"/>
        </w:rPr>
        <w:t xml:space="preserve">at  </w:t>
      </w:r>
      <w:r>
        <w:rPr>
          <w:rFonts w:eastAsia="Arial Unicode MS"/>
          <w:i/>
          <w:szCs w:val="24"/>
        </w:rPr>
        <w:t>[</w:t>
      </w:r>
      <w:proofErr w:type="gramEnd"/>
      <w:r>
        <w:rPr>
          <w:rFonts w:eastAsia="Arial Unicode MS"/>
          <w:i/>
          <w:szCs w:val="24"/>
        </w:rPr>
        <w:t xml:space="preserve">insert </w:t>
      </w:r>
      <w:r>
        <w:rPr>
          <w:rFonts w:eastAsia="Arial Unicode MS"/>
          <w:b/>
          <w:i/>
          <w:szCs w:val="24"/>
        </w:rPr>
        <w:t>name and address of Applicant’s bank</w:t>
      </w:r>
      <w:r>
        <w:rPr>
          <w:rFonts w:eastAsia="Arial Unicode MS"/>
          <w:i/>
          <w:szCs w:val="24"/>
        </w:rPr>
        <w:t>]</w:t>
      </w:r>
      <w:r>
        <w:rPr>
          <w:rFonts w:eastAsia="Arial Unicode MS"/>
          <w:szCs w:val="24"/>
        </w:rPr>
        <w:t>.</w:t>
      </w:r>
    </w:p>
    <w:p w14:paraId="2EBC178C" w14:textId="77777777" w:rsidR="00157AAA" w:rsidRDefault="006C1BE5">
      <w:pPr>
        <w:spacing w:before="100" w:beforeAutospacing="1" w:after="100" w:afterAutospacing="1"/>
        <w:rPr>
          <w:rFonts w:eastAsia="Arial Unicode MS"/>
          <w:szCs w:val="24"/>
        </w:rPr>
      </w:pPr>
      <w:r>
        <w:rPr>
          <w:rFonts w:eastAsia="Arial Unicode MS"/>
          <w:szCs w:val="24"/>
        </w:rPr>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has been certified for payment, or on the </w:t>
      </w:r>
      <w:r>
        <w:rPr>
          <w:rFonts w:eastAsia="Arial Unicode MS"/>
          <w:i/>
          <w:szCs w:val="24"/>
        </w:rPr>
        <w:t xml:space="preserve">[insert </w:t>
      </w:r>
      <w:r>
        <w:rPr>
          <w:rFonts w:eastAsia="Arial Unicode MS"/>
          <w:b/>
          <w:i/>
          <w:szCs w:val="24"/>
        </w:rPr>
        <w:t>day</w:t>
      </w:r>
      <w:r>
        <w:rPr>
          <w:rFonts w:eastAsia="Arial Unicode MS"/>
          <w:i/>
          <w:szCs w:val="24"/>
        </w:rPr>
        <w:t>]</w:t>
      </w:r>
      <w:r>
        <w:rPr>
          <w:rFonts w:eastAsia="Arial Unicode MS"/>
          <w:szCs w:val="24"/>
        </w:rPr>
        <w:t xml:space="preserve"> day of </w:t>
      </w:r>
      <w:r>
        <w:rPr>
          <w:rFonts w:eastAsia="Arial Unicode MS"/>
          <w:i/>
          <w:szCs w:val="24"/>
        </w:rPr>
        <w:t xml:space="preserve">[insert </w:t>
      </w:r>
      <w:r>
        <w:rPr>
          <w:rFonts w:eastAsia="Arial Unicode MS"/>
          <w:b/>
          <w:i/>
          <w:szCs w:val="24"/>
        </w:rPr>
        <w:t>month</w:t>
      </w:r>
      <w:r>
        <w:rPr>
          <w:rFonts w:eastAsia="Arial Unicode MS"/>
          <w:i/>
          <w:szCs w:val="24"/>
        </w:rPr>
        <w:t>]</w:t>
      </w:r>
      <w:r>
        <w:rPr>
          <w:rFonts w:eastAsia="Arial Unicode MS"/>
          <w:szCs w:val="24"/>
        </w:rPr>
        <w:t xml:space="preserve">, </w:t>
      </w:r>
      <w:r>
        <w:rPr>
          <w:rFonts w:eastAsia="Arial Unicode MS"/>
          <w:i/>
          <w:szCs w:val="24"/>
        </w:rPr>
        <w:t xml:space="preserve">[insert </w:t>
      </w:r>
      <w:r>
        <w:rPr>
          <w:rFonts w:eastAsia="Arial Unicode MS"/>
          <w:b/>
          <w:i/>
          <w:szCs w:val="24"/>
        </w:rPr>
        <w:t>year</w:t>
      </w:r>
      <w:r>
        <w:rPr>
          <w:rFonts w:eastAsia="Arial Unicode MS"/>
          <w:i/>
          <w:szCs w:val="24"/>
        </w:rPr>
        <w:t>]</w:t>
      </w:r>
      <w:r>
        <w:rPr>
          <w:rFonts w:eastAsia="Arial Unicode MS"/>
          <w:szCs w:val="24"/>
        </w:rPr>
        <w:t>, whichever is earlier.  Consequently, any demand for payment under this guarantee must be received by us at this office on or before that date.</w:t>
      </w:r>
    </w:p>
    <w:p w14:paraId="00E01780" w14:textId="77777777" w:rsidR="00157AAA" w:rsidRDefault="006C1BE5">
      <w:pPr>
        <w:spacing w:before="100" w:beforeAutospacing="1" w:after="100" w:afterAutospacing="1"/>
        <w:rPr>
          <w:rFonts w:eastAsia="Arial Unicode MS"/>
          <w:szCs w:val="24"/>
        </w:rPr>
      </w:pPr>
      <w:r>
        <w:rPr>
          <w:rFonts w:eastAsia="Arial Unicode MS"/>
          <w:szCs w:val="24"/>
        </w:rPr>
        <w:t>This guarantee is subject to the Uniform Rules for Demand Guarantees (URDG) 2010 Revision, ICC Publication No.758, except that the supporting statement under Article 15(a) is hereby excluded.</w:t>
      </w:r>
    </w:p>
    <w:p w14:paraId="2FF24179" w14:textId="77777777" w:rsidR="00157AAA" w:rsidRDefault="00157AAA">
      <w:pPr>
        <w:spacing w:beforeAutospacing="1" w:after="0" w:afterAutospacing="1"/>
        <w:rPr>
          <w:rFonts w:eastAsia="Arial Unicode MS"/>
          <w:szCs w:val="24"/>
        </w:rPr>
      </w:pPr>
    </w:p>
    <w:p w14:paraId="7BC68CBB" w14:textId="77777777" w:rsidR="00157AAA" w:rsidRDefault="006C1BE5">
      <w:pPr>
        <w:spacing w:after="0"/>
        <w:jc w:val="left"/>
      </w:pPr>
      <w:r>
        <w:t xml:space="preserve">____________________ </w:t>
      </w:r>
      <w:r>
        <w:br/>
      </w:r>
      <w:r>
        <w:rPr>
          <w:i/>
        </w:rPr>
        <w:t>[signature(s)]</w:t>
      </w:r>
      <w:r>
        <w:t xml:space="preserve"> </w:t>
      </w:r>
    </w:p>
    <w:p w14:paraId="0B11DC1C" w14:textId="77777777" w:rsidR="00157AAA" w:rsidRDefault="00157AAA">
      <w:pPr>
        <w:spacing w:after="0"/>
        <w:ind w:left="540" w:hanging="540"/>
        <w:jc w:val="left"/>
        <w:rPr>
          <w:i/>
        </w:rPr>
      </w:pPr>
    </w:p>
    <w:p w14:paraId="4735C4E9" w14:textId="77777777" w:rsidR="00157AAA" w:rsidRDefault="00157AAA">
      <w:pPr>
        <w:spacing w:after="0"/>
        <w:ind w:left="540" w:hanging="540"/>
        <w:jc w:val="left"/>
        <w:rPr>
          <w:i/>
        </w:rPr>
      </w:pPr>
    </w:p>
    <w:p w14:paraId="74CFF4F6" w14:textId="77777777" w:rsidR="00157AAA" w:rsidRDefault="006C1BE5">
      <w:pPr>
        <w:spacing w:after="0"/>
        <w:ind w:left="720" w:hanging="720"/>
        <w:jc w:val="left"/>
      </w:pPr>
      <w:r>
        <w:rPr>
          <w:i/>
        </w:rPr>
        <w:t>[</w:t>
      </w:r>
      <w:r>
        <w:rPr>
          <w:b/>
          <w:i/>
        </w:rPr>
        <w:t>Note</w:t>
      </w:r>
      <w:r>
        <w:rPr>
          <w:i/>
        </w:rPr>
        <w:t>:</w:t>
      </w:r>
      <w:r>
        <w:rPr>
          <w:i/>
        </w:rPr>
        <w:tab/>
        <w:t xml:space="preserve"> All italicized text (including footnotes) is for use in preparing this form and shall be deleted from the final product.]</w:t>
      </w:r>
    </w:p>
    <w:p w14:paraId="68F564CB" w14:textId="77777777" w:rsidR="00157AAA" w:rsidRDefault="006C1BE5">
      <w:pPr>
        <w:spacing w:after="0"/>
        <w:jc w:val="left"/>
      </w:pPr>
      <w:r>
        <w:t xml:space="preserve"> </w:t>
      </w:r>
    </w:p>
    <w:p w14:paraId="2928C173" w14:textId="77777777" w:rsidR="00157AAA" w:rsidRDefault="006C1BE5">
      <w:pPr>
        <w:spacing w:after="0"/>
        <w:jc w:val="left"/>
      </w:pPr>
      <w:r>
        <w:br w:type="page" w:clear="all"/>
      </w:r>
    </w:p>
    <w:p w14:paraId="1B921C5D" w14:textId="77777777" w:rsidR="00157AAA" w:rsidRDefault="006C1BE5">
      <w:pPr>
        <w:pStyle w:val="Head81"/>
        <w:pBdr>
          <w:bottom w:val="single" w:sz="24" w:space="0" w:color="auto"/>
        </w:pBdr>
        <w:rPr>
          <w:rFonts w:ascii="Times New Roman" w:hAnsi="Times New Roman"/>
        </w:rPr>
      </w:pPr>
      <w:bookmarkStart w:id="1042" w:name="_Toc521497275"/>
      <w:bookmarkStart w:id="1043" w:name="_Toc207770108"/>
      <w:bookmarkStart w:id="1044" w:name="_Toc73977988"/>
      <w:r>
        <w:rPr>
          <w:rFonts w:ascii="Times New Roman" w:hAnsi="Times New Roman"/>
        </w:rPr>
        <w:lastRenderedPageBreak/>
        <w:t>3.  Installation and Acceptance Certificates</w:t>
      </w:r>
      <w:bookmarkEnd w:id="1042"/>
      <w:bookmarkEnd w:id="1043"/>
      <w:bookmarkEnd w:id="1044"/>
    </w:p>
    <w:p w14:paraId="4F56EF7B" w14:textId="77777777" w:rsidR="00157AAA" w:rsidRDefault="006C1BE5">
      <w:pPr>
        <w:pStyle w:val="Head82"/>
        <w:rPr>
          <w:sz w:val="22"/>
        </w:rPr>
      </w:pPr>
      <w:bookmarkStart w:id="1045" w:name="_Toc252363661"/>
      <w:bookmarkStart w:id="1046" w:name="_Toc73977989"/>
      <w:r>
        <w:t>3.</w:t>
      </w:r>
      <w:r>
        <w:tab/>
        <w:t>Installation and Acceptance Certificates</w:t>
      </w:r>
      <w:bookmarkEnd w:id="1045"/>
      <w:bookmarkEnd w:id="1046"/>
      <w:r>
        <w:rPr>
          <w:sz w:val="22"/>
        </w:rPr>
        <w:t xml:space="preserve"> </w:t>
      </w:r>
    </w:p>
    <w:p w14:paraId="552E1767" w14:textId="77777777" w:rsidR="00157AAA" w:rsidRDefault="006C1BE5">
      <w:pPr>
        <w:pStyle w:val="Head82"/>
      </w:pPr>
      <w:r>
        <w:rPr>
          <w:sz w:val="22"/>
        </w:rPr>
        <w:br w:type="page" w:clear="all"/>
      </w:r>
      <w:bookmarkStart w:id="1047" w:name="_Toc521497276"/>
      <w:bookmarkStart w:id="1048" w:name="_Toc207770109"/>
    </w:p>
    <w:p w14:paraId="64449C76" w14:textId="77777777" w:rsidR="00157AAA" w:rsidRDefault="006C1BE5">
      <w:pPr>
        <w:pStyle w:val="Head82"/>
      </w:pPr>
      <w:bookmarkStart w:id="1049" w:name="_Toc73977990"/>
      <w:r>
        <w:lastRenderedPageBreak/>
        <w:t>3.1</w:t>
      </w:r>
      <w:r>
        <w:tab/>
        <w:t>Installation Certificate</w:t>
      </w:r>
      <w:bookmarkEnd w:id="1049"/>
    </w:p>
    <w:p w14:paraId="37335719" w14:textId="77777777" w:rsidR="00157AAA" w:rsidRDefault="006C1BE5">
      <w:pPr>
        <w:tabs>
          <w:tab w:val="right" w:pos="3780"/>
          <w:tab w:val="left" w:pos="3960"/>
          <w:tab w:val="left" w:pos="9000"/>
        </w:tabs>
      </w:pPr>
      <w:r>
        <w:rPr>
          <w:sz w:val="22"/>
        </w:rPr>
        <w:tab/>
      </w:r>
      <w:r>
        <w:t>Date:</w:t>
      </w:r>
      <w:r>
        <w:tab/>
      </w:r>
      <w:r>
        <w:rPr>
          <w:rStyle w:val="preparersnote"/>
          <w:b w:val="0"/>
        </w:rPr>
        <w:t xml:space="preserve">[ insert:  </w:t>
      </w:r>
      <w:proofErr w:type="gramStart"/>
      <w:r>
        <w:rPr>
          <w:rStyle w:val="preparersnote"/>
        </w:rPr>
        <w:t>date</w:t>
      </w:r>
      <w:r>
        <w:rPr>
          <w:rStyle w:val="preparersnote"/>
          <w:b w:val="0"/>
        </w:rPr>
        <w:t> ]</w:t>
      </w:r>
      <w:proofErr w:type="gramEnd"/>
    </w:p>
    <w:p w14:paraId="47A13A11"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 loan or credit number from </w:t>
      </w:r>
      <w:proofErr w:type="gramStart"/>
      <w:r>
        <w:rPr>
          <w:rStyle w:val="preparersnote"/>
        </w:rPr>
        <w:t>RFB</w:t>
      </w:r>
      <w:r>
        <w:rPr>
          <w:rStyle w:val="preparersnote"/>
          <w:b w:val="0"/>
        </w:rPr>
        <w:t> ]</w:t>
      </w:r>
      <w:proofErr w:type="gramEnd"/>
    </w:p>
    <w:p w14:paraId="0F3D6BCE" w14:textId="77777777" w:rsidR="00157AAA" w:rsidRDefault="006C1BE5">
      <w:pPr>
        <w:tabs>
          <w:tab w:val="right" w:pos="3780"/>
          <w:tab w:val="left" w:pos="3960"/>
          <w:tab w:val="left" w:pos="9000"/>
        </w:tabs>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425D7835" w14:textId="77777777" w:rsidR="00157AAA" w:rsidRDefault="006C1BE5">
      <w:pPr>
        <w:tabs>
          <w:tab w:val="right" w:pos="3780"/>
          <w:tab w:val="left" w:pos="3960"/>
          <w:tab w:val="left" w:pos="9000"/>
        </w:tabs>
      </w:pPr>
      <w:r>
        <w:tab/>
        <w:t>Contract:</w:t>
      </w:r>
      <w:r>
        <w:tab/>
      </w:r>
      <w:r>
        <w:rPr>
          <w:rStyle w:val="preparersnote"/>
          <w:b w:val="0"/>
        </w:rPr>
        <w:t xml:space="preserve">[ insert:  </w:t>
      </w:r>
      <w:r>
        <w:rPr>
          <w:rStyle w:val="preparersnote"/>
        </w:rPr>
        <w:t xml:space="preserve">name and number of </w:t>
      </w:r>
      <w:proofErr w:type="gramStart"/>
      <w:r>
        <w:rPr>
          <w:rStyle w:val="preparersnote"/>
        </w:rPr>
        <w:t>Contract</w:t>
      </w:r>
      <w:r>
        <w:rPr>
          <w:rStyle w:val="preparersnote"/>
          <w:b w:val="0"/>
        </w:rPr>
        <w:t> ]</w:t>
      </w:r>
      <w:proofErr w:type="gramEnd"/>
    </w:p>
    <w:p w14:paraId="16D94FD7" w14:textId="77777777" w:rsidR="00157AAA" w:rsidRDefault="00157AAA"/>
    <w:p w14:paraId="29D8A2A1" w14:textId="77777777" w:rsidR="00157AAA" w:rsidRDefault="006C1BE5">
      <w:pPr>
        <w:rPr>
          <w:b/>
        </w:rPr>
      </w:pPr>
      <w:r>
        <w:t>To</w:t>
      </w:r>
      <w:proofErr w:type="gramStart"/>
      <w:r>
        <w:t xml:space="preserve">:  </w:t>
      </w:r>
      <w:r>
        <w:rPr>
          <w:rStyle w:val="preparersnote"/>
          <w:b w:val="0"/>
        </w:rPr>
        <w:t>[</w:t>
      </w:r>
      <w:proofErr w:type="gramEnd"/>
      <w:r>
        <w:rPr>
          <w:rStyle w:val="preparersnote"/>
          <w:b w:val="0"/>
        </w:rPr>
        <w:t xml:space="preserve"> insert:  </w:t>
      </w:r>
      <w:r>
        <w:rPr>
          <w:rStyle w:val="preparersnote"/>
        </w:rPr>
        <w:t>name and address of Supplier</w:t>
      </w:r>
      <w:r>
        <w:rPr>
          <w:rStyle w:val="preparersnote"/>
          <w:b w:val="0"/>
        </w:rPr>
        <w:t> ]</w:t>
      </w:r>
    </w:p>
    <w:p w14:paraId="76E3C4D0" w14:textId="77777777" w:rsidR="00157AAA" w:rsidRDefault="006C1BE5">
      <w:r>
        <w:t>Dear Sir or Madam:</w:t>
      </w:r>
    </w:p>
    <w:p w14:paraId="1B0266F6" w14:textId="77777777" w:rsidR="00157AAA" w:rsidRDefault="006C1BE5">
      <w:r>
        <w:t xml:space="preserve">Pursuant to GCC Clause 26 (Installation of the System) of the Contract entered into between yourselves and the </w:t>
      </w:r>
      <w:r>
        <w:rPr>
          <w:rStyle w:val="preparersnote"/>
          <w:b w:val="0"/>
        </w:rPr>
        <w:t xml:space="preserve">[ insert:  </w:t>
      </w:r>
      <w:r>
        <w:rPr>
          <w:rStyle w:val="preparersnote"/>
        </w:rPr>
        <w:t>name of Purchaser</w:t>
      </w:r>
      <w:r>
        <w:rPr>
          <w:rStyle w:val="preparersnote"/>
          <w:b w:val="0"/>
        </w:rPr>
        <w:t> ]</w:t>
      </w:r>
      <w:r>
        <w:rPr>
          <w:b/>
        </w:rPr>
        <w:t xml:space="preserve"> </w:t>
      </w:r>
      <w:r>
        <w:t xml:space="preserve">(hereinafter the “Purchaser”) dated </w:t>
      </w:r>
      <w:r>
        <w:rPr>
          <w:rStyle w:val="preparersnote"/>
          <w:b w:val="0"/>
        </w:rPr>
        <w:t xml:space="preserve">[ insert:  </w:t>
      </w:r>
      <w:r>
        <w:rPr>
          <w:rStyle w:val="preparersnote"/>
        </w:rPr>
        <w:t>date of  Contract</w:t>
      </w:r>
      <w:r>
        <w:rPr>
          <w:rStyle w:val="preparersnote"/>
          <w:b w:val="0"/>
        </w:rPr>
        <w:t> ]</w:t>
      </w:r>
      <w:r>
        <w:rPr>
          <w:rStyle w:val="preparersnote"/>
        </w:rPr>
        <w:t>,</w:t>
      </w:r>
      <w:r>
        <w:t xml:space="preserve"> relating to the </w:t>
      </w:r>
      <w:r>
        <w:rPr>
          <w:rStyle w:val="preparersnote"/>
          <w:b w:val="0"/>
        </w:rPr>
        <w:t xml:space="preserve">[ insert:  </w:t>
      </w:r>
      <w:r>
        <w:rPr>
          <w:rStyle w:val="preparersnote"/>
        </w:rPr>
        <w:t>brief description of the Information System</w:t>
      </w:r>
      <w:r>
        <w:rPr>
          <w:rStyle w:val="preparersnote"/>
          <w:b w:val="0"/>
        </w:rPr>
        <w:t> ]</w:t>
      </w:r>
      <w:r>
        <w:rPr>
          <w:rStyle w:val="preparersnote"/>
        </w:rPr>
        <w:t>,</w:t>
      </w:r>
      <w:r>
        <w:t xml:space="preserve"> we hereby notify you that the System (or a Subsystem or major component thereof) was deemed to have been correctly installed on the date specified below.</w:t>
      </w:r>
    </w:p>
    <w:p w14:paraId="4634A789" w14:textId="77777777" w:rsidR="00157AAA" w:rsidRDefault="006C1BE5">
      <w:pPr>
        <w:ind w:left="450" w:hanging="450"/>
      </w:pPr>
      <w:r>
        <w:t>1.</w:t>
      </w:r>
      <w:r>
        <w:tab/>
        <w:t xml:space="preserve">Description of the System (or relevant Subsystem or major component: </w:t>
      </w:r>
      <w:r>
        <w:rPr>
          <w:rStyle w:val="preparersnote"/>
          <w:b w:val="0"/>
        </w:rPr>
        <w:t>[ insert:</w:t>
      </w:r>
      <w:r>
        <w:rPr>
          <w:rStyle w:val="preparersnote"/>
        </w:rPr>
        <w:t xml:space="preserve">  </w:t>
      </w:r>
      <w:proofErr w:type="gramStart"/>
      <w:r>
        <w:rPr>
          <w:rStyle w:val="preparersnote"/>
        </w:rPr>
        <w:t>description</w:t>
      </w:r>
      <w:r>
        <w:rPr>
          <w:rStyle w:val="preparersnote"/>
          <w:b w:val="0"/>
        </w:rPr>
        <w:t> ]</w:t>
      </w:r>
      <w:proofErr w:type="gramEnd"/>
    </w:p>
    <w:p w14:paraId="6D0C0723" w14:textId="77777777" w:rsidR="00157AAA" w:rsidRDefault="006C1BE5">
      <w:r>
        <w:t>2.</w:t>
      </w:r>
      <w:r>
        <w:tab/>
        <w:t>Date of Installation</w:t>
      </w:r>
      <w:proofErr w:type="gramStart"/>
      <w:r>
        <w:t xml:space="preserve">:  </w:t>
      </w:r>
      <w:r>
        <w:rPr>
          <w:rStyle w:val="preparersnote"/>
          <w:b w:val="0"/>
        </w:rPr>
        <w:t>[</w:t>
      </w:r>
      <w:proofErr w:type="gramEnd"/>
      <w:r>
        <w:rPr>
          <w:rStyle w:val="preparersnote"/>
          <w:b w:val="0"/>
        </w:rPr>
        <w:t xml:space="preserve"> insert: </w:t>
      </w:r>
      <w:r>
        <w:rPr>
          <w:rStyle w:val="preparersnote"/>
        </w:rPr>
        <w:t xml:space="preserve"> date</w:t>
      </w:r>
      <w:r>
        <w:rPr>
          <w:rStyle w:val="preparersnote"/>
          <w:b w:val="0"/>
        </w:rPr>
        <w:t> ]</w:t>
      </w:r>
    </w:p>
    <w:p w14:paraId="017AB7CA" w14:textId="77777777" w:rsidR="00157AAA" w:rsidRDefault="006C1BE5">
      <w:pPr>
        <w:ind w:left="540"/>
      </w:pPr>
      <w:r>
        <w:t>Notwithstanding the above, you are required to complete the outstanding items listed in the attachment to this certificate as soon as practicable.  This letter shall not relieve you of your obligation to achieve Operational Acceptance of the System in accordance with the Contract nor of your obligations during the Warranty Period.</w:t>
      </w:r>
    </w:p>
    <w:p w14:paraId="5BE96D6A" w14:textId="77777777" w:rsidR="00157AAA" w:rsidRDefault="00157AAA"/>
    <w:p w14:paraId="25175BB8" w14:textId="77777777" w:rsidR="00157AAA" w:rsidRDefault="006C1BE5">
      <w:r>
        <w:t>For and on behalf of the Purchaser</w:t>
      </w:r>
    </w:p>
    <w:p w14:paraId="0C26697B" w14:textId="77777777" w:rsidR="00157AAA" w:rsidRDefault="00157AAA"/>
    <w:p w14:paraId="38A939AC" w14:textId="77777777" w:rsidR="00157AAA" w:rsidRDefault="006C1BE5">
      <w:pPr>
        <w:tabs>
          <w:tab w:val="right" w:pos="900"/>
          <w:tab w:val="left" w:pos="7200"/>
        </w:tabs>
      </w:pPr>
      <w:r>
        <w:t>Signed:</w:t>
      </w:r>
      <w:r>
        <w:tab/>
      </w:r>
      <w:r>
        <w:tab/>
      </w:r>
    </w:p>
    <w:p w14:paraId="4F1658D8" w14:textId="77777777" w:rsidR="00157AAA" w:rsidRDefault="006C1BE5">
      <w:pPr>
        <w:tabs>
          <w:tab w:val="right" w:pos="4320"/>
        </w:tabs>
      </w:pPr>
      <w:r>
        <w:t xml:space="preserve">Date:  </w:t>
      </w:r>
      <w:r>
        <w:tab/>
      </w:r>
    </w:p>
    <w:p w14:paraId="275B3CBF" w14:textId="77777777" w:rsidR="00157AAA" w:rsidRDefault="006C1BE5">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 xml:space="preserve">“Project Manager”  </w:t>
      </w:r>
      <w:r>
        <w:rPr>
          <w:rStyle w:val="preparersnote"/>
          <w:b w:val="0"/>
        </w:rPr>
        <w:t>or specify a higher level authority in the Purchaser’s organization ]</w:t>
      </w:r>
    </w:p>
    <w:p w14:paraId="723642E6" w14:textId="77777777" w:rsidR="00157AAA" w:rsidRDefault="00157AAA">
      <w:pPr>
        <w:rPr>
          <w:sz w:val="22"/>
        </w:rPr>
      </w:pPr>
    </w:p>
    <w:p w14:paraId="26B177C1" w14:textId="77777777" w:rsidR="00157AAA" w:rsidRDefault="006C1BE5">
      <w:pPr>
        <w:pStyle w:val="Head82"/>
      </w:pPr>
      <w:r>
        <w:rPr>
          <w:sz w:val="22"/>
        </w:rPr>
        <w:br w:type="page" w:clear="all"/>
      </w:r>
      <w:bookmarkStart w:id="1050" w:name="_Toc73977991"/>
      <w:r>
        <w:lastRenderedPageBreak/>
        <w:t>3.2</w:t>
      </w:r>
      <w:r>
        <w:tab/>
        <w:t>Operational Acceptance Certificate</w:t>
      </w:r>
      <w:bookmarkEnd w:id="1050"/>
    </w:p>
    <w:p w14:paraId="014BE6E2" w14:textId="77777777" w:rsidR="00157AAA" w:rsidRDefault="00157AAA">
      <w:pPr>
        <w:tabs>
          <w:tab w:val="right" w:pos="3780"/>
          <w:tab w:val="left" w:pos="3960"/>
          <w:tab w:val="left" w:pos="9000"/>
        </w:tabs>
      </w:pPr>
    </w:p>
    <w:p w14:paraId="57E50F51" w14:textId="77777777" w:rsidR="00157AAA" w:rsidRDefault="006C1BE5">
      <w:pPr>
        <w:tabs>
          <w:tab w:val="right" w:pos="3780"/>
          <w:tab w:val="left" w:pos="3960"/>
          <w:tab w:val="left" w:pos="9000"/>
        </w:tabs>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09897E82"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loan or credit number from </w:t>
      </w:r>
      <w:proofErr w:type="gramStart"/>
      <w:r>
        <w:rPr>
          <w:rStyle w:val="preparersnote"/>
        </w:rPr>
        <w:t>RFB</w:t>
      </w:r>
      <w:r>
        <w:rPr>
          <w:rStyle w:val="preparersnote"/>
          <w:b w:val="0"/>
        </w:rPr>
        <w:t> ]</w:t>
      </w:r>
      <w:proofErr w:type="gramEnd"/>
    </w:p>
    <w:p w14:paraId="7AC6E544" w14:textId="77777777" w:rsidR="00157AAA" w:rsidRDefault="006C1BE5">
      <w:pPr>
        <w:tabs>
          <w:tab w:val="right" w:pos="3780"/>
          <w:tab w:val="left" w:pos="3960"/>
          <w:tab w:val="left" w:pos="9000"/>
        </w:tabs>
        <w:ind w:left="3960" w:hanging="3960"/>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3B5649B4" w14:textId="77777777" w:rsidR="00157AAA" w:rsidRDefault="006C1BE5">
      <w:pPr>
        <w:tabs>
          <w:tab w:val="right" w:pos="3780"/>
          <w:tab w:val="left" w:pos="3960"/>
          <w:tab w:val="left" w:pos="9000"/>
        </w:tabs>
        <w:ind w:left="3960" w:hanging="3960"/>
        <w:rPr>
          <w:b/>
        </w:rPr>
      </w:pPr>
      <w:r>
        <w:tab/>
        <w:t>Contract:</w:t>
      </w:r>
      <w:r>
        <w:tab/>
      </w:r>
      <w:r>
        <w:rPr>
          <w:rStyle w:val="preparersnote"/>
          <w:b w:val="0"/>
        </w:rPr>
        <w:t xml:space="preserve">[ insert:  </w:t>
      </w:r>
      <w:r>
        <w:rPr>
          <w:rStyle w:val="preparersnote"/>
        </w:rPr>
        <w:t xml:space="preserve">name of System or Subsystem and number of </w:t>
      </w:r>
      <w:proofErr w:type="gramStart"/>
      <w:r>
        <w:rPr>
          <w:rStyle w:val="preparersnote"/>
        </w:rPr>
        <w:t>Contract</w:t>
      </w:r>
      <w:r>
        <w:rPr>
          <w:rStyle w:val="preparersnote"/>
          <w:b w:val="0"/>
        </w:rPr>
        <w:t> ]</w:t>
      </w:r>
      <w:proofErr w:type="gramEnd"/>
    </w:p>
    <w:p w14:paraId="78565CB9" w14:textId="77777777" w:rsidR="00157AAA" w:rsidRDefault="00157AAA"/>
    <w:p w14:paraId="24301959" w14:textId="77777777" w:rsidR="00157AAA" w:rsidRDefault="006C1BE5">
      <w:pPr>
        <w:rPr>
          <w:b/>
        </w:rPr>
      </w:pPr>
      <w:r>
        <w:t>To</w:t>
      </w:r>
      <w:proofErr w:type="gramStart"/>
      <w:r>
        <w:t xml:space="preserve">:  </w:t>
      </w:r>
      <w:r>
        <w:rPr>
          <w:rStyle w:val="preparersnote"/>
          <w:b w:val="0"/>
        </w:rPr>
        <w:t>[</w:t>
      </w:r>
      <w:proofErr w:type="gramEnd"/>
      <w:r>
        <w:rPr>
          <w:rStyle w:val="preparersnote"/>
          <w:b w:val="0"/>
        </w:rPr>
        <w:t xml:space="preserve"> insert:  </w:t>
      </w:r>
      <w:r>
        <w:rPr>
          <w:rStyle w:val="preparersnote"/>
        </w:rPr>
        <w:t>name and address of Supplier</w:t>
      </w:r>
      <w:r>
        <w:rPr>
          <w:rStyle w:val="preparersnote"/>
          <w:b w:val="0"/>
        </w:rPr>
        <w:t> ]</w:t>
      </w:r>
    </w:p>
    <w:p w14:paraId="644933C9" w14:textId="77777777" w:rsidR="00157AAA" w:rsidRDefault="00157AAA"/>
    <w:p w14:paraId="675498A8" w14:textId="77777777" w:rsidR="00157AAA" w:rsidRDefault="006C1BE5">
      <w:r>
        <w:t>Dear Sir or Madam:</w:t>
      </w:r>
    </w:p>
    <w:p w14:paraId="337161CA" w14:textId="77777777" w:rsidR="00157AAA" w:rsidRDefault="00157AAA"/>
    <w:p w14:paraId="1FC1466C" w14:textId="77777777" w:rsidR="00157AAA" w:rsidRDefault="006C1BE5">
      <w:r>
        <w:t xml:space="preserve">Pursuant to GCC Clause 27 (Commissioning and Operational Acceptance) of the Contract entered into between yourselves and the </w:t>
      </w:r>
      <w:r>
        <w:rPr>
          <w:rStyle w:val="preparersnote"/>
          <w:b w:val="0"/>
        </w:rPr>
        <w:t xml:space="preserve">[ insert:  </w:t>
      </w:r>
      <w:r>
        <w:rPr>
          <w:rStyle w:val="preparersnote"/>
        </w:rPr>
        <w:t>name of Purchaser</w:t>
      </w:r>
      <w:r>
        <w:rPr>
          <w:rStyle w:val="preparersnote"/>
          <w:b w:val="0"/>
        </w:rPr>
        <w:t> ]</w:t>
      </w:r>
      <w:r>
        <w:rPr>
          <w:b/>
        </w:rPr>
        <w:t xml:space="preserve"> </w:t>
      </w:r>
      <w:r>
        <w:t xml:space="preserve">(hereinafter the “Purchaser”) dated </w:t>
      </w:r>
      <w:r>
        <w:rPr>
          <w:rStyle w:val="preparersnote"/>
          <w:b w:val="0"/>
        </w:rPr>
        <w:t xml:space="preserve">[ insert: </w:t>
      </w:r>
      <w:r>
        <w:rPr>
          <w:rStyle w:val="preparersnote"/>
        </w:rPr>
        <w:t xml:space="preserve"> date of Contract</w:t>
      </w:r>
      <w:r>
        <w:rPr>
          <w:rStyle w:val="preparersnote"/>
          <w:b w:val="0"/>
        </w:rPr>
        <w:t> ],</w:t>
      </w:r>
      <w:r>
        <w:t xml:space="preserve"> relating to the </w:t>
      </w:r>
      <w:r>
        <w:rPr>
          <w:rStyle w:val="preparersnote"/>
        </w:rPr>
        <w:t>[ insert:  brief description of the Information System </w:t>
      </w:r>
      <w:r>
        <w:rPr>
          <w:rStyle w:val="preparersnote"/>
          <w:b w:val="0"/>
        </w:rPr>
        <w:t>],</w:t>
      </w:r>
      <w:r>
        <w:rPr>
          <w:b/>
        </w:rPr>
        <w:t xml:space="preserve"> </w:t>
      </w:r>
      <w:r>
        <w:t>we hereby notify you the System (or the Subsystem or major component identified below) successfully completed the Operational Acceptance Tests specified in the Contract.  In accordance with the terms of the Contract, the Purchaser hereby takes over the System (or the Subsystem or major component identified below), together with the responsibility for care and custody and the risk of loss thereof on the date mentioned below.</w:t>
      </w:r>
    </w:p>
    <w:p w14:paraId="54B74E03" w14:textId="77777777" w:rsidR="00157AAA" w:rsidRDefault="006C1BE5">
      <w:r>
        <w:t>1.</w:t>
      </w:r>
      <w:r>
        <w:tab/>
        <w:t>Description of the System (or Subsystem or major component)</w:t>
      </w:r>
      <w:proofErr w:type="gramStart"/>
      <w:r>
        <w:t xml:space="preserve">:  </w:t>
      </w:r>
      <w:r>
        <w:rPr>
          <w:rStyle w:val="preparersnote"/>
          <w:b w:val="0"/>
        </w:rPr>
        <w:t>[</w:t>
      </w:r>
      <w:proofErr w:type="gramEnd"/>
      <w:r>
        <w:rPr>
          <w:rStyle w:val="preparersnote"/>
          <w:b w:val="0"/>
        </w:rPr>
        <w:t xml:space="preserve"> insert: </w:t>
      </w:r>
      <w:r>
        <w:rPr>
          <w:rStyle w:val="preparersnote"/>
        </w:rPr>
        <w:t xml:space="preserve"> description</w:t>
      </w:r>
      <w:r>
        <w:rPr>
          <w:rStyle w:val="preparersnote"/>
          <w:b w:val="0"/>
        </w:rPr>
        <w:t> ]</w:t>
      </w:r>
    </w:p>
    <w:p w14:paraId="1738AC73" w14:textId="77777777" w:rsidR="00157AAA" w:rsidRDefault="006C1BE5">
      <w:r>
        <w:t>2.</w:t>
      </w:r>
      <w:r>
        <w:tab/>
        <w:t>Date of Operational Acceptance</w:t>
      </w:r>
      <w:proofErr w:type="gramStart"/>
      <w:r>
        <w:t xml:space="preserve">:  </w:t>
      </w:r>
      <w:r>
        <w:rPr>
          <w:rStyle w:val="preparersnote"/>
          <w:b w:val="0"/>
        </w:rPr>
        <w:t>[</w:t>
      </w:r>
      <w:proofErr w:type="gramEnd"/>
      <w:r>
        <w:rPr>
          <w:rStyle w:val="preparersnote"/>
          <w:b w:val="0"/>
        </w:rPr>
        <w:t xml:space="preserve"> insert:  </w:t>
      </w:r>
      <w:r>
        <w:rPr>
          <w:rStyle w:val="preparersnote"/>
        </w:rPr>
        <w:t>date</w:t>
      </w:r>
      <w:r>
        <w:rPr>
          <w:rStyle w:val="preparersnote"/>
          <w:b w:val="0"/>
        </w:rPr>
        <w:t> ]</w:t>
      </w:r>
    </w:p>
    <w:p w14:paraId="743C65B5" w14:textId="77777777" w:rsidR="00157AAA" w:rsidRDefault="006C1BE5">
      <w:r>
        <w:t>This letter shall not relieve you of your remaining performance obligations under the Contract nor of your obligations during the Warranty Period.</w:t>
      </w:r>
    </w:p>
    <w:p w14:paraId="4C16B7DB" w14:textId="77777777" w:rsidR="00157AAA" w:rsidRDefault="00157AAA">
      <w:pPr>
        <w:spacing w:after="0"/>
      </w:pPr>
    </w:p>
    <w:p w14:paraId="1E982401" w14:textId="77777777" w:rsidR="00157AAA" w:rsidRDefault="006C1BE5">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0" w:after="0"/>
      </w:pPr>
      <w:r>
        <w:t>For and on behalf of the Purchaser</w:t>
      </w:r>
    </w:p>
    <w:p w14:paraId="4DA9ECDD" w14:textId="77777777" w:rsidR="00157AAA" w:rsidRDefault="00157AAA"/>
    <w:p w14:paraId="0AF0C476" w14:textId="77777777" w:rsidR="00157AAA" w:rsidRDefault="00157AAA"/>
    <w:p w14:paraId="51ADA51A" w14:textId="77777777" w:rsidR="00157AAA" w:rsidRDefault="006C1BE5">
      <w:pPr>
        <w:tabs>
          <w:tab w:val="right" w:pos="900"/>
          <w:tab w:val="left" w:pos="7200"/>
        </w:tabs>
      </w:pPr>
      <w:r>
        <w:t>Signed:</w:t>
      </w:r>
      <w:r>
        <w:rPr>
          <w:u w:val="single"/>
        </w:rPr>
        <w:tab/>
      </w:r>
      <w:r>
        <w:rPr>
          <w:u w:val="single"/>
        </w:rPr>
        <w:tab/>
      </w:r>
    </w:p>
    <w:p w14:paraId="0DA3C62B" w14:textId="77777777" w:rsidR="00157AAA" w:rsidRDefault="006C1BE5">
      <w:pPr>
        <w:tabs>
          <w:tab w:val="right" w:pos="4320"/>
        </w:tabs>
      </w:pPr>
      <w:r>
        <w:t>Date</w:t>
      </w:r>
      <w:proofErr w:type="gramStart"/>
      <w:r>
        <w:t xml:space="preserve">:  </w:t>
      </w:r>
      <w:r>
        <w:rPr>
          <w:i/>
        </w:rPr>
        <w:t>[</w:t>
      </w:r>
      <w:proofErr w:type="gramEnd"/>
      <w:r>
        <w:rPr>
          <w:i/>
        </w:rPr>
        <w:t xml:space="preserve"> insert: </w:t>
      </w:r>
      <w:r>
        <w:rPr>
          <w:b/>
          <w:i/>
        </w:rPr>
        <w:t xml:space="preserve">date </w:t>
      </w:r>
      <w:r>
        <w:rPr>
          <w:i/>
        </w:rPr>
        <w:t>]</w:t>
      </w:r>
      <w:r>
        <w:tab/>
      </w:r>
    </w:p>
    <w:p w14:paraId="5EF60C6D" w14:textId="77777777" w:rsidR="00157AAA" w:rsidRDefault="006C1BE5">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“Project Manager”</w:t>
      </w:r>
      <w:r>
        <w:rPr>
          <w:rStyle w:val="preparersnote"/>
          <w:b w:val="0"/>
        </w:rPr>
        <w:t xml:space="preserve"> or specify a higher level authority in the Purchaser’s organization ]</w:t>
      </w:r>
    </w:p>
    <w:p w14:paraId="2047A344" w14:textId="77777777" w:rsidR="00157AAA" w:rsidRDefault="006C1BE5">
      <w:pPr>
        <w:pStyle w:val="Head81"/>
      </w:pPr>
      <w:r>
        <w:rPr>
          <w:sz w:val="22"/>
        </w:rPr>
        <w:br w:type="page" w:clear="all"/>
      </w:r>
      <w:bookmarkStart w:id="1051" w:name="_Toc73977992"/>
      <w:r>
        <w:lastRenderedPageBreak/>
        <w:t>4.  Change Order Procedures and Forms</w:t>
      </w:r>
      <w:bookmarkEnd w:id="1051"/>
    </w:p>
    <w:p w14:paraId="774F303B" w14:textId="77777777" w:rsidR="00157AAA" w:rsidRDefault="00157AAA">
      <w:pPr>
        <w:tabs>
          <w:tab w:val="right" w:pos="3780"/>
          <w:tab w:val="left" w:pos="3960"/>
          <w:tab w:val="left" w:pos="9000"/>
        </w:tabs>
        <w:rPr>
          <w:sz w:val="22"/>
        </w:rPr>
      </w:pPr>
    </w:p>
    <w:p w14:paraId="33FA410B" w14:textId="77777777" w:rsidR="00157AAA" w:rsidRDefault="006C1BE5">
      <w:pPr>
        <w:tabs>
          <w:tab w:val="right" w:pos="3780"/>
          <w:tab w:val="left" w:pos="3960"/>
          <w:tab w:val="left" w:pos="9000"/>
        </w:tabs>
      </w:pPr>
      <w:r>
        <w:rPr>
          <w:sz w:val="22"/>
        </w:rPr>
        <w:tab/>
      </w:r>
      <w:r>
        <w:t>Date:</w:t>
      </w:r>
      <w:r>
        <w:tab/>
      </w:r>
      <w:r>
        <w:rPr>
          <w:rStyle w:val="preparersnote"/>
          <w:b w:val="0"/>
        </w:rPr>
        <w:t xml:space="preserve">[ insert:  </w:t>
      </w:r>
      <w:proofErr w:type="gramStart"/>
      <w:r>
        <w:rPr>
          <w:rStyle w:val="preparersnote"/>
        </w:rPr>
        <w:t>date</w:t>
      </w:r>
      <w:r>
        <w:rPr>
          <w:rStyle w:val="preparersnote"/>
          <w:b w:val="0"/>
        </w:rPr>
        <w:t> ]</w:t>
      </w:r>
      <w:proofErr w:type="gramEnd"/>
    </w:p>
    <w:p w14:paraId="229E1558"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 loan or credit number from </w:t>
      </w:r>
      <w:proofErr w:type="gramStart"/>
      <w:r>
        <w:rPr>
          <w:rStyle w:val="preparersnote"/>
        </w:rPr>
        <w:t>RFB</w:t>
      </w:r>
      <w:r>
        <w:rPr>
          <w:rStyle w:val="preparersnote"/>
          <w:b w:val="0"/>
        </w:rPr>
        <w:t> ]</w:t>
      </w:r>
      <w:proofErr w:type="gramEnd"/>
    </w:p>
    <w:p w14:paraId="25A59C59" w14:textId="77777777" w:rsidR="00157AAA" w:rsidRDefault="006C1BE5">
      <w:pPr>
        <w:tabs>
          <w:tab w:val="right" w:pos="3780"/>
          <w:tab w:val="left" w:pos="3960"/>
          <w:tab w:val="left" w:pos="9000"/>
        </w:tabs>
        <w:ind w:left="3960" w:hanging="3960"/>
      </w:pPr>
      <w:r>
        <w:tab/>
        <w:t>RFB:</w:t>
      </w:r>
      <w:r>
        <w:tab/>
      </w:r>
      <w:r>
        <w:rPr>
          <w:rStyle w:val="preparersnote"/>
          <w:b w:val="0"/>
        </w:rPr>
        <w:t xml:space="preserve">[ insert: </w:t>
      </w:r>
      <w:r>
        <w:rPr>
          <w:rStyle w:val="preparersnote"/>
        </w:rPr>
        <w:t xml:space="preserve"> title and number of </w:t>
      </w:r>
      <w:proofErr w:type="gramStart"/>
      <w:r>
        <w:rPr>
          <w:rStyle w:val="preparersnote"/>
        </w:rPr>
        <w:t>RFB</w:t>
      </w:r>
      <w:r>
        <w:rPr>
          <w:rStyle w:val="preparersnote"/>
          <w:b w:val="0"/>
        </w:rPr>
        <w:t> ]</w:t>
      </w:r>
      <w:proofErr w:type="gramEnd"/>
    </w:p>
    <w:p w14:paraId="5D6BD1D4" w14:textId="77777777" w:rsidR="00157AAA" w:rsidRDefault="006C1BE5">
      <w:pPr>
        <w:tabs>
          <w:tab w:val="right" w:pos="3780"/>
          <w:tab w:val="left" w:pos="3960"/>
          <w:tab w:val="left" w:pos="9000"/>
        </w:tabs>
        <w:ind w:left="3960" w:hanging="3960"/>
      </w:pPr>
      <w:r>
        <w:tab/>
        <w:t>Contract:</w:t>
      </w:r>
      <w:r>
        <w:tab/>
      </w:r>
      <w:r>
        <w:rPr>
          <w:rStyle w:val="preparersnote"/>
          <w:b w:val="0"/>
        </w:rPr>
        <w:t xml:space="preserve">[ insert: </w:t>
      </w:r>
      <w:r>
        <w:rPr>
          <w:rStyle w:val="preparersnote"/>
        </w:rPr>
        <w:t xml:space="preserve"> name or System or Subsystem and number of </w:t>
      </w:r>
      <w:proofErr w:type="gramStart"/>
      <w:r>
        <w:rPr>
          <w:rStyle w:val="preparersnote"/>
        </w:rPr>
        <w:t>Contract</w:t>
      </w:r>
      <w:r>
        <w:rPr>
          <w:rStyle w:val="preparersnote"/>
          <w:b w:val="0"/>
        </w:rPr>
        <w:t> ]</w:t>
      </w:r>
      <w:proofErr w:type="gramEnd"/>
    </w:p>
    <w:p w14:paraId="0C5DA782" w14:textId="77777777" w:rsidR="00157AAA" w:rsidRDefault="006C1BE5">
      <w:pPr>
        <w:spacing w:before="120"/>
        <w:ind w:left="547" w:hanging="547"/>
        <w:rPr>
          <w:b/>
        </w:rPr>
      </w:pPr>
      <w:r>
        <w:rPr>
          <w:b/>
        </w:rPr>
        <w:t>General</w:t>
      </w:r>
    </w:p>
    <w:p w14:paraId="7FEFD281" w14:textId="77777777" w:rsidR="00157AAA" w:rsidRDefault="006C1BE5">
      <w:pPr>
        <w:ind w:left="540"/>
      </w:pPr>
      <w:r>
        <w:t>This section provides samples of procedures and forms for carrying out changes to the System during the performance of the Contract in accordance with GCC Clause 39 (Changes to the System) of the Contract.</w:t>
      </w:r>
    </w:p>
    <w:p w14:paraId="2E6BAC7B" w14:textId="77777777" w:rsidR="00157AAA" w:rsidRDefault="006C1BE5">
      <w:pPr>
        <w:spacing w:before="120"/>
        <w:ind w:left="547" w:hanging="547"/>
        <w:rPr>
          <w:b/>
        </w:rPr>
      </w:pPr>
      <w:r>
        <w:rPr>
          <w:b/>
        </w:rPr>
        <w:t>Change Order Log</w:t>
      </w:r>
    </w:p>
    <w:p w14:paraId="73C4A9D8" w14:textId="77777777" w:rsidR="00157AAA" w:rsidRDefault="006C1BE5">
      <w:pPr>
        <w:ind w:left="540"/>
      </w:pPr>
      <w:r>
        <w:t xml:space="preserve">The Supplier shall keep an up-to-date Change Order Log to show the </w:t>
      </w:r>
      <w:proofErr w:type="gramStart"/>
      <w:r>
        <w:t>current status</w:t>
      </w:r>
      <w:proofErr w:type="gramEnd"/>
      <w:r>
        <w:t xml:space="preserve"> of Requests for Change and Change Orders authorized or pending.  Changes shall be entered regularly in the Change Order Log to ensure that the log is kept </w:t>
      </w:r>
      <w:proofErr w:type="gramStart"/>
      <w:r>
        <w:t>up-to-date</w:t>
      </w:r>
      <w:proofErr w:type="gramEnd"/>
      <w:r>
        <w:t xml:space="preserve">.  The Supplier shall attach a copy of the current Change Order Log </w:t>
      </w:r>
      <w:proofErr w:type="gramStart"/>
      <w:r>
        <w:t>in</w:t>
      </w:r>
      <w:proofErr w:type="gramEnd"/>
      <w:r>
        <w:t xml:space="preserve"> the monthly progress report to be submitted to the Purchaser.</w:t>
      </w:r>
    </w:p>
    <w:p w14:paraId="5AB4C864" w14:textId="77777777" w:rsidR="00157AAA" w:rsidRDefault="006C1BE5">
      <w:pPr>
        <w:spacing w:before="120"/>
        <w:ind w:left="547" w:hanging="547"/>
        <w:rPr>
          <w:b/>
        </w:rPr>
      </w:pPr>
      <w:r>
        <w:rPr>
          <w:b/>
        </w:rPr>
        <w:t>References to Changes</w:t>
      </w:r>
    </w:p>
    <w:p w14:paraId="64788728" w14:textId="77777777" w:rsidR="00157AAA" w:rsidRDefault="006C1BE5">
      <w:pPr>
        <w:spacing w:after="40"/>
        <w:ind w:left="1094" w:hanging="547"/>
      </w:pPr>
      <w:r>
        <w:t>(1)</w:t>
      </w:r>
      <w:r>
        <w:tab/>
        <w:t>Request for Change Proposals (including Application for Change Proposals) shall be serially numbered CR-</w:t>
      </w:r>
      <w:proofErr w:type="spellStart"/>
      <w:r>
        <w:t>nnn</w:t>
      </w:r>
      <w:proofErr w:type="spellEnd"/>
      <w:r>
        <w:t>.</w:t>
      </w:r>
    </w:p>
    <w:p w14:paraId="7EE5F9C5" w14:textId="77777777" w:rsidR="00157AAA" w:rsidRDefault="006C1BE5">
      <w:pPr>
        <w:spacing w:after="40"/>
        <w:ind w:left="1094" w:hanging="547"/>
      </w:pPr>
      <w:r>
        <w:t>(2)</w:t>
      </w:r>
      <w:r>
        <w:tab/>
        <w:t>Change Estimate Proposals shall be numbered CN-</w:t>
      </w:r>
      <w:proofErr w:type="spellStart"/>
      <w:r>
        <w:t>nnn</w:t>
      </w:r>
      <w:proofErr w:type="spellEnd"/>
      <w:r>
        <w:t>.</w:t>
      </w:r>
    </w:p>
    <w:p w14:paraId="57ABFE84" w14:textId="77777777" w:rsidR="00157AAA" w:rsidRDefault="006C1BE5">
      <w:pPr>
        <w:spacing w:after="40"/>
        <w:ind w:left="1094" w:hanging="547"/>
      </w:pPr>
      <w:r>
        <w:t>(3)</w:t>
      </w:r>
      <w:r>
        <w:tab/>
        <w:t>Estimate Acceptances shall be numbered CA-</w:t>
      </w:r>
      <w:proofErr w:type="spellStart"/>
      <w:r>
        <w:t>nnn</w:t>
      </w:r>
      <w:proofErr w:type="spellEnd"/>
      <w:r>
        <w:t>.</w:t>
      </w:r>
    </w:p>
    <w:p w14:paraId="7C4FE2D8" w14:textId="77777777" w:rsidR="00157AAA" w:rsidRDefault="006C1BE5">
      <w:pPr>
        <w:spacing w:after="40"/>
        <w:ind w:left="1094" w:hanging="547"/>
      </w:pPr>
      <w:r>
        <w:t>(4)</w:t>
      </w:r>
      <w:r>
        <w:tab/>
        <w:t>Change Proposals shall be numbered CP-</w:t>
      </w:r>
      <w:proofErr w:type="spellStart"/>
      <w:r>
        <w:t>nnn</w:t>
      </w:r>
      <w:proofErr w:type="spellEnd"/>
      <w:r>
        <w:t>.</w:t>
      </w:r>
    </w:p>
    <w:p w14:paraId="1FBE70F5" w14:textId="77777777" w:rsidR="00157AAA" w:rsidRDefault="006C1BE5">
      <w:pPr>
        <w:ind w:left="1094" w:hanging="547"/>
      </w:pPr>
      <w:r>
        <w:t>(5)</w:t>
      </w:r>
      <w:r>
        <w:tab/>
        <w:t>Change Orders shall be numbered CO-</w:t>
      </w:r>
      <w:proofErr w:type="spellStart"/>
      <w:r>
        <w:t>nnn</w:t>
      </w:r>
      <w:proofErr w:type="spellEnd"/>
      <w:r>
        <w:t>.</w:t>
      </w:r>
    </w:p>
    <w:p w14:paraId="68001D7A" w14:textId="77777777" w:rsidR="00157AAA" w:rsidRDefault="006C1BE5">
      <w:pPr>
        <w:tabs>
          <w:tab w:val="left" w:pos="1260"/>
        </w:tabs>
        <w:ind w:left="1800" w:hanging="1260"/>
      </w:pPr>
      <w:r>
        <w:t>On all forms, the numbering shall be determined by the original CR-</w:t>
      </w:r>
      <w:proofErr w:type="spellStart"/>
      <w:r>
        <w:t>nnn</w:t>
      </w:r>
      <w:proofErr w:type="spellEnd"/>
      <w:r>
        <w:t>.</w:t>
      </w:r>
    </w:p>
    <w:p w14:paraId="6777AD2E" w14:textId="77777777" w:rsidR="00157AAA" w:rsidRDefault="006C1BE5">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120"/>
        <w:ind w:left="547" w:hanging="547"/>
        <w:rPr>
          <w:b/>
        </w:rPr>
      </w:pPr>
      <w:r>
        <w:rPr>
          <w:b/>
        </w:rPr>
        <w:t>Annexes</w:t>
      </w:r>
    </w:p>
    <w:p w14:paraId="753BB212" w14:textId="77777777" w:rsidR="00157AAA" w:rsidRDefault="006C1BE5">
      <w:pPr>
        <w:spacing w:after="40"/>
        <w:ind w:left="1260" w:hanging="720"/>
      </w:pPr>
      <w:r>
        <w:t>4.1</w:t>
      </w:r>
      <w:r>
        <w:tab/>
        <w:t>Request for Change Proposal Form</w:t>
      </w:r>
    </w:p>
    <w:p w14:paraId="0E2B601E" w14:textId="77777777" w:rsidR="00157AAA" w:rsidRDefault="006C1BE5">
      <w:pPr>
        <w:spacing w:after="40"/>
        <w:ind w:left="1260" w:hanging="720"/>
      </w:pPr>
      <w:r>
        <w:t>4.2</w:t>
      </w:r>
      <w:r>
        <w:tab/>
        <w:t>Change Estimate Proposal Form</w:t>
      </w:r>
    </w:p>
    <w:p w14:paraId="311310E0" w14:textId="77777777" w:rsidR="00157AAA" w:rsidRDefault="006C1BE5">
      <w:pPr>
        <w:spacing w:after="40"/>
        <w:ind w:left="1260" w:hanging="720"/>
      </w:pPr>
      <w:r>
        <w:t>4.3</w:t>
      </w:r>
      <w:r>
        <w:tab/>
        <w:t>Estimate Acceptance Form</w:t>
      </w:r>
    </w:p>
    <w:p w14:paraId="437B4122" w14:textId="77777777" w:rsidR="00157AAA" w:rsidRDefault="006C1BE5">
      <w:pPr>
        <w:spacing w:after="40"/>
        <w:ind w:left="1260" w:hanging="720"/>
      </w:pPr>
      <w:r>
        <w:t>4.4</w:t>
      </w:r>
      <w:r>
        <w:tab/>
        <w:t>Change Proposal Form</w:t>
      </w:r>
    </w:p>
    <w:p w14:paraId="6A7E946F" w14:textId="77777777" w:rsidR="00157AAA" w:rsidRDefault="006C1BE5">
      <w:pPr>
        <w:spacing w:after="40"/>
        <w:ind w:left="1260" w:hanging="720"/>
      </w:pPr>
      <w:r>
        <w:t>4.5</w:t>
      </w:r>
      <w:r>
        <w:tab/>
        <w:t>Change Order Form</w:t>
      </w:r>
    </w:p>
    <w:p w14:paraId="1511536C" w14:textId="77777777" w:rsidR="00157AAA" w:rsidRDefault="006C1BE5">
      <w:pPr>
        <w:spacing w:after="40"/>
        <w:ind w:left="1260" w:hanging="720"/>
      </w:pPr>
      <w:r>
        <w:t>4.6</w:t>
      </w:r>
      <w:r>
        <w:tab/>
        <w:t>Application for Change Proposal Form</w:t>
      </w:r>
    </w:p>
    <w:p w14:paraId="54BA1BB1" w14:textId="77777777" w:rsidR="00157AAA" w:rsidRDefault="006C1BE5">
      <w:pPr>
        <w:pStyle w:val="Head82"/>
      </w:pPr>
      <w:r>
        <w:rPr>
          <w:sz w:val="24"/>
        </w:rPr>
        <w:br w:type="page" w:clear="all"/>
      </w:r>
      <w:bookmarkStart w:id="1052" w:name="_Toc73977993"/>
      <w:r>
        <w:lastRenderedPageBreak/>
        <w:t>4.1</w:t>
      </w:r>
      <w:r>
        <w:tab/>
        <w:t>Request for Change Proposal Form</w:t>
      </w:r>
      <w:bookmarkEnd w:id="1052"/>
    </w:p>
    <w:p w14:paraId="02C53DC1" w14:textId="77777777" w:rsidR="00157AAA" w:rsidRDefault="006C1BE5">
      <w:pPr>
        <w:jc w:val="center"/>
      </w:pPr>
      <w:r>
        <w:t>(Purchaser’s Letterhead)</w:t>
      </w:r>
    </w:p>
    <w:p w14:paraId="63DED088" w14:textId="77777777" w:rsidR="00157AAA" w:rsidRDefault="00157AAA"/>
    <w:p w14:paraId="75F2CCD1" w14:textId="77777777" w:rsidR="00157AAA" w:rsidRDefault="006C1BE5">
      <w:pPr>
        <w:tabs>
          <w:tab w:val="right" w:pos="3780"/>
          <w:tab w:val="left" w:pos="3960"/>
          <w:tab w:val="left" w:pos="9000"/>
        </w:tabs>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7EA875D8"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loan or credit number from </w:t>
      </w:r>
      <w:proofErr w:type="gramStart"/>
      <w:r>
        <w:rPr>
          <w:rStyle w:val="preparersnote"/>
        </w:rPr>
        <w:t>RFB</w:t>
      </w:r>
      <w:r>
        <w:rPr>
          <w:rStyle w:val="preparersnote"/>
          <w:b w:val="0"/>
        </w:rPr>
        <w:t> ]</w:t>
      </w:r>
      <w:proofErr w:type="gramEnd"/>
    </w:p>
    <w:p w14:paraId="1FBDCC7E" w14:textId="77777777" w:rsidR="00157AAA" w:rsidRDefault="006C1BE5">
      <w:pPr>
        <w:tabs>
          <w:tab w:val="right" w:pos="3780"/>
          <w:tab w:val="left" w:pos="3960"/>
          <w:tab w:val="left" w:pos="9000"/>
        </w:tabs>
        <w:ind w:left="3960" w:hanging="3960"/>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4F5ABC57" w14:textId="77777777" w:rsidR="00157AAA" w:rsidRDefault="006C1BE5">
      <w:pPr>
        <w:tabs>
          <w:tab w:val="right" w:pos="3780"/>
          <w:tab w:val="left" w:pos="3960"/>
          <w:tab w:val="left" w:pos="9000"/>
        </w:tabs>
        <w:ind w:left="3960" w:hanging="3960"/>
        <w:rPr>
          <w:b/>
        </w:rPr>
      </w:pPr>
      <w:r>
        <w:tab/>
        <w:t>Contract:</w:t>
      </w:r>
      <w:r>
        <w:tab/>
      </w:r>
      <w:r>
        <w:rPr>
          <w:rStyle w:val="preparersnote"/>
          <w:b w:val="0"/>
        </w:rPr>
        <w:t xml:space="preserve">[ insert:  </w:t>
      </w:r>
      <w:r>
        <w:rPr>
          <w:rStyle w:val="preparersnote"/>
        </w:rPr>
        <w:t xml:space="preserve">name of System or Subsystem or number of </w:t>
      </w:r>
      <w:proofErr w:type="gramStart"/>
      <w:r>
        <w:rPr>
          <w:rStyle w:val="preparersnote"/>
        </w:rPr>
        <w:t>Contract</w:t>
      </w:r>
      <w:r>
        <w:rPr>
          <w:rStyle w:val="preparersnote"/>
          <w:b w:val="0"/>
        </w:rPr>
        <w:t> ]</w:t>
      </w:r>
      <w:proofErr w:type="gramEnd"/>
    </w:p>
    <w:p w14:paraId="66F822C8" w14:textId="77777777" w:rsidR="00157AAA" w:rsidRDefault="00157AAA"/>
    <w:p w14:paraId="585B2FF1" w14:textId="77777777" w:rsidR="00157AAA" w:rsidRDefault="006C1BE5">
      <w:pPr>
        <w:tabs>
          <w:tab w:val="left" w:pos="6480"/>
          <w:tab w:val="left" w:pos="9000"/>
        </w:tabs>
      </w:pPr>
      <w:r>
        <w:t>To</w:t>
      </w:r>
      <w:proofErr w:type="gramStart"/>
      <w:r>
        <w:t xml:space="preserve">:  </w:t>
      </w:r>
      <w:r>
        <w:rPr>
          <w:rStyle w:val="preparersnote"/>
          <w:b w:val="0"/>
        </w:rPr>
        <w:t>[</w:t>
      </w:r>
      <w:proofErr w:type="gramEnd"/>
      <w:r>
        <w:rPr>
          <w:rStyle w:val="preparersnote"/>
          <w:b w:val="0"/>
        </w:rPr>
        <w:t xml:space="preserve"> insert:  </w:t>
      </w:r>
      <w:r>
        <w:rPr>
          <w:rStyle w:val="preparersnote"/>
        </w:rPr>
        <w:t>name of Supplier and address</w:t>
      </w:r>
      <w:r>
        <w:rPr>
          <w:rStyle w:val="preparersnote"/>
          <w:b w:val="0"/>
        </w:rPr>
        <w:t> ]</w:t>
      </w:r>
    </w:p>
    <w:p w14:paraId="3D4B0FDC" w14:textId="77777777" w:rsidR="00157AAA" w:rsidRDefault="006C1BE5">
      <w:r>
        <w:t>Attention</w:t>
      </w:r>
      <w:proofErr w:type="gramStart"/>
      <w:r>
        <w:t xml:space="preserve">:  </w:t>
      </w:r>
      <w:r>
        <w:rPr>
          <w:rStyle w:val="preparersnote"/>
          <w:b w:val="0"/>
        </w:rPr>
        <w:t>[</w:t>
      </w:r>
      <w:proofErr w:type="gramEnd"/>
      <w:r>
        <w:rPr>
          <w:rStyle w:val="preparersnote"/>
          <w:b w:val="0"/>
        </w:rPr>
        <w:t xml:space="preserve"> insert:  </w:t>
      </w:r>
      <w:r>
        <w:rPr>
          <w:rStyle w:val="preparersnote"/>
        </w:rPr>
        <w:t>name and title</w:t>
      </w:r>
      <w:r>
        <w:rPr>
          <w:rStyle w:val="preparersnote"/>
          <w:b w:val="0"/>
        </w:rPr>
        <w:t> ]</w:t>
      </w:r>
    </w:p>
    <w:p w14:paraId="03AC4690" w14:textId="77777777" w:rsidR="00157AAA" w:rsidRDefault="00157AAA"/>
    <w:p w14:paraId="031BBB69" w14:textId="77777777" w:rsidR="00157AAA" w:rsidRDefault="006C1BE5">
      <w:r>
        <w:t>Dear Sir or Madam:</w:t>
      </w:r>
    </w:p>
    <w:p w14:paraId="59F16E5B" w14:textId="77777777" w:rsidR="00157AAA" w:rsidRDefault="00157AAA"/>
    <w:p w14:paraId="1E237048" w14:textId="77777777" w:rsidR="00157AAA" w:rsidRDefault="006C1BE5">
      <w:r>
        <w:t xml:space="preserve">With reference to the above-referenced Contract, you are requested to prepare and submit a Change Proposal for the Change noted below in accordance with the following instructions within </w:t>
      </w:r>
      <w:r>
        <w:rPr>
          <w:rStyle w:val="preparersnote"/>
          <w:b w:val="0"/>
        </w:rPr>
        <w:t xml:space="preserve">[ insert: </w:t>
      </w:r>
      <w:r>
        <w:rPr>
          <w:rStyle w:val="preparersnote"/>
        </w:rPr>
        <w:t xml:space="preserve"> </w:t>
      </w:r>
      <w:proofErr w:type="gramStart"/>
      <w:r>
        <w:rPr>
          <w:rStyle w:val="preparersnote"/>
        </w:rPr>
        <w:t>number</w:t>
      </w:r>
      <w:r>
        <w:rPr>
          <w:rStyle w:val="preparersnote"/>
          <w:b w:val="0"/>
        </w:rPr>
        <w:t> ]</w:t>
      </w:r>
      <w:proofErr w:type="gramEnd"/>
      <w:r>
        <w:t xml:space="preserve"> days of the date of this letter.</w:t>
      </w:r>
    </w:p>
    <w:p w14:paraId="50972EC1" w14:textId="77777777" w:rsidR="00157AAA" w:rsidRDefault="00157AAA">
      <w:pPr>
        <w:ind w:left="540" w:hanging="540"/>
      </w:pPr>
    </w:p>
    <w:p w14:paraId="52E98F95" w14:textId="77777777" w:rsidR="00157AAA" w:rsidRDefault="006C1BE5">
      <w:pPr>
        <w:ind w:left="540" w:hanging="540"/>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 xml:space="preserve"> title</w:t>
      </w:r>
      <w:r>
        <w:rPr>
          <w:rStyle w:val="preparersnote"/>
          <w:b w:val="0"/>
        </w:rPr>
        <w:t> ]</w:t>
      </w:r>
    </w:p>
    <w:p w14:paraId="65362F6D" w14:textId="77777777" w:rsidR="00157AAA" w:rsidRDefault="006C1BE5">
      <w:pPr>
        <w:ind w:left="540" w:hanging="540"/>
      </w:pPr>
      <w:r>
        <w:t>2.</w:t>
      </w:r>
      <w:r>
        <w:tab/>
        <w:t>Request for Change No./Rev.</w:t>
      </w:r>
      <w:proofErr w:type="gramStart"/>
      <w:r>
        <w:t xml:space="preserve">:  </w:t>
      </w:r>
      <w:r>
        <w:rPr>
          <w:rStyle w:val="preparersnote"/>
          <w:b w:val="0"/>
        </w:rPr>
        <w:t>[</w:t>
      </w:r>
      <w:proofErr w:type="gramEnd"/>
      <w:r>
        <w:rPr>
          <w:rStyle w:val="preparersnote"/>
          <w:b w:val="0"/>
        </w:rPr>
        <w:t xml:space="preserve"> insert: </w:t>
      </w:r>
      <w:r>
        <w:rPr>
          <w:rStyle w:val="preparersnote"/>
        </w:rPr>
        <w:t xml:space="preserve"> number</w:t>
      </w:r>
      <w:r>
        <w:rPr>
          <w:rStyle w:val="preparersnote"/>
          <w:b w:val="0"/>
        </w:rPr>
        <w:t> ]</w:t>
      </w:r>
    </w:p>
    <w:p w14:paraId="6AC662CE" w14:textId="77777777" w:rsidR="00157AAA" w:rsidRDefault="006C1BE5">
      <w:pPr>
        <w:ind w:left="540" w:hanging="540"/>
      </w:pPr>
      <w:r>
        <w:t>3.</w:t>
      </w:r>
      <w:r>
        <w:tab/>
        <w:t>Originator of Change</w:t>
      </w:r>
      <w:proofErr w:type="gramStart"/>
      <w:r>
        <w:t xml:space="preserve">:  </w:t>
      </w:r>
      <w:r>
        <w:rPr>
          <w:rStyle w:val="preparersnote"/>
          <w:b w:val="0"/>
        </w:rPr>
        <w:t>[</w:t>
      </w:r>
      <w:proofErr w:type="gramEnd"/>
      <w:r>
        <w:rPr>
          <w:rStyle w:val="preparersnote"/>
          <w:b w:val="0"/>
        </w:rPr>
        <w:t xml:space="preserve"> select </w:t>
      </w:r>
      <w:r>
        <w:rPr>
          <w:rStyle w:val="preparersnote"/>
        </w:rPr>
        <w:t>Purchaser / Supplier (by Application for Change Proposal)</w:t>
      </w:r>
      <w:r>
        <w:rPr>
          <w:rStyle w:val="preparersnote"/>
          <w:b w:val="0"/>
        </w:rPr>
        <w:t>, and add</w:t>
      </w:r>
      <w:r>
        <w:rPr>
          <w:rStyle w:val="preparersnote"/>
        </w:rPr>
        <w:t>: name of originator</w:t>
      </w:r>
      <w:r>
        <w:rPr>
          <w:rStyle w:val="preparersnote"/>
          <w:b w:val="0"/>
        </w:rPr>
        <w:t> ]</w:t>
      </w:r>
    </w:p>
    <w:p w14:paraId="57C95C7D" w14:textId="77777777" w:rsidR="00157AAA" w:rsidRDefault="006C1BE5">
      <w:pPr>
        <w:ind w:left="540" w:hanging="540"/>
      </w:pPr>
      <w:r>
        <w:t>4.</w:t>
      </w:r>
      <w:r>
        <w:tab/>
        <w:t>Brief Description of Change</w:t>
      </w:r>
      <w:proofErr w:type="gramStart"/>
      <w:r>
        <w:t xml:space="preserve">:  </w:t>
      </w:r>
      <w:r>
        <w:rPr>
          <w:rStyle w:val="preparersnote"/>
          <w:b w:val="0"/>
        </w:rPr>
        <w:t>[</w:t>
      </w:r>
      <w:proofErr w:type="gramEnd"/>
      <w:r>
        <w:rPr>
          <w:rStyle w:val="preparersnote"/>
          <w:b w:val="0"/>
        </w:rPr>
        <w:t xml:space="preserve"> insert:  </w:t>
      </w:r>
      <w:r>
        <w:rPr>
          <w:rStyle w:val="preparersnote"/>
        </w:rPr>
        <w:t>description</w:t>
      </w:r>
      <w:r>
        <w:rPr>
          <w:rStyle w:val="preparersnote"/>
          <w:b w:val="0"/>
        </w:rPr>
        <w:t> ]</w:t>
      </w:r>
    </w:p>
    <w:p w14:paraId="62EE17BA" w14:textId="77777777" w:rsidR="00157AAA" w:rsidRDefault="006C1BE5">
      <w:pPr>
        <w:ind w:left="540" w:hanging="540"/>
      </w:pPr>
      <w:r>
        <w:t>5.</w:t>
      </w:r>
      <w:r>
        <w:tab/>
        <w:t>System (or Subsystem or major component affected by requested Change)</w:t>
      </w:r>
      <w:proofErr w:type="gramStart"/>
      <w:r>
        <w:t xml:space="preserve">:  </w:t>
      </w:r>
      <w:r>
        <w:rPr>
          <w:rStyle w:val="preparersnote"/>
          <w:b w:val="0"/>
        </w:rPr>
        <w:t>[</w:t>
      </w:r>
      <w:proofErr w:type="gramEnd"/>
      <w:r>
        <w:rPr>
          <w:rStyle w:val="preparersnote"/>
          <w:b w:val="0"/>
        </w:rPr>
        <w:t> insert:</w:t>
      </w:r>
      <w:r>
        <w:rPr>
          <w:rStyle w:val="preparersnote"/>
        </w:rPr>
        <w:t xml:space="preserve">  description ]</w:t>
      </w:r>
    </w:p>
    <w:p w14:paraId="63111F1F" w14:textId="77777777" w:rsidR="00157AAA" w:rsidRDefault="006C1BE5">
      <w:pPr>
        <w:ind w:left="540" w:hanging="540"/>
      </w:pPr>
      <w:r>
        <w:t>6.</w:t>
      </w:r>
      <w:r>
        <w:tab/>
        <w:t>Technical documents and/or drawings for the request of Change:</w:t>
      </w:r>
    </w:p>
    <w:p w14:paraId="22E3DF53" w14:textId="77777777" w:rsidR="00157AAA" w:rsidRDefault="006C1BE5">
      <w:pPr>
        <w:tabs>
          <w:tab w:val="left" w:pos="4320"/>
        </w:tabs>
        <w:ind w:left="540"/>
      </w:pPr>
      <w:r>
        <w:t>Document or Drawing No.</w:t>
      </w:r>
      <w:r>
        <w:tab/>
        <w:t>Description</w:t>
      </w:r>
    </w:p>
    <w:p w14:paraId="1AFB3EAF" w14:textId="77777777" w:rsidR="00157AAA" w:rsidRDefault="006C1BE5">
      <w:pPr>
        <w:ind w:left="540" w:hanging="540"/>
      </w:pPr>
      <w:r>
        <w:t>7.</w:t>
      </w:r>
      <w:r>
        <w:tab/>
        <w:t>Detailed conditions or special requirements of the requested Change</w:t>
      </w:r>
      <w:proofErr w:type="gramStart"/>
      <w:r>
        <w:t xml:space="preserve">:  </w:t>
      </w:r>
      <w:r>
        <w:rPr>
          <w:rStyle w:val="preparersnote"/>
          <w:b w:val="0"/>
        </w:rPr>
        <w:t>[</w:t>
      </w:r>
      <w:proofErr w:type="gramEnd"/>
      <w:r>
        <w:rPr>
          <w:rStyle w:val="preparersnote"/>
          <w:b w:val="0"/>
        </w:rPr>
        <w:t> insert:</w:t>
      </w:r>
      <w:r>
        <w:rPr>
          <w:rStyle w:val="preparersnote"/>
        </w:rPr>
        <w:t xml:space="preserve">  description</w:t>
      </w:r>
      <w:r>
        <w:rPr>
          <w:rStyle w:val="preparersnote"/>
          <w:b w:val="0"/>
        </w:rPr>
        <w:t> ]</w:t>
      </w:r>
    </w:p>
    <w:p w14:paraId="33A076A6" w14:textId="77777777" w:rsidR="00157AAA" w:rsidRDefault="006C1BE5">
      <w:pPr>
        <w:ind w:left="540" w:hanging="540"/>
      </w:pPr>
      <w:r>
        <w:t>8.</w:t>
      </w:r>
      <w:r>
        <w:tab/>
        <w:t>Procedures to be followed:</w:t>
      </w:r>
    </w:p>
    <w:p w14:paraId="2DF48530" w14:textId="77777777" w:rsidR="00157AAA" w:rsidRDefault="006C1BE5">
      <w:pPr>
        <w:ind w:left="1080" w:hanging="540"/>
      </w:pPr>
      <w:r>
        <w:t>(a)</w:t>
      </w:r>
      <w:r>
        <w:tab/>
        <w:t>Your Change Proposal will have to show what effect the requested Change will have on the Contract Price.</w:t>
      </w:r>
    </w:p>
    <w:p w14:paraId="18A655D6" w14:textId="77777777" w:rsidR="00157AAA" w:rsidRDefault="006C1BE5">
      <w:pPr>
        <w:ind w:left="1080" w:hanging="540"/>
      </w:pPr>
      <w:r>
        <w:t>(b)</w:t>
      </w:r>
      <w:r>
        <w:tab/>
        <w:t>Your Change Proposal shall explain the time it will take to complete the requested Change and the impact, if any, it will have on the date when Operational Acceptance of the entire System agreed in the Contract.</w:t>
      </w:r>
    </w:p>
    <w:p w14:paraId="4037AC96" w14:textId="77777777" w:rsidR="00157AAA" w:rsidRDefault="006C1BE5">
      <w:pPr>
        <w:ind w:left="1080" w:hanging="540"/>
      </w:pPr>
      <w:r>
        <w:lastRenderedPageBreak/>
        <w:t>(c)</w:t>
      </w:r>
      <w:r>
        <w:tab/>
        <w:t xml:space="preserve">If you believe implementation of the requested Change will have a negative impact on the quality, operability, or integrity of the System, please provide a detailed explanation, including other approaches that might achieve the same impact as the requested Change.  </w:t>
      </w:r>
    </w:p>
    <w:p w14:paraId="32E4D906" w14:textId="77777777" w:rsidR="00157AAA" w:rsidRDefault="006C1BE5">
      <w:pPr>
        <w:ind w:left="1080" w:hanging="540"/>
      </w:pPr>
      <w:r>
        <w:t>(d)</w:t>
      </w:r>
      <w:r>
        <w:tab/>
        <w:t xml:space="preserve">You should also indicate what impact the Change will have on the number and mix of staff needed by the Supplier to perform the Contract.  </w:t>
      </w:r>
    </w:p>
    <w:p w14:paraId="10668F8D" w14:textId="77777777" w:rsidR="00157AAA" w:rsidRDefault="006C1BE5">
      <w:pPr>
        <w:ind w:left="1080" w:hanging="540"/>
      </w:pPr>
      <w:r>
        <w:t>(e)</w:t>
      </w:r>
      <w:r>
        <w:tab/>
        <w:t>You shall not proceed with the execution of work related to the requested Change until we have accepted and confirmed the impact it will have on the Contract Price and the Implementation Schedule in writing.</w:t>
      </w:r>
    </w:p>
    <w:p w14:paraId="499DDBEE" w14:textId="77777777" w:rsidR="00157AAA" w:rsidRDefault="006C1BE5">
      <w:pPr>
        <w:ind w:left="540" w:hanging="540"/>
      </w:pPr>
      <w:r>
        <w:t>9.</w:t>
      </w:r>
      <w:r>
        <w:tab/>
        <w:t>As next step, please respond using the Change Estimate Proposal form, indicating how much it will cost you to prepare a concrete Change Proposal that will describe the proposed approach for implementing the Change, all its elements, and will also address the points in paragraph 8 above pursuant to GCC Clause 39.2.1.  Your Change Estimate Proposal should contain a first approximation of the proposed approach, and implications for schedule and cost, of the Change.</w:t>
      </w:r>
    </w:p>
    <w:p w14:paraId="480B0CC8" w14:textId="77777777" w:rsidR="00157AAA" w:rsidRDefault="00157AAA"/>
    <w:p w14:paraId="6AF62DE5" w14:textId="77777777" w:rsidR="00157AAA" w:rsidRDefault="006C1BE5">
      <w:r>
        <w:t>For and on behalf of the Purchaser</w:t>
      </w:r>
    </w:p>
    <w:p w14:paraId="014B90D9" w14:textId="77777777" w:rsidR="00157AAA" w:rsidRDefault="00157AAA"/>
    <w:p w14:paraId="4B00829D" w14:textId="77777777" w:rsidR="00157AAA" w:rsidRDefault="006C1BE5">
      <w:pPr>
        <w:tabs>
          <w:tab w:val="right" w:pos="900"/>
          <w:tab w:val="left" w:pos="7200"/>
        </w:tabs>
      </w:pPr>
      <w:r>
        <w:t>Signed:</w:t>
      </w:r>
      <w:r>
        <w:tab/>
      </w:r>
      <w:r>
        <w:tab/>
      </w:r>
    </w:p>
    <w:p w14:paraId="6D9F9A33" w14:textId="77777777" w:rsidR="00157AAA" w:rsidRDefault="006C1BE5">
      <w:pPr>
        <w:tabs>
          <w:tab w:val="right" w:pos="4320"/>
        </w:tabs>
      </w:pPr>
      <w:r>
        <w:t xml:space="preserve">Date:  </w:t>
      </w:r>
      <w:r>
        <w:tab/>
      </w:r>
    </w:p>
    <w:p w14:paraId="1EEB81AD" w14:textId="77777777" w:rsidR="00157AAA" w:rsidRDefault="006C1BE5">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“Project Manager”</w:t>
      </w:r>
      <w:r>
        <w:rPr>
          <w:rStyle w:val="preparersnote"/>
          <w:b w:val="0"/>
        </w:rPr>
        <w:t xml:space="preserve"> or specify a higher level authority in the Purchaser’s organization  ]</w:t>
      </w:r>
    </w:p>
    <w:p w14:paraId="4BDA9A18" w14:textId="77777777" w:rsidR="00157AAA" w:rsidRDefault="006C1BE5">
      <w:pPr>
        <w:pStyle w:val="Head82"/>
      </w:pPr>
      <w:r>
        <w:rPr>
          <w:sz w:val="22"/>
        </w:rPr>
        <w:br w:type="page" w:clear="all"/>
      </w:r>
      <w:bookmarkStart w:id="1053" w:name="_Toc73977994"/>
      <w:r>
        <w:lastRenderedPageBreak/>
        <w:t>4.2</w:t>
      </w:r>
      <w:r>
        <w:tab/>
        <w:t>Change Estimate Proposal Form</w:t>
      </w:r>
      <w:bookmarkEnd w:id="1053"/>
    </w:p>
    <w:p w14:paraId="1C56792A" w14:textId="77777777" w:rsidR="00157AAA" w:rsidRDefault="006C1BE5">
      <w:pPr>
        <w:jc w:val="center"/>
      </w:pPr>
      <w:r>
        <w:t>(Supplier’s Letterhead)</w:t>
      </w:r>
    </w:p>
    <w:p w14:paraId="3C73100F" w14:textId="77777777" w:rsidR="00157AAA" w:rsidRDefault="00157AAA"/>
    <w:p w14:paraId="253BD416" w14:textId="77777777" w:rsidR="00157AAA" w:rsidRDefault="006C1BE5">
      <w:pPr>
        <w:tabs>
          <w:tab w:val="right" w:pos="3780"/>
          <w:tab w:val="left" w:pos="3960"/>
          <w:tab w:val="left" w:pos="9000"/>
        </w:tabs>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03441228"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loan or credit number from </w:t>
      </w:r>
      <w:proofErr w:type="gramStart"/>
      <w:r>
        <w:rPr>
          <w:rStyle w:val="preparersnote"/>
        </w:rPr>
        <w:t>RFB</w:t>
      </w:r>
      <w:r>
        <w:rPr>
          <w:rStyle w:val="preparersnote"/>
          <w:b w:val="0"/>
        </w:rPr>
        <w:t> ]</w:t>
      </w:r>
      <w:proofErr w:type="gramEnd"/>
    </w:p>
    <w:p w14:paraId="65794AEA" w14:textId="77777777" w:rsidR="00157AAA" w:rsidRDefault="006C1BE5">
      <w:pPr>
        <w:tabs>
          <w:tab w:val="right" w:pos="3780"/>
          <w:tab w:val="left" w:pos="3960"/>
          <w:tab w:val="left" w:pos="9000"/>
        </w:tabs>
        <w:ind w:left="3960" w:hanging="3960"/>
      </w:pPr>
      <w:r>
        <w:tab/>
        <w:t>RFB:</w:t>
      </w:r>
      <w:r>
        <w:tab/>
      </w:r>
      <w:r>
        <w:rPr>
          <w:rStyle w:val="preparersnote"/>
          <w:b w:val="0"/>
        </w:rPr>
        <w:t xml:space="preserve">[ insert: </w:t>
      </w:r>
      <w:r>
        <w:rPr>
          <w:rStyle w:val="preparersnote"/>
        </w:rPr>
        <w:t xml:space="preserve"> title and number of </w:t>
      </w:r>
      <w:proofErr w:type="gramStart"/>
      <w:r>
        <w:rPr>
          <w:rStyle w:val="preparersnote"/>
        </w:rPr>
        <w:t>RFB</w:t>
      </w:r>
      <w:r>
        <w:rPr>
          <w:rStyle w:val="preparersnote"/>
          <w:b w:val="0"/>
        </w:rPr>
        <w:t> ]</w:t>
      </w:r>
      <w:proofErr w:type="gramEnd"/>
    </w:p>
    <w:p w14:paraId="793BF0A9" w14:textId="77777777" w:rsidR="00157AAA" w:rsidRDefault="006C1BE5">
      <w:pPr>
        <w:tabs>
          <w:tab w:val="right" w:pos="3780"/>
          <w:tab w:val="left" w:pos="3960"/>
          <w:tab w:val="left" w:pos="9000"/>
        </w:tabs>
        <w:ind w:left="3960" w:hanging="3960"/>
      </w:pPr>
      <w:r>
        <w:tab/>
        <w:t>Contract:</w:t>
      </w:r>
      <w:r>
        <w:tab/>
      </w:r>
      <w:r>
        <w:rPr>
          <w:rStyle w:val="preparersnote"/>
          <w:b w:val="0"/>
        </w:rPr>
        <w:t xml:space="preserve">[ insert:  </w:t>
      </w:r>
      <w:r>
        <w:rPr>
          <w:rStyle w:val="preparersnote"/>
        </w:rPr>
        <w:t xml:space="preserve">name of System or Subsystem and number of </w:t>
      </w:r>
      <w:proofErr w:type="gramStart"/>
      <w:r>
        <w:rPr>
          <w:rStyle w:val="preparersnote"/>
        </w:rPr>
        <w:t>Contract</w:t>
      </w:r>
      <w:r>
        <w:rPr>
          <w:rStyle w:val="preparersnote"/>
          <w:b w:val="0"/>
        </w:rPr>
        <w:t> ]</w:t>
      </w:r>
      <w:proofErr w:type="gramEnd"/>
    </w:p>
    <w:p w14:paraId="0B8C8BB1" w14:textId="77777777" w:rsidR="00157AAA" w:rsidRDefault="00157AAA"/>
    <w:p w14:paraId="29D7C85D" w14:textId="77777777" w:rsidR="00157AAA" w:rsidRDefault="006C1BE5">
      <w:pPr>
        <w:tabs>
          <w:tab w:val="left" w:pos="6480"/>
          <w:tab w:val="left" w:pos="9000"/>
        </w:tabs>
      </w:pPr>
      <w:r>
        <w:t>To</w:t>
      </w:r>
      <w:proofErr w:type="gramStart"/>
      <w:r>
        <w:t xml:space="preserve">:  </w:t>
      </w:r>
      <w:r>
        <w:rPr>
          <w:rStyle w:val="preparersnote"/>
          <w:b w:val="0"/>
        </w:rPr>
        <w:t>[</w:t>
      </w:r>
      <w:proofErr w:type="gramEnd"/>
      <w:r>
        <w:rPr>
          <w:rStyle w:val="preparersnote"/>
          <w:b w:val="0"/>
        </w:rPr>
        <w:t xml:space="preserve"> insert:  </w:t>
      </w:r>
      <w:r>
        <w:rPr>
          <w:rStyle w:val="preparersnote"/>
        </w:rPr>
        <w:t>name of Purchaser and address</w:t>
      </w:r>
      <w:r>
        <w:rPr>
          <w:rStyle w:val="preparersnote"/>
          <w:b w:val="0"/>
        </w:rPr>
        <w:t> ]</w:t>
      </w:r>
    </w:p>
    <w:p w14:paraId="562E6110" w14:textId="77777777" w:rsidR="00157AAA" w:rsidRDefault="006C1BE5">
      <w:pPr>
        <w:rPr>
          <w:b/>
        </w:rPr>
      </w:pPr>
      <w:r>
        <w:t xml:space="preserve"> Attention</w:t>
      </w:r>
      <w:proofErr w:type="gramStart"/>
      <w:r>
        <w:t xml:space="preserve">:  </w:t>
      </w:r>
      <w:r>
        <w:rPr>
          <w:rStyle w:val="preparersnote"/>
          <w:b w:val="0"/>
        </w:rPr>
        <w:t>[</w:t>
      </w:r>
      <w:proofErr w:type="gramEnd"/>
      <w:r>
        <w:rPr>
          <w:rStyle w:val="preparersnote"/>
          <w:b w:val="0"/>
        </w:rPr>
        <w:t xml:space="preserve"> insert:  </w:t>
      </w:r>
      <w:r>
        <w:rPr>
          <w:rStyle w:val="preparersnote"/>
        </w:rPr>
        <w:t>name and title ]</w:t>
      </w:r>
    </w:p>
    <w:p w14:paraId="4C4E9561" w14:textId="77777777" w:rsidR="00157AAA" w:rsidRDefault="00157AAA"/>
    <w:p w14:paraId="7DC579A9" w14:textId="77777777" w:rsidR="00157AAA" w:rsidRDefault="006C1BE5">
      <w:r>
        <w:t>Dear Sir or Madam:</w:t>
      </w:r>
    </w:p>
    <w:p w14:paraId="1BD936EB" w14:textId="77777777" w:rsidR="00157AAA" w:rsidRDefault="006C1BE5">
      <w:r>
        <w:t>With reference to your Request for Change Proposal, we are pleased to notify you of the approximate cost of preparing the below-referenced Change in accordance with GCC Clause 39.2.1 of the Contract.  We acknowledge that your agreement to the cost of preparing the Change Proposal, in accordance with GCC Clause 39.2.2, is required before we proceed to prepare the actual Change Proposal including a detailed estimate of the cost of implementing the Change itself.</w:t>
      </w:r>
    </w:p>
    <w:p w14:paraId="771C85D9" w14:textId="77777777" w:rsidR="00157AAA" w:rsidRDefault="00157AAA"/>
    <w:p w14:paraId="1C47C3AE" w14:textId="77777777" w:rsidR="00157AAA" w:rsidRDefault="006C1BE5">
      <w:pPr>
        <w:ind w:left="540" w:hanging="540"/>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title</w:t>
      </w:r>
      <w:r>
        <w:rPr>
          <w:rStyle w:val="preparersnote"/>
          <w:b w:val="0"/>
        </w:rPr>
        <w:t xml:space="preserve"> ]</w:t>
      </w:r>
    </w:p>
    <w:p w14:paraId="082AA8C8" w14:textId="77777777" w:rsidR="00157AAA" w:rsidRDefault="006C1BE5">
      <w:pPr>
        <w:ind w:left="540" w:hanging="540"/>
      </w:pPr>
      <w:r>
        <w:t>2.</w:t>
      </w:r>
      <w:r>
        <w:tab/>
        <w:t>Request for Change No./Rev.</w:t>
      </w:r>
      <w:proofErr w:type="gramStart"/>
      <w:r>
        <w:t xml:space="preserve">:  </w:t>
      </w:r>
      <w:r>
        <w:rPr>
          <w:rStyle w:val="preparersnote"/>
          <w:b w:val="0"/>
        </w:rPr>
        <w:t>[</w:t>
      </w:r>
      <w:proofErr w:type="gramEnd"/>
      <w:r>
        <w:rPr>
          <w:rStyle w:val="preparersnote"/>
          <w:b w:val="0"/>
        </w:rPr>
        <w:t xml:space="preserve"> insert:  </w:t>
      </w:r>
      <w:r>
        <w:rPr>
          <w:rStyle w:val="preparersnote"/>
        </w:rPr>
        <w:t>number</w:t>
      </w:r>
      <w:r>
        <w:rPr>
          <w:rStyle w:val="preparersnote"/>
          <w:b w:val="0"/>
        </w:rPr>
        <w:t> ]</w:t>
      </w:r>
    </w:p>
    <w:p w14:paraId="6799A778" w14:textId="77777777" w:rsidR="00157AAA" w:rsidRDefault="006C1BE5">
      <w:pPr>
        <w:ind w:left="540" w:hanging="540"/>
      </w:pPr>
      <w:r>
        <w:t>3.</w:t>
      </w:r>
      <w:r>
        <w:tab/>
        <w:t>Brief Description of Change (including proposed implementation approach)</w:t>
      </w:r>
      <w:proofErr w:type="gramStart"/>
      <w:r>
        <w:t xml:space="preserve">:  </w:t>
      </w:r>
      <w:r>
        <w:rPr>
          <w:rStyle w:val="preparersnote"/>
          <w:b w:val="0"/>
        </w:rPr>
        <w:t>[</w:t>
      </w:r>
      <w:proofErr w:type="gramEnd"/>
      <w:r>
        <w:rPr>
          <w:rStyle w:val="preparersnote"/>
          <w:b w:val="0"/>
        </w:rPr>
        <w:t> insert:</w:t>
      </w:r>
      <w:r>
        <w:rPr>
          <w:rStyle w:val="preparersnote"/>
        </w:rPr>
        <w:t xml:space="preserve">  description</w:t>
      </w:r>
      <w:r>
        <w:rPr>
          <w:rStyle w:val="preparersnote"/>
          <w:b w:val="0"/>
        </w:rPr>
        <w:t> ]</w:t>
      </w:r>
    </w:p>
    <w:p w14:paraId="0CBA83E2" w14:textId="77777777" w:rsidR="00157AAA" w:rsidRDefault="006C1BE5">
      <w:pPr>
        <w:ind w:left="540" w:hanging="540"/>
      </w:pPr>
      <w:r>
        <w:t>4.</w:t>
      </w:r>
      <w:r>
        <w:tab/>
        <w:t>Schedule Impact of Change (initial estimate)</w:t>
      </w:r>
      <w:proofErr w:type="gramStart"/>
      <w:r>
        <w:t xml:space="preserve">:  </w:t>
      </w:r>
      <w:r>
        <w:rPr>
          <w:rStyle w:val="preparersnote"/>
          <w:b w:val="0"/>
        </w:rPr>
        <w:t>[</w:t>
      </w:r>
      <w:proofErr w:type="gramEnd"/>
      <w:r>
        <w:rPr>
          <w:rStyle w:val="preparersnote"/>
          <w:b w:val="0"/>
        </w:rPr>
        <w:t xml:space="preserve"> insert: </w:t>
      </w:r>
      <w:r>
        <w:rPr>
          <w:rStyle w:val="preparersnote"/>
        </w:rPr>
        <w:t xml:space="preserve"> description</w:t>
      </w:r>
      <w:r>
        <w:rPr>
          <w:rStyle w:val="preparersnote"/>
          <w:b w:val="0"/>
        </w:rPr>
        <w:t xml:space="preserve"> ]</w:t>
      </w:r>
    </w:p>
    <w:p w14:paraId="6A622E0B" w14:textId="77777777" w:rsidR="00157AAA" w:rsidRDefault="006C1BE5">
      <w:pPr>
        <w:ind w:left="540" w:hanging="540"/>
        <w:rPr>
          <w:i/>
        </w:rPr>
      </w:pPr>
      <w:r>
        <w:t>5.</w:t>
      </w:r>
      <w:r>
        <w:tab/>
        <w:t>Initial Cost Estimate for Implementing the Change</w:t>
      </w:r>
      <w:proofErr w:type="gramStart"/>
      <w:r>
        <w:t xml:space="preserve">:  </w:t>
      </w:r>
      <w:r>
        <w:rPr>
          <w:i/>
        </w:rPr>
        <w:t>[</w:t>
      </w:r>
      <w:proofErr w:type="gramEnd"/>
      <w:r>
        <w:rPr>
          <w:i/>
        </w:rPr>
        <w:t xml:space="preserve">insert:  </w:t>
      </w:r>
      <w:r>
        <w:rPr>
          <w:b/>
          <w:i/>
        </w:rPr>
        <w:t>initial cost estimate</w:t>
      </w:r>
      <w:r>
        <w:rPr>
          <w:i/>
        </w:rPr>
        <w:t>]</w:t>
      </w:r>
    </w:p>
    <w:p w14:paraId="538D5DFF" w14:textId="77777777" w:rsidR="00157AAA" w:rsidRDefault="006C1BE5">
      <w:pPr>
        <w:ind w:left="540" w:hanging="540"/>
      </w:pPr>
      <w:r>
        <w:t>6.</w:t>
      </w:r>
      <w:r>
        <w:tab/>
        <w:t>Cost for Preparation of Change Proposal</w:t>
      </w:r>
      <w:proofErr w:type="gramStart"/>
      <w:r>
        <w:t xml:space="preserve">:  </w:t>
      </w:r>
      <w:r>
        <w:rPr>
          <w:rStyle w:val="preparersnote"/>
          <w:b w:val="0"/>
        </w:rPr>
        <w:t>[</w:t>
      </w:r>
      <w:proofErr w:type="gramEnd"/>
      <w:r>
        <w:rPr>
          <w:rStyle w:val="preparersnote"/>
          <w:b w:val="0"/>
        </w:rPr>
        <w:t xml:space="preserve"> insert:  </w:t>
      </w:r>
      <w:r>
        <w:rPr>
          <w:rStyle w:val="preparersnote"/>
        </w:rPr>
        <w:t>cost in the currencies of the Contract</w:t>
      </w:r>
      <w:r>
        <w:rPr>
          <w:rStyle w:val="preparersnote"/>
          <w:b w:val="0"/>
        </w:rPr>
        <w:t> ]</w:t>
      </w:r>
      <w:r>
        <w:rPr>
          <w:rStyle w:val="preparersnote"/>
        </w:rPr>
        <w:t>,</w:t>
      </w:r>
      <w:r>
        <w:t xml:space="preserve"> as detailed below in the breakdown of prices, rates, and quantities.</w:t>
      </w:r>
    </w:p>
    <w:p w14:paraId="715BDF18" w14:textId="77777777" w:rsidR="00157AAA" w:rsidRDefault="00157AAA">
      <w:pPr>
        <w:ind w:left="540" w:hanging="540"/>
      </w:pPr>
    </w:p>
    <w:p w14:paraId="6C8A854A" w14:textId="77777777" w:rsidR="00157AAA" w:rsidRDefault="006C1BE5">
      <w:r>
        <w:t>For and on behalf of the Supplier</w:t>
      </w:r>
    </w:p>
    <w:p w14:paraId="1928658A" w14:textId="77777777" w:rsidR="00157AAA" w:rsidRDefault="00157AAA"/>
    <w:p w14:paraId="3DCC2A23" w14:textId="77777777" w:rsidR="00157AAA" w:rsidRDefault="006C1BE5">
      <w:pPr>
        <w:tabs>
          <w:tab w:val="right" w:pos="900"/>
          <w:tab w:val="left" w:pos="7200"/>
        </w:tabs>
      </w:pPr>
      <w:r>
        <w:t>Signed:</w:t>
      </w:r>
      <w:r>
        <w:tab/>
      </w:r>
      <w:r>
        <w:tab/>
      </w:r>
    </w:p>
    <w:p w14:paraId="5C7953BC" w14:textId="77777777" w:rsidR="00157AAA" w:rsidRDefault="006C1BE5">
      <w:pPr>
        <w:tabs>
          <w:tab w:val="right" w:pos="4320"/>
        </w:tabs>
      </w:pPr>
      <w:r>
        <w:t xml:space="preserve">Date:  </w:t>
      </w:r>
      <w:r>
        <w:tab/>
      </w:r>
    </w:p>
    <w:p w14:paraId="358E3707" w14:textId="77777777" w:rsidR="00157AAA" w:rsidRDefault="006C1BE5">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“Supplier’s Representative”</w:t>
      </w:r>
      <w:r>
        <w:rPr>
          <w:rStyle w:val="preparersnote"/>
          <w:b w:val="0"/>
        </w:rPr>
        <w:t xml:space="preserve"> or specify a other higher level authority in the Supplier’s organization ]</w:t>
      </w:r>
    </w:p>
    <w:p w14:paraId="2BE1D851" w14:textId="77777777" w:rsidR="00157AAA" w:rsidRDefault="00157AAA"/>
    <w:p w14:paraId="12346DED" w14:textId="77777777" w:rsidR="00157AAA" w:rsidRDefault="006C1BE5">
      <w:pPr>
        <w:pStyle w:val="Head82"/>
      </w:pPr>
      <w:r>
        <w:rPr>
          <w:sz w:val="22"/>
        </w:rPr>
        <w:br w:type="page" w:clear="all"/>
      </w:r>
      <w:bookmarkStart w:id="1054" w:name="_Toc73977995"/>
      <w:r>
        <w:lastRenderedPageBreak/>
        <w:t>4.3</w:t>
      </w:r>
      <w:r>
        <w:tab/>
        <w:t>Estimate Acceptance Form</w:t>
      </w:r>
      <w:bookmarkEnd w:id="1054"/>
    </w:p>
    <w:p w14:paraId="0069D00E" w14:textId="77777777" w:rsidR="00157AAA" w:rsidRDefault="006C1BE5">
      <w:pPr>
        <w:jc w:val="center"/>
      </w:pPr>
      <w:r>
        <w:t>(Purchaser’s Letterhead)</w:t>
      </w:r>
    </w:p>
    <w:p w14:paraId="765F49FA" w14:textId="77777777" w:rsidR="00157AAA" w:rsidRDefault="00157AAA"/>
    <w:p w14:paraId="40A5F20F" w14:textId="77777777" w:rsidR="00157AAA" w:rsidRDefault="006C1BE5">
      <w:pPr>
        <w:tabs>
          <w:tab w:val="right" w:pos="3780"/>
          <w:tab w:val="left" w:pos="3960"/>
          <w:tab w:val="left" w:pos="9000"/>
        </w:tabs>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39440370" w14:textId="77777777" w:rsidR="00157AAA" w:rsidRDefault="006C1BE5">
      <w:pPr>
        <w:tabs>
          <w:tab w:val="right" w:pos="3780"/>
          <w:tab w:val="left" w:pos="3960"/>
          <w:tab w:val="left" w:pos="9000"/>
        </w:tabs>
      </w:pPr>
      <w:r>
        <w:tab/>
        <w:t>Loan/Credit Number:</w:t>
      </w:r>
      <w:r>
        <w:tab/>
      </w:r>
      <w:r>
        <w:rPr>
          <w:rStyle w:val="preparersnote"/>
          <w:b w:val="0"/>
        </w:rPr>
        <w:t xml:space="preserve">[ insert: </w:t>
      </w:r>
      <w:r>
        <w:rPr>
          <w:rStyle w:val="preparersnote"/>
        </w:rPr>
        <w:t xml:space="preserve"> loan or credit number from </w:t>
      </w:r>
      <w:proofErr w:type="gramStart"/>
      <w:r>
        <w:rPr>
          <w:rStyle w:val="preparersnote"/>
        </w:rPr>
        <w:t>RFB</w:t>
      </w:r>
      <w:r>
        <w:rPr>
          <w:rStyle w:val="preparersnote"/>
          <w:b w:val="0"/>
        </w:rPr>
        <w:t> ]</w:t>
      </w:r>
      <w:proofErr w:type="gramEnd"/>
    </w:p>
    <w:p w14:paraId="0144BF4D" w14:textId="77777777" w:rsidR="00157AAA" w:rsidRDefault="006C1BE5">
      <w:pPr>
        <w:tabs>
          <w:tab w:val="right" w:pos="3780"/>
          <w:tab w:val="left" w:pos="3960"/>
          <w:tab w:val="left" w:pos="9000"/>
        </w:tabs>
        <w:ind w:left="3960" w:hanging="3960"/>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456B97C2" w14:textId="77777777" w:rsidR="00157AAA" w:rsidRDefault="006C1BE5">
      <w:pPr>
        <w:tabs>
          <w:tab w:val="right" w:pos="3780"/>
          <w:tab w:val="left" w:pos="3960"/>
          <w:tab w:val="left" w:pos="9000"/>
        </w:tabs>
        <w:ind w:left="3960" w:hanging="3960"/>
      </w:pPr>
      <w:r>
        <w:tab/>
        <w:t>Contract:</w:t>
      </w:r>
      <w:r>
        <w:tab/>
      </w:r>
      <w:r>
        <w:rPr>
          <w:rStyle w:val="preparersnote"/>
          <w:b w:val="0"/>
        </w:rPr>
        <w:t xml:space="preserve">[ insert:  </w:t>
      </w:r>
      <w:r>
        <w:rPr>
          <w:rStyle w:val="preparersnote"/>
        </w:rPr>
        <w:t xml:space="preserve">name of System or Subsystem and number of </w:t>
      </w:r>
      <w:proofErr w:type="gramStart"/>
      <w:r>
        <w:rPr>
          <w:rStyle w:val="preparersnote"/>
        </w:rPr>
        <w:t>Contract</w:t>
      </w:r>
      <w:r>
        <w:rPr>
          <w:rStyle w:val="preparersnote"/>
          <w:b w:val="0"/>
        </w:rPr>
        <w:t> ]</w:t>
      </w:r>
      <w:proofErr w:type="gramEnd"/>
    </w:p>
    <w:p w14:paraId="4BA9BC74" w14:textId="77777777" w:rsidR="00157AAA" w:rsidRDefault="00157AAA"/>
    <w:p w14:paraId="49AF7E50" w14:textId="77777777" w:rsidR="00157AAA" w:rsidRDefault="006C1BE5">
      <w:pPr>
        <w:tabs>
          <w:tab w:val="left" w:pos="6480"/>
          <w:tab w:val="left" w:pos="9000"/>
        </w:tabs>
      </w:pPr>
      <w:r>
        <w:t>To</w:t>
      </w:r>
      <w:proofErr w:type="gramStart"/>
      <w:r>
        <w:t xml:space="preserve">:  </w:t>
      </w:r>
      <w:r>
        <w:rPr>
          <w:rStyle w:val="preparersnote"/>
          <w:b w:val="0"/>
        </w:rPr>
        <w:t>[</w:t>
      </w:r>
      <w:proofErr w:type="gramEnd"/>
      <w:r>
        <w:rPr>
          <w:rStyle w:val="preparersnote"/>
          <w:b w:val="0"/>
        </w:rPr>
        <w:t xml:space="preserve"> insert:  </w:t>
      </w:r>
      <w:r>
        <w:rPr>
          <w:rStyle w:val="preparersnote"/>
        </w:rPr>
        <w:t>name of Supplier and address</w:t>
      </w:r>
      <w:r>
        <w:rPr>
          <w:rStyle w:val="preparersnote"/>
          <w:b w:val="0"/>
        </w:rPr>
        <w:t> ]</w:t>
      </w:r>
    </w:p>
    <w:p w14:paraId="6C8DAA89" w14:textId="77777777" w:rsidR="00157AAA" w:rsidRDefault="00157AAA"/>
    <w:p w14:paraId="11D4440E" w14:textId="77777777" w:rsidR="00157AAA" w:rsidRDefault="006C1BE5">
      <w:r>
        <w:t>Attention</w:t>
      </w:r>
      <w:proofErr w:type="gramStart"/>
      <w:r>
        <w:t>:</w:t>
      </w:r>
      <w:r>
        <w:rPr>
          <w:b/>
        </w:rPr>
        <w:t xml:space="preserve">  </w:t>
      </w:r>
      <w:r>
        <w:rPr>
          <w:rStyle w:val="preparersnote"/>
          <w:b w:val="0"/>
        </w:rPr>
        <w:t>[</w:t>
      </w:r>
      <w:proofErr w:type="gramEnd"/>
      <w:r>
        <w:rPr>
          <w:rStyle w:val="preparersnote"/>
          <w:b w:val="0"/>
        </w:rPr>
        <w:t xml:space="preserve"> insert:  </w:t>
      </w:r>
      <w:r>
        <w:rPr>
          <w:rStyle w:val="preparersnote"/>
        </w:rPr>
        <w:t>name and title</w:t>
      </w:r>
      <w:r>
        <w:rPr>
          <w:rStyle w:val="preparersnote"/>
          <w:b w:val="0"/>
        </w:rPr>
        <w:t> ]</w:t>
      </w:r>
    </w:p>
    <w:p w14:paraId="17439159" w14:textId="77777777" w:rsidR="00157AAA" w:rsidRDefault="006C1BE5">
      <w:r>
        <w:t>Dear Sir or Madam:</w:t>
      </w:r>
    </w:p>
    <w:p w14:paraId="162BC905" w14:textId="77777777" w:rsidR="00157AAA" w:rsidRDefault="00157AAA"/>
    <w:p w14:paraId="28CB7572" w14:textId="77777777" w:rsidR="00157AAA" w:rsidRDefault="006C1BE5">
      <w:r>
        <w:t>We hereby accept your Change Estimate and agree that you should proceed with the preparation of a formal Change Proposal.</w:t>
      </w:r>
    </w:p>
    <w:p w14:paraId="20656BD6" w14:textId="77777777" w:rsidR="00157AAA" w:rsidRDefault="006C1BE5">
      <w:pPr>
        <w:ind w:left="540" w:hanging="540"/>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title</w:t>
      </w:r>
      <w:r>
        <w:rPr>
          <w:rStyle w:val="preparersnote"/>
          <w:b w:val="0"/>
        </w:rPr>
        <w:t> ]</w:t>
      </w:r>
    </w:p>
    <w:p w14:paraId="6DE6A6EA" w14:textId="77777777" w:rsidR="00157AAA" w:rsidRDefault="006C1BE5">
      <w:pPr>
        <w:ind w:left="540" w:hanging="540"/>
      </w:pPr>
      <w:r>
        <w:t>2.</w:t>
      </w:r>
      <w:r>
        <w:tab/>
        <w:t>Request for Change No./Rev.</w:t>
      </w:r>
      <w:proofErr w:type="gramStart"/>
      <w:r>
        <w:t xml:space="preserve">:  </w:t>
      </w:r>
      <w:r>
        <w:rPr>
          <w:rStyle w:val="preparersnote"/>
          <w:b w:val="0"/>
        </w:rPr>
        <w:t>[</w:t>
      </w:r>
      <w:proofErr w:type="gramEnd"/>
      <w:r>
        <w:rPr>
          <w:rStyle w:val="preparersnote"/>
          <w:b w:val="0"/>
        </w:rPr>
        <w:t xml:space="preserve"> insert: </w:t>
      </w:r>
      <w:r>
        <w:rPr>
          <w:rStyle w:val="preparersnote"/>
        </w:rPr>
        <w:t xml:space="preserve"> request number / revision</w:t>
      </w:r>
      <w:r>
        <w:rPr>
          <w:rStyle w:val="preparersnote"/>
          <w:b w:val="0"/>
        </w:rPr>
        <w:t> ]</w:t>
      </w:r>
    </w:p>
    <w:p w14:paraId="449E455C" w14:textId="77777777" w:rsidR="00157AAA" w:rsidRDefault="006C1BE5">
      <w:pPr>
        <w:ind w:left="540" w:hanging="540"/>
      </w:pPr>
      <w:r>
        <w:t>3.</w:t>
      </w:r>
      <w:r>
        <w:tab/>
        <w:t>Change Estimate Proposal No./Rev.</w:t>
      </w:r>
      <w:proofErr w:type="gramStart"/>
      <w:r>
        <w:t xml:space="preserve">:  </w:t>
      </w:r>
      <w:r>
        <w:rPr>
          <w:rStyle w:val="preparersnote"/>
          <w:b w:val="0"/>
        </w:rPr>
        <w:t>[</w:t>
      </w:r>
      <w:proofErr w:type="gramEnd"/>
      <w:r>
        <w:rPr>
          <w:rStyle w:val="preparersnote"/>
          <w:b w:val="0"/>
        </w:rPr>
        <w:t xml:space="preserve"> insert: </w:t>
      </w:r>
      <w:r>
        <w:rPr>
          <w:rStyle w:val="preparersnote"/>
        </w:rPr>
        <w:t xml:space="preserve"> proposal number / revision</w:t>
      </w:r>
      <w:r>
        <w:rPr>
          <w:rStyle w:val="preparersnote"/>
          <w:b w:val="0"/>
        </w:rPr>
        <w:t> ]</w:t>
      </w:r>
    </w:p>
    <w:p w14:paraId="06D7B90F" w14:textId="77777777" w:rsidR="00157AAA" w:rsidRDefault="006C1BE5">
      <w:pPr>
        <w:ind w:left="540" w:hanging="540"/>
      </w:pPr>
      <w:r>
        <w:t>4.</w:t>
      </w:r>
      <w:r>
        <w:tab/>
        <w:t>Estimate Acceptance No./Rev.</w:t>
      </w:r>
      <w:proofErr w:type="gramStart"/>
      <w:r>
        <w:t xml:space="preserve">:  </w:t>
      </w:r>
      <w:r>
        <w:rPr>
          <w:rStyle w:val="preparersnote"/>
          <w:b w:val="0"/>
        </w:rPr>
        <w:t>[</w:t>
      </w:r>
      <w:proofErr w:type="gramEnd"/>
      <w:r>
        <w:rPr>
          <w:rStyle w:val="preparersnote"/>
          <w:b w:val="0"/>
        </w:rPr>
        <w:t xml:space="preserve"> insert:  </w:t>
      </w:r>
      <w:r>
        <w:rPr>
          <w:rStyle w:val="preparersnote"/>
        </w:rPr>
        <w:t>estimate number / revision</w:t>
      </w:r>
      <w:r>
        <w:rPr>
          <w:rStyle w:val="preparersnote"/>
          <w:b w:val="0"/>
        </w:rPr>
        <w:t> ]</w:t>
      </w:r>
    </w:p>
    <w:p w14:paraId="1CE337BD" w14:textId="77777777" w:rsidR="00157AAA" w:rsidRDefault="006C1BE5">
      <w:pPr>
        <w:ind w:left="540" w:hanging="540"/>
      </w:pPr>
      <w:r>
        <w:t>5.</w:t>
      </w:r>
      <w:r>
        <w:tab/>
        <w:t>Brief Description of Change</w:t>
      </w:r>
      <w:proofErr w:type="gramStart"/>
      <w:r>
        <w:t xml:space="preserve">:  </w:t>
      </w:r>
      <w:r>
        <w:rPr>
          <w:rStyle w:val="preparersnote"/>
          <w:b w:val="0"/>
        </w:rPr>
        <w:t>[</w:t>
      </w:r>
      <w:proofErr w:type="gramEnd"/>
      <w:r>
        <w:rPr>
          <w:rStyle w:val="preparersnote"/>
          <w:b w:val="0"/>
        </w:rPr>
        <w:t xml:space="preserve"> insert:  </w:t>
      </w:r>
      <w:r>
        <w:rPr>
          <w:rStyle w:val="preparersnote"/>
        </w:rPr>
        <w:t>description </w:t>
      </w:r>
      <w:r>
        <w:rPr>
          <w:rStyle w:val="preparersnote"/>
          <w:b w:val="0"/>
        </w:rPr>
        <w:t>]</w:t>
      </w:r>
    </w:p>
    <w:p w14:paraId="53DE057B" w14:textId="77777777" w:rsidR="00157AAA" w:rsidRDefault="006C1BE5">
      <w:pPr>
        <w:ind w:left="540" w:hanging="540"/>
      </w:pPr>
      <w:r>
        <w:t>6.</w:t>
      </w:r>
      <w:r>
        <w:tab/>
        <w:t>Other Terms and Conditions</w:t>
      </w:r>
      <w:proofErr w:type="gramStart"/>
      <w:r>
        <w:t xml:space="preserve">:  </w:t>
      </w:r>
      <w:r>
        <w:rPr>
          <w:rStyle w:val="preparersnote"/>
          <w:b w:val="0"/>
        </w:rPr>
        <w:t>[</w:t>
      </w:r>
      <w:proofErr w:type="gramEnd"/>
      <w:r>
        <w:rPr>
          <w:rStyle w:val="preparersnote"/>
          <w:b w:val="0"/>
        </w:rPr>
        <w:t xml:space="preserve"> insert:  </w:t>
      </w:r>
      <w:r>
        <w:rPr>
          <w:rStyle w:val="preparersnote"/>
        </w:rPr>
        <w:t xml:space="preserve">other terms and conditions </w:t>
      </w:r>
      <w:r>
        <w:rPr>
          <w:rStyle w:val="preparersnote"/>
          <w:b w:val="0"/>
        </w:rPr>
        <w:t>]</w:t>
      </w:r>
    </w:p>
    <w:p w14:paraId="078525E4" w14:textId="77777777" w:rsidR="00157AAA" w:rsidRDefault="006C1BE5">
      <w:pPr>
        <w:ind w:left="540" w:hanging="540"/>
      </w:pPr>
      <w:r>
        <w:tab/>
      </w:r>
      <w:proofErr w:type="gramStart"/>
      <w:r>
        <w:t>In the event that</w:t>
      </w:r>
      <w:proofErr w:type="gramEnd"/>
      <w:r>
        <w:t xml:space="preserve"> we decide not to order the Change referenced above, you shall be entitled to compensation for the cost of preparing the Change Proposal up to the amount estimated for this purpose in the Change Estimate Proposal, in accordance with GCC Clause 39 of the General Conditions of Contract.</w:t>
      </w:r>
    </w:p>
    <w:p w14:paraId="1A0B4604" w14:textId="77777777" w:rsidR="00157AAA" w:rsidRDefault="00157AAA"/>
    <w:p w14:paraId="3D89C50B" w14:textId="77777777" w:rsidR="00157AAA" w:rsidRDefault="006C1BE5">
      <w:r>
        <w:t>For and on behalf of the Purchaser</w:t>
      </w:r>
    </w:p>
    <w:p w14:paraId="69591CAC" w14:textId="77777777" w:rsidR="00157AAA" w:rsidRDefault="00157AAA"/>
    <w:p w14:paraId="1AADDEFC" w14:textId="77777777" w:rsidR="00157AAA" w:rsidRDefault="006C1BE5">
      <w:pPr>
        <w:tabs>
          <w:tab w:val="right" w:pos="900"/>
          <w:tab w:val="left" w:pos="7200"/>
        </w:tabs>
      </w:pPr>
      <w:r>
        <w:t>Signed:</w:t>
      </w:r>
      <w:r>
        <w:tab/>
      </w:r>
      <w:r>
        <w:tab/>
      </w:r>
    </w:p>
    <w:p w14:paraId="1B501DA0" w14:textId="77777777" w:rsidR="00157AAA" w:rsidRDefault="006C1BE5">
      <w:pPr>
        <w:tabs>
          <w:tab w:val="right" w:pos="4320"/>
        </w:tabs>
      </w:pPr>
      <w:r>
        <w:t xml:space="preserve">Date:  </w:t>
      </w:r>
      <w:r>
        <w:tab/>
      </w:r>
    </w:p>
    <w:p w14:paraId="6B8D3FD1" w14:textId="77777777" w:rsidR="00157AAA" w:rsidRDefault="006C1BE5">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 xml:space="preserve">“Project Manager” </w:t>
      </w:r>
      <w:r>
        <w:rPr>
          <w:rStyle w:val="preparersnote"/>
          <w:b w:val="0"/>
        </w:rPr>
        <w:t>or specify a higher level authority in the Purchaser’s organization  ]</w:t>
      </w:r>
    </w:p>
    <w:p w14:paraId="24D613B6" w14:textId="77777777" w:rsidR="00157AAA" w:rsidRDefault="00157AAA">
      <w:pPr>
        <w:rPr>
          <w:sz w:val="22"/>
        </w:rPr>
      </w:pPr>
    </w:p>
    <w:p w14:paraId="43BEFE6A" w14:textId="77777777" w:rsidR="00157AAA" w:rsidRDefault="006C1BE5">
      <w:pPr>
        <w:pStyle w:val="Head82"/>
        <w:spacing w:before="120"/>
      </w:pPr>
      <w:r>
        <w:rPr>
          <w:sz w:val="22"/>
        </w:rPr>
        <w:br w:type="page" w:clear="all"/>
      </w:r>
      <w:bookmarkStart w:id="1055" w:name="_Toc73977996"/>
      <w:r>
        <w:lastRenderedPageBreak/>
        <w:t>4.4</w:t>
      </w:r>
      <w:r>
        <w:tab/>
        <w:t>Change Proposal Form</w:t>
      </w:r>
      <w:bookmarkEnd w:id="1055"/>
    </w:p>
    <w:p w14:paraId="1133056C" w14:textId="77777777" w:rsidR="00157AAA" w:rsidRDefault="006C1BE5">
      <w:pPr>
        <w:spacing w:before="120"/>
        <w:jc w:val="center"/>
      </w:pPr>
      <w:r>
        <w:t>(Supplier’s Letterhead)</w:t>
      </w:r>
    </w:p>
    <w:p w14:paraId="6D63BCB3" w14:textId="77777777" w:rsidR="00157AAA" w:rsidRDefault="00157AAA">
      <w:pPr>
        <w:spacing w:before="120"/>
      </w:pPr>
    </w:p>
    <w:p w14:paraId="264B0F46" w14:textId="77777777" w:rsidR="00157AAA" w:rsidRDefault="006C1BE5">
      <w:pPr>
        <w:tabs>
          <w:tab w:val="right" w:pos="3780"/>
          <w:tab w:val="left" w:pos="3960"/>
          <w:tab w:val="left" w:pos="9000"/>
        </w:tabs>
        <w:spacing w:before="120"/>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2895A7CE" w14:textId="77777777" w:rsidR="00157AAA" w:rsidRDefault="006C1BE5">
      <w:pPr>
        <w:tabs>
          <w:tab w:val="right" w:pos="3780"/>
          <w:tab w:val="left" w:pos="3960"/>
          <w:tab w:val="left" w:pos="9000"/>
        </w:tabs>
        <w:spacing w:before="120"/>
      </w:pPr>
      <w:r>
        <w:tab/>
        <w:t>Loan/Credit Number:</w:t>
      </w:r>
      <w:r>
        <w:tab/>
      </w:r>
      <w:r>
        <w:rPr>
          <w:rStyle w:val="preparersnote"/>
          <w:b w:val="0"/>
        </w:rPr>
        <w:t xml:space="preserve">[ insert: </w:t>
      </w:r>
      <w:r>
        <w:rPr>
          <w:rStyle w:val="preparersnote"/>
        </w:rPr>
        <w:t xml:space="preserve"> loan or credit number from </w:t>
      </w:r>
      <w:proofErr w:type="gramStart"/>
      <w:r>
        <w:rPr>
          <w:rStyle w:val="preparersnote"/>
        </w:rPr>
        <w:t>RFB</w:t>
      </w:r>
      <w:r>
        <w:rPr>
          <w:rStyle w:val="preparersnote"/>
          <w:b w:val="0"/>
        </w:rPr>
        <w:t> ]</w:t>
      </w:r>
      <w:proofErr w:type="gramEnd"/>
    </w:p>
    <w:p w14:paraId="1053463B" w14:textId="77777777" w:rsidR="00157AAA" w:rsidRDefault="006C1BE5">
      <w:pPr>
        <w:tabs>
          <w:tab w:val="right" w:pos="3780"/>
          <w:tab w:val="left" w:pos="3960"/>
          <w:tab w:val="left" w:pos="9000"/>
        </w:tabs>
        <w:spacing w:before="120"/>
        <w:ind w:left="3960" w:hanging="3960"/>
      </w:pPr>
      <w:r>
        <w:tab/>
        <w:t>RFB:</w:t>
      </w:r>
      <w:r>
        <w:tab/>
      </w:r>
      <w:r>
        <w:rPr>
          <w:rStyle w:val="preparersnote"/>
          <w:b w:val="0"/>
        </w:rPr>
        <w:t xml:space="preserve">[ insert: </w:t>
      </w:r>
      <w:r>
        <w:rPr>
          <w:rStyle w:val="preparersnote"/>
        </w:rPr>
        <w:t xml:space="preserve"> title and number of </w:t>
      </w:r>
      <w:proofErr w:type="gramStart"/>
      <w:r>
        <w:rPr>
          <w:rStyle w:val="preparersnote"/>
        </w:rPr>
        <w:t>RFB</w:t>
      </w:r>
      <w:r>
        <w:rPr>
          <w:rStyle w:val="preparersnote"/>
          <w:b w:val="0"/>
        </w:rPr>
        <w:t> ]</w:t>
      </w:r>
      <w:proofErr w:type="gramEnd"/>
    </w:p>
    <w:p w14:paraId="65BA0858" w14:textId="77777777" w:rsidR="00157AAA" w:rsidRDefault="006C1BE5">
      <w:pPr>
        <w:tabs>
          <w:tab w:val="right" w:pos="3780"/>
          <w:tab w:val="left" w:pos="3960"/>
          <w:tab w:val="left" w:pos="9000"/>
        </w:tabs>
        <w:spacing w:before="120"/>
        <w:ind w:left="3960" w:hanging="3960"/>
      </w:pPr>
      <w:r>
        <w:tab/>
        <w:t>Contract:</w:t>
      </w:r>
      <w:r>
        <w:tab/>
      </w:r>
      <w:r>
        <w:rPr>
          <w:rStyle w:val="preparersnote"/>
          <w:b w:val="0"/>
        </w:rPr>
        <w:t xml:space="preserve">[ insert:  </w:t>
      </w:r>
      <w:r>
        <w:rPr>
          <w:rStyle w:val="preparersnote"/>
        </w:rPr>
        <w:t xml:space="preserve">name of System or Subsystem and number of </w:t>
      </w:r>
      <w:proofErr w:type="gramStart"/>
      <w:r>
        <w:rPr>
          <w:rStyle w:val="preparersnote"/>
        </w:rPr>
        <w:t>Contract </w:t>
      </w:r>
      <w:r>
        <w:rPr>
          <w:rStyle w:val="preparersnote"/>
          <w:b w:val="0"/>
        </w:rPr>
        <w:t>]</w:t>
      </w:r>
      <w:proofErr w:type="gramEnd"/>
    </w:p>
    <w:p w14:paraId="2CDEF9AD" w14:textId="77777777" w:rsidR="00157AAA" w:rsidRDefault="00157AAA">
      <w:pPr>
        <w:spacing w:before="120"/>
      </w:pPr>
    </w:p>
    <w:p w14:paraId="011D364C" w14:textId="77777777" w:rsidR="00157AAA" w:rsidRDefault="006C1BE5">
      <w:pPr>
        <w:tabs>
          <w:tab w:val="left" w:pos="6480"/>
          <w:tab w:val="left" w:pos="9000"/>
        </w:tabs>
        <w:spacing w:before="120"/>
      </w:pPr>
      <w:r>
        <w:t>To</w:t>
      </w:r>
      <w:proofErr w:type="gramStart"/>
      <w:r>
        <w:t xml:space="preserve">:  </w:t>
      </w:r>
      <w:r>
        <w:rPr>
          <w:rStyle w:val="preparersnote"/>
          <w:b w:val="0"/>
        </w:rPr>
        <w:t>[</w:t>
      </w:r>
      <w:proofErr w:type="gramEnd"/>
      <w:r>
        <w:rPr>
          <w:rStyle w:val="preparersnote"/>
          <w:b w:val="0"/>
        </w:rPr>
        <w:t xml:space="preserve"> insert:  </w:t>
      </w:r>
      <w:r>
        <w:rPr>
          <w:rStyle w:val="preparersnote"/>
        </w:rPr>
        <w:t>name of Purchaser and address</w:t>
      </w:r>
      <w:r>
        <w:rPr>
          <w:rStyle w:val="preparersnote"/>
          <w:b w:val="0"/>
        </w:rPr>
        <w:t> ]</w:t>
      </w:r>
    </w:p>
    <w:p w14:paraId="58B8A9EB" w14:textId="77777777" w:rsidR="00157AAA" w:rsidRDefault="006C1BE5">
      <w:pPr>
        <w:spacing w:before="120"/>
      </w:pPr>
      <w:r>
        <w:t xml:space="preserve">Attention: </w:t>
      </w:r>
      <w:r>
        <w:rPr>
          <w:rStyle w:val="preparersnote"/>
          <w:b w:val="0"/>
        </w:rPr>
        <w:t xml:space="preserve">[ insert:  </w:t>
      </w:r>
      <w:r>
        <w:rPr>
          <w:rStyle w:val="preparersnote"/>
        </w:rPr>
        <w:t xml:space="preserve">name and </w:t>
      </w:r>
      <w:proofErr w:type="gramStart"/>
      <w:r>
        <w:rPr>
          <w:rStyle w:val="preparersnote"/>
        </w:rPr>
        <w:t>title</w:t>
      </w:r>
      <w:r>
        <w:rPr>
          <w:rStyle w:val="preparersnote"/>
          <w:b w:val="0"/>
        </w:rPr>
        <w:t> ]</w:t>
      </w:r>
      <w:proofErr w:type="gramEnd"/>
    </w:p>
    <w:p w14:paraId="3F5B91EF" w14:textId="77777777" w:rsidR="00157AAA" w:rsidRDefault="006C1BE5">
      <w:pPr>
        <w:spacing w:before="120"/>
      </w:pPr>
      <w:r>
        <w:t>Dear Sir or Madam:</w:t>
      </w:r>
    </w:p>
    <w:p w14:paraId="36FA62E7" w14:textId="77777777" w:rsidR="00157AAA" w:rsidRDefault="00157AAA">
      <w:pPr>
        <w:spacing w:before="120"/>
      </w:pPr>
    </w:p>
    <w:p w14:paraId="3EB11308" w14:textId="77777777" w:rsidR="00157AAA" w:rsidRDefault="006C1BE5">
      <w:pPr>
        <w:spacing w:before="120"/>
      </w:pPr>
      <w:r>
        <w:t xml:space="preserve">In response to your Request for Change Proposal No. </w:t>
      </w:r>
      <w:r>
        <w:rPr>
          <w:rStyle w:val="preparersnote"/>
          <w:b w:val="0"/>
        </w:rPr>
        <w:t xml:space="preserve">[ insert: </w:t>
      </w:r>
      <w:proofErr w:type="gramStart"/>
      <w:r>
        <w:rPr>
          <w:rStyle w:val="preparersnote"/>
        </w:rPr>
        <w:t>number</w:t>
      </w:r>
      <w:r>
        <w:rPr>
          <w:rStyle w:val="preparersnote"/>
          <w:b w:val="0"/>
        </w:rPr>
        <w:t> ]</w:t>
      </w:r>
      <w:proofErr w:type="gramEnd"/>
      <w:r>
        <w:rPr>
          <w:rStyle w:val="preparersnote"/>
        </w:rPr>
        <w:t>,</w:t>
      </w:r>
      <w:r>
        <w:rPr>
          <w:b/>
        </w:rPr>
        <w:t xml:space="preserve"> </w:t>
      </w:r>
      <w:r>
        <w:t>we hereby submit our proposal as follows:</w:t>
      </w:r>
    </w:p>
    <w:p w14:paraId="2A33EEF4" w14:textId="77777777" w:rsidR="00157AAA" w:rsidRDefault="00157AAA">
      <w:pPr>
        <w:spacing w:before="120"/>
      </w:pPr>
    </w:p>
    <w:p w14:paraId="2562C056" w14:textId="77777777" w:rsidR="00157AAA" w:rsidRDefault="006C1BE5">
      <w:pPr>
        <w:spacing w:before="120"/>
        <w:ind w:left="540" w:hanging="540"/>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name</w:t>
      </w:r>
      <w:r>
        <w:rPr>
          <w:rStyle w:val="preparersnote"/>
          <w:b w:val="0"/>
        </w:rPr>
        <w:t> ]</w:t>
      </w:r>
    </w:p>
    <w:p w14:paraId="587977D6" w14:textId="77777777" w:rsidR="00157AAA" w:rsidRDefault="006C1BE5">
      <w:pPr>
        <w:spacing w:before="120"/>
        <w:ind w:left="540" w:hanging="540"/>
      </w:pPr>
      <w:r>
        <w:t>2.</w:t>
      </w:r>
      <w:r>
        <w:tab/>
        <w:t>Change Proposal No./Rev.</w:t>
      </w:r>
      <w:proofErr w:type="gramStart"/>
      <w:r>
        <w:t xml:space="preserve">:  </w:t>
      </w:r>
      <w:r>
        <w:rPr>
          <w:rStyle w:val="preparersnote"/>
          <w:b w:val="0"/>
        </w:rPr>
        <w:t>[</w:t>
      </w:r>
      <w:proofErr w:type="gramEnd"/>
      <w:r>
        <w:rPr>
          <w:rStyle w:val="preparersnote"/>
          <w:b w:val="0"/>
        </w:rPr>
        <w:t xml:space="preserve"> insert:  </w:t>
      </w:r>
      <w:r>
        <w:rPr>
          <w:rStyle w:val="preparersnote"/>
        </w:rPr>
        <w:t>proposal number/revision</w:t>
      </w:r>
      <w:r>
        <w:rPr>
          <w:rStyle w:val="preparersnote"/>
          <w:b w:val="0"/>
        </w:rPr>
        <w:t> ]</w:t>
      </w:r>
    </w:p>
    <w:p w14:paraId="46F7295A" w14:textId="77777777" w:rsidR="00157AAA" w:rsidRDefault="006C1BE5">
      <w:pPr>
        <w:spacing w:before="120"/>
        <w:ind w:left="540" w:hanging="540"/>
        <w:rPr>
          <w:rStyle w:val="preparersnote"/>
        </w:rPr>
      </w:pPr>
      <w:r>
        <w:t>3.</w:t>
      </w:r>
      <w:r>
        <w:tab/>
        <w:t>Originator of Change</w:t>
      </w:r>
      <w:proofErr w:type="gramStart"/>
      <w:r>
        <w:t xml:space="preserve">:  </w:t>
      </w:r>
      <w:r>
        <w:rPr>
          <w:rStyle w:val="preparersnote"/>
          <w:b w:val="0"/>
        </w:rPr>
        <w:t>[</w:t>
      </w:r>
      <w:proofErr w:type="gramEnd"/>
      <w:r>
        <w:rPr>
          <w:rStyle w:val="preparersnote"/>
          <w:b w:val="0"/>
        </w:rPr>
        <w:t xml:space="preserve"> select: </w:t>
      </w:r>
      <w:r>
        <w:rPr>
          <w:rStyle w:val="preparersnote"/>
        </w:rPr>
        <w:t xml:space="preserve">Purchaser / Supplier; </w:t>
      </w:r>
      <w:r>
        <w:rPr>
          <w:rStyle w:val="preparersnote"/>
          <w:b w:val="0"/>
        </w:rPr>
        <w:t>and add:</w:t>
      </w:r>
      <w:r>
        <w:rPr>
          <w:rStyle w:val="preparersnote"/>
        </w:rPr>
        <w:t xml:space="preserve"> name</w:t>
      </w:r>
      <w:r>
        <w:rPr>
          <w:rStyle w:val="preparersnote"/>
          <w:b w:val="0"/>
        </w:rPr>
        <w:t>]</w:t>
      </w:r>
    </w:p>
    <w:p w14:paraId="12FA4F05" w14:textId="77777777" w:rsidR="00157AAA" w:rsidRDefault="006C1BE5">
      <w:pPr>
        <w:spacing w:before="120"/>
        <w:ind w:left="540" w:hanging="540"/>
      </w:pPr>
      <w:r>
        <w:t>4.</w:t>
      </w:r>
      <w:r>
        <w:tab/>
        <w:t>Brief Description of Change</w:t>
      </w:r>
      <w:proofErr w:type="gramStart"/>
      <w:r>
        <w:t xml:space="preserve">:  </w:t>
      </w:r>
      <w:r>
        <w:rPr>
          <w:rStyle w:val="preparersnote"/>
          <w:b w:val="0"/>
        </w:rPr>
        <w:t>[</w:t>
      </w:r>
      <w:proofErr w:type="gramEnd"/>
      <w:r>
        <w:rPr>
          <w:rStyle w:val="preparersnote"/>
          <w:b w:val="0"/>
        </w:rPr>
        <w:t xml:space="preserve"> insert:  </w:t>
      </w:r>
      <w:r>
        <w:rPr>
          <w:rStyle w:val="preparersnote"/>
        </w:rPr>
        <w:t>description</w:t>
      </w:r>
      <w:r>
        <w:rPr>
          <w:rStyle w:val="preparersnote"/>
          <w:b w:val="0"/>
        </w:rPr>
        <w:t> ]</w:t>
      </w:r>
    </w:p>
    <w:p w14:paraId="27B626D2" w14:textId="77777777" w:rsidR="00157AAA" w:rsidRDefault="006C1BE5">
      <w:pPr>
        <w:spacing w:before="120"/>
        <w:ind w:left="540" w:hanging="540"/>
      </w:pPr>
      <w:r>
        <w:t>5.</w:t>
      </w:r>
      <w:r>
        <w:tab/>
        <w:t>Reasons for Change</w:t>
      </w:r>
      <w:proofErr w:type="gramStart"/>
      <w:r>
        <w:t xml:space="preserve">:  </w:t>
      </w:r>
      <w:r>
        <w:rPr>
          <w:rStyle w:val="preparersnote"/>
          <w:b w:val="0"/>
        </w:rPr>
        <w:t>[</w:t>
      </w:r>
      <w:proofErr w:type="gramEnd"/>
      <w:r>
        <w:rPr>
          <w:rStyle w:val="preparersnote"/>
          <w:b w:val="0"/>
        </w:rPr>
        <w:t xml:space="preserve"> insert:  </w:t>
      </w:r>
      <w:r>
        <w:rPr>
          <w:rStyle w:val="preparersnote"/>
        </w:rPr>
        <w:t>reason</w:t>
      </w:r>
      <w:r>
        <w:rPr>
          <w:rStyle w:val="preparersnote"/>
          <w:b w:val="0"/>
        </w:rPr>
        <w:t> ]</w:t>
      </w:r>
    </w:p>
    <w:p w14:paraId="11FBFC04" w14:textId="77777777" w:rsidR="00157AAA" w:rsidRDefault="006C1BE5">
      <w:pPr>
        <w:spacing w:before="120"/>
        <w:ind w:left="540" w:hanging="540"/>
      </w:pPr>
      <w:r>
        <w:t>6.</w:t>
      </w:r>
      <w:r>
        <w:tab/>
        <w:t>The System Subsystem, major component, or equipment that will be affected by the requested Change</w:t>
      </w:r>
      <w:proofErr w:type="gramStart"/>
      <w:r>
        <w:t xml:space="preserve">:  </w:t>
      </w:r>
      <w:r>
        <w:rPr>
          <w:rStyle w:val="preparersnote"/>
          <w:b w:val="0"/>
        </w:rPr>
        <w:t>[</w:t>
      </w:r>
      <w:proofErr w:type="gramEnd"/>
      <w:r>
        <w:rPr>
          <w:rStyle w:val="preparersnote"/>
          <w:b w:val="0"/>
        </w:rPr>
        <w:t xml:space="preserve"> insert:  </w:t>
      </w:r>
      <w:r>
        <w:rPr>
          <w:rStyle w:val="preparersnote"/>
        </w:rPr>
        <w:t>description</w:t>
      </w:r>
      <w:r>
        <w:rPr>
          <w:rStyle w:val="preparersnote"/>
          <w:b w:val="0"/>
        </w:rPr>
        <w:t> ]</w:t>
      </w:r>
    </w:p>
    <w:p w14:paraId="0AFFE200" w14:textId="77777777" w:rsidR="00157AAA" w:rsidRDefault="006C1BE5">
      <w:pPr>
        <w:spacing w:before="120"/>
        <w:ind w:left="540" w:hanging="540"/>
      </w:pPr>
      <w:r>
        <w:t>7.</w:t>
      </w:r>
      <w:r>
        <w:tab/>
        <w:t>Technical documents and/or drawings for the requested Change:</w:t>
      </w:r>
    </w:p>
    <w:p w14:paraId="158DC47D" w14:textId="77777777" w:rsidR="00157AAA" w:rsidRDefault="006C1BE5">
      <w:pPr>
        <w:tabs>
          <w:tab w:val="left" w:pos="3960"/>
        </w:tabs>
        <w:spacing w:before="120"/>
        <w:ind w:left="540"/>
      </w:pPr>
      <w:r>
        <w:t>Document or Drawing No.</w:t>
      </w:r>
      <w:r>
        <w:tab/>
        <w:t>Description</w:t>
      </w:r>
    </w:p>
    <w:p w14:paraId="7AB7A282" w14:textId="77777777" w:rsidR="00157AAA" w:rsidRDefault="006C1BE5">
      <w:pPr>
        <w:spacing w:before="120"/>
        <w:ind w:left="540" w:hanging="540"/>
      </w:pPr>
      <w:r>
        <w:t>8.</w:t>
      </w:r>
      <w:r>
        <w:tab/>
        <w:t>Estimate of the increase/decrease to the Contract Price resulting from the proposed Change</w:t>
      </w:r>
      <w:proofErr w:type="gramStart"/>
      <w:r>
        <w:t xml:space="preserve">:  </w:t>
      </w:r>
      <w:r>
        <w:rPr>
          <w:rStyle w:val="preparersnote"/>
          <w:b w:val="0"/>
        </w:rPr>
        <w:t>[</w:t>
      </w:r>
      <w:proofErr w:type="gramEnd"/>
      <w:r>
        <w:rPr>
          <w:rStyle w:val="preparersnote"/>
          <w:b w:val="0"/>
        </w:rPr>
        <w:t xml:space="preserve"> insert:  </w:t>
      </w:r>
      <w:r>
        <w:rPr>
          <w:rStyle w:val="preparersnote"/>
        </w:rPr>
        <w:t>amount in currencies of Contract</w:t>
      </w:r>
      <w:r>
        <w:rPr>
          <w:rStyle w:val="preparersnote"/>
          <w:b w:val="0"/>
        </w:rPr>
        <w:t> ]</w:t>
      </w:r>
      <w:r>
        <w:rPr>
          <w:rStyle w:val="preparersnote"/>
        </w:rPr>
        <w:t>,</w:t>
      </w:r>
      <w:r>
        <w:t xml:space="preserve"> as detailed below in the breakdown of prices, rates, and quantities.</w:t>
      </w:r>
    </w:p>
    <w:p w14:paraId="71E250C8" w14:textId="77777777" w:rsidR="00157AAA" w:rsidRDefault="006C1BE5">
      <w:pPr>
        <w:tabs>
          <w:tab w:val="left" w:pos="6480"/>
          <w:tab w:val="left" w:pos="8640"/>
        </w:tabs>
        <w:spacing w:before="120"/>
        <w:ind w:left="1080" w:hanging="540"/>
      </w:pPr>
      <w:r>
        <w:t>Total lump sum cost of the Change:</w:t>
      </w:r>
    </w:p>
    <w:p w14:paraId="1241F6BB" w14:textId="77777777" w:rsidR="00157AAA" w:rsidRDefault="006C1BE5">
      <w:pPr>
        <w:tabs>
          <w:tab w:val="left" w:pos="6480"/>
          <w:tab w:val="left" w:pos="8640"/>
        </w:tabs>
        <w:spacing w:before="120"/>
        <w:ind w:left="547"/>
      </w:pPr>
      <w:r>
        <w:t>Cost to prepare this Change Proposal (i.e., the amount payable if the Change is not accepted, limited as provided by GCC Clause 39.2.6):</w:t>
      </w:r>
    </w:p>
    <w:p w14:paraId="07A310F8" w14:textId="77777777" w:rsidR="00157AAA" w:rsidRDefault="006C1BE5">
      <w:pPr>
        <w:spacing w:before="120"/>
        <w:ind w:left="540" w:hanging="540"/>
      </w:pPr>
      <w:r>
        <w:t>9.</w:t>
      </w:r>
      <w:r>
        <w:tab/>
        <w:t>Additional Time for Achieving Operational Acceptance required due to the Change</w:t>
      </w:r>
      <w:proofErr w:type="gramStart"/>
      <w:r>
        <w:t xml:space="preserve">:  </w:t>
      </w:r>
      <w:r>
        <w:rPr>
          <w:rStyle w:val="preparersnote"/>
          <w:b w:val="0"/>
        </w:rPr>
        <w:t>[</w:t>
      </w:r>
      <w:proofErr w:type="gramEnd"/>
      <w:r>
        <w:rPr>
          <w:rStyle w:val="preparersnote"/>
          <w:b w:val="0"/>
        </w:rPr>
        <w:t xml:space="preserve"> insert:  </w:t>
      </w:r>
      <w:r>
        <w:rPr>
          <w:rStyle w:val="preparersnote"/>
        </w:rPr>
        <w:t>amount in days / weeks</w:t>
      </w:r>
      <w:r>
        <w:rPr>
          <w:rStyle w:val="preparersnote"/>
          <w:b w:val="0"/>
        </w:rPr>
        <w:t> ]</w:t>
      </w:r>
    </w:p>
    <w:p w14:paraId="15CEB3F1" w14:textId="77777777" w:rsidR="00157AAA" w:rsidRDefault="00157AAA">
      <w:pPr>
        <w:spacing w:before="120"/>
        <w:ind w:left="540" w:hanging="540"/>
      </w:pPr>
    </w:p>
    <w:p w14:paraId="35D9E0B8" w14:textId="77777777" w:rsidR="00157AAA" w:rsidRDefault="006C1BE5">
      <w:pPr>
        <w:spacing w:before="120"/>
        <w:ind w:left="540" w:hanging="540"/>
      </w:pPr>
      <w:r>
        <w:lastRenderedPageBreak/>
        <w:t>10.</w:t>
      </w:r>
      <w:r>
        <w:tab/>
        <w:t>Effect on the Functional Guarantees</w:t>
      </w:r>
      <w:proofErr w:type="gramStart"/>
      <w:r>
        <w:t xml:space="preserve">:  </w:t>
      </w:r>
      <w:r>
        <w:rPr>
          <w:rStyle w:val="preparersnote"/>
          <w:b w:val="0"/>
        </w:rPr>
        <w:t>[</w:t>
      </w:r>
      <w:proofErr w:type="gramEnd"/>
      <w:r>
        <w:rPr>
          <w:rStyle w:val="preparersnote"/>
          <w:b w:val="0"/>
        </w:rPr>
        <w:t xml:space="preserve"> insert: </w:t>
      </w:r>
      <w:r>
        <w:rPr>
          <w:rStyle w:val="preparersnote"/>
        </w:rPr>
        <w:t xml:space="preserve"> description</w:t>
      </w:r>
      <w:r>
        <w:rPr>
          <w:rStyle w:val="preparersnote"/>
          <w:b w:val="0"/>
        </w:rPr>
        <w:t> ]</w:t>
      </w:r>
    </w:p>
    <w:p w14:paraId="028EC738" w14:textId="77777777" w:rsidR="00157AAA" w:rsidRDefault="006C1BE5">
      <w:pPr>
        <w:spacing w:before="120"/>
        <w:ind w:left="540" w:hanging="540"/>
      </w:pPr>
      <w:r>
        <w:t>11.</w:t>
      </w:r>
      <w:r>
        <w:tab/>
        <w:t xml:space="preserve">Effect on the other terms and conditions of the Contract: </w:t>
      </w:r>
      <w:r>
        <w:rPr>
          <w:rStyle w:val="preparersnote"/>
          <w:b w:val="0"/>
        </w:rPr>
        <w:t xml:space="preserve">[ insert:  </w:t>
      </w:r>
      <w:proofErr w:type="gramStart"/>
      <w:r>
        <w:rPr>
          <w:rStyle w:val="preparersnote"/>
        </w:rPr>
        <w:t>description</w:t>
      </w:r>
      <w:r>
        <w:rPr>
          <w:rStyle w:val="preparersnote"/>
          <w:b w:val="0"/>
        </w:rPr>
        <w:t> ]</w:t>
      </w:r>
      <w:proofErr w:type="gramEnd"/>
    </w:p>
    <w:p w14:paraId="3A7D50B0" w14:textId="77777777" w:rsidR="00157AAA" w:rsidRDefault="006C1BE5">
      <w:pPr>
        <w:spacing w:before="120"/>
        <w:ind w:left="540" w:hanging="540"/>
      </w:pPr>
      <w:r>
        <w:t>12.</w:t>
      </w:r>
      <w:r>
        <w:tab/>
        <w:t xml:space="preserve">Validity of this Proposal:  for a period </w:t>
      </w:r>
      <w:proofErr w:type="gramStart"/>
      <w:r>
        <w:t xml:space="preserve">of  </w:t>
      </w:r>
      <w:r>
        <w:rPr>
          <w:rStyle w:val="preparersnote"/>
          <w:b w:val="0"/>
        </w:rPr>
        <w:t>[</w:t>
      </w:r>
      <w:proofErr w:type="gramEnd"/>
      <w:r>
        <w:rPr>
          <w:rStyle w:val="preparersnote"/>
          <w:b w:val="0"/>
        </w:rPr>
        <w:t> insert:</w:t>
      </w:r>
      <w:r>
        <w:rPr>
          <w:rStyle w:val="preparersnote"/>
        </w:rPr>
        <w:t xml:space="preserve">  number</w:t>
      </w:r>
      <w:r>
        <w:rPr>
          <w:rStyle w:val="preparersnote"/>
          <w:b w:val="0"/>
        </w:rPr>
        <w:t> ]</w:t>
      </w:r>
      <w:r>
        <w:t xml:space="preserve"> days after receipt of this Proposal by the Purchaser</w:t>
      </w:r>
    </w:p>
    <w:p w14:paraId="748D4342" w14:textId="77777777" w:rsidR="00157AAA" w:rsidRDefault="006C1BE5">
      <w:pPr>
        <w:spacing w:before="120"/>
        <w:ind w:left="540" w:hanging="540"/>
      </w:pPr>
      <w:r>
        <w:t>13.</w:t>
      </w:r>
      <w:r>
        <w:tab/>
        <w:t>Procedures to be followed:</w:t>
      </w:r>
    </w:p>
    <w:p w14:paraId="6A5A2B38" w14:textId="77777777" w:rsidR="00157AAA" w:rsidRDefault="006C1BE5">
      <w:pPr>
        <w:spacing w:before="120"/>
        <w:ind w:left="1080" w:hanging="540"/>
      </w:pPr>
      <w:r>
        <w:t>(a)</w:t>
      </w:r>
      <w:r>
        <w:tab/>
        <w:t xml:space="preserve">You are requested to notify us of your acceptance, comments, or rejection of this detailed Change Proposal within </w:t>
      </w:r>
      <w:r>
        <w:rPr>
          <w:rStyle w:val="preparersnote"/>
          <w:b w:val="0"/>
        </w:rPr>
        <w:t xml:space="preserve">[ insert:  </w:t>
      </w:r>
      <w:proofErr w:type="gramStart"/>
      <w:r>
        <w:rPr>
          <w:rStyle w:val="preparersnote"/>
        </w:rPr>
        <w:t>number</w:t>
      </w:r>
      <w:r>
        <w:rPr>
          <w:rStyle w:val="preparersnote"/>
          <w:b w:val="0"/>
        </w:rPr>
        <w:t xml:space="preserve"> ]</w:t>
      </w:r>
      <w:proofErr w:type="gramEnd"/>
      <w:r>
        <w:t xml:space="preserve"> days from your receipt of this Proposal.</w:t>
      </w:r>
    </w:p>
    <w:p w14:paraId="2038E115" w14:textId="77777777" w:rsidR="00157AAA" w:rsidRDefault="006C1BE5">
      <w:pPr>
        <w:spacing w:before="120"/>
        <w:ind w:left="1080" w:hanging="540"/>
      </w:pPr>
      <w:r>
        <w:t>(b)</w:t>
      </w:r>
      <w:r>
        <w:tab/>
        <w:t xml:space="preserve">The amount of any increase and/or decrease shall be </w:t>
      </w:r>
      <w:proofErr w:type="gramStart"/>
      <w:r>
        <w:t>taken into account</w:t>
      </w:r>
      <w:proofErr w:type="gramEnd"/>
      <w:r>
        <w:t xml:space="preserve"> in the adjustment of the Contract Price.</w:t>
      </w:r>
    </w:p>
    <w:p w14:paraId="411F9F05" w14:textId="77777777" w:rsidR="00157AAA" w:rsidRDefault="00157AAA">
      <w:pPr>
        <w:spacing w:before="120"/>
      </w:pPr>
    </w:p>
    <w:p w14:paraId="75246C16" w14:textId="77777777" w:rsidR="00157AAA" w:rsidRDefault="006C1BE5">
      <w:pPr>
        <w:spacing w:before="120"/>
      </w:pPr>
      <w:r>
        <w:t>For and on behalf of the Supplier</w:t>
      </w:r>
    </w:p>
    <w:p w14:paraId="11539011" w14:textId="77777777" w:rsidR="00157AAA" w:rsidRDefault="00157AAA">
      <w:pPr>
        <w:spacing w:before="120"/>
      </w:pPr>
    </w:p>
    <w:p w14:paraId="4DCA8A42" w14:textId="77777777" w:rsidR="00157AAA" w:rsidRDefault="006C1BE5">
      <w:pPr>
        <w:tabs>
          <w:tab w:val="right" w:pos="900"/>
          <w:tab w:val="left" w:pos="7200"/>
        </w:tabs>
        <w:spacing w:before="120"/>
      </w:pPr>
      <w:r>
        <w:t>Signed:</w:t>
      </w:r>
      <w:r>
        <w:tab/>
      </w:r>
      <w:r>
        <w:tab/>
      </w:r>
    </w:p>
    <w:p w14:paraId="6E26D4A6" w14:textId="77777777" w:rsidR="00157AAA" w:rsidRDefault="006C1BE5">
      <w:pPr>
        <w:tabs>
          <w:tab w:val="right" w:pos="4320"/>
        </w:tabs>
        <w:spacing w:before="120"/>
      </w:pPr>
      <w:r>
        <w:t xml:space="preserve">Date:  </w:t>
      </w:r>
      <w:r>
        <w:tab/>
      </w:r>
    </w:p>
    <w:p w14:paraId="62B8D9DE" w14:textId="77777777" w:rsidR="00157AAA" w:rsidRDefault="006C1BE5">
      <w:pPr>
        <w:spacing w:before="120"/>
      </w:pPr>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“Supplier’s Representative”</w:t>
      </w:r>
      <w:r>
        <w:rPr>
          <w:rStyle w:val="preparersnote"/>
          <w:b w:val="0"/>
        </w:rPr>
        <w:t xml:space="preserve"> or specify a other higher level authority in the Supplier’s organization </w:t>
      </w:r>
      <w:r>
        <w:rPr>
          <w:rStyle w:val="preparersnote"/>
        </w:rPr>
        <w:t>]</w:t>
      </w:r>
    </w:p>
    <w:p w14:paraId="688AF356" w14:textId="77777777" w:rsidR="00157AAA" w:rsidRDefault="006C1BE5">
      <w:pPr>
        <w:pStyle w:val="Head82"/>
        <w:spacing w:before="120"/>
      </w:pPr>
      <w:r>
        <w:rPr>
          <w:sz w:val="22"/>
        </w:rPr>
        <w:br w:type="page" w:clear="all"/>
      </w:r>
      <w:bookmarkStart w:id="1056" w:name="_Toc73977997"/>
      <w:r>
        <w:lastRenderedPageBreak/>
        <w:t>4.5</w:t>
      </w:r>
      <w:r>
        <w:tab/>
        <w:t>Change Order Form</w:t>
      </w:r>
      <w:bookmarkEnd w:id="1056"/>
    </w:p>
    <w:p w14:paraId="35A61457" w14:textId="77777777" w:rsidR="00157AAA" w:rsidRDefault="006C1BE5">
      <w:pPr>
        <w:spacing w:before="120"/>
        <w:jc w:val="center"/>
      </w:pPr>
      <w:r>
        <w:t>(Purchaser’s Letterhead)</w:t>
      </w:r>
    </w:p>
    <w:p w14:paraId="3F672F3D" w14:textId="77777777" w:rsidR="00157AAA" w:rsidRDefault="00157AAA">
      <w:pPr>
        <w:spacing w:before="120"/>
      </w:pPr>
    </w:p>
    <w:p w14:paraId="748C04A2" w14:textId="77777777" w:rsidR="00157AAA" w:rsidRDefault="006C1BE5">
      <w:pPr>
        <w:tabs>
          <w:tab w:val="right" w:pos="3780"/>
          <w:tab w:val="left" w:pos="3960"/>
          <w:tab w:val="left" w:pos="9000"/>
        </w:tabs>
        <w:spacing w:before="120"/>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3A9AB403" w14:textId="77777777" w:rsidR="00157AAA" w:rsidRDefault="006C1BE5">
      <w:pPr>
        <w:tabs>
          <w:tab w:val="right" w:pos="3780"/>
          <w:tab w:val="left" w:pos="3960"/>
          <w:tab w:val="left" w:pos="9000"/>
        </w:tabs>
        <w:spacing w:before="120"/>
      </w:pPr>
      <w:r>
        <w:tab/>
        <w:t>Loan/Credit Number:</w:t>
      </w:r>
      <w:r>
        <w:tab/>
      </w:r>
      <w:r>
        <w:rPr>
          <w:rStyle w:val="preparersnote"/>
          <w:b w:val="0"/>
        </w:rPr>
        <w:t xml:space="preserve">[ insert:  </w:t>
      </w:r>
      <w:r>
        <w:rPr>
          <w:rStyle w:val="preparersnote"/>
        </w:rPr>
        <w:t xml:space="preserve">loan or credit number from </w:t>
      </w:r>
      <w:proofErr w:type="gramStart"/>
      <w:r>
        <w:rPr>
          <w:rStyle w:val="preparersnote"/>
        </w:rPr>
        <w:t>RFB</w:t>
      </w:r>
      <w:r>
        <w:rPr>
          <w:rStyle w:val="preparersnote"/>
          <w:b w:val="0"/>
        </w:rPr>
        <w:t> ]</w:t>
      </w:r>
      <w:proofErr w:type="gramEnd"/>
    </w:p>
    <w:p w14:paraId="5BF8A5FD" w14:textId="77777777" w:rsidR="00157AAA" w:rsidRDefault="006C1BE5">
      <w:pPr>
        <w:tabs>
          <w:tab w:val="right" w:pos="3780"/>
          <w:tab w:val="left" w:pos="3960"/>
          <w:tab w:val="left" w:pos="9000"/>
        </w:tabs>
        <w:spacing w:before="120"/>
        <w:ind w:left="3960" w:hanging="3960"/>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6D04BF03" w14:textId="77777777" w:rsidR="00157AAA" w:rsidRDefault="006C1BE5">
      <w:pPr>
        <w:tabs>
          <w:tab w:val="right" w:pos="3780"/>
          <w:tab w:val="left" w:pos="3960"/>
          <w:tab w:val="left" w:pos="9000"/>
        </w:tabs>
        <w:spacing w:before="120"/>
        <w:ind w:left="3960" w:hanging="3960"/>
      </w:pPr>
      <w:r>
        <w:tab/>
        <w:t>Contract:</w:t>
      </w:r>
      <w:r>
        <w:tab/>
      </w:r>
      <w:r>
        <w:rPr>
          <w:rStyle w:val="preparersnote"/>
          <w:b w:val="0"/>
        </w:rPr>
        <w:t xml:space="preserve">[ insert:  </w:t>
      </w:r>
      <w:r>
        <w:rPr>
          <w:rStyle w:val="preparersnote"/>
        </w:rPr>
        <w:t xml:space="preserve">name of System or Subsystem and number of </w:t>
      </w:r>
      <w:proofErr w:type="gramStart"/>
      <w:r>
        <w:rPr>
          <w:rStyle w:val="preparersnote"/>
        </w:rPr>
        <w:t>Contract</w:t>
      </w:r>
      <w:r>
        <w:rPr>
          <w:rStyle w:val="preparersnote"/>
          <w:b w:val="0"/>
        </w:rPr>
        <w:t> ]</w:t>
      </w:r>
      <w:proofErr w:type="gramEnd"/>
    </w:p>
    <w:p w14:paraId="6A20C9B4" w14:textId="77777777" w:rsidR="00157AAA" w:rsidRDefault="00157AAA">
      <w:pPr>
        <w:spacing w:before="120"/>
      </w:pPr>
    </w:p>
    <w:p w14:paraId="06E6E2B9" w14:textId="77777777" w:rsidR="00157AAA" w:rsidRDefault="006C1BE5">
      <w:pPr>
        <w:tabs>
          <w:tab w:val="left" w:pos="6480"/>
          <w:tab w:val="left" w:pos="9000"/>
        </w:tabs>
        <w:spacing w:before="120"/>
      </w:pPr>
      <w:r>
        <w:t>To</w:t>
      </w:r>
      <w:proofErr w:type="gramStart"/>
      <w:r>
        <w:t xml:space="preserve">:  </w:t>
      </w:r>
      <w:r>
        <w:rPr>
          <w:rStyle w:val="preparersnote"/>
          <w:b w:val="0"/>
        </w:rPr>
        <w:t>[</w:t>
      </w:r>
      <w:proofErr w:type="gramEnd"/>
      <w:r>
        <w:rPr>
          <w:rStyle w:val="preparersnote"/>
          <w:b w:val="0"/>
        </w:rPr>
        <w:t> insert:</w:t>
      </w:r>
      <w:r>
        <w:rPr>
          <w:rStyle w:val="preparersnote"/>
        </w:rPr>
        <w:t xml:space="preserve">  name of Supplier and address</w:t>
      </w:r>
      <w:r>
        <w:rPr>
          <w:rStyle w:val="preparersnote"/>
          <w:b w:val="0"/>
        </w:rPr>
        <w:t> ]</w:t>
      </w:r>
    </w:p>
    <w:p w14:paraId="62948EFF" w14:textId="77777777" w:rsidR="00157AAA" w:rsidRDefault="006C1BE5">
      <w:pPr>
        <w:spacing w:before="120"/>
      </w:pPr>
      <w:r>
        <w:t xml:space="preserve">Attention: </w:t>
      </w:r>
      <w:r>
        <w:rPr>
          <w:rStyle w:val="preparersnote"/>
          <w:b w:val="0"/>
        </w:rPr>
        <w:t xml:space="preserve">[ insert:  </w:t>
      </w:r>
      <w:r>
        <w:rPr>
          <w:rStyle w:val="preparersnote"/>
        </w:rPr>
        <w:t xml:space="preserve">name and </w:t>
      </w:r>
      <w:proofErr w:type="gramStart"/>
      <w:r>
        <w:rPr>
          <w:rStyle w:val="preparersnote"/>
        </w:rPr>
        <w:t>title</w:t>
      </w:r>
      <w:r>
        <w:rPr>
          <w:rStyle w:val="preparersnote"/>
          <w:b w:val="0"/>
        </w:rPr>
        <w:t> ]</w:t>
      </w:r>
      <w:proofErr w:type="gramEnd"/>
    </w:p>
    <w:p w14:paraId="783ECAE3" w14:textId="77777777" w:rsidR="00157AAA" w:rsidRDefault="006C1BE5">
      <w:pPr>
        <w:spacing w:before="120"/>
      </w:pPr>
      <w:r>
        <w:t>Dear Sir or Madam:</w:t>
      </w:r>
    </w:p>
    <w:p w14:paraId="1BFA6924" w14:textId="77777777" w:rsidR="00157AAA" w:rsidRDefault="00157AAA">
      <w:pPr>
        <w:spacing w:before="120"/>
      </w:pPr>
    </w:p>
    <w:p w14:paraId="70A05B86" w14:textId="77777777" w:rsidR="00157AAA" w:rsidRDefault="006C1BE5">
      <w:pPr>
        <w:tabs>
          <w:tab w:val="left" w:pos="547"/>
          <w:tab w:val="left" w:pos="8460"/>
        </w:tabs>
        <w:spacing w:before="120"/>
      </w:pPr>
      <w:r>
        <w:tab/>
        <w:t xml:space="preserve">We hereby approve the Change Order for the work specified in Change Proposal No. </w:t>
      </w:r>
      <w:r>
        <w:rPr>
          <w:rStyle w:val="preparersnote"/>
          <w:b w:val="0"/>
        </w:rPr>
        <w:t xml:space="preserve">[ insert:  </w:t>
      </w:r>
      <w:proofErr w:type="gramStart"/>
      <w:r>
        <w:rPr>
          <w:rStyle w:val="preparersnote"/>
        </w:rPr>
        <w:t>number</w:t>
      </w:r>
      <w:r>
        <w:t> </w:t>
      </w:r>
      <w:r>
        <w:rPr>
          <w:rStyle w:val="preparersnote"/>
          <w:b w:val="0"/>
        </w:rPr>
        <w:t>]</w:t>
      </w:r>
      <w:proofErr w:type="gramEnd"/>
      <w:r>
        <w:t>, and agree to adjust the Contract Price, Time for Completion, and/or other conditions of the Contract in accordance with GCC Clause 39 of the Contract.</w:t>
      </w:r>
    </w:p>
    <w:p w14:paraId="52E40E87" w14:textId="77777777" w:rsidR="00157AAA" w:rsidRDefault="00157AAA">
      <w:pPr>
        <w:spacing w:before="120"/>
      </w:pPr>
    </w:p>
    <w:p w14:paraId="120E2BC9" w14:textId="77777777" w:rsidR="00157AAA" w:rsidRDefault="006C1BE5">
      <w:pPr>
        <w:spacing w:before="120"/>
        <w:ind w:left="547" w:hanging="540"/>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name</w:t>
      </w:r>
      <w:r>
        <w:rPr>
          <w:rStyle w:val="preparersnote"/>
          <w:b w:val="0"/>
        </w:rPr>
        <w:t> ]</w:t>
      </w:r>
    </w:p>
    <w:p w14:paraId="44B27039" w14:textId="77777777" w:rsidR="00157AAA" w:rsidRDefault="006C1BE5">
      <w:pPr>
        <w:spacing w:before="120"/>
        <w:ind w:left="547" w:hanging="540"/>
      </w:pPr>
      <w:r>
        <w:t>2.</w:t>
      </w:r>
      <w:r>
        <w:tab/>
        <w:t>Request for Change No./Rev.</w:t>
      </w:r>
      <w:proofErr w:type="gramStart"/>
      <w:r>
        <w:t xml:space="preserve">:  </w:t>
      </w:r>
      <w:r>
        <w:rPr>
          <w:rStyle w:val="preparersnote"/>
          <w:b w:val="0"/>
        </w:rPr>
        <w:t>[</w:t>
      </w:r>
      <w:proofErr w:type="gramEnd"/>
      <w:r>
        <w:rPr>
          <w:rStyle w:val="preparersnote"/>
          <w:b w:val="0"/>
        </w:rPr>
        <w:t xml:space="preserve"> insert: </w:t>
      </w:r>
      <w:r>
        <w:rPr>
          <w:rStyle w:val="preparersnote"/>
        </w:rPr>
        <w:t xml:space="preserve"> request number / revision</w:t>
      </w:r>
      <w:r>
        <w:rPr>
          <w:rStyle w:val="preparersnote"/>
          <w:b w:val="0"/>
        </w:rPr>
        <w:t> ]</w:t>
      </w:r>
    </w:p>
    <w:p w14:paraId="0C880903" w14:textId="77777777" w:rsidR="00157AAA" w:rsidRDefault="006C1BE5">
      <w:pPr>
        <w:spacing w:before="120"/>
        <w:ind w:left="547" w:hanging="540"/>
      </w:pPr>
      <w:r>
        <w:t>3.</w:t>
      </w:r>
      <w:r>
        <w:tab/>
        <w:t>Change Order No./Rev.</w:t>
      </w:r>
      <w:proofErr w:type="gramStart"/>
      <w:r>
        <w:t xml:space="preserve">:  </w:t>
      </w:r>
      <w:r>
        <w:rPr>
          <w:rStyle w:val="preparersnote"/>
          <w:b w:val="0"/>
        </w:rPr>
        <w:t>[</w:t>
      </w:r>
      <w:proofErr w:type="gramEnd"/>
      <w:r>
        <w:rPr>
          <w:rStyle w:val="preparersnote"/>
          <w:b w:val="0"/>
        </w:rPr>
        <w:t xml:space="preserve"> insert: </w:t>
      </w:r>
      <w:r>
        <w:rPr>
          <w:rStyle w:val="preparersnote"/>
        </w:rPr>
        <w:t xml:space="preserve"> order number / revision</w:t>
      </w:r>
      <w:r>
        <w:rPr>
          <w:rStyle w:val="preparersnote"/>
          <w:b w:val="0"/>
        </w:rPr>
        <w:t> ]</w:t>
      </w:r>
    </w:p>
    <w:p w14:paraId="59CE6472" w14:textId="77777777" w:rsidR="00157AAA" w:rsidRDefault="006C1BE5">
      <w:pPr>
        <w:spacing w:before="120"/>
        <w:ind w:left="547" w:hanging="540"/>
      </w:pPr>
      <w:r>
        <w:t>4.</w:t>
      </w:r>
      <w:r>
        <w:tab/>
        <w:t>Originator of Change</w:t>
      </w:r>
      <w:proofErr w:type="gramStart"/>
      <w:r>
        <w:t xml:space="preserve">:  </w:t>
      </w:r>
      <w:r>
        <w:rPr>
          <w:rStyle w:val="preparersnote"/>
          <w:b w:val="0"/>
        </w:rPr>
        <w:t>[</w:t>
      </w:r>
      <w:proofErr w:type="gramEnd"/>
      <w:r>
        <w:rPr>
          <w:rStyle w:val="preparersnote"/>
          <w:b w:val="0"/>
        </w:rPr>
        <w:t> select:</w:t>
      </w:r>
      <w:r>
        <w:rPr>
          <w:rStyle w:val="preparersnote"/>
        </w:rPr>
        <w:t xml:space="preserve"> Purchaser / Supplier; </w:t>
      </w:r>
      <w:r>
        <w:rPr>
          <w:rStyle w:val="preparersnote"/>
          <w:b w:val="0"/>
        </w:rPr>
        <w:t>and add:</w:t>
      </w:r>
      <w:r>
        <w:rPr>
          <w:rStyle w:val="preparersnote"/>
        </w:rPr>
        <w:t xml:space="preserve"> name</w:t>
      </w:r>
      <w:r>
        <w:rPr>
          <w:rStyle w:val="preparersnote"/>
          <w:b w:val="0"/>
        </w:rPr>
        <w:t> ]</w:t>
      </w:r>
    </w:p>
    <w:p w14:paraId="5DF057A2" w14:textId="77777777" w:rsidR="00157AAA" w:rsidRDefault="006C1BE5">
      <w:pPr>
        <w:tabs>
          <w:tab w:val="left" w:pos="5760"/>
        </w:tabs>
        <w:spacing w:before="120"/>
        <w:ind w:left="547" w:hanging="540"/>
      </w:pPr>
      <w:r>
        <w:t>5.</w:t>
      </w:r>
      <w:r>
        <w:tab/>
        <w:t>Authorized Price for the Change:</w:t>
      </w:r>
    </w:p>
    <w:p w14:paraId="685EC31B" w14:textId="77777777" w:rsidR="00157AAA" w:rsidRDefault="006C1BE5">
      <w:pPr>
        <w:tabs>
          <w:tab w:val="left" w:pos="5760"/>
        </w:tabs>
        <w:spacing w:before="120"/>
        <w:ind w:left="547"/>
      </w:pPr>
      <w:r>
        <w:t>Ref. No.</w:t>
      </w:r>
      <w:proofErr w:type="gramStart"/>
      <w:r>
        <w:t xml:space="preserve">:  </w:t>
      </w:r>
      <w:r>
        <w:rPr>
          <w:rStyle w:val="preparersnote"/>
          <w:b w:val="0"/>
        </w:rPr>
        <w:t>[</w:t>
      </w:r>
      <w:proofErr w:type="gramEnd"/>
      <w:r>
        <w:rPr>
          <w:rStyle w:val="preparersnote"/>
          <w:b w:val="0"/>
        </w:rPr>
        <w:t xml:space="preserve"> insert: </w:t>
      </w:r>
      <w:r>
        <w:rPr>
          <w:rStyle w:val="preparersnote"/>
        </w:rPr>
        <w:t xml:space="preserve"> number</w:t>
      </w:r>
      <w:r>
        <w:rPr>
          <w:rStyle w:val="preparersnote"/>
          <w:b w:val="0"/>
        </w:rPr>
        <w:t> ]</w:t>
      </w:r>
      <w:r>
        <w:tab/>
        <w:t xml:space="preserve">Date:  </w:t>
      </w:r>
      <w:r>
        <w:rPr>
          <w:rStyle w:val="preparersnote"/>
          <w:b w:val="0"/>
        </w:rPr>
        <w:t xml:space="preserve">[ insert:  </w:t>
      </w:r>
      <w:r>
        <w:rPr>
          <w:rStyle w:val="preparersnote"/>
        </w:rPr>
        <w:t>date</w:t>
      </w:r>
      <w:r>
        <w:rPr>
          <w:rStyle w:val="preparersnote"/>
          <w:b w:val="0"/>
        </w:rPr>
        <w:t> ]</w:t>
      </w:r>
    </w:p>
    <w:p w14:paraId="166FDA2C" w14:textId="77777777" w:rsidR="00157AAA" w:rsidRDefault="006C1BE5">
      <w:pPr>
        <w:spacing w:before="120"/>
        <w:ind w:left="547"/>
      </w:pPr>
      <w:r>
        <w:rPr>
          <w:rStyle w:val="preparersnote"/>
          <w:b w:val="0"/>
        </w:rPr>
        <w:t xml:space="preserve">[ insert:  </w:t>
      </w:r>
      <w:r>
        <w:rPr>
          <w:rStyle w:val="preparersnote"/>
        </w:rPr>
        <w:t xml:space="preserve">amount in foreign currency </w:t>
      </w:r>
      <w:proofErr w:type="gramStart"/>
      <w:r>
        <w:rPr>
          <w:rStyle w:val="preparersnote"/>
        </w:rPr>
        <w:t>A </w:t>
      </w:r>
      <w:r>
        <w:rPr>
          <w:rStyle w:val="preparersnote"/>
          <w:b w:val="0"/>
        </w:rPr>
        <w:t>]</w:t>
      </w:r>
      <w:proofErr w:type="gramEnd"/>
      <w:r>
        <w:rPr>
          <w:b/>
        </w:rPr>
        <w:t xml:space="preserve"> </w:t>
      </w:r>
      <w:r>
        <w:t xml:space="preserve"> plus </w:t>
      </w:r>
      <w:r>
        <w:rPr>
          <w:rStyle w:val="preparersnote"/>
          <w:b w:val="0"/>
        </w:rPr>
        <w:t xml:space="preserve">[ insert:  </w:t>
      </w:r>
      <w:r>
        <w:rPr>
          <w:rStyle w:val="preparersnote"/>
        </w:rPr>
        <w:t>amount in foreign currency B </w:t>
      </w:r>
      <w:r>
        <w:rPr>
          <w:rStyle w:val="preparersnote"/>
          <w:b w:val="0"/>
        </w:rPr>
        <w:t>]</w:t>
      </w:r>
      <w:r>
        <w:rPr>
          <w:b/>
        </w:rPr>
        <w:t xml:space="preserve"> </w:t>
      </w:r>
      <w:r>
        <w:t xml:space="preserve"> plus </w:t>
      </w:r>
      <w:r>
        <w:rPr>
          <w:rStyle w:val="preparersnote"/>
          <w:b w:val="0"/>
        </w:rPr>
        <w:t xml:space="preserve">[ insert:  </w:t>
      </w:r>
      <w:r>
        <w:rPr>
          <w:rStyle w:val="preparersnote"/>
        </w:rPr>
        <w:t>amount in foreign currency C</w:t>
      </w:r>
      <w:r>
        <w:rPr>
          <w:rStyle w:val="preparersnote"/>
          <w:b w:val="0"/>
        </w:rPr>
        <w:t> </w:t>
      </w:r>
      <w:r>
        <w:rPr>
          <w:rStyle w:val="preparersnote"/>
        </w:rPr>
        <w:t>]</w:t>
      </w:r>
      <w:r>
        <w:t xml:space="preserve">  plus </w:t>
      </w:r>
      <w:r>
        <w:rPr>
          <w:rStyle w:val="preparersnote"/>
          <w:b w:val="0"/>
        </w:rPr>
        <w:t xml:space="preserve">[ insert:  </w:t>
      </w:r>
      <w:r>
        <w:rPr>
          <w:rStyle w:val="preparersnote"/>
        </w:rPr>
        <w:t>amount in local currency ]</w:t>
      </w:r>
    </w:p>
    <w:p w14:paraId="5C118B05" w14:textId="77777777" w:rsidR="00157AAA" w:rsidRDefault="006C1BE5">
      <w:pPr>
        <w:spacing w:before="120"/>
        <w:ind w:left="547" w:hanging="540"/>
      </w:pPr>
      <w:r>
        <w:t>6.</w:t>
      </w:r>
      <w:r>
        <w:tab/>
        <w:t xml:space="preserve">Adjustment of Time for Achieving Operational Acceptance: </w:t>
      </w:r>
      <w:r>
        <w:rPr>
          <w:rStyle w:val="preparersnote"/>
          <w:b w:val="0"/>
        </w:rPr>
        <w:t xml:space="preserve">[ insert: </w:t>
      </w:r>
      <w:r>
        <w:rPr>
          <w:rStyle w:val="preparersnote"/>
        </w:rPr>
        <w:t xml:space="preserve"> amount and description of </w:t>
      </w:r>
      <w:proofErr w:type="gramStart"/>
      <w:r>
        <w:rPr>
          <w:rStyle w:val="preparersnote"/>
        </w:rPr>
        <w:t>adjustment</w:t>
      </w:r>
      <w:r>
        <w:rPr>
          <w:rStyle w:val="preparersnote"/>
          <w:b w:val="0"/>
        </w:rPr>
        <w:t xml:space="preserve"> ]</w:t>
      </w:r>
      <w:proofErr w:type="gramEnd"/>
    </w:p>
    <w:p w14:paraId="280F3222" w14:textId="77777777" w:rsidR="00157AAA" w:rsidRDefault="006C1BE5">
      <w:pPr>
        <w:spacing w:before="120"/>
        <w:ind w:left="547" w:hanging="540"/>
        <w:rPr>
          <w:b/>
        </w:rPr>
      </w:pPr>
      <w:r>
        <w:t>7.</w:t>
      </w:r>
      <w:r>
        <w:tab/>
        <w:t xml:space="preserve">Other effects, if any: </w:t>
      </w:r>
      <w:r>
        <w:rPr>
          <w:rStyle w:val="preparersnote"/>
          <w:b w:val="0"/>
        </w:rPr>
        <w:t xml:space="preserve">[ state: </w:t>
      </w:r>
      <w:r>
        <w:rPr>
          <w:rStyle w:val="preparersnote"/>
        </w:rPr>
        <w:t xml:space="preserve">“none” or insert </w:t>
      </w:r>
      <w:proofErr w:type="gramStart"/>
      <w:r>
        <w:rPr>
          <w:rStyle w:val="preparersnote"/>
        </w:rPr>
        <w:t>description</w:t>
      </w:r>
      <w:r>
        <w:rPr>
          <w:rStyle w:val="preparersnote"/>
          <w:b w:val="0"/>
        </w:rPr>
        <w:t> ]</w:t>
      </w:r>
      <w:proofErr w:type="gramEnd"/>
    </w:p>
    <w:p w14:paraId="6A030ABB" w14:textId="77777777" w:rsidR="00157AAA" w:rsidRDefault="00157AAA">
      <w:pPr>
        <w:spacing w:before="120"/>
      </w:pPr>
    </w:p>
    <w:p w14:paraId="11BF939C" w14:textId="77777777" w:rsidR="00157AAA" w:rsidRDefault="006C1BE5">
      <w:pPr>
        <w:spacing w:before="120"/>
      </w:pPr>
      <w:r>
        <w:t>For and on behalf of the Purchaser</w:t>
      </w:r>
    </w:p>
    <w:p w14:paraId="7D8E7BD2" w14:textId="77777777" w:rsidR="00157AAA" w:rsidRDefault="006C1BE5">
      <w:pPr>
        <w:tabs>
          <w:tab w:val="right" w:pos="900"/>
          <w:tab w:val="left" w:pos="7200"/>
        </w:tabs>
        <w:spacing w:before="120"/>
      </w:pPr>
      <w:r>
        <w:t>Signed:</w:t>
      </w:r>
      <w:r>
        <w:tab/>
      </w:r>
      <w:r>
        <w:rPr>
          <w:u w:val="single"/>
        </w:rPr>
        <w:tab/>
      </w:r>
    </w:p>
    <w:p w14:paraId="5E311150" w14:textId="77777777" w:rsidR="00157AAA" w:rsidRDefault="006C1BE5">
      <w:pPr>
        <w:tabs>
          <w:tab w:val="right" w:pos="4320"/>
        </w:tabs>
        <w:spacing w:before="120"/>
      </w:pPr>
      <w:r>
        <w:t>Date</w:t>
      </w:r>
      <w:proofErr w:type="gramStart"/>
      <w:r>
        <w:rPr>
          <w:i/>
        </w:rPr>
        <w:t>:  [</w:t>
      </w:r>
      <w:proofErr w:type="gramEnd"/>
      <w:r>
        <w:rPr>
          <w:i/>
        </w:rPr>
        <w:t xml:space="preserve"> insert </w:t>
      </w:r>
      <w:r>
        <w:rPr>
          <w:b/>
          <w:i/>
        </w:rPr>
        <w:t>date</w:t>
      </w:r>
      <w:r>
        <w:rPr>
          <w:i/>
        </w:rPr>
        <w:t xml:space="preserve"> ]</w:t>
      </w:r>
    </w:p>
    <w:p w14:paraId="1B7204CE" w14:textId="77777777" w:rsidR="00157AAA" w:rsidRDefault="006C1BE5">
      <w:pPr>
        <w:spacing w:before="120"/>
      </w:pPr>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“Project Manager”</w:t>
      </w:r>
      <w:r>
        <w:rPr>
          <w:rStyle w:val="preparersnote"/>
          <w:b w:val="0"/>
        </w:rPr>
        <w:t xml:space="preserve"> or higher level authority in the Purchaser’s organization  ]</w:t>
      </w:r>
    </w:p>
    <w:p w14:paraId="002F050B" w14:textId="77777777" w:rsidR="00157AAA" w:rsidRDefault="00157AAA">
      <w:pPr>
        <w:spacing w:before="120"/>
      </w:pPr>
    </w:p>
    <w:p w14:paraId="26E11EEF" w14:textId="77777777" w:rsidR="00157AAA" w:rsidRDefault="006C1BE5">
      <w:pPr>
        <w:spacing w:before="120"/>
      </w:pPr>
      <w:r>
        <w:t>For and on behalf of the Supplier</w:t>
      </w:r>
    </w:p>
    <w:p w14:paraId="256C898C" w14:textId="77777777" w:rsidR="00157AAA" w:rsidRDefault="00157AAA">
      <w:pPr>
        <w:tabs>
          <w:tab w:val="right" w:pos="900"/>
          <w:tab w:val="left" w:pos="7200"/>
        </w:tabs>
        <w:spacing w:before="120"/>
      </w:pPr>
    </w:p>
    <w:p w14:paraId="4FE5961A" w14:textId="77777777" w:rsidR="00157AAA" w:rsidRDefault="006C1BE5">
      <w:pPr>
        <w:tabs>
          <w:tab w:val="right" w:pos="900"/>
          <w:tab w:val="left" w:pos="7200"/>
        </w:tabs>
        <w:spacing w:before="120"/>
      </w:pPr>
      <w:r>
        <w:t>Signed:</w:t>
      </w:r>
      <w:r>
        <w:rPr>
          <w:u w:val="single"/>
        </w:rPr>
        <w:tab/>
      </w:r>
      <w:r>
        <w:rPr>
          <w:u w:val="single"/>
        </w:rPr>
        <w:tab/>
      </w:r>
    </w:p>
    <w:p w14:paraId="35BC3FE8" w14:textId="77777777" w:rsidR="00157AAA" w:rsidRDefault="006C1BE5">
      <w:pPr>
        <w:tabs>
          <w:tab w:val="right" w:pos="4320"/>
        </w:tabs>
        <w:spacing w:before="120"/>
      </w:pPr>
      <w:r>
        <w:t xml:space="preserve">Date: </w:t>
      </w:r>
      <w:proofErr w:type="gramStart"/>
      <w:r>
        <w:t xml:space="preserve"> </w:t>
      </w:r>
      <w:r>
        <w:rPr>
          <w:i/>
        </w:rPr>
        <w:t xml:space="preserve">  [</w:t>
      </w:r>
      <w:proofErr w:type="gramEnd"/>
      <w:r>
        <w:rPr>
          <w:i/>
        </w:rPr>
        <w:t xml:space="preserve"> insert </w:t>
      </w:r>
      <w:r>
        <w:rPr>
          <w:b/>
          <w:i/>
        </w:rPr>
        <w:t>date</w:t>
      </w:r>
      <w:r>
        <w:rPr>
          <w:i/>
        </w:rPr>
        <w:t xml:space="preserve"> ]</w:t>
      </w:r>
    </w:p>
    <w:p w14:paraId="11EC86AB" w14:textId="77777777" w:rsidR="00157AAA" w:rsidRDefault="006C1BE5">
      <w:pPr>
        <w:spacing w:before="120"/>
      </w:pPr>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“Supplier’s Representative”</w:t>
      </w:r>
      <w:r>
        <w:rPr>
          <w:rStyle w:val="preparersnote"/>
          <w:b w:val="0"/>
        </w:rPr>
        <w:t xml:space="preserve"> or specify a higher level authority in the Supplier’s organization ]</w:t>
      </w:r>
    </w:p>
    <w:p w14:paraId="39F70A5D" w14:textId="77777777" w:rsidR="00157AAA" w:rsidRDefault="00157AAA">
      <w:pPr>
        <w:spacing w:before="120"/>
        <w:jc w:val="center"/>
      </w:pPr>
    </w:p>
    <w:p w14:paraId="55556D1F" w14:textId="77777777" w:rsidR="00157AAA" w:rsidRDefault="006C1BE5">
      <w:pPr>
        <w:pStyle w:val="Head82"/>
        <w:spacing w:before="120"/>
      </w:pPr>
      <w:r>
        <w:rPr>
          <w:sz w:val="22"/>
        </w:rPr>
        <w:br w:type="page" w:clear="all"/>
      </w:r>
      <w:bookmarkStart w:id="1057" w:name="_Toc73977998"/>
      <w:r>
        <w:lastRenderedPageBreak/>
        <w:t>4.6</w:t>
      </w:r>
      <w:r>
        <w:tab/>
        <w:t>Application for Change Proposal Form</w:t>
      </w:r>
      <w:bookmarkEnd w:id="1057"/>
    </w:p>
    <w:p w14:paraId="49482836" w14:textId="77777777" w:rsidR="00157AAA" w:rsidRDefault="006C1BE5">
      <w:pPr>
        <w:spacing w:before="120"/>
        <w:jc w:val="center"/>
      </w:pPr>
      <w:r>
        <w:t>(Supplier’s Letterhead)</w:t>
      </w:r>
    </w:p>
    <w:p w14:paraId="703B734F" w14:textId="77777777" w:rsidR="00157AAA" w:rsidRDefault="00157AAA">
      <w:pPr>
        <w:spacing w:before="120"/>
      </w:pPr>
    </w:p>
    <w:p w14:paraId="33C399C8" w14:textId="77777777" w:rsidR="00157AAA" w:rsidRDefault="006C1BE5">
      <w:pPr>
        <w:tabs>
          <w:tab w:val="right" w:pos="3780"/>
          <w:tab w:val="left" w:pos="3960"/>
          <w:tab w:val="left" w:pos="9000"/>
        </w:tabs>
        <w:spacing w:before="120"/>
        <w:jc w:val="left"/>
      </w:pPr>
      <w:r>
        <w:tab/>
        <w:t>Date:</w:t>
      </w:r>
      <w:r>
        <w:tab/>
      </w:r>
      <w:r>
        <w:rPr>
          <w:rStyle w:val="preparersnote"/>
          <w:b w:val="0"/>
        </w:rPr>
        <w:t xml:space="preserve">[ insert:  </w:t>
      </w:r>
      <w:proofErr w:type="gramStart"/>
      <w:r>
        <w:rPr>
          <w:rStyle w:val="preparersnote"/>
        </w:rPr>
        <w:t>date</w:t>
      </w:r>
      <w:r>
        <w:rPr>
          <w:rStyle w:val="preparersnote"/>
          <w:b w:val="0"/>
        </w:rPr>
        <w:t> ]</w:t>
      </w:r>
      <w:proofErr w:type="gramEnd"/>
    </w:p>
    <w:p w14:paraId="71EF5FB3" w14:textId="77777777" w:rsidR="00157AAA" w:rsidRDefault="006C1BE5">
      <w:pPr>
        <w:tabs>
          <w:tab w:val="right" w:pos="3780"/>
          <w:tab w:val="left" w:pos="3960"/>
          <w:tab w:val="left" w:pos="9000"/>
        </w:tabs>
        <w:spacing w:before="120"/>
        <w:jc w:val="left"/>
      </w:pPr>
      <w:r>
        <w:tab/>
        <w:t>Loan/Credit Number:</w:t>
      </w:r>
      <w:r>
        <w:tab/>
      </w:r>
      <w:r>
        <w:rPr>
          <w:rStyle w:val="preparersnote"/>
          <w:b w:val="0"/>
        </w:rPr>
        <w:t xml:space="preserve">[ insert:  </w:t>
      </w:r>
      <w:r>
        <w:rPr>
          <w:rStyle w:val="preparersnote"/>
        </w:rPr>
        <w:t xml:space="preserve">loan or credit number from </w:t>
      </w:r>
      <w:proofErr w:type="gramStart"/>
      <w:r>
        <w:rPr>
          <w:rStyle w:val="preparersnote"/>
        </w:rPr>
        <w:t>RFB</w:t>
      </w:r>
      <w:r>
        <w:rPr>
          <w:rStyle w:val="preparersnote"/>
          <w:b w:val="0"/>
        </w:rPr>
        <w:t> ]</w:t>
      </w:r>
      <w:proofErr w:type="gramEnd"/>
    </w:p>
    <w:p w14:paraId="07375243" w14:textId="77777777" w:rsidR="00157AAA" w:rsidRDefault="006C1BE5">
      <w:pPr>
        <w:tabs>
          <w:tab w:val="right" w:pos="3780"/>
          <w:tab w:val="left" w:pos="3960"/>
          <w:tab w:val="left" w:pos="9000"/>
        </w:tabs>
        <w:spacing w:before="120"/>
        <w:ind w:left="3960" w:hanging="3960"/>
        <w:jc w:val="left"/>
      </w:pPr>
      <w:r>
        <w:tab/>
        <w:t>RFB:</w:t>
      </w:r>
      <w:r>
        <w:tab/>
      </w:r>
      <w:r>
        <w:rPr>
          <w:rStyle w:val="preparersnote"/>
          <w:b w:val="0"/>
        </w:rPr>
        <w:t xml:space="preserve">[ insert:  </w:t>
      </w:r>
      <w:r>
        <w:rPr>
          <w:rStyle w:val="preparersnote"/>
        </w:rPr>
        <w:t xml:space="preserve">title and number of </w:t>
      </w:r>
      <w:proofErr w:type="gramStart"/>
      <w:r>
        <w:rPr>
          <w:rStyle w:val="preparersnote"/>
        </w:rPr>
        <w:t>RFB</w:t>
      </w:r>
      <w:r>
        <w:rPr>
          <w:rStyle w:val="preparersnote"/>
          <w:b w:val="0"/>
        </w:rPr>
        <w:t> ]</w:t>
      </w:r>
      <w:proofErr w:type="gramEnd"/>
    </w:p>
    <w:p w14:paraId="705B8E1B" w14:textId="77777777" w:rsidR="00157AAA" w:rsidRDefault="006C1BE5">
      <w:pPr>
        <w:tabs>
          <w:tab w:val="right" w:pos="3780"/>
          <w:tab w:val="left" w:pos="3960"/>
          <w:tab w:val="left" w:pos="9000"/>
        </w:tabs>
        <w:spacing w:before="120"/>
        <w:ind w:left="3960" w:hanging="3960"/>
        <w:jc w:val="left"/>
      </w:pPr>
      <w:r>
        <w:tab/>
        <w:t>Contract:</w:t>
      </w:r>
      <w:r>
        <w:tab/>
      </w:r>
      <w:r>
        <w:rPr>
          <w:rStyle w:val="preparersnote"/>
          <w:b w:val="0"/>
        </w:rPr>
        <w:t xml:space="preserve">[ insert: </w:t>
      </w:r>
      <w:r>
        <w:rPr>
          <w:rStyle w:val="preparersnote"/>
        </w:rPr>
        <w:t xml:space="preserve"> name of System or Subsystem and number of </w:t>
      </w:r>
      <w:proofErr w:type="gramStart"/>
      <w:r>
        <w:rPr>
          <w:rStyle w:val="preparersnote"/>
        </w:rPr>
        <w:t>Contrac</w:t>
      </w:r>
      <w:r>
        <w:rPr>
          <w:rStyle w:val="preparersnote"/>
          <w:b w:val="0"/>
        </w:rPr>
        <w:t>t ]</w:t>
      </w:r>
      <w:proofErr w:type="gramEnd"/>
    </w:p>
    <w:p w14:paraId="0367A3BD" w14:textId="77777777" w:rsidR="00157AAA" w:rsidRDefault="00157AAA">
      <w:pPr>
        <w:spacing w:before="120"/>
      </w:pPr>
    </w:p>
    <w:p w14:paraId="3A013BF0" w14:textId="77777777" w:rsidR="00157AAA" w:rsidRDefault="006C1BE5">
      <w:pPr>
        <w:tabs>
          <w:tab w:val="left" w:pos="6480"/>
          <w:tab w:val="left" w:pos="9000"/>
        </w:tabs>
        <w:spacing w:before="120"/>
      </w:pPr>
      <w:r>
        <w:t>To</w:t>
      </w:r>
      <w:proofErr w:type="gramStart"/>
      <w:r>
        <w:t xml:space="preserve">:  </w:t>
      </w:r>
      <w:r>
        <w:rPr>
          <w:rStyle w:val="preparersnote"/>
          <w:b w:val="0"/>
        </w:rPr>
        <w:t>[</w:t>
      </w:r>
      <w:proofErr w:type="gramEnd"/>
      <w:r>
        <w:rPr>
          <w:rStyle w:val="preparersnote"/>
          <w:b w:val="0"/>
        </w:rPr>
        <w:t xml:space="preserve"> insert: </w:t>
      </w:r>
      <w:r>
        <w:rPr>
          <w:rStyle w:val="preparersnote"/>
        </w:rPr>
        <w:t xml:space="preserve"> name of Purchaser and address </w:t>
      </w:r>
      <w:r>
        <w:rPr>
          <w:rStyle w:val="preparersnote"/>
          <w:b w:val="0"/>
        </w:rPr>
        <w:t>]</w:t>
      </w:r>
    </w:p>
    <w:p w14:paraId="5C653B74" w14:textId="77777777" w:rsidR="00157AAA" w:rsidRDefault="006C1BE5">
      <w:pPr>
        <w:spacing w:before="120"/>
      </w:pPr>
      <w:r>
        <w:t>Attention</w:t>
      </w:r>
      <w:r>
        <w:rPr>
          <w:b/>
        </w:rPr>
        <w:t xml:space="preserve">: </w:t>
      </w:r>
      <w:r>
        <w:rPr>
          <w:rStyle w:val="preparersnote"/>
          <w:b w:val="0"/>
        </w:rPr>
        <w:t>[ </w:t>
      </w:r>
      <w:proofErr w:type="gramStart"/>
      <w:r>
        <w:rPr>
          <w:rStyle w:val="preparersnote"/>
          <w:b w:val="0"/>
        </w:rPr>
        <w:t>insert:</w:t>
      </w:r>
      <w:proofErr w:type="gramEnd"/>
      <w:r>
        <w:rPr>
          <w:rStyle w:val="preparersnote"/>
          <w:b w:val="0"/>
        </w:rPr>
        <w:t xml:space="preserve"> </w:t>
      </w:r>
      <w:r>
        <w:rPr>
          <w:rStyle w:val="preparersnote"/>
        </w:rPr>
        <w:t>name and title</w:t>
      </w:r>
      <w:r>
        <w:rPr>
          <w:rStyle w:val="preparersnote"/>
          <w:b w:val="0"/>
        </w:rPr>
        <w:t>]</w:t>
      </w:r>
    </w:p>
    <w:p w14:paraId="32A6C61B" w14:textId="77777777" w:rsidR="00157AAA" w:rsidRDefault="006C1BE5">
      <w:pPr>
        <w:spacing w:before="120"/>
      </w:pPr>
      <w:r>
        <w:t>Dear Sir or Madam:</w:t>
      </w:r>
    </w:p>
    <w:p w14:paraId="430AC20A" w14:textId="77777777" w:rsidR="00157AAA" w:rsidRDefault="00157AAA">
      <w:pPr>
        <w:spacing w:before="120"/>
      </w:pPr>
    </w:p>
    <w:p w14:paraId="0EC2D75F" w14:textId="77777777" w:rsidR="00157AAA" w:rsidRDefault="006C1BE5">
      <w:pPr>
        <w:spacing w:before="120"/>
      </w:pPr>
      <w:r>
        <w:tab/>
        <w:t>We hereby propose that the below-mentioned work be treated as a Change to the System.</w:t>
      </w:r>
    </w:p>
    <w:p w14:paraId="63CD13E7" w14:textId="77777777" w:rsidR="00157AAA" w:rsidRDefault="00157AAA">
      <w:pPr>
        <w:spacing w:before="120"/>
      </w:pPr>
    </w:p>
    <w:p w14:paraId="4D816E31" w14:textId="77777777" w:rsidR="00157AAA" w:rsidRDefault="006C1BE5">
      <w:pPr>
        <w:spacing w:before="120"/>
        <w:ind w:left="540" w:hanging="540"/>
        <w:rPr>
          <w:b/>
        </w:rPr>
      </w:pPr>
      <w:r>
        <w:t>1.</w:t>
      </w:r>
      <w:r>
        <w:tab/>
        <w:t>Title of Change</w:t>
      </w:r>
      <w:proofErr w:type="gramStart"/>
      <w:r>
        <w:t xml:space="preserve">:  </w:t>
      </w:r>
      <w:r>
        <w:rPr>
          <w:rStyle w:val="preparersnote"/>
          <w:b w:val="0"/>
        </w:rPr>
        <w:t>[</w:t>
      </w:r>
      <w:proofErr w:type="gramEnd"/>
      <w:r>
        <w:rPr>
          <w:rStyle w:val="preparersnote"/>
          <w:b w:val="0"/>
        </w:rPr>
        <w:t xml:space="preserve"> insert:  </w:t>
      </w:r>
      <w:r>
        <w:rPr>
          <w:rStyle w:val="preparersnote"/>
        </w:rPr>
        <w:t>name</w:t>
      </w:r>
      <w:r>
        <w:rPr>
          <w:rStyle w:val="preparersnote"/>
          <w:b w:val="0"/>
        </w:rPr>
        <w:t> ]</w:t>
      </w:r>
    </w:p>
    <w:p w14:paraId="796D2F81" w14:textId="77777777" w:rsidR="00157AAA" w:rsidRDefault="006C1BE5">
      <w:pPr>
        <w:tabs>
          <w:tab w:val="left" w:pos="7560"/>
        </w:tabs>
        <w:spacing w:before="120"/>
        <w:ind w:left="540" w:hanging="540"/>
      </w:pPr>
      <w:r>
        <w:t>2.</w:t>
      </w:r>
      <w:r>
        <w:tab/>
        <w:t xml:space="preserve">Application for Change Proposal No./Rev.: </w:t>
      </w:r>
      <w:r>
        <w:rPr>
          <w:rStyle w:val="preparersnote"/>
          <w:b w:val="0"/>
        </w:rPr>
        <w:t xml:space="preserve">[ insert:  </w:t>
      </w:r>
      <w:r>
        <w:rPr>
          <w:rStyle w:val="preparersnote"/>
        </w:rPr>
        <w:t>number / revision</w:t>
      </w:r>
      <w:r>
        <w:rPr>
          <w:rStyle w:val="preparersnote"/>
          <w:b w:val="0"/>
        </w:rPr>
        <w:t>]</w:t>
      </w:r>
      <w:r>
        <w:rPr>
          <w:rStyle w:val="preparersnote"/>
        </w:rPr>
        <w:t xml:space="preserve"> </w:t>
      </w:r>
      <w:r>
        <w:t>dated</w:t>
      </w:r>
      <w:proofErr w:type="gramStart"/>
      <w:r>
        <w:t xml:space="preserve">:  </w:t>
      </w:r>
      <w:r>
        <w:rPr>
          <w:rStyle w:val="preparersnote"/>
          <w:b w:val="0"/>
        </w:rPr>
        <w:t>[</w:t>
      </w:r>
      <w:proofErr w:type="gramEnd"/>
      <w:r>
        <w:rPr>
          <w:rStyle w:val="preparersnote"/>
          <w:b w:val="0"/>
        </w:rPr>
        <w:t> insert:</w:t>
      </w:r>
      <w:r>
        <w:rPr>
          <w:rStyle w:val="preparersnote"/>
        </w:rPr>
        <w:t xml:space="preserve">  date</w:t>
      </w:r>
      <w:r>
        <w:rPr>
          <w:rStyle w:val="preparersnote"/>
          <w:b w:val="0"/>
        </w:rPr>
        <w:t> ]</w:t>
      </w:r>
    </w:p>
    <w:p w14:paraId="6CC462AB" w14:textId="77777777" w:rsidR="00157AAA" w:rsidRDefault="006C1BE5">
      <w:pPr>
        <w:spacing w:before="120"/>
        <w:ind w:left="540" w:hanging="540"/>
      </w:pPr>
      <w:r>
        <w:t>3.</w:t>
      </w:r>
      <w:r>
        <w:tab/>
        <w:t xml:space="preserve">Brief Description of Change: </w:t>
      </w:r>
      <w:r>
        <w:rPr>
          <w:rStyle w:val="preparersnote"/>
          <w:b w:val="0"/>
        </w:rPr>
        <w:t xml:space="preserve">[ insert: </w:t>
      </w:r>
      <w:proofErr w:type="gramStart"/>
      <w:r>
        <w:rPr>
          <w:rStyle w:val="preparersnote"/>
        </w:rPr>
        <w:t>description </w:t>
      </w:r>
      <w:r>
        <w:rPr>
          <w:rStyle w:val="preparersnote"/>
          <w:b w:val="0"/>
        </w:rPr>
        <w:t>]</w:t>
      </w:r>
      <w:proofErr w:type="gramEnd"/>
    </w:p>
    <w:p w14:paraId="450A2F3C" w14:textId="77777777" w:rsidR="00157AAA" w:rsidRDefault="006C1BE5">
      <w:pPr>
        <w:spacing w:before="120"/>
        <w:ind w:left="540" w:hanging="540"/>
      </w:pPr>
      <w:r>
        <w:t>4.</w:t>
      </w:r>
      <w:r>
        <w:tab/>
        <w:t xml:space="preserve">Reasons for Change: </w:t>
      </w:r>
      <w:r>
        <w:rPr>
          <w:rStyle w:val="preparersnote"/>
          <w:b w:val="0"/>
        </w:rPr>
        <w:t>[</w:t>
      </w:r>
      <w:proofErr w:type="gramStart"/>
      <w:r>
        <w:rPr>
          <w:rStyle w:val="preparersnote"/>
          <w:b w:val="0"/>
        </w:rPr>
        <w:t>insert:</w:t>
      </w:r>
      <w:proofErr w:type="gramEnd"/>
      <w:r>
        <w:rPr>
          <w:rStyle w:val="preparersnote"/>
          <w:b w:val="0"/>
        </w:rPr>
        <w:t xml:space="preserve"> </w:t>
      </w:r>
      <w:r>
        <w:rPr>
          <w:rStyle w:val="preparersnote"/>
        </w:rPr>
        <w:t>description</w:t>
      </w:r>
      <w:r>
        <w:rPr>
          <w:rStyle w:val="preparersnote"/>
          <w:b w:val="0"/>
        </w:rPr>
        <w:t>]</w:t>
      </w:r>
    </w:p>
    <w:p w14:paraId="32C2E70A" w14:textId="77777777" w:rsidR="00157AAA" w:rsidRDefault="006C1BE5">
      <w:pPr>
        <w:spacing w:before="120"/>
        <w:ind w:left="540" w:hanging="540"/>
      </w:pPr>
      <w:r>
        <w:t>5.</w:t>
      </w:r>
      <w:r>
        <w:tab/>
        <w:t xml:space="preserve">Order of Magnitude Estimation: </w:t>
      </w:r>
      <w:r>
        <w:rPr>
          <w:rStyle w:val="preparersnote"/>
          <w:b w:val="0"/>
        </w:rPr>
        <w:t xml:space="preserve">[ insert:  </w:t>
      </w:r>
      <w:r>
        <w:rPr>
          <w:rStyle w:val="preparersnote"/>
        </w:rPr>
        <w:t xml:space="preserve">amount in currencies of the </w:t>
      </w:r>
      <w:proofErr w:type="gramStart"/>
      <w:r>
        <w:rPr>
          <w:rStyle w:val="preparersnote"/>
        </w:rPr>
        <w:t>Contract </w:t>
      </w:r>
      <w:r>
        <w:rPr>
          <w:rStyle w:val="preparersnote"/>
          <w:b w:val="0"/>
        </w:rPr>
        <w:t>]</w:t>
      </w:r>
      <w:proofErr w:type="gramEnd"/>
    </w:p>
    <w:p w14:paraId="7A264717" w14:textId="77777777" w:rsidR="00157AAA" w:rsidRDefault="006C1BE5">
      <w:pPr>
        <w:spacing w:before="120"/>
        <w:ind w:left="540" w:hanging="540"/>
      </w:pPr>
      <w:r>
        <w:t>6.</w:t>
      </w:r>
      <w:r>
        <w:tab/>
        <w:t xml:space="preserve">Schedule Impact of Change: </w:t>
      </w:r>
      <w:r>
        <w:rPr>
          <w:rStyle w:val="preparersnote"/>
          <w:b w:val="0"/>
        </w:rPr>
        <w:t>[ insert:</w:t>
      </w:r>
      <w:r>
        <w:rPr>
          <w:rStyle w:val="preparersnote"/>
        </w:rPr>
        <w:t xml:space="preserve"> </w:t>
      </w:r>
      <w:proofErr w:type="gramStart"/>
      <w:r>
        <w:rPr>
          <w:rStyle w:val="preparersnote"/>
        </w:rPr>
        <w:t>description</w:t>
      </w:r>
      <w:r>
        <w:rPr>
          <w:rStyle w:val="preparersnote"/>
          <w:b w:val="0"/>
        </w:rPr>
        <w:t> ]</w:t>
      </w:r>
      <w:proofErr w:type="gramEnd"/>
    </w:p>
    <w:p w14:paraId="2982431B" w14:textId="77777777" w:rsidR="00157AAA" w:rsidRDefault="006C1BE5">
      <w:pPr>
        <w:spacing w:before="120"/>
        <w:ind w:left="540" w:hanging="540"/>
      </w:pPr>
      <w:r>
        <w:t>7.</w:t>
      </w:r>
      <w:r>
        <w:tab/>
        <w:t xml:space="preserve">Effect on Functional Guarantees, if any: </w:t>
      </w:r>
      <w:r>
        <w:rPr>
          <w:rStyle w:val="preparersnote"/>
          <w:b w:val="0"/>
        </w:rPr>
        <w:t>[ </w:t>
      </w:r>
      <w:proofErr w:type="gramStart"/>
      <w:r>
        <w:rPr>
          <w:rStyle w:val="preparersnote"/>
          <w:b w:val="0"/>
        </w:rPr>
        <w:t>insert:</w:t>
      </w:r>
      <w:proofErr w:type="gramEnd"/>
      <w:r>
        <w:rPr>
          <w:rStyle w:val="preparersnote"/>
        </w:rPr>
        <w:t xml:space="preserve"> description</w:t>
      </w:r>
      <w:r>
        <w:rPr>
          <w:rStyle w:val="preparersnote"/>
          <w:b w:val="0"/>
        </w:rPr>
        <w:t>]</w:t>
      </w:r>
    </w:p>
    <w:p w14:paraId="05551F21" w14:textId="77777777" w:rsidR="00157AAA" w:rsidRDefault="006C1BE5">
      <w:pPr>
        <w:spacing w:before="120"/>
        <w:ind w:left="540" w:hanging="540"/>
      </w:pPr>
      <w:r>
        <w:t>8.</w:t>
      </w:r>
      <w:r>
        <w:tab/>
        <w:t xml:space="preserve">Appendix: </w:t>
      </w:r>
      <w:r>
        <w:rPr>
          <w:rStyle w:val="preparersnote"/>
          <w:b w:val="0"/>
        </w:rPr>
        <w:t>[ </w:t>
      </w:r>
      <w:proofErr w:type="gramStart"/>
      <w:r>
        <w:rPr>
          <w:rStyle w:val="preparersnote"/>
          <w:b w:val="0"/>
        </w:rPr>
        <w:t>insert:</w:t>
      </w:r>
      <w:proofErr w:type="gramEnd"/>
      <w:r>
        <w:rPr>
          <w:rStyle w:val="preparersnote"/>
          <w:b w:val="0"/>
        </w:rPr>
        <w:t xml:space="preserve"> </w:t>
      </w:r>
      <w:r>
        <w:rPr>
          <w:rStyle w:val="preparersnote"/>
        </w:rPr>
        <w:t xml:space="preserve"> titles (if any); </w:t>
      </w:r>
      <w:r>
        <w:rPr>
          <w:rStyle w:val="preparersnote"/>
          <w:b w:val="0"/>
        </w:rPr>
        <w:t>otherwise state</w:t>
      </w:r>
      <w:r>
        <w:rPr>
          <w:rStyle w:val="preparersnote"/>
        </w:rPr>
        <w:t xml:space="preserve"> “none”</w:t>
      </w:r>
      <w:r>
        <w:rPr>
          <w:rStyle w:val="preparersnote"/>
          <w:b w:val="0"/>
        </w:rPr>
        <w:t>]</w:t>
      </w:r>
    </w:p>
    <w:p w14:paraId="2D97F0EF" w14:textId="77777777" w:rsidR="00157AAA" w:rsidRDefault="006C1BE5">
      <w:pPr>
        <w:spacing w:before="120"/>
      </w:pPr>
      <w:r>
        <w:t>For and on behalf of the Supplier</w:t>
      </w:r>
    </w:p>
    <w:p w14:paraId="3902C04A" w14:textId="77777777" w:rsidR="00157AAA" w:rsidRDefault="00157AAA">
      <w:pPr>
        <w:tabs>
          <w:tab w:val="right" w:pos="900"/>
          <w:tab w:val="left" w:pos="7200"/>
        </w:tabs>
        <w:spacing w:before="120"/>
      </w:pPr>
    </w:p>
    <w:p w14:paraId="3997AAF4" w14:textId="77777777" w:rsidR="00157AAA" w:rsidRDefault="006C1BE5">
      <w:pPr>
        <w:tabs>
          <w:tab w:val="right" w:pos="900"/>
          <w:tab w:val="left" w:pos="7200"/>
        </w:tabs>
        <w:spacing w:before="120"/>
      </w:pPr>
      <w:r>
        <w:t>Signed:</w:t>
      </w:r>
      <w:r>
        <w:tab/>
      </w:r>
      <w:r>
        <w:tab/>
      </w:r>
    </w:p>
    <w:p w14:paraId="0A8624D7" w14:textId="77777777" w:rsidR="00157AAA" w:rsidRDefault="006C1BE5">
      <w:pPr>
        <w:tabs>
          <w:tab w:val="right" w:pos="4320"/>
        </w:tabs>
        <w:spacing w:before="120"/>
      </w:pPr>
      <w:r>
        <w:t xml:space="preserve">Date: </w:t>
      </w:r>
      <w:r>
        <w:tab/>
      </w:r>
    </w:p>
    <w:p w14:paraId="5740098C" w14:textId="77777777" w:rsidR="00157AAA" w:rsidRDefault="006C1BE5">
      <w:pPr>
        <w:spacing w:before="120"/>
      </w:pPr>
      <w:r>
        <w:t>in the capacity of</w:t>
      </w:r>
      <w:proofErr w:type="gramStart"/>
      <w:r>
        <w:t xml:space="preserve">:  </w:t>
      </w:r>
      <w:r>
        <w:rPr>
          <w:rStyle w:val="preparersnote"/>
          <w:b w:val="0"/>
        </w:rPr>
        <w:t>[</w:t>
      </w:r>
      <w:proofErr w:type="gramEnd"/>
      <w:r>
        <w:rPr>
          <w:rStyle w:val="preparersnote"/>
          <w:b w:val="0"/>
        </w:rPr>
        <w:t xml:space="preserve"> state:  </w:t>
      </w:r>
      <w:r>
        <w:rPr>
          <w:rStyle w:val="preparersnote"/>
        </w:rPr>
        <w:t xml:space="preserve">“Supplier’s Representative” </w:t>
      </w:r>
      <w:r>
        <w:rPr>
          <w:rStyle w:val="preparersnote"/>
          <w:b w:val="0"/>
        </w:rPr>
        <w:t>or specify a higher level authority in the Supplier’s organization</w:t>
      </w:r>
      <w:r>
        <w:rPr>
          <w:rStyle w:val="preparersnote"/>
        </w:rPr>
        <w:t xml:space="preserve"> </w:t>
      </w:r>
      <w:r>
        <w:rPr>
          <w:rStyle w:val="preparersnote"/>
          <w:b w:val="0"/>
        </w:rPr>
        <w:t>]</w:t>
      </w:r>
    </w:p>
    <w:p w14:paraId="4EBB179A" w14:textId="77777777" w:rsidR="00157AAA" w:rsidRDefault="00157AAA">
      <w:pPr>
        <w:pStyle w:val="EndnoteText"/>
        <w:tabs>
          <w:tab w:val="clear" w:pos="432"/>
          <w:tab w:val="clear" w:pos="864"/>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120"/>
        <w:rPr>
          <w:sz w:val="22"/>
        </w:rPr>
      </w:pPr>
    </w:p>
    <w:bookmarkEnd w:id="1047"/>
    <w:bookmarkEnd w:id="1048"/>
    <w:p w14:paraId="7A853D51" w14:textId="77777777" w:rsidR="00157AAA" w:rsidRDefault="00157AAA">
      <w:pPr>
        <w:spacing w:before="120"/>
      </w:pPr>
    </w:p>
    <w:p w14:paraId="648E4C7A" w14:textId="77777777" w:rsidR="00157AAA" w:rsidRDefault="00157AAA">
      <w:pPr>
        <w:jc w:val="center"/>
        <w:rPr>
          <w:b/>
          <w:sz w:val="32"/>
          <w:szCs w:val="32"/>
        </w:rPr>
      </w:pPr>
    </w:p>
    <w:sectPr w:rsidR="00157AAA">
      <w:headerReference w:type="even" r:id="rId159"/>
      <w:footnotePr>
        <w:numRestart w:val="eachPage"/>
      </w:footnotePr>
      <w:endnotePr>
        <w:numRestart w:val="eachSect"/>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568F15" w14:textId="77777777" w:rsidR="00F901D4" w:rsidRDefault="00F901D4">
      <w:r>
        <w:separator/>
      </w:r>
    </w:p>
    <w:p w14:paraId="64BBD1B9" w14:textId="77777777" w:rsidR="00F901D4" w:rsidRDefault="00F901D4"/>
  </w:endnote>
  <w:endnote w:type="continuationSeparator" w:id="0">
    <w:p w14:paraId="30BDC2E0" w14:textId="77777777" w:rsidR="00F901D4" w:rsidRDefault="00F901D4">
      <w:r>
        <w:continuationSeparator/>
      </w:r>
    </w:p>
    <w:p w14:paraId="7AE9CF55" w14:textId="77777777" w:rsidR="00F901D4" w:rsidRDefault="00F901D4"/>
  </w:endnote>
  <w:endnote w:type="continuationNotice" w:id="1">
    <w:p w14:paraId="546B5822" w14:textId="77777777" w:rsidR="00F901D4" w:rsidRDefault="00F901D4">
      <w:pPr>
        <w:spacing w:after="0"/>
      </w:pPr>
    </w:p>
    <w:p w14:paraId="3520F249" w14:textId="77777777" w:rsidR="00F901D4" w:rsidRDefault="00F901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WenQuanYi Micro Hei">
    <w:altName w:val="Yu Gothic"/>
    <w:charset w:val="80"/>
    <w:family w:val="auto"/>
    <w:pitch w:val="variable"/>
  </w:font>
  <w:font w:name="Arial Narrow">
    <w:panose1 w:val="020B0606020202030204"/>
    <w:charset w:val="00"/>
    <w:family w:val="swiss"/>
    <w:pitch w:val="variable"/>
    <w:sig w:usb0="00000287" w:usb1="00000800" w:usb2="00000000" w:usb3="00000000" w:csb0="0000009F" w:csb1="00000000"/>
  </w:font>
  <w:font w:name="StobiSerif Regular">
    <w:altName w:val="Calibri"/>
    <w:panose1 w:val="02000503060000020004"/>
    <w:charset w:val="00"/>
    <w:family w:val="modern"/>
    <w:notTrueType/>
    <w:pitch w:val="variable"/>
    <w:sig w:usb0="A00002AF" w:usb1="5000204B" w:usb2="00000000" w:usb3="00000000" w:csb0="0000009F" w:csb1="00000000"/>
  </w:font>
  <w:font w:name="Univers">
    <w:altName w:val="Arial"/>
    <w:panose1 w:val="020B0603020202030204"/>
    <w:charset w:val="00"/>
    <w:family w:val="swiss"/>
    <w:pitch w:val="variable"/>
    <w:sig w:usb0="80000287" w:usb1="00000000" w:usb2="00000000" w:usb3="00000000" w:csb0="0000001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Times">
    <w:altName w:val="Sylfaen"/>
    <w:panose1 w:val="02020603050405020304"/>
    <w:charset w:val="00"/>
    <w:family w:val="roman"/>
    <w:pitch w:val="variable"/>
    <w:sig w:usb0="E0002EFF" w:usb1="C000785B" w:usb2="00000009" w:usb3="00000000" w:csb0="000001FF" w:csb1="00000000"/>
  </w:font>
  <w:font w:name="‚l‚r –¾’©">
    <w:altName w:val="Calibri"/>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SimSun">
    <w:panose1 w:val="02010609030101010101"/>
    <w:charset w:val="86"/>
    <w:family w:val="modern"/>
    <w:pitch w:val="fixed"/>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D4BE8A" w14:textId="77777777" w:rsidR="00F901D4" w:rsidRDefault="00F901D4">
      <w:r>
        <w:separator/>
      </w:r>
    </w:p>
    <w:p w14:paraId="029E8789" w14:textId="77777777" w:rsidR="00F901D4" w:rsidRDefault="00F901D4"/>
  </w:footnote>
  <w:footnote w:type="continuationSeparator" w:id="0">
    <w:p w14:paraId="34B4C015" w14:textId="77777777" w:rsidR="00F901D4" w:rsidRDefault="00F901D4">
      <w:r>
        <w:continuationSeparator/>
      </w:r>
    </w:p>
    <w:p w14:paraId="1539AB77" w14:textId="77777777" w:rsidR="00F901D4" w:rsidRDefault="00F901D4"/>
  </w:footnote>
  <w:footnote w:type="continuationNotice" w:id="1">
    <w:p w14:paraId="519F0949" w14:textId="77777777" w:rsidR="00F901D4" w:rsidRDefault="00F901D4">
      <w:pPr>
        <w:spacing w:after="0"/>
      </w:pPr>
    </w:p>
    <w:p w14:paraId="5D3412CE" w14:textId="77777777" w:rsidR="00F901D4" w:rsidRDefault="00F901D4"/>
  </w:footnote>
  <w:footnote w:id="2">
    <w:p w14:paraId="5A34BB32" w14:textId="77777777" w:rsidR="0026442C" w:rsidRDefault="0026442C">
      <w:pPr>
        <w:pStyle w:val="FootnoteText"/>
      </w:pPr>
      <w:r>
        <w:rPr>
          <w:rStyle w:val="FootnoteReference"/>
        </w:rPr>
        <w:footnoteRef/>
      </w:r>
      <w:r>
        <w:rPr>
          <w:sz w:val="18"/>
        </w:rPr>
        <w:t xml:space="preserve">      </w:t>
      </w:r>
      <w:hyperlink r:id="rId1" w:tooltip="https://mioa.gov.mk/sites/default/files/pbl_files/documents/Macedonian_Interoperability_Framework_MIF_v2.0.pdf" w:history="1">
        <w:r>
          <w:rPr>
            <w:rStyle w:val="Hyperlink"/>
            <w:rFonts w:ascii="Times New Roman" w:hAnsi="Times New Roman"/>
            <w:sz w:val="18"/>
          </w:rPr>
          <w:t>https://mioa.gov.mk/sites/default/files/pbl_files/documents/Macedonian_Interoperability_Framework_MIF_v2.0.pdf</w:t>
        </w:r>
      </w:hyperlink>
      <w:r>
        <w:rPr>
          <w:rFonts w:ascii="Times New Roman" w:hAnsi="Times New Roman"/>
          <w:sz w:val="18"/>
        </w:rPr>
        <w:t xml:space="preserve"> </w:t>
      </w:r>
    </w:p>
  </w:footnote>
  <w:footnote w:id="3">
    <w:p w14:paraId="33FE4608" w14:textId="77777777" w:rsidR="0026442C" w:rsidRDefault="0026442C">
      <w:pPr>
        <w:pStyle w:val="FootnoteText"/>
      </w:pPr>
      <w:r>
        <w:rPr>
          <w:rStyle w:val="FootnoteReference"/>
        </w:rPr>
        <w:footnoteRef/>
      </w:r>
      <w:r>
        <w:t xml:space="preserve"> </w:t>
      </w:r>
      <w:r>
        <w:rPr>
          <w:rFonts w:ascii="Times New Roman" w:hAnsi="Times New Roman"/>
          <w:szCs w:val="24"/>
        </w:rPr>
        <w:t>For contracts under which the Bidder participated as a joint venture member or sub-contractor, only the Bidder’s share, by value, and role and responsibilities shall be considered to meet this requirement.</w:t>
      </w:r>
    </w:p>
  </w:footnote>
  <w:footnote w:id="4">
    <w:p w14:paraId="3CD164B8" w14:textId="77777777" w:rsidR="0026442C" w:rsidRDefault="0026442C">
      <w:pPr>
        <w:pStyle w:val="FootnoteText"/>
        <w:ind w:left="0" w:firstLine="0"/>
      </w:pPr>
      <w:r>
        <w:rPr>
          <w:rStyle w:val="FootnoteReference"/>
        </w:rPr>
        <w:footnoteRef/>
      </w:r>
      <w:r>
        <w:t xml:space="preserve"> </w:t>
      </w:r>
      <w:r>
        <w:rPr>
          <w:rFonts w:ascii="Times New Roman" w:hAnsi="Times New Roman"/>
        </w:rPr>
        <w:t>Nonperformance, as decided by the Purchaser, shall include all contracts where (a) nonperformance was not challenged by the contractor, including through referral to the dispute resolution mechanism under the respective contract, and (b) contracts that were so challenged but fully settled against the contractor. Nonperformance shall not include contracts where Purchaser decision was overruled by the dispute resolution mechanism. Nonperformance must be based on all information on fully settled disputes or litigation, i.e. dispute or litigation that has been resolved in accordance with the dispute resolution mechanism under the respective contract and where all appeal instances available to the applicant have been exhausted.</w:t>
      </w:r>
    </w:p>
  </w:footnote>
  <w:footnote w:id="5">
    <w:p w14:paraId="4811A915" w14:textId="77777777" w:rsidR="0026442C" w:rsidRDefault="0026442C">
      <w:pPr>
        <w:pStyle w:val="FootnoteText"/>
      </w:pPr>
      <w:r>
        <w:rPr>
          <w:rStyle w:val="FootnoteReference"/>
        </w:rPr>
        <w:footnoteRef/>
      </w:r>
      <w:r>
        <w:t xml:space="preserve"> </w:t>
      </w:r>
      <w:r>
        <w:rPr>
          <w:rFonts w:ascii="Times New Roman" w:hAnsi="Times New Roman"/>
        </w:rPr>
        <w:t>This requirement also applies to contracts executed by the Applicant as JV member.</w:t>
      </w:r>
    </w:p>
  </w:footnote>
  <w:footnote w:id="6">
    <w:p w14:paraId="689053FB" w14:textId="77777777" w:rsidR="0026442C" w:rsidRDefault="0026442C">
      <w:pPr>
        <w:pStyle w:val="FootnoteText"/>
        <w:ind w:left="270" w:hanging="270"/>
        <w:rPr>
          <w:sz w:val="16"/>
          <w:szCs w:val="16"/>
        </w:rPr>
      </w:pPr>
      <w:r>
        <w:rPr>
          <w:rStyle w:val="FootnoteReference"/>
        </w:rPr>
        <w:footnoteRef/>
      </w:r>
      <w:r>
        <w:rPr>
          <w:sz w:val="16"/>
          <w:szCs w:val="16"/>
        </w:rPr>
        <w:tab/>
      </w:r>
      <w:r>
        <w:rPr>
          <w:rFonts w:ascii="Times New Roman" w:hAnsi="Times New Roman"/>
        </w:rPr>
        <w:t>The Bidder shall provide accurate information on the related Letter of Bid about any litigation or arbitration resulting from contracts completed or ongoing under its execution over the last five years. A consistent history of awards against the Bidder or any member of a joint venture may result in failure of the Bid.</w:t>
      </w:r>
    </w:p>
  </w:footnote>
  <w:footnote w:id="7">
    <w:p w14:paraId="3C5854DD" w14:textId="77777777" w:rsidR="0026442C" w:rsidRDefault="0026442C"/>
    <w:p w14:paraId="03F2BDB9" w14:textId="77777777" w:rsidR="0026442C" w:rsidRDefault="0026442C">
      <w:pPr>
        <w:pStyle w:val="FootnoteText"/>
        <w:tabs>
          <w:tab w:val="left" w:pos="180"/>
        </w:tabs>
        <w:rPr>
          <w:strike/>
        </w:rPr>
      </w:pPr>
    </w:p>
  </w:footnote>
  <w:footnote w:id="8">
    <w:p w14:paraId="12650726" w14:textId="77777777" w:rsidR="0026442C" w:rsidRDefault="0026442C">
      <w:pPr>
        <w:pStyle w:val="FootnoteText"/>
      </w:pPr>
      <w:r>
        <w:rPr>
          <w:rStyle w:val="FootnoteReference"/>
        </w:rPr>
        <w:footnoteRef/>
      </w:r>
      <w:r>
        <w:t xml:space="preserve"> </w:t>
      </w:r>
      <w:r>
        <w:rPr>
          <w:rFonts w:ascii="Times New Roman" w:hAnsi="Times New Roman"/>
          <w:szCs w:val="24"/>
        </w:rPr>
        <w:t>For contracts under which the Bidder participated as a joint venture member or sub-contractor, only the Bidder’s share, by value, and role and responsibilities shall be considered to meet this requirement.</w:t>
      </w:r>
    </w:p>
  </w:footnote>
  <w:footnote w:id="9">
    <w:p w14:paraId="48D00556" w14:textId="77777777" w:rsidR="0026442C" w:rsidRDefault="0026442C">
      <w:pPr>
        <w:pStyle w:val="FootnoteText"/>
        <w:ind w:right="360"/>
      </w:pPr>
      <w:r>
        <w:rPr>
          <w:rStyle w:val="FootnoteReference"/>
        </w:rPr>
        <w:footnoteRef/>
      </w:r>
      <w:r>
        <w:rPr>
          <w:rFonts w:ascii="Times New Roman" w:hAnsi="Times New Roman"/>
        </w:rPr>
        <w:t xml:space="preserve"> </w:t>
      </w:r>
      <w:r>
        <w:rPr>
          <w:rFonts w:ascii="Times New Roman" w:hAnsi="Times New Roman"/>
        </w:rPr>
        <w:tab/>
        <w:t xml:space="preserve">The amount of the Bond shall be denominated in the currency of the </w:t>
      </w:r>
      <w:r>
        <w:rPr>
          <w:rFonts w:ascii="Times New Roman" w:hAnsi="Times New Roman"/>
          <w:i/>
        </w:rPr>
        <w:t>Purchaser</w:t>
      </w:r>
      <w:r>
        <w:rPr>
          <w:rFonts w:ascii="Times New Roman" w:hAnsi="Times New Roman"/>
        </w:rPr>
        <w:t>’s Country or the equivalent amount in a freely convertible currency.</w:t>
      </w:r>
    </w:p>
  </w:footnote>
  <w:footnote w:id="10">
    <w:p w14:paraId="6F69877C" w14:textId="77777777" w:rsidR="0026442C" w:rsidRDefault="0026442C">
      <w:pPr>
        <w:pStyle w:val="FootnoteText"/>
        <w:rPr>
          <w:rFonts w:ascii="Times New Roman" w:hAnsi="Times New Roman"/>
          <w:sz w:val="18"/>
          <w:szCs w:val="18"/>
        </w:rPr>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For the avoidance of doubt, a sanctioned party’s ineligibility to be awarded a contract shall include, without limitation, (</w:t>
      </w:r>
      <w:proofErr w:type="spellStart"/>
      <w:r>
        <w:rPr>
          <w:rFonts w:ascii="Times New Roman" w:hAnsi="Times New Roman"/>
          <w:sz w:val="18"/>
          <w:szCs w:val="18"/>
        </w:rPr>
        <w:t>i</w:t>
      </w:r>
      <w:proofErr w:type="spellEnd"/>
      <w:r>
        <w:rPr>
          <w:rFonts w:ascii="Times New Roman" w:hAnsi="Times New Roman"/>
          <w:sz w:val="18"/>
          <w:szCs w:val="18"/>
        </w:rPr>
        <w:t>)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11">
    <w:p w14:paraId="3E7F98AF" w14:textId="77777777" w:rsidR="0026442C" w:rsidRDefault="0026442C">
      <w:pPr>
        <w:pStyle w:val="FootnoteText"/>
        <w:rPr>
          <w:rFonts w:ascii="Times New Roman" w:hAnsi="Times New Roman"/>
        </w:rPr>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A nominated sub-contractor, nominated consultant, nominated manufacturer or supplier, or nominated service provider (different names are used depending on the particular bidding document) is one which has been: (</w:t>
      </w:r>
      <w:proofErr w:type="spellStart"/>
      <w:r>
        <w:rPr>
          <w:rFonts w:ascii="Times New Roman" w:hAnsi="Times New Roman"/>
          <w:sz w:val="18"/>
          <w:szCs w:val="18"/>
        </w:rPr>
        <w:t>i</w:t>
      </w:r>
      <w:proofErr w:type="spellEnd"/>
      <w:r>
        <w:rPr>
          <w:rFonts w:ascii="Times New Roman" w:hAnsi="Times New Roman"/>
          <w:sz w:val="18"/>
          <w:szCs w:val="18"/>
        </w:rPr>
        <w:t>) included by the bidder in its pre-qualification application or bid because it brings specific and critical experience and know-how that allow the bidder to meet the qualification requirements for the particular bid; or (ii) appointed by the Borrower.</w:t>
      </w:r>
      <w:r>
        <w:rPr>
          <w:rFonts w:ascii="Times New Roman" w:hAnsi="Times New Roman"/>
        </w:rPr>
        <w:t xml:space="preserve">  </w:t>
      </w:r>
    </w:p>
  </w:footnote>
  <w:footnote w:id="12">
    <w:p w14:paraId="40113622" w14:textId="77777777" w:rsidR="0026442C" w:rsidRDefault="0026442C">
      <w:pPr>
        <w:pStyle w:val="FootnoteText"/>
        <w:rPr>
          <w:rFonts w:ascii="Times New Roman" w:hAnsi="Times New Roman"/>
        </w:rPr>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13">
    <w:p w14:paraId="680E8C26" w14:textId="77777777" w:rsidR="0026442C" w:rsidRDefault="0026442C">
      <w:pPr>
        <w:pStyle w:val="FootnoteText"/>
        <w:rPr>
          <w:rFonts w:ascii="Times New Roman" w:hAnsi="Times New Roman"/>
          <w:sz w:val="18"/>
          <w:szCs w:val="18"/>
        </w:rPr>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For the avoidance of doubt, a sanctioned party’s ineligibility to be awarded a contract shall include, without limitation, (</w:t>
      </w:r>
      <w:proofErr w:type="spellStart"/>
      <w:r>
        <w:rPr>
          <w:rFonts w:ascii="Times New Roman" w:hAnsi="Times New Roman"/>
          <w:sz w:val="18"/>
          <w:szCs w:val="18"/>
        </w:rPr>
        <w:t>i</w:t>
      </w:r>
      <w:proofErr w:type="spellEnd"/>
      <w:r>
        <w:rPr>
          <w:rFonts w:ascii="Times New Roman" w:hAnsi="Times New Roman"/>
          <w:sz w:val="18"/>
          <w:szCs w:val="18"/>
        </w:rPr>
        <w:t>)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14">
    <w:p w14:paraId="11238B2A" w14:textId="77777777" w:rsidR="0026442C" w:rsidRDefault="0026442C">
      <w:pPr>
        <w:pStyle w:val="FootnoteText"/>
        <w:rPr>
          <w:rFonts w:ascii="Times New Roman" w:hAnsi="Times New Roman"/>
        </w:rPr>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A nominated sub-contractor, nominated consultant, nominated manufacturer or supplier, or nominated service provider (different names are used depending on the particular bidding document) is one which has been: (</w:t>
      </w:r>
      <w:proofErr w:type="spellStart"/>
      <w:r>
        <w:rPr>
          <w:rFonts w:ascii="Times New Roman" w:hAnsi="Times New Roman"/>
          <w:sz w:val="18"/>
          <w:szCs w:val="18"/>
        </w:rPr>
        <w:t>i</w:t>
      </w:r>
      <w:proofErr w:type="spellEnd"/>
      <w:r>
        <w:rPr>
          <w:rFonts w:ascii="Times New Roman" w:hAnsi="Times New Roman"/>
          <w:sz w:val="18"/>
          <w:szCs w:val="18"/>
        </w:rPr>
        <w:t>) included by the bidder in its pre-qualification application or bid because it brings specific and critical experience and know-how that allow the bidder to meet the qualification requirements for the particular bid; or (ii) appointed by the Borrower.</w:t>
      </w:r>
      <w:r>
        <w:rPr>
          <w:rFonts w:ascii="Times New Roman" w:hAnsi="Times New Roman"/>
        </w:rPr>
        <w:t xml:space="preserve">  </w:t>
      </w:r>
    </w:p>
  </w:footnote>
  <w:footnote w:id="15">
    <w:p w14:paraId="1B9E7951" w14:textId="77777777" w:rsidR="0026442C" w:rsidRDefault="0026442C">
      <w:pPr>
        <w:pStyle w:val="FootnoteText"/>
      </w:pPr>
      <w:r>
        <w:rPr>
          <w:rStyle w:val="FootnoteReference"/>
        </w:rPr>
        <w:footnoteRef/>
      </w:r>
      <w:r>
        <w:rPr>
          <w:rFonts w:ascii="Times New Roman" w:hAnsi="Times New Roman"/>
        </w:rPr>
        <w:t xml:space="preserve"> </w:t>
      </w:r>
      <w:r>
        <w:rPr>
          <w:rFonts w:ascii="Times New Roman" w:hAnsi="Times New Roman"/>
        </w:rPr>
        <w:tab/>
      </w:r>
      <w:r>
        <w:rPr>
          <w:rFonts w:ascii="Times New Roman" w:hAnsi="Times New Roman"/>
          <w:sz w:val="18"/>
          <w:szCs w:val="18"/>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16">
    <w:p w14:paraId="29A0CE9A" w14:textId="77777777" w:rsidR="0026442C" w:rsidRDefault="0026442C">
      <w:pPr>
        <w:pStyle w:val="FootnoteText"/>
        <w:tabs>
          <w:tab w:val="left" w:pos="360"/>
        </w:tabs>
        <w:rPr>
          <w:rFonts w:ascii="Times New Roman" w:hAnsi="Times New Roman"/>
          <w:i/>
        </w:rPr>
      </w:pPr>
      <w:r>
        <w:rPr>
          <w:rStyle w:val="FootnoteReference"/>
          <w:i/>
        </w:rPr>
        <w:footnoteRef/>
      </w:r>
      <w:r>
        <w:rPr>
          <w:rFonts w:ascii="Times New Roman" w:hAnsi="Times New Roman"/>
          <w:i/>
        </w:rPr>
        <w:t xml:space="preserve"> </w:t>
      </w:r>
      <w:r>
        <w:rPr>
          <w:rFonts w:ascii="Times New Roman" w:hAnsi="Times New Roman"/>
          <w:i/>
        </w:rPr>
        <w:tab/>
        <w:t>The bank shall insert the amount(s) specified and denominated in the SCC for GCC Clauses 13.3.1 and 13.3.4 respectively, either in the currency(</w:t>
      </w:r>
      <w:proofErr w:type="spellStart"/>
      <w:r>
        <w:rPr>
          <w:rFonts w:ascii="Times New Roman" w:hAnsi="Times New Roman"/>
          <w:i/>
        </w:rPr>
        <w:t>ies</w:t>
      </w:r>
      <w:proofErr w:type="spellEnd"/>
      <w:r>
        <w:rPr>
          <w:rFonts w:ascii="Times New Roman" w:hAnsi="Times New Roman"/>
          <w:i/>
        </w:rPr>
        <w:t>) of the Contract or a freely convertible currency acceptable to the Purchaser.</w:t>
      </w:r>
    </w:p>
  </w:footnote>
  <w:footnote w:id="17">
    <w:p w14:paraId="1922A9F0" w14:textId="77777777" w:rsidR="0026442C" w:rsidRDefault="0026442C">
      <w:pPr>
        <w:pStyle w:val="FootnoteText"/>
        <w:tabs>
          <w:tab w:val="left" w:pos="360"/>
        </w:tabs>
        <w:rPr>
          <w:rFonts w:ascii="Times New Roman" w:hAnsi="Times New Roman"/>
          <w:b/>
          <w:i/>
          <w:color w:val="FF0000"/>
        </w:rPr>
      </w:pPr>
      <w:r>
        <w:rPr>
          <w:rStyle w:val="FootnoteReference"/>
          <w:i/>
        </w:rPr>
        <w:footnoteRef/>
      </w:r>
      <w:r>
        <w:rPr>
          <w:rFonts w:ascii="Times New Roman" w:hAnsi="Times New Roman"/>
          <w:i/>
        </w:rPr>
        <w:t xml:space="preserve"> </w:t>
      </w:r>
      <w:r>
        <w:rPr>
          <w:rFonts w:ascii="Times New Roman" w:hAnsi="Times New Roman"/>
          <w:i/>
        </w:rPr>
        <w:tab/>
        <w:t>In this sample form, the formulation of this paragraph reflects the usual SCC provisions for GCC Clause 13.3.  However, if the SCC for GCC Clauses 13.3.1 and 13.3.4 varies from the usual provisions, the paragraph, and possibly the previous paragraph, need to be adjusted to precisely reflect the provisions specified in the SCC.</w:t>
      </w:r>
    </w:p>
  </w:footnote>
  <w:footnote w:id="18">
    <w:p w14:paraId="61DE144F" w14:textId="77777777" w:rsidR="0026442C" w:rsidRDefault="0026442C">
      <w:pPr>
        <w:pStyle w:val="FootnoteText"/>
        <w:rPr>
          <w:rFonts w:ascii="Times New Roman" w:hAnsi="Times New Roman"/>
        </w:rPr>
      </w:pPr>
      <w:r>
        <w:rPr>
          <w:rStyle w:val="FootnoteReference"/>
        </w:rPr>
        <w:t>1</w:t>
      </w:r>
      <w:r>
        <w:rPr>
          <w:rFonts w:ascii="Times New Roman" w:hAnsi="Times New Roman"/>
        </w:rPr>
        <w:tab/>
      </w:r>
      <w:r>
        <w:rPr>
          <w:rFonts w:ascii="Times New Roman" w:hAnsi="Times New Roman"/>
          <w:i/>
        </w:rPr>
        <w:t>The Guarantor shall insert an amount representing the amount of the advance payment and denominated either in the currency(</w:t>
      </w:r>
      <w:proofErr w:type="spellStart"/>
      <w:r>
        <w:rPr>
          <w:rFonts w:ascii="Times New Roman" w:hAnsi="Times New Roman"/>
          <w:i/>
        </w:rPr>
        <w:t>ies</w:t>
      </w:r>
      <w:proofErr w:type="spellEnd"/>
      <w:r>
        <w:rPr>
          <w:rFonts w:ascii="Times New Roman" w:hAnsi="Times New Roman"/>
          <w:i/>
        </w:rPr>
        <w:t>) of the advance payment as specified in the Contract, or in a freely convertible currency acceptable to the Purchaser.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02737" w14:textId="741BCA2E" w:rsidR="0026442C" w:rsidRDefault="0026442C">
    <w:pPr>
      <w:pBdr>
        <w:bottom w:val="single" w:sz="4" w:space="2" w:color="auto"/>
      </w:pBdr>
      <w:tabs>
        <w:tab w:val="right" w:pos="9000"/>
      </w:tabs>
    </w:pPr>
    <w:r>
      <w:tab/>
    </w:r>
    <w:r>
      <w:fldChar w:fldCharType="begin"/>
    </w:r>
    <w:r>
      <w:instrText xml:space="preserve"> PAGE </w:instrText>
    </w:r>
    <w:r>
      <w:fldChar w:fldCharType="separate"/>
    </w:r>
    <w:r w:rsidR="009D1CBF">
      <w:rPr>
        <w:noProof/>
      </w:rPr>
      <w:t>1</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3352C4" w14:textId="77777777" w:rsidR="0026442C" w:rsidRDefault="0026442C">
    <w:pPr>
      <w:pStyle w:val="Header"/>
      <w:numPr>
        <w:ilvl w:val="12"/>
        <w:numId w:val="0"/>
      </w:numPr>
      <w:pBdr>
        <w:bottom w:val="single" w:sz="6" w:space="2" w:color="auto"/>
      </w:pBdr>
      <w:tabs>
        <w:tab w:val="clear" w:pos="4320"/>
        <w:tab w:val="clear" w:pos="8640"/>
        <w:tab w:val="right" w:pos="9000"/>
      </w:tabs>
      <w:rPr>
        <w:sz w:val="20"/>
      </w:rPr>
    </w:pPr>
    <w:r>
      <w:rPr>
        <w:rStyle w:val="PageNumber"/>
      </w:rPr>
      <w:fldChar w:fldCharType="begin"/>
    </w:r>
    <w:r>
      <w:rPr>
        <w:rStyle w:val="PageNumber"/>
      </w:rPr>
      <w:instrText xml:space="preserve"> PAGE </w:instrText>
    </w:r>
    <w:r>
      <w:rPr>
        <w:rStyle w:val="PageNumber"/>
      </w:rPr>
      <w:fldChar w:fldCharType="separate"/>
    </w:r>
    <w:r>
      <w:rPr>
        <w:rStyle w:val="PageNumber"/>
      </w:rPr>
      <w:t>64</w:t>
    </w:r>
    <w:r>
      <w:rPr>
        <w:rStyle w:val="PageNumber"/>
      </w:rPr>
      <w:fldChar w:fldCharType="end"/>
    </w:r>
    <w:r>
      <w:rPr>
        <w:sz w:val="20"/>
      </w:rPr>
      <w:tab/>
      <w:t xml:space="preserve">          Section III </w:t>
    </w:r>
    <w:proofErr w:type="gramStart"/>
    <w:r>
      <w:rPr>
        <w:sz w:val="20"/>
      </w:rPr>
      <w:t>-  Evaluation</w:t>
    </w:r>
    <w:proofErr w:type="gramEnd"/>
    <w:r>
      <w:rPr>
        <w:sz w:val="20"/>
      </w:rPr>
      <w:t xml:space="preserve"> and Qualification Criteria (Without Prequalification)</w:t>
    </w:r>
  </w:p>
  <w:p w14:paraId="55FAE2E6" w14:textId="77777777" w:rsidR="0026442C" w:rsidRDefault="0026442C">
    <w:pPr>
      <w:pStyle w:val="Header"/>
      <w:tabs>
        <w:tab w:val="right" w:pos="12960"/>
      </w:tabs>
      <w:ind w:right="-36"/>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B6320A" w14:textId="3D8F80C0"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 xml:space="preserve">Section III – Evaluation and Qualification Criteria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60</w:t>
    </w:r>
    <w:r>
      <w:rPr>
        <w:rStyle w:val="PageNumber"/>
      </w:rPr>
      <w:fldChar w:fldCharType="end"/>
    </w:r>
  </w:p>
  <w:p w14:paraId="7EAA5F47" w14:textId="77777777" w:rsidR="0026442C" w:rsidRDefault="0026442C">
    <w:pPr>
      <w:pStyle w:val="Header"/>
      <w:tabs>
        <w:tab w:val="clear" w:pos="4320"/>
        <w:tab w:val="clear" w:pos="8640"/>
        <w:tab w:val="right" w:pos="12960"/>
      </w:tabs>
      <w:ind w:right="-36"/>
      <w:jc w:val="left"/>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5E9C6A" w14:textId="23D513CA"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 xml:space="preserve">Section III – Evaluation and Qualification Criteria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52</w:t>
    </w:r>
    <w:r>
      <w:rPr>
        <w:rStyle w:val="PageNumber"/>
      </w:rPr>
      <w:fldChar w:fldCharType="end"/>
    </w:r>
  </w:p>
  <w:p w14:paraId="1DA37BD5" w14:textId="77777777" w:rsidR="0026442C" w:rsidRDefault="0026442C">
    <w:pPr>
      <w:pStyle w:val="Header"/>
      <w:tabs>
        <w:tab w:val="clear" w:pos="4320"/>
        <w:tab w:val="clear" w:pos="8640"/>
        <w:tab w:val="right" w:pos="12960"/>
      </w:tabs>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87881" w14:textId="77777777" w:rsidR="0026442C" w:rsidRDefault="0026442C">
    <w:pPr>
      <w:pStyle w:val="Header"/>
      <w:numPr>
        <w:ilvl w:val="12"/>
        <w:numId w:val="0"/>
      </w:numPr>
      <w:pBdr>
        <w:bottom w:val="single" w:sz="6" w:space="2" w:color="auto"/>
      </w:pBdr>
      <w:tabs>
        <w:tab w:val="clear" w:pos="4320"/>
        <w:tab w:val="clear" w:pos="8640"/>
        <w:tab w:val="right" w:pos="9000"/>
      </w:tabs>
      <w:rPr>
        <w:sz w:val="20"/>
      </w:rPr>
    </w:pPr>
    <w:r>
      <w:rPr>
        <w:rStyle w:val="PageNumber"/>
      </w:rPr>
      <w:fldChar w:fldCharType="begin"/>
    </w:r>
    <w:r>
      <w:rPr>
        <w:rStyle w:val="PageNumber"/>
      </w:rPr>
      <w:instrText xml:space="preserve"> PAGE </w:instrText>
    </w:r>
    <w:r>
      <w:rPr>
        <w:rStyle w:val="PageNumber"/>
      </w:rPr>
      <w:fldChar w:fldCharType="separate"/>
    </w:r>
    <w:r>
      <w:rPr>
        <w:rStyle w:val="PageNumber"/>
      </w:rPr>
      <w:t>68</w:t>
    </w:r>
    <w:r>
      <w:rPr>
        <w:rStyle w:val="PageNumber"/>
      </w:rPr>
      <w:fldChar w:fldCharType="end"/>
    </w:r>
    <w:r>
      <w:rPr>
        <w:sz w:val="20"/>
      </w:rPr>
      <w:tab/>
      <w:t xml:space="preserve">Section III </w:t>
    </w:r>
    <w:proofErr w:type="gramStart"/>
    <w:r>
      <w:rPr>
        <w:sz w:val="20"/>
      </w:rPr>
      <w:t>-  Evaluation</w:t>
    </w:r>
    <w:proofErr w:type="gramEnd"/>
    <w:r>
      <w:rPr>
        <w:sz w:val="20"/>
      </w:rPr>
      <w:t xml:space="preserve"> and Qualification Criteria (Without Prequalification)</w:t>
    </w:r>
  </w:p>
  <w:p w14:paraId="0623B878" w14:textId="77777777" w:rsidR="0026442C" w:rsidRDefault="0026442C">
    <w:pPr>
      <w:pStyle w:val="Header"/>
      <w:tabs>
        <w:tab w:val="right" w:pos="12960"/>
      </w:tabs>
      <w:ind w:right="-36"/>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1B5F36" w14:textId="436A2DFA" w:rsidR="0026442C" w:rsidRDefault="0026442C">
    <w:pPr>
      <w:pStyle w:val="Header"/>
      <w:numPr>
        <w:ilvl w:val="12"/>
        <w:numId w:val="0"/>
      </w:numPr>
      <w:pBdr>
        <w:bottom w:val="single" w:sz="6" w:space="2" w:color="auto"/>
      </w:pBdr>
      <w:tabs>
        <w:tab w:val="clear" w:pos="4320"/>
        <w:tab w:val="clear" w:pos="8640"/>
        <w:tab w:val="right" w:pos="9000"/>
      </w:tabs>
      <w:rPr>
        <w:sz w:val="20"/>
      </w:rPr>
    </w:pP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62</w:t>
    </w:r>
    <w:r>
      <w:rPr>
        <w:rStyle w:val="PageNumber"/>
      </w:rPr>
      <w:fldChar w:fldCharType="end"/>
    </w:r>
    <w:r>
      <w:rPr>
        <w:sz w:val="20"/>
      </w:rPr>
      <w:tab/>
      <w:t xml:space="preserve">Section III </w:t>
    </w:r>
    <w:proofErr w:type="gramStart"/>
    <w:r>
      <w:rPr>
        <w:sz w:val="20"/>
      </w:rPr>
      <w:t>-  Evaluation</w:t>
    </w:r>
    <w:proofErr w:type="gramEnd"/>
    <w:r>
      <w:rPr>
        <w:sz w:val="20"/>
      </w:rPr>
      <w:t xml:space="preserve"> and Qualification Criteria</w:t>
    </w:r>
  </w:p>
  <w:p w14:paraId="172073EF" w14:textId="77777777" w:rsidR="0026442C" w:rsidRDefault="0026442C">
    <w:pPr>
      <w:pStyle w:val="Header"/>
      <w:tabs>
        <w:tab w:val="right" w:pos="12780"/>
      </w:tabs>
      <w:ind w:right="-36"/>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7DCF9" w14:textId="39732D40" w:rsidR="0026442C" w:rsidRDefault="0026442C">
    <w:pPr>
      <w:pStyle w:val="Header"/>
      <w:numPr>
        <w:ilvl w:val="12"/>
        <w:numId w:val="0"/>
      </w:numPr>
      <w:pBdr>
        <w:bottom w:val="single" w:sz="6" w:space="2" w:color="auto"/>
      </w:pBdr>
      <w:tabs>
        <w:tab w:val="clear" w:pos="4320"/>
        <w:tab w:val="clear" w:pos="8640"/>
        <w:tab w:val="right" w:pos="9360"/>
      </w:tabs>
      <w:rPr>
        <w:sz w:val="20"/>
      </w:rPr>
    </w:pPr>
    <w:r>
      <w:rPr>
        <w:sz w:val="20"/>
      </w:rPr>
      <w:t xml:space="preserve">Section III – Evaluation and Qualification Criteria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61</w:t>
    </w:r>
    <w:r>
      <w:rPr>
        <w:rStyle w:val="PageNumber"/>
      </w:rPr>
      <w:fldChar w:fldCharType="end"/>
    </w:r>
  </w:p>
  <w:p w14:paraId="2BD53697" w14:textId="77777777" w:rsidR="0026442C" w:rsidRDefault="0026442C">
    <w:pPr>
      <w:pStyle w:val="Header"/>
      <w:tabs>
        <w:tab w:val="clear" w:pos="4320"/>
        <w:tab w:val="clear" w:pos="8640"/>
        <w:tab w:val="right" w:pos="9360"/>
        <w:tab w:val="right" w:pos="12960"/>
      </w:tabs>
      <w:ind w:right="-18"/>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F53DC" w14:textId="77777777" w:rsidR="0026442C" w:rsidRDefault="0026442C">
    <w:pPr>
      <w:pStyle w:val="Header"/>
      <w:numPr>
        <w:ilvl w:val="12"/>
        <w:numId w:val="0"/>
      </w:numPr>
      <w:pBdr>
        <w:bottom w:val="single" w:sz="6" w:space="2" w:color="auto"/>
      </w:pBdr>
      <w:tabs>
        <w:tab w:val="clear" w:pos="8640"/>
        <w:tab w:val="right" w:pos="9000"/>
      </w:tabs>
    </w:pPr>
    <w:r>
      <w:rPr>
        <w:rStyle w:val="PageNumber"/>
      </w:rPr>
      <w:fldChar w:fldCharType="begin"/>
    </w:r>
    <w:r>
      <w:rPr>
        <w:rStyle w:val="PageNumber"/>
      </w:rPr>
      <w:instrText xml:space="preserve"> PAGE </w:instrText>
    </w:r>
    <w:r>
      <w:rPr>
        <w:rStyle w:val="PageNumber"/>
      </w:rPr>
      <w:fldChar w:fldCharType="separate"/>
    </w:r>
    <w:r>
      <w:rPr>
        <w:rStyle w:val="PageNumber"/>
      </w:rPr>
      <w:t>72</w:t>
    </w:r>
    <w:r>
      <w:rPr>
        <w:rStyle w:val="PageNumber"/>
      </w:rPr>
      <w:fldChar w:fldCharType="end"/>
    </w:r>
    <w:r>
      <w:tab/>
    </w:r>
    <w:r>
      <w:tab/>
      <w:t>Section IV – Bidding Forms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E9D76" w14:textId="55D5AD3E" w:rsidR="0026442C" w:rsidRDefault="0026442C">
    <w:pPr>
      <w:pStyle w:val="Header"/>
      <w:numPr>
        <w:ilvl w:val="12"/>
        <w:numId w:val="0"/>
      </w:numPr>
      <w:pBdr>
        <w:bottom w:val="single" w:sz="6" w:space="2" w:color="auto"/>
      </w:pBdr>
      <w:tabs>
        <w:tab w:val="clear" w:pos="4320"/>
        <w:tab w:val="clear" w:pos="8640"/>
        <w:tab w:val="right" w:pos="9000"/>
      </w:tabs>
      <w:rPr>
        <w:sz w:val="20"/>
      </w:rPr>
    </w:pPr>
    <w:r>
      <w:rPr>
        <w:sz w:val="20"/>
      </w:rPr>
      <w:t xml:space="preserve">Section IV – Bidding Forms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69</w:t>
    </w:r>
    <w:r>
      <w:rPr>
        <w:rStyle w:val="PageNumber"/>
      </w:rPr>
      <w:fldChar w:fldCharType="end"/>
    </w:r>
  </w:p>
  <w:p w14:paraId="070B8785" w14:textId="77777777" w:rsidR="0026442C" w:rsidRDefault="0026442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76447" w14:textId="77777777" w:rsidR="0026442C" w:rsidRDefault="0026442C">
    <w:pPr>
      <w:pStyle w:val="Header"/>
      <w:numPr>
        <w:ilvl w:val="12"/>
        <w:numId w:val="0"/>
      </w:numPr>
      <w:pBdr>
        <w:bottom w:val="single" w:sz="6" w:space="2" w:color="auto"/>
      </w:pBdr>
      <w:tabs>
        <w:tab w:val="clear" w:pos="4320"/>
        <w:tab w:val="clear" w:pos="8640"/>
        <w:tab w:val="right" w:pos="9000"/>
      </w:tabs>
    </w:pPr>
    <w:r>
      <w:rPr>
        <w:rStyle w:val="PageNumber"/>
      </w:rPr>
      <w:fldChar w:fldCharType="begin"/>
    </w:r>
    <w:r>
      <w:rPr>
        <w:rStyle w:val="PageNumber"/>
      </w:rPr>
      <w:instrText xml:space="preserve"> PAGE </w:instrText>
    </w:r>
    <w:r>
      <w:rPr>
        <w:rStyle w:val="PageNumber"/>
      </w:rPr>
      <w:fldChar w:fldCharType="separate"/>
    </w:r>
    <w:r>
      <w:rPr>
        <w:rStyle w:val="PageNumber"/>
      </w:rPr>
      <w:t>112</w:t>
    </w:r>
    <w:r>
      <w:rPr>
        <w:rStyle w:val="PageNumber"/>
      </w:rPr>
      <w:fldChar w:fldCharType="end"/>
    </w:r>
    <w:r>
      <w:rPr>
        <w:sz w:val="20"/>
      </w:rPr>
      <w:tab/>
      <w:t xml:space="preserve">Section IV </w:t>
    </w:r>
    <w:proofErr w:type="gramStart"/>
    <w:r>
      <w:rPr>
        <w:sz w:val="20"/>
      </w:rPr>
      <w:t>-  Bidding</w:t>
    </w:r>
    <w:proofErr w:type="gramEnd"/>
    <w:r>
      <w:rPr>
        <w:sz w:val="20"/>
      </w:rPr>
      <w:t xml:space="preserve"> Forms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483FB" w14:textId="7DB3A913"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Section IV – Bidding Forms</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71</w:t>
    </w:r>
    <w:r>
      <w:rPr>
        <w:rStyle w:val="PageNumber"/>
      </w:rPr>
      <w:fldChar w:fldCharType="end"/>
    </w:r>
  </w:p>
  <w:p w14:paraId="6E67E329" w14:textId="77777777" w:rsidR="0026442C" w:rsidRDefault="0026442C">
    <w:pPr>
      <w:pStyle w:val="Header"/>
      <w:tabs>
        <w:tab w:val="clear" w:pos="4320"/>
        <w:tab w:val="clear" w:pos="8640"/>
        <w:tab w:val="right" w:pos="1296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8DE43A" w14:textId="77777777" w:rsidR="0026442C" w:rsidRDefault="0026442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7C851" w14:textId="08521787"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 xml:space="preserve">Section IV – Bidding Forms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70</w:t>
    </w:r>
    <w:r>
      <w:rPr>
        <w:rStyle w:val="PageNumber"/>
      </w:rPr>
      <w:fldChar w:fldCharType="end"/>
    </w:r>
  </w:p>
  <w:p w14:paraId="4E2C7A7B" w14:textId="77777777" w:rsidR="0026442C" w:rsidRDefault="0026442C">
    <w:pPr>
      <w:pStyle w:val="Header"/>
      <w:tabs>
        <w:tab w:val="clear" w:pos="8640"/>
        <w:tab w:val="right" w:pos="12960"/>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8221E5" w14:textId="5E932F33" w:rsidR="0026442C" w:rsidRDefault="0026442C">
    <w:pPr>
      <w:pStyle w:val="Header"/>
      <w:numPr>
        <w:ilvl w:val="12"/>
        <w:numId w:val="0"/>
      </w:numPr>
      <w:pBdr>
        <w:bottom w:val="single" w:sz="6" w:space="2" w:color="auto"/>
      </w:pBdr>
      <w:tabs>
        <w:tab w:val="clear" w:pos="4320"/>
      </w:tabs>
      <w:rPr>
        <w:sz w:val="20"/>
      </w:rPr>
    </w:pPr>
    <w:r>
      <w:rPr>
        <w:sz w:val="20"/>
      </w:rPr>
      <w:t>Section IV – Bidding Forms</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109</w:t>
    </w:r>
    <w:r>
      <w:rPr>
        <w:rStyle w:val="PageNumber"/>
      </w:rPr>
      <w:fldChar w:fldCharType="end"/>
    </w:r>
  </w:p>
  <w:p w14:paraId="085B3CF0" w14:textId="77777777" w:rsidR="0026442C" w:rsidRDefault="0026442C">
    <w:pPr>
      <w:pStyle w:val="Header"/>
      <w:tabs>
        <w:tab w:val="clear" w:pos="4320"/>
        <w:tab w:val="clear" w:pos="8640"/>
        <w:tab w:val="right" w:pos="12960"/>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9A4EFE" w14:textId="24CA221D" w:rsidR="0026442C" w:rsidRDefault="0026442C">
    <w:pPr>
      <w:pStyle w:val="Header"/>
      <w:numPr>
        <w:ilvl w:val="12"/>
        <w:numId w:val="0"/>
      </w:numPr>
      <w:pBdr>
        <w:bottom w:val="single" w:sz="6" w:space="2" w:color="auto"/>
      </w:pBdr>
      <w:tabs>
        <w:tab w:val="clear" w:pos="4320"/>
        <w:tab w:val="clear" w:pos="8640"/>
        <w:tab w:val="right" w:pos="9000"/>
      </w:tabs>
      <w:ind w:right="-90"/>
      <w:rPr>
        <w:sz w:val="20"/>
      </w:rPr>
    </w:pPr>
    <w:r>
      <w:rPr>
        <w:sz w:val="20"/>
      </w:rPr>
      <w:t>Section IV – Bidding Forms</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224</w:t>
    </w:r>
    <w:r>
      <w:rPr>
        <w:rStyle w:val="PageNumber"/>
      </w:rPr>
      <w:fldChar w:fldCharType="end"/>
    </w:r>
  </w:p>
  <w:p w14:paraId="78D5462E" w14:textId="77777777" w:rsidR="0026442C" w:rsidRDefault="0026442C">
    <w:pPr>
      <w:pStyle w:val="Header"/>
      <w:tabs>
        <w:tab w:val="clear" w:pos="4320"/>
        <w:tab w:val="clear" w:pos="8640"/>
        <w:tab w:val="right" w:pos="12960"/>
      </w:tabs>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C72F7D" w14:textId="3545BE15" w:rsidR="0026442C" w:rsidRDefault="0026442C">
    <w:pPr>
      <w:pStyle w:val="Header"/>
      <w:numPr>
        <w:ilvl w:val="12"/>
        <w:numId w:val="0"/>
      </w:numPr>
      <w:pBdr>
        <w:bottom w:val="single" w:sz="6" w:space="2" w:color="auto"/>
      </w:pBdr>
      <w:tabs>
        <w:tab w:val="clear" w:pos="4320"/>
        <w:tab w:val="clear" w:pos="8640"/>
        <w:tab w:val="right" w:pos="9000"/>
      </w:tabs>
      <w:rPr>
        <w:sz w:val="20"/>
      </w:rPr>
    </w:pPr>
    <w:r>
      <w:rPr>
        <w:sz w:val="20"/>
      </w:rPr>
      <w:t>Section IV – Bidding Forms</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230</w:t>
    </w:r>
    <w:r>
      <w:rPr>
        <w:rStyle w:val="PageNumber"/>
      </w:rPr>
      <w:fldChar w:fldCharType="end"/>
    </w:r>
  </w:p>
  <w:p w14:paraId="3E75B9A2" w14:textId="77777777" w:rsidR="0026442C" w:rsidRDefault="0026442C">
    <w:pPr>
      <w:pStyle w:val="Header"/>
      <w:tabs>
        <w:tab w:val="clear" w:pos="4320"/>
        <w:tab w:val="clear" w:pos="8640"/>
        <w:tab w:val="right" w:pos="12960"/>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8DC04" w14:textId="77777777" w:rsidR="0026442C" w:rsidRDefault="0026442C">
    <w:pPr>
      <w:pStyle w:val="Header"/>
      <w:numPr>
        <w:ilvl w:val="12"/>
        <w:numId w:val="0"/>
      </w:numPr>
      <w:pBdr>
        <w:bottom w:val="single" w:sz="6" w:space="2" w:color="auto"/>
      </w:pBdr>
      <w:tabs>
        <w:tab w:val="clear" w:pos="4320"/>
        <w:tab w:val="clear" w:pos="8640"/>
        <w:tab w:val="right" w:pos="9000"/>
      </w:tabs>
    </w:pPr>
    <w:r>
      <w:rPr>
        <w:rStyle w:val="PageNumber"/>
      </w:rPr>
      <w:fldChar w:fldCharType="begin"/>
    </w:r>
    <w:r>
      <w:rPr>
        <w:rStyle w:val="PageNumber"/>
      </w:rPr>
      <w:instrText xml:space="preserve"> PAGE </w:instrText>
    </w:r>
    <w:r>
      <w:rPr>
        <w:rStyle w:val="PageNumber"/>
      </w:rPr>
      <w:fldChar w:fldCharType="separate"/>
    </w:r>
    <w:r>
      <w:rPr>
        <w:rStyle w:val="PageNumber"/>
      </w:rPr>
      <w:t>126</w:t>
    </w:r>
    <w:r>
      <w:rPr>
        <w:rStyle w:val="PageNumber"/>
      </w:rPr>
      <w:fldChar w:fldCharType="end"/>
    </w:r>
    <w:r>
      <w:tab/>
      <w:t xml:space="preserve">Section VI </w:t>
    </w:r>
    <w:proofErr w:type="gramStart"/>
    <w:r>
      <w:t>-  Fraud</w:t>
    </w:r>
    <w:proofErr w:type="gramEnd"/>
    <w:r>
      <w:t xml:space="preserve"> and Corruption</w:t>
    </w:r>
  </w:p>
  <w:p w14:paraId="54BD3DBA" w14:textId="77777777" w:rsidR="0026442C" w:rsidRDefault="0026442C">
    <w:pPr>
      <w:pStyle w:val="Header"/>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CAFBE" w14:textId="70FE491E" w:rsidR="0026442C" w:rsidRDefault="0026442C">
    <w:pPr>
      <w:pStyle w:val="Header"/>
      <w:numPr>
        <w:ilvl w:val="12"/>
        <w:numId w:val="0"/>
      </w:numPr>
      <w:pBdr>
        <w:bottom w:val="single" w:sz="6" w:space="2" w:color="auto"/>
      </w:pBdr>
      <w:tabs>
        <w:tab w:val="clear" w:pos="4320"/>
        <w:tab w:val="clear" w:pos="8640"/>
        <w:tab w:val="right" w:pos="9360"/>
      </w:tabs>
      <w:rPr>
        <w:sz w:val="20"/>
      </w:rPr>
    </w:pPr>
    <w:r>
      <w:rPr>
        <w:sz w:val="20"/>
      </w:rPr>
      <w:t xml:space="preserve">Section V – Eligible Countries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231</w:t>
    </w:r>
    <w:r>
      <w:rPr>
        <w:rStyle w:val="PageNumber"/>
      </w:rPr>
      <w:fldChar w:fldCharType="end"/>
    </w:r>
  </w:p>
  <w:p w14:paraId="6FBEF140" w14:textId="77777777" w:rsidR="0026442C" w:rsidRDefault="0026442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39946" w14:textId="77777777" w:rsidR="0026442C" w:rsidRDefault="0026442C">
    <w:pPr>
      <w:pStyle w:val="Header"/>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2EDC5" w14:textId="7E896327" w:rsidR="0026442C" w:rsidRDefault="0026442C">
    <w:pPr>
      <w:pStyle w:val="Header"/>
      <w:numPr>
        <w:ilvl w:val="12"/>
        <w:numId w:val="0"/>
      </w:numPr>
      <w:pBdr>
        <w:bottom w:val="single" w:sz="6" w:space="2" w:color="auto"/>
      </w:pBdr>
      <w:tabs>
        <w:tab w:val="clear" w:pos="4320"/>
        <w:tab w:val="clear" w:pos="8640"/>
        <w:tab w:val="right" w:pos="9360"/>
      </w:tabs>
      <w:rPr>
        <w:sz w:val="20"/>
      </w:rPr>
    </w:pPr>
    <w:r>
      <w:rPr>
        <w:sz w:val="20"/>
      </w:rPr>
      <w:t xml:space="preserve">Section VI – Fraud and Corruption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234</w:t>
    </w:r>
    <w:r>
      <w:rPr>
        <w:rStyle w:val="PageNumber"/>
      </w:rPr>
      <w:fldChar w:fldCharType="end"/>
    </w:r>
  </w:p>
  <w:p w14:paraId="57084F0B" w14:textId="77777777" w:rsidR="0026442C" w:rsidRDefault="0026442C">
    <w:pPr>
      <w:pStyle w:val="Header"/>
      <w:ind w:right="-18"/>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25ACE" w14:textId="6BB87C25" w:rsidR="0026442C" w:rsidRDefault="0026442C">
    <w:pPr>
      <w:pStyle w:val="Header"/>
      <w:numPr>
        <w:ilvl w:val="12"/>
        <w:numId w:val="0"/>
      </w:numPr>
      <w:pBdr>
        <w:bottom w:val="single" w:sz="6" w:space="2" w:color="auto"/>
      </w:pBdr>
      <w:tabs>
        <w:tab w:val="clear" w:pos="4320"/>
        <w:tab w:val="clear" w:pos="8640"/>
        <w:tab w:val="right" w:pos="9360"/>
      </w:tabs>
      <w:rPr>
        <w:sz w:val="20"/>
      </w:rPr>
    </w:pPr>
    <w:r>
      <w:rPr>
        <w:sz w:val="20"/>
      </w:rPr>
      <w:t xml:space="preserve">Section VI – Fraud and Corruption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233</w:t>
    </w:r>
    <w:r>
      <w:rPr>
        <w:rStyle w:val="PageNumber"/>
      </w:rPr>
      <w:fldChar w:fldCharType="end"/>
    </w:r>
  </w:p>
  <w:p w14:paraId="325230C2" w14:textId="77777777" w:rsidR="0026442C" w:rsidRDefault="0026442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65A28" w14:textId="77777777" w:rsidR="0026442C" w:rsidRDefault="0026442C">
    <w:pPr>
      <w:pBdr>
        <w:bottom w:val="single" w:sz="4" w:space="2" w:color="auto"/>
      </w:pBdr>
      <w:tabs>
        <w:tab w:val="right" w:pos="9000"/>
      </w:tabs>
    </w:pPr>
    <w:r>
      <w:fldChar w:fldCharType="begin"/>
    </w:r>
    <w:r>
      <w:instrText xml:space="preserve"> PAGE </w:instrText>
    </w:r>
    <w:r>
      <w:fldChar w:fldCharType="separate"/>
    </w:r>
    <w:r>
      <w:t>138</w:t>
    </w:r>
    <w:r>
      <w:fldChar w:fldCharType="end"/>
    </w:r>
    <w:r>
      <w:tab/>
      <w:t>Section VII</w:t>
    </w:r>
    <w:r>
      <w:rPr>
        <w:caps/>
      </w:rPr>
      <w:t xml:space="preserve">:  </w:t>
    </w:r>
    <w:r>
      <w:t>Requirements of the Information System</w:t>
    </w:r>
  </w:p>
  <w:p w14:paraId="240DADBD" w14:textId="77777777" w:rsidR="0026442C" w:rsidRDefault="0026442C"/>
  <w:p w14:paraId="3BCEF338" w14:textId="77777777" w:rsidR="0026442C" w:rsidRDefault="0026442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331BA" w14:textId="13883D78" w:rsidR="0026442C" w:rsidRDefault="0026442C">
    <w:pPr>
      <w:numPr>
        <w:ilvl w:val="12"/>
        <w:numId w:val="0"/>
      </w:numPr>
      <w:pBdr>
        <w:bottom w:val="single" w:sz="6" w:space="2" w:color="auto"/>
      </w:pBdr>
      <w:tabs>
        <w:tab w:val="right" w:pos="9360"/>
      </w:tabs>
    </w:pPr>
    <w:r>
      <w:tab/>
    </w:r>
    <w:r>
      <w:fldChar w:fldCharType="begin"/>
    </w:r>
    <w:r>
      <w:instrText xml:space="preserve"> PAGE </w:instrText>
    </w:r>
    <w:r>
      <w:fldChar w:fldCharType="separate"/>
    </w:r>
    <w:r w:rsidR="009D1CBF">
      <w:rPr>
        <w:noProof/>
      </w:rPr>
      <w:t>1</w:t>
    </w:r>
    <w:r>
      <w:fldChar w:fldCharType="end"/>
    </w:r>
  </w:p>
  <w:p w14:paraId="799771A7" w14:textId="77777777" w:rsidR="0026442C" w:rsidRDefault="0026442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630676" w14:textId="450EAF8A" w:rsidR="0026442C" w:rsidRDefault="0026442C">
    <w:pPr>
      <w:pStyle w:val="Header"/>
      <w:numPr>
        <w:ilvl w:val="12"/>
        <w:numId w:val="0"/>
      </w:numPr>
      <w:pBdr>
        <w:bottom w:val="single" w:sz="6" w:space="2" w:color="auto"/>
      </w:pBdr>
      <w:tabs>
        <w:tab w:val="clear" w:pos="432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414</w:t>
    </w:r>
    <w:r>
      <w:rPr>
        <w:rStyle w:val="PageNumber"/>
      </w:rPr>
      <w:fldChar w:fldCharType="end"/>
    </w:r>
  </w:p>
  <w:p w14:paraId="38FBDF9E" w14:textId="77777777" w:rsidR="0026442C" w:rsidRDefault="0026442C">
    <w:pP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2EB71" w14:textId="0F80E704" w:rsidR="0026442C" w:rsidRDefault="0026442C">
    <w:pPr>
      <w:pStyle w:val="Header"/>
      <w:numPr>
        <w:ilvl w:val="12"/>
        <w:numId w:val="0"/>
      </w:numPr>
      <w:pBdr>
        <w:bottom w:val="single" w:sz="6" w:space="2" w:color="auto"/>
      </w:pBdr>
      <w:tabs>
        <w:tab w:val="clear" w:pos="4320"/>
        <w:tab w:val="clear" w:pos="8640"/>
        <w:tab w:val="right" w:pos="900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415</w:t>
    </w:r>
    <w:r>
      <w:rPr>
        <w:rStyle w:val="PageNumber"/>
      </w:rPr>
      <w:fldChar w:fldCharType="end"/>
    </w:r>
  </w:p>
  <w:p w14:paraId="767EF10A" w14:textId="77777777" w:rsidR="0026442C" w:rsidRDefault="0026442C"/>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38201" w14:textId="77777777" w:rsidR="0026442C" w:rsidRDefault="0026442C">
    <w:pPr>
      <w:pStyle w:val="Header"/>
      <w:pBdr>
        <w:bottom w:val="single" w:sz="4" w:space="2" w:color="auto"/>
      </w:pBdr>
      <w:tabs>
        <w:tab w:val="right" w:pos="9000"/>
      </w:tabs>
    </w:pPr>
    <w:r>
      <w:tab/>
    </w:r>
    <w:r>
      <w:fldChar w:fldCharType="begin"/>
    </w:r>
    <w:r>
      <w:instrText xml:space="preserve"> PAGE </w:instrText>
    </w:r>
    <w:r>
      <w:fldChar w:fldCharType="separate"/>
    </w:r>
    <w:r>
      <w:t>1</w:t>
    </w:r>
    <w: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37763" w14:textId="41F0349C"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428</w:t>
    </w:r>
    <w:r>
      <w:rPr>
        <w:rStyle w:val="PageNumber"/>
      </w:rPr>
      <w:fldChar w:fldCharType="end"/>
    </w:r>
  </w:p>
  <w:p w14:paraId="5707E3D6" w14:textId="77777777" w:rsidR="0026442C" w:rsidRDefault="0026442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6C15E3" w14:textId="77777777" w:rsidR="0026442C" w:rsidRDefault="0026442C">
    <w:pPr>
      <w:pBdr>
        <w:bottom w:val="single" w:sz="4" w:space="2" w:color="auto"/>
      </w:pBdr>
      <w:tabs>
        <w:tab w:val="right" w:pos="9000"/>
      </w:tabs>
    </w:pPr>
    <w:r>
      <w:fldChar w:fldCharType="begin"/>
    </w:r>
    <w:r>
      <w:instrText xml:space="preserve"> PAGE </w:instrText>
    </w:r>
    <w:r>
      <w:fldChar w:fldCharType="separate"/>
    </w:r>
    <w:r>
      <w:t>144</w:t>
    </w:r>
    <w:r>
      <w:fldChar w:fldCharType="end"/>
    </w:r>
    <w:r>
      <w:tab/>
      <w:t>Section V.  Requirements of the Information System</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A7FFE" w14:textId="07EA542F" w:rsidR="0026442C" w:rsidRDefault="0026442C">
    <w:pPr>
      <w:pStyle w:val="Header"/>
      <w:numPr>
        <w:ilvl w:val="12"/>
        <w:numId w:val="0"/>
      </w:numPr>
      <w:pBdr>
        <w:bottom w:val="single" w:sz="6" w:space="2" w:color="auto"/>
      </w:pBdr>
      <w:tabs>
        <w:tab w:val="clear" w:pos="4320"/>
        <w:tab w:val="left" w:pos="8640"/>
        <w:tab w:val="right" w:pos="1386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429</w:t>
    </w:r>
    <w:r>
      <w:rPr>
        <w:rStyle w:val="PageNumber"/>
      </w:rPr>
      <w:fldChar w:fldCharType="end"/>
    </w:r>
  </w:p>
  <w:p w14:paraId="6C4D22D7" w14:textId="77777777" w:rsidR="0026442C" w:rsidRDefault="0026442C">
    <w:pPr>
      <w:pStyle w:val="Header"/>
      <w:tabs>
        <w:tab w:val="clear" w:pos="8640"/>
        <w:tab w:val="right" w:pos="9000"/>
      </w:tabs>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696179" w14:textId="77777777" w:rsidR="0026442C" w:rsidRDefault="0026442C">
    <w:pPr>
      <w:pBdr>
        <w:bottom w:val="single" w:sz="4" w:space="2" w:color="auto"/>
      </w:pBdr>
      <w:tabs>
        <w:tab w:val="right" w:pos="9000"/>
      </w:tabs>
    </w:pPr>
    <w:r>
      <w:tab/>
    </w:r>
    <w:r>
      <w:fldChar w:fldCharType="begin"/>
    </w:r>
    <w:r>
      <w:instrText xml:space="preserve"> PAGE </w:instrText>
    </w:r>
    <w:r>
      <w:fldChar w:fldCharType="separate"/>
    </w:r>
    <w:r>
      <w:t>1</w:t>
    </w:r>
    <w: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147E19" w14:textId="77777777" w:rsidR="0026442C" w:rsidRDefault="0026442C">
    <w:pPr>
      <w:pBdr>
        <w:bottom w:val="single" w:sz="4" w:space="2" w:color="auto"/>
      </w:pBdr>
      <w:tabs>
        <w:tab w:val="right" w:pos="12960"/>
      </w:tabs>
    </w:pPr>
    <w:r>
      <w:fldChar w:fldCharType="begin"/>
    </w:r>
    <w:r>
      <w:instrText xml:space="preserve"> PAGE </w:instrText>
    </w:r>
    <w:r>
      <w:fldChar w:fldCharType="separate"/>
    </w:r>
    <w:r>
      <w:t>146</w:t>
    </w:r>
    <w:r>
      <w:fldChar w:fldCharType="end"/>
    </w:r>
    <w:r>
      <w:tab/>
      <w:t>Section V.  Requirements of the Information System</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89CF4D" w14:textId="2AD3C7DC" w:rsidR="0026442C" w:rsidRDefault="0026442C">
    <w:pPr>
      <w:pStyle w:val="Header"/>
      <w:numPr>
        <w:ilvl w:val="12"/>
        <w:numId w:val="0"/>
      </w:numPr>
      <w:pBdr>
        <w:bottom w:val="single" w:sz="6" w:space="2" w:color="auto"/>
      </w:pBdr>
      <w:tabs>
        <w:tab w:val="clear" w:pos="4320"/>
        <w:tab w:val="clear" w:pos="8640"/>
        <w:tab w:val="right" w:pos="1296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438</w:t>
    </w:r>
    <w:r>
      <w:rPr>
        <w:rStyle w:val="PageNumber"/>
      </w:rPr>
      <w:fldChar w:fldCharType="end"/>
    </w:r>
  </w:p>
  <w:p w14:paraId="04E2850F" w14:textId="77777777" w:rsidR="0026442C" w:rsidRDefault="0026442C">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356B5D" w14:textId="6F460F1C" w:rsidR="0026442C" w:rsidRDefault="0026442C">
    <w:pPr>
      <w:pStyle w:val="Header"/>
      <w:numPr>
        <w:ilvl w:val="12"/>
        <w:numId w:val="0"/>
      </w:numPr>
      <w:pBdr>
        <w:bottom w:val="single" w:sz="6" w:space="2" w:color="auto"/>
      </w:pBdr>
      <w:tabs>
        <w:tab w:val="clear" w:pos="4320"/>
        <w:tab w:val="clear" w:pos="8640"/>
        <w:tab w:val="right" w:pos="9000"/>
      </w:tabs>
      <w:rPr>
        <w:sz w:val="20"/>
      </w:rPr>
    </w:pPr>
    <w:r>
      <w:rPr>
        <w:sz w:val="20"/>
      </w:rPr>
      <w:t xml:space="preserve">Section VII – Purchaser’s Requirements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439</w:t>
    </w:r>
    <w:r>
      <w:rPr>
        <w:rStyle w:val="PageNumber"/>
      </w:rPr>
      <w:fldChar w:fldCharType="end"/>
    </w:r>
  </w:p>
  <w:p w14:paraId="5D64A1CE" w14:textId="77777777" w:rsidR="0026442C" w:rsidRDefault="0026442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92146" w14:textId="77777777" w:rsidR="0026442C" w:rsidRDefault="0026442C">
    <w:pPr>
      <w:pBdr>
        <w:bottom w:val="single" w:sz="4" w:space="2" w:color="auto"/>
      </w:pBdr>
      <w:tabs>
        <w:tab w:val="right" w:pos="9000"/>
      </w:tabs>
    </w:pPr>
    <w:r>
      <w:fldChar w:fldCharType="begin"/>
    </w:r>
    <w:r>
      <w:instrText xml:space="preserve"> PAGE </w:instrText>
    </w:r>
    <w:r>
      <w:fldChar w:fldCharType="separate"/>
    </w:r>
    <w:r>
      <w:t>2</w:t>
    </w:r>
    <w:r>
      <w:fldChar w:fldCharType="end"/>
    </w:r>
    <w:r>
      <w:tab/>
      <w:t>Part 1:  Bidding Procedures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AA7712" w14:textId="77777777" w:rsidR="0026442C" w:rsidRDefault="0026442C">
    <w:pPr>
      <w:pBdr>
        <w:bottom w:val="single" w:sz="6" w:space="2" w:color="auto"/>
      </w:pBdr>
      <w:tabs>
        <w:tab w:val="right" w:pos="9000"/>
      </w:tabs>
    </w:pPr>
    <w:r>
      <w:rPr>
        <w:rStyle w:val="PageNumber"/>
      </w:rPr>
      <w:fldChar w:fldCharType="begin"/>
    </w:r>
    <w:r>
      <w:rPr>
        <w:rStyle w:val="PageNumber"/>
      </w:rPr>
      <w:instrText xml:space="preserve"> PAGE </w:instrText>
    </w:r>
    <w:r>
      <w:rPr>
        <w:rStyle w:val="PageNumber"/>
      </w:rPr>
      <w:fldChar w:fldCharType="separate"/>
    </w:r>
    <w:r>
      <w:rPr>
        <w:rStyle w:val="PageNumber"/>
      </w:rPr>
      <w:t>232</w:t>
    </w:r>
    <w:r>
      <w:rPr>
        <w:rStyle w:val="PageNumber"/>
      </w:rPr>
      <w:fldChar w:fldCharType="end"/>
    </w:r>
    <w:r>
      <w:tab/>
      <w:t>Section VIII - General Conditions of Contract</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5C6F89" w14:textId="17035D85" w:rsidR="0026442C" w:rsidRDefault="0026442C">
    <w:pPr>
      <w:pStyle w:val="Header"/>
      <w:numPr>
        <w:ilvl w:val="12"/>
        <w:numId w:val="0"/>
      </w:numPr>
      <w:pBdr>
        <w:bottom w:val="single" w:sz="6" w:space="2" w:color="auto"/>
      </w:pBdr>
      <w:tabs>
        <w:tab w:val="clear" w:pos="4320"/>
        <w:tab w:val="clear" w:pos="8640"/>
        <w:tab w:val="right" w:pos="9000"/>
        <w:tab w:val="right" w:pos="12960"/>
      </w:tabs>
      <w:rPr>
        <w:sz w:val="20"/>
      </w:rPr>
    </w:pPr>
    <w:r>
      <w:rPr>
        <w:sz w:val="20"/>
      </w:rPr>
      <w:t xml:space="preserve">Section VIII – General Conditions of Contract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508</w:t>
    </w:r>
    <w:r>
      <w:rPr>
        <w:rStyle w:val="PageNumber"/>
      </w:rPr>
      <w:fldChar w:fldCharType="end"/>
    </w:r>
  </w:p>
  <w:p w14:paraId="042FB211" w14:textId="77777777" w:rsidR="0026442C" w:rsidRDefault="0026442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586DFC" w14:textId="77777777" w:rsidR="0026442C" w:rsidRDefault="0026442C">
    <w:pPr>
      <w:pBdr>
        <w:bottom w:val="single" w:sz="6" w:space="2" w:color="auto"/>
      </w:pBdr>
      <w:tabs>
        <w:tab w:val="right" w:pos="9000"/>
      </w:tabs>
      <w:ind w:right="-360"/>
    </w:pPr>
    <w:r>
      <w:rPr>
        <w:rStyle w:val="PageNumber"/>
      </w:rPr>
      <w:fldChar w:fldCharType="begin"/>
    </w:r>
    <w:r>
      <w:rPr>
        <w:rStyle w:val="PageNumber"/>
      </w:rPr>
      <w:instrText xml:space="preserve"> PAGE </w:instrText>
    </w:r>
    <w:r>
      <w:rPr>
        <w:rStyle w:val="PageNumber"/>
      </w:rPr>
      <w:fldChar w:fldCharType="separate"/>
    </w:r>
    <w:r>
      <w:rPr>
        <w:rStyle w:val="PageNumber"/>
      </w:rPr>
      <w:t>258</w:t>
    </w:r>
    <w:r>
      <w:rPr>
        <w:rStyle w:val="PageNumber"/>
      </w:rPr>
      <w:fldChar w:fldCharType="end"/>
    </w:r>
    <w:r>
      <w:tab/>
      <w:t xml:space="preserve">Section IX </w:t>
    </w:r>
    <w:proofErr w:type="gramStart"/>
    <w:r>
      <w:t>-  Special</w:t>
    </w:r>
    <w:proofErr w:type="gramEnd"/>
    <w:r>
      <w:t xml:space="preserve"> Conditions of Contract</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13B8A" w14:textId="35B34A3B" w:rsidR="0026442C" w:rsidRDefault="0026442C">
    <w:pPr>
      <w:pStyle w:val="Header"/>
      <w:numPr>
        <w:ilvl w:val="12"/>
        <w:numId w:val="0"/>
      </w:numPr>
      <w:pBdr>
        <w:bottom w:val="single" w:sz="6" w:space="2" w:color="auto"/>
      </w:pBdr>
      <w:tabs>
        <w:tab w:val="clear" w:pos="4320"/>
        <w:tab w:val="clear" w:pos="8640"/>
        <w:tab w:val="left" w:pos="9000"/>
        <w:tab w:val="right" w:pos="12960"/>
      </w:tabs>
      <w:rPr>
        <w:sz w:val="20"/>
      </w:rPr>
    </w:pPr>
    <w:r>
      <w:rPr>
        <w:sz w:val="20"/>
      </w:rPr>
      <w:t xml:space="preserve">Section IX – Special Conditions of Contract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536</w:t>
    </w:r>
    <w:r>
      <w:rPr>
        <w:rStyle w:val="PageNumber"/>
      </w:rPr>
      <w:fldChar w:fldCharType="end"/>
    </w:r>
  </w:p>
  <w:p w14:paraId="06160417" w14:textId="77777777" w:rsidR="0026442C" w:rsidRDefault="0026442C">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CBA34" w14:textId="77777777" w:rsidR="0026442C" w:rsidRDefault="0026442C">
    <w:pPr>
      <w:pBdr>
        <w:bottom w:val="single" w:sz="6" w:space="2" w:color="auto"/>
      </w:pBdr>
      <w:tabs>
        <w:tab w:val="right" w:pos="9000"/>
      </w:tabs>
    </w:pPr>
    <w:r>
      <w:rPr>
        <w:rStyle w:val="PageNumber"/>
      </w:rPr>
      <w:fldChar w:fldCharType="begin"/>
    </w:r>
    <w:r>
      <w:rPr>
        <w:rStyle w:val="PageNumber"/>
      </w:rPr>
      <w:instrText xml:space="preserve"> PAGE </w:instrText>
    </w:r>
    <w:r>
      <w:rPr>
        <w:rStyle w:val="PageNumber"/>
      </w:rPr>
      <w:fldChar w:fldCharType="separate"/>
    </w:r>
    <w:r>
      <w:rPr>
        <w:rStyle w:val="PageNumber"/>
      </w:rPr>
      <w:t>260</w:t>
    </w:r>
    <w:r>
      <w:rPr>
        <w:rStyle w:val="PageNumber"/>
      </w:rPr>
      <w:fldChar w:fldCharType="end"/>
    </w:r>
    <w:r>
      <w:tab/>
      <w:t>Section X – Contract Forms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896960" w14:textId="279E4F9C" w:rsidR="0026442C" w:rsidRDefault="0026442C">
    <w:pPr>
      <w:pStyle w:val="Header"/>
      <w:numPr>
        <w:ilvl w:val="12"/>
        <w:numId w:val="0"/>
      </w:numPr>
      <w:pBdr>
        <w:bottom w:val="single" w:sz="6" w:space="2" w:color="auto"/>
      </w:pBdr>
      <w:tabs>
        <w:tab w:val="clear" w:pos="4320"/>
        <w:tab w:val="clear" w:pos="8640"/>
        <w:tab w:val="left" w:pos="9000"/>
        <w:tab w:val="right" w:pos="12960"/>
      </w:tabs>
      <w:rPr>
        <w:sz w:val="20"/>
      </w:rPr>
    </w:pPr>
    <w:r>
      <w:rPr>
        <w:sz w:val="20"/>
      </w:rPr>
      <w:t xml:space="preserve">Section X – Contract Forms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538</w:t>
    </w:r>
    <w:r>
      <w:rPr>
        <w:rStyle w:val="PageNumber"/>
      </w:rPr>
      <w:fldChar w:fldCharType="end"/>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CD74B" w14:textId="77777777" w:rsidR="0026442C" w:rsidRDefault="0026442C">
    <w:pPr>
      <w:pBdr>
        <w:bottom w:val="single" w:sz="4" w:space="2" w:color="auto"/>
      </w:pBdr>
      <w:tabs>
        <w:tab w:val="right" w:pos="9000"/>
      </w:tabs>
    </w:pPr>
    <w:r>
      <w:t>Section VII.  Sample Forms</w:t>
    </w:r>
    <w:r>
      <w:tab/>
    </w:r>
    <w:r>
      <w:fldChar w:fldCharType="begin"/>
    </w:r>
    <w:r>
      <w:instrText xml:space="preserve"> PAGE </w:instrText>
    </w:r>
    <w:r>
      <w:fldChar w:fldCharType="separate"/>
    </w:r>
    <w:r>
      <w:t>233</w:t>
    </w:r>
    <w:r>
      <w:fldChar w:fldCharType="end"/>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B6A05F" w14:textId="77777777" w:rsidR="0026442C" w:rsidRDefault="0026442C">
    <w:pPr>
      <w:pBdr>
        <w:bottom w:val="single" w:sz="6" w:space="2" w:color="auto"/>
      </w:pBdr>
      <w:tabs>
        <w:tab w:val="right" w:pos="900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38D509" w14:textId="73E18132" w:rsidR="0026442C" w:rsidRDefault="0026442C">
    <w:pPr>
      <w:numPr>
        <w:ilvl w:val="12"/>
        <w:numId w:val="0"/>
      </w:numPr>
      <w:pBdr>
        <w:bottom w:val="single" w:sz="6" w:space="2" w:color="auto"/>
      </w:pBdr>
      <w:tabs>
        <w:tab w:val="right" w:pos="9360"/>
      </w:tabs>
    </w:pPr>
    <w:r>
      <w:t>Part 1 – Bidding Procedures</w:t>
    </w:r>
    <w:r>
      <w:tab/>
    </w:r>
    <w:r>
      <w:fldChar w:fldCharType="begin"/>
    </w:r>
    <w:r>
      <w:instrText xml:space="preserve"> PAGE </w:instrText>
    </w:r>
    <w:r>
      <w:fldChar w:fldCharType="separate"/>
    </w:r>
    <w:r w:rsidR="009D1CBF">
      <w:rPr>
        <w:noProof/>
      </w:rPr>
      <w:t>1</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902D0" w14:textId="77777777" w:rsidR="0026442C" w:rsidRDefault="0026442C">
    <w:pPr>
      <w:pBdr>
        <w:bottom w:val="single" w:sz="4" w:space="2" w:color="auto"/>
      </w:pBdr>
      <w:tabs>
        <w:tab w:val="right" w:pos="9000"/>
      </w:tabs>
      <w:rPr>
        <w:sz w:val="20"/>
      </w:rPr>
    </w:pPr>
    <w:r>
      <w:rPr>
        <w:sz w:val="20"/>
      </w:rPr>
      <w:fldChar w:fldCharType="begin"/>
    </w:r>
    <w:r>
      <w:rPr>
        <w:sz w:val="20"/>
      </w:rPr>
      <w:instrText xml:space="preserve"> PAGE </w:instrText>
    </w:r>
    <w:r>
      <w:rPr>
        <w:sz w:val="20"/>
      </w:rPr>
      <w:fldChar w:fldCharType="separate"/>
    </w:r>
    <w:r>
      <w:rPr>
        <w:sz w:val="20"/>
      </w:rPr>
      <w:t>34</w:t>
    </w:r>
    <w:r>
      <w:rPr>
        <w:sz w:val="20"/>
      </w:rPr>
      <w:fldChar w:fldCharType="end"/>
    </w:r>
    <w:r>
      <w:rPr>
        <w:sz w:val="20"/>
      </w:rPr>
      <w:tab/>
      <w:t>Section I - Instructions to Bidders (ITB)</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D15058" w14:textId="1E8C638C" w:rsidR="0026442C" w:rsidRDefault="0026442C">
    <w:pPr>
      <w:numPr>
        <w:ilvl w:val="12"/>
        <w:numId w:val="0"/>
      </w:numPr>
      <w:pBdr>
        <w:bottom w:val="single" w:sz="6" w:space="2" w:color="auto"/>
      </w:pBdr>
      <w:tabs>
        <w:tab w:val="right" w:pos="9360"/>
      </w:tabs>
    </w:pPr>
    <w:r>
      <w:t>Section I – Instructions to Bidders (</w:t>
    </w:r>
    <w:proofErr w:type="gramStart"/>
    <w:r>
      <w:t xml:space="preserve">ITB)  </w:t>
    </w:r>
    <w:r>
      <w:tab/>
    </w:r>
    <w:proofErr w:type="gramEnd"/>
    <w:r>
      <w:fldChar w:fldCharType="begin"/>
    </w:r>
    <w:r>
      <w:instrText xml:space="preserve"> PAGE </w:instrText>
    </w:r>
    <w:r>
      <w:fldChar w:fldCharType="separate"/>
    </w:r>
    <w:r w:rsidR="009D1CBF">
      <w:rPr>
        <w:noProof/>
      </w:rPr>
      <w:t>12</w:t>
    </w:r>
    <w:r>
      <w:fldChar w:fldCharType="end"/>
    </w:r>
  </w:p>
  <w:p w14:paraId="36041CF5" w14:textId="77777777" w:rsidR="0026442C" w:rsidRDefault="0026442C">
    <w:pPr>
      <w:pStyle w:val="Header"/>
      <w:tabs>
        <w:tab w:val="clear" w:pos="8640"/>
        <w:tab w:val="right" w:pos="936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E105E" w14:textId="77777777" w:rsidR="0026442C" w:rsidRDefault="0026442C">
    <w:pPr>
      <w:pStyle w:val="Header"/>
      <w:numPr>
        <w:ilvl w:val="12"/>
        <w:numId w:val="0"/>
      </w:numPr>
      <w:pBdr>
        <w:bottom w:val="single" w:sz="6" w:space="2" w:color="auto"/>
      </w:pBdr>
      <w:tabs>
        <w:tab w:val="clear" w:pos="4320"/>
        <w:tab w:val="clear" w:pos="8640"/>
        <w:tab w:val="right" w:pos="9000"/>
      </w:tabs>
      <w:rPr>
        <w:sz w:val="20"/>
      </w:rPr>
    </w:pPr>
    <w:r>
      <w:rPr>
        <w:rStyle w:val="PageNumber"/>
      </w:rPr>
      <w:fldChar w:fldCharType="begin"/>
    </w:r>
    <w:r>
      <w:rPr>
        <w:rStyle w:val="PageNumber"/>
      </w:rPr>
      <w:instrText xml:space="preserve"> PAGE </w:instrText>
    </w:r>
    <w:r>
      <w:rPr>
        <w:rStyle w:val="PageNumber"/>
      </w:rPr>
      <w:fldChar w:fldCharType="separate"/>
    </w:r>
    <w:r>
      <w:rPr>
        <w:rStyle w:val="PageNumber"/>
      </w:rPr>
      <w:t>58</w:t>
    </w:r>
    <w:r>
      <w:rPr>
        <w:rStyle w:val="PageNumber"/>
      </w:rPr>
      <w:fldChar w:fldCharType="end"/>
    </w:r>
    <w:r>
      <w:rPr>
        <w:sz w:val="20"/>
      </w:rPr>
      <w:tab/>
      <w:t xml:space="preserve">Section III </w:t>
    </w:r>
    <w:proofErr w:type="gramStart"/>
    <w:r>
      <w:rPr>
        <w:sz w:val="20"/>
      </w:rPr>
      <w:t>-  Evaluation</w:t>
    </w:r>
    <w:proofErr w:type="gramEnd"/>
    <w:r>
      <w:rPr>
        <w:sz w:val="20"/>
      </w:rPr>
      <w:t xml:space="preserve"> and Qualification Criteria (Without Prequalification) </w:t>
    </w:r>
  </w:p>
  <w:p w14:paraId="6726AF80" w14:textId="77777777" w:rsidR="0026442C" w:rsidRDefault="0026442C">
    <w:pPr>
      <w:pStyle w:val="Header"/>
      <w:tabs>
        <w:tab w:val="right" w:pos="9720"/>
      </w:tabs>
      <w:ind w:right="-36"/>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B21B63" w14:textId="70E4AE50" w:rsidR="0026442C" w:rsidRDefault="0026442C">
    <w:pPr>
      <w:pStyle w:val="Header"/>
      <w:numPr>
        <w:ilvl w:val="12"/>
        <w:numId w:val="0"/>
      </w:numPr>
      <w:pBdr>
        <w:bottom w:val="single" w:sz="6" w:space="2" w:color="auto"/>
      </w:pBdr>
      <w:tabs>
        <w:tab w:val="clear" w:pos="4320"/>
        <w:tab w:val="clear" w:pos="8640"/>
        <w:tab w:val="right" w:pos="9360"/>
      </w:tabs>
      <w:rPr>
        <w:sz w:val="20"/>
      </w:rPr>
    </w:pPr>
    <w:r>
      <w:rPr>
        <w:sz w:val="20"/>
      </w:rPr>
      <w:t xml:space="preserve">Section III – Evaluation and Qualification Criteria   </w:t>
    </w:r>
    <w:r>
      <w:rPr>
        <w:sz w:val="20"/>
      </w:rPr>
      <w:tab/>
    </w:r>
    <w:r>
      <w:rPr>
        <w:rStyle w:val="PageNumber"/>
      </w:rPr>
      <w:fldChar w:fldCharType="begin"/>
    </w:r>
    <w:r>
      <w:rPr>
        <w:rStyle w:val="PageNumber"/>
      </w:rPr>
      <w:instrText xml:space="preserve"> PAGE </w:instrText>
    </w:r>
    <w:r>
      <w:rPr>
        <w:rStyle w:val="PageNumber"/>
      </w:rPr>
      <w:fldChar w:fldCharType="separate"/>
    </w:r>
    <w:r w:rsidR="009D1CBF">
      <w:rPr>
        <w:rStyle w:val="PageNumber"/>
        <w:noProof/>
      </w:rPr>
      <w:t>51</w:t>
    </w:r>
    <w:r>
      <w:rPr>
        <w:rStyle w:val="PageNumber"/>
      </w:rPr>
      <w:fldChar w:fldCharType="end"/>
    </w:r>
  </w:p>
  <w:p w14:paraId="4AD15C00" w14:textId="77777777" w:rsidR="0026442C" w:rsidRDefault="0026442C">
    <w:pPr>
      <w:pStyle w:val="Header"/>
      <w:tabs>
        <w:tab w:val="clear" w:pos="4320"/>
        <w:tab w:val="clear" w:pos="8640"/>
        <w:tab w:val="right" w:pos="9360"/>
      </w:tabs>
      <w:ind w:right="-36"/>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33CF4"/>
    <w:multiLevelType w:val="hybridMultilevel"/>
    <w:tmpl w:val="48486860"/>
    <w:lvl w:ilvl="0" w:tplc="901E6966">
      <w:start w:val="1"/>
      <w:numFmt w:val="lowerRoman"/>
      <w:lvlText w:val="(%1)"/>
      <w:lvlJc w:val="left"/>
      <w:pPr>
        <w:ind w:left="2249" w:hanging="360"/>
      </w:pPr>
      <w:rPr>
        <w:rFonts w:hint="default"/>
      </w:rPr>
    </w:lvl>
    <w:lvl w:ilvl="1" w:tplc="09B23FC4">
      <w:start w:val="1"/>
      <w:numFmt w:val="lowerLetter"/>
      <w:lvlText w:val="%2."/>
      <w:lvlJc w:val="left"/>
      <w:pPr>
        <w:ind w:left="2969" w:hanging="360"/>
      </w:pPr>
    </w:lvl>
    <w:lvl w:ilvl="2" w:tplc="ACFCF5C4">
      <w:start w:val="1"/>
      <w:numFmt w:val="lowerRoman"/>
      <w:lvlText w:val="%3."/>
      <w:lvlJc w:val="right"/>
      <w:pPr>
        <w:ind w:left="3689" w:hanging="180"/>
      </w:pPr>
    </w:lvl>
    <w:lvl w:ilvl="3" w:tplc="0706DF46">
      <w:start w:val="1"/>
      <w:numFmt w:val="decimal"/>
      <w:lvlText w:val="%4."/>
      <w:lvlJc w:val="left"/>
      <w:pPr>
        <w:ind w:left="4409" w:hanging="360"/>
      </w:pPr>
    </w:lvl>
    <w:lvl w:ilvl="4" w:tplc="2ECE008C">
      <w:start w:val="1"/>
      <w:numFmt w:val="lowerLetter"/>
      <w:lvlText w:val="%5."/>
      <w:lvlJc w:val="left"/>
      <w:pPr>
        <w:ind w:left="5129" w:hanging="360"/>
      </w:pPr>
    </w:lvl>
    <w:lvl w:ilvl="5" w:tplc="4AA04C32">
      <w:start w:val="1"/>
      <w:numFmt w:val="lowerRoman"/>
      <w:lvlText w:val="%6."/>
      <w:lvlJc w:val="right"/>
      <w:pPr>
        <w:ind w:left="5849" w:hanging="180"/>
      </w:pPr>
    </w:lvl>
    <w:lvl w:ilvl="6" w:tplc="79A079DE">
      <w:start w:val="1"/>
      <w:numFmt w:val="decimal"/>
      <w:lvlText w:val="%7."/>
      <w:lvlJc w:val="left"/>
      <w:pPr>
        <w:ind w:left="6569" w:hanging="360"/>
      </w:pPr>
    </w:lvl>
    <w:lvl w:ilvl="7" w:tplc="C916E0D6">
      <w:start w:val="1"/>
      <w:numFmt w:val="lowerLetter"/>
      <w:lvlText w:val="%8."/>
      <w:lvlJc w:val="left"/>
      <w:pPr>
        <w:ind w:left="7289" w:hanging="360"/>
      </w:pPr>
    </w:lvl>
    <w:lvl w:ilvl="8" w:tplc="180CD3D0">
      <w:start w:val="1"/>
      <w:numFmt w:val="lowerRoman"/>
      <w:lvlText w:val="%9."/>
      <w:lvlJc w:val="right"/>
      <w:pPr>
        <w:ind w:left="8009" w:hanging="180"/>
      </w:pPr>
    </w:lvl>
  </w:abstractNum>
  <w:abstractNum w:abstractNumId="1" w15:restartNumberingAfterBreak="0">
    <w:nsid w:val="00DA4B62"/>
    <w:multiLevelType w:val="hybridMultilevel"/>
    <w:tmpl w:val="473ACFC6"/>
    <w:lvl w:ilvl="0" w:tplc="9D566F14">
      <w:start w:val="1"/>
      <w:numFmt w:val="bullet"/>
      <w:lvlText w:val="-"/>
      <w:lvlJc w:val="left"/>
      <w:pPr>
        <w:ind w:left="720" w:hanging="360"/>
      </w:pPr>
      <w:rPr>
        <w:rFonts w:ascii="Times New Roman" w:eastAsia="Times New Roman" w:hAnsi="Times New Roman" w:cs="Times New Roman" w:hint="default"/>
      </w:rPr>
    </w:lvl>
    <w:lvl w:ilvl="1" w:tplc="EDBAA9EC">
      <w:start w:val="1"/>
      <w:numFmt w:val="bullet"/>
      <w:lvlText w:val="o"/>
      <w:lvlJc w:val="left"/>
      <w:pPr>
        <w:ind w:left="1440" w:hanging="360"/>
      </w:pPr>
      <w:rPr>
        <w:rFonts w:ascii="Courier New" w:hAnsi="Courier New" w:cs="Courier New" w:hint="default"/>
      </w:rPr>
    </w:lvl>
    <w:lvl w:ilvl="2" w:tplc="6464B7A4">
      <w:start w:val="1"/>
      <w:numFmt w:val="bullet"/>
      <w:lvlText w:val=""/>
      <w:lvlJc w:val="left"/>
      <w:pPr>
        <w:ind w:left="2160" w:hanging="360"/>
      </w:pPr>
      <w:rPr>
        <w:rFonts w:ascii="Wingdings" w:hAnsi="Wingdings" w:hint="default"/>
      </w:rPr>
    </w:lvl>
    <w:lvl w:ilvl="3" w:tplc="8FBA429A">
      <w:start w:val="1"/>
      <w:numFmt w:val="bullet"/>
      <w:lvlText w:val=""/>
      <w:lvlJc w:val="left"/>
      <w:pPr>
        <w:ind w:left="2880" w:hanging="360"/>
      </w:pPr>
      <w:rPr>
        <w:rFonts w:ascii="Symbol" w:hAnsi="Symbol" w:hint="default"/>
      </w:rPr>
    </w:lvl>
    <w:lvl w:ilvl="4" w:tplc="62A02D8C">
      <w:start w:val="1"/>
      <w:numFmt w:val="bullet"/>
      <w:lvlText w:val="o"/>
      <w:lvlJc w:val="left"/>
      <w:pPr>
        <w:ind w:left="3600" w:hanging="360"/>
      </w:pPr>
      <w:rPr>
        <w:rFonts w:ascii="Courier New" w:hAnsi="Courier New" w:cs="Courier New" w:hint="default"/>
      </w:rPr>
    </w:lvl>
    <w:lvl w:ilvl="5" w:tplc="B6AC8642">
      <w:start w:val="1"/>
      <w:numFmt w:val="bullet"/>
      <w:lvlText w:val=""/>
      <w:lvlJc w:val="left"/>
      <w:pPr>
        <w:ind w:left="4320" w:hanging="360"/>
      </w:pPr>
      <w:rPr>
        <w:rFonts w:ascii="Wingdings" w:hAnsi="Wingdings" w:hint="default"/>
      </w:rPr>
    </w:lvl>
    <w:lvl w:ilvl="6" w:tplc="06F2DA58">
      <w:start w:val="1"/>
      <w:numFmt w:val="bullet"/>
      <w:lvlText w:val=""/>
      <w:lvlJc w:val="left"/>
      <w:pPr>
        <w:ind w:left="5040" w:hanging="360"/>
      </w:pPr>
      <w:rPr>
        <w:rFonts w:ascii="Symbol" w:hAnsi="Symbol" w:hint="default"/>
      </w:rPr>
    </w:lvl>
    <w:lvl w:ilvl="7" w:tplc="165E8676">
      <w:start w:val="1"/>
      <w:numFmt w:val="bullet"/>
      <w:lvlText w:val="o"/>
      <w:lvlJc w:val="left"/>
      <w:pPr>
        <w:ind w:left="5760" w:hanging="360"/>
      </w:pPr>
      <w:rPr>
        <w:rFonts w:ascii="Courier New" w:hAnsi="Courier New" w:cs="Courier New" w:hint="default"/>
      </w:rPr>
    </w:lvl>
    <w:lvl w:ilvl="8" w:tplc="D1BE0BBA">
      <w:start w:val="1"/>
      <w:numFmt w:val="bullet"/>
      <w:lvlText w:val=""/>
      <w:lvlJc w:val="left"/>
      <w:pPr>
        <w:ind w:left="6480" w:hanging="360"/>
      </w:pPr>
      <w:rPr>
        <w:rFonts w:ascii="Wingdings" w:hAnsi="Wingdings" w:hint="default"/>
      </w:rPr>
    </w:lvl>
  </w:abstractNum>
  <w:abstractNum w:abstractNumId="2" w15:restartNumberingAfterBreak="0">
    <w:nsid w:val="013A4C03"/>
    <w:multiLevelType w:val="multilevel"/>
    <w:tmpl w:val="8BC235EA"/>
    <w:lvl w:ilvl="0">
      <w:start w:val="1"/>
      <w:numFmt w:val="decimal"/>
      <w:lvlText w:val="%1."/>
      <w:lvlJc w:val="left"/>
      <w:pPr>
        <w:ind w:left="720" w:hanging="360"/>
      </w:pPr>
    </w:lvl>
    <w:lvl w:ilvl="1">
      <w:start w:val="5"/>
      <w:numFmt w:val="decimal"/>
      <w:isLgl/>
      <w:lvlText w:val="%1.%2"/>
      <w:lvlJc w:val="left"/>
      <w:pPr>
        <w:ind w:left="1200" w:hanging="720"/>
      </w:pPr>
      <w:rPr>
        <w:rFonts w:hint="default"/>
      </w:rPr>
    </w:lvl>
    <w:lvl w:ilvl="2">
      <w:start w:val="1"/>
      <w:numFmt w:val="decimal"/>
      <w:isLgl/>
      <w:lvlText w:val="%1.%2.%3"/>
      <w:lvlJc w:val="left"/>
      <w:pPr>
        <w:ind w:left="1320" w:hanging="720"/>
      </w:pPr>
      <w:rPr>
        <w:rFonts w:hint="default"/>
      </w:rPr>
    </w:lvl>
    <w:lvl w:ilvl="3">
      <w:start w:val="4"/>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3" w15:restartNumberingAfterBreak="0">
    <w:nsid w:val="017E0082"/>
    <w:multiLevelType w:val="hybridMultilevel"/>
    <w:tmpl w:val="605406B6"/>
    <w:lvl w:ilvl="0" w:tplc="AEF2060E">
      <w:start w:val="1"/>
      <w:numFmt w:val="bullet"/>
      <w:lvlText w:val="•"/>
      <w:lvlJc w:val="left"/>
      <w:pPr>
        <w:ind w:left="2940" w:hanging="360"/>
      </w:pPr>
      <w:rPr>
        <w:rFonts w:ascii="Calibri Light" w:eastAsia="Times New Roman" w:hAnsi="Calibri Light" w:cs="Times New Roman" w:hint="default"/>
      </w:rPr>
    </w:lvl>
    <w:lvl w:ilvl="1" w:tplc="9FB8DE60">
      <w:start w:val="1"/>
      <w:numFmt w:val="bullet"/>
      <w:lvlText w:val="o"/>
      <w:lvlJc w:val="left"/>
      <w:pPr>
        <w:ind w:left="2940" w:hanging="360"/>
      </w:pPr>
      <w:rPr>
        <w:rFonts w:ascii="Courier New" w:hAnsi="Courier New" w:cs="Courier New" w:hint="default"/>
      </w:rPr>
    </w:lvl>
    <w:lvl w:ilvl="2" w:tplc="BA6C5CEA">
      <w:start w:val="1"/>
      <w:numFmt w:val="bullet"/>
      <w:lvlText w:val=""/>
      <w:lvlJc w:val="left"/>
      <w:pPr>
        <w:ind w:left="3660" w:hanging="360"/>
      </w:pPr>
      <w:rPr>
        <w:rFonts w:ascii="Wingdings" w:hAnsi="Wingdings" w:hint="default"/>
      </w:rPr>
    </w:lvl>
    <w:lvl w:ilvl="3" w:tplc="FFECA96E">
      <w:start w:val="1"/>
      <w:numFmt w:val="bullet"/>
      <w:lvlText w:val=""/>
      <w:lvlJc w:val="left"/>
      <w:pPr>
        <w:ind w:left="4380" w:hanging="360"/>
      </w:pPr>
      <w:rPr>
        <w:rFonts w:ascii="Symbol" w:hAnsi="Symbol" w:hint="default"/>
      </w:rPr>
    </w:lvl>
    <w:lvl w:ilvl="4" w:tplc="4AC6DB16">
      <w:start w:val="1"/>
      <w:numFmt w:val="bullet"/>
      <w:lvlText w:val="o"/>
      <w:lvlJc w:val="left"/>
      <w:pPr>
        <w:ind w:left="5100" w:hanging="360"/>
      </w:pPr>
      <w:rPr>
        <w:rFonts w:ascii="Courier New" w:hAnsi="Courier New" w:cs="Courier New" w:hint="default"/>
      </w:rPr>
    </w:lvl>
    <w:lvl w:ilvl="5" w:tplc="5C5ED594">
      <w:start w:val="1"/>
      <w:numFmt w:val="bullet"/>
      <w:lvlText w:val=""/>
      <w:lvlJc w:val="left"/>
      <w:pPr>
        <w:ind w:left="5820" w:hanging="360"/>
      </w:pPr>
      <w:rPr>
        <w:rFonts w:ascii="Wingdings" w:hAnsi="Wingdings" w:hint="default"/>
      </w:rPr>
    </w:lvl>
    <w:lvl w:ilvl="6" w:tplc="10B20110">
      <w:start w:val="1"/>
      <w:numFmt w:val="bullet"/>
      <w:lvlText w:val=""/>
      <w:lvlJc w:val="left"/>
      <w:pPr>
        <w:ind w:left="6540" w:hanging="360"/>
      </w:pPr>
      <w:rPr>
        <w:rFonts w:ascii="Symbol" w:hAnsi="Symbol" w:hint="default"/>
      </w:rPr>
    </w:lvl>
    <w:lvl w:ilvl="7" w:tplc="1CB49F34">
      <w:start w:val="1"/>
      <w:numFmt w:val="bullet"/>
      <w:lvlText w:val="o"/>
      <w:lvlJc w:val="left"/>
      <w:pPr>
        <w:ind w:left="7260" w:hanging="360"/>
      </w:pPr>
      <w:rPr>
        <w:rFonts w:ascii="Courier New" w:hAnsi="Courier New" w:cs="Courier New" w:hint="default"/>
      </w:rPr>
    </w:lvl>
    <w:lvl w:ilvl="8" w:tplc="0B589332">
      <w:start w:val="1"/>
      <w:numFmt w:val="bullet"/>
      <w:lvlText w:val=""/>
      <w:lvlJc w:val="left"/>
      <w:pPr>
        <w:ind w:left="7980" w:hanging="360"/>
      </w:pPr>
      <w:rPr>
        <w:rFonts w:ascii="Wingdings" w:hAnsi="Wingdings" w:hint="default"/>
      </w:rPr>
    </w:lvl>
  </w:abstractNum>
  <w:abstractNum w:abstractNumId="4" w15:restartNumberingAfterBreak="0">
    <w:nsid w:val="01D0449C"/>
    <w:multiLevelType w:val="hybridMultilevel"/>
    <w:tmpl w:val="A0C66E42"/>
    <w:lvl w:ilvl="0" w:tplc="4D5AE2E8">
      <w:numFmt w:val="bullet"/>
      <w:lvlText w:val="•"/>
      <w:lvlJc w:val="left"/>
      <w:pPr>
        <w:ind w:left="720" w:hanging="360"/>
      </w:pPr>
      <w:rPr>
        <w:rFonts w:ascii="Calibri Light" w:eastAsia="Times New Roman" w:hAnsi="Calibri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7B539A"/>
    <w:multiLevelType w:val="hybridMultilevel"/>
    <w:tmpl w:val="E61431B2"/>
    <w:lvl w:ilvl="0" w:tplc="E5209EA8">
      <w:start w:val="1"/>
      <w:numFmt w:val="bullet"/>
      <w:lvlText w:val="•"/>
      <w:lvlJc w:val="left"/>
      <w:pPr>
        <w:ind w:left="1800" w:hanging="360"/>
      </w:pPr>
      <w:rPr>
        <w:rFonts w:ascii="Calibri Light" w:eastAsia="Times New Roman" w:hAnsi="Calibri Light" w:cs="Times New Roman" w:hint="default"/>
      </w:rPr>
    </w:lvl>
    <w:lvl w:ilvl="1" w:tplc="F9FCE2CC">
      <w:start w:val="1"/>
      <w:numFmt w:val="bullet"/>
      <w:lvlText w:val="o"/>
      <w:lvlJc w:val="left"/>
      <w:pPr>
        <w:ind w:left="2520" w:hanging="360"/>
      </w:pPr>
      <w:rPr>
        <w:rFonts w:ascii="Courier New" w:hAnsi="Courier New" w:cs="Courier New" w:hint="default"/>
      </w:rPr>
    </w:lvl>
    <w:lvl w:ilvl="2" w:tplc="703AF106">
      <w:start w:val="1"/>
      <w:numFmt w:val="bullet"/>
      <w:lvlText w:val=""/>
      <w:lvlJc w:val="left"/>
      <w:pPr>
        <w:ind w:left="3240" w:hanging="360"/>
      </w:pPr>
      <w:rPr>
        <w:rFonts w:ascii="Wingdings" w:hAnsi="Wingdings" w:hint="default"/>
      </w:rPr>
    </w:lvl>
    <w:lvl w:ilvl="3" w:tplc="1870FEE8">
      <w:start w:val="1"/>
      <w:numFmt w:val="bullet"/>
      <w:lvlText w:val=""/>
      <w:lvlJc w:val="left"/>
      <w:pPr>
        <w:ind w:left="3960" w:hanging="360"/>
      </w:pPr>
      <w:rPr>
        <w:rFonts w:ascii="Symbol" w:hAnsi="Symbol" w:hint="default"/>
      </w:rPr>
    </w:lvl>
    <w:lvl w:ilvl="4" w:tplc="BF5236DC">
      <w:start w:val="1"/>
      <w:numFmt w:val="bullet"/>
      <w:lvlText w:val="o"/>
      <w:lvlJc w:val="left"/>
      <w:pPr>
        <w:ind w:left="4680" w:hanging="360"/>
      </w:pPr>
      <w:rPr>
        <w:rFonts w:ascii="Courier New" w:hAnsi="Courier New" w:cs="Courier New" w:hint="default"/>
      </w:rPr>
    </w:lvl>
    <w:lvl w:ilvl="5" w:tplc="E8FCB1EE">
      <w:start w:val="1"/>
      <w:numFmt w:val="bullet"/>
      <w:lvlText w:val=""/>
      <w:lvlJc w:val="left"/>
      <w:pPr>
        <w:ind w:left="5400" w:hanging="360"/>
      </w:pPr>
      <w:rPr>
        <w:rFonts w:ascii="Wingdings" w:hAnsi="Wingdings" w:hint="default"/>
      </w:rPr>
    </w:lvl>
    <w:lvl w:ilvl="6" w:tplc="763C6FC4">
      <w:start w:val="1"/>
      <w:numFmt w:val="bullet"/>
      <w:lvlText w:val=""/>
      <w:lvlJc w:val="left"/>
      <w:pPr>
        <w:ind w:left="6120" w:hanging="360"/>
      </w:pPr>
      <w:rPr>
        <w:rFonts w:ascii="Symbol" w:hAnsi="Symbol" w:hint="default"/>
      </w:rPr>
    </w:lvl>
    <w:lvl w:ilvl="7" w:tplc="384E59A0">
      <w:start w:val="1"/>
      <w:numFmt w:val="bullet"/>
      <w:lvlText w:val="o"/>
      <w:lvlJc w:val="left"/>
      <w:pPr>
        <w:ind w:left="6840" w:hanging="360"/>
      </w:pPr>
      <w:rPr>
        <w:rFonts w:ascii="Courier New" w:hAnsi="Courier New" w:cs="Courier New" w:hint="default"/>
      </w:rPr>
    </w:lvl>
    <w:lvl w:ilvl="8" w:tplc="E9A855FE">
      <w:start w:val="1"/>
      <w:numFmt w:val="bullet"/>
      <w:lvlText w:val=""/>
      <w:lvlJc w:val="left"/>
      <w:pPr>
        <w:ind w:left="7560" w:hanging="360"/>
      </w:pPr>
      <w:rPr>
        <w:rFonts w:ascii="Wingdings" w:hAnsi="Wingdings" w:hint="default"/>
      </w:rPr>
    </w:lvl>
  </w:abstractNum>
  <w:abstractNum w:abstractNumId="6" w15:restartNumberingAfterBreak="0">
    <w:nsid w:val="039B7E74"/>
    <w:multiLevelType w:val="hybridMultilevel"/>
    <w:tmpl w:val="0DEC9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C126B6"/>
    <w:multiLevelType w:val="hybridMultilevel"/>
    <w:tmpl w:val="9EA0DE3E"/>
    <w:lvl w:ilvl="0" w:tplc="A560FFDC">
      <w:start w:val="1"/>
      <w:numFmt w:val="bullet"/>
      <w:lvlText w:val=""/>
      <w:lvlJc w:val="left"/>
      <w:pPr>
        <w:ind w:left="1440" w:hanging="360"/>
      </w:pPr>
      <w:rPr>
        <w:rFonts w:ascii="Symbol" w:hAnsi="Symbol" w:hint="default"/>
      </w:rPr>
    </w:lvl>
    <w:lvl w:ilvl="1" w:tplc="20B2BE62">
      <w:start w:val="1"/>
      <w:numFmt w:val="bullet"/>
      <w:lvlText w:val="o"/>
      <w:lvlJc w:val="left"/>
      <w:pPr>
        <w:ind w:left="2160" w:hanging="360"/>
      </w:pPr>
      <w:rPr>
        <w:rFonts w:ascii="Courier New" w:hAnsi="Courier New" w:cs="Courier New" w:hint="default"/>
      </w:rPr>
    </w:lvl>
    <w:lvl w:ilvl="2" w:tplc="6DE42908">
      <w:start w:val="1"/>
      <w:numFmt w:val="bullet"/>
      <w:lvlText w:val=""/>
      <w:lvlJc w:val="left"/>
      <w:pPr>
        <w:ind w:left="2880" w:hanging="360"/>
      </w:pPr>
      <w:rPr>
        <w:rFonts w:ascii="Wingdings" w:hAnsi="Wingdings" w:hint="default"/>
      </w:rPr>
    </w:lvl>
    <w:lvl w:ilvl="3" w:tplc="5CC201B2">
      <w:start w:val="1"/>
      <w:numFmt w:val="bullet"/>
      <w:lvlText w:val=""/>
      <w:lvlJc w:val="left"/>
      <w:pPr>
        <w:ind w:left="3600" w:hanging="360"/>
      </w:pPr>
      <w:rPr>
        <w:rFonts w:ascii="Symbol" w:hAnsi="Symbol" w:hint="default"/>
      </w:rPr>
    </w:lvl>
    <w:lvl w:ilvl="4" w:tplc="6BCA9998">
      <w:start w:val="1"/>
      <w:numFmt w:val="bullet"/>
      <w:lvlText w:val="o"/>
      <w:lvlJc w:val="left"/>
      <w:pPr>
        <w:ind w:left="4320" w:hanging="360"/>
      </w:pPr>
      <w:rPr>
        <w:rFonts w:ascii="Courier New" w:hAnsi="Courier New" w:cs="Courier New" w:hint="default"/>
      </w:rPr>
    </w:lvl>
    <w:lvl w:ilvl="5" w:tplc="F8B24896">
      <w:start w:val="1"/>
      <w:numFmt w:val="bullet"/>
      <w:lvlText w:val=""/>
      <w:lvlJc w:val="left"/>
      <w:pPr>
        <w:ind w:left="5040" w:hanging="360"/>
      </w:pPr>
      <w:rPr>
        <w:rFonts w:ascii="Wingdings" w:hAnsi="Wingdings" w:hint="default"/>
      </w:rPr>
    </w:lvl>
    <w:lvl w:ilvl="6" w:tplc="3252C334">
      <w:start w:val="1"/>
      <w:numFmt w:val="bullet"/>
      <w:lvlText w:val=""/>
      <w:lvlJc w:val="left"/>
      <w:pPr>
        <w:ind w:left="5760" w:hanging="360"/>
      </w:pPr>
      <w:rPr>
        <w:rFonts w:ascii="Symbol" w:hAnsi="Symbol" w:hint="default"/>
      </w:rPr>
    </w:lvl>
    <w:lvl w:ilvl="7" w:tplc="4A145FFC">
      <w:start w:val="1"/>
      <w:numFmt w:val="bullet"/>
      <w:lvlText w:val="o"/>
      <w:lvlJc w:val="left"/>
      <w:pPr>
        <w:ind w:left="6480" w:hanging="360"/>
      </w:pPr>
      <w:rPr>
        <w:rFonts w:ascii="Courier New" w:hAnsi="Courier New" w:cs="Courier New" w:hint="default"/>
      </w:rPr>
    </w:lvl>
    <w:lvl w:ilvl="8" w:tplc="A482B5B0">
      <w:start w:val="1"/>
      <w:numFmt w:val="bullet"/>
      <w:lvlText w:val=""/>
      <w:lvlJc w:val="left"/>
      <w:pPr>
        <w:ind w:left="7200" w:hanging="360"/>
      </w:pPr>
      <w:rPr>
        <w:rFonts w:ascii="Wingdings" w:hAnsi="Wingdings" w:hint="default"/>
      </w:rPr>
    </w:lvl>
  </w:abstractNum>
  <w:abstractNum w:abstractNumId="8" w15:restartNumberingAfterBreak="0">
    <w:nsid w:val="0480409E"/>
    <w:multiLevelType w:val="hybridMultilevel"/>
    <w:tmpl w:val="79202C8E"/>
    <w:lvl w:ilvl="0" w:tplc="C962514A">
      <w:numFmt w:val="bullet"/>
      <w:lvlText w:val=""/>
      <w:lvlJc w:val="left"/>
      <w:pPr>
        <w:ind w:left="467" w:hanging="360"/>
      </w:pPr>
      <w:rPr>
        <w:rFonts w:ascii="Symbol" w:eastAsia="Symbol" w:hAnsi="Symbol" w:cs="Symbol" w:hint="default"/>
        <w:w w:val="100"/>
        <w:sz w:val="22"/>
        <w:szCs w:val="22"/>
        <w:lang w:val="en-US" w:eastAsia="en-US" w:bidi="ar-SA"/>
      </w:rPr>
    </w:lvl>
    <w:lvl w:ilvl="1" w:tplc="1444F0CA">
      <w:numFmt w:val="bullet"/>
      <w:lvlText w:val="•"/>
      <w:lvlJc w:val="left"/>
      <w:pPr>
        <w:ind w:left="909" w:hanging="360"/>
      </w:pPr>
      <w:rPr>
        <w:rFonts w:hint="default"/>
        <w:lang w:val="en-US" w:eastAsia="en-US" w:bidi="ar-SA"/>
      </w:rPr>
    </w:lvl>
    <w:lvl w:ilvl="2" w:tplc="400C89CA">
      <w:numFmt w:val="bullet"/>
      <w:lvlText w:val="•"/>
      <w:lvlJc w:val="left"/>
      <w:pPr>
        <w:ind w:left="1358" w:hanging="360"/>
      </w:pPr>
      <w:rPr>
        <w:rFonts w:hint="default"/>
        <w:lang w:val="en-US" w:eastAsia="en-US" w:bidi="ar-SA"/>
      </w:rPr>
    </w:lvl>
    <w:lvl w:ilvl="3" w:tplc="789C694E">
      <w:numFmt w:val="bullet"/>
      <w:lvlText w:val="•"/>
      <w:lvlJc w:val="left"/>
      <w:pPr>
        <w:ind w:left="1807" w:hanging="360"/>
      </w:pPr>
      <w:rPr>
        <w:rFonts w:hint="default"/>
        <w:lang w:val="en-US" w:eastAsia="en-US" w:bidi="ar-SA"/>
      </w:rPr>
    </w:lvl>
    <w:lvl w:ilvl="4" w:tplc="616AA3FE">
      <w:numFmt w:val="bullet"/>
      <w:lvlText w:val="•"/>
      <w:lvlJc w:val="left"/>
      <w:pPr>
        <w:ind w:left="2256" w:hanging="360"/>
      </w:pPr>
      <w:rPr>
        <w:rFonts w:hint="default"/>
        <w:lang w:val="en-US" w:eastAsia="en-US" w:bidi="ar-SA"/>
      </w:rPr>
    </w:lvl>
    <w:lvl w:ilvl="5" w:tplc="E878F008">
      <w:numFmt w:val="bullet"/>
      <w:lvlText w:val="•"/>
      <w:lvlJc w:val="left"/>
      <w:pPr>
        <w:ind w:left="2705" w:hanging="360"/>
      </w:pPr>
      <w:rPr>
        <w:rFonts w:hint="default"/>
        <w:lang w:val="en-US" w:eastAsia="en-US" w:bidi="ar-SA"/>
      </w:rPr>
    </w:lvl>
    <w:lvl w:ilvl="6" w:tplc="29620180">
      <w:numFmt w:val="bullet"/>
      <w:lvlText w:val="•"/>
      <w:lvlJc w:val="left"/>
      <w:pPr>
        <w:ind w:left="3154" w:hanging="360"/>
      </w:pPr>
      <w:rPr>
        <w:rFonts w:hint="default"/>
        <w:lang w:val="en-US" w:eastAsia="en-US" w:bidi="ar-SA"/>
      </w:rPr>
    </w:lvl>
    <w:lvl w:ilvl="7" w:tplc="E6F4D2A8">
      <w:numFmt w:val="bullet"/>
      <w:lvlText w:val="•"/>
      <w:lvlJc w:val="left"/>
      <w:pPr>
        <w:ind w:left="3603" w:hanging="360"/>
      </w:pPr>
      <w:rPr>
        <w:rFonts w:hint="default"/>
        <w:lang w:val="en-US" w:eastAsia="en-US" w:bidi="ar-SA"/>
      </w:rPr>
    </w:lvl>
    <w:lvl w:ilvl="8" w:tplc="1A3279C0">
      <w:numFmt w:val="bullet"/>
      <w:lvlText w:val="•"/>
      <w:lvlJc w:val="left"/>
      <w:pPr>
        <w:ind w:left="4052" w:hanging="360"/>
      </w:pPr>
      <w:rPr>
        <w:rFonts w:hint="default"/>
        <w:lang w:val="en-US" w:eastAsia="en-US" w:bidi="ar-SA"/>
      </w:rPr>
    </w:lvl>
  </w:abstractNum>
  <w:abstractNum w:abstractNumId="9" w15:restartNumberingAfterBreak="0">
    <w:nsid w:val="04F42BB2"/>
    <w:multiLevelType w:val="hybridMultilevel"/>
    <w:tmpl w:val="2004AABA"/>
    <w:lvl w:ilvl="0" w:tplc="43DA977A">
      <w:start w:val="1"/>
      <w:numFmt w:val="bullet"/>
      <w:lvlText w:val="-"/>
      <w:lvlJc w:val="left"/>
      <w:pPr>
        <w:ind w:left="720" w:hanging="360"/>
      </w:pPr>
      <w:rPr>
        <w:rFonts w:ascii="Times New Roman" w:eastAsia="Times New Roman" w:hAnsi="Times New Roman" w:cs="Times New Roman" w:hint="default"/>
      </w:rPr>
    </w:lvl>
    <w:lvl w:ilvl="1" w:tplc="A55438B0">
      <w:start w:val="1"/>
      <w:numFmt w:val="bullet"/>
      <w:lvlText w:val="o"/>
      <w:lvlJc w:val="left"/>
      <w:pPr>
        <w:ind w:left="1440" w:hanging="360"/>
      </w:pPr>
      <w:rPr>
        <w:rFonts w:ascii="Courier New" w:hAnsi="Courier New" w:cs="Courier New" w:hint="default"/>
      </w:rPr>
    </w:lvl>
    <w:lvl w:ilvl="2" w:tplc="4A007362">
      <w:start w:val="1"/>
      <w:numFmt w:val="bullet"/>
      <w:lvlText w:val=""/>
      <w:lvlJc w:val="left"/>
      <w:pPr>
        <w:ind w:left="2160" w:hanging="360"/>
      </w:pPr>
      <w:rPr>
        <w:rFonts w:ascii="Wingdings" w:hAnsi="Wingdings" w:hint="default"/>
      </w:rPr>
    </w:lvl>
    <w:lvl w:ilvl="3" w:tplc="E5BC1D88">
      <w:start w:val="1"/>
      <w:numFmt w:val="bullet"/>
      <w:lvlText w:val=""/>
      <w:lvlJc w:val="left"/>
      <w:pPr>
        <w:ind w:left="2880" w:hanging="360"/>
      </w:pPr>
      <w:rPr>
        <w:rFonts w:ascii="Symbol" w:hAnsi="Symbol" w:hint="default"/>
      </w:rPr>
    </w:lvl>
    <w:lvl w:ilvl="4" w:tplc="3C7CB6A4">
      <w:start w:val="1"/>
      <w:numFmt w:val="bullet"/>
      <w:lvlText w:val="o"/>
      <w:lvlJc w:val="left"/>
      <w:pPr>
        <w:ind w:left="3600" w:hanging="360"/>
      </w:pPr>
      <w:rPr>
        <w:rFonts w:ascii="Courier New" w:hAnsi="Courier New" w:cs="Courier New" w:hint="default"/>
      </w:rPr>
    </w:lvl>
    <w:lvl w:ilvl="5" w:tplc="50680D5A">
      <w:start w:val="1"/>
      <w:numFmt w:val="bullet"/>
      <w:lvlText w:val=""/>
      <w:lvlJc w:val="left"/>
      <w:pPr>
        <w:ind w:left="4320" w:hanging="360"/>
      </w:pPr>
      <w:rPr>
        <w:rFonts w:ascii="Wingdings" w:hAnsi="Wingdings" w:hint="default"/>
      </w:rPr>
    </w:lvl>
    <w:lvl w:ilvl="6" w:tplc="94AAD8D2">
      <w:start w:val="1"/>
      <w:numFmt w:val="bullet"/>
      <w:lvlText w:val=""/>
      <w:lvlJc w:val="left"/>
      <w:pPr>
        <w:ind w:left="5040" w:hanging="360"/>
      </w:pPr>
      <w:rPr>
        <w:rFonts w:ascii="Symbol" w:hAnsi="Symbol" w:hint="default"/>
      </w:rPr>
    </w:lvl>
    <w:lvl w:ilvl="7" w:tplc="929048CA">
      <w:start w:val="1"/>
      <w:numFmt w:val="bullet"/>
      <w:lvlText w:val="o"/>
      <w:lvlJc w:val="left"/>
      <w:pPr>
        <w:ind w:left="5760" w:hanging="360"/>
      </w:pPr>
      <w:rPr>
        <w:rFonts w:ascii="Courier New" w:hAnsi="Courier New" w:cs="Courier New" w:hint="default"/>
      </w:rPr>
    </w:lvl>
    <w:lvl w:ilvl="8" w:tplc="BF68A670">
      <w:start w:val="1"/>
      <w:numFmt w:val="bullet"/>
      <w:lvlText w:val=""/>
      <w:lvlJc w:val="left"/>
      <w:pPr>
        <w:ind w:left="6480" w:hanging="360"/>
      </w:pPr>
      <w:rPr>
        <w:rFonts w:ascii="Wingdings" w:hAnsi="Wingdings" w:hint="default"/>
      </w:rPr>
    </w:lvl>
  </w:abstractNum>
  <w:abstractNum w:abstractNumId="10" w15:restartNumberingAfterBreak="0">
    <w:nsid w:val="060510A6"/>
    <w:multiLevelType w:val="hybridMultilevel"/>
    <w:tmpl w:val="113A2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F10369"/>
    <w:multiLevelType w:val="hybridMultilevel"/>
    <w:tmpl w:val="E8C2E66E"/>
    <w:lvl w:ilvl="0" w:tplc="3BB87D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E047B8"/>
    <w:multiLevelType w:val="hybridMultilevel"/>
    <w:tmpl w:val="2B329BC2"/>
    <w:lvl w:ilvl="0" w:tplc="DE702A74">
      <w:numFmt w:val="bullet"/>
      <w:lvlText w:val="•"/>
      <w:lvlJc w:val="left"/>
      <w:pPr>
        <w:ind w:left="1080" w:hanging="72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07F86495"/>
    <w:multiLevelType w:val="hybridMultilevel"/>
    <w:tmpl w:val="0108DE9C"/>
    <w:lvl w:ilvl="0" w:tplc="AE6043D0">
      <w:start w:val="1"/>
      <w:numFmt w:val="decimal"/>
      <w:lvlText w:val="(%1)"/>
      <w:lvlJc w:val="left"/>
      <w:pPr>
        <w:ind w:left="360" w:hanging="360"/>
      </w:pPr>
      <w:rPr>
        <w:rFonts w:ascii="Times New Roman" w:eastAsiaTheme="minorHAnsi" w:hAnsi="Times New Roman" w:cs="Times New Roman"/>
      </w:rPr>
    </w:lvl>
    <w:lvl w:ilvl="1" w:tplc="0BAC20D6">
      <w:start w:val="1"/>
      <w:numFmt w:val="bullet"/>
      <w:lvlText w:val="o"/>
      <w:lvlJc w:val="left"/>
      <w:pPr>
        <w:ind w:left="1080" w:hanging="360"/>
      </w:pPr>
      <w:rPr>
        <w:rFonts w:ascii="Courier New" w:hAnsi="Courier New" w:cs="Courier New" w:hint="default"/>
      </w:rPr>
    </w:lvl>
    <w:lvl w:ilvl="2" w:tplc="1D84B5D4">
      <w:start w:val="1"/>
      <w:numFmt w:val="bullet"/>
      <w:lvlText w:val=""/>
      <w:lvlJc w:val="left"/>
      <w:pPr>
        <w:ind w:left="1800" w:hanging="360"/>
      </w:pPr>
      <w:rPr>
        <w:rFonts w:ascii="Wingdings" w:hAnsi="Wingdings" w:hint="default"/>
      </w:rPr>
    </w:lvl>
    <w:lvl w:ilvl="3" w:tplc="2384C872">
      <w:start w:val="1"/>
      <w:numFmt w:val="bullet"/>
      <w:lvlText w:val=""/>
      <w:lvlJc w:val="left"/>
      <w:pPr>
        <w:ind w:left="2520" w:hanging="360"/>
      </w:pPr>
      <w:rPr>
        <w:rFonts w:ascii="Symbol" w:hAnsi="Symbol" w:hint="default"/>
      </w:rPr>
    </w:lvl>
    <w:lvl w:ilvl="4" w:tplc="7A0A4E06">
      <w:start w:val="1"/>
      <w:numFmt w:val="bullet"/>
      <w:lvlText w:val="o"/>
      <w:lvlJc w:val="left"/>
      <w:pPr>
        <w:ind w:left="3240" w:hanging="360"/>
      </w:pPr>
      <w:rPr>
        <w:rFonts w:ascii="Courier New" w:hAnsi="Courier New" w:cs="Courier New" w:hint="default"/>
      </w:rPr>
    </w:lvl>
    <w:lvl w:ilvl="5" w:tplc="BE7ADA40">
      <w:start w:val="1"/>
      <w:numFmt w:val="bullet"/>
      <w:lvlText w:val=""/>
      <w:lvlJc w:val="left"/>
      <w:pPr>
        <w:ind w:left="3960" w:hanging="360"/>
      </w:pPr>
      <w:rPr>
        <w:rFonts w:ascii="Wingdings" w:hAnsi="Wingdings" w:hint="default"/>
      </w:rPr>
    </w:lvl>
    <w:lvl w:ilvl="6" w:tplc="7FD452E8">
      <w:start w:val="1"/>
      <w:numFmt w:val="bullet"/>
      <w:lvlText w:val=""/>
      <w:lvlJc w:val="left"/>
      <w:pPr>
        <w:ind w:left="4680" w:hanging="360"/>
      </w:pPr>
      <w:rPr>
        <w:rFonts w:ascii="Symbol" w:hAnsi="Symbol" w:hint="default"/>
      </w:rPr>
    </w:lvl>
    <w:lvl w:ilvl="7" w:tplc="025246DE">
      <w:start w:val="1"/>
      <w:numFmt w:val="bullet"/>
      <w:lvlText w:val="o"/>
      <w:lvlJc w:val="left"/>
      <w:pPr>
        <w:ind w:left="5400" w:hanging="360"/>
      </w:pPr>
      <w:rPr>
        <w:rFonts w:ascii="Courier New" w:hAnsi="Courier New" w:cs="Courier New" w:hint="default"/>
      </w:rPr>
    </w:lvl>
    <w:lvl w:ilvl="8" w:tplc="22AC8AE0">
      <w:start w:val="1"/>
      <w:numFmt w:val="bullet"/>
      <w:lvlText w:val=""/>
      <w:lvlJc w:val="left"/>
      <w:pPr>
        <w:ind w:left="6120" w:hanging="360"/>
      </w:pPr>
      <w:rPr>
        <w:rFonts w:ascii="Wingdings" w:hAnsi="Wingdings" w:hint="default"/>
      </w:rPr>
    </w:lvl>
  </w:abstractNum>
  <w:abstractNum w:abstractNumId="14" w15:restartNumberingAfterBreak="0">
    <w:nsid w:val="08735A38"/>
    <w:multiLevelType w:val="hybridMultilevel"/>
    <w:tmpl w:val="C3309F96"/>
    <w:lvl w:ilvl="0" w:tplc="E68C08D8">
      <w:start w:val="1"/>
      <w:numFmt w:val="lowerRoman"/>
      <w:lvlText w:val="(%1)"/>
      <w:lvlJc w:val="left"/>
      <w:pPr>
        <w:ind w:left="1782" w:hanging="360"/>
      </w:pPr>
      <w:rPr>
        <w:rFonts w:ascii="Times New Roman" w:hAnsi="Times New Roman" w:hint="default"/>
        <w:b w:val="0"/>
        <w:i w:val="0"/>
        <w:sz w:val="24"/>
      </w:rPr>
    </w:lvl>
    <w:lvl w:ilvl="1" w:tplc="A5483AE0">
      <w:start w:val="1"/>
      <w:numFmt w:val="lowerLetter"/>
      <w:lvlText w:val="%2."/>
      <w:lvlJc w:val="left"/>
      <w:pPr>
        <w:ind w:left="2502" w:hanging="360"/>
      </w:pPr>
      <w:rPr>
        <w:rFonts w:ascii="Times New Roman" w:hAnsi="Times New Roman" w:hint="default"/>
        <w:b w:val="0"/>
        <w:i w:val="0"/>
        <w:sz w:val="24"/>
      </w:rPr>
    </w:lvl>
    <w:lvl w:ilvl="2" w:tplc="F01E3F1C">
      <w:start w:val="1"/>
      <w:numFmt w:val="lowerRoman"/>
      <w:lvlText w:val="%3."/>
      <w:lvlJc w:val="right"/>
      <w:pPr>
        <w:ind w:left="3222" w:hanging="180"/>
      </w:pPr>
    </w:lvl>
    <w:lvl w:ilvl="3" w:tplc="906ACC86">
      <w:start w:val="1"/>
      <w:numFmt w:val="decimal"/>
      <w:lvlText w:val="%4."/>
      <w:lvlJc w:val="left"/>
      <w:pPr>
        <w:ind w:left="3942" w:hanging="360"/>
      </w:pPr>
    </w:lvl>
    <w:lvl w:ilvl="4" w:tplc="CB04ECD2">
      <w:start w:val="1"/>
      <w:numFmt w:val="lowerLetter"/>
      <w:lvlText w:val="%5."/>
      <w:lvlJc w:val="left"/>
      <w:pPr>
        <w:ind w:left="4662" w:hanging="360"/>
      </w:pPr>
    </w:lvl>
    <w:lvl w:ilvl="5" w:tplc="EE84CCBE">
      <w:start w:val="1"/>
      <w:numFmt w:val="lowerRoman"/>
      <w:lvlText w:val="%6."/>
      <w:lvlJc w:val="right"/>
      <w:pPr>
        <w:ind w:left="5382" w:hanging="180"/>
      </w:pPr>
    </w:lvl>
    <w:lvl w:ilvl="6" w:tplc="1E62DE36">
      <w:start w:val="1"/>
      <w:numFmt w:val="decimal"/>
      <w:lvlText w:val="%7."/>
      <w:lvlJc w:val="left"/>
      <w:pPr>
        <w:ind w:left="6102" w:hanging="360"/>
      </w:pPr>
    </w:lvl>
    <w:lvl w:ilvl="7" w:tplc="7B12D5C8">
      <w:start w:val="1"/>
      <w:numFmt w:val="lowerLetter"/>
      <w:lvlText w:val="%8."/>
      <w:lvlJc w:val="left"/>
      <w:pPr>
        <w:ind w:left="6822" w:hanging="360"/>
      </w:pPr>
    </w:lvl>
    <w:lvl w:ilvl="8" w:tplc="0A3A8C52">
      <w:start w:val="1"/>
      <w:numFmt w:val="lowerRoman"/>
      <w:lvlText w:val="%9."/>
      <w:lvlJc w:val="right"/>
      <w:pPr>
        <w:ind w:left="7542" w:hanging="180"/>
      </w:pPr>
    </w:lvl>
  </w:abstractNum>
  <w:abstractNum w:abstractNumId="15" w15:restartNumberingAfterBreak="0">
    <w:nsid w:val="08F43AB3"/>
    <w:multiLevelType w:val="hybridMultilevel"/>
    <w:tmpl w:val="4D1A527E"/>
    <w:lvl w:ilvl="0" w:tplc="2774F3A0">
      <w:start w:val="1"/>
      <w:numFmt w:val="bullet"/>
      <w:lvlText w:val=""/>
      <w:lvlJc w:val="left"/>
      <w:pPr>
        <w:ind w:left="2880" w:hanging="360"/>
      </w:pPr>
      <w:rPr>
        <w:rFonts w:ascii="Symbol" w:hAnsi="Symbol" w:hint="default"/>
      </w:rPr>
    </w:lvl>
    <w:lvl w:ilvl="1" w:tplc="E550EE0A">
      <w:start w:val="1"/>
      <w:numFmt w:val="bullet"/>
      <w:lvlText w:val="o"/>
      <w:lvlJc w:val="left"/>
      <w:pPr>
        <w:ind w:left="3600" w:hanging="360"/>
      </w:pPr>
      <w:rPr>
        <w:rFonts w:ascii="Courier New" w:hAnsi="Courier New" w:cs="Courier New" w:hint="default"/>
      </w:rPr>
    </w:lvl>
    <w:lvl w:ilvl="2" w:tplc="BC6E7094">
      <w:start w:val="1"/>
      <w:numFmt w:val="bullet"/>
      <w:lvlText w:val=""/>
      <w:lvlJc w:val="left"/>
      <w:pPr>
        <w:ind w:left="4320" w:hanging="360"/>
      </w:pPr>
      <w:rPr>
        <w:rFonts w:ascii="Wingdings" w:hAnsi="Wingdings" w:hint="default"/>
      </w:rPr>
    </w:lvl>
    <w:lvl w:ilvl="3" w:tplc="5734E588">
      <w:start w:val="1"/>
      <w:numFmt w:val="bullet"/>
      <w:lvlText w:val=""/>
      <w:lvlJc w:val="left"/>
      <w:pPr>
        <w:ind w:left="5040" w:hanging="360"/>
      </w:pPr>
      <w:rPr>
        <w:rFonts w:ascii="Symbol" w:hAnsi="Symbol" w:hint="default"/>
      </w:rPr>
    </w:lvl>
    <w:lvl w:ilvl="4" w:tplc="4D3699DA">
      <w:start w:val="1"/>
      <w:numFmt w:val="bullet"/>
      <w:lvlText w:val="o"/>
      <w:lvlJc w:val="left"/>
      <w:pPr>
        <w:ind w:left="5760" w:hanging="360"/>
      </w:pPr>
      <w:rPr>
        <w:rFonts w:ascii="Courier New" w:hAnsi="Courier New" w:cs="Courier New" w:hint="default"/>
      </w:rPr>
    </w:lvl>
    <w:lvl w:ilvl="5" w:tplc="B85E626A">
      <w:start w:val="1"/>
      <w:numFmt w:val="bullet"/>
      <w:lvlText w:val=""/>
      <w:lvlJc w:val="left"/>
      <w:pPr>
        <w:ind w:left="6480" w:hanging="360"/>
      </w:pPr>
      <w:rPr>
        <w:rFonts w:ascii="Wingdings" w:hAnsi="Wingdings" w:hint="default"/>
      </w:rPr>
    </w:lvl>
    <w:lvl w:ilvl="6" w:tplc="06C4FAEA">
      <w:start w:val="1"/>
      <w:numFmt w:val="bullet"/>
      <w:lvlText w:val=""/>
      <w:lvlJc w:val="left"/>
      <w:pPr>
        <w:ind w:left="7200" w:hanging="360"/>
      </w:pPr>
      <w:rPr>
        <w:rFonts w:ascii="Symbol" w:hAnsi="Symbol" w:hint="default"/>
      </w:rPr>
    </w:lvl>
    <w:lvl w:ilvl="7" w:tplc="7E02A586">
      <w:start w:val="1"/>
      <w:numFmt w:val="bullet"/>
      <w:lvlText w:val="o"/>
      <w:lvlJc w:val="left"/>
      <w:pPr>
        <w:ind w:left="7920" w:hanging="360"/>
      </w:pPr>
      <w:rPr>
        <w:rFonts w:ascii="Courier New" w:hAnsi="Courier New" w:cs="Courier New" w:hint="default"/>
      </w:rPr>
    </w:lvl>
    <w:lvl w:ilvl="8" w:tplc="A8FEAC16">
      <w:start w:val="1"/>
      <w:numFmt w:val="bullet"/>
      <w:lvlText w:val=""/>
      <w:lvlJc w:val="left"/>
      <w:pPr>
        <w:ind w:left="8640" w:hanging="360"/>
      </w:pPr>
      <w:rPr>
        <w:rFonts w:ascii="Wingdings" w:hAnsi="Wingdings" w:hint="default"/>
      </w:rPr>
    </w:lvl>
  </w:abstractNum>
  <w:abstractNum w:abstractNumId="16" w15:restartNumberingAfterBreak="0">
    <w:nsid w:val="095E03E0"/>
    <w:multiLevelType w:val="hybridMultilevel"/>
    <w:tmpl w:val="CCE282E2"/>
    <w:lvl w:ilvl="0" w:tplc="B260C1A0">
      <w:start w:val="1"/>
      <w:numFmt w:val="bullet"/>
      <w:lvlText w:val="•"/>
      <w:lvlJc w:val="left"/>
      <w:pPr>
        <w:ind w:left="2160" w:hanging="360"/>
      </w:pPr>
      <w:rPr>
        <w:rFonts w:ascii="Calibri Light" w:eastAsia="Times New Roman" w:hAnsi="Calibri Light" w:cs="Times New Roman" w:hint="default"/>
      </w:rPr>
    </w:lvl>
    <w:lvl w:ilvl="1" w:tplc="A78293B4">
      <w:start w:val="1"/>
      <w:numFmt w:val="bullet"/>
      <w:lvlText w:val="o"/>
      <w:lvlJc w:val="left"/>
      <w:pPr>
        <w:ind w:left="2880" w:hanging="360"/>
      </w:pPr>
      <w:rPr>
        <w:rFonts w:ascii="Courier New" w:hAnsi="Courier New" w:cs="Courier New" w:hint="default"/>
      </w:rPr>
    </w:lvl>
    <w:lvl w:ilvl="2" w:tplc="C79A13E0">
      <w:start w:val="1"/>
      <w:numFmt w:val="bullet"/>
      <w:lvlText w:val=""/>
      <w:lvlJc w:val="left"/>
      <w:pPr>
        <w:ind w:left="3600" w:hanging="360"/>
      </w:pPr>
      <w:rPr>
        <w:rFonts w:ascii="Wingdings" w:hAnsi="Wingdings" w:hint="default"/>
      </w:rPr>
    </w:lvl>
    <w:lvl w:ilvl="3" w:tplc="EA2C2D10">
      <w:start w:val="1"/>
      <w:numFmt w:val="bullet"/>
      <w:lvlText w:val=""/>
      <w:lvlJc w:val="left"/>
      <w:pPr>
        <w:ind w:left="4320" w:hanging="360"/>
      </w:pPr>
      <w:rPr>
        <w:rFonts w:ascii="Symbol" w:hAnsi="Symbol" w:hint="default"/>
      </w:rPr>
    </w:lvl>
    <w:lvl w:ilvl="4" w:tplc="20560B20">
      <w:start w:val="1"/>
      <w:numFmt w:val="bullet"/>
      <w:lvlText w:val="o"/>
      <w:lvlJc w:val="left"/>
      <w:pPr>
        <w:ind w:left="5040" w:hanging="360"/>
      </w:pPr>
      <w:rPr>
        <w:rFonts w:ascii="Courier New" w:hAnsi="Courier New" w:cs="Courier New" w:hint="default"/>
      </w:rPr>
    </w:lvl>
    <w:lvl w:ilvl="5" w:tplc="35C055DE">
      <w:start w:val="1"/>
      <w:numFmt w:val="bullet"/>
      <w:lvlText w:val=""/>
      <w:lvlJc w:val="left"/>
      <w:pPr>
        <w:ind w:left="5760" w:hanging="360"/>
      </w:pPr>
      <w:rPr>
        <w:rFonts w:ascii="Wingdings" w:hAnsi="Wingdings" w:hint="default"/>
      </w:rPr>
    </w:lvl>
    <w:lvl w:ilvl="6" w:tplc="7FCC14A2">
      <w:start w:val="1"/>
      <w:numFmt w:val="bullet"/>
      <w:lvlText w:val=""/>
      <w:lvlJc w:val="left"/>
      <w:pPr>
        <w:ind w:left="6480" w:hanging="360"/>
      </w:pPr>
      <w:rPr>
        <w:rFonts w:ascii="Symbol" w:hAnsi="Symbol" w:hint="default"/>
      </w:rPr>
    </w:lvl>
    <w:lvl w:ilvl="7" w:tplc="E2989DDE">
      <w:start w:val="1"/>
      <w:numFmt w:val="bullet"/>
      <w:lvlText w:val="o"/>
      <w:lvlJc w:val="left"/>
      <w:pPr>
        <w:ind w:left="7200" w:hanging="360"/>
      </w:pPr>
      <w:rPr>
        <w:rFonts w:ascii="Courier New" w:hAnsi="Courier New" w:cs="Courier New" w:hint="default"/>
      </w:rPr>
    </w:lvl>
    <w:lvl w:ilvl="8" w:tplc="B978C1D4">
      <w:start w:val="1"/>
      <w:numFmt w:val="bullet"/>
      <w:lvlText w:val=""/>
      <w:lvlJc w:val="left"/>
      <w:pPr>
        <w:ind w:left="7920" w:hanging="360"/>
      </w:pPr>
      <w:rPr>
        <w:rFonts w:ascii="Wingdings" w:hAnsi="Wingdings" w:hint="default"/>
      </w:rPr>
    </w:lvl>
  </w:abstractNum>
  <w:abstractNum w:abstractNumId="17" w15:restartNumberingAfterBreak="0">
    <w:nsid w:val="09F47C87"/>
    <w:multiLevelType w:val="multilevel"/>
    <w:tmpl w:val="B93CCAC6"/>
    <w:lvl w:ilvl="0">
      <w:start w:val="1"/>
      <w:numFmt w:val="decimal"/>
      <w:suff w:val="space"/>
      <w:lvlText w:val="%1."/>
      <w:lvlJc w:val="left"/>
      <w:pPr>
        <w:ind w:left="720" w:hanging="720"/>
      </w:pPr>
      <w:rPr>
        <w:rFonts w:ascii="Times New Roman Bold" w:hAnsi="Times New Roman Bold" w:hint="default"/>
        <w:b/>
        <w:i w:val="0"/>
        <w:strike w:val="0"/>
        <w:sz w:val="24"/>
      </w:rPr>
    </w:lvl>
    <w:lvl w:ilvl="1">
      <w:start w:val="1"/>
      <w:numFmt w:val="decimal"/>
      <w:suff w:val="space"/>
      <w:lvlText w:val="%1.%2 "/>
      <w:lvlJc w:val="left"/>
      <w:pPr>
        <w:ind w:left="432" w:hanging="432"/>
      </w:pPr>
      <w:rPr>
        <w:rFonts w:hint="default"/>
        <w:strike w:val="0"/>
      </w:rPr>
    </w:lvl>
    <w:lvl w:ilvl="2">
      <w:start w:val="1"/>
      <w:numFmt w:val="lowerRoman"/>
      <w:lvlText w:val="%3)"/>
      <w:lvlJc w:val="lef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lef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left"/>
      <w:pPr>
        <w:ind w:left="720" w:hanging="720"/>
      </w:pPr>
      <w:rPr>
        <w:rFonts w:hint="default"/>
      </w:rPr>
    </w:lvl>
  </w:abstractNum>
  <w:abstractNum w:abstractNumId="18" w15:restartNumberingAfterBreak="0">
    <w:nsid w:val="0A7C6D25"/>
    <w:multiLevelType w:val="hybridMultilevel"/>
    <w:tmpl w:val="D0F60B32"/>
    <w:lvl w:ilvl="0" w:tplc="F9245CFA">
      <w:start w:val="1"/>
      <w:numFmt w:val="lowerLetter"/>
      <w:lvlText w:val="(%1)"/>
      <w:lvlJc w:val="left"/>
      <w:pPr>
        <w:tabs>
          <w:tab w:val="num" w:pos="2556"/>
        </w:tabs>
        <w:ind w:left="2556" w:hanging="576"/>
      </w:pPr>
      <w:rPr>
        <w:rFonts w:ascii="Times New Roman" w:hAnsi="Times New Roman" w:cs="Times New Roman" w:hint="default"/>
        <w:b w:val="0"/>
        <w:i w:val="0"/>
        <w:color w:val="auto"/>
        <w:sz w:val="22"/>
        <w:szCs w:val="22"/>
        <w:u w:val="none"/>
      </w:rPr>
    </w:lvl>
    <w:lvl w:ilvl="1" w:tplc="759A0426">
      <w:start w:val="1"/>
      <w:numFmt w:val="lowerLetter"/>
      <w:lvlText w:val="%2."/>
      <w:lvlJc w:val="left"/>
      <w:pPr>
        <w:tabs>
          <w:tab w:val="num" w:pos="3420"/>
        </w:tabs>
        <w:ind w:left="3420" w:hanging="360"/>
      </w:pPr>
    </w:lvl>
    <w:lvl w:ilvl="2" w:tplc="63425F88">
      <w:start w:val="1"/>
      <w:numFmt w:val="lowerRoman"/>
      <w:lvlText w:val="%3."/>
      <w:lvlJc w:val="right"/>
      <w:pPr>
        <w:tabs>
          <w:tab w:val="num" w:pos="4140"/>
        </w:tabs>
        <w:ind w:left="4140" w:hanging="180"/>
      </w:pPr>
    </w:lvl>
    <w:lvl w:ilvl="3" w:tplc="4F2A69EC">
      <w:start w:val="1"/>
      <w:numFmt w:val="decimal"/>
      <w:lvlText w:val="%4."/>
      <w:lvlJc w:val="left"/>
      <w:pPr>
        <w:tabs>
          <w:tab w:val="num" w:pos="4860"/>
        </w:tabs>
        <w:ind w:left="4860" w:hanging="360"/>
      </w:pPr>
    </w:lvl>
    <w:lvl w:ilvl="4" w:tplc="E4E603E6">
      <w:start w:val="1"/>
      <w:numFmt w:val="lowerLetter"/>
      <w:lvlText w:val="%5."/>
      <w:lvlJc w:val="left"/>
      <w:pPr>
        <w:tabs>
          <w:tab w:val="num" w:pos="5580"/>
        </w:tabs>
        <w:ind w:left="5580" w:hanging="360"/>
      </w:pPr>
    </w:lvl>
    <w:lvl w:ilvl="5" w:tplc="D390E166">
      <w:start w:val="1"/>
      <w:numFmt w:val="lowerRoman"/>
      <w:lvlText w:val="%6."/>
      <w:lvlJc w:val="right"/>
      <w:pPr>
        <w:tabs>
          <w:tab w:val="num" w:pos="6300"/>
        </w:tabs>
        <w:ind w:left="6300" w:hanging="180"/>
      </w:pPr>
    </w:lvl>
    <w:lvl w:ilvl="6" w:tplc="BA525100">
      <w:start w:val="1"/>
      <w:numFmt w:val="decimal"/>
      <w:lvlText w:val="%7."/>
      <w:lvlJc w:val="left"/>
      <w:pPr>
        <w:tabs>
          <w:tab w:val="num" w:pos="7020"/>
        </w:tabs>
        <w:ind w:left="7020" w:hanging="360"/>
      </w:pPr>
    </w:lvl>
    <w:lvl w:ilvl="7" w:tplc="00B80F44">
      <w:start w:val="1"/>
      <w:numFmt w:val="lowerLetter"/>
      <w:lvlText w:val="%8."/>
      <w:lvlJc w:val="left"/>
      <w:pPr>
        <w:tabs>
          <w:tab w:val="num" w:pos="7740"/>
        </w:tabs>
        <w:ind w:left="7740" w:hanging="360"/>
      </w:pPr>
    </w:lvl>
    <w:lvl w:ilvl="8" w:tplc="2AAA33D6">
      <w:start w:val="1"/>
      <w:numFmt w:val="lowerRoman"/>
      <w:lvlText w:val="%9."/>
      <w:lvlJc w:val="right"/>
      <w:pPr>
        <w:tabs>
          <w:tab w:val="num" w:pos="8460"/>
        </w:tabs>
        <w:ind w:left="8460" w:hanging="180"/>
      </w:pPr>
    </w:lvl>
  </w:abstractNum>
  <w:abstractNum w:abstractNumId="19" w15:restartNumberingAfterBreak="0">
    <w:nsid w:val="0B9E5F4D"/>
    <w:multiLevelType w:val="hybridMultilevel"/>
    <w:tmpl w:val="BF8E57BE"/>
    <w:lvl w:ilvl="0" w:tplc="AE1E3B3A">
      <w:numFmt w:val="bullet"/>
      <w:lvlText w:val=""/>
      <w:lvlJc w:val="left"/>
      <w:pPr>
        <w:ind w:left="467" w:hanging="360"/>
      </w:pPr>
      <w:rPr>
        <w:rFonts w:ascii="Symbol" w:eastAsia="Symbol" w:hAnsi="Symbol" w:cs="Symbol" w:hint="default"/>
        <w:w w:val="100"/>
        <w:sz w:val="22"/>
        <w:szCs w:val="22"/>
        <w:lang w:val="en-US" w:eastAsia="en-US" w:bidi="ar-SA"/>
      </w:rPr>
    </w:lvl>
    <w:lvl w:ilvl="1" w:tplc="A642D692">
      <w:numFmt w:val="bullet"/>
      <w:lvlText w:val="•"/>
      <w:lvlJc w:val="left"/>
      <w:pPr>
        <w:ind w:left="909" w:hanging="360"/>
      </w:pPr>
      <w:rPr>
        <w:rFonts w:hint="default"/>
        <w:lang w:val="en-US" w:eastAsia="en-US" w:bidi="ar-SA"/>
      </w:rPr>
    </w:lvl>
    <w:lvl w:ilvl="2" w:tplc="1DF6DD84">
      <w:numFmt w:val="bullet"/>
      <w:lvlText w:val="•"/>
      <w:lvlJc w:val="left"/>
      <w:pPr>
        <w:ind w:left="1358" w:hanging="360"/>
      </w:pPr>
      <w:rPr>
        <w:rFonts w:hint="default"/>
        <w:lang w:val="en-US" w:eastAsia="en-US" w:bidi="ar-SA"/>
      </w:rPr>
    </w:lvl>
    <w:lvl w:ilvl="3" w:tplc="8BE8AD50">
      <w:numFmt w:val="bullet"/>
      <w:lvlText w:val="•"/>
      <w:lvlJc w:val="left"/>
      <w:pPr>
        <w:ind w:left="1807" w:hanging="360"/>
      </w:pPr>
      <w:rPr>
        <w:rFonts w:hint="default"/>
        <w:lang w:val="en-US" w:eastAsia="en-US" w:bidi="ar-SA"/>
      </w:rPr>
    </w:lvl>
    <w:lvl w:ilvl="4" w:tplc="624ECBEE">
      <w:numFmt w:val="bullet"/>
      <w:lvlText w:val="•"/>
      <w:lvlJc w:val="left"/>
      <w:pPr>
        <w:ind w:left="2256" w:hanging="360"/>
      </w:pPr>
      <w:rPr>
        <w:rFonts w:hint="default"/>
        <w:lang w:val="en-US" w:eastAsia="en-US" w:bidi="ar-SA"/>
      </w:rPr>
    </w:lvl>
    <w:lvl w:ilvl="5" w:tplc="2324A758">
      <w:numFmt w:val="bullet"/>
      <w:lvlText w:val="•"/>
      <w:lvlJc w:val="left"/>
      <w:pPr>
        <w:ind w:left="2705" w:hanging="360"/>
      </w:pPr>
      <w:rPr>
        <w:rFonts w:hint="default"/>
        <w:lang w:val="en-US" w:eastAsia="en-US" w:bidi="ar-SA"/>
      </w:rPr>
    </w:lvl>
    <w:lvl w:ilvl="6" w:tplc="52F60818">
      <w:numFmt w:val="bullet"/>
      <w:lvlText w:val="•"/>
      <w:lvlJc w:val="left"/>
      <w:pPr>
        <w:ind w:left="3154" w:hanging="360"/>
      </w:pPr>
      <w:rPr>
        <w:rFonts w:hint="default"/>
        <w:lang w:val="en-US" w:eastAsia="en-US" w:bidi="ar-SA"/>
      </w:rPr>
    </w:lvl>
    <w:lvl w:ilvl="7" w:tplc="EF287FB2">
      <w:numFmt w:val="bullet"/>
      <w:lvlText w:val="•"/>
      <w:lvlJc w:val="left"/>
      <w:pPr>
        <w:ind w:left="3603" w:hanging="360"/>
      </w:pPr>
      <w:rPr>
        <w:rFonts w:hint="default"/>
        <w:lang w:val="en-US" w:eastAsia="en-US" w:bidi="ar-SA"/>
      </w:rPr>
    </w:lvl>
    <w:lvl w:ilvl="8" w:tplc="3676A350">
      <w:numFmt w:val="bullet"/>
      <w:lvlText w:val="•"/>
      <w:lvlJc w:val="left"/>
      <w:pPr>
        <w:ind w:left="4052" w:hanging="360"/>
      </w:pPr>
      <w:rPr>
        <w:rFonts w:hint="default"/>
        <w:lang w:val="en-US" w:eastAsia="en-US" w:bidi="ar-SA"/>
      </w:rPr>
    </w:lvl>
  </w:abstractNum>
  <w:abstractNum w:abstractNumId="20" w15:restartNumberingAfterBreak="0">
    <w:nsid w:val="0BEB5FB9"/>
    <w:multiLevelType w:val="hybridMultilevel"/>
    <w:tmpl w:val="64DA6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BF9725C"/>
    <w:multiLevelType w:val="hybridMultilevel"/>
    <w:tmpl w:val="EEA8314A"/>
    <w:lvl w:ilvl="0" w:tplc="28F2205A">
      <w:start w:val="1"/>
      <w:numFmt w:val="bullet"/>
      <w:lvlText w:val="•"/>
      <w:lvlJc w:val="left"/>
      <w:pPr>
        <w:ind w:left="720" w:hanging="360"/>
      </w:pPr>
      <w:rPr>
        <w:rFonts w:ascii="Calibri Light" w:eastAsia="Times New Roman" w:hAnsi="Calibri Light" w:cs="Times New Roman" w:hint="default"/>
      </w:rPr>
    </w:lvl>
    <w:lvl w:ilvl="1" w:tplc="716E1FA4">
      <w:start w:val="1"/>
      <w:numFmt w:val="bullet"/>
      <w:lvlText w:val="o"/>
      <w:lvlJc w:val="left"/>
      <w:pPr>
        <w:ind w:left="1440" w:hanging="360"/>
      </w:pPr>
      <w:rPr>
        <w:rFonts w:ascii="Courier New" w:hAnsi="Courier New" w:cs="Courier New" w:hint="default"/>
      </w:rPr>
    </w:lvl>
    <w:lvl w:ilvl="2" w:tplc="24AAE5EE">
      <w:start w:val="1"/>
      <w:numFmt w:val="bullet"/>
      <w:lvlText w:val=""/>
      <w:lvlJc w:val="left"/>
      <w:pPr>
        <w:ind w:left="2160" w:hanging="360"/>
      </w:pPr>
      <w:rPr>
        <w:rFonts w:ascii="Wingdings" w:hAnsi="Wingdings" w:hint="default"/>
      </w:rPr>
    </w:lvl>
    <w:lvl w:ilvl="3" w:tplc="7494E386">
      <w:start w:val="1"/>
      <w:numFmt w:val="bullet"/>
      <w:lvlText w:val=""/>
      <w:lvlJc w:val="left"/>
      <w:pPr>
        <w:ind w:left="2880" w:hanging="360"/>
      </w:pPr>
      <w:rPr>
        <w:rFonts w:ascii="Symbol" w:hAnsi="Symbol" w:hint="default"/>
      </w:rPr>
    </w:lvl>
    <w:lvl w:ilvl="4" w:tplc="247C06B0">
      <w:start w:val="1"/>
      <w:numFmt w:val="bullet"/>
      <w:lvlText w:val="o"/>
      <w:lvlJc w:val="left"/>
      <w:pPr>
        <w:ind w:left="3600" w:hanging="360"/>
      </w:pPr>
      <w:rPr>
        <w:rFonts w:ascii="Courier New" w:hAnsi="Courier New" w:cs="Courier New" w:hint="default"/>
      </w:rPr>
    </w:lvl>
    <w:lvl w:ilvl="5" w:tplc="F3EAEFCE">
      <w:start w:val="1"/>
      <w:numFmt w:val="bullet"/>
      <w:lvlText w:val=""/>
      <w:lvlJc w:val="left"/>
      <w:pPr>
        <w:ind w:left="4320" w:hanging="360"/>
      </w:pPr>
      <w:rPr>
        <w:rFonts w:ascii="Wingdings" w:hAnsi="Wingdings" w:hint="default"/>
      </w:rPr>
    </w:lvl>
    <w:lvl w:ilvl="6" w:tplc="3F74BA60">
      <w:start w:val="1"/>
      <w:numFmt w:val="bullet"/>
      <w:lvlText w:val=""/>
      <w:lvlJc w:val="left"/>
      <w:pPr>
        <w:ind w:left="5040" w:hanging="360"/>
      </w:pPr>
      <w:rPr>
        <w:rFonts w:ascii="Symbol" w:hAnsi="Symbol" w:hint="default"/>
      </w:rPr>
    </w:lvl>
    <w:lvl w:ilvl="7" w:tplc="6BAC32FC">
      <w:start w:val="1"/>
      <w:numFmt w:val="bullet"/>
      <w:lvlText w:val="o"/>
      <w:lvlJc w:val="left"/>
      <w:pPr>
        <w:ind w:left="5760" w:hanging="360"/>
      </w:pPr>
      <w:rPr>
        <w:rFonts w:ascii="Courier New" w:hAnsi="Courier New" w:cs="Courier New" w:hint="default"/>
      </w:rPr>
    </w:lvl>
    <w:lvl w:ilvl="8" w:tplc="748C81B6">
      <w:start w:val="1"/>
      <w:numFmt w:val="bullet"/>
      <w:lvlText w:val=""/>
      <w:lvlJc w:val="left"/>
      <w:pPr>
        <w:ind w:left="6480" w:hanging="360"/>
      </w:pPr>
      <w:rPr>
        <w:rFonts w:ascii="Wingdings" w:hAnsi="Wingdings" w:hint="default"/>
      </w:rPr>
    </w:lvl>
  </w:abstractNum>
  <w:abstractNum w:abstractNumId="22" w15:restartNumberingAfterBreak="0">
    <w:nsid w:val="0C5B3F5A"/>
    <w:multiLevelType w:val="hybridMultilevel"/>
    <w:tmpl w:val="8B7A30C4"/>
    <w:lvl w:ilvl="0" w:tplc="5DC844F4">
      <w:start w:val="1"/>
      <w:numFmt w:val="decimal"/>
      <w:lvlText w:val="%1."/>
      <w:lvlJc w:val="left"/>
      <w:pPr>
        <w:ind w:left="1440" w:hanging="360"/>
      </w:pPr>
      <w:rPr>
        <w:i/>
        <w:iCs/>
        <w:color w:val="auto"/>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23" w15:restartNumberingAfterBreak="0">
    <w:nsid w:val="0C9A2793"/>
    <w:multiLevelType w:val="hybridMultilevel"/>
    <w:tmpl w:val="D4B6EDF8"/>
    <w:lvl w:ilvl="0" w:tplc="F634C04C">
      <w:start w:val="1"/>
      <w:numFmt w:val="bullet"/>
      <w:lvlText w:val="-"/>
      <w:lvlJc w:val="left"/>
      <w:pPr>
        <w:ind w:left="720" w:hanging="360"/>
      </w:pPr>
      <w:rPr>
        <w:rFonts w:ascii="Times New Roman" w:eastAsia="Times New Roman" w:hAnsi="Times New Roman" w:cs="Times New Roman" w:hint="default"/>
      </w:rPr>
    </w:lvl>
    <w:lvl w:ilvl="1" w:tplc="D81E9FE8">
      <w:start w:val="1"/>
      <w:numFmt w:val="bullet"/>
      <w:lvlText w:val="o"/>
      <w:lvlJc w:val="left"/>
      <w:pPr>
        <w:ind w:left="1440" w:hanging="360"/>
      </w:pPr>
      <w:rPr>
        <w:rFonts w:ascii="Courier New" w:hAnsi="Courier New" w:cs="Courier New" w:hint="default"/>
      </w:rPr>
    </w:lvl>
    <w:lvl w:ilvl="2" w:tplc="04405116">
      <w:start w:val="1"/>
      <w:numFmt w:val="bullet"/>
      <w:lvlText w:val=""/>
      <w:lvlJc w:val="left"/>
      <w:pPr>
        <w:ind w:left="2160" w:hanging="360"/>
      </w:pPr>
      <w:rPr>
        <w:rFonts w:ascii="Wingdings" w:hAnsi="Wingdings" w:hint="default"/>
      </w:rPr>
    </w:lvl>
    <w:lvl w:ilvl="3" w:tplc="290AD68C">
      <w:start w:val="1"/>
      <w:numFmt w:val="bullet"/>
      <w:lvlText w:val=""/>
      <w:lvlJc w:val="left"/>
      <w:pPr>
        <w:ind w:left="2880" w:hanging="360"/>
      </w:pPr>
      <w:rPr>
        <w:rFonts w:ascii="Symbol" w:hAnsi="Symbol" w:hint="default"/>
      </w:rPr>
    </w:lvl>
    <w:lvl w:ilvl="4" w:tplc="5A5AAFBC">
      <w:start w:val="1"/>
      <w:numFmt w:val="bullet"/>
      <w:lvlText w:val="o"/>
      <w:lvlJc w:val="left"/>
      <w:pPr>
        <w:ind w:left="3600" w:hanging="360"/>
      </w:pPr>
      <w:rPr>
        <w:rFonts w:ascii="Courier New" w:hAnsi="Courier New" w:cs="Courier New" w:hint="default"/>
      </w:rPr>
    </w:lvl>
    <w:lvl w:ilvl="5" w:tplc="43BA9AFC">
      <w:start w:val="1"/>
      <w:numFmt w:val="bullet"/>
      <w:lvlText w:val=""/>
      <w:lvlJc w:val="left"/>
      <w:pPr>
        <w:ind w:left="4320" w:hanging="360"/>
      </w:pPr>
      <w:rPr>
        <w:rFonts w:ascii="Wingdings" w:hAnsi="Wingdings" w:hint="default"/>
      </w:rPr>
    </w:lvl>
    <w:lvl w:ilvl="6" w:tplc="2E281DC2">
      <w:start w:val="1"/>
      <w:numFmt w:val="bullet"/>
      <w:lvlText w:val=""/>
      <w:lvlJc w:val="left"/>
      <w:pPr>
        <w:ind w:left="5040" w:hanging="360"/>
      </w:pPr>
      <w:rPr>
        <w:rFonts w:ascii="Symbol" w:hAnsi="Symbol" w:hint="default"/>
      </w:rPr>
    </w:lvl>
    <w:lvl w:ilvl="7" w:tplc="19A8CAD4">
      <w:start w:val="1"/>
      <w:numFmt w:val="bullet"/>
      <w:lvlText w:val="o"/>
      <w:lvlJc w:val="left"/>
      <w:pPr>
        <w:ind w:left="5760" w:hanging="360"/>
      </w:pPr>
      <w:rPr>
        <w:rFonts w:ascii="Courier New" w:hAnsi="Courier New" w:cs="Courier New" w:hint="default"/>
      </w:rPr>
    </w:lvl>
    <w:lvl w:ilvl="8" w:tplc="C446518A">
      <w:start w:val="1"/>
      <w:numFmt w:val="bullet"/>
      <w:lvlText w:val=""/>
      <w:lvlJc w:val="left"/>
      <w:pPr>
        <w:ind w:left="6480" w:hanging="360"/>
      </w:pPr>
      <w:rPr>
        <w:rFonts w:ascii="Wingdings" w:hAnsi="Wingdings" w:hint="default"/>
      </w:rPr>
    </w:lvl>
  </w:abstractNum>
  <w:abstractNum w:abstractNumId="24" w15:restartNumberingAfterBreak="0">
    <w:nsid w:val="0DE70859"/>
    <w:multiLevelType w:val="hybridMultilevel"/>
    <w:tmpl w:val="2A2C367E"/>
    <w:lvl w:ilvl="0" w:tplc="067AD720">
      <w:start w:val="1"/>
      <w:numFmt w:val="decimal"/>
      <w:lvlText w:val="%1."/>
      <w:lvlJc w:val="left"/>
      <w:pPr>
        <w:ind w:left="1440" w:hanging="360"/>
      </w:pPr>
      <w:rPr>
        <w:i/>
        <w:iCs/>
      </w:rPr>
    </w:lvl>
    <w:lvl w:ilvl="1" w:tplc="E836EB18">
      <w:start w:val="1"/>
      <w:numFmt w:val="lowerLetter"/>
      <w:lvlText w:val="%2."/>
      <w:lvlJc w:val="left"/>
      <w:pPr>
        <w:ind w:left="2160" w:hanging="360"/>
      </w:pPr>
    </w:lvl>
    <w:lvl w:ilvl="2" w:tplc="B7ACFAC2">
      <w:start w:val="1"/>
      <w:numFmt w:val="lowerRoman"/>
      <w:lvlText w:val="%3."/>
      <w:lvlJc w:val="right"/>
      <w:pPr>
        <w:ind w:left="2880" w:hanging="180"/>
      </w:pPr>
    </w:lvl>
    <w:lvl w:ilvl="3" w:tplc="8BBAE986">
      <w:start w:val="1"/>
      <w:numFmt w:val="decimal"/>
      <w:lvlText w:val="%4."/>
      <w:lvlJc w:val="left"/>
      <w:pPr>
        <w:ind w:left="3600" w:hanging="360"/>
      </w:pPr>
    </w:lvl>
    <w:lvl w:ilvl="4" w:tplc="4EDEF266">
      <w:start w:val="1"/>
      <w:numFmt w:val="lowerLetter"/>
      <w:lvlText w:val="%5."/>
      <w:lvlJc w:val="left"/>
      <w:pPr>
        <w:ind w:left="4320" w:hanging="360"/>
      </w:pPr>
    </w:lvl>
    <w:lvl w:ilvl="5" w:tplc="D3FA94FA">
      <w:start w:val="1"/>
      <w:numFmt w:val="lowerRoman"/>
      <w:lvlText w:val="%6."/>
      <w:lvlJc w:val="right"/>
      <w:pPr>
        <w:ind w:left="5040" w:hanging="180"/>
      </w:pPr>
    </w:lvl>
    <w:lvl w:ilvl="6" w:tplc="A9C444CC">
      <w:start w:val="1"/>
      <w:numFmt w:val="decimal"/>
      <w:lvlText w:val="%7."/>
      <w:lvlJc w:val="left"/>
      <w:pPr>
        <w:ind w:left="5760" w:hanging="360"/>
      </w:pPr>
    </w:lvl>
    <w:lvl w:ilvl="7" w:tplc="D9D07B14">
      <w:start w:val="1"/>
      <w:numFmt w:val="lowerLetter"/>
      <w:lvlText w:val="%8."/>
      <w:lvlJc w:val="left"/>
      <w:pPr>
        <w:ind w:left="6480" w:hanging="360"/>
      </w:pPr>
    </w:lvl>
    <w:lvl w:ilvl="8" w:tplc="480410E8">
      <w:start w:val="1"/>
      <w:numFmt w:val="lowerRoman"/>
      <w:lvlText w:val="%9."/>
      <w:lvlJc w:val="right"/>
      <w:pPr>
        <w:ind w:left="7200" w:hanging="180"/>
      </w:pPr>
    </w:lvl>
  </w:abstractNum>
  <w:abstractNum w:abstractNumId="25" w15:restartNumberingAfterBreak="0">
    <w:nsid w:val="0EBD28D3"/>
    <w:multiLevelType w:val="hybridMultilevel"/>
    <w:tmpl w:val="A54837C8"/>
    <w:lvl w:ilvl="0" w:tplc="3BB87D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FF67B4D"/>
    <w:multiLevelType w:val="hybridMultilevel"/>
    <w:tmpl w:val="2A2C367E"/>
    <w:lvl w:ilvl="0" w:tplc="FFFFFFFF">
      <w:start w:val="1"/>
      <w:numFmt w:val="decimal"/>
      <w:lvlText w:val="%1."/>
      <w:lvlJc w:val="left"/>
      <w:pPr>
        <w:ind w:left="1440" w:hanging="360"/>
      </w:pPr>
      <w:rPr>
        <w:i/>
        <w:iCs/>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27" w15:restartNumberingAfterBreak="0">
    <w:nsid w:val="10F6725E"/>
    <w:multiLevelType w:val="hybridMultilevel"/>
    <w:tmpl w:val="875680A8"/>
    <w:lvl w:ilvl="0" w:tplc="411C363A">
      <w:start w:val="1"/>
      <w:numFmt w:val="bullet"/>
      <w:lvlText w:val="-"/>
      <w:lvlJc w:val="left"/>
      <w:pPr>
        <w:ind w:left="720" w:hanging="360"/>
      </w:pPr>
      <w:rPr>
        <w:rFonts w:ascii="Times New Roman" w:eastAsia="Times New Roman" w:hAnsi="Times New Roman" w:cs="Times New Roman" w:hint="default"/>
      </w:rPr>
    </w:lvl>
    <w:lvl w:ilvl="1" w:tplc="B62EB934">
      <w:start w:val="1"/>
      <w:numFmt w:val="bullet"/>
      <w:lvlText w:val="o"/>
      <w:lvlJc w:val="left"/>
      <w:pPr>
        <w:ind w:left="1440" w:hanging="360"/>
      </w:pPr>
      <w:rPr>
        <w:rFonts w:ascii="Courier New" w:hAnsi="Courier New" w:cs="Courier New" w:hint="default"/>
      </w:rPr>
    </w:lvl>
    <w:lvl w:ilvl="2" w:tplc="A3C4237C">
      <w:start w:val="1"/>
      <w:numFmt w:val="bullet"/>
      <w:lvlText w:val=""/>
      <w:lvlJc w:val="left"/>
      <w:pPr>
        <w:ind w:left="2160" w:hanging="360"/>
      </w:pPr>
      <w:rPr>
        <w:rFonts w:ascii="Wingdings" w:hAnsi="Wingdings" w:hint="default"/>
      </w:rPr>
    </w:lvl>
    <w:lvl w:ilvl="3" w:tplc="9A6CC56C">
      <w:start w:val="1"/>
      <w:numFmt w:val="bullet"/>
      <w:lvlText w:val=""/>
      <w:lvlJc w:val="left"/>
      <w:pPr>
        <w:ind w:left="2880" w:hanging="360"/>
      </w:pPr>
      <w:rPr>
        <w:rFonts w:ascii="Symbol" w:hAnsi="Symbol" w:hint="default"/>
      </w:rPr>
    </w:lvl>
    <w:lvl w:ilvl="4" w:tplc="371462B8">
      <w:start w:val="1"/>
      <w:numFmt w:val="bullet"/>
      <w:lvlText w:val="o"/>
      <w:lvlJc w:val="left"/>
      <w:pPr>
        <w:ind w:left="3600" w:hanging="360"/>
      </w:pPr>
      <w:rPr>
        <w:rFonts w:ascii="Courier New" w:hAnsi="Courier New" w:cs="Courier New" w:hint="default"/>
      </w:rPr>
    </w:lvl>
    <w:lvl w:ilvl="5" w:tplc="C5480CD6">
      <w:start w:val="1"/>
      <w:numFmt w:val="bullet"/>
      <w:lvlText w:val=""/>
      <w:lvlJc w:val="left"/>
      <w:pPr>
        <w:ind w:left="4320" w:hanging="360"/>
      </w:pPr>
      <w:rPr>
        <w:rFonts w:ascii="Wingdings" w:hAnsi="Wingdings" w:hint="default"/>
      </w:rPr>
    </w:lvl>
    <w:lvl w:ilvl="6" w:tplc="D23C0618">
      <w:start w:val="1"/>
      <w:numFmt w:val="bullet"/>
      <w:lvlText w:val=""/>
      <w:lvlJc w:val="left"/>
      <w:pPr>
        <w:ind w:left="5040" w:hanging="360"/>
      </w:pPr>
      <w:rPr>
        <w:rFonts w:ascii="Symbol" w:hAnsi="Symbol" w:hint="default"/>
      </w:rPr>
    </w:lvl>
    <w:lvl w:ilvl="7" w:tplc="0D3AD734">
      <w:start w:val="1"/>
      <w:numFmt w:val="bullet"/>
      <w:lvlText w:val="o"/>
      <w:lvlJc w:val="left"/>
      <w:pPr>
        <w:ind w:left="5760" w:hanging="360"/>
      </w:pPr>
      <w:rPr>
        <w:rFonts w:ascii="Courier New" w:hAnsi="Courier New" w:cs="Courier New" w:hint="default"/>
      </w:rPr>
    </w:lvl>
    <w:lvl w:ilvl="8" w:tplc="74F44DBC">
      <w:start w:val="1"/>
      <w:numFmt w:val="bullet"/>
      <w:lvlText w:val=""/>
      <w:lvlJc w:val="left"/>
      <w:pPr>
        <w:ind w:left="6480" w:hanging="360"/>
      </w:pPr>
      <w:rPr>
        <w:rFonts w:ascii="Wingdings" w:hAnsi="Wingdings" w:hint="default"/>
      </w:rPr>
    </w:lvl>
  </w:abstractNum>
  <w:abstractNum w:abstractNumId="28" w15:restartNumberingAfterBreak="0">
    <w:nsid w:val="11191EA6"/>
    <w:multiLevelType w:val="multilevel"/>
    <w:tmpl w:val="8F042E78"/>
    <w:lvl w:ilvl="0">
      <w:start w:val="1"/>
      <w:numFmt w:val="decimal"/>
      <w:pStyle w:val="ITBHeading2"/>
      <w:lvlText w:val="%1."/>
      <w:lvlJc w:val="left"/>
      <w:pPr>
        <w:ind w:left="360" w:hanging="360"/>
      </w:pPr>
      <w:rPr>
        <w:b/>
        <w:bCs w:val="0"/>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140C4E4F"/>
    <w:multiLevelType w:val="hybridMultilevel"/>
    <w:tmpl w:val="2A2C367E"/>
    <w:lvl w:ilvl="0" w:tplc="FFFFFFFF">
      <w:start w:val="1"/>
      <w:numFmt w:val="decimal"/>
      <w:lvlText w:val="%1."/>
      <w:lvlJc w:val="left"/>
      <w:pPr>
        <w:ind w:left="1440" w:hanging="360"/>
      </w:pPr>
      <w:rPr>
        <w:i/>
        <w:iCs/>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30" w15:restartNumberingAfterBreak="0">
    <w:nsid w:val="145A6310"/>
    <w:multiLevelType w:val="hybridMultilevel"/>
    <w:tmpl w:val="52FC0426"/>
    <w:lvl w:ilvl="0" w:tplc="70562FD4">
      <w:start w:val="1"/>
      <w:numFmt w:val="bullet"/>
      <w:lvlText w:val="•"/>
      <w:lvlJc w:val="left"/>
      <w:pPr>
        <w:ind w:left="720" w:hanging="360"/>
      </w:pPr>
      <w:rPr>
        <w:rFonts w:ascii="Calibri Light" w:eastAsia="Times New Roman" w:hAnsi="Calibri Light" w:cs="Times New Roman" w:hint="default"/>
      </w:rPr>
    </w:lvl>
    <w:lvl w:ilvl="1" w:tplc="30FE07D0">
      <w:start w:val="1"/>
      <w:numFmt w:val="bullet"/>
      <w:lvlText w:val="o"/>
      <w:lvlJc w:val="left"/>
      <w:pPr>
        <w:ind w:left="1440" w:hanging="360"/>
      </w:pPr>
      <w:rPr>
        <w:rFonts w:ascii="Courier New" w:hAnsi="Courier New" w:cs="Courier New" w:hint="default"/>
      </w:rPr>
    </w:lvl>
    <w:lvl w:ilvl="2" w:tplc="349A6ED2">
      <w:start w:val="1"/>
      <w:numFmt w:val="bullet"/>
      <w:lvlText w:val=""/>
      <w:lvlJc w:val="left"/>
      <w:pPr>
        <w:ind w:left="2160" w:hanging="360"/>
      </w:pPr>
      <w:rPr>
        <w:rFonts w:ascii="Wingdings" w:hAnsi="Wingdings" w:hint="default"/>
      </w:rPr>
    </w:lvl>
    <w:lvl w:ilvl="3" w:tplc="EC90DDA4">
      <w:start w:val="1"/>
      <w:numFmt w:val="bullet"/>
      <w:lvlText w:val=""/>
      <w:lvlJc w:val="left"/>
      <w:pPr>
        <w:ind w:left="2880" w:hanging="360"/>
      </w:pPr>
      <w:rPr>
        <w:rFonts w:ascii="Symbol" w:hAnsi="Symbol" w:hint="default"/>
      </w:rPr>
    </w:lvl>
    <w:lvl w:ilvl="4" w:tplc="7E888994">
      <w:start w:val="1"/>
      <w:numFmt w:val="bullet"/>
      <w:lvlText w:val="o"/>
      <w:lvlJc w:val="left"/>
      <w:pPr>
        <w:ind w:left="3600" w:hanging="360"/>
      </w:pPr>
      <w:rPr>
        <w:rFonts w:ascii="Courier New" w:hAnsi="Courier New" w:cs="Courier New" w:hint="default"/>
      </w:rPr>
    </w:lvl>
    <w:lvl w:ilvl="5" w:tplc="8940C0C4">
      <w:start w:val="1"/>
      <w:numFmt w:val="bullet"/>
      <w:lvlText w:val=""/>
      <w:lvlJc w:val="left"/>
      <w:pPr>
        <w:ind w:left="4320" w:hanging="360"/>
      </w:pPr>
      <w:rPr>
        <w:rFonts w:ascii="Wingdings" w:hAnsi="Wingdings" w:hint="default"/>
      </w:rPr>
    </w:lvl>
    <w:lvl w:ilvl="6" w:tplc="A8E25CFC">
      <w:start w:val="1"/>
      <w:numFmt w:val="bullet"/>
      <w:lvlText w:val=""/>
      <w:lvlJc w:val="left"/>
      <w:pPr>
        <w:ind w:left="5040" w:hanging="360"/>
      </w:pPr>
      <w:rPr>
        <w:rFonts w:ascii="Symbol" w:hAnsi="Symbol" w:hint="default"/>
      </w:rPr>
    </w:lvl>
    <w:lvl w:ilvl="7" w:tplc="CBE0EECE">
      <w:start w:val="1"/>
      <w:numFmt w:val="bullet"/>
      <w:lvlText w:val="o"/>
      <w:lvlJc w:val="left"/>
      <w:pPr>
        <w:ind w:left="5760" w:hanging="360"/>
      </w:pPr>
      <w:rPr>
        <w:rFonts w:ascii="Courier New" w:hAnsi="Courier New" w:cs="Courier New" w:hint="default"/>
      </w:rPr>
    </w:lvl>
    <w:lvl w:ilvl="8" w:tplc="EA3A4B32">
      <w:start w:val="1"/>
      <w:numFmt w:val="bullet"/>
      <w:lvlText w:val=""/>
      <w:lvlJc w:val="left"/>
      <w:pPr>
        <w:ind w:left="6480" w:hanging="360"/>
      </w:pPr>
      <w:rPr>
        <w:rFonts w:ascii="Wingdings" w:hAnsi="Wingdings" w:hint="default"/>
      </w:rPr>
    </w:lvl>
  </w:abstractNum>
  <w:abstractNum w:abstractNumId="31" w15:restartNumberingAfterBreak="0">
    <w:nsid w:val="14786A69"/>
    <w:multiLevelType w:val="hybridMultilevel"/>
    <w:tmpl w:val="187EE8B8"/>
    <w:lvl w:ilvl="0" w:tplc="72767F3A">
      <w:start w:val="1"/>
      <w:numFmt w:val="bullet"/>
      <w:lvlText w:val="•"/>
      <w:lvlJc w:val="left"/>
      <w:pPr>
        <w:ind w:left="2160" w:hanging="360"/>
      </w:pPr>
      <w:rPr>
        <w:rFonts w:ascii="Calibri Light" w:eastAsia="Times New Roman" w:hAnsi="Calibri Light" w:cs="Times New Roman" w:hint="default"/>
      </w:rPr>
    </w:lvl>
    <w:lvl w:ilvl="1" w:tplc="3C585948">
      <w:start w:val="1"/>
      <w:numFmt w:val="bullet"/>
      <w:lvlText w:val="o"/>
      <w:lvlJc w:val="left"/>
      <w:pPr>
        <w:ind w:left="2880" w:hanging="360"/>
      </w:pPr>
      <w:rPr>
        <w:rFonts w:ascii="Courier New" w:hAnsi="Courier New" w:cs="Courier New" w:hint="default"/>
      </w:rPr>
    </w:lvl>
    <w:lvl w:ilvl="2" w:tplc="7CAC6514">
      <w:start w:val="1"/>
      <w:numFmt w:val="bullet"/>
      <w:lvlText w:val=""/>
      <w:lvlJc w:val="left"/>
      <w:pPr>
        <w:ind w:left="3600" w:hanging="360"/>
      </w:pPr>
      <w:rPr>
        <w:rFonts w:ascii="Wingdings" w:hAnsi="Wingdings" w:hint="default"/>
      </w:rPr>
    </w:lvl>
    <w:lvl w:ilvl="3" w:tplc="20BC14E8">
      <w:start w:val="1"/>
      <w:numFmt w:val="bullet"/>
      <w:lvlText w:val=""/>
      <w:lvlJc w:val="left"/>
      <w:pPr>
        <w:ind w:left="4320" w:hanging="360"/>
      </w:pPr>
      <w:rPr>
        <w:rFonts w:ascii="Symbol" w:hAnsi="Symbol" w:hint="default"/>
      </w:rPr>
    </w:lvl>
    <w:lvl w:ilvl="4" w:tplc="843A20E2">
      <w:start w:val="1"/>
      <w:numFmt w:val="bullet"/>
      <w:lvlText w:val="o"/>
      <w:lvlJc w:val="left"/>
      <w:pPr>
        <w:ind w:left="5040" w:hanging="360"/>
      </w:pPr>
      <w:rPr>
        <w:rFonts w:ascii="Courier New" w:hAnsi="Courier New" w:cs="Courier New" w:hint="default"/>
      </w:rPr>
    </w:lvl>
    <w:lvl w:ilvl="5" w:tplc="0292E7AA">
      <w:start w:val="1"/>
      <w:numFmt w:val="bullet"/>
      <w:lvlText w:val=""/>
      <w:lvlJc w:val="left"/>
      <w:pPr>
        <w:ind w:left="5760" w:hanging="360"/>
      </w:pPr>
      <w:rPr>
        <w:rFonts w:ascii="Wingdings" w:hAnsi="Wingdings" w:hint="default"/>
      </w:rPr>
    </w:lvl>
    <w:lvl w:ilvl="6" w:tplc="22CEA940">
      <w:start w:val="1"/>
      <w:numFmt w:val="bullet"/>
      <w:lvlText w:val=""/>
      <w:lvlJc w:val="left"/>
      <w:pPr>
        <w:ind w:left="6480" w:hanging="360"/>
      </w:pPr>
      <w:rPr>
        <w:rFonts w:ascii="Symbol" w:hAnsi="Symbol" w:hint="default"/>
      </w:rPr>
    </w:lvl>
    <w:lvl w:ilvl="7" w:tplc="8C9CE61A">
      <w:start w:val="1"/>
      <w:numFmt w:val="bullet"/>
      <w:lvlText w:val="o"/>
      <w:lvlJc w:val="left"/>
      <w:pPr>
        <w:ind w:left="7200" w:hanging="360"/>
      </w:pPr>
      <w:rPr>
        <w:rFonts w:ascii="Courier New" w:hAnsi="Courier New" w:cs="Courier New" w:hint="default"/>
      </w:rPr>
    </w:lvl>
    <w:lvl w:ilvl="8" w:tplc="F3EC3E52">
      <w:start w:val="1"/>
      <w:numFmt w:val="bullet"/>
      <w:lvlText w:val=""/>
      <w:lvlJc w:val="left"/>
      <w:pPr>
        <w:ind w:left="7920" w:hanging="360"/>
      </w:pPr>
      <w:rPr>
        <w:rFonts w:ascii="Wingdings" w:hAnsi="Wingdings" w:hint="default"/>
      </w:rPr>
    </w:lvl>
  </w:abstractNum>
  <w:abstractNum w:abstractNumId="32" w15:restartNumberingAfterBreak="0">
    <w:nsid w:val="15022343"/>
    <w:multiLevelType w:val="hybridMultilevel"/>
    <w:tmpl w:val="FC32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03516D"/>
    <w:multiLevelType w:val="hybridMultilevel"/>
    <w:tmpl w:val="203A932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15E94FDE"/>
    <w:multiLevelType w:val="hybridMultilevel"/>
    <w:tmpl w:val="723E1268"/>
    <w:lvl w:ilvl="0" w:tplc="82383236">
      <w:start w:val="1"/>
      <w:numFmt w:val="bullet"/>
      <w:lvlText w:val=""/>
      <w:lvlJc w:val="left"/>
      <w:pPr>
        <w:ind w:left="720" w:hanging="360"/>
      </w:pPr>
      <w:rPr>
        <w:rFonts w:ascii="Symbol" w:hAnsi="Symbol" w:hint="default"/>
      </w:rPr>
    </w:lvl>
    <w:lvl w:ilvl="1" w:tplc="C2E6A64C">
      <w:start w:val="1"/>
      <w:numFmt w:val="bullet"/>
      <w:lvlText w:val="o"/>
      <w:lvlJc w:val="left"/>
      <w:pPr>
        <w:ind w:left="1440" w:hanging="360"/>
      </w:pPr>
      <w:rPr>
        <w:rFonts w:ascii="Courier New" w:hAnsi="Courier New" w:cs="Courier New" w:hint="default"/>
      </w:rPr>
    </w:lvl>
    <w:lvl w:ilvl="2" w:tplc="22186574">
      <w:start w:val="1"/>
      <w:numFmt w:val="bullet"/>
      <w:lvlText w:val=""/>
      <w:lvlJc w:val="left"/>
      <w:pPr>
        <w:ind w:left="2160" w:hanging="360"/>
      </w:pPr>
      <w:rPr>
        <w:rFonts w:ascii="Wingdings" w:hAnsi="Wingdings" w:hint="default"/>
      </w:rPr>
    </w:lvl>
    <w:lvl w:ilvl="3" w:tplc="8D324DE4">
      <w:start w:val="1"/>
      <w:numFmt w:val="bullet"/>
      <w:lvlText w:val=""/>
      <w:lvlJc w:val="left"/>
      <w:pPr>
        <w:ind w:left="2880" w:hanging="360"/>
      </w:pPr>
      <w:rPr>
        <w:rFonts w:ascii="Symbol" w:hAnsi="Symbol" w:hint="default"/>
      </w:rPr>
    </w:lvl>
    <w:lvl w:ilvl="4" w:tplc="7EE6C3E8">
      <w:start w:val="1"/>
      <w:numFmt w:val="bullet"/>
      <w:lvlText w:val="o"/>
      <w:lvlJc w:val="left"/>
      <w:pPr>
        <w:ind w:left="3600" w:hanging="360"/>
      </w:pPr>
      <w:rPr>
        <w:rFonts w:ascii="Courier New" w:hAnsi="Courier New" w:cs="Courier New" w:hint="default"/>
      </w:rPr>
    </w:lvl>
    <w:lvl w:ilvl="5" w:tplc="16400604">
      <w:start w:val="1"/>
      <w:numFmt w:val="bullet"/>
      <w:lvlText w:val=""/>
      <w:lvlJc w:val="left"/>
      <w:pPr>
        <w:ind w:left="4320" w:hanging="360"/>
      </w:pPr>
      <w:rPr>
        <w:rFonts w:ascii="Wingdings" w:hAnsi="Wingdings" w:hint="default"/>
      </w:rPr>
    </w:lvl>
    <w:lvl w:ilvl="6" w:tplc="422CEA40">
      <w:start w:val="1"/>
      <w:numFmt w:val="bullet"/>
      <w:lvlText w:val=""/>
      <w:lvlJc w:val="left"/>
      <w:pPr>
        <w:ind w:left="5040" w:hanging="360"/>
      </w:pPr>
      <w:rPr>
        <w:rFonts w:ascii="Symbol" w:hAnsi="Symbol" w:hint="default"/>
      </w:rPr>
    </w:lvl>
    <w:lvl w:ilvl="7" w:tplc="3CDA00AE">
      <w:start w:val="1"/>
      <w:numFmt w:val="bullet"/>
      <w:lvlText w:val="o"/>
      <w:lvlJc w:val="left"/>
      <w:pPr>
        <w:ind w:left="5760" w:hanging="360"/>
      </w:pPr>
      <w:rPr>
        <w:rFonts w:ascii="Courier New" w:hAnsi="Courier New" w:cs="Courier New" w:hint="default"/>
      </w:rPr>
    </w:lvl>
    <w:lvl w:ilvl="8" w:tplc="74681D90">
      <w:start w:val="1"/>
      <w:numFmt w:val="bullet"/>
      <w:lvlText w:val=""/>
      <w:lvlJc w:val="left"/>
      <w:pPr>
        <w:ind w:left="6480" w:hanging="360"/>
      </w:pPr>
      <w:rPr>
        <w:rFonts w:ascii="Wingdings" w:hAnsi="Wingdings" w:hint="default"/>
      </w:rPr>
    </w:lvl>
  </w:abstractNum>
  <w:abstractNum w:abstractNumId="35" w15:restartNumberingAfterBreak="0">
    <w:nsid w:val="16237301"/>
    <w:multiLevelType w:val="hybridMultilevel"/>
    <w:tmpl w:val="64DEFD4E"/>
    <w:lvl w:ilvl="0" w:tplc="61E059D2">
      <w:start w:val="1"/>
      <w:numFmt w:val="bullet"/>
      <w:lvlText w:val="-"/>
      <w:lvlJc w:val="left"/>
      <w:pPr>
        <w:ind w:left="720" w:hanging="360"/>
      </w:pPr>
      <w:rPr>
        <w:rFonts w:ascii="Times New Roman" w:eastAsia="Times New Roman" w:hAnsi="Times New Roman" w:cs="Times New Roman" w:hint="default"/>
        <w:spacing w:val="-7"/>
        <w:sz w:val="22"/>
        <w:szCs w:val="22"/>
        <w:lang w:val="en-US" w:eastAsia="en-US" w:bidi="ar-SA"/>
      </w:rPr>
    </w:lvl>
    <w:lvl w:ilvl="1" w:tplc="643A9448">
      <w:start w:val="1"/>
      <w:numFmt w:val="bullet"/>
      <w:lvlText w:val="o"/>
      <w:lvlJc w:val="left"/>
      <w:pPr>
        <w:ind w:left="1440" w:hanging="360"/>
      </w:pPr>
      <w:rPr>
        <w:rFonts w:ascii="Courier New" w:hAnsi="Courier New" w:cs="Courier New" w:hint="default"/>
      </w:rPr>
    </w:lvl>
    <w:lvl w:ilvl="2" w:tplc="129C3F48">
      <w:start w:val="1"/>
      <w:numFmt w:val="bullet"/>
      <w:lvlText w:val=""/>
      <w:lvlJc w:val="left"/>
      <w:pPr>
        <w:ind w:left="2160" w:hanging="360"/>
      </w:pPr>
      <w:rPr>
        <w:rFonts w:ascii="Wingdings" w:hAnsi="Wingdings" w:hint="default"/>
      </w:rPr>
    </w:lvl>
    <w:lvl w:ilvl="3" w:tplc="2036FF5A">
      <w:start w:val="1"/>
      <w:numFmt w:val="bullet"/>
      <w:lvlText w:val=""/>
      <w:lvlJc w:val="left"/>
      <w:pPr>
        <w:ind w:left="2880" w:hanging="360"/>
      </w:pPr>
      <w:rPr>
        <w:rFonts w:ascii="Symbol" w:hAnsi="Symbol" w:hint="default"/>
      </w:rPr>
    </w:lvl>
    <w:lvl w:ilvl="4" w:tplc="D28246F6">
      <w:start w:val="1"/>
      <w:numFmt w:val="bullet"/>
      <w:lvlText w:val="o"/>
      <w:lvlJc w:val="left"/>
      <w:pPr>
        <w:ind w:left="3600" w:hanging="360"/>
      </w:pPr>
      <w:rPr>
        <w:rFonts w:ascii="Courier New" w:hAnsi="Courier New" w:cs="Courier New" w:hint="default"/>
      </w:rPr>
    </w:lvl>
    <w:lvl w:ilvl="5" w:tplc="DF4C1AA2">
      <w:start w:val="1"/>
      <w:numFmt w:val="bullet"/>
      <w:lvlText w:val=""/>
      <w:lvlJc w:val="left"/>
      <w:pPr>
        <w:ind w:left="4320" w:hanging="360"/>
      </w:pPr>
      <w:rPr>
        <w:rFonts w:ascii="Wingdings" w:hAnsi="Wingdings" w:hint="default"/>
      </w:rPr>
    </w:lvl>
    <w:lvl w:ilvl="6" w:tplc="24C2ADE8">
      <w:start w:val="1"/>
      <w:numFmt w:val="bullet"/>
      <w:lvlText w:val=""/>
      <w:lvlJc w:val="left"/>
      <w:pPr>
        <w:ind w:left="5040" w:hanging="360"/>
      </w:pPr>
      <w:rPr>
        <w:rFonts w:ascii="Symbol" w:hAnsi="Symbol" w:hint="default"/>
      </w:rPr>
    </w:lvl>
    <w:lvl w:ilvl="7" w:tplc="4E6603E6">
      <w:start w:val="1"/>
      <w:numFmt w:val="bullet"/>
      <w:lvlText w:val="o"/>
      <w:lvlJc w:val="left"/>
      <w:pPr>
        <w:ind w:left="5760" w:hanging="360"/>
      </w:pPr>
      <w:rPr>
        <w:rFonts w:ascii="Courier New" w:hAnsi="Courier New" w:cs="Courier New" w:hint="default"/>
      </w:rPr>
    </w:lvl>
    <w:lvl w:ilvl="8" w:tplc="EE02532A">
      <w:start w:val="1"/>
      <w:numFmt w:val="bullet"/>
      <w:lvlText w:val=""/>
      <w:lvlJc w:val="left"/>
      <w:pPr>
        <w:ind w:left="6480" w:hanging="360"/>
      </w:pPr>
      <w:rPr>
        <w:rFonts w:ascii="Wingdings" w:hAnsi="Wingdings" w:hint="default"/>
      </w:rPr>
    </w:lvl>
  </w:abstractNum>
  <w:abstractNum w:abstractNumId="36" w15:restartNumberingAfterBreak="0">
    <w:nsid w:val="164D45F4"/>
    <w:multiLevelType w:val="hybridMultilevel"/>
    <w:tmpl w:val="FBBA9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C529FC"/>
    <w:multiLevelType w:val="multilevel"/>
    <w:tmpl w:val="0AC68F92"/>
    <w:lvl w:ilvl="0">
      <w:start w:val="1"/>
      <w:numFmt w:val="decimal"/>
      <w:suff w:val="space"/>
      <w:lvlText w:val="%1."/>
      <w:lvlJc w:val="left"/>
      <w:pPr>
        <w:ind w:left="720" w:hanging="720"/>
      </w:pPr>
      <w:rPr>
        <w:rFonts w:ascii="Times New Roman Bold" w:hAnsi="Times New Roman Bold" w:hint="default"/>
        <w:b/>
        <w:i w:val="0"/>
        <w:strike w:val="0"/>
        <w:sz w:val="24"/>
      </w:rPr>
    </w:lvl>
    <w:lvl w:ilvl="1">
      <w:start w:val="1"/>
      <w:numFmt w:val="decimal"/>
      <w:suff w:val="space"/>
      <w:lvlText w:val="%1.%2 "/>
      <w:lvlJc w:val="left"/>
      <w:pPr>
        <w:ind w:left="432" w:hanging="432"/>
      </w:pPr>
      <w:rPr>
        <w:rFonts w:hint="default"/>
        <w:strike w:val="0"/>
      </w:rPr>
    </w:lvl>
    <w:lvl w:ilvl="2">
      <w:start w:val="1"/>
      <w:numFmt w:val="lowerRoman"/>
      <w:lvlText w:val="%3)"/>
      <w:lvlJc w:val="lef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lef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left"/>
      <w:pPr>
        <w:ind w:left="720" w:hanging="720"/>
      </w:pPr>
      <w:rPr>
        <w:rFonts w:hint="default"/>
      </w:rPr>
    </w:lvl>
  </w:abstractNum>
  <w:abstractNum w:abstractNumId="38" w15:restartNumberingAfterBreak="0">
    <w:nsid w:val="179900B8"/>
    <w:multiLevelType w:val="hybridMultilevel"/>
    <w:tmpl w:val="96966A5A"/>
    <w:lvl w:ilvl="0" w:tplc="98BCFBEC">
      <w:start w:val="1"/>
      <w:numFmt w:val="decimal"/>
      <w:lvlText w:val="2.2.%1"/>
      <w:lvlJc w:val="left"/>
      <w:pPr>
        <w:tabs>
          <w:tab w:val="num" w:pos="720"/>
        </w:tabs>
        <w:ind w:left="720" w:hanging="720"/>
      </w:pPr>
      <w:rPr>
        <w:rFonts w:hint="default"/>
        <w:b w:val="0"/>
        <w:i w:val="0"/>
        <w:sz w:val="24"/>
        <w:szCs w:val="24"/>
      </w:rPr>
    </w:lvl>
    <w:lvl w:ilvl="1" w:tplc="0E8C6858">
      <w:start w:val="1"/>
      <w:numFmt w:val="lowerLetter"/>
      <w:lvlText w:val="%2."/>
      <w:lvlJc w:val="left"/>
      <w:pPr>
        <w:tabs>
          <w:tab w:val="num" w:pos="1440"/>
        </w:tabs>
        <w:ind w:left="1440" w:hanging="360"/>
      </w:pPr>
    </w:lvl>
    <w:lvl w:ilvl="2" w:tplc="53C86F92">
      <w:start w:val="1"/>
      <w:numFmt w:val="lowerRoman"/>
      <w:lvlText w:val="%3."/>
      <w:lvlJc w:val="right"/>
      <w:pPr>
        <w:tabs>
          <w:tab w:val="num" w:pos="2160"/>
        </w:tabs>
        <w:ind w:left="2160" w:hanging="180"/>
      </w:pPr>
    </w:lvl>
    <w:lvl w:ilvl="3" w:tplc="B8FA0390">
      <w:start w:val="1"/>
      <w:numFmt w:val="decimal"/>
      <w:lvlText w:val="%4."/>
      <w:lvlJc w:val="left"/>
      <w:pPr>
        <w:tabs>
          <w:tab w:val="num" w:pos="2880"/>
        </w:tabs>
        <w:ind w:left="2880" w:hanging="360"/>
      </w:pPr>
    </w:lvl>
    <w:lvl w:ilvl="4" w:tplc="242C2D08">
      <w:start w:val="1"/>
      <w:numFmt w:val="lowerLetter"/>
      <w:lvlText w:val="%5."/>
      <w:lvlJc w:val="left"/>
      <w:pPr>
        <w:tabs>
          <w:tab w:val="num" w:pos="3600"/>
        </w:tabs>
        <w:ind w:left="3600" w:hanging="360"/>
      </w:pPr>
    </w:lvl>
    <w:lvl w:ilvl="5" w:tplc="1BEA2600">
      <w:start w:val="1"/>
      <w:numFmt w:val="lowerRoman"/>
      <w:lvlText w:val="%6."/>
      <w:lvlJc w:val="right"/>
      <w:pPr>
        <w:tabs>
          <w:tab w:val="num" w:pos="4320"/>
        </w:tabs>
        <w:ind w:left="4320" w:hanging="180"/>
      </w:pPr>
    </w:lvl>
    <w:lvl w:ilvl="6" w:tplc="3DBCB30C">
      <w:start w:val="1"/>
      <w:numFmt w:val="decimal"/>
      <w:lvlText w:val="%7."/>
      <w:lvlJc w:val="left"/>
      <w:pPr>
        <w:tabs>
          <w:tab w:val="num" w:pos="5040"/>
        </w:tabs>
        <w:ind w:left="5040" w:hanging="360"/>
      </w:pPr>
    </w:lvl>
    <w:lvl w:ilvl="7" w:tplc="5A46B1C2">
      <w:start w:val="1"/>
      <w:numFmt w:val="lowerLetter"/>
      <w:lvlText w:val="%8."/>
      <w:lvlJc w:val="left"/>
      <w:pPr>
        <w:tabs>
          <w:tab w:val="num" w:pos="5760"/>
        </w:tabs>
        <w:ind w:left="5760" w:hanging="360"/>
      </w:pPr>
    </w:lvl>
    <w:lvl w:ilvl="8" w:tplc="DEA4FA5E">
      <w:start w:val="1"/>
      <w:numFmt w:val="lowerRoman"/>
      <w:lvlText w:val="%9."/>
      <w:lvlJc w:val="right"/>
      <w:pPr>
        <w:tabs>
          <w:tab w:val="num" w:pos="6480"/>
        </w:tabs>
        <w:ind w:left="6480" w:hanging="180"/>
      </w:pPr>
    </w:lvl>
  </w:abstractNum>
  <w:abstractNum w:abstractNumId="39" w15:restartNumberingAfterBreak="0">
    <w:nsid w:val="179D294D"/>
    <w:multiLevelType w:val="hybridMultilevel"/>
    <w:tmpl w:val="4B78CCC2"/>
    <w:lvl w:ilvl="0" w:tplc="A454BABE">
      <w:start w:val="1"/>
      <w:numFmt w:val="bullet"/>
      <w:lvlText w:val="•"/>
      <w:lvlJc w:val="left"/>
      <w:pPr>
        <w:ind w:left="720" w:hanging="360"/>
      </w:pPr>
      <w:rPr>
        <w:rFonts w:ascii="Arial" w:hAnsi="Arial" w:hint="default"/>
      </w:rPr>
    </w:lvl>
    <w:lvl w:ilvl="1" w:tplc="C4940702">
      <w:start w:val="1"/>
      <w:numFmt w:val="bullet"/>
      <w:lvlText w:val="o"/>
      <w:lvlJc w:val="left"/>
      <w:pPr>
        <w:ind w:left="1440" w:hanging="360"/>
      </w:pPr>
      <w:rPr>
        <w:rFonts w:ascii="Courier New" w:hAnsi="Courier New" w:cs="Courier New" w:hint="default"/>
      </w:rPr>
    </w:lvl>
    <w:lvl w:ilvl="2" w:tplc="3560F3F6">
      <w:start w:val="1"/>
      <w:numFmt w:val="bullet"/>
      <w:lvlText w:val=""/>
      <w:lvlJc w:val="left"/>
      <w:pPr>
        <w:ind w:left="2160" w:hanging="360"/>
      </w:pPr>
      <w:rPr>
        <w:rFonts w:ascii="Wingdings" w:hAnsi="Wingdings" w:hint="default"/>
      </w:rPr>
    </w:lvl>
    <w:lvl w:ilvl="3" w:tplc="E3C804C4">
      <w:start w:val="1"/>
      <w:numFmt w:val="bullet"/>
      <w:lvlText w:val=""/>
      <w:lvlJc w:val="left"/>
      <w:pPr>
        <w:ind w:left="2880" w:hanging="360"/>
      </w:pPr>
      <w:rPr>
        <w:rFonts w:ascii="Symbol" w:hAnsi="Symbol" w:hint="default"/>
      </w:rPr>
    </w:lvl>
    <w:lvl w:ilvl="4" w:tplc="4CFAA9B6">
      <w:start w:val="1"/>
      <w:numFmt w:val="bullet"/>
      <w:lvlText w:val="o"/>
      <w:lvlJc w:val="left"/>
      <w:pPr>
        <w:ind w:left="3600" w:hanging="360"/>
      </w:pPr>
      <w:rPr>
        <w:rFonts w:ascii="Courier New" w:hAnsi="Courier New" w:cs="Courier New" w:hint="default"/>
      </w:rPr>
    </w:lvl>
    <w:lvl w:ilvl="5" w:tplc="49DC08C6">
      <w:start w:val="1"/>
      <w:numFmt w:val="bullet"/>
      <w:lvlText w:val=""/>
      <w:lvlJc w:val="left"/>
      <w:pPr>
        <w:ind w:left="4320" w:hanging="360"/>
      </w:pPr>
      <w:rPr>
        <w:rFonts w:ascii="Wingdings" w:hAnsi="Wingdings" w:hint="default"/>
      </w:rPr>
    </w:lvl>
    <w:lvl w:ilvl="6" w:tplc="F656CB14">
      <w:start w:val="1"/>
      <w:numFmt w:val="bullet"/>
      <w:lvlText w:val=""/>
      <w:lvlJc w:val="left"/>
      <w:pPr>
        <w:ind w:left="5040" w:hanging="360"/>
      </w:pPr>
      <w:rPr>
        <w:rFonts w:ascii="Symbol" w:hAnsi="Symbol" w:hint="default"/>
      </w:rPr>
    </w:lvl>
    <w:lvl w:ilvl="7" w:tplc="5316F6EC">
      <w:start w:val="1"/>
      <w:numFmt w:val="bullet"/>
      <w:lvlText w:val="o"/>
      <w:lvlJc w:val="left"/>
      <w:pPr>
        <w:ind w:left="5760" w:hanging="360"/>
      </w:pPr>
      <w:rPr>
        <w:rFonts w:ascii="Courier New" w:hAnsi="Courier New" w:cs="Courier New" w:hint="default"/>
      </w:rPr>
    </w:lvl>
    <w:lvl w:ilvl="8" w:tplc="49A8401E">
      <w:start w:val="1"/>
      <w:numFmt w:val="bullet"/>
      <w:lvlText w:val=""/>
      <w:lvlJc w:val="left"/>
      <w:pPr>
        <w:ind w:left="6480" w:hanging="360"/>
      </w:pPr>
      <w:rPr>
        <w:rFonts w:ascii="Wingdings" w:hAnsi="Wingdings" w:hint="default"/>
      </w:rPr>
    </w:lvl>
  </w:abstractNum>
  <w:abstractNum w:abstractNumId="40" w15:restartNumberingAfterBreak="0">
    <w:nsid w:val="19016EE7"/>
    <w:multiLevelType w:val="hybridMultilevel"/>
    <w:tmpl w:val="ADECC6E2"/>
    <w:lvl w:ilvl="0" w:tplc="7CBE1DA4">
      <w:start w:val="1"/>
      <w:numFmt w:val="upperLetter"/>
      <w:pStyle w:val="S1b-header1"/>
      <w:lvlText w:val="%1."/>
      <w:lvlJc w:val="center"/>
      <w:pPr>
        <w:tabs>
          <w:tab w:val="num" w:pos="648"/>
        </w:tabs>
        <w:ind w:left="360" w:hanging="72"/>
      </w:pPr>
      <w:rPr>
        <w:rFonts w:ascii="Times New Roman" w:hAnsi="Times New Roman" w:hint="default"/>
        <w:b/>
        <w:i w:val="0"/>
        <w:sz w:val="28"/>
      </w:rPr>
    </w:lvl>
    <w:lvl w:ilvl="1" w:tplc="A216AAC4">
      <w:start w:val="1"/>
      <w:numFmt w:val="lowerLetter"/>
      <w:lvlText w:val="%2."/>
      <w:lvlJc w:val="left"/>
      <w:pPr>
        <w:tabs>
          <w:tab w:val="num" w:pos="1440"/>
        </w:tabs>
        <w:ind w:left="1440" w:hanging="360"/>
      </w:pPr>
    </w:lvl>
    <w:lvl w:ilvl="2" w:tplc="C6AAF114">
      <w:start w:val="1"/>
      <w:numFmt w:val="lowerRoman"/>
      <w:lvlText w:val="%3."/>
      <w:lvlJc w:val="right"/>
      <w:pPr>
        <w:tabs>
          <w:tab w:val="num" w:pos="2160"/>
        </w:tabs>
        <w:ind w:left="2160" w:hanging="180"/>
      </w:pPr>
    </w:lvl>
    <w:lvl w:ilvl="3" w:tplc="4ACE2FD2">
      <w:start w:val="1"/>
      <w:numFmt w:val="decimal"/>
      <w:lvlText w:val="%4."/>
      <w:lvlJc w:val="left"/>
      <w:pPr>
        <w:tabs>
          <w:tab w:val="num" w:pos="2880"/>
        </w:tabs>
        <w:ind w:left="2880" w:hanging="360"/>
      </w:pPr>
    </w:lvl>
    <w:lvl w:ilvl="4" w:tplc="F54ABF04">
      <w:start w:val="1"/>
      <w:numFmt w:val="lowerLetter"/>
      <w:lvlText w:val="%5."/>
      <w:lvlJc w:val="left"/>
      <w:pPr>
        <w:tabs>
          <w:tab w:val="num" w:pos="3600"/>
        </w:tabs>
        <w:ind w:left="3600" w:hanging="360"/>
      </w:pPr>
    </w:lvl>
    <w:lvl w:ilvl="5" w:tplc="783AD336">
      <w:start w:val="1"/>
      <w:numFmt w:val="lowerRoman"/>
      <w:lvlText w:val="%6."/>
      <w:lvlJc w:val="right"/>
      <w:pPr>
        <w:tabs>
          <w:tab w:val="num" w:pos="4320"/>
        </w:tabs>
        <w:ind w:left="4320" w:hanging="180"/>
      </w:pPr>
    </w:lvl>
    <w:lvl w:ilvl="6" w:tplc="6B52C1B6">
      <w:start w:val="1"/>
      <w:numFmt w:val="decimal"/>
      <w:lvlText w:val="%7."/>
      <w:lvlJc w:val="left"/>
      <w:pPr>
        <w:tabs>
          <w:tab w:val="num" w:pos="5040"/>
        </w:tabs>
        <w:ind w:left="5040" w:hanging="360"/>
      </w:pPr>
    </w:lvl>
    <w:lvl w:ilvl="7" w:tplc="EA24011E">
      <w:start w:val="1"/>
      <w:numFmt w:val="lowerLetter"/>
      <w:lvlText w:val="%8."/>
      <w:lvlJc w:val="left"/>
      <w:pPr>
        <w:tabs>
          <w:tab w:val="num" w:pos="5760"/>
        </w:tabs>
        <w:ind w:left="5760" w:hanging="360"/>
      </w:pPr>
    </w:lvl>
    <w:lvl w:ilvl="8" w:tplc="25940412">
      <w:start w:val="1"/>
      <w:numFmt w:val="lowerRoman"/>
      <w:lvlText w:val="%9."/>
      <w:lvlJc w:val="right"/>
      <w:pPr>
        <w:tabs>
          <w:tab w:val="num" w:pos="6480"/>
        </w:tabs>
        <w:ind w:left="6480" w:hanging="180"/>
      </w:pPr>
    </w:lvl>
  </w:abstractNum>
  <w:abstractNum w:abstractNumId="41" w15:restartNumberingAfterBreak="0">
    <w:nsid w:val="190A4DE4"/>
    <w:multiLevelType w:val="hybridMultilevel"/>
    <w:tmpl w:val="C1B4CFDE"/>
    <w:lvl w:ilvl="0" w:tplc="FE62C230">
      <w:start w:val="1"/>
      <w:numFmt w:val="bullet"/>
      <w:lvlText w:val="o"/>
      <w:lvlJc w:val="left"/>
      <w:pPr>
        <w:ind w:left="2880" w:hanging="720"/>
      </w:pPr>
      <w:rPr>
        <w:rFonts w:ascii="Courier New" w:hAnsi="Courier New" w:cs="Courier New" w:hint="default"/>
      </w:rPr>
    </w:lvl>
    <w:lvl w:ilvl="1" w:tplc="497C6F10">
      <w:start w:val="1"/>
      <w:numFmt w:val="bullet"/>
      <w:lvlText w:val="o"/>
      <w:lvlJc w:val="left"/>
      <w:pPr>
        <w:ind w:left="1440" w:hanging="360"/>
      </w:pPr>
      <w:rPr>
        <w:rFonts w:ascii="Courier New" w:hAnsi="Courier New" w:cs="Courier New" w:hint="default"/>
      </w:rPr>
    </w:lvl>
    <w:lvl w:ilvl="2" w:tplc="529EF8CA">
      <w:start w:val="1"/>
      <w:numFmt w:val="bullet"/>
      <w:lvlText w:val=""/>
      <w:lvlJc w:val="left"/>
      <w:pPr>
        <w:ind w:left="2160" w:hanging="360"/>
      </w:pPr>
      <w:rPr>
        <w:rFonts w:ascii="Wingdings" w:hAnsi="Wingdings" w:hint="default"/>
      </w:rPr>
    </w:lvl>
    <w:lvl w:ilvl="3" w:tplc="F4ACF7A0">
      <w:start w:val="1"/>
      <w:numFmt w:val="bullet"/>
      <w:lvlText w:val=""/>
      <w:lvlJc w:val="left"/>
      <w:pPr>
        <w:ind w:left="2880" w:hanging="360"/>
      </w:pPr>
      <w:rPr>
        <w:rFonts w:ascii="Symbol" w:hAnsi="Symbol" w:hint="default"/>
      </w:rPr>
    </w:lvl>
    <w:lvl w:ilvl="4" w:tplc="6018CF10">
      <w:start w:val="1"/>
      <w:numFmt w:val="bullet"/>
      <w:lvlText w:val="o"/>
      <w:lvlJc w:val="left"/>
      <w:pPr>
        <w:ind w:left="3600" w:hanging="360"/>
      </w:pPr>
      <w:rPr>
        <w:rFonts w:ascii="Courier New" w:hAnsi="Courier New" w:cs="Courier New" w:hint="default"/>
      </w:rPr>
    </w:lvl>
    <w:lvl w:ilvl="5" w:tplc="19A06B8C">
      <w:start w:val="1"/>
      <w:numFmt w:val="bullet"/>
      <w:lvlText w:val=""/>
      <w:lvlJc w:val="left"/>
      <w:pPr>
        <w:ind w:left="4320" w:hanging="360"/>
      </w:pPr>
      <w:rPr>
        <w:rFonts w:ascii="Wingdings" w:hAnsi="Wingdings" w:hint="default"/>
      </w:rPr>
    </w:lvl>
    <w:lvl w:ilvl="6" w:tplc="3126D076">
      <w:start w:val="1"/>
      <w:numFmt w:val="bullet"/>
      <w:lvlText w:val=""/>
      <w:lvlJc w:val="left"/>
      <w:pPr>
        <w:ind w:left="5040" w:hanging="360"/>
      </w:pPr>
      <w:rPr>
        <w:rFonts w:ascii="Symbol" w:hAnsi="Symbol" w:hint="default"/>
      </w:rPr>
    </w:lvl>
    <w:lvl w:ilvl="7" w:tplc="C8922A4A">
      <w:start w:val="1"/>
      <w:numFmt w:val="bullet"/>
      <w:lvlText w:val="o"/>
      <w:lvlJc w:val="left"/>
      <w:pPr>
        <w:ind w:left="5760" w:hanging="360"/>
      </w:pPr>
      <w:rPr>
        <w:rFonts w:ascii="Courier New" w:hAnsi="Courier New" w:cs="Courier New" w:hint="default"/>
      </w:rPr>
    </w:lvl>
    <w:lvl w:ilvl="8" w:tplc="9E721096">
      <w:start w:val="1"/>
      <w:numFmt w:val="bullet"/>
      <w:lvlText w:val=""/>
      <w:lvlJc w:val="left"/>
      <w:pPr>
        <w:ind w:left="6480" w:hanging="360"/>
      </w:pPr>
      <w:rPr>
        <w:rFonts w:ascii="Wingdings" w:hAnsi="Wingdings" w:hint="default"/>
      </w:rPr>
    </w:lvl>
  </w:abstractNum>
  <w:abstractNum w:abstractNumId="42" w15:restartNumberingAfterBreak="0">
    <w:nsid w:val="1986584C"/>
    <w:multiLevelType w:val="hybridMultilevel"/>
    <w:tmpl w:val="4E4C1994"/>
    <w:lvl w:ilvl="0" w:tplc="AA0C2616">
      <w:start w:val="1"/>
      <w:numFmt w:val="lowerLetter"/>
      <w:lvlText w:val="(%1)"/>
      <w:lvlJc w:val="left"/>
      <w:pPr>
        <w:ind w:left="1080" w:hanging="360"/>
      </w:pPr>
      <w:rPr>
        <w:rFonts w:hint="default"/>
      </w:rPr>
    </w:lvl>
    <w:lvl w:ilvl="1" w:tplc="8BA2645C">
      <w:start w:val="1"/>
      <w:numFmt w:val="lowerLetter"/>
      <w:lvlText w:val="%2."/>
      <w:lvlJc w:val="left"/>
      <w:pPr>
        <w:ind w:left="1800" w:hanging="360"/>
      </w:pPr>
    </w:lvl>
    <w:lvl w:ilvl="2" w:tplc="89841548">
      <w:start w:val="1"/>
      <w:numFmt w:val="lowerRoman"/>
      <w:lvlText w:val="%3."/>
      <w:lvlJc w:val="right"/>
      <w:pPr>
        <w:ind w:left="2520" w:hanging="180"/>
      </w:pPr>
    </w:lvl>
    <w:lvl w:ilvl="3" w:tplc="C0AADD9A">
      <w:start w:val="1"/>
      <w:numFmt w:val="decimal"/>
      <w:lvlText w:val="%4."/>
      <w:lvlJc w:val="left"/>
      <w:pPr>
        <w:ind w:left="3240" w:hanging="360"/>
      </w:pPr>
    </w:lvl>
    <w:lvl w:ilvl="4" w:tplc="FDE60BDE">
      <w:start w:val="1"/>
      <w:numFmt w:val="lowerLetter"/>
      <w:lvlText w:val="%5."/>
      <w:lvlJc w:val="left"/>
      <w:pPr>
        <w:ind w:left="3960" w:hanging="360"/>
      </w:pPr>
    </w:lvl>
    <w:lvl w:ilvl="5" w:tplc="C9685454">
      <w:start w:val="1"/>
      <w:numFmt w:val="lowerRoman"/>
      <w:lvlText w:val="%6."/>
      <w:lvlJc w:val="right"/>
      <w:pPr>
        <w:ind w:left="4680" w:hanging="180"/>
      </w:pPr>
    </w:lvl>
    <w:lvl w:ilvl="6" w:tplc="963E6262">
      <w:start w:val="1"/>
      <w:numFmt w:val="decimal"/>
      <w:lvlText w:val="%7."/>
      <w:lvlJc w:val="left"/>
      <w:pPr>
        <w:ind w:left="5400" w:hanging="360"/>
      </w:pPr>
    </w:lvl>
    <w:lvl w:ilvl="7" w:tplc="A9C6AB50">
      <w:start w:val="1"/>
      <w:numFmt w:val="lowerLetter"/>
      <w:lvlText w:val="%8."/>
      <w:lvlJc w:val="left"/>
      <w:pPr>
        <w:ind w:left="6120" w:hanging="360"/>
      </w:pPr>
    </w:lvl>
    <w:lvl w:ilvl="8" w:tplc="95124B60">
      <w:start w:val="1"/>
      <w:numFmt w:val="lowerRoman"/>
      <w:lvlText w:val="%9."/>
      <w:lvlJc w:val="right"/>
      <w:pPr>
        <w:ind w:left="6840" w:hanging="180"/>
      </w:pPr>
    </w:lvl>
  </w:abstractNum>
  <w:abstractNum w:abstractNumId="43" w15:restartNumberingAfterBreak="0">
    <w:nsid w:val="19EE0585"/>
    <w:multiLevelType w:val="hybridMultilevel"/>
    <w:tmpl w:val="BFFE1E74"/>
    <w:lvl w:ilvl="0" w:tplc="96C6CCF8">
      <w:start w:val="1"/>
      <w:numFmt w:val="decimal"/>
      <w:lvlText w:val="2.%1"/>
      <w:lvlJc w:val="left"/>
      <w:pPr>
        <w:ind w:left="360" w:hanging="360"/>
      </w:pPr>
      <w:rPr>
        <w:rFonts w:hint="default"/>
        <w:sz w:val="22"/>
        <w:szCs w:val="22"/>
      </w:rPr>
    </w:lvl>
    <w:lvl w:ilvl="1" w:tplc="0548DADE">
      <w:start w:val="1"/>
      <w:numFmt w:val="lowerLetter"/>
      <w:lvlText w:val="%2."/>
      <w:lvlJc w:val="left"/>
      <w:pPr>
        <w:ind w:left="1080" w:hanging="360"/>
      </w:pPr>
    </w:lvl>
    <w:lvl w:ilvl="2" w:tplc="14D6D294">
      <w:start w:val="1"/>
      <w:numFmt w:val="lowerRoman"/>
      <w:lvlText w:val="%3."/>
      <w:lvlJc w:val="right"/>
      <w:pPr>
        <w:ind w:left="1800" w:hanging="180"/>
      </w:pPr>
    </w:lvl>
    <w:lvl w:ilvl="3" w:tplc="1B40E856">
      <w:start w:val="1"/>
      <w:numFmt w:val="decimal"/>
      <w:lvlText w:val="%4."/>
      <w:lvlJc w:val="left"/>
      <w:pPr>
        <w:ind w:left="2520" w:hanging="360"/>
      </w:pPr>
    </w:lvl>
    <w:lvl w:ilvl="4" w:tplc="F0A69B74">
      <w:start w:val="1"/>
      <w:numFmt w:val="lowerLetter"/>
      <w:lvlText w:val="%5."/>
      <w:lvlJc w:val="left"/>
      <w:pPr>
        <w:ind w:left="3240" w:hanging="360"/>
      </w:pPr>
    </w:lvl>
    <w:lvl w:ilvl="5" w:tplc="3EE4304C">
      <w:start w:val="1"/>
      <w:numFmt w:val="lowerRoman"/>
      <w:lvlText w:val="%6."/>
      <w:lvlJc w:val="right"/>
      <w:pPr>
        <w:ind w:left="3960" w:hanging="180"/>
      </w:pPr>
    </w:lvl>
    <w:lvl w:ilvl="6" w:tplc="5808932C">
      <w:start w:val="1"/>
      <w:numFmt w:val="decimal"/>
      <w:lvlText w:val="%7."/>
      <w:lvlJc w:val="left"/>
      <w:pPr>
        <w:ind w:left="4680" w:hanging="360"/>
      </w:pPr>
    </w:lvl>
    <w:lvl w:ilvl="7" w:tplc="8BDE66A8">
      <w:start w:val="1"/>
      <w:numFmt w:val="lowerLetter"/>
      <w:lvlText w:val="%8."/>
      <w:lvlJc w:val="left"/>
      <w:pPr>
        <w:ind w:left="5400" w:hanging="360"/>
      </w:pPr>
    </w:lvl>
    <w:lvl w:ilvl="8" w:tplc="D564E868">
      <w:start w:val="1"/>
      <w:numFmt w:val="lowerRoman"/>
      <w:lvlText w:val="%9."/>
      <w:lvlJc w:val="right"/>
      <w:pPr>
        <w:ind w:left="6120" w:hanging="180"/>
      </w:pPr>
    </w:lvl>
  </w:abstractNum>
  <w:abstractNum w:abstractNumId="44" w15:restartNumberingAfterBreak="0">
    <w:nsid w:val="1A79578C"/>
    <w:multiLevelType w:val="hybridMultilevel"/>
    <w:tmpl w:val="D0EA1FEE"/>
    <w:lvl w:ilvl="0" w:tplc="32A06F10">
      <w:start w:val="1"/>
      <w:numFmt w:val="lowerLetter"/>
      <w:lvlText w:val="(%1)"/>
      <w:lvlJc w:val="left"/>
      <w:pPr>
        <w:tabs>
          <w:tab w:val="num" w:pos="720"/>
        </w:tabs>
        <w:ind w:left="1080" w:hanging="446"/>
      </w:pPr>
      <w:rPr>
        <w:rFonts w:ascii="Times New Roman" w:hAnsi="Times New Roman" w:cs="Times New Roman" w:hint="default"/>
        <w:b w:val="0"/>
        <w:i w:val="0"/>
        <w:color w:val="auto"/>
        <w:sz w:val="22"/>
        <w:szCs w:val="22"/>
        <w:u w:val="none"/>
      </w:rPr>
    </w:lvl>
    <w:lvl w:ilvl="1" w:tplc="3F7A7A0C">
      <w:start w:val="3"/>
      <w:numFmt w:val="lowerLetter"/>
      <w:lvlText w:val="(%2)"/>
      <w:lvlJc w:val="left"/>
      <w:pPr>
        <w:tabs>
          <w:tab w:val="num" w:pos="1959"/>
        </w:tabs>
        <w:ind w:left="1959" w:hanging="540"/>
      </w:pPr>
      <w:rPr>
        <w:rFonts w:hint="default"/>
      </w:rPr>
    </w:lvl>
    <w:lvl w:ilvl="2" w:tplc="9EE2CEB2">
      <w:start w:val="2"/>
      <w:numFmt w:val="lowerLetter"/>
      <w:lvlText w:val="(%3)"/>
      <w:lvlJc w:val="left"/>
      <w:pPr>
        <w:tabs>
          <w:tab w:val="num" w:pos="2520"/>
        </w:tabs>
        <w:ind w:left="2520" w:hanging="540"/>
      </w:pPr>
      <w:rPr>
        <w:rFonts w:hint="default"/>
        <w:b/>
        <w:i w:val="0"/>
        <w:color w:val="auto"/>
        <w:sz w:val="22"/>
        <w:szCs w:val="22"/>
        <w:u w:val="none"/>
      </w:rPr>
    </w:lvl>
    <w:lvl w:ilvl="3" w:tplc="05EC8A42">
      <w:start w:val="1"/>
      <w:numFmt w:val="decimal"/>
      <w:lvlText w:val="%4."/>
      <w:lvlJc w:val="left"/>
      <w:pPr>
        <w:tabs>
          <w:tab w:val="num" w:pos="2880"/>
        </w:tabs>
        <w:ind w:left="2880" w:hanging="360"/>
      </w:pPr>
    </w:lvl>
    <w:lvl w:ilvl="4" w:tplc="73062532">
      <w:start w:val="1"/>
      <w:numFmt w:val="lowerLetter"/>
      <w:lvlText w:val="%5."/>
      <w:lvlJc w:val="left"/>
      <w:pPr>
        <w:tabs>
          <w:tab w:val="num" w:pos="3600"/>
        </w:tabs>
        <w:ind w:left="3600" w:hanging="360"/>
      </w:pPr>
    </w:lvl>
    <w:lvl w:ilvl="5" w:tplc="6BD4347C">
      <w:start w:val="1"/>
      <w:numFmt w:val="lowerRoman"/>
      <w:lvlText w:val="%6."/>
      <w:lvlJc w:val="right"/>
      <w:pPr>
        <w:tabs>
          <w:tab w:val="num" w:pos="4320"/>
        </w:tabs>
        <w:ind w:left="4320" w:hanging="180"/>
      </w:pPr>
    </w:lvl>
    <w:lvl w:ilvl="6" w:tplc="F370C196">
      <w:start w:val="1"/>
      <w:numFmt w:val="decimal"/>
      <w:lvlText w:val="%7."/>
      <w:lvlJc w:val="left"/>
      <w:pPr>
        <w:tabs>
          <w:tab w:val="num" w:pos="5040"/>
        </w:tabs>
        <w:ind w:left="5040" w:hanging="360"/>
      </w:pPr>
    </w:lvl>
    <w:lvl w:ilvl="7" w:tplc="260AA09C">
      <w:start w:val="1"/>
      <w:numFmt w:val="lowerLetter"/>
      <w:lvlText w:val="%8."/>
      <w:lvlJc w:val="left"/>
      <w:pPr>
        <w:tabs>
          <w:tab w:val="num" w:pos="5760"/>
        </w:tabs>
        <w:ind w:left="5760" w:hanging="360"/>
      </w:pPr>
    </w:lvl>
    <w:lvl w:ilvl="8" w:tplc="0136C08C">
      <w:start w:val="1"/>
      <w:numFmt w:val="lowerRoman"/>
      <w:lvlText w:val="%9."/>
      <w:lvlJc w:val="right"/>
      <w:pPr>
        <w:tabs>
          <w:tab w:val="num" w:pos="6480"/>
        </w:tabs>
        <w:ind w:left="6480" w:hanging="180"/>
      </w:pPr>
    </w:lvl>
  </w:abstractNum>
  <w:abstractNum w:abstractNumId="45" w15:restartNumberingAfterBreak="0">
    <w:nsid w:val="1B9E271E"/>
    <w:multiLevelType w:val="hybridMultilevel"/>
    <w:tmpl w:val="C27E0E58"/>
    <w:lvl w:ilvl="0" w:tplc="A8648BA0">
      <w:start w:val="1"/>
      <w:numFmt w:val="bullet"/>
      <w:lvlText w:val=""/>
      <w:lvlJc w:val="left"/>
      <w:pPr>
        <w:ind w:left="2880" w:hanging="360"/>
      </w:pPr>
      <w:rPr>
        <w:rFonts w:ascii="Symbol" w:hAnsi="Symbol" w:hint="default"/>
      </w:rPr>
    </w:lvl>
    <w:lvl w:ilvl="1" w:tplc="EFA6678C">
      <w:start w:val="1"/>
      <w:numFmt w:val="bullet"/>
      <w:lvlText w:val="o"/>
      <w:lvlJc w:val="left"/>
      <w:pPr>
        <w:ind w:left="3600" w:hanging="360"/>
      </w:pPr>
      <w:rPr>
        <w:rFonts w:ascii="Courier New" w:hAnsi="Courier New" w:cs="Courier New" w:hint="default"/>
      </w:rPr>
    </w:lvl>
    <w:lvl w:ilvl="2" w:tplc="C9705D86">
      <w:start w:val="1"/>
      <w:numFmt w:val="bullet"/>
      <w:lvlText w:val=""/>
      <w:lvlJc w:val="left"/>
      <w:pPr>
        <w:ind w:left="4320" w:hanging="360"/>
      </w:pPr>
      <w:rPr>
        <w:rFonts w:ascii="Wingdings" w:hAnsi="Wingdings" w:hint="default"/>
      </w:rPr>
    </w:lvl>
    <w:lvl w:ilvl="3" w:tplc="3FEEE70A">
      <w:start w:val="1"/>
      <w:numFmt w:val="bullet"/>
      <w:lvlText w:val=""/>
      <w:lvlJc w:val="left"/>
      <w:pPr>
        <w:ind w:left="5040" w:hanging="360"/>
      </w:pPr>
      <w:rPr>
        <w:rFonts w:ascii="Symbol" w:hAnsi="Symbol" w:hint="default"/>
      </w:rPr>
    </w:lvl>
    <w:lvl w:ilvl="4" w:tplc="EAC65D0C">
      <w:start w:val="1"/>
      <w:numFmt w:val="bullet"/>
      <w:lvlText w:val="o"/>
      <w:lvlJc w:val="left"/>
      <w:pPr>
        <w:ind w:left="5760" w:hanging="360"/>
      </w:pPr>
      <w:rPr>
        <w:rFonts w:ascii="Courier New" w:hAnsi="Courier New" w:cs="Courier New" w:hint="default"/>
      </w:rPr>
    </w:lvl>
    <w:lvl w:ilvl="5" w:tplc="2264D862">
      <w:start w:val="1"/>
      <w:numFmt w:val="bullet"/>
      <w:lvlText w:val=""/>
      <w:lvlJc w:val="left"/>
      <w:pPr>
        <w:ind w:left="6480" w:hanging="360"/>
      </w:pPr>
      <w:rPr>
        <w:rFonts w:ascii="Wingdings" w:hAnsi="Wingdings" w:hint="default"/>
      </w:rPr>
    </w:lvl>
    <w:lvl w:ilvl="6" w:tplc="BDECABD4">
      <w:start w:val="1"/>
      <w:numFmt w:val="bullet"/>
      <w:lvlText w:val=""/>
      <w:lvlJc w:val="left"/>
      <w:pPr>
        <w:ind w:left="7200" w:hanging="360"/>
      </w:pPr>
      <w:rPr>
        <w:rFonts w:ascii="Symbol" w:hAnsi="Symbol" w:hint="default"/>
      </w:rPr>
    </w:lvl>
    <w:lvl w:ilvl="7" w:tplc="6772D5CC">
      <w:start w:val="1"/>
      <w:numFmt w:val="bullet"/>
      <w:lvlText w:val="o"/>
      <w:lvlJc w:val="left"/>
      <w:pPr>
        <w:ind w:left="7920" w:hanging="360"/>
      </w:pPr>
      <w:rPr>
        <w:rFonts w:ascii="Courier New" w:hAnsi="Courier New" w:cs="Courier New" w:hint="default"/>
      </w:rPr>
    </w:lvl>
    <w:lvl w:ilvl="8" w:tplc="93440E62">
      <w:start w:val="1"/>
      <w:numFmt w:val="bullet"/>
      <w:lvlText w:val=""/>
      <w:lvlJc w:val="left"/>
      <w:pPr>
        <w:ind w:left="8640" w:hanging="360"/>
      </w:pPr>
      <w:rPr>
        <w:rFonts w:ascii="Wingdings" w:hAnsi="Wingdings" w:hint="default"/>
      </w:rPr>
    </w:lvl>
  </w:abstractNum>
  <w:abstractNum w:abstractNumId="46" w15:restartNumberingAfterBreak="0">
    <w:nsid w:val="1D6B5944"/>
    <w:multiLevelType w:val="hybridMultilevel"/>
    <w:tmpl w:val="A8A2DEA4"/>
    <w:lvl w:ilvl="0" w:tplc="B918832C">
      <w:start w:val="1"/>
      <w:numFmt w:val="lowerLetter"/>
      <w:lvlText w:val="(%1)"/>
      <w:lvlJc w:val="left"/>
      <w:pPr>
        <w:ind w:left="720" w:hanging="360"/>
      </w:pPr>
      <w:rPr>
        <w:rFonts w:ascii="Times New Roman" w:hAnsi="Times New Roman" w:cs="Times New Roman" w:hint="default"/>
        <w:b w:val="0"/>
        <w:i w:val="0"/>
        <w:color w:val="auto"/>
        <w:sz w:val="24"/>
        <w:szCs w:val="22"/>
        <w:u w:val="none"/>
      </w:rPr>
    </w:lvl>
    <w:lvl w:ilvl="1" w:tplc="A40289B8">
      <w:start w:val="1"/>
      <w:numFmt w:val="lowerLetter"/>
      <w:lvlText w:val="%2."/>
      <w:lvlJc w:val="left"/>
      <w:pPr>
        <w:ind w:left="1440" w:hanging="360"/>
      </w:pPr>
    </w:lvl>
    <w:lvl w:ilvl="2" w:tplc="ECD6763A">
      <w:start w:val="1"/>
      <w:numFmt w:val="lowerRoman"/>
      <w:lvlText w:val="%3."/>
      <w:lvlJc w:val="right"/>
      <w:pPr>
        <w:ind w:left="2160" w:hanging="180"/>
      </w:pPr>
    </w:lvl>
    <w:lvl w:ilvl="3" w:tplc="23328DD4">
      <w:start w:val="1"/>
      <w:numFmt w:val="decimal"/>
      <w:lvlText w:val="%4."/>
      <w:lvlJc w:val="left"/>
      <w:pPr>
        <w:ind w:left="2880" w:hanging="360"/>
      </w:pPr>
    </w:lvl>
    <w:lvl w:ilvl="4" w:tplc="929AA54A">
      <w:start w:val="1"/>
      <w:numFmt w:val="lowerLetter"/>
      <w:lvlText w:val="%5."/>
      <w:lvlJc w:val="left"/>
      <w:pPr>
        <w:ind w:left="3600" w:hanging="360"/>
      </w:pPr>
    </w:lvl>
    <w:lvl w:ilvl="5" w:tplc="9234686E">
      <w:start w:val="1"/>
      <w:numFmt w:val="lowerRoman"/>
      <w:lvlText w:val="%6."/>
      <w:lvlJc w:val="right"/>
      <w:pPr>
        <w:ind w:left="4320" w:hanging="180"/>
      </w:pPr>
    </w:lvl>
    <w:lvl w:ilvl="6" w:tplc="A2D40846">
      <w:start w:val="1"/>
      <w:numFmt w:val="decimal"/>
      <w:lvlText w:val="%7."/>
      <w:lvlJc w:val="left"/>
      <w:pPr>
        <w:ind w:left="5040" w:hanging="360"/>
      </w:pPr>
    </w:lvl>
    <w:lvl w:ilvl="7" w:tplc="AC4A190A">
      <w:start w:val="1"/>
      <w:numFmt w:val="lowerLetter"/>
      <w:lvlText w:val="%8."/>
      <w:lvlJc w:val="left"/>
      <w:pPr>
        <w:ind w:left="5760" w:hanging="360"/>
      </w:pPr>
    </w:lvl>
    <w:lvl w:ilvl="8" w:tplc="E1E6C626">
      <w:start w:val="1"/>
      <w:numFmt w:val="lowerRoman"/>
      <w:lvlText w:val="%9."/>
      <w:lvlJc w:val="right"/>
      <w:pPr>
        <w:ind w:left="6480" w:hanging="180"/>
      </w:pPr>
    </w:lvl>
  </w:abstractNum>
  <w:abstractNum w:abstractNumId="47" w15:restartNumberingAfterBreak="0">
    <w:nsid w:val="1EF546F4"/>
    <w:multiLevelType w:val="hybridMultilevel"/>
    <w:tmpl w:val="A88ECB2C"/>
    <w:lvl w:ilvl="0" w:tplc="04090001">
      <w:start w:val="1"/>
      <w:numFmt w:val="bullet"/>
      <w:lvlText w:val=""/>
      <w:lvlJc w:val="left"/>
      <w:pPr>
        <w:ind w:left="1422" w:hanging="360"/>
      </w:pPr>
      <w:rPr>
        <w:rFonts w:ascii="Symbol" w:hAnsi="Symbol" w:hint="default"/>
      </w:rPr>
    </w:lvl>
    <w:lvl w:ilvl="1" w:tplc="04090003" w:tentative="1">
      <w:start w:val="1"/>
      <w:numFmt w:val="bullet"/>
      <w:lvlText w:val="o"/>
      <w:lvlJc w:val="left"/>
      <w:pPr>
        <w:ind w:left="2142" w:hanging="360"/>
      </w:pPr>
      <w:rPr>
        <w:rFonts w:ascii="Courier New" w:hAnsi="Courier New" w:cs="Courier New" w:hint="default"/>
      </w:rPr>
    </w:lvl>
    <w:lvl w:ilvl="2" w:tplc="04090005" w:tentative="1">
      <w:start w:val="1"/>
      <w:numFmt w:val="bullet"/>
      <w:lvlText w:val=""/>
      <w:lvlJc w:val="left"/>
      <w:pPr>
        <w:ind w:left="2862" w:hanging="360"/>
      </w:pPr>
      <w:rPr>
        <w:rFonts w:ascii="Wingdings" w:hAnsi="Wingdings" w:hint="default"/>
      </w:rPr>
    </w:lvl>
    <w:lvl w:ilvl="3" w:tplc="04090001" w:tentative="1">
      <w:start w:val="1"/>
      <w:numFmt w:val="bullet"/>
      <w:lvlText w:val=""/>
      <w:lvlJc w:val="left"/>
      <w:pPr>
        <w:ind w:left="3582" w:hanging="360"/>
      </w:pPr>
      <w:rPr>
        <w:rFonts w:ascii="Symbol" w:hAnsi="Symbol" w:hint="default"/>
      </w:rPr>
    </w:lvl>
    <w:lvl w:ilvl="4" w:tplc="04090003" w:tentative="1">
      <w:start w:val="1"/>
      <w:numFmt w:val="bullet"/>
      <w:lvlText w:val="o"/>
      <w:lvlJc w:val="left"/>
      <w:pPr>
        <w:ind w:left="4302" w:hanging="360"/>
      </w:pPr>
      <w:rPr>
        <w:rFonts w:ascii="Courier New" w:hAnsi="Courier New" w:cs="Courier New" w:hint="default"/>
      </w:rPr>
    </w:lvl>
    <w:lvl w:ilvl="5" w:tplc="04090005" w:tentative="1">
      <w:start w:val="1"/>
      <w:numFmt w:val="bullet"/>
      <w:lvlText w:val=""/>
      <w:lvlJc w:val="left"/>
      <w:pPr>
        <w:ind w:left="5022" w:hanging="360"/>
      </w:pPr>
      <w:rPr>
        <w:rFonts w:ascii="Wingdings" w:hAnsi="Wingdings" w:hint="default"/>
      </w:rPr>
    </w:lvl>
    <w:lvl w:ilvl="6" w:tplc="04090001" w:tentative="1">
      <w:start w:val="1"/>
      <w:numFmt w:val="bullet"/>
      <w:lvlText w:val=""/>
      <w:lvlJc w:val="left"/>
      <w:pPr>
        <w:ind w:left="5742" w:hanging="360"/>
      </w:pPr>
      <w:rPr>
        <w:rFonts w:ascii="Symbol" w:hAnsi="Symbol" w:hint="default"/>
      </w:rPr>
    </w:lvl>
    <w:lvl w:ilvl="7" w:tplc="04090003" w:tentative="1">
      <w:start w:val="1"/>
      <w:numFmt w:val="bullet"/>
      <w:lvlText w:val="o"/>
      <w:lvlJc w:val="left"/>
      <w:pPr>
        <w:ind w:left="6462" w:hanging="360"/>
      </w:pPr>
      <w:rPr>
        <w:rFonts w:ascii="Courier New" w:hAnsi="Courier New" w:cs="Courier New" w:hint="default"/>
      </w:rPr>
    </w:lvl>
    <w:lvl w:ilvl="8" w:tplc="04090005" w:tentative="1">
      <w:start w:val="1"/>
      <w:numFmt w:val="bullet"/>
      <w:lvlText w:val=""/>
      <w:lvlJc w:val="left"/>
      <w:pPr>
        <w:ind w:left="7182" w:hanging="360"/>
      </w:pPr>
      <w:rPr>
        <w:rFonts w:ascii="Wingdings" w:hAnsi="Wingdings" w:hint="default"/>
      </w:rPr>
    </w:lvl>
  </w:abstractNum>
  <w:abstractNum w:abstractNumId="48" w15:restartNumberingAfterBreak="0">
    <w:nsid w:val="1F4C57F2"/>
    <w:multiLevelType w:val="hybridMultilevel"/>
    <w:tmpl w:val="D17C3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FB35244"/>
    <w:multiLevelType w:val="hybridMultilevel"/>
    <w:tmpl w:val="55644CD8"/>
    <w:lvl w:ilvl="0" w:tplc="50CC1788">
      <w:numFmt w:val="bullet"/>
      <w:lvlText w:val="•"/>
      <w:lvlJc w:val="left"/>
      <w:pPr>
        <w:ind w:left="1080" w:hanging="720"/>
      </w:pPr>
      <w:rPr>
        <w:rFonts w:ascii="Times New Roman" w:eastAsia="Times New Roman" w:hAnsi="Times New Roman" w:cs="Times New Roman" w:hint="default"/>
      </w:rPr>
    </w:lvl>
    <w:lvl w:ilvl="1" w:tplc="A45A9064">
      <w:start w:val="7"/>
      <w:numFmt w:val="bullet"/>
      <w:lvlText w:val="-"/>
      <w:lvlJc w:val="left"/>
      <w:pPr>
        <w:ind w:left="1800" w:hanging="720"/>
      </w:pPr>
      <w:rPr>
        <w:rFonts w:ascii="Times New Roman" w:eastAsia="Times New Roman" w:hAnsi="Times New Roman" w:cs="Times New Roman"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0" w15:restartNumberingAfterBreak="0">
    <w:nsid w:val="2060350F"/>
    <w:multiLevelType w:val="multilevel"/>
    <w:tmpl w:val="B56EE064"/>
    <w:lvl w:ilvl="0">
      <w:start w:val="1"/>
      <w:numFmt w:val="decimal"/>
      <w:suff w:val="space"/>
      <w:lvlText w:val="%1."/>
      <w:lvlJc w:val="left"/>
      <w:pPr>
        <w:ind w:left="720" w:hanging="720"/>
      </w:pPr>
      <w:rPr>
        <w:rFonts w:ascii="Times New Roman Bold" w:hAnsi="Times New Roman Bold" w:hint="default"/>
        <w:b/>
        <w:i w:val="0"/>
        <w:strike w:val="0"/>
        <w:sz w:val="24"/>
      </w:rPr>
    </w:lvl>
    <w:lvl w:ilvl="1">
      <w:start w:val="1"/>
      <w:numFmt w:val="decimal"/>
      <w:suff w:val="space"/>
      <w:lvlText w:val="%1.%2 "/>
      <w:lvlJc w:val="left"/>
      <w:pPr>
        <w:ind w:left="432" w:hanging="432"/>
      </w:pPr>
      <w:rPr>
        <w:rFonts w:hint="default"/>
        <w:strike w:val="0"/>
      </w:rPr>
    </w:lvl>
    <w:lvl w:ilvl="2">
      <w:start w:val="1"/>
      <w:numFmt w:val="lowerRoman"/>
      <w:lvlText w:val="%3)"/>
      <w:lvlJc w:val="lef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left"/>
      <w:pPr>
        <w:ind w:left="720" w:hanging="720"/>
      </w:pPr>
      <w:rPr>
        <w:rFonts w:hint="default"/>
      </w:rPr>
    </w:lvl>
    <w:lvl w:ilvl="6">
      <w:start w:val="1"/>
      <w:numFmt w:val="decimal"/>
      <w:lvlText w:val="%7."/>
      <w:lvlJc w:val="left"/>
      <w:pPr>
        <w:ind w:left="720" w:hanging="720"/>
      </w:pPr>
      <w:rPr>
        <w:rFonts w:hint="default"/>
        <w:b/>
      </w:rPr>
    </w:lvl>
    <w:lvl w:ilvl="7">
      <w:start w:val="1"/>
      <w:numFmt w:val="lowerLetter"/>
      <w:lvlText w:val="%8."/>
      <w:lvlJc w:val="left"/>
      <w:pPr>
        <w:ind w:left="720" w:hanging="720"/>
      </w:pPr>
      <w:rPr>
        <w:rFonts w:hint="default"/>
      </w:rPr>
    </w:lvl>
    <w:lvl w:ilvl="8">
      <w:start w:val="1"/>
      <w:numFmt w:val="lowerRoman"/>
      <w:lvlText w:val="%9."/>
      <w:lvlJc w:val="left"/>
      <w:pPr>
        <w:ind w:left="720" w:hanging="720"/>
      </w:pPr>
      <w:rPr>
        <w:rFonts w:hint="default"/>
      </w:rPr>
    </w:lvl>
  </w:abstractNum>
  <w:abstractNum w:abstractNumId="51" w15:restartNumberingAfterBreak="0">
    <w:nsid w:val="229C633C"/>
    <w:multiLevelType w:val="hybridMultilevel"/>
    <w:tmpl w:val="A2DC5A10"/>
    <w:lvl w:ilvl="0" w:tplc="89E6BC6C">
      <w:start w:val="1"/>
      <w:numFmt w:val="lowerLetter"/>
      <w:lvlText w:val="(%1)"/>
      <w:lvlJc w:val="left"/>
      <w:pPr>
        <w:ind w:left="1800" w:hanging="360"/>
      </w:pPr>
      <w:rPr>
        <w:rFonts w:hint="default"/>
      </w:rPr>
    </w:lvl>
    <w:lvl w:ilvl="1" w:tplc="121ADC42">
      <w:start w:val="1"/>
      <w:numFmt w:val="lowerLetter"/>
      <w:lvlText w:val="%2."/>
      <w:lvlJc w:val="left"/>
      <w:pPr>
        <w:ind w:left="2520" w:hanging="360"/>
      </w:pPr>
    </w:lvl>
    <w:lvl w:ilvl="2" w:tplc="75A0F126">
      <w:start w:val="1"/>
      <w:numFmt w:val="lowerRoman"/>
      <w:lvlText w:val="%3."/>
      <w:lvlJc w:val="right"/>
      <w:pPr>
        <w:ind w:left="3240" w:hanging="180"/>
      </w:pPr>
    </w:lvl>
    <w:lvl w:ilvl="3" w:tplc="E160CF1C">
      <w:start w:val="1"/>
      <w:numFmt w:val="decimal"/>
      <w:lvlText w:val="%4."/>
      <w:lvlJc w:val="left"/>
      <w:pPr>
        <w:ind w:left="3960" w:hanging="360"/>
      </w:pPr>
    </w:lvl>
    <w:lvl w:ilvl="4" w:tplc="FE92E8E8">
      <w:start w:val="1"/>
      <w:numFmt w:val="lowerLetter"/>
      <w:lvlText w:val="%5."/>
      <w:lvlJc w:val="left"/>
      <w:pPr>
        <w:ind w:left="4680" w:hanging="360"/>
      </w:pPr>
    </w:lvl>
    <w:lvl w:ilvl="5" w:tplc="BAB072E6">
      <w:start w:val="1"/>
      <w:numFmt w:val="lowerRoman"/>
      <w:lvlText w:val="%6."/>
      <w:lvlJc w:val="right"/>
      <w:pPr>
        <w:ind w:left="5400" w:hanging="180"/>
      </w:pPr>
    </w:lvl>
    <w:lvl w:ilvl="6" w:tplc="7D780124">
      <w:start w:val="1"/>
      <w:numFmt w:val="decimal"/>
      <w:lvlText w:val="%7."/>
      <w:lvlJc w:val="left"/>
      <w:pPr>
        <w:ind w:left="6120" w:hanging="360"/>
      </w:pPr>
    </w:lvl>
    <w:lvl w:ilvl="7" w:tplc="0C4E63B2">
      <w:start w:val="1"/>
      <w:numFmt w:val="lowerLetter"/>
      <w:lvlText w:val="%8."/>
      <w:lvlJc w:val="left"/>
      <w:pPr>
        <w:ind w:left="6840" w:hanging="360"/>
      </w:pPr>
    </w:lvl>
    <w:lvl w:ilvl="8" w:tplc="05F0061E">
      <w:start w:val="1"/>
      <w:numFmt w:val="lowerRoman"/>
      <w:lvlText w:val="%9."/>
      <w:lvlJc w:val="right"/>
      <w:pPr>
        <w:ind w:left="7560" w:hanging="180"/>
      </w:pPr>
    </w:lvl>
  </w:abstractNum>
  <w:abstractNum w:abstractNumId="52" w15:restartNumberingAfterBreak="0">
    <w:nsid w:val="2331541B"/>
    <w:multiLevelType w:val="hybridMultilevel"/>
    <w:tmpl w:val="AA6EF376"/>
    <w:lvl w:ilvl="0" w:tplc="AFB08690">
      <w:start w:val="1"/>
      <w:numFmt w:val="lowerLetter"/>
      <w:lvlText w:val="(%1)"/>
      <w:lvlJc w:val="left"/>
      <w:pPr>
        <w:ind w:left="540" w:hanging="360"/>
      </w:pPr>
      <w:rPr>
        <w:rFonts w:hint="default"/>
      </w:rPr>
    </w:lvl>
    <w:lvl w:ilvl="1" w:tplc="B0461404">
      <w:start w:val="1"/>
      <w:numFmt w:val="lowerLetter"/>
      <w:lvlText w:val="%2."/>
      <w:lvlJc w:val="left"/>
      <w:pPr>
        <w:ind w:left="1440" w:hanging="360"/>
      </w:pPr>
    </w:lvl>
    <w:lvl w:ilvl="2" w:tplc="54106F04">
      <w:start w:val="1"/>
      <w:numFmt w:val="lowerRoman"/>
      <w:lvlText w:val="%3."/>
      <w:lvlJc w:val="right"/>
      <w:pPr>
        <w:ind w:left="2160" w:hanging="180"/>
      </w:pPr>
    </w:lvl>
    <w:lvl w:ilvl="3" w:tplc="55925900">
      <w:start w:val="1"/>
      <w:numFmt w:val="decimal"/>
      <w:lvlText w:val="%4."/>
      <w:lvlJc w:val="left"/>
      <w:pPr>
        <w:ind w:left="2880" w:hanging="360"/>
      </w:pPr>
    </w:lvl>
    <w:lvl w:ilvl="4" w:tplc="C932322C">
      <w:start w:val="1"/>
      <w:numFmt w:val="lowerLetter"/>
      <w:lvlText w:val="%5."/>
      <w:lvlJc w:val="left"/>
      <w:pPr>
        <w:ind w:left="3600" w:hanging="360"/>
      </w:pPr>
    </w:lvl>
    <w:lvl w:ilvl="5" w:tplc="22D6AD2A">
      <w:start w:val="1"/>
      <w:numFmt w:val="lowerRoman"/>
      <w:lvlText w:val="%6."/>
      <w:lvlJc w:val="right"/>
      <w:pPr>
        <w:ind w:left="4320" w:hanging="180"/>
      </w:pPr>
    </w:lvl>
    <w:lvl w:ilvl="6" w:tplc="C0E80DE8">
      <w:start w:val="1"/>
      <w:numFmt w:val="decimal"/>
      <w:lvlText w:val="%7."/>
      <w:lvlJc w:val="left"/>
      <w:pPr>
        <w:ind w:left="5040" w:hanging="360"/>
      </w:pPr>
    </w:lvl>
    <w:lvl w:ilvl="7" w:tplc="E8A6C206">
      <w:start w:val="1"/>
      <w:numFmt w:val="lowerLetter"/>
      <w:lvlText w:val="%8."/>
      <w:lvlJc w:val="left"/>
      <w:pPr>
        <w:ind w:left="5760" w:hanging="360"/>
      </w:pPr>
    </w:lvl>
    <w:lvl w:ilvl="8" w:tplc="15B076C4">
      <w:start w:val="1"/>
      <w:numFmt w:val="lowerRoman"/>
      <w:lvlText w:val="%9."/>
      <w:lvlJc w:val="right"/>
      <w:pPr>
        <w:ind w:left="6480" w:hanging="180"/>
      </w:pPr>
    </w:lvl>
  </w:abstractNum>
  <w:abstractNum w:abstractNumId="53" w15:restartNumberingAfterBreak="0">
    <w:nsid w:val="23A36339"/>
    <w:multiLevelType w:val="hybridMultilevel"/>
    <w:tmpl w:val="78F00A46"/>
    <w:lvl w:ilvl="0" w:tplc="802E0382">
      <w:start w:val="1"/>
      <w:numFmt w:val="bullet"/>
      <w:lvlText w:val="•"/>
      <w:lvlJc w:val="left"/>
      <w:pPr>
        <w:ind w:left="720" w:hanging="360"/>
      </w:pPr>
      <w:rPr>
        <w:rFonts w:ascii="Calibri Light" w:eastAsia="Times New Roman" w:hAnsi="Calibri Light" w:cs="Times New Roman" w:hint="default"/>
      </w:rPr>
    </w:lvl>
    <w:lvl w:ilvl="1" w:tplc="0F3AA368">
      <w:start w:val="1"/>
      <w:numFmt w:val="bullet"/>
      <w:lvlText w:val="o"/>
      <w:lvlJc w:val="left"/>
      <w:pPr>
        <w:ind w:left="1440" w:hanging="360"/>
      </w:pPr>
      <w:rPr>
        <w:rFonts w:ascii="Courier New" w:hAnsi="Courier New" w:cs="Courier New" w:hint="default"/>
      </w:rPr>
    </w:lvl>
    <w:lvl w:ilvl="2" w:tplc="5DA040AA">
      <w:start w:val="1"/>
      <w:numFmt w:val="bullet"/>
      <w:lvlText w:val=""/>
      <w:lvlJc w:val="left"/>
      <w:pPr>
        <w:ind w:left="2160" w:hanging="360"/>
      </w:pPr>
      <w:rPr>
        <w:rFonts w:ascii="Wingdings" w:hAnsi="Wingdings" w:hint="default"/>
      </w:rPr>
    </w:lvl>
    <w:lvl w:ilvl="3" w:tplc="4CBC566A">
      <w:start w:val="1"/>
      <w:numFmt w:val="bullet"/>
      <w:lvlText w:val=""/>
      <w:lvlJc w:val="left"/>
      <w:pPr>
        <w:ind w:left="2880" w:hanging="360"/>
      </w:pPr>
      <w:rPr>
        <w:rFonts w:ascii="Symbol" w:hAnsi="Symbol" w:hint="default"/>
      </w:rPr>
    </w:lvl>
    <w:lvl w:ilvl="4" w:tplc="B68A6366">
      <w:start w:val="1"/>
      <w:numFmt w:val="bullet"/>
      <w:lvlText w:val="o"/>
      <w:lvlJc w:val="left"/>
      <w:pPr>
        <w:ind w:left="3600" w:hanging="360"/>
      </w:pPr>
      <w:rPr>
        <w:rFonts w:ascii="Courier New" w:hAnsi="Courier New" w:cs="Courier New" w:hint="default"/>
      </w:rPr>
    </w:lvl>
    <w:lvl w:ilvl="5" w:tplc="BD8AFACC">
      <w:start w:val="1"/>
      <w:numFmt w:val="bullet"/>
      <w:lvlText w:val=""/>
      <w:lvlJc w:val="left"/>
      <w:pPr>
        <w:ind w:left="4320" w:hanging="360"/>
      </w:pPr>
      <w:rPr>
        <w:rFonts w:ascii="Wingdings" w:hAnsi="Wingdings" w:hint="default"/>
      </w:rPr>
    </w:lvl>
    <w:lvl w:ilvl="6" w:tplc="0BAC0182">
      <w:start w:val="1"/>
      <w:numFmt w:val="bullet"/>
      <w:lvlText w:val=""/>
      <w:lvlJc w:val="left"/>
      <w:pPr>
        <w:ind w:left="5040" w:hanging="360"/>
      </w:pPr>
      <w:rPr>
        <w:rFonts w:ascii="Symbol" w:hAnsi="Symbol" w:hint="default"/>
      </w:rPr>
    </w:lvl>
    <w:lvl w:ilvl="7" w:tplc="292CE920">
      <w:start w:val="1"/>
      <w:numFmt w:val="bullet"/>
      <w:lvlText w:val="o"/>
      <w:lvlJc w:val="left"/>
      <w:pPr>
        <w:ind w:left="5760" w:hanging="360"/>
      </w:pPr>
      <w:rPr>
        <w:rFonts w:ascii="Courier New" w:hAnsi="Courier New" w:cs="Courier New" w:hint="default"/>
      </w:rPr>
    </w:lvl>
    <w:lvl w:ilvl="8" w:tplc="19FACA04">
      <w:start w:val="1"/>
      <w:numFmt w:val="bullet"/>
      <w:lvlText w:val=""/>
      <w:lvlJc w:val="left"/>
      <w:pPr>
        <w:ind w:left="6480" w:hanging="360"/>
      </w:pPr>
      <w:rPr>
        <w:rFonts w:ascii="Wingdings" w:hAnsi="Wingdings" w:hint="default"/>
      </w:rPr>
    </w:lvl>
  </w:abstractNum>
  <w:abstractNum w:abstractNumId="54" w15:restartNumberingAfterBreak="0">
    <w:nsid w:val="24A03AAF"/>
    <w:multiLevelType w:val="hybridMultilevel"/>
    <w:tmpl w:val="1304F0A6"/>
    <w:lvl w:ilvl="0" w:tplc="D9867A16">
      <w:start w:val="1"/>
      <w:numFmt w:val="lowerLetter"/>
      <w:lvlText w:val="(%1)"/>
      <w:lvlJc w:val="left"/>
      <w:pPr>
        <w:ind w:left="2880" w:hanging="360"/>
      </w:pPr>
      <w:rPr>
        <w:rFonts w:hint="default"/>
      </w:rPr>
    </w:lvl>
    <w:lvl w:ilvl="1" w:tplc="165E6484">
      <w:start w:val="1"/>
      <w:numFmt w:val="lowerLetter"/>
      <w:lvlText w:val="%2."/>
      <w:lvlJc w:val="left"/>
      <w:pPr>
        <w:ind w:left="3600" w:hanging="360"/>
      </w:pPr>
    </w:lvl>
    <w:lvl w:ilvl="2" w:tplc="9760DE00">
      <w:start w:val="1"/>
      <w:numFmt w:val="lowerRoman"/>
      <w:lvlText w:val="%3."/>
      <w:lvlJc w:val="right"/>
      <w:pPr>
        <w:ind w:left="4320" w:hanging="180"/>
      </w:pPr>
    </w:lvl>
    <w:lvl w:ilvl="3" w:tplc="6026174C">
      <w:start w:val="1"/>
      <w:numFmt w:val="decimal"/>
      <w:lvlText w:val="%4."/>
      <w:lvlJc w:val="left"/>
      <w:pPr>
        <w:ind w:left="5040" w:hanging="360"/>
      </w:pPr>
    </w:lvl>
    <w:lvl w:ilvl="4" w:tplc="4598463C">
      <w:start w:val="1"/>
      <w:numFmt w:val="lowerLetter"/>
      <w:lvlText w:val="%5."/>
      <w:lvlJc w:val="left"/>
      <w:pPr>
        <w:ind w:left="5760" w:hanging="360"/>
      </w:pPr>
    </w:lvl>
    <w:lvl w:ilvl="5" w:tplc="01D49224">
      <w:start w:val="1"/>
      <w:numFmt w:val="lowerRoman"/>
      <w:lvlText w:val="%6."/>
      <w:lvlJc w:val="right"/>
      <w:pPr>
        <w:ind w:left="6480" w:hanging="180"/>
      </w:pPr>
    </w:lvl>
    <w:lvl w:ilvl="6" w:tplc="D9CE5A14">
      <w:start w:val="1"/>
      <w:numFmt w:val="decimal"/>
      <w:lvlText w:val="%7."/>
      <w:lvlJc w:val="left"/>
      <w:pPr>
        <w:ind w:left="7200" w:hanging="360"/>
      </w:pPr>
    </w:lvl>
    <w:lvl w:ilvl="7" w:tplc="0A50FCB4">
      <w:start w:val="1"/>
      <w:numFmt w:val="lowerLetter"/>
      <w:lvlText w:val="%8."/>
      <w:lvlJc w:val="left"/>
      <w:pPr>
        <w:ind w:left="7920" w:hanging="360"/>
      </w:pPr>
    </w:lvl>
    <w:lvl w:ilvl="8" w:tplc="4922E9A4">
      <w:start w:val="1"/>
      <w:numFmt w:val="lowerRoman"/>
      <w:lvlText w:val="%9."/>
      <w:lvlJc w:val="right"/>
      <w:pPr>
        <w:ind w:left="8640" w:hanging="180"/>
      </w:pPr>
    </w:lvl>
  </w:abstractNum>
  <w:abstractNum w:abstractNumId="55" w15:restartNumberingAfterBreak="0">
    <w:nsid w:val="24B20C8C"/>
    <w:multiLevelType w:val="hybridMultilevel"/>
    <w:tmpl w:val="0AFA670C"/>
    <w:lvl w:ilvl="0" w:tplc="CDDAD2CE">
      <w:start w:val="1"/>
      <w:numFmt w:val="lowerLetter"/>
      <w:lvlText w:val="(%1)"/>
      <w:lvlJc w:val="left"/>
      <w:pPr>
        <w:ind w:left="720" w:hanging="360"/>
      </w:pPr>
      <w:rPr>
        <w:rFonts w:ascii="Times New Roman" w:hAnsi="Times New Roman" w:cs="Times New Roman" w:hint="default"/>
        <w:b w:val="0"/>
        <w:i w:val="0"/>
        <w:color w:val="auto"/>
        <w:sz w:val="22"/>
        <w:szCs w:val="22"/>
        <w:u w:val="none"/>
      </w:rPr>
    </w:lvl>
    <w:lvl w:ilvl="1" w:tplc="BABE8004">
      <w:start w:val="1"/>
      <w:numFmt w:val="lowerLetter"/>
      <w:lvlText w:val="%2."/>
      <w:lvlJc w:val="left"/>
      <w:pPr>
        <w:ind w:left="1440" w:hanging="360"/>
      </w:pPr>
    </w:lvl>
    <w:lvl w:ilvl="2" w:tplc="BB1CC50C">
      <w:start w:val="1"/>
      <w:numFmt w:val="lowerRoman"/>
      <w:lvlText w:val="%3."/>
      <w:lvlJc w:val="right"/>
      <w:pPr>
        <w:ind w:left="2160" w:hanging="180"/>
      </w:pPr>
    </w:lvl>
    <w:lvl w:ilvl="3" w:tplc="05D63224">
      <w:start w:val="1"/>
      <w:numFmt w:val="decimal"/>
      <w:lvlText w:val="%4."/>
      <w:lvlJc w:val="left"/>
      <w:pPr>
        <w:ind w:left="2880" w:hanging="360"/>
      </w:pPr>
    </w:lvl>
    <w:lvl w:ilvl="4" w:tplc="DFD21092">
      <w:start w:val="1"/>
      <w:numFmt w:val="lowerLetter"/>
      <w:lvlText w:val="%5."/>
      <w:lvlJc w:val="left"/>
      <w:pPr>
        <w:ind w:left="3600" w:hanging="360"/>
      </w:pPr>
    </w:lvl>
    <w:lvl w:ilvl="5" w:tplc="10C47886">
      <w:start w:val="1"/>
      <w:numFmt w:val="lowerRoman"/>
      <w:lvlText w:val="%6."/>
      <w:lvlJc w:val="right"/>
      <w:pPr>
        <w:ind w:left="4320" w:hanging="180"/>
      </w:pPr>
    </w:lvl>
    <w:lvl w:ilvl="6" w:tplc="0F14E530">
      <w:start w:val="1"/>
      <w:numFmt w:val="decimal"/>
      <w:lvlText w:val="%7."/>
      <w:lvlJc w:val="left"/>
      <w:pPr>
        <w:ind w:left="5040" w:hanging="360"/>
      </w:pPr>
    </w:lvl>
    <w:lvl w:ilvl="7" w:tplc="ED021F54">
      <w:start w:val="1"/>
      <w:numFmt w:val="lowerLetter"/>
      <w:lvlText w:val="%8."/>
      <w:lvlJc w:val="left"/>
      <w:pPr>
        <w:ind w:left="5760" w:hanging="360"/>
      </w:pPr>
    </w:lvl>
    <w:lvl w:ilvl="8" w:tplc="1E78570C">
      <w:start w:val="1"/>
      <w:numFmt w:val="lowerRoman"/>
      <w:lvlText w:val="%9."/>
      <w:lvlJc w:val="right"/>
      <w:pPr>
        <w:ind w:left="6480" w:hanging="180"/>
      </w:pPr>
    </w:lvl>
  </w:abstractNum>
  <w:abstractNum w:abstractNumId="56" w15:restartNumberingAfterBreak="0">
    <w:nsid w:val="25544A4F"/>
    <w:multiLevelType w:val="hybridMultilevel"/>
    <w:tmpl w:val="D5D025FC"/>
    <w:lvl w:ilvl="0" w:tplc="81EA84DE">
      <w:start w:val="1"/>
      <w:numFmt w:val="lowerRoman"/>
      <w:lvlText w:val="%1."/>
      <w:lvlJc w:val="right"/>
      <w:pPr>
        <w:ind w:left="2160" w:hanging="360"/>
      </w:pPr>
      <w:rPr>
        <w:b w:val="0"/>
        <w:lang w:val="en-AU"/>
      </w:rPr>
    </w:lvl>
    <w:lvl w:ilvl="1" w:tplc="A250505C">
      <w:start w:val="1"/>
      <w:numFmt w:val="lowerLetter"/>
      <w:lvlText w:val="%2."/>
      <w:lvlJc w:val="left"/>
      <w:pPr>
        <w:ind w:left="2880" w:hanging="360"/>
      </w:pPr>
    </w:lvl>
    <w:lvl w:ilvl="2" w:tplc="38580D62">
      <w:start w:val="1"/>
      <w:numFmt w:val="lowerRoman"/>
      <w:lvlText w:val="%3."/>
      <w:lvlJc w:val="right"/>
      <w:pPr>
        <w:ind w:left="3600" w:hanging="180"/>
      </w:pPr>
    </w:lvl>
    <w:lvl w:ilvl="3" w:tplc="B21EBEA2">
      <w:start w:val="1"/>
      <w:numFmt w:val="decimal"/>
      <w:lvlText w:val="%4."/>
      <w:lvlJc w:val="left"/>
      <w:pPr>
        <w:ind w:left="4320" w:hanging="360"/>
      </w:pPr>
    </w:lvl>
    <w:lvl w:ilvl="4" w:tplc="C52A7922">
      <w:start w:val="1"/>
      <w:numFmt w:val="lowerLetter"/>
      <w:lvlText w:val="%5."/>
      <w:lvlJc w:val="left"/>
      <w:pPr>
        <w:ind w:left="5040" w:hanging="360"/>
      </w:pPr>
    </w:lvl>
    <w:lvl w:ilvl="5" w:tplc="7C44ABAE">
      <w:start w:val="1"/>
      <w:numFmt w:val="lowerRoman"/>
      <w:lvlText w:val="%6."/>
      <w:lvlJc w:val="right"/>
      <w:pPr>
        <w:ind w:left="5760" w:hanging="180"/>
      </w:pPr>
    </w:lvl>
    <w:lvl w:ilvl="6" w:tplc="AD007E16">
      <w:start w:val="1"/>
      <w:numFmt w:val="decimal"/>
      <w:lvlText w:val="%7."/>
      <w:lvlJc w:val="left"/>
      <w:pPr>
        <w:ind w:left="6480" w:hanging="360"/>
      </w:pPr>
    </w:lvl>
    <w:lvl w:ilvl="7" w:tplc="8E500FA6">
      <w:start w:val="1"/>
      <w:numFmt w:val="lowerLetter"/>
      <w:lvlText w:val="%8."/>
      <w:lvlJc w:val="left"/>
      <w:pPr>
        <w:ind w:left="7200" w:hanging="360"/>
      </w:pPr>
    </w:lvl>
    <w:lvl w:ilvl="8" w:tplc="9EFCC51C">
      <w:start w:val="1"/>
      <w:numFmt w:val="lowerRoman"/>
      <w:lvlText w:val="%9."/>
      <w:lvlJc w:val="right"/>
      <w:pPr>
        <w:ind w:left="7920" w:hanging="180"/>
      </w:pPr>
    </w:lvl>
  </w:abstractNum>
  <w:abstractNum w:abstractNumId="57" w15:restartNumberingAfterBreak="0">
    <w:nsid w:val="26CE6FC1"/>
    <w:multiLevelType w:val="hybridMultilevel"/>
    <w:tmpl w:val="A63E083C"/>
    <w:lvl w:ilvl="0" w:tplc="3BB87DDC">
      <w:start w:val="1"/>
      <w:numFmt w:val="bullet"/>
      <w:lvlText w:val=""/>
      <w:lvlJc w:val="left"/>
      <w:pPr>
        <w:ind w:left="1080" w:hanging="72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26FB351D"/>
    <w:multiLevelType w:val="hybridMultilevel"/>
    <w:tmpl w:val="C08A0C00"/>
    <w:lvl w:ilvl="0" w:tplc="DCBCB8F6">
      <w:start w:val="1"/>
      <w:numFmt w:val="bullet"/>
      <w:lvlText w:val="-"/>
      <w:lvlJc w:val="left"/>
      <w:pPr>
        <w:ind w:left="720" w:hanging="360"/>
      </w:pPr>
      <w:rPr>
        <w:rFonts w:ascii="Calibri" w:eastAsia="WenQuanYi Micro Hei" w:hAnsi="Calibri" w:cs="Calibri" w:hint="default"/>
      </w:rPr>
    </w:lvl>
    <w:lvl w:ilvl="1" w:tplc="3AAA1890">
      <w:start w:val="1"/>
      <w:numFmt w:val="bullet"/>
      <w:lvlText w:val="o"/>
      <w:lvlJc w:val="left"/>
      <w:pPr>
        <w:ind w:left="1440" w:hanging="360"/>
      </w:pPr>
      <w:rPr>
        <w:rFonts w:ascii="Courier New" w:hAnsi="Courier New" w:cs="Courier New" w:hint="default"/>
      </w:rPr>
    </w:lvl>
    <w:lvl w:ilvl="2" w:tplc="956E09D8">
      <w:start w:val="1"/>
      <w:numFmt w:val="bullet"/>
      <w:lvlText w:val=""/>
      <w:lvlJc w:val="left"/>
      <w:pPr>
        <w:ind w:left="2160" w:hanging="360"/>
      </w:pPr>
      <w:rPr>
        <w:rFonts w:ascii="Wingdings" w:hAnsi="Wingdings" w:hint="default"/>
      </w:rPr>
    </w:lvl>
    <w:lvl w:ilvl="3" w:tplc="DE028590">
      <w:start w:val="1"/>
      <w:numFmt w:val="bullet"/>
      <w:lvlText w:val=""/>
      <w:lvlJc w:val="left"/>
      <w:pPr>
        <w:ind w:left="2880" w:hanging="360"/>
      </w:pPr>
      <w:rPr>
        <w:rFonts w:ascii="Symbol" w:hAnsi="Symbol" w:hint="default"/>
      </w:rPr>
    </w:lvl>
    <w:lvl w:ilvl="4" w:tplc="4E268D20">
      <w:start w:val="1"/>
      <w:numFmt w:val="bullet"/>
      <w:lvlText w:val="o"/>
      <w:lvlJc w:val="left"/>
      <w:pPr>
        <w:ind w:left="3600" w:hanging="360"/>
      </w:pPr>
      <w:rPr>
        <w:rFonts w:ascii="Courier New" w:hAnsi="Courier New" w:cs="Courier New" w:hint="default"/>
      </w:rPr>
    </w:lvl>
    <w:lvl w:ilvl="5" w:tplc="98187D56">
      <w:start w:val="1"/>
      <w:numFmt w:val="bullet"/>
      <w:lvlText w:val=""/>
      <w:lvlJc w:val="left"/>
      <w:pPr>
        <w:ind w:left="4320" w:hanging="360"/>
      </w:pPr>
      <w:rPr>
        <w:rFonts w:ascii="Wingdings" w:hAnsi="Wingdings" w:hint="default"/>
      </w:rPr>
    </w:lvl>
    <w:lvl w:ilvl="6" w:tplc="E81E6484">
      <w:start w:val="1"/>
      <w:numFmt w:val="bullet"/>
      <w:lvlText w:val=""/>
      <w:lvlJc w:val="left"/>
      <w:pPr>
        <w:ind w:left="5040" w:hanging="360"/>
      </w:pPr>
      <w:rPr>
        <w:rFonts w:ascii="Symbol" w:hAnsi="Symbol" w:hint="default"/>
      </w:rPr>
    </w:lvl>
    <w:lvl w:ilvl="7" w:tplc="B16C0AF4">
      <w:start w:val="1"/>
      <w:numFmt w:val="bullet"/>
      <w:lvlText w:val="o"/>
      <w:lvlJc w:val="left"/>
      <w:pPr>
        <w:ind w:left="5760" w:hanging="360"/>
      </w:pPr>
      <w:rPr>
        <w:rFonts w:ascii="Courier New" w:hAnsi="Courier New" w:cs="Courier New" w:hint="default"/>
      </w:rPr>
    </w:lvl>
    <w:lvl w:ilvl="8" w:tplc="8702BB40">
      <w:start w:val="1"/>
      <w:numFmt w:val="bullet"/>
      <w:lvlText w:val=""/>
      <w:lvlJc w:val="left"/>
      <w:pPr>
        <w:ind w:left="6480" w:hanging="360"/>
      </w:pPr>
      <w:rPr>
        <w:rFonts w:ascii="Wingdings" w:hAnsi="Wingdings" w:hint="default"/>
      </w:rPr>
    </w:lvl>
  </w:abstractNum>
  <w:abstractNum w:abstractNumId="59" w15:restartNumberingAfterBreak="0">
    <w:nsid w:val="277D2AEB"/>
    <w:multiLevelType w:val="hybridMultilevel"/>
    <w:tmpl w:val="641AD29E"/>
    <w:lvl w:ilvl="0" w:tplc="93E4FE9C">
      <w:start w:val="1"/>
      <w:numFmt w:val="bullet"/>
      <w:lvlText w:val=""/>
      <w:lvlJc w:val="left"/>
      <w:pPr>
        <w:tabs>
          <w:tab w:val="num" w:pos="720"/>
        </w:tabs>
        <w:ind w:left="720" w:hanging="360"/>
      </w:pPr>
      <w:rPr>
        <w:rFonts w:ascii="Symbol" w:hAnsi="Symbol" w:hint="default"/>
      </w:rPr>
    </w:lvl>
    <w:lvl w:ilvl="1" w:tplc="6BB440D8">
      <w:start w:val="1"/>
      <w:numFmt w:val="bullet"/>
      <w:lvlText w:val="o"/>
      <w:lvlJc w:val="left"/>
      <w:pPr>
        <w:tabs>
          <w:tab w:val="num" w:pos="1440"/>
        </w:tabs>
        <w:ind w:left="1440" w:hanging="360"/>
      </w:pPr>
      <w:rPr>
        <w:rFonts w:ascii="Courier New" w:hAnsi="Courier New" w:cs="Courier New" w:hint="default"/>
      </w:rPr>
    </w:lvl>
    <w:lvl w:ilvl="2" w:tplc="FC90D6C8">
      <w:start w:val="1"/>
      <w:numFmt w:val="bullet"/>
      <w:lvlText w:val=""/>
      <w:lvlJc w:val="left"/>
      <w:pPr>
        <w:tabs>
          <w:tab w:val="num" w:pos="2160"/>
        </w:tabs>
        <w:ind w:left="2160" w:hanging="360"/>
      </w:pPr>
      <w:rPr>
        <w:rFonts w:ascii="Wingdings" w:hAnsi="Wingdings" w:hint="default"/>
      </w:rPr>
    </w:lvl>
    <w:lvl w:ilvl="3" w:tplc="37F2B5A8">
      <w:start w:val="1"/>
      <w:numFmt w:val="bullet"/>
      <w:lvlText w:val=""/>
      <w:lvlJc w:val="left"/>
      <w:pPr>
        <w:tabs>
          <w:tab w:val="num" w:pos="2880"/>
        </w:tabs>
        <w:ind w:left="2880" w:hanging="360"/>
      </w:pPr>
      <w:rPr>
        <w:rFonts w:ascii="Symbol" w:hAnsi="Symbol" w:hint="default"/>
      </w:rPr>
    </w:lvl>
    <w:lvl w:ilvl="4" w:tplc="91D6424E">
      <w:start w:val="1"/>
      <w:numFmt w:val="bullet"/>
      <w:lvlText w:val="o"/>
      <w:lvlJc w:val="left"/>
      <w:pPr>
        <w:tabs>
          <w:tab w:val="num" w:pos="3600"/>
        </w:tabs>
        <w:ind w:left="3600" w:hanging="360"/>
      </w:pPr>
      <w:rPr>
        <w:rFonts w:ascii="Courier New" w:hAnsi="Courier New" w:cs="Courier New" w:hint="default"/>
      </w:rPr>
    </w:lvl>
    <w:lvl w:ilvl="5" w:tplc="1F46197E">
      <w:start w:val="1"/>
      <w:numFmt w:val="bullet"/>
      <w:lvlText w:val=""/>
      <w:lvlJc w:val="left"/>
      <w:pPr>
        <w:tabs>
          <w:tab w:val="num" w:pos="4320"/>
        </w:tabs>
        <w:ind w:left="4320" w:hanging="360"/>
      </w:pPr>
      <w:rPr>
        <w:rFonts w:ascii="Wingdings" w:hAnsi="Wingdings" w:hint="default"/>
      </w:rPr>
    </w:lvl>
    <w:lvl w:ilvl="6" w:tplc="68061A3A">
      <w:start w:val="1"/>
      <w:numFmt w:val="bullet"/>
      <w:lvlText w:val=""/>
      <w:lvlJc w:val="left"/>
      <w:pPr>
        <w:tabs>
          <w:tab w:val="num" w:pos="5040"/>
        </w:tabs>
        <w:ind w:left="5040" w:hanging="360"/>
      </w:pPr>
      <w:rPr>
        <w:rFonts w:ascii="Symbol" w:hAnsi="Symbol" w:hint="default"/>
      </w:rPr>
    </w:lvl>
    <w:lvl w:ilvl="7" w:tplc="93C21318">
      <w:start w:val="1"/>
      <w:numFmt w:val="bullet"/>
      <w:lvlText w:val="o"/>
      <w:lvlJc w:val="left"/>
      <w:pPr>
        <w:tabs>
          <w:tab w:val="num" w:pos="5760"/>
        </w:tabs>
        <w:ind w:left="5760" w:hanging="360"/>
      </w:pPr>
      <w:rPr>
        <w:rFonts w:ascii="Courier New" w:hAnsi="Courier New" w:cs="Courier New" w:hint="default"/>
      </w:rPr>
    </w:lvl>
    <w:lvl w:ilvl="8" w:tplc="F02430A2">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7C15ABE"/>
    <w:multiLevelType w:val="hybridMultilevel"/>
    <w:tmpl w:val="FEACC0F2"/>
    <w:lvl w:ilvl="0" w:tplc="9C3405AE">
      <w:start w:val="1"/>
      <w:numFmt w:val="upperLetter"/>
      <w:lvlText w:val="%1."/>
      <w:lvlJc w:val="left"/>
      <w:pPr>
        <w:tabs>
          <w:tab w:val="num" w:pos="504"/>
        </w:tabs>
        <w:ind w:left="504" w:hanging="504"/>
      </w:pPr>
      <w:rPr>
        <w:rFonts w:hint="default"/>
      </w:rPr>
    </w:lvl>
    <w:lvl w:ilvl="1" w:tplc="58589EC8">
      <w:start w:val="16"/>
      <w:numFmt w:val="decimal"/>
      <w:pStyle w:val="2AutoList1"/>
      <w:lvlText w:val="%2."/>
      <w:lvlJc w:val="left"/>
      <w:pPr>
        <w:tabs>
          <w:tab w:val="num" w:pos="504"/>
        </w:tabs>
        <w:ind w:left="504" w:hanging="504"/>
      </w:pPr>
    </w:lvl>
    <w:lvl w:ilvl="2" w:tplc="E1CCF28E">
      <w:start w:val="1"/>
      <w:numFmt w:val="decimal"/>
      <w:lvlText w:val="%3."/>
      <w:lvlJc w:val="left"/>
      <w:pPr>
        <w:tabs>
          <w:tab w:val="num" w:pos="0"/>
        </w:tabs>
        <w:ind w:left="2160" w:hanging="720"/>
      </w:pPr>
    </w:lvl>
    <w:lvl w:ilvl="3" w:tplc="ED08E844">
      <w:start w:val="1"/>
      <w:numFmt w:val="decimal"/>
      <w:lvlText w:val="%4."/>
      <w:lvlJc w:val="left"/>
      <w:pPr>
        <w:tabs>
          <w:tab w:val="num" w:pos="0"/>
        </w:tabs>
        <w:ind w:left="2880" w:hanging="720"/>
      </w:pPr>
    </w:lvl>
    <w:lvl w:ilvl="4" w:tplc="1098FC28">
      <w:start w:val="1"/>
      <w:numFmt w:val="decimal"/>
      <w:lvlText w:val="%5."/>
      <w:lvlJc w:val="left"/>
      <w:pPr>
        <w:tabs>
          <w:tab w:val="num" w:pos="0"/>
        </w:tabs>
        <w:ind w:left="3600" w:hanging="720"/>
      </w:pPr>
    </w:lvl>
    <w:lvl w:ilvl="5" w:tplc="35B6DAEA">
      <w:start w:val="1"/>
      <w:numFmt w:val="decimal"/>
      <w:lvlText w:val="%6."/>
      <w:lvlJc w:val="left"/>
      <w:pPr>
        <w:tabs>
          <w:tab w:val="num" w:pos="0"/>
        </w:tabs>
        <w:ind w:left="4320" w:hanging="720"/>
      </w:pPr>
    </w:lvl>
    <w:lvl w:ilvl="6" w:tplc="F050F6B0">
      <w:start w:val="1"/>
      <w:numFmt w:val="decimal"/>
      <w:lvlText w:val="%7."/>
      <w:lvlJc w:val="left"/>
      <w:pPr>
        <w:tabs>
          <w:tab w:val="num" w:pos="0"/>
        </w:tabs>
        <w:ind w:left="5040" w:hanging="720"/>
      </w:pPr>
    </w:lvl>
    <w:lvl w:ilvl="7" w:tplc="4ED0E5CE">
      <w:start w:val="1"/>
      <w:numFmt w:val="decimal"/>
      <w:lvlText w:val="%8."/>
      <w:lvlJc w:val="left"/>
      <w:pPr>
        <w:tabs>
          <w:tab w:val="num" w:pos="0"/>
        </w:tabs>
        <w:ind w:left="5760" w:hanging="720"/>
      </w:pPr>
    </w:lvl>
    <w:lvl w:ilvl="8" w:tplc="CB14389A">
      <w:start w:val="1"/>
      <w:numFmt w:val="lowerRoman"/>
      <w:lvlText w:val="%9"/>
      <w:lvlJc w:val="left"/>
      <w:pPr>
        <w:tabs>
          <w:tab w:val="num" w:pos="0"/>
        </w:tabs>
        <w:ind w:left="6480" w:hanging="720"/>
      </w:pPr>
    </w:lvl>
  </w:abstractNum>
  <w:abstractNum w:abstractNumId="61" w15:restartNumberingAfterBreak="0">
    <w:nsid w:val="27EE2124"/>
    <w:multiLevelType w:val="hybridMultilevel"/>
    <w:tmpl w:val="1B4A2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8A206B3"/>
    <w:multiLevelType w:val="multilevel"/>
    <w:tmpl w:val="5A9EE60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291718AB"/>
    <w:multiLevelType w:val="multilevel"/>
    <w:tmpl w:val="4462FA2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2A4C6D9B"/>
    <w:multiLevelType w:val="hybridMultilevel"/>
    <w:tmpl w:val="4ECC4DBC"/>
    <w:lvl w:ilvl="0" w:tplc="866426B6">
      <w:start w:val="1"/>
      <w:numFmt w:val="bullet"/>
      <w:lvlText w:val="•"/>
      <w:lvlJc w:val="left"/>
      <w:pPr>
        <w:ind w:left="720" w:hanging="360"/>
      </w:pPr>
      <w:rPr>
        <w:rFonts w:ascii="Calibri Light" w:eastAsia="Times New Roman" w:hAnsi="Calibri Light" w:cs="Times New Roman" w:hint="default"/>
      </w:rPr>
    </w:lvl>
    <w:lvl w:ilvl="1" w:tplc="97482DC2">
      <w:start w:val="1"/>
      <w:numFmt w:val="bullet"/>
      <w:lvlText w:val="o"/>
      <w:lvlJc w:val="left"/>
      <w:pPr>
        <w:ind w:left="1440" w:hanging="360"/>
      </w:pPr>
      <w:rPr>
        <w:rFonts w:ascii="Courier New" w:hAnsi="Courier New" w:cs="Courier New" w:hint="default"/>
      </w:rPr>
    </w:lvl>
    <w:lvl w:ilvl="2" w:tplc="C158ED86">
      <w:start w:val="1"/>
      <w:numFmt w:val="bullet"/>
      <w:lvlText w:val=""/>
      <w:lvlJc w:val="left"/>
      <w:pPr>
        <w:ind w:left="2160" w:hanging="360"/>
      </w:pPr>
      <w:rPr>
        <w:rFonts w:ascii="Wingdings" w:hAnsi="Wingdings" w:hint="default"/>
      </w:rPr>
    </w:lvl>
    <w:lvl w:ilvl="3" w:tplc="AC5CE0A0">
      <w:start w:val="1"/>
      <w:numFmt w:val="bullet"/>
      <w:lvlText w:val=""/>
      <w:lvlJc w:val="left"/>
      <w:pPr>
        <w:ind w:left="2880" w:hanging="360"/>
      </w:pPr>
      <w:rPr>
        <w:rFonts w:ascii="Symbol" w:hAnsi="Symbol" w:hint="default"/>
      </w:rPr>
    </w:lvl>
    <w:lvl w:ilvl="4" w:tplc="ED940F32">
      <w:start w:val="1"/>
      <w:numFmt w:val="bullet"/>
      <w:lvlText w:val="o"/>
      <w:lvlJc w:val="left"/>
      <w:pPr>
        <w:ind w:left="3600" w:hanging="360"/>
      </w:pPr>
      <w:rPr>
        <w:rFonts w:ascii="Courier New" w:hAnsi="Courier New" w:cs="Courier New" w:hint="default"/>
      </w:rPr>
    </w:lvl>
    <w:lvl w:ilvl="5" w:tplc="4FD29F6A">
      <w:start w:val="1"/>
      <w:numFmt w:val="bullet"/>
      <w:lvlText w:val=""/>
      <w:lvlJc w:val="left"/>
      <w:pPr>
        <w:ind w:left="4320" w:hanging="360"/>
      </w:pPr>
      <w:rPr>
        <w:rFonts w:ascii="Wingdings" w:hAnsi="Wingdings" w:hint="default"/>
      </w:rPr>
    </w:lvl>
    <w:lvl w:ilvl="6" w:tplc="2E26AD92">
      <w:start w:val="1"/>
      <w:numFmt w:val="bullet"/>
      <w:lvlText w:val=""/>
      <w:lvlJc w:val="left"/>
      <w:pPr>
        <w:ind w:left="5040" w:hanging="360"/>
      </w:pPr>
      <w:rPr>
        <w:rFonts w:ascii="Symbol" w:hAnsi="Symbol" w:hint="default"/>
      </w:rPr>
    </w:lvl>
    <w:lvl w:ilvl="7" w:tplc="593CAF7C">
      <w:start w:val="1"/>
      <w:numFmt w:val="bullet"/>
      <w:lvlText w:val="o"/>
      <w:lvlJc w:val="left"/>
      <w:pPr>
        <w:ind w:left="5760" w:hanging="360"/>
      </w:pPr>
      <w:rPr>
        <w:rFonts w:ascii="Courier New" w:hAnsi="Courier New" w:cs="Courier New" w:hint="default"/>
      </w:rPr>
    </w:lvl>
    <w:lvl w:ilvl="8" w:tplc="DD2A4BFA">
      <w:start w:val="1"/>
      <w:numFmt w:val="bullet"/>
      <w:lvlText w:val=""/>
      <w:lvlJc w:val="left"/>
      <w:pPr>
        <w:ind w:left="6480" w:hanging="360"/>
      </w:pPr>
      <w:rPr>
        <w:rFonts w:ascii="Wingdings" w:hAnsi="Wingdings" w:hint="default"/>
      </w:rPr>
    </w:lvl>
  </w:abstractNum>
  <w:abstractNum w:abstractNumId="65" w15:restartNumberingAfterBreak="0">
    <w:nsid w:val="2B2140EB"/>
    <w:multiLevelType w:val="hybridMultilevel"/>
    <w:tmpl w:val="639494E8"/>
    <w:lvl w:ilvl="0" w:tplc="19A8BC6E">
      <w:start w:val="1"/>
      <w:numFmt w:val="bullet"/>
      <w:lvlText w:val="-"/>
      <w:lvlJc w:val="left"/>
      <w:pPr>
        <w:ind w:left="720" w:hanging="360"/>
      </w:pPr>
      <w:rPr>
        <w:rFonts w:ascii="Times New Roman" w:eastAsia="Times New Roman" w:hAnsi="Times New Roman" w:cs="Times New Roman" w:hint="default"/>
        <w:spacing w:val="-7"/>
        <w:sz w:val="22"/>
        <w:szCs w:val="22"/>
        <w:lang w:val="en-US" w:eastAsia="en-US" w:bidi="ar-SA"/>
      </w:rPr>
    </w:lvl>
    <w:lvl w:ilvl="1" w:tplc="7C809FF8">
      <w:start w:val="1"/>
      <w:numFmt w:val="bullet"/>
      <w:lvlText w:val="o"/>
      <w:lvlJc w:val="left"/>
      <w:pPr>
        <w:ind w:left="1440" w:hanging="360"/>
      </w:pPr>
      <w:rPr>
        <w:rFonts w:ascii="Courier New" w:hAnsi="Courier New" w:cs="Courier New" w:hint="default"/>
      </w:rPr>
    </w:lvl>
    <w:lvl w:ilvl="2" w:tplc="7C7E7BAA">
      <w:start w:val="1"/>
      <w:numFmt w:val="bullet"/>
      <w:lvlText w:val=""/>
      <w:lvlJc w:val="left"/>
      <w:pPr>
        <w:ind w:left="2160" w:hanging="360"/>
      </w:pPr>
      <w:rPr>
        <w:rFonts w:ascii="Wingdings" w:hAnsi="Wingdings" w:hint="default"/>
      </w:rPr>
    </w:lvl>
    <w:lvl w:ilvl="3" w:tplc="C938FC54">
      <w:start w:val="1"/>
      <w:numFmt w:val="bullet"/>
      <w:lvlText w:val=""/>
      <w:lvlJc w:val="left"/>
      <w:pPr>
        <w:ind w:left="2880" w:hanging="360"/>
      </w:pPr>
      <w:rPr>
        <w:rFonts w:ascii="Symbol" w:hAnsi="Symbol" w:hint="default"/>
      </w:rPr>
    </w:lvl>
    <w:lvl w:ilvl="4" w:tplc="C7B4EDFC">
      <w:start w:val="1"/>
      <w:numFmt w:val="bullet"/>
      <w:lvlText w:val="o"/>
      <w:lvlJc w:val="left"/>
      <w:pPr>
        <w:ind w:left="3600" w:hanging="360"/>
      </w:pPr>
      <w:rPr>
        <w:rFonts w:ascii="Courier New" w:hAnsi="Courier New" w:cs="Courier New" w:hint="default"/>
      </w:rPr>
    </w:lvl>
    <w:lvl w:ilvl="5" w:tplc="82D49136">
      <w:start w:val="1"/>
      <w:numFmt w:val="bullet"/>
      <w:lvlText w:val=""/>
      <w:lvlJc w:val="left"/>
      <w:pPr>
        <w:ind w:left="4320" w:hanging="360"/>
      </w:pPr>
      <w:rPr>
        <w:rFonts w:ascii="Wingdings" w:hAnsi="Wingdings" w:hint="default"/>
      </w:rPr>
    </w:lvl>
    <w:lvl w:ilvl="6" w:tplc="4F1A02DA">
      <w:start w:val="1"/>
      <w:numFmt w:val="bullet"/>
      <w:lvlText w:val=""/>
      <w:lvlJc w:val="left"/>
      <w:pPr>
        <w:ind w:left="5040" w:hanging="360"/>
      </w:pPr>
      <w:rPr>
        <w:rFonts w:ascii="Symbol" w:hAnsi="Symbol" w:hint="default"/>
      </w:rPr>
    </w:lvl>
    <w:lvl w:ilvl="7" w:tplc="C83C1A4A">
      <w:start w:val="1"/>
      <w:numFmt w:val="bullet"/>
      <w:lvlText w:val="o"/>
      <w:lvlJc w:val="left"/>
      <w:pPr>
        <w:ind w:left="5760" w:hanging="360"/>
      </w:pPr>
      <w:rPr>
        <w:rFonts w:ascii="Courier New" w:hAnsi="Courier New" w:cs="Courier New" w:hint="default"/>
      </w:rPr>
    </w:lvl>
    <w:lvl w:ilvl="8" w:tplc="F18E6862">
      <w:start w:val="1"/>
      <w:numFmt w:val="bullet"/>
      <w:lvlText w:val=""/>
      <w:lvlJc w:val="left"/>
      <w:pPr>
        <w:ind w:left="6480" w:hanging="360"/>
      </w:pPr>
      <w:rPr>
        <w:rFonts w:ascii="Wingdings" w:hAnsi="Wingdings" w:hint="default"/>
      </w:rPr>
    </w:lvl>
  </w:abstractNum>
  <w:abstractNum w:abstractNumId="66" w15:restartNumberingAfterBreak="0">
    <w:nsid w:val="2B3E1C90"/>
    <w:multiLevelType w:val="hybridMultilevel"/>
    <w:tmpl w:val="DF0691E6"/>
    <w:lvl w:ilvl="0" w:tplc="88BAE716">
      <w:start w:val="1"/>
      <w:numFmt w:val="bullet"/>
      <w:lvlText w:val="•"/>
      <w:lvlJc w:val="left"/>
      <w:pPr>
        <w:ind w:left="1800" w:hanging="360"/>
      </w:pPr>
      <w:rPr>
        <w:rFonts w:ascii="Calibri Light" w:eastAsia="Times New Roman" w:hAnsi="Calibri Light" w:cs="Times New Roman" w:hint="default"/>
      </w:rPr>
    </w:lvl>
    <w:lvl w:ilvl="1" w:tplc="BD6A3A86">
      <w:start w:val="1"/>
      <w:numFmt w:val="bullet"/>
      <w:lvlText w:val="o"/>
      <w:lvlJc w:val="left"/>
      <w:pPr>
        <w:ind w:left="2520" w:hanging="360"/>
      </w:pPr>
      <w:rPr>
        <w:rFonts w:ascii="Courier New" w:hAnsi="Courier New" w:cs="Courier New" w:hint="default"/>
      </w:rPr>
    </w:lvl>
    <w:lvl w:ilvl="2" w:tplc="9158825E">
      <w:start w:val="1"/>
      <w:numFmt w:val="bullet"/>
      <w:lvlText w:val=""/>
      <w:lvlJc w:val="left"/>
      <w:pPr>
        <w:ind w:left="3240" w:hanging="360"/>
      </w:pPr>
      <w:rPr>
        <w:rFonts w:ascii="Wingdings" w:hAnsi="Wingdings" w:hint="default"/>
      </w:rPr>
    </w:lvl>
    <w:lvl w:ilvl="3" w:tplc="F85ED894">
      <w:start w:val="1"/>
      <w:numFmt w:val="bullet"/>
      <w:lvlText w:val=""/>
      <w:lvlJc w:val="left"/>
      <w:pPr>
        <w:ind w:left="3960" w:hanging="360"/>
      </w:pPr>
      <w:rPr>
        <w:rFonts w:ascii="Symbol" w:hAnsi="Symbol" w:hint="default"/>
      </w:rPr>
    </w:lvl>
    <w:lvl w:ilvl="4" w:tplc="2926F76E">
      <w:start w:val="1"/>
      <w:numFmt w:val="bullet"/>
      <w:lvlText w:val="o"/>
      <w:lvlJc w:val="left"/>
      <w:pPr>
        <w:ind w:left="4680" w:hanging="360"/>
      </w:pPr>
      <w:rPr>
        <w:rFonts w:ascii="Courier New" w:hAnsi="Courier New" w:cs="Courier New" w:hint="default"/>
      </w:rPr>
    </w:lvl>
    <w:lvl w:ilvl="5" w:tplc="D5746654">
      <w:start w:val="1"/>
      <w:numFmt w:val="bullet"/>
      <w:lvlText w:val=""/>
      <w:lvlJc w:val="left"/>
      <w:pPr>
        <w:ind w:left="5400" w:hanging="360"/>
      </w:pPr>
      <w:rPr>
        <w:rFonts w:ascii="Wingdings" w:hAnsi="Wingdings" w:hint="default"/>
      </w:rPr>
    </w:lvl>
    <w:lvl w:ilvl="6" w:tplc="16CCFADE">
      <w:start w:val="1"/>
      <w:numFmt w:val="bullet"/>
      <w:lvlText w:val=""/>
      <w:lvlJc w:val="left"/>
      <w:pPr>
        <w:ind w:left="6120" w:hanging="360"/>
      </w:pPr>
      <w:rPr>
        <w:rFonts w:ascii="Symbol" w:hAnsi="Symbol" w:hint="default"/>
      </w:rPr>
    </w:lvl>
    <w:lvl w:ilvl="7" w:tplc="A9ACD990">
      <w:start w:val="1"/>
      <w:numFmt w:val="bullet"/>
      <w:lvlText w:val="o"/>
      <w:lvlJc w:val="left"/>
      <w:pPr>
        <w:ind w:left="6840" w:hanging="360"/>
      </w:pPr>
      <w:rPr>
        <w:rFonts w:ascii="Courier New" w:hAnsi="Courier New" w:cs="Courier New" w:hint="default"/>
      </w:rPr>
    </w:lvl>
    <w:lvl w:ilvl="8" w:tplc="298C344C">
      <w:start w:val="1"/>
      <w:numFmt w:val="bullet"/>
      <w:lvlText w:val=""/>
      <w:lvlJc w:val="left"/>
      <w:pPr>
        <w:ind w:left="7560" w:hanging="360"/>
      </w:pPr>
      <w:rPr>
        <w:rFonts w:ascii="Wingdings" w:hAnsi="Wingdings" w:hint="default"/>
      </w:rPr>
    </w:lvl>
  </w:abstractNum>
  <w:abstractNum w:abstractNumId="67" w15:restartNumberingAfterBreak="0">
    <w:nsid w:val="2CE80567"/>
    <w:multiLevelType w:val="hybridMultilevel"/>
    <w:tmpl w:val="CAB63A28"/>
    <w:lvl w:ilvl="0" w:tplc="7A741EBC">
      <w:start w:val="1"/>
      <w:numFmt w:val="decimal"/>
      <w:lvlText w:val="5.2.%1"/>
      <w:lvlJc w:val="left"/>
      <w:pPr>
        <w:tabs>
          <w:tab w:val="num" w:pos="720"/>
        </w:tabs>
        <w:ind w:left="720" w:hanging="720"/>
      </w:pPr>
      <w:rPr>
        <w:rFonts w:hint="default"/>
        <w:b w:val="0"/>
        <w:i w:val="0"/>
        <w:sz w:val="24"/>
        <w:szCs w:val="24"/>
      </w:rPr>
    </w:lvl>
    <w:lvl w:ilvl="1" w:tplc="5DE21060">
      <w:start w:val="1"/>
      <w:numFmt w:val="lowerLetter"/>
      <w:lvlText w:val="%2."/>
      <w:lvlJc w:val="left"/>
      <w:pPr>
        <w:ind w:left="1440" w:hanging="360"/>
      </w:pPr>
    </w:lvl>
    <w:lvl w:ilvl="2" w:tplc="709CB3D8">
      <w:start w:val="1"/>
      <w:numFmt w:val="lowerRoman"/>
      <w:lvlText w:val="%3."/>
      <w:lvlJc w:val="right"/>
      <w:pPr>
        <w:ind w:left="2160" w:hanging="180"/>
      </w:pPr>
    </w:lvl>
    <w:lvl w:ilvl="3" w:tplc="D4160A1C">
      <w:start w:val="1"/>
      <w:numFmt w:val="decimal"/>
      <w:lvlText w:val="%4."/>
      <w:lvlJc w:val="left"/>
      <w:pPr>
        <w:ind w:left="2880" w:hanging="360"/>
      </w:pPr>
    </w:lvl>
    <w:lvl w:ilvl="4" w:tplc="2A56969E">
      <w:start w:val="1"/>
      <w:numFmt w:val="lowerLetter"/>
      <w:lvlText w:val="%5."/>
      <w:lvlJc w:val="left"/>
      <w:pPr>
        <w:ind w:left="3600" w:hanging="360"/>
      </w:pPr>
    </w:lvl>
    <w:lvl w:ilvl="5" w:tplc="BB3A206C">
      <w:start w:val="1"/>
      <w:numFmt w:val="lowerRoman"/>
      <w:lvlText w:val="%6."/>
      <w:lvlJc w:val="right"/>
      <w:pPr>
        <w:ind w:left="4320" w:hanging="180"/>
      </w:pPr>
    </w:lvl>
    <w:lvl w:ilvl="6" w:tplc="52EA71A0">
      <w:start w:val="1"/>
      <w:numFmt w:val="decimal"/>
      <w:lvlText w:val="%7."/>
      <w:lvlJc w:val="left"/>
      <w:pPr>
        <w:ind w:left="5040" w:hanging="360"/>
      </w:pPr>
    </w:lvl>
    <w:lvl w:ilvl="7" w:tplc="97FE5150">
      <w:start w:val="1"/>
      <w:numFmt w:val="lowerLetter"/>
      <w:lvlText w:val="%8."/>
      <w:lvlJc w:val="left"/>
      <w:pPr>
        <w:ind w:left="5760" w:hanging="360"/>
      </w:pPr>
    </w:lvl>
    <w:lvl w:ilvl="8" w:tplc="CA084E7A">
      <w:start w:val="1"/>
      <w:numFmt w:val="lowerRoman"/>
      <w:lvlText w:val="%9."/>
      <w:lvlJc w:val="right"/>
      <w:pPr>
        <w:ind w:left="6480" w:hanging="180"/>
      </w:pPr>
    </w:lvl>
  </w:abstractNum>
  <w:abstractNum w:abstractNumId="68" w15:restartNumberingAfterBreak="0">
    <w:nsid w:val="2DBF3C57"/>
    <w:multiLevelType w:val="hybridMultilevel"/>
    <w:tmpl w:val="206652B0"/>
    <w:lvl w:ilvl="0" w:tplc="8992337A">
      <w:numFmt w:val="bullet"/>
      <w:lvlText w:val=""/>
      <w:lvlJc w:val="left"/>
      <w:pPr>
        <w:ind w:left="467" w:hanging="360"/>
      </w:pPr>
      <w:rPr>
        <w:rFonts w:ascii="Symbol" w:eastAsia="Symbol" w:hAnsi="Symbol" w:cs="Symbol" w:hint="default"/>
        <w:w w:val="100"/>
        <w:sz w:val="22"/>
        <w:szCs w:val="22"/>
        <w:lang w:val="en-US" w:eastAsia="en-US" w:bidi="ar-SA"/>
      </w:rPr>
    </w:lvl>
    <w:lvl w:ilvl="1" w:tplc="2C52B270">
      <w:numFmt w:val="bullet"/>
      <w:lvlText w:val="•"/>
      <w:lvlJc w:val="left"/>
      <w:pPr>
        <w:ind w:left="909" w:hanging="360"/>
      </w:pPr>
      <w:rPr>
        <w:rFonts w:hint="default"/>
        <w:lang w:val="en-US" w:eastAsia="en-US" w:bidi="ar-SA"/>
      </w:rPr>
    </w:lvl>
    <w:lvl w:ilvl="2" w:tplc="27C29894">
      <w:numFmt w:val="bullet"/>
      <w:lvlText w:val="•"/>
      <w:lvlJc w:val="left"/>
      <w:pPr>
        <w:ind w:left="1358" w:hanging="360"/>
      </w:pPr>
      <w:rPr>
        <w:rFonts w:hint="default"/>
        <w:lang w:val="en-US" w:eastAsia="en-US" w:bidi="ar-SA"/>
      </w:rPr>
    </w:lvl>
    <w:lvl w:ilvl="3" w:tplc="CE1481D8">
      <w:numFmt w:val="bullet"/>
      <w:lvlText w:val="•"/>
      <w:lvlJc w:val="left"/>
      <w:pPr>
        <w:ind w:left="1807" w:hanging="360"/>
      </w:pPr>
      <w:rPr>
        <w:rFonts w:hint="default"/>
        <w:lang w:val="en-US" w:eastAsia="en-US" w:bidi="ar-SA"/>
      </w:rPr>
    </w:lvl>
    <w:lvl w:ilvl="4" w:tplc="E2C66CFA">
      <w:numFmt w:val="bullet"/>
      <w:lvlText w:val="•"/>
      <w:lvlJc w:val="left"/>
      <w:pPr>
        <w:ind w:left="2256" w:hanging="360"/>
      </w:pPr>
      <w:rPr>
        <w:rFonts w:hint="default"/>
        <w:lang w:val="en-US" w:eastAsia="en-US" w:bidi="ar-SA"/>
      </w:rPr>
    </w:lvl>
    <w:lvl w:ilvl="5" w:tplc="1AC8D2C4">
      <w:numFmt w:val="bullet"/>
      <w:lvlText w:val="•"/>
      <w:lvlJc w:val="left"/>
      <w:pPr>
        <w:ind w:left="2705" w:hanging="360"/>
      </w:pPr>
      <w:rPr>
        <w:rFonts w:hint="default"/>
        <w:lang w:val="en-US" w:eastAsia="en-US" w:bidi="ar-SA"/>
      </w:rPr>
    </w:lvl>
    <w:lvl w:ilvl="6" w:tplc="3A44CCD8">
      <w:numFmt w:val="bullet"/>
      <w:lvlText w:val="•"/>
      <w:lvlJc w:val="left"/>
      <w:pPr>
        <w:ind w:left="3154" w:hanging="360"/>
      </w:pPr>
      <w:rPr>
        <w:rFonts w:hint="default"/>
        <w:lang w:val="en-US" w:eastAsia="en-US" w:bidi="ar-SA"/>
      </w:rPr>
    </w:lvl>
    <w:lvl w:ilvl="7" w:tplc="33AA5DC4">
      <w:numFmt w:val="bullet"/>
      <w:lvlText w:val="•"/>
      <w:lvlJc w:val="left"/>
      <w:pPr>
        <w:ind w:left="3603" w:hanging="360"/>
      </w:pPr>
      <w:rPr>
        <w:rFonts w:hint="default"/>
        <w:lang w:val="en-US" w:eastAsia="en-US" w:bidi="ar-SA"/>
      </w:rPr>
    </w:lvl>
    <w:lvl w:ilvl="8" w:tplc="ADCAC706">
      <w:numFmt w:val="bullet"/>
      <w:lvlText w:val="•"/>
      <w:lvlJc w:val="left"/>
      <w:pPr>
        <w:ind w:left="4052" w:hanging="360"/>
      </w:pPr>
      <w:rPr>
        <w:rFonts w:hint="default"/>
        <w:lang w:val="en-US" w:eastAsia="en-US" w:bidi="ar-SA"/>
      </w:rPr>
    </w:lvl>
  </w:abstractNum>
  <w:abstractNum w:abstractNumId="69" w15:restartNumberingAfterBreak="0">
    <w:nsid w:val="2E19294F"/>
    <w:multiLevelType w:val="hybridMultilevel"/>
    <w:tmpl w:val="0DB65E2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0" w15:restartNumberingAfterBreak="0">
    <w:nsid w:val="2E290E93"/>
    <w:multiLevelType w:val="hybridMultilevel"/>
    <w:tmpl w:val="C3D8AC84"/>
    <w:lvl w:ilvl="0" w:tplc="CF3E39AC">
      <w:start w:val="1"/>
      <w:numFmt w:val="lowerLetter"/>
      <w:lvlText w:val="(%1)"/>
      <w:lvlJc w:val="left"/>
      <w:pPr>
        <w:ind w:left="720" w:hanging="360"/>
      </w:pPr>
      <w:rPr>
        <w:rFonts w:ascii="Times New Roman" w:hAnsi="Times New Roman" w:hint="default"/>
        <w:b w:val="0"/>
        <w:i w:val="0"/>
        <w:sz w:val="24"/>
      </w:rPr>
    </w:lvl>
    <w:lvl w:ilvl="1" w:tplc="0F220506">
      <w:start w:val="1"/>
      <w:numFmt w:val="lowerLetter"/>
      <w:lvlText w:val="%2."/>
      <w:lvlJc w:val="left"/>
      <w:pPr>
        <w:ind w:left="1440" w:hanging="360"/>
      </w:pPr>
    </w:lvl>
    <w:lvl w:ilvl="2" w:tplc="1F22E670">
      <w:start w:val="1"/>
      <w:numFmt w:val="lowerRoman"/>
      <w:lvlText w:val="%3."/>
      <w:lvlJc w:val="right"/>
      <w:pPr>
        <w:ind w:left="2160" w:hanging="180"/>
      </w:pPr>
    </w:lvl>
    <w:lvl w:ilvl="3" w:tplc="FFDAE334">
      <w:start w:val="1"/>
      <w:numFmt w:val="decimal"/>
      <w:lvlText w:val="%4."/>
      <w:lvlJc w:val="left"/>
      <w:pPr>
        <w:ind w:left="2880" w:hanging="360"/>
      </w:pPr>
    </w:lvl>
    <w:lvl w:ilvl="4" w:tplc="FFB43F5C">
      <w:start w:val="1"/>
      <w:numFmt w:val="lowerLetter"/>
      <w:lvlText w:val="%5."/>
      <w:lvlJc w:val="left"/>
      <w:pPr>
        <w:ind w:left="3600" w:hanging="360"/>
      </w:pPr>
    </w:lvl>
    <w:lvl w:ilvl="5" w:tplc="1458F69A">
      <w:start w:val="1"/>
      <w:numFmt w:val="lowerRoman"/>
      <w:lvlText w:val="%6."/>
      <w:lvlJc w:val="right"/>
      <w:pPr>
        <w:ind w:left="4320" w:hanging="180"/>
      </w:pPr>
    </w:lvl>
    <w:lvl w:ilvl="6" w:tplc="F2624020">
      <w:start w:val="1"/>
      <w:numFmt w:val="decimal"/>
      <w:lvlText w:val="%7."/>
      <w:lvlJc w:val="left"/>
      <w:pPr>
        <w:ind w:left="5040" w:hanging="360"/>
      </w:pPr>
    </w:lvl>
    <w:lvl w:ilvl="7" w:tplc="7A64E588">
      <w:start w:val="1"/>
      <w:numFmt w:val="lowerLetter"/>
      <w:lvlText w:val="%8."/>
      <w:lvlJc w:val="left"/>
      <w:pPr>
        <w:ind w:left="5760" w:hanging="360"/>
      </w:pPr>
    </w:lvl>
    <w:lvl w:ilvl="8" w:tplc="2B0AAB12">
      <w:start w:val="1"/>
      <w:numFmt w:val="lowerRoman"/>
      <w:lvlText w:val="%9."/>
      <w:lvlJc w:val="right"/>
      <w:pPr>
        <w:ind w:left="6480" w:hanging="180"/>
      </w:pPr>
    </w:lvl>
  </w:abstractNum>
  <w:abstractNum w:abstractNumId="71" w15:restartNumberingAfterBreak="0">
    <w:nsid w:val="2E506D75"/>
    <w:multiLevelType w:val="hybridMultilevel"/>
    <w:tmpl w:val="CFBAAAB4"/>
    <w:lvl w:ilvl="0" w:tplc="384E767C">
      <w:start w:val="1"/>
      <w:numFmt w:val="lowerRoman"/>
      <w:lvlText w:val="%1."/>
      <w:lvlJc w:val="right"/>
      <w:pPr>
        <w:ind w:left="1350" w:hanging="360"/>
      </w:pPr>
    </w:lvl>
    <w:lvl w:ilvl="1" w:tplc="FA1CC09C">
      <w:start w:val="1"/>
      <w:numFmt w:val="lowerLetter"/>
      <w:lvlText w:val="%2."/>
      <w:lvlJc w:val="left"/>
      <w:pPr>
        <w:ind w:left="2070" w:hanging="360"/>
      </w:pPr>
    </w:lvl>
    <w:lvl w:ilvl="2" w:tplc="A1ACE7F4">
      <w:start w:val="1"/>
      <w:numFmt w:val="lowerRoman"/>
      <w:lvlText w:val="%3."/>
      <w:lvlJc w:val="right"/>
      <w:pPr>
        <w:ind w:left="2790" w:hanging="180"/>
      </w:pPr>
    </w:lvl>
    <w:lvl w:ilvl="3" w:tplc="25CED1F6">
      <w:start w:val="1"/>
      <w:numFmt w:val="decimal"/>
      <w:lvlText w:val="%4."/>
      <w:lvlJc w:val="left"/>
      <w:pPr>
        <w:ind w:left="3510" w:hanging="360"/>
      </w:pPr>
    </w:lvl>
    <w:lvl w:ilvl="4" w:tplc="87FC36D0">
      <w:start w:val="1"/>
      <w:numFmt w:val="lowerLetter"/>
      <w:lvlText w:val="%5."/>
      <w:lvlJc w:val="left"/>
      <w:pPr>
        <w:ind w:left="4230" w:hanging="360"/>
      </w:pPr>
    </w:lvl>
    <w:lvl w:ilvl="5" w:tplc="38C8E3BC">
      <w:start w:val="1"/>
      <w:numFmt w:val="lowerRoman"/>
      <w:lvlText w:val="%6."/>
      <w:lvlJc w:val="right"/>
      <w:pPr>
        <w:ind w:left="4950" w:hanging="180"/>
      </w:pPr>
    </w:lvl>
    <w:lvl w:ilvl="6" w:tplc="1E06155E">
      <w:start w:val="1"/>
      <w:numFmt w:val="decimal"/>
      <w:lvlText w:val="%7."/>
      <w:lvlJc w:val="left"/>
      <w:pPr>
        <w:ind w:left="5670" w:hanging="360"/>
      </w:pPr>
    </w:lvl>
    <w:lvl w:ilvl="7" w:tplc="337EBF90">
      <w:start w:val="1"/>
      <w:numFmt w:val="lowerLetter"/>
      <w:lvlText w:val="%8."/>
      <w:lvlJc w:val="left"/>
      <w:pPr>
        <w:ind w:left="6390" w:hanging="360"/>
      </w:pPr>
    </w:lvl>
    <w:lvl w:ilvl="8" w:tplc="8028FC84">
      <w:start w:val="1"/>
      <w:numFmt w:val="lowerRoman"/>
      <w:lvlText w:val="%9."/>
      <w:lvlJc w:val="right"/>
      <w:pPr>
        <w:ind w:left="7110" w:hanging="180"/>
      </w:pPr>
    </w:lvl>
  </w:abstractNum>
  <w:abstractNum w:abstractNumId="72" w15:restartNumberingAfterBreak="0">
    <w:nsid w:val="2EBD4050"/>
    <w:multiLevelType w:val="hybridMultilevel"/>
    <w:tmpl w:val="10A62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EF737A"/>
    <w:multiLevelType w:val="hybridMultilevel"/>
    <w:tmpl w:val="CA3046BE"/>
    <w:lvl w:ilvl="0" w:tplc="760ABED2">
      <w:start w:val="1"/>
      <w:numFmt w:val="lowerRoman"/>
      <w:lvlText w:val="(%1)"/>
      <w:lvlJc w:val="right"/>
      <w:pPr>
        <w:ind w:left="1599" w:hanging="360"/>
      </w:pPr>
      <w:rPr>
        <w:rFonts w:hint="default"/>
      </w:rPr>
    </w:lvl>
    <w:lvl w:ilvl="1" w:tplc="24D8DFB8">
      <w:start w:val="1"/>
      <w:numFmt w:val="lowerLetter"/>
      <w:lvlText w:val="%2."/>
      <w:lvlJc w:val="left"/>
      <w:pPr>
        <w:ind w:left="2319" w:hanging="360"/>
      </w:pPr>
    </w:lvl>
    <w:lvl w:ilvl="2" w:tplc="409AAB9E">
      <w:start w:val="1"/>
      <w:numFmt w:val="lowerRoman"/>
      <w:lvlText w:val="%3."/>
      <w:lvlJc w:val="right"/>
      <w:pPr>
        <w:ind w:left="3039" w:hanging="180"/>
      </w:pPr>
    </w:lvl>
    <w:lvl w:ilvl="3" w:tplc="5C4C51BA">
      <w:start w:val="1"/>
      <w:numFmt w:val="decimal"/>
      <w:lvlText w:val="%4."/>
      <w:lvlJc w:val="left"/>
      <w:pPr>
        <w:ind w:left="3759" w:hanging="360"/>
      </w:pPr>
    </w:lvl>
    <w:lvl w:ilvl="4" w:tplc="CA9AEA34">
      <w:start w:val="1"/>
      <w:numFmt w:val="lowerLetter"/>
      <w:lvlText w:val="%5."/>
      <w:lvlJc w:val="left"/>
      <w:pPr>
        <w:ind w:left="4479" w:hanging="360"/>
      </w:pPr>
    </w:lvl>
    <w:lvl w:ilvl="5" w:tplc="6A9C5352">
      <w:start w:val="1"/>
      <w:numFmt w:val="lowerRoman"/>
      <w:lvlText w:val="%6."/>
      <w:lvlJc w:val="right"/>
      <w:pPr>
        <w:ind w:left="5199" w:hanging="180"/>
      </w:pPr>
    </w:lvl>
    <w:lvl w:ilvl="6" w:tplc="D0BC43EA">
      <w:start w:val="1"/>
      <w:numFmt w:val="decimal"/>
      <w:lvlText w:val="%7."/>
      <w:lvlJc w:val="left"/>
      <w:pPr>
        <w:ind w:left="5919" w:hanging="360"/>
      </w:pPr>
    </w:lvl>
    <w:lvl w:ilvl="7" w:tplc="E8C20F0A">
      <w:start w:val="1"/>
      <w:numFmt w:val="lowerLetter"/>
      <w:lvlText w:val="%8."/>
      <w:lvlJc w:val="left"/>
      <w:pPr>
        <w:ind w:left="6639" w:hanging="360"/>
      </w:pPr>
    </w:lvl>
    <w:lvl w:ilvl="8" w:tplc="3C82C8AA">
      <w:start w:val="1"/>
      <w:numFmt w:val="lowerRoman"/>
      <w:lvlText w:val="%9."/>
      <w:lvlJc w:val="right"/>
      <w:pPr>
        <w:ind w:left="7359" w:hanging="180"/>
      </w:pPr>
    </w:lvl>
  </w:abstractNum>
  <w:abstractNum w:abstractNumId="74" w15:restartNumberingAfterBreak="0">
    <w:nsid w:val="31443936"/>
    <w:multiLevelType w:val="hybridMultilevel"/>
    <w:tmpl w:val="3A369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2692816"/>
    <w:multiLevelType w:val="hybridMultilevel"/>
    <w:tmpl w:val="F9A4C3A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6" w15:restartNumberingAfterBreak="0">
    <w:nsid w:val="335B6E18"/>
    <w:multiLevelType w:val="hybridMultilevel"/>
    <w:tmpl w:val="CF0CB26E"/>
    <w:lvl w:ilvl="0" w:tplc="C3F8BDC6">
      <w:start w:val="1"/>
      <w:numFmt w:val="bullet"/>
      <w:lvlText w:val="•"/>
      <w:lvlJc w:val="left"/>
      <w:pPr>
        <w:ind w:left="2846" w:hanging="360"/>
      </w:pPr>
      <w:rPr>
        <w:rFonts w:ascii="Calibri Light" w:eastAsia="Times New Roman" w:hAnsi="Calibri Light" w:cs="Times New Roman" w:hint="default"/>
      </w:rPr>
    </w:lvl>
    <w:lvl w:ilvl="1" w:tplc="D5A6D29C">
      <w:start w:val="1"/>
      <w:numFmt w:val="bullet"/>
      <w:lvlText w:val="o"/>
      <w:lvlJc w:val="left"/>
      <w:pPr>
        <w:ind w:left="3566" w:hanging="360"/>
      </w:pPr>
      <w:rPr>
        <w:rFonts w:ascii="Courier New" w:hAnsi="Courier New" w:cs="Courier New" w:hint="default"/>
      </w:rPr>
    </w:lvl>
    <w:lvl w:ilvl="2" w:tplc="5062359C">
      <w:start w:val="1"/>
      <w:numFmt w:val="bullet"/>
      <w:lvlText w:val=""/>
      <w:lvlJc w:val="left"/>
      <w:pPr>
        <w:ind w:left="4286" w:hanging="360"/>
      </w:pPr>
      <w:rPr>
        <w:rFonts w:ascii="Wingdings" w:hAnsi="Wingdings" w:hint="default"/>
      </w:rPr>
    </w:lvl>
    <w:lvl w:ilvl="3" w:tplc="2CA28750">
      <w:start w:val="1"/>
      <w:numFmt w:val="bullet"/>
      <w:lvlText w:val=""/>
      <w:lvlJc w:val="left"/>
      <w:pPr>
        <w:ind w:left="5006" w:hanging="360"/>
      </w:pPr>
      <w:rPr>
        <w:rFonts w:ascii="Symbol" w:hAnsi="Symbol" w:hint="default"/>
      </w:rPr>
    </w:lvl>
    <w:lvl w:ilvl="4" w:tplc="79E6DD50">
      <w:start w:val="1"/>
      <w:numFmt w:val="bullet"/>
      <w:lvlText w:val="o"/>
      <w:lvlJc w:val="left"/>
      <w:pPr>
        <w:ind w:left="5726" w:hanging="360"/>
      </w:pPr>
      <w:rPr>
        <w:rFonts w:ascii="Courier New" w:hAnsi="Courier New" w:cs="Courier New" w:hint="default"/>
      </w:rPr>
    </w:lvl>
    <w:lvl w:ilvl="5" w:tplc="E26E2564">
      <w:start w:val="1"/>
      <w:numFmt w:val="bullet"/>
      <w:lvlText w:val=""/>
      <w:lvlJc w:val="left"/>
      <w:pPr>
        <w:ind w:left="6446" w:hanging="360"/>
      </w:pPr>
      <w:rPr>
        <w:rFonts w:ascii="Wingdings" w:hAnsi="Wingdings" w:hint="default"/>
      </w:rPr>
    </w:lvl>
    <w:lvl w:ilvl="6" w:tplc="F5E4ACEE">
      <w:start w:val="1"/>
      <w:numFmt w:val="bullet"/>
      <w:lvlText w:val=""/>
      <w:lvlJc w:val="left"/>
      <w:pPr>
        <w:ind w:left="7166" w:hanging="360"/>
      </w:pPr>
      <w:rPr>
        <w:rFonts w:ascii="Symbol" w:hAnsi="Symbol" w:hint="default"/>
      </w:rPr>
    </w:lvl>
    <w:lvl w:ilvl="7" w:tplc="998E6410">
      <w:start w:val="1"/>
      <w:numFmt w:val="bullet"/>
      <w:lvlText w:val="o"/>
      <w:lvlJc w:val="left"/>
      <w:pPr>
        <w:ind w:left="7886" w:hanging="360"/>
      </w:pPr>
      <w:rPr>
        <w:rFonts w:ascii="Courier New" w:hAnsi="Courier New" w:cs="Courier New" w:hint="default"/>
      </w:rPr>
    </w:lvl>
    <w:lvl w:ilvl="8" w:tplc="116CE056">
      <w:start w:val="1"/>
      <w:numFmt w:val="bullet"/>
      <w:lvlText w:val=""/>
      <w:lvlJc w:val="left"/>
      <w:pPr>
        <w:ind w:left="8606" w:hanging="360"/>
      </w:pPr>
      <w:rPr>
        <w:rFonts w:ascii="Wingdings" w:hAnsi="Wingdings" w:hint="default"/>
      </w:rPr>
    </w:lvl>
  </w:abstractNum>
  <w:abstractNum w:abstractNumId="77" w15:restartNumberingAfterBreak="0">
    <w:nsid w:val="34182A73"/>
    <w:multiLevelType w:val="hybridMultilevel"/>
    <w:tmpl w:val="6DB2B956"/>
    <w:lvl w:ilvl="0" w:tplc="8DECFBE6">
      <w:start w:val="1"/>
      <w:numFmt w:val="lowerLetter"/>
      <w:lvlText w:val="(%1)"/>
      <w:lvlJc w:val="left"/>
      <w:pPr>
        <w:tabs>
          <w:tab w:val="num" w:pos="720"/>
        </w:tabs>
        <w:ind w:left="720" w:hanging="360"/>
      </w:pPr>
      <w:rPr>
        <w:rFonts w:hint="default"/>
      </w:rPr>
    </w:lvl>
    <w:lvl w:ilvl="1" w:tplc="2B9E9122">
      <w:start w:val="1"/>
      <w:numFmt w:val="lowerLetter"/>
      <w:lvlText w:val="%2."/>
      <w:lvlJc w:val="left"/>
      <w:pPr>
        <w:tabs>
          <w:tab w:val="num" w:pos="1440"/>
        </w:tabs>
        <w:ind w:left="1440" w:hanging="360"/>
      </w:pPr>
    </w:lvl>
    <w:lvl w:ilvl="2" w:tplc="4A028F84">
      <w:start w:val="1"/>
      <w:numFmt w:val="lowerRoman"/>
      <w:lvlText w:val="%3."/>
      <w:lvlJc w:val="right"/>
      <w:pPr>
        <w:tabs>
          <w:tab w:val="num" w:pos="2160"/>
        </w:tabs>
        <w:ind w:left="2160" w:hanging="180"/>
      </w:pPr>
    </w:lvl>
    <w:lvl w:ilvl="3" w:tplc="35B0FBE4">
      <w:start w:val="1"/>
      <w:numFmt w:val="decimal"/>
      <w:lvlText w:val="%4."/>
      <w:lvlJc w:val="left"/>
      <w:pPr>
        <w:tabs>
          <w:tab w:val="num" w:pos="2880"/>
        </w:tabs>
        <w:ind w:left="2880" w:hanging="360"/>
      </w:pPr>
    </w:lvl>
    <w:lvl w:ilvl="4" w:tplc="193EE2A4">
      <w:start w:val="1"/>
      <w:numFmt w:val="lowerLetter"/>
      <w:lvlText w:val="%5."/>
      <w:lvlJc w:val="left"/>
      <w:pPr>
        <w:tabs>
          <w:tab w:val="num" w:pos="3600"/>
        </w:tabs>
        <w:ind w:left="3600" w:hanging="360"/>
      </w:pPr>
    </w:lvl>
    <w:lvl w:ilvl="5" w:tplc="50041DFE">
      <w:start w:val="1"/>
      <w:numFmt w:val="lowerRoman"/>
      <w:lvlText w:val="%6."/>
      <w:lvlJc w:val="right"/>
      <w:pPr>
        <w:tabs>
          <w:tab w:val="num" w:pos="4320"/>
        </w:tabs>
        <w:ind w:left="4320" w:hanging="180"/>
      </w:pPr>
    </w:lvl>
    <w:lvl w:ilvl="6" w:tplc="18C6D7F2">
      <w:start w:val="1"/>
      <w:numFmt w:val="decimal"/>
      <w:lvlText w:val="%7."/>
      <w:lvlJc w:val="left"/>
      <w:pPr>
        <w:tabs>
          <w:tab w:val="num" w:pos="5040"/>
        </w:tabs>
        <w:ind w:left="5040" w:hanging="360"/>
      </w:pPr>
    </w:lvl>
    <w:lvl w:ilvl="7" w:tplc="EADC7682">
      <w:start w:val="1"/>
      <w:numFmt w:val="lowerLetter"/>
      <w:lvlText w:val="%8."/>
      <w:lvlJc w:val="left"/>
      <w:pPr>
        <w:tabs>
          <w:tab w:val="num" w:pos="5760"/>
        </w:tabs>
        <w:ind w:left="5760" w:hanging="360"/>
      </w:pPr>
    </w:lvl>
    <w:lvl w:ilvl="8" w:tplc="E8C09DBE">
      <w:start w:val="1"/>
      <w:numFmt w:val="lowerRoman"/>
      <w:lvlText w:val="%9."/>
      <w:lvlJc w:val="right"/>
      <w:pPr>
        <w:tabs>
          <w:tab w:val="num" w:pos="6480"/>
        </w:tabs>
        <w:ind w:left="6480" w:hanging="180"/>
      </w:pPr>
    </w:lvl>
  </w:abstractNum>
  <w:abstractNum w:abstractNumId="78" w15:restartNumberingAfterBreak="0">
    <w:nsid w:val="34AC6B45"/>
    <w:multiLevelType w:val="hybridMultilevel"/>
    <w:tmpl w:val="E3A24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54004E0"/>
    <w:multiLevelType w:val="hybridMultilevel"/>
    <w:tmpl w:val="70F03F58"/>
    <w:lvl w:ilvl="0" w:tplc="71CCF9FC">
      <w:start w:val="1"/>
      <w:numFmt w:val="decimal"/>
      <w:lvlText w:val="%1."/>
      <w:lvlJc w:val="left"/>
      <w:pPr>
        <w:ind w:left="1440" w:hanging="360"/>
      </w:pPr>
      <w:rPr>
        <w:rFonts w:hint="default"/>
      </w:rPr>
    </w:lvl>
    <w:lvl w:ilvl="1" w:tplc="E5520BAA">
      <w:start w:val="1"/>
      <w:numFmt w:val="lowerLetter"/>
      <w:lvlText w:val="%2."/>
      <w:lvlJc w:val="left"/>
      <w:pPr>
        <w:ind w:left="1440" w:hanging="360"/>
      </w:pPr>
    </w:lvl>
    <w:lvl w:ilvl="2" w:tplc="EE561CEE">
      <w:start w:val="1"/>
      <w:numFmt w:val="lowerRoman"/>
      <w:lvlText w:val="%3."/>
      <w:lvlJc w:val="right"/>
      <w:pPr>
        <w:ind w:left="2160" w:hanging="180"/>
      </w:pPr>
    </w:lvl>
    <w:lvl w:ilvl="3" w:tplc="1D209670">
      <w:start w:val="1"/>
      <w:numFmt w:val="decimal"/>
      <w:lvlText w:val="%4."/>
      <w:lvlJc w:val="left"/>
      <w:pPr>
        <w:ind w:left="2880" w:hanging="360"/>
      </w:pPr>
    </w:lvl>
    <w:lvl w:ilvl="4" w:tplc="DBDAFCDC">
      <w:start w:val="1"/>
      <w:numFmt w:val="lowerLetter"/>
      <w:lvlText w:val="%5."/>
      <w:lvlJc w:val="left"/>
      <w:pPr>
        <w:ind w:left="3600" w:hanging="360"/>
      </w:pPr>
    </w:lvl>
    <w:lvl w:ilvl="5" w:tplc="1CF8BE62">
      <w:start w:val="1"/>
      <w:numFmt w:val="lowerRoman"/>
      <w:lvlText w:val="%6."/>
      <w:lvlJc w:val="right"/>
      <w:pPr>
        <w:ind w:left="4320" w:hanging="180"/>
      </w:pPr>
    </w:lvl>
    <w:lvl w:ilvl="6" w:tplc="4BDC9F54">
      <w:start w:val="1"/>
      <w:numFmt w:val="decimal"/>
      <w:lvlText w:val="%7."/>
      <w:lvlJc w:val="left"/>
      <w:pPr>
        <w:ind w:left="5040" w:hanging="360"/>
      </w:pPr>
    </w:lvl>
    <w:lvl w:ilvl="7" w:tplc="06F8DA74">
      <w:start w:val="1"/>
      <w:numFmt w:val="lowerLetter"/>
      <w:lvlText w:val="%8."/>
      <w:lvlJc w:val="left"/>
      <w:pPr>
        <w:ind w:left="5760" w:hanging="360"/>
      </w:pPr>
    </w:lvl>
    <w:lvl w:ilvl="8" w:tplc="29840BAA">
      <w:start w:val="1"/>
      <w:numFmt w:val="lowerRoman"/>
      <w:lvlText w:val="%9."/>
      <w:lvlJc w:val="right"/>
      <w:pPr>
        <w:ind w:left="6480" w:hanging="180"/>
      </w:pPr>
    </w:lvl>
  </w:abstractNum>
  <w:abstractNum w:abstractNumId="80" w15:restartNumberingAfterBreak="0">
    <w:nsid w:val="35955200"/>
    <w:multiLevelType w:val="hybridMultilevel"/>
    <w:tmpl w:val="083079A2"/>
    <w:lvl w:ilvl="0" w:tplc="AFCA72E8">
      <w:numFmt w:val="bullet"/>
      <w:lvlText w:val=""/>
      <w:lvlJc w:val="left"/>
      <w:pPr>
        <w:ind w:left="467" w:hanging="360"/>
      </w:pPr>
      <w:rPr>
        <w:rFonts w:ascii="Symbol" w:eastAsia="Symbol" w:hAnsi="Symbol" w:cs="Symbol" w:hint="default"/>
        <w:w w:val="100"/>
        <w:sz w:val="22"/>
        <w:szCs w:val="22"/>
        <w:lang w:val="en-US" w:eastAsia="en-US" w:bidi="ar-SA"/>
      </w:rPr>
    </w:lvl>
    <w:lvl w:ilvl="1" w:tplc="88E2E39A">
      <w:numFmt w:val="bullet"/>
      <w:lvlText w:val="•"/>
      <w:lvlJc w:val="left"/>
      <w:pPr>
        <w:ind w:left="909" w:hanging="360"/>
      </w:pPr>
      <w:rPr>
        <w:rFonts w:hint="default"/>
        <w:lang w:val="en-US" w:eastAsia="en-US" w:bidi="ar-SA"/>
      </w:rPr>
    </w:lvl>
    <w:lvl w:ilvl="2" w:tplc="38DA68D6">
      <w:numFmt w:val="bullet"/>
      <w:lvlText w:val="•"/>
      <w:lvlJc w:val="left"/>
      <w:pPr>
        <w:ind w:left="1358" w:hanging="360"/>
      </w:pPr>
      <w:rPr>
        <w:rFonts w:hint="default"/>
        <w:lang w:val="en-US" w:eastAsia="en-US" w:bidi="ar-SA"/>
      </w:rPr>
    </w:lvl>
    <w:lvl w:ilvl="3" w:tplc="720EF092">
      <w:numFmt w:val="bullet"/>
      <w:lvlText w:val="•"/>
      <w:lvlJc w:val="left"/>
      <w:pPr>
        <w:ind w:left="1807" w:hanging="360"/>
      </w:pPr>
      <w:rPr>
        <w:rFonts w:hint="default"/>
        <w:lang w:val="en-US" w:eastAsia="en-US" w:bidi="ar-SA"/>
      </w:rPr>
    </w:lvl>
    <w:lvl w:ilvl="4" w:tplc="BA9450CA">
      <w:numFmt w:val="bullet"/>
      <w:lvlText w:val="•"/>
      <w:lvlJc w:val="left"/>
      <w:pPr>
        <w:ind w:left="2256" w:hanging="360"/>
      </w:pPr>
      <w:rPr>
        <w:rFonts w:hint="default"/>
        <w:lang w:val="en-US" w:eastAsia="en-US" w:bidi="ar-SA"/>
      </w:rPr>
    </w:lvl>
    <w:lvl w:ilvl="5" w:tplc="BC405D0A">
      <w:numFmt w:val="bullet"/>
      <w:lvlText w:val="•"/>
      <w:lvlJc w:val="left"/>
      <w:pPr>
        <w:ind w:left="2705" w:hanging="360"/>
      </w:pPr>
      <w:rPr>
        <w:rFonts w:hint="default"/>
        <w:lang w:val="en-US" w:eastAsia="en-US" w:bidi="ar-SA"/>
      </w:rPr>
    </w:lvl>
    <w:lvl w:ilvl="6" w:tplc="A91C1142">
      <w:numFmt w:val="bullet"/>
      <w:lvlText w:val="•"/>
      <w:lvlJc w:val="left"/>
      <w:pPr>
        <w:ind w:left="3154" w:hanging="360"/>
      </w:pPr>
      <w:rPr>
        <w:rFonts w:hint="default"/>
        <w:lang w:val="en-US" w:eastAsia="en-US" w:bidi="ar-SA"/>
      </w:rPr>
    </w:lvl>
    <w:lvl w:ilvl="7" w:tplc="5358C4BC">
      <w:numFmt w:val="bullet"/>
      <w:lvlText w:val="•"/>
      <w:lvlJc w:val="left"/>
      <w:pPr>
        <w:ind w:left="3603" w:hanging="360"/>
      </w:pPr>
      <w:rPr>
        <w:rFonts w:hint="default"/>
        <w:lang w:val="en-US" w:eastAsia="en-US" w:bidi="ar-SA"/>
      </w:rPr>
    </w:lvl>
    <w:lvl w:ilvl="8" w:tplc="F060456A">
      <w:numFmt w:val="bullet"/>
      <w:lvlText w:val="•"/>
      <w:lvlJc w:val="left"/>
      <w:pPr>
        <w:ind w:left="4052" w:hanging="360"/>
      </w:pPr>
      <w:rPr>
        <w:rFonts w:hint="default"/>
        <w:lang w:val="en-US" w:eastAsia="en-US" w:bidi="ar-SA"/>
      </w:rPr>
    </w:lvl>
  </w:abstractNum>
  <w:abstractNum w:abstractNumId="81" w15:restartNumberingAfterBreak="0">
    <w:nsid w:val="35C45E83"/>
    <w:multiLevelType w:val="multilevel"/>
    <w:tmpl w:val="EE886E02"/>
    <w:lvl w:ilvl="0">
      <w:start w:val="22"/>
      <w:numFmt w:val="decimal"/>
      <w:lvlText w:val="%1"/>
      <w:lvlJc w:val="left"/>
      <w:pPr>
        <w:tabs>
          <w:tab w:val="num" w:pos="360"/>
        </w:tabs>
        <w:ind w:left="360" w:hanging="360"/>
      </w:pPr>
      <w:rPr>
        <w:rFonts w:hint="default"/>
      </w:rPr>
    </w:lvl>
    <w:lvl w:ilvl="1">
      <w:start w:val="4"/>
      <w:numFmt w:val="decimal"/>
      <w:lvlText w:val="%1.%2"/>
      <w:lvlJc w:val="left"/>
      <w:pPr>
        <w:tabs>
          <w:tab w:val="num" w:pos="630"/>
        </w:tabs>
        <w:ind w:left="630" w:hanging="360"/>
      </w:pPr>
      <w:rPr>
        <w:rFonts w:hint="default"/>
      </w:rPr>
    </w:lvl>
    <w:lvl w:ilvl="2">
      <w:start w:val="2"/>
      <w:numFmt w:val="decimal"/>
      <w:lvlText w:val="%1.%2.%3"/>
      <w:lvlJc w:val="left"/>
      <w:pPr>
        <w:tabs>
          <w:tab w:val="num" w:pos="1260"/>
        </w:tabs>
        <w:ind w:left="1260" w:hanging="720"/>
      </w:pPr>
      <w:rPr>
        <w:rFonts w:hint="default"/>
      </w:rPr>
    </w:lvl>
    <w:lvl w:ilvl="3">
      <w:start w:val="1"/>
      <w:numFmt w:val="decimal"/>
      <w:lvlText w:val="%1.%2.%3.%4"/>
      <w:lvlJc w:val="left"/>
      <w:pPr>
        <w:tabs>
          <w:tab w:val="num" w:pos="1530"/>
        </w:tabs>
        <w:ind w:left="1530" w:hanging="72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430"/>
        </w:tabs>
        <w:ind w:left="2430" w:hanging="108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330"/>
        </w:tabs>
        <w:ind w:left="3330" w:hanging="1440"/>
      </w:pPr>
      <w:rPr>
        <w:rFonts w:hint="default"/>
      </w:rPr>
    </w:lvl>
    <w:lvl w:ilvl="8">
      <w:start w:val="1"/>
      <w:numFmt w:val="decimal"/>
      <w:lvlText w:val="%1.%2.%3.%4.%5.%6.%7.%8.%9"/>
      <w:lvlJc w:val="left"/>
      <w:pPr>
        <w:tabs>
          <w:tab w:val="num" w:pos="3960"/>
        </w:tabs>
        <w:ind w:left="3960" w:hanging="1800"/>
      </w:pPr>
      <w:rPr>
        <w:rFonts w:hint="default"/>
      </w:rPr>
    </w:lvl>
  </w:abstractNum>
  <w:abstractNum w:abstractNumId="82" w15:restartNumberingAfterBreak="0">
    <w:nsid w:val="362A3681"/>
    <w:multiLevelType w:val="hybridMultilevel"/>
    <w:tmpl w:val="531E087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3" w15:restartNumberingAfterBreak="0">
    <w:nsid w:val="3654651D"/>
    <w:multiLevelType w:val="hybridMultilevel"/>
    <w:tmpl w:val="CE16CDAA"/>
    <w:lvl w:ilvl="0" w:tplc="ADEE2258">
      <w:start w:val="1"/>
      <w:numFmt w:val="decimal"/>
      <w:lvlText w:val="%1."/>
      <w:lvlJc w:val="left"/>
      <w:pPr>
        <w:ind w:left="3555" w:hanging="360"/>
      </w:pPr>
    </w:lvl>
    <w:lvl w:ilvl="1" w:tplc="D370FC50">
      <w:start w:val="1"/>
      <w:numFmt w:val="lowerLetter"/>
      <w:lvlText w:val="%2."/>
      <w:lvlJc w:val="left"/>
      <w:pPr>
        <w:ind w:left="4275" w:hanging="360"/>
      </w:pPr>
    </w:lvl>
    <w:lvl w:ilvl="2" w:tplc="3600EA74">
      <w:start w:val="1"/>
      <w:numFmt w:val="lowerRoman"/>
      <w:lvlText w:val="%3."/>
      <w:lvlJc w:val="right"/>
      <w:pPr>
        <w:ind w:left="4995" w:hanging="180"/>
      </w:pPr>
    </w:lvl>
    <w:lvl w:ilvl="3" w:tplc="035C4A5A">
      <w:start w:val="1"/>
      <w:numFmt w:val="decimal"/>
      <w:lvlText w:val="%4."/>
      <w:lvlJc w:val="left"/>
      <w:pPr>
        <w:ind w:left="5715" w:hanging="360"/>
      </w:pPr>
    </w:lvl>
    <w:lvl w:ilvl="4" w:tplc="AC3CEFC4">
      <w:start w:val="1"/>
      <w:numFmt w:val="lowerLetter"/>
      <w:lvlText w:val="%5."/>
      <w:lvlJc w:val="left"/>
      <w:pPr>
        <w:ind w:left="6435" w:hanging="360"/>
      </w:pPr>
    </w:lvl>
    <w:lvl w:ilvl="5" w:tplc="FA705258">
      <w:start w:val="1"/>
      <w:numFmt w:val="lowerRoman"/>
      <w:lvlText w:val="%6."/>
      <w:lvlJc w:val="right"/>
      <w:pPr>
        <w:ind w:left="7155" w:hanging="180"/>
      </w:pPr>
    </w:lvl>
    <w:lvl w:ilvl="6" w:tplc="53148DDE">
      <w:start w:val="1"/>
      <w:numFmt w:val="decimal"/>
      <w:lvlText w:val="%7."/>
      <w:lvlJc w:val="left"/>
      <w:pPr>
        <w:ind w:left="7875" w:hanging="360"/>
      </w:pPr>
    </w:lvl>
    <w:lvl w:ilvl="7" w:tplc="F236A524">
      <w:start w:val="1"/>
      <w:numFmt w:val="lowerLetter"/>
      <w:lvlText w:val="%8."/>
      <w:lvlJc w:val="left"/>
      <w:pPr>
        <w:ind w:left="8595" w:hanging="360"/>
      </w:pPr>
    </w:lvl>
    <w:lvl w:ilvl="8" w:tplc="DE2A8F2A">
      <w:start w:val="1"/>
      <w:numFmt w:val="lowerRoman"/>
      <w:lvlText w:val="%9."/>
      <w:lvlJc w:val="right"/>
      <w:pPr>
        <w:ind w:left="9315" w:hanging="180"/>
      </w:pPr>
    </w:lvl>
  </w:abstractNum>
  <w:abstractNum w:abstractNumId="84" w15:restartNumberingAfterBreak="0">
    <w:nsid w:val="371B387D"/>
    <w:multiLevelType w:val="hybridMultilevel"/>
    <w:tmpl w:val="97DC5D1C"/>
    <w:lvl w:ilvl="0" w:tplc="79321164">
      <w:start w:val="1"/>
      <w:numFmt w:val="bullet"/>
      <w:lvlText w:val="-"/>
      <w:lvlJc w:val="left"/>
      <w:pPr>
        <w:ind w:left="720" w:hanging="360"/>
      </w:pPr>
      <w:rPr>
        <w:rFonts w:ascii="Times New Roman" w:eastAsia="Times New Roman" w:hAnsi="Times New Roman" w:cs="Times New Roman" w:hint="default"/>
        <w:spacing w:val="-7"/>
        <w:sz w:val="22"/>
        <w:szCs w:val="22"/>
        <w:lang w:val="en-US" w:eastAsia="en-US" w:bidi="ar-SA"/>
      </w:rPr>
    </w:lvl>
    <w:lvl w:ilvl="1" w:tplc="8FF4296A">
      <w:start w:val="1"/>
      <w:numFmt w:val="bullet"/>
      <w:lvlText w:val="o"/>
      <w:lvlJc w:val="left"/>
      <w:pPr>
        <w:ind w:left="1440" w:hanging="360"/>
      </w:pPr>
      <w:rPr>
        <w:rFonts w:ascii="Courier New" w:hAnsi="Courier New" w:cs="Courier New" w:hint="default"/>
      </w:rPr>
    </w:lvl>
    <w:lvl w:ilvl="2" w:tplc="293EB2A8">
      <w:start w:val="1"/>
      <w:numFmt w:val="bullet"/>
      <w:lvlText w:val=""/>
      <w:lvlJc w:val="left"/>
      <w:pPr>
        <w:ind w:left="2160" w:hanging="360"/>
      </w:pPr>
      <w:rPr>
        <w:rFonts w:ascii="Wingdings" w:hAnsi="Wingdings" w:hint="default"/>
      </w:rPr>
    </w:lvl>
    <w:lvl w:ilvl="3" w:tplc="85A80794">
      <w:start w:val="1"/>
      <w:numFmt w:val="bullet"/>
      <w:lvlText w:val=""/>
      <w:lvlJc w:val="left"/>
      <w:pPr>
        <w:ind w:left="2880" w:hanging="360"/>
      </w:pPr>
      <w:rPr>
        <w:rFonts w:ascii="Symbol" w:hAnsi="Symbol" w:hint="default"/>
      </w:rPr>
    </w:lvl>
    <w:lvl w:ilvl="4" w:tplc="3648E352">
      <w:start w:val="1"/>
      <w:numFmt w:val="bullet"/>
      <w:lvlText w:val="o"/>
      <w:lvlJc w:val="left"/>
      <w:pPr>
        <w:ind w:left="3600" w:hanging="360"/>
      </w:pPr>
      <w:rPr>
        <w:rFonts w:ascii="Courier New" w:hAnsi="Courier New" w:cs="Courier New" w:hint="default"/>
      </w:rPr>
    </w:lvl>
    <w:lvl w:ilvl="5" w:tplc="727A37C0">
      <w:start w:val="1"/>
      <w:numFmt w:val="bullet"/>
      <w:lvlText w:val=""/>
      <w:lvlJc w:val="left"/>
      <w:pPr>
        <w:ind w:left="4320" w:hanging="360"/>
      </w:pPr>
      <w:rPr>
        <w:rFonts w:ascii="Wingdings" w:hAnsi="Wingdings" w:hint="default"/>
      </w:rPr>
    </w:lvl>
    <w:lvl w:ilvl="6" w:tplc="3E8023BA">
      <w:start w:val="1"/>
      <w:numFmt w:val="bullet"/>
      <w:lvlText w:val=""/>
      <w:lvlJc w:val="left"/>
      <w:pPr>
        <w:ind w:left="5040" w:hanging="360"/>
      </w:pPr>
      <w:rPr>
        <w:rFonts w:ascii="Symbol" w:hAnsi="Symbol" w:hint="default"/>
      </w:rPr>
    </w:lvl>
    <w:lvl w:ilvl="7" w:tplc="E77E8B8E">
      <w:start w:val="1"/>
      <w:numFmt w:val="bullet"/>
      <w:lvlText w:val="o"/>
      <w:lvlJc w:val="left"/>
      <w:pPr>
        <w:ind w:left="5760" w:hanging="360"/>
      </w:pPr>
      <w:rPr>
        <w:rFonts w:ascii="Courier New" w:hAnsi="Courier New" w:cs="Courier New" w:hint="default"/>
      </w:rPr>
    </w:lvl>
    <w:lvl w:ilvl="8" w:tplc="4EDEF54A">
      <w:start w:val="1"/>
      <w:numFmt w:val="bullet"/>
      <w:lvlText w:val=""/>
      <w:lvlJc w:val="left"/>
      <w:pPr>
        <w:ind w:left="6480" w:hanging="360"/>
      </w:pPr>
      <w:rPr>
        <w:rFonts w:ascii="Wingdings" w:hAnsi="Wingdings" w:hint="default"/>
      </w:rPr>
    </w:lvl>
  </w:abstractNum>
  <w:abstractNum w:abstractNumId="85" w15:restartNumberingAfterBreak="0">
    <w:nsid w:val="3786576E"/>
    <w:multiLevelType w:val="hybridMultilevel"/>
    <w:tmpl w:val="BB08BEE4"/>
    <w:lvl w:ilvl="0" w:tplc="A182612C">
      <w:start w:val="1"/>
      <w:numFmt w:val="lowerLetter"/>
      <w:lvlText w:val="(%1)"/>
      <w:lvlJc w:val="left"/>
      <w:pPr>
        <w:ind w:left="1080" w:hanging="360"/>
      </w:pPr>
      <w:rPr>
        <w:rFonts w:hint="default"/>
      </w:rPr>
    </w:lvl>
    <w:lvl w:ilvl="1" w:tplc="37AC2442">
      <w:start w:val="1"/>
      <w:numFmt w:val="lowerLetter"/>
      <w:lvlText w:val="%2."/>
      <w:lvlJc w:val="left"/>
      <w:pPr>
        <w:ind w:left="1800" w:hanging="360"/>
      </w:pPr>
    </w:lvl>
    <w:lvl w:ilvl="2" w:tplc="65E68DE6">
      <w:start w:val="1"/>
      <w:numFmt w:val="lowerRoman"/>
      <w:lvlText w:val="%3."/>
      <w:lvlJc w:val="right"/>
      <w:pPr>
        <w:ind w:left="2520" w:hanging="180"/>
      </w:pPr>
    </w:lvl>
    <w:lvl w:ilvl="3" w:tplc="5502C688">
      <w:start w:val="1"/>
      <w:numFmt w:val="decimal"/>
      <w:lvlText w:val="%4."/>
      <w:lvlJc w:val="left"/>
      <w:pPr>
        <w:ind w:left="3240" w:hanging="360"/>
      </w:pPr>
    </w:lvl>
    <w:lvl w:ilvl="4" w:tplc="FEFCBEA2">
      <w:start w:val="1"/>
      <w:numFmt w:val="lowerLetter"/>
      <w:lvlText w:val="%5."/>
      <w:lvlJc w:val="left"/>
      <w:pPr>
        <w:ind w:left="3960" w:hanging="360"/>
      </w:pPr>
    </w:lvl>
    <w:lvl w:ilvl="5" w:tplc="C6764750">
      <w:start w:val="1"/>
      <w:numFmt w:val="lowerRoman"/>
      <w:lvlText w:val="%6."/>
      <w:lvlJc w:val="right"/>
      <w:pPr>
        <w:ind w:left="4680" w:hanging="180"/>
      </w:pPr>
    </w:lvl>
    <w:lvl w:ilvl="6" w:tplc="44C0CCD2">
      <w:start w:val="1"/>
      <w:numFmt w:val="decimal"/>
      <w:lvlText w:val="%7."/>
      <w:lvlJc w:val="left"/>
      <w:pPr>
        <w:ind w:left="5400" w:hanging="360"/>
      </w:pPr>
    </w:lvl>
    <w:lvl w:ilvl="7" w:tplc="44A2571A">
      <w:start w:val="1"/>
      <w:numFmt w:val="lowerLetter"/>
      <w:lvlText w:val="%8."/>
      <w:lvlJc w:val="left"/>
      <w:pPr>
        <w:ind w:left="6120" w:hanging="360"/>
      </w:pPr>
    </w:lvl>
    <w:lvl w:ilvl="8" w:tplc="F8348A32">
      <w:start w:val="1"/>
      <w:numFmt w:val="lowerRoman"/>
      <w:lvlText w:val="%9."/>
      <w:lvlJc w:val="right"/>
      <w:pPr>
        <w:ind w:left="6840" w:hanging="180"/>
      </w:pPr>
    </w:lvl>
  </w:abstractNum>
  <w:abstractNum w:abstractNumId="86" w15:restartNumberingAfterBreak="0">
    <w:nsid w:val="37946C3E"/>
    <w:multiLevelType w:val="hybridMultilevel"/>
    <w:tmpl w:val="B5E25818"/>
    <w:lvl w:ilvl="0" w:tplc="2C9A6C3A">
      <w:start w:val="1"/>
      <w:numFmt w:val="lowerLetter"/>
      <w:lvlText w:val="%1)"/>
      <w:lvlJc w:val="left"/>
      <w:pPr>
        <w:tabs>
          <w:tab w:val="num" w:pos="1440"/>
        </w:tabs>
        <w:ind w:left="1440" w:hanging="144"/>
      </w:pPr>
      <w:rPr>
        <w:rFonts w:hint="default"/>
        <w:b w:val="0"/>
        <w:i w:val="0"/>
      </w:rPr>
    </w:lvl>
    <w:lvl w:ilvl="1" w:tplc="521EC18E">
      <w:start w:val="1"/>
      <w:numFmt w:val="lowerRoman"/>
      <w:lvlText w:val="(%2)"/>
      <w:lvlJc w:val="left"/>
      <w:pPr>
        <w:tabs>
          <w:tab w:val="num" w:pos="1210"/>
        </w:tabs>
        <w:ind w:left="2088" w:hanging="878"/>
      </w:pPr>
      <w:rPr>
        <w:rFonts w:hint="default"/>
        <w:b w:val="0"/>
        <w:i w:val="0"/>
      </w:rPr>
    </w:lvl>
    <w:lvl w:ilvl="2" w:tplc="0C98700E">
      <w:start w:val="1"/>
      <w:numFmt w:val="lowerLetter"/>
      <w:lvlText w:val="(%3)"/>
      <w:lvlJc w:val="left"/>
      <w:pPr>
        <w:ind w:left="2340" w:hanging="360"/>
      </w:pPr>
      <w:rPr>
        <w:rFonts w:hint="default"/>
      </w:rPr>
    </w:lvl>
    <w:lvl w:ilvl="3" w:tplc="3604929C">
      <w:start w:val="1"/>
      <w:numFmt w:val="decimal"/>
      <w:lvlText w:val="%4."/>
      <w:lvlJc w:val="left"/>
      <w:pPr>
        <w:tabs>
          <w:tab w:val="num" w:pos="2880"/>
        </w:tabs>
        <w:ind w:left="2880" w:hanging="360"/>
      </w:pPr>
    </w:lvl>
    <w:lvl w:ilvl="4" w:tplc="F69ECA80">
      <w:start w:val="1"/>
      <w:numFmt w:val="lowerLetter"/>
      <w:lvlText w:val="%5."/>
      <w:lvlJc w:val="left"/>
      <w:pPr>
        <w:tabs>
          <w:tab w:val="num" w:pos="3600"/>
        </w:tabs>
        <w:ind w:left="3600" w:hanging="360"/>
      </w:pPr>
    </w:lvl>
    <w:lvl w:ilvl="5" w:tplc="337EBA78">
      <w:start w:val="1"/>
      <w:numFmt w:val="lowerRoman"/>
      <w:lvlText w:val="%6."/>
      <w:lvlJc w:val="right"/>
      <w:pPr>
        <w:tabs>
          <w:tab w:val="num" w:pos="4320"/>
        </w:tabs>
        <w:ind w:left="4320" w:hanging="180"/>
      </w:pPr>
    </w:lvl>
    <w:lvl w:ilvl="6" w:tplc="028E532C">
      <w:start w:val="1"/>
      <w:numFmt w:val="decimal"/>
      <w:lvlText w:val="%7."/>
      <w:lvlJc w:val="left"/>
      <w:pPr>
        <w:tabs>
          <w:tab w:val="num" w:pos="5040"/>
        </w:tabs>
        <w:ind w:left="5040" w:hanging="360"/>
      </w:pPr>
    </w:lvl>
    <w:lvl w:ilvl="7" w:tplc="4C40A102">
      <w:start w:val="1"/>
      <w:numFmt w:val="lowerLetter"/>
      <w:lvlText w:val="%8."/>
      <w:lvlJc w:val="left"/>
      <w:pPr>
        <w:tabs>
          <w:tab w:val="num" w:pos="5760"/>
        </w:tabs>
        <w:ind w:left="5760" w:hanging="360"/>
      </w:pPr>
    </w:lvl>
    <w:lvl w:ilvl="8" w:tplc="3786707E">
      <w:start w:val="1"/>
      <w:numFmt w:val="lowerRoman"/>
      <w:lvlText w:val="%9."/>
      <w:lvlJc w:val="right"/>
      <w:pPr>
        <w:tabs>
          <w:tab w:val="num" w:pos="6480"/>
        </w:tabs>
        <w:ind w:left="6480" w:hanging="180"/>
      </w:pPr>
    </w:lvl>
  </w:abstractNum>
  <w:abstractNum w:abstractNumId="87" w15:restartNumberingAfterBreak="0">
    <w:nsid w:val="37A1562D"/>
    <w:multiLevelType w:val="hybridMultilevel"/>
    <w:tmpl w:val="A89AC7EE"/>
    <w:lvl w:ilvl="0" w:tplc="7F685CD8">
      <w:start w:val="1"/>
      <w:numFmt w:val="decimal"/>
      <w:lvlText w:val="%1."/>
      <w:lvlJc w:val="left"/>
      <w:pPr>
        <w:ind w:left="720" w:hanging="360"/>
      </w:pPr>
    </w:lvl>
    <w:lvl w:ilvl="1" w:tplc="3116A658">
      <w:start w:val="1"/>
      <w:numFmt w:val="lowerLetter"/>
      <w:lvlText w:val="%2."/>
      <w:lvlJc w:val="left"/>
      <w:pPr>
        <w:ind w:left="1440" w:hanging="360"/>
      </w:pPr>
    </w:lvl>
    <w:lvl w:ilvl="2" w:tplc="F4D4EB16">
      <w:start w:val="1"/>
      <w:numFmt w:val="lowerRoman"/>
      <w:lvlText w:val="%3."/>
      <w:lvlJc w:val="right"/>
      <w:pPr>
        <w:ind w:left="2160" w:hanging="180"/>
      </w:pPr>
    </w:lvl>
    <w:lvl w:ilvl="3" w:tplc="5472179C">
      <w:start w:val="1"/>
      <w:numFmt w:val="decimal"/>
      <w:lvlText w:val="%4."/>
      <w:lvlJc w:val="left"/>
      <w:pPr>
        <w:ind w:left="2880" w:hanging="360"/>
      </w:pPr>
    </w:lvl>
    <w:lvl w:ilvl="4" w:tplc="2536E2D8">
      <w:start w:val="1"/>
      <w:numFmt w:val="lowerLetter"/>
      <w:lvlText w:val="%5."/>
      <w:lvlJc w:val="left"/>
      <w:pPr>
        <w:ind w:left="3600" w:hanging="360"/>
      </w:pPr>
    </w:lvl>
    <w:lvl w:ilvl="5" w:tplc="F9221E38">
      <w:start w:val="1"/>
      <w:numFmt w:val="lowerRoman"/>
      <w:lvlText w:val="%6."/>
      <w:lvlJc w:val="right"/>
      <w:pPr>
        <w:ind w:left="4320" w:hanging="180"/>
      </w:pPr>
    </w:lvl>
    <w:lvl w:ilvl="6" w:tplc="AA62F8B8">
      <w:start w:val="1"/>
      <w:numFmt w:val="decimal"/>
      <w:lvlText w:val="%7."/>
      <w:lvlJc w:val="left"/>
      <w:pPr>
        <w:ind w:left="5040" w:hanging="360"/>
      </w:pPr>
    </w:lvl>
    <w:lvl w:ilvl="7" w:tplc="38F81332">
      <w:start w:val="1"/>
      <w:numFmt w:val="lowerLetter"/>
      <w:lvlText w:val="%8."/>
      <w:lvlJc w:val="left"/>
      <w:pPr>
        <w:ind w:left="5760" w:hanging="360"/>
      </w:pPr>
    </w:lvl>
    <w:lvl w:ilvl="8" w:tplc="EA08C6DE">
      <w:start w:val="1"/>
      <w:numFmt w:val="lowerRoman"/>
      <w:lvlText w:val="%9."/>
      <w:lvlJc w:val="right"/>
      <w:pPr>
        <w:ind w:left="6480" w:hanging="180"/>
      </w:pPr>
    </w:lvl>
  </w:abstractNum>
  <w:abstractNum w:abstractNumId="88" w15:restartNumberingAfterBreak="0">
    <w:nsid w:val="3805460E"/>
    <w:multiLevelType w:val="hybridMultilevel"/>
    <w:tmpl w:val="815E64AA"/>
    <w:lvl w:ilvl="0" w:tplc="3CDAD486">
      <w:start w:val="1"/>
      <w:numFmt w:val="lowerLetter"/>
      <w:lvlText w:val="(%1)"/>
      <w:lvlJc w:val="left"/>
      <w:pPr>
        <w:ind w:left="720" w:hanging="360"/>
      </w:pPr>
      <w:rPr>
        <w:rFonts w:hint="default"/>
        <w:b w:val="0"/>
        <w:bCs w:val="0"/>
      </w:rPr>
    </w:lvl>
    <w:lvl w:ilvl="1" w:tplc="A2BE05E8">
      <w:start w:val="1"/>
      <w:numFmt w:val="lowerLetter"/>
      <w:lvlText w:val="%2."/>
      <w:lvlJc w:val="left"/>
      <w:pPr>
        <w:ind w:left="1440" w:hanging="360"/>
      </w:pPr>
    </w:lvl>
    <w:lvl w:ilvl="2" w:tplc="078A9874">
      <w:start w:val="1"/>
      <w:numFmt w:val="lowerRoman"/>
      <w:lvlText w:val="%3."/>
      <w:lvlJc w:val="right"/>
      <w:pPr>
        <w:ind w:left="2160" w:hanging="180"/>
      </w:pPr>
    </w:lvl>
    <w:lvl w:ilvl="3" w:tplc="44FA7BCC">
      <w:start w:val="1"/>
      <w:numFmt w:val="decimal"/>
      <w:lvlText w:val="%4."/>
      <w:lvlJc w:val="left"/>
      <w:pPr>
        <w:ind w:left="2880" w:hanging="360"/>
      </w:pPr>
    </w:lvl>
    <w:lvl w:ilvl="4" w:tplc="D3667BB4">
      <w:start w:val="1"/>
      <w:numFmt w:val="lowerLetter"/>
      <w:lvlText w:val="%5."/>
      <w:lvlJc w:val="left"/>
      <w:pPr>
        <w:ind w:left="3600" w:hanging="360"/>
      </w:pPr>
    </w:lvl>
    <w:lvl w:ilvl="5" w:tplc="0A1E8F36">
      <w:start w:val="1"/>
      <w:numFmt w:val="lowerRoman"/>
      <w:lvlText w:val="%6."/>
      <w:lvlJc w:val="right"/>
      <w:pPr>
        <w:ind w:left="4320" w:hanging="180"/>
      </w:pPr>
    </w:lvl>
    <w:lvl w:ilvl="6" w:tplc="7B700E1C">
      <w:start w:val="1"/>
      <w:numFmt w:val="decimal"/>
      <w:lvlText w:val="%7."/>
      <w:lvlJc w:val="left"/>
      <w:pPr>
        <w:ind w:left="5040" w:hanging="360"/>
      </w:pPr>
    </w:lvl>
    <w:lvl w:ilvl="7" w:tplc="CA3CFE0E">
      <w:start w:val="1"/>
      <w:numFmt w:val="lowerLetter"/>
      <w:lvlText w:val="%8."/>
      <w:lvlJc w:val="left"/>
      <w:pPr>
        <w:ind w:left="5760" w:hanging="360"/>
      </w:pPr>
    </w:lvl>
    <w:lvl w:ilvl="8" w:tplc="F852044E">
      <w:start w:val="1"/>
      <w:numFmt w:val="lowerRoman"/>
      <w:lvlText w:val="%9."/>
      <w:lvlJc w:val="right"/>
      <w:pPr>
        <w:ind w:left="6480" w:hanging="180"/>
      </w:pPr>
    </w:lvl>
  </w:abstractNum>
  <w:abstractNum w:abstractNumId="89" w15:restartNumberingAfterBreak="0">
    <w:nsid w:val="3A046059"/>
    <w:multiLevelType w:val="hybridMultilevel"/>
    <w:tmpl w:val="1F80FDA8"/>
    <w:lvl w:ilvl="0" w:tplc="C3DC6B22">
      <w:start w:val="1"/>
      <w:numFmt w:val="bullet"/>
      <w:lvlText w:val="•"/>
      <w:lvlJc w:val="left"/>
      <w:pPr>
        <w:ind w:left="2880" w:hanging="360"/>
      </w:pPr>
      <w:rPr>
        <w:rFonts w:ascii="Calibri Light" w:eastAsia="Times New Roman" w:hAnsi="Calibri Light" w:cs="Times New Roman" w:hint="default"/>
      </w:rPr>
    </w:lvl>
    <w:lvl w:ilvl="1" w:tplc="92261F14">
      <w:start w:val="1"/>
      <w:numFmt w:val="bullet"/>
      <w:lvlText w:val="o"/>
      <w:lvlJc w:val="left"/>
      <w:pPr>
        <w:ind w:left="3600" w:hanging="360"/>
      </w:pPr>
      <w:rPr>
        <w:rFonts w:ascii="Courier New" w:hAnsi="Courier New" w:cs="Courier New" w:hint="default"/>
      </w:rPr>
    </w:lvl>
    <w:lvl w:ilvl="2" w:tplc="BAF4B1BA">
      <w:start w:val="1"/>
      <w:numFmt w:val="bullet"/>
      <w:lvlText w:val=""/>
      <w:lvlJc w:val="left"/>
      <w:pPr>
        <w:ind w:left="4320" w:hanging="360"/>
      </w:pPr>
      <w:rPr>
        <w:rFonts w:ascii="Wingdings" w:hAnsi="Wingdings" w:hint="default"/>
      </w:rPr>
    </w:lvl>
    <w:lvl w:ilvl="3" w:tplc="C88A114E">
      <w:start w:val="1"/>
      <w:numFmt w:val="bullet"/>
      <w:lvlText w:val=""/>
      <w:lvlJc w:val="left"/>
      <w:pPr>
        <w:ind w:left="5040" w:hanging="360"/>
      </w:pPr>
      <w:rPr>
        <w:rFonts w:ascii="Symbol" w:hAnsi="Symbol" w:hint="default"/>
      </w:rPr>
    </w:lvl>
    <w:lvl w:ilvl="4" w:tplc="39225AA6">
      <w:start w:val="1"/>
      <w:numFmt w:val="bullet"/>
      <w:lvlText w:val="o"/>
      <w:lvlJc w:val="left"/>
      <w:pPr>
        <w:ind w:left="5760" w:hanging="360"/>
      </w:pPr>
      <w:rPr>
        <w:rFonts w:ascii="Courier New" w:hAnsi="Courier New" w:cs="Courier New" w:hint="default"/>
      </w:rPr>
    </w:lvl>
    <w:lvl w:ilvl="5" w:tplc="F65849FE">
      <w:start w:val="1"/>
      <w:numFmt w:val="bullet"/>
      <w:lvlText w:val=""/>
      <w:lvlJc w:val="left"/>
      <w:pPr>
        <w:ind w:left="6480" w:hanging="360"/>
      </w:pPr>
      <w:rPr>
        <w:rFonts w:ascii="Wingdings" w:hAnsi="Wingdings" w:hint="default"/>
      </w:rPr>
    </w:lvl>
    <w:lvl w:ilvl="6" w:tplc="E7F68184">
      <w:start w:val="1"/>
      <w:numFmt w:val="bullet"/>
      <w:lvlText w:val=""/>
      <w:lvlJc w:val="left"/>
      <w:pPr>
        <w:ind w:left="7200" w:hanging="360"/>
      </w:pPr>
      <w:rPr>
        <w:rFonts w:ascii="Symbol" w:hAnsi="Symbol" w:hint="default"/>
      </w:rPr>
    </w:lvl>
    <w:lvl w:ilvl="7" w:tplc="4DF8AA4E">
      <w:start w:val="1"/>
      <w:numFmt w:val="bullet"/>
      <w:lvlText w:val="o"/>
      <w:lvlJc w:val="left"/>
      <w:pPr>
        <w:ind w:left="7920" w:hanging="360"/>
      </w:pPr>
      <w:rPr>
        <w:rFonts w:ascii="Courier New" w:hAnsi="Courier New" w:cs="Courier New" w:hint="default"/>
      </w:rPr>
    </w:lvl>
    <w:lvl w:ilvl="8" w:tplc="FE989148">
      <w:start w:val="1"/>
      <w:numFmt w:val="bullet"/>
      <w:lvlText w:val=""/>
      <w:lvlJc w:val="left"/>
      <w:pPr>
        <w:ind w:left="8640" w:hanging="360"/>
      </w:pPr>
      <w:rPr>
        <w:rFonts w:ascii="Wingdings" w:hAnsi="Wingdings" w:hint="default"/>
      </w:rPr>
    </w:lvl>
  </w:abstractNum>
  <w:abstractNum w:abstractNumId="90" w15:restartNumberingAfterBreak="0">
    <w:nsid w:val="3A0B7EA5"/>
    <w:multiLevelType w:val="hybridMultilevel"/>
    <w:tmpl w:val="8940EB06"/>
    <w:lvl w:ilvl="0" w:tplc="080E55D0">
      <w:start w:val="1"/>
      <w:numFmt w:val="decimal"/>
      <w:pStyle w:val="ListNumber2"/>
      <w:lvlText w:val="%1."/>
      <w:lvlJc w:val="left"/>
      <w:pPr>
        <w:tabs>
          <w:tab w:val="num" w:pos="720"/>
        </w:tabs>
        <w:ind w:left="720" w:hanging="360"/>
      </w:pPr>
    </w:lvl>
    <w:lvl w:ilvl="1" w:tplc="8318A042">
      <w:start w:val="1"/>
      <w:numFmt w:val="bullet"/>
      <w:lvlText w:val="o"/>
      <w:lvlJc w:val="left"/>
      <w:pPr>
        <w:ind w:left="1440" w:hanging="360"/>
      </w:pPr>
      <w:rPr>
        <w:rFonts w:ascii="Courier New" w:eastAsia="Courier New" w:hAnsi="Courier New" w:cs="Courier New" w:hint="default"/>
      </w:rPr>
    </w:lvl>
    <w:lvl w:ilvl="2" w:tplc="91841A5C">
      <w:start w:val="1"/>
      <w:numFmt w:val="bullet"/>
      <w:lvlText w:val="§"/>
      <w:lvlJc w:val="left"/>
      <w:pPr>
        <w:ind w:left="2160" w:hanging="360"/>
      </w:pPr>
      <w:rPr>
        <w:rFonts w:ascii="Wingdings" w:eastAsia="Wingdings" w:hAnsi="Wingdings" w:cs="Wingdings" w:hint="default"/>
      </w:rPr>
    </w:lvl>
    <w:lvl w:ilvl="3" w:tplc="A2F4004C">
      <w:start w:val="1"/>
      <w:numFmt w:val="bullet"/>
      <w:lvlText w:val="·"/>
      <w:lvlJc w:val="left"/>
      <w:pPr>
        <w:ind w:left="2880" w:hanging="360"/>
      </w:pPr>
      <w:rPr>
        <w:rFonts w:ascii="Symbol" w:eastAsia="Symbol" w:hAnsi="Symbol" w:cs="Symbol" w:hint="default"/>
      </w:rPr>
    </w:lvl>
    <w:lvl w:ilvl="4" w:tplc="D0A031AC">
      <w:start w:val="1"/>
      <w:numFmt w:val="bullet"/>
      <w:lvlText w:val="o"/>
      <w:lvlJc w:val="left"/>
      <w:pPr>
        <w:ind w:left="3600" w:hanging="360"/>
      </w:pPr>
      <w:rPr>
        <w:rFonts w:ascii="Courier New" w:eastAsia="Courier New" w:hAnsi="Courier New" w:cs="Courier New" w:hint="default"/>
      </w:rPr>
    </w:lvl>
    <w:lvl w:ilvl="5" w:tplc="E96685FE">
      <w:start w:val="1"/>
      <w:numFmt w:val="bullet"/>
      <w:lvlText w:val="§"/>
      <w:lvlJc w:val="left"/>
      <w:pPr>
        <w:ind w:left="4320" w:hanging="360"/>
      </w:pPr>
      <w:rPr>
        <w:rFonts w:ascii="Wingdings" w:eastAsia="Wingdings" w:hAnsi="Wingdings" w:cs="Wingdings" w:hint="default"/>
      </w:rPr>
    </w:lvl>
    <w:lvl w:ilvl="6" w:tplc="F9E089CC">
      <w:start w:val="1"/>
      <w:numFmt w:val="bullet"/>
      <w:lvlText w:val="·"/>
      <w:lvlJc w:val="left"/>
      <w:pPr>
        <w:ind w:left="5040" w:hanging="360"/>
      </w:pPr>
      <w:rPr>
        <w:rFonts w:ascii="Symbol" w:eastAsia="Symbol" w:hAnsi="Symbol" w:cs="Symbol" w:hint="default"/>
      </w:rPr>
    </w:lvl>
    <w:lvl w:ilvl="7" w:tplc="EEFA9EA6">
      <w:start w:val="1"/>
      <w:numFmt w:val="bullet"/>
      <w:lvlText w:val="o"/>
      <w:lvlJc w:val="left"/>
      <w:pPr>
        <w:ind w:left="5760" w:hanging="360"/>
      </w:pPr>
      <w:rPr>
        <w:rFonts w:ascii="Courier New" w:eastAsia="Courier New" w:hAnsi="Courier New" w:cs="Courier New" w:hint="default"/>
      </w:rPr>
    </w:lvl>
    <w:lvl w:ilvl="8" w:tplc="DA50B4CC">
      <w:start w:val="1"/>
      <w:numFmt w:val="bullet"/>
      <w:lvlText w:val="§"/>
      <w:lvlJc w:val="left"/>
      <w:pPr>
        <w:ind w:left="6480" w:hanging="360"/>
      </w:pPr>
      <w:rPr>
        <w:rFonts w:ascii="Wingdings" w:eastAsia="Wingdings" w:hAnsi="Wingdings" w:cs="Wingdings" w:hint="default"/>
      </w:rPr>
    </w:lvl>
  </w:abstractNum>
  <w:abstractNum w:abstractNumId="91" w15:restartNumberingAfterBreak="0">
    <w:nsid w:val="3A8B2265"/>
    <w:multiLevelType w:val="hybridMultilevel"/>
    <w:tmpl w:val="7C2C430A"/>
    <w:lvl w:ilvl="0" w:tplc="2A06AF6E">
      <w:numFmt w:val="bullet"/>
      <w:lvlText w:val=""/>
      <w:lvlJc w:val="left"/>
      <w:pPr>
        <w:ind w:left="467" w:hanging="360"/>
      </w:pPr>
      <w:rPr>
        <w:rFonts w:ascii="Symbol" w:eastAsia="Symbol" w:hAnsi="Symbol" w:cs="Symbol" w:hint="default"/>
        <w:w w:val="100"/>
        <w:sz w:val="22"/>
        <w:szCs w:val="22"/>
        <w:lang w:val="en-US" w:eastAsia="en-US" w:bidi="ar-SA"/>
      </w:rPr>
    </w:lvl>
    <w:lvl w:ilvl="1" w:tplc="A7529388">
      <w:numFmt w:val="bullet"/>
      <w:lvlText w:val="•"/>
      <w:lvlJc w:val="left"/>
      <w:pPr>
        <w:ind w:left="909" w:hanging="360"/>
      </w:pPr>
      <w:rPr>
        <w:rFonts w:hint="default"/>
        <w:lang w:val="en-US" w:eastAsia="en-US" w:bidi="ar-SA"/>
      </w:rPr>
    </w:lvl>
    <w:lvl w:ilvl="2" w:tplc="6B1ED264">
      <w:numFmt w:val="bullet"/>
      <w:lvlText w:val="•"/>
      <w:lvlJc w:val="left"/>
      <w:pPr>
        <w:ind w:left="1358" w:hanging="360"/>
      </w:pPr>
      <w:rPr>
        <w:rFonts w:hint="default"/>
        <w:lang w:val="en-US" w:eastAsia="en-US" w:bidi="ar-SA"/>
      </w:rPr>
    </w:lvl>
    <w:lvl w:ilvl="3" w:tplc="D65E63B4">
      <w:numFmt w:val="bullet"/>
      <w:lvlText w:val="•"/>
      <w:lvlJc w:val="left"/>
      <w:pPr>
        <w:ind w:left="1807" w:hanging="360"/>
      </w:pPr>
      <w:rPr>
        <w:rFonts w:hint="default"/>
        <w:lang w:val="en-US" w:eastAsia="en-US" w:bidi="ar-SA"/>
      </w:rPr>
    </w:lvl>
    <w:lvl w:ilvl="4" w:tplc="48703FFC">
      <w:numFmt w:val="bullet"/>
      <w:lvlText w:val="•"/>
      <w:lvlJc w:val="left"/>
      <w:pPr>
        <w:ind w:left="2256" w:hanging="360"/>
      </w:pPr>
      <w:rPr>
        <w:rFonts w:hint="default"/>
        <w:lang w:val="en-US" w:eastAsia="en-US" w:bidi="ar-SA"/>
      </w:rPr>
    </w:lvl>
    <w:lvl w:ilvl="5" w:tplc="0A666430">
      <w:numFmt w:val="bullet"/>
      <w:lvlText w:val="•"/>
      <w:lvlJc w:val="left"/>
      <w:pPr>
        <w:ind w:left="2705" w:hanging="360"/>
      </w:pPr>
      <w:rPr>
        <w:rFonts w:hint="default"/>
        <w:lang w:val="en-US" w:eastAsia="en-US" w:bidi="ar-SA"/>
      </w:rPr>
    </w:lvl>
    <w:lvl w:ilvl="6" w:tplc="DC3EC9A0">
      <w:numFmt w:val="bullet"/>
      <w:lvlText w:val="•"/>
      <w:lvlJc w:val="left"/>
      <w:pPr>
        <w:ind w:left="3154" w:hanging="360"/>
      </w:pPr>
      <w:rPr>
        <w:rFonts w:hint="default"/>
        <w:lang w:val="en-US" w:eastAsia="en-US" w:bidi="ar-SA"/>
      </w:rPr>
    </w:lvl>
    <w:lvl w:ilvl="7" w:tplc="8246279A">
      <w:numFmt w:val="bullet"/>
      <w:lvlText w:val="•"/>
      <w:lvlJc w:val="left"/>
      <w:pPr>
        <w:ind w:left="3603" w:hanging="360"/>
      </w:pPr>
      <w:rPr>
        <w:rFonts w:hint="default"/>
        <w:lang w:val="en-US" w:eastAsia="en-US" w:bidi="ar-SA"/>
      </w:rPr>
    </w:lvl>
    <w:lvl w:ilvl="8" w:tplc="9E86FC14">
      <w:numFmt w:val="bullet"/>
      <w:lvlText w:val="•"/>
      <w:lvlJc w:val="left"/>
      <w:pPr>
        <w:ind w:left="4052" w:hanging="360"/>
      </w:pPr>
      <w:rPr>
        <w:rFonts w:hint="default"/>
        <w:lang w:val="en-US" w:eastAsia="en-US" w:bidi="ar-SA"/>
      </w:rPr>
    </w:lvl>
  </w:abstractNum>
  <w:abstractNum w:abstractNumId="92" w15:restartNumberingAfterBreak="0">
    <w:nsid w:val="3B765D4A"/>
    <w:multiLevelType w:val="hybridMultilevel"/>
    <w:tmpl w:val="46A23BC6"/>
    <w:lvl w:ilvl="0" w:tplc="A3E4EA92">
      <w:start w:val="1"/>
      <w:numFmt w:val="lowerRoman"/>
      <w:lvlText w:val="(%1)"/>
      <w:lvlJc w:val="right"/>
      <w:pPr>
        <w:ind w:left="360" w:hanging="360"/>
      </w:pPr>
      <w:rPr>
        <w:rFonts w:hint="default"/>
      </w:rPr>
    </w:lvl>
    <w:lvl w:ilvl="1" w:tplc="76EA926A">
      <w:start w:val="1"/>
      <w:numFmt w:val="lowerLetter"/>
      <w:lvlText w:val="%2."/>
      <w:lvlJc w:val="left"/>
      <w:pPr>
        <w:ind w:left="1080" w:hanging="360"/>
      </w:pPr>
    </w:lvl>
    <w:lvl w:ilvl="2" w:tplc="7B6C7180">
      <w:start w:val="1"/>
      <w:numFmt w:val="lowerRoman"/>
      <w:lvlText w:val="%3."/>
      <w:lvlJc w:val="right"/>
      <w:pPr>
        <w:ind w:left="1800" w:hanging="180"/>
      </w:pPr>
    </w:lvl>
    <w:lvl w:ilvl="3" w:tplc="C068DFF4">
      <w:start w:val="1"/>
      <w:numFmt w:val="decimal"/>
      <w:lvlText w:val="%4."/>
      <w:lvlJc w:val="left"/>
      <w:pPr>
        <w:ind w:left="2520" w:hanging="360"/>
      </w:pPr>
    </w:lvl>
    <w:lvl w:ilvl="4" w:tplc="15108850">
      <w:start w:val="1"/>
      <w:numFmt w:val="lowerLetter"/>
      <w:lvlText w:val="%5."/>
      <w:lvlJc w:val="left"/>
      <w:pPr>
        <w:ind w:left="3240" w:hanging="360"/>
      </w:pPr>
    </w:lvl>
    <w:lvl w:ilvl="5" w:tplc="D28037B4">
      <w:start w:val="1"/>
      <w:numFmt w:val="lowerRoman"/>
      <w:lvlText w:val="%6."/>
      <w:lvlJc w:val="right"/>
      <w:pPr>
        <w:ind w:left="3960" w:hanging="180"/>
      </w:pPr>
    </w:lvl>
    <w:lvl w:ilvl="6" w:tplc="71BE1D6A">
      <w:start w:val="1"/>
      <w:numFmt w:val="decimal"/>
      <w:lvlText w:val="%7."/>
      <w:lvlJc w:val="left"/>
      <w:pPr>
        <w:ind w:left="4680" w:hanging="360"/>
      </w:pPr>
    </w:lvl>
    <w:lvl w:ilvl="7" w:tplc="D8FE0EB8">
      <w:start w:val="1"/>
      <w:numFmt w:val="lowerLetter"/>
      <w:lvlText w:val="%8."/>
      <w:lvlJc w:val="left"/>
      <w:pPr>
        <w:ind w:left="5400" w:hanging="360"/>
      </w:pPr>
    </w:lvl>
    <w:lvl w:ilvl="8" w:tplc="F9C46086">
      <w:start w:val="1"/>
      <w:numFmt w:val="lowerRoman"/>
      <w:lvlText w:val="%9."/>
      <w:lvlJc w:val="right"/>
      <w:pPr>
        <w:ind w:left="6120" w:hanging="180"/>
      </w:pPr>
    </w:lvl>
  </w:abstractNum>
  <w:abstractNum w:abstractNumId="93" w15:restartNumberingAfterBreak="0">
    <w:nsid w:val="3B7A7F48"/>
    <w:multiLevelType w:val="hybridMultilevel"/>
    <w:tmpl w:val="7A20811C"/>
    <w:lvl w:ilvl="0" w:tplc="B0A2EAD4">
      <w:start w:val="1"/>
      <w:numFmt w:val="decimal"/>
      <w:lvlText w:val="%1."/>
      <w:lvlJc w:val="left"/>
      <w:pPr>
        <w:ind w:left="720" w:hanging="360"/>
      </w:pPr>
      <w:rPr>
        <w:rFonts w:hint="default"/>
      </w:rPr>
    </w:lvl>
    <w:lvl w:ilvl="1" w:tplc="726061FC">
      <w:start w:val="1"/>
      <w:numFmt w:val="lowerLetter"/>
      <w:lvlText w:val="%2."/>
      <w:lvlJc w:val="left"/>
      <w:pPr>
        <w:ind w:left="1440" w:hanging="360"/>
      </w:pPr>
    </w:lvl>
    <w:lvl w:ilvl="2" w:tplc="8DE8725A">
      <w:start w:val="1"/>
      <w:numFmt w:val="lowerRoman"/>
      <w:lvlText w:val="%3."/>
      <w:lvlJc w:val="right"/>
      <w:pPr>
        <w:ind w:left="2160" w:hanging="180"/>
      </w:pPr>
    </w:lvl>
    <w:lvl w:ilvl="3" w:tplc="774AC5BA">
      <w:start w:val="1"/>
      <w:numFmt w:val="decimal"/>
      <w:lvlText w:val="%4."/>
      <w:lvlJc w:val="left"/>
      <w:pPr>
        <w:ind w:left="2880" w:hanging="360"/>
      </w:pPr>
    </w:lvl>
    <w:lvl w:ilvl="4" w:tplc="11B46914">
      <w:start w:val="1"/>
      <w:numFmt w:val="lowerLetter"/>
      <w:lvlText w:val="%5."/>
      <w:lvlJc w:val="left"/>
      <w:pPr>
        <w:ind w:left="3600" w:hanging="360"/>
      </w:pPr>
    </w:lvl>
    <w:lvl w:ilvl="5" w:tplc="BF8A9498">
      <w:start w:val="1"/>
      <w:numFmt w:val="lowerRoman"/>
      <w:lvlText w:val="%6."/>
      <w:lvlJc w:val="right"/>
      <w:pPr>
        <w:ind w:left="4320" w:hanging="180"/>
      </w:pPr>
    </w:lvl>
    <w:lvl w:ilvl="6" w:tplc="16565BFC">
      <w:start w:val="1"/>
      <w:numFmt w:val="decimal"/>
      <w:lvlText w:val="%7."/>
      <w:lvlJc w:val="left"/>
      <w:pPr>
        <w:ind w:left="5040" w:hanging="360"/>
      </w:pPr>
    </w:lvl>
    <w:lvl w:ilvl="7" w:tplc="284EBF6E">
      <w:start w:val="1"/>
      <w:numFmt w:val="lowerLetter"/>
      <w:lvlText w:val="%8."/>
      <w:lvlJc w:val="left"/>
      <w:pPr>
        <w:ind w:left="5760" w:hanging="360"/>
      </w:pPr>
    </w:lvl>
    <w:lvl w:ilvl="8" w:tplc="82FA4692">
      <w:start w:val="1"/>
      <w:numFmt w:val="lowerRoman"/>
      <w:lvlText w:val="%9."/>
      <w:lvlJc w:val="right"/>
      <w:pPr>
        <w:ind w:left="6480" w:hanging="180"/>
      </w:pPr>
    </w:lvl>
  </w:abstractNum>
  <w:abstractNum w:abstractNumId="94" w15:restartNumberingAfterBreak="0">
    <w:nsid w:val="3BBF410C"/>
    <w:multiLevelType w:val="hybridMultilevel"/>
    <w:tmpl w:val="A1F4ABA0"/>
    <w:lvl w:ilvl="0" w:tplc="50CC1788">
      <w:numFmt w:val="bullet"/>
      <w:lvlText w:val="•"/>
      <w:lvlJc w:val="left"/>
      <w:pPr>
        <w:ind w:left="1080" w:hanging="72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15:restartNumberingAfterBreak="0">
    <w:nsid w:val="3C50115D"/>
    <w:multiLevelType w:val="hybridMultilevel"/>
    <w:tmpl w:val="B6B86086"/>
    <w:lvl w:ilvl="0" w:tplc="68445846">
      <w:start w:val="1"/>
      <w:numFmt w:val="bullet"/>
      <w:lvlText w:val="•"/>
      <w:lvlJc w:val="left"/>
      <w:pPr>
        <w:ind w:left="720" w:hanging="360"/>
      </w:pPr>
      <w:rPr>
        <w:rFonts w:ascii="Calibri Light" w:eastAsia="Times New Roman" w:hAnsi="Calibri Light" w:cs="Times New Roman" w:hint="default"/>
      </w:rPr>
    </w:lvl>
    <w:lvl w:ilvl="1" w:tplc="F614FB22">
      <w:start w:val="1"/>
      <w:numFmt w:val="bullet"/>
      <w:lvlText w:val="o"/>
      <w:lvlJc w:val="left"/>
      <w:pPr>
        <w:ind w:left="1440" w:hanging="360"/>
      </w:pPr>
      <w:rPr>
        <w:rFonts w:ascii="Courier New" w:hAnsi="Courier New" w:cs="Courier New" w:hint="default"/>
      </w:rPr>
    </w:lvl>
    <w:lvl w:ilvl="2" w:tplc="ED2AF4E6">
      <w:start w:val="1"/>
      <w:numFmt w:val="bullet"/>
      <w:lvlText w:val=""/>
      <w:lvlJc w:val="left"/>
      <w:pPr>
        <w:ind w:left="2160" w:hanging="360"/>
      </w:pPr>
      <w:rPr>
        <w:rFonts w:ascii="Wingdings" w:hAnsi="Wingdings" w:hint="default"/>
      </w:rPr>
    </w:lvl>
    <w:lvl w:ilvl="3" w:tplc="DD386316">
      <w:start w:val="1"/>
      <w:numFmt w:val="bullet"/>
      <w:lvlText w:val=""/>
      <w:lvlJc w:val="left"/>
      <w:pPr>
        <w:ind w:left="2880" w:hanging="360"/>
      </w:pPr>
      <w:rPr>
        <w:rFonts w:ascii="Symbol" w:hAnsi="Symbol" w:hint="default"/>
      </w:rPr>
    </w:lvl>
    <w:lvl w:ilvl="4" w:tplc="B7561308">
      <w:start w:val="1"/>
      <w:numFmt w:val="bullet"/>
      <w:lvlText w:val="o"/>
      <w:lvlJc w:val="left"/>
      <w:pPr>
        <w:ind w:left="3600" w:hanging="360"/>
      </w:pPr>
      <w:rPr>
        <w:rFonts w:ascii="Courier New" w:hAnsi="Courier New" w:cs="Courier New" w:hint="default"/>
      </w:rPr>
    </w:lvl>
    <w:lvl w:ilvl="5" w:tplc="9D5A091E">
      <w:start w:val="1"/>
      <w:numFmt w:val="bullet"/>
      <w:lvlText w:val=""/>
      <w:lvlJc w:val="left"/>
      <w:pPr>
        <w:ind w:left="4320" w:hanging="360"/>
      </w:pPr>
      <w:rPr>
        <w:rFonts w:ascii="Wingdings" w:hAnsi="Wingdings" w:hint="default"/>
      </w:rPr>
    </w:lvl>
    <w:lvl w:ilvl="6" w:tplc="21E21DDC">
      <w:start w:val="1"/>
      <w:numFmt w:val="bullet"/>
      <w:lvlText w:val=""/>
      <w:lvlJc w:val="left"/>
      <w:pPr>
        <w:ind w:left="5040" w:hanging="360"/>
      </w:pPr>
      <w:rPr>
        <w:rFonts w:ascii="Symbol" w:hAnsi="Symbol" w:hint="default"/>
      </w:rPr>
    </w:lvl>
    <w:lvl w:ilvl="7" w:tplc="F9EA2542">
      <w:start w:val="1"/>
      <w:numFmt w:val="bullet"/>
      <w:lvlText w:val="o"/>
      <w:lvlJc w:val="left"/>
      <w:pPr>
        <w:ind w:left="5760" w:hanging="360"/>
      </w:pPr>
      <w:rPr>
        <w:rFonts w:ascii="Courier New" w:hAnsi="Courier New" w:cs="Courier New" w:hint="default"/>
      </w:rPr>
    </w:lvl>
    <w:lvl w:ilvl="8" w:tplc="C692636E">
      <w:start w:val="1"/>
      <w:numFmt w:val="bullet"/>
      <w:lvlText w:val=""/>
      <w:lvlJc w:val="left"/>
      <w:pPr>
        <w:ind w:left="6480" w:hanging="360"/>
      </w:pPr>
      <w:rPr>
        <w:rFonts w:ascii="Wingdings" w:hAnsi="Wingdings" w:hint="default"/>
      </w:rPr>
    </w:lvl>
  </w:abstractNum>
  <w:abstractNum w:abstractNumId="96" w15:restartNumberingAfterBreak="0">
    <w:nsid w:val="3D8D15A8"/>
    <w:multiLevelType w:val="multilevel"/>
    <w:tmpl w:val="C39CDA30"/>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Letter"/>
      <w:lvlText w:val="(%4)"/>
      <w:lvlJc w:val="left"/>
      <w:pPr>
        <w:tabs>
          <w:tab w:val="num" w:pos="1901"/>
        </w:tabs>
        <w:ind w:left="1512" w:hanging="331"/>
      </w:pPr>
      <w:rPr>
        <w:rFonts w:ascii="Times New Roman" w:eastAsia="Arial Narrow" w:hAnsi="Times New Roman" w:cstheme="minorHAnsi"/>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7" w15:restartNumberingAfterBreak="0">
    <w:nsid w:val="3DBF78F6"/>
    <w:multiLevelType w:val="hybridMultilevel"/>
    <w:tmpl w:val="A1C48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3257A1"/>
    <w:multiLevelType w:val="hybridMultilevel"/>
    <w:tmpl w:val="F07203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9" w15:restartNumberingAfterBreak="0">
    <w:nsid w:val="3EDE0D7E"/>
    <w:multiLevelType w:val="hybridMultilevel"/>
    <w:tmpl w:val="A1ACB796"/>
    <w:lvl w:ilvl="0" w:tplc="8874454A">
      <w:start w:val="2005"/>
      <w:numFmt w:val="bullet"/>
      <w:lvlText w:val="-"/>
      <w:lvlJc w:val="left"/>
      <w:pPr>
        <w:ind w:left="720" w:hanging="360"/>
      </w:pPr>
      <w:rPr>
        <w:rFonts w:ascii="Arial Narrow" w:eastAsia="Times New Roman" w:hAnsi="Arial Narrow" w:cs="Times New Roman" w:hint="default"/>
      </w:rPr>
    </w:lvl>
    <w:lvl w:ilvl="1" w:tplc="A16E9876">
      <w:start w:val="1"/>
      <w:numFmt w:val="bullet"/>
      <w:lvlText w:val="o"/>
      <w:lvlJc w:val="left"/>
      <w:pPr>
        <w:ind w:left="1440" w:hanging="360"/>
      </w:pPr>
      <w:rPr>
        <w:rFonts w:ascii="Courier New" w:hAnsi="Courier New" w:cs="Courier New" w:hint="default"/>
      </w:rPr>
    </w:lvl>
    <w:lvl w:ilvl="2" w:tplc="8E1081C4">
      <w:start w:val="1"/>
      <w:numFmt w:val="bullet"/>
      <w:lvlText w:val=""/>
      <w:lvlJc w:val="left"/>
      <w:pPr>
        <w:ind w:left="2160" w:hanging="360"/>
      </w:pPr>
      <w:rPr>
        <w:rFonts w:ascii="Wingdings" w:hAnsi="Wingdings" w:hint="default"/>
      </w:rPr>
    </w:lvl>
    <w:lvl w:ilvl="3" w:tplc="B0506BA4">
      <w:start w:val="1"/>
      <w:numFmt w:val="bullet"/>
      <w:lvlText w:val=""/>
      <w:lvlJc w:val="left"/>
      <w:pPr>
        <w:ind w:left="2880" w:hanging="360"/>
      </w:pPr>
      <w:rPr>
        <w:rFonts w:ascii="Symbol" w:hAnsi="Symbol" w:hint="default"/>
      </w:rPr>
    </w:lvl>
    <w:lvl w:ilvl="4" w:tplc="F5F8E2E2">
      <w:start w:val="1"/>
      <w:numFmt w:val="bullet"/>
      <w:lvlText w:val="o"/>
      <w:lvlJc w:val="left"/>
      <w:pPr>
        <w:ind w:left="3600" w:hanging="360"/>
      </w:pPr>
      <w:rPr>
        <w:rFonts w:ascii="Courier New" w:hAnsi="Courier New" w:cs="Courier New" w:hint="default"/>
      </w:rPr>
    </w:lvl>
    <w:lvl w:ilvl="5" w:tplc="9B6C14F0">
      <w:start w:val="1"/>
      <w:numFmt w:val="bullet"/>
      <w:lvlText w:val=""/>
      <w:lvlJc w:val="left"/>
      <w:pPr>
        <w:ind w:left="4320" w:hanging="360"/>
      </w:pPr>
      <w:rPr>
        <w:rFonts w:ascii="Wingdings" w:hAnsi="Wingdings" w:hint="default"/>
      </w:rPr>
    </w:lvl>
    <w:lvl w:ilvl="6" w:tplc="999A1A6A">
      <w:start w:val="1"/>
      <w:numFmt w:val="bullet"/>
      <w:lvlText w:val=""/>
      <w:lvlJc w:val="left"/>
      <w:pPr>
        <w:ind w:left="5040" w:hanging="360"/>
      </w:pPr>
      <w:rPr>
        <w:rFonts w:ascii="Symbol" w:hAnsi="Symbol" w:hint="default"/>
      </w:rPr>
    </w:lvl>
    <w:lvl w:ilvl="7" w:tplc="C568B912">
      <w:start w:val="1"/>
      <w:numFmt w:val="bullet"/>
      <w:lvlText w:val="o"/>
      <w:lvlJc w:val="left"/>
      <w:pPr>
        <w:ind w:left="5760" w:hanging="360"/>
      </w:pPr>
      <w:rPr>
        <w:rFonts w:ascii="Courier New" w:hAnsi="Courier New" w:cs="Courier New" w:hint="default"/>
      </w:rPr>
    </w:lvl>
    <w:lvl w:ilvl="8" w:tplc="6FFA2780">
      <w:start w:val="1"/>
      <w:numFmt w:val="bullet"/>
      <w:lvlText w:val=""/>
      <w:lvlJc w:val="left"/>
      <w:pPr>
        <w:ind w:left="6480" w:hanging="360"/>
      </w:pPr>
      <w:rPr>
        <w:rFonts w:ascii="Wingdings" w:hAnsi="Wingdings" w:hint="default"/>
      </w:rPr>
    </w:lvl>
  </w:abstractNum>
  <w:abstractNum w:abstractNumId="100" w15:restartNumberingAfterBreak="0">
    <w:nsid w:val="3F377549"/>
    <w:multiLevelType w:val="hybridMultilevel"/>
    <w:tmpl w:val="817E3D00"/>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0B5177D"/>
    <w:multiLevelType w:val="hybridMultilevel"/>
    <w:tmpl w:val="B014A372"/>
    <w:lvl w:ilvl="0" w:tplc="E04071C4">
      <w:start w:val="1"/>
      <w:numFmt w:val="lowerRoman"/>
      <w:lvlText w:val="(%1)"/>
      <w:lvlJc w:val="left"/>
      <w:pPr>
        <w:ind w:left="1440" w:hanging="360"/>
      </w:pPr>
      <w:rPr>
        <w:rFonts w:hint="default"/>
        <w:b w:val="0"/>
        <w:i w:val="0"/>
      </w:rPr>
    </w:lvl>
    <w:lvl w:ilvl="1" w:tplc="D88AB0C6">
      <w:start w:val="1"/>
      <w:numFmt w:val="lowerLetter"/>
      <w:lvlText w:val="%2."/>
      <w:lvlJc w:val="left"/>
      <w:pPr>
        <w:ind w:left="2160" w:hanging="360"/>
      </w:pPr>
    </w:lvl>
    <w:lvl w:ilvl="2" w:tplc="4CE45B30">
      <w:start w:val="1"/>
      <w:numFmt w:val="lowerRoman"/>
      <w:lvlText w:val="%3."/>
      <w:lvlJc w:val="right"/>
      <w:pPr>
        <w:ind w:left="2880" w:hanging="180"/>
      </w:pPr>
    </w:lvl>
    <w:lvl w:ilvl="3" w:tplc="C27ED696">
      <w:start w:val="1"/>
      <w:numFmt w:val="decimal"/>
      <w:lvlText w:val="%4."/>
      <w:lvlJc w:val="left"/>
      <w:pPr>
        <w:ind w:left="3600" w:hanging="360"/>
      </w:pPr>
    </w:lvl>
    <w:lvl w:ilvl="4" w:tplc="C9EE49A0">
      <w:start w:val="1"/>
      <w:numFmt w:val="lowerLetter"/>
      <w:lvlText w:val="%5."/>
      <w:lvlJc w:val="left"/>
      <w:pPr>
        <w:ind w:left="4320" w:hanging="360"/>
      </w:pPr>
    </w:lvl>
    <w:lvl w:ilvl="5" w:tplc="EED4D276">
      <w:start w:val="1"/>
      <w:numFmt w:val="lowerRoman"/>
      <w:lvlText w:val="%6."/>
      <w:lvlJc w:val="right"/>
      <w:pPr>
        <w:ind w:left="5040" w:hanging="180"/>
      </w:pPr>
    </w:lvl>
    <w:lvl w:ilvl="6" w:tplc="B7DE3968">
      <w:start w:val="1"/>
      <w:numFmt w:val="decimal"/>
      <w:lvlText w:val="%7."/>
      <w:lvlJc w:val="left"/>
      <w:pPr>
        <w:ind w:left="5760" w:hanging="360"/>
      </w:pPr>
    </w:lvl>
    <w:lvl w:ilvl="7" w:tplc="9222CA02">
      <w:start w:val="1"/>
      <w:numFmt w:val="lowerLetter"/>
      <w:lvlText w:val="%8."/>
      <w:lvlJc w:val="left"/>
      <w:pPr>
        <w:ind w:left="6480" w:hanging="360"/>
      </w:pPr>
    </w:lvl>
    <w:lvl w:ilvl="8" w:tplc="5C8E1F96">
      <w:start w:val="1"/>
      <w:numFmt w:val="lowerRoman"/>
      <w:lvlText w:val="%9."/>
      <w:lvlJc w:val="right"/>
      <w:pPr>
        <w:ind w:left="7200" w:hanging="180"/>
      </w:pPr>
    </w:lvl>
  </w:abstractNum>
  <w:abstractNum w:abstractNumId="102" w15:restartNumberingAfterBreak="0">
    <w:nsid w:val="41192C45"/>
    <w:multiLevelType w:val="hybridMultilevel"/>
    <w:tmpl w:val="278ECB86"/>
    <w:lvl w:ilvl="0" w:tplc="73E6C254">
      <w:start w:val="1"/>
      <w:numFmt w:val="bullet"/>
      <w:lvlText w:val="-"/>
      <w:lvlJc w:val="left"/>
      <w:pPr>
        <w:ind w:left="720" w:hanging="360"/>
      </w:pPr>
      <w:rPr>
        <w:rFonts w:ascii="Times New Roman" w:eastAsia="Times New Roman" w:hAnsi="Times New Roman" w:cs="Times New Roman" w:hint="default"/>
      </w:rPr>
    </w:lvl>
    <w:lvl w:ilvl="1" w:tplc="AA0C26B4">
      <w:start w:val="1"/>
      <w:numFmt w:val="bullet"/>
      <w:lvlText w:val="o"/>
      <w:lvlJc w:val="left"/>
      <w:pPr>
        <w:ind w:left="1440" w:hanging="360"/>
      </w:pPr>
      <w:rPr>
        <w:rFonts w:ascii="Courier New" w:hAnsi="Courier New" w:cs="Courier New" w:hint="default"/>
      </w:rPr>
    </w:lvl>
    <w:lvl w:ilvl="2" w:tplc="4CEC778E">
      <w:start w:val="1"/>
      <w:numFmt w:val="bullet"/>
      <w:lvlText w:val=""/>
      <w:lvlJc w:val="left"/>
      <w:pPr>
        <w:ind w:left="2160" w:hanging="360"/>
      </w:pPr>
      <w:rPr>
        <w:rFonts w:ascii="Wingdings" w:hAnsi="Wingdings" w:hint="default"/>
      </w:rPr>
    </w:lvl>
    <w:lvl w:ilvl="3" w:tplc="000AE55A">
      <w:start w:val="1"/>
      <w:numFmt w:val="bullet"/>
      <w:lvlText w:val=""/>
      <w:lvlJc w:val="left"/>
      <w:pPr>
        <w:ind w:left="2880" w:hanging="360"/>
      </w:pPr>
      <w:rPr>
        <w:rFonts w:ascii="Symbol" w:hAnsi="Symbol" w:hint="default"/>
      </w:rPr>
    </w:lvl>
    <w:lvl w:ilvl="4" w:tplc="28F2579E">
      <w:start w:val="1"/>
      <w:numFmt w:val="bullet"/>
      <w:lvlText w:val="o"/>
      <w:lvlJc w:val="left"/>
      <w:pPr>
        <w:ind w:left="3600" w:hanging="360"/>
      </w:pPr>
      <w:rPr>
        <w:rFonts w:ascii="Courier New" w:hAnsi="Courier New" w:cs="Courier New" w:hint="default"/>
      </w:rPr>
    </w:lvl>
    <w:lvl w:ilvl="5" w:tplc="AB267098">
      <w:start w:val="1"/>
      <w:numFmt w:val="bullet"/>
      <w:lvlText w:val=""/>
      <w:lvlJc w:val="left"/>
      <w:pPr>
        <w:ind w:left="4320" w:hanging="360"/>
      </w:pPr>
      <w:rPr>
        <w:rFonts w:ascii="Wingdings" w:hAnsi="Wingdings" w:hint="default"/>
      </w:rPr>
    </w:lvl>
    <w:lvl w:ilvl="6" w:tplc="10D4E6B4">
      <w:start w:val="1"/>
      <w:numFmt w:val="bullet"/>
      <w:lvlText w:val=""/>
      <w:lvlJc w:val="left"/>
      <w:pPr>
        <w:ind w:left="5040" w:hanging="360"/>
      </w:pPr>
      <w:rPr>
        <w:rFonts w:ascii="Symbol" w:hAnsi="Symbol" w:hint="default"/>
      </w:rPr>
    </w:lvl>
    <w:lvl w:ilvl="7" w:tplc="4C8E5F1E">
      <w:start w:val="1"/>
      <w:numFmt w:val="bullet"/>
      <w:lvlText w:val="o"/>
      <w:lvlJc w:val="left"/>
      <w:pPr>
        <w:ind w:left="5760" w:hanging="360"/>
      </w:pPr>
      <w:rPr>
        <w:rFonts w:ascii="Courier New" w:hAnsi="Courier New" w:cs="Courier New" w:hint="default"/>
      </w:rPr>
    </w:lvl>
    <w:lvl w:ilvl="8" w:tplc="97EA717E">
      <w:start w:val="1"/>
      <w:numFmt w:val="bullet"/>
      <w:lvlText w:val=""/>
      <w:lvlJc w:val="left"/>
      <w:pPr>
        <w:ind w:left="6480" w:hanging="360"/>
      </w:pPr>
      <w:rPr>
        <w:rFonts w:ascii="Wingdings" w:hAnsi="Wingdings" w:hint="default"/>
      </w:rPr>
    </w:lvl>
  </w:abstractNum>
  <w:abstractNum w:abstractNumId="103" w15:restartNumberingAfterBreak="0">
    <w:nsid w:val="42087CED"/>
    <w:multiLevelType w:val="hybridMultilevel"/>
    <w:tmpl w:val="D5BAF34E"/>
    <w:lvl w:ilvl="0" w:tplc="A82AD9D4">
      <w:start w:val="1"/>
      <w:numFmt w:val="bullet"/>
      <w:lvlText w:val="-"/>
      <w:lvlJc w:val="left"/>
      <w:pPr>
        <w:ind w:left="720" w:hanging="360"/>
      </w:pPr>
      <w:rPr>
        <w:rFonts w:ascii="Times New Roman" w:eastAsia="Times New Roman" w:hAnsi="Times New Roman" w:cs="Times New Roman" w:hint="default"/>
      </w:rPr>
    </w:lvl>
    <w:lvl w:ilvl="1" w:tplc="4E1E59C2">
      <w:start w:val="1"/>
      <w:numFmt w:val="bullet"/>
      <w:lvlText w:val="o"/>
      <w:lvlJc w:val="left"/>
      <w:pPr>
        <w:ind w:left="1440" w:hanging="360"/>
      </w:pPr>
      <w:rPr>
        <w:rFonts w:ascii="Courier New" w:hAnsi="Courier New" w:cs="Courier New" w:hint="default"/>
      </w:rPr>
    </w:lvl>
    <w:lvl w:ilvl="2" w:tplc="CCB2620A">
      <w:start w:val="1"/>
      <w:numFmt w:val="bullet"/>
      <w:lvlText w:val=""/>
      <w:lvlJc w:val="left"/>
      <w:pPr>
        <w:ind w:left="2160" w:hanging="360"/>
      </w:pPr>
      <w:rPr>
        <w:rFonts w:ascii="Wingdings" w:hAnsi="Wingdings" w:hint="default"/>
      </w:rPr>
    </w:lvl>
    <w:lvl w:ilvl="3" w:tplc="9E8259F0">
      <w:start w:val="1"/>
      <w:numFmt w:val="bullet"/>
      <w:lvlText w:val=""/>
      <w:lvlJc w:val="left"/>
      <w:pPr>
        <w:ind w:left="2880" w:hanging="360"/>
      </w:pPr>
      <w:rPr>
        <w:rFonts w:ascii="Symbol" w:hAnsi="Symbol" w:hint="default"/>
      </w:rPr>
    </w:lvl>
    <w:lvl w:ilvl="4" w:tplc="BE044380">
      <w:start w:val="1"/>
      <w:numFmt w:val="bullet"/>
      <w:lvlText w:val="o"/>
      <w:lvlJc w:val="left"/>
      <w:pPr>
        <w:ind w:left="3600" w:hanging="360"/>
      </w:pPr>
      <w:rPr>
        <w:rFonts w:ascii="Courier New" w:hAnsi="Courier New" w:cs="Courier New" w:hint="default"/>
      </w:rPr>
    </w:lvl>
    <w:lvl w:ilvl="5" w:tplc="E4484886">
      <w:start w:val="1"/>
      <w:numFmt w:val="bullet"/>
      <w:lvlText w:val=""/>
      <w:lvlJc w:val="left"/>
      <w:pPr>
        <w:ind w:left="4320" w:hanging="360"/>
      </w:pPr>
      <w:rPr>
        <w:rFonts w:ascii="Wingdings" w:hAnsi="Wingdings" w:hint="default"/>
      </w:rPr>
    </w:lvl>
    <w:lvl w:ilvl="6" w:tplc="C84C88D4">
      <w:start w:val="1"/>
      <w:numFmt w:val="bullet"/>
      <w:lvlText w:val=""/>
      <w:lvlJc w:val="left"/>
      <w:pPr>
        <w:ind w:left="5040" w:hanging="360"/>
      </w:pPr>
      <w:rPr>
        <w:rFonts w:ascii="Symbol" w:hAnsi="Symbol" w:hint="default"/>
      </w:rPr>
    </w:lvl>
    <w:lvl w:ilvl="7" w:tplc="C46864AC">
      <w:start w:val="1"/>
      <w:numFmt w:val="bullet"/>
      <w:lvlText w:val="o"/>
      <w:lvlJc w:val="left"/>
      <w:pPr>
        <w:ind w:left="5760" w:hanging="360"/>
      </w:pPr>
      <w:rPr>
        <w:rFonts w:ascii="Courier New" w:hAnsi="Courier New" w:cs="Courier New" w:hint="default"/>
      </w:rPr>
    </w:lvl>
    <w:lvl w:ilvl="8" w:tplc="B276C63C">
      <w:start w:val="1"/>
      <w:numFmt w:val="bullet"/>
      <w:lvlText w:val=""/>
      <w:lvlJc w:val="left"/>
      <w:pPr>
        <w:ind w:left="6480" w:hanging="360"/>
      </w:pPr>
      <w:rPr>
        <w:rFonts w:ascii="Wingdings" w:hAnsi="Wingdings" w:hint="default"/>
      </w:rPr>
    </w:lvl>
  </w:abstractNum>
  <w:abstractNum w:abstractNumId="104" w15:restartNumberingAfterBreak="0">
    <w:nsid w:val="424756C0"/>
    <w:multiLevelType w:val="hybridMultilevel"/>
    <w:tmpl w:val="7EE81A6A"/>
    <w:lvl w:ilvl="0" w:tplc="CD2A8044">
      <w:start w:val="1"/>
      <w:numFmt w:val="bullet"/>
      <w:lvlText w:val="•"/>
      <w:lvlJc w:val="left"/>
      <w:pPr>
        <w:ind w:left="720" w:hanging="360"/>
      </w:pPr>
      <w:rPr>
        <w:rFonts w:ascii="Calibri Light" w:eastAsia="Times New Roman" w:hAnsi="Calibri Light" w:cs="Times New Roman" w:hint="default"/>
      </w:rPr>
    </w:lvl>
    <w:lvl w:ilvl="1" w:tplc="57AE4546">
      <w:start w:val="1"/>
      <w:numFmt w:val="bullet"/>
      <w:lvlText w:val="o"/>
      <w:lvlJc w:val="left"/>
      <w:pPr>
        <w:ind w:left="1440" w:hanging="360"/>
      </w:pPr>
      <w:rPr>
        <w:rFonts w:ascii="Courier New" w:hAnsi="Courier New" w:cs="Courier New" w:hint="default"/>
      </w:rPr>
    </w:lvl>
    <w:lvl w:ilvl="2" w:tplc="F4923DE2">
      <w:start w:val="1"/>
      <w:numFmt w:val="bullet"/>
      <w:lvlText w:val=""/>
      <w:lvlJc w:val="left"/>
      <w:pPr>
        <w:ind w:left="2160" w:hanging="360"/>
      </w:pPr>
      <w:rPr>
        <w:rFonts w:ascii="Wingdings" w:hAnsi="Wingdings" w:hint="default"/>
      </w:rPr>
    </w:lvl>
    <w:lvl w:ilvl="3" w:tplc="6F2ECA6C">
      <w:start w:val="1"/>
      <w:numFmt w:val="bullet"/>
      <w:lvlText w:val=""/>
      <w:lvlJc w:val="left"/>
      <w:pPr>
        <w:ind w:left="2880" w:hanging="360"/>
      </w:pPr>
      <w:rPr>
        <w:rFonts w:ascii="Symbol" w:hAnsi="Symbol" w:hint="default"/>
      </w:rPr>
    </w:lvl>
    <w:lvl w:ilvl="4" w:tplc="1AC413C6">
      <w:start w:val="1"/>
      <w:numFmt w:val="bullet"/>
      <w:lvlText w:val="o"/>
      <w:lvlJc w:val="left"/>
      <w:pPr>
        <w:ind w:left="3600" w:hanging="360"/>
      </w:pPr>
      <w:rPr>
        <w:rFonts w:ascii="Courier New" w:hAnsi="Courier New" w:cs="Courier New" w:hint="default"/>
      </w:rPr>
    </w:lvl>
    <w:lvl w:ilvl="5" w:tplc="1040BFA8">
      <w:start w:val="1"/>
      <w:numFmt w:val="bullet"/>
      <w:lvlText w:val=""/>
      <w:lvlJc w:val="left"/>
      <w:pPr>
        <w:ind w:left="4320" w:hanging="360"/>
      </w:pPr>
      <w:rPr>
        <w:rFonts w:ascii="Wingdings" w:hAnsi="Wingdings" w:hint="default"/>
      </w:rPr>
    </w:lvl>
    <w:lvl w:ilvl="6" w:tplc="0C8C9170">
      <w:start w:val="1"/>
      <w:numFmt w:val="bullet"/>
      <w:lvlText w:val=""/>
      <w:lvlJc w:val="left"/>
      <w:pPr>
        <w:ind w:left="5040" w:hanging="360"/>
      </w:pPr>
      <w:rPr>
        <w:rFonts w:ascii="Symbol" w:hAnsi="Symbol" w:hint="default"/>
      </w:rPr>
    </w:lvl>
    <w:lvl w:ilvl="7" w:tplc="016E274E">
      <w:start w:val="1"/>
      <w:numFmt w:val="bullet"/>
      <w:lvlText w:val="o"/>
      <w:lvlJc w:val="left"/>
      <w:pPr>
        <w:ind w:left="5760" w:hanging="360"/>
      </w:pPr>
      <w:rPr>
        <w:rFonts w:ascii="Courier New" w:hAnsi="Courier New" w:cs="Courier New" w:hint="default"/>
      </w:rPr>
    </w:lvl>
    <w:lvl w:ilvl="8" w:tplc="347CD096">
      <w:start w:val="1"/>
      <w:numFmt w:val="bullet"/>
      <w:lvlText w:val=""/>
      <w:lvlJc w:val="left"/>
      <w:pPr>
        <w:ind w:left="6480" w:hanging="360"/>
      </w:pPr>
      <w:rPr>
        <w:rFonts w:ascii="Wingdings" w:hAnsi="Wingdings" w:hint="default"/>
      </w:rPr>
    </w:lvl>
  </w:abstractNum>
  <w:abstractNum w:abstractNumId="105" w15:restartNumberingAfterBreak="0">
    <w:nsid w:val="42C00D4E"/>
    <w:multiLevelType w:val="hybridMultilevel"/>
    <w:tmpl w:val="65003C68"/>
    <w:lvl w:ilvl="0" w:tplc="50CC1788">
      <w:numFmt w:val="bullet"/>
      <w:lvlText w:val="•"/>
      <w:lvlJc w:val="left"/>
      <w:pPr>
        <w:ind w:left="1080" w:hanging="72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6" w15:restartNumberingAfterBreak="0">
    <w:nsid w:val="43F42654"/>
    <w:multiLevelType w:val="hybridMultilevel"/>
    <w:tmpl w:val="4484C8D0"/>
    <w:lvl w:ilvl="0" w:tplc="891ED3DA">
      <w:start w:val="1"/>
      <w:numFmt w:val="bullet"/>
      <w:lvlText w:val="•"/>
      <w:lvlJc w:val="left"/>
      <w:pPr>
        <w:ind w:left="1440" w:hanging="360"/>
      </w:pPr>
      <w:rPr>
        <w:rFonts w:ascii="Calibri Light" w:eastAsia="Times New Roman" w:hAnsi="Calibri Light" w:cs="Times New Roman" w:hint="default"/>
      </w:rPr>
    </w:lvl>
    <w:lvl w:ilvl="1" w:tplc="016E1F9E">
      <w:start w:val="1"/>
      <w:numFmt w:val="bullet"/>
      <w:lvlText w:val="o"/>
      <w:lvlJc w:val="left"/>
      <w:pPr>
        <w:ind w:left="2160" w:hanging="360"/>
      </w:pPr>
      <w:rPr>
        <w:rFonts w:ascii="Courier New" w:hAnsi="Courier New" w:cs="Courier New" w:hint="default"/>
      </w:rPr>
    </w:lvl>
    <w:lvl w:ilvl="2" w:tplc="3E22F6C0">
      <w:start w:val="1"/>
      <w:numFmt w:val="bullet"/>
      <w:lvlText w:val=""/>
      <w:lvlJc w:val="left"/>
      <w:pPr>
        <w:ind w:left="2880" w:hanging="360"/>
      </w:pPr>
      <w:rPr>
        <w:rFonts w:ascii="Wingdings" w:hAnsi="Wingdings" w:hint="default"/>
      </w:rPr>
    </w:lvl>
    <w:lvl w:ilvl="3" w:tplc="B02E7370">
      <w:start w:val="1"/>
      <w:numFmt w:val="bullet"/>
      <w:lvlText w:val=""/>
      <w:lvlJc w:val="left"/>
      <w:pPr>
        <w:ind w:left="3600" w:hanging="360"/>
      </w:pPr>
      <w:rPr>
        <w:rFonts w:ascii="Symbol" w:hAnsi="Symbol" w:hint="default"/>
      </w:rPr>
    </w:lvl>
    <w:lvl w:ilvl="4" w:tplc="21BED3A2">
      <w:start w:val="1"/>
      <w:numFmt w:val="bullet"/>
      <w:lvlText w:val="o"/>
      <w:lvlJc w:val="left"/>
      <w:pPr>
        <w:ind w:left="4320" w:hanging="360"/>
      </w:pPr>
      <w:rPr>
        <w:rFonts w:ascii="Courier New" w:hAnsi="Courier New" w:cs="Courier New" w:hint="default"/>
      </w:rPr>
    </w:lvl>
    <w:lvl w:ilvl="5" w:tplc="67C8E4D4">
      <w:start w:val="1"/>
      <w:numFmt w:val="bullet"/>
      <w:lvlText w:val=""/>
      <w:lvlJc w:val="left"/>
      <w:pPr>
        <w:ind w:left="5040" w:hanging="360"/>
      </w:pPr>
      <w:rPr>
        <w:rFonts w:ascii="Wingdings" w:hAnsi="Wingdings" w:hint="default"/>
      </w:rPr>
    </w:lvl>
    <w:lvl w:ilvl="6" w:tplc="5220F7F8">
      <w:start w:val="1"/>
      <w:numFmt w:val="bullet"/>
      <w:lvlText w:val=""/>
      <w:lvlJc w:val="left"/>
      <w:pPr>
        <w:ind w:left="5760" w:hanging="360"/>
      </w:pPr>
      <w:rPr>
        <w:rFonts w:ascii="Symbol" w:hAnsi="Symbol" w:hint="default"/>
      </w:rPr>
    </w:lvl>
    <w:lvl w:ilvl="7" w:tplc="6A0839DC">
      <w:start w:val="1"/>
      <w:numFmt w:val="bullet"/>
      <w:lvlText w:val="o"/>
      <w:lvlJc w:val="left"/>
      <w:pPr>
        <w:ind w:left="6480" w:hanging="360"/>
      </w:pPr>
      <w:rPr>
        <w:rFonts w:ascii="Courier New" w:hAnsi="Courier New" w:cs="Courier New" w:hint="default"/>
      </w:rPr>
    </w:lvl>
    <w:lvl w:ilvl="8" w:tplc="2B9676B2">
      <w:start w:val="1"/>
      <w:numFmt w:val="bullet"/>
      <w:lvlText w:val=""/>
      <w:lvlJc w:val="left"/>
      <w:pPr>
        <w:ind w:left="7200" w:hanging="360"/>
      </w:pPr>
      <w:rPr>
        <w:rFonts w:ascii="Wingdings" w:hAnsi="Wingdings" w:hint="default"/>
      </w:rPr>
    </w:lvl>
  </w:abstractNum>
  <w:abstractNum w:abstractNumId="107" w15:restartNumberingAfterBreak="0">
    <w:nsid w:val="447E656D"/>
    <w:multiLevelType w:val="multilevel"/>
    <w:tmpl w:val="FDEC0A32"/>
    <w:lvl w:ilvl="0">
      <w:start w:val="6"/>
      <w:numFmt w:val="decimal"/>
      <w:lvlText w:val="%1"/>
      <w:lvlJc w:val="left"/>
      <w:pPr>
        <w:tabs>
          <w:tab w:val="num" w:pos="600"/>
        </w:tabs>
        <w:ind w:left="600" w:hanging="600"/>
      </w:pPr>
      <w:rPr>
        <w:rFonts w:hint="default"/>
      </w:rPr>
    </w:lvl>
    <w:lvl w:ilvl="1">
      <w:start w:val="1"/>
      <w:numFmt w:val="decimal"/>
      <w:lvlText w:val="6.%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8" w15:restartNumberingAfterBreak="0">
    <w:nsid w:val="455470CE"/>
    <w:multiLevelType w:val="hybridMultilevel"/>
    <w:tmpl w:val="BECE5C08"/>
    <w:lvl w:ilvl="0" w:tplc="191A8404">
      <w:start w:val="1"/>
      <w:numFmt w:val="lowerLetter"/>
      <w:pStyle w:val="DefaultParagraphFont1"/>
      <w:lvlText w:val="(%1)"/>
      <w:lvlJc w:val="left"/>
      <w:pPr>
        <w:tabs>
          <w:tab w:val="num" w:pos="3987"/>
        </w:tabs>
        <w:ind w:left="3987" w:hanging="567"/>
      </w:pPr>
      <w:rPr>
        <w:rFonts w:ascii="Times New Roman" w:hAnsi="Times New Roman" w:cs="Times New Roman" w:hint="default"/>
        <w:b w:val="0"/>
        <w:i w:val="0"/>
        <w:color w:val="auto"/>
        <w:sz w:val="24"/>
        <w:szCs w:val="22"/>
        <w:u w:val="none"/>
      </w:rPr>
    </w:lvl>
    <w:lvl w:ilvl="1" w:tplc="F06C20EC">
      <w:start w:val="1"/>
      <w:numFmt w:val="lowerLetter"/>
      <w:lvlText w:val="%2."/>
      <w:lvlJc w:val="left"/>
      <w:pPr>
        <w:tabs>
          <w:tab w:val="num" w:pos="2592"/>
        </w:tabs>
        <w:ind w:left="2592" w:hanging="360"/>
      </w:pPr>
    </w:lvl>
    <w:lvl w:ilvl="2" w:tplc="56DE02EA">
      <w:start w:val="1"/>
      <w:numFmt w:val="lowerRoman"/>
      <w:lvlText w:val="%3."/>
      <w:lvlJc w:val="right"/>
      <w:pPr>
        <w:tabs>
          <w:tab w:val="num" w:pos="3312"/>
        </w:tabs>
        <w:ind w:left="3312" w:hanging="180"/>
      </w:pPr>
    </w:lvl>
    <w:lvl w:ilvl="3" w:tplc="2DB83DA0">
      <w:start w:val="1"/>
      <w:numFmt w:val="decimal"/>
      <w:lvlText w:val="%4."/>
      <w:lvlJc w:val="left"/>
      <w:pPr>
        <w:tabs>
          <w:tab w:val="num" w:pos="4032"/>
        </w:tabs>
        <w:ind w:left="4032" w:hanging="360"/>
      </w:pPr>
    </w:lvl>
    <w:lvl w:ilvl="4" w:tplc="70C4A92C">
      <w:start w:val="1"/>
      <w:numFmt w:val="lowerLetter"/>
      <w:lvlText w:val="%5."/>
      <w:lvlJc w:val="left"/>
      <w:pPr>
        <w:tabs>
          <w:tab w:val="num" w:pos="4752"/>
        </w:tabs>
        <w:ind w:left="4752" w:hanging="360"/>
      </w:pPr>
    </w:lvl>
    <w:lvl w:ilvl="5" w:tplc="6CFED6B6">
      <w:start w:val="1"/>
      <w:numFmt w:val="lowerRoman"/>
      <w:lvlText w:val="%6."/>
      <w:lvlJc w:val="right"/>
      <w:pPr>
        <w:tabs>
          <w:tab w:val="num" w:pos="5472"/>
        </w:tabs>
        <w:ind w:left="5472" w:hanging="180"/>
      </w:pPr>
    </w:lvl>
    <w:lvl w:ilvl="6" w:tplc="9B22EF04">
      <w:start w:val="1"/>
      <w:numFmt w:val="decimal"/>
      <w:lvlText w:val="%7."/>
      <w:lvlJc w:val="left"/>
      <w:pPr>
        <w:tabs>
          <w:tab w:val="num" w:pos="6192"/>
        </w:tabs>
        <w:ind w:left="6192" w:hanging="360"/>
      </w:pPr>
    </w:lvl>
    <w:lvl w:ilvl="7" w:tplc="FD289EC8">
      <w:start w:val="1"/>
      <w:numFmt w:val="lowerLetter"/>
      <w:lvlText w:val="%8."/>
      <w:lvlJc w:val="left"/>
      <w:pPr>
        <w:tabs>
          <w:tab w:val="num" w:pos="6912"/>
        </w:tabs>
        <w:ind w:left="6912" w:hanging="360"/>
      </w:pPr>
    </w:lvl>
    <w:lvl w:ilvl="8" w:tplc="052E1E1A">
      <w:start w:val="1"/>
      <w:numFmt w:val="lowerRoman"/>
      <w:lvlText w:val="%9."/>
      <w:lvlJc w:val="right"/>
      <w:pPr>
        <w:tabs>
          <w:tab w:val="num" w:pos="7632"/>
        </w:tabs>
        <w:ind w:left="7632" w:hanging="180"/>
      </w:pPr>
    </w:lvl>
  </w:abstractNum>
  <w:abstractNum w:abstractNumId="109" w15:restartNumberingAfterBreak="0">
    <w:nsid w:val="46417655"/>
    <w:multiLevelType w:val="hybridMultilevel"/>
    <w:tmpl w:val="B5029230"/>
    <w:lvl w:ilvl="0" w:tplc="B3380D06">
      <w:start w:val="1"/>
      <w:numFmt w:val="decimal"/>
      <w:lvlText w:val="2.%1"/>
      <w:lvlJc w:val="left"/>
      <w:pPr>
        <w:ind w:left="360" w:hanging="360"/>
      </w:pPr>
      <w:rPr>
        <w:rFonts w:hint="default"/>
        <w:sz w:val="22"/>
        <w:szCs w:val="22"/>
      </w:rPr>
    </w:lvl>
    <w:lvl w:ilvl="1" w:tplc="F20EC034">
      <w:start w:val="1"/>
      <w:numFmt w:val="lowerLetter"/>
      <w:lvlText w:val="%2."/>
      <w:lvlJc w:val="left"/>
      <w:pPr>
        <w:ind w:left="1080" w:hanging="360"/>
      </w:pPr>
    </w:lvl>
    <w:lvl w:ilvl="2" w:tplc="16227666">
      <w:start w:val="1"/>
      <w:numFmt w:val="lowerRoman"/>
      <w:lvlText w:val="%3."/>
      <w:lvlJc w:val="right"/>
      <w:pPr>
        <w:ind w:left="1800" w:hanging="180"/>
      </w:pPr>
    </w:lvl>
    <w:lvl w:ilvl="3" w:tplc="986606A8">
      <w:start w:val="1"/>
      <w:numFmt w:val="decimal"/>
      <w:lvlText w:val="%4."/>
      <w:lvlJc w:val="left"/>
      <w:pPr>
        <w:ind w:left="2520" w:hanging="360"/>
      </w:pPr>
    </w:lvl>
    <w:lvl w:ilvl="4" w:tplc="AC20FC78">
      <w:start w:val="1"/>
      <w:numFmt w:val="lowerLetter"/>
      <w:lvlText w:val="%5."/>
      <w:lvlJc w:val="left"/>
      <w:pPr>
        <w:ind w:left="3240" w:hanging="360"/>
      </w:pPr>
    </w:lvl>
    <w:lvl w:ilvl="5" w:tplc="53205A24">
      <w:start w:val="1"/>
      <w:numFmt w:val="lowerRoman"/>
      <w:lvlText w:val="%6."/>
      <w:lvlJc w:val="right"/>
      <w:pPr>
        <w:ind w:left="3960" w:hanging="180"/>
      </w:pPr>
    </w:lvl>
    <w:lvl w:ilvl="6" w:tplc="AE20ABB0">
      <w:start w:val="1"/>
      <w:numFmt w:val="decimal"/>
      <w:lvlText w:val="%7."/>
      <w:lvlJc w:val="left"/>
      <w:pPr>
        <w:ind w:left="4680" w:hanging="360"/>
      </w:pPr>
    </w:lvl>
    <w:lvl w:ilvl="7" w:tplc="EED4C69A">
      <w:start w:val="1"/>
      <w:numFmt w:val="lowerLetter"/>
      <w:lvlText w:val="%8."/>
      <w:lvlJc w:val="left"/>
      <w:pPr>
        <w:ind w:left="5400" w:hanging="360"/>
      </w:pPr>
    </w:lvl>
    <w:lvl w:ilvl="8" w:tplc="7B5CE8AE">
      <w:start w:val="1"/>
      <w:numFmt w:val="lowerRoman"/>
      <w:lvlText w:val="%9."/>
      <w:lvlJc w:val="right"/>
      <w:pPr>
        <w:ind w:left="6120" w:hanging="180"/>
      </w:pPr>
    </w:lvl>
  </w:abstractNum>
  <w:abstractNum w:abstractNumId="110" w15:restartNumberingAfterBreak="0">
    <w:nsid w:val="465A3902"/>
    <w:multiLevelType w:val="hybridMultilevel"/>
    <w:tmpl w:val="5FC6C630"/>
    <w:lvl w:ilvl="0" w:tplc="B4222612">
      <w:start w:val="1"/>
      <w:numFmt w:val="lowerLetter"/>
      <w:lvlText w:val="(%1)"/>
      <w:lvlJc w:val="left"/>
      <w:pPr>
        <w:ind w:left="720" w:hanging="360"/>
      </w:pPr>
      <w:rPr>
        <w:rFonts w:ascii="Times New Roman" w:hAnsi="Times New Roman" w:cs="Times New Roman" w:hint="default"/>
        <w:b w:val="0"/>
        <w:i w:val="0"/>
        <w:color w:val="auto"/>
        <w:sz w:val="22"/>
        <w:szCs w:val="22"/>
        <w:u w:val="none"/>
      </w:rPr>
    </w:lvl>
    <w:lvl w:ilvl="1" w:tplc="F2E857A4">
      <w:start w:val="1"/>
      <w:numFmt w:val="lowerLetter"/>
      <w:lvlText w:val="%2."/>
      <w:lvlJc w:val="left"/>
      <w:pPr>
        <w:ind w:left="1440" w:hanging="360"/>
      </w:pPr>
    </w:lvl>
    <w:lvl w:ilvl="2" w:tplc="90300636">
      <w:start w:val="1"/>
      <w:numFmt w:val="lowerRoman"/>
      <w:lvlText w:val="%3."/>
      <w:lvlJc w:val="right"/>
      <w:pPr>
        <w:ind w:left="2160" w:hanging="180"/>
      </w:pPr>
    </w:lvl>
    <w:lvl w:ilvl="3" w:tplc="90D270B6">
      <w:start w:val="1"/>
      <w:numFmt w:val="decimal"/>
      <w:lvlText w:val="%4."/>
      <w:lvlJc w:val="left"/>
      <w:pPr>
        <w:ind w:left="2880" w:hanging="360"/>
      </w:pPr>
    </w:lvl>
    <w:lvl w:ilvl="4" w:tplc="95EA9E9E">
      <w:start w:val="1"/>
      <w:numFmt w:val="lowerLetter"/>
      <w:lvlText w:val="%5."/>
      <w:lvlJc w:val="left"/>
      <w:pPr>
        <w:ind w:left="3600" w:hanging="360"/>
      </w:pPr>
    </w:lvl>
    <w:lvl w:ilvl="5" w:tplc="97D2EF8A">
      <w:start w:val="1"/>
      <w:numFmt w:val="lowerRoman"/>
      <w:lvlText w:val="%6."/>
      <w:lvlJc w:val="right"/>
      <w:pPr>
        <w:ind w:left="4320" w:hanging="180"/>
      </w:pPr>
    </w:lvl>
    <w:lvl w:ilvl="6" w:tplc="30F81BCE">
      <w:start w:val="1"/>
      <w:numFmt w:val="decimal"/>
      <w:lvlText w:val="%7."/>
      <w:lvlJc w:val="left"/>
      <w:pPr>
        <w:ind w:left="5040" w:hanging="360"/>
      </w:pPr>
    </w:lvl>
    <w:lvl w:ilvl="7" w:tplc="10527102">
      <w:start w:val="1"/>
      <w:numFmt w:val="lowerLetter"/>
      <w:lvlText w:val="%8."/>
      <w:lvlJc w:val="left"/>
      <w:pPr>
        <w:ind w:left="5760" w:hanging="360"/>
      </w:pPr>
    </w:lvl>
    <w:lvl w:ilvl="8" w:tplc="E53EFA4A">
      <w:start w:val="1"/>
      <w:numFmt w:val="lowerRoman"/>
      <w:lvlText w:val="%9."/>
      <w:lvlJc w:val="right"/>
      <w:pPr>
        <w:ind w:left="6480" w:hanging="180"/>
      </w:pPr>
    </w:lvl>
  </w:abstractNum>
  <w:abstractNum w:abstractNumId="111" w15:restartNumberingAfterBreak="0">
    <w:nsid w:val="466F4502"/>
    <w:multiLevelType w:val="multilevel"/>
    <w:tmpl w:val="729ADF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2" w15:restartNumberingAfterBreak="0">
    <w:nsid w:val="46DC35C9"/>
    <w:multiLevelType w:val="hybridMultilevel"/>
    <w:tmpl w:val="535A217A"/>
    <w:lvl w:ilvl="0" w:tplc="86F2728C">
      <w:start w:val="1"/>
      <w:numFmt w:val="lowerRoman"/>
      <w:lvlText w:val="(%1)"/>
      <w:lvlJc w:val="right"/>
      <w:pPr>
        <w:ind w:left="360" w:hanging="360"/>
      </w:pPr>
      <w:rPr>
        <w:rFonts w:hint="default"/>
        <w:b w:val="0"/>
        <w:bCs/>
      </w:rPr>
    </w:lvl>
    <w:lvl w:ilvl="1" w:tplc="DBA281EA">
      <w:start w:val="1"/>
      <w:numFmt w:val="lowerLetter"/>
      <w:lvlText w:val="%2."/>
      <w:lvlJc w:val="left"/>
      <w:pPr>
        <w:ind w:left="1080" w:hanging="360"/>
      </w:pPr>
    </w:lvl>
    <w:lvl w:ilvl="2" w:tplc="57828814">
      <w:start w:val="1"/>
      <w:numFmt w:val="lowerRoman"/>
      <w:lvlText w:val="%3."/>
      <w:lvlJc w:val="right"/>
      <w:pPr>
        <w:ind w:left="1800" w:hanging="180"/>
      </w:pPr>
    </w:lvl>
    <w:lvl w:ilvl="3" w:tplc="E5E63A40">
      <w:start w:val="1"/>
      <w:numFmt w:val="decimal"/>
      <w:lvlText w:val="%4."/>
      <w:lvlJc w:val="left"/>
      <w:pPr>
        <w:ind w:left="2520" w:hanging="360"/>
      </w:pPr>
    </w:lvl>
    <w:lvl w:ilvl="4" w:tplc="387C42E2">
      <w:start w:val="1"/>
      <w:numFmt w:val="lowerLetter"/>
      <w:lvlText w:val="%5."/>
      <w:lvlJc w:val="left"/>
      <w:pPr>
        <w:ind w:left="3240" w:hanging="360"/>
      </w:pPr>
    </w:lvl>
    <w:lvl w:ilvl="5" w:tplc="35F8E26C">
      <w:start w:val="1"/>
      <w:numFmt w:val="lowerRoman"/>
      <w:lvlText w:val="%6."/>
      <w:lvlJc w:val="right"/>
      <w:pPr>
        <w:ind w:left="3960" w:hanging="180"/>
      </w:pPr>
    </w:lvl>
    <w:lvl w:ilvl="6" w:tplc="D222FB70">
      <w:start w:val="1"/>
      <w:numFmt w:val="decimal"/>
      <w:lvlText w:val="%7."/>
      <w:lvlJc w:val="left"/>
      <w:pPr>
        <w:ind w:left="4680" w:hanging="360"/>
      </w:pPr>
    </w:lvl>
    <w:lvl w:ilvl="7" w:tplc="9098C2A6">
      <w:start w:val="1"/>
      <w:numFmt w:val="lowerLetter"/>
      <w:lvlText w:val="%8."/>
      <w:lvlJc w:val="left"/>
      <w:pPr>
        <w:ind w:left="5400" w:hanging="360"/>
      </w:pPr>
    </w:lvl>
    <w:lvl w:ilvl="8" w:tplc="FE964DCA">
      <w:start w:val="1"/>
      <w:numFmt w:val="lowerRoman"/>
      <w:lvlText w:val="%9."/>
      <w:lvlJc w:val="right"/>
      <w:pPr>
        <w:ind w:left="6120" w:hanging="180"/>
      </w:pPr>
    </w:lvl>
  </w:abstractNum>
  <w:abstractNum w:abstractNumId="113" w15:restartNumberingAfterBreak="0">
    <w:nsid w:val="473A38B9"/>
    <w:multiLevelType w:val="hybridMultilevel"/>
    <w:tmpl w:val="9782F0BE"/>
    <w:lvl w:ilvl="0" w:tplc="4D5AE2E8">
      <w:numFmt w:val="bullet"/>
      <w:lvlText w:val="•"/>
      <w:lvlJc w:val="left"/>
      <w:pPr>
        <w:ind w:left="720" w:hanging="360"/>
      </w:pPr>
      <w:rPr>
        <w:rFonts w:ascii="Calibri Light" w:eastAsia="Times New Roman" w:hAnsi="Calibri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78611F1"/>
    <w:multiLevelType w:val="hybridMultilevel"/>
    <w:tmpl w:val="DCC8A8EC"/>
    <w:lvl w:ilvl="0" w:tplc="EC68DD54">
      <w:start w:val="1"/>
      <w:numFmt w:val="bullet"/>
      <w:lvlText w:val="-"/>
      <w:lvlJc w:val="left"/>
      <w:pPr>
        <w:ind w:left="720" w:hanging="360"/>
      </w:pPr>
      <w:rPr>
        <w:rFonts w:ascii="StobiSerif Regular" w:eastAsia="Times New Roman" w:hAnsi="StobiSerif Regular" w:hint="default"/>
      </w:rPr>
    </w:lvl>
    <w:lvl w:ilvl="1" w:tplc="75966104">
      <w:start w:val="1"/>
      <w:numFmt w:val="bullet"/>
      <w:lvlText w:val="o"/>
      <w:lvlJc w:val="left"/>
      <w:pPr>
        <w:ind w:left="1440" w:hanging="360"/>
      </w:pPr>
      <w:rPr>
        <w:rFonts w:ascii="Courier New" w:hAnsi="Courier New" w:cs="Courier New" w:hint="default"/>
      </w:rPr>
    </w:lvl>
    <w:lvl w:ilvl="2" w:tplc="531E3AA8">
      <w:start w:val="1"/>
      <w:numFmt w:val="bullet"/>
      <w:lvlText w:val=""/>
      <w:lvlJc w:val="left"/>
      <w:pPr>
        <w:ind w:left="2160" w:hanging="360"/>
      </w:pPr>
      <w:rPr>
        <w:rFonts w:ascii="Wingdings" w:hAnsi="Wingdings" w:hint="default"/>
      </w:rPr>
    </w:lvl>
    <w:lvl w:ilvl="3" w:tplc="BB9C01E8">
      <w:start w:val="1"/>
      <w:numFmt w:val="bullet"/>
      <w:lvlText w:val=""/>
      <w:lvlJc w:val="left"/>
      <w:pPr>
        <w:ind w:left="2880" w:hanging="360"/>
      </w:pPr>
      <w:rPr>
        <w:rFonts w:ascii="Symbol" w:hAnsi="Symbol" w:hint="default"/>
      </w:rPr>
    </w:lvl>
    <w:lvl w:ilvl="4" w:tplc="A37420B6">
      <w:start w:val="1"/>
      <w:numFmt w:val="bullet"/>
      <w:lvlText w:val="o"/>
      <w:lvlJc w:val="left"/>
      <w:pPr>
        <w:ind w:left="3600" w:hanging="360"/>
      </w:pPr>
      <w:rPr>
        <w:rFonts w:ascii="Courier New" w:hAnsi="Courier New" w:cs="Courier New" w:hint="default"/>
      </w:rPr>
    </w:lvl>
    <w:lvl w:ilvl="5" w:tplc="60669472">
      <w:start w:val="1"/>
      <w:numFmt w:val="bullet"/>
      <w:lvlText w:val=""/>
      <w:lvlJc w:val="left"/>
      <w:pPr>
        <w:ind w:left="4320" w:hanging="360"/>
      </w:pPr>
      <w:rPr>
        <w:rFonts w:ascii="Wingdings" w:hAnsi="Wingdings" w:hint="default"/>
      </w:rPr>
    </w:lvl>
    <w:lvl w:ilvl="6" w:tplc="7B247494">
      <w:start w:val="1"/>
      <w:numFmt w:val="bullet"/>
      <w:lvlText w:val=""/>
      <w:lvlJc w:val="left"/>
      <w:pPr>
        <w:ind w:left="5040" w:hanging="360"/>
      </w:pPr>
      <w:rPr>
        <w:rFonts w:ascii="Symbol" w:hAnsi="Symbol" w:hint="default"/>
      </w:rPr>
    </w:lvl>
    <w:lvl w:ilvl="7" w:tplc="C8E21FD4">
      <w:start w:val="1"/>
      <w:numFmt w:val="bullet"/>
      <w:lvlText w:val="o"/>
      <w:lvlJc w:val="left"/>
      <w:pPr>
        <w:ind w:left="5760" w:hanging="360"/>
      </w:pPr>
      <w:rPr>
        <w:rFonts w:ascii="Courier New" w:hAnsi="Courier New" w:cs="Courier New" w:hint="default"/>
      </w:rPr>
    </w:lvl>
    <w:lvl w:ilvl="8" w:tplc="824AD872">
      <w:start w:val="1"/>
      <w:numFmt w:val="bullet"/>
      <w:lvlText w:val=""/>
      <w:lvlJc w:val="left"/>
      <w:pPr>
        <w:ind w:left="6480" w:hanging="360"/>
      </w:pPr>
      <w:rPr>
        <w:rFonts w:ascii="Wingdings" w:hAnsi="Wingdings" w:hint="default"/>
      </w:rPr>
    </w:lvl>
  </w:abstractNum>
  <w:abstractNum w:abstractNumId="115" w15:restartNumberingAfterBreak="0">
    <w:nsid w:val="47C91ED1"/>
    <w:multiLevelType w:val="hybridMultilevel"/>
    <w:tmpl w:val="EF261584"/>
    <w:lvl w:ilvl="0" w:tplc="CD0853F0">
      <w:start w:val="1"/>
      <w:numFmt w:val="bullet"/>
      <w:lvlText w:val="•"/>
      <w:lvlJc w:val="left"/>
      <w:pPr>
        <w:ind w:left="2846" w:hanging="360"/>
      </w:pPr>
      <w:rPr>
        <w:rFonts w:ascii="Calibri Light" w:eastAsia="Times New Roman" w:hAnsi="Calibri Light" w:cs="Times New Roman" w:hint="default"/>
      </w:rPr>
    </w:lvl>
    <w:lvl w:ilvl="1" w:tplc="A62E9EF8">
      <w:start w:val="1"/>
      <w:numFmt w:val="bullet"/>
      <w:lvlText w:val="o"/>
      <w:lvlJc w:val="left"/>
      <w:pPr>
        <w:ind w:left="3566" w:hanging="360"/>
      </w:pPr>
      <w:rPr>
        <w:rFonts w:ascii="Courier New" w:hAnsi="Courier New" w:cs="Courier New" w:hint="default"/>
      </w:rPr>
    </w:lvl>
    <w:lvl w:ilvl="2" w:tplc="00A05C40">
      <w:start w:val="1"/>
      <w:numFmt w:val="bullet"/>
      <w:lvlText w:val=""/>
      <w:lvlJc w:val="left"/>
      <w:pPr>
        <w:ind w:left="4286" w:hanging="360"/>
      </w:pPr>
      <w:rPr>
        <w:rFonts w:ascii="Wingdings" w:hAnsi="Wingdings" w:hint="default"/>
      </w:rPr>
    </w:lvl>
    <w:lvl w:ilvl="3" w:tplc="7EAAAB2C">
      <w:start w:val="1"/>
      <w:numFmt w:val="bullet"/>
      <w:lvlText w:val=""/>
      <w:lvlJc w:val="left"/>
      <w:pPr>
        <w:ind w:left="5006" w:hanging="360"/>
      </w:pPr>
      <w:rPr>
        <w:rFonts w:ascii="Symbol" w:hAnsi="Symbol" w:hint="default"/>
      </w:rPr>
    </w:lvl>
    <w:lvl w:ilvl="4" w:tplc="4852E0EA">
      <w:start w:val="1"/>
      <w:numFmt w:val="bullet"/>
      <w:lvlText w:val="o"/>
      <w:lvlJc w:val="left"/>
      <w:pPr>
        <w:ind w:left="5726" w:hanging="360"/>
      </w:pPr>
      <w:rPr>
        <w:rFonts w:ascii="Courier New" w:hAnsi="Courier New" w:cs="Courier New" w:hint="default"/>
      </w:rPr>
    </w:lvl>
    <w:lvl w:ilvl="5" w:tplc="26340F5A">
      <w:start w:val="1"/>
      <w:numFmt w:val="bullet"/>
      <w:lvlText w:val=""/>
      <w:lvlJc w:val="left"/>
      <w:pPr>
        <w:ind w:left="6446" w:hanging="360"/>
      </w:pPr>
      <w:rPr>
        <w:rFonts w:ascii="Wingdings" w:hAnsi="Wingdings" w:hint="default"/>
      </w:rPr>
    </w:lvl>
    <w:lvl w:ilvl="6" w:tplc="6CA453E8">
      <w:start w:val="1"/>
      <w:numFmt w:val="bullet"/>
      <w:lvlText w:val=""/>
      <w:lvlJc w:val="left"/>
      <w:pPr>
        <w:ind w:left="7166" w:hanging="360"/>
      </w:pPr>
      <w:rPr>
        <w:rFonts w:ascii="Symbol" w:hAnsi="Symbol" w:hint="default"/>
      </w:rPr>
    </w:lvl>
    <w:lvl w:ilvl="7" w:tplc="669E4AD0">
      <w:start w:val="1"/>
      <w:numFmt w:val="bullet"/>
      <w:lvlText w:val="o"/>
      <w:lvlJc w:val="left"/>
      <w:pPr>
        <w:ind w:left="7886" w:hanging="360"/>
      </w:pPr>
      <w:rPr>
        <w:rFonts w:ascii="Courier New" w:hAnsi="Courier New" w:cs="Courier New" w:hint="default"/>
      </w:rPr>
    </w:lvl>
    <w:lvl w:ilvl="8" w:tplc="8D2C377A">
      <w:start w:val="1"/>
      <w:numFmt w:val="bullet"/>
      <w:lvlText w:val=""/>
      <w:lvlJc w:val="left"/>
      <w:pPr>
        <w:ind w:left="8606" w:hanging="360"/>
      </w:pPr>
      <w:rPr>
        <w:rFonts w:ascii="Wingdings" w:hAnsi="Wingdings" w:hint="default"/>
      </w:rPr>
    </w:lvl>
  </w:abstractNum>
  <w:abstractNum w:abstractNumId="116" w15:restartNumberingAfterBreak="0">
    <w:nsid w:val="48243F6D"/>
    <w:multiLevelType w:val="hybridMultilevel"/>
    <w:tmpl w:val="0E60D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84B179C"/>
    <w:multiLevelType w:val="multilevel"/>
    <w:tmpl w:val="9D52EC1C"/>
    <w:lvl w:ilvl="0">
      <w:start w:val="1"/>
      <w:numFmt w:val="decimal"/>
      <w:pStyle w:val="S1-OptB-header2"/>
      <w:isLgl/>
      <w:lvlText w:val="%1."/>
      <w:lvlJc w:val="left"/>
      <w:pPr>
        <w:tabs>
          <w:tab w:val="num" w:pos="360"/>
        </w:tabs>
        <w:ind w:left="360" w:hanging="360"/>
      </w:pPr>
      <w:rPr>
        <w:rFonts w:hint="default"/>
        <w:b/>
        <w:i w:val="0"/>
        <w:sz w:val="24"/>
      </w:rPr>
    </w:lvl>
    <w:lvl w:ilvl="1">
      <w:start w:val="1"/>
      <w:numFmt w:val="decimal"/>
      <w:pStyle w:val="OptB-S1-subpara"/>
      <w:lvlText w:val="%1.%2"/>
      <w:lvlJc w:val="left"/>
      <w:pPr>
        <w:tabs>
          <w:tab w:val="num" w:pos="576"/>
        </w:tabs>
        <w:ind w:left="57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8" w15:restartNumberingAfterBreak="0">
    <w:nsid w:val="48C1539B"/>
    <w:multiLevelType w:val="hybridMultilevel"/>
    <w:tmpl w:val="3872E62C"/>
    <w:lvl w:ilvl="0" w:tplc="04090017">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9" w15:restartNumberingAfterBreak="0">
    <w:nsid w:val="48ED61D8"/>
    <w:multiLevelType w:val="hybridMultilevel"/>
    <w:tmpl w:val="E0744D40"/>
    <w:lvl w:ilvl="0" w:tplc="B8D087C2">
      <w:start w:val="1"/>
      <w:numFmt w:val="bullet"/>
      <w:lvlText w:val="•"/>
      <w:lvlJc w:val="left"/>
      <w:pPr>
        <w:tabs>
          <w:tab w:val="num" w:pos="720"/>
        </w:tabs>
        <w:ind w:left="720" w:hanging="360"/>
      </w:pPr>
      <w:rPr>
        <w:rFonts w:ascii="Arial" w:hAnsi="Arial" w:hint="default"/>
      </w:rPr>
    </w:lvl>
    <w:lvl w:ilvl="1" w:tplc="82FEB9AE" w:tentative="1">
      <w:start w:val="1"/>
      <w:numFmt w:val="bullet"/>
      <w:lvlText w:val="•"/>
      <w:lvlJc w:val="left"/>
      <w:pPr>
        <w:tabs>
          <w:tab w:val="num" w:pos="1440"/>
        </w:tabs>
        <w:ind w:left="1440" w:hanging="360"/>
      </w:pPr>
      <w:rPr>
        <w:rFonts w:ascii="Arial" w:hAnsi="Arial" w:hint="default"/>
      </w:rPr>
    </w:lvl>
    <w:lvl w:ilvl="2" w:tplc="D53C0694" w:tentative="1">
      <w:start w:val="1"/>
      <w:numFmt w:val="bullet"/>
      <w:lvlText w:val="•"/>
      <w:lvlJc w:val="left"/>
      <w:pPr>
        <w:tabs>
          <w:tab w:val="num" w:pos="2160"/>
        </w:tabs>
        <w:ind w:left="2160" w:hanging="360"/>
      </w:pPr>
      <w:rPr>
        <w:rFonts w:ascii="Arial" w:hAnsi="Arial" w:hint="default"/>
      </w:rPr>
    </w:lvl>
    <w:lvl w:ilvl="3" w:tplc="A58EB87E" w:tentative="1">
      <w:start w:val="1"/>
      <w:numFmt w:val="bullet"/>
      <w:lvlText w:val="•"/>
      <w:lvlJc w:val="left"/>
      <w:pPr>
        <w:tabs>
          <w:tab w:val="num" w:pos="2880"/>
        </w:tabs>
        <w:ind w:left="2880" w:hanging="360"/>
      </w:pPr>
      <w:rPr>
        <w:rFonts w:ascii="Arial" w:hAnsi="Arial" w:hint="default"/>
      </w:rPr>
    </w:lvl>
    <w:lvl w:ilvl="4" w:tplc="2EBC3040" w:tentative="1">
      <w:start w:val="1"/>
      <w:numFmt w:val="bullet"/>
      <w:lvlText w:val="•"/>
      <w:lvlJc w:val="left"/>
      <w:pPr>
        <w:tabs>
          <w:tab w:val="num" w:pos="3600"/>
        </w:tabs>
        <w:ind w:left="3600" w:hanging="360"/>
      </w:pPr>
      <w:rPr>
        <w:rFonts w:ascii="Arial" w:hAnsi="Arial" w:hint="default"/>
      </w:rPr>
    </w:lvl>
    <w:lvl w:ilvl="5" w:tplc="61404152" w:tentative="1">
      <w:start w:val="1"/>
      <w:numFmt w:val="bullet"/>
      <w:lvlText w:val="•"/>
      <w:lvlJc w:val="left"/>
      <w:pPr>
        <w:tabs>
          <w:tab w:val="num" w:pos="4320"/>
        </w:tabs>
        <w:ind w:left="4320" w:hanging="360"/>
      </w:pPr>
      <w:rPr>
        <w:rFonts w:ascii="Arial" w:hAnsi="Arial" w:hint="default"/>
      </w:rPr>
    </w:lvl>
    <w:lvl w:ilvl="6" w:tplc="64103F38" w:tentative="1">
      <w:start w:val="1"/>
      <w:numFmt w:val="bullet"/>
      <w:lvlText w:val="•"/>
      <w:lvlJc w:val="left"/>
      <w:pPr>
        <w:tabs>
          <w:tab w:val="num" w:pos="5040"/>
        </w:tabs>
        <w:ind w:left="5040" w:hanging="360"/>
      </w:pPr>
      <w:rPr>
        <w:rFonts w:ascii="Arial" w:hAnsi="Arial" w:hint="default"/>
      </w:rPr>
    </w:lvl>
    <w:lvl w:ilvl="7" w:tplc="91808176" w:tentative="1">
      <w:start w:val="1"/>
      <w:numFmt w:val="bullet"/>
      <w:lvlText w:val="•"/>
      <w:lvlJc w:val="left"/>
      <w:pPr>
        <w:tabs>
          <w:tab w:val="num" w:pos="5760"/>
        </w:tabs>
        <w:ind w:left="5760" w:hanging="360"/>
      </w:pPr>
      <w:rPr>
        <w:rFonts w:ascii="Arial" w:hAnsi="Arial" w:hint="default"/>
      </w:rPr>
    </w:lvl>
    <w:lvl w:ilvl="8" w:tplc="3278A134"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496D1FD3"/>
    <w:multiLevelType w:val="hybridMultilevel"/>
    <w:tmpl w:val="272662A8"/>
    <w:lvl w:ilvl="0" w:tplc="52C47A40">
      <w:start w:val="3"/>
      <w:numFmt w:val="decimal"/>
      <w:lvlText w:val="%1."/>
      <w:lvlJc w:val="left"/>
      <w:pPr>
        <w:tabs>
          <w:tab w:val="num" w:pos="720"/>
        </w:tabs>
        <w:ind w:left="720" w:hanging="360"/>
      </w:pPr>
    </w:lvl>
    <w:lvl w:ilvl="1" w:tplc="756C3A3E">
      <w:start w:val="2"/>
      <w:numFmt w:val="lowerLetter"/>
      <w:lvlText w:val="%2."/>
      <w:lvlJc w:val="left"/>
      <w:pPr>
        <w:tabs>
          <w:tab w:val="num" w:pos="1440"/>
        </w:tabs>
        <w:ind w:left="1440" w:hanging="360"/>
      </w:pPr>
    </w:lvl>
    <w:lvl w:ilvl="2" w:tplc="DA58DFC6">
      <w:start w:val="1"/>
      <w:numFmt w:val="decimal"/>
      <w:lvlText w:val="%3."/>
      <w:lvlJc w:val="left"/>
      <w:pPr>
        <w:tabs>
          <w:tab w:val="num" w:pos="2160"/>
        </w:tabs>
        <w:ind w:left="2160" w:hanging="360"/>
      </w:pPr>
    </w:lvl>
    <w:lvl w:ilvl="3" w:tplc="60C2506E">
      <w:start w:val="1"/>
      <w:numFmt w:val="decimal"/>
      <w:lvlText w:val="%4."/>
      <w:lvlJc w:val="left"/>
      <w:pPr>
        <w:tabs>
          <w:tab w:val="num" w:pos="2880"/>
        </w:tabs>
        <w:ind w:left="2880" w:hanging="360"/>
      </w:pPr>
    </w:lvl>
    <w:lvl w:ilvl="4" w:tplc="18A85D50">
      <w:start w:val="1"/>
      <w:numFmt w:val="decimal"/>
      <w:lvlText w:val="%5."/>
      <w:lvlJc w:val="left"/>
      <w:pPr>
        <w:tabs>
          <w:tab w:val="num" w:pos="3600"/>
        </w:tabs>
        <w:ind w:left="3600" w:hanging="360"/>
      </w:pPr>
    </w:lvl>
    <w:lvl w:ilvl="5" w:tplc="613225B8">
      <w:start w:val="1"/>
      <w:numFmt w:val="decimal"/>
      <w:lvlText w:val="%6."/>
      <w:lvlJc w:val="left"/>
      <w:pPr>
        <w:tabs>
          <w:tab w:val="num" w:pos="4320"/>
        </w:tabs>
        <w:ind w:left="4320" w:hanging="360"/>
      </w:pPr>
    </w:lvl>
    <w:lvl w:ilvl="6" w:tplc="7270B63A">
      <w:start w:val="1"/>
      <w:numFmt w:val="decimal"/>
      <w:lvlText w:val="%7."/>
      <w:lvlJc w:val="left"/>
      <w:pPr>
        <w:tabs>
          <w:tab w:val="num" w:pos="5040"/>
        </w:tabs>
        <w:ind w:left="5040" w:hanging="360"/>
      </w:pPr>
    </w:lvl>
    <w:lvl w:ilvl="7" w:tplc="445CF6B4">
      <w:start w:val="1"/>
      <w:numFmt w:val="decimal"/>
      <w:lvlText w:val="%8."/>
      <w:lvlJc w:val="left"/>
      <w:pPr>
        <w:tabs>
          <w:tab w:val="num" w:pos="5760"/>
        </w:tabs>
        <w:ind w:left="5760" w:hanging="360"/>
      </w:pPr>
    </w:lvl>
    <w:lvl w:ilvl="8" w:tplc="0A442D08">
      <w:start w:val="1"/>
      <w:numFmt w:val="decimal"/>
      <w:lvlText w:val="%9."/>
      <w:lvlJc w:val="left"/>
      <w:pPr>
        <w:tabs>
          <w:tab w:val="num" w:pos="6480"/>
        </w:tabs>
        <w:ind w:left="6480" w:hanging="360"/>
      </w:pPr>
    </w:lvl>
  </w:abstractNum>
  <w:abstractNum w:abstractNumId="121" w15:restartNumberingAfterBreak="0">
    <w:nsid w:val="496E4FCA"/>
    <w:multiLevelType w:val="hybridMultilevel"/>
    <w:tmpl w:val="5F6E8380"/>
    <w:lvl w:ilvl="0" w:tplc="49A46AA0">
      <w:start w:val="1"/>
      <w:numFmt w:val="lowerLetter"/>
      <w:lvlText w:val="(%1)"/>
      <w:lvlJc w:val="left"/>
      <w:pPr>
        <w:tabs>
          <w:tab w:val="num" w:pos="1087"/>
        </w:tabs>
        <w:ind w:left="1087" w:hanging="540"/>
      </w:pPr>
      <w:rPr>
        <w:rFonts w:hint="default"/>
      </w:rPr>
    </w:lvl>
    <w:lvl w:ilvl="1" w:tplc="09D48D5C">
      <w:start w:val="1"/>
      <w:numFmt w:val="lowerLetter"/>
      <w:lvlText w:val="%2."/>
      <w:lvlJc w:val="left"/>
      <w:pPr>
        <w:tabs>
          <w:tab w:val="num" w:pos="1627"/>
        </w:tabs>
        <w:ind w:left="1627" w:hanging="360"/>
      </w:pPr>
    </w:lvl>
    <w:lvl w:ilvl="2" w:tplc="91E0A930">
      <w:start w:val="1"/>
      <w:numFmt w:val="lowerRoman"/>
      <w:lvlText w:val="%3."/>
      <w:lvlJc w:val="right"/>
      <w:pPr>
        <w:tabs>
          <w:tab w:val="num" w:pos="2347"/>
        </w:tabs>
        <w:ind w:left="2347" w:hanging="180"/>
      </w:pPr>
    </w:lvl>
    <w:lvl w:ilvl="3" w:tplc="0D420260">
      <w:start w:val="1"/>
      <w:numFmt w:val="decimal"/>
      <w:lvlText w:val="%4."/>
      <w:lvlJc w:val="left"/>
      <w:pPr>
        <w:tabs>
          <w:tab w:val="num" w:pos="3067"/>
        </w:tabs>
        <w:ind w:left="3067" w:hanging="360"/>
      </w:pPr>
    </w:lvl>
    <w:lvl w:ilvl="4" w:tplc="8EB63FBE">
      <w:start w:val="1"/>
      <w:numFmt w:val="lowerLetter"/>
      <w:lvlText w:val="%5."/>
      <w:lvlJc w:val="left"/>
      <w:pPr>
        <w:tabs>
          <w:tab w:val="num" w:pos="3787"/>
        </w:tabs>
        <w:ind w:left="3787" w:hanging="360"/>
      </w:pPr>
    </w:lvl>
    <w:lvl w:ilvl="5" w:tplc="CBEEFE1C">
      <w:start w:val="1"/>
      <w:numFmt w:val="lowerRoman"/>
      <w:lvlText w:val="%6."/>
      <w:lvlJc w:val="right"/>
      <w:pPr>
        <w:tabs>
          <w:tab w:val="num" w:pos="4507"/>
        </w:tabs>
        <w:ind w:left="4507" w:hanging="180"/>
      </w:pPr>
    </w:lvl>
    <w:lvl w:ilvl="6" w:tplc="28C2E2C4">
      <w:start w:val="1"/>
      <w:numFmt w:val="decimal"/>
      <w:lvlText w:val="%7."/>
      <w:lvlJc w:val="left"/>
      <w:pPr>
        <w:tabs>
          <w:tab w:val="num" w:pos="5227"/>
        </w:tabs>
        <w:ind w:left="5227" w:hanging="360"/>
      </w:pPr>
    </w:lvl>
    <w:lvl w:ilvl="7" w:tplc="262A8E68">
      <w:start w:val="1"/>
      <w:numFmt w:val="lowerLetter"/>
      <w:lvlText w:val="%8."/>
      <w:lvlJc w:val="left"/>
      <w:pPr>
        <w:tabs>
          <w:tab w:val="num" w:pos="5947"/>
        </w:tabs>
        <w:ind w:left="5947" w:hanging="360"/>
      </w:pPr>
    </w:lvl>
    <w:lvl w:ilvl="8" w:tplc="D70C9F7C">
      <w:start w:val="1"/>
      <w:numFmt w:val="lowerRoman"/>
      <w:lvlText w:val="%9."/>
      <w:lvlJc w:val="right"/>
      <w:pPr>
        <w:tabs>
          <w:tab w:val="num" w:pos="6667"/>
        </w:tabs>
        <w:ind w:left="6667" w:hanging="180"/>
      </w:pPr>
    </w:lvl>
  </w:abstractNum>
  <w:abstractNum w:abstractNumId="122" w15:restartNumberingAfterBreak="0">
    <w:nsid w:val="4A2816C3"/>
    <w:multiLevelType w:val="hybridMultilevel"/>
    <w:tmpl w:val="EFE85776"/>
    <w:lvl w:ilvl="0" w:tplc="C5A6EEB8">
      <w:start w:val="1"/>
      <w:numFmt w:val="bullet"/>
      <w:lvlText w:val=""/>
      <w:lvlJc w:val="left"/>
      <w:pPr>
        <w:ind w:left="2520" w:hanging="360"/>
      </w:pPr>
      <w:rPr>
        <w:rFonts w:ascii="Symbol" w:hAnsi="Symbol" w:hint="default"/>
      </w:rPr>
    </w:lvl>
    <w:lvl w:ilvl="1" w:tplc="CD5A83F2">
      <w:start w:val="1"/>
      <w:numFmt w:val="bullet"/>
      <w:lvlText w:val="o"/>
      <w:lvlJc w:val="left"/>
      <w:pPr>
        <w:ind w:left="3240" w:hanging="360"/>
      </w:pPr>
      <w:rPr>
        <w:rFonts w:ascii="Courier New" w:hAnsi="Courier New" w:cs="Courier New" w:hint="default"/>
      </w:rPr>
    </w:lvl>
    <w:lvl w:ilvl="2" w:tplc="58F065B6">
      <w:start w:val="1"/>
      <w:numFmt w:val="bullet"/>
      <w:lvlText w:val=""/>
      <w:lvlJc w:val="left"/>
      <w:pPr>
        <w:ind w:left="3960" w:hanging="360"/>
      </w:pPr>
      <w:rPr>
        <w:rFonts w:ascii="Wingdings" w:hAnsi="Wingdings" w:hint="default"/>
      </w:rPr>
    </w:lvl>
    <w:lvl w:ilvl="3" w:tplc="558C6A0C">
      <w:start w:val="1"/>
      <w:numFmt w:val="bullet"/>
      <w:lvlText w:val=""/>
      <w:lvlJc w:val="left"/>
      <w:pPr>
        <w:ind w:left="4680" w:hanging="360"/>
      </w:pPr>
      <w:rPr>
        <w:rFonts w:ascii="Symbol" w:hAnsi="Symbol" w:hint="default"/>
      </w:rPr>
    </w:lvl>
    <w:lvl w:ilvl="4" w:tplc="B7BC5914">
      <w:start w:val="1"/>
      <w:numFmt w:val="bullet"/>
      <w:lvlText w:val="o"/>
      <w:lvlJc w:val="left"/>
      <w:pPr>
        <w:ind w:left="5400" w:hanging="360"/>
      </w:pPr>
      <w:rPr>
        <w:rFonts w:ascii="Courier New" w:hAnsi="Courier New" w:cs="Courier New" w:hint="default"/>
      </w:rPr>
    </w:lvl>
    <w:lvl w:ilvl="5" w:tplc="B0983BA6">
      <w:start w:val="1"/>
      <w:numFmt w:val="bullet"/>
      <w:lvlText w:val=""/>
      <w:lvlJc w:val="left"/>
      <w:pPr>
        <w:ind w:left="6120" w:hanging="360"/>
      </w:pPr>
      <w:rPr>
        <w:rFonts w:ascii="Wingdings" w:hAnsi="Wingdings" w:hint="default"/>
      </w:rPr>
    </w:lvl>
    <w:lvl w:ilvl="6" w:tplc="B9A0A720">
      <w:start w:val="1"/>
      <w:numFmt w:val="bullet"/>
      <w:lvlText w:val=""/>
      <w:lvlJc w:val="left"/>
      <w:pPr>
        <w:ind w:left="6840" w:hanging="360"/>
      </w:pPr>
      <w:rPr>
        <w:rFonts w:ascii="Symbol" w:hAnsi="Symbol" w:hint="default"/>
      </w:rPr>
    </w:lvl>
    <w:lvl w:ilvl="7" w:tplc="1C2C13D0">
      <w:start w:val="1"/>
      <w:numFmt w:val="bullet"/>
      <w:lvlText w:val="o"/>
      <w:lvlJc w:val="left"/>
      <w:pPr>
        <w:ind w:left="7560" w:hanging="360"/>
      </w:pPr>
      <w:rPr>
        <w:rFonts w:ascii="Courier New" w:hAnsi="Courier New" w:cs="Courier New" w:hint="default"/>
      </w:rPr>
    </w:lvl>
    <w:lvl w:ilvl="8" w:tplc="626E9EF6">
      <w:start w:val="1"/>
      <w:numFmt w:val="bullet"/>
      <w:lvlText w:val=""/>
      <w:lvlJc w:val="left"/>
      <w:pPr>
        <w:ind w:left="8280" w:hanging="360"/>
      </w:pPr>
      <w:rPr>
        <w:rFonts w:ascii="Wingdings" w:hAnsi="Wingdings" w:hint="default"/>
      </w:rPr>
    </w:lvl>
  </w:abstractNum>
  <w:abstractNum w:abstractNumId="123" w15:restartNumberingAfterBreak="0">
    <w:nsid w:val="4A2F27C6"/>
    <w:multiLevelType w:val="hybridMultilevel"/>
    <w:tmpl w:val="1B26DBE6"/>
    <w:lvl w:ilvl="0" w:tplc="B7606B62">
      <w:start w:val="1"/>
      <w:numFmt w:val="bullet"/>
      <w:pStyle w:val="ListBullet"/>
      <w:lvlText w:val=""/>
      <w:lvlJc w:val="left"/>
      <w:pPr>
        <w:tabs>
          <w:tab w:val="num" w:pos="360"/>
        </w:tabs>
        <w:ind w:left="360" w:hanging="360"/>
      </w:pPr>
      <w:rPr>
        <w:rFonts w:ascii="Symbol" w:hAnsi="Symbol" w:hint="default"/>
      </w:rPr>
    </w:lvl>
    <w:lvl w:ilvl="1" w:tplc="FB5A50DE">
      <w:start w:val="1"/>
      <w:numFmt w:val="bullet"/>
      <w:lvlText w:val="o"/>
      <w:lvlJc w:val="left"/>
      <w:pPr>
        <w:ind w:left="1440" w:hanging="360"/>
      </w:pPr>
      <w:rPr>
        <w:rFonts w:ascii="Courier New" w:eastAsia="Courier New" w:hAnsi="Courier New" w:cs="Courier New" w:hint="default"/>
      </w:rPr>
    </w:lvl>
    <w:lvl w:ilvl="2" w:tplc="CFF2ECC4">
      <w:start w:val="1"/>
      <w:numFmt w:val="bullet"/>
      <w:lvlText w:val="§"/>
      <w:lvlJc w:val="left"/>
      <w:pPr>
        <w:ind w:left="2160" w:hanging="360"/>
      </w:pPr>
      <w:rPr>
        <w:rFonts w:ascii="Wingdings" w:eastAsia="Wingdings" w:hAnsi="Wingdings" w:cs="Wingdings" w:hint="default"/>
      </w:rPr>
    </w:lvl>
    <w:lvl w:ilvl="3" w:tplc="DA7A38FE">
      <w:start w:val="1"/>
      <w:numFmt w:val="bullet"/>
      <w:lvlText w:val="·"/>
      <w:lvlJc w:val="left"/>
      <w:pPr>
        <w:ind w:left="2880" w:hanging="360"/>
      </w:pPr>
      <w:rPr>
        <w:rFonts w:ascii="Symbol" w:eastAsia="Symbol" w:hAnsi="Symbol" w:cs="Symbol" w:hint="default"/>
      </w:rPr>
    </w:lvl>
    <w:lvl w:ilvl="4" w:tplc="EC3EC1E6">
      <w:start w:val="1"/>
      <w:numFmt w:val="bullet"/>
      <w:lvlText w:val="o"/>
      <w:lvlJc w:val="left"/>
      <w:pPr>
        <w:ind w:left="3600" w:hanging="360"/>
      </w:pPr>
      <w:rPr>
        <w:rFonts w:ascii="Courier New" w:eastAsia="Courier New" w:hAnsi="Courier New" w:cs="Courier New" w:hint="default"/>
      </w:rPr>
    </w:lvl>
    <w:lvl w:ilvl="5" w:tplc="20888840">
      <w:start w:val="1"/>
      <w:numFmt w:val="bullet"/>
      <w:lvlText w:val="§"/>
      <w:lvlJc w:val="left"/>
      <w:pPr>
        <w:ind w:left="4320" w:hanging="360"/>
      </w:pPr>
      <w:rPr>
        <w:rFonts w:ascii="Wingdings" w:eastAsia="Wingdings" w:hAnsi="Wingdings" w:cs="Wingdings" w:hint="default"/>
      </w:rPr>
    </w:lvl>
    <w:lvl w:ilvl="6" w:tplc="67ACB004">
      <w:start w:val="1"/>
      <w:numFmt w:val="bullet"/>
      <w:lvlText w:val="·"/>
      <w:lvlJc w:val="left"/>
      <w:pPr>
        <w:ind w:left="5040" w:hanging="360"/>
      </w:pPr>
      <w:rPr>
        <w:rFonts w:ascii="Symbol" w:eastAsia="Symbol" w:hAnsi="Symbol" w:cs="Symbol" w:hint="default"/>
      </w:rPr>
    </w:lvl>
    <w:lvl w:ilvl="7" w:tplc="3A1EEF82">
      <w:start w:val="1"/>
      <w:numFmt w:val="bullet"/>
      <w:lvlText w:val="o"/>
      <w:lvlJc w:val="left"/>
      <w:pPr>
        <w:ind w:left="5760" w:hanging="360"/>
      </w:pPr>
      <w:rPr>
        <w:rFonts w:ascii="Courier New" w:eastAsia="Courier New" w:hAnsi="Courier New" w:cs="Courier New" w:hint="default"/>
      </w:rPr>
    </w:lvl>
    <w:lvl w:ilvl="8" w:tplc="0D6C3A94">
      <w:start w:val="1"/>
      <w:numFmt w:val="bullet"/>
      <w:lvlText w:val="§"/>
      <w:lvlJc w:val="left"/>
      <w:pPr>
        <w:ind w:left="6480" w:hanging="360"/>
      </w:pPr>
      <w:rPr>
        <w:rFonts w:ascii="Wingdings" w:eastAsia="Wingdings" w:hAnsi="Wingdings" w:cs="Wingdings" w:hint="default"/>
      </w:rPr>
    </w:lvl>
  </w:abstractNum>
  <w:abstractNum w:abstractNumId="124" w15:restartNumberingAfterBreak="0">
    <w:nsid w:val="4A2F4281"/>
    <w:multiLevelType w:val="hybridMultilevel"/>
    <w:tmpl w:val="3D344FC4"/>
    <w:lvl w:ilvl="0" w:tplc="68028178">
      <w:start w:val="1"/>
      <w:numFmt w:val="bullet"/>
      <w:lvlText w:val="-"/>
      <w:lvlJc w:val="left"/>
      <w:pPr>
        <w:ind w:left="720" w:hanging="360"/>
      </w:pPr>
      <w:rPr>
        <w:rFonts w:ascii="Times New Roman" w:eastAsia="Times New Roman" w:hAnsi="Times New Roman" w:cs="Times New Roman" w:hint="default"/>
      </w:rPr>
    </w:lvl>
    <w:lvl w:ilvl="1" w:tplc="553EBAF6">
      <w:start w:val="1"/>
      <w:numFmt w:val="bullet"/>
      <w:lvlText w:val="o"/>
      <w:lvlJc w:val="left"/>
      <w:pPr>
        <w:ind w:left="1440" w:hanging="360"/>
      </w:pPr>
      <w:rPr>
        <w:rFonts w:ascii="Courier New" w:hAnsi="Courier New" w:cs="Courier New" w:hint="default"/>
      </w:rPr>
    </w:lvl>
    <w:lvl w:ilvl="2" w:tplc="04A20180">
      <w:start w:val="1"/>
      <w:numFmt w:val="bullet"/>
      <w:lvlText w:val=""/>
      <w:lvlJc w:val="left"/>
      <w:pPr>
        <w:ind w:left="2160" w:hanging="360"/>
      </w:pPr>
      <w:rPr>
        <w:rFonts w:ascii="Wingdings" w:hAnsi="Wingdings" w:hint="default"/>
      </w:rPr>
    </w:lvl>
    <w:lvl w:ilvl="3" w:tplc="C2E09BB2">
      <w:start w:val="1"/>
      <w:numFmt w:val="bullet"/>
      <w:lvlText w:val=""/>
      <w:lvlJc w:val="left"/>
      <w:pPr>
        <w:ind w:left="2880" w:hanging="360"/>
      </w:pPr>
      <w:rPr>
        <w:rFonts w:ascii="Symbol" w:hAnsi="Symbol" w:hint="default"/>
      </w:rPr>
    </w:lvl>
    <w:lvl w:ilvl="4" w:tplc="8EA84FCC">
      <w:start w:val="1"/>
      <w:numFmt w:val="bullet"/>
      <w:lvlText w:val="o"/>
      <w:lvlJc w:val="left"/>
      <w:pPr>
        <w:ind w:left="3600" w:hanging="360"/>
      </w:pPr>
      <w:rPr>
        <w:rFonts w:ascii="Courier New" w:hAnsi="Courier New" w:cs="Courier New" w:hint="default"/>
      </w:rPr>
    </w:lvl>
    <w:lvl w:ilvl="5" w:tplc="D79070FA">
      <w:start w:val="1"/>
      <w:numFmt w:val="bullet"/>
      <w:lvlText w:val=""/>
      <w:lvlJc w:val="left"/>
      <w:pPr>
        <w:ind w:left="4320" w:hanging="360"/>
      </w:pPr>
      <w:rPr>
        <w:rFonts w:ascii="Wingdings" w:hAnsi="Wingdings" w:hint="default"/>
      </w:rPr>
    </w:lvl>
    <w:lvl w:ilvl="6" w:tplc="9EB651AC">
      <w:start w:val="1"/>
      <w:numFmt w:val="bullet"/>
      <w:lvlText w:val=""/>
      <w:lvlJc w:val="left"/>
      <w:pPr>
        <w:ind w:left="5040" w:hanging="360"/>
      </w:pPr>
      <w:rPr>
        <w:rFonts w:ascii="Symbol" w:hAnsi="Symbol" w:hint="default"/>
      </w:rPr>
    </w:lvl>
    <w:lvl w:ilvl="7" w:tplc="8FDED394">
      <w:start w:val="1"/>
      <w:numFmt w:val="bullet"/>
      <w:lvlText w:val="o"/>
      <w:lvlJc w:val="left"/>
      <w:pPr>
        <w:ind w:left="5760" w:hanging="360"/>
      </w:pPr>
      <w:rPr>
        <w:rFonts w:ascii="Courier New" w:hAnsi="Courier New" w:cs="Courier New" w:hint="default"/>
      </w:rPr>
    </w:lvl>
    <w:lvl w:ilvl="8" w:tplc="8CE6F81A">
      <w:start w:val="1"/>
      <w:numFmt w:val="bullet"/>
      <w:lvlText w:val=""/>
      <w:lvlJc w:val="left"/>
      <w:pPr>
        <w:ind w:left="6480" w:hanging="360"/>
      </w:pPr>
      <w:rPr>
        <w:rFonts w:ascii="Wingdings" w:hAnsi="Wingdings" w:hint="default"/>
      </w:rPr>
    </w:lvl>
  </w:abstractNum>
  <w:abstractNum w:abstractNumId="125" w15:restartNumberingAfterBreak="0">
    <w:nsid w:val="4B467EF6"/>
    <w:multiLevelType w:val="hybridMultilevel"/>
    <w:tmpl w:val="E6EA1F48"/>
    <w:lvl w:ilvl="0" w:tplc="86C602B4">
      <w:start w:val="1"/>
      <w:numFmt w:val="decimal"/>
      <w:lvlText w:val="%1."/>
      <w:lvlJc w:val="left"/>
      <w:pPr>
        <w:tabs>
          <w:tab w:val="num" w:pos="720"/>
        </w:tabs>
        <w:ind w:left="720" w:hanging="360"/>
      </w:pPr>
    </w:lvl>
    <w:lvl w:ilvl="1" w:tplc="0E729AD8">
      <w:start w:val="1"/>
      <w:numFmt w:val="lowerLetter"/>
      <w:lvlText w:val="%2."/>
      <w:lvlJc w:val="left"/>
      <w:pPr>
        <w:tabs>
          <w:tab w:val="num" w:pos="1440"/>
        </w:tabs>
        <w:ind w:left="1440" w:hanging="360"/>
      </w:pPr>
    </w:lvl>
    <w:lvl w:ilvl="2" w:tplc="B5C6F8BC">
      <w:start w:val="1"/>
      <w:numFmt w:val="decimal"/>
      <w:lvlText w:val="%3."/>
      <w:lvlJc w:val="left"/>
      <w:pPr>
        <w:tabs>
          <w:tab w:val="num" w:pos="2160"/>
        </w:tabs>
        <w:ind w:left="2160" w:hanging="360"/>
      </w:pPr>
    </w:lvl>
    <w:lvl w:ilvl="3" w:tplc="F00E12AA">
      <w:start w:val="1"/>
      <w:numFmt w:val="decimal"/>
      <w:lvlText w:val="%4."/>
      <w:lvlJc w:val="left"/>
      <w:pPr>
        <w:tabs>
          <w:tab w:val="num" w:pos="2880"/>
        </w:tabs>
        <w:ind w:left="2880" w:hanging="360"/>
      </w:pPr>
    </w:lvl>
    <w:lvl w:ilvl="4" w:tplc="8AE03098">
      <w:start w:val="1"/>
      <w:numFmt w:val="decimal"/>
      <w:lvlText w:val="%5."/>
      <w:lvlJc w:val="left"/>
      <w:pPr>
        <w:tabs>
          <w:tab w:val="num" w:pos="3600"/>
        </w:tabs>
        <w:ind w:left="3600" w:hanging="360"/>
      </w:pPr>
    </w:lvl>
    <w:lvl w:ilvl="5" w:tplc="A25E9DDA">
      <w:start w:val="1"/>
      <w:numFmt w:val="decimal"/>
      <w:lvlText w:val="%6."/>
      <w:lvlJc w:val="left"/>
      <w:pPr>
        <w:tabs>
          <w:tab w:val="num" w:pos="4320"/>
        </w:tabs>
        <w:ind w:left="4320" w:hanging="360"/>
      </w:pPr>
    </w:lvl>
    <w:lvl w:ilvl="6" w:tplc="56C895CE">
      <w:start w:val="1"/>
      <w:numFmt w:val="decimal"/>
      <w:lvlText w:val="%7."/>
      <w:lvlJc w:val="left"/>
      <w:pPr>
        <w:tabs>
          <w:tab w:val="num" w:pos="5040"/>
        </w:tabs>
        <w:ind w:left="5040" w:hanging="360"/>
      </w:pPr>
    </w:lvl>
    <w:lvl w:ilvl="7" w:tplc="973EC884">
      <w:start w:val="1"/>
      <w:numFmt w:val="decimal"/>
      <w:lvlText w:val="%8."/>
      <w:lvlJc w:val="left"/>
      <w:pPr>
        <w:tabs>
          <w:tab w:val="num" w:pos="5760"/>
        </w:tabs>
        <w:ind w:left="5760" w:hanging="360"/>
      </w:pPr>
    </w:lvl>
    <w:lvl w:ilvl="8" w:tplc="10D05164">
      <w:start w:val="1"/>
      <w:numFmt w:val="decimal"/>
      <w:lvlText w:val="%9."/>
      <w:lvlJc w:val="left"/>
      <w:pPr>
        <w:tabs>
          <w:tab w:val="num" w:pos="6480"/>
        </w:tabs>
        <w:ind w:left="6480" w:hanging="360"/>
      </w:pPr>
    </w:lvl>
  </w:abstractNum>
  <w:abstractNum w:abstractNumId="126" w15:restartNumberingAfterBreak="0">
    <w:nsid w:val="4B6231BF"/>
    <w:multiLevelType w:val="hybridMultilevel"/>
    <w:tmpl w:val="632AC336"/>
    <w:lvl w:ilvl="0" w:tplc="7E203826">
      <w:start w:val="1"/>
      <w:numFmt w:val="bullet"/>
      <w:lvlText w:val=""/>
      <w:lvlJc w:val="left"/>
      <w:pPr>
        <w:ind w:left="720" w:hanging="360"/>
      </w:pPr>
      <w:rPr>
        <w:rFonts w:ascii="Symbol" w:hAnsi="Symbol" w:hint="default"/>
      </w:rPr>
    </w:lvl>
    <w:lvl w:ilvl="1" w:tplc="69986D4E">
      <w:start w:val="1"/>
      <w:numFmt w:val="bullet"/>
      <w:lvlText w:val="o"/>
      <w:lvlJc w:val="left"/>
      <w:pPr>
        <w:ind w:left="1440" w:hanging="360"/>
      </w:pPr>
      <w:rPr>
        <w:rFonts w:ascii="Courier New" w:hAnsi="Courier New" w:cs="Courier New" w:hint="default"/>
      </w:rPr>
    </w:lvl>
    <w:lvl w:ilvl="2" w:tplc="A6F20140">
      <w:start w:val="1"/>
      <w:numFmt w:val="bullet"/>
      <w:lvlText w:val=""/>
      <w:lvlJc w:val="left"/>
      <w:pPr>
        <w:ind w:left="2160" w:hanging="360"/>
      </w:pPr>
      <w:rPr>
        <w:rFonts w:ascii="Wingdings" w:hAnsi="Wingdings" w:hint="default"/>
      </w:rPr>
    </w:lvl>
    <w:lvl w:ilvl="3" w:tplc="3B00C946">
      <w:start w:val="1"/>
      <w:numFmt w:val="bullet"/>
      <w:lvlText w:val=""/>
      <w:lvlJc w:val="left"/>
      <w:pPr>
        <w:ind w:left="2880" w:hanging="360"/>
      </w:pPr>
      <w:rPr>
        <w:rFonts w:ascii="Symbol" w:hAnsi="Symbol" w:hint="default"/>
      </w:rPr>
    </w:lvl>
    <w:lvl w:ilvl="4" w:tplc="3B2ED568">
      <w:start w:val="1"/>
      <w:numFmt w:val="bullet"/>
      <w:lvlText w:val="o"/>
      <w:lvlJc w:val="left"/>
      <w:pPr>
        <w:ind w:left="3600" w:hanging="360"/>
      </w:pPr>
      <w:rPr>
        <w:rFonts w:ascii="Courier New" w:hAnsi="Courier New" w:cs="Courier New" w:hint="default"/>
      </w:rPr>
    </w:lvl>
    <w:lvl w:ilvl="5" w:tplc="85823CE6">
      <w:start w:val="1"/>
      <w:numFmt w:val="bullet"/>
      <w:lvlText w:val=""/>
      <w:lvlJc w:val="left"/>
      <w:pPr>
        <w:ind w:left="4320" w:hanging="360"/>
      </w:pPr>
      <w:rPr>
        <w:rFonts w:ascii="Wingdings" w:hAnsi="Wingdings" w:hint="default"/>
      </w:rPr>
    </w:lvl>
    <w:lvl w:ilvl="6" w:tplc="A8044392">
      <w:start w:val="1"/>
      <w:numFmt w:val="bullet"/>
      <w:lvlText w:val=""/>
      <w:lvlJc w:val="left"/>
      <w:pPr>
        <w:ind w:left="5040" w:hanging="360"/>
      </w:pPr>
      <w:rPr>
        <w:rFonts w:ascii="Symbol" w:hAnsi="Symbol" w:hint="default"/>
      </w:rPr>
    </w:lvl>
    <w:lvl w:ilvl="7" w:tplc="B1660E68">
      <w:start w:val="1"/>
      <w:numFmt w:val="bullet"/>
      <w:lvlText w:val="o"/>
      <w:lvlJc w:val="left"/>
      <w:pPr>
        <w:ind w:left="5760" w:hanging="360"/>
      </w:pPr>
      <w:rPr>
        <w:rFonts w:ascii="Courier New" w:hAnsi="Courier New" w:cs="Courier New" w:hint="default"/>
      </w:rPr>
    </w:lvl>
    <w:lvl w:ilvl="8" w:tplc="0A7457C4">
      <w:start w:val="1"/>
      <w:numFmt w:val="bullet"/>
      <w:lvlText w:val=""/>
      <w:lvlJc w:val="left"/>
      <w:pPr>
        <w:ind w:left="6480" w:hanging="360"/>
      </w:pPr>
      <w:rPr>
        <w:rFonts w:ascii="Wingdings" w:hAnsi="Wingdings" w:hint="default"/>
      </w:rPr>
    </w:lvl>
  </w:abstractNum>
  <w:abstractNum w:abstractNumId="127" w15:restartNumberingAfterBreak="0">
    <w:nsid w:val="4BCB7BDE"/>
    <w:multiLevelType w:val="hybridMultilevel"/>
    <w:tmpl w:val="B18E1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C9C3B44"/>
    <w:multiLevelType w:val="hybridMultilevel"/>
    <w:tmpl w:val="BD8A0CAA"/>
    <w:lvl w:ilvl="0" w:tplc="1AC692C2">
      <w:start w:val="1"/>
      <w:numFmt w:val="bullet"/>
      <w:lvlText w:val="-"/>
      <w:lvlJc w:val="left"/>
      <w:pPr>
        <w:ind w:left="720" w:hanging="360"/>
      </w:pPr>
      <w:rPr>
        <w:rFonts w:ascii="Times New Roman" w:eastAsia="Times New Roman" w:hAnsi="Times New Roman" w:cs="Times New Roman" w:hint="default"/>
      </w:rPr>
    </w:lvl>
    <w:lvl w:ilvl="1" w:tplc="AAECD146">
      <w:start w:val="1"/>
      <w:numFmt w:val="bullet"/>
      <w:lvlText w:val="o"/>
      <w:lvlJc w:val="left"/>
      <w:pPr>
        <w:ind w:left="1440" w:hanging="360"/>
      </w:pPr>
      <w:rPr>
        <w:rFonts w:ascii="Courier New" w:hAnsi="Courier New" w:cs="Courier New" w:hint="default"/>
      </w:rPr>
    </w:lvl>
    <w:lvl w:ilvl="2" w:tplc="E608495A">
      <w:start w:val="1"/>
      <w:numFmt w:val="bullet"/>
      <w:lvlText w:val=""/>
      <w:lvlJc w:val="left"/>
      <w:pPr>
        <w:ind w:left="2160" w:hanging="360"/>
      </w:pPr>
      <w:rPr>
        <w:rFonts w:ascii="Wingdings" w:hAnsi="Wingdings" w:hint="default"/>
      </w:rPr>
    </w:lvl>
    <w:lvl w:ilvl="3" w:tplc="6C0C871C">
      <w:start w:val="1"/>
      <w:numFmt w:val="bullet"/>
      <w:lvlText w:val=""/>
      <w:lvlJc w:val="left"/>
      <w:pPr>
        <w:ind w:left="2880" w:hanging="360"/>
      </w:pPr>
      <w:rPr>
        <w:rFonts w:ascii="Symbol" w:hAnsi="Symbol" w:hint="default"/>
      </w:rPr>
    </w:lvl>
    <w:lvl w:ilvl="4" w:tplc="E80490DA">
      <w:start w:val="1"/>
      <w:numFmt w:val="bullet"/>
      <w:lvlText w:val="o"/>
      <w:lvlJc w:val="left"/>
      <w:pPr>
        <w:ind w:left="3600" w:hanging="360"/>
      </w:pPr>
      <w:rPr>
        <w:rFonts w:ascii="Courier New" w:hAnsi="Courier New" w:cs="Courier New" w:hint="default"/>
      </w:rPr>
    </w:lvl>
    <w:lvl w:ilvl="5" w:tplc="849E3C02">
      <w:start w:val="1"/>
      <w:numFmt w:val="bullet"/>
      <w:lvlText w:val=""/>
      <w:lvlJc w:val="left"/>
      <w:pPr>
        <w:ind w:left="4320" w:hanging="360"/>
      </w:pPr>
      <w:rPr>
        <w:rFonts w:ascii="Wingdings" w:hAnsi="Wingdings" w:hint="default"/>
      </w:rPr>
    </w:lvl>
    <w:lvl w:ilvl="6" w:tplc="A41E8D3C">
      <w:start w:val="1"/>
      <w:numFmt w:val="bullet"/>
      <w:lvlText w:val=""/>
      <w:lvlJc w:val="left"/>
      <w:pPr>
        <w:ind w:left="5040" w:hanging="360"/>
      </w:pPr>
      <w:rPr>
        <w:rFonts w:ascii="Symbol" w:hAnsi="Symbol" w:hint="default"/>
      </w:rPr>
    </w:lvl>
    <w:lvl w:ilvl="7" w:tplc="9DC2C824">
      <w:start w:val="1"/>
      <w:numFmt w:val="bullet"/>
      <w:lvlText w:val="o"/>
      <w:lvlJc w:val="left"/>
      <w:pPr>
        <w:ind w:left="5760" w:hanging="360"/>
      </w:pPr>
      <w:rPr>
        <w:rFonts w:ascii="Courier New" w:hAnsi="Courier New" w:cs="Courier New" w:hint="default"/>
      </w:rPr>
    </w:lvl>
    <w:lvl w:ilvl="8" w:tplc="BBB210D0">
      <w:start w:val="1"/>
      <w:numFmt w:val="bullet"/>
      <w:lvlText w:val=""/>
      <w:lvlJc w:val="left"/>
      <w:pPr>
        <w:ind w:left="6480" w:hanging="360"/>
      </w:pPr>
      <w:rPr>
        <w:rFonts w:ascii="Wingdings" w:hAnsi="Wingdings" w:hint="default"/>
      </w:rPr>
    </w:lvl>
  </w:abstractNum>
  <w:abstractNum w:abstractNumId="129" w15:restartNumberingAfterBreak="0">
    <w:nsid w:val="4D7957A0"/>
    <w:multiLevelType w:val="hybridMultilevel"/>
    <w:tmpl w:val="D4A676EC"/>
    <w:lvl w:ilvl="0" w:tplc="A10A8DFA">
      <w:start w:val="1"/>
      <w:numFmt w:val="bullet"/>
      <w:lvlText w:val=""/>
      <w:lvlJc w:val="left"/>
      <w:pPr>
        <w:ind w:left="2520" w:hanging="360"/>
      </w:pPr>
      <w:rPr>
        <w:rFonts w:ascii="Symbol" w:hAnsi="Symbol" w:hint="default"/>
      </w:rPr>
    </w:lvl>
    <w:lvl w:ilvl="1" w:tplc="3A0C36AE">
      <w:start w:val="1"/>
      <w:numFmt w:val="bullet"/>
      <w:lvlText w:val="o"/>
      <w:lvlJc w:val="left"/>
      <w:pPr>
        <w:ind w:left="3240" w:hanging="360"/>
      </w:pPr>
      <w:rPr>
        <w:rFonts w:ascii="Courier New" w:hAnsi="Courier New" w:cs="Courier New" w:hint="default"/>
      </w:rPr>
    </w:lvl>
    <w:lvl w:ilvl="2" w:tplc="39D27846">
      <w:start w:val="1"/>
      <w:numFmt w:val="bullet"/>
      <w:lvlText w:val=""/>
      <w:lvlJc w:val="left"/>
      <w:pPr>
        <w:ind w:left="3960" w:hanging="360"/>
      </w:pPr>
      <w:rPr>
        <w:rFonts w:ascii="Wingdings" w:hAnsi="Wingdings" w:hint="default"/>
      </w:rPr>
    </w:lvl>
    <w:lvl w:ilvl="3" w:tplc="B76E64B0">
      <w:start w:val="1"/>
      <w:numFmt w:val="bullet"/>
      <w:lvlText w:val=""/>
      <w:lvlJc w:val="left"/>
      <w:pPr>
        <w:ind w:left="4680" w:hanging="360"/>
      </w:pPr>
      <w:rPr>
        <w:rFonts w:ascii="Symbol" w:hAnsi="Symbol" w:hint="default"/>
      </w:rPr>
    </w:lvl>
    <w:lvl w:ilvl="4" w:tplc="2E54C4F8">
      <w:start w:val="1"/>
      <w:numFmt w:val="bullet"/>
      <w:lvlText w:val="o"/>
      <w:lvlJc w:val="left"/>
      <w:pPr>
        <w:ind w:left="5400" w:hanging="360"/>
      </w:pPr>
      <w:rPr>
        <w:rFonts w:ascii="Courier New" w:hAnsi="Courier New" w:cs="Courier New" w:hint="default"/>
      </w:rPr>
    </w:lvl>
    <w:lvl w:ilvl="5" w:tplc="EFE0FDFC">
      <w:start w:val="1"/>
      <w:numFmt w:val="bullet"/>
      <w:lvlText w:val=""/>
      <w:lvlJc w:val="left"/>
      <w:pPr>
        <w:ind w:left="6120" w:hanging="360"/>
      </w:pPr>
      <w:rPr>
        <w:rFonts w:ascii="Wingdings" w:hAnsi="Wingdings" w:hint="default"/>
      </w:rPr>
    </w:lvl>
    <w:lvl w:ilvl="6" w:tplc="5B08DA00">
      <w:start w:val="1"/>
      <w:numFmt w:val="bullet"/>
      <w:lvlText w:val=""/>
      <w:lvlJc w:val="left"/>
      <w:pPr>
        <w:ind w:left="6840" w:hanging="360"/>
      </w:pPr>
      <w:rPr>
        <w:rFonts w:ascii="Symbol" w:hAnsi="Symbol" w:hint="default"/>
      </w:rPr>
    </w:lvl>
    <w:lvl w:ilvl="7" w:tplc="B868223C">
      <w:start w:val="1"/>
      <w:numFmt w:val="bullet"/>
      <w:lvlText w:val="o"/>
      <w:lvlJc w:val="left"/>
      <w:pPr>
        <w:ind w:left="7560" w:hanging="360"/>
      </w:pPr>
      <w:rPr>
        <w:rFonts w:ascii="Courier New" w:hAnsi="Courier New" w:cs="Courier New" w:hint="default"/>
      </w:rPr>
    </w:lvl>
    <w:lvl w:ilvl="8" w:tplc="D230026C">
      <w:start w:val="1"/>
      <w:numFmt w:val="bullet"/>
      <w:lvlText w:val=""/>
      <w:lvlJc w:val="left"/>
      <w:pPr>
        <w:ind w:left="8280" w:hanging="360"/>
      </w:pPr>
      <w:rPr>
        <w:rFonts w:ascii="Wingdings" w:hAnsi="Wingdings" w:hint="default"/>
      </w:rPr>
    </w:lvl>
  </w:abstractNum>
  <w:abstractNum w:abstractNumId="130" w15:restartNumberingAfterBreak="0">
    <w:nsid w:val="4DE4699D"/>
    <w:multiLevelType w:val="hybridMultilevel"/>
    <w:tmpl w:val="0906AAF6"/>
    <w:lvl w:ilvl="0" w:tplc="1326FDF6">
      <w:start w:val="1"/>
      <w:numFmt w:val="lowerLetter"/>
      <w:lvlText w:val="%1)"/>
      <w:lvlJc w:val="left"/>
      <w:pPr>
        <w:ind w:left="720" w:hanging="360"/>
      </w:pPr>
      <w:rPr>
        <w:rFonts w:hint="default"/>
      </w:rPr>
    </w:lvl>
    <w:lvl w:ilvl="1" w:tplc="7E981140">
      <w:start w:val="1"/>
      <w:numFmt w:val="lowerLetter"/>
      <w:lvlText w:val="%2."/>
      <w:lvlJc w:val="left"/>
      <w:pPr>
        <w:ind w:left="1440" w:hanging="360"/>
      </w:pPr>
    </w:lvl>
    <w:lvl w:ilvl="2" w:tplc="11EE4956">
      <w:start w:val="1"/>
      <w:numFmt w:val="lowerRoman"/>
      <w:lvlText w:val="%3."/>
      <w:lvlJc w:val="right"/>
      <w:pPr>
        <w:ind w:left="2160" w:hanging="180"/>
      </w:pPr>
    </w:lvl>
    <w:lvl w:ilvl="3" w:tplc="B85EA5AE">
      <w:start w:val="1"/>
      <w:numFmt w:val="decimal"/>
      <w:lvlText w:val="%4."/>
      <w:lvlJc w:val="left"/>
      <w:pPr>
        <w:ind w:left="2880" w:hanging="360"/>
      </w:pPr>
    </w:lvl>
    <w:lvl w:ilvl="4" w:tplc="9CF4B25E">
      <w:start w:val="1"/>
      <w:numFmt w:val="lowerLetter"/>
      <w:lvlText w:val="%5."/>
      <w:lvlJc w:val="left"/>
      <w:pPr>
        <w:ind w:left="3600" w:hanging="360"/>
      </w:pPr>
    </w:lvl>
    <w:lvl w:ilvl="5" w:tplc="60DC3138">
      <w:start w:val="1"/>
      <w:numFmt w:val="lowerRoman"/>
      <w:lvlText w:val="%6."/>
      <w:lvlJc w:val="right"/>
      <w:pPr>
        <w:ind w:left="4320" w:hanging="180"/>
      </w:pPr>
    </w:lvl>
    <w:lvl w:ilvl="6" w:tplc="7BB2E230">
      <w:start w:val="1"/>
      <w:numFmt w:val="decimal"/>
      <w:lvlText w:val="%7."/>
      <w:lvlJc w:val="left"/>
      <w:pPr>
        <w:ind w:left="5040" w:hanging="360"/>
      </w:pPr>
    </w:lvl>
    <w:lvl w:ilvl="7" w:tplc="D9AAF6BE">
      <w:start w:val="1"/>
      <w:numFmt w:val="lowerLetter"/>
      <w:lvlText w:val="%8."/>
      <w:lvlJc w:val="left"/>
      <w:pPr>
        <w:ind w:left="5760" w:hanging="360"/>
      </w:pPr>
    </w:lvl>
    <w:lvl w:ilvl="8" w:tplc="8F727F8C">
      <w:start w:val="1"/>
      <w:numFmt w:val="lowerRoman"/>
      <w:lvlText w:val="%9."/>
      <w:lvlJc w:val="right"/>
      <w:pPr>
        <w:ind w:left="6480" w:hanging="180"/>
      </w:pPr>
    </w:lvl>
  </w:abstractNum>
  <w:abstractNum w:abstractNumId="131" w15:restartNumberingAfterBreak="0">
    <w:nsid w:val="4E375EE1"/>
    <w:multiLevelType w:val="multilevel"/>
    <w:tmpl w:val="928813F8"/>
    <w:lvl w:ilvl="0">
      <w:start w:val="1"/>
      <w:numFmt w:val="decimal"/>
      <w:pStyle w:val="S1-OptB-subpara"/>
      <w:isLgl/>
      <w:lvlText w:val="%1"/>
      <w:lvlJc w:val="left"/>
      <w:pPr>
        <w:tabs>
          <w:tab w:val="num" w:pos="360"/>
        </w:tabs>
        <w:ind w:left="360" w:hanging="360"/>
      </w:pPr>
      <w:rPr>
        <w:rFonts w:hint="default"/>
        <w:b/>
        <w:i w:val="0"/>
        <w:sz w:val="24"/>
      </w:rPr>
    </w:lvl>
    <w:lvl w:ilvl="1">
      <w:start w:val="1"/>
      <w:numFmt w:val="decimal"/>
      <w:pStyle w:val="S1-OptB-subpara"/>
      <w:lvlText w:val="%1.%2"/>
      <w:lvlJc w:val="left"/>
      <w:pPr>
        <w:tabs>
          <w:tab w:val="num" w:pos="360"/>
        </w:tabs>
        <w:ind w:left="360" w:hanging="360"/>
      </w:pPr>
      <w:rPr>
        <w:rFonts w:hint="default"/>
        <w:b w:val="0"/>
        <w:i w:val="0"/>
        <w:sz w:val="24"/>
      </w:rPr>
    </w:lvl>
    <w:lvl w:ilvl="2">
      <w:start w:val="1"/>
      <w:numFmt w:val="lowerRoman"/>
      <w:lvlText w:val="(%3)"/>
      <w:lvlJc w:val="left"/>
      <w:pPr>
        <w:tabs>
          <w:tab w:val="num" w:pos="720"/>
        </w:tabs>
        <w:ind w:left="720" w:hanging="360"/>
      </w:pPr>
      <w:rPr>
        <w:rFonts w:hint="default"/>
        <w:b w:val="0"/>
        <w:i w:val="0"/>
        <w:sz w:val="24"/>
      </w:rPr>
    </w:lvl>
    <w:lvl w:ilvl="3">
      <w:start w:val="1"/>
      <w:numFmt w:val="decimal"/>
      <w:lvlText w:val="(%4)"/>
      <w:lvlJc w:val="left"/>
      <w:pPr>
        <w:tabs>
          <w:tab w:val="num" w:pos="1080"/>
        </w:tabs>
        <w:ind w:left="1080" w:hanging="360"/>
      </w:pPr>
      <w:rPr>
        <w:rFonts w:hint="default"/>
        <w:b w:val="0"/>
        <w:i w:val="0"/>
        <w:sz w:val="24"/>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1800"/>
        </w:tabs>
        <w:ind w:left="1800" w:hanging="360"/>
      </w:pPr>
      <w:rPr>
        <w:rFonts w:hint="default"/>
      </w:rPr>
    </w:lvl>
    <w:lvl w:ilvl="6">
      <w:start w:val="1"/>
      <w:numFmt w:val="decimal"/>
      <w:lvlText w:val="%7."/>
      <w:lvlJc w:val="left"/>
      <w:pPr>
        <w:tabs>
          <w:tab w:val="num" w:pos="2160"/>
        </w:tabs>
        <w:ind w:left="2160" w:hanging="360"/>
      </w:pPr>
      <w:rPr>
        <w:rFonts w:hint="default"/>
      </w:rPr>
    </w:lvl>
    <w:lvl w:ilvl="7">
      <w:start w:val="1"/>
      <w:numFmt w:val="lowerLetter"/>
      <w:lvlText w:val="%8."/>
      <w:lvlJc w:val="left"/>
      <w:pPr>
        <w:tabs>
          <w:tab w:val="num" w:pos="2520"/>
        </w:tabs>
        <w:ind w:left="2520" w:hanging="360"/>
      </w:pPr>
      <w:rPr>
        <w:rFonts w:hint="default"/>
      </w:rPr>
    </w:lvl>
    <w:lvl w:ilvl="8">
      <w:start w:val="1"/>
      <w:numFmt w:val="lowerRoman"/>
      <w:lvlText w:val="%9."/>
      <w:lvlJc w:val="left"/>
      <w:pPr>
        <w:tabs>
          <w:tab w:val="num" w:pos="2880"/>
        </w:tabs>
        <w:ind w:left="2880" w:hanging="360"/>
      </w:pPr>
      <w:rPr>
        <w:rFonts w:hint="default"/>
      </w:rPr>
    </w:lvl>
  </w:abstractNum>
  <w:abstractNum w:abstractNumId="132" w15:restartNumberingAfterBreak="0">
    <w:nsid w:val="4E8F092E"/>
    <w:multiLevelType w:val="hybridMultilevel"/>
    <w:tmpl w:val="C0B8C822"/>
    <w:lvl w:ilvl="0" w:tplc="62943D92">
      <w:start w:val="1"/>
      <w:numFmt w:val="bullet"/>
      <w:lvlText w:val="-"/>
      <w:lvlJc w:val="left"/>
      <w:pPr>
        <w:ind w:left="720" w:hanging="360"/>
      </w:pPr>
      <w:rPr>
        <w:rFonts w:ascii="Times New Roman" w:eastAsia="Times New Roman" w:hAnsi="Times New Roman" w:cs="Times New Roman" w:hint="default"/>
      </w:rPr>
    </w:lvl>
    <w:lvl w:ilvl="1" w:tplc="68C4B810">
      <w:start w:val="1"/>
      <w:numFmt w:val="bullet"/>
      <w:lvlText w:val="o"/>
      <w:lvlJc w:val="left"/>
      <w:pPr>
        <w:ind w:left="1440" w:hanging="360"/>
      </w:pPr>
      <w:rPr>
        <w:rFonts w:ascii="Courier New" w:hAnsi="Courier New" w:cs="Courier New" w:hint="default"/>
      </w:rPr>
    </w:lvl>
    <w:lvl w:ilvl="2" w:tplc="D5606F90">
      <w:start w:val="1"/>
      <w:numFmt w:val="bullet"/>
      <w:lvlText w:val=""/>
      <w:lvlJc w:val="left"/>
      <w:pPr>
        <w:ind w:left="2160" w:hanging="360"/>
      </w:pPr>
      <w:rPr>
        <w:rFonts w:ascii="Wingdings" w:hAnsi="Wingdings" w:hint="default"/>
      </w:rPr>
    </w:lvl>
    <w:lvl w:ilvl="3" w:tplc="5ADE7B60">
      <w:start w:val="1"/>
      <w:numFmt w:val="bullet"/>
      <w:lvlText w:val=""/>
      <w:lvlJc w:val="left"/>
      <w:pPr>
        <w:ind w:left="2880" w:hanging="360"/>
      </w:pPr>
      <w:rPr>
        <w:rFonts w:ascii="Symbol" w:hAnsi="Symbol" w:hint="default"/>
      </w:rPr>
    </w:lvl>
    <w:lvl w:ilvl="4" w:tplc="7166C6C6">
      <w:start w:val="1"/>
      <w:numFmt w:val="bullet"/>
      <w:lvlText w:val="o"/>
      <w:lvlJc w:val="left"/>
      <w:pPr>
        <w:ind w:left="3600" w:hanging="360"/>
      </w:pPr>
      <w:rPr>
        <w:rFonts w:ascii="Courier New" w:hAnsi="Courier New" w:cs="Courier New" w:hint="default"/>
      </w:rPr>
    </w:lvl>
    <w:lvl w:ilvl="5" w:tplc="2B7A5046">
      <w:start w:val="1"/>
      <w:numFmt w:val="bullet"/>
      <w:lvlText w:val=""/>
      <w:lvlJc w:val="left"/>
      <w:pPr>
        <w:ind w:left="4320" w:hanging="360"/>
      </w:pPr>
      <w:rPr>
        <w:rFonts w:ascii="Wingdings" w:hAnsi="Wingdings" w:hint="default"/>
      </w:rPr>
    </w:lvl>
    <w:lvl w:ilvl="6" w:tplc="EF285E28">
      <w:start w:val="1"/>
      <w:numFmt w:val="bullet"/>
      <w:lvlText w:val=""/>
      <w:lvlJc w:val="left"/>
      <w:pPr>
        <w:ind w:left="5040" w:hanging="360"/>
      </w:pPr>
      <w:rPr>
        <w:rFonts w:ascii="Symbol" w:hAnsi="Symbol" w:hint="default"/>
      </w:rPr>
    </w:lvl>
    <w:lvl w:ilvl="7" w:tplc="C0EE2032">
      <w:start w:val="1"/>
      <w:numFmt w:val="bullet"/>
      <w:lvlText w:val="o"/>
      <w:lvlJc w:val="left"/>
      <w:pPr>
        <w:ind w:left="5760" w:hanging="360"/>
      </w:pPr>
      <w:rPr>
        <w:rFonts w:ascii="Courier New" w:hAnsi="Courier New" w:cs="Courier New" w:hint="default"/>
      </w:rPr>
    </w:lvl>
    <w:lvl w:ilvl="8" w:tplc="9252FD72">
      <w:start w:val="1"/>
      <w:numFmt w:val="bullet"/>
      <w:lvlText w:val=""/>
      <w:lvlJc w:val="left"/>
      <w:pPr>
        <w:ind w:left="6480" w:hanging="360"/>
      </w:pPr>
      <w:rPr>
        <w:rFonts w:ascii="Wingdings" w:hAnsi="Wingdings" w:hint="default"/>
      </w:rPr>
    </w:lvl>
  </w:abstractNum>
  <w:abstractNum w:abstractNumId="133" w15:restartNumberingAfterBreak="0">
    <w:nsid w:val="4F122AB2"/>
    <w:multiLevelType w:val="hybridMultilevel"/>
    <w:tmpl w:val="46C09FEC"/>
    <w:lvl w:ilvl="0" w:tplc="8D2A1C54">
      <w:start w:val="1"/>
      <w:numFmt w:val="lowerLetter"/>
      <w:lvlText w:val="%1."/>
      <w:lvlJc w:val="left"/>
      <w:pPr>
        <w:ind w:left="1440" w:hanging="360"/>
      </w:pPr>
    </w:lvl>
    <w:lvl w:ilvl="1" w:tplc="4274EFE0">
      <w:start w:val="1"/>
      <w:numFmt w:val="lowerLetter"/>
      <w:lvlText w:val="%2."/>
      <w:lvlJc w:val="left"/>
      <w:pPr>
        <w:ind w:left="2160" w:hanging="360"/>
      </w:pPr>
    </w:lvl>
    <w:lvl w:ilvl="2" w:tplc="E72AF908">
      <w:start w:val="1"/>
      <w:numFmt w:val="lowerRoman"/>
      <w:lvlText w:val="%3."/>
      <w:lvlJc w:val="right"/>
      <w:pPr>
        <w:ind w:left="2880" w:hanging="180"/>
      </w:pPr>
    </w:lvl>
    <w:lvl w:ilvl="3" w:tplc="60B8EE10">
      <w:start w:val="1"/>
      <w:numFmt w:val="decimal"/>
      <w:lvlText w:val="%4."/>
      <w:lvlJc w:val="left"/>
      <w:pPr>
        <w:ind w:left="3600" w:hanging="360"/>
      </w:pPr>
    </w:lvl>
    <w:lvl w:ilvl="4" w:tplc="7FAA0D6C">
      <w:start w:val="1"/>
      <w:numFmt w:val="lowerLetter"/>
      <w:lvlText w:val="%5."/>
      <w:lvlJc w:val="left"/>
      <w:pPr>
        <w:ind w:left="4320" w:hanging="360"/>
      </w:pPr>
    </w:lvl>
    <w:lvl w:ilvl="5" w:tplc="4F583B8E">
      <w:start w:val="1"/>
      <w:numFmt w:val="lowerRoman"/>
      <w:lvlText w:val="%6."/>
      <w:lvlJc w:val="right"/>
      <w:pPr>
        <w:ind w:left="5040" w:hanging="180"/>
      </w:pPr>
    </w:lvl>
    <w:lvl w:ilvl="6" w:tplc="03343000">
      <w:start w:val="1"/>
      <w:numFmt w:val="decimal"/>
      <w:lvlText w:val="%7."/>
      <w:lvlJc w:val="left"/>
      <w:pPr>
        <w:ind w:left="5760" w:hanging="360"/>
      </w:pPr>
    </w:lvl>
    <w:lvl w:ilvl="7" w:tplc="FCBAFC3A">
      <w:start w:val="1"/>
      <w:numFmt w:val="lowerLetter"/>
      <w:lvlText w:val="%8."/>
      <w:lvlJc w:val="left"/>
      <w:pPr>
        <w:ind w:left="6480" w:hanging="360"/>
      </w:pPr>
    </w:lvl>
    <w:lvl w:ilvl="8" w:tplc="05AAC37E">
      <w:start w:val="1"/>
      <w:numFmt w:val="lowerRoman"/>
      <w:lvlText w:val="%9."/>
      <w:lvlJc w:val="right"/>
      <w:pPr>
        <w:ind w:left="7200" w:hanging="180"/>
      </w:pPr>
    </w:lvl>
  </w:abstractNum>
  <w:abstractNum w:abstractNumId="134" w15:restartNumberingAfterBreak="0">
    <w:nsid w:val="4F8E3531"/>
    <w:multiLevelType w:val="hybridMultilevel"/>
    <w:tmpl w:val="AB22C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FB93E7A"/>
    <w:multiLevelType w:val="hybridMultilevel"/>
    <w:tmpl w:val="44B2E89C"/>
    <w:lvl w:ilvl="0" w:tplc="5412A220">
      <w:start w:val="1"/>
      <w:numFmt w:val="bullet"/>
      <w:lvlText w:val=""/>
      <w:lvlJc w:val="left"/>
      <w:pPr>
        <w:ind w:left="720" w:hanging="360"/>
      </w:pPr>
      <w:rPr>
        <w:rFonts w:ascii="Symbol" w:hAnsi="Symbol" w:hint="default"/>
      </w:rPr>
    </w:lvl>
    <w:lvl w:ilvl="1" w:tplc="3718E802">
      <w:start w:val="1"/>
      <w:numFmt w:val="bullet"/>
      <w:lvlText w:val="o"/>
      <w:lvlJc w:val="left"/>
      <w:pPr>
        <w:ind w:left="1440" w:hanging="360"/>
      </w:pPr>
      <w:rPr>
        <w:rFonts w:ascii="Courier New" w:hAnsi="Courier New" w:cs="Courier New" w:hint="default"/>
      </w:rPr>
    </w:lvl>
    <w:lvl w:ilvl="2" w:tplc="1AE29E72">
      <w:start w:val="1"/>
      <w:numFmt w:val="bullet"/>
      <w:lvlText w:val=""/>
      <w:lvlJc w:val="left"/>
      <w:pPr>
        <w:ind w:left="2160" w:hanging="360"/>
      </w:pPr>
      <w:rPr>
        <w:rFonts w:ascii="Wingdings" w:hAnsi="Wingdings" w:hint="default"/>
      </w:rPr>
    </w:lvl>
    <w:lvl w:ilvl="3" w:tplc="0B284D2A">
      <w:start w:val="1"/>
      <w:numFmt w:val="bullet"/>
      <w:lvlText w:val=""/>
      <w:lvlJc w:val="left"/>
      <w:pPr>
        <w:ind w:left="2880" w:hanging="360"/>
      </w:pPr>
      <w:rPr>
        <w:rFonts w:ascii="Symbol" w:hAnsi="Symbol" w:hint="default"/>
      </w:rPr>
    </w:lvl>
    <w:lvl w:ilvl="4" w:tplc="CE38DDA8">
      <w:start w:val="1"/>
      <w:numFmt w:val="bullet"/>
      <w:lvlText w:val="o"/>
      <w:lvlJc w:val="left"/>
      <w:pPr>
        <w:ind w:left="3600" w:hanging="360"/>
      </w:pPr>
      <w:rPr>
        <w:rFonts w:ascii="Courier New" w:hAnsi="Courier New" w:cs="Courier New" w:hint="default"/>
      </w:rPr>
    </w:lvl>
    <w:lvl w:ilvl="5" w:tplc="07FCC678">
      <w:start w:val="1"/>
      <w:numFmt w:val="bullet"/>
      <w:lvlText w:val=""/>
      <w:lvlJc w:val="left"/>
      <w:pPr>
        <w:ind w:left="4320" w:hanging="360"/>
      </w:pPr>
      <w:rPr>
        <w:rFonts w:ascii="Wingdings" w:hAnsi="Wingdings" w:hint="default"/>
      </w:rPr>
    </w:lvl>
    <w:lvl w:ilvl="6" w:tplc="7E1C9FAE">
      <w:start w:val="1"/>
      <w:numFmt w:val="bullet"/>
      <w:lvlText w:val=""/>
      <w:lvlJc w:val="left"/>
      <w:pPr>
        <w:ind w:left="5040" w:hanging="360"/>
      </w:pPr>
      <w:rPr>
        <w:rFonts w:ascii="Symbol" w:hAnsi="Symbol" w:hint="default"/>
      </w:rPr>
    </w:lvl>
    <w:lvl w:ilvl="7" w:tplc="81F03D98">
      <w:start w:val="1"/>
      <w:numFmt w:val="bullet"/>
      <w:lvlText w:val="o"/>
      <w:lvlJc w:val="left"/>
      <w:pPr>
        <w:ind w:left="5760" w:hanging="360"/>
      </w:pPr>
      <w:rPr>
        <w:rFonts w:ascii="Courier New" w:hAnsi="Courier New" w:cs="Courier New" w:hint="default"/>
      </w:rPr>
    </w:lvl>
    <w:lvl w:ilvl="8" w:tplc="5FB88270">
      <w:start w:val="1"/>
      <w:numFmt w:val="bullet"/>
      <w:lvlText w:val=""/>
      <w:lvlJc w:val="left"/>
      <w:pPr>
        <w:ind w:left="6480" w:hanging="360"/>
      </w:pPr>
      <w:rPr>
        <w:rFonts w:ascii="Wingdings" w:hAnsi="Wingdings" w:hint="default"/>
      </w:rPr>
    </w:lvl>
  </w:abstractNum>
  <w:abstractNum w:abstractNumId="136" w15:restartNumberingAfterBreak="0">
    <w:nsid w:val="4FE30E2F"/>
    <w:multiLevelType w:val="hybridMultilevel"/>
    <w:tmpl w:val="99DE6836"/>
    <w:lvl w:ilvl="0" w:tplc="48BCBBE4">
      <w:start w:val="1"/>
      <w:numFmt w:val="bullet"/>
      <w:lvlText w:val=""/>
      <w:lvlJc w:val="left"/>
      <w:pPr>
        <w:tabs>
          <w:tab w:val="num" w:pos="2880"/>
        </w:tabs>
        <w:ind w:left="2880" w:hanging="360"/>
      </w:pPr>
      <w:rPr>
        <w:rFonts w:ascii="Symbol" w:hAnsi="Symbol" w:hint="default"/>
      </w:rPr>
    </w:lvl>
    <w:lvl w:ilvl="1" w:tplc="C3006A9C">
      <w:start w:val="1"/>
      <w:numFmt w:val="bullet"/>
      <w:lvlText w:val="o"/>
      <w:lvlJc w:val="left"/>
      <w:pPr>
        <w:tabs>
          <w:tab w:val="num" w:pos="3600"/>
        </w:tabs>
        <w:ind w:left="3600" w:hanging="360"/>
      </w:pPr>
      <w:rPr>
        <w:rFonts w:ascii="Courier New" w:hAnsi="Courier New" w:cs="Courier New" w:hint="default"/>
      </w:rPr>
    </w:lvl>
    <w:lvl w:ilvl="2" w:tplc="5802BE22">
      <w:start w:val="1"/>
      <w:numFmt w:val="bullet"/>
      <w:lvlText w:val=""/>
      <w:lvlJc w:val="left"/>
      <w:pPr>
        <w:tabs>
          <w:tab w:val="num" w:pos="4320"/>
        </w:tabs>
        <w:ind w:left="4320" w:hanging="360"/>
      </w:pPr>
      <w:rPr>
        <w:rFonts w:ascii="Wingdings" w:hAnsi="Wingdings" w:hint="default"/>
      </w:rPr>
    </w:lvl>
    <w:lvl w:ilvl="3" w:tplc="AC1C3612">
      <w:start w:val="1"/>
      <w:numFmt w:val="bullet"/>
      <w:lvlText w:val=""/>
      <w:lvlJc w:val="left"/>
      <w:pPr>
        <w:tabs>
          <w:tab w:val="num" w:pos="5040"/>
        </w:tabs>
        <w:ind w:left="5040" w:hanging="360"/>
      </w:pPr>
      <w:rPr>
        <w:rFonts w:ascii="Symbol" w:hAnsi="Symbol" w:hint="default"/>
      </w:rPr>
    </w:lvl>
    <w:lvl w:ilvl="4" w:tplc="DB6E9A02">
      <w:start w:val="1"/>
      <w:numFmt w:val="bullet"/>
      <w:lvlText w:val="o"/>
      <w:lvlJc w:val="left"/>
      <w:pPr>
        <w:tabs>
          <w:tab w:val="num" w:pos="5760"/>
        </w:tabs>
        <w:ind w:left="5760" w:hanging="360"/>
      </w:pPr>
      <w:rPr>
        <w:rFonts w:ascii="Courier New" w:hAnsi="Courier New" w:cs="Courier New" w:hint="default"/>
      </w:rPr>
    </w:lvl>
    <w:lvl w:ilvl="5" w:tplc="CBE0FF24">
      <w:start w:val="1"/>
      <w:numFmt w:val="bullet"/>
      <w:lvlText w:val=""/>
      <w:lvlJc w:val="left"/>
      <w:pPr>
        <w:tabs>
          <w:tab w:val="num" w:pos="6480"/>
        </w:tabs>
        <w:ind w:left="6480" w:hanging="360"/>
      </w:pPr>
      <w:rPr>
        <w:rFonts w:ascii="Wingdings" w:hAnsi="Wingdings" w:hint="default"/>
      </w:rPr>
    </w:lvl>
    <w:lvl w:ilvl="6" w:tplc="A666383A">
      <w:start w:val="1"/>
      <w:numFmt w:val="bullet"/>
      <w:lvlText w:val=""/>
      <w:lvlJc w:val="left"/>
      <w:pPr>
        <w:tabs>
          <w:tab w:val="num" w:pos="7200"/>
        </w:tabs>
        <w:ind w:left="7200" w:hanging="360"/>
      </w:pPr>
      <w:rPr>
        <w:rFonts w:ascii="Symbol" w:hAnsi="Symbol" w:hint="default"/>
      </w:rPr>
    </w:lvl>
    <w:lvl w:ilvl="7" w:tplc="731A5028">
      <w:start w:val="1"/>
      <w:numFmt w:val="bullet"/>
      <w:lvlText w:val="o"/>
      <w:lvlJc w:val="left"/>
      <w:pPr>
        <w:tabs>
          <w:tab w:val="num" w:pos="7920"/>
        </w:tabs>
        <w:ind w:left="7920" w:hanging="360"/>
      </w:pPr>
      <w:rPr>
        <w:rFonts w:ascii="Courier New" w:hAnsi="Courier New" w:cs="Courier New" w:hint="default"/>
      </w:rPr>
    </w:lvl>
    <w:lvl w:ilvl="8" w:tplc="8466BD1C">
      <w:start w:val="1"/>
      <w:numFmt w:val="bullet"/>
      <w:lvlText w:val=""/>
      <w:lvlJc w:val="left"/>
      <w:pPr>
        <w:tabs>
          <w:tab w:val="num" w:pos="8640"/>
        </w:tabs>
        <w:ind w:left="8640" w:hanging="360"/>
      </w:pPr>
      <w:rPr>
        <w:rFonts w:ascii="Wingdings" w:hAnsi="Wingdings" w:hint="default"/>
      </w:rPr>
    </w:lvl>
  </w:abstractNum>
  <w:abstractNum w:abstractNumId="137" w15:restartNumberingAfterBreak="0">
    <w:nsid w:val="503F3F2F"/>
    <w:multiLevelType w:val="hybridMultilevel"/>
    <w:tmpl w:val="5B16E310"/>
    <w:lvl w:ilvl="0" w:tplc="94865FAA">
      <w:start w:val="1"/>
      <w:numFmt w:val="bullet"/>
      <w:lvlText w:val="•"/>
      <w:lvlJc w:val="left"/>
      <w:pPr>
        <w:ind w:left="720" w:hanging="360"/>
      </w:pPr>
      <w:rPr>
        <w:rFonts w:ascii="Calibri Light" w:eastAsia="Times New Roman" w:hAnsi="Calibri Light" w:cs="Times New Roman" w:hint="default"/>
      </w:rPr>
    </w:lvl>
    <w:lvl w:ilvl="1" w:tplc="653AF814">
      <w:start w:val="1"/>
      <w:numFmt w:val="bullet"/>
      <w:lvlText w:val="o"/>
      <w:lvlJc w:val="left"/>
      <w:pPr>
        <w:ind w:left="1440" w:hanging="360"/>
      </w:pPr>
      <w:rPr>
        <w:rFonts w:ascii="Courier New" w:hAnsi="Courier New" w:cs="Courier New" w:hint="default"/>
      </w:rPr>
    </w:lvl>
    <w:lvl w:ilvl="2" w:tplc="C73A9622">
      <w:start w:val="1"/>
      <w:numFmt w:val="bullet"/>
      <w:lvlText w:val=""/>
      <w:lvlJc w:val="left"/>
      <w:pPr>
        <w:ind w:left="2160" w:hanging="360"/>
      </w:pPr>
      <w:rPr>
        <w:rFonts w:ascii="Wingdings" w:hAnsi="Wingdings" w:hint="default"/>
      </w:rPr>
    </w:lvl>
    <w:lvl w:ilvl="3" w:tplc="FF66B096">
      <w:start w:val="1"/>
      <w:numFmt w:val="bullet"/>
      <w:lvlText w:val=""/>
      <w:lvlJc w:val="left"/>
      <w:pPr>
        <w:ind w:left="2880" w:hanging="360"/>
      </w:pPr>
      <w:rPr>
        <w:rFonts w:ascii="Symbol" w:hAnsi="Symbol" w:hint="default"/>
      </w:rPr>
    </w:lvl>
    <w:lvl w:ilvl="4" w:tplc="05BA30E4">
      <w:start w:val="1"/>
      <w:numFmt w:val="bullet"/>
      <w:lvlText w:val="o"/>
      <w:lvlJc w:val="left"/>
      <w:pPr>
        <w:ind w:left="3600" w:hanging="360"/>
      </w:pPr>
      <w:rPr>
        <w:rFonts w:ascii="Courier New" w:hAnsi="Courier New" w:cs="Courier New" w:hint="default"/>
      </w:rPr>
    </w:lvl>
    <w:lvl w:ilvl="5" w:tplc="056444CE">
      <w:start w:val="1"/>
      <w:numFmt w:val="bullet"/>
      <w:lvlText w:val=""/>
      <w:lvlJc w:val="left"/>
      <w:pPr>
        <w:ind w:left="4320" w:hanging="360"/>
      </w:pPr>
      <w:rPr>
        <w:rFonts w:ascii="Wingdings" w:hAnsi="Wingdings" w:hint="default"/>
      </w:rPr>
    </w:lvl>
    <w:lvl w:ilvl="6" w:tplc="FC9A2846">
      <w:start w:val="1"/>
      <w:numFmt w:val="bullet"/>
      <w:lvlText w:val=""/>
      <w:lvlJc w:val="left"/>
      <w:pPr>
        <w:ind w:left="5040" w:hanging="360"/>
      </w:pPr>
      <w:rPr>
        <w:rFonts w:ascii="Symbol" w:hAnsi="Symbol" w:hint="default"/>
      </w:rPr>
    </w:lvl>
    <w:lvl w:ilvl="7" w:tplc="4C7A7AD0">
      <w:start w:val="1"/>
      <w:numFmt w:val="bullet"/>
      <w:lvlText w:val="o"/>
      <w:lvlJc w:val="left"/>
      <w:pPr>
        <w:ind w:left="5760" w:hanging="360"/>
      </w:pPr>
      <w:rPr>
        <w:rFonts w:ascii="Courier New" w:hAnsi="Courier New" w:cs="Courier New" w:hint="default"/>
      </w:rPr>
    </w:lvl>
    <w:lvl w:ilvl="8" w:tplc="EE027332">
      <w:start w:val="1"/>
      <w:numFmt w:val="bullet"/>
      <w:lvlText w:val=""/>
      <w:lvlJc w:val="left"/>
      <w:pPr>
        <w:ind w:left="6480" w:hanging="360"/>
      </w:pPr>
      <w:rPr>
        <w:rFonts w:ascii="Wingdings" w:hAnsi="Wingdings" w:hint="default"/>
      </w:rPr>
    </w:lvl>
  </w:abstractNum>
  <w:abstractNum w:abstractNumId="138" w15:restartNumberingAfterBreak="0">
    <w:nsid w:val="50DD65F2"/>
    <w:multiLevelType w:val="hybridMultilevel"/>
    <w:tmpl w:val="9C1A1E38"/>
    <w:lvl w:ilvl="0" w:tplc="BF3CF76C">
      <w:start w:val="1"/>
      <w:numFmt w:val="decimal"/>
      <w:lvlText w:val="%1."/>
      <w:lvlJc w:val="left"/>
      <w:pPr>
        <w:ind w:left="1800" w:hanging="360"/>
      </w:pPr>
    </w:lvl>
    <w:lvl w:ilvl="1" w:tplc="92CC3AFE">
      <w:start w:val="1"/>
      <w:numFmt w:val="lowerLetter"/>
      <w:lvlText w:val="%2."/>
      <w:lvlJc w:val="left"/>
      <w:pPr>
        <w:ind w:left="2520" w:hanging="360"/>
      </w:pPr>
    </w:lvl>
    <w:lvl w:ilvl="2" w:tplc="713A1AE2">
      <w:start w:val="1"/>
      <w:numFmt w:val="lowerRoman"/>
      <w:lvlText w:val="%3."/>
      <w:lvlJc w:val="right"/>
      <w:pPr>
        <w:ind w:left="3240" w:hanging="180"/>
      </w:pPr>
    </w:lvl>
    <w:lvl w:ilvl="3" w:tplc="AAB67696">
      <w:start w:val="1"/>
      <w:numFmt w:val="decimal"/>
      <w:lvlText w:val="%4."/>
      <w:lvlJc w:val="left"/>
      <w:pPr>
        <w:ind w:left="3960" w:hanging="360"/>
      </w:pPr>
    </w:lvl>
    <w:lvl w:ilvl="4" w:tplc="BFF8321E">
      <w:start w:val="1"/>
      <w:numFmt w:val="lowerLetter"/>
      <w:lvlText w:val="%5."/>
      <w:lvlJc w:val="left"/>
      <w:pPr>
        <w:ind w:left="4680" w:hanging="360"/>
      </w:pPr>
    </w:lvl>
    <w:lvl w:ilvl="5" w:tplc="01B03828">
      <w:start w:val="1"/>
      <w:numFmt w:val="lowerRoman"/>
      <w:lvlText w:val="%6."/>
      <w:lvlJc w:val="right"/>
      <w:pPr>
        <w:ind w:left="5400" w:hanging="180"/>
      </w:pPr>
    </w:lvl>
    <w:lvl w:ilvl="6" w:tplc="DA6622EA">
      <w:start w:val="1"/>
      <w:numFmt w:val="decimal"/>
      <w:lvlText w:val="%7."/>
      <w:lvlJc w:val="left"/>
      <w:pPr>
        <w:ind w:left="6120" w:hanging="360"/>
      </w:pPr>
    </w:lvl>
    <w:lvl w:ilvl="7" w:tplc="D438292A">
      <w:start w:val="1"/>
      <w:numFmt w:val="lowerLetter"/>
      <w:lvlText w:val="%8."/>
      <w:lvlJc w:val="left"/>
      <w:pPr>
        <w:ind w:left="6840" w:hanging="360"/>
      </w:pPr>
    </w:lvl>
    <w:lvl w:ilvl="8" w:tplc="7BE807C4">
      <w:start w:val="1"/>
      <w:numFmt w:val="lowerRoman"/>
      <w:lvlText w:val="%9."/>
      <w:lvlJc w:val="right"/>
      <w:pPr>
        <w:ind w:left="7560" w:hanging="180"/>
      </w:pPr>
    </w:lvl>
  </w:abstractNum>
  <w:abstractNum w:abstractNumId="139" w15:restartNumberingAfterBreak="0">
    <w:nsid w:val="51340F20"/>
    <w:multiLevelType w:val="hybridMultilevel"/>
    <w:tmpl w:val="F120E04C"/>
    <w:lvl w:ilvl="0" w:tplc="5660F68A">
      <w:start w:val="1"/>
      <w:numFmt w:val="bullet"/>
      <w:lvlText w:val="•"/>
      <w:lvlJc w:val="left"/>
      <w:pPr>
        <w:ind w:left="720" w:hanging="360"/>
      </w:pPr>
      <w:rPr>
        <w:rFonts w:ascii="Calibri Light" w:eastAsia="Times New Roman" w:hAnsi="Calibri Light" w:cs="Times New Roman" w:hint="default"/>
      </w:rPr>
    </w:lvl>
    <w:lvl w:ilvl="1" w:tplc="AB881456">
      <w:start w:val="1"/>
      <w:numFmt w:val="bullet"/>
      <w:lvlText w:val="o"/>
      <w:lvlJc w:val="left"/>
      <w:pPr>
        <w:ind w:left="1440" w:hanging="360"/>
      </w:pPr>
      <w:rPr>
        <w:rFonts w:ascii="Courier New" w:hAnsi="Courier New" w:cs="Courier New" w:hint="default"/>
      </w:rPr>
    </w:lvl>
    <w:lvl w:ilvl="2" w:tplc="69D69D06">
      <w:start w:val="1"/>
      <w:numFmt w:val="bullet"/>
      <w:lvlText w:val=""/>
      <w:lvlJc w:val="left"/>
      <w:pPr>
        <w:ind w:left="2160" w:hanging="360"/>
      </w:pPr>
      <w:rPr>
        <w:rFonts w:ascii="Wingdings" w:hAnsi="Wingdings" w:hint="default"/>
      </w:rPr>
    </w:lvl>
    <w:lvl w:ilvl="3" w:tplc="61B03610">
      <w:start w:val="1"/>
      <w:numFmt w:val="bullet"/>
      <w:lvlText w:val=""/>
      <w:lvlJc w:val="left"/>
      <w:pPr>
        <w:ind w:left="2880" w:hanging="360"/>
      </w:pPr>
      <w:rPr>
        <w:rFonts w:ascii="Symbol" w:hAnsi="Symbol" w:hint="default"/>
      </w:rPr>
    </w:lvl>
    <w:lvl w:ilvl="4" w:tplc="7C3A49E4">
      <w:start w:val="1"/>
      <w:numFmt w:val="bullet"/>
      <w:lvlText w:val="o"/>
      <w:lvlJc w:val="left"/>
      <w:pPr>
        <w:ind w:left="3600" w:hanging="360"/>
      </w:pPr>
      <w:rPr>
        <w:rFonts w:ascii="Courier New" w:hAnsi="Courier New" w:cs="Courier New" w:hint="default"/>
      </w:rPr>
    </w:lvl>
    <w:lvl w:ilvl="5" w:tplc="359E72EA">
      <w:start w:val="1"/>
      <w:numFmt w:val="bullet"/>
      <w:lvlText w:val=""/>
      <w:lvlJc w:val="left"/>
      <w:pPr>
        <w:ind w:left="4320" w:hanging="360"/>
      </w:pPr>
      <w:rPr>
        <w:rFonts w:ascii="Wingdings" w:hAnsi="Wingdings" w:hint="default"/>
      </w:rPr>
    </w:lvl>
    <w:lvl w:ilvl="6" w:tplc="0352B94A">
      <w:start w:val="1"/>
      <w:numFmt w:val="bullet"/>
      <w:lvlText w:val=""/>
      <w:lvlJc w:val="left"/>
      <w:pPr>
        <w:ind w:left="5040" w:hanging="360"/>
      </w:pPr>
      <w:rPr>
        <w:rFonts w:ascii="Symbol" w:hAnsi="Symbol" w:hint="default"/>
      </w:rPr>
    </w:lvl>
    <w:lvl w:ilvl="7" w:tplc="E6E2F1A6">
      <w:start w:val="1"/>
      <w:numFmt w:val="bullet"/>
      <w:lvlText w:val="o"/>
      <w:lvlJc w:val="left"/>
      <w:pPr>
        <w:ind w:left="5760" w:hanging="360"/>
      </w:pPr>
      <w:rPr>
        <w:rFonts w:ascii="Courier New" w:hAnsi="Courier New" w:cs="Courier New" w:hint="default"/>
      </w:rPr>
    </w:lvl>
    <w:lvl w:ilvl="8" w:tplc="17B49BC6">
      <w:start w:val="1"/>
      <w:numFmt w:val="bullet"/>
      <w:lvlText w:val=""/>
      <w:lvlJc w:val="left"/>
      <w:pPr>
        <w:ind w:left="6480" w:hanging="360"/>
      </w:pPr>
      <w:rPr>
        <w:rFonts w:ascii="Wingdings" w:hAnsi="Wingdings" w:hint="default"/>
      </w:rPr>
    </w:lvl>
  </w:abstractNum>
  <w:abstractNum w:abstractNumId="140" w15:restartNumberingAfterBreak="0">
    <w:nsid w:val="52943A60"/>
    <w:multiLevelType w:val="hybridMultilevel"/>
    <w:tmpl w:val="88A0F64C"/>
    <w:lvl w:ilvl="0" w:tplc="64E8B3C8">
      <w:start w:val="1"/>
      <w:numFmt w:val="bullet"/>
      <w:lvlText w:val="•"/>
      <w:lvlJc w:val="left"/>
      <w:pPr>
        <w:ind w:left="720" w:hanging="360"/>
      </w:pPr>
      <w:rPr>
        <w:rFonts w:ascii="Calibri Light" w:eastAsia="Times New Roman" w:hAnsi="Calibri Light" w:cs="Times New Roman" w:hint="default"/>
      </w:rPr>
    </w:lvl>
    <w:lvl w:ilvl="1" w:tplc="89CC0284">
      <w:start w:val="1"/>
      <w:numFmt w:val="bullet"/>
      <w:lvlText w:val="o"/>
      <w:lvlJc w:val="left"/>
      <w:pPr>
        <w:ind w:left="1440" w:hanging="360"/>
      </w:pPr>
      <w:rPr>
        <w:rFonts w:ascii="Courier New" w:hAnsi="Courier New" w:cs="Courier New" w:hint="default"/>
      </w:rPr>
    </w:lvl>
    <w:lvl w:ilvl="2" w:tplc="E3942C7E">
      <w:start w:val="1"/>
      <w:numFmt w:val="bullet"/>
      <w:lvlText w:val=""/>
      <w:lvlJc w:val="left"/>
      <w:pPr>
        <w:ind w:left="2160" w:hanging="360"/>
      </w:pPr>
      <w:rPr>
        <w:rFonts w:ascii="Wingdings" w:hAnsi="Wingdings" w:hint="default"/>
      </w:rPr>
    </w:lvl>
    <w:lvl w:ilvl="3" w:tplc="6AB28B96">
      <w:start w:val="1"/>
      <w:numFmt w:val="bullet"/>
      <w:lvlText w:val=""/>
      <w:lvlJc w:val="left"/>
      <w:pPr>
        <w:ind w:left="2880" w:hanging="360"/>
      </w:pPr>
      <w:rPr>
        <w:rFonts w:ascii="Symbol" w:hAnsi="Symbol" w:hint="default"/>
      </w:rPr>
    </w:lvl>
    <w:lvl w:ilvl="4" w:tplc="7C94D276">
      <w:start w:val="1"/>
      <w:numFmt w:val="bullet"/>
      <w:lvlText w:val="o"/>
      <w:lvlJc w:val="left"/>
      <w:pPr>
        <w:ind w:left="3600" w:hanging="360"/>
      </w:pPr>
      <w:rPr>
        <w:rFonts w:ascii="Courier New" w:hAnsi="Courier New" w:cs="Courier New" w:hint="default"/>
      </w:rPr>
    </w:lvl>
    <w:lvl w:ilvl="5" w:tplc="9D368C30">
      <w:start w:val="1"/>
      <w:numFmt w:val="bullet"/>
      <w:lvlText w:val=""/>
      <w:lvlJc w:val="left"/>
      <w:pPr>
        <w:ind w:left="4320" w:hanging="360"/>
      </w:pPr>
      <w:rPr>
        <w:rFonts w:ascii="Wingdings" w:hAnsi="Wingdings" w:hint="default"/>
      </w:rPr>
    </w:lvl>
    <w:lvl w:ilvl="6" w:tplc="74A44788">
      <w:start w:val="1"/>
      <w:numFmt w:val="bullet"/>
      <w:lvlText w:val=""/>
      <w:lvlJc w:val="left"/>
      <w:pPr>
        <w:ind w:left="5040" w:hanging="360"/>
      </w:pPr>
      <w:rPr>
        <w:rFonts w:ascii="Symbol" w:hAnsi="Symbol" w:hint="default"/>
      </w:rPr>
    </w:lvl>
    <w:lvl w:ilvl="7" w:tplc="BF6879BE">
      <w:start w:val="1"/>
      <w:numFmt w:val="bullet"/>
      <w:lvlText w:val="o"/>
      <w:lvlJc w:val="left"/>
      <w:pPr>
        <w:ind w:left="5760" w:hanging="360"/>
      </w:pPr>
      <w:rPr>
        <w:rFonts w:ascii="Courier New" w:hAnsi="Courier New" w:cs="Courier New" w:hint="default"/>
      </w:rPr>
    </w:lvl>
    <w:lvl w:ilvl="8" w:tplc="0D1C524C">
      <w:start w:val="1"/>
      <w:numFmt w:val="bullet"/>
      <w:lvlText w:val=""/>
      <w:lvlJc w:val="left"/>
      <w:pPr>
        <w:ind w:left="6480" w:hanging="360"/>
      </w:pPr>
      <w:rPr>
        <w:rFonts w:ascii="Wingdings" w:hAnsi="Wingdings" w:hint="default"/>
      </w:rPr>
    </w:lvl>
  </w:abstractNum>
  <w:abstractNum w:abstractNumId="141" w15:restartNumberingAfterBreak="0">
    <w:nsid w:val="52D3200A"/>
    <w:multiLevelType w:val="hybridMultilevel"/>
    <w:tmpl w:val="D480D9F6"/>
    <w:lvl w:ilvl="0" w:tplc="3E384FC2">
      <w:start w:val="1"/>
      <w:numFmt w:val="bullet"/>
      <w:lvlText w:val=""/>
      <w:lvlJc w:val="left"/>
      <w:pPr>
        <w:ind w:left="720" w:hanging="360"/>
      </w:pPr>
      <w:rPr>
        <w:rFonts w:ascii="Symbol" w:hAnsi="Symbol" w:hint="default"/>
      </w:rPr>
    </w:lvl>
    <w:lvl w:ilvl="1" w:tplc="5D54BEC0">
      <w:start w:val="1"/>
      <w:numFmt w:val="bullet"/>
      <w:lvlText w:val="o"/>
      <w:lvlJc w:val="left"/>
      <w:pPr>
        <w:ind w:left="1440" w:hanging="360"/>
      </w:pPr>
      <w:rPr>
        <w:rFonts w:ascii="Courier New" w:hAnsi="Courier New" w:cs="Courier New" w:hint="default"/>
      </w:rPr>
    </w:lvl>
    <w:lvl w:ilvl="2" w:tplc="6DF277F6">
      <w:start w:val="1"/>
      <w:numFmt w:val="bullet"/>
      <w:lvlText w:val=""/>
      <w:lvlJc w:val="left"/>
      <w:pPr>
        <w:ind w:left="2160" w:hanging="360"/>
      </w:pPr>
      <w:rPr>
        <w:rFonts w:ascii="Wingdings" w:hAnsi="Wingdings" w:hint="default"/>
      </w:rPr>
    </w:lvl>
    <w:lvl w:ilvl="3" w:tplc="7C2C39EC">
      <w:start w:val="1"/>
      <w:numFmt w:val="bullet"/>
      <w:lvlText w:val=""/>
      <w:lvlJc w:val="left"/>
      <w:pPr>
        <w:ind w:left="2880" w:hanging="360"/>
      </w:pPr>
      <w:rPr>
        <w:rFonts w:ascii="Symbol" w:hAnsi="Symbol" w:hint="default"/>
      </w:rPr>
    </w:lvl>
    <w:lvl w:ilvl="4" w:tplc="5CBCEB98">
      <w:start w:val="1"/>
      <w:numFmt w:val="bullet"/>
      <w:lvlText w:val="o"/>
      <w:lvlJc w:val="left"/>
      <w:pPr>
        <w:ind w:left="3600" w:hanging="360"/>
      </w:pPr>
      <w:rPr>
        <w:rFonts w:ascii="Courier New" w:hAnsi="Courier New" w:cs="Courier New" w:hint="default"/>
      </w:rPr>
    </w:lvl>
    <w:lvl w:ilvl="5" w:tplc="CD283630">
      <w:start w:val="1"/>
      <w:numFmt w:val="bullet"/>
      <w:lvlText w:val=""/>
      <w:lvlJc w:val="left"/>
      <w:pPr>
        <w:ind w:left="4320" w:hanging="360"/>
      </w:pPr>
      <w:rPr>
        <w:rFonts w:ascii="Wingdings" w:hAnsi="Wingdings" w:hint="default"/>
      </w:rPr>
    </w:lvl>
    <w:lvl w:ilvl="6" w:tplc="2196EBB6">
      <w:start w:val="1"/>
      <w:numFmt w:val="bullet"/>
      <w:lvlText w:val=""/>
      <w:lvlJc w:val="left"/>
      <w:pPr>
        <w:ind w:left="5040" w:hanging="360"/>
      </w:pPr>
      <w:rPr>
        <w:rFonts w:ascii="Symbol" w:hAnsi="Symbol" w:hint="default"/>
      </w:rPr>
    </w:lvl>
    <w:lvl w:ilvl="7" w:tplc="29423634">
      <w:start w:val="1"/>
      <w:numFmt w:val="bullet"/>
      <w:lvlText w:val="o"/>
      <w:lvlJc w:val="left"/>
      <w:pPr>
        <w:ind w:left="5760" w:hanging="360"/>
      </w:pPr>
      <w:rPr>
        <w:rFonts w:ascii="Courier New" w:hAnsi="Courier New" w:cs="Courier New" w:hint="default"/>
      </w:rPr>
    </w:lvl>
    <w:lvl w:ilvl="8" w:tplc="B48288D8">
      <w:start w:val="1"/>
      <w:numFmt w:val="bullet"/>
      <w:lvlText w:val=""/>
      <w:lvlJc w:val="left"/>
      <w:pPr>
        <w:ind w:left="6480" w:hanging="360"/>
      </w:pPr>
      <w:rPr>
        <w:rFonts w:ascii="Wingdings" w:hAnsi="Wingdings" w:hint="default"/>
      </w:rPr>
    </w:lvl>
  </w:abstractNum>
  <w:abstractNum w:abstractNumId="142" w15:restartNumberingAfterBreak="0">
    <w:nsid w:val="5402287B"/>
    <w:multiLevelType w:val="hybridMultilevel"/>
    <w:tmpl w:val="5114E512"/>
    <w:lvl w:ilvl="0" w:tplc="966C43D4">
      <w:start w:val="1"/>
      <w:numFmt w:val="lowerLetter"/>
      <w:lvlText w:val="(%1)"/>
      <w:lvlJc w:val="left"/>
      <w:pPr>
        <w:tabs>
          <w:tab w:val="num" w:pos="1087"/>
        </w:tabs>
        <w:ind w:left="1087" w:hanging="540"/>
      </w:pPr>
      <w:rPr>
        <w:rFonts w:hint="default"/>
      </w:rPr>
    </w:lvl>
    <w:lvl w:ilvl="1" w:tplc="7638A14C">
      <w:start w:val="1"/>
      <w:numFmt w:val="lowerLetter"/>
      <w:lvlText w:val="%2."/>
      <w:lvlJc w:val="left"/>
      <w:pPr>
        <w:ind w:left="1440" w:hanging="360"/>
      </w:pPr>
    </w:lvl>
    <w:lvl w:ilvl="2" w:tplc="63007376">
      <w:start w:val="1"/>
      <w:numFmt w:val="lowerRoman"/>
      <w:lvlText w:val="%3."/>
      <w:lvlJc w:val="right"/>
      <w:pPr>
        <w:ind w:left="2160" w:hanging="180"/>
      </w:pPr>
    </w:lvl>
    <w:lvl w:ilvl="3" w:tplc="D6FC1DC8">
      <w:start w:val="1"/>
      <w:numFmt w:val="decimal"/>
      <w:lvlText w:val="%4."/>
      <w:lvlJc w:val="left"/>
      <w:pPr>
        <w:ind w:left="2880" w:hanging="360"/>
      </w:pPr>
    </w:lvl>
    <w:lvl w:ilvl="4" w:tplc="E68E7510">
      <w:start w:val="1"/>
      <w:numFmt w:val="lowerLetter"/>
      <w:lvlText w:val="%5."/>
      <w:lvlJc w:val="left"/>
      <w:pPr>
        <w:ind w:left="3600" w:hanging="360"/>
      </w:pPr>
    </w:lvl>
    <w:lvl w:ilvl="5" w:tplc="58C86D0C">
      <w:start w:val="1"/>
      <w:numFmt w:val="lowerRoman"/>
      <w:lvlText w:val="%6."/>
      <w:lvlJc w:val="right"/>
      <w:pPr>
        <w:ind w:left="4320" w:hanging="180"/>
      </w:pPr>
    </w:lvl>
    <w:lvl w:ilvl="6" w:tplc="D36C6852">
      <w:start w:val="1"/>
      <w:numFmt w:val="decimal"/>
      <w:lvlText w:val="%7."/>
      <w:lvlJc w:val="left"/>
      <w:pPr>
        <w:ind w:left="5040" w:hanging="360"/>
      </w:pPr>
    </w:lvl>
    <w:lvl w:ilvl="7" w:tplc="93C468A2">
      <w:start w:val="1"/>
      <w:numFmt w:val="lowerLetter"/>
      <w:lvlText w:val="%8."/>
      <w:lvlJc w:val="left"/>
      <w:pPr>
        <w:ind w:left="5760" w:hanging="360"/>
      </w:pPr>
    </w:lvl>
    <w:lvl w:ilvl="8" w:tplc="830CCE62">
      <w:start w:val="1"/>
      <w:numFmt w:val="lowerRoman"/>
      <w:lvlText w:val="%9."/>
      <w:lvlJc w:val="right"/>
      <w:pPr>
        <w:ind w:left="6480" w:hanging="180"/>
      </w:pPr>
    </w:lvl>
  </w:abstractNum>
  <w:abstractNum w:abstractNumId="143" w15:restartNumberingAfterBreak="0">
    <w:nsid w:val="5444019E"/>
    <w:multiLevelType w:val="hybridMultilevel"/>
    <w:tmpl w:val="D7B6F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45F78B9"/>
    <w:multiLevelType w:val="hybridMultilevel"/>
    <w:tmpl w:val="25685FA4"/>
    <w:lvl w:ilvl="0" w:tplc="8CC26EDA">
      <w:start w:val="1"/>
      <w:numFmt w:val="lowerLetter"/>
      <w:lvlText w:val="%1."/>
      <w:lvlJc w:val="left"/>
      <w:pPr>
        <w:ind w:left="720" w:hanging="360"/>
      </w:pPr>
    </w:lvl>
    <w:lvl w:ilvl="1" w:tplc="0D42152A">
      <w:start w:val="1"/>
      <w:numFmt w:val="lowerLetter"/>
      <w:lvlText w:val="%2."/>
      <w:lvlJc w:val="left"/>
      <w:pPr>
        <w:ind w:left="1440" w:hanging="360"/>
      </w:pPr>
    </w:lvl>
    <w:lvl w:ilvl="2" w:tplc="5FD87A2C">
      <w:start w:val="1"/>
      <w:numFmt w:val="lowerRoman"/>
      <w:lvlText w:val="%3."/>
      <w:lvlJc w:val="right"/>
      <w:pPr>
        <w:ind w:left="2160" w:hanging="180"/>
      </w:pPr>
    </w:lvl>
    <w:lvl w:ilvl="3" w:tplc="54C2FDC0">
      <w:start w:val="1"/>
      <w:numFmt w:val="decimal"/>
      <w:lvlText w:val="%4."/>
      <w:lvlJc w:val="left"/>
      <w:pPr>
        <w:ind w:left="2880" w:hanging="360"/>
      </w:pPr>
    </w:lvl>
    <w:lvl w:ilvl="4" w:tplc="55B8C958">
      <w:start w:val="1"/>
      <w:numFmt w:val="lowerLetter"/>
      <w:lvlText w:val="%5."/>
      <w:lvlJc w:val="left"/>
      <w:pPr>
        <w:ind w:left="3600" w:hanging="360"/>
      </w:pPr>
    </w:lvl>
    <w:lvl w:ilvl="5" w:tplc="AA86529C">
      <w:start w:val="1"/>
      <w:numFmt w:val="lowerRoman"/>
      <w:lvlText w:val="%6."/>
      <w:lvlJc w:val="right"/>
      <w:pPr>
        <w:ind w:left="4320" w:hanging="180"/>
      </w:pPr>
    </w:lvl>
    <w:lvl w:ilvl="6" w:tplc="91560594">
      <w:start w:val="1"/>
      <w:numFmt w:val="decimal"/>
      <w:lvlText w:val="%7."/>
      <w:lvlJc w:val="left"/>
      <w:pPr>
        <w:ind w:left="5040" w:hanging="360"/>
      </w:pPr>
    </w:lvl>
    <w:lvl w:ilvl="7" w:tplc="4A3A103A">
      <w:start w:val="1"/>
      <w:numFmt w:val="lowerLetter"/>
      <w:lvlText w:val="%8."/>
      <w:lvlJc w:val="left"/>
      <w:pPr>
        <w:ind w:left="5760" w:hanging="360"/>
      </w:pPr>
    </w:lvl>
    <w:lvl w:ilvl="8" w:tplc="F21A6192">
      <w:start w:val="1"/>
      <w:numFmt w:val="lowerRoman"/>
      <w:lvlText w:val="%9."/>
      <w:lvlJc w:val="right"/>
      <w:pPr>
        <w:ind w:left="6480" w:hanging="180"/>
      </w:pPr>
    </w:lvl>
  </w:abstractNum>
  <w:abstractNum w:abstractNumId="145" w15:restartNumberingAfterBreak="0">
    <w:nsid w:val="54C13295"/>
    <w:multiLevelType w:val="hybridMultilevel"/>
    <w:tmpl w:val="5EFC7CDE"/>
    <w:lvl w:ilvl="0" w:tplc="F0A8E216">
      <w:start w:val="1"/>
      <w:numFmt w:val="bullet"/>
      <w:lvlText w:val="-"/>
      <w:lvlJc w:val="left"/>
      <w:pPr>
        <w:ind w:left="720" w:hanging="360"/>
      </w:pPr>
      <w:rPr>
        <w:rFonts w:ascii="Times New Roman" w:eastAsia="Times New Roman" w:hAnsi="Times New Roman" w:cs="Times New Roman" w:hint="default"/>
      </w:rPr>
    </w:lvl>
    <w:lvl w:ilvl="1" w:tplc="21E6E98A">
      <w:start w:val="1"/>
      <w:numFmt w:val="bullet"/>
      <w:lvlText w:val="o"/>
      <w:lvlJc w:val="left"/>
      <w:pPr>
        <w:ind w:left="1440" w:hanging="360"/>
      </w:pPr>
      <w:rPr>
        <w:rFonts w:ascii="Courier New" w:hAnsi="Courier New" w:cs="Courier New" w:hint="default"/>
      </w:rPr>
    </w:lvl>
    <w:lvl w:ilvl="2" w:tplc="DBD40DF4">
      <w:start w:val="1"/>
      <w:numFmt w:val="bullet"/>
      <w:lvlText w:val=""/>
      <w:lvlJc w:val="left"/>
      <w:pPr>
        <w:ind w:left="2160" w:hanging="360"/>
      </w:pPr>
      <w:rPr>
        <w:rFonts w:ascii="Wingdings" w:hAnsi="Wingdings" w:hint="default"/>
      </w:rPr>
    </w:lvl>
    <w:lvl w:ilvl="3" w:tplc="A9F25188">
      <w:start w:val="1"/>
      <w:numFmt w:val="bullet"/>
      <w:lvlText w:val=""/>
      <w:lvlJc w:val="left"/>
      <w:pPr>
        <w:ind w:left="2880" w:hanging="360"/>
      </w:pPr>
      <w:rPr>
        <w:rFonts w:ascii="Symbol" w:hAnsi="Symbol" w:hint="default"/>
      </w:rPr>
    </w:lvl>
    <w:lvl w:ilvl="4" w:tplc="3AFA01E8">
      <w:start w:val="1"/>
      <w:numFmt w:val="bullet"/>
      <w:lvlText w:val="o"/>
      <w:lvlJc w:val="left"/>
      <w:pPr>
        <w:ind w:left="3600" w:hanging="360"/>
      </w:pPr>
      <w:rPr>
        <w:rFonts w:ascii="Courier New" w:hAnsi="Courier New" w:cs="Courier New" w:hint="default"/>
      </w:rPr>
    </w:lvl>
    <w:lvl w:ilvl="5" w:tplc="8E5CC10A">
      <w:start w:val="1"/>
      <w:numFmt w:val="bullet"/>
      <w:lvlText w:val=""/>
      <w:lvlJc w:val="left"/>
      <w:pPr>
        <w:ind w:left="4320" w:hanging="360"/>
      </w:pPr>
      <w:rPr>
        <w:rFonts w:ascii="Wingdings" w:hAnsi="Wingdings" w:hint="default"/>
      </w:rPr>
    </w:lvl>
    <w:lvl w:ilvl="6" w:tplc="107CA2CA">
      <w:start w:val="1"/>
      <w:numFmt w:val="bullet"/>
      <w:lvlText w:val=""/>
      <w:lvlJc w:val="left"/>
      <w:pPr>
        <w:ind w:left="5040" w:hanging="360"/>
      </w:pPr>
      <w:rPr>
        <w:rFonts w:ascii="Symbol" w:hAnsi="Symbol" w:hint="default"/>
      </w:rPr>
    </w:lvl>
    <w:lvl w:ilvl="7" w:tplc="92C635BA">
      <w:start w:val="1"/>
      <w:numFmt w:val="bullet"/>
      <w:lvlText w:val="o"/>
      <w:lvlJc w:val="left"/>
      <w:pPr>
        <w:ind w:left="5760" w:hanging="360"/>
      </w:pPr>
      <w:rPr>
        <w:rFonts w:ascii="Courier New" w:hAnsi="Courier New" w:cs="Courier New" w:hint="default"/>
      </w:rPr>
    </w:lvl>
    <w:lvl w:ilvl="8" w:tplc="9B7693FA">
      <w:start w:val="1"/>
      <w:numFmt w:val="bullet"/>
      <w:lvlText w:val=""/>
      <w:lvlJc w:val="left"/>
      <w:pPr>
        <w:ind w:left="6480" w:hanging="360"/>
      </w:pPr>
      <w:rPr>
        <w:rFonts w:ascii="Wingdings" w:hAnsi="Wingdings" w:hint="default"/>
      </w:rPr>
    </w:lvl>
  </w:abstractNum>
  <w:abstractNum w:abstractNumId="146" w15:restartNumberingAfterBreak="0">
    <w:nsid w:val="54DE1F2B"/>
    <w:multiLevelType w:val="hybridMultilevel"/>
    <w:tmpl w:val="D564D432"/>
    <w:lvl w:ilvl="0" w:tplc="1F789E20">
      <w:start w:val="1"/>
      <w:numFmt w:val="lowerLetter"/>
      <w:lvlText w:val="%1."/>
      <w:lvlJc w:val="left"/>
      <w:pPr>
        <w:ind w:left="720" w:hanging="360"/>
      </w:pPr>
    </w:lvl>
    <w:lvl w:ilvl="1" w:tplc="9A2E5B6C">
      <w:start w:val="1"/>
      <w:numFmt w:val="lowerLetter"/>
      <w:lvlText w:val="%2."/>
      <w:lvlJc w:val="left"/>
      <w:pPr>
        <w:ind w:left="1440" w:hanging="360"/>
      </w:pPr>
    </w:lvl>
    <w:lvl w:ilvl="2" w:tplc="9A0E91B2">
      <w:start w:val="1"/>
      <w:numFmt w:val="lowerRoman"/>
      <w:lvlText w:val="%3."/>
      <w:lvlJc w:val="right"/>
      <w:pPr>
        <w:ind w:left="2160" w:hanging="180"/>
      </w:pPr>
    </w:lvl>
    <w:lvl w:ilvl="3" w:tplc="BB984BD6">
      <w:start w:val="1"/>
      <w:numFmt w:val="decimal"/>
      <w:lvlText w:val="%4."/>
      <w:lvlJc w:val="left"/>
      <w:pPr>
        <w:ind w:left="2880" w:hanging="360"/>
      </w:pPr>
    </w:lvl>
    <w:lvl w:ilvl="4" w:tplc="E7262D40">
      <w:start w:val="1"/>
      <w:numFmt w:val="lowerLetter"/>
      <w:lvlText w:val="%5."/>
      <w:lvlJc w:val="left"/>
      <w:pPr>
        <w:ind w:left="3600" w:hanging="360"/>
      </w:pPr>
    </w:lvl>
    <w:lvl w:ilvl="5" w:tplc="553E935E">
      <w:start w:val="1"/>
      <w:numFmt w:val="lowerRoman"/>
      <w:lvlText w:val="%6."/>
      <w:lvlJc w:val="right"/>
      <w:pPr>
        <w:ind w:left="4320" w:hanging="180"/>
      </w:pPr>
    </w:lvl>
    <w:lvl w:ilvl="6" w:tplc="0554E8BC">
      <w:start w:val="1"/>
      <w:numFmt w:val="decimal"/>
      <w:lvlText w:val="%7."/>
      <w:lvlJc w:val="left"/>
      <w:pPr>
        <w:ind w:left="5040" w:hanging="360"/>
      </w:pPr>
    </w:lvl>
    <w:lvl w:ilvl="7" w:tplc="133642EA">
      <w:start w:val="1"/>
      <w:numFmt w:val="lowerLetter"/>
      <w:lvlText w:val="%8."/>
      <w:lvlJc w:val="left"/>
      <w:pPr>
        <w:ind w:left="5760" w:hanging="360"/>
      </w:pPr>
    </w:lvl>
    <w:lvl w:ilvl="8" w:tplc="8878C990">
      <w:start w:val="1"/>
      <w:numFmt w:val="lowerRoman"/>
      <w:lvlText w:val="%9."/>
      <w:lvlJc w:val="right"/>
      <w:pPr>
        <w:ind w:left="6480" w:hanging="180"/>
      </w:pPr>
    </w:lvl>
  </w:abstractNum>
  <w:abstractNum w:abstractNumId="147" w15:restartNumberingAfterBreak="0">
    <w:nsid w:val="551725F8"/>
    <w:multiLevelType w:val="hybridMultilevel"/>
    <w:tmpl w:val="8A009C26"/>
    <w:lvl w:ilvl="0" w:tplc="F38E27CC">
      <w:start w:val="1"/>
      <w:numFmt w:val="bullet"/>
      <w:lvlText w:val="•"/>
      <w:lvlJc w:val="left"/>
      <w:pPr>
        <w:tabs>
          <w:tab w:val="num" w:pos="360"/>
        </w:tabs>
        <w:ind w:left="360" w:hanging="360"/>
      </w:pPr>
      <w:rPr>
        <w:rFonts w:ascii="Arial" w:hAnsi="Arial" w:hint="default"/>
      </w:rPr>
    </w:lvl>
    <w:lvl w:ilvl="1" w:tplc="38129410">
      <w:start w:val="1"/>
      <w:numFmt w:val="bullet"/>
      <w:lvlText w:val="•"/>
      <w:lvlJc w:val="left"/>
      <w:pPr>
        <w:tabs>
          <w:tab w:val="num" w:pos="1080"/>
        </w:tabs>
        <w:ind w:left="1080" w:hanging="360"/>
      </w:pPr>
      <w:rPr>
        <w:rFonts w:ascii="Arial" w:hAnsi="Arial" w:hint="default"/>
      </w:rPr>
    </w:lvl>
    <w:lvl w:ilvl="2" w:tplc="C4AC93CA">
      <w:start w:val="1"/>
      <w:numFmt w:val="bullet"/>
      <w:lvlText w:val="•"/>
      <w:lvlJc w:val="left"/>
      <w:pPr>
        <w:tabs>
          <w:tab w:val="num" w:pos="1800"/>
        </w:tabs>
        <w:ind w:left="1800" w:hanging="360"/>
      </w:pPr>
      <w:rPr>
        <w:rFonts w:ascii="Arial" w:hAnsi="Arial" w:hint="default"/>
      </w:rPr>
    </w:lvl>
    <w:lvl w:ilvl="3" w:tplc="5338225C">
      <w:start w:val="1"/>
      <w:numFmt w:val="bullet"/>
      <w:lvlText w:val="•"/>
      <w:lvlJc w:val="left"/>
      <w:pPr>
        <w:tabs>
          <w:tab w:val="num" w:pos="2520"/>
        </w:tabs>
        <w:ind w:left="2520" w:hanging="360"/>
      </w:pPr>
      <w:rPr>
        <w:rFonts w:ascii="Arial" w:hAnsi="Arial" w:hint="default"/>
      </w:rPr>
    </w:lvl>
    <w:lvl w:ilvl="4" w:tplc="72186F88">
      <w:start w:val="1"/>
      <w:numFmt w:val="bullet"/>
      <w:lvlText w:val="•"/>
      <w:lvlJc w:val="left"/>
      <w:pPr>
        <w:tabs>
          <w:tab w:val="num" w:pos="3240"/>
        </w:tabs>
        <w:ind w:left="3240" w:hanging="360"/>
      </w:pPr>
      <w:rPr>
        <w:rFonts w:ascii="Arial" w:hAnsi="Arial" w:hint="default"/>
      </w:rPr>
    </w:lvl>
    <w:lvl w:ilvl="5" w:tplc="2DC6544E">
      <w:start w:val="1"/>
      <w:numFmt w:val="bullet"/>
      <w:lvlText w:val="•"/>
      <w:lvlJc w:val="left"/>
      <w:pPr>
        <w:tabs>
          <w:tab w:val="num" w:pos="3960"/>
        </w:tabs>
        <w:ind w:left="3960" w:hanging="360"/>
      </w:pPr>
      <w:rPr>
        <w:rFonts w:ascii="Arial" w:hAnsi="Arial" w:hint="default"/>
      </w:rPr>
    </w:lvl>
    <w:lvl w:ilvl="6" w:tplc="A2063AC0">
      <w:start w:val="1"/>
      <w:numFmt w:val="bullet"/>
      <w:lvlText w:val="•"/>
      <w:lvlJc w:val="left"/>
      <w:pPr>
        <w:tabs>
          <w:tab w:val="num" w:pos="4680"/>
        </w:tabs>
        <w:ind w:left="4680" w:hanging="360"/>
      </w:pPr>
      <w:rPr>
        <w:rFonts w:ascii="Arial" w:hAnsi="Arial" w:hint="default"/>
      </w:rPr>
    </w:lvl>
    <w:lvl w:ilvl="7" w:tplc="50482CAE">
      <w:start w:val="1"/>
      <w:numFmt w:val="bullet"/>
      <w:lvlText w:val="•"/>
      <w:lvlJc w:val="left"/>
      <w:pPr>
        <w:tabs>
          <w:tab w:val="num" w:pos="5400"/>
        </w:tabs>
        <w:ind w:left="5400" w:hanging="360"/>
      </w:pPr>
      <w:rPr>
        <w:rFonts w:ascii="Arial" w:hAnsi="Arial" w:hint="default"/>
      </w:rPr>
    </w:lvl>
    <w:lvl w:ilvl="8" w:tplc="8564B366">
      <w:start w:val="1"/>
      <w:numFmt w:val="bullet"/>
      <w:lvlText w:val="•"/>
      <w:lvlJc w:val="left"/>
      <w:pPr>
        <w:tabs>
          <w:tab w:val="num" w:pos="6120"/>
        </w:tabs>
        <w:ind w:left="6120" w:hanging="360"/>
      </w:pPr>
      <w:rPr>
        <w:rFonts w:ascii="Arial" w:hAnsi="Arial" w:hint="default"/>
      </w:rPr>
    </w:lvl>
  </w:abstractNum>
  <w:abstractNum w:abstractNumId="148" w15:restartNumberingAfterBreak="0">
    <w:nsid w:val="55A3095E"/>
    <w:multiLevelType w:val="multilevel"/>
    <w:tmpl w:val="55E6C63E"/>
    <w:lvl w:ilvl="0">
      <w:start w:val="1"/>
      <w:numFmt w:val="decimal"/>
      <w:lvlText w:val="%1."/>
      <w:lvlJc w:val="left"/>
      <w:pPr>
        <w:ind w:left="720" w:hanging="360"/>
      </w:pPr>
    </w:lvl>
    <w:lvl w:ilvl="1">
      <w:start w:val="2"/>
      <w:numFmt w:val="decimal"/>
      <w:isLgl/>
      <w:lvlText w:val="%1.%2."/>
      <w:lvlJc w:val="left"/>
      <w:pPr>
        <w:ind w:left="1200" w:hanging="660"/>
      </w:pPr>
      <w:rPr>
        <w:rFonts w:hint="default"/>
      </w:rPr>
    </w:lvl>
    <w:lvl w:ilvl="2">
      <w:start w:val="1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49" w15:restartNumberingAfterBreak="0">
    <w:nsid w:val="55DD4B4C"/>
    <w:multiLevelType w:val="hybridMultilevel"/>
    <w:tmpl w:val="C03A1F08"/>
    <w:lvl w:ilvl="0" w:tplc="F01C1D6E">
      <w:start w:val="1"/>
      <w:numFmt w:val="lowerLetter"/>
      <w:lvlText w:val="(%1)"/>
      <w:lvlJc w:val="left"/>
      <w:pPr>
        <w:ind w:left="720" w:hanging="360"/>
      </w:pPr>
      <w:rPr>
        <w:rFonts w:hint="default"/>
      </w:rPr>
    </w:lvl>
    <w:lvl w:ilvl="1" w:tplc="43FA5DF6">
      <w:start w:val="1"/>
      <w:numFmt w:val="lowerLetter"/>
      <w:lvlText w:val="%2."/>
      <w:lvlJc w:val="left"/>
      <w:pPr>
        <w:ind w:left="1440" w:hanging="360"/>
      </w:pPr>
    </w:lvl>
    <w:lvl w:ilvl="2" w:tplc="1438FC2E">
      <w:start w:val="1"/>
      <w:numFmt w:val="lowerRoman"/>
      <w:lvlText w:val="%3."/>
      <w:lvlJc w:val="right"/>
      <w:pPr>
        <w:ind w:left="2160" w:hanging="180"/>
      </w:pPr>
    </w:lvl>
    <w:lvl w:ilvl="3" w:tplc="1938EAF8">
      <w:start w:val="1"/>
      <w:numFmt w:val="decimal"/>
      <w:lvlText w:val="%4."/>
      <w:lvlJc w:val="left"/>
      <w:pPr>
        <w:ind w:left="2880" w:hanging="360"/>
      </w:pPr>
    </w:lvl>
    <w:lvl w:ilvl="4" w:tplc="EC2C08B8">
      <w:start w:val="1"/>
      <w:numFmt w:val="lowerLetter"/>
      <w:lvlText w:val="%5."/>
      <w:lvlJc w:val="left"/>
      <w:pPr>
        <w:ind w:left="3600" w:hanging="360"/>
      </w:pPr>
    </w:lvl>
    <w:lvl w:ilvl="5" w:tplc="B7941CB0">
      <w:start w:val="1"/>
      <w:numFmt w:val="lowerRoman"/>
      <w:lvlText w:val="%6."/>
      <w:lvlJc w:val="right"/>
      <w:pPr>
        <w:ind w:left="4320" w:hanging="180"/>
      </w:pPr>
    </w:lvl>
    <w:lvl w:ilvl="6" w:tplc="DD0CB170">
      <w:start w:val="1"/>
      <w:numFmt w:val="decimal"/>
      <w:lvlText w:val="%7."/>
      <w:lvlJc w:val="left"/>
      <w:pPr>
        <w:ind w:left="5040" w:hanging="360"/>
      </w:pPr>
    </w:lvl>
    <w:lvl w:ilvl="7" w:tplc="89642BFE">
      <w:start w:val="1"/>
      <w:numFmt w:val="lowerLetter"/>
      <w:lvlText w:val="%8."/>
      <w:lvlJc w:val="left"/>
      <w:pPr>
        <w:ind w:left="5760" w:hanging="360"/>
      </w:pPr>
    </w:lvl>
    <w:lvl w:ilvl="8" w:tplc="2ED06B3A">
      <w:start w:val="1"/>
      <w:numFmt w:val="lowerRoman"/>
      <w:lvlText w:val="%9."/>
      <w:lvlJc w:val="right"/>
      <w:pPr>
        <w:ind w:left="6480" w:hanging="180"/>
      </w:pPr>
    </w:lvl>
  </w:abstractNum>
  <w:abstractNum w:abstractNumId="150" w15:restartNumberingAfterBreak="0">
    <w:nsid w:val="562B0423"/>
    <w:multiLevelType w:val="hybridMultilevel"/>
    <w:tmpl w:val="AF143FBC"/>
    <w:lvl w:ilvl="0" w:tplc="745ED5CC">
      <w:start w:val="1"/>
      <w:numFmt w:val="decimal"/>
      <w:lvlText w:val="%1."/>
      <w:lvlJc w:val="left"/>
      <w:pPr>
        <w:ind w:left="720" w:hanging="360"/>
      </w:pPr>
      <w:rPr>
        <w:rFonts w:ascii="Times New Roman Bold" w:hAnsi="Times New Roman Bold" w:hint="default"/>
        <w:b/>
        <w:i w:val="0"/>
        <w:sz w:val="24"/>
      </w:rPr>
    </w:lvl>
    <w:lvl w:ilvl="1" w:tplc="9DC8AB16">
      <w:start w:val="1"/>
      <w:numFmt w:val="lowerLetter"/>
      <w:lvlText w:val="%2."/>
      <w:lvlJc w:val="left"/>
      <w:pPr>
        <w:ind w:left="1440" w:hanging="360"/>
      </w:pPr>
    </w:lvl>
    <w:lvl w:ilvl="2" w:tplc="F3046D04">
      <w:start w:val="1"/>
      <w:numFmt w:val="lowerRoman"/>
      <w:lvlText w:val="%3."/>
      <w:lvlJc w:val="right"/>
      <w:pPr>
        <w:ind w:left="2160" w:hanging="180"/>
      </w:pPr>
    </w:lvl>
    <w:lvl w:ilvl="3" w:tplc="B5B8FFDC">
      <w:start w:val="1"/>
      <w:numFmt w:val="decimal"/>
      <w:lvlText w:val="%4."/>
      <w:lvlJc w:val="left"/>
      <w:pPr>
        <w:ind w:left="2880" w:hanging="360"/>
      </w:pPr>
    </w:lvl>
    <w:lvl w:ilvl="4" w:tplc="21ECC81E">
      <w:start w:val="1"/>
      <w:numFmt w:val="lowerLetter"/>
      <w:lvlText w:val="%5."/>
      <w:lvlJc w:val="left"/>
      <w:pPr>
        <w:ind w:left="3600" w:hanging="360"/>
      </w:pPr>
    </w:lvl>
    <w:lvl w:ilvl="5" w:tplc="B8229360">
      <w:start w:val="1"/>
      <w:numFmt w:val="lowerRoman"/>
      <w:lvlText w:val="%6."/>
      <w:lvlJc w:val="right"/>
      <w:pPr>
        <w:ind w:left="4320" w:hanging="180"/>
      </w:pPr>
    </w:lvl>
    <w:lvl w:ilvl="6" w:tplc="50B22A06">
      <w:start w:val="1"/>
      <w:numFmt w:val="decimal"/>
      <w:lvlText w:val="%7."/>
      <w:lvlJc w:val="left"/>
      <w:pPr>
        <w:ind w:left="5040" w:hanging="360"/>
      </w:pPr>
    </w:lvl>
    <w:lvl w:ilvl="7" w:tplc="98AC7498">
      <w:start w:val="1"/>
      <w:numFmt w:val="lowerLetter"/>
      <w:lvlText w:val="%8."/>
      <w:lvlJc w:val="left"/>
      <w:pPr>
        <w:ind w:left="5760" w:hanging="360"/>
      </w:pPr>
    </w:lvl>
    <w:lvl w:ilvl="8" w:tplc="7E109760">
      <w:start w:val="1"/>
      <w:numFmt w:val="lowerRoman"/>
      <w:lvlText w:val="%9."/>
      <w:lvlJc w:val="right"/>
      <w:pPr>
        <w:ind w:left="6480" w:hanging="180"/>
      </w:pPr>
    </w:lvl>
  </w:abstractNum>
  <w:abstractNum w:abstractNumId="151" w15:restartNumberingAfterBreak="0">
    <w:nsid w:val="56DE5795"/>
    <w:multiLevelType w:val="hybridMultilevel"/>
    <w:tmpl w:val="52702260"/>
    <w:lvl w:ilvl="0" w:tplc="0360E9F0">
      <w:start w:val="1"/>
      <w:numFmt w:val="lowerLetter"/>
      <w:lvlText w:val="(%1)"/>
      <w:lvlJc w:val="left"/>
      <w:pPr>
        <w:ind w:left="972" w:hanging="360"/>
      </w:pPr>
      <w:rPr>
        <w:rFonts w:hint="default"/>
      </w:rPr>
    </w:lvl>
    <w:lvl w:ilvl="1" w:tplc="4AB6AA84">
      <w:start w:val="1"/>
      <w:numFmt w:val="lowerLetter"/>
      <w:lvlText w:val="%2."/>
      <w:lvlJc w:val="left"/>
      <w:pPr>
        <w:ind w:left="1692" w:hanging="360"/>
      </w:pPr>
    </w:lvl>
    <w:lvl w:ilvl="2" w:tplc="2924B43C">
      <w:start w:val="1"/>
      <w:numFmt w:val="lowerRoman"/>
      <w:lvlText w:val="%3."/>
      <w:lvlJc w:val="right"/>
      <w:pPr>
        <w:ind w:left="2412" w:hanging="180"/>
      </w:pPr>
    </w:lvl>
    <w:lvl w:ilvl="3" w:tplc="F43E9610">
      <w:start w:val="1"/>
      <w:numFmt w:val="decimal"/>
      <w:lvlText w:val="%4."/>
      <w:lvlJc w:val="left"/>
      <w:pPr>
        <w:ind w:left="3132" w:hanging="360"/>
      </w:pPr>
    </w:lvl>
    <w:lvl w:ilvl="4" w:tplc="4D6A5E86">
      <w:start w:val="1"/>
      <w:numFmt w:val="lowerLetter"/>
      <w:lvlText w:val="%5."/>
      <w:lvlJc w:val="left"/>
      <w:pPr>
        <w:ind w:left="3852" w:hanging="360"/>
      </w:pPr>
    </w:lvl>
    <w:lvl w:ilvl="5" w:tplc="A074177C">
      <w:start w:val="1"/>
      <w:numFmt w:val="lowerRoman"/>
      <w:lvlText w:val="%6."/>
      <w:lvlJc w:val="right"/>
      <w:pPr>
        <w:ind w:left="4572" w:hanging="180"/>
      </w:pPr>
    </w:lvl>
    <w:lvl w:ilvl="6" w:tplc="5B9CD9A6">
      <w:start w:val="1"/>
      <w:numFmt w:val="decimal"/>
      <w:lvlText w:val="%7."/>
      <w:lvlJc w:val="left"/>
      <w:pPr>
        <w:ind w:left="5292" w:hanging="360"/>
      </w:pPr>
    </w:lvl>
    <w:lvl w:ilvl="7" w:tplc="5B66E346">
      <w:start w:val="1"/>
      <w:numFmt w:val="lowerLetter"/>
      <w:lvlText w:val="%8."/>
      <w:lvlJc w:val="left"/>
      <w:pPr>
        <w:ind w:left="6012" w:hanging="360"/>
      </w:pPr>
    </w:lvl>
    <w:lvl w:ilvl="8" w:tplc="8EAE23AA">
      <w:start w:val="1"/>
      <w:numFmt w:val="lowerRoman"/>
      <w:lvlText w:val="%9."/>
      <w:lvlJc w:val="right"/>
      <w:pPr>
        <w:ind w:left="6732" w:hanging="180"/>
      </w:pPr>
    </w:lvl>
  </w:abstractNum>
  <w:abstractNum w:abstractNumId="152" w15:restartNumberingAfterBreak="0">
    <w:nsid w:val="57AB1342"/>
    <w:multiLevelType w:val="hybridMultilevel"/>
    <w:tmpl w:val="E368C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7F9418C"/>
    <w:multiLevelType w:val="hybridMultilevel"/>
    <w:tmpl w:val="BA74782A"/>
    <w:lvl w:ilvl="0" w:tplc="5504F8EE">
      <w:start w:val="1"/>
      <w:numFmt w:val="bullet"/>
      <w:lvlText w:val="•"/>
      <w:lvlJc w:val="left"/>
      <w:pPr>
        <w:ind w:left="2846" w:hanging="360"/>
      </w:pPr>
      <w:rPr>
        <w:rFonts w:ascii="Calibri Light" w:eastAsia="Times New Roman" w:hAnsi="Calibri Light" w:cs="Times New Roman" w:hint="default"/>
      </w:rPr>
    </w:lvl>
    <w:lvl w:ilvl="1" w:tplc="77DEE5F4">
      <w:start w:val="1"/>
      <w:numFmt w:val="bullet"/>
      <w:lvlText w:val="o"/>
      <w:lvlJc w:val="left"/>
      <w:pPr>
        <w:ind w:left="3566" w:hanging="360"/>
      </w:pPr>
      <w:rPr>
        <w:rFonts w:ascii="Courier New" w:hAnsi="Courier New" w:cs="Courier New" w:hint="default"/>
      </w:rPr>
    </w:lvl>
    <w:lvl w:ilvl="2" w:tplc="6F72C716">
      <w:start w:val="1"/>
      <w:numFmt w:val="bullet"/>
      <w:lvlText w:val=""/>
      <w:lvlJc w:val="left"/>
      <w:pPr>
        <w:ind w:left="4286" w:hanging="360"/>
      </w:pPr>
      <w:rPr>
        <w:rFonts w:ascii="Wingdings" w:hAnsi="Wingdings" w:hint="default"/>
      </w:rPr>
    </w:lvl>
    <w:lvl w:ilvl="3" w:tplc="49CA5D9E">
      <w:start w:val="1"/>
      <w:numFmt w:val="bullet"/>
      <w:lvlText w:val=""/>
      <w:lvlJc w:val="left"/>
      <w:pPr>
        <w:ind w:left="5006" w:hanging="360"/>
      </w:pPr>
      <w:rPr>
        <w:rFonts w:ascii="Symbol" w:hAnsi="Symbol" w:hint="default"/>
      </w:rPr>
    </w:lvl>
    <w:lvl w:ilvl="4" w:tplc="FBA0D1BC">
      <w:start w:val="1"/>
      <w:numFmt w:val="bullet"/>
      <w:lvlText w:val="o"/>
      <w:lvlJc w:val="left"/>
      <w:pPr>
        <w:ind w:left="5726" w:hanging="360"/>
      </w:pPr>
      <w:rPr>
        <w:rFonts w:ascii="Courier New" w:hAnsi="Courier New" w:cs="Courier New" w:hint="default"/>
      </w:rPr>
    </w:lvl>
    <w:lvl w:ilvl="5" w:tplc="9E84AAA0">
      <w:start w:val="1"/>
      <w:numFmt w:val="bullet"/>
      <w:lvlText w:val=""/>
      <w:lvlJc w:val="left"/>
      <w:pPr>
        <w:ind w:left="6446" w:hanging="360"/>
      </w:pPr>
      <w:rPr>
        <w:rFonts w:ascii="Wingdings" w:hAnsi="Wingdings" w:hint="default"/>
      </w:rPr>
    </w:lvl>
    <w:lvl w:ilvl="6" w:tplc="5B6217BC">
      <w:start w:val="1"/>
      <w:numFmt w:val="bullet"/>
      <w:lvlText w:val=""/>
      <w:lvlJc w:val="left"/>
      <w:pPr>
        <w:ind w:left="7166" w:hanging="360"/>
      </w:pPr>
      <w:rPr>
        <w:rFonts w:ascii="Symbol" w:hAnsi="Symbol" w:hint="default"/>
      </w:rPr>
    </w:lvl>
    <w:lvl w:ilvl="7" w:tplc="CB0AB37A">
      <w:start w:val="1"/>
      <w:numFmt w:val="bullet"/>
      <w:lvlText w:val="o"/>
      <w:lvlJc w:val="left"/>
      <w:pPr>
        <w:ind w:left="7886" w:hanging="360"/>
      </w:pPr>
      <w:rPr>
        <w:rFonts w:ascii="Courier New" w:hAnsi="Courier New" w:cs="Courier New" w:hint="default"/>
      </w:rPr>
    </w:lvl>
    <w:lvl w:ilvl="8" w:tplc="0134A98C">
      <w:start w:val="1"/>
      <w:numFmt w:val="bullet"/>
      <w:lvlText w:val=""/>
      <w:lvlJc w:val="left"/>
      <w:pPr>
        <w:ind w:left="8606" w:hanging="360"/>
      </w:pPr>
      <w:rPr>
        <w:rFonts w:ascii="Wingdings" w:hAnsi="Wingdings" w:hint="default"/>
      </w:rPr>
    </w:lvl>
  </w:abstractNum>
  <w:abstractNum w:abstractNumId="154" w15:restartNumberingAfterBreak="0">
    <w:nsid w:val="59AE4182"/>
    <w:multiLevelType w:val="hybridMultilevel"/>
    <w:tmpl w:val="BEAC4E28"/>
    <w:lvl w:ilvl="0" w:tplc="BD64184A">
      <w:start w:val="1"/>
      <w:numFmt w:val="bullet"/>
      <w:lvlText w:val="•"/>
      <w:lvlJc w:val="left"/>
      <w:pPr>
        <w:ind w:left="2846" w:hanging="360"/>
      </w:pPr>
      <w:rPr>
        <w:rFonts w:ascii="Calibri Light" w:eastAsia="Times New Roman" w:hAnsi="Calibri Light" w:cs="Times New Roman" w:hint="default"/>
      </w:rPr>
    </w:lvl>
    <w:lvl w:ilvl="1" w:tplc="27AC70C4">
      <w:start w:val="1"/>
      <w:numFmt w:val="bullet"/>
      <w:lvlText w:val="•"/>
      <w:lvlJc w:val="left"/>
      <w:pPr>
        <w:ind w:left="3566" w:hanging="360"/>
      </w:pPr>
      <w:rPr>
        <w:rFonts w:ascii="Calibri Light" w:eastAsia="Times New Roman" w:hAnsi="Calibri Light" w:cs="Times New Roman" w:hint="default"/>
      </w:rPr>
    </w:lvl>
    <w:lvl w:ilvl="2" w:tplc="A8D46ABE">
      <w:start w:val="1"/>
      <w:numFmt w:val="bullet"/>
      <w:lvlText w:val=""/>
      <w:lvlJc w:val="left"/>
      <w:pPr>
        <w:ind w:left="4286" w:hanging="360"/>
      </w:pPr>
      <w:rPr>
        <w:rFonts w:ascii="Wingdings" w:hAnsi="Wingdings" w:hint="default"/>
      </w:rPr>
    </w:lvl>
    <w:lvl w:ilvl="3" w:tplc="96F48596">
      <w:start w:val="1"/>
      <w:numFmt w:val="bullet"/>
      <w:lvlText w:val=""/>
      <w:lvlJc w:val="left"/>
      <w:pPr>
        <w:ind w:left="5006" w:hanging="360"/>
      </w:pPr>
      <w:rPr>
        <w:rFonts w:ascii="Symbol" w:hAnsi="Symbol" w:hint="default"/>
      </w:rPr>
    </w:lvl>
    <w:lvl w:ilvl="4" w:tplc="3D8690D2">
      <w:start w:val="1"/>
      <w:numFmt w:val="bullet"/>
      <w:lvlText w:val="o"/>
      <w:lvlJc w:val="left"/>
      <w:pPr>
        <w:ind w:left="5726" w:hanging="360"/>
      </w:pPr>
      <w:rPr>
        <w:rFonts w:ascii="Courier New" w:hAnsi="Courier New" w:cs="Courier New" w:hint="default"/>
      </w:rPr>
    </w:lvl>
    <w:lvl w:ilvl="5" w:tplc="3F8EC05E">
      <w:start w:val="1"/>
      <w:numFmt w:val="bullet"/>
      <w:lvlText w:val=""/>
      <w:lvlJc w:val="left"/>
      <w:pPr>
        <w:ind w:left="6446" w:hanging="360"/>
      </w:pPr>
      <w:rPr>
        <w:rFonts w:ascii="Wingdings" w:hAnsi="Wingdings" w:hint="default"/>
      </w:rPr>
    </w:lvl>
    <w:lvl w:ilvl="6" w:tplc="8D66F6E6">
      <w:start w:val="1"/>
      <w:numFmt w:val="bullet"/>
      <w:lvlText w:val=""/>
      <w:lvlJc w:val="left"/>
      <w:pPr>
        <w:ind w:left="7166" w:hanging="360"/>
      </w:pPr>
      <w:rPr>
        <w:rFonts w:ascii="Symbol" w:hAnsi="Symbol" w:hint="default"/>
      </w:rPr>
    </w:lvl>
    <w:lvl w:ilvl="7" w:tplc="6D4C8506">
      <w:start w:val="1"/>
      <w:numFmt w:val="bullet"/>
      <w:lvlText w:val="o"/>
      <w:lvlJc w:val="left"/>
      <w:pPr>
        <w:ind w:left="7886" w:hanging="360"/>
      </w:pPr>
      <w:rPr>
        <w:rFonts w:ascii="Courier New" w:hAnsi="Courier New" w:cs="Courier New" w:hint="default"/>
      </w:rPr>
    </w:lvl>
    <w:lvl w:ilvl="8" w:tplc="95520A68">
      <w:start w:val="1"/>
      <w:numFmt w:val="bullet"/>
      <w:lvlText w:val=""/>
      <w:lvlJc w:val="left"/>
      <w:pPr>
        <w:ind w:left="8606" w:hanging="360"/>
      </w:pPr>
      <w:rPr>
        <w:rFonts w:ascii="Wingdings" w:hAnsi="Wingdings" w:hint="default"/>
      </w:rPr>
    </w:lvl>
  </w:abstractNum>
  <w:abstractNum w:abstractNumId="155" w15:restartNumberingAfterBreak="0">
    <w:nsid w:val="59D93231"/>
    <w:multiLevelType w:val="hybridMultilevel"/>
    <w:tmpl w:val="826AB104"/>
    <w:lvl w:ilvl="0" w:tplc="6B3C7F7C">
      <w:start w:val="1"/>
      <w:numFmt w:val="bullet"/>
      <w:lvlText w:val="•"/>
      <w:lvlJc w:val="left"/>
      <w:pPr>
        <w:ind w:left="1440" w:hanging="360"/>
      </w:pPr>
      <w:rPr>
        <w:rFonts w:ascii="Calibri Light" w:eastAsia="Times New Roman" w:hAnsi="Calibri Light" w:cs="Times New Roman" w:hint="default"/>
      </w:rPr>
    </w:lvl>
    <w:lvl w:ilvl="1" w:tplc="2B3C1664">
      <w:start w:val="1"/>
      <w:numFmt w:val="bullet"/>
      <w:lvlText w:val="o"/>
      <w:lvlJc w:val="left"/>
      <w:pPr>
        <w:ind w:left="2160" w:hanging="360"/>
      </w:pPr>
      <w:rPr>
        <w:rFonts w:ascii="Courier New" w:hAnsi="Courier New" w:cs="Courier New" w:hint="default"/>
      </w:rPr>
    </w:lvl>
    <w:lvl w:ilvl="2" w:tplc="500C6152">
      <w:start w:val="1"/>
      <w:numFmt w:val="bullet"/>
      <w:lvlText w:val=""/>
      <w:lvlJc w:val="left"/>
      <w:pPr>
        <w:ind w:left="2880" w:hanging="360"/>
      </w:pPr>
      <w:rPr>
        <w:rFonts w:ascii="Wingdings" w:hAnsi="Wingdings" w:hint="default"/>
      </w:rPr>
    </w:lvl>
    <w:lvl w:ilvl="3" w:tplc="2548AFFE">
      <w:start w:val="1"/>
      <w:numFmt w:val="bullet"/>
      <w:lvlText w:val=""/>
      <w:lvlJc w:val="left"/>
      <w:pPr>
        <w:ind w:left="3600" w:hanging="360"/>
      </w:pPr>
      <w:rPr>
        <w:rFonts w:ascii="Symbol" w:hAnsi="Symbol" w:hint="default"/>
      </w:rPr>
    </w:lvl>
    <w:lvl w:ilvl="4" w:tplc="18D4FB74">
      <w:start w:val="1"/>
      <w:numFmt w:val="bullet"/>
      <w:lvlText w:val="o"/>
      <w:lvlJc w:val="left"/>
      <w:pPr>
        <w:ind w:left="4320" w:hanging="360"/>
      </w:pPr>
      <w:rPr>
        <w:rFonts w:ascii="Courier New" w:hAnsi="Courier New" w:cs="Courier New" w:hint="default"/>
      </w:rPr>
    </w:lvl>
    <w:lvl w:ilvl="5" w:tplc="4030FFDE">
      <w:start w:val="1"/>
      <w:numFmt w:val="bullet"/>
      <w:lvlText w:val=""/>
      <w:lvlJc w:val="left"/>
      <w:pPr>
        <w:ind w:left="5040" w:hanging="360"/>
      </w:pPr>
      <w:rPr>
        <w:rFonts w:ascii="Wingdings" w:hAnsi="Wingdings" w:hint="default"/>
      </w:rPr>
    </w:lvl>
    <w:lvl w:ilvl="6" w:tplc="86A4CFEA">
      <w:start w:val="1"/>
      <w:numFmt w:val="bullet"/>
      <w:lvlText w:val=""/>
      <w:lvlJc w:val="left"/>
      <w:pPr>
        <w:ind w:left="5760" w:hanging="360"/>
      </w:pPr>
      <w:rPr>
        <w:rFonts w:ascii="Symbol" w:hAnsi="Symbol" w:hint="default"/>
      </w:rPr>
    </w:lvl>
    <w:lvl w:ilvl="7" w:tplc="C9ECDFE4">
      <w:start w:val="1"/>
      <w:numFmt w:val="bullet"/>
      <w:lvlText w:val="o"/>
      <w:lvlJc w:val="left"/>
      <w:pPr>
        <w:ind w:left="6480" w:hanging="360"/>
      </w:pPr>
      <w:rPr>
        <w:rFonts w:ascii="Courier New" w:hAnsi="Courier New" w:cs="Courier New" w:hint="default"/>
      </w:rPr>
    </w:lvl>
    <w:lvl w:ilvl="8" w:tplc="CD1EA660">
      <w:start w:val="1"/>
      <w:numFmt w:val="bullet"/>
      <w:lvlText w:val=""/>
      <w:lvlJc w:val="left"/>
      <w:pPr>
        <w:ind w:left="7200" w:hanging="360"/>
      </w:pPr>
      <w:rPr>
        <w:rFonts w:ascii="Wingdings" w:hAnsi="Wingdings" w:hint="default"/>
      </w:rPr>
    </w:lvl>
  </w:abstractNum>
  <w:abstractNum w:abstractNumId="156" w15:restartNumberingAfterBreak="0">
    <w:nsid w:val="5A55327F"/>
    <w:multiLevelType w:val="hybridMultilevel"/>
    <w:tmpl w:val="7C148C5E"/>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A790ED4"/>
    <w:multiLevelType w:val="hybridMultilevel"/>
    <w:tmpl w:val="227066DA"/>
    <w:lvl w:ilvl="0" w:tplc="5156DBF0">
      <w:start w:val="1"/>
      <w:numFmt w:val="lowerLetter"/>
      <w:lvlText w:val="(%1)"/>
      <w:lvlJc w:val="left"/>
      <w:pPr>
        <w:ind w:left="720" w:hanging="360"/>
      </w:pPr>
      <w:rPr>
        <w:rFonts w:ascii="Times New Roman" w:hAnsi="Times New Roman" w:cs="Times New Roman" w:hint="default"/>
        <w:b w:val="0"/>
        <w:i w:val="0"/>
        <w:color w:val="auto"/>
        <w:sz w:val="24"/>
        <w:szCs w:val="22"/>
        <w:u w:val="none"/>
      </w:rPr>
    </w:lvl>
    <w:lvl w:ilvl="1" w:tplc="1FCC3AC0">
      <w:start w:val="1"/>
      <w:numFmt w:val="lowerLetter"/>
      <w:lvlText w:val="%2."/>
      <w:lvlJc w:val="left"/>
      <w:pPr>
        <w:ind w:left="1440" w:hanging="360"/>
      </w:pPr>
    </w:lvl>
    <w:lvl w:ilvl="2" w:tplc="2DC64B64">
      <w:start w:val="1"/>
      <w:numFmt w:val="lowerRoman"/>
      <w:lvlText w:val="%3."/>
      <w:lvlJc w:val="right"/>
      <w:pPr>
        <w:ind w:left="2160" w:hanging="180"/>
      </w:pPr>
    </w:lvl>
    <w:lvl w:ilvl="3" w:tplc="942CF96C">
      <w:start w:val="1"/>
      <w:numFmt w:val="decimal"/>
      <w:lvlText w:val="%4."/>
      <w:lvlJc w:val="left"/>
      <w:pPr>
        <w:ind w:left="2880" w:hanging="360"/>
      </w:pPr>
    </w:lvl>
    <w:lvl w:ilvl="4" w:tplc="337C6E54">
      <w:start w:val="1"/>
      <w:numFmt w:val="lowerLetter"/>
      <w:lvlText w:val="%5."/>
      <w:lvlJc w:val="left"/>
      <w:pPr>
        <w:ind w:left="3600" w:hanging="360"/>
      </w:pPr>
    </w:lvl>
    <w:lvl w:ilvl="5" w:tplc="FDD46010">
      <w:start w:val="1"/>
      <w:numFmt w:val="lowerRoman"/>
      <w:lvlText w:val="%6."/>
      <w:lvlJc w:val="right"/>
      <w:pPr>
        <w:ind w:left="4320" w:hanging="180"/>
      </w:pPr>
    </w:lvl>
    <w:lvl w:ilvl="6" w:tplc="D2AE060C">
      <w:start w:val="1"/>
      <w:numFmt w:val="decimal"/>
      <w:lvlText w:val="%7."/>
      <w:lvlJc w:val="left"/>
      <w:pPr>
        <w:ind w:left="5040" w:hanging="360"/>
      </w:pPr>
    </w:lvl>
    <w:lvl w:ilvl="7" w:tplc="4D728726">
      <w:start w:val="1"/>
      <w:numFmt w:val="lowerLetter"/>
      <w:lvlText w:val="%8."/>
      <w:lvlJc w:val="left"/>
      <w:pPr>
        <w:ind w:left="5760" w:hanging="360"/>
      </w:pPr>
    </w:lvl>
    <w:lvl w:ilvl="8" w:tplc="2668A5C8">
      <w:start w:val="1"/>
      <w:numFmt w:val="lowerRoman"/>
      <w:lvlText w:val="%9."/>
      <w:lvlJc w:val="right"/>
      <w:pPr>
        <w:ind w:left="6480" w:hanging="180"/>
      </w:pPr>
    </w:lvl>
  </w:abstractNum>
  <w:abstractNum w:abstractNumId="158" w15:restartNumberingAfterBreak="0">
    <w:nsid w:val="5C865301"/>
    <w:multiLevelType w:val="hybridMultilevel"/>
    <w:tmpl w:val="4296CEA6"/>
    <w:lvl w:ilvl="0" w:tplc="5C5468B2">
      <w:start w:val="1"/>
      <w:numFmt w:val="bullet"/>
      <w:lvlText w:val="-"/>
      <w:lvlJc w:val="left"/>
      <w:pPr>
        <w:ind w:left="720" w:hanging="360"/>
      </w:pPr>
      <w:rPr>
        <w:rFonts w:ascii="Times New Roman" w:eastAsia="Times New Roman" w:hAnsi="Times New Roman" w:cs="Times New Roman" w:hint="default"/>
        <w:spacing w:val="-7"/>
        <w:sz w:val="22"/>
        <w:szCs w:val="22"/>
        <w:lang w:val="en-US" w:eastAsia="en-US" w:bidi="ar-SA"/>
      </w:rPr>
    </w:lvl>
    <w:lvl w:ilvl="1" w:tplc="D4C07DE8">
      <w:start w:val="1"/>
      <w:numFmt w:val="bullet"/>
      <w:lvlText w:val="o"/>
      <w:lvlJc w:val="left"/>
      <w:pPr>
        <w:ind w:left="1440" w:hanging="360"/>
      </w:pPr>
      <w:rPr>
        <w:rFonts w:ascii="Courier New" w:hAnsi="Courier New" w:cs="Courier New" w:hint="default"/>
      </w:rPr>
    </w:lvl>
    <w:lvl w:ilvl="2" w:tplc="9580D638">
      <w:start w:val="1"/>
      <w:numFmt w:val="bullet"/>
      <w:lvlText w:val=""/>
      <w:lvlJc w:val="left"/>
      <w:pPr>
        <w:ind w:left="2160" w:hanging="360"/>
      </w:pPr>
      <w:rPr>
        <w:rFonts w:ascii="Wingdings" w:hAnsi="Wingdings" w:hint="default"/>
      </w:rPr>
    </w:lvl>
    <w:lvl w:ilvl="3" w:tplc="D81E9BDC">
      <w:start w:val="1"/>
      <w:numFmt w:val="bullet"/>
      <w:lvlText w:val=""/>
      <w:lvlJc w:val="left"/>
      <w:pPr>
        <w:ind w:left="2880" w:hanging="360"/>
      </w:pPr>
      <w:rPr>
        <w:rFonts w:ascii="Symbol" w:hAnsi="Symbol" w:hint="default"/>
      </w:rPr>
    </w:lvl>
    <w:lvl w:ilvl="4" w:tplc="B8BEF23A">
      <w:start w:val="1"/>
      <w:numFmt w:val="bullet"/>
      <w:lvlText w:val="o"/>
      <w:lvlJc w:val="left"/>
      <w:pPr>
        <w:ind w:left="3600" w:hanging="360"/>
      </w:pPr>
      <w:rPr>
        <w:rFonts w:ascii="Courier New" w:hAnsi="Courier New" w:cs="Courier New" w:hint="default"/>
      </w:rPr>
    </w:lvl>
    <w:lvl w:ilvl="5" w:tplc="2CDEC3DE">
      <w:start w:val="1"/>
      <w:numFmt w:val="bullet"/>
      <w:lvlText w:val=""/>
      <w:lvlJc w:val="left"/>
      <w:pPr>
        <w:ind w:left="4320" w:hanging="360"/>
      </w:pPr>
      <w:rPr>
        <w:rFonts w:ascii="Wingdings" w:hAnsi="Wingdings" w:hint="default"/>
      </w:rPr>
    </w:lvl>
    <w:lvl w:ilvl="6" w:tplc="A7C496D8">
      <w:start w:val="1"/>
      <w:numFmt w:val="bullet"/>
      <w:lvlText w:val=""/>
      <w:lvlJc w:val="left"/>
      <w:pPr>
        <w:ind w:left="5040" w:hanging="360"/>
      </w:pPr>
      <w:rPr>
        <w:rFonts w:ascii="Symbol" w:hAnsi="Symbol" w:hint="default"/>
      </w:rPr>
    </w:lvl>
    <w:lvl w:ilvl="7" w:tplc="527254DE">
      <w:start w:val="1"/>
      <w:numFmt w:val="bullet"/>
      <w:lvlText w:val="o"/>
      <w:lvlJc w:val="left"/>
      <w:pPr>
        <w:ind w:left="5760" w:hanging="360"/>
      </w:pPr>
      <w:rPr>
        <w:rFonts w:ascii="Courier New" w:hAnsi="Courier New" w:cs="Courier New" w:hint="default"/>
      </w:rPr>
    </w:lvl>
    <w:lvl w:ilvl="8" w:tplc="2ADCAB70">
      <w:start w:val="1"/>
      <w:numFmt w:val="bullet"/>
      <w:lvlText w:val=""/>
      <w:lvlJc w:val="left"/>
      <w:pPr>
        <w:ind w:left="6480" w:hanging="360"/>
      </w:pPr>
      <w:rPr>
        <w:rFonts w:ascii="Wingdings" w:hAnsi="Wingdings" w:hint="default"/>
      </w:rPr>
    </w:lvl>
  </w:abstractNum>
  <w:abstractNum w:abstractNumId="159" w15:restartNumberingAfterBreak="0">
    <w:nsid w:val="5D4E3C7E"/>
    <w:multiLevelType w:val="multilevel"/>
    <w:tmpl w:val="EE4A1254"/>
    <w:lvl w:ilvl="0">
      <w:start w:val="1"/>
      <w:numFmt w:val="decimal"/>
      <w:pStyle w:val="S1-Header2"/>
      <w:isLgl/>
      <w:lvlText w:val="%1."/>
      <w:lvlJc w:val="left"/>
      <w:pPr>
        <w:tabs>
          <w:tab w:val="num" w:pos="432"/>
        </w:tabs>
        <w:ind w:left="432" w:hanging="432"/>
      </w:pPr>
      <w:rPr>
        <w:rFonts w:hint="default"/>
        <w:b/>
        <w:i w:val="0"/>
        <w:sz w:val="24"/>
      </w:rPr>
    </w:lvl>
    <w:lvl w:ilvl="1">
      <w:start w:val="1"/>
      <w:numFmt w:val="decimal"/>
      <w:lvlText w:val="20.%2"/>
      <w:lvlJc w:val="left"/>
      <w:pPr>
        <w:ind w:left="360" w:hanging="360"/>
      </w:pPr>
      <w:rPr>
        <w:rFonts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0" w15:restartNumberingAfterBreak="0">
    <w:nsid w:val="5D7C3A90"/>
    <w:multiLevelType w:val="hybridMultilevel"/>
    <w:tmpl w:val="E7286E1E"/>
    <w:lvl w:ilvl="0" w:tplc="F2262190">
      <w:start w:val="1"/>
      <w:numFmt w:val="bullet"/>
      <w:lvlText w:val="•"/>
      <w:lvlJc w:val="left"/>
      <w:pPr>
        <w:ind w:left="2160" w:hanging="360"/>
      </w:pPr>
      <w:rPr>
        <w:rFonts w:ascii="Calibri Light" w:eastAsia="Times New Roman" w:hAnsi="Calibri Light" w:cs="Times New Roman" w:hint="default"/>
      </w:rPr>
    </w:lvl>
    <w:lvl w:ilvl="1" w:tplc="FBB27692">
      <w:start w:val="1"/>
      <w:numFmt w:val="bullet"/>
      <w:lvlText w:val="o"/>
      <w:lvlJc w:val="left"/>
      <w:pPr>
        <w:ind w:left="2880" w:hanging="360"/>
      </w:pPr>
      <w:rPr>
        <w:rFonts w:ascii="Courier New" w:hAnsi="Courier New" w:cs="Courier New" w:hint="default"/>
      </w:rPr>
    </w:lvl>
    <w:lvl w:ilvl="2" w:tplc="40AA3E40">
      <w:start w:val="1"/>
      <w:numFmt w:val="bullet"/>
      <w:lvlText w:val=""/>
      <w:lvlJc w:val="left"/>
      <w:pPr>
        <w:ind w:left="3600" w:hanging="360"/>
      </w:pPr>
      <w:rPr>
        <w:rFonts w:ascii="Wingdings" w:hAnsi="Wingdings" w:hint="default"/>
      </w:rPr>
    </w:lvl>
    <w:lvl w:ilvl="3" w:tplc="ABC65650">
      <w:start w:val="1"/>
      <w:numFmt w:val="bullet"/>
      <w:lvlText w:val=""/>
      <w:lvlJc w:val="left"/>
      <w:pPr>
        <w:ind w:left="4320" w:hanging="360"/>
      </w:pPr>
      <w:rPr>
        <w:rFonts w:ascii="Symbol" w:hAnsi="Symbol" w:hint="default"/>
      </w:rPr>
    </w:lvl>
    <w:lvl w:ilvl="4" w:tplc="C7CC8BF6">
      <w:start w:val="1"/>
      <w:numFmt w:val="bullet"/>
      <w:lvlText w:val="o"/>
      <w:lvlJc w:val="left"/>
      <w:pPr>
        <w:ind w:left="5040" w:hanging="360"/>
      </w:pPr>
      <w:rPr>
        <w:rFonts w:ascii="Courier New" w:hAnsi="Courier New" w:cs="Courier New" w:hint="default"/>
      </w:rPr>
    </w:lvl>
    <w:lvl w:ilvl="5" w:tplc="F8D4A8D4">
      <w:start w:val="1"/>
      <w:numFmt w:val="bullet"/>
      <w:lvlText w:val=""/>
      <w:lvlJc w:val="left"/>
      <w:pPr>
        <w:ind w:left="5760" w:hanging="360"/>
      </w:pPr>
      <w:rPr>
        <w:rFonts w:ascii="Wingdings" w:hAnsi="Wingdings" w:hint="default"/>
      </w:rPr>
    </w:lvl>
    <w:lvl w:ilvl="6" w:tplc="502ADE8E">
      <w:start w:val="1"/>
      <w:numFmt w:val="bullet"/>
      <w:lvlText w:val=""/>
      <w:lvlJc w:val="left"/>
      <w:pPr>
        <w:ind w:left="6480" w:hanging="360"/>
      </w:pPr>
      <w:rPr>
        <w:rFonts w:ascii="Symbol" w:hAnsi="Symbol" w:hint="default"/>
      </w:rPr>
    </w:lvl>
    <w:lvl w:ilvl="7" w:tplc="9F3A1580">
      <w:start w:val="1"/>
      <w:numFmt w:val="bullet"/>
      <w:lvlText w:val="o"/>
      <w:lvlJc w:val="left"/>
      <w:pPr>
        <w:ind w:left="7200" w:hanging="360"/>
      </w:pPr>
      <w:rPr>
        <w:rFonts w:ascii="Courier New" w:hAnsi="Courier New" w:cs="Courier New" w:hint="default"/>
      </w:rPr>
    </w:lvl>
    <w:lvl w:ilvl="8" w:tplc="1B747290">
      <w:start w:val="1"/>
      <w:numFmt w:val="bullet"/>
      <w:lvlText w:val=""/>
      <w:lvlJc w:val="left"/>
      <w:pPr>
        <w:ind w:left="7920" w:hanging="360"/>
      </w:pPr>
      <w:rPr>
        <w:rFonts w:ascii="Wingdings" w:hAnsi="Wingdings" w:hint="default"/>
      </w:rPr>
    </w:lvl>
  </w:abstractNum>
  <w:abstractNum w:abstractNumId="161" w15:restartNumberingAfterBreak="0">
    <w:nsid w:val="5DEF5B73"/>
    <w:multiLevelType w:val="hybridMultilevel"/>
    <w:tmpl w:val="06FE7E28"/>
    <w:lvl w:ilvl="0" w:tplc="60EA8FE2">
      <w:start w:val="1"/>
      <w:numFmt w:val="lowerRoman"/>
      <w:lvlText w:val="%1."/>
      <w:lvlJc w:val="right"/>
      <w:pPr>
        <w:ind w:left="1354" w:hanging="360"/>
      </w:pPr>
    </w:lvl>
    <w:lvl w:ilvl="1" w:tplc="5F70D2B2">
      <w:start w:val="1"/>
      <w:numFmt w:val="lowerLetter"/>
      <w:lvlText w:val="%2."/>
      <w:lvlJc w:val="left"/>
      <w:pPr>
        <w:ind w:left="2074" w:hanging="360"/>
      </w:pPr>
    </w:lvl>
    <w:lvl w:ilvl="2" w:tplc="B50E8DF4">
      <w:start w:val="1"/>
      <w:numFmt w:val="lowerRoman"/>
      <w:lvlText w:val="%3."/>
      <w:lvlJc w:val="right"/>
      <w:pPr>
        <w:ind w:left="2794" w:hanging="180"/>
      </w:pPr>
    </w:lvl>
    <w:lvl w:ilvl="3" w:tplc="46583048">
      <w:start w:val="1"/>
      <w:numFmt w:val="decimal"/>
      <w:lvlText w:val="%4."/>
      <w:lvlJc w:val="left"/>
      <w:pPr>
        <w:ind w:left="3514" w:hanging="360"/>
      </w:pPr>
    </w:lvl>
    <w:lvl w:ilvl="4" w:tplc="9DD09DB4">
      <w:start w:val="1"/>
      <w:numFmt w:val="lowerLetter"/>
      <w:lvlText w:val="%5."/>
      <w:lvlJc w:val="left"/>
      <w:pPr>
        <w:ind w:left="4234" w:hanging="360"/>
      </w:pPr>
    </w:lvl>
    <w:lvl w:ilvl="5" w:tplc="76B45CF6">
      <w:start w:val="1"/>
      <w:numFmt w:val="lowerRoman"/>
      <w:lvlText w:val="%6."/>
      <w:lvlJc w:val="right"/>
      <w:pPr>
        <w:ind w:left="4954" w:hanging="180"/>
      </w:pPr>
    </w:lvl>
    <w:lvl w:ilvl="6" w:tplc="D3CE26AC">
      <w:start w:val="1"/>
      <w:numFmt w:val="decimal"/>
      <w:lvlText w:val="%7."/>
      <w:lvlJc w:val="left"/>
      <w:pPr>
        <w:ind w:left="5674" w:hanging="360"/>
      </w:pPr>
    </w:lvl>
    <w:lvl w:ilvl="7" w:tplc="DB42F12A">
      <w:start w:val="1"/>
      <w:numFmt w:val="lowerLetter"/>
      <w:lvlText w:val="%8."/>
      <w:lvlJc w:val="left"/>
      <w:pPr>
        <w:ind w:left="6394" w:hanging="360"/>
      </w:pPr>
    </w:lvl>
    <w:lvl w:ilvl="8" w:tplc="88802180">
      <w:start w:val="1"/>
      <w:numFmt w:val="lowerRoman"/>
      <w:lvlText w:val="%9."/>
      <w:lvlJc w:val="right"/>
      <w:pPr>
        <w:ind w:left="7114" w:hanging="180"/>
      </w:pPr>
    </w:lvl>
  </w:abstractNum>
  <w:abstractNum w:abstractNumId="162" w15:restartNumberingAfterBreak="0">
    <w:nsid w:val="5F4649E1"/>
    <w:multiLevelType w:val="hybridMultilevel"/>
    <w:tmpl w:val="E9642920"/>
    <w:lvl w:ilvl="0" w:tplc="19565DA0">
      <w:start w:val="1"/>
      <w:numFmt w:val="decimal"/>
      <w:pStyle w:val="Sec3h1"/>
      <w:lvlText w:val="%1."/>
      <w:lvlJc w:val="left"/>
      <w:pPr>
        <w:ind w:left="720" w:hanging="360"/>
      </w:pPr>
      <w:rPr>
        <w:rFonts w:ascii="Times New Roman Bold" w:hAnsi="Times New Roman Bold" w:hint="default"/>
        <w:b/>
        <w:i w:val="0"/>
        <w:sz w:val="28"/>
      </w:rPr>
    </w:lvl>
    <w:lvl w:ilvl="1" w:tplc="238AC65E">
      <w:start w:val="1"/>
      <w:numFmt w:val="lowerLetter"/>
      <w:lvlText w:val="%2."/>
      <w:lvlJc w:val="left"/>
      <w:pPr>
        <w:ind w:left="1440" w:hanging="360"/>
      </w:pPr>
    </w:lvl>
    <w:lvl w:ilvl="2" w:tplc="A5CAD3EE">
      <w:start w:val="1"/>
      <w:numFmt w:val="lowerRoman"/>
      <w:lvlText w:val="%3."/>
      <w:lvlJc w:val="right"/>
      <w:pPr>
        <w:ind w:left="2160" w:hanging="180"/>
      </w:pPr>
    </w:lvl>
    <w:lvl w:ilvl="3" w:tplc="F79483AA">
      <w:start w:val="1"/>
      <w:numFmt w:val="decimal"/>
      <w:lvlText w:val="%4."/>
      <w:lvlJc w:val="left"/>
      <w:pPr>
        <w:ind w:left="2880" w:hanging="360"/>
      </w:pPr>
    </w:lvl>
    <w:lvl w:ilvl="4" w:tplc="A8A0AB10">
      <w:start w:val="1"/>
      <w:numFmt w:val="lowerLetter"/>
      <w:lvlText w:val="%5."/>
      <w:lvlJc w:val="left"/>
      <w:pPr>
        <w:ind w:left="3600" w:hanging="360"/>
      </w:pPr>
    </w:lvl>
    <w:lvl w:ilvl="5" w:tplc="01D0D0E6">
      <w:start w:val="1"/>
      <w:numFmt w:val="lowerRoman"/>
      <w:lvlText w:val="%6."/>
      <w:lvlJc w:val="right"/>
      <w:pPr>
        <w:ind w:left="4320" w:hanging="180"/>
      </w:pPr>
    </w:lvl>
    <w:lvl w:ilvl="6" w:tplc="B4300C9E">
      <w:start w:val="1"/>
      <w:numFmt w:val="decimal"/>
      <w:lvlText w:val="%7."/>
      <w:lvlJc w:val="left"/>
      <w:pPr>
        <w:ind w:left="5040" w:hanging="360"/>
      </w:pPr>
    </w:lvl>
    <w:lvl w:ilvl="7" w:tplc="83FCB966">
      <w:start w:val="1"/>
      <w:numFmt w:val="lowerLetter"/>
      <w:lvlText w:val="%8."/>
      <w:lvlJc w:val="left"/>
      <w:pPr>
        <w:ind w:left="5760" w:hanging="360"/>
      </w:pPr>
    </w:lvl>
    <w:lvl w:ilvl="8" w:tplc="13C24FD8">
      <w:start w:val="1"/>
      <w:numFmt w:val="lowerRoman"/>
      <w:lvlText w:val="%9."/>
      <w:lvlJc w:val="right"/>
      <w:pPr>
        <w:ind w:left="6480" w:hanging="180"/>
      </w:pPr>
    </w:lvl>
  </w:abstractNum>
  <w:abstractNum w:abstractNumId="163" w15:restartNumberingAfterBreak="0">
    <w:nsid w:val="600B59A3"/>
    <w:multiLevelType w:val="hybridMultilevel"/>
    <w:tmpl w:val="FB327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0252967"/>
    <w:multiLevelType w:val="hybridMultilevel"/>
    <w:tmpl w:val="36C48CD2"/>
    <w:lvl w:ilvl="0" w:tplc="F0C8C6B6">
      <w:start w:val="1"/>
      <w:numFmt w:val="bullet"/>
      <w:lvlText w:val="•"/>
      <w:lvlJc w:val="left"/>
      <w:pPr>
        <w:ind w:left="3555" w:hanging="360"/>
      </w:pPr>
      <w:rPr>
        <w:rFonts w:ascii="Calibri Light" w:eastAsia="Times New Roman" w:hAnsi="Calibri Light" w:cs="Times New Roman" w:hint="default"/>
      </w:rPr>
    </w:lvl>
    <w:lvl w:ilvl="1" w:tplc="DDA6B960">
      <w:start w:val="1"/>
      <w:numFmt w:val="bullet"/>
      <w:lvlText w:val="o"/>
      <w:lvlJc w:val="left"/>
      <w:pPr>
        <w:ind w:left="4275" w:hanging="360"/>
      </w:pPr>
      <w:rPr>
        <w:rFonts w:ascii="Courier New" w:hAnsi="Courier New" w:cs="Courier New" w:hint="default"/>
      </w:rPr>
    </w:lvl>
    <w:lvl w:ilvl="2" w:tplc="08248C2E">
      <w:start w:val="1"/>
      <w:numFmt w:val="bullet"/>
      <w:lvlText w:val=""/>
      <w:lvlJc w:val="left"/>
      <w:pPr>
        <w:ind w:left="4995" w:hanging="360"/>
      </w:pPr>
      <w:rPr>
        <w:rFonts w:ascii="Wingdings" w:hAnsi="Wingdings" w:hint="default"/>
      </w:rPr>
    </w:lvl>
    <w:lvl w:ilvl="3" w:tplc="39F4BF50">
      <w:start w:val="1"/>
      <w:numFmt w:val="bullet"/>
      <w:lvlText w:val=""/>
      <w:lvlJc w:val="left"/>
      <w:pPr>
        <w:ind w:left="5715" w:hanging="360"/>
      </w:pPr>
      <w:rPr>
        <w:rFonts w:ascii="Symbol" w:hAnsi="Symbol" w:hint="default"/>
      </w:rPr>
    </w:lvl>
    <w:lvl w:ilvl="4" w:tplc="ED8A67C6">
      <w:start w:val="1"/>
      <w:numFmt w:val="bullet"/>
      <w:lvlText w:val="o"/>
      <w:lvlJc w:val="left"/>
      <w:pPr>
        <w:ind w:left="6435" w:hanging="360"/>
      </w:pPr>
      <w:rPr>
        <w:rFonts w:ascii="Courier New" w:hAnsi="Courier New" w:cs="Courier New" w:hint="default"/>
      </w:rPr>
    </w:lvl>
    <w:lvl w:ilvl="5" w:tplc="818C4082">
      <w:start w:val="1"/>
      <w:numFmt w:val="bullet"/>
      <w:lvlText w:val=""/>
      <w:lvlJc w:val="left"/>
      <w:pPr>
        <w:ind w:left="7155" w:hanging="360"/>
      </w:pPr>
      <w:rPr>
        <w:rFonts w:ascii="Wingdings" w:hAnsi="Wingdings" w:hint="default"/>
      </w:rPr>
    </w:lvl>
    <w:lvl w:ilvl="6" w:tplc="3166A110">
      <w:start w:val="1"/>
      <w:numFmt w:val="bullet"/>
      <w:lvlText w:val=""/>
      <w:lvlJc w:val="left"/>
      <w:pPr>
        <w:ind w:left="7875" w:hanging="360"/>
      </w:pPr>
      <w:rPr>
        <w:rFonts w:ascii="Symbol" w:hAnsi="Symbol" w:hint="default"/>
      </w:rPr>
    </w:lvl>
    <w:lvl w:ilvl="7" w:tplc="6AA227CC">
      <w:start w:val="1"/>
      <w:numFmt w:val="bullet"/>
      <w:lvlText w:val="o"/>
      <w:lvlJc w:val="left"/>
      <w:pPr>
        <w:ind w:left="8595" w:hanging="360"/>
      </w:pPr>
      <w:rPr>
        <w:rFonts w:ascii="Courier New" w:hAnsi="Courier New" w:cs="Courier New" w:hint="default"/>
      </w:rPr>
    </w:lvl>
    <w:lvl w:ilvl="8" w:tplc="2F4830A4">
      <w:start w:val="1"/>
      <w:numFmt w:val="bullet"/>
      <w:lvlText w:val=""/>
      <w:lvlJc w:val="left"/>
      <w:pPr>
        <w:ind w:left="9315" w:hanging="360"/>
      </w:pPr>
      <w:rPr>
        <w:rFonts w:ascii="Wingdings" w:hAnsi="Wingdings" w:hint="default"/>
      </w:rPr>
    </w:lvl>
  </w:abstractNum>
  <w:abstractNum w:abstractNumId="165" w15:restartNumberingAfterBreak="0">
    <w:nsid w:val="60561F2E"/>
    <w:multiLevelType w:val="multilevel"/>
    <w:tmpl w:val="8D5A1F76"/>
    <w:lvl w:ilvl="0">
      <w:start w:val="1"/>
      <w:numFmt w:val="decimal"/>
      <w:lvlText w:val="%1."/>
      <w:lvlJc w:val="left"/>
      <w:pPr>
        <w:ind w:left="720" w:hanging="360"/>
      </w:pPr>
      <w:rPr>
        <w:rFonts w:hint="default"/>
        <w:b/>
      </w:rPr>
    </w:lvl>
    <w:lvl w:ilvl="1">
      <w:start w:val="5"/>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240" w:hanging="108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320" w:hanging="1440"/>
      </w:pPr>
      <w:rPr>
        <w:rFonts w:hint="default"/>
        <w:b/>
      </w:rPr>
    </w:lvl>
    <w:lvl w:ilvl="8">
      <w:start w:val="1"/>
      <w:numFmt w:val="decimal"/>
      <w:isLgl/>
      <w:lvlText w:val="%1.%2.%3.%4.%5.%6.%7.%8.%9."/>
      <w:lvlJc w:val="left"/>
      <w:pPr>
        <w:ind w:left="5040" w:hanging="1800"/>
      </w:pPr>
      <w:rPr>
        <w:rFonts w:hint="default"/>
        <w:b/>
      </w:rPr>
    </w:lvl>
  </w:abstractNum>
  <w:abstractNum w:abstractNumId="166" w15:restartNumberingAfterBreak="0">
    <w:nsid w:val="624B2F46"/>
    <w:multiLevelType w:val="hybridMultilevel"/>
    <w:tmpl w:val="932A4614"/>
    <w:lvl w:ilvl="0" w:tplc="BEF43C2A">
      <w:start w:val="1"/>
      <w:numFmt w:val="decimal"/>
      <w:lvlText w:val="%1."/>
      <w:lvlJc w:val="left"/>
      <w:pPr>
        <w:ind w:left="720" w:hanging="360"/>
      </w:pPr>
      <w:rPr>
        <w:rFonts w:hint="default"/>
        <w:b/>
      </w:rPr>
    </w:lvl>
    <w:lvl w:ilvl="1" w:tplc="86448314">
      <w:start w:val="1"/>
      <w:numFmt w:val="lowerLetter"/>
      <w:lvlText w:val="%2."/>
      <w:lvlJc w:val="left"/>
      <w:pPr>
        <w:ind w:left="1440" w:hanging="360"/>
      </w:pPr>
    </w:lvl>
    <w:lvl w:ilvl="2" w:tplc="0E229AE0">
      <w:start w:val="1"/>
      <w:numFmt w:val="lowerRoman"/>
      <w:lvlText w:val="%3."/>
      <w:lvlJc w:val="right"/>
      <w:pPr>
        <w:ind w:left="2160" w:hanging="180"/>
      </w:pPr>
    </w:lvl>
    <w:lvl w:ilvl="3" w:tplc="33128A0A">
      <w:start w:val="1"/>
      <w:numFmt w:val="decimal"/>
      <w:lvlText w:val="%4."/>
      <w:lvlJc w:val="left"/>
      <w:pPr>
        <w:ind w:left="2880" w:hanging="360"/>
      </w:pPr>
    </w:lvl>
    <w:lvl w:ilvl="4" w:tplc="24AC234C">
      <w:start w:val="1"/>
      <w:numFmt w:val="lowerLetter"/>
      <w:lvlText w:val="%5."/>
      <w:lvlJc w:val="left"/>
      <w:pPr>
        <w:ind w:left="3600" w:hanging="360"/>
      </w:pPr>
    </w:lvl>
    <w:lvl w:ilvl="5" w:tplc="8790182A">
      <w:start w:val="1"/>
      <w:numFmt w:val="lowerRoman"/>
      <w:lvlText w:val="%6."/>
      <w:lvlJc w:val="right"/>
      <w:pPr>
        <w:ind w:left="4320" w:hanging="180"/>
      </w:pPr>
    </w:lvl>
    <w:lvl w:ilvl="6" w:tplc="74AA3D52">
      <w:start w:val="1"/>
      <w:numFmt w:val="decimal"/>
      <w:lvlText w:val="%7."/>
      <w:lvlJc w:val="left"/>
      <w:pPr>
        <w:ind w:left="5040" w:hanging="360"/>
      </w:pPr>
    </w:lvl>
    <w:lvl w:ilvl="7" w:tplc="E8F0F890">
      <w:start w:val="1"/>
      <w:numFmt w:val="lowerLetter"/>
      <w:lvlText w:val="%8."/>
      <w:lvlJc w:val="left"/>
      <w:pPr>
        <w:ind w:left="5760" w:hanging="360"/>
      </w:pPr>
    </w:lvl>
    <w:lvl w:ilvl="8" w:tplc="481257C2">
      <w:start w:val="1"/>
      <w:numFmt w:val="lowerRoman"/>
      <w:lvlText w:val="%9."/>
      <w:lvlJc w:val="right"/>
      <w:pPr>
        <w:ind w:left="6480" w:hanging="180"/>
      </w:pPr>
    </w:lvl>
  </w:abstractNum>
  <w:abstractNum w:abstractNumId="167" w15:restartNumberingAfterBreak="0">
    <w:nsid w:val="628C5690"/>
    <w:multiLevelType w:val="hybridMultilevel"/>
    <w:tmpl w:val="14D23BD4"/>
    <w:lvl w:ilvl="0" w:tplc="B3BCA112">
      <w:start w:val="1"/>
      <w:numFmt w:val="lowerLetter"/>
      <w:lvlText w:val="(%1)"/>
      <w:lvlJc w:val="left"/>
      <w:pPr>
        <w:ind w:left="1440" w:hanging="720"/>
      </w:pPr>
      <w:rPr>
        <w:rFonts w:hint="default"/>
      </w:rPr>
    </w:lvl>
    <w:lvl w:ilvl="1" w:tplc="DD0CB3B8">
      <w:start w:val="1"/>
      <w:numFmt w:val="lowerLetter"/>
      <w:lvlText w:val="%2."/>
      <w:lvlJc w:val="left"/>
      <w:pPr>
        <w:ind w:left="1800" w:hanging="360"/>
      </w:pPr>
    </w:lvl>
    <w:lvl w:ilvl="2" w:tplc="288E45F2">
      <w:start w:val="1"/>
      <w:numFmt w:val="lowerRoman"/>
      <w:lvlText w:val="%3."/>
      <w:lvlJc w:val="right"/>
      <w:pPr>
        <w:ind w:left="2520" w:hanging="180"/>
      </w:pPr>
    </w:lvl>
    <w:lvl w:ilvl="3" w:tplc="ABE267E8">
      <w:start w:val="1"/>
      <w:numFmt w:val="decimal"/>
      <w:lvlText w:val="%4."/>
      <w:lvlJc w:val="left"/>
      <w:pPr>
        <w:ind w:left="3240" w:hanging="360"/>
      </w:pPr>
    </w:lvl>
    <w:lvl w:ilvl="4" w:tplc="8536FB56">
      <w:start w:val="1"/>
      <w:numFmt w:val="lowerLetter"/>
      <w:lvlText w:val="%5."/>
      <w:lvlJc w:val="left"/>
      <w:pPr>
        <w:ind w:left="3960" w:hanging="360"/>
      </w:pPr>
    </w:lvl>
    <w:lvl w:ilvl="5" w:tplc="D44C0A44">
      <w:start w:val="1"/>
      <w:numFmt w:val="lowerRoman"/>
      <w:lvlText w:val="%6."/>
      <w:lvlJc w:val="right"/>
      <w:pPr>
        <w:ind w:left="4680" w:hanging="180"/>
      </w:pPr>
    </w:lvl>
    <w:lvl w:ilvl="6" w:tplc="2AA42A1E">
      <w:start w:val="1"/>
      <w:numFmt w:val="decimal"/>
      <w:lvlText w:val="%7."/>
      <w:lvlJc w:val="left"/>
      <w:pPr>
        <w:ind w:left="5400" w:hanging="360"/>
      </w:pPr>
    </w:lvl>
    <w:lvl w:ilvl="7" w:tplc="1EB2DB56">
      <w:start w:val="1"/>
      <w:numFmt w:val="lowerLetter"/>
      <w:lvlText w:val="%8."/>
      <w:lvlJc w:val="left"/>
      <w:pPr>
        <w:ind w:left="6120" w:hanging="360"/>
      </w:pPr>
    </w:lvl>
    <w:lvl w:ilvl="8" w:tplc="F7F4120C">
      <w:start w:val="1"/>
      <w:numFmt w:val="lowerRoman"/>
      <w:lvlText w:val="%9."/>
      <w:lvlJc w:val="right"/>
      <w:pPr>
        <w:ind w:left="6840" w:hanging="180"/>
      </w:pPr>
    </w:lvl>
  </w:abstractNum>
  <w:abstractNum w:abstractNumId="168" w15:restartNumberingAfterBreak="0">
    <w:nsid w:val="62941349"/>
    <w:multiLevelType w:val="hybridMultilevel"/>
    <w:tmpl w:val="F32EB9CE"/>
    <w:lvl w:ilvl="0" w:tplc="C81C8E0C">
      <w:start w:val="1"/>
      <w:numFmt w:val="decimal"/>
      <w:lvlText w:val="16.%1"/>
      <w:lvlJc w:val="left"/>
      <w:pPr>
        <w:ind w:left="720" w:hanging="360"/>
      </w:pPr>
      <w:rPr>
        <w:rFonts w:hint="default"/>
      </w:rPr>
    </w:lvl>
    <w:lvl w:ilvl="1" w:tplc="F536C9AC">
      <w:start w:val="1"/>
      <w:numFmt w:val="lowerLetter"/>
      <w:lvlText w:val="(%2)"/>
      <w:lvlJc w:val="left"/>
      <w:pPr>
        <w:ind w:left="1440" w:hanging="360"/>
      </w:pPr>
      <w:rPr>
        <w:rFonts w:hint="default"/>
      </w:rPr>
    </w:lvl>
    <w:lvl w:ilvl="2" w:tplc="414C8A66">
      <w:start w:val="1"/>
      <w:numFmt w:val="lowerRoman"/>
      <w:lvlText w:val="%3."/>
      <w:lvlJc w:val="right"/>
      <w:pPr>
        <w:ind w:left="2160" w:hanging="180"/>
      </w:pPr>
    </w:lvl>
    <w:lvl w:ilvl="3" w:tplc="D9CC1818">
      <w:start w:val="1"/>
      <w:numFmt w:val="decimal"/>
      <w:lvlText w:val="%4."/>
      <w:lvlJc w:val="left"/>
      <w:pPr>
        <w:ind w:left="2880" w:hanging="360"/>
      </w:pPr>
    </w:lvl>
    <w:lvl w:ilvl="4" w:tplc="B756F1A2">
      <w:start w:val="1"/>
      <w:numFmt w:val="lowerLetter"/>
      <w:lvlText w:val="%5."/>
      <w:lvlJc w:val="left"/>
      <w:pPr>
        <w:ind w:left="3600" w:hanging="360"/>
      </w:pPr>
    </w:lvl>
    <w:lvl w:ilvl="5" w:tplc="5D0E78B8">
      <w:start w:val="1"/>
      <w:numFmt w:val="lowerRoman"/>
      <w:lvlText w:val="%6."/>
      <w:lvlJc w:val="right"/>
      <w:pPr>
        <w:ind w:left="4320" w:hanging="180"/>
      </w:pPr>
    </w:lvl>
    <w:lvl w:ilvl="6" w:tplc="9CBC644C">
      <w:start w:val="1"/>
      <w:numFmt w:val="decimal"/>
      <w:lvlText w:val="%7."/>
      <w:lvlJc w:val="left"/>
      <w:pPr>
        <w:ind w:left="5040" w:hanging="360"/>
      </w:pPr>
    </w:lvl>
    <w:lvl w:ilvl="7" w:tplc="15188F26">
      <w:start w:val="1"/>
      <w:numFmt w:val="lowerLetter"/>
      <w:lvlText w:val="%8."/>
      <w:lvlJc w:val="left"/>
      <w:pPr>
        <w:ind w:left="5760" w:hanging="360"/>
      </w:pPr>
    </w:lvl>
    <w:lvl w:ilvl="8" w:tplc="17905F7E">
      <w:start w:val="1"/>
      <w:numFmt w:val="lowerRoman"/>
      <w:lvlText w:val="%9."/>
      <w:lvlJc w:val="right"/>
      <w:pPr>
        <w:ind w:left="6480" w:hanging="180"/>
      </w:pPr>
    </w:lvl>
  </w:abstractNum>
  <w:abstractNum w:abstractNumId="169" w15:restartNumberingAfterBreak="0">
    <w:nsid w:val="62D43CDF"/>
    <w:multiLevelType w:val="hybridMultilevel"/>
    <w:tmpl w:val="02AE0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365688E"/>
    <w:multiLevelType w:val="hybridMultilevel"/>
    <w:tmpl w:val="B0089030"/>
    <w:lvl w:ilvl="0" w:tplc="F96C6E12">
      <w:start w:val="1"/>
      <w:numFmt w:val="bullet"/>
      <w:lvlText w:val=""/>
      <w:lvlJc w:val="left"/>
      <w:pPr>
        <w:ind w:left="720" w:hanging="360"/>
      </w:pPr>
      <w:rPr>
        <w:rFonts w:ascii="Symbol" w:hAnsi="Symbol" w:hint="default"/>
      </w:rPr>
    </w:lvl>
    <w:lvl w:ilvl="1" w:tplc="32B811A8">
      <w:start w:val="1"/>
      <w:numFmt w:val="bullet"/>
      <w:lvlText w:val="o"/>
      <w:lvlJc w:val="left"/>
      <w:pPr>
        <w:ind w:left="1440" w:hanging="360"/>
      </w:pPr>
      <w:rPr>
        <w:rFonts w:ascii="Courier New" w:hAnsi="Courier New" w:cs="Courier New" w:hint="default"/>
      </w:rPr>
    </w:lvl>
    <w:lvl w:ilvl="2" w:tplc="B748D8D0">
      <w:start w:val="1"/>
      <w:numFmt w:val="bullet"/>
      <w:lvlText w:val=""/>
      <w:lvlJc w:val="left"/>
      <w:pPr>
        <w:ind w:left="2160" w:hanging="360"/>
      </w:pPr>
      <w:rPr>
        <w:rFonts w:ascii="Wingdings" w:hAnsi="Wingdings" w:hint="default"/>
      </w:rPr>
    </w:lvl>
    <w:lvl w:ilvl="3" w:tplc="29E2509C">
      <w:start w:val="1"/>
      <w:numFmt w:val="bullet"/>
      <w:lvlText w:val=""/>
      <w:lvlJc w:val="left"/>
      <w:pPr>
        <w:ind w:left="2880" w:hanging="360"/>
      </w:pPr>
      <w:rPr>
        <w:rFonts w:ascii="Symbol" w:hAnsi="Symbol" w:hint="default"/>
      </w:rPr>
    </w:lvl>
    <w:lvl w:ilvl="4" w:tplc="C3B0CEFC">
      <w:start w:val="1"/>
      <w:numFmt w:val="bullet"/>
      <w:lvlText w:val="o"/>
      <w:lvlJc w:val="left"/>
      <w:pPr>
        <w:ind w:left="3600" w:hanging="360"/>
      </w:pPr>
      <w:rPr>
        <w:rFonts w:ascii="Courier New" w:hAnsi="Courier New" w:cs="Courier New" w:hint="default"/>
      </w:rPr>
    </w:lvl>
    <w:lvl w:ilvl="5" w:tplc="12D60F12">
      <w:start w:val="1"/>
      <w:numFmt w:val="bullet"/>
      <w:lvlText w:val=""/>
      <w:lvlJc w:val="left"/>
      <w:pPr>
        <w:ind w:left="4320" w:hanging="360"/>
      </w:pPr>
      <w:rPr>
        <w:rFonts w:ascii="Wingdings" w:hAnsi="Wingdings" w:hint="default"/>
      </w:rPr>
    </w:lvl>
    <w:lvl w:ilvl="6" w:tplc="9912BF46">
      <w:start w:val="1"/>
      <w:numFmt w:val="bullet"/>
      <w:lvlText w:val=""/>
      <w:lvlJc w:val="left"/>
      <w:pPr>
        <w:ind w:left="5040" w:hanging="360"/>
      </w:pPr>
      <w:rPr>
        <w:rFonts w:ascii="Symbol" w:hAnsi="Symbol" w:hint="default"/>
      </w:rPr>
    </w:lvl>
    <w:lvl w:ilvl="7" w:tplc="8A624E48">
      <w:start w:val="1"/>
      <w:numFmt w:val="bullet"/>
      <w:lvlText w:val="o"/>
      <w:lvlJc w:val="left"/>
      <w:pPr>
        <w:ind w:left="5760" w:hanging="360"/>
      </w:pPr>
      <w:rPr>
        <w:rFonts w:ascii="Courier New" w:hAnsi="Courier New" w:cs="Courier New" w:hint="default"/>
      </w:rPr>
    </w:lvl>
    <w:lvl w:ilvl="8" w:tplc="98A8F94A">
      <w:start w:val="1"/>
      <w:numFmt w:val="bullet"/>
      <w:lvlText w:val=""/>
      <w:lvlJc w:val="left"/>
      <w:pPr>
        <w:ind w:left="6480" w:hanging="360"/>
      </w:pPr>
      <w:rPr>
        <w:rFonts w:ascii="Wingdings" w:hAnsi="Wingdings" w:hint="default"/>
      </w:rPr>
    </w:lvl>
  </w:abstractNum>
  <w:abstractNum w:abstractNumId="171" w15:restartNumberingAfterBreak="0">
    <w:nsid w:val="665C22BD"/>
    <w:multiLevelType w:val="hybridMultilevel"/>
    <w:tmpl w:val="AF68D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6CE4C78"/>
    <w:multiLevelType w:val="hybridMultilevel"/>
    <w:tmpl w:val="D4B2549C"/>
    <w:lvl w:ilvl="0" w:tplc="76B8144A">
      <w:start w:val="1"/>
      <w:numFmt w:val="bullet"/>
      <w:lvlText w:val="•"/>
      <w:lvlJc w:val="left"/>
      <w:pPr>
        <w:ind w:left="2846" w:hanging="360"/>
      </w:pPr>
      <w:rPr>
        <w:rFonts w:ascii="Calibri Light" w:eastAsia="Times New Roman" w:hAnsi="Calibri Light" w:cs="Times New Roman" w:hint="default"/>
      </w:rPr>
    </w:lvl>
    <w:lvl w:ilvl="1" w:tplc="B0C284BA">
      <w:start w:val="1"/>
      <w:numFmt w:val="bullet"/>
      <w:lvlText w:val="o"/>
      <w:lvlJc w:val="left"/>
      <w:pPr>
        <w:ind w:left="3566" w:hanging="360"/>
      </w:pPr>
      <w:rPr>
        <w:rFonts w:ascii="Courier New" w:hAnsi="Courier New" w:cs="Courier New" w:hint="default"/>
      </w:rPr>
    </w:lvl>
    <w:lvl w:ilvl="2" w:tplc="32181000">
      <w:start w:val="1"/>
      <w:numFmt w:val="bullet"/>
      <w:lvlText w:val=""/>
      <w:lvlJc w:val="left"/>
      <w:pPr>
        <w:ind w:left="4286" w:hanging="360"/>
      </w:pPr>
      <w:rPr>
        <w:rFonts w:ascii="Wingdings" w:hAnsi="Wingdings" w:hint="default"/>
      </w:rPr>
    </w:lvl>
    <w:lvl w:ilvl="3" w:tplc="42D435D6">
      <w:start w:val="1"/>
      <w:numFmt w:val="bullet"/>
      <w:lvlText w:val=""/>
      <w:lvlJc w:val="left"/>
      <w:pPr>
        <w:ind w:left="5006" w:hanging="360"/>
      </w:pPr>
      <w:rPr>
        <w:rFonts w:ascii="Symbol" w:hAnsi="Symbol" w:hint="default"/>
      </w:rPr>
    </w:lvl>
    <w:lvl w:ilvl="4" w:tplc="C204C0F4">
      <w:start w:val="1"/>
      <w:numFmt w:val="bullet"/>
      <w:lvlText w:val="o"/>
      <w:lvlJc w:val="left"/>
      <w:pPr>
        <w:ind w:left="5726" w:hanging="360"/>
      </w:pPr>
      <w:rPr>
        <w:rFonts w:ascii="Courier New" w:hAnsi="Courier New" w:cs="Courier New" w:hint="default"/>
      </w:rPr>
    </w:lvl>
    <w:lvl w:ilvl="5" w:tplc="00F641A8">
      <w:start w:val="1"/>
      <w:numFmt w:val="bullet"/>
      <w:lvlText w:val=""/>
      <w:lvlJc w:val="left"/>
      <w:pPr>
        <w:ind w:left="6446" w:hanging="360"/>
      </w:pPr>
      <w:rPr>
        <w:rFonts w:ascii="Wingdings" w:hAnsi="Wingdings" w:hint="default"/>
      </w:rPr>
    </w:lvl>
    <w:lvl w:ilvl="6" w:tplc="1B38A65E">
      <w:start w:val="1"/>
      <w:numFmt w:val="bullet"/>
      <w:lvlText w:val=""/>
      <w:lvlJc w:val="left"/>
      <w:pPr>
        <w:ind w:left="7166" w:hanging="360"/>
      </w:pPr>
      <w:rPr>
        <w:rFonts w:ascii="Symbol" w:hAnsi="Symbol" w:hint="default"/>
      </w:rPr>
    </w:lvl>
    <w:lvl w:ilvl="7" w:tplc="FB069CBE">
      <w:start w:val="1"/>
      <w:numFmt w:val="bullet"/>
      <w:lvlText w:val="o"/>
      <w:lvlJc w:val="left"/>
      <w:pPr>
        <w:ind w:left="7886" w:hanging="360"/>
      </w:pPr>
      <w:rPr>
        <w:rFonts w:ascii="Courier New" w:hAnsi="Courier New" w:cs="Courier New" w:hint="default"/>
      </w:rPr>
    </w:lvl>
    <w:lvl w:ilvl="8" w:tplc="8FFAF404">
      <w:start w:val="1"/>
      <w:numFmt w:val="bullet"/>
      <w:lvlText w:val=""/>
      <w:lvlJc w:val="left"/>
      <w:pPr>
        <w:ind w:left="8606" w:hanging="360"/>
      </w:pPr>
      <w:rPr>
        <w:rFonts w:ascii="Wingdings" w:hAnsi="Wingdings" w:hint="default"/>
      </w:rPr>
    </w:lvl>
  </w:abstractNum>
  <w:abstractNum w:abstractNumId="173" w15:restartNumberingAfterBreak="0">
    <w:nsid w:val="68D56F2B"/>
    <w:multiLevelType w:val="hybridMultilevel"/>
    <w:tmpl w:val="3D6A81AC"/>
    <w:lvl w:ilvl="0" w:tplc="02ACF230">
      <w:start w:val="1"/>
      <w:numFmt w:val="bullet"/>
      <w:lvlText w:val=""/>
      <w:lvlJc w:val="left"/>
      <w:pPr>
        <w:ind w:left="720" w:hanging="360"/>
      </w:pPr>
      <w:rPr>
        <w:rFonts w:ascii="Symbol" w:hAnsi="Symbol" w:hint="default"/>
      </w:rPr>
    </w:lvl>
    <w:lvl w:ilvl="1" w:tplc="A8D0B8C6">
      <w:start w:val="1"/>
      <w:numFmt w:val="bullet"/>
      <w:lvlText w:val="o"/>
      <w:lvlJc w:val="left"/>
      <w:pPr>
        <w:ind w:left="1440" w:hanging="360"/>
      </w:pPr>
      <w:rPr>
        <w:rFonts w:ascii="Courier New" w:hAnsi="Courier New" w:cs="Courier New" w:hint="default"/>
      </w:rPr>
    </w:lvl>
    <w:lvl w:ilvl="2" w:tplc="262CAF62">
      <w:start w:val="1"/>
      <w:numFmt w:val="bullet"/>
      <w:lvlText w:val=""/>
      <w:lvlJc w:val="left"/>
      <w:pPr>
        <w:ind w:left="2160" w:hanging="360"/>
      </w:pPr>
      <w:rPr>
        <w:rFonts w:ascii="Wingdings" w:hAnsi="Wingdings" w:hint="default"/>
      </w:rPr>
    </w:lvl>
    <w:lvl w:ilvl="3" w:tplc="CB4A4918">
      <w:start w:val="1"/>
      <w:numFmt w:val="bullet"/>
      <w:lvlText w:val=""/>
      <w:lvlJc w:val="left"/>
      <w:pPr>
        <w:ind w:left="2880" w:hanging="360"/>
      </w:pPr>
      <w:rPr>
        <w:rFonts w:ascii="Symbol" w:hAnsi="Symbol" w:hint="default"/>
      </w:rPr>
    </w:lvl>
    <w:lvl w:ilvl="4" w:tplc="8320D71E">
      <w:start w:val="1"/>
      <w:numFmt w:val="bullet"/>
      <w:lvlText w:val="o"/>
      <w:lvlJc w:val="left"/>
      <w:pPr>
        <w:ind w:left="3600" w:hanging="360"/>
      </w:pPr>
      <w:rPr>
        <w:rFonts w:ascii="Courier New" w:hAnsi="Courier New" w:cs="Courier New" w:hint="default"/>
      </w:rPr>
    </w:lvl>
    <w:lvl w:ilvl="5" w:tplc="178CD532">
      <w:start w:val="1"/>
      <w:numFmt w:val="bullet"/>
      <w:lvlText w:val=""/>
      <w:lvlJc w:val="left"/>
      <w:pPr>
        <w:ind w:left="4320" w:hanging="360"/>
      </w:pPr>
      <w:rPr>
        <w:rFonts w:ascii="Wingdings" w:hAnsi="Wingdings" w:hint="default"/>
      </w:rPr>
    </w:lvl>
    <w:lvl w:ilvl="6" w:tplc="95C888A8">
      <w:start w:val="1"/>
      <w:numFmt w:val="bullet"/>
      <w:lvlText w:val=""/>
      <w:lvlJc w:val="left"/>
      <w:pPr>
        <w:ind w:left="5040" w:hanging="360"/>
      </w:pPr>
      <w:rPr>
        <w:rFonts w:ascii="Symbol" w:hAnsi="Symbol" w:hint="default"/>
      </w:rPr>
    </w:lvl>
    <w:lvl w:ilvl="7" w:tplc="0B2E6662">
      <w:start w:val="1"/>
      <w:numFmt w:val="bullet"/>
      <w:lvlText w:val="o"/>
      <w:lvlJc w:val="left"/>
      <w:pPr>
        <w:ind w:left="5760" w:hanging="360"/>
      </w:pPr>
      <w:rPr>
        <w:rFonts w:ascii="Courier New" w:hAnsi="Courier New" w:cs="Courier New" w:hint="default"/>
      </w:rPr>
    </w:lvl>
    <w:lvl w:ilvl="8" w:tplc="44B2AE9A">
      <w:start w:val="1"/>
      <w:numFmt w:val="bullet"/>
      <w:lvlText w:val=""/>
      <w:lvlJc w:val="left"/>
      <w:pPr>
        <w:ind w:left="6480" w:hanging="360"/>
      </w:pPr>
      <w:rPr>
        <w:rFonts w:ascii="Wingdings" w:hAnsi="Wingdings" w:hint="default"/>
      </w:rPr>
    </w:lvl>
  </w:abstractNum>
  <w:abstractNum w:abstractNumId="174" w15:restartNumberingAfterBreak="0">
    <w:nsid w:val="68F60444"/>
    <w:multiLevelType w:val="hybridMultilevel"/>
    <w:tmpl w:val="9EC68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B2A7B4A"/>
    <w:multiLevelType w:val="hybridMultilevel"/>
    <w:tmpl w:val="2334D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6B7A7758"/>
    <w:multiLevelType w:val="hybridMultilevel"/>
    <w:tmpl w:val="72CEB4F4"/>
    <w:lvl w:ilvl="0" w:tplc="83641CD2">
      <w:start w:val="1"/>
      <w:numFmt w:val="bullet"/>
      <w:lvlText w:val=""/>
      <w:lvlJc w:val="left"/>
      <w:pPr>
        <w:ind w:left="2160" w:hanging="360"/>
      </w:pPr>
      <w:rPr>
        <w:rFonts w:ascii="Symbol" w:hAnsi="Symbol" w:hint="default"/>
      </w:rPr>
    </w:lvl>
    <w:lvl w:ilvl="1" w:tplc="0038ACB0">
      <w:start w:val="1"/>
      <w:numFmt w:val="bullet"/>
      <w:lvlText w:val="o"/>
      <w:lvlJc w:val="left"/>
      <w:pPr>
        <w:ind w:left="2880" w:hanging="360"/>
      </w:pPr>
      <w:rPr>
        <w:rFonts w:ascii="Courier New" w:hAnsi="Courier New" w:cs="Courier New" w:hint="default"/>
      </w:rPr>
    </w:lvl>
    <w:lvl w:ilvl="2" w:tplc="766442C6">
      <w:start w:val="1"/>
      <w:numFmt w:val="bullet"/>
      <w:lvlText w:val=""/>
      <w:lvlJc w:val="left"/>
      <w:pPr>
        <w:ind w:left="3600" w:hanging="360"/>
      </w:pPr>
      <w:rPr>
        <w:rFonts w:ascii="Wingdings" w:hAnsi="Wingdings" w:hint="default"/>
      </w:rPr>
    </w:lvl>
    <w:lvl w:ilvl="3" w:tplc="3C0E3906">
      <w:start w:val="1"/>
      <w:numFmt w:val="bullet"/>
      <w:lvlText w:val=""/>
      <w:lvlJc w:val="left"/>
      <w:pPr>
        <w:ind w:left="4320" w:hanging="360"/>
      </w:pPr>
      <w:rPr>
        <w:rFonts w:ascii="Symbol" w:hAnsi="Symbol" w:hint="default"/>
      </w:rPr>
    </w:lvl>
    <w:lvl w:ilvl="4" w:tplc="FFEE1C04">
      <w:start w:val="1"/>
      <w:numFmt w:val="bullet"/>
      <w:lvlText w:val="o"/>
      <w:lvlJc w:val="left"/>
      <w:pPr>
        <w:ind w:left="5040" w:hanging="360"/>
      </w:pPr>
      <w:rPr>
        <w:rFonts w:ascii="Courier New" w:hAnsi="Courier New" w:cs="Courier New" w:hint="default"/>
      </w:rPr>
    </w:lvl>
    <w:lvl w:ilvl="5" w:tplc="3FDAFE24">
      <w:start w:val="1"/>
      <w:numFmt w:val="bullet"/>
      <w:lvlText w:val=""/>
      <w:lvlJc w:val="left"/>
      <w:pPr>
        <w:ind w:left="5760" w:hanging="360"/>
      </w:pPr>
      <w:rPr>
        <w:rFonts w:ascii="Wingdings" w:hAnsi="Wingdings" w:hint="default"/>
      </w:rPr>
    </w:lvl>
    <w:lvl w:ilvl="6" w:tplc="73BEBCD0">
      <w:start w:val="1"/>
      <w:numFmt w:val="bullet"/>
      <w:lvlText w:val=""/>
      <w:lvlJc w:val="left"/>
      <w:pPr>
        <w:ind w:left="6480" w:hanging="360"/>
      </w:pPr>
      <w:rPr>
        <w:rFonts w:ascii="Symbol" w:hAnsi="Symbol" w:hint="default"/>
      </w:rPr>
    </w:lvl>
    <w:lvl w:ilvl="7" w:tplc="154A38DE">
      <w:start w:val="1"/>
      <w:numFmt w:val="bullet"/>
      <w:lvlText w:val="o"/>
      <w:lvlJc w:val="left"/>
      <w:pPr>
        <w:ind w:left="7200" w:hanging="360"/>
      </w:pPr>
      <w:rPr>
        <w:rFonts w:ascii="Courier New" w:hAnsi="Courier New" w:cs="Courier New" w:hint="default"/>
      </w:rPr>
    </w:lvl>
    <w:lvl w:ilvl="8" w:tplc="F56006D2">
      <w:start w:val="1"/>
      <w:numFmt w:val="bullet"/>
      <w:lvlText w:val=""/>
      <w:lvlJc w:val="left"/>
      <w:pPr>
        <w:ind w:left="7920" w:hanging="360"/>
      </w:pPr>
      <w:rPr>
        <w:rFonts w:ascii="Wingdings" w:hAnsi="Wingdings" w:hint="default"/>
      </w:rPr>
    </w:lvl>
  </w:abstractNum>
  <w:abstractNum w:abstractNumId="177" w15:restartNumberingAfterBreak="0">
    <w:nsid w:val="6C4D0ECB"/>
    <w:multiLevelType w:val="hybridMultilevel"/>
    <w:tmpl w:val="469ADB3A"/>
    <w:lvl w:ilvl="0" w:tplc="EC40D048">
      <w:start w:val="1"/>
      <w:numFmt w:val="bullet"/>
      <w:lvlText w:val=""/>
      <w:lvlJc w:val="left"/>
      <w:pPr>
        <w:ind w:left="1440" w:hanging="360"/>
      </w:pPr>
      <w:rPr>
        <w:rFonts w:ascii="Symbol" w:hAnsi="Symbol" w:hint="default"/>
      </w:rPr>
    </w:lvl>
    <w:lvl w:ilvl="1" w:tplc="0908C7B0">
      <w:start w:val="1"/>
      <w:numFmt w:val="bullet"/>
      <w:lvlText w:val="o"/>
      <w:lvlJc w:val="left"/>
      <w:pPr>
        <w:ind w:left="2160" w:hanging="360"/>
      </w:pPr>
      <w:rPr>
        <w:rFonts w:ascii="Courier New" w:hAnsi="Courier New" w:cs="Courier New" w:hint="default"/>
      </w:rPr>
    </w:lvl>
    <w:lvl w:ilvl="2" w:tplc="373A3E6A">
      <w:start w:val="1"/>
      <w:numFmt w:val="bullet"/>
      <w:lvlText w:val=""/>
      <w:lvlJc w:val="left"/>
      <w:pPr>
        <w:ind w:left="2880" w:hanging="360"/>
      </w:pPr>
      <w:rPr>
        <w:rFonts w:ascii="Wingdings" w:hAnsi="Wingdings" w:hint="default"/>
      </w:rPr>
    </w:lvl>
    <w:lvl w:ilvl="3" w:tplc="BA0837F0">
      <w:start w:val="1"/>
      <w:numFmt w:val="bullet"/>
      <w:lvlText w:val=""/>
      <w:lvlJc w:val="left"/>
      <w:pPr>
        <w:ind w:left="3600" w:hanging="360"/>
      </w:pPr>
      <w:rPr>
        <w:rFonts w:ascii="Symbol" w:hAnsi="Symbol" w:hint="default"/>
      </w:rPr>
    </w:lvl>
    <w:lvl w:ilvl="4" w:tplc="61B83874">
      <w:start w:val="1"/>
      <w:numFmt w:val="bullet"/>
      <w:lvlText w:val="o"/>
      <w:lvlJc w:val="left"/>
      <w:pPr>
        <w:ind w:left="4320" w:hanging="360"/>
      </w:pPr>
      <w:rPr>
        <w:rFonts w:ascii="Courier New" w:hAnsi="Courier New" w:cs="Courier New" w:hint="default"/>
      </w:rPr>
    </w:lvl>
    <w:lvl w:ilvl="5" w:tplc="4B267DD4">
      <w:start w:val="1"/>
      <w:numFmt w:val="bullet"/>
      <w:lvlText w:val=""/>
      <w:lvlJc w:val="left"/>
      <w:pPr>
        <w:ind w:left="5040" w:hanging="360"/>
      </w:pPr>
      <w:rPr>
        <w:rFonts w:ascii="Wingdings" w:hAnsi="Wingdings" w:hint="default"/>
      </w:rPr>
    </w:lvl>
    <w:lvl w:ilvl="6" w:tplc="C22A441C">
      <w:start w:val="1"/>
      <w:numFmt w:val="bullet"/>
      <w:lvlText w:val=""/>
      <w:lvlJc w:val="left"/>
      <w:pPr>
        <w:ind w:left="5760" w:hanging="360"/>
      </w:pPr>
      <w:rPr>
        <w:rFonts w:ascii="Symbol" w:hAnsi="Symbol" w:hint="default"/>
      </w:rPr>
    </w:lvl>
    <w:lvl w:ilvl="7" w:tplc="3E62B894">
      <w:start w:val="1"/>
      <w:numFmt w:val="bullet"/>
      <w:lvlText w:val="o"/>
      <w:lvlJc w:val="left"/>
      <w:pPr>
        <w:ind w:left="6480" w:hanging="360"/>
      </w:pPr>
      <w:rPr>
        <w:rFonts w:ascii="Courier New" w:hAnsi="Courier New" w:cs="Courier New" w:hint="default"/>
      </w:rPr>
    </w:lvl>
    <w:lvl w:ilvl="8" w:tplc="83D27186">
      <w:start w:val="1"/>
      <w:numFmt w:val="bullet"/>
      <w:lvlText w:val=""/>
      <w:lvlJc w:val="left"/>
      <w:pPr>
        <w:ind w:left="7200" w:hanging="360"/>
      </w:pPr>
      <w:rPr>
        <w:rFonts w:ascii="Wingdings" w:hAnsi="Wingdings" w:hint="default"/>
      </w:rPr>
    </w:lvl>
  </w:abstractNum>
  <w:abstractNum w:abstractNumId="178" w15:restartNumberingAfterBreak="0">
    <w:nsid w:val="6DB21A14"/>
    <w:multiLevelType w:val="hybridMultilevel"/>
    <w:tmpl w:val="56D81D2C"/>
    <w:lvl w:ilvl="0" w:tplc="4D5AE2E8">
      <w:numFmt w:val="bullet"/>
      <w:lvlText w:val="•"/>
      <w:lvlJc w:val="left"/>
      <w:pPr>
        <w:ind w:left="720" w:hanging="360"/>
      </w:pPr>
      <w:rPr>
        <w:rFonts w:ascii="Calibri Light" w:eastAsia="Times New Roman" w:hAnsi="Calibri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E3A65DD"/>
    <w:multiLevelType w:val="hybridMultilevel"/>
    <w:tmpl w:val="31AC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ED83653"/>
    <w:multiLevelType w:val="hybridMultilevel"/>
    <w:tmpl w:val="A8066158"/>
    <w:lvl w:ilvl="0" w:tplc="F41EA86A">
      <w:start w:val="1"/>
      <w:numFmt w:val="decimal"/>
      <w:lvlText w:val="%1."/>
      <w:lvlJc w:val="left"/>
      <w:pPr>
        <w:tabs>
          <w:tab w:val="num" w:pos="720"/>
        </w:tabs>
        <w:ind w:left="720" w:hanging="360"/>
      </w:pPr>
    </w:lvl>
    <w:lvl w:ilvl="1" w:tplc="75108424">
      <w:start w:val="1"/>
      <w:numFmt w:val="decimal"/>
      <w:lvlText w:val="%2."/>
      <w:lvlJc w:val="left"/>
      <w:pPr>
        <w:tabs>
          <w:tab w:val="num" w:pos="1440"/>
        </w:tabs>
        <w:ind w:left="1440" w:hanging="360"/>
      </w:pPr>
    </w:lvl>
    <w:lvl w:ilvl="2" w:tplc="CB1EB264">
      <w:start w:val="1"/>
      <w:numFmt w:val="decimal"/>
      <w:lvlText w:val="%3."/>
      <w:lvlJc w:val="left"/>
      <w:pPr>
        <w:tabs>
          <w:tab w:val="num" w:pos="2160"/>
        </w:tabs>
        <w:ind w:left="2160" w:hanging="360"/>
      </w:pPr>
    </w:lvl>
    <w:lvl w:ilvl="3" w:tplc="58F402DE">
      <w:start w:val="1"/>
      <w:numFmt w:val="decimal"/>
      <w:lvlText w:val="%4."/>
      <w:lvlJc w:val="left"/>
      <w:pPr>
        <w:tabs>
          <w:tab w:val="num" w:pos="2880"/>
        </w:tabs>
        <w:ind w:left="2880" w:hanging="360"/>
      </w:pPr>
    </w:lvl>
    <w:lvl w:ilvl="4" w:tplc="5694DF0E">
      <w:start w:val="1"/>
      <w:numFmt w:val="decimal"/>
      <w:lvlText w:val="%5."/>
      <w:lvlJc w:val="left"/>
      <w:pPr>
        <w:tabs>
          <w:tab w:val="num" w:pos="3600"/>
        </w:tabs>
        <w:ind w:left="3600" w:hanging="360"/>
      </w:pPr>
    </w:lvl>
    <w:lvl w:ilvl="5" w:tplc="BFA00C18">
      <w:start w:val="1"/>
      <w:numFmt w:val="decimal"/>
      <w:lvlText w:val="%6."/>
      <w:lvlJc w:val="left"/>
      <w:pPr>
        <w:tabs>
          <w:tab w:val="num" w:pos="4320"/>
        </w:tabs>
        <w:ind w:left="4320" w:hanging="360"/>
      </w:pPr>
    </w:lvl>
    <w:lvl w:ilvl="6" w:tplc="74CE650C">
      <w:start w:val="1"/>
      <w:numFmt w:val="decimal"/>
      <w:lvlText w:val="%7."/>
      <w:lvlJc w:val="left"/>
      <w:pPr>
        <w:tabs>
          <w:tab w:val="num" w:pos="5040"/>
        </w:tabs>
        <w:ind w:left="5040" w:hanging="360"/>
      </w:pPr>
    </w:lvl>
    <w:lvl w:ilvl="7" w:tplc="DF2E639A">
      <w:start w:val="1"/>
      <w:numFmt w:val="decimal"/>
      <w:lvlText w:val="%8."/>
      <w:lvlJc w:val="left"/>
      <w:pPr>
        <w:tabs>
          <w:tab w:val="num" w:pos="5760"/>
        </w:tabs>
        <w:ind w:left="5760" w:hanging="360"/>
      </w:pPr>
    </w:lvl>
    <w:lvl w:ilvl="8" w:tplc="A0CAF32E">
      <w:start w:val="1"/>
      <w:numFmt w:val="decimal"/>
      <w:lvlText w:val="%9."/>
      <w:lvlJc w:val="left"/>
      <w:pPr>
        <w:tabs>
          <w:tab w:val="num" w:pos="6480"/>
        </w:tabs>
        <w:ind w:left="6480" w:hanging="360"/>
      </w:pPr>
    </w:lvl>
  </w:abstractNum>
  <w:abstractNum w:abstractNumId="181" w15:restartNumberingAfterBreak="0">
    <w:nsid w:val="6F153588"/>
    <w:multiLevelType w:val="hybridMultilevel"/>
    <w:tmpl w:val="D0DE8D7A"/>
    <w:lvl w:ilvl="0" w:tplc="18F86222">
      <w:start w:val="1"/>
      <w:numFmt w:val="bullet"/>
      <w:lvlText w:val=""/>
      <w:lvlJc w:val="left"/>
      <w:pPr>
        <w:ind w:left="2880" w:hanging="360"/>
      </w:pPr>
      <w:rPr>
        <w:rFonts w:ascii="Symbol" w:hAnsi="Symbol" w:hint="default"/>
      </w:rPr>
    </w:lvl>
    <w:lvl w:ilvl="1" w:tplc="2F30A6CC">
      <w:start w:val="1"/>
      <w:numFmt w:val="bullet"/>
      <w:lvlText w:val="o"/>
      <w:lvlJc w:val="left"/>
      <w:pPr>
        <w:ind w:left="3600" w:hanging="360"/>
      </w:pPr>
      <w:rPr>
        <w:rFonts w:ascii="Courier New" w:hAnsi="Courier New" w:cs="Courier New" w:hint="default"/>
      </w:rPr>
    </w:lvl>
    <w:lvl w:ilvl="2" w:tplc="5F84E6B8">
      <w:start w:val="1"/>
      <w:numFmt w:val="bullet"/>
      <w:lvlText w:val=""/>
      <w:lvlJc w:val="left"/>
      <w:pPr>
        <w:ind w:left="4320" w:hanging="360"/>
      </w:pPr>
      <w:rPr>
        <w:rFonts w:ascii="Wingdings" w:hAnsi="Wingdings" w:hint="default"/>
      </w:rPr>
    </w:lvl>
    <w:lvl w:ilvl="3" w:tplc="CEC03E74">
      <w:start w:val="1"/>
      <w:numFmt w:val="bullet"/>
      <w:lvlText w:val=""/>
      <w:lvlJc w:val="left"/>
      <w:pPr>
        <w:ind w:left="5040" w:hanging="360"/>
      </w:pPr>
      <w:rPr>
        <w:rFonts w:ascii="Symbol" w:hAnsi="Symbol" w:hint="default"/>
      </w:rPr>
    </w:lvl>
    <w:lvl w:ilvl="4" w:tplc="6D6679AE">
      <w:start w:val="1"/>
      <w:numFmt w:val="bullet"/>
      <w:lvlText w:val="o"/>
      <w:lvlJc w:val="left"/>
      <w:pPr>
        <w:ind w:left="5760" w:hanging="360"/>
      </w:pPr>
      <w:rPr>
        <w:rFonts w:ascii="Courier New" w:hAnsi="Courier New" w:cs="Courier New" w:hint="default"/>
      </w:rPr>
    </w:lvl>
    <w:lvl w:ilvl="5" w:tplc="7892F83A">
      <w:start w:val="1"/>
      <w:numFmt w:val="bullet"/>
      <w:lvlText w:val=""/>
      <w:lvlJc w:val="left"/>
      <w:pPr>
        <w:ind w:left="6480" w:hanging="360"/>
      </w:pPr>
      <w:rPr>
        <w:rFonts w:ascii="Wingdings" w:hAnsi="Wingdings" w:hint="default"/>
      </w:rPr>
    </w:lvl>
    <w:lvl w:ilvl="6" w:tplc="534C100C">
      <w:start w:val="1"/>
      <w:numFmt w:val="bullet"/>
      <w:lvlText w:val=""/>
      <w:lvlJc w:val="left"/>
      <w:pPr>
        <w:ind w:left="7200" w:hanging="360"/>
      </w:pPr>
      <w:rPr>
        <w:rFonts w:ascii="Symbol" w:hAnsi="Symbol" w:hint="default"/>
      </w:rPr>
    </w:lvl>
    <w:lvl w:ilvl="7" w:tplc="1A467364">
      <w:start w:val="1"/>
      <w:numFmt w:val="bullet"/>
      <w:lvlText w:val="o"/>
      <w:lvlJc w:val="left"/>
      <w:pPr>
        <w:ind w:left="7920" w:hanging="360"/>
      </w:pPr>
      <w:rPr>
        <w:rFonts w:ascii="Courier New" w:hAnsi="Courier New" w:cs="Courier New" w:hint="default"/>
      </w:rPr>
    </w:lvl>
    <w:lvl w:ilvl="8" w:tplc="2A54347A">
      <w:start w:val="1"/>
      <w:numFmt w:val="bullet"/>
      <w:lvlText w:val=""/>
      <w:lvlJc w:val="left"/>
      <w:pPr>
        <w:ind w:left="8640" w:hanging="360"/>
      </w:pPr>
      <w:rPr>
        <w:rFonts w:ascii="Wingdings" w:hAnsi="Wingdings" w:hint="default"/>
      </w:rPr>
    </w:lvl>
  </w:abstractNum>
  <w:abstractNum w:abstractNumId="182" w15:restartNumberingAfterBreak="0">
    <w:nsid w:val="6F4210A3"/>
    <w:multiLevelType w:val="hybridMultilevel"/>
    <w:tmpl w:val="D3FC2222"/>
    <w:lvl w:ilvl="0" w:tplc="FF620634">
      <w:start w:val="1"/>
      <w:numFmt w:val="bullet"/>
      <w:lvlText w:val=""/>
      <w:lvlJc w:val="left"/>
      <w:pPr>
        <w:ind w:left="2880" w:hanging="360"/>
      </w:pPr>
      <w:rPr>
        <w:rFonts w:ascii="Symbol" w:hAnsi="Symbol" w:hint="default"/>
      </w:rPr>
    </w:lvl>
    <w:lvl w:ilvl="1" w:tplc="4CE44400">
      <w:start w:val="1"/>
      <w:numFmt w:val="bullet"/>
      <w:lvlText w:val="o"/>
      <w:lvlJc w:val="left"/>
      <w:pPr>
        <w:ind w:left="3600" w:hanging="360"/>
      </w:pPr>
      <w:rPr>
        <w:rFonts w:ascii="Courier New" w:hAnsi="Courier New" w:cs="Courier New" w:hint="default"/>
      </w:rPr>
    </w:lvl>
    <w:lvl w:ilvl="2" w:tplc="40CAE1B4">
      <w:start w:val="1"/>
      <w:numFmt w:val="bullet"/>
      <w:lvlText w:val=""/>
      <w:lvlJc w:val="left"/>
      <w:pPr>
        <w:ind w:left="4320" w:hanging="360"/>
      </w:pPr>
      <w:rPr>
        <w:rFonts w:ascii="Wingdings" w:hAnsi="Wingdings" w:hint="default"/>
      </w:rPr>
    </w:lvl>
    <w:lvl w:ilvl="3" w:tplc="37FC0F28">
      <w:start w:val="1"/>
      <w:numFmt w:val="bullet"/>
      <w:lvlText w:val=""/>
      <w:lvlJc w:val="left"/>
      <w:pPr>
        <w:ind w:left="5040" w:hanging="360"/>
      </w:pPr>
      <w:rPr>
        <w:rFonts w:ascii="Symbol" w:hAnsi="Symbol" w:hint="default"/>
      </w:rPr>
    </w:lvl>
    <w:lvl w:ilvl="4" w:tplc="C26E88B8">
      <w:start w:val="1"/>
      <w:numFmt w:val="bullet"/>
      <w:lvlText w:val="o"/>
      <w:lvlJc w:val="left"/>
      <w:pPr>
        <w:ind w:left="5760" w:hanging="360"/>
      </w:pPr>
      <w:rPr>
        <w:rFonts w:ascii="Courier New" w:hAnsi="Courier New" w:cs="Courier New" w:hint="default"/>
      </w:rPr>
    </w:lvl>
    <w:lvl w:ilvl="5" w:tplc="A336D080">
      <w:start w:val="1"/>
      <w:numFmt w:val="bullet"/>
      <w:lvlText w:val=""/>
      <w:lvlJc w:val="left"/>
      <w:pPr>
        <w:ind w:left="6480" w:hanging="360"/>
      </w:pPr>
      <w:rPr>
        <w:rFonts w:ascii="Wingdings" w:hAnsi="Wingdings" w:hint="default"/>
      </w:rPr>
    </w:lvl>
    <w:lvl w:ilvl="6" w:tplc="5E207AEA">
      <w:start w:val="1"/>
      <w:numFmt w:val="bullet"/>
      <w:lvlText w:val=""/>
      <w:lvlJc w:val="left"/>
      <w:pPr>
        <w:ind w:left="7200" w:hanging="360"/>
      </w:pPr>
      <w:rPr>
        <w:rFonts w:ascii="Symbol" w:hAnsi="Symbol" w:hint="default"/>
      </w:rPr>
    </w:lvl>
    <w:lvl w:ilvl="7" w:tplc="0080959C">
      <w:start w:val="1"/>
      <w:numFmt w:val="bullet"/>
      <w:lvlText w:val="o"/>
      <w:lvlJc w:val="left"/>
      <w:pPr>
        <w:ind w:left="7920" w:hanging="360"/>
      </w:pPr>
      <w:rPr>
        <w:rFonts w:ascii="Courier New" w:hAnsi="Courier New" w:cs="Courier New" w:hint="default"/>
      </w:rPr>
    </w:lvl>
    <w:lvl w:ilvl="8" w:tplc="095A002A">
      <w:start w:val="1"/>
      <w:numFmt w:val="bullet"/>
      <w:lvlText w:val=""/>
      <w:lvlJc w:val="left"/>
      <w:pPr>
        <w:ind w:left="8640" w:hanging="360"/>
      </w:pPr>
      <w:rPr>
        <w:rFonts w:ascii="Wingdings" w:hAnsi="Wingdings" w:hint="default"/>
      </w:rPr>
    </w:lvl>
  </w:abstractNum>
  <w:abstractNum w:abstractNumId="183" w15:restartNumberingAfterBreak="0">
    <w:nsid w:val="71BF711B"/>
    <w:multiLevelType w:val="hybridMultilevel"/>
    <w:tmpl w:val="BCE2C07E"/>
    <w:lvl w:ilvl="0" w:tplc="5450EAA8">
      <w:start w:val="1"/>
      <w:numFmt w:val="bullet"/>
      <w:lvlText w:val="•"/>
      <w:lvlJc w:val="left"/>
      <w:pPr>
        <w:ind w:left="720" w:hanging="360"/>
      </w:pPr>
      <w:rPr>
        <w:rFonts w:ascii="Calibri Light" w:eastAsia="Times New Roman" w:hAnsi="Calibri Light" w:cs="Times New Roman" w:hint="default"/>
      </w:rPr>
    </w:lvl>
    <w:lvl w:ilvl="1" w:tplc="BF5A6634">
      <w:start w:val="1"/>
      <w:numFmt w:val="bullet"/>
      <w:lvlText w:val="o"/>
      <w:lvlJc w:val="left"/>
      <w:pPr>
        <w:ind w:left="1440" w:hanging="360"/>
      </w:pPr>
      <w:rPr>
        <w:rFonts w:ascii="Courier New" w:hAnsi="Courier New" w:cs="Courier New" w:hint="default"/>
      </w:rPr>
    </w:lvl>
    <w:lvl w:ilvl="2" w:tplc="661EF964">
      <w:start w:val="1"/>
      <w:numFmt w:val="bullet"/>
      <w:lvlText w:val=""/>
      <w:lvlJc w:val="left"/>
      <w:pPr>
        <w:ind w:left="2160" w:hanging="360"/>
      </w:pPr>
      <w:rPr>
        <w:rFonts w:ascii="Wingdings" w:hAnsi="Wingdings" w:hint="default"/>
      </w:rPr>
    </w:lvl>
    <w:lvl w:ilvl="3" w:tplc="2AF4575A">
      <w:start w:val="1"/>
      <w:numFmt w:val="bullet"/>
      <w:lvlText w:val=""/>
      <w:lvlJc w:val="left"/>
      <w:pPr>
        <w:ind w:left="2880" w:hanging="360"/>
      </w:pPr>
      <w:rPr>
        <w:rFonts w:ascii="Symbol" w:hAnsi="Symbol" w:hint="default"/>
      </w:rPr>
    </w:lvl>
    <w:lvl w:ilvl="4" w:tplc="A148DEAC">
      <w:start w:val="1"/>
      <w:numFmt w:val="bullet"/>
      <w:lvlText w:val="o"/>
      <w:lvlJc w:val="left"/>
      <w:pPr>
        <w:ind w:left="3600" w:hanging="360"/>
      </w:pPr>
      <w:rPr>
        <w:rFonts w:ascii="Courier New" w:hAnsi="Courier New" w:cs="Courier New" w:hint="default"/>
      </w:rPr>
    </w:lvl>
    <w:lvl w:ilvl="5" w:tplc="1A4C440A">
      <w:start w:val="1"/>
      <w:numFmt w:val="bullet"/>
      <w:lvlText w:val=""/>
      <w:lvlJc w:val="left"/>
      <w:pPr>
        <w:ind w:left="4320" w:hanging="360"/>
      </w:pPr>
      <w:rPr>
        <w:rFonts w:ascii="Wingdings" w:hAnsi="Wingdings" w:hint="default"/>
      </w:rPr>
    </w:lvl>
    <w:lvl w:ilvl="6" w:tplc="A6AED5E0">
      <w:start w:val="1"/>
      <w:numFmt w:val="bullet"/>
      <w:lvlText w:val=""/>
      <w:lvlJc w:val="left"/>
      <w:pPr>
        <w:ind w:left="5040" w:hanging="360"/>
      </w:pPr>
      <w:rPr>
        <w:rFonts w:ascii="Symbol" w:hAnsi="Symbol" w:hint="default"/>
      </w:rPr>
    </w:lvl>
    <w:lvl w:ilvl="7" w:tplc="8F58BB20">
      <w:start w:val="1"/>
      <w:numFmt w:val="bullet"/>
      <w:lvlText w:val="o"/>
      <w:lvlJc w:val="left"/>
      <w:pPr>
        <w:ind w:left="5760" w:hanging="360"/>
      </w:pPr>
      <w:rPr>
        <w:rFonts w:ascii="Courier New" w:hAnsi="Courier New" w:cs="Courier New" w:hint="default"/>
      </w:rPr>
    </w:lvl>
    <w:lvl w:ilvl="8" w:tplc="6B984650">
      <w:start w:val="1"/>
      <w:numFmt w:val="bullet"/>
      <w:lvlText w:val=""/>
      <w:lvlJc w:val="left"/>
      <w:pPr>
        <w:ind w:left="6480" w:hanging="360"/>
      </w:pPr>
      <w:rPr>
        <w:rFonts w:ascii="Wingdings" w:hAnsi="Wingdings" w:hint="default"/>
      </w:rPr>
    </w:lvl>
  </w:abstractNum>
  <w:abstractNum w:abstractNumId="184" w15:restartNumberingAfterBreak="0">
    <w:nsid w:val="71F751FD"/>
    <w:multiLevelType w:val="hybridMultilevel"/>
    <w:tmpl w:val="B014A372"/>
    <w:lvl w:ilvl="0" w:tplc="E04071C4">
      <w:start w:val="1"/>
      <w:numFmt w:val="lowerRoman"/>
      <w:lvlText w:val="(%1)"/>
      <w:lvlJc w:val="left"/>
      <w:pPr>
        <w:ind w:left="734" w:hanging="360"/>
      </w:pPr>
      <w:rPr>
        <w:rFonts w:hint="default"/>
        <w:b w:val="0"/>
        <w:i w:val="0"/>
      </w:rPr>
    </w:lvl>
    <w:lvl w:ilvl="1" w:tplc="D88AB0C6">
      <w:start w:val="1"/>
      <w:numFmt w:val="lowerLetter"/>
      <w:lvlText w:val="%2."/>
      <w:lvlJc w:val="left"/>
      <w:pPr>
        <w:ind w:left="1454" w:hanging="360"/>
      </w:pPr>
    </w:lvl>
    <w:lvl w:ilvl="2" w:tplc="4CE45B30">
      <w:start w:val="1"/>
      <w:numFmt w:val="lowerRoman"/>
      <w:lvlText w:val="%3."/>
      <w:lvlJc w:val="right"/>
      <w:pPr>
        <w:ind w:left="2174" w:hanging="180"/>
      </w:pPr>
    </w:lvl>
    <w:lvl w:ilvl="3" w:tplc="C27ED696">
      <w:start w:val="1"/>
      <w:numFmt w:val="decimal"/>
      <w:lvlText w:val="%4."/>
      <w:lvlJc w:val="left"/>
      <w:pPr>
        <w:ind w:left="2894" w:hanging="360"/>
      </w:pPr>
    </w:lvl>
    <w:lvl w:ilvl="4" w:tplc="C9EE49A0">
      <w:start w:val="1"/>
      <w:numFmt w:val="lowerLetter"/>
      <w:lvlText w:val="%5."/>
      <w:lvlJc w:val="left"/>
      <w:pPr>
        <w:ind w:left="3614" w:hanging="360"/>
      </w:pPr>
    </w:lvl>
    <w:lvl w:ilvl="5" w:tplc="EED4D276">
      <w:start w:val="1"/>
      <w:numFmt w:val="lowerRoman"/>
      <w:lvlText w:val="%6."/>
      <w:lvlJc w:val="right"/>
      <w:pPr>
        <w:ind w:left="4334" w:hanging="180"/>
      </w:pPr>
    </w:lvl>
    <w:lvl w:ilvl="6" w:tplc="B7DE3968">
      <w:start w:val="1"/>
      <w:numFmt w:val="decimal"/>
      <w:lvlText w:val="%7."/>
      <w:lvlJc w:val="left"/>
      <w:pPr>
        <w:ind w:left="5054" w:hanging="360"/>
      </w:pPr>
    </w:lvl>
    <w:lvl w:ilvl="7" w:tplc="9222CA02">
      <w:start w:val="1"/>
      <w:numFmt w:val="lowerLetter"/>
      <w:lvlText w:val="%8."/>
      <w:lvlJc w:val="left"/>
      <w:pPr>
        <w:ind w:left="5774" w:hanging="360"/>
      </w:pPr>
    </w:lvl>
    <w:lvl w:ilvl="8" w:tplc="5C8E1F96">
      <w:start w:val="1"/>
      <w:numFmt w:val="lowerRoman"/>
      <w:lvlText w:val="%9."/>
      <w:lvlJc w:val="right"/>
      <w:pPr>
        <w:ind w:left="6494" w:hanging="180"/>
      </w:pPr>
    </w:lvl>
  </w:abstractNum>
  <w:abstractNum w:abstractNumId="185" w15:restartNumberingAfterBreak="0">
    <w:nsid w:val="7359686E"/>
    <w:multiLevelType w:val="hybridMultilevel"/>
    <w:tmpl w:val="2DDCDBC8"/>
    <w:lvl w:ilvl="0" w:tplc="2408BF48">
      <w:numFmt w:val="bullet"/>
      <w:lvlText w:val=""/>
      <w:lvlJc w:val="left"/>
      <w:pPr>
        <w:ind w:left="467" w:hanging="360"/>
      </w:pPr>
      <w:rPr>
        <w:rFonts w:ascii="Symbol" w:eastAsia="Symbol" w:hAnsi="Symbol" w:cs="Symbol" w:hint="default"/>
        <w:w w:val="100"/>
        <w:sz w:val="22"/>
        <w:szCs w:val="22"/>
        <w:lang w:val="en-US" w:eastAsia="en-US" w:bidi="ar-SA"/>
      </w:rPr>
    </w:lvl>
    <w:lvl w:ilvl="1" w:tplc="B8FC49CA">
      <w:numFmt w:val="bullet"/>
      <w:lvlText w:val="•"/>
      <w:lvlJc w:val="left"/>
      <w:pPr>
        <w:ind w:left="909" w:hanging="360"/>
      </w:pPr>
      <w:rPr>
        <w:rFonts w:hint="default"/>
        <w:lang w:val="en-US" w:eastAsia="en-US" w:bidi="ar-SA"/>
      </w:rPr>
    </w:lvl>
    <w:lvl w:ilvl="2" w:tplc="35508C98">
      <w:numFmt w:val="bullet"/>
      <w:lvlText w:val="•"/>
      <w:lvlJc w:val="left"/>
      <w:pPr>
        <w:ind w:left="1358" w:hanging="360"/>
      </w:pPr>
      <w:rPr>
        <w:rFonts w:hint="default"/>
        <w:lang w:val="en-US" w:eastAsia="en-US" w:bidi="ar-SA"/>
      </w:rPr>
    </w:lvl>
    <w:lvl w:ilvl="3" w:tplc="137821B4">
      <w:numFmt w:val="bullet"/>
      <w:lvlText w:val="•"/>
      <w:lvlJc w:val="left"/>
      <w:pPr>
        <w:ind w:left="1807" w:hanging="360"/>
      </w:pPr>
      <w:rPr>
        <w:rFonts w:hint="default"/>
        <w:lang w:val="en-US" w:eastAsia="en-US" w:bidi="ar-SA"/>
      </w:rPr>
    </w:lvl>
    <w:lvl w:ilvl="4" w:tplc="4F2CA836">
      <w:numFmt w:val="bullet"/>
      <w:lvlText w:val="•"/>
      <w:lvlJc w:val="left"/>
      <w:pPr>
        <w:ind w:left="2256" w:hanging="360"/>
      </w:pPr>
      <w:rPr>
        <w:rFonts w:hint="default"/>
        <w:lang w:val="en-US" w:eastAsia="en-US" w:bidi="ar-SA"/>
      </w:rPr>
    </w:lvl>
    <w:lvl w:ilvl="5" w:tplc="C23AA53E">
      <w:numFmt w:val="bullet"/>
      <w:lvlText w:val="•"/>
      <w:lvlJc w:val="left"/>
      <w:pPr>
        <w:ind w:left="2705" w:hanging="360"/>
      </w:pPr>
      <w:rPr>
        <w:rFonts w:hint="default"/>
        <w:lang w:val="en-US" w:eastAsia="en-US" w:bidi="ar-SA"/>
      </w:rPr>
    </w:lvl>
    <w:lvl w:ilvl="6" w:tplc="B36A5BE2">
      <w:numFmt w:val="bullet"/>
      <w:lvlText w:val="•"/>
      <w:lvlJc w:val="left"/>
      <w:pPr>
        <w:ind w:left="3154" w:hanging="360"/>
      </w:pPr>
      <w:rPr>
        <w:rFonts w:hint="default"/>
        <w:lang w:val="en-US" w:eastAsia="en-US" w:bidi="ar-SA"/>
      </w:rPr>
    </w:lvl>
    <w:lvl w:ilvl="7" w:tplc="4B82225E">
      <w:numFmt w:val="bullet"/>
      <w:lvlText w:val="•"/>
      <w:lvlJc w:val="left"/>
      <w:pPr>
        <w:ind w:left="3603" w:hanging="360"/>
      </w:pPr>
      <w:rPr>
        <w:rFonts w:hint="default"/>
        <w:lang w:val="en-US" w:eastAsia="en-US" w:bidi="ar-SA"/>
      </w:rPr>
    </w:lvl>
    <w:lvl w:ilvl="8" w:tplc="DC204604">
      <w:numFmt w:val="bullet"/>
      <w:lvlText w:val="•"/>
      <w:lvlJc w:val="left"/>
      <w:pPr>
        <w:ind w:left="4052" w:hanging="360"/>
      </w:pPr>
      <w:rPr>
        <w:rFonts w:hint="default"/>
        <w:lang w:val="en-US" w:eastAsia="en-US" w:bidi="ar-SA"/>
      </w:rPr>
    </w:lvl>
  </w:abstractNum>
  <w:abstractNum w:abstractNumId="186" w15:restartNumberingAfterBreak="0">
    <w:nsid w:val="73F53EAA"/>
    <w:multiLevelType w:val="hybridMultilevel"/>
    <w:tmpl w:val="8352756C"/>
    <w:lvl w:ilvl="0" w:tplc="0BB0C364">
      <w:start w:val="1"/>
      <w:numFmt w:val="decimal"/>
      <w:lvlText w:val="%1)"/>
      <w:lvlJc w:val="left"/>
      <w:pPr>
        <w:ind w:left="720" w:hanging="360"/>
      </w:pPr>
    </w:lvl>
    <w:lvl w:ilvl="1" w:tplc="5CC8C39C">
      <w:start w:val="1"/>
      <w:numFmt w:val="lowerLetter"/>
      <w:lvlText w:val="%2."/>
      <w:lvlJc w:val="left"/>
      <w:pPr>
        <w:ind w:left="1440" w:hanging="360"/>
      </w:pPr>
    </w:lvl>
    <w:lvl w:ilvl="2" w:tplc="D17C0608">
      <w:start w:val="1"/>
      <w:numFmt w:val="lowerRoman"/>
      <w:lvlText w:val="%3."/>
      <w:lvlJc w:val="right"/>
      <w:pPr>
        <w:ind w:left="2160" w:hanging="180"/>
      </w:pPr>
    </w:lvl>
    <w:lvl w:ilvl="3" w:tplc="E26253B2">
      <w:start w:val="1"/>
      <w:numFmt w:val="decimal"/>
      <w:lvlText w:val="%4."/>
      <w:lvlJc w:val="left"/>
      <w:pPr>
        <w:ind w:left="2880" w:hanging="360"/>
      </w:pPr>
    </w:lvl>
    <w:lvl w:ilvl="4" w:tplc="5BE4C0DA">
      <w:start w:val="1"/>
      <w:numFmt w:val="lowerLetter"/>
      <w:lvlText w:val="%5."/>
      <w:lvlJc w:val="left"/>
      <w:pPr>
        <w:ind w:left="3600" w:hanging="360"/>
      </w:pPr>
    </w:lvl>
    <w:lvl w:ilvl="5" w:tplc="F7F4EF5C">
      <w:start w:val="1"/>
      <w:numFmt w:val="lowerRoman"/>
      <w:lvlText w:val="%6."/>
      <w:lvlJc w:val="right"/>
      <w:pPr>
        <w:ind w:left="4320" w:hanging="180"/>
      </w:pPr>
    </w:lvl>
    <w:lvl w:ilvl="6" w:tplc="2B467CCE">
      <w:start w:val="1"/>
      <w:numFmt w:val="decimal"/>
      <w:lvlText w:val="%7."/>
      <w:lvlJc w:val="left"/>
      <w:pPr>
        <w:ind w:left="5040" w:hanging="360"/>
      </w:pPr>
    </w:lvl>
    <w:lvl w:ilvl="7" w:tplc="628E5338">
      <w:start w:val="1"/>
      <w:numFmt w:val="lowerLetter"/>
      <w:lvlText w:val="%8."/>
      <w:lvlJc w:val="left"/>
      <w:pPr>
        <w:ind w:left="5760" w:hanging="360"/>
      </w:pPr>
    </w:lvl>
    <w:lvl w:ilvl="8" w:tplc="22687A10">
      <w:start w:val="1"/>
      <w:numFmt w:val="lowerRoman"/>
      <w:lvlText w:val="%9."/>
      <w:lvlJc w:val="right"/>
      <w:pPr>
        <w:ind w:left="6480" w:hanging="180"/>
      </w:pPr>
    </w:lvl>
  </w:abstractNum>
  <w:abstractNum w:abstractNumId="187" w15:restartNumberingAfterBreak="0">
    <w:nsid w:val="749C5C83"/>
    <w:multiLevelType w:val="multilevel"/>
    <w:tmpl w:val="31BEC9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8" w15:restartNumberingAfterBreak="0">
    <w:nsid w:val="74C04247"/>
    <w:multiLevelType w:val="hybridMultilevel"/>
    <w:tmpl w:val="E5463E8C"/>
    <w:lvl w:ilvl="0" w:tplc="DC542A22">
      <w:start w:val="1"/>
      <w:numFmt w:val="bullet"/>
      <w:lvlText w:val="-"/>
      <w:lvlJc w:val="left"/>
      <w:pPr>
        <w:ind w:left="720" w:hanging="360"/>
      </w:pPr>
      <w:rPr>
        <w:rFonts w:ascii="Times New Roman" w:eastAsia="Times New Roman" w:hAnsi="Times New Roman" w:cs="Times New Roman" w:hint="default"/>
      </w:rPr>
    </w:lvl>
    <w:lvl w:ilvl="1" w:tplc="E6A6F7D2">
      <w:start w:val="1"/>
      <w:numFmt w:val="bullet"/>
      <w:lvlText w:val="o"/>
      <w:lvlJc w:val="left"/>
      <w:pPr>
        <w:ind w:left="1440" w:hanging="360"/>
      </w:pPr>
      <w:rPr>
        <w:rFonts w:ascii="Courier New" w:hAnsi="Courier New" w:cs="Courier New" w:hint="default"/>
      </w:rPr>
    </w:lvl>
    <w:lvl w:ilvl="2" w:tplc="F5C65FF4">
      <w:start w:val="1"/>
      <w:numFmt w:val="bullet"/>
      <w:lvlText w:val=""/>
      <w:lvlJc w:val="left"/>
      <w:pPr>
        <w:ind w:left="2160" w:hanging="360"/>
      </w:pPr>
      <w:rPr>
        <w:rFonts w:ascii="Wingdings" w:hAnsi="Wingdings" w:hint="default"/>
      </w:rPr>
    </w:lvl>
    <w:lvl w:ilvl="3" w:tplc="8E40CF46">
      <w:start w:val="1"/>
      <w:numFmt w:val="bullet"/>
      <w:lvlText w:val=""/>
      <w:lvlJc w:val="left"/>
      <w:pPr>
        <w:ind w:left="2880" w:hanging="360"/>
      </w:pPr>
      <w:rPr>
        <w:rFonts w:ascii="Symbol" w:hAnsi="Symbol" w:hint="default"/>
      </w:rPr>
    </w:lvl>
    <w:lvl w:ilvl="4" w:tplc="54661F50">
      <w:start w:val="1"/>
      <w:numFmt w:val="bullet"/>
      <w:lvlText w:val="o"/>
      <w:lvlJc w:val="left"/>
      <w:pPr>
        <w:ind w:left="3600" w:hanging="360"/>
      </w:pPr>
      <w:rPr>
        <w:rFonts w:ascii="Courier New" w:hAnsi="Courier New" w:cs="Courier New" w:hint="default"/>
      </w:rPr>
    </w:lvl>
    <w:lvl w:ilvl="5" w:tplc="A0EAB6D0">
      <w:start w:val="1"/>
      <w:numFmt w:val="bullet"/>
      <w:lvlText w:val=""/>
      <w:lvlJc w:val="left"/>
      <w:pPr>
        <w:ind w:left="4320" w:hanging="360"/>
      </w:pPr>
      <w:rPr>
        <w:rFonts w:ascii="Wingdings" w:hAnsi="Wingdings" w:hint="default"/>
      </w:rPr>
    </w:lvl>
    <w:lvl w:ilvl="6" w:tplc="D9AE99B8">
      <w:start w:val="1"/>
      <w:numFmt w:val="bullet"/>
      <w:lvlText w:val=""/>
      <w:lvlJc w:val="left"/>
      <w:pPr>
        <w:ind w:left="5040" w:hanging="360"/>
      </w:pPr>
      <w:rPr>
        <w:rFonts w:ascii="Symbol" w:hAnsi="Symbol" w:hint="default"/>
      </w:rPr>
    </w:lvl>
    <w:lvl w:ilvl="7" w:tplc="913E7B3E">
      <w:start w:val="1"/>
      <w:numFmt w:val="bullet"/>
      <w:lvlText w:val="o"/>
      <w:lvlJc w:val="left"/>
      <w:pPr>
        <w:ind w:left="5760" w:hanging="360"/>
      </w:pPr>
      <w:rPr>
        <w:rFonts w:ascii="Courier New" w:hAnsi="Courier New" w:cs="Courier New" w:hint="default"/>
      </w:rPr>
    </w:lvl>
    <w:lvl w:ilvl="8" w:tplc="A1469D4A">
      <w:start w:val="1"/>
      <w:numFmt w:val="bullet"/>
      <w:lvlText w:val=""/>
      <w:lvlJc w:val="left"/>
      <w:pPr>
        <w:ind w:left="6480" w:hanging="360"/>
      </w:pPr>
      <w:rPr>
        <w:rFonts w:ascii="Wingdings" w:hAnsi="Wingdings" w:hint="default"/>
      </w:rPr>
    </w:lvl>
  </w:abstractNum>
  <w:abstractNum w:abstractNumId="189" w15:restartNumberingAfterBreak="0">
    <w:nsid w:val="74F63FE8"/>
    <w:multiLevelType w:val="hybridMultilevel"/>
    <w:tmpl w:val="B8567088"/>
    <w:lvl w:ilvl="0" w:tplc="95A69950">
      <w:start w:val="3"/>
      <w:numFmt w:val="bullet"/>
      <w:lvlText w:val="•"/>
      <w:lvlJc w:val="left"/>
      <w:pPr>
        <w:ind w:left="720" w:hanging="360"/>
      </w:pPr>
      <w:rPr>
        <w:rFonts w:ascii="Times New Roman" w:eastAsia="Times New Roman" w:hAnsi="Times New Roman" w:cs="Times New Roman" w:hint="default"/>
      </w:rPr>
    </w:lvl>
    <w:lvl w:ilvl="1" w:tplc="021AFCC2">
      <w:start w:val="1"/>
      <w:numFmt w:val="bullet"/>
      <w:lvlText w:val="o"/>
      <w:lvlJc w:val="left"/>
      <w:pPr>
        <w:ind w:left="1440" w:hanging="360"/>
      </w:pPr>
      <w:rPr>
        <w:rFonts w:ascii="Courier New" w:hAnsi="Courier New" w:cs="Courier New" w:hint="default"/>
      </w:rPr>
    </w:lvl>
    <w:lvl w:ilvl="2" w:tplc="346ED448">
      <w:start w:val="1"/>
      <w:numFmt w:val="bullet"/>
      <w:lvlText w:val=""/>
      <w:lvlJc w:val="left"/>
      <w:pPr>
        <w:ind w:left="2160" w:hanging="360"/>
      </w:pPr>
      <w:rPr>
        <w:rFonts w:ascii="Wingdings" w:hAnsi="Wingdings" w:hint="default"/>
      </w:rPr>
    </w:lvl>
    <w:lvl w:ilvl="3" w:tplc="65D64C8A">
      <w:start w:val="1"/>
      <w:numFmt w:val="bullet"/>
      <w:lvlText w:val=""/>
      <w:lvlJc w:val="left"/>
      <w:pPr>
        <w:ind w:left="2880" w:hanging="360"/>
      </w:pPr>
      <w:rPr>
        <w:rFonts w:ascii="Symbol" w:hAnsi="Symbol" w:hint="default"/>
      </w:rPr>
    </w:lvl>
    <w:lvl w:ilvl="4" w:tplc="DA42ABF6">
      <w:start w:val="1"/>
      <w:numFmt w:val="bullet"/>
      <w:lvlText w:val="o"/>
      <w:lvlJc w:val="left"/>
      <w:pPr>
        <w:ind w:left="3600" w:hanging="360"/>
      </w:pPr>
      <w:rPr>
        <w:rFonts w:ascii="Courier New" w:hAnsi="Courier New" w:cs="Courier New" w:hint="default"/>
      </w:rPr>
    </w:lvl>
    <w:lvl w:ilvl="5" w:tplc="67280264">
      <w:start w:val="1"/>
      <w:numFmt w:val="bullet"/>
      <w:lvlText w:val=""/>
      <w:lvlJc w:val="left"/>
      <w:pPr>
        <w:ind w:left="4320" w:hanging="360"/>
      </w:pPr>
      <w:rPr>
        <w:rFonts w:ascii="Wingdings" w:hAnsi="Wingdings" w:hint="default"/>
      </w:rPr>
    </w:lvl>
    <w:lvl w:ilvl="6" w:tplc="282CA97A">
      <w:start w:val="1"/>
      <w:numFmt w:val="bullet"/>
      <w:lvlText w:val=""/>
      <w:lvlJc w:val="left"/>
      <w:pPr>
        <w:ind w:left="5040" w:hanging="360"/>
      </w:pPr>
      <w:rPr>
        <w:rFonts w:ascii="Symbol" w:hAnsi="Symbol" w:hint="default"/>
      </w:rPr>
    </w:lvl>
    <w:lvl w:ilvl="7" w:tplc="473419CA">
      <w:start w:val="1"/>
      <w:numFmt w:val="bullet"/>
      <w:lvlText w:val="o"/>
      <w:lvlJc w:val="left"/>
      <w:pPr>
        <w:ind w:left="5760" w:hanging="360"/>
      </w:pPr>
      <w:rPr>
        <w:rFonts w:ascii="Courier New" w:hAnsi="Courier New" w:cs="Courier New" w:hint="default"/>
      </w:rPr>
    </w:lvl>
    <w:lvl w:ilvl="8" w:tplc="CB08719C">
      <w:start w:val="1"/>
      <w:numFmt w:val="bullet"/>
      <w:lvlText w:val=""/>
      <w:lvlJc w:val="left"/>
      <w:pPr>
        <w:ind w:left="6480" w:hanging="360"/>
      </w:pPr>
      <w:rPr>
        <w:rFonts w:ascii="Wingdings" w:hAnsi="Wingdings" w:hint="default"/>
      </w:rPr>
    </w:lvl>
  </w:abstractNum>
  <w:abstractNum w:abstractNumId="190" w15:restartNumberingAfterBreak="0">
    <w:nsid w:val="75DA7703"/>
    <w:multiLevelType w:val="hybridMultilevel"/>
    <w:tmpl w:val="00D8DA02"/>
    <w:lvl w:ilvl="0" w:tplc="29144880">
      <w:start w:val="1"/>
      <w:numFmt w:val="bullet"/>
      <w:lvlText w:val=""/>
      <w:lvlJc w:val="left"/>
      <w:pPr>
        <w:ind w:left="720" w:hanging="360"/>
      </w:pPr>
      <w:rPr>
        <w:rFonts w:ascii="Symbol" w:hAnsi="Symbol" w:hint="default"/>
      </w:rPr>
    </w:lvl>
    <w:lvl w:ilvl="1" w:tplc="C122C5E0">
      <w:start w:val="1"/>
      <w:numFmt w:val="bullet"/>
      <w:lvlText w:val="o"/>
      <w:lvlJc w:val="left"/>
      <w:pPr>
        <w:ind w:left="1440" w:hanging="360"/>
      </w:pPr>
      <w:rPr>
        <w:rFonts w:ascii="Courier New" w:hAnsi="Courier New" w:cs="Courier New" w:hint="default"/>
      </w:rPr>
    </w:lvl>
    <w:lvl w:ilvl="2" w:tplc="C0E6C194">
      <w:start w:val="1"/>
      <w:numFmt w:val="bullet"/>
      <w:lvlText w:val=""/>
      <w:lvlJc w:val="left"/>
      <w:pPr>
        <w:ind w:left="2160" w:hanging="360"/>
      </w:pPr>
      <w:rPr>
        <w:rFonts w:ascii="Wingdings" w:hAnsi="Wingdings" w:hint="default"/>
      </w:rPr>
    </w:lvl>
    <w:lvl w:ilvl="3" w:tplc="DCA8A7D6">
      <w:start w:val="1"/>
      <w:numFmt w:val="bullet"/>
      <w:lvlText w:val=""/>
      <w:lvlJc w:val="left"/>
      <w:pPr>
        <w:ind w:left="2880" w:hanging="360"/>
      </w:pPr>
      <w:rPr>
        <w:rFonts w:ascii="Symbol" w:hAnsi="Symbol" w:hint="default"/>
      </w:rPr>
    </w:lvl>
    <w:lvl w:ilvl="4" w:tplc="2E2EE9EE">
      <w:start w:val="1"/>
      <w:numFmt w:val="bullet"/>
      <w:lvlText w:val="o"/>
      <w:lvlJc w:val="left"/>
      <w:pPr>
        <w:ind w:left="3600" w:hanging="360"/>
      </w:pPr>
      <w:rPr>
        <w:rFonts w:ascii="Courier New" w:hAnsi="Courier New" w:cs="Courier New" w:hint="default"/>
      </w:rPr>
    </w:lvl>
    <w:lvl w:ilvl="5" w:tplc="01546D06">
      <w:start w:val="1"/>
      <w:numFmt w:val="bullet"/>
      <w:lvlText w:val=""/>
      <w:lvlJc w:val="left"/>
      <w:pPr>
        <w:ind w:left="4320" w:hanging="360"/>
      </w:pPr>
      <w:rPr>
        <w:rFonts w:ascii="Wingdings" w:hAnsi="Wingdings" w:hint="default"/>
      </w:rPr>
    </w:lvl>
    <w:lvl w:ilvl="6" w:tplc="0BE4885A">
      <w:start w:val="1"/>
      <w:numFmt w:val="bullet"/>
      <w:lvlText w:val=""/>
      <w:lvlJc w:val="left"/>
      <w:pPr>
        <w:ind w:left="5040" w:hanging="360"/>
      </w:pPr>
      <w:rPr>
        <w:rFonts w:ascii="Symbol" w:hAnsi="Symbol" w:hint="default"/>
      </w:rPr>
    </w:lvl>
    <w:lvl w:ilvl="7" w:tplc="5382F7F4">
      <w:start w:val="1"/>
      <w:numFmt w:val="bullet"/>
      <w:lvlText w:val="o"/>
      <w:lvlJc w:val="left"/>
      <w:pPr>
        <w:ind w:left="5760" w:hanging="360"/>
      </w:pPr>
      <w:rPr>
        <w:rFonts w:ascii="Courier New" w:hAnsi="Courier New" w:cs="Courier New" w:hint="default"/>
      </w:rPr>
    </w:lvl>
    <w:lvl w:ilvl="8" w:tplc="ED3E0BF8">
      <w:start w:val="1"/>
      <w:numFmt w:val="bullet"/>
      <w:lvlText w:val=""/>
      <w:lvlJc w:val="left"/>
      <w:pPr>
        <w:ind w:left="6480" w:hanging="360"/>
      </w:pPr>
      <w:rPr>
        <w:rFonts w:ascii="Wingdings" w:hAnsi="Wingdings" w:hint="default"/>
      </w:rPr>
    </w:lvl>
  </w:abstractNum>
  <w:abstractNum w:abstractNumId="191" w15:restartNumberingAfterBreak="0">
    <w:nsid w:val="79E819FE"/>
    <w:multiLevelType w:val="hybridMultilevel"/>
    <w:tmpl w:val="C78CFFC8"/>
    <w:lvl w:ilvl="0" w:tplc="573C1CDC">
      <w:start w:val="1"/>
      <w:numFmt w:val="bullet"/>
      <w:lvlText w:val="•"/>
      <w:lvlJc w:val="left"/>
      <w:pPr>
        <w:tabs>
          <w:tab w:val="num" w:pos="720"/>
        </w:tabs>
        <w:ind w:left="720" w:hanging="360"/>
      </w:pPr>
      <w:rPr>
        <w:rFonts w:ascii="Arial" w:hAnsi="Arial" w:hint="default"/>
      </w:rPr>
    </w:lvl>
    <w:lvl w:ilvl="1" w:tplc="7ECCCDC0">
      <w:start w:val="1"/>
      <w:numFmt w:val="bullet"/>
      <w:lvlText w:val="•"/>
      <w:lvlJc w:val="left"/>
      <w:pPr>
        <w:tabs>
          <w:tab w:val="num" w:pos="1440"/>
        </w:tabs>
        <w:ind w:left="1440" w:hanging="360"/>
      </w:pPr>
      <w:rPr>
        <w:rFonts w:ascii="Arial" w:hAnsi="Arial" w:hint="default"/>
      </w:rPr>
    </w:lvl>
    <w:lvl w:ilvl="2" w:tplc="D876C4B2">
      <w:start w:val="1"/>
      <w:numFmt w:val="bullet"/>
      <w:lvlText w:val="•"/>
      <w:lvlJc w:val="left"/>
      <w:pPr>
        <w:tabs>
          <w:tab w:val="num" w:pos="2160"/>
        </w:tabs>
        <w:ind w:left="2160" w:hanging="360"/>
      </w:pPr>
      <w:rPr>
        <w:rFonts w:ascii="Arial" w:hAnsi="Arial" w:hint="default"/>
      </w:rPr>
    </w:lvl>
    <w:lvl w:ilvl="3" w:tplc="60BA4EA0">
      <w:start w:val="1"/>
      <w:numFmt w:val="bullet"/>
      <w:lvlText w:val="•"/>
      <w:lvlJc w:val="left"/>
      <w:pPr>
        <w:tabs>
          <w:tab w:val="num" w:pos="2880"/>
        </w:tabs>
        <w:ind w:left="2880" w:hanging="360"/>
      </w:pPr>
      <w:rPr>
        <w:rFonts w:ascii="Arial" w:hAnsi="Arial" w:hint="default"/>
      </w:rPr>
    </w:lvl>
    <w:lvl w:ilvl="4" w:tplc="A22868EA">
      <w:start w:val="1"/>
      <w:numFmt w:val="bullet"/>
      <w:lvlText w:val="•"/>
      <w:lvlJc w:val="left"/>
      <w:pPr>
        <w:tabs>
          <w:tab w:val="num" w:pos="3600"/>
        </w:tabs>
        <w:ind w:left="3600" w:hanging="360"/>
      </w:pPr>
      <w:rPr>
        <w:rFonts w:ascii="Arial" w:hAnsi="Arial" w:hint="default"/>
      </w:rPr>
    </w:lvl>
    <w:lvl w:ilvl="5" w:tplc="40DE08BE">
      <w:start w:val="1"/>
      <w:numFmt w:val="bullet"/>
      <w:lvlText w:val="•"/>
      <w:lvlJc w:val="left"/>
      <w:pPr>
        <w:tabs>
          <w:tab w:val="num" w:pos="4320"/>
        </w:tabs>
        <w:ind w:left="4320" w:hanging="360"/>
      </w:pPr>
      <w:rPr>
        <w:rFonts w:ascii="Arial" w:hAnsi="Arial" w:hint="default"/>
      </w:rPr>
    </w:lvl>
    <w:lvl w:ilvl="6" w:tplc="A9DAB5F0">
      <w:start w:val="1"/>
      <w:numFmt w:val="bullet"/>
      <w:lvlText w:val="•"/>
      <w:lvlJc w:val="left"/>
      <w:pPr>
        <w:tabs>
          <w:tab w:val="num" w:pos="5040"/>
        </w:tabs>
        <w:ind w:left="5040" w:hanging="360"/>
      </w:pPr>
      <w:rPr>
        <w:rFonts w:ascii="Arial" w:hAnsi="Arial" w:hint="default"/>
      </w:rPr>
    </w:lvl>
    <w:lvl w:ilvl="7" w:tplc="329E1EF8">
      <w:start w:val="1"/>
      <w:numFmt w:val="bullet"/>
      <w:lvlText w:val="•"/>
      <w:lvlJc w:val="left"/>
      <w:pPr>
        <w:tabs>
          <w:tab w:val="num" w:pos="5760"/>
        </w:tabs>
        <w:ind w:left="5760" w:hanging="360"/>
      </w:pPr>
      <w:rPr>
        <w:rFonts w:ascii="Arial" w:hAnsi="Arial" w:hint="default"/>
      </w:rPr>
    </w:lvl>
    <w:lvl w:ilvl="8" w:tplc="6604262A">
      <w:start w:val="1"/>
      <w:numFmt w:val="bullet"/>
      <w:lvlText w:val="•"/>
      <w:lvlJc w:val="left"/>
      <w:pPr>
        <w:tabs>
          <w:tab w:val="num" w:pos="6480"/>
        </w:tabs>
        <w:ind w:left="6480" w:hanging="360"/>
      </w:pPr>
      <w:rPr>
        <w:rFonts w:ascii="Arial" w:hAnsi="Arial" w:hint="default"/>
      </w:rPr>
    </w:lvl>
  </w:abstractNum>
  <w:abstractNum w:abstractNumId="192" w15:restartNumberingAfterBreak="0">
    <w:nsid w:val="7A600330"/>
    <w:multiLevelType w:val="hybridMultilevel"/>
    <w:tmpl w:val="DB24842A"/>
    <w:lvl w:ilvl="0" w:tplc="9F24B468">
      <w:start w:val="1"/>
      <w:numFmt w:val="bullet"/>
      <w:lvlText w:val=""/>
      <w:lvlJc w:val="left"/>
      <w:pPr>
        <w:ind w:left="2880" w:hanging="360"/>
      </w:pPr>
      <w:rPr>
        <w:rFonts w:ascii="Symbol" w:hAnsi="Symbol" w:hint="default"/>
      </w:rPr>
    </w:lvl>
    <w:lvl w:ilvl="1" w:tplc="8072FAB4">
      <w:start w:val="1"/>
      <w:numFmt w:val="bullet"/>
      <w:lvlText w:val="o"/>
      <w:lvlJc w:val="left"/>
      <w:pPr>
        <w:ind w:left="1440" w:hanging="360"/>
      </w:pPr>
      <w:rPr>
        <w:rFonts w:ascii="Courier New" w:hAnsi="Courier New" w:cs="Courier New" w:hint="default"/>
      </w:rPr>
    </w:lvl>
    <w:lvl w:ilvl="2" w:tplc="8E76B8B8">
      <w:start w:val="1"/>
      <w:numFmt w:val="bullet"/>
      <w:lvlText w:val=""/>
      <w:lvlJc w:val="left"/>
      <w:pPr>
        <w:ind w:left="2160" w:hanging="360"/>
      </w:pPr>
      <w:rPr>
        <w:rFonts w:ascii="Wingdings" w:hAnsi="Wingdings" w:hint="default"/>
      </w:rPr>
    </w:lvl>
    <w:lvl w:ilvl="3" w:tplc="E3421F50">
      <w:start w:val="1"/>
      <w:numFmt w:val="bullet"/>
      <w:lvlText w:val=""/>
      <w:lvlJc w:val="left"/>
      <w:pPr>
        <w:ind w:left="2880" w:hanging="360"/>
      </w:pPr>
      <w:rPr>
        <w:rFonts w:ascii="Symbol" w:hAnsi="Symbol" w:hint="default"/>
      </w:rPr>
    </w:lvl>
    <w:lvl w:ilvl="4" w:tplc="B2C267E4">
      <w:start w:val="1"/>
      <w:numFmt w:val="bullet"/>
      <w:lvlText w:val="o"/>
      <w:lvlJc w:val="left"/>
      <w:pPr>
        <w:ind w:left="3600" w:hanging="360"/>
      </w:pPr>
      <w:rPr>
        <w:rFonts w:ascii="Courier New" w:hAnsi="Courier New" w:cs="Courier New" w:hint="default"/>
      </w:rPr>
    </w:lvl>
    <w:lvl w:ilvl="5" w:tplc="37A63938">
      <w:start w:val="1"/>
      <w:numFmt w:val="bullet"/>
      <w:lvlText w:val=""/>
      <w:lvlJc w:val="left"/>
      <w:pPr>
        <w:ind w:left="4320" w:hanging="360"/>
      </w:pPr>
      <w:rPr>
        <w:rFonts w:ascii="Wingdings" w:hAnsi="Wingdings" w:hint="default"/>
      </w:rPr>
    </w:lvl>
    <w:lvl w:ilvl="6" w:tplc="84AA0CD8">
      <w:start w:val="1"/>
      <w:numFmt w:val="bullet"/>
      <w:lvlText w:val=""/>
      <w:lvlJc w:val="left"/>
      <w:pPr>
        <w:ind w:left="5040" w:hanging="360"/>
      </w:pPr>
      <w:rPr>
        <w:rFonts w:ascii="Symbol" w:hAnsi="Symbol" w:hint="default"/>
      </w:rPr>
    </w:lvl>
    <w:lvl w:ilvl="7" w:tplc="188CF57E">
      <w:start w:val="1"/>
      <w:numFmt w:val="bullet"/>
      <w:lvlText w:val="o"/>
      <w:lvlJc w:val="left"/>
      <w:pPr>
        <w:ind w:left="5760" w:hanging="360"/>
      </w:pPr>
      <w:rPr>
        <w:rFonts w:ascii="Courier New" w:hAnsi="Courier New" w:cs="Courier New" w:hint="default"/>
      </w:rPr>
    </w:lvl>
    <w:lvl w:ilvl="8" w:tplc="AB9E4AA2">
      <w:start w:val="1"/>
      <w:numFmt w:val="bullet"/>
      <w:lvlText w:val=""/>
      <w:lvlJc w:val="left"/>
      <w:pPr>
        <w:ind w:left="6480" w:hanging="360"/>
      </w:pPr>
      <w:rPr>
        <w:rFonts w:ascii="Wingdings" w:hAnsi="Wingdings" w:hint="default"/>
      </w:rPr>
    </w:lvl>
  </w:abstractNum>
  <w:abstractNum w:abstractNumId="193" w15:restartNumberingAfterBreak="0">
    <w:nsid w:val="7AEA44DE"/>
    <w:multiLevelType w:val="hybridMultilevel"/>
    <w:tmpl w:val="62B2AAC0"/>
    <w:lvl w:ilvl="0" w:tplc="0C6628D4">
      <w:start w:val="1"/>
      <w:numFmt w:val="bullet"/>
      <w:lvlText w:val="•"/>
      <w:lvlJc w:val="left"/>
      <w:pPr>
        <w:ind w:left="720" w:hanging="360"/>
      </w:pPr>
      <w:rPr>
        <w:rFonts w:ascii="Calibri Light" w:eastAsia="Times New Roman" w:hAnsi="Calibri Light" w:cs="Times New Roman" w:hint="default"/>
      </w:rPr>
    </w:lvl>
    <w:lvl w:ilvl="1" w:tplc="931E918E">
      <w:start w:val="1"/>
      <w:numFmt w:val="bullet"/>
      <w:lvlText w:val="o"/>
      <w:lvlJc w:val="left"/>
      <w:pPr>
        <w:ind w:left="1440" w:hanging="360"/>
      </w:pPr>
      <w:rPr>
        <w:rFonts w:ascii="Courier New" w:hAnsi="Courier New" w:cs="Courier New" w:hint="default"/>
      </w:rPr>
    </w:lvl>
    <w:lvl w:ilvl="2" w:tplc="948C45E4">
      <w:start w:val="1"/>
      <w:numFmt w:val="bullet"/>
      <w:lvlText w:val=""/>
      <w:lvlJc w:val="left"/>
      <w:pPr>
        <w:ind w:left="2160" w:hanging="360"/>
      </w:pPr>
      <w:rPr>
        <w:rFonts w:ascii="Wingdings" w:hAnsi="Wingdings" w:hint="default"/>
      </w:rPr>
    </w:lvl>
    <w:lvl w:ilvl="3" w:tplc="9C90AB98">
      <w:start w:val="1"/>
      <w:numFmt w:val="bullet"/>
      <w:lvlText w:val=""/>
      <w:lvlJc w:val="left"/>
      <w:pPr>
        <w:ind w:left="2880" w:hanging="360"/>
      </w:pPr>
      <w:rPr>
        <w:rFonts w:ascii="Symbol" w:hAnsi="Symbol" w:hint="default"/>
      </w:rPr>
    </w:lvl>
    <w:lvl w:ilvl="4" w:tplc="887EB5E8">
      <w:start w:val="1"/>
      <w:numFmt w:val="bullet"/>
      <w:lvlText w:val="o"/>
      <w:lvlJc w:val="left"/>
      <w:pPr>
        <w:ind w:left="3600" w:hanging="360"/>
      </w:pPr>
      <w:rPr>
        <w:rFonts w:ascii="Courier New" w:hAnsi="Courier New" w:cs="Courier New" w:hint="default"/>
      </w:rPr>
    </w:lvl>
    <w:lvl w:ilvl="5" w:tplc="F628007E">
      <w:start w:val="1"/>
      <w:numFmt w:val="bullet"/>
      <w:lvlText w:val=""/>
      <w:lvlJc w:val="left"/>
      <w:pPr>
        <w:ind w:left="4320" w:hanging="360"/>
      </w:pPr>
      <w:rPr>
        <w:rFonts w:ascii="Wingdings" w:hAnsi="Wingdings" w:hint="default"/>
      </w:rPr>
    </w:lvl>
    <w:lvl w:ilvl="6" w:tplc="4FC6F78A">
      <w:start w:val="1"/>
      <w:numFmt w:val="bullet"/>
      <w:lvlText w:val=""/>
      <w:lvlJc w:val="left"/>
      <w:pPr>
        <w:ind w:left="5040" w:hanging="360"/>
      </w:pPr>
      <w:rPr>
        <w:rFonts w:ascii="Symbol" w:hAnsi="Symbol" w:hint="default"/>
      </w:rPr>
    </w:lvl>
    <w:lvl w:ilvl="7" w:tplc="3104E4A2">
      <w:start w:val="1"/>
      <w:numFmt w:val="bullet"/>
      <w:lvlText w:val="o"/>
      <w:lvlJc w:val="left"/>
      <w:pPr>
        <w:ind w:left="5760" w:hanging="360"/>
      </w:pPr>
      <w:rPr>
        <w:rFonts w:ascii="Courier New" w:hAnsi="Courier New" w:cs="Courier New" w:hint="default"/>
      </w:rPr>
    </w:lvl>
    <w:lvl w:ilvl="8" w:tplc="D0FE1F3C">
      <w:start w:val="1"/>
      <w:numFmt w:val="bullet"/>
      <w:lvlText w:val=""/>
      <w:lvlJc w:val="left"/>
      <w:pPr>
        <w:ind w:left="6480" w:hanging="360"/>
      </w:pPr>
      <w:rPr>
        <w:rFonts w:ascii="Wingdings" w:hAnsi="Wingdings" w:hint="default"/>
      </w:rPr>
    </w:lvl>
  </w:abstractNum>
  <w:abstractNum w:abstractNumId="194" w15:restartNumberingAfterBreak="0">
    <w:nsid w:val="7BDE4C70"/>
    <w:multiLevelType w:val="hybridMultilevel"/>
    <w:tmpl w:val="627204A0"/>
    <w:lvl w:ilvl="0" w:tplc="CAEAF24E">
      <w:start w:val="1"/>
      <w:numFmt w:val="bullet"/>
      <w:lvlText w:val=""/>
      <w:lvlJc w:val="left"/>
      <w:pPr>
        <w:ind w:left="720" w:hanging="360"/>
      </w:pPr>
      <w:rPr>
        <w:rFonts w:ascii="Symbol" w:hAnsi="Symbol" w:hint="default"/>
      </w:rPr>
    </w:lvl>
    <w:lvl w:ilvl="1" w:tplc="23DC264E">
      <w:start w:val="1"/>
      <w:numFmt w:val="bullet"/>
      <w:lvlText w:val="o"/>
      <w:lvlJc w:val="left"/>
      <w:pPr>
        <w:ind w:left="1440" w:hanging="360"/>
      </w:pPr>
      <w:rPr>
        <w:rFonts w:ascii="Courier New" w:hAnsi="Courier New" w:cs="Courier New" w:hint="default"/>
      </w:rPr>
    </w:lvl>
    <w:lvl w:ilvl="2" w:tplc="E1D68550">
      <w:start w:val="1"/>
      <w:numFmt w:val="bullet"/>
      <w:lvlText w:val=""/>
      <w:lvlJc w:val="left"/>
      <w:pPr>
        <w:ind w:left="2160" w:hanging="360"/>
      </w:pPr>
      <w:rPr>
        <w:rFonts w:ascii="Wingdings" w:hAnsi="Wingdings" w:hint="default"/>
      </w:rPr>
    </w:lvl>
    <w:lvl w:ilvl="3" w:tplc="D7B4CE32">
      <w:start w:val="1"/>
      <w:numFmt w:val="bullet"/>
      <w:lvlText w:val=""/>
      <w:lvlJc w:val="left"/>
      <w:pPr>
        <w:ind w:left="2880" w:hanging="360"/>
      </w:pPr>
      <w:rPr>
        <w:rFonts w:ascii="Symbol" w:hAnsi="Symbol" w:hint="default"/>
      </w:rPr>
    </w:lvl>
    <w:lvl w:ilvl="4" w:tplc="F07456EE">
      <w:start w:val="1"/>
      <w:numFmt w:val="bullet"/>
      <w:lvlText w:val="o"/>
      <w:lvlJc w:val="left"/>
      <w:pPr>
        <w:ind w:left="3600" w:hanging="360"/>
      </w:pPr>
      <w:rPr>
        <w:rFonts w:ascii="Courier New" w:hAnsi="Courier New" w:cs="Courier New" w:hint="default"/>
      </w:rPr>
    </w:lvl>
    <w:lvl w:ilvl="5" w:tplc="626649CA">
      <w:start w:val="1"/>
      <w:numFmt w:val="bullet"/>
      <w:lvlText w:val=""/>
      <w:lvlJc w:val="left"/>
      <w:pPr>
        <w:ind w:left="4320" w:hanging="360"/>
      </w:pPr>
      <w:rPr>
        <w:rFonts w:ascii="Wingdings" w:hAnsi="Wingdings" w:hint="default"/>
      </w:rPr>
    </w:lvl>
    <w:lvl w:ilvl="6" w:tplc="364C6DE8">
      <w:start w:val="1"/>
      <w:numFmt w:val="bullet"/>
      <w:lvlText w:val=""/>
      <w:lvlJc w:val="left"/>
      <w:pPr>
        <w:ind w:left="5040" w:hanging="360"/>
      </w:pPr>
      <w:rPr>
        <w:rFonts w:ascii="Symbol" w:hAnsi="Symbol" w:hint="default"/>
      </w:rPr>
    </w:lvl>
    <w:lvl w:ilvl="7" w:tplc="B8D07FF4">
      <w:start w:val="1"/>
      <w:numFmt w:val="bullet"/>
      <w:lvlText w:val="o"/>
      <w:lvlJc w:val="left"/>
      <w:pPr>
        <w:ind w:left="5760" w:hanging="360"/>
      </w:pPr>
      <w:rPr>
        <w:rFonts w:ascii="Courier New" w:hAnsi="Courier New" w:cs="Courier New" w:hint="default"/>
      </w:rPr>
    </w:lvl>
    <w:lvl w:ilvl="8" w:tplc="4C8E5214">
      <w:start w:val="1"/>
      <w:numFmt w:val="bullet"/>
      <w:lvlText w:val=""/>
      <w:lvlJc w:val="left"/>
      <w:pPr>
        <w:ind w:left="6480" w:hanging="360"/>
      </w:pPr>
      <w:rPr>
        <w:rFonts w:ascii="Wingdings" w:hAnsi="Wingdings" w:hint="default"/>
      </w:rPr>
    </w:lvl>
  </w:abstractNum>
  <w:abstractNum w:abstractNumId="195" w15:restartNumberingAfterBreak="0">
    <w:nsid w:val="7C994D1D"/>
    <w:multiLevelType w:val="hybridMultilevel"/>
    <w:tmpl w:val="133AE296"/>
    <w:lvl w:ilvl="0" w:tplc="2CF8A8D6">
      <w:start w:val="1"/>
      <w:numFmt w:val="lowerRoman"/>
      <w:lvlText w:val="%1."/>
      <w:lvlJc w:val="right"/>
      <w:pPr>
        <w:ind w:left="2160" w:hanging="360"/>
      </w:pPr>
      <w:rPr>
        <w:b w:val="0"/>
        <w:lang w:val="en-AU"/>
      </w:rPr>
    </w:lvl>
    <w:lvl w:ilvl="1" w:tplc="9558E9AA">
      <w:start w:val="1"/>
      <w:numFmt w:val="lowerLetter"/>
      <w:lvlText w:val="%2."/>
      <w:lvlJc w:val="left"/>
      <w:pPr>
        <w:ind w:left="2880" w:hanging="360"/>
      </w:pPr>
    </w:lvl>
    <w:lvl w:ilvl="2" w:tplc="E0221B4E">
      <w:start w:val="1"/>
      <w:numFmt w:val="lowerRoman"/>
      <w:lvlText w:val="%3."/>
      <w:lvlJc w:val="right"/>
      <w:pPr>
        <w:ind w:left="3600" w:hanging="180"/>
      </w:pPr>
    </w:lvl>
    <w:lvl w:ilvl="3" w:tplc="D996D2DA">
      <w:start w:val="1"/>
      <w:numFmt w:val="decimal"/>
      <w:lvlText w:val="%4."/>
      <w:lvlJc w:val="left"/>
      <w:pPr>
        <w:ind w:left="4320" w:hanging="360"/>
      </w:pPr>
    </w:lvl>
    <w:lvl w:ilvl="4" w:tplc="AD4A6E98">
      <w:start w:val="1"/>
      <w:numFmt w:val="lowerLetter"/>
      <w:lvlText w:val="%5."/>
      <w:lvlJc w:val="left"/>
      <w:pPr>
        <w:ind w:left="5040" w:hanging="360"/>
      </w:pPr>
    </w:lvl>
    <w:lvl w:ilvl="5" w:tplc="24AE6EBA">
      <w:start w:val="1"/>
      <w:numFmt w:val="lowerRoman"/>
      <w:lvlText w:val="%6."/>
      <w:lvlJc w:val="right"/>
      <w:pPr>
        <w:ind w:left="5760" w:hanging="180"/>
      </w:pPr>
    </w:lvl>
    <w:lvl w:ilvl="6" w:tplc="3C342568">
      <w:start w:val="1"/>
      <w:numFmt w:val="decimal"/>
      <w:lvlText w:val="%7."/>
      <w:lvlJc w:val="left"/>
      <w:pPr>
        <w:ind w:left="6480" w:hanging="360"/>
      </w:pPr>
    </w:lvl>
    <w:lvl w:ilvl="7" w:tplc="75BAD96A">
      <w:start w:val="1"/>
      <w:numFmt w:val="lowerLetter"/>
      <w:lvlText w:val="%8."/>
      <w:lvlJc w:val="left"/>
      <w:pPr>
        <w:ind w:left="7200" w:hanging="360"/>
      </w:pPr>
    </w:lvl>
    <w:lvl w:ilvl="8" w:tplc="622CC332">
      <w:start w:val="1"/>
      <w:numFmt w:val="lowerRoman"/>
      <w:lvlText w:val="%9."/>
      <w:lvlJc w:val="right"/>
      <w:pPr>
        <w:ind w:left="7920" w:hanging="180"/>
      </w:pPr>
    </w:lvl>
  </w:abstractNum>
  <w:abstractNum w:abstractNumId="196" w15:restartNumberingAfterBreak="0">
    <w:nsid w:val="7CAF09D5"/>
    <w:multiLevelType w:val="hybridMultilevel"/>
    <w:tmpl w:val="D3D63904"/>
    <w:lvl w:ilvl="0" w:tplc="9BA20EA0">
      <w:start w:val="1"/>
      <w:numFmt w:val="bullet"/>
      <w:lvlText w:val="–"/>
      <w:lvlJc w:val="left"/>
      <w:pPr>
        <w:ind w:left="2846" w:hanging="360"/>
      </w:pPr>
      <w:rPr>
        <w:rFonts w:ascii="Times New Roman" w:eastAsia="Times New Roman" w:hAnsi="Times New Roman" w:cs="Times New Roman" w:hint="default"/>
        <w:spacing w:val="-7"/>
        <w:sz w:val="22"/>
        <w:szCs w:val="22"/>
        <w:lang w:val="en-US" w:eastAsia="en-US" w:bidi="ar-SA"/>
      </w:rPr>
    </w:lvl>
    <w:lvl w:ilvl="1" w:tplc="94B0BFF8">
      <w:start w:val="1"/>
      <w:numFmt w:val="bullet"/>
      <w:lvlText w:val="o"/>
      <w:lvlJc w:val="left"/>
      <w:pPr>
        <w:ind w:left="3566" w:hanging="360"/>
      </w:pPr>
      <w:rPr>
        <w:rFonts w:ascii="Courier New" w:hAnsi="Courier New" w:cs="Courier New" w:hint="default"/>
      </w:rPr>
    </w:lvl>
    <w:lvl w:ilvl="2" w:tplc="2E82B506">
      <w:start w:val="1"/>
      <w:numFmt w:val="bullet"/>
      <w:lvlText w:val=""/>
      <w:lvlJc w:val="left"/>
      <w:pPr>
        <w:ind w:left="4286" w:hanging="360"/>
      </w:pPr>
      <w:rPr>
        <w:rFonts w:ascii="Wingdings" w:hAnsi="Wingdings" w:hint="default"/>
      </w:rPr>
    </w:lvl>
    <w:lvl w:ilvl="3" w:tplc="5784BCB2">
      <w:start w:val="1"/>
      <w:numFmt w:val="bullet"/>
      <w:lvlText w:val=""/>
      <w:lvlJc w:val="left"/>
      <w:pPr>
        <w:ind w:left="5006" w:hanging="360"/>
      </w:pPr>
      <w:rPr>
        <w:rFonts w:ascii="Symbol" w:hAnsi="Symbol" w:hint="default"/>
      </w:rPr>
    </w:lvl>
    <w:lvl w:ilvl="4" w:tplc="AC722144">
      <w:start w:val="1"/>
      <w:numFmt w:val="bullet"/>
      <w:lvlText w:val="o"/>
      <w:lvlJc w:val="left"/>
      <w:pPr>
        <w:ind w:left="5726" w:hanging="360"/>
      </w:pPr>
      <w:rPr>
        <w:rFonts w:ascii="Courier New" w:hAnsi="Courier New" w:cs="Courier New" w:hint="default"/>
      </w:rPr>
    </w:lvl>
    <w:lvl w:ilvl="5" w:tplc="B112705E">
      <w:start w:val="1"/>
      <w:numFmt w:val="bullet"/>
      <w:lvlText w:val=""/>
      <w:lvlJc w:val="left"/>
      <w:pPr>
        <w:ind w:left="6446" w:hanging="360"/>
      </w:pPr>
      <w:rPr>
        <w:rFonts w:ascii="Wingdings" w:hAnsi="Wingdings" w:hint="default"/>
      </w:rPr>
    </w:lvl>
    <w:lvl w:ilvl="6" w:tplc="1EA03582">
      <w:start w:val="1"/>
      <w:numFmt w:val="bullet"/>
      <w:lvlText w:val=""/>
      <w:lvlJc w:val="left"/>
      <w:pPr>
        <w:ind w:left="7166" w:hanging="360"/>
      </w:pPr>
      <w:rPr>
        <w:rFonts w:ascii="Symbol" w:hAnsi="Symbol" w:hint="default"/>
      </w:rPr>
    </w:lvl>
    <w:lvl w:ilvl="7" w:tplc="1AF8F3D2">
      <w:start w:val="1"/>
      <w:numFmt w:val="bullet"/>
      <w:lvlText w:val="o"/>
      <w:lvlJc w:val="left"/>
      <w:pPr>
        <w:ind w:left="7886" w:hanging="360"/>
      </w:pPr>
      <w:rPr>
        <w:rFonts w:ascii="Courier New" w:hAnsi="Courier New" w:cs="Courier New" w:hint="default"/>
      </w:rPr>
    </w:lvl>
    <w:lvl w:ilvl="8" w:tplc="407AED96">
      <w:start w:val="1"/>
      <w:numFmt w:val="bullet"/>
      <w:lvlText w:val=""/>
      <w:lvlJc w:val="left"/>
      <w:pPr>
        <w:ind w:left="8606" w:hanging="360"/>
      </w:pPr>
      <w:rPr>
        <w:rFonts w:ascii="Wingdings" w:hAnsi="Wingdings" w:hint="default"/>
      </w:rPr>
    </w:lvl>
  </w:abstractNum>
  <w:abstractNum w:abstractNumId="197" w15:restartNumberingAfterBreak="0">
    <w:nsid w:val="7DA3314A"/>
    <w:multiLevelType w:val="hybridMultilevel"/>
    <w:tmpl w:val="58D089F0"/>
    <w:lvl w:ilvl="0" w:tplc="4F865B04">
      <w:start w:val="1"/>
      <w:numFmt w:val="decimal"/>
      <w:lvlText w:val="%1."/>
      <w:lvlJc w:val="left"/>
      <w:pPr>
        <w:ind w:left="1800" w:hanging="360"/>
      </w:pPr>
    </w:lvl>
    <w:lvl w:ilvl="1" w:tplc="3D7AE6A8">
      <w:start w:val="1"/>
      <w:numFmt w:val="lowerLetter"/>
      <w:lvlText w:val="%2."/>
      <w:lvlJc w:val="left"/>
      <w:pPr>
        <w:ind w:left="2520" w:hanging="360"/>
      </w:pPr>
    </w:lvl>
    <w:lvl w:ilvl="2" w:tplc="7ED674F2">
      <w:start w:val="1"/>
      <w:numFmt w:val="lowerRoman"/>
      <w:lvlText w:val="%3."/>
      <w:lvlJc w:val="right"/>
      <w:pPr>
        <w:ind w:left="3240" w:hanging="180"/>
      </w:pPr>
    </w:lvl>
    <w:lvl w:ilvl="3" w:tplc="0C8A8688">
      <w:start w:val="1"/>
      <w:numFmt w:val="decimal"/>
      <w:lvlText w:val="%4."/>
      <w:lvlJc w:val="left"/>
      <w:pPr>
        <w:ind w:left="3960" w:hanging="360"/>
      </w:pPr>
    </w:lvl>
    <w:lvl w:ilvl="4" w:tplc="7F18566E">
      <w:start w:val="1"/>
      <w:numFmt w:val="lowerLetter"/>
      <w:lvlText w:val="%5."/>
      <w:lvlJc w:val="left"/>
      <w:pPr>
        <w:ind w:left="4680" w:hanging="360"/>
      </w:pPr>
    </w:lvl>
    <w:lvl w:ilvl="5" w:tplc="494AF76A">
      <w:start w:val="1"/>
      <w:numFmt w:val="lowerRoman"/>
      <w:lvlText w:val="%6."/>
      <w:lvlJc w:val="right"/>
      <w:pPr>
        <w:ind w:left="5400" w:hanging="180"/>
      </w:pPr>
    </w:lvl>
    <w:lvl w:ilvl="6" w:tplc="246A56EA">
      <w:start w:val="1"/>
      <w:numFmt w:val="decimal"/>
      <w:lvlText w:val="%7."/>
      <w:lvlJc w:val="left"/>
      <w:pPr>
        <w:ind w:left="6120" w:hanging="360"/>
      </w:pPr>
    </w:lvl>
    <w:lvl w:ilvl="7" w:tplc="EA2662C0">
      <w:start w:val="1"/>
      <w:numFmt w:val="lowerLetter"/>
      <w:lvlText w:val="%8."/>
      <w:lvlJc w:val="left"/>
      <w:pPr>
        <w:ind w:left="6840" w:hanging="360"/>
      </w:pPr>
    </w:lvl>
    <w:lvl w:ilvl="8" w:tplc="CD3CF39A">
      <w:start w:val="1"/>
      <w:numFmt w:val="lowerRoman"/>
      <w:lvlText w:val="%9."/>
      <w:lvlJc w:val="right"/>
      <w:pPr>
        <w:ind w:left="7560" w:hanging="180"/>
      </w:pPr>
    </w:lvl>
  </w:abstractNum>
  <w:abstractNum w:abstractNumId="198" w15:restartNumberingAfterBreak="0">
    <w:nsid w:val="7DCC4BDA"/>
    <w:multiLevelType w:val="hybridMultilevel"/>
    <w:tmpl w:val="4BEC1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E542150"/>
    <w:multiLevelType w:val="hybridMultilevel"/>
    <w:tmpl w:val="FB4AD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7E9D1A3F"/>
    <w:multiLevelType w:val="hybridMultilevel"/>
    <w:tmpl w:val="22101292"/>
    <w:lvl w:ilvl="0" w:tplc="B864450A">
      <w:start w:val="1"/>
      <w:numFmt w:val="bullet"/>
      <w:lvlText w:val="-"/>
      <w:lvlJc w:val="left"/>
      <w:pPr>
        <w:ind w:left="720" w:hanging="360"/>
      </w:pPr>
      <w:rPr>
        <w:rFonts w:ascii="Times New Roman" w:eastAsia="Times New Roman" w:hAnsi="Times New Roman" w:cs="Times New Roman" w:hint="default"/>
        <w:spacing w:val="-7"/>
        <w:sz w:val="22"/>
        <w:szCs w:val="22"/>
        <w:lang w:val="en-US" w:eastAsia="en-US" w:bidi="ar-SA"/>
      </w:rPr>
    </w:lvl>
    <w:lvl w:ilvl="1" w:tplc="EBBAFA0E">
      <w:start w:val="1"/>
      <w:numFmt w:val="bullet"/>
      <w:lvlText w:val="o"/>
      <w:lvlJc w:val="left"/>
      <w:pPr>
        <w:ind w:left="1440" w:hanging="360"/>
      </w:pPr>
      <w:rPr>
        <w:rFonts w:ascii="Courier New" w:hAnsi="Courier New" w:cs="Courier New" w:hint="default"/>
      </w:rPr>
    </w:lvl>
    <w:lvl w:ilvl="2" w:tplc="962227B6">
      <w:start w:val="1"/>
      <w:numFmt w:val="bullet"/>
      <w:lvlText w:val=""/>
      <w:lvlJc w:val="left"/>
      <w:pPr>
        <w:ind w:left="2160" w:hanging="360"/>
      </w:pPr>
      <w:rPr>
        <w:rFonts w:ascii="Wingdings" w:hAnsi="Wingdings" w:hint="default"/>
      </w:rPr>
    </w:lvl>
    <w:lvl w:ilvl="3" w:tplc="FE62B5D6">
      <w:start w:val="1"/>
      <w:numFmt w:val="bullet"/>
      <w:lvlText w:val=""/>
      <w:lvlJc w:val="left"/>
      <w:pPr>
        <w:ind w:left="2880" w:hanging="360"/>
      </w:pPr>
      <w:rPr>
        <w:rFonts w:ascii="Symbol" w:hAnsi="Symbol" w:hint="default"/>
      </w:rPr>
    </w:lvl>
    <w:lvl w:ilvl="4" w:tplc="8B50E092">
      <w:start w:val="1"/>
      <w:numFmt w:val="bullet"/>
      <w:lvlText w:val="o"/>
      <w:lvlJc w:val="left"/>
      <w:pPr>
        <w:ind w:left="3600" w:hanging="360"/>
      </w:pPr>
      <w:rPr>
        <w:rFonts w:ascii="Courier New" w:hAnsi="Courier New" w:cs="Courier New" w:hint="default"/>
      </w:rPr>
    </w:lvl>
    <w:lvl w:ilvl="5" w:tplc="D2F81E08">
      <w:start w:val="1"/>
      <w:numFmt w:val="bullet"/>
      <w:lvlText w:val=""/>
      <w:lvlJc w:val="left"/>
      <w:pPr>
        <w:ind w:left="4320" w:hanging="360"/>
      </w:pPr>
      <w:rPr>
        <w:rFonts w:ascii="Wingdings" w:hAnsi="Wingdings" w:hint="default"/>
      </w:rPr>
    </w:lvl>
    <w:lvl w:ilvl="6" w:tplc="5B2890E2">
      <w:start w:val="1"/>
      <w:numFmt w:val="bullet"/>
      <w:lvlText w:val=""/>
      <w:lvlJc w:val="left"/>
      <w:pPr>
        <w:ind w:left="5040" w:hanging="360"/>
      </w:pPr>
      <w:rPr>
        <w:rFonts w:ascii="Symbol" w:hAnsi="Symbol" w:hint="default"/>
      </w:rPr>
    </w:lvl>
    <w:lvl w:ilvl="7" w:tplc="907E9F7A">
      <w:start w:val="1"/>
      <w:numFmt w:val="bullet"/>
      <w:lvlText w:val="o"/>
      <w:lvlJc w:val="left"/>
      <w:pPr>
        <w:ind w:left="5760" w:hanging="360"/>
      </w:pPr>
      <w:rPr>
        <w:rFonts w:ascii="Courier New" w:hAnsi="Courier New" w:cs="Courier New" w:hint="default"/>
      </w:rPr>
    </w:lvl>
    <w:lvl w:ilvl="8" w:tplc="937800E8">
      <w:start w:val="1"/>
      <w:numFmt w:val="bullet"/>
      <w:lvlText w:val=""/>
      <w:lvlJc w:val="left"/>
      <w:pPr>
        <w:ind w:left="6480" w:hanging="360"/>
      </w:pPr>
      <w:rPr>
        <w:rFonts w:ascii="Wingdings" w:hAnsi="Wingdings" w:hint="default"/>
      </w:rPr>
    </w:lvl>
  </w:abstractNum>
  <w:abstractNum w:abstractNumId="201" w15:restartNumberingAfterBreak="0">
    <w:nsid w:val="7EA67E2E"/>
    <w:multiLevelType w:val="hybridMultilevel"/>
    <w:tmpl w:val="E29E5816"/>
    <w:lvl w:ilvl="0" w:tplc="AE38456C">
      <w:start w:val="1"/>
      <w:numFmt w:val="bullet"/>
      <w:lvlText w:val="•"/>
      <w:lvlJc w:val="left"/>
      <w:pPr>
        <w:tabs>
          <w:tab w:val="num" w:pos="720"/>
        </w:tabs>
        <w:ind w:left="720" w:hanging="360"/>
      </w:pPr>
      <w:rPr>
        <w:rFonts w:ascii="Arial" w:hAnsi="Arial" w:hint="default"/>
      </w:rPr>
    </w:lvl>
    <w:lvl w:ilvl="1" w:tplc="A77A8D7E">
      <w:start w:val="1"/>
      <w:numFmt w:val="bullet"/>
      <w:lvlText w:val="o"/>
      <w:lvlJc w:val="left"/>
      <w:pPr>
        <w:ind w:left="1440" w:hanging="360"/>
      </w:pPr>
      <w:rPr>
        <w:rFonts w:ascii="Courier New" w:hAnsi="Courier New" w:cs="Courier New" w:hint="default"/>
      </w:rPr>
    </w:lvl>
    <w:lvl w:ilvl="2" w:tplc="A558BBD8">
      <w:start w:val="1"/>
      <w:numFmt w:val="bullet"/>
      <w:lvlText w:val=""/>
      <w:lvlJc w:val="left"/>
      <w:pPr>
        <w:ind w:left="2160" w:hanging="360"/>
      </w:pPr>
      <w:rPr>
        <w:rFonts w:ascii="Wingdings" w:hAnsi="Wingdings" w:hint="default"/>
      </w:rPr>
    </w:lvl>
    <w:lvl w:ilvl="3" w:tplc="C76C0490">
      <w:start w:val="1"/>
      <w:numFmt w:val="bullet"/>
      <w:lvlText w:val=""/>
      <w:lvlJc w:val="left"/>
      <w:pPr>
        <w:ind w:left="2880" w:hanging="360"/>
      </w:pPr>
      <w:rPr>
        <w:rFonts w:ascii="Symbol" w:hAnsi="Symbol" w:hint="default"/>
      </w:rPr>
    </w:lvl>
    <w:lvl w:ilvl="4" w:tplc="4DAADDBA">
      <w:start w:val="1"/>
      <w:numFmt w:val="bullet"/>
      <w:lvlText w:val="o"/>
      <w:lvlJc w:val="left"/>
      <w:pPr>
        <w:ind w:left="3600" w:hanging="360"/>
      </w:pPr>
      <w:rPr>
        <w:rFonts w:ascii="Courier New" w:hAnsi="Courier New" w:cs="Courier New" w:hint="default"/>
      </w:rPr>
    </w:lvl>
    <w:lvl w:ilvl="5" w:tplc="E746E6FA">
      <w:start w:val="1"/>
      <w:numFmt w:val="bullet"/>
      <w:lvlText w:val=""/>
      <w:lvlJc w:val="left"/>
      <w:pPr>
        <w:ind w:left="4320" w:hanging="360"/>
      </w:pPr>
      <w:rPr>
        <w:rFonts w:ascii="Wingdings" w:hAnsi="Wingdings" w:hint="default"/>
      </w:rPr>
    </w:lvl>
    <w:lvl w:ilvl="6" w:tplc="C74E9534">
      <w:start w:val="1"/>
      <w:numFmt w:val="bullet"/>
      <w:lvlText w:val=""/>
      <w:lvlJc w:val="left"/>
      <w:pPr>
        <w:ind w:left="5040" w:hanging="360"/>
      </w:pPr>
      <w:rPr>
        <w:rFonts w:ascii="Symbol" w:hAnsi="Symbol" w:hint="default"/>
      </w:rPr>
    </w:lvl>
    <w:lvl w:ilvl="7" w:tplc="91EA4B2C">
      <w:start w:val="1"/>
      <w:numFmt w:val="bullet"/>
      <w:lvlText w:val="o"/>
      <w:lvlJc w:val="left"/>
      <w:pPr>
        <w:ind w:left="5760" w:hanging="360"/>
      </w:pPr>
      <w:rPr>
        <w:rFonts w:ascii="Courier New" w:hAnsi="Courier New" w:cs="Courier New" w:hint="default"/>
      </w:rPr>
    </w:lvl>
    <w:lvl w:ilvl="8" w:tplc="408474D6">
      <w:start w:val="1"/>
      <w:numFmt w:val="bullet"/>
      <w:lvlText w:val=""/>
      <w:lvlJc w:val="left"/>
      <w:pPr>
        <w:ind w:left="6480" w:hanging="360"/>
      </w:pPr>
      <w:rPr>
        <w:rFonts w:ascii="Wingdings" w:hAnsi="Wingdings" w:hint="default"/>
      </w:rPr>
    </w:lvl>
  </w:abstractNum>
  <w:abstractNum w:abstractNumId="202" w15:restartNumberingAfterBreak="0">
    <w:nsid w:val="7FCE66F8"/>
    <w:multiLevelType w:val="hybridMultilevel"/>
    <w:tmpl w:val="E892E518"/>
    <w:lvl w:ilvl="0" w:tplc="601CA100">
      <w:start w:val="1"/>
      <w:numFmt w:val="bullet"/>
      <w:lvlText w:val="-"/>
      <w:lvlJc w:val="left"/>
      <w:pPr>
        <w:ind w:left="720" w:hanging="360"/>
      </w:pPr>
      <w:rPr>
        <w:rFonts w:ascii="Times New Roman" w:eastAsia="Times New Roman" w:hAnsi="Times New Roman" w:cs="Times New Roman" w:hint="default"/>
      </w:rPr>
    </w:lvl>
    <w:lvl w:ilvl="1" w:tplc="1112320A">
      <w:start w:val="1"/>
      <w:numFmt w:val="lowerLetter"/>
      <w:lvlText w:val="%2."/>
      <w:lvlJc w:val="left"/>
      <w:pPr>
        <w:ind w:left="1440" w:hanging="360"/>
      </w:pPr>
    </w:lvl>
    <w:lvl w:ilvl="2" w:tplc="F8D6EA52">
      <w:start w:val="1"/>
      <w:numFmt w:val="lowerRoman"/>
      <w:lvlText w:val="%3."/>
      <w:lvlJc w:val="right"/>
      <w:pPr>
        <w:ind w:left="2160" w:hanging="180"/>
      </w:pPr>
    </w:lvl>
    <w:lvl w:ilvl="3" w:tplc="E1C28730">
      <w:start w:val="1"/>
      <w:numFmt w:val="decimal"/>
      <w:lvlText w:val="%4."/>
      <w:lvlJc w:val="left"/>
      <w:pPr>
        <w:ind w:left="2880" w:hanging="360"/>
      </w:pPr>
    </w:lvl>
    <w:lvl w:ilvl="4" w:tplc="BFF0E56A">
      <w:start w:val="1"/>
      <w:numFmt w:val="lowerLetter"/>
      <w:lvlText w:val="%5."/>
      <w:lvlJc w:val="left"/>
      <w:pPr>
        <w:ind w:left="3600" w:hanging="360"/>
      </w:pPr>
    </w:lvl>
    <w:lvl w:ilvl="5" w:tplc="AA703CA8">
      <w:start w:val="1"/>
      <w:numFmt w:val="lowerRoman"/>
      <w:lvlText w:val="%6."/>
      <w:lvlJc w:val="right"/>
      <w:pPr>
        <w:ind w:left="4320" w:hanging="180"/>
      </w:pPr>
    </w:lvl>
    <w:lvl w:ilvl="6" w:tplc="5C7212A2">
      <w:start w:val="1"/>
      <w:numFmt w:val="decimal"/>
      <w:lvlText w:val="%7."/>
      <w:lvlJc w:val="left"/>
      <w:pPr>
        <w:ind w:left="5040" w:hanging="360"/>
      </w:pPr>
    </w:lvl>
    <w:lvl w:ilvl="7" w:tplc="39FC0948">
      <w:start w:val="1"/>
      <w:numFmt w:val="lowerLetter"/>
      <w:lvlText w:val="%8."/>
      <w:lvlJc w:val="left"/>
      <w:pPr>
        <w:ind w:left="5760" w:hanging="360"/>
      </w:pPr>
    </w:lvl>
    <w:lvl w:ilvl="8" w:tplc="91C844D6">
      <w:start w:val="1"/>
      <w:numFmt w:val="lowerRoman"/>
      <w:lvlText w:val="%9."/>
      <w:lvlJc w:val="right"/>
      <w:pPr>
        <w:ind w:left="6480" w:hanging="180"/>
      </w:pPr>
    </w:lvl>
  </w:abstractNum>
  <w:num w:numId="1" w16cid:durableId="2111579171">
    <w:abstractNumId w:val="81"/>
  </w:num>
  <w:num w:numId="2" w16cid:durableId="1689597612">
    <w:abstractNumId w:val="121"/>
  </w:num>
  <w:num w:numId="3" w16cid:durableId="601769343">
    <w:abstractNumId w:val="159"/>
  </w:num>
  <w:num w:numId="4" w16cid:durableId="1280719878">
    <w:abstractNumId w:val="86"/>
  </w:num>
  <w:num w:numId="5" w16cid:durableId="528833455">
    <w:abstractNumId w:val="18"/>
  </w:num>
  <w:num w:numId="6" w16cid:durableId="62218706">
    <w:abstractNumId w:val="44"/>
  </w:num>
  <w:num w:numId="7" w16cid:durableId="210698583">
    <w:abstractNumId w:val="38"/>
  </w:num>
  <w:num w:numId="8" w16cid:durableId="1990748761">
    <w:abstractNumId w:val="60"/>
  </w:num>
  <w:num w:numId="9" w16cid:durableId="702559691">
    <w:abstractNumId w:val="77"/>
  </w:num>
  <w:num w:numId="10" w16cid:durableId="1863324850">
    <w:abstractNumId w:val="108"/>
  </w:num>
  <w:num w:numId="11" w16cid:durableId="2095659229">
    <w:abstractNumId w:val="40"/>
  </w:num>
  <w:num w:numId="12" w16cid:durableId="2121796671">
    <w:abstractNumId w:val="131"/>
  </w:num>
  <w:num w:numId="13" w16cid:durableId="191043974">
    <w:abstractNumId w:val="42"/>
  </w:num>
  <w:num w:numId="14" w16cid:durableId="491413743">
    <w:abstractNumId w:val="59"/>
  </w:num>
  <w:num w:numId="15" w16cid:durableId="201527692">
    <w:abstractNumId w:val="117"/>
  </w:num>
  <w:num w:numId="16" w16cid:durableId="67971137">
    <w:abstractNumId w:val="107"/>
  </w:num>
  <w:num w:numId="17" w16cid:durableId="391126198">
    <w:abstractNumId w:val="88"/>
  </w:num>
  <w:num w:numId="18" w16cid:durableId="161162762">
    <w:abstractNumId w:val="157"/>
  </w:num>
  <w:num w:numId="19" w16cid:durableId="1656449941">
    <w:abstractNumId w:val="168"/>
  </w:num>
  <w:num w:numId="20" w16cid:durableId="1428959805">
    <w:abstractNumId w:val="0"/>
  </w:num>
  <w:num w:numId="21" w16cid:durableId="798374143">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74264928">
    <w:abstractNumId w:val="110"/>
  </w:num>
  <w:num w:numId="23" w16cid:durableId="1736665403">
    <w:abstractNumId w:val="55"/>
  </w:num>
  <w:num w:numId="24" w16cid:durableId="766391591">
    <w:abstractNumId w:val="85"/>
  </w:num>
  <w:num w:numId="25" w16cid:durableId="1797943644">
    <w:abstractNumId w:val="151"/>
  </w:num>
  <w:num w:numId="26" w16cid:durableId="1830948856">
    <w:abstractNumId w:val="187"/>
  </w:num>
  <w:num w:numId="27" w16cid:durableId="1837113217">
    <w:abstractNumId w:val="144"/>
  </w:num>
  <w:num w:numId="28" w16cid:durableId="1727025407">
    <w:abstractNumId w:val="56"/>
  </w:num>
  <w:num w:numId="29" w16cid:durableId="821846876">
    <w:abstractNumId w:val="54"/>
  </w:num>
  <w:num w:numId="30" w16cid:durableId="1354065516">
    <w:abstractNumId w:val="43"/>
  </w:num>
  <w:num w:numId="31" w16cid:durableId="2023241956">
    <w:abstractNumId w:val="111"/>
  </w:num>
  <w:num w:numId="32" w16cid:durableId="1135831143">
    <w:abstractNumId w:val="109"/>
  </w:num>
  <w:num w:numId="33" w16cid:durableId="1040398627">
    <w:abstractNumId w:val="146"/>
  </w:num>
  <w:num w:numId="34" w16cid:durableId="1947880754">
    <w:abstractNumId w:val="195"/>
  </w:num>
  <w:num w:numId="35" w16cid:durableId="217396835">
    <w:abstractNumId w:val="51"/>
  </w:num>
  <w:num w:numId="36" w16cid:durableId="440806853">
    <w:abstractNumId w:val="90"/>
  </w:num>
  <w:num w:numId="37" w16cid:durableId="1679963027">
    <w:abstractNumId w:val="17"/>
  </w:num>
  <w:num w:numId="38" w16cid:durableId="1254899191">
    <w:abstractNumId w:val="46"/>
  </w:num>
  <w:num w:numId="39" w16cid:durableId="1919438704">
    <w:abstractNumId w:val="149"/>
  </w:num>
  <w:num w:numId="40" w16cid:durableId="1032223005">
    <w:abstractNumId w:val="70"/>
  </w:num>
  <w:num w:numId="41" w16cid:durableId="613749982">
    <w:abstractNumId w:val="136"/>
  </w:num>
  <w:num w:numId="42" w16cid:durableId="2082218697">
    <w:abstractNumId w:val="14"/>
  </w:num>
  <w:num w:numId="43" w16cid:durableId="200438474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76995337">
    <w:abstractNumId w:val="162"/>
  </w:num>
  <w:num w:numId="45" w16cid:durableId="736319589">
    <w:abstractNumId w:val="150"/>
  </w:num>
  <w:num w:numId="46" w16cid:durableId="19164393">
    <w:abstractNumId w:val="93"/>
  </w:num>
  <w:num w:numId="47" w16cid:durableId="1654411883">
    <w:abstractNumId w:val="130"/>
  </w:num>
  <w:num w:numId="48" w16cid:durableId="820773623">
    <w:abstractNumId w:val="101"/>
  </w:num>
  <w:num w:numId="49" w16cid:durableId="280723056">
    <w:abstractNumId w:val="141"/>
  </w:num>
  <w:num w:numId="50" w16cid:durableId="1298757995">
    <w:abstractNumId w:val="87"/>
  </w:num>
  <w:num w:numId="51" w16cid:durableId="1853182672">
    <w:abstractNumId w:val="79"/>
  </w:num>
  <w:num w:numId="52" w16cid:durableId="1581598820">
    <w:abstractNumId w:val="13"/>
  </w:num>
  <w:num w:numId="53" w16cid:durableId="1984502578">
    <w:abstractNumId w:val="7"/>
  </w:num>
  <w:num w:numId="54" w16cid:durableId="1882744073">
    <w:abstractNumId w:val="96"/>
  </w:num>
  <w:num w:numId="55" w16cid:durableId="1092239747">
    <w:abstractNumId w:val="52"/>
  </w:num>
  <w:num w:numId="56" w16cid:durableId="549657941">
    <w:abstractNumId w:val="167"/>
  </w:num>
  <w:num w:numId="57" w16cid:durableId="2054379754">
    <w:abstractNumId w:val="165"/>
  </w:num>
  <w:num w:numId="58" w16cid:durableId="1241478120">
    <w:abstractNumId w:val="67"/>
  </w:num>
  <w:num w:numId="59" w16cid:durableId="549071877">
    <w:abstractNumId w:val="28"/>
  </w:num>
  <w:num w:numId="60" w16cid:durableId="1527208234">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82289967">
    <w:abstractNumId w:val="92"/>
  </w:num>
  <w:num w:numId="62" w16cid:durableId="1208759659">
    <w:abstractNumId w:val="112"/>
  </w:num>
  <w:num w:numId="63" w16cid:durableId="159270231">
    <w:abstractNumId w:val="73"/>
  </w:num>
  <w:num w:numId="64" w16cid:durableId="1118570503">
    <w:abstractNumId w:val="142"/>
  </w:num>
  <w:num w:numId="65" w16cid:durableId="722876429">
    <w:abstractNumId w:val="21"/>
  </w:num>
  <w:num w:numId="66" w16cid:durableId="1359575487">
    <w:abstractNumId w:val="189"/>
  </w:num>
  <w:num w:numId="67" w16cid:durableId="882718812">
    <w:abstractNumId w:val="99"/>
  </w:num>
  <w:num w:numId="68" w16cid:durableId="206915090">
    <w:abstractNumId w:val="197"/>
  </w:num>
  <w:num w:numId="69" w16cid:durableId="810484768">
    <w:abstractNumId w:val="138"/>
  </w:num>
  <w:num w:numId="70" w16cid:durableId="195627985">
    <w:abstractNumId w:val="148"/>
  </w:num>
  <w:num w:numId="71" w16cid:durableId="519785384">
    <w:abstractNumId w:val="133"/>
  </w:num>
  <w:num w:numId="72" w16cid:durableId="2022657000">
    <w:abstractNumId w:val="155"/>
  </w:num>
  <w:num w:numId="73" w16cid:durableId="726612361">
    <w:abstractNumId w:val="66"/>
  </w:num>
  <w:num w:numId="74" w16cid:durableId="1461655500">
    <w:abstractNumId w:val="154"/>
  </w:num>
  <w:num w:numId="75" w16cid:durableId="1139305846">
    <w:abstractNumId w:val="76"/>
  </w:num>
  <w:num w:numId="76" w16cid:durableId="1965845639">
    <w:abstractNumId w:val="172"/>
  </w:num>
  <w:num w:numId="77" w16cid:durableId="331760420">
    <w:abstractNumId w:val="83"/>
  </w:num>
  <w:num w:numId="78" w16cid:durableId="1427843442">
    <w:abstractNumId w:val="115"/>
  </w:num>
  <w:num w:numId="79" w16cid:durableId="1731885268">
    <w:abstractNumId w:val="153"/>
  </w:num>
  <w:num w:numId="80" w16cid:durableId="1049451019">
    <w:abstractNumId w:val="164"/>
  </w:num>
  <w:num w:numId="81" w16cid:durableId="2104496579">
    <w:abstractNumId w:val="135"/>
  </w:num>
  <w:num w:numId="82" w16cid:durableId="1165128483">
    <w:abstractNumId w:val="45"/>
  </w:num>
  <w:num w:numId="83" w16cid:durableId="1355418205">
    <w:abstractNumId w:val="129"/>
  </w:num>
  <w:num w:numId="84" w16cid:durableId="357051836">
    <w:abstractNumId w:val="63"/>
  </w:num>
  <w:num w:numId="85" w16cid:durableId="894318608">
    <w:abstractNumId w:val="147"/>
  </w:num>
  <w:num w:numId="86" w16cid:durableId="1582257499">
    <w:abstractNumId w:val="123"/>
  </w:num>
  <w:num w:numId="87" w16cid:durableId="1021708873">
    <w:abstractNumId w:val="114"/>
  </w:num>
  <w:num w:numId="88" w16cid:durableId="572471009">
    <w:abstractNumId w:val="106"/>
  </w:num>
  <w:num w:numId="89" w16cid:durableId="240800303">
    <w:abstractNumId w:val="31"/>
  </w:num>
  <w:num w:numId="90" w16cid:durableId="1784762233">
    <w:abstractNumId w:val="89"/>
  </w:num>
  <w:num w:numId="91" w16cid:durableId="1050955805">
    <w:abstractNumId w:val="137"/>
  </w:num>
  <w:num w:numId="92" w16cid:durableId="509369395">
    <w:abstractNumId w:val="95"/>
  </w:num>
  <w:num w:numId="93" w16cid:durableId="1944417369">
    <w:abstractNumId w:val="192"/>
  </w:num>
  <w:num w:numId="94" w16cid:durableId="669017257">
    <w:abstractNumId w:val="181"/>
  </w:num>
  <w:num w:numId="95" w16cid:durableId="215971211">
    <w:abstractNumId w:val="15"/>
  </w:num>
  <w:num w:numId="96" w16cid:durableId="488984539">
    <w:abstractNumId w:val="182"/>
  </w:num>
  <w:num w:numId="97" w16cid:durableId="612708995">
    <w:abstractNumId w:val="190"/>
  </w:num>
  <w:num w:numId="98" w16cid:durableId="725447037">
    <w:abstractNumId w:val="58"/>
  </w:num>
  <w:num w:numId="99" w16cid:durableId="176193211">
    <w:abstractNumId w:val="176"/>
  </w:num>
  <w:num w:numId="100" w16cid:durableId="313145269">
    <w:abstractNumId w:val="41"/>
  </w:num>
  <w:num w:numId="101" w16cid:durableId="2131362528">
    <w:abstractNumId w:val="166"/>
  </w:num>
  <w:num w:numId="102" w16cid:durableId="652950998">
    <w:abstractNumId w:val="196"/>
  </w:num>
  <w:num w:numId="103" w16cid:durableId="1764452134">
    <w:abstractNumId w:val="177"/>
  </w:num>
  <w:num w:numId="104" w16cid:durableId="1252204523">
    <w:abstractNumId w:val="180"/>
  </w:num>
  <w:num w:numId="105" w16cid:durableId="397749364">
    <w:abstractNumId w:val="186"/>
  </w:num>
  <w:num w:numId="106" w16cid:durableId="1128472530">
    <w:abstractNumId w:val="193"/>
  </w:num>
  <w:num w:numId="107" w16cid:durableId="703595852">
    <w:abstractNumId w:val="104"/>
  </w:num>
  <w:num w:numId="108" w16cid:durableId="610363364">
    <w:abstractNumId w:val="39"/>
  </w:num>
  <w:num w:numId="109" w16cid:durableId="619652762">
    <w:abstractNumId w:val="139"/>
  </w:num>
  <w:num w:numId="110" w16cid:durableId="584189485">
    <w:abstractNumId w:val="30"/>
  </w:num>
  <w:num w:numId="111" w16cid:durableId="1040016879">
    <w:abstractNumId w:val="183"/>
  </w:num>
  <w:num w:numId="112" w16cid:durableId="1908956416">
    <w:abstractNumId w:val="53"/>
  </w:num>
  <w:num w:numId="113" w16cid:durableId="146944526">
    <w:abstractNumId w:val="64"/>
  </w:num>
  <w:num w:numId="114" w16cid:durableId="669404436">
    <w:abstractNumId w:val="140"/>
  </w:num>
  <w:num w:numId="115" w16cid:durableId="7870310">
    <w:abstractNumId w:val="23"/>
  </w:num>
  <w:num w:numId="116" w16cid:durableId="1017342655">
    <w:abstractNumId w:val="27"/>
  </w:num>
  <w:num w:numId="117" w16cid:durableId="1129515146">
    <w:abstractNumId w:val="102"/>
  </w:num>
  <w:num w:numId="118" w16cid:durableId="1923489089">
    <w:abstractNumId w:val="9"/>
  </w:num>
  <w:num w:numId="119" w16cid:durableId="1618684456">
    <w:abstractNumId w:val="145"/>
  </w:num>
  <w:num w:numId="120" w16cid:durableId="1227063210">
    <w:abstractNumId w:val="160"/>
  </w:num>
  <w:num w:numId="121" w16cid:durableId="1976912559">
    <w:abstractNumId w:val="16"/>
  </w:num>
  <w:num w:numId="122" w16cid:durableId="498734732">
    <w:abstractNumId w:val="71"/>
  </w:num>
  <w:num w:numId="123" w16cid:durableId="1742172662">
    <w:abstractNumId w:val="161"/>
  </w:num>
  <w:num w:numId="124" w16cid:durableId="1153641093">
    <w:abstractNumId w:val="24"/>
  </w:num>
  <w:num w:numId="125" w16cid:durableId="905532657">
    <w:abstractNumId w:val="103"/>
  </w:num>
  <w:num w:numId="126" w16cid:durableId="582300960">
    <w:abstractNumId w:val="188"/>
  </w:num>
  <w:num w:numId="127" w16cid:durableId="1177184740">
    <w:abstractNumId w:val="122"/>
  </w:num>
  <w:num w:numId="128" w16cid:durableId="1678849541">
    <w:abstractNumId w:val="34"/>
  </w:num>
  <w:num w:numId="129" w16cid:durableId="1435397705">
    <w:abstractNumId w:val="2"/>
  </w:num>
  <w:num w:numId="130" w16cid:durableId="103618812">
    <w:abstractNumId w:val="132"/>
  </w:num>
  <w:num w:numId="131" w16cid:durableId="1788112601">
    <w:abstractNumId w:val="128"/>
  </w:num>
  <w:num w:numId="132" w16cid:durableId="1820950495">
    <w:abstractNumId w:val="200"/>
  </w:num>
  <w:num w:numId="133" w16cid:durableId="1780376041">
    <w:abstractNumId w:val="124"/>
  </w:num>
  <w:num w:numId="134" w16cid:durableId="1397779865">
    <w:abstractNumId w:val="1"/>
  </w:num>
  <w:num w:numId="135" w16cid:durableId="1921210768">
    <w:abstractNumId w:val="158"/>
  </w:num>
  <w:num w:numId="136" w16cid:durableId="637877615">
    <w:abstractNumId w:val="84"/>
  </w:num>
  <w:num w:numId="137" w16cid:durableId="2132899407">
    <w:abstractNumId w:val="65"/>
  </w:num>
  <w:num w:numId="138" w16cid:durableId="1612932575">
    <w:abstractNumId w:val="35"/>
  </w:num>
  <w:num w:numId="139" w16cid:durableId="1031419704">
    <w:abstractNumId w:val="202"/>
  </w:num>
  <w:num w:numId="140" w16cid:durableId="819931476">
    <w:abstractNumId w:val="191"/>
  </w:num>
  <w:num w:numId="141" w16cid:durableId="1834181044">
    <w:abstractNumId w:val="173"/>
  </w:num>
  <w:num w:numId="142" w16cid:durableId="2013141973">
    <w:abstractNumId w:val="126"/>
  </w:num>
  <w:num w:numId="143" w16cid:durableId="1829053386">
    <w:abstractNumId w:val="194"/>
  </w:num>
  <w:num w:numId="144" w16cid:durableId="1548954499">
    <w:abstractNumId w:val="125"/>
    <w:lvlOverride w:ilvl="0">
      <w:startOverride w:val="3"/>
    </w:lvlOverride>
  </w:num>
  <w:num w:numId="145" w16cid:durableId="837112860">
    <w:abstractNumId w:val="120"/>
  </w:num>
  <w:num w:numId="146" w16cid:durableId="1025323015">
    <w:abstractNumId w:val="3"/>
  </w:num>
  <w:num w:numId="147" w16cid:durableId="261182122">
    <w:abstractNumId w:val="50"/>
  </w:num>
  <w:num w:numId="148" w16cid:durableId="1306662557">
    <w:abstractNumId w:val="5"/>
  </w:num>
  <w:num w:numId="149" w16cid:durableId="527834438">
    <w:abstractNumId w:val="201"/>
  </w:num>
  <w:num w:numId="150" w16cid:durableId="51655580">
    <w:abstractNumId w:val="170"/>
  </w:num>
  <w:num w:numId="151" w16cid:durableId="1936355107">
    <w:abstractNumId w:val="169"/>
  </w:num>
  <w:num w:numId="152" w16cid:durableId="1585648947">
    <w:abstractNumId w:val="37"/>
  </w:num>
  <w:num w:numId="153" w16cid:durableId="910382995">
    <w:abstractNumId w:val="105"/>
  </w:num>
  <w:num w:numId="154" w16cid:durableId="1201212860">
    <w:abstractNumId w:val="49"/>
  </w:num>
  <w:num w:numId="155" w16cid:durableId="1456870411">
    <w:abstractNumId w:val="94"/>
  </w:num>
  <w:num w:numId="156" w16cid:durableId="1062211363">
    <w:abstractNumId w:val="100"/>
  </w:num>
  <w:num w:numId="157" w16cid:durableId="918639826">
    <w:abstractNumId w:val="178"/>
  </w:num>
  <w:num w:numId="158" w16cid:durableId="904996551">
    <w:abstractNumId w:val="4"/>
  </w:num>
  <w:num w:numId="159" w16cid:durableId="843520445">
    <w:abstractNumId w:val="113"/>
  </w:num>
  <w:num w:numId="160" w16cid:durableId="364911165">
    <w:abstractNumId w:val="156"/>
  </w:num>
  <w:num w:numId="161" w16cid:durableId="1713379553">
    <w:abstractNumId w:val="119"/>
  </w:num>
  <w:num w:numId="162" w16cid:durableId="1782410827">
    <w:abstractNumId w:val="69"/>
  </w:num>
  <w:num w:numId="163" w16cid:durableId="1098016241">
    <w:abstractNumId w:val="98"/>
  </w:num>
  <w:num w:numId="164" w16cid:durableId="424114222">
    <w:abstractNumId w:val="82"/>
  </w:num>
  <w:num w:numId="165" w16cid:durableId="1772164168">
    <w:abstractNumId w:val="75"/>
  </w:num>
  <w:num w:numId="166" w16cid:durableId="738750978">
    <w:abstractNumId w:val="33"/>
  </w:num>
  <w:num w:numId="167" w16cid:durableId="1927419795">
    <w:abstractNumId w:val="152"/>
  </w:num>
  <w:num w:numId="168" w16cid:durableId="1063332197">
    <w:abstractNumId w:val="47"/>
  </w:num>
  <w:num w:numId="169" w16cid:durableId="703599537">
    <w:abstractNumId w:val="57"/>
  </w:num>
  <w:num w:numId="170" w16cid:durableId="14115412">
    <w:abstractNumId w:val="12"/>
  </w:num>
  <w:num w:numId="171" w16cid:durableId="212891510">
    <w:abstractNumId w:val="62"/>
  </w:num>
  <w:num w:numId="172" w16cid:durableId="899168527">
    <w:abstractNumId w:val="11"/>
  </w:num>
  <w:num w:numId="173" w16cid:durableId="1570842445">
    <w:abstractNumId w:val="25"/>
  </w:num>
  <w:num w:numId="174" w16cid:durableId="481503828">
    <w:abstractNumId w:val="179"/>
  </w:num>
  <w:num w:numId="175" w16cid:durableId="403796089">
    <w:abstractNumId w:val="127"/>
  </w:num>
  <w:num w:numId="176" w16cid:durableId="329985725">
    <w:abstractNumId w:val="72"/>
  </w:num>
  <w:num w:numId="177" w16cid:durableId="1870801879">
    <w:abstractNumId w:val="198"/>
  </w:num>
  <w:num w:numId="178" w16cid:durableId="824128855">
    <w:abstractNumId w:val="174"/>
  </w:num>
  <w:num w:numId="179" w16cid:durableId="1023937746">
    <w:abstractNumId w:val="78"/>
  </w:num>
  <w:num w:numId="180" w16cid:durableId="675571481">
    <w:abstractNumId w:val="32"/>
  </w:num>
  <w:num w:numId="181" w16cid:durableId="659626064">
    <w:abstractNumId w:val="61"/>
  </w:num>
  <w:num w:numId="182" w16cid:durableId="1064596411">
    <w:abstractNumId w:val="184"/>
  </w:num>
  <w:num w:numId="183" w16cid:durableId="536890942">
    <w:abstractNumId w:val="118"/>
  </w:num>
  <w:num w:numId="184" w16cid:durableId="110830064">
    <w:abstractNumId w:val="26"/>
  </w:num>
  <w:num w:numId="185" w16cid:durableId="1003319899">
    <w:abstractNumId w:val="29"/>
  </w:num>
  <w:num w:numId="186" w16cid:durableId="1959532307">
    <w:abstractNumId w:val="22"/>
  </w:num>
  <w:num w:numId="187" w16cid:durableId="425736850">
    <w:abstractNumId w:val="143"/>
  </w:num>
  <w:num w:numId="188" w16cid:durableId="713427919">
    <w:abstractNumId w:val="163"/>
  </w:num>
  <w:num w:numId="189" w16cid:durableId="1437601022">
    <w:abstractNumId w:val="36"/>
  </w:num>
  <w:num w:numId="190" w16cid:durableId="496386031">
    <w:abstractNumId w:val="199"/>
  </w:num>
  <w:num w:numId="191" w16cid:durableId="1973439937">
    <w:abstractNumId w:val="116"/>
  </w:num>
  <w:num w:numId="192" w16cid:durableId="2168743">
    <w:abstractNumId w:val="6"/>
  </w:num>
  <w:num w:numId="193" w16cid:durableId="603804359">
    <w:abstractNumId w:val="134"/>
  </w:num>
  <w:num w:numId="194" w16cid:durableId="381826802">
    <w:abstractNumId w:val="97"/>
  </w:num>
  <w:num w:numId="195" w16cid:durableId="1431512696">
    <w:abstractNumId w:val="10"/>
  </w:num>
  <w:num w:numId="196" w16cid:durableId="344523857">
    <w:abstractNumId w:val="20"/>
  </w:num>
  <w:num w:numId="197" w16cid:durableId="2021883814">
    <w:abstractNumId w:val="175"/>
  </w:num>
  <w:num w:numId="198" w16cid:durableId="1098061308">
    <w:abstractNumId w:val="80"/>
  </w:num>
  <w:num w:numId="199" w16cid:durableId="263928288">
    <w:abstractNumId w:val="91"/>
  </w:num>
  <w:num w:numId="200" w16cid:durableId="1063256426">
    <w:abstractNumId w:val="8"/>
  </w:num>
  <w:num w:numId="201" w16cid:durableId="207182965">
    <w:abstractNumId w:val="68"/>
  </w:num>
  <w:num w:numId="202" w16cid:durableId="1014385035">
    <w:abstractNumId w:val="19"/>
  </w:num>
  <w:num w:numId="203" w16cid:durableId="1477914843">
    <w:abstractNumId w:val="185"/>
  </w:num>
  <w:num w:numId="204" w16cid:durableId="1703282625">
    <w:abstractNumId w:val="48"/>
  </w:num>
  <w:num w:numId="205" w16cid:durableId="1629434180">
    <w:abstractNumId w:val="171"/>
  </w:num>
  <w:num w:numId="206" w16cid:durableId="584219318">
    <w:abstractNumId w:val="74"/>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removePersonalInformation/>
  <w:removeDateAndTime/>
  <w:activeWritingStyle w:appName="MSWord" w:lang="es-ES" w:vendorID="64" w:dllVersion="6" w:nlCheck="1" w:checkStyle="0"/>
  <w:activeWritingStyle w:appName="MSWord" w:lang="en-US" w:vendorID="64" w:dllVersion="6" w:nlCheck="1" w:checkStyle="0"/>
  <w:activeWritingStyle w:appName="MSWord" w:lang="en-GB" w:vendorID="64" w:dllVersion="6" w:nlCheck="1" w:checkStyle="0"/>
  <w:activeWritingStyle w:appName="MSWord" w:lang="fr-BE" w:vendorID="64" w:dllVersion="6" w:nlCheck="1" w:checkStyle="0"/>
  <w:activeWritingStyle w:appName="MSWord" w:lang="fr-FR" w:vendorID="64" w:dllVersion="6" w:nlCheck="1" w:checkStyle="0"/>
  <w:activeWritingStyle w:appName="MSWord" w:lang="en-AU"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fr-BE"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AU" w:vendorID="64" w:dllVersion="4096" w:nlCheck="1" w:checkStyle="0"/>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fr-BE" w:vendorID="64" w:dllVersion="0" w:nlCheck="1" w:checkStyle="0"/>
  <w:activeWritingStyle w:appName="MSWord" w:lang="fr-FR"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numRestart w:val="eachSect"/>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AAA"/>
    <w:rsid w:val="00002FF0"/>
    <w:rsid w:val="00006560"/>
    <w:rsid w:val="00012998"/>
    <w:rsid w:val="00015F3F"/>
    <w:rsid w:val="0002274E"/>
    <w:rsid w:val="00026AF3"/>
    <w:rsid w:val="00027431"/>
    <w:rsid w:val="00031812"/>
    <w:rsid w:val="000328C1"/>
    <w:rsid w:val="000350FA"/>
    <w:rsid w:val="0004143C"/>
    <w:rsid w:val="00042C8C"/>
    <w:rsid w:val="00050300"/>
    <w:rsid w:val="00052FD9"/>
    <w:rsid w:val="000544C4"/>
    <w:rsid w:val="00055D8C"/>
    <w:rsid w:val="00060F24"/>
    <w:rsid w:val="000627BA"/>
    <w:rsid w:val="00064DBE"/>
    <w:rsid w:val="00067A91"/>
    <w:rsid w:val="0007064F"/>
    <w:rsid w:val="000764B3"/>
    <w:rsid w:val="00080D99"/>
    <w:rsid w:val="00082286"/>
    <w:rsid w:val="00083139"/>
    <w:rsid w:val="00085576"/>
    <w:rsid w:val="000867DF"/>
    <w:rsid w:val="00090514"/>
    <w:rsid w:val="00096B07"/>
    <w:rsid w:val="000976CE"/>
    <w:rsid w:val="000A4969"/>
    <w:rsid w:val="000A7487"/>
    <w:rsid w:val="000B07EC"/>
    <w:rsid w:val="000B5E66"/>
    <w:rsid w:val="000C30BD"/>
    <w:rsid w:val="000C73D4"/>
    <w:rsid w:val="000C766F"/>
    <w:rsid w:val="000D0336"/>
    <w:rsid w:val="000D0DF2"/>
    <w:rsid w:val="000D3312"/>
    <w:rsid w:val="000E2832"/>
    <w:rsid w:val="000E28BA"/>
    <w:rsid w:val="000E39E8"/>
    <w:rsid w:val="000E6A10"/>
    <w:rsid w:val="000F4109"/>
    <w:rsid w:val="000F5FAF"/>
    <w:rsid w:val="00100729"/>
    <w:rsid w:val="00102DAE"/>
    <w:rsid w:val="001136D3"/>
    <w:rsid w:val="00114D7C"/>
    <w:rsid w:val="00116D40"/>
    <w:rsid w:val="00116FBD"/>
    <w:rsid w:val="0012014E"/>
    <w:rsid w:val="00123173"/>
    <w:rsid w:val="00131E9A"/>
    <w:rsid w:val="001360E3"/>
    <w:rsid w:val="001446FD"/>
    <w:rsid w:val="00146A3E"/>
    <w:rsid w:val="00150BCF"/>
    <w:rsid w:val="0015531F"/>
    <w:rsid w:val="001578B8"/>
    <w:rsid w:val="00157AAA"/>
    <w:rsid w:val="00161D96"/>
    <w:rsid w:val="0016362B"/>
    <w:rsid w:val="001670C9"/>
    <w:rsid w:val="00170DBA"/>
    <w:rsid w:val="0017431F"/>
    <w:rsid w:val="00180BEA"/>
    <w:rsid w:val="0019013C"/>
    <w:rsid w:val="00192EF8"/>
    <w:rsid w:val="001946E4"/>
    <w:rsid w:val="00194EE0"/>
    <w:rsid w:val="001A058E"/>
    <w:rsid w:val="001A145B"/>
    <w:rsid w:val="001A5B2A"/>
    <w:rsid w:val="001A63DC"/>
    <w:rsid w:val="001B187C"/>
    <w:rsid w:val="001B54B8"/>
    <w:rsid w:val="001B7EA1"/>
    <w:rsid w:val="001C7889"/>
    <w:rsid w:val="001D19BC"/>
    <w:rsid w:val="001D7384"/>
    <w:rsid w:val="001E1A28"/>
    <w:rsid w:val="001E2B5E"/>
    <w:rsid w:val="001F1452"/>
    <w:rsid w:val="001F1555"/>
    <w:rsid w:val="001F26DD"/>
    <w:rsid w:val="001F3E21"/>
    <w:rsid w:val="0020580B"/>
    <w:rsid w:val="00206014"/>
    <w:rsid w:val="00206B1E"/>
    <w:rsid w:val="00213A4C"/>
    <w:rsid w:val="00225C87"/>
    <w:rsid w:val="00230EB9"/>
    <w:rsid w:val="00241BDE"/>
    <w:rsid w:val="00241D28"/>
    <w:rsid w:val="002441AE"/>
    <w:rsid w:val="00246849"/>
    <w:rsid w:val="00247E28"/>
    <w:rsid w:val="00250995"/>
    <w:rsid w:val="00252684"/>
    <w:rsid w:val="00255129"/>
    <w:rsid w:val="0026442C"/>
    <w:rsid w:val="00265943"/>
    <w:rsid w:val="002660C7"/>
    <w:rsid w:val="0026767E"/>
    <w:rsid w:val="00270D55"/>
    <w:rsid w:val="00272064"/>
    <w:rsid w:val="00274BD2"/>
    <w:rsid w:val="00280B0C"/>
    <w:rsid w:val="00280B60"/>
    <w:rsid w:val="00281CFE"/>
    <w:rsid w:val="00284CEE"/>
    <w:rsid w:val="00285B1B"/>
    <w:rsid w:val="0029346A"/>
    <w:rsid w:val="002938C7"/>
    <w:rsid w:val="00295A81"/>
    <w:rsid w:val="00297A7D"/>
    <w:rsid w:val="002A3BDD"/>
    <w:rsid w:val="002A4EC5"/>
    <w:rsid w:val="002A75A4"/>
    <w:rsid w:val="002B20CA"/>
    <w:rsid w:val="002B4C31"/>
    <w:rsid w:val="002B5E03"/>
    <w:rsid w:val="002B6737"/>
    <w:rsid w:val="002C0633"/>
    <w:rsid w:val="002C0A7C"/>
    <w:rsid w:val="002C45B7"/>
    <w:rsid w:val="002C6582"/>
    <w:rsid w:val="002C7AE0"/>
    <w:rsid w:val="002D0A8D"/>
    <w:rsid w:val="002D2765"/>
    <w:rsid w:val="002D4583"/>
    <w:rsid w:val="002E13A0"/>
    <w:rsid w:val="002E2466"/>
    <w:rsid w:val="002E35EA"/>
    <w:rsid w:val="002E6F81"/>
    <w:rsid w:val="002E7DAD"/>
    <w:rsid w:val="002F095B"/>
    <w:rsid w:val="002F0A00"/>
    <w:rsid w:val="002F1F13"/>
    <w:rsid w:val="002F7ADD"/>
    <w:rsid w:val="002F7C2D"/>
    <w:rsid w:val="00300586"/>
    <w:rsid w:val="003033DF"/>
    <w:rsid w:val="0030767E"/>
    <w:rsid w:val="00311073"/>
    <w:rsid w:val="00311230"/>
    <w:rsid w:val="003124AF"/>
    <w:rsid w:val="0031375E"/>
    <w:rsid w:val="00322E09"/>
    <w:rsid w:val="00323C85"/>
    <w:rsid w:val="00324322"/>
    <w:rsid w:val="00325701"/>
    <w:rsid w:val="00330F51"/>
    <w:rsid w:val="0033168A"/>
    <w:rsid w:val="00334786"/>
    <w:rsid w:val="0033667A"/>
    <w:rsid w:val="00341B6D"/>
    <w:rsid w:val="00343891"/>
    <w:rsid w:val="00346EF3"/>
    <w:rsid w:val="00351832"/>
    <w:rsid w:val="00352B5B"/>
    <w:rsid w:val="00353A19"/>
    <w:rsid w:val="003572C8"/>
    <w:rsid w:val="003610C1"/>
    <w:rsid w:val="0036323C"/>
    <w:rsid w:val="00366663"/>
    <w:rsid w:val="00370297"/>
    <w:rsid w:val="0037533A"/>
    <w:rsid w:val="00380B20"/>
    <w:rsid w:val="0038228A"/>
    <w:rsid w:val="003830AA"/>
    <w:rsid w:val="00383183"/>
    <w:rsid w:val="00384DE3"/>
    <w:rsid w:val="00387C7F"/>
    <w:rsid w:val="00391A0B"/>
    <w:rsid w:val="003921AD"/>
    <w:rsid w:val="00394B0B"/>
    <w:rsid w:val="003A0C31"/>
    <w:rsid w:val="003A0ECF"/>
    <w:rsid w:val="003A0F42"/>
    <w:rsid w:val="003A192D"/>
    <w:rsid w:val="003A24E6"/>
    <w:rsid w:val="003A36FE"/>
    <w:rsid w:val="003A4F52"/>
    <w:rsid w:val="003A79EB"/>
    <w:rsid w:val="003A7B72"/>
    <w:rsid w:val="003B77A5"/>
    <w:rsid w:val="003C1B96"/>
    <w:rsid w:val="003C21C1"/>
    <w:rsid w:val="003C2E54"/>
    <w:rsid w:val="003C76E5"/>
    <w:rsid w:val="003D47CD"/>
    <w:rsid w:val="003D47D2"/>
    <w:rsid w:val="003D656A"/>
    <w:rsid w:val="003D7FA4"/>
    <w:rsid w:val="003E212D"/>
    <w:rsid w:val="003E27B9"/>
    <w:rsid w:val="003E2B24"/>
    <w:rsid w:val="003E36C8"/>
    <w:rsid w:val="003E6B01"/>
    <w:rsid w:val="003F11D6"/>
    <w:rsid w:val="003F170D"/>
    <w:rsid w:val="003F3379"/>
    <w:rsid w:val="003F33BB"/>
    <w:rsid w:val="003F36E5"/>
    <w:rsid w:val="00400E0B"/>
    <w:rsid w:val="00402138"/>
    <w:rsid w:val="004034D7"/>
    <w:rsid w:val="004059B2"/>
    <w:rsid w:val="00412E4C"/>
    <w:rsid w:val="00416750"/>
    <w:rsid w:val="004177D6"/>
    <w:rsid w:val="004230A6"/>
    <w:rsid w:val="004264AA"/>
    <w:rsid w:val="00426BF8"/>
    <w:rsid w:val="00430A22"/>
    <w:rsid w:val="0043464E"/>
    <w:rsid w:val="00434B69"/>
    <w:rsid w:val="004354FE"/>
    <w:rsid w:val="0044028F"/>
    <w:rsid w:val="00440F5C"/>
    <w:rsid w:val="0044221C"/>
    <w:rsid w:val="004466C6"/>
    <w:rsid w:val="004502C3"/>
    <w:rsid w:val="0045115A"/>
    <w:rsid w:val="00455124"/>
    <w:rsid w:val="00455F1C"/>
    <w:rsid w:val="00456DB1"/>
    <w:rsid w:val="00461DF0"/>
    <w:rsid w:val="0046691C"/>
    <w:rsid w:val="00466A2F"/>
    <w:rsid w:val="004677DF"/>
    <w:rsid w:val="00470084"/>
    <w:rsid w:val="004747C8"/>
    <w:rsid w:val="00475A4C"/>
    <w:rsid w:val="00484118"/>
    <w:rsid w:val="00485B84"/>
    <w:rsid w:val="00486279"/>
    <w:rsid w:val="00487CB7"/>
    <w:rsid w:val="00487F53"/>
    <w:rsid w:val="004901EA"/>
    <w:rsid w:val="00494D94"/>
    <w:rsid w:val="004A348F"/>
    <w:rsid w:val="004A6D9E"/>
    <w:rsid w:val="004B0734"/>
    <w:rsid w:val="004B0F81"/>
    <w:rsid w:val="004B1526"/>
    <w:rsid w:val="004B215F"/>
    <w:rsid w:val="004B38A1"/>
    <w:rsid w:val="004B5AC7"/>
    <w:rsid w:val="004B68B6"/>
    <w:rsid w:val="004C2368"/>
    <w:rsid w:val="004C3CE9"/>
    <w:rsid w:val="004C4B77"/>
    <w:rsid w:val="004C5F62"/>
    <w:rsid w:val="004C60B0"/>
    <w:rsid w:val="004C65E9"/>
    <w:rsid w:val="004C7918"/>
    <w:rsid w:val="004D1C4C"/>
    <w:rsid w:val="004D3183"/>
    <w:rsid w:val="004D4608"/>
    <w:rsid w:val="004D47E9"/>
    <w:rsid w:val="004D5CAE"/>
    <w:rsid w:val="004E169F"/>
    <w:rsid w:val="004E28DF"/>
    <w:rsid w:val="004E2D1C"/>
    <w:rsid w:val="004E2DD0"/>
    <w:rsid w:val="004E4A1F"/>
    <w:rsid w:val="004F02F6"/>
    <w:rsid w:val="004F0D43"/>
    <w:rsid w:val="004F14B2"/>
    <w:rsid w:val="004F4163"/>
    <w:rsid w:val="004F6271"/>
    <w:rsid w:val="004F6757"/>
    <w:rsid w:val="004F732F"/>
    <w:rsid w:val="00502DF6"/>
    <w:rsid w:val="00503F5C"/>
    <w:rsid w:val="00505869"/>
    <w:rsid w:val="00512166"/>
    <w:rsid w:val="00513AB5"/>
    <w:rsid w:val="005160B5"/>
    <w:rsid w:val="0052179F"/>
    <w:rsid w:val="00521D1F"/>
    <w:rsid w:val="00522D75"/>
    <w:rsid w:val="00523DD6"/>
    <w:rsid w:val="00531E54"/>
    <w:rsid w:val="005334D5"/>
    <w:rsid w:val="005342B3"/>
    <w:rsid w:val="00535D7D"/>
    <w:rsid w:val="00542D18"/>
    <w:rsid w:val="00542D9B"/>
    <w:rsid w:val="00543BF7"/>
    <w:rsid w:val="00545C84"/>
    <w:rsid w:val="00546A23"/>
    <w:rsid w:val="005511CD"/>
    <w:rsid w:val="00551377"/>
    <w:rsid w:val="00552DC2"/>
    <w:rsid w:val="005568FD"/>
    <w:rsid w:val="00557EE5"/>
    <w:rsid w:val="00557FF2"/>
    <w:rsid w:val="0056288D"/>
    <w:rsid w:val="00565907"/>
    <w:rsid w:val="00566CD1"/>
    <w:rsid w:val="00570149"/>
    <w:rsid w:val="00571281"/>
    <w:rsid w:val="00572CFF"/>
    <w:rsid w:val="0057360A"/>
    <w:rsid w:val="00574BD2"/>
    <w:rsid w:val="00582313"/>
    <w:rsid w:val="00583EEE"/>
    <w:rsid w:val="00586C29"/>
    <w:rsid w:val="00586D59"/>
    <w:rsid w:val="00590162"/>
    <w:rsid w:val="00591C45"/>
    <w:rsid w:val="00594247"/>
    <w:rsid w:val="0059453E"/>
    <w:rsid w:val="00594FFF"/>
    <w:rsid w:val="005A243C"/>
    <w:rsid w:val="005A2EEB"/>
    <w:rsid w:val="005A4BD8"/>
    <w:rsid w:val="005B1879"/>
    <w:rsid w:val="005B3D1D"/>
    <w:rsid w:val="005B471D"/>
    <w:rsid w:val="005B5210"/>
    <w:rsid w:val="005C4FE0"/>
    <w:rsid w:val="005C61A1"/>
    <w:rsid w:val="005D2AD5"/>
    <w:rsid w:val="005D3319"/>
    <w:rsid w:val="005E0FA9"/>
    <w:rsid w:val="005E201E"/>
    <w:rsid w:val="005E2C0A"/>
    <w:rsid w:val="005E2C45"/>
    <w:rsid w:val="005E531D"/>
    <w:rsid w:val="005E6A97"/>
    <w:rsid w:val="005F1821"/>
    <w:rsid w:val="005F3E1A"/>
    <w:rsid w:val="005F54B1"/>
    <w:rsid w:val="005F5E1E"/>
    <w:rsid w:val="006035AA"/>
    <w:rsid w:val="006050BA"/>
    <w:rsid w:val="00610516"/>
    <w:rsid w:val="00616CD7"/>
    <w:rsid w:val="006240D7"/>
    <w:rsid w:val="006251F1"/>
    <w:rsid w:val="00631878"/>
    <w:rsid w:val="006324E9"/>
    <w:rsid w:val="00633A13"/>
    <w:rsid w:val="006353C1"/>
    <w:rsid w:val="00635D87"/>
    <w:rsid w:val="00636EAD"/>
    <w:rsid w:val="00643AC9"/>
    <w:rsid w:val="00644DF4"/>
    <w:rsid w:val="0064687A"/>
    <w:rsid w:val="006473C3"/>
    <w:rsid w:val="006517A3"/>
    <w:rsid w:val="00660624"/>
    <w:rsid w:val="0066564E"/>
    <w:rsid w:val="00665883"/>
    <w:rsid w:val="00672509"/>
    <w:rsid w:val="00673928"/>
    <w:rsid w:val="0067562B"/>
    <w:rsid w:val="00676B60"/>
    <w:rsid w:val="00677BF9"/>
    <w:rsid w:val="0068016E"/>
    <w:rsid w:val="00680DFB"/>
    <w:rsid w:val="006839B8"/>
    <w:rsid w:val="00691327"/>
    <w:rsid w:val="006913B0"/>
    <w:rsid w:val="006938B4"/>
    <w:rsid w:val="00693A5E"/>
    <w:rsid w:val="006944F1"/>
    <w:rsid w:val="006A0345"/>
    <w:rsid w:val="006A65F3"/>
    <w:rsid w:val="006A67DF"/>
    <w:rsid w:val="006B01F1"/>
    <w:rsid w:val="006B1214"/>
    <w:rsid w:val="006B2070"/>
    <w:rsid w:val="006B513D"/>
    <w:rsid w:val="006C0EE6"/>
    <w:rsid w:val="006C1A1A"/>
    <w:rsid w:val="006C1BE5"/>
    <w:rsid w:val="006C3C4A"/>
    <w:rsid w:val="006D1216"/>
    <w:rsid w:val="006D21ED"/>
    <w:rsid w:val="006D262D"/>
    <w:rsid w:val="006D7CA2"/>
    <w:rsid w:val="006E0186"/>
    <w:rsid w:val="006E28B0"/>
    <w:rsid w:val="006E2B08"/>
    <w:rsid w:val="006E6F0B"/>
    <w:rsid w:val="006F0D36"/>
    <w:rsid w:val="006F3B17"/>
    <w:rsid w:val="006F4265"/>
    <w:rsid w:val="006F69ED"/>
    <w:rsid w:val="00704ADA"/>
    <w:rsid w:val="00712B5C"/>
    <w:rsid w:val="007143AE"/>
    <w:rsid w:val="00715040"/>
    <w:rsid w:val="00716E94"/>
    <w:rsid w:val="007173F6"/>
    <w:rsid w:val="00722A2F"/>
    <w:rsid w:val="00725CBD"/>
    <w:rsid w:val="00731CDC"/>
    <w:rsid w:val="00734667"/>
    <w:rsid w:val="00735002"/>
    <w:rsid w:val="00735A14"/>
    <w:rsid w:val="00735EBA"/>
    <w:rsid w:val="0073635C"/>
    <w:rsid w:val="0074162C"/>
    <w:rsid w:val="0074446C"/>
    <w:rsid w:val="007455DD"/>
    <w:rsid w:val="00745B1C"/>
    <w:rsid w:val="007464DD"/>
    <w:rsid w:val="00747594"/>
    <w:rsid w:val="007511A0"/>
    <w:rsid w:val="0075556C"/>
    <w:rsid w:val="00755F59"/>
    <w:rsid w:val="0076046E"/>
    <w:rsid w:val="00767AA7"/>
    <w:rsid w:val="00771711"/>
    <w:rsid w:val="00772EC5"/>
    <w:rsid w:val="007769C8"/>
    <w:rsid w:val="00784C65"/>
    <w:rsid w:val="00790556"/>
    <w:rsid w:val="00796B35"/>
    <w:rsid w:val="007972CC"/>
    <w:rsid w:val="007A03D2"/>
    <w:rsid w:val="007A0792"/>
    <w:rsid w:val="007A2569"/>
    <w:rsid w:val="007B142B"/>
    <w:rsid w:val="007B236C"/>
    <w:rsid w:val="007B35BA"/>
    <w:rsid w:val="007B5320"/>
    <w:rsid w:val="007B6606"/>
    <w:rsid w:val="007C0ACC"/>
    <w:rsid w:val="007C1A7A"/>
    <w:rsid w:val="007D05BC"/>
    <w:rsid w:val="007D28EE"/>
    <w:rsid w:val="007D41C4"/>
    <w:rsid w:val="007D6C5C"/>
    <w:rsid w:val="007D7654"/>
    <w:rsid w:val="007E189C"/>
    <w:rsid w:val="007E2307"/>
    <w:rsid w:val="007E2FD7"/>
    <w:rsid w:val="007E3260"/>
    <w:rsid w:val="007E3E91"/>
    <w:rsid w:val="007E59D4"/>
    <w:rsid w:val="007E6F11"/>
    <w:rsid w:val="007F01C2"/>
    <w:rsid w:val="007F426D"/>
    <w:rsid w:val="008010C7"/>
    <w:rsid w:val="00803170"/>
    <w:rsid w:val="008046DD"/>
    <w:rsid w:val="00805491"/>
    <w:rsid w:val="008078F7"/>
    <w:rsid w:val="00807E88"/>
    <w:rsid w:val="008130B6"/>
    <w:rsid w:val="00813828"/>
    <w:rsid w:val="00813C18"/>
    <w:rsid w:val="00813EB9"/>
    <w:rsid w:val="0081434F"/>
    <w:rsid w:val="00816AB5"/>
    <w:rsid w:val="008231AC"/>
    <w:rsid w:val="00827124"/>
    <w:rsid w:val="00827E1F"/>
    <w:rsid w:val="0083155F"/>
    <w:rsid w:val="00831574"/>
    <w:rsid w:val="00834D82"/>
    <w:rsid w:val="00835108"/>
    <w:rsid w:val="00835573"/>
    <w:rsid w:val="0083686B"/>
    <w:rsid w:val="00837A9C"/>
    <w:rsid w:val="00837C20"/>
    <w:rsid w:val="008418DA"/>
    <w:rsid w:val="008438BB"/>
    <w:rsid w:val="00843B91"/>
    <w:rsid w:val="00844A23"/>
    <w:rsid w:val="00845BF9"/>
    <w:rsid w:val="0084730D"/>
    <w:rsid w:val="00847CAF"/>
    <w:rsid w:val="00850829"/>
    <w:rsid w:val="008550FB"/>
    <w:rsid w:val="008611E7"/>
    <w:rsid w:val="00865E47"/>
    <w:rsid w:val="00867913"/>
    <w:rsid w:val="008739E0"/>
    <w:rsid w:val="00873A70"/>
    <w:rsid w:val="00883B07"/>
    <w:rsid w:val="00892B26"/>
    <w:rsid w:val="00896AA3"/>
    <w:rsid w:val="00897EDC"/>
    <w:rsid w:val="008A20F3"/>
    <w:rsid w:val="008A5195"/>
    <w:rsid w:val="008A584C"/>
    <w:rsid w:val="008A6F6A"/>
    <w:rsid w:val="008B0783"/>
    <w:rsid w:val="008B37FD"/>
    <w:rsid w:val="008B7013"/>
    <w:rsid w:val="008C5FE6"/>
    <w:rsid w:val="008D1911"/>
    <w:rsid w:val="008D6FA8"/>
    <w:rsid w:val="008D74BA"/>
    <w:rsid w:val="008E0058"/>
    <w:rsid w:val="008E02DF"/>
    <w:rsid w:val="008E12B8"/>
    <w:rsid w:val="008E2AAD"/>
    <w:rsid w:val="008E2C43"/>
    <w:rsid w:val="008E74FD"/>
    <w:rsid w:val="008E779D"/>
    <w:rsid w:val="008E7F57"/>
    <w:rsid w:val="008F1418"/>
    <w:rsid w:val="008F1FCE"/>
    <w:rsid w:val="008F4659"/>
    <w:rsid w:val="009009CF"/>
    <w:rsid w:val="00900C71"/>
    <w:rsid w:val="00904C46"/>
    <w:rsid w:val="009068DA"/>
    <w:rsid w:val="009105E7"/>
    <w:rsid w:val="00910999"/>
    <w:rsid w:val="00913616"/>
    <w:rsid w:val="009201E0"/>
    <w:rsid w:val="00923A24"/>
    <w:rsid w:val="00923DA4"/>
    <w:rsid w:val="00924293"/>
    <w:rsid w:val="00924660"/>
    <w:rsid w:val="00927747"/>
    <w:rsid w:val="00927FB2"/>
    <w:rsid w:val="00930D96"/>
    <w:rsid w:val="0093306E"/>
    <w:rsid w:val="00935775"/>
    <w:rsid w:val="00935FE3"/>
    <w:rsid w:val="00940430"/>
    <w:rsid w:val="009408C3"/>
    <w:rsid w:val="00941FC8"/>
    <w:rsid w:val="00942201"/>
    <w:rsid w:val="00947B25"/>
    <w:rsid w:val="00952869"/>
    <w:rsid w:val="00963D1E"/>
    <w:rsid w:val="00974931"/>
    <w:rsid w:val="009755FA"/>
    <w:rsid w:val="009757A7"/>
    <w:rsid w:val="009812A5"/>
    <w:rsid w:val="009843A6"/>
    <w:rsid w:val="00984F71"/>
    <w:rsid w:val="009927DF"/>
    <w:rsid w:val="0099745A"/>
    <w:rsid w:val="009B2CAA"/>
    <w:rsid w:val="009B5253"/>
    <w:rsid w:val="009B62E6"/>
    <w:rsid w:val="009B6F33"/>
    <w:rsid w:val="009B775B"/>
    <w:rsid w:val="009C1237"/>
    <w:rsid w:val="009C63D2"/>
    <w:rsid w:val="009C66C6"/>
    <w:rsid w:val="009C698D"/>
    <w:rsid w:val="009C72F0"/>
    <w:rsid w:val="009C75F4"/>
    <w:rsid w:val="009D0F89"/>
    <w:rsid w:val="009D169B"/>
    <w:rsid w:val="009D1CBF"/>
    <w:rsid w:val="009D4C49"/>
    <w:rsid w:val="009D4D5A"/>
    <w:rsid w:val="009D68A3"/>
    <w:rsid w:val="009E3409"/>
    <w:rsid w:val="009F15E1"/>
    <w:rsid w:val="009F3156"/>
    <w:rsid w:val="009F68B8"/>
    <w:rsid w:val="009F7711"/>
    <w:rsid w:val="00A005E5"/>
    <w:rsid w:val="00A01C4B"/>
    <w:rsid w:val="00A0343C"/>
    <w:rsid w:val="00A05028"/>
    <w:rsid w:val="00A066C3"/>
    <w:rsid w:val="00A11BD7"/>
    <w:rsid w:val="00A150A1"/>
    <w:rsid w:val="00A23C73"/>
    <w:rsid w:val="00A2438F"/>
    <w:rsid w:val="00A26BE2"/>
    <w:rsid w:val="00A306DC"/>
    <w:rsid w:val="00A30CD1"/>
    <w:rsid w:val="00A325D2"/>
    <w:rsid w:val="00A353F6"/>
    <w:rsid w:val="00A3711F"/>
    <w:rsid w:val="00A472C7"/>
    <w:rsid w:val="00A51F53"/>
    <w:rsid w:val="00A52EE5"/>
    <w:rsid w:val="00A53663"/>
    <w:rsid w:val="00A538A2"/>
    <w:rsid w:val="00A61E8F"/>
    <w:rsid w:val="00A75B5D"/>
    <w:rsid w:val="00A777AD"/>
    <w:rsid w:val="00A77A21"/>
    <w:rsid w:val="00A8257E"/>
    <w:rsid w:val="00A82A18"/>
    <w:rsid w:val="00A82C70"/>
    <w:rsid w:val="00A85C0C"/>
    <w:rsid w:val="00A872BC"/>
    <w:rsid w:val="00A879C0"/>
    <w:rsid w:val="00A916D5"/>
    <w:rsid w:val="00A93693"/>
    <w:rsid w:val="00A93E7C"/>
    <w:rsid w:val="00A967D3"/>
    <w:rsid w:val="00A97A44"/>
    <w:rsid w:val="00AA0971"/>
    <w:rsid w:val="00AA13E8"/>
    <w:rsid w:val="00AA17F6"/>
    <w:rsid w:val="00AA2BBE"/>
    <w:rsid w:val="00AA456B"/>
    <w:rsid w:val="00AA4CD7"/>
    <w:rsid w:val="00AA5D57"/>
    <w:rsid w:val="00AA6857"/>
    <w:rsid w:val="00AA75BC"/>
    <w:rsid w:val="00AB0E37"/>
    <w:rsid w:val="00AB1DBB"/>
    <w:rsid w:val="00AB1F9E"/>
    <w:rsid w:val="00AB2008"/>
    <w:rsid w:val="00AB609C"/>
    <w:rsid w:val="00AB65D5"/>
    <w:rsid w:val="00AC0E34"/>
    <w:rsid w:val="00AC5790"/>
    <w:rsid w:val="00AC6A9E"/>
    <w:rsid w:val="00AE0406"/>
    <w:rsid w:val="00AE3C2F"/>
    <w:rsid w:val="00AE62F6"/>
    <w:rsid w:val="00AE7721"/>
    <w:rsid w:val="00AF3431"/>
    <w:rsid w:val="00AF42DD"/>
    <w:rsid w:val="00B03624"/>
    <w:rsid w:val="00B04031"/>
    <w:rsid w:val="00B070AE"/>
    <w:rsid w:val="00B07948"/>
    <w:rsid w:val="00B079F2"/>
    <w:rsid w:val="00B11890"/>
    <w:rsid w:val="00B15E5C"/>
    <w:rsid w:val="00B16091"/>
    <w:rsid w:val="00B203E6"/>
    <w:rsid w:val="00B22D10"/>
    <w:rsid w:val="00B22F87"/>
    <w:rsid w:val="00B25685"/>
    <w:rsid w:val="00B27292"/>
    <w:rsid w:val="00B4012B"/>
    <w:rsid w:val="00B40A37"/>
    <w:rsid w:val="00B40CE9"/>
    <w:rsid w:val="00B44140"/>
    <w:rsid w:val="00B44A6B"/>
    <w:rsid w:val="00B46794"/>
    <w:rsid w:val="00B50A96"/>
    <w:rsid w:val="00B5272F"/>
    <w:rsid w:val="00B52B38"/>
    <w:rsid w:val="00B53C39"/>
    <w:rsid w:val="00B55A71"/>
    <w:rsid w:val="00B61A38"/>
    <w:rsid w:val="00B62749"/>
    <w:rsid w:val="00B62B71"/>
    <w:rsid w:val="00B6383E"/>
    <w:rsid w:val="00B77F8B"/>
    <w:rsid w:val="00B82C55"/>
    <w:rsid w:val="00B92489"/>
    <w:rsid w:val="00B92865"/>
    <w:rsid w:val="00B92B98"/>
    <w:rsid w:val="00B9393D"/>
    <w:rsid w:val="00B94C80"/>
    <w:rsid w:val="00B97E63"/>
    <w:rsid w:val="00BA05F6"/>
    <w:rsid w:val="00BA311D"/>
    <w:rsid w:val="00BA6630"/>
    <w:rsid w:val="00BB19A4"/>
    <w:rsid w:val="00BB29EE"/>
    <w:rsid w:val="00BB44F9"/>
    <w:rsid w:val="00BB4AE1"/>
    <w:rsid w:val="00BB6363"/>
    <w:rsid w:val="00BB6928"/>
    <w:rsid w:val="00BB6D2B"/>
    <w:rsid w:val="00BC3ADA"/>
    <w:rsid w:val="00BC57F5"/>
    <w:rsid w:val="00BC6B1B"/>
    <w:rsid w:val="00BD0B36"/>
    <w:rsid w:val="00BD0D3F"/>
    <w:rsid w:val="00BD1426"/>
    <w:rsid w:val="00BD2312"/>
    <w:rsid w:val="00BD38A6"/>
    <w:rsid w:val="00BD3FCB"/>
    <w:rsid w:val="00BE06B5"/>
    <w:rsid w:val="00BE1A01"/>
    <w:rsid w:val="00BE2E32"/>
    <w:rsid w:val="00BE338D"/>
    <w:rsid w:val="00BE4F01"/>
    <w:rsid w:val="00BE718E"/>
    <w:rsid w:val="00BF0CC4"/>
    <w:rsid w:val="00BF1BCE"/>
    <w:rsid w:val="00BF1F75"/>
    <w:rsid w:val="00BF283B"/>
    <w:rsid w:val="00BF2990"/>
    <w:rsid w:val="00BF3FDF"/>
    <w:rsid w:val="00C00343"/>
    <w:rsid w:val="00C02A2D"/>
    <w:rsid w:val="00C05A8A"/>
    <w:rsid w:val="00C11F3B"/>
    <w:rsid w:val="00C13577"/>
    <w:rsid w:val="00C137BD"/>
    <w:rsid w:val="00C2029C"/>
    <w:rsid w:val="00C2038F"/>
    <w:rsid w:val="00C22EBC"/>
    <w:rsid w:val="00C30335"/>
    <w:rsid w:val="00C34E89"/>
    <w:rsid w:val="00C35AB4"/>
    <w:rsid w:val="00C420F2"/>
    <w:rsid w:val="00C42163"/>
    <w:rsid w:val="00C43945"/>
    <w:rsid w:val="00C45520"/>
    <w:rsid w:val="00C504EA"/>
    <w:rsid w:val="00C50F2B"/>
    <w:rsid w:val="00C537F4"/>
    <w:rsid w:val="00C616C7"/>
    <w:rsid w:val="00C639E0"/>
    <w:rsid w:val="00C6552D"/>
    <w:rsid w:val="00C70444"/>
    <w:rsid w:val="00C71FFD"/>
    <w:rsid w:val="00C734EE"/>
    <w:rsid w:val="00C74B12"/>
    <w:rsid w:val="00C74DE4"/>
    <w:rsid w:val="00C75408"/>
    <w:rsid w:val="00C77425"/>
    <w:rsid w:val="00C80485"/>
    <w:rsid w:val="00C82E54"/>
    <w:rsid w:val="00C83465"/>
    <w:rsid w:val="00C96409"/>
    <w:rsid w:val="00CA09E2"/>
    <w:rsid w:val="00CA11B5"/>
    <w:rsid w:val="00CA1874"/>
    <w:rsid w:val="00CA1F29"/>
    <w:rsid w:val="00CA2326"/>
    <w:rsid w:val="00CA2D9D"/>
    <w:rsid w:val="00CA696D"/>
    <w:rsid w:val="00CA7135"/>
    <w:rsid w:val="00CB1835"/>
    <w:rsid w:val="00CB2C69"/>
    <w:rsid w:val="00CB3A0B"/>
    <w:rsid w:val="00CC063E"/>
    <w:rsid w:val="00CC0E2B"/>
    <w:rsid w:val="00CC1D18"/>
    <w:rsid w:val="00CC2880"/>
    <w:rsid w:val="00CC4C5E"/>
    <w:rsid w:val="00CD2F52"/>
    <w:rsid w:val="00CD4C80"/>
    <w:rsid w:val="00CD60A6"/>
    <w:rsid w:val="00CD68BF"/>
    <w:rsid w:val="00CE4C61"/>
    <w:rsid w:val="00CE6117"/>
    <w:rsid w:val="00CF0E73"/>
    <w:rsid w:val="00CF21F7"/>
    <w:rsid w:val="00CF2407"/>
    <w:rsid w:val="00CF3F1B"/>
    <w:rsid w:val="00CF4489"/>
    <w:rsid w:val="00CF511E"/>
    <w:rsid w:val="00CF6931"/>
    <w:rsid w:val="00D10767"/>
    <w:rsid w:val="00D1374D"/>
    <w:rsid w:val="00D1454B"/>
    <w:rsid w:val="00D173B1"/>
    <w:rsid w:val="00D30882"/>
    <w:rsid w:val="00D30E2A"/>
    <w:rsid w:val="00D3315A"/>
    <w:rsid w:val="00D351B0"/>
    <w:rsid w:val="00D378B1"/>
    <w:rsid w:val="00D4040F"/>
    <w:rsid w:val="00D436C2"/>
    <w:rsid w:val="00D4514C"/>
    <w:rsid w:val="00D500CC"/>
    <w:rsid w:val="00D530D5"/>
    <w:rsid w:val="00D53131"/>
    <w:rsid w:val="00D553E2"/>
    <w:rsid w:val="00D56646"/>
    <w:rsid w:val="00D57958"/>
    <w:rsid w:val="00D63C74"/>
    <w:rsid w:val="00D656A5"/>
    <w:rsid w:val="00D657C2"/>
    <w:rsid w:val="00D67A45"/>
    <w:rsid w:val="00D730E9"/>
    <w:rsid w:val="00D743B5"/>
    <w:rsid w:val="00D75180"/>
    <w:rsid w:val="00D7564E"/>
    <w:rsid w:val="00D86C4A"/>
    <w:rsid w:val="00D91B14"/>
    <w:rsid w:val="00D921C8"/>
    <w:rsid w:val="00D92F5B"/>
    <w:rsid w:val="00D934A3"/>
    <w:rsid w:val="00DA4F00"/>
    <w:rsid w:val="00DA5409"/>
    <w:rsid w:val="00DA63C0"/>
    <w:rsid w:val="00DB289F"/>
    <w:rsid w:val="00DB3E6C"/>
    <w:rsid w:val="00DB71F1"/>
    <w:rsid w:val="00DB7F1C"/>
    <w:rsid w:val="00DC1D8D"/>
    <w:rsid w:val="00DC666C"/>
    <w:rsid w:val="00DC76A1"/>
    <w:rsid w:val="00DD1EF5"/>
    <w:rsid w:val="00DD5552"/>
    <w:rsid w:val="00DD61D9"/>
    <w:rsid w:val="00DD7B18"/>
    <w:rsid w:val="00DE1F8A"/>
    <w:rsid w:val="00DE3A93"/>
    <w:rsid w:val="00DE4083"/>
    <w:rsid w:val="00DE6D74"/>
    <w:rsid w:val="00DF5D71"/>
    <w:rsid w:val="00E000B2"/>
    <w:rsid w:val="00E057E7"/>
    <w:rsid w:val="00E0604E"/>
    <w:rsid w:val="00E10D1E"/>
    <w:rsid w:val="00E11362"/>
    <w:rsid w:val="00E12671"/>
    <w:rsid w:val="00E12AE0"/>
    <w:rsid w:val="00E150DF"/>
    <w:rsid w:val="00E168D7"/>
    <w:rsid w:val="00E17BB9"/>
    <w:rsid w:val="00E17F10"/>
    <w:rsid w:val="00E227E8"/>
    <w:rsid w:val="00E30CDF"/>
    <w:rsid w:val="00E31F09"/>
    <w:rsid w:val="00E32285"/>
    <w:rsid w:val="00E32471"/>
    <w:rsid w:val="00E347A1"/>
    <w:rsid w:val="00E34F0D"/>
    <w:rsid w:val="00E3729B"/>
    <w:rsid w:val="00E40DC5"/>
    <w:rsid w:val="00E449BC"/>
    <w:rsid w:val="00E461DF"/>
    <w:rsid w:val="00E47777"/>
    <w:rsid w:val="00E50DE7"/>
    <w:rsid w:val="00E52D86"/>
    <w:rsid w:val="00E534E8"/>
    <w:rsid w:val="00E54E0E"/>
    <w:rsid w:val="00E61A9C"/>
    <w:rsid w:val="00E643BB"/>
    <w:rsid w:val="00E65C69"/>
    <w:rsid w:val="00E715F1"/>
    <w:rsid w:val="00E76FFC"/>
    <w:rsid w:val="00E776DE"/>
    <w:rsid w:val="00E82EC6"/>
    <w:rsid w:val="00E840B3"/>
    <w:rsid w:val="00E86A01"/>
    <w:rsid w:val="00E901CE"/>
    <w:rsid w:val="00E90C6F"/>
    <w:rsid w:val="00E91689"/>
    <w:rsid w:val="00E9291D"/>
    <w:rsid w:val="00E96CD4"/>
    <w:rsid w:val="00E978A7"/>
    <w:rsid w:val="00EA13A8"/>
    <w:rsid w:val="00EA29CC"/>
    <w:rsid w:val="00EA3597"/>
    <w:rsid w:val="00EA36D9"/>
    <w:rsid w:val="00EA3B24"/>
    <w:rsid w:val="00EA4F7B"/>
    <w:rsid w:val="00EA5380"/>
    <w:rsid w:val="00EA798E"/>
    <w:rsid w:val="00EB0B21"/>
    <w:rsid w:val="00EB42A4"/>
    <w:rsid w:val="00EB74EE"/>
    <w:rsid w:val="00EC4F4D"/>
    <w:rsid w:val="00EC5011"/>
    <w:rsid w:val="00EC608B"/>
    <w:rsid w:val="00ED21E1"/>
    <w:rsid w:val="00ED22E3"/>
    <w:rsid w:val="00ED3F29"/>
    <w:rsid w:val="00ED427F"/>
    <w:rsid w:val="00EE09D8"/>
    <w:rsid w:val="00EE69CE"/>
    <w:rsid w:val="00EE75A3"/>
    <w:rsid w:val="00EF0198"/>
    <w:rsid w:val="00EF1679"/>
    <w:rsid w:val="00EF5BE8"/>
    <w:rsid w:val="00EF6AC3"/>
    <w:rsid w:val="00EF70F1"/>
    <w:rsid w:val="00F0320C"/>
    <w:rsid w:val="00F0374D"/>
    <w:rsid w:val="00F05D2D"/>
    <w:rsid w:val="00F10ACC"/>
    <w:rsid w:val="00F11758"/>
    <w:rsid w:val="00F14CA0"/>
    <w:rsid w:val="00F15C94"/>
    <w:rsid w:val="00F204B3"/>
    <w:rsid w:val="00F2748C"/>
    <w:rsid w:val="00F31B22"/>
    <w:rsid w:val="00F42CAA"/>
    <w:rsid w:val="00F45A70"/>
    <w:rsid w:val="00F50DC4"/>
    <w:rsid w:val="00F53D6C"/>
    <w:rsid w:val="00F5480E"/>
    <w:rsid w:val="00F56FE6"/>
    <w:rsid w:val="00F60631"/>
    <w:rsid w:val="00F606A9"/>
    <w:rsid w:val="00F65214"/>
    <w:rsid w:val="00F65A05"/>
    <w:rsid w:val="00F7049E"/>
    <w:rsid w:val="00F712E1"/>
    <w:rsid w:val="00F80455"/>
    <w:rsid w:val="00F81A8C"/>
    <w:rsid w:val="00F830FF"/>
    <w:rsid w:val="00F831D6"/>
    <w:rsid w:val="00F834EF"/>
    <w:rsid w:val="00F860BB"/>
    <w:rsid w:val="00F87805"/>
    <w:rsid w:val="00F90160"/>
    <w:rsid w:val="00F901D4"/>
    <w:rsid w:val="00F93E4F"/>
    <w:rsid w:val="00F97394"/>
    <w:rsid w:val="00FA1BEC"/>
    <w:rsid w:val="00FA3F0C"/>
    <w:rsid w:val="00FA4506"/>
    <w:rsid w:val="00FA4D44"/>
    <w:rsid w:val="00FA6F3F"/>
    <w:rsid w:val="00FA6F51"/>
    <w:rsid w:val="00FB0B19"/>
    <w:rsid w:val="00FB59BE"/>
    <w:rsid w:val="00FB77DA"/>
    <w:rsid w:val="00FB7C09"/>
    <w:rsid w:val="00FC0EAC"/>
    <w:rsid w:val="00FC3DB1"/>
    <w:rsid w:val="00FC58F1"/>
    <w:rsid w:val="00FC6862"/>
    <w:rsid w:val="00FD0EC9"/>
    <w:rsid w:val="00FD21DF"/>
    <w:rsid w:val="00FD5243"/>
    <w:rsid w:val="00FE3629"/>
    <w:rsid w:val="00FE4C05"/>
    <w:rsid w:val="00FF1421"/>
    <w:rsid w:val="00FF1D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AFB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0"/>
      <w:jc w:val="both"/>
    </w:pPr>
    <w:rPr>
      <w:sz w:val="24"/>
    </w:rPr>
  </w:style>
  <w:style w:type="paragraph" w:styleId="Heading1">
    <w:name w:val="heading 1"/>
    <w:basedOn w:val="Normal"/>
    <w:next w:val="Normal"/>
    <w:link w:val="Heading1Char"/>
    <w:qFormat/>
    <w:pPr>
      <w:spacing w:before="480"/>
      <w:jc w:val="center"/>
      <w:outlineLvl w:val="0"/>
    </w:pPr>
    <w:rPr>
      <w:rFonts w:ascii="Times New Roman Bold" w:hAnsi="Times New Roman Bold"/>
      <w:b/>
      <w:smallCaps/>
      <w:sz w:val="36"/>
    </w:rPr>
  </w:style>
  <w:style w:type="paragraph" w:styleId="Heading2">
    <w:name w:val="heading 2"/>
    <w:basedOn w:val="Normal"/>
    <w:next w:val="Normal"/>
    <w:link w:val="Heading2Char"/>
    <w:qFormat/>
    <w:pPr>
      <w:pBdr>
        <w:bottom w:val="single" w:sz="24" w:space="3" w:color="C0C0C0"/>
      </w:pBdr>
      <w:jc w:val="center"/>
      <w:outlineLvl w:val="1"/>
    </w:pPr>
    <w:rPr>
      <w:rFonts w:ascii="Arial" w:hAnsi="Arial"/>
      <w:b/>
      <w:sz w:val="28"/>
    </w:rPr>
  </w:style>
  <w:style w:type="paragraph" w:styleId="Heading3">
    <w:name w:val="heading 3"/>
    <w:basedOn w:val="Normal"/>
    <w:next w:val="Normal"/>
    <w:link w:val="Heading3Char1"/>
    <w:qFormat/>
    <w:pPr>
      <w:jc w:val="center"/>
      <w:outlineLvl w:val="2"/>
    </w:pPr>
    <w:rPr>
      <w:rFonts w:ascii="Times New Roman Bold" w:hAnsi="Times New Roman Bold"/>
      <w:b/>
      <w:sz w:val="28"/>
    </w:rPr>
  </w:style>
  <w:style w:type="paragraph" w:styleId="Heading4">
    <w:name w:val="heading 4"/>
    <w:basedOn w:val="Normal"/>
    <w:next w:val="Normal"/>
    <w:link w:val="Heading4Char"/>
    <w:qFormat/>
    <w:pPr>
      <w:keepNext/>
      <w:spacing w:before="240"/>
      <w:jc w:val="center"/>
      <w:outlineLvl w:val="3"/>
    </w:pPr>
    <w:rPr>
      <w:b/>
    </w:rPr>
  </w:style>
  <w:style w:type="paragraph" w:styleId="Heading5">
    <w:name w:val="heading 5"/>
    <w:basedOn w:val="Normal"/>
    <w:next w:val="Normal"/>
    <w:link w:val="Heading5Char"/>
    <w:qFormat/>
    <w:pPr>
      <w:keepNext/>
      <w:keepLines/>
      <w:spacing w:before="240"/>
      <w:outlineLvl w:val="4"/>
    </w:pPr>
    <w:rPr>
      <w:b/>
    </w:rPr>
  </w:style>
  <w:style w:type="paragraph" w:styleId="Heading6">
    <w:name w:val="heading 6"/>
    <w:basedOn w:val="Normal"/>
    <w:next w:val="Normal"/>
    <w:link w:val="Heading6Char"/>
    <w:qFormat/>
    <w:pPr>
      <w:spacing w:before="240" w:after="60"/>
      <w:outlineLvl w:val="5"/>
    </w:pPr>
    <w:rPr>
      <w:rFonts w:ascii="Univers" w:hAnsi="Univers"/>
      <w:i/>
    </w:rPr>
  </w:style>
  <w:style w:type="paragraph" w:styleId="Heading7">
    <w:name w:val="heading 7"/>
    <w:basedOn w:val="Normal"/>
    <w:next w:val="Normal"/>
    <w:link w:val="Heading7Char"/>
    <w:qFormat/>
    <w:pPr>
      <w:spacing w:before="240" w:after="60"/>
      <w:outlineLvl w:val="6"/>
    </w:pPr>
    <w:rPr>
      <w:rFonts w:ascii="Univers" w:hAnsi="Univers"/>
      <w:sz w:val="20"/>
    </w:rPr>
  </w:style>
  <w:style w:type="paragraph" w:styleId="Heading8">
    <w:name w:val="heading 8"/>
    <w:basedOn w:val="Normal"/>
    <w:next w:val="Normal"/>
    <w:link w:val="Heading8Char"/>
    <w:qFormat/>
    <w:pPr>
      <w:spacing w:before="240" w:after="60"/>
      <w:outlineLvl w:val="7"/>
    </w:pPr>
    <w:rPr>
      <w:rFonts w:ascii="Univers" w:hAnsi="Univers"/>
      <w:i/>
      <w:sz w:val="20"/>
    </w:rPr>
  </w:style>
  <w:style w:type="paragraph" w:styleId="Heading9">
    <w:name w:val="heading 9"/>
    <w:basedOn w:val="Normal"/>
    <w:next w:val="Normal"/>
    <w:link w:val="Heading9Char"/>
    <w:qFormat/>
    <w:pPr>
      <w:spacing w:before="240" w:after="60"/>
      <w:outlineLvl w:val="8"/>
    </w:pPr>
    <w:rPr>
      <w:rFonts w:ascii="Univers" w:hAnsi="Univers"/>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Arial" w:eastAsia="Arial" w:hAnsi="Arial" w:cs="Arial"/>
      <w:sz w:val="40"/>
      <w:szCs w:val="40"/>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character" w:customStyle="1" w:styleId="CaptionChar">
    <w:name w:val="Caption Char"/>
    <w:uiPriority w:val="99"/>
  </w:style>
  <w:style w:type="table" w:styleId="TableGridLight">
    <w:name w:val="Grid Table Light"/>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1Light-Accent1">
    <w:name w:val="Grid Table 1 Light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styleId="GridTable1Light-Accent2">
    <w:name w:val="Grid Table 1 Light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styleId="GridTable1Light-Accent3">
    <w:name w:val="Grid Table 1 Light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styleId="GridTable1Light-Accent6">
    <w:name w:val="Grid Table 1 Light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2-Accent1">
    <w:name w:val="Grid Table 2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Accent1">
    <w:name w:val="Grid Table 3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3-Accent6">
    <w:name w:val="Grid Table 3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4">
    <w:name w:val="Grid Table 4"/>
    <w:basedOn w:val="Table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Accent1">
    <w:name w:val="Grid Table 4 Accent 1"/>
    <w:basedOn w:val="Table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styleId="GridTable5Dark-Accent5">
    <w:name w:val="Grid Table 5 Dark Accent 5"/>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ridTable6Colo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6Colorful-Accent1">
    <w:name w:val="Grid Table 6 Colorful Accent 1"/>
    <w:basedOn w:val="Table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6Colorful-Accent2">
    <w:name w:val="Grid Table 6 Colorful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6Colorful-Accent3">
    <w:name w:val="Grid Table 6 Colorful Accent 3"/>
    <w:basedOn w:val="Table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6Colorful-Accent4">
    <w:name w:val="Grid Table 6 Colorful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6Colorful-Accent5">
    <w:name w:val="Grid Table 6 Colorful Accent 5"/>
    <w:basedOn w:val="Table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6Colorful-Accent6">
    <w:name w:val="Grid Table 6 Colorful Accent 6"/>
    <w:basedOn w:val="Table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ridTable7Colo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GridTable7Colorful-Accent1">
    <w:name w:val="Grid Table 7 Colorful Accent 1"/>
    <w:basedOn w:val="Table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7Colorful-Accent2">
    <w:name w:val="Grid Table 7 Colorful Accent 2"/>
    <w:basedOn w:val="Table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7Colorful-Accent3">
    <w:name w:val="Grid Table 7 Colorful Accent 3"/>
    <w:basedOn w:val="Table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7Colorful-Accent4">
    <w:name w:val="Grid Table 7 Colorful Accent 4"/>
    <w:basedOn w:val="Table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7Colorful-Accent5">
    <w:name w:val="Grid Table 7 Colorful Accent 5"/>
    <w:basedOn w:val="Table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7Colorful-Accent6">
    <w:name w:val="Grid Table 7 Colorful Accent 6"/>
    <w:basedOn w:val="Table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2-Accent1">
    <w:name w:val="List Table 2 Accent 1"/>
    <w:basedOn w:val="Table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3-Accent1">
    <w:name w:val="List Table 3 Accent 1"/>
    <w:basedOn w:val="Table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4-Accent1">
    <w:name w:val="List Table 4 Accent 1"/>
    <w:basedOn w:val="Table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4-Accent6">
    <w:name w:val="List Table 4 Accent 6"/>
    <w:basedOn w:val="Table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5Dark-Accent1">
    <w:name w:val="List Table 5 Dark Accent 1"/>
    <w:basedOn w:val="Table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Table6Colo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6Colorful-Accent1">
    <w:name w:val="List Table 6 Colorful Accent 1"/>
    <w:basedOn w:val="Table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6Colorful-Accent2">
    <w:name w:val="List Table 6 Colorful Accent 2"/>
    <w:basedOn w:val="Table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6Colorful-Accent3">
    <w:name w:val="List Table 6 Colorful Accent 3"/>
    <w:basedOn w:val="Table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6Colorful-Accent4">
    <w:name w:val="List Table 6 Colorful Accent 4"/>
    <w:basedOn w:val="Table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6Colorful-Accent5">
    <w:name w:val="List Table 6 Colorful Accent 5"/>
    <w:basedOn w:val="Table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6Colorful-Accent6">
    <w:name w:val="List Table 6 Colorful Accent 6"/>
    <w:basedOn w:val="Table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Table7Colo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ListTable7Colorful-Accent1">
    <w:name w:val="List Table 7 Colorful Accent 1"/>
    <w:basedOn w:val="Table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7Colorful-Accent2">
    <w:name w:val="List Table 7 Colorful Accent 2"/>
    <w:basedOn w:val="Table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7Colorful-Accent3">
    <w:name w:val="List Table 7 Colorful Accent 3"/>
    <w:basedOn w:val="Table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7Colorful-Accent4">
    <w:name w:val="List Table 7 Colorful Accent 4"/>
    <w:basedOn w:val="Table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7Colorful-Accent5">
    <w:name w:val="List Table 7 Colorful Accent 5"/>
    <w:basedOn w:val="Table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7Colorful-Accent6">
    <w:name w:val="List Table 7 Colorful Accent 6"/>
    <w:basedOn w:val="Table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Normal"/>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Pr>
      <w:color w:val="404040"/>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rPr>
      <w:color w:val="404040"/>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rPr>
      <w:color w:val="404040"/>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rPr>
      <w:color w:val="404040"/>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rPr>
      <w:color w:val="404040"/>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rPr>
      <w:color w:val="404040"/>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Pr>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rPr>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rPr>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rPr>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rPr>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rPr>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EndnoteTextChar">
    <w:name w:val="Endnote Text Char"/>
    <w:link w:val="EndnoteText"/>
    <w:uiPriority w:val="99"/>
    <w:rPr>
      <w:sz w:val="20"/>
    </w:rPr>
  </w:style>
  <w:style w:type="character" w:customStyle="1" w:styleId="Heading2Char">
    <w:name w:val="Heading 2 Char"/>
    <w:basedOn w:val="DefaultParagraphFont"/>
    <w:link w:val="Heading2"/>
    <w:rPr>
      <w:rFonts w:ascii="Arial" w:hAnsi="Arial"/>
      <w:b/>
      <w:sz w:val="28"/>
    </w:rPr>
  </w:style>
  <w:style w:type="character" w:customStyle="1" w:styleId="Heading3Char1">
    <w:name w:val="Heading 3 Char1"/>
    <w:basedOn w:val="DefaultParagraphFont"/>
    <w:link w:val="Heading3"/>
    <w:rPr>
      <w:rFonts w:ascii="Times New Roman Bold" w:hAnsi="Times New Roman Bold"/>
      <w:b/>
      <w:sz w:val="28"/>
    </w:rPr>
  </w:style>
  <w:style w:type="character" w:styleId="EndnoteReference">
    <w:name w:val="endnote reference"/>
    <w:basedOn w:val="DefaultParagraphFont"/>
    <w:semiHidden/>
    <w:rPr>
      <w:vertAlign w:val="superscript"/>
    </w:rPr>
  </w:style>
  <w:style w:type="paragraph" w:styleId="EndnoteText">
    <w:name w:val="endnote text"/>
    <w:basedOn w:val="Normal"/>
    <w:link w:val="EndnoteTextChar"/>
    <w:semiHidden/>
    <w:pPr>
      <w:tabs>
        <w:tab w:val="left" w:pos="432"/>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40"/>
    </w:pPr>
  </w:style>
  <w:style w:type="character" w:styleId="FootnoteReference">
    <w:name w:val="footnote reference"/>
    <w:basedOn w:val="DefaultParagraphFont"/>
    <w:uiPriority w:val="99"/>
    <w:rPr>
      <w:rFonts w:ascii="Times New Roman" w:hAnsi="Times New Roman"/>
      <w:spacing w:val="0"/>
      <w:position w:val="0"/>
      <w:sz w:val="20"/>
      <w:vertAlign w:val="superscript"/>
    </w:rPr>
  </w:style>
  <w:style w:type="paragraph" w:styleId="FootnoteText">
    <w:name w:val="footnote text"/>
    <w:basedOn w:val="Normal"/>
    <w:link w:val="FootnoteTextChar"/>
    <w:uiPriority w:val="99"/>
    <w:qFormat/>
    <w:pPr>
      <w:ind w:left="360" w:hanging="360"/>
      <w:jc w:val="left"/>
    </w:pPr>
    <w:rPr>
      <w:rFonts w:ascii="Arial" w:hAnsi="Arial"/>
      <w:sz w:val="20"/>
    </w:rPr>
  </w:style>
  <w:style w:type="character" w:customStyle="1" w:styleId="FootnoteTextChar">
    <w:name w:val="Footnote Text Char"/>
    <w:link w:val="FootnoteText"/>
    <w:uiPriority w:val="99"/>
    <w:rPr>
      <w:rFonts w:ascii="Arial" w:hAnsi="Arial"/>
    </w:rPr>
  </w:style>
  <w:style w:type="character" w:styleId="CommentReference">
    <w:name w:val="annotation reference"/>
    <w:basedOn w:val="DefaultParagraphFont"/>
    <w:uiPriority w:val="99"/>
    <w:rPr>
      <w:sz w:val="16"/>
    </w:rPr>
  </w:style>
  <w:style w:type="paragraph" w:styleId="CommentText">
    <w:name w:val="annotation text"/>
    <w:basedOn w:val="Normal"/>
    <w:link w:val="CommentTextChar"/>
    <w:uiPriority w:val="99"/>
    <w:qFormat/>
    <w:pPr>
      <w:ind w:left="533" w:hanging="533"/>
    </w:pPr>
    <w:rPr>
      <w:sz w:val="20"/>
    </w:rPr>
  </w:style>
  <w:style w:type="paragraph" w:styleId="TOC4">
    <w:name w:val="toc 4"/>
    <w:basedOn w:val="Normal"/>
    <w:next w:val="Normal"/>
    <w:uiPriority w:val="39"/>
    <w:pPr>
      <w:spacing w:after="0"/>
      <w:ind w:left="720"/>
      <w:jc w:val="left"/>
    </w:pPr>
    <w:rPr>
      <w:sz w:val="18"/>
    </w:rPr>
  </w:style>
  <w:style w:type="paragraph" w:styleId="TOC1">
    <w:name w:val="toc 1"/>
    <w:basedOn w:val="Normal"/>
    <w:next w:val="TOC2"/>
    <w:uiPriority w:val="39"/>
    <w:pPr>
      <w:tabs>
        <w:tab w:val="right" w:leader="dot" w:pos="9000"/>
      </w:tabs>
      <w:spacing w:before="120"/>
      <w:jc w:val="left"/>
    </w:pPr>
    <w:rPr>
      <w:rFonts w:ascii="Times New Roman Bold" w:hAnsi="Times New Roman Bold"/>
      <w:b/>
    </w:rPr>
  </w:style>
  <w:style w:type="paragraph" w:styleId="TOC2">
    <w:name w:val="toc 2"/>
    <w:basedOn w:val="Normal"/>
    <w:uiPriority w:val="39"/>
    <w:pPr>
      <w:tabs>
        <w:tab w:val="left" w:leader="dot" w:pos="900"/>
        <w:tab w:val="right" w:leader="dot" w:pos="9000"/>
      </w:tabs>
      <w:spacing w:after="0"/>
      <w:ind w:left="907" w:hanging="547"/>
      <w:jc w:val="left"/>
    </w:pPr>
  </w:style>
  <w:style w:type="paragraph" w:styleId="TOC3">
    <w:name w:val="toc 3"/>
    <w:basedOn w:val="Normal"/>
    <w:next w:val="Normal"/>
    <w:uiPriority w:val="39"/>
    <w:pPr>
      <w:spacing w:after="0"/>
      <w:ind w:left="480"/>
      <w:jc w:val="left"/>
    </w:pPr>
  </w:style>
  <w:style w:type="paragraph" w:styleId="TOC5">
    <w:name w:val="toc 5"/>
    <w:basedOn w:val="Normal"/>
    <w:next w:val="Normal"/>
    <w:uiPriority w:val="39"/>
    <w:pPr>
      <w:spacing w:after="0"/>
      <w:ind w:left="960"/>
      <w:jc w:val="left"/>
    </w:pPr>
    <w:rPr>
      <w:sz w:val="18"/>
    </w:rPr>
  </w:style>
  <w:style w:type="paragraph" w:styleId="TOC6">
    <w:name w:val="toc 6"/>
    <w:basedOn w:val="Normal"/>
    <w:next w:val="Normal"/>
    <w:uiPriority w:val="39"/>
    <w:pPr>
      <w:spacing w:after="0"/>
      <w:ind w:left="1200"/>
      <w:jc w:val="left"/>
    </w:pPr>
    <w:rPr>
      <w:sz w:val="18"/>
    </w:rPr>
  </w:style>
  <w:style w:type="paragraph" w:styleId="TOC7">
    <w:name w:val="toc 7"/>
    <w:basedOn w:val="Normal"/>
    <w:next w:val="Normal"/>
    <w:uiPriority w:val="39"/>
    <w:pPr>
      <w:spacing w:after="0"/>
      <w:ind w:left="1440"/>
      <w:jc w:val="left"/>
    </w:pPr>
    <w:rPr>
      <w:sz w:val="18"/>
    </w:rPr>
  </w:style>
  <w:style w:type="paragraph" w:styleId="TOC8">
    <w:name w:val="toc 8"/>
    <w:basedOn w:val="Normal"/>
    <w:next w:val="Normal"/>
    <w:uiPriority w:val="39"/>
    <w:pPr>
      <w:spacing w:after="0"/>
      <w:ind w:left="1680"/>
      <w:jc w:val="left"/>
    </w:pPr>
    <w:rPr>
      <w:sz w:val="18"/>
    </w:rPr>
  </w:style>
  <w:style w:type="paragraph" w:styleId="TOC9">
    <w:name w:val="toc 9"/>
    <w:basedOn w:val="Normal"/>
    <w:next w:val="Normal"/>
    <w:uiPriority w:val="39"/>
    <w:pPr>
      <w:spacing w:after="0"/>
      <w:ind w:left="1920"/>
      <w:jc w:val="left"/>
    </w:pPr>
    <w:rPr>
      <w:sz w:val="18"/>
    </w:rPr>
  </w:style>
  <w:style w:type="paragraph" w:customStyle="1" w:styleId="explanatorynotes">
    <w:name w:val="explanatory_notes"/>
    <w:basedOn w:val="Normal"/>
    <w:link w:val="explanatorynotesChar"/>
    <w:rPr>
      <w:rFonts w:ascii="Arial" w:hAnsi="Arial"/>
      <w:sz w:val="22"/>
    </w:rPr>
  </w:style>
  <w:style w:type="character" w:customStyle="1" w:styleId="explanatorynotesChar">
    <w:name w:val="explanatory_notes Char"/>
    <w:basedOn w:val="DefaultParagraphFont"/>
    <w:link w:val="explanatorynotes"/>
    <w:rPr>
      <w:rFonts w:ascii="Arial" w:hAnsi="Arial"/>
      <w:sz w:val="22"/>
    </w:rPr>
  </w:style>
  <w:style w:type="paragraph" w:customStyle="1" w:styleId="explanatoryclause">
    <w:name w:val="explanatory_clause"/>
    <w:basedOn w:val="Normal"/>
    <w:pPr>
      <w:ind w:left="738" w:right="-14" w:hanging="738"/>
      <w:jc w:val="left"/>
    </w:pPr>
    <w:rPr>
      <w:rFonts w:ascii="Arial" w:hAnsi="Arial"/>
      <w:sz w:val="22"/>
    </w:rPr>
  </w:style>
  <w:style w:type="character" w:styleId="PageNumber">
    <w:name w:val="page number"/>
    <w:basedOn w:val="DefaultParagraphFont"/>
    <w:rPr>
      <w:rFonts w:ascii="Times New Roman" w:hAnsi="Times New Roman"/>
      <w:spacing w:val="0"/>
      <w:position w:val="0"/>
      <w:sz w:val="20"/>
      <w:vertAlign w:val="baseline"/>
    </w:rPr>
  </w:style>
  <w:style w:type="paragraph" w:styleId="DocumentMap">
    <w:name w:val="Document Map"/>
    <w:basedOn w:val="Normal"/>
    <w:semiHidden/>
    <w:pPr>
      <w:shd w:val="clear" w:color="auto" w:fill="000080"/>
    </w:pPr>
    <w:rPr>
      <w:rFonts w:ascii="Tahoma" w:hAnsi="Tahoma"/>
    </w:rPr>
  </w:style>
  <w:style w:type="character" w:styleId="Hyperlink">
    <w:name w:val="Hyperlink"/>
    <w:basedOn w:val="DefaultParagraphFont"/>
    <w:uiPriority w:val="99"/>
    <w:rPr>
      <w:color w:val="0000FF"/>
      <w:u w:val="single"/>
    </w:rPr>
  </w:style>
  <w:style w:type="paragraph" w:styleId="Caption">
    <w:name w:val="caption"/>
    <w:basedOn w:val="Normal"/>
    <w:next w:val="Normal"/>
    <w:qFormat/>
    <w:pPr>
      <w:spacing w:before="120"/>
      <w:jc w:val="center"/>
    </w:pPr>
    <w:rPr>
      <w:b/>
      <w:sz w:val="22"/>
    </w:rPr>
  </w:style>
  <w:style w:type="character" w:styleId="FollowedHyperlink">
    <w:name w:val="FollowedHyperlink"/>
    <w:basedOn w:val="DefaultParagraphFont"/>
    <w:rPr>
      <w:color w:val="800080"/>
      <w:u w:val="single"/>
    </w:rPr>
  </w:style>
  <w:style w:type="paragraph" w:styleId="CommentSubject">
    <w:name w:val="annotation subject"/>
    <w:basedOn w:val="CommentText"/>
    <w:next w:val="CommentText"/>
    <w:semiHidden/>
    <w:pPr>
      <w:ind w:left="0" w:firstLine="0"/>
    </w:pPr>
    <w:rPr>
      <w:b/>
      <w:bCs/>
    </w:rPr>
  </w:style>
  <w:style w:type="paragraph" w:styleId="BalloonText">
    <w:name w:val="Balloon Text"/>
    <w:basedOn w:val="Normal"/>
    <w:semiHidden/>
    <w:rPr>
      <w:rFonts w:ascii="Tahoma" w:hAnsi="Tahoma" w:cs="Tahoma"/>
      <w:sz w:val="16"/>
      <w:szCs w:val="16"/>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Pr>
      <w:sz w:val="24"/>
    </w:rPr>
  </w:style>
  <w:style w:type="paragraph" w:styleId="Footer">
    <w:name w:val="footer"/>
    <w:basedOn w:val="Normal"/>
    <w:link w:val="FooterChar"/>
    <w:pPr>
      <w:tabs>
        <w:tab w:val="center" w:pos="4320"/>
        <w:tab w:val="right" w:pos="8640"/>
      </w:tabs>
    </w:pPr>
  </w:style>
  <w:style w:type="character" w:customStyle="1" w:styleId="FooterChar">
    <w:name w:val="Footer Char"/>
    <w:basedOn w:val="DefaultParagraphFont"/>
    <w:link w:val="Footer"/>
    <w:rPr>
      <w:sz w:val="24"/>
    </w:rPr>
  </w:style>
  <w:style w:type="paragraph" w:customStyle="1" w:styleId="Head21a">
    <w:name w:val="Head 2.1a"/>
    <w:basedOn w:val="Normal"/>
    <w:pPr>
      <w:keepNext/>
      <w:pBdr>
        <w:bottom w:val="single" w:sz="24" w:space="3" w:color="auto"/>
      </w:pBdr>
      <w:spacing w:before="480"/>
      <w:jc w:val="center"/>
    </w:pPr>
    <w:rPr>
      <w:rFonts w:ascii="Times New Roman Bold" w:hAnsi="Times New Roman Bold"/>
      <w:b/>
      <w:smallCaps/>
      <w:sz w:val="32"/>
    </w:rPr>
  </w:style>
  <w:style w:type="paragraph" w:customStyle="1" w:styleId="Head01">
    <w:name w:val="Head 0.1"/>
    <w:basedOn w:val="Head0"/>
    <w:qFormat/>
    <w:pPr>
      <w:spacing w:after="0"/>
    </w:pPr>
    <w:rPr>
      <w:sz w:val="56"/>
    </w:rPr>
  </w:style>
  <w:style w:type="paragraph" w:customStyle="1" w:styleId="Head0">
    <w:name w:val="Head 0"/>
    <w:basedOn w:val="Normal"/>
    <w:qFormat/>
    <w:pPr>
      <w:spacing w:before="1440"/>
      <w:jc w:val="center"/>
    </w:pPr>
    <w:rPr>
      <w:rFonts w:ascii="Times New Roman Bold" w:hAnsi="Times New Roman Bold"/>
      <w:b/>
      <w:smallCaps/>
      <w:sz w:val="72"/>
      <w:szCs w:val="72"/>
    </w:rPr>
  </w:style>
  <w:style w:type="paragraph" w:customStyle="1" w:styleId="TOC11">
    <w:name w:val="TOC 11"/>
    <w:pPr>
      <w:tabs>
        <w:tab w:val="left" w:pos="360"/>
      </w:tabs>
    </w:pPr>
    <w:rPr>
      <w:rFonts w:ascii="CG Times" w:hAnsi="CG Times"/>
      <w:smallCaps/>
      <w:sz w:val="22"/>
    </w:rPr>
  </w:style>
  <w:style w:type="paragraph" w:customStyle="1" w:styleId="BankNormal">
    <w:name w:val="BankNormal"/>
    <w:pPr>
      <w:tabs>
        <w:tab w:val="left" w:pos="-720"/>
      </w:tabs>
    </w:pPr>
    <w:rPr>
      <w:rFonts w:ascii="CG Times" w:hAnsi="CG Times"/>
      <w:sz w:val="22"/>
    </w:rPr>
  </w:style>
  <w:style w:type="character" w:customStyle="1" w:styleId="preparersnote">
    <w:name w:val="preparer's note"/>
    <w:basedOn w:val="DefaultParagraphFont"/>
    <w:rPr>
      <w:b/>
      <w:i/>
      <w:iCs/>
    </w:rPr>
  </w:style>
  <w:style w:type="paragraph" w:styleId="NormalWeb">
    <w:name w:val="Normal (Web)"/>
    <w:basedOn w:val="Normal"/>
    <w:uiPriority w:val="99"/>
    <w:pPr>
      <w:spacing w:before="100" w:beforeAutospacing="1" w:after="100" w:afterAutospacing="1"/>
    </w:pPr>
    <w:rPr>
      <w:rFonts w:ascii="Arial Unicode MS" w:eastAsia="Arial Unicode MS" w:hAnsi="Arial Unicode MS" w:cs="Arial Unicode MS"/>
      <w:szCs w:val="24"/>
    </w:rPr>
  </w:style>
  <w:style w:type="paragraph" w:customStyle="1" w:styleId="Head11a">
    <w:name w:val="Head 1.1a"/>
    <w:link w:val="Head11aChar"/>
    <w:pPr>
      <w:keepNext/>
      <w:numPr>
        <w:ilvl w:val="12"/>
      </w:numPr>
      <w:pBdr>
        <w:bottom w:val="single" w:sz="24" w:space="1" w:color="auto"/>
      </w:pBdr>
      <w:spacing w:before="360" w:after="120"/>
      <w:jc w:val="center"/>
    </w:pPr>
    <w:rPr>
      <w:rFonts w:ascii="Times New Roman Bold" w:hAnsi="Times New Roman Bold"/>
      <w:b/>
      <w:smallCaps/>
      <w:sz w:val="32"/>
    </w:rPr>
  </w:style>
  <w:style w:type="character" w:customStyle="1" w:styleId="Head11aChar">
    <w:name w:val="Head 1.1a Char"/>
    <w:basedOn w:val="DefaultParagraphFont"/>
    <w:link w:val="Head11a"/>
    <w:rPr>
      <w:rFonts w:ascii="Times New Roman Bold" w:hAnsi="Times New Roman Bold"/>
      <w:b/>
      <w:smallCaps/>
      <w:sz w:val="32"/>
    </w:rPr>
  </w:style>
  <w:style w:type="paragraph" w:customStyle="1" w:styleId="Head12a">
    <w:name w:val="Head 1.2a"/>
    <w:link w:val="Head12aChar"/>
    <w:pPr>
      <w:numPr>
        <w:ilvl w:val="12"/>
      </w:numPr>
      <w:spacing w:after="120"/>
      <w:ind w:left="360" w:hanging="360"/>
    </w:pPr>
    <w:rPr>
      <w:b/>
      <w:sz w:val="24"/>
    </w:rPr>
  </w:style>
  <w:style w:type="character" w:customStyle="1" w:styleId="Head12aChar">
    <w:name w:val="Head 1.2a Char"/>
    <w:basedOn w:val="DefaultParagraphFont"/>
    <w:link w:val="Head12a"/>
    <w:rPr>
      <w:b/>
      <w:sz w:val="24"/>
    </w:rPr>
  </w:style>
  <w:style w:type="paragraph" w:customStyle="1" w:styleId="Head32">
    <w:name w:val="Head 3.2"/>
    <w:basedOn w:val="Normal"/>
    <w:link w:val="Head32Char"/>
    <w:pPr>
      <w:numPr>
        <w:ilvl w:val="12"/>
      </w:numPr>
      <w:ind w:left="360" w:hanging="360"/>
      <w:jc w:val="center"/>
    </w:pPr>
    <w:rPr>
      <w:b/>
      <w:sz w:val="28"/>
    </w:rPr>
  </w:style>
  <w:style w:type="character" w:customStyle="1" w:styleId="Head32Char">
    <w:name w:val="Head 3.2 Char"/>
    <w:basedOn w:val="DefaultParagraphFont"/>
    <w:link w:val="Head32"/>
    <w:rPr>
      <w:b/>
      <w:sz w:val="28"/>
    </w:rPr>
  </w:style>
  <w:style w:type="paragraph" w:customStyle="1" w:styleId="Head31">
    <w:name w:val="Head 3.1"/>
    <w:basedOn w:val="Normal"/>
    <w:pPr>
      <w:keepNext/>
      <w:numPr>
        <w:ilvl w:val="12"/>
      </w:numPr>
      <w:pBdr>
        <w:bottom w:val="single" w:sz="24" w:space="1" w:color="auto"/>
      </w:pBdr>
      <w:spacing w:before="360"/>
      <w:jc w:val="center"/>
    </w:pPr>
    <w:rPr>
      <w:rFonts w:ascii="Times New Roman Bold" w:hAnsi="Times New Roman Bold"/>
      <w:b/>
      <w:smallCaps/>
      <w:sz w:val="32"/>
    </w:rPr>
  </w:style>
  <w:style w:type="paragraph" w:customStyle="1" w:styleId="Head5a1">
    <w:name w:val="Head 5a.1"/>
    <w:basedOn w:val="Normal"/>
    <w:pPr>
      <w:keepNext/>
      <w:numPr>
        <w:ilvl w:val="12"/>
      </w:numPr>
      <w:pBdr>
        <w:bottom w:val="single" w:sz="24" w:space="1" w:color="auto"/>
      </w:pBdr>
      <w:spacing w:before="480" w:after="240"/>
      <w:jc w:val="center"/>
    </w:pPr>
    <w:rPr>
      <w:rFonts w:ascii="Times New Roman Bold" w:hAnsi="Times New Roman Bold"/>
      <w:b/>
      <w:smallCaps/>
      <w:sz w:val="32"/>
    </w:rPr>
  </w:style>
  <w:style w:type="paragraph" w:customStyle="1" w:styleId="Head5a2">
    <w:name w:val="Head 5a.2"/>
    <w:basedOn w:val="Head5a1"/>
    <w:next w:val="Normal"/>
    <w:uiPriority w:val="99"/>
    <w:pPr>
      <w:pBdr>
        <w:bottom w:val="none" w:sz="0" w:space="0" w:color="auto"/>
      </w:pBdr>
      <w:spacing w:before="360" w:after="120"/>
      <w:jc w:val="left"/>
    </w:pPr>
    <w:rPr>
      <w:smallCaps w:val="0"/>
      <w:sz w:val="28"/>
    </w:rPr>
  </w:style>
  <w:style w:type="character" w:customStyle="1" w:styleId="Preparersnotenobold">
    <w:name w:val="Preparer's note (no bold)"/>
    <w:basedOn w:val="DefaultParagraphFont"/>
    <w:rPr>
      <w:i/>
    </w:rPr>
  </w:style>
  <w:style w:type="paragraph" w:customStyle="1" w:styleId="Head5b1">
    <w:name w:val="Head 5b.1"/>
    <w:basedOn w:val="Head11a"/>
    <w:next w:val="Normal"/>
    <w:pPr>
      <w:tabs>
        <w:tab w:val="left" w:pos="9900"/>
      </w:tabs>
    </w:pPr>
  </w:style>
  <w:style w:type="paragraph" w:customStyle="1" w:styleId="Head5c1">
    <w:name w:val="Head 5c.1"/>
    <w:basedOn w:val="Head11a"/>
  </w:style>
  <w:style w:type="paragraph" w:customStyle="1" w:styleId="Head5d1">
    <w:name w:val="Head 5d.1"/>
    <w:basedOn w:val="Head11a"/>
    <w:next w:val="Normal"/>
  </w:style>
  <w:style w:type="paragraph" w:customStyle="1" w:styleId="Head5d2">
    <w:name w:val="Head 5d.2"/>
    <w:basedOn w:val="Head12a"/>
    <w:next w:val="Normal"/>
    <w:pPr>
      <w:ind w:left="720" w:hanging="720"/>
      <w:jc w:val="both"/>
    </w:pPr>
  </w:style>
  <w:style w:type="paragraph" w:styleId="NormalIndent">
    <w:name w:val="Normal Indent"/>
    <w:basedOn w:val="Normal"/>
    <w:pPr>
      <w:ind w:left="720"/>
    </w:pPr>
  </w:style>
  <w:style w:type="paragraph" w:customStyle="1" w:styleId="Head61">
    <w:name w:val="Head 6.1"/>
    <w:basedOn w:val="Head11a"/>
    <w:next w:val="Normal"/>
  </w:style>
  <w:style w:type="paragraph" w:customStyle="1" w:styleId="Head62">
    <w:name w:val="Head 6.2"/>
    <w:basedOn w:val="Head12a"/>
    <w:next w:val="Normal"/>
  </w:style>
  <w:style w:type="paragraph" w:customStyle="1" w:styleId="Head72">
    <w:name w:val="Head 7.2"/>
    <w:basedOn w:val="Head12a"/>
    <w:next w:val="Normal"/>
    <w:pPr>
      <w:keepNext/>
      <w:spacing w:before="480"/>
      <w:jc w:val="center"/>
    </w:pPr>
  </w:style>
  <w:style w:type="paragraph" w:customStyle="1" w:styleId="Head71">
    <w:name w:val="Head 7.1"/>
    <w:basedOn w:val="Head11a"/>
  </w:style>
  <w:style w:type="paragraph" w:customStyle="1" w:styleId="Head81">
    <w:name w:val="Head 8.1"/>
    <w:basedOn w:val="Head11a"/>
    <w:next w:val="Normal"/>
  </w:style>
  <w:style w:type="paragraph" w:customStyle="1" w:styleId="Head82">
    <w:name w:val="Head 8.2"/>
    <w:basedOn w:val="Head12a"/>
    <w:next w:val="Normal"/>
    <w:pPr>
      <w:jc w:val="center"/>
    </w:pPr>
    <w:rPr>
      <w:sz w:val="32"/>
    </w:rPr>
  </w:style>
  <w:style w:type="paragraph" w:customStyle="1" w:styleId="Head02">
    <w:name w:val="Head 0.2"/>
    <w:basedOn w:val="Heading1"/>
    <w:qFormat/>
  </w:style>
  <w:style w:type="paragraph" w:customStyle="1" w:styleId="Head11b">
    <w:name w:val="Head 1.1b"/>
    <w:basedOn w:val="Head11a"/>
    <w:qFormat/>
  </w:style>
  <w:style w:type="paragraph" w:customStyle="1" w:styleId="Head12b">
    <w:name w:val="Head 1.2b"/>
    <w:basedOn w:val="Head12a"/>
    <w:qFormat/>
  </w:style>
  <w:style w:type="paragraph" w:customStyle="1" w:styleId="Head21b">
    <w:name w:val="Head 2.1b"/>
    <w:basedOn w:val="Head21a"/>
    <w:qFormat/>
  </w:style>
  <w:style w:type="paragraph" w:customStyle="1" w:styleId="P3Header1-Clauses">
    <w:name w:val="P3 Header1-Clauses"/>
    <w:basedOn w:val="Normal"/>
    <w:pPr>
      <w:spacing w:after="0"/>
      <w:jc w:val="left"/>
    </w:pPr>
    <w:rPr>
      <w:b/>
    </w:rPr>
  </w:style>
  <w:style w:type="paragraph" w:styleId="Revision">
    <w:name w:val="Revision"/>
    <w:hidden/>
    <w:uiPriority w:val="99"/>
    <w:semiHidden/>
    <w:rPr>
      <w:sz w:val="24"/>
    </w:rPr>
  </w:style>
  <w:style w:type="paragraph" w:customStyle="1" w:styleId="S1-Header2">
    <w:name w:val="S1-Header2"/>
    <w:basedOn w:val="Normal"/>
    <w:pPr>
      <w:numPr>
        <w:numId w:val="3"/>
      </w:numPr>
      <w:jc w:val="left"/>
    </w:pPr>
    <w:rPr>
      <w:b/>
    </w:rPr>
  </w:style>
  <w:style w:type="paragraph" w:customStyle="1" w:styleId="S1-subpara">
    <w:name w:val="S1-sub para"/>
    <w:basedOn w:val="Normal"/>
    <w:link w:val="S1-subparaChar"/>
    <w:pPr>
      <w:spacing w:after="200"/>
    </w:pPr>
  </w:style>
  <w:style w:type="character" w:customStyle="1" w:styleId="S1-subparaChar">
    <w:name w:val="S1-sub para Char"/>
    <w:basedOn w:val="DefaultParagraphFont"/>
    <w:link w:val="S1-subpara"/>
    <w:rPr>
      <w:sz w:val="24"/>
    </w:rPr>
  </w:style>
  <w:style w:type="paragraph" w:styleId="ListParagraph">
    <w:name w:val="List Paragraph"/>
    <w:aliases w:val="Citation List,본문(내용),List Paragraph (numbered (a)),Normal bullet 2,Paragraphe de liste PBLH,Bullet list,Resume Title,List Paragraph Char Char,Bullet 1,b1,Number_1,SGLText List Paragraph,new,lp1,Normal Sentence,ListPar1,References,Ha,Bulle"/>
    <w:basedOn w:val="Normal"/>
    <w:link w:val="ListParagraphChar"/>
    <w:uiPriority w:val="34"/>
    <w:qFormat/>
    <w:pPr>
      <w:ind w:left="720"/>
      <w:contextualSpacing/>
    </w:pPr>
  </w:style>
  <w:style w:type="character" w:customStyle="1" w:styleId="ListParagraphChar">
    <w:name w:val="List Paragraph Char"/>
    <w:aliases w:val="Citation List Char,본문(내용) Char,List Paragraph (numbered (a)) Char,Normal bullet 2 Char,Paragraphe de liste PBLH Char,Bullet list Char,Resume Title Char,List Paragraph Char Char Char,Bullet 1 Char,b1 Char,Number_1 Char,new Char"/>
    <w:link w:val="ListParagraph"/>
    <w:uiPriority w:val="34"/>
    <w:qFormat/>
    <w:rPr>
      <w:sz w:val="24"/>
    </w:rPr>
  </w:style>
  <w:style w:type="paragraph" w:customStyle="1" w:styleId="Header2-SubClauses">
    <w:name w:val="Header 2 - SubClauses"/>
    <w:basedOn w:val="Normal"/>
    <w:pPr>
      <w:pBdr>
        <w:top w:val="single" w:sz="4" w:space="1" w:color="auto"/>
        <w:left w:val="single" w:sz="4" w:space="1" w:color="auto"/>
        <w:bottom w:val="single" w:sz="4" w:space="1" w:color="auto"/>
        <w:right w:val="single" w:sz="4" w:space="1" w:color="auto"/>
        <w:between w:val="single" w:sz="4" w:space="1" w:color="auto"/>
      </w:pBdr>
      <w:spacing w:after="200"/>
      <w:ind w:left="720" w:hanging="720"/>
    </w:pPr>
    <w:rPr>
      <w:b/>
    </w:rPr>
  </w:style>
  <w:style w:type="paragraph" w:styleId="Subtitle">
    <w:name w:val="Subtitle"/>
    <w:basedOn w:val="Normal"/>
    <w:link w:val="SubtitleChar"/>
    <w:qFormat/>
    <w:pPr>
      <w:spacing w:after="0"/>
      <w:jc w:val="center"/>
    </w:pPr>
    <w:rPr>
      <w:b/>
      <w:sz w:val="44"/>
    </w:rPr>
  </w:style>
  <w:style w:type="character" w:customStyle="1" w:styleId="SubtitleChar">
    <w:name w:val="Subtitle Char"/>
    <w:basedOn w:val="DefaultParagraphFont"/>
    <w:link w:val="Subtitle"/>
    <w:rPr>
      <w:b/>
      <w:sz w:val="44"/>
    </w:rPr>
  </w:style>
  <w:style w:type="paragraph" w:customStyle="1" w:styleId="i">
    <w:name w:val="(i)"/>
    <w:basedOn w:val="Normal"/>
    <w:pPr>
      <w:spacing w:after="0"/>
    </w:pPr>
    <w:rPr>
      <w:rFonts w:ascii="Tms Rmn" w:hAnsi="Tms Rmn"/>
    </w:rPr>
  </w:style>
  <w:style w:type="paragraph" w:styleId="BodyText">
    <w:name w:val="Body Text"/>
    <w:basedOn w:val="Normal"/>
    <w:link w:val="BodyTextChar"/>
    <w:pPr>
      <w:spacing w:after="0"/>
    </w:pPr>
  </w:style>
  <w:style w:type="character" w:customStyle="1" w:styleId="BodyTextChar">
    <w:name w:val="Body Text Char"/>
    <w:basedOn w:val="DefaultParagraphFont"/>
    <w:link w:val="BodyText"/>
    <w:rPr>
      <w:sz w:val="24"/>
    </w:rPr>
  </w:style>
  <w:style w:type="paragraph" w:styleId="BodyTextIndent">
    <w:name w:val="Body Text Indent"/>
    <w:basedOn w:val="Normal"/>
    <w:link w:val="BodyTextIndentChar"/>
    <w:pPr>
      <w:spacing w:after="0"/>
      <w:ind w:left="720"/>
    </w:pPr>
  </w:style>
  <w:style w:type="character" w:customStyle="1" w:styleId="BodyTextIndentChar">
    <w:name w:val="Body Text Indent Char"/>
    <w:basedOn w:val="DefaultParagraphFont"/>
    <w:link w:val="BodyTextIndent"/>
    <w:rPr>
      <w:sz w:val="24"/>
    </w:rPr>
  </w:style>
  <w:style w:type="paragraph" w:customStyle="1" w:styleId="Outline">
    <w:name w:val="Outline"/>
    <w:basedOn w:val="Normal"/>
    <w:pPr>
      <w:spacing w:before="240" w:after="0"/>
      <w:jc w:val="left"/>
    </w:pPr>
  </w:style>
  <w:style w:type="paragraph" w:styleId="ListNumber">
    <w:name w:val="List Number"/>
    <w:basedOn w:val="Normal"/>
    <w:pPr>
      <w:tabs>
        <w:tab w:val="num" w:pos="360"/>
      </w:tabs>
      <w:spacing w:after="0"/>
      <w:ind w:left="360" w:hanging="360"/>
    </w:pPr>
  </w:style>
  <w:style w:type="paragraph" w:customStyle="1" w:styleId="titulo">
    <w:name w:val="titulo"/>
    <w:basedOn w:val="Heading5"/>
    <w:pPr>
      <w:keepNext w:val="0"/>
      <w:keepLines w:val="0"/>
      <w:spacing w:before="0" w:after="240"/>
      <w:jc w:val="center"/>
    </w:pPr>
    <w:rPr>
      <w:rFonts w:ascii="Times New Roman Bold" w:hAnsi="Times New Roman Bold"/>
    </w:rPr>
  </w:style>
  <w:style w:type="paragraph" w:customStyle="1" w:styleId="Option">
    <w:name w:val="Option"/>
    <w:basedOn w:val="Heading1"/>
    <w:pPr>
      <w:spacing w:before="1800"/>
    </w:pPr>
    <w:rPr>
      <w:rFonts w:ascii="Times New Roman" w:hAnsi="Times New Roman"/>
      <w:bCs/>
      <w:smallCaps w:val="0"/>
      <w:sz w:val="48"/>
    </w:rPr>
  </w:style>
  <w:style w:type="paragraph" w:customStyle="1" w:styleId="S1-OptB-header2">
    <w:name w:val="S1-OptB-header2"/>
    <w:basedOn w:val="Normal"/>
    <w:pPr>
      <w:numPr>
        <w:numId w:val="15"/>
      </w:numPr>
      <w:spacing w:after="0"/>
      <w:jc w:val="left"/>
    </w:pPr>
    <w:rPr>
      <w:b/>
    </w:rPr>
  </w:style>
  <w:style w:type="paragraph" w:customStyle="1" w:styleId="OptB-S1-subpara">
    <w:name w:val="OptB-S1-sub para"/>
    <w:basedOn w:val="Normal"/>
    <w:pPr>
      <w:numPr>
        <w:ilvl w:val="1"/>
        <w:numId w:val="15"/>
      </w:numPr>
      <w:spacing w:after="200"/>
    </w:pPr>
  </w:style>
  <w:style w:type="paragraph" w:customStyle="1" w:styleId="StyleHeading4Sub-ClauseSub-paragraphClauseSubSubNoNameAft">
    <w:name w:val="Style Heading 4Sub-Clause Sub-paragraphClauseSubSub_No&amp;Name + Aft..."/>
    <w:basedOn w:val="Heading4"/>
    <w:pPr>
      <w:tabs>
        <w:tab w:val="left" w:pos="1512"/>
      </w:tabs>
      <w:spacing w:before="0" w:after="180"/>
      <w:ind w:left="1512" w:right="18" w:hanging="540"/>
      <w:jc w:val="both"/>
    </w:pPr>
    <w:rPr>
      <w:bCs/>
    </w:rPr>
  </w:style>
  <w:style w:type="paragraph" w:styleId="BodyText2">
    <w:name w:val="Body Text 2"/>
    <w:basedOn w:val="Normal"/>
    <w:link w:val="BodyText2Char"/>
    <w:pPr>
      <w:spacing w:line="480" w:lineRule="auto"/>
    </w:pPr>
  </w:style>
  <w:style w:type="character" w:customStyle="1" w:styleId="BodyText2Char">
    <w:name w:val="Body Text 2 Char"/>
    <w:basedOn w:val="DefaultParagraphFont"/>
    <w:link w:val="BodyText2"/>
    <w:rPr>
      <w:sz w:val="24"/>
    </w:rPr>
  </w:style>
  <w:style w:type="paragraph" w:styleId="BodyTextIndent2">
    <w:name w:val="Body Text Indent 2"/>
    <w:basedOn w:val="Normal"/>
    <w:link w:val="BodyTextIndent2Char"/>
    <w:pPr>
      <w:spacing w:after="0"/>
      <w:ind w:left="360" w:firstLine="360"/>
    </w:pPr>
  </w:style>
  <w:style w:type="character" w:customStyle="1" w:styleId="BodyTextIndent2Char">
    <w:name w:val="Body Text Indent 2 Char"/>
    <w:basedOn w:val="DefaultParagraphFont"/>
    <w:link w:val="BodyTextIndent2"/>
    <w:rPr>
      <w:sz w:val="24"/>
    </w:rPr>
  </w:style>
  <w:style w:type="paragraph" w:styleId="Title">
    <w:name w:val="Title"/>
    <w:basedOn w:val="Normal"/>
    <w:link w:val="TitleChar"/>
    <w:qFormat/>
    <w:pPr>
      <w:spacing w:after="0"/>
      <w:jc w:val="center"/>
    </w:pPr>
    <w:rPr>
      <w:b/>
      <w:sz w:val="48"/>
    </w:rPr>
  </w:style>
  <w:style w:type="character" w:customStyle="1" w:styleId="TitleChar">
    <w:name w:val="Title Char"/>
    <w:basedOn w:val="DefaultParagraphFont"/>
    <w:link w:val="Title"/>
    <w:rPr>
      <w:b/>
      <w:sz w:val="48"/>
    </w:rPr>
  </w:style>
  <w:style w:type="paragraph" w:styleId="List">
    <w:name w:val="List"/>
    <w:basedOn w:val="Normal"/>
    <w:pPr>
      <w:spacing w:before="120"/>
      <w:ind w:left="1440"/>
    </w:pPr>
  </w:style>
  <w:style w:type="paragraph" w:styleId="BodyText3">
    <w:name w:val="Body Text 3"/>
    <w:basedOn w:val="Normal"/>
    <w:link w:val="BodyText3Char"/>
    <w:pPr>
      <w:spacing w:after="0"/>
    </w:pPr>
    <w:rPr>
      <w:i/>
      <w:sz w:val="20"/>
    </w:rPr>
  </w:style>
  <w:style w:type="character" w:customStyle="1" w:styleId="BodyText3Char">
    <w:name w:val="Body Text 3 Char"/>
    <w:basedOn w:val="DefaultParagraphFont"/>
    <w:link w:val="BodyText3"/>
    <w:rPr>
      <w:i/>
    </w:rPr>
  </w:style>
  <w:style w:type="paragraph" w:customStyle="1" w:styleId="Document1">
    <w:name w:val="Document 1"/>
    <w:pPr>
      <w:keepNext/>
      <w:keepLines/>
      <w:tabs>
        <w:tab w:val="left" w:pos="-720"/>
      </w:tabs>
    </w:pPr>
    <w:rPr>
      <w:rFonts w:ascii="Courier New" w:hAnsi="Courier New"/>
    </w:rPr>
  </w:style>
  <w:style w:type="paragraph" w:customStyle="1" w:styleId="SectionVHeader">
    <w:name w:val="Section V. Header"/>
    <w:basedOn w:val="Normal"/>
    <w:pPr>
      <w:spacing w:after="0"/>
      <w:jc w:val="center"/>
    </w:pPr>
    <w:rPr>
      <w:b/>
      <w:sz w:val="36"/>
    </w:rPr>
  </w:style>
  <w:style w:type="paragraph" w:customStyle="1" w:styleId="SectionVIIHeader2">
    <w:name w:val="Section VII Header2"/>
    <w:basedOn w:val="Heading1"/>
    <w:pPr>
      <w:spacing w:before="120"/>
    </w:pPr>
    <w:rPr>
      <w:rFonts w:ascii="Times New Roman" w:hAnsi="Times New Roman"/>
      <w:bCs/>
      <w:i/>
      <w:smallCaps w:val="0"/>
      <w:sz w:val="20"/>
    </w:rPr>
  </w:style>
  <w:style w:type="paragraph" w:customStyle="1" w:styleId="SectionXHeader3">
    <w:name w:val="Section X Header 3"/>
    <w:basedOn w:val="Heading1"/>
    <w:pPr>
      <w:spacing w:before="240" w:after="0"/>
    </w:pPr>
    <w:rPr>
      <w:rFonts w:ascii="Times New Roman" w:hAnsi="Times New Roman"/>
      <w:bCs/>
      <w:smallCaps w:val="0"/>
      <w:sz w:val="72"/>
      <w:szCs w:val="72"/>
    </w:rPr>
  </w:style>
  <w:style w:type="paragraph" w:customStyle="1" w:styleId="TOCNumber1">
    <w:name w:val="TOC Number1"/>
    <w:basedOn w:val="Heading4"/>
    <w:pPr>
      <w:keepNext w:val="0"/>
      <w:spacing w:before="0"/>
      <w:jc w:val="left"/>
      <w:outlineLvl w:val="9"/>
    </w:pPr>
  </w:style>
  <w:style w:type="paragraph" w:customStyle="1" w:styleId="Part1">
    <w:name w:val="Part 1"/>
    <w:basedOn w:val="Normal"/>
    <w:pPr>
      <w:spacing w:before="3120" w:after="240"/>
      <w:jc w:val="center"/>
    </w:pPr>
    <w:rPr>
      <w:b/>
      <w:sz w:val="72"/>
      <w:szCs w:val="72"/>
    </w:rPr>
  </w:style>
  <w:style w:type="paragraph" w:customStyle="1" w:styleId="Subtitle2">
    <w:name w:val="Subtitle 2"/>
    <w:basedOn w:val="Footer"/>
    <w:pPr>
      <w:jc w:val="center"/>
    </w:pPr>
    <w:rPr>
      <w:b/>
      <w:sz w:val="36"/>
    </w:rPr>
  </w:style>
  <w:style w:type="paragraph" w:customStyle="1" w:styleId="BlockQuotation">
    <w:name w:val="Block Quotation"/>
    <w:basedOn w:val="Normal"/>
    <w:pPr>
      <w:spacing w:after="0"/>
      <w:ind w:left="855" w:right="-72" w:hanging="315"/>
    </w:pPr>
  </w:style>
  <w:style w:type="paragraph" w:styleId="TableofFigures">
    <w:name w:val="table of figures"/>
    <w:basedOn w:val="Normal"/>
    <w:next w:val="Normal"/>
    <w:pPr>
      <w:spacing w:after="0"/>
      <w:ind w:left="480" w:hanging="480"/>
    </w:pPr>
  </w:style>
  <w:style w:type="paragraph" w:customStyle="1" w:styleId="2AutoList1">
    <w:name w:val="2AutoList1"/>
    <w:basedOn w:val="Normal"/>
    <w:pPr>
      <w:numPr>
        <w:ilvl w:val="1"/>
        <w:numId w:val="8"/>
      </w:numPr>
      <w:spacing w:after="0"/>
    </w:pPr>
  </w:style>
  <w:style w:type="paragraph" w:styleId="BlockText">
    <w:name w:val="Block Text"/>
    <w:basedOn w:val="Normal"/>
    <w:pPr>
      <w:tabs>
        <w:tab w:val="left" w:pos="387"/>
        <w:tab w:val="left" w:pos="1107"/>
      </w:tabs>
      <w:spacing w:after="0"/>
      <w:ind w:left="720" w:right="-72"/>
      <w:jc w:val="left"/>
    </w:pPr>
    <w:rPr>
      <w:i/>
    </w:rPr>
  </w:style>
  <w:style w:type="paragraph" w:styleId="BodyTextIndent3">
    <w:name w:val="Body Text Indent 3"/>
    <w:basedOn w:val="Normal"/>
    <w:link w:val="BodyTextIndent3Char"/>
    <w:pPr>
      <w:spacing w:before="240" w:after="0"/>
      <w:ind w:left="576"/>
    </w:pPr>
  </w:style>
  <w:style w:type="character" w:customStyle="1" w:styleId="BodyTextIndent3Char">
    <w:name w:val="Body Text Indent 3 Char"/>
    <w:basedOn w:val="DefaultParagraphFont"/>
    <w:link w:val="BodyTextIndent3"/>
    <w:rPr>
      <w:sz w:val="24"/>
    </w:rPr>
  </w:style>
  <w:style w:type="paragraph" w:customStyle="1" w:styleId="Header1-Clauses">
    <w:name w:val="Header 1 - Clauses"/>
    <w:basedOn w:val="Normal"/>
    <w:link w:val="Header1-ClausesChar"/>
    <w:pPr>
      <w:spacing w:after="0"/>
      <w:jc w:val="left"/>
    </w:pPr>
    <w:rPr>
      <w:b/>
    </w:rPr>
  </w:style>
  <w:style w:type="character" w:customStyle="1" w:styleId="Header1-ClausesChar">
    <w:name w:val="Header 1 - Clauses Char"/>
    <w:basedOn w:val="DefaultParagraphFont"/>
    <w:link w:val="Header1-Clauses"/>
    <w:rPr>
      <w:b/>
      <w:sz w:val="24"/>
    </w:rPr>
  </w:style>
  <w:style w:type="paragraph" w:customStyle="1" w:styleId="Header3-Paragraph">
    <w:name w:val="Header 3 - Paragraph"/>
    <w:basedOn w:val="Normal"/>
    <w:pPr>
      <w:tabs>
        <w:tab w:val="num" w:pos="504"/>
      </w:tabs>
      <w:spacing w:after="200"/>
      <w:ind w:left="504" w:hanging="504"/>
    </w:pPr>
  </w:style>
  <w:style w:type="paragraph" w:customStyle="1" w:styleId="Outline1">
    <w:name w:val="Outline1"/>
    <w:basedOn w:val="Outline"/>
    <w:next w:val="Outline2"/>
    <w:pPr>
      <w:keepNext/>
      <w:tabs>
        <w:tab w:val="num" w:pos="360"/>
        <w:tab w:val="num" w:pos="720"/>
      </w:tabs>
      <w:ind w:left="360" w:hanging="360"/>
    </w:pPr>
  </w:style>
  <w:style w:type="paragraph" w:customStyle="1" w:styleId="Outline2">
    <w:name w:val="Outline2"/>
    <w:basedOn w:val="Normal"/>
    <w:pPr>
      <w:tabs>
        <w:tab w:val="num" w:pos="360"/>
        <w:tab w:val="num" w:pos="720"/>
        <w:tab w:val="num" w:pos="864"/>
      </w:tabs>
      <w:spacing w:before="240" w:after="0"/>
      <w:ind w:left="864" w:hanging="504"/>
      <w:jc w:val="left"/>
    </w:pPr>
  </w:style>
  <w:style w:type="paragraph" w:customStyle="1" w:styleId="Outline3">
    <w:name w:val="Outline3"/>
    <w:basedOn w:val="Normal"/>
    <w:pPr>
      <w:tabs>
        <w:tab w:val="num" w:pos="1728"/>
      </w:tabs>
      <w:spacing w:before="240" w:after="0"/>
      <w:ind w:left="1728" w:hanging="432"/>
      <w:jc w:val="left"/>
    </w:pPr>
  </w:style>
  <w:style w:type="paragraph" w:customStyle="1" w:styleId="Outline4">
    <w:name w:val="Outline4"/>
    <w:basedOn w:val="Normal"/>
    <w:pPr>
      <w:spacing w:before="120" w:after="0"/>
      <w:ind w:left="360"/>
      <w:jc w:val="left"/>
    </w:pPr>
  </w:style>
  <w:style w:type="paragraph" w:customStyle="1" w:styleId="SectionVIHeader">
    <w:name w:val="Section VI. Header"/>
    <w:basedOn w:val="SectionVHeader"/>
  </w:style>
  <w:style w:type="paragraph" w:customStyle="1" w:styleId="Sub-ClauseText">
    <w:name w:val="Sub-Clause Text"/>
    <w:basedOn w:val="Normal"/>
    <w:pPr>
      <w:spacing w:before="120"/>
    </w:pPr>
    <w:rPr>
      <w:spacing w:val="-4"/>
    </w:rPr>
  </w:style>
  <w:style w:type="paragraph" w:customStyle="1" w:styleId="Head12">
    <w:name w:val="Head 1.2"/>
    <w:basedOn w:val="Normal"/>
    <w:pPr>
      <w:tabs>
        <w:tab w:val="num" w:pos="504"/>
      </w:tabs>
      <w:spacing w:after="0"/>
      <w:ind w:left="504" w:hanging="504"/>
    </w:pPr>
  </w:style>
  <w:style w:type="paragraph" w:customStyle="1" w:styleId="pq-annexb">
    <w:name w:val="pq-annexb"/>
    <w:basedOn w:val="Normal"/>
    <w:pPr>
      <w:tabs>
        <w:tab w:val="num" w:pos="900"/>
      </w:tabs>
      <w:spacing w:after="0"/>
      <w:ind w:left="900" w:hanging="900"/>
    </w:pPr>
    <w:rPr>
      <w:b/>
    </w:rPr>
  </w:style>
  <w:style w:type="paragraph" w:styleId="Index1">
    <w:name w:val="index 1"/>
    <w:basedOn w:val="Normal"/>
    <w:next w:val="Normal"/>
    <w:pPr>
      <w:tabs>
        <w:tab w:val="right" w:pos="4140"/>
      </w:tabs>
      <w:spacing w:after="0"/>
      <w:ind w:left="240" w:hanging="240"/>
      <w:jc w:val="left"/>
    </w:pPr>
    <w:rPr>
      <w:sz w:val="20"/>
    </w:rPr>
  </w:style>
  <w:style w:type="paragraph" w:customStyle="1" w:styleId="Outlinei">
    <w:name w:val="Outline i)"/>
    <w:basedOn w:val="Normal"/>
    <w:pPr>
      <w:tabs>
        <w:tab w:val="num" w:pos="1782"/>
      </w:tabs>
      <w:spacing w:before="120" w:after="0"/>
      <w:ind w:left="1782" w:hanging="792"/>
      <w:jc w:val="left"/>
    </w:pPr>
  </w:style>
  <w:style w:type="paragraph" w:styleId="IndexHeading">
    <w:name w:val="index heading"/>
    <w:basedOn w:val="Normal"/>
    <w:next w:val="Index1"/>
    <w:pPr>
      <w:spacing w:after="0"/>
      <w:jc w:val="left"/>
    </w:pPr>
    <w:rPr>
      <w:sz w:val="20"/>
    </w:rPr>
  </w:style>
  <w:style w:type="paragraph" w:customStyle="1" w:styleId="Technical4">
    <w:name w:val="Technical 4"/>
    <w:pPr>
      <w:tabs>
        <w:tab w:val="left" w:pos="-720"/>
      </w:tabs>
    </w:pPr>
    <w:rPr>
      <w:rFonts w:ascii="Times" w:hAnsi="Times"/>
      <w:b/>
      <w:sz w:val="24"/>
    </w:rPr>
  </w:style>
  <w:style w:type="character" w:customStyle="1" w:styleId="Table">
    <w:name w:val="Table"/>
    <w:basedOn w:val="DefaultParagraphFont"/>
    <w:rPr>
      <w:rFonts w:ascii="Arial" w:hAnsi="Arial"/>
      <w:sz w:val="20"/>
    </w:rPr>
  </w:style>
  <w:style w:type="paragraph" w:customStyle="1" w:styleId="Head2">
    <w:name w:val="Head 2"/>
    <w:basedOn w:val="Heading9"/>
    <w:pPr>
      <w:keepNext/>
      <w:widowControl w:val="0"/>
      <w:spacing w:before="0" w:after="0"/>
      <w:outlineLvl w:val="9"/>
    </w:pPr>
    <w:rPr>
      <w:rFonts w:ascii="Times New Roman Bold" w:hAnsi="Times New Roman Bold"/>
      <w:i w:val="0"/>
      <w:spacing w:val="-4"/>
      <w:sz w:val="32"/>
    </w:rPr>
  </w:style>
  <w:style w:type="paragraph" w:customStyle="1" w:styleId="FooterLandscape">
    <w:name w:val="Footer Landscape"/>
    <w:basedOn w:val="Footer"/>
    <w:next w:val="Normal"/>
  </w:style>
  <w:style w:type="paragraph" w:customStyle="1" w:styleId="HeaderLandscape">
    <w:name w:val="Header Landscape"/>
    <w:basedOn w:val="Header"/>
    <w:next w:val="Normal"/>
    <w:pPr>
      <w:pBdr>
        <w:bottom w:val="single" w:sz="4" w:space="1" w:color="000000"/>
      </w:pBdr>
      <w:tabs>
        <w:tab w:val="clear" w:pos="4320"/>
        <w:tab w:val="clear" w:pos="8640"/>
        <w:tab w:val="right" w:pos="12816"/>
      </w:tabs>
      <w:spacing w:after="0"/>
    </w:pPr>
  </w:style>
  <w:style w:type="paragraph" w:customStyle="1" w:styleId="Head51">
    <w:name w:val="Head 5.1"/>
    <w:basedOn w:val="Normal"/>
    <w:pPr>
      <w:spacing w:after="0"/>
      <w:ind w:left="540" w:hanging="540"/>
    </w:pPr>
    <w:rPr>
      <w:rFonts w:ascii="Tms Rmn" w:hAnsi="Tms Rmn"/>
      <w:b/>
    </w:rPr>
  </w:style>
  <w:style w:type="paragraph" w:customStyle="1" w:styleId="Head21">
    <w:name w:val="Head 2.1"/>
    <w:basedOn w:val="Normal"/>
    <w:pPr>
      <w:spacing w:after="0"/>
      <w:jc w:val="center"/>
    </w:pPr>
    <w:rPr>
      <w:rFonts w:ascii="Tms Rmn" w:hAnsi="Tms Rmn"/>
      <w:b/>
      <w:sz w:val="28"/>
    </w:rPr>
  </w:style>
  <w:style w:type="paragraph" w:customStyle="1" w:styleId="Head22">
    <w:name w:val="Head 2.2"/>
    <w:basedOn w:val="Normal"/>
    <w:pPr>
      <w:spacing w:after="0"/>
      <w:ind w:left="360" w:hanging="360"/>
      <w:jc w:val="left"/>
    </w:pPr>
    <w:rPr>
      <w:rFonts w:ascii="Tms Rmn" w:hAnsi="Tms Rmn"/>
      <w:b/>
    </w:rPr>
  </w:style>
  <w:style w:type="paragraph" w:customStyle="1" w:styleId="Head22b">
    <w:name w:val="Head 2.2b"/>
    <w:basedOn w:val="Normal"/>
    <w:pPr>
      <w:spacing w:after="0"/>
      <w:ind w:left="360" w:hanging="360"/>
      <w:jc w:val="left"/>
    </w:pPr>
    <w:rPr>
      <w:rFonts w:ascii="Tms Rmn" w:hAnsi="Tms Rmn"/>
      <w:b/>
    </w:rPr>
  </w:style>
  <w:style w:type="paragraph" w:customStyle="1" w:styleId="Head41">
    <w:name w:val="Head 4.1"/>
    <w:basedOn w:val="Normal"/>
    <w:pPr>
      <w:spacing w:after="0"/>
      <w:jc w:val="center"/>
    </w:pPr>
    <w:rPr>
      <w:rFonts w:ascii="Tms Rmn" w:hAnsi="Tms Rmn"/>
      <w:b/>
      <w:sz w:val="28"/>
    </w:rPr>
  </w:style>
  <w:style w:type="paragraph" w:customStyle="1" w:styleId="Head42">
    <w:name w:val="Head 4.2"/>
    <w:basedOn w:val="Normal"/>
    <w:pPr>
      <w:spacing w:after="0"/>
      <w:ind w:left="360" w:hanging="360"/>
      <w:jc w:val="left"/>
    </w:pPr>
    <w:rPr>
      <w:rFonts w:ascii="Tms Rmn" w:hAnsi="Tms Rmn"/>
      <w:b/>
    </w:rPr>
  </w:style>
  <w:style w:type="paragraph" w:customStyle="1" w:styleId="TextBoxdots">
    <w:name w:val="Text Box (dots)"/>
    <w:basedOn w:val="Normal"/>
    <w:pPr>
      <w:keepLines/>
      <w:framePr w:hSpace="187" w:wrap="around" w:vAnchor="text" w:hAnchor="text" w:xAlign="right" w:y="1"/>
      <w:pBdr>
        <w:top w:val="single" w:sz="6" w:space="7" w:color="auto"/>
        <w:left w:val="single" w:sz="6" w:space="7" w:color="auto"/>
        <w:bottom w:val="single" w:sz="6" w:space="7" w:color="auto"/>
        <w:right w:val="single" w:sz="6" w:space="7" w:color="auto"/>
      </w:pBdr>
      <w:shd w:val="pct10" w:color="auto" w:fill="auto"/>
      <w:spacing w:after="0"/>
    </w:pPr>
    <w:rPr>
      <w:sz w:val="22"/>
    </w:rPr>
  </w:style>
  <w:style w:type="paragraph" w:customStyle="1" w:styleId="plane">
    <w:name w:val="plane"/>
    <w:basedOn w:val="Normal"/>
    <w:pPr>
      <w:spacing w:after="0"/>
    </w:pPr>
    <w:rPr>
      <w:rFonts w:ascii="Tms Rmn" w:hAnsi="Tms Rmn"/>
    </w:rPr>
  </w:style>
  <w:style w:type="paragraph" w:customStyle="1" w:styleId="1">
    <w:name w:val="1"/>
    <w:basedOn w:val="Normal"/>
    <w:pPr>
      <w:spacing w:after="0"/>
      <w:ind w:left="720" w:hanging="720"/>
    </w:pPr>
    <w:rPr>
      <w:rFonts w:ascii="Tms Rmn" w:hAnsi="Tms Rmn"/>
    </w:rPr>
  </w:style>
  <w:style w:type="paragraph" w:customStyle="1" w:styleId="a">
    <w:name w:val="(a)"/>
    <w:basedOn w:val="Normal"/>
    <w:pPr>
      <w:spacing w:after="0"/>
      <w:ind w:left="1440" w:hanging="720"/>
    </w:pPr>
    <w:rPr>
      <w:rFonts w:ascii="Tms Rmn" w:hAnsi="Tms Rmn"/>
    </w:rPr>
  </w:style>
  <w:style w:type="table" w:styleId="TableGrid">
    <w:name w:val="Table Grid"/>
    <w:basedOn w:val="TableNormal"/>
    <w:uiPriority w:val="39"/>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Header1-ClausesAfter10pt">
    <w:name w:val="Style Header 1 - Clauses + After:  10 pt"/>
    <w:basedOn w:val="Header1-Clauses"/>
    <w:pPr>
      <w:spacing w:after="200"/>
    </w:pPr>
    <w:rPr>
      <w:bCs/>
    </w:rPr>
  </w:style>
  <w:style w:type="paragraph" w:customStyle="1" w:styleId="ClauseSubPara">
    <w:name w:val="ClauseSub_Para"/>
    <w:pPr>
      <w:spacing w:before="60" w:after="60"/>
      <w:ind w:left="2268"/>
    </w:pPr>
    <w:rPr>
      <w:sz w:val="22"/>
      <w:szCs w:val="22"/>
      <w:lang w:val="en-GB"/>
    </w:rPr>
  </w:style>
  <w:style w:type="paragraph" w:customStyle="1" w:styleId="DefaultParagraphFont1">
    <w:name w:val="Default Paragraph Font1"/>
    <w:next w:val="Normal"/>
    <w:pPr>
      <w:numPr>
        <w:numId w:val="10"/>
      </w:numPr>
    </w:pPr>
    <w:rPr>
      <w:rFonts w:ascii="‚l‚r –¾’©" w:hAnsi="‚l‚r –¾’©" w:cs="‚l‚r –¾’©"/>
      <w:sz w:val="21"/>
      <w:lang w:val="en-GB" w:eastAsia="en-GB"/>
    </w:rPr>
  </w:style>
  <w:style w:type="paragraph" w:customStyle="1" w:styleId="ClauseSubList">
    <w:name w:val="ClauseSub_List"/>
    <w:pPr>
      <w:tabs>
        <w:tab w:val="num" w:pos="3987"/>
      </w:tabs>
      <w:ind w:left="3987" w:hanging="567"/>
    </w:pPr>
    <w:rPr>
      <w:sz w:val="22"/>
      <w:szCs w:val="22"/>
      <w:lang w:val="en-GB"/>
    </w:rPr>
  </w:style>
  <w:style w:type="paragraph" w:customStyle="1" w:styleId="ClauseSubListSubList">
    <w:name w:val="ClauseSub_List_SubList"/>
    <w:pPr>
      <w:tabs>
        <w:tab w:val="num" w:pos="360"/>
      </w:tabs>
      <w:ind w:left="360" w:hanging="360"/>
    </w:pPr>
    <w:rPr>
      <w:sz w:val="22"/>
      <w:szCs w:val="22"/>
      <w:lang w:val="en-GB"/>
    </w:rPr>
  </w:style>
  <w:style w:type="paragraph" w:customStyle="1" w:styleId="ClauseSubParaIndent">
    <w:name w:val="ClauseSub_ParaIndent"/>
    <w:basedOn w:val="ClauseSubPara"/>
    <w:pPr>
      <w:ind w:left="2835"/>
    </w:pPr>
  </w:style>
  <w:style w:type="paragraph" w:customStyle="1" w:styleId="S1-Header">
    <w:name w:val="S1-Header"/>
    <w:basedOn w:val="BodyText2"/>
    <w:pPr>
      <w:tabs>
        <w:tab w:val="num" w:pos="360"/>
      </w:tabs>
      <w:spacing w:before="120" w:after="200" w:line="240" w:lineRule="auto"/>
      <w:ind w:left="360" w:hanging="360"/>
      <w:jc w:val="center"/>
    </w:pPr>
    <w:rPr>
      <w:b/>
      <w:sz w:val="28"/>
    </w:rPr>
  </w:style>
  <w:style w:type="paragraph" w:customStyle="1" w:styleId="S1a-header">
    <w:name w:val="S1a-header"/>
    <w:basedOn w:val="S1-Header"/>
  </w:style>
  <w:style w:type="paragraph" w:customStyle="1" w:styleId="S1b-header1">
    <w:name w:val="S1b-header1"/>
    <w:basedOn w:val="Normal"/>
    <w:pPr>
      <w:numPr>
        <w:numId w:val="11"/>
      </w:numPr>
      <w:spacing w:before="120" w:after="240"/>
      <w:jc w:val="center"/>
    </w:pPr>
    <w:rPr>
      <w:b/>
      <w:sz w:val="28"/>
    </w:rPr>
  </w:style>
  <w:style w:type="paragraph" w:customStyle="1" w:styleId="S4Header">
    <w:name w:val="S4 Header"/>
    <w:basedOn w:val="Normal"/>
    <w:next w:val="Normal"/>
    <w:link w:val="S4HeaderChar"/>
    <w:pPr>
      <w:spacing w:before="120" w:after="240"/>
      <w:jc w:val="center"/>
    </w:pPr>
    <w:rPr>
      <w:b/>
      <w:sz w:val="32"/>
    </w:rPr>
  </w:style>
  <w:style w:type="character" w:customStyle="1" w:styleId="S4HeaderChar">
    <w:name w:val="S4 Header Char"/>
    <w:basedOn w:val="DefaultParagraphFont"/>
    <w:link w:val="S4Header"/>
    <w:rPr>
      <w:b/>
      <w:sz w:val="32"/>
    </w:rPr>
  </w:style>
  <w:style w:type="paragraph" w:customStyle="1" w:styleId="StyleTOC1NotBold">
    <w:name w:val="Style TOC 1 + Not Bold"/>
    <w:basedOn w:val="TOC1"/>
    <w:pPr>
      <w:spacing w:before="0"/>
      <w:outlineLvl w:val="0"/>
    </w:pPr>
    <w:rPr>
      <w:rFonts w:ascii="Times New Roman" w:hAnsi="Times New Roman"/>
      <w:b w:val="0"/>
    </w:rPr>
  </w:style>
  <w:style w:type="paragraph" w:customStyle="1" w:styleId="S9Header">
    <w:name w:val="S9 Header"/>
    <w:basedOn w:val="Normal"/>
    <w:pPr>
      <w:spacing w:before="120" w:after="240"/>
      <w:jc w:val="center"/>
    </w:pPr>
    <w:rPr>
      <w:b/>
      <w:sz w:val="36"/>
    </w:rPr>
  </w:style>
  <w:style w:type="paragraph" w:customStyle="1" w:styleId="S7Header1">
    <w:name w:val="S7 Header 1"/>
    <w:basedOn w:val="S1-Header"/>
    <w:next w:val="Normal"/>
    <w:pPr>
      <w:tabs>
        <w:tab w:val="clear" w:pos="360"/>
        <w:tab w:val="num" w:pos="648"/>
      </w:tabs>
      <w:spacing w:after="240"/>
      <w:ind w:hanging="72"/>
    </w:pPr>
  </w:style>
  <w:style w:type="paragraph" w:customStyle="1" w:styleId="S7Header2">
    <w:name w:val="S7 Header 2"/>
    <w:basedOn w:val="Normal"/>
    <w:next w:val="Normal"/>
    <w:pPr>
      <w:ind w:left="432" w:hanging="432"/>
      <w:jc w:val="left"/>
    </w:pPr>
    <w:rPr>
      <w:b/>
    </w:rPr>
  </w:style>
  <w:style w:type="paragraph" w:customStyle="1" w:styleId="StyleS7Header2NotBold">
    <w:name w:val="Style S7 Header 2 + Not Bold"/>
    <w:basedOn w:val="S7Header2"/>
  </w:style>
  <w:style w:type="paragraph" w:customStyle="1" w:styleId="S8Header1">
    <w:name w:val="S8 Header 1"/>
    <w:basedOn w:val="Normal"/>
    <w:next w:val="Normal"/>
    <w:pPr>
      <w:spacing w:before="120" w:after="200"/>
    </w:pPr>
    <w:rPr>
      <w:b/>
    </w:rPr>
  </w:style>
  <w:style w:type="paragraph" w:customStyle="1" w:styleId="S9-appx">
    <w:name w:val="S9 - appx"/>
    <w:basedOn w:val="Normal"/>
    <w:pPr>
      <w:spacing w:before="120" w:after="240"/>
      <w:jc w:val="center"/>
    </w:pPr>
    <w:rPr>
      <w:b/>
      <w:sz w:val="28"/>
    </w:rPr>
  </w:style>
  <w:style w:type="paragraph" w:customStyle="1" w:styleId="UGHeading1">
    <w:name w:val="UG Heading 1"/>
    <w:basedOn w:val="Normal"/>
    <w:pPr>
      <w:spacing w:before="120" w:after="240"/>
      <w:jc w:val="center"/>
    </w:pPr>
    <w:rPr>
      <w:b/>
      <w:sz w:val="36"/>
    </w:rPr>
  </w:style>
  <w:style w:type="paragraph" w:customStyle="1" w:styleId="StyleHeader2-SubClausesLeft-001Hanging044After">
    <w:name w:val="Style Header 2 - SubClauses + Left:  -0.01&quot; Hanging:  0.44&quot; After..."/>
    <w:basedOn w:val="Header2-SubClauses"/>
    <w:pPr>
      <w:spacing w:after="240"/>
    </w:pPr>
  </w:style>
  <w:style w:type="paragraph" w:customStyle="1" w:styleId="S1-OptB-subpara">
    <w:name w:val="S1-OptB-sub para"/>
    <w:basedOn w:val="Normal"/>
    <w:pPr>
      <w:numPr>
        <w:ilvl w:val="1"/>
        <w:numId w:val="12"/>
      </w:numPr>
      <w:spacing w:after="200"/>
    </w:pPr>
  </w:style>
  <w:style w:type="paragraph" w:customStyle="1" w:styleId="S4-header1">
    <w:name w:val="S4-header1"/>
    <w:basedOn w:val="Normal"/>
    <w:pPr>
      <w:spacing w:before="120" w:after="240"/>
      <w:jc w:val="center"/>
    </w:pPr>
    <w:rPr>
      <w:b/>
      <w:sz w:val="36"/>
    </w:rPr>
  </w:style>
  <w:style w:type="paragraph" w:customStyle="1" w:styleId="UserGuide">
    <w:name w:val="User Guide"/>
    <w:basedOn w:val="Normal"/>
    <w:pPr>
      <w:spacing w:after="0"/>
      <w:jc w:val="center"/>
    </w:pPr>
    <w:rPr>
      <w:b/>
      <w:sz w:val="72"/>
    </w:rPr>
  </w:style>
  <w:style w:type="paragraph" w:customStyle="1" w:styleId="StyleHeader1-ClausesAfter0pt">
    <w:name w:val="Style Header 1 - Clauses + After:  0 pt"/>
    <w:basedOn w:val="Normal"/>
    <w:pPr>
      <w:spacing w:after="200"/>
    </w:pPr>
    <w:rPr>
      <w:bCs/>
      <w:lang w:val="es-ES_tradnl"/>
    </w:rPr>
  </w:style>
  <w:style w:type="paragraph" w:customStyle="1" w:styleId="StyleHeading3SectionHeader3ClauseSubNoNameBold">
    <w:name w:val="Style Heading 3Section Header3ClauseSub_No&amp;Name + Bold"/>
    <w:basedOn w:val="Heading3"/>
    <w:pPr>
      <w:tabs>
        <w:tab w:val="num" w:pos="864"/>
      </w:tabs>
      <w:spacing w:after="200"/>
      <w:ind w:left="864" w:hanging="432"/>
    </w:pPr>
    <w:rPr>
      <w:rFonts w:ascii="Times New Roman" w:hAnsi="Times New Roman"/>
      <w:bCs/>
    </w:rPr>
  </w:style>
  <w:style w:type="paragraph" w:customStyle="1" w:styleId="outlinebullet">
    <w:name w:val="outlinebullet"/>
    <w:basedOn w:val="Normal"/>
    <w:pPr>
      <w:tabs>
        <w:tab w:val="num" w:pos="720"/>
        <w:tab w:val="num" w:pos="1037"/>
        <w:tab w:val="left" w:pos="1440"/>
      </w:tabs>
      <w:spacing w:before="120" w:after="0"/>
      <w:ind w:left="1440" w:hanging="450"/>
      <w:jc w:val="left"/>
    </w:pPr>
    <w:rPr>
      <w:lang w:eastAsia="fr-FR"/>
    </w:rPr>
  </w:style>
  <w:style w:type="paragraph" w:customStyle="1" w:styleId="a11">
    <w:name w:val="a1 1"/>
    <w:pPr>
      <w:widowControl w:val="0"/>
      <w:tabs>
        <w:tab w:val="left" w:pos="-720"/>
      </w:tabs>
    </w:pPr>
    <w:rPr>
      <w:rFonts w:ascii="CG Times" w:hAnsi="CG Times"/>
      <w:sz w:val="24"/>
    </w:rPr>
  </w:style>
  <w:style w:type="paragraph" w:customStyle="1" w:styleId="REGULAR3">
    <w:name w:val="REGULAR 3"/>
    <w:pPr>
      <w:widowControl w:val="0"/>
      <w:tabs>
        <w:tab w:val="left" w:pos="0"/>
        <w:tab w:val="right" w:pos="1560"/>
        <w:tab w:val="left" w:pos="1800"/>
        <w:tab w:val="left" w:pos="2160"/>
      </w:tabs>
    </w:pPr>
    <w:rPr>
      <w:rFonts w:ascii="CG Times" w:hAnsi="CG Times"/>
      <w:sz w:val="24"/>
    </w:rPr>
  </w:style>
  <w:style w:type="paragraph" w:styleId="TOAHeading">
    <w:name w:val="toa heading"/>
    <w:basedOn w:val="Normal"/>
    <w:next w:val="Normal"/>
    <w:pPr>
      <w:tabs>
        <w:tab w:val="left" w:pos="9000"/>
        <w:tab w:val="right" w:pos="9360"/>
      </w:tabs>
      <w:spacing w:after="0"/>
    </w:pPr>
    <w:rPr>
      <w:lang w:val="en-GB"/>
    </w:rPr>
  </w:style>
  <w:style w:type="paragraph" w:customStyle="1" w:styleId="Headfid1">
    <w:name w:val="Head fid1"/>
    <w:basedOn w:val="Normal"/>
    <w:pPr>
      <w:spacing w:before="120"/>
    </w:pPr>
    <w:rPr>
      <w:b/>
      <w:lang w:val="en-GB"/>
    </w:rPr>
  </w:style>
  <w:style w:type="paragraph" w:customStyle="1" w:styleId="UG-Sec3-heading1">
    <w:name w:val="UG-Sec3-heading1"/>
    <w:basedOn w:val="Heading2"/>
    <w:link w:val="UG-Sec3-heading1Char"/>
    <w:pPr>
      <w:pBdr>
        <w:bottom w:val="none" w:sz="0" w:space="0" w:color="auto"/>
      </w:pBdr>
      <w:tabs>
        <w:tab w:val="left" w:pos="619"/>
      </w:tabs>
      <w:spacing w:before="120" w:after="200"/>
      <w:jc w:val="left"/>
    </w:pPr>
    <w:rPr>
      <w:szCs w:val="28"/>
    </w:rPr>
  </w:style>
  <w:style w:type="character" w:customStyle="1" w:styleId="UG-Sec3-heading1Char">
    <w:name w:val="UG-Sec3-heading1 Char"/>
    <w:basedOn w:val="Heading2Char"/>
    <w:link w:val="UG-Sec3-heading1"/>
    <w:rPr>
      <w:rFonts w:ascii="Arial" w:hAnsi="Arial"/>
      <w:b/>
      <w:sz w:val="28"/>
      <w:szCs w:val="28"/>
    </w:rPr>
  </w:style>
  <w:style w:type="paragraph" w:customStyle="1" w:styleId="UG-Sec3-Heading2">
    <w:name w:val="UG-Sec3-Heading2"/>
    <w:basedOn w:val="Normal"/>
    <w:pPr>
      <w:spacing w:after="200"/>
    </w:pPr>
    <w:rPr>
      <w:b/>
      <w:bCs/>
      <w:color w:val="000000"/>
    </w:rPr>
  </w:style>
  <w:style w:type="paragraph" w:customStyle="1" w:styleId="StyleUG-Sec3-heading18ptBlack">
    <w:name w:val="Style UG-Sec3-heading1 + 8 pt Black"/>
    <w:basedOn w:val="UG-Sec3-heading1"/>
    <w:link w:val="StyleUG-Sec3-heading18ptBlackChar"/>
    <w:rPr>
      <w:bCs/>
      <w:color w:val="000000"/>
      <w:sz w:val="24"/>
    </w:rPr>
  </w:style>
  <w:style w:type="character" w:customStyle="1" w:styleId="StyleUG-Sec3-heading18ptBlackChar">
    <w:name w:val="Style UG-Sec3-heading1 + 8 pt Black Char"/>
    <w:basedOn w:val="UG-Sec3-heading1Char"/>
    <w:link w:val="StyleUG-Sec3-heading18ptBlack"/>
    <w:rPr>
      <w:rFonts w:ascii="Arial" w:hAnsi="Arial"/>
      <w:b/>
      <w:bCs/>
      <w:color w:val="000000"/>
      <w:sz w:val="24"/>
      <w:szCs w:val="28"/>
    </w:rPr>
  </w:style>
  <w:style w:type="paragraph" w:customStyle="1" w:styleId="UG-Sec3b-Heading1">
    <w:name w:val="UG-Sec3b-Heading1"/>
    <w:basedOn w:val="UG-Sec3-heading1"/>
  </w:style>
  <w:style w:type="paragraph" w:customStyle="1" w:styleId="UG-Sec3b-Heading2">
    <w:name w:val="UG-Sec3b-Heading2"/>
    <w:basedOn w:val="UG-Sec3-Heading2"/>
  </w:style>
  <w:style w:type="paragraph" w:customStyle="1" w:styleId="SecVI-Header2">
    <w:name w:val="Sec VI - Header 2"/>
    <w:basedOn w:val="Heading3"/>
    <w:link w:val="SecVI-Header2Char"/>
    <w:pPr>
      <w:tabs>
        <w:tab w:val="num" w:pos="864"/>
      </w:tabs>
      <w:spacing w:after="200"/>
    </w:pPr>
    <w:rPr>
      <w:rFonts w:ascii="Times New Roman" w:hAnsi="Times New Roman"/>
      <w:szCs w:val="28"/>
    </w:rPr>
  </w:style>
  <w:style w:type="character" w:customStyle="1" w:styleId="SecVI-Header2Char">
    <w:name w:val="Sec VI - Header 2 Char"/>
    <w:basedOn w:val="Heading3Char1"/>
    <w:link w:val="SecVI-Header2"/>
    <w:rPr>
      <w:rFonts w:ascii="Times New Roman Bold" w:hAnsi="Times New Roman Bold"/>
      <w:b/>
      <w:sz w:val="28"/>
      <w:szCs w:val="28"/>
    </w:rPr>
  </w:style>
  <w:style w:type="paragraph" w:customStyle="1" w:styleId="SecVI-Header3">
    <w:name w:val="Sec VI - Header 3"/>
    <w:basedOn w:val="SecVI-Header2"/>
    <w:link w:val="SecVI-Header3Char"/>
    <w:rPr>
      <w:sz w:val="24"/>
    </w:rPr>
  </w:style>
  <w:style w:type="character" w:customStyle="1" w:styleId="SecVI-Header3Char">
    <w:name w:val="Sec VI - Header 3 Char"/>
    <w:basedOn w:val="SecVI-Header2Char"/>
    <w:link w:val="SecVI-Header3"/>
    <w:rPr>
      <w:rFonts w:ascii="Times New Roman Bold" w:hAnsi="Times New Roman Bold"/>
      <w:b/>
      <w:sz w:val="24"/>
      <w:szCs w:val="28"/>
    </w:rPr>
  </w:style>
  <w:style w:type="paragraph" w:customStyle="1" w:styleId="SecVI-Header1">
    <w:name w:val="Sec VI - Header 1"/>
    <w:basedOn w:val="SectionVHeader"/>
  </w:style>
  <w:style w:type="paragraph" w:customStyle="1" w:styleId="UG-Part">
    <w:name w:val="UG - Part"/>
    <w:basedOn w:val="Heading1"/>
    <w:pPr>
      <w:spacing w:before="120"/>
    </w:pPr>
    <w:rPr>
      <w:rFonts w:ascii="Times New Roman" w:hAnsi="Times New Roman"/>
      <w:bCs/>
      <w:smallCaps w:val="0"/>
    </w:rPr>
  </w:style>
  <w:style w:type="paragraph" w:customStyle="1" w:styleId="UG-Option">
    <w:name w:val="UG - Option"/>
    <w:basedOn w:val="Option"/>
    <w:pPr>
      <w:spacing w:before="240"/>
    </w:pPr>
    <w:rPr>
      <w:sz w:val="44"/>
    </w:rPr>
  </w:style>
  <w:style w:type="paragraph" w:customStyle="1" w:styleId="UG-OptB-Sec3-heading1">
    <w:name w:val="UG-OptB-Sec 3 - heading1"/>
    <w:basedOn w:val="UG-Sec3-heading1"/>
  </w:style>
  <w:style w:type="paragraph" w:customStyle="1" w:styleId="UGOptB-Sec3-Heading2">
    <w:name w:val="UG OptB - Sec 3 - Heading 2"/>
    <w:basedOn w:val="UG-Sec3-Heading2"/>
  </w:style>
  <w:style w:type="paragraph" w:customStyle="1" w:styleId="UG-OptB-Sec3b-heading1">
    <w:name w:val="UG-OptB-Sec 3b - heading 1"/>
    <w:basedOn w:val="UG-OptB-Sec3-heading1"/>
  </w:style>
  <w:style w:type="paragraph" w:customStyle="1" w:styleId="UGOptB-Sec3b-Heading2">
    <w:name w:val="UG OptB - Sec 3b - Heading 2"/>
    <w:basedOn w:val="UGOptB-Sec3-Heading2"/>
  </w:style>
  <w:style w:type="paragraph" w:customStyle="1" w:styleId="UG-SectionIV-Heading1">
    <w:name w:val="UG - Section IV - Heading 1"/>
    <w:basedOn w:val="Subtitle"/>
    <w:pPr>
      <w:spacing w:before="120" w:after="200"/>
    </w:pPr>
    <w:rPr>
      <w:sz w:val="40"/>
    </w:rPr>
  </w:style>
  <w:style w:type="paragraph" w:customStyle="1" w:styleId="UG-SectionIV-Heading2">
    <w:name w:val="UG - Section IV - Heading 2"/>
    <w:basedOn w:val="Normal"/>
    <w:next w:val="Normal"/>
    <w:pPr>
      <w:spacing w:before="120" w:after="200"/>
      <w:jc w:val="left"/>
    </w:pPr>
    <w:rPr>
      <w:b/>
      <w:sz w:val="32"/>
      <w:szCs w:val="22"/>
    </w:rPr>
  </w:style>
  <w:style w:type="paragraph" w:customStyle="1" w:styleId="UG-SectionVI-Heading1">
    <w:name w:val="UG - Section VI - Heading 1"/>
    <w:basedOn w:val="UG-SectionIV-Heading1"/>
  </w:style>
  <w:style w:type="paragraph" w:customStyle="1" w:styleId="UG-SectionVI-Heading2">
    <w:name w:val="UG - Section VI - Heading 2"/>
    <w:basedOn w:val="UG-SectionIV-Heading2"/>
    <w:next w:val="Normal"/>
    <w:pPr>
      <w:jc w:val="center"/>
    </w:pPr>
  </w:style>
  <w:style w:type="paragraph" w:customStyle="1" w:styleId="UG-SectionVI-Heading3">
    <w:name w:val="UG - Section VI - Heading 3"/>
    <w:basedOn w:val="Normal"/>
    <w:next w:val="Normal"/>
    <w:pPr>
      <w:spacing w:before="120" w:after="200"/>
      <w:jc w:val="center"/>
    </w:pPr>
    <w:rPr>
      <w:b/>
      <w:sz w:val="28"/>
    </w:rPr>
  </w:style>
  <w:style w:type="paragraph" w:customStyle="1" w:styleId="UG-SectionIX-Heading1">
    <w:name w:val="UG - Section IX - Heading 1"/>
    <w:basedOn w:val="Heading2"/>
    <w:pPr>
      <w:pBdr>
        <w:bottom w:val="none" w:sz="0" w:space="0" w:color="auto"/>
      </w:pBdr>
      <w:tabs>
        <w:tab w:val="left" w:pos="619"/>
      </w:tabs>
      <w:spacing w:after="200"/>
    </w:pPr>
    <w:rPr>
      <w:rFonts w:ascii="Times New Roman" w:hAnsi="Times New Roman"/>
      <w:sz w:val="32"/>
      <w:szCs w:val="28"/>
    </w:rPr>
  </w:style>
  <w:style w:type="paragraph" w:customStyle="1" w:styleId="UG-SectionIX-Heading2">
    <w:name w:val="UG - Section IX - Heading 2"/>
    <w:basedOn w:val="Heading2"/>
    <w:pPr>
      <w:pBdr>
        <w:bottom w:val="none" w:sz="0" w:space="0" w:color="auto"/>
      </w:pBdr>
      <w:tabs>
        <w:tab w:val="left" w:pos="619"/>
      </w:tabs>
      <w:spacing w:after="200"/>
    </w:pPr>
    <w:rPr>
      <w:rFonts w:ascii="Times New Roman" w:hAnsi="Times New Roman"/>
      <w:szCs w:val="28"/>
    </w:rPr>
  </w:style>
  <w:style w:type="paragraph" w:customStyle="1" w:styleId="StyleHeading3SectionHeader3ClauseSubNoNameHeading3CharSe">
    <w:name w:val="Style Heading 3Section Header3ClauseSub_No&amp;NameHeading 3 CharSe..."/>
    <w:basedOn w:val="Heading3"/>
    <w:pPr>
      <w:tabs>
        <w:tab w:val="num" w:pos="864"/>
      </w:tabs>
      <w:spacing w:after="200"/>
      <w:ind w:left="864" w:hanging="432"/>
    </w:pPr>
    <w:rPr>
      <w:rFonts w:ascii="Times New Roman" w:hAnsi="Times New Roman"/>
    </w:rPr>
  </w:style>
  <w:style w:type="paragraph" w:customStyle="1" w:styleId="StyleHeader2-SubClausesBold">
    <w:name w:val="Style Header 2 - SubClauses + Bold"/>
    <w:basedOn w:val="Normal"/>
    <w:link w:val="StyleHeader2-SubClausesBoldChar"/>
    <w:pPr>
      <w:tabs>
        <w:tab w:val="left" w:pos="576"/>
      </w:tabs>
      <w:spacing w:after="200"/>
      <w:ind w:left="612"/>
    </w:pPr>
    <w:rPr>
      <w:b/>
      <w:bCs/>
      <w:lang w:val="es-ES_tradnl"/>
    </w:rPr>
  </w:style>
  <w:style w:type="character" w:customStyle="1" w:styleId="StyleHeader2-SubClausesBoldChar">
    <w:name w:val="Style Header 2 - SubClauses + Bold Char"/>
    <w:basedOn w:val="DefaultParagraphFont"/>
    <w:link w:val="StyleHeader2-SubClausesBold"/>
    <w:rPr>
      <w:b/>
      <w:bCs/>
      <w:sz w:val="24"/>
      <w:lang w:val="es-ES_tradnl"/>
    </w:rPr>
  </w:style>
  <w:style w:type="character" w:customStyle="1" w:styleId="apple-converted-space">
    <w:name w:val="apple-converted-space"/>
    <w:basedOn w:val="DefaultParagraphFont"/>
  </w:style>
  <w:style w:type="paragraph" w:customStyle="1" w:styleId="HeadingQT2">
    <w:name w:val="Heading QT2"/>
    <w:basedOn w:val="Normal"/>
    <w:link w:val="HeadingQT2Char"/>
    <w:qFormat/>
    <w:pPr>
      <w:spacing w:after="134"/>
      <w:ind w:left="720" w:right="-14" w:hanging="360"/>
      <w:jc w:val="left"/>
    </w:pPr>
    <w:rPr>
      <w:b/>
      <w:sz w:val="28"/>
      <w:szCs w:val="28"/>
    </w:rPr>
  </w:style>
  <w:style w:type="character" w:customStyle="1" w:styleId="HeadingQT2Char">
    <w:name w:val="Heading QT2 Char"/>
    <w:basedOn w:val="DefaultParagraphFont"/>
    <w:link w:val="HeadingQT2"/>
    <w:rPr>
      <w:b/>
      <w:sz w:val="28"/>
      <w:szCs w:val="28"/>
    </w:rPr>
  </w:style>
  <w:style w:type="paragraph" w:customStyle="1" w:styleId="Style11">
    <w:name w:val="Style 11"/>
    <w:basedOn w:val="Normal"/>
    <w:pPr>
      <w:widowControl w:val="0"/>
      <w:spacing w:after="0" w:line="384" w:lineRule="atLeast"/>
      <w:jc w:val="left"/>
    </w:pPr>
    <w:rPr>
      <w:szCs w:val="24"/>
    </w:rPr>
  </w:style>
  <w:style w:type="paragraph" w:styleId="TOCHeading">
    <w:name w:val="TOC Heading"/>
    <w:basedOn w:val="Heading1"/>
    <w:next w:val="Normal"/>
    <w:uiPriority w:val="39"/>
    <w:unhideWhenUsed/>
    <w:qFormat/>
    <w:pPr>
      <w:keepNext/>
      <w:keepLines/>
      <w:spacing w:after="0" w:line="276" w:lineRule="auto"/>
      <w:jc w:val="left"/>
      <w:outlineLvl w:val="9"/>
    </w:pPr>
    <w:rPr>
      <w:rFonts w:asciiTheme="majorHAnsi" w:eastAsiaTheme="majorEastAsia" w:hAnsiTheme="majorHAnsi" w:cstheme="majorBidi"/>
      <w:bCs/>
      <w:smallCaps w:val="0"/>
      <w:color w:val="365F91" w:themeColor="accent1" w:themeShade="BF"/>
      <w:sz w:val="28"/>
      <w:szCs w:val="28"/>
      <w:lang w:eastAsia="ja-JP"/>
    </w:rPr>
  </w:style>
  <w:style w:type="paragraph" w:customStyle="1" w:styleId="tabletxt">
    <w:name w:val="table_txt"/>
    <w:basedOn w:val="Normal"/>
    <w:pPr>
      <w:jc w:val="left"/>
    </w:pPr>
    <w:rPr>
      <w:sz w:val="22"/>
    </w:rPr>
  </w:style>
  <w:style w:type="paragraph" w:styleId="ListNumber2">
    <w:name w:val="List Number 2"/>
    <w:basedOn w:val="Normal"/>
    <w:unhideWhenUsed/>
    <w:pPr>
      <w:numPr>
        <w:numId w:val="36"/>
      </w:numPr>
      <w:contextualSpacing/>
    </w:pPr>
  </w:style>
  <w:style w:type="paragraph" w:customStyle="1" w:styleId="S3h1">
    <w:name w:val="S3 h1"/>
    <w:basedOn w:val="Normal"/>
    <w:link w:val="S3h1Char"/>
    <w:qFormat/>
    <w:pPr>
      <w:jc w:val="left"/>
    </w:pPr>
    <w:rPr>
      <w:b/>
      <w:iCs/>
      <w:sz w:val="28"/>
    </w:rPr>
  </w:style>
  <w:style w:type="character" w:customStyle="1" w:styleId="S3h1Char">
    <w:name w:val="S3 h1 Char"/>
    <w:basedOn w:val="DefaultParagraphFont"/>
    <w:link w:val="S3h1"/>
    <w:rPr>
      <w:b/>
      <w:iCs/>
      <w:sz w:val="28"/>
    </w:rPr>
  </w:style>
  <w:style w:type="paragraph" w:customStyle="1" w:styleId="Sec3h1">
    <w:name w:val="Sec3 h1"/>
    <w:basedOn w:val="ListParagraph"/>
    <w:link w:val="Sec3h1Char"/>
    <w:qFormat/>
    <w:pPr>
      <w:numPr>
        <w:numId w:val="44"/>
      </w:numPr>
      <w:jc w:val="left"/>
    </w:pPr>
  </w:style>
  <w:style w:type="character" w:customStyle="1" w:styleId="Sec3h1Char">
    <w:name w:val="Sec3 h1 Char"/>
    <w:basedOn w:val="ListParagraphChar"/>
    <w:link w:val="Sec3h1"/>
    <w:rPr>
      <w:sz w:val="24"/>
    </w:rPr>
  </w:style>
  <w:style w:type="paragraph" w:customStyle="1" w:styleId="SPDForm2">
    <w:name w:val="SPD  Form 2"/>
    <w:basedOn w:val="Normal"/>
    <w:qFormat/>
    <w:pPr>
      <w:spacing w:before="120" w:after="240"/>
      <w:jc w:val="center"/>
    </w:pPr>
    <w:rPr>
      <w:b/>
      <w:sz w:val="36"/>
    </w:rPr>
  </w:style>
  <w:style w:type="paragraph" w:customStyle="1" w:styleId="SectionXHeading">
    <w:name w:val="Section X Heading"/>
    <w:basedOn w:val="Normal"/>
    <w:pPr>
      <w:spacing w:before="240" w:after="240"/>
      <w:jc w:val="center"/>
    </w:pPr>
    <w:rPr>
      <w:rFonts w:ascii="Times New Roman Bold" w:hAnsi="Times New Roman Bold"/>
      <w:b/>
      <w:sz w:val="36"/>
      <w:szCs w:val="24"/>
    </w:rPr>
  </w:style>
  <w:style w:type="paragraph" w:customStyle="1" w:styleId="S4-Heading2">
    <w:name w:val="S4-Heading 2"/>
    <w:basedOn w:val="S4Header"/>
    <w:qFormat/>
    <w:pPr>
      <w:ind w:right="-14"/>
    </w:pPr>
  </w:style>
  <w:style w:type="paragraph" w:customStyle="1" w:styleId="StyleP3Header1-ClausesAfter12pt">
    <w:name w:val="Style P3 Header1-Clauses + After:  12 pt"/>
    <w:basedOn w:val="P3Header1-Clauses"/>
    <w:pPr>
      <w:tabs>
        <w:tab w:val="left" w:pos="972"/>
        <w:tab w:val="left" w:pos="1008"/>
      </w:tabs>
      <w:spacing w:after="240"/>
      <w:jc w:val="both"/>
    </w:pPr>
    <w:rPr>
      <w:b w:val="0"/>
      <w:szCs w:val="24"/>
      <w:lang w:val="es-ES_tradnl"/>
    </w:rPr>
  </w:style>
  <w:style w:type="character" w:styleId="PlaceholderText">
    <w:name w:val="Placeholder Text"/>
    <w:basedOn w:val="DefaultParagraphFont"/>
    <w:uiPriority w:val="99"/>
    <w:semiHidden/>
    <w:rPr>
      <w:color w:val="808080"/>
    </w:rPr>
  </w:style>
  <w:style w:type="paragraph" w:customStyle="1" w:styleId="ITBHeading2">
    <w:name w:val="ITB Heading 2"/>
    <w:basedOn w:val="Head12a"/>
    <w:link w:val="ITBHeading2Char"/>
    <w:qFormat/>
    <w:pPr>
      <w:numPr>
        <w:ilvl w:val="0"/>
        <w:numId w:val="59"/>
      </w:numPr>
      <w:spacing w:after="200"/>
    </w:pPr>
    <w:rPr>
      <w:szCs w:val="24"/>
    </w:rPr>
  </w:style>
  <w:style w:type="character" w:customStyle="1" w:styleId="ITBHeading2Char">
    <w:name w:val="ITB Heading 2 Char"/>
    <w:basedOn w:val="Head12aChar"/>
    <w:link w:val="ITBHeading2"/>
    <w:rPr>
      <w:b/>
      <w:sz w:val="24"/>
      <w:szCs w:val="24"/>
    </w:rPr>
  </w:style>
  <w:style w:type="paragraph" w:customStyle="1" w:styleId="ITBHeading1">
    <w:name w:val="ITB Heading 1"/>
    <w:basedOn w:val="Head11a"/>
    <w:link w:val="ITBHeading1Char"/>
    <w:qFormat/>
    <w:pPr>
      <w:pBdr>
        <w:bottom w:val="none" w:sz="0" w:space="0" w:color="auto"/>
      </w:pBdr>
      <w:spacing w:before="0" w:after="200"/>
    </w:pPr>
    <w:rPr>
      <w:rFonts w:ascii="Times New Roman" w:hAnsi="Times New Roman"/>
      <w:sz w:val="36"/>
      <w:szCs w:val="36"/>
    </w:rPr>
  </w:style>
  <w:style w:type="character" w:customStyle="1" w:styleId="ITBHeading1Char">
    <w:name w:val="ITB Heading 1 Char"/>
    <w:basedOn w:val="Head11aChar"/>
    <w:link w:val="ITBHeading1"/>
    <w:rPr>
      <w:rFonts w:ascii="Times New Roman Bold" w:hAnsi="Times New Roman Bold"/>
      <w:b/>
      <w:smallCaps/>
      <w:sz w:val="36"/>
      <w:szCs w:val="36"/>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CommentTextChar">
    <w:name w:val="Comment Text Char"/>
    <w:link w:val="CommentText"/>
    <w:uiPriority w:val="99"/>
    <w:qFormat/>
  </w:style>
  <w:style w:type="paragraph" w:customStyle="1" w:styleId="Section3-Heading1">
    <w:name w:val="Section 3 - Heading 1"/>
    <w:basedOn w:val="Heading2"/>
    <w:pPr>
      <w:pBdr>
        <w:bottom w:val="none" w:sz="0" w:space="0" w:color="auto"/>
      </w:pBdr>
      <w:spacing w:after="0"/>
    </w:pPr>
    <w:rPr>
      <w:rFonts w:ascii="Times New Roman" w:hAnsi="Times New Roman"/>
      <w:sz w:val="32"/>
      <w:szCs w:val="24"/>
    </w:rPr>
  </w:style>
  <w:style w:type="paragraph" w:customStyle="1" w:styleId="Section5-Heading1">
    <w:name w:val="Section 5 - Heading 1"/>
    <w:basedOn w:val="Heading2"/>
    <w:pPr>
      <w:pBdr>
        <w:bottom w:val="none" w:sz="0" w:space="0" w:color="auto"/>
      </w:pBdr>
      <w:spacing w:before="240" w:after="0"/>
    </w:pPr>
    <w:rPr>
      <w:rFonts w:ascii="Times New Roman" w:hAnsi="Times New Roman"/>
      <w:sz w:val="32"/>
      <w:szCs w:val="24"/>
    </w:rPr>
  </w:style>
  <w:style w:type="table" w:customStyle="1" w:styleId="TableGrid11">
    <w:name w:val="Table Grid11"/>
    <w:basedOn w:val="TableNormal"/>
    <w:next w:val="TableGrid"/>
    <w:uiPriority w:val="3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pPr>
      <w:jc w:val="both"/>
    </w:pPr>
    <w:rPr>
      <w:sz w:val="24"/>
    </w:rPr>
  </w:style>
  <w:style w:type="table" w:customStyle="1" w:styleId="TableGrid1">
    <w:name w:val="Table Grid1"/>
    <w:basedOn w:val="TableNormal"/>
    <w:next w:val="TableGrid"/>
    <w:uiPriority w:val="39"/>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Pr>
      <w:rFonts w:eastAsiaTheme="minorHAnsi"/>
      <w:color w:val="000000"/>
      <w:sz w:val="24"/>
      <w:szCs w:val="24"/>
    </w:rPr>
  </w:style>
  <w:style w:type="table" w:customStyle="1" w:styleId="TableGrid21">
    <w:name w:val="Table Grid21"/>
    <w:basedOn w:val="TableNormal"/>
    <w:next w:val="TableGrid"/>
    <w:uiPriority w:val="3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f0">
    <w:name w:val="pf0"/>
    <w:basedOn w:val="Normal"/>
    <w:pPr>
      <w:spacing w:before="100" w:beforeAutospacing="1" w:after="100" w:afterAutospacing="1"/>
      <w:jc w:val="left"/>
    </w:pPr>
    <w:rPr>
      <w:szCs w:val="24"/>
    </w:rPr>
  </w:style>
  <w:style w:type="character" w:customStyle="1" w:styleId="cf01">
    <w:name w:val="cf01"/>
    <w:basedOn w:val="DefaultParagraphFont"/>
    <w:rPr>
      <w:rFonts w:ascii="Segoe UI" w:hAnsi="Segoe UI" w:cs="Segoe UI" w:hint="default"/>
      <w:sz w:val="18"/>
      <w:szCs w:val="18"/>
    </w:rPr>
  </w:style>
  <w:style w:type="table" w:customStyle="1" w:styleId="TableGrid3">
    <w:name w:val="Table Grid3"/>
    <w:basedOn w:val="TableNormal"/>
    <w:next w:val="TableGrid"/>
    <w:uiPriority w:val="3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Bullet">
    <w:name w:val="List Bullet"/>
    <w:basedOn w:val="Normal"/>
    <w:uiPriority w:val="99"/>
    <w:semiHidden/>
    <w:unhideWhenUsed/>
    <w:pPr>
      <w:numPr>
        <w:numId w:val="86"/>
      </w:numPr>
      <w:contextualSpacing/>
    </w:pPr>
  </w:style>
  <w:style w:type="character" w:customStyle="1" w:styleId="markedcontent">
    <w:name w:val="markedcontent"/>
    <w:basedOn w:val="DefaultParagraphFont"/>
  </w:style>
  <w:style w:type="character" w:customStyle="1" w:styleId="fontstyle01">
    <w:name w:val="fontstyle01"/>
    <w:basedOn w:val="DefaultParagraphFont"/>
    <w:rPr>
      <w:rFonts w:ascii="TimesNewRomanPSMT" w:hAnsi="TimesNewRomanPSMT" w:hint="default"/>
      <w:b w:val="0"/>
      <w:bCs w:val="0"/>
      <w:i w:val="0"/>
      <w:iCs w:val="0"/>
      <w:color w:val="000000"/>
      <w:sz w:val="22"/>
      <w:szCs w:val="22"/>
    </w:rPr>
  </w:style>
  <w:style w:type="character" w:customStyle="1" w:styleId="jpfdse">
    <w:name w:val="jpfdse"/>
    <w:basedOn w:val="DefaultParagraphFont"/>
  </w:style>
  <w:style w:type="table" w:customStyle="1" w:styleId="TableGrid12">
    <w:name w:val="Table Grid12"/>
    <w:basedOn w:val="TableNormal"/>
    <w:next w:val="TableGrid"/>
    <w:uiPriority w:val="39"/>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ynqvb">
    <w:name w:val="rynqvb"/>
    <w:basedOn w:val="DefaultParagraphFont"/>
  </w:style>
  <w:style w:type="paragraph" w:customStyle="1" w:styleId="AAMTableRow">
    <w:name w:val="AAM_TableRow"/>
    <w:basedOn w:val="Normal"/>
    <w:qFormat/>
    <w:rsid w:val="00590162"/>
    <w:pPr>
      <w:spacing w:before="40" w:after="40"/>
      <w:ind w:left="57" w:right="57"/>
    </w:pPr>
    <w:rPr>
      <w:rFonts w:ascii="Franklin Gothic Book" w:hAnsi="Franklin Gothic Book"/>
      <w:sz w:val="16"/>
      <w:lang w:eastAsia="hu-HU"/>
    </w:rPr>
  </w:style>
  <w:style w:type="character" w:customStyle="1" w:styleId="normaltextrun">
    <w:name w:val="normaltextrun"/>
    <w:basedOn w:val="DefaultParagraphFont"/>
    <w:rsid w:val="004C3CE9"/>
  </w:style>
  <w:style w:type="table" w:customStyle="1" w:styleId="TableGrid4">
    <w:name w:val="Table Grid4"/>
    <w:basedOn w:val="TableNormal"/>
    <w:next w:val="TableGrid"/>
    <w:uiPriority w:val="39"/>
    <w:rsid w:val="00930D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39"/>
    <w:rsid w:val="00930D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930D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930D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39"/>
    <w:rsid w:val="00930D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aultfonthxmailstyle">
    <w:name w:val="defaultfonthxmailstyle"/>
    <w:basedOn w:val="DefaultParagraphFont"/>
    <w:rsid w:val="000C30BD"/>
  </w:style>
  <w:style w:type="character" w:customStyle="1" w:styleId="ui-provider">
    <w:name w:val="ui-provider"/>
    <w:basedOn w:val="DefaultParagraphFont"/>
    <w:rsid w:val="00050300"/>
  </w:style>
  <w:style w:type="character" w:customStyle="1" w:styleId="UnresolvedMention2">
    <w:name w:val="Unresolved Mention2"/>
    <w:basedOn w:val="DefaultParagraphFont"/>
    <w:uiPriority w:val="99"/>
    <w:semiHidden/>
    <w:unhideWhenUsed/>
    <w:rsid w:val="00C22EBC"/>
    <w:rPr>
      <w:color w:val="605E5C"/>
      <w:shd w:val="clear" w:color="auto" w:fill="E1DFDD"/>
    </w:rPr>
  </w:style>
  <w:style w:type="paragraph" w:customStyle="1" w:styleId="TableParagraph">
    <w:name w:val="Table Paragraph"/>
    <w:basedOn w:val="Normal"/>
    <w:uiPriority w:val="1"/>
    <w:qFormat/>
    <w:rsid w:val="009C72F0"/>
    <w:pPr>
      <w:widowControl w:val="0"/>
      <w:autoSpaceDE w:val="0"/>
      <w:autoSpaceDN w:val="0"/>
      <w:spacing w:after="0"/>
      <w:jc w:val="left"/>
    </w:pPr>
    <w:rPr>
      <w:sz w:val="22"/>
      <w:szCs w:val="22"/>
    </w:rPr>
  </w:style>
  <w:style w:type="character" w:customStyle="1" w:styleId="UnresolvedMention3">
    <w:name w:val="Unresolved Mention3"/>
    <w:basedOn w:val="DefaultParagraphFont"/>
    <w:uiPriority w:val="99"/>
    <w:semiHidden/>
    <w:unhideWhenUsed/>
    <w:rsid w:val="001446FD"/>
    <w:rPr>
      <w:color w:val="605E5C"/>
      <w:shd w:val="clear" w:color="auto" w:fill="E1DFDD"/>
    </w:rPr>
  </w:style>
  <w:style w:type="character" w:customStyle="1" w:styleId="UnresolvedMention4">
    <w:name w:val="Unresolved Mention4"/>
    <w:basedOn w:val="DefaultParagraphFont"/>
    <w:uiPriority w:val="99"/>
    <w:semiHidden/>
    <w:unhideWhenUsed/>
    <w:rsid w:val="006839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78571">
      <w:bodyDiv w:val="1"/>
      <w:marLeft w:val="0"/>
      <w:marRight w:val="0"/>
      <w:marTop w:val="0"/>
      <w:marBottom w:val="0"/>
      <w:divBdr>
        <w:top w:val="none" w:sz="0" w:space="0" w:color="auto"/>
        <w:left w:val="none" w:sz="0" w:space="0" w:color="auto"/>
        <w:bottom w:val="none" w:sz="0" w:space="0" w:color="auto"/>
        <w:right w:val="none" w:sz="0" w:space="0" w:color="auto"/>
      </w:divBdr>
    </w:div>
    <w:div w:id="42558549">
      <w:bodyDiv w:val="1"/>
      <w:marLeft w:val="0"/>
      <w:marRight w:val="0"/>
      <w:marTop w:val="0"/>
      <w:marBottom w:val="0"/>
      <w:divBdr>
        <w:top w:val="none" w:sz="0" w:space="0" w:color="auto"/>
        <w:left w:val="none" w:sz="0" w:space="0" w:color="auto"/>
        <w:bottom w:val="none" w:sz="0" w:space="0" w:color="auto"/>
        <w:right w:val="none" w:sz="0" w:space="0" w:color="auto"/>
      </w:divBdr>
    </w:div>
    <w:div w:id="116532941">
      <w:bodyDiv w:val="1"/>
      <w:marLeft w:val="0"/>
      <w:marRight w:val="0"/>
      <w:marTop w:val="0"/>
      <w:marBottom w:val="0"/>
      <w:divBdr>
        <w:top w:val="none" w:sz="0" w:space="0" w:color="auto"/>
        <w:left w:val="none" w:sz="0" w:space="0" w:color="auto"/>
        <w:bottom w:val="none" w:sz="0" w:space="0" w:color="auto"/>
        <w:right w:val="none" w:sz="0" w:space="0" w:color="auto"/>
      </w:divBdr>
    </w:div>
    <w:div w:id="248514125">
      <w:bodyDiv w:val="1"/>
      <w:marLeft w:val="0"/>
      <w:marRight w:val="0"/>
      <w:marTop w:val="0"/>
      <w:marBottom w:val="0"/>
      <w:divBdr>
        <w:top w:val="none" w:sz="0" w:space="0" w:color="auto"/>
        <w:left w:val="none" w:sz="0" w:space="0" w:color="auto"/>
        <w:bottom w:val="none" w:sz="0" w:space="0" w:color="auto"/>
        <w:right w:val="none" w:sz="0" w:space="0" w:color="auto"/>
      </w:divBdr>
    </w:div>
    <w:div w:id="344983898">
      <w:bodyDiv w:val="1"/>
      <w:marLeft w:val="0"/>
      <w:marRight w:val="0"/>
      <w:marTop w:val="0"/>
      <w:marBottom w:val="0"/>
      <w:divBdr>
        <w:top w:val="none" w:sz="0" w:space="0" w:color="auto"/>
        <w:left w:val="none" w:sz="0" w:space="0" w:color="auto"/>
        <w:bottom w:val="none" w:sz="0" w:space="0" w:color="auto"/>
        <w:right w:val="none" w:sz="0" w:space="0" w:color="auto"/>
      </w:divBdr>
    </w:div>
    <w:div w:id="677729077">
      <w:bodyDiv w:val="1"/>
      <w:marLeft w:val="0"/>
      <w:marRight w:val="0"/>
      <w:marTop w:val="0"/>
      <w:marBottom w:val="0"/>
      <w:divBdr>
        <w:top w:val="none" w:sz="0" w:space="0" w:color="auto"/>
        <w:left w:val="none" w:sz="0" w:space="0" w:color="auto"/>
        <w:bottom w:val="none" w:sz="0" w:space="0" w:color="auto"/>
        <w:right w:val="none" w:sz="0" w:space="0" w:color="auto"/>
      </w:divBdr>
    </w:div>
    <w:div w:id="991561573">
      <w:bodyDiv w:val="1"/>
      <w:marLeft w:val="0"/>
      <w:marRight w:val="0"/>
      <w:marTop w:val="0"/>
      <w:marBottom w:val="0"/>
      <w:divBdr>
        <w:top w:val="none" w:sz="0" w:space="0" w:color="auto"/>
        <w:left w:val="none" w:sz="0" w:space="0" w:color="auto"/>
        <w:bottom w:val="none" w:sz="0" w:space="0" w:color="auto"/>
        <w:right w:val="none" w:sz="0" w:space="0" w:color="auto"/>
      </w:divBdr>
    </w:div>
    <w:div w:id="1342930834">
      <w:bodyDiv w:val="1"/>
      <w:marLeft w:val="0"/>
      <w:marRight w:val="0"/>
      <w:marTop w:val="0"/>
      <w:marBottom w:val="0"/>
      <w:divBdr>
        <w:top w:val="none" w:sz="0" w:space="0" w:color="auto"/>
        <w:left w:val="none" w:sz="0" w:space="0" w:color="auto"/>
        <w:bottom w:val="none" w:sz="0" w:space="0" w:color="auto"/>
        <w:right w:val="none" w:sz="0" w:space="0" w:color="auto"/>
      </w:divBdr>
    </w:div>
    <w:div w:id="16185638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5.bin"/><Relationship Id="rId21" Type="http://schemas.openxmlformats.org/officeDocument/2006/relationships/hyperlink" Target="http://mtc.gov.mk/" TargetMode="External"/><Relationship Id="rId42" Type="http://schemas.openxmlformats.org/officeDocument/2006/relationships/hyperlink" Target="mailto:natasha.stojanovska@piu.mtc.gov.mk" TargetMode="External"/><Relationship Id="rId63" Type="http://schemas.openxmlformats.org/officeDocument/2006/relationships/header" Target="header22.xml"/><Relationship Id="rId84" Type="http://schemas.openxmlformats.org/officeDocument/2006/relationships/oleObject" Target="embeddings/oleObject4.bin"/><Relationship Id="rId138" Type="http://schemas.openxmlformats.org/officeDocument/2006/relationships/header" Target="header29.xml"/><Relationship Id="rId159" Type="http://schemas.openxmlformats.org/officeDocument/2006/relationships/header" Target="header47.xml"/><Relationship Id="rId107" Type="http://schemas.openxmlformats.org/officeDocument/2006/relationships/image" Target="media/image32.emf"/><Relationship Id="rId11" Type="http://schemas.openxmlformats.org/officeDocument/2006/relationships/hyperlink" Target="mailto:procurement.piu.mtc@gmail.com" TargetMode="External"/><Relationship Id="rId32" Type="http://schemas.openxmlformats.org/officeDocument/2006/relationships/hyperlink" Target="mailto:vlasta.ruzinovska@piu.mtc.gov.mk" TargetMode="External"/><Relationship Id="rId53" Type="http://schemas.openxmlformats.org/officeDocument/2006/relationships/header" Target="header12.xml"/><Relationship Id="rId74" Type="http://schemas.openxmlformats.org/officeDocument/2006/relationships/image" Target="media/image9.png"/><Relationship Id="rId128" Type="http://schemas.openxmlformats.org/officeDocument/2006/relationships/image" Target="media/image46.emf"/><Relationship Id="rId149" Type="http://schemas.openxmlformats.org/officeDocument/2006/relationships/header" Target="header40.xml"/><Relationship Id="rId5" Type="http://schemas.openxmlformats.org/officeDocument/2006/relationships/webSettings" Target="webSettings.xml"/><Relationship Id="rId95" Type="http://schemas.openxmlformats.org/officeDocument/2006/relationships/image" Target="media/image24.emf"/><Relationship Id="rId160" Type="http://schemas.openxmlformats.org/officeDocument/2006/relationships/fontTable" Target="fontTable.xml"/><Relationship Id="rId22" Type="http://schemas.openxmlformats.org/officeDocument/2006/relationships/header" Target="header1.xml"/><Relationship Id="rId43" Type="http://schemas.openxmlformats.org/officeDocument/2006/relationships/hyperlink" Target="mailto:procurement.piu.mtc@gmail.com" TargetMode="External"/><Relationship Id="rId64" Type="http://schemas.openxmlformats.org/officeDocument/2006/relationships/header" Target="header23.xml"/><Relationship Id="rId118" Type="http://schemas.openxmlformats.org/officeDocument/2006/relationships/image" Target="media/image39.png"/><Relationship Id="rId139" Type="http://schemas.openxmlformats.org/officeDocument/2006/relationships/header" Target="header30.xml"/><Relationship Id="rId85" Type="http://schemas.openxmlformats.org/officeDocument/2006/relationships/image" Target="media/image17.png"/><Relationship Id="rId150" Type="http://schemas.openxmlformats.org/officeDocument/2006/relationships/header" Target="header41.xml"/><Relationship Id="rId12" Type="http://schemas.openxmlformats.org/officeDocument/2006/relationships/hyperlink" Target="https://www.e-nabavki.gov.mk" TargetMode="External"/><Relationship Id="rId17" Type="http://schemas.openxmlformats.org/officeDocument/2006/relationships/hyperlink" Target="mailto:harita.pandovska@piu.mtc.gov.mk" TargetMode="External"/><Relationship Id="rId33" Type="http://schemas.openxmlformats.org/officeDocument/2006/relationships/hyperlink" Target="mailto:natasha.stojanovska@piu.mtc.gov.mk" TargetMode="External"/><Relationship Id="rId38" Type="http://schemas.openxmlformats.org/officeDocument/2006/relationships/hyperlink" Target="http://www.worldbank.org/en/projects-operations/products-and-services/brief/procurement-new-framework" TargetMode="External"/><Relationship Id="rId59" Type="http://schemas.openxmlformats.org/officeDocument/2006/relationships/header" Target="header18.xml"/><Relationship Id="rId103" Type="http://schemas.openxmlformats.org/officeDocument/2006/relationships/image" Target="media/image29.png"/><Relationship Id="rId108" Type="http://schemas.openxmlformats.org/officeDocument/2006/relationships/oleObject" Target="embeddings/oleObject12.bin"/><Relationship Id="rId124" Type="http://schemas.openxmlformats.org/officeDocument/2006/relationships/oleObject" Target="embeddings/oleObject17.bin"/><Relationship Id="rId129" Type="http://schemas.openxmlformats.org/officeDocument/2006/relationships/image" Target="media/image47.png"/><Relationship Id="rId54" Type="http://schemas.openxmlformats.org/officeDocument/2006/relationships/header" Target="header13.xml"/><Relationship Id="rId70" Type="http://schemas.openxmlformats.org/officeDocument/2006/relationships/image" Target="media/image6.png"/><Relationship Id="rId75" Type="http://schemas.openxmlformats.org/officeDocument/2006/relationships/image" Target="media/image10.png"/><Relationship Id="rId91" Type="http://schemas.openxmlformats.org/officeDocument/2006/relationships/image" Target="media/image21.png"/><Relationship Id="rId96" Type="http://schemas.openxmlformats.org/officeDocument/2006/relationships/oleObject" Target="embeddings/oleObject8.bin"/><Relationship Id="rId140" Type="http://schemas.openxmlformats.org/officeDocument/2006/relationships/header" Target="header31.xml"/><Relationship Id="rId145" Type="http://schemas.openxmlformats.org/officeDocument/2006/relationships/header" Target="header36.xm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2.xml"/><Relationship Id="rId28" Type="http://schemas.openxmlformats.org/officeDocument/2006/relationships/header" Target="header7.xml"/><Relationship Id="rId49" Type="http://schemas.openxmlformats.org/officeDocument/2006/relationships/header" Target="header8.xml"/><Relationship Id="rId114" Type="http://schemas.openxmlformats.org/officeDocument/2006/relationships/oleObject" Target="embeddings/oleObject14.bin"/><Relationship Id="rId119" Type="http://schemas.openxmlformats.org/officeDocument/2006/relationships/image" Target="media/image40.emf"/><Relationship Id="rId44" Type="http://schemas.openxmlformats.org/officeDocument/2006/relationships/image" Target="media/image1.wmf"/><Relationship Id="rId60" Type="http://schemas.openxmlformats.org/officeDocument/2006/relationships/header" Target="header19.xml"/><Relationship Id="rId65" Type="http://schemas.openxmlformats.org/officeDocument/2006/relationships/header" Target="header24.xml"/><Relationship Id="rId81" Type="http://schemas.openxmlformats.org/officeDocument/2006/relationships/oleObject" Target="embeddings/oleObject3.bin"/><Relationship Id="rId86" Type="http://schemas.openxmlformats.org/officeDocument/2006/relationships/image" Target="media/image18.emf"/><Relationship Id="rId130" Type="http://schemas.openxmlformats.org/officeDocument/2006/relationships/image" Target="media/image48.png"/><Relationship Id="rId135" Type="http://schemas.openxmlformats.org/officeDocument/2006/relationships/image" Target="media/image52.emf"/><Relationship Id="rId151" Type="http://schemas.openxmlformats.org/officeDocument/2006/relationships/hyperlink" Target="mailto:harita.pandovska@piu.mtc.gov.mk" TargetMode="External"/><Relationship Id="rId156" Type="http://schemas.openxmlformats.org/officeDocument/2006/relationships/header" Target="header46.xml"/><Relationship Id="rId13" Type="http://schemas.openxmlformats.org/officeDocument/2006/relationships/hyperlink" Target="http://mtc.gov.mk/javniOglasi" TargetMode="External"/><Relationship Id="rId18" Type="http://schemas.openxmlformats.org/officeDocument/2006/relationships/hyperlink" Target="mailto:vlasta.ruzinovska@piu.mtc.gov.mk" TargetMode="External"/><Relationship Id="rId39" Type="http://schemas.openxmlformats.org/officeDocument/2006/relationships/hyperlink" Target="mailto:slavko.micevski@piu.mtc.gov.mk" TargetMode="External"/><Relationship Id="rId109" Type="http://schemas.openxmlformats.org/officeDocument/2006/relationships/image" Target="media/image33.png"/><Relationship Id="rId34" Type="http://schemas.openxmlformats.org/officeDocument/2006/relationships/hyperlink" Target="mailto:procurement.piu.mtc@gmail.com" TargetMode="External"/><Relationship Id="rId50" Type="http://schemas.openxmlformats.org/officeDocument/2006/relationships/header" Target="header9.xml"/><Relationship Id="rId55" Type="http://schemas.openxmlformats.org/officeDocument/2006/relationships/header" Target="header14.xml"/><Relationship Id="rId76" Type="http://schemas.openxmlformats.org/officeDocument/2006/relationships/image" Target="media/image11.png"/><Relationship Id="rId97" Type="http://schemas.openxmlformats.org/officeDocument/2006/relationships/image" Target="media/image25.png"/><Relationship Id="rId104" Type="http://schemas.openxmlformats.org/officeDocument/2006/relationships/image" Target="media/image30.emf"/><Relationship Id="rId120" Type="http://schemas.openxmlformats.org/officeDocument/2006/relationships/oleObject" Target="embeddings/oleObject16.bin"/><Relationship Id="rId125" Type="http://schemas.openxmlformats.org/officeDocument/2006/relationships/image" Target="media/image44.emf"/><Relationship Id="rId141" Type="http://schemas.openxmlformats.org/officeDocument/2006/relationships/header" Target="header32.xml"/><Relationship Id="rId146" Type="http://schemas.openxmlformats.org/officeDocument/2006/relationships/header" Target="header37.xml"/><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image" Target="media/image22.emf"/><Relationship Id="rId2" Type="http://schemas.openxmlformats.org/officeDocument/2006/relationships/numbering" Target="numbering.xml"/><Relationship Id="rId29" Type="http://schemas.openxmlformats.org/officeDocument/2006/relationships/hyperlink" Target="http://www.worldbank.org/debarr." TargetMode="External"/><Relationship Id="rId24" Type="http://schemas.openxmlformats.org/officeDocument/2006/relationships/header" Target="header3.xml"/><Relationship Id="rId40" Type="http://schemas.openxmlformats.org/officeDocument/2006/relationships/hyperlink" Target="mailto:harita.pandovska@piu.mtc.gov.mk" TargetMode="External"/><Relationship Id="rId45" Type="http://schemas.openxmlformats.org/officeDocument/2006/relationships/image" Target="media/image2.wmf"/><Relationship Id="rId66" Type="http://schemas.openxmlformats.org/officeDocument/2006/relationships/header" Target="header25.xml"/><Relationship Id="rId87" Type="http://schemas.openxmlformats.org/officeDocument/2006/relationships/oleObject" Target="embeddings/oleObject5.bin"/><Relationship Id="rId110" Type="http://schemas.openxmlformats.org/officeDocument/2006/relationships/image" Target="media/image34.emf"/><Relationship Id="rId115" Type="http://schemas.openxmlformats.org/officeDocument/2006/relationships/image" Target="media/image37.png"/><Relationship Id="rId131" Type="http://schemas.openxmlformats.org/officeDocument/2006/relationships/image" Target="media/image49.emf"/><Relationship Id="rId136" Type="http://schemas.openxmlformats.org/officeDocument/2006/relationships/oleObject" Target="embeddings/oleObject20.bin"/><Relationship Id="rId157" Type="http://schemas.openxmlformats.org/officeDocument/2006/relationships/hyperlink" Target="https://policies.worldbank.org/sites/ppf3/PPFDocuments/Forms/DispPage.aspx?docid=4005" TargetMode="External"/><Relationship Id="rId61" Type="http://schemas.openxmlformats.org/officeDocument/2006/relationships/header" Target="header20.xml"/><Relationship Id="rId82" Type="http://schemas.openxmlformats.org/officeDocument/2006/relationships/image" Target="media/image15.png"/><Relationship Id="rId152" Type="http://schemas.openxmlformats.org/officeDocument/2006/relationships/header" Target="header42.xml"/><Relationship Id="rId19" Type="http://schemas.openxmlformats.org/officeDocument/2006/relationships/hyperlink" Target="mailto:natasha.stojanovska@piu.mtc.gov.mk" TargetMode="External"/><Relationship Id="rId14" Type="http://schemas.openxmlformats.org/officeDocument/2006/relationships/hyperlink" Target="mailto:harita.pandovska@piu.mtc.gov.mk" TargetMode="External"/><Relationship Id="rId30" Type="http://schemas.openxmlformats.org/officeDocument/2006/relationships/hyperlink" Target="mailto:slavko.micevski@piu.mtc.gov.mk" TargetMode="External"/><Relationship Id="rId35" Type="http://schemas.openxmlformats.org/officeDocument/2006/relationships/hyperlink" Target="https://wetransfer.com/" TargetMode="External"/><Relationship Id="rId56" Type="http://schemas.openxmlformats.org/officeDocument/2006/relationships/header" Target="header15.xml"/><Relationship Id="rId77" Type="http://schemas.openxmlformats.org/officeDocument/2006/relationships/image" Target="media/image12.emf"/><Relationship Id="rId100" Type="http://schemas.openxmlformats.org/officeDocument/2006/relationships/image" Target="media/image27.png"/><Relationship Id="rId105" Type="http://schemas.openxmlformats.org/officeDocument/2006/relationships/oleObject" Target="embeddings/oleObject11.bin"/><Relationship Id="rId126" Type="http://schemas.openxmlformats.org/officeDocument/2006/relationships/image" Target="media/image45.emf"/><Relationship Id="rId147" Type="http://schemas.openxmlformats.org/officeDocument/2006/relationships/header" Target="header38.xml"/><Relationship Id="rId8" Type="http://schemas.openxmlformats.org/officeDocument/2006/relationships/hyperlink" Target="mailto:slavko.micevski@piu.mtc.gov.mk" TargetMode="External"/><Relationship Id="rId51" Type="http://schemas.openxmlformats.org/officeDocument/2006/relationships/header" Target="header10.xml"/><Relationship Id="rId72" Type="http://schemas.openxmlformats.org/officeDocument/2006/relationships/image" Target="media/image8.emf"/><Relationship Id="rId93" Type="http://schemas.openxmlformats.org/officeDocument/2006/relationships/oleObject" Target="embeddings/oleObject7.bin"/><Relationship Id="rId98" Type="http://schemas.openxmlformats.org/officeDocument/2006/relationships/image" Target="media/image26.emf"/><Relationship Id="rId121" Type="http://schemas.openxmlformats.org/officeDocument/2006/relationships/image" Target="media/image41.emf"/><Relationship Id="rId142" Type="http://schemas.openxmlformats.org/officeDocument/2006/relationships/header" Target="header33.xm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3.wmf"/><Relationship Id="rId67" Type="http://schemas.openxmlformats.org/officeDocument/2006/relationships/header" Target="header26.xml"/><Relationship Id="rId116" Type="http://schemas.openxmlformats.org/officeDocument/2006/relationships/image" Target="media/image38.emf"/><Relationship Id="rId137" Type="http://schemas.openxmlformats.org/officeDocument/2006/relationships/image" Target="media/image53.jpeg"/><Relationship Id="rId158" Type="http://schemas.openxmlformats.org/officeDocument/2006/relationships/hyperlink" Target="file:///F:\2.%20%20World%20Bank%202017\17.%20Tools%20and%20Templates\NIA\get%20the%20address%20once%20it%20is%20published" TargetMode="External"/><Relationship Id="rId20" Type="http://schemas.openxmlformats.org/officeDocument/2006/relationships/hyperlink" Target="mailto:procurement.piu.mtc@gmail.com" TargetMode="External"/><Relationship Id="rId41" Type="http://schemas.openxmlformats.org/officeDocument/2006/relationships/hyperlink" Target="mailto:vlasta.ruzinovska@piu.mtc.gov.mk" TargetMode="External"/><Relationship Id="rId62" Type="http://schemas.openxmlformats.org/officeDocument/2006/relationships/header" Target="header21.xml"/><Relationship Id="rId83" Type="http://schemas.openxmlformats.org/officeDocument/2006/relationships/image" Target="media/image16.emf"/><Relationship Id="rId88" Type="http://schemas.openxmlformats.org/officeDocument/2006/relationships/image" Target="media/image19.png"/><Relationship Id="rId111" Type="http://schemas.openxmlformats.org/officeDocument/2006/relationships/oleObject" Target="embeddings/oleObject13.bin"/><Relationship Id="rId132" Type="http://schemas.openxmlformats.org/officeDocument/2006/relationships/oleObject" Target="embeddings/oleObject19.bin"/><Relationship Id="rId153" Type="http://schemas.openxmlformats.org/officeDocument/2006/relationships/header" Target="header43.xml"/><Relationship Id="rId15" Type="http://schemas.openxmlformats.org/officeDocument/2006/relationships/hyperlink" Target="https://wetransfer.com/" TargetMode="External"/><Relationship Id="rId36" Type="http://schemas.openxmlformats.org/officeDocument/2006/relationships/hyperlink" Target="https://www.e-nabavki.gov.mk" TargetMode="External"/><Relationship Id="rId57" Type="http://schemas.openxmlformats.org/officeDocument/2006/relationships/header" Target="header16.xml"/><Relationship Id="rId106" Type="http://schemas.openxmlformats.org/officeDocument/2006/relationships/image" Target="media/image31.png"/><Relationship Id="rId127" Type="http://schemas.openxmlformats.org/officeDocument/2006/relationships/oleObject" Target="embeddings/oleObject18.bin"/><Relationship Id="rId10" Type="http://schemas.openxmlformats.org/officeDocument/2006/relationships/hyperlink" Target="mailto:natasha.stojanovska@piu.mtc.gov.mk" TargetMode="External"/><Relationship Id="rId31" Type="http://schemas.openxmlformats.org/officeDocument/2006/relationships/hyperlink" Target="mailto:harita.pandovska@piu.mtc.gov.mk" TargetMode="External"/><Relationship Id="rId52" Type="http://schemas.openxmlformats.org/officeDocument/2006/relationships/header" Target="header11.xml"/><Relationship Id="rId73" Type="http://schemas.openxmlformats.org/officeDocument/2006/relationships/oleObject" Target="embeddings/oleObject1.bin"/><Relationship Id="rId78" Type="http://schemas.openxmlformats.org/officeDocument/2006/relationships/oleObject" Target="embeddings/oleObject2.bin"/><Relationship Id="rId94" Type="http://schemas.openxmlformats.org/officeDocument/2006/relationships/image" Target="media/image23.png"/><Relationship Id="rId99" Type="http://schemas.openxmlformats.org/officeDocument/2006/relationships/oleObject" Target="embeddings/oleObject9.bin"/><Relationship Id="rId101" Type="http://schemas.openxmlformats.org/officeDocument/2006/relationships/image" Target="media/image28.emf"/><Relationship Id="rId122" Type="http://schemas.openxmlformats.org/officeDocument/2006/relationships/image" Target="media/image42.emf"/><Relationship Id="rId143" Type="http://schemas.openxmlformats.org/officeDocument/2006/relationships/header" Target="header34.xml"/><Relationship Id="rId148" Type="http://schemas.openxmlformats.org/officeDocument/2006/relationships/header" Target="header39.xml"/><Relationship Id="rId4" Type="http://schemas.openxmlformats.org/officeDocument/2006/relationships/settings" Target="settings.xml"/><Relationship Id="rId9" Type="http://schemas.openxmlformats.org/officeDocument/2006/relationships/hyperlink" Target="mailto:vlasta.ruzinovska@piu.mtc.gov.mk" TargetMode="External"/><Relationship Id="rId26" Type="http://schemas.openxmlformats.org/officeDocument/2006/relationships/header" Target="header5.xml"/><Relationship Id="rId47" Type="http://schemas.openxmlformats.org/officeDocument/2006/relationships/image" Target="media/image4.wmf"/><Relationship Id="rId68" Type="http://schemas.openxmlformats.org/officeDocument/2006/relationships/header" Target="header27.xml"/><Relationship Id="rId89" Type="http://schemas.openxmlformats.org/officeDocument/2006/relationships/image" Target="media/image20.emf"/><Relationship Id="rId112" Type="http://schemas.openxmlformats.org/officeDocument/2006/relationships/image" Target="media/image35.png"/><Relationship Id="rId133" Type="http://schemas.openxmlformats.org/officeDocument/2006/relationships/image" Target="media/image50.jpg"/><Relationship Id="rId154" Type="http://schemas.openxmlformats.org/officeDocument/2006/relationships/header" Target="header44.xml"/><Relationship Id="rId16" Type="http://schemas.openxmlformats.org/officeDocument/2006/relationships/hyperlink" Target="mailto:slavko.micevski@piu.mtc.gov.mk" TargetMode="External"/><Relationship Id="rId37" Type="http://schemas.openxmlformats.org/officeDocument/2006/relationships/hyperlink" Target="http://mtc.gov.mk/javniOglasi" TargetMode="External"/><Relationship Id="rId58" Type="http://schemas.openxmlformats.org/officeDocument/2006/relationships/header" Target="header17.xml"/><Relationship Id="rId79" Type="http://schemas.openxmlformats.org/officeDocument/2006/relationships/image" Target="media/image13.png"/><Relationship Id="rId102" Type="http://schemas.openxmlformats.org/officeDocument/2006/relationships/oleObject" Target="embeddings/oleObject10.bin"/><Relationship Id="rId123" Type="http://schemas.openxmlformats.org/officeDocument/2006/relationships/image" Target="media/image43.emf"/><Relationship Id="rId144" Type="http://schemas.openxmlformats.org/officeDocument/2006/relationships/header" Target="header35.xml"/><Relationship Id="rId90" Type="http://schemas.openxmlformats.org/officeDocument/2006/relationships/oleObject" Target="embeddings/oleObject6.bin"/><Relationship Id="rId27" Type="http://schemas.openxmlformats.org/officeDocument/2006/relationships/header" Target="header6.xml"/><Relationship Id="rId48" Type="http://schemas.openxmlformats.org/officeDocument/2006/relationships/image" Target="media/image5.wmf"/><Relationship Id="rId69" Type="http://schemas.openxmlformats.org/officeDocument/2006/relationships/header" Target="header28.xml"/><Relationship Id="rId113" Type="http://schemas.openxmlformats.org/officeDocument/2006/relationships/image" Target="media/image36.emf"/><Relationship Id="rId134" Type="http://schemas.openxmlformats.org/officeDocument/2006/relationships/image" Target="media/image51.png"/><Relationship Id="rId80" Type="http://schemas.openxmlformats.org/officeDocument/2006/relationships/image" Target="media/image14.emf"/><Relationship Id="rId155" Type="http://schemas.openxmlformats.org/officeDocument/2006/relationships/header" Target="header45.xml"/></Relationships>
</file>

<file path=word/_rels/footnotes.xml.rels><?xml version="1.0" encoding="UTF-8" standalone="yes"?>
<Relationships xmlns="http://schemas.openxmlformats.org/package/2006/relationships"><Relationship Id="rId1" Type="http://schemas.openxmlformats.org/officeDocument/2006/relationships/hyperlink" Target="https://mioa.gov.mk/sites/default/files/pbl_files/documents/Macedonian_Interoperability_Framework_MIF_v2.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314366-BBCC-4CB8-9CF3-3A6F5AFFC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154316</Words>
  <Characters>879604</Characters>
  <Application>Microsoft Office Word</Application>
  <DocSecurity>0</DocSecurity>
  <Lines>7330</Lines>
  <Paragraphs>2063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1031857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2024-05-22T09:44:00Z</dcterms:created>
  <dcterms:modified xsi:type="dcterms:W3CDTF">2024-05-22T11:04:00Z</dcterms:modified>
  <cp:category/>
</cp:coreProperties>
</file>